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1FED3" w14:textId="2484FEA8" w:rsidR="004E7B0F" w:rsidRPr="00AD55D3" w:rsidRDefault="004E7B0F" w:rsidP="009F6E11">
      <w:pPr>
        <w:pStyle w:val="Title"/>
        <w:widowControl w:val="0"/>
        <w:tabs>
          <w:tab w:val="clear" w:pos="4395"/>
        </w:tabs>
        <w:suppressAutoHyphens/>
        <w:autoSpaceDE/>
        <w:autoSpaceDN/>
        <w:adjustRightInd/>
        <w:ind w:left="284"/>
        <w:jc w:val="left"/>
        <w:rPr>
          <w:rFonts w:ascii="Times New Roman" w:hAnsi="Times New Roman"/>
          <w:sz w:val="24"/>
          <w:szCs w:val="24"/>
        </w:rPr>
      </w:pPr>
    </w:p>
    <w:p w14:paraId="7B03F502" w14:textId="61DB4D07" w:rsidR="000F6A18" w:rsidRPr="00AD55D3" w:rsidRDefault="000F6A18" w:rsidP="009F6E11">
      <w:pPr>
        <w:pStyle w:val="Title"/>
        <w:widowControl w:val="0"/>
        <w:tabs>
          <w:tab w:val="clear" w:pos="4395"/>
        </w:tabs>
        <w:suppressAutoHyphens/>
        <w:autoSpaceDE/>
        <w:autoSpaceDN/>
        <w:adjustRightInd/>
        <w:ind w:left="284"/>
        <w:jc w:val="left"/>
        <w:rPr>
          <w:rFonts w:ascii="Times New Roman" w:hAnsi="Times New Roman"/>
          <w:sz w:val="24"/>
          <w:szCs w:val="24"/>
        </w:rPr>
      </w:pPr>
    </w:p>
    <w:p w14:paraId="3526F6C3" w14:textId="32D55BED" w:rsidR="000F6A18" w:rsidRPr="00AD55D3" w:rsidRDefault="000F6A18" w:rsidP="009F6E11">
      <w:pPr>
        <w:pStyle w:val="Title"/>
        <w:widowControl w:val="0"/>
        <w:tabs>
          <w:tab w:val="clear" w:pos="4395"/>
        </w:tabs>
        <w:suppressAutoHyphens/>
        <w:autoSpaceDE/>
        <w:autoSpaceDN/>
        <w:adjustRightInd/>
        <w:ind w:left="284"/>
        <w:jc w:val="left"/>
        <w:rPr>
          <w:rFonts w:ascii="Times New Roman" w:hAnsi="Times New Roman"/>
          <w:sz w:val="24"/>
          <w:szCs w:val="24"/>
        </w:rPr>
      </w:pPr>
    </w:p>
    <w:p w14:paraId="3E3458B5" w14:textId="793BE7C6" w:rsidR="000F6A18" w:rsidRPr="00AD55D3" w:rsidRDefault="000F6A18" w:rsidP="009F6E11">
      <w:pPr>
        <w:pStyle w:val="Title"/>
        <w:widowControl w:val="0"/>
        <w:tabs>
          <w:tab w:val="clear" w:pos="4395"/>
        </w:tabs>
        <w:suppressAutoHyphens/>
        <w:autoSpaceDE/>
        <w:autoSpaceDN/>
        <w:adjustRightInd/>
        <w:ind w:left="284"/>
        <w:jc w:val="left"/>
        <w:rPr>
          <w:rFonts w:ascii="Times New Roman" w:hAnsi="Times New Roman"/>
          <w:sz w:val="24"/>
          <w:szCs w:val="24"/>
        </w:rPr>
      </w:pPr>
    </w:p>
    <w:p w14:paraId="0A3796D6" w14:textId="11A2459E" w:rsidR="000F6A18" w:rsidRPr="00AD55D3" w:rsidRDefault="000F6A18" w:rsidP="009F6E11">
      <w:pPr>
        <w:pStyle w:val="Title"/>
        <w:widowControl w:val="0"/>
        <w:tabs>
          <w:tab w:val="clear" w:pos="4395"/>
        </w:tabs>
        <w:suppressAutoHyphens/>
        <w:autoSpaceDE/>
        <w:autoSpaceDN/>
        <w:adjustRightInd/>
        <w:ind w:left="284"/>
        <w:jc w:val="left"/>
        <w:rPr>
          <w:rFonts w:ascii="Times New Roman" w:hAnsi="Times New Roman"/>
          <w:sz w:val="24"/>
          <w:szCs w:val="24"/>
        </w:rPr>
      </w:pPr>
    </w:p>
    <w:p w14:paraId="195588E1" w14:textId="0170E859" w:rsidR="000F6A18" w:rsidRPr="00AD55D3" w:rsidRDefault="000F6A18" w:rsidP="009F6E11">
      <w:pPr>
        <w:pStyle w:val="Title"/>
        <w:widowControl w:val="0"/>
        <w:tabs>
          <w:tab w:val="clear" w:pos="4395"/>
        </w:tabs>
        <w:suppressAutoHyphens/>
        <w:autoSpaceDE/>
        <w:autoSpaceDN/>
        <w:adjustRightInd/>
        <w:ind w:left="284"/>
        <w:jc w:val="left"/>
        <w:rPr>
          <w:rFonts w:ascii="Times New Roman" w:hAnsi="Times New Roman"/>
          <w:sz w:val="24"/>
          <w:szCs w:val="24"/>
        </w:rPr>
      </w:pPr>
    </w:p>
    <w:p w14:paraId="638E522E" w14:textId="77777777" w:rsidR="000F6A18" w:rsidRPr="00AD55D3" w:rsidRDefault="000F6A18" w:rsidP="009F6E11">
      <w:pPr>
        <w:pStyle w:val="Title"/>
        <w:widowControl w:val="0"/>
        <w:tabs>
          <w:tab w:val="clear" w:pos="4395"/>
        </w:tabs>
        <w:suppressAutoHyphens/>
        <w:autoSpaceDE/>
        <w:autoSpaceDN/>
        <w:adjustRightInd/>
        <w:ind w:left="284"/>
        <w:jc w:val="left"/>
        <w:rPr>
          <w:rFonts w:ascii="Times New Roman" w:hAnsi="Times New Roman"/>
          <w:sz w:val="24"/>
          <w:szCs w:val="24"/>
        </w:rPr>
      </w:pPr>
    </w:p>
    <w:p w14:paraId="3D69ED10" w14:textId="77777777" w:rsidR="000A07E6" w:rsidRDefault="000A07E6" w:rsidP="001B6D11">
      <w:pPr>
        <w:pStyle w:val="Title"/>
        <w:widowControl w:val="0"/>
        <w:tabs>
          <w:tab w:val="clear" w:pos="4395"/>
        </w:tabs>
        <w:autoSpaceDE/>
        <w:autoSpaceDN/>
        <w:adjustRightInd/>
        <w:ind w:left="284"/>
        <w:jc w:val="left"/>
        <w:rPr>
          <w:rFonts w:ascii="Times New Roman" w:hAnsi="Times New Roman"/>
          <w:sz w:val="24"/>
          <w:szCs w:val="24"/>
        </w:rPr>
      </w:pPr>
    </w:p>
    <w:p w14:paraId="4360EC2A" w14:textId="77777777" w:rsidR="001F2F6C" w:rsidRPr="00AD55D3" w:rsidRDefault="001F2F6C" w:rsidP="001B6D11">
      <w:pPr>
        <w:pStyle w:val="Title"/>
        <w:widowControl w:val="0"/>
        <w:tabs>
          <w:tab w:val="clear" w:pos="4395"/>
        </w:tabs>
        <w:autoSpaceDE/>
        <w:autoSpaceDN/>
        <w:adjustRightInd/>
        <w:ind w:left="284"/>
        <w:jc w:val="left"/>
        <w:rPr>
          <w:rFonts w:ascii="Times New Roman" w:hAnsi="Times New Roman"/>
          <w:sz w:val="24"/>
          <w:szCs w:val="24"/>
        </w:rPr>
      </w:pPr>
    </w:p>
    <w:p w14:paraId="017CC9DB" w14:textId="0AEDD763" w:rsidR="000A07E6" w:rsidRPr="00872D7E" w:rsidRDefault="00224EBE" w:rsidP="001B6D11">
      <w:pPr>
        <w:pStyle w:val="Title"/>
        <w:widowControl w:val="0"/>
        <w:tabs>
          <w:tab w:val="clear" w:pos="4395"/>
        </w:tabs>
        <w:autoSpaceDE/>
        <w:autoSpaceDN/>
        <w:adjustRightInd/>
        <w:ind w:left="284"/>
        <w:jc w:val="left"/>
        <w:rPr>
          <w:rFonts w:ascii="Times New Roman" w:hAnsi="Times New Roman"/>
          <w:sz w:val="24"/>
          <w:szCs w:val="24"/>
        </w:rPr>
      </w:pPr>
      <w:bookmarkStart w:id="0" w:name="_Hlk166539088"/>
      <w:r w:rsidRPr="00872D7E">
        <w:rPr>
          <w:rFonts w:ascii="Times New Roman" w:hAnsi="Times New Roman"/>
          <w:sz w:val="24"/>
          <w:szCs w:val="24"/>
        </w:rPr>
        <w:t xml:space="preserve">DÜNYA </w:t>
      </w:r>
      <w:r w:rsidR="000A07E6" w:rsidRPr="00872D7E">
        <w:rPr>
          <w:rFonts w:ascii="Times New Roman" w:hAnsi="Times New Roman"/>
          <w:sz w:val="24"/>
          <w:szCs w:val="24"/>
        </w:rPr>
        <w:t>KATILIM BANKASI</w:t>
      </w:r>
      <w:r w:rsidR="009F6E11" w:rsidRPr="00872D7E">
        <w:rPr>
          <w:rFonts w:ascii="Times New Roman" w:hAnsi="Times New Roman"/>
          <w:sz w:val="24"/>
          <w:szCs w:val="24"/>
        </w:rPr>
        <w:t xml:space="preserve"> </w:t>
      </w:r>
      <w:r w:rsidR="000A07E6" w:rsidRPr="00872D7E">
        <w:rPr>
          <w:rFonts w:ascii="Times New Roman" w:hAnsi="Times New Roman"/>
          <w:sz w:val="24"/>
          <w:szCs w:val="24"/>
        </w:rPr>
        <w:t>ANONİM ŞİRKETİ</w:t>
      </w:r>
    </w:p>
    <w:p w14:paraId="27E63FAB" w14:textId="77777777" w:rsidR="00425B7F" w:rsidRPr="00872D7E" w:rsidRDefault="00425B7F" w:rsidP="001B6D11">
      <w:pPr>
        <w:pStyle w:val="Title"/>
        <w:widowControl w:val="0"/>
        <w:tabs>
          <w:tab w:val="clear" w:pos="4395"/>
        </w:tabs>
        <w:autoSpaceDE/>
        <w:autoSpaceDN/>
        <w:adjustRightInd/>
        <w:ind w:left="284"/>
        <w:jc w:val="left"/>
        <w:rPr>
          <w:rFonts w:ascii="Times New Roman" w:hAnsi="Times New Roman"/>
          <w:sz w:val="24"/>
          <w:szCs w:val="24"/>
        </w:rPr>
      </w:pPr>
    </w:p>
    <w:p w14:paraId="7ED9AB42" w14:textId="12A95BFB" w:rsidR="000A07E6" w:rsidRPr="00872D7E" w:rsidRDefault="00270CCF" w:rsidP="001B6D11">
      <w:pPr>
        <w:pStyle w:val="CoverTitle"/>
        <w:framePr w:w="0" w:hSpace="0" w:vSpace="0" w:wrap="auto" w:vAnchor="margin" w:xAlign="left" w:yAlign="inline"/>
        <w:widowControl w:val="0"/>
        <w:spacing w:line="240" w:lineRule="auto"/>
        <w:ind w:left="284" w:right="-878"/>
        <w:rPr>
          <w:rFonts w:ascii="Times New Roman" w:hAnsi="Times New Roman"/>
          <w:b/>
          <w:sz w:val="24"/>
          <w:szCs w:val="24"/>
          <w:lang w:val="tr-TR"/>
        </w:rPr>
      </w:pPr>
      <w:r w:rsidRPr="00872D7E">
        <w:rPr>
          <w:rFonts w:ascii="Times New Roman" w:hAnsi="Times New Roman"/>
          <w:b/>
          <w:sz w:val="24"/>
          <w:szCs w:val="24"/>
          <w:lang w:val="tr-TR"/>
        </w:rPr>
        <w:t>31</w:t>
      </w:r>
      <w:r w:rsidR="000A07E6" w:rsidRPr="00872D7E">
        <w:rPr>
          <w:rFonts w:ascii="Times New Roman" w:hAnsi="Times New Roman"/>
          <w:b/>
          <w:sz w:val="24"/>
          <w:szCs w:val="24"/>
          <w:lang w:val="tr-TR"/>
        </w:rPr>
        <w:t xml:space="preserve"> </w:t>
      </w:r>
      <w:r w:rsidRPr="00872D7E">
        <w:rPr>
          <w:rFonts w:ascii="Times New Roman" w:hAnsi="Times New Roman"/>
          <w:b/>
          <w:sz w:val="24"/>
          <w:szCs w:val="24"/>
          <w:lang w:val="tr-TR"/>
        </w:rPr>
        <w:t>ARALIK</w:t>
      </w:r>
      <w:r w:rsidR="00763F5D" w:rsidRPr="00872D7E">
        <w:rPr>
          <w:rFonts w:ascii="Times New Roman" w:hAnsi="Times New Roman"/>
          <w:b/>
          <w:sz w:val="24"/>
          <w:szCs w:val="24"/>
          <w:lang w:val="tr-TR"/>
        </w:rPr>
        <w:t xml:space="preserve"> </w:t>
      </w:r>
      <w:r w:rsidR="000A07E6" w:rsidRPr="00872D7E">
        <w:rPr>
          <w:rFonts w:ascii="Times New Roman" w:hAnsi="Times New Roman"/>
          <w:b/>
          <w:sz w:val="24"/>
          <w:szCs w:val="24"/>
          <w:lang w:val="tr-TR"/>
        </w:rPr>
        <w:t>202</w:t>
      </w:r>
      <w:r w:rsidR="00224EBE" w:rsidRPr="00872D7E">
        <w:rPr>
          <w:rFonts w:ascii="Times New Roman" w:hAnsi="Times New Roman"/>
          <w:b/>
          <w:sz w:val="24"/>
          <w:szCs w:val="24"/>
          <w:lang w:val="tr-TR"/>
        </w:rPr>
        <w:t>4</w:t>
      </w:r>
      <w:r w:rsidR="000A07E6" w:rsidRPr="00872D7E">
        <w:rPr>
          <w:rFonts w:ascii="Times New Roman" w:hAnsi="Times New Roman"/>
          <w:b/>
          <w:sz w:val="24"/>
          <w:szCs w:val="24"/>
          <w:lang w:val="tr-TR"/>
        </w:rPr>
        <w:t xml:space="preserve"> TARİHİNDE SONA EREN</w:t>
      </w:r>
    </w:p>
    <w:p w14:paraId="7F8BFF04" w14:textId="05706851" w:rsidR="000A07E6" w:rsidRPr="00872D7E" w:rsidRDefault="000A07E6" w:rsidP="001B6D11">
      <w:pPr>
        <w:pStyle w:val="CoverTitle"/>
        <w:framePr w:w="0" w:hSpace="0" w:vSpace="0" w:wrap="auto" w:vAnchor="margin" w:xAlign="left" w:yAlign="inline"/>
        <w:widowControl w:val="0"/>
        <w:spacing w:line="240" w:lineRule="auto"/>
        <w:ind w:left="284" w:right="-878"/>
        <w:rPr>
          <w:rFonts w:ascii="Times New Roman" w:hAnsi="Times New Roman"/>
          <w:b/>
          <w:sz w:val="24"/>
          <w:szCs w:val="24"/>
          <w:lang w:val="tr-TR"/>
        </w:rPr>
      </w:pPr>
      <w:r w:rsidRPr="00872D7E">
        <w:rPr>
          <w:rFonts w:ascii="Times New Roman" w:hAnsi="Times New Roman"/>
          <w:b/>
          <w:sz w:val="24"/>
          <w:szCs w:val="24"/>
          <w:lang w:val="tr-TR"/>
        </w:rPr>
        <w:t>HESAP DÖNEMİNE AİT KONSOLİDE OLMAYAN</w:t>
      </w:r>
    </w:p>
    <w:p w14:paraId="7DF16069" w14:textId="3BFA174A" w:rsidR="00BF7858" w:rsidRPr="00872D7E" w:rsidRDefault="000A07E6" w:rsidP="001B6D11">
      <w:pPr>
        <w:pStyle w:val="Title"/>
        <w:widowControl w:val="0"/>
        <w:tabs>
          <w:tab w:val="clear" w:pos="4395"/>
        </w:tabs>
        <w:autoSpaceDE/>
        <w:autoSpaceDN/>
        <w:adjustRightInd/>
        <w:ind w:left="284"/>
        <w:jc w:val="left"/>
        <w:rPr>
          <w:rFonts w:ascii="Times New Roman" w:hAnsi="Times New Roman"/>
          <w:sz w:val="24"/>
          <w:szCs w:val="24"/>
        </w:rPr>
      </w:pPr>
      <w:r w:rsidRPr="00872D7E">
        <w:rPr>
          <w:rFonts w:ascii="Times New Roman" w:hAnsi="Times New Roman"/>
          <w:sz w:val="24"/>
          <w:szCs w:val="24"/>
        </w:rPr>
        <w:t xml:space="preserve">FİNANSAL TABLOLAR VE </w:t>
      </w:r>
      <w:r w:rsidR="00B700BA" w:rsidRPr="00872D7E">
        <w:rPr>
          <w:rFonts w:ascii="Times New Roman" w:hAnsi="Times New Roman"/>
          <w:sz w:val="24"/>
          <w:szCs w:val="24"/>
        </w:rPr>
        <w:t>BAĞIMSIZ</w:t>
      </w:r>
      <w:r w:rsidR="00C33B1F" w:rsidRPr="00872D7E">
        <w:rPr>
          <w:rFonts w:ascii="Times New Roman" w:hAnsi="Times New Roman"/>
          <w:sz w:val="24"/>
          <w:szCs w:val="24"/>
        </w:rPr>
        <w:t xml:space="preserve"> </w:t>
      </w:r>
      <w:r w:rsidRPr="00872D7E">
        <w:rPr>
          <w:rFonts w:ascii="Times New Roman" w:hAnsi="Times New Roman"/>
          <w:sz w:val="24"/>
          <w:szCs w:val="24"/>
        </w:rPr>
        <w:t>DENETİM RAPORU</w:t>
      </w:r>
    </w:p>
    <w:bookmarkEnd w:id="0"/>
    <w:p w14:paraId="4E2DC649" w14:textId="77777777" w:rsidR="00D02990" w:rsidRPr="00872D7E" w:rsidRDefault="00D02990" w:rsidP="009F6E11">
      <w:pPr>
        <w:widowControl w:val="0"/>
        <w:autoSpaceDE w:val="0"/>
        <w:autoSpaceDN w:val="0"/>
        <w:adjustRightInd w:val="0"/>
        <w:ind w:left="284"/>
        <w:jc w:val="both"/>
        <w:rPr>
          <w:color w:val="000000"/>
        </w:rPr>
      </w:pPr>
    </w:p>
    <w:p w14:paraId="625A8967" w14:textId="77777777" w:rsidR="001C7F63" w:rsidRPr="00872D7E" w:rsidRDefault="001C7F63" w:rsidP="009F6E11">
      <w:pPr>
        <w:widowControl w:val="0"/>
        <w:autoSpaceDE w:val="0"/>
        <w:autoSpaceDN w:val="0"/>
        <w:adjustRightInd w:val="0"/>
        <w:ind w:left="284"/>
        <w:jc w:val="both"/>
        <w:rPr>
          <w:color w:val="000000"/>
        </w:rPr>
      </w:pPr>
    </w:p>
    <w:p w14:paraId="71422B0E" w14:textId="77777777" w:rsidR="001C7F63" w:rsidRPr="00872D7E" w:rsidRDefault="001C7F63" w:rsidP="009F6E11">
      <w:pPr>
        <w:widowControl w:val="0"/>
        <w:autoSpaceDE w:val="0"/>
        <w:autoSpaceDN w:val="0"/>
        <w:adjustRightInd w:val="0"/>
        <w:ind w:left="284"/>
        <w:jc w:val="both"/>
        <w:rPr>
          <w:color w:val="000000"/>
        </w:rPr>
      </w:pPr>
    </w:p>
    <w:p w14:paraId="54759B33" w14:textId="77777777" w:rsidR="002C7C18" w:rsidRDefault="002C7C18" w:rsidP="009F6E11">
      <w:pPr>
        <w:widowControl w:val="0"/>
        <w:autoSpaceDE w:val="0"/>
        <w:autoSpaceDN w:val="0"/>
        <w:adjustRightInd w:val="0"/>
        <w:ind w:left="284"/>
        <w:jc w:val="both"/>
        <w:rPr>
          <w:color w:val="000000"/>
        </w:rPr>
        <w:sectPr w:rsidR="002C7C18" w:rsidSect="00C32579">
          <w:headerReference w:type="even" r:id="rId8"/>
          <w:footerReference w:type="even" r:id="rId9"/>
          <w:footnotePr>
            <w:numRestart w:val="eachPage"/>
          </w:footnotePr>
          <w:pgSz w:w="11906" w:h="16838" w:code="9"/>
          <w:pgMar w:top="1134" w:right="1134" w:bottom="1134" w:left="1701" w:header="851" w:footer="851" w:gutter="0"/>
          <w:pgNumType w:start="7"/>
          <w:cols w:space="708"/>
          <w:titlePg/>
          <w:docGrid w:linePitch="326"/>
        </w:sectPr>
      </w:pPr>
    </w:p>
    <w:p w14:paraId="5261924E" w14:textId="77777777" w:rsidR="002C7C18" w:rsidRPr="002C7C18" w:rsidRDefault="002C7C18" w:rsidP="002C7C18">
      <w:pPr>
        <w:pStyle w:val="Text"/>
        <w:widowControl w:val="0"/>
        <w:spacing w:line="240" w:lineRule="atLeast"/>
        <w:jc w:val="center"/>
        <w:rPr>
          <w:rFonts w:ascii="Georgia" w:hAnsi="Georgia" w:cs="Arial"/>
          <w:b/>
          <w:color w:val="auto"/>
          <w:sz w:val="20"/>
          <w:szCs w:val="20"/>
          <w:lang w:val="tr-TR"/>
        </w:rPr>
      </w:pPr>
      <w:r w:rsidRPr="002C7C18">
        <w:rPr>
          <w:rFonts w:ascii="Georgia" w:hAnsi="Georgia" w:cs="Arial"/>
          <w:b/>
          <w:color w:val="auto"/>
          <w:sz w:val="20"/>
          <w:szCs w:val="20"/>
          <w:lang w:val="tr-TR"/>
        </w:rPr>
        <w:lastRenderedPageBreak/>
        <w:t>BAĞIMSIZ DENETÇİ RAPORU</w:t>
      </w:r>
    </w:p>
    <w:p w14:paraId="0436A590" w14:textId="77777777" w:rsidR="002C7C18" w:rsidRPr="002C7C18" w:rsidRDefault="002C7C18" w:rsidP="002C7C18">
      <w:pPr>
        <w:pStyle w:val="NoSpacing"/>
        <w:widowControl w:val="0"/>
        <w:spacing w:line="240" w:lineRule="atLeast"/>
        <w:rPr>
          <w:rFonts w:ascii="Georgia" w:hAnsi="Georgia"/>
          <w:b/>
          <w:sz w:val="20"/>
          <w:szCs w:val="20"/>
          <w:lang w:val="tr-TR"/>
        </w:rPr>
      </w:pPr>
    </w:p>
    <w:p w14:paraId="3F7A3604" w14:textId="77777777" w:rsidR="002C7C18" w:rsidRPr="002C7C18" w:rsidRDefault="002C7C18" w:rsidP="002C7C18">
      <w:pPr>
        <w:pStyle w:val="NoSpacing"/>
        <w:widowControl w:val="0"/>
        <w:spacing w:line="240" w:lineRule="atLeast"/>
        <w:rPr>
          <w:rFonts w:ascii="Georgia" w:hAnsi="Georgia"/>
          <w:sz w:val="20"/>
          <w:szCs w:val="20"/>
          <w:lang w:val="tr-TR"/>
        </w:rPr>
      </w:pPr>
      <w:r w:rsidRPr="002C7C18">
        <w:rPr>
          <w:rFonts w:ascii="Georgia" w:hAnsi="Georgia" w:cs="Arial"/>
          <w:sz w:val="20"/>
          <w:szCs w:val="20"/>
          <w:lang w:val="tr-TR"/>
        </w:rPr>
        <w:t xml:space="preserve">Dünya Katılım Bankası A.Ş. </w:t>
      </w:r>
      <w:r w:rsidRPr="002C7C18">
        <w:rPr>
          <w:rFonts w:ascii="Georgia" w:hAnsi="Georgia"/>
          <w:sz w:val="20"/>
          <w:szCs w:val="20"/>
          <w:lang w:val="tr-TR"/>
        </w:rPr>
        <w:t>Genel Kurulu’na</w:t>
      </w:r>
    </w:p>
    <w:p w14:paraId="4E7713D7" w14:textId="77777777" w:rsidR="002C7C18" w:rsidRPr="002C7C18" w:rsidRDefault="002C7C18" w:rsidP="002C7C18">
      <w:pPr>
        <w:pStyle w:val="NoSpacing"/>
        <w:widowControl w:val="0"/>
        <w:spacing w:line="240" w:lineRule="atLeast"/>
        <w:rPr>
          <w:rFonts w:ascii="Georgia" w:hAnsi="Georgia"/>
          <w:sz w:val="20"/>
          <w:szCs w:val="20"/>
          <w:lang w:val="tr-TR"/>
        </w:rPr>
      </w:pPr>
    </w:p>
    <w:p w14:paraId="4940F785" w14:textId="77777777" w:rsidR="002C7C18" w:rsidRPr="002C7C18" w:rsidRDefault="002C7C18" w:rsidP="002C7C18">
      <w:pPr>
        <w:pStyle w:val="Text"/>
        <w:widowControl w:val="0"/>
        <w:spacing w:line="240" w:lineRule="atLeast"/>
        <w:ind w:left="567" w:hanging="567"/>
        <w:contextualSpacing/>
        <w:jc w:val="left"/>
        <w:rPr>
          <w:rFonts w:ascii="Georgia" w:hAnsi="Georgia" w:cs="Arial"/>
          <w:b/>
          <w:color w:val="auto"/>
          <w:sz w:val="20"/>
          <w:szCs w:val="20"/>
          <w:lang w:val="tr-TR"/>
        </w:rPr>
      </w:pPr>
      <w:r w:rsidRPr="002C7C18">
        <w:rPr>
          <w:rFonts w:ascii="Georgia" w:hAnsi="Georgia" w:cs="Arial"/>
          <w:b/>
          <w:color w:val="auto"/>
          <w:sz w:val="20"/>
          <w:szCs w:val="20"/>
          <w:lang w:val="tr-TR"/>
        </w:rPr>
        <w:t xml:space="preserve">A. </w:t>
      </w:r>
      <w:r w:rsidRPr="002C7C18">
        <w:rPr>
          <w:rFonts w:ascii="Georgia" w:hAnsi="Georgia" w:cs="Arial"/>
          <w:b/>
          <w:color w:val="auto"/>
          <w:sz w:val="20"/>
          <w:szCs w:val="20"/>
          <w:lang w:val="tr-TR"/>
        </w:rPr>
        <w:tab/>
        <w:t xml:space="preserve">Konsolide Olmayan Finansal Tabloların Bağımsız Denetimi </w:t>
      </w:r>
    </w:p>
    <w:p w14:paraId="5C64900B" w14:textId="77777777" w:rsidR="002C7C18" w:rsidRPr="002C7C18" w:rsidRDefault="002C7C18" w:rsidP="002C7C18">
      <w:pPr>
        <w:pStyle w:val="Text"/>
        <w:widowControl w:val="0"/>
        <w:spacing w:line="240" w:lineRule="atLeast"/>
        <w:contextualSpacing/>
        <w:jc w:val="left"/>
        <w:rPr>
          <w:rFonts w:ascii="Georgia" w:hAnsi="Georgia" w:cs="Arial"/>
          <w:b/>
          <w:color w:val="auto"/>
          <w:sz w:val="20"/>
          <w:szCs w:val="20"/>
          <w:lang w:val="tr-TR"/>
        </w:rPr>
      </w:pPr>
    </w:p>
    <w:p w14:paraId="18F6D0F6" w14:textId="77777777" w:rsidR="002C7C18" w:rsidRPr="002C7C18" w:rsidRDefault="002C7C18" w:rsidP="002C7C18">
      <w:pPr>
        <w:pStyle w:val="Text"/>
        <w:widowControl w:val="0"/>
        <w:numPr>
          <w:ilvl w:val="0"/>
          <w:numId w:val="91"/>
        </w:numPr>
        <w:snapToGrid/>
        <w:spacing w:line="240" w:lineRule="atLeast"/>
        <w:ind w:left="567" w:hanging="567"/>
        <w:contextualSpacing/>
        <w:jc w:val="left"/>
        <w:rPr>
          <w:rFonts w:ascii="Georgia" w:hAnsi="Georgia" w:cs="Arial"/>
          <w:b/>
          <w:color w:val="auto"/>
          <w:sz w:val="20"/>
          <w:szCs w:val="20"/>
          <w:lang w:val="tr-TR"/>
        </w:rPr>
      </w:pPr>
      <w:r w:rsidRPr="002C7C18">
        <w:rPr>
          <w:rFonts w:ascii="Georgia" w:hAnsi="Georgia" w:cs="Arial"/>
          <w:b/>
          <w:color w:val="auto"/>
          <w:sz w:val="20"/>
          <w:szCs w:val="20"/>
          <w:lang w:val="tr-TR"/>
        </w:rPr>
        <w:t>Görüş</w:t>
      </w:r>
    </w:p>
    <w:p w14:paraId="4FBB3479" w14:textId="77777777" w:rsidR="002C7C18" w:rsidRPr="002C7C18" w:rsidRDefault="002C7C18" w:rsidP="002C7C18">
      <w:pPr>
        <w:pStyle w:val="Text"/>
        <w:widowControl w:val="0"/>
        <w:spacing w:line="240" w:lineRule="atLeast"/>
        <w:contextualSpacing/>
        <w:jc w:val="left"/>
        <w:rPr>
          <w:rFonts w:ascii="Georgia" w:hAnsi="Georgia" w:cs="Arial"/>
          <w:b/>
          <w:color w:val="auto"/>
          <w:sz w:val="20"/>
          <w:szCs w:val="20"/>
          <w:lang w:val="tr-TR"/>
        </w:rPr>
      </w:pPr>
    </w:p>
    <w:p w14:paraId="5BD8EE41" w14:textId="77777777" w:rsidR="002C7C18" w:rsidRPr="002C7C18" w:rsidRDefault="002C7C18" w:rsidP="002C7C18">
      <w:pPr>
        <w:pStyle w:val="Text"/>
        <w:widowControl w:val="0"/>
        <w:spacing w:line="240" w:lineRule="atLeast"/>
        <w:jc w:val="left"/>
        <w:rPr>
          <w:rFonts w:ascii="Georgia" w:hAnsi="Georgia" w:cs="Arial"/>
          <w:color w:val="auto"/>
          <w:sz w:val="20"/>
          <w:szCs w:val="20"/>
          <w:lang w:val="tr-TR"/>
        </w:rPr>
      </w:pPr>
      <w:r w:rsidRPr="002C7C18">
        <w:rPr>
          <w:rFonts w:ascii="Georgia" w:hAnsi="Georgia" w:cs="Arial"/>
          <w:color w:val="auto"/>
          <w:sz w:val="20"/>
          <w:szCs w:val="20"/>
          <w:lang w:val="tr-TR"/>
        </w:rPr>
        <w:t xml:space="preserve">Dünya Katılım Bankası </w:t>
      </w:r>
      <w:r w:rsidRPr="002C7C18">
        <w:rPr>
          <w:rFonts w:ascii="Georgia" w:hAnsi="Georgia"/>
          <w:color w:val="auto"/>
          <w:sz w:val="20"/>
          <w:szCs w:val="20"/>
          <w:lang w:val="tr-TR"/>
        </w:rPr>
        <w:t>A.Ş.</w:t>
      </w:r>
      <w:r w:rsidRPr="002C7C18">
        <w:rPr>
          <w:rFonts w:ascii="Georgia" w:hAnsi="Georgia" w:cs="Arial"/>
          <w:color w:val="auto"/>
          <w:sz w:val="20"/>
          <w:szCs w:val="20"/>
          <w:lang w:val="tr-TR"/>
        </w:rPr>
        <w:t>’</w:t>
      </w:r>
      <w:proofErr w:type="spellStart"/>
      <w:r w:rsidRPr="002C7C18">
        <w:rPr>
          <w:rFonts w:ascii="Georgia" w:hAnsi="Georgia" w:cs="Arial"/>
          <w:color w:val="auto"/>
          <w:sz w:val="20"/>
          <w:szCs w:val="20"/>
          <w:lang w:val="tr-TR"/>
        </w:rPr>
        <w:t>nin</w:t>
      </w:r>
      <w:proofErr w:type="spellEnd"/>
      <w:r w:rsidRPr="002C7C18">
        <w:rPr>
          <w:rFonts w:ascii="Georgia" w:hAnsi="Georgia" w:cs="Arial"/>
          <w:color w:val="auto"/>
          <w:sz w:val="20"/>
          <w:szCs w:val="20"/>
          <w:lang w:val="tr-TR"/>
        </w:rPr>
        <w:t xml:space="preserve"> (“Banka”) 31 Aralık 2024 tarihli konsolide olmayan bilançosu ile aynı tarihte sona eren hesap dönemine ait; konsolide olmayan kar veya zarar tablosu, konsolide olmayan kar veya zarar ve diğer kapsamlı gelir tablosu, konsolide olmayan özkaynaklar değişim tablosu ve konsolide olmayan nakit akış tablosu ile önemli muhasebe politikalarının özeti de dahil olmak üzere konsolide olmayan finansal tablo dipnotlarından oluşan konsolide olmayan finansal tablolarını denetlemiş bulunuyoruz.</w:t>
      </w:r>
    </w:p>
    <w:p w14:paraId="2C392DD3" w14:textId="77777777" w:rsidR="002C7C18" w:rsidRPr="002C7C18" w:rsidRDefault="002C7C18" w:rsidP="002C7C18">
      <w:pPr>
        <w:pStyle w:val="Text"/>
        <w:widowControl w:val="0"/>
        <w:spacing w:line="240" w:lineRule="atLeast"/>
        <w:jc w:val="left"/>
        <w:rPr>
          <w:rFonts w:ascii="Georgia" w:hAnsi="Georgia" w:cs="Arial"/>
          <w:color w:val="auto"/>
          <w:sz w:val="20"/>
          <w:szCs w:val="20"/>
          <w:lang w:val="tr-TR"/>
        </w:rPr>
      </w:pPr>
    </w:p>
    <w:p w14:paraId="289FB4F2" w14:textId="77777777" w:rsidR="002C7C18" w:rsidRPr="002C7C18" w:rsidRDefault="002C7C18" w:rsidP="002C7C18">
      <w:pPr>
        <w:pStyle w:val="Text"/>
        <w:widowControl w:val="0"/>
        <w:spacing w:line="240" w:lineRule="atLeast"/>
        <w:jc w:val="left"/>
        <w:rPr>
          <w:rFonts w:ascii="Georgia" w:hAnsi="Georgia" w:cs="Arial"/>
          <w:color w:val="auto"/>
          <w:sz w:val="20"/>
          <w:szCs w:val="20"/>
          <w:lang w:val="tr-TR"/>
        </w:rPr>
      </w:pPr>
      <w:r w:rsidRPr="002C7C18">
        <w:rPr>
          <w:rFonts w:ascii="Georgia" w:hAnsi="Georgia" w:cs="Arial"/>
          <w:color w:val="auto"/>
          <w:sz w:val="20"/>
          <w:szCs w:val="20"/>
          <w:lang w:val="tr-TR"/>
        </w:rPr>
        <w:t xml:space="preserve">Görüşümüze göre ilişikteki konsolide olmayan finansal tablolar, Banka’nın 31 Aralık 2024 tarihi itibarıyla konsolide olmayan finansal durumunu ve aynı tarihte sona eren hesap dönemine ait konsolide olmayan finansal performansını ve konsolide olmayan nakit akışlarını 1 Kasım 2006 tarihli ve 26333 sayılı Resmi </w:t>
      </w:r>
      <w:proofErr w:type="spellStart"/>
      <w:r w:rsidRPr="002C7C18">
        <w:rPr>
          <w:rFonts w:ascii="Georgia" w:hAnsi="Georgia" w:cs="Arial"/>
          <w:color w:val="auto"/>
          <w:sz w:val="20"/>
          <w:szCs w:val="20"/>
          <w:lang w:val="tr-TR"/>
        </w:rPr>
        <w:t>Gazete’de</w:t>
      </w:r>
      <w:proofErr w:type="spellEnd"/>
      <w:r w:rsidRPr="002C7C18">
        <w:rPr>
          <w:rFonts w:ascii="Georgia" w:hAnsi="Georgia" w:cs="Arial"/>
          <w:color w:val="auto"/>
          <w:sz w:val="20"/>
          <w:szCs w:val="20"/>
          <w:lang w:val="tr-TR"/>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w:t>
      </w:r>
      <w:proofErr w:type="spellStart"/>
      <w:r w:rsidRPr="002C7C18">
        <w:rPr>
          <w:rFonts w:ascii="Georgia" w:hAnsi="Georgia" w:cs="Arial"/>
          <w:color w:val="auto"/>
          <w:sz w:val="20"/>
          <w:szCs w:val="20"/>
          <w:lang w:val="tr-TR"/>
        </w:rPr>
        <w:t>TFRS”ler</w:t>
      </w:r>
      <w:proofErr w:type="spellEnd"/>
      <w:r w:rsidRPr="002C7C18">
        <w:rPr>
          <w:rFonts w:ascii="Georgia" w:hAnsi="Georgia" w:cs="Arial"/>
          <w:color w:val="auto"/>
          <w:sz w:val="20"/>
          <w:szCs w:val="20"/>
          <w:lang w:val="tr-TR"/>
        </w:rPr>
        <w:t xml:space="preserve">) hükümlerini içeren; “BDDK Muhasebe ve Finansal Raporlama </w:t>
      </w:r>
      <w:proofErr w:type="spellStart"/>
      <w:r w:rsidRPr="002C7C18">
        <w:rPr>
          <w:rFonts w:ascii="Georgia" w:hAnsi="Georgia" w:cs="Arial"/>
          <w:color w:val="auto"/>
          <w:sz w:val="20"/>
          <w:szCs w:val="20"/>
          <w:lang w:val="tr-TR"/>
        </w:rPr>
        <w:t>Mevzuatı’na</w:t>
      </w:r>
      <w:proofErr w:type="spellEnd"/>
      <w:r w:rsidRPr="002C7C18">
        <w:rPr>
          <w:rFonts w:ascii="Georgia" w:hAnsi="Georgia" w:cs="Arial"/>
          <w:color w:val="auto"/>
          <w:sz w:val="20"/>
          <w:szCs w:val="20"/>
          <w:lang w:val="tr-TR"/>
        </w:rPr>
        <w:t>” uygun olarak tüm önemli yönleriyle gerçeğe uygun bir biçimde sunmaktadır.</w:t>
      </w:r>
    </w:p>
    <w:p w14:paraId="11ED71B9" w14:textId="77777777" w:rsidR="002C7C18" w:rsidRPr="002C7C18" w:rsidRDefault="002C7C18" w:rsidP="002C7C18">
      <w:pPr>
        <w:pStyle w:val="Text"/>
        <w:widowControl w:val="0"/>
        <w:spacing w:line="240" w:lineRule="atLeast"/>
        <w:contextualSpacing/>
        <w:jc w:val="left"/>
        <w:rPr>
          <w:rFonts w:ascii="Georgia" w:hAnsi="Georgia" w:cs="Arial"/>
          <w:color w:val="auto"/>
          <w:sz w:val="20"/>
          <w:szCs w:val="20"/>
          <w:lang w:val="tr-TR"/>
        </w:rPr>
      </w:pPr>
    </w:p>
    <w:p w14:paraId="5D307676" w14:textId="77777777" w:rsidR="002C7C18" w:rsidRPr="002C7C18" w:rsidRDefault="002C7C18" w:rsidP="002C7C18">
      <w:pPr>
        <w:pStyle w:val="Text"/>
        <w:widowControl w:val="0"/>
        <w:numPr>
          <w:ilvl w:val="0"/>
          <w:numId w:val="91"/>
        </w:numPr>
        <w:snapToGrid/>
        <w:spacing w:line="240" w:lineRule="atLeast"/>
        <w:ind w:left="567" w:hanging="567"/>
        <w:contextualSpacing/>
        <w:jc w:val="left"/>
        <w:rPr>
          <w:rFonts w:ascii="Georgia" w:hAnsi="Georgia" w:cs="Arial"/>
          <w:b/>
          <w:color w:val="auto"/>
          <w:sz w:val="20"/>
          <w:szCs w:val="20"/>
          <w:lang w:val="tr-TR"/>
        </w:rPr>
      </w:pPr>
      <w:r w:rsidRPr="002C7C18">
        <w:rPr>
          <w:rFonts w:ascii="Georgia" w:hAnsi="Georgia" w:cs="Arial"/>
          <w:b/>
          <w:color w:val="auto"/>
          <w:sz w:val="20"/>
          <w:szCs w:val="20"/>
          <w:lang w:val="tr-TR"/>
        </w:rPr>
        <w:t xml:space="preserve">Görüşün Dayanağı </w:t>
      </w:r>
    </w:p>
    <w:p w14:paraId="273D65CF" w14:textId="77777777" w:rsidR="002C7C18" w:rsidRPr="002C7C18" w:rsidRDefault="002C7C18" w:rsidP="002C7C18">
      <w:pPr>
        <w:pStyle w:val="Text"/>
        <w:widowControl w:val="0"/>
        <w:spacing w:line="240" w:lineRule="atLeast"/>
        <w:contextualSpacing/>
        <w:jc w:val="left"/>
        <w:rPr>
          <w:rFonts w:ascii="Georgia" w:hAnsi="Georgia" w:cs="Arial"/>
          <w:b/>
          <w:color w:val="auto"/>
          <w:sz w:val="20"/>
          <w:szCs w:val="20"/>
          <w:lang w:val="tr-TR"/>
        </w:rPr>
      </w:pPr>
    </w:p>
    <w:p w14:paraId="797780F9" w14:textId="77777777" w:rsidR="002C7C18" w:rsidRPr="002C7C18" w:rsidRDefault="002C7C18" w:rsidP="002C7C18">
      <w:pPr>
        <w:pStyle w:val="Text"/>
        <w:widowControl w:val="0"/>
        <w:spacing w:line="240" w:lineRule="atLeast"/>
        <w:contextualSpacing/>
        <w:jc w:val="left"/>
        <w:rPr>
          <w:rFonts w:ascii="Georgia" w:hAnsi="Georgia" w:cs="Arial"/>
          <w:b/>
          <w:color w:val="auto"/>
          <w:sz w:val="20"/>
          <w:szCs w:val="20"/>
          <w:lang w:val="tr-TR"/>
        </w:rPr>
      </w:pPr>
      <w:r w:rsidRPr="002C7C18">
        <w:rPr>
          <w:rFonts w:ascii="Georgia" w:hAnsi="Georgia" w:cs="Arial"/>
          <w:color w:val="auto"/>
          <w:sz w:val="20"/>
          <w:szCs w:val="20"/>
          <w:lang w:val="tr-TR"/>
        </w:rPr>
        <w:t xml:space="preserve">Yaptığımız bağımsız denetim, BDDK tarafından 2 Nisan 2015 tarihli 29314 sayılı </w:t>
      </w:r>
      <w:proofErr w:type="gramStart"/>
      <w:r w:rsidRPr="002C7C18">
        <w:rPr>
          <w:rFonts w:ascii="Georgia" w:hAnsi="Georgia" w:cs="Arial"/>
          <w:color w:val="auto"/>
          <w:sz w:val="20"/>
          <w:szCs w:val="20"/>
          <w:lang w:val="tr-TR"/>
        </w:rPr>
        <w:t>Resmi</w:t>
      </w:r>
      <w:proofErr w:type="gramEnd"/>
      <w:r w:rsidRPr="002C7C18">
        <w:rPr>
          <w:rFonts w:ascii="Georgia" w:hAnsi="Georgia" w:cs="Arial"/>
          <w:color w:val="auto"/>
          <w:sz w:val="20"/>
          <w:szCs w:val="20"/>
          <w:lang w:val="tr-TR"/>
        </w:rPr>
        <w:t xml:space="preserve"> Gazete’ de yayımlanan “Bankaların Bağımsız Denetimi Hakkında Yönetmelik” ve Kamu Gözetimi, Muhasebe ve Denetim Standartları Kurumu (“KGK”) tarafından yayımlanan Türkiye Denetim Standartları’nın bir parçası olan Bağımsız Denetim Standartları’na (“</w:t>
      </w:r>
      <w:proofErr w:type="spellStart"/>
      <w:r w:rsidRPr="002C7C18">
        <w:rPr>
          <w:rFonts w:ascii="Georgia" w:hAnsi="Georgia" w:cs="Arial"/>
          <w:color w:val="auto"/>
          <w:sz w:val="20"/>
          <w:szCs w:val="20"/>
          <w:lang w:val="tr-TR"/>
        </w:rPr>
        <w:t>BDS’lere</w:t>
      </w:r>
      <w:proofErr w:type="spellEnd"/>
      <w:r w:rsidRPr="002C7C18">
        <w:rPr>
          <w:rFonts w:ascii="Georgia" w:hAnsi="Georgia" w:cs="Arial"/>
          <w:color w:val="auto"/>
          <w:sz w:val="20"/>
          <w:szCs w:val="20"/>
          <w:lang w:val="tr-TR"/>
        </w:rPr>
        <w:t>”) uygun olarak yürütülmüştür. Bu standartlar kapsamındaki sorumluluklarımız, raporumuzun “Bağımsız Denetçinin Konsolide Olmayan Finansal Tabloların Bağımsız Denetimine İlişkin Sorumlulukları” bölümünde ayrıntılı bir şekilde açıklanmıştır. KGK tarafından yayımlanan Bağımsız Denetçiler için Etik Kurallar (Bağımsızlık Standartları dahil) (“Etik Kurallar”) ile konsolide olmayan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789BDB4C" w14:textId="77777777" w:rsidR="002C7C18" w:rsidRPr="002C7C18" w:rsidRDefault="002C7C18" w:rsidP="002C7C18">
      <w:pPr>
        <w:spacing w:line="240" w:lineRule="atLeast"/>
        <w:rPr>
          <w:rFonts w:ascii="Georgia" w:hAnsi="Georgia"/>
          <w:szCs w:val="20"/>
        </w:rPr>
      </w:pPr>
    </w:p>
    <w:p w14:paraId="0E38E2C8" w14:textId="77777777" w:rsidR="002C7C18" w:rsidRPr="002C7C18" w:rsidRDefault="002C7C18" w:rsidP="002C7C18">
      <w:pPr>
        <w:pStyle w:val="NoSpacing"/>
        <w:widowControl w:val="0"/>
        <w:numPr>
          <w:ilvl w:val="0"/>
          <w:numId w:val="91"/>
        </w:numPr>
        <w:spacing w:line="240" w:lineRule="atLeast"/>
        <w:ind w:left="567" w:hanging="567"/>
        <w:rPr>
          <w:rFonts w:ascii="Georgia" w:hAnsi="Georgia"/>
          <w:b/>
          <w:sz w:val="20"/>
          <w:szCs w:val="20"/>
          <w:lang w:val="tr-TR"/>
        </w:rPr>
      </w:pPr>
      <w:r w:rsidRPr="002C7C18">
        <w:rPr>
          <w:rFonts w:ascii="Georgia" w:hAnsi="Georgia"/>
          <w:b/>
          <w:sz w:val="20"/>
          <w:szCs w:val="20"/>
          <w:lang w:val="tr-TR"/>
        </w:rPr>
        <w:t>Dikkat Çekilen Husus</w:t>
      </w:r>
    </w:p>
    <w:p w14:paraId="3760C2FC" w14:textId="77777777" w:rsidR="002C7C18" w:rsidRPr="002C7C18" w:rsidRDefault="002C7C18" w:rsidP="002C7C18">
      <w:pPr>
        <w:pStyle w:val="NoSpacing"/>
        <w:widowControl w:val="0"/>
        <w:spacing w:line="240" w:lineRule="atLeast"/>
        <w:rPr>
          <w:rFonts w:ascii="Georgia" w:hAnsi="Georgia"/>
          <w:b/>
          <w:sz w:val="20"/>
          <w:szCs w:val="20"/>
          <w:lang w:val="tr-TR"/>
        </w:rPr>
      </w:pPr>
    </w:p>
    <w:p w14:paraId="16251D75" w14:textId="77777777" w:rsidR="002C7C18" w:rsidRPr="002C7C18" w:rsidRDefault="002C7C18" w:rsidP="002C7C18">
      <w:pPr>
        <w:pStyle w:val="NoSpacing"/>
        <w:spacing w:line="240" w:lineRule="atLeast"/>
        <w:rPr>
          <w:rFonts w:ascii="Georgia" w:hAnsi="Georgia"/>
          <w:sz w:val="20"/>
          <w:szCs w:val="20"/>
          <w:lang w:val="tr-TR"/>
        </w:rPr>
      </w:pPr>
      <w:r w:rsidRPr="002C7C18">
        <w:rPr>
          <w:rFonts w:ascii="Georgia" w:hAnsi="Georgia"/>
          <w:sz w:val="20"/>
          <w:szCs w:val="20"/>
          <w:lang w:val="tr-TR"/>
        </w:rPr>
        <w:t>İlişikteki konsolide olmayan finansal tablolara ilişkin açıklama ve dipnotlar Üçüncü Bölüm I. Kısım’da “Sunum Esaslarına İlişkin Açıklamalar” bölümünde karşılaştırmalı bilgilere ilişkin yer alan hususa dikkat çekeriz. Bu husus, tarafımızca verilen görüşü etkilememektedir.</w:t>
      </w:r>
    </w:p>
    <w:p w14:paraId="28E7D82A" w14:textId="77777777" w:rsidR="002C7C18" w:rsidRPr="002C7C18" w:rsidRDefault="002C7C18" w:rsidP="002C7C18">
      <w:pPr>
        <w:pStyle w:val="NoSpacing"/>
        <w:widowControl w:val="0"/>
        <w:spacing w:line="240" w:lineRule="atLeast"/>
        <w:ind w:left="567"/>
        <w:rPr>
          <w:rFonts w:ascii="Georgia" w:hAnsi="Georgia"/>
          <w:b/>
          <w:sz w:val="20"/>
          <w:szCs w:val="20"/>
          <w:lang w:val="tr-TR"/>
        </w:rPr>
        <w:sectPr w:rsidR="002C7C18" w:rsidRPr="002C7C18" w:rsidSect="002C7C18">
          <w:headerReference w:type="even" r:id="rId10"/>
          <w:headerReference w:type="default" r:id="rId11"/>
          <w:footerReference w:type="default" r:id="rId12"/>
          <w:pgSz w:w="12240" w:h="15840" w:code="1"/>
          <w:pgMar w:top="3136" w:right="851" w:bottom="1418" w:left="1985" w:header="567" w:footer="567" w:gutter="0"/>
          <w:cols w:space="720"/>
          <w:docGrid w:linePitch="360"/>
        </w:sectPr>
      </w:pPr>
    </w:p>
    <w:p w14:paraId="615C81BF" w14:textId="77777777" w:rsidR="002C7C18" w:rsidRPr="002C7C18" w:rsidRDefault="002C7C18" w:rsidP="002C7C18">
      <w:pPr>
        <w:pStyle w:val="NoSpacing"/>
        <w:widowControl w:val="0"/>
        <w:numPr>
          <w:ilvl w:val="0"/>
          <w:numId w:val="91"/>
        </w:numPr>
        <w:spacing w:line="260" w:lineRule="atLeast"/>
        <w:ind w:left="567" w:hanging="567"/>
        <w:rPr>
          <w:rFonts w:ascii="Georgia" w:hAnsi="Georgia"/>
          <w:b/>
          <w:sz w:val="20"/>
          <w:szCs w:val="20"/>
          <w:lang w:val="tr-TR"/>
        </w:rPr>
      </w:pPr>
      <w:r w:rsidRPr="002C7C18">
        <w:rPr>
          <w:rFonts w:ascii="Georgia" w:hAnsi="Georgia"/>
          <w:b/>
          <w:sz w:val="20"/>
          <w:szCs w:val="20"/>
          <w:lang w:val="tr-TR"/>
        </w:rPr>
        <w:lastRenderedPageBreak/>
        <w:t>Kilit Denetim Konuları</w:t>
      </w:r>
    </w:p>
    <w:p w14:paraId="34EA68F5" w14:textId="77777777" w:rsidR="002C7C18" w:rsidRPr="002C7C18" w:rsidRDefault="002C7C18" w:rsidP="002C7C18">
      <w:pPr>
        <w:pStyle w:val="NoSpacing"/>
        <w:widowControl w:val="0"/>
        <w:spacing w:line="260" w:lineRule="atLeast"/>
        <w:rPr>
          <w:rFonts w:ascii="Georgia" w:hAnsi="Georgia"/>
          <w:b/>
          <w:sz w:val="20"/>
          <w:szCs w:val="20"/>
          <w:lang w:val="tr-TR"/>
        </w:rPr>
      </w:pPr>
    </w:p>
    <w:p w14:paraId="1FC9606A" w14:textId="77777777" w:rsidR="002C7C18" w:rsidRPr="002C7C18" w:rsidRDefault="002C7C18" w:rsidP="002C7C18">
      <w:pPr>
        <w:pStyle w:val="NoSpacing"/>
        <w:widowControl w:val="0"/>
        <w:spacing w:line="260" w:lineRule="atLeast"/>
        <w:rPr>
          <w:rFonts w:ascii="Georgia" w:hAnsi="Georgia"/>
          <w:b/>
          <w:sz w:val="20"/>
          <w:szCs w:val="20"/>
          <w:lang w:val="tr-TR"/>
        </w:rPr>
      </w:pPr>
      <w:r w:rsidRPr="002C7C18">
        <w:rPr>
          <w:rFonts w:ascii="Georgia" w:hAnsi="Georgia"/>
          <w:sz w:val="20"/>
          <w:szCs w:val="20"/>
          <w:lang w:val="tr-TR"/>
        </w:rPr>
        <w:t>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bildirmiyoruz.</w:t>
      </w:r>
    </w:p>
    <w:p w14:paraId="0B847B15" w14:textId="77777777" w:rsidR="002C7C18" w:rsidRPr="002C7C18" w:rsidRDefault="002C7C18" w:rsidP="002C7C18">
      <w:pPr>
        <w:pStyle w:val="NoSpacing"/>
        <w:widowControl w:val="0"/>
        <w:spacing w:line="260" w:lineRule="atLeast"/>
        <w:rPr>
          <w:rFonts w:ascii="Georgia" w:hAnsi="Georgia"/>
          <w:b/>
          <w:sz w:val="20"/>
          <w:szCs w:val="20"/>
          <w:lang w:val="tr-T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4A0" w:firstRow="1" w:lastRow="0" w:firstColumn="1" w:lastColumn="0" w:noHBand="0" w:noVBand="1"/>
      </w:tblPr>
      <w:tblGrid>
        <w:gridCol w:w="4902"/>
        <w:gridCol w:w="4492"/>
      </w:tblGrid>
      <w:tr w:rsidR="002C7C18" w:rsidRPr="002C7C18" w14:paraId="7AE9B762" w14:textId="77777777" w:rsidTr="002C7C18">
        <w:trPr>
          <w:trHeight w:val="57"/>
          <w:tblHeader/>
        </w:trPr>
        <w:tc>
          <w:tcPr>
            <w:tcW w:w="2609" w:type="pct"/>
            <w:shd w:val="clear" w:color="auto" w:fill="auto"/>
            <w:vAlign w:val="bottom"/>
            <w:hideMark/>
          </w:tcPr>
          <w:p w14:paraId="74728D6C" w14:textId="77777777" w:rsidR="002C7C18" w:rsidRPr="002C7C18" w:rsidRDefault="002C7C18" w:rsidP="002C7C18">
            <w:pPr>
              <w:widowControl w:val="0"/>
              <w:spacing w:line="260" w:lineRule="atLeast"/>
              <w:rPr>
                <w:rFonts w:ascii="Georgia" w:eastAsia="Arial" w:hAnsi="Georgia" w:cs="Arial"/>
                <w:b/>
                <w:i/>
                <w:szCs w:val="20"/>
              </w:rPr>
            </w:pPr>
            <w:r w:rsidRPr="002C7C18">
              <w:rPr>
                <w:rFonts w:ascii="Georgia" w:eastAsia="Arial" w:hAnsi="Georgia" w:cs="Arial"/>
                <w:b/>
                <w:i/>
                <w:color w:val="000000"/>
                <w:szCs w:val="20"/>
              </w:rPr>
              <w:t>Kilit Denetim Konusu</w:t>
            </w:r>
          </w:p>
        </w:tc>
        <w:tc>
          <w:tcPr>
            <w:tcW w:w="2391" w:type="pct"/>
            <w:shd w:val="clear" w:color="auto" w:fill="auto"/>
            <w:vAlign w:val="bottom"/>
            <w:hideMark/>
          </w:tcPr>
          <w:p w14:paraId="69A85C4C" w14:textId="77777777" w:rsidR="002C7C18" w:rsidRPr="002C7C18" w:rsidRDefault="002C7C18" w:rsidP="002C7C18">
            <w:pPr>
              <w:widowControl w:val="0"/>
              <w:spacing w:line="260" w:lineRule="atLeast"/>
              <w:rPr>
                <w:rFonts w:ascii="Georgia" w:eastAsia="Arial" w:hAnsi="Georgia" w:cs="Arial"/>
                <w:b/>
                <w:i/>
                <w:szCs w:val="20"/>
              </w:rPr>
            </w:pPr>
            <w:r w:rsidRPr="002C7C18">
              <w:rPr>
                <w:rFonts w:ascii="Georgia" w:eastAsia="Arial" w:hAnsi="Georgia" w:cs="Arial"/>
                <w:b/>
                <w:i/>
                <w:color w:val="000000"/>
                <w:szCs w:val="20"/>
              </w:rPr>
              <w:t>Konunun Denetimde Nasıl Ele Alındığı</w:t>
            </w:r>
          </w:p>
        </w:tc>
      </w:tr>
      <w:tr w:rsidR="002C7C18" w:rsidRPr="002C7C18" w14:paraId="01AC13C8" w14:textId="77777777" w:rsidTr="002C7C18">
        <w:tc>
          <w:tcPr>
            <w:tcW w:w="2609" w:type="pct"/>
            <w:shd w:val="clear" w:color="auto" w:fill="auto"/>
          </w:tcPr>
          <w:p w14:paraId="732D1A64" w14:textId="77777777" w:rsidR="002C7C18" w:rsidRPr="002C7C18" w:rsidRDefault="002C7C18" w:rsidP="002C7C18">
            <w:pPr>
              <w:widowControl w:val="0"/>
              <w:spacing w:line="260" w:lineRule="atLeast"/>
              <w:rPr>
                <w:rFonts w:ascii="Georgia" w:eastAsia="Arial" w:hAnsi="Georgia" w:cs="Arial"/>
                <w:b/>
                <w:szCs w:val="20"/>
              </w:rPr>
            </w:pPr>
            <w:proofErr w:type="spellStart"/>
            <w:r w:rsidRPr="002C7C18">
              <w:rPr>
                <w:rFonts w:ascii="Georgia" w:eastAsia="Arial" w:hAnsi="Georgia" w:cs="Arial"/>
                <w:b/>
                <w:szCs w:val="20"/>
              </w:rPr>
              <w:t>Kredive</w:t>
            </w:r>
            <w:proofErr w:type="spellEnd"/>
            <w:r w:rsidRPr="002C7C18">
              <w:rPr>
                <w:rFonts w:ascii="Georgia" w:eastAsia="Arial" w:hAnsi="Georgia" w:cs="Arial"/>
                <w:b/>
                <w:szCs w:val="20"/>
              </w:rPr>
              <w:t xml:space="preserve"> alacaklar değer düşüklüğü</w:t>
            </w:r>
          </w:p>
          <w:p w14:paraId="245A6ED5" w14:textId="77777777" w:rsidR="002C7C18" w:rsidRPr="002C7C18" w:rsidRDefault="002C7C18" w:rsidP="002C7C18">
            <w:pPr>
              <w:widowControl w:val="0"/>
              <w:spacing w:line="260" w:lineRule="atLeast"/>
              <w:rPr>
                <w:rFonts w:ascii="Georgia" w:eastAsia="Arial" w:hAnsi="Georgia" w:cs="Arial"/>
                <w:b/>
                <w:szCs w:val="20"/>
              </w:rPr>
            </w:pPr>
          </w:p>
          <w:p w14:paraId="3C5AA8A3" w14:textId="77777777" w:rsidR="002C7C18" w:rsidRPr="002C7C18" w:rsidRDefault="002C7C18" w:rsidP="002C7C18">
            <w:pPr>
              <w:widowControl w:val="0"/>
              <w:spacing w:line="260" w:lineRule="atLeast"/>
              <w:rPr>
                <w:rFonts w:ascii="Georgia" w:eastAsia="Arial" w:hAnsi="Georgia" w:cs="Arial"/>
                <w:szCs w:val="20"/>
              </w:rPr>
            </w:pPr>
            <w:r w:rsidRPr="002C7C18">
              <w:rPr>
                <w:rFonts w:ascii="Georgia" w:eastAsia="Arial" w:hAnsi="Georgia" w:cs="Arial"/>
                <w:szCs w:val="20"/>
              </w:rPr>
              <w:t>Banka’nın 31 Aralık 2024 tarihli konsolide olmayan finansal tablolarında aktifinde önemli bir paya sahip olan toplam 23.033.822 bin TL kredi ve alacaklar ile bunlara ilişkin ayrılmış olan toplam 369.935 bin TL genel karşılığı bulunmaktadır. Kredi ve alacaklar</w:t>
            </w:r>
            <w:r w:rsidRPr="002C7C18">
              <w:rPr>
                <w:rFonts w:ascii="Georgia" w:hAnsi="Georgia"/>
                <w:szCs w:val="20"/>
              </w:rPr>
              <w:t xml:space="preserve"> </w:t>
            </w:r>
            <w:r w:rsidRPr="002C7C18">
              <w:rPr>
                <w:rFonts w:ascii="Georgia" w:eastAsia="Arial" w:hAnsi="Georgia" w:cs="Arial"/>
                <w:szCs w:val="20"/>
              </w:rPr>
              <w:t>ile ilgili ayrılan karşılıklara ilişkin açıklama ve dipnotlar 31 Aralık 2024 tarihi itibarıyla düzenlenmiş olan ilişikteki konsolide olmayan finansal tabloların Üçüncü Bölüm VII, Dördüncü Bölüm II, Beşinci Bölüm I-6 ve Beşinci Bölüm II-6.a numaralı dipnotlarında yer almaktadır.</w:t>
            </w:r>
          </w:p>
          <w:p w14:paraId="7D044516" w14:textId="77777777" w:rsidR="002C7C18" w:rsidRPr="002C7C18" w:rsidRDefault="002C7C18" w:rsidP="002C7C18">
            <w:pPr>
              <w:widowControl w:val="0"/>
              <w:spacing w:line="260" w:lineRule="atLeast"/>
              <w:rPr>
                <w:rFonts w:ascii="Georgia" w:eastAsia="Arial" w:hAnsi="Georgia" w:cs="Arial"/>
                <w:szCs w:val="20"/>
              </w:rPr>
            </w:pPr>
          </w:p>
          <w:p w14:paraId="27DB4EF6" w14:textId="77777777" w:rsidR="002C7C18" w:rsidRPr="002C7C18" w:rsidRDefault="002C7C18" w:rsidP="002C7C18">
            <w:pPr>
              <w:widowControl w:val="0"/>
              <w:spacing w:line="260" w:lineRule="atLeast"/>
              <w:rPr>
                <w:rFonts w:ascii="Georgia" w:eastAsia="Arial" w:hAnsi="Georgia" w:cs="Arial"/>
                <w:szCs w:val="20"/>
              </w:rPr>
            </w:pPr>
            <w:r w:rsidRPr="002C7C18">
              <w:rPr>
                <w:rFonts w:ascii="Georgia" w:eastAsia="Arial" w:hAnsi="Georgia" w:cs="Arial"/>
                <w:szCs w:val="20"/>
              </w:rPr>
              <w:t>Banka, kredi ve alacaklarını ve değer düşüklüğü karşılıklarını Kredilerin Sınıflandırılması ve Bunlar İçin Ayrılacak Karşılıklara İlişkin Usul ve Esaslar Hakkında Yönetmelik’in TFRS 9 uygulamayan bankalarca dikkate alınması gereken maddelerine göre muhasebeleştirmektedir.</w:t>
            </w:r>
          </w:p>
          <w:p w14:paraId="2370F17C" w14:textId="77777777" w:rsidR="002C7C18" w:rsidRPr="002C7C18" w:rsidRDefault="002C7C18" w:rsidP="002C7C18">
            <w:pPr>
              <w:widowControl w:val="0"/>
              <w:spacing w:line="260" w:lineRule="atLeast"/>
              <w:rPr>
                <w:rFonts w:ascii="Georgia" w:eastAsia="Arial" w:hAnsi="Georgia" w:cs="Arial"/>
                <w:szCs w:val="20"/>
              </w:rPr>
            </w:pPr>
          </w:p>
          <w:p w14:paraId="3EECEBC7" w14:textId="77777777" w:rsidR="002C7C18" w:rsidRPr="002C7C18" w:rsidRDefault="002C7C18" w:rsidP="002C7C18">
            <w:pPr>
              <w:widowControl w:val="0"/>
              <w:spacing w:line="260" w:lineRule="atLeast"/>
              <w:rPr>
                <w:rFonts w:ascii="Georgia" w:eastAsia="Arial" w:hAnsi="Georgia" w:cs="Arial"/>
                <w:b/>
                <w:szCs w:val="20"/>
              </w:rPr>
            </w:pPr>
            <w:r w:rsidRPr="002C7C18">
              <w:rPr>
                <w:rFonts w:ascii="Georgia" w:eastAsia="Arial" w:hAnsi="Georgia" w:cs="Arial"/>
                <w:szCs w:val="20"/>
              </w:rPr>
              <w:t>Denetimimiz esnasında, kredi ve alacakların büyüklüğü, söz konusu kredi ve alacakların mevzuata uygun olarak niteliklerine göre sınıflandırılması ve bunlara ilişkin karşılıklarının belirlenmesi ve yönetim tarafından yapılan yargı ve tahminler bilançoda taşınan karşılık tutarını önemli derecede etkileyeceğinden, söz konusu alan tarafımızca kilit denetim konusu olarak ele alınmıştır.</w:t>
            </w:r>
          </w:p>
        </w:tc>
        <w:tc>
          <w:tcPr>
            <w:tcW w:w="2391" w:type="pct"/>
            <w:shd w:val="clear" w:color="auto" w:fill="auto"/>
          </w:tcPr>
          <w:p w14:paraId="221E00F2" w14:textId="77777777" w:rsidR="002C7C18" w:rsidRPr="002C7C18" w:rsidRDefault="002C7C18" w:rsidP="002C7C18">
            <w:pPr>
              <w:widowControl w:val="0"/>
              <w:spacing w:line="260" w:lineRule="atLeast"/>
              <w:rPr>
                <w:rFonts w:ascii="Georgia" w:hAnsi="Georgia" w:cs="Arial"/>
                <w:szCs w:val="20"/>
              </w:rPr>
            </w:pPr>
          </w:p>
          <w:p w14:paraId="7416FA9C" w14:textId="77777777" w:rsidR="002C7C18" w:rsidRPr="002C7C18" w:rsidRDefault="002C7C18" w:rsidP="002C7C18">
            <w:pPr>
              <w:widowControl w:val="0"/>
              <w:spacing w:line="260" w:lineRule="atLeast"/>
              <w:rPr>
                <w:rFonts w:ascii="Georgia" w:hAnsi="Georgia" w:cs="Arial"/>
                <w:szCs w:val="20"/>
              </w:rPr>
            </w:pPr>
          </w:p>
          <w:p w14:paraId="30992371" w14:textId="77777777" w:rsidR="002C7C18" w:rsidRPr="002C7C18" w:rsidRDefault="002C7C18" w:rsidP="002C7C18">
            <w:pPr>
              <w:widowControl w:val="0"/>
              <w:spacing w:line="260" w:lineRule="atLeast"/>
              <w:rPr>
                <w:rFonts w:ascii="Georgia" w:hAnsi="Georgia" w:cs="Arial"/>
                <w:szCs w:val="20"/>
              </w:rPr>
            </w:pPr>
            <w:r w:rsidRPr="002C7C18">
              <w:rPr>
                <w:rFonts w:ascii="Georgia" w:hAnsi="Georgia" w:cs="Arial"/>
                <w:szCs w:val="20"/>
              </w:rPr>
              <w:t xml:space="preserve">Bu çerçevede gerçekleştirdiğimiz denetim çalışmaları dahilinde kredi ve alacakların niteliklerine göre sınıflandırılmasının ve karşılıkların belirlenmesinin ilgili mevzuat çerçevesinde doğru olarak yapılmasına ilişkin önemli gördüğümüz Banka’nın uygulamakta olduğu kontrolleri değerlendirdik. </w:t>
            </w:r>
          </w:p>
          <w:p w14:paraId="7DF167C2" w14:textId="77777777" w:rsidR="002C7C18" w:rsidRPr="002C7C18" w:rsidRDefault="002C7C18" w:rsidP="002C7C18">
            <w:pPr>
              <w:widowControl w:val="0"/>
              <w:spacing w:line="260" w:lineRule="atLeast"/>
              <w:rPr>
                <w:rFonts w:ascii="Georgia" w:hAnsi="Georgia" w:cs="Arial"/>
                <w:szCs w:val="20"/>
              </w:rPr>
            </w:pPr>
            <w:r w:rsidRPr="002C7C18">
              <w:rPr>
                <w:rFonts w:ascii="Georgia" w:hAnsi="Georgia" w:cs="Arial"/>
                <w:szCs w:val="20"/>
              </w:rPr>
              <w:t xml:space="preserve"> </w:t>
            </w:r>
          </w:p>
          <w:p w14:paraId="31268925" w14:textId="77777777" w:rsidR="002C7C18" w:rsidRPr="002C7C18" w:rsidRDefault="002C7C18" w:rsidP="002C7C18">
            <w:pPr>
              <w:widowControl w:val="0"/>
              <w:spacing w:line="260" w:lineRule="atLeast"/>
              <w:rPr>
                <w:rFonts w:ascii="Georgia" w:hAnsi="Georgia" w:cs="Arial"/>
                <w:szCs w:val="20"/>
              </w:rPr>
            </w:pPr>
            <w:r w:rsidRPr="002C7C18">
              <w:rPr>
                <w:rFonts w:ascii="Georgia" w:hAnsi="Georgia" w:cs="Arial"/>
                <w:szCs w:val="20"/>
              </w:rPr>
              <w:t>Gerçekleştirmiş olduğumuz denetim dahilinde, kredi ve alacakların değer düşüklüğüne uğrayıp uğramadığının tespiti için kredilerden seçtiğimiz bir örneklem kümesini test ederek kredi inceleme süreci gerçekleştirdik.</w:t>
            </w:r>
          </w:p>
          <w:p w14:paraId="2E681A19" w14:textId="77777777" w:rsidR="002C7C18" w:rsidRPr="002C7C18" w:rsidRDefault="002C7C18" w:rsidP="002C7C18">
            <w:pPr>
              <w:widowControl w:val="0"/>
              <w:spacing w:line="260" w:lineRule="atLeast"/>
              <w:rPr>
                <w:rFonts w:ascii="Georgia" w:hAnsi="Georgia" w:cs="Arial"/>
                <w:szCs w:val="20"/>
              </w:rPr>
            </w:pPr>
          </w:p>
          <w:p w14:paraId="6ABDF9C3" w14:textId="77777777" w:rsidR="002C7C18" w:rsidRPr="002C7C18" w:rsidRDefault="002C7C18" w:rsidP="002C7C18">
            <w:pPr>
              <w:widowControl w:val="0"/>
              <w:spacing w:line="260" w:lineRule="atLeast"/>
              <w:rPr>
                <w:rFonts w:ascii="Georgia" w:hAnsi="Georgia" w:cs="Arial"/>
                <w:szCs w:val="20"/>
              </w:rPr>
            </w:pPr>
            <w:r w:rsidRPr="002C7C18">
              <w:rPr>
                <w:rFonts w:ascii="Georgia" w:hAnsi="Georgia" w:cs="Arial"/>
                <w:szCs w:val="20"/>
              </w:rPr>
              <w:t>Mevzuat tarafından belirlenen kriterler çerçevesinde genel karşılık hesaplamasına tabi varlıklar için tesis edilen karşılıkların ilgili hükümlere uygunluğunu kontrol ettik. Banka yönetimi ile yapılan görüşmeler çerçevesinde değer düşüklüğü hesaplamalarına baz teşkil eden temel varsayım ve diğer yargıların makul olup olmadığını değerlendirdik.</w:t>
            </w:r>
          </w:p>
          <w:p w14:paraId="15238F06" w14:textId="77777777" w:rsidR="002C7C18" w:rsidRPr="002C7C18" w:rsidRDefault="002C7C18" w:rsidP="002C7C18">
            <w:pPr>
              <w:widowControl w:val="0"/>
              <w:spacing w:line="260" w:lineRule="atLeast"/>
              <w:rPr>
                <w:rFonts w:ascii="Georgia" w:hAnsi="Georgia" w:cs="Arial"/>
                <w:szCs w:val="20"/>
              </w:rPr>
            </w:pPr>
          </w:p>
          <w:p w14:paraId="1032A336" w14:textId="77777777" w:rsidR="002C7C18" w:rsidRPr="002C7C18" w:rsidRDefault="002C7C18" w:rsidP="002C7C18">
            <w:pPr>
              <w:widowControl w:val="0"/>
              <w:spacing w:line="260" w:lineRule="atLeast"/>
              <w:rPr>
                <w:rFonts w:ascii="Georgia" w:hAnsi="Georgia" w:cs="Arial"/>
                <w:szCs w:val="20"/>
              </w:rPr>
            </w:pPr>
            <w:r w:rsidRPr="002C7C18">
              <w:rPr>
                <w:rFonts w:ascii="Georgia" w:hAnsi="Georgia" w:cs="Arial"/>
                <w:szCs w:val="20"/>
              </w:rPr>
              <w:t>Kredi ve alacaklar değer düşüklüğü karşılıklarına ilişkin finansal tablo dipnotlarında yapılan açıklamaların yeterliliğini değerlendirdik.</w:t>
            </w:r>
          </w:p>
        </w:tc>
      </w:tr>
    </w:tbl>
    <w:p w14:paraId="543F87EA" w14:textId="77777777" w:rsidR="002C7C18" w:rsidRPr="002C7C18" w:rsidRDefault="002C7C18" w:rsidP="002C7C18">
      <w:pPr>
        <w:pStyle w:val="NoSpacing"/>
        <w:widowControl w:val="0"/>
        <w:spacing w:line="260" w:lineRule="atLeast"/>
        <w:rPr>
          <w:rFonts w:ascii="Georgia" w:hAnsi="Georgia"/>
          <w:b/>
          <w:sz w:val="20"/>
          <w:szCs w:val="20"/>
          <w:lang w:val="tr-TR"/>
        </w:rPr>
      </w:pPr>
      <w:r w:rsidRPr="002C7C18">
        <w:rPr>
          <w:rFonts w:ascii="Georgia" w:hAnsi="Georgia"/>
          <w:b/>
          <w:sz w:val="20"/>
          <w:szCs w:val="20"/>
          <w:lang w:val="tr-TR"/>
        </w:rPr>
        <w:br w:type="page"/>
      </w:r>
    </w:p>
    <w:p w14:paraId="244E0CED" w14:textId="77777777" w:rsidR="002C7C18" w:rsidRPr="002C7C18" w:rsidRDefault="002C7C18" w:rsidP="002C7C18">
      <w:pPr>
        <w:pStyle w:val="NoSpacing"/>
        <w:widowControl w:val="0"/>
        <w:numPr>
          <w:ilvl w:val="0"/>
          <w:numId w:val="91"/>
        </w:numPr>
        <w:spacing w:line="290" w:lineRule="atLeast"/>
        <w:ind w:left="567" w:hanging="567"/>
        <w:rPr>
          <w:rFonts w:ascii="Georgia" w:hAnsi="Georgia"/>
          <w:b/>
          <w:sz w:val="20"/>
          <w:szCs w:val="20"/>
          <w:lang w:val="tr-TR"/>
        </w:rPr>
      </w:pPr>
      <w:r w:rsidRPr="002C7C18">
        <w:rPr>
          <w:rFonts w:ascii="Georgia" w:hAnsi="Georgia"/>
          <w:b/>
          <w:sz w:val="20"/>
          <w:szCs w:val="20"/>
          <w:lang w:val="tr-TR"/>
        </w:rPr>
        <w:lastRenderedPageBreak/>
        <w:t>Diğer Husus</w:t>
      </w:r>
    </w:p>
    <w:p w14:paraId="6152AFAB" w14:textId="77777777" w:rsidR="002C7C18" w:rsidRPr="002C7C18" w:rsidRDefault="002C7C18" w:rsidP="002C7C18">
      <w:pPr>
        <w:pStyle w:val="NoSpacing"/>
        <w:widowControl w:val="0"/>
        <w:spacing w:line="290" w:lineRule="atLeast"/>
        <w:rPr>
          <w:rFonts w:ascii="Georgia" w:hAnsi="Georgia"/>
          <w:b/>
          <w:sz w:val="20"/>
          <w:szCs w:val="20"/>
          <w:lang w:val="tr-TR"/>
        </w:rPr>
      </w:pPr>
    </w:p>
    <w:p w14:paraId="3C2A2F94" w14:textId="77777777" w:rsidR="002C7C18" w:rsidRPr="002C7C18" w:rsidRDefault="002C7C18" w:rsidP="002C7C18">
      <w:pPr>
        <w:pStyle w:val="NoSpacing"/>
        <w:widowControl w:val="0"/>
        <w:spacing w:line="290" w:lineRule="atLeast"/>
        <w:rPr>
          <w:rFonts w:ascii="Georgia" w:hAnsi="Georgia"/>
          <w:sz w:val="20"/>
          <w:szCs w:val="20"/>
          <w:lang w:val="tr-TR"/>
        </w:rPr>
      </w:pPr>
      <w:r w:rsidRPr="002C7C18">
        <w:rPr>
          <w:rFonts w:ascii="Georgia" w:hAnsi="Georgia"/>
          <w:sz w:val="20"/>
          <w:szCs w:val="20"/>
          <w:lang w:val="tr-TR"/>
        </w:rPr>
        <w:t xml:space="preserve">Banka’ </w:t>
      </w:r>
      <w:proofErr w:type="spellStart"/>
      <w:r w:rsidRPr="002C7C18">
        <w:rPr>
          <w:rFonts w:ascii="Georgia" w:hAnsi="Georgia"/>
          <w:sz w:val="20"/>
          <w:szCs w:val="20"/>
          <w:lang w:val="tr-TR"/>
        </w:rPr>
        <w:t>nın</w:t>
      </w:r>
      <w:proofErr w:type="spellEnd"/>
      <w:r w:rsidRPr="002C7C18">
        <w:rPr>
          <w:rFonts w:ascii="Georgia" w:hAnsi="Georgia"/>
          <w:sz w:val="20"/>
          <w:szCs w:val="20"/>
          <w:lang w:val="tr-TR"/>
        </w:rPr>
        <w:t xml:space="preserve"> 31 Aralık 2023 tarihinde sona eren hesap dönemine ait Üçüncü Bölüm I. Kısım’da açıklanan sınıflandırmalar öncesi hazırlanan konsolide olmayan finansal tablolarının tam kapsamlı denetimi başka bir bağımsız denetim şirketi tarafından gerçekleştirilmiş olup, söz konusu bağımsız denetim şirketi </w:t>
      </w:r>
      <w:r w:rsidRPr="002C7C18">
        <w:rPr>
          <w:rFonts w:ascii="Georgia" w:hAnsi="Georgia"/>
          <w:sz w:val="20"/>
          <w:szCs w:val="20"/>
          <w:lang w:val="tr-TR"/>
        </w:rPr>
        <w:br/>
        <w:t>27 Şubat 2024 tarihli tam kapsamlı denetim raporunda olumlu görüş bildirmiştir.</w:t>
      </w:r>
    </w:p>
    <w:p w14:paraId="39700F4B" w14:textId="77777777" w:rsidR="002C7C18" w:rsidRPr="002C7C18" w:rsidRDefault="002C7C18" w:rsidP="002C7C18">
      <w:pPr>
        <w:pStyle w:val="NoSpacing"/>
        <w:widowControl w:val="0"/>
        <w:spacing w:line="290" w:lineRule="atLeast"/>
        <w:rPr>
          <w:rFonts w:ascii="Georgia" w:hAnsi="Georgia"/>
          <w:sz w:val="20"/>
          <w:szCs w:val="20"/>
          <w:lang w:val="tr-TR"/>
        </w:rPr>
      </w:pPr>
    </w:p>
    <w:p w14:paraId="1B077183" w14:textId="77777777" w:rsidR="002C7C18" w:rsidRPr="002C7C18" w:rsidRDefault="002C7C18" w:rsidP="002C7C18">
      <w:pPr>
        <w:pStyle w:val="NoSpacing"/>
        <w:widowControl w:val="0"/>
        <w:numPr>
          <w:ilvl w:val="0"/>
          <w:numId w:val="91"/>
        </w:numPr>
        <w:spacing w:line="290" w:lineRule="atLeast"/>
        <w:ind w:left="567" w:hanging="567"/>
        <w:rPr>
          <w:rFonts w:ascii="Georgia" w:hAnsi="Georgia"/>
          <w:b/>
          <w:sz w:val="20"/>
          <w:szCs w:val="20"/>
          <w:lang w:val="tr-TR"/>
        </w:rPr>
      </w:pPr>
      <w:r w:rsidRPr="002C7C18">
        <w:rPr>
          <w:rFonts w:ascii="Georgia" w:hAnsi="Georgia"/>
          <w:b/>
          <w:sz w:val="20"/>
          <w:szCs w:val="20"/>
          <w:lang w:val="tr-TR"/>
        </w:rPr>
        <w:t xml:space="preserve">Yönetimin ve Üst Yönetimden Sorumlu Olanların </w:t>
      </w:r>
      <w:r w:rsidRPr="002C7C18">
        <w:rPr>
          <w:rFonts w:ascii="Georgia" w:hAnsi="Georgia" w:cs="Arial"/>
          <w:b/>
          <w:sz w:val="20"/>
          <w:szCs w:val="20"/>
          <w:lang w:val="tr-TR"/>
        </w:rPr>
        <w:t>Konsolide Olmayan</w:t>
      </w:r>
      <w:r w:rsidRPr="002C7C18">
        <w:rPr>
          <w:rFonts w:ascii="Georgia" w:hAnsi="Georgia" w:cs="Arial"/>
          <w:sz w:val="20"/>
          <w:szCs w:val="20"/>
          <w:lang w:val="tr-TR"/>
        </w:rPr>
        <w:t xml:space="preserve"> </w:t>
      </w:r>
      <w:r w:rsidRPr="002C7C18">
        <w:rPr>
          <w:rFonts w:ascii="Georgia" w:hAnsi="Georgia"/>
          <w:b/>
          <w:sz w:val="20"/>
          <w:szCs w:val="20"/>
          <w:lang w:val="tr-TR"/>
        </w:rPr>
        <w:t xml:space="preserve">Finansal Tablolara İlişkin Sorumlulukları </w:t>
      </w:r>
    </w:p>
    <w:p w14:paraId="079A6A16" w14:textId="77777777" w:rsidR="002C7C18" w:rsidRPr="002C7C18" w:rsidRDefault="002C7C18" w:rsidP="002C7C18">
      <w:pPr>
        <w:pStyle w:val="NoSpacing"/>
        <w:widowControl w:val="0"/>
        <w:spacing w:line="290" w:lineRule="atLeast"/>
        <w:ind w:left="709"/>
        <w:rPr>
          <w:rFonts w:ascii="Georgia" w:hAnsi="Georgia"/>
          <w:b/>
          <w:sz w:val="20"/>
          <w:szCs w:val="20"/>
          <w:lang w:val="tr-TR"/>
        </w:rPr>
      </w:pPr>
    </w:p>
    <w:p w14:paraId="49E48A02" w14:textId="77777777" w:rsidR="002C7C18" w:rsidRPr="002C7C18" w:rsidRDefault="002C7C18" w:rsidP="002C7C18">
      <w:pPr>
        <w:pStyle w:val="NoSpacing"/>
        <w:widowControl w:val="0"/>
        <w:spacing w:line="290" w:lineRule="atLeast"/>
        <w:rPr>
          <w:rFonts w:ascii="Georgia" w:hAnsi="Georgia"/>
          <w:sz w:val="20"/>
          <w:szCs w:val="20"/>
          <w:lang w:val="tr-TR"/>
        </w:rPr>
      </w:pPr>
      <w:r w:rsidRPr="002C7C18">
        <w:rPr>
          <w:rFonts w:ascii="Georgia" w:hAnsi="Georgia"/>
          <w:sz w:val="20"/>
          <w:szCs w:val="20"/>
          <w:lang w:val="tr-TR"/>
        </w:rPr>
        <w:t xml:space="preserve">Banka yönetimi; </w:t>
      </w:r>
      <w:r w:rsidRPr="002C7C18">
        <w:rPr>
          <w:rFonts w:ascii="Georgia" w:hAnsi="Georgia" w:cs="Arial"/>
          <w:sz w:val="20"/>
          <w:szCs w:val="20"/>
          <w:lang w:val="tr-TR"/>
        </w:rPr>
        <w:t xml:space="preserve">konsolide olmayan </w:t>
      </w:r>
      <w:r w:rsidRPr="002C7C18">
        <w:rPr>
          <w:rFonts w:ascii="Georgia" w:hAnsi="Georgia"/>
          <w:sz w:val="20"/>
          <w:szCs w:val="20"/>
          <w:lang w:val="tr-TR"/>
        </w:rPr>
        <w:t xml:space="preserve">finansal tabloların BDDK Muhasebe ve Finansal Raporlama </w:t>
      </w:r>
      <w:proofErr w:type="spellStart"/>
      <w:r w:rsidRPr="002C7C18">
        <w:rPr>
          <w:rFonts w:ascii="Georgia" w:hAnsi="Georgia"/>
          <w:sz w:val="20"/>
          <w:szCs w:val="20"/>
          <w:lang w:val="tr-TR"/>
        </w:rPr>
        <w:t>Mevzuatı’na</w:t>
      </w:r>
      <w:proofErr w:type="spellEnd"/>
      <w:r w:rsidRPr="002C7C18">
        <w:rPr>
          <w:rFonts w:ascii="Georgia" w:hAnsi="Georgia"/>
          <w:sz w:val="20"/>
          <w:szCs w:val="20"/>
          <w:lang w:val="tr-TR"/>
        </w:rPr>
        <w:t xml:space="preserve"> uygun olarak hazırlanmasından, gerçeğe uygun bir biçimde sunumundan ve hata veya hile kaynaklı önemli yanlışlık içermeyecek şekilde hazırlanması için gerekli gördüğü iç kontrolden sorumludur. </w:t>
      </w:r>
    </w:p>
    <w:p w14:paraId="5F8F5B85" w14:textId="77777777" w:rsidR="002C7C18" w:rsidRPr="002C7C18" w:rsidRDefault="002C7C18" w:rsidP="002C7C18">
      <w:pPr>
        <w:pStyle w:val="NoSpacing"/>
        <w:widowControl w:val="0"/>
        <w:spacing w:line="290" w:lineRule="atLeast"/>
        <w:rPr>
          <w:rFonts w:ascii="Georgia" w:hAnsi="Georgia"/>
          <w:sz w:val="20"/>
          <w:szCs w:val="20"/>
          <w:lang w:val="tr-TR"/>
        </w:rPr>
      </w:pPr>
    </w:p>
    <w:p w14:paraId="19B6F3A1" w14:textId="77777777" w:rsidR="002C7C18" w:rsidRPr="002C7C18" w:rsidRDefault="002C7C18" w:rsidP="002C7C18">
      <w:pPr>
        <w:pStyle w:val="NoSpacing"/>
        <w:widowControl w:val="0"/>
        <w:spacing w:line="290" w:lineRule="atLeast"/>
        <w:rPr>
          <w:rFonts w:ascii="Georgia" w:hAnsi="Georgia"/>
          <w:sz w:val="20"/>
          <w:szCs w:val="20"/>
          <w:lang w:val="tr-TR"/>
        </w:rPr>
      </w:pPr>
      <w:r w:rsidRPr="002C7C18">
        <w:rPr>
          <w:rFonts w:ascii="Georgia" w:hAnsi="Georgia" w:cs="Arial"/>
          <w:sz w:val="20"/>
          <w:szCs w:val="20"/>
          <w:lang w:val="tr-TR"/>
        </w:rPr>
        <w:t xml:space="preserve">Konsolide 0lmayan </w:t>
      </w:r>
      <w:r w:rsidRPr="002C7C18">
        <w:rPr>
          <w:rFonts w:ascii="Georgia" w:hAnsi="Georgia"/>
          <w:sz w:val="20"/>
          <w:szCs w:val="20"/>
          <w:lang w:val="tr-TR"/>
        </w:rPr>
        <w:t xml:space="preserve">finansal tabloları hazırlarken yönetim; </w:t>
      </w:r>
      <w:r w:rsidRPr="002C7C18">
        <w:rPr>
          <w:rFonts w:ascii="Georgia" w:hAnsi="Georgia" w:cs="Arial"/>
          <w:sz w:val="20"/>
          <w:szCs w:val="20"/>
          <w:lang w:val="tr-TR"/>
        </w:rPr>
        <w:t xml:space="preserve">Banka’nın </w:t>
      </w:r>
      <w:r w:rsidRPr="002C7C18">
        <w:rPr>
          <w:rFonts w:ascii="Georgia" w:hAnsi="Georgia"/>
          <w:sz w:val="20"/>
          <w:szCs w:val="20"/>
          <w:lang w:val="tr-TR"/>
        </w:rPr>
        <w:t xml:space="preserve">sürekliliğini devam ettirme kabiliyetinin değerlendirilmesinden, gerektiğinde süreklilikle ilgili hususları açıklamaktan ve </w:t>
      </w:r>
      <w:r w:rsidRPr="002C7C18">
        <w:rPr>
          <w:rFonts w:ascii="Georgia" w:hAnsi="Georgia" w:cs="Arial"/>
          <w:sz w:val="20"/>
          <w:szCs w:val="20"/>
          <w:lang w:val="tr-TR"/>
        </w:rPr>
        <w:t>Banka’yı</w:t>
      </w:r>
      <w:r w:rsidRPr="002C7C18">
        <w:rPr>
          <w:rFonts w:ascii="Georgia" w:hAnsi="Georgia"/>
          <w:sz w:val="20"/>
          <w:szCs w:val="20"/>
          <w:lang w:val="tr-TR"/>
        </w:rPr>
        <w:t xml:space="preserve"> tasfiye etme ya da ticari faaliyeti sona erdirme niyeti ya da mecburiyeti bulunmadığı sürece işletmenin sürekliliği esasını kullanmaktan sorumludur.</w:t>
      </w:r>
    </w:p>
    <w:p w14:paraId="1AAD3A10" w14:textId="77777777" w:rsidR="002C7C18" w:rsidRPr="002C7C18" w:rsidRDefault="002C7C18" w:rsidP="002C7C18">
      <w:pPr>
        <w:pStyle w:val="NoSpacing"/>
        <w:widowControl w:val="0"/>
        <w:spacing w:line="290" w:lineRule="atLeast"/>
        <w:rPr>
          <w:rFonts w:ascii="Georgia" w:hAnsi="Georgia"/>
          <w:sz w:val="20"/>
          <w:szCs w:val="20"/>
          <w:lang w:val="tr-TR"/>
        </w:rPr>
      </w:pPr>
    </w:p>
    <w:p w14:paraId="029931BC" w14:textId="77777777" w:rsidR="002C7C18" w:rsidRPr="002C7C18" w:rsidRDefault="002C7C18" w:rsidP="002C7C18">
      <w:pPr>
        <w:pStyle w:val="NoSpacing"/>
        <w:widowControl w:val="0"/>
        <w:spacing w:line="290" w:lineRule="atLeast"/>
        <w:rPr>
          <w:rFonts w:ascii="Georgia" w:hAnsi="Georgia"/>
          <w:sz w:val="20"/>
          <w:szCs w:val="20"/>
          <w:lang w:val="tr-TR"/>
        </w:rPr>
      </w:pPr>
      <w:r w:rsidRPr="002C7C18">
        <w:rPr>
          <w:rFonts w:ascii="Georgia" w:hAnsi="Georgia"/>
          <w:sz w:val="20"/>
          <w:szCs w:val="20"/>
          <w:lang w:val="tr-TR"/>
        </w:rPr>
        <w:t xml:space="preserve">Üst yönetimden sorumlu olanlar, </w:t>
      </w:r>
      <w:r w:rsidRPr="002C7C18">
        <w:rPr>
          <w:rFonts w:ascii="Georgia" w:hAnsi="Georgia" w:cs="Arial"/>
          <w:sz w:val="20"/>
          <w:szCs w:val="20"/>
          <w:lang w:val="tr-TR"/>
        </w:rPr>
        <w:t xml:space="preserve">Banka’nın </w:t>
      </w:r>
      <w:r w:rsidRPr="002C7C18">
        <w:rPr>
          <w:rFonts w:ascii="Georgia" w:hAnsi="Georgia"/>
          <w:sz w:val="20"/>
          <w:szCs w:val="20"/>
          <w:lang w:val="tr-TR"/>
        </w:rPr>
        <w:t>finansal raporlama sürecinin gözetiminden sorumludur.</w:t>
      </w:r>
    </w:p>
    <w:p w14:paraId="4A15BC6F" w14:textId="77777777" w:rsidR="002C7C18" w:rsidRPr="002C7C18" w:rsidRDefault="002C7C18" w:rsidP="002C7C18">
      <w:pPr>
        <w:pStyle w:val="NoSpacing"/>
        <w:widowControl w:val="0"/>
        <w:spacing w:line="290" w:lineRule="atLeast"/>
        <w:rPr>
          <w:rFonts w:ascii="Georgia" w:hAnsi="Georgia"/>
          <w:sz w:val="20"/>
          <w:szCs w:val="20"/>
          <w:lang w:val="tr-TR"/>
        </w:rPr>
      </w:pPr>
    </w:p>
    <w:p w14:paraId="3EEABE93" w14:textId="77777777" w:rsidR="002C7C18" w:rsidRPr="002C7C18" w:rsidRDefault="002C7C18" w:rsidP="002C7C18">
      <w:pPr>
        <w:pStyle w:val="NoSpacing"/>
        <w:widowControl w:val="0"/>
        <w:numPr>
          <w:ilvl w:val="0"/>
          <w:numId w:val="91"/>
        </w:numPr>
        <w:spacing w:line="290" w:lineRule="atLeast"/>
        <w:ind w:left="567" w:hanging="567"/>
        <w:rPr>
          <w:rFonts w:ascii="Georgia" w:hAnsi="Georgia"/>
          <w:b/>
          <w:sz w:val="20"/>
          <w:szCs w:val="20"/>
          <w:lang w:val="tr-TR"/>
        </w:rPr>
      </w:pPr>
      <w:r w:rsidRPr="002C7C18">
        <w:rPr>
          <w:rFonts w:ascii="Georgia" w:hAnsi="Georgia"/>
          <w:b/>
          <w:sz w:val="20"/>
          <w:szCs w:val="20"/>
          <w:lang w:val="tr-TR"/>
        </w:rPr>
        <w:t xml:space="preserve">Bağımsız Denetçinin </w:t>
      </w:r>
      <w:r w:rsidRPr="002C7C18">
        <w:rPr>
          <w:rFonts w:ascii="Georgia" w:hAnsi="Georgia" w:cs="Arial"/>
          <w:b/>
          <w:sz w:val="20"/>
          <w:szCs w:val="20"/>
          <w:lang w:val="tr-TR"/>
        </w:rPr>
        <w:t xml:space="preserve">Konsolide Olmayan </w:t>
      </w:r>
      <w:r w:rsidRPr="002C7C18">
        <w:rPr>
          <w:rFonts w:ascii="Georgia" w:hAnsi="Georgia"/>
          <w:b/>
          <w:sz w:val="20"/>
          <w:szCs w:val="20"/>
          <w:lang w:val="tr-TR"/>
        </w:rPr>
        <w:t>Finansal Tabloların Bağımsız Denetimine İlişkin Sorumlulukları</w:t>
      </w:r>
    </w:p>
    <w:p w14:paraId="4E9DEC7C" w14:textId="77777777" w:rsidR="002C7C18" w:rsidRPr="002C7C18" w:rsidRDefault="002C7C18" w:rsidP="002C7C18">
      <w:pPr>
        <w:pStyle w:val="NoSpacing"/>
        <w:widowControl w:val="0"/>
        <w:spacing w:line="290" w:lineRule="atLeast"/>
        <w:ind w:left="709"/>
        <w:rPr>
          <w:rFonts w:ascii="Georgia" w:hAnsi="Georgia"/>
          <w:b/>
          <w:sz w:val="20"/>
          <w:szCs w:val="20"/>
          <w:lang w:val="tr-TR"/>
        </w:rPr>
      </w:pPr>
    </w:p>
    <w:p w14:paraId="1B863E25" w14:textId="77777777" w:rsidR="002C7C18" w:rsidRPr="002C7C18" w:rsidRDefault="002C7C18" w:rsidP="002C7C18">
      <w:pPr>
        <w:pStyle w:val="NoSpacing"/>
        <w:widowControl w:val="0"/>
        <w:spacing w:line="290" w:lineRule="atLeast"/>
        <w:rPr>
          <w:rFonts w:ascii="Georgia" w:hAnsi="Georgia"/>
          <w:sz w:val="20"/>
          <w:szCs w:val="20"/>
          <w:lang w:val="tr-TR"/>
        </w:rPr>
      </w:pPr>
      <w:r w:rsidRPr="002C7C18">
        <w:rPr>
          <w:rFonts w:ascii="Georgia" w:hAnsi="Georgia"/>
          <w:sz w:val="20"/>
          <w:szCs w:val="20"/>
          <w:lang w:val="tr-TR"/>
        </w:rPr>
        <w:t>Bir bağımsız denetimde, biz bağımsız denetçilerin sorumlulukları şunlardır:</w:t>
      </w:r>
    </w:p>
    <w:p w14:paraId="080AD6E7" w14:textId="77777777" w:rsidR="002C7C18" w:rsidRPr="002C7C18" w:rsidRDefault="002C7C18" w:rsidP="002C7C18">
      <w:pPr>
        <w:pStyle w:val="NoSpacing"/>
        <w:widowControl w:val="0"/>
        <w:spacing w:line="290" w:lineRule="atLeast"/>
        <w:rPr>
          <w:rFonts w:ascii="Georgia" w:hAnsi="Georgia"/>
          <w:sz w:val="20"/>
          <w:szCs w:val="20"/>
          <w:lang w:val="tr-TR"/>
        </w:rPr>
      </w:pPr>
    </w:p>
    <w:p w14:paraId="22E31E02" w14:textId="77777777" w:rsidR="002C7C18" w:rsidRPr="002C7C18" w:rsidRDefault="002C7C18" w:rsidP="002C7C18">
      <w:pPr>
        <w:pStyle w:val="NoSpacing"/>
        <w:widowControl w:val="0"/>
        <w:spacing w:line="290" w:lineRule="atLeast"/>
        <w:rPr>
          <w:rFonts w:ascii="Georgia" w:hAnsi="Georgia"/>
          <w:sz w:val="20"/>
          <w:szCs w:val="20"/>
          <w:lang w:val="tr-TR"/>
        </w:rPr>
      </w:pPr>
      <w:r w:rsidRPr="002C7C18">
        <w:rPr>
          <w:rFonts w:ascii="Georgia" w:hAnsi="Georgia"/>
          <w:sz w:val="20"/>
          <w:szCs w:val="20"/>
          <w:lang w:val="tr-TR"/>
        </w:rPr>
        <w:t xml:space="preserve">Amacımız, bir bütün olarak konsolide olmayan finansal tabloların hata veya hile kaynaklı önemli yanlışlık içerip içermediğine ilişkin makul güvence elde etmek ve görüşümüzü içeren bir bağımsız denetçi raporu düzenlemektir. BDDK tarafından 2 Nisan 2015 tarihli 29314 sayılı </w:t>
      </w:r>
      <w:proofErr w:type="gramStart"/>
      <w:r w:rsidRPr="002C7C18">
        <w:rPr>
          <w:rFonts w:ascii="Georgia" w:hAnsi="Georgia"/>
          <w:sz w:val="20"/>
          <w:szCs w:val="20"/>
          <w:lang w:val="tr-TR"/>
        </w:rPr>
        <w:t>Resmi</w:t>
      </w:r>
      <w:proofErr w:type="gramEnd"/>
      <w:r w:rsidRPr="002C7C18">
        <w:rPr>
          <w:rFonts w:ascii="Georgia" w:hAnsi="Georgia"/>
          <w:sz w:val="20"/>
          <w:szCs w:val="20"/>
          <w:lang w:val="tr-TR"/>
        </w:rPr>
        <w:t xml:space="preserve"> Gazete’ de yayımlanan “Bankaların Bağımsız Denetimi Hakkında Yönetmelik” ve </w:t>
      </w:r>
      <w:proofErr w:type="spellStart"/>
      <w:r w:rsidRPr="002C7C18">
        <w:rPr>
          <w:rFonts w:ascii="Georgia" w:hAnsi="Georgia"/>
          <w:sz w:val="20"/>
          <w:szCs w:val="20"/>
          <w:lang w:val="tr-TR"/>
        </w:rPr>
        <w:t>BDS’lere</w:t>
      </w:r>
      <w:proofErr w:type="spellEnd"/>
      <w:r w:rsidRPr="002C7C18">
        <w:rPr>
          <w:rFonts w:ascii="Georgia" w:hAnsi="Georgia"/>
          <w:sz w:val="20"/>
          <w:szCs w:val="20"/>
          <w:lang w:val="tr-TR"/>
        </w:rPr>
        <w:t xml:space="preserv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w:t>
      </w:r>
      <w:r w:rsidRPr="002C7C18">
        <w:rPr>
          <w:rFonts w:ascii="Georgia" w:hAnsi="Georgia" w:cs="Arial"/>
          <w:sz w:val="20"/>
          <w:szCs w:val="20"/>
          <w:lang w:val="tr-TR"/>
        </w:rPr>
        <w:t xml:space="preserve">konsolide olmayan finansal </w:t>
      </w:r>
      <w:r w:rsidRPr="002C7C18">
        <w:rPr>
          <w:rFonts w:ascii="Georgia" w:hAnsi="Georgia"/>
          <w:sz w:val="20"/>
          <w:szCs w:val="20"/>
          <w:lang w:val="tr-TR"/>
        </w:rPr>
        <w:t>tablolara istinaden alacakları ekonomik kararları etkilemesi makul ölçüde bekleniyorsa bu yanlışlıklar önemli olarak kabul edilir.</w:t>
      </w:r>
    </w:p>
    <w:p w14:paraId="7E02EE24" w14:textId="77777777" w:rsidR="002C7C18" w:rsidRPr="002C7C18" w:rsidRDefault="002C7C18" w:rsidP="002C7C18">
      <w:pPr>
        <w:spacing w:line="290" w:lineRule="atLeast"/>
        <w:rPr>
          <w:rFonts w:ascii="Georgia" w:eastAsia="Arial" w:hAnsi="Georgia" w:cs="Microsoft Himalaya"/>
          <w:szCs w:val="20"/>
        </w:rPr>
      </w:pPr>
      <w:r w:rsidRPr="002C7C18">
        <w:rPr>
          <w:rFonts w:ascii="Georgia" w:hAnsi="Georgia"/>
          <w:szCs w:val="20"/>
        </w:rPr>
        <w:br w:type="page"/>
      </w:r>
    </w:p>
    <w:p w14:paraId="5176DCDA" w14:textId="77777777" w:rsidR="002C7C18" w:rsidRPr="002C7C18" w:rsidRDefault="002C7C18" w:rsidP="002C7C18">
      <w:pPr>
        <w:pStyle w:val="NoSpacing"/>
        <w:widowControl w:val="0"/>
        <w:spacing w:line="240" w:lineRule="atLeast"/>
        <w:rPr>
          <w:rFonts w:ascii="Georgia" w:hAnsi="Georgia"/>
          <w:sz w:val="20"/>
          <w:szCs w:val="20"/>
          <w:lang w:val="tr-TR"/>
        </w:rPr>
      </w:pPr>
      <w:r w:rsidRPr="002C7C18">
        <w:rPr>
          <w:rFonts w:ascii="Georgia" w:hAnsi="Georgia"/>
          <w:sz w:val="20"/>
          <w:szCs w:val="20"/>
          <w:lang w:val="tr-TR"/>
        </w:rPr>
        <w:lastRenderedPageBreak/>
        <w:t xml:space="preserve">BDDK tarafından 2 Nisan 2015 tarihli 29314 sayılı </w:t>
      </w:r>
      <w:proofErr w:type="gramStart"/>
      <w:r w:rsidRPr="002C7C18">
        <w:rPr>
          <w:rFonts w:ascii="Georgia" w:hAnsi="Georgia"/>
          <w:sz w:val="20"/>
          <w:szCs w:val="20"/>
          <w:lang w:val="tr-TR"/>
        </w:rPr>
        <w:t>Resmi</w:t>
      </w:r>
      <w:proofErr w:type="gramEnd"/>
      <w:r w:rsidRPr="002C7C18">
        <w:rPr>
          <w:rFonts w:ascii="Georgia" w:hAnsi="Georgia"/>
          <w:sz w:val="20"/>
          <w:szCs w:val="20"/>
          <w:lang w:val="tr-TR"/>
        </w:rPr>
        <w:t xml:space="preserve"> Gazete’ de yayımlanan “Bankaların Bağımsız Denetimi Hakkında Yönetmelik” ve </w:t>
      </w:r>
      <w:proofErr w:type="spellStart"/>
      <w:r w:rsidRPr="002C7C18">
        <w:rPr>
          <w:rFonts w:ascii="Georgia" w:hAnsi="Georgia"/>
          <w:sz w:val="20"/>
          <w:szCs w:val="20"/>
          <w:lang w:val="tr-TR"/>
        </w:rPr>
        <w:t>BDS’lere</w:t>
      </w:r>
      <w:proofErr w:type="spellEnd"/>
      <w:r w:rsidRPr="002C7C18">
        <w:rPr>
          <w:rFonts w:ascii="Georgia" w:hAnsi="Georgia"/>
          <w:sz w:val="20"/>
          <w:szCs w:val="20"/>
          <w:lang w:val="tr-TR"/>
        </w:rPr>
        <w:t xml:space="preserve"> uygun olarak yürütülen bağımsız denetimin gereği olarak, bağımsız denetim boyunca mesleki muhakememizi kullanmakta ve mesleki şüpheciliğimizi sürdürmekteyiz. Tarafımızca ayrıca:</w:t>
      </w:r>
    </w:p>
    <w:p w14:paraId="5803881C" w14:textId="77777777" w:rsidR="002C7C18" w:rsidRPr="002C7C18" w:rsidRDefault="002C7C18" w:rsidP="002C7C18">
      <w:pPr>
        <w:pStyle w:val="NoSpacing"/>
        <w:widowControl w:val="0"/>
        <w:spacing w:line="240" w:lineRule="atLeast"/>
        <w:ind w:left="709" w:hanging="567"/>
        <w:rPr>
          <w:rFonts w:ascii="Georgia" w:hAnsi="Georgia"/>
          <w:sz w:val="20"/>
          <w:szCs w:val="20"/>
          <w:lang w:val="tr-TR"/>
        </w:rPr>
      </w:pPr>
    </w:p>
    <w:p w14:paraId="1A89901D" w14:textId="77777777" w:rsidR="002C7C18" w:rsidRPr="002C7C18" w:rsidRDefault="002C7C18" w:rsidP="002C7C18">
      <w:pPr>
        <w:pStyle w:val="NoSpacing"/>
        <w:widowControl w:val="0"/>
        <w:numPr>
          <w:ilvl w:val="0"/>
          <w:numId w:val="90"/>
        </w:numPr>
        <w:spacing w:line="240" w:lineRule="atLeast"/>
        <w:ind w:left="567" w:hanging="567"/>
        <w:rPr>
          <w:rFonts w:ascii="Georgia" w:hAnsi="Georgia"/>
          <w:sz w:val="20"/>
          <w:szCs w:val="20"/>
          <w:lang w:val="tr-TR"/>
        </w:rPr>
      </w:pPr>
      <w:r w:rsidRPr="002C7C18">
        <w:rPr>
          <w:rFonts w:ascii="Georgia" w:hAnsi="Georgia" w:cs="Arial"/>
          <w:sz w:val="20"/>
          <w:szCs w:val="20"/>
          <w:lang w:val="tr-TR"/>
        </w:rPr>
        <w:t xml:space="preserve">Konsolide olmayan </w:t>
      </w:r>
      <w:r w:rsidRPr="002C7C18">
        <w:rPr>
          <w:rFonts w:ascii="Georgia" w:hAnsi="Georgia"/>
          <w:sz w:val="20"/>
          <w:szCs w:val="20"/>
          <w:lang w:val="tr-TR"/>
        </w:rPr>
        <w:t>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w:t>
      </w:r>
    </w:p>
    <w:p w14:paraId="2A6A5844" w14:textId="77777777" w:rsidR="002C7C18" w:rsidRPr="002C7C18" w:rsidRDefault="002C7C18" w:rsidP="002C7C18">
      <w:pPr>
        <w:pStyle w:val="NoSpacing"/>
        <w:widowControl w:val="0"/>
        <w:spacing w:line="240" w:lineRule="atLeast"/>
        <w:ind w:left="567"/>
        <w:rPr>
          <w:rFonts w:ascii="Georgia" w:hAnsi="Georgia"/>
          <w:sz w:val="20"/>
          <w:szCs w:val="20"/>
          <w:lang w:val="tr-TR"/>
        </w:rPr>
      </w:pPr>
    </w:p>
    <w:p w14:paraId="4CC8F73A" w14:textId="77777777" w:rsidR="002C7C18" w:rsidRPr="002C7C18" w:rsidRDefault="002C7C18" w:rsidP="002C7C18">
      <w:pPr>
        <w:pStyle w:val="NoSpacing"/>
        <w:widowControl w:val="0"/>
        <w:numPr>
          <w:ilvl w:val="0"/>
          <w:numId w:val="90"/>
        </w:numPr>
        <w:spacing w:line="240" w:lineRule="atLeast"/>
        <w:ind w:left="567" w:hanging="567"/>
        <w:rPr>
          <w:rFonts w:ascii="Georgia" w:hAnsi="Georgia"/>
          <w:sz w:val="20"/>
          <w:szCs w:val="20"/>
          <w:lang w:val="tr-TR"/>
        </w:rPr>
      </w:pPr>
      <w:r w:rsidRPr="002C7C18">
        <w:rPr>
          <w:rFonts w:ascii="Georgia" w:hAnsi="Georgia" w:cs="Arial"/>
          <w:sz w:val="20"/>
          <w:szCs w:val="20"/>
          <w:lang w:val="tr-TR"/>
        </w:rPr>
        <w:t xml:space="preserve">Banka’nın </w:t>
      </w:r>
      <w:r w:rsidRPr="002C7C18">
        <w:rPr>
          <w:rFonts w:ascii="Georgia" w:hAnsi="Georgia"/>
          <w:sz w:val="20"/>
          <w:szCs w:val="20"/>
          <w:lang w:val="tr-TR"/>
        </w:rPr>
        <w:t>iç kontrolünün etkinliğine ilişkin bir görüş bildirmek amacıyla değil ama duruma uygun denetim prosedürlerini tasarlamak amacıyla denetimle ilgili iç kontrol değerlendirilmektedir.</w:t>
      </w:r>
    </w:p>
    <w:p w14:paraId="54C153B2" w14:textId="77777777" w:rsidR="002C7C18" w:rsidRPr="002C7C18" w:rsidRDefault="002C7C18" w:rsidP="002C7C18">
      <w:pPr>
        <w:pStyle w:val="ListParagraph"/>
        <w:spacing w:line="240" w:lineRule="atLeast"/>
        <w:ind w:left="567" w:hanging="567"/>
        <w:rPr>
          <w:rFonts w:ascii="Georgia" w:hAnsi="Georgia"/>
          <w:szCs w:val="20"/>
        </w:rPr>
      </w:pPr>
    </w:p>
    <w:p w14:paraId="17B4B586" w14:textId="77777777" w:rsidR="002C7C18" w:rsidRPr="002C7C18" w:rsidRDefault="002C7C18" w:rsidP="002C7C18">
      <w:pPr>
        <w:pStyle w:val="NoSpacing"/>
        <w:widowControl w:val="0"/>
        <w:numPr>
          <w:ilvl w:val="0"/>
          <w:numId w:val="90"/>
        </w:numPr>
        <w:spacing w:line="240" w:lineRule="atLeast"/>
        <w:ind w:left="567" w:hanging="567"/>
        <w:rPr>
          <w:rFonts w:ascii="Georgia" w:hAnsi="Georgia"/>
          <w:sz w:val="20"/>
          <w:szCs w:val="20"/>
          <w:lang w:val="tr-TR"/>
        </w:rPr>
      </w:pPr>
      <w:r w:rsidRPr="002C7C18">
        <w:rPr>
          <w:rFonts w:ascii="Georgia" w:hAnsi="Georgia"/>
          <w:sz w:val="20"/>
          <w:szCs w:val="20"/>
          <w:lang w:val="tr-TR"/>
        </w:rPr>
        <w:t>Yönetim tarafından kullanılan muhasebe politikalarının uygunluğu ile yapılan muhasebe tahminleri ile ilgili açıklamaların makul olup olmadığı değerlendirilmektedir.</w:t>
      </w:r>
    </w:p>
    <w:p w14:paraId="0AA491B3" w14:textId="77777777" w:rsidR="002C7C18" w:rsidRPr="002C7C18" w:rsidRDefault="002C7C18" w:rsidP="002C7C18">
      <w:pPr>
        <w:pStyle w:val="NoSpacing"/>
        <w:widowControl w:val="0"/>
        <w:spacing w:line="240" w:lineRule="atLeast"/>
        <w:ind w:left="567" w:hanging="567"/>
        <w:rPr>
          <w:rFonts w:ascii="Georgia" w:hAnsi="Georgia"/>
          <w:sz w:val="20"/>
          <w:szCs w:val="20"/>
          <w:lang w:val="tr-TR"/>
        </w:rPr>
      </w:pPr>
    </w:p>
    <w:p w14:paraId="66764675" w14:textId="77777777" w:rsidR="002C7C18" w:rsidRPr="002C7C18" w:rsidRDefault="002C7C18" w:rsidP="002C7C18">
      <w:pPr>
        <w:pStyle w:val="NoSpacing"/>
        <w:widowControl w:val="0"/>
        <w:numPr>
          <w:ilvl w:val="0"/>
          <w:numId w:val="90"/>
        </w:numPr>
        <w:spacing w:line="240" w:lineRule="atLeast"/>
        <w:ind w:left="567" w:hanging="567"/>
        <w:rPr>
          <w:rFonts w:ascii="Georgia" w:hAnsi="Georgia"/>
          <w:sz w:val="20"/>
          <w:szCs w:val="20"/>
          <w:lang w:val="tr-TR"/>
        </w:rPr>
      </w:pPr>
      <w:r w:rsidRPr="002C7C18">
        <w:rPr>
          <w:rFonts w:ascii="Georgia" w:hAnsi="Georgia"/>
          <w:sz w:val="20"/>
          <w:szCs w:val="20"/>
          <w:lang w:val="tr-TR"/>
        </w:rPr>
        <w:t xml:space="preserve">Elde edilen denetim kanıtlarına dayanarak </w:t>
      </w:r>
      <w:r w:rsidRPr="002C7C18">
        <w:rPr>
          <w:rFonts w:ascii="Georgia" w:hAnsi="Georgia" w:cs="Arial"/>
          <w:sz w:val="20"/>
          <w:szCs w:val="20"/>
          <w:lang w:val="tr-TR"/>
        </w:rPr>
        <w:t>Banka’nın</w:t>
      </w:r>
      <w:r w:rsidRPr="002C7C18">
        <w:rPr>
          <w:rFonts w:ascii="Georgia" w:hAnsi="Georgia"/>
          <w:sz w:val="20"/>
          <w:szCs w:val="20"/>
          <w:lang w:val="tr-TR"/>
        </w:rPr>
        <w:t xml:space="preserve">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halinde, raporumuzda, konsolide olmayan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w:t>
      </w:r>
      <w:r w:rsidRPr="002C7C18">
        <w:rPr>
          <w:rFonts w:ascii="Georgia" w:hAnsi="Georgia" w:cs="Arial"/>
          <w:sz w:val="20"/>
          <w:szCs w:val="20"/>
          <w:lang w:val="tr-TR"/>
        </w:rPr>
        <w:t>Banka’nın</w:t>
      </w:r>
      <w:r w:rsidRPr="002C7C18">
        <w:rPr>
          <w:rFonts w:ascii="Georgia" w:hAnsi="Georgia"/>
          <w:sz w:val="20"/>
          <w:szCs w:val="20"/>
          <w:lang w:val="tr-TR"/>
        </w:rPr>
        <w:t xml:space="preserve"> sürekliliğini sona erdirebilir.</w:t>
      </w:r>
    </w:p>
    <w:p w14:paraId="6279ECD0" w14:textId="77777777" w:rsidR="002C7C18" w:rsidRPr="002C7C18" w:rsidRDefault="002C7C18" w:rsidP="002C7C18">
      <w:pPr>
        <w:pStyle w:val="ListParagraph"/>
        <w:widowControl w:val="0"/>
        <w:spacing w:line="240" w:lineRule="atLeast"/>
        <w:ind w:left="567" w:hanging="567"/>
        <w:rPr>
          <w:rFonts w:ascii="Georgia" w:hAnsi="Georgia"/>
          <w:szCs w:val="20"/>
        </w:rPr>
      </w:pPr>
    </w:p>
    <w:p w14:paraId="7A7EE07E" w14:textId="77777777" w:rsidR="002C7C18" w:rsidRPr="002C7C18" w:rsidRDefault="002C7C18" w:rsidP="002C7C18">
      <w:pPr>
        <w:pStyle w:val="NoSpacing"/>
        <w:widowControl w:val="0"/>
        <w:numPr>
          <w:ilvl w:val="0"/>
          <w:numId w:val="90"/>
        </w:numPr>
        <w:spacing w:line="240" w:lineRule="atLeast"/>
        <w:ind w:left="567" w:hanging="567"/>
        <w:rPr>
          <w:rFonts w:ascii="Georgia" w:hAnsi="Georgia"/>
          <w:sz w:val="20"/>
          <w:szCs w:val="20"/>
          <w:lang w:val="tr-TR"/>
        </w:rPr>
      </w:pPr>
      <w:r w:rsidRPr="002C7C18">
        <w:rPr>
          <w:rFonts w:ascii="Georgia" w:hAnsi="Georgia" w:cs="Arial"/>
          <w:sz w:val="20"/>
          <w:szCs w:val="20"/>
          <w:lang w:val="tr-TR"/>
        </w:rPr>
        <w:t xml:space="preserve">Konsolide olmayan </w:t>
      </w:r>
      <w:r w:rsidRPr="002C7C18">
        <w:rPr>
          <w:rFonts w:ascii="Georgia" w:hAnsi="Georgia"/>
          <w:sz w:val="20"/>
          <w:szCs w:val="20"/>
          <w:lang w:val="tr-TR"/>
        </w:rPr>
        <w:t>finansal tabloların açıklamaları dahil olmak üzere, genel sunumu, yapısı ve içeriği ile bu tabloların, temelini oluşturan işlem ve olayları gerçeğe uygun sunumu sağlayacak şekilde yansıtıp yansıtmadığı değerlendirilmektedir.</w:t>
      </w:r>
    </w:p>
    <w:p w14:paraId="7077486B" w14:textId="77777777" w:rsidR="002C7C18" w:rsidRPr="002C7C18" w:rsidRDefault="002C7C18" w:rsidP="002C7C18">
      <w:pPr>
        <w:pStyle w:val="NoSpacing"/>
        <w:widowControl w:val="0"/>
        <w:spacing w:line="240" w:lineRule="atLeast"/>
        <w:rPr>
          <w:rFonts w:ascii="Georgia" w:hAnsi="Georgia"/>
          <w:sz w:val="20"/>
          <w:szCs w:val="20"/>
          <w:lang w:val="tr-TR"/>
        </w:rPr>
      </w:pPr>
    </w:p>
    <w:p w14:paraId="2B221A72" w14:textId="77777777" w:rsidR="002C7C18" w:rsidRPr="002C7C18" w:rsidRDefault="002C7C18" w:rsidP="002C7C18">
      <w:pPr>
        <w:spacing w:line="240" w:lineRule="atLeast"/>
        <w:rPr>
          <w:rFonts w:ascii="Georgia" w:hAnsi="Georgia"/>
          <w:szCs w:val="20"/>
        </w:rPr>
      </w:pPr>
      <w:r w:rsidRPr="002C7C18">
        <w:rPr>
          <w:rFonts w:ascii="Georgia" w:hAnsi="Georgia"/>
          <w:szCs w:val="20"/>
        </w:rPr>
        <w:t>Diğer hususların yanı sıra, denetim sırasında tespit ettiğimiz önemli iç kontrol eksiklikleri dahil olmak üzere, bağımsız denetimin planlanan kapsamı ve zamanlaması ile önemli denetim bulgularını üst yönetimden sorumlu olanlara bildirmekteyiz.</w:t>
      </w:r>
    </w:p>
    <w:p w14:paraId="565D5EB4" w14:textId="77777777" w:rsidR="002C7C18" w:rsidRPr="002C7C18" w:rsidRDefault="002C7C18" w:rsidP="002C7C18">
      <w:pPr>
        <w:spacing w:line="240" w:lineRule="atLeast"/>
        <w:rPr>
          <w:rFonts w:ascii="Georgia" w:hAnsi="Georgia"/>
          <w:szCs w:val="20"/>
        </w:rPr>
      </w:pPr>
    </w:p>
    <w:p w14:paraId="570710AE" w14:textId="77777777" w:rsidR="002C7C18" w:rsidRPr="002C7C18" w:rsidRDefault="002C7C18" w:rsidP="002C7C18">
      <w:pPr>
        <w:pStyle w:val="NoSpacing"/>
        <w:widowControl w:val="0"/>
        <w:spacing w:line="240" w:lineRule="atLeast"/>
        <w:rPr>
          <w:rFonts w:ascii="Georgia" w:hAnsi="Georgia"/>
          <w:sz w:val="20"/>
          <w:szCs w:val="20"/>
          <w:lang w:val="tr-TR"/>
        </w:rPr>
      </w:pPr>
      <w:r w:rsidRPr="002C7C18">
        <w:rPr>
          <w:rFonts w:ascii="Georgia" w:hAnsi="Georgia"/>
          <w:sz w:val="20"/>
          <w:szCs w:val="20"/>
          <w:lang w:val="tr-TR"/>
        </w:rPr>
        <w:t>Bağımsızlığa ilişkin etik hükümlere uygunluk sağladığımızı üst yönetimden sorumlu olanlara bildirmiş bulunmaktayız. Ayrıca bağımsızlık üzerinde etkisi olduğu düşünülebilecek tüm ilişkiler ve diğer hususlar ile varsa, tehditleri ortadan kaldırmak amacıyla atılan adımlar ile alınan önlemleri üst yönetimden sorumlu olanlara iletmiş bulunmaktayız.</w:t>
      </w:r>
    </w:p>
    <w:p w14:paraId="4517D5A0" w14:textId="77777777" w:rsidR="002C7C18" w:rsidRPr="002C7C18" w:rsidRDefault="002C7C18" w:rsidP="002C7C18">
      <w:pPr>
        <w:pStyle w:val="NoSpacing"/>
        <w:widowControl w:val="0"/>
        <w:spacing w:line="240" w:lineRule="atLeast"/>
        <w:rPr>
          <w:rFonts w:ascii="Georgia" w:hAnsi="Georgia"/>
          <w:sz w:val="20"/>
          <w:szCs w:val="20"/>
          <w:lang w:val="tr-TR"/>
        </w:rPr>
      </w:pPr>
    </w:p>
    <w:p w14:paraId="3E6B42FA" w14:textId="77777777" w:rsidR="002C7C18" w:rsidRPr="002C7C18" w:rsidRDefault="002C7C18" w:rsidP="002C7C18">
      <w:pPr>
        <w:pStyle w:val="NoSpacing"/>
        <w:widowControl w:val="0"/>
        <w:spacing w:line="240" w:lineRule="atLeast"/>
        <w:rPr>
          <w:rFonts w:ascii="Georgia" w:hAnsi="Georgia"/>
          <w:sz w:val="20"/>
          <w:szCs w:val="20"/>
          <w:lang w:val="tr-TR"/>
        </w:rPr>
      </w:pPr>
      <w:r w:rsidRPr="002C7C18">
        <w:rPr>
          <w:rFonts w:ascii="Georgia" w:hAnsi="Georgia"/>
          <w:sz w:val="20"/>
          <w:szCs w:val="20"/>
          <w:lang w:val="tr-TR"/>
        </w:rPr>
        <w:t>Üst yönetimden sorumlu olanlara bildirilen konular arasından, cari döneme ait konsolide olmayan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r w:rsidRPr="002C7C18">
        <w:rPr>
          <w:rFonts w:ascii="Georgia" w:hAnsi="Georgia"/>
          <w:sz w:val="20"/>
          <w:szCs w:val="20"/>
          <w:lang w:val="tr-TR"/>
        </w:rPr>
        <w:br w:type="page"/>
      </w:r>
    </w:p>
    <w:p w14:paraId="33F54138" w14:textId="77777777" w:rsidR="002C7C18" w:rsidRPr="002C7C18" w:rsidRDefault="002C7C18" w:rsidP="002C7C18">
      <w:pPr>
        <w:pStyle w:val="pumatext"/>
        <w:widowControl w:val="0"/>
        <w:spacing w:before="0" w:after="0" w:line="290" w:lineRule="atLeast"/>
        <w:ind w:hanging="567"/>
        <w:jc w:val="left"/>
        <w:rPr>
          <w:rFonts w:ascii="Georgia" w:hAnsi="Georgia" w:cs="Arial"/>
          <w:b/>
          <w:color w:val="auto"/>
          <w:sz w:val="20"/>
          <w:lang w:val="tr-TR"/>
        </w:rPr>
      </w:pPr>
      <w:r w:rsidRPr="002C7C18">
        <w:rPr>
          <w:rFonts w:ascii="Georgia" w:hAnsi="Georgia" w:cs="Arial"/>
          <w:b/>
          <w:color w:val="auto"/>
          <w:sz w:val="20"/>
          <w:lang w:val="tr-TR"/>
        </w:rPr>
        <w:lastRenderedPageBreak/>
        <w:t xml:space="preserve">B. </w:t>
      </w:r>
      <w:r w:rsidRPr="002C7C18">
        <w:rPr>
          <w:rFonts w:ascii="Georgia" w:hAnsi="Georgia" w:cs="Arial"/>
          <w:b/>
          <w:color w:val="auto"/>
          <w:sz w:val="20"/>
          <w:lang w:val="tr-TR"/>
        </w:rPr>
        <w:tab/>
        <w:t>Mevzuattan Kaynaklanan Diğer Yükümlülükler</w:t>
      </w:r>
    </w:p>
    <w:p w14:paraId="62D3D75C" w14:textId="77777777" w:rsidR="002C7C18" w:rsidRPr="002C7C18" w:rsidRDefault="002C7C18" w:rsidP="002C7C18">
      <w:pPr>
        <w:pStyle w:val="pumatext"/>
        <w:widowControl w:val="0"/>
        <w:tabs>
          <w:tab w:val="left" w:pos="567"/>
        </w:tabs>
        <w:spacing w:before="0" w:after="0" w:line="290" w:lineRule="atLeast"/>
        <w:ind w:hanging="567"/>
        <w:jc w:val="left"/>
        <w:rPr>
          <w:rFonts w:ascii="Georgia" w:hAnsi="Georgia" w:cs="Arial"/>
          <w:color w:val="auto"/>
          <w:sz w:val="20"/>
          <w:lang w:val="tr-TR"/>
        </w:rPr>
      </w:pPr>
    </w:p>
    <w:p w14:paraId="73F9D257" w14:textId="77777777" w:rsidR="002C7C18" w:rsidRPr="002C7C18" w:rsidRDefault="002C7C18" w:rsidP="002C7C18">
      <w:pPr>
        <w:pStyle w:val="pumatext"/>
        <w:widowControl w:val="0"/>
        <w:numPr>
          <w:ilvl w:val="0"/>
          <w:numId w:val="92"/>
        </w:numPr>
        <w:tabs>
          <w:tab w:val="left" w:pos="567"/>
        </w:tabs>
        <w:spacing w:before="0" w:after="0" w:line="290" w:lineRule="atLeast"/>
        <w:ind w:left="567" w:hanging="567"/>
        <w:jc w:val="left"/>
        <w:rPr>
          <w:rFonts w:ascii="Georgia" w:hAnsi="Georgia" w:cs="Arial"/>
          <w:color w:val="auto"/>
          <w:sz w:val="20"/>
          <w:lang w:val="tr-TR"/>
        </w:rPr>
      </w:pPr>
      <w:r w:rsidRPr="002C7C18">
        <w:rPr>
          <w:rFonts w:ascii="Georgia" w:hAnsi="Georgia"/>
          <w:color w:val="auto"/>
          <w:sz w:val="20"/>
          <w:lang w:val="tr-TR"/>
        </w:rPr>
        <w:t xml:space="preserve">6102 sayılı Türk Ticaret Kanunu’nun (“TTK”) 402’nci Maddesi’nin dördüncü fıkrası uyarınca, </w:t>
      </w:r>
      <w:r w:rsidRPr="002C7C18">
        <w:rPr>
          <w:rFonts w:ascii="Georgia" w:hAnsi="Georgia" w:cs="Arial"/>
          <w:color w:val="auto"/>
          <w:sz w:val="20"/>
          <w:lang w:val="tr-TR"/>
        </w:rPr>
        <w:t xml:space="preserve">Banka’nın 1 </w:t>
      </w:r>
      <w:proofErr w:type="gramStart"/>
      <w:r w:rsidRPr="002C7C18">
        <w:rPr>
          <w:rFonts w:ascii="Georgia" w:hAnsi="Georgia" w:cs="Arial"/>
          <w:color w:val="auto"/>
          <w:sz w:val="20"/>
          <w:lang w:val="tr-TR"/>
        </w:rPr>
        <w:t>Ocak -</w:t>
      </w:r>
      <w:proofErr w:type="gramEnd"/>
      <w:r w:rsidRPr="002C7C18">
        <w:rPr>
          <w:rFonts w:ascii="Georgia" w:hAnsi="Georgia" w:cs="Arial"/>
          <w:color w:val="auto"/>
          <w:sz w:val="20"/>
          <w:lang w:val="tr-TR"/>
        </w:rPr>
        <w:t xml:space="preserve"> 31 Aralık 2024 hesap döneminde defter tutma düzeninin, kanun ile Banka esas sözleşmesinin finansal raporlamaya ilişkin hükümlerine uygun olmadığına dair önemli bir hususa rastlanmamıştır.</w:t>
      </w:r>
    </w:p>
    <w:p w14:paraId="52073F5A" w14:textId="77777777" w:rsidR="002C7C18" w:rsidRPr="002C7C18" w:rsidRDefault="002C7C18" w:rsidP="002C7C18">
      <w:pPr>
        <w:pStyle w:val="pumatext"/>
        <w:widowControl w:val="0"/>
        <w:tabs>
          <w:tab w:val="left" w:pos="567"/>
        </w:tabs>
        <w:spacing w:before="0" w:after="0" w:line="290" w:lineRule="atLeast"/>
        <w:ind w:hanging="567"/>
        <w:jc w:val="left"/>
        <w:rPr>
          <w:rFonts w:ascii="Georgia" w:hAnsi="Georgia" w:cs="Arial"/>
          <w:color w:val="auto"/>
          <w:sz w:val="20"/>
          <w:lang w:val="tr-TR"/>
        </w:rPr>
      </w:pPr>
    </w:p>
    <w:p w14:paraId="7B164153" w14:textId="77777777" w:rsidR="002C7C18" w:rsidRPr="002C7C18" w:rsidRDefault="002C7C18" w:rsidP="002C7C18">
      <w:pPr>
        <w:pStyle w:val="pumatext"/>
        <w:widowControl w:val="0"/>
        <w:numPr>
          <w:ilvl w:val="0"/>
          <w:numId w:val="92"/>
        </w:numPr>
        <w:tabs>
          <w:tab w:val="left" w:pos="567"/>
        </w:tabs>
        <w:spacing w:before="0" w:after="0" w:line="290" w:lineRule="atLeast"/>
        <w:ind w:left="567" w:hanging="567"/>
        <w:jc w:val="left"/>
        <w:rPr>
          <w:rFonts w:ascii="Georgia" w:hAnsi="Georgia" w:cs="Arial"/>
          <w:color w:val="auto"/>
          <w:sz w:val="20"/>
          <w:lang w:val="tr-TR"/>
        </w:rPr>
      </w:pPr>
      <w:r w:rsidRPr="002C7C18">
        <w:rPr>
          <w:rFonts w:ascii="Georgia" w:hAnsi="Georgia" w:cs="Arial"/>
          <w:color w:val="auto"/>
          <w:sz w:val="20"/>
          <w:lang w:val="tr-TR"/>
        </w:rPr>
        <w:t xml:space="preserve">TTK’nın 402’nci Maddesi’nin dördüncü fıkrası uyarınca, Yönetim Kurulu </w:t>
      </w:r>
      <w:r w:rsidRPr="002C7C18">
        <w:rPr>
          <w:rFonts w:ascii="Georgia" w:hAnsi="Georgia"/>
          <w:color w:val="auto"/>
          <w:sz w:val="20"/>
          <w:lang w:val="tr-TR"/>
        </w:rPr>
        <w:t>tarafımıza denetim kapsamında istenen açıklamaları yapmış ve istenen belgeleri vermiştir.</w:t>
      </w:r>
    </w:p>
    <w:p w14:paraId="1FD500FE" w14:textId="77777777" w:rsidR="002C7C18" w:rsidRPr="002C7C18" w:rsidRDefault="002C7C18" w:rsidP="002C7C18">
      <w:pPr>
        <w:pStyle w:val="NoSpacing"/>
        <w:widowControl w:val="0"/>
        <w:spacing w:line="290" w:lineRule="atLeast"/>
        <w:ind w:left="567"/>
        <w:rPr>
          <w:rFonts w:ascii="Georgia" w:hAnsi="Georgia"/>
          <w:sz w:val="20"/>
          <w:szCs w:val="20"/>
          <w:lang w:val="tr-TR"/>
        </w:rPr>
      </w:pPr>
    </w:p>
    <w:p w14:paraId="4993E338" w14:textId="77777777" w:rsidR="002C7C18" w:rsidRPr="002C7C18" w:rsidRDefault="002C7C18" w:rsidP="002C7C18">
      <w:pPr>
        <w:pStyle w:val="NoSpacing"/>
        <w:widowControl w:val="0"/>
        <w:spacing w:line="290" w:lineRule="atLeast"/>
        <w:ind w:left="567"/>
        <w:rPr>
          <w:rFonts w:ascii="Georgia" w:hAnsi="Georgia"/>
          <w:sz w:val="20"/>
          <w:szCs w:val="20"/>
          <w:lang w:val="tr-TR"/>
        </w:rPr>
      </w:pPr>
    </w:p>
    <w:p w14:paraId="4980B81B" w14:textId="77777777" w:rsidR="002C7C18" w:rsidRPr="002C7C18" w:rsidRDefault="002C7C18" w:rsidP="002C7C18">
      <w:pPr>
        <w:pStyle w:val="NoSpacing"/>
        <w:widowControl w:val="0"/>
        <w:spacing w:line="290" w:lineRule="atLeast"/>
        <w:rPr>
          <w:rFonts w:ascii="Georgia" w:hAnsi="Georgia"/>
          <w:sz w:val="20"/>
          <w:szCs w:val="20"/>
          <w:lang w:val="tr-TR"/>
        </w:rPr>
      </w:pPr>
      <w:proofErr w:type="spellStart"/>
      <w:r w:rsidRPr="002C7C18">
        <w:rPr>
          <w:rFonts w:ascii="Georgia" w:hAnsi="Georgia"/>
          <w:sz w:val="20"/>
          <w:szCs w:val="20"/>
          <w:lang w:val="tr-TR"/>
        </w:rPr>
        <w:t>PwC</w:t>
      </w:r>
      <w:proofErr w:type="spellEnd"/>
      <w:r w:rsidRPr="002C7C18">
        <w:rPr>
          <w:rFonts w:ascii="Georgia" w:hAnsi="Georgia"/>
          <w:sz w:val="20"/>
          <w:szCs w:val="20"/>
          <w:lang w:val="tr-TR"/>
        </w:rPr>
        <w:t xml:space="preserve"> Bağımsız Denetim ve</w:t>
      </w:r>
    </w:p>
    <w:p w14:paraId="6A23B8B3" w14:textId="77777777" w:rsidR="002C7C18" w:rsidRPr="002C7C18" w:rsidRDefault="002C7C18" w:rsidP="002C7C18">
      <w:pPr>
        <w:pStyle w:val="NoSpacing"/>
        <w:widowControl w:val="0"/>
        <w:spacing w:line="290" w:lineRule="atLeast"/>
        <w:rPr>
          <w:rFonts w:ascii="Georgia" w:hAnsi="Georgia"/>
          <w:sz w:val="20"/>
          <w:szCs w:val="20"/>
          <w:lang w:val="tr-TR"/>
        </w:rPr>
      </w:pPr>
      <w:r w:rsidRPr="002C7C18">
        <w:rPr>
          <w:rFonts w:ascii="Georgia" w:hAnsi="Georgia"/>
          <w:sz w:val="20"/>
          <w:szCs w:val="20"/>
          <w:lang w:val="tr-TR"/>
        </w:rPr>
        <w:t>Serbest Muhasebeci Mali Müşavirlik A.Ş.</w:t>
      </w:r>
    </w:p>
    <w:p w14:paraId="7771A382" w14:textId="77777777" w:rsidR="002C7C18" w:rsidRPr="002C7C18" w:rsidRDefault="002C7C18" w:rsidP="002C7C18">
      <w:pPr>
        <w:pStyle w:val="NoSpacing"/>
        <w:widowControl w:val="0"/>
        <w:spacing w:line="290" w:lineRule="atLeast"/>
        <w:rPr>
          <w:rFonts w:ascii="Georgia" w:hAnsi="Georgia"/>
          <w:sz w:val="20"/>
          <w:szCs w:val="20"/>
          <w:lang w:val="tr-TR"/>
        </w:rPr>
      </w:pPr>
    </w:p>
    <w:p w14:paraId="5D9AB56D" w14:textId="77777777" w:rsidR="002C7C18" w:rsidRPr="002C7C18" w:rsidRDefault="002C7C18" w:rsidP="002C7C18">
      <w:pPr>
        <w:pStyle w:val="NoSpacing"/>
        <w:widowControl w:val="0"/>
        <w:spacing w:line="290" w:lineRule="atLeast"/>
        <w:rPr>
          <w:rFonts w:ascii="Georgia" w:hAnsi="Georgia"/>
          <w:sz w:val="20"/>
          <w:szCs w:val="20"/>
          <w:lang w:val="tr-TR"/>
        </w:rPr>
      </w:pPr>
    </w:p>
    <w:p w14:paraId="132EF28A" w14:textId="77777777" w:rsidR="002C7C18" w:rsidRPr="002C7C18" w:rsidRDefault="002C7C18" w:rsidP="002C7C18">
      <w:pPr>
        <w:pStyle w:val="NoSpacing"/>
        <w:widowControl w:val="0"/>
        <w:spacing w:line="290" w:lineRule="atLeast"/>
        <w:rPr>
          <w:rFonts w:ascii="Georgia" w:hAnsi="Georgia"/>
          <w:sz w:val="20"/>
          <w:szCs w:val="20"/>
          <w:lang w:val="tr-TR"/>
        </w:rPr>
      </w:pPr>
    </w:p>
    <w:p w14:paraId="0B1B46BE" w14:textId="77777777" w:rsidR="002C7C18" w:rsidRPr="002C7C18" w:rsidRDefault="002C7C18" w:rsidP="002C7C18">
      <w:pPr>
        <w:pStyle w:val="NoSpacing"/>
        <w:widowControl w:val="0"/>
        <w:spacing w:line="290" w:lineRule="atLeast"/>
        <w:rPr>
          <w:rFonts w:ascii="Georgia" w:hAnsi="Georgia"/>
          <w:sz w:val="20"/>
          <w:szCs w:val="20"/>
          <w:lang w:val="tr-TR"/>
        </w:rPr>
      </w:pPr>
    </w:p>
    <w:p w14:paraId="307599C0" w14:textId="77777777" w:rsidR="002C7C18" w:rsidRPr="002C7C18" w:rsidRDefault="002C7C18" w:rsidP="002C7C18">
      <w:pPr>
        <w:pStyle w:val="NoSpacing"/>
        <w:widowControl w:val="0"/>
        <w:spacing w:line="290" w:lineRule="atLeast"/>
        <w:rPr>
          <w:rFonts w:ascii="Georgia" w:hAnsi="Georgia"/>
          <w:sz w:val="20"/>
          <w:szCs w:val="20"/>
          <w:lang w:val="tr-TR"/>
        </w:rPr>
      </w:pPr>
      <w:proofErr w:type="spellStart"/>
      <w:r w:rsidRPr="002C7C18">
        <w:rPr>
          <w:rFonts w:ascii="Georgia" w:hAnsi="Georgia"/>
          <w:sz w:val="20"/>
          <w:szCs w:val="20"/>
          <w:lang w:val="tr-TR"/>
        </w:rPr>
        <w:t>Talar</w:t>
      </w:r>
      <w:proofErr w:type="spellEnd"/>
      <w:r w:rsidRPr="002C7C18">
        <w:rPr>
          <w:rFonts w:ascii="Georgia" w:hAnsi="Georgia"/>
          <w:sz w:val="20"/>
          <w:szCs w:val="20"/>
          <w:lang w:val="tr-TR"/>
        </w:rPr>
        <w:t xml:space="preserve"> Gül, SMMM</w:t>
      </w:r>
    </w:p>
    <w:p w14:paraId="2A983377" w14:textId="77777777" w:rsidR="002C7C18" w:rsidRPr="002C7C18" w:rsidRDefault="002C7C18" w:rsidP="002C7C18">
      <w:pPr>
        <w:pStyle w:val="NoSpacing"/>
        <w:widowControl w:val="0"/>
        <w:spacing w:line="290" w:lineRule="atLeast"/>
        <w:rPr>
          <w:rFonts w:ascii="Georgia" w:hAnsi="Georgia"/>
          <w:sz w:val="20"/>
          <w:szCs w:val="20"/>
          <w:lang w:val="tr-TR"/>
        </w:rPr>
      </w:pPr>
      <w:r w:rsidRPr="002C7C18">
        <w:rPr>
          <w:rFonts w:ascii="Georgia" w:hAnsi="Georgia"/>
          <w:sz w:val="20"/>
          <w:szCs w:val="20"/>
          <w:lang w:val="tr-TR"/>
        </w:rPr>
        <w:t>Sorumlu Denetçi</w:t>
      </w:r>
    </w:p>
    <w:p w14:paraId="2BFB3878" w14:textId="77777777" w:rsidR="002C7C18" w:rsidRPr="002C7C18" w:rsidRDefault="002C7C18" w:rsidP="002C7C18">
      <w:pPr>
        <w:pStyle w:val="NoSpacing"/>
        <w:widowControl w:val="0"/>
        <w:spacing w:line="290" w:lineRule="atLeast"/>
        <w:rPr>
          <w:rFonts w:ascii="Georgia" w:hAnsi="Georgia"/>
          <w:sz w:val="20"/>
          <w:szCs w:val="20"/>
          <w:lang w:val="tr-TR"/>
        </w:rPr>
      </w:pPr>
    </w:p>
    <w:p w14:paraId="5FB21E12" w14:textId="77777777" w:rsidR="002C7C18" w:rsidRPr="002C7C18" w:rsidRDefault="002C7C18" w:rsidP="002C7C18">
      <w:pPr>
        <w:pStyle w:val="NoSpacing"/>
        <w:widowControl w:val="0"/>
        <w:spacing w:line="290" w:lineRule="atLeast"/>
        <w:rPr>
          <w:rFonts w:ascii="Georgia" w:hAnsi="Georgia"/>
          <w:sz w:val="20"/>
          <w:szCs w:val="20"/>
          <w:lang w:val="tr-TR"/>
        </w:rPr>
      </w:pPr>
      <w:r w:rsidRPr="002C7C18">
        <w:rPr>
          <w:rFonts w:ascii="Georgia" w:hAnsi="Georgia"/>
          <w:sz w:val="20"/>
          <w:szCs w:val="20"/>
          <w:lang w:val="tr-TR"/>
        </w:rPr>
        <w:t>İstanbul, 18 Şubat 2025</w:t>
      </w:r>
    </w:p>
    <w:p w14:paraId="4764E588" w14:textId="77777777" w:rsidR="00CB1384" w:rsidRPr="002C7C18" w:rsidRDefault="00CB1384" w:rsidP="009F6E11">
      <w:pPr>
        <w:widowControl w:val="0"/>
        <w:autoSpaceDE w:val="0"/>
        <w:autoSpaceDN w:val="0"/>
        <w:adjustRightInd w:val="0"/>
        <w:ind w:left="284"/>
        <w:jc w:val="both"/>
        <w:rPr>
          <w:rFonts w:ascii="Georgia" w:hAnsi="Georgia"/>
          <w:color w:val="000000"/>
          <w:szCs w:val="20"/>
        </w:rPr>
      </w:pPr>
    </w:p>
    <w:p w14:paraId="4D0DC938" w14:textId="77777777" w:rsidR="002C7C18" w:rsidRPr="002C7C18" w:rsidRDefault="002C7C18" w:rsidP="009F6E11">
      <w:pPr>
        <w:widowControl w:val="0"/>
        <w:autoSpaceDE w:val="0"/>
        <w:autoSpaceDN w:val="0"/>
        <w:adjustRightInd w:val="0"/>
        <w:ind w:left="284"/>
        <w:jc w:val="both"/>
        <w:rPr>
          <w:rFonts w:ascii="Georgia" w:hAnsi="Georgia"/>
          <w:color w:val="000000"/>
          <w:szCs w:val="20"/>
        </w:rPr>
      </w:pPr>
    </w:p>
    <w:p w14:paraId="781D5DC8" w14:textId="77777777" w:rsidR="002C7C18" w:rsidRPr="00872D7E" w:rsidRDefault="002C7C18" w:rsidP="009F6E11">
      <w:pPr>
        <w:widowControl w:val="0"/>
        <w:autoSpaceDE w:val="0"/>
        <w:autoSpaceDN w:val="0"/>
        <w:adjustRightInd w:val="0"/>
        <w:ind w:left="284"/>
        <w:jc w:val="both"/>
        <w:rPr>
          <w:color w:val="000000"/>
        </w:rPr>
        <w:sectPr w:rsidR="002C7C18" w:rsidRPr="00872D7E" w:rsidSect="002C7C18">
          <w:footerReference w:type="even" r:id="rId13"/>
          <w:footerReference w:type="default" r:id="rId14"/>
          <w:headerReference w:type="first" r:id="rId15"/>
          <w:footnotePr>
            <w:numRestart w:val="eachPage"/>
          </w:footnotePr>
          <w:pgSz w:w="12240" w:h="15840" w:code="1"/>
          <w:pgMar w:top="3136" w:right="851" w:bottom="1418" w:left="1985" w:header="567" w:footer="567" w:gutter="0"/>
          <w:pgNumType w:start="7"/>
          <w:cols w:space="708"/>
          <w:titlePg/>
          <w:docGrid w:linePitch="326"/>
        </w:sectPr>
      </w:pPr>
    </w:p>
    <w:p w14:paraId="6F24955B" w14:textId="58B9D959" w:rsidR="0080411C" w:rsidRPr="00872D7E" w:rsidRDefault="00425B7F" w:rsidP="009F6E11">
      <w:pPr>
        <w:pStyle w:val="1tipi"/>
        <w:widowControl w:val="0"/>
        <w:jc w:val="center"/>
        <w:rPr>
          <w:rFonts w:ascii="Times New Roman" w:hAnsi="Times New Roman"/>
          <w:b/>
          <w:noProof w:val="0"/>
        </w:rPr>
      </w:pPr>
      <w:r w:rsidRPr="00872D7E">
        <w:rPr>
          <w:rFonts w:ascii="Times New Roman" w:hAnsi="Times New Roman"/>
          <w:b/>
          <w:noProof w:val="0"/>
        </w:rPr>
        <w:lastRenderedPageBreak/>
        <w:t>DÜNYA</w:t>
      </w:r>
      <w:r w:rsidR="00795DB8" w:rsidRPr="00872D7E">
        <w:rPr>
          <w:rFonts w:ascii="Times New Roman" w:hAnsi="Times New Roman"/>
          <w:b/>
          <w:noProof w:val="0"/>
        </w:rPr>
        <w:t xml:space="preserve"> KATILIM BANKASI A.Ş.'NİN </w:t>
      </w:r>
    </w:p>
    <w:p w14:paraId="7DFA7575" w14:textId="41379996" w:rsidR="0080411C" w:rsidRPr="00872D7E" w:rsidRDefault="00BC5A9E" w:rsidP="009F6E11">
      <w:pPr>
        <w:pStyle w:val="1tipi"/>
        <w:widowControl w:val="0"/>
        <w:jc w:val="center"/>
        <w:rPr>
          <w:rFonts w:ascii="Times New Roman" w:hAnsi="Times New Roman"/>
          <w:b/>
          <w:noProof w:val="0"/>
        </w:rPr>
      </w:pPr>
      <w:r w:rsidRPr="00872D7E">
        <w:rPr>
          <w:rFonts w:ascii="Times New Roman" w:hAnsi="Times New Roman"/>
          <w:b/>
          <w:noProof w:val="0"/>
        </w:rPr>
        <w:t>31 ARALIK</w:t>
      </w:r>
      <w:r w:rsidR="00795DB8" w:rsidRPr="00872D7E">
        <w:rPr>
          <w:rFonts w:ascii="Times New Roman" w:hAnsi="Times New Roman"/>
          <w:b/>
          <w:noProof w:val="0"/>
        </w:rPr>
        <w:t xml:space="preserve"> 202</w:t>
      </w:r>
      <w:r w:rsidR="00425B7F" w:rsidRPr="00872D7E">
        <w:rPr>
          <w:rFonts w:ascii="Times New Roman" w:hAnsi="Times New Roman"/>
          <w:b/>
          <w:noProof w:val="0"/>
        </w:rPr>
        <w:t>4</w:t>
      </w:r>
      <w:r w:rsidR="00795DB8" w:rsidRPr="00872D7E">
        <w:rPr>
          <w:rFonts w:ascii="Times New Roman" w:hAnsi="Times New Roman"/>
          <w:b/>
          <w:noProof w:val="0"/>
        </w:rPr>
        <w:t xml:space="preserve"> TARİHİ İTİBARIYLA HAZIRLANAN </w:t>
      </w:r>
      <w:r w:rsidRPr="00872D7E">
        <w:rPr>
          <w:rFonts w:ascii="Times New Roman" w:hAnsi="Times New Roman"/>
          <w:b/>
          <w:noProof w:val="0"/>
        </w:rPr>
        <w:t>YIL SONU</w:t>
      </w:r>
      <w:r w:rsidR="00795DB8" w:rsidRPr="00872D7E">
        <w:rPr>
          <w:rFonts w:ascii="Times New Roman" w:hAnsi="Times New Roman"/>
          <w:b/>
          <w:noProof w:val="0"/>
        </w:rPr>
        <w:t xml:space="preserve"> </w:t>
      </w:r>
    </w:p>
    <w:p w14:paraId="21F28FB6" w14:textId="547740B6" w:rsidR="00795DB8" w:rsidRPr="00872D7E" w:rsidRDefault="00795DB8" w:rsidP="009F6E11">
      <w:pPr>
        <w:pStyle w:val="1tipi"/>
        <w:widowControl w:val="0"/>
        <w:jc w:val="center"/>
        <w:rPr>
          <w:rFonts w:ascii="Times New Roman" w:hAnsi="Times New Roman"/>
          <w:b/>
          <w:noProof w:val="0"/>
        </w:rPr>
      </w:pPr>
      <w:r w:rsidRPr="00872D7E">
        <w:rPr>
          <w:rFonts w:ascii="Times New Roman" w:hAnsi="Times New Roman"/>
          <w:b/>
          <w:noProof w:val="0"/>
        </w:rPr>
        <w:t>KONSOLİDE OLMAYAN FİNANSAL RAPORU</w:t>
      </w:r>
    </w:p>
    <w:p w14:paraId="33874A83" w14:textId="77777777" w:rsidR="00485D0F" w:rsidRPr="00872D7E" w:rsidRDefault="00485D0F" w:rsidP="009F6E11">
      <w:pPr>
        <w:pStyle w:val="1tipi"/>
        <w:widowControl w:val="0"/>
        <w:tabs>
          <w:tab w:val="clear" w:pos="1134"/>
        </w:tabs>
        <w:jc w:val="center"/>
        <w:rPr>
          <w:rFonts w:ascii="Times New Roman" w:hAnsi="Times New Roman"/>
          <w:noProof w:val="0"/>
          <w:snapToGrid/>
        </w:rPr>
      </w:pPr>
    </w:p>
    <w:p w14:paraId="7A9FDF73" w14:textId="2960C43A" w:rsidR="008B4A05" w:rsidRPr="00872D7E" w:rsidRDefault="008B4A05" w:rsidP="0080411C">
      <w:pPr>
        <w:pStyle w:val="1tipi"/>
        <w:widowControl w:val="0"/>
        <w:tabs>
          <w:tab w:val="clear" w:pos="1134"/>
        </w:tabs>
        <w:jc w:val="left"/>
        <w:rPr>
          <w:rFonts w:ascii="Times New Roman" w:hAnsi="Times New Roman"/>
          <w:noProof w:val="0"/>
          <w:snapToGrid/>
          <w:szCs w:val="18"/>
        </w:rPr>
      </w:pPr>
      <w:r w:rsidRPr="00872D7E">
        <w:rPr>
          <w:rFonts w:ascii="Times New Roman" w:hAnsi="Times New Roman"/>
          <w:noProof w:val="0"/>
          <w:snapToGrid/>
          <w:szCs w:val="18"/>
        </w:rPr>
        <w:t>Banka’nın Yönetim Merkezinin Adresi</w:t>
      </w:r>
      <w:r w:rsidR="00BC5A9E" w:rsidRPr="00872D7E">
        <w:rPr>
          <w:rFonts w:ascii="Times New Roman" w:hAnsi="Times New Roman"/>
          <w:noProof w:val="0"/>
          <w:snapToGrid/>
          <w:szCs w:val="18"/>
        </w:rPr>
        <w:tab/>
      </w:r>
      <w:r w:rsidRPr="00872D7E">
        <w:rPr>
          <w:rFonts w:ascii="Times New Roman" w:hAnsi="Times New Roman"/>
          <w:noProof w:val="0"/>
          <w:snapToGrid/>
          <w:szCs w:val="18"/>
        </w:rPr>
        <w:t xml:space="preserve">: </w:t>
      </w:r>
      <w:proofErr w:type="spellStart"/>
      <w:r w:rsidR="0080411C" w:rsidRPr="00872D7E">
        <w:rPr>
          <w:rFonts w:ascii="Times New Roman" w:hAnsi="Times New Roman"/>
          <w:noProof w:val="0"/>
          <w:snapToGrid/>
          <w:szCs w:val="18"/>
        </w:rPr>
        <w:t>Yamanevler</w:t>
      </w:r>
      <w:proofErr w:type="spellEnd"/>
      <w:r w:rsidR="0080411C" w:rsidRPr="00872D7E">
        <w:rPr>
          <w:rFonts w:ascii="Times New Roman" w:hAnsi="Times New Roman"/>
          <w:noProof w:val="0"/>
          <w:snapToGrid/>
          <w:szCs w:val="18"/>
        </w:rPr>
        <w:t xml:space="preserve"> Mah. Ahmet Tevfik İleri Cad. No:1/3 Ümraniye/İstanbul</w:t>
      </w:r>
    </w:p>
    <w:p w14:paraId="7D2D7820" w14:textId="4D679431" w:rsidR="0080411C" w:rsidRPr="00872D7E" w:rsidRDefault="008B4A05" w:rsidP="009F6E11">
      <w:pPr>
        <w:widowControl w:val="0"/>
        <w:jc w:val="both"/>
        <w:rPr>
          <w:szCs w:val="18"/>
        </w:rPr>
      </w:pPr>
      <w:r w:rsidRPr="00872D7E">
        <w:rPr>
          <w:szCs w:val="18"/>
        </w:rPr>
        <w:t>Banka’nın Telefon</w:t>
      </w:r>
      <w:r w:rsidR="003F76F1" w:rsidRPr="00872D7E">
        <w:rPr>
          <w:szCs w:val="18"/>
        </w:rPr>
        <w:t xml:space="preserve"> Numarası</w:t>
      </w:r>
      <w:r w:rsidR="00BC5A9E" w:rsidRPr="00872D7E">
        <w:rPr>
          <w:szCs w:val="18"/>
        </w:rPr>
        <w:tab/>
      </w:r>
      <w:r w:rsidR="00BC5A9E" w:rsidRPr="00872D7E">
        <w:rPr>
          <w:szCs w:val="18"/>
        </w:rPr>
        <w:tab/>
      </w:r>
      <w:r w:rsidR="0080411C" w:rsidRPr="00872D7E">
        <w:rPr>
          <w:szCs w:val="18"/>
        </w:rPr>
        <w:t xml:space="preserve">: </w:t>
      </w:r>
      <w:r w:rsidR="00705265" w:rsidRPr="00872D7E">
        <w:rPr>
          <w:szCs w:val="18"/>
        </w:rPr>
        <w:t>444 3 166</w:t>
      </w:r>
    </w:p>
    <w:p w14:paraId="624C3769" w14:textId="5F093E22" w:rsidR="008B4A05" w:rsidRPr="00872D7E" w:rsidRDefault="0080411C" w:rsidP="009F6E11">
      <w:pPr>
        <w:widowControl w:val="0"/>
        <w:jc w:val="both"/>
        <w:rPr>
          <w:szCs w:val="18"/>
        </w:rPr>
      </w:pPr>
      <w:r w:rsidRPr="00872D7E">
        <w:rPr>
          <w:szCs w:val="18"/>
        </w:rPr>
        <w:t xml:space="preserve">Banka’nın </w:t>
      </w:r>
      <w:r w:rsidR="00F95BB0" w:rsidRPr="00872D7E">
        <w:rPr>
          <w:szCs w:val="18"/>
        </w:rPr>
        <w:t>Faks Numara</w:t>
      </w:r>
      <w:r w:rsidRPr="00872D7E">
        <w:rPr>
          <w:szCs w:val="18"/>
        </w:rPr>
        <w:t>sı</w:t>
      </w:r>
      <w:r w:rsidR="00BC5A9E" w:rsidRPr="00872D7E">
        <w:rPr>
          <w:szCs w:val="18"/>
        </w:rPr>
        <w:tab/>
      </w:r>
      <w:r w:rsidR="00BC5A9E" w:rsidRPr="00872D7E">
        <w:rPr>
          <w:szCs w:val="18"/>
        </w:rPr>
        <w:tab/>
      </w:r>
      <w:r w:rsidR="00BC5A9E" w:rsidRPr="00872D7E">
        <w:rPr>
          <w:szCs w:val="18"/>
        </w:rPr>
        <w:tab/>
      </w:r>
      <w:r w:rsidR="00697381" w:rsidRPr="00872D7E">
        <w:rPr>
          <w:szCs w:val="18"/>
        </w:rPr>
        <w:t xml:space="preserve">: </w:t>
      </w:r>
      <w:r w:rsidR="00B7176E" w:rsidRPr="00872D7E">
        <w:rPr>
          <w:szCs w:val="18"/>
        </w:rPr>
        <w:t xml:space="preserve">0 </w:t>
      </w:r>
      <w:r w:rsidRPr="00872D7E">
        <w:rPr>
          <w:szCs w:val="18"/>
        </w:rPr>
        <w:t>(</w:t>
      </w:r>
      <w:r w:rsidR="00B7176E" w:rsidRPr="00872D7E">
        <w:rPr>
          <w:szCs w:val="18"/>
        </w:rPr>
        <w:t>212</w:t>
      </w:r>
      <w:r w:rsidRPr="00872D7E">
        <w:rPr>
          <w:szCs w:val="18"/>
        </w:rPr>
        <w:t>)</w:t>
      </w:r>
      <w:r w:rsidR="00B7176E" w:rsidRPr="00872D7E">
        <w:rPr>
          <w:szCs w:val="18"/>
        </w:rPr>
        <w:t xml:space="preserve"> 272 64 46</w:t>
      </w:r>
    </w:p>
    <w:p w14:paraId="6F561201" w14:textId="54F95937" w:rsidR="00B7176E" w:rsidRPr="00872D7E" w:rsidRDefault="008B4A05" w:rsidP="009F6E11">
      <w:pPr>
        <w:widowControl w:val="0"/>
        <w:jc w:val="both"/>
        <w:rPr>
          <w:szCs w:val="18"/>
        </w:rPr>
      </w:pPr>
      <w:r w:rsidRPr="00872D7E">
        <w:rPr>
          <w:szCs w:val="18"/>
        </w:rPr>
        <w:t>Banka’nın İnternet Sayfa</w:t>
      </w:r>
      <w:r w:rsidR="00B91DA3" w:rsidRPr="00872D7E">
        <w:rPr>
          <w:szCs w:val="18"/>
        </w:rPr>
        <w:t>sı Adresi</w:t>
      </w:r>
      <w:r w:rsidR="00BC5A9E" w:rsidRPr="00872D7E">
        <w:rPr>
          <w:szCs w:val="18"/>
        </w:rPr>
        <w:tab/>
      </w:r>
      <w:r w:rsidR="00BC5A9E" w:rsidRPr="00872D7E">
        <w:rPr>
          <w:szCs w:val="18"/>
        </w:rPr>
        <w:tab/>
      </w:r>
      <w:r w:rsidR="00B91DA3" w:rsidRPr="00872D7E">
        <w:rPr>
          <w:szCs w:val="18"/>
        </w:rPr>
        <w:t xml:space="preserve">: </w:t>
      </w:r>
      <w:r w:rsidR="00B7176E" w:rsidRPr="00872D7E">
        <w:rPr>
          <w:szCs w:val="18"/>
        </w:rPr>
        <w:t xml:space="preserve">www.dunyakatilim.com.tr </w:t>
      </w:r>
    </w:p>
    <w:p w14:paraId="0F30BDCF" w14:textId="7523FED4" w:rsidR="008B4A05" w:rsidRPr="00872D7E" w:rsidRDefault="00B7176E" w:rsidP="009F6E11">
      <w:pPr>
        <w:widowControl w:val="0"/>
        <w:jc w:val="both"/>
        <w:rPr>
          <w:szCs w:val="18"/>
        </w:rPr>
      </w:pPr>
      <w:r w:rsidRPr="00872D7E">
        <w:rPr>
          <w:szCs w:val="18"/>
        </w:rPr>
        <w:t>İrtibat İçin Elektronik Posta Adresi</w:t>
      </w:r>
      <w:r w:rsidR="00BC5A9E" w:rsidRPr="00872D7E">
        <w:rPr>
          <w:szCs w:val="18"/>
        </w:rPr>
        <w:tab/>
      </w:r>
      <w:r w:rsidR="00BC5A9E" w:rsidRPr="00872D7E">
        <w:rPr>
          <w:szCs w:val="18"/>
        </w:rPr>
        <w:tab/>
      </w:r>
      <w:r w:rsidRPr="00872D7E">
        <w:rPr>
          <w:szCs w:val="18"/>
        </w:rPr>
        <w:t>:</w:t>
      </w:r>
      <w:r w:rsidR="0080411C" w:rsidRPr="00872D7E">
        <w:rPr>
          <w:szCs w:val="18"/>
        </w:rPr>
        <w:t xml:space="preserve"> bilgi@dunyakatilim.com.tr</w:t>
      </w:r>
    </w:p>
    <w:p w14:paraId="1048FF0F" w14:textId="77777777" w:rsidR="0080411C" w:rsidRPr="00872D7E" w:rsidRDefault="0080411C" w:rsidP="009F6E11">
      <w:pPr>
        <w:widowControl w:val="0"/>
        <w:jc w:val="both"/>
        <w:rPr>
          <w:szCs w:val="18"/>
        </w:rPr>
      </w:pPr>
    </w:p>
    <w:p w14:paraId="5BEE5EC0" w14:textId="4FE570B0" w:rsidR="008B4A05" w:rsidRPr="00872D7E" w:rsidRDefault="008B4A05" w:rsidP="009F6E11">
      <w:pPr>
        <w:widowControl w:val="0"/>
        <w:tabs>
          <w:tab w:val="left" w:pos="6120"/>
        </w:tabs>
        <w:suppressAutoHyphens/>
        <w:jc w:val="both"/>
        <w:rPr>
          <w:sz w:val="18"/>
          <w:szCs w:val="18"/>
        </w:rPr>
      </w:pPr>
      <w:r w:rsidRPr="00872D7E">
        <w:rPr>
          <w:szCs w:val="18"/>
        </w:rPr>
        <w:t>Bankacılık Düzenleme ve Denetleme Kurumu tarafından düzenlenen Bankalarca Kamuya Açıklanacak Finansal Tablolar ile Bunlara İlişkin Açıklama ve Dipnotlar Hakkında Tebliğe göre hazırlanan</w:t>
      </w:r>
      <w:r w:rsidR="00073FCD" w:rsidRPr="00872D7E">
        <w:rPr>
          <w:szCs w:val="18"/>
        </w:rPr>
        <w:t xml:space="preserve"> </w:t>
      </w:r>
      <w:r w:rsidR="006C2C17" w:rsidRPr="00872D7E">
        <w:rPr>
          <w:szCs w:val="18"/>
        </w:rPr>
        <w:t>yıl sonu</w:t>
      </w:r>
      <w:r w:rsidR="00C33B1F" w:rsidRPr="00872D7E">
        <w:rPr>
          <w:szCs w:val="18"/>
        </w:rPr>
        <w:t xml:space="preserve"> </w:t>
      </w:r>
      <w:r w:rsidRPr="00872D7E">
        <w:rPr>
          <w:szCs w:val="18"/>
        </w:rPr>
        <w:t>konsolide olmayan finansal rapor aşağıda yer alan bölümlerden oluşmaktadır.</w:t>
      </w:r>
    </w:p>
    <w:p w14:paraId="62B5E090" w14:textId="77777777" w:rsidR="008B4A05" w:rsidRPr="00872D7E" w:rsidRDefault="008B4A05" w:rsidP="009F6E11">
      <w:pPr>
        <w:widowControl w:val="0"/>
        <w:tabs>
          <w:tab w:val="left" w:pos="6120"/>
        </w:tabs>
        <w:suppressAutoHyphens/>
        <w:jc w:val="both"/>
        <w:rPr>
          <w:sz w:val="18"/>
          <w:szCs w:val="18"/>
        </w:rPr>
      </w:pPr>
    </w:p>
    <w:p w14:paraId="5002ABA6" w14:textId="77777777" w:rsidR="00F74E22" w:rsidRPr="00872D7E" w:rsidRDefault="00F74E22" w:rsidP="009F6E11">
      <w:pPr>
        <w:widowControl w:val="0"/>
        <w:numPr>
          <w:ilvl w:val="0"/>
          <w:numId w:val="1"/>
        </w:numPr>
        <w:tabs>
          <w:tab w:val="clear" w:pos="360"/>
          <w:tab w:val="left" w:pos="561"/>
        </w:tabs>
        <w:ind w:left="561" w:hanging="561"/>
        <w:jc w:val="both"/>
        <w:rPr>
          <w:szCs w:val="20"/>
        </w:rPr>
      </w:pPr>
      <w:r w:rsidRPr="00872D7E">
        <w:rPr>
          <w:szCs w:val="20"/>
        </w:rPr>
        <w:t>BANKA HAKKINDA GENEL BİLGİLER</w:t>
      </w:r>
    </w:p>
    <w:p w14:paraId="117FE37D" w14:textId="77777777" w:rsidR="00F74E22" w:rsidRPr="00872D7E" w:rsidRDefault="00F74E22" w:rsidP="009F6E11">
      <w:pPr>
        <w:widowControl w:val="0"/>
        <w:numPr>
          <w:ilvl w:val="0"/>
          <w:numId w:val="1"/>
        </w:numPr>
        <w:tabs>
          <w:tab w:val="clear" w:pos="360"/>
          <w:tab w:val="left" w:pos="561"/>
        </w:tabs>
        <w:ind w:left="561" w:hanging="561"/>
        <w:jc w:val="both"/>
        <w:rPr>
          <w:szCs w:val="20"/>
        </w:rPr>
      </w:pPr>
      <w:r w:rsidRPr="00872D7E">
        <w:rPr>
          <w:szCs w:val="20"/>
        </w:rPr>
        <w:t>BANKA’NIN KONSOLİDE OLMAYAN FİNANSAL TABLOLARI</w:t>
      </w:r>
    </w:p>
    <w:p w14:paraId="7246E043" w14:textId="77777777" w:rsidR="00F74E22" w:rsidRPr="00872D7E" w:rsidRDefault="00F74E22" w:rsidP="009F6E11">
      <w:pPr>
        <w:widowControl w:val="0"/>
        <w:numPr>
          <w:ilvl w:val="0"/>
          <w:numId w:val="1"/>
        </w:numPr>
        <w:tabs>
          <w:tab w:val="clear" w:pos="360"/>
          <w:tab w:val="left" w:pos="561"/>
        </w:tabs>
        <w:ind w:left="561" w:hanging="561"/>
        <w:jc w:val="both"/>
        <w:rPr>
          <w:szCs w:val="20"/>
        </w:rPr>
      </w:pPr>
      <w:r w:rsidRPr="00872D7E">
        <w:rPr>
          <w:szCs w:val="20"/>
        </w:rPr>
        <w:t>İLGİLİ DÖNEMDE UYGULANAN MUHASEBE POLİTİKALARINA İLİŞKİN AÇIKLAMALAR</w:t>
      </w:r>
    </w:p>
    <w:p w14:paraId="241670D7" w14:textId="77777777" w:rsidR="00F74E22" w:rsidRPr="00872D7E" w:rsidRDefault="00F74E22" w:rsidP="009F6E11">
      <w:pPr>
        <w:widowControl w:val="0"/>
        <w:numPr>
          <w:ilvl w:val="0"/>
          <w:numId w:val="1"/>
        </w:numPr>
        <w:tabs>
          <w:tab w:val="clear" w:pos="360"/>
          <w:tab w:val="left" w:pos="561"/>
        </w:tabs>
        <w:ind w:left="561" w:hanging="561"/>
        <w:jc w:val="both"/>
        <w:rPr>
          <w:szCs w:val="20"/>
        </w:rPr>
      </w:pPr>
      <w:r w:rsidRPr="00872D7E">
        <w:rPr>
          <w:szCs w:val="20"/>
        </w:rPr>
        <w:t>BANKA’NIN MALİ BÜNYESİNE VE RİSK YÖNETİMİNE İLİŞKİN BİLGİLER</w:t>
      </w:r>
    </w:p>
    <w:p w14:paraId="1317A6E3" w14:textId="5CE0C155" w:rsidR="005E1A3E" w:rsidRPr="00872D7E" w:rsidRDefault="00F74E22" w:rsidP="009F6E11">
      <w:pPr>
        <w:widowControl w:val="0"/>
        <w:numPr>
          <w:ilvl w:val="0"/>
          <w:numId w:val="1"/>
        </w:numPr>
        <w:tabs>
          <w:tab w:val="clear" w:pos="360"/>
          <w:tab w:val="left" w:pos="561"/>
        </w:tabs>
        <w:ind w:left="561" w:hanging="561"/>
        <w:jc w:val="both"/>
        <w:rPr>
          <w:szCs w:val="20"/>
        </w:rPr>
      </w:pPr>
      <w:r w:rsidRPr="00872D7E">
        <w:rPr>
          <w:szCs w:val="20"/>
        </w:rPr>
        <w:t>KONSOLİDE OLMAYAN FİNANSAL TABLOLARA İLİŞKİN AÇIKLAMA VE DİPNOTLAR</w:t>
      </w:r>
    </w:p>
    <w:p w14:paraId="3565B704" w14:textId="5CEA59F1" w:rsidR="00644272" w:rsidRPr="00872D7E" w:rsidRDefault="00644272" w:rsidP="009F6E11">
      <w:pPr>
        <w:widowControl w:val="0"/>
        <w:numPr>
          <w:ilvl w:val="0"/>
          <w:numId w:val="1"/>
        </w:numPr>
        <w:tabs>
          <w:tab w:val="clear" w:pos="360"/>
          <w:tab w:val="left" w:pos="561"/>
        </w:tabs>
        <w:ind w:left="561" w:hanging="561"/>
        <w:jc w:val="both"/>
        <w:rPr>
          <w:szCs w:val="20"/>
        </w:rPr>
      </w:pPr>
      <w:r w:rsidRPr="00872D7E">
        <w:rPr>
          <w:szCs w:val="20"/>
        </w:rPr>
        <w:t>DİĞER AÇIKLAMALAR</w:t>
      </w:r>
    </w:p>
    <w:p w14:paraId="5F4B0548" w14:textId="0FBE2888" w:rsidR="0080411C" w:rsidRPr="00872D7E" w:rsidRDefault="00BC5A9E" w:rsidP="009F6E11">
      <w:pPr>
        <w:widowControl w:val="0"/>
        <w:numPr>
          <w:ilvl w:val="0"/>
          <w:numId w:val="1"/>
        </w:numPr>
        <w:tabs>
          <w:tab w:val="clear" w:pos="360"/>
          <w:tab w:val="left" w:pos="561"/>
        </w:tabs>
        <w:ind w:left="561" w:hanging="561"/>
        <w:jc w:val="both"/>
        <w:rPr>
          <w:szCs w:val="20"/>
        </w:rPr>
      </w:pPr>
      <w:r w:rsidRPr="00872D7E">
        <w:rPr>
          <w:szCs w:val="20"/>
        </w:rPr>
        <w:t>BAĞIMSIZ</w:t>
      </w:r>
      <w:r w:rsidR="0080411C" w:rsidRPr="00872D7E">
        <w:rPr>
          <w:szCs w:val="20"/>
        </w:rPr>
        <w:t xml:space="preserve"> DENETİM RAPORU</w:t>
      </w:r>
    </w:p>
    <w:p w14:paraId="6D3CB1E2" w14:textId="77777777" w:rsidR="008B4A05" w:rsidRPr="00872D7E" w:rsidRDefault="008B4A05" w:rsidP="009F6E11">
      <w:pPr>
        <w:widowControl w:val="0"/>
        <w:tabs>
          <w:tab w:val="left" w:pos="561"/>
        </w:tabs>
        <w:jc w:val="both"/>
        <w:rPr>
          <w:sz w:val="18"/>
          <w:szCs w:val="18"/>
        </w:rPr>
      </w:pPr>
    </w:p>
    <w:p w14:paraId="1033BA6F" w14:textId="64747DDE" w:rsidR="004D0CDC" w:rsidRPr="00872D7E" w:rsidRDefault="006B6095" w:rsidP="009F6E11">
      <w:pPr>
        <w:widowControl w:val="0"/>
        <w:tabs>
          <w:tab w:val="left" w:pos="6120"/>
        </w:tabs>
        <w:suppressAutoHyphens/>
        <w:jc w:val="both"/>
        <w:rPr>
          <w:sz w:val="18"/>
          <w:szCs w:val="18"/>
        </w:rPr>
      </w:pPr>
      <w:r w:rsidRPr="00872D7E">
        <w:rPr>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872D7E">
        <w:rPr>
          <w:b/>
          <w:szCs w:val="18"/>
        </w:rPr>
        <w:t>bin Türk Lirası</w:t>
      </w:r>
      <w:r w:rsidRPr="00872D7E">
        <w:rPr>
          <w:szCs w:val="18"/>
        </w:rPr>
        <w:t xml:space="preserve"> cinsinden hazırlanmış olup,</w:t>
      </w:r>
      <w:r w:rsidR="00C33B1F" w:rsidRPr="00872D7E">
        <w:rPr>
          <w:szCs w:val="18"/>
        </w:rPr>
        <w:t xml:space="preserve"> </w:t>
      </w:r>
      <w:r w:rsidR="00BC5A9E" w:rsidRPr="00872D7E">
        <w:rPr>
          <w:szCs w:val="18"/>
        </w:rPr>
        <w:t xml:space="preserve">bağımsız </w:t>
      </w:r>
      <w:r w:rsidRPr="00872D7E">
        <w:rPr>
          <w:szCs w:val="18"/>
        </w:rPr>
        <w:t>denetime tabi tutulmuş ve ilişikte sunulmuştur.</w:t>
      </w:r>
    </w:p>
    <w:p w14:paraId="2B83F06B" w14:textId="77777777" w:rsidR="004D0CDC" w:rsidRPr="00872D7E" w:rsidRDefault="004D0CDC" w:rsidP="009F6E11">
      <w:pPr>
        <w:widowControl w:val="0"/>
        <w:tabs>
          <w:tab w:val="left" w:pos="6120"/>
        </w:tabs>
        <w:suppressAutoHyphens/>
        <w:jc w:val="both"/>
        <w:rPr>
          <w:sz w:val="18"/>
          <w:szCs w:val="18"/>
        </w:rPr>
      </w:pPr>
    </w:p>
    <w:p w14:paraId="7FAB0645" w14:textId="0AB5BF8B" w:rsidR="004D0CDC" w:rsidRPr="00872D7E" w:rsidRDefault="004D0CDC" w:rsidP="009F6E11">
      <w:pPr>
        <w:widowControl w:val="0"/>
        <w:ind w:right="249"/>
        <w:jc w:val="center"/>
        <w:rPr>
          <w:szCs w:val="20"/>
        </w:rPr>
      </w:pPr>
    </w:p>
    <w:p w14:paraId="7981F229" w14:textId="77777777" w:rsidR="00EC0E95" w:rsidRPr="00872D7E" w:rsidRDefault="00EC0E95" w:rsidP="009F6E11">
      <w:pPr>
        <w:widowControl w:val="0"/>
        <w:ind w:right="249"/>
        <w:jc w:val="center"/>
        <w:rPr>
          <w:szCs w:val="20"/>
        </w:rPr>
      </w:pPr>
    </w:p>
    <w:p w14:paraId="6217F1EC" w14:textId="32572475" w:rsidR="004D0CDC" w:rsidRPr="00872D7E" w:rsidRDefault="004D0CDC" w:rsidP="009F6E11">
      <w:pPr>
        <w:widowControl w:val="0"/>
        <w:ind w:right="249"/>
        <w:jc w:val="center"/>
        <w:rPr>
          <w:szCs w:val="20"/>
        </w:rPr>
      </w:pPr>
    </w:p>
    <w:p w14:paraId="541E6003" w14:textId="77777777" w:rsidR="002970D5" w:rsidRPr="00872D7E" w:rsidRDefault="002970D5" w:rsidP="009F6E11">
      <w:pPr>
        <w:widowControl w:val="0"/>
        <w:ind w:right="249"/>
        <w:jc w:val="center"/>
        <w:rPr>
          <w:szCs w:val="20"/>
        </w:rPr>
      </w:pPr>
    </w:p>
    <w:p w14:paraId="3A622239" w14:textId="77777777" w:rsidR="00DE05C6" w:rsidRPr="00872D7E" w:rsidRDefault="00DE05C6" w:rsidP="009F6E11">
      <w:pPr>
        <w:widowControl w:val="0"/>
        <w:ind w:right="249"/>
        <w:jc w:val="center"/>
        <w:rPr>
          <w:szCs w:val="20"/>
        </w:rPr>
      </w:pPr>
    </w:p>
    <w:tbl>
      <w:tblPr>
        <w:tblW w:w="8505" w:type="dxa"/>
        <w:jc w:val="center"/>
        <w:tblLayout w:type="fixed"/>
        <w:tblLook w:val="0000" w:firstRow="0" w:lastRow="0" w:firstColumn="0" w:lastColumn="0" w:noHBand="0" w:noVBand="0"/>
      </w:tblPr>
      <w:tblGrid>
        <w:gridCol w:w="3118"/>
        <w:gridCol w:w="2694"/>
        <w:gridCol w:w="2693"/>
      </w:tblGrid>
      <w:tr w:rsidR="00DE05C6" w:rsidRPr="00872D7E" w14:paraId="4C474C2D" w14:textId="77777777" w:rsidTr="00BA4107">
        <w:trPr>
          <w:trHeight w:val="397"/>
          <w:jc w:val="center"/>
        </w:trPr>
        <w:tc>
          <w:tcPr>
            <w:tcW w:w="3118" w:type="dxa"/>
          </w:tcPr>
          <w:p w14:paraId="0D2CC4C2" w14:textId="77777777" w:rsidR="00DE05C6" w:rsidRPr="00872D7E" w:rsidRDefault="00DE05C6" w:rsidP="00FA634F">
            <w:pPr>
              <w:ind w:left="175"/>
              <w:jc w:val="center"/>
              <w:rPr>
                <w:szCs w:val="20"/>
              </w:rPr>
            </w:pPr>
            <w:r w:rsidRPr="00872D7E">
              <w:rPr>
                <w:szCs w:val="20"/>
              </w:rPr>
              <w:t>____________________</w:t>
            </w:r>
          </w:p>
        </w:tc>
        <w:tc>
          <w:tcPr>
            <w:tcW w:w="2694" w:type="dxa"/>
          </w:tcPr>
          <w:p w14:paraId="098505CB" w14:textId="699B05F7" w:rsidR="00DE05C6" w:rsidRPr="00872D7E" w:rsidRDefault="00DE05C6" w:rsidP="00FA634F">
            <w:pPr>
              <w:ind w:left="175"/>
              <w:jc w:val="center"/>
              <w:rPr>
                <w:szCs w:val="20"/>
              </w:rPr>
            </w:pPr>
            <w:r w:rsidRPr="00872D7E">
              <w:rPr>
                <w:szCs w:val="20"/>
              </w:rPr>
              <w:t>___________________</w:t>
            </w:r>
          </w:p>
        </w:tc>
        <w:tc>
          <w:tcPr>
            <w:tcW w:w="2693" w:type="dxa"/>
          </w:tcPr>
          <w:p w14:paraId="4F3C02E1" w14:textId="4391F8F4" w:rsidR="00DE05C6" w:rsidRPr="00872D7E" w:rsidRDefault="00DE05C6" w:rsidP="00FA634F">
            <w:pPr>
              <w:ind w:left="175"/>
              <w:jc w:val="center"/>
              <w:rPr>
                <w:szCs w:val="20"/>
              </w:rPr>
            </w:pPr>
            <w:r w:rsidRPr="00872D7E">
              <w:rPr>
                <w:szCs w:val="20"/>
              </w:rPr>
              <w:t>___________________</w:t>
            </w:r>
          </w:p>
        </w:tc>
      </w:tr>
      <w:tr w:rsidR="00DE05C6" w:rsidRPr="00872D7E" w14:paraId="35C6702C" w14:textId="77777777" w:rsidTr="00FA634F">
        <w:trPr>
          <w:trHeight w:val="1023"/>
          <w:jc w:val="center"/>
        </w:trPr>
        <w:tc>
          <w:tcPr>
            <w:tcW w:w="3118" w:type="dxa"/>
          </w:tcPr>
          <w:p w14:paraId="66423D67" w14:textId="2F2506C7" w:rsidR="00DE05C6" w:rsidRPr="00872D7E" w:rsidRDefault="00DE05C6" w:rsidP="00FA634F">
            <w:pPr>
              <w:ind w:left="175"/>
              <w:jc w:val="center"/>
              <w:rPr>
                <w:szCs w:val="20"/>
              </w:rPr>
            </w:pPr>
            <w:r w:rsidRPr="00872D7E">
              <w:rPr>
                <w:color w:val="000000"/>
                <w:szCs w:val="20"/>
              </w:rPr>
              <w:t>Ahmet AHLATCI</w:t>
            </w:r>
          </w:p>
          <w:p w14:paraId="163A7735" w14:textId="77777777" w:rsidR="00DE05C6" w:rsidRPr="00872D7E" w:rsidRDefault="00DE05C6" w:rsidP="00FA634F">
            <w:pPr>
              <w:ind w:left="175"/>
              <w:jc w:val="center"/>
              <w:rPr>
                <w:szCs w:val="20"/>
              </w:rPr>
            </w:pPr>
            <w:r w:rsidRPr="00872D7E">
              <w:rPr>
                <w:szCs w:val="20"/>
              </w:rPr>
              <w:t xml:space="preserve">Yönetim Kurulu Başkanı </w:t>
            </w:r>
          </w:p>
          <w:p w14:paraId="5BFBD71D" w14:textId="77777777" w:rsidR="00DE05C6" w:rsidRPr="00872D7E" w:rsidRDefault="00DE05C6" w:rsidP="00FA634F">
            <w:pPr>
              <w:ind w:left="175"/>
              <w:jc w:val="center"/>
              <w:rPr>
                <w:szCs w:val="20"/>
              </w:rPr>
            </w:pPr>
          </w:p>
        </w:tc>
        <w:tc>
          <w:tcPr>
            <w:tcW w:w="2694" w:type="dxa"/>
          </w:tcPr>
          <w:p w14:paraId="6778497A" w14:textId="467F428A" w:rsidR="00DE05C6" w:rsidRPr="00872D7E" w:rsidRDefault="00DE05C6" w:rsidP="00FA634F">
            <w:pPr>
              <w:ind w:left="175"/>
              <w:jc w:val="center"/>
              <w:rPr>
                <w:szCs w:val="20"/>
              </w:rPr>
            </w:pPr>
            <w:r w:rsidRPr="00872D7E">
              <w:rPr>
                <w:bCs/>
                <w:szCs w:val="20"/>
              </w:rPr>
              <w:t>Abdül Latif ÖZKAYNAK</w:t>
            </w:r>
          </w:p>
          <w:p w14:paraId="0CA7B446" w14:textId="2C53342F" w:rsidR="00DE05C6" w:rsidRPr="00872D7E" w:rsidRDefault="00DE05C6" w:rsidP="00FA634F">
            <w:pPr>
              <w:ind w:left="175"/>
              <w:jc w:val="center"/>
              <w:rPr>
                <w:szCs w:val="20"/>
              </w:rPr>
            </w:pPr>
            <w:r w:rsidRPr="00872D7E">
              <w:rPr>
                <w:szCs w:val="20"/>
              </w:rPr>
              <w:t>Yönetim Kurulu Üyesi,</w:t>
            </w:r>
          </w:p>
          <w:p w14:paraId="18BBAAF0" w14:textId="1376364E" w:rsidR="00DE05C6" w:rsidRPr="00872D7E" w:rsidRDefault="00DE05C6" w:rsidP="00FA634F">
            <w:pPr>
              <w:ind w:left="175"/>
              <w:jc w:val="center"/>
              <w:rPr>
                <w:szCs w:val="20"/>
              </w:rPr>
            </w:pPr>
            <w:r w:rsidRPr="00872D7E">
              <w:rPr>
                <w:szCs w:val="20"/>
              </w:rPr>
              <w:t xml:space="preserve">Denetim Komitesi </w:t>
            </w:r>
            <w:r w:rsidR="00156C4D" w:rsidRPr="00872D7E">
              <w:rPr>
                <w:szCs w:val="20"/>
              </w:rPr>
              <w:t>Başkanı</w:t>
            </w:r>
          </w:p>
          <w:p w14:paraId="729973EE" w14:textId="77777777" w:rsidR="00DE05C6" w:rsidRPr="00872D7E" w:rsidRDefault="00DE05C6" w:rsidP="00FA634F">
            <w:pPr>
              <w:ind w:left="175"/>
              <w:jc w:val="center"/>
              <w:rPr>
                <w:szCs w:val="20"/>
              </w:rPr>
            </w:pPr>
          </w:p>
        </w:tc>
        <w:tc>
          <w:tcPr>
            <w:tcW w:w="2693" w:type="dxa"/>
          </w:tcPr>
          <w:p w14:paraId="04015AE4" w14:textId="308878EA" w:rsidR="00DE05C6" w:rsidRPr="00872D7E" w:rsidRDefault="00DE05C6" w:rsidP="00FA634F">
            <w:pPr>
              <w:ind w:left="175"/>
              <w:jc w:val="center"/>
              <w:rPr>
                <w:rFonts w:eastAsia="Arial Unicode MS"/>
                <w:bCs/>
                <w:szCs w:val="20"/>
              </w:rPr>
            </w:pPr>
            <w:r w:rsidRPr="00872D7E">
              <w:rPr>
                <w:rFonts w:eastAsia="Arial Unicode MS"/>
                <w:bCs/>
                <w:szCs w:val="20"/>
              </w:rPr>
              <w:t>Mustafa ER</w:t>
            </w:r>
          </w:p>
          <w:p w14:paraId="43087FD2" w14:textId="77777777" w:rsidR="00DE05C6" w:rsidRPr="00872D7E" w:rsidRDefault="00DE05C6" w:rsidP="00FA634F">
            <w:pPr>
              <w:ind w:left="175"/>
              <w:jc w:val="center"/>
              <w:rPr>
                <w:rFonts w:eastAsia="Arial Unicode MS"/>
                <w:bCs/>
                <w:szCs w:val="20"/>
              </w:rPr>
            </w:pPr>
            <w:r w:rsidRPr="00872D7E">
              <w:rPr>
                <w:rFonts w:eastAsia="Arial Unicode MS"/>
                <w:bCs/>
                <w:szCs w:val="20"/>
              </w:rPr>
              <w:t>Yönetim Kurulu Üyesi,</w:t>
            </w:r>
          </w:p>
          <w:p w14:paraId="44F4BAE7" w14:textId="77777777" w:rsidR="00DE05C6" w:rsidRPr="00872D7E" w:rsidRDefault="00DE05C6" w:rsidP="00DE05C6">
            <w:pPr>
              <w:ind w:left="175"/>
              <w:jc w:val="center"/>
              <w:rPr>
                <w:szCs w:val="20"/>
              </w:rPr>
            </w:pPr>
            <w:r w:rsidRPr="00872D7E">
              <w:rPr>
                <w:szCs w:val="20"/>
              </w:rPr>
              <w:t>Denetim Komitesi Üyesi</w:t>
            </w:r>
          </w:p>
          <w:p w14:paraId="381C6E76" w14:textId="7C6B8C5D" w:rsidR="00DE05C6" w:rsidRPr="00872D7E" w:rsidRDefault="00DE05C6" w:rsidP="00FA634F">
            <w:pPr>
              <w:ind w:left="175"/>
              <w:jc w:val="center"/>
              <w:rPr>
                <w:szCs w:val="20"/>
              </w:rPr>
            </w:pPr>
          </w:p>
        </w:tc>
      </w:tr>
    </w:tbl>
    <w:p w14:paraId="616555CC" w14:textId="719D606D" w:rsidR="00DE05C6" w:rsidRPr="00872D7E" w:rsidRDefault="00DE05C6" w:rsidP="00DE05C6">
      <w:pPr>
        <w:jc w:val="both"/>
        <w:rPr>
          <w:rFonts w:eastAsia="Arial Unicode MS"/>
          <w:b/>
          <w:bCs/>
          <w:szCs w:val="20"/>
        </w:rPr>
      </w:pPr>
    </w:p>
    <w:p w14:paraId="3D8926F7" w14:textId="1D3E425B" w:rsidR="00BA4107" w:rsidRPr="00872D7E" w:rsidRDefault="00BA4107" w:rsidP="00DE05C6">
      <w:pPr>
        <w:jc w:val="both"/>
        <w:rPr>
          <w:rFonts w:eastAsia="Arial Unicode MS"/>
          <w:b/>
          <w:bCs/>
          <w:szCs w:val="20"/>
        </w:rPr>
      </w:pPr>
    </w:p>
    <w:p w14:paraId="788468CF" w14:textId="77777777" w:rsidR="00EC0E95" w:rsidRPr="00872D7E" w:rsidRDefault="00EC0E95" w:rsidP="00DE05C6">
      <w:pPr>
        <w:jc w:val="both"/>
        <w:rPr>
          <w:rFonts w:eastAsia="Arial Unicode MS"/>
          <w:b/>
          <w:bCs/>
          <w:szCs w:val="20"/>
        </w:rPr>
      </w:pPr>
    </w:p>
    <w:p w14:paraId="07995DE3" w14:textId="77777777" w:rsidR="00DE05C6" w:rsidRPr="00872D7E" w:rsidRDefault="00DE05C6" w:rsidP="00DE05C6">
      <w:pPr>
        <w:jc w:val="both"/>
        <w:rPr>
          <w:rFonts w:eastAsia="Arial Unicode MS"/>
          <w:b/>
          <w:bCs/>
          <w:szCs w:val="20"/>
        </w:rPr>
      </w:pPr>
    </w:p>
    <w:tbl>
      <w:tblPr>
        <w:tblW w:w="8488" w:type="dxa"/>
        <w:jc w:val="center"/>
        <w:tblLook w:val="0000" w:firstRow="0" w:lastRow="0" w:firstColumn="0" w:lastColumn="0" w:noHBand="0" w:noVBand="0"/>
      </w:tblPr>
      <w:tblGrid>
        <w:gridCol w:w="3116"/>
        <w:gridCol w:w="2650"/>
        <w:gridCol w:w="2722"/>
      </w:tblGrid>
      <w:tr w:rsidR="00DE05C6" w:rsidRPr="00872D7E" w14:paraId="3C5007A1" w14:textId="77777777" w:rsidTr="00BA4107">
        <w:trPr>
          <w:trHeight w:val="397"/>
          <w:jc w:val="center"/>
        </w:trPr>
        <w:tc>
          <w:tcPr>
            <w:tcW w:w="3116" w:type="dxa"/>
          </w:tcPr>
          <w:p w14:paraId="21B37AB9" w14:textId="77777777" w:rsidR="00DE05C6" w:rsidRPr="00872D7E" w:rsidRDefault="00DE05C6" w:rsidP="00FA634F">
            <w:pPr>
              <w:jc w:val="center"/>
              <w:rPr>
                <w:szCs w:val="20"/>
              </w:rPr>
            </w:pPr>
            <w:r w:rsidRPr="00872D7E">
              <w:rPr>
                <w:szCs w:val="20"/>
              </w:rPr>
              <w:t>____________________</w:t>
            </w:r>
          </w:p>
        </w:tc>
        <w:tc>
          <w:tcPr>
            <w:tcW w:w="2650" w:type="dxa"/>
          </w:tcPr>
          <w:p w14:paraId="7D77D9F4" w14:textId="77777777" w:rsidR="00DE05C6" w:rsidRPr="00872D7E" w:rsidRDefault="00DE05C6" w:rsidP="00FA634F">
            <w:pPr>
              <w:jc w:val="center"/>
              <w:rPr>
                <w:szCs w:val="20"/>
              </w:rPr>
            </w:pPr>
            <w:r w:rsidRPr="00872D7E">
              <w:rPr>
                <w:szCs w:val="20"/>
              </w:rPr>
              <w:t>_____________________</w:t>
            </w:r>
          </w:p>
        </w:tc>
        <w:tc>
          <w:tcPr>
            <w:tcW w:w="2722" w:type="dxa"/>
          </w:tcPr>
          <w:p w14:paraId="79F1622B" w14:textId="77777777" w:rsidR="00DE05C6" w:rsidRPr="00872D7E" w:rsidRDefault="00DE05C6" w:rsidP="00FA634F">
            <w:pPr>
              <w:jc w:val="center"/>
              <w:rPr>
                <w:szCs w:val="20"/>
              </w:rPr>
            </w:pPr>
            <w:r w:rsidRPr="00872D7E">
              <w:rPr>
                <w:szCs w:val="20"/>
              </w:rPr>
              <w:t>______________________</w:t>
            </w:r>
          </w:p>
        </w:tc>
      </w:tr>
      <w:tr w:rsidR="00DE05C6" w:rsidRPr="00872D7E" w14:paraId="43D28DE1" w14:textId="77777777" w:rsidTr="002B67F3">
        <w:trPr>
          <w:trHeight w:val="1073"/>
          <w:jc w:val="center"/>
        </w:trPr>
        <w:tc>
          <w:tcPr>
            <w:tcW w:w="3116" w:type="dxa"/>
          </w:tcPr>
          <w:p w14:paraId="654176A4" w14:textId="6E15C422" w:rsidR="00DE05C6" w:rsidRPr="00872D7E" w:rsidRDefault="00DE05C6" w:rsidP="00FA634F">
            <w:pPr>
              <w:jc w:val="center"/>
              <w:rPr>
                <w:szCs w:val="20"/>
              </w:rPr>
            </w:pPr>
            <w:r w:rsidRPr="00872D7E">
              <w:rPr>
                <w:szCs w:val="20"/>
              </w:rPr>
              <w:t>İkram GÖKTAŞ</w:t>
            </w:r>
          </w:p>
          <w:p w14:paraId="1B71528A" w14:textId="77777777" w:rsidR="00DE05C6" w:rsidRPr="00872D7E" w:rsidRDefault="00DE05C6" w:rsidP="00FA634F">
            <w:pPr>
              <w:jc w:val="center"/>
              <w:rPr>
                <w:szCs w:val="20"/>
              </w:rPr>
            </w:pPr>
            <w:r w:rsidRPr="00872D7E">
              <w:rPr>
                <w:szCs w:val="20"/>
              </w:rPr>
              <w:t xml:space="preserve">Yönetim Kurulu Üyesi, </w:t>
            </w:r>
          </w:p>
          <w:p w14:paraId="65782D41" w14:textId="595A8851" w:rsidR="00DE05C6" w:rsidRPr="00872D7E" w:rsidRDefault="00DE05C6" w:rsidP="00FA634F">
            <w:pPr>
              <w:jc w:val="center"/>
              <w:rPr>
                <w:szCs w:val="20"/>
              </w:rPr>
            </w:pPr>
            <w:r w:rsidRPr="00872D7E">
              <w:rPr>
                <w:szCs w:val="20"/>
              </w:rPr>
              <w:t>Genel Müdür</w:t>
            </w:r>
          </w:p>
        </w:tc>
        <w:tc>
          <w:tcPr>
            <w:tcW w:w="2650" w:type="dxa"/>
            <w:shd w:val="clear" w:color="auto" w:fill="FFFFFF" w:themeFill="background1"/>
          </w:tcPr>
          <w:p w14:paraId="0C68B4E1" w14:textId="77777777" w:rsidR="00DE05C6" w:rsidRPr="00872D7E" w:rsidRDefault="00DE05C6" w:rsidP="00FA634F">
            <w:pPr>
              <w:jc w:val="center"/>
              <w:rPr>
                <w:szCs w:val="20"/>
              </w:rPr>
            </w:pPr>
            <w:r w:rsidRPr="00872D7E">
              <w:rPr>
                <w:szCs w:val="20"/>
              </w:rPr>
              <w:t>İrfan GÜLTAŞ</w:t>
            </w:r>
          </w:p>
          <w:p w14:paraId="48D20FF4" w14:textId="25B685DD" w:rsidR="00DE05C6" w:rsidRPr="00872D7E" w:rsidRDefault="00DE05C6" w:rsidP="00FA634F">
            <w:pPr>
              <w:jc w:val="center"/>
              <w:rPr>
                <w:szCs w:val="20"/>
              </w:rPr>
            </w:pPr>
            <w:r w:rsidRPr="00872D7E">
              <w:rPr>
                <w:szCs w:val="20"/>
              </w:rPr>
              <w:t>Genel Müdür Yardımcısı</w:t>
            </w:r>
          </w:p>
        </w:tc>
        <w:tc>
          <w:tcPr>
            <w:tcW w:w="2722" w:type="dxa"/>
          </w:tcPr>
          <w:p w14:paraId="2F8ADF24" w14:textId="36B6CA1E" w:rsidR="00DE05C6" w:rsidRPr="00872D7E" w:rsidRDefault="00DE05C6" w:rsidP="00FA634F">
            <w:pPr>
              <w:jc w:val="center"/>
              <w:rPr>
                <w:szCs w:val="20"/>
              </w:rPr>
            </w:pPr>
            <w:r w:rsidRPr="00872D7E">
              <w:rPr>
                <w:szCs w:val="20"/>
              </w:rPr>
              <w:t xml:space="preserve">Ertuğrul </w:t>
            </w:r>
            <w:r w:rsidR="008A5EBD" w:rsidRPr="00872D7E">
              <w:rPr>
                <w:szCs w:val="20"/>
              </w:rPr>
              <w:t>YILMAZ</w:t>
            </w:r>
          </w:p>
          <w:p w14:paraId="0674A45F" w14:textId="2D5E3B55" w:rsidR="00DE05C6" w:rsidRPr="00872D7E" w:rsidRDefault="00DE05C6" w:rsidP="00FA634F">
            <w:pPr>
              <w:jc w:val="center"/>
              <w:rPr>
                <w:szCs w:val="20"/>
              </w:rPr>
            </w:pPr>
            <w:r w:rsidRPr="00872D7E">
              <w:rPr>
                <w:szCs w:val="20"/>
              </w:rPr>
              <w:t>Mali İşler Müdürü</w:t>
            </w:r>
          </w:p>
        </w:tc>
      </w:tr>
    </w:tbl>
    <w:p w14:paraId="48C01D31" w14:textId="53EAF385" w:rsidR="00DE05C6" w:rsidRPr="00872D7E" w:rsidRDefault="00DE05C6" w:rsidP="0015236F"/>
    <w:p w14:paraId="729885B8" w14:textId="36407CAD" w:rsidR="00204759" w:rsidRPr="00872D7E" w:rsidRDefault="00204759" w:rsidP="0015236F"/>
    <w:p w14:paraId="65672278" w14:textId="77777777" w:rsidR="00B7176E" w:rsidRPr="00872D7E" w:rsidRDefault="00B7176E" w:rsidP="0015236F">
      <w:r w:rsidRPr="00872D7E">
        <w:t>Bu finansal rapor ile ilgili olarak soruların iletilebileceği yetkili personele ilişkin bilgiler:</w:t>
      </w:r>
    </w:p>
    <w:p w14:paraId="40A23CC5" w14:textId="57F4981D" w:rsidR="00B7176E" w:rsidRPr="00872D7E" w:rsidRDefault="00B7176E" w:rsidP="0015236F">
      <w:r w:rsidRPr="00872D7E">
        <w:t>Ad-</w:t>
      </w:r>
      <w:proofErr w:type="spellStart"/>
      <w:r w:rsidRPr="00872D7E">
        <w:t>Soyad</w:t>
      </w:r>
      <w:proofErr w:type="spellEnd"/>
      <w:r w:rsidRPr="00872D7E">
        <w:t>/Unvan</w:t>
      </w:r>
      <w:r w:rsidR="005B6B61" w:rsidRPr="00872D7E">
        <w:tab/>
      </w:r>
      <w:r w:rsidRPr="00872D7E">
        <w:t>: Ertuğrul YILMAZ / Mali İşler Müdürü</w:t>
      </w:r>
    </w:p>
    <w:p w14:paraId="2B022FFA" w14:textId="77EC2C71" w:rsidR="00B7176E" w:rsidRPr="00872D7E" w:rsidRDefault="00B7176E" w:rsidP="0015236F">
      <w:r w:rsidRPr="00872D7E">
        <w:t>Tel No</w:t>
      </w:r>
      <w:r w:rsidR="002F1E57" w:rsidRPr="00872D7E">
        <w:tab/>
      </w:r>
      <w:r w:rsidR="002F1E57" w:rsidRPr="00872D7E">
        <w:tab/>
      </w:r>
      <w:r w:rsidR="005B6B61" w:rsidRPr="00872D7E">
        <w:tab/>
      </w:r>
      <w:r w:rsidRPr="00872D7E">
        <w:t xml:space="preserve">: </w:t>
      </w:r>
      <w:r w:rsidR="00705265" w:rsidRPr="00872D7E">
        <w:t>444 3 166</w:t>
      </w:r>
    </w:p>
    <w:p w14:paraId="37844988" w14:textId="755FBF78" w:rsidR="00BB3E78" w:rsidRPr="00872D7E" w:rsidRDefault="00B7176E" w:rsidP="0015236F">
      <w:r w:rsidRPr="00872D7E">
        <w:t>Faks No</w:t>
      </w:r>
      <w:r w:rsidR="002F1E57" w:rsidRPr="00872D7E">
        <w:tab/>
      </w:r>
      <w:r w:rsidR="005B6B61" w:rsidRPr="00872D7E">
        <w:tab/>
      </w:r>
      <w:r w:rsidRPr="00872D7E">
        <w:t>:</w:t>
      </w:r>
      <w:r w:rsidR="0080411C" w:rsidRPr="00872D7E">
        <w:t xml:space="preserve"> 0</w:t>
      </w:r>
      <w:r w:rsidR="002323FE" w:rsidRPr="00872D7E">
        <w:t xml:space="preserve"> </w:t>
      </w:r>
      <w:r w:rsidR="0080411C" w:rsidRPr="00872D7E">
        <w:t>(</w:t>
      </w:r>
      <w:r w:rsidRPr="00872D7E">
        <w:t>212</w:t>
      </w:r>
      <w:r w:rsidR="0080411C" w:rsidRPr="00872D7E">
        <w:t>)</w:t>
      </w:r>
      <w:r w:rsidRPr="00872D7E">
        <w:t xml:space="preserve"> 272 64 46</w:t>
      </w:r>
    </w:p>
    <w:p w14:paraId="1945F06E" w14:textId="77777777" w:rsidR="001B6D11" w:rsidRPr="00872D7E" w:rsidRDefault="001B6D11" w:rsidP="0015236F">
      <w:pPr>
        <w:sectPr w:rsidR="001B6D11" w:rsidRPr="00872D7E" w:rsidSect="002970D5">
          <w:headerReference w:type="even" r:id="rId16"/>
          <w:headerReference w:type="default" r:id="rId17"/>
          <w:footerReference w:type="even" r:id="rId18"/>
          <w:footerReference w:type="default" r:id="rId19"/>
          <w:headerReference w:type="first" r:id="rId20"/>
          <w:footerReference w:type="first" r:id="rId21"/>
          <w:pgSz w:w="11907" w:h="16840" w:code="9"/>
          <w:pgMar w:top="2126" w:right="709" w:bottom="1418" w:left="1418" w:header="720" w:footer="720" w:gutter="0"/>
          <w:paperSrc w:first="7" w:other="7"/>
          <w:pgNumType w:start="2"/>
          <w:cols w:space="708"/>
          <w:titlePg/>
          <w:docGrid w:linePitch="360"/>
        </w:sectPr>
      </w:pPr>
    </w:p>
    <w:tbl>
      <w:tblPr>
        <w:tblW w:w="5000" w:type="pct"/>
        <w:tblLook w:val="01E0" w:firstRow="1" w:lastRow="1" w:firstColumn="1" w:lastColumn="1" w:noHBand="0" w:noVBand="0"/>
      </w:tblPr>
      <w:tblGrid>
        <w:gridCol w:w="765"/>
        <w:gridCol w:w="6"/>
        <w:gridCol w:w="7668"/>
        <w:gridCol w:w="633"/>
      </w:tblGrid>
      <w:tr w:rsidR="00723331" w:rsidRPr="00872D7E" w14:paraId="15708C35" w14:textId="77777777" w:rsidTr="00267780">
        <w:trPr>
          <w:trHeight w:val="113"/>
        </w:trPr>
        <w:tc>
          <w:tcPr>
            <w:tcW w:w="5000" w:type="pct"/>
            <w:gridSpan w:val="4"/>
            <w:vAlign w:val="center"/>
          </w:tcPr>
          <w:p w14:paraId="023063C7" w14:textId="4FDC5274" w:rsidR="00723331" w:rsidRPr="00872D7E" w:rsidRDefault="00723331" w:rsidP="00723331">
            <w:pPr>
              <w:ind w:left="-104"/>
              <w:jc w:val="center"/>
              <w:rPr>
                <w:sz w:val="14"/>
                <w:szCs w:val="18"/>
              </w:rPr>
            </w:pPr>
            <w:r w:rsidRPr="00872D7E">
              <w:rPr>
                <w:b/>
                <w:bCs/>
                <w:sz w:val="16"/>
                <w:szCs w:val="20"/>
              </w:rPr>
              <w:lastRenderedPageBreak/>
              <w:t>İÇİNDEKİLER</w:t>
            </w:r>
          </w:p>
        </w:tc>
      </w:tr>
      <w:tr w:rsidR="00723331" w:rsidRPr="00872D7E" w14:paraId="23431672" w14:textId="77777777" w:rsidTr="00267780">
        <w:trPr>
          <w:trHeight w:val="113"/>
        </w:trPr>
        <w:tc>
          <w:tcPr>
            <w:tcW w:w="5000" w:type="pct"/>
            <w:gridSpan w:val="4"/>
            <w:vAlign w:val="center"/>
          </w:tcPr>
          <w:p w14:paraId="7CF377AD" w14:textId="77777777" w:rsidR="00723331" w:rsidRPr="00872D7E" w:rsidRDefault="00723331" w:rsidP="00267780">
            <w:pPr>
              <w:widowControl w:val="0"/>
              <w:suppressAutoHyphens/>
              <w:spacing w:line="230" w:lineRule="auto"/>
              <w:ind w:left="-108"/>
              <w:jc w:val="center"/>
              <w:rPr>
                <w:b/>
                <w:sz w:val="15"/>
                <w:szCs w:val="15"/>
              </w:rPr>
            </w:pPr>
          </w:p>
        </w:tc>
      </w:tr>
      <w:tr w:rsidR="00267780" w:rsidRPr="00872D7E" w14:paraId="6B3BC0CA" w14:textId="77777777" w:rsidTr="00267780">
        <w:trPr>
          <w:trHeight w:val="113"/>
        </w:trPr>
        <w:tc>
          <w:tcPr>
            <w:tcW w:w="5000" w:type="pct"/>
            <w:gridSpan w:val="4"/>
            <w:vAlign w:val="center"/>
          </w:tcPr>
          <w:p w14:paraId="52A05077" w14:textId="0BD67430" w:rsidR="00267780" w:rsidRPr="00872D7E" w:rsidRDefault="00267780" w:rsidP="00267780">
            <w:pPr>
              <w:widowControl w:val="0"/>
              <w:suppressAutoHyphens/>
              <w:spacing w:line="230" w:lineRule="auto"/>
              <w:ind w:left="-108"/>
              <w:jc w:val="center"/>
              <w:rPr>
                <w:b/>
                <w:sz w:val="15"/>
                <w:szCs w:val="15"/>
              </w:rPr>
            </w:pPr>
            <w:r w:rsidRPr="00872D7E">
              <w:rPr>
                <w:b/>
                <w:sz w:val="15"/>
                <w:szCs w:val="15"/>
              </w:rPr>
              <w:t>Birinci Bölüm</w:t>
            </w:r>
          </w:p>
        </w:tc>
      </w:tr>
      <w:tr w:rsidR="00267780" w:rsidRPr="00872D7E" w14:paraId="57F82DB7" w14:textId="77777777" w:rsidTr="00267780">
        <w:trPr>
          <w:trHeight w:val="113"/>
        </w:trPr>
        <w:tc>
          <w:tcPr>
            <w:tcW w:w="5000" w:type="pct"/>
            <w:gridSpan w:val="4"/>
            <w:vAlign w:val="center"/>
          </w:tcPr>
          <w:p w14:paraId="3B521B90" w14:textId="72FB75AD" w:rsidR="00267780" w:rsidRPr="00872D7E" w:rsidRDefault="00267780" w:rsidP="00267780">
            <w:pPr>
              <w:widowControl w:val="0"/>
              <w:suppressAutoHyphens/>
              <w:spacing w:line="230" w:lineRule="auto"/>
              <w:ind w:left="-108"/>
              <w:jc w:val="center"/>
              <w:rPr>
                <w:sz w:val="15"/>
                <w:szCs w:val="15"/>
              </w:rPr>
            </w:pPr>
            <w:r w:rsidRPr="00872D7E">
              <w:rPr>
                <w:b/>
                <w:sz w:val="15"/>
                <w:szCs w:val="15"/>
              </w:rPr>
              <w:t>Banka Hakkında Genel Bilgiler</w:t>
            </w:r>
          </w:p>
        </w:tc>
      </w:tr>
      <w:tr w:rsidR="00DB58EB" w:rsidRPr="00872D7E" w14:paraId="7201B4C2" w14:textId="77777777" w:rsidTr="005B0A27">
        <w:trPr>
          <w:trHeight w:val="113"/>
        </w:trPr>
        <w:tc>
          <w:tcPr>
            <w:tcW w:w="4651" w:type="pct"/>
            <w:gridSpan w:val="3"/>
          </w:tcPr>
          <w:p w14:paraId="6C64DBB8" w14:textId="77777777" w:rsidR="00DB58EB" w:rsidRPr="00872D7E" w:rsidRDefault="00DB58EB" w:rsidP="002561C7">
            <w:pPr>
              <w:widowControl w:val="0"/>
              <w:tabs>
                <w:tab w:val="right" w:pos="5040"/>
                <w:tab w:val="right" w:pos="8460"/>
              </w:tabs>
              <w:suppressAutoHyphens/>
              <w:spacing w:line="230" w:lineRule="auto"/>
              <w:ind w:left="-108"/>
              <w:jc w:val="center"/>
              <w:rPr>
                <w:b/>
                <w:sz w:val="15"/>
                <w:szCs w:val="15"/>
              </w:rPr>
            </w:pPr>
          </w:p>
        </w:tc>
        <w:tc>
          <w:tcPr>
            <w:tcW w:w="349" w:type="pct"/>
            <w:vAlign w:val="bottom"/>
          </w:tcPr>
          <w:p w14:paraId="744E117C" w14:textId="77777777" w:rsidR="00DB58EB" w:rsidRPr="00872D7E" w:rsidRDefault="00DB58EB" w:rsidP="00AC57E3">
            <w:pPr>
              <w:widowControl w:val="0"/>
              <w:suppressAutoHyphens/>
              <w:spacing w:line="230" w:lineRule="auto"/>
              <w:ind w:left="-108"/>
              <w:jc w:val="right"/>
              <w:rPr>
                <w:sz w:val="15"/>
                <w:szCs w:val="15"/>
              </w:rPr>
            </w:pPr>
          </w:p>
        </w:tc>
      </w:tr>
      <w:tr w:rsidR="006D5B82" w:rsidRPr="00872D7E" w14:paraId="5D8B9E86" w14:textId="77777777" w:rsidTr="005B0A27">
        <w:trPr>
          <w:trHeight w:val="113"/>
        </w:trPr>
        <w:tc>
          <w:tcPr>
            <w:tcW w:w="422" w:type="pct"/>
          </w:tcPr>
          <w:p w14:paraId="66FEAD7B"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w:t>
            </w:r>
          </w:p>
        </w:tc>
        <w:tc>
          <w:tcPr>
            <w:tcW w:w="4229" w:type="pct"/>
            <w:gridSpan w:val="2"/>
          </w:tcPr>
          <w:p w14:paraId="53522604" w14:textId="77777777" w:rsidR="006D5B82" w:rsidRPr="00872D7E" w:rsidRDefault="006D5B82" w:rsidP="006D5B82">
            <w:pPr>
              <w:widowControl w:val="0"/>
              <w:suppressAutoHyphens/>
              <w:spacing w:line="230" w:lineRule="auto"/>
              <w:ind w:left="-108" w:right="36"/>
              <w:jc w:val="both"/>
              <w:rPr>
                <w:sz w:val="15"/>
                <w:szCs w:val="15"/>
              </w:rPr>
            </w:pPr>
            <w:r w:rsidRPr="00872D7E">
              <w:rPr>
                <w:sz w:val="15"/>
                <w:szCs w:val="15"/>
              </w:rPr>
              <w:t>Banka’nın kuruluş tarihi, başlangıç statüsü, anılan statüde meydana gelen değişiklikleri ihtiva eden tarihçesi</w:t>
            </w:r>
          </w:p>
        </w:tc>
        <w:tc>
          <w:tcPr>
            <w:tcW w:w="349" w:type="pct"/>
            <w:vAlign w:val="bottom"/>
          </w:tcPr>
          <w:p w14:paraId="11895B98" w14:textId="4A6B10EA" w:rsidR="006D5B82" w:rsidRPr="00872D7E" w:rsidRDefault="006D5B82" w:rsidP="00AC57E3">
            <w:pPr>
              <w:widowControl w:val="0"/>
              <w:suppressAutoHyphens/>
              <w:spacing w:line="230" w:lineRule="auto"/>
              <w:ind w:left="-108"/>
              <w:jc w:val="right"/>
              <w:rPr>
                <w:sz w:val="15"/>
                <w:szCs w:val="15"/>
              </w:rPr>
            </w:pPr>
            <w:r w:rsidRPr="00872D7E">
              <w:rPr>
                <w:sz w:val="15"/>
                <w:szCs w:val="15"/>
              </w:rPr>
              <w:t>1</w:t>
            </w:r>
          </w:p>
        </w:tc>
      </w:tr>
      <w:tr w:rsidR="006D5B82" w:rsidRPr="00872D7E" w14:paraId="1590379A" w14:textId="77777777" w:rsidTr="005B0A27">
        <w:trPr>
          <w:trHeight w:val="113"/>
        </w:trPr>
        <w:tc>
          <w:tcPr>
            <w:tcW w:w="422" w:type="pct"/>
          </w:tcPr>
          <w:p w14:paraId="504D5F62"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II.</w:t>
            </w:r>
          </w:p>
        </w:tc>
        <w:tc>
          <w:tcPr>
            <w:tcW w:w="4229" w:type="pct"/>
            <w:gridSpan w:val="2"/>
          </w:tcPr>
          <w:p w14:paraId="4351113C" w14:textId="77777777" w:rsidR="006D5B82" w:rsidRPr="00872D7E" w:rsidRDefault="006D5B82" w:rsidP="006D5B82">
            <w:pPr>
              <w:widowControl w:val="0"/>
              <w:spacing w:line="230" w:lineRule="auto"/>
              <w:ind w:left="-108" w:right="36"/>
              <w:jc w:val="both"/>
              <w:rPr>
                <w:sz w:val="15"/>
                <w:szCs w:val="15"/>
              </w:rPr>
            </w:pPr>
            <w:r w:rsidRPr="00872D7E">
              <w:rPr>
                <w:sz w:val="15"/>
                <w:szCs w:val="15"/>
              </w:rPr>
              <w:t>Banka’nın sermaye yapısı, yönetim ve denetimini doğrudan veya dolaylı olarak tek başına veya birlikte elinde bulunduran ortakları, varsa bu hususlarda yıl içindeki değişiklikler ile dahil olduğu gruba ilişkin açıklama</w:t>
            </w:r>
          </w:p>
        </w:tc>
        <w:tc>
          <w:tcPr>
            <w:tcW w:w="349" w:type="pct"/>
            <w:vAlign w:val="bottom"/>
          </w:tcPr>
          <w:p w14:paraId="180F1473" w14:textId="046143C7" w:rsidR="006D5B82" w:rsidRPr="00872D7E" w:rsidRDefault="006D5B82" w:rsidP="00AC57E3">
            <w:pPr>
              <w:widowControl w:val="0"/>
              <w:spacing w:line="230" w:lineRule="auto"/>
              <w:ind w:left="-108"/>
              <w:jc w:val="right"/>
              <w:rPr>
                <w:sz w:val="15"/>
                <w:szCs w:val="15"/>
              </w:rPr>
            </w:pPr>
            <w:r w:rsidRPr="00872D7E">
              <w:rPr>
                <w:sz w:val="15"/>
                <w:szCs w:val="15"/>
              </w:rPr>
              <w:t>1</w:t>
            </w:r>
          </w:p>
        </w:tc>
      </w:tr>
      <w:tr w:rsidR="006D5B82" w:rsidRPr="00872D7E" w14:paraId="60BE192A" w14:textId="77777777" w:rsidTr="005B0A27">
        <w:trPr>
          <w:trHeight w:val="113"/>
        </w:trPr>
        <w:tc>
          <w:tcPr>
            <w:tcW w:w="422" w:type="pct"/>
          </w:tcPr>
          <w:p w14:paraId="58B1CEC8"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III.</w:t>
            </w:r>
          </w:p>
        </w:tc>
        <w:tc>
          <w:tcPr>
            <w:tcW w:w="4229" w:type="pct"/>
            <w:gridSpan w:val="2"/>
          </w:tcPr>
          <w:p w14:paraId="3856C591" w14:textId="77777777" w:rsidR="006D5B82" w:rsidRPr="00872D7E" w:rsidRDefault="006D5B82" w:rsidP="006D5B82">
            <w:pPr>
              <w:widowControl w:val="0"/>
              <w:spacing w:line="230" w:lineRule="auto"/>
              <w:ind w:left="-108" w:right="36"/>
              <w:jc w:val="both"/>
              <w:rPr>
                <w:sz w:val="15"/>
                <w:szCs w:val="15"/>
              </w:rPr>
            </w:pPr>
            <w:r w:rsidRPr="00872D7E">
              <w:rPr>
                <w:sz w:val="15"/>
                <w:szCs w:val="15"/>
              </w:rPr>
              <w:t>Banka’nın yönetim kurulu başkan ve üyeleri, denetim komitesi üyeleri ile genel müdür ve yardımcılarının varsa Banka’da sahip oldukları paylara ve sorumluluk alanlarına ilişkin açıklamalar</w:t>
            </w:r>
          </w:p>
        </w:tc>
        <w:tc>
          <w:tcPr>
            <w:tcW w:w="349" w:type="pct"/>
            <w:vAlign w:val="bottom"/>
          </w:tcPr>
          <w:p w14:paraId="73E62FA1" w14:textId="1F17BB79" w:rsidR="006D5B82" w:rsidRPr="00872D7E" w:rsidRDefault="006D5B82" w:rsidP="00AC57E3">
            <w:pPr>
              <w:widowControl w:val="0"/>
              <w:spacing w:line="230" w:lineRule="auto"/>
              <w:ind w:left="-108"/>
              <w:jc w:val="right"/>
              <w:rPr>
                <w:sz w:val="15"/>
                <w:szCs w:val="15"/>
              </w:rPr>
            </w:pPr>
            <w:r w:rsidRPr="00872D7E">
              <w:rPr>
                <w:sz w:val="15"/>
                <w:szCs w:val="15"/>
              </w:rPr>
              <w:t>2</w:t>
            </w:r>
          </w:p>
        </w:tc>
      </w:tr>
      <w:tr w:rsidR="006D5B82" w:rsidRPr="00872D7E" w14:paraId="61EB38C7" w14:textId="77777777" w:rsidTr="005B0A27">
        <w:trPr>
          <w:trHeight w:val="113"/>
        </w:trPr>
        <w:tc>
          <w:tcPr>
            <w:tcW w:w="422" w:type="pct"/>
          </w:tcPr>
          <w:p w14:paraId="77D84CD3"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IV.</w:t>
            </w:r>
          </w:p>
        </w:tc>
        <w:tc>
          <w:tcPr>
            <w:tcW w:w="4229" w:type="pct"/>
            <w:gridSpan w:val="2"/>
          </w:tcPr>
          <w:p w14:paraId="4008426C" w14:textId="77777777" w:rsidR="006D5B82" w:rsidRPr="00872D7E" w:rsidRDefault="006D5B82" w:rsidP="006D5B82">
            <w:pPr>
              <w:widowControl w:val="0"/>
              <w:spacing w:line="230" w:lineRule="auto"/>
              <w:ind w:left="-108" w:right="36"/>
              <w:jc w:val="both"/>
              <w:rPr>
                <w:sz w:val="15"/>
                <w:szCs w:val="15"/>
              </w:rPr>
            </w:pPr>
            <w:r w:rsidRPr="00872D7E">
              <w:rPr>
                <w:sz w:val="15"/>
                <w:szCs w:val="15"/>
              </w:rPr>
              <w:t>Banka’da nitelikli paya sahip kişi ve kuruluşlara ilişkin açıklamalar</w:t>
            </w:r>
          </w:p>
        </w:tc>
        <w:tc>
          <w:tcPr>
            <w:tcW w:w="349" w:type="pct"/>
            <w:vAlign w:val="bottom"/>
          </w:tcPr>
          <w:p w14:paraId="17E9082C" w14:textId="54948554" w:rsidR="006D5B82" w:rsidRPr="00872D7E" w:rsidRDefault="006D5B82" w:rsidP="00AC57E3">
            <w:pPr>
              <w:widowControl w:val="0"/>
              <w:spacing w:line="230" w:lineRule="auto"/>
              <w:ind w:left="-108"/>
              <w:jc w:val="right"/>
              <w:rPr>
                <w:sz w:val="15"/>
                <w:szCs w:val="15"/>
              </w:rPr>
            </w:pPr>
            <w:r w:rsidRPr="00872D7E">
              <w:rPr>
                <w:sz w:val="15"/>
                <w:szCs w:val="15"/>
              </w:rPr>
              <w:t>2</w:t>
            </w:r>
          </w:p>
        </w:tc>
      </w:tr>
      <w:tr w:rsidR="006D5B82" w:rsidRPr="00872D7E" w14:paraId="4369873C" w14:textId="77777777" w:rsidTr="005B0A27">
        <w:trPr>
          <w:trHeight w:val="113"/>
        </w:trPr>
        <w:tc>
          <w:tcPr>
            <w:tcW w:w="422" w:type="pct"/>
          </w:tcPr>
          <w:p w14:paraId="17EE1E5C"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V.</w:t>
            </w:r>
          </w:p>
        </w:tc>
        <w:tc>
          <w:tcPr>
            <w:tcW w:w="4229" w:type="pct"/>
            <w:gridSpan w:val="2"/>
          </w:tcPr>
          <w:p w14:paraId="250F70C3" w14:textId="77777777" w:rsidR="006D5B82" w:rsidRPr="00872D7E" w:rsidRDefault="006D5B82" w:rsidP="006D5B82">
            <w:pPr>
              <w:widowControl w:val="0"/>
              <w:spacing w:line="230" w:lineRule="auto"/>
              <w:ind w:left="-108" w:right="36"/>
              <w:jc w:val="both"/>
              <w:rPr>
                <w:sz w:val="15"/>
                <w:szCs w:val="15"/>
              </w:rPr>
            </w:pPr>
            <w:r w:rsidRPr="00872D7E">
              <w:rPr>
                <w:sz w:val="15"/>
                <w:szCs w:val="15"/>
              </w:rPr>
              <w:t>Banka’nın hizmet türü ve faaliyet alanlarını içeren özet bilgi</w:t>
            </w:r>
          </w:p>
        </w:tc>
        <w:tc>
          <w:tcPr>
            <w:tcW w:w="349" w:type="pct"/>
            <w:vAlign w:val="bottom"/>
          </w:tcPr>
          <w:p w14:paraId="5C65AB4D" w14:textId="7F460979" w:rsidR="006D5B82" w:rsidRPr="00872D7E" w:rsidRDefault="006D5B82" w:rsidP="00AC57E3">
            <w:pPr>
              <w:widowControl w:val="0"/>
              <w:spacing w:line="230" w:lineRule="auto"/>
              <w:ind w:left="-108"/>
              <w:jc w:val="right"/>
              <w:rPr>
                <w:sz w:val="15"/>
                <w:szCs w:val="15"/>
              </w:rPr>
            </w:pPr>
            <w:r w:rsidRPr="00872D7E">
              <w:rPr>
                <w:sz w:val="15"/>
                <w:szCs w:val="15"/>
              </w:rPr>
              <w:t>2</w:t>
            </w:r>
            <w:r w:rsidR="00723331" w:rsidRPr="00872D7E">
              <w:rPr>
                <w:sz w:val="15"/>
                <w:szCs w:val="15"/>
              </w:rPr>
              <w:t>-3</w:t>
            </w:r>
          </w:p>
        </w:tc>
      </w:tr>
      <w:tr w:rsidR="006D5B82" w:rsidRPr="00872D7E" w14:paraId="662B6D47" w14:textId="77777777" w:rsidTr="005B0A27">
        <w:trPr>
          <w:trHeight w:val="113"/>
        </w:trPr>
        <w:tc>
          <w:tcPr>
            <w:tcW w:w="422" w:type="pct"/>
          </w:tcPr>
          <w:p w14:paraId="4275CF9B"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VI.</w:t>
            </w:r>
          </w:p>
        </w:tc>
        <w:tc>
          <w:tcPr>
            <w:tcW w:w="4229" w:type="pct"/>
            <w:gridSpan w:val="2"/>
          </w:tcPr>
          <w:p w14:paraId="3CAA39BC" w14:textId="77777777" w:rsidR="006D5B82" w:rsidRPr="00872D7E" w:rsidRDefault="006D5B82" w:rsidP="006D5B82">
            <w:pPr>
              <w:widowControl w:val="0"/>
              <w:autoSpaceDE w:val="0"/>
              <w:autoSpaceDN w:val="0"/>
              <w:adjustRightInd w:val="0"/>
              <w:spacing w:line="230" w:lineRule="auto"/>
              <w:ind w:left="-108" w:right="36"/>
              <w:jc w:val="both"/>
              <w:rPr>
                <w:sz w:val="15"/>
                <w:szCs w:val="15"/>
              </w:rPr>
            </w:pPr>
            <w:r w:rsidRPr="00872D7E">
              <w:rPr>
                <w:sz w:val="15"/>
                <w:szCs w:val="15"/>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349" w:type="pct"/>
            <w:vAlign w:val="bottom"/>
          </w:tcPr>
          <w:p w14:paraId="6975C5A0" w14:textId="6790E00E" w:rsidR="006D5B82" w:rsidRPr="00872D7E" w:rsidRDefault="006D5B82" w:rsidP="00AC57E3">
            <w:pPr>
              <w:widowControl w:val="0"/>
              <w:suppressAutoHyphens/>
              <w:spacing w:line="230" w:lineRule="auto"/>
              <w:ind w:left="-108"/>
              <w:jc w:val="right"/>
              <w:rPr>
                <w:sz w:val="15"/>
                <w:szCs w:val="15"/>
              </w:rPr>
            </w:pPr>
            <w:r w:rsidRPr="00872D7E">
              <w:rPr>
                <w:sz w:val="15"/>
                <w:szCs w:val="15"/>
              </w:rPr>
              <w:t>3</w:t>
            </w:r>
          </w:p>
        </w:tc>
      </w:tr>
      <w:tr w:rsidR="006D5B82" w:rsidRPr="00872D7E" w14:paraId="217E7F50" w14:textId="77777777" w:rsidTr="005B0A27">
        <w:trPr>
          <w:trHeight w:val="113"/>
        </w:trPr>
        <w:tc>
          <w:tcPr>
            <w:tcW w:w="422" w:type="pct"/>
          </w:tcPr>
          <w:p w14:paraId="2B0C3B0C"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VII.</w:t>
            </w:r>
          </w:p>
        </w:tc>
        <w:tc>
          <w:tcPr>
            <w:tcW w:w="4229" w:type="pct"/>
            <w:gridSpan w:val="2"/>
          </w:tcPr>
          <w:p w14:paraId="0F4217AD" w14:textId="6B42898C" w:rsidR="006D5B82" w:rsidRPr="00872D7E" w:rsidRDefault="006D5B82" w:rsidP="006D5B82">
            <w:pPr>
              <w:widowControl w:val="0"/>
              <w:autoSpaceDE w:val="0"/>
              <w:autoSpaceDN w:val="0"/>
              <w:adjustRightInd w:val="0"/>
              <w:spacing w:line="230" w:lineRule="auto"/>
              <w:ind w:left="-108" w:right="36"/>
              <w:jc w:val="both"/>
              <w:rPr>
                <w:sz w:val="15"/>
                <w:szCs w:val="15"/>
              </w:rPr>
            </w:pPr>
            <w:r w:rsidRPr="00872D7E">
              <w:rPr>
                <w:sz w:val="15"/>
                <w:szCs w:val="15"/>
              </w:rPr>
              <w:t xml:space="preserve">Banka ile bağlı ortaklıkları arasında özkaynakların derhal transfer edilmesinin veya borçların geri ödenmesinin önünde mevcut veya muhtemel, fiili veya hukuki engeller </w:t>
            </w:r>
          </w:p>
        </w:tc>
        <w:tc>
          <w:tcPr>
            <w:tcW w:w="349" w:type="pct"/>
            <w:vAlign w:val="bottom"/>
          </w:tcPr>
          <w:p w14:paraId="7592F2EE" w14:textId="0E061BA2" w:rsidR="006D5B82" w:rsidRPr="00872D7E" w:rsidRDefault="006D5B82" w:rsidP="00AC57E3">
            <w:pPr>
              <w:widowControl w:val="0"/>
              <w:suppressAutoHyphens/>
              <w:spacing w:line="230" w:lineRule="auto"/>
              <w:ind w:left="-108"/>
              <w:jc w:val="right"/>
              <w:rPr>
                <w:sz w:val="15"/>
                <w:szCs w:val="15"/>
              </w:rPr>
            </w:pPr>
            <w:r w:rsidRPr="00872D7E">
              <w:rPr>
                <w:sz w:val="15"/>
                <w:szCs w:val="15"/>
              </w:rPr>
              <w:t>3</w:t>
            </w:r>
          </w:p>
        </w:tc>
      </w:tr>
      <w:tr w:rsidR="006D5B82" w:rsidRPr="00872D7E" w14:paraId="12807CEB" w14:textId="77777777" w:rsidTr="005B0A27">
        <w:trPr>
          <w:trHeight w:val="113"/>
        </w:trPr>
        <w:tc>
          <w:tcPr>
            <w:tcW w:w="4651" w:type="pct"/>
            <w:gridSpan w:val="3"/>
          </w:tcPr>
          <w:p w14:paraId="0CE6D471" w14:textId="77777777" w:rsidR="006D5B82" w:rsidRPr="00872D7E" w:rsidRDefault="006D5B82" w:rsidP="006D5B82">
            <w:pPr>
              <w:widowControl w:val="0"/>
              <w:autoSpaceDE w:val="0"/>
              <w:autoSpaceDN w:val="0"/>
              <w:adjustRightInd w:val="0"/>
              <w:spacing w:line="230" w:lineRule="auto"/>
              <w:ind w:left="-108" w:right="-162"/>
              <w:jc w:val="center"/>
              <w:rPr>
                <w:sz w:val="15"/>
                <w:szCs w:val="15"/>
              </w:rPr>
            </w:pPr>
          </w:p>
        </w:tc>
        <w:tc>
          <w:tcPr>
            <w:tcW w:w="349" w:type="pct"/>
            <w:vAlign w:val="bottom"/>
          </w:tcPr>
          <w:p w14:paraId="0E70A542" w14:textId="77777777" w:rsidR="006D5B82" w:rsidRPr="00872D7E" w:rsidRDefault="006D5B82" w:rsidP="00AC57E3">
            <w:pPr>
              <w:widowControl w:val="0"/>
              <w:suppressAutoHyphens/>
              <w:spacing w:line="230" w:lineRule="auto"/>
              <w:ind w:left="-108"/>
              <w:jc w:val="right"/>
              <w:rPr>
                <w:b/>
                <w:sz w:val="15"/>
                <w:szCs w:val="15"/>
              </w:rPr>
            </w:pPr>
          </w:p>
        </w:tc>
      </w:tr>
      <w:tr w:rsidR="00267780" w:rsidRPr="00872D7E" w14:paraId="08FE46A5" w14:textId="77777777" w:rsidTr="00267780">
        <w:trPr>
          <w:trHeight w:val="113"/>
        </w:trPr>
        <w:tc>
          <w:tcPr>
            <w:tcW w:w="5000" w:type="pct"/>
            <w:gridSpan w:val="4"/>
            <w:vAlign w:val="center"/>
          </w:tcPr>
          <w:p w14:paraId="7DADA0C9" w14:textId="6FD46758" w:rsidR="00267780" w:rsidRPr="00872D7E" w:rsidRDefault="00267780" w:rsidP="00267780">
            <w:pPr>
              <w:widowControl w:val="0"/>
              <w:suppressAutoHyphens/>
              <w:spacing w:line="230" w:lineRule="auto"/>
              <w:ind w:left="-108"/>
              <w:jc w:val="center"/>
              <w:rPr>
                <w:b/>
                <w:sz w:val="15"/>
                <w:szCs w:val="15"/>
              </w:rPr>
            </w:pPr>
            <w:r w:rsidRPr="00872D7E">
              <w:rPr>
                <w:b/>
                <w:sz w:val="15"/>
                <w:szCs w:val="15"/>
              </w:rPr>
              <w:t>İkinci Bölüm</w:t>
            </w:r>
          </w:p>
        </w:tc>
      </w:tr>
      <w:tr w:rsidR="00267780" w:rsidRPr="00872D7E" w14:paraId="0F93D792" w14:textId="77777777" w:rsidTr="00267780">
        <w:trPr>
          <w:trHeight w:val="113"/>
        </w:trPr>
        <w:tc>
          <w:tcPr>
            <w:tcW w:w="5000" w:type="pct"/>
            <w:gridSpan w:val="4"/>
            <w:vAlign w:val="center"/>
          </w:tcPr>
          <w:p w14:paraId="07E8F88C" w14:textId="2AFE09E4" w:rsidR="00267780" w:rsidRPr="00872D7E" w:rsidRDefault="00267780" w:rsidP="00267780">
            <w:pPr>
              <w:widowControl w:val="0"/>
              <w:suppressAutoHyphens/>
              <w:spacing w:line="230" w:lineRule="auto"/>
              <w:ind w:left="-108"/>
              <w:jc w:val="center"/>
              <w:rPr>
                <w:b/>
                <w:sz w:val="15"/>
                <w:szCs w:val="15"/>
              </w:rPr>
            </w:pPr>
            <w:r w:rsidRPr="00872D7E">
              <w:rPr>
                <w:b/>
                <w:sz w:val="15"/>
                <w:szCs w:val="15"/>
              </w:rPr>
              <w:t>Konsolide Olmayan Finansal Tablolar</w:t>
            </w:r>
          </w:p>
        </w:tc>
      </w:tr>
      <w:tr w:rsidR="006D5B82" w:rsidRPr="00872D7E" w14:paraId="0E7559EB" w14:textId="77777777" w:rsidTr="005B0A27">
        <w:trPr>
          <w:trHeight w:val="113"/>
        </w:trPr>
        <w:tc>
          <w:tcPr>
            <w:tcW w:w="4651" w:type="pct"/>
            <w:gridSpan w:val="3"/>
          </w:tcPr>
          <w:p w14:paraId="35C1C52C" w14:textId="77777777" w:rsidR="006D5B82" w:rsidRPr="00872D7E" w:rsidRDefault="006D5B82" w:rsidP="006D5B82">
            <w:pPr>
              <w:widowControl w:val="0"/>
              <w:suppressAutoHyphens/>
              <w:spacing w:line="230" w:lineRule="auto"/>
              <w:ind w:left="-108"/>
              <w:rPr>
                <w:b/>
                <w:sz w:val="15"/>
                <w:szCs w:val="15"/>
              </w:rPr>
            </w:pPr>
          </w:p>
        </w:tc>
        <w:tc>
          <w:tcPr>
            <w:tcW w:w="349" w:type="pct"/>
            <w:vAlign w:val="bottom"/>
          </w:tcPr>
          <w:p w14:paraId="65B5E73F" w14:textId="77777777" w:rsidR="006D5B82" w:rsidRPr="00872D7E" w:rsidRDefault="006D5B82" w:rsidP="00AC57E3">
            <w:pPr>
              <w:widowControl w:val="0"/>
              <w:suppressAutoHyphens/>
              <w:spacing w:line="230" w:lineRule="auto"/>
              <w:ind w:left="-108"/>
              <w:jc w:val="right"/>
              <w:rPr>
                <w:b/>
                <w:sz w:val="15"/>
                <w:szCs w:val="15"/>
              </w:rPr>
            </w:pPr>
          </w:p>
        </w:tc>
      </w:tr>
      <w:tr w:rsidR="006D5B82" w:rsidRPr="00872D7E" w14:paraId="1C5958DA" w14:textId="77777777" w:rsidTr="005B0A27">
        <w:trPr>
          <w:trHeight w:val="113"/>
        </w:trPr>
        <w:tc>
          <w:tcPr>
            <w:tcW w:w="422" w:type="pct"/>
          </w:tcPr>
          <w:p w14:paraId="470753C7"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w:t>
            </w:r>
          </w:p>
        </w:tc>
        <w:tc>
          <w:tcPr>
            <w:tcW w:w="4229" w:type="pct"/>
            <w:gridSpan w:val="2"/>
          </w:tcPr>
          <w:p w14:paraId="7F25D71A" w14:textId="77777777" w:rsidR="006D5B82" w:rsidRPr="00872D7E" w:rsidRDefault="006D5B82" w:rsidP="006D5B82">
            <w:pPr>
              <w:widowControl w:val="0"/>
              <w:spacing w:line="230" w:lineRule="auto"/>
              <w:ind w:left="-108"/>
              <w:jc w:val="both"/>
              <w:rPr>
                <w:sz w:val="15"/>
                <w:szCs w:val="15"/>
              </w:rPr>
            </w:pPr>
            <w:r w:rsidRPr="00872D7E">
              <w:rPr>
                <w:sz w:val="15"/>
                <w:szCs w:val="15"/>
              </w:rPr>
              <w:t>Bilanço (Finansal durum tablosu)</w:t>
            </w:r>
          </w:p>
        </w:tc>
        <w:tc>
          <w:tcPr>
            <w:tcW w:w="349" w:type="pct"/>
            <w:vAlign w:val="bottom"/>
          </w:tcPr>
          <w:p w14:paraId="69B9EA2B" w14:textId="218908B8" w:rsidR="006D5B82" w:rsidRPr="00872D7E" w:rsidRDefault="006D5B82" w:rsidP="00AC57E3">
            <w:pPr>
              <w:widowControl w:val="0"/>
              <w:spacing w:line="230" w:lineRule="auto"/>
              <w:ind w:left="-108"/>
              <w:jc w:val="right"/>
              <w:rPr>
                <w:sz w:val="15"/>
                <w:szCs w:val="15"/>
              </w:rPr>
            </w:pPr>
            <w:r w:rsidRPr="00872D7E">
              <w:rPr>
                <w:sz w:val="15"/>
                <w:szCs w:val="15"/>
              </w:rPr>
              <w:t>5-6</w:t>
            </w:r>
          </w:p>
        </w:tc>
      </w:tr>
      <w:tr w:rsidR="006D5B82" w:rsidRPr="00872D7E" w14:paraId="1CA6E620" w14:textId="77777777" w:rsidTr="005B0A27">
        <w:trPr>
          <w:trHeight w:val="113"/>
        </w:trPr>
        <w:tc>
          <w:tcPr>
            <w:tcW w:w="422" w:type="pct"/>
          </w:tcPr>
          <w:p w14:paraId="2AB265E2"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II.</w:t>
            </w:r>
          </w:p>
        </w:tc>
        <w:tc>
          <w:tcPr>
            <w:tcW w:w="4229" w:type="pct"/>
            <w:gridSpan w:val="2"/>
          </w:tcPr>
          <w:p w14:paraId="18FB5BE8" w14:textId="77777777" w:rsidR="006D5B82" w:rsidRPr="00872D7E" w:rsidRDefault="006D5B82" w:rsidP="006D5B82">
            <w:pPr>
              <w:widowControl w:val="0"/>
              <w:spacing w:line="230" w:lineRule="auto"/>
              <w:ind w:left="-108"/>
              <w:jc w:val="both"/>
              <w:rPr>
                <w:sz w:val="15"/>
                <w:szCs w:val="15"/>
              </w:rPr>
            </w:pPr>
            <w:r w:rsidRPr="00872D7E">
              <w:rPr>
                <w:sz w:val="15"/>
                <w:szCs w:val="15"/>
              </w:rPr>
              <w:t>Nazım hesaplar tablosu</w:t>
            </w:r>
          </w:p>
        </w:tc>
        <w:tc>
          <w:tcPr>
            <w:tcW w:w="349" w:type="pct"/>
            <w:vAlign w:val="bottom"/>
          </w:tcPr>
          <w:p w14:paraId="7E018DB9" w14:textId="6E9D236B" w:rsidR="006D5B82" w:rsidRPr="00872D7E" w:rsidRDefault="006D5B82" w:rsidP="00AC57E3">
            <w:pPr>
              <w:widowControl w:val="0"/>
              <w:spacing w:line="230" w:lineRule="auto"/>
              <w:ind w:left="-108"/>
              <w:jc w:val="right"/>
              <w:rPr>
                <w:sz w:val="15"/>
                <w:szCs w:val="15"/>
              </w:rPr>
            </w:pPr>
            <w:r w:rsidRPr="00872D7E">
              <w:rPr>
                <w:sz w:val="15"/>
                <w:szCs w:val="15"/>
              </w:rPr>
              <w:t>7</w:t>
            </w:r>
          </w:p>
        </w:tc>
      </w:tr>
      <w:tr w:rsidR="006D5B82" w:rsidRPr="00872D7E" w14:paraId="4E0ACD1B" w14:textId="77777777" w:rsidTr="005B0A27">
        <w:trPr>
          <w:trHeight w:val="113"/>
        </w:trPr>
        <w:tc>
          <w:tcPr>
            <w:tcW w:w="422" w:type="pct"/>
          </w:tcPr>
          <w:p w14:paraId="49D70D1A"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 xml:space="preserve">III. </w:t>
            </w:r>
          </w:p>
        </w:tc>
        <w:tc>
          <w:tcPr>
            <w:tcW w:w="4229" w:type="pct"/>
            <w:gridSpan w:val="2"/>
          </w:tcPr>
          <w:p w14:paraId="5A1E701E" w14:textId="77777777" w:rsidR="006D5B82" w:rsidRPr="00872D7E" w:rsidRDefault="006D5B82" w:rsidP="006D5B82">
            <w:pPr>
              <w:widowControl w:val="0"/>
              <w:spacing w:line="230" w:lineRule="auto"/>
              <w:ind w:left="-108"/>
              <w:jc w:val="both"/>
              <w:rPr>
                <w:sz w:val="15"/>
                <w:szCs w:val="15"/>
              </w:rPr>
            </w:pPr>
            <w:r w:rsidRPr="00872D7E">
              <w:rPr>
                <w:sz w:val="15"/>
                <w:szCs w:val="15"/>
              </w:rPr>
              <w:t>Kar veya zarar tablosu</w:t>
            </w:r>
          </w:p>
        </w:tc>
        <w:tc>
          <w:tcPr>
            <w:tcW w:w="349" w:type="pct"/>
            <w:vAlign w:val="bottom"/>
          </w:tcPr>
          <w:p w14:paraId="5CC00849" w14:textId="3BB3BB76" w:rsidR="006D5B82" w:rsidRPr="00872D7E" w:rsidRDefault="006D5B82" w:rsidP="00AC57E3">
            <w:pPr>
              <w:widowControl w:val="0"/>
              <w:spacing w:line="230" w:lineRule="auto"/>
              <w:ind w:left="-108"/>
              <w:jc w:val="right"/>
              <w:rPr>
                <w:sz w:val="15"/>
                <w:szCs w:val="15"/>
              </w:rPr>
            </w:pPr>
            <w:r w:rsidRPr="00872D7E">
              <w:rPr>
                <w:sz w:val="15"/>
                <w:szCs w:val="15"/>
              </w:rPr>
              <w:t>8</w:t>
            </w:r>
          </w:p>
        </w:tc>
      </w:tr>
      <w:tr w:rsidR="006D5B82" w:rsidRPr="00872D7E" w14:paraId="7C9F4689" w14:textId="77777777" w:rsidTr="005B0A27">
        <w:trPr>
          <w:trHeight w:val="113"/>
        </w:trPr>
        <w:tc>
          <w:tcPr>
            <w:tcW w:w="422" w:type="pct"/>
          </w:tcPr>
          <w:p w14:paraId="0F6B76ED"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IV.</w:t>
            </w:r>
          </w:p>
        </w:tc>
        <w:tc>
          <w:tcPr>
            <w:tcW w:w="4229" w:type="pct"/>
            <w:gridSpan w:val="2"/>
          </w:tcPr>
          <w:p w14:paraId="28BE2E14" w14:textId="77777777" w:rsidR="006D5B82" w:rsidRPr="00872D7E" w:rsidRDefault="006D5B82" w:rsidP="006D5B82">
            <w:pPr>
              <w:widowControl w:val="0"/>
              <w:spacing w:line="230" w:lineRule="auto"/>
              <w:ind w:left="-108"/>
              <w:jc w:val="both"/>
              <w:rPr>
                <w:sz w:val="15"/>
                <w:szCs w:val="15"/>
              </w:rPr>
            </w:pPr>
            <w:r w:rsidRPr="00872D7E">
              <w:rPr>
                <w:sz w:val="15"/>
                <w:szCs w:val="15"/>
              </w:rPr>
              <w:t>Kar veya zarar ve diğer kapsamlı gelir tablosu</w:t>
            </w:r>
          </w:p>
        </w:tc>
        <w:tc>
          <w:tcPr>
            <w:tcW w:w="349" w:type="pct"/>
            <w:vAlign w:val="bottom"/>
          </w:tcPr>
          <w:p w14:paraId="22FA6FC9" w14:textId="14628381" w:rsidR="006D5B82" w:rsidRPr="00872D7E" w:rsidRDefault="006D5B82" w:rsidP="00AC57E3">
            <w:pPr>
              <w:widowControl w:val="0"/>
              <w:spacing w:line="230" w:lineRule="auto"/>
              <w:ind w:left="-108"/>
              <w:jc w:val="right"/>
              <w:rPr>
                <w:sz w:val="15"/>
                <w:szCs w:val="15"/>
              </w:rPr>
            </w:pPr>
            <w:r w:rsidRPr="00872D7E">
              <w:rPr>
                <w:sz w:val="15"/>
                <w:szCs w:val="15"/>
              </w:rPr>
              <w:t>9</w:t>
            </w:r>
          </w:p>
        </w:tc>
      </w:tr>
      <w:tr w:rsidR="006D5B82" w:rsidRPr="00872D7E" w14:paraId="17117001" w14:textId="77777777" w:rsidTr="005B0A27">
        <w:trPr>
          <w:trHeight w:val="113"/>
        </w:trPr>
        <w:tc>
          <w:tcPr>
            <w:tcW w:w="422" w:type="pct"/>
          </w:tcPr>
          <w:p w14:paraId="0561F1C8" w14:textId="6C624D98"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V</w:t>
            </w:r>
            <w:r w:rsidR="00AC57E3" w:rsidRPr="00872D7E">
              <w:rPr>
                <w:sz w:val="15"/>
                <w:szCs w:val="15"/>
              </w:rPr>
              <w:t>.</w:t>
            </w:r>
          </w:p>
        </w:tc>
        <w:tc>
          <w:tcPr>
            <w:tcW w:w="4229" w:type="pct"/>
            <w:gridSpan w:val="2"/>
          </w:tcPr>
          <w:p w14:paraId="19852A73" w14:textId="1D902821" w:rsidR="006D5B82" w:rsidRPr="00872D7E" w:rsidRDefault="006D5B82" w:rsidP="006D5B82">
            <w:pPr>
              <w:widowControl w:val="0"/>
              <w:spacing w:line="230" w:lineRule="auto"/>
              <w:ind w:left="-108"/>
              <w:jc w:val="both"/>
              <w:rPr>
                <w:sz w:val="15"/>
                <w:szCs w:val="15"/>
              </w:rPr>
            </w:pPr>
            <w:r w:rsidRPr="00872D7E">
              <w:rPr>
                <w:sz w:val="15"/>
                <w:szCs w:val="15"/>
              </w:rPr>
              <w:t>Özkaynaklar değişim tablosu</w:t>
            </w:r>
          </w:p>
        </w:tc>
        <w:tc>
          <w:tcPr>
            <w:tcW w:w="349" w:type="pct"/>
            <w:vAlign w:val="bottom"/>
          </w:tcPr>
          <w:p w14:paraId="24BA3860" w14:textId="334F77FF" w:rsidR="006D5B82" w:rsidRPr="00872D7E" w:rsidRDefault="006D5B82" w:rsidP="00AC57E3">
            <w:pPr>
              <w:widowControl w:val="0"/>
              <w:spacing w:line="230" w:lineRule="auto"/>
              <w:ind w:left="-108"/>
              <w:jc w:val="right"/>
              <w:rPr>
                <w:sz w:val="15"/>
                <w:szCs w:val="15"/>
              </w:rPr>
            </w:pPr>
            <w:r w:rsidRPr="00872D7E">
              <w:rPr>
                <w:sz w:val="15"/>
                <w:szCs w:val="15"/>
              </w:rPr>
              <w:t>10</w:t>
            </w:r>
          </w:p>
        </w:tc>
      </w:tr>
      <w:tr w:rsidR="006D5B82" w:rsidRPr="00872D7E" w14:paraId="73081E4A" w14:textId="77777777" w:rsidTr="005B0A27">
        <w:trPr>
          <w:trHeight w:val="113"/>
        </w:trPr>
        <w:tc>
          <w:tcPr>
            <w:tcW w:w="422" w:type="pct"/>
          </w:tcPr>
          <w:p w14:paraId="13028186"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VI.</w:t>
            </w:r>
          </w:p>
        </w:tc>
        <w:tc>
          <w:tcPr>
            <w:tcW w:w="4229" w:type="pct"/>
            <w:gridSpan w:val="2"/>
          </w:tcPr>
          <w:p w14:paraId="622FBD21" w14:textId="77777777" w:rsidR="006D5B82" w:rsidRPr="00872D7E" w:rsidRDefault="006D5B82" w:rsidP="006D5B82">
            <w:pPr>
              <w:widowControl w:val="0"/>
              <w:spacing w:line="230" w:lineRule="auto"/>
              <w:ind w:left="-108"/>
              <w:jc w:val="both"/>
              <w:rPr>
                <w:sz w:val="15"/>
                <w:szCs w:val="15"/>
              </w:rPr>
            </w:pPr>
            <w:r w:rsidRPr="00872D7E">
              <w:rPr>
                <w:sz w:val="15"/>
                <w:szCs w:val="15"/>
              </w:rPr>
              <w:t>Nakit akış tablosu</w:t>
            </w:r>
          </w:p>
        </w:tc>
        <w:tc>
          <w:tcPr>
            <w:tcW w:w="349" w:type="pct"/>
            <w:vAlign w:val="bottom"/>
          </w:tcPr>
          <w:p w14:paraId="5C7797D1" w14:textId="4F650C51" w:rsidR="006D5B82" w:rsidRPr="00872D7E" w:rsidRDefault="006D5B82" w:rsidP="00AC57E3">
            <w:pPr>
              <w:widowControl w:val="0"/>
              <w:spacing w:line="230" w:lineRule="auto"/>
              <w:ind w:left="-108"/>
              <w:jc w:val="right"/>
              <w:rPr>
                <w:sz w:val="15"/>
                <w:szCs w:val="15"/>
              </w:rPr>
            </w:pPr>
            <w:r w:rsidRPr="00872D7E">
              <w:rPr>
                <w:sz w:val="15"/>
                <w:szCs w:val="15"/>
              </w:rPr>
              <w:t>11</w:t>
            </w:r>
          </w:p>
        </w:tc>
      </w:tr>
      <w:tr w:rsidR="00AC57E3" w:rsidRPr="00872D7E" w14:paraId="5640FACC" w14:textId="77777777" w:rsidTr="005B0A27">
        <w:trPr>
          <w:trHeight w:val="113"/>
        </w:trPr>
        <w:tc>
          <w:tcPr>
            <w:tcW w:w="422" w:type="pct"/>
          </w:tcPr>
          <w:p w14:paraId="5C5F94F5" w14:textId="2B6C14AF" w:rsidR="00AC57E3" w:rsidRPr="00872D7E" w:rsidRDefault="00AC57E3" w:rsidP="006D5B82">
            <w:pPr>
              <w:widowControl w:val="0"/>
              <w:autoSpaceDE w:val="0"/>
              <w:autoSpaceDN w:val="0"/>
              <w:adjustRightInd w:val="0"/>
              <w:spacing w:line="230" w:lineRule="auto"/>
              <w:ind w:left="-108" w:right="-162"/>
              <w:rPr>
                <w:sz w:val="15"/>
                <w:szCs w:val="15"/>
              </w:rPr>
            </w:pPr>
            <w:r w:rsidRPr="00872D7E">
              <w:rPr>
                <w:sz w:val="15"/>
                <w:szCs w:val="15"/>
              </w:rPr>
              <w:t>VII.</w:t>
            </w:r>
          </w:p>
        </w:tc>
        <w:tc>
          <w:tcPr>
            <w:tcW w:w="4229" w:type="pct"/>
            <w:gridSpan w:val="2"/>
          </w:tcPr>
          <w:p w14:paraId="59E27583" w14:textId="453C43F1" w:rsidR="00AC57E3" w:rsidRPr="00872D7E" w:rsidRDefault="00AC57E3" w:rsidP="00AC57E3">
            <w:pPr>
              <w:widowControl w:val="0"/>
              <w:spacing w:line="230" w:lineRule="auto"/>
              <w:ind w:left="-108"/>
              <w:jc w:val="both"/>
              <w:rPr>
                <w:sz w:val="15"/>
                <w:szCs w:val="15"/>
              </w:rPr>
            </w:pPr>
            <w:r w:rsidRPr="00872D7E">
              <w:rPr>
                <w:sz w:val="15"/>
                <w:szCs w:val="15"/>
              </w:rPr>
              <w:t>Kar dağıtım tablosu</w:t>
            </w:r>
          </w:p>
        </w:tc>
        <w:tc>
          <w:tcPr>
            <w:tcW w:w="349" w:type="pct"/>
            <w:vAlign w:val="bottom"/>
          </w:tcPr>
          <w:p w14:paraId="5FC2FBC1" w14:textId="5B6901BB" w:rsidR="00AC57E3" w:rsidRPr="00872D7E" w:rsidRDefault="00AC57E3" w:rsidP="00AC57E3">
            <w:pPr>
              <w:widowControl w:val="0"/>
              <w:spacing w:line="230" w:lineRule="auto"/>
              <w:ind w:left="-108"/>
              <w:jc w:val="right"/>
              <w:rPr>
                <w:sz w:val="15"/>
                <w:szCs w:val="15"/>
              </w:rPr>
            </w:pPr>
            <w:r w:rsidRPr="00872D7E">
              <w:rPr>
                <w:sz w:val="15"/>
                <w:szCs w:val="15"/>
              </w:rPr>
              <w:t>12</w:t>
            </w:r>
          </w:p>
        </w:tc>
      </w:tr>
      <w:tr w:rsidR="006D5B82" w:rsidRPr="00872D7E" w14:paraId="6B06B584" w14:textId="77777777" w:rsidTr="005B0A27">
        <w:trPr>
          <w:trHeight w:val="113"/>
        </w:trPr>
        <w:tc>
          <w:tcPr>
            <w:tcW w:w="4651" w:type="pct"/>
            <w:gridSpan w:val="3"/>
          </w:tcPr>
          <w:p w14:paraId="3D28A48E" w14:textId="77777777" w:rsidR="006D5B82" w:rsidRPr="00872D7E" w:rsidRDefault="006D5B82" w:rsidP="006D5B82">
            <w:pPr>
              <w:widowControl w:val="0"/>
              <w:spacing w:line="230" w:lineRule="auto"/>
              <w:ind w:left="-108"/>
              <w:rPr>
                <w:sz w:val="15"/>
                <w:szCs w:val="15"/>
              </w:rPr>
            </w:pPr>
          </w:p>
        </w:tc>
        <w:tc>
          <w:tcPr>
            <w:tcW w:w="349" w:type="pct"/>
            <w:vAlign w:val="bottom"/>
          </w:tcPr>
          <w:p w14:paraId="5B3DC04A" w14:textId="77777777" w:rsidR="006D5B82" w:rsidRPr="00872D7E" w:rsidRDefault="006D5B82" w:rsidP="00AC57E3">
            <w:pPr>
              <w:widowControl w:val="0"/>
              <w:spacing w:line="230" w:lineRule="auto"/>
              <w:ind w:left="-108"/>
              <w:jc w:val="right"/>
              <w:rPr>
                <w:sz w:val="15"/>
                <w:szCs w:val="15"/>
              </w:rPr>
            </w:pPr>
          </w:p>
        </w:tc>
      </w:tr>
      <w:tr w:rsidR="00267780" w:rsidRPr="00872D7E" w14:paraId="4EF40402" w14:textId="77777777" w:rsidTr="00267780">
        <w:trPr>
          <w:trHeight w:val="113"/>
        </w:trPr>
        <w:tc>
          <w:tcPr>
            <w:tcW w:w="5000" w:type="pct"/>
            <w:gridSpan w:val="4"/>
            <w:vAlign w:val="center"/>
          </w:tcPr>
          <w:p w14:paraId="572F5C47" w14:textId="6AF26FBC" w:rsidR="00267780" w:rsidRPr="00872D7E" w:rsidRDefault="00267780" w:rsidP="00267780">
            <w:pPr>
              <w:widowControl w:val="0"/>
              <w:spacing w:line="230" w:lineRule="auto"/>
              <w:ind w:left="-108"/>
              <w:jc w:val="center"/>
              <w:rPr>
                <w:b/>
                <w:sz w:val="15"/>
                <w:szCs w:val="15"/>
              </w:rPr>
            </w:pPr>
            <w:r w:rsidRPr="00872D7E">
              <w:rPr>
                <w:b/>
                <w:sz w:val="15"/>
                <w:szCs w:val="15"/>
              </w:rPr>
              <w:t>Üçüncü Bölüm</w:t>
            </w:r>
          </w:p>
        </w:tc>
      </w:tr>
      <w:tr w:rsidR="00267780" w:rsidRPr="00872D7E" w14:paraId="20EBA324" w14:textId="77777777" w:rsidTr="00267780">
        <w:trPr>
          <w:trHeight w:val="113"/>
        </w:trPr>
        <w:tc>
          <w:tcPr>
            <w:tcW w:w="5000" w:type="pct"/>
            <w:gridSpan w:val="4"/>
            <w:vAlign w:val="center"/>
          </w:tcPr>
          <w:p w14:paraId="01833096" w14:textId="4D7AFFFD" w:rsidR="00267780" w:rsidRPr="00872D7E" w:rsidRDefault="00ED2040" w:rsidP="00267780">
            <w:pPr>
              <w:widowControl w:val="0"/>
              <w:spacing w:line="230" w:lineRule="auto"/>
              <w:ind w:left="-108"/>
              <w:jc w:val="center"/>
              <w:rPr>
                <w:b/>
                <w:sz w:val="15"/>
                <w:szCs w:val="15"/>
              </w:rPr>
            </w:pPr>
            <w:r w:rsidRPr="00872D7E">
              <w:rPr>
                <w:b/>
                <w:sz w:val="15"/>
                <w:szCs w:val="15"/>
              </w:rPr>
              <w:t>Muhasebe Politikalarına İlişkin Açıklamalar</w:t>
            </w:r>
          </w:p>
        </w:tc>
      </w:tr>
      <w:tr w:rsidR="006D5B82" w:rsidRPr="00872D7E" w14:paraId="7AFD7F1F" w14:textId="77777777" w:rsidTr="005B0A27">
        <w:trPr>
          <w:trHeight w:val="113"/>
        </w:trPr>
        <w:tc>
          <w:tcPr>
            <w:tcW w:w="4651" w:type="pct"/>
            <w:gridSpan w:val="3"/>
          </w:tcPr>
          <w:p w14:paraId="0ADE72D8" w14:textId="77777777" w:rsidR="006D5B82" w:rsidRPr="00872D7E" w:rsidRDefault="006D5B82" w:rsidP="006D5B82">
            <w:pPr>
              <w:widowControl w:val="0"/>
              <w:spacing w:line="230" w:lineRule="auto"/>
              <w:ind w:left="-108"/>
              <w:rPr>
                <w:b/>
                <w:sz w:val="15"/>
                <w:szCs w:val="15"/>
              </w:rPr>
            </w:pPr>
          </w:p>
        </w:tc>
        <w:tc>
          <w:tcPr>
            <w:tcW w:w="349" w:type="pct"/>
            <w:vAlign w:val="bottom"/>
          </w:tcPr>
          <w:p w14:paraId="12E875D7" w14:textId="77777777" w:rsidR="006D5B82" w:rsidRPr="00872D7E" w:rsidRDefault="006D5B82" w:rsidP="00AC57E3">
            <w:pPr>
              <w:widowControl w:val="0"/>
              <w:spacing w:line="230" w:lineRule="auto"/>
              <w:ind w:left="-108"/>
              <w:jc w:val="right"/>
              <w:rPr>
                <w:b/>
                <w:sz w:val="15"/>
                <w:szCs w:val="15"/>
              </w:rPr>
            </w:pPr>
          </w:p>
        </w:tc>
      </w:tr>
      <w:tr w:rsidR="006D5B82" w:rsidRPr="00872D7E" w14:paraId="74AD541C" w14:textId="77777777" w:rsidTr="005B0A27">
        <w:trPr>
          <w:trHeight w:val="113"/>
        </w:trPr>
        <w:tc>
          <w:tcPr>
            <w:tcW w:w="422" w:type="pct"/>
          </w:tcPr>
          <w:p w14:paraId="6A02D1CA"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I.</w:t>
            </w:r>
          </w:p>
        </w:tc>
        <w:tc>
          <w:tcPr>
            <w:tcW w:w="4229" w:type="pct"/>
            <w:gridSpan w:val="2"/>
          </w:tcPr>
          <w:p w14:paraId="09372ED8" w14:textId="77777777" w:rsidR="006D5B82" w:rsidRPr="00872D7E" w:rsidRDefault="006D5B82" w:rsidP="006D5B82">
            <w:pPr>
              <w:widowControl w:val="0"/>
              <w:spacing w:line="230" w:lineRule="auto"/>
              <w:ind w:left="-108"/>
              <w:jc w:val="both"/>
              <w:rPr>
                <w:sz w:val="15"/>
                <w:szCs w:val="15"/>
              </w:rPr>
            </w:pPr>
            <w:r w:rsidRPr="00872D7E">
              <w:rPr>
                <w:sz w:val="15"/>
                <w:szCs w:val="15"/>
              </w:rPr>
              <w:t>Sunum esaslarına ilişkin açıklamalar</w:t>
            </w:r>
          </w:p>
        </w:tc>
        <w:tc>
          <w:tcPr>
            <w:tcW w:w="349" w:type="pct"/>
            <w:vAlign w:val="bottom"/>
          </w:tcPr>
          <w:p w14:paraId="250CBCA2" w14:textId="2CA08CFE" w:rsidR="006D5B82" w:rsidRPr="00872D7E" w:rsidRDefault="006D5B82" w:rsidP="00AC57E3">
            <w:pPr>
              <w:widowControl w:val="0"/>
              <w:spacing w:line="230" w:lineRule="auto"/>
              <w:ind w:left="-108"/>
              <w:jc w:val="right"/>
              <w:rPr>
                <w:sz w:val="15"/>
                <w:szCs w:val="15"/>
              </w:rPr>
            </w:pPr>
            <w:r w:rsidRPr="00872D7E">
              <w:rPr>
                <w:sz w:val="15"/>
                <w:szCs w:val="15"/>
              </w:rPr>
              <w:t>12-1</w:t>
            </w:r>
            <w:r w:rsidR="000350F9" w:rsidRPr="00872D7E">
              <w:rPr>
                <w:sz w:val="15"/>
                <w:szCs w:val="15"/>
              </w:rPr>
              <w:t>4</w:t>
            </w:r>
          </w:p>
        </w:tc>
      </w:tr>
      <w:tr w:rsidR="006D5B82" w:rsidRPr="00872D7E" w14:paraId="0DBE24F5" w14:textId="77777777" w:rsidTr="005B0A27">
        <w:trPr>
          <w:trHeight w:val="113"/>
        </w:trPr>
        <w:tc>
          <w:tcPr>
            <w:tcW w:w="422" w:type="pct"/>
          </w:tcPr>
          <w:p w14:paraId="3880BE64"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II.</w:t>
            </w:r>
          </w:p>
        </w:tc>
        <w:tc>
          <w:tcPr>
            <w:tcW w:w="4229" w:type="pct"/>
            <w:gridSpan w:val="2"/>
          </w:tcPr>
          <w:p w14:paraId="3E14E4DC" w14:textId="77777777" w:rsidR="006D5B82" w:rsidRPr="00872D7E" w:rsidRDefault="006D5B82" w:rsidP="006D5B82">
            <w:pPr>
              <w:widowControl w:val="0"/>
              <w:spacing w:line="230" w:lineRule="auto"/>
              <w:ind w:left="-108"/>
              <w:jc w:val="both"/>
              <w:rPr>
                <w:sz w:val="15"/>
                <w:szCs w:val="15"/>
              </w:rPr>
            </w:pPr>
            <w:r w:rsidRPr="00872D7E">
              <w:rPr>
                <w:sz w:val="15"/>
                <w:szCs w:val="15"/>
              </w:rPr>
              <w:t>Finansal araçların kullanım stratejisi ve yabancı para cinsinden işlemlere ilişkin açıklamalar</w:t>
            </w:r>
          </w:p>
        </w:tc>
        <w:tc>
          <w:tcPr>
            <w:tcW w:w="349" w:type="pct"/>
            <w:vAlign w:val="bottom"/>
          </w:tcPr>
          <w:p w14:paraId="429CA04B" w14:textId="1D30B80D" w:rsidR="006D5B82" w:rsidRPr="00872D7E" w:rsidRDefault="006D5B82" w:rsidP="00AC57E3">
            <w:pPr>
              <w:widowControl w:val="0"/>
              <w:spacing w:line="230" w:lineRule="auto"/>
              <w:ind w:left="-108"/>
              <w:jc w:val="right"/>
              <w:rPr>
                <w:sz w:val="15"/>
                <w:szCs w:val="15"/>
              </w:rPr>
            </w:pPr>
            <w:r w:rsidRPr="00872D7E">
              <w:rPr>
                <w:sz w:val="15"/>
                <w:szCs w:val="15"/>
              </w:rPr>
              <w:t>1</w:t>
            </w:r>
            <w:r w:rsidR="000350F9" w:rsidRPr="00872D7E">
              <w:rPr>
                <w:sz w:val="15"/>
                <w:szCs w:val="15"/>
              </w:rPr>
              <w:t>5</w:t>
            </w:r>
          </w:p>
        </w:tc>
      </w:tr>
      <w:tr w:rsidR="006D5B82" w:rsidRPr="00872D7E" w14:paraId="1A7D8A5D" w14:textId="77777777" w:rsidTr="005B0A27">
        <w:trPr>
          <w:trHeight w:val="113"/>
        </w:trPr>
        <w:tc>
          <w:tcPr>
            <w:tcW w:w="422" w:type="pct"/>
          </w:tcPr>
          <w:p w14:paraId="529C77F6"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III.</w:t>
            </w:r>
          </w:p>
        </w:tc>
        <w:tc>
          <w:tcPr>
            <w:tcW w:w="4229" w:type="pct"/>
            <w:gridSpan w:val="2"/>
          </w:tcPr>
          <w:p w14:paraId="57B2F19B" w14:textId="77777777" w:rsidR="006D5B82" w:rsidRPr="00872D7E" w:rsidRDefault="006D5B82" w:rsidP="006D5B82">
            <w:pPr>
              <w:widowControl w:val="0"/>
              <w:spacing w:line="230" w:lineRule="auto"/>
              <w:ind w:left="-108"/>
              <w:jc w:val="both"/>
              <w:rPr>
                <w:sz w:val="15"/>
                <w:szCs w:val="15"/>
              </w:rPr>
            </w:pPr>
            <w:r w:rsidRPr="00872D7E">
              <w:rPr>
                <w:sz w:val="15"/>
                <w:szCs w:val="15"/>
              </w:rPr>
              <w:t>Vadeli işlem ve opsiyon sözleşmeleri ile türev ürünlere ilişkin açıklamalar</w:t>
            </w:r>
          </w:p>
        </w:tc>
        <w:tc>
          <w:tcPr>
            <w:tcW w:w="349" w:type="pct"/>
            <w:vAlign w:val="bottom"/>
          </w:tcPr>
          <w:p w14:paraId="06EBADF7" w14:textId="444FDD1B" w:rsidR="006D5B82" w:rsidRPr="00872D7E" w:rsidRDefault="00553193" w:rsidP="00AC57E3">
            <w:pPr>
              <w:widowControl w:val="0"/>
              <w:spacing w:line="230" w:lineRule="auto"/>
              <w:ind w:left="-108"/>
              <w:jc w:val="right"/>
              <w:rPr>
                <w:sz w:val="15"/>
                <w:szCs w:val="15"/>
              </w:rPr>
            </w:pPr>
            <w:r w:rsidRPr="00872D7E">
              <w:rPr>
                <w:sz w:val="15"/>
                <w:szCs w:val="15"/>
              </w:rPr>
              <w:t>15</w:t>
            </w:r>
          </w:p>
        </w:tc>
      </w:tr>
      <w:tr w:rsidR="006D5B82" w:rsidRPr="00872D7E" w14:paraId="59FABE2F" w14:textId="77777777" w:rsidTr="005B0A27">
        <w:trPr>
          <w:trHeight w:val="113"/>
        </w:trPr>
        <w:tc>
          <w:tcPr>
            <w:tcW w:w="422" w:type="pct"/>
          </w:tcPr>
          <w:p w14:paraId="5D31DD03"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IV.</w:t>
            </w:r>
          </w:p>
        </w:tc>
        <w:tc>
          <w:tcPr>
            <w:tcW w:w="4229" w:type="pct"/>
            <w:gridSpan w:val="2"/>
          </w:tcPr>
          <w:p w14:paraId="5CF8A404" w14:textId="77777777" w:rsidR="006D5B82" w:rsidRPr="00872D7E" w:rsidRDefault="006D5B82" w:rsidP="006D5B82">
            <w:pPr>
              <w:widowControl w:val="0"/>
              <w:spacing w:line="230" w:lineRule="auto"/>
              <w:ind w:left="-108"/>
              <w:jc w:val="both"/>
              <w:rPr>
                <w:sz w:val="15"/>
                <w:szCs w:val="15"/>
              </w:rPr>
            </w:pPr>
            <w:proofErr w:type="gramStart"/>
            <w:r w:rsidRPr="00872D7E">
              <w:rPr>
                <w:sz w:val="15"/>
                <w:szCs w:val="15"/>
              </w:rPr>
              <w:t>Kar</w:t>
            </w:r>
            <w:proofErr w:type="gramEnd"/>
            <w:r w:rsidRPr="00872D7E">
              <w:rPr>
                <w:sz w:val="15"/>
                <w:szCs w:val="15"/>
              </w:rPr>
              <w:t xml:space="preserve"> payı gelir ve giderine ilişkin açıklamalar</w:t>
            </w:r>
          </w:p>
        </w:tc>
        <w:tc>
          <w:tcPr>
            <w:tcW w:w="349" w:type="pct"/>
            <w:vAlign w:val="bottom"/>
          </w:tcPr>
          <w:p w14:paraId="49B904D2" w14:textId="2B4E05B5" w:rsidR="006D5B82" w:rsidRPr="00872D7E" w:rsidRDefault="00553193" w:rsidP="00AC57E3">
            <w:pPr>
              <w:widowControl w:val="0"/>
              <w:spacing w:line="230" w:lineRule="auto"/>
              <w:ind w:left="-108"/>
              <w:jc w:val="right"/>
              <w:rPr>
                <w:sz w:val="15"/>
                <w:szCs w:val="15"/>
              </w:rPr>
            </w:pPr>
            <w:r w:rsidRPr="00872D7E">
              <w:rPr>
                <w:sz w:val="15"/>
                <w:szCs w:val="15"/>
              </w:rPr>
              <w:t>16</w:t>
            </w:r>
          </w:p>
        </w:tc>
      </w:tr>
      <w:tr w:rsidR="006D5B82" w:rsidRPr="00872D7E" w14:paraId="29CE29AD" w14:textId="77777777" w:rsidTr="005B0A27">
        <w:trPr>
          <w:trHeight w:val="113"/>
        </w:trPr>
        <w:tc>
          <w:tcPr>
            <w:tcW w:w="422" w:type="pct"/>
          </w:tcPr>
          <w:p w14:paraId="035EFF5F"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V.</w:t>
            </w:r>
          </w:p>
        </w:tc>
        <w:tc>
          <w:tcPr>
            <w:tcW w:w="4229" w:type="pct"/>
            <w:gridSpan w:val="2"/>
          </w:tcPr>
          <w:p w14:paraId="6E77A15F" w14:textId="77777777" w:rsidR="006D5B82" w:rsidRPr="00872D7E" w:rsidRDefault="006D5B82" w:rsidP="006D5B82">
            <w:pPr>
              <w:widowControl w:val="0"/>
              <w:spacing w:line="230" w:lineRule="auto"/>
              <w:ind w:left="-108"/>
              <w:jc w:val="both"/>
              <w:rPr>
                <w:sz w:val="15"/>
                <w:szCs w:val="15"/>
              </w:rPr>
            </w:pPr>
            <w:r w:rsidRPr="00872D7E">
              <w:rPr>
                <w:sz w:val="15"/>
                <w:szCs w:val="15"/>
              </w:rPr>
              <w:t>Ücret ve komisyon gelir ve giderlerine ilişkin açıklamalar</w:t>
            </w:r>
          </w:p>
        </w:tc>
        <w:tc>
          <w:tcPr>
            <w:tcW w:w="349" w:type="pct"/>
            <w:vAlign w:val="bottom"/>
          </w:tcPr>
          <w:p w14:paraId="7E76ACBF" w14:textId="39C45F8F" w:rsidR="006D5B82" w:rsidRPr="00872D7E" w:rsidRDefault="00553193" w:rsidP="00AC57E3">
            <w:pPr>
              <w:widowControl w:val="0"/>
              <w:spacing w:line="230" w:lineRule="auto"/>
              <w:ind w:left="-108"/>
              <w:jc w:val="right"/>
              <w:rPr>
                <w:sz w:val="15"/>
                <w:szCs w:val="15"/>
              </w:rPr>
            </w:pPr>
            <w:r w:rsidRPr="00872D7E">
              <w:rPr>
                <w:sz w:val="15"/>
                <w:szCs w:val="15"/>
              </w:rPr>
              <w:t>16</w:t>
            </w:r>
          </w:p>
        </w:tc>
      </w:tr>
      <w:tr w:rsidR="006D5B82" w:rsidRPr="00872D7E" w14:paraId="767D0F8C" w14:textId="77777777" w:rsidTr="005B0A27">
        <w:trPr>
          <w:trHeight w:val="113"/>
        </w:trPr>
        <w:tc>
          <w:tcPr>
            <w:tcW w:w="422" w:type="pct"/>
          </w:tcPr>
          <w:p w14:paraId="6521A949"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VI.</w:t>
            </w:r>
          </w:p>
        </w:tc>
        <w:tc>
          <w:tcPr>
            <w:tcW w:w="4229" w:type="pct"/>
            <w:gridSpan w:val="2"/>
          </w:tcPr>
          <w:p w14:paraId="576854BF" w14:textId="77777777" w:rsidR="006D5B82" w:rsidRPr="00872D7E" w:rsidRDefault="006D5B82" w:rsidP="006D5B82">
            <w:pPr>
              <w:widowControl w:val="0"/>
              <w:spacing w:line="230" w:lineRule="auto"/>
              <w:ind w:left="-108"/>
              <w:jc w:val="both"/>
              <w:rPr>
                <w:sz w:val="15"/>
                <w:szCs w:val="15"/>
              </w:rPr>
            </w:pPr>
            <w:r w:rsidRPr="00872D7E">
              <w:rPr>
                <w:sz w:val="15"/>
                <w:szCs w:val="15"/>
              </w:rPr>
              <w:t>Finansal varlıklara ilişkin açıklamalar</w:t>
            </w:r>
          </w:p>
        </w:tc>
        <w:tc>
          <w:tcPr>
            <w:tcW w:w="349" w:type="pct"/>
            <w:vAlign w:val="bottom"/>
          </w:tcPr>
          <w:p w14:paraId="58880D8F" w14:textId="1760F23C" w:rsidR="006D5B82" w:rsidRPr="00872D7E" w:rsidRDefault="00553193" w:rsidP="00AC57E3">
            <w:pPr>
              <w:widowControl w:val="0"/>
              <w:spacing w:line="230" w:lineRule="auto"/>
              <w:ind w:left="-108"/>
              <w:jc w:val="right"/>
              <w:rPr>
                <w:sz w:val="15"/>
                <w:szCs w:val="15"/>
              </w:rPr>
            </w:pPr>
            <w:r w:rsidRPr="00872D7E">
              <w:rPr>
                <w:sz w:val="15"/>
                <w:szCs w:val="15"/>
              </w:rPr>
              <w:t>17-18</w:t>
            </w:r>
          </w:p>
        </w:tc>
      </w:tr>
      <w:tr w:rsidR="006D5B82" w:rsidRPr="00872D7E" w14:paraId="1DFF5F32" w14:textId="77777777" w:rsidTr="005B0A27">
        <w:trPr>
          <w:trHeight w:val="113"/>
        </w:trPr>
        <w:tc>
          <w:tcPr>
            <w:tcW w:w="422" w:type="pct"/>
          </w:tcPr>
          <w:p w14:paraId="36CA5D94"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VII.</w:t>
            </w:r>
          </w:p>
        </w:tc>
        <w:tc>
          <w:tcPr>
            <w:tcW w:w="4229" w:type="pct"/>
            <w:gridSpan w:val="2"/>
          </w:tcPr>
          <w:p w14:paraId="0C74CA04" w14:textId="38791C9A" w:rsidR="006D5B82" w:rsidRPr="00872D7E" w:rsidRDefault="006D5B82" w:rsidP="006D5B82">
            <w:pPr>
              <w:widowControl w:val="0"/>
              <w:spacing w:line="230" w:lineRule="auto"/>
              <w:ind w:left="-108"/>
              <w:jc w:val="both"/>
              <w:rPr>
                <w:sz w:val="15"/>
                <w:szCs w:val="15"/>
              </w:rPr>
            </w:pPr>
            <w:r w:rsidRPr="00872D7E">
              <w:rPr>
                <w:sz w:val="15"/>
                <w:szCs w:val="15"/>
              </w:rPr>
              <w:t>Finansal varlıklarda değer düşüklüğüne ilişkin açıklamalar</w:t>
            </w:r>
          </w:p>
        </w:tc>
        <w:tc>
          <w:tcPr>
            <w:tcW w:w="349" w:type="pct"/>
            <w:vAlign w:val="bottom"/>
          </w:tcPr>
          <w:p w14:paraId="7776A75C" w14:textId="66724B2E" w:rsidR="006D5B82" w:rsidRPr="00872D7E" w:rsidRDefault="00426FB6" w:rsidP="00AC57E3">
            <w:pPr>
              <w:widowControl w:val="0"/>
              <w:spacing w:line="230" w:lineRule="auto"/>
              <w:ind w:left="-108"/>
              <w:jc w:val="right"/>
              <w:rPr>
                <w:sz w:val="15"/>
                <w:szCs w:val="15"/>
              </w:rPr>
            </w:pPr>
            <w:r w:rsidRPr="00872D7E">
              <w:rPr>
                <w:sz w:val="15"/>
                <w:szCs w:val="15"/>
              </w:rPr>
              <w:t>18</w:t>
            </w:r>
          </w:p>
        </w:tc>
      </w:tr>
      <w:tr w:rsidR="006D5B82" w:rsidRPr="00872D7E" w14:paraId="656A9A11" w14:textId="77777777" w:rsidTr="005B0A27">
        <w:trPr>
          <w:trHeight w:val="113"/>
        </w:trPr>
        <w:tc>
          <w:tcPr>
            <w:tcW w:w="422" w:type="pct"/>
          </w:tcPr>
          <w:p w14:paraId="68F3D4DB"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VIII.</w:t>
            </w:r>
          </w:p>
        </w:tc>
        <w:tc>
          <w:tcPr>
            <w:tcW w:w="4229" w:type="pct"/>
            <w:gridSpan w:val="2"/>
          </w:tcPr>
          <w:p w14:paraId="6D39D1A3" w14:textId="77777777" w:rsidR="006D5B82" w:rsidRPr="00872D7E" w:rsidRDefault="006D5B82" w:rsidP="006D5B82">
            <w:pPr>
              <w:widowControl w:val="0"/>
              <w:spacing w:line="230" w:lineRule="auto"/>
              <w:ind w:left="-108"/>
              <w:jc w:val="both"/>
              <w:rPr>
                <w:sz w:val="15"/>
                <w:szCs w:val="15"/>
              </w:rPr>
            </w:pPr>
            <w:r w:rsidRPr="00872D7E">
              <w:rPr>
                <w:sz w:val="15"/>
                <w:szCs w:val="15"/>
              </w:rPr>
              <w:t>Finansal araçların netleştirilmesine ilişkin açıklamalar</w:t>
            </w:r>
          </w:p>
        </w:tc>
        <w:tc>
          <w:tcPr>
            <w:tcW w:w="349" w:type="pct"/>
            <w:vAlign w:val="bottom"/>
          </w:tcPr>
          <w:p w14:paraId="5E2C52A0" w14:textId="0491A373" w:rsidR="006D5B82" w:rsidRPr="00872D7E" w:rsidRDefault="00426FB6" w:rsidP="00AC57E3">
            <w:pPr>
              <w:widowControl w:val="0"/>
              <w:spacing w:line="230" w:lineRule="auto"/>
              <w:ind w:left="-108"/>
              <w:jc w:val="right"/>
              <w:rPr>
                <w:sz w:val="15"/>
                <w:szCs w:val="15"/>
              </w:rPr>
            </w:pPr>
            <w:r w:rsidRPr="00872D7E">
              <w:rPr>
                <w:sz w:val="15"/>
                <w:szCs w:val="15"/>
              </w:rPr>
              <w:t>18</w:t>
            </w:r>
          </w:p>
        </w:tc>
      </w:tr>
      <w:tr w:rsidR="006D5B82" w:rsidRPr="00872D7E" w14:paraId="5BA1E729" w14:textId="77777777" w:rsidTr="005B0A27">
        <w:trPr>
          <w:trHeight w:val="113"/>
        </w:trPr>
        <w:tc>
          <w:tcPr>
            <w:tcW w:w="422" w:type="pct"/>
          </w:tcPr>
          <w:p w14:paraId="45A56521"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IX.</w:t>
            </w:r>
          </w:p>
        </w:tc>
        <w:tc>
          <w:tcPr>
            <w:tcW w:w="4229" w:type="pct"/>
            <w:gridSpan w:val="2"/>
          </w:tcPr>
          <w:p w14:paraId="75256C7D" w14:textId="77777777" w:rsidR="006D5B82" w:rsidRPr="00872D7E" w:rsidRDefault="006D5B82" w:rsidP="006D5B82">
            <w:pPr>
              <w:widowControl w:val="0"/>
              <w:spacing w:line="230" w:lineRule="auto"/>
              <w:ind w:left="-108"/>
              <w:jc w:val="both"/>
              <w:rPr>
                <w:sz w:val="15"/>
                <w:szCs w:val="15"/>
              </w:rPr>
            </w:pPr>
            <w:r w:rsidRPr="00872D7E">
              <w:rPr>
                <w:sz w:val="15"/>
                <w:szCs w:val="15"/>
              </w:rPr>
              <w:t>Satış ve geri alış anlaşmaları ve menkul değerlerin ödünç verilmesi işlemlerine ilişkin açıklamalar</w:t>
            </w:r>
          </w:p>
        </w:tc>
        <w:tc>
          <w:tcPr>
            <w:tcW w:w="349" w:type="pct"/>
            <w:vAlign w:val="bottom"/>
          </w:tcPr>
          <w:p w14:paraId="37BFFEE2" w14:textId="20EF31F2" w:rsidR="006D5B82" w:rsidRPr="00872D7E" w:rsidRDefault="00426FB6" w:rsidP="00AC57E3">
            <w:pPr>
              <w:widowControl w:val="0"/>
              <w:spacing w:line="230" w:lineRule="auto"/>
              <w:ind w:left="-108"/>
              <w:jc w:val="right"/>
              <w:rPr>
                <w:sz w:val="15"/>
                <w:szCs w:val="15"/>
              </w:rPr>
            </w:pPr>
            <w:r w:rsidRPr="00872D7E">
              <w:rPr>
                <w:sz w:val="15"/>
                <w:szCs w:val="15"/>
              </w:rPr>
              <w:t>18</w:t>
            </w:r>
          </w:p>
        </w:tc>
      </w:tr>
      <w:tr w:rsidR="006D5B82" w:rsidRPr="00872D7E" w14:paraId="0C63B727" w14:textId="77777777" w:rsidTr="005B0A27">
        <w:trPr>
          <w:trHeight w:val="113"/>
        </w:trPr>
        <w:tc>
          <w:tcPr>
            <w:tcW w:w="422" w:type="pct"/>
          </w:tcPr>
          <w:p w14:paraId="6D2DFF89"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w:t>
            </w:r>
          </w:p>
        </w:tc>
        <w:tc>
          <w:tcPr>
            <w:tcW w:w="4229" w:type="pct"/>
            <w:gridSpan w:val="2"/>
          </w:tcPr>
          <w:p w14:paraId="18B11D56" w14:textId="77777777" w:rsidR="006D5B82" w:rsidRPr="00872D7E" w:rsidRDefault="006D5B82" w:rsidP="006D5B82">
            <w:pPr>
              <w:widowControl w:val="0"/>
              <w:spacing w:line="230" w:lineRule="auto"/>
              <w:ind w:left="-108"/>
              <w:jc w:val="both"/>
              <w:rPr>
                <w:sz w:val="15"/>
                <w:szCs w:val="15"/>
              </w:rPr>
            </w:pPr>
            <w:r w:rsidRPr="00872D7E">
              <w:rPr>
                <w:sz w:val="15"/>
                <w:szCs w:val="15"/>
              </w:rPr>
              <w:t>Satış amaçlı elde tutulan ve durdurulan faaliyetlere ilişkin duran varlıklar ile bu varlıklara ilişkin borçlar hakkında açıklamalar</w:t>
            </w:r>
          </w:p>
        </w:tc>
        <w:tc>
          <w:tcPr>
            <w:tcW w:w="349" w:type="pct"/>
            <w:vAlign w:val="bottom"/>
          </w:tcPr>
          <w:p w14:paraId="5DBF3BBD" w14:textId="78D93F27" w:rsidR="006D5B82" w:rsidRPr="00872D7E" w:rsidRDefault="00426FB6" w:rsidP="00AC57E3">
            <w:pPr>
              <w:widowControl w:val="0"/>
              <w:spacing w:line="230" w:lineRule="auto"/>
              <w:ind w:left="-108"/>
              <w:jc w:val="right"/>
              <w:rPr>
                <w:sz w:val="15"/>
                <w:szCs w:val="15"/>
              </w:rPr>
            </w:pPr>
            <w:r w:rsidRPr="00872D7E">
              <w:rPr>
                <w:sz w:val="15"/>
                <w:szCs w:val="15"/>
              </w:rPr>
              <w:t>19</w:t>
            </w:r>
          </w:p>
        </w:tc>
      </w:tr>
      <w:tr w:rsidR="006D5B82" w:rsidRPr="00872D7E" w14:paraId="0F0D315C" w14:textId="77777777" w:rsidTr="005B0A27">
        <w:trPr>
          <w:trHeight w:val="113"/>
        </w:trPr>
        <w:tc>
          <w:tcPr>
            <w:tcW w:w="422" w:type="pct"/>
          </w:tcPr>
          <w:p w14:paraId="6875FF73"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XI.</w:t>
            </w:r>
          </w:p>
        </w:tc>
        <w:tc>
          <w:tcPr>
            <w:tcW w:w="4229" w:type="pct"/>
            <w:gridSpan w:val="2"/>
          </w:tcPr>
          <w:p w14:paraId="11D5C608" w14:textId="77777777" w:rsidR="006D5B82" w:rsidRPr="00872D7E" w:rsidRDefault="006D5B82" w:rsidP="006D5B82">
            <w:pPr>
              <w:widowControl w:val="0"/>
              <w:spacing w:line="230" w:lineRule="auto"/>
              <w:ind w:left="-108"/>
              <w:jc w:val="both"/>
              <w:rPr>
                <w:sz w:val="15"/>
                <w:szCs w:val="15"/>
              </w:rPr>
            </w:pPr>
            <w:r w:rsidRPr="00872D7E">
              <w:rPr>
                <w:sz w:val="15"/>
                <w:szCs w:val="15"/>
              </w:rPr>
              <w:t>Şerefiye ve diğer maddi olmayan duran varlıklara ilişkin açıklamalar</w:t>
            </w:r>
          </w:p>
        </w:tc>
        <w:tc>
          <w:tcPr>
            <w:tcW w:w="349" w:type="pct"/>
            <w:vAlign w:val="bottom"/>
          </w:tcPr>
          <w:p w14:paraId="511ADFEC" w14:textId="5BDFD5A8" w:rsidR="006D5B82" w:rsidRPr="00872D7E" w:rsidRDefault="00426FB6" w:rsidP="00AC57E3">
            <w:pPr>
              <w:widowControl w:val="0"/>
              <w:spacing w:line="230" w:lineRule="auto"/>
              <w:ind w:left="-108"/>
              <w:jc w:val="right"/>
              <w:rPr>
                <w:sz w:val="15"/>
                <w:szCs w:val="15"/>
              </w:rPr>
            </w:pPr>
            <w:r w:rsidRPr="00872D7E">
              <w:rPr>
                <w:sz w:val="15"/>
                <w:szCs w:val="15"/>
              </w:rPr>
              <w:t>19</w:t>
            </w:r>
          </w:p>
        </w:tc>
      </w:tr>
      <w:tr w:rsidR="006D5B82" w:rsidRPr="00872D7E" w14:paraId="714ACB53" w14:textId="77777777" w:rsidTr="005B0A27">
        <w:trPr>
          <w:trHeight w:val="113"/>
        </w:trPr>
        <w:tc>
          <w:tcPr>
            <w:tcW w:w="422" w:type="pct"/>
          </w:tcPr>
          <w:p w14:paraId="082B5AFC"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XII.</w:t>
            </w:r>
          </w:p>
        </w:tc>
        <w:tc>
          <w:tcPr>
            <w:tcW w:w="4229" w:type="pct"/>
            <w:gridSpan w:val="2"/>
          </w:tcPr>
          <w:p w14:paraId="024E30BF" w14:textId="77777777" w:rsidR="006D5B82" w:rsidRPr="00872D7E" w:rsidRDefault="006D5B82" w:rsidP="006D5B82">
            <w:pPr>
              <w:widowControl w:val="0"/>
              <w:spacing w:line="230" w:lineRule="auto"/>
              <w:ind w:left="-108"/>
              <w:jc w:val="both"/>
              <w:rPr>
                <w:sz w:val="15"/>
                <w:szCs w:val="15"/>
              </w:rPr>
            </w:pPr>
            <w:r w:rsidRPr="00872D7E">
              <w:rPr>
                <w:sz w:val="15"/>
                <w:szCs w:val="15"/>
              </w:rPr>
              <w:t>Maddi duran varlıklara ilişkin açıklamalar</w:t>
            </w:r>
          </w:p>
        </w:tc>
        <w:tc>
          <w:tcPr>
            <w:tcW w:w="349" w:type="pct"/>
            <w:vAlign w:val="bottom"/>
          </w:tcPr>
          <w:p w14:paraId="0CB0AF89" w14:textId="1A089A3F" w:rsidR="006D5B82" w:rsidRPr="00872D7E" w:rsidRDefault="00426FB6" w:rsidP="00AC57E3">
            <w:pPr>
              <w:widowControl w:val="0"/>
              <w:spacing w:line="230" w:lineRule="auto"/>
              <w:ind w:left="-108"/>
              <w:jc w:val="right"/>
              <w:rPr>
                <w:sz w:val="15"/>
                <w:szCs w:val="15"/>
              </w:rPr>
            </w:pPr>
            <w:r w:rsidRPr="00872D7E">
              <w:rPr>
                <w:sz w:val="15"/>
                <w:szCs w:val="15"/>
              </w:rPr>
              <w:t>20</w:t>
            </w:r>
          </w:p>
        </w:tc>
      </w:tr>
      <w:tr w:rsidR="006D5B82" w:rsidRPr="00872D7E" w14:paraId="5B8E4A09" w14:textId="77777777" w:rsidTr="005B0A27">
        <w:trPr>
          <w:trHeight w:val="113"/>
        </w:trPr>
        <w:tc>
          <w:tcPr>
            <w:tcW w:w="422" w:type="pct"/>
          </w:tcPr>
          <w:p w14:paraId="5D671498"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XIII.</w:t>
            </w:r>
          </w:p>
        </w:tc>
        <w:tc>
          <w:tcPr>
            <w:tcW w:w="4229" w:type="pct"/>
            <w:gridSpan w:val="2"/>
          </w:tcPr>
          <w:p w14:paraId="568DFA09" w14:textId="77777777" w:rsidR="006D5B82" w:rsidRPr="00872D7E" w:rsidRDefault="006D5B82" w:rsidP="006D5B82">
            <w:pPr>
              <w:widowControl w:val="0"/>
              <w:spacing w:line="230" w:lineRule="auto"/>
              <w:ind w:left="-108"/>
              <w:jc w:val="both"/>
              <w:rPr>
                <w:sz w:val="15"/>
                <w:szCs w:val="15"/>
              </w:rPr>
            </w:pPr>
            <w:r w:rsidRPr="00872D7E">
              <w:rPr>
                <w:sz w:val="15"/>
                <w:szCs w:val="15"/>
              </w:rPr>
              <w:t>Kiralama işlemlerine ilişkin açıklamalar</w:t>
            </w:r>
          </w:p>
        </w:tc>
        <w:tc>
          <w:tcPr>
            <w:tcW w:w="349" w:type="pct"/>
            <w:vAlign w:val="bottom"/>
          </w:tcPr>
          <w:p w14:paraId="1FBE1DEA" w14:textId="7CBB18C5" w:rsidR="006D5B82" w:rsidRPr="00872D7E" w:rsidRDefault="00426FB6" w:rsidP="00AC57E3">
            <w:pPr>
              <w:widowControl w:val="0"/>
              <w:spacing w:line="230" w:lineRule="auto"/>
              <w:ind w:left="-108"/>
              <w:jc w:val="right"/>
              <w:rPr>
                <w:sz w:val="15"/>
                <w:szCs w:val="15"/>
              </w:rPr>
            </w:pPr>
            <w:r w:rsidRPr="00872D7E">
              <w:rPr>
                <w:sz w:val="15"/>
                <w:szCs w:val="15"/>
              </w:rPr>
              <w:t>20-21</w:t>
            </w:r>
          </w:p>
        </w:tc>
      </w:tr>
      <w:tr w:rsidR="006D5B82" w:rsidRPr="00872D7E" w14:paraId="7D4AA1D3" w14:textId="77777777" w:rsidTr="005B0A27">
        <w:trPr>
          <w:trHeight w:val="113"/>
        </w:trPr>
        <w:tc>
          <w:tcPr>
            <w:tcW w:w="422" w:type="pct"/>
          </w:tcPr>
          <w:p w14:paraId="7CBB25AA"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XIV.</w:t>
            </w:r>
          </w:p>
        </w:tc>
        <w:tc>
          <w:tcPr>
            <w:tcW w:w="4229" w:type="pct"/>
            <w:gridSpan w:val="2"/>
          </w:tcPr>
          <w:p w14:paraId="32A0E844" w14:textId="77777777" w:rsidR="006D5B82" w:rsidRPr="00872D7E" w:rsidRDefault="006D5B82" w:rsidP="006D5B82">
            <w:pPr>
              <w:widowControl w:val="0"/>
              <w:spacing w:line="230" w:lineRule="auto"/>
              <w:ind w:left="-108"/>
              <w:jc w:val="both"/>
              <w:rPr>
                <w:sz w:val="15"/>
                <w:szCs w:val="15"/>
              </w:rPr>
            </w:pPr>
            <w:r w:rsidRPr="00872D7E">
              <w:rPr>
                <w:sz w:val="15"/>
                <w:szCs w:val="15"/>
              </w:rPr>
              <w:t>Karşılıklar ve koşullu yükümlülüklere ilişkin açıklamalar</w:t>
            </w:r>
          </w:p>
        </w:tc>
        <w:tc>
          <w:tcPr>
            <w:tcW w:w="349" w:type="pct"/>
            <w:vAlign w:val="bottom"/>
          </w:tcPr>
          <w:p w14:paraId="61FB35C5" w14:textId="3C32C0D5" w:rsidR="006D5B82" w:rsidRPr="00872D7E" w:rsidRDefault="00426FB6" w:rsidP="00AC57E3">
            <w:pPr>
              <w:widowControl w:val="0"/>
              <w:spacing w:line="230" w:lineRule="auto"/>
              <w:ind w:left="-108"/>
              <w:jc w:val="right"/>
              <w:rPr>
                <w:sz w:val="15"/>
                <w:szCs w:val="15"/>
              </w:rPr>
            </w:pPr>
            <w:r w:rsidRPr="00872D7E">
              <w:rPr>
                <w:sz w:val="15"/>
                <w:szCs w:val="15"/>
              </w:rPr>
              <w:t>22</w:t>
            </w:r>
          </w:p>
        </w:tc>
      </w:tr>
      <w:tr w:rsidR="006D5B82" w:rsidRPr="00872D7E" w14:paraId="5E018181" w14:textId="77777777" w:rsidTr="005B0A27">
        <w:trPr>
          <w:trHeight w:val="113"/>
        </w:trPr>
        <w:tc>
          <w:tcPr>
            <w:tcW w:w="422" w:type="pct"/>
          </w:tcPr>
          <w:p w14:paraId="332F24FF"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XV.</w:t>
            </w:r>
          </w:p>
        </w:tc>
        <w:tc>
          <w:tcPr>
            <w:tcW w:w="4229" w:type="pct"/>
            <w:gridSpan w:val="2"/>
          </w:tcPr>
          <w:p w14:paraId="32AB2287" w14:textId="77777777" w:rsidR="006D5B82" w:rsidRPr="00872D7E" w:rsidRDefault="006D5B82" w:rsidP="006D5B82">
            <w:pPr>
              <w:widowControl w:val="0"/>
              <w:spacing w:line="230" w:lineRule="auto"/>
              <w:ind w:left="-108"/>
              <w:jc w:val="both"/>
              <w:rPr>
                <w:sz w:val="15"/>
                <w:szCs w:val="15"/>
              </w:rPr>
            </w:pPr>
            <w:r w:rsidRPr="00872D7E">
              <w:rPr>
                <w:sz w:val="15"/>
                <w:szCs w:val="15"/>
              </w:rPr>
              <w:t>Çalışanların haklarına ilişkin yükümlülüklere ilişkin açıklamalar</w:t>
            </w:r>
          </w:p>
        </w:tc>
        <w:tc>
          <w:tcPr>
            <w:tcW w:w="349" w:type="pct"/>
            <w:vAlign w:val="bottom"/>
          </w:tcPr>
          <w:p w14:paraId="6A58715A" w14:textId="2F32028E" w:rsidR="006D5B82" w:rsidRPr="00872D7E" w:rsidRDefault="00426FB6" w:rsidP="00AC57E3">
            <w:pPr>
              <w:widowControl w:val="0"/>
              <w:tabs>
                <w:tab w:val="left" w:pos="346"/>
              </w:tabs>
              <w:spacing w:line="230" w:lineRule="auto"/>
              <w:ind w:left="-108"/>
              <w:jc w:val="right"/>
              <w:rPr>
                <w:sz w:val="15"/>
                <w:szCs w:val="15"/>
              </w:rPr>
            </w:pPr>
            <w:r w:rsidRPr="00872D7E">
              <w:rPr>
                <w:sz w:val="15"/>
                <w:szCs w:val="15"/>
              </w:rPr>
              <w:t>22</w:t>
            </w:r>
          </w:p>
        </w:tc>
      </w:tr>
      <w:tr w:rsidR="006D5B82" w:rsidRPr="00872D7E" w14:paraId="57761403" w14:textId="77777777" w:rsidTr="005B0A27">
        <w:trPr>
          <w:trHeight w:val="113"/>
        </w:trPr>
        <w:tc>
          <w:tcPr>
            <w:tcW w:w="422" w:type="pct"/>
          </w:tcPr>
          <w:p w14:paraId="7AD21CB5"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XVI.</w:t>
            </w:r>
          </w:p>
        </w:tc>
        <w:tc>
          <w:tcPr>
            <w:tcW w:w="4229" w:type="pct"/>
            <w:gridSpan w:val="2"/>
          </w:tcPr>
          <w:p w14:paraId="69A44CB4" w14:textId="77777777" w:rsidR="006D5B82" w:rsidRPr="00872D7E" w:rsidRDefault="006D5B82" w:rsidP="006D5B82">
            <w:pPr>
              <w:widowControl w:val="0"/>
              <w:spacing w:line="230" w:lineRule="auto"/>
              <w:ind w:left="-108"/>
              <w:jc w:val="both"/>
              <w:rPr>
                <w:sz w:val="15"/>
                <w:szCs w:val="15"/>
              </w:rPr>
            </w:pPr>
            <w:r w:rsidRPr="00872D7E">
              <w:rPr>
                <w:sz w:val="15"/>
                <w:szCs w:val="15"/>
              </w:rPr>
              <w:t>Vergi uygulamalarına ilişkin açıklamalar</w:t>
            </w:r>
          </w:p>
        </w:tc>
        <w:tc>
          <w:tcPr>
            <w:tcW w:w="349" w:type="pct"/>
            <w:vAlign w:val="bottom"/>
          </w:tcPr>
          <w:p w14:paraId="5F1F8675" w14:textId="29BF9481" w:rsidR="006D5B82" w:rsidRPr="00872D7E" w:rsidRDefault="00426FB6" w:rsidP="00AC57E3">
            <w:pPr>
              <w:widowControl w:val="0"/>
              <w:spacing w:line="230" w:lineRule="auto"/>
              <w:ind w:left="-108"/>
              <w:jc w:val="right"/>
              <w:rPr>
                <w:sz w:val="15"/>
                <w:szCs w:val="15"/>
              </w:rPr>
            </w:pPr>
            <w:r w:rsidRPr="00872D7E">
              <w:rPr>
                <w:sz w:val="15"/>
                <w:szCs w:val="15"/>
              </w:rPr>
              <w:t>22-25</w:t>
            </w:r>
          </w:p>
        </w:tc>
      </w:tr>
      <w:tr w:rsidR="006D5B82" w:rsidRPr="00872D7E" w14:paraId="4414479F" w14:textId="77777777" w:rsidTr="005B0A27">
        <w:trPr>
          <w:trHeight w:val="113"/>
        </w:trPr>
        <w:tc>
          <w:tcPr>
            <w:tcW w:w="422" w:type="pct"/>
          </w:tcPr>
          <w:p w14:paraId="67EAAB4D"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XVII.</w:t>
            </w:r>
          </w:p>
        </w:tc>
        <w:tc>
          <w:tcPr>
            <w:tcW w:w="4229" w:type="pct"/>
            <w:gridSpan w:val="2"/>
          </w:tcPr>
          <w:p w14:paraId="30BA9E9D" w14:textId="77777777" w:rsidR="006D5B82" w:rsidRPr="00872D7E" w:rsidRDefault="006D5B82" w:rsidP="006D5B82">
            <w:pPr>
              <w:widowControl w:val="0"/>
              <w:spacing w:line="230" w:lineRule="auto"/>
              <w:ind w:left="-108"/>
              <w:jc w:val="both"/>
              <w:rPr>
                <w:sz w:val="15"/>
                <w:szCs w:val="15"/>
              </w:rPr>
            </w:pPr>
            <w:r w:rsidRPr="00872D7E">
              <w:rPr>
                <w:sz w:val="15"/>
                <w:szCs w:val="15"/>
              </w:rPr>
              <w:t>Borçlanmalara ilişkin ilave açıklamalar</w:t>
            </w:r>
          </w:p>
        </w:tc>
        <w:tc>
          <w:tcPr>
            <w:tcW w:w="349" w:type="pct"/>
            <w:vAlign w:val="bottom"/>
          </w:tcPr>
          <w:p w14:paraId="0263A742" w14:textId="184D4996" w:rsidR="006D5B82" w:rsidRPr="00872D7E" w:rsidRDefault="00426FB6" w:rsidP="00AC57E3">
            <w:pPr>
              <w:widowControl w:val="0"/>
              <w:spacing w:line="230" w:lineRule="auto"/>
              <w:ind w:left="-108"/>
              <w:jc w:val="right"/>
              <w:rPr>
                <w:sz w:val="15"/>
                <w:szCs w:val="15"/>
              </w:rPr>
            </w:pPr>
            <w:r w:rsidRPr="00872D7E">
              <w:rPr>
                <w:sz w:val="15"/>
                <w:szCs w:val="15"/>
              </w:rPr>
              <w:t>25</w:t>
            </w:r>
          </w:p>
        </w:tc>
      </w:tr>
      <w:tr w:rsidR="006D5B82" w:rsidRPr="00872D7E" w14:paraId="4BE6444B" w14:textId="77777777" w:rsidTr="005B0A27">
        <w:trPr>
          <w:trHeight w:val="113"/>
        </w:trPr>
        <w:tc>
          <w:tcPr>
            <w:tcW w:w="422" w:type="pct"/>
          </w:tcPr>
          <w:p w14:paraId="590C84E4"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XVIII.</w:t>
            </w:r>
          </w:p>
        </w:tc>
        <w:tc>
          <w:tcPr>
            <w:tcW w:w="4229" w:type="pct"/>
            <w:gridSpan w:val="2"/>
          </w:tcPr>
          <w:p w14:paraId="5052FF69" w14:textId="77777777" w:rsidR="006D5B82" w:rsidRPr="00872D7E" w:rsidRDefault="006D5B82" w:rsidP="006D5B82">
            <w:pPr>
              <w:widowControl w:val="0"/>
              <w:spacing w:line="230" w:lineRule="auto"/>
              <w:ind w:left="-108"/>
              <w:jc w:val="both"/>
              <w:rPr>
                <w:sz w:val="15"/>
                <w:szCs w:val="15"/>
              </w:rPr>
            </w:pPr>
            <w:r w:rsidRPr="00872D7E">
              <w:rPr>
                <w:sz w:val="15"/>
                <w:szCs w:val="15"/>
              </w:rPr>
              <w:t>İhraç edilen hisse senetlerine ilişkin açıklamalar</w:t>
            </w:r>
          </w:p>
        </w:tc>
        <w:tc>
          <w:tcPr>
            <w:tcW w:w="349" w:type="pct"/>
            <w:vAlign w:val="bottom"/>
          </w:tcPr>
          <w:p w14:paraId="1B1D3E28" w14:textId="041BD380" w:rsidR="006D5B82" w:rsidRPr="00872D7E" w:rsidRDefault="00426FB6" w:rsidP="00AC57E3">
            <w:pPr>
              <w:widowControl w:val="0"/>
              <w:spacing w:line="230" w:lineRule="auto"/>
              <w:ind w:left="-108"/>
              <w:jc w:val="right"/>
              <w:rPr>
                <w:sz w:val="15"/>
                <w:szCs w:val="15"/>
              </w:rPr>
            </w:pPr>
            <w:r w:rsidRPr="00872D7E">
              <w:rPr>
                <w:sz w:val="15"/>
                <w:szCs w:val="15"/>
              </w:rPr>
              <w:t>25</w:t>
            </w:r>
          </w:p>
        </w:tc>
      </w:tr>
      <w:tr w:rsidR="006D5B82" w:rsidRPr="00872D7E" w14:paraId="281ACED9" w14:textId="77777777" w:rsidTr="005B0A27">
        <w:trPr>
          <w:trHeight w:val="113"/>
        </w:trPr>
        <w:tc>
          <w:tcPr>
            <w:tcW w:w="422" w:type="pct"/>
          </w:tcPr>
          <w:p w14:paraId="5BD6E130"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XIX.</w:t>
            </w:r>
          </w:p>
        </w:tc>
        <w:tc>
          <w:tcPr>
            <w:tcW w:w="4229" w:type="pct"/>
            <w:gridSpan w:val="2"/>
          </w:tcPr>
          <w:p w14:paraId="5D89D683" w14:textId="77777777" w:rsidR="006D5B82" w:rsidRPr="00872D7E" w:rsidRDefault="006D5B82" w:rsidP="006D5B82">
            <w:pPr>
              <w:widowControl w:val="0"/>
              <w:spacing w:line="230" w:lineRule="auto"/>
              <w:ind w:left="-108"/>
              <w:jc w:val="both"/>
              <w:rPr>
                <w:sz w:val="15"/>
                <w:szCs w:val="15"/>
              </w:rPr>
            </w:pPr>
            <w:r w:rsidRPr="00872D7E">
              <w:rPr>
                <w:sz w:val="15"/>
                <w:szCs w:val="15"/>
              </w:rPr>
              <w:t>Aval ve kabullere ilişkin açıklamalar</w:t>
            </w:r>
          </w:p>
        </w:tc>
        <w:tc>
          <w:tcPr>
            <w:tcW w:w="349" w:type="pct"/>
            <w:vAlign w:val="bottom"/>
          </w:tcPr>
          <w:p w14:paraId="0BF744E5" w14:textId="5B89A7A6" w:rsidR="006D5B82" w:rsidRPr="00872D7E" w:rsidRDefault="00426FB6" w:rsidP="00AC57E3">
            <w:pPr>
              <w:widowControl w:val="0"/>
              <w:spacing w:line="230" w:lineRule="auto"/>
              <w:ind w:left="-108"/>
              <w:jc w:val="right"/>
              <w:rPr>
                <w:sz w:val="15"/>
                <w:szCs w:val="15"/>
              </w:rPr>
            </w:pPr>
            <w:r w:rsidRPr="00872D7E">
              <w:rPr>
                <w:sz w:val="15"/>
                <w:szCs w:val="15"/>
              </w:rPr>
              <w:t>25</w:t>
            </w:r>
          </w:p>
        </w:tc>
      </w:tr>
      <w:tr w:rsidR="006D5B82" w:rsidRPr="00872D7E" w14:paraId="3B4AE487" w14:textId="77777777" w:rsidTr="005B0A27">
        <w:trPr>
          <w:trHeight w:val="113"/>
        </w:trPr>
        <w:tc>
          <w:tcPr>
            <w:tcW w:w="422" w:type="pct"/>
          </w:tcPr>
          <w:p w14:paraId="277E2384"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XX.</w:t>
            </w:r>
          </w:p>
        </w:tc>
        <w:tc>
          <w:tcPr>
            <w:tcW w:w="4229" w:type="pct"/>
            <w:gridSpan w:val="2"/>
          </w:tcPr>
          <w:p w14:paraId="2D2539C6" w14:textId="77777777" w:rsidR="006D5B82" w:rsidRPr="00872D7E" w:rsidRDefault="006D5B82" w:rsidP="006D5B82">
            <w:pPr>
              <w:widowControl w:val="0"/>
              <w:spacing w:line="230" w:lineRule="auto"/>
              <w:ind w:left="-108"/>
              <w:jc w:val="both"/>
              <w:rPr>
                <w:sz w:val="15"/>
                <w:szCs w:val="15"/>
              </w:rPr>
            </w:pPr>
            <w:r w:rsidRPr="00872D7E">
              <w:rPr>
                <w:sz w:val="15"/>
                <w:szCs w:val="15"/>
              </w:rPr>
              <w:t>Devlet teşviklerine ilişkin açıklamalar</w:t>
            </w:r>
          </w:p>
        </w:tc>
        <w:tc>
          <w:tcPr>
            <w:tcW w:w="349" w:type="pct"/>
            <w:vAlign w:val="bottom"/>
          </w:tcPr>
          <w:p w14:paraId="08262AF6" w14:textId="31A81950" w:rsidR="006D5B82" w:rsidRPr="00872D7E" w:rsidRDefault="00426FB6" w:rsidP="00AC57E3">
            <w:pPr>
              <w:widowControl w:val="0"/>
              <w:spacing w:line="230" w:lineRule="auto"/>
              <w:ind w:left="-108"/>
              <w:jc w:val="right"/>
              <w:rPr>
                <w:sz w:val="15"/>
                <w:szCs w:val="15"/>
              </w:rPr>
            </w:pPr>
            <w:r w:rsidRPr="00872D7E">
              <w:rPr>
                <w:sz w:val="15"/>
                <w:szCs w:val="15"/>
              </w:rPr>
              <w:t>25</w:t>
            </w:r>
          </w:p>
        </w:tc>
      </w:tr>
      <w:tr w:rsidR="006D5B82" w:rsidRPr="00872D7E" w14:paraId="4685E420" w14:textId="77777777" w:rsidTr="005B0A27">
        <w:trPr>
          <w:trHeight w:val="113"/>
        </w:trPr>
        <w:tc>
          <w:tcPr>
            <w:tcW w:w="422" w:type="pct"/>
          </w:tcPr>
          <w:p w14:paraId="432DDB9F" w14:textId="77777777" w:rsidR="006D5B82" w:rsidRPr="00872D7E" w:rsidRDefault="006D5B82" w:rsidP="005B0A27">
            <w:pPr>
              <w:widowControl w:val="0"/>
              <w:autoSpaceDE w:val="0"/>
              <w:autoSpaceDN w:val="0"/>
              <w:adjustRightInd w:val="0"/>
              <w:spacing w:line="230" w:lineRule="auto"/>
              <w:ind w:left="-108" w:right="-219"/>
              <w:rPr>
                <w:sz w:val="15"/>
                <w:szCs w:val="15"/>
              </w:rPr>
            </w:pPr>
            <w:r w:rsidRPr="00872D7E">
              <w:rPr>
                <w:sz w:val="15"/>
                <w:szCs w:val="15"/>
              </w:rPr>
              <w:t>XXI.</w:t>
            </w:r>
          </w:p>
        </w:tc>
        <w:tc>
          <w:tcPr>
            <w:tcW w:w="4229" w:type="pct"/>
            <w:gridSpan w:val="2"/>
          </w:tcPr>
          <w:p w14:paraId="514F2EAA" w14:textId="7BA752DD" w:rsidR="006D5B82" w:rsidRPr="00872D7E" w:rsidRDefault="006D5B82" w:rsidP="006D5B82">
            <w:pPr>
              <w:widowControl w:val="0"/>
              <w:spacing w:line="230" w:lineRule="auto"/>
              <w:ind w:left="-108"/>
              <w:jc w:val="both"/>
              <w:rPr>
                <w:sz w:val="15"/>
                <w:szCs w:val="15"/>
              </w:rPr>
            </w:pPr>
            <w:bookmarkStart w:id="7" w:name="OLE_LINK2"/>
            <w:r w:rsidRPr="00872D7E">
              <w:rPr>
                <w:sz w:val="15"/>
                <w:szCs w:val="15"/>
              </w:rPr>
              <w:t>Diğer hususlara ilişkin açıklamalar</w:t>
            </w:r>
            <w:bookmarkEnd w:id="7"/>
          </w:p>
        </w:tc>
        <w:tc>
          <w:tcPr>
            <w:tcW w:w="349" w:type="pct"/>
            <w:vAlign w:val="bottom"/>
          </w:tcPr>
          <w:p w14:paraId="65BE09AB" w14:textId="591CF210" w:rsidR="006D5B82" w:rsidRPr="00872D7E" w:rsidRDefault="00426FB6" w:rsidP="00AC57E3">
            <w:pPr>
              <w:widowControl w:val="0"/>
              <w:spacing w:line="230" w:lineRule="auto"/>
              <w:ind w:left="-108"/>
              <w:jc w:val="right"/>
              <w:rPr>
                <w:sz w:val="15"/>
                <w:szCs w:val="15"/>
              </w:rPr>
            </w:pPr>
            <w:r w:rsidRPr="00872D7E">
              <w:rPr>
                <w:sz w:val="15"/>
                <w:szCs w:val="15"/>
              </w:rPr>
              <w:t>25</w:t>
            </w:r>
          </w:p>
        </w:tc>
      </w:tr>
      <w:tr w:rsidR="006D5B82" w:rsidRPr="00872D7E" w14:paraId="010A31A6" w14:textId="77777777" w:rsidTr="005B0A27">
        <w:trPr>
          <w:trHeight w:val="113"/>
        </w:trPr>
        <w:tc>
          <w:tcPr>
            <w:tcW w:w="422" w:type="pct"/>
          </w:tcPr>
          <w:p w14:paraId="103213A1" w14:textId="77777777" w:rsidR="006D5B82" w:rsidRPr="00872D7E" w:rsidRDefault="006D5B82" w:rsidP="006D5B82">
            <w:pPr>
              <w:widowControl w:val="0"/>
              <w:autoSpaceDE w:val="0"/>
              <w:autoSpaceDN w:val="0"/>
              <w:adjustRightInd w:val="0"/>
              <w:spacing w:line="230" w:lineRule="auto"/>
              <w:ind w:left="-108" w:right="-219"/>
              <w:rPr>
                <w:sz w:val="15"/>
                <w:szCs w:val="15"/>
              </w:rPr>
            </w:pPr>
          </w:p>
        </w:tc>
        <w:tc>
          <w:tcPr>
            <w:tcW w:w="4229" w:type="pct"/>
            <w:gridSpan w:val="2"/>
          </w:tcPr>
          <w:p w14:paraId="6C27B711" w14:textId="77777777" w:rsidR="006D5B82" w:rsidRPr="00872D7E" w:rsidRDefault="006D5B82" w:rsidP="006D5B82">
            <w:pPr>
              <w:widowControl w:val="0"/>
              <w:spacing w:line="230" w:lineRule="auto"/>
              <w:ind w:left="-108"/>
              <w:jc w:val="both"/>
              <w:rPr>
                <w:sz w:val="15"/>
                <w:szCs w:val="15"/>
              </w:rPr>
            </w:pPr>
          </w:p>
        </w:tc>
        <w:tc>
          <w:tcPr>
            <w:tcW w:w="349" w:type="pct"/>
            <w:vAlign w:val="bottom"/>
          </w:tcPr>
          <w:p w14:paraId="4AA6EE20" w14:textId="77777777" w:rsidR="006D5B82" w:rsidRPr="00872D7E" w:rsidRDefault="006D5B82" w:rsidP="00AC57E3">
            <w:pPr>
              <w:widowControl w:val="0"/>
              <w:spacing w:line="230" w:lineRule="auto"/>
              <w:ind w:left="-108"/>
              <w:jc w:val="right"/>
              <w:rPr>
                <w:sz w:val="15"/>
                <w:szCs w:val="15"/>
              </w:rPr>
            </w:pPr>
          </w:p>
        </w:tc>
      </w:tr>
      <w:tr w:rsidR="00267780" w:rsidRPr="00872D7E" w14:paraId="71E2E5A6" w14:textId="77777777" w:rsidTr="00267780">
        <w:tc>
          <w:tcPr>
            <w:tcW w:w="5000" w:type="pct"/>
            <w:gridSpan w:val="4"/>
            <w:vAlign w:val="center"/>
          </w:tcPr>
          <w:p w14:paraId="37EF497C" w14:textId="208A2516" w:rsidR="00267780" w:rsidRPr="00872D7E" w:rsidRDefault="00267780" w:rsidP="00267780">
            <w:pPr>
              <w:widowControl w:val="0"/>
              <w:spacing w:line="230" w:lineRule="auto"/>
              <w:ind w:left="-108"/>
              <w:jc w:val="center"/>
              <w:rPr>
                <w:b/>
                <w:sz w:val="15"/>
                <w:szCs w:val="15"/>
              </w:rPr>
            </w:pPr>
            <w:r w:rsidRPr="00872D7E">
              <w:rPr>
                <w:b/>
                <w:sz w:val="15"/>
                <w:szCs w:val="15"/>
              </w:rPr>
              <w:t>Dördüncü Bölüm</w:t>
            </w:r>
          </w:p>
        </w:tc>
      </w:tr>
      <w:tr w:rsidR="00267780" w:rsidRPr="00872D7E" w14:paraId="139AD083" w14:textId="77777777" w:rsidTr="00267780">
        <w:tc>
          <w:tcPr>
            <w:tcW w:w="5000" w:type="pct"/>
            <w:gridSpan w:val="4"/>
            <w:vAlign w:val="center"/>
          </w:tcPr>
          <w:p w14:paraId="5C2F09E0" w14:textId="658F5907" w:rsidR="00267780" w:rsidRPr="00872D7E" w:rsidRDefault="00267780" w:rsidP="00267780">
            <w:pPr>
              <w:widowControl w:val="0"/>
              <w:spacing w:line="230" w:lineRule="auto"/>
              <w:ind w:left="-108"/>
              <w:jc w:val="center"/>
              <w:rPr>
                <w:sz w:val="15"/>
                <w:szCs w:val="15"/>
              </w:rPr>
            </w:pPr>
            <w:r w:rsidRPr="00872D7E">
              <w:rPr>
                <w:b/>
                <w:sz w:val="15"/>
                <w:szCs w:val="15"/>
              </w:rPr>
              <w:t>Mali Bünyeye ve Risk Yönetimine İlişkin Bilgiler</w:t>
            </w:r>
          </w:p>
        </w:tc>
      </w:tr>
      <w:tr w:rsidR="006D5B82" w:rsidRPr="00872D7E" w14:paraId="70ADAC10" w14:textId="77777777" w:rsidTr="005B0A27">
        <w:tc>
          <w:tcPr>
            <w:tcW w:w="4651" w:type="pct"/>
            <w:gridSpan w:val="3"/>
          </w:tcPr>
          <w:p w14:paraId="353DE7EA" w14:textId="77777777" w:rsidR="006D5B82" w:rsidRPr="00872D7E" w:rsidRDefault="006D5B82" w:rsidP="006D5B82">
            <w:pPr>
              <w:widowControl w:val="0"/>
              <w:spacing w:line="230" w:lineRule="auto"/>
              <w:ind w:left="-108"/>
              <w:rPr>
                <w:b/>
                <w:sz w:val="15"/>
                <w:szCs w:val="15"/>
              </w:rPr>
            </w:pPr>
          </w:p>
        </w:tc>
        <w:tc>
          <w:tcPr>
            <w:tcW w:w="349" w:type="pct"/>
            <w:vAlign w:val="bottom"/>
          </w:tcPr>
          <w:p w14:paraId="22F6C9EF" w14:textId="77777777" w:rsidR="006D5B82" w:rsidRPr="00872D7E" w:rsidRDefault="006D5B82" w:rsidP="00AC57E3">
            <w:pPr>
              <w:widowControl w:val="0"/>
              <w:spacing w:line="230" w:lineRule="auto"/>
              <w:ind w:left="-108"/>
              <w:jc w:val="right"/>
              <w:rPr>
                <w:sz w:val="15"/>
                <w:szCs w:val="15"/>
              </w:rPr>
            </w:pPr>
          </w:p>
        </w:tc>
      </w:tr>
      <w:tr w:rsidR="006D5B82" w:rsidRPr="00872D7E" w14:paraId="5872908E" w14:textId="77777777" w:rsidTr="005B0A27">
        <w:tc>
          <w:tcPr>
            <w:tcW w:w="425" w:type="pct"/>
            <w:gridSpan w:val="2"/>
          </w:tcPr>
          <w:p w14:paraId="51AEE4A3"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w:t>
            </w:r>
          </w:p>
        </w:tc>
        <w:tc>
          <w:tcPr>
            <w:tcW w:w="4226" w:type="pct"/>
          </w:tcPr>
          <w:p w14:paraId="3D8620C0" w14:textId="0A732602" w:rsidR="006D5B82" w:rsidRPr="00872D7E" w:rsidRDefault="006D5B82" w:rsidP="006D5B82">
            <w:pPr>
              <w:widowControl w:val="0"/>
              <w:autoSpaceDE w:val="0"/>
              <w:autoSpaceDN w:val="0"/>
              <w:adjustRightInd w:val="0"/>
              <w:spacing w:line="230" w:lineRule="auto"/>
              <w:ind w:left="-108" w:right="-162"/>
              <w:jc w:val="both"/>
              <w:rPr>
                <w:sz w:val="15"/>
                <w:szCs w:val="15"/>
              </w:rPr>
            </w:pPr>
            <w:r w:rsidRPr="00872D7E">
              <w:rPr>
                <w:sz w:val="15"/>
                <w:szCs w:val="15"/>
              </w:rPr>
              <w:t>Özkaynak kalemlerine ilişkin açıklamalar</w:t>
            </w:r>
          </w:p>
        </w:tc>
        <w:tc>
          <w:tcPr>
            <w:tcW w:w="349" w:type="pct"/>
            <w:vAlign w:val="bottom"/>
          </w:tcPr>
          <w:p w14:paraId="5DA32FED" w14:textId="73D4B809" w:rsidR="006D5B82" w:rsidRPr="00872D7E" w:rsidRDefault="00AA43C8" w:rsidP="00AC57E3">
            <w:pPr>
              <w:widowControl w:val="0"/>
              <w:spacing w:line="230" w:lineRule="auto"/>
              <w:ind w:left="-108"/>
              <w:jc w:val="right"/>
              <w:rPr>
                <w:sz w:val="15"/>
                <w:szCs w:val="15"/>
              </w:rPr>
            </w:pPr>
            <w:r w:rsidRPr="00872D7E">
              <w:rPr>
                <w:sz w:val="15"/>
                <w:szCs w:val="15"/>
              </w:rPr>
              <w:t>26-28</w:t>
            </w:r>
          </w:p>
        </w:tc>
      </w:tr>
      <w:tr w:rsidR="006D5B82" w:rsidRPr="00872D7E" w14:paraId="6456185A" w14:textId="77777777" w:rsidTr="005B0A27">
        <w:tc>
          <w:tcPr>
            <w:tcW w:w="425" w:type="pct"/>
            <w:gridSpan w:val="2"/>
          </w:tcPr>
          <w:p w14:paraId="3E208249" w14:textId="77777777"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II.</w:t>
            </w:r>
          </w:p>
        </w:tc>
        <w:tc>
          <w:tcPr>
            <w:tcW w:w="4226" w:type="pct"/>
          </w:tcPr>
          <w:p w14:paraId="0032F72D" w14:textId="77777777" w:rsidR="006D5B82" w:rsidRPr="00872D7E" w:rsidRDefault="006D5B82" w:rsidP="006D5B82">
            <w:pPr>
              <w:widowControl w:val="0"/>
              <w:autoSpaceDE w:val="0"/>
              <w:autoSpaceDN w:val="0"/>
              <w:adjustRightInd w:val="0"/>
              <w:spacing w:line="230" w:lineRule="auto"/>
              <w:ind w:left="-108"/>
              <w:jc w:val="both"/>
              <w:rPr>
                <w:sz w:val="15"/>
                <w:szCs w:val="15"/>
              </w:rPr>
            </w:pPr>
            <w:r w:rsidRPr="00872D7E">
              <w:rPr>
                <w:sz w:val="15"/>
                <w:szCs w:val="15"/>
              </w:rPr>
              <w:t>Kredi riskine ilişkin açıklamalar</w:t>
            </w:r>
          </w:p>
        </w:tc>
        <w:tc>
          <w:tcPr>
            <w:tcW w:w="349" w:type="pct"/>
            <w:vAlign w:val="bottom"/>
          </w:tcPr>
          <w:p w14:paraId="3E4125DB" w14:textId="5D5A5592" w:rsidR="006D5B82" w:rsidRPr="00872D7E" w:rsidRDefault="00AA43C8" w:rsidP="00AC57E3">
            <w:pPr>
              <w:widowControl w:val="0"/>
              <w:tabs>
                <w:tab w:val="left" w:pos="228"/>
              </w:tabs>
              <w:autoSpaceDE w:val="0"/>
              <w:autoSpaceDN w:val="0"/>
              <w:adjustRightInd w:val="0"/>
              <w:spacing w:line="230" w:lineRule="auto"/>
              <w:ind w:left="-108"/>
              <w:jc w:val="right"/>
              <w:rPr>
                <w:sz w:val="15"/>
                <w:szCs w:val="15"/>
              </w:rPr>
            </w:pPr>
            <w:r w:rsidRPr="00872D7E">
              <w:rPr>
                <w:sz w:val="15"/>
                <w:szCs w:val="15"/>
              </w:rPr>
              <w:t>29-35</w:t>
            </w:r>
          </w:p>
        </w:tc>
      </w:tr>
      <w:tr w:rsidR="006D5B82" w:rsidRPr="00872D7E" w14:paraId="409B7B56" w14:textId="77777777" w:rsidTr="005B0A27">
        <w:tc>
          <w:tcPr>
            <w:tcW w:w="425" w:type="pct"/>
            <w:gridSpan w:val="2"/>
          </w:tcPr>
          <w:p w14:paraId="376F6FBA" w14:textId="0BBC9752"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III.</w:t>
            </w:r>
          </w:p>
        </w:tc>
        <w:tc>
          <w:tcPr>
            <w:tcW w:w="4226" w:type="pct"/>
          </w:tcPr>
          <w:p w14:paraId="491E16AD" w14:textId="049928B4" w:rsidR="006D5B82" w:rsidRPr="00872D7E" w:rsidRDefault="006D5B82" w:rsidP="006D5B82">
            <w:pPr>
              <w:widowControl w:val="0"/>
              <w:autoSpaceDE w:val="0"/>
              <w:autoSpaceDN w:val="0"/>
              <w:adjustRightInd w:val="0"/>
              <w:spacing w:line="230" w:lineRule="auto"/>
              <w:ind w:left="-108"/>
              <w:jc w:val="both"/>
              <w:rPr>
                <w:sz w:val="15"/>
                <w:szCs w:val="15"/>
              </w:rPr>
            </w:pPr>
            <w:r w:rsidRPr="00872D7E">
              <w:rPr>
                <w:sz w:val="15"/>
                <w:szCs w:val="15"/>
              </w:rPr>
              <w:t>Kur riskine ilişkin açıklamalar</w:t>
            </w:r>
          </w:p>
        </w:tc>
        <w:tc>
          <w:tcPr>
            <w:tcW w:w="349" w:type="pct"/>
            <w:vAlign w:val="bottom"/>
          </w:tcPr>
          <w:p w14:paraId="2258B81A" w14:textId="316E4795" w:rsidR="006D5B82" w:rsidRPr="00872D7E" w:rsidRDefault="00AA43C8" w:rsidP="00AC57E3">
            <w:pPr>
              <w:widowControl w:val="0"/>
              <w:tabs>
                <w:tab w:val="left" w:pos="228"/>
              </w:tabs>
              <w:autoSpaceDE w:val="0"/>
              <w:autoSpaceDN w:val="0"/>
              <w:adjustRightInd w:val="0"/>
              <w:spacing w:line="230" w:lineRule="auto"/>
              <w:ind w:left="-108"/>
              <w:jc w:val="right"/>
              <w:rPr>
                <w:sz w:val="15"/>
                <w:szCs w:val="15"/>
              </w:rPr>
            </w:pPr>
            <w:r w:rsidRPr="00872D7E">
              <w:rPr>
                <w:sz w:val="15"/>
                <w:szCs w:val="15"/>
              </w:rPr>
              <w:t>36-37</w:t>
            </w:r>
          </w:p>
        </w:tc>
      </w:tr>
      <w:tr w:rsidR="006D5B82" w:rsidRPr="00872D7E" w14:paraId="11C7E8BB" w14:textId="77777777" w:rsidTr="005B0A27">
        <w:tc>
          <w:tcPr>
            <w:tcW w:w="425" w:type="pct"/>
            <w:gridSpan w:val="2"/>
          </w:tcPr>
          <w:p w14:paraId="64529155" w14:textId="420A741C"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IV.</w:t>
            </w:r>
          </w:p>
        </w:tc>
        <w:tc>
          <w:tcPr>
            <w:tcW w:w="4226" w:type="pct"/>
          </w:tcPr>
          <w:p w14:paraId="4E9E53E7" w14:textId="02BB2895" w:rsidR="006D5B82" w:rsidRPr="00872D7E" w:rsidRDefault="006D5B82" w:rsidP="006D5B82">
            <w:pPr>
              <w:widowControl w:val="0"/>
              <w:autoSpaceDE w:val="0"/>
              <w:autoSpaceDN w:val="0"/>
              <w:adjustRightInd w:val="0"/>
              <w:spacing w:line="230" w:lineRule="auto"/>
              <w:ind w:left="-108"/>
              <w:jc w:val="both"/>
              <w:rPr>
                <w:sz w:val="15"/>
                <w:szCs w:val="15"/>
              </w:rPr>
            </w:pPr>
            <w:r w:rsidRPr="00872D7E">
              <w:rPr>
                <w:sz w:val="15"/>
                <w:szCs w:val="15"/>
              </w:rPr>
              <w:t>Bankacılık hesaplarından kaynaklanan hisse senedi pozisyon riskine ilişkin açıklamalar</w:t>
            </w:r>
          </w:p>
        </w:tc>
        <w:tc>
          <w:tcPr>
            <w:tcW w:w="349" w:type="pct"/>
            <w:vAlign w:val="bottom"/>
          </w:tcPr>
          <w:p w14:paraId="2B059F95" w14:textId="441A690C" w:rsidR="006D5B82" w:rsidRPr="00872D7E" w:rsidRDefault="00AA43C8" w:rsidP="00AC57E3">
            <w:pPr>
              <w:widowControl w:val="0"/>
              <w:tabs>
                <w:tab w:val="left" w:pos="228"/>
              </w:tabs>
              <w:autoSpaceDE w:val="0"/>
              <w:autoSpaceDN w:val="0"/>
              <w:adjustRightInd w:val="0"/>
              <w:spacing w:line="230" w:lineRule="auto"/>
              <w:ind w:left="-108"/>
              <w:jc w:val="right"/>
              <w:rPr>
                <w:sz w:val="15"/>
                <w:szCs w:val="15"/>
              </w:rPr>
            </w:pPr>
            <w:r w:rsidRPr="00872D7E">
              <w:rPr>
                <w:sz w:val="15"/>
                <w:szCs w:val="15"/>
              </w:rPr>
              <w:t>38</w:t>
            </w:r>
          </w:p>
        </w:tc>
      </w:tr>
      <w:tr w:rsidR="006D5B82" w:rsidRPr="00872D7E" w14:paraId="18674694" w14:textId="77777777" w:rsidTr="005B0A27">
        <w:tc>
          <w:tcPr>
            <w:tcW w:w="425" w:type="pct"/>
            <w:gridSpan w:val="2"/>
          </w:tcPr>
          <w:p w14:paraId="3D37F9FE" w14:textId="17F93C95"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V.</w:t>
            </w:r>
          </w:p>
        </w:tc>
        <w:tc>
          <w:tcPr>
            <w:tcW w:w="4226" w:type="pct"/>
          </w:tcPr>
          <w:p w14:paraId="277E579F" w14:textId="61108F87" w:rsidR="006D5B82" w:rsidRPr="00872D7E" w:rsidRDefault="006D5B82" w:rsidP="006D5B82">
            <w:pPr>
              <w:widowControl w:val="0"/>
              <w:autoSpaceDE w:val="0"/>
              <w:autoSpaceDN w:val="0"/>
              <w:adjustRightInd w:val="0"/>
              <w:spacing w:line="230" w:lineRule="auto"/>
              <w:ind w:left="-108"/>
              <w:jc w:val="both"/>
              <w:rPr>
                <w:sz w:val="15"/>
                <w:szCs w:val="15"/>
              </w:rPr>
            </w:pPr>
            <w:r w:rsidRPr="00872D7E">
              <w:rPr>
                <w:sz w:val="15"/>
                <w:szCs w:val="15"/>
              </w:rPr>
              <w:t>Likidite riskine ilişkin açıklamalar</w:t>
            </w:r>
          </w:p>
        </w:tc>
        <w:tc>
          <w:tcPr>
            <w:tcW w:w="349" w:type="pct"/>
            <w:vAlign w:val="bottom"/>
          </w:tcPr>
          <w:p w14:paraId="34F43A24" w14:textId="461BB892" w:rsidR="006D5B82" w:rsidRPr="00872D7E" w:rsidRDefault="00AA43C8" w:rsidP="00AC57E3">
            <w:pPr>
              <w:widowControl w:val="0"/>
              <w:tabs>
                <w:tab w:val="left" w:pos="228"/>
              </w:tabs>
              <w:autoSpaceDE w:val="0"/>
              <w:autoSpaceDN w:val="0"/>
              <w:adjustRightInd w:val="0"/>
              <w:spacing w:line="230" w:lineRule="auto"/>
              <w:ind w:left="-108"/>
              <w:jc w:val="right"/>
              <w:rPr>
                <w:sz w:val="15"/>
                <w:szCs w:val="15"/>
              </w:rPr>
            </w:pPr>
            <w:r w:rsidRPr="00872D7E">
              <w:rPr>
                <w:sz w:val="15"/>
                <w:szCs w:val="15"/>
              </w:rPr>
              <w:t>38-44</w:t>
            </w:r>
          </w:p>
        </w:tc>
      </w:tr>
      <w:tr w:rsidR="006D5B82" w:rsidRPr="00872D7E" w14:paraId="2667D2A2" w14:textId="77777777" w:rsidTr="005B0A27">
        <w:tc>
          <w:tcPr>
            <w:tcW w:w="425" w:type="pct"/>
            <w:gridSpan w:val="2"/>
          </w:tcPr>
          <w:p w14:paraId="4D0B6AE4" w14:textId="41511994"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VI.</w:t>
            </w:r>
          </w:p>
        </w:tc>
        <w:tc>
          <w:tcPr>
            <w:tcW w:w="4226" w:type="pct"/>
          </w:tcPr>
          <w:p w14:paraId="4A107F79" w14:textId="3D5C746E" w:rsidR="006D5B82" w:rsidRPr="00872D7E" w:rsidRDefault="006D5B82" w:rsidP="006D5B82">
            <w:pPr>
              <w:widowControl w:val="0"/>
              <w:autoSpaceDE w:val="0"/>
              <w:autoSpaceDN w:val="0"/>
              <w:adjustRightInd w:val="0"/>
              <w:spacing w:line="230" w:lineRule="auto"/>
              <w:ind w:left="-108"/>
              <w:jc w:val="both"/>
              <w:rPr>
                <w:sz w:val="15"/>
                <w:szCs w:val="15"/>
              </w:rPr>
            </w:pPr>
            <w:r w:rsidRPr="00872D7E">
              <w:rPr>
                <w:sz w:val="15"/>
                <w:szCs w:val="15"/>
              </w:rPr>
              <w:t>Kaldıraç oranına ilişkin açıklamalar</w:t>
            </w:r>
          </w:p>
        </w:tc>
        <w:tc>
          <w:tcPr>
            <w:tcW w:w="349" w:type="pct"/>
            <w:vAlign w:val="bottom"/>
          </w:tcPr>
          <w:p w14:paraId="75F72C35" w14:textId="2B9B999E" w:rsidR="006D5B82" w:rsidRPr="00872D7E" w:rsidRDefault="00AA43C8" w:rsidP="00AC57E3">
            <w:pPr>
              <w:widowControl w:val="0"/>
              <w:autoSpaceDE w:val="0"/>
              <w:autoSpaceDN w:val="0"/>
              <w:adjustRightInd w:val="0"/>
              <w:spacing w:line="230" w:lineRule="auto"/>
              <w:ind w:left="-108"/>
              <w:jc w:val="right"/>
              <w:rPr>
                <w:sz w:val="15"/>
                <w:szCs w:val="15"/>
              </w:rPr>
            </w:pPr>
            <w:r w:rsidRPr="00872D7E">
              <w:rPr>
                <w:sz w:val="15"/>
                <w:szCs w:val="15"/>
              </w:rPr>
              <w:t>44</w:t>
            </w:r>
          </w:p>
        </w:tc>
      </w:tr>
      <w:tr w:rsidR="006D5B82" w:rsidRPr="00872D7E" w14:paraId="6B366064" w14:textId="77777777" w:rsidTr="005B0A27">
        <w:tc>
          <w:tcPr>
            <w:tcW w:w="425" w:type="pct"/>
            <w:gridSpan w:val="2"/>
          </w:tcPr>
          <w:p w14:paraId="7808618C" w14:textId="75F87B49"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VII.</w:t>
            </w:r>
          </w:p>
        </w:tc>
        <w:tc>
          <w:tcPr>
            <w:tcW w:w="4226" w:type="pct"/>
          </w:tcPr>
          <w:p w14:paraId="749329BF" w14:textId="033969B0" w:rsidR="006D5B82" w:rsidRPr="00872D7E" w:rsidRDefault="006D5B82" w:rsidP="006D5B82">
            <w:pPr>
              <w:widowControl w:val="0"/>
              <w:autoSpaceDE w:val="0"/>
              <w:autoSpaceDN w:val="0"/>
              <w:adjustRightInd w:val="0"/>
              <w:spacing w:line="230" w:lineRule="auto"/>
              <w:ind w:left="-108"/>
              <w:jc w:val="both"/>
              <w:rPr>
                <w:sz w:val="15"/>
                <w:szCs w:val="15"/>
              </w:rPr>
            </w:pPr>
            <w:r w:rsidRPr="00872D7E">
              <w:rPr>
                <w:sz w:val="15"/>
                <w:szCs w:val="15"/>
              </w:rPr>
              <w:t>Finansal varlık ve borçların gerçeğe uygun değeri ile gösterilmesine ilişkin açıklamalar</w:t>
            </w:r>
          </w:p>
        </w:tc>
        <w:tc>
          <w:tcPr>
            <w:tcW w:w="349" w:type="pct"/>
            <w:vAlign w:val="bottom"/>
          </w:tcPr>
          <w:p w14:paraId="4CB5882F" w14:textId="3347228B" w:rsidR="006D5B82" w:rsidRPr="00872D7E" w:rsidRDefault="00AA43C8" w:rsidP="00AC57E3">
            <w:pPr>
              <w:widowControl w:val="0"/>
              <w:autoSpaceDE w:val="0"/>
              <w:autoSpaceDN w:val="0"/>
              <w:adjustRightInd w:val="0"/>
              <w:spacing w:line="230" w:lineRule="auto"/>
              <w:ind w:left="-108"/>
              <w:jc w:val="right"/>
              <w:rPr>
                <w:sz w:val="15"/>
                <w:szCs w:val="15"/>
              </w:rPr>
            </w:pPr>
            <w:r w:rsidRPr="00872D7E">
              <w:rPr>
                <w:sz w:val="15"/>
                <w:szCs w:val="15"/>
              </w:rPr>
              <w:t>45-46</w:t>
            </w:r>
          </w:p>
        </w:tc>
      </w:tr>
      <w:tr w:rsidR="006D5B82" w:rsidRPr="00872D7E" w14:paraId="1AC2CF76" w14:textId="77777777" w:rsidTr="005B0A27">
        <w:tc>
          <w:tcPr>
            <w:tcW w:w="425" w:type="pct"/>
            <w:gridSpan w:val="2"/>
          </w:tcPr>
          <w:p w14:paraId="201CDD0F" w14:textId="54715B45"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VIII.</w:t>
            </w:r>
          </w:p>
        </w:tc>
        <w:tc>
          <w:tcPr>
            <w:tcW w:w="4226" w:type="pct"/>
          </w:tcPr>
          <w:p w14:paraId="0E593E53" w14:textId="4C9849B9" w:rsidR="006D5B82" w:rsidRPr="00872D7E" w:rsidRDefault="006D5B82" w:rsidP="006D5B82">
            <w:pPr>
              <w:widowControl w:val="0"/>
              <w:autoSpaceDE w:val="0"/>
              <w:autoSpaceDN w:val="0"/>
              <w:adjustRightInd w:val="0"/>
              <w:spacing w:line="230" w:lineRule="auto"/>
              <w:ind w:left="-108"/>
              <w:jc w:val="both"/>
              <w:rPr>
                <w:b/>
                <w:sz w:val="15"/>
                <w:szCs w:val="15"/>
              </w:rPr>
            </w:pPr>
            <w:r w:rsidRPr="00872D7E">
              <w:rPr>
                <w:sz w:val="15"/>
                <w:szCs w:val="15"/>
              </w:rPr>
              <w:t>Başkalarının nam ve hesabına yapılan işlemler, inanca dayalı işlemlere ilişkin açıklamalar</w:t>
            </w:r>
          </w:p>
        </w:tc>
        <w:tc>
          <w:tcPr>
            <w:tcW w:w="349" w:type="pct"/>
            <w:vAlign w:val="bottom"/>
          </w:tcPr>
          <w:p w14:paraId="10B8C0A2" w14:textId="2711F259" w:rsidR="006D5B82" w:rsidRPr="00872D7E" w:rsidRDefault="00AA43C8" w:rsidP="00AC57E3">
            <w:pPr>
              <w:widowControl w:val="0"/>
              <w:autoSpaceDE w:val="0"/>
              <w:autoSpaceDN w:val="0"/>
              <w:adjustRightInd w:val="0"/>
              <w:spacing w:line="230" w:lineRule="auto"/>
              <w:ind w:left="-108"/>
              <w:jc w:val="right"/>
              <w:rPr>
                <w:sz w:val="15"/>
                <w:szCs w:val="15"/>
              </w:rPr>
            </w:pPr>
            <w:r w:rsidRPr="00872D7E">
              <w:rPr>
                <w:sz w:val="15"/>
                <w:szCs w:val="15"/>
              </w:rPr>
              <w:t>46</w:t>
            </w:r>
          </w:p>
        </w:tc>
      </w:tr>
      <w:tr w:rsidR="006D5B82" w:rsidRPr="00872D7E" w14:paraId="73F37754" w14:textId="77777777" w:rsidTr="005B0A27">
        <w:tc>
          <w:tcPr>
            <w:tcW w:w="425" w:type="pct"/>
            <w:gridSpan w:val="2"/>
          </w:tcPr>
          <w:p w14:paraId="3E9D95B8" w14:textId="49E7EB0B"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IX.</w:t>
            </w:r>
          </w:p>
        </w:tc>
        <w:tc>
          <w:tcPr>
            <w:tcW w:w="4226" w:type="pct"/>
          </w:tcPr>
          <w:p w14:paraId="3E8581FF" w14:textId="09510E50" w:rsidR="006D5B82" w:rsidRPr="00872D7E" w:rsidRDefault="006D5B82" w:rsidP="006D5B82">
            <w:pPr>
              <w:widowControl w:val="0"/>
              <w:autoSpaceDE w:val="0"/>
              <w:autoSpaceDN w:val="0"/>
              <w:adjustRightInd w:val="0"/>
              <w:spacing w:line="230" w:lineRule="auto"/>
              <w:ind w:left="-108"/>
              <w:jc w:val="both"/>
              <w:rPr>
                <w:sz w:val="15"/>
                <w:szCs w:val="15"/>
              </w:rPr>
            </w:pPr>
            <w:r w:rsidRPr="00872D7E">
              <w:rPr>
                <w:sz w:val="15"/>
                <w:szCs w:val="15"/>
              </w:rPr>
              <w:t>Risk yönetimine ilişkin açıklamalar</w:t>
            </w:r>
          </w:p>
        </w:tc>
        <w:tc>
          <w:tcPr>
            <w:tcW w:w="349" w:type="pct"/>
            <w:vAlign w:val="bottom"/>
          </w:tcPr>
          <w:p w14:paraId="22D8D86C" w14:textId="6BFF796F" w:rsidR="006D5B82" w:rsidRPr="00872D7E" w:rsidRDefault="00AA43C8" w:rsidP="00AC57E3">
            <w:pPr>
              <w:widowControl w:val="0"/>
              <w:autoSpaceDE w:val="0"/>
              <w:autoSpaceDN w:val="0"/>
              <w:adjustRightInd w:val="0"/>
              <w:spacing w:line="230" w:lineRule="auto"/>
              <w:ind w:left="-108"/>
              <w:jc w:val="right"/>
              <w:rPr>
                <w:sz w:val="15"/>
                <w:szCs w:val="15"/>
              </w:rPr>
            </w:pPr>
            <w:r w:rsidRPr="00872D7E">
              <w:rPr>
                <w:sz w:val="15"/>
                <w:szCs w:val="15"/>
              </w:rPr>
              <w:t>47-6</w:t>
            </w:r>
            <w:r w:rsidR="00723331" w:rsidRPr="00872D7E">
              <w:rPr>
                <w:sz w:val="15"/>
                <w:szCs w:val="15"/>
              </w:rPr>
              <w:t>5</w:t>
            </w:r>
          </w:p>
        </w:tc>
      </w:tr>
      <w:tr w:rsidR="006D5B82" w:rsidRPr="00872D7E" w14:paraId="6B89EC8D" w14:textId="77777777" w:rsidTr="005B0A27">
        <w:tc>
          <w:tcPr>
            <w:tcW w:w="425" w:type="pct"/>
            <w:gridSpan w:val="2"/>
          </w:tcPr>
          <w:p w14:paraId="6B648519" w14:textId="1A077EFA" w:rsidR="006D5B82" w:rsidRPr="00872D7E" w:rsidRDefault="006D5B82" w:rsidP="006D5B82">
            <w:pPr>
              <w:widowControl w:val="0"/>
              <w:autoSpaceDE w:val="0"/>
              <w:autoSpaceDN w:val="0"/>
              <w:adjustRightInd w:val="0"/>
              <w:spacing w:line="230" w:lineRule="auto"/>
              <w:ind w:left="-108" w:right="-162"/>
              <w:rPr>
                <w:sz w:val="15"/>
                <w:szCs w:val="15"/>
              </w:rPr>
            </w:pPr>
            <w:r w:rsidRPr="00872D7E">
              <w:rPr>
                <w:sz w:val="15"/>
                <w:szCs w:val="15"/>
              </w:rPr>
              <w:t>X.</w:t>
            </w:r>
          </w:p>
        </w:tc>
        <w:tc>
          <w:tcPr>
            <w:tcW w:w="4226" w:type="pct"/>
          </w:tcPr>
          <w:p w14:paraId="0A53044D" w14:textId="6A4942E3" w:rsidR="006D5B82" w:rsidRPr="00872D7E" w:rsidRDefault="006D5B82" w:rsidP="006D5B82">
            <w:pPr>
              <w:widowControl w:val="0"/>
              <w:autoSpaceDE w:val="0"/>
              <w:autoSpaceDN w:val="0"/>
              <w:adjustRightInd w:val="0"/>
              <w:spacing w:line="230" w:lineRule="auto"/>
              <w:ind w:left="-108"/>
              <w:jc w:val="both"/>
              <w:rPr>
                <w:sz w:val="15"/>
                <w:szCs w:val="15"/>
              </w:rPr>
            </w:pPr>
            <w:r w:rsidRPr="00872D7E">
              <w:rPr>
                <w:sz w:val="15"/>
                <w:szCs w:val="15"/>
              </w:rPr>
              <w:t>Faaliyet bölümlerine ilişkin açıklamalar</w:t>
            </w:r>
          </w:p>
        </w:tc>
        <w:tc>
          <w:tcPr>
            <w:tcW w:w="349" w:type="pct"/>
            <w:vAlign w:val="bottom"/>
          </w:tcPr>
          <w:p w14:paraId="2DD8A6F6" w14:textId="097D0C23" w:rsidR="006D5B82" w:rsidRPr="00872D7E" w:rsidRDefault="00AA43C8" w:rsidP="00AC57E3">
            <w:pPr>
              <w:widowControl w:val="0"/>
              <w:autoSpaceDE w:val="0"/>
              <w:autoSpaceDN w:val="0"/>
              <w:adjustRightInd w:val="0"/>
              <w:spacing w:line="230" w:lineRule="auto"/>
              <w:ind w:left="-108"/>
              <w:jc w:val="right"/>
              <w:rPr>
                <w:sz w:val="15"/>
                <w:szCs w:val="15"/>
              </w:rPr>
            </w:pPr>
            <w:r w:rsidRPr="00872D7E">
              <w:rPr>
                <w:sz w:val="15"/>
                <w:szCs w:val="15"/>
              </w:rPr>
              <w:t>6</w:t>
            </w:r>
            <w:r w:rsidR="00723331" w:rsidRPr="00872D7E">
              <w:rPr>
                <w:sz w:val="15"/>
                <w:szCs w:val="15"/>
              </w:rPr>
              <w:t>5</w:t>
            </w:r>
          </w:p>
        </w:tc>
      </w:tr>
      <w:tr w:rsidR="006D5B82" w:rsidRPr="00872D7E" w14:paraId="2BEF1669" w14:textId="77777777" w:rsidTr="005B0A27">
        <w:tc>
          <w:tcPr>
            <w:tcW w:w="425" w:type="pct"/>
            <w:gridSpan w:val="2"/>
          </w:tcPr>
          <w:p w14:paraId="3CA6B0E0" w14:textId="77777777" w:rsidR="006D5B82" w:rsidRPr="00872D7E" w:rsidRDefault="006D5B82" w:rsidP="006D5B82">
            <w:pPr>
              <w:widowControl w:val="0"/>
              <w:autoSpaceDE w:val="0"/>
              <w:autoSpaceDN w:val="0"/>
              <w:adjustRightInd w:val="0"/>
              <w:spacing w:line="230" w:lineRule="auto"/>
              <w:ind w:left="-108" w:right="-162"/>
              <w:rPr>
                <w:sz w:val="15"/>
                <w:szCs w:val="15"/>
              </w:rPr>
            </w:pPr>
          </w:p>
        </w:tc>
        <w:tc>
          <w:tcPr>
            <w:tcW w:w="4226" w:type="pct"/>
          </w:tcPr>
          <w:p w14:paraId="61DC4928" w14:textId="77777777" w:rsidR="006D5B82" w:rsidRPr="00872D7E" w:rsidRDefault="006D5B82" w:rsidP="006D5B82">
            <w:pPr>
              <w:widowControl w:val="0"/>
              <w:autoSpaceDE w:val="0"/>
              <w:autoSpaceDN w:val="0"/>
              <w:adjustRightInd w:val="0"/>
              <w:spacing w:line="230" w:lineRule="auto"/>
              <w:ind w:left="-108"/>
              <w:jc w:val="both"/>
              <w:rPr>
                <w:sz w:val="15"/>
                <w:szCs w:val="15"/>
              </w:rPr>
            </w:pPr>
          </w:p>
        </w:tc>
        <w:tc>
          <w:tcPr>
            <w:tcW w:w="349" w:type="pct"/>
            <w:vAlign w:val="bottom"/>
          </w:tcPr>
          <w:p w14:paraId="5AEF5DD2" w14:textId="77777777" w:rsidR="006D5B82" w:rsidRPr="00872D7E" w:rsidRDefault="006D5B82" w:rsidP="00AC57E3">
            <w:pPr>
              <w:widowControl w:val="0"/>
              <w:autoSpaceDE w:val="0"/>
              <w:autoSpaceDN w:val="0"/>
              <w:adjustRightInd w:val="0"/>
              <w:spacing w:line="230" w:lineRule="auto"/>
              <w:ind w:left="-108"/>
              <w:jc w:val="right"/>
              <w:rPr>
                <w:sz w:val="15"/>
                <w:szCs w:val="15"/>
              </w:rPr>
            </w:pPr>
          </w:p>
        </w:tc>
      </w:tr>
      <w:tr w:rsidR="00267780" w:rsidRPr="00872D7E" w14:paraId="455F4F71" w14:textId="77777777" w:rsidTr="00267780">
        <w:tc>
          <w:tcPr>
            <w:tcW w:w="5000" w:type="pct"/>
            <w:gridSpan w:val="4"/>
            <w:vAlign w:val="center"/>
          </w:tcPr>
          <w:p w14:paraId="047631C0" w14:textId="28A31F0C" w:rsidR="00267780" w:rsidRPr="00872D7E" w:rsidRDefault="00267780" w:rsidP="00267780">
            <w:pPr>
              <w:pStyle w:val="BodyTextIndent"/>
              <w:widowControl w:val="0"/>
              <w:spacing w:line="230" w:lineRule="auto"/>
              <w:ind w:right="12" w:firstLine="0"/>
              <w:jc w:val="center"/>
              <w:rPr>
                <w:b/>
                <w:sz w:val="15"/>
                <w:szCs w:val="15"/>
              </w:rPr>
            </w:pPr>
            <w:r w:rsidRPr="00872D7E">
              <w:rPr>
                <w:b/>
                <w:sz w:val="15"/>
                <w:szCs w:val="15"/>
              </w:rPr>
              <w:t>Beşinci Bölüm</w:t>
            </w:r>
          </w:p>
        </w:tc>
      </w:tr>
      <w:tr w:rsidR="00267780" w:rsidRPr="00872D7E" w14:paraId="4F5F73AC" w14:textId="77777777" w:rsidTr="00267780">
        <w:tc>
          <w:tcPr>
            <w:tcW w:w="5000" w:type="pct"/>
            <w:gridSpan w:val="4"/>
            <w:vAlign w:val="center"/>
          </w:tcPr>
          <w:p w14:paraId="279662F7" w14:textId="79BB41EB" w:rsidR="00267780" w:rsidRPr="00872D7E" w:rsidRDefault="00267780" w:rsidP="00267780">
            <w:pPr>
              <w:pStyle w:val="BodyTextIndent"/>
              <w:widowControl w:val="0"/>
              <w:spacing w:line="230" w:lineRule="auto"/>
              <w:ind w:right="12" w:firstLine="0"/>
              <w:jc w:val="center"/>
              <w:rPr>
                <w:sz w:val="15"/>
                <w:szCs w:val="15"/>
              </w:rPr>
            </w:pPr>
            <w:r w:rsidRPr="00872D7E">
              <w:rPr>
                <w:b/>
                <w:sz w:val="15"/>
                <w:szCs w:val="15"/>
              </w:rPr>
              <w:t>Konsolide Olmayan Finansal Tablolara İlişkin Açıklama ve Dipnotlar</w:t>
            </w:r>
          </w:p>
        </w:tc>
      </w:tr>
      <w:tr w:rsidR="006D5B82" w:rsidRPr="00872D7E" w14:paraId="324A56E9" w14:textId="77777777" w:rsidTr="005B0A27">
        <w:tc>
          <w:tcPr>
            <w:tcW w:w="4651" w:type="pct"/>
            <w:gridSpan w:val="3"/>
          </w:tcPr>
          <w:p w14:paraId="1BE57470" w14:textId="77777777" w:rsidR="006D5B82" w:rsidRPr="00872D7E" w:rsidRDefault="006D5B82" w:rsidP="006D5B82">
            <w:pPr>
              <w:pStyle w:val="BodyTextIndent"/>
              <w:widowControl w:val="0"/>
              <w:spacing w:line="230" w:lineRule="auto"/>
              <w:ind w:left="-108" w:firstLine="0"/>
              <w:jc w:val="left"/>
              <w:rPr>
                <w:b/>
                <w:sz w:val="15"/>
                <w:szCs w:val="15"/>
              </w:rPr>
            </w:pPr>
          </w:p>
        </w:tc>
        <w:tc>
          <w:tcPr>
            <w:tcW w:w="349" w:type="pct"/>
            <w:vAlign w:val="bottom"/>
          </w:tcPr>
          <w:p w14:paraId="4CB0B631" w14:textId="77777777" w:rsidR="006D5B82" w:rsidRPr="00872D7E" w:rsidRDefault="006D5B82" w:rsidP="00AC57E3">
            <w:pPr>
              <w:pStyle w:val="BodyTextIndent"/>
              <w:widowControl w:val="0"/>
              <w:spacing w:line="230" w:lineRule="auto"/>
              <w:ind w:right="12" w:firstLine="0"/>
              <w:jc w:val="right"/>
              <w:rPr>
                <w:sz w:val="15"/>
                <w:szCs w:val="15"/>
              </w:rPr>
            </w:pPr>
          </w:p>
        </w:tc>
      </w:tr>
      <w:tr w:rsidR="006D5B82" w:rsidRPr="00872D7E" w14:paraId="3E7BEA62" w14:textId="77777777" w:rsidTr="005B0A27">
        <w:tc>
          <w:tcPr>
            <w:tcW w:w="425" w:type="pct"/>
            <w:gridSpan w:val="2"/>
          </w:tcPr>
          <w:p w14:paraId="68F4EBB4" w14:textId="77777777" w:rsidR="006D5B82" w:rsidRPr="00872D7E" w:rsidRDefault="006D5B82" w:rsidP="006D5B8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I</w:t>
            </w:r>
          </w:p>
        </w:tc>
        <w:tc>
          <w:tcPr>
            <w:tcW w:w="4226" w:type="pct"/>
          </w:tcPr>
          <w:p w14:paraId="17034809" w14:textId="77777777" w:rsidR="006D5B82" w:rsidRPr="00872D7E" w:rsidRDefault="006D5B82" w:rsidP="006D5B82">
            <w:pPr>
              <w:pStyle w:val="BodyTextIndent"/>
              <w:widowControl w:val="0"/>
              <w:spacing w:line="230" w:lineRule="auto"/>
              <w:ind w:left="-108" w:firstLine="0"/>
              <w:rPr>
                <w:sz w:val="15"/>
                <w:szCs w:val="15"/>
              </w:rPr>
            </w:pPr>
            <w:r w:rsidRPr="00872D7E">
              <w:rPr>
                <w:sz w:val="15"/>
                <w:szCs w:val="15"/>
              </w:rPr>
              <w:t>Bilançonun aktif hesaplarına ilişkin açıklama ve dipnotlar</w:t>
            </w:r>
          </w:p>
        </w:tc>
        <w:tc>
          <w:tcPr>
            <w:tcW w:w="349" w:type="pct"/>
            <w:vAlign w:val="bottom"/>
          </w:tcPr>
          <w:p w14:paraId="73EF4D78" w14:textId="2D3E6FD0" w:rsidR="006D5B82" w:rsidRPr="00872D7E" w:rsidRDefault="003038F3" w:rsidP="00AC57E3">
            <w:pPr>
              <w:pStyle w:val="BodyTextIndent"/>
              <w:widowControl w:val="0"/>
              <w:spacing w:line="230" w:lineRule="auto"/>
              <w:ind w:right="12" w:firstLine="0"/>
              <w:jc w:val="right"/>
              <w:rPr>
                <w:sz w:val="15"/>
                <w:szCs w:val="15"/>
              </w:rPr>
            </w:pPr>
            <w:r w:rsidRPr="00872D7E">
              <w:rPr>
                <w:sz w:val="15"/>
                <w:szCs w:val="15"/>
              </w:rPr>
              <w:t>67-7</w:t>
            </w:r>
            <w:r w:rsidR="00723331" w:rsidRPr="00872D7E">
              <w:rPr>
                <w:sz w:val="15"/>
                <w:szCs w:val="15"/>
              </w:rPr>
              <w:t>7</w:t>
            </w:r>
          </w:p>
        </w:tc>
      </w:tr>
      <w:tr w:rsidR="006D5B82" w:rsidRPr="00872D7E" w14:paraId="09304CF5" w14:textId="77777777" w:rsidTr="005B0A27">
        <w:tc>
          <w:tcPr>
            <w:tcW w:w="425" w:type="pct"/>
            <w:gridSpan w:val="2"/>
          </w:tcPr>
          <w:p w14:paraId="32DB79C2" w14:textId="77777777" w:rsidR="006D5B82" w:rsidRPr="00872D7E" w:rsidRDefault="006D5B82" w:rsidP="006D5B8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II.</w:t>
            </w:r>
          </w:p>
        </w:tc>
        <w:tc>
          <w:tcPr>
            <w:tcW w:w="4226" w:type="pct"/>
          </w:tcPr>
          <w:p w14:paraId="28DADE3F" w14:textId="77777777" w:rsidR="006D5B82" w:rsidRPr="00872D7E" w:rsidRDefault="006D5B82" w:rsidP="006D5B82">
            <w:pPr>
              <w:pStyle w:val="BodyTextIndent"/>
              <w:widowControl w:val="0"/>
              <w:spacing w:line="230" w:lineRule="auto"/>
              <w:ind w:left="-108" w:firstLine="0"/>
              <w:rPr>
                <w:sz w:val="15"/>
                <w:szCs w:val="15"/>
              </w:rPr>
            </w:pPr>
            <w:r w:rsidRPr="00872D7E">
              <w:rPr>
                <w:sz w:val="15"/>
                <w:szCs w:val="15"/>
              </w:rPr>
              <w:t>Bilançonun pasif hesaplarına ilişkin açıklama ve dipnotlar</w:t>
            </w:r>
          </w:p>
        </w:tc>
        <w:tc>
          <w:tcPr>
            <w:tcW w:w="349" w:type="pct"/>
            <w:vAlign w:val="bottom"/>
          </w:tcPr>
          <w:p w14:paraId="6F8CD766" w14:textId="0C9721EA" w:rsidR="006D5B82" w:rsidRPr="00872D7E" w:rsidRDefault="00723331" w:rsidP="00AC57E3">
            <w:pPr>
              <w:pStyle w:val="BodyTextIndent"/>
              <w:widowControl w:val="0"/>
              <w:spacing w:line="230" w:lineRule="auto"/>
              <w:ind w:right="12" w:firstLine="0"/>
              <w:jc w:val="right"/>
              <w:rPr>
                <w:sz w:val="15"/>
                <w:szCs w:val="15"/>
              </w:rPr>
            </w:pPr>
            <w:r w:rsidRPr="00872D7E">
              <w:rPr>
                <w:sz w:val="15"/>
                <w:szCs w:val="15"/>
              </w:rPr>
              <w:t>78</w:t>
            </w:r>
            <w:r w:rsidR="003038F3" w:rsidRPr="00872D7E">
              <w:rPr>
                <w:sz w:val="15"/>
                <w:szCs w:val="15"/>
              </w:rPr>
              <w:t>-</w:t>
            </w:r>
            <w:r w:rsidRPr="00872D7E">
              <w:rPr>
                <w:sz w:val="15"/>
                <w:szCs w:val="15"/>
              </w:rPr>
              <w:t>85</w:t>
            </w:r>
          </w:p>
        </w:tc>
      </w:tr>
      <w:tr w:rsidR="006D5B82" w:rsidRPr="00872D7E" w14:paraId="650712D2" w14:textId="77777777" w:rsidTr="005B0A27">
        <w:tc>
          <w:tcPr>
            <w:tcW w:w="425" w:type="pct"/>
            <w:gridSpan w:val="2"/>
          </w:tcPr>
          <w:p w14:paraId="1D0511DF" w14:textId="77777777" w:rsidR="006D5B82" w:rsidRPr="00872D7E" w:rsidRDefault="006D5B82" w:rsidP="006D5B8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III.</w:t>
            </w:r>
          </w:p>
        </w:tc>
        <w:tc>
          <w:tcPr>
            <w:tcW w:w="4226" w:type="pct"/>
          </w:tcPr>
          <w:p w14:paraId="668B5AB2" w14:textId="77777777" w:rsidR="006D5B82" w:rsidRPr="00872D7E" w:rsidRDefault="006D5B82" w:rsidP="006D5B82">
            <w:pPr>
              <w:pStyle w:val="BodyTextIndent"/>
              <w:widowControl w:val="0"/>
              <w:spacing w:line="230" w:lineRule="auto"/>
              <w:ind w:left="-108" w:firstLine="0"/>
              <w:rPr>
                <w:sz w:val="15"/>
                <w:szCs w:val="15"/>
              </w:rPr>
            </w:pPr>
            <w:r w:rsidRPr="00872D7E">
              <w:rPr>
                <w:sz w:val="15"/>
                <w:szCs w:val="15"/>
              </w:rPr>
              <w:t>Nazım hesaplara ilişkin açıklama ve dipnotlar</w:t>
            </w:r>
          </w:p>
        </w:tc>
        <w:tc>
          <w:tcPr>
            <w:tcW w:w="349" w:type="pct"/>
            <w:vAlign w:val="bottom"/>
          </w:tcPr>
          <w:p w14:paraId="0B2351D5" w14:textId="70598690" w:rsidR="006D5B82" w:rsidRPr="00872D7E" w:rsidRDefault="003038F3" w:rsidP="00AC57E3">
            <w:pPr>
              <w:pStyle w:val="BodyTextIndent"/>
              <w:widowControl w:val="0"/>
              <w:spacing w:line="230" w:lineRule="auto"/>
              <w:ind w:right="12" w:firstLine="0"/>
              <w:jc w:val="right"/>
              <w:rPr>
                <w:sz w:val="15"/>
                <w:szCs w:val="15"/>
              </w:rPr>
            </w:pPr>
            <w:r w:rsidRPr="00872D7E">
              <w:rPr>
                <w:sz w:val="15"/>
                <w:szCs w:val="15"/>
              </w:rPr>
              <w:t>8</w:t>
            </w:r>
            <w:r w:rsidR="00723331" w:rsidRPr="00872D7E">
              <w:rPr>
                <w:sz w:val="15"/>
                <w:szCs w:val="15"/>
              </w:rPr>
              <w:t>6</w:t>
            </w:r>
            <w:r w:rsidRPr="00872D7E">
              <w:rPr>
                <w:sz w:val="15"/>
                <w:szCs w:val="15"/>
              </w:rPr>
              <w:t>-</w:t>
            </w:r>
            <w:r w:rsidR="00723331" w:rsidRPr="00872D7E">
              <w:rPr>
                <w:sz w:val="15"/>
                <w:szCs w:val="15"/>
              </w:rPr>
              <w:t>89</w:t>
            </w:r>
          </w:p>
        </w:tc>
      </w:tr>
      <w:tr w:rsidR="006D5B82" w:rsidRPr="00872D7E" w:rsidDel="00EA3D13" w14:paraId="4A2856CF" w14:textId="77777777" w:rsidTr="005B0A27">
        <w:tc>
          <w:tcPr>
            <w:tcW w:w="425" w:type="pct"/>
            <w:gridSpan w:val="2"/>
          </w:tcPr>
          <w:p w14:paraId="5B69F634" w14:textId="77777777" w:rsidR="006D5B82" w:rsidRPr="00872D7E" w:rsidRDefault="006D5B82" w:rsidP="006D5B8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IV.</w:t>
            </w:r>
          </w:p>
        </w:tc>
        <w:tc>
          <w:tcPr>
            <w:tcW w:w="4226" w:type="pct"/>
          </w:tcPr>
          <w:p w14:paraId="0B1702A9" w14:textId="77777777" w:rsidR="006D5B82" w:rsidRPr="00872D7E" w:rsidRDefault="006D5B82" w:rsidP="006D5B82">
            <w:pPr>
              <w:pStyle w:val="BodyTextIndent"/>
              <w:widowControl w:val="0"/>
              <w:spacing w:line="230" w:lineRule="auto"/>
              <w:ind w:left="-108" w:firstLine="0"/>
              <w:rPr>
                <w:sz w:val="15"/>
                <w:szCs w:val="15"/>
              </w:rPr>
            </w:pPr>
            <w:r w:rsidRPr="00872D7E">
              <w:rPr>
                <w:sz w:val="15"/>
                <w:szCs w:val="15"/>
              </w:rPr>
              <w:t>Kar veya zarar tablosuna ilişkin açıklama ve dipnotlar</w:t>
            </w:r>
          </w:p>
        </w:tc>
        <w:tc>
          <w:tcPr>
            <w:tcW w:w="349" w:type="pct"/>
            <w:vAlign w:val="bottom"/>
          </w:tcPr>
          <w:p w14:paraId="0CCDB1BD" w14:textId="250238BC" w:rsidR="006D5B82" w:rsidRPr="00872D7E" w:rsidRDefault="003038F3" w:rsidP="00AC57E3">
            <w:pPr>
              <w:pStyle w:val="BodyTextIndent"/>
              <w:widowControl w:val="0"/>
              <w:spacing w:line="230" w:lineRule="auto"/>
              <w:ind w:right="12" w:firstLine="0"/>
              <w:jc w:val="right"/>
              <w:rPr>
                <w:sz w:val="15"/>
                <w:szCs w:val="15"/>
              </w:rPr>
            </w:pPr>
            <w:r w:rsidRPr="00872D7E">
              <w:rPr>
                <w:sz w:val="15"/>
                <w:szCs w:val="15"/>
              </w:rPr>
              <w:t>9</w:t>
            </w:r>
            <w:r w:rsidR="00723331" w:rsidRPr="00872D7E">
              <w:rPr>
                <w:sz w:val="15"/>
                <w:szCs w:val="15"/>
              </w:rPr>
              <w:t>0</w:t>
            </w:r>
            <w:r w:rsidRPr="00872D7E">
              <w:rPr>
                <w:sz w:val="15"/>
                <w:szCs w:val="15"/>
              </w:rPr>
              <w:t>-9</w:t>
            </w:r>
            <w:r w:rsidR="00723331" w:rsidRPr="00872D7E">
              <w:rPr>
                <w:sz w:val="15"/>
                <w:szCs w:val="15"/>
              </w:rPr>
              <w:t>6</w:t>
            </w:r>
          </w:p>
        </w:tc>
      </w:tr>
      <w:tr w:rsidR="006D5B82" w:rsidRPr="00872D7E" w:rsidDel="00EA3D13" w14:paraId="2CEEF258" w14:textId="77777777" w:rsidTr="005B0A27">
        <w:tc>
          <w:tcPr>
            <w:tcW w:w="425" w:type="pct"/>
            <w:gridSpan w:val="2"/>
          </w:tcPr>
          <w:p w14:paraId="38328D2C" w14:textId="6378D10B" w:rsidR="006D5B82" w:rsidRPr="00872D7E" w:rsidRDefault="006D5B82" w:rsidP="006D5B8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V.</w:t>
            </w:r>
          </w:p>
        </w:tc>
        <w:tc>
          <w:tcPr>
            <w:tcW w:w="4226" w:type="pct"/>
          </w:tcPr>
          <w:p w14:paraId="065EB53E" w14:textId="4F0D6246" w:rsidR="006D5B82" w:rsidRPr="00872D7E" w:rsidRDefault="006D5B82" w:rsidP="006D5B82">
            <w:pPr>
              <w:pStyle w:val="BodyTextIndent"/>
              <w:widowControl w:val="0"/>
              <w:spacing w:line="230" w:lineRule="auto"/>
              <w:ind w:left="-108" w:firstLine="0"/>
              <w:rPr>
                <w:sz w:val="15"/>
                <w:szCs w:val="15"/>
              </w:rPr>
            </w:pPr>
            <w:r w:rsidRPr="00872D7E">
              <w:rPr>
                <w:sz w:val="15"/>
                <w:szCs w:val="15"/>
              </w:rPr>
              <w:t>Özkaynaklar değişim tablosuna ilişkin açıklama ve dipnotlar</w:t>
            </w:r>
          </w:p>
        </w:tc>
        <w:tc>
          <w:tcPr>
            <w:tcW w:w="349" w:type="pct"/>
            <w:vAlign w:val="bottom"/>
          </w:tcPr>
          <w:p w14:paraId="7A5BC058" w14:textId="09329F0E" w:rsidR="006D5B82" w:rsidRPr="00872D7E" w:rsidRDefault="003038F3" w:rsidP="00AC57E3">
            <w:pPr>
              <w:pStyle w:val="BodyTextIndent"/>
              <w:widowControl w:val="0"/>
              <w:spacing w:line="230" w:lineRule="auto"/>
              <w:ind w:right="12" w:firstLine="0"/>
              <w:jc w:val="right"/>
              <w:rPr>
                <w:sz w:val="15"/>
                <w:szCs w:val="15"/>
              </w:rPr>
            </w:pPr>
            <w:r w:rsidRPr="00872D7E">
              <w:rPr>
                <w:sz w:val="15"/>
                <w:szCs w:val="15"/>
              </w:rPr>
              <w:t>9</w:t>
            </w:r>
            <w:r w:rsidR="00723331" w:rsidRPr="00872D7E">
              <w:rPr>
                <w:sz w:val="15"/>
                <w:szCs w:val="15"/>
              </w:rPr>
              <w:t>7</w:t>
            </w:r>
          </w:p>
        </w:tc>
      </w:tr>
      <w:tr w:rsidR="006D5B82" w:rsidRPr="00872D7E" w:rsidDel="00EA3D13" w14:paraId="5A1EEA6D" w14:textId="77777777" w:rsidTr="005B0A27">
        <w:tc>
          <w:tcPr>
            <w:tcW w:w="425" w:type="pct"/>
            <w:gridSpan w:val="2"/>
          </w:tcPr>
          <w:p w14:paraId="4D87E760" w14:textId="1E58764D" w:rsidR="006D5B82" w:rsidRPr="00872D7E" w:rsidRDefault="006D5B82" w:rsidP="006D5B8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VI.</w:t>
            </w:r>
          </w:p>
        </w:tc>
        <w:tc>
          <w:tcPr>
            <w:tcW w:w="4226" w:type="pct"/>
          </w:tcPr>
          <w:p w14:paraId="71C423BD" w14:textId="6734DCA4" w:rsidR="006D5B82" w:rsidRPr="00872D7E" w:rsidRDefault="006D5B82" w:rsidP="006D5B82">
            <w:pPr>
              <w:pStyle w:val="BodyTextIndent"/>
              <w:widowControl w:val="0"/>
              <w:spacing w:line="230" w:lineRule="auto"/>
              <w:ind w:left="-108" w:firstLine="0"/>
              <w:rPr>
                <w:sz w:val="15"/>
                <w:szCs w:val="15"/>
              </w:rPr>
            </w:pPr>
            <w:r w:rsidRPr="00872D7E">
              <w:rPr>
                <w:sz w:val="15"/>
                <w:szCs w:val="15"/>
              </w:rPr>
              <w:t>Nakit akış tablosuna ilişkin açıklama ve dipnotlar</w:t>
            </w:r>
          </w:p>
        </w:tc>
        <w:tc>
          <w:tcPr>
            <w:tcW w:w="349" w:type="pct"/>
            <w:vAlign w:val="bottom"/>
          </w:tcPr>
          <w:p w14:paraId="0C9C1003" w14:textId="5BFD6CB2" w:rsidR="006D5B82" w:rsidRPr="00872D7E" w:rsidRDefault="003038F3" w:rsidP="00AC57E3">
            <w:pPr>
              <w:pStyle w:val="BodyTextIndent"/>
              <w:widowControl w:val="0"/>
              <w:spacing w:line="230" w:lineRule="auto"/>
              <w:ind w:right="12" w:firstLine="0"/>
              <w:jc w:val="right"/>
              <w:rPr>
                <w:sz w:val="15"/>
                <w:szCs w:val="15"/>
              </w:rPr>
            </w:pPr>
            <w:r w:rsidRPr="00872D7E">
              <w:rPr>
                <w:sz w:val="15"/>
                <w:szCs w:val="15"/>
              </w:rPr>
              <w:t>9</w:t>
            </w:r>
            <w:r w:rsidR="00723331" w:rsidRPr="00872D7E">
              <w:rPr>
                <w:sz w:val="15"/>
                <w:szCs w:val="15"/>
              </w:rPr>
              <w:t>7</w:t>
            </w:r>
          </w:p>
        </w:tc>
      </w:tr>
      <w:tr w:rsidR="006D5B82" w:rsidRPr="00872D7E" w:rsidDel="00EA3D13" w14:paraId="7ABCF8A0" w14:textId="77777777" w:rsidTr="005B0A27">
        <w:tc>
          <w:tcPr>
            <w:tcW w:w="425" w:type="pct"/>
            <w:gridSpan w:val="2"/>
          </w:tcPr>
          <w:p w14:paraId="2233DE61" w14:textId="592A3A15" w:rsidR="006D5B82" w:rsidRPr="00872D7E" w:rsidRDefault="006D5B82" w:rsidP="006D5B8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VII.</w:t>
            </w:r>
          </w:p>
        </w:tc>
        <w:tc>
          <w:tcPr>
            <w:tcW w:w="4226" w:type="pct"/>
          </w:tcPr>
          <w:p w14:paraId="3AE6F3CC" w14:textId="09399294" w:rsidR="006D5B82" w:rsidRPr="00872D7E" w:rsidRDefault="006D5B82" w:rsidP="006D5B82">
            <w:pPr>
              <w:pStyle w:val="BodyTextIndent"/>
              <w:widowControl w:val="0"/>
              <w:spacing w:line="230" w:lineRule="auto"/>
              <w:ind w:left="-108" w:firstLine="0"/>
              <w:rPr>
                <w:sz w:val="15"/>
                <w:szCs w:val="15"/>
              </w:rPr>
            </w:pPr>
            <w:r w:rsidRPr="00872D7E">
              <w:rPr>
                <w:sz w:val="15"/>
                <w:szCs w:val="15"/>
              </w:rPr>
              <w:t>Banka’nın dahil olduğu risk grubuna ilişkin açıklamalar</w:t>
            </w:r>
          </w:p>
        </w:tc>
        <w:tc>
          <w:tcPr>
            <w:tcW w:w="349" w:type="pct"/>
            <w:vAlign w:val="bottom"/>
          </w:tcPr>
          <w:p w14:paraId="4923BAAA" w14:textId="41992C8C" w:rsidR="006D5B82" w:rsidRPr="00872D7E" w:rsidRDefault="003038F3" w:rsidP="00AC57E3">
            <w:pPr>
              <w:pStyle w:val="BodyTextIndent"/>
              <w:widowControl w:val="0"/>
              <w:spacing w:line="230" w:lineRule="auto"/>
              <w:ind w:right="12" w:firstLine="0"/>
              <w:jc w:val="right"/>
              <w:rPr>
                <w:sz w:val="15"/>
                <w:szCs w:val="15"/>
              </w:rPr>
            </w:pPr>
            <w:r w:rsidRPr="00872D7E">
              <w:rPr>
                <w:sz w:val="15"/>
                <w:szCs w:val="15"/>
              </w:rPr>
              <w:t>9</w:t>
            </w:r>
            <w:r w:rsidR="00723331" w:rsidRPr="00872D7E">
              <w:rPr>
                <w:sz w:val="15"/>
                <w:szCs w:val="15"/>
              </w:rPr>
              <w:t>8</w:t>
            </w:r>
          </w:p>
        </w:tc>
      </w:tr>
      <w:tr w:rsidR="00F27192" w:rsidRPr="00872D7E" w:rsidDel="00EA3D13" w14:paraId="43F9D1B1" w14:textId="77777777" w:rsidTr="005B0A27">
        <w:tc>
          <w:tcPr>
            <w:tcW w:w="425" w:type="pct"/>
            <w:gridSpan w:val="2"/>
          </w:tcPr>
          <w:p w14:paraId="6EF87A24" w14:textId="380775F3" w:rsidR="00F27192" w:rsidRPr="00872D7E" w:rsidRDefault="00F27192" w:rsidP="00F2719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VIII.</w:t>
            </w:r>
          </w:p>
        </w:tc>
        <w:tc>
          <w:tcPr>
            <w:tcW w:w="4226" w:type="pct"/>
          </w:tcPr>
          <w:p w14:paraId="4D72B21C" w14:textId="211ED5FC" w:rsidR="00F27192" w:rsidRPr="00872D7E" w:rsidRDefault="00F27192" w:rsidP="00F27192">
            <w:pPr>
              <w:pStyle w:val="BodyTextIndent"/>
              <w:widowControl w:val="0"/>
              <w:spacing w:line="230" w:lineRule="auto"/>
              <w:ind w:left="-108" w:firstLine="0"/>
              <w:rPr>
                <w:sz w:val="15"/>
                <w:szCs w:val="15"/>
              </w:rPr>
            </w:pPr>
            <w:r w:rsidRPr="00872D7E">
              <w:rPr>
                <w:sz w:val="15"/>
                <w:szCs w:val="15"/>
              </w:rPr>
              <w:t>Banka’nın yurtiçi, yurtdışı, kıyı bankacılığı bölgelerindeki şube veya iştirakler ile yurtdışı temsilciliklerine ilişkin açıklamalar</w:t>
            </w:r>
          </w:p>
        </w:tc>
        <w:tc>
          <w:tcPr>
            <w:tcW w:w="349" w:type="pct"/>
            <w:vAlign w:val="bottom"/>
          </w:tcPr>
          <w:p w14:paraId="4427BFE7" w14:textId="2D8E014C" w:rsidR="00F27192" w:rsidRPr="00872D7E" w:rsidRDefault="00F27192" w:rsidP="00F27192">
            <w:pPr>
              <w:pStyle w:val="BodyTextIndent"/>
              <w:widowControl w:val="0"/>
              <w:spacing w:line="230" w:lineRule="auto"/>
              <w:ind w:right="12" w:firstLine="0"/>
              <w:jc w:val="right"/>
              <w:rPr>
                <w:sz w:val="15"/>
                <w:szCs w:val="15"/>
              </w:rPr>
            </w:pPr>
            <w:r w:rsidRPr="00872D7E">
              <w:rPr>
                <w:sz w:val="15"/>
                <w:szCs w:val="15"/>
              </w:rPr>
              <w:t>99</w:t>
            </w:r>
          </w:p>
        </w:tc>
      </w:tr>
      <w:tr w:rsidR="00F27192" w:rsidRPr="00872D7E" w:rsidDel="00EA3D13" w14:paraId="15028F1C" w14:textId="77777777" w:rsidTr="005B0A27">
        <w:tc>
          <w:tcPr>
            <w:tcW w:w="425" w:type="pct"/>
            <w:gridSpan w:val="2"/>
          </w:tcPr>
          <w:p w14:paraId="4A4C1D11" w14:textId="0B85069F" w:rsidR="00F27192" w:rsidRPr="00872D7E" w:rsidRDefault="00F27192" w:rsidP="00F2719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XI.</w:t>
            </w:r>
          </w:p>
        </w:tc>
        <w:tc>
          <w:tcPr>
            <w:tcW w:w="4226" w:type="pct"/>
          </w:tcPr>
          <w:p w14:paraId="6503E978" w14:textId="59C3295B" w:rsidR="00F27192" w:rsidRPr="00872D7E" w:rsidRDefault="00F27192" w:rsidP="00F27192">
            <w:pPr>
              <w:pStyle w:val="BodyTextIndent"/>
              <w:widowControl w:val="0"/>
              <w:spacing w:line="233" w:lineRule="auto"/>
              <w:ind w:left="-86" w:right="206" w:firstLine="0"/>
              <w:rPr>
                <w:iCs/>
                <w:sz w:val="15"/>
                <w:szCs w:val="15"/>
              </w:rPr>
            </w:pPr>
            <w:r w:rsidRPr="00872D7E">
              <w:rPr>
                <w:iCs/>
                <w:sz w:val="15"/>
                <w:szCs w:val="15"/>
              </w:rPr>
              <w:t>Bilanço sonrası hususlara ilişkin açıklama ve dipnotlar</w:t>
            </w:r>
          </w:p>
        </w:tc>
        <w:tc>
          <w:tcPr>
            <w:tcW w:w="349" w:type="pct"/>
            <w:vAlign w:val="bottom"/>
          </w:tcPr>
          <w:p w14:paraId="622087B1" w14:textId="7C50F26E" w:rsidR="00F27192" w:rsidRPr="00872D7E" w:rsidRDefault="00F27192" w:rsidP="00F27192">
            <w:pPr>
              <w:pStyle w:val="BodyTextIndent"/>
              <w:widowControl w:val="0"/>
              <w:spacing w:line="230" w:lineRule="auto"/>
              <w:ind w:right="12" w:firstLine="0"/>
              <w:jc w:val="right"/>
              <w:rPr>
                <w:sz w:val="15"/>
                <w:szCs w:val="15"/>
              </w:rPr>
            </w:pPr>
            <w:r w:rsidRPr="00872D7E">
              <w:rPr>
                <w:sz w:val="15"/>
                <w:szCs w:val="15"/>
              </w:rPr>
              <w:t>99</w:t>
            </w:r>
          </w:p>
        </w:tc>
      </w:tr>
      <w:tr w:rsidR="00F27192" w:rsidRPr="00872D7E" w14:paraId="4DBD2C01" w14:textId="77777777" w:rsidTr="005B0A27">
        <w:tc>
          <w:tcPr>
            <w:tcW w:w="4651" w:type="pct"/>
            <w:gridSpan w:val="3"/>
          </w:tcPr>
          <w:p w14:paraId="1C37F120" w14:textId="05B6CBA9" w:rsidR="00F27192" w:rsidRPr="00872D7E" w:rsidRDefault="00F27192" w:rsidP="00F27192">
            <w:pPr>
              <w:widowControl w:val="0"/>
              <w:spacing w:line="230" w:lineRule="auto"/>
              <w:rPr>
                <w:b/>
                <w:sz w:val="15"/>
                <w:szCs w:val="15"/>
              </w:rPr>
            </w:pPr>
          </w:p>
        </w:tc>
        <w:tc>
          <w:tcPr>
            <w:tcW w:w="349" w:type="pct"/>
            <w:vAlign w:val="bottom"/>
          </w:tcPr>
          <w:p w14:paraId="292A1039" w14:textId="77777777" w:rsidR="00F27192" w:rsidRPr="00872D7E" w:rsidRDefault="00F27192" w:rsidP="00F27192">
            <w:pPr>
              <w:widowControl w:val="0"/>
              <w:spacing w:line="230" w:lineRule="auto"/>
              <w:ind w:right="12"/>
              <w:jc w:val="right"/>
              <w:rPr>
                <w:b/>
                <w:sz w:val="15"/>
                <w:szCs w:val="15"/>
              </w:rPr>
            </w:pPr>
          </w:p>
        </w:tc>
      </w:tr>
      <w:tr w:rsidR="00F27192" w:rsidRPr="00872D7E" w14:paraId="416FD0A6" w14:textId="77777777" w:rsidTr="00267780">
        <w:tc>
          <w:tcPr>
            <w:tcW w:w="5000" w:type="pct"/>
            <w:gridSpan w:val="4"/>
            <w:vAlign w:val="center"/>
          </w:tcPr>
          <w:p w14:paraId="415DAAD7" w14:textId="051E805D" w:rsidR="00F27192" w:rsidRPr="00872D7E" w:rsidRDefault="00F27192" w:rsidP="00F27192">
            <w:pPr>
              <w:widowControl w:val="0"/>
              <w:spacing w:line="230" w:lineRule="auto"/>
              <w:ind w:left="-108"/>
              <w:jc w:val="center"/>
              <w:rPr>
                <w:b/>
                <w:sz w:val="15"/>
                <w:szCs w:val="15"/>
              </w:rPr>
            </w:pPr>
            <w:r w:rsidRPr="00872D7E">
              <w:rPr>
                <w:b/>
                <w:sz w:val="15"/>
                <w:szCs w:val="15"/>
              </w:rPr>
              <w:t>Altıncı Bölüm</w:t>
            </w:r>
          </w:p>
        </w:tc>
      </w:tr>
      <w:tr w:rsidR="00F27192" w:rsidRPr="00872D7E" w14:paraId="12547CC3" w14:textId="77777777" w:rsidTr="005B0A27">
        <w:tc>
          <w:tcPr>
            <w:tcW w:w="5000" w:type="pct"/>
            <w:gridSpan w:val="4"/>
            <w:vAlign w:val="center"/>
          </w:tcPr>
          <w:p w14:paraId="00D54F6B" w14:textId="726A0476" w:rsidR="00F27192" w:rsidRPr="00872D7E" w:rsidRDefault="00F27192" w:rsidP="00F27192">
            <w:pPr>
              <w:widowControl w:val="0"/>
              <w:spacing w:line="230" w:lineRule="auto"/>
              <w:ind w:left="-108"/>
              <w:jc w:val="center"/>
              <w:rPr>
                <w:b/>
                <w:sz w:val="15"/>
                <w:szCs w:val="15"/>
              </w:rPr>
            </w:pPr>
            <w:r w:rsidRPr="00872D7E">
              <w:rPr>
                <w:b/>
                <w:sz w:val="15"/>
                <w:szCs w:val="15"/>
              </w:rPr>
              <w:t>Diğer Açıklamalar</w:t>
            </w:r>
          </w:p>
        </w:tc>
      </w:tr>
      <w:tr w:rsidR="005B0A27" w:rsidRPr="00872D7E" w14:paraId="49C865C0" w14:textId="77777777" w:rsidTr="005B0A27">
        <w:tc>
          <w:tcPr>
            <w:tcW w:w="425" w:type="pct"/>
            <w:gridSpan w:val="2"/>
          </w:tcPr>
          <w:p w14:paraId="22290253" w14:textId="48ADB4B5" w:rsidR="005B0A27" w:rsidRPr="00872D7E" w:rsidRDefault="005B0A27" w:rsidP="00F2719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I.</w:t>
            </w:r>
          </w:p>
        </w:tc>
        <w:tc>
          <w:tcPr>
            <w:tcW w:w="4226" w:type="pct"/>
          </w:tcPr>
          <w:p w14:paraId="4276E355" w14:textId="77777777" w:rsidR="005B0A27" w:rsidRPr="00872D7E" w:rsidRDefault="005B0A27" w:rsidP="005B0A27">
            <w:pPr>
              <w:pStyle w:val="Title"/>
              <w:widowControl w:val="0"/>
              <w:spacing w:line="230" w:lineRule="auto"/>
              <w:ind w:left="-58" w:right="-162"/>
              <w:jc w:val="left"/>
              <w:rPr>
                <w:rFonts w:ascii="Times New Roman" w:hAnsi="Times New Roman"/>
                <w:b w:val="0"/>
                <w:sz w:val="15"/>
                <w:szCs w:val="15"/>
              </w:rPr>
            </w:pPr>
            <w:r w:rsidRPr="00872D7E">
              <w:rPr>
                <w:rFonts w:ascii="Times New Roman" w:hAnsi="Times New Roman"/>
                <w:b w:val="0"/>
                <w:sz w:val="15"/>
                <w:szCs w:val="15"/>
              </w:rPr>
              <w:t>Banka’nın faaliyetlerine ilişkin diğer açıklamalar</w:t>
            </w:r>
          </w:p>
        </w:tc>
        <w:tc>
          <w:tcPr>
            <w:tcW w:w="349" w:type="pct"/>
            <w:vAlign w:val="bottom"/>
          </w:tcPr>
          <w:p w14:paraId="1A4AFC93" w14:textId="7FB79FB5" w:rsidR="005B0A27" w:rsidRPr="00872D7E" w:rsidRDefault="005B0A27" w:rsidP="00F27192">
            <w:pPr>
              <w:pStyle w:val="BodyTextIndent"/>
              <w:widowControl w:val="0"/>
              <w:spacing w:line="230" w:lineRule="auto"/>
              <w:ind w:right="12" w:firstLine="0"/>
              <w:jc w:val="right"/>
              <w:rPr>
                <w:sz w:val="15"/>
                <w:szCs w:val="15"/>
              </w:rPr>
            </w:pPr>
            <w:r w:rsidRPr="00872D7E">
              <w:rPr>
                <w:sz w:val="15"/>
                <w:szCs w:val="15"/>
              </w:rPr>
              <w:t>99</w:t>
            </w:r>
          </w:p>
        </w:tc>
      </w:tr>
      <w:tr w:rsidR="00F27192" w:rsidRPr="00872D7E" w14:paraId="3D22A764" w14:textId="77777777" w:rsidTr="005B0A27">
        <w:tc>
          <w:tcPr>
            <w:tcW w:w="4651" w:type="pct"/>
            <w:gridSpan w:val="3"/>
          </w:tcPr>
          <w:p w14:paraId="72FC5DDA" w14:textId="77777777" w:rsidR="00F27192" w:rsidRPr="00872D7E" w:rsidRDefault="00F27192" w:rsidP="00F27192">
            <w:pPr>
              <w:widowControl w:val="0"/>
              <w:spacing w:line="230" w:lineRule="auto"/>
              <w:rPr>
                <w:bCs/>
                <w:sz w:val="15"/>
                <w:szCs w:val="15"/>
              </w:rPr>
            </w:pPr>
          </w:p>
        </w:tc>
        <w:tc>
          <w:tcPr>
            <w:tcW w:w="349" w:type="pct"/>
            <w:vAlign w:val="bottom"/>
          </w:tcPr>
          <w:p w14:paraId="56A96F60" w14:textId="1ABC98A1" w:rsidR="00F27192" w:rsidRPr="00872D7E" w:rsidRDefault="00F27192" w:rsidP="00F27192">
            <w:pPr>
              <w:widowControl w:val="0"/>
              <w:spacing w:line="230" w:lineRule="auto"/>
              <w:ind w:right="12"/>
              <w:jc w:val="right"/>
              <w:rPr>
                <w:bCs/>
                <w:sz w:val="15"/>
                <w:szCs w:val="15"/>
              </w:rPr>
            </w:pPr>
          </w:p>
        </w:tc>
      </w:tr>
      <w:tr w:rsidR="00F27192" w:rsidRPr="00872D7E" w14:paraId="1354EB4C" w14:textId="77777777" w:rsidTr="00267780">
        <w:tc>
          <w:tcPr>
            <w:tcW w:w="5000" w:type="pct"/>
            <w:gridSpan w:val="4"/>
            <w:vAlign w:val="center"/>
          </w:tcPr>
          <w:p w14:paraId="64470342" w14:textId="41A88C6F" w:rsidR="00F27192" w:rsidRPr="00872D7E" w:rsidRDefault="00F27192" w:rsidP="00F27192">
            <w:pPr>
              <w:widowControl w:val="0"/>
              <w:spacing w:line="230" w:lineRule="auto"/>
              <w:ind w:right="12"/>
              <w:jc w:val="center"/>
              <w:rPr>
                <w:b/>
                <w:sz w:val="15"/>
                <w:szCs w:val="15"/>
              </w:rPr>
            </w:pPr>
            <w:r w:rsidRPr="00872D7E">
              <w:rPr>
                <w:b/>
                <w:sz w:val="15"/>
                <w:szCs w:val="15"/>
              </w:rPr>
              <w:t>Yedinci Bölüm</w:t>
            </w:r>
          </w:p>
        </w:tc>
      </w:tr>
      <w:tr w:rsidR="00F27192" w:rsidRPr="00872D7E" w14:paraId="5E39EC0A" w14:textId="77777777" w:rsidTr="00267780">
        <w:tc>
          <w:tcPr>
            <w:tcW w:w="5000" w:type="pct"/>
            <w:gridSpan w:val="4"/>
            <w:vAlign w:val="center"/>
          </w:tcPr>
          <w:p w14:paraId="4F753332" w14:textId="4190ECB0" w:rsidR="00F27192" w:rsidRPr="00872D7E" w:rsidRDefault="00F27192" w:rsidP="00F27192">
            <w:pPr>
              <w:widowControl w:val="0"/>
              <w:spacing w:line="230" w:lineRule="auto"/>
              <w:ind w:right="12"/>
              <w:jc w:val="center"/>
              <w:rPr>
                <w:b/>
                <w:sz w:val="15"/>
                <w:szCs w:val="15"/>
              </w:rPr>
            </w:pPr>
            <w:r w:rsidRPr="00872D7E">
              <w:rPr>
                <w:b/>
                <w:sz w:val="15"/>
                <w:szCs w:val="15"/>
              </w:rPr>
              <w:t>Bağımsız Denetim Raporu</w:t>
            </w:r>
          </w:p>
        </w:tc>
      </w:tr>
      <w:tr w:rsidR="00F27192" w:rsidRPr="00872D7E" w14:paraId="3670FA62" w14:textId="77777777" w:rsidTr="005B0A27">
        <w:tc>
          <w:tcPr>
            <w:tcW w:w="4651" w:type="pct"/>
            <w:gridSpan w:val="3"/>
          </w:tcPr>
          <w:p w14:paraId="125071D6" w14:textId="77777777" w:rsidR="00F27192" w:rsidRPr="00872D7E" w:rsidRDefault="00F27192" w:rsidP="00F27192">
            <w:pPr>
              <w:widowControl w:val="0"/>
              <w:spacing w:line="230" w:lineRule="auto"/>
              <w:ind w:left="-108"/>
              <w:rPr>
                <w:b/>
                <w:sz w:val="15"/>
                <w:szCs w:val="15"/>
              </w:rPr>
            </w:pPr>
          </w:p>
        </w:tc>
        <w:tc>
          <w:tcPr>
            <w:tcW w:w="349" w:type="pct"/>
            <w:vAlign w:val="bottom"/>
          </w:tcPr>
          <w:p w14:paraId="332BE806" w14:textId="77777777" w:rsidR="00F27192" w:rsidRPr="00872D7E" w:rsidRDefault="00F27192" w:rsidP="00F27192">
            <w:pPr>
              <w:widowControl w:val="0"/>
              <w:spacing w:line="230" w:lineRule="auto"/>
              <w:ind w:right="12"/>
              <w:jc w:val="right"/>
              <w:rPr>
                <w:b/>
                <w:sz w:val="15"/>
                <w:szCs w:val="15"/>
              </w:rPr>
            </w:pPr>
          </w:p>
        </w:tc>
      </w:tr>
      <w:tr w:rsidR="00F27192" w:rsidRPr="00872D7E" w14:paraId="53FE402C" w14:textId="77777777" w:rsidTr="005B0A27">
        <w:trPr>
          <w:trHeight w:val="74"/>
        </w:trPr>
        <w:tc>
          <w:tcPr>
            <w:tcW w:w="425" w:type="pct"/>
            <w:gridSpan w:val="2"/>
          </w:tcPr>
          <w:p w14:paraId="5CA0DE52" w14:textId="355A0413" w:rsidR="00F27192" w:rsidRPr="00872D7E" w:rsidRDefault="00F27192" w:rsidP="00F2719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I.</w:t>
            </w:r>
          </w:p>
        </w:tc>
        <w:tc>
          <w:tcPr>
            <w:tcW w:w="4226" w:type="pct"/>
          </w:tcPr>
          <w:p w14:paraId="227DE5CE" w14:textId="3A23AA03" w:rsidR="00F27192" w:rsidRPr="00872D7E" w:rsidRDefault="00F27192" w:rsidP="00F27192">
            <w:pPr>
              <w:widowControl w:val="0"/>
              <w:spacing w:line="230" w:lineRule="auto"/>
              <w:ind w:left="-108"/>
              <w:rPr>
                <w:sz w:val="15"/>
                <w:szCs w:val="15"/>
              </w:rPr>
            </w:pPr>
            <w:r w:rsidRPr="00872D7E">
              <w:rPr>
                <w:sz w:val="15"/>
                <w:szCs w:val="15"/>
              </w:rPr>
              <w:t>Bağımsız denetim raporuna ilişkin olarak açıklanması gereken hususlar</w:t>
            </w:r>
          </w:p>
        </w:tc>
        <w:tc>
          <w:tcPr>
            <w:tcW w:w="349" w:type="pct"/>
            <w:vAlign w:val="bottom"/>
          </w:tcPr>
          <w:p w14:paraId="52E5C688" w14:textId="253AB9E4" w:rsidR="00F27192" w:rsidRPr="00872D7E" w:rsidRDefault="000064AC" w:rsidP="00F27192">
            <w:pPr>
              <w:pStyle w:val="BodyTextIndent"/>
              <w:widowControl w:val="0"/>
              <w:spacing w:line="230" w:lineRule="auto"/>
              <w:ind w:right="12" w:firstLine="0"/>
              <w:jc w:val="right"/>
              <w:rPr>
                <w:sz w:val="15"/>
                <w:szCs w:val="15"/>
              </w:rPr>
            </w:pPr>
            <w:r w:rsidRPr="00872D7E">
              <w:rPr>
                <w:sz w:val="15"/>
                <w:szCs w:val="15"/>
              </w:rPr>
              <w:t>100</w:t>
            </w:r>
          </w:p>
        </w:tc>
      </w:tr>
      <w:tr w:rsidR="00F27192" w:rsidRPr="00872D7E" w14:paraId="23B62651" w14:textId="77777777" w:rsidTr="005B0A27">
        <w:trPr>
          <w:trHeight w:val="74"/>
        </w:trPr>
        <w:tc>
          <w:tcPr>
            <w:tcW w:w="425" w:type="pct"/>
            <w:gridSpan w:val="2"/>
          </w:tcPr>
          <w:p w14:paraId="3B5FF15B" w14:textId="5DE27269" w:rsidR="00F27192" w:rsidRPr="00872D7E" w:rsidRDefault="00F27192" w:rsidP="00F27192">
            <w:pPr>
              <w:pStyle w:val="Title"/>
              <w:widowControl w:val="0"/>
              <w:tabs>
                <w:tab w:val="clear" w:pos="4395"/>
              </w:tabs>
              <w:spacing w:line="230" w:lineRule="auto"/>
              <w:ind w:left="-108" w:right="-162"/>
              <w:jc w:val="left"/>
              <w:rPr>
                <w:rFonts w:ascii="Times New Roman" w:hAnsi="Times New Roman"/>
                <w:b w:val="0"/>
                <w:sz w:val="15"/>
                <w:szCs w:val="15"/>
              </w:rPr>
            </w:pPr>
            <w:r w:rsidRPr="00872D7E">
              <w:rPr>
                <w:rFonts w:ascii="Times New Roman" w:hAnsi="Times New Roman"/>
                <w:b w:val="0"/>
                <w:sz w:val="15"/>
                <w:szCs w:val="15"/>
              </w:rPr>
              <w:t>II.</w:t>
            </w:r>
          </w:p>
        </w:tc>
        <w:tc>
          <w:tcPr>
            <w:tcW w:w="4226" w:type="pct"/>
          </w:tcPr>
          <w:p w14:paraId="6ABAFF08" w14:textId="534C205A" w:rsidR="00F27192" w:rsidRPr="00872D7E" w:rsidRDefault="00F27192" w:rsidP="00F27192">
            <w:pPr>
              <w:widowControl w:val="0"/>
              <w:spacing w:line="230" w:lineRule="auto"/>
              <w:ind w:left="-108"/>
              <w:rPr>
                <w:sz w:val="15"/>
                <w:szCs w:val="15"/>
              </w:rPr>
            </w:pPr>
            <w:r w:rsidRPr="00872D7E">
              <w:rPr>
                <w:sz w:val="15"/>
                <w:szCs w:val="15"/>
              </w:rPr>
              <w:t>Bağımsız denetçi tarafından hazırlanan açıklama ve dipnotlar</w:t>
            </w:r>
          </w:p>
        </w:tc>
        <w:tc>
          <w:tcPr>
            <w:tcW w:w="349" w:type="pct"/>
            <w:vAlign w:val="bottom"/>
          </w:tcPr>
          <w:p w14:paraId="22D6C0FB" w14:textId="40ACD77F" w:rsidR="00F27192" w:rsidRPr="00872D7E" w:rsidRDefault="000064AC" w:rsidP="00F27192">
            <w:pPr>
              <w:pStyle w:val="BodyTextIndent"/>
              <w:widowControl w:val="0"/>
              <w:spacing w:line="230" w:lineRule="auto"/>
              <w:ind w:right="12" w:firstLine="0"/>
              <w:jc w:val="right"/>
              <w:rPr>
                <w:sz w:val="15"/>
                <w:szCs w:val="15"/>
              </w:rPr>
            </w:pPr>
            <w:r w:rsidRPr="00872D7E">
              <w:rPr>
                <w:sz w:val="15"/>
                <w:szCs w:val="15"/>
              </w:rPr>
              <w:t>100</w:t>
            </w:r>
          </w:p>
        </w:tc>
      </w:tr>
    </w:tbl>
    <w:p w14:paraId="5447BBE7" w14:textId="58FA6FE8" w:rsidR="00D66C2A" w:rsidRPr="00872D7E" w:rsidRDefault="00D66C2A" w:rsidP="002561C7">
      <w:pPr>
        <w:pStyle w:val="BodyTextIndent"/>
        <w:widowControl w:val="0"/>
        <w:tabs>
          <w:tab w:val="left" w:pos="561"/>
          <w:tab w:val="right" w:pos="9000"/>
        </w:tabs>
        <w:spacing w:line="230" w:lineRule="auto"/>
        <w:ind w:firstLine="0"/>
        <w:rPr>
          <w:sz w:val="14"/>
          <w:szCs w:val="14"/>
        </w:rPr>
        <w:sectPr w:rsidR="00D66C2A" w:rsidRPr="00872D7E" w:rsidSect="00263CF3">
          <w:headerReference w:type="first" r:id="rId22"/>
          <w:footerReference w:type="first" r:id="rId23"/>
          <w:pgSz w:w="11907" w:h="16840" w:code="9"/>
          <w:pgMar w:top="964" w:right="1134" w:bottom="567" w:left="1701" w:header="680" w:footer="624" w:gutter="0"/>
          <w:paperSrc w:first="7" w:other="7"/>
          <w:pgNumType w:start="2"/>
          <w:cols w:space="708"/>
          <w:titlePg/>
          <w:docGrid w:linePitch="360"/>
        </w:sectPr>
      </w:pPr>
    </w:p>
    <w:p w14:paraId="4870C7C5" w14:textId="356E297C" w:rsidR="002C6E36" w:rsidRPr="00872D7E" w:rsidRDefault="00F03980" w:rsidP="009F6E11">
      <w:pPr>
        <w:widowControl w:val="0"/>
        <w:tabs>
          <w:tab w:val="left" w:pos="720"/>
        </w:tabs>
        <w:spacing w:line="226" w:lineRule="auto"/>
        <w:ind w:left="720" w:hanging="720"/>
        <w:jc w:val="center"/>
        <w:rPr>
          <w:b/>
          <w:szCs w:val="20"/>
        </w:rPr>
      </w:pPr>
      <w:r w:rsidRPr="00872D7E">
        <w:rPr>
          <w:b/>
          <w:szCs w:val="20"/>
        </w:rPr>
        <w:lastRenderedPageBreak/>
        <w:t>BİRİNCİ BÖLÜM</w:t>
      </w:r>
    </w:p>
    <w:p w14:paraId="38B6F8C5" w14:textId="77777777" w:rsidR="00324789" w:rsidRPr="00872D7E" w:rsidRDefault="00324789" w:rsidP="009F6E11">
      <w:pPr>
        <w:widowControl w:val="0"/>
        <w:tabs>
          <w:tab w:val="left" w:pos="720"/>
        </w:tabs>
        <w:spacing w:line="226" w:lineRule="auto"/>
        <w:ind w:left="720" w:hanging="720"/>
        <w:jc w:val="both"/>
        <w:rPr>
          <w:b/>
          <w:sz w:val="16"/>
          <w:szCs w:val="16"/>
        </w:rPr>
      </w:pPr>
    </w:p>
    <w:p w14:paraId="29ACA46A" w14:textId="21C4E78D" w:rsidR="002C6E36" w:rsidRPr="00872D7E" w:rsidRDefault="000A2F98" w:rsidP="009F6E11">
      <w:pPr>
        <w:widowControl w:val="0"/>
        <w:tabs>
          <w:tab w:val="left" w:pos="720"/>
        </w:tabs>
        <w:spacing w:line="226" w:lineRule="auto"/>
        <w:ind w:left="720" w:hanging="720"/>
        <w:jc w:val="center"/>
        <w:rPr>
          <w:b/>
          <w:szCs w:val="20"/>
        </w:rPr>
      </w:pPr>
      <w:r w:rsidRPr="00872D7E">
        <w:rPr>
          <w:b/>
          <w:szCs w:val="20"/>
        </w:rPr>
        <w:t>BANKA HAKKINDA GENEL BİLGİLER</w:t>
      </w:r>
    </w:p>
    <w:p w14:paraId="4D830931" w14:textId="77777777" w:rsidR="00324789" w:rsidRPr="00872D7E" w:rsidRDefault="00324789" w:rsidP="009F6E11">
      <w:pPr>
        <w:widowControl w:val="0"/>
        <w:tabs>
          <w:tab w:val="left" w:pos="720"/>
        </w:tabs>
        <w:spacing w:line="226" w:lineRule="auto"/>
        <w:ind w:left="720" w:hanging="720"/>
        <w:jc w:val="both"/>
        <w:rPr>
          <w:b/>
          <w:sz w:val="16"/>
          <w:szCs w:val="16"/>
          <w:u w:val="single"/>
        </w:rPr>
      </w:pPr>
    </w:p>
    <w:p w14:paraId="5F2C33CC" w14:textId="43090763" w:rsidR="002C6E36" w:rsidRPr="00872D7E" w:rsidRDefault="000A2F98" w:rsidP="00212E4A">
      <w:pPr>
        <w:pStyle w:val="Heading4"/>
        <w:keepNext w:val="0"/>
        <w:widowControl w:val="0"/>
        <w:numPr>
          <w:ilvl w:val="0"/>
          <w:numId w:val="25"/>
        </w:numPr>
        <w:spacing w:line="226" w:lineRule="auto"/>
        <w:ind w:left="851" w:hanging="851"/>
        <w:rPr>
          <w:szCs w:val="20"/>
        </w:rPr>
      </w:pPr>
      <w:bookmarkStart w:id="8" w:name="_Hlk167274607"/>
      <w:r w:rsidRPr="00872D7E">
        <w:rPr>
          <w:szCs w:val="20"/>
        </w:rPr>
        <w:t>BANKA’NIN KURULUŞ TARİHİ, BAŞLANGIÇ STATÜSÜ, ANILAN STATÜDE MEYDANA GELEN DEĞİŞİKLİKLERİ İHTİVA EDEN TARİHÇESİ</w:t>
      </w:r>
    </w:p>
    <w:p w14:paraId="1070B042" w14:textId="77777777" w:rsidR="00324789" w:rsidRPr="00872D7E" w:rsidRDefault="00324789" w:rsidP="009F6E11">
      <w:pPr>
        <w:spacing w:line="226" w:lineRule="auto"/>
        <w:rPr>
          <w:sz w:val="16"/>
          <w:szCs w:val="16"/>
        </w:rPr>
      </w:pPr>
    </w:p>
    <w:p w14:paraId="27E5BF28" w14:textId="3E9A8461" w:rsidR="00030EB3" w:rsidRPr="00872D7E" w:rsidRDefault="00030EB3" w:rsidP="0015236F">
      <w:pPr>
        <w:ind w:left="851"/>
        <w:jc w:val="both"/>
      </w:pPr>
      <w:r w:rsidRPr="00872D7E">
        <w:t>Dünya Katılım Bankası Anonim Şirketi (Banka), 1984 yılında Adabank unvanıyla Anonim Şirket şeklinde kuruluşunu tamamlayarak 1985 yılında mevduat bankası olarak bankacılık faaliyetlerine başlamıştır.</w:t>
      </w:r>
      <w:r w:rsidR="00E20D73" w:rsidRPr="00872D7E">
        <w:t xml:space="preserve"> Adabank A.Ş. ortaklık hakları, yönetimi ve denetimi Bankacılık Düzenleme ve Denetleme Kurumu (BDDK) tarafından 25</w:t>
      </w:r>
      <w:r w:rsidR="008E70C0" w:rsidRPr="00872D7E">
        <w:t xml:space="preserve"> Temmuz </w:t>
      </w:r>
      <w:r w:rsidR="00E20D73" w:rsidRPr="00872D7E">
        <w:t>2003 tarihinde Tasarruf Mevduatı Sigorta Fonuna (TMSF) devredilmiştir. Tasarruf Mevduatı Sigorta Fonuna ait %96,6</w:t>
      </w:r>
      <w:r w:rsidR="002B67F3" w:rsidRPr="00872D7E">
        <w:t>8</w:t>
      </w:r>
      <w:r w:rsidR="004C6BEB" w:rsidRPr="00872D7E">
        <w:t>2340</w:t>
      </w:r>
      <w:r w:rsidR="00E20D73" w:rsidRPr="00872D7E">
        <w:t xml:space="preserve"> oranındaki hisse, ihale yoluyla satışa çıkarılmış, </w:t>
      </w:r>
      <w:r w:rsidR="003B079B" w:rsidRPr="00872D7E">
        <w:t xml:space="preserve">24 Mayıs 2023 </w:t>
      </w:r>
      <w:r w:rsidR="00EF017E" w:rsidRPr="00872D7E">
        <w:t xml:space="preserve">tarihinde </w:t>
      </w:r>
      <w:r w:rsidR="00E20D73" w:rsidRPr="00872D7E">
        <w:t xml:space="preserve">yapılan ihale sonucunda, </w:t>
      </w:r>
      <w:r w:rsidR="008E70C0" w:rsidRPr="00872D7E">
        <w:t>TMSF’ye ait hisselerin</w:t>
      </w:r>
      <w:r w:rsidR="00E20D73" w:rsidRPr="00872D7E">
        <w:t xml:space="preserve"> AHL </w:t>
      </w:r>
      <w:proofErr w:type="spellStart"/>
      <w:r w:rsidR="00E20D73" w:rsidRPr="00872D7E">
        <w:t>Ahlatcı</w:t>
      </w:r>
      <w:proofErr w:type="spellEnd"/>
      <w:r w:rsidR="00E20D73" w:rsidRPr="00872D7E">
        <w:t xml:space="preserve"> Finansal Yönetim </w:t>
      </w:r>
      <w:proofErr w:type="spellStart"/>
      <w:r w:rsidR="00E20D73" w:rsidRPr="00872D7E">
        <w:t>A.Ş.’ye</w:t>
      </w:r>
      <w:proofErr w:type="spellEnd"/>
      <w:r w:rsidR="00E20D73" w:rsidRPr="00872D7E">
        <w:t xml:space="preserve"> devredilmesine karar verilmiştir. Adabank A.Ş.’</w:t>
      </w:r>
      <w:proofErr w:type="spellStart"/>
      <w:r w:rsidR="00E20D73" w:rsidRPr="00872D7E">
        <w:t>nin</w:t>
      </w:r>
      <w:proofErr w:type="spellEnd"/>
      <w:r w:rsidR="00EF017E" w:rsidRPr="00872D7E">
        <w:t xml:space="preserve"> mevcut bankacılık niteliği olan mevduat bankası statüsü</w:t>
      </w:r>
      <w:r w:rsidR="00E20D73" w:rsidRPr="00872D7E">
        <w:t xml:space="preserve"> yapılan başvuru üzerine Bankacılık Düzenleme ve Denetleme Kurumu tarafından değerlendirilerek 23</w:t>
      </w:r>
      <w:r w:rsidR="008E70C0" w:rsidRPr="00872D7E">
        <w:t xml:space="preserve"> Kasım </w:t>
      </w:r>
      <w:r w:rsidR="00E20D73" w:rsidRPr="00872D7E">
        <w:t>2023 tarih ve 10729 sayılı kararıyla katılım bankası olarak değiştirilmiş ve bu karar 28</w:t>
      </w:r>
      <w:r w:rsidR="002B67F3" w:rsidRPr="00872D7E">
        <w:t xml:space="preserve"> Kasım </w:t>
      </w:r>
      <w:r w:rsidR="00E20D73" w:rsidRPr="00872D7E">
        <w:t>2023 tarihli ve 32383 sayılı Resmî Gazetede yayımlanarak yürürlüğe girmiştir.</w:t>
      </w:r>
      <w:r w:rsidR="008E70C0" w:rsidRPr="00872D7E">
        <w:t xml:space="preserve"> Banka’nın Adabank olan ticaret </w:t>
      </w:r>
      <w:proofErr w:type="spellStart"/>
      <w:r w:rsidR="008E70C0" w:rsidRPr="00872D7E">
        <w:t>ünvanı</w:t>
      </w:r>
      <w:proofErr w:type="spellEnd"/>
      <w:r w:rsidR="008E70C0" w:rsidRPr="00872D7E">
        <w:t xml:space="preserve"> 25 Aralık 2023 tarihinde yapılan Genel Kurul kararı ile Dünya Katılım Bankası Anonim Şirket’i olarak değiştirilmiştir.</w:t>
      </w:r>
    </w:p>
    <w:p w14:paraId="469224C0" w14:textId="77777777" w:rsidR="00030EB3" w:rsidRPr="00872D7E" w:rsidRDefault="00030EB3" w:rsidP="009F6E11">
      <w:pPr>
        <w:widowControl w:val="0"/>
        <w:spacing w:line="226" w:lineRule="auto"/>
        <w:rPr>
          <w:sz w:val="16"/>
          <w:szCs w:val="16"/>
        </w:rPr>
      </w:pPr>
    </w:p>
    <w:p w14:paraId="79B0200B" w14:textId="4C6D3363" w:rsidR="002C6E36" w:rsidRPr="00872D7E" w:rsidRDefault="000A2F98" w:rsidP="00212E4A">
      <w:pPr>
        <w:pStyle w:val="Heading4"/>
        <w:keepNext w:val="0"/>
        <w:widowControl w:val="0"/>
        <w:numPr>
          <w:ilvl w:val="0"/>
          <w:numId w:val="25"/>
        </w:numPr>
        <w:spacing w:line="226" w:lineRule="auto"/>
        <w:ind w:left="851" w:hanging="851"/>
        <w:rPr>
          <w:szCs w:val="20"/>
        </w:rPr>
      </w:pPr>
      <w:r w:rsidRPr="00872D7E">
        <w:rPr>
          <w:szCs w:val="20"/>
        </w:rPr>
        <w:t>BANKA’NIN SERMAYE YAPISI, YÖNETİM VE DENETİMİNİ DOĞRUDAN VEYA DOLAYLI OLARAK TEK BAŞINA VEYA BİRLİKTE ELİNDE BULUNDURAN ORTAKLARI, VARSA BU HUSUSLARDA YIL İÇİNDEKİ DEĞİŞİKLİKLER İLE DAHİL OLDUĞU GRUBA İLİŞKİN AÇIKLAMA</w:t>
      </w:r>
    </w:p>
    <w:p w14:paraId="7905AB0C" w14:textId="77777777" w:rsidR="00324789" w:rsidRPr="00872D7E" w:rsidRDefault="00324789" w:rsidP="009F6E11">
      <w:pPr>
        <w:spacing w:line="226" w:lineRule="auto"/>
        <w:ind w:left="-540"/>
        <w:rPr>
          <w:sz w:val="16"/>
          <w:szCs w:val="16"/>
        </w:rPr>
      </w:pPr>
    </w:p>
    <w:p w14:paraId="6BA3A358" w14:textId="62B425C8" w:rsidR="00420F11" w:rsidRPr="00872D7E" w:rsidRDefault="003B079B" w:rsidP="0015236F">
      <w:pPr>
        <w:ind w:left="851"/>
        <w:jc w:val="both"/>
      </w:pPr>
      <w:bookmarkStart w:id="9" w:name="_Hlk94776611"/>
      <w:r w:rsidRPr="00872D7E">
        <w:t xml:space="preserve">Tasarruf Mevduatı Sigorta Fonuna (Fon) ait %96,682340 oranındaki 966.823.400 adet hissesi ihale yoluyla satışa çıkarılmış, söz konusu satışa ilişkin ilanın 19.04.2023 tarihli ve 32168 sayılı </w:t>
      </w:r>
      <w:r w:rsidR="00B21AE8" w:rsidRPr="00872D7E">
        <w:t>Resmî</w:t>
      </w:r>
      <w:r w:rsidRPr="00872D7E">
        <w:t xml:space="preserve"> Gazetede yayımlanması ile satış sürecine başlanmıştır. Fon tarafından 24.05.2023 tarihinde kapalı zarf ve açık artırma usulüyle gerçekleştirilen ihale neticesinde Banka hisselerinin ilgili kurumlardan izin alınmak kaydıyla AHL Ahlatcı Finansal Yönetim AŞ’ye ihale edilmesine karar verilmiştir. Bu kapsamda Bankacılık Düzenleme ve Denetleme Kurulunun 14.08.2023 tarih ve 10649 sayılı kararıyla; Bankanın TMSF’ye ait %96,682340 oranındaki hissesinin AHL Ahlatcı Finansal Yönetim AŞ’ye devredilmesine, 5411 sayılı Bankacılık Kanununun 18’inci maddesinin birinci fıkrası ile Bankaların İzne Tabi İşlemleri ile Dolaylı Pay Sahipliğine İlişkin Yönetmeliğin 11’inci maddesinin (1) ve (2) numaralı fıkraları uyarınca izin verilmiştir. AHL Ahlatcı Finansal Yönetim AŞ’nin Bankadaki hissesi %96,682340 olmuş ve pay defterine işlenmiştir. </w:t>
      </w:r>
    </w:p>
    <w:p w14:paraId="341A4E5C" w14:textId="703CFE0E" w:rsidR="00DE4518" w:rsidRPr="00872D7E" w:rsidRDefault="00DE4518" w:rsidP="0015236F">
      <w:pPr>
        <w:ind w:left="851"/>
        <w:jc w:val="both"/>
      </w:pPr>
    </w:p>
    <w:p w14:paraId="6EEB48BB" w14:textId="73A7D93A" w:rsidR="00DE4518" w:rsidRPr="00872D7E" w:rsidRDefault="00DE4518" w:rsidP="0015236F">
      <w:pPr>
        <w:ind w:left="851"/>
        <w:jc w:val="both"/>
      </w:pPr>
      <w:r w:rsidRPr="00872D7E">
        <w:t>Bankanın, 2024 yılı içerisinde yaptığı sermaye artışlarına katılan pay sahiplerinin yaptığı nakdi sermaye ödemeleri sonucunda AHL Ahlatcı Finansal Yönetim AŞ’nin bankadaki payı %99,945, diğer pay sahiplerinin paylarının toplamı ise %0,055 olarak gerçekleşmiştir.</w:t>
      </w:r>
    </w:p>
    <w:p w14:paraId="44EAE75B" w14:textId="77777777" w:rsidR="00420F11" w:rsidRPr="00872D7E" w:rsidRDefault="00420F11" w:rsidP="0015236F">
      <w:pPr>
        <w:ind w:left="851"/>
        <w:jc w:val="both"/>
      </w:pPr>
    </w:p>
    <w:p w14:paraId="1CCEDA81" w14:textId="2CAF2CE9" w:rsidR="009B0E8B" w:rsidRPr="00872D7E" w:rsidRDefault="00326C4A" w:rsidP="0015236F">
      <w:pPr>
        <w:ind w:left="851"/>
        <w:jc w:val="both"/>
      </w:pPr>
      <w:bookmarkStart w:id="10" w:name="_Hlk170922084"/>
      <w:r w:rsidRPr="00872D7E">
        <w:t xml:space="preserve">Banka’nın sermayesi </w:t>
      </w:r>
      <w:r w:rsidR="00620AA3" w:rsidRPr="00872D7E">
        <w:t xml:space="preserve">cari dönem içerisinde </w:t>
      </w:r>
      <w:r w:rsidR="008B1F77" w:rsidRPr="00872D7E">
        <w:t>5</w:t>
      </w:r>
      <w:r w:rsidR="00620AA3" w:rsidRPr="00872D7E">
        <w:t>.</w:t>
      </w:r>
      <w:r w:rsidR="008B1F77" w:rsidRPr="00872D7E">
        <w:t>9</w:t>
      </w:r>
      <w:r w:rsidR="00620AA3" w:rsidRPr="00872D7E">
        <w:t xml:space="preserve">00.000 TL artırılarak </w:t>
      </w:r>
      <w:r w:rsidR="002F10C2" w:rsidRPr="00872D7E">
        <w:t>5.999.337</w:t>
      </w:r>
      <w:r w:rsidR="00620AA3" w:rsidRPr="00872D7E">
        <w:t xml:space="preserve"> TL’ye çıkarılmışt</w:t>
      </w:r>
      <w:r w:rsidR="003257AF" w:rsidRPr="00872D7E">
        <w:t>ı</w:t>
      </w:r>
      <w:r w:rsidR="00620AA3" w:rsidRPr="00872D7E">
        <w:t>r</w:t>
      </w:r>
      <w:r w:rsidR="00420F11" w:rsidRPr="00872D7E">
        <w:t>.</w:t>
      </w:r>
      <w:r w:rsidR="002E5063" w:rsidRPr="00872D7E">
        <w:t xml:space="preserve"> </w:t>
      </w:r>
    </w:p>
    <w:p w14:paraId="575ABCE3" w14:textId="77777777" w:rsidR="009B0E8B" w:rsidRPr="00872D7E" w:rsidRDefault="009B0E8B">
      <w:r w:rsidRPr="00872D7E">
        <w:br w:type="page"/>
      </w:r>
    </w:p>
    <w:p w14:paraId="1ED6AC4B" w14:textId="77777777" w:rsidR="009B0E8B" w:rsidRPr="00872D7E" w:rsidRDefault="009B0E8B" w:rsidP="009B0E8B">
      <w:pPr>
        <w:widowControl w:val="0"/>
        <w:tabs>
          <w:tab w:val="left" w:pos="720"/>
        </w:tabs>
        <w:spacing w:line="235" w:lineRule="auto"/>
        <w:ind w:left="720" w:hanging="720"/>
        <w:rPr>
          <w:b/>
          <w:szCs w:val="20"/>
        </w:rPr>
      </w:pPr>
      <w:r w:rsidRPr="00872D7E">
        <w:rPr>
          <w:b/>
          <w:szCs w:val="20"/>
        </w:rPr>
        <w:lastRenderedPageBreak/>
        <w:t>BANKA HAKKINDA GENEL BİLGİLER (Devamı)</w:t>
      </w:r>
    </w:p>
    <w:bookmarkEnd w:id="8"/>
    <w:bookmarkEnd w:id="10"/>
    <w:p w14:paraId="6FD150E5" w14:textId="77777777" w:rsidR="00326C4A" w:rsidRPr="00872D7E" w:rsidRDefault="00326C4A" w:rsidP="009F6E11">
      <w:pPr>
        <w:spacing w:line="226" w:lineRule="auto"/>
        <w:ind w:left="851"/>
        <w:rPr>
          <w:b/>
          <w:bCs/>
          <w:sz w:val="16"/>
          <w:szCs w:val="16"/>
        </w:rPr>
      </w:pPr>
    </w:p>
    <w:bookmarkEnd w:id="9"/>
    <w:p w14:paraId="67408589" w14:textId="14592F50" w:rsidR="002C6E36" w:rsidRPr="00872D7E" w:rsidRDefault="005A25EF" w:rsidP="009F6E11">
      <w:pPr>
        <w:pStyle w:val="Heading4"/>
        <w:keepNext w:val="0"/>
        <w:widowControl w:val="0"/>
        <w:spacing w:line="226" w:lineRule="auto"/>
        <w:ind w:left="851" w:hanging="851"/>
        <w:rPr>
          <w:szCs w:val="20"/>
        </w:rPr>
      </w:pPr>
      <w:r w:rsidRPr="00872D7E">
        <w:rPr>
          <w:szCs w:val="20"/>
        </w:rPr>
        <w:t>III</w:t>
      </w:r>
      <w:r w:rsidR="001664EA" w:rsidRPr="00872D7E">
        <w:rPr>
          <w:szCs w:val="20"/>
        </w:rPr>
        <w:t>.</w:t>
      </w:r>
      <w:r w:rsidR="001664EA" w:rsidRPr="00872D7E">
        <w:rPr>
          <w:szCs w:val="20"/>
        </w:rPr>
        <w:tab/>
      </w:r>
      <w:bookmarkStart w:id="11" w:name="_Hlk110848868"/>
      <w:r w:rsidR="000A2F98" w:rsidRPr="00872D7E">
        <w:rPr>
          <w:szCs w:val="20"/>
        </w:rPr>
        <w:t>BANKA’NIN YÖNETİM KURULU BAŞKAN VE ÜYELERİ, DENETİM KOMİTESİ ÜYELERİ İLE GENEL MÜDÜR VE YARDIMCILARININ VARSA BANKA’DA SAHİP OLDUKLARI PAYLARA VE SORUMLULUK ALANLARINA İLİŞKİN AÇIKLAMALAR</w:t>
      </w:r>
    </w:p>
    <w:p w14:paraId="1AB265BE" w14:textId="77777777" w:rsidR="00324789" w:rsidRPr="00872D7E" w:rsidRDefault="00324789" w:rsidP="009F6E11">
      <w:pPr>
        <w:spacing w:line="226" w:lineRule="auto"/>
        <w:rPr>
          <w:sz w:val="16"/>
          <w:szCs w:val="16"/>
        </w:rPr>
      </w:pPr>
    </w:p>
    <w:tbl>
      <w:tblPr>
        <w:tblW w:w="4526"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591"/>
        <w:gridCol w:w="4612"/>
      </w:tblGrid>
      <w:tr w:rsidR="00326C4A" w:rsidRPr="00872D7E" w14:paraId="5DA88F84" w14:textId="77777777" w:rsidTr="00232876">
        <w:trPr>
          <w:trHeight w:val="57"/>
        </w:trPr>
        <w:tc>
          <w:tcPr>
            <w:tcW w:w="2189" w:type="pct"/>
            <w:tcBorders>
              <w:top w:val="single" w:sz="4" w:space="0" w:color="auto"/>
              <w:left w:val="single" w:sz="4" w:space="0" w:color="auto"/>
              <w:right w:val="dotted" w:sz="4" w:space="0" w:color="auto"/>
            </w:tcBorders>
            <w:vAlign w:val="bottom"/>
            <w:hideMark/>
          </w:tcPr>
          <w:p w14:paraId="2DE72C16" w14:textId="77777777" w:rsidR="00326C4A" w:rsidRPr="00872D7E" w:rsidRDefault="00326C4A" w:rsidP="00FA634F">
            <w:pPr>
              <w:spacing w:line="226" w:lineRule="auto"/>
              <w:rPr>
                <w:b/>
                <w:bCs/>
                <w:sz w:val="16"/>
                <w:szCs w:val="16"/>
              </w:rPr>
            </w:pPr>
            <w:bookmarkStart w:id="12" w:name="_Hlk133316957"/>
            <w:r w:rsidRPr="00872D7E">
              <w:rPr>
                <w:b/>
                <w:bCs/>
                <w:sz w:val="16"/>
                <w:szCs w:val="16"/>
              </w:rPr>
              <w:t>İsmi</w:t>
            </w:r>
          </w:p>
        </w:tc>
        <w:tc>
          <w:tcPr>
            <w:tcW w:w="2811" w:type="pct"/>
            <w:tcBorders>
              <w:top w:val="single" w:sz="4" w:space="0" w:color="auto"/>
              <w:left w:val="dotted" w:sz="4" w:space="0" w:color="auto"/>
              <w:right w:val="single" w:sz="4" w:space="0" w:color="auto"/>
            </w:tcBorders>
            <w:vAlign w:val="bottom"/>
            <w:hideMark/>
          </w:tcPr>
          <w:p w14:paraId="18931565" w14:textId="77777777" w:rsidR="00326C4A" w:rsidRPr="00872D7E" w:rsidRDefault="00326C4A" w:rsidP="00FA634F">
            <w:pPr>
              <w:spacing w:line="226" w:lineRule="auto"/>
              <w:rPr>
                <w:b/>
                <w:bCs/>
                <w:sz w:val="16"/>
                <w:szCs w:val="16"/>
              </w:rPr>
            </w:pPr>
            <w:r w:rsidRPr="00872D7E">
              <w:rPr>
                <w:b/>
                <w:bCs/>
                <w:sz w:val="16"/>
                <w:szCs w:val="16"/>
              </w:rPr>
              <w:t>Görevi</w:t>
            </w:r>
          </w:p>
        </w:tc>
      </w:tr>
      <w:tr w:rsidR="00326C4A" w:rsidRPr="00872D7E" w14:paraId="33E3F95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2696B444" w14:textId="77777777" w:rsidR="00326C4A" w:rsidRPr="00872D7E" w:rsidRDefault="00326C4A" w:rsidP="00FA634F">
            <w:pPr>
              <w:spacing w:line="226" w:lineRule="auto"/>
              <w:rPr>
                <w:b/>
                <w:bCs/>
                <w:sz w:val="16"/>
                <w:szCs w:val="16"/>
                <w:vertAlign w:val="superscript"/>
              </w:rPr>
            </w:pPr>
            <w:r w:rsidRPr="00872D7E">
              <w:rPr>
                <w:b/>
                <w:bCs/>
                <w:sz w:val="16"/>
                <w:szCs w:val="16"/>
              </w:rPr>
              <w:t xml:space="preserve">Yönetim Kurulu Üyeleri </w:t>
            </w:r>
          </w:p>
        </w:tc>
        <w:tc>
          <w:tcPr>
            <w:tcW w:w="2811" w:type="pct"/>
            <w:tcBorders>
              <w:top w:val="dotted" w:sz="4" w:space="0" w:color="auto"/>
              <w:left w:val="dotted" w:sz="4" w:space="0" w:color="auto"/>
              <w:bottom w:val="dotted" w:sz="4" w:space="0" w:color="auto"/>
              <w:right w:val="single" w:sz="4" w:space="0" w:color="auto"/>
            </w:tcBorders>
            <w:vAlign w:val="bottom"/>
            <w:hideMark/>
          </w:tcPr>
          <w:p w14:paraId="7E8E4B19" w14:textId="77777777" w:rsidR="00326C4A" w:rsidRPr="00872D7E" w:rsidRDefault="00326C4A" w:rsidP="00FA634F">
            <w:pPr>
              <w:spacing w:line="226" w:lineRule="auto"/>
              <w:rPr>
                <w:b/>
                <w:bCs/>
                <w:sz w:val="16"/>
                <w:szCs w:val="16"/>
              </w:rPr>
            </w:pPr>
            <w:r w:rsidRPr="00872D7E">
              <w:rPr>
                <w:b/>
                <w:bCs/>
                <w:sz w:val="16"/>
                <w:szCs w:val="16"/>
              </w:rPr>
              <w:t> </w:t>
            </w:r>
          </w:p>
        </w:tc>
      </w:tr>
      <w:tr w:rsidR="00326C4A" w:rsidRPr="00872D7E" w14:paraId="0F0EF78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BE150CD" w14:textId="2C7EC2ED" w:rsidR="00326C4A" w:rsidRPr="00872D7E" w:rsidRDefault="00326C4A" w:rsidP="006954CA">
            <w:pPr>
              <w:spacing w:line="226" w:lineRule="auto"/>
              <w:ind w:left="49" w:firstLineChars="189" w:firstLine="302"/>
              <w:rPr>
                <w:sz w:val="16"/>
                <w:szCs w:val="16"/>
              </w:rPr>
            </w:pPr>
            <w:r w:rsidRPr="00872D7E">
              <w:rPr>
                <w:sz w:val="16"/>
                <w:szCs w:val="16"/>
              </w:rPr>
              <w:t>Ahmet AHLATCI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DE5AC48" w14:textId="0FE3DDB0" w:rsidR="00326C4A" w:rsidRPr="00872D7E" w:rsidRDefault="002E5063" w:rsidP="00FA634F">
            <w:pPr>
              <w:spacing w:line="226" w:lineRule="auto"/>
              <w:rPr>
                <w:sz w:val="16"/>
                <w:szCs w:val="16"/>
              </w:rPr>
            </w:pPr>
            <w:r w:rsidRPr="00872D7E">
              <w:rPr>
                <w:sz w:val="16"/>
                <w:szCs w:val="16"/>
              </w:rPr>
              <w:t xml:space="preserve">Yönetim Kurulu </w:t>
            </w:r>
            <w:r w:rsidR="00326C4A" w:rsidRPr="00872D7E">
              <w:rPr>
                <w:sz w:val="16"/>
                <w:szCs w:val="16"/>
              </w:rPr>
              <w:t>Başkan</w:t>
            </w:r>
            <w:r w:rsidRPr="00872D7E">
              <w:rPr>
                <w:sz w:val="16"/>
                <w:szCs w:val="16"/>
              </w:rPr>
              <w:t>ı</w:t>
            </w:r>
          </w:p>
        </w:tc>
      </w:tr>
      <w:tr w:rsidR="00326C4A" w:rsidRPr="00872D7E" w14:paraId="50ABE61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C3B1125" w14:textId="259309BD" w:rsidR="00326C4A" w:rsidRPr="00872D7E" w:rsidRDefault="00326C4A" w:rsidP="006954CA">
            <w:pPr>
              <w:spacing w:line="226" w:lineRule="auto"/>
              <w:ind w:left="49" w:firstLineChars="189" w:firstLine="302"/>
              <w:rPr>
                <w:sz w:val="16"/>
                <w:szCs w:val="16"/>
              </w:rPr>
            </w:pPr>
            <w:r w:rsidRPr="00872D7E">
              <w:rPr>
                <w:sz w:val="16"/>
                <w:szCs w:val="16"/>
              </w:rPr>
              <w:t>Murat UYSAL</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10D9222" w14:textId="5BC97E19" w:rsidR="00326C4A" w:rsidRPr="00872D7E" w:rsidRDefault="002E5063" w:rsidP="00FA634F">
            <w:pPr>
              <w:spacing w:line="226" w:lineRule="auto"/>
              <w:rPr>
                <w:sz w:val="16"/>
                <w:szCs w:val="16"/>
              </w:rPr>
            </w:pPr>
            <w:r w:rsidRPr="00872D7E">
              <w:rPr>
                <w:sz w:val="16"/>
                <w:szCs w:val="16"/>
              </w:rPr>
              <w:t xml:space="preserve">Yönetim Kurulu </w:t>
            </w:r>
            <w:r w:rsidR="00243A2C" w:rsidRPr="00872D7E">
              <w:rPr>
                <w:sz w:val="16"/>
                <w:szCs w:val="16"/>
              </w:rPr>
              <w:t>Başkan Vekili</w:t>
            </w:r>
          </w:p>
        </w:tc>
      </w:tr>
      <w:tr w:rsidR="00326C4A" w:rsidRPr="00872D7E" w14:paraId="7B973090"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97DF914" w14:textId="501330E0" w:rsidR="00326C4A" w:rsidRPr="00872D7E" w:rsidRDefault="00326C4A" w:rsidP="006954CA">
            <w:pPr>
              <w:spacing w:line="226" w:lineRule="auto"/>
              <w:ind w:left="49" w:firstLineChars="189" w:firstLine="302"/>
              <w:rPr>
                <w:sz w:val="16"/>
                <w:szCs w:val="16"/>
              </w:rPr>
            </w:pPr>
            <w:r w:rsidRPr="00872D7E">
              <w:rPr>
                <w:sz w:val="16"/>
                <w:szCs w:val="16"/>
              </w:rPr>
              <w:t>Ahmet Emin AHLATCI</w:t>
            </w:r>
          </w:p>
        </w:tc>
        <w:tc>
          <w:tcPr>
            <w:tcW w:w="2811" w:type="pct"/>
            <w:tcBorders>
              <w:top w:val="dotted" w:sz="4" w:space="0" w:color="auto"/>
              <w:left w:val="dotted" w:sz="4" w:space="0" w:color="auto"/>
              <w:bottom w:val="dotted" w:sz="4" w:space="0" w:color="auto"/>
              <w:right w:val="single" w:sz="4" w:space="0" w:color="auto"/>
            </w:tcBorders>
            <w:vAlign w:val="bottom"/>
          </w:tcPr>
          <w:p w14:paraId="70C974EA" w14:textId="12B2EE24" w:rsidR="00326C4A" w:rsidRPr="00872D7E" w:rsidRDefault="002E5063" w:rsidP="00FA634F">
            <w:pPr>
              <w:spacing w:line="226" w:lineRule="auto"/>
              <w:rPr>
                <w:sz w:val="16"/>
                <w:szCs w:val="16"/>
              </w:rPr>
            </w:pPr>
            <w:r w:rsidRPr="00872D7E">
              <w:rPr>
                <w:sz w:val="16"/>
                <w:szCs w:val="16"/>
              </w:rPr>
              <w:t xml:space="preserve">Yönetim Kurulu </w:t>
            </w:r>
            <w:r w:rsidR="00243A2C" w:rsidRPr="00872D7E">
              <w:rPr>
                <w:sz w:val="16"/>
                <w:szCs w:val="16"/>
              </w:rPr>
              <w:t>Üye</w:t>
            </w:r>
            <w:r w:rsidRPr="00872D7E">
              <w:rPr>
                <w:sz w:val="16"/>
                <w:szCs w:val="16"/>
              </w:rPr>
              <w:t>si</w:t>
            </w:r>
          </w:p>
        </w:tc>
      </w:tr>
      <w:tr w:rsidR="00326C4A" w:rsidRPr="00872D7E" w14:paraId="3950244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2F688F9" w14:textId="23A9B3A6" w:rsidR="00326C4A" w:rsidRPr="00872D7E" w:rsidRDefault="00326C4A" w:rsidP="006954CA">
            <w:pPr>
              <w:spacing w:line="226" w:lineRule="auto"/>
              <w:ind w:left="49" w:firstLineChars="189" w:firstLine="302"/>
              <w:rPr>
                <w:sz w:val="16"/>
                <w:szCs w:val="16"/>
              </w:rPr>
            </w:pPr>
            <w:r w:rsidRPr="00872D7E">
              <w:rPr>
                <w:sz w:val="16"/>
                <w:szCs w:val="16"/>
              </w:rPr>
              <w:t>Rıza Tuna TURAGAY</w:t>
            </w:r>
          </w:p>
        </w:tc>
        <w:tc>
          <w:tcPr>
            <w:tcW w:w="2811" w:type="pct"/>
            <w:tcBorders>
              <w:top w:val="dotted" w:sz="4" w:space="0" w:color="auto"/>
              <w:left w:val="dotted" w:sz="4" w:space="0" w:color="auto"/>
              <w:bottom w:val="dotted" w:sz="4" w:space="0" w:color="auto"/>
              <w:right w:val="single" w:sz="4" w:space="0" w:color="auto"/>
            </w:tcBorders>
            <w:vAlign w:val="bottom"/>
          </w:tcPr>
          <w:p w14:paraId="46F17CDE" w14:textId="7FFE7C95" w:rsidR="00326C4A" w:rsidRPr="00872D7E" w:rsidRDefault="002E5063" w:rsidP="00FA634F">
            <w:pPr>
              <w:spacing w:line="226" w:lineRule="auto"/>
              <w:rPr>
                <w:sz w:val="16"/>
                <w:szCs w:val="16"/>
              </w:rPr>
            </w:pPr>
            <w:r w:rsidRPr="00872D7E">
              <w:rPr>
                <w:sz w:val="16"/>
                <w:szCs w:val="16"/>
              </w:rPr>
              <w:t>Yönetim Kurulu Üyesi</w:t>
            </w:r>
          </w:p>
        </w:tc>
      </w:tr>
      <w:tr w:rsidR="00694797" w:rsidRPr="00872D7E" w14:paraId="2ADDCCA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1A3F9453" w14:textId="0E30C9B3" w:rsidR="00694797" w:rsidRPr="00872D7E" w:rsidRDefault="00694797" w:rsidP="006954CA">
            <w:pPr>
              <w:spacing w:line="226" w:lineRule="auto"/>
              <w:ind w:left="49" w:firstLineChars="189" w:firstLine="302"/>
              <w:rPr>
                <w:sz w:val="16"/>
                <w:szCs w:val="16"/>
              </w:rPr>
            </w:pPr>
            <w:r w:rsidRPr="00872D7E">
              <w:rPr>
                <w:sz w:val="16"/>
                <w:szCs w:val="16"/>
              </w:rPr>
              <w:t xml:space="preserve">Hüseyin Kadri </w:t>
            </w:r>
            <w:r w:rsidR="00CA5D0F" w:rsidRPr="00872D7E">
              <w:rPr>
                <w:sz w:val="16"/>
                <w:szCs w:val="16"/>
              </w:rPr>
              <w:t>SAMSUNLU</w:t>
            </w:r>
          </w:p>
        </w:tc>
        <w:tc>
          <w:tcPr>
            <w:tcW w:w="2811" w:type="pct"/>
            <w:tcBorders>
              <w:top w:val="dotted" w:sz="4" w:space="0" w:color="auto"/>
              <w:left w:val="dotted" w:sz="4" w:space="0" w:color="auto"/>
              <w:bottom w:val="dotted" w:sz="4" w:space="0" w:color="auto"/>
              <w:right w:val="single" w:sz="4" w:space="0" w:color="auto"/>
            </w:tcBorders>
            <w:vAlign w:val="bottom"/>
          </w:tcPr>
          <w:p w14:paraId="142A03BB" w14:textId="7ACA70CB" w:rsidR="00694797" w:rsidRPr="00872D7E" w:rsidRDefault="00694797" w:rsidP="00694797">
            <w:pPr>
              <w:spacing w:line="226" w:lineRule="auto"/>
              <w:rPr>
                <w:sz w:val="16"/>
                <w:szCs w:val="16"/>
              </w:rPr>
            </w:pPr>
            <w:r w:rsidRPr="00872D7E">
              <w:rPr>
                <w:sz w:val="16"/>
                <w:szCs w:val="16"/>
              </w:rPr>
              <w:t>Yönetim Kurulu Üyesi</w:t>
            </w:r>
          </w:p>
        </w:tc>
      </w:tr>
      <w:tr w:rsidR="00243A2C" w:rsidRPr="00872D7E" w14:paraId="5A8E3EC5"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F13A0A2" w14:textId="245189F8" w:rsidR="00243A2C" w:rsidRPr="00872D7E" w:rsidRDefault="00243A2C" w:rsidP="006954CA">
            <w:pPr>
              <w:spacing w:line="226" w:lineRule="auto"/>
              <w:ind w:left="49" w:firstLineChars="189" w:firstLine="302"/>
              <w:rPr>
                <w:sz w:val="16"/>
                <w:szCs w:val="16"/>
              </w:rPr>
            </w:pPr>
            <w:r w:rsidRPr="00872D7E">
              <w:rPr>
                <w:sz w:val="16"/>
                <w:szCs w:val="16"/>
              </w:rPr>
              <w:t>İkram GÖKTAŞ</w:t>
            </w:r>
          </w:p>
        </w:tc>
        <w:tc>
          <w:tcPr>
            <w:tcW w:w="2811" w:type="pct"/>
            <w:tcBorders>
              <w:top w:val="dotted" w:sz="4" w:space="0" w:color="auto"/>
              <w:left w:val="dotted" w:sz="4" w:space="0" w:color="auto"/>
              <w:bottom w:val="dotted" w:sz="4" w:space="0" w:color="auto"/>
              <w:right w:val="single" w:sz="4" w:space="0" w:color="auto"/>
            </w:tcBorders>
            <w:vAlign w:val="bottom"/>
          </w:tcPr>
          <w:p w14:paraId="6F062A36" w14:textId="6A6C4D36" w:rsidR="00243A2C" w:rsidRPr="00872D7E" w:rsidRDefault="002E5063" w:rsidP="00243A2C">
            <w:pPr>
              <w:spacing w:line="226" w:lineRule="auto"/>
              <w:rPr>
                <w:sz w:val="16"/>
                <w:szCs w:val="16"/>
              </w:rPr>
            </w:pPr>
            <w:r w:rsidRPr="00872D7E">
              <w:rPr>
                <w:sz w:val="16"/>
                <w:szCs w:val="16"/>
              </w:rPr>
              <w:t>Yönetim Kurulu Üyesi ve Genel Müdür</w:t>
            </w:r>
          </w:p>
        </w:tc>
      </w:tr>
      <w:tr w:rsidR="00243A2C" w:rsidRPr="00872D7E" w14:paraId="03B7848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641E7923" w14:textId="77777777" w:rsidR="00243A2C" w:rsidRPr="00872D7E" w:rsidRDefault="00243A2C" w:rsidP="00A2582E">
            <w:pPr>
              <w:spacing w:line="226" w:lineRule="auto"/>
              <w:rPr>
                <w:b/>
                <w:bCs/>
                <w:sz w:val="16"/>
                <w:szCs w:val="16"/>
              </w:rPr>
            </w:pPr>
            <w:r w:rsidRPr="00872D7E">
              <w:rPr>
                <w:b/>
                <w:bCs/>
                <w:sz w:val="16"/>
                <w:szCs w:val="16"/>
              </w:rPr>
              <w:t>Denetim Komitesi Üyeleri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001A1580" w14:textId="77777777" w:rsidR="00243A2C" w:rsidRPr="00872D7E" w:rsidRDefault="00243A2C" w:rsidP="00243A2C">
            <w:pPr>
              <w:spacing w:line="226" w:lineRule="auto"/>
              <w:rPr>
                <w:sz w:val="16"/>
                <w:szCs w:val="16"/>
              </w:rPr>
            </w:pPr>
            <w:r w:rsidRPr="00872D7E">
              <w:rPr>
                <w:sz w:val="16"/>
                <w:szCs w:val="16"/>
              </w:rPr>
              <w:t> </w:t>
            </w:r>
          </w:p>
        </w:tc>
      </w:tr>
      <w:tr w:rsidR="002E5063" w:rsidRPr="00872D7E" w14:paraId="3A8E0BE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264DFC7" w14:textId="2BDB68E6" w:rsidR="002E5063" w:rsidRPr="00872D7E" w:rsidRDefault="002E5063" w:rsidP="006954CA">
            <w:pPr>
              <w:spacing w:line="226" w:lineRule="auto"/>
              <w:ind w:left="49" w:firstLineChars="189" w:firstLine="302"/>
              <w:rPr>
                <w:sz w:val="16"/>
                <w:szCs w:val="16"/>
                <w:vertAlign w:val="superscript"/>
              </w:rPr>
            </w:pPr>
            <w:r w:rsidRPr="00872D7E">
              <w:rPr>
                <w:sz w:val="16"/>
                <w:szCs w:val="16"/>
              </w:rPr>
              <w:t>Abdül Latif ÖZKAYNAK</w:t>
            </w:r>
          </w:p>
        </w:tc>
        <w:tc>
          <w:tcPr>
            <w:tcW w:w="2811" w:type="pct"/>
            <w:tcBorders>
              <w:top w:val="dotted" w:sz="4" w:space="0" w:color="auto"/>
              <w:left w:val="dotted" w:sz="4" w:space="0" w:color="auto"/>
              <w:bottom w:val="dotted" w:sz="4" w:space="0" w:color="auto"/>
              <w:right w:val="single" w:sz="4" w:space="0" w:color="auto"/>
            </w:tcBorders>
            <w:vAlign w:val="bottom"/>
            <w:hideMark/>
          </w:tcPr>
          <w:p w14:paraId="62E9B33D" w14:textId="43290FC7" w:rsidR="002E5063" w:rsidRPr="00872D7E" w:rsidRDefault="002E5063" w:rsidP="002E5063">
            <w:pPr>
              <w:spacing w:line="226" w:lineRule="auto"/>
              <w:rPr>
                <w:sz w:val="16"/>
                <w:szCs w:val="16"/>
              </w:rPr>
            </w:pPr>
            <w:r w:rsidRPr="00872D7E">
              <w:rPr>
                <w:sz w:val="16"/>
                <w:szCs w:val="16"/>
              </w:rPr>
              <w:t xml:space="preserve">Yönetim Kurulu Üyesi ve Denetim Komitesi </w:t>
            </w:r>
            <w:r w:rsidR="003257AF" w:rsidRPr="00872D7E">
              <w:rPr>
                <w:sz w:val="16"/>
                <w:szCs w:val="16"/>
              </w:rPr>
              <w:t>Başkanı</w:t>
            </w:r>
          </w:p>
        </w:tc>
      </w:tr>
      <w:tr w:rsidR="002E5063" w:rsidRPr="00872D7E" w14:paraId="47CB1A7C"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66C86AB" w14:textId="07037683" w:rsidR="002E5063" w:rsidRPr="00872D7E" w:rsidRDefault="002E5063" w:rsidP="006954CA">
            <w:pPr>
              <w:spacing w:line="226" w:lineRule="auto"/>
              <w:ind w:left="49" w:firstLineChars="189" w:firstLine="302"/>
              <w:rPr>
                <w:b/>
                <w:bCs/>
                <w:sz w:val="16"/>
                <w:szCs w:val="16"/>
              </w:rPr>
            </w:pPr>
            <w:r w:rsidRPr="00872D7E">
              <w:rPr>
                <w:sz w:val="16"/>
                <w:szCs w:val="16"/>
              </w:rPr>
              <w:t>Mustafa ER</w:t>
            </w:r>
          </w:p>
        </w:tc>
        <w:tc>
          <w:tcPr>
            <w:tcW w:w="2811" w:type="pct"/>
            <w:tcBorders>
              <w:top w:val="dotted" w:sz="4" w:space="0" w:color="auto"/>
              <w:left w:val="dotted" w:sz="4" w:space="0" w:color="auto"/>
              <w:bottom w:val="dotted" w:sz="4" w:space="0" w:color="auto"/>
              <w:right w:val="single" w:sz="4" w:space="0" w:color="auto"/>
            </w:tcBorders>
            <w:vAlign w:val="bottom"/>
            <w:hideMark/>
          </w:tcPr>
          <w:p w14:paraId="3C774CD3" w14:textId="1550798A" w:rsidR="002E5063" w:rsidRPr="00872D7E" w:rsidRDefault="002E5063" w:rsidP="002E5063">
            <w:pPr>
              <w:spacing w:line="226" w:lineRule="auto"/>
              <w:rPr>
                <w:sz w:val="16"/>
                <w:szCs w:val="16"/>
              </w:rPr>
            </w:pPr>
            <w:r w:rsidRPr="00872D7E">
              <w:rPr>
                <w:sz w:val="16"/>
                <w:szCs w:val="16"/>
              </w:rPr>
              <w:t>Yönetim Kurulu Üyesi ve Denetim Komitesi Üyesi</w:t>
            </w:r>
          </w:p>
        </w:tc>
      </w:tr>
      <w:tr w:rsidR="002E5063" w:rsidRPr="00872D7E" w14:paraId="38DA224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55C3ED19" w14:textId="77777777" w:rsidR="002E5063" w:rsidRPr="00872D7E" w:rsidRDefault="002E5063" w:rsidP="00A2582E">
            <w:pPr>
              <w:spacing w:line="226" w:lineRule="auto"/>
              <w:rPr>
                <w:b/>
                <w:bCs/>
                <w:sz w:val="16"/>
                <w:szCs w:val="16"/>
              </w:rPr>
            </w:pPr>
            <w:r w:rsidRPr="00872D7E">
              <w:rPr>
                <w:b/>
                <w:bCs/>
                <w:sz w:val="16"/>
                <w:szCs w:val="16"/>
              </w:rPr>
              <w:t>Genel Müdür Yardımcıları</w:t>
            </w:r>
          </w:p>
        </w:tc>
        <w:tc>
          <w:tcPr>
            <w:tcW w:w="2811" w:type="pct"/>
            <w:tcBorders>
              <w:top w:val="dotted" w:sz="4" w:space="0" w:color="auto"/>
              <w:left w:val="dotted" w:sz="4" w:space="0" w:color="auto"/>
              <w:bottom w:val="dotted" w:sz="4" w:space="0" w:color="auto"/>
              <w:right w:val="single" w:sz="4" w:space="0" w:color="auto"/>
            </w:tcBorders>
            <w:vAlign w:val="bottom"/>
            <w:hideMark/>
          </w:tcPr>
          <w:p w14:paraId="586BC10E" w14:textId="77777777" w:rsidR="002E5063" w:rsidRPr="00872D7E" w:rsidRDefault="002E5063" w:rsidP="002E5063">
            <w:pPr>
              <w:spacing w:line="226" w:lineRule="auto"/>
              <w:rPr>
                <w:sz w:val="16"/>
                <w:szCs w:val="16"/>
              </w:rPr>
            </w:pPr>
            <w:r w:rsidRPr="00872D7E">
              <w:rPr>
                <w:sz w:val="16"/>
                <w:szCs w:val="16"/>
              </w:rPr>
              <w:t> </w:t>
            </w:r>
          </w:p>
        </w:tc>
      </w:tr>
      <w:tr w:rsidR="002E5063" w:rsidRPr="00872D7E" w14:paraId="334074E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23620916" w14:textId="07413F70" w:rsidR="002E5063" w:rsidRPr="00872D7E" w:rsidRDefault="002E5063" w:rsidP="006954CA">
            <w:pPr>
              <w:spacing w:line="226" w:lineRule="auto"/>
              <w:ind w:left="49" w:firstLineChars="189" w:firstLine="302"/>
              <w:rPr>
                <w:sz w:val="16"/>
                <w:szCs w:val="16"/>
              </w:rPr>
            </w:pPr>
            <w:r w:rsidRPr="00872D7E">
              <w:rPr>
                <w:sz w:val="16"/>
                <w:szCs w:val="16"/>
              </w:rPr>
              <w:t>Ahmet PARLAK</w:t>
            </w:r>
          </w:p>
        </w:tc>
        <w:tc>
          <w:tcPr>
            <w:tcW w:w="2811" w:type="pct"/>
            <w:tcBorders>
              <w:top w:val="dotted" w:sz="4" w:space="0" w:color="auto"/>
              <w:left w:val="dotted" w:sz="4" w:space="0" w:color="auto"/>
              <w:bottom w:val="dotted" w:sz="4" w:space="0" w:color="auto"/>
              <w:right w:val="single" w:sz="4" w:space="0" w:color="auto"/>
            </w:tcBorders>
            <w:vAlign w:val="bottom"/>
          </w:tcPr>
          <w:p w14:paraId="03035E2C" w14:textId="45E6ED74" w:rsidR="002E5063" w:rsidRPr="00872D7E" w:rsidRDefault="002E5063" w:rsidP="002E5063">
            <w:pPr>
              <w:spacing w:line="226" w:lineRule="auto"/>
              <w:rPr>
                <w:sz w:val="16"/>
                <w:szCs w:val="16"/>
              </w:rPr>
            </w:pPr>
            <w:r w:rsidRPr="00872D7E">
              <w:rPr>
                <w:sz w:val="16"/>
                <w:szCs w:val="16"/>
              </w:rPr>
              <w:t>Satış ve Pazarlama</w:t>
            </w:r>
          </w:p>
        </w:tc>
      </w:tr>
      <w:tr w:rsidR="002E5063" w:rsidRPr="00872D7E" w14:paraId="567E848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AD1C798" w14:textId="3EBADA3C" w:rsidR="002E5063" w:rsidRPr="00872D7E" w:rsidRDefault="002E5063" w:rsidP="006954CA">
            <w:pPr>
              <w:spacing w:line="226" w:lineRule="auto"/>
              <w:ind w:left="49" w:firstLineChars="189" w:firstLine="302"/>
              <w:rPr>
                <w:sz w:val="16"/>
                <w:szCs w:val="16"/>
              </w:rPr>
            </w:pPr>
            <w:r w:rsidRPr="00872D7E">
              <w:rPr>
                <w:sz w:val="16"/>
                <w:szCs w:val="16"/>
              </w:rPr>
              <w:t>Alpaslan ÖZEN</w:t>
            </w:r>
          </w:p>
        </w:tc>
        <w:tc>
          <w:tcPr>
            <w:tcW w:w="2811" w:type="pct"/>
            <w:tcBorders>
              <w:top w:val="dotted" w:sz="4" w:space="0" w:color="auto"/>
              <w:left w:val="dotted" w:sz="4" w:space="0" w:color="auto"/>
              <w:bottom w:val="dotted" w:sz="4" w:space="0" w:color="auto"/>
              <w:right w:val="single" w:sz="4" w:space="0" w:color="auto"/>
            </w:tcBorders>
            <w:vAlign w:val="bottom"/>
          </w:tcPr>
          <w:p w14:paraId="6CE2DE7E" w14:textId="5A87C0DA" w:rsidR="002E5063" w:rsidRPr="00872D7E" w:rsidRDefault="002E5063" w:rsidP="002E5063">
            <w:pPr>
              <w:spacing w:line="226" w:lineRule="auto"/>
              <w:rPr>
                <w:sz w:val="16"/>
                <w:szCs w:val="16"/>
              </w:rPr>
            </w:pPr>
            <w:r w:rsidRPr="00872D7E">
              <w:rPr>
                <w:sz w:val="16"/>
                <w:szCs w:val="16"/>
              </w:rPr>
              <w:t>Hukuk ve Krediler</w:t>
            </w:r>
          </w:p>
        </w:tc>
      </w:tr>
      <w:tr w:rsidR="002E5063" w:rsidRPr="00872D7E" w14:paraId="027F340D"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EAF1984" w14:textId="6BAA5E75" w:rsidR="002E5063" w:rsidRPr="00872D7E" w:rsidRDefault="002E5063" w:rsidP="006954CA">
            <w:pPr>
              <w:spacing w:line="226" w:lineRule="auto"/>
              <w:ind w:left="49" w:firstLineChars="189" w:firstLine="302"/>
              <w:rPr>
                <w:sz w:val="16"/>
                <w:szCs w:val="16"/>
              </w:rPr>
            </w:pPr>
            <w:r w:rsidRPr="00872D7E">
              <w:rPr>
                <w:sz w:val="16"/>
                <w:szCs w:val="16"/>
              </w:rPr>
              <w:t xml:space="preserve">Dr. </w:t>
            </w:r>
            <w:proofErr w:type="spellStart"/>
            <w:r w:rsidRPr="00872D7E">
              <w:rPr>
                <w:sz w:val="16"/>
                <w:szCs w:val="16"/>
              </w:rPr>
              <w:t>Eyyüp</w:t>
            </w:r>
            <w:proofErr w:type="spellEnd"/>
            <w:r w:rsidRPr="00872D7E">
              <w:rPr>
                <w:sz w:val="16"/>
                <w:szCs w:val="16"/>
              </w:rPr>
              <w:t xml:space="preserve"> YILMAZ</w:t>
            </w:r>
          </w:p>
        </w:tc>
        <w:tc>
          <w:tcPr>
            <w:tcW w:w="2811" w:type="pct"/>
            <w:tcBorders>
              <w:top w:val="dotted" w:sz="4" w:space="0" w:color="auto"/>
              <w:left w:val="dotted" w:sz="4" w:space="0" w:color="auto"/>
              <w:bottom w:val="dotted" w:sz="4" w:space="0" w:color="auto"/>
              <w:right w:val="single" w:sz="4" w:space="0" w:color="auto"/>
            </w:tcBorders>
            <w:vAlign w:val="bottom"/>
          </w:tcPr>
          <w:p w14:paraId="2E72BB11" w14:textId="69DB8FC8" w:rsidR="002E5063" w:rsidRPr="00872D7E" w:rsidRDefault="002E5063" w:rsidP="002E5063">
            <w:pPr>
              <w:spacing w:line="226" w:lineRule="auto"/>
              <w:rPr>
                <w:sz w:val="16"/>
                <w:szCs w:val="16"/>
              </w:rPr>
            </w:pPr>
            <w:r w:rsidRPr="00872D7E">
              <w:rPr>
                <w:sz w:val="16"/>
                <w:szCs w:val="16"/>
              </w:rPr>
              <w:t>İç Sistemler</w:t>
            </w:r>
          </w:p>
        </w:tc>
      </w:tr>
      <w:tr w:rsidR="002E5063" w:rsidRPr="00872D7E" w14:paraId="7437427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64FC8507" w14:textId="61E406C9" w:rsidR="002E5063" w:rsidRPr="00872D7E" w:rsidRDefault="00D05CB5" w:rsidP="006954CA">
            <w:pPr>
              <w:spacing w:line="226" w:lineRule="auto"/>
              <w:ind w:left="49" w:firstLineChars="189" w:firstLine="302"/>
              <w:rPr>
                <w:sz w:val="16"/>
                <w:szCs w:val="16"/>
              </w:rPr>
            </w:pPr>
            <w:r w:rsidRPr="00872D7E">
              <w:rPr>
                <w:sz w:val="16"/>
                <w:szCs w:val="16"/>
              </w:rPr>
              <w:t xml:space="preserve">Dr. </w:t>
            </w:r>
            <w:r w:rsidR="002E5063" w:rsidRPr="00872D7E">
              <w:rPr>
                <w:sz w:val="16"/>
                <w:szCs w:val="16"/>
              </w:rPr>
              <w:t>İrfan GÜLTAŞ</w:t>
            </w:r>
          </w:p>
        </w:tc>
        <w:tc>
          <w:tcPr>
            <w:tcW w:w="2811" w:type="pct"/>
            <w:tcBorders>
              <w:top w:val="dotted" w:sz="4" w:space="0" w:color="auto"/>
              <w:left w:val="dotted" w:sz="4" w:space="0" w:color="auto"/>
              <w:bottom w:val="dotted" w:sz="4" w:space="0" w:color="auto"/>
              <w:right w:val="single" w:sz="4" w:space="0" w:color="auto"/>
            </w:tcBorders>
            <w:vAlign w:val="bottom"/>
          </w:tcPr>
          <w:p w14:paraId="46884120" w14:textId="41EE6556" w:rsidR="002E5063" w:rsidRPr="00872D7E" w:rsidRDefault="002E5063" w:rsidP="002E5063">
            <w:pPr>
              <w:spacing w:line="226" w:lineRule="auto"/>
              <w:rPr>
                <w:sz w:val="16"/>
                <w:szCs w:val="16"/>
              </w:rPr>
            </w:pPr>
            <w:r w:rsidRPr="00872D7E">
              <w:rPr>
                <w:sz w:val="16"/>
                <w:szCs w:val="16"/>
              </w:rPr>
              <w:t>Yetenek ve Kültür</w:t>
            </w:r>
          </w:p>
        </w:tc>
      </w:tr>
      <w:tr w:rsidR="002E5063" w:rsidRPr="00872D7E" w14:paraId="23493FAB"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6FDA0E8" w14:textId="771EA2C4" w:rsidR="002E5063" w:rsidRPr="00872D7E" w:rsidRDefault="002E5063" w:rsidP="006954CA">
            <w:pPr>
              <w:spacing w:line="226" w:lineRule="auto"/>
              <w:ind w:left="49" w:firstLineChars="189" w:firstLine="302"/>
              <w:rPr>
                <w:sz w:val="16"/>
                <w:szCs w:val="16"/>
              </w:rPr>
            </w:pPr>
            <w:r w:rsidRPr="00872D7E">
              <w:rPr>
                <w:sz w:val="16"/>
                <w:szCs w:val="16"/>
              </w:rPr>
              <w:t>Kadir DOĞUERİ</w:t>
            </w:r>
          </w:p>
        </w:tc>
        <w:tc>
          <w:tcPr>
            <w:tcW w:w="2811" w:type="pct"/>
            <w:tcBorders>
              <w:top w:val="dotted" w:sz="4" w:space="0" w:color="auto"/>
              <w:left w:val="dotted" w:sz="4" w:space="0" w:color="auto"/>
              <w:bottom w:val="dotted" w:sz="4" w:space="0" w:color="auto"/>
              <w:right w:val="single" w:sz="4" w:space="0" w:color="auto"/>
            </w:tcBorders>
            <w:vAlign w:val="bottom"/>
          </w:tcPr>
          <w:p w14:paraId="4B129775" w14:textId="08E4E440" w:rsidR="002E5063" w:rsidRPr="00872D7E" w:rsidRDefault="002E5063" w:rsidP="002E5063">
            <w:pPr>
              <w:spacing w:line="226" w:lineRule="auto"/>
              <w:rPr>
                <w:sz w:val="16"/>
                <w:szCs w:val="16"/>
              </w:rPr>
            </w:pPr>
            <w:r w:rsidRPr="00872D7E">
              <w:rPr>
                <w:sz w:val="16"/>
                <w:szCs w:val="16"/>
              </w:rPr>
              <w:t>Operasyon</w:t>
            </w:r>
          </w:p>
        </w:tc>
      </w:tr>
      <w:tr w:rsidR="002E5063" w:rsidRPr="00872D7E" w14:paraId="544DE49B" w14:textId="77777777" w:rsidTr="00232876">
        <w:trPr>
          <w:trHeight w:val="57"/>
        </w:trPr>
        <w:tc>
          <w:tcPr>
            <w:tcW w:w="2189" w:type="pct"/>
            <w:tcBorders>
              <w:top w:val="dotted" w:sz="4" w:space="0" w:color="auto"/>
              <w:left w:val="single" w:sz="4" w:space="0" w:color="auto"/>
              <w:bottom w:val="single" w:sz="4" w:space="0" w:color="auto"/>
              <w:right w:val="dotted" w:sz="4" w:space="0" w:color="auto"/>
            </w:tcBorders>
            <w:vAlign w:val="bottom"/>
          </w:tcPr>
          <w:p w14:paraId="4C1C46A2" w14:textId="3A25C849" w:rsidR="002E5063" w:rsidRPr="00872D7E" w:rsidRDefault="002E5063" w:rsidP="006954CA">
            <w:pPr>
              <w:spacing w:line="226" w:lineRule="auto"/>
              <w:ind w:left="49" w:firstLineChars="189" w:firstLine="302"/>
              <w:rPr>
                <w:sz w:val="16"/>
                <w:szCs w:val="16"/>
              </w:rPr>
            </w:pPr>
            <w:proofErr w:type="gramStart"/>
            <w:r w:rsidRPr="00872D7E">
              <w:rPr>
                <w:sz w:val="16"/>
                <w:szCs w:val="16"/>
              </w:rPr>
              <w:t>Kamil</w:t>
            </w:r>
            <w:proofErr w:type="gramEnd"/>
            <w:r w:rsidRPr="00872D7E">
              <w:rPr>
                <w:sz w:val="16"/>
                <w:szCs w:val="16"/>
              </w:rPr>
              <w:t xml:space="preserve"> KİBAR</w:t>
            </w:r>
          </w:p>
        </w:tc>
        <w:tc>
          <w:tcPr>
            <w:tcW w:w="2811" w:type="pct"/>
            <w:tcBorders>
              <w:top w:val="dotted" w:sz="4" w:space="0" w:color="auto"/>
              <w:left w:val="dotted" w:sz="4" w:space="0" w:color="auto"/>
              <w:bottom w:val="single" w:sz="4" w:space="0" w:color="auto"/>
              <w:right w:val="single" w:sz="4" w:space="0" w:color="auto"/>
            </w:tcBorders>
            <w:vAlign w:val="bottom"/>
          </w:tcPr>
          <w:p w14:paraId="73CE8193" w14:textId="4068971C" w:rsidR="002E5063" w:rsidRPr="00872D7E" w:rsidRDefault="002E5063" w:rsidP="002E5063">
            <w:pPr>
              <w:spacing w:line="226" w:lineRule="auto"/>
              <w:rPr>
                <w:sz w:val="16"/>
                <w:szCs w:val="16"/>
              </w:rPr>
            </w:pPr>
            <w:r w:rsidRPr="00872D7E">
              <w:rPr>
                <w:sz w:val="16"/>
                <w:szCs w:val="16"/>
              </w:rPr>
              <w:t>Hazine</w:t>
            </w:r>
            <w:r w:rsidR="001C25EA" w:rsidRPr="00872D7E">
              <w:rPr>
                <w:sz w:val="16"/>
                <w:szCs w:val="16"/>
              </w:rPr>
              <w:t xml:space="preserve"> ve Uluslararası Bankacılık</w:t>
            </w:r>
          </w:p>
        </w:tc>
      </w:tr>
      <w:bookmarkEnd w:id="12"/>
    </w:tbl>
    <w:p w14:paraId="167DF912" w14:textId="77777777" w:rsidR="005838EC" w:rsidRPr="00872D7E" w:rsidRDefault="005838EC" w:rsidP="00243A2C">
      <w:pPr>
        <w:widowControl w:val="0"/>
        <w:spacing w:line="226" w:lineRule="auto"/>
        <w:ind w:left="851"/>
        <w:jc w:val="both"/>
        <w:rPr>
          <w:szCs w:val="20"/>
        </w:rPr>
      </w:pPr>
    </w:p>
    <w:p w14:paraId="71937F94" w14:textId="3D728938" w:rsidR="00243A2C" w:rsidRPr="00872D7E" w:rsidRDefault="00243A2C" w:rsidP="00243A2C">
      <w:pPr>
        <w:widowControl w:val="0"/>
        <w:spacing w:line="226" w:lineRule="auto"/>
        <w:ind w:left="851"/>
        <w:jc w:val="both"/>
        <w:rPr>
          <w:szCs w:val="20"/>
        </w:rPr>
      </w:pPr>
      <w:r w:rsidRPr="00872D7E">
        <w:rPr>
          <w:szCs w:val="20"/>
        </w:rPr>
        <w:t xml:space="preserve">Banka’nın denetim komitesi üyeleri ile genel müdür ve yardımcılarının Banka’da sahip oldukları pay bulunmamaktadır. Yönetim kurulu başkan ve üyelerinin Bankada sahip oldukları doğrudan pay bulunmamakla birlikte, Yönetim Kurulu Başkanı Ahmet </w:t>
      </w:r>
      <w:proofErr w:type="spellStart"/>
      <w:r w:rsidRPr="00872D7E">
        <w:rPr>
          <w:szCs w:val="20"/>
        </w:rPr>
        <w:t>A</w:t>
      </w:r>
      <w:r w:rsidR="00057F69" w:rsidRPr="00872D7E">
        <w:rPr>
          <w:szCs w:val="20"/>
        </w:rPr>
        <w:t>H</w:t>
      </w:r>
      <w:r w:rsidRPr="00872D7E">
        <w:rPr>
          <w:szCs w:val="20"/>
        </w:rPr>
        <w:t>LATCI’nın</w:t>
      </w:r>
      <w:proofErr w:type="spellEnd"/>
      <w:r w:rsidR="007906E7" w:rsidRPr="00872D7E">
        <w:rPr>
          <w:szCs w:val="20"/>
        </w:rPr>
        <w:t xml:space="preserve"> yaklaşık</w:t>
      </w:r>
      <w:r w:rsidRPr="00872D7E">
        <w:rPr>
          <w:szCs w:val="20"/>
        </w:rPr>
        <w:t xml:space="preserve"> %</w:t>
      </w:r>
      <w:r w:rsidR="007906E7" w:rsidRPr="00872D7E">
        <w:rPr>
          <w:szCs w:val="20"/>
        </w:rPr>
        <w:t>69</w:t>
      </w:r>
      <w:r w:rsidR="00884A2C" w:rsidRPr="00872D7E">
        <w:rPr>
          <w:szCs w:val="20"/>
        </w:rPr>
        <w:t>,</w:t>
      </w:r>
      <w:r w:rsidR="007906E7" w:rsidRPr="00872D7E">
        <w:rPr>
          <w:szCs w:val="20"/>
        </w:rPr>
        <w:t>09</w:t>
      </w:r>
      <w:r w:rsidRPr="00872D7E">
        <w:rPr>
          <w:szCs w:val="20"/>
        </w:rPr>
        <w:t xml:space="preserve"> ve Yönetim Kurulu Üyesi Ahmet Emin </w:t>
      </w:r>
      <w:proofErr w:type="spellStart"/>
      <w:r w:rsidRPr="00872D7E">
        <w:rPr>
          <w:szCs w:val="20"/>
        </w:rPr>
        <w:t>AHLATCI’nın</w:t>
      </w:r>
      <w:proofErr w:type="spellEnd"/>
      <w:r w:rsidR="007906E7" w:rsidRPr="00872D7E">
        <w:rPr>
          <w:szCs w:val="20"/>
        </w:rPr>
        <w:t xml:space="preserve"> yaklaşık</w:t>
      </w:r>
      <w:r w:rsidRPr="00872D7E">
        <w:rPr>
          <w:szCs w:val="20"/>
        </w:rPr>
        <w:t xml:space="preserve"> %</w:t>
      </w:r>
      <w:r w:rsidR="007906E7" w:rsidRPr="00872D7E">
        <w:rPr>
          <w:szCs w:val="20"/>
        </w:rPr>
        <w:t>12</w:t>
      </w:r>
      <w:r w:rsidR="00884A2C" w:rsidRPr="00872D7E">
        <w:rPr>
          <w:szCs w:val="20"/>
        </w:rPr>
        <w:t>,0</w:t>
      </w:r>
      <w:r w:rsidR="007906E7" w:rsidRPr="00872D7E">
        <w:rPr>
          <w:szCs w:val="20"/>
        </w:rPr>
        <w:t>9</w:t>
      </w:r>
      <w:r w:rsidRPr="00872D7E">
        <w:rPr>
          <w:szCs w:val="20"/>
        </w:rPr>
        <w:t xml:space="preserve"> oranında dolaylı payı bulunmaktadır.</w:t>
      </w:r>
    </w:p>
    <w:p w14:paraId="4DB5D4C8" w14:textId="53B0CC87" w:rsidR="000A2F98" w:rsidRPr="00872D7E" w:rsidRDefault="000A2F98" w:rsidP="00243A2C">
      <w:pPr>
        <w:widowControl w:val="0"/>
        <w:spacing w:line="226" w:lineRule="auto"/>
        <w:ind w:left="851"/>
        <w:jc w:val="both"/>
        <w:rPr>
          <w:szCs w:val="20"/>
        </w:rPr>
      </w:pPr>
    </w:p>
    <w:p w14:paraId="5334B621" w14:textId="4358DC52" w:rsidR="000A2F98" w:rsidRPr="00872D7E" w:rsidRDefault="000A2F98" w:rsidP="00212E4A">
      <w:pPr>
        <w:pStyle w:val="ListParagraph"/>
        <w:widowControl w:val="0"/>
        <w:numPr>
          <w:ilvl w:val="0"/>
          <w:numId w:val="26"/>
        </w:numPr>
        <w:spacing w:line="235" w:lineRule="auto"/>
        <w:ind w:left="851" w:hanging="851"/>
        <w:jc w:val="both"/>
        <w:rPr>
          <w:b/>
          <w:szCs w:val="20"/>
        </w:rPr>
      </w:pPr>
      <w:r w:rsidRPr="00872D7E">
        <w:rPr>
          <w:b/>
          <w:szCs w:val="20"/>
        </w:rPr>
        <w:t>BANKA’DA NİTELİKLİ PAYA SAHİP KİŞİ VE KURULUŞLARA İLİŞKİN AÇIKLAMALAR</w:t>
      </w:r>
    </w:p>
    <w:p w14:paraId="283BF91D" w14:textId="77777777" w:rsidR="000A2F98" w:rsidRPr="00872D7E" w:rsidRDefault="000A2F98" w:rsidP="000A2F98">
      <w:pPr>
        <w:widowControl w:val="0"/>
        <w:spacing w:line="235" w:lineRule="auto"/>
        <w:ind w:left="-540" w:right="-326"/>
        <w:jc w:val="both"/>
        <w:rPr>
          <w:b/>
          <w:sz w:val="16"/>
          <w:szCs w:val="16"/>
        </w:rPr>
      </w:pPr>
    </w:p>
    <w:tbl>
      <w:tblPr>
        <w:tblW w:w="454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06"/>
        <w:gridCol w:w="1495"/>
        <w:gridCol w:w="1497"/>
        <w:gridCol w:w="1383"/>
        <w:gridCol w:w="1653"/>
      </w:tblGrid>
      <w:tr w:rsidR="000A2F98" w:rsidRPr="00872D7E" w14:paraId="47563D75" w14:textId="77777777" w:rsidTr="00232876">
        <w:trPr>
          <w:trHeight w:val="217"/>
        </w:trPr>
        <w:tc>
          <w:tcPr>
            <w:tcW w:w="1339" w:type="pct"/>
            <w:tcBorders>
              <w:top w:val="single" w:sz="4" w:space="0" w:color="auto"/>
              <w:bottom w:val="single" w:sz="4" w:space="0" w:color="auto"/>
            </w:tcBorders>
            <w:noWrap/>
            <w:vAlign w:val="bottom"/>
          </w:tcPr>
          <w:p w14:paraId="1FD0A14F" w14:textId="77777777" w:rsidR="000A2F98" w:rsidRPr="00872D7E" w:rsidRDefault="000A2F98" w:rsidP="00FA634F">
            <w:pPr>
              <w:spacing w:line="226" w:lineRule="auto"/>
              <w:ind w:left="-57"/>
              <w:jc w:val="both"/>
              <w:rPr>
                <w:rFonts w:eastAsia="Arial Unicode MS"/>
                <w:b/>
                <w:sz w:val="18"/>
              </w:rPr>
            </w:pPr>
            <w:r w:rsidRPr="00872D7E">
              <w:rPr>
                <w:rFonts w:eastAsia="Arial Unicode MS"/>
                <w:b/>
                <w:sz w:val="18"/>
              </w:rPr>
              <w:t xml:space="preserve">Ad </w:t>
            </w:r>
            <w:proofErr w:type="spellStart"/>
            <w:r w:rsidRPr="00872D7E">
              <w:rPr>
                <w:rFonts w:eastAsia="Arial Unicode MS"/>
                <w:b/>
                <w:sz w:val="18"/>
              </w:rPr>
              <w:t>Soyad</w:t>
            </w:r>
            <w:proofErr w:type="spellEnd"/>
            <w:r w:rsidRPr="00872D7E">
              <w:rPr>
                <w:rFonts w:eastAsia="Arial Unicode MS"/>
                <w:b/>
                <w:sz w:val="18"/>
              </w:rPr>
              <w:t>/Ticaret Unvanı</w:t>
            </w:r>
          </w:p>
        </w:tc>
        <w:tc>
          <w:tcPr>
            <w:tcW w:w="908" w:type="pct"/>
            <w:tcBorders>
              <w:top w:val="single" w:sz="4" w:space="0" w:color="auto"/>
              <w:bottom w:val="single" w:sz="4" w:space="0" w:color="auto"/>
            </w:tcBorders>
            <w:noWrap/>
            <w:vAlign w:val="bottom"/>
          </w:tcPr>
          <w:p w14:paraId="21C90A06" w14:textId="77777777" w:rsidR="000A2F98" w:rsidRPr="00872D7E" w:rsidRDefault="000A2F98" w:rsidP="00032852">
            <w:pPr>
              <w:spacing w:line="226" w:lineRule="auto"/>
              <w:ind w:left="-57" w:right="-78"/>
              <w:jc w:val="right"/>
              <w:rPr>
                <w:rFonts w:eastAsia="Arial Unicode MS"/>
                <w:b/>
                <w:sz w:val="18"/>
              </w:rPr>
            </w:pPr>
            <w:r w:rsidRPr="00872D7E">
              <w:rPr>
                <w:rFonts w:eastAsia="Arial Unicode MS"/>
                <w:b/>
                <w:sz w:val="18"/>
              </w:rPr>
              <w:t>Pay Tutarları</w:t>
            </w:r>
          </w:p>
        </w:tc>
        <w:tc>
          <w:tcPr>
            <w:tcW w:w="909" w:type="pct"/>
            <w:tcBorders>
              <w:top w:val="single" w:sz="4" w:space="0" w:color="auto"/>
              <w:bottom w:val="single" w:sz="4" w:space="0" w:color="auto"/>
            </w:tcBorders>
            <w:noWrap/>
            <w:vAlign w:val="bottom"/>
          </w:tcPr>
          <w:p w14:paraId="3892561B" w14:textId="77777777" w:rsidR="000A2F98" w:rsidRPr="00872D7E" w:rsidRDefault="000A2F98" w:rsidP="00032852">
            <w:pPr>
              <w:spacing w:line="226" w:lineRule="auto"/>
              <w:ind w:left="-57" w:right="-78"/>
              <w:jc w:val="right"/>
              <w:rPr>
                <w:rFonts w:eastAsia="Arial Unicode MS"/>
                <w:b/>
                <w:sz w:val="18"/>
              </w:rPr>
            </w:pPr>
            <w:r w:rsidRPr="00872D7E">
              <w:rPr>
                <w:rFonts w:eastAsia="Arial Unicode MS"/>
                <w:b/>
                <w:sz w:val="18"/>
              </w:rPr>
              <w:t>Pay Oranı (%)</w:t>
            </w:r>
          </w:p>
        </w:tc>
        <w:tc>
          <w:tcPr>
            <w:tcW w:w="840" w:type="pct"/>
            <w:tcBorders>
              <w:top w:val="single" w:sz="4" w:space="0" w:color="auto"/>
              <w:bottom w:val="single" w:sz="4" w:space="0" w:color="auto"/>
            </w:tcBorders>
            <w:noWrap/>
            <w:vAlign w:val="bottom"/>
          </w:tcPr>
          <w:p w14:paraId="60FE200D" w14:textId="77777777" w:rsidR="000A2F98" w:rsidRPr="00872D7E" w:rsidRDefault="000A2F98" w:rsidP="00032852">
            <w:pPr>
              <w:spacing w:line="226" w:lineRule="auto"/>
              <w:ind w:left="-57" w:right="-78"/>
              <w:jc w:val="right"/>
              <w:rPr>
                <w:rFonts w:eastAsia="Arial Unicode MS"/>
                <w:b/>
                <w:sz w:val="18"/>
              </w:rPr>
            </w:pPr>
            <w:r w:rsidRPr="00872D7E">
              <w:rPr>
                <w:rFonts w:eastAsia="Arial Unicode MS"/>
                <w:b/>
                <w:sz w:val="18"/>
              </w:rPr>
              <w:t>Ödenmiş Paylar</w:t>
            </w:r>
          </w:p>
        </w:tc>
        <w:tc>
          <w:tcPr>
            <w:tcW w:w="1004" w:type="pct"/>
            <w:tcBorders>
              <w:top w:val="single" w:sz="4" w:space="0" w:color="auto"/>
              <w:bottom w:val="single" w:sz="4" w:space="0" w:color="auto"/>
            </w:tcBorders>
            <w:noWrap/>
            <w:vAlign w:val="bottom"/>
          </w:tcPr>
          <w:p w14:paraId="10206F30" w14:textId="77777777" w:rsidR="000A2F98" w:rsidRPr="00872D7E" w:rsidRDefault="000A2F98" w:rsidP="00032852">
            <w:pPr>
              <w:spacing w:line="226" w:lineRule="auto"/>
              <w:ind w:left="-57" w:right="-78"/>
              <w:jc w:val="right"/>
              <w:rPr>
                <w:rFonts w:eastAsia="Arial Unicode MS"/>
                <w:b/>
                <w:sz w:val="18"/>
              </w:rPr>
            </w:pPr>
            <w:r w:rsidRPr="00872D7E">
              <w:rPr>
                <w:rFonts w:eastAsia="Arial Unicode MS"/>
                <w:b/>
                <w:sz w:val="18"/>
              </w:rPr>
              <w:t>Ödenmemiş Paylar</w:t>
            </w:r>
          </w:p>
        </w:tc>
      </w:tr>
      <w:tr w:rsidR="000A2F98" w:rsidRPr="00872D7E" w14:paraId="493E2987" w14:textId="77777777" w:rsidTr="00232876">
        <w:trPr>
          <w:trHeight w:val="217"/>
        </w:trPr>
        <w:tc>
          <w:tcPr>
            <w:tcW w:w="1339" w:type="pct"/>
            <w:tcBorders>
              <w:top w:val="single" w:sz="4" w:space="0" w:color="auto"/>
            </w:tcBorders>
            <w:vAlign w:val="bottom"/>
          </w:tcPr>
          <w:p w14:paraId="5280941C" w14:textId="77777777" w:rsidR="000A2F98" w:rsidRPr="00872D7E" w:rsidRDefault="000A2F98" w:rsidP="00FA634F">
            <w:pPr>
              <w:spacing w:line="226" w:lineRule="auto"/>
              <w:ind w:left="-50" w:right="296"/>
              <w:jc w:val="both"/>
              <w:rPr>
                <w:rFonts w:eastAsia="Arial Unicode MS"/>
                <w:sz w:val="18"/>
              </w:rPr>
            </w:pPr>
            <w:r w:rsidRPr="00872D7E">
              <w:rPr>
                <w:sz w:val="18"/>
                <w:szCs w:val="18"/>
              </w:rPr>
              <w:t>AHL Ahlatcı Finansal Yönetim A.Ş.</w:t>
            </w:r>
          </w:p>
        </w:tc>
        <w:tc>
          <w:tcPr>
            <w:tcW w:w="908" w:type="pct"/>
            <w:tcBorders>
              <w:top w:val="single" w:sz="4" w:space="0" w:color="auto"/>
            </w:tcBorders>
            <w:noWrap/>
            <w:vAlign w:val="center"/>
          </w:tcPr>
          <w:p w14:paraId="29BED183" w14:textId="0EF54BA6" w:rsidR="000A2F98" w:rsidRPr="00872D7E" w:rsidRDefault="00AC34DC" w:rsidP="00A97823">
            <w:pPr>
              <w:pStyle w:val="EndnoteText"/>
              <w:spacing w:line="226" w:lineRule="auto"/>
              <w:ind w:right="-78"/>
              <w:jc w:val="right"/>
              <w:rPr>
                <w:rFonts w:eastAsia="Arial Unicode MS"/>
                <w:sz w:val="18"/>
              </w:rPr>
            </w:pPr>
            <w:r w:rsidRPr="00872D7E">
              <w:rPr>
                <w:rFonts w:eastAsia="Arial Unicode MS"/>
                <w:sz w:val="18"/>
              </w:rPr>
              <w:t>5.996.679</w:t>
            </w:r>
          </w:p>
        </w:tc>
        <w:tc>
          <w:tcPr>
            <w:tcW w:w="909" w:type="pct"/>
            <w:tcBorders>
              <w:top w:val="single" w:sz="4" w:space="0" w:color="auto"/>
            </w:tcBorders>
            <w:noWrap/>
            <w:vAlign w:val="center"/>
          </w:tcPr>
          <w:p w14:paraId="1878522E" w14:textId="582DDBBB" w:rsidR="000A2F98" w:rsidRPr="00872D7E" w:rsidRDefault="00AC34DC" w:rsidP="00A97823">
            <w:pPr>
              <w:spacing w:line="226" w:lineRule="auto"/>
              <w:ind w:right="-78"/>
              <w:jc w:val="right"/>
              <w:rPr>
                <w:rFonts w:eastAsia="Arial Unicode MS"/>
                <w:sz w:val="18"/>
              </w:rPr>
            </w:pPr>
            <w:r w:rsidRPr="00872D7E">
              <w:rPr>
                <w:rFonts w:eastAsia="Arial Unicode MS"/>
                <w:sz w:val="18"/>
              </w:rPr>
              <w:t>99,96</w:t>
            </w:r>
          </w:p>
        </w:tc>
        <w:tc>
          <w:tcPr>
            <w:tcW w:w="840" w:type="pct"/>
            <w:tcBorders>
              <w:top w:val="single" w:sz="4" w:space="0" w:color="auto"/>
            </w:tcBorders>
            <w:noWrap/>
            <w:vAlign w:val="center"/>
          </w:tcPr>
          <w:p w14:paraId="5AF55C0B" w14:textId="058BFAC0" w:rsidR="000A2F98" w:rsidRPr="00872D7E" w:rsidRDefault="00AC34DC" w:rsidP="00A97823">
            <w:pPr>
              <w:spacing w:line="226" w:lineRule="auto"/>
              <w:ind w:right="-78"/>
              <w:jc w:val="right"/>
              <w:rPr>
                <w:rFonts w:eastAsia="Arial Unicode MS"/>
                <w:sz w:val="18"/>
              </w:rPr>
            </w:pPr>
            <w:r w:rsidRPr="00872D7E">
              <w:rPr>
                <w:rFonts w:eastAsia="Arial Unicode MS"/>
                <w:sz w:val="18"/>
              </w:rPr>
              <w:t>5.996.679</w:t>
            </w:r>
          </w:p>
        </w:tc>
        <w:tc>
          <w:tcPr>
            <w:tcW w:w="1004" w:type="pct"/>
            <w:tcBorders>
              <w:top w:val="single" w:sz="4" w:space="0" w:color="auto"/>
            </w:tcBorders>
            <w:noWrap/>
            <w:vAlign w:val="center"/>
          </w:tcPr>
          <w:p w14:paraId="11D8E7B8" w14:textId="77777777" w:rsidR="000A2F98" w:rsidRPr="00872D7E" w:rsidRDefault="000A2F98" w:rsidP="00A97823">
            <w:pPr>
              <w:spacing w:line="226" w:lineRule="auto"/>
              <w:ind w:left="567" w:right="-78"/>
              <w:jc w:val="right"/>
              <w:rPr>
                <w:rFonts w:eastAsia="Arial Unicode MS"/>
                <w:sz w:val="18"/>
              </w:rPr>
            </w:pPr>
            <w:r w:rsidRPr="00872D7E">
              <w:rPr>
                <w:rFonts w:eastAsia="Arial Unicode MS"/>
                <w:sz w:val="18"/>
              </w:rPr>
              <w:t>-</w:t>
            </w:r>
          </w:p>
        </w:tc>
      </w:tr>
      <w:bookmarkEnd w:id="11"/>
    </w:tbl>
    <w:p w14:paraId="6FAB30F1" w14:textId="77777777" w:rsidR="005838EC" w:rsidRPr="00872D7E" w:rsidRDefault="005838EC" w:rsidP="009F6E11">
      <w:pPr>
        <w:pStyle w:val="BodyTextIndent"/>
        <w:widowControl w:val="0"/>
        <w:spacing w:line="235" w:lineRule="auto"/>
        <w:ind w:left="851" w:hanging="851"/>
        <w:rPr>
          <w:b/>
          <w:szCs w:val="20"/>
        </w:rPr>
      </w:pPr>
    </w:p>
    <w:p w14:paraId="706F3A69" w14:textId="636D3586" w:rsidR="002C6E36" w:rsidRPr="00872D7E" w:rsidRDefault="002C6E36" w:rsidP="009F6E11">
      <w:pPr>
        <w:pStyle w:val="BodyTextIndent"/>
        <w:widowControl w:val="0"/>
        <w:spacing w:line="235" w:lineRule="auto"/>
        <w:ind w:left="851" w:hanging="851"/>
        <w:rPr>
          <w:b/>
          <w:szCs w:val="20"/>
        </w:rPr>
      </w:pPr>
      <w:r w:rsidRPr="00872D7E">
        <w:rPr>
          <w:b/>
          <w:szCs w:val="20"/>
        </w:rPr>
        <w:t>V.</w:t>
      </w:r>
      <w:r w:rsidRPr="00872D7E">
        <w:rPr>
          <w:b/>
          <w:szCs w:val="20"/>
        </w:rPr>
        <w:tab/>
      </w:r>
      <w:r w:rsidR="000A2F98" w:rsidRPr="00872D7E">
        <w:rPr>
          <w:b/>
          <w:szCs w:val="20"/>
        </w:rPr>
        <w:t>BANKA’NIN HİZMET TÜRÜ VE FAALİYET ALANLARINI İÇEREN ÖZET BİLGİ</w:t>
      </w:r>
    </w:p>
    <w:p w14:paraId="1F398E88" w14:textId="77777777" w:rsidR="00324789" w:rsidRPr="00872D7E" w:rsidRDefault="00324789" w:rsidP="009F6E11">
      <w:pPr>
        <w:pStyle w:val="BodyTextIndent"/>
        <w:widowControl w:val="0"/>
        <w:spacing w:line="235" w:lineRule="auto"/>
        <w:ind w:firstLine="0"/>
        <w:rPr>
          <w:sz w:val="16"/>
          <w:szCs w:val="16"/>
        </w:rPr>
      </w:pPr>
    </w:p>
    <w:p w14:paraId="48598D7F" w14:textId="1EC9ED53" w:rsidR="009B0E8B" w:rsidRPr="00872D7E" w:rsidRDefault="00E839C3" w:rsidP="008E70C0">
      <w:pPr>
        <w:shd w:val="clear" w:color="auto" w:fill="FFFFFF" w:themeFill="background1"/>
        <w:ind w:left="868"/>
        <w:jc w:val="both"/>
        <w:rPr>
          <w:szCs w:val="20"/>
        </w:rPr>
      </w:pPr>
      <w:r w:rsidRPr="00872D7E">
        <w:rPr>
          <w:szCs w:val="20"/>
        </w:rPr>
        <w:t>Banka katılım bankası olarak faizsiz bankacılık yapmaktadır.</w:t>
      </w:r>
      <w:r w:rsidR="000A2868" w:rsidRPr="00872D7E">
        <w:rPr>
          <w:szCs w:val="20"/>
        </w:rPr>
        <w:t xml:space="preserve"> Banka 31 Aralık 2024 tarihi itibarıyla 17 şubesi ve 44</w:t>
      </w:r>
      <w:r w:rsidR="007A6E2F" w:rsidRPr="00872D7E">
        <w:rPr>
          <w:szCs w:val="20"/>
        </w:rPr>
        <w:t>1</w:t>
      </w:r>
      <w:r w:rsidR="000A2868" w:rsidRPr="00872D7E">
        <w:rPr>
          <w:szCs w:val="20"/>
        </w:rPr>
        <w:t xml:space="preserve"> personeli ile faaliyet göstermektedir.</w:t>
      </w:r>
      <w:r w:rsidR="000A2F98" w:rsidRPr="00872D7E">
        <w:t xml:space="preserve"> </w:t>
      </w:r>
      <w:r w:rsidR="000A2F98" w:rsidRPr="00872D7E">
        <w:rPr>
          <w:szCs w:val="20"/>
        </w:rPr>
        <w:t xml:space="preserve">Banka, Ana </w:t>
      </w:r>
      <w:proofErr w:type="spellStart"/>
      <w:r w:rsidR="000A2F98" w:rsidRPr="00872D7E">
        <w:rPr>
          <w:szCs w:val="20"/>
        </w:rPr>
        <w:t>Sözleşme</w:t>
      </w:r>
      <w:r w:rsidR="00153D8D" w:rsidRPr="00872D7E">
        <w:rPr>
          <w:szCs w:val="20"/>
        </w:rPr>
        <w:t>’</w:t>
      </w:r>
      <w:r w:rsidR="000A2F98" w:rsidRPr="00872D7E">
        <w:rPr>
          <w:szCs w:val="20"/>
        </w:rPr>
        <w:t>sinde</w:t>
      </w:r>
      <w:proofErr w:type="spellEnd"/>
      <w:r w:rsidR="000A2F98" w:rsidRPr="00872D7E">
        <w:rPr>
          <w:szCs w:val="20"/>
        </w:rPr>
        <w:t xml:space="preserve"> de belirtildiği gibi Bankacılık Kanunu ve ilgili mevzuatın sınırları içinde kalmak kaydı ile; Katılım fonu kabulü, </w:t>
      </w:r>
      <w:r w:rsidR="00153D8D" w:rsidRPr="00872D7E">
        <w:rPr>
          <w:szCs w:val="20"/>
        </w:rPr>
        <w:t>nakdî</w:t>
      </w:r>
      <w:r w:rsidR="000A2F98" w:rsidRPr="00872D7E">
        <w:rPr>
          <w:szCs w:val="20"/>
        </w:rPr>
        <w:t xml:space="preserve">, gayri nakdî her cins ve surette kredi verme işlemleri, </w:t>
      </w:r>
      <w:r w:rsidR="00153D8D" w:rsidRPr="00872D7E">
        <w:rPr>
          <w:szCs w:val="20"/>
        </w:rPr>
        <w:t>yurt</w:t>
      </w:r>
      <w:r w:rsidR="000A2F98" w:rsidRPr="00872D7E">
        <w:rPr>
          <w:szCs w:val="20"/>
        </w:rPr>
        <w:t xml:space="preserve"> içi ve yurt dışından fon toplama, hesaplar açma, borç alma, avans kabul etme işlemleri, </w:t>
      </w:r>
      <w:r w:rsidR="00153D8D" w:rsidRPr="00872D7E">
        <w:rPr>
          <w:szCs w:val="20"/>
        </w:rPr>
        <w:t>bankalar</w:t>
      </w:r>
      <w:r w:rsidR="000A2F98" w:rsidRPr="00872D7E">
        <w:rPr>
          <w:szCs w:val="20"/>
        </w:rPr>
        <w:t xml:space="preserve">, finansal kuruluşlar, şirketler ile yurt içinde ve yurt dışında ortaklık veya kâr– zarar ortaklığına girişilmesi veya sair her türlü surette iş birliği veya iştirakte bulunulması ve bu maksatla fonlar teşkil veya temin edilmesi, </w:t>
      </w:r>
      <w:r w:rsidR="00153D8D" w:rsidRPr="00872D7E">
        <w:rPr>
          <w:szCs w:val="20"/>
        </w:rPr>
        <w:t>yürütü</w:t>
      </w:r>
      <w:r w:rsidR="000A2F98" w:rsidRPr="00872D7E">
        <w:rPr>
          <w:szCs w:val="20"/>
        </w:rPr>
        <w:t xml:space="preserve">len faaliyetler çerçevesinde, yurt içinde veya yurt dışında, ham veya mamul madde, makine, ekipman,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w:t>
      </w:r>
      <w:r w:rsidR="00153D8D" w:rsidRPr="00872D7E">
        <w:rPr>
          <w:szCs w:val="20"/>
        </w:rPr>
        <w:t>kira</w:t>
      </w:r>
      <w:r w:rsidR="000A2F98" w:rsidRPr="00872D7E">
        <w:rPr>
          <w:szCs w:val="20"/>
        </w:rPr>
        <w:t xml:space="preserve"> sertifikası, kâr ve zarar ortaklığı belgesi, katılma intifa senetleri, kâra iştirakli tahviller, borçlanma araçları, diğer menkul kıymetler ve sermaye piyasası araçları çıkarma işlemleri, </w:t>
      </w:r>
      <w:r w:rsidR="00153D8D" w:rsidRPr="00872D7E">
        <w:rPr>
          <w:szCs w:val="20"/>
        </w:rPr>
        <w:t xml:space="preserve">nakdî ve </w:t>
      </w:r>
      <w:proofErr w:type="spellStart"/>
      <w:r w:rsidR="000A2F98" w:rsidRPr="00872D7E">
        <w:rPr>
          <w:szCs w:val="20"/>
        </w:rPr>
        <w:t>kayd</w:t>
      </w:r>
      <w:r w:rsidR="008E70C0" w:rsidRPr="00872D7E">
        <w:rPr>
          <w:szCs w:val="20"/>
        </w:rPr>
        <w:t>i</w:t>
      </w:r>
      <w:proofErr w:type="spellEnd"/>
      <w:r w:rsidR="000A2F98" w:rsidRPr="00872D7E">
        <w:rPr>
          <w:szCs w:val="20"/>
        </w:rPr>
        <w:t xml:space="preserve"> ödeme ve fon transferi işlemleri, muhabir bankacılık veya çek hesaplarının kullanılması dahil her türlü ödeme ve tahsilat </w:t>
      </w:r>
      <w:r w:rsidR="00153D8D" w:rsidRPr="00872D7E">
        <w:rPr>
          <w:szCs w:val="20"/>
        </w:rPr>
        <w:t xml:space="preserve">işlemleri, çek ve diğer kambiyo senetlerinin iştirası işlemleri, saklama hizmetleri, kredi kartları, banka kartları gibi her türlü ödeme vasıtalarının </w:t>
      </w:r>
      <w:r w:rsidR="000A2F98" w:rsidRPr="00872D7E">
        <w:rPr>
          <w:szCs w:val="20"/>
        </w:rPr>
        <w:t xml:space="preserve">ihracı ve bunlarla ilgili faaliyetlerin yürütülmesi işlemleri, </w:t>
      </w:r>
      <w:r w:rsidR="00153D8D" w:rsidRPr="00872D7E">
        <w:rPr>
          <w:szCs w:val="20"/>
        </w:rPr>
        <w:t>efektif dahil kambiyo işlemleri, para piyasası araçlarının alım satımı, kıymetli maden ve taşların alım satımı veya bunların emanete alınması işlemleri, ekonomik ve finansal göstergelere, sermaye piyasası araçlarına, mala, kıymetli madenlere ve dövize dayalı;</w:t>
      </w:r>
      <w:r w:rsidR="000A2F98" w:rsidRPr="00872D7E">
        <w:rPr>
          <w:szCs w:val="20"/>
        </w:rPr>
        <w:t xml:space="preserve"> vadeli işlem sözleşmelerinin, opsiyon sözleşmelerinin, birden fazla türev aracı içeren basit veya karmaşık yapıdaki finansal araçların alım </w:t>
      </w:r>
    </w:p>
    <w:p w14:paraId="3BF76FBE" w14:textId="77777777" w:rsidR="00ED2040" w:rsidRPr="00872D7E" w:rsidRDefault="00ED2040">
      <w:pPr>
        <w:rPr>
          <w:b/>
          <w:szCs w:val="20"/>
        </w:rPr>
      </w:pPr>
      <w:r w:rsidRPr="00872D7E">
        <w:rPr>
          <w:b/>
          <w:szCs w:val="20"/>
        </w:rPr>
        <w:br w:type="page"/>
      </w:r>
    </w:p>
    <w:p w14:paraId="1662C332" w14:textId="1228A2BA" w:rsidR="009B0E8B" w:rsidRPr="00872D7E" w:rsidRDefault="009B0E8B" w:rsidP="009B0E8B">
      <w:pPr>
        <w:widowControl w:val="0"/>
        <w:tabs>
          <w:tab w:val="left" w:pos="720"/>
        </w:tabs>
        <w:spacing w:line="235" w:lineRule="auto"/>
        <w:ind w:left="720" w:hanging="720"/>
        <w:rPr>
          <w:b/>
          <w:szCs w:val="20"/>
        </w:rPr>
      </w:pPr>
      <w:r w:rsidRPr="00872D7E">
        <w:rPr>
          <w:b/>
          <w:szCs w:val="20"/>
        </w:rPr>
        <w:lastRenderedPageBreak/>
        <w:t>BANKA HAKKINDA GENEL BİLGİLER (Devamı)</w:t>
      </w:r>
    </w:p>
    <w:p w14:paraId="6CC7160A" w14:textId="77777777" w:rsidR="00296257" w:rsidRPr="00872D7E" w:rsidRDefault="00296257" w:rsidP="009B0E8B">
      <w:pPr>
        <w:widowControl w:val="0"/>
        <w:tabs>
          <w:tab w:val="left" w:pos="720"/>
        </w:tabs>
        <w:spacing w:line="235" w:lineRule="auto"/>
        <w:ind w:left="720" w:hanging="720"/>
        <w:rPr>
          <w:b/>
          <w:szCs w:val="20"/>
        </w:rPr>
      </w:pPr>
    </w:p>
    <w:p w14:paraId="6E9906D6" w14:textId="272621D6" w:rsidR="009B0E8B" w:rsidRPr="00872D7E" w:rsidRDefault="009B0E8B" w:rsidP="009B0E8B">
      <w:pPr>
        <w:pStyle w:val="BodyTextIndent"/>
        <w:widowControl w:val="0"/>
        <w:spacing w:before="120" w:line="235" w:lineRule="auto"/>
        <w:ind w:left="851" w:hanging="851"/>
        <w:rPr>
          <w:b/>
          <w:szCs w:val="20"/>
        </w:rPr>
      </w:pPr>
      <w:r w:rsidRPr="00872D7E">
        <w:rPr>
          <w:b/>
          <w:szCs w:val="20"/>
        </w:rPr>
        <w:t>V.</w:t>
      </w:r>
      <w:r w:rsidRPr="00872D7E">
        <w:rPr>
          <w:b/>
          <w:szCs w:val="20"/>
        </w:rPr>
        <w:tab/>
        <w:t>BANKA’NIN HİZMET TÜRÜ VE FAALİYET ALANLARINI İÇEREN ÖZET BİLGİ (Devamı)</w:t>
      </w:r>
    </w:p>
    <w:p w14:paraId="284A1D0C" w14:textId="77777777" w:rsidR="009B0E8B" w:rsidRPr="00872D7E" w:rsidRDefault="009B0E8B" w:rsidP="008E70C0">
      <w:pPr>
        <w:shd w:val="clear" w:color="auto" w:fill="FFFFFF" w:themeFill="background1"/>
        <w:ind w:left="868"/>
        <w:jc w:val="both"/>
        <w:rPr>
          <w:szCs w:val="20"/>
        </w:rPr>
      </w:pPr>
    </w:p>
    <w:p w14:paraId="68F33A6A" w14:textId="2C287CD7" w:rsidR="000A2F98" w:rsidRPr="00872D7E" w:rsidRDefault="000A2F98" w:rsidP="008E70C0">
      <w:pPr>
        <w:shd w:val="clear" w:color="auto" w:fill="FFFFFF" w:themeFill="background1"/>
        <w:ind w:left="868"/>
        <w:jc w:val="both"/>
        <w:rPr>
          <w:szCs w:val="20"/>
        </w:rPr>
      </w:pPr>
      <w:r w:rsidRPr="00872D7E">
        <w:rPr>
          <w:szCs w:val="20"/>
        </w:rPr>
        <w:t xml:space="preserve">satımı ve aracılık </w:t>
      </w:r>
      <w:r w:rsidR="00153D8D" w:rsidRPr="00872D7E">
        <w:rPr>
          <w:szCs w:val="20"/>
        </w:rPr>
        <w:t xml:space="preserve">işlemleri, sermaye piyasası araçlarının alım satımı ile geri alım veya satım vaadi işlemleri, daha önce ihraç edilmiş olan sermaye piyasası araçlarının aracılık maksadıyla alım satımının yürütülmesi işlemleri, başkaları lehine teminat, garanti ve sair yükümlülüklerin üstlenilmesi gibi garanti işleri, </w:t>
      </w:r>
      <w:r w:rsidRPr="00872D7E">
        <w:rPr>
          <w:szCs w:val="20"/>
        </w:rPr>
        <w:t>Hazine Müsteşarlığı ve/veya Merkez Bankası ve kuruluş birlikleri nezdinde oluşturulan bir sözleşme kapsamında üstlenilen yükümlülükler çerçevesinde alım satım işlemlerine ilişkin piyasa yapıcılığı</w:t>
      </w:r>
      <w:r w:rsidR="00153D8D" w:rsidRPr="00872D7E">
        <w:rPr>
          <w:szCs w:val="20"/>
        </w:rPr>
        <w:t xml:space="preserve">, bankalararası piyasada </w:t>
      </w:r>
      <w:r w:rsidRPr="00872D7E">
        <w:rPr>
          <w:szCs w:val="20"/>
        </w:rPr>
        <w:t>para alım satımı işlemlerine aracılık</w:t>
      </w:r>
      <w:r w:rsidR="00153D8D" w:rsidRPr="00872D7E">
        <w:rPr>
          <w:szCs w:val="20"/>
        </w:rPr>
        <w:t>, finansal kiralama işlemleri, sigorta acenteliği ve bireysel emeklilik aracılık hizmetleri,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hizmetlerini ve işlemlerini yürütür.</w:t>
      </w:r>
    </w:p>
    <w:p w14:paraId="70B6281F" w14:textId="77777777" w:rsidR="004A69CC" w:rsidRPr="00872D7E" w:rsidRDefault="004A69CC" w:rsidP="008E70C0">
      <w:pPr>
        <w:pStyle w:val="BodyTextIndent"/>
        <w:widowControl w:val="0"/>
        <w:shd w:val="clear" w:color="auto" w:fill="FFFFFF" w:themeFill="background1"/>
        <w:spacing w:line="235" w:lineRule="auto"/>
        <w:ind w:left="851" w:firstLine="0"/>
        <w:rPr>
          <w:szCs w:val="20"/>
        </w:rPr>
      </w:pPr>
    </w:p>
    <w:p w14:paraId="639FB5B9" w14:textId="18C25A93" w:rsidR="00057F69" w:rsidRPr="00872D7E" w:rsidRDefault="00E839C3" w:rsidP="008E70C0">
      <w:pPr>
        <w:widowControl w:val="0"/>
        <w:shd w:val="clear" w:color="auto" w:fill="FFFFFF" w:themeFill="background1"/>
        <w:spacing w:line="235" w:lineRule="auto"/>
        <w:ind w:left="851"/>
        <w:jc w:val="both"/>
        <w:rPr>
          <w:szCs w:val="20"/>
        </w:rPr>
      </w:pPr>
      <w:r w:rsidRPr="00872D7E">
        <w:rPr>
          <w:szCs w:val="20"/>
        </w:rPr>
        <w:t xml:space="preserve">Banka’nın yapabileceği </w:t>
      </w:r>
      <w:r w:rsidR="000A2F98" w:rsidRPr="00872D7E">
        <w:rPr>
          <w:szCs w:val="20"/>
        </w:rPr>
        <w:t xml:space="preserve">hizmet ve </w:t>
      </w:r>
      <w:r w:rsidRPr="00872D7E">
        <w:rPr>
          <w:szCs w:val="20"/>
        </w:rPr>
        <w:t xml:space="preserve">işlemler </w:t>
      </w:r>
      <w:r w:rsidR="000A2F98" w:rsidRPr="00872D7E">
        <w:rPr>
          <w:szCs w:val="20"/>
        </w:rPr>
        <w:t>yukarıda da</w:t>
      </w:r>
      <w:r w:rsidRPr="00872D7E">
        <w:rPr>
          <w:szCs w:val="20"/>
        </w:rPr>
        <w:t xml:space="preserv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872D7E">
        <w:rPr>
          <w:szCs w:val="20"/>
        </w:rPr>
        <w:t>Sözleşme’de</w:t>
      </w:r>
      <w:proofErr w:type="spellEnd"/>
      <w:r w:rsidRPr="00872D7E">
        <w:rPr>
          <w:szCs w:val="20"/>
        </w:rPr>
        <w:t xml:space="preserve"> değişiklik mahiyetinde olan bu kararın Ticaret Bakanlığı’nca onanmasına bağlıdır. Bu suretle tasdik olunan karar Ana </w:t>
      </w:r>
      <w:proofErr w:type="spellStart"/>
      <w:r w:rsidRPr="00872D7E">
        <w:rPr>
          <w:szCs w:val="20"/>
        </w:rPr>
        <w:t>Sözleşme’ye</w:t>
      </w:r>
      <w:proofErr w:type="spellEnd"/>
      <w:r w:rsidRPr="00872D7E">
        <w:rPr>
          <w:szCs w:val="20"/>
        </w:rPr>
        <w:t xml:space="preserve"> eklenir.</w:t>
      </w:r>
    </w:p>
    <w:p w14:paraId="7A1529AF" w14:textId="77777777" w:rsidR="00324789" w:rsidRPr="00872D7E" w:rsidRDefault="00324789" w:rsidP="009F6E11">
      <w:pPr>
        <w:widowControl w:val="0"/>
        <w:spacing w:line="235" w:lineRule="auto"/>
        <w:jc w:val="both"/>
        <w:rPr>
          <w:sz w:val="16"/>
          <w:szCs w:val="16"/>
        </w:rPr>
      </w:pPr>
    </w:p>
    <w:p w14:paraId="010B7817" w14:textId="749A8609" w:rsidR="00EC21FC" w:rsidRPr="00872D7E" w:rsidRDefault="00EC21FC" w:rsidP="009F6E11">
      <w:pPr>
        <w:pStyle w:val="BodybyBD"/>
        <w:keepLines w:val="0"/>
        <w:widowControl w:val="0"/>
        <w:tabs>
          <w:tab w:val="left" w:pos="3686"/>
        </w:tabs>
        <w:spacing w:before="0" w:after="0" w:line="235" w:lineRule="auto"/>
        <w:ind w:left="851" w:hanging="851"/>
        <w:rPr>
          <w:b/>
          <w:sz w:val="20"/>
        </w:rPr>
      </w:pPr>
      <w:bookmarkStart w:id="13" w:name="_Hlk109656036"/>
      <w:r w:rsidRPr="00872D7E">
        <w:rPr>
          <w:b/>
          <w:sz w:val="20"/>
        </w:rPr>
        <w:t>VI.</w:t>
      </w:r>
      <w:r w:rsidRPr="00872D7E">
        <w:rPr>
          <w:b/>
          <w:sz w:val="20"/>
        </w:rPr>
        <w:tab/>
      </w:r>
      <w:r w:rsidR="000A410D" w:rsidRPr="00872D7E">
        <w:rPr>
          <w:b/>
          <w:sz w:val="20"/>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4672D0DC" w14:textId="77777777" w:rsidR="00324789" w:rsidRPr="00872D7E" w:rsidRDefault="00324789" w:rsidP="009F6E11">
      <w:pPr>
        <w:pStyle w:val="BodyTextIndent"/>
        <w:widowControl w:val="0"/>
        <w:spacing w:line="235" w:lineRule="auto"/>
        <w:ind w:firstLine="0"/>
        <w:rPr>
          <w:sz w:val="16"/>
          <w:szCs w:val="16"/>
        </w:rPr>
      </w:pPr>
    </w:p>
    <w:bookmarkEnd w:id="13"/>
    <w:p w14:paraId="070CA506" w14:textId="50215321" w:rsidR="00324789" w:rsidRPr="00872D7E" w:rsidRDefault="005903A3" w:rsidP="005903A3">
      <w:pPr>
        <w:pStyle w:val="BodyTextIndent"/>
        <w:widowControl w:val="0"/>
        <w:spacing w:line="235" w:lineRule="auto"/>
        <w:ind w:left="854" w:firstLine="0"/>
        <w:rPr>
          <w:szCs w:val="20"/>
          <w:lang w:eastAsia="tr-TR"/>
        </w:rPr>
      </w:pPr>
      <w:r w:rsidRPr="00872D7E">
        <w:rPr>
          <w:szCs w:val="20"/>
          <w:lang w:eastAsia="tr-TR"/>
        </w:rPr>
        <w:t xml:space="preserve">Bağlı ortaklıklar içerisinde yer alan </w:t>
      </w:r>
      <w:bookmarkStart w:id="14" w:name="_Hlk114653752"/>
      <w:r w:rsidR="0030541C" w:rsidRPr="00872D7E">
        <w:rPr>
          <w:szCs w:val="20"/>
          <w:lang w:eastAsia="tr-TR"/>
        </w:rPr>
        <w:t xml:space="preserve">Techdünya Bilişim Teknoloji </w:t>
      </w:r>
      <w:r w:rsidR="009E17F2" w:rsidRPr="00872D7E">
        <w:rPr>
          <w:szCs w:val="20"/>
          <w:lang w:eastAsia="tr-TR"/>
        </w:rPr>
        <w:t>v</w:t>
      </w:r>
      <w:r w:rsidR="0030541C" w:rsidRPr="00872D7E">
        <w:rPr>
          <w:szCs w:val="20"/>
          <w:lang w:eastAsia="tr-TR"/>
        </w:rPr>
        <w:t>e Ticaret A.Ş.</w:t>
      </w:r>
      <w:r w:rsidRPr="00872D7E">
        <w:rPr>
          <w:szCs w:val="20"/>
          <w:lang w:eastAsia="tr-TR"/>
        </w:rPr>
        <w:t xml:space="preserve"> mali kuruluş olmadı</w:t>
      </w:r>
      <w:r w:rsidR="000518C1" w:rsidRPr="00872D7E">
        <w:rPr>
          <w:szCs w:val="20"/>
          <w:lang w:eastAsia="tr-TR"/>
        </w:rPr>
        <w:t xml:space="preserve">ğından </w:t>
      </w:r>
      <w:bookmarkEnd w:id="14"/>
      <w:r w:rsidRPr="00872D7E">
        <w:rPr>
          <w:szCs w:val="20"/>
          <w:lang w:eastAsia="tr-TR"/>
        </w:rPr>
        <w:t>“Bankaların Konsolide Finansal Tablolarının Düzenlenmesine İlişkin Tebliğ” kapsamında konsolide finansal tablolarda konsolide edilmemektedir.</w:t>
      </w:r>
    </w:p>
    <w:p w14:paraId="0C9EC39F" w14:textId="77777777" w:rsidR="005903A3" w:rsidRPr="00872D7E" w:rsidRDefault="005903A3" w:rsidP="005903A3">
      <w:pPr>
        <w:pStyle w:val="BodyTextIndent"/>
        <w:widowControl w:val="0"/>
        <w:spacing w:line="235" w:lineRule="auto"/>
        <w:ind w:left="854" w:firstLine="0"/>
        <w:rPr>
          <w:szCs w:val="20"/>
          <w:lang w:eastAsia="tr-TR"/>
        </w:rPr>
      </w:pPr>
    </w:p>
    <w:p w14:paraId="28075BB5" w14:textId="137A3BC5" w:rsidR="00EC21FC" w:rsidRPr="00872D7E" w:rsidRDefault="00EC21FC" w:rsidP="009F6E11">
      <w:pPr>
        <w:pStyle w:val="BodybyBD"/>
        <w:keepLines w:val="0"/>
        <w:widowControl w:val="0"/>
        <w:spacing w:before="0" w:after="0" w:line="235" w:lineRule="auto"/>
        <w:ind w:left="851" w:hanging="851"/>
        <w:rPr>
          <w:b/>
          <w:sz w:val="20"/>
        </w:rPr>
      </w:pPr>
      <w:r w:rsidRPr="00872D7E">
        <w:rPr>
          <w:b/>
          <w:sz w:val="20"/>
        </w:rPr>
        <w:t>VII.</w:t>
      </w:r>
      <w:r w:rsidRPr="00872D7E">
        <w:rPr>
          <w:b/>
          <w:sz w:val="20"/>
        </w:rPr>
        <w:tab/>
      </w:r>
      <w:r w:rsidR="000A410D" w:rsidRPr="00872D7E">
        <w:rPr>
          <w:b/>
          <w:sz w:val="20"/>
        </w:rPr>
        <w:t>BANKA İLE BAĞLI ORTAKLIKLARI ARASINDA ÖZKAYNAKLARIN DERHAL TRANSFER EDİLMESİNİN VEYA BORÇLARIN GERİ ÖDENMESİNİN ÖNÜNDE MEVCUT VEYA MUHTEMEL, FİİLİ VEYA HUKUKİ ENGELLER</w:t>
      </w:r>
    </w:p>
    <w:p w14:paraId="77792260" w14:textId="77777777" w:rsidR="00324789" w:rsidRPr="00872D7E" w:rsidRDefault="00324789" w:rsidP="009F6E11">
      <w:pPr>
        <w:pStyle w:val="BodyTextIndent"/>
        <w:widowControl w:val="0"/>
        <w:spacing w:line="235" w:lineRule="auto"/>
        <w:ind w:firstLine="0"/>
        <w:rPr>
          <w:sz w:val="16"/>
          <w:szCs w:val="16"/>
        </w:rPr>
      </w:pPr>
    </w:p>
    <w:p w14:paraId="65F8AB31" w14:textId="77777777" w:rsidR="009A68DC" w:rsidRPr="00872D7E" w:rsidRDefault="00EC61EE" w:rsidP="009F6E11">
      <w:pPr>
        <w:pStyle w:val="BodyTextIndent"/>
        <w:widowControl w:val="0"/>
        <w:spacing w:line="235" w:lineRule="auto"/>
        <w:ind w:left="851" w:firstLine="0"/>
        <w:rPr>
          <w:szCs w:val="20"/>
        </w:rPr>
      </w:pPr>
      <w:r w:rsidRPr="00872D7E">
        <w:rPr>
          <w:szCs w:val="20"/>
        </w:rPr>
        <w:t>Banka ile bağlı ortaklıkları</w:t>
      </w:r>
      <w:r w:rsidR="00EC21FC" w:rsidRPr="00872D7E">
        <w:rPr>
          <w:szCs w:val="20"/>
        </w:rPr>
        <w:t xml:space="preserve"> arasında özkaynakların derhal</w:t>
      </w:r>
      <w:r w:rsidR="002F38A4" w:rsidRPr="00872D7E">
        <w:rPr>
          <w:szCs w:val="20"/>
        </w:rPr>
        <w:t xml:space="preserve"> transferi söz konusu değildir.</w:t>
      </w:r>
      <w:r w:rsidR="00BC6B36" w:rsidRPr="00872D7E">
        <w:rPr>
          <w:szCs w:val="20"/>
        </w:rPr>
        <w:t xml:space="preserve"> </w:t>
      </w:r>
      <w:r w:rsidRPr="00872D7E">
        <w:rPr>
          <w:szCs w:val="20"/>
        </w:rPr>
        <w:t>Banka ile bağlı ortaklıkları</w:t>
      </w:r>
      <w:r w:rsidR="00EC21FC" w:rsidRPr="00872D7E">
        <w:rPr>
          <w:szCs w:val="20"/>
        </w:rPr>
        <w:t xml:space="preserve"> arasında borçların geri ödenmesinin önünde mevcut veya muhtemel</w:t>
      </w:r>
      <w:r w:rsidR="00270205" w:rsidRPr="00872D7E">
        <w:rPr>
          <w:szCs w:val="20"/>
        </w:rPr>
        <w:t>,</w:t>
      </w:r>
      <w:r w:rsidR="00EC21FC" w:rsidRPr="00872D7E">
        <w:rPr>
          <w:szCs w:val="20"/>
        </w:rPr>
        <w:t xml:space="preserve"> fiili veya hukuki </w:t>
      </w:r>
      <w:r w:rsidR="007D2D81" w:rsidRPr="00872D7E">
        <w:rPr>
          <w:szCs w:val="20"/>
        </w:rPr>
        <w:t xml:space="preserve">bir </w:t>
      </w:r>
      <w:r w:rsidR="00EC21FC" w:rsidRPr="00872D7E">
        <w:rPr>
          <w:szCs w:val="20"/>
        </w:rPr>
        <w:t>engel bulunmamaktadır.</w:t>
      </w:r>
    </w:p>
    <w:p w14:paraId="2E40FE1A" w14:textId="77777777" w:rsidR="009A68DC" w:rsidRPr="00872D7E" w:rsidRDefault="009A68DC" w:rsidP="009F6E11">
      <w:pPr>
        <w:pStyle w:val="BodyTextIndent"/>
        <w:widowControl w:val="0"/>
        <w:spacing w:line="235" w:lineRule="auto"/>
        <w:ind w:left="851" w:firstLine="0"/>
        <w:rPr>
          <w:szCs w:val="20"/>
        </w:rPr>
      </w:pPr>
    </w:p>
    <w:p w14:paraId="39B30319" w14:textId="77777777" w:rsidR="009A68DC" w:rsidRPr="00872D7E" w:rsidRDefault="009A68DC" w:rsidP="009F6E11">
      <w:pPr>
        <w:pStyle w:val="BodyTextIndent"/>
        <w:widowControl w:val="0"/>
        <w:spacing w:line="235" w:lineRule="auto"/>
        <w:ind w:left="851" w:firstLine="0"/>
        <w:rPr>
          <w:szCs w:val="20"/>
        </w:rPr>
      </w:pPr>
    </w:p>
    <w:p w14:paraId="1BB3D517" w14:textId="77777777" w:rsidR="009A68DC" w:rsidRPr="00872D7E" w:rsidRDefault="009A68DC" w:rsidP="009F6E11">
      <w:pPr>
        <w:pStyle w:val="BodyTextIndent"/>
        <w:widowControl w:val="0"/>
        <w:spacing w:line="235" w:lineRule="auto"/>
        <w:ind w:left="851" w:firstLine="0"/>
        <w:rPr>
          <w:szCs w:val="20"/>
        </w:rPr>
      </w:pPr>
    </w:p>
    <w:p w14:paraId="448B5018" w14:textId="77777777" w:rsidR="009A68DC" w:rsidRPr="00872D7E" w:rsidRDefault="009A68DC" w:rsidP="009F6E11">
      <w:pPr>
        <w:pStyle w:val="BodyTextIndent"/>
        <w:widowControl w:val="0"/>
        <w:spacing w:line="235" w:lineRule="auto"/>
        <w:ind w:left="851" w:firstLine="0"/>
        <w:rPr>
          <w:szCs w:val="20"/>
        </w:rPr>
      </w:pPr>
    </w:p>
    <w:p w14:paraId="2CB5B8E5" w14:textId="77777777" w:rsidR="009A68DC" w:rsidRPr="00872D7E" w:rsidRDefault="009A68DC" w:rsidP="009F6E11">
      <w:pPr>
        <w:pStyle w:val="BodyTextIndent"/>
        <w:widowControl w:val="0"/>
        <w:spacing w:line="235" w:lineRule="auto"/>
        <w:ind w:left="851" w:firstLine="0"/>
        <w:rPr>
          <w:szCs w:val="20"/>
        </w:rPr>
        <w:sectPr w:rsidR="009A68DC" w:rsidRPr="00872D7E" w:rsidSect="002F6A72">
          <w:headerReference w:type="even" r:id="rId24"/>
          <w:headerReference w:type="default" r:id="rId25"/>
          <w:footerReference w:type="even" r:id="rId26"/>
          <w:footerReference w:type="default" r:id="rId27"/>
          <w:headerReference w:type="first" r:id="rId28"/>
          <w:footerReference w:type="first" r:id="rId29"/>
          <w:pgSz w:w="11907" w:h="16840" w:code="9"/>
          <w:pgMar w:top="1134" w:right="1134" w:bottom="1134" w:left="1701" w:header="851" w:footer="851" w:gutter="0"/>
          <w:pgNumType w:start="1"/>
          <w:cols w:space="720"/>
          <w:noEndnote/>
          <w:titlePg/>
          <w:docGrid w:linePitch="326"/>
        </w:sectPr>
      </w:pPr>
    </w:p>
    <w:p w14:paraId="26D2A522" w14:textId="2F8C8961" w:rsidR="002820D7" w:rsidRPr="00872D7E" w:rsidRDefault="002820D7" w:rsidP="000771F8"/>
    <w:p w14:paraId="5B27FE0B" w14:textId="77777777" w:rsidR="007B020B" w:rsidRPr="00872D7E" w:rsidRDefault="007B020B" w:rsidP="000771F8"/>
    <w:p w14:paraId="32C142B3" w14:textId="77777777" w:rsidR="007B020B" w:rsidRPr="00872D7E" w:rsidRDefault="007B020B" w:rsidP="000771F8"/>
    <w:p w14:paraId="1D663490" w14:textId="59CA4D42" w:rsidR="007B020B" w:rsidRPr="00872D7E" w:rsidRDefault="007B020B" w:rsidP="000771F8"/>
    <w:p w14:paraId="4102BBB0" w14:textId="20E71932" w:rsidR="000771F8" w:rsidRPr="00872D7E" w:rsidRDefault="000771F8" w:rsidP="000771F8"/>
    <w:p w14:paraId="5CBE46DD" w14:textId="0AB172DE" w:rsidR="000771F8" w:rsidRPr="00872D7E" w:rsidRDefault="000771F8" w:rsidP="000771F8"/>
    <w:p w14:paraId="5490554F" w14:textId="77777777" w:rsidR="000771F8" w:rsidRPr="00872D7E" w:rsidRDefault="000771F8" w:rsidP="000771F8"/>
    <w:p w14:paraId="12719E06" w14:textId="3B288AEB" w:rsidR="005903A3" w:rsidRPr="00872D7E" w:rsidRDefault="002820D7" w:rsidP="002820D7">
      <w:pPr>
        <w:pStyle w:val="BodyTextIndent"/>
        <w:widowControl w:val="0"/>
        <w:tabs>
          <w:tab w:val="left" w:pos="851"/>
        </w:tabs>
        <w:ind w:firstLine="0"/>
        <w:jc w:val="center"/>
        <w:rPr>
          <w:b/>
          <w:szCs w:val="20"/>
        </w:rPr>
      </w:pPr>
      <w:r w:rsidRPr="00872D7E">
        <w:rPr>
          <w:b/>
          <w:szCs w:val="20"/>
        </w:rPr>
        <w:t>İKİNCİ BÖLÜM</w:t>
      </w:r>
    </w:p>
    <w:p w14:paraId="2BC7F970" w14:textId="77777777" w:rsidR="005903A3" w:rsidRPr="00872D7E" w:rsidRDefault="005903A3" w:rsidP="002820D7">
      <w:pPr>
        <w:pStyle w:val="BodyTextIndent"/>
        <w:widowControl w:val="0"/>
        <w:tabs>
          <w:tab w:val="left" w:pos="851"/>
        </w:tabs>
        <w:ind w:left="851" w:firstLine="0"/>
        <w:jc w:val="center"/>
        <w:rPr>
          <w:b/>
          <w:szCs w:val="20"/>
        </w:rPr>
      </w:pPr>
    </w:p>
    <w:p w14:paraId="31B90C70" w14:textId="44557468" w:rsidR="005903A3" w:rsidRPr="00872D7E" w:rsidRDefault="002820D7" w:rsidP="002820D7">
      <w:pPr>
        <w:pStyle w:val="BodyTextIndent"/>
        <w:widowControl w:val="0"/>
        <w:ind w:left="644" w:firstLine="0"/>
        <w:jc w:val="center"/>
        <w:rPr>
          <w:b/>
          <w:szCs w:val="20"/>
        </w:rPr>
      </w:pPr>
      <w:r w:rsidRPr="00872D7E">
        <w:rPr>
          <w:b/>
          <w:szCs w:val="20"/>
        </w:rPr>
        <w:t>KONSOLİDE OLMAYAN FİNANSAL TABLOLAR</w:t>
      </w:r>
    </w:p>
    <w:p w14:paraId="231EFADB" w14:textId="77777777" w:rsidR="005903A3" w:rsidRPr="00872D7E" w:rsidRDefault="005903A3" w:rsidP="002820D7">
      <w:pPr>
        <w:pStyle w:val="BodyTextIndent"/>
        <w:widowControl w:val="0"/>
        <w:ind w:left="644" w:hanging="709"/>
        <w:jc w:val="center"/>
        <w:rPr>
          <w:b/>
          <w:szCs w:val="20"/>
        </w:rPr>
      </w:pPr>
    </w:p>
    <w:p w14:paraId="768A790C" w14:textId="3040B103" w:rsidR="005903A3" w:rsidRPr="00872D7E" w:rsidRDefault="002820D7" w:rsidP="00DF282B">
      <w:pPr>
        <w:pStyle w:val="ListParagraph"/>
        <w:widowControl w:val="0"/>
        <w:numPr>
          <w:ilvl w:val="0"/>
          <w:numId w:val="39"/>
        </w:numPr>
        <w:ind w:left="644" w:hanging="709"/>
        <w:rPr>
          <w:szCs w:val="20"/>
        </w:rPr>
      </w:pPr>
      <w:r w:rsidRPr="00872D7E">
        <w:rPr>
          <w:szCs w:val="20"/>
        </w:rPr>
        <w:t>BİLANÇO (FİNANSAL DURUM TABLOSU)</w:t>
      </w:r>
    </w:p>
    <w:p w14:paraId="384B524D" w14:textId="05E8593B" w:rsidR="005903A3" w:rsidRPr="00872D7E" w:rsidRDefault="002820D7" w:rsidP="00DF282B">
      <w:pPr>
        <w:pStyle w:val="ListParagraph"/>
        <w:widowControl w:val="0"/>
        <w:numPr>
          <w:ilvl w:val="0"/>
          <w:numId w:val="39"/>
        </w:numPr>
        <w:ind w:left="644" w:hanging="709"/>
        <w:rPr>
          <w:szCs w:val="20"/>
        </w:rPr>
      </w:pPr>
      <w:r w:rsidRPr="00872D7E">
        <w:rPr>
          <w:szCs w:val="20"/>
        </w:rPr>
        <w:t>NAZIM HESAPLAR TABLOSU</w:t>
      </w:r>
    </w:p>
    <w:p w14:paraId="3CA132D5" w14:textId="3B875DF3" w:rsidR="005903A3" w:rsidRPr="00872D7E" w:rsidRDefault="002820D7" w:rsidP="00DF282B">
      <w:pPr>
        <w:pStyle w:val="ListParagraph"/>
        <w:widowControl w:val="0"/>
        <w:numPr>
          <w:ilvl w:val="0"/>
          <w:numId w:val="39"/>
        </w:numPr>
        <w:ind w:left="644" w:hanging="709"/>
        <w:rPr>
          <w:szCs w:val="20"/>
        </w:rPr>
      </w:pPr>
      <w:r w:rsidRPr="00872D7E">
        <w:rPr>
          <w:szCs w:val="20"/>
        </w:rPr>
        <w:t>KAR VEYA ZARAR TABLOSU</w:t>
      </w:r>
    </w:p>
    <w:p w14:paraId="0F27ED93" w14:textId="5D927777" w:rsidR="005903A3" w:rsidRPr="00872D7E" w:rsidRDefault="002820D7" w:rsidP="00DF282B">
      <w:pPr>
        <w:pStyle w:val="ListParagraph"/>
        <w:widowControl w:val="0"/>
        <w:numPr>
          <w:ilvl w:val="0"/>
          <w:numId w:val="39"/>
        </w:numPr>
        <w:ind w:left="644" w:hanging="709"/>
        <w:rPr>
          <w:szCs w:val="20"/>
        </w:rPr>
      </w:pPr>
      <w:r w:rsidRPr="00872D7E">
        <w:rPr>
          <w:szCs w:val="20"/>
        </w:rPr>
        <w:t>KAR VEYA ZARAR VE DİĞER KAPSAMLI GELİR TABLOSU</w:t>
      </w:r>
    </w:p>
    <w:p w14:paraId="09D1CBDD" w14:textId="65BEC992" w:rsidR="005903A3" w:rsidRPr="00872D7E" w:rsidRDefault="002820D7" w:rsidP="00DF282B">
      <w:pPr>
        <w:pStyle w:val="ListParagraph"/>
        <w:widowControl w:val="0"/>
        <w:numPr>
          <w:ilvl w:val="0"/>
          <w:numId w:val="39"/>
        </w:numPr>
        <w:ind w:left="644" w:hanging="709"/>
        <w:rPr>
          <w:szCs w:val="20"/>
        </w:rPr>
      </w:pPr>
      <w:r w:rsidRPr="00872D7E">
        <w:rPr>
          <w:szCs w:val="20"/>
        </w:rPr>
        <w:t>ÖZKAYNAKLAR DEĞİŞİM TABLOSU</w:t>
      </w:r>
    </w:p>
    <w:p w14:paraId="50869E3F" w14:textId="5B97EAB7" w:rsidR="005903A3" w:rsidRPr="00872D7E" w:rsidRDefault="002820D7" w:rsidP="00DF282B">
      <w:pPr>
        <w:pStyle w:val="ListParagraph"/>
        <w:widowControl w:val="0"/>
        <w:numPr>
          <w:ilvl w:val="0"/>
          <w:numId w:val="39"/>
        </w:numPr>
        <w:ind w:left="644" w:hanging="709"/>
        <w:rPr>
          <w:szCs w:val="20"/>
        </w:rPr>
      </w:pPr>
      <w:r w:rsidRPr="00872D7E">
        <w:rPr>
          <w:szCs w:val="20"/>
        </w:rPr>
        <w:t>NAKİT AKIŞ TABLOSU</w:t>
      </w:r>
    </w:p>
    <w:p w14:paraId="6E146697" w14:textId="461F6C9D" w:rsidR="00BA58E0" w:rsidRPr="00872D7E" w:rsidRDefault="00BA58E0" w:rsidP="00DF282B">
      <w:pPr>
        <w:pStyle w:val="ListParagraph"/>
        <w:widowControl w:val="0"/>
        <w:numPr>
          <w:ilvl w:val="0"/>
          <w:numId w:val="39"/>
        </w:numPr>
        <w:ind w:left="644" w:hanging="709"/>
        <w:rPr>
          <w:szCs w:val="20"/>
        </w:rPr>
      </w:pPr>
      <w:r w:rsidRPr="00872D7E">
        <w:rPr>
          <w:szCs w:val="20"/>
        </w:rPr>
        <w:t>KAR DAĞITIM TABLOSU</w:t>
      </w:r>
    </w:p>
    <w:p w14:paraId="219CE5D0" w14:textId="1B3AE897" w:rsidR="005903A3" w:rsidRPr="00872D7E" w:rsidRDefault="005903A3" w:rsidP="002820D7">
      <w:pPr>
        <w:widowControl w:val="0"/>
        <w:rPr>
          <w:szCs w:val="20"/>
        </w:rPr>
      </w:pPr>
    </w:p>
    <w:p w14:paraId="3DF99B5C" w14:textId="2BC9E7BC" w:rsidR="005903A3" w:rsidRPr="00872D7E" w:rsidRDefault="005903A3" w:rsidP="002820D7">
      <w:pPr>
        <w:widowControl w:val="0"/>
        <w:rPr>
          <w:szCs w:val="20"/>
        </w:rPr>
      </w:pPr>
    </w:p>
    <w:p w14:paraId="7BCBE837" w14:textId="58988CC6" w:rsidR="005903A3" w:rsidRPr="00872D7E" w:rsidRDefault="005903A3" w:rsidP="005903A3">
      <w:pPr>
        <w:widowControl w:val="0"/>
      </w:pPr>
    </w:p>
    <w:p w14:paraId="6F5D7F70" w14:textId="70EEE106" w:rsidR="005903A3" w:rsidRPr="00872D7E" w:rsidRDefault="005903A3" w:rsidP="005903A3">
      <w:pPr>
        <w:widowControl w:val="0"/>
      </w:pPr>
    </w:p>
    <w:p w14:paraId="173B8E68" w14:textId="62D2DC8F" w:rsidR="005903A3" w:rsidRPr="00872D7E" w:rsidRDefault="005903A3" w:rsidP="005903A3">
      <w:pPr>
        <w:widowControl w:val="0"/>
      </w:pPr>
    </w:p>
    <w:p w14:paraId="4E643D4E" w14:textId="77777777" w:rsidR="005903A3" w:rsidRPr="00872D7E" w:rsidRDefault="005903A3" w:rsidP="005903A3">
      <w:pPr>
        <w:widowControl w:val="0"/>
      </w:pPr>
    </w:p>
    <w:p w14:paraId="1673D787" w14:textId="77777777" w:rsidR="005903A3" w:rsidRPr="00872D7E" w:rsidRDefault="005903A3" w:rsidP="009F6E11">
      <w:pPr>
        <w:pStyle w:val="BodyTextIndent"/>
        <w:widowControl w:val="0"/>
        <w:spacing w:line="235" w:lineRule="auto"/>
        <w:ind w:firstLine="0"/>
        <w:rPr>
          <w:szCs w:val="20"/>
        </w:rPr>
      </w:pPr>
    </w:p>
    <w:p w14:paraId="297BEE4C" w14:textId="77777777" w:rsidR="005903A3" w:rsidRPr="00872D7E" w:rsidRDefault="005903A3" w:rsidP="009F6E11">
      <w:pPr>
        <w:pStyle w:val="BodyTextIndent"/>
        <w:widowControl w:val="0"/>
        <w:spacing w:line="235" w:lineRule="auto"/>
        <w:ind w:firstLine="0"/>
        <w:rPr>
          <w:szCs w:val="20"/>
        </w:rPr>
      </w:pPr>
    </w:p>
    <w:p w14:paraId="7A15C84A" w14:textId="4ECCFFBE" w:rsidR="005903A3" w:rsidRPr="00872D7E" w:rsidRDefault="005903A3" w:rsidP="009F6E11">
      <w:pPr>
        <w:pStyle w:val="BodyTextIndent"/>
        <w:widowControl w:val="0"/>
        <w:spacing w:line="235" w:lineRule="auto"/>
        <w:ind w:firstLine="0"/>
        <w:rPr>
          <w:szCs w:val="20"/>
        </w:rPr>
        <w:sectPr w:rsidR="005903A3" w:rsidRPr="00872D7E" w:rsidSect="00AF79D0">
          <w:headerReference w:type="first" r:id="rId30"/>
          <w:footerReference w:type="first" r:id="rId31"/>
          <w:pgSz w:w="11907" w:h="16840" w:code="9"/>
          <w:pgMar w:top="1134" w:right="1134" w:bottom="1134" w:left="1701" w:header="851" w:footer="851" w:gutter="0"/>
          <w:pgNumType w:start="1"/>
          <w:cols w:space="720"/>
          <w:noEndnote/>
          <w:titlePg/>
          <w:docGrid w:linePitch="326"/>
        </w:sectPr>
      </w:pPr>
    </w:p>
    <w:tbl>
      <w:tblPr>
        <w:tblW w:w="10250" w:type="dxa"/>
        <w:tblCellMar>
          <w:left w:w="70" w:type="dxa"/>
          <w:right w:w="70" w:type="dxa"/>
        </w:tblCellMar>
        <w:tblLook w:val="04A0" w:firstRow="1" w:lastRow="0" w:firstColumn="1" w:lastColumn="0" w:noHBand="0" w:noVBand="1"/>
      </w:tblPr>
      <w:tblGrid>
        <w:gridCol w:w="566"/>
        <w:gridCol w:w="4107"/>
        <w:gridCol w:w="709"/>
        <w:gridCol w:w="833"/>
        <w:gridCol w:w="779"/>
        <w:gridCol w:w="852"/>
        <w:gridCol w:w="692"/>
        <w:gridCol w:w="759"/>
        <w:gridCol w:w="953"/>
      </w:tblGrid>
      <w:tr w:rsidR="00862A01" w:rsidRPr="00872D7E" w14:paraId="6E8B54F0" w14:textId="77777777" w:rsidTr="00862A01">
        <w:trPr>
          <w:divId w:val="715470775"/>
          <w:trHeight w:val="113"/>
        </w:trPr>
        <w:tc>
          <w:tcPr>
            <w:tcW w:w="467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937E639" w14:textId="1E166268" w:rsidR="00862A01" w:rsidRPr="00872D7E" w:rsidRDefault="00862A01" w:rsidP="00862A01">
            <w:pPr>
              <w:jc w:val="center"/>
              <w:rPr>
                <w:b/>
                <w:bCs/>
                <w:color w:val="000000"/>
                <w:sz w:val="14"/>
                <w:szCs w:val="14"/>
              </w:rPr>
            </w:pPr>
            <w:r w:rsidRPr="00872D7E">
              <w:rPr>
                <w:b/>
                <w:bCs/>
                <w:color w:val="000000"/>
                <w:sz w:val="14"/>
                <w:szCs w:val="14"/>
              </w:rPr>
              <w:lastRenderedPageBreak/>
              <w:t>VARLIKLAR</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87C1FE" w14:textId="77777777" w:rsidR="00862A01" w:rsidRPr="00872D7E" w:rsidRDefault="00862A01" w:rsidP="00862A01">
            <w:pPr>
              <w:jc w:val="center"/>
              <w:rPr>
                <w:b/>
                <w:bCs/>
                <w:color w:val="000000"/>
                <w:sz w:val="14"/>
                <w:szCs w:val="14"/>
              </w:rPr>
            </w:pPr>
            <w:r w:rsidRPr="00872D7E">
              <w:rPr>
                <w:b/>
                <w:bCs/>
                <w:color w:val="000000"/>
                <w:sz w:val="14"/>
                <w:szCs w:val="14"/>
              </w:rPr>
              <w:t>Dipnot (Beşinci Bölüm-I)</w:t>
            </w:r>
          </w:p>
        </w:tc>
        <w:tc>
          <w:tcPr>
            <w:tcW w:w="2464" w:type="dxa"/>
            <w:gridSpan w:val="3"/>
            <w:tcBorders>
              <w:top w:val="single" w:sz="4" w:space="0" w:color="auto"/>
              <w:left w:val="nil"/>
              <w:bottom w:val="single" w:sz="4" w:space="0" w:color="auto"/>
              <w:right w:val="single" w:sz="4" w:space="0" w:color="000000"/>
            </w:tcBorders>
            <w:shd w:val="clear" w:color="auto" w:fill="auto"/>
            <w:vAlign w:val="bottom"/>
            <w:hideMark/>
          </w:tcPr>
          <w:p w14:paraId="332A0A56" w14:textId="77777777" w:rsidR="00862A01" w:rsidRPr="00872D7E" w:rsidRDefault="00862A01" w:rsidP="00862A01">
            <w:pPr>
              <w:jc w:val="center"/>
              <w:rPr>
                <w:b/>
                <w:bCs/>
                <w:color w:val="000000"/>
                <w:sz w:val="14"/>
                <w:szCs w:val="14"/>
              </w:rPr>
            </w:pPr>
            <w:r w:rsidRPr="00872D7E">
              <w:rPr>
                <w:b/>
                <w:bCs/>
                <w:color w:val="000000"/>
                <w:sz w:val="14"/>
                <w:szCs w:val="14"/>
              </w:rPr>
              <w:t>31 Aralık 2024</w:t>
            </w:r>
          </w:p>
        </w:tc>
        <w:tc>
          <w:tcPr>
            <w:tcW w:w="2404" w:type="dxa"/>
            <w:gridSpan w:val="3"/>
            <w:tcBorders>
              <w:top w:val="single" w:sz="4" w:space="0" w:color="auto"/>
              <w:left w:val="nil"/>
              <w:bottom w:val="single" w:sz="4" w:space="0" w:color="auto"/>
              <w:right w:val="single" w:sz="4" w:space="0" w:color="000000"/>
            </w:tcBorders>
            <w:shd w:val="clear" w:color="auto" w:fill="auto"/>
            <w:vAlign w:val="bottom"/>
            <w:hideMark/>
          </w:tcPr>
          <w:p w14:paraId="6EDB4FA5" w14:textId="77777777" w:rsidR="00862A01" w:rsidRPr="00872D7E" w:rsidRDefault="00862A01" w:rsidP="00862A01">
            <w:pPr>
              <w:jc w:val="center"/>
              <w:rPr>
                <w:b/>
                <w:bCs/>
                <w:color w:val="000000"/>
                <w:sz w:val="14"/>
                <w:szCs w:val="14"/>
              </w:rPr>
            </w:pPr>
            <w:r w:rsidRPr="00872D7E">
              <w:rPr>
                <w:b/>
                <w:bCs/>
                <w:color w:val="000000"/>
                <w:sz w:val="14"/>
                <w:szCs w:val="14"/>
              </w:rPr>
              <w:t>1 Ocak 2024</w:t>
            </w:r>
            <w:r w:rsidRPr="00872D7E">
              <w:rPr>
                <w:b/>
                <w:bCs/>
                <w:color w:val="000000"/>
                <w:sz w:val="14"/>
                <w:szCs w:val="14"/>
                <w:vertAlign w:val="superscript"/>
              </w:rPr>
              <w:t xml:space="preserve"> (*)</w:t>
            </w:r>
          </w:p>
        </w:tc>
      </w:tr>
      <w:tr w:rsidR="00862A01" w:rsidRPr="00872D7E" w14:paraId="4F6AB600" w14:textId="77777777" w:rsidTr="00296257">
        <w:trPr>
          <w:divId w:val="715470775"/>
          <w:trHeight w:val="113"/>
        </w:trPr>
        <w:tc>
          <w:tcPr>
            <w:tcW w:w="4673" w:type="dxa"/>
            <w:gridSpan w:val="2"/>
            <w:vMerge/>
            <w:tcBorders>
              <w:top w:val="single" w:sz="4" w:space="0" w:color="auto"/>
              <w:left w:val="single" w:sz="4" w:space="0" w:color="auto"/>
              <w:bottom w:val="single" w:sz="4" w:space="0" w:color="000000"/>
              <w:right w:val="single" w:sz="4" w:space="0" w:color="000000"/>
            </w:tcBorders>
            <w:vAlign w:val="center"/>
            <w:hideMark/>
          </w:tcPr>
          <w:p w14:paraId="72467FE2" w14:textId="77777777" w:rsidR="00862A01" w:rsidRPr="00872D7E" w:rsidRDefault="00862A01" w:rsidP="00862A01">
            <w:pPr>
              <w:rPr>
                <w:color w:val="000000"/>
                <w:sz w:val="14"/>
                <w:szCs w:val="14"/>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15A4F551" w14:textId="77777777" w:rsidR="00862A01" w:rsidRPr="00872D7E" w:rsidRDefault="00862A01" w:rsidP="00862A01">
            <w:pPr>
              <w:rPr>
                <w:b/>
                <w:bCs/>
                <w:color w:val="000000"/>
                <w:sz w:val="14"/>
                <w:szCs w:val="14"/>
              </w:rPr>
            </w:pPr>
          </w:p>
        </w:tc>
        <w:tc>
          <w:tcPr>
            <w:tcW w:w="833" w:type="dxa"/>
            <w:tcBorders>
              <w:top w:val="single" w:sz="4" w:space="0" w:color="auto"/>
              <w:left w:val="nil"/>
              <w:bottom w:val="single" w:sz="4" w:space="0" w:color="auto"/>
              <w:right w:val="single" w:sz="4" w:space="0" w:color="auto"/>
            </w:tcBorders>
            <w:shd w:val="clear" w:color="auto" w:fill="auto"/>
            <w:vAlign w:val="bottom"/>
            <w:hideMark/>
          </w:tcPr>
          <w:p w14:paraId="7463F3C6" w14:textId="77777777" w:rsidR="00862A01" w:rsidRPr="00872D7E" w:rsidRDefault="00862A01" w:rsidP="00862A01">
            <w:pPr>
              <w:jc w:val="center"/>
              <w:rPr>
                <w:b/>
                <w:bCs/>
                <w:color w:val="000000"/>
                <w:sz w:val="14"/>
                <w:szCs w:val="14"/>
              </w:rPr>
            </w:pPr>
            <w:r w:rsidRPr="00872D7E">
              <w:rPr>
                <w:b/>
                <w:bCs/>
                <w:color w:val="000000"/>
                <w:sz w:val="14"/>
                <w:szCs w:val="14"/>
              </w:rPr>
              <w:t>TP</w:t>
            </w:r>
          </w:p>
        </w:tc>
        <w:tc>
          <w:tcPr>
            <w:tcW w:w="779" w:type="dxa"/>
            <w:tcBorders>
              <w:top w:val="single" w:sz="4" w:space="0" w:color="auto"/>
              <w:left w:val="nil"/>
              <w:bottom w:val="single" w:sz="4" w:space="0" w:color="auto"/>
              <w:right w:val="single" w:sz="4" w:space="0" w:color="auto"/>
            </w:tcBorders>
            <w:shd w:val="clear" w:color="auto" w:fill="auto"/>
            <w:vAlign w:val="bottom"/>
            <w:hideMark/>
          </w:tcPr>
          <w:p w14:paraId="398BDA7B" w14:textId="77777777" w:rsidR="00862A01" w:rsidRPr="00872D7E" w:rsidRDefault="00862A01" w:rsidP="00862A01">
            <w:pPr>
              <w:jc w:val="center"/>
              <w:rPr>
                <w:b/>
                <w:bCs/>
                <w:color w:val="000000"/>
                <w:sz w:val="14"/>
                <w:szCs w:val="14"/>
              </w:rPr>
            </w:pPr>
            <w:r w:rsidRPr="00872D7E">
              <w:rPr>
                <w:b/>
                <w:bCs/>
                <w:color w:val="000000"/>
                <w:sz w:val="14"/>
                <w:szCs w:val="14"/>
              </w:rPr>
              <w:t>YP</w:t>
            </w:r>
          </w:p>
        </w:tc>
        <w:tc>
          <w:tcPr>
            <w:tcW w:w="852" w:type="dxa"/>
            <w:tcBorders>
              <w:top w:val="single" w:sz="4" w:space="0" w:color="auto"/>
              <w:left w:val="nil"/>
              <w:bottom w:val="single" w:sz="4" w:space="0" w:color="auto"/>
              <w:right w:val="single" w:sz="4" w:space="0" w:color="auto"/>
            </w:tcBorders>
            <w:shd w:val="clear" w:color="auto" w:fill="auto"/>
            <w:vAlign w:val="bottom"/>
            <w:hideMark/>
          </w:tcPr>
          <w:p w14:paraId="45497BB9" w14:textId="77777777" w:rsidR="00862A01" w:rsidRPr="00872D7E" w:rsidRDefault="00862A01" w:rsidP="00862A01">
            <w:pPr>
              <w:jc w:val="center"/>
              <w:rPr>
                <w:b/>
                <w:bCs/>
                <w:color w:val="000000"/>
                <w:sz w:val="14"/>
                <w:szCs w:val="14"/>
              </w:rPr>
            </w:pPr>
            <w:r w:rsidRPr="00872D7E">
              <w:rPr>
                <w:b/>
                <w:bCs/>
                <w:color w:val="000000"/>
                <w:sz w:val="14"/>
                <w:szCs w:val="14"/>
              </w:rPr>
              <w:t>Toplam</w:t>
            </w:r>
          </w:p>
        </w:tc>
        <w:tc>
          <w:tcPr>
            <w:tcW w:w="692" w:type="dxa"/>
            <w:tcBorders>
              <w:top w:val="single" w:sz="4" w:space="0" w:color="auto"/>
              <w:left w:val="nil"/>
              <w:bottom w:val="single" w:sz="4" w:space="0" w:color="auto"/>
              <w:right w:val="single" w:sz="4" w:space="0" w:color="auto"/>
            </w:tcBorders>
            <w:shd w:val="clear" w:color="auto" w:fill="auto"/>
            <w:vAlign w:val="bottom"/>
            <w:hideMark/>
          </w:tcPr>
          <w:p w14:paraId="2F1C3649" w14:textId="77777777" w:rsidR="00862A01" w:rsidRPr="00872D7E" w:rsidRDefault="00862A01" w:rsidP="00862A01">
            <w:pPr>
              <w:jc w:val="center"/>
              <w:rPr>
                <w:b/>
                <w:bCs/>
                <w:color w:val="000000"/>
                <w:sz w:val="14"/>
                <w:szCs w:val="14"/>
              </w:rPr>
            </w:pPr>
            <w:r w:rsidRPr="00872D7E">
              <w:rPr>
                <w:b/>
                <w:bCs/>
                <w:color w:val="000000"/>
                <w:sz w:val="14"/>
                <w:szCs w:val="14"/>
              </w:rPr>
              <w:t>TP</w:t>
            </w:r>
          </w:p>
        </w:tc>
        <w:tc>
          <w:tcPr>
            <w:tcW w:w="759" w:type="dxa"/>
            <w:tcBorders>
              <w:top w:val="single" w:sz="4" w:space="0" w:color="auto"/>
              <w:left w:val="nil"/>
              <w:bottom w:val="single" w:sz="4" w:space="0" w:color="auto"/>
              <w:right w:val="single" w:sz="4" w:space="0" w:color="auto"/>
            </w:tcBorders>
            <w:shd w:val="clear" w:color="auto" w:fill="auto"/>
            <w:vAlign w:val="bottom"/>
            <w:hideMark/>
          </w:tcPr>
          <w:p w14:paraId="685B4C55" w14:textId="77777777" w:rsidR="00862A01" w:rsidRPr="00872D7E" w:rsidRDefault="00862A01" w:rsidP="00862A01">
            <w:pPr>
              <w:jc w:val="center"/>
              <w:rPr>
                <w:b/>
                <w:bCs/>
                <w:color w:val="000000"/>
                <w:sz w:val="14"/>
                <w:szCs w:val="14"/>
              </w:rPr>
            </w:pPr>
            <w:r w:rsidRPr="00872D7E">
              <w:rPr>
                <w:b/>
                <w:bCs/>
                <w:color w:val="000000"/>
                <w:sz w:val="14"/>
                <w:szCs w:val="14"/>
              </w:rPr>
              <w:t>YP</w:t>
            </w:r>
          </w:p>
        </w:tc>
        <w:tc>
          <w:tcPr>
            <w:tcW w:w="953" w:type="dxa"/>
            <w:tcBorders>
              <w:top w:val="single" w:sz="4" w:space="0" w:color="auto"/>
              <w:left w:val="nil"/>
              <w:bottom w:val="single" w:sz="4" w:space="0" w:color="auto"/>
              <w:right w:val="single" w:sz="4" w:space="0" w:color="auto"/>
            </w:tcBorders>
            <w:shd w:val="clear" w:color="auto" w:fill="auto"/>
            <w:vAlign w:val="bottom"/>
            <w:hideMark/>
          </w:tcPr>
          <w:p w14:paraId="118C5377" w14:textId="77777777" w:rsidR="00862A01" w:rsidRPr="00872D7E" w:rsidRDefault="00862A01" w:rsidP="00862A01">
            <w:pPr>
              <w:jc w:val="center"/>
              <w:rPr>
                <w:b/>
                <w:bCs/>
                <w:color w:val="000000"/>
                <w:sz w:val="14"/>
                <w:szCs w:val="14"/>
              </w:rPr>
            </w:pPr>
            <w:r w:rsidRPr="00872D7E">
              <w:rPr>
                <w:b/>
                <w:bCs/>
                <w:color w:val="000000"/>
                <w:sz w:val="14"/>
                <w:szCs w:val="14"/>
              </w:rPr>
              <w:t>Toplam</w:t>
            </w:r>
          </w:p>
        </w:tc>
      </w:tr>
      <w:tr w:rsidR="00862A01" w:rsidRPr="00872D7E" w14:paraId="477F5F97"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4BD4F990" w14:textId="77777777" w:rsidR="00862A01" w:rsidRPr="00872D7E" w:rsidRDefault="00862A01" w:rsidP="00862A01">
            <w:pPr>
              <w:rPr>
                <w:b/>
                <w:bCs/>
                <w:color w:val="000000"/>
                <w:sz w:val="14"/>
                <w:szCs w:val="14"/>
              </w:rPr>
            </w:pPr>
            <w:r w:rsidRPr="00872D7E">
              <w:rPr>
                <w:b/>
                <w:bCs/>
                <w:color w:val="000000"/>
                <w:sz w:val="14"/>
                <w:szCs w:val="14"/>
              </w:rPr>
              <w:t>I.</w:t>
            </w:r>
          </w:p>
        </w:tc>
        <w:tc>
          <w:tcPr>
            <w:tcW w:w="4107" w:type="dxa"/>
            <w:tcBorders>
              <w:top w:val="nil"/>
              <w:left w:val="nil"/>
              <w:bottom w:val="nil"/>
              <w:right w:val="single" w:sz="4" w:space="0" w:color="auto"/>
            </w:tcBorders>
            <w:shd w:val="clear" w:color="auto" w:fill="auto"/>
            <w:hideMark/>
          </w:tcPr>
          <w:p w14:paraId="4476E1CE" w14:textId="77777777" w:rsidR="00862A01" w:rsidRPr="00872D7E" w:rsidRDefault="00862A01" w:rsidP="00862A01">
            <w:pPr>
              <w:rPr>
                <w:b/>
                <w:bCs/>
                <w:color w:val="000000"/>
                <w:sz w:val="14"/>
                <w:szCs w:val="14"/>
              </w:rPr>
            </w:pPr>
            <w:r w:rsidRPr="00872D7E">
              <w:rPr>
                <w:b/>
                <w:bCs/>
                <w:color w:val="000000"/>
                <w:sz w:val="14"/>
                <w:szCs w:val="14"/>
              </w:rPr>
              <w:t>FİNANSAL VARLIKLAR (Net)</w:t>
            </w:r>
          </w:p>
        </w:tc>
        <w:tc>
          <w:tcPr>
            <w:tcW w:w="709" w:type="dxa"/>
            <w:tcBorders>
              <w:top w:val="nil"/>
              <w:left w:val="nil"/>
              <w:bottom w:val="nil"/>
              <w:right w:val="nil"/>
            </w:tcBorders>
            <w:shd w:val="clear" w:color="auto" w:fill="auto"/>
            <w:noWrap/>
            <w:hideMark/>
          </w:tcPr>
          <w:p w14:paraId="1FC1632C"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59063F76" w14:textId="77777777" w:rsidR="00862A01" w:rsidRPr="00872D7E" w:rsidRDefault="00862A01" w:rsidP="00862A01">
            <w:pPr>
              <w:jc w:val="right"/>
              <w:rPr>
                <w:b/>
                <w:bCs/>
                <w:color w:val="000000"/>
                <w:sz w:val="14"/>
                <w:szCs w:val="14"/>
              </w:rPr>
            </w:pPr>
            <w:r w:rsidRPr="00872D7E">
              <w:rPr>
                <w:b/>
                <w:bCs/>
                <w:color w:val="000000"/>
                <w:sz w:val="14"/>
                <w:szCs w:val="14"/>
              </w:rPr>
              <w:t>3.206.650</w:t>
            </w:r>
          </w:p>
        </w:tc>
        <w:tc>
          <w:tcPr>
            <w:tcW w:w="779" w:type="dxa"/>
            <w:tcBorders>
              <w:top w:val="nil"/>
              <w:left w:val="single" w:sz="4" w:space="0" w:color="auto"/>
              <w:bottom w:val="nil"/>
              <w:right w:val="nil"/>
            </w:tcBorders>
            <w:shd w:val="clear" w:color="000000" w:fill="FFFFFF"/>
            <w:vAlign w:val="center"/>
            <w:hideMark/>
          </w:tcPr>
          <w:p w14:paraId="5FBD7FB6" w14:textId="77777777" w:rsidR="00862A01" w:rsidRPr="00872D7E" w:rsidRDefault="00862A01" w:rsidP="00862A01">
            <w:pPr>
              <w:jc w:val="right"/>
              <w:rPr>
                <w:b/>
                <w:bCs/>
                <w:color w:val="000000"/>
                <w:sz w:val="14"/>
                <w:szCs w:val="14"/>
              </w:rPr>
            </w:pPr>
            <w:r w:rsidRPr="00872D7E">
              <w:rPr>
                <w:b/>
                <w:bCs/>
                <w:color w:val="000000"/>
                <w:sz w:val="14"/>
                <w:szCs w:val="14"/>
              </w:rPr>
              <w:t>6.994.991</w:t>
            </w:r>
          </w:p>
        </w:tc>
        <w:tc>
          <w:tcPr>
            <w:tcW w:w="852" w:type="dxa"/>
            <w:tcBorders>
              <w:top w:val="nil"/>
              <w:left w:val="single" w:sz="4" w:space="0" w:color="auto"/>
              <w:bottom w:val="nil"/>
              <w:right w:val="nil"/>
            </w:tcBorders>
            <w:shd w:val="clear" w:color="000000" w:fill="FFFFFF"/>
            <w:vAlign w:val="center"/>
            <w:hideMark/>
          </w:tcPr>
          <w:p w14:paraId="03D94DE6" w14:textId="77777777" w:rsidR="00862A01" w:rsidRPr="00872D7E" w:rsidRDefault="00862A01" w:rsidP="00862A01">
            <w:pPr>
              <w:jc w:val="right"/>
              <w:rPr>
                <w:b/>
                <w:bCs/>
                <w:color w:val="000000"/>
                <w:sz w:val="14"/>
                <w:szCs w:val="14"/>
              </w:rPr>
            </w:pPr>
            <w:r w:rsidRPr="00872D7E">
              <w:rPr>
                <w:b/>
                <w:bCs/>
                <w:color w:val="000000"/>
                <w:sz w:val="14"/>
                <w:szCs w:val="14"/>
              </w:rPr>
              <w:t>10.201.641</w:t>
            </w:r>
          </w:p>
        </w:tc>
        <w:tc>
          <w:tcPr>
            <w:tcW w:w="692" w:type="dxa"/>
            <w:tcBorders>
              <w:top w:val="nil"/>
              <w:left w:val="single" w:sz="4" w:space="0" w:color="auto"/>
              <w:bottom w:val="nil"/>
              <w:right w:val="nil"/>
            </w:tcBorders>
            <w:shd w:val="clear" w:color="000000" w:fill="FFFFFF"/>
            <w:vAlign w:val="center"/>
            <w:hideMark/>
          </w:tcPr>
          <w:p w14:paraId="428E2FCB" w14:textId="77777777" w:rsidR="00862A01" w:rsidRPr="00872D7E" w:rsidRDefault="00862A01" w:rsidP="00862A01">
            <w:pPr>
              <w:jc w:val="right"/>
              <w:rPr>
                <w:b/>
                <w:bCs/>
                <w:color w:val="000000"/>
                <w:sz w:val="14"/>
                <w:szCs w:val="14"/>
              </w:rPr>
            </w:pPr>
            <w:r w:rsidRPr="00872D7E">
              <w:rPr>
                <w:b/>
                <w:bCs/>
                <w:color w:val="000000"/>
                <w:sz w:val="14"/>
                <w:szCs w:val="14"/>
              </w:rPr>
              <w:t>553.333</w:t>
            </w:r>
          </w:p>
        </w:tc>
        <w:tc>
          <w:tcPr>
            <w:tcW w:w="759" w:type="dxa"/>
            <w:tcBorders>
              <w:top w:val="nil"/>
              <w:left w:val="single" w:sz="4" w:space="0" w:color="auto"/>
              <w:bottom w:val="nil"/>
              <w:right w:val="nil"/>
            </w:tcBorders>
            <w:shd w:val="clear" w:color="000000" w:fill="FFFFFF"/>
            <w:vAlign w:val="center"/>
            <w:hideMark/>
          </w:tcPr>
          <w:p w14:paraId="63CC6446" w14:textId="77777777" w:rsidR="00862A01" w:rsidRPr="00872D7E" w:rsidRDefault="00862A01" w:rsidP="00862A01">
            <w:pPr>
              <w:jc w:val="right"/>
              <w:rPr>
                <w:b/>
                <w:bCs/>
                <w:color w:val="000000"/>
                <w:sz w:val="14"/>
                <w:szCs w:val="14"/>
              </w:rPr>
            </w:pPr>
            <w:r w:rsidRPr="00872D7E">
              <w:rPr>
                <w:b/>
                <w:bCs/>
                <w:color w:val="000000"/>
                <w:sz w:val="14"/>
                <w:szCs w:val="14"/>
              </w:rPr>
              <w:t>628</w:t>
            </w:r>
          </w:p>
        </w:tc>
        <w:tc>
          <w:tcPr>
            <w:tcW w:w="953" w:type="dxa"/>
            <w:tcBorders>
              <w:top w:val="nil"/>
              <w:left w:val="single" w:sz="4" w:space="0" w:color="auto"/>
              <w:bottom w:val="nil"/>
              <w:right w:val="single" w:sz="4" w:space="0" w:color="auto"/>
            </w:tcBorders>
            <w:shd w:val="clear" w:color="000000" w:fill="FFFFFF"/>
            <w:vAlign w:val="center"/>
            <w:hideMark/>
          </w:tcPr>
          <w:p w14:paraId="332FAFFE" w14:textId="77777777" w:rsidR="00862A01" w:rsidRPr="00872D7E" w:rsidRDefault="00862A01" w:rsidP="00862A01">
            <w:pPr>
              <w:jc w:val="right"/>
              <w:rPr>
                <w:b/>
                <w:bCs/>
                <w:color w:val="000000"/>
                <w:sz w:val="14"/>
                <w:szCs w:val="14"/>
              </w:rPr>
            </w:pPr>
            <w:r w:rsidRPr="00872D7E">
              <w:rPr>
                <w:b/>
                <w:bCs/>
                <w:color w:val="000000"/>
                <w:sz w:val="14"/>
                <w:szCs w:val="14"/>
              </w:rPr>
              <w:t>553.961</w:t>
            </w:r>
          </w:p>
        </w:tc>
      </w:tr>
      <w:tr w:rsidR="00862A01" w:rsidRPr="00872D7E" w14:paraId="0D9C8933"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7C830628" w14:textId="77777777" w:rsidR="00862A01" w:rsidRPr="00872D7E" w:rsidRDefault="00862A01" w:rsidP="00862A01">
            <w:pPr>
              <w:rPr>
                <w:b/>
                <w:bCs/>
                <w:sz w:val="14"/>
                <w:szCs w:val="14"/>
              </w:rPr>
            </w:pPr>
            <w:r w:rsidRPr="00872D7E">
              <w:rPr>
                <w:b/>
                <w:bCs/>
                <w:sz w:val="14"/>
                <w:szCs w:val="14"/>
              </w:rPr>
              <w:t>1.1</w:t>
            </w:r>
          </w:p>
        </w:tc>
        <w:tc>
          <w:tcPr>
            <w:tcW w:w="4107" w:type="dxa"/>
            <w:tcBorders>
              <w:top w:val="nil"/>
              <w:left w:val="nil"/>
              <w:bottom w:val="nil"/>
              <w:right w:val="single" w:sz="4" w:space="0" w:color="auto"/>
            </w:tcBorders>
            <w:shd w:val="clear" w:color="auto" w:fill="auto"/>
            <w:hideMark/>
          </w:tcPr>
          <w:p w14:paraId="499038B9" w14:textId="77777777" w:rsidR="00862A01" w:rsidRPr="00872D7E" w:rsidRDefault="00862A01" w:rsidP="00862A01">
            <w:pPr>
              <w:rPr>
                <w:b/>
                <w:bCs/>
                <w:sz w:val="14"/>
                <w:szCs w:val="14"/>
              </w:rPr>
            </w:pPr>
            <w:r w:rsidRPr="00872D7E">
              <w:rPr>
                <w:b/>
                <w:bCs/>
                <w:sz w:val="14"/>
                <w:szCs w:val="14"/>
              </w:rPr>
              <w:t>Nakit ve Nakit Benzerleri</w:t>
            </w:r>
          </w:p>
        </w:tc>
        <w:tc>
          <w:tcPr>
            <w:tcW w:w="709" w:type="dxa"/>
            <w:tcBorders>
              <w:top w:val="nil"/>
              <w:left w:val="nil"/>
              <w:bottom w:val="nil"/>
              <w:right w:val="nil"/>
            </w:tcBorders>
            <w:shd w:val="clear" w:color="auto" w:fill="auto"/>
            <w:noWrap/>
            <w:hideMark/>
          </w:tcPr>
          <w:p w14:paraId="3CDCE55A" w14:textId="77777777" w:rsidR="00862A01" w:rsidRPr="00872D7E" w:rsidRDefault="00862A01" w:rsidP="00862A01">
            <w:pPr>
              <w:jc w:val="center"/>
              <w:rPr>
                <w:b/>
                <w:bCs/>
                <w:color w:val="000000"/>
                <w:sz w:val="14"/>
                <w:szCs w:val="14"/>
              </w:rPr>
            </w:pPr>
            <w:r w:rsidRPr="00872D7E">
              <w:rPr>
                <w:b/>
                <w:bCs/>
                <w:color w:val="000000"/>
                <w:sz w:val="14"/>
                <w:szCs w:val="14"/>
              </w:rPr>
              <w:t>(1)</w:t>
            </w:r>
          </w:p>
        </w:tc>
        <w:tc>
          <w:tcPr>
            <w:tcW w:w="833" w:type="dxa"/>
            <w:tcBorders>
              <w:top w:val="nil"/>
              <w:left w:val="single" w:sz="4" w:space="0" w:color="auto"/>
              <w:bottom w:val="nil"/>
              <w:right w:val="nil"/>
            </w:tcBorders>
            <w:shd w:val="clear" w:color="000000" w:fill="FFFFFF"/>
            <w:vAlign w:val="center"/>
            <w:hideMark/>
          </w:tcPr>
          <w:p w14:paraId="015786DD" w14:textId="77777777" w:rsidR="00862A01" w:rsidRPr="00872D7E" w:rsidRDefault="00862A01" w:rsidP="00862A01">
            <w:pPr>
              <w:jc w:val="right"/>
              <w:rPr>
                <w:b/>
                <w:bCs/>
                <w:color w:val="000000"/>
                <w:sz w:val="14"/>
                <w:szCs w:val="14"/>
              </w:rPr>
            </w:pPr>
            <w:r w:rsidRPr="00872D7E">
              <w:rPr>
                <w:b/>
                <w:bCs/>
                <w:color w:val="000000"/>
                <w:sz w:val="14"/>
                <w:szCs w:val="14"/>
              </w:rPr>
              <w:t>2.235.506</w:t>
            </w:r>
          </w:p>
        </w:tc>
        <w:tc>
          <w:tcPr>
            <w:tcW w:w="779" w:type="dxa"/>
            <w:tcBorders>
              <w:top w:val="nil"/>
              <w:left w:val="single" w:sz="4" w:space="0" w:color="auto"/>
              <w:bottom w:val="nil"/>
              <w:right w:val="nil"/>
            </w:tcBorders>
            <w:shd w:val="clear" w:color="000000" w:fill="FFFFFF"/>
            <w:vAlign w:val="center"/>
            <w:hideMark/>
          </w:tcPr>
          <w:p w14:paraId="15DD859C" w14:textId="77777777" w:rsidR="00862A01" w:rsidRPr="00872D7E" w:rsidRDefault="00862A01" w:rsidP="00862A01">
            <w:pPr>
              <w:jc w:val="right"/>
              <w:rPr>
                <w:b/>
                <w:bCs/>
                <w:color w:val="000000"/>
                <w:sz w:val="14"/>
                <w:szCs w:val="14"/>
              </w:rPr>
            </w:pPr>
            <w:r w:rsidRPr="00872D7E">
              <w:rPr>
                <w:b/>
                <w:bCs/>
                <w:color w:val="000000"/>
                <w:sz w:val="14"/>
                <w:szCs w:val="14"/>
              </w:rPr>
              <w:t>6.846.120</w:t>
            </w:r>
          </w:p>
        </w:tc>
        <w:tc>
          <w:tcPr>
            <w:tcW w:w="852" w:type="dxa"/>
            <w:tcBorders>
              <w:top w:val="nil"/>
              <w:left w:val="single" w:sz="4" w:space="0" w:color="auto"/>
              <w:bottom w:val="nil"/>
              <w:right w:val="nil"/>
            </w:tcBorders>
            <w:shd w:val="clear" w:color="000000" w:fill="FFFFFF"/>
            <w:vAlign w:val="center"/>
            <w:hideMark/>
          </w:tcPr>
          <w:p w14:paraId="6E5B636C" w14:textId="77777777" w:rsidR="00862A01" w:rsidRPr="00872D7E" w:rsidRDefault="00862A01" w:rsidP="00862A01">
            <w:pPr>
              <w:jc w:val="right"/>
              <w:rPr>
                <w:b/>
                <w:bCs/>
                <w:color w:val="000000"/>
                <w:sz w:val="14"/>
                <w:szCs w:val="14"/>
              </w:rPr>
            </w:pPr>
            <w:r w:rsidRPr="00872D7E">
              <w:rPr>
                <w:b/>
                <w:bCs/>
                <w:color w:val="000000"/>
                <w:sz w:val="14"/>
                <w:szCs w:val="14"/>
              </w:rPr>
              <w:t>9.081.626</w:t>
            </w:r>
          </w:p>
        </w:tc>
        <w:tc>
          <w:tcPr>
            <w:tcW w:w="692" w:type="dxa"/>
            <w:tcBorders>
              <w:top w:val="nil"/>
              <w:left w:val="single" w:sz="4" w:space="0" w:color="auto"/>
              <w:bottom w:val="nil"/>
              <w:right w:val="nil"/>
            </w:tcBorders>
            <w:shd w:val="clear" w:color="000000" w:fill="FFFFFF"/>
            <w:vAlign w:val="center"/>
            <w:hideMark/>
          </w:tcPr>
          <w:p w14:paraId="430222F4" w14:textId="77777777" w:rsidR="00862A01" w:rsidRPr="00872D7E" w:rsidRDefault="00862A01" w:rsidP="00862A01">
            <w:pPr>
              <w:jc w:val="right"/>
              <w:rPr>
                <w:b/>
                <w:bCs/>
                <w:color w:val="000000"/>
                <w:sz w:val="14"/>
                <w:szCs w:val="14"/>
              </w:rPr>
            </w:pPr>
            <w:r w:rsidRPr="00872D7E">
              <w:rPr>
                <w:b/>
                <w:bCs/>
                <w:color w:val="000000"/>
                <w:sz w:val="14"/>
                <w:szCs w:val="14"/>
              </w:rPr>
              <w:t>441.975</w:t>
            </w:r>
          </w:p>
        </w:tc>
        <w:tc>
          <w:tcPr>
            <w:tcW w:w="759" w:type="dxa"/>
            <w:tcBorders>
              <w:top w:val="nil"/>
              <w:left w:val="single" w:sz="4" w:space="0" w:color="auto"/>
              <w:bottom w:val="nil"/>
              <w:right w:val="nil"/>
            </w:tcBorders>
            <w:shd w:val="clear" w:color="000000" w:fill="FFFFFF"/>
            <w:vAlign w:val="center"/>
            <w:hideMark/>
          </w:tcPr>
          <w:p w14:paraId="4403BE7C" w14:textId="77777777" w:rsidR="00862A01" w:rsidRPr="00872D7E" w:rsidRDefault="00862A01" w:rsidP="00862A01">
            <w:pPr>
              <w:jc w:val="right"/>
              <w:rPr>
                <w:b/>
                <w:bCs/>
                <w:color w:val="000000"/>
                <w:sz w:val="14"/>
                <w:szCs w:val="14"/>
              </w:rPr>
            </w:pPr>
            <w:r w:rsidRPr="00872D7E">
              <w:rPr>
                <w:b/>
                <w:bCs/>
                <w:color w:val="000000"/>
                <w:sz w:val="14"/>
                <w:szCs w:val="14"/>
              </w:rPr>
              <w:t>628</w:t>
            </w:r>
          </w:p>
        </w:tc>
        <w:tc>
          <w:tcPr>
            <w:tcW w:w="953" w:type="dxa"/>
            <w:tcBorders>
              <w:top w:val="nil"/>
              <w:left w:val="single" w:sz="4" w:space="0" w:color="auto"/>
              <w:bottom w:val="nil"/>
              <w:right w:val="single" w:sz="4" w:space="0" w:color="auto"/>
            </w:tcBorders>
            <w:shd w:val="clear" w:color="000000" w:fill="FFFFFF"/>
            <w:vAlign w:val="center"/>
            <w:hideMark/>
          </w:tcPr>
          <w:p w14:paraId="5EAF7EB3" w14:textId="77777777" w:rsidR="00862A01" w:rsidRPr="00872D7E" w:rsidRDefault="00862A01" w:rsidP="00862A01">
            <w:pPr>
              <w:jc w:val="right"/>
              <w:rPr>
                <w:b/>
                <w:bCs/>
                <w:color w:val="000000"/>
                <w:sz w:val="14"/>
                <w:szCs w:val="14"/>
              </w:rPr>
            </w:pPr>
            <w:r w:rsidRPr="00872D7E">
              <w:rPr>
                <w:b/>
                <w:bCs/>
                <w:color w:val="000000"/>
                <w:sz w:val="14"/>
                <w:szCs w:val="14"/>
              </w:rPr>
              <w:t>442.603</w:t>
            </w:r>
          </w:p>
        </w:tc>
      </w:tr>
      <w:tr w:rsidR="00862A01" w:rsidRPr="00872D7E" w14:paraId="73B52035"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494819C8" w14:textId="77777777" w:rsidR="00862A01" w:rsidRPr="00872D7E" w:rsidRDefault="00862A01" w:rsidP="00862A01">
            <w:pPr>
              <w:rPr>
                <w:sz w:val="14"/>
                <w:szCs w:val="14"/>
              </w:rPr>
            </w:pPr>
            <w:r w:rsidRPr="00872D7E">
              <w:rPr>
                <w:sz w:val="14"/>
                <w:szCs w:val="14"/>
              </w:rPr>
              <w:t>1.1.1</w:t>
            </w:r>
          </w:p>
        </w:tc>
        <w:tc>
          <w:tcPr>
            <w:tcW w:w="4107" w:type="dxa"/>
            <w:tcBorders>
              <w:top w:val="nil"/>
              <w:left w:val="nil"/>
              <w:bottom w:val="nil"/>
              <w:right w:val="single" w:sz="4" w:space="0" w:color="auto"/>
            </w:tcBorders>
            <w:shd w:val="clear" w:color="auto" w:fill="auto"/>
            <w:hideMark/>
          </w:tcPr>
          <w:p w14:paraId="6E11E698" w14:textId="77777777" w:rsidR="00862A01" w:rsidRPr="00872D7E" w:rsidRDefault="00862A01" w:rsidP="00862A01">
            <w:pPr>
              <w:rPr>
                <w:sz w:val="14"/>
                <w:szCs w:val="14"/>
              </w:rPr>
            </w:pPr>
            <w:r w:rsidRPr="00872D7E">
              <w:rPr>
                <w:sz w:val="14"/>
                <w:szCs w:val="14"/>
              </w:rPr>
              <w:t>Nakit Değerler ve Merkez Bankası</w:t>
            </w:r>
          </w:p>
        </w:tc>
        <w:tc>
          <w:tcPr>
            <w:tcW w:w="709" w:type="dxa"/>
            <w:tcBorders>
              <w:top w:val="nil"/>
              <w:left w:val="nil"/>
              <w:bottom w:val="nil"/>
              <w:right w:val="nil"/>
            </w:tcBorders>
            <w:shd w:val="clear" w:color="auto" w:fill="auto"/>
            <w:noWrap/>
            <w:hideMark/>
          </w:tcPr>
          <w:p w14:paraId="3FC8465C"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01401C0E" w14:textId="77777777" w:rsidR="00862A01" w:rsidRPr="00872D7E" w:rsidRDefault="00862A01" w:rsidP="00862A01">
            <w:pPr>
              <w:jc w:val="right"/>
              <w:rPr>
                <w:color w:val="000000"/>
                <w:sz w:val="14"/>
                <w:szCs w:val="14"/>
              </w:rPr>
            </w:pPr>
            <w:r w:rsidRPr="00872D7E">
              <w:rPr>
                <w:color w:val="000000"/>
                <w:sz w:val="14"/>
                <w:szCs w:val="14"/>
              </w:rPr>
              <w:t>610.479</w:t>
            </w:r>
          </w:p>
        </w:tc>
        <w:tc>
          <w:tcPr>
            <w:tcW w:w="779" w:type="dxa"/>
            <w:tcBorders>
              <w:top w:val="nil"/>
              <w:left w:val="single" w:sz="4" w:space="0" w:color="auto"/>
              <w:bottom w:val="nil"/>
              <w:right w:val="nil"/>
            </w:tcBorders>
            <w:shd w:val="clear" w:color="000000" w:fill="FFFFFF"/>
            <w:vAlign w:val="center"/>
            <w:hideMark/>
          </w:tcPr>
          <w:p w14:paraId="1380F664" w14:textId="77777777" w:rsidR="00862A01" w:rsidRPr="00872D7E" w:rsidRDefault="00862A01" w:rsidP="00862A01">
            <w:pPr>
              <w:jc w:val="right"/>
              <w:rPr>
                <w:color w:val="000000"/>
                <w:sz w:val="14"/>
                <w:szCs w:val="14"/>
              </w:rPr>
            </w:pPr>
            <w:r w:rsidRPr="00872D7E">
              <w:rPr>
                <w:color w:val="000000"/>
                <w:sz w:val="14"/>
                <w:szCs w:val="14"/>
              </w:rPr>
              <w:t>4.033.526</w:t>
            </w:r>
          </w:p>
        </w:tc>
        <w:tc>
          <w:tcPr>
            <w:tcW w:w="852" w:type="dxa"/>
            <w:tcBorders>
              <w:top w:val="nil"/>
              <w:left w:val="single" w:sz="4" w:space="0" w:color="auto"/>
              <w:bottom w:val="nil"/>
              <w:right w:val="nil"/>
            </w:tcBorders>
            <w:shd w:val="clear" w:color="000000" w:fill="FFFFFF"/>
            <w:vAlign w:val="center"/>
            <w:hideMark/>
          </w:tcPr>
          <w:p w14:paraId="557921BC" w14:textId="77777777" w:rsidR="00862A01" w:rsidRPr="00872D7E" w:rsidRDefault="00862A01" w:rsidP="00862A01">
            <w:pPr>
              <w:jc w:val="right"/>
              <w:rPr>
                <w:color w:val="000000"/>
                <w:sz w:val="14"/>
                <w:szCs w:val="14"/>
              </w:rPr>
            </w:pPr>
            <w:r w:rsidRPr="00872D7E">
              <w:rPr>
                <w:color w:val="000000"/>
                <w:sz w:val="14"/>
                <w:szCs w:val="14"/>
              </w:rPr>
              <w:t>4.644.005</w:t>
            </w:r>
          </w:p>
        </w:tc>
        <w:tc>
          <w:tcPr>
            <w:tcW w:w="692" w:type="dxa"/>
            <w:tcBorders>
              <w:top w:val="nil"/>
              <w:left w:val="single" w:sz="4" w:space="0" w:color="auto"/>
              <w:bottom w:val="nil"/>
              <w:right w:val="nil"/>
            </w:tcBorders>
            <w:shd w:val="clear" w:color="000000" w:fill="FFFFFF"/>
            <w:vAlign w:val="center"/>
            <w:hideMark/>
          </w:tcPr>
          <w:p w14:paraId="2310129C" w14:textId="77777777" w:rsidR="00862A01" w:rsidRPr="00872D7E" w:rsidRDefault="00862A01" w:rsidP="00862A01">
            <w:pPr>
              <w:jc w:val="right"/>
              <w:rPr>
                <w:color w:val="000000"/>
                <w:sz w:val="14"/>
                <w:szCs w:val="14"/>
              </w:rPr>
            </w:pPr>
            <w:r w:rsidRPr="00872D7E">
              <w:rPr>
                <w:color w:val="000000"/>
                <w:sz w:val="14"/>
                <w:szCs w:val="14"/>
              </w:rPr>
              <w:t>538</w:t>
            </w:r>
          </w:p>
        </w:tc>
        <w:tc>
          <w:tcPr>
            <w:tcW w:w="759" w:type="dxa"/>
            <w:tcBorders>
              <w:top w:val="nil"/>
              <w:left w:val="single" w:sz="4" w:space="0" w:color="auto"/>
              <w:bottom w:val="nil"/>
              <w:right w:val="nil"/>
            </w:tcBorders>
            <w:shd w:val="clear" w:color="000000" w:fill="FFFFFF"/>
            <w:vAlign w:val="center"/>
            <w:hideMark/>
          </w:tcPr>
          <w:p w14:paraId="3AA6BCA5" w14:textId="77777777" w:rsidR="00862A01" w:rsidRPr="00872D7E" w:rsidRDefault="00862A01" w:rsidP="00862A01">
            <w:pPr>
              <w:jc w:val="right"/>
              <w:rPr>
                <w:color w:val="000000"/>
                <w:sz w:val="14"/>
                <w:szCs w:val="14"/>
              </w:rPr>
            </w:pPr>
            <w:r w:rsidRPr="00872D7E">
              <w:rPr>
                <w:color w:val="000000"/>
                <w:sz w:val="14"/>
                <w:szCs w:val="14"/>
              </w:rPr>
              <w:t>628</w:t>
            </w:r>
          </w:p>
        </w:tc>
        <w:tc>
          <w:tcPr>
            <w:tcW w:w="953" w:type="dxa"/>
            <w:tcBorders>
              <w:top w:val="nil"/>
              <w:left w:val="single" w:sz="4" w:space="0" w:color="auto"/>
              <w:bottom w:val="nil"/>
              <w:right w:val="single" w:sz="4" w:space="0" w:color="auto"/>
            </w:tcBorders>
            <w:shd w:val="clear" w:color="000000" w:fill="FFFFFF"/>
            <w:vAlign w:val="center"/>
            <w:hideMark/>
          </w:tcPr>
          <w:p w14:paraId="299FD4D8" w14:textId="77777777" w:rsidR="00862A01" w:rsidRPr="00872D7E" w:rsidRDefault="00862A01" w:rsidP="00862A01">
            <w:pPr>
              <w:jc w:val="right"/>
              <w:rPr>
                <w:color w:val="000000"/>
                <w:sz w:val="14"/>
                <w:szCs w:val="14"/>
              </w:rPr>
            </w:pPr>
            <w:r w:rsidRPr="00872D7E">
              <w:rPr>
                <w:color w:val="000000"/>
                <w:sz w:val="14"/>
                <w:szCs w:val="14"/>
              </w:rPr>
              <w:t>1.166</w:t>
            </w:r>
          </w:p>
        </w:tc>
      </w:tr>
      <w:tr w:rsidR="00862A01" w:rsidRPr="00872D7E" w14:paraId="4471E8FD"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06A184DF" w14:textId="77777777" w:rsidR="00862A01" w:rsidRPr="00872D7E" w:rsidRDefault="00862A01" w:rsidP="00862A01">
            <w:pPr>
              <w:rPr>
                <w:sz w:val="14"/>
                <w:szCs w:val="14"/>
              </w:rPr>
            </w:pPr>
            <w:r w:rsidRPr="00872D7E">
              <w:rPr>
                <w:sz w:val="14"/>
                <w:szCs w:val="14"/>
              </w:rPr>
              <w:t>1.1.2</w:t>
            </w:r>
          </w:p>
        </w:tc>
        <w:tc>
          <w:tcPr>
            <w:tcW w:w="4107" w:type="dxa"/>
            <w:tcBorders>
              <w:top w:val="nil"/>
              <w:left w:val="nil"/>
              <w:bottom w:val="nil"/>
              <w:right w:val="single" w:sz="4" w:space="0" w:color="auto"/>
            </w:tcBorders>
            <w:shd w:val="clear" w:color="auto" w:fill="auto"/>
            <w:hideMark/>
          </w:tcPr>
          <w:p w14:paraId="7D731CF9" w14:textId="77777777" w:rsidR="00862A01" w:rsidRPr="00872D7E" w:rsidRDefault="00862A01" w:rsidP="00862A01">
            <w:pPr>
              <w:rPr>
                <w:sz w:val="14"/>
                <w:szCs w:val="14"/>
              </w:rPr>
            </w:pPr>
            <w:r w:rsidRPr="00872D7E">
              <w:rPr>
                <w:sz w:val="14"/>
                <w:szCs w:val="14"/>
              </w:rPr>
              <w:t>Bankalar</w:t>
            </w:r>
          </w:p>
        </w:tc>
        <w:tc>
          <w:tcPr>
            <w:tcW w:w="709" w:type="dxa"/>
            <w:tcBorders>
              <w:top w:val="nil"/>
              <w:left w:val="nil"/>
              <w:bottom w:val="nil"/>
              <w:right w:val="nil"/>
            </w:tcBorders>
            <w:shd w:val="clear" w:color="auto" w:fill="auto"/>
            <w:noWrap/>
            <w:hideMark/>
          </w:tcPr>
          <w:p w14:paraId="442B84FA"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549942DC" w14:textId="77777777" w:rsidR="00862A01" w:rsidRPr="00872D7E" w:rsidRDefault="00862A01" w:rsidP="00862A01">
            <w:pPr>
              <w:jc w:val="right"/>
              <w:rPr>
                <w:color w:val="000000"/>
                <w:sz w:val="14"/>
                <w:szCs w:val="14"/>
              </w:rPr>
            </w:pPr>
            <w:r w:rsidRPr="00872D7E">
              <w:rPr>
                <w:color w:val="000000"/>
                <w:sz w:val="14"/>
                <w:szCs w:val="14"/>
              </w:rPr>
              <w:t>1.625.027</w:t>
            </w:r>
          </w:p>
        </w:tc>
        <w:tc>
          <w:tcPr>
            <w:tcW w:w="779" w:type="dxa"/>
            <w:tcBorders>
              <w:top w:val="nil"/>
              <w:left w:val="single" w:sz="4" w:space="0" w:color="auto"/>
              <w:bottom w:val="nil"/>
              <w:right w:val="nil"/>
            </w:tcBorders>
            <w:shd w:val="clear" w:color="000000" w:fill="FFFFFF"/>
            <w:vAlign w:val="center"/>
            <w:hideMark/>
          </w:tcPr>
          <w:p w14:paraId="16A6DC2C" w14:textId="77777777" w:rsidR="00862A01" w:rsidRPr="00872D7E" w:rsidRDefault="00862A01" w:rsidP="00862A01">
            <w:pPr>
              <w:jc w:val="right"/>
              <w:rPr>
                <w:color w:val="000000"/>
                <w:sz w:val="14"/>
                <w:szCs w:val="14"/>
              </w:rPr>
            </w:pPr>
            <w:r w:rsidRPr="00872D7E">
              <w:rPr>
                <w:color w:val="000000"/>
                <w:sz w:val="14"/>
                <w:szCs w:val="14"/>
              </w:rPr>
              <w:t>2.812.594</w:t>
            </w:r>
          </w:p>
        </w:tc>
        <w:tc>
          <w:tcPr>
            <w:tcW w:w="852" w:type="dxa"/>
            <w:tcBorders>
              <w:top w:val="nil"/>
              <w:left w:val="single" w:sz="4" w:space="0" w:color="auto"/>
              <w:bottom w:val="nil"/>
              <w:right w:val="nil"/>
            </w:tcBorders>
            <w:shd w:val="clear" w:color="000000" w:fill="FFFFFF"/>
            <w:vAlign w:val="center"/>
            <w:hideMark/>
          </w:tcPr>
          <w:p w14:paraId="1A594D31" w14:textId="77777777" w:rsidR="00862A01" w:rsidRPr="00872D7E" w:rsidRDefault="00862A01" w:rsidP="00862A01">
            <w:pPr>
              <w:jc w:val="right"/>
              <w:rPr>
                <w:color w:val="000000"/>
                <w:sz w:val="14"/>
                <w:szCs w:val="14"/>
              </w:rPr>
            </w:pPr>
            <w:r w:rsidRPr="00872D7E">
              <w:rPr>
                <w:color w:val="000000"/>
                <w:sz w:val="14"/>
                <w:szCs w:val="14"/>
              </w:rPr>
              <w:t>4.437.621</w:t>
            </w:r>
          </w:p>
        </w:tc>
        <w:tc>
          <w:tcPr>
            <w:tcW w:w="692" w:type="dxa"/>
            <w:tcBorders>
              <w:top w:val="nil"/>
              <w:left w:val="single" w:sz="4" w:space="0" w:color="auto"/>
              <w:bottom w:val="nil"/>
              <w:right w:val="nil"/>
            </w:tcBorders>
            <w:shd w:val="clear" w:color="000000" w:fill="FFFFFF"/>
            <w:vAlign w:val="center"/>
            <w:hideMark/>
          </w:tcPr>
          <w:p w14:paraId="6EF31608" w14:textId="77777777" w:rsidR="00862A01" w:rsidRPr="00872D7E" w:rsidRDefault="00862A01" w:rsidP="00862A01">
            <w:pPr>
              <w:jc w:val="right"/>
              <w:rPr>
                <w:color w:val="000000"/>
                <w:sz w:val="14"/>
                <w:szCs w:val="14"/>
              </w:rPr>
            </w:pPr>
            <w:r w:rsidRPr="00872D7E">
              <w:rPr>
                <w:color w:val="000000"/>
                <w:sz w:val="14"/>
                <w:szCs w:val="14"/>
              </w:rPr>
              <w:t>441.437</w:t>
            </w:r>
          </w:p>
        </w:tc>
        <w:tc>
          <w:tcPr>
            <w:tcW w:w="759" w:type="dxa"/>
            <w:tcBorders>
              <w:top w:val="nil"/>
              <w:left w:val="single" w:sz="4" w:space="0" w:color="auto"/>
              <w:bottom w:val="nil"/>
              <w:right w:val="nil"/>
            </w:tcBorders>
            <w:shd w:val="clear" w:color="000000" w:fill="FFFFFF"/>
            <w:vAlign w:val="center"/>
            <w:hideMark/>
          </w:tcPr>
          <w:p w14:paraId="7EA12AD0"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07F45BC9" w14:textId="77777777" w:rsidR="00862A01" w:rsidRPr="00872D7E" w:rsidRDefault="00862A01" w:rsidP="00862A01">
            <w:pPr>
              <w:jc w:val="right"/>
              <w:rPr>
                <w:color w:val="000000"/>
                <w:sz w:val="14"/>
                <w:szCs w:val="14"/>
              </w:rPr>
            </w:pPr>
            <w:r w:rsidRPr="00872D7E">
              <w:rPr>
                <w:color w:val="000000"/>
                <w:sz w:val="14"/>
                <w:szCs w:val="14"/>
              </w:rPr>
              <w:t>441.437</w:t>
            </w:r>
          </w:p>
        </w:tc>
      </w:tr>
      <w:tr w:rsidR="00862A01" w:rsidRPr="00872D7E" w14:paraId="04DB198B"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610409E0" w14:textId="77777777" w:rsidR="00862A01" w:rsidRPr="00872D7E" w:rsidRDefault="00862A01" w:rsidP="00862A01">
            <w:pPr>
              <w:rPr>
                <w:sz w:val="14"/>
                <w:szCs w:val="14"/>
              </w:rPr>
            </w:pPr>
            <w:r w:rsidRPr="00872D7E">
              <w:rPr>
                <w:sz w:val="14"/>
                <w:szCs w:val="14"/>
              </w:rPr>
              <w:t>1.1.3</w:t>
            </w:r>
          </w:p>
        </w:tc>
        <w:tc>
          <w:tcPr>
            <w:tcW w:w="4107" w:type="dxa"/>
            <w:tcBorders>
              <w:top w:val="nil"/>
              <w:left w:val="nil"/>
              <w:bottom w:val="nil"/>
              <w:right w:val="single" w:sz="4" w:space="0" w:color="auto"/>
            </w:tcBorders>
            <w:shd w:val="clear" w:color="auto" w:fill="auto"/>
            <w:hideMark/>
          </w:tcPr>
          <w:p w14:paraId="72FBB9A7" w14:textId="77777777" w:rsidR="00862A01" w:rsidRPr="00872D7E" w:rsidRDefault="00862A01" w:rsidP="00862A01">
            <w:pPr>
              <w:rPr>
                <w:sz w:val="14"/>
                <w:szCs w:val="14"/>
              </w:rPr>
            </w:pPr>
            <w:r w:rsidRPr="00872D7E">
              <w:rPr>
                <w:sz w:val="14"/>
                <w:szCs w:val="14"/>
              </w:rPr>
              <w:t>Para Piyasalarından Alacaklar</w:t>
            </w:r>
          </w:p>
        </w:tc>
        <w:tc>
          <w:tcPr>
            <w:tcW w:w="709" w:type="dxa"/>
            <w:tcBorders>
              <w:top w:val="nil"/>
              <w:left w:val="nil"/>
              <w:bottom w:val="nil"/>
              <w:right w:val="nil"/>
            </w:tcBorders>
            <w:shd w:val="clear" w:color="auto" w:fill="auto"/>
            <w:noWrap/>
            <w:hideMark/>
          </w:tcPr>
          <w:p w14:paraId="3E0E2F5C"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413BA148"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27A71E3A"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513F4D18"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047D6A23"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5A5D8114"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502DB73A"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744C0A07"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646FAB6E" w14:textId="77777777" w:rsidR="00862A01" w:rsidRPr="00872D7E" w:rsidRDefault="00862A01" w:rsidP="00862A01">
            <w:pPr>
              <w:rPr>
                <w:b/>
                <w:bCs/>
                <w:sz w:val="14"/>
                <w:szCs w:val="14"/>
              </w:rPr>
            </w:pPr>
            <w:r w:rsidRPr="00872D7E">
              <w:rPr>
                <w:b/>
                <w:bCs/>
                <w:sz w:val="14"/>
                <w:szCs w:val="14"/>
              </w:rPr>
              <w:t>1.2</w:t>
            </w:r>
          </w:p>
        </w:tc>
        <w:tc>
          <w:tcPr>
            <w:tcW w:w="4107" w:type="dxa"/>
            <w:tcBorders>
              <w:top w:val="nil"/>
              <w:left w:val="nil"/>
              <w:bottom w:val="nil"/>
              <w:right w:val="single" w:sz="4" w:space="0" w:color="auto"/>
            </w:tcBorders>
            <w:shd w:val="clear" w:color="auto" w:fill="auto"/>
            <w:hideMark/>
          </w:tcPr>
          <w:p w14:paraId="2B10952C" w14:textId="77777777" w:rsidR="00862A01" w:rsidRPr="00872D7E" w:rsidRDefault="00862A01" w:rsidP="00862A01">
            <w:pPr>
              <w:rPr>
                <w:b/>
                <w:bCs/>
                <w:sz w:val="14"/>
                <w:szCs w:val="14"/>
              </w:rPr>
            </w:pPr>
            <w:r w:rsidRPr="00872D7E">
              <w:rPr>
                <w:b/>
                <w:bCs/>
                <w:sz w:val="14"/>
                <w:szCs w:val="14"/>
              </w:rPr>
              <w:t>Gerçeğe Uygun Değer Farkı Kâr Zarara Yansıtılan Finansal Varlıklar</w:t>
            </w:r>
          </w:p>
        </w:tc>
        <w:tc>
          <w:tcPr>
            <w:tcW w:w="709" w:type="dxa"/>
            <w:tcBorders>
              <w:top w:val="nil"/>
              <w:left w:val="nil"/>
              <w:bottom w:val="nil"/>
              <w:right w:val="nil"/>
            </w:tcBorders>
            <w:shd w:val="clear" w:color="auto" w:fill="auto"/>
            <w:noWrap/>
            <w:hideMark/>
          </w:tcPr>
          <w:p w14:paraId="36377647" w14:textId="77777777" w:rsidR="00862A01" w:rsidRPr="00872D7E" w:rsidRDefault="00862A01" w:rsidP="00862A01">
            <w:pPr>
              <w:jc w:val="center"/>
              <w:rPr>
                <w:b/>
                <w:bCs/>
                <w:color w:val="000000"/>
                <w:sz w:val="14"/>
                <w:szCs w:val="14"/>
              </w:rPr>
            </w:pPr>
            <w:r w:rsidRPr="00872D7E">
              <w:rPr>
                <w:b/>
                <w:bCs/>
                <w:color w:val="000000"/>
                <w:sz w:val="14"/>
                <w:szCs w:val="14"/>
              </w:rPr>
              <w:t>(2)</w:t>
            </w:r>
          </w:p>
        </w:tc>
        <w:tc>
          <w:tcPr>
            <w:tcW w:w="833" w:type="dxa"/>
            <w:tcBorders>
              <w:top w:val="nil"/>
              <w:left w:val="single" w:sz="4" w:space="0" w:color="auto"/>
              <w:bottom w:val="nil"/>
              <w:right w:val="nil"/>
            </w:tcBorders>
            <w:shd w:val="clear" w:color="000000" w:fill="FFFFFF"/>
            <w:vAlign w:val="center"/>
            <w:hideMark/>
          </w:tcPr>
          <w:p w14:paraId="08C14B9A" w14:textId="77777777" w:rsidR="00862A01" w:rsidRPr="00872D7E" w:rsidRDefault="00862A01" w:rsidP="00862A01">
            <w:pPr>
              <w:jc w:val="right"/>
              <w:rPr>
                <w:b/>
                <w:bCs/>
                <w:color w:val="000000"/>
                <w:sz w:val="14"/>
                <w:szCs w:val="14"/>
              </w:rPr>
            </w:pPr>
            <w:r w:rsidRPr="00872D7E">
              <w:rPr>
                <w:b/>
                <w:bCs/>
                <w:color w:val="000000"/>
                <w:sz w:val="14"/>
                <w:szCs w:val="14"/>
              </w:rPr>
              <w:t>962</w:t>
            </w:r>
          </w:p>
        </w:tc>
        <w:tc>
          <w:tcPr>
            <w:tcW w:w="779" w:type="dxa"/>
            <w:tcBorders>
              <w:top w:val="nil"/>
              <w:left w:val="single" w:sz="4" w:space="0" w:color="auto"/>
              <w:bottom w:val="nil"/>
              <w:right w:val="nil"/>
            </w:tcBorders>
            <w:shd w:val="clear" w:color="000000" w:fill="FFFFFF"/>
            <w:vAlign w:val="center"/>
            <w:hideMark/>
          </w:tcPr>
          <w:p w14:paraId="7A7E0332" w14:textId="77777777" w:rsidR="00862A01" w:rsidRPr="00872D7E" w:rsidRDefault="00862A01" w:rsidP="00862A01">
            <w:pPr>
              <w:jc w:val="right"/>
              <w:rPr>
                <w:b/>
                <w:bCs/>
                <w:color w:val="000000"/>
                <w:sz w:val="14"/>
                <w:szCs w:val="14"/>
              </w:rPr>
            </w:pPr>
            <w:r w:rsidRPr="00872D7E">
              <w:rPr>
                <w:b/>
                <w:bCs/>
                <w:color w:val="000000"/>
                <w:sz w:val="14"/>
                <w:szCs w:val="14"/>
              </w:rPr>
              <w:t>132.336</w:t>
            </w:r>
          </w:p>
        </w:tc>
        <w:tc>
          <w:tcPr>
            <w:tcW w:w="852" w:type="dxa"/>
            <w:tcBorders>
              <w:top w:val="nil"/>
              <w:left w:val="single" w:sz="4" w:space="0" w:color="auto"/>
              <w:bottom w:val="nil"/>
              <w:right w:val="nil"/>
            </w:tcBorders>
            <w:shd w:val="clear" w:color="000000" w:fill="FFFFFF"/>
            <w:vAlign w:val="center"/>
            <w:hideMark/>
          </w:tcPr>
          <w:p w14:paraId="4F4D9477" w14:textId="77777777" w:rsidR="00862A01" w:rsidRPr="00872D7E" w:rsidRDefault="00862A01" w:rsidP="00862A01">
            <w:pPr>
              <w:jc w:val="right"/>
              <w:rPr>
                <w:b/>
                <w:bCs/>
                <w:color w:val="000000"/>
                <w:sz w:val="14"/>
                <w:szCs w:val="14"/>
              </w:rPr>
            </w:pPr>
            <w:r w:rsidRPr="00872D7E">
              <w:rPr>
                <w:b/>
                <w:bCs/>
                <w:color w:val="000000"/>
                <w:sz w:val="14"/>
                <w:szCs w:val="14"/>
              </w:rPr>
              <w:t>133.298</w:t>
            </w:r>
          </w:p>
        </w:tc>
        <w:tc>
          <w:tcPr>
            <w:tcW w:w="692" w:type="dxa"/>
            <w:tcBorders>
              <w:top w:val="nil"/>
              <w:left w:val="single" w:sz="4" w:space="0" w:color="auto"/>
              <w:bottom w:val="nil"/>
              <w:right w:val="nil"/>
            </w:tcBorders>
            <w:shd w:val="clear" w:color="000000" w:fill="FFFFFF"/>
            <w:vAlign w:val="center"/>
            <w:hideMark/>
          </w:tcPr>
          <w:p w14:paraId="6E458A72" w14:textId="77777777" w:rsidR="00862A01" w:rsidRPr="00872D7E" w:rsidRDefault="00862A01" w:rsidP="00862A01">
            <w:pPr>
              <w:jc w:val="right"/>
              <w:rPr>
                <w:b/>
                <w:bCs/>
                <w:color w:val="000000"/>
                <w:sz w:val="14"/>
                <w:szCs w:val="14"/>
              </w:rPr>
            </w:pPr>
            <w:r w:rsidRPr="00872D7E">
              <w:rPr>
                <w:b/>
                <w:bCs/>
                <w:color w:val="000000"/>
                <w:sz w:val="14"/>
                <w:szCs w:val="14"/>
              </w:rPr>
              <w:t>111.358</w:t>
            </w:r>
          </w:p>
        </w:tc>
        <w:tc>
          <w:tcPr>
            <w:tcW w:w="759" w:type="dxa"/>
            <w:tcBorders>
              <w:top w:val="nil"/>
              <w:left w:val="single" w:sz="4" w:space="0" w:color="auto"/>
              <w:bottom w:val="nil"/>
              <w:right w:val="nil"/>
            </w:tcBorders>
            <w:shd w:val="clear" w:color="000000" w:fill="FFFFFF"/>
            <w:vAlign w:val="center"/>
            <w:hideMark/>
          </w:tcPr>
          <w:p w14:paraId="7CDD22D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4A8F3E0B" w14:textId="77777777" w:rsidR="00862A01" w:rsidRPr="00872D7E" w:rsidRDefault="00862A01" w:rsidP="00862A01">
            <w:pPr>
              <w:jc w:val="right"/>
              <w:rPr>
                <w:b/>
                <w:bCs/>
                <w:color w:val="000000"/>
                <w:sz w:val="14"/>
                <w:szCs w:val="14"/>
              </w:rPr>
            </w:pPr>
            <w:r w:rsidRPr="00872D7E">
              <w:rPr>
                <w:b/>
                <w:bCs/>
                <w:color w:val="000000"/>
                <w:sz w:val="14"/>
                <w:szCs w:val="14"/>
              </w:rPr>
              <w:t>111.358</w:t>
            </w:r>
          </w:p>
        </w:tc>
      </w:tr>
      <w:tr w:rsidR="00862A01" w:rsidRPr="00872D7E" w14:paraId="648A9602"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2429AD2C" w14:textId="77777777" w:rsidR="00862A01" w:rsidRPr="00872D7E" w:rsidRDefault="00862A01" w:rsidP="00862A01">
            <w:pPr>
              <w:rPr>
                <w:sz w:val="14"/>
                <w:szCs w:val="14"/>
              </w:rPr>
            </w:pPr>
            <w:r w:rsidRPr="00872D7E">
              <w:rPr>
                <w:sz w:val="14"/>
                <w:szCs w:val="14"/>
              </w:rPr>
              <w:t>1.2.1</w:t>
            </w:r>
          </w:p>
        </w:tc>
        <w:tc>
          <w:tcPr>
            <w:tcW w:w="4107" w:type="dxa"/>
            <w:tcBorders>
              <w:top w:val="nil"/>
              <w:left w:val="nil"/>
              <w:bottom w:val="nil"/>
              <w:right w:val="single" w:sz="4" w:space="0" w:color="auto"/>
            </w:tcBorders>
            <w:shd w:val="clear" w:color="auto" w:fill="auto"/>
            <w:hideMark/>
          </w:tcPr>
          <w:p w14:paraId="6DE549EC" w14:textId="77777777" w:rsidR="00862A01" w:rsidRPr="00872D7E" w:rsidRDefault="00862A01" w:rsidP="00862A01">
            <w:pPr>
              <w:rPr>
                <w:sz w:val="14"/>
                <w:szCs w:val="14"/>
              </w:rPr>
            </w:pPr>
            <w:r w:rsidRPr="00872D7E">
              <w:rPr>
                <w:sz w:val="14"/>
                <w:szCs w:val="14"/>
              </w:rPr>
              <w:t>Devlet Borçlanma Senetleri</w:t>
            </w:r>
          </w:p>
        </w:tc>
        <w:tc>
          <w:tcPr>
            <w:tcW w:w="709" w:type="dxa"/>
            <w:tcBorders>
              <w:top w:val="nil"/>
              <w:left w:val="nil"/>
              <w:bottom w:val="nil"/>
              <w:right w:val="nil"/>
            </w:tcBorders>
            <w:shd w:val="clear" w:color="auto" w:fill="auto"/>
            <w:noWrap/>
            <w:hideMark/>
          </w:tcPr>
          <w:p w14:paraId="1051D3E1"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2E3A1D01"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06778709"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32840550"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0DCCABE0"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7FEA73BB"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6066D873"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4C2B4B54"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33A9A996" w14:textId="77777777" w:rsidR="00862A01" w:rsidRPr="00872D7E" w:rsidRDefault="00862A01" w:rsidP="00862A01">
            <w:pPr>
              <w:rPr>
                <w:sz w:val="14"/>
                <w:szCs w:val="14"/>
              </w:rPr>
            </w:pPr>
            <w:r w:rsidRPr="00872D7E">
              <w:rPr>
                <w:sz w:val="14"/>
                <w:szCs w:val="14"/>
              </w:rPr>
              <w:t>1.2.2</w:t>
            </w:r>
          </w:p>
        </w:tc>
        <w:tc>
          <w:tcPr>
            <w:tcW w:w="4107" w:type="dxa"/>
            <w:tcBorders>
              <w:top w:val="nil"/>
              <w:left w:val="nil"/>
              <w:bottom w:val="nil"/>
              <w:right w:val="single" w:sz="4" w:space="0" w:color="auto"/>
            </w:tcBorders>
            <w:shd w:val="clear" w:color="auto" w:fill="auto"/>
            <w:hideMark/>
          </w:tcPr>
          <w:p w14:paraId="0EDBB7B0" w14:textId="77777777" w:rsidR="00862A01" w:rsidRPr="00872D7E" w:rsidRDefault="00862A01" w:rsidP="00862A01">
            <w:pPr>
              <w:rPr>
                <w:sz w:val="14"/>
                <w:szCs w:val="14"/>
              </w:rPr>
            </w:pPr>
            <w:r w:rsidRPr="00872D7E">
              <w:rPr>
                <w:sz w:val="14"/>
                <w:szCs w:val="14"/>
              </w:rPr>
              <w:t>Sermayede Payı Temsil Eden Menkul Değerler</w:t>
            </w:r>
          </w:p>
        </w:tc>
        <w:tc>
          <w:tcPr>
            <w:tcW w:w="709" w:type="dxa"/>
            <w:tcBorders>
              <w:top w:val="nil"/>
              <w:left w:val="nil"/>
              <w:bottom w:val="nil"/>
              <w:right w:val="nil"/>
            </w:tcBorders>
            <w:shd w:val="clear" w:color="auto" w:fill="auto"/>
            <w:noWrap/>
            <w:hideMark/>
          </w:tcPr>
          <w:p w14:paraId="1E228666"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2D8AB805" w14:textId="77777777" w:rsidR="00862A01" w:rsidRPr="00872D7E" w:rsidRDefault="00862A01" w:rsidP="00862A01">
            <w:pPr>
              <w:jc w:val="right"/>
              <w:rPr>
                <w:color w:val="000000"/>
                <w:sz w:val="14"/>
                <w:szCs w:val="14"/>
              </w:rPr>
            </w:pPr>
            <w:r w:rsidRPr="00872D7E">
              <w:rPr>
                <w:color w:val="000000"/>
                <w:sz w:val="14"/>
                <w:szCs w:val="14"/>
              </w:rPr>
              <w:t>15</w:t>
            </w:r>
          </w:p>
        </w:tc>
        <w:tc>
          <w:tcPr>
            <w:tcW w:w="779" w:type="dxa"/>
            <w:tcBorders>
              <w:top w:val="nil"/>
              <w:left w:val="single" w:sz="4" w:space="0" w:color="auto"/>
              <w:bottom w:val="nil"/>
              <w:right w:val="nil"/>
            </w:tcBorders>
            <w:shd w:val="clear" w:color="000000" w:fill="FFFFFF"/>
            <w:vAlign w:val="center"/>
            <w:hideMark/>
          </w:tcPr>
          <w:p w14:paraId="3DC25DCD"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64954DF9" w14:textId="77777777" w:rsidR="00862A01" w:rsidRPr="00872D7E" w:rsidRDefault="00862A01" w:rsidP="00862A01">
            <w:pPr>
              <w:jc w:val="right"/>
              <w:rPr>
                <w:color w:val="000000"/>
                <w:sz w:val="14"/>
                <w:szCs w:val="14"/>
              </w:rPr>
            </w:pPr>
            <w:r w:rsidRPr="00872D7E">
              <w:rPr>
                <w:color w:val="000000"/>
                <w:sz w:val="14"/>
                <w:szCs w:val="14"/>
              </w:rPr>
              <w:t>15</w:t>
            </w:r>
          </w:p>
        </w:tc>
        <w:tc>
          <w:tcPr>
            <w:tcW w:w="692" w:type="dxa"/>
            <w:tcBorders>
              <w:top w:val="nil"/>
              <w:left w:val="single" w:sz="4" w:space="0" w:color="auto"/>
              <w:bottom w:val="nil"/>
              <w:right w:val="nil"/>
            </w:tcBorders>
            <w:shd w:val="clear" w:color="000000" w:fill="FFFFFF"/>
            <w:vAlign w:val="center"/>
            <w:hideMark/>
          </w:tcPr>
          <w:p w14:paraId="4EDD34C1" w14:textId="77777777" w:rsidR="00862A01" w:rsidRPr="00872D7E" w:rsidRDefault="00862A01" w:rsidP="00862A01">
            <w:pPr>
              <w:jc w:val="right"/>
              <w:rPr>
                <w:color w:val="000000"/>
                <w:sz w:val="14"/>
                <w:szCs w:val="14"/>
              </w:rPr>
            </w:pPr>
            <w:r w:rsidRPr="00872D7E">
              <w:rPr>
                <w:color w:val="000000"/>
                <w:sz w:val="14"/>
                <w:szCs w:val="14"/>
              </w:rPr>
              <w:t>15</w:t>
            </w:r>
          </w:p>
        </w:tc>
        <w:tc>
          <w:tcPr>
            <w:tcW w:w="759" w:type="dxa"/>
            <w:tcBorders>
              <w:top w:val="nil"/>
              <w:left w:val="single" w:sz="4" w:space="0" w:color="auto"/>
              <w:bottom w:val="nil"/>
              <w:right w:val="nil"/>
            </w:tcBorders>
            <w:shd w:val="clear" w:color="000000" w:fill="FFFFFF"/>
            <w:vAlign w:val="center"/>
            <w:hideMark/>
          </w:tcPr>
          <w:p w14:paraId="173DAE27"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344EC012" w14:textId="77777777" w:rsidR="00862A01" w:rsidRPr="00872D7E" w:rsidRDefault="00862A01" w:rsidP="00862A01">
            <w:pPr>
              <w:jc w:val="right"/>
              <w:rPr>
                <w:color w:val="000000"/>
                <w:sz w:val="14"/>
                <w:szCs w:val="14"/>
              </w:rPr>
            </w:pPr>
            <w:r w:rsidRPr="00872D7E">
              <w:rPr>
                <w:color w:val="000000"/>
                <w:sz w:val="14"/>
                <w:szCs w:val="14"/>
              </w:rPr>
              <w:t>15</w:t>
            </w:r>
          </w:p>
        </w:tc>
      </w:tr>
      <w:tr w:rsidR="00862A01" w:rsidRPr="00872D7E" w14:paraId="7E3E96BF"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33F5B8B9" w14:textId="77777777" w:rsidR="00862A01" w:rsidRPr="00872D7E" w:rsidRDefault="00862A01" w:rsidP="00862A01">
            <w:pPr>
              <w:rPr>
                <w:sz w:val="14"/>
                <w:szCs w:val="14"/>
              </w:rPr>
            </w:pPr>
            <w:r w:rsidRPr="00872D7E">
              <w:rPr>
                <w:sz w:val="14"/>
                <w:szCs w:val="14"/>
              </w:rPr>
              <w:t>1.2.3</w:t>
            </w:r>
          </w:p>
        </w:tc>
        <w:tc>
          <w:tcPr>
            <w:tcW w:w="4107" w:type="dxa"/>
            <w:tcBorders>
              <w:top w:val="nil"/>
              <w:left w:val="nil"/>
              <w:bottom w:val="nil"/>
              <w:right w:val="single" w:sz="4" w:space="0" w:color="auto"/>
            </w:tcBorders>
            <w:shd w:val="clear" w:color="auto" w:fill="auto"/>
            <w:hideMark/>
          </w:tcPr>
          <w:p w14:paraId="74BC5790" w14:textId="77777777" w:rsidR="00862A01" w:rsidRPr="00872D7E" w:rsidRDefault="00862A01" w:rsidP="00862A01">
            <w:pPr>
              <w:rPr>
                <w:sz w:val="14"/>
                <w:szCs w:val="14"/>
              </w:rPr>
            </w:pPr>
            <w:r w:rsidRPr="00872D7E">
              <w:rPr>
                <w:sz w:val="14"/>
                <w:szCs w:val="14"/>
              </w:rPr>
              <w:t>Diğer Finansal Varlıklar</w:t>
            </w:r>
          </w:p>
        </w:tc>
        <w:tc>
          <w:tcPr>
            <w:tcW w:w="709" w:type="dxa"/>
            <w:tcBorders>
              <w:top w:val="nil"/>
              <w:left w:val="nil"/>
              <w:bottom w:val="nil"/>
              <w:right w:val="nil"/>
            </w:tcBorders>
            <w:shd w:val="clear" w:color="auto" w:fill="auto"/>
            <w:noWrap/>
            <w:hideMark/>
          </w:tcPr>
          <w:p w14:paraId="78781EA7"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333CE9E0" w14:textId="77777777" w:rsidR="00862A01" w:rsidRPr="00872D7E" w:rsidRDefault="00862A01" w:rsidP="00862A01">
            <w:pPr>
              <w:jc w:val="right"/>
              <w:rPr>
                <w:color w:val="000000"/>
                <w:sz w:val="14"/>
                <w:szCs w:val="14"/>
              </w:rPr>
            </w:pPr>
            <w:r w:rsidRPr="00872D7E">
              <w:rPr>
                <w:color w:val="000000"/>
                <w:sz w:val="14"/>
                <w:szCs w:val="14"/>
              </w:rPr>
              <w:t>947</w:t>
            </w:r>
          </w:p>
        </w:tc>
        <w:tc>
          <w:tcPr>
            <w:tcW w:w="779" w:type="dxa"/>
            <w:tcBorders>
              <w:top w:val="nil"/>
              <w:left w:val="single" w:sz="4" w:space="0" w:color="auto"/>
              <w:bottom w:val="nil"/>
              <w:right w:val="nil"/>
            </w:tcBorders>
            <w:shd w:val="clear" w:color="000000" w:fill="FFFFFF"/>
            <w:vAlign w:val="center"/>
            <w:hideMark/>
          </w:tcPr>
          <w:p w14:paraId="42E4FDEF" w14:textId="77777777" w:rsidR="00862A01" w:rsidRPr="00872D7E" w:rsidRDefault="00862A01" w:rsidP="00862A01">
            <w:pPr>
              <w:jc w:val="right"/>
              <w:rPr>
                <w:color w:val="000000"/>
                <w:sz w:val="14"/>
                <w:szCs w:val="14"/>
              </w:rPr>
            </w:pPr>
            <w:r w:rsidRPr="00872D7E">
              <w:rPr>
                <w:color w:val="000000"/>
                <w:sz w:val="14"/>
                <w:szCs w:val="14"/>
              </w:rPr>
              <w:t>132.336</w:t>
            </w:r>
          </w:p>
        </w:tc>
        <w:tc>
          <w:tcPr>
            <w:tcW w:w="852" w:type="dxa"/>
            <w:tcBorders>
              <w:top w:val="nil"/>
              <w:left w:val="single" w:sz="4" w:space="0" w:color="auto"/>
              <w:bottom w:val="nil"/>
              <w:right w:val="nil"/>
            </w:tcBorders>
            <w:shd w:val="clear" w:color="000000" w:fill="FFFFFF"/>
            <w:vAlign w:val="center"/>
            <w:hideMark/>
          </w:tcPr>
          <w:p w14:paraId="65EE7F35" w14:textId="77777777" w:rsidR="00862A01" w:rsidRPr="00872D7E" w:rsidRDefault="00862A01" w:rsidP="00862A01">
            <w:pPr>
              <w:jc w:val="right"/>
              <w:rPr>
                <w:color w:val="000000"/>
                <w:sz w:val="14"/>
                <w:szCs w:val="14"/>
              </w:rPr>
            </w:pPr>
            <w:r w:rsidRPr="00872D7E">
              <w:rPr>
                <w:color w:val="000000"/>
                <w:sz w:val="14"/>
                <w:szCs w:val="14"/>
              </w:rPr>
              <w:t>133.283</w:t>
            </w:r>
          </w:p>
        </w:tc>
        <w:tc>
          <w:tcPr>
            <w:tcW w:w="692" w:type="dxa"/>
            <w:tcBorders>
              <w:top w:val="nil"/>
              <w:left w:val="single" w:sz="4" w:space="0" w:color="auto"/>
              <w:bottom w:val="nil"/>
              <w:right w:val="nil"/>
            </w:tcBorders>
            <w:shd w:val="clear" w:color="000000" w:fill="FFFFFF"/>
            <w:vAlign w:val="center"/>
            <w:hideMark/>
          </w:tcPr>
          <w:p w14:paraId="0992F5BD" w14:textId="77777777" w:rsidR="00862A01" w:rsidRPr="00872D7E" w:rsidRDefault="00862A01" w:rsidP="00862A01">
            <w:pPr>
              <w:jc w:val="right"/>
              <w:rPr>
                <w:color w:val="000000"/>
                <w:sz w:val="14"/>
                <w:szCs w:val="14"/>
              </w:rPr>
            </w:pPr>
            <w:r w:rsidRPr="00872D7E">
              <w:rPr>
                <w:color w:val="000000"/>
                <w:sz w:val="14"/>
                <w:szCs w:val="14"/>
              </w:rPr>
              <w:t>111.343</w:t>
            </w:r>
          </w:p>
        </w:tc>
        <w:tc>
          <w:tcPr>
            <w:tcW w:w="759" w:type="dxa"/>
            <w:tcBorders>
              <w:top w:val="nil"/>
              <w:left w:val="single" w:sz="4" w:space="0" w:color="auto"/>
              <w:bottom w:val="nil"/>
              <w:right w:val="nil"/>
            </w:tcBorders>
            <w:shd w:val="clear" w:color="000000" w:fill="FFFFFF"/>
            <w:vAlign w:val="center"/>
            <w:hideMark/>
          </w:tcPr>
          <w:p w14:paraId="65EA1333"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5FEF6690" w14:textId="77777777" w:rsidR="00862A01" w:rsidRPr="00872D7E" w:rsidRDefault="00862A01" w:rsidP="00862A01">
            <w:pPr>
              <w:jc w:val="right"/>
              <w:rPr>
                <w:color w:val="000000"/>
                <w:sz w:val="14"/>
                <w:szCs w:val="14"/>
              </w:rPr>
            </w:pPr>
            <w:r w:rsidRPr="00872D7E">
              <w:rPr>
                <w:color w:val="000000"/>
                <w:sz w:val="14"/>
                <w:szCs w:val="14"/>
              </w:rPr>
              <w:t>111.343</w:t>
            </w:r>
          </w:p>
        </w:tc>
      </w:tr>
      <w:tr w:rsidR="00862A01" w:rsidRPr="00872D7E" w14:paraId="00D68ED1"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422A27EE" w14:textId="77777777" w:rsidR="00862A01" w:rsidRPr="00872D7E" w:rsidRDefault="00862A01" w:rsidP="00862A01">
            <w:pPr>
              <w:rPr>
                <w:b/>
                <w:bCs/>
                <w:sz w:val="14"/>
                <w:szCs w:val="14"/>
              </w:rPr>
            </w:pPr>
            <w:r w:rsidRPr="00872D7E">
              <w:rPr>
                <w:b/>
                <w:bCs/>
                <w:sz w:val="14"/>
                <w:szCs w:val="14"/>
              </w:rPr>
              <w:t>1.3</w:t>
            </w:r>
          </w:p>
        </w:tc>
        <w:tc>
          <w:tcPr>
            <w:tcW w:w="4107" w:type="dxa"/>
            <w:tcBorders>
              <w:top w:val="nil"/>
              <w:left w:val="nil"/>
              <w:bottom w:val="nil"/>
              <w:right w:val="single" w:sz="4" w:space="0" w:color="auto"/>
            </w:tcBorders>
            <w:shd w:val="clear" w:color="auto" w:fill="auto"/>
            <w:hideMark/>
          </w:tcPr>
          <w:p w14:paraId="664AA9C1" w14:textId="77777777" w:rsidR="00862A01" w:rsidRPr="00872D7E" w:rsidRDefault="00862A01" w:rsidP="00862A01">
            <w:pPr>
              <w:rPr>
                <w:b/>
                <w:bCs/>
                <w:sz w:val="14"/>
                <w:szCs w:val="14"/>
              </w:rPr>
            </w:pPr>
            <w:r w:rsidRPr="00872D7E">
              <w:rPr>
                <w:b/>
                <w:bCs/>
                <w:sz w:val="14"/>
                <w:szCs w:val="14"/>
              </w:rPr>
              <w:t>Gerçeğe Uygun Değer Farkı Diğer Kapsamlı Gelire Yansıtılan Finansal Varlıklar</w:t>
            </w:r>
          </w:p>
        </w:tc>
        <w:tc>
          <w:tcPr>
            <w:tcW w:w="709" w:type="dxa"/>
            <w:tcBorders>
              <w:top w:val="nil"/>
              <w:left w:val="nil"/>
              <w:bottom w:val="nil"/>
              <w:right w:val="nil"/>
            </w:tcBorders>
            <w:shd w:val="clear" w:color="auto" w:fill="auto"/>
            <w:noWrap/>
            <w:hideMark/>
          </w:tcPr>
          <w:p w14:paraId="595F3837" w14:textId="77777777" w:rsidR="00862A01" w:rsidRPr="00872D7E" w:rsidRDefault="00862A01" w:rsidP="00862A01">
            <w:pPr>
              <w:jc w:val="center"/>
              <w:rPr>
                <w:b/>
                <w:bCs/>
                <w:color w:val="000000"/>
                <w:sz w:val="14"/>
                <w:szCs w:val="14"/>
              </w:rPr>
            </w:pPr>
            <w:r w:rsidRPr="00872D7E">
              <w:rPr>
                <w:b/>
                <w:bCs/>
                <w:color w:val="000000"/>
                <w:sz w:val="14"/>
                <w:szCs w:val="14"/>
              </w:rPr>
              <w:t>(3)</w:t>
            </w:r>
          </w:p>
        </w:tc>
        <w:tc>
          <w:tcPr>
            <w:tcW w:w="833" w:type="dxa"/>
            <w:tcBorders>
              <w:top w:val="nil"/>
              <w:left w:val="single" w:sz="4" w:space="0" w:color="auto"/>
              <w:bottom w:val="nil"/>
              <w:right w:val="nil"/>
            </w:tcBorders>
            <w:shd w:val="clear" w:color="000000" w:fill="FFFFFF"/>
            <w:vAlign w:val="center"/>
            <w:hideMark/>
          </w:tcPr>
          <w:p w14:paraId="34FC6D6C" w14:textId="77777777" w:rsidR="00862A01" w:rsidRPr="00872D7E" w:rsidRDefault="00862A01" w:rsidP="00862A01">
            <w:pPr>
              <w:jc w:val="right"/>
              <w:rPr>
                <w:b/>
                <w:bCs/>
                <w:color w:val="000000"/>
                <w:sz w:val="14"/>
                <w:szCs w:val="14"/>
              </w:rPr>
            </w:pPr>
            <w:r w:rsidRPr="00872D7E">
              <w:rPr>
                <w:b/>
                <w:bCs/>
                <w:color w:val="000000"/>
                <w:sz w:val="14"/>
                <w:szCs w:val="14"/>
              </w:rPr>
              <w:t>964.443</w:t>
            </w:r>
          </w:p>
        </w:tc>
        <w:tc>
          <w:tcPr>
            <w:tcW w:w="779" w:type="dxa"/>
            <w:tcBorders>
              <w:top w:val="nil"/>
              <w:left w:val="single" w:sz="4" w:space="0" w:color="auto"/>
              <w:bottom w:val="nil"/>
              <w:right w:val="nil"/>
            </w:tcBorders>
            <w:shd w:val="clear" w:color="000000" w:fill="FFFFFF"/>
            <w:vAlign w:val="center"/>
            <w:hideMark/>
          </w:tcPr>
          <w:p w14:paraId="52FEA11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0D772642" w14:textId="77777777" w:rsidR="00862A01" w:rsidRPr="00872D7E" w:rsidRDefault="00862A01" w:rsidP="00862A01">
            <w:pPr>
              <w:jc w:val="right"/>
              <w:rPr>
                <w:b/>
                <w:bCs/>
                <w:color w:val="000000"/>
                <w:sz w:val="14"/>
                <w:szCs w:val="14"/>
              </w:rPr>
            </w:pPr>
            <w:r w:rsidRPr="00872D7E">
              <w:rPr>
                <w:b/>
                <w:bCs/>
                <w:color w:val="000000"/>
                <w:sz w:val="14"/>
                <w:szCs w:val="14"/>
              </w:rPr>
              <w:t>964.443</w:t>
            </w:r>
          </w:p>
        </w:tc>
        <w:tc>
          <w:tcPr>
            <w:tcW w:w="692" w:type="dxa"/>
            <w:tcBorders>
              <w:top w:val="nil"/>
              <w:left w:val="single" w:sz="4" w:space="0" w:color="auto"/>
              <w:bottom w:val="nil"/>
              <w:right w:val="nil"/>
            </w:tcBorders>
            <w:shd w:val="clear" w:color="000000" w:fill="FFFFFF"/>
            <w:vAlign w:val="center"/>
            <w:hideMark/>
          </w:tcPr>
          <w:p w14:paraId="2F03743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328E2B5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1321556A"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66296E2E"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42318A18" w14:textId="77777777" w:rsidR="00862A01" w:rsidRPr="00872D7E" w:rsidRDefault="00862A01" w:rsidP="00862A01">
            <w:pPr>
              <w:rPr>
                <w:sz w:val="14"/>
                <w:szCs w:val="14"/>
              </w:rPr>
            </w:pPr>
            <w:r w:rsidRPr="00872D7E">
              <w:rPr>
                <w:sz w:val="14"/>
                <w:szCs w:val="14"/>
              </w:rPr>
              <w:t>1.3.1</w:t>
            </w:r>
          </w:p>
        </w:tc>
        <w:tc>
          <w:tcPr>
            <w:tcW w:w="4107" w:type="dxa"/>
            <w:tcBorders>
              <w:top w:val="nil"/>
              <w:left w:val="nil"/>
              <w:bottom w:val="nil"/>
              <w:right w:val="single" w:sz="4" w:space="0" w:color="auto"/>
            </w:tcBorders>
            <w:shd w:val="clear" w:color="auto" w:fill="auto"/>
            <w:hideMark/>
          </w:tcPr>
          <w:p w14:paraId="018B8DF8" w14:textId="77777777" w:rsidR="00862A01" w:rsidRPr="00872D7E" w:rsidRDefault="00862A01" w:rsidP="00862A01">
            <w:pPr>
              <w:rPr>
                <w:sz w:val="14"/>
                <w:szCs w:val="14"/>
              </w:rPr>
            </w:pPr>
            <w:r w:rsidRPr="00872D7E">
              <w:rPr>
                <w:sz w:val="14"/>
                <w:szCs w:val="14"/>
              </w:rPr>
              <w:t>Devlet Borçlanma Senetleri</w:t>
            </w:r>
          </w:p>
        </w:tc>
        <w:tc>
          <w:tcPr>
            <w:tcW w:w="709" w:type="dxa"/>
            <w:tcBorders>
              <w:top w:val="nil"/>
              <w:left w:val="nil"/>
              <w:bottom w:val="nil"/>
              <w:right w:val="nil"/>
            </w:tcBorders>
            <w:shd w:val="clear" w:color="auto" w:fill="auto"/>
            <w:noWrap/>
            <w:hideMark/>
          </w:tcPr>
          <w:p w14:paraId="61D21A77"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544E29FC" w14:textId="77777777" w:rsidR="00862A01" w:rsidRPr="00872D7E" w:rsidRDefault="00862A01" w:rsidP="00862A01">
            <w:pPr>
              <w:jc w:val="right"/>
              <w:rPr>
                <w:color w:val="000000"/>
                <w:sz w:val="14"/>
                <w:szCs w:val="14"/>
              </w:rPr>
            </w:pPr>
            <w:r w:rsidRPr="00872D7E">
              <w:rPr>
                <w:color w:val="000000"/>
                <w:sz w:val="14"/>
                <w:szCs w:val="14"/>
              </w:rPr>
              <w:t>964.443</w:t>
            </w:r>
          </w:p>
        </w:tc>
        <w:tc>
          <w:tcPr>
            <w:tcW w:w="779" w:type="dxa"/>
            <w:tcBorders>
              <w:top w:val="nil"/>
              <w:left w:val="single" w:sz="4" w:space="0" w:color="auto"/>
              <w:bottom w:val="nil"/>
              <w:right w:val="nil"/>
            </w:tcBorders>
            <w:shd w:val="clear" w:color="000000" w:fill="FFFFFF"/>
            <w:vAlign w:val="center"/>
            <w:hideMark/>
          </w:tcPr>
          <w:p w14:paraId="55AD9D49"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0077D337" w14:textId="77777777" w:rsidR="00862A01" w:rsidRPr="00872D7E" w:rsidRDefault="00862A01" w:rsidP="00862A01">
            <w:pPr>
              <w:jc w:val="right"/>
              <w:rPr>
                <w:color w:val="000000"/>
                <w:sz w:val="14"/>
                <w:szCs w:val="14"/>
              </w:rPr>
            </w:pPr>
            <w:r w:rsidRPr="00872D7E">
              <w:rPr>
                <w:color w:val="000000"/>
                <w:sz w:val="14"/>
                <w:szCs w:val="14"/>
              </w:rPr>
              <w:t>964.443</w:t>
            </w:r>
          </w:p>
        </w:tc>
        <w:tc>
          <w:tcPr>
            <w:tcW w:w="692" w:type="dxa"/>
            <w:tcBorders>
              <w:top w:val="nil"/>
              <w:left w:val="single" w:sz="4" w:space="0" w:color="auto"/>
              <w:bottom w:val="nil"/>
              <w:right w:val="nil"/>
            </w:tcBorders>
            <w:shd w:val="clear" w:color="000000" w:fill="FFFFFF"/>
            <w:vAlign w:val="center"/>
            <w:hideMark/>
          </w:tcPr>
          <w:p w14:paraId="0FEE825B"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4C0B9854"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73DFA77D"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2F7F85DA"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5E74B9A5" w14:textId="77777777" w:rsidR="00862A01" w:rsidRPr="00872D7E" w:rsidRDefault="00862A01" w:rsidP="00862A01">
            <w:pPr>
              <w:rPr>
                <w:sz w:val="14"/>
                <w:szCs w:val="14"/>
              </w:rPr>
            </w:pPr>
            <w:r w:rsidRPr="00872D7E">
              <w:rPr>
                <w:sz w:val="14"/>
                <w:szCs w:val="14"/>
              </w:rPr>
              <w:t>1.3.2</w:t>
            </w:r>
          </w:p>
        </w:tc>
        <w:tc>
          <w:tcPr>
            <w:tcW w:w="4107" w:type="dxa"/>
            <w:tcBorders>
              <w:top w:val="nil"/>
              <w:left w:val="nil"/>
              <w:bottom w:val="nil"/>
              <w:right w:val="single" w:sz="4" w:space="0" w:color="auto"/>
            </w:tcBorders>
            <w:shd w:val="clear" w:color="auto" w:fill="auto"/>
            <w:hideMark/>
          </w:tcPr>
          <w:p w14:paraId="3F02CE1A" w14:textId="77777777" w:rsidR="00862A01" w:rsidRPr="00872D7E" w:rsidRDefault="00862A01" w:rsidP="00862A01">
            <w:pPr>
              <w:rPr>
                <w:sz w:val="14"/>
                <w:szCs w:val="14"/>
              </w:rPr>
            </w:pPr>
            <w:r w:rsidRPr="00872D7E">
              <w:rPr>
                <w:sz w:val="14"/>
                <w:szCs w:val="14"/>
              </w:rPr>
              <w:t>Sermayede Payı Temsil Eden Menkul Değerler</w:t>
            </w:r>
          </w:p>
        </w:tc>
        <w:tc>
          <w:tcPr>
            <w:tcW w:w="709" w:type="dxa"/>
            <w:tcBorders>
              <w:top w:val="nil"/>
              <w:left w:val="nil"/>
              <w:bottom w:val="nil"/>
              <w:right w:val="nil"/>
            </w:tcBorders>
            <w:shd w:val="clear" w:color="auto" w:fill="auto"/>
            <w:noWrap/>
            <w:hideMark/>
          </w:tcPr>
          <w:p w14:paraId="69A98925"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27FF3825"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0519A5E8"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43FE6D2E"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12AF4485"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68E46EBE"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1E79535B"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53B26AB5"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4A3ED416" w14:textId="77777777" w:rsidR="00862A01" w:rsidRPr="00872D7E" w:rsidRDefault="00862A01" w:rsidP="00862A01">
            <w:pPr>
              <w:rPr>
                <w:sz w:val="14"/>
                <w:szCs w:val="14"/>
              </w:rPr>
            </w:pPr>
            <w:r w:rsidRPr="00872D7E">
              <w:rPr>
                <w:sz w:val="14"/>
                <w:szCs w:val="14"/>
              </w:rPr>
              <w:t>1.3.3</w:t>
            </w:r>
          </w:p>
        </w:tc>
        <w:tc>
          <w:tcPr>
            <w:tcW w:w="4107" w:type="dxa"/>
            <w:tcBorders>
              <w:top w:val="nil"/>
              <w:left w:val="nil"/>
              <w:bottom w:val="nil"/>
              <w:right w:val="single" w:sz="4" w:space="0" w:color="auto"/>
            </w:tcBorders>
            <w:shd w:val="clear" w:color="auto" w:fill="auto"/>
            <w:hideMark/>
          </w:tcPr>
          <w:p w14:paraId="675B2C4D" w14:textId="77777777" w:rsidR="00862A01" w:rsidRPr="00872D7E" w:rsidRDefault="00862A01" w:rsidP="00862A01">
            <w:pPr>
              <w:rPr>
                <w:sz w:val="14"/>
                <w:szCs w:val="14"/>
              </w:rPr>
            </w:pPr>
            <w:r w:rsidRPr="00872D7E">
              <w:rPr>
                <w:sz w:val="14"/>
                <w:szCs w:val="14"/>
              </w:rPr>
              <w:t>Diğer Finansal Varlıklar</w:t>
            </w:r>
          </w:p>
        </w:tc>
        <w:tc>
          <w:tcPr>
            <w:tcW w:w="709" w:type="dxa"/>
            <w:tcBorders>
              <w:top w:val="nil"/>
              <w:left w:val="nil"/>
              <w:bottom w:val="nil"/>
              <w:right w:val="nil"/>
            </w:tcBorders>
            <w:shd w:val="clear" w:color="auto" w:fill="auto"/>
            <w:noWrap/>
            <w:hideMark/>
          </w:tcPr>
          <w:p w14:paraId="2FBF7DC9"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60494C8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7708CB7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2771EBC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586EBB1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2B0CF32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2AD8A158"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1EB6AEC0"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7EB4955D" w14:textId="77777777" w:rsidR="00862A01" w:rsidRPr="00872D7E" w:rsidRDefault="00862A01" w:rsidP="00862A01">
            <w:pPr>
              <w:rPr>
                <w:b/>
                <w:bCs/>
                <w:sz w:val="14"/>
                <w:szCs w:val="14"/>
              </w:rPr>
            </w:pPr>
            <w:r w:rsidRPr="00872D7E">
              <w:rPr>
                <w:b/>
                <w:bCs/>
                <w:sz w:val="14"/>
                <w:szCs w:val="14"/>
              </w:rPr>
              <w:t>1.4</w:t>
            </w:r>
          </w:p>
        </w:tc>
        <w:tc>
          <w:tcPr>
            <w:tcW w:w="4107" w:type="dxa"/>
            <w:tcBorders>
              <w:top w:val="nil"/>
              <w:left w:val="nil"/>
              <w:bottom w:val="nil"/>
              <w:right w:val="single" w:sz="4" w:space="0" w:color="auto"/>
            </w:tcBorders>
            <w:shd w:val="clear" w:color="auto" w:fill="auto"/>
            <w:hideMark/>
          </w:tcPr>
          <w:p w14:paraId="70D31B66" w14:textId="77777777" w:rsidR="00862A01" w:rsidRPr="00872D7E" w:rsidRDefault="00862A01" w:rsidP="00862A01">
            <w:pPr>
              <w:rPr>
                <w:b/>
                <w:bCs/>
                <w:sz w:val="14"/>
                <w:szCs w:val="14"/>
              </w:rPr>
            </w:pPr>
            <w:r w:rsidRPr="00872D7E">
              <w:rPr>
                <w:b/>
                <w:bCs/>
                <w:sz w:val="14"/>
                <w:szCs w:val="14"/>
              </w:rPr>
              <w:t>Türev Finansal Varlıklar</w:t>
            </w:r>
          </w:p>
        </w:tc>
        <w:tc>
          <w:tcPr>
            <w:tcW w:w="709" w:type="dxa"/>
            <w:tcBorders>
              <w:top w:val="nil"/>
              <w:left w:val="nil"/>
              <w:bottom w:val="nil"/>
              <w:right w:val="nil"/>
            </w:tcBorders>
            <w:shd w:val="clear" w:color="auto" w:fill="auto"/>
            <w:noWrap/>
            <w:hideMark/>
          </w:tcPr>
          <w:p w14:paraId="6DCF19C1" w14:textId="77777777" w:rsidR="00862A01" w:rsidRPr="00872D7E" w:rsidRDefault="00862A01" w:rsidP="00862A01">
            <w:pPr>
              <w:jc w:val="center"/>
              <w:rPr>
                <w:b/>
                <w:bCs/>
                <w:color w:val="000000"/>
                <w:sz w:val="14"/>
                <w:szCs w:val="14"/>
              </w:rPr>
            </w:pPr>
            <w:r w:rsidRPr="00872D7E">
              <w:rPr>
                <w:b/>
                <w:bCs/>
                <w:color w:val="000000"/>
                <w:sz w:val="14"/>
                <w:szCs w:val="14"/>
              </w:rPr>
              <w:t>(5)</w:t>
            </w:r>
          </w:p>
        </w:tc>
        <w:tc>
          <w:tcPr>
            <w:tcW w:w="833" w:type="dxa"/>
            <w:tcBorders>
              <w:top w:val="nil"/>
              <w:left w:val="single" w:sz="4" w:space="0" w:color="auto"/>
              <w:bottom w:val="nil"/>
              <w:right w:val="nil"/>
            </w:tcBorders>
            <w:shd w:val="clear" w:color="000000" w:fill="FFFFFF"/>
            <w:vAlign w:val="center"/>
            <w:hideMark/>
          </w:tcPr>
          <w:p w14:paraId="3D1BEB23" w14:textId="77777777" w:rsidR="00862A01" w:rsidRPr="00872D7E" w:rsidRDefault="00862A01" w:rsidP="00862A01">
            <w:pPr>
              <w:jc w:val="right"/>
              <w:rPr>
                <w:b/>
                <w:bCs/>
                <w:color w:val="000000"/>
                <w:sz w:val="14"/>
                <w:szCs w:val="14"/>
              </w:rPr>
            </w:pPr>
            <w:r w:rsidRPr="00872D7E">
              <w:rPr>
                <w:b/>
                <w:bCs/>
                <w:color w:val="000000"/>
                <w:sz w:val="14"/>
                <w:szCs w:val="14"/>
              </w:rPr>
              <w:t>5.739</w:t>
            </w:r>
          </w:p>
        </w:tc>
        <w:tc>
          <w:tcPr>
            <w:tcW w:w="779" w:type="dxa"/>
            <w:tcBorders>
              <w:top w:val="nil"/>
              <w:left w:val="single" w:sz="4" w:space="0" w:color="auto"/>
              <w:bottom w:val="nil"/>
              <w:right w:val="nil"/>
            </w:tcBorders>
            <w:shd w:val="clear" w:color="000000" w:fill="FFFFFF"/>
            <w:vAlign w:val="center"/>
            <w:hideMark/>
          </w:tcPr>
          <w:p w14:paraId="73187873" w14:textId="77777777" w:rsidR="00862A01" w:rsidRPr="00872D7E" w:rsidRDefault="00862A01" w:rsidP="00862A01">
            <w:pPr>
              <w:jc w:val="right"/>
              <w:rPr>
                <w:b/>
                <w:bCs/>
                <w:color w:val="000000"/>
                <w:sz w:val="14"/>
                <w:szCs w:val="14"/>
              </w:rPr>
            </w:pPr>
            <w:r w:rsidRPr="00872D7E">
              <w:rPr>
                <w:b/>
                <w:bCs/>
                <w:color w:val="000000"/>
                <w:sz w:val="14"/>
                <w:szCs w:val="14"/>
              </w:rPr>
              <w:t>16.535</w:t>
            </w:r>
          </w:p>
        </w:tc>
        <w:tc>
          <w:tcPr>
            <w:tcW w:w="852" w:type="dxa"/>
            <w:tcBorders>
              <w:top w:val="nil"/>
              <w:left w:val="single" w:sz="4" w:space="0" w:color="auto"/>
              <w:bottom w:val="nil"/>
              <w:right w:val="nil"/>
            </w:tcBorders>
            <w:shd w:val="clear" w:color="000000" w:fill="FFFFFF"/>
            <w:vAlign w:val="center"/>
            <w:hideMark/>
          </w:tcPr>
          <w:p w14:paraId="0CD1D2B6" w14:textId="77777777" w:rsidR="00862A01" w:rsidRPr="00872D7E" w:rsidRDefault="00862A01" w:rsidP="00862A01">
            <w:pPr>
              <w:jc w:val="right"/>
              <w:rPr>
                <w:b/>
                <w:bCs/>
                <w:color w:val="000000"/>
                <w:sz w:val="14"/>
                <w:szCs w:val="14"/>
              </w:rPr>
            </w:pPr>
            <w:r w:rsidRPr="00872D7E">
              <w:rPr>
                <w:b/>
                <w:bCs/>
                <w:color w:val="000000"/>
                <w:sz w:val="14"/>
                <w:szCs w:val="14"/>
              </w:rPr>
              <w:t>22.274</w:t>
            </w:r>
          </w:p>
        </w:tc>
        <w:tc>
          <w:tcPr>
            <w:tcW w:w="692" w:type="dxa"/>
            <w:tcBorders>
              <w:top w:val="nil"/>
              <w:left w:val="single" w:sz="4" w:space="0" w:color="auto"/>
              <w:bottom w:val="nil"/>
              <w:right w:val="nil"/>
            </w:tcBorders>
            <w:shd w:val="clear" w:color="000000" w:fill="FFFFFF"/>
            <w:vAlign w:val="center"/>
            <w:hideMark/>
          </w:tcPr>
          <w:p w14:paraId="688D383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0CB2038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243EF7D7"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6D16B2C5"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615AC5B4" w14:textId="77777777" w:rsidR="00862A01" w:rsidRPr="00872D7E" w:rsidRDefault="00862A01" w:rsidP="00862A01">
            <w:pPr>
              <w:rPr>
                <w:sz w:val="14"/>
                <w:szCs w:val="14"/>
              </w:rPr>
            </w:pPr>
            <w:r w:rsidRPr="00872D7E">
              <w:rPr>
                <w:sz w:val="14"/>
                <w:szCs w:val="14"/>
              </w:rPr>
              <w:t>1.4.1</w:t>
            </w:r>
          </w:p>
        </w:tc>
        <w:tc>
          <w:tcPr>
            <w:tcW w:w="4107" w:type="dxa"/>
            <w:tcBorders>
              <w:top w:val="nil"/>
              <w:left w:val="nil"/>
              <w:bottom w:val="nil"/>
              <w:right w:val="single" w:sz="4" w:space="0" w:color="auto"/>
            </w:tcBorders>
            <w:shd w:val="clear" w:color="auto" w:fill="auto"/>
            <w:hideMark/>
          </w:tcPr>
          <w:p w14:paraId="725F6EF1" w14:textId="77777777" w:rsidR="00862A01" w:rsidRPr="00872D7E" w:rsidRDefault="00862A01" w:rsidP="00862A01">
            <w:pPr>
              <w:rPr>
                <w:sz w:val="14"/>
                <w:szCs w:val="14"/>
              </w:rPr>
            </w:pPr>
            <w:r w:rsidRPr="00872D7E">
              <w:rPr>
                <w:sz w:val="14"/>
                <w:szCs w:val="14"/>
              </w:rPr>
              <w:t>Türev Finansal Varlıkların Gerçeğe Uygun Değer Farkı Kar Zarara Yansıtılan Kısmı</w:t>
            </w:r>
          </w:p>
        </w:tc>
        <w:tc>
          <w:tcPr>
            <w:tcW w:w="709" w:type="dxa"/>
            <w:tcBorders>
              <w:top w:val="nil"/>
              <w:left w:val="nil"/>
              <w:bottom w:val="nil"/>
              <w:right w:val="nil"/>
            </w:tcBorders>
            <w:shd w:val="clear" w:color="auto" w:fill="auto"/>
            <w:noWrap/>
            <w:hideMark/>
          </w:tcPr>
          <w:p w14:paraId="52300A9C"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1813F4A4" w14:textId="77777777" w:rsidR="00862A01" w:rsidRPr="00872D7E" w:rsidRDefault="00862A01" w:rsidP="00862A01">
            <w:pPr>
              <w:jc w:val="right"/>
              <w:rPr>
                <w:color w:val="000000"/>
                <w:sz w:val="14"/>
                <w:szCs w:val="14"/>
              </w:rPr>
            </w:pPr>
            <w:r w:rsidRPr="00872D7E">
              <w:rPr>
                <w:color w:val="000000"/>
                <w:sz w:val="14"/>
                <w:szCs w:val="14"/>
              </w:rPr>
              <w:t>5.739</w:t>
            </w:r>
          </w:p>
        </w:tc>
        <w:tc>
          <w:tcPr>
            <w:tcW w:w="779" w:type="dxa"/>
            <w:tcBorders>
              <w:top w:val="nil"/>
              <w:left w:val="single" w:sz="4" w:space="0" w:color="auto"/>
              <w:bottom w:val="nil"/>
              <w:right w:val="nil"/>
            </w:tcBorders>
            <w:shd w:val="clear" w:color="000000" w:fill="FFFFFF"/>
            <w:vAlign w:val="center"/>
            <w:hideMark/>
          </w:tcPr>
          <w:p w14:paraId="509CF59E" w14:textId="77777777" w:rsidR="00862A01" w:rsidRPr="00872D7E" w:rsidRDefault="00862A01" w:rsidP="00862A01">
            <w:pPr>
              <w:jc w:val="right"/>
              <w:rPr>
                <w:color w:val="000000"/>
                <w:sz w:val="14"/>
                <w:szCs w:val="14"/>
              </w:rPr>
            </w:pPr>
            <w:r w:rsidRPr="00872D7E">
              <w:rPr>
                <w:color w:val="000000"/>
                <w:sz w:val="14"/>
                <w:szCs w:val="14"/>
              </w:rPr>
              <w:t>16.535</w:t>
            </w:r>
          </w:p>
        </w:tc>
        <w:tc>
          <w:tcPr>
            <w:tcW w:w="852" w:type="dxa"/>
            <w:tcBorders>
              <w:top w:val="nil"/>
              <w:left w:val="single" w:sz="4" w:space="0" w:color="auto"/>
              <w:bottom w:val="nil"/>
              <w:right w:val="nil"/>
            </w:tcBorders>
            <w:shd w:val="clear" w:color="000000" w:fill="FFFFFF"/>
            <w:vAlign w:val="center"/>
            <w:hideMark/>
          </w:tcPr>
          <w:p w14:paraId="30879786" w14:textId="77777777" w:rsidR="00862A01" w:rsidRPr="00872D7E" w:rsidRDefault="00862A01" w:rsidP="00862A01">
            <w:pPr>
              <w:jc w:val="right"/>
              <w:rPr>
                <w:color w:val="000000"/>
                <w:sz w:val="14"/>
                <w:szCs w:val="14"/>
              </w:rPr>
            </w:pPr>
            <w:r w:rsidRPr="00872D7E">
              <w:rPr>
                <w:color w:val="000000"/>
                <w:sz w:val="14"/>
                <w:szCs w:val="14"/>
              </w:rPr>
              <w:t>22.274</w:t>
            </w:r>
          </w:p>
        </w:tc>
        <w:tc>
          <w:tcPr>
            <w:tcW w:w="692" w:type="dxa"/>
            <w:tcBorders>
              <w:top w:val="nil"/>
              <w:left w:val="single" w:sz="4" w:space="0" w:color="auto"/>
              <w:bottom w:val="nil"/>
              <w:right w:val="nil"/>
            </w:tcBorders>
            <w:shd w:val="clear" w:color="000000" w:fill="FFFFFF"/>
            <w:vAlign w:val="center"/>
            <w:hideMark/>
          </w:tcPr>
          <w:p w14:paraId="5CCCC373"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3672EF77"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72597627"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343CA6F6"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1AD53278" w14:textId="77777777" w:rsidR="00862A01" w:rsidRPr="00872D7E" w:rsidRDefault="00862A01" w:rsidP="00862A01">
            <w:pPr>
              <w:rPr>
                <w:sz w:val="14"/>
                <w:szCs w:val="14"/>
              </w:rPr>
            </w:pPr>
            <w:r w:rsidRPr="00872D7E">
              <w:rPr>
                <w:sz w:val="14"/>
                <w:szCs w:val="14"/>
              </w:rPr>
              <w:t>1.4.2</w:t>
            </w:r>
          </w:p>
        </w:tc>
        <w:tc>
          <w:tcPr>
            <w:tcW w:w="4107" w:type="dxa"/>
            <w:tcBorders>
              <w:top w:val="nil"/>
              <w:left w:val="nil"/>
              <w:bottom w:val="nil"/>
              <w:right w:val="single" w:sz="4" w:space="0" w:color="auto"/>
            </w:tcBorders>
            <w:shd w:val="clear" w:color="auto" w:fill="auto"/>
            <w:hideMark/>
          </w:tcPr>
          <w:p w14:paraId="7FFDE5A7" w14:textId="77777777" w:rsidR="00862A01" w:rsidRPr="00872D7E" w:rsidRDefault="00862A01" w:rsidP="00862A01">
            <w:pPr>
              <w:rPr>
                <w:sz w:val="14"/>
                <w:szCs w:val="14"/>
              </w:rPr>
            </w:pPr>
            <w:r w:rsidRPr="00872D7E">
              <w:rPr>
                <w:sz w:val="14"/>
                <w:szCs w:val="14"/>
              </w:rPr>
              <w:t>Türev Finansal Varlıkların Gerçeğe Uygun Değer Farkı Diğer Kapsamlı Gelire Yansıtılan Kısmı</w:t>
            </w:r>
          </w:p>
        </w:tc>
        <w:tc>
          <w:tcPr>
            <w:tcW w:w="709" w:type="dxa"/>
            <w:tcBorders>
              <w:top w:val="nil"/>
              <w:left w:val="nil"/>
              <w:bottom w:val="nil"/>
              <w:right w:val="nil"/>
            </w:tcBorders>
            <w:shd w:val="clear" w:color="auto" w:fill="auto"/>
            <w:noWrap/>
            <w:hideMark/>
          </w:tcPr>
          <w:p w14:paraId="4A60437C"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6A09C3C9"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13A8EAC3"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5242EE2A"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6CB7AB5B"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5D35A3B0"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6DD58AD9"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14053880"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15DDF639" w14:textId="77777777" w:rsidR="00862A01" w:rsidRPr="00872D7E" w:rsidRDefault="00862A01" w:rsidP="00862A01">
            <w:pPr>
              <w:rPr>
                <w:b/>
                <w:bCs/>
                <w:color w:val="000000"/>
                <w:sz w:val="14"/>
                <w:szCs w:val="14"/>
              </w:rPr>
            </w:pPr>
            <w:r w:rsidRPr="00872D7E">
              <w:rPr>
                <w:b/>
                <w:bCs/>
                <w:color w:val="000000"/>
                <w:sz w:val="14"/>
                <w:szCs w:val="14"/>
              </w:rPr>
              <w:t>II.</w:t>
            </w:r>
          </w:p>
        </w:tc>
        <w:tc>
          <w:tcPr>
            <w:tcW w:w="4107" w:type="dxa"/>
            <w:tcBorders>
              <w:top w:val="nil"/>
              <w:left w:val="nil"/>
              <w:bottom w:val="nil"/>
              <w:right w:val="single" w:sz="4" w:space="0" w:color="auto"/>
            </w:tcBorders>
            <w:shd w:val="clear" w:color="auto" w:fill="auto"/>
            <w:hideMark/>
          </w:tcPr>
          <w:p w14:paraId="7F3BADCA" w14:textId="77777777" w:rsidR="00862A01" w:rsidRPr="00872D7E" w:rsidRDefault="00862A01" w:rsidP="00862A01">
            <w:pPr>
              <w:rPr>
                <w:b/>
                <w:bCs/>
                <w:color w:val="000000"/>
                <w:sz w:val="14"/>
                <w:szCs w:val="14"/>
              </w:rPr>
            </w:pPr>
            <w:r w:rsidRPr="00872D7E">
              <w:rPr>
                <w:b/>
                <w:bCs/>
                <w:color w:val="000000"/>
                <w:sz w:val="14"/>
                <w:szCs w:val="14"/>
              </w:rPr>
              <w:t>İTFA EDİLMİŞ MALİYETİ İLE ÖLÇÜLEN FİNANSAL VARLIKLAR (Net)</w:t>
            </w:r>
          </w:p>
        </w:tc>
        <w:tc>
          <w:tcPr>
            <w:tcW w:w="709" w:type="dxa"/>
            <w:tcBorders>
              <w:top w:val="nil"/>
              <w:left w:val="nil"/>
              <w:bottom w:val="nil"/>
              <w:right w:val="nil"/>
            </w:tcBorders>
            <w:shd w:val="clear" w:color="auto" w:fill="auto"/>
            <w:noWrap/>
            <w:hideMark/>
          </w:tcPr>
          <w:p w14:paraId="2F870A5B"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6AA51528" w14:textId="77777777" w:rsidR="00862A01" w:rsidRPr="00872D7E" w:rsidRDefault="00862A01" w:rsidP="00862A01">
            <w:pPr>
              <w:jc w:val="right"/>
              <w:rPr>
                <w:b/>
                <w:bCs/>
                <w:color w:val="000000"/>
                <w:sz w:val="14"/>
                <w:szCs w:val="14"/>
              </w:rPr>
            </w:pPr>
            <w:r w:rsidRPr="00872D7E">
              <w:rPr>
                <w:b/>
                <w:bCs/>
                <w:color w:val="000000"/>
                <w:sz w:val="14"/>
                <w:szCs w:val="14"/>
              </w:rPr>
              <w:t>16.311.239</w:t>
            </w:r>
          </w:p>
        </w:tc>
        <w:tc>
          <w:tcPr>
            <w:tcW w:w="779" w:type="dxa"/>
            <w:tcBorders>
              <w:top w:val="nil"/>
              <w:left w:val="single" w:sz="4" w:space="0" w:color="auto"/>
              <w:bottom w:val="nil"/>
              <w:right w:val="nil"/>
            </w:tcBorders>
            <w:shd w:val="clear" w:color="000000" w:fill="FFFFFF"/>
            <w:vAlign w:val="center"/>
            <w:hideMark/>
          </w:tcPr>
          <w:p w14:paraId="5A29800A" w14:textId="77777777" w:rsidR="00862A01" w:rsidRPr="00872D7E" w:rsidRDefault="00862A01" w:rsidP="00862A01">
            <w:pPr>
              <w:jc w:val="right"/>
              <w:rPr>
                <w:b/>
                <w:bCs/>
                <w:color w:val="000000"/>
                <w:sz w:val="14"/>
                <w:szCs w:val="14"/>
              </w:rPr>
            </w:pPr>
            <w:r w:rsidRPr="00872D7E">
              <w:rPr>
                <w:b/>
                <w:bCs/>
                <w:color w:val="000000"/>
                <w:sz w:val="14"/>
                <w:szCs w:val="14"/>
              </w:rPr>
              <w:t>7.113.893</w:t>
            </w:r>
          </w:p>
        </w:tc>
        <w:tc>
          <w:tcPr>
            <w:tcW w:w="852" w:type="dxa"/>
            <w:tcBorders>
              <w:top w:val="nil"/>
              <w:left w:val="single" w:sz="4" w:space="0" w:color="auto"/>
              <w:bottom w:val="nil"/>
              <w:right w:val="nil"/>
            </w:tcBorders>
            <w:shd w:val="clear" w:color="000000" w:fill="FFFFFF"/>
            <w:vAlign w:val="center"/>
            <w:hideMark/>
          </w:tcPr>
          <w:p w14:paraId="0521D7AD" w14:textId="77777777" w:rsidR="00862A01" w:rsidRPr="00872D7E" w:rsidRDefault="00862A01" w:rsidP="00862A01">
            <w:pPr>
              <w:jc w:val="right"/>
              <w:rPr>
                <w:b/>
                <w:bCs/>
                <w:color w:val="000000"/>
                <w:sz w:val="14"/>
                <w:szCs w:val="14"/>
              </w:rPr>
            </w:pPr>
            <w:r w:rsidRPr="00872D7E">
              <w:rPr>
                <w:b/>
                <w:bCs/>
                <w:color w:val="000000"/>
                <w:sz w:val="14"/>
                <w:szCs w:val="14"/>
              </w:rPr>
              <w:t>23.425.132</w:t>
            </w:r>
          </w:p>
        </w:tc>
        <w:tc>
          <w:tcPr>
            <w:tcW w:w="692" w:type="dxa"/>
            <w:tcBorders>
              <w:top w:val="nil"/>
              <w:left w:val="single" w:sz="4" w:space="0" w:color="auto"/>
              <w:bottom w:val="nil"/>
              <w:right w:val="nil"/>
            </w:tcBorders>
            <w:shd w:val="clear" w:color="000000" w:fill="FFFFFF"/>
            <w:vAlign w:val="center"/>
            <w:hideMark/>
          </w:tcPr>
          <w:p w14:paraId="7E5BCBB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22A3B48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7D507E2B"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687E51AC"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27554A29" w14:textId="77777777" w:rsidR="00862A01" w:rsidRPr="00872D7E" w:rsidRDefault="00862A01" w:rsidP="00862A01">
            <w:pPr>
              <w:rPr>
                <w:b/>
                <w:bCs/>
                <w:sz w:val="14"/>
                <w:szCs w:val="14"/>
              </w:rPr>
            </w:pPr>
            <w:r w:rsidRPr="00872D7E">
              <w:rPr>
                <w:b/>
                <w:bCs/>
                <w:sz w:val="14"/>
                <w:szCs w:val="14"/>
              </w:rPr>
              <w:t>2.1</w:t>
            </w:r>
          </w:p>
        </w:tc>
        <w:tc>
          <w:tcPr>
            <w:tcW w:w="4107" w:type="dxa"/>
            <w:tcBorders>
              <w:top w:val="nil"/>
              <w:left w:val="nil"/>
              <w:bottom w:val="nil"/>
              <w:right w:val="single" w:sz="4" w:space="0" w:color="auto"/>
            </w:tcBorders>
            <w:shd w:val="clear" w:color="auto" w:fill="auto"/>
            <w:hideMark/>
          </w:tcPr>
          <w:p w14:paraId="0E0AE190" w14:textId="77777777" w:rsidR="00862A01" w:rsidRPr="00872D7E" w:rsidRDefault="00862A01" w:rsidP="00862A01">
            <w:pPr>
              <w:rPr>
                <w:b/>
                <w:bCs/>
                <w:sz w:val="14"/>
                <w:szCs w:val="14"/>
              </w:rPr>
            </w:pPr>
            <w:r w:rsidRPr="00872D7E">
              <w:rPr>
                <w:b/>
                <w:bCs/>
                <w:sz w:val="14"/>
                <w:szCs w:val="14"/>
              </w:rPr>
              <w:t>Krediler</w:t>
            </w:r>
          </w:p>
        </w:tc>
        <w:tc>
          <w:tcPr>
            <w:tcW w:w="709" w:type="dxa"/>
            <w:tcBorders>
              <w:top w:val="nil"/>
              <w:left w:val="nil"/>
              <w:bottom w:val="nil"/>
              <w:right w:val="nil"/>
            </w:tcBorders>
            <w:shd w:val="clear" w:color="auto" w:fill="auto"/>
            <w:noWrap/>
            <w:hideMark/>
          </w:tcPr>
          <w:p w14:paraId="527BFC8C" w14:textId="77777777" w:rsidR="00862A01" w:rsidRPr="00872D7E" w:rsidRDefault="00862A01" w:rsidP="00862A01">
            <w:pPr>
              <w:jc w:val="center"/>
              <w:rPr>
                <w:b/>
                <w:bCs/>
                <w:color w:val="000000"/>
                <w:sz w:val="14"/>
                <w:szCs w:val="14"/>
              </w:rPr>
            </w:pPr>
            <w:r w:rsidRPr="00872D7E">
              <w:rPr>
                <w:b/>
                <w:bCs/>
                <w:color w:val="000000"/>
                <w:sz w:val="14"/>
                <w:szCs w:val="14"/>
              </w:rPr>
              <w:t>(6)</w:t>
            </w:r>
          </w:p>
        </w:tc>
        <w:tc>
          <w:tcPr>
            <w:tcW w:w="833" w:type="dxa"/>
            <w:tcBorders>
              <w:top w:val="nil"/>
              <w:left w:val="single" w:sz="4" w:space="0" w:color="auto"/>
              <w:bottom w:val="nil"/>
              <w:right w:val="nil"/>
            </w:tcBorders>
            <w:shd w:val="clear" w:color="000000" w:fill="FFFFFF"/>
            <w:vAlign w:val="center"/>
            <w:hideMark/>
          </w:tcPr>
          <w:p w14:paraId="79945947" w14:textId="77777777" w:rsidR="00862A01" w:rsidRPr="00872D7E" w:rsidRDefault="00862A01" w:rsidP="00862A01">
            <w:pPr>
              <w:jc w:val="right"/>
              <w:rPr>
                <w:b/>
                <w:bCs/>
                <w:color w:val="000000"/>
                <w:sz w:val="14"/>
                <w:szCs w:val="14"/>
              </w:rPr>
            </w:pPr>
            <w:r w:rsidRPr="00872D7E">
              <w:rPr>
                <w:b/>
                <w:bCs/>
                <w:color w:val="000000"/>
                <w:sz w:val="14"/>
                <w:szCs w:val="14"/>
              </w:rPr>
              <w:t>15.915.566</w:t>
            </w:r>
          </w:p>
        </w:tc>
        <w:tc>
          <w:tcPr>
            <w:tcW w:w="779" w:type="dxa"/>
            <w:tcBorders>
              <w:top w:val="nil"/>
              <w:left w:val="single" w:sz="4" w:space="0" w:color="auto"/>
              <w:bottom w:val="nil"/>
              <w:right w:val="nil"/>
            </w:tcBorders>
            <w:shd w:val="clear" w:color="000000" w:fill="FFFFFF"/>
            <w:vAlign w:val="center"/>
            <w:hideMark/>
          </w:tcPr>
          <w:p w14:paraId="4B31F181" w14:textId="77777777" w:rsidR="00862A01" w:rsidRPr="00872D7E" w:rsidRDefault="00862A01" w:rsidP="00862A01">
            <w:pPr>
              <w:jc w:val="right"/>
              <w:rPr>
                <w:b/>
                <w:bCs/>
                <w:color w:val="000000"/>
                <w:sz w:val="14"/>
                <w:szCs w:val="14"/>
              </w:rPr>
            </w:pPr>
            <w:r w:rsidRPr="00872D7E">
              <w:rPr>
                <w:b/>
                <w:bCs/>
                <w:color w:val="000000"/>
                <w:sz w:val="14"/>
                <w:szCs w:val="14"/>
              </w:rPr>
              <w:t>7.113.893</w:t>
            </w:r>
          </w:p>
        </w:tc>
        <w:tc>
          <w:tcPr>
            <w:tcW w:w="852" w:type="dxa"/>
            <w:tcBorders>
              <w:top w:val="nil"/>
              <w:left w:val="single" w:sz="4" w:space="0" w:color="auto"/>
              <w:bottom w:val="nil"/>
              <w:right w:val="nil"/>
            </w:tcBorders>
            <w:shd w:val="clear" w:color="000000" w:fill="FFFFFF"/>
            <w:vAlign w:val="center"/>
            <w:hideMark/>
          </w:tcPr>
          <w:p w14:paraId="560AAD51" w14:textId="77777777" w:rsidR="00862A01" w:rsidRPr="00872D7E" w:rsidRDefault="00862A01" w:rsidP="00862A01">
            <w:pPr>
              <w:jc w:val="right"/>
              <w:rPr>
                <w:b/>
                <w:bCs/>
                <w:color w:val="000000"/>
                <w:sz w:val="14"/>
                <w:szCs w:val="14"/>
              </w:rPr>
            </w:pPr>
            <w:r w:rsidRPr="00872D7E">
              <w:rPr>
                <w:b/>
                <w:bCs/>
                <w:color w:val="000000"/>
                <w:sz w:val="14"/>
                <w:szCs w:val="14"/>
              </w:rPr>
              <w:t>23.029.459</w:t>
            </w:r>
          </w:p>
        </w:tc>
        <w:tc>
          <w:tcPr>
            <w:tcW w:w="692" w:type="dxa"/>
            <w:tcBorders>
              <w:top w:val="nil"/>
              <w:left w:val="single" w:sz="4" w:space="0" w:color="auto"/>
              <w:bottom w:val="nil"/>
              <w:right w:val="nil"/>
            </w:tcBorders>
            <w:shd w:val="clear" w:color="000000" w:fill="FFFFFF"/>
            <w:vAlign w:val="center"/>
            <w:hideMark/>
          </w:tcPr>
          <w:p w14:paraId="72A7D2E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2B52663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13275F43"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62403E18"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51102680" w14:textId="77777777" w:rsidR="00862A01" w:rsidRPr="00872D7E" w:rsidRDefault="00862A01" w:rsidP="00862A01">
            <w:pPr>
              <w:rPr>
                <w:b/>
                <w:bCs/>
                <w:sz w:val="14"/>
                <w:szCs w:val="14"/>
              </w:rPr>
            </w:pPr>
            <w:r w:rsidRPr="00872D7E">
              <w:rPr>
                <w:b/>
                <w:bCs/>
                <w:sz w:val="14"/>
                <w:szCs w:val="14"/>
              </w:rPr>
              <w:t>2.2</w:t>
            </w:r>
          </w:p>
        </w:tc>
        <w:tc>
          <w:tcPr>
            <w:tcW w:w="4107" w:type="dxa"/>
            <w:tcBorders>
              <w:top w:val="nil"/>
              <w:left w:val="nil"/>
              <w:bottom w:val="nil"/>
              <w:right w:val="single" w:sz="4" w:space="0" w:color="auto"/>
            </w:tcBorders>
            <w:shd w:val="clear" w:color="auto" w:fill="auto"/>
            <w:hideMark/>
          </w:tcPr>
          <w:p w14:paraId="73A1CF5E" w14:textId="77777777" w:rsidR="00862A01" w:rsidRPr="00872D7E" w:rsidRDefault="00862A01" w:rsidP="00862A01">
            <w:pPr>
              <w:rPr>
                <w:b/>
                <w:bCs/>
                <w:sz w:val="14"/>
                <w:szCs w:val="14"/>
              </w:rPr>
            </w:pPr>
            <w:r w:rsidRPr="00872D7E">
              <w:rPr>
                <w:b/>
                <w:bCs/>
                <w:sz w:val="14"/>
                <w:szCs w:val="14"/>
              </w:rPr>
              <w:t>Kiralama İşlemlerinden Alacaklar</w:t>
            </w:r>
          </w:p>
        </w:tc>
        <w:tc>
          <w:tcPr>
            <w:tcW w:w="709" w:type="dxa"/>
            <w:tcBorders>
              <w:top w:val="nil"/>
              <w:left w:val="nil"/>
              <w:bottom w:val="nil"/>
              <w:right w:val="nil"/>
            </w:tcBorders>
            <w:shd w:val="clear" w:color="auto" w:fill="auto"/>
            <w:noWrap/>
            <w:hideMark/>
          </w:tcPr>
          <w:p w14:paraId="219D454F"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(7)</w:t>
            </w:r>
          </w:p>
        </w:tc>
        <w:tc>
          <w:tcPr>
            <w:tcW w:w="833" w:type="dxa"/>
            <w:tcBorders>
              <w:top w:val="nil"/>
              <w:left w:val="single" w:sz="4" w:space="0" w:color="auto"/>
              <w:bottom w:val="nil"/>
              <w:right w:val="nil"/>
            </w:tcBorders>
            <w:shd w:val="clear" w:color="000000" w:fill="FFFFFF"/>
            <w:vAlign w:val="center"/>
            <w:hideMark/>
          </w:tcPr>
          <w:p w14:paraId="29789A6D" w14:textId="77777777" w:rsidR="00862A01" w:rsidRPr="00872D7E" w:rsidRDefault="00862A01" w:rsidP="00862A01">
            <w:pPr>
              <w:jc w:val="right"/>
              <w:rPr>
                <w:b/>
                <w:bCs/>
                <w:color w:val="000000"/>
                <w:sz w:val="14"/>
                <w:szCs w:val="14"/>
              </w:rPr>
            </w:pPr>
            <w:r w:rsidRPr="00872D7E">
              <w:rPr>
                <w:b/>
                <w:bCs/>
                <w:color w:val="000000"/>
                <w:sz w:val="14"/>
                <w:szCs w:val="14"/>
              </w:rPr>
              <w:t>4.363</w:t>
            </w:r>
          </w:p>
        </w:tc>
        <w:tc>
          <w:tcPr>
            <w:tcW w:w="779" w:type="dxa"/>
            <w:tcBorders>
              <w:top w:val="nil"/>
              <w:left w:val="single" w:sz="4" w:space="0" w:color="auto"/>
              <w:bottom w:val="nil"/>
              <w:right w:val="nil"/>
            </w:tcBorders>
            <w:shd w:val="clear" w:color="000000" w:fill="FFFFFF"/>
            <w:vAlign w:val="center"/>
            <w:hideMark/>
          </w:tcPr>
          <w:p w14:paraId="12C9205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48E9794D" w14:textId="77777777" w:rsidR="00862A01" w:rsidRPr="00872D7E" w:rsidRDefault="00862A01" w:rsidP="00862A01">
            <w:pPr>
              <w:jc w:val="right"/>
              <w:rPr>
                <w:b/>
                <w:bCs/>
                <w:color w:val="000000"/>
                <w:sz w:val="14"/>
                <w:szCs w:val="14"/>
              </w:rPr>
            </w:pPr>
            <w:r w:rsidRPr="00872D7E">
              <w:rPr>
                <w:b/>
                <w:bCs/>
                <w:color w:val="000000"/>
                <w:sz w:val="14"/>
                <w:szCs w:val="14"/>
              </w:rPr>
              <w:t>4.363</w:t>
            </w:r>
          </w:p>
        </w:tc>
        <w:tc>
          <w:tcPr>
            <w:tcW w:w="692" w:type="dxa"/>
            <w:tcBorders>
              <w:top w:val="nil"/>
              <w:left w:val="single" w:sz="4" w:space="0" w:color="auto"/>
              <w:bottom w:val="nil"/>
              <w:right w:val="nil"/>
            </w:tcBorders>
            <w:shd w:val="clear" w:color="000000" w:fill="FFFFFF"/>
            <w:vAlign w:val="center"/>
            <w:hideMark/>
          </w:tcPr>
          <w:p w14:paraId="3FDF497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7411AFB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65900C99"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4BD25878"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559B09DD" w14:textId="77777777" w:rsidR="00862A01" w:rsidRPr="00872D7E" w:rsidRDefault="00862A01" w:rsidP="00862A01">
            <w:pPr>
              <w:rPr>
                <w:b/>
                <w:bCs/>
                <w:sz w:val="14"/>
                <w:szCs w:val="14"/>
              </w:rPr>
            </w:pPr>
            <w:r w:rsidRPr="00872D7E">
              <w:rPr>
                <w:b/>
                <w:bCs/>
                <w:sz w:val="14"/>
                <w:szCs w:val="14"/>
              </w:rPr>
              <w:t>2.3</w:t>
            </w:r>
          </w:p>
        </w:tc>
        <w:tc>
          <w:tcPr>
            <w:tcW w:w="4107" w:type="dxa"/>
            <w:tcBorders>
              <w:top w:val="nil"/>
              <w:left w:val="nil"/>
              <w:bottom w:val="nil"/>
              <w:right w:val="single" w:sz="4" w:space="0" w:color="auto"/>
            </w:tcBorders>
            <w:shd w:val="clear" w:color="auto" w:fill="auto"/>
            <w:hideMark/>
          </w:tcPr>
          <w:p w14:paraId="37D659BF" w14:textId="77777777" w:rsidR="00862A01" w:rsidRPr="00872D7E" w:rsidRDefault="00862A01" w:rsidP="00862A01">
            <w:pPr>
              <w:rPr>
                <w:b/>
                <w:bCs/>
                <w:sz w:val="14"/>
                <w:szCs w:val="14"/>
              </w:rPr>
            </w:pPr>
            <w:r w:rsidRPr="00872D7E">
              <w:rPr>
                <w:b/>
                <w:bCs/>
                <w:sz w:val="14"/>
                <w:szCs w:val="14"/>
              </w:rPr>
              <w:t>İtfa Edilmiş Maliyeti ile Ölçülen Finansal Varlıklar</w:t>
            </w:r>
          </w:p>
        </w:tc>
        <w:tc>
          <w:tcPr>
            <w:tcW w:w="709" w:type="dxa"/>
            <w:tcBorders>
              <w:top w:val="nil"/>
              <w:left w:val="nil"/>
              <w:bottom w:val="nil"/>
              <w:right w:val="nil"/>
            </w:tcBorders>
            <w:shd w:val="clear" w:color="auto" w:fill="auto"/>
            <w:noWrap/>
            <w:hideMark/>
          </w:tcPr>
          <w:p w14:paraId="353DD4E5" w14:textId="77777777" w:rsidR="00862A01" w:rsidRPr="00872D7E" w:rsidRDefault="00862A01" w:rsidP="00862A01">
            <w:pPr>
              <w:jc w:val="center"/>
              <w:rPr>
                <w:b/>
                <w:bCs/>
                <w:color w:val="000000"/>
                <w:sz w:val="14"/>
                <w:szCs w:val="14"/>
              </w:rPr>
            </w:pPr>
            <w:r w:rsidRPr="00872D7E">
              <w:rPr>
                <w:b/>
                <w:bCs/>
                <w:color w:val="000000"/>
                <w:sz w:val="14"/>
                <w:szCs w:val="14"/>
              </w:rPr>
              <w:t>(4)</w:t>
            </w:r>
          </w:p>
        </w:tc>
        <w:tc>
          <w:tcPr>
            <w:tcW w:w="833" w:type="dxa"/>
            <w:tcBorders>
              <w:top w:val="nil"/>
              <w:left w:val="single" w:sz="4" w:space="0" w:color="auto"/>
              <w:bottom w:val="nil"/>
              <w:right w:val="nil"/>
            </w:tcBorders>
            <w:shd w:val="clear" w:color="000000" w:fill="FFFFFF"/>
            <w:vAlign w:val="center"/>
            <w:hideMark/>
          </w:tcPr>
          <w:p w14:paraId="201D2D3C" w14:textId="77777777" w:rsidR="00862A01" w:rsidRPr="00872D7E" w:rsidRDefault="00862A01" w:rsidP="00862A01">
            <w:pPr>
              <w:jc w:val="right"/>
              <w:rPr>
                <w:b/>
                <w:bCs/>
                <w:color w:val="000000"/>
                <w:sz w:val="14"/>
                <w:szCs w:val="14"/>
              </w:rPr>
            </w:pPr>
            <w:r w:rsidRPr="00872D7E">
              <w:rPr>
                <w:b/>
                <w:bCs/>
                <w:color w:val="000000"/>
                <w:sz w:val="14"/>
                <w:szCs w:val="14"/>
              </w:rPr>
              <w:t>391.310</w:t>
            </w:r>
          </w:p>
        </w:tc>
        <w:tc>
          <w:tcPr>
            <w:tcW w:w="779" w:type="dxa"/>
            <w:tcBorders>
              <w:top w:val="nil"/>
              <w:left w:val="single" w:sz="4" w:space="0" w:color="auto"/>
              <w:bottom w:val="nil"/>
              <w:right w:val="nil"/>
            </w:tcBorders>
            <w:shd w:val="clear" w:color="000000" w:fill="FFFFFF"/>
            <w:vAlign w:val="center"/>
            <w:hideMark/>
          </w:tcPr>
          <w:p w14:paraId="1A5D1AA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00D574C9" w14:textId="77777777" w:rsidR="00862A01" w:rsidRPr="00872D7E" w:rsidRDefault="00862A01" w:rsidP="00862A01">
            <w:pPr>
              <w:jc w:val="right"/>
              <w:rPr>
                <w:b/>
                <w:bCs/>
                <w:color w:val="000000"/>
                <w:sz w:val="14"/>
                <w:szCs w:val="14"/>
              </w:rPr>
            </w:pPr>
            <w:r w:rsidRPr="00872D7E">
              <w:rPr>
                <w:b/>
                <w:bCs/>
                <w:color w:val="000000"/>
                <w:sz w:val="14"/>
                <w:szCs w:val="14"/>
              </w:rPr>
              <w:t>391.310</w:t>
            </w:r>
          </w:p>
        </w:tc>
        <w:tc>
          <w:tcPr>
            <w:tcW w:w="692" w:type="dxa"/>
            <w:tcBorders>
              <w:top w:val="nil"/>
              <w:left w:val="single" w:sz="4" w:space="0" w:color="auto"/>
              <w:bottom w:val="nil"/>
              <w:right w:val="nil"/>
            </w:tcBorders>
            <w:shd w:val="clear" w:color="000000" w:fill="FFFFFF"/>
            <w:vAlign w:val="center"/>
            <w:hideMark/>
          </w:tcPr>
          <w:p w14:paraId="17EDE1E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1BFFBB6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3CC42529"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3B1554FB"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5F98C929" w14:textId="77777777" w:rsidR="00862A01" w:rsidRPr="00872D7E" w:rsidRDefault="00862A01" w:rsidP="00862A01">
            <w:pPr>
              <w:rPr>
                <w:sz w:val="14"/>
                <w:szCs w:val="14"/>
              </w:rPr>
            </w:pPr>
            <w:r w:rsidRPr="00872D7E">
              <w:rPr>
                <w:sz w:val="14"/>
                <w:szCs w:val="14"/>
              </w:rPr>
              <w:t>2.3.1</w:t>
            </w:r>
          </w:p>
        </w:tc>
        <w:tc>
          <w:tcPr>
            <w:tcW w:w="4107" w:type="dxa"/>
            <w:tcBorders>
              <w:top w:val="nil"/>
              <w:left w:val="nil"/>
              <w:bottom w:val="nil"/>
              <w:right w:val="single" w:sz="4" w:space="0" w:color="auto"/>
            </w:tcBorders>
            <w:shd w:val="clear" w:color="auto" w:fill="auto"/>
            <w:hideMark/>
          </w:tcPr>
          <w:p w14:paraId="036A145F" w14:textId="77777777" w:rsidR="00862A01" w:rsidRPr="00872D7E" w:rsidRDefault="00862A01" w:rsidP="00862A01">
            <w:pPr>
              <w:rPr>
                <w:sz w:val="14"/>
                <w:szCs w:val="14"/>
              </w:rPr>
            </w:pPr>
            <w:r w:rsidRPr="00872D7E">
              <w:rPr>
                <w:sz w:val="14"/>
                <w:szCs w:val="14"/>
              </w:rPr>
              <w:t>Devlet Borçlanma Senetleri</w:t>
            </w:r>
          </w:p>
        </w:tc>
        <w:tc>
          <w:tcPr>
            <w:tcW w:w="709" w:type="dxa"/>
            <w:tcBorders>
              <w:top w:val="nil"/>
              <w:left w:val="nil"/>
              <w:bottom w:val="nil"/>
              <w:right w:val="nil"/>
            </w:tcBorders>
            <w:shd w:val="clear" w:color="auto" w:fill="auto"/>
            <w:noWrap/>
            <w:hideMark/>
          </w:tcPr>
          <w:p w14:paraId="179C3843"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5F271B35" w14:textId="77777777" w:rsidR="00862A01" w:rsidRPr="00872D7E" w:rsidRDefault="00862A01" w:rsidP="00862A01">
            <w:pPr>
              <w:jc w:val="right"/>
              <w:rPr>
                <w:color w:val="000000"/>
                <w:sz w:val="14"/>
                <w:szCs w:val="14"/>
              </w:rPr>
            </w:pPr>
            <w:r w:rsidRPr="00872D7E">
              <w:rPr>
                <w:color w:val="000000"/>
                <w:sz w:val="14"/>
                <w:szCs w:val="14"/>
              </w:rPr>
              <w:t>391.310</w:t>
            </w:r>
          </w:p>
        </w:tc>
        <w:tc>
          <w:tcPr>
            <w:tcW w:w="779" w:type="dxa"/>
            <w:tcBorders>
              <w:top w:val="nil"/>
              <w:left w:val="single" w:sz="4" w:space="0" w:color="auto"/>
              <w:bottom w:val="nil"/>
              <w:right w:val="nil"/>
            </w:tcBorders>
            <w:shd w:val="clear" w:color="000000" w:fill="FFFFFF"/>
            <w:vAlign w:val="center"/>
            <w:hideMark/>
          </w:tcPr>
          <w:p w14:paraId="7A4BBB48"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465CC319" w14:textId="77777777" w:rsidR="00862A01" w:rsidRPr="00872D7E" w:rsidRDefault="00862A01" w:rsidP="00862A01">
            <w:pPr>
              <w:jc w:val="right"/>
              <w:rPr>
                <w:color w:val="000000"/>
                <w:sz w:val="14"/>
                <w:szCs w:val="14"/>
              </w:rPr>
            </w:pPr>
            <w:r w:rsidRPr="00872D7E">
              <w:rPr>
                <w:color w:val="000000"/>
                <w:sz w:val="14"/>
                <w:szCs w:val="14"/>
              </w:rPr>
              <w:t>391.310</w:t>
            </w:r>
          </w:p>
        </w:tc>
        <w:tc>
          <w:tcPr>
            <w:tcW w:w="692" w:type="dxa"/>
            <w:tcBorders>
              <w:top w:val="nil"/>
              <w:left w:val="single" w:sz="4" w:space="0" w:color="auto"/>
              <w:bottom w:val="nil"/>
              <w:right w:val="nil"/>
            </w:tcBorders>
            <w:shd w:val="clear" w:color="000000" w:fill="FFFFFF"/>
            <w:vAlign w:val="center"/>
            <w:hideMark/>
          </w:tcPr>
          <w:p w14:paraId="6FB57F5B"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20E3A7C4"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58A7DEA5"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1AC00B1A"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3C69F062" w14:textId="77777777" w:rsidR="00862A01" w:rsidRPr="00872D7E" w:rsidRDefault="00862A01" w:rsidP="00862A01">
            <w:pPr>
              <w:rPr>
                <w:sz w:val="14"/>
                <w:szCs w:val="14"/>
              </w:rPr>
            </w:pPr>
            <w:r w:rsidRPr="00872D7E">
              <w:rPr>
                <w:sz w:val="14"/>
                <w:szCs w:val="14"/>
              </w:rPr>
              <w:t>2.3.2</w:t>
            </w:r>
          </w:p>
        </w:tc>
        <w:tc>
          <w:tcPr>
            <w:tcW w:w="4107" w:type="dxa"/>
            <w:tcBorders>
              <w:top w:val="nil"/>
              <w:left w:val="nil"/>
              <w:bottom w:val="nil"/>
              <w:right w:val="single" w:sz="4" w:space="0" w:color="auto"/>
            </w:tcBorders>
            <w:shd w:val="clear" w:color="auto" w:fill="auto"/>
            <w:hideMark/>
          </w:tcPr>
          <w:p w14:paraId="4737B937" w14:textId="77777777" w:rsidR="00862A01" w:rsidRPr="00872D7E" w:rsidRDefault="00862A01" w:rsidP="00862A01">
            <w:pPr>
              <w:rPr>
                <w:sz w:val="14"/>
                <w:szCs w:val="14"/>
              </w:rPr>
            </w:pPr>
            <w:r w:rsidRPr="00872D7E">
              <w:rPr>
                <w:sz w:val="14"/>
                <w:szCs w:val="14"/>
              </w:rPr>
              <w:t>Diğer Finansal Varlıklar</w:t>
            </w:r>
          </w:p>
        </w:tc>
        <w:tc>
          <w:tcPr>
            <w:tcW w:w="709" w:type="dxa"/>
            <w:tcBorders>
              <w:top w:val="nil"/>
              <w:left w:val="nil"/>
              <w:bottom w:val="nil"/>
              <w:right w:val="single" w:sz="4" w:space="0" w:color="auto"/>
            </w:tcBorders>
            <w:shd w:val="clear" w:color="auto" w:fill="auto"/>
            <w:noWrap/>
            <w:hideMark/>
          </w:tcPr>
          <w:p w14:paraId="3FC9561C"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29F955ED"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5D623233"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1B2CA4D9"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1ABCD5E7"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5966B3D1"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540D3BE8"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72DAB662"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5476936D" w14:textId="77777777" w:rsidR="00862A01" w:rsidRPr="00872D7E" w:rsidRDefault="00862A01" w:rsidP="00862A01">
            <w:pPr>
              <w:rPr>
                <w:b/>
                <w:bCs/>
                <w:sz w:val="14"/>
                <w:szCs w:val="14"/>
              </w:rPr>
            </w:pPr>
            <w:r w:rsidRPr="00872D7E">
              <w:rPr>
                <w:b/>
                <w:bCs/>
                <w:sz w:val="14"/>
                <w:szCs w:val="14"/>
              </w:rPr>
              <w:t>2.4</w:t>
            </w:r>
          </w:p>
        </w:tc>
        <w:tc>
          <w:tcPr>
            <w:tcW w:w="4107" w:type="dxa"/>
            <w:tcBorders>
              <w:top w:val="nil"/>
              <w:left w:val="nil"/>
              <w:bottom w:val="nil"/>
              <w:right w:val="single" w:sz="4" w:space="0" w:color="auto"/>
            </w:tcBorders>
            <w:shd w:val="clear" w:color="auto" w:fill="auto"/>
            <w:hideMark/>
          </w:tcPr>
          <w:p w14:paraId="6402922A" w14:textId="77777777" w:rsidR="00862A01" w:rsidRPr="00872D7E" w:rsidRDefault="00862A01" w:rsidP="00862A01">
            <w:pPr>
              <w:rPr>
                <w:b/>
                <w:bCs/>
                <w:sz w:val="14"/>
                <w:szCs w:val="14"/>
              </w:rPr>
            </w:pPr>
            <w:r w:rsidRPr="00872D7E">
              <w:rPr>
                <w:b/>
                <w:bCs/>
                <w:sz w:val="14"/>
                <w:szCs w:val="14"/>
              </w:rPr>
              <w:t>Donuk Alacaklar</w:t>
            </w:r>
          </w:p>
        </w:tc>
        <w:tc>
          <w:tcPr>
            <w:tcW w:w="709" w:type="dxa"/>
            <w:tcBorders>
              <w:top w:val="nil"/>
              <w:left w:val="nil"/>
              <w:bottom w:val="nil"/>
              <w:right w:val="nil"/>
            </w:tcBorders>
            <w:shd w:val="clear" w:color="auto" w:fill="auto"/>
            <w:noWrap/>
            <w:hideMark/>
          </w:tcPr>
          <w:p w14:paraId="51AE3FBB"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24CFC70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5213D03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5D283C1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6B96950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0ADFF06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4C1593FA"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6DFCE6B7"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4B93C244" w14:textId="77777777" w:rsidR="00862A01" w:rsidRPr="00872D7E" w:rsidRDefault="00862A01" w:rsidP="00862A01">
            <w:pPr>
              <w:rPr>
                <w:b/>
                <w:bCs/>
                <w:sz w:val="14"/>
                <w:szCs w:val="14"/>
              </w:rPr>
            </w:pPr>
            <w:r w:rsidRPr="00872D7E">
              <w:rPr>
                <w:b/>
                <w:bCs/>
                <w:sz w:val="14"/>
                <w:szCs w:val="14"/>
              </w:rPr>
              <w:t>2.5</w:t>
            </w:r>
          </w:p>
        </w:tc>
        <w:tc>
          <w:tcPr>
            <w:tcW w:w="4107" w:type="dxa"/>
            <w:tcBorders>
              <w:top w:val="nil"/>
              <w:left w:val="nil"/>
              <w:bottom w:val="nil"/>
              <w:right w:val="single" w:sz="4" w:space="0" w:color="auto"/>
            </w:tcBorders>
            <w:shd w:val="clear" w:color="auto" w:fill="auto"/>
            <w:hideMark/>
          </w:tcPr>
          <w:p w14:paraId="7E907D7F" w14:textId="77777777" w:rsidR="00862A01" w:rsidRPr="00872D7E" w:rsidRDefault="00862A01" w:rsidP="00862A01">
            <w:pPr>
              <w:rPr>
                <w:b/>
                <w:bCs/>
                <w:sz w:val="14"/>
                <w:szCs w:val="14"/>
              </w:rPr>
            </w:pPr>
            <w:r w:rsidRPr="00872D7E">
              <w:rPr>
                <w:b/>
                <w:bCs/>
                <w:sz w:val="14"/>
                <w:szCs w:val="14"/>
              </w:rPr>
              <w:t>Özel Karşılıklar (-)</w:t>
            </w:r>
          </w:p>
        </w:tc>
        <w:tc>
          <w:tcPr>
            <w:tcW w:w="709" w:type="dxa"/>
            <w:tcBorders>
              <w:top w:val="nil"/>
              <w:left w:val="nil"/>
              <w:bottom w:val="nil"/>
              <w:right w:val="nil"/>
            </w:tcBorders>
            <w:shd w:val="clear" w:color="auto" w:fill="auto"/>
            <w:noWrap/>
            <w:hideMark/>
          </w:tcPr>
          <w:p w14:paraId="082B6654"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single" w:sz="4" w:space="0" w:color="auto"/>
              <w:bottom w:val="nil"/>
              <w:right w:val="nil"/>
            </w:tcBorders>
            <w:shd w:val="clear" w:color="000000" w:fill="FFFFFF"/>
            <w:vAlign w:val="center"/>
            <w:hideMark/>
          </w:tcPr>
          <w:p w14:paraId="04015B4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4317F74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09755C7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766A2C7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62395B4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4D70731C"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1185E9CC"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1A2BE9C0" w14:textId="77777777" w:rsidR="00862A01" w:rsidRPr="00872D7E" w:rsidRDefault="00862A01" w:rsidP="00862A01">
            <w:pPr>
              <w:rPr>
                <w:b/>
                <w:bCs/>
                <w:color w:val="000000"/>
                <w:sz w:val="14"/>
                <w:szCs w:val="14"/>
              </w:rPr>
            </w:pPr>
            <w:r w:rsidRPr="00872D7E">
              <w:rPr>
                <w:b/>
                <w:bCs/>
                <w:color w:val="000000"/>
                <w:sz w:val="14"/>
                <w:szCs w:val="14"/>
              </w:rPr>
              <w:t>III.</w:t>
            </w:r>
          </w:p>
        </w:tc>
        <w:tc>
          <w:tcPr>
            <w:tcW w:w="4107" w:type="dxa"/>
            <w:tcBorders>
              <w:top w:val="nil"/>
              <w:left w:val="nil"/>
              <w:bottom w:val="nil"/>
              <w:right w:val="single" w:sz="4" w:space="0" w:color="auto"/>
            </w:tcBorders>
            <w:shd w:val="clear" w:color="auto" w:fill="auto"/>
            <w:hideMark/>
          </w:tcPr>
          <w:p w14:paraId="21B33A8D" w14:textId="77777777" w:rsidR="00862A01" w:rsidRPr="00872D7E" w:rsidRDefault="00862A01" w:rsidP="00862A01">
            <w:pPr>
              <w:rPr>
                <w:b/>
                <w:bCs/>
                <w:color w:val="000000"/>
                <w:sz w:val="14"/>
                <w:szCs w:val="14"/>
              </w:rPr>
            </w:pPr>
            <w:r w:rsidRPr="00872D7E">
              <w:rPr>
                <w:b/>
                <w:bCs/>
                <w:color w:val="000000"/>
                <w:sz w:val="14"/>
                <w:szCs w:val="14"/>
              </w:rPr>
              <w:t>SATIŞ AMAÇLI ELDE TUTULAN VE DURDURULAN FAALİYETLERE İLİŞKİN DURAN VARLIKLAR (Net)</w:t>
            </w:r>
          </w:p>
        </w:tc>
        <w:tc>
          <w:tcPr>
            <w:tcW w:w="709" w:type="dxa"/>
            <w:tcBorders>
              <w:top w:val="nil"/>
              <w:left w:val="nil"/>
              <w:bottom w:val="nil"/>
              <w:right w:val="single" w:sz="4" w:space="0" w:color="auto"/>
            </w:tcBorders>
            <w:shd w:val="clear" w:color="auto" w:fill="auto"/>
            <w:noWrap/>
            <w:hideMark/>
          </w:tcPr>
          <w:p w14:paraId="73D9F7DB"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0C06751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6EC68F7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527A336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3512BD6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2AF7E63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03488E40"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43F9AACD"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5966E198" w14:textId="77777777" w:rsidR="00862A01" w:rsidRPr="00872D7E" w:rsidRDefault="00862A01" w:rsidP="00862A01">
            <w:pPr>
              <w:rPr>
                <w:sz w:val="14"/>
                <w:szCs w:val="14"/>
              </w:rPr>
            </w:pPr>
            <w:r w:rsidRPr="00872D7E">
              <w:rPr>
                <w:sz w:val="14"/>
                <w:szCs w:val="14"/>
              </w:rPr>
              <w:t>3.1</w:t>
            </w:r>
          </w:p>
        </w:tc>
        <w:tc>
          <w:tcPr>
            <w:tcW w:w="4107" w:type="dxa"/>
            <w:tcBorders>
              <w:top w:val="nil"/>
              <w:left w:val="nil"/>
              <w:bottom w:val="nil"/>
              <w:right w:val="single" w:sz="4" w:space="0" w:color="auto"/>
            </w:tcBorders>
            <w:shd w:val="clear" w:color="auto" w:fill="auto"/>
            <w:hideMark/>
          </w:tcPr>
          <w:p w14:paraId="5AE974AF" w14:textId="77777777" w:rsidR="00862A01" w:rsidRPr="00872D7E" w:rsidRDefault="00862A01" w:rsidP="00862A01">
            <w:pPr>
              <w:rPr>
                <w:sz w:val="14"/>
                <w:szCs w:val="14"/>
              </w:rPr>
            </w:pPr>
            <w:r w:rsidRPr="00872D7E">
              <w:rPr>
                <w:sz w:val="14"/>
                <w:szCs w:val="14"/>
              </w:rPr>
              <w:t>Satış Amaçlı</w:t>
            </w:r>
          </w:p>
        </w:tc>
        <w:tc>
          <w:tcPr>
            <w:tcW w:w="709" w:type="dxa"/>
            <w:tcBorders>
              <w:top w:val="nil"/>
              <w:left w:val="nil"/>
              <w:bottom w:val="nil"/>
              <w:right w:val="single" w:sz="4" w:space="0" w:color="auto"/>
            </w:tcBorders>
            <w:shd w:val="clear" w:color="auto" w:fill="auto"/>
            <w:noWrap/>
            <w:hideMark/>
          </w:tcPr>
          <w:p w14:paraId="492E5010"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10C264A2"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0C9B6722"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40D03362"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0E4FFAA4"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2D4F165C"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4E19846A"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3752AC7C"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5C1A6193" w14:textId="77777777" w:rsidR="00862A01" w:rsidRPr="00872D7E" w:rsidRDefault="00862A01" w:rsidP="00862A01">
            <w:pPr>
              <w:rPr>
                <w:sz w:val="14"/>
                <w:szCs w:val="14"/>
              </w:rPr>
            </w:pPr>
            <w:r w:rsidRPr="00872D7E">
              <w:rPr>
                <w:sz w:val="14"/>
                <w:szCs w:val="14"/>
              </w:rPr>
              <w:t>3.2</w:t>
            </w:r>
          </w:p>
        </w:tc>
        <w:tc>
          <w:tcPr>
            <w:tcW w:w="4107" w:type="dxa"/>
            <w:tcBorders>
              <w:top w:val="nil"/>
              <w:left w:val="nil"/>
              <w:bottom w:val="nil"/>
              <w:right w:val="single" w:sz="4" w:space="0" w:color="auto"/>
            </w:tcBorders>
            <w:shd w:val="clear" w:color="auto" w:fill="auto"/>
            <w:hideMark/>
          </w:tcPr>
          <w:p w14:paraId="7B1E1BD7" w14:textId="77777777" w:rsidR="00862A01" w:rsidRPr="00872D7E" w:rsidRDefault="00862A01" w:rsidP="00862A01">
            <w:pPr>
              <w:rPr>
                <w:sz w:val="14"/>
                <w:szCs w:val="14"/>
              </w:rPr>
            </w:pPr>
            <w:r w:rsidRPr="00872D7E">
              <w:rPr>
                <w:sz w:val="14"/>
                <w:szCs w:val="14"/>
              </w:rPr>
              <w:t>Durdurulan Faaliyetlere İlişkin</w:t>
            </w:r>
          </w:p>
        </w:tc>
        <w:tc>
          <w:tcPr>
            <w:tcW w:w="709" w:type="dxa"/>
            <w:tcBorders>
              <w:top w:val="nil"/>
              <w:left w:val="nil"/>
              <w:bottom w:val="nil"/>
              <w:right w:val="single" w:sz="4" w:space="0" w:color="auto"/>
            </w:tcBorders>
            <w:shd w:val="clear" w:color="auto" w:fill="auto"/>
            <w:noWrap/>
            <w:hideMark/>
          </w:tcPr>
          <w:p w14:paraId="4D1F0655"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3A42D534"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30F9FC11"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0147D94B"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3C67BFCE"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73360618"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7A94BE3A"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31A13B0A"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79AFDCCC" w14:textId="77777777" w:rsidR="00862A01" w:rsidRPr="00872D7E" w:rsidRDefault="00862A01" w:rsidP="00862A01">
            <w:pPr>
              <w:rPr>
                <w:b/>
                <w:bCs/>
                <w:color w:val="000000"/>
                <w:sz w:val="14"/>
                <w:szCs w:val="14"/>
              </w:rPr>
            </w:pPr>
            <w:r w:rsidRPr="00872D7E">
              <w:rPr>
                <w:b/>
                <w:bCs/>
                <w:color w:val="000000"/>
                <w:sz w:val="14"/>
                <w:szCs w:val="14"/>
              </w:rPr>
              <w:t>IV.</w:t>
            </w:r>
          </w:p>
        </w:tc>
        <w:tc>
          <w:tcPr>
            <w:tcW w:w="4107" w:type="dxa"/>
            <w:tcBorders>
              <w:top w:val="nil"/>
              <w:left w:val="nil"/>
              <w:bottom w:val="nil"/>
              <w:right w:val="single" w:sz="4" w:space="0" w:color="auto"/>
            </w:tcBorders>
            <w:shd w:val="clear" w:color="auto" w:fill="auto"/>
            <w:hideMark/>
          </w:tcPr>
          <w:p w14:paraId="6AB67073" w14:textId="77777777" w:rsidR="00862A01" w:rsidRPr="00872D7E" w:rsidRDefault="00862A01" w:rsidP="00862A01">
            <w:pPr>
              <w:rPr>
                <w:b/>
                <w:bCs/>
                <w:color w:val="000000"/>
                <w:sz w:val="14"/>
                <w:szCs w:val="14"/>
              </w:rPr>
            </w:pPr>
            <w:r w:rsidRPr="00872D7E">
              <w:rPr>
                <w:b/>
                <w:bCs/>
                <w:color w:val="000000"/>
                <w:sz w:val="14"/>
                <w:szCs w:val="14"/>
              </w:rPr>
              <w:t>ORTAKLIK YATIRIMLARI</w:t>
            </w:r>
          </w:p>
        </w:tc>
        <w:tc>
          <w:tcPr>
            <w:tcW w:w="709" w:type="dxa"/>
            <w:tcBorders>
              <w:top w:val="nil"/>
              <w:left w:val="nil"/>
              <w:bottom w:val="nil"/>
              <w:right w:val="single" w:sz="4" w:space="0" w:color="auto"/>
            </w:tcBorders>
            <w:shd w:val="clear" w:color="auto" w:fill="auto"/>
            <w:noWrap/>
            <w:hideMark/>
          </w:tcPr>
          <w:p w14:paraId="7404CCCE" w14:textId="77777777" w:rsidR="00862A01" w:rsidRPr="00872D7E" w:rsidRDefault="00862A01" w:rsidP="00862A01">
            <w:pPr>
              <w:jc w:val="center"/>
              <w:rPr>
                <w:b/>
                <w:bCs/>
                <w:color w:val="000000"/>
                <w:sz w:val="14"/>
                <w:szCs w:val="14"/>
              </w:rPr>
            </w:pPr>
            <w:r w:rsidRPr="00872D7E">
              <w:rPr>
                <w:b/>
                <w:bCs/>
                <w:color w:val="000000"/>
                <w:sz w:val="14"/>
                <w:szCs w:val="14"/>
              </w:rPr>
              <w:t>(10)</w:t>
            </w:r>
          </w:p>
        </w:tc>
        <w:tc>
          <w:tcPr>
            <w:tcW w:w="833" w:type="dxa"/>
            <w:tcBorders>
              <w:top w:val="nil"/>
              <w:left w:val="nil"/>
              <w:bottom w:val="nil"/>
              <w:right w:val="nil"/>
            </w:tcBorders>
            <w:shd w:val="clear" w:color="000000" w:fill="FFFFFF"/>
            <w:vAlign w:val="center"/>
            <w:hideMark/>
          </w:tcPr>
          <w:p w14:paraId="773203A7" w14:textId="77777777" w:rsidR="00862A01" w:rsidRPr="00872D7E" w:rsidRDefault="00862A01" w:rsidP="00862A01">
            <w:pPr>
              <w:jc w:val="right"/>
              <w:rPr>
                <w:b/>
                <w:bCs/>
                <w:color w:val="000000"/>
                <w:sz w:val="14"/>
                <w:szCs w:val="14"/>
              </w:rPr>
            </w:pPr>
            <w:r w:rsidRPr="00872D7E">
              <w:rPr>
                <w:b/>
                <w:bCs/>
                <w:color w:val="000000"/>
                <w:sz w:val="14"/>
                <w:szCs w:val="14"/>
              </w:rPr>
              <w:t>1.250</w:t>
            </w:r>
          </w:p>
        </w:tc>
        <w:tc>
          <w:tcPr>
            <w:tcW w:w="779" w:type="dxa"/>
            <w:tcBorders>
              <w:top w:val="nil"/>
              <w:left w:val="single" w:sz="4" w:space="0" w:color="auto"/>
              <w:bottom w:val="nil"/>
              <w:right w:val="nil"/>
            </w:tcBorders>
            <w:shd w:val="clear" w:color="000000" w:fill="FFFFFF"/>
            <w:vAlign w:val="center"/>
            <w:hideMark/>
          </w:tcPr>
          <w:p w14:paraId="54C3119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5A865AF7" w14:textId="77777777" w:rsidR="00862A01" w:rsidRPr="00872D7E" w:rsidRDefault="00862A01" w:rsidP="00862A01">
            <w:pPr>
              <w:jc w:val="right"/>
              <w:rPr>
                <w:b/>
                <w:bCs/>
                <w:color w:val="000000"/>
                <w:sz w:val="14"/>
                <w:szCs w:val="14"/>
              </w:rPr>
            </w:pPr>
            <w:r w:rsidRPr="00872D7E">
              <w:rPr>
                <w:b/>
                <w:bCs/>
                <w:color w:val="000000"/>
                <w:sz w:val="14"/>
                <w:szCs w:val="14"/>
              </w:rPr>
              <w:t>1.250</w:t>
            </w:r>
          </w:p>
        </w:tc>
        <w:tc>
          <w:tcPr>
            <w:tcW w:w="692" w:type="dxa"/>
            <w:tcBorders>
              <w:top w:val="nil"/>
              <w:left w:val="single" w:sz="4" w:space="0" w:color="auto"/>
              <w:bottom w:val="nil"/>
              <w:right w:val="nil"/>
            </w:tcBorders>
            <w:shd w:val="clear" w:color="000000" w:fill="FFFFFF"/>
            <w:vAlign w:val="center"/>
            <w:hideMark/>
          </w:tcPr>
          <w:p w14:paraId="6F5CADC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5183119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2C46C285"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23DDFE12"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1162B67E" w14:textId="77777777" w:rsidR="00862A01" w:rsidRPr="00872D7E" w:rsidRDefault="00862A01" w:rsidP="00862A01">
            <w:pPr>
              <w:rPr>
                <w:sz w:val="14"/>
                <w:szCs w:val="14"/>
              </w:rPr>
            </w:pPr>
            <w:r w:rsidRPr="00872D7E">
              <w:rPr>
                <w:sz w:val="14"/>
                <w:szCs w:val="14"/>
              </w:rPr>
              <w:t>4.1</w:t>
            </w:r>
          </w:p>
        </w:tc>
        <w:tc>
          <w:tcPr>
            <w:tcW w:w="4107" w:type="dxa"/>
            <w:tcBorders>
              <w:top w:val="nil"/>
              <w:left w:val="nil"/>
              <w:bottom w:val="nil"/>
              <w:right w:val="single" w:sz="4" w:space="0" w:color="auto"/>
            </w:tcBorders>
            <w:shd w:val="clear" w:color="auto" w:fill="auto"/>
            <w:hideMark/>
          </w:tcPr>
          <w:p w14:paraId="12FFBAAC" w14:textId="77777777" w:rsidR="00862A01" w:rsidRPr="00872D7E" w:rsidRDefault="00862A01" w:rsidP="00862A01">
            <w:pPr>
              <w:rPr>
                <w:sz w:val="14"/>
                <w:szCs w:val="14"/>
              </w:rPr>
            </w:pPr>
            <w:r w:rsidRPr="00872D7E">
              <w:rPr>
                <w:sz w:val="14"/>
                <w:szCs w:val="14"/>
              </w:rPr>
              <w:t>İştirakler (Net)</w:t>
            </w:r>
          </w:p>
        </w:tc>
        <w:tc>
          <w:tcPr>
            <w:tcW w:w="709" w:type="dxa"/>
            <w:tcBorders>
              <w:top w:val="nil"/>
              <w:left w:val="nil"/>
              <w:bottom w:val="nil"/>
              <w:right w:val="single" w:sz="4" w:space="0" w:color="auto"/>
            </w:tcBorders>
            <w:shd w:val="clear" w:color="auto" w:fill="auto"/>
            <w:noWrap/>
            <w:hideMark/>
          </w:tcPr>
          <w:p w14:paraId="77A9031E"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29E97D4D"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7D78BFEC"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1C67AF7B"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50C3C724"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01BB9888"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14D754D4"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465E3A81"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1668B3BC" w14:textId="77777777" w:rsidR="00862A01" w:rsidRPr="00872D7E" w:rsidRDefault="00862A01" w:rsidP="00862A01">
            <w:pPr>
              <w:rPr>
                <w:sz w:val="14"/>
                <w:szCs w:val="14"/>
              </w:rPr>
            </w:pPr>
            <w:r w:rsidRPr="00872D7E">
              <w:rPr>
                <w:sz w:val="14"/>
                <w:szCs w:val="14"/>
              </w:rPr>
              <w:t>4.1.1</w:t>
            </w:r>
          </w:p>
        </w:tc>
        <w:tc>
          <w:tcPr>
            <w:tcW w:w="4107" w:type="dxa"/>
            <w:tcBorders>
              <w:top w:val="nil"/>
              <w:left w:val="nil"/>
              <w:bottom w:val="nil"/>
              <w:right w:val="single" w:sz="4" w:space="0" w:color="auto"/>
            </w:tcBorders>
            <w:shd w:val="clear" w:color="auto" w:fill="auto"/>
            <w:hideMark/>
          </w:tcPr>
          <w:p w14:paraId="49C3F9CE" w14:textId="77777777" w:rsidR="00862A01" w:rsidRPr="00872D7E" w:rsidRDefault="00862A01" w:rsidP="00862A01">
            <w:pPr>
              <w:rPr>
                <w:sz w:val="14"/>
                <w:szCs w:val="14"/>
              </w:rPr>
            </w:pPr>
            <w:r w:rsidRPr="00872D7E">
              <w:rPr>
                <w:sz w:val="14"/>
                <w:szCs w:val="14"/>
              </w:rPr>
              <w:t>Özkaynak Yöntemine Göre Değerlenenler</w:t>
            </w:r>
          </w:p>
        </w:tc>
        <w:tc>
          <w:tcPr>
            <w:tcW w:w="709" w:type="dxa"/>
            <w:tcBorders>
              <w:top w:val="nil"/>
              <w:left w:val="nil"/>
              <w:bottom w:val="nil"/>
              <w:right w:val="single" w:sz="4" w:space="0" w:color="auto"/>
            </w:tcBorders>
            <w:shd w:val="clear" w:color="auto" w:fill="auto"/>
            <w:noWrap/>
            <w:hideMark/>
          </w:tcPr>
          <w:p w14:paraId="7E532AC0"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579BFC90"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1635010C"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0A75EFF2"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6982CE6F"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5A366904"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74679F7B"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70D1A5F7"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27F7346A" w14:textId="77777777" w:rsidR="00862A01" w:rsidRPr="00872D7E" w:rsidRDefault="00862A01" w:rsidP="00862A01">
            <w:pPr>
              <w:rPr>
                <w:sz w:val="14"/>
                <w:szCs w:val="14"/>
              </w:rPr>
            </w:pPr>
            <w:r w:rsidRPr="00872D7E">
              <w:rPr>
                <w:sz w:val="14"/>
                <w:szCs w:val="14"/>
              </w:rPr>
              <w:t>4.1.2</w:t>
            </w:r>
          </w:p>
        </w:tc>
        <w:tc>
          <w:tcPr>
            <w:tcW w:w="4107" w:type="dxa"/>
            <w:tcBorders>
              <w:top w:val="nil"/>
              <w:left w:val="nil"/>
              <w:bottom w:val="nil"/>
              <w:right w:val="single" w:sz="4" w:space="0" w:color="auto"/>
            </w:tcBorders>
            <w:shd w:val="clear" w:color="auto" w:fill="auto"/>
            <w:hideMark/>
          </w:tcPr>
          <w:p w14:paraId="51A2A045" w14:textId="77777777" w:rsidR="00862A01" w:rsidRPr="00872D7E" w:rsidRDefault="00862A01" w:rsidP="00862A01">
            <w:pPr>
              <w:rPr>
                <w:sz w:val="14"/>
                <w:szCs w:val="14"/>
              </w:rPr>
            </w:pPr>
            <w:r w:rsidRPr="00872D7E">
              <w:rPr>
                <w:sz w:val="14"/>
                <w:szCs w:val="14"/>
              </w:rPr>
              <w:t>Konsolide Edilmeyenler</w:t>
            </w:r>
          </w:p>
        </w:tc>
        <w:tc>
          <w:tcPr>
            <w:tcW w:w="709" w:type="dxa"/>
            <w:tcBorders>
              <w:top w:val="nil"/>
              <w:left w:val="nil"/>
              <w:bottom w:val="nil"/>
              <w:right w:val="single" w:sz="4" w:space="0" w:color="auto"/>
            </w:tcBorders>
            <w:shd w:val="clear" w:color="auto" w:fill="auto"/>
            <w:noWrap/>
            <w:hideMark/>
          </w:tcPr>
          <w:p w14:paraId="66EB6822"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7006BDDC"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4DAE9523"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3D9C2F10"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2BC6605D"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746BAAAC"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617F6EFC"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03BFBC91"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35D8EE91" w14:textId="77777777" w:rsidR="00862A01" w:rsidRPr="00872D7E" w:rsidRDefault="00862A01" w:rsidP="00862A01">
            <w:pPr>
              <w:rPr>
                <w:sz w:val="14"/>
                <w:szCs w:val="14"/>
              </w:rPr>
            </w:pPr>
            <w:r w:rsidRPr="00872D7E">
              <w:rPr>
                <w:sz w:val="14"/>
                <w:szCs w:val="14"/>
              </w:rPr>
              <w:t>4.2</w:t>
            </w:r>
          </w:p>
        </w:tc>
        <w:tc>
          <w:tcPr>
            <w:tcW w:w="4107" w:type="dxa"/>
            <w:tcBorders>
              <w:top w:val="nil"/>
              <w:left w:val="nil"/>
              <w:bottom w:val="nil"/>
              <w:right w:val="single" w:sz="4" w:space="0" w:color="auto"/>
            </w:tcBorders>
            <w:shd w:val="clear" w:color="auto" w:fill="auto"/>
            <w:hideMark/>
          </w:tcPr>
          <w:p w14:paraId="5E44F1A3" w14:textId="77777777" w:rsidR="00862A01" w:rsidRPr="00872D7E" w:rsidRDefault="00862A01" w:rsidP="00862A01">
            <w:pPr>
              <w:rPr>
                <w:sz w:val="14"/>
                <w:szCs w:val="14"/>
              </w:rPr>
            </w:pPr>
            <w:r w:rsidRPr="00872D7E">
              <w:rPr>
                <w:sz w:val="14"/>
                <w:szCs w:val="14"/>
              </w:rPr>
              <w:t>Bağlı Ortaklıklar (Net)</w:t>
            </w:r>
          </w:p>
        </w:tc>
        <w:tc>
          <w:tcPr>
            <w:tcW w:w="709" w:type="dxa"/>
            <w:tcBorders>
              <w:top w:val="nil"/>
              <w:left w:val="nil"/>
              <w:bottom w:val="nil"/>
              <w:right w:val="single" w:sz="4" w:space="0" w:color="auto"/>
            </w:tcBorders>
            <w:shd w:val="clear" w:color="auto" w:fill="auto"/>
            <w:noWrap/>
            <w:hideMark/>
          </w:tcPr>
          <w:p w14:paraId="15F6E690" w14:textId="77777777" w:rsidR="00862A01" w:rsidRPr="00872D7E" w:rsidRDefault="00862A01" w:rsidP="00862A01">
            <w:pPr>
              <w:jc w:val="center"/>
              <w:rPr>
                <w:color w:val="000000"/>
                <w:sz w:val="14"/>
                <w:szCs w:val="14"/>
              </w:rPr>
            </w:pPr>
            <w:r w:rsidRPr="00872D7E">
              <w:rPr>
                <w:color w:val="000000"/>
                <w:sz w:val="14"/>
                <w:szCs w:val="14"/>
              </w:rPr>
              <w:t>(10)</w:t>
            </w:r>
          </w:p>
        </w:tc>
        <w:tc>
          <w:tcPr>
            <w:tcW w:w="833" w:type="dxa"/>
            <w:tcBorders>
              <w:top w:val="nil"/>
              <w:left w:val="nil"/>
              <w:bottom w:val="nil"/>
              <w:right w:val="nil"/>
            </w:tcBorders>
            <w:shd w:val="clear" w:color="000000" w:fill="FFFFFF"/>
            <w:vAlign w:val="center"/>
            <w:hideMark/>
          </w:tcPr>
          <w:p w14:paraId="3BF7EED1" w14:textId="77777777" w:rsidR="00862A01" w:rsidRPr="00872D7E" w:rsidRDefault="00862A01" w:rsidP="00862A01">
            <w:pPr>
              <w:jc w:val="right"/>
              <w:rPr>
                <w:color w:val="000000"/>
                <w:sz w:val="14"/>
                <w:szCs w:val="14"/>
              </w:rPr>
            </w:pPr>
            <w:r w:rsidRPr="00872D7E">
              <w:rPr>
                <w:color w:val="000000"/>
                <w:sz w:val="14"/>
                <w:szCs w:val="14"/>
              </w:rPr>
              <w:t>1.250</w:t>
            </w:r>
          </w:p>
        </w:tc>
        <w:tc>
          <w:tcPr>
            <w:tcW w:w="779" w:type="dxa"/>
            <w:tcBorders>
              <w:top w:val="nil"/>
              <w:left w:val="single" w:sz="4" w:space="0" w:color="auto"/>
              <w:bottom w:val="nil"/>
              <w:right w:val="nil"/>
            </w:tcBorders>
            <w:shd w:val="clear" w:color="000000" w:fill="FFFFFF"/>
            <w:vAlign w:val="center"/>
            <w:hideMark/>
          </w:tcPr>
          <w:p w14:paraId="31918CDC"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37D5B1F5" w14:textId="77777777" w:rsidR="00862A01" w:rsidRPr="00872D7E" w:rsidRDefault="00862A01" w:rsidP="00862A01">
            <w:pPr>
              <w:jc w:val="right"/>
              <w:rPr>
                <w:color w:val="000000"/>
                <w:sz w:val="14"/>
                <w:szCs w:val="14"/>
              </w:rPr>
            </w:pPr>
            <w:r w:rsidRPr="00872D7E">
              <w:rPr>
                <w:color w:val="000000"/>
                <w:sz w:val="14"/>
                <w:szCs w:val="14"/>
              </w:rPr>
              <w:t>1.250</w:t>
            </w:r>
          </w:p>
        </w:tc>
        <w:tc>
          <w:tcPr>
            <w:tcW w:w="692" w:type="dxa"/>
            <w:tcBorders>
              <w:top w:val="nil"/>
              <w:left w:val="single" w:sz="4" w:space="0" w:color="auto"/>
              <w:bottom w:val="nil"/>
              <w:right w:val="nil"/>
            </w:tcBorders>
            <w:shd w:val="clear" w:color="000000" w:fill="FFFFFF"/>
            <w:vAlign w:val="center"/>
            <w:hideMark/>
          </w:tcPr>
          <w:p w14:paraId="1C18DC46"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00C71BDC"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718483C3"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42463842"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6DB1B4E7" w14:textId="77777777" w:rsidR="00862A01" w:rsidRPr="00872D7E" w:rsidRDefault="00862A01" w:rsidP="00862A01">
            <w:pPr>
              <w:rPr>
                <w:sz w:val="14"/>
                <w:szCs w:val="14"/>
              </w:rPr>
            </w:pPr>
            <w:r w:rsidRPr="00872D7E">
              <w:rPr>
                <w:sz w:val="14"/>
                <w:szCs w:val="14"/>
              </w:rPr>
              <w:t>4.2.1</w:t>
            </w:r>
          </w:p>
        </w:tc>
        <w:tc>
          <w:tcPr>
            <w:tcW w:w="4107" w:type="dxa"/>
            <w:tcBorders>
              <w:top w:val="nil"/>
              <w:left w:val="nil"/>
              <w:bottom w:val="nil"/>
              <w:right w:val="single" w:sz="4" w:space="0" w:color="auto"/>
            </w:tcBorders>
            <w:shd w:val="clear" w:color="auto" w:fill="auto"/>
            <w:hideMark/>
          </w:tcPr>
          <w:p w14:paraId="557604E4" w14:textId="77777777" w:rsidR="00862A01" w:rsidRPr="00872D7E" w:rsidRDefault="00862A01" w:rsidP="00862A01">
            <w:pPr>
              <w:rPr>
                <w:sz w:val="14"/>
                <w:szCs w:val="14"/>
              </w:rPr>
            </w:pPr>
            <w:r w:rsidRPr="00872D7E">
              <w:rPr>
                <w:sz w:val="14"/>
                <w:szCs w:val="14"/>
              </w:rPr>
              <w:t>Konsolide Edilmeyen Mali Ortaklıklar</w:t>
            </w:r>
          </w:p>
        </w:tc>
        <w:tc>
          <w:tcPr>
            <w:tcW w:w="709" w:type="dxa"/>
            <w:tcBorders>
              <w:top w:val="nil"/>
              <w:left w:val="nil"/>
              <w:bottom w:val="nil"/>
              <w:right w:val="single" w:sz="4" w:space="0" w:color="auto"/>
            </w:tcBorders>
            <w:shd w:val="clear" w:color="auto" w:fill="auto"/>
            <w:noWrap/>
            <w:hideMark/>
          </w:tcPr>
          <w:p w14:paraId="2BA68C26" w14:textId="77777777" w:rsidR="00862A01" w:rsidRPr="00872D7E" w:rsidRDefault="00862A01" w:rsidP="00862A01">
            <w:pPr>
              <w:jc w:val="center"/>
              <w:rPr>
                <w:color w:val="000000"/>
                <w:sz w:val="14"/>
                <w:szCs w:val="14"/>
                <w:lang w:eastAsia="tr-TR"/>
              </w:rPr>
            </w:pPr>
            <w:r w:rsidRPr="00872D7E">
              <w:rPr>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2F5B682B"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60B815B5"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1125A3AA"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6C045B3D"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7E2D32FC"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2709E941"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13B2A83A"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1AE9070F" w14:textId="77777777" w:rsidR="00862A01" w:rsidRPr="00872D7E" w:rsidRDefault="00862A01" w:rsidP="00862A01">
            <w:pPr>
              <w:rPr>
                <w:sz w:val="14"/>
                <w:szCs w:val="14"/>
              </w:rPr>
            </w:pPr>
            <w:r w:rsidRPr="00872D7E">
              <w:rPr>
                <w:sz w:val="14"/>
                <w:szCs w:val="14"/>
              </w:rPr>
              <w:t>4.2.2</w:t>
            </w:r>
          </w:p>
        </w:tc>
        <w:tc>
          <w:tcPr>
            <w:tcW w:w="4107" w:type="dxa"/>
            <w:tcBorders>
              <w:top w:val="nil"/>
              <w:left w:val="nil"/>
              <w:bottom w:val="nil"/>
              <w:right w:val="single" w:sz="4" w:space="0" w:color="auto"/>
            </w:tcBorders>
            <w:shd w:val="clear" w:color="auto" w:fill="auto"/>
            <w:hideMark/>
          </w:tcPr>
          <w:p w14:paraId="78C07E12" w14:textId="77777777" w:rsidR="00862A01" w:rsidRPr="00872D7E" w:rsidRDefault="00862A01" w:rsidP="00862A01">
            <w:pPr>
              <w:rPr>
                <w:sz w:val="14"/>
                <w:szCs w:val="14"/>
              </w:rPr>
            </w:pPr>
            <w:r w:rsidRPr="00872D7E">
              <w:rPr>
                <w:sz w:val="14"/>
                <w:szCs w:val="14"/>
              </w:rPr>
              <w:t>Konsolide Edilmeyen Mali Olmayan Ortaklıklar</w:t>
            </w:r>
          </w:p>
        </w:tc>
        <w:tc>
          <w:tcPr>
            <w:tcW w:w="709" w:type="dxa"/>
            <w:tcBorders>
              <w:top w:val="nil"/>
              <w:left w:val="nil"/>
              <w:bottom w:val="nil"/>
              <w:right w:val="single" w:sz="4" w:space="0" w:color="auto"/>
            </w:tcBorders>
            <w:shd w:val="clear" w:color="auto" w:fill="auto"/>
            <w:noWrap/>
            <w:hideMark/>
          </w:tcPr>
          <w:p w14:paraId="0BB17E84" w14:textId="77777777" w:rsidR="00862A01" w:rsidRPr="00872D7E" w:rsidRDefault="00862A01" w:rsidP="00862A01">
            <w:pPr>
              <w:jc w:val="center"/>
              <w:rPr>
                <w:color w:val="000000"/>
                <w:sz w:val="14"/>
                <w:szCs w:val="14"/>
              </w:rPr>
            </w:pPr>
            <w:r w:rsidRPr="00872D7E">
              <w:rPr>
                <w:color w:val="000000"/>
                <w:sz w:val="14"/>
                <w:szCs w:val="14"/>
              </w:rPr>
              <w:t>(10)</w:t>
            </w:r>
          </w:p>
        </w:tc>
        <w:tc>
          <w:tcPr>
            <w:tcW w:w="833" w:type="dxa"/>
            <w:tcBorders>
              <w:top w:val="nil"/>
              <w:left w:val="nil"/>
              <w:bottom w:val="nil"/>
              <w:right w:val="nil"/>
            </w:tcBorders>
            <w:shd w:val="clear" w:color="000000" w:fill="FFFFFF"/>
            <w:vAlign w:val="center"/>
            <w:hideMark/>
          </w:tcPr>
          <w:p w14:paraId="334F38BD" w14:textId="77777777" w:rsidR="00862A01" w:rsidRPr="00872D7E" w:rsidRDefault="00862A01" w:rsidP="00862A01">
            <w:pPr>
              <w:jc w:val="right"/>
              <w:rPr>
                <w:color w:val="000000"/>
                <w:sz w:val="14"/>
                <w:szCs w:val="14"/>
              </w:rPr>
            </w:pPr>
            <w:r w:rsidRPr="00872D7E">
              <w:rPr>
                <w:color w:val="000000"/>
                <w:sz w:val="14"/>
                <w:szCs w:val="14"/>
              </w:rPr>
              <w:t>1.250</w:t>
            </w:r>
          </w:p>
        </w:tc>
        <w:tc>
          <w:tcPr>
            <w:tcW w:w="779" w:type="dxa"/>
            <w:tcBorders>
              <w:top w:val="nil"/>
              <w:left w:val="single" w:sz="4" w:space="0" w:color="auto"/>
              <w:bottom w:val="nil"/>
              <w:right w:val="nil"/>
            </w:tcBorders>
            <w:shd w:val="clear" w:color="000000" w:fill="FFFFFF"/>
            <w:vAlign w:val="center"/>
            <w:hideMark/>
          </w:tcPr>
          <w:p w14:paraId="014079A4"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218726ED" w14:textId="77777777" w:rsidR="00862A01" w:rsidRPr="00872D7E" w:rsidRDefault="00862A01" w:rsidP="00862A01">
            <w:pPr>
              <w:jc w:val="right"/>
              <w:rPr>
                <w:color w:val="000000"/>
                <w:sz w:val="14"/>
                <w:szCs w:val="14"/>
              </w:rPr>
            </w:pPr>
            <w:r w:rsidRPr="00872D7E">
              <w:rPr>
                <w:color w:val="000000"/>
                <w:sz w:val="14"/>
                <w:szCs w:val="14"/>
              </w:rPr>
              <w:t>1.250</w:t>
            </w:r>
          </w:p>
        </w:tc>
        <w:tc>
          <w:tcPr>
            <w:tcW w:w="692" w:type="dxa"/>
            <w:tcBorders>
              <w:top w:val="nil"/>
              <w:left w:val="single" w:sz="4" w:space="0" w:color="auto"/>
              <w:bottom w:val="nil"/>
              <w:right w:val="nil"/>
            </w:tcBorders>
            <w:shd w:val="clear" w:color="000000" w:fill="FFFFFF"/>
            <w:vAlign w:val="center"/>
            <w:hideMark/>
          </w:tcPr>
          <w:p w14:paraId="58ED1B3A"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1B3A7034"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2BEF3AE2"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490A40B4"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47EC6E6B" w14:textId="77777777" w:rsidR="00862A01" w:rsidRPr="00872D7E" w:rsidRDefault="00862A01" w:rsidP="00862A01">
            <w:pPr>
              <w:rPr>
                <w:sz w:val="14"/>
                <w:szCs w:val="14"/>
              </w:rPr>
            </w:pPr>
            <w:r w:rsidRPr="00872D7E">
              <w:rPr>
                <w:sz w:val="14"/>
                <w:szCs w:val="14"/>
              </w:rPr>
              <w:t>4.3</w:t>
            </w:r>
          </w:p>
        </w:tc>
        <w:tc>
          <w:tcPr>
            <w:tcW w:w="4107" w:type="dxa"/>
            <w:tcBorders>
              <w:top w:val="nil"/>
              <w:left w:val="nil"/>
              <w:bottom w:val="nil"/>
              <w:right w:val="single" w:sz="4" w:space="0" w:color="auto"/>
            </w:tcBorders>
            <w:shd w:val="clear" w:color="auto" w:fill="auto"/>
            <w:hideMark/>
          </w:tcPr>
          <w:p w14:paraId="5454E54C" w14:textId="77777777" w:rsidR="00862A01" w:rsidRPr="00872D7E" w:rsidRDefault="00862A01" w:rsidP="00862A01">
            <w:pPr>
              <w:rPr>
                <w:sz w:val="14"/>
                <w:szCs w:val="14"/>
              </w:rPr>
            </w:pPr>
            <w:r w:rsidRPr="00872D7E">
              <w:rPr>
                <w:sz w:val="14"/>
                <w:szCs w:val="14"/>
              </w:rPr>
              <w:t>Birlikte Kontrol Edilen Ortaklıklar (İş Ortaklıkları) (Net)</w:t>
            </w:r>
          </w:p>
        </w:tc>
        <w:tc>
          <w:tcPr>
            <w:tcW w:w="709" w:type="dxa"/>
            <w:tcBorders>
              <w:top w:val="nil"/>
              <w:left w:val="nil"/>
              <w:bottom w:val="nil"/>
              <w:right w:val="single" w:sz="4" w:space="0" w:color="auto"/>
            </w:tcBorders>
            <w:shd w:val="clear" w:color="auto" w:fill="auto"/>
            <w:noWrap/>
            <w:hideMark/>
          </w:tcPr>
          <w:p w14:paraId="57ED7A10"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4C708F67"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153A4939"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7817CB46"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43DE25C7"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3C5C2C1E"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37155929"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5608C763"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296105D2" w14:textId="77777777" w:rsidR="00862A01" w:rsidRPr="00872D7E" w:rsidRDefault="00862A01" w:rsidP="00862A01">
            <w:pPr>
              <w:rPr>
                <w:sz w:val="14"/>
                <w:szCs w:val="14"/>
              </w:rPr>
            </w:pPr>
            <w:r w:rsidRPr="00872D7E">
              <w:rPr>
                <w:sz w:val="14"/>
                <w:szCs w:val="14"/>
              </w:rPr>
              <w:t>4.3.1</w:t>
            </w:r>
          </w:p>
        </w:tc>
        <w:tc>
          <w:tcPr>
            <w:tcW w:w="4107" w:type="dxa"/>
            <w:tcBorders>
              <w:top w:val="nil"/>
              <w:left w:val="nil"/>
              <w:bottom w:val="nil"/>
              <w:right w:val="single" w:sz="4" w:space="0" w:color="auto"/>
            </w:tcBorders>
            <w:shd w:val="clear" w:color="auto" w:fill="auto"/>
            <w:hideMark/>
          </w:tcPr>
          <w:p w14:paraId="0A290742" w14:textId="77777777" w:rsidR="00862A01" w:rsidRPr="00872D7E" w:rsidRDefault="00862A01" w:rsidP="00862A01">
            <w:pPr>
              <w:rPr>
                <w:sz w:val="14"/>
                <w:szCs w:val="14"/>
              </w:rPr>
            </w:pPr>
            <w:r w:rsidRPr="00872D7E">
              <w:rPr>
                <w:sz w:val="14"/>
                <w:szCs w:val="14"/>
              </w:rPr>
              <w:t>Özkaynak Yöntemine Göre Değerlenenler</w:t>
            </w:r>
          </w:p>
        </w:tc>
        <w:tc>
          <w:tcPr>
            <w:tcW w:w="709" w:type="dxa"/>
            <w:tcBorders>
              <w:top w:val="nil"/>
              <w:left w:val="nil"/>
              <w:bottom w:val="nil"/>
              <w:right w:val="single" w:sz="4" w:space="0" w:color="auto"/>
            </w:tcBorders>
            <w:shd w:val="clear" w:color="auto" w:fill="auto"/>
            <w:noWrap/>
            <w:hideMark/>
          </w:tcPr>
          <w:p w14:paraId="63082AC4"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4B5D9F75"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61BB27D0"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63F34E5F"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08127D5D"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48600D03"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27DFF6B8"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32B73D7F"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29D5F2F0" w14:textId="77777777" w:rsidR="00862A01" w:rsidRPr="00872D7E" w:rsidRDefault="00862A01" w:rsidP="00862A01">
            <w:pPr>
              <w:rPr>
                <w:sz w:val="14"/>
                <w:szCs w:val="14"/>
              </w:rPr>
            </w:pPr>
            <w:r w:rsidRPr="00872D7E">
              <w:rPr>
                <w:sz w:val="14"/>
                <w:szCs w:val="14"/>
              </w:rPr>
              <w:t>4.3.2</w:t>
            </w:r>
          </w:p>
        </w:tc>
        <w:tc>
          <w:tcPr>
            <w:tcW w:w="4107" w:type="dxa"/>
            <w:tcBorders>
              <w:top w:val="nil"/>
              <w:left w:val="nil"/>
              <w:bottom w:val="nil"/>
              <w:right w:val="single" w:sz="4" w:space="0" w:color="auto"/>
            </w:tcBorders>
            <w:shd w:val="clear" w:color="auto" w:fill="auto"/>
            <w:hideMark/>
          </w:tcPr>
          <w:p w14:paraId="0FD5B017" w14:textId="77777777" w:rsidR="00862A01" w:rsidRPr="00872D7E" w:rsidRDefault="00862A01" w:rsidP="00862A01">
            <w:pPr>
              <w:rPr>
                <w:sz w:val="14"/>
                <w:szCs w:val="14"/>
              </w:rPr>
            </w:pPr>
            <w:r w:rsidRPr="00872D7E">
              <w:rPr>
                <w:sz w:val="14"/>
                <w:szCs w:val="14"/>
              </w:rPr>
              <w:t>Konsolide Edilmeyenler</w:t>
            </w:r>
          </w:p>
        </w:tc>
        <w:tc>
          <w:tcPr>
            <w:tcW w:w="709" w:type="dxa"/>
            <w:tcBorders>
              <w:top w:val="nil"/>
              <w:left w:val="nil"/>
              <w:bottom w:val="nil"/>
              <w:right w:val="single" w:sz="4" w:space="0" w:color="auto"/>
            </w:tcBorders>
            <w:shd w:val="clear" w:color="auto" w:fill="auto"/>
            <w:noWrap/>
            <w:hideMark/>
          </w:tcPr>
          <w:p w14:paraId="13D12019"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58C92C55"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38B69D22"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50B6FC8A"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17031626"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6C756560"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6EBF0F34" w14:textId="77777777" w:rsidR="00862A01" w:rsidRPr="00872D7E" w:rsidRDefault="00862A01" w:rsidP="00862A01">
            <w:pPr>
              <w:jc w:val="right"/>
              <w:rPr>
                <w:color w:val="000000"/>
                <w:sz w:val="14"/>
                <w:szCs w:val="14"/>
              </w:rPr>
            </w:pPr>
            <w:r w:rsidRPr="00872D7E">
              <w:rPr>
                <w:color w:val="000000"/>
                <w:sz w:val="14"/>
                <w:szCs w:val="14"/>
              </w:rPr>
              <w:t>-</w:t>
            </w:r>
          </w:p>
        </w:tc>
      </w:tr>
      <w:tr w:rsidR="001C7892" w:rsidRPr="00872D7E" w14:paraId="10D62F97" w14:textId="77777777" w:rsidTr="00504A75">
        <w:trPr>
          <w:divId w:val="715470775"/>
          <w:trHeight w:val="113"/>
        </w:trPr>
        <w:tc>
          <w:tcPr>
            <w:tcW w:w="566" w:type="dxa"/>
            <w:tcBorders>
              <w:top w:val="nil"/>
              <w:left w:val="single" w:sz="4" w:space="0" w:color="auto"/>
              <w:bottom w:val="nil"/>
              <w:right w:val="nil"/>
            </w:tcBorders>
            <w:shd w:val="clear" w:color="auto" w:fill="auto"/>
            <w:noWrap/>
            <w:hideMark/>
          </w:tcPr>
          <w:p w14:paraId="3ABEF180" w14:textId="77777777" w:rsidR="001C7892" w:rsidRPr="00872D7E" w:rsidRDefault="001C7892" w:rsidP="001C7892">
            <w:pPr>
              <w:rPr>
                <w:b/>
                <w:bCs/>
                <w:color w:val="000000"/>
                <w:sz w:val="14"/>
                <w:szCs w:val="14"/>
              </w:rPr>
            </w:pPr>
            <w:r w:rsidRPr="00872D7E">
              <w:rPr>
                <w:b/>
                <w:bCs/>
                <w:color w:val="000000"/>
                <w:sz w:val="14"/>
                <w:szCs w:val="14"/>
              </w:rPr>
              <w:t>V.</w:t>
            </w:r>
          </w:p>
        </w:tc>
        <w:tc>
          <w:tcPr>
            <w:tcW w:w="4107" w:type="dxa"/>
            <w:tcBorders>
              <w:top w:val="nil"/>
              <w:left w:val="nil"/>
              <w:bottom w:val="nil"/>
              <w:right w:val="single" w:sz="4" w:space="0" w:color="auto"/>
            </w:tcBorders>
            <w:shd w:val="clear" w:color="auto" w:fill="auto"/>
            <w:hideMark/>
          </w:tcPr>
          <w:p w14:paraId="4A439676" w14:textId="77777777" w:rsidR="001C7892" w:rsidRPr="00872D7E" w:rsidRDefault="001C7892" w:rsidP="001C7892">
            <w:pPr>
              <w:rPr>
                <w:b/>
                <w:bCs/>
                <w:color w:val="000000"/>
                <w:sz w:val="14"/>
                <w:szCs w:val="14"/>
              </w:rPr>
            </w:pPr>
            <w:r w:rsidRPr="00872D7E">
              <w:rPr>
                <w:b/>
                <w:bCs/>
                <w:color w:val="000000"/>
                <w:sz w:val="14"/>
                <w:szCs w:val="14"/>
              </w:rPr>
              <w:t>MADDİ DURAN VARLIKLAR (Net)</w:t>
            </w:r>
          </w:p>
        </w:tc>
        <w:tc>
          <w:tcPr>
            <w:tcW w:w="709" w:type="dxa"/>
            <w:tcBorders>
              <w:top w:val="nil"/>
              <w:left w:val="nil"/>
              <w:bottom w:val="nil"/>
              <w:right w:val="single" w:sz="4" w:space="0" w:color="auto"/>
            </w:tcBorders>
            <w:shd w:val="clear" w:color="auto" w:fill="auto"/>
            <w:noWrap/>
            <w:vAlign w:val="bottom"/>
            <w:hideMark/>
          </w:tcPr>
          <w:p w14:paraId="1DF01A57" w14:textId="787077E6" w:rsidR="001C7892" w:rsidRPr="00872D7E" w:rsidRDefault="001C7892" w:rsidP="001C7892">
            <w:pPr>
              <w:jc w:val="center"/>
              <w:rPr>
                <w:b/>
                <w:bCs/>
                <w:color w:val="000000"/>
                <w:sz w:val="14"/>
                <w:szCs w:val="14"/>
                <w:lang w:eastAsia="tr-TR"/>
              </w:rPr>
            </w:pPr>
            <w:r w:rsidRPr="00872D7E">
              <w:rPr>
                <w:b/>
                <w:bCs/>
                <w:color w:val="000000"/>
                <w:sz w:val="14"/>
                <w:szCs w:val="14"/>
                <w:lang w:eastAsia="tr-TR"/>
              </w:rPr>
              <w:t>(12)</w:t>
            </w:r>
          </w:p>
        </w:tc>
        <w:tc>
          <w:tcPr>
            <w:tcW w:w="833" w:type="dxa"/>
            <w:tcBorders>
              <w:top w:val="nil"/>
              <w:left w:val="nil"/>
              <w:bottom w:val="nil"/>
              <w:right w:val="nil"/>
            </w:tcBorders>
            <w:shd w:val="clear" w:color="000000" w:fill="FFFFFF"/>
            <w:vAlign w:val="center"/>
            <w:hideMark/>
          </w:tcPr>
          <w:p w14:paraId="1F2F3D8B" w14:textId="77777777" w:rsidR="001C7892" w:rsidRPr="00872D7E" w:rsidRDefault="001C7892" w:rsidP="001C7892">
            <w:pPr>
              <w:jc w:val="right"/>
              <w:rPr>
                <w:b/>
                <w:bCs/>
                <w:color w:val="000000"/>
                <w:sz w:val="14"/>
                <w:szCs w:val="14"/>
              </w:rPr>
            </w:pPr>
            <w:r w:rsidRPr="00872D7E">
              <w:rPr>
                <w:b/>
                <w:bCs/>
                <w:color w:val="000000"/>
                <w:sz w:val="14"/>
                <w:szCs w:val="14"/>
              </w:rPr>
              <w:t>490.907</w:t>
            </w:r>
          </w:p>
        </w:tc>
        <w:tc>
          <w:tcPr>
            <w:tcW w:w="779" w:type="dxa"/>
            <w:tcBorders>
              <w:top w:val="nil"/>
              <w:left w:val="single" w:sz="4" w:space="0" w:color="auto"/>
              <w:bottom w:val="nil"/>
              <w:right w:val="nil"/>
            </w:tcBorders>
            <w:shd w:val="clear" w:color="000000" w:fill="FFFFFF"/>
            <w:vAlign w:val="center"/>
            <w:hideMark/>
          </w:tcPr>
          <w:p w14:paraId="7258D157" w14:textId="77777777" w:rsidR="001C7892" w:rsidRPr="00872D7E" w:rsidRDefault="001C7892" w:rsidP="001C7892">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5463DA42" w14:textId="77777777" w:rsidR="001C7892" w:rsidRPr="00872D7E" w:rsidRDefault="001C7892" w:rsidP="001C7892">
            <w:pPr>
              <w:jc w:val="right"/>
              <w:rPr>
                <w:b/>
                <w:bCs/>
                <w:color w:val="000000"/>
                <w:sz w:val="14"/>
                <w:szCs w:val="14"/>
              </w:rPr>
            </w:pPr>
            <w:r w:rsidRPr="00872D7E">
              <w:rPr>
                <w:b/>
                <w:bCs/>
                <w:color w:val="000000"/>
                <w:sz w:val="14"/>
                <w:szCs w:val="14"/>
              </w:rPr>
              <w:t>490.907</w:t>
            </w:r>
          </w:p>
        </w:tc>
        <w:tc>
          <w:tcPr>
            <w:tcW w:w="692" w:type="dxa"/>
            <w:tcBorders>
              <w:top w:val="nil"/>
              <w:left w:val="single" w:sz="4" w:space="0" w:color="auto"/>
              <w:bottom w:val="nil"/>
              <w:right w:val="nil"/>
            </w:tcBorders>
            <w:shd w:val="clear" w:color="000000" w:fill="FFFFFF"/>
            <w:vAlign w:val="center"/>
            <w:hideMark/>
          </w:tcPr>
          <w:p w14:paraId="15B9064C" w14:textId="77777777" w:rsidR="001C7892" w:rsidRPr="00872D7E" w:rsidRDefault="001C7892" w:rsidP="001C7892">
            <w:pPr>
              <w:jc w:val="right"/>
              <w:rPr>
                <w:b/>
                <w:bCs/>
                <w:color w:val="000000"/>
                <w:sz w:val="14"/>
                <w:szCs w:val="14"/>
              </w:rPr>
            </w:pPr>
            <w:r w:rsidRPr="00872D7E">
              <w:rPr>
                <w:b/>
                <w:bCs/>
                <w:color w:val="000000"/>
                <w:sz w:val="14"/>
                <w:szCs w:val="14"/>
              </w:rPr>
              <w:t>83.528</w:t>
            </w:r>
          </w:p>
        </w:tc>
        <w:tc>
          <w:tcPr>
            <w:tcW w:w="759" w:type="dxa"/>
            <w:tcBorders>
              <w:top w:val="nil"/>
              <w:left w:val="single" w:sz="4" w:space="0" w:color="auto"/>
              <w:bottom w:val="nil"/>
              <w:right w:val="nil"/>
            </w:tcBorders>
            <w:shd w:val="clear" w:color="000000" w:fill="FFFFFF"/>
            <w:vAlign w:val="center"/>
            <w:hideMark/>
          </w:tcPr>
          <w:p w14:paraId="76334FCC" w14:textId="77777777" w:rsidR="001C7892" w:rsidRPr="00872D7E" w:rsidRDefault="001C7892" w:rsidP="001C7892">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29893C2C" w14:textId="77777777" w:rsidR="001C7892" w:rsidRPr="00872D7E" w:rsidRDefault="001C7892" w:rsidP="001C7892">
            <w:pPr>
              <w:jc w:val="right"/>
              <w:rPr>
                <w:b/>
                <w:bCs/>
                <w:color w:val="000000"/>
                <w:sz w:val="14"/>
                <w:szCs w:val="14"/>
              </w:rPr>
            </w:pPr>
            <w:r w:rsidRPr="00872D7E">
              <w:rPr>
                <w:b/>
                <w:bCs/>
                <w:color w:val="000000"/>
                <w:sz w:val="14"/>
                <w:szCs w:val="14"/>
              </w:rPr>
              <w:t>83.528</w:t>
            </w:r>
          </w:p>
        </w:tc>
      </w:tr>
      <w:tr w:rsidR="001C7892" w:rsidRPr="00872D7E" w14:paraId="5BC4231E" w14:textId="77777777" w:rsidTr="00504A75">
        <w:trPr>
          <w:divId w:val="715470775"/>
          <w:trHeight w:val="113"/>
        </w:trPr>
        <w:tc>
          <w:tcPr>
            <w:tcW w:w="566" w:type="dxa"/>
            <w:tcBorders>
              <w:top w:val="nil"/>
              <w:left w:val="single" w:sz="4" w:space="0" w:color="auto"/>
              <w:bottom w:val="nil"/>
              <w:right w:val="nil"/>
            </w:tcBorders>
            <w:shd w:val="clear" w:color="auto" w:fill="auto"/>
            <w:noWrap/>
            <w:hideMark/>
          </w:tcPr>
          <w:p w14:paraId="03EC71E6" w14:textId="77777777" w:rsidR="001C7892" w:rsidRPr="00872D7E" w:rsidRDefault="001C7892" w:rsidP="001C7892">
            <w:pPr>
              <w:rPr>
                <w:b/>
                <w:bCs/>
                <w:color w:val="000000"/>
                <w:sz w:val="14"/>
                <w:szCs w:val="14"/>
              </w:rPr>
            </w:pPr>
            <w:r w:rsidRPr="00872D7E">
              <w:rPr>
                <w:b/>
                <w:bCs/>
                <w:color w:val="000000"/>
                <w:sz w:val="14"/>
                <w:szCs w:val="14"/>
              </w:rPr>
              <w:t>VI.</w:t>
            </w:r>
          </w:p>
        </w:tc>
        <w:tc>
          <w:tcPr>
            <w:tcW w:w="4107" w:type="dxa"/>
            <w:tcBorders>
              <w:top w:val="nil"/>
              <w:left w:val="nil"/>
              <w:bottom w:val="nil"/>
              <w:right w:val="single" w:sz="4" w:space="0" w:color="auto"/>
            </w:tcBorders>
            <w:shd w:val="clear" w:color="auto" w:fill="auto"/>
            <w:hideMark/>
          </w:tcPr>
          <w:p w14:paraId="20DA4751" w14:textId="77777777" w:rsidR="001C7892" w:rsidRPr="00872D7E" w:rsidRDefault="001C7892" w:rsidP="001C7892">
            <w:pPr>
              <w:rPr>
                <w:b/>
                <w:bCs/>
                <w:color w:val="000000"/>
                <w:sz w:val="14"/>
                <w:szCs w:val="14"/>
              </w:rPr>
            </w:pPr>
            <w:r w:rsidRPr="00872D7E">
              <w:rPr>
                <w:b/>
                <w:bCs/>
                <w:color w:val="000000"/>
                <w:sz w:val="14"/>
                <w:szCs w:val="14"/>
              </w:rPr>
              <w:t>MADDİ OLMAYAN DURAN VARLIKLAR (Net)</w:t>
            </w:r>
          </w:p>
        </w:tc>
        <w:tc>
          <w:tcPr>
            <w:tcW w:w="709" w:type="dxa"/>
            <w:tcBorders>
              <w:top w:val="nil"/>
              <w:left w:val="nil"/>
              <w:bottom w:val="nil"/>
              <w:right w:val="single" w:sz="4" w:space="0" w:color="auto"/>
            </w:tcBorders>
            <w:shd w:val="clear" w:color="auto" w:fill="auto"/>
            <w:noWrap/>
            <w:vAlign w:val="bottom"/>
            <w:hideMark/>
          </w:tcPr>
          <w:p w14:paraId="70EEC231" w14:textId="67B6542C" w:rsidR="001C7892" w:rsidRPr="00872D7E" w:rsidRDefault="001C7892" w:rsidP="001C7892">
            <w:pPr>
              <w:jc w:val="center"/>
              <w:rPr>
                <w:b/>
                <w:bCs/>
                <w:color w:val="000000"/>
                <w:sz w:val="14"/>
                <w:szCs w:val="14"/>
                <w:lang w:eastAsia="tr-TR"/>
              </w:rPr>
            </w:pPr>
            <w:r w:rsidRPr="00872D7E">
              <w:rPr>
                <w:b/>
                <w:bCs/>
                <w:color w:val="000000"/>
                <w:sz w:val="14"/>
                <w:szCs w:val="14"/>
                <w:lang w:eastAsia="tr-TR"/>
              </w:rPr>
              <w:t>(13)</w:t>
            </w:r>
          </w:p>
        </w:tc>
        <w:tc>
          <w:tcPr>
            <w:tcW w:w="833" w:type="dxa"/>
            <w:tcBorders>
              <w:top w:val="nil"/>
              <w:left w:val="nil"/>
              <w:bottom w:val="nil"/>
              <w:right w:val="nil"/>
            </w:tcBorders>
            <w:shd w:val="clear" w:color="000000" w:fill="FFFFFF"/>
            <w:vAlign w:val="center"/>
            <w:hideMark/>
          </w:tcPr>
          <w:p w14:paraId="129CD4DA" w14:textId="77777777" w:rsidR="001C7892" w:rsidRPr="00872D7E" w:rsidRDefault="001C7892" w:rsidP="001C7892">
            <w:pPr>
              <w:jc w:val="right"/>
              <w:rPr>
                <w:b/>
                <w:bCs/>
                <w:color w:val="000000"/>
                <w:sz w:val="14"/>
                <w:szCs w:val="14"/>
              </w:rPr>
            </w:pPr>
            <w:r w:rsidRPr="00872D7E">
              <w:rPr>
                <w:b/>
                <w:bCs/>
                <w:color w:val="000000"/>
                <w:sz w:val="14"/>
                <w:szCs w:val="14"/>
              </w:rPr>
              <w:t>212.558</w:t>
            </w:r>
          </w:p>
        </w:tc>
        <w:tc>
          <w:tcPr>
            <w:tcW w:w="779" w:type="dxa"/>
            <w:tcBorders>
              <w:top w:val="nil"/>
              <w:left w:val="single" w:sz="4" w:space="0" w:color="auto"/>
              <w:bottom w:val="nil"/>
              <w:right w:val="nil"/>
            </w:tcBorders>
            <w:shd w:val="clear" w:color="000000" w:fill="FFFFFF"/>
            <w:vAlign w:val="center"/>
            <w:hideMark/>
          </w:tcPr>
          <w:p w14:paraId="259E7D33" w14:textId="77777777" w:rsidR="001C7892" w:rsidRPr="00872D7E" w:rsidRDefault="001C7892" w:rsidP="001C7892">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4C35C460" w14:textId="77777777" w:rsidR="001C7892" w:rsidRPr="00872D7E" w:rsidRDefault="001C7892" w:rsidP="001C7892">
            <w:pPr>
              <w:jc w:val="right"/>
              <w:rPr>
                <w:b/>
                <w:bCs/>
                <w:color w:val="000000"/>
                <w:sz w:val="14"/>
                <w:szCs w:val="14"/>
              </w:rPr>
            </w:pPr>
            <w:r w:rsidRPr="00872D7E">
              <w:rPr>
                <w:b/>
                <w:bCs/>
                <w:color w:val="000000"/>
                <w:sz w:val="14"/>
                <w:szCs w:val="14"/>
              </w:rPr>
              <w:t>212.558</w:t>
            </w:r>
          </w:p>
        </w:tc>
        <w:tc>
          <w:tcPr>
            <w:tcW w:w="692" w:type="dxa"/>
            <w:tcBorders>
              <w:top w:val="nil"/>
              <w:left w:val="single" w:sz="4" w:space="0" w:color="auto"/>
              <w:bottom w:val="nil"/>
              <w:right w:val="nil"/>
            </w:tcBorders>
            <w:shd w:val="clear" w:color="000000" w:fill="FFFFFF"/>
            <w:vAlign w:val="center"/>
            <w:hideMark/>
          </w:tcPr>
          <w:p w14:paraId="45BB6F37" w14:textId="77777777" w:rsidR="001C7892" w:rsidRPr="00872D7E" w:rsidRDefault="001C7892" w:rsidP="001C7892">
            <w:pPr>
              <w:jc w:val="right"/>
              <w:rPr>
                <w:b/>
                <w:bCs/>
                <w:color w:val="000000"/>
                <w:sz w:val="14"/>
                <w:szCs w:val="14"/>
              </w:rPr>
            </w:pPr>
            <w:r w:rsidRPr="00872D7E">
              <w:rPr>
                <w:b/>
                <w:bCs/>
                <w:color w:val="000000"/>
                <w:sz w:val="14"/>
                <w:szCs w:val="14"/>
              </w:rPr>
              <w:t>5.575</w:t>
            </w:r>
          </w:p>
        </w:tc>
        <w:tc>
          <w:tcPr>
            <w:tcW w:w="759" w:type="dxa"/>
            <w:tcBorders>
              <w:top w:val="nil"/>
              <w:left w:val="single" w:sz="4" w:space="0" w:color="auto"/>
              <w:bottom w:val="nil"/>
              <w:right w:val="nil"/>
            </w:tcBorders>
            <w:shd w:val="clear" w:color="000000" w:fill="FFFFFF"/>
            <w:vAlign w:val="center"/>
            <w:hideMark/>
          </w:tcPr>
          <w:p w14:paraId="42A670BD" w14:textId="77777777" w:rsidR="001C7892" w:rsidRPr="00872D7E" w:rsidRDefault="001C7892" w:rsidP="001C7892">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063FE1BF" w14:textId="77777777" w:rsidR="001C7892" w:rsidRPr="00872D7E" w:rsidRDefault="001C7892" w:rsidP="001C7892">
            <w:pPr>
              <w:jc w:val="right"/>
              <w:rPr>
                <w:b/>
                <w:bCs/>
                <w:color w:val="000000"/>
                <w:sz w:val="14"/>
                <w:szCs w:val="14"/>
              </w:rPr>
            </w:pPr>
            <w:r w:rsidRPr="00872D7E">
              <w:rPr>
                <w:b/>
                <w:bCs/>
                <w:color w:val="000000"/>
                <w:sz w:val="14"/>
                <w:szCs w:val="14"/>
              </w:rPr>
              <w:t>5.575</w:t>
            </w:r>
          </w:p>
        </w:tc>
      </w:tr>
      <w:tr w:rsidR="00862A01" w:rsidRPr="00872D7E" w14:paraId="56F5AE36"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0E8421B9" w14:textId="77777777" w:rsidR="00862A01" w:rsidRPr="00872D7E" w:rsidRDefault="00862A01" w:rsidP="00862A01">
            <w:pPr>
              <w:rPr>
                <w:sz w:val="14"/>
                <w:szCs w:val="14"/>
              </w:rPr>
            </w:pPr>
            <w:r w:rsidRPr="00872D7E">
              <w:rPr>
                <w:sz w:val="14"/>
                <w:szCs w:val="14"/>
              </w:rPr>
              <w:t>6.1</w:t>
            </w:r>
          </w:p>
        </w:tc>
        <w:tc>
          <w:tcPr>
            <w:tcW w:w="4107" w:type="dxa"/>
            <w:tcBorders>
              <w:top w:val="nil"/>
              <w:left w:val="nil"/>
              <w:bottom w:val="nil"/>
              <w:right w:val="single" w:sz="4" w:space="0" w:color="auto"/>
            </w:tcBorders>
            <w:shd w:val="clear" w:color="auto" w:fill="auto"/>
            <w:hideMark/>
          </w:tcPr>
          <w:p w14:paraId="7E0E784A" w14:textId="77777777" w:rsidR="00862A01" w:rsidRPr="00872D7E" w:rsidRDefault="00862A01" w:rsidP="00862A01">
            <w:pPr>
              <w:rPr>
                <w:sz w:val="14"/>
                <w:szCs w:val="14"/>
              </w:rPr>
            </w:pPr>
            <w:r w:rsidRPr="00872D7E">
              <w:rPr>
                <w:sz w:val="14"/>
                <w:szCs w:val="14"/>
              </w:rPr>
              <w:t>Şerefiye</w:t>
            </w:r>
          </w:p>
        </w:tc>
        <w:tc>
          <w:tcPr>
            <w:tcW w:w="709" w:type="dxa"/>
            <w:tcBorders>
              <w:top w:val="nil"/>
              <w:left w:val="nil"/>
              <w:bottom w:val="nil"/>
              <w:right w:val="single" w:sz="4" w:space="0" w:color="auto"/>
            </w:tcBorders>
            <w:shd w:val="clear" w:color="auto" w:fill="auto"/>
            <w:noWrap/>
            <w:hideMark/>
          </w:tcPr>
          <w:p w14:paraId="0C29B708"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375F6308" w14:textId="77777777" w:rsidR="00862A01" w:rsidRPr="00872D7E" w:rsidRDefault="00862A01" w:rsidP="00862A01">
            <w:pPr>
              <w:jc w:val="right"/>
              <w:rPr>
                <w:color w:val="000000"/>
                <w:sz w:val="14"/>
                <w:szCs w:val="14"/>
              </w:rPr>
            </w:pPr>
            <w:r w:rsidRPr="00872D7E">
              <w:rPr>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6166FB6D"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46C8766A" w14:textId="77777777" w:rsidR="00862A01" w:rsidRPr="00872D7E" w:rsidRDefault="00862A01" w:rsidP="00862A01">
            <w:pPr>
              <w:jc w:val="right"/>
              <w:rPr>
                <w:color w:val="000000"/>
                <w:sz w:val="14"/>
                <w:szCs w:val="14"/>
              </w:rPr>
            </w:pPr>
            <w:r w:rsidRPr="00872D7E">
              <w:rPr>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137396FA" w14:textId="77777777" w:rsidR="00862A01" w:rsidRPr="00872D7E" w:rsidRDefault="00862A01" w:rsidP="00862A01">
            <w:pPr>
              <w:jc w:val="right"/>
              <w:rPr>
                <w:color w:val="000000"/>
                <w:sz w:val="14"/>
                <w:szCs w:val="14"/>
              </w:rPr>
            </w:pPr>
            <w:r w:rsidRPr="00872D7E">
              <w:rPr>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5473BFD3"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7792D4AB"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74B6D73F"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2A2944D4" w14:textId="77777777" w:rsidR="00862A01" w:rsidRPr="00872D7E" w:rsidRDefault="00862A01" w:rsidP="00862A01">
            <w:pPr>
              <w:rPr>
                <w:sz w:val="14"/>
                <w:szCs w:val="14"/>
              </w:rPr>
            </w:pPr>
            <w:r w:rsidRPr="00872D7E">
              <w:rPr>
                <w:sz w:val="14"/>
                <w:szCs w:val="14"/>
              </w:rPr>
              <w:t>6.2</w:t>
            </w:r>
          </w:p>
        </w:tc>
        <w:tc>
          <w:tcPr>
            <w:tcW w:w="4107" w:type="dxa"/>
            <w:tcBorders>
              <w:top w:val="nil"/>
              <w:left w:val="nil"/>
              <w:bottom w:val="nil"/>
              <w:right w:val="single" w:sz="4" w:space="0" w:color="auto"/>
            </w:tcBorders>
            <w:shd w:val="clear" w:color="auto" w:fill="auto"/>
            <w:hideMark/>
          </w:tcPr>
          <w:p w14:paraId="0C42527C" w14:textId="77777777" w:rsidR="00862A01" w:rsidRPr="00872D7E" w:rsidRDefault="00862A01" w:rsidP="00862A01">
            <w:pPr>
              <w:rPr>
                <w:sz w:val="14"/>
                <w:szCs w:val="14"/>
              </w:rPr>
            </w:pPr>
            <w:r w:rsidRPr="00872D7E">
              <w:rPr>
                <w:sz w:val="14"/>
                <w:szCs w:val="14"/>
              </w:rPr>
              <w:t>Diğer</w:t>
            </w:r>
          </w:p>
        </w:tc>
        <w:tc>
          <w:tcPr>
            <w:tcW w:w="709" w:type="dxa"/>
            <w:tcBorders>
              <w:top w:val="nil"/>
              <w:left w:val="nil"/>
              <w:bottom w:val="nil"/>
              <w:right w:val="single" w:sz="4" w:space="0" w:color="auto"/>
            </w:tcBorders>
            <w:shd w:val="clear" w:color="auto" w:fill="auto"/>
            <w:noWrap/>
            <w:hideMark/>
          </w:tcPr>
          <w:p w14:paraId="67630DE0"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5E18385E" w14:textId="77777777" w:rsidR="00862A01" w:rsidRPr="00872D7E" w:rsidRDefault="00862A01" w:rsidP="00862A01">
            <w:pPr>
              <w:jc w:val="right"/>
              <w:rPr>
                <w:color w:val="000000"/>
                <w:sz w:val="14"/>
                <w:szCs w:val="14"/>
              </w:rPr>
            </w:pPr>
            <w:r w:rsidRPr="00872D7E">
              <w:rPr>
                <w:color w:val="000000"/>
                <w:sz w:val="14"/>
                <w:szCs w:val="14"/>
              </w:rPr>
              <w:t>212.558</w:t>
            </w:r>
          </w:p>
        </w:tc>
        <w:tc>
          <w:tcPr>
            <w:tcW w:w="779" w:type="dxa"/>
            <w:tcBorders>
              <w:top w:val="nil"/>
              <w:left w:val="single" w:sz="4" w:space="0" w:color="auto"/>
              <w:bottom w:val="nil"/>
              <w:right w:val="nil"/>
            </w:tcBorders>
            <w:shd w:val="clear" w:color="000000" w:fill="FFFFFF"/>
            <w:vAlign w:val="center"/>
            <w:hideMark/>
          </w:tcPr>
          <w:p w14:paraId="623760DD" w14:textId="77777777" w:rsidR="00862A01" w:rsidRPr="00872D7E" w:rsidRDefault="00862A01" w:rsidP="00862A01">
            <w:pPr>
              <w:jc w:val="right"/>
              <w:rPr>
                <w:color w:val="000000"/>
                <w:sz w:val="14"/>
                <w:szCs w:val="14"/>
              </w:rPr>
            </w:pPr>
            <w:r w:rsidRPr="00872D7E">
              <w:rPr>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018BDBA6" w14:textId="77777777" w:rsidR="00862A01" w:rsidRPr="00872D7E" w:rsidRDefault="00862A01" w:rsidP="00862A01">
            <w:pPr>
              <w:jc w:val="right"/>
              <w:rPr>
                <w:color w:val="000000"/>
                <w:sz w:val="14"/>
                <w:szCs w:val="14"/>
              </w:rPr>
            </w:pPr>
            <w:r w:rsidRPr="00872D7E">
              <w:rPr>
                <w:color w:val="000000"/>
                <w:sz w:val="14"/>
                <w:szCs w:val="14"/>
              </w:rPr>
              <w:t>212.558</w:t>
            </w:r>
          </w:p>
        </w:tc>
        <w:tc>
          <w:tcPr>
            <w:tcW w:w="692" w:type="dxa"/>
            <w:tcBorders>
              <w:top w:val="nil"/>
              <w:left w:val="single" w:sz="4" w:space="0" w:color="auto"/>
              <w:bottom w:val="nil"/>
              <w:right w:val="nil"/>
            </w:tcBorders>
            <w:shd w:val="clear" w:color="000000" w:fill="FFFFFF"/>
            <w:vAlign w:val="center"/>
            <w:hideMark/>
          </w:tcPr>
          <w:p w14:paraId="6D762F37" w14:textId="77777777" w:rsidR="00862A01" w:rsidRPr="00872D7E" w:rsidRDefault="00862A01" w:rsidP="00862A01">
            <w:pPr>
              <w:jc w:val="right"/>
              <w:rPr>
                <w:color w:val="000000"/>
                <w:sz w:val="14"/>
                <w:szCs w:val="14"/>
              </w:rPr>
            </w:pPr>
            <w:r w:rsidRPr="00872D7E">
              <w:rPr>
                <w:color w:val="000000"/>
                <w:sz w:val="14"/>
                <w:szCs w:val="14"/>
              </w:rPr>
              <w:t>5.575</w:t>
            </w:r>
          </w:p>
        </w:tc>
        <w:tc>
          <w:tcPr>
            <w:tcW w:w="759" w:type="dxa"/>
            <w:tcBorders>
              <w:top w:val="nil"/>
              <w:left w:val="single" w:sz="4" w:space="0" w:color="auto"/>
              <w:bottom w:val="nil"/>
              <w:right w:val="nil"/>
            </w:tcBorders>
            <w:shd w:val="clear" w:color="000000" w:fill="FFFFFF"/>
            <w:vAlign w:val="center"/>
            <w:hideMark/>
          </w:tcPr>
          <w:p w14:paraId="69FE4EDC" w14:textId="77777777" w:rsidR="00862A01" w:rsidRPr="00872D7E" w:rsidRDefault="00862A01" w:rsidP="00862A01">
            <w:pPr>
              <w:jc w:val="right"/>
              <w:rPr>
                <w:color w:val="000000"/>
                <w:sz w:val="14"/>
                <w:szCs w:val="14"/>
              </w:rPr>
            </w:pPr>
            <w:r w:rsidRPr="00872D7E">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5C24394B" w14:textId="77777777" w:rsidR="00862A01" w:rsidRPr="00872D7E" w:rsidRDefault="00862A01" w:rsidP="00862A01">
            <w:pPr>
              <w:jc w:val="right"/>
              <w:rPr>
                <w:color w:val="000000"/>
                <w:sz w:val="14"/>
                <w:szCs w:val="14"/>
              </w:rPr>
            </w:pPr>
            <w:r w:rsidRPr="00872D7E">
              <w:rPr>
                <w:color w:val="000000"/>
                <w:sz w:val="14"/>
                <w:szCs w:val="14"/>
              </w:rPr>
              <w:t>5.575</w:t>
            </w:r>
          </w:p>
        </w:tc>
      </w:tr>
      <w:tr w:rsidR="00862A01" w:rsidRPr="00872D7E" w14:paraId="0FA59594"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256C8665" w14:textId="77777777" w:rsidR="00862A01" w:rsidRPr="00872D7E" w:rsidRDefault="00862A01" w:rsidP="00862A01">
            <w:pPr>
              <w:rPr>
                <w:b/>
                <w:bCs/>
                <w:color w:val="000000"/>
                <w:sz w:val="14"/>
                <w:szCs w:val="14"/>
              </w:rPr>
            </w:pPr>
            <w:r w:rsidRPr="00872D7E">
              <w:rPr>
                <w:b/>
                <w:bCs/>
                <w:color w:val="000000"/>
                <w:sz w:val="14"/>
                <w:szCs w:val="14"/>
              </w:rPr>
              <w:t>VII.</w:t>
            </w:r>
          </w:p>
        </w:tc>
        <w:tc>
          <w:tcPr>
            <w:tcW w:w="4107" w:type="dxa"/>
            <w:tcBorders>
              <w:top w:val="nil"/>
              <w:left w:val="nil"/>
              <w:bottom w:val="nil"/>
              <w:right w:val="single" w:sz="4" w:space="0" w:color="auto"/>
            </w:tcBorders>
            <w:shd w:val="clear" w:color="auto" w:fill="auto"/>
            <w:hideMark/>
          </w:tcPr>
          <w:p w14:paraId="4F6CA9EE" w14:textId="77777777" w:rsidR="00862A01" w:rsidRPr="00872D7E" w:rsidRDefault="00862A01" w:rsidP="00862A01">
            <w:pPr>
              <w:rPr>
                <w:b/>
                <w:bCs/>
                <w:color w:val="000000"/>
                <w:sz w:val="14"/>
                <w:szCs w:val="14"/>
              </w:rPr>
            </w:pPr>
            <w:r w:rsidRPr="00872D7E">
              <w:rPr>
                <w:b/>
                <w:bCs/>
                <w:color w:val="000000"/>
                <w:sz w:val="14"/>
                <w:szCs w:val="14"/>
              </w:rPr>
              <w:t>YATIRIM AMAÇLI GAYRİMENKULLER (Net)</w:t>
            </w:r>
          </w:p>
        </w:tc>
        <w:tc>
          <w:tcPr>
            <w:tcW w:w="709" w:type="dxa"/>
            <w:tcBorders>
              <w:top w:val="nil"/>
              <w:left w:val="nil"/>
              <w:bottom w:val="nil"/>
              <w:right w:val="single" w:sz="4" w:space="0" w:color="auto"/>
            </w:tcBorders>
            <w:shd w:val="clear" w:color="auto" w:fill="auto"/>
            <w:noWrap/>
            <w:hideMark/>
          </w:tcPr>
          <w:p w14:paraId="16BFF61E" w14:textId="77777777" w:rsidR="00862A01" w:rsidRPr="00872D7E" w:rsidRDefault="00862A01" w:rsidP="00862A01">
            <w:pPr>
              <w:jc w:val="center"/>
              <w:rPr>
                <w:b/>
                <w:bCs/>
                <w:color w:val="000000"/>
                <w:sz w:val="14"/>
                <w:szCs w:val="14"/>
              </w:rPr>
            </w:pPr>
            <w:r w:rsidRPr="00872D7E">
              <w:rPr>
                <w:b/>
                <w:bCs/>
                <w:color w:val="000000"/>
                <w:sz w:val="14"/>
                <w:szCs w:val="14"/>
              </w:rPr>
              <w:t>(14)</w:t>
            </w:r>
          </w:p>
        </w:tc>
        <w:tc>
          <w:tcPr>
            <w:tcW w:w="833" w:type="dxa"/>
            <w:tcBorders>
              <w:top w:val="nil"/>
              <w:left w:val="nil"/>
              <w:bottom w:val="nil"/>
              <w:right w:val="nil"/>
            </w:tcBorders>
            <w:shd w:val="clear" w:color="000000" w:fill="FFFFFF"/>
            <w:vAlign w:val="center"/>
            <w:hideMark/>
          </w:tcPr>
          <w:p w14:paraId="5D518A8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79" w:type="dxa"/>
            <w:tcBorders>
              <w:top w:val="nil"/>
              <w:left w:val="single" w:sz="4" w:space="0" w:color="auto"/>
              <w:bottom w:val="nil"/>
              <w:right w:val="nil"/>
            </w:tcBorders>
            <w:shd w:val="clear" w:color="000000" w:fill="FFFFFF"/>
            <w:vAlign w:val="center"/>
            <w:hideMark/>
          </w:tcPr>
          <w:p w14:paraId="1C3C4EA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50A184C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92" w:type="dxa"/>
            <w:tcBorders>
              <w:top w:val="nil"/>
              <w:left w:val="single" w:sz="4" w:space="0" w:color="auto"/>
              <w:bottom w:val="nil"/>
              <w:right w:val="nil"/>
            </w:tcBorders>
            <w:shd w:val="clear" w:color="000000" w:fill="FFFFFF"/>
            <w:vAlign w:val="center"/>
            <w:hideMark/>
          </w:tcPr>
          <w:p w14:paraId="5F6F9DA8" w14:textId="77777777" w:rsidR="00862A01" w:rsidRPr="00872D7E" w:rsidRDefault="00862A01" w:rsidP="00862A01">
            <w:pPr>
              <w:jc w:val="right"/>
              <w:rPr>
                <w:b/>
                <w:bCs/>
                <w:color w:val="000000"/>
                <w:sz w:val="14"/>
                <w:szCs w:val="14"/>
              </w:rPr>
            </w:pPr>
            <w:r w:rsidRPr="00872D7E">
              <w:rPr>
                <w:b/>
                <w:bCs/>
                <w:color w:val="000000"/>
                <w:sz w:val="14"/>
                <w:szCs w:val="14"/>
              </w:rPr>
              <w:t>1.486</w:t>
            </w:r>
          </w:p>
        </w:tc>
        <w:tc>
          <w:tcPr>
            <w:tcW w:w="759" w:type="dxa"/>
            <w:tcBorders>
              <w:top w:val="nil"/>
              <w:left w:val="single" w:sz="4" w:space="0" w:color="auto"/>
              <w:bottom w:val="nil"/>
              <w:right w:val="nil"/>
            </w:tcBorders>
            <w:shd w:val="clear" w:color="000000" w:fill="FFFFFF"/>
            <w:vAlign w:val="center"/>
            <w:hideMark/>
          </w:tcPr>
          <w:p w14:paraId="58002E4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19FCBB2E" w14:textId="77777777" w:rsidR="00862A01" w:rsidRPr="00872D7E" w:rsidRDefault="00862A01" w:rsidP="00862A01">
            <w:pPr>
              <w:jc w:val="right"/>
              <w:rPr>
                <w:b/>
                <w:bCs/>
                <w:color w:val="000000"/>
                <w:sz w:val="14"/>
                <w:szCs w:val="14"/>
              </w:rPr>
            </w:pPr>
            <w:r w:rsidRPr="00872D7E">
              <w:rPr>
                <w:b/>
                <w:bCs/>
                <w:color w:val="000000"/>
                <w:sz w:val="14"/>
                <w:szCs w:val="14"/>
              </w:rPr>
              <w:t>1.486</w:t>
            </w:r>
          </w:p>
        </w:tc>
      </w:tr>
      <w:tr w:rsidR="00862A01" w:rsidRPr="00872D7E" w14:paraId="4BAB9139" w14:textId="77777777" w:rsidTr="00296257">
        <w:trPr>
          <w:divId w:val="715470775"/>
          <w:trHeight w:val="113"/>
        </w:trPr>
        <w:tc>
          <w:tcPr>
            <w:tcW w:w="566" w:type="dxa"/>
            <w:tcBorders>
              <w:top w:val="nil"/>
              <w:left w:val="single" w:sz="4" w:space="0" w:color="auto"/>
              <w:bottom w:val="nil"/>
              <w:right w:val="nil"/>
            </w:tcBorders>
            <w:shd w:val="clear" w:color="auto" w:fill="auto"/>
            <w:noWrap/>
            <w:hideMark/>
          </w:tcPr>
          <w:p w14:paraId="5E67F547" w14:textId="77777777" w:rsidR="00862A01" w:rsidRPr="00872D7E" w:rsidRDefault="00862A01" w:rsidP="00862A01">
            <w:pPr>
              <w:rPr>
                <w:b/>
                <w:bCs/>
                <w:color w:val="000000"/>
                <w:sz w:val="14"/>
                <w:szCs w:val="14"/>
              </w:rPr>
            </w:pPr>
            <w:r w:rsidRPr="00872D7E">
              <w:rPr>
                <w:b/>
                <w:bCs/>
                <w:color w:val="000000"/>
                <w:sz w:val="14"/>
                <w:szCs w:val="14"/>
              </w:rPr>
              <w:t>VIII.</w:t>
            </w:r>
          </w:p>
        </w:tc>
        <w:tc>
          <w:tcPr>
            <w:tcW w:w="4107" w:type="dxa"/>
            <w:tcBorders>
              <w:top w:val="nil"/>
              <w:left w:val="nil"/>
              <w:bottom w:val="nil"/>
              <w:right w:val="single" w:sz="4" w:space="0" w:color="auto"/>
            </w:tcBorders>
            <w:shd w:val="clear" w:color="auto" w:fill="auto"/>
            <w:hideMark/>
          </w:tcPr>
          <w:p w14:paraId="55398C91" w14:textId="77777777" w:rsidR="00862A01" w:rsidRPr="00872D7E" w:rsidRDefault="00862A01" w:rsidP="00862A01">
            <w:pPr>
              <w:rPr>
                <w:b/>
                <w:bCs/>
                <w:color w:val="000000"/>
                <w:sz w:val="14"/>
                <w:szCs w:val="14"/>
              </w:rPr>
            </w:pPr>
            <w:r w:rsidRPr="00872D7E">
              <w:rPr>
                <w:b/>
                <w:bCs/>
                <w:color w:val="000000"/>
                <w:sz w:val="14"/>
                <w:szCs w:val="14"/>
              </w:rPr>
              <w:t>CARİ VERGİ VARLIĞI</w:t>
            </w:r>
          </w:p>
        </w:tc>
        <w:tc>
          <w:tcPr>
            <w:tcW w:w="709" w:type="dxa"/>
            <w:tcBorders>
              <w:top w:val="nil"/>
              <w:left w:val="nil"/>
              <w:bottom w:val="nil"/>
              <w:right w:val="single" w:sz="4" w:space="0" w:color="auto"/>
            </w:tcBorders>
            <w:shd w:val="clear" w:color="auto" w:fill="auto"/>
            <w:noWrap/>
            <w:hideMark/>
          </w:tcPr>
          <w:p w14:paraId="1BD28679"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nil"/>
              <w:left w:val="nil"/>
              <w:bottom w:val="nil"/>
              <w:right w:val="nil"/>
            </w:tcBorders>
            <w:shd w:val="clear" w:color="000000" w:fill="FFFFFF"/>
            <w:vAlign w:val="center"/>
            <w:hideMark/>
          </w:tcPr>
          <w:p w14:paraId="767D83BB" w14:textId="77777777" w:rsidR="00862A01" w:rsidRPr="00872D7E" w:rsidRDefault="00862A01" w:rsidP="00862A01">
            <w:pPr>
              <w:jc w:val="right"/>
              <w:rPr>
                <w:b/>
                <w:bCs/>
                <w:color w:val="000000"/>
                <w:sz w:val="14"/>
                <w:szCs w:val="14"/>
              </w:rPr>
            </w:pPr>
            <w:r w:rsidRPr="00872D7E">
              <w:rPr>
                <w:b/>
                <w:bCs/>
                <w:color w:val="000000"/>
                <w:sz w:val="14"/>
                <w:szCs w:val="14"/>
              </w:rPr>
              <w:t>34</w:t>
            </w:r>
          </w:p>
        </w:tc>
        <w:tc>
          <w:tcPr>
            <w:tcW w:w="779" w:type="dxa"/>
            <w:tcBorders>
              <w:top w:val="nil"/>
              <w:left w:val="single" w:sz="4" w:space="0" w:color="auto"/>
              <w:bottom w:val="nil"/>
              <w:right w:val="nil"/>
            </w:tcBorders>
            <w:shd w:val="clear" w:color="000000" w:fill="FFFFFF"/>
            <w:vAlign w:val="center"/>
            <w:hideMark/>
          </w:tcPr>
          <w:p w14:paraId="48338A7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nil"/>
              <w:right w:val="nil"/>
            </w:tcBorders>
            <w:shd w:val="clear" w:color="000000" w:fill="FFFFFF"/>
            <w:vAlign w:val="center"/>
            <w:hideMark/>
          </w:tcPr>
          <w:p w14:paraId="7C5459BC" w14:textId="77777777" w:rsidR="00862A01" w:rsidRPr="00872D7E" w:rsidRDefault="00862A01" w:rsidP="00862A01">
            <w:pPr>
              <w:jc w:val="right"/>
              <w:rPr>
                <w:b/>
                <w:bCs/>
                <w:color w:val="000000"/>
                <w:sz w:val="14"/>
                <w:szCs w:val="14"/>
              </w:rPr>
            </w:pPr>
            <w:r w:rsidRPr="00872D7E">
              <w:rPr>
                <w:b/>
                <w:bCs/>
                <w:color w:val="000000"/>
                <w:sz w:val="14"/>
                <w:szCs w:val="14"/>
              </w:rPr>
              <w:t>34</w:t>
            </w:r>
          </w:p>
        </w:tc>
        <w:tc>
          <w:tcPr>
            <w:tcW w:w="692" w:type="dxa"/>
            <w:tcBorders>
              <w:top w:val="nil"/>
              <w:left w:val="single" w:sz="4" w:space="0" w:color="auto"/>
              <w:bottom w:val="nil"/>
              <w:right w:val="nil"/>
            </w:tcBorders>
            <w:shd w:val="clear" w:color="000000" w:fill="FFFFFF"/>
            <w:vAlign w:val="center"/>
            <w:hideMark/>
          </w:tcPr>
          <w:p w14:paraId="4B03855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59" w:type="dxa"/>
            <w:tcBorders>
              <w:top w:val="nil"/>
              <w:left w:val="single" w:sz="4" w:space="0" w:color="auto"/>
              <w:bottom w:val="nil"/>
              <w:right w:val="nil"/>
            </w:tcBorders>
            <w:shd w:val="clear" w:color="000000" w:fill="FFFFFF"/>
            <w:vAlign w:val="center"/>
            <w:hideMark/>
          </w:tcPr>
          <w:p w14:paraId="611E76B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center"/>
            <w:hideMark/>
          </w:tcPr>
          <w:p w14:paraId="68BD9289"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646AEAC6" w14:textId="77777777" w:rsidTr="00296257">
        <w:trPr>
          <w:divId w:val="715470775"/>
          <w:trHeight w:val="113"/>
        </w:trPr>
        <w:tc>
          <w:tcPr>
            <w:tcW w:w="566" w:type="dxa"/>
            <w:tcBorders>
              <w:top w:val="nil"/>
              <w:left w:val="single" w:sz="4" w:space="0" w:color="auto"/>
              <w:right w:val="nil"/>
            </w:tcBorders>
            <w:shd w:val="clear" w:color="auto" w:fill="auto"/>
            <w:noWrap/>
            <w:hideMark/>
          </w:tcPr>
          <w:p w14:paraId="0FEF106D" w14:textId="77777777" w:rsidR="00862A01" w:rsidRPr="00872D7E" w:rsidRDefault="00862A01" w:rsidP="00862A01">
            <w:pPr>
              <w:rPr>
                <w:b/>
                <w:bCs/>
                <w:color w:val="000000"/>
                <w:sz w:val="14"/>
                <w:szCs w:val="14"/>
              </w:rPr>
            </w:pPr>
            <w:r w:rsidRPr="00872D7E">
              <w:rPr>
                <w:b/>
                <w:bCs/>
                <w:color w:val="000000"/>
                <w:sz w:val="14"/>
                <w:szCs w:val="14"/>
              </w:rPr>
              <w:t>IX.</w:t>
            </w:r>
          </w:p>
        </w:tc>
        <w:tc>
          <w:tcPr>
            <w:tcW w:w="4107" w:type="dxa"/>
            <w:tcBorders>
              <w:top w:val="nil"/>
              <w:left w:val="nil"/>
              <w:right w:val="single" w:sz="4" w:space="0" w:color="auto"/>
            </w:tcBorders>
            <w:shd w:val="clear" w:color="auto" w:fill="auto"/>
            <w:hideMark/>
          </w:tcPr>
          <w:p w14:paraId="6155DB78" w14:textId="77777777" w:rsidR="00862A01" w:rsidRPr="00872D7E" w:rsidRDefault="00862A01" w:rsidP="00862A01">
            <w:pPr>
              <w:rPr>
                <w:b/>
                <w:bCs/>
                <w:color w:val="000000"/>
                <w:sz w:val="14"/>
                <w:szCs w:val="14"/>
              </w:rPr>
            </w:pPr>
            <w:r w:rsidRPr="00872D7E">
              <w:rPr>
                <w:b/>
                <w:bCs/>
                <w:color w:val="000000"/>
                <w:sz w:val="14"/>
                <w:szCs w:val="14"/>
              </w:rPr>
              <w:t>ERTELENMİŞ VERGİ VARLIĞI</w:t>
            </w:r>
          </w:p>
        </w:tc>
        <w:tc>
          <w:tcPr>
            <w:tcW w:w="709" w:type="dxa"/>
            <w:tcBorders>
              <w:top w:val="nil"/>
              <w:left w:val="nil"/>
              <w:right w:val="single" w:sz="4" w:space="0" w:color="auto"/>
            </w:tcBorders>
            <w:shd w:val="clear" w:color="auto" w:fill="auto"/>
            <w:noWrap/>
            <w:hideMark/>
          </w:tcPr>
          <w:p w14:paraId="35D17B70" w14:textId="77777777" w:rsidR="00862A01" w:rsidRPr="00872D7E" w:rsidRDefault="00862A01" w:rsidP="00862A01">
            <w:pPr>
              <w:jc w:val="center"/>
              <w:rPr>
                <w:b/>
                <w:bCs/>
                <w:color w:val="000000"/>
                <w:sz w:val="14"/>
                <w:szCs w:val="14"/>
              </w:rPr>
            </w:pPr>
            <w:r w:rsidRPr="00872D7E">
              <w:rPr>
                <w:b/>
                <w:bCs/>
                <w:color w:val="000000"/>
                <w:sz w:val="14"/>
                <w:szCs w:val="14"/>
              </w:rPr>
              <w:t>(15)</w:t>
            </w:r>
          </w:p>
        </w:tc>
        <w:tc>
          <w:tcPr>
            <w:tcW w:w="833" w:type="dxa"/>
            <w:tcBorders>
              <w:top w:val="nil"/>
              <w:left w:val="nil"/>
              <w:right w:val="nil"/>
            </w:tcBorders>
            <w:shd w:val="clear" w:color="000000" w:fill="FFFFFF"/>
            <w:vAlign w:val="center"/>
            <w:hideMark/>
          </w:tcPr>
          <w:p w14:paraId="4079404B" w14:textId="77777777" w:rsidR="00862A01" w:rsidRPr="00872D7E" w:rsidRDefault="00862A01" w:rsidP="00862A01">
            <w:pPr>
              <w:jc w:val="right"/>
              <w:rPr>
                <w:b/>
                <w:bCs/>
                <w:color w:val="000000"/>
                <w:sz w:val="14"/>
                <w:szCs w:val="14"/>
              </w:rPr>
            </w:pPr>
            <w:r w:rsidRPr="00872D7E">
              <w:rPr>
                <w:b/>
                <w:bCs/>
                <w:color w:val="000000"/>
                <w:sz w:val="14"/>
                <w:szCs w:val="14"/>
              </w:rPr>
              <w:t>77.838</w:t>
            </w:r>
          </w:p>
        </w:tc>
        <w:tc>
          <w:tcPr>
            <w:tcW w:w="779" w:type="dxa"/>
            <w:tcBorders>
              <w:top w:val="nil"/>
              <w:left w:val="single" w:sz="4" w:space="0" w:color="auto"/>
              <w:right w:val="nil"/>
            </w:tcBorders>
            <w:shd w:val="clear" w:color="000000" w:fill="FFFFFF"/>
            <w:vAlign w:val="center"/>
            <w:hideMark/>
          </w:tcPr>
          <w:p w14:paraId="06A4577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right w:val="nil"/>
            </w:tcBorders>
            <w:shd w:val="clear" w:color="000000" w:fill="FFFFFF"/>
            <w:vAlign w:val="center"/>
            <w:hideMark/>
          </w:tcPr>
          <w:p w14:paraId="69BC1804" w14:textId="77777777" w:rsidR="00862A01" w:rsidRPr="00872D7E" w:rsidRDefault="00862A01" w:rsidP="00862A01">
            <w:pPr>
              <w:jc w:val="right"/>
              <w:rPr>
                <w:b/>
                <w:bCs/>
                <w:color w:val="000000"/>
                <w:sz w:val="14"/>
                <w:szCs w:val="14"/>
              </w:rPr>
            </w:pPr>
            <w:r w:rsidRPr="00872D7E">
              <w:rPr>
                <w:b/>
                <w:bCs/>
                <w:color w:val="000000"/>
                <w:sz w:val="14"/>
                <w:szCs w:val="14"/>
              </w:rPr>
              <w:t>77.838</w:t>
            </w:r>
          </w:p>
        </w:tc>
        <w:tc>
          <w:tcPr>
            <w:tcW w:w="692" w:type="dxa"/>
            <w:tcBorders>
              <w:top w:val="nil"/>
              <w:left w:val="single" w:sz="4" w:space="0" w:color="auto"/>
              <w:right w:val="nil"/>
            </w:tcBorders>
            <w:shd w:val="clear" w:color="000000" w:fill="FFFFFF"/>
            <w:vAlign w:val="center"/>
            <w:hideMark/>
          </w:tcPr>
          <w:p w14:paraId="6FF23C99" w14:textId="77777777" w:rsidR="00862A01" w:rsidRPr="00872D7E" w:rsidRDefault="00862A01" w:rsidP="00862A01">
            <w:pPr>
              <w:jc w:val="right"/>
              <w:rPr>
                <w:b/>
                <w:bCs/>
                <w:color w:val="000000"/>
                <w:sz w:val="14"/>
                <w:szCs w:val="14"/>
              </w:rPr>
            </w:pPr>
            <w:r w:rsidRPr="00872D7E">
              <w:rPr>
                <w:b/>
                <w:bCs/>
                <w:color w:val="000000"/>
                <w:sz w:val="14"/>
                <w:szCs w:val="14"/>
              </w:rPr>
              <w:t>9.275</w:t>
            </w:r>
          </w:p>
        </w:tc>
        <w:tc>
          <w:tcPr>
            <w:tcW w:w="759" w:type="dxa"/>
            <w:tcBorders>
              <w:top w:val="nil"/>
              <w:left w:val="single" w:sz="4" w:space="0" w:color="auto"/>
              <w:right w:val="nil"/>
            </w:tcBorders>
            <w:shd w:val="clear" w:color="000000" w:fill="FFFFFF"/>
            <w:vAlign w:val="center"/>
            <w:hideMark/>
          </w:tcPr>
          <w:p w14:paraId="3B0BB00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right w:val="single" w:sz="4" w:space="0" w:color="auto"/>
            </w:tcBorders>
            <w:shd w:val="clear" w:color="000000" w:fill="FFFFFF"/>
            <w:vAlign w:val="center"/>
            <w:hideMark/>
          </w:tcPr>
          <w:p w14:paraId="4A6D7694" w14:textId="77777777" w:rsidR="00862A01" w:rsidRPr="00872D7E" w:rsidRDefault="00862A01" w:rsidP="00862A01">
            <w:pPr>
              <w:jc w:val="right"/>
              <w:rPr>
                <w:b/>
                <w:bCs/>
                <w:color w:val="000000"/>
                <w:sz w:val="14"/>
                <w:szCs w:val="14"/>
              </w:rPr>
            </w:pPr>
            <w:r w:rsidRPr="00872D7E">
              <w:rPr>
                <w:b/>
                <w:bCs/>
                <w:color w:val="000000"/>
                <w:sz w:val="14"/>
                <w:szCs w:val="14"/>
              </w:rPr>
              <w:t>9.275</w:t>
            </w:r>
          </w:p>
        </w:tc>
      </w:tr>
      <w:tr w:rsidR="00862A01" w:rsidRPr="00872D7E" w14:paraId="530FA6FF" w14:textId="77777777" w:rsidTr="00296257">
        <w:trPr>
          <w:divId w:val="715470775"/>
          <w:trHeight w:val="113"/>
        </w:trPr>
        <w:tc>
          <w:tcPr>
            <w:tcW w:w="566" w:type="dxa"/>
            <w:tcBorders>
              <w:top w:val="nil"/>
              <w:left w:val="single" w:sz="4" w:space="0" w:color="auto"/>
              <w:bottom w:val="single" w:sz="4" w:space="0" w:color="auto"/>
              <w:right w:val="nil"/>
            </w:tcBorders>
            <w:shd w:val="clear" w:color="auto" w:fill="auto"/>
            <w:noWrap/>
            <w:hideMark/>
          </w:tcPr>
          <w:p w14:paraId="74BD940E" w14:textId="77777777" w:rsidR="00862A01" w:rsidRPr="00872D7E" w:rsidRDefault="00862A01" w:rsidP="00862A01">
            <w:pPr>
              <w:rPr>
                <w:b/>
                <w:bCs/>
                <w:color w:val="000000"/>
                <w:sz w:val="14"/>
                <w:szCs w:val="14"/>
              </w:rPr>
            </w:pPr>
            <w:r w:rsidRPr="00872D7E">
              <w:rPr>
                <w:b/>
                <w:bCs/>
                <w:color w:val="000000"/>
                <w:sz w:val="14"/>
                <w:szCs w:val="14"/>
              </w:rPr>
              <w:t>X.</w:t>
            </w:r>
          </w:p>
        </w:tc>
        <w:tc>
          <w:tcPr>
            <w:tcW w:w="4107" w:type="dxa"/>
            <w:tcBorders>
              <w:top w:val="nil"/>
              <w:left w:val="nil"/>
              <w:bottom w:val="single" w:sz="4" w:space="0" w:color="auto"/>
              <w:right w:val="single" w:sz="4" w:space="0" w:color="auto"/>
            </w:tcBorders>
            <w:shd w:val="clear" w:color="auto" w:fill="auto"/>
            <w:hideMark/>
          </w:tcPr>
          <w:p w14:paraId="27E5CD08" w14:textId="77777777" w:rsidR="00862A01" w:rsidRPr="00872D7E" w:rsidRDefault="00862A01" w:rsidP="00862A01">
            <w:pPr>
              <w:rPr>
                <w:b/>
                <w:bCs/>
                <w:color w:val="000000"/>
                <w:sz w:val="14"/>
                <w:szCs w:val="14"/>
              </w:rPr>
            </w:pPr>
            <w:r w:rsidRPr="00872D7E">
              <w:rPr>
                <w:b/>
                <w:bCs/>
                <w:color w:val="000000"/>
                <w:sz w:val="14"/>
                <w:szCs w:val="14"/>
              </w:rPr>
              <w:t>DİĞER AKTİFLER</w:t>
            </w:r>
          </w:p>
        </w:tc>
        <w:tc>
          <w:tcPr>
            <w:tcW w:w="709" w:type="dxa"/>
            <w:tcBorders>
              <w:top w:val="nil"/>
              <w:left w:val="nil"/>
              <w:bottom w:val="single" w:sz="4" w:space="0" w:color="auto"/>
              <w:right w:val="nil"/>
            </w:tcBorders>
            <w:shd w:val="clear" w:color="auto" w:fill="auto"/>
            <w:noWrap/>
            <w:hideMark/>
          </w:tcPr>
          <w:p w14:paraId="35F76DC5" w14:textId="77777777" w:rsidR="00862A01" w:rsidRPr="00872D7E" w:rsidRDefault="00862A01" w:rsidP="00862A01">
            <w:pPr>
              <w:jc w:val="center"/>
              <w:rPr>
                <w:b/>
                <w:bCs/>
                <w:color w:val="000000"/>
                <w:sz w:val="14"/>
                <w:szCs w:val="14"/>
              </w:rPr>
            </w:pPr>
            <w:r w:rsidRPr="00872D7E">
              <w:rPr>
                <w:b/>
                <w:bCs/>
                <w:color w:val="000000"/>
                <w:sz w:val="14"/>
                <w:szCs w:val="14"/>
              </w:rPr>
              <w:t>(16)</w:t>
            </w:r>
          </w:p>
        </w:tc>
        <w:tc>
          <w:tcPr>
            <w:tcW w:w="833" w:type="dxa"/>
            <w:tcBorders>
              <w:top w:val="nil"/>
              <w:left w:val="single" w:sz="4" w:space="0" w:color="auto"/>
              <w:bottom w:val="single" w:sz="4" w:space="0" w:color="auto"/>
              <w:right w:val="nil"/>
            </w:tcBorders>
            <w:shd w:val="clear" w:color="000000" w:fill="FFFFFF"/>
            <w:vAlign w:val="center"/>
            <w:hideMark/>
          </w:tcPr>
          <w:p w14:paraId="703AEB71" w14:textId="77777777" w:rsidR="00862A01" w:rsidRPr="00872D7E" w:rsidRDefault="00862A01" w:rsidP="00862A01">
            <w:pPr>
              <w:jc w:val="right"/>
              <w:rPr>
                <w:b/>
                <w:bCs/>
                <w:color w:val="000000"/>
                <w:sz w:val="14"/>
                <w:szCs w:val="14"/>
              </w:rPr>
            </w:pPr>
            <w:r w:rsidRPr="00872D7E">
              <w:rPr>
                <w:b/>
                <w:bCs/>
                <w:color w:val="000000"/>
                <w:sz w:val="14"/>
                <w:szCs w:val="14"/>
              </w:rPr>
              <w:t>225.797</w:t>
            </w:r>
          </w:p>
        </w:tc>
        <w:tc>
          <w:tcPr>
            <w:tcW w:w="779" w:type="dxa"/>
            <w:tcBorders>
              <w:top w:val="nil"/>
              <w:left w:val="single" w:sz="4" w:space="0" w:color="auto"/>
              <w:bottom w:val="single" w:sz="4" w:space="0" w:color="auto"/>
              <w:right w:val="nil"/>
            </w:tcBorders>
            <w:shd w:val="clear" w:color="000000" w:fill="FFFFFF"/>
            <w:vAlign w:val="center"/>
            <w:hideMark/>
          </w:tcPr>
          <w:p w14:paraId="1F6735D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2" w:type="dxa"/>
            <w:tcBorders>
              <w:top w:val="nil"/>
              <w:left w:val="single" w:sz="4" w:space="0" w:color="auto"/>
              <w:bottom w:val="single" w:sz="4" w:space="0" w:color="auto"/>
              <w:right w:val="nil"/>
            </w:tcBorders>
            <w:shd w:val="clear" w:color="000000" w:fill="FFFFFF"/>
            <w:vAlign w:val="center"/>
            <w:hideMark/>
          </w:tcPr>
          <w:p w14:paraId="5588CF85" w14:textId="77777777" w:rsidR="00862A01" w:rsidRPr="00872D7E" w:rsidRDefault="00862A01" w:rsidP="00862A01">
            <w:pPr>
              <w:jc w:val="right"/>
              <w:rPr>
                <w:b/>
                <w:bCs/>
                <w:color w:val="000000"/>
                <w:sz w:val="14"/>
                <w:szCs w:val="14"/>
              </w:rPr>
            </w:pPr>
            <w:r w:rsidRPr="00872D7E">
              <w:rPr>
                <w:b/>
                <w:bCs/>
                <w:color w:val="000000"/>
                <w:sz w:val="14"/>
                <w:szCs w:val="14"/>
              </w:rPr>
              <w:t>225.797</w:t>
            </w:r>
          </w:p>
        </w:tc>
        <w:tc>
          <w:tcPr>
            <w:tcW w:w="692" w:type="dxa"/>
            <w:tcBorders>
              <w:top w:val="nil"/>
              <w:left w:val="single" w:sz="4" w:space="0" w:color="auto"/>
              <w:bottom w:val="single" w:sz="4" w:space="0" w:color="auto"/>
              <w:right w:val="nil"/>
            </w:tcBorders>
            <w:shd w:val="clear" w:color="000000" w:fill="FFFFFF"/>
            <w:vAlign w:val="center"/>
            <w:hideMark/>
          </w:tcPr>
          <w:p w14:paraId="7C8E026C" w14:textId="77777777" w:rsidR="00862A01" w:rsidRPr="00872D7E" w:rsidRDefault="00862A01" w:rsidP="00862A01">
            <w:pPr>
              <w:jc w:val="right"/>
              <w:rPr>
                <w:b/>
                <w:bCs/>
                <w:color w:val="000000"/>
                <w:sz w:val="14"/>
                <w:szCs w:val="14"/>
              </w:rPr>
            </w:pPr>
            <w:r w:rsidRPr="00872D7E">
              <w:rPr>
                <w:b/>
                <w:bCs/>
                <w:color w:val="000000"/>
                <w:sz w:val="14"/>
                <w:szCs w:val="14"/>
              </w:rPr>
              <w:t>476</w:t>
            </w:r>
          </w:p>
        </w:tc>
        <w:tc>
          <w:tcPr>
            <w:tcW w:w="759" w:type="dxa"/>
            <w:tcBorders>
              <w:top w:val="nil"/>
              <w:left w:val="single" w:sz="4" w:space="0" w:color="auto"/>
              <w:bottom w:val="single" w:sz="4" w:space="0" w:color="auto"/>
              <w:right w:val="nil"/>
            </w:tcBorders>
            <w:shd w:val="clear" w:color="000000" w:fill="FFFFFF"/>
            <w:vAlign w:val="center"/>
            <w:hideMark/>
          </w:tcPr>
          <w:p w14:paraId="6EFFD2A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53" w:type="dxa"/>
            <w:tcBorders>
              <w:top w:val="nil"/>
              <w:left w:val="single" w:sz="4" w:space="0" w:color="auto"/>
              <w:bottom w:val="single" w:sz="4" w:space="0" w:color="auto"/>
              <w:right w:val="single" w:sz="4" w:space="0" w:color="auto"/>
            </w:tcBorders>
            <w:shd w:val="clear" w:color="000000" w:fill="FFFFFF"/>
            <w:vAlign w:val="center"/>
            <w:hideMark/>
          </w:tcPr>
          <w:p w14:paraId="674166BF" w14:textId="77777777" w:rsidR="00862A01" w:rsidRPr="00872D7E" w:rsidRDefault="00862A01" w:rsidP="00862A01">
            <w:pPr>
              <w:jc w:val="right"/>
              <w:rPr>
                <w:b/>
                <w:bCs/>
                <w:color w:val="000000"/>
                <w:sz w:val="14"/>
                <w:szCs w:val="14"/>
              </w:rPr>
            </w:pPr>
            <w:r w:rsidRPr="00872D7E">
              <w:rPr>
                <w:b/>
                <w:bCs/>
                <w:color w:val="000000"/>
                <w:sz w:val="14"/>
                <w:szCs w:val="14"/>
              </w:rPr>
              <w:t>476</w:t>
            </w:r>
          </w:p>
        </w:tc>
      </w:tr>
      <w:tr w:rsidR="00862A01" w:rsidRPr="00872D7E" w14:paraId="58D93A3A" w14:textId="77777777" w:rsidTr="00296257">
        <w:trPr>
          <w:divId w:val="715470775"/>
          <w:trHeight w:val="113"/>
        </w:trPr>
        <w:tc>
          <w:tcPr>
            <w:tcW w:w="566" w:type="dxa"/>
            <w:tcBorders>
              <w:top w:val="single" w:sz="4" w:space="0" w:color="auto"/>
              <w:left w:val="single" w:sz="4" w:space="0" w:color="auto"/>
              <w:right w:val="nil"/>
            </w:tcBorders>
            <w:shd w:val="clear" w:color="auto" w:fill="auto"/>
            <w:noWrap/>
            <w:hideMark/>
          </w:tcPr>
          <w:p w14:paraId="1A8656E9" w14:textId="77777777" w:rsidR="00862A01" w:rsidRPr="00872D7E" w:rsidRDefault="00862A01" w:rsidP="00862A01">
            <w:pPr>
              <w:rPr>
                <w:b/>
                <w:bCs/>
                <w:color w:val="000000"/>
                <w:sz w:val="14"/>
                <w:szCs w:val="14"/>
              </w:rPr>
            </w:pPr>
            <w:r w:rsidRPr="00872D7E">
              <w:rPr>
                <w:b/>
                <w:bCs/>
                <w:color w:val="000000"/>
                <w:sz w:val="14"/>
                <w:szCs w:val="14"/>
              </w:rPr>
              <w:t> </w:t>
            </w:r>
          </w:p>
        </w:tc>
        <w:tc>
          <w:tcPr>
            <w:tcW w:w="4107" w:type="dxa"/>
            <w:tcBorders>
              <w:top w:val="single" w:sz="4" w:space="0" w:color="auto"/>
              <w:left w:val="nil"/>
              <w:right w:val="single" w:sz="4" w:space="0" w:color="auto"/>
            </w:tcBorders>
            <w:shd w:val="clear" w:color="auto" w:fill="auto"/>
            <w:hideMark/>
          </w:tcPr>
          <w:p w14:paraId="2EC0ED0E" w14:textId="77777777" w:rsidR="00862A01" w:rsidRPr="00872D7E" w:rsidRDefault="00862A01" w:rsidP="00862A01">
            <w:pPr>
              <w:rPr>
                <w:b/>
                <w:bCs/>
                <w:color w:val="000000"/>
                <w:sz w:val="14"/>
                <w:szCs w:val="14"/>
              </w:rPr>
            </w:pPr>
            <w:r w:rsidRPr="00872D7E">
              <w:rPr>
                <w:b/>
                <w:bCs/>
                <w:color w:val="000000"/>
                <w:sz w:val="14"/>
                <w:szCs w:val="14"/>
              </w:rPr>
              <w:t> </w:t>
            </w:r>
          </w:p>
        </w:tc>
        <w:tc>
          <w:tcPr>
            <w:tcW w:w="709" w:type="dxa"/>
            <w:tcBorders>
              <w:top w:val="single" w:sz="4" w:space="0" w:color="auto"/>
              <w:left w:val="nil"/>
              <w:right w:val="single" w:sz="4" w:space="0" w:color="auto"/>
            </w:tcBorders>
            <w:shd w:val="clear" w:color="auto" w:fill="auto"/>
            <w:noWrap/>
            <w:hideMark/>
          </w:tcPr>
          <w:p w14:paraId="3A5305B5" w14:textId="77777777" w:rsidR="00862A01" w:rsidRPr="00872D7E" w:rsidRDefault="00862A01" w:rsidP="00862A01">
            <w:pPr>
              <w:jc w:val="center"/>
              <w:rPr>
                <w:b/>
                <w:bCs/>
                <w:color w:val="000000"/>
                <w:sz w:val="14"/>
                <w:szCs w:val="14"/>
                <w:lang w:eastAsia="tr-TR"/>
              </w:rPr>
            </w:pPr>
            <w:r w:rsidRPr="00872D7E">
              <w:rPr>
                <w:b/>
                <w:bCs/>
                <w:color w:val="000000"/>
                <w:sz w:val="14"/>
                <w:szCs w:val="14"/>
                <w:lang w:eastAsia="tr-TR"/>
              </w:rPr>
              <w:t> </w:t>
            </w:r>
          </w:p>
        </w:tc>
        <w:tc>
          <w:tcPr>
            <w:tcW w:w="833" w:type="dxa"/>
            <w:tcBorders>
              <w:top w:val="single" w:sz="4" w:space="0" w:color="auto"/>
              <w:left w:val="nil"/>
              <w:right w:val="single" w:sz="4" w:space="0" w:color="auto"/>
            </w:tcBorders>
            <w:shd w:val="clear" w:color="auto" w:fill="auto"/>
            <w:vAlign w:val="center"/>
            <w:hideMark/>
          </w:tcPr>
          <w:p w14:paraId="1E0EBF82"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779" w:type="dxa"/>
            <w:tcBorders>
              <w:top w:val="single" w:sz="4" w:space="0" w:color="auto"/>
              <w:left w:val="nil"/>
              <w:right w:val="single" w:sz="4" w:space="0" w:color="auto"/>
            </w:tcBorders>
            <w:shd w:val="clear" w:color="auto" w:fill="auto"/>
            <w:vAlign w:val="center"/>
            <w:hideMark/>
          </w:tcPr>
          <w:p w14:paraId="36D58E08"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852" w:type="dxa"/>
            <w:tcBorders>
              <w:top w:val="single" w:sz="4" w:space="0" w:color="auto"/>
              <w:left w:val="nil"/>
              <w:right w:val="single" w:sz="4" w:space="0" w:color="auto"/>
            </w:tcBorders>
            <w:shd w:val="clear" w:color="auto" w:fill="auto"/>
            <w:vAlign w:val="center"/>
            <w:hideMark/>
          </w:tcPr>
          <w:p w14:paraId="39B69E66"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692" w:type="dxa"/>
            <w:tcBorders>
              <w:top w:val="single" w:sz="4" w:space="0" w:color="auto"/>
              <w:left w:val="nil"/>
              <w:right w:val="single" w:sz="4" w:space="0" w:color="auto"/>
            </w:tcBorders>
            <w:shd w:val="clear" w:color="auto" w:fill="auto"/>
            <w:vAlign w:val="center"/>
            <w:hideMark/>
          </w:tcPr>
          <w:p w14:paraId="2DE79290"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759" w:type="dxa"/>
            <w:tcBorders>
              <w:top w:val="single" w:sz="4" w:space="0" w:color="auto"/>
              <w:left w:val="nil"/>
              <w:right w:val="single" w:sz="4" w:space="0" w:color="auto"/>
            </w:tcBorders>
            <w:shd w:val="clear" w:color="auto" w:fill="auto"/>
            <w:vAlign w:val="center"/>
            <w:hideMark/>
          </w:tcPr>
          <w:p w14:paraId="27EE5A2F"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953" w:type="dxa"/>
            <w:tcBorders>
              <w:top w:val="single" w:sz="4" w:space="0" w:color="auto"/>
              <w:left w:val="nil"/>
              <w:right w:val="single" w:sz="4" w:space="0" w:color="auto"/>
            </w:tcBorders>
            <w:shd w:val="clear" w:color="auto" w:fill="auto"/>
            <w:vAlign w:val="center"/>
            <w:hideMark/>
          </w:tcPr>
          <w:p w14:paraId="7E067591" w14:textId="77777777" w:rsidR="00862A01" w:rsidRPr="00872D7E" w:rsidRDefault="00862A01" w:rsidP="00862A01">
            <w:pPr>
              <w:jc w:val="right"/>
              <w:rPr>
                <w:b/>
                <w:bCs/>
                <w:color w:val="000000"/>
                <w:sz w:val="14"/>
                <w:szCs w:val="14"/>
              </w:rPr>
            </w:pPr>
            <w:r w:rsidRPr="00872D7E">
              <w:rPr>
                <w:b/>
                <w:bCs/>
                <w:color w:val="000000"/>
                <w:sz w:val="14"/>
                <w:szCs w:val="14"/>
              </w:rPr>
              <w:t> </w:t>
            </w:r>
          </w:p>
        </w:tc>
      </w:tr>
      <w:tr w:rsidR="00862A01" w:rsidRPr="00872D7E" w14:paraId="19E3FD5B" w14:textId="77777777" w:rsidTr="00296257">
        <w:trPr>
          <w:divId w:val="715470775"/>
          <w:trHeight w:val="113"/>
        </w:trPr>
        <w:tc>
          <w:tcPr>
            <w:tcW w:w="566" w:type="dxa"/>
            <w:tcBorders>
              <w:left w:val="single" w:sz="4" w:space="0" w:color="auto"/>
              <w:bottom w:val="single" w:sz="4" w:space="0" w:color="auto"/>
              <w:right w:val="nil"/>
            </w:tcBorders>
            <w:shd w:val="clear" w:color="auto" w:fill="auto"/>
            <w:noWrap/>
            <w:hideMark/>
          </w:tcPr>
          <w:p w14:paraId="209BBB55" w14:textId="77777777" w:rsidR="00862A01" w:rsidRPr="00872D7E" w:rsidRDefault="00862A01" w:rsidP="00862A01">
            <w:pPr>
              <w:rPr>
                <w:b/>
                <w:bCs/>
                <w:sz w:val="14"/>
                <w:szCs w:val="14"/>
              </w:rPr>
            </w:pPr>
            <w:r w:rsidRPr="00872D7E">
              <w:rPr>
                <w:b/>
                <w:bCs/>
                <w:sz w:val="14"/>
                <w:szCs w:val="14"/>
              </w:rPr>
              <w:t> </w:t>
            </w:r>
          </w:p>
        </w:tc>
        <w:tc>
          <w:tcPr>
            <w:tcW w:w="4107" w:type="dxa"/>
            <w:tcBorders>
              <w:left w:val="nil"/>
              <w:bottom w:val="single" w:sz="4" w:space="0" w:color="auto"/>
              <w:right w:val="single" w:sz="4" w:space="0" w:color="auto"/>
            </w:tcBorders>
            <w:shd w:val="clear" w:color="auto" w:fill="auto"/>
            <w:hideMark/>
          </w:tcPr>
          <w:p w14:paraId="116E73D0" w14:textId="77777777" w:rsidR="00862A01" w:rsidRPr="00872D7E" w:rsidRDefault="00862A01" w:rsidP="00862A01">
            <w:pPr>
              <w:rPr>
                <w:b/>
                <w:bCs/>
                <w:sz w:val="14"/>
                <w:szCs w:val="14"/>
              </w:rPr>
            </w:pPr>
            <w:r w:rsidRPr="00872D7E">
              <w:rPr>
                <w:b/>
                <w:bCs/>
                <w:sz w:val="14"/>
                <w:szCs w:val="14"/>
              </w:rPr>
              <w:t>VARLIKLAR TOPLAMI</w:t>
            </w:r>
          </w:p>
        </w:tc>
        <w:tc>
          <w:tcPr>
            <w:tcW w:w="709" w:type="dxa"/>
            <w:tcBorders>
              <w:left w:val="nil"/>
              <w:bottom w:val="single" w:sz="4" w:space="0" w:color="auto"/>
              <w:right w:val="single" w:sz="4" w:space="0" w:color="auto"/>
            </w:tcBorders>
            <w:shd w:val="clear" w:color="auto" w:fill="auto"/>
            <w:noWrap/>
            <w:hideMark/>
          </w:tcPr>
          <w:p w14:paraId="555DB46C" w14:textId="77777777" w:rsidR="00862A01" w:rsidRPr="00872D7E" w:rsidRDefault="00862A01" w:rsidP="00862A01">
            <w:pPr>
              <w:jc w:val="center"/>
              <w:rPr>
                <w:b/>
                <w:bCs/>
                <w:sz w:val="14"/>
                <w:szCs w:val="14"/>
                <w:lang w:eastAsia="tr-TR"/>
              </w:rPr>
            </w:pPr>
            <w:r w:rsidRPr="00872D7E">
              <w:rPr>
                <w:b/>
                <w:bCs/>
                <w:sz w:val="14"/>
                <w:szCs w:val="14"/>
                <w:lang w:eastAsia="tr-TR"/>
              </w:rPr>
              <w:t> </w:t>
            </w:r>
          </w:p>
        </w:tc>
        <w:tc>
          <w:tcPr>
            <w:tcW w:w="833" w:type="dxa"/>
            <w:tcBorders>
              <w:left w:val="nil"/>
              <w:bottom w:val="single" w:sz="4" w:space="0" w:color="auto"/>
              <w:right w:val="single" w:sz="4" w:space="0" w:color="auto"/>
            </w:tcBorders>
            <w:shd w:val="clear" w:color="000000" w:fill="FFFFFF"/>
            <w:vAlign w:val="center"/>
            <w:hideMark/>
          </w:tcPr>
          <w:p w14:paraId="06DF867A" w14:textId="77777777" w:rsidR="00862A01" w:rsidRPr="00872D7E" w:rsidRDefault="00862A01" w:rsidP="00862A01">
            <w:pPr>
              <w:jc w:val="right"/>
              <w:rPr>
                <w:b/>
                <w:bCs/>
                <w:color w:val="000000"/>
                <w:sz w:val="14"/>
                <w:szCs w:val="14"/>
              </w:rPr>
            </w:pPr>
            <w:r w:rsidRPr="00872D7E">
              <w:rPr>
                <w:b/>
                <w:bCs/>
                <w:color w:val="000000"/>
                <w:sz w:val="14"/>
                <w:szCs w:val="14"/>
              </w:rPr>
              <w:t>20.526.273</w:t>
            </w:r>
          </w:p>
        </w:tc>
        <w:tc>
          <w:tcPr>
            <w:tcW w:w="779" w:type="dxa"/>
            <w:tcBorders>
              <w:left w:val="nil"/>
              <w:bottom w:val="single" w:sz="4" w:space="0" w:color="auto"/>
              <w:right w:val="single" w:sz="4" w:space="0" w:color="auto"/>
            </w:tcBorders>
            <w:shd w:val="clear" w:color="000000" w:fill="FFFFFF"/>
            <w:vAlign w:val="center"/>
            <w:hideMark/>
          </w:tcPr>
          <w:p w14:paraId="4836B7BC" w14:textId="77777777" w:rsidR="00862A01" w:rsidRPr="00872D7E" w:rsidRDefault="00862A01" w:rsidP="00862A01">
            <w:pPr>
              <w:jc w:val="right"/>
              <w:rPr>
                <w:b/>
                <w:bCs/>
                <w:color w:val="000000"/>
                <w:sz w:val="14"/>
                <w:szCs w:val="14"/>
              </w:rPr>
            </w:pPr>
            <w:r w:rsidRPr="00872D7E">
              <w:rPr>
                <w:b/>
                <w:bCs/>
                <w:color w:val="000000"/>
                <w:sz w:val="14"/>
                <w:szCs w:val="14"/>
              </w:rPr>
              <w:t>14.108.884</w:t>
            </w:r>
          </w:p>
        </w:tc>
        <w:tc>
          <w:tcPr>
            <w:tcW w:w="852" w:type="dxa"/>
            <w:tcBorders>
              <w:left w:val="nil"/>
              <w:bottom w:val="single" w:sz="4" w:space="0" w:color="auto"/>
              <w:right w:val="single" w:sz="4" w:space="0" w:color="auto"/>
            </w:tcBorders>
            <w:shd w:val="clear" w:color="000000" w:fill="FFFFFF"/>
            <w:vAlign w:val="center"/>
            <w:hideMark/>
          </w:tcPr>
          <w:p w14:paraId="763370B9" w14:textId="77777777" w:rsidR="00862A01" w:rsidRPr="00872D7E" w:rsidRDefault="00862A01" w:rsidP="00862A01">
            <w:pPr>
              <w:jc w:val="right"/>
              <w:rPr>
                <w:b/>
                <w:bCs/>
                <w:color w:val="000000"/>
                <w:sz w:val="14"/>
                <w:szCs w:val="14"/>
              </w:rPr>
            </w:pPr>
            <w:r w:rsidRPr="00872D7E">
              <w:rPr>
                <w:b/>
                <w:bCs/>
                <w:color w:val="000000"/>
                <w:sz w:val="14"/>
                <w:szCs w:val="14"/>
              </w:rPr>
              <w:t>34.635.157</w:t>
            </w:r>
          </w:p>
        </w:tc>
        <w:tc>
          <w:tcPr>
            <w:tcW w:w="692" w:type="dxa"/>
            <w:tcBorders>
              <w:left w:val="nil"/>
              <w:bottom w:val="single" w:sz="4" w:space="0" w:color="auto"/>
              <w:right w:val="single" w:sz="4" w:space="0" w:color="auto"/>
            </w:tcBorders>
            <w:shd w:val="clear" w:color="000000" w:fill="FFFFFF"/>
            <w:vAlign w:val="center"/>
            <w:hideMark/>
          </w:tcPr>
          <w:p w14:paraId="2E7869B6" w14:textId="77777777" w:rsidR="00862A01" w:rsidRPr="00872D7E" w:rsidRDefault="00862A01" w:rsidP="00862A01">
            <w:pPr>
              <w:jc w:val="right"/>
              <w:rPr>
                <w:b/>
                <w:bCs/>
                <w:color w:val="000000"/>
                <w:sz w:val="14"/>
                <w:szCs w:val="14"/>
              </w:rPr>
            </w:pPr>
            <w:r w:rsidRPr="00872D7E">
              <w:rPr>
                <w:b/>
                <w:bCs/>
                <w:color w:val="000000"/>
                <w:sz w:val="14"/>
                <w:szCs w:val="14"/>
              </w:rPr>
              <w:t>653.673</w:t>
            </w:r>
          </w:p>
        </w:tc>
        <w:tc>
          <w:tcPr>
            <w:tcW w:w="759" w:type="dxa"/>
            <w:tcBorders>
              <w:left w:val="nil"/>
              <w:bottom w:val="single" w:sz="4" w:space="0" w:color="auto"/>
              <w:right w:val="single" w:sz="4" w:space="0" w:color="auto"/>
            </w:tcBorders>
            <w:shd w:val="clear" w:color="000000" w:fill="FFFFFF"/>
            <w:vAlign w:val="center"/>
            <w:hideMark/>
          </w:tcPr>
          <w:p w14:paraId="5C7C325F" w14:textId="77777777" w:rsidR="00862A01" w:rsidRPr="00872D7E" w:rsidRDefault="00862A01" w:rsidP="00862A01">
            <w:pPr>
              <w:jc w:val="right"/>
              <w:rPr>
                <w:b/>
                <w:bCs/>
                <w:color w:val="000000"/>
                <w:sz w:val="14"/>
                <w:szCs w:val="14"/>
              </w:rPr>
            </w:pPr>
            <w:r w:rsidRPr="00872D7E">
              <w:rPr>
                <w:b/>
                <w:bCs/>
                <w:color w:val="000000"/>
                <w:sz w:val="14"/>
                <w:szCs w:val="14"/>
              </w:rPr>
              <w:t>628</w:t>
            </w:r>
          </w:p>
        </w:tc>
        <w:tc>
          <w:tcPr>
            <w:tcW w:w="953" w:type="dxa"/>
            <w:tcBorders>
              <w:left w:val="nil"/>
              <w:bottom w:val="single" w:sz="4" w:space="0" w:color="auto"/>
              <w:right w:val="single" w:sz="4" w:space="0" w:color="auto"/>
            </w:tcBorders>
            <w:shd w:val="clear" w:color="000000" w:fill="FFFFFF"/>
            <w:vAlign w:val="center"/>
            <w:hideMark/>
          </w:tcPr>
          <w:p w14:paraId="23A55CC0" w14:textId="77777777" w:rsidR="00862A01" w:rsidRPr="00872D7E" w:rsidRDefault="00862A01" w:rsidP="00862A01">
            <w:pPr>
              <w:jc w:val="right"/>
              <w:rPr>
                <w:b/>
                <w:bCs/>
                <w:color w:val="000000"/>
                <w:sz w:val="14"/>
                <w:szCs w:val="14"/>
              </w:rPr>
            </w:pPr>
            <w:r w:rsidRPr="00872D7E">
              <w:rPr>
                <w:b/>
                <w:bCs/>
                <w:color w:val="000000"/>
                <w:sz w:val="14"/>
                <w:szCs w:val="14"/>
              </w:rPr>
              <w:t>654.301</w:t>
            </w:r>
          </w:p>
        </w:tc>
      </w:tr>
    </w:tbl>
    <w:p w14:paraId="55F0AD57" w14:textId="7AC95FAC" w:rsidR="004C39E5" w:rsidRPr="00872D7E" w:rsidRDefault="004C39E5" w:rsidP="009F6E11">
      <w:pPr>
        <w:widowControl w:val="0"/>
        <w:tabs>
          <w:tab w:val="left" w:pos="-426"/>
        </w:tabs>
        <w:ind w:left="-426" w:right="-770"/>
        <w:jc w:val="both"/>
        <w:rPr>
          <w:sz w:val="18"/>
          <w:szCs w:val="18"/>
        </w:rPr>
      </w:pPr>
    </w:p>
    <w:p w14:paraId="6267E125" w14:textId="3EC3618C" w:rsidR="0097685D" w:rsidRPr="00872D7E" w:rsidRDefault="0097685D" w:rsidP="00296257">
      <w:pPr>
        <w:widowControl w:val="0"/>
        <w:ind w:left="567" w:hanging="567"/>
        <w:rPr>
          <w:szCs w:val="20"/>
        </w:rPr>
      </w:pPr>
      <w:r w:rsidRPr="00872D7E">
        <w:rPr>
          <w:sz w:val="18"/>
          <w:szCs w:val="18"/>
          <w:vertAlign w:val="superscript"/>
        </w:rPr>
        <w:t>(*)</w:t>
      </w:r>
      <w:r w:rsidR="00296257" w:rsidRPr="00872D7E">
        <w:rPr>
          <w:sz w:val="18"/>
          <w:szCs w:val="18"/>
          <w:vertAlign w:val="superscript"/>
        </w:rPr>
        <w:tab/>
      </w:r>
      <w:r w:rsidRPr="00872D7E">
        <w:rPr>
          <w:sz w:val="18"/>
          <w:szCs w:val="18"/>
        </w:rPr>
        <w:t xml:space="preserve">3. Bölüm I. Kısımda açıklandığı üzere Banka’nın </w:t>
      </w:r>
      <w:bookmarkStart w:id="16" w:name="_Hlk184047863"/>
      <w:bookmarkStart w:id="17" w:name="_Hlk178343556"/>
      <w:r w:rsidR="00B07002" w:rsidRPr="00872D7E">
        <w:rPr>
          <w:sz w:val="18"/>
          <w:szCs w:val="18"/>
        </w:rPr>
        <w:t>31 Aralık</w:t>
      </w:r>
      <w:bookmarkEnd w:id="16"/>
      <w:r w:rsidR="005D4EF6" w:rsidRPr="00872D7E">
        <w:rPr>
          <w:sz w:val="18"/>
          <w:szCs w:val="18"/>
        </w:rPr>
        <w:t xml:space="preserve"> </w:t>
      </w:r>
      <w:bookmarkEnd w:id="17"/>
      <w:r w:rsidR="005D4EF6" w:rsidRPr="00872D7E">
        <w:rPr>
          <w:sz w:val="18"/>
          <w:szCs w:val="18"/>
        </w:rPr>
        <w:t>2024</w:t>
      </w:r>
      <w:r w:rsidR="00577340" w:rsidRPr="00872D7E">
        <w:rPr>
          <w:sz w:val="18"/>
          <w:szCs w:val="18"/>
        </w:rPr>
        <w:t xml:space="preserve"> </w:t>
      </w:r>
      <w:r w:rsidRPr="00872D7E">
        <w:rPr>
          <w:sz w:val="18"/>
          <w:szCs w:val="18"/>
        </w:rPr>
        <w:t>tarihli konsolide olmayan finansal durum tablosu 1 Ocak 2024 tarihi ile karşılaştırmalı olarak sunulmuştur.</w:t>
      </w:r>
    </w:p>
    <w:p w14:paraId="129EE2BC" w14:textId="77777777" w:rsidR="00E90C60" w:rsidRPr="00872D7E" w:rsidRDefault="00E90C60" w:rsidP="00E90C60">
      <w:pPr>
        <w:widowControl w:val="0"/>
        <w:tabs>
          <w:tab w:val="left" w:pos="-426"/>
        </w:tabs>
        <w:ind w:right="-770"/>
        <w:jc w:val="both"/>
        <w:rPr>
          <w:sz w:val="18"/>
          <w:szCs w:val="18"/>
        </w:rPr>
      </w:pPr>
    </w:p>
    <w:p w14:paraId="134117E8" w14:textId="77777777" w:rsidR="00E90C60" w:rsidRPr="00872D7E" w:rsidRDefault="00E90C60" w:rsidP="00E90C60">
      <w:pPr>
        <w:widowControl w:val="0"/>
        <w:tabs>
          <w:tab w:val="left" w:pos="-426"/>
        </w:tabs>
        <w:ind w:right="-770"/>
        <w:jc w:val="both"/>
        <w:rPr>
          <w:sz w:val="18"/>
          <w:szCs w:val="18"/>
        </w:rPr>
      </w:pPr>
    </w:p>
    <w:p w14:paraId="5E6CD406" w14:textId="77777777" w:rsidR="00E90C60" w:rsidRPr="00872D7E" w:rsidRDefault="00E90C60" w:rsidP="00E90C60">
      <w:pPr>
        <w:widowControl w:val="0"/>
        <w:tabs>
          <w:tab w:val="left" w:pos="-426"/>
        </w:tabs>
        <w:ind w:right="-770"/>
        <w:jc w:val="both"/>
        <w:rPr>
          <w:sz w:val="18"/>
          <w:szCs w:val="18"/>
        </w:rPr>
      </w:pPr>
    </w:p>
    <w:p w14:paraId="63D855B5" w14:textId="4F4DD7EE" w:rsidR="00E90C60" w:rsidRPr="00872D7E" w:rsidRDefault="00E90C60" w:rsidP="00E90C60">
      <w:pPr>
        <w:widowControl w:val="0"/>
        <w:tabs>
          <w:tab w:val="left" w:pos="-426"/>
        </w:tabs>
        <w:ind w:right="-770"/>
        <w:jc w:val="both"/>
        <w:rPr>
          <w:sz w:val="18"/>
          <w:szCs w:val="18"/>
        </w:rPr>
      </w:pPr>
    </w:p>
    <w:p w14:paraId="7861A7C4" w14:textId="77777777" w:rsidR="003700F4" w:rsidRPr="00872D7E" w:rsidRDefault="003700F4" w:rsidP="00E90C60">
      <w:pPr>
        <w:widowControl w:val="0"/>
        <w:tabs>
          <w:tab w:val="left" w:pos="-426"/>
        </w:tabs>
        <w:ind w:right="-770"/>
        <w:jc w:val="both"/>
        <w:rPr>
          <w:sz w:val="18"/>
          <w:szCs w:val="18"/>
        </w:rPr>
      </w:pPr>
    </w:p>
    <w:p w14:paraId="6E7FC7C9" w14:textId="77777777" w:rsidR="00E90C60" w:rsidRPr="00872D7E" w:rsidRDefault="00E90C60" w:rsidP="00E90C60">
      <w:pPr>
        <w:widowControl w:val="0"/>
        <w:tabs>
          <w:tab w:val="left" w:pos="-426"/>
        </w:tabs>
        <w:ind w:right="-770"/>
        <w:jc w:val="both"/>
        <w:rPr>
          <w:sz w:val="18"/>
          <w:szCs w:val="18"/>
        </w:rPr>
      </w:pPr>
    </w:p>
    <w:p w14:paraId="6E51B202" w14:textId="77777777" w:rsidR="00E90C60" w:rsidRPr="00872D7E" w:rsidRDefault="00E90C60" w:rsidP="00E90C60">
      <w:pPr>
        <w:widowControl w:val="0"/>
        <w:tabs>
          <w:tab w:val="left" w:pos="-426"/>
        </w:tabs>
        <w:ind w:right="-770"/>
        <w:jc w:val="both"/>
        <w:rPr>
          <w:sz w:val="18"/>
          <w:szCs w:val="18"/>
        </w:rPr>
      </w:pPr>
    </w:p>
    <w:p w14:paraId="5FFC3DF3" w14:textId="77777777" w:rsidR="00EA10F4" w:rsidRPr="00872D7E" w:rsidRDefault="00EA10F4" w:rsidP="00E90C60">
      <w:pPr>
        <w:widowControl w:val="0"/>
        <w:tabs>
          <w:tab w:val="left" w:pos="-426"/>
        </w:tabs>
        <w:ind w:right="-770"/>
        <w:jc w:val="both"/>
        <w:rPr>
          <w:sz w:val="18"/>
          <w:szCs w:val="18"/>
        </w:rPr>
      </w:pPr>
    </w:p>
    <w:p w14:paraId="4E802CF6" w14:textId="77777777" w:rsidR="00296257" w:rsidRPr="00872D7E" w:rsidRDefault="00296257" w:rsidP="00E90C60">
      <w:pPr>
        <w:widowControl w:val="0"/>
        <w:tabs>
          <w:tab w:val="left" w:pos="-426"/>
        </w:tabs>
        <w:ind w:right="-770"/>
        <w:jc w:val="both"/>
        <w:rPr>
          <w:sz w:val="18"/>
          <w:szCs w:val="18"/>
        </w:rPr>
      </w:pPr>
    </w:p>
    <w:p w14:paraId="72AF3DF8" w14:textId="77777777" w:rsidR="00296257" w:rsidRPr="00872D7E" w:rsidRDefault="00296257" w:rsidP="00E90C60">
      <w:pPr>
        <w:widowControl w:val="0"/>
        <w:tabs>
          <w:tab w:val="left" w:pos="-426"/>
        </w:tabs>
        <w:ind w:right="-770"/>
        <w:jc w:val="both"/>
        <w:rPr>
          <w:sz w:val="18"/>
          <w:szCs w:val="18"/>
        </w:rPr>
      </w:pPr>
    </w:p>
    <w:p w14:paraId="5B19945B" w14:textId="77777777" w:rsidR="00296257" w:rsidRPr="00872D7E" w:rsidRDefault="00296257" w:rsidP="00E90C60">
      <w:pPr>
        <w:widowControl w:val="0"/>
        <w:tabs>
          <w:tab w:val="left" w:pos="-426"/>
        </w:tabs>
        <w:ind w:right="-770"/>
        <w:jc w:val="both"/>
        <w:rPr>
          <w:sz w:val="18"/>
          <w:szCs w:val="18"/>
        </w:rPr>
      </w:pPr>
    </w:p>
    <w:p w14:paraId="38DA1A5B" w14:textId="77777777" w:rsidR="00296257" w:rsidRPr="00872D7E" w:rsidRDefault="00296257" w:rsidP="00E90C60">
      <w:pPr>
        <w:widowControl w:val="0"/>
        <w:tabs>
          <w:tab w:val="left" w:pos="-426"/>
        </w:tabs>
        <w:ind w:right="-770"/>
        <w:jc w:val="both"/>
        <w:rPr>
          <w:sz w:val="18"/>
          <w:szCs w:val="18"/>
        </w:rPr>
      </w:pPr>
    </w:p>
    <w:p w14:paraId="6E901747" w14:textId="77777777" w:rsidR="00296257" w:rsidRPr="00872D7E" w:rsidRDefault="00296257" w:rsidP="00E90C60">
      <w:pPr>
        <w:widowControl w:val="0"/>
        <w:tabs>
          <w:tab w:val="left" w:pos="-426"/>
        </w:tabs>
        <w:ind w:right="-770"/>
        <w:jc w:val="both"/>
        <w:rPr>
          <w:sz w:val="18"/>
          <w:szCs w:val="18"/>
        </w:rPr>
      </w:pPr>
    </w:p>
    <w:p w14:paraId="4DEA5074" w14:textId="77777777" w:rsidR="00296257" w:rsidRPr="00872D7E" w:rsidRDefault="00296257" w:rsidP="00E90C60">
      <w:pPr>
        <w:widowControl w:val="0"/>
        <w:tabs>
          <w:tab w:val="left" w:pos="-426"/>
        </w:tabs>
        <w:ind w:right="-770"/>
        <w:jc w:val="both"/>
        <w:rPr>
          <w:sz w:val="18"/>
          <w:szCs w:val="18"/>
        </w:rPr>
      </w:pPr>
    </w:p>
    <w:p w14:paraId="0E4E878D" w14:textId="77777777" w:rsidR="00EA10F4" w:rsidRPr="00872D7E" w:rsidRDefault="00EA10F4" w:rsidP="00E90C60">
      <w:pPr>
        <w:widowControl w:val="0"/>
        <w:tabs>
          <w:tab w:val="left" w:pos="-426"/>
        </w:tabs>
        <w:ind w:right="-770"/>
        <w:jc w:val="both"/>
        <w:rPr>
          <w:sz w:val="18"/>
          <w:szCs w:val="18"/>
        </w:rPr>
      </w:pPr>
    </w:p>
    <w:p w14:paraId="55FA535B" w14:textId="77777777" w:rsidR="00E90C60" w:rsidRPr="00872D7E" w:rsidRDefault="00E90C60" w:rsidP="00E90C60">
      <w:pPr>
        <w:widowControl w:val="0"/>
        <w:tabs>
          <w:tab w:val="left" w:pos="-426"/>
        </w:tabs>
        <w:ind w:right="-770"/>
        <w:jc w:val="both"/>
        <w:rPr>
          <w:sz w:val="18"/>
          <w:szCs w:val="18"/>
        </w:rPr>
      </w:pPr>
    </w:p>
    <w:p w14:paraId="6322F640" w14:textId="79C50176" w:rsidR="003700F4" w:rsidRPr="00872D7E" w:rsidRDefault="00E90C60" w:rsidP="00296257">
      <w:pPr>
        <w:widowControl w:val="0"/>
        <w:jc w:val="center"/>
        <w:rPr>
          <w:szCs w:val="20"/>
        </w:rPr>
      </w:pPr>
      <w:r w:rsidRPr="00872D7E">
        <w:rPr>
          <w:szCs w:val="20"/>
        </w:rPr>
        <w:t>İlişikteki açıklama ve dipnotlar bu finansal tabloların tamamlayıcı bir parçasıdır</w:t>
      </w:r>
      <w:r w:rsidR="0075225D" w:rsidRPr="00872D7E">
        <w:rPr>
          <w:szCs w:val="20"/>
        </w:rPr>
        <w:t>.</w:t>
      </w:r>
      <w:r w:rsidR="003700F4" w:rsidRPr="00872D7E">
        <w:rPr>
          <w:szCs w:val="20"/>
        </w:rPr>
        <w:br w:type="page"/>
      </w:r>
    </w:p>
    <w:tbl>
      <w:tblPr>
        <w:tblW w:w="5000" w:type="pct"/>
        <w:tblCellMar>
          <w:left w:w="70" w:type="dxa"/>
          <w:right w:w="70" w:type="dxa"/>
        </w:tblCellMar>
        <w:tblLook w:val="04A0" w:firstRow="1" w:lastRow="0" w:firstColumn="1" w:lastColumn="0" w:noHBand="0" w:noVBand="1"/>
      </w:tblPr>
      <w:tblGrid>
        <w:gridCol w:w="630"/>
        <w:gridCol w:w="3560"/>
        <w:gridCol w:w="769"/>
        <w:gridCol w:w="771"/>
        <w:gridCol w:w="840"/>
        <w:gridCol w:w="979"/>
        <w:gridCol w:w="838"/>
        <w:gridCol w:w="699"/>
        <w:gridCol w:w="1109"/>
      </w:tblGrid>
      <w:tr w:rsidR="00862A01" w:rsidRPr="00872D7E" w14:paraId="2208DB75" w14:textId="77777777" w:rsidTr="00862A01">
        <w:trPr>
          <w:divId w:val="2049453210"/>
          <w:trHeight w:val="20"/>
        </w:trPr>
        <w:tc>
          <w:tcPr>
            <w:tcW w:w="2055" w:type="pct"/>
            <w:gridSpan w:val="2"/>
            <w:vMerge w:val="restart"/>
            <w:tcBorders>
              <w:top w:val="single" w:sz="4" w:space="0" w:color="auto"/>
              <w:left w:val="single" w:sz="4" w:space="0" w:color="auto"/>
              <w:bottom w:val="single" w:sz="4" w:space="0" w:color="000000"/>
              <w:right w:val="nil"/>
            </w:tcBorders>
            <w:shd w:val="clear" w:color="000000" w:fill="FFFFFF"/>
            <w:vAlign w:val="center"/>
            <w:hideMark/>
          </w:tcPr>
          <w:p w14:paraId="1F00B5F5" w14:textId="67BBEB46" w:rsidR="00862A01" w:rsidRPr="00872D7E" w:rsidRDefault="00862A01" w:rsidP="00862A01">
            <w:pPr>
              <w:jc w:val="center"/>
              <w:rPr>
                <w:b/>
                <w:bCs/>
                <w:color w:val="000000"/>
                <w:sz w:val="14"/>
                <w:szCs w:val="14"/>
              </w:rPr>
            </w:pPr>
            <w:r w:rsidRPr="00872D7E">
              <w:rPr>
                <w:b/>
                <w:bCs/>
                <w:color w:val="000000"/>
                <w:sz w:val="14"/>
                <w:szCs w:val="14"/>
              </w:rPr>
              <w:lastRenderedPageBreak/>
              <w:t>YÜKÜMLÜLÜKLER</w:t>
            </w:r>
          </w:p>
        </w:tc>
        <w:tc>
          <w:tcPr>
            <w:tcW w:w="3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512AF4" w14:textId="77777777" w:rsidR="00862A01" w:rsidRPr="00872D7E" w:rsidRDefault="00862A01" w:rsidP="00862A01">
            <w:pPr>
              <w:jc w:val="center"/>
              <w:rPr>
                <w:b/>
                <w:bCs/>
                <w:color w:val="000000"/>
                <w:sz w:val="14"/>
                <w:szCs w:val="14"/>
              </w:rPr>
            </w:pPr>
            <w:r w:rsidRPr="00872D7E">
              <w:rPr>
                <w:b/>
                <w:bCs/>
                <w:color w:val="000000"/>
                <w:sz w:val="14"/>
                <w:szCs w:val="14"/>
              </w:rPr>
              <w:t>Dipnot (Beşinci Bölüm-II)</w:t>
            </w:r>
          </w:p>
        </w:tc>
        <w:tc>
          <w:tcPr>
            <w:tcW w:w="1270" w:type="pct"/>
            <w:gridSpan w:val="3"/>
            <w:tcBorders>
              <w:top w:val="single" w:sz="4" w:space="0" w:color="auto"/>
              <w:left w:val="nil"/>
              <w:bottom w:val="single" w:sz="4" w:space="0" w:color="auto"/>
              <w:right w:val="single" w:sz="4" w:space="0" w:color="000000"/>
            </w:tcBorders>
            <w:shd w:val="clear" w:color="auto" w:fill="auto"/>
            <w:vAlign w:val="bottom"/>
            <w:hideMark/>
          </w:tcPr>
          <w:p w14:paraId="39E9C043" w14:textId="77777777" w:rsidR="00862A01" w:rsidRPr="00872D7E" w:rsidRDefault="00862A01" w:rsidP="00862A01">
            <w:pPr>
              <w:jc w:val="center"/>
              <w:rPr>
                <w:b/>
                <w:bCs/>
                <w:color w:val="000000"/>
                <w:sz w:val="14"/>
                <w:szCs w:val="14"/>
              </w:rPr>
            </w:pPr>
            <w:r w:rsidRPr="00872D7E">
              <w:rPr>
                <w:b/>
                <w:bCs/>
                <w:color w:val="000000"/>
                <w:sz w:val="14"/>
                <w:szCs w:val="14"/>
              </w:rPr>
              <w:t>31 Aralık 2024</w:t>
            </w:r>
          </w:p>
        </w:tc>
        <w:tc>
          <w:tcPr>
            <w:tcW w:w="1298" w:type="pct"/>
            <w:gridSpan w:val="3"/>
            <w:tcBorders>
              <w:top w:val="single" w:sz="4" w:space="0" w:color="auto"/>
              <w:left w:val="nil"/>
              <w:bottom w:val="single" w:sz="4" w:space="0" w:color="auto"/>
              <w:right w:val="single" w:sz="4" w:space="0" w:color="000000"/>
            </w:tcBorders>
            <w:shd w:val="clear" w:color="auto" w:fill="auto"/>
            <w:vAlign w:val="bottom"/>
            <w:hideMark/>
          </w:tcPr>
          <w:p w14:paraId="57819A4A" w14:textId="77777777" w:rsidR="00862A01" w:rsidRPr="00872D7E" w:rsidRDefault="00862A01" w:rsidP="00862A01">
            <w:pPr>
              <w:jc w:val="center"/>
              <w:rPr>
                <w:b/>
                <w:bCs/>
                <w:color w:val="000000"/>
                <w:sz w:val="14"/>
                <w:szCs w:val="14"/>
              </w:rPr>
            </w:pPr>
            <w:r w:rsidRPr="00872D7E">
              <w:rPr>
                <w:b/>
                <w:bCs/>
                <w:color w:val="000000"/>
                <w:sz w:val="14"/>
                <w:szCs w:val="14"/>
              </w:rPr>
              <w:t xml:space="preserve">1 Ocak 2024 </w:t>
            </w:r>
            <w:r w:rsidRPr="00872D7E">
              <w:rPr>
                <w:b/>
                <w:bCs/>
                <w:color w:val="000000"/>
                <w:sz w:val="14"/>
                <w:szCs w:val="14"/>
                <w:vertAlign w:val="superscript"/>
              </w:rPr>
              <w:t>(*)</w:t>
            </w:r>
          </w:p>
        </w:tc>
      </w:tr>
      <w:tr w:rsidR="00862A01" w:rsidRPr="00872D7E" w14:paraId="767D670A" w14:textId="77777777" w:rsidTr="00862A01">
        <w:trPr>
          <w:divId w:val="2049453210"/>
          <w:trHeight w:val="20"/>
        </w:trPr>
        <w:tc>
          <w:tcPr>
            <w:tcW w:w="2055" w:type="pct"/>
            <w:gridSpan w:val="2"/>
            <w:vMerge/>
            <w:tcBorders>
              <w:top w:val="single" w:sz="4" w:space="0" w:color="auto"/>
              <w:left w:val="single" w:sz="4" w:space="0" w:color="auto"/>
              <w:bottom w:val="single" w:sz="4" w:space="0" w:color="000000"/>
              <w:right w:val="nil"/>
            </w:tcBorders>
            <w:vAlign w:val="center"/>
            <w:hideMark/>
          </w:tcPr>
          <w:p w14:paraId="48D7D16C" w14:textId="77777777" w:rsidR="00862A01" w:rsidRPr="00872D7E" w:rsidRDefault="00862A01" w:rsidP="00862A01">
            <w:pPr>
              <w:rPr>
                <w:b/>
                <w:bCs/>
                <w:color w:val="000000"/>
                <w:sz w:val="14"/>
                <w:szCs w:val="14"/>
              </w:rPr>
            </w:pPr>
          </w:p>
        </w:tc>
        <w:tc>
          <w:tcPr>
            <w:tcW w:w="377" w:type="pct"/>
            <w:vMerge/>
            <w:tcBorders>
              <w:top w:val="single" w:sz="4" w:space="0" w:color="auto"/>
              <w:left w:val="single" w:sz="4" w:space="0" w:color="auto"/>
              <w:bottom w:val="single" w:sz="4" w:space="0" w:color="000000"/>
              <w:right w:val="single" w:sz="4" w:space="0" w:color="auto"/>
            </w:tcBorders>
            <w:vAlign w:val="center"/>
            <w:hideMark/>
          </w:tcPr>
          <w:p w14:paraId="1A8A05BC" w14:textId="77777777" w:rsidR="00862A01" w:rsidRPr="00872D7E" w:rsidRDefault="00862A01" w:rsidP="00862A01">
            <w:pPr>
              <w:rPr>
                <w:b/>
                <w:bCs/>
                <w:color w:val="000000"/>
                <w:sz w:val="14"/>
                <w:szCs w:val="14"/>
              </w:rPr>
            </w:pPr>
          </w:p>
        </w:tc>
        <w:tc>
          <w:tcPr>
            <w:tcW w:w="378" w:type="pct"/>
            <w:tcBorders>
              <w:top w:val="single" w:sz="4" w:space="0" w:color="auto"/>
              <w:left w:val="nil"/>
              <w:bottom w:val="nil"/>
              <w:right w:val="single" w:sz="4" w:space="0" w:color="auto"/>
            </w:tcBorders>
            <w:shd w:val="clear" w:color="auto" w:fill="auto"/>
            <w:vAlign w:val="center"/>
            <w:hideMark/>
          </w:tcPr>
          <w:p w14:paraId="3C0ACD8C" w14:textId="77777777" w:rsidR="00862A01" w:rsidRPr="00872D7E" w:rsidRDefault="00862A01" w:rsidP="00862A01">
            <w:pPr>
              <w:jc w:val="center"/>
              <w:rPr>
                <w:b/>
                <w:bCs/>
                <w:color w:val="000000"/>
                <w:sz w:val="14"/>
                <w:szCs w:val="14"/>
              </w:rPr>
            </w:pPr>
            <w:r w:rsidRPr="00872D7E">
              <w:rPr>
                <w:b/>
                <w:bCs/>
                <w:color w:val="000000"/>
                <w:sz w:val="14"/>
                <w:szCs w:val="14"/>
              </w:rPr>
              <w:t>TP</w:t>
            </w:r>
          </w:p>
        </w:tc>
        <w:tc>
          <w:tcPr>
            <w:tcW w:w="412" w:type="pct"/>
            <w:tcBorders>
              <w:top w:val="single" w:sz="4" w:space="0" w:color="auto"/>
              <w:left w:val="nil"/>
              <w:bottom w:val="nil"/>
              <w:right w:val="single" w:sz="4" w:space="0" w:color="auto"/>
            </w:tcBorders>
            <w:shd w:val="clear" w:color="auto" w:fill="auto"/>
            <w:vAlign w:val="center"/>
            <w:hideMark/>
          </w:tcPr>
          <w:p w14:paraId="057C3BF2" w14:textId="77777777" w:rsidR="00862A01" w:rsidRPr="00872D7E" w:rsidRDefault="00862A01" w:rsidP="00862A01">
            <w:pPr>
              <w:jc w:val="center"/>
              <w:rPr>
                <w:b/>
                <w:bCs/>
                <w:color w:val="000000"/>
                <w:sz w:val="14"/>
                <w:szCs w:val="14"/>
              </w:rPr>
            </w:pPr>
            <w:r w:rsidRPr="00872D7E">
              <w:rPr>
                <w:b/>
                <w:bCs/>
                <w:color w:val="000000"/>
                <w:sz w:val="14"/>
                <w:szCs w:val="14"/>
              </w:rPr>
              <w:t>YP</w:t>
            </w:r>
          </w:p>
        </w:tc>
        <w:tc>
          <w:tcPr>
            <w:tcW w:w="480" w:type="pct"/>
            <w:tcBorders>
              <w:top w:val="single" w:sz="4" w:space="0" w:color="auto"/>
              <w:left w:val="nil"/>
              <w:bottom w:val="nil"/>
              <w:right w:val="single" w:sz="4" w:space="0" w:color="auto"/>
            </w:tcBorders>
            <w:shd w:val="clear" w:color="auto" w:fill="auto"/>
            <w:vAlign w:val="center"/>
            <w:hideMark/>
          </w:tcPr>
          <w:p w14:paraId="0A145C5A" w14:textId="77777777" w:rsidR="00862A01" w:rsidRPr="00872D7E" w:rsidRDefault="00862A01" w:rsidP="00862A01">
            <w:pPr>
              <w:jc w:val="center"/>
              <w:rPr>
                <w:b/>
                <w:bCs/>
                <w:color w:val="000000"/>
                <w:sz w:val="14"/>
                <w:szCs w:val="14"/>
              </w:rPr>
            </w:pPr>
            <w:r w:rsidRPr="00872D7E">
              <w:rPr>
                <w:b/>
                <w:bCs/>
                <w:color w:val="000000"/>
                <w:sz w:val="14"/>
                <w:szCs w:val="14"/>
              </w:rPr>
              <w:t>Toplam</w:t>
            </w:r>
          </w:p>
        </w:tc>
        <w:tc>
          <w:tcPr>
            <w:tcW w:w="411" w:type="pct"/>
            <w:tcBorders>
              <w:top w:val="single" w:sz="4" w:space="0" w:color="auto"/>
              <w:left w:val="nil"/>
              <w:bottom w:val="nil"/>
              <w:right w:val="single" w:sz="4" w:space="0" w:color="auto"/>
            </w:tcBorders>
            <w:shd w:val="clear" w:color="auto" w:fill="auto"/>
            <w:vAlign w:val="center"/>
            <w:hideMark/>
          </w:tcPr>
          <w:p w14:paraId="4A27AD54" w14:textId="77777777" w:rsidR="00862A01" w:rsidRPr="00872D7E" w:rsidRDefault="00862A01" w:rsidP="00862A01">
            <w:pPr>
              <w:jc w:val="center"/>
              <w:rPr>
                <w:b/>
                <w:bCs/>
                <w:color w:val="000000"/>
                <w:sz w:val="14"/>
                <w:szCs w:val="14"/>
              </w:rPr>
            </w:pPr>
            <w:r w:rsidRPr="00872D7E">
              <w:rPr>
                <w:b/>
                <w:bCs/>
                <w:color w:val="000000"/>
                <w:sz w:val="14"/>
                <w:szCs w:val="14"/>
              </w:rPr>
              <w:t>TP</w:t>
            </w:r>
          </w:p>
        </w:tc>
        <w:tc>
          <w:tcPr>
            <w:tcW w:w="343" w:type="pct"/>
            <w:tcBorders>
              <w:top w:val="single" w:sz="4" w:space="0" w:color="auto"/>
              <w:left w:val="nil"/>
              <w:bottom w:val="nil"/>
              <w:right w:val="single" w:sz="4" w:space="0" w:color="auto"/>
            </w:tcBorders>
            <w:shd w:val="clear" w:color="auto" w:fill="auto"/>
            <w:vAlign w:val="center"/>
            <w:hideMark/>
          </w:tcPr>
          <w:p w14:paraId="6F31580A" w14:textId="77777777" w:rsidR="00862A01" w:rsidRPr="00872D7E" w:rsidRDefault="00862A01" w:rsidP="00862A01">
            <w:pPr>
              <w:jc w:val="center"/>
              <w:rPr>
                <w:b/>
                <w:bCs/>
                <w:color w:val="000000"/>
                <w:sz w:val="14"/>
                <w:szCs w:val="14"/>
              </w:rPr>
            </w:pPr>
            <w:r w:rsidRPr="00872D7E">
              <w:rPr>
                <w:b/>
                <w:bCs/>
                <w:color w:val="000000"/>
                <w:sz w:val="14"/>
                <w:szCs w:val="14"/>
              </w:rPr>
              <w:t>YP</w:t>
            </w:r>
          </w:p>
        </w:tc>
        <w:tc>
          <w:tcPr>
            <w:tcW w:w="544" w:type="pct"/>
            <w:tcBorders>
              <w:top w:val="single" w:sz="4" w:space="0" w:color="auto"/>
              <w:left w:val="nil"/>
              <w:bottom w:val="nil"/>
              <w:right w:val="single" w:sz="4" w:space="0" w:color="auto"/>
            </w:tcBorders>
            <w:shd w:val="clear" w:color="auto" w:fill="auto"/>
            <w:vAlign w:val="center"/>
            <w:hideMark/>
          </w:tcPr>
          <w:p w14:paraId="530B6062" w14:textId="77777777" w:rsidR="00862A01" w:rsidRPr="00872D7E" w:rsidRDefault="00862A01" w:rsidP="00862A01">
            <w:pPr>
              <w:jc w:val="center"/>
              <w:rPr>
                <w:b/>
                <w:bCs/>
                <w:color w:val="000000"/>
                <w:sz w:val="14"/>
                <w:szCs w:val="14"/>
              </w:rPr>
            </w:pPr>
            <w:r w:rsidRPr="00872D7E">
              <w:rPr>
                <w:b/>
                <w:bCs/>
                <w:color w:val="000000"/>
                <w:sz w:val="14"/>
                <w:szCs w:val="14"/>
              </w:rPr>
              <w:t>Toplam</w:t>
            </w:r>
          </w:p>
        </w:tc>
      </w:tr>
      <w:tr w:rsidR="00862A01" w:rsidRPr="00872D7E" w14:paraId="75F6BB7D" w14:textId="77777777" w:rsidTr="00862A01">
        <w:trPr>
          <w:divId w:val="2049453210"/>
          <w:trHeight w:val="20"/>
        </w:trPr>
        <w:tc>
          <w:tcPr>
            <w:tcW w:w="309" w:type="pct"/>
            <w:tcBorders>
              <w:top w:val="nil"/>
              <w:left w:val="single" w:sz="4" w:space="0" w:color="auto"/>
              <w:bottom w:val="nil"/>
              <w:right w:val="nil"/>
            </w:tcBorders>
            <w:shd w:val="clear" w:color="auto" w:fill="auto"/>
            <w:vAlign w:val="center"/>
            <w:hideMark/>
          </w:tcPr>
          <w:p w14:paraId="43E6E9DC" w14:textId="77777777" w:rsidR="00862A01" w:rsidRPr="00872D7E" w:rsidRDefault="00862A01" w:rsidP="00862A01">
            <w:pPr>
              <w:jc w:val="both"/>
              <w:rPr>
                <w:b/>
                <w:bCs/>
                <w:color w:val="000000"/>
                <w:sz w:val="14"/>
                <w:szCs w:val="14"/>
              </w:rPr>
            </w:pPr>
            <w:r w:rsidRPr="00872D7E">
              <w:rPr>
                <w:b/>
                <w:bCs/>
                <w:color w:val="000000"/>
                <w:sz w:val="14"/>
                <w:szCs w:val="14"/>
              </w:rPr>
              <w:t> </w:t>
            </w:r>
          </w:p>
        </w:tc>
        <w:tc>
          <w:tcPr>
            <w:tcW w:w="1746" w:type="pct"/>
            <w:tcBorders>
              <w:top w:val="nil"/>
              <w:left w:val="nil"/>
              <w:bottom w:val="nil"/>
              <w:right w:val="nil"/>
            </w:tcBorders>
            <w:shd w:val="clear" w:color="auto" w:fill="auto"/>
            <w:noWrap/>
            <w:vAlign w:val="center"/>
            <w:hideMark/>
          </w:tcPr>
          <w:p w14:paraId="0CA68740" w14:textId="77777777" w:rsidR="00862A01" w:rsidRPr="00872D7E" w:rsidRDefault="00862A01" w:rsidP="00862A01">
            <w:pPr>
              <w:jc w:val="both"/>
              <w:rPr>
                <w:b/>
                <w:bCs/>
                <w:color w:val="000000"/>
                <w:sz w:val="14"/>
                <w:szCs w:val="14"/>
              </w:rPr>
            </w:pPr>
          </w:p>
        </w:tc>
        <w:tc>
          <w:tcPr>
            <w:tcW w:w="377" w:type="pct"/>
            <w:tcBorders>
              <w:top w:val="single" w:sz="4" w:space="0" w:color="auto"/>
              <w:left w:val="single" w:sz="4" w:space="0" w:color="auto"/>
              <w:bottom w:val="nil"/>
              <w:right w:val="single" w:sz="4" w:space="0" w:color="auto"/>
            </w:tcBorders>
            <w:shd w:val="clear" w:color="auto" w:fill="auto"/>
            <w:vAlign w:val="center"/>
            <w:hideMark/>
          </w:tcPr>
          <w:p w14:paraId="6B9F4C0F"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378" w:type="pct"/>
            <w:tcBorders>
              <w:top w:val="single" w:sz="4" w:space="0" w:color="auto"/>
              <w:left w:val="nil"/>
              <w:bottom w:val="nil"/>
              <w:right w:val="nil"/>
            </w:tcBorders>
            <w:shd w:val="clear" w:color="auto" w:fill="auto"/>
            <w:vAlign w:val="center"/>
            <w:hideMark/>
          </w:tcPr>
          <w:p w14:paraId="5935C2ED"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412" w:type="pct"/>
            <w:tcBorders>
              <w:top w:val="single" w:sz="4" w:space="0" w:color="auto"/>
              <w:left w:val="single" w:sz="4" w:space="0" w:color="auto"/>
              <w:bottom w:val="nil"/>
              <w:right w:val="single" w:sz="4" w:space="0" w:color="auto"/>
            </w:tcBorders>
            <w:shd w:val="clear" w:color="auto" w:fill="auto"/>
            <w:vAlign w:val="center"/>
            <w:hideMark/>
          </w:tcPr>
          <w:p w14:paraId="7E83D217"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480" w:type="pct"/>
            <w:tcBorders>
              <w:top w:val="single" w:sz="4" w:space="0" w:color="auto"/>
              <w:left w:val="nil"/>
              <w:bottom w:val="nil"/>
              <w:right w:val="single" w:sz="4" w:space="0" w:color="auto"/>
            </w:tcBorders>
            <w:shd w:val="clear" w:color="auto" w:fill="auto"/>
            <w:vAlign w:val="center"/>
            <w:hideMark/>
          </w:tcPr>
          <w:p w14:paraId="221FADF3"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411" w:type="pct"/>
            <w:tcBorders>
              <w:top w:val="single" w:sz="4" w:space="0" w:color="auto"/>
              <w:left w:val="nil"/>
              <w:bottom w:val="nil"/>
              <w:right w:val="single" w:sz="4" w:space="0" w:color="auto"/>
            </w:tcBorders>
            <w:shd w:val="clear" w:color="auto" w:fill="auto"/>
            <w:vAlign w:val="center"/>
            <w:hideMark/>
          </w:tcPr>
          <w:p w14:paraId="346104D7"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343" w:type="pct"/>
            <w:tcBorders>
              <w:top w:val="single" w:sz="4" w:space="0" w:color="auto"/>
              <w:left w:val="nil"/>
              <w:bottom w:val="nil"/>
              <w:right w:val="single" w:sz="4" w:space="0" w:color="auto"/>
            </w:tcBorders>
            <w:shd w:val="clear" w:color="auto" w:fill="auto"/>
            <w:vAlign w:val="center"/>
            <w:hideMark/>
          </w:tcPr>
          <w:p w14:paraId="0903837A" w14:textId="77777777" w:rsidR="00862A01" w:rsidRPr="00872D7E" w:rsidRDefault="00862A01" w:rsidP="00862A01">
            <w:pPr>
              <w:jc w:val="right"/>
              <w:rPr>
                <w:b/>
                <w:bCs/>
                <w:color w:val="000000"/>
                <w:sz w:val="14"/>
                <w:szCs w:val="14"/>
              </w:rPr>
            </w:pPr>
            <w:r w:rsidRPr="00872D7E">
              <w:rPr>
                <w:b/>
                <w:bCs/>
                <w:color w:val="000000"/>
                <w:sz w:val="14"/>
                <w:szCs w:val="14"/>
              </w:rPr>
              <w:t> </w:t>
            </w:r>
          </w:p>
        </w:tc>
        <w:tc>
          <w:tcPr>
            <w:tcW w:w="544" w:type="pct"/>
            <w:tcBorders>
              <w:top w:val="single" w:sz="4" w:space="0" w:color="auto"/>
              <w:left w:val="nil"/>
              <w:bottom w:val="nil"/>
              <w:right w:val="single" w:sz="4" w:space="0" w:color="auto"/>
            </w:tcBorders>
            <w:shd w:val="clear" w:color="auto" w:fill="auto"/>
            <w:vAlign w:val="center"/>
            <w:hideMark/>
          </w:tcPr>
          <w:p w14:paraId="66D78ADA" w14:textId="77777777" w:rsidR="00862A01" w:rsidRPr="00872D7E" w:rsidRDefault="00862A01" w:rsidP="00862A01">
            <w:pPr>
              <w:jc w:val="right"/>
              <w:rPr>
                <w:b/>
                <w:bCs/>
                <w:color w:val="000000"/>
                <w:sz w:val="14"/>
                <w:szCs w:val="14"/>
              </w:rPr>
            </w:pPr>
            <w:r w:rsidRPr="00872D7E">
              <w:rPr>
                <w:b/>
                <w:bCs/>
                <w:color w:val="000000"/>
                <w:sz w:val="14"/>
                <w:szCs w:val="14"/>
              </w:rPr>
              <w:t> </w:t>
            </w:r>
          </w:p>
        </w:tc>
      </w:tr>
      <w:tr w:rsidR="00862A01" w:rsidRPr="00872D7E" w14:paraId="2061EC4C"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158392A3" w14:textId="77777777" w:rsidR="00862A01" w:rsidRPr="00872D7E" w:rsidRDefault="00862A01" w:rsidP="00862A01">
            <w:pPr>
              <w:rPr>
                <w:b/>
                <w:bCs/>
                <w:color w:val="000000"/>
                <w:sz w:val="14"/>
                <w:szCs w:val="14"/>
              </w:rPr>
            </w:pPr>
            <w:r w:rsidRPr="00872D7E">
              <w:rPr>
                <w:b/>
                <w:bCs/>
                <w:color w:val="000000"/>
                <w:sz w:val="14"/>
                <w:szCs w:val="14"/>
              </w:rPr>
              <w:t>I.</w:t>
            </w:r>
          </w:p>
        </w:tc>
        <w:tc>
          <w:tcPr>
            <w:tcW w:w="1746" w:type="pct"/>
            <w:tcBorders>
              <w:top w:val="nil"/>
              <w:left w:val="nil"/>
              <w:bottom w:val="nil"/>
              <w:right w:val="nil"/>
            </w:tcBorders>
            <w:shd w:val="clear" w:color="auto" w:fill="auto"/>
            <w:hideMark/>
          </w:tcPr>
          <w:p w14:paraId="739D442A" w14:textId="77777777" w:rsidR="00862A01" w:rsidRPr="00872D7E" w:rsidRDefault="00862A01" w:rsidP="00862A01">
            <w:pPr>
              <w:rPr>
                <w:b/>
                <w:bCs/>
                <w:color w:val="000000"/>
                <w:sz w:val="14"/>
                <w:szCs w:val="14"/>
              </w:rPr>
            </w:pPr>
            <w:r w:rsidRPr="00872D7E">
              <w:rPr>
                <w:b/>
                <w:bCs/>
                <w:color w:val="000000"/>
                <w:sz w:val="14"/>
                <w:szCs w:val="14"/>
              </w:rPr>
              <w:t>TOPLANAN FONLAR</w:t>
            </w:r>
          </w:p>
        </w:tc>
        <w:tc>
          <w:tcPr>
            <w:tcW w:w="377" w:type="pct"/>
            <w:tcBorders>
              <w:top w:val="nil"/>
              <w:left w:val="single" w:sz="4" w:space="0" w:color="auto"/>
              <w:bottom w:val="nil"/>
              <w:right w:val="single" w:sz="4" w:space="0" w:color="auto"/>
            </w:tcBorders>
            <w:shd w:val="clear" w:color="auto" w:fill="auto"/>
            <w:hideMark/>
          </w:tcPr>
          <w:p w14:paraId="734CEE00" w14:textId="77777777" w:rsidR="00862A01" w:rsidRPr="00872D7E" w:rsidRDefault="00862A01" w:rsidP="00862A01">
            <w:pPr>
              <w:jc w:val="center"/>
              <w:rPr>
                <w:b/>
                <w:bCs/>
                <w:color w:val="000000"/>
                <w:sz w:val="14"/>
                <w:szCs w:val="14"/>
              </w:rPr>
            </w:pPr>
            <w:r w:rsidRPr="00872D7E">
              <w:rPr>
                <w:b/>
                <w:bCs/>
                <w:color w:val="000000"/>
                <w:sz w:val="14"/>
                <w:szCs w:val="14"/>
              </w:rPr>
              <w:t>(1)</w:t>
            </w:r>
          </w:p>
        </w:tc>
        <w:tc>
          <w:tcPr>
            <w:tcW w:w="378" w:type="pct"/>
            <w:tcBorders>
              <w:top w:val="nil"/>
              <w:left w:val="nil"/>
              <w:bottom w:val="nil"/>
              <w:right w:val="nil"/>
            </w:tcBorders>
            <w:shd w:val="clear" w:color="000000" w:fill="FFFFFF"/>
            <w:vAlign w:val="center"/>
            <w:hideMark/>
          </w:tcPr>
          <w:p w14:paraId="695361D2" w14:textId="77777777" w:rsidR="00862A01" w:rsidRPr="00872D7E" w:rsidRDefault="00862A01" w:rsidP="00862A01">
            <w:pPr>
              <w:jc w:val="right"/>
              <w:rPr>
                <w:b/>
                <w:bCs/>
                <w:color w:val="000000"/>
                <w:sz w:val="14"/>
                <w:szCs w:val="14"/>
              </w:rPr>
            </w:pPr>
            <w:r w:rsidRPr="00872D7E">
              <w:rPr>
                <w:b/>
                <w:bCs/>
                <w:color w:val="000000"/>
                <w:sz w:val="14"/>
                <w:szCs w:val="14"/>
              </w:rPr>
              <w:t>13.422.152</w:t>
            </w:r>
          </w:p>
        </w:tc>
        <w:tc>
          <w:tcPr>
            <w:tcW w:w="412" w:type="pct"/>
            <w:tcBorders>
              <w:top w:val="nil"/>
              <w:left w:val="single" w:sz="4" w:space="0" w:color="auto"/>
              <w:bottom w:val="nil"/>
              <w:right w:val="single" w:sz="4" w:space="0" w:color="auto"/>
            </w:tcBorders>
            <w:shd w:val="clear" w:color="000000" w:fill="FFFFFF"/>
            <w:vAlign w:val="center"/>
            <w:hideMark/>
          </w:tcPr>
          <w:p w14:paraId="3EDC9DD0" w14:textId="77777777" w:rsidR="00862A01" w:rsidRPr="00872D7E" w:rsidRDefault="00862A01" w:rsidP="00862A01">
            <w:pPr>
              <w:jc w:val="right"/>
              <w:rPr>
                <w:b/>
                <w:bCs/>
                <w:color w:val="000000"/>
                <w:sz w:val="14"/>
                <w:szCs w:val="14"/>
              </w:rPr>
            </w:pPr>
            <w:r w:rsidRPr="00872D7E">
              <w:rPr>
                <w:b/>
                <w:bCs/>
                <w:color w:val="000000"/>
                <w:sz w:val="14"/>
                <w:szCs w:val="14"/>
              </w:rPr>
              <w:t>10.402.557</w:t>
            </w:r>
          </w:p>
        </w:tc>
        <w:tc>
          <w:tcPr>
            <w:tcW w:w="480" w:type="pct"/>
            <w:tcBorders>
              <w:top w:val="nil"/>
              <w:left w:val="nil"/>
              <w:bottom w:val="nil"/>
              <w:right w:val="single" w:sz="4" w:space="0" w:color="auto"/>
            </w:tcBorders>
            <w:shd w:val="clear" w:color="000000" w:fill="FFFFFF"/>
            <w:vAlign w:val="center"/>
            <w:hideMark/>
          </w:tcPr>
          <w:p w14:paraId="309F1D50" w14:textId="77777777" w:rsidR="00862A01" w:rsidRPr="00872D7E" w:rsidRDefault="00862A01" w:rsidP="00862A01">
            <w:pPr>
              <w:jc w:val="right"/>
              <w:rPr>
                <w:b/>
                <w:bCs/>
                <w:color w:val="000000"/>
                <w:sz w:val="14"/>
                <w:szCs w:val="14"/>
              </w:rPr>
            </w:pPr>
            <w:r w:rsidRPr="00872D7E">
              <w:rPr>
                <w:b/>
                <w:bCs/>
                <w:color w:val="000000"/>
                <w:sz w:val="14"/>
                <w:szCs w:val="14"/>
              </w:rPr>
              <w:t>23.824.709</w:t>
            </w:r>
          </w:p>
        </w:tc>
        <w:tc>
          <w:tcPr>
            <w:tcW w:w="411" w:type="pct"/>
            <w:tcBorders>
              <w:top w:val="nil"/>
              <w:left w:val="nil"/>
              <w:bottom w:val="nil"/>
              <w:right w:val="single" w:sz="4" w:space="0" w:color="auto"/>
            </w:tcBorders>
            <w:shd w:val="clear" w:color="000000" w:fill="FFFFFF"/>
            <w:vAlign w:val="center"/>
            <w:hideMark/>
          </w:tcPr>
          <w:p w14:paraId="63345D5A" w14:textId="77777777" w:rsidR="00862A01" w:rsidRPr="00872D7E" w:rsidRDefault="00862A01" w:rsidP="00862A01">
            <w:pPr>
              <w:jc w:val="right"/>
              <w:rPr>
                <w:b/>
                <w:bCs/>
                <w:color w:val="000000"/>
                <w:sz w:val="14"/>
                <w:szCs w:val="14"/>
              </w:rPr>
            </w:pPr>
            <w:r w:rsidRPr="00872D7E">
              <w:rPr>
                <w:b/>
                <w:bCs/>
                <w:color w:val="000000"/>
                <w:sz w:val="14"/>
                <w:szCs w:val="14"/>
              </w:rPr>
              <w:t>29</w:t>
            </w:r>
          </w:p>
        </w:tc>
        <w:tc>
          <w:tcPr>
            <w:tcW w:w="343" w:type="pct"/>
            <w:tcBorders>
              <w:top w:val="nil"/>
              <w:left w:val="nil"/>
              <w:bottom w:val="nil"/>
              <w:right w:val="single" w:sz="4" w:space="0" w:color="auto"/>
            </w:tcBorders>
            <w:shd w:val="clear" w:color="000000" w:fill="FFFFFF"/>
            <w:vAlign w:val="center"/>
            <w:hideMark/>
          </w:tcPr>
          <w:p w14:paraId="6AEE36FC" w14:textId="77777777" w:rsidR="00862A01" w:rsidRPr="00872D7E" w:rsidRDefault="00862A01" w:rsidP="00862A01">
            <w:pPr>
              <w:jc w:val="right"/>
              <w:rPr>
                <w:b/>
                <w:bCs/>
                <w:color w:val="000000"/>
                <w:sz w:val="14"/>
                <w:szCs w:val="14"/>
              </w:rPr>
            </w:pPr>
            <w:r w:rsidRPr="00872D7E">
              <w:rPr>
                <w:b/>
                <w:bCs/>
                <w:color w:val="000000"/>
                <w:sz w:val="14"/>
                <w:szCs w:val="14"/>
              </w:rPr>
              <w:t>26</w:t>
            </w:r>
          </w:p>
        </w:tc>
        <w:tc>
          <w:tcPr>
            <w:tcW w:w="544" w:type="pct"/>
            <w:tcBorders>
              <w:top w:val="nil"/>
              <w:left w:val="nil"/>
              <w:bottom w:val="nil"/>
              <w:right w:val="single" w:sz="4" w:space="0" w:color="auto"/>
            </w:tcBorders>
            <w:shd w:val="clear" w:color="000000" w:fill="FFFFFF"/>
            <w:vAlign w:val="center"/>
            <w:hideMark/>
          </w:tcPr>
          <w:p w14:paraId="4FC053F6" w14:textId="77777777" w:rsidR="00862A01" w:rsidRPr="00872D7E" w:rsidRDefault="00862A01" w:rsidP="00862A01">
            <w:pPr>
              <w:jc w:val="right"/>
              <w:rPr>
                <w:b/>
                <w:bCs/>
                <w:color w:val="000000"/>
                <w:sz w:val="14"/>
                <w:szCs w:val="14"/>
              </w:rPr>
            </w:pPr>
            <w:r w:rsidRPr="00872D7E">
              <w:rPr>
                <w:b/>
                <w:bCs/>
                <w:color w:val="000000"/>
                <w:sz w:val="14"/>
                <w:szCs w:val="14"/>
              </w:rPr>
              <w:t>55</w:t>
            </w:r>
          </w:p>
        </w:tc>
      </w:tr>
      <w:tr w:rsidR="00862A01" w:rsidRPr="00872D7E" w14:paraId="6F475DB5"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67B2D09C" w14:textId="77777777" w:rsidR="00862A01" w:rsidRPr="00872D7E" w:rsidRDefault="00862A01" w:rsidP="00862A01">
            <w:pPr>
              <w:rPr>
                <w:b/>
                <w:bCs/>
                <w:color w:val="000000"/>
                <w:sz w:val="14"/>
                <w:szCs w:val="14"/>
              </w:rPr>
            </w:pPr>
            <w:r w:rsidRPr="00872D7E">
              <w:rPr>
                <w:b/>
                <w:bCs/>
                <w:color w:val="000000"/>
                <w:sz w:val="14"/>
                <w:szCs w:val="14"/>
              </w:rPr>
              <w:t>II.</w:t>
            </w:r>
          </w:p>
        </w:tc>
        <w:tc>
          <w:tcPr>
            <w:tcW w:w="1746" w:type="pct"/>
            <w:tcBorders>
              <w:top w:val="nil"/>
              <w:left w:val="nil"/>
              <w:bottom w:val="nil"/>
              <w:right w:val="nil"/>
            </w:tcBorders>
            <w:shd w:val="clear" w:color="auto" w:fill="auto"/>
            <w:hideMark/>
          </w:tcPr>
          <w:p w14:paraId="51F9E8EE" w14:textId="77777777" w:rsidR="00862A01" w:rsidRPr="00872D7E" w:rsidRDefault="00862A01" w:rsidP="00862A01">
            <w:pPr>
              <w:rPr>
                <w:b/>
                <w:bCs/>
                <w:color w:val="000000"/>
                <w:sz w:val="14"/>
                <w:szCs w:val="14"/>
              </w:rPr>
            </w:pPr>
            <w:r w:rsidRPr="00872D7E">
              <w:rPr>
                <w:b/>
                <w:bCs/>
                <w:color w:val="000000"/>
                <w:sz w:val="14"/>
                <w:szCs w:val="14"/>
              </w:rPr>
              <w:t>ALINAN KREDİLER</w:t>
            </w:r>
          </w:p>
        </w:tc>
        <w:tc>
          <w:tcPr>
            <w:tcW w:w="377" w:type="pct"/>
            <w:tcBorders>
              <w:top w:val="nil"/>
              <w:left w:val="single" w:sz="4" w:space="0" w:color="auto"/>
              <w:bottom w:val="nil"/>
              <w:right w:val="single" w:sz="4" w:space="0" w:color="auto"/>
            </w:tcBorders>
            <w:shd w:val="clear" w:color="auto" w:fill="auto"/>
            <w:hideMark/>
          </w:tcPr>
          <w:p w14:paraId="7B69E0C1" w14:textId="77777777" w:rsidR="00862A01" w:rsidRPr="00872D7E" w:rsidRDefault="00862A01" w:rsidP="00862A01">
            <w:pPr>
              <w:jc w:val="center"/>
              <w:rPr>
                <w:b/>
                <w:bCs/>
                <w:color w:val="000000"/>
                <w:sz w:val="14"/>
                <w:szCs w:val="14"/>
                <w:lang w:eastAsia="tr-TR"/>
              </w:rPr>
            </w:pPr>
            <w:r w:rsidRPr="00872D7E">
              <w:rPr>
                <w:b/>
                <w:bCs/>
                <w:color w:val="000000"/>
                <w:sz w:val="14"/>
                <w:szCs w:val="14"/>
              </w:rPr>
              <w:t>(2</w:t>
            </w:r>
            <w:r w:rsidRPr="00872D7E">
              <w:rPr>
                <w:b/>
                <w:bCs/>
                <w:color w:val="000000"/>
                <w:sz w:val="14"/>
                <w:szCs w:val="14"/>
                <w:lang w:eastAsia="tr-TR"/>
              </w:rPr>
              <w:t>)</w:t>
            </w:r>
          </w:p>
        </w:tc>
        <w:tc>
          <w:tcPr>
            <w:tcW w:w="378" w:type="pct"/>
            <w:tcBorders>
              <w:top w:val="nil"/>
              <w:left w:val="nil"/>
              <w:bottom w:val="nil"/>
              <w:right w:val="nil"/>
            </w:tcBorders>
            <w:shd w:val="clear" w:color="000000" w:fill="FFFFFF"/>
            <w:vAlign w:val="center"/>
            <w:hideMark/>
          </w:tcPr>
          <w:p w14:paraId="27E03457" w14:textId="77777777" w:rsidR="00862A01" w:rsidRPr="00872D7E" w:rsidRDefault="00862A01" w:rsidP="00862A01">
            <w:pPr>
              <w:jc w:val="right"/>
              <w:rPr>
                <w:b/>
                <w:bCs/>
                <w:color w:val="000000"/>
                <w:sz w:val="14"/>
                <w:szCs w:val="14"/>
              </w:rPr>
            </w:pPr>
            <w:r w:rsidRPr="00872D7E">
              <w:rPr>
                <w:b/>
                <w:bCs/>
                <w:color w:val="000000"/>
                <w:sz w:val="14"/>
                <w:szCs w:val="14"/>
              </w:rPr>
              <w:t>85.110</w:t>
            </w:r>
          </w:p>
        </w:tc>
        <w:tc>
          <w:tcPr>
            <w:tcW w:w="412" w:type="pct"/>
            <w:tcBorders>
              <w:top w:val="nil"/>
              <w:left w:val="single" w:sz="4" w:space="0" w:color="auto"/>
              <w:bottom w:val="nil"/>
              <w:right w:val="single" w:sz="4" w:space="0" w:color="auto"/>
            </w:tcBorders>
            <w:shd w:val="clear" w:color="000000" w:fill="FFFFFF"/>
            <w:vAlign w:val="center"/>
            <w:hideMark/>
          </w:tcPr>
          <w:p w14:paraId="5F44BA8E" w14:textId="77777777" w:rsidR="00862A01" w:rsidRPr="00872D7E" w:rsidRDefault="00862A01" w:rsidP="00862A01">
            <w:pPr>
              <w:jc w:val="right"/>
              <w:rPr>
                <w:b/>
                <w:bCs/>
                <w:color w:val="000000"/>
                <w:sz w:val="14"/>
                <w:szCs w:val="14"/>
              </w:rPr>
            </w:pPr>
            <w:r w:rsidRPr="00872D7E">
              <w:rPr>
                <w:b/>
                <w:bCs/>
                <w:color w:val="000000"/>
                <w:sz w:val="14"/>
                <w:szCs w:val="14"/>
              </w:rPr>
              <w:t>1.837.130</w:t>
            </w:r>
          </w:p>
        </w:tc>
        <w:tc>
          <w:tcPr>
            <w:tcW w:w="480" w:type="pct"/>
            <w:tcBorders>
              <w:top w:val="nil"/>
              <w:left w:val="nil"/>
              <w:bottom w:val="nil"/>
              <w:right w:val="single" w:sz="4" w:space="0" w:color="auto"/>
            </w:tcBorders>
            <w:shd w:val="clear" w:color="000000" w:fill="FFFFFF"/>
            <w:vAlign w:val="center"/>
            <w:hideMark/>
          </w:tcPr>
          <w:p w14:paraId="6AB5C854" w14:textId="77777777" w:rsidR="00862A01" w:rsidRPr="00872D7E" w:rsidRDefault="00862A01" w:rsidP="00862A01">
            <w:pPr>
              <w:jc w:val="right"/>
              <w:rPr>
                <w:b/>
                <w:bCs/>
                <w:color w:val="000000"/>
                <w:sz w:val="14"/>
                <w:szCs w:val="14"/>
              </w:rPr>
            </w:pPr>
            <w:r w:rsidRPr="00872D7E">
              <w:rPr>
                <w:b/>
                <w:bCs/>
                <w:color w:val="000000"/>
                <w:sz w:val="14"/>
                <w:szCs w:val="14"/>
              </w:rPr>
              <w:t>1.922.240</w:t>
            </w:r>
          </w:p>
        </w:tc>
        <w:tc>
          <w:tcPr>
            <w:tcW w:w="411" w:type="pct"/>
            <w:tcBorders>
              <w:top w:val="nil"/>
              <w:left w:val="nil"/>
              <w:bottom w:val="nil"/>
              <w:right w:val="single" w:sz="4" w:space="0" w:color="auto"/>
            </w:tcBorders>
            <w:shd w:val="clear" w:color="000000" w:fill="FFFFFF"/>
            <w:vAlign w:val="center"/>
            <w:hideMark/>
          </w:tcPr>
          <w:p w14:paraId="5AD32A3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72064DF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76E94D4C"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1C22B60A"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1FE2E7C2" w14:textId="77777777" w:rsidR="00862A01" w:rsidRPr="00872D7E" w:rsidRDefault="00862A01" w:rsidP="00862A01">
            <w:pPr>
              <w:rPr>
                <w:b/>
                <w:bCs/>
                <w:color w:val="000000"/>
                <w:sz w:val="14"/>
                <w:szCs w:val="14"/>
              </w:rPr>
            </w:pPr>
            <w:r w:rsidRPr="00872D7E">
              <w:rPr>
                <w:b/>
                <w:bCs/>
                <w:color w:val="000000"/>
                <w:sz w:val="14"/>
                <w:szCs w:val="14"/>
              </w:rPr>
              <w:t>III.</w:t>
            </w:r>
          </w:p>
        </w:tc>
        <w:tc>
          <w:tcPr>
            <w:tcW w:w="1746" w:type="pct"/>
            <w:tcBorders>
              <w:top w:val="nil"/>
              <w:left w:val="nil"/>
              <w:bottom w:val="nil"/>
              <w:right w:val="nil"/>
            </w:tcBorders>
            <w:shd w:val="clear" w:color="auto" w:fill="auto"/>
            <w:hideMark/>
          </w:tcPr>
          <w:p w14:paraId="5EE1D2D1" w14:textId="77777777" w:rsidR="00862A01" w:rsidRPr="00872D7E" w:rsidRDefault="00862A01" w:rsidP="00862A01">
            <w:pPr>
              <w:rPr>
                <w:b/>
                <w:bCs/>
                <w:color w:val="000000"/>
                <w:sz w:val="14"/>
                <w:szCs w:val="14"/>
              </w:rPr>
            </w:pPr>
            <w:r w:rsidRPr="00872D7E">
              <w:rPr>
                <w:b/>
                <w:bCs/>
                <w:color w:val="000000"/>
                <w:sz w:val="14"/>
                <w:szCs w:val="14"/>
              </w:rPr>
              <w:t>PARA PİYASALARINA BORÇLAR</w:t>
            </w:r>
          </w:p>
        </w:tc>
        <w:tc>
          <w:tcPr>
            <w:tcW w:w="377" w:type="pct"/>
            <w:tcBorders>
              <w:top w:val="nil"/>
              <w:left w:val="single" w:sz="4" w:space="0" w:color="auto"/>
              <w:bottom w:val="nil"/>
              <w:right w:val="single" w:sz="4" w:space="0" w:color="auto"/>
            </w:tcBorders>
            <w:shd w:val="clear" w:color="auto" w:fill="auto"/>
            <w:hideMark/>
          </w:tcPr>
          <w:p w14:paraId="186197DC" w14:textId="77777777" w:rsidR="00862A01" w:rsidRPr="00872D7E" w:rsidRDefault="00862A01" w:rsidP="00862A01">
            <w:pPr>
              <w:jc w:val="center"/>
              <w:rPr>
                <w:b/>
                <w:bCs/>
                <w:color w:val="000000"/>
                <w:sz w:val="14"/>
                <w:szCs w:val="14"/>
                <w:lang w:eastAsia="tr-TR"/>
              </w:rPr>
            </w:pPr>
            <w:r w:rsidRPr="00872D7E">
              <w:rPr>
                <w:b/>
                <w:bCs/>
                <w:color w:val="000000"/>
                <w:sz w:val="14"/>
                <w:szCs w:val="14"/>
              </w:rPr>
              <w:t> </w:t>
            </w:r>
          </w:p>
        </w:tc>
        <w:tc>
          <w:tcPr>
            <w:tcW w:w="378" w:type="pct"/>
            <w:tcBorders>
              <w:top w:val="nil"/>
              <w:left w:val="nil"/>
              <w:bottom w:val="nil"/>
              <w:right w:val="nil"/>
            </w:tcBorders>
            <w:shd w:val="clear" w:color="000000" w:fill="FFFFFF"/>
            <w:vAlign w:val="center"/>
            <w:hideMark/>
          </w:tcPr>
          <w:p w14:paraId="730B9707" w14:textId="77777777" w:rsidR="00862A01" w:rsidRPr="00872D7E" w:rsidRDefault="00862A01" w:rsidP="00862A01">
            <w:pPr>
              <w:jc w:val="right"/>
              <w:rPr>
                <w:b/>
                <w:bCs/>
                <w:color w:val="000000"/>
                <w:sz w:val="14"/>
                <w:szCs w:val="14"/>
              </w:rPr>
            </w:pPr>
            <w:r w:rsidRPr="00872D7E">
              <w:rPr>
                <w:b/>
                <w:bCs/>
                <w:color w:val="000000"/>
                <w:sz w:val="14"/>
                <w:szCs w:val="14"/>
              </w:rPr>
              <w:t>480.631</w:t>
            </w:r>
          </w:p>
        </w:tc>
        <w:tc>
          <w:tcPr>
            <w:tcW w:w="412" w:type="pct"/>
            <w:tcBorders>
              <w:top w:val="nil"/>
              <w:left w:val="single" w:sz="4" w:space="0" w:color="auto"/>
              <w:bottom w:val="nil"/>
              <w:right w:val="single" w:sz="4" w:space="0" w:color="auto"/>
            </w:tcBorders>
            <w:shd w:val="clear" w:color="000000" w:fill="FFFFFF"/>
            <w:vAlign w:val="center"/>
            <w:hideMark/>
          </w:tcPr>
          <w:p w14:paraId="1EADEC0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114434B1" w14:textId="77777777" w:rsidR="00862A01" w:rsidRPr="00872D7E" w:rsidRDefault="00862A01" w:rsidP="00862A01">
            <w:pPr>
              <w:jc w:val="right"/>
              <w:rPr>
                <w:b/>
                <w:bCs/>
                <w:color w:val="000000"/>
                <w:sz w:val="14"/>
                <w:szCs w:val="14"/>
              </w:rPr>
            </w:pPr>
            <w:r w:rsidRPr="00872D7E">
              <w:rPr>
                <w:b/>
                <w:bCs/>
                <w:color w:val="000000"/>
                <w:sz w:val="14"/>
                <w:szCs w:val="14"/>
              </w:rPr>
              <w:t>480.631</w:t>
            </w:r>
          </w:p>
        </w:tc>
        <w:tc>
          <w:tcPr>
            <w:tcW w:w="411" w:type="pct"/>
            <w:tcBorders>
              <w:top w:val="nil"/>
              <w:left w:val="nil"/>
              <w:bottom w:val="nil"/>
              <w:right w:val="single" w:sz="4" w:space="0" w:color="auto"/>
            </w:tcBorders>
            <w:shd w:val="clear" w:color="000000" w:fill="FFFFFF"/>
            <w:vAlign w:val="center"/>
            <w:hideMark/>
          </w:tcPr>
          <w:p w14:paraId="00A6189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7F0AD5E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5DBC4EAA"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0450E394"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7AAE4EC8" w14:textId="77777777" w:rsidR="00862A01" w:rsidRPr="00872D7E" w:rsidRDefault="00862A01" w:rsidP="00862A01">
            <w:pPr>
              <w:rPr>
                <w:b/>
                <w:bCs/>
                <w:color w:val="000000"/>
                <w:sz w:val="14"/>
                <w:szCs w:val="14"/>
              </w:rPr>
            </w:pPr>
            <w:r w:rsidRPr="00872D7E">
              <w:rPr>
                <w:b/>
                <w:bCs/>
                <w:color w:val="000000"/>
                <w:sz w:val="14"/>
                <w:szCs w:val="14"/>
              </w:rPr>
              <w:t>IV.</w:t>
            </w:r>
          </w:p>
        </w:tc>
        <w:tc>
          <w:tcPr>
            <w:tcW w:w="1746" w:type="pct"/>
            <w:tcBorders>
              <w:top w:val="nil"/>
              <w:left w:val="nil"/>
              <w:bottom w:val="nil"/>
              <w:right w:val="nil"/>
            </w:tcBorders>
            <w:shd w:val="clear" w:color="auto" w:fill="auto"/>
            <w:hideMark/>
          </w:tcPr>
          <w:p w14:paraId="0C1154DB" w14:textId="77777777" w:rsidR="00862A01" w:rsidRPr="00872D7E" w:rsidRDefault="00862A01" w:rsidP="00862A01">
            <w:pPr>
              <w:rPr>
                <w:b/>
                <w:bCs/>
                <w:color w:val="000000"/>
                <w:sz w:val="14"/>
                <w:szCs w:val="14"/>
              </w:rPr>
            </w:pPr>
            <w:r w:rsidRPr="00872D7E">
              <w:rPr>
                <w:b/>
                <w:bCs/>
                <w:color w:val="000000"/>
                <w:sz w:val="14"/>
                <w:szCs w:val="14"/>
              </w:rPr>
              <w:t xml:space="preserve">İHRAÇ EDİLEN MENKUL KIYMETLER (Net)  </w:t>
            </w:r>
          </w:p>
        </w:tc>
        <w:tc>
          <w:tcPr>
            <w:tcW w:w="377" w:type="pct"/>
            <w:tcBorders>
              <w:top w:val="nil"/>
              <w:left w:val="single" w:sz="4" w:space="0" w:color="auto"/>
              <w:bottom w:val="nil"/>
              <w:right w:val="single" w:sz="4" w:space="0" w:color="auto"/>
            </w:tcBorders>
            <w:shd w:val="clear" w:color="auto" w:fill="auto"/>
            <w:hideMark/>
          </w:tcPr>
          <w:p w14:paraId="0FF11553" w14:textId="77777777" w:rsidR="00862A01" w:rsidRPr="00872D7E" w:rsidRDefault="00862A01" w:rsidP="00862A01">
            <w:pPr>
              <w:jc w:val="center"/>
              <w:rPr>
                <w:b/>
                <w:bCs/>
                <w:color w:val="000000"/>
                <w:sz w:val="14"/>
                <w:szCs w:val="14"/>
                <w:lang w:eastAsia="tr-TR"/>
              </w:rPr>
            </w:pPr>
            <w:r w:rsidRPr="00872D7E">
              <w:rPr>
                <w:b/>
                <w:bCs/>
                <w:color w:val="000000"/>
                <w:sz w:val="14"/>
                <w:szCs w:val="14"/>
              </w:rPr>
              <w:t> </w:t>
            </w:r>
          </w:p>
        </w:tc>
        <w:tc>
          <w:tcPr>
            <w:tcW w:w="378" w:type="pct"/>
            <w:tcBorders>
              <w:top w:val="nil"/>
              <w:left w:val="nil"/>
              <w:bottom w:val="nil"/>
              <w:right w:val="nil"/>
            </w:tcBorders>
            <w:shd w:val="clear" w:color="000000" w:fill="FFFFFF"/>
            <w:vAlign w:val="center"/>
            <w:hideMark/>
          </w:tcPr>
          <w:p w14:paraId="2ECBDAB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5D93200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03FD20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5B69468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70C4CB1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48AF3353"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7AB85689"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2E3751E0" w14:textId="77777777" w:rsidR="00862A01" w:rsidRPr="00872D7E" w:rsidRDefault="00862A01" w:rsidP="00862A01">
            <w:pPr>
              <w:rPr>
                <w:b/>
                <w:bCs/>
                <w:color w:val="000000"/>
                <w:sz w:val="14"/>
                <w:szCs w:val="14"/>
              </w:rPr>
            </w:pPr>
            <w:r w:rsidRPr="00872D7E">
              <w:rPr>
                <w:b/>
                <w:bCs/>
                <w:color w:val="000000"/>
                <w:sz w:val="14"/>
                <w:szCs w:val="14"/>
              </w:rPr>
              <w:t>V.</w:t>
            </w:r>
          </w:p>
        </w:tc>
        <w:tc>
          <w:tcPr>
            <w:tcW w:w="1746" w:type="pct"/>
            <w:tcBorders>
              <w:top w:val="nil"/>
              <w:left w:val="nil"/>
              <w:bottom w:val="nil"/>
              <w:right w:val="nil"/>
            </w:tcBorders>
            <w:shd w:val="clear" w:color="auto" w:fill="auto"/>
            <w:hideMark/>
          </w:tcPr>
          <w:p w14:paraId="1B4CBF31" w14:textId="77777777" w:rsidR="00862A01" w:rsidRPr="00872D7E" w:rsidRDefault="00862A01" w:rsidP="00862A01">
            <w:pPr>
              <w:rPr>
                <w:b/>
                <w:bCs/>
                <w:color w:val="000000"/>
                <w:sz w:val="14"/>
                <w:szCs w:val="14"/>
              </w:rPr>
            </w:pPr>
            <w:r w:rsidRPr="00872D7E">
              <w:rPr>
                <w:b/>
                <w:bCs/>
                <w:color w:val="000000"/>
                <w:sz w:val="14"/>
                <w:szCs w:val="14"/>
              </w:rPr>
              <w:t>GERÇEĞE UYGUN DEĞER FARKI KAR ZARARA YANSITILAN FİNANSAL YÜKÜMLÜLÜKLER</w:t>
            </w:r>
          </w:p>
        </w:tc>
        <w:tc>
          <w:tcPr>
            <w:tcW w:w="377" w:type="pct"/>
            <w:tcBorders>
              <w:top w:val="nil"/>
              <w:left w:val="single" w:sz="4" w:space="0" w:color="auto"/>
              <w:bottom w:val="nil"/>
              <w:right w:val="single" w:sz="4" w:space="0" w:color="auto"/>
            </w:tcBorders>
            <w:shd w:val="clear" w:color="auto" w:fill="auto"/>
            <w:hideMark/>
          </w:tcPr>
          <w:p w14:paraId="6A4F72D8" w14:textId="77777777" w:rsidR="00862A01" w:rsidRPr="00872D7E" w:rsidRDefault="00862A01" w:rsidP="00862A01">
            <w:pPr>
              <w:jc w:val="center"/>
              <w:rPr>
                <w:b/>
                <w:bCs/>
                <w:color w:val="000000"/>
                <w:sz w:val="14"/>
                <w:szCs w:val="14"/>
                <w:lang w:eastAsia="tr-TR"/>
              </w:rPr>
            </w:pPr>
            <w:r w:rsidRPr="00872D7E">
              <w:rPr>
                <w:b/>
                <w:bCs/>
                <w:color w:val="000000"/>
                <w:sz w:val="14"/>
                <w:szCs w:val="14"/>
              </w:rPr>
              <w:t> </w:t>
            </w:r>
          </w:p>
        </w:tc>
        <w:tc>
          <w:tcPr>
            <w:tcW w:w="378" w:type="pct"/>
            <w:tcBorders>
              <w:top w:val="nil"/>
              <w:left w:val="nil"/>
              <w:bottom w:val="nil"/>
              <w:right w:val="nil"/>
            </w:tcBorders>
            <w:shd w:val="clear" w:color="000000" w:fill="FFFFFF"/>
            <w:vAlign w:val="center"/>
            <w:hideMark/>
          </w:tcPr>
          <w:p w14:paraId="04F5C39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635CC8F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995F75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093F392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5981220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4A03469A"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7014A7C0"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0CDCC8BF" w14:textId="77777777" w:rsidR="00862A01" w:rsidRPr="00872D7E" w:rsidRDefault="00862A01" w:rsidP="00862A01">
            <w:pPr>
              <w:rPr>
                <w:b/>
                <w:bCs/>
                <w:color w:val="000000"/>
                <w:sz w:val="14"/>
                <w:szCs w:val="14"/>
              </w:rPr>
            </w:pPr>
            <w:r w:rsidRPr="00872D7E">
              <w:rPr>
                <w:b/>
                <w:bCs/>
                <w:color w:val="000000"/>
                <w:sz w:val="14"/>
                <w:szCs w:val="14"/>
              </w:rPr>
              <w:t>VI.</w:t>
            </w:r>
          </w:p>
        </w:tc>
        <w:tc>
          <w:tcPr>
            <w:tcW w:w="1746" w:type="pct"/>
            <w:tcBorders>
              <w:top w:val="nil"/>
              <w:left w:val="nil"/>
              <w:bottom w:val="nil"/>
              <w:right w:val="nil"/>
            </w:tcBorders>
            <w:shd w:val="clear" w:color="auto" w:fill="auto"/>
            <w:hideMark/>
          </w:tcPr>
          <w:p w14:paraId="0D0E0E59" w14:textId="77777777" w:rsidR="00862A01" w:rsidRPr="00872D7E" w:rsidRDefault="00862A01" w:rsidP="00862A01">
            <w:pPr>
              <w:rPr>
                <w:b/>
                <w:bCs/>
                <w:color w:val="000000"/>
                <w:sz w:val="14"/>
                <w:szCs w:val="14"/>
              </w:rPr>
            </w:pPr>
            <w:r w:rsidRPr="00872D7E">
              <w:rPr>
                <w:b/>
                <w:bCs/>
                <w:color w:val="000000"/>
                <w:sz w:val="14"/>
                <w:szCs w:val="14"/>
              </w:rPr>
              <w:t>TÜREV FİNANSAL YÜKÜMLÜLÜKLER</w:t>
            </w:r>
          </w:p>
        </w:tc>
        <w:tc>
          <w:tcPr>
            <w:tcW w:w="377" w:type="pct"/>
            <w:tcBorders>
              <w:top w:val="nil"/>
              <w:left w:val="single" w:sz="4" w:space="0" w:color="auto"/>
              <w:bottom w:val="nil"/>
              <w:right w:val="single" w:sz="4" w:space="0" w:color="auto"/>
            </w:tcBorders>
            <w:shd w:val="clear" w:color="auto" w:fill="auto"/>
            <w:hideMark/>
          </w:tcPr>
          <w:p w14:paraId="6F492054" w14:textId="77777777" w:rsidR="00862A01" w:rsidRPr="00872D7E" w:rsidRDefault="00862A01" w:rsidP="00862A01">
            <w:pPr>
              <w:jc w:val="center"/>
              <w:rPr>
                <w:b/>
                <w:bCs/>
                <w:color w:val="000000"/>
                <w:sz w:val="14"/>
                <w:szCs w:val="14"/>
                <w:lang w:eastAsia="tr-TR"/>
              </w:rPr>
            </w:pPr>
            <w:r w:rsidRPr="00872D7E">
              <w:rPr>
                <w:b/>
                <w:bCs/>
                <w:color w:val="000000"/>
                <w:sz w:val="14"/>
                <w:szCs w:val="14"/>
              </w:rPr>
              <w:t>(</w:t>
            </w:r>
            <w:r w:rsidRPr="00872D7E">
              <w:rPr>
                <w:b/>
                <w:bCs/>
                <w:color w:val="000000"/>
                <w:sz w:val="14"/>
                <w:szCs w:val="14"/>
                <w:lang w:eastAsia="tr-TR"/>
              </w:rPr>
              <w:t>3)</w:t>
            </w:r>
          </w:p>
        </w:tc>
        <w:tc>
          <w:tcPr>
            <w:tcW w:w="378" w:type="pct"/>
            <w:tcBorders>
              <w:top w:val="nil"/>
              <w:left w:val="nil"/>
              <w:bottom w:val="nil"/>
              <w:right w:val="nil"/>
            </w:tcBorders>
            <w:shd w:val="clear" w:color="000000" w:fill="FFFFFF"/>
            <w:vAlign w:val="center"/>
            <w:hideMark/>
          </w:tcPr>
          <w:p w14:paraId="636A38F7" w14:textId="77777777" w:rsidR="00862A01" w:rsidRPr="00872D7E" w:rsidRDefault="00862A01" w:rsidP="00862A01">
            <w:pPr>
              <w:jc w:val="right"/>
              <w:rPr>
                <w:b/>
                <w:bCs/>
                <w:color w:val="000000"/>
                <w:sz w:val="14"/>
                <w:szCs w:val="14"/>
              </w:rPr>
            </w:pPr>
            <w:r w:rsidRPr="00872D7E">
              <w:rPr>
                <w:b/>
                <w:bCs/>
                <w:color w:val="000000"/>
                <w:sz w:val="14"/>
                <w:szCs w:val="14"/>
              </w:rPr>
              <w:t>72</w:t>
            </w:r>
          </w:p>
        </w:tc>
        <w:tc>
          <w:tcPr>
            <w:tcW w:w="412" w:type="pct"/>
            <w:tcBorders>
              <w:top w:val="nil"/>
              <w:left w:val="single" w:sz="4" w:space="0" w:color="auto"/>
              <w:bottom w:val="nil"/>
              <w:right w:val="single" w:sz="4" w:space="0" w:color="auto"/>
            </w:tcBorders>
            <w:shd w:val="clear" w:color="000000" w:fill="FFFFFF"/>
            <w:vAlign w:val="center"/>
            <w:hideMark/>
          </w:tcPr>
          <w:p w14:paraId="7D183EB5" w14:textId="77777777" w:rsidR="00862A01" w:rsidRPr="00872D7E" w:rsidRDefault="00862A01" w:rsidP="00862A01">
            <w:pPr>
              <w:jc w:val="right"/>
              <w:rPr>
                <w:b/>
                <w:bCs/>
                <w:color w:val="000000"/>
                <w:sz w:val="14"/>
                <w:szCs w:val="14"/>
              </w:rPr>
            </w:pPr>
            <w:r w:rsidRPr="00872D7E">
              <w:rPr>
                <w:b/>
                <w:bCs/>
                <w:color w:val="000000"/>
                <w:sz w:val="14"/>
                <w:szCs w:val="14"/>
              </w:rPr>
              <w:t>26.074</w:t>
            </w:r>
          </w:p>
        </w:tc>
        <w:tc>
          <w:tcPr>
            <w:tcW w:w="480" w:type="pct"/>
            <w:tcBorders>
              <w:top w:val="nil"/>
              <w:left w:val="nil"/>
              <w:bottom w:val="nil"/>
              <w:right w:val="single" w:sz="4" w:space="0" w:color="auto"/>
            </w:tcBorders>
            <w:shd w:val="clear" w:color="000000" w:fill="FFFFFF"/>
            <w:vAlign w:val="center"/>
            <w:hideMark/>
          </w:tcPr>
          <w:p w14:paraId="262AA3EF" w14:textId="77777777" w:rsidR="00862A01" w:rsidRPr="00872D7E" w:rsidRDefault="00862A01" w:rsidP="00862A01">
            <w:pPr>
              <w:jc w:val="right"/>
              <w:rPr>
                <w:b/>
                <w:bCs/>
                <w:color w:val="000000"/>
                <w:sz w:val="14"/>
                <w:szCs w:val="14"/>
              </w:rPr>
            </w:pPr>
            <w:r w:rsidRPr="00872D7E">
              <w:rPr>
                <w:b/>
                <w:bCs/>
                <w:color w:val="000000"/>
                <w:sz w:val="14"/>
                <w:szCs w:val="14"/>
              </w:rPr>
              <w:t>26.146</w:t>
            </w:r>
          </w:p>
        </w:tc>
        <w:tc>
          <w:tcPr>
            <w:tcW w:w="411" w:type="pct"/>
            <w:tcBorders>
              <w:top w:val="nil"/>
              <w:left w:val="nil"/>
              <w:bottom w:val="nil"/>
              <w:right w:val="single" w:sz="4" w:space="0" w:color="auto"/>
            </w:tcBorders>
            <w:shd w:val="clear" w:color="000000" w:fill="FFFFFF"/>
            <w:vAlign w:val="center"/>
            <w:hideMark/>
          </w:tcPr>
          <w:p w14:paraId="4CDFDD2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4334903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528C6BE9"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3D20C67E"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63747658" w14:textId="77777777" w:rsidR="00862A01" w:rsidRPr="00872D7E" w:rsidRDefault="00862A01" w:rsidP="00862A01">
            <w:pPr>
              <w:rPr>
                <w:color w:val="000000"/>
                <w:sz w:val="14"/>
                <w:szCs w:val="14"/>
              </w:rPr>
            </w:pPr>
            <w:r w:rsidRPr="00872D7E">
              <w:rPr>
                <w:color w:val="000000"/>
                <w:sz w:val="14"/>
                <w:szCs w:val="14"/>
              </w:rPr>
              <w:t>6.1</w:t>
            </w:r>
          </w:p>
        </w:tc>
        <w:tc>
          <w:tcPr>
            <w:tcW w:w="1746" w:type="pct"/>
            <w:tcBorders>
              <w:top w:val="nil"/>
              <w:left w:val="nil"/>
              <w:bottom w:val="nil"/>
              <w:right w:val="nil"/>
            </w:tcBorders>
            <w:shd w:val="clear" w:color="auto" w:fill="auto"/>
            <w:hideMark/>
          </w:tcPr>
          <w:p w14:paraId="05ED0914" w14:textId="77777777" w:rsidR="00862A01" w:rsidRPr="00872D7E" w:rsidRDefault="00862A01" w:rsidP="00862A01">
            <w:pPr>
              <w:rPr>
                <w:color w:val="000000"/>
                <w:sz w:val="14"/>
                <w:szCs w:val="14"/>
              </w:rPr>
            </w:pPr>
            <w:r w:rsidRPr="00872D7E">
              <w:rPr>
                <w:color w:val="000000"/>
                <w:sz w:val="14"/>
                <w:szCs w:val="14"/>
              </w:rPr>
              <w:t>Türev Finansal Yükümlülüklerin Gerçeğe Uygun Değer Farkı Kar Zarara Yansıtılan Kısmı</w:t>
            </w:r>
          </w:p>
        </w:tc>
        <w:tc>
          <w:tcPr>
            <w:tcW w:w="377" w:type="pct"/>
            <w:tcBorders>
              <w:top w:val="nil"/>
              <w:left w:val="single" w:sz="4" w:space="0" w:color="auto"/>
              <w:bottom w:val="nil"/>
              <w:right w:val="single" w:sz="4" w:space="0" w:color="auto"/>
            </w:tcBorders>
            <w:shd w:val="clear" w:color="auto" w:fill="auto"/>
            <w:hideMark/>
          </w:tcPr>
          <w:p w14:paraId="71820873"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248B08DC" w14:textId="77777777" w:rsidR="00862A01" w:rsidRPr="00872D7E" w:rsidRDefault="00862A01" w:rsidP="00862A01">
            <w:pPr>
              <w:jc w:val="right"/>
              <w:rPr>
                <w:color w:val="000000"/>
                <w:sz w:val="14"/>
                <w:szCs w:val="14"/>
              </w:rPr>
            </w:pPr>
            <w:r w:rsidRPr="00872D7E">
              <w:rPr>
                <w:color w:val="000000"/>
                <w:sz w:val="14"/>
                <w:szCs w:val="14"/>
              </w:rPr>
              <w:t>72</w:t>
            </w:r>
          </w:p>
        </w:tc>
        <w:tc>
          <w:tcPr>
            <w:tcW w:w="412" w:type="pct"/>
            <w:tcBorders>
              <w:top w:val="nil"/>
              <w:left w:val="single" w:sz="4" w:space="0" w:color="auto"/>
              <w:bottom w:val="nil"/>
              <w:right w:val="single" w:sz="4" w:space="0" w:color="auto"/>
            </w:tcBorders>
            <w:shd w:val="clear" w:color="000000" w:fill="FFFFFF"/>
            <w:vAlign w:val="center"/>
            <w:hideMark/>
          </w:tcPr>
          <w:p w14:paraId="04DF94C0" w14:textId="77777777" w:rsidR="00862A01" w:rsidRPr="00872D7E" w:rsidRDefault="00862A01" w:rsidP="00862A01">
            <w:pPr>
              <w:jc w:val="right"/>
              <w:rPr>
                <w:b/>
                <w:bCs/>
                <w:color w:val="000000"/>
                <w:sz w:val="14"/>
                <w:szCs w:val="14"/>
              </w:rPr>
            </w:pPr>
            <w:r w:rsidRPr="00872D7E">
              <w:rPr>
                <w:b/>
                <w:bCs/>
                <w:color w:val="000000"/>
                <w:sz w:val="14"/>
                <w:szCs w:val="14"/>
              </w:rPr>
              <w:t>26.074</w:t>
            </w:r>
          </w:p>
        </w:tc>
        <w:tc>
          <w:tcPr>
            <w:tcW w:w="480" w:type="pct"/>
            <w:tcBorders>
              <w:top w:val="nil"/>
              <w:left w:val="nil"/>
              <w:bottom w:val="nil"/>
              <w:right w:val="single" w:sz="4" w:space="0" w:color="auto"/>
            </w:tcBorders>
            <w:shd w:val="clear" w:color="000000" w:fill="FFFFFF"/>
            <w:vAlign w:val="center"/>
            <w:hideMark/>
          </w:tcPr>
          <w:p w14:paraId="105A3F67" w14:textId="77777777" w:rsidR="00862A01" w:rsidRPr="00872D7E" w:rsidRDefault="00862A01" w:rsidP="00862A01">
            <w:pPr>
              <w:jc w:val="right"/>
              <w:rPr>
                <w:color w:val="000000"/>
                <w:sz w:val="14"/>
                <w:szCs w:val="14"/>
              </w:rPr>
            </w:pPr>
            <w:r w:rsidRPr="00872D7E">
              <w:rPr>
                <w:color w:val="000000"/>
                <w:sz w:val="14"/>
                <w:szCs w:val="14"/>
              </w:rPr>
              <w:t>26.146</w:t>
            </w:r>
          </w:p>
        </w:tc>
        <w:tc>
          <w:tcPr>
            <w:tcW w:w="411" w:type="pct"/>
            <w:tcBorders>
              <w:top w:val="nil"/>
              <w:left w:val="nil"/>
              <w:bottom w:val="nil"/>
              <w:right w:val="single" w:sz="4" w:space="0" w:color="auto"/>
            </w:tcBorders>
            <w:shd w:val="clear" w:color="000000" w:fill="FFFFFF"/>
            <w:vAlign w:val="center"/>
            <w:hideMark/>
          </w:tcPr>
          <w:p w14:paraId="713F07FD"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1A22703F"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3638D3C4"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67596E6F"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2D6BA3C5" w14:textId="77777777" w:rsidR="00862A01" w:rsidRPr="00872D7E" w:rsidRDefault="00862A01" w:rsidP="00862A01">
            <w:pPr>
              <w:rPr>
                <w:color w:val="000000"/>
                <w:sz w:val="14"/>
                <w:szCs w:val="14"/>
              </w:rPr>
            </w:pPr>
            <w:r w:rsidRPr="00872D7E">
              <w:rPr>
                <w:color w:val="000000"/>
                <w:sz w:val="14"/>
                <w:szCs w:val="14"/>
              </w:rPr>
              <w:t>6.2</w:t>
            </w:r>
          </w:p>
        </w:tc>
        <w:tc>
          <w:tcPr>
            <w:tcW w:w="1746" w:type="pct"/>
            <w:tcBorders>
              <w:top w:val="nil"/>
              <w:left w:val="nil"/>
              <w:bottom w:val="nil"/>
              <w:right w:val="nil"/>
            </w:tcBorders>
            <w:shd w:val="clear" w:color="auto" w:fill="auto"/>
            <w:hideMark/>
          </w:tcPr>
          <w:p w14:paraId="157687CC" w14:textId="77777777" w:rsidR="00862A01" w:rsidRPr="00872D7E" w:rsidRDefault="00862A01" w:rsidP="00862A01">
            <w:pPr>
              <w:rPr>
                <w:color w:val="000000"/>
                <w:sz w:val="14"/>
                <w:szCs w:val="14"/>
              </w:rPr>
            </w:pPr>
            <w:r w:rsidRPr="00872D7E">
              <w:rPr>
                <w:color w:val="000000"/>
                <w:sz w:val="14"/>
                <w:szCs w:val="14"/>
              </w:rPr>
              <w:t>Türev Finansal Yükümlülüklerin Gerçeğe Uygun Değer Farkı Diğer Kapsamlı Gelire Yansıtılan Kısmı</w:t>
            </w:r>
          </w:p>
        </w:tc>
        <w:tc>
          <w:tcPr>
            <w:tcW w:w="377" w:type="pct"/>
            <w:tcBorders>
              <w:top w:val="nil"/>
              <w:left w:val="single" w:sz="4" w:space="0" w:color="auto"/>
              <w:bottom w:val="nil"/>
              <w:right w:val="single" w:sz="4" w:space="0" w:color="auto"/>
            </w:tcBorders>
            <w:shd w:val="clear" w:color="auto" w:fill="auto"/>
            <w:hideMark/>
          </w:tcPr>
          <w:p w14:paraId="7F445EAB"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7CF0C3D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3B96543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112AA47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2BF4502F"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56B4E494"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74B1E2DF"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507797D9"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6CEE880A" w14:textId="77777777" w:rsidR="00862A01" w:rsidRPr="00872D7E" w:rsidRDefault="00862A01" w:rsidP="00862A01">
            <w:pPr>
              <w:rPr>
                <w:b/>
                <w:bCs/>
                <w:color w:val="000000"/>
                <w:sz w:val="14"/>
                <w:szCs w:val="14"/>
              </w:rPr>
            </w:pPr>
            <w:r w:rsidRPr="00872D7E">
              <w:rPr>
                <w:b/>
                <w:bCs/>
                <w:color w:val="000000"/>
                <w:sz w:val="14"/>
                <w:szCs w:val="14"/>
              </w:rPr>
              <w:t>VII.</w:t>
            </w:r>
          </w:p>
        </w:tc>
        <w:tc>
          <w:tcPr>
            <w:tcW w:w="1746" w:type="pct"/>
            <w:tcBorders>
              <w:top w:val="nil"/>
              <w:left w:val="nil"/>
              <w:bottom w:val="nil"/>
              <w:right w:val="nil"/>
            </w:tcBorders>
            <w:shd w:val="clear" w:color="auto" w:fill="auto"/>
            <w:hideMark/>
          </w:tcPr>
          <w:p w14:paraId="15E5E12B" w14:textId="77777777" w:rsidR="00862A01" w:rsidRPr="00872D7E" w:rsidRDefault="00862A01" w:rsidP="00862A01">
            <w:pPr>
              <w:rPr>
                <w:b/>
                <w:bCs/>
                <w:color w:val="000000"/>
                <w:sz w:val="14"/>
                <w:szCs w:val="14"/>
              </w:rPr>
            </w:pPr>
            <w:r w:rsidRPr="00872D7E">
              <w:rPr>
                <w:b/>
                <w:bCs/>
                <w:color w:val="000000"/>
                <w:sz w:val="14"/>
                <w:szCs w:val="14"/>
              </w:rPr>
              <w:t>KİRALAMA İŞLEMLERİNDEN YÜKÜMLÜLÜKLER</w:t>
            </w:r>
          </w:p>
        </w:tc>
        <w:tc>
          <w:tcPr>
            <w:tcW w:w="377" w:type="pct"/>
            <w:tcBorders>
              <w:top w:val="nil"/>
              <w:left w:val="single" w:sz="4" w:space="0" w:color="auto"/>
              <w:bottom w:val="nil"/>
              <w:right w:val="single" w:sz="4" w:space="0" w:color="auto"/>
            </w:tcBorders>
            <w:shd w:val="clear" w:color="auto" w:fill="auto"/>
            <w:hideMark/>
          </w:tcPr>
          <w:p w14:paraId="2EFBFA13" w14:textId="77777777" w:rsidR="00862A01" w:rsidRPr="00872D7E" w:rsidRDefault="00862A01" w:rsidP="00862A01">
            <w:pPr>
              <w:jc w:val="center"/>
              <w:rPr>
                <w:b/>
                <w:bCs/>
                <w:color w:val="000000"/>
                <w:sz w:val="14"/>
                <w:szCs w:val="14"/>
              </w:rPr>
            </w:pPr>
            <w:r w:rsidRPr="00872D7E">
              <w:rPr>
                <w:b/>
                <w:bCs/>
                <w:color w:val="000000"/>
                <w:sz w:val="14"/>
                <w:szCs w:val="14"/>
              </w:rPr>
              <w:t>(4)</w:t>
            </w:r>
          </w:p>
        </w:tc>
        <w:tc>
          <w:tcPr>
            <w:tcW w:w="378" w:type="pct"/>
            <w:tcBorders>
              <w:top w:val="nil"/>
              <w:left w:val="nil"/>
              <w:bottom w:val="nil"/>
              <w:right w:val="nil"/>
            </w:tcBorders>
            <w:shd w:val="clear" w:color="000000" w:fill="FFFFFF"/>
            <w:vAlign w:val="center"/>
            <w:hideMark/>
          </w:tcPr>
          <w:p w14:paraId="13B5815F" w14:textId="77777777" w:rsidR="00862A01" w:rsidRPr="00872D7E" w:rsidRDefault="00862A01" w:rsidP="00862A01">
            <w:pPr>
              <w:jc w:val="right"/>
              <w:rPr>
                <w:b/>
                <w:bCs/>
                <w:color w:val="000000"/>
                <w:sz w:val="14"/>
                <w:szCs w:val="14"/>
              </w:rPr>
            </w:pPr>
            <w:r w:rsidRPr="00872D7E">
              <w:rPr>
                <w:b/>
                <w:bCs/>
                <w:color w:val="000000"/>
                <w:sz w:val="14"/>
                <w:szCs w:val="14"/>
              </w:rPr>
              <w:t>118.104</w:t>
            </w:r>
          </w:p>
        </w:tc>
        <w:tc>
          <w:tcPr>
            <w:tcW w:w="412" w:type="pct"/>
            <w:tcBorders>
              <w:top w:val="nil"/>
              <w:left w:val="single" w:sz="4" w:space="0" w:color="auto"/>
              <w:bottom w:val="nil"/>
              <w:right w:val="single" w:sz="4" w:space="0" w:color="auto"/>
            </w:tcBorders>
            <w:shd w:val="clear" w:color="000000" w:fill="FFFFFF"/>
            <w:vAlign w:val="center"/>
            <w:hideMark/>
          </w:tcPr>
          <w:p w14:paraId="3530E48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2FBB6EFA" w14:textId="77777777" w:rsidR="00862A01" w:rsidRPr="00872D7E" w:rsidRDefault="00862A01" w:rsidP="00862A01">
            <w:pPr>
              <w:jc w:val="right"/>
              <w:rPr>
                <w:b/>
                <w:bCs/>
                <w:color w:val="000000"/>
                <w:sz w:val="14"/>
                <w:szCs w:val="14"/>
              </w:rPr>
            </w:pPr>
            <w:r w:rsidRPr="00872D7E">
              <w:rPr>
                <w:b/>
                <w:bCs/>
                <w:color w:val="000000"/>
                <w:sz w:val="14"/>
                <w:szCs w:val="14"/>
              </w:rPr>
              <w:t>118.104</w:t>
            </w:r>
          </w:p>
        </w:tc>
        <w:tc>
          <w:tcPr>
            <w:tcW w:w="411" w:type="pct"/>
            <w:tcBorders>
              <w:top w:val="nil"/>
              <w:left w:val="nil"/>
              <w:bottom w:val="nil"/>
              <w:right w:val="single" w:sz="4" w:space="0" w:color="auto"/>
            </w:tcBorders>
            <w:shd w:val="clear" w:color="000000" w:fill="FFFFFF"/>
            <w:vAlign w:val="center"/>
            <w:hideMark/>
          </w:tcPr>
          <w:p w14:paraId="449D2A30" w14:textId="77777777" w:rsidR="00862A01" w:rsidRPr="00872D7E" w:rsidRDefault="00862A01" w:rsidP="00862A01">
            <w:pPr>
              <w:jc w:val="right"/>
              <w:rPr>
                <w:b/>
                <w:bCs/>
                <w:color w:val="000000"/>
                <w:sz w:val="14"/>
                <w:szCs w:val="14"/>
              </w:rPr>
            </w:pPr>
            <w:r w:rsidRPr="00872D7E">
              <w:rPr>
                <w:b/>
                <w:bCs/>
                <w:color w:val="000000"/>
                <w:sz w:val="14"/>
                <w:szCs w:val="14"/>
              </w:rPr>
              <w:t>5.745</w:t>
            </w:r>
          </w:p>
        </w:tc>
        <w:tc>
          <w:tcPr>
            <w:tcW w:w="343" w:type="pct"/>
            <w:tcBorders>
              <w:top w:val="nil"/>
              <w:left w:val="nil"/>
              <w:bottom w:val="nil"/>
              <w:right w:val="single" w:sz="4" w:space="0" w:color="auto"/>
            </w:tcBorders>
            <w:shd w:val="clear" w:color="000000" w:fill="FFFFFF"/>
            <w:vAlign w:val="center"/>
            <w:hideMark/>
          </w:tcPr>
          <w:p w14:paraId="5C68443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270D9E1D" w14:textId="77777777" w:rsidR="00862A01" w:rsidRPr="00872D7E" w:rsidRDefault="00862A01" w:rsidP="00862A01">
            <w:pPr>
              <w:jc w:val="right"/>
              <w:rPr>
                <w:b/>
                <w:bCs/>
                <w:color w:val="000000"/>
                <w:sz w:val="14"/>
                <w:szCs w:val="14"/>
              </w:rPr>
            </w:pPr>
            <w:r w:rsidRPr="00872D7E">
              <w:rPr>
                <w:b/>
                <w:bCs/>
                <w:color w:val="000000"/>
                <w:sz w:val="14"/>
                <w:szCs w:val="14"/>
              </w:rPr>
              <w:t>5.745</w:t>
            </w:r>
          </w:p>
        </w:tc>
      </w:tr>
      <w:tr w:rsidR="00862A01" w:rsidRPr="00872D7E" w14:paraId="4D1A2652"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17094D74" w14:textId="77777777" w:rsidR="00862A01" w:rsidRPr="00872D7E" w:rsidRDefault="00862A01" w:rsidP="00862A01">
            <w:pPr>
              <w:rPr>
                <w:b/>
                <w:bCs/>
                <w:color w:val="000000"/>
                <w:sz w:val="14"/>
                <w:szCs w:val="14"/>
              </w:rPr>
            </w:pPr>
            <w:r w:rsidRPr="00872D7E">
              <w:rPr>
                <w:b/>
                <w:bCs/>
                <w:color w:val="000000"/>
                <w:sz w:val="14"/>
                <w:szCs w:val="14"/>
              </w:rPr>
              <w:t xml:space="preserve">VIII. </w:t>
            </w:r>
          </w:p>
        </w:tc>
        <w:tc>
          <w:tcPr>
            <w:tcW w:w="1746" w:type="pct"/>
            <w:tcBorders>
              <w:top w:val="nil"/>
              <w:left w:val="nil"/>
              <w:bottom w:val="nil"/>
              <w:right w:val="nil"/>
            </w:tcBorders>
            <w:shd w:val="clear" w:color="auto" w:fill="auto"/>
            <w:hideMark/>
          </w:tcPr>
          <w:p w14:paraId="5AED2B03" w14:textId="77777777" w:rsidR="00862A01" w:rsidRPr="00872D7E" w:rsidRDefault="00862A01" w:rsidP="00862A01">
            <w:pPr>
              <w:rPr>
                <w:b/>
                <w:bCs/>
                <w:color w:val="000000"/>
                <w:sz w:val="14"/>
                <w:szCs w:val="14"/>
              </w:rPr>
            </w:pPr>
            <w:r w:rsidRPr="00872D7E">
              <w:rPr>
                <w:b/>
                <w:bCs/>
                <w:color w:val="000000"/>
                <w:sz w:val="14"/>
                <w:szCs w:val="14"/>
              </w:rPr>
              <w:t>KARŞILIKLAR</w:t>
            </w:r>
          </w:p>
        </w:tc>
        <w:tc>
          <w:tcPr>
            <w:tcW w:w="377" w:type="pct"/>
            <w:tcBorders>
              <w:top w:val="nil"/>
              <w:left w:val="single" w:sz="4" w:space="0" w:color="auto"/>
              <w:bottom w:val="nil"/>
              <w:right w:val="single" w:sz="4" w:space="0" w:color="auto"/>
            </w:tcBorders>
            <w:shd w:val="clear" w:color="auto" w:fill="auto"/>
            <w:hideMark/>
          </w:tcPr>
          <w:p w14:paraId="5798040E" w14:textId="77777777" w:rsidR="00862A01" w:rsidRPr="00872D7E" w:rsidRDefault="00862A01" w:rsidP="00862A01">
            <w:pPr>
              <w:jc w:val="center"/>
              <w:rPr>
                <w:b/>
                <w:bCs/>
                <w:color w:val="000000"/>
                <w:sz w:val="14"/>
                <w:szCs w:val="14"/>
              </w:rPr>
            </w:pPr>
            <w:r w:rsidRPr="00872D7E">
              <w:rPr>
                <w:b/>
                <w:bCs/>
                <w:color w:val="000000"/>
                <w:sz w:val="14"/>
                <w:szCs w:val="14"/>
              </w:rPr>
              <w:t>(6)</w:t>
            </w:r>
          </w:p>
        </w:tc>
        <w:tc>
          <w:tcPr>
            <w:tcW w:w="378" w:type="pct"/>
            <w:tcBorders>
              <w:top w:val="nil"/>
              <w:left w:val="nil"/>
              <w:bottom w:val="nil"/>
              <w:right w:val="nil"/>
            </w:tcBorders>
            <w:shd w:val="clear" w:color="000000" w:fill="FFFFFF"/>
            <w:vAlign w:val="center"/>
            <w:hideMark/>
          </w:tcPr>
          <w:p w14:paraId="7DE0717D" w14:textId="77777777" w:rsidR="00862A01" w:rsidRPr="00872D7E" w:rsidRDefault="00862A01" w:rsidP="00862A01">
            <w:pPr>
              <w:jc w:val="right"/>
              <w:rPr>
                <w:b/>
                <w:bCs/>
                <w:color w:val="000000"/>
                <w:sz w:val="14"/>
                <w:szCs w:val="14"/>
              </w:rPr>
            </w:pPr>
            <w:r w:rsidRPr="00872D7E">
              <w:rPr>
                <w:b/>
                <w:bCs/>
                <w:color w:val="000000"/>
                <w:sz w:val="14"/>
                <w:szCs w:val="14"/>
              </w:rPr>
              <w:t>283.059</w:t>
            </w:r>
          </w:p>
        </w:tc>
        <w:tc>
          <w:tcPr>
            <w:tcW w:w="412" w:type="pct"/>
            <w:tcBorders>
              <w:top w:val="nil"/>
              <w:left w:val="single" w:sz="4" w:space="0" w:color="auto"/>
              <w:bottom w:val="nil"/>
              <w:right w:val="single" w:sz="4" w:space="0" w:color="auto"/>
            </w:tcBorders>
            <w:shd w:val="clear" w:color="000000" w:fill="FFFFFF"/>
            <w:vAlign w:val="center"/>
            <w:hideMark/>
          </w:tcPr>
          <w:p w14:paraId="266EB189" w14:textId="77777777" w:rsidR="00862A01" w:rsidRPr="00872D7E" w:rsidRDefault="00862A01" w:rsidP="00862A01">
            <w:pPr>
              <w:jc w:val="right"/>
              <w:rPr>
                <w:b/>
                <w:bCs/>
                <w:color w:val="000000"/>
                <w:sz w:val="14"/>
                <w:szCs w:val="14"/>
              </w:rPr>
            </w:pPr>
            <w:r w:rsidRPr="00872D7E">
              <w:rPr>
                <w:b/>
                <w:bCs/>
                <w:color w:val="000000"/>
                <w:sz w:val="14"/>
                <w:szCs w:val="14"/>
              </w:rPr>
              <w:t>116.012</w:t>
            </w:r>
          </w:p>
        </w:tc>
        <w:tc>
          <w:tcPr>
            <w:tcW w:w="480" w:type="pct"/>
            <w:tcBorders>
              <w:top w:val="nil"/>
              <w:left w:val="nil"/>
              <w:bottom w:val="nil"/>
              <w:right w:val="single" w:sz="4" w:space="0" w:color="auto"/>
            </w:tcBorders>
            <w:shd w:val="clear" w:color="000000" w:fill="FFFFFF"/>
            <w:vAlign w:val="center"/>
            <w:hideMark/>
          </w:tcPr>
          <w:p w14:paraId="7F9DA89C" w14:textId="77777777" w:rsidR="00862A01" w:rsidRPr="00872D7E" w:rsidRDefault="00862A01" w:rsidP="00862A01">
            <w:pPr>
              <w:jc w:val="right"/>
              <w:rPr>
                <w:b/>
                <w:bCs/>
                <w:color w:val="000000"/>
                <w:sz w:val="14"/>
                <w:szCs w:val="14"/>
              </w:rPr>
            </w:pPr>
            <w:r w:rsidRPr="00872D7E">
              <w:rPr>
                <w:b/>
                <w:bCs/>
                <w:color w:val="000000"/>
                <w:sz w:val="14"/>
                <w:szCs w:val="14"/>
              </w:rPr>
              <w:t>399.071</w:t>
            </w:r>
          </w:p>
        </w:tc>
        <w:tc>
          <w:tcPr>
            <w:tcW w:w="411" w:type="pct"/>
            <w:tcBorders>
              <w:top w:val="nil"/>
              <w:left w:val="nil"/>
              <w:bottom w:val="nil"/>
              <w:right w:val="single" w:sz="4" w:space="0" w:color="auto"/>
            </w:tcBorders>
            <w:shd w:val="clear" w:color="000000" w:fill="FFFFFF"/>
            <w:vAlign w:val="center"/>
            <w:hideMark/>
          </w:tcPr>
          <w:p w14:paraId="5E5A72B0" w14:textId="77777777" w:rsidR="00862A01" w:rsidRPr="00872D7E" w:rsidRDefault="00862A01" w:rsidP="00862A01">
            <w:pPr>
              <w:jc w:val="right"/>
              <w:rPr>
                <w:b/>
                <w:bCs/>
                <w:color w:val="000000"/>
                <w:sz w:val="14"/>
                <w:szCs w:val="14"/>
              </w:rPr>
            </w:pPr>
            <w:r w:rsidRPr="00872D7E">
              <w:rPr>
                <w:b/>
                <w:bCs/>
                <w:color w:val="000000"/>
                <w:sz w:val="14"/>
                <w:szCs w:val="14"/>
              </w:rPr>
              <w:t>39.699</w:t>
            </w:r>
          </w:p>
        </w:tc>
        <w:tc>
          <w:tcPr>
            <w:tcW w:w="343" w:type="pct"/>
            <w:tcBorders>
              <w:top w:val="nil"/>
              <w:left w:val="nil"/>
              <w:bottom w:val="nil"/>
              <w:right w:val="single" w:sz="4" w:space="0" w:color="auto"/>
            </w:tcBorders>
            <w:shd w:val="clear" w:color="000000" w:fill="FFFFFF"/>
            <w:vAlign w:val="center"/>
            <w:hideMark/>
          </w:tcPr>
          <w:p w14:paraId="4EEEBA4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376C342B" w14:textId="77777777" w:rsidR="00862A01" w:rsidRPr="00872D7E" w:rsidRDefault="00862A01" w:rsidP="00862A01">
            <w:pPr>
              <w:jc w:val="right"/>
              <w:rPr>
                <w:b/>
                <w:bCs/>
                <w:color w:val="000000"/>
                <w:sz w:val="14"/>
                <w:szCs w:val="14"/>
              </w:rPr>
            </w:pPr>
            <w:r w:rsidRPr="00872D7E">
              <w:rPr>
                <w:b/>
                <w:bCs/>
                <w:color w:val="000000"/>
                <w:sz w:val="14"/>
                <w:szCs w:val="14"/>
              </w:rPr>
              <w:t>39.699</w:t>
            </w:r>
          </w:p>
        </w:tc>
      </w:tr>
      <w:tr w:rsidR="00862A01" w:rsidRPr="00872D7E" w14:paraId="7C15067B"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7F3CE350" w14:textId="77777777" w:rsidR="00862A01" w:rsidRPr="00872D7E" w:rsidRDefault="00862A01" w:rsidP="00862A01">
            <w:pPr>
              <w:rPr>
                <w:color w:val="000000"/>
                <w:sz w:val="14"/>
                <w:szCs w:val="14"/>
              </w:rPr>
            </w:pPr>
            <w:r w:rsidRPr="00872D7E">
              <w:rPr>
                <w:color w:val="000000"/>
                <w:sz w:val="14"/>
                <w:szCs w:val="14"/>
              </w:rPr>
              <w:t>8.1</w:t>
            </w:r>
          </w:p>
        </w:tc>
        <w:tc>
          <w:tcPr>
            <w:tcW w:w="1746" w:type="pct"/>
            <w:tcBorders>
              <w:top w:val="nil"/>
              <w:left w:val="nil"/>
              <w:bottom w:val="nil"/>
              <w:right w:val="nil"/>
            </w:tcBorders>
            <w:shd w:val="clear" w:color="auto" w:fill="auto"/>
            <w:hideMark/>
          </w:tcPr>
          <w:p w14:paraId="5DE977DC" w14:textId="77777777" w:rsidR="00862A01" w:rsidRPr="00872D7E" w:rsidRDefault="00862A01" w:rsidP="00862A01">
            <w:pPr>
              <w:rPr>
                <w:color w:val="000000"/>
                <w:sz w:val="14"/>
                <w:szCs w:val="14"/>
              </w:rPr>
            </w:pPr>
            <w:r w:rsidRPr="00872D7E">
              <w:rPr>
                <w:color w:val="000000"/>
                <w:sz w:val="14"/>
                <w:szCs w:val="14"/>
              </w:rPr>
              <w:t>Genel Karşılıklar</w:t>
            </w:r>
          </w:p>
        </w:tc>
        <w:tc>
          <w:tcPr>
            <w:tcW w:w="377" w:type="pct"/>
            <w:tcBorders>
              <w:top w:val="nil"/>
              <w:left w:val="single" w:sz="4" w:space="0" w:color="auto"/>
              <w:bottom w:val="nil"/>
              <w:right w:val="single" w:sz="4" w:space="0" w:color="auto"/>
            </w:tcBorders>
            <w:shd w:val="clear" w:color="auto" w:fill="auto"/>
            <w:hideMark/>
          </w:tcPr>
          <w:p w14:paraId="60A8203E"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2CE9C4E3" w14:textId="77777777" w:rsidR="00862A01" w:rsidRPr="00872D7E" w:rsidRDefault="00862A01" w:rsidP="00862A01">
            <w:pPr>
              <w:jc w:val="right"/>
              <w:rPr>
                <w:color w:val="000000"/>
                <w:sz w:val="14"/>
                <w:szCs w:val="14"/>
              </w:rPr>
            </w:pPr>
            <w:r w:rsidRPr="00872D7E">
              <w:rPr>
                <w:color w:val="000000"/>
                <w:sz w:val="14"/>
                <w:szCs w:val="14"/>
              </w:rPr>
              <w:t>253.923</w:t>
            </w:r>
          </w:p>
        </w:tc>
        <w:tc>
          <w:tcPr>
            <w:tcW w:w="412" w:type="pct"/>
            <w:tcBorders>
              <w:top w:val="nil"/>
              <w:left w:val="single" w:sz="4" w:space="0" w:color="auto"/>
              <w:bottom w:val="nil"/>
              <w:right w:val="single" w:sz="4" w:space="0" w:color="auto"/>
            </w:tcBorders>
            <w:shd w:val="clear" w:color="000000" w:fill="FFFFFF"/>
            <w:vAlign w:val="center"/>
            <w:hideMark/>
          </w:tcPr>
          <w:p w14:paraId="1F33148E" w14:textId="77777777" w:rsidR="00862A01" w:rsidRPr="00872D7E" w:rsidRDefault="00862A01" w:rsidP="00862A01">
            <w:pPr>
              <w:jc w:val="right"/>
              <w:rPr>
                <w:color w:val="000000"/>
                <w:sz w:val="14"/>
                <w:szCs w:val="14"/>
              </w:rPr>
            </w:pPr>
            <w:r w:rsidRPr="00872D7E">
              <w:rPr>
                <w:color w:val="000000"/>
                <w:sz w:val="14"/>
                <w:szCs w:val="14"/>
              </w:rPr>
              <w:t>116.012</w:t>
            </w:r>
          </w:p>
        </w:tc>
        <w:tc>
          <w:tcPr>
            <w:tcW w:w="480" w:type="pct"/>
            <w:tcBorders>
              <w:top w:val="nil"/>
              <w:left w:val="nil"/>
              <w:bottom w:val="nil"/>
              <w:right w:val="single" w:sz="4" w:space="0" w:color="auto"/>
            </w:tcBorders>
            <w:shd w:val="clear" w:color="000000" w:fill="FFFFFF"/>
            <w:vAlign w:val="center"/>
            <w:hideMark/>
          </w:tcPr>
          <w:p w14:paraId="05A84822" w14:textId="77777777" w:rsidR="00862A01" w:rsidRPr="00872D7E" w:rsidRDefault="00862A01" w:rsidP="00862A01">
            <w:pPr>
              <w:jc w:val="right"/>
              <w:rPr>
                <w:color w:val="000000"/>
                <w:sz w:val="14"/>
                <w:szCs w:val="14"/>
              </w:rPr>
            </w:pPr>
            <w:r w:rsidRPr="00872D7E">
              <w:rPr>
                <w:color w:val="000000"/>
                <w:sz w:val="14"/>
                <w:szCs w:val="14"/>
              </w:rPr>
              <w:t>369.935</w:t>
            </w:r>
          </w:p>
        </w:tc>
        <w:tc>
          <w:tcPr>
            <w:tcW w:w="411" w:type="pct"/>
            <w:tcBorders>
              <w:top w:val="nil"/>
              <w:left w:val="nil"/>
              <w:bottom w:val="nil"/>
              <w:right w:val="single" w:sz="4" w:space="0" w:color="auto"/>
            </w:tcBorders>
            <w:shd w:val="clear" w:color="000000" w:fill="FFFFFF"/>
            <w:vAlign w:val="center"/>
            <w:hideMark/>
          </w:tcPr>
          <w:p w14:paraId="23E3EAD7" w14:textId="77777777" w:rsidR="00862A01" w:rsidRPr="00872D7E" w:rsidRDefault="00862A01" w:rsidP="00862A01">
            <w:pPr>
              <w:jc w:val="right"/>
              <w:rPr>
                <w:color w:val="000000"/>
                <w:sz w:val="14"/>
                <w:szCs w:val="14"/>
              </w:rPr>
            </w:pPr>
            <w:r w:rsidRPr="00872D7E">
              <w:rPr>
                <w:color w:val="000000"/>
                <w:sz w:val="14"/>
                <w:szCs w:val="14"/>
              </w:rPr>
              <w:t>88</w:t>
            </w:r>
          </w:p>
        </w:tc>
        <w:tc>
          <w:tcPr>
            <w:tcW w:w="343" w:type="pct"/>
            <w:tcBorders>
              <w:top w:val="nil"/>
              <w:left w:val="nil"/>
              <w:bottom w:val="nil"/>
              <w:right w:val="single" w:sz="4" w:space="0" w:color="auto"/>
            </w:tcBorders>
            <w:shd w:val="clear" w:color="000000" w:fill="FFFFFF"/>
            <w:vAlign w:val="center"/>
            <w:hideMark/>
          </w:tcPr>
          <w:p w14:paraId="79B4ED34"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2CFCDF73" w14:textId="77777777" w:rsidR="00862A01" w:rsidRPr="00872D7E" w:rsidRDefault="00862A01" w:rsidP="00862A01">
            <w:pPr>
              <w:jc w:val="right"/>
              <w:rPr>
                <w:color w:val="000000"/>
                <w:sz w:val="14"/>
                <w:szCs w:val="14"/>
              </w:rPr>
            </w:pPr>
            <w:r w:rsidRPr="00872D7E">
              <w:rPr>
                <w:color w:val="000000"/>
                <w:sz w:val="14"/>
                <w:szCs w:val="14"/>
              </w:rPr>
              <w:t>88</w:t>
            </w:r>
          </w:p>
        </w:tc>
      </w:tr>
      <w:tr w:rsidR="00862A01" w:rsidRPr="00872D7E" w14:paraId="48EE3A28"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4DA6965E" w14:textId="77777777" w:rsidR="00862A01" w:rsidRPr="00872D7E" w:rsidRDefault="00862A01" w:rsidP="00862A01">
            <w:pPr>
              <w:rPr>
                <w:color w:val="000000"/>
                <w:sz w:val="14"/>
                <w:szCs w:val="14"/>
              </w:rPr>
            </w:pPr>
            <w:r w:rsidRPr="00872D7E">
              <w:rPr>
                <w:color w:val="000000"/>
                <w:sz w:val="14"/>
                <w:szCs w:val="14"/>
              </w:rPr>
              <w:t>8.2</w:t>
            </w:r>
          </w:p>
        </w:tc>
        <w:tc>
          <w:tcPr>
            <w:tcW w:w="1746" w:type="pct"/>
            <w:tcBorders>
              <w:top w:val="nil"/>
              <w:left w:val="nil"/>
              <w:bottom w:val="nil"/>
              <w:right w:val="nil"/>
            </w:tcBorders>
            <w:shd w:val="clear" w:color="auto" w:fill="auto"/>
            <w:hideMark/>
          </w:tcPr>
          <w:p w14:paraId="0AE36D64" w14:textId="77777777" w:rsidR="00862A01" w:rsidRPr="00872D7E" w:rsidRDefault="00862A01" w:rsidP="00862A01">
            <w:pPr>
              <w:rPr>
                <w:color w:val="000000"/>
                <w:sz w:val="14"/>
                <w:szCs w:val="14"/>
              </w:rPr>
            </w:pPr>
            <w:r w:rsidRPr="00872D7E">
              <w:rPr>
                <w:color w:val="000000"/>
                <w:sz w:val="14"/>
                <w:szCs w:val="14"/>
              </w:rPr>
              <w:t>Yeniden Yapılanma Karşılığı</w:t>
            </w:r>
          </w:p>
        </w:tc>
        <w:tc>
          <w:tcPr>
            <w:tcW w:w="377" w:type="pct"/>
            <w:tcBorders>
              <w:top w:val="nil"/>
              <w:left w:val="single" w:sz="4" w:space="0" w:color="auto"/>
              <w:bottom w:val="nil"/>
              <w:right w:val="single" w:sz="4" w:space="0" w:color="auto"/>
            </w:tcBorders>
            <w:shd w:val="clear" w:color="auto" w:fill="auto"/>
            <w:hideMark/>
          </w:tcPr>
          <w:p w14:paraId="51E8559E"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5929626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23B087E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465B2A4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32727CFA"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6D3154B7"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188BDEC7"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5B69ABBD"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7639DD68" w14:textId="77777777" w:rsidR="00862A01" w:rsidRPr="00872D7E" w:rsidRDefault="00862A01" w:rsidP="00862A01">
            <w:pPr>
              <w:rPr>
                <w:color w:val="000000"/>
                <w:sz w:val="14"/>
                <w:szCs w:val="14"/>
              </w:rPr>
            </w:pPr>
            <w:r w:rsidRPr="00872D7E">
              <w:rPr>
                <w:color w:val="000000"/>
                <w:sz w:val="14"/>
                <w:szCs w:val="14"/>
              </w:rPr>
              <w:t>8.3</w:t>
            </w:r>
          </w:p>
        </w:tc>
        <w:tc>
          <w:tcPr>
            <w:tcW w:w="1746" w:type="pct"/>
            <w:tcBorders>
              <w:top w:val="nil"/>
              <w:left w:val="nil"/>
              <w:bottom w:val="nil"/>
              <w:right w:val="nil"/>
            </w:tcBorders>
            <w:shd w:val="clear" w:color="auto" w:fill="auto"/>
            <w:hideMark/>
          </w:tcPr>
          <w:p w14:paraId="24EFC68F" w14:textId="77777777" w:rsidR="00862A01" w:rsidRPr="00872D7E" w:rsidRDefault="00862A01" w:rsidP="00862A01">
            <w:pPr>
              <w:rPr>
                <w:color w:val="000000"/>
                <w:sz w:val="14"/>
                <w:szCs w:val="14"/>
              </w:rPr>
            </w:pPr>
            <w:r w:rsidRPr="00872D7E">
              <w:rPr>
                <w:color w:val="000000"/>
                <w:sz w:val="14"/>
                <w:szCs w:val="14"/>
              </w:rPr>
              <w:t>Çalışan Hakları Karşılığı</w:t>
            </w:r>
          </w:p>
        </w:tc>
        <w:tc>
          <w:tcPr>
            <w:tcW w:w="377" w:type="pct"/>
            <w:tcBorders>
              <w:top w:val="nil"/>
              <w:left w:val="single" w:sz="4" w:space="0" w:color="auto"/>
              <w:bottom w:val="nil"/>
              <w:right w:val="single" w:sz="4" w:space="0" w:color="auto"/>
            </w:tcBorders>
            <w:shd w:val="clear" w:color="auto" w:fill="auto"/>
            <w:hideMark/>
          </w:tcPr>
          <w:p w14:paraId="1DA12575"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4A26B43F" w14:textId="77777777" w:rsidR="00862A01" w:rsidRPr="00872D7E" w:rsidRDefault="00862A01" w:rsidP="00862A01">
            <w:pPr>
              <w:jc w:val="right"/>
              <w:rPr>
                <w:color w:val="000000"/>
                <w:sz w:val="14"/>
                <w:szCs w:val="14"/>
              </w:rPr>
            </w:pPr>
            <w:r w:rsidRPr="00872D7E">
              <w:rPr>
                <w:color w:val="000000"/>
                <w:sz w:val="14"/>
                <w:szCs w:val="14"/>
              </w:rPr>
              <w:t>29.085</w:t>
            </w:r>
          </w:p>
        </w:tc>
        <w:tc>
          <w:tcPr>
            <w:tcW w:w="412" w:type="pct"/>
            <w:tcBorders>
              <w:top w:val="nil"/>
              <w:left w:val="single" w:sz="4" w:space="0" w:color="auto"/>
              <w:bottom w:val="nil"/>
              <w:right w:val="single" w:sz="4" w:space="0" w:color="auto"/>
            </w:tcBorders>
            <w:shd w:val="clear" w:color="000000" w:fill="FFFFFF"/>
            <w:vAlign w:val="center"/>
            <w:hideMark/>
          </w:tcPr>
          <w:p w14:paraId="49DDBE5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5ADACC57" w14:textId="77777777" w:rsidR="00862A01" w:rsidRPr="00872D7E" w:rsidRDefault="00862A01" w:rsidP="00862A01">
            <w:pPr>
              <w:jc w:val="right"/>
              <w:rPr>
                <w:color w:val="000000"/>
                <w:sz w:val="14"/>
                <w:szCs w:val="14"/>
              </w:rPr>
            </w:pPr>
            <w:r w:rsidRPr="00872D7E">
              <w:rPr>
                <w:color w:val="000000"/>
                <w:sz w:val="14"/>
                <w:szCs w:val="14"/>
              </w:rPr>
              <w:t>29.085</w:t>
            </w:r>
          </w:p>
        </w:tc>
        <w:tc>
          <w:tcPr>
            <w:tcW w:w="411" w:type="pct"/>
            <w:tcBorders>
              <w:top w:val="nil"/>
              <w:left w:val="nil"/>
              <w:bottom w:val="nil"/>
              <w:right w:val="single" w:sz="4" w:space="0" w:color="auto"/>
            </w:tcBorders>
            <w:shd w:val="clear" w:color="000000" w:fill="FFFFFF"/>
            <w:vAlign w:val="center"/>
            <w:hideMark/>
          </w:tcPr>
          <w:p w14:paraId="16DE182C" w14:textId="77777777" w:rsidR="00862A01" w:rsidRPr="00872D7E" w:rsidRDefault="00862A01" w:rsidP="00862A01">
            <w:pPr>
              <w:jc w:val="right"/>
              <w:rPr>
                <w:color w:val="000000"/>
                <w:sz w:val="14"/>
                <w:szCs w:val="14"/>
              </w:rPr>
            </w:pPr>
            <w:r w:rsidRPr="00872D7E">
              <w:rPr>
                <w:color w:val="000000"/>
                <w:sz w:val="14"/>
                <w:szCs w:val="14"/>
              </w:rPr>
              <w:t>30.867</w:t>
            </w:r>
          </w:p>
        </w:tc>
        <w:tc>
          <w:tcPr>
            <w:tcW w:w="343" w:type="pct"/>
            <w:tcBorders>
              <w:top w:val="nil"/>
              <w:left w:val="nil"/>
              <w:bottom w:val="nil"/>
              <w:right w:val="single" w:sz="4" w:space="0" w:color="auto"/>
            </w:tcBorders>
            <w:shd w:val="clear" w:color="000000" w:fill="FFFFFF"/>
            <w:vAlign w:val="center"/>
            <w:hideMark/>
          </w:tcPr>
          <w:p w14:paraId="61521F68"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268BC74D" w14:textId="77777777" w:rsidR="00862A01" w:rsidRPr="00872D7E" w:rsidRDefault="00862A01" w:rsidP="00862A01">
            <w:pPr>
              <w:jc w:val="right"/>
              <w:rPr>
                <w:color w:val="000000"/>
                <w:sz w:val="14"/>
                <w:szCs w:val="14"/>
              </w:rPr>
            </w:pPr>
            <w:r w:rsidRPr="00872D7E">
              <w:rPr>
                <w:color w:val="000000"/>
                <w:sz w:val="14"/>
                <w:szCs w:val="14"/>
              </w:rPr>
              <w:t>30.867</w:t>
            </w:r>
          </w:p>
        </w:tc>
      </w:tr>
      <w:tr w:rsidR="00862A01" w:rsidRPr="00872D7E" w14:paraId="2A4E0754"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7FEE5888" w14:textId="77777777" w:rsidR="00862A01" w:rsidRPr="00872D7E" w:rsidRDefault="00862A01" w:rsidP="00862A01">
            <w:pPr>
              <w:rPr>
                <w:color w:val="000000"/>
                <w:sz w:val="14"/>
                <w:szCs w:val="14"/>
              </w:rPr>
            </w:pPr>
            <w:r w:rsidRPr="00872D7E">
              <w:rPr>
                <w:color w:val="000000"/>
                <w:sz w:val="14"/>
                <w:szCs w:val="14"/>
              </w:rPr>
              <w:t>8.4</w:t>
            </w:r>
          </w:p>
        </w:tc>
        <w:tc>
          <w:tcPr>
            <w:tcW w:w="1746" w:type="pct"/>
            <w:tcBorders>
              <w:top w:val="nil"/>
              <w:left w:val="nil"/>
              <w:bottom w:val="nil"/>
              <w:right w:val="nil"/>
            </w:tcBorders>
            <w:shd w:val="clear" w:color="auto" w:fill="auto"/>
            <w:hideMark/>
          </w:tcPr>
          <w:p w14:paraId="75C768AB" w14:textId="77777777" w:rsidR="00862A01" w:rsidRPr="00872D7E" w:rsidRDefault="00862A01" w:rsidP="00862A01">
            <w:pPr>
              <w:rPr>
                <w:color w:val="000000"/>
                <w:sz w:val="14"/>
                <w:szCs w:val="14"/>
              </w:rPr>
            </w:pPr>
            <w:r w:rsidRPr="00872D7E">
              <w:rPr>
                <w:color w:val="000000"/>
                <w:sz w:val="14"/>
                <w:szCs w:val="14"/>
              </w:rPr>
              <w:t>Sigorta Teknik Karşılıkları (Net)</w:t>
            </w:r>
          </w:p>
        </w:tc>
        <w:tc>
          <w:tcPr>
            <w:tcW w:w="377" w:type="pct"/>
            <w:tcBorders>
              <w:top w:val="nil"/>
              <w:left w:val="single" w:sz="4" w:space="0" w:color="auto"/>
              <w:bottom w:val="nil"/>
              <w:right w:val="single" w:sz="4" w:space="0" w:color="auto"/>
            </w:tcBorders>
            <w:shd w:val="clear" w:color="auto" w:fill="auto"/>
            <w:hideMark/>
          </w:tcPr>
          <w:p w14:paraId="7E074D59"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792F387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2395B45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41349E1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1AA09C96"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1EA3F8FE"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1393DB3A"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50E0BCC0"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0E7BF164" w14:textId="77777777" w:rsidR="00862A01" w:rsidRPr="00872D7E" w:rsidRDefault="00862A01" w:rsidP="00862A01">
            <w:pPr>
              <w:rPr>
                <w:color w:val="000000"/>
                <w:sz w:val="14"/>
                <w:szCs w:val="14"/>
              </w:rPr>
            </w:pPr>
            <w:r w:rsidRPr="00872D7E">
              <w:rPr>
                <w:color w:val="000000"/>
                <w:sz w:val="14"/>
                <w:szCs w:val="14"/>
              </w:rPr>
              <w:t>8.5</w:t>
            </w:r>
          </w:p>
        </w:tc>
        <w:tc>
          <w:tcPr>
            <w:tcW w:w="1746" w:type="pct"/>
            <w:tcBorders>
              <w:top w:val="nil"/>
              <w:left w:val="nil"/>
              <w:bottom w:val="nil"/>
              <w:right w:val="nil"/>
            </w:tcBorders>
            <w:shd w:val="clear" w:color="auto" w:fill="auto"/>
            <w:hideMark/>
          </w:tcPr>
          <w:p w14:paraId="43E854EE" w14:textId="77777777" w:rsidR="00862A01" w:rsidRPr="00872D7E" w:rsidRDefault="00862A01" w:rsidP="00862A01">
            <w:pPr>
              <w:rPr>
                <w:color w:val="000000"/>
                <w:sz w:val="14"/>
                <w:szCs w:val="14"/>
              </w:rPr>
            </w:pPr>
            <w:r w:rsidRPr="00872D7E">
              <w:rPr>
                <w:color w:val="000000"/>
                <w:sz w:val="14"/>
                <w:szCs w:val="14"/>
              </w:rPr>
              <w:t>Diğer Karşılıklar</w:t>
            </w:r>
          </w:p>
        </w:tc>
        <w:tc>
          <w:tcPr>
            <w:tcW w:w="377" w:type="pct"/>
            <w:tcBorders>
              <w:top w:val="nil"/>
              <w:left w:val="single" w:sz="4" w:space="0" w:color="auto"/>
              <w:bottom w:val="nil"/>
              <w:right w:val="single" w:sz="4" w:space="0" w:color="auto"/>
            </w:tcBorders>
            <w:shd w:val="clear" w:color="auto" w:fill="auto"/>
            <w:hideMark/>
          </w:tcPr>
          <w:p w14:paraId="430F12DD"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34539169" w14:textId="77777777" w:rsidR="00862A01" w:rsidRPr="00872D7E" w:rsidRDefault="00862A01" w:rsidP="00862A01">
            <w:pPr>
              <w:jc w:val="right"/>
              <w:rPr>
                <w:color w:val="000000"/>
                <w:sz w:val="14"/>
                <w:szCs w:val="14"/>
              </w:rPr>
            </w:pPr>
            <w:r w:rsidRPr="00872D7E">
              <w:rPr>
                <w:color w:val="000000"/>
                <w:sz w:val="14"/>
                <w:szCs w:val="14"/>
              </w:rPr>
              <w:t>51</w:t>
            </w:r>
          </w:p>
        </w:tc>
        <w:tc>
          <w:tcPr>
            <w:tcW w:w="412" w:type="pct"/>
            <w:tcBorders>
              <w:top w:val="nil"/>
              <w:left w:val="single" w:sz="4" w:space="0" w:color="auto"/>
              <w:bottom w:val="nil"/>
              <w:right w:val="single" w:sz="4" w:space="0" w:color="auto"/>
            </w:tcBorders>
            <w:shd w:val="clear" w:color="000000" w:fill="FFFFFF"/>
            <w:vAlign w:val="center"/>
            <w:hideMark/>
          </w:tcPr>
          <w:p w14:paraId="04FE3CEB" w14:textId="77777777" w:rsidR="00862A01" w:rsidRPr="00872D7E" w:rsidRDefault="00862A01" w:rsidP="00862A01">
            <w:pPr>
              <w:jc w:val="right"/>
              <w:rPr>
                <w:color w:val="000000"/>
                <w:sz w:val="14"/>
                <w:szCs w:val="14"/>
              </w:rPr>
            </w:pPr>
            <w:r w:rsidRPr="00872D7E">
              <w:rPr>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2873B9B2" w14:textId="77777777" w:rsidR="00862A01" w:rsidRPr="00872D7E" w:rsidRDefault="00862A01" w:rsidP="00862A01">
            <w:pPr>
              <w:jc w:val="right"/>
              <w:rPr>
                <w:color w:val="000000"/>
                <w:sz w:val="14"/>
                <w:szCs w:val="14"/>
              </w:rPr>
            </w:pPr>
            <w:r w:rsidRPr="00872D7E">
              <w:rPr>
                <w:color w:val="000000"/>
                <w:sz w:val="14"/>
                <w:szCs w:val="14"/>
              </w:rPr>
              <w:t>51</w:t>
            </w:r>
          </w:p>
        </w:tc>
        <w:tc>
          <w:tcPr>
            <w:tcW w:w="411" w:type="pct"/>
            <w:tcBorders>
              <w:top w:val="nil"/>
              <w:left w:val="nil"/>
              <w:bottom w:val="nil"/>
              <w:right w:val="single" w:sz="4" w:space="0" w:color="auto"/>
            </w:tcBorders>
            <w:shd w:val="clear" w:color="000000" w:fill="FFFFFF"/>
            <w:vAlign w:val="center"/>
            <w:hideMark/>
          </w:tcPr>
          <w:p w14:paraId="7AA7AF96" w14:textId="77777777" w:rsidR="00862A01" w:rsidRPr="00872D7E" w:rsidRDefault="00862A01" w:rsidP="00862A01">
            <w:pPr>
              <w:jc w:val="right"/>
              <w:rPr>
                <w:color w:val="000000"/>
                <w:sz w:val="14"/>
                <w:szCs w:val="14"/>
              </w:rPr>
            </w:pPr>
            <w:r w:rsidRPr="00872D7E">
              <w:rPr>
                <w:color w:val="000000"/>
                <w:sz w:val="14"/>
                <w:szCs w:val="14"/>
              </w:rPr>
              <w:t>8.744</w:t>
            </w:r>
          </w:p>
        </w:tc>
        <w:tc>
          <w:tcPr>
            <w:tcW w:w="343" w:type="pct"/>
            <w:tcBorders>
              <w:top w:val="nil"/>
              <w:left w:val="nil"/>
              <w:bottom w:val="nil"/>
              <w:right w:val="single" w:sz="4" w:space="0" w:color="auto"/>
            </w:tcBorders>
            <w:shd w:val="clear" w:color="000000" w:fill="FFFFFF"/>
            <w:vAlign w:val="center"/>
            <w:hideMark/>
          </w:tcPr>
          <w:p w14:paraId="0E080A1A"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65783D9E" w14:textId="77777777" w:rsidR="00862A01" w:rsidRPr="00872D7E" w:rsidRDefault="00862A01" w:rsidP="00862A01">
            <w:pPr>
              <w:jc w:val="right"/>
              <w:rPr>
                <w:color w:val="000000"/>
                <w:sz w:val="14"/>
                <w:szCs w:val="14"/>
              </w:rPr>
            </w:pPr>
            <w:r w:rsidRPr="00872D7E">
              <w:rPr>
                <w:color w:val="000000"/>
                <w:sz w:val="14"/>
                <w:szCs w:val="14"/>
              </w:rPr>
              <w:t>8.744</w:t>
            </w:r>
          </w:p>
        </w:tc>
      </w:tr>
      <w:tr w:rsidR="00862A01" w:rsidRPr="00872D7E" w14:paraId="21CC8AF5"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58B5F03C" w14:textId="77777777" w:rsidR="00862A01" w:rsidRPr="00872D7E" w:rsidRDefault="00862A01" w:rsidP="00862A01">
            <w:pPr>
              <w:rPr>
                <w:b/>
                <w:bCs/>
                <w:color w:val="000000"/>
                <w:sz w:val="14"/>
                <w:szCs w:val="14"/>
              </w:rPr>
            </w:pPr>
            <w:r w:rsidRPr="00872D7E">
              <w:rPr>
                <w:b/>
                <w:bCs/>
                <w:color w:val="000000"/>
                <w:sz w:val="14"/>
                <w:szCs w:val="14"/>
              </w:rPr>
              <w:t>IX.</w:t>
            </w:r>
          </w:p>
        </w:tc>
        <w:tc>
          <w:tcPr>
            <w:tcW w:w="1746" w:type="pct"/>
            <w:tcBorders>
              <w:top w:val="nil"/>
              <w:left w:val="nil"/>
              <w:bottom w:val="nil"/>
              <w:right w:val="nil"/>
            </w:tcBorders>
            <w:shd w:val="clear" w:color="auto" w:fill="auto"/>
            <w:hideMark/>
          </w:tcPr>
          <w:p w14:paraId="56CE0982" w14:textId="77777777" w:rsidR="00862A01" w:rsidRPr="00872D7E" w:rsidRDefault="00862A01" w:rsidP="00862A01">
            <w:pPr>
              <w:rPr>
                <w:b/>
                <w:bCs/>
                <w:color w:val="000000"/>
                <w:sz w:val="14"/>
                <w:szCs w:val="14"/>
              </w:rPr>
            </w:pPr>
            <w:r w:rsidRPr="00872D7E">
              <w:rPr>
                <w:b/>
                <w:bCs/>
                <w:color w:val="000000"/>
                <w:sz w:val="14"/>
                <w:szCs w:val="14"/>
              </w:rPr>
              <w:t>CARİ VERGİ BORCU</w:t>
            </w:r>
          </w:p>
        </w:tc>
        <w:tc>
          <w:tcPr>
            <w:tcW w:w="377" w:type="pct"/>
            <w:tcBorders>
              <w:top w:val="nil"/>
              <w:left w:val="single" w:sz="4" w:space="0" w:color="auto"/>
              <w:bottom w:val="nil"/>
              <w:right w:val="single" w:sz="4" w:space="0" w:color="auto"/>
            </w:tcBorders>
            <w:shd w:val="clear" w:color="auto" w:fill="auto"/>
            <w:hideMark/>
          </w:tcPr>
          <w:p w14:paraId="394FA6A7" w14:textId="77777777" w:rsidR="00862A01" w:rsidRPr="00872D7E" w:rsidRDefault="00862A01" w:rsidP="00862A01">
            <w:pPr>
              <w:jc w:val="center"/>
              <w:rPr>
                <w:b/>
                <w:bCs/>
                <w:color w:val="000000"/>
                <w:sz w:val="14"/>
                <w:szCs w:val="14"/>
              </w:rPr>
            </w:pPr>
            <w:r w:rsidRPr="00872D7E">
              <w:rPr>
                <w:b/>
                <w:bCs/>
                <w:color w:val="000000"/>
                <w:sz w:val="14"/>
                <w:szCs w:val="14"/>
              </w:rPr>
              <w:t>(7)</w:t>
            </w:r>
          </w:p>
        </w:tc>
        <w:tc>
          <w:tcPr>
            <w:tcW w:w="378" w:type="pct"/>
            <w:tcBorders>
              <w:top w:val="nil"/>
              <w:left w:val="nil"/>
              <w:bottom w:val="nil"/>
              <w:right w:val="nil"/>
            </w:tcBorders>
            <w:shd w:val="clear" w:color="000000" w:fill="FFFFFF"/>
            <w:vAlign w:val="center"/>
            <w:hideMark/>
          </w:tcPr>
          <w:p w14:paraId="3FB93A1F" w14:textId="77777777" w:rsidR="00862A01" w:rsidRPr="00872D7E" w:rsidRDefault="00862A01" w:rsidP="00862A01">
            <w:pPr>
              <w:jc w:val="right"/>
              <w:rPr>
                <w:b/>
                <w:bCs/>
                <w:color w:val="000000"/>
                <w:sz w:val="14"/>
                <w:szCs w:val="14"/>
              </w:rPr>
            </w:pPr>
            <w:r w:rsidRPr="00872D7E">
              <w:rPr>
                <w:b/>
                <w:bCs/>
                <w:color w:val="000000"/>
                <w:sz w:val="14"/>
                <w:szCs w:val="14"/>
              </w:rPr>
              <w:t>299.527</w:t>
            </w:r>
          </w:p>
        </w:tc>
        <w:tc>
          <w:tcPr>
            <w:tcW w:w="412" w:type="pct"/>
            <w:tcBorders>
              <w:top w:val="nil"/>
              <w:left w:val="single" w:sz="4" w:space="0" w:color="auto"/>
              <w:bottom w:val="nil"/>
              <w:right w:val="single" w:sz="4" w:space="0" w:color="auto"/>
            </w:tcBorders>
            <w:shd w:val="clear" w:color="000000" w:fill="FFFFFF"/>
            <w:vAlign w:val="center"/>
            <w:hideMark/>
          </w:tcPr>
          <w:p w14:paraId="3FF78ED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17302800" w14:textId="77777777" w:rsidR="00862A01" w:rsidRPr="00872D7E" w:rsidRDefault="00862A01" w:rsidP="00862A01">
            <w:pPr>
              <w:jc w:val="right"/>
              <w:rPr>
                <w:b/>
                <w:bCs/>
                <w:color w:val="000000"/>
                <w:sz w:val="14"/>
                <w:szCs w:val="14"/>
              </w:rPr>
            </w:pPr>
            <w:r w:rsidRPr="00872D7E">
              <w:rPr>
                <w:b/>
                <w:bCs/>
                <w:color w:val="000000"/>
                <w:sz w:val="14"/>
                <w:szCs w:val="14"/>
              </w:rPr>
              <w:t>299.527</w:t>
            </w:r>
          </w:p>
        </w:tc>
        <w:tc>
          <w:tcPr>
            <w:tcW w:w="411" w:type="pct"/>
            <w:tcBorders>
              <w:top w:val="nil"/>
              <w:left w:val="nil"/>
              <w:bottom w:val="nil"/>
              <w:right w:val="single" w:sz="4" w:space="0" w:color="auto"/>
            </w:tcBorders>
            <w:shd w:val="clear" w:color="000000" w:fill="FFFFFF"/>
            <w:vAlign w:val="center"/>
            <w:hideMark/>
          </w:tcPr>
          <w:p w14:paraId="2D7B4392" w14:textId="77777777" w:rsidR="00862A01" w:rsidRPr="00872D7E" w:rsidRDefault="00862A01" w:rsidP="00862A01">
            <w:pPr>
              <w:jc w:val="right"/>
              <w:rPr>
                <w:b/>
                <w:bCs/>
                <w:color w:val="000000"/>
                <w:sz w:val="14"/>
                <w:szCs w:val="14"/>
              </w:rPr>
            </w:pPr>
            <w:r w:rsidRPr="00872D7E">
              <w:rPr>
                <w:b/>
                <w:bCs/>
                <w:color w:val="000000"/>
                <w:sz w:val="14"/>
                <w:szCs w:val="14"/>
              </w:rPr>
              <w:t>8.072</w:t>
            </w:r>
          </w:p>
        </w:tc>
        <w:tc>
          <w:tcPr>
            <w:tcW w:w="343" w:type="pct"/>
            <w:tcBorders>
              <w:top w:val="nil"/>
              <w:left w:val="nil"/>
              <w:bottom w:val="nil"/>
              <w:right w:val="single" w:sz="4" w:space="0" w:color="auto"/>
            </w:tcBorders>
            <w:shd w:val="clear" w:color="000000" w:fill="FFFFFF"/>
            <w:vAlign w:val="center"/>
            <w:hideMark/>
          </w:tcPr>
          <w:p w14:paraId="6CDBFB0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4E39FDDB" w14:textId="77777777" w:rsidR="00862A01" w:rsidRPr="00872D7E" w:rsidRDefault="00862A01" w:rsidP="00862A01">
            <w:pPr>
              <w:jc w:val="right"/>
              <w:rPr>
                <w:b/>
                <w:bCs/>
                <w:color w:val="000000"/>
                <w:sz w:val="14"/>
                <w:szCs w:val="14"/>
              </w:rPr>
            </w:pPr>
            <w:r w:rsidRPr="00872D7E">
              <w:rPr>
                <w:b/>
                <w:bCs/>
                <w:color w:val="000000"/>
                <w:sz w:val="14"/>
                <w:szCs w:val="14"/>
              </w:rPr>
              <w:t>8.072</w:t>
            </w:r>
          </w:p>
        </w:tc>
      </w:tr>
      <w:tr w:rsidR="00862A01" w:rsidRPr="00872D7E" w14:paraId="023FFFAF"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3EFBAF06" w14:textId="77777777" w:rsidR="00862A01" w:rsidRPr="00872D7E" w:rsidRDefault="00862A01" w:rsidP="00862A01">
            <w:pPr>
              <w:rPr>
                <w:b/>
                <w:bCs/>
                <w:color w:val="000000"/>
                <w:sz w:val="14"/>
                <w:szCs w:val="14"/>
              </w:rPr>
            </w:pPr>
            <w:r w:rsidRPr="00872D7E">
              <w:rPr>
                <w:b/>
                <w:bCs/>
                <w:color w:val="000000"/>
                <w:sz w:val="14"/>
                <w:szCs w:val="14"/>
              </w:rPr>
              <w:t>X.</w:t>
            </w:r>
          </w:p>
        </w:tc>
        <w:tc>
          <w:tcPr>
            <w:tcW w:w="1746" w:type="pct"/>
            <w:tcBorders>
              <w:top w:val="nil"/>
              <w:left w:val="nil"/>
              <w:bottom w:val="nil"/>
              <w:right w:val="nil"/>
            </w:tcBorders>
            <w:shd w:val="clear" w:color="auto" w:fill="auto"/>
            <w:hideMark/>
          </w:tcPr>
          <w:p w14:paraId="587640BC" w14:textId="77777777" w:rsidR="00862A01" w:rsidRPr="00872D7E" w:rsidRDefault="00862A01" w:rsidP="00862A01">
            <w:pPr>
              <w:rPr>
                <w:b/>
                <w:bCs/>
                <w:color w:val="000000"/>
                <w:sz w:val="14"/>
                <w:szCs w:val="14"/>
              </w:rPr>
            </w:pPr>
            <w:r w:rsidRPr="00872D7E">
              <w:rPr>
                <w:b/>
                <w:bCs/>
                <w:color w:val="000000"/>
                <w:sz w:val="14"/>
                <w:szCs w:val="14"/>
              </w:rPr>
              <w:t>ERTELENMİŞ VERGİ BORCU</w:t>
            </w:r>
          </w:p>
        </w:tc>
        <w:tc>
          <w:tcPr>
            <w:tcW w:w="377" w:type="pct"/>
            <w:tcBorders>
              <w:top w:val="nil"/>
              <w:left w:val="single" w:sz="4" w:space="0" w:color="auto"/>
              <w:bottom w:val="nil"/>
              <w:right w:val="single" w:sz="4" w:space="0" w:color="auto"/>
            </w:tcBorders>
            <w:shd w:val="clear" w:color="auto" w:fill="auto"/>
            <w:hideMark/>
          </w:tcPr>
          <w:p w14:paraId="4B9E580B" w14:textId="77777777" w:rsidR="00862A01" w:rsidRPr="00872D7E" w:rsidRDefault="00862A01" w:rsidP="00862A01">
            <w:pPr>
              <w:jc w:val="center"/>
              <w:rPr>
                <w:b/>
                <w:bCs/>
                <w:color w:val="000000"/>
                <w:sz w:val="14"/>
                <w:szCs w:val="14"/>
                <w:lang w:eastAsia="tr-TR"/>
              </w:rPr>
            </w:pPr>
            <w:r w:rsidRPr="00872D7E">
              <w:rPr>
                <w:b/>
                <w:bCs/>
                <w:color w:val="000000"/>
                <w:sz w:val="14"/>
                <w:szCs w:val="14"/>
              </w:rPr>
              <w:t> </w:t>
            </w:r>
          </w:p>
        </w:tc>
        <w:tc>
          <w:tcPr>
            <w:tcW w:w="378" w:type="pct"/>
            <w:tcBorders>
              <w:top w:val="nil"/>
              <w:left w:val="nil"/>
              <w:bottom w:val="nil"/>
              <w:right w:val="nil"/>
            </w:tcBorders>
            <w:shd w:val="clear" w:color="000000" w:fill="FFFFFF"/>
            <w:vAlign w:val="center"/>
            <w:hideMark/>
          </w:tcPr>
          <w:p w14:paraId="14A47F7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05BB513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E27D2B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58CCB77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40A70E3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63D87651"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0FE38800"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6C409285" w14:textId="77777777" w:rsidR="00862A01" w:rsidRPr="00872D7E" w:rsidRDefault="00862A01" w:rsidP="00862A01">
            <w:pPr>
              <w:rPr>
                <w:b/>
                <w:bCs/>
                <w:color w:val="000000"/>
                <w:sz w:val="14"/>
                <w:szCs w:val="14"/>
              </w:rPr>
            </w:pPr>
            <w:r w:rsidRPr="00872D7E">
              <w:rPr>
                <w:b/>
                <w:bCs/>
                <w:color w:val="000000"/>
                <w:sz w:val="14"/>
                <w:szCs w:val="14"/>
              </w:rPr>
              <w:t>XI.</w:t>
            </w:r>
          </w:p>
        </w:tc>
        <w:tc>
          <w:tcPr>
            <w:tcW w:w="1746" w:type="pct"/>
            <w:tcBorders>
              <w:top w:val="nil"/>
              <w:left w:val="nil"/>
              <w:bottom w:val="nil"/>
              <w:right w:val="nil"/>
            </w:tcBorders>
            <w:shd w:val="clear" w:color="auto" w:fill="auto"/>
            <w:hideMark/>
          </w:tcPr>
          <w:p w14:paraId="0441F022" w14:textId="77777777" w:rsidR="00862A01" w:rsidRPr="00872D7E" w:rsidRDefault="00862A01" w:rsidP="00862A01">
            <w:pPr>
              <w:rPr>
                <w:b/>
                <w:bCs/>
                <w:color w:val="000000"/>
                <w:sz w:val="14"/>
                <w:szCs w:val="14"/>
              </w:rPr>
            </w:pPr>
            <w:r w:rsidRPr="00872D7E">
              <w:rPr>
                <w:b/>
                <w:bCs/>
                <w:color w:val="000000"/>
                <w:sz w:val="14"/>
                <w:szCs w:val="14"/>
              </w:rPr>
              <w:t>SATIŞ AMAÇLI ELDE TUTULAN VE DURDURULAN FAALİYETLERE İLİŞKİN DURAN VARLIK BORÇLARI (Net)</w:t>
            </w:r>
          </w:p>
        </w:tc>
        <w:tc>
          <w:tcPr>
            <w:tcW w:w="377" w:type="pct"/>
            <w:tcBorders>
              <w:top w:val="nil"/>
              <w:left w:val="single" w:sz="4" w:space="0" w:color="auto"/>
              <w:bottom w:val="nil"/>
              <w:right w:val="single" w:sz="4" w:space="0" w:color="auto"/>
            </w:tcBorders>
            <w:shd w:val="clear" w:color="auto" w:fill="auto"/>
            <w:hideMark/>
          </w:tcPr>
          <w:p w14:paraId="70A5FD79" w14:textId="77777777" w:rsidR="00862A01" w:rsidRPr="00872D7E" w:rsidRDefault="00862A01" w:rsidP="00862A01">
            <w:pPr>
              <w:jc w:val="center"/>
              <w:rPr>
                <w:b/>
                <w:bCs/>
                <w:color w:val="000000"/>
                <w:sz w:val="14"/>
                <w:szCs w:val="14"/>
                <w:lang w:eastAsia="tr-TR"/>
              </w:rPr>
            </w:pPr>
            <w:r w:rsidRPr="00872D7E">
              <w:rPr>
                <w:b/>
                <w:bCs/>
                <w:color w:val="000000"/>
                <w:sz w:val="14"/>
                <w:szCs w:val="14"/>
              </w:rPr>
              <w:t> </w:t>
            </w:r>
          </w:p>
        </w:tc>
        <w:tc>
          <w:tcPr>
            <w:tcW w:w="378" w:type="pct"/>
            <w:tcBorders>
              <w:top w:val="nil"/>
              <w:left w:val="nil"/>
              <w:bottom w:val="nil"/>
              <w:right w:val="nil"/>
            </w:tcBorders>
            <w:shd w:val="clear" w:color="000000" w:fill="FFFFFF"/>
            <w:vAlign w:val="center"/>
            <w:hideMark/>
          </w:tcPr>
          <w:p w14:paraId="2AFA02D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544BE3E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E73AB3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367BB4E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42D7884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61944337"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2131E709"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26E51482" w14:textId="77777777" w:rsidR="00862A01" w:rsidRPr="00872D7E" w:rsidRDefault="00862A01" w:rsidP="00862A01">
            <w:pPr>
              <w:rPr>
                <w:color w:val="000000"/>
                <w:sz w:val="14"/>
                <w:szCs w:val="14"/>
              </w:rPr>
            </w:pPr>
            <w:r w:rsidRPr="00872D7E">
              <w:rPr>
                <w:color w:val="000000"/>
                <w:sz w:val="14"/>
                <w:szCs w:val="14"/>
              </w:rPr>
              <w:t>11.1</w:t>
            </w:r>
          </w:p>
        </w:tc>
        <w:tc>
          <w:tcPr>
            <w:tcW w:w="1746" w:type="pct"/>
            <w:tcBorders>
              <w:top w:val="nil"/>
              <w:left w:val="nil"/>
              <w:bottom w:val="nil"/>
              <w:right w:val="nil"/>
            </w:tcBorders>
            <w:shd w:val="clear" w:color="auto" w:fill="auto"/>
            <w:hideMark/>
          </w:tcPr>
          <w:p w14:paraId="3D509505" w14:textId="77777777" w:rsidR="00862A01" w:rsidRPr="00872D7E" w:rsidRDefault="00862A01" w:rsidP="00862A01">
            <w:pPr>
              <w:rPr>
                <w:color w:val="000000"/>
                <w:sz w:val="14"/>
                <w:szCs w:val="14"/>
              </w:rPr>
            </w:pPr>
            <w:r w:rsidRPr="00872D7E">
              <w:rPr>
                <w:color w:val="000000"/>
                <w:sz w:val="14"/>
                <w:szCs w:val="14"/>
              </w:rPr>
              <w:t xml:space="preserve">Satış Amaçlı </w:t>
            </w:r>
          </w:p>
        </w:tc>
        <w:tc>
          <w:tcPr>
            <w:tcW w:w="377" w:type="pct"/>
            <w:tcBorders>
              <w:top w:val="nil"/>
              <w:left w:val="single" w:sz="4" w:space="0" w:color="auto"/>
              <w:bottom w:val="nil"/>
              <w:right w:val="single" w:sz="4" w:space="0" w:color="auto"/>
            </w:tcBorders>
            <w:shd w:val="clear" w:color="auto" w:fill="auto"/>
            <w:hideMark/>
          </w:tcPr>
          <w:p w14:paraId="5771B9D5" w14:textId="77777777" w:rsidR="00862A01" w:rsidRPr="00872D7E" w:rsidRDefault="00862A01" w:rsidP="00862A01">
            <w:pPr>
              <w:jc w:val="center"/>
              <w:rPr>
                <w:b/>
                <w:bCs/>
                <w:color w:val="000000"/>
                <w:sz w:val="14"/>
                <w:szCs w:val="14"/>
                <w:lang w:eastAsia="tr-TR"/>
              </w:rPr>
            </w:pPr>
            <w:r w:rsidRPr="00872D7E">
              <w:rPr>
                <w:b/>
                <w:bCs/>
                <w:color w:val="000000"/>
                <w:sz w:val="14"/>
                <w:szCs w:val="14"/>
              </w:rPr>
              <w:t> </w:t>
            </w:r>
          </w:p>
        </w:tc>
        <w:tc>
          <w:tcPr>
            <w:tcW w:w="378" w:type="pct"/>
            <w:tcBorders>
              <w:top w:val="nil"/>
              <w:left w:val="nil"/>
              <w:bottom w:val="nil"/>
              <w:right w:val="nil"/>
            </w:tcBorders>
            <w:shd w:val="clear" w:color="000000" w:fill="FFFFFF"/>
            <w:vAlign w:val="center"/>
            <w:hideMark/>
          </w:tcPr>
          <w:p w14:paraId="40F2F22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433F95F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969AEA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665E08CB"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40844291"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2CFA80F4"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3EE37CFC"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1279084F" w14:textId="77777777" w:rsidR="00862A01" w:rsidRPr="00872D7E" w:rsidRDefault="00862A01" w:rsidP="00862A01">
            <w:pPr>
              <w:rPr>
                <w:color w:val="000000"/>
                <w:sz w:val="14"/>
                <w:szCs w:val="14"/>
              </w:rPr>
            </w:pPr>
            <w:r w:rsidRPr="00872D7E">
              <w:rPr>
                <w:color w:val="000000"/>
                <w:sz w:val="14"/>
                <w:szCs w:val="14"/>
              </w:rPr>
              <w:t>11.2</w:t>
            </w:r>
          </w:p>
        </w:tc>
        <w:tc>
          <w:tcPr>
            <w:tcW w:w="1746" w:type="pct"/>
            <w:tcBorders>
              <w:top w:val="nil"/>
              <w:left w:val="nil"/>
              <w:bottom w:val="nil"/>
              <w:right w:val="nil"/>
            </w:tcBorders>
            <w:shd w:val="clear" w:color="auto" w:fill="auto"/>
            <w:hideMark/>
          </w:tcPr>
          <w:p w14:paraId="48406F7A" w14:textId="77777777" w:rsidR="00862A01" w:rsidRPr="00872D7E" w:rsidRDefault="00862A01" w:rsidP="00862A01">
            <w:pPr>
              <w:rPr>
                <w:color w:val="000000"/>
                <w:sz w:val="14"/>
                <w:szCs w:val="14"/>
              </w:rPr>
            </w:pPr>
            <w:r w:rsidRPr="00872D7E">
              <w:rPr>
                <w:color w:val="000000"/>
                <w:sz w:val="14"/>
                <w:szCs w:val="14"/>
              </w:rPr>
              <w:t>Durdurulan Faaliyetlere İlişkin</w:t>
            </w:r>
          </w:p>
        </w:tc>
        <w:tc>
          <w:tcPr>
            <w:tcW w:w="377" w:type="pct"/>
            <w:tcBorders>
              <w:top w:val="nil"/>
              <w:left w:val="single" w:sz="4" w:space="0" w:color="auto"/>
              <w:bottom w:val="nil"/>
              <w:right w:val="single" w:sz="4" w:space="0" w:color="auto"/>
            </w:tcBorders>
            <w:shd w:val="clear" w:color="auto" w:fill="auto"/>
            <w:hideMark/>
          </w:tcPr>
          <w:p w14:paraId="6B017EAC" w14:textId="77777777" w:rsidR="00862A01" w:rsidRPr="00872D7E" w:rsidRDefault="00862A01" w:rsidP="00862A01">
            <w:pPr>
              <w:jc w:val="center"/>
              <w:rPr>
                <w:b/>
                <w:bCs/>
                <w:color w:val="000000"/>
                <w:sz w:val="14"/>
                <w:szCs w:val="14"/>
                <w:lang w:eastAsia="tr-TR"/>
              </w:rPr>
            </w:pPr>
            <w:r w:rsidRPr="00872D7E">
              <w:rPr>
                <w:b/>
                <w:bCs/>
                <w:color w:val="000000"/>
                <w:sz w:val="14"/>
                <w:szCs w:val="14"/>
              </w:rPr>
              <w:t> </w:t>
            </w:r>
          </w:p>
        </w:tc>
        <w:tc>
          <w:tcPr>
            <w:tcW w:w="378" w:type="pct"/>
            <w:tcBorders>
              <w:top w:val="nil"/>
              <w:left w:val="nil"/>
              <w:bottom w:val="nil"/>
              <w:right w:val="nil"/>
            </w:tcBorders>
            <w:shd w:val="clear" w:color="000000" w:fill="FFFFFF"/>
            <w:vAlign w:val="center"/>
            <w:hideMark/>
          </w:tcPr>
          <w:p w14:paraId="3365872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58FE574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3066370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5C59B5EC"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78A50947"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6E61F43B"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7A594E16"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383EABA2" w14:textId="77777777" w:rsidR="00862A01" w:rsidRPr="00872D7E" w:rsidRDefault="00862A01" w:rsidP="00862A01">
            <w:pPr>
              <w:rPr>
                <w:b/>
                <w:bCs/>
                <w:color w:val="000000"/>
                <w:sz w:val="14"/>
                <w:szCs w:val="14"/>
              </w:rPr>
            </w:pPr>
            <w:r w:rsidRPr="00872D7E">
              <w:rPr>
                <w:b/>
                <w:bCs/>
                <w:color w:val="000000"/>
                <w:sz w:val="14"/>
                <w:szCs w:val="14"/>
              </w:rPr>
              <w:t>XII.</w:t>
            </w:r>
          </w:p>
        </w:tc>
        <w:tc>
          <w:tcPr>
            <w:tcW w:w="1746" w:type="pct"/>
            <w:tcBorders>
              <w:top w:val="nil"/>
              <w:left w:val="nil"/>
              <w:bottom w:val="nil"/>
              <w:right w:val="nil"/>
            </w:tcBorders>
            <w:shd w:val="clear" w:color="auto" w:fill="auto"/>
            <w:hideMark/>
          </w:tcPr>
          <w:p w14:paraId="574B48C1" w14:textId="77777777" w:rsidR="00862A01" w:rsidRPr="00872D7E" w:rsidRDefault="00862A01" w:rsidP="00862A01">
            <w:pPr>
              <w:rPr>
                <w:b/>
                <w:bCs/>
                <w:color w:val="000000"/>
                <w:sz w:val="14"/>
                <w:szCs w:val="14"/>
              </w:rPr>
            </w:pPr>
            <w:r w:rsidRPr="00872D7E">
              <w:rPr>
                <w:b/>
                <w:bCs/>
                <w:color w:val="000000"/>
                <w:sz w:val="14"/>
                <w:szCs w:val="14"/>
              </w:rPr>
              <w:t>SERMAYE BENZERİ BORÇLANMA ARAÇLARI</w:t>
            </w:r>
          </w:p>
        </w:tc>
        <w:tc>
          <w:tcPr>
            <w:tcW w:w="377" w:type="pct"/>
            <w:tcBorders>
              <w:top w:val="nil"/>
              <w:left w:val="single" w:sz="4" w:space="0" w:color="auto"/>
              <w:bottom w:val="nil"/>
              <w:right w:val="single" w:sz="4" w:space="0" w:color="auto"/>
            </w:tcBorders>
            <w:shd w:val="clear" w:color="auto" w:fill="auto"/>
            <w:hideMark/>
          </w:tcPr>
          <w:p w14:paraId="7E330B52" w14:textId="77777777" w:rsidR="00862A01" w:rsidRPr="00872D7E" w:rsidRDefault="00862A01" w:rsidP="00862A01">
            <w:pPr>
              <w:jc w:val="center"/>
              <w:rPr>
                <w:b/>
                <w:bCs/>
                <w:color w:val="000000"/>
                <w:sz w:val="14"/>
                <w:szCs w:val="14"/>
              </w:rPr>
            </w:pPr>
            <w:r w:rsidRPr="00872D7E">
              <w:rPr>
                <w:b/>
                <w:bCs/>
                <w:color w:val="000000"/>
                <w:sz w:val="14"/>
                <w:szCs w:val="14"/>
              </w:rPr>
              <w:t>(9)</w:t>
            </w:r>
          </w:p>
        </w:tc>
        <w:tc>
          <w:tcPr>
            <w:tcW w:w="378" w:type="pct"/>
            <w:tcBorders>
              <w:top w:val="nil"/>
              <w:left w:val="nil"/>
              <w:bottom w:val="nil"/>
              <w:right w:val="nil"/>
            </w:tcBorders>
            <w:shd w:val="clear" w:color="000000" w:fill="FFFFFF"/>
            <w:vAlign w:val="center"/>
            <w:hideMark/>
          </w:tcPr>
          <w:p w14:paraId="0746489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2E5CAAB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340F109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40FC5B54" w14:textId="77777777" w:rsidR="00862A01" w:rsidRPr="00872D7E" w:rsidRDefault="00862A01" w:rsidP="00862A01">
            <w:pPr>
              <w:jc w:val="right"/>
              <w:rPr>
                <w:b/>
                <w:bCs/>
                <w:color w:val="000000"/>
                <w:sz w:val="14"/>
                <w:szCs w:val="14"/>
              </w:rPr>
            </w:pPr>
            <w:r w:rsidRPr="00872D7E">
              <w:rPr>
                <w:b/>
                <w:bCs/>
                <w:color w:val="000000"/>
                <w:sz w:val="14"/>
                <w:szCs w:val="14"/>
              </w:rPr>
              <w:t>500.000</w:t>
            </w:r>
          </w:p>
        </w:tc>
        <w:tc>
          <w:tcPr>
            <w:tcW w:w="343" w:type="pct"/>
            <w:tcBorders>
              <w:top w:val="nil"/>
              <w:left w:val="nil"/>
              <w:bottom w:val="nil"/>
              <w:right w:val="single" w:sz="4" w:space="0" w:color="auto"/>
            </w:tcBorders>
            <w:shd w:val="clear" w:color="000000" w:fill="FFFFFF"/>
            <w:vAlign w:val="center"/>
            <w:hideMark/>
          </w:tcPr>
          <w:p w14:paraId="2C4883A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74EE705B" w14:textId="77777777" w:rsidR="00862A01" w:rsidRPr="00872D7E" w:rsidRDefault="00862A01" w:rsidP="00862A01">
            <w:pPr>
              <w:jc w:val="right"/>
              <w:rPr>
                <w:b/>
                <w:bCs/>
                <w:color w:val="000000"/>
                <w:sz w:val="14"/>
                <w:szCs w:val="14"/>
              </w:rPr>
            </w:pPr>
            <w:r w:rsidRPr="00872D7E">
              <w:rPr>
                <w:b/>
                <w:bCs/>
                <w:color w:val="000000"/>
                <w:sz w:val="14"/>
                <w:szCs w:val="14"/>
              </w:rPr>
              <w:t>500.000</w:t>
            </w:r>
          </w:p>
        </w:tc>
      </w:tr>
      <w:tr w:rsidR="00862A01" w:rsidRPr="00872D7E" w14:paraId="79548BA4"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4F15AC16" w14:textId="77777777" w:rsidR="00862A01" w:rsidRPr="00872D7E" w:rsidRDefault="00862A01" w:rsidP="00862A01">
            <w:pPr>
              <w:rPr>
                <w:color w:val="000000"/>
                <w:sz w:val="14"/>
                <w:szCs w:val="14"/>
              </w:rPr>
            </w:pPr>
            <w:r w:rsidRPr="00872D7E">
              <w:rPr>
                <w:color w:val="000000"/>
                <w:sz w:val="14"/>
                <w:szCs w:val="14"/>
              </w:rPr>
              <w:t>12.1</w:t>
            </w:r>
          </w:p>
        </w:tc>
        <w:tc>
          <w:tcPr>
            <w:tcW w:w="1746" w:type="pct"/>
            <w:tcBorders>
              <w:top w:val="nil"/>
              <w:left w:val="nil"/>
              <w:bottom w:val="nil"/>
              <w:right w:val="nil"/>
            </w:tcBorders>
            <w:shd w:val="clear" w:color="auto" w:fill="auto"/>
            <w:hideMark/>
          </w:tcPr>
          <w:p w14:paraId="0D7798D8" w14:textId="77777777" w:rsidR="00862A01" w:rsidRPr="00872D7E" w:rsidRDefault="00862A01" w:rsidP="00862A01">
            <w:pPr>
              <w:rPr>
                <w:color w:val="000000"/>
                <w:sz w:val="14"/>
                <w:szCs w:val="14"/>
              </w:rPr>
            </w:pPr>
            <w:r w:rsidRPr="00872D7E">
              <w:rPr>
                <w:color w:val="000000"/>
                <w:sz w:val="14"/>
                <w:szCs w:val="14"/>
              </w:rPr>
              <w:t>Krediler</w:t>
            </w:r>
          </w:p>
        </w:tc>
        <w:tc>
          <w:tcPr>
            <w:tcW w:w="377" w:type="pct"/>
            <w:tcBorders>
              <w:top w:val="nil"/>
              <w:left w:val="single" w:sz="4" w:space="0" w:color="auto"/>
              <w:bottom w:val="nil"/>
              <w:right w:val="single" w:sz="4" w:space="0" w:color="auto"/>
            </w:tcBorders>
            <w:shd w:val="clear" w:color="auto" w:fill="auto"/>
            <w:hideMark/>
          </w:tcPr>
          <w:p w14:paraId="402F4992"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71263B3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62BB346D" w14:textId="77777777" w:rsidR="00862A01" w:rsidRPr="00872D7E" w:rsidRDefault="00862A01" w:rsidP="00862A01">
            <w:pPr>
              <w:jc w:val="right"/>
              <w:rPr>
                <w:color w:val="000000"/>
                <w:sz w:val="14"/>
                <w:szCs w:val="14"/>
              </w:rPr>
            </w:pPr>
            <w:r w:rsidRPr="00872D7E">
              <w:rPr>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42D72C50" w14:textId="77777777" w:rsidR="00862A01" w:rsidRPr="00872D7E" w:rsidRDefault="00862A01" w:rsidP="00862A01">
            <w:pPr>
              <w:jc w:val="right"/>
              <w:rPr>
                <w:color w:val="000000"/>
                <w:sz w:val="14"/>
                <w:szCs w:val="14"/>
              </w:rPr>
            </w:pPr>
            <w:r w:rsidRPr="00872D7E">
              <w:rPr>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53CBD66C" w14:textId="77777777" w:rsidR="00862A01" w:rsidRPr="00872D7E" w:rsidRDefault="00862A01" w:rsidP="00862A01">
            <w:pPr>
              <w:jc w:val="right"/>
              <w:rPr>
                <w:color w:val="000000"/>
                <w:sz w:val="14"/>
                <w:szCs w:val="14"/>
              </w:rPr>
            </w:pPr>
            <w:r w:rsidRPr="00872D7E">
              <w:rPr>
                <w:color w:val="000000"/>
                <w:sz w:val="14"/>
                <w:szCs w:val="14"/>
              </w:rPr>
              <w:t>500.000</w:t>
            </w:r>
          </w:p>
        </w:tc>
        <w:tc>
          <w:tcPr>
            <w:tcW w:w="343" w:type="pct"/>
            <w:tcBorders>
              <w:top w:val="nil"/>
              <w:left w:val="nil"/>
              <w:bottom w:val="nil"/>
              <w:right w:val="single" w:sz="4" w:space="0" w:color="auto"/>
            </w:tcBorders>
            <w:shd w:val="clear" w:color="000000" w:fill="FFFFFF"/>
            <w:vAlign w:val="center"/>
            <w:hideMark/>
          </w:tcPr>
          <w:p w14:paraId="4DEDD383"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37D8201B" w14:textId="77777777" w:rsidR="00862A01" w:rsidRPr="00872D7E" w:rsidRDefault="00862A01" w:rsidP="00862A01">
            <w:pPr>
              <w:jc w:val="right"/>
              <w:rPr>
                <w:color w:val="000000"/>
                <w:sz w:val="14"/>
                <w:szCs w:val="14"/>
              </w:rPr>
            </w:pPr>
            <w:r w:rsidRPr="00872D7E">
              <w:rPr>
                <w:color w:val="000000"/>
                <w:sz w:val="14"/>
                <w:szCs w:val="14"/>
              </w:rPr>
              <w:t>500.000</w:t>
            </w:r>
          </w:p>
        </w:tc>
      </w:tr>
      <w:tr w:rsidR="00862A01" w:rsidRPr="00872D7E" w14:paraId="2D0D1DCB"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3B7DF8A2" w14:textId="77777777" w:rsidR="00862A01" w:rsidRPr="00872D7E" w:rsidRDefault="00862A01" w:rsidP="00862A01">
            <w:pPr>
              <w:rPr>
                <w:color w:val="000000"/>
                <w:sz w:val="14"/>
                <w:szCs w:val="14"/>
              </w:rPr>
            </w:pPr>
            <w:r w:rsidRPr="00872D7E">
              <w:rPr>
                <w:color w:val="000000"/>
                <w:sz w:val="14"/>
                <w:szCs w:val="14"/>
              </w:rPr>
              <w:t>12.2</w:t>
            </w:r>
          </w:p>
        </w:tc>
        <w:tc>
          <w:tcPr>
            <w:tcW w:w="1746" w:type="pct"/>
            <w:tcBorders>
              <w:top w:val="nil"/>
              <w:left w:val="nil"/>
              <w:bottom w:val="nil"/>
              <w:right w:val="nil"/>
            </w:tcBorders>
            <w:shd w:val="clear" w:color="auto" w:fill="auto"/>
            <w:hideMark/>
          </w:tcPr>
          <w:p w14:paraId="6AB8219C" w14:textId="77777777" w:rsidR="00862A01" w:rsidRPr="00872D7E" w:rsidRDefault="00862A01" w:rsidP="00862A01">
            <w:pPr>
              <w:rPr>
                <w:color w:val="000000"/>
                <w:sz w:val="14"/>
                <w:szCs w:val="14"/>
              </w:rPr>
            </w:pPr>
            <w:r w:rsidRPr="00872D7E">
              <w:rPr>
                <w:color w:val="000000"/>
                <w:sz w:val="14"/>
                <w:szCs w:val="14"/>
              </w:rPr>
              <w:t>Diğer Borçlanma Araçları</w:t>
            </w:r>
          </w:p>
        </w:tc>
        <w:tc>
          <w:tcPr>
            <w:tcW w:w="377" w:type="pct"/>
            <w:tcBorders>
              <w:top w:val="nil"/>
              <w:left w:val="single" w:sz="4" w:space="0" w:color="auto"/>
              <w:bottom w:val="nil"/>
              <w:right w:val="single" w:sz="4" w:space="0" w:color="auto"/>
            </w:tcBorders>
            <w:shd w:val="clear" w:color="auto" w:fill="auto"/>
            <w:hideMark/>
          </w:tcPr>
          <w:p w14:paraId="34EE57CE"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36AB568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6623209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6CA6B08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51CFEDAF"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30DE321C"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5735265A"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74157423"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6B3CB914" w14:textId="77777777" w:rsidR="00862A01" w:rsidRPr="00872D7E" w:rsidRDefault="00862A01" w:rsidP="00862A01">
            <w:pPr>
              <w:rPr>
                <w:b/>
                <w:bCs/>
                <w:color w:val="000000"/>
                <w:sz w:val="14"/>
                <w:szCs w:val="14"/>
              </w:rPr>
            </w:pPr>
            <w:r w:rsidRPr="00872D7E">
              <w:rPr>
                <w:b/>
                <w:bCs/>
                <w:color w:val="000000"/>
                <w:sz w:val="14"/>
                <w:szCs w:val="14"/>
              </w:rPr>
              <w:t>XIII.</w:t>
            </w:r>
          </w:p>
        </w:tc>
        <w:tc>
          <w:tcPr>
            <w:tcW w:w="1746" w:type="pct"/>
            <w:tcBorders>
              <w:top w:val="nil"/>
              <w:left w:val="nil"/>
              <w:bottom w:val="nil"/>
              <w:right w:val="nil"/>
            </w:tcBorders>
            <w:shd w:val="clear" w:color="auto" w:fill="auto"/>
            <w:hideMark/>
          </w:tcPr>
          <w:p w14:paraId="13952749" w14:textId="77777777" w:rsidR="00862A01" w:rsidRPr="00872D7E" w:rsidRDefault="00862A01" w:rsidP="00862A01">
            <w:pPr>
              <w:rPr>
                <w:b/>
                <w:bCs/>
                <w:color w:val="000000"/>
                <w:sz w:val="14"/>
                <w:szCs w:val="14"/>
              </w:rPr>
            </w:pPr>
            <w:r w:rsidRPr="00872D7E">
              <w:rPr>
                <w:b/>
                <w:bCs/>
                <w:color w:val="000000"/>
                <w:sz w:val="14"/>
                <w:szCs w:val="14"/>
              </w:rPr>
              <w:t>DİĞER YÜKÜMLÜLÜKLER</w:t>
            </w:r>
          </w:p>
        </w:tc>
        <w:tc>
          <w:tcPr>
            <w:tcW w:w="377" w:type="pct"/>
            <w:tcBorders>
              <w:top w:val="nil"/>
              <w:left w:val="single" w:sz="4" w:space="0" w:color="auto"/>
              <w:bottom w:val="nil"/>
              <w:right w:val="single" w:sz="4" w:space="0" w:color="auto"/>
            </w:tcBorders>
            <w:shd w:val="clear" w:color="auto" w:fill="auto"/>
            <w:hideMark/>
          </w:tcPr>
          <w:p w14:paraId="5C10C81A" w14:textId="77777777" w:rsidR="00862A01" w:rsidRPr="00872D7E" w:rsidRDefault="00862A01" w:rsidP="00862A01">
            <w:pPr>
              <w:jc w:val="center"/>
              <w:rPr>
                <w:b/>
                <w:bCs/>
                <w:color w:val="000000"/>
                <w:sz w:val="14"/>
                <w:szCs w:val="14"/>
              </w:rPr>
            </w:pPr>
            <w:r w:rsidRPr="00872D7E">
              <w:rPr>
                <w:b/>
                <w:bCs/>
                <w:color w:val="000000"/>
                <w:sz w:val="14"/>
                <w:szCs w:val="14"/>
              </w:rPr>
              <w:t>(10)</w:t>
            </w:r>
          </w:p>
        </w:tc>
        <w:tc>
          <w:tcPr>
            <w:tcW w:w="378" w:type="pct"/>
            <w:tcBorders>
              <w:top w:val="nil"/>
              <w:left w:val="nil"/>
              <w:bottom w:val="nil"/>
              <w:right w:val="nil"/>
            </w:tcBorders>
            <w:shd w:val="clear" w:color="000000" w:fill="FFFFFF"/>
            <w:vAlign w:val="center"/>
            <w:hideMark/>
          </w:tcPr>
          <w:p w14:paraId="0AD96A36" w14:textId="77777777" w:rsidR="00862A01" w:rsidRPr="00872D7E" w:rsidRDefault="00862A01" w:rsidP="00862A01">
            <w:pPr>
              <w:jc w:val="right"/>
              <w:rPr>
                <w:b/>
                <w:bCs/>
                <w:color w:val="000000"/>
                <w:sz w:val="14"/>
                <w:szCs w:val="14"/>
              </w:rPr>
            </w:pPr>
            <w:r w:rsidRPr="00872D7E">
              <w:rPr>
                <w:b/>
                <w:bCs/>
                <w:color w:val="000000"/>
                <w:sz w:val="14"/>
                <w:szCs w:val="14"/>
              </w:rPr>
              <w:t>208.385</w:t>
            </w:r>
          </w:p>
        </w:tc>
        <w:tc>
          <w:tcPr>
            <w:tcW w:w="412" w:type="pct"/>
            <w:tcBorders>
              <w:top w:val="nil"/>
              <w:left w:val="single" w:sz="4" w:space="0" w:color="auto"/>
              <w:bottom w:val="nil"/>
              <w:right w:val="single" w:sz="4" w:space="0" w:color="auto"/>
            </w:tcBorders>
            <w:shd w:val="clear" w:color="000000" w:fill="FFFFFF"/>
            <w:vAlign w:val="center"/>
            <w:hideMark/>
          </w:tcPr>
          <w:p w14:paraId="51CC4826" w14:textId="77777777" w:rsidR="00862A01" w:rsidRPr="00872D7E" w:rsidRDefault="00862A01" w:rsidP="00862A01">
            <w:pPr>
              <w:jc w:val="right"/>
              <w:rPr>
                <w:b/>
                <w:bCs/>
                <w:color w:val="000000"/>
                <w:sz w:val="14"/>
                <w:szCs w:val="14"/>
              </w:rPr>
            </w:pPr>
            <w:r w:rsidRPr="00872D7E">
              <w:rPr>
                <w:b/>
                <w:bCs/>
                <w:color w:val="000000"/>
                <w:sz w:val="14"/>
                <w:szCs w:val="14"/>
              </w:rPr>
              <w:t>14.254</w:t>
            </w:r>
          </w:p>
        </w:tc>
        <w:tc>
          <w:tcPr>
            <w:tcW w:w="480" w:type="pct"/>
            <w:tcBorders>
              <w:top w:val="nil"/>
              <w:left w:val="nil"/>
              <w:bottom w:val="nil"/>
              <w:right w:val="single" w:sz="4" w:space="0" w:color="auto"/>
            </w:tcBorders>
            <w:shd w:val="clear" w:color="000000" w:fill="FFFFFF"/>
            <w:vAlign w:val="center"/>
            <w:hideMark/>
          </w:tcPr>
          <w:p w14:paraId="24F8ABEE" w14:textId="77777777" w:rsidR="00862A01" w:rsidRPr="00872D7E" w:rsidRDefault="00862A01" w:rsidP="00862A01">
            <w:pPr>
              <w:jc w:val="right"/>
              <w:rPr>
                <w:b/>
                <w:bCs/>
                <w:color w:val="000000"/>
                <w:sz w:val="16"/>
                <w:szCs w:val="16"/>
                <w:lang w:eastAsia="tr-TR"/>
              </w:rPr>
            </w:pPr>
            <w:r w:rsidRPr="00872D7E">
              <w:rPr>
                <w:b/>
                <w:bCs/>
                <w:color w:val="000000"/>
                <w:sz w:val="14"/>
                <w:szCs w:val="14"/>
              </w:rPr>
              <w:t>222.639</w:t>
            </w:r>
          </w:p>
        </w:tc>
        <w:tc>
          <w:tcPr>
            <w:tcW w:w="411" w:type="pct"/>
            <w:tcBorders>
              <w:top w:val="nil"/>
              <w:left w:val="nil"/>
              <w:bottom w:val="nil"/>
              <w:right w:val="single" w:sz="4" w:space="0" w:color="auto"/>
            </w:tcBorders>
            <w:shd w:val="clear" w:color="000000" w:fill="FFFFFF"/>
            <w:vAlign w:val="center"/>
            <w:hideMark/>
          </w:tcPr>
          <w:p w14:paraId="72E87FEE" w14:textId="77777777" w:rsidR="00862A01" w:rsidRPr="00872D7E" w:rsidRDefault="00862A01" w:rsidP="00862A01">
            <w:pPr>
              <w:jc w:val="right"/>
              <w:rPr>
                <w:b/>
                <w:bCs/>
                <w:color w:val="000000"/>
                <w:sz w:val="14"/>
                <w:szCs w:val="14"/>
              </w:rPr>
            </w:pPr>
            <w:r w:rsidRPr="00872D7E">
              <w:rPr>
                <w:b/>
                <w:bCs/>
                <w:color w:val="000000"/>
                <w:sz w:val="14"/>
                <w:szCs w:val="14"/>
              </w:rPr>
              <w:t>15.968</w:t>
            </w:r>
          </w:p>
        </w:tc>
        <w:tc>
          <w:tcPr>
            <w:tcW w:w="343" w:type="pct"/>
            <w:tcBorders>
              <w:top w:val="nil"/>
              <w:left w:val="nil"/>
              <w:bottom w:val="nil"/>
              <w:right w:val="single" w:sz="4" w:space="0" w:color="auto"/>
            </w:tcBorders>
            <w:shd w:val="clear" w:color="000000" w:fill="FFFFFF"/>
            <w:vAlign w:val="center"/>
            <w:hideMark/>
          </w:tcPr>
          <w:p w14:paraId="5C80CFAF" w14:textId="77777777" w:rsidR="00862A01" w:rsidRPr="00872D7E" w:rsidRDefault="00862A01" w:rsidP="00862A01">
            <w:pPr>
              <w:jc w:val="right"/>
              <w:rPr>
                <w:b/>
                <w:bCs/>
                <w:color w:val="000000"/>
                <w:sz w:val="14"/>
                <w:szCs w:val="14"/>
              </w:rPr>
            </w:pPr>
            <w:r w:rsidRPr="00872D7E">
              <w:rPr>
                <w:b/>
                <w:bCs/>
                <w:color w:val="000000"/>
                <w:sz w:val="14"/>
                <w:szCs w:val="14"/>
              </w:rPr>
              <w:t>718</w:t>
            </w:r>
          </w:p>
        </w:tc>
        <w:tc>
          <w:tcPr>
            <w:tcW w:w="544" w:type="pct"/>
            <w:tcBorders>
              <w:top w:val="nil"/>
              <w:left w:val="nil"/>
              <w:bottom w:val="nil"/>
              <w:right w:val="single" w:sz="4" w:space="0" w:color="auto"/>
            </w:tcBorders>
            <w:shd w:val="clear" w:color="000000" w:fill="FFFFFF"/>
            <w:vAlign w:val="center"/>
            <w:hideMark/>
          </w:tcPr>
          <w:p w14:paraId="54AC6116" w14:textId="77777777" w:rsidR="00862A01" w:rsidRPr="00872D7E" w:rsidRDefault="00862A01" w:rsidP="00862A01">
            <w:pPr>
              <w:jc w:val="right"/>
              <w:rPr>
                <w:b/>
                <w:bCs/>
                <w:color w:val="000000"/>
                <w:sz w:val="14"/>
                <w:szCs w:val="14"/>
              </w:rPr>
            </w:pPr>
            <w:r w:rsidRPr="00872D7E">
              <w:rPr>
                <w:b/>
                <w:bCs/>
                <w:color w:val="000000"/>
                <w:sz w:val="14"/>
                <w:szCs w:val="14"/>
              </w:rPr>
              <w:t>16.686</w:t>
            </w:r>
          </w:p>
        </w:tc>
      </w:tr>
      <w:tr w:rsidR="00862A01" w:rsidRPr="00872D7E" w14:paraId="7A72E656"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7615592C" w14:textId="77777777" w:rsidR="00862A01" w:rsidRPr="00872D7E" w:rsidRDefault="00862A01" w:rsidP="00862A01">
            <w:pPr>
              <w:rPr>
                <w:b/>
                <w:bCs/>
                <w:color w:val="000000"/>
                <w:sz w:val="14"/>
                <w:szCs w:val="14"/>
              </w:rPr>
            </w:pPr>
            <w:r w:rsidRPr="00872D7E">
              <w:rPr>
                <w:b/>
                <w:bCs/>
                <w:color w:val="000000"/>
                <w:sz w:val="14"/>
                <w:szCs w:val="14"/>
              </w:rPr>
              <w:t>XIV.</w:t>
            </w:r>
          </w:p>
        </w:tc>
        <w:tc>
          <w:tcPr>
            <w:tcW w:w="1746" w:type="pct"/>
            <w:tcBorders>
              <w:top w:val="nil"/>
              <w:left w:val="nil"/>
              <w:bottom w:val="nil"/>
              <w:right w:val="nil"/>
            </w:tcBorders>
            <w:shd w:val="clear" w:color="auto" w:fill="auto"/>
            <w:hideMark/>
          </w:tcPr>
          <w:p w14:paraId="2C0AF3EF" w14:textId="77777777" w:rsidR="00862A01" w:rsidRPr="00872D7E" w:rsidRDefault="00862A01" w:rsidP="00862A01">
            <w:pPr>
              <w:rPr>
                <w:b/>
                <w:bCs/>
                <w:color w:val="000000"/>
                <w:sz w:val="14"/>
                <w:szCs w:val="14"/>
              </w:rPr>
            </w:pPr>
            <w:r w:rsidRPr="00872D7E">
              <w:rPr>
                <w:b/>
                <w:bCs/>
                <w:color w:val="000000"/>
                <w:sz w:val="14"/>
                <w:szCs w:val="14"/>
              </w:rPr>
              <w:t>ÖZKAYNAKLAR</w:t>
            </w:r>
          </w:p>
        </w:tc>
        <w:tc>
          <w:tcPr>
            <w:tcW w:w="377" w:type="pct"/>
            <w:tcBorders>
              <w:top w:val="nil"/>
              <w:left w:val="single" w:sz="4" w:space="0" w:color="auto"/>
              <w:bottom w:val="nil"/>
              <w:right w:val="single" w:sz="4" w:space="0" w:color="auto"/>
            </w:tcBorders>
            <w:shd w:val="clear" w:color="auto" w:fill="auto"/>
            <w:hideMark/>
          </w:tcPr>
          <w:p w14:paraId="3B3CD08C" w14:textId="77777777" w:rsidR="00862A01" w:rsidRPr="00872D7E" w:rsidRDefault="00862A01" w:rsidP="00862A01">
            <w:pPr>
              <w:jc w:val="center"/>
              <w:rPr>
                <w:b/>
                <w:bCs/>
                <w:color w:val="000000"/>
                <w:sz w:val="14"/>
                <w:szCs w:val="14"/>
              </w:rPr>
            </w:pPr>
            <w:r w:rsidRPr="00872D7E">
              <w:rPr>
                <w:b/>
                <w:bCs/>
                <w:color w:val="000000"/>
                <w:sz w:val="14"/>
                <w:szCs w:val="14"/>
              </w:rPr>
              <w:t>(11)</w:t>
            </w:r>
          </w:p>
        </w:tc>
        <w:tc>
          <w:tcPr>
            <w:tcW w:w="378" w:type="pct"/>
            <w:tcBorders>
              <w:top w:val="nil"/>
              <w:left w:val="nil"/>
              <w:bottom w:val="nil"/>
              <w:right w:val="nil"/>
            </w:tcBorders>
            <w:shd w:val="clear" w:color="000000" w:fill="FFFFFF"/>
            <w:vAlign w:val="center"/>
            <w:hideMark/>
          </w:tcPr>
          <w:p w14:paraId="27195198" w14:textId="77777777" w:rsidR="00862A01" w:rsidRPr="00872D7E" w:rsidRDefault="00862A01" w:rsidP="00862A01">
            <w:pPr>
              <w:jc w:val="right"/>
              <w:rPr>
                <w:b/>
                <w:bCs/>
                <w:color w:val="000000"/>
                <w:sz w:val="14"/>
                <w:szCs w:val="14"/>
              </w:rPr>
            </w:pPr>
            <w:r w:rsidRPr="00872D7E">
              <w:rPr>
                <w:b/>
                <w:bCs/>
                <w:color w:val="000000"/>
                <w:sz w:val="14"/>
                <w:szCs w:val="14"/>
              </w:rPr>
              <w:t>7.342.090</w:t>
            </w:r>
          </w:p>
        </w:tc>
        <w:tc>
          <w:tcPr>
            <w:tcW w:w="412" w:type="pct"/>
            <w:tcBorders>
              <w:top w:val="nil"/>
              <w:left w:val="single" w:sz="4" w:space="0" w:color="auto"/>
              <w:bottom w:val="nil"/>
              <w:right w:val="single" w:sz="4" w:space="0" w:color="auto"/>
            </w:tcBorders>
            <w:shd w:val="clear" w:color="000000" w:fill="FFFFFF"/>
            <w:vAlign w:val="center"/>
            <w:hideMark/>
          </w:tcPr>
          <w:p w14:paraId="115BF9A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10864A4D" w14:textId="77777777" w:rsidR="00862A01" w:rsidRPr="00872D7E" w:rsidRDefault="00862A01" w:rsidP="00862A01">
            <w:pPr>
              <w:jc w:val="right"/>
              <w:rPr>
                <w:b/>
                <w:bCs/>
                <w:color w:val="000000"/>
                <w:sz w:val="14"/>
                <w:szCs w:val="14"/>
              </w:rPr>
            </w:pPr>
            <w:r w:rsidRPr="00872D7E">
              <w:rPr>
                <w:b/>
                <w:bCs/>
                <w:color w:val="000000"/>
                <w:sz w:val="14"/>
                <w:szCs w:val="14"/>
              </w:rPr>
              <w:t>7.342.090</w:t>
            </w:r>
          </w:p>
        </w:tc>
        <w:tc>
          <w:tcPr>
            <w:tcW w:w="411" w:type="pct"/>
            <w:tcBorders>
              <w:top w:val="nil"/>
              <w:left w:val="nil"/>
              <w:bottom w:val="nil"/>
              <w:right w:val="single" w:sz="4" w:space="0" w:color="auto"/>
            </w:tcBorders>
            <w:shd w:val="clear" w:color="000000" w:fill="FFFFFF"/>
            <w:vAlign w:val="center"/>
            <w:hideMark/>
          </w:tcPr>
          <w:p w14:paraId="0ADD2765" w14:textId="77777777" w:rsidR="00862A01" w:rsidRPr="00872D7E" w:rsidRDefault="00862A01" w:rsidP="00862A01">
            <w:pPr>
              <w:jc w:val="right"/>
              <w:rPr>
                <w:b/>
                <w:bCs/>
                <w:color w:val="000000"/>
                <w:sz w:val="14"/>
                <w:szCs w:val="14"/>
              </w:rPr>
            </w:pPr>
            <w:r w:rsidRPr="00872D7E">
              <w:rPr>
                <w:b/>
                <w:bCs/>
                <w:color w:val="000000"/>
                <w:sz w:val="14"/>
                <w:szCs w:val="14"/>
              </w:rPr>
              <w:t>84.044</w:t>
            </w:r>
          </w:p>
        </w:tc>
        <w:tc>
          <w:tcPr>
            <w:tcW w:w="343" w:type="pct"/>
            <w:tcBorders>
              <w:top w:val="nil"/>
              <w:left w:val="nil"/>
              <w:bottom w:val="nil"/>
              <w:right w:val="single" w:sz="4" w:space="0" w:color="auto"/>
            </w:tcBorders>
            <w:shd w:val="clear" w:color="000000" w:fill="FFFFFF"/>
            <w:vAlign w:val="center"/>
            <w:hideMark/>
          </w:tcPr>
          <w:p w14:paraId="613D02B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7C9EFD93" w14:textId="77777777" w:rsidR="00862A01" w:rsidRPr="00872D7E" w:rsidRDefault="00862A01" w:rsidP="00862A01">
            <w:pPr>
              <w:jc w:val="right"/>
              <w:rPr>
                <w:b/>
                <w:bCs/>
                <w:color w:val="000000"/>
                <w:sz w:val="14"/>
                <w:szCs w:val="14"/>
              </w:rPr>
            </w:pPr>
            <w:r w:rsidRPr="00872D7E">
              <w:rPr>
                <w:b/>
                <w:bCs/>
                <w:color w:val="000000"/>
                <w:sz w:val="14"/>
                <w:szCs w:val="14"/>
              </w:rPr>
              <w:t>84.044</w:t>
            </w:r>
          </w:p>
        </w:tc>
      </w:tr>
      <w:tr w:rsidR="00862A01" w:rsidRPr="00872D7E" w14:paraId="3ECCF852"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24FB6DDA" w14:textId="77777777" w:rsidR="00862A01" w:rsidRPr="00872D7E" w:rsidRDefault="00862A01" w:rsidP="00862A01">
            <w:pPr>
              <w:rPr>
                <w:color w:val="000000"/>
                <w:sz w:val="14"/>
                <w:szCs w:val="14"/>
              </w:rPr>
            </w:pPr>
            <w:r w:rsidRPr="00872D7E">
              <w:rPr>
                <w:color w:val="000000"/>
                <w:sz w:val="14"/>
                <w:szCs w:val="14"/>
              </w:rPr>
              <w:t>14.1</w:t>
            </w:r>
          </w:p>
        </w:tc>
        <w:tc>
          <w:tcPr>
            <w:tcW w:w="1746" w:type="pct"/>
            <w:tcBorders>
              <w:top w:val="nil"/>
              <w:left w:val="nil"/>
              <w:bottom w:val="nil"/>
              <w:right w:val="nil"/>
            </w:tcBorders>
            <w:shd w:val="clear" w:color="auto" w:fill="auto"/>
            <w:hideMark/>
          </w:tcPr>
          <w:p w14:paraId="5CB1FA5E" w14:textId="77777777" w:rsidR="00862A01" w:rsidRPr="00872D7E" w:rsidRDefault="00862A01" w:rsidP="00862A01">
            <w:pPr>
              <w:rPr>
                <w:color w:val="000000"/>
                <w:sz w:val="14"/>
                <w:szCs w:val="14"/>
              </w:rPr>
            </w:pPr>
            <w:r w:rsidRPr="00872D7E">
              <w:rPr>
                <w:color w:val="000000"/>
                <w:sz w:val="14"/>
                <w:szCs w:val="14"/>
              </w:rPr>
              <w:t>Ödenmiş Sermaye</w:t>
            </w:r>
          </w:p>
        </w:tc>
        <w:tc>
          <w:tcPr>
            <w:tcW w:w="377" w:type="pct"/>
            <w:tcBorders>
              <w:top w:val="nil"/>
              <w:left w:val="single" w:sz="4" w:space="0" w:color="auto"/>
              <w:bottom w:val="nil"/>
              <w:right w:val="single" w:sz="4" w:space="0" w:color="auto"/>
            </w:tcBorders>
            <w:shd w:val="clear" w:color="auto" w:fill="auto"/>
            <w:hideMark/>
          </w:tcPr>
          <w:p w14:paraId="32DECE80"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28A4E2FC" w14:textId="77777777" w:rsidR="00862A01" w:rsidRPr="00872D7E" w:rsidRDefault="00862A01" w:rsidP="00862A01">
            <w:pPr>
              <w:jc w:val="right"/>
              <w:rPr>
                <w:color w:val="000000"/>
                <w:sz w:val="14"/>
                <w:szCs w:val="14"/>
              </w:rPr>
            </w:pPr>
            <w:r w:rsidRPr="00872D7E">
              <w:rPr>
                <w:color w:val="000000"/>
                <w:sz w:val="14"/>
                <w:szCs w:val="14"/>
              </w:rPr>
              <w:t>5.999.337</w:t>
            </w:r>
          </w:p>
        </w:tc>
        <w:tc>
          <w:tcPr>
            <w:tcW w:w="412" w:type="pct"/>
            <w:tcBorders>
              <w:top w:val="nil"/>
              <w:left w:val="single" w:sz="4" w:space="0" w:color="auto"/>
              <w:bottom w:val="nil"/>
              <w:right w:val="single" w:sz="4" w:space="0" w:color="auto"/>
            </w:tcBorders>
            <w:shd w:val="clear" w:color="000000" w:fill="FFFFFF"/>
            <w:vAlign w:val="center"/>
            <w:hideMark/>
          </w:tcPr>
          <w:p w14:paraId="58A4B94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4263FF67" w14:textId="77777777" w:rsidR="00862A01" w:rsidRPr="00872D7E" w:rsidRDefault="00862A01" w:rsidP="00862A01">
            <w:pPr>
              <w:jc w:val="right"/>
              <w:rPr>
                <w:color w:val="000000"/>
                <w:sz w:val="14"/>
                <w:szCs w:val="14"/>
              </w:rPr>
            </w:pPr>
            <w:r w:rsidRPr="00872D7E">
              <w:rPr>
                <w:color w:val="000000"/>
                <w:sz w:val="14"/>
                <w:szCs w:val="14"/>
              </w:rPr>
              <w:t>5.999.337</w:t>
            </w:r>
          </w:p>
        </w:tc>
        <w:tc>
          <w:tcPr>
            <w:tcW w:w="411" w:type="pct"/>
            <w:tcBorders>
              <w:top w:val="nil"/>
              <w:left w:val="nil"/>
              <w:bottom w:val="nil"/>
              <w:right w:val="single" w:sz="4" w:space="0" w:color="auto"/>
            </w:tcBorders>
            <w:shd w:val="clear" w:color="000000" w:fill="FFFFFF"/>
            <w:vAlign w:val="center"/>
            <w:hideMark/>
          </w:tcPr>
          <w:p w14:paraId="1149F7E0" w14:textId="77777777" w:rsidR="00862A01" w:rsidRPr="00872D7E" w:rsidRDefault="00862A01" w:rsidP="00862A01">
            <w:pPr>
              <w:jc w:val="right"/>
              <w:rPr>
                <w:color w:val="000000"/>
                <w:sz w:val="14"/>
                <w:szCs w:val="14"/>
              </w:rPr>
            </w:pPr>
            <w:r w:rsidRPr="00872D7E">
              <w:rPr>
                <w:color w:val="000000"/>
                <w:sz w:val="14"/>
                <w:szCs w:val="14"/>
              </w:rPr>
              <w:t>99.337</w:t>
            </w:r>
          </w:p>
        </w:tc>
        <w:tc>
          <w:tcPr>
            <w:tcW w:w="343" w:type="pct"/>
            <w:tcBorders>
              <w:top w:val="nil"/>
              <w:left w:val="nil"/>
              <w:bottom w:val="nil"/>
              <w:right w:val="single" w:sz="4" w:space="0" w:color="auto"/>
            </w:tcBorders>
            <w:shd w:val="clear" w:color="000000" w:fill="FFFFFF"/>
            <w:vAlign w:val="center"/>
            <w:hideMark/>
          </w:tcPr>
          <w:p w14:paraId="5DB6FD9A"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502BE3BF" w14:textId="77777777" w:rsidR="00862A01" w:rsidRPr="00872D7E" w:rsidRDefault="00862A01" w:rsidP="00862A01">
            <w:pPr>
              <w:jc w:val="right"/>
              <w:rPr>
                <w:color w:val="000000"/>
                <w:sz w:val="14"/>
                <w:szCs w:val="14"/>
              </w:rPr>
            </w:pPr>
            <w:r w:rsidRPr="00872D7E">
              <w:rPr>
                <w:color w:val="000000"/>
                <w:sz w:val="14"/>
                <w:szCs w:val="14"/>
              </w:rPr>
              <w:t>99.337</w:t>
            </w:r>
          </w:p>
        </w:tc>
      </w:tr>
      <w:tr w:rsidR="00862A01" w:rsidRPr="00872D7E" w14:paraId="48D26D4A"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585F24C6" w14:textId="77777777" w:rsidR="00862A01" w:rsidRPr="00872D7E" w:rsidRDefault="00862A01" w:rsidP="00862A01">
            <w:pPr>
              <w:rPr>
                <w:color w:val="000000"/>
                <w:sz w:val="14"/>
                <w:szCs w:val="14"/>
              </w:rPr>
            </w:pPr>
            <w:r w:rsidRPr="00872D7E">
              <w:rPr>
                <w:color w:val="000000"/>
                <w:sz w:val="14"/>
                <w:szCs w:val="14"/>
              </w:rPr>
              <w:t>14.2</w:t>
            </w:r>
          </w:p>
        </w:tc>
        <w:tc>
          <w:tcPr>
            <w:tcW w:w="1746" w:type="pct"/>
            <w:tcBorders>
              <w:top w:val="nil"/>
              <w:left w:val="nil"/>
              <w:bottom w:val="nil"/>
              <w:right w:val="nil"/>
            </w:tcBorders>
            <w:shd w:val="clear" w:color="auto" w:fill="auto"/>
            <w:hideMark/>
          </w:tcPr>
          <w:p w14:paraId="5512A89B" w14:textId="77777777" w:rsidR="00862A01" w:rsidRPr="00872D7E" w:rsidRDefault="00862A01" w:rsidP="00862A01">
            <w:pPr>
              <w:rPr>
                <w:color w:val="000000"/>
                <w:sz w:val="14"/>
                <w:szCs w:val="14"/>
              </w:rPr>
            </w:pPr>
            <w:r w:rsidRPr="00872D7E">
              <w:rPr>
                <w:color w:val="000000"/>
                <w:sz w:val="14"/>
                <w:szCs w:val="14"/>
              </w:rPr>
              <w:t>Sermaye Yedekleri</w:t>
            </w:r>
          </w:p>
        </w:tc>
        <w:tc>
          <w:tcPr>
            <w:tcW w:w="377" w:type="pct"/>
            <w:tcBorders>
              <w:top w:val="nil"/>
              <w:left w:val="single" w:sz="4" w:space="0" w:color="auto"/>
              <w:bottom w:val="nil"/>
              <w:right w:val="single" w:sz="4" w:space="0" w:color="auto"/>
            </w:tcBorders>
            <w:shd w:val="clear" w:color="auto" w:fill="auto"/>
            <w:hideMark/>
          </w:tcPr>
          <w:p w14:paraId="47DB12A2"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3A669FE7" w14:textId="77777777" w:rsidR="00862A01" w:rsidRPr="00872D7E" w:rsidRDefault="00862A01" w:rsidP="00862A01">
            <w:pPr>
              <w:jc w:val="right"/>
              <w:rPr>
                <w:color w:val="000000"/>
                <w:sz w:val="14"/>
                <w:szCs w:val="14"/>
              </w:rPr>
            </w:pPr>
            <w:r w:rsidRPr="00872D7E">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0E112C9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43E8AE97" w14:textId="77777777" w:rsidR="00862A01" w:rsidRPr="00872D7E" w:rsidRDefault="00862A01" w:rsidP="00862A01">
            <w:pPr>
              <w:jc w:val="right"/>
              <w:rPr>
                <w:color w:val="000000"/>
                <w:sz w:val="14"/>
                <w:szCs w:val="14"/>
              </w:rPr>
            </w:pPr>
            <w:r w:rsidRPr="00872D7E">
              <w:rPr>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507EBBDC"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28F9BB11"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0F8A5458"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4E760D13"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4BB78800" w14:textId="77777777" w:rsidR="00862A01" w:rsidRPr="00872D7E" w:rsidRDefault="00862A01" w:rsidP="00862A01">
            <w:pPr>
              <w:rPr>
                <w:color w:val="000000"/>
                <w:sz w:val="14"/>
                <w:szCs w:val="14"/>
              </w:rPr>
            </w:pPr>
            <w:r w:rsidRPr="00872D7E">
              <w:rPr>
                <w:color w:val="000000"/>
                <w:sz w:val="14"/>
                <w:szCs w:val="14"/>
              </w:rPr>
              <w:t>14.2.1</w:t>
            </w:r>
          </w:p>
        </w:tc>
        <w:tc>
          <w:tcPr>
            <w:tcW w:w="1746" w:type="pct"/>
            <w:tcBorders>
              <w:top w:val="nil"/>
              <w:left w:val="nil"/>
              <w:bottom w:val="nil"/>
              <w:right w:val="nil"/>
            </w:tcBorders>
            <w:shd w:val="clear" w:color="auto" w:fill="auto"/>
            <w:hideMark/>
          </w:tcPr>
          <w:p w14:paraId="5AE932DA" w14:textId="77777777" w:rsidR="00862A01" w:rsidRPr="00872D7E" w:rsidRDefault="00862A01" w:rsidP="00862A01">
            <w:pPr>
              <w:rPr>
                <w:color w:val="000000"/>
                <w:sz w:val="14"/>
                <w:szCs w:val="14"/>
              </w:rPr>
            </w:pPr>
            <w:r w:rsidRPr="00872D7E">
              <w:rPr>
                <w:color w:val="000000"/>
                <w:sz w:val="14"/>
                <w:szCs w:val="14"/>
              </w:rPr>
              <w:t>Hisse Senedi İhraç Primleri</w:t>
            </w:r>
          </w:p>
        </w:tc>
        <w:tc>
          <w:tcPr>
            <w:tcW w:w="377" w:type="pct"/>
            <w:tcBorders>
              <w:top w:val="nil"/>
              <w:left w:val="single" w:sz="4" w:space="0" w:color="auto"/>
              <w:bottom w:val="nil"/>
              <w:right w:val="single" w:sz="4" w:space="0" w:color="auto"/>
            </w:tcBorders>
            <w:shd w:val="clear" w:color="auto" w:fill="auto"/>
            <w:hideMark/>
          </w:tcPr>
          <w:p w14:paraId="3F50C0A5"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17FB3F8D" w14:textId="77777777" w:rsidR="00862A01" w:rsidRPr="00872D7E" w:rsidRDefault="00862A01" w:rsidP="00862A01">
            <w:pPr>
              <w:jc w:val="right"/>
              <w:rPr>
                <w:color w:val="000000"/>
                <w:sz w:val="14"/>
                <w:szCs w:val="14"/>
              </w:rPr>
            </w:pPr>
            <w:r w:rsidRPr="00872D7E">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1CC1D44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52F84E6D" w14:textId="77777777" w:rsidR="00862A01" w:rsidRPr="00872D7E" w:rsidRDefault="00862A01" w:rsidP="00862A01">
            <w:pPr>
              <w:jc w:val="right"/>
              <w:rPr>
                <w:color w:val="000000"/>
                <w:sz w:val="14"/>
                <w:szCs w:val="14"/>
              </w:rPr>
            </w:pPr>
            <w:r w:rsidRPr="00872D7E">
              <w:rPr>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1AE587C3"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72960759"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00A4D46D"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014507B4"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21E06394" w14:textId="77777777" w:rsidR="00862A01" w:rsidRPr="00872D7E" w:rsidRDefault="00862A01" w:rsidP="00862A01">
            <w:pPr>
              <w:rPr>
                <w:color w:val="000000"/>
                <w:sz w:val="14"/>
                <w:szCs w:val="14"/>
              </w:rPr>
            </w:pPr>
            <w:r w:rsidRPr="00872D7E">
              <w:rPr>
                <w:color w:val="000000"/>
                <w:sz w:val="14"/>
                <w:szCs w:val="14"/>
              </w:rPr>
              <w:t>14.2.2</w:t>
            </w:r>
          </w:p>
        </w:tc>
        <w:tc>
          <w:tcPr>
            <w:tcW w:w="1746" w:type="pct"/>
            <w:tcBorders>
              <w:top w:val="nil"/>
              <w:left w:val="nil"/>
              <w:bottom w:val="nil"/>
              <w:right w:val="nil"/>
            </w:tcBorders>
            <w:shd w:val="clear" w:color="auto" w:fill="auto"/>
            <w:hideMark/>
          </w:tcPr>
          <w:p w14:paraId="3858E342" w14:textId="77777777" w:rsidR="00862A01" w:rsidRPr="00872D7E" w:rsidRDefault="00862A01" w:rsidP="00862A01">
            <w:pPr>
              <w:rPr>
                <w:color w:val="000000"/>
                <w:sz w:val="14"/>
                <w:szCs w:val="14"/>
              </w:rPr>
            </w:pPr>
            <w:r w:rsidRPr="00872D7E">
              <w:rPr>
                <w:color w:val="000000"/>
                <w:sz w:val="14"/>
                <w:szCs w:val="14"/>
              </w:rPr>
              <w:t>Hisse Senedi İptal Kârları</w:t>
            </w:r>
          </w:p>
        </w:tc>
        <w:tc>
          <w:tcPr>
            <w:tcW w:w="377" w:type="pct"/>
            <w:tcBorders>
              <w:top w:val="nil"/>
              <w:left w:val="single" w:sz="4" w:space="0" w:color="auto"/>
              <w:bottom w:val="nil"/>
              <w:right w:val="single" w:sz="4" w:space="0" w:color="auto"/>
            </w:tcBorders>
            <w:shd w:val="clear" w:color="auto" w:fill="auto"/>
            <w:hideMark/>
          </w:tcPr>
          <w:p w14:paraId="4513212F"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09ECE97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60C5F29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24F9768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114619A7"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4952DD01"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0AF55831"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7C69E48D"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504524D5" w14:textId="77777777" w:rsidR="00862A01" w:rsidRPr="00872D7E" w:rsidRDefault="00862A01" w:rsidP="00862A01">
            <w:pPr>
              <w:rPr>
                <w:color w:val="000000"/>
                <w:sz w:val="14"/>
                <w:szCs w:val="14"/>
              </w:rPr>
            </w:pPr>
            <w:r w:rsidRPr="00872D7E">
              <w:rPr>
                <w:color w:val="000000"/>
                <w:sz w:val="14"/>
                <w:szCs w:val="14"/>
              </w:rPr>
              <w:t>14.2.3</w:t>
            </w:r>
          </w:p>
        </w:tc>
        <w:tc>
          <w:tcPr>
            <w:tcW w:w="1746" w:type="pct"/>
            <w:tcBorders>
              <w:top w:val="nil"/>
              <w:left w:val="nil"/>
              <w:bottom w:val="nil"/>
              <w:right w:val="nil"/>
            </w:tcBorders>
            <w:shd w:val="clear" w:color="auto" w:fill="auto"/>
            <w:hideMark/>
          </w:tcPr>
          <w:p w14:paraId="07A2F22D" w14:textId="77777777" w:rsidR="00862A01" w:rsidRPr="00872D7E" w:rsidRDefault="00862A01" w:rsidP="00862A01">
            <w:pPr>
              <w:rPr>
                <w:color w:val="000000"/>
                <w:sz w:val="14"/>
                <w:szCs w:val="14"/>
              </w:rPr>
            </w:pPr>
            <w:r w:rsidRPr="00872D7E">
              <w:rPr>
                <w:color w:val="000000"/>
                <w:sz w:val="14"/>
                <w:szCs w:val="14"/>
              </w:rPr>
              <w:t>Diğer Sermaye Yedekleri</w:t>
            </w:r>
          </w:p>
        </w:tc>
        <w:tc>
          <w:tcPr>
            <w:tcW w:w="377" w:type="pct"/>
            <w:tcBorders>
              <w:top w:val="nil"/>
              <w:left w:val="single" w:sz="4" w:space="0" w:color="auto"/>
              <w:bottom w:val="nil"/>
              <w:right w:val="single" w:sz="4" w:space="0" w:color="auto"/>
            </w:tcBorders>
            <w:shd w:val="clear" w:color="auto" w:fill="auto"/>
            <w:hideMark/>
          </w:tcPr>
          <w:p w14:paraId="11314B6B"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2B26FBA6" w14:textId="77777777" w:rsidR="00862A01" w:rsidRPr="00872D7E" w:rsidRDefault="00862A01" w:rsidP="00862A01">
            <w:pPr>
              <w:jc w:val="right"/>
              <w:rPr>
                <w:color w:val="000000"/>
                <w:sz w:val="14"/>
                <w:szCs w:val="14"/>
              </w:rPr>
            </w:pPr>
            <w:r w:rsidRPr="00872D7E">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1190D67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C814250" w14:textId="77777777" w:rsidR="00862A01" w:rsidRPr="00872D7E" w:rsidRDefault="00862A01" w:rsidP="00862A01">
            <w:pPr>
              <w:jc w:val="right"/>
              <w:rPr>
                <w:color w:val="000000"/>
                <w:sz w:val="14"/>
                <w:szCs w:val="14"/>
              </w:rPr>
            </w:pPr>
            <w:r w:rsidRPr="00872D7E">
              <w:rPr>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05D9ED27"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146BAED6"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021F0E07"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0DFDAAAC"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0571F668" w14:textId="77777777" w:rsidR="00862A01" w:rsidRPr="00872D7E" w:rsidRDefault="00862A01" w:rsidP="00862A01">
            <w:pPr>
              <w:rPr>
                <w:color w:val="000000"/>
                <w:sz w:val="14"/>
                <w:szCs w:val="14"/>
              </w:rPr>
            </w:pPr>
            <w:r w:rsidRPr="00872D7E">
              <w:rPr>
                <w:color w:val="000000"/>
                <w:sz w:val="14"/>
                <w:szCs w:val="14"/>
              </w:rPr>
              <w:t>14.3</w:t>
            </w:r>
          </w:p>
        </w:tc>
        <w:tc>
          <w:tcPr>
            <w:tcW w:w="1746" w:type="pct"/>
            <w:tcBorders>
              <w:top w:val="nil"/>
              <w:left w:val="nil"/>
              <w:bottom w:val="nil"/>
              <w:right w:val="nil"/>
            </w:tcBorders>
            <w:shd w:val="clear" w:color="auto" w:fill="auto"/>
            <w:hideMark/>
          </w:tcPr>
          <w:p w14:paraId="00069DAC" w14:textId="77777777" w:rsidR="00862A01" w:rsidRPr="00872D7E" w:rsidRDefault="00862A01" w:rsidP="00862A01">
            <w:pPr>
              <w:rPr>
                <w:color w:val="000000"/>
                <w:sz w:val="14"/>
                <w:szCs w:val="14"/>
              </w:rPr>
            </w:pPr>
            <w:r w:rsidRPr="00872D7E">
              <w:rPr>
                <w:color w:val="000000"/>
                <w:sz w:val="14"/>
                <w:szCs w:val="14"/>
              </w:rPr>
              <w:t>Kâr veya Zararda Yeniden Sınıflandırılmayacak Birikmiş Diğer Kapsamlı Gelirler veya Giderler</w:t>
            </w:r>
          </w:p>
        </w:tc>
        <w:tc>
          <w:tcPr>
            <w:tcW w:w="377" w:type="pct"/>
            <w:tcBorders>
              <w:top w:val="nil"/>
              <w:left w:val="single" w:sz="4" w:space="0" w:color="auto"/>
              <w:bottom w:val="nil"/>
              <w:right w:val="single" w:sz="4" w:space="0" w:color="auto"/>
            </w:tcBorders>
            <w:shd w:val="clear" w:color="auto" w:fill="auto"/>
            <w:hideMark/>
          </w:tcPr>
          <w:p w14:paraId="18DB7134"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3592A7B1" w14:textId="77777777" w:rsidR="00862A01" w:rsidRPr="00872D7E" w:rsidRDefault="00862A01" w:rsidP="00862A01">
            <w:pPr>
              <w:jc w:val="right"/>
              <w:rPr>
                <w:color w:val="000000"/>
                <w:sz w:val="14"/>
                <w:szCs w:val="14"/>
              </w:rPr>
            </w:pPr>
            <w:r w:rsidRPr="00872D7E">
              <w:rPr>
                <w:color w:val="000000"/>
                <w:sz w:val="14"/>
                <w:szCs w:val="14"/>
              </w:rPr>
              <w:t>(6.144)</w:t>
            </w:r>
          </w:p>
        </w:tc>
        <w:tc>
          <w:tcPr>
            <w:tcW w:w="412" w:type="pct"/>
            <w:tcBorders>
              <w:top w:val="nil"/>
              <w:left w:val="single" w:sz="4" w:space="0" w:color="auto"/>
              <w:bottom w:val="nil"/>
              <w:right w:val="single" w:sz="4" w:space="0" w:color="auto"/>
            </w:tcBorders>
            <w:shd w:val="clear" w:color="000000" w:fill="FFFFFF"/>
            <w:vAlign w:val="center"/>
            <w:hideMark/>
          </w:tcPr>
          <w:p w14:paraId="5638039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3DEE9AC3" w14:textId="77777777" w:rsidR="00862A01" w:rsidRPr="00872D7E" w:rsidRDefault="00862A01" w:rsidP="00862A01">
            <w:pPr>
              <w:jc w:val="right"/>
              <w:rPr>
                <w:color w:val="000000"/>
                <w:sz w:val="14"/>
                <w:szCs w:val="14"/>
              </w:rPr>
            </w:pPr>
            <w:r w:rsidRPr="00872D7E">
              <w:rPr>
                <w:color w:val="000000"/>
                <w:sz w:val="14"/>
                <w:szCs w:val="14"/>
              </w:rPr>
              <w:t>(6.144)</w:t>
            </w:r>
          </w:p>
        </w:tc>
        <w:tc>
          <w:tcPr>
            <w:tcW w:w="411" w:type="pct"/>
            <w:tcBorders>
              <w:top w:val="nil"/>
              <w:left w:val="nil"/>
              <w:bottom w:val="nil"/>
              <w:right w:val="single" w:sz="4" w:space="0" w:color="auto"/>
            </w:tcBorders>
            <w:shd w:val="clear" w:color="000000" w:fill="FFFFFF"/>
            <w:vAlign w:val="center"/>
            <w:hideMark/>
          </w:tcPr>
          <w:p w14:paraId="05B3FBB1" w14:textId="77777777" w:rsidR="00862A01" w:rsidRPr="00872D7E" w:rsidRDefault="00862A01" w:rsidP="00862A01">
            <w:pPr>
              <w:jc w:val="right"/>
              <w:rPr>
                <w:color w:val="000000"/>
                <w:sz w:val="14"/>
                <w:szCs w:val="14"/>
              </w:rPr>
            </w:pPr>
            <w:r w:rsidRPr="00872D7E">
              <w:rPr>
                <w:color w:val="000000"/>
                <w:sz w:val="14"/>
                <w:szCs w:val="14"/>
              </w:rPr>
              <w:t>(2.245)</w:t>
            </w:r>
          </w:p>
        </w:tc>
        <w:tc>
          <w:tcPr>
            <w:tcW w:w="343" w:type="pct"/>
            <w:tcBorders>
              <w:top w:val="nil"/>
              <w:left w:val="nil"/>
              <w:bottom w:val="nil"/>
              <w:right w:val="single" w:sz="4" w:space="0" w:color="auto"/>
            </w:tcBorders>
            <w:shd w:val="clear" w:color="000000" w:fill="FFFFFF"/>
            <w:vAlign w:val="center"/>
            <w:hideMark/>
          </w:tcPr>
          <w:p w14:paraId="64CB6866"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6A710C9C" w14:textId="77777777" w:rsidR="00862A01" w:rsidRPr="00872D7E" w:rsidRDefault="00862A01" w:rsidP="00862A01">
            <w:pPr>
              <w:jc w:val="right"/>
              <w:rPr>
                <w:color w:val="000000"/>
                <w:sz w:val="14"/>
                <w:szCs w:val="14"/>
              </w:rPr>
            </w:pPr>
            <w:r w:rsidRPr="00872D7E">
              <w:rPr>
                <w:color w:val="000000"/>
                <w:sz w:val="14"/>
                <w:szCs w:val="14"/>
              </w:rPr>
              <w:t>(2.245)</w:t>
            </w:r>
          </w:p>
        </w:tc>
      </w:tr>
      <w:tr w:rsidR="00862A01" w:rsidRPr="00872D7E" w14:paraId="7187501B"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57892E79" w14:textId="77777777" w:rsidR="00862A01" w:rsidRPr="00872D7E" w:rsidRDefault="00862A01" w:rsidP="00862A01">
            <w:pPr>
              <w:rPr>
                <w:color w:val="000000"/>
                <w:sz w:val="14"/>
                <w:szCs w:val="14"/>
              </w:rPr>
            </w:pPr>
            <w:r w:rsidRPr="00872D7E">
              <w:rPr>
                <w:color w:val="000000"/>
                <w:sz w:val="14"/>
                <w:szCs w:val="14"/>
              </w:rPr>
              <w:t>14.4</w:t>
            </w:r>
          </w:p>
        </w:tc>
        <w:tc>
          <w:tcPr>
            <w:tcW w:w="1746" w:type="pct"/>
            <w:tcBorders>
              <w:top w:val="nil"/>
              <w:left w:val="nil"/>
              <w:bottom w:val="nil"/>
              <w:right w:val="nil"/>
            </w:tcBorders>
            <w:shd w:val="clear" w:color="auto" w:fill="auto"/>
            <w:hideMark/>
          </w:tcPr>
          <w:p w14:paraId="44C8B551" w14:textId="77777777" w:rsidR="00862A01" w:rsidRPr="00872D7E" w:rsidRDefault="00862A01" w:rsidP="00862A01">
            <w:pPr>
              <w:rPr>
                <w:color w:val="000000"/>
                <w:sz w:val="14"/>
                <w:szCs w:val="14"/>
              </w:rPr>
            </w:pPr>
            <w:r w:rsidRPr="00872D7E">
              <w:rPr>
                <w:color w:val="000000"/>
                <w:sz w:val="14"/>
                <w:szCs w:val="14"/>
              </w:rPr>
              <w:t>Kâr veya Zararda Yeniden Sınıflandırılacak Birikmiş Diğer Kapsamlı Gelirler veya Giderler</w:t>
            </w:r>
          </w:p>
        </w:tc>
        <w:tc>
          <w:tcPr>
            <w:tcW w:w="377" w:type="pct"/>
            <w:tcBorders>
              <w:top w:val="nil"/>
              <w:left w:val="single" w:sz="4" w:space="0" w:color="auto"/>
              <w:bottom w:val="nil"/>
              <w:right w:val="single" w:sz="4" w:space="0" w:color="auto"/>
            </w:tcBorders>
            <w:shd w:val="clear" w:color="auto" w:fill="auto"/>
            <w:hideMark/>
          </w:tcPr>
          <w:p w14:paraId="62E0CAB3"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64CD32E8" w14:textId="77777777" w:rsidR="00862A01" w:rsidRPr="00872D7E" w:rsidRDefault="00862A01" w:rsidP="00862A01">
            <w:pPr>
              <w:jc w:val="right"/>
              <w:rPr>
                <w:color w:val="000000"/>
                <w:sz w:val="14"/>
                <w:szCs w:val="14"/>
              </w:rPr>
            </w:pPr>
            <w:r w:rsidRPr="00872D7E">
              <w:rPr>
                <w:color w:val="000000"/>
                <w:sz w:val="14"/>
                <w:szCs w:val="14"/>
              </w:rPr>
              <w:t>8.303</w:t>
            </w:r>
          </w:p>
        </w:tc>
        <w:tc>
          <w:tcPr>
            <w:tcW w:w="412" w:type="pct"/>
            <w:tcBorders>
              <w:top w:val="nil"/>
              <w:left w:val="single" w:sz="4" w:space="0" w:color="auto"/>
              <w:bottom w:val="nil"/>
              <w:right w:val="single" w:sz="4" w:space="0" w:color="auto"/>
            </w:tcBorders>
            <w:shd w:val="clear" w:color="000000" w:fill="FFFFFF"/>
            <w:vAlign w:val="center"/>
            <w:hideMark/>
          </w:tcPr>
          <w:p w14:paraId="2F26CE1E" w14:textId="77777777" w:rsidR="00862A01" w:rsidRPr="00872D7E" w:rsidRDefault="00862A01" w:rsidP="00862A01">
            <w:pPr>
              <w:jc w:val="right"/>
              <w:rPr>
                <w:color w:val="000000"/>
                <w:sz w:val="14"/>
                <w:szCs w:val="14"/>
              </w:rPr>
            </w:pPr>
            <w:r w:rsidRPr="00872D7E">
              <w:rPr>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EBE1496" w14:textId="77777777" w:rsidR="00862A01" w:rsidRPr="00872D7E" w:rsidRDefault="00862A01" w:rsidP="00862A01">
            <w:pPr>
              <w:jc w:val="right"/>
              <w:rPr>
                <w:color w:val="000000"/>
                <w:sz w:val="14"/>
                <w:szCs w:val="14"/>
              </w:rPr>
            </w:pPr>
            <w:r w:rsidRPr="00872D7E">
              <w:rPr>
                <w:color w:val="000000"/>
                <w:sz w:val="14"/>
                <w:szCs w:val="14"/>
              </w:rPr>
              <w:t>8.303</w:t>
            </w:r>
          </w:p>
        </w:tc>
        <w:tc>
          <w:tcPr>
            <w:tcW w:w="411" w:type="pct"/>
            <w:tcBorders>
              <w:top w:val="nil"/>
              <w:left w:val="nil"/>
              <w:bottom w:val="nil"/>
              <w:right w:val="single" w:sz="4" w:space="0" w:color="auto"/>
            </w:tcBorders>
            <w:shd w:val="clear" w:color="000000" w:fill="FFFFFF"/>
            <w:vAlign w:val="center"/>
            <w:hideMark/>
          </w:tcPr>
          <w:p w14:paraId="5D28A777"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7BAD6C80"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47285666"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464048AB"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6F191FD4" w14:textId="77777777" w:rsidR="00862A01" w:rsidRPr="00872D7E" w:rsidRDefault="00862A01" w:rsidP="00862A01">
            <w:pPr>
              <w:rPr>
                <w:color w:val="000000"/>
                <w:sz w:val="14"/>
                <w:szCs w:val="14"/>
              </w:rPr>
            </w:pPr>
            <w:r w:rsidRPr="00872D7E">
              <w:rPr>
                <w:color w:val="000000"/>
                <w:sz w:val="14"/>
                <w:szCs w:val="14"/>
              </w:rPr>
              <w:t>14.5</w:t>
            </w:r>
          </w:p>
        </w:tc>
        <w:tc>
          <w:tcPr>
            <w:tcW w:w="1746" w:type="pct"/>
            <w:tcBorders>
              <w:top w:val="nil"/>
              <w:left w:val="nil"/>
              <w:bottom w:val="nil"/>
              <w:right w:val="nil"/>
            </w:tcBorders>
            <w:shd w:val="clear" w:color="auto" w:fill="auto"/>
            <w:hideMark/>
          </w:tcPr>
          <w:p w14:paraId="31E70A51" w14:textId="77777777" w:rsidR="00862A01" w:rsidRPr="00872D7E" w:rsidRDefault="00862A01" w:rsidP="00862A01">
            <w:pPr>
              <w:rPr>
                <w:color w:val="000000"/>
                <w:sz w:val="14"/>
                <w:szCs w:val="14"/>
              </w:rPr>
            </w:pPr>
            <w:r w:rsidRPr="00872D7E">
              <w:rPr>
                <w:color w:val="000000"/>
                <w:sz w:val="14"/>
                <w:szCs w:val="14"/>
              </w:rPr>
              <w:t>Kâr Yedekleri</w:t>
            </w:r>
          </w:p>
        </w:tc>
        <w:tc>
          <w:tcPr>
            <w:tcW w:w="377" w:type="pct"/>
            <w:tcBorders>
              <w:top w:val="nil"/>
              <w:left w:val="single" w:sz="4" w:space="0" w:color="auto"/>
              <w:bottom w:val="nil"/>
              <w:right w:val="single" w:sz="4" w:space="0" w:color="auto"/>
            </w:tcBorders>
            <w:shd w:val="clear" w:color="auto" w:fill="auto"/>
            <w:hideMark/>
          </w:tcPr>
          <w:p w14:paraId="07839A79"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5EC9CDA6" w14:textId="77777777" w:rsidR="00862A01" w:rsidRPr="00872D7E" w:rsidRDefault="00862A01" w:rsidP="00862A01">
            <w:pPr>
              <w:jc w:val="right"/>
              <w:rPr>
                <w:color w:val="000000"/>
                <w:sz w:val="14"/>
                <w:szCs w:val="14"/>
              </w:rPr>
            </w:pPr>
            <w:r w:rsidRPr="00872D7E">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7EE3544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2246AF3" w14:textId="77777777" w:rsidR="00862A01" w:rsidRPr="00872D7E" w:rsidRDefault="00862A01" w:rsidP="00862A01">
            <w:pPr>
              <w:jc w:val="right"/>
              <w:rPr>
                <w:color w:val="000000"/>
                <w:sz w:val="14"/>
                <w:szCs w:val="14"/>
              </w:rPr>
            </w:pPr>
            <w:r w:rsidRPr="00872D7E">
              <w:rPr>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7A27D998"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65D39D05"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023BABF3"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0173EB14"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2B30953A" w14:textId="77777777" w:rsidR="00862A01" w:rsidRPr="00872D7E" w:rsidRDefault="00862A01" w:rsidP="00862A01">
            <w:pPr>
              <w:rPr>
                <w:color w:val="000000"/>
                <w:sz w:val="14"/>
                <w:szCs w:val="14"/>
              </w:rPr>
            </w:pPr>
            <w:r w:rsidRPr="00872D7E">
              <w:rPr>
                <w:color w:val="000000"/>
                <w:sz w:val="14"/>
                <w:szCs w:val="14"/>
              </w:rPr>
              <w:t>14.5.1</w:t>
            </w:r>
          </w:p>
        </w:tc>
        <w:tc>
          <w:tcPr>
            <w:tcW w:w="1746" w:type="pct"/>
            <w:tcBorders>
              <w:top w:val="nil"/>
              <w:left w:val="nil"/>
              <w:bottom w:val="nil"/>
              <w:right w:val="nil"/>
            </w:tcBorders>
            <w:shd w:val="clear" w:color="auto" w:fill="auto"/>
            <w:hideMark/>
          </w:tcPr>
          <w:p w14:paraId="01D99908" w14:textId="77777777" w:rsidR="00862A01" w:rsidRPr="00872D7E" w:rsidRDefault="00862A01" w:rsidP="00862A01">
            <w:pPr>
              <w:rPr>
                <w:color w:val="000000"/>
                <w:sz w:val="14"/>
                <w:szCs w:val="14"/>
              </w:rPr>
            </w:pPr>
            <w:r w:rsidRPr="00872D7E">
              <w:rPr>
                <w:color w:val="000000"/>
                <w:sz w:val="14"/>
                <w:szCs w:val="14"/>
              </w:rPr>
              <w:t>Yasal Yedekler</w:t>
            </w:r>
          </w:p>
        </w:tc>
        <w:tc>
          <w:tcPr>
            <w:tcW w:w="377" w:type="pct"/>
            <w:tcBorders>
              <w:top w:val="nil"/>
              <w:left w:val="single" w:sz="4" w:space="0" w:color="auto"/>
              <w:bottom w:val="nil"/>
              <w:right w:val="single" w:sz="4" w:space="0" w:color="auto"/>
            </w:tcBorders>
            <w:shd w:val="clear" w:color="auto" w:fill="auto"/>
            <w:hideMark/>
          </w:tcPr>
          <w:p w14:paraId="13D07BE9"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402E4F5F" w14:textId="77777777" w:rsidR="00862A01" w:rsidRPr="00872D7E" w:rsidRDefault="00862A01" w:rsidP="00862A01">
            <w:pPr>
              <w:jc w:val="right"/>
              <w:rPr>
                <w:color w:val="000000"/>
                <w:sz w:val="14"/>
                <w:szCs w:val="14"/>
              </w:rPr>
            </w:pPr>
            <w:r w:rsidRPr="00872D7E">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4BA7C30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DF2DE3A" w14:textId="77777777" w:rsidR="00862A01" w:rsidRPr="00872D7E" w:rsidRDefault="00862A01" w:rsidP="00862A01">
            <w:pPr>
              <w:jc w:val="right"/>
              <w:rPr>
                <w:color w:val="000000"/>
                <w:sz w:val="14"/>
                <w:szCs w:val="14"/>
              </w:rPr>
            </w:pPr>
            <w:r w:rsidRPr="00872D7E">
              <w:rPr>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694457B8"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7DE62966"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01CF1C0E"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52FAD4B5"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570E1544" w14:textId="77777777" w:rsidR="00862A01" w:rsidRPr="00872D7E" w:rsidRDefault="00862A01" w:rsidP="00862A01">
            <w:pPr>
              <w:rPr>
                <w:color w:val="000000"/>
                <w:sz w:val="14"/>
                <w:szCs w:val="14"/>
              </w:rPr>
            </w:pPr>
            <w:r w:rsidRPr="00872D7E">
              <w:rPr>
                <w:color w:val="000000"/>
                <w:sz w:val="14"/>
                <w:szCs w:val="14"/>
              </w:rPr>
              <w:t>14.5.2</w:t>
            </w:r>
          </w:p>
        </w:tc>
        <w:tc>
          <w:tcPr>
            <w:tcW w:w="1746" w:type="pct"/>
            <w:tcBorders>
              <w:top w:val="nil"/>
              <w:left w:val="nil"/>
              <w:bottom w:val="nil"/>
              <w:right w:val="nil"/>
            </w:tcBorders>
            <w:shd w:val="clear" w:color="auto" w:fill="auto"/>
            <w:hideMark/>
          </w:tcPr>
          <w:p w14:paraId="5252A89D" w14:textId="77777777" w:rsidR="00862A01" w:rsidRPr="00872D7E" w:rsidRDefault="00862A01" w:rsidP="00862A01">
            <w:pPr>
              <w:rPr>
                <w:color w:val="000000"/>
                <w:sz w:val="14"/>
                <w:szCs w:val="14"/>
              </w:rPr>
            </w:pPr>
            <w:r w:rsidRPr="00872D7E">
              <w:rPr>
                <w:color w:val="000000"/>
                <w:sz w:val="14"/>
                <w:szCs w:val="14"/>
              </w:rPr>
              <w:t>Statü Yedekleri</w:t>
            </w:r>
          </w:p>
        </w:tc>
        <w:tc>
          <w:tcPr>
            <w:tcW w:w="377" w:type="pct"/>
            <w:tcBorders>
              <w:top w:val="nil"/>
              <w:left w:val="single" w:sz="4" w:space="0" w:color="auto"/>
              <w:bottom w:val="nil"/>
              <w:right w:val="single" w:sz="4" w:space="0" w:color="auto"/>
            </w:tcBorders>
            <w:shd w:val="clear" w:color="auto" w:fill="auto"/>
            <w:hideMark/>
          </w:tcPr>
          <w:p w14:paraId="481B70BE"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5FC0FD7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09C8B34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73922D4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49DF6351"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19F1FD8F"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73991656"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7EFBAA06"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7BBEFA25" w14:textId="77777777" w:rsidR="00862A01" w:rsidRPr="00872D7E" w:rsidRDefault="00862A01" w:rsidP="00862A01">
            <w:pPr>
              <w:rPr>
                <w:color w:val="000000"/>
                <w:sz w:val="14"/>
                <w:szCs w:val="14"/>
              </w:rPr>
            </w:pPr>
            <w:r w:rsidRPr="00872D7E">
              <w:rPr>
                <w:color w:val="000000"/>
                <w:sz w:val="14"/>
                <w:szCs w:val="14"/>
              </w:rPr>
              <w:t>14.5.3</w:t>
            </w:r>
          </w:p>
        </w:tc>
        <w:tc>
          <w:tcPr>
            <w:tcW w:w="1746" w:type="pct"/>
            <w:tcBorders>
              <w:top w:val="nil"/>
              <w:left w:val="nil"/>
              <w:bottom w:val="nil"/>
              <w:right w:val="nil"/>
            </w:tcBorders>
            <w:shd w:val="clear" w:color="auto" w:fill="auto"/>
            <w:hideMark/>
          </w:tcPr>
          <w:p w14:paraId="688F47D6" w14:textId="77777777" w:rsidR="00862A01" w:rsidRPr="00872D7E" w:rsidRDefault="00862A01" w:rsidP="00862A01">
            <w:pPr>
              <w:rPr>
                <w:color w:val="000000"/>
                <w:sz w:val="14"/>
                <w:szCs w:val="14"/>
              </w:rPr>
            </w:pPr>
            <w:r w:rsidRPr="00872D7E">
              <w:rPr>
                <w:color w:val="000000"/>
                <w:sz w:val="14"/>
                <w:szCs w:val="14"/>
              </w:rPr>
              <w:t>Olağanüstü Yedekler</w:t>
            </w:r>
          </w:p>
        </w:tc>
        <w:tc>
          <w:tcPr>
            <w:tcW w:w="377" w:type="pct"/>
            <w:tcBorders>
              <w:top w:val="nil"/>
              <w:left w:val="single" w:sz="4" w:space="0" w:color="auto"/>
              <w:bottom w:val="nil"/>
              <w:right w:val="single" w:sz="4" w:space="0" w:color="auto"/>
            </w:tcBorders>
            <w:shd w:val="clear" w:color="auto" w:fill="auto"/>
            <w:hideMark/>
          </w:tcPr>
          <w:p w14:paraId="5BC3DA3F"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0398863F" w14:textId="77777777" w:rsidR="00862A01" w:rsidRPr="00872D7E" w:rsidRDefault="00862A01" w:rsidP="00862A01">
            <w:pPr>
              <w:jc w:val="right"/>
              <w:rPr>
                <w:color w:val="000000"/>
                <w:sz w:val="14"/>
                <w:szCs w:val="14"/>
              </w:rPr>
            </w:pPr>
            <w:r w:rsidRPr="00872D7E">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0D62CCD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22585507" w14:textId="77777777" w:rsidR="00862A01" w:rsidRPr="00872D7E" w:rsidRDefault="00862A01" w:rsidP="00862A01">
            <w:pPr>
              <w:jc w:val="right"/>
              <w:rPr>
                <w:color w:val="000000"/>
                <w:sz w:val="14"/>
                <w:szCs w:val="14"/>
              </w:rPr>
            </w:pPr>
            <w:r w:rsidRPr="00872D7E">
              <w:rPr>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31C2C4FC"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180BD06A"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18473652"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557AC99B"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17B697E7" w14:textId="77777777" w:rsidR="00862A01" w:rsidRPr="00872D7E" w:rsidRDefault="00862A01" w:rsidP="00862A01">
            <w:pPr>
              <w:rPr>
                <w:color w:val="000000"/>
                <w:sz w:val="14"/>
                <w:szCs w:val="14"/>
              </w:rPr>
            </w:pPr>
            <w:r w:rsidRPr="00872D7E">
              <w:rPr>
                <w:color w:val="000000"/>
                <w:sz w:val="14"/>
                <w:szCs w:val="14"/>
              </w:rPr>
              <w:t>14.5.4</w:t>
            </w:r>
          </w:p>
        </w:tc>
        <w:tc>
          <w:tcPr>
            <w:tcW w:w="1746" w:type="pct"/>
            <w:tcBorders>
              <w:top w:val="nil"/>
              <w:left w:val="nil"/>
              <w:bottom w:val="nil"/>
              <w:right w:val="nil"/>
            </w:tcBorders>
            <w:shd w:val="clear" w:color="auto" w:fill="auto"/>
            <w:hideMark/>
          </w:tcPr>
          <w:p w14:paraId="52EE25CD" w14:textId="77777777" w:rsidR="00862A01" w:rsidRPr="00872D7E" w:rsidRDefault="00862A01" w:rsidP="00862A01">
            <w:pPr>
              <w:rPr>
                <w:color w:val="000000"/>
                <w:sz w:val="14"/>
                <w:szCs w:val="14"/>
              </w:rPr>
            </w:pPr>
            <w:r w:rsidRPr="00872D7E">
              <w:rPr>
                <w:color w:val="000000"/>
                <w:sz w:val="14"/>
                <w:szCs w:val="14"/>
              </w:rPr>
              <w:t>Diğer Kâr Yedekleri</w:t>
            </w:r>
          </w:p>
        </w:tc>
        <w:tc>
          <w:tcPr>
            <w:tcW w:w="377" w:type="pct"/>
            <w:tcBorders>
              <w:top w:val="nil"/>
              <w:left w:val="single" w:sz="4" w:space="0" w:color="auto"/>
              <w:bottom w:val="nil"/>
              <w:right w:val="single" w:sz="4" w:space="0" w:color="auto"/>
            </w:tcBorders>
            <w:shd w:val="clear" w:color="auto" w:fill="auto"/>
            <w:hideMark/>
          </w:tcPr>
          <w:p w14:paraId="152CFBBF"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79C292CB" w14:textId="77777777" w:rsidR="00862A01" w:rsidRPr="00872D7E" w:rsidRDefault="00862A01" w:rsidP="00862A01">
            <w:pPr>
              <w:jc w:val="right"/>
              <w:rPr>
                <w:color w:val="000000"/>
                <w:sz w:val="14"/>
                <w:szCs w:val="14"/>
              </w:rPr>
            </w:pPr>
            <w:r w:rsidRPr="00872D7E">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center"/>
            <w:hideMark/>
          </w:tcPr>
          <w:p w14:paraId="38866FB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187927B0" w14:textId="77777777" w:rsidR="00862A01" w:rsidRPr="00872D7E" w:rsidRDefault="00862A01" w:rsidP="00862A01">
            <w:pPr>
              <w:jc w:val="right"/>
              <w:rPr>
                <w:color w:val="000000"/>
                <w:sz w:val="14"/>
                <w:szCs w:val="14"/>
              </w:rPr>
            </w:pPr>
            <w:r w:rsidRPr="00872D7E">
              <w:rPr>
                <w:color w:val="000000"/>
                <w:sz w:val="14"/>
                <w:szCs w:val="14"/>
              </w:rPr>
              <w:t>-</w:t>
            </w:r>
          </w:p>
        </w:tc>
        <w:tc>
          <w:tcPr>
            <w:tcW w:w="411" w:type="pct"/>
            <w:tcBorders>
              <w:top w:val="nil"/>
              <w:left w:val="nil"/>
              <w:bottom w:val="nil"/>
              <w:right w:val="single" w:sz="4" w:space="0" w:color="auto"/>
            </w:tcBorders>
            <w:shd w:val="clear" w:color="000000" w:fill="FFFFFF"/>
            <w:vAlign w:val="center"/>
            <w:hideMark/>
          </w:tcPr>
          <w:p w14:paraId="7AF43ABD" w14:textId="77777777" w:rsidR="00862A01" w:rsidRPr="00872D7E" w:rsidRDefault="00862A01" w:rsidP="00862A01">
            <w:pPr>
              <w:jc w:val="right"/>
              <w:rPr>
                <w:color w:val="000000"/>
                <w:sz w:val="14"/>
                <w:szCs w:val="14"/>
              </w:rPr>
            </w:pPr>
            <w:r w:rsidRPr="00872D7E">
              <w:rPr>
                <w:color w:val="000000"/>
                <w:sz w:val="14"/>
                <w:szCs w:val="14"/>
              </w:rPr>
              <w:t>-</w:t>
            </w:r>
          </w:p>
        </w:tc>
        <w:tc>
          <w:tcPr>
            <w:tcW w:w="343" w:type="pct"/>
            <w:tcBorders>
              <w:top w:val="nil"/>
              <w:left w:val="nil"/>
              <w:bottom w:val="nil"/>
              <w:right w:val="single" w:sz="4" w:space="0" w:color="auto"/>
            </w:tcBorders>
            <w:shd w:val="clear" w:color="000000" w:fill="FFFFFF"/>
            <w:vAlign w:val="center"/>
            <w:hideMark/>
          </w:tcPr>
          <w:p w14:paraId="067E6085"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39498B89"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6D49C1EF" w14:textId="77777777" w:rsidTr="00862A01">
        <w:trPr>
          <w:divId w:val="2049453210"/>
          <w:trHeight w:val="20"/>
        </w:trPr>
        <w:tc>
          <w:tcPr>
            <w:tcW w:w="309" w:type="pct"/>
            <w:tcBorders>
              <w:top w:val="nil"/>
              <w:left w:val="single" w:sz="4" w:space="0" w:color="auto"/>
              <w:bottom w:val="nil"/>
              <w:right w:val="nil"/>
            </w:tcBorders>
            <w:shd w:val="clear" w:color="auto" w:fill="auto"/>
            <w:noWrap/>
            <w:hideMark/>
          </w:tcPr>
          <w:p w14:paraId="62951A0C" w14:textId="77777777" w:rsidR="00862A01" w:rsidRPr="00872D7E" w:rsidRDefault="00862A01" w:rsidP="00862A01">
            <w:pPr>
              <w:rPr>
                <w:color w:val="000000"/>
                <w:sz w:val="14"/>
                <w:szCs w:val="14"/>
              </w:rPr>
            </w:pPr>
            <w:r w:rsidRPr="00872D7E">
              <w:rPr>
                <w:color w:val="000000"/>
                <w:sz w:val="14"/>
                <w:szCs w:val="14"/>
              </w:rPr>
              <w:t>14.6</w:t>
            </w:r>
          </w:p>
        </w:tc>
        <w:tc>
          <w:tcPr>
            <w:tcW w:w="1746" w:type="pct"/>
            <w:tcBorders>
              <w:top w:val="nil"/>
              <w:left w:val="nil"/>
              <w:bottom w:val="nil"/>
              <w:right w:val="nil"/>
            </w:tcBorders>
            <w:shd w:val="clear" w:color="auto" w:fill="auto"/>
            <w:hideMark/>
          </w:tcPr>
          <w:p w14:paraId="0D1516EE" w14:textId="77777777" w:rsidR="00862A01" w:rsidRPr="00872D7E" w:rsidRDefault="00862A01" w:rsidP="00862A01">
            <w:pPr>
              <w:rPr>
                <w:color w:val="000000"/>
                <w:sz w:val="14"/>
                <w:szCs w:val="14"/>
              </w:rPr>
            </w:pPr>
            <w:r w:rsidRPr="00872D7E">
              <w:rPr>
                <w:color w:val="000000"/>
                <w:sz w:val="14"/>
                <w:szCs w:val="14"/>
              </w:rPr>
              <w:t>Kâr veya Zarar</w:t>
            </w:r>
          </w:p>
        </w:tc>
        <w:tc>
          <w:tcPr>
            <w:tcW w:w="377" w:type="pct"/>
            <w:tcBorders>
              <w:top w:val="nil"/>
              <w:left w:val="single" w:sz="4" w:space="0" w:color="auto"/>
              <w:bottom w:val="nil"/>
              <w:right w:val="single" w:sz="4" w:space="0" w:color="auto"/>
            </w:tcBorders>
            <w:shd w:val="clear" w:color="auto" w:fill="auto"/>
            <w:hideMark/>
          </w:tcPr>
          <w:p w14:paraId="7D1D5065"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nil"/>
              <w:right w:val="nil"/>
            </w:tcBorders>
            <w:shd w:val="clear" w:color="000000" w:fill="FFFFFF"/>
            <w:vAlign w:val="center"/>
            <w:hideMark/>
          </w:tcPr>
          <w:p w14:paraId="68A22BC6" w14:textId="77777777" w:rsidR="00862A01" w:rsidRPr="00872D7E" w:rsidRDefault="00862A01" w:rsidP="00862A01">
            <w:pPr>
              <w:jc w:val="right"/>
              <w:rPr>
                <w:color w:val="000000"/>
                <w:sz w:val="14"/>
                <w:szCs w:val="14"/>
              </w:rPr>
            </w:pPr>
            <w:r w:rsidRPr="00872D7E">
              <w:rPr>
                <w:color w:val="000000"/>
                <w:sz w:val="14"/>
                <w:szCs w:val="14"/>
              </w:rPr>
              <w:t>1.340.594</w:t>
            </w:r>
          </w:p>
        </w:tc>
        <w:tc>
          <w:tcPr>
            <w:tcW w:w="412" w:type="pct"/>
            <w:tcBorders>
              <w:top w:val="nil"/>
              <w:left w:val="single" w:sz="4" w:space="0" w:color="auto"/>
              <w:bottom w:val="nil"/>
              <w:right w:val="single" w:sz="4" w:space="0" w:color="auto"/>
            </w:tcBorders>
            <w:shd w:val="clear" w:color="000000" w:fill="FFFFFF"/>
            <w:vAlign w:val="center"/>
            <w:hideMark/>
          </w:tcPr>
          <w:p w14:paraId="3076392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nil"/>
              <w:right w:val="single" w:sz="4" w:space="0" w:color="auto"/>
            </w:tcBorders>
            <w:shd w:val="clear" w:color="000000" w:fill="FFFFFF"/>
            <w:vAlign w:val="center"/>
            <w:hideMark/>
          </w:tcPr>
          <w:p w14:paraId="427B4810" w14:textId="77777777" w:rsidR="00862A01" w:rsidRPr="00872D7E" w:rsidRDefault="00862A01" w:rsidP="00862A01">
            <w:pPr>
              <w:jc w:val="right"/>
              <w:rPr>
                <w:color w:val="000000"/>
                <w:sz w:val="14"/>
                <w:szCs w:val="14"/>
              </w:rPr>
            </w:pPr>
            <w:r w:rsidRPr="00872D7E">
              <w:rPr>
                <w:color w:val="000000"/>
                <w:sz w:val="14"/>
                <w:szCs w:val="14"/>
              </w:rPr>
              <w:t>1.340.594</w:t>
            </w:r>
          </w:p>
        </w:tc>
        <w:tc>
          <w:tcPr>
            <w:tcW w:w="411" w:type="pct"/>
            <w:tcBorders>
              <w:top w:val="nil"/>
              <w:left w:val="nil"/>
              <w:bottom w:val="nil"/>
              <w:right w:val="single" w:sz="4" w:space="0" w:color="auto"/>
            </w:tcBorders>
            <w:shd w:val="clear" w:color="000000" w:fill="FFFFFF"/>
            <w:vAlign w:val="center"/>
            <w:hideMark/>
          </w:tcPr>
          <w:p w14:paraId="0E885ED0" w14:textId="77777777" w:rsidR="00862A01" w:rsidRPr="00872D7E" w:rsidRDefault="00862A01" w:rsidP="00862A01">
            <w:pPr>
              <w:jc w:val="right"/>
              <w:rPr>
                <w:color w:val="000000"/>
                <w:sz w:val="14"/>
                <w:szCs w:val="14"/>
              </w:rPr>
            </w:pPr>
            <w:r w:rsidRPr="00872D7E">
              <w:rPr>
                <w:color w:val="000000"/>
                <w:sz w:val="14"/>
                <w:szCs w:val="14"/>
              </w:rPr>
              <w:t>(13.048)</w:t>
            </w:r>
          </w:p>
        </w:tc>
        <w:tc>
          <w:tcPr>
            <w:tcW w:w="343" w:type="pct"/>
            <w:tcBorders>
              <w:top w:val="nil"/>
              <w:left w:val="nil"/>
              <w:bottom w:val="nil"/>
              <w:right w:val="single" w:sz="4" w:space="0" w:color="auto"/>
            </w:tcBorders>
            <w:shd w:val="clear" w:color="000000" w:fill="FFFFFF"/>
            <w:vAlign w:val="center"/>
            <w:hideMark/>
          </w:tcPr>
          <w:p w14:paraId="20AA129A"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nil"/>
              <w:right w:val="single" w:sz="4" w:space="0" w:color="auto"/>
            </w:tcBorders>
            <w:shd w:val="clear" w:color="000000" w:fill="FFFFFF"/>
            <w:vAlign w:val="center"/>
            <w:hideMark/>
          </w:tcPr>
          <w:p w14:paraId="37986AE6" w14:textId="77777777" w:rsidR="00862A01" w:rsidRPr="00872D7E" w:rsidRDefault="00862A01" w:rsidP="00862A01">
            <w:pPr>
              <w:jc w:val="right"/>
              <w:rPr>
                <w:color w:val="000000"/>
                <w:sz w:val="14"/>
                <w:szCs w:val="14"/>
              </w:rPr>
            </w:pPr>
            <w:r w:rsidRPr="00872D7E">
              <w:rPr>
                <w:color w:val="000000"/>
                <w:sz w:val="14"/>
                <w:szCs w:val="14"/>
              </w:rPr>
              <w:t>(13.048)</w:t>
            </w:r>
          </w:p>
        </w:tc>
      </w:tr>
      <w:tr w:rsidR="00862A01" w:rsidRPr="00872D7E" w14:paraId="652FA193" w14:textId="77777777" w:rsidTr="00296257">
        <w:trPr>
          <w:divId w:val="2049453210"/>
          <w:trHeight w:val="20"/>
        </w:trPr>
        <w:tc>
          <w:tcPr>
            <w:tcW w:w="309" w:type="pct"/>
            <w:tcBorders>
              <w:top w:val="nil"/>
              <w:left w:val="single" w:sz="4" w:space="0" w:color="auto"/>
              <w:right w:val="nil"/>
            </w:tcBorders>
            <w:shd w:val="clear" w:color="auto" w:fill="auto"/>
            <w:noWrap/>
            <w:hideMark/>
          </w:tcPr>
          <w:p w14:paraId="41A1D97F" w14:textId="77777777" w:rsidR="00862A01" w:rsidRPr="00872D7E" w:rsidRDefault="00862A01" w:rsidP="00862A01">
            <w:pPr>
              <w:rPr>
                <w:color w:val="000000"/>
                <w:sz w:val="14"/>
                <w:szCs w:val="14"/>
              </w:rPr>
            </w:pPr>
            <w:r w:rsidRPr="00872D7E">
              <w:rPr>
                <w:color w:val="000000"/>
                <w:sz w:val="14"/>
                <w:szCs w:val="14"/>
              </w:rPr>
              <w:t>14.6.1</w:t>
            </w:r>
          </w:p>
        </w:tc>
        <w:tc>
          <w:tcPr>
            <w:tcW w:w="1746" w:type="pct"/>
            <w:tcBorders>
              <w:top w:val="nil"/>
              <w:left w:val="nil"/>
              <w:right w:val="nil"/>
            </w:tcBorders>
            <w:shd w:val="clear" w:color="auto" w:fill="auto"/>
            <w:hideMark/>
          </w:tcPr>
          <w:p w14:paraId="7921B7B9" w14:textId="77777777" w:rsidR="00862A01" w:rsidRPr="00872D7E" w:rsidRDefault="00862A01" w:rsidP="00862A01">
            <w:pPr>
              <w:rPr>
                <w:color w:val="000000"/>
                <w:sz w:val="14"/>
                <w:szCs w:val="14"/>
              </w:rPr>
            </w:pPr>
            <w:r w:rsidRPr="00872D7E">
              <w:rPr>
                <w:color w:val="000000"/>
                <w:sz w:val="14"/>
                <w:szCs w:val="14"/>
              </w:rPr>
              <w:t>Geçmiş Yıllar Kâr veya Zararı</w:t>
            </w:r>
          </w:p>
        </w:tc>
        <w:tc>
          <w:tcPr>
            <w:tcW w:w="377" w:type="pct"/>
            <w:tcBorders>
              <w:top w:val="nil"/>
              <w:left w:val="single" w:sz="4" w:space="0" w:color="auto"/>
              <w:right w:val="single" w:sz="4" w:space="0" w:color="auto"/>
            </w:tcBorders>
            <w:shd w:val="clear" w:color="auto" w:fill="auto"/>
            <w:hideMark/>
          </w:tcPr>
          <w:p w14:paraId="1D922534"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right w:val="nil"/>
            </w:tcBorders>
            <w:shd w:val="clear" w:color="000000" w:fill="FFFFFF"/>
            <w:vAlign w:val="center"/>
            <w:hideMark/>
          </w:tcPr>
          <w:p w14:paraId="0AA9EC13" w14:textId="77777777" w:rsidR="00862A01" w:rsidRPr="00872D7E" w:rsidRDefault="00862A01" w:rsidP="00862A01">
            <w:pPr>
              <w:jc w:val="right"/>
              <w:rPr>
                <w:color w:val="000000"/>
                <w:sz w:val="14"/>
                <w:szCs w:val="14"/>
              </w:rPr>
            </w:pPr>
            <w:r w:rsidRPr="00872D7E">
              <w:rPr>
                <w:color w:val="000000"/>
                <w:sz w:val="14"/>
                <w:szCs w:val="14"/>
              </w:rPr>
              <w:t>(13.048)</w:t>
            </w:r>
          </w:p>
        </w:tc>
        <w:tc>
          <w:tcPr>
            <w:tcW w:w="412" w:type="pct"/>
            <w:tcBorders>
              <w:top w:val="nil"/>
              <w:left w:val="single" w:sz="4" w:space="0" w:color="auto"/>
              <w:right w:val="single" w:sz="4" w:space="0" w:color="auto"/>
            </w:tcBorders>
            <w:shd w:val="clear" w:color="000000" w:fill="FFFFFF"/>
            <w:vAlign w:val="center"/>
            <w:hideMark/>
          </w:tcPr>
          <w:p w14:paraId="33D2408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right w:val="single" w:sz="4" w:space="0" w:color="auto"/>
            </w:tcBorders>
            <w:shd w:val="clear" w:color="000000" w:fill="FFFFFF"/>
            <w:vAlign w:val="center"/>
            <w:hideMark/>
          </w:tcPr>
          <w:p w14:paraId="2401B07E" w14:textId="77777777" w:rsidR="00862A01" w:rsidRPr="00872D7E" w:rsidRDefault="00862A01" w:rsidP="00862A01">
            <w:pPr>
              <w:jc w:val="right"/>
              <w:rPr>
                <w:color w:val="000000"/>
                <w:sz w:val="14"/>
                <w:szCs w:val="14"/>
              </w:rPr>
            </w:pPr>
            <w:r w:rsidRPr="00872D7E">
              <w:rPr>
                <w:color w:val="000000"/>
                <w:sz w:val="14"/>
                <w:szCs w:val="14"/>
              </w:rPr>
              <w:t>(13.048)</w:t>
            </w:r>
          </w:p>
        </w:tc>
        <w:tc>
          <w:tcPr>
            <w:tcW w:w="411" w:type="pct"/>
            <w:tcBorders>
              <w:top w:val="nil"/>
              <w:left w:val="nil"/>
              <w:right w:val="single" w:sz="4" w:space="0" w:color="auto"/>
            </w:tcBorders>
            <w:shd w:val="clear" w:color="000000" w:fill="FFFFFF"/>
            <w:vAlign w:val="center"/>
            <w:hideMark/>
          </w:tcPr>
          <w:p w14:paraId="6FDC8F83" w14:textId="77777777" w:rsidR="00862A01" w:rsidRPr="00872D7E" w:rsidRDefault="00862A01" w:rsidP="00862A01">
            <w:pPr>
              <w:jc w:val="right"/>
              <w:rPr>
                <w:color w:val="000000"/>
                <w:sz w:val="14"/>
                <w:szCs w:val="14"/>
              </w:rPr>
            </w:pPr>
            <w:r w:rsidRPr="00872D7E">
              <w:rPr>
                <w:color w:val="000000"/>
                <w:sz w:val="14"/>
                <w:szCs w:val="14"/>
              </w:rPr>
              <w:t>(21.140)</w:t>
            </w:r>
          </w:p>
        </w:tc>
        <w:tc>
          <w:tcPr>
            <w:tcW w:w="343" w:type="pct"/>
            <w:tcBorders>
              <w:top w:val="nil"/>
              <w:left w:val="nil"/>
              <w:right w:val="single" w:sz="4" w:space="0" w:color="auto"/>
            </w:tcBorders>
            <w:shd w:val="clear" w:color="000000" w:fill="FFFFFF"/>
            <w:vAlign w:val="center"/>
            <w:hideMark/>
          </w:tcPr>
          <w:p w14:paraId="7B7A8833"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right w:val="single" w:sz="4" w:space="0" w:color="auto"/>
            </w:tcBorders>
            <w:shd w:val="clear" w:color="000000" w:fill="FFFFFF"/>
            <w:vAlign w:val="center"/>
            <w:hideMark/>
          </w:tcPr>
          <w:p w14:paraId="26C81739" w14:textId="77777777" w:rsidR="00862A01" w:rsidRPr="00872D7E" w:rsidRDefault="00862A01" w:rsidP="00862A01">
            <w:pPr>
              <w:jc w:val="right"/>
              <w:rPr>
                <w:color w:val="000000"/>
                <w:sz w:val="14"/>
                <w:szCs w:val="14"/>
              </w:rPr>
            </w:pPr>
            <w:r w:rsidRPr="00872D7E">
              <w:rPr>
                <w:color w:val="000000"/>
                <w:sz w:val="14"/>
                <w:szCs w:val="14"/>
              </w:rPr>
              <w:t>(21.140)</w:t>
            </w:r>
          </w:p>
        </w:tc>
      </w:tr>
      <w:tr w:rsidR="00862A01" w:rsidRPr="00872D7E" w14:paraId="10A03119" w14:textId="77777777" w:rsidTr="00296257">
        <w:trPr>
          <w:divId w:val="2049453210"/>
          <w:trHeight w:val="20"/>
        </w:trPr>
        <w:tc>
          <w:tcPr>
            <w:tcW w:w="309" w:type="pct"/>
            <w:tcBorders>
              <w:top w:val="nil"/>
              <w:left w:val="single" w:sz="4" w:space="0" w:color="auto"/>
              <w:bottom w:val="single" w:sz="4" w:space="0" w:color="auto"/>
              <w:right w:val="nil"/>
            </w:tcBorders>
            <w:shd w:val="clear" w:color="auto" w:fill="auto"/>
            <w:noWrap/>
            <w:hideMark/>
          </w:tcPr>
          <w:p w14:paraId="6F566342" w14:textId="77777777" w:rsidR="00862A01" w:rsidRPr="00872D7E" w:rsidRDefault="00862A01" w:rsidP="00862A01">
            <w:pPr>
              <w:rPr>
                <w:color w:val="000000"/>
                <w:sz w:val="14"/>
                <w:szCs w:val="14"/>
              </w:rPr>
            </w:pPr>
            <w:r w:rsidRPr="00872D7E">
              <w:rPr>
                <w:color w:val="000000"/>
                <w:sz w:val="14"/>
                <w:szCs w:val="14"/>
              </w:rPr>
              <w:t>14.6.2</w:t>
            </w:r>
          </w:p>
        </w:tc>
        <w:tc>
          <w:tcPr>
            <w:tcW w:w="1746" w:type="pct"/>
            <w:tcBorders>
              <w:top w:val="nil"/>
              <w:left w:val="nil"/>
              <w:bottom w:val="single" w:sz="4" w:space="0" w:color="auto"/>
              <w:right w:val="nil"/>
            </w:tcBorders>
            <w:shd w:val="clear" w:color="auto" w:fill="auto"/>
            <w:hideMark/>
          </w:tcPr>
          <w:p w14:paraId="602AD987" w14:textId="77777777" w:rsidR="00862A01" w:rsidRPr="00872D7E" w:rsidRDefault="00862A01" w:rsidP="00862A01">
            <w:pPr>
              <w:rPr>
                <w:color w:val="000000"/>
                <w:sz w:val="14"/>
                <w:szCs w:val="14"/>
              </w:rPr>
            </w:pPr>
            <w:r w:rsidRPr="00872D7E">
              <w:rPr>
                <w:color w:val="000000"/>
                <w:sz w:val="14"/>
                <w:szCs w:val="14"/>
              </w:rPr>
              <w:t>Dönem Net Kâr veya Zararı</w:t>
            </w:r>
          </w:p>
        </w:tc>
        <w:tc>
          <w:tcPr>
            <w:tcW w:w="377" w:type="pct"/>
            <w:tcBorders>
              <w:top w:val="nil"/>
              <w:left w:val="single" w:sz="4" w:space="0" w:color="auto"/>
              <w:bottom w:val="single" w:sz="4" w:space="0" w:color="auto"/>
              <w:right w:val="single" w:sz="4" w:space="0" w:color="auto"/>
            </w:tcBorders>
            <w:shd w:val="clear" w:color="auto" w:fill="auto"/>
            <w:hideMark/>
          </w:tcPr>
          <w:p w14:paraId="66E8084D"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nil"/>
              <w:left w:val="nil"/>
              <w:bottom w:val="single" w:sz="4" w:space="0" w:color="auto"/>
              <w:right w:val="nil"/>
            </w:tcBorders>
            <w:shd w:val="clear" w:color="000000" w:fill="FFFFFF"/>
            <w:vAlign w:val="center"/>
            <w:hideMark/>
          </w:tcPr>
          <w:p w14:paraId="6E936044" w14:textId="77777777" w:rsidR="00862A01" w:rsidRPr="00872D7E" w:rsidRDefault="00862A01" w:rsidP="00862A01">
            <w:pPr>
              <w:jc w:val="right"/>
              <w:rPr>
                <w:color w:val="000000"/>
                <w:sz w:val="14"/>
                <w:szCs w:val="14"/>
              </w:rPr>
            </w:pPr>
            <w:r w:rsidRPr="00872D7E">
              <w:rPr>
                <w:color w:val="000000"/>
                <w:sz w:val="14"/>
                <w:szCs w:val="14"/>
              </w:rPr>
              <w:t>1.353.642</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14:paraId="26E0F8E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480" w:type="pct"/>
            <w:tcBorders>
              <w:top w:val="nil"/>
              <w:left w:val="nil"/>
              <w:bottom w:val="single" w:sz="4" w:space="0" w:color="auto"/>
              <w:right w:val="single" w:sz="4" w:space="0" w:color="auto"/>
            </w:tcBorders>
            <w:shd w:val="clear" w:color="000000" w:fill="FFFFFF"/>
            <w:vAlign w:val="center"/>
            <w:hideMark/>
          </w:tcPr>
          <w:p w14:paraId="1FBA8F6A" w14:textId="77777777" w:rsidR="00862A01" w:rsidRPr="00872D7E" w:rsidRDefault="00862A01" w:rsidP="00862A01">
            <w:pPr>
              <w:jc w:val="right"/>
              <w:rPr>
                <w:color w:val="000000"/>
                <w:sz w:val="14"/>
                <w:szCs w:val="14"/>
              </w:rPr>
            </w:pPr>
            <w:r w:rsidRPr="00872D7E">
              <w:rPr>
                <w:color w:val="000000"/>
                <w:sz w:val="14"/>
                <w:szCs w:val="14"/>
              </w:rPr>
              <w:t>1.353.642</w:t>
            </w:r>
          </w:p>
        </w:tc>
        <w:tc>
          <w:tcPr>
            <w:tcW w:w="411" w:type="pct"/>
            <w:tcBorders>
              <w:top w:val="nil"/>
              <w:left w:val="nil"/>
              <w:bottom w:val="single" w:sz="4" w:space="0" w:color="auto"/>
              <w:right w:val="single" w:sz="4" w:space="0" w:color="auto"/>
            </w:tcBorders>
            <w:shd w:val="clear" w:color="000000" w:fill="FFFFFF"/>
            <w:vAlign w:val="center"/>
            <w:hideMark/>
          </w:tcPr>
          <w:p w14:paraId="531C9DE3" w14:textId="77777777" w:rsidR="00862A01" w:rsidRPr="00872D7E" w:rsidRDefault="00862A01" w:rsidP="00862A01">
            <w:pPr>
              <w:jc w:val="right"/>
              <w:rPr>
                <w:color w:val="000000"/>
                <w:sz w:val="14"/>
                <w:szCs w:val="14"/>
              </w:rPr>
            </w:pPr>
            <w:r w:rsidRPr="00872D7E">
              <w:rPr>
                <w:color w:val="000000"/>
                <w:sz w:val="14"/>
                <w:szCs w:val="14"/>
              </w:rPr>
              <w:t>8.092</w:t>
            </w:r>
          </w:p>
        </w:tc>
        <w:tc>
          <w:tcPr>
            <w:tcW w:w="343" w:type="pct"/>
            <w:tcBorders>
              <w:top w:val="nil"/>
              <w:left w:val="nil"/>
              <w:bottom w:val="single" w:sz="4" w:space="0" w:color="auto"/>
              <w:right w:val="single" w:sz="4" w:space="0" w:color="auto"/>
            </w:tcBorders>
            <w:shd w:val="clear" w:color="000000" w:fill="FFFFFF"/>
            <w:vAlign w:val="center"/>
            <w:hideMark/>
          </w:tcPr>
          <w:p w14:paraId="0BE1F924" w14:textId="77777777" w:rsidR="00862A01" w:rsidRPr="00872D7E" w:rsidRDefault="00862A01" w:rsidP="00862A01">
            <w:pPr>
              <w:jc w:val="right"/>
              <w:rPr>
                <w:color w:val="000000"/>
                <w:sz w:val="14"/>
                <w:szCs w:val="14"/>
              </w:rPr>
            </w:pPr>
            <w:r w:rsidRPr="00872D7E">
              <w:rPr>
                <w:color w:val="000000"/>
                <w:sz w:val="14"/>
                <w:szCs w:val="14"/>
              </w:rPr>
              <w:t>-</w:t>
            </w:r>
          </w:p>
        </w:tc>
        <w:tc>
          <w:tcPr>
            <w:tcW w:w="544" w:type="pct"/>
            <w:tcBorders>
              <w:top w:val="nil"/>
              <w:left w:val="nil"/>
              <w:bottom w:val="single" w:sz="4" w:space="0" w:color="auto"/>
              <w:right w:val="single" w:sz="4" w:space="0" w:color="auto"/>
            </w:tcBorders>
            <w:shd w:val="clear" w:color="000000" w:fill="FFFFFF"/>
            <w:vAlign w:val="center"/>
            <w:hideMark/>
          </w:tcPr>
          <w:p w14:paraId="771F8E3A" w14:textId="77777777" w:rsidR="00862A01" w:rsidRPr="00872D7E" w:rsidRDefault="00862A01" w:rsidP="00862A01">
            <w:pPr>
              <w:jc w:val="right"/>
              <w:rPr>
                <w:color w:val="000000"/>
                <w:sz w:val="14"/>
                <w:szCs w:val="14"/>
              </w:rPr>
            </w:pPr>
            <w:r w:rsidRPr="00872D7E">
              <w:rPr>
                <w:color w:val="000000"/>
                <w:sz w:val="14"/>
                <w:szCs w:val="14"/>
              </w:rPr>
              <w:t>8.092</w:t>
            </w:r>
          </w:p>
        </w:tc>
      </w:tr>
      <w:tr w:rsidR="00862A01" w:rsidRPr="00872D7E" w14:paraId="1434350E" w14:textId="77777777" w:rsidTr="00296257">
        <w:trPr>
          <w:divId w:val="2049453210"/>
          <w:trHeight w:val="20"/>
        </w:trPr>
        <w:tc>
          <w:tcPr>
            <w:tcW w:w="309" w:type="pct"/>
            <w:tcBorders>
              <w:top w:val="single" w:sz="4" w:space="0" w:color="auto"/>
              <w:left w:val="single" w:sz="4" w:space="0" w:color="auto"/>
              <w:right w:val="nil"/>
            </w:tcBorders>
            <w:shd w:val="clear" w:color="auto" w:fill="auto"/>
            <w:noWrap/>
            <w:hideMark/>
          </w:tcPr>
          <w:p w14:paraId="6C884074" w14:textId="77777777" w:rsidR="00862A01" w:rsidRPr="00872D7E" w:rsidRDefault="00862A01" w:rsidP="00862A01">
            <w:pPr>
              <w:rPr>
                <w:color w:val="000000"/>
                <w:sz w:val="14"/>
                <w:szCs w:val="14"/>
              </w:rPr>
            </w:pPr>
            <w:r w:rsidRPr="00872D7E">
              <w:rPr>
                <w:color w:val="000000"/>
                <w:sz w:val="14"/>
                <w:szCs w:val="14"/>
              </w:rPr>
              <w:t> </w:t>
            </w:r>
          </w:p>
        </w:tc>
        <w:tc>
          <w:tcPr>
            <w:tcW w:w="1746" w:type="pct"/>
            <w:tcBorders>
              <w:top w:val="single" w:sz="4" w:space="0" w:color="auto"/>
              <w:left w:val="nil"/>
              <w:right w:val="nil"/>
            </w:tcBorders>
            <w:shd w:val="clear" w:color="auto" w:fill="auto"/>
            <w:hideMark/>
          </w:tcPr>
          <w:p w14:paraId="421DA112" w14:textId="77777777" w:rsidR="00862A01" w:rsidRPr="00872D7E" w:rsidRDefault="00862A01" w:rsidP="00862A01">
            <w:pPr>
              <w:rPr>
                <w:color w:val="000000"/>
                <w:sz w:val="14"/>
                <w:szCs w:val="14"/>
              </w:rPr>
            </w:pPr>
          </w:p>
        </w:tc>
        <w:tc>
          <w:tcPr>
            <w:tcW w:w="377" w:type="pct"/>
            <w:tcBorders>
              <w:top w:val="single" w:sz="4" w:space="0" w:color="auto"/>
              <w:left w:val="single" w:sz="4" w:space="0" w:color="auto"/>
              <w:right w:val="single" w:sz="4" w:space="0" w:color="auto"/>
            </w:tcBorders>
            <w:shd w:val="clear" w:color="auto" w:fill="auto"/>
            <w:hideMark/>
          </w:tcPr>
          <w:p w14:paraId="05B8FDFE"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top w:val="single" w:sz="4" w:space="0" w:color="auto"/>
              <w:left w:val="nil"/>
              <w:right w:val="nil"/>
            </w:tcBorders>
            <w:shd w:val="clear" w:color="auto" w:fill="auto"/>
            <w:vAlign w:val="center"/>
            <w:hideMark/>
          </w:tcPr>
          <w:p w14:paraId="24F4B392" w14:textId="77777777" w:rsidR="00862A01" w:rsidRPr="00872D7E" w:rsidRDefault="00862A01" w:rsidP="00862A01">
            <w:pPr>
              <w:jc w:val="right"/>
              <w:rPr>
                <w:color w:val="000000"/>
                <w:sz w:val="14"/>
                <w:szCs w:val="14"/>
              </w:rPr>
            </w:pPr>
            <w:r w:rsidRPr="00872D7E">
              <w:rPr>
                <w:color w:val="000000"/>
                <w:sz w:val="14"/>
                <w:szCs w:val="14"/>
              </w:rPr>
              <w:t> </w:t>
            </w:r>
          </w:p>
        </w:tc>
        <w:tc>
          <w:tcPr>
            <w:tcW w:w="412" w:type="pct"/>
            <w:tcBorders>
              <w:top w:val="single" w:sz="4" w:space="0" w:color="auto"/>
              <w:left w:val="single" w:sz="4" w:space="0" w:color="auto"/>
              <w:right w:val="single" w:sz="4" w:space="0" w:color="auto"/>
            </w:tcBorders>
            <w:shd w:val="clear" w:color="auto" w:fill="auto"/>
            <w:vAlign w:val="center"/>
            <w:hideMark/>
          </w:tcPr>
          <w:p w14:paraId="5A99A7A7" w14:textId="77777777" w:rsidR="00862A01" w:rsidRPr="00872D7E" w:rsidRDefault="00862A01" w:rsidP="00862A01">
            <w:pPr>
              <w:jc w:val="right"/>
              <w:rPr>
                <w:color w:val="000000"/>
                <w:sz w:val="14"/>
                <w:szCs w:val="14"/>
              </w:rPr>
            </w:pPr>
            <w:r w:rsidRPr="00872D7E">
              <w:rPr>
                <w:color w:val="000000"/>
                <w:sz w:val="14"/>
                <w:szCs w:val="14"/>
              </w:rPr>
              <w:t> </w:t>
            </w:r>
          </w:p>
        </w:tc>
        <w:tc>
          <w:tcPr>
            <w:tcW w:w="480" w:type="pct"/>
            <w:tcBorders>
              <w:top w:val="single" w:sz="4" w:space="0" w:color="auto"/>
              <w:left w:val="nil"/>
              <w:right w:val="single" w:sz="4" w:space="0" w:color="auto"/>
            </w:tcBorders>
            <w:shd w:val="clear" w:color="auto" w:fill="auto"/>
            <w:vAlign w:val="center"/>
            <w:hideMark/>
          </w:tcPr>
          <w:p w14:paraId="53C193AC" w14:textId="77777777" w:rsidR="00862A01" w:rsidRPr="00872D7E" w:rsidRDefault="00862A01" w:rsidP="00862A01">
            <w:pPr>
              <w:jc w:val="right"/>
              <w:rPr>
                <w:color w:val="000000"/>
                <w:sz w:val="14"/>
                <w:szCs w:val="14"/>
              </w:rPr>
            </w:pPr>
            <w:r w:rsidRPr="00872D7E">
              <w:rPr>
                <w:color w:val="000000"/>
                <w:sz w:val="14"/>
                <w:szCs w:val="14"/>
              </w:rPr>
              <w:t> </w:t>
            </w:r>
          </w:p>
        </w:tc>
        <w:tc>
          <w:tcPr>
            <w:tcW w:w="411" w:type="pct"/>
            <w:tcBorders>
              <w:top w:val="single" w:sz="4" w:space="0" w:color="auto"/>
              <w:left w:val="nil"/>
              <w:right w:val="single" w:sz="4" w:space="0" w:color="auto"/>
            </w:tcBorders>
            <w:shd w:val="clear" w:color="auto" w:fill="auto"/>
            <w:vAlign w:val="center"/>
            <w:hideMark/>
          </w:tcPr>
          <w:p w14:paraId="444B1DCD" w14:textId="77777777" w:rsidR="00862A01" w:rsidRPr="00872D7E" w:rsidRDefault="00862A01" w:rsidP="00862A01">
            <w:pPr>
              <w:jc w:val="right"/>
              <w:rPr>
                <w:color w:val="000000"/>
                <w:sz w:val="14"/>
                <w:szCs w:val="14"/>
              </w:rPr>
            </w:pPr>
            <w:r w:rsidRPr="00872D7E">
              <w:rPr>
                <w:color w:val="000000"/>
                <w:sz w:val="14"/>
                <w:szCs w:val="14"/>
              </w:rPr>
              <w:t> </w:t>
            </w:r>
          </w:p>
        </w:tc>
        <w:tc>
          <w:tcPr>
            <w:tcW w:w="343" w:type="pct"/>
            <w:tcBorders>
              <w:top w:val="single" w:sz="4" w:space="0" w:color="auto"/>
              <w:left w:val="nil"/>
              <w:right w:val="single" w:sz="4" w:space="0" w:color="auto"/>
            </w:tcBorders>
            <w:shd w:val="clear" w:color="auto" w:fill="auto"/>
            <w:vAlign w:val="center"/>
            <w:hideMark/>
          </w:tcPr>
          <w:p w14:paraId="10C32608" w14:textId="77777777" w:rsidR="00862A01" w:rsidRPr="00872D7E" w:rsidRDefault="00862A01" w:rsidP="00862A01">
            <w:pPr>
              <w:jc w:val="right"/>
              <w:rPr>
                <w:color w:val="000000"/>
                <w:sz w:val="14"/>
                <w:szCs w:val="14"/>
              </w:rPr>
            </w:pPr>
            <w:r w:rsidRPr="00872D7E">
              <w:rPr>
                <w:color w:val="000000"/>
                <w:sz w:val="14"/>
                <w:szCs w:val="14"/>
              </w:rPr>
              <w:t> </w:t>
            </w:r>
          </w:p>
        </w:tc>
        <w:tc>
          <w:tcPr>
            <w:tcW w:w="544" w:type="pct"/>
            <w:tcBorders>
              <w:top w:val="single" w:sz="4" w:space="0" w:color="auto"/>
              <w:left w:val="nil"/>
              <w:right w:val="single" w:sz="4" w:space="0" w:color="auto"/>
            </w:tcBorders>
            <w:shd w:val="clear" w:color="auto" w:fill="auto"/>
            <w:vAlign w:val="center"/>
            <w:hideMark/>
          </w:tcPr>
          <w:p w14:paraId="2996AB3E" w14:textId="77777777" w:rsidR="00862A01" w:rsidRPr="00872D7E" w:rsidRDefault="00862A01" w:rsidP="00862A01">
            <w:pPr>
              <w:jc w:val="right"/>
              <w:rPr>
                <w:color w:val="000000"/>
                <w:sz w:val="14"/>
                <w:szCs w:val="14"/>
              </w:rPr>
            </w:pPr>
            <w:r w:rsidRPr="00872D7E">
              <w:rPr>
                <w:color w:val="000000"/>
                <w:sz w:val="14"/>
                <w:szCs w:val="14"/>
              </w:rPr>
              <w:t> </w:t>
            </w:r>
          </w:p>
        </w:tc>
      </w:tr>
      <w:tr w:rsidR="00862A01" w:rsidRPr="00872D7E" w14:paraId="7CECCACE" w14:textId="77777777" w:rsidTr="00296257">
        <w:trPr>
          <w:divId w:val="2049453210"/>
          <w:trHeight w:val="20"/>
        </w:trPr>
        <w:tc>
          <w:tcPr>
            <w:tcW w:w="309" w:type="pct"/>
            <w:tcBorders>
              <w:left w:val="single" w:sz="4" w:space="0" w:color="auto"/>
              <w:bottom w:val="single" w:sz="4" w:space="0" w:color="auto"/>
            </w:tcBorders>
            <w:shd w:val="clear" w:color="auto" w:fill="auto"/>
            <w:noWrap/>
            <w:hideMark/>
          </w:tcPr>
          <w:p w14:paraId="31E41129" w14:textId="77777777" w:rsidR="00862A01" w:rsidRPr="00872D7E" w:rsidRDefault="00862A01" w:rsidP="00862A01">
            <w:pPr>
              <w:rPr>
                <w:b/>
                <w:bCs/>
                <w:sz w:val="14"/>
                <w:szCs w:val="14"/>
              </w:rPr>
            </w:pPr>
            <w:r w:rsidRPr="00872D7E">
              <w:rPr>
                <w:b/>
                <w:bCs/>
                <w:sz w:val="14"/>
                <w:szCs w:val="14"/>
              </w:rPr>
              <w:t> </w:t>
            </w:r>
          </w:p>
        </w:tc>
        <w:tc>
          <w:tcPr>
            <w:tcW w:w="1746" w:type="pct"/>
            <w:tcBorders>
              <w:left w:val="nil"/>
              <w:bottom w:val="single" w:sz="4" w:space="0" w:color="auto"/>
              <w:right w:val="nil"/>
            </w:tcBorders>
            <w:shd w:val="clear" w:color="auto" w:fill="auto"/>
            <w:hideMark/>
          </w:tcPr>
          <w:p w14:paraId="157318C8" w14:textId="77777777" w:rsidR="00862A01" w:rsidRPr="00872D7E" w:rsidRDefault="00862A01" w:rsidP="00862A01">
            <w:pPr>
              <w:rPr>
                <w:b/>
                <w:bCs/>
                <w:sz w:val="14"/>
                <w:szCs w:val="14"/>
              </w:rPr>
            </w:pPr>
            <w:r w:rsidRPr="00872D7E">
              <w:rPr>
                <w:b/>
                <w:bCs/>
                <w:sz w:val="14"/>
                <w:szCs w:val="14"/>
              </w:rPr>
              <w:t>YÜKÜMLÜLÜKLER TOPLAMI</w:t>
            </w:r>
          </w:p>
        </w:tc>
        <w:tc>
          <w:tcPr>
            <w:tcW w:w="377" w:type="pct"/>
            <w:tcBorders>
              <w:left w:val="single" w:sz="4" w:space="0" w:color="auto"/>
              <w:bottom w:val="single" w:sz="4" w:space="0" w:color="auto"/>
              <w:right w:val="single" w:sz="4" w:space="0" w:color="auto"/>
            </w:tcBorders>
            <w:shd w:val="clear" w:color="auto" w:fill="auto"/>
            <w:hideMark/>
          </w:tcPr>
          <w:p w14:paraId="7B8A5DAF" w14:textId="77777777" w:rsidR="00862A01" w:rsidRPr="00872D7E" w:rsidRDefault="00862A01" w:rsidP="00862A01">
            <w:pPr>
              <w:jc w:val="center"/>
              <w:rPr>
                <w:color w:val="000000"/>
                <w:sz w:val="14"/>
                <w:szCs w:val="14"/>
                <w:lang w:eastAsia="tr-TR"/>
              </w:rPr>
            </w:pPr>
            <w:r w:rsidRPr="00872D7E">
              <w:rPr>
                <w:color w:val="000000"/>
                <w:sz w:val="14"/>
                <w:szCs w:val="14"/>
              </w:rPr>
              <w:t> </w:t>
            </w:r>
          </w:p>
        </w:tc>
        <w:tc>
          <w:tcPr>
            <w:tcW w:w="378" w:type="pct"/>
            <w:tcBorders>
              <w:left w:val="nil"/>
              <w:bottom w:val="single" w:sz="4" w:space="0" w:color="auto"/>
              <w:right w:val="nil"/>
            </w:tcBorders>
            <w:shd w:val="clear" w:color="000000" w:fill="FFFFFF"/>
            <w:vAlign w:val="center"/>
            <w:hideMark/>
          </w:tcPr>
          <w:p w14:paraId="06390926" w14:textId="77777777" w:rsidR="00862A01" w:rsidRPr="00872D7E" w:rsidRDefault="00862A01" w:rsidP="00862A01">
            <w:pPr>
              <w:jc w:val="right"/>
              <w:rPr>
                <w:b/>
                <w:bCs/>
                <w:color w:val="000000"/>
                <w:sz w:val="14"/>
                <w:szCs w:val="14"/>
              </w:rPr>
            </w:pPr>
            <w:r w:rsidRPr="00872D7E">
              <w:rPr>
                <w:b/>
                <w:bCs/>
                <w:color w:val="000000"/>
                <w:sz w:val="14"/>
                <w:szCs w:val="14"/>
              </w:rPr>
              <w:t>22.239.130</w:t>
            </w:r>
          </w:p>
        </w:tc>
        <w:tc>
          <w:tcPr>
            <w:tcW w:w="412" w:type="pct"/>
            <w:tcBorders>
              <w:left w:val="single" w:sz="4" w:space="0" w:color="auto"/>
              <w:bottom w:val="single" w:sz="4" w:space="0" w:color="auto"/>
              <w:right w:val="single" w:sz="4" w:space="0" w:color="auto"/>
            </w:tcBorders>
            <w:shd w:val="clear" w:color="000000" w:fill="FFFFFF"/>
            <w:vAlign w:val="center"/>
            <w:hideMark/>
          </w:tcPr>
          <w:p w14:paraId="5520B2F9" w14:textId="77777777" w:rsidR="00862A01" w:rsidRPr="00872D7E" w:rsidRDefault="00862A01" w:rsidP="00862A01">
            <w:pPr>
              <w:jc w:val="right"/>
              <w:rPr>
                <w:b/>
                <w:bCs/>
                <w:color w:val="000000"/>
                <w:sz w:val="14"/>
                <w:szCs w:val="14"/>
              </w:rPr>
            </w:pPr>
            <w:r w:rsidRPr="00872D7E">
              <w:rPr>
                <w:b/>
                <w:bCs/>
                <w:color w:val="000000"/>
                <w:sz w:val="14"/>
                <w:szCs w:val="14"/>
              </w:rPr>
              <w:t>12.396.027</w:t>
            </w:r>
          </w:p>
        </w:tc>
        <w:tc>
          <w:tcPr>
            <w:tcW w:w="480" w:type="pct"/>
            <w:tcBorders>
              <w:left w:val="nil"/>
              <w:bottom w:val="single" w:sz="4" w:space="0" w:color="auto"/>
              <w:right w:val="single" w:sz="4" w:space="0" w:color="auto"/>
            </w:tcBorders>
            <w:shd w:val="clear" w:color="000000" w:fill="FFFFFF"/>
            <w:vAlign w:val="center"/>
            <w:hideMark/>
          </w:tcPr>
          <w:p w14:paraId="627ECED3" w14:textId="77777777" w:rsidR="00862A01" w:rsidRPr="00872D7E" w:rsidRDefault="00862A01" w:rsidP="00862A01">
            <w:pPr>
              <w:jc w:val="right"/>
              <w:rPr>
                <w:b/>
                <w:bCs/>
                <w:color w:val="000000"/>
                <w:sz w:val="14"/>
                <w:szCs w:val="14"/>
              </w:rPr>
            </w:pPr>
            <w:r w:rsidRPr="00872D7E">
              <w:rPr>
                <w:b/>
                <w:bCs/>
                <w:color w:val="000000"/>
                <w:sz w:val="14"/>
                <w:szCs w:val="14"/>
              </w:rPr>
              <w:t>34.635.157</w:t>
            </w:r>
          </w:p>
        </w:tc>
        <w:tc>
          <w:tcPr>
            <w:tcW w:w="411" w:type="pct"/>
            <w:tcBorders>
              <w:left w:val="nil"/>
              <w:bottom w:val="single" w:sz="4" w:space="0" w:color="auto"/>
              <w:right w:val="single" w:sz="4" w:space="0" w:color="auto"/>
            </w:tcBorders>
            <w:shd w:val="clear" w:color="000000" w:fill="FFFFFF"/>
            <w:vAlign w:val="center"/>
            <w:hideMark/>
          </w:tcPr>
          <w:p w14:paraId="35D162B9" w14:textId="77777777" w:rsidR="00862A01" w:rsidRPr="00872D7E" w:rsidRDefault="00862A01" w:rsidP="00862A01">
            <w:pPr>
              <w:jc w:val="right"/>
              <w:rPr>
                <w:b/>
                <w:bCs/>
                <w:color w:val="000000"/>
                <w:sz w:val="14"/>
                <w:szCs w:val="14"/>
              </w:rPr>
            </w:pPr>
            <w:r w:rsidRPr="00872D7E">
              <w:rPr>
                <w:b/>
                <w:bCs/>
                <w:color w:val="000000"/>
                <w:sz w:val="14"/>
                <w:szCs w:val="14"/>
              </w:rPr>
              <w:t>653.557</w:t>
            </w:r>
          </w:p>
        </w:tc>
        <w:tc>
          <w:tcPr>
            <w:tcW w:w="343" w:type="pct"/>
            <w:tcBorders>
              <w:left w:val="nil"/>
              <w:bottom w:val="single" w:sz="4" w:space="0" w:color="auto"/>
              <w:right w:val="single" w:sz="4" w:space="0" w:color="auto"/>
            </w:tcBorders>
            <w:shd w:val="clear" w:color="000000" w:fill="FFFFFF"/>
            <w:vAlign w:val="center"/>
            <w:hideMark/>
          </w:tcPr>
          <w:p w14:paraId="3CC52687" w14:textId="77777777" w:rsidR="00862A01" w:rsidRPr="00872D7E" w:rsidRDefault="00862A01" w:rsidP="00862A01">
            <w:pPr>
              <w:jc w:val="right"/>
              <w:rPr>
                <w:b/>
                <w:bCs/>
                <w:color w:val="000000"/>
                <w:sz w:val="14"/>
                <w:szCs w:val="14"/>
              </w:rPr>
            </w:pPr>
            <w:r w:rsidRPr="00872D7E">
              <w:rPr>
                <w:b/>
                <w:bCs/>
                <w:color w:val="000000"/>
                <w:sz w:val="14"/>
                <w:szCs w:val="14"/>
              </w:rPr>
              <w:t>744</w:t>
            </w:r>
          </w:p>
        </w:tc>
        <w:tc>
          <w:tcPr>
            <w:tcW w:w="544" w:type="pct"/>
            <w:tcBorders>
              <w:left w:val="nil"/>
              <w:bottom w:val="single" w:sz="4" w:space="0" w:color="auto"/>
              <w:right w:val="single" w:sz="4" w:space="0" w:color="auto"/>
            </w:tcBorders>
            <w:shd w:val="clear" w:color="000000" w:fill="FFFFFF"/>
            <w:vAlign w:val="center"/>
            <w:hideMark/>
          </w:tcPr>
          <w:p w14:paraId="7263E248" w14:textId="77777777" w:rsidR="00862A01" w:rsidRPr="00872D7E" w:rsidRDefault="00862A01" w:rsidP="00862A01">
            <w:pPr>
              <w:jc w:val="right"/>
              <w:rPr>
                <w:b/>
                <w:bCs/>
                <w:color w:val="000000"/>
                <w:sz w:val="14"/>
                <w:szCs w:val="14"/>
              </w:rPr>
            </w:pPr>
            <w:r w:rsidRPr="00872D7E">
              <w:rPr>
                <w:b/>
                <w:bCs/>
                <w:color w:val="000000"/>
                <w:sz w:val="14"/>
                <w:szCs w:val="14"/>
              </w:rPr>
              <w:t>654.301</w:t>
            </w:r>
          </w:p>
        </w:tc>
      </w:tr>
    </w:tbl>
    <w:p w14:paraId="18565824" w14:textId="55D046D4" w:rsidR="003C3E83" w:rsidRPr="00872D7E" w:rsidRDefault="003C3E83" w:rsidP="001F1B63">
      <w:pPr>
        <w:widowControl w:val="0"/>
        <w:tabs>
          <w:tab w:val="left" w:pos="-426"/>
        </w:tabs>
        <w:ind w:left="-426"/>
        <w:jc w:val="center"/>
        <w:rPr>
          <w:szCs w:val="20"/>
        </w:rPr>
      </w:pPr>
    </w:p>
    <w:p w14:paraId="1733AD24" w14:textId="6CF8F4CF" w:rsidR="0097685D" w:rsidRPr="00872D7E" w:rsidRDefault="0097685D" w:rsidP="007C53D5">
      <w:pPr>
        <w:widowControl w:val="0"/>
        <w:ind w:left="567" w:hanging="567"/>
        <w:jc w:val="both"/>
        <w:rPr>
          <w:szCs w:val="20"/>
        </w:rPr>
      </w:pPr>
      <w:r w:rsidRPr="00872D7E">
        <w:rPr>
          <w:sz w:val="18"/>
          <w:szCs w:val="18"/>
          <w:vertAlign w:val="superscript"/>
        </w:rPr>
        <w:t>(*)</w:t>
      </w:r>
      <w:r w:rsidRPr="00872D7E">
        <w:rPr>
          <w:sz w:val="18"/>
          <w:szCs w:val="18"/>
        </w:rPr>
        <w:t xml:space="preserve"> </w:t>
      </w:r>
      <w:r w:rsidR="00296257" w:rsidRPr="00872D7E">
        <w:rPr>
          <w:sz w:val="18"/>
          <w:szCs w:val="18"/>
        </w:rPr>
        <w:tab/>
      </w:r>
      <w:r w:rsidRPr="00872D7E">
        <w:rPr>
          <w:sz w:val="18"/>
          <w:szCs w:val="18"/>
        </w:rPr>
        <w:t xml:space="preserve">3. Bölüm I. Kısımda açıklandığı üzere Banka’nın </w:t>
      </w:r>
      <w:r w:rsidR="00B07002" w:rsidRPr="00872D7E">
        <w:rPr>
          <w:sz w:val="18"/>
          <w:szCs w:val="18"/>
        </w:rPr>
        <w:t>31 Aralık</w:t>
      </w:r>
      <w:r w:rsidR="007301E4" w:rsidRPr="00872D7E">
        <w:rPr>
          <w:sz w:val="18"/>
          <w:szCs w:val="18"/>
        </w:rPr>
        <w:t xml:space="preserve"> </w:t>
      </w:r>
      <w:r w:rsidR="005D4EF6" w:rsidRPr="00872D7E">
        <w:rPr>
          <w:sz w:val="18"/>
          <w:szCs w:val="18"/>
        </w:rPr>
        <w:t>2024</w:t>
      </w:r>
      <w:r w:rsidRPr="00872D7E">
        <w:rPr>
          <w:sz w:val="18"/>
          <w:szCs w:val="18"/>
        </w:rPr>
        <w:t xml:space="preserve"> tarihli konsolide olmayan finansal durum tablosu 1 Ocak 2024 tarihi ile karşılaştırmalı olarak sunulmuştur.</w:t>
      </w:r>
    </w:p>
    <w:p w14:paraId="189F7497" w14:textId="77777777" w:rsidR="00A10966" w:rsidRPr="00872D7E" w:rsidRDefault="00A10966" w:rsidP="001F1B63">
      <w:pPr>
        <w:widowControl w:val="0"/>
        <w:jc w:val="center"/>
        <w:rPr>
          <w:szCs w:val="20"/>
        </w:rPr>
      </w:pPr>
    </w:p>
    <w:p w14:paraId="363EFA7F" w14:textId="77777777" w:rsidR="00531A1F" w:rsidRPr="00872D7E" w:rsidRDefault="00531A1F" w:rsidP="001F1B63">
      <w:pPr>
        <w:widowControl w:val="0"/>
        <w:jc w:val="center"/>
        <w:rPr>
          <w:szCs w:val="20"/>
        </w:rPr>
      </w:pPr>
    </w:p>
    <w:p w14:paraId="52A13F7E" w14:textId="77777777" w:rsidR="00A10966" w:rsidRPr="00872D7E" w:rsidRDefault="00A10966" w:rsidP="001F1B63">
      <w:pPr>
        <w:widowControl w:val="0"/>
        <w:jc w:val="center"/>
        <w:rPr>
          <w:szCs w:val="20"/>
        </w:rPr>
      </w:pPr>
    </w:p>
    <w:p w14:paraId="72935E25" w14:textId="77777777" w:rsidR="001F1B63" w:rsidRPr="00872D7E" w:rsidRDefault="001F1B63" w:rsidP="001F1B63">
      <w:pPr>
        <w:widowControl w:val="0"/>
        <w:jc w:val="center"/>
        <w:rPr>
          <w:szCs w:val="20"/>
        </w:rPr>
      </w:pPr>
    </w:p>
    <w:p w14:paraId="12014256" w14:textId="77777777" w:rsidR="001F1B63" w:rsidRPr="00872D7E" w:rsidRDefault="001F1B63" w:rsidP="001F1B63">
      <w:pPr>
        <w:widowControl w:val="0"/>
        <w:jc w:val="center"/>
        <w:rPr>
          <w:szCs w:val="20"/>
        </w:rPr>
      </w:pPr>
    </w:p>
    <w:p w14:paraId="7916EA2B" w14:textId="77777777" w:rsidR="0048261E" w:rsidRPr="00872D7E" w:rsidRDefault="0048261E" w:rsidP="001F1B63">
      <w:pPr>
        <w:widowControl w:val="0"/>
        <w:jc w:val="center"/>
        <w:rPr>
          <w:szCs w:val="20"/>
        </w:rPr>
      </w:pPr>
    </w:p>
    <w:p w14:paraId="4D43A5AF" w14:textId="77777777" w:rsidR="00296257" w:rsidRPr="00872D7E" w:rsidRDefault="00296257" w:rsidP="001F1B63">
      <w:pPr>
        <w:widowControl w:val="0"/>
        <w:jc w:val="center"/>
        <w:rPr>
          <w:szCs w:val="20"/>
        </w:rPr>
      </w:pPr>
    </w:p>
    <w:p w14:paraId="7E21C4BE" w14:textId="77777777" w:rsidR="00296257" w:rsidRPr="00872D7E" w:rsidRDefault="00296257" w:rsidP="001F1B63">
      <w:pPr>
        <w:widowControl w:val="0"/>
        <w:jc w:val="center"/>
        <w:rPr>
          <w:szCs w:val="20"/>
        </w:rPr>
      </w:pPr>
    </w:p>
    <w:p w14:paraId="50C3F94D" w14:textId="77777777" w:rsidR="00296257" w:rsidRPr="00872D7E" w:rsidRDefault="00296257" w:rsidP="001F1B63">
      <w:pPr>
        <w:widowControl w:val="0"/>
        <w:jc w:val="center"/>
        <w:rPr>
          <w:szCs w:val="20"/>
        </w:rPr>
      </w:pPr>
    </w:p>
    <w:p w14:paraId="753EC943" w14:textId="77777777" w:rsidR="00296257" w:rsidRPr="00872D7E" w:rsidRDefault="00296257" w:rsidP="001F1B63">
      <w:pPr>
        <w:widowControl w:val="0"/>
        <w:jc w:val="center"/>
        <w:rPr>
          <w:szCs w:val="20"/>
        </w:rPr>
      </w:pPr>
    </w:p>
    <w:p w14:paraId="3A997CAE" w14:textId="77777777" w:rsidR="00296257" w:rsidRPr="00872D7E" w:rsidRDefault="00296257" w:rsidP="001F1B63">
      <w:pPr>
        <w:widowControl w:val="0"/>
        <w:jc w:val="center"/>
        <w:rPr>
          <w:szCs w:val="20"/>
        </w:rPr>
      </w:pPr>
    </w:p>
    <w:p w14:paraId="1427B3A7" w14:textId="77777777" w:rsidR="00296257" w:rsidRPr="00872D7E" w:rsidRDefault="00296257" w:rsidP="001F1B63">
      <w:pPr>
        <w:widowControl w:val="0"/>
        <w:jc w:val="center"/>
        <w:rPr>
          <w:szCs w:val="20"/>
        </w:rPr>
      </w:pPr>
    </w:p>
    <w:p w14:paraId="3F87A7B1" w14:textId="77777777" w:rsidR="00296257" w:rsidRPr="00872D7E" w:rsidRDefault="00296257" w:rsidP="001F1B63">
      <w:pPr>
        <w:widowControl w:val="0"/>
        <w:jc w:val="center"/>
        <w:rPr>
          <w:szCs w:val="20"/>
        </w:rPr>
      </w:pPr>
    </w:p>
    <w:p w14:paraId="72F70408" w14:textId="77777777" w:rsidR="00296257" w:rsidRPr="00872D7E" w:rsidRDefault="00296257" w:rsidP="001F1B63">
      <w:pPr>
        <w:widowControl w:val="0"/>
        <w:jc w:val="center"/>
        <w:rPr>
          <w:szCs w:val="20"/>
        </w:rPr>
      </w:pPr>
    </w:p>
    <w:p w14:paraId="24817F3C" w14:textId="77777777" w:rsidR="00296257" w:rsidRPr="00872D7E" w:rsidRDefault="00296257" w:rsidP="001F1B63">
      <w:pPr>
        <w:widowControl w:val="0"/>
        <w:jc w:val="center"/>
        <w:rPr>
          <w:szCs w:val="20"/>
        </w:rPr>
      </w:pPr>
    </w:p>
    <w:p w14:paraId="3218574C" w14:textId="77777777" w:rsidR="00296257" w:rsidRPr="00872D7E" w:rsidRDefault="00296257" w:rsidP="001F1B63">
      <w:pPr>
        <w:widowControl w:val="0"/>
        <w:jc w:val="center"/>
        <w:rPr>
          <w:szCs w:val="20"/>
        </w:rPr>
      </w:pPr>
    </w:p>
    <w:p w14:paraId="6C8DC262" w14:textId="021A3F1D" w:rsidR="005A0ADB" w:rsidRPr="00872D7E" w:rsidRDefault="009C2076" w:rsidP="001F1B63">
      <w:pPr>
        <w:widowControl w:val="0"/>
        <w:jc w:val="center"/>
        <w:rPr>
          <w:szCs w:val="20"/>
        </w:rPr>
      </w:pPr>
      <w:r w:rsidRPr="00872D7E">
        <w:rPr>
          <w:szCs w:val="20"/>
        </w:rPr>
        <w:t>İlişikteki açıklama ve dipnotlar bu finansal tabloların tamamlayıcı bir parçasıdır.</w:t>
      </w:r>
    </w:p>
    <w:p w14:paraId="17EB30C7" w14:textId="77777777" w:rsidR="00CA2BAE" w:rsidRPr="00872D7E" w:rsidRDefault="00CA2BAE" w:rsidP="00484E86">
      <w:pPr>
        <w:widowControl w:val="0"/>
        <w:rPr>
          <w:szCs w:val="20"/>
        </w:rPr>
        <w:sectPr w:rsidR="00CA2BAE" w:rsidRPr="00872D7E" w:rsidSect="003D5CB7">
          <w:headerReference w:type="even" r:id="rId32"/>
          <w:headerReference w:type="default" r:id="rId33"/>
          <w:footerReference w:type="even" r:id="rId34"/>
          <w:footerReference w:type="default" r:id="rId35"/>
          <w:headerReference w:type="first" r:id="rId36"/>
          <w:footerReference w:type="first" r:id="rId37"/>
          <w:type w:val="nextColumn"/>
          <w:pgSz w:w="11907" w:h="16840" w:code="9"/>
          <w:pgMar w:top="851" w:right="851" w:bottom="851" w:left="851" w:header="851" w:footer="851" w:gutter="0"/>
          <w:pgNumType w:start="5"/>
          <w:cols w:space="720"/>
          <w:noEndnote/>
          <w:titlePg/>
          <w:docGrid w:linePitch="326"/>
        </w:sectPr>
      </w:pPr>
    </w:p>
    <w:tbl>
      <w:tblPr>
        <w:tblW w:w="5000" w:type="pct"/>
        <w:tblCellMar>
          <w:left w:w="70" w:type="dxa"/>
          <w:right w:w="70" w:type="dxa"/>
        </w:tblCellMar>
        <w:tblLook w:val="04A0" w:firstRow="1" w:lastRow="0" w:firstColumn="1" w:lastColumn="0" w:noHBand="0" w:noVBand="1"/>
      </w:tblPr>
      <w:tblGrid>
        <w:gridCol w:w="540"/>
        <w:gridCol w:w="3819"/>
        <w:gridCol w:w="759"/>
        <w:gridCol w:w="842"/>
        <w:gridCol w:w="842"/>
        <w:gridCol w:w="865"/>
        <w:gridCol w:w="842"/>
        <w:gridCol w:w="842"/>
        <w:gridCol w:w="844"/>
      </w:tblGrid>
      <w:tr w:rsidR="005B0A27" w:rsidRPr="00872D7E" w14:paraId="72B5837F" w14:textId="77777777" w:rsidTr="005B0A27">
        <w:trPr>
          <w:divId w:val="1819804053"/>
          <w:trHeight w:val="20"/>
        </w:trPr>
        <w:tc>
          <w:tcPr>
            <w:tcW w:w="21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36298" w14:textId="188A292B" w:rsidR="005B0A27" w:rsidRPr="00872D7E" w:rsidRDefault="005B0A27" w:rsidP="005B0A27">
            <w:pPr>
              <w:jc w:val="center"/>
              <w:rPr>
                <w:b/>
                <w:bCs/>
                <w:color w:val="000000"/>
                <w:sz w:val="14"/>
                <w:szCs w:val="14"/>
              </w:rPr>
            </w:pPr>
            <w:r w:rsidRPr="00872D7E">
              <w:rPr>
                <w:b/>
                <w:bCs/>
                <w:color w:val="000000"/>
                <w:sz w:val="14"/>
                <w:szCs w:val="14"/>
              </w:rPr>
              <w:lastRenderedPageBreak/>
              <w:t>NAZIM HESAPLAR TABLOSU</w:t>
            </w:r>
          </w:p>
        </w:tc>
        <w:tc>
          <w:tcPr>
            <w:tcW w:w="372"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4C8A330B" w14:textId="77777777" w:rsidR="005B0A27" w:rsidRPr="00872D7E" w:rsidRDefault="005B0A27" w:rsidP="005B0A27">
            <w:pPr>
              <w:jc w:val="center"/>
              <w:rPr>
                <w:b/>
                <w:bCs/>
                <w:color w:val="000000"/>
                <w:sz w:val="14"/>
                <w:szCs w:val="14"/>
              </w:rPr>
            </w:pPr>
            <w:r w:rsidRPr="00872D7E">
              <w:rPr>
                <w:b/>
                <w:bCs/>
                <w:color w:val="000000"/>
                <w:sz w:val="14"/>
                <w:szCs w:val="14"/>
              </w:rPr>
              <w:t>Dipnot (Beşinci Bölüm-III)</w:t>
            </w:r>
          </w:p>
        </w:tc>
        <w:tc>
          <w:tcPr>
            <w:tcW w:w="1250" w:type="pct"/>
            <w:gridSpan w:val="3"/>
            <w:tcBorders>
              <w:top w:val="single" w:sz="4" w:space="0" w:color="auto"/>
              <w:left w:val="nil"/>
              <w:bottom w:val="single" w:sz="4" w:space="0" w:color="auto"/>
              <w:right w:val="single" w:sz="4" w:space="0" w:color="000000"/>
            </w:tcBorders>
            <w:shd w:val="clear" w:color="auto" w:fill="auto"/>
            <w:vAlign w:val="bottom"/>
            <w:hideMark/>
          </w:tcPr>
          <w:p w14:paraId="6CD4F975" w14:textId="77777777" w:rsidR="005B0A27" w:rsidRPr="00872D7E" w:rsidRDefault="005B0A27" w:rsidP="005B0A27">
            <w:pPr>
              <w:jc w:val="center"/>
              <w:rPr>
                <w:b/>
                <w:bCs/>
                <w:color w:val="000000"/>
                <w:sz w:val="14"/>
                <w:szCs w:val="14"/>
              </w:rPr>
            </w:pPr>
            <w:r w:rsidRPr="00872D7E">
              <w:rPr>
                <w:b/>
                <w:bCs/>
                <w:color w:val="000000"/>
                <w:sz w:val="14"/>
                <w:szCs w:val="14"/>
              </w:rPr>
              <w:t>31 Aralık 2024</w:t>
            </w:r>
          </w:p>
        </w:tc>
        <w:tc>
          <w:tcPr>
            <w:tcW w:w="1240" w:type="pct"/>
            <w:gridSpan w:val="3"/>
            <w:tcBorders>
              <w:top w:val="single" w:sz="4" w:space="0" w:color="auto"/>
              <w:left w:val="nil"/>
              <w:bottom w:val="single" w:sz="4" w:space="0" w:color="auto"/>
              <w:right w:val="single" w:sz="4" w:space="0" w:color="000000"/>
            </w:tcBorders>
            <w:shd w:val="clear" w:color="auto" w:fill="auto"/>
            <w:vAlign w:val="bottom"/>
            <w:hideMark/>
          </w:tcPr>
          <w:p w14:paraId="4172F889" w14:textId="77777777" w:rsidR="005B0A27" w:rsidRPr="00872D7E" w:rsidRDefault="005B0A27" w:rsidP="005B0A27">
            <w:pPr>
              <w:jc w:val="center"/>
              <w:rPr>
                <w:b/>
                <w:bCs/>
                <w:color w:val="000000"/>
                <w:sz w:val="14"/>
                <w:szCs w:val="14"/>
              </w:rPr>
            </w:pPr>
            <w:r w:rsidRPr="00872D7E">
              <w:rPr>
                <w:b/>
                <w:bCs/>
                <w:color w:val="000000"/>
                <w:sz w:val="14"/>
                <w:szCs w:val="14"/>
              </w:rPr>
              <w:t xml:space="preserve">1 Ocak 2024 </w:t>
            </w:r>
            <w:r w:rsidRPr="00872D7E">
              <w:rPr>
                <w:b/>
                <w:bCs/>
                <w:color w:val="000000"/>
                <w:sz w:val="14"/>
                <w:szCs w:val="14"/>
                <w:vertAlign w:val="superscript"/>
              </w:rPr>
              <w:t>(*)</w:t>
            </w:r>
          </w:p>
        </w:tc>
      </w:tr>
      <w:tr w:rsidR="005B0A27" w:rsidRPr="00872D7E" w14:paraId="1D5E8857" w14:textId="77777777" w:rsidTr="00296257">
        <w:trPr>
          <w:divId w:val="1819804053"/>
          <w:trHeight w:val="20"/>
        </w:trPr>
        <w:tc>
          <w:tcPr>
            <w:tcW w:w="2138" w:type="pct"/>
            <w:gridSpan w:val="2"/>
            <w:vMerge/>
            <w:tcBorders>
              <w:top w:val="single" w:sz="4" w:space="0" w:color="auto"/>
              <w:left w:val="single" w:sz="4" w:space="0" w:color="auto"/>
              <w:bottom w:val="single" w:sz="4" w:space="0" w:color="auto"/>
              <w:right w:val="single" w:sz="4" w:space="0" w:color="auto"/>
            </w:tcBorders>
            <w:vAlign w:val="center"/>
            <w:hideMark/>
          </w:tcPr>
          <w:p w14:paraId="38829646" w14:textId="77777777" w:rsidR="005B0A27" w:rsidRPr="00872D7E" w:rsidRDefault="005B0A27" w:rsidP="005B0A27">
            <w:pPr>
              <w:rPr>
                <w:b/>
                <w:bCs/>
                <w:color w:val="000000"/>
                <w:sz w:val="14"/>
                <w:szCs w:val="14"/>
              </w:rPr>
            </w:pPr>
          </w:p>
        </w:tc>
        <w:tc>
          <w:tcPr>
            <w:tcW w:w="372" w:type="pct"/>
            <w:vMerge/>
            <w:tcBorders>
              <w:top w:val="single" w:sz="4" w:space="0" w:color="auto"/>
              <w:left w:val="single" w:sz="4" w:space="0" w:color="auto"/>
              <w:bottom w:val="single" w:sz="4" w:space="0" w:color="000000"/>
              <w:right w:val="single" w:sz="4" w:space="0" w:color="auto"/>
            </w:tcBorders>
            <w:vAlign w:val="center"/>
            <w:hideMark/>
          </w:tcPr>
          <w:p w14:paraId="04CBCE14" w14:textId="77777777" w:rsidR="005B0A27" w:rsidRPr="00872D7E" w:rsidRDefault="005B0A27" w:rsidP="005B0A27">
            <w:pPr>
              <w:rPr>
                <w:b/>
                <w:bCs/>
                <w:color w:val="000000"/>
                <w:sz w:val="14"/>
                <w:szCs w:val="14"/>
              </w:rPr>
            </w:pP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19AD9628" w14:textId="77777777" w:rsidR="005B0A27" w:rsidRPr="00872D7E" w:rsidRDefault="005B0A27" w:rsidP="005B0A27">
            <w:pPr>
              <w:jc w:val="center"/>
              <w:rPr>
                <w:b/>
                <w:bCs/>
                <w:color w:val="000000"/>
                <w:sz w:val="14"/>
                <w:szCs w:val="14"/>
              </w:rPr>
            </w:pPr>
            <w:r w:rsidRPr="00872D7E">
              <w:rPr>
                <w:b/>
                <w:bCs/>
                <w:color w:val="000000"/>
                <w:sz w:val="14"/>
                <w:szCs w:val="14"/>
              </w:rPr>
              <w:t>TP</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33663B8C" w14:textId="77777777" w:rsidR="005B0A27" w:rsidRPr="00872D7E" w:rsidRDefault="005B0A27" w:rsidP="005B0A27">
            <w:pPr>
              <w:jc w:val="center"/>
              <w:rPr>
                <w:b/>
                <w:bCs/>
                <w:color w:val="000000"/>
                <w:sz w:val="14"/>
                <w:szCs w:val="14"/>
              </w:rPr>
            </w:pPr>
            <w:r w:rsidRPr="00872D7E">
              <w:rPr>
                <w:b/>
                <w:bCs/>
                <w:color w:val="000000"/>
                <w:sz w:val="14"/>
                <w:szCs w:val="14"/>
              </w:rPr>
              <w:t>YP</w:t>
            </w:r>
          </w:p>
        </w:tc>
        <w:tc>
          <w:tcPr>
            <w:tcW w:w="424" w:type="pct"/>
            <w:tcBorders>
              <w:top w:val="single" w:sz="4" w:space="0" w:color="auto"/>
              <w:left w:val="nil"/>
              <w:bottom w:val="single" w:sz="4" w:space="0" w:color="auto"/>
              <w:right w:val="single" w:sz="4" w:space="0" w:color="auto"/>
            </w:tcBorders>
            <w:shd w:val="clear" w:color="auto" w:fill="auto"/>
            <w:vAlign w:val="center"/>
            <w:hideMark/>
          </w:tcPr>
          <w:p w14:paraId="74073A7B" w14:textId="77777777" w:rsidR="005B0A27" w:rsidRPr="00872D7E" w:rsidRDefault="005B0A27" w:rsidP="005B0A27">
            <w:pPr>
              <w:jc w:val="center"/>
              <w:rPr>
                <w:b/>
                <w:bCs/>
                <w:color w:val="000000"/>
                <w:sz w:val="14"/>
                <w:szCs w:val="14"/>
              </w:rPr>
            </w:pPr>
            <w:r w:rsidRPr="00872D7E">
              <w:rPr>
                <w:b/>
                <w:bCs/>
                <w:color w:val="000000"/>
                <w:sz w:val="14"/>
                <w:szCs w:val="14"/>
              </w:rPr>
              <w:t>Toplam</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545B6B9B" w14:textId="77777777" w:rsidR="005B0A27" w:rsidRPr="00872D7E" w:rsidRDefault="005B0A27" w:rsidP="005B0A27">
            <w:pPr>
              <w:jc w:val="center"/>
              <w:rPr>
                <w:b/>
                <w:bCs/>
                <w:color w:val="000000"/>
                <w:sz w:val="14"/>
                <w:szCs w:val="14"/>
              </w:rPr>
            </w:pPr>
            <w:r w:rsidRPr="00872D7E">
              <w:rPr>
                <w:b/>
                <w:bCs/>
                <w:color w:val="000000"/>
                <w:sz w:val="14"/>
                <w:szCs w:val="14"/>
              </w:rPr>
              <w:t>TP</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523BFAF0" w14:textId="77777777" w:rsidR="005B0A27" w:rsidRPr="00872D7E" w:rsidRDefault="005B0A27" w:rsidP="005B0A27">
            <w:pPr>
              <w:jc w:val="center"/>
              <w:rPr>
                <w:b/>
                <w:bCs/>
                <w:color w:val="000000"/>
                <w:sz w:val="14"/>
                <w:szCs w:val="14"/>
              </w:rPr>
            </w:pPr>
            <w:r w:rsidRPr="00872D7E">
              <w:rPr>
                <w:b/>
                <w:bCs/>
                <w:color w:val="000000"/>
                <w:sz w:val="14"/>
                <w:szCs w:val="14"/>
              </w:rPr>
              <w:t>YP</w:t>
            </w:r>
          </w:p>
        </w:tc>
        <w:tc>
          <w:tcPr>
            <w:tcW w:w="414" w:type="pct"/>
            <w:tcBorders>
              <w:top w:val="single" w:sz="4" w:space="0" w:color="auto"/>
              <w:left w:val="nil"/>
              <w:bottom w:val="single" w:sz="4" w:space="0" w:color="auto"/>
              <w:right w:val="single" w:sz="4" w:space="0" w:color="auto"/>
            </w:tcBorders>
            <w:shd w:val="clear" w:color="auto" w:fill="auto"/>
            <w:vAlign w:val="center"/>
            <w:hideMark/>
          </w:tcPr>
          <w:p w14:paraId="6216BD06" w14:textId="77777777" w:rsidR="005B0A27" w:rsidRPr="00872D7E" w:rsidRDefault="005B0A27" w:rsidP="005B0A27">
            <w:pPr>
              <w:jc w:val="center"/>
              <w:rPr>
                <w:b/>
                <w:bCs/>
                <w:color w:val="000000"/>
                <w:sz w:val="14"/>
                <w:szCs w:val="14"/>
              </w:rPr>
            </w:pPr>
            <w:r w:rsidRPr="00872D7E">
              <w:rPr>
                <w:b/>
                <w:bCs/>
                <w:color w:val="000000"/>
                <w:sz w:val="14"/>
                <w:szCs w:val="14"/>
              </w:rPr>
              <w:t>Toplam</w:t>
            </w:r>
          </w:p>
        </w:tc>
      </w:tr>
      <w:tr w:rsidR="005B0A27" w:rsidRPr="00872D7E" w14:paraId="75DB7174"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4EA1406E" w14:textId="77777777" w:rsidR="005B0A27" w:rsidRPr="00872D7E" w:rsidRDefault="005B0A27" w:rsidP="005B0A27">
            <w:pPr>
              <w:jc w:val="both"/>
              <w:rPr>
                <w:color w:val="000000"/>
                <w:sz w:val="14"/>
                <w:szCs w:val="14"/>
              </w:rPr>
            </w:pPr>
            <w:r w:rsidRPr="00872D7E">
              <w:rPr>
                <w:color w:val="000000"/>
                <w:sz w:val="14"/>
                <w:szCs w:val="14"/>
              </w:rPr>
              <w:t xml:space="preserve"> </w:t>
            </w:r>
          </w:p>
        </w:tc>
        <w:tc>
          <w:tcPr>
            <w:tcW w:w="1873" w:type="pct"/>
            <w:tcBorders>
              <w:top w:val="single" w:sz="4" w:space="0" w:color="auto"/>
              <w:left w:val="nil"/>
              <w:bottom w:val="nil"/>
              <w:right w:val="nil"/>
            </w:tcBorders>
            <w:shd w:val="clear" w:color="auto" w:fill="auto"/>
            <w:hideMark/>
          </w:tcPr>
          <w:p w14:paraId="1B319919" w14:textId="77777777" w:rsidR="005B0A27" w:rsidRPr="00872D7E" w:rsidRDefault="005B0A27" w:rsidP="005B0A27">
            <w:pPr>
              <w:jc w:val="both"/>
              <w:rPr>
                <w:color w:val="000000"/>
                <w:sz w:val="14"/>
                <w:szCs w:val="14"/>
              </w:rPr>
            </w:pPr>
            <w:r w:rsidRPr="00872D7E">
              <w:rPr>
                <w:color w:val="000000"/>
                <w:sz w:val="14"/>
                <w:szCs w:val="14"/>
              </w:rPr>
              <w:t xml:space="preserve"> </w:t>
            </w:r>
          </w:p>
        </w:tc>
        <w:tc>
          <w:tcPr>
            <w:tcW w:w="372" w:type="pct"/>
            <w:tcBorders>
              <w:top w:val="single" w:sz="4" w:space="0" w:color="auto"/>
              <w:left w:val="single" w:sz="4" w:space="0" w:color="auto"/>
              <w:bottom w:val="nil"/>
              <w:right w:val="single" w:sz="4" w:space="0" w:color="auto"/>
            </w:tcBorders>
            <w:shd w:val="clear" w:color="auto" w:fill="auto"/>
            <w:vAlign w:val="bottom"/>
            <w:hideMark/>
          </w:tcPr>
          <w:p w14:paraId="58CB2574" w14:textId="77777777" w:rsidR="005B0A27" w:rsidRPr="00872D7E" w:rsidRDefault="005B0A27" w:rsidP="005B0A27">
            <w:pPr>
              <w:jc w:val="right"/>
              <w:rPr>
                <w:b/>
                <w:bCs/>
                <w:color w:val="000000"/>
                <w:sz w:val="14"/>
                <w:szCs w:val="14"/>
              </w:rPr>
            </w:pPr>
            <w:r w:rsidRPr="00872D7E">
              <w:rPr>
                <w:b/>
                <w:bCs/>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0468B706" w14:textId="77777777" w:rsidR="005B0A27" w:rsidRPr="00872D7E" w:rsidRDefault="005B0A27" w:rsidP="005B0A27">
            <w:pPr>
              <w:jc w:val="right"/>
              <w:rPr>
                <w:color w:val="000000"/>
                <w:sz w:val="14"/>
                <w:szCs w:val="14"/>
              </w:rPr>
            </w:pPr>
            <w:r w:rsidRPr="00872D7E">
              <w:rPr>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40421987" w14:textId="77777777" w:rsidR="005B0A27" w:rsidRPr="00872D7E" w:rsidRDefault="005B0A27" w:rsidP="005B0A27">
            <w:pPr>
              <w:jc w:val="right"/>
              <w:rPr>
                <w:color w:val="000000"/>
                <w:sz w:val="14"/>
                <w:szCs w:val="14"/>
              </w:rPr>
            </w:pPr>
            <w:r w:rsidRPr="00872D7E">
              <w:rPr>
                <w:color w:val="000000"/>
                <w:sz w:val="14"/>
                <w:szCs w:val="14"/>
              </w:rPr>
              <w:t> </w:t>
            </w:r>
          </w:p>
        </w:tc>
        <w:tc>
          <w:tcPr>
            <w:tcW w:w="424" w:type="pct"/>
            <w:tcBorders>
              <w:top w:val="single" w:sz="4" w:space="0" w:color="auto"/>
              <w:left w:val="nil"/>
              <w:bottom w:val="nil"/>
              <w:right w:val="single" w:sz="4" w:space="0" w:color="auto"/>
            </w:tcBorders>
            <w:shd w:val="clear" w:color="auto" w:fill="auto"/>
            <w:noWrap/>
            <w:vAlign w:val="bottom"/>
            <w:hideMark/>
          </w:tcPr>
          <w:p w14:paraId="42DA1A4C" w14:textId="77777777" w:rsidR="005B0A27" w:rsidRPr="00872D7E" w:rsidRDefault="005B0A27" w:rsidP="005B0A27">
            <w:pPr>
              <w:jc w:val="right"/>
              <w:rPr>
                <w:color w:val="000000"/>
                <w:sz w:val="14"/>
                <w:szCs w:val="14"/>
              </w:rPr>
            </w:pPr>
            <w:r w:rsidRPr="00872D7E">
              <w:rPr>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442FAFAC" w14:textId="77777777" w:rsidR="005B0A27" w:rsidRPr="00872D7E" w:rsidRDefault="005B0A27" w:rsidP="005B0A27">
            <w:pPr>
              <w:jc w:val="right"/>
              <w:rPr>
                <w:color w:val="000000"/>
                <w:sz w:val="14"/>
                <w:szCs w:val="14"/>
              </w:rPr>
            </w:pPr>
            <w:r w:rsidRPr="00872D7E">
              <w:rPr>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7473400F" w14:textId="77777777" w:rsidR="005B0A27" w:rsidRPr="00872D7E" w:rsidRDefault="005B0A27" w:rsidP="005B0A27">
            <w:pPr>
              <w:jc w:val="right"/>
              <w:rPr>
                <w:color w:val="000000"/>
                <w:sz w:val="14"/>
                <w:szCs w:val="14"/>
              </w:rPr>
            </w:pPr>
            <w:r w:rsidRPr="00872D7E">
              <w:rPr>
                <w:color w:val="000000"/>
                <w:sz w:val="14"/>
                <w:szCs w:val="14"/>
              </w:rPr>
              <w:t> </w:t>
            </w:r>
          </w:p>
        </w:tc>
        <w:tc>
          <w:tcPr>
            <w:tcW w:w="414" w:type="pct"/>
            <w:tcBorders>
              <w:top w:val="single" w:sz="4" w:space="0" w:color="auto"/>
              <w:left w:val="nil"/>
              <w:bottom w:val="nil"/>
              <w:right w:val="single" w:sz="4" w:space="0" w:color="auto"/>
            </w:tcBorders>
            <w:shd w:val="clear" w:color="auto" w:fill="auto"/>
            <w:noWrap/>
            <w:vAlign w:val="bottom"/>
            <w:hideMark/>
          </w:tcPr>
          <w:p w14:paraId="046D72D8" w14:textId="77777777" w:rsidR="005B0A27" w:rsidRPr="00872D7E" w:rsidRDefault="005B0A27" w:rsidP="005B0A27">
            <w:pPr>
              <w:jc w:val="right"/>
              <w:rPr>
                <w:color w:val="000000"/>
                <w:sz w:val="14"/>
                <w:szCs w:val="14"/>
              </w:rPr>
            </w:pPr>
            <w:r w:rsidRPr="00872D7E">
              <w:rPr>
                <w:color w:val="000000"/>
                <w:sz w:val="14"/>
                <w:szCs w:val="14"/>
              </w:rPr>
              <w:t> </w:t>
            </w:r>
          </w:p>
        </w:tc>
      </w:tr>
      <w:tr w:rsidR="005B0A27" w:rsidRPr="00872D7E" w14:paraId="2D6DB0EA"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7E9C56B0" w14:textId="77777777" w:rsidR="005B0A27" w:rsidRPr="00872D7E" w:rsidRDefault="005B0A27" w:rsidP="005B0A27">
            <w:pPr>
              <w:rPr>
                <w:b/>
                <w:bCs/>
                <w:sz w:val="14"/>
                <w:szCs w:val="14"/>
              </w:rPr>
            </w:pPr>
            <w:r w:rsidRPr="00872D7E">
              <w:rPr>
                <w:b/>
                <w:bCs/>
                <w:sz w:val="14"/>
                <w:szCs w:val="14"/>
              </w:rPr>
              <w:t>A.</w:t>
            </w:r>
          </w:p>
        </w:tc>
        <w:tc>
          <w:tcPr>
            <w:tcW w:w="1873" w:type="pct"/>
            <w:tcBorders>
              <w:top w:val="nil"/>
              <w:left w:val="nil"/>
              <w:bottom w:val="nil"/>
              <w:right w:val="nil"/>
            </w:tcBorders>
            <w:shd w:val="clear" w:color="auto" w:fill="auto"/>
            <w:hideMark/>
          </w:tcPr>
          <w:p w14:paraId="4EB69F57" w14:textId="77777777" w:rsidR="005B0A27" w:rsidRPr="00872D7E" w:rsidRDefault="005B0A27" w:rsidP="005B0A27">
            <w:pPr>
              <w:rPr>
                <w:b/>
                <w:bCs/>
                <w:sz w:val="14"/>
                <w:szCs w:val="14"/>
              </w:rPr>
            </w:pPr>
            <w:r w:rsidRPr="00872D7E">
              <w:rPr>
                <w:b/>
                <w:bCs/>
                <w:sz w:val="14"/>
                <w:szCs w:val="14"/>
              </w:rPr>
              <w:t>BİLANÇO DIŞI YÜKÜMLÜLÜKLER (I+II+III)</w:t>
            </w:r>
          </w:p>
        </w:tc>
        <w:tc>
          <w:tcPr>
            <w:tcW w:w="372" w:type="pct"/>
            <w:tcBorders>
              <w:top w:val="nil"/>
              <w:left w:val="single" w:sz="4" w:space="0" w:color="auto"/>
              <w:bottom w:val="nil"/>
              <w:right w:val="single" w:sz="4" w:space="0" w:color="auto"/>
            </w:tcBorders>
            <w:shd w:val="clear" w:color="auto" w:fill="auto"/>
            <w:vAlign w:val="center"/>
            <w:hideMark/>
          </w:tcPr>
          <w:p w14:paraId="4F0B9AC1"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0B3CC944" w14:textId="77777777" w:rsidR="005B0A27" w:rsidRPr="00872D7E" w:rsidRDefault="005B0A27" w:rsidP="005B0A27">
            <w:pPr>
              <w:jc w:val="right"/>
              <w:rPr>
                <w:b/>
                <w:bCs/>
                <w:color w:val="000000"/>
                <w:sz w:val="14"/>
                <w:szCs w:val="14"/>
              </w:rPr>
            </w:pPr>
            <w:r w:rsidRPr="00872D7E">
              <w:rPr>
                <w:b/>
                <w:bCs/>
                <w:color w:val="000000"/>
                <w:sz w:val="14"/>
                <w:szCs w:val="14"/>
              </w:rPr>
              <w:t>11.606.340</w:t>
            </w:r>
          </w:p>
        </w:tc>
        <w:tc>
          <w:tcPr>
            <w:tcW w:w="413" w:type="pct"/>
            <w:tcBorders>
              <w:top w:val="nil"/>
              <w:left w:val="nil"/>
              <w:bottom w:val="nil"/>
              <w:right w:val="single" w:sz="4" w:space="0" w:color="auto"/>
            </w:tcBorders>
            <w:shd w:val="clear" w:color="000000" w:fill="FFFFFF"/>
            <w:noWrap/>
            <w:vAlign w:val="center"/>
            <w:hideMark/>
          </w:tcPr>
          <w:p w14:paraId="3601DF70" w14:textId="77777777" w:rsidR="005B0A27" w:rsidRPr="00872D7E" w:rsidRDefault="005B0A27" w:rsidP="005B0A27">
            <w:pPr>
              <w:jc w:val="right"/>
              <w:rPr>
                <w:b/>
                <w:bCs/>
                <w:color w:val="000000"/>
                <w:sz w:val="14"/>
                <w:szCs w:val="14"/>
              </w:rPr>
            </w:pPr>
            <w:r w:rsidRPr="00872D7E">
              <w:rPr>
                <w:b/>
                <w:bCs/>
                <w:color w:val="000000"/>
                <w:sz w:val="14"/>
                <w:szCs w:val="14"/>
              </w:rPr>
              <w:t>23.036.734</w:t>
            </w:r>
          </w:p>
        </w:tc>
        <w:tc>
          <w:tcPr>
            <w:tcW w:w="424" w:type="pct"/>
            <w:tcBorders>
              <w:top w:val="nil"/>
              <w:left w:val="nil"/>
              <w:bottom w:val="nil"/>
              <w:right w:val="single" w:sz="4" w:space="0" w:color="auto"/>
            </w:tcBorders>
            <w:shd w:val="clear" w:color="000000" w:fill="FFFFFF"/>
            <w:noWrap/>
            <w:vAlign w:val="center"/>
            <w:hideMark/>
          </w:tcPr>
          <w:p w14:paraId="00E5AC33" w14:textId="77777777" w:rsidR="005B0A27" w:rsidRPr="00872D7E" w:rsidRDefault="005B0A27" w:rsidP="005B0A27">
            <w:pPr>
              <w:jc w:val="right"/>
              <w:rPr>
                <w:b/>
                <w:bCs/>
                <w:color w:val="000000"/>
                <w:sz w:val="14"/>
                <w:szCs w:val="14"/>
              </w:rPr>
            </w:pPr>
            <w:r w:rsidRPr="00872D7E">
              <w:rPr>
                <w:b/>
                <w:bCs/>
                <w:color w:val="000000"/>
                <w:sz w:val="14"/>
                <w:szCs w:val="14"/>
              </w:rPr>
              <w:t>34.643.074</w:t>
            </w:r>
          </w:p>
        </w:tc>
        <w:tc>
          <w:tcPr>
            <w:tcW w:w="413" w:type="pct"/>
            <w:tcBorders>
              <w:top w:val="nil"/>
              <w:left w:val="nil"/>
              <w:bottom w:val="nil"/>
              <w:right w:val="single" w:sz="4" w:space="0" w:color="auto"/>
            </w:tcBorders>
            <w:shd w:val="clear" w:color="000000" w:fill="FFFFFF"/>
            <w:noWrap/>
            <w:vAlign w:val="center"/>
            <w:hideMark/>
          </w:tcPr>
          <w:p w14:paraId="060BD235" w14:textId="77777777" w:rsidR="005B0A27" w:rsidRPr="00872D7E" w:rsidRDefault="005B0A27" w:rsidP="005B0A27">
            <w:pPr>
              <w:jc w:val="right"/>
              <w:rPr>
                <w:b/>
                <w:bCs/>
                <w:color w:val="000000"/>
                <w:sz w:val="14"/>
                <w:szCs w:val="14"/>
              </w:rPr>
            </w:pPr>
            <w:r w:rsidRPr="00872D7E">
              <w:rPr>
                <w:b/>
                <w:bCs/>
                <w:color w:val="000000"/>
                <w:sz w:val="14"/>
                <w:szCs w:val="14"/>
              </w:rPr>
              <w:t>109</w:t>
            </w:r>
          </w:p>
        </w:tc>
        <w:tc>
          <w:tcPr>
            <w:tcW w:w="413" w:type="pct"/>
            <w:tcBorders>
              <w:top w:val="nil"/>
              <w:left w:val="nil"/>
              <w:bottom w:val="nil"/>
              <w:right w:val="single" w:sz="4" w:space="0" w:color="auto"/>
            </w:tcBorders>
            <w:shd w:val="clear" w:color="000000" w:fill="FFFFFF"/>
            <w:noWrap/>
            <w:vAlign w:val="center"/>
            <w:hideMark/>
          </w:tcPr>
          <w:p w14:paraId="0E8BFF25" w14:textId="77777777" w:rsidR="005B0A27" w:rsidRPr="00872D7E" w:rsidRDefault="005B0A27" w:rsidP="005B0A27">
            <w:pPr>
              <w:jc w:val="right"/>
              <w:rPr>
                <w:b/>
                <w:bCs/>
                <w:color w:val="000000"/>
                <w:sz w:val="14"/>
                <w:szCs w:val="14"/>
              </w:rPr>
            </w:pPr>
            <w:r w:rsidRPr="00872D7E">
              <w:rPr>
                <w:b/>
                <w:bCs/>
                <w:color w:val="000000"/>
                <w:sz w:val="14"/>
                <w:szCs w:val="14"/>
              </w:rPr>
              <w:t>5.338</w:t>
            </w:r>
          </w:p>
        </w:tc>
        <w:tc>
          <w:tcPr>
            <w:tcW w:w="414" w:type="pct"/>
            <w:tcBorders>
              <w:top w:val="nil"/>
              <w:left w:val="nil"/>
              <w:bottom w:val="nil"/>
              <w:right w:val="single" w:sz="4" w:space="0" w:color="auto"/>
            </w:tcBorders>
            <w:shd w:val="clear" w:color="000000" w:fill="FFFFFF"/>
            <w:noWrap/>
            <w:vAlign w:val="center"/>
            <w:hideMark/>
          </w:tcPr>
          <w:p w14:paraId="2BC7DCC8" w14:textId="77777777" w:rsidR="005B0A27" w:rsidRPr="00872D7E" w:rsidRDefault="005B0A27" w:rsidP="005B0A27">
            <w:pPr>
              <w:jc w:val="right"/>
              <w:rPr>
                <w:b/>
                <w:bCs/>
                <w:color w:val="000000"/>
                <w:sz w:val="14"/>
                <w:szCs w:val="14"/>
              </w:rPr>
            </w:pPr>
            <w:r w:rsidRPr="00872D7E">
              <w:rPr>
                <w:b/>
                <w:bCs/>
                <w:color w:val="000000"/>
                <w:sz w:val="14"/>
                <w:szCs w:val="14"/>
              </w:rPr>
              <w:t>5.447</w:t>
            </w:r>
          </w:p>
        </w:tc>
      </w:tr>
      <w:tr w:rsidR="005B0A27" w:rsidRPr="00872D7E" w14:paraId="7A0978E2"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428DF44" w14:textId="77777777" w:rsidR="005B0A27" w:rsidRPr="00872D7E" w:rsidRDefault="005B0A27" w:rsidP="005B0A27">
            <w:pPr>
              <w:rPr>
                <w:b/>
                <w:bCs/>
                <w:color w:val="000000"/>
                <w:sz w:val="14"/>
                <w:szCs w:val="14"/>
              </w:rPr>
            </w:pPr>
            <w:r w:rsidRPr="00872D7E">
              <w:rPr>
                <w:b/>
                <w:bCs/>
                <w:color w:val="000000"/>
                <w:sz w:val="14"/>
                <w:szCs w:val="14"/>
              </w:rPr>
              <w:t>I.</w:t>
            </w:r>
          </w:p>
        </w:tc>
        <w:tc>
          <w:tcPr>
            <w:tcW w:w="1873" w:type="pct"/>
            <w:tcBorders>
              <w:top w:val="nil"/>
              <w:left w:val="nil"/>
              <w:bottom w:val="nil"/>
              <w:right w:val="nil"/>
            </w:tcBorders>
            <w:shd w:val="clear" w:color="auto" w:fill="auto"/>
            <w:hideMark/>
          </w:tcPr>
          <w:p w14:paraId="0F0A20E1" w14:textId="77777777" w:rsidR="005B0A27" w:rsidRPr="00872D7E" w:rsidRDefault="005B0A27" w:rsidP="005B0A27">
            <w:pPr>
              <w:rPr>
                <w:b/>
                <w:bCs/>
                <w:color w:val="000000"/>
                <w:sz w:val="14"/>
                <w:szCs w:val="14"/>
              </w:rPr>
            </w:pPr>
            <w:r w:rsidRPr="00872D7E">
              <w:rPr>
                <w:b/>
                <w:bCs/>
                <w:color w:val="000000"/>
                <w:sz w:val="14"/>
                <w:szCs w:val="14"/>
              </w:rPr>
              <w:t>GARANTİ VE KEFALETLER</w:t>
            </w:r>
          </w:p>
        </w:tc>
        <w:tc>
          <w:tcPr>
            <w:tcW w:w="372" w:type="pct"/>
            <w:tcBorders>
              <w:top w:val="nil"/>
              <w:left w:val="single" w:sz="4" w:space="0" w:color="auto"/>
              <w:bottom w:val="nil"/>
              <w:right w:val="single" w:sz="4" w:space="0" w:color="auto"/>
            </w:tcBorders>
            <w:shd w:val="clear" w:color="auto" w:fill="auto"/>
            <w:vAlign w:val="center"/>
            <w:hideMark/>
          </w:tcPr>
          <w:p w14:paraId="129BFDCE" w14:textId="77777777" w:rsidR="005B0A27" w:rsidRPr="00872D7E" w:rsidRDefault="005B0A27" w:rsidP="005B0A27">
            <w:pPr>
              <w:jc w:val="center"/>
              <w:rPr>
                <w:b/>
                <w:bCs/>
                <w:color w:val="000000"/>
                <w:sz w:val="14"/>
                <w:szCs w:val="14"/>
              </w:rPr>
            </w:pPr>
            <w:r w:rsidRPr="00872D7E">
              <w:rPr>
                <w:b/>
                <w:bCs/>
                <w:color w:val="000000"/>
                <w:sz w:val="14"/>
                <w:szCs w:val="14"/>
              </w:rPr>
              <w:t>(1)</w:t>
            </w:r>
          </w:p>
        </w:tc>
        <w:tc>
          <w:tcPr>
            <w:tcW w:w="413" w:type="pct"/>
            <w:tcBorders>
              <w:top w:val="nil"/>
              <w:left w:val="nil"/>
              <w:bottom w:val="nil"/>
              <w:right w:val="single" w:sz="4" w:space="0" w:color="auto"/>
            </w:tcBorders>
            <w:shd w:val="clear" w:color="000000" w:fill="FFFFFF"/>
            <w:noWrap/>
            <w:vAlign w:val="center"/>
            <w:hideMark/>
          </w:tcPr>
          <w:p w14:paraId="056485CE" w14:textId="77777777" w:rsidR="005B0A27" w:rsidRPr="00872D7E" w:rsidRDefault="005B0A27" w:rsidP="005B0A27">
            <w:pPr>
              <w:jc w:val="right"/>
              <w:rPr>
                <w:b/>
                <w:bCs/>
                <w:color w:val="000000"/>
                <w:sz w:val="14"/>
                <w:szCs w:val="14"/>
              </w:rPr>
            </w:pPr>
            <w:r w:rsidRPr="00872D7E">
              <w:rPr>
                <w:b/>
                <w:bCs/>
                <w:color w:val="000000"/>
                <w:sz w:val="14"/>
                <w:szCs w:val="14"/>
              </w:rPr>
              <w:t>5.279.730</w:t>
            </w:r>
          </w:p>
        </w:tc>
        <w:tc>
          <w:tcPr>
            <w:tcW w:w="413" w:type="pct"/>
            <w:tcBorders>
              <w:top w:val="nil"/>
              <w:left w:val="nil"/>
              <w:bottom w:val="nil"/>
              <w:right w:val="single" w:sz="4" w:space="0" w:color="auto"/>
            </w:tcBorders>
            <w:shd w:val="clear" w:color="000000" w:fill="FFFFFF"/>
            <w:noWrap/>
            <w:vAlign w:val="center"/>
            <w:hideMark/>
          </w:tcPr>
          <w:p w14:paraId="7C6DEBA0" w14:textId="77777777" w:rsidR="005B0A27" w:rsidRPr="00872D7E" w:rsidRDefault="005B0A27" w:rsidP="005B0A27">
            <w:pPr>
              <w:jc w:val="right"/>
              <w:rPr>
                <w:b/>
                <w:bCs/>
                <w:color w:val="000000"/>
                <w:sz w:val="14"/>
                <w:szCs w:val="14"/>
              </w:rPr>
            </w:pPr>
            <w:r w:rsidRPr="00872D7E">
              <w:rPr>
                <w:b/>
                <w:bCs/>
                <w:color w:val="000000"/>
                <w:sz w:val="14"/>
                <w:szCs w:val="14"/>
              </w:rPr>
              <w:t>2.055.984</w:t>
            </w:r>
          </w:p>
        </w:tc>
        <w:tc>
          <w:tcPr>
            <w:tcW w:w="424" w:type="pct"/>
            <w:tcBorders>
              <w:top w:val="nil"/>
              <w:left w:val="nil"/>
              <w:bottom w:val="nil"/>
              <w:right w:val="single" w:sz="4" w:space="0" w:color="auto"/>
            </w:tcBorders>
            <w:shd w:val="clear" w:color="000000" w:fill="FFFFFF"/>
            <w:noWrap/>
            <w:vAlign w:val="center"/>
            <w:hideMark/>
          </w:tcPr>
          <w:p w14:paraId="1FF55762" w14:textId="77777777" w:rsidR="005B0A27" w:rsidRPr="00872D7E" w:rsidRDefault="005B0A27" w:rsidP="005B0A27">
            <w:pPr>
              <w:jc w:val="right"/>
              <w:rPr>
                <w:b/>
                <w:bCs/>
                <w:color w:val="000000"/>
                <w:sz w:val="14"/>
                <w:szCs w:val="14"/>
              </w:rPr>
            </w:pPr>
            <w:r w:rsidRPr="00872D7E">
              <w:rPr>
                <w:b/>
                <w:bCs/>
                <w:color w:val="000000"/>
                <w:sz w:val="14"/>
                <w:szCs w:val="14"/>
              </w:rPr>
              <w:t>7.335.714</w:t>
            </w:r>
          </w:p>
        </w:tc>
        <w:tc>
          <w:tcPr>
            <w:tcW w:w="413" w:type="pct"/>
            <w:tcBorders>
              <w:top w:val="nil"/>
              <w:left w:val="nil"/>
              <w:bottom w:val="nil"/>
              <w:right w:val="single" w:sz="4" w:space="0" w:color="auto"/>
            </w:tcBorders>
            <w:shd w:val="clear" w:color="000000" w:fill="FFFFFF"/>
            <w:noWrap/>
            <w:vAlign w:val="center"/>
            <w:hideMark/>
          </w:tcPr>
          <w:p w14:paraId="222600A1" w14:textId="77777777" w:rsidR="005B0A27" w:rsidRPr="00872D7E" w:rsidRDefault="005B0A27" w:rsidP="005B0A27">
            <w:pPr>
              <w:jc w:val="right"/>
              <w:rPr>
                <w:b/>
                <w:bCs/>
                <w:color w:val="000000"/>
                <w:sz w:val="14"/>
                <w:szCs w:val="14"/>
              </w:rPr>
            </w:pPr>
            <w:r w:rsidRPr="00872D7E">
              <w:rPr>
                <w:b/>
                <w:bCs/>
                <w:color w:val="000000"/>
                <w:sz w:val="14"/>
                <w:szCs w:val="14"/>
              </w:rPr>
              <w:t>109</w:t>
            </w:r>
          </w:p>
        </w:tc>
        <w:tc>
          <w:tcPr>
            <w:tcW w:w="413" w:type="pct"/>
            <w:tcBorders>
              <w:top w:val="nil"/>
              <w:left w:val="nil"/>
              <w:bottom w:val="nil"/>
              <w:right w:val="single" w:sz="4" w:space="0" w:color="auto"/>
            </w:tcBorders>
            <w:shd w:val="clear" w:color="000000" w:fill="FFFFFF"/>
            <w:noWrap/>
            <w:vAlign w:val="center"/>
            <w:hideMark/>
          </w:tcPr>
          <w:p w14:paraId="26F2D28B" w14:textId="77777777" w:rsidR="005B0A27" w:rsidRPr="00872D7E" w:rsidRDefault="005B0A27" w:rsidP="005B0A27">
            <w:pPr>
              <w:jc w:val="right"/>
              <w:rPr>
                <w:b/>
                <w:bCs/>
                <w:color w:val="000000"/>
                <w:sz w:val="14"/>
                <w:szCs w:val="14"/>
              </w:rPr>
            </w:pPr>
            <w:r w:rsidRPr="00872D7E">
              <w:rPr>
                <w:b/>
                <w:bCs/>
                <w:color w:val="000000"/>
                <w:sz w:val="14"/>
                <w:szCs w:val="14"/>
              </w:rPr>
              <w:t>5.338</w:t>
            </w:r>
          </w:p>
        </w:tc>
        <w:tc>
          <w:tcPr>
            <w:tcW w:w="414" w:type="pct"/>
            <w:tcBorders>
              <w:top w:val="nil"/>
              <w:left w:val="nil"/>
              <w:bottom w:val="nil"/>
              <w:right w:val="single" w:sz="4" w:space="0" w:color="auto"/>
            </w:tcBorders>
            <w:shd w:val="clear" w:color="000000" w:fill="FFFFFF"/>
            <w:noWrap/>
            <w:vAlign w:val="center"/>
            <w:hideMark/>
          </w:tcPr>
          <w:p w14:paraId="4C83DEDC" w14:textId="77777777" w:rsidR="005B0A27" w:rsidRPr="00872D7E" w:rsidRDefault="005B0A27" w:rsidP="005B0A27">
            <w:pPr>
              <w:jc w:val="right"/>
              <w:rPr>
                <w:b/>
                <w:bCs/>
                <w:color w:val="000000"/>
                <w:sz w:val="14"/>
                <w:szCs w:val="14"/>
              </w:rPr>
            </w:pPr>
            <w:r w:rsidRPr="00872D7E">
              <w:rPr>
                <w:b/>
                <w:bCs/>
                <w:color w:val="000000"/>
                <w:sz w:val="14"/>
                <w:szCs w:val="14"/>
              </w:rPr>
              <w:t>5.447</w:t>
            </w:r>
          </w:p>
        </w:tc>
      </w:tr>
      <w:tr w:rsidR="005B0A27" w:rsidRPr="00872D7E" w14:paraId="4FA6EFE9"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586F6392" w14:textId="77777777" w:rsidR="005B0A27" w:rsidRPr="00872D7E" w:rsidRDefault="005B0A27" w:rsidP="005B0A27">
            <w:pPr>
              <w:rPr>
                <w:color w:val="000000"/>
                <w:sz w:val="14"/>
                <w:szCs w:val="14"/>
              </w:rPr>
            </w:pPr>
            <w:r w:rsidRPr="00872D7E">
              <w:rPr>
                <w:color w:val="000000"/>
                <w:sz w:val="14"/>
                <w:szCs w:val="14"/>
              </w:rPr>
              <w:t>1.1</w:t>
            </w:r>
          </w:p>
        </w:tc>
        <w:tc>
          <w:tcPr>
            <w:tcW w:w="1873" w:type="pct"/>
            <w:tcBorders>
              <w:top w:val="nil"/>
              <w:left w:val="nil"/>
              <w:bottom w:val="nil"/>
              <w:right w:val="nil"/>
            </w:tcBorders>
            <w:shd w:val="clear" w:color="auto" w:fill="auto"/>
            <w:hideMark/>
          </w:tcPr>
          <w:p w14:paraId="444BC06A" w14:textId="77777777" w:rsidR="005B0A27" w:rsidRPr="00872D7E" w:rsidRDefault="005B0A27" w:rsidP="005B0A27">
            <w:pPr>
              <w:rPr>
                <w:color w:val="000000"/>
                <w:sz w:val="14"/>
                <w:szCs w:val="14"/>
              </w:rPr>
            </w:pPr>
            <w:r w:rsidRPr="00872D7E">
              <w:rPr>
                <w:color w:val="000000"/>
                <w:sz w:val="14"/>
                <w:szCs w:val="14"/>
              </w:rPr>
              <w:t>Teminat Mektupları</w:t>
            </w:r>
          </w:p>
        </w:tc>
        <w:tc>
          <w:tcPr>
            <w:tcW w:w="372" w:type="pct"/>
            <w:tcBorders>
              <w:top w:val="nil"/>
              <w:left w:val="single" w:sz="4" w:space="0" w:color="auto"/>
              <w:bottom w:val="nil"/>
              <w:right w:val="single" w:sz="4" w:space="0" w:color="auto"/>
            </w:tcBorders>
            <w:shd w:val="clear" w:color="auto" w:fill="auto"/>
            <w:vAlign w:val="center"/>
            <w:hideMark/>
          </w:tcPr>
          <w:p w14:paraId="29217D53"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04D19254" w14:textId="77777777" w:rsidR="005B0A27" w:rsidRPr="00872D7E" w:rsidRDefault="005B0A27" w:rsidP="005B0A27">
            <w:pPr>
              <w:jc w:val="right"/>
              <w:rPr>
                <w:color w:val="000000"/>
                <w:sz w:val="14"/>
                <w:szCs w:val="14"/>
              </w:rPr>
            </w:pPr>
            <w:r w:rsidRPr="00872D7E">
              <w:rPr>
                <w:color w:val="000000"/>
                <w:sz w:val="14"/>
                <w:szCs w:val="14"/>
              </w:rPr>
              <w:t>5.279.730</w:t>
            </w:r>
          </w:p>
        </w:tc>
        <w:tc>
          <w:tcPr>
            <w:tcW w:w="413" w:type="pct"/>
            <w:tcBorders>
              <w:top w:val="nil"/>
              <w:left w:val="nil"/>
              <w:bottom w:val="nil"/>
              <w:right w:val="single" w:sz="4" w:space="0" w:color="auto"/>
            </w:tcBorders>
            <w:shd w:val="clear" w:color="000000" w:fill="FFFFFF"/>
            <w:noWrap/>
            <w:vAlign w:val="center"/>
            <w:hideMark/>
          </w:tcPr>
          <w:p w14:paraId="76E74454" w14:textId="77777777" w:rsidR="005B0A27" w:rsidRPr="00872D7E" w:rsidRDefault="005B0A27" w:rsidP="005B0A27">
            <w:pPr>
              <w:jc w:val="right"/>
              <w:rPr>
                <w:color w:val="000000"/>
                <w:sz w:val="14"/>
                <w:szCs w:val="14"/>
              </w:rPr>
            </w:pPr>
            <w:r w:rsidRPr="00872D7E">
              <w:rPr>
                <w:color w:val="000000"/>
                <w:sz w:val="14"/>
                <w:szCs w:val="14"/>
              </w:rPr>
              <w:t>2.055.984</w:t>
            </w:r>
          </w:p>
        </w:tc>
        <w:tc>
          <w:tcPr>
            <w:tcW w:w="424" w:type="pct"/>
            <w:tcBorders>
              <w:top w:val="nil"/>
              <w:left w:val="nil"/>
              <w:bottom w:val="nil"/>
              <w:right w:val="single" w:sz="4" w:space="0" w:color="auto"/>
            </w:tcBorders>
            <w:shd w:val="clear" w:color="000000" w:fill="FFFFFF"/>
            <w:noWrap/>
            <w:vAlign w:val="center"/>
            <w:hideMark/>
          </w:tcPr>
          <w:p w14:paraId="213543FA" w14:textId="77777777" w:rsidR="005B0A27" w:rsidRPr="00872D7E" w:rsidRDefault="005B0A27" w:rsidP="005B0A27">
            <w:pPr>
              <w:jc w:val="right"/>
              <w:rPr>
                <w:color w:val="000000"/>
                <w:sz w:val="14"/>
                <w:szCs w:val="14"/>
              </w:rPr>
            </w:pPr>
            <w:r w:rsidRPr="00872D7E">
              <w:rPr>
                <w:color w:val="000000"/>
                <w:sz w:val="14"/>
                <w:szCs w:val="14"/>
              </w:rPr>
              <w:t>7.335.714</w:t>
            </w:r>
          </w:p>
        </w:tc>
        <w:tc>
          <w:tcPr>
            <w:tcW w:w="413" w:type="pct"/>
            <w:tcBorders>
              <w:top w:val="nil"/>
              <w:left w:val="nil"/>
              <w:bottom w:val="nil"/>
              <w:right w:val="single" w:sz="4" w:space="0" w:color="auto"/>
            </w:tcBorders>
            <w:shd w:val="clear" w:color="000000" w:fill="FFFFFF"/>
            <w:noWrap/>
            <w:vAlign w:val="center"/>
            <w:hideMark/>
          </w:tcPr>
          <w:p w14:paraId="137D923C" w14:textId="77777777" w:rsidR="005B0A27" w:rsidRPr="00872D7E" w:rsidRDefault="005B0A27" w:rsidP="005B0A27">
            <w:pPr>
              <w:jc w:val="right"/>
              <w:rPr>
                <w:color w:val="000000"/>
                <w:sz w:val="14"/>
                <w:szCs w:val="14"/>
              </w:rPr>
            </w:pPr>
            <w:r w:rsidRPr="00872D7E">
              <w:rPr>
                <w:color w:val="000000"/>
                <w:sz w:val="14"/>
                <w:szCs w:val="14"/>
              </w:rPr>
              <w:t>109</w:t>
            </w:r>
          </w:p>
        </w:tc>
        <w:tc>
          <w:tcPr>
            <w:tcW w:w="413" w:type="pct"/>
            <w:tcBorders>
              <w:top w:val="nil"/>
              <w:left w:val="nil"/>
              <w:bottom w:val="nil"/>
              <w:right w:val="single" w:sz="4" w:space="0" w:color="auto"/>
            </w:tcBorders>
            <w:shd w:val="clear" w:color="000000" w:fill="FFFFFF"/>
            <w:noWrap/>
            <w:vAlign w:val="center"/>
            <w:hideMark/>
          </w:tcPr>
          <w:p w14:paraId="535FB50D" w14:textId="77777777" w:rsidR="005B0A27" w:rsidRPr="00872D7E" w:rsidRDefault="005B0A27" w:rsidP="005B0A27">
            <w:pPr>
              <w:jc w:val="right"/>
              <w:rPr>
                <w:color w:val="000000"/>
                <w:sz w:val="14"/>
                <w:szCs w:val="14"/>
              </w:rPr>
            </w:pPr>
            <w:r w:rsidRPr="00872D7E">
              <w:rPr>
                <w:color w:val="000000"/>
                <w:sz w:val="14"/>
                <w:szCs w:val="14"/>
              </w:rPr>
              <w:t>5.338</w:t>
            </w:r>
          </w:p>
        </w:tc>
        <w:tc>
          <w:tcPr>
            <w:tcW w:w="414" w:type="pct"/>
            <w:tcBorders>
              <w:top w:val="nil"/>
              <w:left w:val="nil"/>
              <w:bottom w:val="nil"/>
              <w:right w:val="single" w:sz="4" w:space="0" w:color="auto"/>
            </w:tcBorders>
            <w:shd w:val="clear" w:color="000000" w:fill="FFFFFF"/>
            <w:noWrap/>
            <w:vAlign w:val="center"/>
            <w:hideMark/>
          </w:tcPr>
          <w:p w14:paraId="19B1A8D7" w14:textId="77777777" w:rsidR="005B0A27" w:rsidRPr="00872D7E" w:rsidRDefault="005B0A27" w:rsidP="005B0A27">
            <w:pPr>
              <w:jc w:val="right"/>
              <w:rPr>
                <w:color w:val="000000"/>
                <w:sz w:val="14"/>
                <w:szCs w:val="14"/>
              </w:rPr>
            </w:pPr>
            <w:r w:rsidRPr="00872D7E">
              <w:rPr>
                <w:color w:val="000000"/>
                <w:sz w:val="14"/>
                <w:szCs w:val="14"/>
              </w:rPr>
              <w:t>5.447</w:t>
            </w:r>
          </w:p>
        </w:tc>
      </w:tr>
      <w:tr w:rsidR="005B0A27" w:rsidRPr="00872D7E" w14:paraId="34C41E8A"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524E9323" w14:textId="77777777" w:rsidR="005B0A27" w:rsidRPr="00872D7E" w:rsidRDefault="005B0A27" w:rsidP="005B0A27">
            <w:pPr>
              <w:rPr>
                <w:color w:val="000000"/>
                <w:sz w:val="14"/>
                <w:szCs w:val="14"/>
              </w:rPr>
            </w:pPr>
            <w:r w:rsidRPr="00872D7E">
              <w:rPr>
                <w:color w:val="000000"/>
                <w:sz w:val="14"/>
                <w:szCs w:val="14"/>
              </w:rPr>
              <w:t>1.1.1</w:t>
            </w:r>
          </w:p>
        </w:tc>
        <w:tc>
          <w:tcPr>
            <w:tcW w:w="1873" w:type="pct"/>
            <w:tcBorders>
              <w:top w:val="nil"/>
              <w:left w:val="nil"/>
              <w:bottom w:val="nil"/>
              <w:right w:val="nil"/>
            </w:tcBorders>
            <w:shd w:val="clear" w:color="auto" w:fill="auto"/>
            <w:hideMark/>
          </w:tcPr>
          <w:p w14:paraId="2B6F8939" w14:textId="77777777" w:rsidR="005B0A27" w:rsidRPr="00872D7E" w:rsidRDefault="005B0A27" w:rsidP="005B0A27">
            <w:pPr>
              <w:rPr>
                <w:color w:val="000000"/>
                <w:sz w:val="14"/>
                <w:szCs w:val="14"/>
              </w:rPr>
            </w:pPr>
            <w:r w:rsidRPr="00872D7E">
              <w:rPr>
                <w:color w:val="000000"/>
                <w:sz w:val="14"/>
                <w:szCs w:val="14"/>
              </w:rPr>
              <w:t>Devlet İhale Kanunu Kapsamına Girenler</w:t>
            </w:r>
          </w:p>
        </w:tc>
        <w:tc>
          <w:tcPr>
            <w:tcW w:w="372" w:type="pct"/>
            <w:tcBorders>
              <w:top w:val="nil"/>
              <w:left w:val="single" w:sz="4" w:space="0" w:color="auto"/>
              <w:bottom w:val="nil"/>
              <w:right w:val="single" w:sz="4" w:space="0" w:color="auto"/>
            </w:tcBorders>
            <w:shd w:val="clear" w:color="auto" w:fill="auto"/>
            <w:vAlign w:val="center"/>
            <w:hideMark/>
          </w:tcPr>
          <w:p w14:paraId="70F00B92"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43F8E543" w14:textId="77777777" w:rsidR="005B0A27" w:rsidRPr="00872D7E" w:rsidRDefault="005B0A27" w:rsidP="005B0A27">
            <w:pPr>
              <w:jc w:val="right"/>
              <w:rPr>
                <w:color w:val="000000"/>
                <w:sz w:val="14"/>
                <w:szCs w:val="14"/>
              </w:rPr>
            </w:pPr>
            <w:r w:rsidRPr="00872D7E">
              <w:rPr>
                <w:color w:val="000000"/>
                <w:sz w:val="14"/>
                <w:szCs w:val="14"/>
              </w:rPr>
              <w:t>2.419.186</w:t>
            </w:r>
          </w:p>
        </w:tc>
        <w:tc>
          <w:tcPr>
            <w:tcW w:w="413" w:type="pct"/>
            <w:tcBorders>
              <w:top w:val="nil"/>
              <w:left w:val="nil"/>
              <w:bottom w:val="nil"/>
              <w:right w:val="single" w:sz="4" w:space="0" w:color="auto"/>
            </w:tcBorders>
            <w:shd w:val="clear" w:color="000000" w:fill="FFFFFF"/>
            <w:noWrap/>
            <w:vAlign w:val="center"/>
            <w:hideMark/>
          </w:tcPr>
          <w:p w14:paraId="3E8013AE" w14:textId="77777777" w:rsidR="005B0A27" w:rsidRPr="00872D7E" w:rsidRDefault="005B0A27" w:rsidP="005B0A27">
            <w:pPr>
              <w:jc w:val="right"/>
              <w:rPr>
                <w:color w:val="000000"/>
                <w:sz w:val="14"/>
                <w:szCs w:val="14"/>
              </w:rPr>
            </w:pPr>
            <w:r w:rsidRPr="00872D7E">
              <w:rPr>
                <w:color w:val="000000"/>
                <w:sz w:val="14"/>
                <w:szCs w:val="14"/>
              </w:rPr>
              <w:t>190.451</w:t>
            </w:r>
          </w:p>
        </w:tc>
        <w:tc>
          <w:tcPr>
            <w:tcW w:w="424" w:type="pct"/>
            <w:tcBorders>
              <w:top w:val="nil"/>
              <w:left w:val="nil"/>
              <w:bottom w:val="nil"/>
              <w:right w:val="single" w:sz="4" w:space="0" w:color="auto"/>
            </w:tcBorders>
            <w:shd w:val="clear" w:color="000000" w:fill="FFFFFF"/>
            <w:noWrap/>
            <w:vAlign w:val="center"/>
            <w:hideMark/>
          </w:tcPr>
          <w:p w14:paraId="527FD9F8" w14:textId="77777777" w:rsidR="005B0A27" w:rsidRPr="00872D7E" w:rsidRDefault="005B0A27" w:rsidP="005B0A27">
            <w:pPr>
              <w:jc w:val="right"/>
              <w:rPr>
                <w:color w:val="000000"/>
                <w:sz w:val="14"/>
                <w:szCs w:val="14"/>
              </w:rPr>
            </w:pPr>
            <w:r w:rsidRPr="00872D7E">
              <w:rPr>
                <w:color w:val="000000"/>
                <w:sz w:val="14"/>
                <w:szCs w:val="14"/>
              </w:rPr>
              <w:t>2.609.637</w:t>
            </w:r>
          </w:p>
        </w:tc>
        <w:tc>
          <w:tcPr>
            <w:tcW w:w="413" w:type="pct"/>
            <w:tcBorders>
              <w:top w:val="nil"/>
              <w:left w:val="nil"/>
              <w:bottom w:val="nil"/>
              <w:right w:val="single" w:sz="4" w:space="0" w:color="auto"/>
            </w:tcBorders>
            <w:shd w:val="clear" w:color="000000" w:fill="FFFFFF"/>
            <w:noWrap/>
            <w:vAlign w:val="center"/>
            <w:hideMark/>
          </w:tcPr>
          <w:p w14:paraId="0DD9DE2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A2D5171"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379A47E0"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5363CC72"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2D45684" w14:textId="77777777" w:rsidR="005B0A27" w:rsidRPr="00872D7E" w:rsidRDefault="005B0A27" w:rsidP="005B0A27">
            <w:pPr>
              <w:rPr>
                <w:color w:val="000000"/>
                <w:sz w:val="14"/>
                <w:szCs w:val="14"/>
              </w:rPr>
            </w:pPr>
            <w:r w:rsidRPr="00872D7E">
              <w:rPr>
                <w:color w:val="000000"/>
                <w:sz w:val="14"/>
                <w:szCs w:val="14"/>
              </w:rPr>
              <w:t>1.1.2</w:t>
            </w:r>
          </w:p>
        </w:tc>
        <w:tc>
          <w:tcPr>
            <w:tcW w:w="1873" w:type="pct"/>
            <w:tcBorders>
              <w:top w:val="nil"/>
              <w:left w:val="nil"/>
              <w:bottom w:val="nil"/>
              <w:right w:val="nil"/>
            </w:tcBorders>
            <w:shd w:val="clear" w:color="auto" w:fill="auto"/>
            <w:hideMark/>
          </w:tcPr>
          <w:p w14:paraId="0708039D" w14:textId="77777777" w:rsidR="005B0A27" w:rsidRPr="00872D7E" w:rsidRDefault="005B0A27" w:rsidP="005B0A27">
            <w:pPr>
              <w:rPr>
                <w:color w:val="000000"/>
                <w:sz w:val="14"/>
                <w:szCs w:val="14"/>
              </w:rPr>
            </w:pPr>
            <w:r w:rsidRPr="00872D7E">
              <w:rPr>
                <w:color w:val="000000"/>
                <w:sz w:val="14"/>
                <w:szCs w:val="14"/>
              </w:rPr>
              <w:t>Dış Ticaret İşlemleri Dolayısıyla Verilenler</w:t>
            </w:r>
          </w:p>
        </w:tc>
        <w:tc>
          <w:tcPr>
            <w:tcW w:w="372" w:type="pct"/>
            <w:tcBorders>
              <w:top w:val="nil"/>
              <w:left w:val="single" w:sz="4" w:space="0" w:color="auto"/>
              <w:bottom w:val="nil"/>
              <w:right w:val="single" w:sz="4" w:space="0" w:color="auto"/>
            </w:tcBorders>
            <w:shd w:val="clear" w:color="auto" w:fill="auto"/>
            <w:vAlign w:val="center"/>
            <w:hideMark/>
          </w:tcPr>
          <w:p w14:paraId="597F4299"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022ADA00"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0F9F37D"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4FFED2C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DEA3C3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E151533"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9DB0BE3"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0FD8DF73"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36A7081B" w14:textId="77777777" w:rsidR="005B0A27" w:rsidRPr="00872D7E" w:rsidRDefault="005B0A27" w:rsidP="005B0A27">
            <w:pPr>
              <w:rPr>
                <w:color w:val="000000"/>
                <w:sz w:val="14"/>
                <w:szCs w:val="14"/>
              </w:rPr>
            </w:pPr>
            <w:r w:rsidRPr="00872D7E">
              <w:rPr>
                <w:color w:val="000000"/>
                <w:sz w:val="14"/>
                <w:szCs w:val="14"/>
              </w:rPr>
              <w:t>1.1.3</w:t>
            </w:r>
          </w:p>
        </w:tc>
        <w:tc>
          <w:tcPr>
            <w:tcW w:w="1873" w:type="pct"/>
            <w:tcBorders>
              <w:top w:val="nil"/>
              <w:left w:val="nil"/>
              <w:bottom w:val="nil"/>
              <w:right w:val="nil"/>
            </w:tcBorders>
            <w:shd w:val="clear" w:color="auto" w:fill="auto"/>
            <w:hideMark/>
          </w:tcPr>
          <w:p w14:paraId="40EED3B8" w14:textId="77777777" w:rsidR="005B0A27" w:rsidRPr="00872D7E" w:rsidRDefault="005B0A27" w:rsidP="005B0A27">
            <w:pPr>
              <w:rPr>
                <w:color w:val="000000"/>
                <w:sz w:val="14"/>
                <w:szCs w:val="14"/>
              </w:rPr>
            </w:pPr>
            <w:r w:rsidRPr="00872D7E">
              <w:rPr>
                <w:color w:val="000000"/>
                <w:sz w:val="14"/>
                <w:szCs w:val="14"/>
              </w:rPr>
              <w:t>Diğer Teminat Mektupları</w:t>
            </w:r>
          </w:p>
        </w:tc>
        <w:tc>
          <w:tcPr>
            <w:tcW w:w="372" w:type="pct"/>
            <w:tcBorders>
              <w:top w:val="nil"/>
              <w:left w:val="single" w:sz="4" w:space="0" w:color="auto"/>
              <w:bottom w:val="nil"/>
              <w:right w:val="single" w:sz="4" w:space="0" w:color="auto"/>
            </w:tcBorders>
            <w:shd w:val="clear" w:color="auto" w:fill="auto"/>
            <w:vAlign w:val="center"/>
            <w:hideMark/>
          </w:tcPr>
          <w:p w14:paraId="253D0081"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049135B" w14:textId="77777777" w:rsidR="005B0A27" w:rsidRPr="00872D7E" w:rsidRDefault="005B0A27" w:rsidP="005B0A27">
            <w:pPr>
              <w:jc w:val="right"/>
              <w:rPr>
                <w:color w:val="000000"/>
                <w:sz w:val="14"/>
                <w:szCs w:val="14"/>
              </w:rPr>
            </w:pPr>
            <w:r w:rsidRPr="00872D7E">
              <w:rPr>
                <w:color w:val="000000"/>
                <w:sz w:val="14"/>
                <w:szCs w:val="14"/>
              </w:rPr>
              <w:t>2.860.544</w:t>
            </w:r>
          </w:p>
        </w:tc>
        <w:tc>
          <w:tcPr>
            <w:tcW w:w="413" w:type="pct"/>
            <w:tcBorders>
              <w:top w:val="nil"/>
              <w:left w:val="nil"/>
              <w:bottom w:val="nil"/>
              <w:right w:val="single" w:sz="4" w:space="0" w:color="auto"/>
            </w:tcBorders>
            <w:shd w:val="clear" w:color="000000" w:fill="FFFFFF"/>
            <w:noWrap/>
            <w:vAlign w:val="center"/>
            <w:hideMark/>
          </w:tcPr>
          <w:p w14:paraId="7E785043" w14:textId="77777777" w:rsidR="005B0A27" w:rsidRPr="00872D7E" w:rsidRDefault="005B0A27" w:rsidP="005B0A27">
            <w:pPr>
              <w:jc w:val="right"/>
              <w:rPr>
                <w:color w:val="000000"/>
                <w:sz w:val="14"/>
                <w:szCs w:val="14"/>
              </w:rPr>
            </w:pPr>
            <w:r w:rsidRPr="00872D7E">
              <w:rPr>
                <w:color w:val="000000"/>
                <w:sz w:val="14"/>
                <w:szCs w:val="14"/>
              </w:rPr>
              <w:t>1.865.533</w:t>
            </w:r>
          </w:p>
        </w:tc>
        <w:tc>
          <w:tcPr>
            <w:tcW w:w="424" w:type="pct"/>
            <w:tcBorders>
              <w:top w:val="nil"/>
              <w:left w:val="nil"/>
              <w:bottom w:val="nil"/>
              <w:right w:val="single" w:sz="4" w:space="0" w:color="auto"/>
            </w:tcBorders>
            <w:shd w:val="clear" w:color="000000" w:fill="FFFFFF"/>
            <w:noWrap/>
            <w:vAlign w:val="center"/>
            <w:hideMark/>
          </w:tcPr>
          <w:p w14:paraId="68AC221C" w14:textId="77777777" w:rsidR="005B0A27" w:rsidRPr="00872D7E" w:rsidRDefault="005B0A27" w:rsidP="005B0A27">
            <w:pPr>
              <w:jc w:val="right"/>
              <w:rPr>
                <w:color w:val="000000"/>
                <w:sz w:val="14"/>
                <w:szCs w:val="14"/>
              </w:rPr>
            </w:pPr>
            <w:r w:rsidRPr="00872D7E">
              <w:rPr>
                <w:color w:val="000000"/>
                <w:sz w:val="14"/>
                <w:szCs w:val="14"/>
              </w:rPr>
              <w:t>4.726.077</w:t>
            </w:r>
          </w:p>
        </w:tc>
        <w:tc>
          <w:tcPr>
            <w:tcW w:w="413" w:type="pct"/>
            <w:tcBorders>
              <w:top w:val="nil"/>
              <w:left w:val="nil"/>
              <w:bottom w:val="nil"/>
              <w:right w:val="single" w:sz="4" w:space="0" w:color="auto"/>
            </w:tcBorders>
            <w:shd w:val="clear" w:color="000000" w:fill="FFFFFF"/>
            <w:noWrap/>
            <w:vAlign w:val="center"/>
            <w:hideMark/>
          </w:tcPr>
          <w:p w14:paraId="2EA56B1B" w14:textId="77777777" w:rsidR="005B0A27" w:rsidRPr="00872D7E" w:rsidRDefault="005B0A27" w:rsidP="005B0A27">
            <w:pPr>
              <w:jc w:val="right"/>
              <w:rPr>
                <w:color w:val="000000"/>
                <w:sz w:val="14"/>
                <w:szCs w:val="14"/>
              </w:rPr>
            </w:pPr>
            <w:r w:rsidRPr="00872D7E">
              <w:rPr>
                <w:color w:val="000000"/>
                <w:sz w:val="14"/>
                <w:szCs w:val="14"/>
              </w:rPr>
              <w:t>109</w:t>
            </w:r>
          </w:p>
        </w:tc>
        <w:tc>
          <w:tcPr>
            <w:tcW w:w="413" w:type="pct"/>
            <w:tcBorders>
              <w:top w:val="nil"/>
              <w:left w:val="nil"/>
              <w:bottom w:val="nil"/>
              <w:right w:val="single" w:sz="4" w:space="0" w:color="auto"/>
            </w:tcBorders>
            <w:shd w:val="clear" w:color="000000" w:fill="FFFFFF"/>
            <w:noWrap/>
            <w:vAlign w:val="center"/>
            <w:hideMark/>
          </w:tcPr>
          <w:p w14:paraId="1B0AC9F8" w14:textId="77777777" w:rsidR="005B0A27" w:rsidRPr="00872D7E" w:rsidRDefault="005B0A27" w:rsidP="005B0A27">
            <w:pPr>
              <w:jc w:val="right"/>
              <w:rPr>
                <w:color w:val="000000"/>
                <w:sz w:val="14"/>
                <w:szCs w:val="14"/>
              </w:rPr>
            </w:pPr>
            <w:r w:rsidRPr="00872D7E">
              <w:rPr>
                <w:color w:val="000000"/>
                <w:sz w:val="14"/>
                <w:szCs w:val="14"/>
              </w:rPr>
              <w:t>5.338</w:t>
            </w:r>
          </w:p>
        </w:tc>
        <w:tc>
          <w:tcPr>
            <w:tcW w:w="414" w:type="pct"/>
            <w:tcBorders>
              <w:top w:val="nil"/>
              <w:left w:val="nil"/>
              <w:bottom w:val="nil"/>
              <w:right w:val="single" w:sz="4" w:space="0" w:color="auto"/>
            </w:tcBorders>
            <w:shd w:val="clear" w:color="000000" w:fill="FFFFFF"/>
            <w:noWrap/>
            <w:vAlign w:val="center"/>
            <w:hideMark/>
          </w:tcPr>
          <w:p w14:paraId="07F2FCCC" w14:textId="77777777" w:rsidR="005B0A27" w:rsidRPr="00872D7E" w:rsidRDefault="005B0A27" w:rsidP="005B0A27">
            <w:pPr>
              <w:jc w:val="right"/>
              <w:rPr>
                <w:color w:val="000000"/>
                <w:sz w:val="14"/>
                <w:szCs w:val="14"/>
              </w:rPr>
            </w:pPr>
            <w:r w:rsidRPr="00872D7E">
              <w:rPr>
                <w:color w:val="000000"/>
                <w:sz w:val="14"/>
                <w:szCs w:val="14"/>
              </w:rPr>
              <w:t>5.447</w:t>
            </w:r>
          </w:p>
        </w:tc>
      </w:tr>
      <w:tr w:rsidR="005B0A27" w:rsidRPr="00872D7E" w14:paraId="2AADF593"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0E01013E" w14:textId="77777777" w:rsidR="005B0A27" w:rsidRPr="00872D7E" w:rsidRDefault="005B0A27" w:rsidP="005B0A27">
            <w:pPr>
              <w:rPr>
                <w:color w:val="000000"/>
                <w:sz w:val="14"/>
                <w:szCs w:val="14"/>
              </w:rPr>
            </w:pPr>
            <w:r w:rsidRPr="00872D7E">
              <w:rPr>
                <w:color w:val="000000"/>
                <w:sz w:val="14"/>
                <w:szCs w:val="14"/>
              </w:rPr>
              <w:t>1.2.</w:t>
            </w:r>
          </w:p>
        </w:tc>
        <w:tc>
          <w:tcPr>
            <w:tcW w:w="1873" w:type="pct"/>
            <w:tcBorders>
              <w:top w:val="nil"/>
              <w:left w:val="nil"/>
              <w:bottom w:val="nil"/>
              <w:right w:val="nil"/>
            </w:tcBorders>
            <w:shd w:val="clear" w:color="auto" w:fill="auto"/>
            <w:hideMark/>
          </w:tcPr>
          <w:p w14:paraId="57995F6B" w14:textId="77777777" w:rsidR="005B0A27" w:rsidRPr="00872D7E" w:rsidRDefault="005B0A27" w:rsidP="005B0A27">
            <w:pPr>
              <w:rPr>
                <w:color w:val="000000"/>
                <w:sz w:val="14"/>
                <w:szCs w:val="14"/>
              </w:rPr>
            </w:pPr>
            <w:r w:rsidRPr="00872D7E">
              <w:rPr>
                <w:color w:val="000000"/>
                <w:sz w:val="14"/>
                <w:szCs w:val="14"/>
              </w:rPr>
              <w:t>Banka Kredileri</w:t>
            </w:r>
          </w:p>
        </w:tc>
        <w:tc>
          <w:tcPr>
            <w:tcW w:w="372" w:type="pct"/>
            <w:tcBorders>
              <w:top w:val="nil"/>
              <w:left w:val="single" w:sz="4" w:space="0" w:color="auto"/>
              <w:bottom w:val="nil"/>
              <w:right w:val="single" w:sz="4" w:space="0" w:color="auto"/>
            </w:tcBorders>
            <w:shd w:val="clear" w:color="auto" w:fill="auto"/>
            <w:vAlign w:val="center"/>
            <w:hideMark/>
          </w:tcPr>
          <w:p w14:paraId="31EE790B"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24A6676D"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EDA7E91"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3F363C78"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EBA9F7D"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885345B"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9367EDF"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27DB9B6E"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EB2C398" w14:textId="77777777" w:rsidR="005B0A27" w:rsidRPr="00872D7E" w:rsidRDefault="005B0A27" w:rsidP="005B0A27">
            <w:pPr>
              <w:rPr>
                <w:color w:val="000000"/>
                <w:sz w:val="14"/>
                <w:szCs w:val="14"/>
              </w:rPr>
            </w:pPr>
            <w:r w:rsidRPr="00872D7E">
              <w:rPr>
                <w:color w:val="000000"/>
                <w:sz w:val="14"/>
                <w:szCs w:val="14"/>
              </w:rPr>
              <w:t>1.2.1.</w:t>
            </w:r>
          </w:p>
        </w:tc>
        <w:tc>
          <w:tcPr>
            <w:tcW w:w="1873" w:type="pct"/>
            <w:tcBorders>
              <w:top w:val="nil"/>
              <w:left w:val="nil"/>
              <w:bottom w:val="nil"/>
              <w:right w:val="nil"/>
            </w:tcBorders>
            <w:shd w:val="clear" w:color="auto" w:fill="auto"/>
            <w:hideMark/>
          </w:tcPr>
          <w:p w14:paraId="5B068B17" w14:textId="77777777" w:rsidR="005B0A27" w:rsidRPr="00872D7E" w:rsidRDefault="005B0A27" w:rsidP="005B0A27">
            <w:pPr>
              <w:rPr>
                <w:color w:val="000000"/>
                <w:sz w:val="14"/>
                <w:szCs w:val="14"/>
              </w:rPr>
            </w:pPr>
            <w:r w:rsidRPr="00872D7E">
              <w:rPr>
                <w:color w:val="000000"/>
                <w:sz w:val="14"/>
                <w:szCs w:val="14"/>
              </w:rPr>
              <w:t>İthalat Kabul Kredileri</w:t>
            </w:r>
          </w:p>
        </w:tc>
        <w:tc>
          <w:tcPr>
            <w:tcW w:w="372" w:type="pct"/>
            <w:tcBorders>
              <w:top w:val="nil"/>
              <w:left w:val="single" w:sz="4" w:space="0" w:color="auto"/>
              <w:bottom w:val="nil"/>
              <w:right w:val="single" w:sz="4" w:space="0" w:color="auto"/>
            </w:tcBorders>
            <w:shd w:val="clear" w:color="auto" w:fill="auto"/>
            <w:vAlign w:val="center"/>
            <w:hideMark/>
          </w:tcPr>
          <w:p w14:paraId="2512C859"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5C9CD3C0"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774494A"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132C5BE0"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7CD5880"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BC8DBDA"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33A6FA43"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3DD0EBB2"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2EE6A28E" w14:textId="77777777" w:rsidR="005B0A27" w:rsidRPr="00872D7E" w:rsidRDefault="005B0A27" w:rsidP="005B0A27">
            <w:pPr>
              <w:rPr>
                <w:color w:val="000000"/>
                <w:sz w:val="14"/>
                <w:szCs w:val="14"/>
              </w:rPr>
            </w:pPr>
            <w:r w:rsidRPr="00872D7E">
              <w:rPr>
                <w:color w:val="000000"/>
                <w:sz w:val="14"/>
                <w:szCs w:val="14"/>
              </w:rPr>
              <w:t>1.2.2.</w:t>
            </w:r>
          </w:p>
        </w:tc>
        <w:tc>
          <w:tcPr>
            <w:tcW w:w="1873" w:type="pct"/>
            <w:tcBorders>
              <w:top w:val="nil"/>
              <w:left w:val="nil"/>
              <w:bottom w:val="nil"/>
              <w:right w:val="nil"/>
            </w:tcBorders>
            <w:shd w:val="clear" w:color="auto" w:fill="auto"/>
            <w:hideMark/>
          </w:tcPr>
          <w:p w14:paraId="60F6E206" w14:textId="77777777" w:rsidR="005B0A27" w:rsidRPr="00872D7E" w:rsidRDefault="005B0A27" w:rsidP="005B0A27">
            <w:pPr>
              <w:rPr>
                <w:color w:val="000000"/>
                <w:sz w:val="14"/>
                <w:szCs w:val="14"/>
              </w:rPr>
            </w:pPr>
            <w:r w:rsidRPr="00872D7E">
              <w:rPr>
                <w:color w:val="000000"/>
                <w:sz w:val="14"/>
                <w:szCs w:val="14"/>
              </w:rPr>
              <w:t>Diğer Banka Kabulleri</w:t>
            </w:r>
          </w:p>
        </w:tc>
        <w:tc>
          <w:tcPr>
            <w:tcW w:w="372" w:type="pct"/>
            <w:tcBorders>
              <w:top w:val="nil"/>
              <w:left w:val="single" w:sz="4" w:space="0" w:color="auto"/>
              <w:bottom w:val="nil"/>
              <w:right w:val="single" w:sz="4" w:space="0" w:color="auto"/>
            </w:tcBorders>
            <w:shd w:val="clear" w:color="auto" w:fill="auto"/>
            <w:vAlign w:val="center"/>
            <w:hideMark/>
          </w:tcPr>
          <w:p w14:paraId="7A49E21C"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F74358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8361825"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3E48FB6A"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0E1DF49"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43FBBD3"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C15725B"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437A2B88"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2EECEF4" w14:textId="77777777" w:rsidR="005B0A27" w:rsidRPr="00872D7E" w:rsidRDefault="005B0A27" w:rsidP="005B0A27">
            <w:pPr>
              <w:rPr>
                <w:color w:val="000000"/>
                <w:sz w:val="14"/>
                <w:szCs w:val="14"/>
              </w:rPr>
            </w:pPr>
            <w:r w:rsidRPr="00872D7E">
              <w:rPr>
                <w:color w:val="000000"/>
                <w:sz w:val="14"/>
                <w:szCs w:val="14"/>
              </w:rPr>
              <w:t>1.3.</w:t>
            </w:r>
          </w:p>
        </w:tc>
        <w:tc>
          <w:tcPr>
            <w:tcW w:w="1873" w:type="pct"/>
            <w:tcBorders>
              <w:top w:val="nil"/>
              <w:left w:val="nil"/>
              <w:bottom w:val="nil"/>
              <w:right w:val="nil"/>
            </w:tcBorders>
            <w:shd w:val="clear" w:color="auto" w:fill="auto"/>
            <w:hideMark/>
          </w:tcPr>
          <w:p w14:paraId="6E861E76" w14:textId="77777777" w:rsidR="005B0A27" w:rsidRPr="00872D7E" w:rsidRDefault="005B0A27" w:rsidP="005B0A27">
            <w:pPr>
              <w:rPr>
                <w:color w:val="000000"/>
                <w:sz w:val="14"/>
                <w:szCs w:val="14"/>
              </w:rPr>
            </w:pPr>
            <w:r w:rsidRPr="00872D7E">
              <w:rPr>
                <w:color w:val="000000"/>
                <w:sz w:val="14"/>
                <w:szCs w:val="14"/>
              </w:rPr>
              <w:t>Akreditifler</w:t>
            </w:r>
          </w:p>
        </w:tc>
        <w:tc>
          <w:tcPr>
            <w:tcW w:w="372" w:type="pct"/>
            <w:tcBorders>
              <w:top w:val="nil"/>
              <w:left w:val="single" w:sz="4" w:space="0" w:color="auto"/>
              <w:bottom w:val="nil"/>
              <w:right w:val="single" w:sz="4" w:space="0" w:color="auto"/>
            </w:tcBorders>
            <w:shd w:val="clear" w:color="auto" w:fill="auto"/>
            <w:vAlign w:val="center"/>
            <w:hideMark/>
          </w:tcPr>
          <w:p w14:paraId="2A4B7B12"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2CBD321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13759F2"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73827E9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03F536D"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8705E14"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19D60B3F"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1318194B"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40E4CA5C" w14:textId="77777777" w:rsidR="005B0A27" w:rsidRPr="00872D7E" w:rsidRDefault="005B0A27" w:rsidP="005B0A27">
            <w:pPr>
              <w:rPr>
                <w:color w:val="000000"/>
                <w:sz w:val="14"/>
                <w:szCs w:val="14"/>
              </w:rPr>
            </w:pPr>
            <w:r w:rsidRPr="00872D7E">
              <w:rPr>
                <w:color w:val="000000"/>
                <w:sz w:val="14"/>
                <w:szCs w:val="14"/>
              </w:rPr>
              <w:t>1.3.1.</w:t>
            </w:r>
          </w:p>
        </w:tc>
        <w:tc>
          <w:tcPr>
            <w:tcW w:w="1873" w:type="pct"/>
            <w:tcBorders>
              <w:top w:val="nil"/>
              <w:left w:val="nil"/>
              <w:bottom w:val="nil"/>
              <w:right w:val="nil"/>
            </w:tcBorders>
            <w:shd w:val="clear" w:color="auto" w:fill="auto"/>
            <w:hideMark/>
          </w:tcPr>
          <w:p w14:paraId="24340FFA" w14:textId="77777777" w:rsidR="005B0A27" w:rsidRPr="00872D7E" w:rsidRDefault="005B0A27" w:rsidP="005B0A27">
            <w:pPr>
              <w:rPr>
                <w:color w:val="000000"/>
                <w:sz w:val="14"/>
                <w:szCs w:val="14"/>
              </w:rPr>
            </w:pPr>
            <w:r w:rsidRPr="00872D7E">
              <w:rPr>
                <w:color w:val="000000"/>
                <w:sz w:val="14"/>
                <w:szCs w:val="14"/>
              </w:rPr>
              <w:t>Belgeli Akreditifler</w:t>
            </w:r>
          </w:p>
        </w:tc>
        <w:tc>
          <w:tcPr>
            <w:tcW w:w="372" w:type="pct"/>
            <w:tcBorders>
              <w:top w:val="nil"/>
              <w:left w:val="single" w:sz="4" w:space="0" w:color="auto"/>
              <w:bottom w:val="nil"/>
              <w:right w:val="single" w:sz="4" w:space="0" w:color="auto"/>
            </w:tcBorders>
            <w:shd w:val="clear" w:color="auto" w:fill="auto"/>
            <w:vAlign w:val="center"/>
            <w:hideMark/>
          </w:tcPr>
          <w:p w14:paraId="7C55BA84"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FE14BD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1277AE9"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62A2DD3D"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D0E478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7DAC73B"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F19FD53"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7B5C29BA"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E8F184E" w14:textId="77777777" w:rsidR="005B0A27" w:rsidRPr="00872D7E" w:rsidRDefault="005B0A27" w:rsidP="005B0A27">
            <w:pPr>
              <w:rPr>
                <w:color w:val="000000"/>
                <w:sz w:val="14"/>
                <w:szCs w:val="14"/>
              </w:rPr>
            </w:pPr>
            <w:r w:rsidRPr="00872D7E">
              <w:rPr>
                <w:color w:val="000000"/>
                <w:sz w:val="14"/>
                <w:szCs w:val="14"/>
              </w:rPr>
              <w:t>1.3.2.</w:t>
            </w:r>
          </w:p>
        </w:tc>
        <w:tc>
          <w:tcPr>
            <w:tcW w:w="1873" w:type="pct"/>
            <w:tcBorders>
              <w:top w:val="nil"/>
              <w:left w:val="nil"/>
              <w:bottom w:val="nil"/>
              <w:right w:val="nil"/>
            </w:tcBorders>
            <w:shd w:val="clear" w:color="auto" w:fill="auto"/>
            <w:hideMark/>
          </w:tcPr>
          <w:p w14:paraId="72A43BCE" w14:textId="77777777" w:rsidR="005B0A27" w:rsidRPr="00872D7E" w:rsidRDefault="005B0A27" w:rsidP="005B0A27">
            <w:pPr>
              <w:rPr>
                <w:color w:val="000000"/>
                <w:sz w:val="14"/>
                <w:szCs w:val="14"/>
              </w:rPr>
            </w:pPr>
            <w:r w:rsidRPr="00872D7E">
              <w:rPr>
                <w:color w:val="000000"/>
                <w:sz w:val="14"/>
                <w:szCs w:val="14"/>
              </w:rPr>
              <w:t>Diğer Akreditifler</w:t>
            </w:r>
          </w:p>
        </w:tc>
        <w:tc>
          <w:tcPr>
            <w:tcW w:w="372" w:type="pct"/>
            <w:tcBorders>
              <w:top w:val="nil"/>
              <w:left w:val="single" w:sz="4" w:space="0" w:color="auto"/>
              <w:bottom w:val="nil"/>
              <w:right w:val="single" w:sz="4" w:space="0" w:color="auto"/>
            </w:tcBorders>
            <w:shd w:val="clear" w:color="auto" w:fill="auto"/>
            <w:vAlign w:val="center"/>
            <w:hideMark/>
          </w:tcPr>
          <w:p w14:paraId="21973504"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40D9929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5D8ED1D"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1E0D57F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0F45DE6"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9C2F8C0"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07CDC06F"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162C4E8E"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9B9C8BF" w14:textId="77777777" w:rsidR="005B0A27" w:rsidRPr="00872D7E" w:rsidRDefault="005B0A27" w:rsidP="005B0A27">
            <w:pPr>
              <w:rPr>
                <w:color w:val="000000"/>
                <w:sz w:val="14"/>
                <w:szCs w:val="14"/>
              </w:rPr>
            </w:pPr>
            <w:r w:rsidRPr="00872D7E">
              <w:rPr>
                <w:color w:val="000000"/>
                <w:sz w:val="14"/>
                <w:szCs w:val="14"/>
              </w:rPr>
              <w:t>1.4.</w:t>
            </w:r>
          </w:p>
        </w:tc>
        <w:tc>
          <w:tcPr>
            <w:tcW w:w="1873" w:type="pct"/>
            <w:tcBorders>
              <w:top w:val="nil"/>
              <w:left w:val="nil"/>
              <w:bottom w:val="nil"/>
              <w:right w:val="nil"/>
            </w:tcBorders>
            <w:shd w:val="clear" w:color="auto" w:fill="auto"/>
            <w:hideMark/>
          </w:tcPr>
          <w:p w14:paraId="07570AC0" w14:textId="77777777" w:rsidR="005B0A27" w:rsidRPr="00872D7E" w:rsidRDefault="005B0A27" w:rsidP="005B0A27">
            <w:pPr>
              <w:rPr>
                <w:color w:val="000000"/>
                <w:sz w:val="14"/>
                <w:szCs w:val="14"/>
              </w:rPr>
            </w:pPr>
            <w:r w:rsidRPr="00872D7E">
              <w:rPr>
                <w:color w:val="000000"/>
                <w:sz w:val="14"/>
                <w:szCs w:val="14"/>
              </w:rPr>
              <w:t>Garanti Verilen Prefinansmanlar</w:t>
            </w:r>
          </w:p>
        </w:tc>
        <w:tc>
          <w:tcPr>
            <w:tcW w:w="372" w:type="pct"/>
            <w:tcBorders>
              <w:top w:val="nil"/>
              <w:left w:val="single" w:sz="4" w:space="0" w:color="auto"/>
              <w:bottom w:val="nil"/>
              <w:right w:val="single" w:sz="4" w:space="0" w:color="auto"/>
            </w:tcBorders>
            <w:shd w:val="clear" w:color="auto" w:fill="auto"/>
            <w:vAlign w:val="center"/>
            <w:hideMark/>
          </w:tcPr>
          <w:p w14:paraId="3144268B"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1E875E3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A3634E7"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1C98625A"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D01E7C5"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D253892"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47F8283C"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40113B33"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3CCE5F60" w14:textId="77777777" w:rsidR="005B0A27" w:rsidRPr="00872D7E" w:rsidRDefault="005B0A27" w:rsidP="005B0A27">
            <w:pPr>
              <w:rPr>
                <w:color w:val="000000"/>
                <w:sz w:val="14"/>
                <w:szCs w:val="14"/>
              </w:rPr>
            </w:pPr>
            <w:r w:rsidRPr="00872D7E">
              <w:rPr>
                <w:color w:val="000000"/>
                <w:sz w:val="14"/>
                <w:szCs w:val="14"/>
              </w:rPr>
              <w:t>1.5.</w:t>
            </w:r>
          </w:p>
        </w:tc>
        <w:tc>
          <w:tcPr>
            <w:tcW w:w="1873" w:type="pct"/>
            <w:tcBorders>
              <w:top w:val="nil"/>
              <w:left w:val="nil"/>
              <w:bottom w:val="nil"/>
              <w:right w:val="nil"/>
            </w:tcBorders>
            <w:shd w:val="clear" w:color="auto" w:fill="auto"/>
            <w:hideMark/>
          </w:tcPr>
          <w:p w14:paraId="542DABC8" w14:textId="77777777" w:rsidR="005B0A27" w:rsidRPr="00872D7E" w:rsidRDefault="005B0A27" w:rsidP="005B0A27">
            <w:pPr>
              <w:rPr>
                <w:color w:val="000000"/>
                <w:sz w:val="14"/>
                <w:szCs w:val="14"/>
              </w:rPr>
            </w:pPr>
            <w:r w:rsidRPr="00872D7E">
              <w:rPr>
                <w:color w:val="000000"/>
                <w:sz w:val="14"/>
                <w:szCs w:val="14"/>
              </w:rPr>
              <w:t>Cirolar</w:t>
            </w:r>
          </w:p>
        </w:tc>
        <w:tc>
          <w:tcPr>
            <w:tcW w:w="372" w:type="pct"/>
            <w:tcBorders>
              <w:top w:val="nil"/>
              <w:left w:val="single" w:sz="4" w:space="0" w:color="auto"/>
              <w:bottom w:val="nil"/>
              <w:right w:val="single" w:sz="4" w:space="0" w:color="auto"/>
            </w:tcBorders>
            <w:shd w:val="clear" w:color="auto" w:fill="auto"/>
            <w:vAlign w:val="center"/>
            <w:hideMark/>
          </w:tcPr>
          <w:p w14:paraId="7724038D"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BA927A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3629C50"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59138BD1"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DE7BA3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DDF183C"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12B18A3F"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691F09F4"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7018E2B9" w14:textId="77777777" w:rsidR="005B0A27" w:rsidRPr="00872D7E" w:rsidRDefault="005B0A27" w:rsidP="005B0A27">
            <w:pPr>
              <w:rPr>
                <w:color w:val="000000"/>
                <w:sz w:val="14"/>
                <w:szCs w:val="14"/>
              </w:rPr>
            </w:pPr>
            <w:r w:rsidRPr="00872D7E">
              <w:rPr>
                <w:color w:val="000000"/>
                <w:sz w:val="14"/>
                <w:szCs w:val="14"/>
              </w:rPr>
              <w:t>1.5.1.</w:t>
            </w:r>
          </w:p>
        </w:tc>
        <w:tc>
          <w:tcPr>
            <w:tcW w:w="1873" w:type="pct"/>
            <w:tcBorders>
              <w:top w:val="nil"/>
              <w:left w:val="nil"/>
              <w:bottom w:val="nil"/>
              <w:right w:val="nil"/>
            </w:tcBorders>
            <w:shd w:val="clear" w:color="auto" w:fill="auto"/>
            <w:hideMark/>
          </w:tcPr>
          <w:p w14:paraId="05BED330" w14:textId="77777777" w:rsidR="005B0A27" w:rsidRPr="00872D7E" w:rsidRDefault="005B0A27" w:rsidP="005B0A27">
            <w:pPr>
              <w:rPr>
                <w:color w:val="000000"/>
                <w:sz w:val="14"/>
                <w:szCs w:val="14"/>
              </w:rPr>
            </w:pPr>
            <w:r w:rsidRPr="00872D7E">
              <w:rPr>
                <w:color w:val="000000"/>
                <w:sz w:val="14"/>
                <w:szCs w:val="14"/>
              </w:rPr>
              <w:t>T.C. Merkez Bankasına Cirolar</w:t>
            </w:r>
          </w:p>
        </w:tc>
        <w:tc>
          <w:tcPr>
            <w:tcW w:w="372" w:type="pct"/>
            <w:tcBorders>
              <w:top w:val="nil"/>
              <w:left w:val="single" w:sz="4" w:space="0" w:color="auto"/>
              <w:bottom w:val="nil"/>
              <w:right w:val="single" w:sz="4" w:space="0" w:color="auto"/>
            </w:tcBorders>
            <w:shd w:val="clear" w:color="auto" w:fill="auto"/>
            <w:vAlign w:val="center"/>
            <w:hideMark/>
          </w:tcPr>
          <w:p w14:paraId="04B89535"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840D1A5"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9B7740B"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7DEBA04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372007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789BD1C"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A28C51F"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73A7C373"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6CDD1B8" w14:textId="77777777" w:rsidR="005B0A27" w:rsidRPr="00872D7E" w:rsidRDefault="005B0A27" w:rsidP="005B0A27">
            <w:pPr>
              <w:rPr>
                <w:color w:val="000000"/>
                <w:sz w:val="14"/>
                <w:szCs w:val="14"/>
              </w:rPr>
            </w:pPr>
            <w:r w:rsidRPr="00872D7E">
              <w:rPr>
                <w:color w:val="000000"/>
                <w:sz w:val="14"/>
                <w:szCs w:val="14"/>
              </w:rPr>
              <w:t>1.5.2.</w:t>
            </w:r>
          </w:p>
        </w:tc>
        <w:tc>
          <w:tcPr>
            <w:tcW w:w="1873" w:type="pct"/>
            <w:tcBorders>
              <w:top w:val="nil"/>
              <w:left w:val="nil"/>
              <w:bottom w:val="nil"/>
              <w:right w:val="nil"/>
            </w:tcBorders>
            <w:shd w:val="clear" w:color="auto" w:fill="auto"/>
            <w:hideMark/>
          </w:tcPr>
          <w:p w14:paraId="00F37842" w14:textId="77777777" w:rsidR="005B0A27" w:rsidRPr="00872D7E" w:rsidRDefault="005B0A27" w:rsidP="005B0A27">
            <w:pPr>
              <w:rPr>
                <w:color w:val="000000"/>
                <w:sz w:val="14"/>
                <w:szCs w:val="14"/>
              </w:rPr>
            </w:pPr>
            <w:r w:rsidRPr="00872D7E">
              <w:rPr>
                <w:color w:val="000000"/>
                <w:sz w:val="14"/>
                <w:szCs w:val="14"/>
              </w:rPr>
              <w:t>Diğer Cirolar</w:t>
            </w:r>
          </w:p>
        </w:tc>
        <w:tc>
          <w:tcPr>
            <w:tcW w:w="372" w:type="pct"/>
            <w:tcBorders>
              <w:top w:val="nil"/>
              <w:left w:val="single" w:sz="4" w:space="0" w:color="auto"/>
              <w:bottom w:val="nil"/>
              <w:right w:val="single" w:sz="4" w:space="0" w:color="auto"/>
            </w:tcBorders>
            <w:shd w:val="clear" w:color="auto" w:fill="auto"/>
            <w:vAlign w:val="center"/>
            <w:hideMark/>
          </w:tcPr>
          <w:p w14:paraId="17592B7C"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52E5EDA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9DB923F"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57866A3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AA63020"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4911B89"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3DDA1D6D"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34980AFA"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0601FF5A" w14:textId="77777777" w:rsidR="005B0A27" w:rsidRPr="00872D7E" w:rsidRDefault="005B0A27" w:rsidP="005B0A27">
            <w:pPr>
              <w:rPr>
                <w:color w:val="000000"/>
                <w:sz w:val="14"/>
                <w:szCs w:val="14"/>
              </w:rPr>
            </w:pPr>
            <w:r w:rsidRPr="00872D7E">
              <w:rPr>
                <w:color w:val="000000"/>
                <w:sz w:val="14"/>
                <w:szCs w:val="14"/>
              </w:rPr>
              <w:t>1.6.</w:t>
            </w:r>
          </w:p>
        </w:tc>
        <w:tc>
          <w:tcPr>
            <w:tcW w:w="1873" w:type="pct"/>
            <w:tcBorders>
              <w:top w:val="nil"/>
              <w:left w:val="nil"/>
              <w:bottom w:val="nil"/>
              <w:right w:val="nil"/>
            </w:tcBorders>
            <w:shd w:val="clear" w:color="auto" w:fill="auto"/>
            <w:hideMark/>
          </w:tcPr>
          <w:p w14:paraId="15ADDAD1" w14:textId="77777777" w:rsidR="005B0A27" w:rsidRPr="00872D7E" w:rsidRDefault="005B0A27" w:rsidP="005B0A27">
            <w:pPr>
              <w:rPr>
                <w:color w:val="000000"/>
                <w:sz w:val="14"/>
                <w:szCs w:val="14"/>
              </w:rPr>
            </w:pPr>
            <w:r w:rsidRPr="00872D7E">
              <w:rPr>
                <w:color w:val="000000"/>
                <w:sz w:val="14"/>
                <w:szCs w:val="14"/>
              </w:rPr>
              <w:t>Diğer Garantilerimizden</w:t>
            </w:r>
          </w:p>
        </w:tc>
        <w:tc>
          <w:tcPr>
            <w:tcW w:w="372" w:type="pct"/>
            <w:tcBorders>
              <w:top w:val="nil"/>
              <w:left w:val="single" w:sz="4" w:space="0" w:color="auto"/>
              <w:bottom w:val="nil"/>
              <w:right w:val="single" w:sz="4" w:space="0" w:color="auto"/>
            </w:tcBorders>
            <w:shd w:val="clear" w:color="auto" w:fill="auto"/>
            <w:vAlign w:val="center"/>
            <w:hideMark/>
          </w:tcPr>
          <w:p w14:paraId="49B04377"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0A190746"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D38B023"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02CA394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3036D46"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583D72B"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3DE27B11"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5B05E1F1"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47E9DD74" w14:textId="77777777" w:rsidR="005B0A27" w:rsidRPr="00872D7E" w:rsidRDefault="005B0A27" w:rsidP="005B0A27">
            <w:pPr>
              <w:rPr>
                <w:color w:val="000000"/>
                <w:sz w:val="14"/>
                <w:szCs w:val="14"/>
              </w:rPr>
            </w:pPr>
            <w:r w:rsidRPr="00872D7E">
              <w:rPr>
                <w:color w:val="000000"/>
                <w:sz w:val="14"/>
                <w:szCs w:val="14"/>
              </w:rPr>
              <w:t>1.7.</w:t>
            </w:r>
          </w:p>
        </w:tc>
        <w:tc>
          <w:tcPr>
            <w:tcW w:w="1873" w:type="pct"/>
            <w:tcBorders>
              <w:top w:val="nil"/>
              <w:left w:val="nil"/>
              <w:bottom w:val="nil"/>
              <w:right w:val="nil"/>
            </w:tcBorders>
            <w:shd w:val="clear" w:color="auto" w:fill="auto"/>
            <w:hideMark/>
          </w:tcPr>
          <w:p w14:paraId="71E193AA" w14:textId="77777777" w:rsidR="005B0A27" w:rsidRPr="00872D7E" w:rsidRDefault="005B0A27" w:rsidP="005B0A27">
            <w:pPr>
              <w:rPr>
                <w:color w:val="000000"/>
                <w:sz w:val="14"/>
                <w:szCs w:val="14"/>
              </w:rPr>
            </w:pPr>
            <w:r w:rsidRPr="00872D7E">
              <w:rPr>
                <w:color w:val="000000"/>
                <w:sz w:val="14"/>
                <w:szCs w:val="14"/>
              </w:rPr>
              <w:t>Diğer Kefaletlerimizden</w:t>
            </w:r>
          </w:p>
        </w:tc>
        <w:tc>
          <w:tcPr>
            <w:tcW w:w="372" w:type="pct"/>
            <w:tcBorders>
              <w:top w:val="nil"/>
              <w:left w:val="single" w:sz="4" w:space="0" w:color="auto"/>
              <w:bottom w:val="nil"/>
              <w:right w:val="single" w:sz="4" w:space="0" w:color="auto"/>
            </w:tcBorders>
            <w:shd w:val="clear" w:color="auto" w:fill="auto"/>
            <w:vAlign w:val="center"/>
            <w:hideMark/>
          </w:tcPr>
          <w:p w14:paraId="75EAC981"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4B4157A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4CD1410"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6A87749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990A955"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DBD11F8"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09674D1C"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5DC95B10"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0BB9D24A" w14:textId="77777777" w:rsidR="005B0A27" w:rsidRPr="00872D7E" w:rsidRDefault="005B0A27" w:rsidP="005B0A27">
            <w:pPr>
              <w:rPr>
                <w:b/>
                <w:bCs/>
                <w:color w:val="000000"/>
                <w:sz w:val="14"/>
                <w:szCs w:val="14"/>
              </w:rPr>
            </w:pPr>
            <w:r w:rsidRPr="00872D7E">
              <w:rPr>
                <w:b/>
                <w:bCs/>
                <w:color w:val="000000"/>
                <w:sz w:val="14"/>
                <w:szCs w:val="14"/>
              </w:rPr>
              <w:t>II.</w:t>
            </w:r>
          </w:p>
        </w:tc>
        <w:tc>
          <w:tcPr>
            <w:tcW w:w="1873" w:type="pct"/>
            <w:tcBorders>
              <w:top w:val="nil"/>
              <w:left w:val="nil"/>
              <w:bottom w:val="nil"/>
              <w:right w:val="nil"/>
            </w:tcBorders>
            <w:shd w:val="clear" w:color="auto" w:fill="auto"/>
            <w:hideMark/>
          </w:tcPr>
          <w:p w14:paraId="72C51E65" w14:textId="77777777" w:rsidR="005B0A27" w:rsidRPr="00872D7E" w:rsidRDefault="005B0A27" w:rsidP="005B0A27">
            <w:pPr>
              <w:rPr>
                <w:b/>
                <w:bCs/>
                <w:color w:val="000000"/>
                <w:sz w:val="14"/>
                <w:szCs w:val="14"/>
              </w:rPr>
            </w:pPr>
            <w:r w:rsidRPr="00872D7E">
              <w:rPr>
                <w:b/>
                <w:bCs/>
                <w:color w:val="000000"/>
                <w:sz w:val="14"/>
                <w:szCs w:val="14"/>
              </w:rPr>
              <w:t>TAAHHÜTLER</w:t>
            </w:r>
          </w:p>
        </w:tc>
        <w:tc>
          <w:tcPr>
            <w:tcW w:w="372" w:type="pct"/>
            <w:tcBorders>
              <w:top w:val="nil"/>
              <w:left w:val="single" w:sz="4" w:space="0" w:color="auto"/>
              <w:bottom w:val="nil"/>
              <w:right w:val="single" w:sz="4" w:space="0" w:color="auto"/>
            </w:tcBorders>
            <w:shd w:val="clear" w:color="auto" w:fill="auto"/>
            <w:vAlign w:val="center"/>
            <w:hideMark/>
          </w:tcPr>
          <w:p w14:paraId="0F2C0DC4" w14:textId="77777777" w:rsidR="005B0A27" w:rsidRPr="00872D7E" w:rsidRDefault="005B0A27" w:rsidP="005B0A27">
            <w:pPr>
              <w:jc w:val="center"/>
              <w:rPr>
                <w:b/>
                <w:bCs/>
                <w:color w:val="000000"/>
                <w:sz w:val="14"/>
                <w:szCs w:val="14"/>
              </w:rPr>
            </w:pPr>
            <w:r w:rsidRPr="00872D7E">
              <w:rPr>
                <w:b/>
                <w:bCs/>
                <w:color w:val="000000"/>
                <w:sz w:val="14"/>
                <w:szCs w:val="14"/>
              </w:rPr>
              <w:t>(1)</w:t>
            </w:r>
          </w:p>
        </w:tc>
        <w:tc>
          <w:tcPr>
            <w:tcW w:w="413" w:type="pct"/>
            <w:tcBorders>
              <w:top w:val="nil"/>
              <w:left w:val="nil"/>
              <w:bottom w:val="nil"/>
              <w:right w:val="single" w:sz="4" w:space="0" w:color="auto"/>
            </w:tcBorders>
            <w:shd w:val="clear" w:color="000000" w:fill="FFFFFF"/>
            <w:noWrap/>
            <w:vAlign w:val="center"/>
            <w:hideMark/>
          </w:tcPr>
          <w:p w14:paraId="2818E275" w14:textId="77777777" w:rsidR="005B0A27" w:rsidRPr="00872D7E" w:rsidRDefault="005B0A27" w:rsidP="005B0A27">
            <w:pPr>
              <w:jc w:val="right"/>
              <w:rPr>
                <w:b/>
                <w:bCs/>
                <w:color w:val="000000"/>
                <w:sz w:val="14"/>
                <w:szCs w:val="14"/>
              </w:rPr>
            </w:pPr>
            <w:r w:rsidRPr="00872D7E">
              <w:rPr>
                <w:b/>
                <w:bCs/>
                <w:color w:val="000000"/>
                <w:sz w:val="14"/>
                <w:szCs w:val="14"/>
              </w:rPr>
              <w:t>3.486.632</w:t>
            </w:r>
          </w:p>
        </w:tc>
        <w:tc>
          <w:tcPr>
            <w:tcW w:w="413" w:type="pct"/>
            <w:tcBorders>
              <w:top w:val="nil"/>
              <w:left w:val="nil"/>
              <w:bottom w:val="nil"/>
              <w:right w:val="single" w:sz="4" w:space="0" w:color="auto"/>
            </w:tcBorders>
            <w:shd w:val="clear" w:color="000000" w:fill="FFFFFF"/>
            <w:noWrap/>
            <w:vAlign w:val="center"/>
            <w:hideMark/>
          </w:tcPr>
          <w:p w14:paraId="5DB47C91" w14:textId="77777777" w:rsidR="005B0A27" w:rsidRPr="00872D7E" w:rsidRDefault="005B0A27" w:rsidP="005B0A27">
            <w:pPr>
              <w:jc w:val="right"/>
              <w:rPr>
                <w:b/>
                <w:bCs/>
                <w:color w:val="000000"/>
                <w:sz w:val="14"/>
                <w:szCs w:val="14"/>
              </w:rPr>
            </w:pPr>
            <w:r w:rsidRPr="00872D7E">
              <w:rPr>
                <w:b/>
                <w:bCs/>
                <w:color w:val="000000"/>
                <w:sz w:val="14"/>
                <w:szCs w:val="14"/>
              </w:rPr>
              <w:t>8.452.651</w:t>
            </w:r>
          </w:p>
        </w:tc>
        <w:tc>
          <w:tcPr>
            <w:tcW w:w="424" w:type="pct"/>
            <w:tcBorders>
              <w:top w:val="nil"/>
              <w:left w:val="nil"/>
              <w:bottom w:val="nil"/>
              <w:right w:val="single" w:sz="4" w:space="0" w:color="auto"/>
            </w:tcBorders>
            <w:shd w:val="clear" w:color="000000" w:fill="FFFFFF"/>
            <w:noWrap/>
            <w:vAlign w:val="center"/>
            <w:hideMark/>
          </w:tcPr>
          <w:p w14:paraId="701BAD40" w14:textId="77777777" w:rsidR="005B0A27" w:rsidRPr="00872D7E" w:rsidRDefault="005B0A27" w:rsidP="005B0A27">
            <w:pPr>
              <w:jc w:val="right"/>
              <w:rPr>
                <w:b/>
                <w:bCs/>
                <w:color w:val="000000"/>
                <w:sz w:val="14"/>
                <w:szCs w:val="14"/>
              </w:rPr>
            </w:pPr>
            <w:r w:rsidRPr="00872D7E">
              <w:rPr>
                <w:b/>
                <w:bCs/>
                <w:color w:val="000000"/>
                <w:sz w:val="14"/>
                <w:szCs w:val="14"/>
              </w:rPr>
              <w:t>11.939.283</w:t>
            </w:r>
          </w:p>
        </w:tc>
        <w:tc>
          <w:tcPr>
            <w:tcW w:w="413" w:type="pct"/>
            <w:tcBorders>
              <w:top w:val="nil"/>
              <w:left w:val="nil"/>
              <w:bottom w:val="nil"/>
              <w:right w:val="single" w:sz="4" w:space="0" w:color="auto"/>
            </w:tcBorders>
            <w:shd w:val="clear" w:color="000000" w:fill="FFFFFF"/>
            <w:noWrap/>
            <w:vAlign w:val="center"/>
            <w:hideMark/>
          </w:tcPr>
          <w:p w14:paraId="70D263A3" w14:textId="77777777" w:rsidR="005B0A27" w:rsidRPr="00872D7E" w:rsidRDefault="005B0A27" w:rsidP="005B0A27">
            <w:pPr>
              <w:jc w:val="right"/>
              <w:rPr>
                <w:b/>
                <w:bCs/>
                <w:color w:val="000000"/>
                <w:sz w:val="14"/>
                <w:szCs w:val="14"/>
              </w:rPr>
            </w:pPr>
            <w:r w:rsidRPr="00872D7E">
              <w:rPr>
                <w:b/>
                <w:bCs/>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24559ED" w14:textId="77777777" w:rsidR="005B0A27" w:rsidRPr="00872D7E" w:rsidRDefault="005B0A27" w:rsidP="005B0A27">
            <w:pPr>
              <w:jc w:val="right"/>
              <w:rPr>
                <w:b/>
                <w:bCs/>
                <w:color w:val="000000"/>
                <w:sz w:val="14"/>
                <w:szCs w:val="14"/>
              </w:rPr>
            </w:pPr>
            <w:r w:rsidRPr="00872D7E">
              <w:rPr>
                <w:b/>
                <w:bCs/>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4997C0B9" w14:textId="77777777" w:rsidR="005B0A27" w:rsidRPr="00872D7E" w:rsidRDefault="005B0A27" w:rsidP="005B0A27">
            <w:pPr>
              <w:jc w:val="right"/>
              <w:rPr>
                <w:b/>
                <w:bCs/>
                <w:color w:val="000000"/>
                <w:sz w:val="14"/>
                <w:szCs w:val="14"/>
              </w:rPr>
            </w:pPr>
            <w:r w:rsidRPr="00872D7E">
              <w:rPr>
                <w:b/>
                <w:bCs/>
                <w:color w:val="000000"/>
                <w:sz w:val="14"/>
                <w:szCs w:val="14"/>
              </w:rPr>
              <w:t>-</w:t>
            </w:r>
          </w:p>
        </w:tc>
      </w:tr>
      <w:tr w:rsidR="005B0A27" w:rsidRPr="00872D7E" w14:paraId="3A44A9A8"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0B75732" w14:textId="77777777" w:rsidR="005B0A27" w:rsidRPr="00872D7E" w:rsidRDefault="005B0A27" w:rsidP="005B0A27">
            <w:pPr>
              <w:rPr>
                <w:color w:val="000000"/>
                <w:sz w:val="14"/>
                <w:szCs w:val="14"/>
              </w:rPr>
            </w:pPr>
            <w:r w:rsidRPr="00872D7E">
              <w:rPr>
                <w:color w:val="000000"/>
                <w:sz w:val="14"/>
                <w:szCs w:val="14"/>
              </w:rPr>
              <w:t>2.1.</w:t>
            </w:r>
          </w:p>
        </w:tc>
        <w:tc>
          <w:tcPr>
            <w:tcW w:w="1873" w:type="pct"/>
            <w:tcBorders>
              <w:top w:val="nil"/>
              <w:left w:val="nil"/>
              <w:bottom w:val="nil"/>
              <w:right w:val="nil"/>
            </w:tcBorders>
            <w:shd w:val="clear" w:color="auto" w:fill="auto"/>
            <w:hideMark/>
          </w:tcPr>
          <w:p w14:paraId="6498DF98" w14:textId="77777777" w:rsidR="005B0A27" w:rsidRPr="00872D7E" w:rsidRDefault="005B0A27" w:rsidP="005B0A27">
            <w:pPr>
              <w:rPr>
                <w:color w:val="000000"/>
                <w:sz w:val="14"/>
                <w:szCs w:val="14"/>
              </w:rPr>
            </w:pPr>
            <w:r w:rsidRPr="00872D7E">
              <w:rPr>
                <w:color w:val="000000"/>
                <w:sz w:val="14"/>
                <w:szCs w:val="14"/>
              </w:rPr>
              <w:t>Cayılamaz Taahhütler</w:t>
            </w:r>
          </w:p>
        </w:tc>
        <w:tc>
          <w:tcPr>
            <w:tcW w:w="372" w:type="pct"/>
            <w:tcBorders>
              <w:top w:val="nil"/>
              <w:left w:val="single" w:sz="4" w:space="0" w:color="auto"/>
              <w:bottom w:val="nil"/>
              <w:right w:val="single" w:sz="4" w:space="0" w:color="auto"/>
            </w:tcBorders>
            <w:shd w:val="clear" w:color="auto" w:fill="auto"/>
            <w:vAlign w:val="center"/>
            <w:hideMark/>
          </w:tcPr>
          <w:p w14:paraId="57C6C088"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ED4F3F9" w14:textId="77777777" w:rsidR="005B0A27" w:rsidRPr="00872D7E" w:rsidRDefault="005B0A27" w:rsidP="005B0A27">
            <w:pPr>
              <w:jc w:val="right"/>
              <w:rPr>
                <w:color w:val="000000"/>
                <w:sz w:val="14"/>
                <w:szCs w:val="14"/>
              </w:rPr>
            </w:pPr>
            <w:r w:rsidRPr="00872D7E">
              <w:rPr>
                <w:color w:val="000000"/>
                <w:sz w:val="14"/>
                <w:szCs w:val="14"/>
              </w:rPr>
              <w:t>3.486.632</w:t>
            </w:r>
          </w:p>
        </w:tc>
        <w:tc>
          <w:tcPr>
            <w:tcW w:w="413" w:type="pct"/>
            <w:tcBorders>
              <w:top w:val="nil"/>
              <w:left w:val="nil"/>
              <w:bottom w:val="nil"/>
              <w:right w:val="single" w:sz="4" w:space="0" w:color="auto"/>
            </w:tcBorders>
            <w:shd w:val="clear" w:color="000000" w:fill="FFFFFF"/>
            <w:noWrap/>
            <w:vAlign w:val="center"/>
            <w:hideMark/>
          </w:tcPr>
          <w:p w14:paraId="4AA09E1A" w14:textId="77777777" w:rsidR="005B0A27" w:rsidRPr="00872D7E" w:rsidRDefault="005B0A27" w:rsidP="005B0A27">
            <w:pPr>
              <w:jc w:val="right"/>
              <w:rPr>
                <w:color w:val="000000"/>
                <w:sz w:val="14"/>
                <w:szCs w:val="14"/>
              </w:rPr>
            </w:pPr>
            <w:r w:rsidRPr="00872D7E">
              <w:rPr>
                <w:color w:val="000000"/>
                <w:sz w:val="14"/>
                <w:szCs w:val="14"/>
              </w:rPr>
              <w:t>8.452.651</w:t>
            </w:r>
          </w:p>
        </w:tc>
        <w:tc>
          <w:tcPr>
            <w:tcW w:w="424" w:type="pct"/>
            <w:tcBorders>
              <w:top w:val="nil"/>
              <w:left w:val="nil"/>
              <w:bottom w:val="nil"/>
              <w:right w:val="single" w:sz="4" w:space="0" w:color="auto"/>
            </w:tcBorders>
            <w:shd w:val="clear" w:color="000000" w:fill="FFFFFF"/>
            <w:noWrap/>
            <w:vAlign w:val="center"/>
            <w:hideMark/>
          </w:tcPr>
          <w:p w14:paraId="0EDE3506" w14:textId="77777777" w:rsidR="005B0A27" w:rsidRPr="00872D7E" w:rsidRDefault="005B0A27" w:rsidP="005B0A27">
            <w:pPr>
              <w:jc w:val="right"/>
              <w:rPr>
                <w:color w:val="000000"/>
                <w:sz w:val="14"/>
                <w:szCs w:val="14"/>
              </w:rPr>
            </w:pPr>
            <w:r w:rsidRPr="00872D7E">
              <w:rPr>
                <w:color w:val="000000"/>
                <w:sz w:val="14"/>
                <w:szCs w:val="14"/>
              </w:rPr>
              <w:t>11.939.283</w:t>
            </w:r>
          </w:p>
        </w:tc>
        <w:tc>
          <w:tcPr>
            <w:tcW w:w="413" w:type="pct"/>
            <w:tcBorders>
              <w:top w:val="nil"/>
              <w:left w:val="nil"/>
              <w:bottom w:val="nil"/>
              <w:right w:val="single" w:sz="4" w:space="0" w:color="auto"/>
            </w:tcBorders>
            <w:shd w:val="clear" w:color="000000" w:fill="FFFFFF"/>
            <w:noWrap/>
            <w:vAlign w:val="center"/>
            <w:hideMark/>
          </w:tcPr>
          <w:p w14:paraId="7DA4D808"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800953B"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0969C8AF"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432060DC"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772D61D4" w14:textId="77777777" w:rsidR="005B0A27" w:rsidRPr="00872D7E" w:rsidRDefault="005B0A27" w:rsidP="005B0A27">
            <w:pPr>
              <w:rPr>
                <w:color w:val="000000"/>
                <w:sz w:val="14"/>
                <w:szCs w:val="14"/>
              </w:rPr>
            </w:pPr>
            <w:r w:rsidRPr="00872D7E">
              <w:rPr>
                <w:color w:val="000000"/>
                <w:sz w:val="14"/>
                <w:szCs w:val="14"/>
              </w:rPr>
              <w:t>2.1.1.</w:t>
            </w:r>
          </w:p>
        </w:tc>
        <w:tc>
          <w:tcPr>
            <w:tcW w:w="1873" w:type="pct"/>
            <w:tcBorders>
              <w:top w:val="nil"/>
              <w:left w:val="nil"/>
              <w:bottom w:val="nil"/>
              <w:right w:val="nil"/>
            </w:tcBorders>
            <w:shd w:val="clear" w:color="auto" w:fill="auto"/>
            <w:hideMark/>
          </w:tcPr>
          <w:p w14:paraId="230EED04" w14:textId="77777777" w:rsidR="005B0A27" w:rsidRPr="00872D7E" w:rsidRDefault="005B0A27" w:rsidP="005B0A27">
            <w:pPr>
              <w:rPr>
                <w:color w:val="000000"/>
                <w:sz w:val="14"/>
                <w:szCs w:val="14"/>
              </w:rPr>
            </w:pPr>
            <w:r w:rsidRPr="00872D7E">
              <w:rPr>
                <w:color w:val="000000"/>
                <w:sz w:val="14"/>
                <w:szCs w:val="14"/>
              </w:rPr>
              <w:t>Vadeli Aktif Değerler Alım-Satım Taahhütleri</w:t>
            </w:r>
          </w:p>
        </w:tc>
        <w:tc>
          <w:tcPr>
            <w:tcW w:w="372" w:type="pct"/>
            <w:tcBorders>
              <w:top w:val="nil"/>
              <w:left w:val="single" w:sz="4" w:space="0" w:color="auto"/>
              <w:bottom w:val="nil"/>
              <w:right w:val="single" w:sz="4" w:space="0" w:color="auto"/>
            </w:tcBorders>
            <w:shd w:val="clear" w:color="auto" w:fill="auto"/>
            <w:vAlign w:val="center"/>
            <w:hideMark/>
          </w:tcPr>
          <w:p w14:paraId="0EA7749E"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493193C9" w14:textId="77777777" w:rsidR="005B0A27" w:rsidRPr="00872D7E" w:rsidRDefault="005B0A27" w:rsidP="005B0A27">
            <w:pPr>
              <w:jc w:val="right"/>
              <w:rPr>
                <w:color w:val="000000"/>
                <w:sz w:val="14"/>
                <w:szCs w:val="14"/>
              </w:rPr>
            </w:pPr>
            <w:r w:rsidRPr="00872D7E">
              <w:rPr>
                <w:color w:val="000000"/>
                <w:sz w:val="14"/>
                <w:szCs w:val="14"/>
              </w:rPr>
              <w:t>3.486.632</w:t>
            </w:r>
          </w:p>
        </w:tc>
        <w:tc>
          <w:tcPr>
            <w:tcW w:w="413" w:type="pct"/>
            <w:tcBorders>
              <w:top w:val="nil"/>
              <w:left w:val="nil"/>
              <w:bottom w:val="nil"/>
              <w:right w:val="single" w:sz="4" w:space="0" w:color="auto"/>
            </w:tcBorders>
            <w:shd w:val="clear" w:color="000000" w:fill="FFFFFF"/>
            <w:noWrap/>
            <w:vAlign w:val="center"/>
            <w:hideMark/>
          </w:tcPr>
          <w:p w14:paraId="0DFF5D50" w14:textId="77777777" w:rsidR="005B0A27" w:rsidRPr="00872D7E" w:rsidRDefault="005B0A27" w:rsidP="005B0A27">
            <w:pPr>
              <w:jc w:val="right"/>
              <w:rPr>
                <w:color w:val="000000"/>
                <w:sz w:val="14"/>
                <w:szCs w:val="14"/>
              </w:rPr>
            </w:pPr>
            <w:r w:rsidRPr="00872D7E">
              <w:rPr>
                <w:color w:val="000000"/>
                <w:sz w:val="14"/>
                <w:szCs w:val="14"/>
              </w:rPr>
              <w:t>8.452.651</w:t>
            </w:r>
          </w:p>
        </w:tc>
        <w:tc>
          <w:tcPr>
            <w:tcW w:w="424" w:type="pct"/>
            <w:tcBorders>
              <w:top w:val="nil"/>
              <w:left w:val="nil"/>
              <w:bottom w:val="nil"/>
              <w:right w:val="single" w:sz="4" w:space="0" w:color="auto"/>
            </w:tcBorders>
            <w:shd w:val="clear" w:color="000000" w:fill="FFFFFF"/>
            <w:noWrap/>
            <w:vAlign w:val="center"/>
            <w:hideMark/>
          </w:tcPr>
          <w:p w14:paraId="18AB90FE" w14:textId="77777777" w:rsidR="005B0A27" w:rsidRPr="00872D7E" w:rsidRDefault="005B0A27" w:rsidP="005B0A27">
            <w:pPr>
              <w:jc w:val="right"/>
              <w:rPr>
                <w:color w:val="000000"/>
                <w:sz w:val="14"/>
                <w:szCs w:val="14"/>
              </w:rPr>
            </w:pPr>
            <w:r w:rsidRPr="00872D7E">
              <w:rPr>
                <w:color w:val="000000"/>
                <w:sz w:val="14"/>
                <w:szCs w:val="14"/>
              </w:rPr>
              <w:t>11.939.283</w:t>
            </w:r>
          </w:p>
        </w:tc>
        <w:tc>
          <w:tcPr>
            <w:tcW w:w="413" w:type="pct"/>
            <w:tcBorders>
              <w:top w:val="nil"/>
              <w:left w:val="nil"/>
              <w:bottom w:val="nil"/>
              <w:right w:val="single" w:sz="4" w:space="0" w:color="auto"/>
            </w:tcBorders>
            <w:shd w:val="clear" w:color="000000" w:fill="FFFFFF"/>
            <w:noWrap/>
            <w:vAlign w:val="center"/>
            <w:hideMark/>
          </w:tcPr>
          <w:p w14:paraId="08E62C5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13F5402"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75867AC2"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66BA9295"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4C30AB04" w14:textId="77777777" w:rsidR="005B0A27" w:rsidRPr="00872D7E" w:rsidRDefault="005B0A27" w:rsidP="005B0A27">
            <w:pPr>
              <w:rPr>
                <w:color w:val="000000"/>
                <w:sz w:val="14"/>
                <w:szCs w:val="14"/>
              </w:rPr>
            </w:pPr>
            <w:r w:rsidRPr="00872D7E">
              <w:rPr>
                <w:color w:val="000000"/>
                <w:sz w:val="14"/>
                <w:szCs w:val="14"/>
              </w:rPr>
              <w:t>2.1.2.</w:t>
            </w:r>
          </w:p>
        </w:tc>
        <w:tc>
          <w:tcPr>
            <w:tcW w:w="1873" w:type="pct"/>
            <w:tcBorders>
              <w:top w:val="nil"/>
              <w:left w:val="nil"/>
              <w:bottom w:val="nil"/>
              <w:right w:val="nil"/>
            </w:tcBorders>
            <w:shd w:val="clear" w:color="auto" w:fill="auto"/>
            <w:hideMark/>
          </w:tcPr>
          <w:p w14:paraId="021DA328" w14:textId="77777777" w:rsidR="005B0A27" w:rsidRPr="00872D7E" w:rsidRDefault="005B0A27" w:rsidP="005B0A27">
            <w:pPr>
              <w:rPr>
                <w:color w:val="000000"/>
                <w:sz w:val="14"/>
                <w:szCs w:val="14"/>
              </w:rPr>
            </w:pPr>
            <w:r w:rsidRPr="00872D7E">
              <w:rPr>
                <w:color w:val="000000"/>
                <w:sz w:val="14"/>
                <w:szCs w:val="14"/>
              </w:rPr>
              <w:t xml:space="preserve">İştir. </w:t>
            </w:r>
            <w:proofErr w:type="gramStart"/>
            <w:r w:rsidRPr="00872D7E">
              <w:rPr>
                <w:color w:val="000000"/>
                <w:sz w:val="14"/>
                <w:szCs w:val="14"/>
              </w:rPr>
              <w:t>ve</w:t>
            </w:r>
            <w:proofErr w:type="gramEnd"/>
            <w:r w:rsidRPr="00872D7E">
              <w:rPr>
                <w:color w:val="000000"/>
                <w:sz w:val="14"/>
                <w:szCs w:val="14"/>
              </w:rPr>
              <w:t xml:space="preserve"> Bağ. Ort. Ser. </w:t>
            </w:r>
            <w:proofErr w:type="spellStart"/>
            <w:r w:rsidRPr="00872D7E">
              <w:rPr>
                <w:color w:val="000000"/>
                <w:sz w:val="14"/>
                <w:szCs w:val="14"/>
              </w:rPr>
              <w:t>İşt</w:t>
            </w:r>
            <w:proofErr w:type="spellEnd"/>
            <w:r w:rsidRPr="00872D7E">
              <w:rPr>
                <w:color w:val="000000"/>
                <w:sz w:val="14"/>
                <w:szCs w:val="14"/>
              </w:rPr>
              <w:t xml:space="preserve">. Taahhütleri </w:t>
            </w:r>
          </w:p>
        </w:tc>
        <w:tc>
          <w:tcPr>
            <w:tcW w:w="372" w:type="pct"/>
            <w:tcBorders>
              <w:top w:val="nil"/>
              <w:left w:val="single" w:sz="4" w:space="0" w:color="auto"/>
              <w:bottom w:val="nil"/>
              <w:right w:val="single" w:sz="4" w:space="0" w:color="auto"/>
            </w:tcBorders>
            <w:shd w:val="clear" w:color="auto" w:fill="auto"/>
            <w:vAlign w:val="center"/>
            <w:hideMark/>
          </w:tcPr>
          <w:p w14:paraId="4608DBD2"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5CE5DA29"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8EF43B0"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0E04AD41"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47742E5"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E4E3271"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8F1FE6E"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3B4AB050"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E96490E" w14:textId="77777777" w:rsidR="005B0A27" w:rsidRPr="00872D7E" w:rsidRDefault="005B0A27" w:rsidP="005B0A27">
            <w:pPr>
              <w:rPr>
                <w:color w:val="000000"/>
                <w:sz w:val="14"/>
                <w:szCs w:val="14"/>
              </w:rPr>
            </w:pPr>
            <w:r w:rsidRPr="00872D7E">
              <w:rPr>
                <w:color w:val="000000"/>
                <w:sz w:val="14"/>
                <w:szCs w:val="14"/>
              </w:rPr>
              <w:t>2.1.3.</w:t>
            </w:r>
          </w:p>
        </w:tc>
        <w:tc>
          <w:tcPr>
            <w:tcW w:w="1873" w:type="pct"/>
            <w:tcBorders>
              <w:top w:val="nil"/>
              <w:left w:val="nil"/>
              <w:bottom w:val="nil"/>
              <w:right w:val="nil"/>
            </w:tcBorders>
            <w:shd w:val="clear" w:color="auto" w:fill="auto"/>
            <w:hideMark/>
          </w:tcPr>
          <w:p w14:paraId="067D5948" w14:textId="77777777" w:rsidR="005B0A27" w:rsidRPr="00872D7E" w:rsidRDefault="005B0A27" w:rsidP="005B0A27">
            <w:pPr>
              <w:rPr>
                <w:color w:val="000000"/>
                <w:sz w:val="14"/>
                <w:szCs w:val="14"/>
              </w:rPr>
            </w:pPr>
            <w:r w:rsidRPr="00872D7E">
              <w:rPr>
                <w:color w:val="000000"/>
                <w:sz w:val="14"/>
                <w:szCs w:val="14"/>
              </w:rPr>
              <w:t>Kullandırma Garantili Kredi Tahsis Taahhütleri</w:t>
            </w:r>
          </w:p>
        </w:tc>
        <w:tc>
          <w:tcPr>
            <w:tcW w:w="372" w:type="pct"/>
            <w:tcBorders>
              <w:top w:val="nil"/>
              <w:left w:val="single" w:sz="4" w:space="0" w:color="auto"/>
              <w:bottom w:val="nil"/>
              <w:right w:val="single" w:sz="4" w:space="0" w:color="auto"/>
            </w:tcBorders>
            <w:shd w:val="clear" w:color="auto" w:fill="auto"/>
            <w:vAlign w:val="center"/>
            <w:hideMark/>
          </w:tcPr>
          <w:p w14:paraId="11D6E5AB"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C3581AC"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BBC984D"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7D2B7C5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84E028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3C4B942"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1D03F13F"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3A0A72E5"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3B5AD045" w14:textId="77777777" w:rsidR="005B0A27" w:rsidRPr="00872D7E" w:rsidRDefault="005B0A27" w:rsidP="005B0A27">
            <w:pPr>
              <w:rPr>
                <w:color w:val="000000"/>
                <w:sz w:val="14"/>
                <w:szCs w:val="14"/>
              </w:rPr>
            </w:pPr>
            <w:r w:rsidRPr="00872D7E">
              <w:rPr>
                <w:color w:val="000000"/>
                <w:sz w:val="14"/>
                <w:szCs w:val="14"/>
              </w:rPr>
              <w:t>2.1.4.</w:t>
            </w:r>
          </w:p>
        </w:tc>
        <w:tc>
          <w:tcPr>
            <w:tcW w:w="1873" w:type="pct"/>
            <w:tcBorders>
              <w:top w:val="nil"/>
              <w:left w:val="nil"/>
              <w:bottom w:val="nil"/>
              <w:right w:val="nil"/>
            </w:tcBorders>
            <w:shd w:val="clear" w:color="auto" w:fill="auto"/>
            <w:hideMark/>
          </w:tcPr>
          <w:p w14:paraId="25F4AD6D" w14:textId="77777777" w:rsidR="005B0A27" w:rsidRPr="00872D7E" w:rsidRDefault="005B0A27" w:rsidP="005B0A27">
            <w:pPr>
              <w:rPr>
                <w:color w:val="000000"/>
                <w:sz w:val="14"/>
                <w:szCs w:val="14"/>
              </w:rPr>
            </w:pPr>
            <w:r w:rsidRPr="00872D7E">
              <w:rPr>
                <w:color w:val="000000"/>
                <w:sz w:val="14"/>
                <w:szCs w:val="14"/>
              </w:rPr>
              <w:t>Menkul Kıymet İhracına Aracılık Taahhütleri</w:t>
            </w:r>
          </w:p>
        </w:tc>
        <w:tc>
          <w:tcPr>
            <w:tcW w:w="372" w:type="pct"/>
            <w:tcBorders>
              <w:top w:val="nil"/>
              <w:left w:val="single" w:sz="4" w:space="0" w:color="auto"/>
              <w:bottom w:val="nil"/>
              <w:right w:val="single" w:sz="4" w:space="0" w:color="auto"/>
            </w:tcBorders>
            <w:shd w:val="clear" w:color="auto" w:fill="auto"/>
            <w:vAlign w:val="center"/>
            <w:hideMark/>
          </w:tcPr>
          <w:p w14:paraId="36ADF794"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4AFFBF75"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060CB69"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2C68682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C70F81D"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4EB36BE"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E9FF86E"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377F9DB9"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3DE69A5A" w14:textId="77777777" w:rsidR="005B0A27" w:rsidRPr="00872D7E" w:rsidRDefault="005B0A27" w:rsidP="005B0A27">
            <w:pPr>
              <w:rPr>
                <w:color w:val="000000"/>
                <w:sz w:val="14"/>
                <w:szCs w:val="14"/>
              </w:rPr>
            </w:pPr>
            <w:r w:rsidRPr="00872D7E">
              <w:rPr>
                <w:color w:val="000000"/>
                <w:sz w:val="14"/>
                <w:szCs w:val="14"/>
              </w:rPr>
              <w:t>2.1.5.</w:t>
            </w:r>
          </w:p>
        </w:tc>
        <w:tc>
          <w:tcPr>
            <w:tcW w:w="1873" w:type="pct"/>
            <w:tcBorders>
              <w:top w:val="nil"/>
              <w:left w:val="nil"/>
              <w:bottom w:val="nil"/>
              <w:right w:val="nil"/>
            </w:tcBorders>
            <w:shd w:val="clear" w:color="auto" w:fill="auto"/>
            <w:hideMark/>
          </w:tcPr>
          <w:p w14:paraId="52BC3C65" w14:textId="77777777" w:rsidR="005B0A27" w:rsidRPr="00872D7E" w:rsidRDefault="005B0A27" w:rsidP="005B0A27">
            <w:pPr>
              <w:rPr>
                <w:color w:val="000000"/>
                <w:sz w:val="14"/>
                <w:szCs w:val="14"/>
              </w:rPr>
            </w:pPr>
            <w:r w:rsidRPr="00872D7E">
              <w:rPr>
                <w:color w:val="000000"/>
                <w:sz w:val="14"/>
                <w:szCs w:val="14"/>
              </w:rPr>
              <w:t>Zorunlu Karşılık Ödeme Taahhüdü</w:t>
            </w:r>
          </w:p>
        </w:tc>
        <w:tc>
          <w:tcPr>
            <w:tcW w:w="372" w:type="pct"/>
            <w:tcBorders>
              <w:top w:val="nil"/>
              <w:left w:val="single" w:sz="4" w:space="0" w:color="auto"/>
              <w:bottom w:val="nil"/>
              <w:right w:val="single" w:sz="4" w:space="0" w:color="auto"/>
            </w:tcBorders>
            <w:shd w:val="clear" w:color="auto" w:fill="auto"/>
            <w:vAlign w:val="center"/>
            <w:hideMark/>
          </w:tcPr>
          <w:p w14:paraId="1A65D665"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4FDEA32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B25ED6E"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69125BC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05760F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330D49B"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7358FA1A"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33727094"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35D299CD" w14:textId="77777777" w:rsidR="005B0A27" w:rsidRPr="00872D7E" w:rsidRDefault="005B0A27" w:rsidP="005B0A27">
            <w:pPr>
              <w:rPr>
                <w:color w:val="000000"/>
                <w:sz w:val="14"/>
                <w:szCs w:val="14"/>
              </w:rPr>
            </w:pPr>
            <w:r w:rsidRPr="00872D7E">
              <w:rPr>
                <w:color w:val="000000"/>
                <w:sz w:val="14"/>
                <w:szCs w:val="14"/>
              </w:rPr>
              <w:t>2.1.6.</w:t>
            </w:r>
          </w:p>
        </w:tc>
        <w:tc>
          <w:tcPr>
            <w:tcW w:w="1873" w:type="pct"/>
            <w:tcBorders>
              <w:top w:val="nil"/>
              <w:left w:val="nil"/>
              <w:bottom w:val="nil"/>
              <w:right w:val="nil"/>
            </w:tcBorders>
            <w:shd w:val="clear" w:color="auto" w:fill="auto"/>
            <w:hideMark/>
          </w:tcPr>
          <w:p w14:paraId="6B630DE9" w14:textId="77777777" w:rsidR="005B0A27" w:rsidRPr="00872D7E" w:rsidRDefault="005B0A27" w:rsidP="005B0A27">
            <w:pPr>
              <w:rPr>
                <w:color w:val="000000"/>
                <w:sz w:val="14"/>
                <w:szCs w:val="14"/>
              </w:rPr>
            </w:pPr>
            <w:r w:rsidRPr="00872D7E">
              <w:rPr>
                <w:color w:val="000000"/>
                <w:sz w:val="14"/>
                <w:szCs w:val="14"/>
              </w:rPr>
              <w:t>Çekler İçin Ödeme Taahhütleri</w:t>
            </w:r>
          </w:p>
        </w:tc>
        <w:tc>
          <w:tcPr>
            <w:tcW w:w="372" w:type="pct"/>
            <w:tcBorders>
              <w:top w:val="nil"/>
              <w:left w:val="single" w:sz="4" w:space="0" w:color="auto"/>
              <w:bottom w:val="nil"/>
              <w:right w:val="single" w:sz="4" w:space="0" w:color="auto"/>
            </w:tcBorders>
            <w:shd w:val="clear" w:color="auto" w:fill="auto"/>
            <w:vAlign w:val="center"/>
            <w:hideMark/>
          </w:tcPr>
          <w:p w14:paraId="52198593"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82641D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EB82B4C"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6A61CEC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547D0FD"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F294210"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1CD85CF2"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7D932BEE"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4855AE3D" w14:textId="77777777" w:rsidR="005B0A27" w:rsidRPr="00872D7E" w:rsidRDefault="005B0A27" w:rsidP="005B0A27">
            <w:pPr>
              <w:rPr>
                <w:color w:val="000000"/>
                <w:sz w:val="14"/>
                <w:szCs w:val="14"/>
              </w:rPr>
            </w:pPr>
            <w:r w:rsidRPr="00872D7E">
              <w:rPr>
                <w:color w:val="000000"/>
                <w:sz w:val="14"/>
                <w:szCs w:val="14"/>
              </w:rPr>
              <w:t>2.1.7.</w:t>
            </w:r>
          </w:p>
        </w:tc>
        <w:tc>
          <w:tcPr>
            <w:tcW w:w="1873" w:type="pct"/>
            <w:tcBorders>
              <w:top w:val="nil"/>
              <w:left w:val="nil"/>
              <w:bottom w:val="nil"/>
              <w:right w:val="nil"/>
            </w:tcBorders>
            <w:shd w:val="clear" w:color="auto" w:fill="auto"/>
            <w:hideMark/>
          </w:tcPr>
          <w:p w14:paraId="1A0A3726" w14:textId="77777777" w:rsidR="005B0A27" w:rsidRPr="00872D7E" w:rsidRDefault="005B0A27" w:rsidP="005B0A27">
            <w:pPr>
              <w:rPr>
                <w:color w:val="000000"/>
                <w:sz w:val="14"/>
                <w:szCs w:val="14"/>
              </w:rPr>
            </w:pPr>
            <w:r w:rsidRPr="00872D7E">
              <w:rPr>
                <w:color w:val="000000"/>
                <w:sz w:val="14"/>
                <w:szCs w:val="14"/>
              </w:rPr>
              <w:t xml:space="preserve">İhracat Taahhütlerinden Kaynaklanan Vergi </w:t>
            </w:r>
            <w:proofErr w:type="gramStart"/>
            <w:r w:rsidRPr="00872D7E">
              <w:rPr>
                <w:color w:val="000000"/>
                <w:sz w:val="14"/>
                <w:szCs w:val="14"/>
              </w:rPr>
              <w:t>Ve</w:t>
            </w:r>
            <w:proofErr w:type="gramEnd"/>
            <w:r w:rsidRPr="00872D7E">
              <w:rPr>
                <w:color w:val="000000"/>
                <w:sz w:val="14"/>
                <w:szCs w:val="14"/>
              </w:rPr>
              <w:t xml:space="preserve"> Fon Yükümlülükleri</w:t>
            </w:r>
          </w:p>
        </w:tc>
        <w:tc>
          <w:tcPr>
            <w:tcW w:w="372" w:type="pct"/>
            <w:tcBorders>
              <w:top w:val="nil"/>
              <w:left w:val="single" w:sz="4" w:space="0" w:color="auto"/>
              <w:bottom w:val="nil"/>
              <w:right w:val="single" w:sz="4" w:space="0" w:color="auto"/>
            </w:tcBorders>
            <w:shd w:val="clear" w:color="auto" w:fill="auto"/>
            <w:vAlign w:val="center"/>
            <w:hideMark/>
          </w:tcPr>
          <w:p w14:paraId="14F2703E"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3C8C048"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785681E"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13F8183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FC5131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679A2BC"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7364D02C"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1DE46B1B"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20944B9" w14:textId="77777777" w:rsidR="005B0A27" w:rsidRPr="00872D7E" w:rsidRDefault="005B0A27" w:rsidP="005B0A27">
            <w:pPr>
              <w:rPr>
                <w:color w:val="000000"/>
                <w:sz w:val="14"/>
                <w:szCs w:val="14"/>
              </w:rPr>
            </w:pPr>
            <w:r w:rsidRPr="00872D7E">
              <w:rPr>
                <w:color w:val="000000"/>
                <w:sz w:val="14"/>
                <w:szCs w:val="14"/>
              </w:rPr>
              <w:t>2.1.8.</w:t>
            </w:r>
          </w:p>
        </w:tc>
        <w:tc>
          <w:tcPr>
            <w:tcW w:w="1873" w:type="pct"/>
            <w:tcBorders>
              <w:top w:val="nil"/>
              <w:left w:val="nil"/>
              <w:bottom w:val="nil"/>
              <w:right w:val="nil"/>
            </w:tcBorders>
            <w:shd w:val="clear" w:color="auto" w:fill="auto"/>
            <w:hideMark/>
          </w:tcPr>
          <w:p w14:paraId="089E190B" w14:textId="77777777" w:rsidR="005B0A27" w:rsidRPr="00872D7E" w:rsidRDefault="005B0A27" w:rsidP="005B0A27">
            <w:pPr>
              <w:rPr>
                <w:color w:val="000000"/>
                <w:sz w:val="14"/>
                <w:szCs w:val="14"/>
              </w:rPr>
            </w:pPr>
            <w:r w:rsidRPr="00872D7E">
              <w:rPr>
                <w:color w:val="000000"/>
                <w:sz w:val="14"/>
                <w:szCs w:val="14"/>
              </w:rPr>
              <w:t>Kredi Kartı Harcama Limit Taahhütleri</w:t>
            </w:r>
          </w:p>
        </w:tc>
        <w:tc>
          <w:tcPr>
            <w:tcW w:w="372" w:type="pct"/>
            <w:tcBorders>
              <w:top w:val="nil"/>
              <w:left w:val="single" w:sz="4" w:space="0" w:color="auto"/>
              <w:bottom w:val="nil"/>
              <w:right w:val="single" w:sz="4" w:space="0" w:color="auto"/>
            </w:tcBorders>
            <w:shd w:val="clear" w:color="auto" w:fill="auto"/>
            <w:vAlign w:val="center"/>
            <w:hideMark/>
          </w:tcPr>
          <w:p w14:paraId="34337870"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5A0386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EA1A256"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79DD96E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4F4128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278D994"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13FF69B"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06B1D00D"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5EEDB9A2" w14:textId="77777777" w:rsidR="005B0A27" w:rsidRPr="00872D7E" w:rsidRDefault="005B0A27" w:rsidP="005B0A27">
            <w:pPr>
              <w:rPr>
                <w:color w:val="000000"/>
                <w:sz w:val="14"/>
                <w:szCs w:val="14"/>
              </w:rPr>
            </w:pPr>
            <w:r w:rsidRPr="00872D7E">
              <w:rPr>
                <w:color w:val="000000"/>
                <w:sz w:val="14"/>
                <w:szCs w:val="14"/>
              </w:rPr>
              <w:t>2.1.9.</w:t>
            </w:r>
          </w:p>
        </w:tc>
        <w:tc>
          <w:tcPr>
            <w:tcW w:w="1873" w:type="pct"/>
            <w:tcBorders>
              <w:top w:val="nil"/>
              <w:left w:val="nil"/>
              <w:bottom w:val="nil"/>
              <w:right w:val="nil"/>
            </w:tcBorders>
            <w:shd w:val="clear" w:color="auto" w:fill="auto"/>
            <w:hideMark/>
          </w:tcPr>
          <w:p w14:paraId="60F758FC" w14:textId="77777777" w:rsidR="005B0A27" w:rsidRPr="00872D7E" w:rsidRDefault="005B0A27" w:rsidP="005B0A27">
            <w:pPr>
              <w:rPr>
                <w:color w:val="000000"/>
                <w:sz w:val="14"/>
                <w:szCs w:val="14"/>
              </w:rPr>
            </w:pPr>
            <w:r w:rsidRPr="00872D7E">
              <w:rPr>
                <w:color w:val="000000"/>
                <w:sz w:val="14"/>
                <w:szCs w:val="14"/>
              </w:rPr>
              <w:t>Kredi Kartları ve Bankacılık Hizmetlerine İlişkin Promosyon Uygulama Taahhütleri</w:t>
            </w:r>
          </w:p>
        </w:tc>
        <w:tc>
          <w:tcPr>
            <w:tcW w:w="372" w:type="pct"/>
            <w:tcBorders>
              <w:top w:val="nil"/>
              <w:left w:val="single" w:sz="4" w:space="0" w:color="auto"/>
              <w:bottom w:val="nil"/>
              <w:right w:val="single" w:sz="4" w:space="0" w:color="auto"/>
            </w:tcBorders>
            <w:shd w:val="clear" w:color="auto" w:fill="auto"/>
            <w:vAlign w:val="center"/>
            <w:hideMark/>
          </w:tcPr>
          <w:p w14:paraId="0C1DB349"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6A73B509"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3F4F8FA"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18007F71"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625C5D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2231D32"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823F66F"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7E174B21"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E874063" w14:textId="77777777" w:rsidR="005B0A27" w:rsidRPr="00872D7E" w:rsidRDefault="005B0A27" w:rsidP="005B0A27">
            <w:pPr>
              <w:rPr>
                <w:color w:val="000000"/>
                <w:sz w:val="14"/>
                <w:szCs w:val="14"/>
              </w:rPr>
            </w:pPr>
            <w:r w:rsidRPr="00872D7E">
              <w:rPr>
                <w:color w:val="000000"/>
                <w:sz w:val="14"/>
                <w:szCs w:val="14"/>
              </w:rPr>
              <w:t>2.1.10.</w:t>
            </w:r>
          </w:p>
        </w:tc>
        <w:tc>
          <w:tcPr>
            <w:tcW w:w="1873" w:type="pct"/>
            <w:tcBorders>
              <w:top w:val="nil"/>
              <w:left w:val="nil"/>
              <w:bottom w:val="nil"/>
              <w:right w:val="nil"/>
            </w:tcBorders>
            <w:shd w:val="clear" w:color="auto" w:fill="auto"/>
            <w:hideMark/>
          </w:tcPr>
          <w:p w14:paraId="55BE029C" w14:textId="77777777" w:rsidR="005B0A27" w:rsidRPr="00872D7E" w:rsidRDefault="005B0A27" w:rsidP="005B0A27">
            <w:pPr>
              <w:rPr>
                <w:color w:val="000000"/>
                <w:sz w:val="14"/>
                <w:szCs w:val="14"/>
              </w:rPr>
            </w:pPr>
            <w:r w:rsidRPr="00872D7E">
              <w:rPr>
                <w:color w:val="000000"/>
                <w:sz w:val="14"/>
                <w:szCs w:val="14"/>
              </w:rPr>
              <w:t>Açığa Menkul Kıymet Satış Taahhütlerinden Alacaklar</w:t>
            </w:r>
          </w:p>
        </w:tc>
        <w:tc>
          <w:tcPr>
            <w:tcW w:w="372" w:type="pct"/>
            <w:tcBorders>
              <w:top w:val="nil"/>
              <w:left w:val="single" w:sz="4" w:space="0" w:color="auto"/>
              <w:bottom w:val="nil"/>
              <w:right w:val="single" w:sz="4" w:space="0" w:color="auto"/>
            </w:tcBorders>
            <w:shd w:val="clear" w:color="auto" w:fill="auto"/>
            <w:vAlign w:val="center"/>
            <w:hideMark/>
          </w:tcPr>
          <w:p w14:paraId="75770332"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1C27DE9"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D655173"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42F281B8"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C673A9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F40CA3D"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039B7655"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3AEA7BCA"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5EAA304A" w14:textId="77777777" w:rsidR="005B0A27" w:rsidRPr="00872D7E" w:rsidRDefault="005B0A27" w:rsidP="005B0A27">
            <w:pPr>
              <w:rPr>
                <w:color w:val="000000"/>
                <w:sz w:val="14"/>
                <w:szCs w:val="14"/>
              </w:rPr>
            </w:pPr>
            <w:r w:rsidRPr="00872D7E">
              <w:rPr>
                <w:color w:val="000000"/>
                <w:sz w:val="14"/>
                <w:szCs w:val="14"/>
              </w:rPr>
              <w:t>2.1.11.</w:t>
            </w:r>
          </w:p>
        </w:tc>
        <w:tc>
          <w:tcPr>
            <w:tcW w:w="1873" w:type="pct"/>
            <w:tcBorders>
              <w:top w:val="nil"/>
              <w:left w:val="nil"/>
              <w:bottom w:val="nil"/>
              <w:right w:val="nil"/>
            </w:tcBorders>
            <w:shd w:val="clear" w:color="auto" w:fill="auto"/>
            <w:hideMark/>
          </w:tcPr>
          <w:p w14:paraId="420B781A" w14:textId="77777777" w:rsidR="005B0A27" w:rsidRPr="00872D7E" w:rsidRDefault="005B0A27" w:rsidP="005B0A27">
            <w:pPr>
              <w:rPr>
                <w:color w:val="000000"/>
                <w:sz w:val="14"/>
                <w:szCs w:val="14"/>
              </w:rPr>
            </w:pPr>
            <w:r w:rsidRPr="00872D7E">
              <w:rPr>
                <w:color w:val="000000"/>
                <w:sz w:val="14"/>
                <w:szCs w:val="14"/>
              </w:rPr>
              <w:t>Açığa Menkul Kıymet Satış Taahhütlerinden Borçlar</w:t>
            </w:r>
          </w:p>
        </w:tc>
        <w:tc>
          <w:tcPr>
            <w:tcW w:w="372" w:type="pct"/>
            <w:tcBorders>
              <w:top w:val="nil"/>
              <w:left w:val="single" w:sz="4" w:space="0" w:color="auto"/>
              <w:bottom w:val="nil"/>
              <w:right w:val="single" w:sz="4" w:space="0" w:color="auto"/>
            </w:tcBorders>
            <w:shd w:val="clear" w:color="auto" w:fill="auto"/>
            <w:vAlign w:val="center"/>
            <w:hideMark/>
          </w:tcPr>
          <w:p w14:paraId="4D0B4287"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4404210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D736679"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7F2F2FD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04BE728"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AEFDA74"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E9C3D5A"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776C1F7A"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509BC2E8" w14:textId="77777777" w:rsidR="005B0A27" w:rsidRPr="00872D7E" w:rsidRDefault="005B0A27" w:rsidP="005B0A27">
            <w:pPr>
              <w:rPr>
                <w:color w:val="000000"/>
                <w:sz w:val="14"/>
                <w:szCs w:val="14"/>
              </w:rPr>
            </w:pPr>
            <w:r w:rsidRPr="00872D7E">
              <w:rPr>
                <w:color w:val="000000"/>
                <w:sz w:val="14"/>
                <w:szCs w:val="14"/>
              </w:rPr>
              <w:t>2.1.12.</w:t>
            </w:r>
          </w:p>
        </w:tc>
        <w:tc>
          <w:tcPr>
            <w:tcW w:w="1873" w:type="pct"/>
            <w:tcBorders>
              <w:top w:val="nil"/>
              <w:left w:val="nil"/>
              <w:bottom w:val="nil"/>
              <w:right w:val="nil"/>
            </w:tcBorders>
            <w:shd w:val="clear" w:color="auto" w:fill="auto"/>
            <w:hideMark/>
          </w:tcPr>
          <w:p w14:paraId="029125E9" w14:textId="77777777" w:rsidR="005B0A27" w:rsidRPr="00872D7E" w:rsidRDefault="005B0A27" w:rsidP="005B0A27">
            <w:pPr>
              <w:rPr>
                <w:color w:val="000000"/>
                <w:sz w:val="14"/>
                <w:szCs w:val="14"/>
              </w:rPr>
            </w:pPr>
            <w:r w:rsidRPr="00872D7E">
              <w:rPr>
                <w:color w:val="000000"/>
                <w:sz w:val="14"/>
                <w:szCs w:val="14"/>
              </w:rPr>
              <w:t>Diğer Cayılamaz Taahhütler</w:t>
            </w:r>
          </w:p>
        </w:tc>
        <w:tc>
          <w:tcPr>
            <w:tcW w:w="372" w:type="pct"/>
            <w:tcBorders>
              <w:top w:val="nil"/>
              <w:left w:val="single" w:sz="4" w:space="0" w:color="auto"/>
              <w:bottom w:val="nil"/>
              <w:right w:val="single" w:sz="4" w:space="0" w:color="auto"/>
            </w:tcBorders>
            <w:shd w:val="clear" w:color="auto" w:fill="auto"/>
            <w:vAlign w:val="center"/>
            <w:hideMark/>
          </w:tcPr>
          <w:p w14:paraId="15681724"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554C7C19"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241A884"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5BEABD3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769211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7269DAE"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1F7C1CDD"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56253DC8"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0A007952" w14:textId="77777777" w:rsidR="005B0A27" w:rsidRPr="00872D7E" w:rsidRDefault="005B0A27" w:rsidP="005B0A27">
            <w:pPr>
              <w:rPr>
                <w:color w:val="000000"/>
                <w:sz w:val="14"/>
                <w:szCs w:val="14"/>
              </w:rPr>
            </w:pPr>
            <w:r w:rsidRPr="00872D7E">
              <w:rPr>
                <w:color w:val="000000"/>
                <w:sz w:val="14"/>
                <w:szCs w:val="14"/>
              </w:rPr>
              <w:t>2.2.</w:t>
            </w:r>
          </w:p>
        </w:tc>
        <w:tc>
          <w:tcPr>
            <w:tcW w:w="1873" w:type="pct"/>
            <w:tcBorders>
              <w:top w:val="nil"/>
              <w:left w:val="nil"/>
              <w:bottom w:val="nil"/>
              <w:right w:val="nil"/>
            </w:tcBorders>
            <w:shd w:val="clear" w:color="auto" w:fill="auto"/>
            <w:hideMark/>
          </w:tcPr>
          <w:p w14:paraId="4F3AE4C7" w14:textId="77777777" w:rsidR="005B0A27" w:rsidRPr="00872D7E" w:rsidRDefault="005B0A27" w:rsidP="005B0A27">
            <w:pPr>
              <w:rPr>
                <w:color w:val="000000"/>
                <w:sz w:val="14"/>
                <w:szCs w:val="14"/>
              </w:rPr>
            </w:pPr>
            <w:r w:rsidRPr="00872D7E">
              <w:rPr>
                <w:color w:val="000000"/>
                <w:sz w:val="14"/>
                <w:szCs w:val="14"/>
              </w:rPr>
              <w:t>Cayılabilir Taahhütler</w:t>
            </w:r>
          </w:p>
        </w:tc>
        <w:tc>
          <w:tcPr>
            <w:tcW w:w="372" w:type="pct"/>
            <w:tcBorders>
              <w:top w:val="nil"/>
              <w:left w:val="single" w:sz="4" w:space="0" w:color="auto"/>
              <w:bottom w:val="nil"/>
              <w:right w:val="single" w:sz="4" w:space="0" w:color="auto"/>
            </w:tcBorders>
            <w:shd w:val="clear" w:color="auto" w:fill="auto"/>
            <w:vAlign w:val="center"/>
            <w:hideMark/>
          </w:tcPr>
          <w:p w14:paraId="216783A8"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1B3283F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BFCB26D"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285605CC"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72922E1"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02BB4F4"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37C9DCB8"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7E3D1068"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DC011AC" w14:textId="77777777" w:rsidR="005B0A27" w:rsidRPr="00872D7E" w:rsidRDefault="005B0A27" w:rsidP="005B0A27">
            <w:pPr>
              <w:rPr>
                <w:color w:val="000000"/>
                <w:sz w:val="14"/>
                <w:szCs w:val="14"/>
              </w:rPr>
            </w:pPr>
            <w:r w:rsidRPr="00872D7E">
              <w:rPr>
                <w:color w:val="000000"/>
                <w:sz w:val="14"/>
                <w:szCs w:val="14"/>
              </w:rPr>
              <w:t>2.2.1.</w:t>
            </w:r>
          </w:p>
        </w:tc>
        <w:tc>
          <w:tcPr>
            <w:tcW w:w="1873" w:type="pct"/>
            <w:tcBorders>
              <w:top w:val="nil"/>
              <w:left w:val="nil"/>
              <w:bottom w:val="nil"/>
              <w:right w:val="nil"/>
            </w:tcBorders>
            <w:shd w:val="clear" w:color="auto" w:fill="auto"/>
            <w:hideMark/>
          </w:tcPr>
          <w:p w14:paraId="7C72E286" w14:textId="77777777" w:rsidR="005B0A27" w:rsidRPr="00872D7E" w:rsidRDefault="005B0A27" w:rsidP="005B0A27">
            <w:pPr>
              <w:rPr>
                <w:color w:val="000000"/>
                <w:sz w:val="14"/>
                <w:szCs w:val="14"/>
              </w:rPr>
            </w:pPr>
            <w:r w:rsidRPr="00872D7E">
              <w:rPr>
                <w:color w:val="000000"/>
                <w:sz w:val="14"/>
                <w:szCs w:val="14"/>
              </w:rPr>
              <w:t>Cayılabilir Kredi Tahsis Taahhütleri</w:t>
            </w:r>
          </w:p>
        </w:tc>
        <w:tc>
          <w:tcPr>
            <w:tcW w:w="372" w:type="pct"/>
            <w:tcBorders>
              <w:top w:val="nil"/>
              <w:left w:val="single" w:sz="4" w:space="0" w:color="auto"/>
              <w:bottom w:val="nil"/>
              <w:right w:val="single" w:sz="4" w:space="0" w:color="auto"/>
            </w:tcBorders>
            <w:shd w:val="clear" w:color="auto" w:fill="auto"/>
            <w:vAlign w:val="center"/>
            <w:hideMark/>
          </w:tcPr>
          <w:p w14:paraId="5E693660"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0557D8E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6297342"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4F37742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D70F44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1594E3F"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A1B8EAB"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59196EC5"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07AB6144" w14:textId="77777777" w:rsidR="005B0A27" w:rsidRPr="00872D7E" w:rsidRDefault="005B0A27" w:rsidP="005B0A27">
            <w:pPr>
              <w:rPr>
                <w:color w:val="000000"/>
                <w:sz w:val="14"/>
                <w:szCs w:val="14"/>
              </w:rPr>
            </w:pPr>
            <w:r w:rsidRPr="00872D7E">
              <w:rPr>
                <w:color w:val="000000"/>
                <w:sz w:val="14"/>
                <w:szCs w:val="14"/>
              </w:rPr>
              <w:t>2.2.2.</w:t>
            </w:r>
          </w:p>
        </w:tc>
        <w:tc>
          <w:tcPr>
            <w:tcW w:w="1873" w:type="pct"/>
            <w:tcBorders>
              <w:top w:val="nil"/>
              <w:left w:val="nil"/>
              <w:bottom w:val="nil"/>
              <w:right w:val="nil"/>
            </w:tcBorders>
            <w:shd w:val="clear" w:color="auto" w:fill="auto"/>
            <w:hideMark/>
          </w:tcPr>
          <w:p w14:paraId="54BF2E5E" w14:textId="77777777" w:rsidR="005B0A27" w:rsidRPr="00872D7E" w:rsidRDefault="005B0A27" w:rsidP="005B0A27">
            <w:pPr>
              <w:rPr>
                <w:color w:val="000000"/>
                <w:sz w:val="14"/>
                <w:szCs w:val="14"/>
              </w:rPr>
            </w:pPr>
            <w:r w:rsidRPr="00872D7E">
              <w:rPr>
                <w:color w:val="000000"/>
                <w:sz w:val="14"/>
                <w:szCs w:val="14"/>
              </w:rPr>
              <w:t>Diğer Cayılabilir Taahhütler</w:t>
            </w:r>
          </w:p>
        </w:tc>
        <w:tc>
          <w:tcPr>
            <w:tcW w:w="372" w:type="pct"/>
            <w:tcBorders>
              <w:top w:val="nil"/>
              <w:left w:val="single" w:sz="4" w:space="0" w:color="auto"/>
              <w:bottom w:val="nil"/>
              <w:right w:val="single" w:sz="4" w:space="0" w:color="auto"/>
            </w:tcBorders>
            <w:shd w:val="clear" w:color="auto" w:fill="auto"/>
            <w:vAlign w:val="center"/>
            <w:hideMark/>
          </w:tcPr>
          <w:p w14:paraId="45629C9F"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31F5CB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535F530"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520BF83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03D7420"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09CC0EC"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8A1FAA5"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4A7C9AC1"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3FBB6BCF" w14:textId="77777777" w:rsidR="005B0A27" w:rsidRPr="00872D7E" w:rsidRDefault="005B0A27" w:rsidP="005B0A27">
            <w:pPr>
              <w:rPr>
                <w:b/>
                <w:bCs/>
                <w:color w:val="000000"/>
                <w:sz w:val="14"/>
                <w:szCs w:val="14"/>
              </w:rPr>
            </w:pPr>
            <w:r w:rsidRPr="00872D7E">
              <w:rPr>
                <w:b/>
                <w:bCs/>
                <w:color w:val="000000"/>
                <w:sz w:val="14"/>
                <w:szCs w:val="14"/>
              </w:rPr>
              <w:t>III.</w:t>
            </w:r>
          </w:p>
        </w:tc>
        <w:tc>
          <w:tcPr>
            <w:tcW w:w="1873" w:type="pct"/>
            <w:tcBorders>
              <w:top w:val="nil"/>
              <w:left w:val="nil"/>
              <w:bottom w:val="nil"/>
              <w:right w:val="nil"/>
            </w:tcBorders>
            <w:shd w:val="clear" w:color="auto" w:fill="auto"/>
            <w:hideMark/>
          </w:tcPr>
          <w:p w14:paraId="1423C1CA" w14:textId="77777777" w:rsidR="005B0A27" w:rsidRPr="00872D7E" w:rsidRDefault="005B0A27" w:rsidP="005B0A27">
            <w:pPr>
              <w:rPr>
                <w:b/>
                <w:bCs/>
                <w:color w:val="000000"/>
                <w:sz w:val="14"/>
                <w:szCs w:val="14"/>
              </w:rPr>
            </w:pPr>
            <w:r w:rsidRPr="00872D7E">
              <w:rPr>
                <w:b/>
                <w:bCs/>
                <w:color w:val="000000"/>
                <w:sz w:val="14"/>
                <w:szCs w:val="14"/>
              </w:rPr>
              <w:t>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3ACE10D7" w14:textId="2E306303" w:rsidR="005B0A27" w:rsidRPr="00872D7E" w:rsidRDefault="001C7892" w:rsidP="005B0A27">
            <w:pPr>
              <w:jc w:val="center"/>
              <w:rPr>
                <w:b/>
                <w:bCs/>
                <w:color w:val="000000"/>
                <w:sz w:val="14"/>
                <w:szCs w:val="14"/>
              </w:rPr>
            </w:pPr>
            <w:r w:rsidRPr="00872D7E">
              <w:rPr>
                <w:b/>
                <w:bCs/>
                <w:color w:val="000000"/>
                <w:sz w:val="14"/>
                <w:szCs w:val="14"/>
              </w:rPr>
              <w:t>(2)</w:t>
            </w:r>
          </w:p>
        </w:tc>
        <w:tc>
          <w:tcPr>
            <w:tcW w:w="413" w:type="pct"/>
            <w:tcBorders>
              <w:top w:val="nil"/>
              <w:left w:val="nil"/>
              <w:bottom w:val="nil"/>
              <w:right w:val="single" w:sz="4" w:space="0" w:color="auto"/>
            </w:tcBorders>
            <w:shd w:val="clear" w:color="000000" w:fill="FFFFFF"/>
            <w:noWrap/>
            <w:vAlign w:val="center"/>
            <w:hideMark/>
          </w:tcPr>
          <w:p w14:paraId="0E68D343" w14:textId="77777777" w:rsidR="005B0A27" w:rsidRPr="00872D7E" w:rsidRDefault="005B0A27" w:rsidP="005B0A27">
            <w:pPr>
              <w:jc w:val="right"/>
              <w:rPr>
                <w:b/>
                <w:bCs/>
                <w:color w:val="000000"/>
                <w:sz w:val="14"/>
                <w:szCs w:val="14"/>
              </w:rPr>
            </w:pPr>
            <w:r w:rsidRPr="00872D7E">
              <w:rPr>
                <w:b/>
                <w:bCs/>
                <w:color w:val="000000"/>
                <w:sz w:val="14"/>
                <w:szCs w:val="14"/>
              </w:rPr>
              <w:t>2.839.978</w:t>
            </w:r>
          </w:p>
        </w:tc>
        <w:tc>
          <w:tcPr>
            <w:tcW w:w="413" w:type="pct"/>
            <w:tcBorders>
              <w:top w:val="nil"/>
              <w:left w:val="nil"/>
              <w:bottom w:val="nil"/>
              <w:right w:val="single" w:sz="4" w:space="0" w:color="auto"/>
            </w:tcBorders>
            <w:shd w:val="clear" w:color="000000" w:fill="FFFFFF"/>
            <w:noWrap/>
            <w:vAlign w:val="center"/>
            <w:hideMark/>
          </w:tcPr>
          <w:p w14:paraId="667D6BEF" w14:textId="77777777" w:rsidR="005B0A27" w:rsidRPr="00872D7E" w:rsidRDefault="005B0A27" w:rsidP="005B0A27">
            <w:pPr>
              <w:jc w:val="right"/>
              <w:rPr>
                <w:b/>
                <w:bCs/>
                <w:color w:val="000000"/>
                <w:sz w:val="14"/>
                <w:szCs w:val="14"/>
              </w:rPr>
            </w:pPr>
            <w:r w:rsidRPr="00872D7E">
              <w:rPr>
                <w:b/>
                <w:bCs/>
                <w:color w:val="000000"/>
                <w:sz w:val="14"/>
                <w:szCs w:val="14"/>
              </w:rPr>
              <w:t>12.528.099</w:t>
            </w:r>
          </w:p>
        </w:tc>
        <w:tc>
          <w:tcPr>
            <w:tcW w:w="424" w:type="pct"/>
            <w:tcBorders>
              <w:top w:val="nil"/>
              <w:left w:val="nil"/>
              <w:bottom w:val="nil"/>
              <w:right w:val="single" w:sz="4" w:space="0" w:color="auto"/>
            </w:tcBorders>
            <w:shd w:val="clear" w:color="000000" w:fill="FFFFFF"/>
            <w:noWrap/>
            <w:vAlign w:val="center"/>
            <w:hideMark/>
          </w:tcPr>
          <w:p w14:paraId="74A28B4F" w14:textId="77777777" w:rsidR="005B0A27" w:rsidRPr="00872D7E" w:rsidRDefault="005B0A27" w:rsidP="005B0A27">
            <w:pPr>
              <w:jc w:val="right"/>
              <w:rPr>
                <w:b/>
                <w:bCs/>
                <w:color w:val="000000"/>
                <w:sz w:val="14"/>
                <w:szCs w:val="14"/>
              </w:rPr>
            </w:pPr>
            <w:r w:rsidRPr="00872D7E">
              <w:rPr>
                <w:b/>
                <w:bCs/>
                <w:color w:val="000000"/>
                <w:sz w:val="14"/>
                <w:szCs w:val="14"/>
              </w:rPr>
              <w:t>15.368.077</w:t>
            </w:r>
          </w:p>
        </w:tc>
        <w:tc>
          <w:tcPr>
            <w:tcW w:w="413" w:type="pct"/>
            <w:tcBorders>
              <w:top w:val="nil"/>
              <w:left w:val="nil"/>
              <w:bottom w:val="nil"/>
              <w:right w:val="single" w:sz="4" w:space="0" w:color="auto"/>
            </w:tcBorders>
            <w:shd w:val="clear" w:color="000000" w:fill="FFFFFF"/>
            <w:noWrap/>
            <w:vAlign w:val="center"/>
            <w:hideMark/>
          </w:tcPr>
          <w:p w14:paraId="1AC74D96" w14:textId="77777777" w:rsidR="005B0A27" w:rsidRPr="00872D7E" w:rsidRDefault="005B0A27" w:rsidP="005B0A27">
            <w:pPr>
              <w:jc w:val="right"/>
              <w:rPr>
                <w:b/>
                <w:bCs/>
                <w:color w:val="000000"/>
                <w:sz w:val="14"/>
                <w:szCs w:val="14"/>
              </w:rPr>
            </w:pPr>
            <w:r w:rsidRPr="00872D7E">
              <w:rPr>
                <w:b/>
                <w:bCs/>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AF83EF1" w14:textId="77777777" w:rsidR="005B0A27" w:rsidRPr="00872D7E" w:rsidRDefault="005B0A27" w:rsidP="005B0A27">
            <w:pPr>
              <w:jc w:val="right"/>
              <w:rPr>
                <w:b/>
                <w:bCs/>
                <w:color w:val="000000"/>
                <w:sz w:val="14"/>
                <w:szCs w:val="14"/>
              </w:rPr>
            </w:pPr>
            <w:r w:rsidRPr="00872D7E">
              <w:rPr>
                <w:b/>
                <w:bCs/>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093A061" w14:textId="77777777" w:rsidR="005B0A27" w:rsidRPr="00872D7E" w:rsidRDefault="005B0A27" w:rsidP="005B0A27">
            <w:pPr>
              <w:jc w:val="right"/>
              <w:rPr>
                <w:b/>
                <w:bCs/>
                <w:color w:val="000000"/>
                <w:sz w:val="14"/>
                <w:szCs w:val="14"/>
              </w:rPr>
            </w:pPr>
            <w:r w:rsidRPr="00872D7E">
              <w:rPr>
                <w:b/>
                <w:bCs/>
                <w:color w:val="000000"/>
                <w:sz w:val="14"/>
                <w:szCs w:val="14"/>
              </w:rPr>
              <w:t>-</w:t>
            </w:r>
          </w:p>
        </w:tc>
      </w:tr>
      <w:tr w:rsidR="005B0A27" w:rsidRPr="00872D7E" w14:paraId="1D62E7FC"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2949BF12" w14:textId="77777777" w:rsidR="005B0A27" w:rsidRPr="00872D7E" w:rsidRDefault="005B0A27" w:rsidP="005B0A27">
            <w:pPr>
              <w:rPr>
                <w:color w:val="000000"/>
                <w:sz w:val="14"/>
                <w:szCs w:val="14"/>
              </w:rPr>
            </w:pPr>
            <w:r w:rsidRPr="00872D7E">
              <w:rPr>
                <w:color w:val="000000"/>
                <w:sz w:val="14"/>
                <w:szCs w:val="14"/>
              </w:rPr>
              <w:t>3.1.</w:t>
            </w:r>
          </w:p>
        </w:tc>
        <w:tc>
          <w:tcPr>
            <w:tcW w:w="1873" w:type="pct"/>
            <w:tcBorders>
              <w:top w:val="nil"/>
              <w:left w:val="nil"/>
              <w:bottom w:val="nil"/>
              <w:right w:val="nil"/>
            </w:tcBorders>
            <w:shd w:val="clear" w:color="auto" w:fill="auto"/>
            <w:hideMark/>
          </w:tcPr>
          <w:p w14:paraId="0D33F108" w14:textId="77777777" w:rsidR="005B0A27" w:rsidRPr="00872D7E" w:rsidRDefault="005B0A27" w:rsidP="005B0A27">
            <w:pPr>
              <w:rPr>
                <w:color w:val="000000"/>
                <w:sz w:val="14"/>
                <w:szCs w:val="14"/>
              </w:rPr>
            </w:pPr>
            <w:r w:rsidRPr="00872D7E">
              <w:rPr>
                <w:color w:val="000000"/>
                <w:sz w:val="14"/>
                <w:szCs w:val="14"/>
              </w:rPr>
              <w:t>Riskten Korunma Amaçlı 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1CB26B11"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03C236A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CB694F5"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137D460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7F38DB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591BC1D"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2EA9BAC"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0B12D734"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766A617F" w14:textId="77777777" w:rsidR="005B0A27" w:rsidRPr="00872D7E" w:rsidRDefault="005B0A27" w:rsidP="005B0A27">
            <w:pPr>
              <w:rPr>
                <w:color w:val="000000"/>
                <w:sz w:val="14"/>
                <w:szCs w:val="14"/>
              </w:rPr>
            </w:pPr>
            <w:r w:rsidRPr="00872D7E">
              <w:rPr>
                <w:color w:val="000000"/>
                <w:sz w:val="14"/>
                <w:szCs w:val="14"/>
              </w:rPr>
              <w:t>3.1.1.</w:t>
            </w:r>
          </w:p>
        </w:tc>
        <w:tc>
          <w:tcPr>
            <w:tcW w:w="1873" w:type="pct"/>
            <w:tcBorders>
              <w:top w:val="nil"/>
              <w:left w:val="nil"/>
              <w:bottom w:val="nil"/>
              <w:right w:val="nil"/>
            </w:tcBorders>
            <w:shd w:val="clear" w:color="auto" w:fill="auto"/>
            <w:hideMark/>
          </w:tcPr>
          <w:p w14:paraId="6A2B32C1" w14:textId="77777777" w:rsidR="005B0A27" w:rsidRPr="00872D7E" w:rsidRDefault="005B0A27" w:rsidP="005B0A27">
            <w:pPr>
              <w:rPr>
                <w:color w:val="000000"/>
                <w:sz w:val="14"/>
                <w:szCs w:val="14"/>
              </w:rPr>
            </w:pPr>
            <w:r w:rsidRPr="00872D7E">
              <w:rPr>
                <w:color w:val="000000"/>
                <w:sz w:val="14"/>
                <w:szCs w:val="14"/>
              </w:rPr>
              <w:t>Gerçeğe Uygun Değer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16470C6E"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EB4842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E3F45E8"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4C69986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A09111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8E29A58"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4847F1C4"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29D77B15"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CD6A80D" w14:textId="77777777" w:rsidR="005B0A27" w:rsidRPr="00872D7E" w:rsidRDefault="005B0A27" w:rsidP="005B0A27">
            <w:pPr>
              <w:rPr>
                <w:color w:val="000000"/>
                <w:sz w:val="14"/>
                <w:szCs w:val="14"/>
              </w:rPr>
            </w:pPr>
            <w:r w:rsidRPr="00872D7E">
              <w:rPr>
                <w:color w:val="000000"/>
                <w:sz w:val="14"/>
                <w:szCs w:val="14"/>
              </w:rPr>
              <w:t>3.1.2.</w:t>
            </w:r>
          </w:p>
        </w:tc>
        <w:tc>
          <w:tcPr>
            <w:tcW w:w="1873" w:type="pct"/>
            <w:tcBorders>
              <w:top w:val="nil"/>
              <w:left w:val="nil"/>
              <w:bottom w:val="nil"/>
              <w:right w:val="nil"/>
            </w:tcBorders>
            <w:shd w:val="clear" w:color="auto" w:fill="auto"/>
            <w:hideMark/>
          </w:tcPr>
          <w:p w14:paraId="01F9E37A" w14:textId="77777777" w:rsidR="005B0A27" w:rsidRPr="00872D7E" w:rsidRDefault="005B0A27" w:rsidP="005B0A27">
            <w:pPr>
              <w:rPr>
                <w:color w:val="000000"/>
                <w:sz w:val="14"/>
                <w:szCs w:val="14"/>
              </w:rPr>
            </w:pPr>
            <w:r w:rsidRPr="00872D7E">
              <w:rPr>
                <w:color w:val="000000"/>
                <w:sz w:val="14"/>
                <w:szCs w:val="14"/>
              </w:rPr>
              <w:t>Nakit Akış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6A987065"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51CD1E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DAE258C"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4CE34B6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6D02BF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B32BCFA"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488A966"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2F97DDBB"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4A99A3FA" w14:textId="77777777" w:rsidR="005B0A27" w:rsidRPr="00872D7E" w:rsidRDefault="005B0A27" w:rsidP="005B0A27">
            <w:pPr>
              <w:rPr>
                <w:color w:val="000000"/>
                <w:sz w:val="14"/>
                <w:szCs w:val="14"/>
              </w:rPr>
            </w:pPr>
            <w:r w:rsidRPr="00872D7E">
              <w:rPr>
                <w:color w:val="000000"/>
                <w:sz w:val="14"/>
                <w:szCs w:val="14"/>
              </w:rPr>
              <w:t>3.1.3.</w:t>
            </w:r>
          </w:p>
        </w:tc>
        <w:tc>
          <w:tcPr>
            <w:tcW w:w="1873" w:type="pct"/>
            <w:tcBorders>
              <w:top w:val="nil"/>
              <w:left w:val="nil"/>
              <w:bottom w:val="nil"/>
              <w:right w:val="nil"/>
            </w:tcBorders>
            <w:shd w:val="clear" w:color="auto" w:fill="auto"/>
            <w:hideMark/>
          </w:tcPr>
          <w:p w14:paraId="03349560" w14:textId="77777777" w:rsidR="005B0A27" w:rsidRPr="00872D7E" w:rsidRDefault="005B0A27" w:rsidP="005B0A27">
            <w:pPr>
              <w:rPr>
                <w:color w:val="000000"/>
                <w:sz w:val="14"/>
                <w:szCs w:val="14"/>
              </w:rPr>
            </w:pPr>
            <w:r w:rsidRPr="00872D7E">
              <w:rPr>
                <w:color w:val="000000"/>
                <w:sz w:val="14"/>
                <w:szCs w:val="14"/>
              </w:rPr>
              <w:t>Yurtdışındaki Net Yatırım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13533867"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AA7878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8085604"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42D87BA5"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60C3885"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DE0F60C"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A4BF8E2"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3258FDBD"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70220A6D" w14:textId="77777777" w:rsidR="005B0A27" w:rsidRPr="00872D7E" w:rsidRDefault="005B0A27" w:rsidP="005B0A27">
            <w:pPr>
              <w:rPr>
                <w:color w:val="000000"/>
                <w:sz w:val="14"/>
                <w:szCs w:val="14"/>
              </w:rPr>
            </w:pPr>
            <w:r w:rsidRPr="00872D7E">
              <w:rPr>
                <w:color w:val="000000"/>
                <w:sz w:val="14"/>
                <w:szCs w:val="14"/>
              </w:rPr>
              <w:t>3.2.</w:t>
            </w:r>
          </w:p>
        </w:tc>
        <w:tc>
          <w:tcPr>
            <w:tcW w:w="1873" w:type="pct"/>
            <w:tcBorders>
              <w:top w:val="nil"/>
              <w:left w:val="nil"/>
              <w:bottom w:val="nil"/>
              <w:right w:val="nil"/>
            </w:tcBorders>
            <w:shd w:val="clear" w:color="auto" w:fill="auto"/>
            <w:hideMark/>
          </w:tcPr>
          <w:p w14:paraId="64F6D9FA" w14:textId="77777777" w:rsidR="005B0A27" w:rsidRPr="00872D7E" w:rsidRDefault="005B0A27" w:rsidP="005B0A27">
            <w:pPr>
              <w:rPr>
                <w:color w:val="000000"/>
                <w:sz w:val="14"/>
                <w:szCs w:val="14"/>
              </w:rPr>
            </w:pPr>
            <w:r w:rsidRPr="00872D7E">
              <w:rPr>
                <w:color w:val="000000"/>
                <w:sz w:val="14"/>
                <w:szCs w:val="14"/>
              </w:rPr>
              <w:t>Alım Satım Amaçlı 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6D1538B0"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622CB537" w14:textId="77777777" w:rsidR="005B0A27" w:rsidRPr="00872D7E" w:rsidRDefault="005B0A27" w:rsidP="005B0A27">
            <w:pPr>
              <w:jc w:val="right"/>
              <w:rPr>
                <w:color w:val="000000"/>
                <w:sz w:val="14"/>
                <w:szCs w:val="14"/>
              </w:rPr>
            </w:pPr>
            <w:r w:rsidRPr="00872D7E">
              <w:rPr>
                <w:color w:val="000000"/>
                <w:sz w:val="14"/>
                <w:szCs w:val="14"/>
              </w:rPr>
              <w:t>2.839.978</w:t>
            </w:r>
          </w:p>
        </w:tc>
        <w:tc>
          <w:tcPr>
            <w:tcW w:w="413" w:type="pct"/>
            <w:tcBorders>
              <w:top w:val="nil"/>
              <w:left w:val="nil"/>
              <w:bottom w:val="nil"/>
              <w:right w:val="single" w:sz="4" w:space="0" w:color="auto"/>
            </w:tcBorders>
            <w:shd w:val="clear" w:color="000000" w:fill="FFFFFF"/>
            <w:noWrap/>
            <w:vAlign w:val="center"/>
            <w:hideMark/>
          </w:tcPr>
          <w:p w14:paraId="6830F3CB" w14:textId="77777777" w:rsidR="005B0A27" w:rsidRPr="00872D7E" w:rsidRDefault="005B0A27" w:rsidP="005B0A27">
            <w:pPr>
              <w:jc w:val="right"/>
              <w:rPr>
                <w:color w:val="000000"/>
                <w:sz w:val="14"/>
                <w:szCs w:val="14"/>
              </w:rPr>
            </w:pPr>
            <w:r w:rsidRPr="00872D7E">
              <w:rPr>
                <w:color w:val="000000"/>
                <w:sz w:val="14"/>
                <w:szCs w:val="14"/>
              </w:rPr>
              <w:t>12.528.099</w:t>
            </w:r>
          </w:p>
        </w:tc>
        <w:tc>
          <w:tcPr>
            <w:tcW w:w="424" w:type="pct"/>
            <w:tcBorders>
              <w:top w:val="nil"/>
              <w:left w:val="nil"/>
              <w:bottom w:val="nil"/>
              <w:right w:val="single" w:sz="4" w:space="0" w:color="auto"/>
            </w:tcBorders>
            <w:shd w:val="clear" w:color="000000" w:fill="FFFFFF"/>
            <w:noWrap/>
            <w:vAlign w:val="center"/>
            <w:hideMark/>
          </w:tcPr>
          <w:p w14:paraId="39059368" w14:textId="77777777" w:rsidR="005B0A27" w:rsidRPr="00872D7E" w:rsidRDefault="005B0A27" w:rsidP="005B0A27">
            <w:pPr>
              <w:jc w:val="right"/>
              <w:rPr>
                <w:color w:val="000000"/>
                <w:sz w:val="14"/>
                <w:szCs w:val="14"/>
              </w:rPr>
            </w:pPr>
            <w:r w:rsidRPr="00872D7E">
              <w:rPr>
                <w:color w:val="000000"/>
                <w:sz w:val="14"/>
                <w:szCs w:val="14"/>
              </w:rPr>
              <w:t>15.368.077</w:t>
            </w:r>
          </w:p>
        </w:tc>
        <w:tc>
          <w:tcPr>
            <w:tcW w:w="413" w:type="pct"/>
            <w:tcBorders>
              <w:top w:val="nil"/>
              <w:left w:val="nil"/>
              <w:bottom w:val="nil"/>
              <w:right w:val="single" w:sz="4" w:space="0" w:color="auto"/>
            </w:tcBorders>
            <w:shd w:val="clear" w:color="000000" w:fill="FFFFFF"/>
            <w:noWrap/>
            <w:vAlign w:val="center"/>
            <w:hideMark/>
          </w:tcPr>
          <w:p w14:paraId="25F4BC66"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8EC50B3"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CE0ACFB"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6D0C6240"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B0B0C5C" w14:textId="77777777" w:rsidR="005B0A27" w:rsidRPr="00872D7E" w:rsidRDefault="005B0A27" w:rsidP="005B0A27">
            <w:pPr>
              <w:rPr>
                <w:color w:val="000000"/>
                <w:sz w:val="14"/>
                <w:szCs w:val="14"/>
              </w:rPr>
            </w:pPr>
            <w:r w:rsidRPr="00872D7E">
              <w:rPr>
                <w:color w:val="000000"/>
                <w:sz w:val="14"/>
                <w:szCs w:val="14"/>
              </w:rPr>
              <w:t>3.2.1</w:t>
            </w:r>
          </w:p>
        </w:tc>
        <w:tc>
          <w:tcPr>
            <w:tcW w:w="1873" w:type="pct"/>
            <w:tcBorders>
              <w:top w:val="nil"/>
              <w:left w:val="nil"/>
              <w:bottom w:val="nil"/>
              <w:right w:val="nil"/>
            </w:tcBorders>
            <w:shd w:val="clear" w:color="auto" w:fill="auto"/>
            <w:hideMark/>
          </w:tcPr>
          <w:p w14:paraId="11E5F0F4" w14:textId="77777777" w:rsidR="005B0A27" w:rsidRPr="00872D7E" w:rsidRDefault="005B0A27" w:rsidP="005B0A27">
            <w:pPr>
              <w:rPr>
                <w:color w:val="000000"/>
                <w:sz w:val="14"/>
                <w:szCs w:val="14"/>
              </w:rPr>
            </w:pPr>
            <w:r w:rsidRPr="00872D7E">
              <w:rPr>
                <w:color w:val="000000"/>
                <w:sz w:val="14"/>
                <w:szCs w:val="14"/>
              </w:rPr>
              <w:t>Vadeli Alım-Satım İşlemleri</w:t>
            </w:r>
          </w:p>
        </w:tc>
        <w:tc>
          <w:tcPr>
            <w:tcW w:w="372" w:type="pct"/>
            <w:tcBorders>
              <w:top w:val="nil"/>
              <w:left w:val="single" w:sz="4" w:space="0" w:color="auto"/>
              <w:bottom w:val="nil"/>
              <w:right w:val="single" w:sz="4" w:space="0" w:color="auto"/>
            </w:tcBorders>
            <w:shd w:val="clear" w:color="auto" w:fill="auto"/>
            <w:vAlign w:val="center"/>
            <w:hideMark/>
          </w:tcPr>
          <w:p w14:paraId="3D5977B7"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2C526E5D" w14:textId="77777777" w:rsidR="005B0A27" w:rsidRPr="00872D7E" w:rsidRDefault="005B0A27" w:rsidP="005B0A27">
            <w:pPr>
              <w:jc w:val="right"/>
              <w:rPr>
                <w:color w:val="000000"/>
                <w:sz w:val="14"/>
                <w:szCs w:val="14"/>
              </w:rPr>
            </w:pPr>
            <w:r w:rsidRPr="00872D7E">
              <w:rPr>
                <w:color w:val="000000"/>
                <w:sz w:val="14"/>
                <w:szCs w:val="14"/>
              </w:rPr>
              <w:t>190.312</w:t>
            </w:r>
          </w:p>
        </w:tc>
        <w:tc>
          <w:tcPr>
            <w:tcW w:w="413" w:type="pct"/>
            <w:tcBorders>
              <w:top w:val="nil"/>
              <w:left w:val="nil"/>
              <w:bottom w:val="nil"/>
              <w:right w:val="single" w:sz="4" w:space="0" w:color="auto"/>
            </w:tcBorders>
            <w:shd w:val="clear" w:color="000000" w:fill="FFFFFF"/>
            <w:noWrap/>
            <w:vAlign w:val="center"/>
            <w:hideMark/>
          </w:tcPr>
          <w:p w14:paraId="7160B92D" w14:textId="77777777" w:rsidR="005B0A27" w:rsidRPr="00872D7E" w:rsidRDefault="005B0A27" w:rsidP="005B0A27">
            <w:pPr>
              <w:jc w:val="right"/>
              <w:rPr>
                <w:color w:val="000000"/>
                <w:sz w:val="14"/>
                <w:szCs w:val="14"/>
              </w:rPr>
            </w:pPr>
            <w:r w:rsidRPr="00872D7E">
              <w:rPr>
                <w:color w:val="000000"/>
                <w:sz w:val="14"/>
                <w:szCs w:val="14"/>
              </w:rPr>
              <w:t>4.920.698</w:t>
            </w:r>
          </w:p>
        </w:tc>
        <w:tc>
          <w:tcPr>
            <w:tcW w:w="424" w:type="pct"/>
            <w:tcBorders>
              <w:top w:val="nil"/>
              <w:left w:val="nil"/>
              <w:bottom w:val="nil"/>
              <w:right w:val="single" w:sz="4" w:space="0" w:color="auto"/>
            </w:tcBorders>
            <w:shd w:val="clear" w:color="000000" w:fill="FFFFFF"/>
            <w:noWrap/>
            <w:vAlign w:val="center"/>
            <w:hideMark/>
          </w:tcPr>
          <w:p w14:paraId="26ACF9EC" w14:textId="77777777" w:rsidR="005B0A27" w:rsidRPr="00872D7E" w:rsidRDefault="005B0A27" w:rsidP="005B0A27">
            <w:pPr>
              <w:jc w:val="right"/>
              <w:rPr>
                <w:color w:val="000000"/>
                <w:sz w:val="14"/>
                <w:szCs w:val="14"/>
              </w:rPr>
            </w:pPr>
            <w:r w:rsidRPr="00872D7E">
              <w:rPr>
                <w:color w:val="000000"/>
                <w:sz w:val="14"/>
                <w:szCs w:val="14"/>
              </w:rPr>
              <w:t>5.111.010</w:t>
            </w:r>
          </w:p>
        </w:tc>
        <w:tc>
          <w:tcPr>
            <w:tcW w:w="413" w:type="pct"/>
            <w:tcBorders>
              <w:top w:val="nil"/>
              <w:left w:val="nil"/>
              <w:bottom w:val="nil"/>
              <w:right w:val="single" w:sz="4" w:space="0" w:color="auto"/>
            </w:tcBorders>
            <w:shd w:val="clear" w:color="000000" w:fill="FFFFFF"/>
            <w:noWrap/>
            <w:vAlign w:val="center"/>
            <w:hideMark/>
          </w:tcPr>
          <w:p w14:paraId="54FC8EE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8030849"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761C697"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1DD79B85"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0F221176" w14:textId="77777777" w:rsidR="005B0A27" w:rsidRPr="00872D7E" w:rsidRDefault="005B0A27" w:rsidP="005B0A27">
            <w:pPr>
              <w:rPr>
                <w:color w:val="000000"/>
                <w:sz w:val="14"/>
                <w:szCs w:val="14"/>
              </w:rPr>
            </w:pPr>
            <w:r w:rsidRPr="00872D7E">
              <w:rPr>
                <w:color w:val="000000"/>
                <w:sz w:val="14"/>
                <w:szCs w:val="14"/>
              </w:rPr>
              <w:t>3.2.1.1</w:t>
            </w:r>
          </w:p>
        </w:tc>
        <w:tc>
          <w:tcPr>
            <w:tcW w:w="1873" w:type="pct"/>
            <w:tcBorders>
              <w:top w:val="nil"/>
              <w:left w:val="nil"/>
              <w:bottom w:val="nil"/>
              <w:right w:val="nil"/>
            </w:tcBorders>
            <w:shd w:val="clear" w:color="auto" w:fill="auto"/>
            <w:hideMark/>
          </w:tcPr>
          <w:p w14:paraId="29049809" w14:textId="77777777" w:rsidR="005B0A27" w:rsidRPr="00872D7E" w:rsidRDefault="005B0A27" w:rsidP="005B0A27">
            <w:pPr>
              <w:rPr>
                <w:color w:val="000000"/>
                <w:sz w:val="14"/>
                <w:szCs w:val="14"/>
              </w:rPr>
            </w:pPr>
            <w:r w:rsidRPr="00872D7E">
              <w:rPr>
                <w:color w:val="000000"/>
                <w:sz w:val="14"/>
                <w:szCs w:val="14"/>
              </w:rPr>
              <w:t>Vadeli Döviz Alım İşlemleri</w:t>
            </w:r>
          </w:p>
        </w:tc>
        <w:tc>
          <w:tcPr>
            <w:tcW w:w="372" w:type="pct"/>
            <w:tcBorders>
              <w:top w:val="nil"/>
              <w:left w:val="single" w:sz="4" w:space="0" w:color="auto"/>
              <w:bottom w:val="nil"/>
              <w:right w:val="single" w:sz="4" w:space="0" w:color="auto"/>
            </w:tcBorders>
            <w:shd w:val="clear" w:color="auto" w:fill="auto"/>
            <w:vAlign w:val="center"/>
            <w:hideMark/>
          </w:tcPr>
          <w:p w14:paraId="304965A4"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0ACD0C4A" w14:textId="77777777" w:rsidR="005B0A27" w:rsidRPr="00872D7E" w:rsidRDefault="005B0A27" w:rsidP="005B0A27">
            <w:pPr>
              <w:jc w:val="right"/>
              <w:rPr>
                <w:color w:val="000000"/>
                <w:sz w:val="14"/>
                <w:szCs w:val="14"/>
              </w:rPr>
            </w:pPr>
            <w:r w:rsidRPr="00872D7E">
              <w:rPr>
                <w:color w:val="000000"/>
                <w:sz w:val="14"/>
                <w:szCs w:val="14"/>
              </w:rPr>
              <w:t>142.480</w:t>
            </w:r>
          </w:p>
        </w:tc>
        <w:tc>
          <w:tcPr>
            <w:tcW w:w="413" w:type="pct"/>
            <w:tcBorders>
              <w:top w:val="nil"/>
              <w:left w:val="nil"/>
              <w:bottom w:val="nil"/>
              <w:right w:val="single" w:sz="4" w:space="0" w:color="auto"/>
            </w:tcBorders>
            <w:shd w:val="clear" w:color="000000" w:fill="FFFFFF"/>
            <w:noWrap/>
            <w:vAlign w:val="center"/>
            <w:hideMark/>
          </w:tcPr>
          <w:p w14:paraId="775D1FD6" w14:textId="77777777" w:rsidR="005B0A27" w:rsidRPr="00872D7E" w:rsidRDefault="005B0A27" w:rsidP="005B0A27">
            <w:pPr>
              <w:jc w:val="right"/>
              <w:rPr>
                <w:color w:val="000000"/>
                <w:sz w:val="14"/>
                <w:szCs w:val="14"/>
              </w:rPr>
            </w:pPr>
            <w:r w:rsidRPr="00872D7E">
              <w:rPr>
                <w:color w:val="000000"/>
                <w:sz w:val="14"/>
                <w:szCs w:val="14"/>
              </w:rPr>
              <w:t>2.406.393</w:t>
            </w:r>
          </w:p>
        </w:tc>
        <w:tc>
          <w:tcPr>
            <w:tcW w:w="424" w:type="pct"/>
            <w:tcBorders>
              <w:top w:val="nil"/>
              <w:left w:val="nil"/>
              <w:bottom w:val="nil"/>
              <w:right w:val="single" w:sz="4" w:space="0" w:color="auto"/>
            </w:tcBorders>
            <w:shd w:val="clear" w:color="000000" w:fill="FFFFFF"/>
            <w:noWrap/>
            <w:vAlign w:val="center"/>
            <w:hideMark/>
          </w:tcPr>
          <w:p w14:paraId="4A9B5458" w14:textId="77777777" w:rsidR="005B0A27" w:rsidRPr="00872D7E" w:rsidRDefault="005B0A27" w:rsidP="005B0A27">
            <w:pPr>
              <w:jc w:val="right"/>
              <w:rPr>
                <w:color w:val="000000"/>
                <w:sz w:val="14"/>
                <w:szCs w:val="14"/>
              </w:rPr>
            </w:pPr>
            <w:r w:rsidRPr="00872D7E">
              <w:rPr>
                <w:color w:val="000000"/>
                <w:sz w:val="14"/>
                <w:szCs w:val="14"/>
              </w:rPr>
              <w:t>2.548.873</w:t>
            </w:r>
          </w:p>
        </w:tc>
        <w:tc>
          <w:tcPr>
            <w:tcW w:w="413" w:type="pct"/>
            <w:tcBorders>
              <w:top w:val="nil"/>
              <w:left w:val="nil"/>
              <w:bottom w:val="nil"/>
              <w:right w:val="single" w:sz="4" w:space="0" w:color="auto"/>
            </w:tcBorders>
            <w:shd w:val="clear" w:color="000000" w:fill="FFFFFF"/>
            <w:noWrap/>
            <w:vAlign w:val="center"/>
            <w:hideMark/>
          </w:tcPr>
          <w:p w14:paraId="43FF9AB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FDE79A1"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4ECDC98"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52AED705"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73761129" w14:textId="77777777" w:rsidR="005B0A27" w:rsidRPr="00872D7E" w:rsidRDefault="005B0A27" w:rsidP="005B0A27">
            <w:pPr>
              <w:rPr>
                <w:color w:val="000000"/>
                <w:sz w:val="14"/>
                <w:szCs w:val="14"/>
              </w:rPr>
            </w:pPr>
            <w:r w:rsidRPr="00872D7E">
              <w:rPr>
                <w:color w:val="000000"/>
                <w:sz w:val="14"/>
                <w:szCs w:val="14"/>
              </w:rPr>
              <w:t>3.2.1.2</w:t>
            </w:r>
          </w:p>
        </w:tc>
        <w:tc>
          <w:tcPr>
            <w:tcW w:w="1873" w:type="pct"/>
            <w:tcBorders>
              <w:top w:val="nil"/>
              <w:left w:val="nil"/>
              <w:bottom w:val="nil"/>
              <w:right w:val="nil"/>
            </w:tcBorders>
            <w:shd w:val="clear" w:color="auto" w:fill="auto"/>
            <w:hideMark/>
          </w:tcPr>
          <w:p w14:paraId="137D358D" w14:textId="77777777" w:rsidR="005B0A27" w:rsidRPr="00872D7E" w:rsidRDefault="005B0A27" w:rsidP="005B0A27">
            <w:pPr>
              <w:rPr>
                <w:color w:val="000000"/>
                <w:sz w:val="14"/>
                <w:szCs w:val="14"/>
              </w:rPr>
            </w:pPr>
            <w:r w:rsidRPr="00872D7E">
              <w:rPr>
                <w:color w:val="000000"/>
                <w:sz w:val="14"/>
                <w:szCs w:val="14"/>
              </w:rPr>
              <w:t>Vadeli Döviz Satım İşlemleri</w:t>
            </w:r>
          </w:p>
        </w:tc>
        <w:tc>
          <w:tcPr>
            <w:tcW w:w="372" w:type="pct"/>
            <w:tcBorders>
              <w:top w:val="nil"/>
              <w:left w:val="single" w:sz="4" w:space="0" w:color="auto"/>
              <w:bottom w:val="nil"/>
              <w:right w:val="single" w:sz="4" w:space="0" w:color="auto"/>
            </w:tcBorders>
            <w:shd w:val="clear" w:color="auto" w:fill="auto"/>
            <w:vAlign w:val="center"/>
            <w:hideMark/>
          </w:tcPr>
          <w:p w14:paraId="457C2C2D"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47B79EE7" w14:textId="77777777" w:rsidR="005B0A27" w:rsidRPr="00872D7E" w:rsidRDefault="005B0A27" w:rsidP="005B0A27">
            <w:pPr>
              <w:jc w:val="right"/>
              <w:rPr>
                <w:color w:val="000000"/>
                <w:sz w:val="14"/>
                <w:szCs w:val="14"/>
              </w:rPr>
            </w:pPr>
            <w:r w:rsidRPr="00872D7E">
              <w:rPr>
                <w:color w:val="000000"/>
                <w:sz w:val="14"/>
                <w:szCs w:val="14"/>
              </w:rPr>
              <w:t>47.832</w:t>
            </w:r>
          </w:p>
        </w:tc>
        <w:tc>
          <w:tcPr>
            <w:tcW w:w="413" w:type="pct"/>
            <w:tcBorders>
              <w:top w:val="nil"/>
              <w:left w:val="nil"/>
              <w:bottom w:val="nil"/>
              <w:right w:val="single" w:sz="4" w:space="0" w:color="auto"/>
            </w:tcBorders>
            <w:shd w:val="clear" w:color="000000" w:fill="FFFFFF"/>
            <w:noWrap/>
            <w:vAlign w:val="center"/>
            <w:hideMark/>
          </w:tcPr>
          <w:p w14:paraId="6A57D49D" w14:textId="77777777" w:rsidR="005B0A27" w:rsidRPr="00872D7E" w:rsidRDefault="005B0A27" w:rsidP="005B0A27">
            <w:pPr>
              <w:jc w:val="right"/>
              <w:rPr>
                <w:color w:val="000000"/>
                <w:sz w:val="14"/>
                <w:szCs w:val="14"/>
              </w:rPr>
            </w:pPr>
            <w:r w:rsidRPr="00872D7E">
              <w:rPr>
                <w:color w:val="000000"/>
                <w:sz w:val="14"/>
                <w:szCs w:val="14"/>
              </w:rPr>
              <w:t>2.514.305</w:t>
            </w:r>
          </w:p>
        </w:tc>
        <w:tc>
          <w:tcPr>
            <w:tcW w:w="424" w:type="pct"/>
            <w:tcBorders>
              <w:top w:val="nil"/>
              <w:left w:val="nil"/>
              <w:bottom w:val="nil"/>
              <w:right w:val="single" w:sz="4" w:space="0" w:color="auto"/>
            </w:tcBorders>
            <w:shd w:val="clear" w:color="000000" w:fill="FFFFFF"/>
            <w:noWrap/>
            <w:vAlign w:val="center"/>
            <w:hideMark/>
          </w:tcPr>
          <w:p w14:paraId="46847CED" w14:textId="77777777" w:rsidR="005B0A27" w:rsidRPr="00872D7E" w:rsidRDefault="005B0A27" w:rsidP="005B0A27">
            <w:pPr>
              <w:jc w:val="right"/>
              <w:rPr>
                <w:color w:val="000000"/>
                <w:sz w:val="14"/>
                <w:szCs w:val="14"/>
              </w:rPr>
            </w:pPr>
            <w:r w:rsidRPr="00872D7E">
              <w:rPr>
                <w:color w:val="000000"/>
                <w:sz w:val="14"/>
                <w:szCs w:val="14"/>
              </w:rPr>
              <w:t>2.562.137</w:t>
            </w:r>
          </w:p>
        </w:tc>
        <w:tc>
          <w:tcPr>
            <w:tcW w:w="413" w:type="pct"/>
            <w:tcBorders>
              <w:top w:val="nil"/>
              <w:left w:val="nil"/>
              <w:bottom w:val="nil"/>
              <w:right w:val="single" w:sz="4" w:space="0" w:color="auto"/>
            </w:tcBorders>
            <w:shd w:val="clear" w:color="000000" w:fill="FFFFFF"/>
            <w:noWrap/>
            <w:vAlign w:val="center"/>
            <w:hideMark/>
          </w:tcPr>
          <w:p w14:paraId="63B96D88"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BABE7A6"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6CE2C510"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7E99F1DA"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87BBD5A" w14:textId="77777777" w:rsidR="005B0A27" w:rsidRPr="00872D7E" w:rsidRDefault="005B0A27" w:rsidP="005B0A27">
            <w:pPr>
              <w:rPr>
                <w:color w:val="000000"/>
                <w:sz w:val="14"/>
                <w:szCs w:val="14"/>
              </w:rPr>
            </w:pPr>
            <w:r w:rsidRPr="00872D7E">
              <w:rPr>
                <w:color w:val="000000"/>
                <w:sz w:val="14"/>
                <w:szCs w:val="14"/>
              </w:rPr>
              <w:t>3.2.2.</w:t>
            </w:r>
          </w:p>
        </w:tc>
        <w:tc>
          <w:tcPr>
            <w:tcW w:w="1873" w:type="pct"/>
            <w:tcBorders>
              <w:top w:val="nil"/>
              <w:left w:val="nil"/>
              <w:bottom w:val="nil"/>
              <w:right w:val="nil"/>
            </w:tcBorders>
            <w:shd w:val="clear" w:color="auto" w:fill="auto"/>
            <w:hideMark/>
          </w:tcPr>
          <w:p w14:paraId="5E1BD3B3" w14:textId="77777777" w:rsidR="005B0A27" w:rsidRPr="00872D7E" w:rsidRDefault="005B0A27" w:rsidP="005B0A27">
            <w:pPr>
              <w:rPr>
                <w:color w:val="000000"/>
                <w:sz w:val="14"/>
                <w:szCs w:val="14"/>
              </w:rPr>
            </w:pPr>
            <w:r w:rsidRPr="00872D7E">
              <w:rPr>
                <w:color w:val="000000"/>
                <w:sz w:val="14"/>
                <w:szCs w:val="14"/>
              </w:rPr>
              <w:t>Diğer Vadeli Alım-Satım İşlemleri</w:t>
            </w:r>
          </w:p>
        </w:tc>
        <w:tc>
          <w:tcPr>
            <w:tcW w:w="372" w:type="pct"/>
            <w:tcBorders>
              <w:top w:val="nil"/>
              <w:left w:val="single" w:sz="4" w:space="0" w:color="auto"/>
              <w:bottom w:val="nil"/>
              <w:right w:val="single" w:sz="4" w:space="0" w:color="auto"/>
            </w:tcBorders>
            <w:shd w:val="clear" w:color="auto" w:fill="auto"/>
            <w:vAlign w:val="center"/>
            <w:hideMark/>
          </w:tcPr>
          <w:p w14:paraId="6C956818"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AC75A67" w14:textId="77777777" w:rsidR="005B0A27" w:rsidRPr="00872D7E" w:rsidRDefault="005B0A27" w:rsidP="005B0A27">
            <w:pPr>
              <w:jc w:val="right"/>
              <w:rPr>
                <w:color w:val="000000"/>
                <w:sz w:val="14"/>
                <w:szCs w:val="14"/>
              </w:rPr>
            </w:pPr>
            <w:r w:rsidRPr="00872D7E">
              <w:rPr>
                <w:color w:val="000000"/>
                <w:sz w:val="14"/>
                <w:szCs w:val="14"/>
              </w:rPr>
              <w:t>2.649.666</w:t>
            </w:r>
          </w:p>
        </w:tc>
        <w:tc>
          <w:tcPr>
            <w:tcW w:w="413" w:type="pct"/>
            <w:tcBorders>
              <w:top w:val="nil"/>
              <w:left w:val="nil"/>
              <w:bottom w:val="nil"/>
              <w:right w:val="single" w:sz="4" w:space="0" w:color="auto"/>
            </w:tcBorders>
            <w:shd w:val="clear" w:color="000000" w:fill="FFFFFF"/>
            <w:noWrap/>
            <w:vAlign w:val="center"/>
            <w:hideMark/>
          </w:tcPr>
          <w:p w14:paraId="0CE3FAA9" w14:textId="77777777" w:rsidR="005B0A27" w:rsidRPr="00872D7E" w:rsidRDefault="005B0A27" w:rsidP="005B0A27">
            <w:pPr>
              <w:jc w:val="right"/>
              <w:rPr>
                <w:color w:val="000000"/>
                <w:sz w:val="14"/>
                <w:szCs w:val="14"/>
              </w:rPr>
            </w:pPr>
            <w:r w:rsidRPr="00872D7E">
              <w:rPr>
                <w:color w:val="000000"/>
                <w:sz w:val="14"/>
                <w:szCs w:val="14"/>
              </w:rPr>
              <w:t>7.607.401</w:t>
            </w:r>
          </w:p>
        </w:tc>
        <w:tc>
          <w:tcPr>
            <w:tcW w:w="424" w:type="pct"/>
            <w:tcBorders>
              <w:top w:val="nil"/>
              <w:left w:val="nil"/>
              <w:bottom w:val="nil"/>
              <w:right w:val="single" w:sz="4" w:space="0" w:color="auto"/>
            </w:tcBorders>
            <w:shd w:val="clear" w:color="000000" w:fill="FFFFFF"/>
            <w:noWrap/>
            <w:vAlign w:val="center"/>
            <w:hideMark/>
          </w:tcPr>
          <w:p w14:paraId="2113E5AF" w14:textId="77777777" w:rsidR="005B0A27" w:rsidRPr="00872D7E" w:rsidRDefault="005B0A27" w:rsidP="005B0A27">
            <w:pPr>
              <w:jc w:val="right"/>
              <w:rPr>
                <w:color w:val="000000"/>
                <w:sz w:val="14"/>
                <w:szCs w:val="14"/>
              </w:rPr>
            </w:pPr>
            <w:r w:rsidRPr="00872D7E">
              <w:rPr>
                <w:color w:val="000000"/>
                <w:sz w:val="14"/>
                <w:szCs w:val="14"/>
              </w:rPr>
              <w:t>10.257.067</w:t>
            </w:r>
          </w:p>
        </w:tc>
        <w:tc>
          <w:tcPr>
            <w:tcW w:w="413" w:type="pct"/>
            <w:tcBorders>
              <w:top w:val="nil"/>
              <w:left w:val="nil"/>
              <w:bottom w:val="nil"/>
              <w:right w:val="single" w:sz="4" w:space="0" w:color="auto"/>
            </w:tcBorders>
            <w:shd w:val="clear" w:color="000000" w:fill="FFFFFF"/>
            <w:noWrap/>
            <w:vAlign w:val="center"/>
            <w:hideMark/>
          </w:tcPr>
          <w:p w14:paraId="135F3E9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7F03244"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64C542A0"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606256CE"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72E03074" w14:textId="77777777" w:rsidR="005B0A27" w:rsidRPr="00872D7E" w:rsidRDefault="005B0A27" w:rsidP="005B0A27">
            <w:pPr>
              <w:rPr>
                <w:color w:val="000000"/>
                <w:sz w:val="14"/>
                <w:szCs w:val="14"/>
              </w:rPr>
            </w:pPr>
            <w:r w:rsidRPr="00872D7E">
              <w:rPr>
                <w:color w:val="000000"/>
                <w:sz w:val="14"/>
                <w:szCs w:val="14"/>
              </w:rPr>
              <w:t>3.3.</w:t>
            </w:r>
          </w:p>
        </w:tc>
        <w:tc>
          <w:tcPr>
            <w:tcW w:w="1873" w:type="pct"/>
            <w:tcBorders>
              <w:top w:val="nil"/>
              <w:left w:val="nil"/>
              <w:bottom w:val="nil"/>
              <w:right w:val="nil"/>
            </w:tcBorders>
            <w:shd w:val="clear" w:color="auto" w:fill="auto"/>
            <w:hideMark/>
          </w:tcPr>
          <w:p w14:paraId="1DAFC083" w14:textId="77777777" w:rsidR="005B0A27" w:rsidRPr="00872D7E" w:rsidRDefault="005B0A27" w:rsidP="005B0A27">
            <w:pPr>
              <w:rPr>
                <w:color w:val="000000"/>
                <w:sz w:val="14"/>
                <w:szCs w:val="14"/>
              </w:rPr>
            </w:pPr>
            <w:r w:rsidRPr="00872D7E">
              <w:rPr>
                <w:color w:val="000000"/>
                <w:sz w:val="14"/>
                <w:szCs w:val="14"/>
              </w:rPr>
              <w:t>Diğer</w:t>
            </w:r>
          </w:p>
        </w:tc>
        <w:tc>
          <w:tcPr>
            <w:tcW w:w="372" w:type="pct"/>
            <w:tcBorders>
              <w:top w:val="nil"/>
              <w:left w:val="single" w:sz="4" w:space="0" w:color="auto"/>
              <w:bottom w:val="nil"/>
              <w:right w:val="single" w:sz="4" w:space="0" w:color="auto"/>
            </w:tcBorders>
            <w:shd w:val="clear" w:color="auto" w:fill="auto"/>
            <w:vAlign w:val="center"/>
            <w:hideMark/>
          </w:tcPr>
          <w:p w14:paraId="7A792A7E"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156019DD"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2CCF0F4"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2B4486ED"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EF8F41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FB9B0FC"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01C79316"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608EE6EC"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37A9164C" w14:textId="77777777" w:rsidR="005B0A27" w:rsidRPr="00872D7E" w:rsidRDefault="005B0A27" w:rsidP="005B0A27">
            <w:pPr>
              <w:rPr>
                <w:b/>
                <w:bCs/>
                <w:color w:val="000000"/>
                <w:sz w:val="14"/>
                <w:szCs w:val="14"/>
              </w:rPr>
            </w:pPr>
            <w:r w:rsidRPr="00872D7E">
              <w:rPr>
                <w:b/>
                <w:bCs/>
                <w:color w:val="000000"/>
                <w:sz w:val="14"/>
                <w:szCs w:val="14"/>
              </w:rPr>
              <w:t>B.</w:t>
            </w:r>
          </w:p>
        </w:tc>
        <w:tc>
          <w:tcPr>
            <w:tcW w:w="1873" w:type="pct"/>
            <w:tcBorders>
              <w:top w:val="nil"/>
              <w:left w:val="nil"/>
              <w:bottom w:val="nil"/>
              <w:right w:val="nil"/>
            </w:tcBorders>
            <w:shd w:val="clear" w:color="auto" w:fill="auto"/>
            <w:hideMark/>
          </w:tcPr>
          <w:p w14:paraId="6CC93CF2" w14:textId="77777777" w:rsidR="005B0A27" w:rsidRPr="00872D7E" w:rsidRDefault="005B0A27" w:rsidP="005B0A27">
            <w:pPr>
              <w:rPr>
                <w:b/>
                <w:bCs/>
                <w:color w:val="000000"/>
                <w:sz w:val="14"/>
                <w:szCs w:val="14"/>
              </w:rPr>
            </w:pPr>
            <w:r w:rsidRPr="00872D7E">
              <w:rPr>
                <w:b/>
                <w:bCs/>
                <w:color w:val="000000"/>
                <w:sz w:val="14"/>
                <w:szCs w:val="14"/>
              </w:rPr>
              <w:t>EMANET VE REHİNLİ KIYMETLER (IV + V+VI)</w:t>
            </w:r>
          </w:p>
        </w:tc>
        <w:tc>
          <w:tcPr>
            <w:tcW w:w="372" w:type="pct"/>
            <w:tcBorders>
              <w:top w:val="nil"/>
              <w:left w:val="single" w:sz="4" w:space="0" w:color="auto"/>
              <w:bottom w:val="nil"/>
              <w:right w:val="single" w:sz="4" w:space="0" w:color="auto"/>
            </w:tcBorders>
            <w:shd w:val="clear" w:color="auto" w:fill="auto"/>
            <w:vAlign w:val="center"/>
            <w:hideMark/>
          </w:tcPr>
          <w:p w14:paraId="7F33F9DC"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08056722" w14:textId="77777777" w:rsidR="005B0A27" w:rsidRPr="00872D7E" w:rsidRDefault="005B0A27" w:rsidP="005B0A27">
            <w:pPr>
              <w:jc w:val="right"/>
              <w:rPr>
                <w:b/>
                <w:bCs/>
                <w:color w:val="000000"/>
                <w:sz w:val="14"/>
                <w:szCs w:val="14"/>
              </w:rPr>
            </w:pPr>
            <w:r w:rsidRPr="00872D7E">
              <w:rPr>
                <w:b/>
                <w:bCs/>
                <w:color w:val="000000"/>
                <w:sz w:val="14"/>
                <w:szCs w:val="14"/>
              </w:rPr>
              <w:t>365.912.543</w:t>
            </w:r>
          </w:p>
        </w:tc>
        <w:tc>
          <w:tcPr>
            <w:tcW w:w="413" w:type="pct"/>
            <w:tcBorders>
              <w:top w:val="nil"/>
              <w:left w:val="nil"/>
              <w:bottom w:val="nil"/>
              <w:right w:val="single" w:sz="4" w:space="0" w:color="auto"/>
            </w:tcBorders>
            <w:shd w:val="clear" w:color="000000" w:fill="FFFFFF"/>
            <w:noWrap/>
            <w:vAlign w:val="center"/>
            <w:hideMark/>
          </w:tcPr>
          <w:p w14:paraId="525240B8" w14:textId="77777777" w:rsidR="005B0A27" w:rsidRPr="00872D7E" w:rsidRDefault="005B0A27" w:rsidP="005B0A27">
            <w:pPr>
              <w:jc w:val="right"/>
              <w:rPr>
                <w:b/>
                <w:bCs/>
                <w:color w:val="000000"/>
                <w:sz w:val="14"/>
                <w:szCs w:val="14"/>
              </w:rPr>
            </w:pPr>
            <w:r w:rsidRPr="00872D7E">
              <w:rPr>
                <w:b/>
                <w:bCs/>
                <w:color w:val="000000"/>
                <w:sz w:val="14"/>
                <w:szCs w:val="14"/>
              </w:rPr>
              <w:t>173.681.823</w:t>
            </w:r>
          </w:p>
        </w:tc>
        <w:tc>
          <w:tcPr>
            <w:tcW w:w="424" w:type="pct"/>
            <w:tcBorders>
              <w:top w:val="nil"/>
              <w:left w:val="nil"/>
              <w:bottom w:val="nil"/>
              <w:right w:val="single" w:sz="4" w:space="0" w:color="auto"/>
            </w:tcBorders>
            <w:shd w:val="clear" w:color="000000" w:fill="FFFFFF"/>
            <w:noWrap/>
            <w:vAlign w:val="center"/>
            <w:hideMark/>
          </w:tcPr>
          <w:p w14:paraId="3889A39E" w14:textId="77777777" w:rsidR="005B0A27" w:rsidRPr="00872D7E" w:rsidRDefault="005B0A27" w:rsidP="005B0A27">
            <w:pPr>
              <w:jc w:val="right"/>
              <w:rPr>
                <w:b/>
                <w:bCs/>
                <w:color w:val="000000"/>
                <w:sz w:val="14"/>
                <w:szCs w:val="14"/>
              </w:rPr>
            </w:pPr>
            <w:r w:rsidRPr="00872D7E">
              <w:rPr>
                <w:b/>
                <w:bCs/>
                <w:color w:val="000000"/>
                <w:sz w:val="14"/>
                <w:szCs w:val="14"/>
              </w:rPr>
              <w:t>539.594.366</w:t>
            </w:r>
          </w:p>
        </w:tc>
        <w:tc>
          <w:tcPr>
            <w:tcW w:w="413" w:type="pct"/>
            <w:tcBorders>
              <w:top w:val="nil"/>
              <w:left w:val="nil"/>
              <w:bottom w:val="nil"/>
              <w:right w:val="single" w:sz="4" w:space="0" w:color="auto"/>
            </w:tcBorders>
            <w:shd w:val="clear" w:color="000000" w:fill="FFFFFF"/>
            <w:noWrap/>
            <w:vAlign w:val="center"/>
            <w:hideMark/>
          </w:tcPr>
          <w:p w14:paraId="1356B6E6" w14:textId="77777777" w:rsidR="005B0A27" w:rsidRPr="00872D7E" w:rsidRDefault="005B0A27" w:rsidP="005B0A27">
            <w:pPr>
              <w:jc w:val="right"/>
              <w:rPr>
                <w:b/>
                <w:bCs/>
                <w:color w:val="000000"/>
                <w:sz w:val="14"/>
                <w:szCs w:val="14"/>
              </w:rPr>
            </w:pPr>
            <w:r w:rsidRPr="00872D7E">
              <w:rPr>
                <w:b/>
                <w:bCs/>
                <w:color w:val="000000"/>
                <w:sz w:val="14"/>
                <w:szCs w:val="14"/>
              </w:rPr>
              <w:t>30</w:t>
            </w:r>
          </w:p>
        </w:tc>
        <w:tc>
          <w:tcPr>
            <w:tcW w:w="413" w:type="pct"/>
            <w:tcBorders>
              <w:top w:val="nil"/>
              <w:left w:val="nil"/>
              <w:bottom w:val="nil"/>
              <w:right w:val="single" w:sz="4" w:space="0" w:color="auto"/>
            </w:tcBorders>
            <w:shd w:val="clear" w:color="000000" w:fill="FFFFFF"/>
            <w:noWrap/>
            <w:vAlign w:val="center"/>
            <w:hideMark/>
          </w:tcPr>
          <w:p w14:paraId="00B34883" w14:textId="77777777" w:rsidR="005B0A27" w:rsidRPr="00872D7E" w:rsidRDefault="005B0A27" w:rsidP="005B0A27">
            <w:pPr>
              <w:jc w:val="right"/>
              <w:rPr>
                <w:b/>
                <w:bCs/>
                <w:color w:val="000000"/>
                <w:sz w:val="14"/>
                <w:szCs w:val="14"/>
              </w:rPr>
            </w:pPr>
            <w:r w:rsidRPr="00872D7E">
              <w:rPr>
                <w:b/>
                <w:bCs/>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78F16A7B" w14:textId="77777777" w:rsidR="005B0A27" w:rsidRPr="00872D7E" w:rsidRDefault="005B0A27" w:rsidP="005B0A27">
            <w:pPr>
              <w:jc w:val="right"/>
              <w:rPr>
                <w:b/>
                <w:bCs/>
                <w:color w:val="000000"/>
                <w:sz w:val="14"/>
                <w:szCs w:val="14"/>
              </w:rPr>
            </w:pPr>
            <w:r w:rsidRPr="00872D7E">
              <w:rPr>
                <w:b/>
                <w:bCs/>
                <w:color w:val="000000"/>
                <w:sz w:val="14"/>
                <w:szCs w:val="14"/>
              </w:rPr>
              <w:t>30</w:t>
            </w:r>
          </w:p>
        </w:tc>
      </w:tr>
      <w:tr w:rsidR="005B0A27" w:rsidRPr="00872D7E" w14:paraId="2CD7F4D2"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53DC2E0" w14:textId="77777777" w:rsidR="005B0A27" w:rsidRPr="00872D7E" w:rsidRDefault="005B0A27" w:rsidP="005B0A27">
            <w:pPr>
              <w:rPr>
                <w:b/>
                <w:bCs/>
                <w:color w:val="000000"/>
                <w:sz w:val="14"/>
                <w:szCs w:val="14"/>
              </w:rPr>
            </w:pPr>
            <w:r w:rsidRPr="00872D7E">
              <w:rPr>
                <w:b/>
                <w:bCs/>
                <w:color w:val="000000"/>
                <w:sz w:val="14"/>
                <w:szCs w:val="14"/>
              </w:rPr>
              <w:t>IV.</w:t>
            </w:r>
          </w:p>
        </w:tc>
        <w:tc>
          <w:tcPr>
            <w:tcW w:w="1873" w:type="pct"/>
            <w:tcBorders>
              <w:top w:val="nil"/>
              <w:left w:val="nil"/>
              <w:bottom w:val="nil"/>
              <w:right w:val="nil"/>
            </w:tcBorders>
            <w:shd w:val="clear" w:color="auto" w:fill="auto"/>
            <w:hideMark/>
          </w:tcPr>
          <w:p w14:paraId="0D69EEBC" w14:textId="77777777" w:rsidR="005B0A27" w:rsidRPr="00872D7E" w:rsidRDefault="005B0A27" w:rsidP="005B0A27">
            <w:pPr>
              <w:rPr>
                <w:b/>
                <w:bCs/>
                <w:color w:val="000000"/>
                <w:sz w:val="14"/>
                <w:szCs w:val="14"/>
              </w:rPr>
            </w:pPr>
            <w:r w:rsidRPr="00872D7E">
              <w:rPr>
                <w:b/>
                <w:bCs/>
                <w:color w:val="000000"/>
                <w:sz w:val="14"/>
                <w:szCs w:val="14"/>
              </w:rPr>
              <w:t>EMANET KIYMETLER</w:t>
            </w:r>
          </w:p>
        </w:tc>
        <w:tc>
          <w:tcPr>
            <w:tcW w:w="372" w:type="pct"/>
            <w:tcBorders>
              <w:top w:val="nil"/>
              <w:left w:val="single" w:sz="4" w:space="0" w:color="auto"/>
              <w:bottom w:val="nil"/>
              <w:right w:val="single" w:sz="4" w:space="0" w:color="auto"/>
            </w:tcBorders>
            <w:shd w:val="clear" w:color="auto" w:fill="auto"/>
            <w:vAlign w:val="center"/>
            <w:hideMark/>
          </w:tcPr>
          <w:p w14:paraId="33F8503B"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582AA82C" w14:textId="77777777" w:rsidR="005B0A27" w:rsidRPr="00872D7E" w:rsidRDefault="005B0A27" w:rsidP="005B0A27">
            <w:pPr>
              <w:jc w:val="right"/>
              <w:rPr>
                <w:b/>
                <w:bCs/>
                <w:color w:val="000000"/>
                <w:sz w:val="14"/>
                <w:szCs w:val="14"/>
              </w:rPr>
            </w:pPr>
            <w:r w:rsidRPr="00872D7E">
              <w:rPr>
                <w:b/>
                <w:bCs/>
                <w:color w:val="000000"/>
                <w:sz w:val="14"/>
                <w:szCs w:val="14"/>
              </w:rPr>
              <w:t>733.732</w:t>
            </w:r>
          </w:p>
        </w:tc>
        <w:tc>
          <w:tcPr>
            <w:tcW w:w="413" w:type="pct"/>
            <w:tcBorders>
              <w:top w:val="nil"/>
              <w:left w:val="nil"/>
              <w:bottom w:val="nil"/>
              <w:right w:val="single" w:sz="4" w:space="0" w:color="auto"/>
            </w:tcBorders>
            <w:shd w:val="clear" w:color="000000" w:fill="FFFFFF"/>
            <w:noWrap/>
            <w:vAlign w:val="center"/>
            <w:hideMark/>
          </w:tcPr>
          <w:p w14:paraId="7782776C" w14:textId="77777777" w:rsidR="005B0A27" w:rsidRPr="00872D7E" w:rsidRDefault="005B0A27" w:rsidP="005B0A27">
            <w:pPr>
              <w:jc w:val="right"/>
              <w:rPr>
                <w:b/>
                <w:bCs/>
                <w:color w:val="000000"/>
                <w:sz w:val="14"/>
                <w:szCs w:val="14"/>
              </w:rPr>
            </w:pPr>
            <w:r w:rsidRPr="00872D7E">
              <w:rPr>
                <w:b/>
                <w:bCs/>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632C6976" w14:textId="77777777" w:rsidR="005B0A27" w:rsidRPr="00872D7E" w:rsidRDefault="005B0A27" w:rsidP="005B0A27">
            <w:pPr>
              <w:jc w:val="right"/>
              <w:rPr>
                <w:b/>
                <w:bCs/>
                <w:color w:val="000000"/>
                <w:sz w:val="14"/>
                <w:szCs w:val="14"/>
              </w:rPr>
            </w:pPr>
            <w:r w:rsidRPr="00872D7E">
              <w:rPr>
                <w:b/>
                <w:bCs/>
                <w:color w:val="000000"/>
                <w:sz w:val="14"/>
                <w:szCs w:val="14"/>
              </w:rPr>
              <w:t>733.732</w:t>
            </w:r>
          </w:p>
        </w:tc>
        <w:tc>
          <w:tcPr>
            <w:tcW w:w="413" w:type="pct"/>
            <w:tcBorders>
              <w:top w:val="nil"/>
              <w:left w:val="nil"/>
              <w:bottom w:val="nil"/>
              <w:right w:val="single" w:sz="4" w:space="0" w:color="auto"/>
            </w:tcBorders>
            <w:shd w:val="clear" w:color="000000" w:fill="FFFFFF"/>
            <w:noWrap/>
            <w:vAlign w:val="center"/>
            <w:hideMark/>
          </w:tcPr>
          <w:p w14:paraId="39D6BE31" w14:textId="77777777" w:rsidR="005B0A27" w:rsidRPr="00872D7E" w:rsidRDefault="005B0A27" w:rsidP="005B0A27">
            <w:pPr>
              <w:jc w:val="right"/>
              <w:rPr>
                <w:b/>
                <w:bCs/>
                <w:color w:val="000000"/>
                <w:sz w:val="14"/>
                <w:szCs w:val="14"/>
              </w:rPr>
            </w:pPr>
            <w:r w:rsidRPr="00872D7E">
              <w:rPr>
                <w:b/>
                <w:bCs/>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E4B2DF8" w14:textId="77777777" w:rsidR="005B0A27" w:rsidRPr="00872D7E" w:rsidRDefault="005B0A27" w:rsidP="005B0A27">
            <w:pPr>
              <w:jc w:val="right"/>
              <w:rPr>
                <w:b/>
                <w:bCs/>
                <w:color w:val="000000"/>
                <w:sz w:val="14"/>
                <w:szCs w:val="14"/>
              </w:rPr>
            </w:pPr>
            <w:r w:rsidRPr="00872D7E">
              <w:rPr>
                <w:b/>
                <w:bCs/>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52F90EF" w14:textId="77777777" w:rsidR="005B0A27" w:rsidRPr="00872D7E" w:rsidRDefault="005B0A27" w:rsidP="005B0A27">
            <w:pPr>
              <w:jc w:val="right"/>
              <w:rPr>
                <w:b/>
                <w:bCs/>
                <w:color w:val="000000"/>
                <w:sz w:val="14"/>
                <w:szCs w:val="14"/>
              </w:rPr>
            </w:pPr>
            <w:r w:rsidRPr="00872D7E">
              <w:rPr>
                <w:b/>
                <w:bCs/>
                <w:color w:val="000000"/>
                <w:sz w:val="14"/>
                <w:szCs w:val="14"/>
              </w:rPr>
              <w:t>-</w:t>
            </w:r>
          </w:p>
        </w:tc>
      </w:tr>
      <w:tr w:rsidR="005B0A27" w:rsidRPr="00872D7E" w14:paraId="6B654D49"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73D7E784" w14:textId="77777777" w:rsidR="005B0A27" w:rsidRPr="00872D7E" w:rsidRDefault="005B0A27" w:rsidP="005B0A27">
            <w:pPr>
              <w:rPr>
                <w:color w:val="000000"/>
                <w:sz w:val="14"/>
                <w:szCs w:val="14"/>
              </w:rPr>
            </w:pPr>
            <w:r w:rsidRPr="00872D7E">
              <w:rPr>
                <w:color w:val="000000"/>
                <w:sz w:val="14"/>
                <w:szCs w:val="14"/>
              </w:rPr>
              <w:t>4.1.</w:t>
            </w:r>
          </w:p>
        </w:tc>
        <w:tc>
          <w:tcPr>
            <w:tcW w:w="1873" w:type="pct"/>
            <w:tcBorders>
              <w:top w:val="nil"/>
              <w:left w:val="nil"/>
              <w:bottom w:val="nil"/>
              <w:right w:val="nil"/>
            </w:tcBorders>
            <w:shd w:val="clear" w:color="auto" w:fill="auto"/>
            <w:hideMark/>
          </w:tcPr>
          <w:p w14:paraId="3CD99AE1" w14:textId="77777777" w:rsidR="005B0A27" w:rsidRPr="00872D7E" w:rsidRDefault="005B0A27" w:rsidP="005B0A27">
            <w:pPr>
              <w:rPr>
                <w:color w:val="000000"/>
                <w:sz w:val="14"/>
                <w:szCs w:val="14"/>
              </w:rPr>
            </w:pPr>
            <w:r w:rsidRPr="00872D7E">
              <w:rPr>
                <w:color w:val="000000"/>
                <w:sz w:val="14"/>
                <w:szCs w:val="14"/>
              </w:rPr>
              <w:t xml:space="preserve">Müşteri Fon </w:t>
            </w:r>
            <w:proofErr w:type="gramStart"/>
            <w:r w:rsidRPr="00872D7E">
              <w:rPr>
                <w:color w:val="000000"/>
                <w:sz w:val="14"/>
                <w:szCs w:val="14"/>
              </w:rPr>
              <w:t>Ve</w:t>
            </w:r>
            <w:proofErr w:type="gramEnd"/>
            <w:r w:rsidRPr="00872D7E">
              <w:rPr>
                <w:color w:val="000000"/>
                <w:sz w:val="14"/>
                <w:szCs w:val="14"/>
              </w:rPr>
              <w:t xml:space="preserve"> Portföy Mevcutları</w:t>
            </w:r>
          </w:p>
        </w:tc>
        <w:tc>
          <w:tcPr>
            <w:tcW w:w="372" w:type="pct"/>
            <w:tcBorders>
              <w:top w:val="nil"/>
              <w:left w:val="single" w:sz="4" w:space="0" w:color="auto"/>
              <w:bottom w:val="nil"/>
              <w:right w:val="single" w:sz="4" w:space="0" w:color="auto"/>
            </w:tcBorders>
            <w:shd w:val="clear" w:color="auto" w:fill="auto"/>
            <w:vAlign w:val="center"/>
            <w:hideMark/>
          </w:tcPr>
          <w:p w14:paraId="0317812F"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7C39A9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60DE393"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3DE07E01"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84ED30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3021473"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71D74B01"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7B679F06"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2852E753" w14:textId="77777777" w:rsidR="005B0A27" w:rsidRPr="00872D7E" w:rsidRDefault="005B0A27" w:rsidP="005B0A27">
            <w:pPr>
              <w:rPr>
                <w:color w:val="000000"/>
                <w:sz w:val="14"/>
                <w:szCs w:val="14"/>
              </w:rPr>
            </w:pPr>
            <w:r w:rsidRPr="00872D7E">
              <w:rPr>
                <w:color w:val="000000"/>
                <w:sz w:val="14"/>
                <w:szCs w:val="14"/>
              </w:rPr>
              <w:t>4.2.</w:t>
            </w:r>
          </w:p>
        </w:tc>
        <w:tc>
          <w:tcPr>
            <w:tcW w:w="1873" w:type="pct"/>
            <w:tcBorders>
              <w:top w:val="nil"/>
              <w:left w:val="nil"/>
              <w:bottom w:val="nil"/>
              <w:right w:val="nil"/>
            </w:tcBorders>
            <w:shd w:val="clear" w:color="auto" w:fill="auto"/>
            <w:hideMark/>
          </w:tcPr>
          <w:p w14:paraId="0F813418" w14:textId="77777777" w:rsidR="005B0A27" w:rsidRPr="00872D7E" w:rsidRDefault="005B0A27" w:rsidP="005B0A27">
            <w:pPr>
              <w:rPr>
                <w:color w:val="000000"/>
                <w:sz w:val="14"/>
                <w:szCs w:val="14"/>
              </w:rPr>
            </w:pPr>
            <w:r w:rsidRPr="00872D7E">
              <w:rPr>
                <w:color w:val="000000"/>
                <w:sz w:val="14"/>
                <w:szCs w:val="14"/>
              </w:rPr>
              <w:t>Emanete Alınan Menkul Değerler</w:t>
            </w:r>
          </w:p>
        </w:tc>
        <w:tc>
          <w:tcPr>
            <w:tcW w:w="372" w:type="pct"/>
            <w:tcBorders>
              <w:top w:val="nil"/>
              <w:left w:val="single" w:sz="4" w:space="0" w:color="auto"/>
              <w:bottom w:val="nil"/>
              <w:right w:val="single" w:sz="4" w:space="0" w:color="auto"/>
            </w:tcBorders>
            <w:shd w:val="clear" w:color="auto" w:fill="auto"/>
            <w:vAlign w:val="center"/>
            <w:hideMark/>
          </w:tcPr>
          <w:p w14:paraId="6AB8477F"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3A9BB79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2DFF222"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6458ABA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8BD694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57CAA33"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A9A4577"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41BCF696"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514C9D3E" w14:textId="77777777" w:rsidR="005B0A27" w:rsidRPr="00872D7E" w:rsidRDefault="005B0A27" w:rsidP="005B0A27">
            <w:pPr>
              <w:rPr>
                <w:color w:val="000000"/>
                <w:sz w:val="14"/>
                <w:szCs w:val="14"/>
              </w:rPr>
            </w:pPr>
            <w:r w:rsidRPr="00872D7E">
              <w:rPr>
                <w:color w:val="000000"/>
                <w:sz w:val="14"/>
                <w:szCs w:val="14"/>
              </w:rPr>
              <w:t>4.3.</w:t>
            </w:r>
          </w:p>
        </w:tc>
        <w:tc>
          <w:tcPr>
            <w:tcW w:w="1873" w:type="pct"/>
            <w:tcBorders>
              <w:top w:val="nil"/>
              <w:left w:val="nil"/>
              <w:bottom w:val="nil"/>
              <w:right w:val="nil"/>
            </w:tcBorders>
            <w:shd w:val="clear" w:color="auto" w:fill="auto"/>
            <w:hideMark/>
          </w:tcPr>
          <w:p w14:paraId="03393B4E" w14:textId="77777777" w:rsidR="005B0A27" w:rsidRPr="00872D7E" w:rsidRDefault="005B0A27" w:rsidP="005B0A27">
            <w:pPr>
              <w:rPr>
                <w:color w:val="000000"/>
                <w:sz w:val="14"/>
                <w:szCs w:val="14"/>
              </w:rPr>
            </w:pPr>
            <w:r w:rsidRPr="00872D7E">
              <w:rPr>
                <w:color w:val="000000"/>
                <w:sz w:val="14"/>
                <w:szCs w:val="14"/>
              </w:rPr>
              <w:t>Tahsile Alınan Çekler</w:t>
            </w:r>
          </w:p>
        </w:tc>
        <w:tc>
          <w:tcPr>
            <w:tcW w:w="372" w:type="pct"/>
            <w:tcBorders>
              <w:top w:val="nil"/>
              <w:left w:val="single" w:sz="4" w:space="0" w:color="auto"/>
              <w:bottom w:val="nil"/>
              <w:right w:val="single" w:sz="4" w:space="0" w:color="auto"/>
            </w:tcBorders>
            <w:shd w:val="clear" w:color="auto" w:fill="auto"/>
            <w:vAlign w:val="center"/>
            <w:hideMark/>
          </w:tcPr>
          <w:p w14:paraId="45A4C267"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5CC2C38F" w14:textId="77777777" w:rsidR="005B0A27" w:rsidRPr="00872D7E" w:rsidRDefault="005B0A27" w:rsidP="005B0A27">
            <w:pPr>
              <w:jc w:val="right"/>
              <w:rPr>
                <w:color w:val="000000"/>
                <w:sz w:val="14"/>
                <w:szCs w:val="14"/>
              </w:rPr>
            </w:pPr>
            <w:r w:rsidRPr="00872D7E">
              <w:rPr>
                <w:color w:val="000000"/>
                <w:sz w:val="14"/>
                <w:szCs w:val="14"/>
              </w:rPr>
              <w:t>733.732</w:t>
            </w:r>
          </w:p>
        </w:tc>
        <w:tc>
          <w:tcPr>
            <w:tcW w:w="413" w:type="pct"/>
            <w:tcBorders>
              <w:top w:val="nil"/>
              <w:left w:val="nil"/>
              <w:bottom w:val="nil"/>
              <w:right w:val="single" w:sz="4" w:space="0" w:color="auto"/>
            </w:tcBorders>
            <w:shd w:val="clear" w:color="000000" w:fill="FFFFFF"/>
            <w:noWrap/>
            <w:vAlign w:val="center"/>
            <w:hideMark/>
          </w:tcPr>
          <w:p w14:paraId="36D52323"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29B1B58E" w14:textId="77777777" w:rsidR="005B0A27" w:rsidRPr="00872D7E" w:rsidRDefault="005B0A27" w:rsidP="005B0A27">
            <w:pPr>
              <w:jc w:val="right"/>
              <w:rPr>
                <w:color w:val="000000"/>
                <w:sz w:val="14"/>
                <w:szCs w:val="14"/>
              </w:rPr>
            </w:pPr>
            <w:r w:rsidRPr="00872D7E">
              <w:rPr>
                <w:color w:val="000000"/>
                <w:sz w:val="14"/>
                <w:szCs w:val="14"/>
              </w:rPr>
              <w:t>733.732</w:t>
            </w:r>
          </w:p>
        </w:tc>
        <w:tc>
          <w:tcPr>
            <w:tcW w:w="413" w:type="pct"/>
            <w:tcBorders>
              <w:top w:val="nil"/>
              <w:left w:val="nil"/>
              <w:bottom w:val="nil"/>
              <w:right w:val="single" w:sz="4" w:space="0" w:color="auto"/>
            </w:tcBorders>
            <w:shd w:val="clear" w:color="000000" w:fill="FFFFFF"/>
            <w:noWrap/>
            <w:vAlign w:val="center"/>
            <w:hideMark/>
          </w:tcPr>
          <w:p w14:paraId="218ED92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02CD14F"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2668303"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23365681"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094CC152" w14:textId="77777777" w:rsidR="005B0A27" w:rsidRPr="00872D7E" w:rsidRDefault="005B0A27" w:rsidP="005B0A27">
            <w:pPr>
              <w:rPr>
                <w:color w:val="000000"/>
                <w:sz w:val="14"/>
                <w:szCs w:val="14"/>
              </w:rPr>
            </w:pPr>
            <w:r w:rsidRPr="00872D7E">
              <w:rPr>
                <w:color w:val="000000"/>
                <w:sz w:val="14"/>
                <w:szCs w:val="14"/>
              </w:rPr>
              <w:t>4.4.</w:t>
            </w:r>
          </w:p>
        </w:tc>
        <w:tc>
          <w:tcPr>
            <w:tcW w:w="1873" w:type="pct"/>
            <w:tcBorders>
              <w:top w:val="nil"/>
              <w:left w:val="nil"/>
              <w:bottom w:val="nil"/>
              <w:right w:val="nil"/>
            </w:tcBorders>
            <w:shd w:val="clear" w:color="auto" w:fill="auto"/>
            <w:hideMark/>
          </w:tcPr>
          <w:p w14:paraId="60A11EAF" w14:textId="77777777" w:rsidR="005B0A27" w:rsidRPr="00872D7E" w:rsidRDefault="005B0A27" w:rsidP="005B0A27">
            <w:pPr>
              <w:rPr>
                <w:color w:val="000000"/>
                <w:sz w:val="14"/>
                <w:szCs w:val="14"/>
              </w:rPr>
            </w:pPr>
            <w:r w:rsidRPr="00872D7E">
              <w:rPr>
                <w:color w:val="000000"/>
                <w:sz w:val="14"/>
                <w:szCs w:val="14"/>
              </w:rPr>
              <w:t>Tahsile Alınan Ticari Senetler</w:t>
            </w:r>
          </w:p>
        </w:tc>
        <w:tc>
          <w:tcPr>
            <w:tcW w:w="372" w:type="pct"/>
            <w:tcBorders>
              <w:top w:val="nil"/>
              <w:left w:val="single" w:sz="4" w:space="0" w:color="auto"/>
              <w:bottom w:val="nil"/>
              <w:right w:val="single" w:sz="4" w:space="0" w:color="auto"/>
            </w:tcBorders>
            <w:shd w:val="clear" w:color="auto" w:fill="auto"/>
            <w:vAlign w:val="center"/>
            <w:hideMark/>
          </w:tcPr>
          <w:p w14:paraId="20230CBF"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BACC7CF"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E7A5AE5"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26FDBF10"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F97814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2488BE4"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42B7BB9"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0E639019"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76A154B9" w14:textId="77777777" w:rsidR="005B0A27" w:rsidRPr="00872D7E" w:rsidRDefault="005B0A27" w:rsidP="005B0A27">
            <w:pPr>
              <w:rPr>
                <w:color w:val="000000"/>
                <w:sz w:val="14"/>
                <w:szCs w:val="14"/>
              </w:rPr>
            </w:pPr>
            <w:r w:rsidRPr="00872D7E">
              <w:rPr>
                <w:color w:val="000000"/>
                <w:sz w:val="14"/>
                <w:szCs w:val="14"/>
              </w:rPr>
              <w:t>4.5.</w:t>
            </w:r>
          </w:p>
        </w:tc>
        <w:tc>
          <w:tcPr>
            <w:tcW w:w="1873" w:type="pct"/>
            <w:tcBorders>
              <w:top w:val="nil"/>
              <w:left w:val="nil"/>
              <w:bottom w:val="nil"/>
              <w:right w:val="nil"/>
            </w:tcBorders>
            <w:shd w:val="clear" w:color="auto" w:fill="auto"/>
            <w:hideMark/>
          </w:tcPr>
          <w:p w14:paraId="263C3073" w14:textId="77777777" w:rsidR="005B0A27" w:rsidRPr="00872D7E" w:rsidRDefault="005B0A27" w:rsidP="005B0A27">
            <w:pPr>
              <w:rPr>
                <w:color w:val="000000"/>
                <w:sz w:val="14"/>
                <w:szCs w:val="14"/>
              </w:rPr>
            </w:pPr>
            <w:r w:rsidRPr="00872D7E">
              <w:rPr>
                <w:color w:val="000000"/>
                <w:sz w:val="14"/>
                <w:szCs w:val="14"/>
              </w:rPr>
              <w:t>Tahsile Alınan Diğer Kıymetler</w:t>
            </w:r>
          </w:p>
        </w:tc>
        <w:tc>
          <w:tcPr>
            <w:tcW w:w="372" w:type="pct"/>
            <w:tcBorders>
              <w:top w:val="nil"/>
              <w:left w:val="single" w:sz="4" w:space="0" w:color="auto"/>
              <w:bottom w:val="nil"/>
              <w:right w:val="single" w:sz="4" w:space="0" w:color="auto"/>
            </w:tcBorders>
            <w:shd w:val="clear" w:color="auto" w:fill="auto"/>
            <w:vAlign w:val="center"/>
            <w:hideMark/>
          </w:tcPr>
          <w:p w14:paraId="6E1B6D56"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2D3E79F9"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0DA1781"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59C485B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34B36EA"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786A2FF"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6327F15E"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469415A1"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C9BC69B" w14:textId="77777777" w:rsidR="005B0A27" w:rsidRPr="00872D7E" w:rsidRDefault="005B0A27" w:rsidP="005B0A27">
            <w:pPr>
              <w:rPr>
                <w:color w:val="000000"/>
                <w:sz w:val="14"/>
                <w:szCs w:val="14"/>
              </w:rPr>
            </w:pPr>
            <w:r w:rsidRPr="00872D7E">
              <w:rPr>
                <w:color w:val="000000"/>
                <w:sz w:val="14"/>
                <w:szCs w:val="14"/>
              </w:rPr>
              <w:t>4.6.</w:t>
            </w:r>
          </w:p>
        </w:tc>
        <w:tc>
          <w:tcPr>
            <w:tcW w:w="1873" w:type="pct"/>
            <w:tcBorders>
              <w:top w:val="nil"/>
              <w:left w:val="nil"/>
              <w:bottom w:val="nil"/>
              <w:right w:val="nil"/>
            </w:tcBorders>
            <w:shd w:val="clear" w:color="auto" w:fill="auto"/>
            <w:hideMark/>
          </w:tcPr>
          <w:p w14:paraId="1F1EF2A4" w14:textId="77777777" w:rsidR="005B0A27" w:rsidRPr="00872D7E" w:rsidRDefault="005B0A27" w:rsidP="005B0A27">
            <w:pPr>
              <w:rPr>
                <w:color w:val="000000"/>
                <w:sz w:val="14"/>
                <w:szCs w:val="14"/>
              </w:rPr>
            </w:pPr>
            <w:r w:rsidRPr="00872D7E">
              <w:rPr>
                <w:color w:val="000000"/>
                <w:sz w:val="14"/>
                <w:szCs w:val="14"/>
              </w:rPr>
              <w:t>İhracına Aracı Olunan Kıymetler</w:t>
            </w:r>
          </w:p>
        </w:tc>
        <w:tc>
          <w:tcPr>
            <w:tcW w:w="372" w:type="pct"/>
            <w:tcBorders>
              <w:top w:val="nil"/>
              <w:left w:val="single" w:sz="4" w:space="0" w:color="auto"/>
              <w:bottom w:val="nil"/>
              <w:right w:val="single" w:sz="4" w:space="0" w:color="auto"/>
            </w:tcBorders>
            <w:shd w:val="clear" w:color="auto" w:fill="auto"/>
            <w:vAlign w:val="center"/>
            <w:hideMark/>
          </w:tcPr>
          <w:p w14:paraId="014F3840"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572DAB5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E131C60"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0E343FCE"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5808CC5"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FA50742"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69143076"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6E4C5071"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3A0E9782" w14:textId="77777777" w:rsidR="005B0A27" w:rsidRPr="00872D7E" w:rsidRDefault="005B0A27" w:rsidP="005B0A27">
            <w:pPr>
              <w:rPr>
                <w:color w:val="000000"/>
                <w:sz w:val="14"/>
                <w:szCs w:val="14"/>
              </w:rPr>
            </w:pPr>
            <w:r w:rsidRPr="00872D7E">
              <w:rPr>
                <w:color w:val="000000"/>
                <w:sz w:val="14"/>
                <w:szCs w:val="14"/>
              </w:rPr>
              <w:t>4.7.</w:t>
            </w:r>
          </w:p>
        </w:tc>
        <w:tc>
          <w:tcPr>
            <w:tcW w:w="1873" w:type="pct"/>
            <w:tcBorders>
              <w:top w:val="nil"/>
              <w:left w:val="nil"/>
              <w:bottom w:val="nil"/>
              <w:right w:val="nil"/>
            </w:tcBorders>
            <w:shd w:val="clear" w:color="auto" w:fill="auto"/>
            <w:hideMark/>
          </w:tcPr>
          <w:p w14:paraId="5CD71DC8" w14:textId="77777777" w:rsidR="005B0A27" w:rsidRPr="00872D7E" w:rsidRDefault="005B0A27" w:rsidP="005B0A27">
            <w:pPr>
              <w:rPr>
                <w:color w:val="000000"/>
                <w:sz w:val="14"/>
                <w:szCs w:val="14"/>
              </w:rPr>
            </w:pPr>
            <w:r w:rsidRPr="00872D7E">
              <w:rPr>
                <w:color w:val="000000"/>
                <w:sz w:val="14"/>
                <w:szCs w:val="14"/>
              </w:rPr>
              <w:t>Diğer Emanet Kıymetler</w:t>
            </w:r>
          </w:p>
        </w:tc>
        <w:tc>
          <w:tcPr>
            <w:tcW w:w="372" w:type="pct"/>
            <w:tcBorders>
              <w:top w:val="nil"/>
              <w:left w:val="single" w:sz="4" w:space="0" w:color="auto"/>
              <w:bottom w:val="nil"/>
              <w:right w:val="single" w:sz="4" w:space="0" w:color="auto"/>
            </w:tcBorders>
            <w:shd w:val="clear" w:color="auto" w:fill="auto"/>
            <w:vAlign w:val="center"/>
            <w:hideMark/>
          </w:tcPr>
          <w:p w14:paraId="439E6D67"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2FD7E9E7"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9350276"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51AC1D8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2F62B9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8F26438"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15FB8C91"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43AC85F8"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00B700FB" w14:textId="77777777" w:rsidR="005B0A27" w:rsidRPr="00872D7E" w:rsidRDefault="005B0A27" w:rsidP="005B0A27">
            <w:pPr>
              <w:rPr>
                <w:color w:val="000000"/>
                <w:sz w:val="14"/>
                <w:szCs w:val="14"/>
              </w:rPr>
            </w:pPr>
            <w:r w:rsidRPr="00872D7E">
              <w:rPr>
                <w:color w:val="000000"/>
                <w:sz w:val="14"/>
                <w:szCs w:val="14"/>
              </w:rPr>
              <w:t>4.8.</w:t>
            </w:r>
          </w:p>
        </w:tc>
        <w:tc>
          <w:tcPr>
            <w:tcW w:w="1873" w:type="pct"/>
            <w:tcBorders>
              <w:top w:val="nil"/>
              <w:left w:val="nil"/>
              <w:bottom w:val="nil"/>
              <w:right w:val="nil"/>
            </w:tcBorders>
            <w:shd w:val="clear" w:color="auto" w:fill="auto"/>
            <w:hideMark/>
          </w:tcPr>
          <w:p w14:paraId="07AD4F77" w14:textId="77777777" w:rsidR="005B0A27" w:rsidRPr="00872D7E" w:rsidRDefault="005B0A27" w:rsidP="005B0A27">
            <w:pPr>
              <w:rPr>
                <w:color w:val="000000"/>
                <w:sz w:val="14"/>
                <w:szCs w:val="14"/>
              </w:rPr>
            </w:pPr>
            <w:r w:rsidRPr="00872D7E">
              <w:rPr>
                <w:color w:val="000000"/>
                <w:sz w:val="14"/>
                <w:szCs w:val="14"/>
              </w:rPr>
              <w:t>Emanet Kıymet Alanlar</w:t>
            </w:r>
          </w:p>
        </w:tc>
        <w:tc>
          <w:tcPr>
            <w:tcW w:w="372" w:type="pct"/>
            <w:tcBorders>
              <w:top w:val="nil"/>
              <w:left w:val="single" w:sz="4" w:space="0" w:color="auto"/>
              <w:bottom w:val="nil"/>
              <w:right w:val="single" w:sz="4" w:space="0" w:color="auto"/>
            </w:tcBorders>
            <w:shd w:val="clear" w:color="auto" w:fill="auto"/>
            <w:vAlign w:val="center"/>
            <w:hideMark/>
          </w:tcPr>
          <w:p w14:paraId="1ECE3724"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682613D0"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7D30FCF"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17122FF3"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2FC63626"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62182479"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533C1989"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27B44B15"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4C9C55D5" w14:textId="77777777" w:rsidR="005B0A27" w:rsidRPr="00872D7E" w:rsidRDefault="005B0A27" w:rsidP="005B0A27">
            <w:pPr>
              <w:rPr>
                <w:b/>
                <w:bCs/>
                <w:color w:val="000000"/>
                <w:sz w:val="14"/>
                <w:szCs w:val="14"/>
              </w:rPr>
            </w:pPr>
            <w:r w:rsidRPr="00872D7E">
              <w:rPr>
                <w:b/>
                <w:bCs/>
                <w:color w:val="000000"/>
                <w:sz w:val="14"/>
                <w:szCs w:val="14"/>
              </w:rPr>
              <w:t>V.</w:t>
            </w:r>
          </w:p>
        </w:tc>
        <w:tc>
          <w:tcPr>
            <w:tcW w:w="1873" w:type="pct"/>
            <w:tcBorders>
              <w:top w:val="nil"/>
              <w:left w:val="nil"/>
              <w:bottom w:val="nil"/>
              <w:right w:val="nil"/>
            </w:tcBorders>
            <w:shd w:val="clear" w:color="auto" w:fill="auto"/>
            <w:hideMark/>
          </w:tcPr>
          <w:p w14:paraId="2495A4F2" w14:textId="77777777" w:rsidR="005B0A27" w:rsidRPr="00872D7E" w:rsidRDefault="005B0A27" w:rsidP="005B0A27">
            <w:pPr>
              <w:rPr>
                <w:b/>
                <w:bCs/>
                <w:color w:val="000000"/>
                <w:sz w:val="14"/>
                <w:szCs w:val="14"/>
              </w:rPr>
            </w:pPr>
            <w:r w:rsidRPr="00872D7E">
              <w:rPr>
                <w:b/>
                <w:bCs/>
                <w:color w:val="000000"/>
                <w:sz w:val="14"/>
                <w:szCs w:val="14"/>
              </w:rPr>
              <w:t>REHİNLİ KIYMETLER</w:t>
            </w:r>
          </w:p>
        </w:tc>
        <w:tc>
          <w:tcPr>
            <w:tcW w:w="372" w:type="pct"/>
            <w:tcBorders>
              <w:top w:val="nil"/>
              <w:left w:val="single" w:sz="4" w:space="0" w:color="auto"/>
              <w:bottom w:val="nil"/>
              <w:right w:val="single" w:sz="4" w:space="0" w:color="auto"/>
            </w:tcBorders>
            <w:shd w:val="clear" w:color="auto" w:fill="auto"/>
            <w:vAlign w:val="center"/>
            <w:hideMark/>
          </w:tcPr>
          <w:p w14:paraId="1BE5A637"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54265EB3" w14:textId="77777777" w:rsidR="005B0A27" w:rsidRPr="00872D7E" w:rsidRDefault="005B0A27" w:rsidP="005B0A27">
            <w:pPr>
              <w:jc w:val="right"/>
              <w:rPr>
                <w:b/>
                <w:bCs/>
                <w:color w:val="000000"/>
                <w:sz w:val="14"/>
                <w:szCs w:val="14"/>
              </w:rPr>
            </w:pPr>
            <w:r w:rsidRPr="00872D7E">
              <w:rPr>
                <w:b/>
                <w:bCs/>
                <w:color w:val="000000"/>
                <w:sz w:val="14"/>
                <w:szCs w:val="14"/>
              </w:rPr>
              <w:t>365.178.811</w:t>
            </w:r>
          </w:p>
        </w:tc>
        <w:tc>
          <w:tcPr>
            <w:tcW w:w="413" w:type="pct"/>
            <w:tcBorders>
              <w:top w:val="nil"/>
              <w:left w:val="nil"/>
              <w:bottom w:val="nil"/>
              <w:right w:val="single" w:sz="4" w:space="0" w:color="auto"/>
            </w:tcBorders>
            <w:shd w:val="clear" w:color="000000" w:fill="FFFFFF"/>
            <w:noWrap/>
            <w:vAlign w:val="center"/>
            <w:hideMark/>
          </w:tcPr>
          <w:p w14:paraId="5F0BE73F" w14:textId="77777777" w:rsidR="005B0A27" w:rsidRPr="00872D7E" w:rsidRDefault="005B0A27" w:rsidP="005B0A27">
            <w:pPr>
              <w:jc w:val="right"/>
              <w:rPr>
                <w:b/>
                <w:bCs/>
                <w:color w:val="000000"/>
                <w:sz w:val="14"/>
                <w:szCs w:val="14"/>
              </w:rPr>
            </w:pPr>
            <w:r w:rsidRPr="00872D7E">
              <w:rPr>
                <w:b/>
                <w:bCs/>
                <w:color w:val="000000"/>
                <w:sz w:val="14"/>
                <w:szCs w:val="14"/>
              </w:rPr>
              <w:t>173.681.823</w:t>
            </w:r>
          </w:p>
        </w:tc>
        <w:tc>
          <w:tcPr>
            <w:tcW w:w="424" w:type="pct"/>
            <w:tcBorders>
              <w:top w:val="nil"/>
              <w:left w:val="nil"/>
              <w:bottom w:val="nil"/>
              <w:right w:val="single" w:sz="4" w:space="0" w:color="auto"/>
            </w:tcBorders>
            <w:shd w:val="clear" w:color="000000" w:fill="FFFFFF"/>
            <w:noWrap/>
            <w:vAlign w:val="center"/>
            <w:hideMark/>
          </w:tcPr>
          <w:p w14:paraId="66B33D24" w14:textId="77777777" w:rsidR="005B0A27" w:rsidRPr="00872D7E" w:rsidRDefault="005B0A27" w:rsidP="005B0A27">
            <w:pPr>
              <w:jc w:val="right"/>
              <w:rPr>
                <w:b/>
                <w:bCs/>
                <w:color w:val="000000"/>
                <w:sz w:val="14"/>
                <w:szCs w:val="14"/>
              </w:rPr>
            </w:pPr>
            <w:r w:rsidRPr="00872D7E">
              <w:rPr>
                <w:b/>
                <w:bCs/>
                <w:color w:val="000000"/>
                <w:sz w:val="14"/>
                <w:szCs w:val="14"/>
              </w:rPr>
              <w:t>538.860.634</w:t>
            </w:r>
          </w:p>
        </w:tc>
        <w:tc>
          <w:tcPr>
            <w:tcW w:w="413" w:type="pct"/>
            <w:tcBorders>
              <w:top w:val="nil"/>
              <w:left w:val="nil"/>
              <w:bottom w:val="nil"/>
              <w:right w:val="single" w:sz="4" w:space="0" w:color="auto"/>
            </w:tcBorders>
            <w:shd w:val="clear" w:color="000000" w:fill="FFFFFF"/>
            <w:noWrap/>
            <w:vAlign w:val="center"/>
            <w:hideMark/>
          </w:tcPr>
          <w:p w14:paraId="053D8571" w14:textId="77777777" w:rsidR="005B0A27" w:rsidRPr="00872D7E" w:rsidRDefault="005B0A27" w:rsidP="005B0A27">
            <w:pPr>
              <w:jc w:val="right"/>
              <w:rPr>
                <w:b/>
                <w:bCs/>
                <w:color w:val="000000"/>
                <w:sz w:val="14"/>
                <w:szCs w:val="14"/>
              </w:rPr>
            </w:pPr>
            <w:r w:rsidRPr="00872D7E">
              <w:rPr>
                <w:b/>
                <w:bCs/>
                <w:color w:val="000000"/>
                <w:sz w:val="14"/>
                <w:szCs w:val="14"/>
              </w:rPr>
              <w:t>30</w:t>
            </w:r>
          </w:p>
        </w:tc>
        <w:tc>
          <w:tcPr>
            <w:tcW w:w="413" w:type="pct"/>
            <w:tcBorders>
              <w:top w:val="nil"/>
              <w:left w:val="nil"/>
              <w:bottom w:val="nil"/>
              <w:right w:val="single" w:sz="4" w:space="0" w:color="auto"/>
            </w:tcBorders>
            <w:shd w:val="clear" w:color="000000" w:fill="FFFFFF"/>
            <w:noWrap/>
            <w:vAlign w:val="center"/>
            <w:hideMark/>
          </w:tcPr>
          <w:p w14:paraId="24350117" w14:textId="77777777" w:rsidR="005B0A27" w:rsidRPr="00872D7E" w:rsidRDefault="005B0A27" w:rsidP="005B0A27">
            <w:pPr>
              <w:jc w:val="right"/>
              <w:rPr>
                <w:b/>
                <w:bCs/>
                <w:color w:val="000000"/>
                <w:sz w:val="14"/>
                <w:szCs w:val="14"/>
              </w:rPr>
            </w:pPr>
            <w:r w:rsidRPr="00872D7E">
              <w:rPr>
                <w:b/>
                <w:bCs/>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0779C4F" w14:textId="77777777" w:rsidR="005B0A27" w:rsidRPr="00872D7E" w:rsidRDefault="005B0A27" w:rsidP="005B0A27">
            <w:pPr>
              <w:jc w:val="right"/>
              <w:rPr>
                <w:b/>
                <w:bCs/>
                <w:color w:val="000000"/>
                <w:sz w:val="14"/>
                <w:szCs w:val="14"/>
              </w:rPr>
            </w:pPr>
            <w:r w:rsidRPr="00872D7E">
              <w:rPr>
                <w:b/>
                <w:bCs/>
                <w:color w:val="000000"/>
                <w:sz w:val="14"/>
                <w:szCs w:val="14"/>
              </w:rPr>
              <w:t>30</w:t>
            </w:r>
          </w:p>
        </w:tc>
      </w:tr>
      <w:tr w:rsidR="005B0A27" w:rsidRPr="00872D7E" w14:paraId="43A83B02"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4AB129F0" w14:textId="77777777" w:rsidR="005B0A27" w:rsidRPr="00872D7E" w:rsidRDefault="005B0A27" w:rsidP="005B0A27">
            <w:pPr>
              <w:rPr>
                <w:color w:val="000000"/>
                <w:sz w:val="14"/>
                <w:szCs w:val="14"/>
              </w:rPr>
            </w:pPr>
            <w:r w:rsidRPr="00872D7E">
              <w:rPr>
                <w:color w:val="000000"/>
                <w:sz w:val="14"/>
                <w:szCs w:val="14"/>
              </w:rPr>
              <w:t>5.1.</w:t>
            </w:r>
          </w:p>
        </w:tc>
        <w:tc>
          <w:tcPr>
            <w:tcW w:w="1873" w:type="pct"/>
            <w:tcBorders>
              <w:top w:val="nil"/>
              <w:left w:val="nil"/>
              <w:bottom w:val="nil"/>
              <w:right w:val="nil"/>
            </w:tcBorders>
            <w:shd w:val="clear" w:color="auto" w:fill="auto"/>
            <w:hideMark/>
          </w:tcPr>
          <w:p w14:paraId="09A2B6B4" w14:textId="77777777" w:rsidR="005B0A27" w:rsidRPr="00872D7E" w:rsidRDefault="005B0A27" w:rsidP="005B0A27">
            <w:pPr>
              <w:rPr>
                <w:color w:val="000000"/>
                <w:sz w:val="14"/>
                <w:szCs w:val="14"/>
              </w:rPr>
            </w:pPr>
            <w:r w:rsidRPr="00872D7E">
              <w:rPr>
                <w:color w:val="000000"/>
                <w:sz w:val="14"/>
                <w:szCs w:val="14"/>
              </w:rPr>
              <w:t>Menkul Kıymetler</w:t>
            </w:r>
          </w:p>
        </w:tc>
        <w:tc>
          <w:tcPr>
            <w:tcW w:w="372" w:type="pct"/>
            <w:tcBorders>
              <w:top w:val="nil"/>
              <w:left w:val="single" w:sz="4" w:space="0" w:color="auto"/>
              <w:bottom w:val="nil"/>
              <w:right w:val="single" w:sz="4" w:space="0" w:color="auto"/>
            </w:tcBorders>
            <w:shd w:val="clear" w:color="auto" w:fill="auto"/>
            <w:vAlign w:val="center"/>
            <w:hideMark/>
          </w:tcPr>
          <w:p w14:paraId="4247DB0D"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59AB5C6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E041390"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1D6F4DBC"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205F7A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9FA4052"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2082594A"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1C986752"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27EC8E60" w14:textId="77777777" w:rsidR="005B0A27" w:rsidRPr="00872D7E" w:rsidRDefault="005B0A27" w:rsidP="005B0A27">
            <w:pPr>
              <w:rPr>
                <w:color w:val="000000"/>
                <w:sz w:val="14"/>
                <w:szCs w:val="14"/>
              </w:rPr>
            </w:pPr>
            <w:r w:rsidRPr="00872D7E">
              <w:rPr>
                <w:color w:val="000000"/>
                <w:sz w:val="14"/>
                <w:szCs w:val="14"/>
              </w:rPr>
              <w:t>5.2.</w:t>
            </w:r>
          </w:p>
        </w:tc>
        <w:tc>
          <w:tcPr>
            <w:tcW w:w="1873" w:type="pct"/>
            <w:tcBorders>
              <w:top w:val="nil"/>
              <w:left w:val="nil"/>
              <w:bottom w:val="nil"/>
              <w:right w:val="nil"/>
            </w:tcBorders>
            <w:shd w:val="clear" w:color="auto" w:fill="auto"/>
            <w:hideMark/>
          </w:tcPr>
          <w:p w14:paraId="391EB9C3" w14:textId="77777777" w:rsidR="005B0A27" w:rsidRPr="00872D7E" w:rsidRDefault="005B0A27" w:rsidP="005B0A27">
            <w:pPr>
              <w:rPr>
                <w:color w:val="000000"/>
                <w:sz w:val="14"/>
                <w:szCs w:val="14"/>
              </w:rPr>
            </w:pPr>
            <w:r w:rsidRPr="00872D7E">
              <w:rPr>
                <w:color w:val="000000"/>
                <w:sz w:val="14"/>
                <w:szCs w:val="14"/>
              </w:rPr>
              <w:t>Teminat Senetleri</w:t>
            </w:r>
          </w:p>
        </w:tc>
        <w:tc>
          <w:tcPr>
            <w:tcW w:w="372" w:type="pct"/>
            <w:tcBorders>
              <w:top w:val="nil"/>
              <w:left w:val="single" w:sz="4" w:space="0" w:color="auto"/>
              <w:bottom w:val="nil"/>
              <w:right w:val="single" w:sz="4" w:space="0" w:color="auto"/>
            </w:tcBorders>
            <w:shd w:val="clear" w:color="auto" w:fill="auto"/>
            <w:vAlign w:val="center"/>
            <w:hideMark/>
          </w:tcPr>
          <w:p w14:paraId="6AC95337"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488A5BF7" w14:textId="77777777" w:rsidR="005B0A27" w:rsidRPr="00872D7E" w:rsidRDefault="005B0A27" w:rsidP="005B0A27">
            <w:pPr>
              <w:jc w:val="right"/>
              <w:rPr>
                <w:color w:val="000000"/>
                <w:sz w:val="14"/>
                <w:szCs w:val="14"/>
              </w:rPr>
            </w:pPr>
            <w:r w:rsidRPr="00872D7E">
              <w:rPr>
                <w:color w:val="000000"/>
                <w:sz w:val="14"/>
                <w:szCs w:val="14"/>
              </w:rPr>
              <w:t>48.939.242</w:t>
            </w:r>
          </w:p>
        </w:tc>
        <w:tc>
          <w:tcPr>
            <w:tcW w:w="413" w:type="pct"/>
            <w:tcBorders>
              <w:top w:val="nil"/>
              <w:left w:val="nil"/>
              <w:bottom w:val="nil"/>
              <w:right w:val="single" w:sz="4" w:space="0" w:color="auto"/>
            </w:tcBorders>
            <w:shd w:val="clear" w:color="000000" w:fill="FFFFFF"/>
            <w:noWrap/>
            <w:vAlign w:val="center"/>
            <w:hideMark/>
          </w:tcPr>
          <w:p w14:paraId="7EF6FDA6"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646DD139" w14:textId="77777777" w:rsidR="005B0A27" w:rsidRPr="00872D7E" w:rsidRDefault="005B0A27" w:rsidP="005B0A27">
            <w:pPr>
              <w:jc w:val="right"/>
              <w:rPr>
                <w:color w:val="000000"/>
                <w:sz w:val="14"/>
                <w:szCs w:val="14"/>
              </w:rPr>
            </w:pPr>
            <w:r w:rsidRPr="00872D7E">
              <w:rPr>
                <w:color w:val="000000"/>
                <w:sz w:val="14"/>
                <w:szCs w:val="14"/>
              </w:rPr>
              <w:t>48.939.242</w:t>
            </w:r>
          </w:p>
        </w:tc>
        <w:tc>
          <w:tcPr>
            <w:tcW w:w="413" w:type="pct"/>
            <w:tcBorders>
              <w:top w:val="nil"/>
              <w:left w:val="nil"/>
              <w:bottom w:val="nil"/>
              <w:right w:val="single" w:sz="4" w:space="0" w:color="auto"/>
            </w:tcBorders>
            <w:shd w:val="clear" w:color="000000" w:fill="FFFFFF"/>
            <w:noWrap/>
            <w:vAlign w:val="center"/>
            <w:hideMark/>
          </w:tcPr>
          <w:p w14:paraId="640064BA"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7E25186C"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7026D3CE"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7E5371C9"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1DC07468" w14:textId="77777777" w:rsidR="005B0A27" w:rsidRPr="00872D7E" w:rsidRDefault="005B0A27" w:rsidP="005B0A27">
            <w:pPr>
              <w:rPr>
                <w:color w:val="000000"/>
                <w:sz w:val="14"/>
                <w:szCs w:val="14"/>
              </w:rPr>
            </w:pPr>
            <w:r w:rsidRPr="00872D7E">
              <w:rPr>
                <w:color w:val="000000"/>
                <w:sz w:val="14"/>
                <w:szCs w:val="14"/>
              </w:rPr>
              <w:t>5.3.</w:t>
            </w:r>
          </w:p>
        </w:tc>
        <w:tc>
          <w:tcPr>
            <w:tcW w:w="1873" w:type="pct"/>
            <w:tcBorders>
              <w:top w:val="nil"/>
              <w:left w:val="nil"/>
              <w:bottom w:val="nil"/>
              <w:right w:val="nil"/>
            </w:tcBorders>
            <w:shd w:val="clear" w:color="auto" w:fill="auto"/>
            <w:hideMark/>
          </w:tcPr>
          <w:p w14:paraId="7B3E756C" w14:textId="77777777" w:rsidR="005B0A27" w:rsidRPr="00872D7E" w:rsidRDefault="005B0A27" w:rsidP="005B0A27">
            <w:pPr>
              <w:rPr>
                <w:color w:val="000000"/>
                <w:sz w:val="14"/>
                <w:szCs w:val="14"/>
              </w:rPr>
            </w:pPr>
            <w:r w:rsidRPr="00872D7E">
              <w:rPr>
                <w:color w:val="000000"/>
                <w:sz w:val="14"/>
                <w:szCs w:val="14"/>
              </w:rPr>
              <w:t>Emtia</w:t>
            </w:r>
          </w:p>
        </w:tc>
        <w:tc>
          <w:tcPr>
            <w:tcW w:w="372" w:type="pct"/>
            <w:tcBorders>
              <w:top w:val="nil"/>
              <w:left w:val="single" w:sz="4" w:space="0" w:color="auto"/>
              <w:bottom w:val="nil"/>
              <w:right w:val="single" w:sz="4" w:space="0" w:color="auto"/>
            </w:tcBorders>
            <w:shd w:val="clear" w:color="auto" w:fill="auto"/>
            <w:vAlign w:val="center"/>
            <w:hideMark/>
          </w:tcPr>
          <w:p w14:paraId="262BA08E"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72BB25D9" w14:textId="77777777" w:rsidR="005B0A27" w:rsidRPr="00872D7E" w:rsidRDefault="005B0A27" w:rsidP="005B0A27">
            <w:pPr>
              <w:jc w:val="right"/>
              <w:rPr>
                <w:color w:val="000000"/>
                <w:sz w:val="14"/>
                <w:szCs w:val="14"/>
              </w:rPr>
            </w:pPr>
            <w:r w:rsidRPr="00872D7E">
              <w:rPr>
                <w:color w:val="000000"/>
                <w:sz w:val="14"/>
                <w:szCs w:val="14"/>
              </w:rPr>
              <w:t>1.939.752</w:t>
            </w:r>
          </w:p>
        </w:tc>
        <w:tc>
          <w:tcPr>
            <w:tcW w:w="413" w:type="pct"/>
            <w:tcBorders>
              <w:top w:val="nil"/>
              <w:left w:val="nil"/>
              <w:bottom w:val="nil"/>
              <w:right w:val="single" w:sz="4" w:space="0" w:color="auto"/>
            </w:tcBorders>
            <w:shd w:val="clear" w:color="000000" w:fill="FFFFFF"/>
            <w:noWrap/>
            <w:vAlign w:val="center"/>
            <w:hideMark/>
          </w:tcPr>
          <w:p w14:paraId="10A7F3DD" w14:textId="77777777" w:rsidR="005B0A27" w:rsidRPr="00872D7E" w:rsidRDefault="005B0A27" w:rsidP="005B0A27">
            <w:pPr>
              <w:jc w:val="right"/>
              <w:rPr>
                <w:color w:val="000000"/>
                <w:sz w:val="14"/>
                <w:szCs w:val="14"/>
              </w:rPr>
            </w:pPr>
            <w:r w:rsidRPr="00872D7E">
              <w:rPr>
                <w:color w:val="000000"/>
                <w:sz w:val="14"/>
                <w:szCs w:val="14"/>
              </w:rPr>
              <w:t>323.937</w:t>
            </w:r>
          </w:p>
        </w:tc>
        <w:tc>
          <w:tcPr>
            <w:tcW w:w="424" w:type="pct"/>
            <w:tcBorders>
              <w:top w:val="nil"/>
              <w:left w:val="nil"/>
              <w:bottom w:val="nil"/>
              <w:right w:val="single" w:sz="4" w:space="0" w:color="auto"/>
            </w:tcBorders>
            <w:shd w:val="clear" w:color="000000" w:fill="FFFFFF"/>
            <w:noWrap/>
            <w:vAlign w:val="center"/>
            <w:hideMark/>
          </w:tcPr>
          <w:p w14:paraId="16432CD8" w14:textId="77777777" w:rsidR="005B0A27" w:rsidRPr="00872D7E" w:rsidRDefault="005B0A27" w:rsidP="005B0A27">
            <w:pPr>
              <w:jc w:val="right"/>
              <w:rPr>
                <w:color w:val="000000"/>
                <w:sz w:val="14"/>
                <w:szCs w:val="14"/>
              </w:rPr>
            </w:pPr>
            <w:r w:rsidRPr="00872D7E">
              <w:rPr>
                <w:color w:val="000000"/>
                <w:sz w:val="14"/>
                <w:szCs w:val="14"/>
              </w:rPr>
              <w:t>2.263.689</w:t>
            </w:r>
          </w:p>
        </w:tc>
        <w:tc>
          <w:tcPr>
            <w:tcW w:w="413" w:type="pct"/>
            <w:tcBorders>
              <w:top w:val="nil"/>
              <w:left w:val="nil"/>
              <w:bottom w:val="nil"/>
              <w:right w:val="single" w:sz="4" w:space="0" w:color="auto"/>
            </w:tcBorders>
            <w:shd w:val="clear" w:color="000000" w:fill="FFFFFF"/>
            <w:noWrap/>
            <w:vAlign w:val="center"/>
            <w:hideMark/>
          </w:tcPr>
          <w:p w14:paraId="2A1C1FDB"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13FECFAE"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317205C0"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03EDA636"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2412075" w14:textId="77777777" w:rsidR="005B0A27" w:rsidRPr="00872D7E" w:rsidRDefault="005B0A27" w:rsidP="005B0A27">
            <w:pPr>
              <w:rPr>
                <w:color w:val="000000"/>
                <w:sz w:val="14"/>
                <w:szCs w:val="14"/>
              </w:rPr>
            </w:pPr>
            <w:r w:rsidRPr="00872D7E">
              <w:rPr>
                <w:color w:val="000000"/>
                <w:sz w:val="14"/>
                <w:szCs w:val="14"/>
              </w:rPr>
              <w:t>5.4.</w:t>
            </w:r>
          </w:p>
        </w:tc>
        <w:tc>
          <w:tcPr>
            <w:tcW w:w="1873" w:type="pct"/>
            <w:tcBorders>
              <w:top w:val="nil"/>
              <w:left w:val="nil"/>
              <w:bottom w:val="nil"/>
              <w:right w:val="nil"/>
            </w:tcBorders>
            <w:shd w:val="clear" w:color="auto" w:fill="auto"/>
            <w:hideMark/>
          </w:tcPr>
          <w:p w14:paraId="77870CD4" w14:textId="77777777" w:rsidR="005B0A27" w:rsidRPr="00872D7E" w:rsidRDefault="005B0A27" w:rsidP="005B0A27">
            <w:pPr>
              <w:rPr>
                <w:color w:val="000000"/>
                <w:sz w:val="14"/>
                <w:szCs w:val="14"/>
              </w:rPr>
            </w:pPr>
            <w:r w:rsidRPr="00872D7E">
              <w:rPr>
                <w:color w:val="000000"/>
                <w:sz w:val="14"/>
                <w:szCs w:val="14"/>
              </w:rPr>
              <w:t>Varant</w:t>
            </w:r>
          </w:p>
        </w:tc>
        <w:tc>
          <w:tcPr>
            <w:tcW w:w="372" w:type="pct"/>
            <w:tcBorders>
              <w:top w:val="nil"/>
              <w:left w:val="single" w:sz="4" w:space="0" w:color="auto"/>
              <w:bottom w:val="nil"/>
              <w:right w:val="single" w:sz="4" w:space="0" w:color="auto"/>
            </w:tcBorders>
            <w:shd w:val="clear" w:color="auto" w:fill="auto"/>
            <w:vAlign w:val="center"/>
            <w:hideMark/>
          </w:tcPr>
          <w:p w14:paraId="1304298A"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21BA44D0"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01EEA374"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3B013BFC"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966F7C9"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3E3C9E34"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368E15F8"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5C4220DC"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4F0E144C" w14:textId="77777777" w:rsidR="005B0A27" w:rsidRPr="00872D7E" w:rsidRDefault="005B0A27" w:rsidP="005B0A27">
            <w:pPr>
              <w:rPr>
                <w:color w:val="000000"/>
                <w:sz w:val="14"/>
                <w:szCs w:val="14"/>
              </w:rPr>
            </w:pPr>
            <w:r w:rsidRPr="00872D7E">
              <w:rPr>
                <w:color w:val="000000"/>
                <w:sz w:val="14"/>
                <w:szCs w:val="14"/>
              </w:rPr>
              <w:t>5.5.</w:t>
            </w:r>
          </w:p>
        </w:tc>
        <w:tc>
          <w:tcPr>
            <w:tcW w:w="1873" w:type="pct"/>
            <w:tcBorders>
              <w:top w:val="nil"/>
              <w:left w:val="nil"/>
              <w:bottom w:val="nil"/>
              <w:right w:val="nil"/>
            </w:tcBorders>
            <w:shd w:val="clear" w:color="auto" w:fill="auto"/>
            <w:hideMark/>
          </w:tcPr>
          <w:p w14:paraId="6A2D87AA" w14:textId="77777777" w:rsidR="005B0A27" w:rsidRPr="00872D7E" w:rsidRDefault="005B0A27" w:rsidP="005B0A27">
            <w:pPr>
              <w:rPr>
                <w:color w:val="000000"/>
                <w:sz w:val="14"/>
                <w:szCs w:val="14"/>
              </w:rPr>
            </w:pPr>
            <w:r w:rsidRPr="00872D7E">
              <w:rPr>
                <w:color w:val="000000"/>
                <w:sz w:val="14"/>
                <w:szCs w:val="14"/>
              </w:rPr>
              <w:t>Gayrimenkul</w:t>
            </w:r>
          </w:p>
        </w:tc>
        <w:tc>
          <w:tcPr>
            <w:tcW w:w="372" w:type="pct"/>
            <w:tcBorders>
              <w:top w:val="nil"/>
              <w:left w:val="single" w:sz="4" w:space="0" w:color="auto"/>
              <w:bottom w:val="nil"/>
              <w:right w:val="single" w:sz="4" w:space="0" w:color="auto"/>
            </w:tcBorders>
            <w:shd w:val="clear" w:color="auto" w:fill="auto"/>
            <w:vAlign w:val="center"/>
            <w:hideMark/>
          </w:tcPr>
          <w:p w14:paraId="6FBA7FB6"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60C26C17" w14:textId="77777777" w:rsidR="005B0A27" w:rsidRPr="00872D7E" w:rsidRDefault="005B0A27" w:rsidP="005B0A27">
            <w:pPr>
              <w:jc w:val="right"/>
              <w:rPr>
                <w:color w:val="000000"/>
                <w:sz w:val="14"/>
                <w:szCs w:val="14"/>
              </w:rPr>
            </w:pPr>
            <w:r w:rsidRPr="00872D7E">
              <w:rPr>
                <w:color w:val="000000"/>
                <w:sz w:val="14"/>
                <w:szCs w:val="14"/>
              </w:rPr>
              <w:t>9.763.000</w:t>
            </w:r>
          </w:p>
        </w:tc>
        <w:tc>
          <w:tcPr>
            <w:tcW w:w="413" w:type="pct"/>
            <w:tcBorders>
              <w:top w:val="nil"/>
              <w:left w:val="nil"/>
              <w:bottom w:val="nil"/>
              <w:right w:val="single" w:sz="4" w:space="0" w:color="auto"/>
            </w:tcBorders>
            <w:shd w:val="clear" w:color="000000" w:fill="FFFFFF"/>
            <w:noWrap/>
            <w:vAlign w:val="center"/>
            <w:hideMark/>
          </w:tcPr>
          <w:p w14:paraId="1DB99BAE"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nil"/>
              <w:right w:val="single" w:sz="4" w:space="0" w:color="auto"/>
            </w:tcBorders>
            <w:shd w:val="clear" w:color="000000" w:fill="FFFFFF"/>
            <w:noWrap/>
            <w:vAlign w:val="center"/>
            <w:hideMark/>
          </w:tcPr>
          <w:p w14:paraId="74961635" w14:textId="77777777" w:rsidR="005B0A27" w:rsidRPr="00872D7E" w:rsidRDefault="005B0A27" w:rsidP="005B0A27">
            <w:pPr>
              <w:jc w:val="right"/>
              <w:rPr>
                <w:color w:val="000000"/>
                <w:sz w:val="14"/>
                <w:szCs w:val="14"/>
              </w:rPr>
            </w:pPr>
            <w:r w:rsidRPr="00872D7E">
              <w:rPr>
                <w:color w:val="000000"/>
                <w:sz w:val="14"/>
                <w:szCs w:val="14"/>
              </w:rPr>
              <w:t>9.763.000</w:t>
            </w:r>
          </w:p>
        </w:tc>
        <w:tc>
          <w:tcPr>
            <w:tcW w:w="413" w:type="pct"/>
            <w:tcBorders>
              <w:top w:val="nil"/>
              <w:left w:val="nil"/>
              <w:bottom w:val="nil"/>
              <w:right w:val="single" w:sz="4" w:space="0" w:color="auto"/>
            </w:tcBorders>
            <w:shd w:val="clear" w:color="000000" w:fill="FFFFFF"/>
            <w:noWrap/>
            <w:vAlign w:val="center"/>
            <w:hideMark/>
          </w:tcPr>
          <w:p w14:paraId="3CDEF1B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4FEB695F"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15363955"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5348CEB7" w14:textId="77777777" w:rsidTr="00296257">
        <w:trPr>
          <w:divId w:val="1819804053"/>
          <w:trHeight w:val="20"/>
        </w:trPr>
        <w:tc>
          <w:tcPr>
            <w:tcW w:w="265" w:type="pct"/>
            <w:tcBorders>
              <w:top w:val="nil"/>
              <w:left w:val="single" w:sz="4" w:space="0" w:color="auto"/>
              <w:bottom w:val="nil"/>
              <w:right w:val="nil"/>
            </w:tcBorders>
            <w:shd w:val="clear" w:color="auto" w:fill="auto"/>
            <w:hideMark/>
          </w:tcPr>
          <w:p w14:paraId="6FF36D7D" w14:textId="77777777" w:rsidR="005B0A27" w:rsidRPr="00872D7E" w:rsidRDefault="005B0A27" w:rsidP="005B0A27">
            <w:pPr>
              <w:rPr>
                <w:color w:val="000000"/>
                <w:sz w:val="14"/>
                <w:szCs w:val="14"/>
              </w:rPr>
            </w:pPr>
            <w:r w:rsidRPr="00872D7E">
              <w:rPr>
                <w:color w:val="000000"/>
                <w:sz w:val="14"/>
                <w:szCs w:val="14"/>
              </w:rPr>
              <w:t>5.6.</w:t>
            </w:r>
          </w:p>
        </w:tc>
        <w:tc>
          <w:tcPr>
            <w:tcW w:w="1873" w:type="pct"/>
            <w:tcBorders>
              <w:top w:val="nil"/>
              <w:left w:val="nil"/>
              <w:bottom w:val="nil"/>
              <w:right w:val="nil"/>
            </w:tcBorders>
            <w:shd w:val="clear" w:color="auto" w:fill="auto"/>
            <w:hideMark/>
          </w:tcPr>
          <w:p w14:paraId="68BC3EE2" w14:textId="77777777" w:rsidR="005B0A27" w:rsidRPr="00872D7E" w:rsidRDefault="005B0A27" w:rsidP="005B0A27">
            <w:pPr>
              <w:rPr>
                <w:color w:val="000000"/>
                <w:sz w:val="14"/>
                <w:szCs w:val="14"/>
              </w:rPr>
            </w:pPr>
            <w:r w:rsidRPr="00872D7E">
              <w:rPr>
                <w:color w:val="000000"/>
                <w:sz w:val="14"/>
                <w:szCs w:val="14"/>
              </w:rPr>
              <w:t>Diğer Rehinli Kıymetler</w:t>
            </w:r>
          </w:p>
        </w:tc>
        <w:tc>
          <w:tcPr>
            <w:tcW w:w="372" w:type="pct"/>
            <w:tcBorders>
              <w:top w:val="nil"/>
              <w:left w:val="single" w:sz="4" w:space="0" w:color="auto"/>
              <w:bottom w:val="nil"/>
              <w:right w:val="single" w:sz="4" w:space="0" w:color="auto"/>
            </w:tcBorders>
            <w:shd w:val="clear" w:color="auto" w:fill="auto"/>
            <w:vAlign w:val="center"/>
            <w:hideMark/>
          </w:tcPr>
          <w:p w14:paraId="18C5424A"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nil"/>
              <w:right w:val="single" w:sz="4" w:space="0" w:color="auto"/>
            </w:tcBorders>
            <w:shd w:val="clear" w:color="000000" w:fill="FFFFFF"/>
            <w:noWrap/>
            <w:vAlign w:val="center"/>
            <w:hideMark/>
          </w:tcPr>
          <w:p w14:paraId="628CD0B8" w14:textId="77777777" w:rsidR="005B0A27" w:rsidRPr="00872D7E" w:rsidRDefault="005B0A27" w:rsidP="005B0A27">
            <w:pPr>
              <w:jc w:val="right"/>
              <w:rPr>
                <w:color w:val="000000"/>
                <w:sz w:val="14"/>
                <w:szCs w:val="14"/>
              </w:rPr>
            </w:pPr>
            <w:r w:rsidRPr="00872D7E">
              <w:rPr>
                <w:color w:val="000000"/>
                <w:sz w:val="14"/>
                <w:szCs w:val="14"/>
              </w:rPr>
              <w:t>304.536.787</w:t>
            </w:r>
          </w:p>
        </w:tc>
        <w:tc>
          <w:tcPr>
            <w:tcW w:w="413" w:type="pct"/>
            <w:tcBorders>
              <w:top w:val="nil"/>
              <w:left w:val="nil"/>
              <w:bottom w:val="nil"/>
              <w:right w:val="single" w:sz="4" w:space="0" w:color="auto"/>
            </w:tcBorders>
            <w:shd w:val="clear" w:color="000000" w:fill="FFFFFF"/>
            <w:noWrap/>
            <w:vAlign w:val="center"/>
            <w:hideMark/>
          </w:tcPr>
          <w:p w14:paraId="4F3019C1" w14:textId="77777777" w:rsidR="005B0A27" w:rsidRPr="00872D7E" w:rsidRDefault="005B0A27" w:rsidP="005B0A27">
            <w:pPr>
              <w:jc w:val="right"/>
              <w:rPr>
                <w:color w:val="000000"/>
                <w:sz w:val="14"/>
                <w:szCs w:val="14"/>
              </w:rPr>
            </w:pPr>
            <w:r w:rsidRPr="00872D7E">
              <w:rPr>
                <w:color w:val="000000"/>
                <w:sz w:val="14"/>
                <w:szCs w:val="14"/>
              </w:rPr>
              <w:t>173.357.886</w:t>
            </w:r>
          </w:p>
        </w:tc>
        <w:tc>
          <w:tcPr>
            <w:tcW w:w="424" w:type="pct"/>
            <w:tcBorders>
              <w:top w:val="nil"/>
              <w:left w:val="nil"/>
              <w:bottom w:val="nil"/>
              <w:right w:val="single" w:sz="4" w:space="0" w:color="auto"/>
            </w:tcBorders>
            <w:shd w:val="clear" w:color="000000" w:fill="FFFFFF"/>
            <w:noWrap/>
            <w:vAlign w:val="center"/>
            <w:hideMark/>
          </w:tcPr>
          <w:p w14:paraId="0358E512" w14:textId="77777777" w:rsidR="005B0A27" w:rsidRPr="00872D7E" w:rsidRDefault="005B0A27" w:rsidP="005B0A27">
            <w:pPr>
              <w:jc w:val="right"/>
              <w:rPr>
                <w:color w:val="000000"/>
                <w:sz w:val="14"/>
                <w:szCs w:val="14"/>
              </w:rPr>
            </w:pPr>
            <w:r w:rsidRPr="00872D7E">
              <w:rPr>
                <w:color w:val="000000"/>
                <w:sz w:val="14"/>
                <w:szCs w:val="14"/>
              </w:rPr>
              <w:t>477.894.673</w:t>
            </w:r>
          </w:p>
        </w:tc>
        <w:tc>
          <w:tcPr>
            <w:tcW w:w="413" w:type="pct"/>
            <w:tcBorders>
              <w:top w:val="nil"/>
              <w:left w:val="nil"/>
              <w:bottom w:val="nil"/>
              <w:right w:val="single" w:sz="4" w:space="0" w:color="auto"/>
            </w:tcBorders>
            <w:shd w:val="clear" w:color="000000" w:fill="FFFFFF"/>
            <w:noWrap/>
            <w:vAlign w:val="center"/>
            <w:hideMark/>
          </w:tcPr>
          <w:p w14:paraId="0458A2DC"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nil"/>
              <w:right w:val="single" w:sz="4" w:space="0" w:color="auto"/>
            </w:tcBorders>
            <w:shd w:val="clear" w:color="000000" w:fill="FFFFFF"/>
            <w:noWrap/>
            <w:vAlign w:val="center"/>
            <w:hideMark/>
          </w:tcPr>
          <w:p w14:paraId="576C71B1"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nil"/>
              <w:right w:val="single" w:sz="4" w:space="0" w:color="auto"/>
            </w:tcBorders>
            <w:shd w:val="clear" w:color="000000" w:fill="FFFFFF"/>
            <w:noWrap/>
            <w:vAlign w:val="center"/>
            <w:hideMark/>
          </w:tcPr>
          <w:p w14:paraId="76526DBC"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00F0C974" w14:textId="77777777" w:rsidTr="00D910CD">
        <w:trPr>
          <w:divId w:val="1819804053"/>
          <w:trHeight w:val="20"/>
        </w:trPr>
        <w:tc>
          <w:tcPr>
            <w:tcW w:w="265" w:type="pct"/>
            <w:tcBorders>
              <w:top w:val="nil"/>
              <w:left w:val="single" w:sz="4" w:space="0" w:color="auto"/>
              <w:right w:val="nil"/>
            </w:tcBorders>
            <w:shd w:val="clear" w:color="auto" w:fill="auto"/>
            <w:hideMark/>
          </w:tcPr>
          <w:p w14:paraId="2B2F216B" w14:textId="77777777" w:rsidR="005B0A27" w:rsidRPr="00872D7E" w:rsidRDefault="005B0A27" w:rsidP="005B0A27">
            <w:pPr>
              <w:rPr>
                <w:color w:val="000000"/>
                <w:sz w:val="14"/>
                <w:szCs w:val="14"/>
              </w:rPr>
            </w:pPr>
            <w:r w:rsidRPr="00872D7E">
              <w:rPr>
                <w:color w:val="000000"/>
                <w:sz w:val="14"/>
                <w:szCs w:val="14"/>
              </w:rPr>
              <w:t>5.7.</w:t>
            </w:r>
          </w:p>
        </w:tc>
        <w:tc>
          <w:tcPr>
            <w:tcW w:w="1873" w:type="pct"/>
            <w:tcBorders>
              <w:top w:val="nil"/>
              <w:left w:val="nil"/>
              <w:right w:val="nil"/>
            </w:tcBorders>
            <w:shd w:val="clear" w:color="auto" w:fill="auto"/>
            <w:hideMark/>
          </w:tcPr>
          <w:p w14:paraId="4A21BEAB" w14:textId="77777777" w:rsidR="005B0A27" w:rsidRPr="00872D7E" w:rsidRDefault="005B0A27" w:rsidP="005B0A27">
            <w:pPr>
              <w:rPr>
                <w:color w:val="000000"/>
                <w:sz w:val="14"/>
                <w:szCs w:val="14"/>
              </w:rPr>
            </w:pPr>
            <w:r w:rsidRPr="00872D7E">
              <w:rPr>
                <w:color w:val="000000"/>
                <w:sz w:val="14"/>
                <w:szCs w:val="14"/>
              </w:rPr>
              <w:t>Rehinli Kıymet Alanlar</w:t>
            </w:r>
          </w:p>
        </w:tc>
        <w:tc>
          <w:tcPr>
            <w:tcW w:w="372" w:type="pct"/>
            <w:tcBorders>
              <w:top w:val="nil"/>
              <w:left w:val="single" w:sz="4" w:space="0" w:color="auto"/>
              <w:right w:val="single" w:sz="4" w:space="0" w:color="auto"/>
            </w:tcBorders>
            <w:shd w:val="clear" w:color="auto" w:fill="auto"/>
            <w:vAlign w:val="center"/>
            <w:hideMark/>
          </w:tcPr>
          <w:p w14:paraId="0B9C73D3"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right w:val="single" w:sz="4" w:space="0" w:color="auto"/>
            </w:tcBorders>
            <w:shd w:val="clear" w:color="000000" w:fill="FFFFFF"/>
            <w:noWrap/>
            <w:vAlign w:val="center"/>
            <w:hideMark/>
          </w:tcPr>
          <w:p w14:paraId="0C1426FE" w14:textId="77777777" w:rsidR="005B0A27" w:rsidRPr="00872D7E" w:rsidRDefault="005B0A27" w:rsidP="005B0A27">
            <w:pPr>
              <w:jc w:val="right"/>
              <w:rPr>
                <w:color w:val="000000"/>
                <w:sz w:val="14"/>
                <w:szCs w:val="14"/>
              </w:rPr>
            </w:pPr>
            <w:r w:rsidRPr="00872D7E">
              <w:rPr>
                <w:color w:val="000000"/>
                <w:sz w:val="14"/>
                <w:szCs w:val="14"/>
              </w:rPr>
              <w:t>30</w:t>
            </w:r>
          </w:p>
        </w:tc>
        <w:tc>
          <w:tcPr>
            <w:tcW w:w="413" w:type="pct"/>
            <w:tcBorders>
              <w:top w:val="nil"/>
              <w:left w:val="nil"/>
              <w:right w:val="single" w:sz="4" w:space="0" w:color="auto"/>
            </w:tcBorders>
            <w:shd w:val="clear" w:color="000000" w:fill="FFFFFF"/>
            <w:noWrap/>
            <w:vAlign w:val="center"/>
            <w:hideMark/>
          </w:tcPr>
          <w:p w14:paraId="7C28A0BB"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right w:val="single" w:sz="4" w:space="0" w:color="auto"/>
            </w:tcBorders>
            <w:shd w:val="clear" w:color="000000" w:fill="FFFFFF"/>
            <w:noWrap/>
            <w:vAlign w:val="center"/>
            <w:hideMark/>
          </w:tcPr>
          <w:p w14:paraId="3DAB2A8F" w14:textId="77777777" w:rsidR="005B0A27" w:rsidRPr="00872D7E" w:rsidRDefault="005B0A27" w:rsidP="005B0A27">
            <w:pPr>
              <w:jc w:val="right"/>
              <w:rPr>
                <w:color w:val="000000"/>
                <w:sz w:val="14"/>
                <w:szCs w:val="14"/>
              </w:rPr>
            </w:pPr>
            <w:r w:rsidRPr="00872D7E">
              <w:rPr>
                <w:color w:val="000000"/>
                <w:sz w:val="14"/>
                <w:szCs w:val="14"/>
              </w:rPr>
              <w:t>30</w:t>
            </w:r>
          </w:p>
        </w:tc>
        <w:tc>
          <w:tcPr>
            <w:tcW w:w="413" w:type="pct"/>
            <w:tcBorders>
              <w:top w:val="nil"/>
              <w:left w:val="nil"/>
              <w:right w:val="single" w:sz="4" w:space="0" w:color="auto"/>
            </w:tcBorders>
            <w:shd w:val="clear" w:color="000000" w:fill="FFFFFF"/>
            <w:noWrap/>
            <w:vAlign w:val="center"/>
            <w:hideMark/>
          </w:tcPr>
          <w:p w14:paraId="6A8C76E7" w14:textId="77777777" w:rsidR="005B0A27" w:rsidRPr="00872D7E" w:rsidRDefault="005B0A27" w:rsidP="005B0A27">
            <w:pPr>
              <w:jc w:val="right"/>
              <w:rPr>
                <w:color w:val="000000"/>
                <w:sz w:val="14"/>
                <w:szCs w:val="14"/>
              </w:rPr>
            </w:pPr>
            <w:r w:rsidRPr="00872D7E">
              <w:rPr>
                <w:color w:val="000000"/>
                <w:sz w:val="14"/>
                <w:szCs w:val="14"/>
              </w:rPr>
              <w:t>30</w:t>
            </w:r>
          </w:p>
        </w:tc>
        <w:tc>
          <w:tcPr>
            <w:tcW w:w="413" w:type="pct"/>
            <w:tcBorders>
              <w:top w:val="nil"/>
              <w:left w:val="nil"/>
              <w:right w:val="single" w:sz="4" w:space="0" w:color="auto"/>
            </w:tcBorders>
            <w:shd w:val="clear" w:color="000000" w:fill="FFFFFF"/>
            <w:noWrap/>
            <w:vAlign w:val="center"/>
            <w:hideMark/>
          </w:tcPr>
          <w:p w14:paraId="29BA7CA5"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right w:val="single" w:sz="4" w:space="0" w:color="auto"/>
            </w:tcBorders>
            <w:shd w:val="clear" w:color="000000" w:fill="FFFFFF"/>
            <w:noWrap/>
            <w:vAlign w:val="center"/>
            <w:hideMark/>
          </w:tcPr>
          <w:p w14:paraId="724CA207" w14:textId="77777777" w:rsidR="005B0A27" w:rsidRPr="00872D7E" w:rsidRDefault="005B0A27" w:rsidP="005B0A27">
            <w:pPr>
              <w:jc w:val="right"/>
              <w:rPr>
                <w:color w:val="000000"/>
                <w:sz w:val="14"/>
                <w:szCs w:val="14"/>
              </w:rPr>
            </w:pPr>
            <w:r w:rsidRPr="00872D7E">
              <w:rPr>
                <w:color w:val="000000"/>
                <w:sz w:val="14"/>
                <w:szCs w:val="14"/>
              </w:rPr>
              <w:t>30</w:t>
            </w:r>
          </w:p>
        </w:tc>
      </w:tr>
      <w:tr w:rsidR="005B0A27" w:rsidRPr="00872D7E" w14:paraId="14E4DA8D" w14:textId="77777777" w:rsidTr="00D910CD">
        <w:trPr>
          <w:divId w:val="1819804053"/>
          <w:trHeight w:val="20"/>
        </w:trPr>
        <w:tc>
          <w:tcPr>
            <w:tcW w:w="265" w:type="pct"/>
            <w:tcBorders>
              <w:top w:val="nil"/>
              <w:left w:val="single" w:sz="4" w:space="0" w:color="auto"/>
              <w:bottom w:val="single" w:sz="4" w:space="0" w:color="auto"/>
              <w:right w:val="nil"/>
            </w:tcBorders>
            <w:shd w:val="clear" w:color="auto" w:fill="auto"/>
            <w:hideMark/>
          </w:tcPr>
          <w:p w14:paraId="306D11A0" w14:textId="77777777" w:rsidR="005B0A27" w:rsidRPr="00872D7E" w:rsidRDefault="005B0A27" w:rsidP="005B0A27">
            <w:pPr>
              <w:rPr>
                <w:b/>
                <w:bCs/>
                <w:color w:val="000000"/>
                <w:sz w:val="14"/>
                <w:szCs w:val="14"/>
              </w:rPr>
            </w:pPr>
            <w:r w:rsidRPr="00872D7E">
              <w:rPr>
                <w:b/>
                <w:bCs/>
                <w:color w:val="000000"/>
                <w:sz w:val="14"/>
                <w:szCs w:val="14"/>
              </w:rPr>
              <w:t>VI.</w:t>
            </w:r>
          </w:p>
        </w:tc>
        <w:tc>
          <w:tcPr>
            <w:tcW w:w="1873" w:type="pct"/>
            <w:tcBorders>
              <w:top w:val="nil"/>
              <w:left w:val="nil"/>
              <w:bottom w:val="single" w:sz="4" w:space="0" w:color="auto"/>
              <w:right w:val="nil"/>
            </w:tcBorders>
            <w:shd w:val="clear" w:color="auto" w:fill="auto"/>
            <w:hideMark/>
          </w:tcPr>
          <w:p w14:paraId="634A0097" w14:textId="77777777" w:rsidR="005B0A27" w:rsidRPr="00872D7E" w:rsidRDefault="005B0A27" w:rsidP="005B0A27">
            <w:pPr>
              <w:rPr>
                <w:b/>
                <w:bCs/>
                <w:color w:val="000000"/>
                <w:sz w:val="14"/>
                <w:szCs w:val="14"/>
              </w:rPr>
            </w:pPr>
            <w:r w:rsidRPr="00872D7E">
              <w:rPr>
                <w:b/>
                <w:bCs/>
                <w:color w:val="000000"/>
                <w:sz w:val="14"/>
                <w:szCs w:val="14"/>
              </w:rPr>
              <w:t>KABUL EDİLEN AVALLER VE KEFALETLER</w:t>
            </w:r>
          </w:p>
        </w:tc>
        <w:tc>
          <w:tcPr>
            <w:tcW w:w="372" w:type="pct"/>
            <w:tcBorders>
              <w:top w:val="nil"/>
              <w:left w:val="single" w:sz="4" w:space="0" w:color="auto"/>
              <w:bottom w:val="single" w:sz="4" w:space="0" w:color="auto"/>
              <w:right w:val="single" w:sz="4" w:space="0" w:color="auto"/>
            </w:tcBorders>
            <w:shd w:val="clear" w:color="auto" w:fill="auto"/>
            <w:vAlign w:val="center"/>
            <w:hideMark/>
          </w:tcPr>
          <w:p w14:paraId="2905818D"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nil"/>
              <w:left w:val="nil"/>
              <w:bottom w:val="single" w:sz="4" w:space="0" w:color="auto"/>
              <w:right w:val="single" w:sz="4" w:space="0" w:color="auto"/>
            </w:tcBorders>
            <w:shd w:val="clear" w:color="000000" w:fill="FFFFFF"/>
            <w:noWrap/>
            <w:vAlign w:val="center"/>
            <w:hideMark/>
          </w:tcPr>
          <w:p w14:paraId="5347D48A"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single" w:sz="4" w:space="0" w:color="auto"/>
              <w:right w:val="single" w:sz="4" w:space="0" w:color="auto"/>
            </w:tcBorders>
            <w:shd w:val="clear" w:color="000000" w:fill="FFFFFF"/>
            <w:noWrap/>
            <w:vAlign w:val="center"/>
            <w:hideMark/>
          </w:tcPr>
          <w:p w14:paraId="05B19591" w14:textId="77777777" w:rsidR="005B0A27" w:rsidRPr="00872D7E" w:rsidRDefault="005B0A27" w:rsidP="005B0A27">
            <w:pPr>
              <w:jc w:val="right"/>
              <w:rPr>
                <w:color w:val="000000"/>
                <w:sz w:val="14"/>
                <w:szCs w:val="14"/>
              </w:rPr>
            </w:pPr>
            <w:r w:rsidRPr="00872D7E">
              <w:rPr>
                <w:color w:val="000000"/>
                <w:sz w:val="14"/>
                <w:szCs w:val="14"/>
              </w:rPr>
              <w:t>-</w:t>
            </w:r>
          </w:p>
        </w:tc>
        <w:tc>
          <w:tcPr>
            <w:tcW w:w="424" w:type="pct"/>
            <w:tcBorders>
              <w:top w:val="nil"/>
              <w:left w:val="nil"/>
              <w:bottom w:val="single" w:sz="4" w:space="0" w:color="auto"/>
              <w:right w:val="single" w:sz="4" w:space="0" w:color="auto"/>
            </w:tcBorders>
            <w:shd w:val="clear" w:color="000000" w:fill="FFFFFF"/>
            <w:noWrap/>
            <w:vAlign w:val="center"/>
            <w:hideMark/>
          </w:tcPr>
          <w:p w14:paraId="08C39094"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single" w:sz="4" w:space="0" w:color="auto"/>
              <w:right w:val="single" w:sz="4" w:space="0" w:color="auto"/>
            </w:tcBorders>
            <w:shd w:val="clear" w:color="000000" w:fill="FFFFFF"/>
            <w:noWrap/>
            <w:vAlign w:val="center"/>
            <w:hideMark/>
          </w:tcPr>
          <w:p w14:paraId="518E3A62" w14:textId="77777777" w:rsidR="005B0A27" w:rsidRPr="00872D7E" w:rsidRDefault="005B0A27" w:rsidP="005B0A27">
            <w:pPr>
              <w:jc w:val="right"/>
              <w:rPr>
                <w:color w:val="000000"/>
                <w:sz w:val="14"/>
                <w:szCs w:val="14"/>
              </w:rPr>
            </w:pPr>
            <w:r w:rsidRPr="00872D7E">
              <w:rPr>
                <w:color w:val="000000"/>
                <w:sz w:val="14"/>
                <w:szCs w:val="14"/>
              </w:rPr>
              <w:t>-</w:t>
            </w:r>
          </w:p>
        </w:tc>
        <w:tc>
          <w:tcPr>
            <w:tcW w:w="413" w:type="pct"/>
            <w:tcBorders>
              <w:top w:val="nil"/>
              <w:left w:val="nil"/>
              <w:bottom w:val="single" w:sz="4" w:space="0" w:color="auto"/>
              <w:right w:val="single" w:sz="4" w:space="0" w:color="auto"/>
            </w:tcBorders>
            <w:shd w:val="clear" w:color="000000" w:fill="FFFFFF"/>
            <w:noWrap/>
            <w:vAlign w:val="center"/>
            <w:hideMark/>
          </w:tcPr>
          <w:p w14:paraId="5862996B" w14:textId="77777777" w:rsidR="005B0A27" w:rsidRPr="00872D7E" w:rsidRDefault="005B0A27" w:rsidP="005B0A27">
            <w:pPr>
              <w:jc w:val="right"/>
              <w:rPr>
                <w:color w:val="000000"/>
                <w:sz w:val="14"/>
                <w:szCs w:val="14"/>
              </w:rPr>
            </w:pPr>
            <w:r w:rsidRPr="00872D7E">
              <w:rPr>
                <w:color w:val="000000"/>
                <w:sz w:val="14"/>
                <w:szCs w:val="14"/>
              </w:rPr>
              <w:t>-</w:t>
            </w:r>
          </w:p>
        </w:tc>
        <w:tc>
          <w:tcPr>
            <w:tcW w:w="414" w:type="pct"/>
            <w:tcBorders>
              <w:top w:val="nil"/>
              <w:left w:val="nil"/>
              <w:bottom w:val="single" w:sz="4" w:space="0" w:color="auto"/>
              <w:right w:val="single" w:sz="4" w:space="0" w:color="auto"/>
            </w:tcBorders>
            <w:shd w:val="clear" w:color="000000" w:fill="FFFFFF"/>
            <w:noWrap/>
            <w:vAlign w:val="center"/>
            <w:hideMark/>
          </w:tcPr>
          <w:p w14:paraId="59A47337" w14:textId="77777777" w:rsidR="005B0A27" w:rsidRPr="00872D7E" w:rsidRDefault="005B0A27" w:rsidP="005B0A27">
            <w:pPr>
              <w:jc w:val="right"/>
              <w:rPr>
                <w:color w:val="000000"/>
                <w:sz w:val="14"/>
                <w:szCs w:val="14"/>
              </w:rPr>
            </w:pPr>
            <w:r w:rsidRPr="00872D7E">
              <w:rPr>
                <w:color w:val="000000"/>
                <w:sz w:val="14"/>
                <w:szCs w:val="14"/>
              </w:rPr>
              <w:t>-</w:t>
            </w:r>
          </w:p>
        </w:tc>
      </w:tr>
      <w:tr w:rsidR="005B0A27" w:rsidRPr="00872D7E" w14:paraId="26AF8082" w14:textId="77777777" w:rsidTr="00D910CD">
        <w:trPr>
          <w:divId w:val="1819804053"/>
          <w:trHeight w:val="20"/>
        </w:trPr>
        <w:tc>
          <w:tcPr>
            <w:tcW w:w="265" w:type="pct"/>
            <w:tcBorders>
              <w:top w:val="single" w:sz="4" w:space="0" w:color="auto"/>
              <w:left w:val="single" w:sz="4" w:space="0" w:color="auto"/>
              <w:right w:val="nil"/>
            </w:tcBorders>
            <w:shd w:val="clear" w:color="auto" w:fill="auto"/>
            <w:hideMark/>
          </w:tcPr>
          <w:p w14:paraId="2AA11756" w14:textId="77777777" w:rsidR="005B0A27" w:rsidRPr="00872D7E" w:rsidRDefault="005B0A27" w:rsidP="005B0A27">
            <w:pPr>
              <w:jc w:val="both"/>
              <w:rPr>
                <w:color w:val="000000"/>
                <w:sz w:val="14"/>
                <w:szCs w:val="14"/>
              </w:rPr>
            </w:pPr>
            <w:r w:rsidRPr="00872D7E">
              <w:rPr>
                <w:color w:val="000000"/>
                <w:sz w:val="14"/>
                <w:szCs w:val="14"/>
              </w:rPr>
              <w:t> </w:t>
            </w:r>
          </w:p>
        </w:tc>
        <w:tc>
          <w:tcPr>
            <w:tcW w:w="1873" w:type="pct"/>
            <w:tcBorders>
              <w:top w:val="single" w:sz="4" w:space="0" w:color="auto"/>
              <w:left w:val="nil"/>
              <w:right w:val="nil"/>
            </w:tcBorders>
            <w:shd w:val="clear" w:color="auto" w:fill="auto"/>
            <w:hideMark/>
          </w:tcPr>
          <w:p w14:paraId="0108F5FE" w14:textId="77777777" w:rsidR="005B0A27" w:rsidRPr="00872D7E" w:rsidRDefault="005B0A27" w:rsidP="005B0A27">
            <w:pPr>
              <w:jc w:val="both"/>
              <w:rPr>
                <w:color w:val="000000"/>
                <w:sz w:val="14"/>
                <w:szCs w:val="14"/>
              </w:rPr>
            </w:pPr>
            <w:r w:rsidRPr="00872D7E">
              <w:rPr>
                <w:color w:val="000000"/>
                <w:sz w:val="14"/>
                <w:szCs w:val="14"/>
              </w:rPr>
              <w:t> </w:t>
            </w:r>
          </w:p>
        </w:tc>
        <w:tc>
          <w:tcPr>
            <w:tcW w:w="372" w:type="pct"/>
            <w:tcBorders>
              <w:top w:val="single" w:sz="4" w:space="0" w:color="auto"/>
              <w:left w:val="single" w:sz="4" w:space="0" w:color="auto"/>
              <w:right w:val="single" w:sz="4" w:space="0" w:color="auto"/>
            </w:tcBorders>
            <w:shd w:val="clear" w:color="auto" w:fill="auto"/>
            <w:vAlign w:val="center"/>
            <w:hideMark/>
          </w:tcPr>
          <w:p w14:paraId="4FD1CA25"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top w:val="single" w:sz="4" w:space="0" w:color="auto"/>
              <w:left w:val="nil"/>
              <w:right w:val="single" w:sz="4" w:space="0" w:color="auto"/>
            </w:tcBorders>
            <w:shd w:val="clear" w:color="auto" w:fill="auto"/>
            <w:vAlign w:val="center"/>
            <w:hideMark/>
          </w:tcPr>
          <w:p w14:paraId="3E44C21D" w14:textId="77777777" w:rsidR="005B0A27" w:rsidRPr="00872D7E" w:rsidRDefault="005B0A27" w:rsidP="005B0A27">
            <w:pPr>
              <w:jc w:val="right"/>
              <w:rPr>
                <w:color w:val="000000"/>
                <w:sz w:val="14"/>
                <w:szCs w:val="14"/>
              </w:rPr>
            </w:pPr>
            <w:r w:rsidRPr="00872D7E">
              <w:rPr>
                <w:color w:val="000000"/>
                <w:sz w:val="14"/>
                <w:szCs w:val="14"/>
              </w:rPr>
              <w:t> </w:t>
            </w:r>
          </w:p>
        </w:tc>
        <w:tc>
          <w:tcPr>
            <w:tcW w:w="413" w:type="pct"/>
            <w:tcBorders>
              <w:top w:val="single" w:sz="4" w:space="0" w:color="auto"/>
              <w:left w:val="nil"/>
              <w:right w:val="single" w:sz="4" w:space="0" w:color="auto"/>
            </w:tcBorders>
            <w:shd w:val="clear" w:color="auto" w:fill="auto"/>
            <w:vAlign w:val="center"/>
            <w:hideMark/>
          </w:tcPr>
          <w:p w14:paraId="6ED79B37" w14:textId="77777777" w:rsidR="005B0A27" w:rsidRPr="00872D7E" w:rsidRDefault="005B0A27" w:rsidP="005B0A27">
            <w:pPr>
              <w:jc w:val="right"/>
              <w:rPr>
                <w:color w:val="000000"/>
                <w:sz w:val="14"/>
                <w:szCs w:val="14"/>
              </w:rPr>
            </w:pPr>
            <w:r w:rsidRPr="00872D7E">
              <w:rPr>
                <w:color w:val="000000"/>
                <w:sz w:val="14"/>
                <w:szCs w:val="14"/>
              </w:rPr>
              <w:t> </w:t>
            </w:r>
          </w:p>
        </w:tc>
        <w:tc>
          <w:tcPr>
            <w:tcW w:w="424" w:type="pct"/>
            <w:tcBorders>
              <w:top w:val="single" w:sz="4" w:space="0" w:color="auto"/>
              <w:left w:val="nil"/>
              <w:right w:val="single" w:sz="4" w:space="0" w:color="auto"/>
            </w:tcBorders>
            <w:shd w:val="clear" w:color="auto" w:fill="auto"/>
            <w:vAlign w:val="center"/>
            <w:hideMark/>
          </w:tcPr>
          <w:p w14:paraId="606A6E29" w14:textId="77777777" w:rsidR="005B0A27" w:rsidRPr="00872D7E" w:rsidRDefault="005B0A27" w:rsidP="005B0A27">
            <w:pPr>
              <w:jc w:val="right"/>
              <w:rPr>
                <w:color w:val="000000"/>
                <w:sz w:val="14"/>
                <w:szCs w:val="14"/>
              </w:rPr>
            </w:pPr>
            <w:r w:rsidRPr="00872D7E">
              <w:rPr>
                <w:color w:val="000000"/>
                <w:sz w:val="14"/>
                <w:szCs w:val="14"/>
              </w:rPr>
              <w:t> </w:t>
            </w:r>
          </w:p>
        </w:tc>
        <w:tc>
          <w:tcPr>
            <w:tcW w:w="413" w:type="pct"/>
            <w:tcBorders>
              <w:top w:val="single" w:sz="4" w:space="0" w:color="auto"/>
              <w:left w:val="nil"/>
              <w:right w:val="single" w:sz="4" w:space="0" w:color="auto"/>
            </w:tcBorders>
            <w:shd w:val="clear" w:color="auto" w:fill="auto"/>
            <w:vAlign w:val="center"/>
            <w:hideMark/>
          </w:tcPr>
          <w:p w14:paraId="6E110B5C" w14:textId="77777777" w:rsidR="005B0A27" w:rsidRPr="00872D7E" w:rsidRDefault="005B0A27" w:rsidP="005B0A27">
            <w:pPr>
              <w:jc w:val="right"/>
              <w:rPr>
                <w:color w:val="000000"/>
                <w:sz w:val="14"/>
                <w:szCs w:val="14"/>
              </w:rPr>
            </w:pPr>
            <w:r w:rsidRPr="00872D7E">
              <w:rPr>
                <w:color w:val="000000"/>
                <w:sz w:val="14"/>
                <w:szCs w:val="14"/>
              </w:rPr>
              <w:t> </w:t>
            </w:r>
          </w:p>
        </w:tc>
        <w:tc>
          <w:tcPr>
            <w:tcW w:w="413" w:type="pct"/>
            <w:tcBorders>
              <w:top w:val="single" w:sz="4" w:space="0" w:color="auto"/>
              <w:left w:val="nil"/>
              <w:right w:val="single" w:sz="4" w:space="0" w:color="auto"/>
            </w:tcBorders>
            <w:shd w:val="clear" w:color="auto" w:fill="auto"/>
            <w:vAlign w:val="center"/>
            <w:hideMark/>
          </w:tcPr>
          <w:p w14:paraId="1EEDBAEA" w14:textId="77777777" w:rsidR="005B0A27" w:rsidRPr="00872D7E" w:rsidRDefault="005B0A27" w:rsidP="005B0A27">
            <w:pPr>
              <w:jc w:val="right"/>
              <w:rPr>
                <w:color w:val="000000"/>
                <w:sz w:val="14"/>
                <w:szCs w:val="14"/>
              </w:rPr>
            </w:pPr>
            <w:r w:rsidRPr="00872D7E">
              <w:rPr>
                <w:color w:val="000000"/>
                <w:sz w:val="14"/>
                <w:szCs w:val="14"/>
              </w:rPr>
              <w:t> </w:t>
            </w:r>
          </w:p>
        </w:tc>
        <w:tc>
          <w:tcPr>
            <w:tcW w:w="414" w:type="pct"/>
            <w:tcBorders>
              <w:top w:val="single" w:sz="4" w:space="0" w:color="auto"/>
              <w:left w:val="nil"/>
              <w:right w:val="single" w:sz="4" w:space="0" w:color="auto"/>
            </w:tcBorders>
            <w:shd w:val="clear" w:color="auto" w:fill="auto"/>
            <w:vAlign w:val="center"/>
            <w:hideMark/>
          </w:tcPr>
          <w:p w14:paraId="21286B77" w14:textId="77777777" w:rsidR="005B0A27" w:rsidRPr="00872D7E" w:rsidRDefault="005B0A27" w:rsidP="005B0A27">
            <w:pPr>
              <w:jc w:val="right"/>
              <w:rPr>
                <w:color w:val="000000"/>
                <w:sz w:val="14"/>
                <w:szCs w:val="14"/>
              </w:rPr>
            </w:pPr>
            <w:r w:rsidRPr="00872D7E">
              <w:rPr>
                <w:color w:val="000000"/>
                <w:sz w:val="14"/>
                <w:szCs w:val="14"/>
              </w:rPr>
              <w:t> </w:t>
            </w:r>
          </w:p>
        </w:tc>
      </w:tr>
      <w:tr w:rsidR="005B0A27" w:rsidRPr="00872D7E" w14:paraId="5FE1B81B" w14:textId="77777777" w:rsidTr="00D910CD">
        <w:trPr>
          <w:divId w:val="1819804053"/>
          <w:trHeight w:val="20"/>
        </w:trPr>
        <w:tc>
          <w:tcPr>
            <w:tcW w:w="265" w:type="pct"/>
            <w:tcBorders>
              <w:left w:val="single" w:sz="4" w:space="0" w:color="auto"/>
              <w:bottom w:val="single" w:sz="4" w:space="0" w:color="auto"/>
              <w:right w:val="nil"/>
            </w:tcBorders>
            <w:shd w:val="clear" w:color="auto" w:fill="auto"/>
            <w:hideMark/>
          </w:tcPr>
          <w:p w14:paraId="35E1D19F" w14:textId="77777777" w:rsidR="005B0A27" w:rsidRPr="00872D7E" w:rsidRDefault="005B0A27" w:rsidP="005B0A27">
            <w:pPr>
              <w:jc w:val="both"/>
              <w:rPr>
                <w:color w:val="000000"/>
                <w:sz w:val="14"/>
                <w:szCs w:val="14"/>
              </w:rPr>
            </w:pPr>
            <w:r w:rsidRPr="00872D7E">
              <w:rPr>
                <w:color w:val="000000"/>
                <w:sz w:val="14"/>
                <w:szCs w:val="14"/>
              </w:rPr>
              <w:t> </w:t>
            </w:r>
          </w:p>
        </w:tc>
        <w:tc>
          <w:tcPr>
            <w:tcW w:w="1873" w:type="pct"/>
            <w:tcBorders>
              <w:left w:val="nil"/>
              <w:bottom w:val="single" w:sz="4" w:space="0" w:color="auto"/>
              <w:right w:val="nil"/>
            </w:tcBorders>
            <w:shd w:val="clear" w:color="auto" w:fill="auto"/>
            <w:hideMark/>
          </w:tcPr>
          <w:p w14:paraId="333384CC" w14:textId="77777777" w:rsidR="005B0A27" w:rsidRPr="00872D7E" w:rsidRDefault="005B0A27" w:rsidP="005B0A27">
            <w:pPr>
              <w:jc w:val="both"/>
              <w:rPr>
                <w:b/>
                <w:bCs/>
                <w:color w:val="000000"/>
                <w:sz w:val="14"/>
                <w:szCs w:val="14"/>
              </w:rPr>
            </w:pPr>
            <w:r w:rsidRPr="00872D7E">
              <w:rPr>
                <w:b/>
                <w:bCs/>
                <w:color w:val="000000"/>
                <w:sz w:val="14"/>
                <w:szCs w:val="14"/>
              </w:rPr>
              <w:t>BİLANÇO DIŞI HESAPLAR TOPLAMI (A+B)</w:t>
            </w:r>
          </w:p>
        </w:tc>
        <w:tc>
          <w:tcPr>
            <w:tcW w:w="372" w:type="pct"/>
            <w:tcBorders>
              <w:left w:val="single" w:sz="4" w:space="0" w:color="auto"/>
              <w:bottom w:val="single" w:sz="4" w:space="0" w:color="auto"/>
              <w:right w:val="single" w:sz="4" w:space="0" w:color="auto"/>
            </w:tcBorders>
            <w:shd w:val="clear" w:color="auto" w:fill="auto"/>
            <w:vAlign w:val="bottom"/>
            <w:hideMark/>
          </w:tcPr>
          <w:p w14:paraId="5A7A5D40" w14:textId="77777777" w:rsidR="005B0A27" w:rsidRPr="00872D7E" w:rsidRDefault="005B0A27" w:rsidP="005B0A27">
            <w:pPr>
              <w:jc w:val="center"/>
              <w:rPr>
                <w:b/>
                <w:bCs/>
                <w:color w:val="000000"/>
                <w:sz w:val="14"/>
                <w:szCs w:val="14"/>
              </w:rPr>
            </w:pPr>
            <w:r w:rsidRPr="00872D7E">
              <w:rPr>
                <w:b/>
                <w:bCs/>
                <w:color w:val="000000"/>
                <w:sz w:val="14"/>
                <w:szCs w:val="14"/>
              </w:rPr>
              <w:t> </w:t>
            </w:r>
          </w:p>
        </w:tc>
        <w:tc>
          <w:tcPr>
            <w:tcW w:w="413" w:type="pct"/>
            <w:tcBorders>
              <w:left w:val="nil"/>
              <w:bottom w:val="single" w:sz="4" w:space="0" w:color="auto"/>
              <w:right w:val="single" w:sz="4" w:space="0" w:color="auto"/>
            </w:tcBorders>
            <w:shd w:val="clear" w:color="000000" w:fill="FFFFFF"/>
            <w:vAlign w:val="center"/>
            <w:hideMark/>
          </w:tcPr>
          <w:p w14:paraId="2358439B" w14:textId="77777777" w:rsidR="005B0A27" w:rsidRPr="00872D7E" w:rsidRDefault="005B0A27" w:rsidP="005B0A27">
            <w:pPr>
              <w:jc w:val="right"/>
              <w:rPr>
                <w:b/>
                <w:bCs/>
                <w:color w:val="000000"/>
                <w:sz w:val="14"/>
                <w:szCs w:val="14"/>
              </w:rPr>
            </w:pPr>
            <w:r w:rsidRPr="00872D7E">
              <w:rPr>
                <w:b/>
                <w:bCs/>
                <w:color w:val="000000"/>
                <w:sz w:val="14"/>
                <w:szCs w:val="14"/>
              </w:rPr>
              <w:t>377.518.883</w:t>
            </w:r>
          </w:p>
        </w:tc>
        <w:tc>
          <w:tcPr>
            <w:tcW w:w="413" w:type="pct"/>
            <w:tcBorders>
              <w:left w:val="nil"/>
              <w:bottom w:val="single" w:sz="4" w:space="0" w:color="auto"/>
              <w:right w:val="single" w:sz="4" w:space="0" w:color="auto"/>
            </w:tcBorders>
            <w:shd w:val="clear" w:color="000000" w:fill="FFFFFF"/>
            <w:vAlign w:val="center"/>
            <w:hideMark/>
          </w:tcPr>
          <w:p w14:paraId="0C26659B" w14:textId="77777777" w:rsidR="005B0A27" w:rsidRPr="00872D7E" w:rsidRDefault="005B0A27" w:rsidP="005B0A27">
            <w:pPr>
              <w:jc w:val="right"/>
              <w:rPr>
                <w:b/>
                <w:bCs/>
                <w:color w:val="000000"/>
                <w:sz w:val="14"/>
                <w:szCs w:val="14"/>
              </w:rPr>
            </w:pPr>
            <w:r w:rsidRPr="00872D7E">
              <w:rPr>
                <w:b/>
                <w:bCs/>
                <w:color w:val="000000"/>
                <w:sz w:val="14"/>
                <w:szCs w:val="14"/>
              </w:rPr>
              <w:t>196.718.557</w:t>
            </w:r>
          </w:p>
        </w:tc>
        <w:tc>
          <w:tcPr>
            <w:tcW w:w="424" w:type="pct"/>
            <w:tcBorders>
              <w:left w:val="nil"/>
              <w:bottom w:val="single" w:sz="4" w:space="0" w:color="auto"/>
              <w:right w:val="single" w:sz="4" w:space="0" w:color="auto"/>
            </w:tcBorders>
            <w:shd w:val="clear" w:color="000000" w:fill="FFFFFF"/>
            <w:vAlign w:val="center"/>
            <w:hideMark/>
          </w:tcPr>
          <w:p w14:paraId="3814AC0C" w14:textId="77777777" w:rsidR="005B0A27" w:rsidRPr="00872D7E" w:rsidRDefault="005B0A27" w:rsidP="005B0A27">
            <w:pPr>
              <w:jc w:val="right"/>
              <w:rPr>
                <w:b/>
                <w:bCs/>
                <w:color w:val="000000"/>
                <w:sz w:val="14"/>
                <w:szCs w:val="14"/>
              </w:rPr>
            </w:pPr>
            <w:r w:rsidRPr="00872D7E">
              <w:rPr>
                <w:b/>
                <w:bCs/>
                <w:color w:val="000000"/>
                <w:sz w:val="14"/>
                <w:szCs w:val="14"/>
              </w:rPr>
              <w:t>574.237.440</w:t>
            </w:r>
          </w:p>
        </w:tc>
        <w:tc>
          <w:tcPr>
            <w:tcW w:w="413" w:type="pct"/>
            <w:tcBorders>
              <w:left w:val="nil"/>
              <w:bottom w:val="single" w:sz="4" w:space="0" w:color="auto"/>
              <w:right w:val="single" w:sz="4" w:space="0" w:color="auto"/>
            </w:tcBorders>
            <w:shd w:val="clear" w:color="000000" w:fill="FFFFFF"/>
            <w:vAlign w:val="center"/>
            <w:hideMark/>
          </w:tcPr>
          <w:p w14:paraId="0C191FCE" w14:textId="77777777" w:rsidR="005B0A27" w:rsidRPr="00872D7E" w:rsidRDefault="005B0A27" w:rsidP="005B0A27">
            <w:pPr>
              <w:jc w:val="right"/>
              <w:rPr>
                <w:b/>
                <w:bCs/>
                <w:color w:val="000000"/>
                <w:sz w:val="14"/>
                <w:szCs w:val="14"/>
              </w:rPr>
            </w:pPr>
            <w:r w:rsidRPr="00872D7E">
              <w:rPr>
                <w:b/>
                <w:bCs/>
                <w:color w:val="000000"/>
                <w:sz w:val="14"/>
                <w:szCs w:val="14"/>
              </w:rPr>
              <w:t>139</w:t>
            </w:r>
          </w:p>
        </w:tc>
        <w:tc>
          <w:tcPr>
            <w:tcW w:w="413" w:type="pct"/>
            <w:tcBorders>
              <w:left w:val="nil"/>
              <w:bottom w:val="single" w:sz="4" w:space="0" w:color="auto"/>
              <w:right w:val="single" w:sz="4" w:space="0" w:color="auto"/>
            </w:tcBorders>
            <w:shd w:val="clear" w:color="000000" w:fill="FFFFFF"/>
            <w:vAlign w:val="center"/>
            <w:hideMark/>
          </w:tcPr>
          <w:p w14:paraId="3AE5D457" w14:textId="77777777" w:rsidR="005B0A27" w:rsidRPr="00872D7E" w:rsidRDefault="005B0A27" w:rsidP="005B0A27">
            <w:pPr>
              <w:jc w:val="right"/>
              <w:rPr>
                <w:b/>
                <w:bCs/>
                <w:color w:val="000000"/>
                <w:sz w:val="14"/>
                <w:szCs w:val="14"/>
              </w:rPr>
            </w:pPr>
            <w:r w:rsidRPr="00872D7E">
              <w:rPr>
                <w:b/>
                <w:bCs/>
                <w:color w:val="000000"/>
                <w:sz w:val="14"/>
                <w:szCs w:val="14"/>
              </w:rPr>
              <w:t>5.338</w:t>
            </w:r>
          </w:p>
        </w:tc>
        <w:tc>
          <w:tcPr>
            <w:tcW w:w="414" w:type="pct"/>
            <w:tcBorders>
              <w:left w:val="nil"/>
              <w:bottom w:val="single" w:sz="4" w:space="0" w:color="auto"/>
              <w:right w:val="single" w:sz="4" w:space="0" w:color="auto"/>
            </w:tcBorders>
            <w:shd w:val="clear" w:color="000000" w:fill="FFFFFF"/>
            <w:vAlign w:val="center"/>
            <w:hideMark/>
          </w:tcPr>
          <w:p w14:paraId="1E0FD16B" w14:textId="77777777" w:rsidR="005B0A27" w:rsidRPr="00872D7E" w:rsidRDefault="005B0A27" w:rsidP="005B0A27">
            <w:pPr>
              <w:jc w:val="right"/>
              <w:rPr>
                <w:b/>
                <w:bCs/>
                <w:color w:val="000000"/>
                <w:sz w:val="14"/>
                <w:szCs w:val="14"/>
              </w:rPr>
            </w:pPr>
            <w:r w:rsidRPr="00872D7E">
              <w:rPr>
                <w:b/>
                <w:bCs/>
                <w:color w:val="000000"/>
                <w:sz w:val="14"/>
                <w:szCs w:val="14"/>
              </w:rPr>
              <w:t>5.477</w:t>
            </w:r>
          </w:p>
        </w:tc>
      </w:tr>
    </w:tbl>
    <w:p w14:paraId="354B0EEC" w14:textId="1F594F9D" w:rsidR="001E0764" w:rsidRPr="00872D7E" w:rsidRDefault="001E0764" w:rsidP="00C907C3">
      <w:pPr>
        <w:widowControl w:val="0"/>
        <w:jc w:val="center"/>
      </w:pPr>
    </w:p>
    <w:p w14:paraId="2BBD2033" w14:textId="0A682990" w:rsidR="009C791D" w:rsidRPr="00872D7E" w:rsidRDefault="009C791D" w:rsidP="00D910CD">
      <w:pPr>
        <w:widowControl w:val="0"/>
        <w:ind w:left="567" w:hanging="567"/>
        <w:jc w:val="both"/>
        <w:rPr>
          <w:szCs w:val="20"/>
        </w:rPr>
      </w:pPr>
      <w:r w:rsidRPr="00872D7E">
        <w:rPr>
          <w:sz w:val="18"/>
          <w:szCs w:val="18"/>
          <w:vertAlign w:val="superscript"/>
        </w:rPr>
        <w:t>(*)</w:t>
      </w:r>
      <w:r w:rsidR="00D910CD" w:rsidRPr="00872D7E">
        <w:rPr>
          <w:sz w:val="18"/>
          <w:szCs w:val="18"/>
          <w:vertAlign w:val="superscript"/>
        </w:rPr>
        <w:tab/>
      </w:r>
      <w:r w:rsidRPr="00872D7E">
        <w:rPr>
          <w:sz w:val="18"/>
          <w:szCs w:val="18"/>
        </w:rPr>
        <w:t xml:space="preserve">3. Bölüm I. Kısımda açıklandığı üzere Banka’nın </w:t>
      </w:r>
      <w:r w:rsidR="00B07002" w:rsidRPr="00872D7E">
        <w:rPr>
          <w:sz w:val="18"/>
          <w:szCs w:val="18"/>
        </w:rPr>
        <w:t>31 Aralık</w:t>
      </w:r>
      <w:r w:rsidR="007301E4" w:rsidRPr="00872D7E">
        <w:rPr>
          <w:sz w:val="18"/>
          <w:szCs w:val="18"/>
        </w:rPr>
        <w:t xml:space="preserve"> </w:t>
      </w:r>
      <w:r w:rsidRPr="00872D7E">
        <w:rPr>
          <w:sz w:val="18"/>
          <w:szCs w:val="18"/>
        </w:rPr>
        <w:t>2024 tarihli konsolide olmayan nazım hesaplar tablosu 1 Ocak 2024 tarihi ile karşılaştırmalı olarak sunulmuştur.</w:t>
      </w:r>
    </w:p>
    <w:p w14:paraId="1281EE32" w14:textId="77777777" w:rsidR="00B25245" w:rsidRPr="00872D7E" w:rsidRDefault="00B25245" w:rsidP="00C907C3">
      <w:pPr>
        <w:widowControl w:val="0"/>
        <w:jc w:val="center"/>
        <w:rPr>
          <w:szCs w:val="20"/>
        </w:rPr>
      </w:pPr>
    </w:p>
    <w:p w14:paraId="35473388" w14:textId="7AC92AF5" w:rsidR="00C907C3" w:rsidRPr="00872D7E" w:rsidRDefault="005214DA" w:rsidP="00C907C3">
      <w:pPr>
        <w:widowControl w:val="0"/>
        <w:jc w:val="center"/>
        <w:rPr>
          <w:szCs w:val="20"/>
        </w:rPr>
      </w:pPr>
      <w:r w:rsidRPr="00872D7E">
        <w:rPr>
          <w:szCs w:val="20"/>
        </w:rPr>
        <w:t>İlişikteki açıklama ve dipnotlar bu finansal tabloların tamamlayıcı bir parçasıdır.</w:t>
      </w:r>
    </w:p>
    <w:p w14:paraId="7277B81A" w14:textId="77777777" w:rsidR="00530E9F" w:rsidRPr="00872D7E" w:rsidRDefault="00530E9F">
      <w:pPr>
        <w:jc w:val="center"/>
        <w:sectPr w:rsidR="00530E9F" w:rsidRPr="00872D7E" w:rsidSect="00CA6446">
          <w:headerReference w:type="even" r:id="rId38"/>
          <w:headerReference w:type="default" r:id="rId39"/>
          <w:footerReference w:type="even" r:id="rId40"/>
          <w:footerReference w:type="default" r:id="rId41"/>
          <w:headerReference w:type="first" r:id="rId42"/>
          <w:type w:val="nextColumn"/>
          <w:pgSz w:w="11907" w:h="16840" w:code="9"/>
          <w:pgMar w:top="851" w:right="851" w:bottom="851" w:left="851" w:header="851" w:footer="851" w:gutter="0"/>
          <w:cols w:space="720"/>
          <w:noEndnote/>
          <w:titlePg/>
          <w:docGrid w:linePitch="326"/>
        </w:sectPr>
      </w:pPr>
    </w:p>
    <w:tbl>
      <w:tblPr>
        <w:tblW w:w="5003" w:type="pct"/>
        <w:tblCellMar>
          <w:left w:w="70" w:type="dxa"/>
          <w:right w:w="70" w:type="dxa"/>
        </w:tblCellMar>
        <w:tblLook w:val="04A0" w:firstRow="1" w:lastRow="0" w:firstColumn="1" w:lastColumn="0" w:noHBand="0" w:noVBand="1"/>
      </w:tblPr>
      <w:tblGrid>
        <w:gridCol w:w="665"/>
        <w:gridCol w:w="6998"/>
        <w:gridCol w:w="1269"/>
        <w:gridCol w:w="1269"/>
      </w:tblGrid>
      <w:tr w:rsidR="00885FF8" w:rsidRPr="00872D7E" w14:paraId="7FB1EF2A" w14:textId="77777777" w:rsidTr="00D3610B">
        <w:trPr>
          <w:divId w:val="2145350834"/>
          <w:trHeight w:val="20"/>
        </w:trPr>
        <w:tc>
          <w:tcPr>
            <w:tcW w:w="3756"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801D6BE" w14:textId="2E210C67" w:rsidR="00885FF8" w:rsidRPr="00872D7E" w:rsidRDefault="00885FF8" w:rsidP="00885FF8">
            <w:pPr>
              <w:jc w:val="center"/>
              <w:rPr>
                <w:b/>
                <w:bCs/>
                <w:color w:val="000000"/>
                <w:sz w:val="14"/>
                <w:szCs w:val="14"/>
              </w:rPr>
            </w:pPr>
            <w:r w:rsidRPr="00872D7E">
              <w:rPr>
                <w:b/>
                <w:bCs/>
                <w:color w:val="000000"/>
                <w:sz w:val="14"/>
                <w:szCs w:val="14"/>
              </w:rPr>
              <w:lastRenderedPageBreak/>
              <w:t>KAR VEYA ZARAR TABLOSU</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79982F21" w14:textId="77777777" w:rsidR="00885FF8" w:rsidRPr="00872D7E" w:rsidRDefault="00885FF8" w:rsidP="00885FF8">
            <w:pPr>
              <w:jc w:val="center"/>
              <w:rPr>
                <w:b/>
                <w:bCs/>
                <w:color w:val="000000"/>
                <w:sz w:val="14"/>
                <w:szCs w:val="14"/>
              </w:rPr>
            </w:pPr>
            <w:r w:rsidRPr="00872D7E">
              <w:rPr>
                <w:b/>
                <w:bCs/>
                <w:color w:val="000000"/>
                <w:sz w:val="14"/>
                <w:szCs w:val="14"/>
              </w:rPr>
              <w:t>Dipnot (Beşinci Bölüm-IV)</w:t>
            </w:r>
          </w:p>
        </w:tc>
        <w:tc>
          <w:tcPr>
            <w:tcW w:w="622" w:type="pct"/>
            <w:tcBorders>
              <w:top w:val="single" w:sz="4" w:space="0" w:color="auto"/>
              <w:left w:val="nil"/>
              <w:bottom w:val="single" w:sz="4" w:space="0" w:color="auto"/>
              <w:right w:val="single" w:sz="4" w:space="0" w:color="auto"/>
            </w:tcBorders>
            <w:shd w:val="clear" w:color="auto" w:fill="auto"/>
            <w:vAlign w:val="bottom"/>
            <w:hideMark/>
          </w:tcPr>
          <w:p w14:paraId="5E550BC8" w14:textId="77777777" w:rsidR="00885FF8" w:rsidRPr="00872D7E" w:rsidRDefault="00885FF8" w:rsidP="00885FF8">
            <w:pPr>
              <w:jc w:val="right"/>
              <w:rPr>
                <w:b/>
                <w:bCs/>
                <w:color w:val="000000"/>
                <w:sz w:val="14"/>
                <w:szCs w:val="14"/>
              </w:rPr>
            </w:pPr>
            <w:r w:rsidRPr="00872D7E">
              <w:rPr>
                <w:b/>
                <w:bCs/>
                <w:color w:val="000000"/>
                <w:sz w:val="14"/>
                <w:szCs w:val="14"/>
              </w:rPr>
              <w:t xml:space="preserve">1 </w:t>
            </w:r>
            <w:proofErr w:type="gramStart"/>
            <w:r w:rsidRPr="00872D7E">
              <w:rPr>
                <w:b/>
                <w:bCs/>
                <w:color w:val="000000"/>
                <w:sz w:val="14"/>
                <w:szCs w:val="14"/>
              </w:rPr>
              <w:t>Ocak -</w:t>
            </w:r>
            <w:proofErr w:type="gramEnd"/>
            <w:r w:rsidRPr="00872D7E">
              <w:rPr>
                <w:b/>
                <w:bCs/>
                <w:color w:val="000000"/>
                <w:sz w:val="14"/>
                <w:szCs w:val="14"/>
              </w:rPr>
              <w:t xml:space="preserve"> 31 Aralık 2024 </w:t>
            </w:r>
            <w:r w:rsidRPr="00872D7E">
              <w:rPr>
                <w:b/>
                <w:bCs/>
                <w:color w:val="000000"/>
                <w:sz w:val="14"/>
                <w:szCs w:val="14"/>
                <w:vertAlign w:val="superscript"/>
              </w:rPr>
              <w:t>(*)</w:t>
            </w:r>
          </w:p>
        </w:tc>
      </w:tr>
      <w:tr w:rsidR="00885FF8" w:rsidRPr="00872D7E" w14:paraId="52EE4B02"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8311398" w14:textId="77777777" w:rsidR="00885FF8" w:rsidRPr="00872D7E" w:rsidRDefault="00885FF8" w:rsidP="00885FF8">
            <w:pPr>
              <w:rPr>
                <w:b/>
                <w:bCs/>
                <w:color w:val="000000"/>
                <w:sz w:val="14"/>
                <w:szCs w:val="14"/>
              </w:rPr>
            </w:pPr>
            <w:r w:rsidRPr="00872D7E">
              <w:rPr>
                <w:b/>
                <w:bCs/>
                <w:color w:val="000000"/>
                <w:sz w:val="14"/>
                <w:szCs w:val="14"/>
              </w:rPr>
              <w:t>I.</w:t>
            </w:r>
          </w:p>
        </w:tc>
        <w:tc>
          <w:tcPr>
            <w:tcW w:w="3430" w:type="pct"/>
            <w:tcBorders>
              <w:top w:val="single" w:sz="4" w:space="0" w:color="auto"/>
              <w:left w:val="nil"/>
              <w:bottom w:val="nil"/>
              <w:right w:val="nil"/>
            </w:tcBorders>
            <w:shd w:val="clear" w:color="auto" w:fill="auto"/>
            <w:hideMark/>
          </w:tcPr>
          <w:p w14:paraId="3DC99971" w14:textId="77777777" w:rsidR="00885FF8" w:rsidRPr="00872D7E" w:rsidRDefault="00885FF8" w:rsidP="00885FF8">
            <w:pPr>
              <w:rPr>
                <w:b/>
                <w:bCs/>
                <w:color w:val="000000"/>
                <w:sz w:val="14"/>
                <w:szCs w:val="14"/>
              </w:rPr>
            </w:pPr>
            <w:r w:rsidRPr="00872D7E">
              <w:rPr>
                <w:b/>
                <w:bCs/>
                <w:color w:val="000000"/>
                <w:sz w:val="14"/>
                <w:szCs w:val="14"/>
              </w:rPr>
              <w:t xml:space="preserve">KÂR PAYI GELİRLERİ  </w:t>
            </w:r>
          </w:p>
        </w:tc>
        <w:tc>
          <w:tcPr>
            <w:tcW w:w="622" w:type="pct"/>
            <w:tcBorders>
              <w:top w:val="single" w:sz="4" w:space="0" w:color="auto"/>
              <w:left w:val="single" w:sz="4" w:space="0" w:color="auto"/>
              <w:bottom w:val="nil"/>
              <w:right w:val="single" w:sz="4" w:space="0" w:color="auto"/>
            </w:tcBorders>
            <w:shd w:val="clear" w:color="auto" w:fill="auto"/>
            <w:hideMark/>
          </w:tcPr>
          <w:p w14:paraId="7A105B1D" w14:textId="77777777" w:rsidR="00885FF8" w:rsidRPr="00872D7E" w:rsidRDefault="00885FF8" w:rsidP="00885FF8">
            <w:pPr>
              <w:jc w:val="center"/>
              <w:rPr>
                <w:b/>
                <w:bCs/>
                <w:color w:val="000000"/>
                <w:sz w:val="14"/>
                <w:szCs w:val="14"/>
              </w:rPr>
            </w:pPr>
            <w:r w:rsidRPr="00872D7E">
              <w:rPr>
                <w:b/>
                <w:bCs/>
                <w:color w:val="000000"/>
                <w:sz w:val="14"/>
                <w:szCs w:val="14"/>
              </w:rPr>
              <w:t>(1)</w:t>
            </w:r>
          </w:p>
        </w:tc>
        <w:tc>
          <w:tcPr>
            <w:tcW w:w="622" w:type="pct"/>
            <w:tcBorders>
              <w:top w:val="nil"/>
              <w:left w:val="nil"/>
              <w:bottom w:val="nil"/>
              <w:right w:val="single" w:sz="4" w:space="0" w:color="auto"/>
            </w:tcBorders>
            <w:shd w:val="clear" w:color="auto" w:fill="auto"/>
            <w:vAlign w:val="center"/>
            <w:hideMark/>
          </w:tcPr>
          <w:p w14:paraId="60846A49" w14:textId="77777777" w:rsidR="00885FF8" w:rsidRPr="00872D7E" w:rsidRDefault="00885FF8" w:rsidP="00885FF8">
            <w:pPr>
              <w:jc w:val="right"/>
              <w:rPr>
                <w:b/>
                <w:bCs/>
                <w:color w:val="000000"/>
                <w:sz w:val="14"/>
                <w:szCs w:val="14"/>
              </w:rPr>
            </w:pPr>
            <w:r w:rsidRPr="00872D7E">
              <w:rPr>
                <w:b/>
                <w:bCs/>
                <w:color w:val="000000"/>
                <w:sz w:val="14"/>
                <w:szCs w:val="14"/>
              </w:rPr>
              <w:t>3.662.048</w:t>
            </w:r>
          </w:p>
        </w:tc>
      </w:tr>
      <w:tr w:rsidR="00885FF8" w:rsidRPr="00872D7E" w14:paraId="4F6381DC"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1AC0796D" w14:textId="77777777" w:rsidR="00885FF8" w:rsidRPr="00872D7E" w:rsidRDefault="00885FF8" w:rsidP="00885FF8">
            <w:pPr>
              <w:rPr>
                <w:color w:val="000000"/>
                <w:sz w:val="14"/>
                <w:szCs w:val="14"/>
              </w:rPr>
            </w:pPr>
            <w:r w:rsidRPr="00872D7E">
              <w:rPr>
                <w:color w:val="000000"/>
                <w:sz w:val="14"/>
                <w:szCs w:val="14"/>
              </w:rPr>
              <w:t>1.1</w:t>
            </w:r>
          </w:p>
        </w:tc>
        <w:tc>
          <w:tcPr>
            <w:tcW w:w="3430" w:type="pct"/>
            <w:tcBorders>
              <w:top w:val="nil"/>
              <w:left w:val="nil"/>
              <w:bottom w:val="nil"/>
              <w:right w:val="nil"/>
            </w:tcBorders>
            <w:shd w:val="clear" w:color="auto" w:fill="auto"/>
            <w:hideMark/>
          </w:tcPr>
          <w:p w14:paraId="64FEFB13" w14:textId="77777777" w:rsidR="00885FF8" w:rsidRPr="00872D7E" w:rsidRDefault="00885FF8" w:rsidP="00885FF8">
            <w:pPr>
              <w:rPr>
                <w:color w:val="000000"/>
                <w:sz w:val="14"/>
                <w:szCs w:val="14"/>
              </w:rPr>
            </w:pPr>
            <w:r w:rsidRPr="00872D7E">
              <w:rPr>
                <w:color w:val="000000"/>
                <w:sz w:val="14"/>
                <w:szCs w:val="14"/>
              </w:rPr>
              <w:t>Kredilerden Alınan Kâr Payları</w:t>
            </w:r>
          </w:p>
        </w:tc>
        <w:tc>
          <w:tcPr>
            <w:tcW w:w="622" w:type="pct"/>
            <w:tcBorders>
              <w:top w:val="nil"/>
              <w:left w:val="single" w:sz="4" w:space="0" w:color="auto"/>
              <w:bottom w:val="nil"/>
              <w:right w:val="single" w:sz="4" w:space="0" w:color="auto"/>
            </w:tcBorders>
            <w:shd w:val="clear" w:color="auto" w:fill="auto"/>
            <w:hideMark/>
          </w:tcPr>
          <w:p w14:paraId="24F2F5C0"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7CA852B" w14:textId="77777777" w:rsidR="00885FF8" w:rsidRPr="00872D7E" w:rsidRDefault="00885FF8" w:rsidP="00885FF8">
            <w:pPr>
              <w:jc w:val="right"/>
              <w:rPr>
                <w:color w:val="000000"/>
                <w:sz w:val="14"/>
                <w:szCs w:val="14"/>
              </w:rPr>
            </w:pPr>
            <w:r w:rsidRPr="00872D7E">
              <w:rPr>
                <w:color w:val="000000"/>
                <w:sz w:val="14"/>
                <w:szCs w:val="14"/>
              </w:rPr>
              <w:t>2.995.052</w:t>
            </w:r>
          </w:p>
        </w:tc>
      </w:tr>
      <w:tr w:rsidR="00885FF8" w:rsidRPr="00872D7E" w14:paraId="6BDFAE75"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3779BA73" w14:textId="77777777" w:rsidR="00885FF8" w:rsidRPr="00872D7E" w:rsidRDefault="00885FF8" w:rsidP="00885FF8">
            <w:pPr>
              <w:rPr>
                <w:color w:val="000000"/>
                <w:sz w:val="14"/>
                <w:szCs w:val="14"/>
              </w:rPr>
            </w:pPr>
            <w:r w:rsidRPr="00872D7E">
              <w:rPr>
                <w:color w:val="000000"/>
                <w:sz w:val="14"/>
                <w:szCs w:val="14"/>
              </w:rPr>
              <w:t>1.2</w:t>
            </w:r>
          </w:p>
        </w:tc>
        <w:tc>
          <w:tcPr>
            <w:tcW w:w="3430" w:type="pct"/>
            <w:tcBorders>
              <w:top w:val="nil"/>
              <w:left w:val="nil"/>
              <w:bottom w:val="nil"/>
              <w:right w:val="nil"/>
            </w:tcBorders>
            <w:shd w:val="clear" w:color="auto" w:fill="auto"/>
            <w:hideMark/>
          </w:tcPr>
          <w:p w14:paraId="53F2AC56" w14:textId="77777777" w:rsidR="00885FF8" w:rsidRPr="00872D7E" w:rsidRDefault="00885FF8" w:rsidP="00885FF8">
            <w:pPr>
              <w:rPr>
                <w:color w:val="000000"/>
                <w:sz w:val="14"/>
                <w:szCs w:val="14"/>
              </w:rPr>
            </w:pPr>
            <w:r w:rsidRPr="00872D7E">
              <w:rPr>
                <w:color w:val="000000"/>
                <w:sz w:val="14"/>
                <w:szCs w:val="14"/>
              </w:rPr>
              <w:t>Zorunlu Karşılıklardan Alınan Gelirler</w:t>
            </w:r>
          </w:p>
        </w:tc>
        <w:tc>
          <w:tcPr>
            <w:tcW w:w="622" w:type="pct"/>
            <w:tcBorders>
              <w:top w:val="nil"/>
              <w:left w:val="single" w:sz="4" w:space="0" w:color="auto"/>
              <w:bottom w:val="nil"/>
              <w:right w:val="single" w:sz="4" w:space="0" w:color="auto"/>
            </w:tcBorders>
            <w:shd w:val="clear" w:color="auto" w:fill="auto"/>
            <w:hideMark/>
          </w:tcPr>
          <w:p w14:paraId="1FCA41ED"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D4FDD0B" w14:textId="77777777" w:rsidR="00885FF8" w:rsidRPr="00872D7E" w:rsidRDefault="00885FF8" w:rsidP="00885FF8">
            <w:pPr>
              <w:jc w:val="right"/>
              <w:rPr>
                <w:color w:val="000000"/>
                <w:sz w:val="14"/>
                <w:szCs w:val="14"/>
              </w:rPr>
            </w:pPr>
            <w:r w:rsidRPr="00872D7E">
              <w:rPr>
                <w:color w:val="000000"/>
                <w:sz w:val="14"/>
                <w:szCs w:val="14"/>
              </w:rPr>
              <w:t>48.654</w:t>
            </w:r>
          </w:p>
        </w:tc>
      </w:tr>
      <w:tr w:rsidR="00885FF8" w:rsidRPr="00872D7E" w14:paraId="52BD165A"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7F34B8EF" w14:textId="77777777" w:rsidR="00885FF8" w:rsidRPr="00872D7E" w:rsidRDefault="00885FF8" w:rsidP="00885FF8">
            <w:pPr>
              <w:rPr>
                <w:color w:val="000000"/>
                <w:sz w:val="14"/>
                <w:szCs w:val="14"/>
              </w:rPr>
            </w:pPr>
            <w:r w:rsidRPr="00872D7E">
              <w:rPr>
                <w:color w:val="000000"/>
                <w:sz w:val="14"/>
                <w:szCs w:val="14"/>
              </w:rPr>
              <w:t>1.3</w:t>
            </w:r>
          </w:p>
        </w:tc>
        <w:tc>
          <w:tcPr>
            <w:tcW w:w="3430" w:type="pct"/>
            <w:tcBorders>
              <w:top w:val="nil"/>
              <w:left w:val="nil"/>
              <w:bottom w:val="nil"/>
              <w:right w:val="nil"/>
            </w:tcBorders>
            <w:shd w:val="clear" w:color="auto" w:fill="auto"/>
            <w:hideMark/>
          </w:tcPr>
          <w:p w14:paraId="24A7A189" w14:textId="77777777" w:rsidR="00885FF8" w:rsidRPr="00872D7E" w:rsidRDefault="00885FF8" w:rsidP="00885FF8">
            <w:pPr>
              <w:rPr>
                <w:color w:val="000000"/>
                <w:sz w:val="14"/>
                <w:szCs w:val="14"/>
              </w:rPr>
            </w:pPr>
            <w:r w:rsidRPr="00872D7E">
              <w:rPr>
                <w:color w:val="000000"/>
                <w:sz w:val="14"/>
                <w:szCs w:val="14"/>
              </w:rPr>
              <w:t>Bankalardan Alınan Gelirler</w:t>
            </w:r>
          </w:p>
        </w:tc>
        <w:tc>
          <w:tcPr>
            <w:tcW w:w="622" w:type="pct"/>
            <w:tcBorders>
              <w:top w:val="nil"/>
              <w:left w:val="single" w:sz="4" w:space="0" w:color="auto"/>
              <w:bottom w:val="nil"/>
              <w:right w:val="single" w:sz="4" w:space="0" w:color="auto"/>
            </w:tcBorders>
            <w:shd w:val="clear" w:color="auto" w:fill="auto"/>
            <w:hideMark/>
          </w:tcPr>
          <w:p w14:paraId="4DECD039"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0FCF12D" w14:textId="77777777" w:rsidR="00885FF8" w:rsidRPr="00872D7E" w:rsidRDefault="00885FF8" w:rsidP="00885FF8">
            <w:pPr>
              <w:jc w:val="right"/>
              <w:rPr>
                <w:color w:val="000000"/>
                <w:sz w:val="14"/>
                <w:szCs w:val="14"/>
              </w:rPr>
            </w:pPr>
            <w:r w:rsidRPr="00872D7E">
              <w:rPr>
                <w:color w:val="000000"/>
                <w:sz w:val="14"/>
                <w:szCs w:val="14"/>
              </w:rPr>
              <w:t>396.020</w:t>
            </w:r>
          </w:p>
        </w:tc>
      </w:tr>
      <w:tr w:rsidR="00885FF8" w:rsidRPr="00872D7E" w14:paraId="554EE2F7"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3B0F4DB7" w14:textId="77777777" w:rsidR="00885FF8" w:rsidRPr="00872D7E" w:rsidRDefault="00885FF8" w:rsidP="00885FF8">
            <w:pPr>
              <w:rPr>
                <w:color w:val="000000"/>
                <w:sz w:val="14"/>
                <w:szCs w:val="14"/>
              </w:rPr>
            </w:pPr>
            <w:r w:rsidRPr="00872D7E">
              <w:rPr>
                <w:color w:val="000000"/>
                <w:sz w:val="14"/>
                <w:szCs w:val="14"/>
              </w:rPr>
              <w:t>1.4</w:t>
            </w:r>
          </w:p>
        </w:tc>
        <w:tc>
          <w:tcPr>
            <w:tcW w:w="3430" w:type="pct"/>
            <w:tcBorders>
              <w:top w:val="nil"/>
              <w:left w:val="nil"/>
              <w:bottom w:val="nil"/>
              <w:right w:val="nil"/>
            </w:tcBorders>
            <w:shd w:val="clear" w:color="auto" w:fill="auto"/>
            <w:hideMark/>
          </w:tcPr>
          <w:p w14:paraId="55254936" w14:textId="77777777" w:rsidR="00885FF8" w:rsidRPr="00872D7E" w:rsidRDefault="00885FF8" w:rsidP="00885FF8">
            <w:pPr>
              <w:rPr>
                <w:color w:val="000000"/>
                <w:sz w:val="14"/>
                <w:szCs w:val="14"/>
              </w:rPr>
            </w:pPr>
            <w:r w:rsidRPr="00872D7E">
              <w:rPr>
                <w:color w:val="000000"/>
                <w:sz w:val="14"/>
                <w:szCs w:val="14"/>
              </w:rPr>
              <w:t>Para Piyasası İşlemlerinden Alınan Gelirler</w:t>
            </w:r>
          </w:p>
        </w:tc>
        <w:tc>
          <w:tcPr>
            <w:tcW w:w="622" w:type="pct"/>
            <w:tcBorders>
              <w:top w:val="nil"/>
              <w:left w:val="single" w:sz="4" w:space="0" w:color="auto"/>
              <w:bottom w:val="nil"/>
              <w:right w:val="single" w:sz="4" w:space="0" w:color="auto"/>
            </w:tcBorders>
            <w:shd w:val="clear" w:color="auto" w:fill="auto"/>
            <w:hideMark/>
          </w:tcPr>
          <w:p w14:paraId="12766D6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644F67D3" w14:textId="77777777" w:rsidR="00885FF8" w:rsidRPr="00872D7E" w:rsidRDefault="00885FF8" w:rsidP="00885FF8">
            <w:pPr>
              <w:jc w:val="right"/>
              <w:rPr>
                <w:color w:val="000000"/>
                <w:sz w:val="14"/>
                <w:szCs w:val="14"/>
              </w:rPr>
            </w:pPr>
            <w:r w:rsidRPr="00872D7E">
              <w:rPr>
                <w:color w:val="000000"/>
                <w:sz w:val="14"/>
                <w:szCs w:val="14"/>
              </w:rPr>
              <w:t>5.336</w:t>
            </w:r>
          </w:p>
        </w:tc>
      </w:tr>
      <w:tr w:rsidR="00885FF8" w:rsidRPr="00872D7E" w14:paraId="694D444E"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4E660B5A" w14:textId="77777777" w:rsidR="00885FF8" w:rsidRPr="00872D7E" w:rsidRDefault="00885FF8" w:rsidP="00885FF8">
            <w:pPr>
              <w:rPr>
                <w:color w:val="000000"/>
                <w:sz w:val="14"/>
                <w:szCs w:val="14"/>
              </w:rPr>
            </w:pPr>
            <w:r w:rsidRPr="00872D7E">
              <w:rPr>
                <w:color w:val="000000"/>
                <w:sz w:val="14"/>
                <w:szCs w:val="14"/>
              </w:rPr>
              <w:t>1.5</w:t>
            </w:r>
          </w:p>
        </w:tc>
        <w:tc>
          <w:tcPr>
            <w:tcW w:w="3430" w:type="pct"/>
            <w:tcBorders>
              <w:top w:val="nil"/>
              <w:left w:val="nil"/>
              <w:bottom w:val="nil"/>
              <w:right w:val="nil"/>
            </w:tcBorders>
            <w:shd w:val="clear" w:color="auto" w:fill="auto"/>
            <w:hideMark/>
          </w:tcPr>
          <w:p w14:paraId="3BCE4B92" w14:textId="77777777" w:rsidR="00885FF8" w:rsidRPr="00872D7E" w:rsidRDefault="00885FF8" w:rsidP="00885FF8">
            <w:pPr>
              <w:rPr>
                <w:color w:val="000000"/>
                <w:sz w:val="14"/>
                <w:szCs w:val="14"/>
              </w:rPr>
            </w:pPr>
            <w:r w:rsidRPr="00872D7E">
              <w:rPr>
                <w:color w:val="000000"/>
                <w:sz w:val="14"/>
                <w:szCs w:val="14"/>
              </w:rPr>
              <w:t>Menkul Değerlerden Alınan Gelirler</w:t>
            </w:r>
          </w:p>
        </w:tc>
        <w:tc>
          <w:tcPr>
            <w:tcW w:w="622" w:type="pct"/>
            <w:tcBorders>
              <w:top w:val="nil"/>
              <w:left w:val="single" w:sz="4" w:space="0" w:color="auto"/>
              <w:bottom w:val="nil"/>
              <w:right w:val="single" w:sz="4" w:space="0" w:color="auto"/>
            </w:tcBorders>
            <w:shd w:val="clear" w:color="auto" w:fill="auto"/>
            <w:hideMark/>
          </w:tcPr>
          <w:p w14:paraId="7435EBA4"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539DD6FB" w14:textId="77777777" w:rsidR="00885FF8" w:rsidRPr="00872D7E" w:rsidRDefault="00885FF8" w:rsidP="00885FF8">
            <w:pPr>
              <w:jc w:val="right"/>
              <w:rPr>
                <w:color w:val="000000"/>
                <w:sz w:val="14"/>
                <w:szCs w:val="14"/>
              </w:rPr>
            </w:pPr>
            <w:r w:rsidRPr="00872D7E">
              <w:rPr>
                <w:color w:val="000000"/>
                <w:sz w:val="14"/>
                <w:szCs w:val="14"/>
              </w:rPr>
              <w:t>216.103</w:t>
            </w:r>
          </w:p>
        </w:tc>
      </w:tr>
      <w:tr w:rsidR="00885FF8" w:rsidRPr="00872D7E" w14:paraId="4E57C479"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54425E78" w14:textId="77777777" w:rsidR="00885FF8" w:rsidRPr="00872D7E" w:rsidRDefault="00885FF8" w:rsidP="00885FF8">
            <w:pPr>
              <w:rPr>
                <w:color w:val="000000"/>
                <w:sz w:val="14"/>
                <w:szCs w:val="14"/>
              </w:rPr>
            </w:pPr>
            <w:r w:rsidRPr="00872D7E">
              <w:rPr>
                <w:color w:val="000000"/>
                <w:sz w:val="14"/>
                <w:szCs w:val="14"/>
              </w:rPr>
              <w:t>1.5.1</w:t>
            </w:r>
          </w:p>
        </w:tc>
        <w:tc>
          <w:tcPr>
            <w:tcW w:w="3430" w:type="pct"/>
            <w:tcBorders>
              <w:top w:val="nil"/>
              <w:left w:val="nil"/>
              <w:bottom w:val="nil"/>
              <w:right w:val="nil"/>
            </w:tcBorders>
            <w:shd w:val="clear" w:color="auto" w:fill="auto"/>
            <w:hideMark/>
          </w:tcPr>
          <w:p w14:paraId="112EFE49" w14:textId="77777777" w:rsidR="00885FF8" w:rsidRPr="00872D7E" w:rsidRDefault="00885FF8" w:rsidP="00885FF8">
            <w:pPr>
              <w:rPr>
                <w:color w:val="000000"/>
                <w:sz w:val="14"/>
                <w:szCs w:val="14"/>
              </w:rPr>
            </w:pPr>
            <w:r w:rsidRPr="00872D7E">
              <w:rPr>
                <w:color w:val="000000"/>
                <w:sz w:val="14"/>
                <w:szCs w:val="14"/>
              </w:rPr>
              <w:t>Gerçeğe Uygun Değer Farkı Kar Zarara Yansıtılanlar</w:t>
            </w:r>
          </w:p>
        </w:tc>
        <w:tc>
          <w:tcPr>
            <w:tcW w:w="622" w:type="pct"/>
            <w:tcBorders>
              <w:top w:val="nil"/>
              <w:left w:val="single" w:sz="4" w:space="0" w:color="auto"/>
              <w:bottom w:val="nil"/>
              <w:right w:val="single" w:sz="4" w:space="0" w:color="auto"/>
            </w:tcBorders>
            <w:shd w:val="clear" w:color="auto" w:fill="auto"/>
            <w:hideMark/>
          </w:tcPr>
          <w:p w14:paraId="52DDDE1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49DA1E0" w14:textId="77777777" w:rsidR="00885FF8" w:rsidRPr="00872D7E" w:rsidRDefault="00885FF8" w:rsidP="00885FF8">
            <w:pPr>
              <w:jc w:val="right"/>
              <w:rPr>
                <w:color w:val="000000"/>
                <w:sz w:val="14"/>
                <w:szCs w:val="14"/>
              </w:rPr>
            </w:pPr>
            <w:r w:rsidRPr="00872D7E">
              <w:rPr>
                <w:color w:val="000000"/>
                <w:sz w:val="14"/>
                <w:szCs w:val="14"/>
              </w:rPr>
              <w:t>333</w:t>
            </w:r>
          </w:p>
        </w:tc>
      </w:tr>
      <w:tr w:rsidR="00885FF8" w:rsidRPr="00872D7E" w14:paraId="591DA98D"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18193558" w14:textId="77777777" w:rsidR="00885FF8" w:rsidRPr="00872D7E" w:rsidRDefault="00885FF8" w:rsidP="00885FF8">
            <w:pPr>
              <w:rPr>
                <w:color w:val="000000"/>
                <w:sz w:val="14"/>
                <w:szCs w:val="14"/>
              </w:rPr>
            </w:pPr>
            <w:r w:rsidRPr="00872D7E">
              <w:rPr>
                <w:color w:val="000000"/>
                <w:sz w:val="14"/>
                <w:szCs w:val="14"/>
              </w:rPr>
              <w:t>1.5.2</w:t>
            </w:r>
          </w:p>
        </w:tc>
        <w:tc>
          <w:tcPr>
            <w:tcW w:w="3430" w:type="pct"/>
            <w:tcBorders>
              <w:top w:val="nil"/>
              <w:left w:val="nil"/>
              <w:bottom w:val="nil"/>
              <w:right w:val="nil"/>
            </w:tcBorders>
            <w:shd w:val="clear" w:color="auto" w:fill="auto"/>
            <w:hideMark/>
          </w:tcPr>
          <w:p w14:paraId="1A202D37" w14:textId="77777777" w:rsidR="00885FF8" w:rsidRPr="00872D7E" w:rsidRDefault="00885FF8" w:rsidP="00885FF8">
            <w:pPr>
              <w:rPr>
                <w:color w:val="000000"/>
                <w:sz w:val="14"/>
                <w:szCs w:val="14"/>
              </w:rPr>
            </w:pPr>
            <w:r w:rsidRPr="00872D7E">
              <w:rPr>
                <w:color w:val="000000"/>
                <w:sz w:val="14"/>
                <w:szCs w:val="14"/>
              </w:rPr>
              <w:t>Gerçeğe Uygun Değer Farkı Diğer Kapsamlı Gelire Yansıtılanlar</w:t>
            </w:r>
          </w:p>
        </w:tc>
        <w:tc>
          <w:tcPr>
            <w:tcW w:w="622" w:type="pct"/>
            <w:tcBorders>
              <w:top w:val="nil"/>
              <w:left w:val="single" w:sz="4" w:space="0" w:color="auto"/>
              <w:bottom w:val="nil"/>
              <w:right w:val="single" w:sz="4" w:space="0" w:color="auto"/>
            </w:tcBorders>
            <w:shd w:val="clear" w:color="auto" w:fill="auto"/>
            <w:hideMark/>
          </w:tcPr>
          <w:p w14:paraId="5F734BF4"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6535B996" w14:textId="77777777" w:rsidR="00885FF8" w:rsidRPr="00872D7E" w:rsidRDefault="00885FF8" w:rsidP="00885FF8">
            <w:pPr>
              <w:jc w:val="right"/>
              <w:rPr>
                <w:color w:val="000000"/>
                <w:sz w:val="14"/>
                <w:szCs w:val="14"/>
              </w:rPr>
            </w:pPr>
            <w:r w:rsidRPr="00872D7E">
              <w:rPr>
                <w:color w:val="000000"/>
                <w:sz w:val="14"/>
                <w:szCs w:val="14"/>
              </w:rPr>
              <w:t>121.965</w:t>
            </w:r>
          </w:p>
        </w:tc>
      </w:tr>
      <w:tr w:rsidR="00885FF8" w:rsidRPr="00872D7E" w14:paraId="171EA636"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1FE5BF0" w14:textId="77777777" w:rsidR="00885FF8" w:rsidRPr="00872D7E" w:rsidRDefault="00885FF8" w:rsidP="00885FF8">
            <w:pPr>
              <w:rPr>
                <w:color w:val="000000"/>
                <w:sz w:val="14"/>
                <w:szCs w:val="14"/>
              </w:rPr>
            </w:pPr>
            <w:r w:rsidRPr="00872D7E">
              <w:rPr>
                <w:color w:val="000000"/>
                <w:sz w:val="14"/>
                <w:szCs w:val="14"/>
              </w:rPr>
              <w:t>1.5.3</w:t>
            </w:r>
          </w:p>
        </w:tc>
        <w:tc>
          <w:tcPr>
            <w:tcW w:w="3430" w:type="pct"/>
            <w:tcBorders>
              <w:top w:val="nil"/>
              <w:left w:val="nil"/>
              <w:bottom w:val="nil"/>
              <w:right w:val="nil"/>
            </w:tcBorders>
            <w:shd w:val="clear" w:color="auto" w:fill="auto"/>
            <w:hideMark/>
          </w:tcPr>
          <w:p w14:paraId="7619FE98" w14:textId="77777777" w:rsidR="00885FF8" w:rsidRPr="00872D7E" w:rsidRDefault="00885FF8" w:rsidP="00885FF8">
            <w:pPr>
              <w:rPr>
                <w:color w:val="000000"/>
                <w:sz w:val="14"/>
                <w:szCs w:val="14"/>
              </w:rPr>
            </w:pPr>
            <w:r w:rsidRPr="00872D7E">
              <w:rPr>
                <w:color w:val="000000"/>
                <w:sz w:val="14"/>
                <w:szCs w:val="14"/>
              </w:rPr>
              <w:t xml:space="preserve">İtfa Edilmiş Maliyeti </w:t>
            </w:r>
            <w:proofErr w:type="gramStart"/>
            <w:r w:rsidRPr="00872D7E">
              <w:rPr>
                <w:color w:val="000000"/>
                <w:sz w:val="14"/>
                <w:szCs w:val="14"/>
              </w:rPr>
              <w:t>İle</w:t>
            </w:r>
            <w:proofErr w:type="gramEnd"/>
            <w:r w:rsidRPr="00872D7E">
              <w:rPr>
                <w:color w:val="000000"/>
                <w:sz w:val="14"/>
                <w:szCs w:val="14"/>
              </w:rPr>
              <w:t xml:space="preserve"> Ölçülenler</w:t>
            </w:r>
          </w:p>
        </w:tc>
        <w:tc>
          <w:tcPr>
            <w:tcW w:w="622" w:type="pct"/>
            <w:tcBorders>
              <w:top w:val="nil"/>
              <w:left w:val="single" w:sz="4" w:space="0" w:color="auto"/>
              <w:bottom w:val="nil"/>
              <w:right w:val="single" w:sz="4" w:space="0" w:color="auto"/>
            </w:tcBorders>
            <w:shd w:val="clear" w:color="auto" w:fill="auto"/>
            <w:hideMark/>
          </w:tcPr>
          <w:p w14:paraId="5E490973"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32FC60E9" w14:textId="77777777" w:rsidR="00885FF8" w:rsidRPr="00872D7E" w:rsidRDefault="00885FF8" w:rsidP="00885FF8">
            <w:pPr>
              <w:jc w:val="right"/>
              <w:rPr>
                <w:color w:val="000000"/>
                <w:sz w:val="14"/>
                <w:szCs w:val="14"/>
              </w:rPr>
            </w:pPr>
            <w:r w:rsidRPr="00872D7E">
              <w:rPr>
                <w:color w:val="000000"/>
                <w:sz w:val="14"/>
                <w:szCs w:val="14"/>
              </w:rPr>
              <w:t>93.805</w:t>
            </w:r>
          </w:p>
        </w:tc>
      </w:tr>
      <w:tr w:rsidR="00885FF8" w:rsidRPr="00872D7E" w14:paraId="0EFD4EA7"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0DDB17BF" w14:textId="77777777" w:rsidR="00885FF8" w:rsidRPr="00872D7E" w:rsidRDefault="00885FF8" w:rsidP="00885FF8">
            <w:pPr>
              <w:rPr>
                <w:color w:val="000000"/>
                <w:sz w:val="14"/>
                <w:szCs w:val="14"/>
              </w:rPr>
            </w:pPr>
            <w:r w:rsidRPr="00872D7E">
              <w:rPr>
                <w:color w:val="000000"/>
                <w:sz w:val="14"/>
                <w:szCs w:val="14"/>
              </w:rPr>
              <w:t>1.6</w:t>
            </w:r>
          </w:p>
        </w:tc>
        <w:tc>
          <w:tcPr>
            <w:tcW w:w="3430" w:type="pct"/>
            <w:tcBorders>
              <w:top w:val="nil"/>
              <w:left w:val="nil"/>
              <w:bottom w:val="nil"/>
              <w:right w:val="nil"/>
            </w:tcBorders>
            <w:shd w:val="clear" w:color="auto" w:fill="auto"/>
            <w:hideMark/>
          </w:tcPr>
          <w:p w14:paraId="292AC1B8" w14:textId="77777777" w:rsidR="00885FF8" w:rsidRPr="00872D7E" w:rsidRDefault="00885FF8" w:rsidP="00885FF8">
            <w:pPr>
              <w:rPr>
                <w:color w:val="000000"/>
                <w:sz w:val="14"/>
                <w:szCs w:val="14"/>
              </w:rPr>
            </w:pPr>
            <w:r w:rsidRPr="00872D7E">
              <w:rPr>
                <w:color w:val="000000"/>
                <w:sz w:val="14"/>
                <w:szCs w:val="14"/>
              </w:rPr>
              <w:t>Finansal Kiralama Gelirleri</w:t>
            </w:r>
          </w:p>
        </w:tc>
        <w:tc>
          <w:tcPr>
            <w:tcW w:w="622" w:type="pct"/>
            <w:tcBorders>
              <w:top w:val="nil"/>
              <w:left w:val="single" w:sz="4" w:space="0" w:color="auto"/>
              <w:bottom w:val="nil"/>
              <w:right w:val="single" w:sz="4" w:space="0" w:color="auto"/>
            </w:tcBorders>
            <w:shd w:val="clear" w:color="auto" w:fill="auto"/>
            <w:hideMark/>
          </w:tcPr>
          <w:p w14:paraId="685686AF"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5A79D56B" w14:textId="77777777" w:rsidR="00885FF8" w:rsidRPr="00872D7E" w:rsidRDefault="00885FF8" w:rsidP="00885FF8">
            <w:pPr>
              <w:jc w:val="right"/>
              <w:rPr>
                <w:color w:val="000000"/>
                <w:sz w:val="14"/>
                <w:szCs w:val="14"/>
              </w:rPr>
            </w:pPr>
            <w:r w:rsidRPr="00872D7E">
              <w:rPr>
                <w:color w:val="000000"/>
                <w:sz w:val="14"/>
                <w:szCs w:val="14"/>
              </w:rPr>
              <w:t>883</w:t>
            </w:r>
          </w:p>
        </w:tc>
      </w:tr>
      <w:tr w:rsidR="00885FF8" w:rsidRPr="00872D7E" w14:paraId="419374D6"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26BF1BE9" w14:textId="77777777" w:rsidR="00885FF8" w:rsidRPr="00872D7E" w:rsidRDefault="00885FF8" w:rsidP="00885FF8">
            <w:pPr>
              <w:rPr>
                <w:color w:val="000000"/>
                <w:sz w:val="14"/>
                <w:szCs w:val="14"/>
              </w:rPr>
            </w:pPr>
            <w:r w:rsidRPr="00872D7E">
              <w:rPr>
                <w:color w:val="000000"/>
                <w:sz w:val="14"/>
                <w:szCs w:val="14"/>
              </w:rPr>
              <w:t>1.7</w:t>
            </w:r>
          </w:p>
        </w:tc>
        <w:tc>
          <w:tcPr>
            <w:tcW w:w="3430" w:type="pct"/>
            <w:tcBorders>
              <w:top w:val="nil"/>
              <w:left w:val="nil"/>
              <w:bottom w:val="nil"/>
              <w:right w:val="nil"/>
            </w:tcBorders>
            <w:shd w:val="clear" w:color="auto" w:fill="auto"/>
            <w:hideMark/>
          </w:tcPr>
          <w:p w14:paraId="0C9E78D0" w14:textId="77777777" w:rsidR="00885FF8" w:rsidRPr="00872D7E" w:rsidRDefault="00885FF8" w:rsidP="00885FF8">
            <w:pPr>
              <w:rPr>
                <w:color w:val="000000"/>
                <w:sz w:val="14"/>
                <w:szCs w:val="14"/>
              </w:rPr>
            </w:pPr>
            <w:r w:rsidRPr="00872D7E">
              <w:rPr>
                <w:color w:val="000000"/>
                <w:sz w:val="14"/>
                <w:szCs w:val="14"/>
              </w:rPr>
              <w:t xml:space="preserve">Diğer Kâr Payı Gelirleri  </w:t>
            </w:r>
          </w:p>
        </w:tc>
        <w:tc>
          <w:tcPr>
            <w:tcW w:w="622" w:type="pct"/>
            <w:tcBorders>
              <w:top w:val="nil"/>
              <w:left w:val="single" w:sz="4" w:space="0" w:color="auto"/>
              <w:bottom w:val="nil"/>
              <w:right w:val="single" w:sz="4" w:space="0" w:color="auto"/>
            </w:tcBorders>
            <w:shd w:val="clear" w:color="auto" w:fill="auto"/>
            <w:hideMark/>
          </w:tcPr>
          <w:p w14:paraId="368D7BC2"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6CD1A428"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13229562"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50F61B92" w14:textId="77777777" w:rsidR="00885FF8" w:rsidRPr="00872D7E" w:rsidRDefault="00885FF8" w:rsidP="00885FF8">
            <w:pPr>
              <w:rPr>
                <w:b/>
                <w:bCs/>
                <w:color w:val="000000"/>
                <w:sz w:val="14"/>
                <w:szCs w:val="14"/>
              </w:rPr>
            </w:pPr>
            <w:r w:rsidRPr="00872D7E">
              <w:rPr>
                <w:b/>
                <w:bCs/>
                <w:color w:val="000000"/>
                <w:sz w:val="14"/>
                <w:szCs w:val="14"/>
              </w:rPr>
              <w:t>II.</w:t>
            </w:r>
          </w:p>
        </w:tc>
        <w:tc>
          <w:tcPr>
            <w:tcW w:w="3430" w:type="pct"/>
            <w:tcBorders>
              <w:top w:val="nil"/>
              <w:left w:val="nil"/>
              <w:bottom w:val="nil"/>
              <w:right w:val="nil"/>
            </w:tcBorders>
            <w:shd w:val="clear" w:color="auto" w:fill="auto"/>
            <w:hideMark/>
          </w:tcPr>
          <w:p w14:paraId="0C8C841D" w14:textId="77777777" w:rsidR="00885FF8" w:rsidRPr="00872D7E" w:rsidRDefault="00885FF8" w:rsidP="00885FF8">
            <w:pPr>
              <w:rPr>
                <w:b/>
                <w:bCs/>
                <w:color w:val="000000"/>
                <w:sz w:val="14"/>
                <w:szCs w:val="14"/>
              </w:rPr>
            </w:pPr>
            <w:r w:rsidRPr="00872D7E">
              <w:rPr>
                <w:b/>
                <w:bCs/>
                <w:color w:val="000000"/>
                <w:sz w:val="14"/>
                <w:szCs w:val="14"/>
              </w:rPr>
              <w:t xml:space="preserve">KÂR PAYI GİDERLERİ (-)  </w:t>
            </w:r>
          </w:p>
        </w:tc>
        <w:tc>
          <w:tcPr>
            <w:tcW w:w="622" w:type="pct"/>
            <w:tcBorders>
              <w:top w:val="nil"/>
              <w:left w:val="single" w:sz="4" w:space="0" w:color="auto"/>
              <w:bottom w:val="nil"/>
              <w:right w:val="single" w:sz="4" w:space="0" w:color="auto"/>
            </w:tcBorders>
            <w:shd w:val="clear" w:color="auto" w:fill="auto"/>
            <w:hideMark/>
          </w:tcPr>
          <w:p w14:paraId="05B4F85F" w14:textId="77777777" w:rsidR="00885FF8" w:rsidRPr="00872D7E" w:rsidRDefault="00885FF8" w:rsidP="00885FF8">
            <w:pPr>
              <w:jc w:val="center"/>
              <w:rPr>
                <w:b/>
                <w:bCs/>
                <w:color w:val="000000"/>
                <w:sz w:val="14"/>
                <w:szCs w:val="14"/>
              </w:rPr>
            </w:pPr>
            <w:r w:rsidRPr="00872D7E">
              <w:rPr>
                <w:b/>
                <w:bCs/>
                <w:color w:val="000000"/>
                <w:sz w:val="14"/>
                <w:szCs w:val="14"/>
              </w:rPr>
              <w:t>(2)</w:t>
            </w:r>
          </w:p>
        </w:tc>
        <w:tc>
          <w:tcPr>
            <w:tcW w:w="622" w:type="pct"/>
            <w:tcBorders>
              <w:top w:val="nil"/>
              <w:left w:val="nil"/>
              <w:bottom w:val="nil"/>
              <w:right w:val="single" w:sz="4" w:space="0" w:color="auto"/>
            </w:tcBorders>
            <w:shd w:val="clear" w:color="auto" w:fill="auto"/>
            <w:vAlign w:val="center"/>
            <w:hideMark/>
          </w:tcPr>
          <w:p w14:paraId="0AA911F5" w14:textId="77777777" w:rsidR="00885FF8" w:rsidRPr="00872D7E" w:rsidRDefault="00885FF8" w:rsidP="00885FF8">
            <w:pPr>
              <w:jc w:val="right"/>
              <w:rPr>
                <w:b/>
                <w:bCs/>
                <w:color w:val="000000"/>
                <w:sz w:val="14"/>
                <w:szCs w:val="14"/>
              </w:rPr>
            </w:pPr>
            <w:r w:rsidRPr="00872D7E">
              <w:rPr>
                <w:b/>
                <w:bCs/>
                <w:color w:val="000000"/>
                <w:sz w:val="14"/>
                <w:szCs w:val="14"/>
              </w:rPr>
              <w:t>2.059.455</w:t>
            </w:r>
          </w:p>
        </w:tc>
      </w:tr>
      <w:tr w:rsidR="00885FF8" w:rsidRPr="00872D7E" w14:paraId="410B3492"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30C99EFA" w14:textId="77777777" w:rsidR="00885FF8" w:rsidRPr="00872D7E" w:rsidRDefault="00885FF8" w:rsidP="00885FF8">
            <w:pPr>
              <w:rPr>
                <w:color w:val="000000"/>
                <w:sz w:val="14"/>
                <w:szCs w:val="14"/>
              </w:rPr>
            </w:pPr>
            <w:r w:rsidRPr="00872D7E">
              <w:rPr>
                <w:color w:val="000000"/>
                <w:sz w:val="14"/>
                <w:szCs w:val="14"/>
              </w:rPr>
              <w:t>2.1</w:t>
            </w:r>
          </w:p>
        </w:tc>
        <w:tc>
          <w:tcPr>
            <w:tcW w:w="3430" w:type="pct"/>
            <w:tcBorders>
              <w:top w:val="nil"/>
              <w:left w:val="nil"/>
              <w:bottom w:val="nil"/>
              <w:right w:val="nil"/>
            </w:tcBorders>
            <w:shd w:val="clear" w:color="auto" w:fill="auto"/>
            <w:hideMark/>
          </w:tcPr>
          <w:p w14:paraId="41E4B682" w14:textId="77777777" w:rsidR="00885FF8" w:rsidRPr="00872D7E" w:rsidRDefault="00885FF8" w:rsidP="00885FF8">
            <w:pPr>
              <w:rPr>
                <w:color w:val="000000"/>
                <w:sz w:val="14"/>
                <w:szCs w:val="14"/>
              </w:rPr>
            </w:pPr>
            <w:r w:rsidRPr="00872D7E">
              <w:rPr>
                <w:color w:val="000000"/>
                <w:sz w:val="14"/>
                <w:szCs w:val="14"/>
              </w:rPr>
              <w:t>Katılma Hesaplarına Verilen Kâr Payları</w:t>
            </w:r>
          </w:p>
        </w:tc>
        <w:tc>
          <w:tcPr>
            <w:tcW w:w="622" w:type="pct"/>
            <w:tcBorders>
              <w:top w:val="nil"/>
              <w:left w:val="single" w:sz="4" w:space="0" w:color="auto"/>
              <w:bottom w:val="nil"/>
              <w:right w:val="single" w:sz="4" w:space="0" w:color="auto"/>
            </w:tcBorders>
            <w:shd w:val="clear" w:color="auto" w:fill="auto"/>
            <w:hideMark/>
          </w:tcPr>
          <w:p w14:paraId="7E3A8352"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5CCE8C9" w14:textId="77777777" w:rsidR="00885FF8" w:rsidRPr="00872D7E" w:rsidRDefault="00885FF8" w:rsidP="00885FF8">
            <w:pPr>
              <w:jc w:val="right"/>
              <w:rPr>
                <w:color w:val="000000"/>
                <w:sz w:val="14"/>
                <w:szCs w:val="14"/>
              </w:rPr>
            </w:pPr>
            <w:r w:rsidRPr="00872D7E">
              <w:rPr>
                <w:color w:val="000000"/>
                <w:sz w:val="14"/>
                <w:szCs w:val="14"/>
              </w:rPr>
              <w:t>1.986.035</w:t>
            </w:r>
          </w:p>
        </w:tc>
      </w:tr>
      <w:tr w:rsidR="00885FF8" w:rsidRPr="00872D7E" w14:paraId="686DB405"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5EC9ECD" w14:textId="77777777" w:rsidR="00885FF8" w:rsidRPr="00872D7E" w:rsidRDefault="00885FF8" w:rsidP="00885FF8">
            <w:pPr>
              <w:rPr>
                <w:color w:val="000000"/>
                <w:sz w:val="14"/>
                <w:szCs w:val="14"/>
              </w:rPr>
            </w:pPr>
            <w:r w:rsidRPr="00872D7E">
              <w:rPr>
                <w:color w:val="000000"/>
                <w:sz w:val="14"/>
                <w:szCs w:val="14"/>
              </w:rPr>
              <w:t>2.2</w:t>
            </w:r>
          </w:p>
        </w:tc>
        <w:tc>
          <w:tcPr>
            <w:tcW w:w="3430" w:type="pct"/>
            <w:tcBorders>
              <w:top w:val="nil"/>
              <w:left w:val="nil"/>
              <w:bottom w:val="nil"/>
              <w:right w:val="nil"/>
            </w:tcBorders>
            <w:shd w:val="clear" w:color="auto" w:fill="auto"/>
            <w:hideMark/>
          </w:tcPr>
          <w:p w14:paraId="41950F8A" w14:textId="77777777" w:rsidR="00885FF8" w:rsidRPr="00872D7E" w:rsidRDefault="00885FF8" w:rsidP="00885FF8">
            <w:pPr>
              <w:rPr>
                <w:color w:val="000000"/>
                <w:sz w:val="14"/>
                <w:szCs w:val="14"/>
              </w:rPr>
            </w:pPr>
            <w:r w:rsidRPr="00872D7E">
              <w:rPr>
                <w:color w:val="000000"/>
                <w:sz w:val="14"/>
                <w:szCs w:val="14"/>
              </w:rPr>
              <w:t xml:space="preserve">Kullanılan Kredilere Verilen Kâr Payları </w:t>
            </w:r>
          </w:p>
        </w:tc>
        <w:tc>
          <w:tcPr>
            <w:tcW w:w="622" w:type="pct"/>
            <w:tcBorders>
              <w:top w:val="nil"/>
              <w:left w:val="single" w:sz="4" w:space="0" w:color="auto"/>
              <w:bottom w:val="nil"/>
              <w:right w:val="single" w:sz="4" w:space="0" w:color="auto"/>
            </w:tcBorders>
            <w:shd w:val="clear" w:color="auto" w:fill="auto"/>
            <w:hideMark/>
          </w:tcPr>
          <w:p w14:paraId="0E81FEA6"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C12CDCB" w14:textId="77777777" w:rsidR="00885FF8" w:rsidRPr="00872D7E" w:rsidRDefault="00885FF8" w:rsidP="00885FF8">
            <w:pPr>
              <w:jc w:val="right"/>
              <w:rPr>
                <w:color w:val="000000"/>
                <w:sz w:val="14"/>
                <w:szCs w:val="14"/>
              </w:rPr>
            </w:pPr>
            <w:r w:rsidRPr="00872D7E">
              <w:rPr>
                <w:color w:val="000000"/>
                <w:sz w:val="14"/>
                <w:szCs w:val="14"/>
              </w:rPr>
              <w:t>58.950</w:t>
            </w:r>
          </w:p>
        </w:tc>
      </w:tr>
      <w:tr w:rsidR="00885FF8" w:rsidRPr="00872D7E" w14:paraId="628CB410"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53A00466" w14:textId="77777777" w:rsidR="00885FF8" w:rsidRPr="00872D7E" w:rsidRDefault="00885FF8" w:rsidP="00885FF8">
            <w:pPr>
              <w:rPr>
                <w:color w:val="000000"/>
                <w:sz w:val="14"/>
                <w:szCs w:val="14"/>
              </w:rPr>
            </w:pPr>
            <w:r w:rsidRPr="00872D7E">
              <w:rPr>
                <w:color w:val="000000"/>
                <w:sz w:val="14"/>
                <w:szCs w:val="14"/>
              </w:rPr>
              <w:t>2.3</w:t>
            </w:r>
          </w:p>
        </w:tc>
        <w:tc>
          <w:tcPr>
            <w:tcW w:w="3430" w:type="pct"/>
            <w:tcBorders>
              <w:top w:val="nil"/>
              <w:left w:val="nil"/>
              <w:bottom w:val="nil"/>
              <w:right w:val="nil"/>
            </w:tcBorders>
            <w:shd w:val="clear" w:color="auto" w:fill="auto"/>
            <w:hideMark/>
          </w:tcPr>
          <w:p w14:paraId="3CD59C10" w14:textId="77777777" w:rsidR="00885FF8" w:rsidRPr="00872D7E" w:rsidRDefault="00885FF8" w:rsidP="00885FF8">
            <w:pPr>
              <w:rPr>
                <w:color w:val="000000"/>
                <w:sz w:val="14"/>
                <w:szCs w:val="14"/>
              </w:rPr>
            </w:pPr>
            <w:r w:rsidRPr="00872D7E">
              <w:rPr>
                <w:color w:val="000000"/>
                <w:sz w:val="14"/>
                <w:szCs w:val="14"/>
              </w:rPr>
              <w:t>Para Piyasası İşlemlerine Verilen Kâr Payları</w:t>
            </w:r>
          </w:p>
        </w:tc>
        <w:tc>
          <w:tcPr>
            <w:tcW w:w="622" w:type="pct"/>
            <w:tcBorders>
              <w:top w:val="nil"/>
              <w:left w:val="single" w:sz="4" w:space="0" w:color="auto"/>
              <w:bottom w:val="nil"/>
              <w:right w:val="single" w:sz="4" w:space="0" w:color="auto"/>
            </w:tcBorders>
            <w:shd w:val="clear" w:color="auto" w:fill="auto"/>
            <w:hideMark/>
          </w:tcPr>
          <w:p w14:paraId="69D0F7F0"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0C4A222" w14:textId="77777777" w:rsidR="00885FF8" w:rsidRPr="00872D7E" w:rsidRDefault="00885FF8" w:rsidP="00885FF8">
            <w:pPr>
              <w:jc w:val="right"/>
              <w:rPr>
                <w:color w:val="000000"/>
                <w:sz w:val="14"/>
                <w:szCs w:val="14"/>
              </w:rPr>
            </w:pPr>
            <w:r w:rsidRPr="00872D7E">
              <w:rPr>
                <w:color w:val="000000"/>
                <w:sz w:val="14"/>
                <w:szCs w:val="14"/>
              </w:rPr>
              <w:t>646</w:t>
            </w:r>
          </w:p>
        </w:tc>
      </w:tr>
      <w:tr w:rsidR="00885FF8" w:rsidRPr="00872D7E" w14:paraId="2956D27F"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4AE4AF1D" w14:textId="77777777" w:rsidR="00885FF8" w:rsidRPr="00872D7E" w:rsidRDefault="00885FF8" w:rsidP="00885FF8">
            <w:pPr>
              <w:rPr>
                <w:color w:val="000000"/>
                <w:sz w:val="14"/>
                <w:szCs w:val="14"/>
              </w:rPr>
            </w:pPr>
            <w:r w:rsidRPr="00872D7E">
              <w:rPr>
                <w:color w:val="000000"/>
                <w:sz w:val="14"/>
                <w:szCs w:val="14"/>
              </w:rPr>
              <w:t>2.4</w:t>
            </w:r>
          </w:p>
        </w:tc>
        <w:tc>
          <w:tcPr>
            <w:tcW w:w="3430" w:type="pct"/>
            <w:tcBorders>
              <w:top w:val="nil"/>
              <w:left w:val="nil"/>
              <w:bottom w:val="nil"/>
              <w:right w:val="nil"/>
            </w:tcBorders>
            <w:shd w:val="clear" w:color="auto" w:fill="auto"/>
            <w:hideMark/>
          </w:tcPr>
          <w:p w14:paraId="421EDB8E" w14:textId="77777777" w:rsidR="00885FF8" w:rsidRPr="00872D7E" w:rsidRDefault="00885FF8" w:rsidP="00885FF8">
            <w:pPr>
              <w:rPr>
                <w:color w:val="000000"/>
                <w:sz w:val="14"/>
                <w:szCs w:val="14"/>
              </w:rPr>
            </w:pPr>
            <w:r w:rsidRPr="00872D7E">
              <w:rPr>
                <w:color w:val="000000"/>
                <w:sz w:val="14"/>
                <w:szCs w:val="14"/>
              </w:rPr>
              <w:t>İhraç Edilen Menkul Kıymetlere Verilen Kâr Payları</w:t>
            </w:r>
          </w:p>
        </w:tc>
        <w:tc>
          <w:tcPr>
            <w:tcW w:w="622" w:type="pct"/>
            <w:tcBorders>
              <w:top w:val="nil"/>
              <w:left w:val="single" w:sz="4" w:space="0" w:color="auto"/>
              <w:bottom w:val="nil"/>
              <w:right w:val="single" w:sz="4" w:space="0" w:color="auto"/>
            </w:tcBorders>
            <w:shd w:val="clear" w:color="auto" w:fill="auto"/>
            <w:hideMark/>
          </w:tcPr>
          <w:p w14:paraId="34D99F44"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BBFD4E3"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672A1254"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02D6174D" w14:textId="77777777" w:rsidR="00885FF8" w:rsidRPr="00872D7E" w:rsidRDefault="00885FF8" w:rsidP="00885FF8">
            <w:pPr>
              <w:rPr>
                <w:color w:val="000000"/>
                <w:sz w:val="14"/>
                <w:szCs w:val="14"/>
              </w:rPr>
            </w:pPr>
            <w:r w:rsidRPr="00872D7E">
              <w:rPr>
                <w:color w:val="000000"/>
                <w:sz w:val="14"/>
                <w:szCs w:val="14"/>
              </w:rPr>
              <w:t>2.5</w:t>
            </w:r>
          </w:p>
        </w:tc>
        <w:tc>
          <w:tcPr>
            <w:tcW w:w="3430" w:type="pct"/>
            <w:tcBorders>
              <w:top w:val="nil"/>
              <w:left w:val="nil"/>
              <w:bottom w:val="nil"/>
              <w:right w:val="nil"/>
            </w:tcBorders>
            <w:shd w:val="clear" w:color="auto" w:fill="auto"/>
            <w:hideMark/>
          </w:tcPr>
          <w:p w14:paraId="6A488B2F" w14:textId="77777777" w:rsidR="00885FF8" w:rsidRPr="00872D7E" w:rsidRDefault="00885FF8" w:rsidP="00885FF8">
            <w:pPr>
              <w:rPr>
                <w:color w:val="000000"/>
                <w:sz w:val="14"/>
                <w:szCs w:val="14"/>
              </w:rPr>
            </w:pPr>
            <w:r w:rsidRPr="00872D7E">
              <w:rPr>
                <w:color w:val="000000"/>
                <w:sz w:val="14"/>
                <w:szCs w:val="14"/>
              </w:rPr>
              <w:t>Kiralama Kâr Payı Giderleri</w:t>
            </w:r>
          </w:p>
        </w:tc>
        <w:tc>
          <w:tcPr>
            <w:tcW w:w="622" w:type="pct"/>
            <w:tcBorders>
              <w:top w:val="nil"/>
              <w:left w:val="single" w:sz="4" w:space="0" w:color="auto"/>
              <w:bottom w:val="nil"/>
              <w:right w:val="single" w:sz="4" w:space="0" w:color="auto"/>
            </w:tcBorders>
            <w:shd w:val="clear" w:color="auto" w:fill="auto"/>
            <w:hideMark/>
          </w:tcPr>
          <w:p w14:paraId="7C107C57"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F7F0686" w14:textId="77777777" w:rsidR="00885FF8" w:rsidRPr="00872D7E" w:rsidRDefault="00885FF8" w:rsidP="00885FF8">
            <w:pPr>
              <w:jc w:val="right"/>
              <w:rPr>
                <w:color w:val="000000"/>
                <w:sz w:val="14"/>
                <w:szCs w:val="14"/>
              </w:rPr>
            </w:pPr>
            <w:r w:rsidRPr="00872D7E">
              <w:rPr>
                <w:color w:val="000000"/>
                <w:sz w:val="14"/>
                <w:szCs w:val="14"/>
              </w:rPr>
              <w:t>13.824</w:t>
            </w:r>
          </w:p>
        </w:tc>
      </w:tr>
      <w:tr w:rsidR="00885FF8" w:rsidRPr="00872D7E" w14:paraId="7D5C7CDB"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540DFD93" w14:textId="77777777" w:rsidR="00885FF8" w:rsidRPr="00872D7E" w:rsidRDefault="00885FF8" w:rsidP="00885FF8">
            <w:pPr>
              <w:rPr>
                <w:color w:val="000000"/>
                <w:sz w:val="14"/>
                <w:szCs w:val="14"/>
              </w:rPr>
            </w:pPr>
            <w:r w:rsidRPr="00872D7E">
              <w:rPr>
                <w:color w:val="000000"/>
                <w:sz w:val="14"/>
                <w:szCs w:val="14"/>
              </w:rPr>
              <w:t>2.6</w:t>
            </w:r>
          </w:p>
        </w:tc>
        <w:tc>
          <w:tcPr>
            <w:tcW w:w="3430" w:type="pct"/>
            <w:tcBorders>
              <w:top w:val="nil"/>
              <w:left w:val="nil"/>
              <w:bottom w:val="nil"/>
              <w:right w:val="nil"/>
            </w:tcBorders>
            <w:shd w:val="clear" w:color="auto" w:fill="auto"/>
            <w:hideMark/>
          </w:tcPr>
          <w:p w14:paraId="37C5E12C" w14:textId="77777777" w:rsidR="00885FF8" w:rsidRPr="00872D7E" w:rsidRDefault="00885FF8" w:rsidP="00885FF8">
            <w:pPr>
              <w:rPr>
                <w:color w:val="000000"/>
                <w:sz w:val="14"/>
                <w:szCs w:val="14"/>
              </w:rPr>
            </w:pPr>
            <w:r w:rsidRPr="00872D7E">
              <w:rPr>
                <w:color w:val="000000"/>
                <w:sz w:val="14"/>
                <w:szCs w:val="14"/>
              </w:rPr>
              <w:t xml:space="preserve">Diğer Kâr Payı Giderleri  </w:t>
            </w:r>
          </w:p>
        </w:tc>
        <w:tc>
          <w:tcPr>
            <w:tcW w:w="622" w:type="pct"/>
            <w:tcBorders>
              <w:top w:val="nil"/>
              <w:left w:val="single" w:sz="4" w:space="0" w:color="auto"/>
              <w:bottom w:val="nil"/>
              <w:right w:val="single" w:sz="4" w:space="0" w:color="auto"/>
            </w:tcBorders>
            <w:shd w:val="clear" w:color="auto" w:fill="auto"/>
            <w:hideMark/>
          </w:tcPr>
          <w:p w14:paraId="3D5C169F"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0DCB01A"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57F843D4"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02ECC3A" w14:textId="77777777" w:rsidR="00885FF8" w:rsidRPr="00872D7E" w:rsidRDefault="00885FF8" w:rsidP="00885FF8">
            <w:pPr>
              <w:rPr>
                <w:b/>
                <w:bCs/>
                <w:color w:val="000000"/>
                <w:sz w:val="14"/>
                <w:szCs w:val="14"/>
              </w:rPr>
            </w:pPr>
            <w:r w:rsidRPr="00872D7E">
              <w:rPr>
                <w:b/>
                <w:bCs/>
                <w:color w:val="000000"/>
                <w:sz w:val="14"/>
                <w:szCs w:val="14"/>
              </w:rPr>
              <w:t>III.</w:t>
            </w:r>
          </w:p>
        </w:tc>
        <w:tc>
          <w:tcPr>
            <w:tcW w:w="3430" w:type="pct"/>
            <w:tcBorders>
              <w:top w:val="nil"/>
              <w:left w:val="nil"/>
              <w:bottom w:val="nil"/>
              <w:right w:val="nil"/>
            </w:tcBorders>
            <w:shd w:val="clear" w:color="auto" w:fill="auto"/>
            <w:hideMark/>
          </w:tcPr>
          <w:p w14:paraId="7E5DB1D8" w14:textId="77777777" w:rsidR="00885FF8" w:rsidRPr="00872D7E" w:rsidRDefault="00885FF8" w:rsidP="00885FF8">
            <w:pPr>
              <w:rPr>
                <w:b/>
                <w:bCs/>
                <w:color w:val="000000"/>
                <w:sz w:val="14"/>
                <w:szCs w:val="14"/>
              </w:rPr>
            </w:pPr>
            <w:r w:rsidRPr="00872D7E">
              <w:rPr>
                <w:b/>
                <w:bCs/>
                <w:color w:val="000000"/>
                <w:sz w:val="14"/>
                <w:szCs w:val="14"/>
              </w:rPr>
              <w:t>NET KÂR PAYI GELİRİ/GİDERİ (</w:t>
            </w:r>
            <w:proofErr w:type="gramStart"/>
            <w:r w:rsidRPr="00872D7E">
              <w:rPr>
                <w:b/>
                <w:bCs/>
                <w:color w:val="000000"/>
                <w:sz w:val="14"/>
                <w:szCs w:val="14"/>
              </w:rPr>
              <w:t>I -</w:t>
            </w:r>
            <w:proofErr w:type="gramEnd"/>
            <w:r w:rsidRPr="00872D7E">
              <w:rPr>
                <w:b/>
                <w:bCs/>
                <w:color w:val="000000"/>
                <w:sz w:val="14"/>
                <w:szCs w:val="14"/>
              </w:rPr>
              <w:t xml:space="preserve"> II)</w:t>
            </w:r>
          </w:p>
        </w:tc>
        <w:tc>
          <w:tcPr>
            <w:tcW w:w="622" w:type="pct"/>
            <w:tcBorders>
              <w:top w:val="nil"/>
              <w:left w:val="single" w:sz="4" w:space="0" w:color="auto"/>
              <w:bottom w:val="nil"/>
              <w:right w:val="single" w:sz="4" w:space="0" w:color="auto"/>
            </w:tcBorders>
            <w:shd w:val="clear" w:color="auto" w:fill="auto"/>
            <w:hideMark/>
          </w:tcPr>
          <w:p w14:paraId="6B7CB76F"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A9602DB" w14:textId="77777777" w:rsidR="00885FF8" w:rsidRPr="00872D7E" w:rsidRDefault="00885FF8" w:rsidP="00885FF8">
            <w:pPr>
              <w:jc w:val="right"/>
              <w:rPr>
                <w:b/>
                <w:bCs/>
                <w:color w:val="000000"/>
                <w:sz w:val="14"/>
                <w:szCs w:val="14"/>
              </w:rPr>
            </w:pPr>
            <w:r w:rsidRPr="00872D7E">
              <w:rPr>
                <w:b/>
                <w:bCs/>
                <w:color w:val="000000"/>
                <w:sz w:val="14"/>
                <w:szCs w:val="14"/>
              </w:rPr>
              <w:t>1.602.593</w:t>
            </w:r>
          </w:p>
        </w:tc>
      </w:tr>
      <w:tr w:rsidR="00885FF8" w:rsidRPr="00872D7E" w14:paraId="5727A659"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A4F05AA" w14:textId="77777777" w:rsidR="00885FF8" w:rsidRPr="00872D7E" w:rsidRDefault="00885FF8" w:rsidP="00885FF8">
            <w:pPr>
              <w:rPr>
                <w:b/>
                <w:bCs/>
                <w:color w:val="000000"/>
                <w:sz w:val="14"/>
                <w:szCs w:val="14"/>
              </w:rPr>
            </w:pPr>
            <w:r w:rsidRPr="00872D7E">
              <w:rPr>
                <w:b/>
                <w:bCs/>
                <w:color w:val="000000"/>
                <w:sz w:val="14"/>
                <w:szCs w:val="14"/>
              </w:rPr>
              <w:t>IV.</w:t>
            </w:r>
          </w:p>
        </w:tc>
        <w:tc>
          <w:tcPr>
            <w:tcW w:w="3430" w:type="pct"/>
            <w:tcBorders>
              <w:top w:val="nil"/>
              <w:left w:val="nil"/>
              <w:bottom w:val="nil"/>
              <w:right w:val="nil"/>
            </w:tcBorders>
            <w:shd w:val="clear" w:color="auto" w:fill="auto"/>
            <w:hideMark/>
          </w:tcPr>
          <w:p w14:paraId="749928F1" w14:textId="77777777" w:rsidR="00885FF8" w:rsidRPr="00872D7E" w:rsidRDefault="00885FF8" w:rsidP="00885FF8">
            <w:pPr>
              <w:rPr>
                <w:b/>
                <w:bCs/>
                <w:color w:val="000000"/>
                <w:sz w:val="14"/>
                <w:szCs w:val="14"/>
              </w:rPr>
            </w:pPr>
            <w:r w:rsidRPr="00872D7E">
              <w:rPr>
                <w:b/>
                <w:bCs/>
                <w:color w:val="000000"/>
                <w:sz w:val="14"/>
                <w:szCs w:val="14"/>
              </w:rPr>
              <w:t>NET ÜCRET VE KOMİSYON GELİRLERİ/GİDERLERİ</w:t>
            </w:r>
          </w:p>
        </w:tc>
        <w:tc>
          <w:tcPr>
            <w:tcW w:w="622" w:type="pct"/>
            <w:tcBorders>
              <w:top w:val="nil"/>
              <w:left w:val="single" w:sz="4" w:space="0" w:color="auto"/>
              <w:bottom w:val="nil"/>
              <w:right w:val="single" w:sz="4" w:space="0" w:color="auto"/>
            </w:tcBorders>
            <w:shd w:val="clear" w:color="auto" w:fill="auto"/>
            <w:hideMark/>
          </w:tcPr>
          <w:p w14:paraId="32C48BC1" w14:textId="77777777" w:rsidR="00885FF8" w:rsidRPr="00872D7E" w:rsidRDefault="00885FF8" w:rsidP="00885FF8">
            <w:pPr>
              <w:jc w:val="center"/>
              <w:rPr>
                <w:b/>
                <w:bCs/>
                <w:color w:val="000000"/>
                <w:sz w:val="14"/>
                <w:szCs w:val="14"/>
              </w:rPr>
            </w:pPr>
            <w:r w:rsidRPr="00872D7E">
              <w:rPr>
                <w:b/>
                <w:bCs/>
                <w:color w:val="000000"/>
                <w:sz w:val="14"/>
                <w:szCs w:val="14"/>
              </w:rPr>
              <w:t>(3)</w:t>
            </w:r>
          </w:p>
        </w:tc>
        <w:tc>
          <w:tcPr>
            <w:tcW w:w="622" w:type="pct"/>
            <w:tcBorders>
              <w:top w:val="nil"/>
              <w:left w:val="nil"/>
              <w:bottom w:val="nil"/>
              <w:right w:val="single" w:sz="4" w:space="0" w:color="auto"/>
            </w:tcBorders>
            <w:shd w:val="clear" w:color="auto" w:fill="auto"/>
            <w:vAlign w:val="center"/>
            <w:hideMark/>
          </w:tcPr>
          <w:p w14:paraId="39323BA9" w14:textId="77777777" w:rsidR="00885FF8" w:rsidRPr="00872D7E" w:rsidRDefault="00885FF8" w:rsidP="00885FF8">
            <w:pPr>
              <w:jc w:val="right"/>
              <w:rPr>
                <w:b/>
                <w:bCs/>
                <w:color w:val="000000"/>
                <w:sz w:val="14"/>
                <w:szCs w:val="14"/>
              </w:rPr>
            </w:pPr>
            <w:r w:rsidRPr="00872D7E">
              <w:rPr>
                <w:b/>
                <w:bCs/>
                <w:color w:val="000000"/>
                <w:sz w:val="14"/>
                <w:szCs w:val="14"/>
              </w:rPr>
              <w:t>188.995</w:t>
            </w:r>
          </w:p>
        </w:tc>
      </w:tr>
      <w:tr w:rsidR="00885FF8" w:rsidRPr="00872D7E" w14:paraId="3E78F0EC"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27258A03" w14:textId="77777777" w:rsidR="00885FF8" w:rsidRPr="00872D7E" w:rsidRDefault="00885FF8" w:rsidP="00885FF8">
            <w:pPr>
              <w:rPr>
                <w:color w:val="000000"/>
                <w:sz w:val="14"/>
                <w:szCs w:val="14"/>
              </w:rPr>
            </w:pPr>
            <w:r w:rsidRPr="00872D7E">
              <w:rPr>
                <w:color w:val="000000"/>
                <w:sz w:val="14"/>
                <w:szCs w:val="14"/>
              </w:rPr>
              <w:t>4.1</w:t>
            </w:r>
          </w:p>
        </w:tc>
        <w:tc>
          <w:tcPr>
            <w:tcW w:w="3430" w:type="pct"/>
            <w:tcBorders>
              <w:top w:val="nil"/>
              <w:left w:val="nil"/>
              <w:bottom w:val="nil"/>
              <w:right w:val="nil"/>
            </w:tcBorders>
            <w:shd w:val="clear" w:color="auto" w:fill="auto"/>
            <w:hideMark/>
          </w:tcPr>
          <w:p w14:paraId="662C5B39" w14:textId="77777777" w:rsidR="00885FF8" w:rsidRPr="00872D7E" w:rsidRDefault="00885FF8" w:rsidP="00885FF8">
            <w:pPr>
              <w:rPr>
                <w:color w:val="000000"/>
                <w:sz w:val="14"/>
                <w:szCs w:val="14"/>
              </w:rPr>
            </w:pPr>
            <w:r w:rsidRPr="00872D7E">
              <w:rPr>
                <w:color w:val="000000"/>
                <w:sz w:val="14"/>
                <w:szCs w:val="14"/>
              </w:rPr>
              <w:t>Alınan Ücret ve Komisyonlar</w:t>
            </w:r>
          </w:p>
        </w:tc>
        <w:tc>
          <w:tcPr>
            <w:tcW w:w="622" w:type="pct"/>
            <w:tcBorders>
              <w:top w:val="nil"/>
              <w:left w:val="single" w:sz="4" w:space="0" w:color="auto"/>
              <w:bottom w:val="nil"/>
              <w:right w:val="single" w:sz="4" w:space="0" w:color="auto"/>
            </w:tcBorders>
            <w:shd w:val="clear" w:color="auto" w:fill="auto"/>
            <w:hideMark/>
          </w:tcPr>
          <w:p w14:paraId="4EB4742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7BD8927E" w14:textId="77777777" w:rsidR="00885FF8" w:rsidRPr="00872D7E" w:rsidRDefault="00885FF8" w:rsidP="00885FF8">
            <w:pPr>
              <w:jc w:val="right"/>
              <w:rPr>
                <w:color w:val="000000"/>
                <w:sz w:val="14"/>
                <w:szCs w:val="14"/>
              </w:rPr>
            </w:pPr>
            <w:r w:rsidRPr="00872D7E">
              <w:rPr>
                <w:color w:val="000000"/>
                <w:sz w:val="14"/>
                <w:szCs w:val="14"/>
              </w:rPr>
              <w:t>199.196</w:t>
            </w:r>
          </w:p>
        </w:tc>
      </w:tr>
      <w:tr w:rsidR="00885FF8" w:rsidRPr="00872D7E" w14:paraId="0F841AA6"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40BF5F08" w14:textId="77777777" w:rsidR="00885FF8" w:rsidRPr="00872D7E" w:rsidRDefault="00885FF8" w:rsidP="00885FF8">
            <w:pPr>
              <w:rPr>
                <w:color w:val="000000"/>
                <w:sz w:val="14"/>
                <w:szCs w:val="14"/>
              </w:rPr>
            </w:pPr>
            <w:r w:rsidRPr="00872D7E">
              <w:rPr>
                <w:color w:val="000000"/>
                <w:sz w:val="14"/>
                <w:szCs w:val="14"/>
              </w:rPr>
              <w:t>4.1.1</w:t>
            </w:r>
          </w:p>
        </w:tc>
        <w:tc>
          <w:tcPr>
            <w:tcW w:w="3430" w:type="pct"/>
            <w:tcBorders>
              <w:top w:val="nil"/>
              <w:left w:val="nil"/>
              <w:bottom w:val="nil"/>
              <w:right w:val="nil"/>
            </w:tcBorders>
            <w:shd w:val="clear" w:color="auto" w:fill="auto"/>
            <w:hideMark/>
          </w:tcPr>
          <w:p w14:paraId="08AD92D2" w14:textId="77777777" w:rsidR="00885FF8" w:rsidRPr="00872D7E" w:rsidRDefault="00885FF8" w:rsidP="00885FF8">
            <w:pPr>
              <w:rPr>
                <w:color w:val="000000"/>
                <w:sz w:val="14"/>
                <w:szCs w:val="14"/>
              </w:rPr>
            </w:pPr>
            <w:r w:rsidRPr="00872D7E">
              <w:rPr>
                <w:color w:val="000000"/>
                <w:sz w:val="14"/>
                <w:szCs w:val="14"/>
              </w:rPr>
              <w:t>Gayri Nakdi Kredilerden</w:t>
            </w:r>
          </w:p>
        </w:tc>
        <w:tc>
          <w:tcPr>
            <w:tcW w:w="622" w:type="pct"/>
            <w:tcBorders>
              <w:top w:val="nil"/>
              <w:left w:val="single" w:sz="4" w:space="0" w:color="auto"/>
              <w:bottom w:val="nil"/>
              <w:right w:val="single" w:sz="4" w:space="0" w:color="auto"/>
            </w:tcBorders>
            <w:shd w:val="clear" w:color="auto" w:fill="auto"/>
            <w:hideMark/>
          </w:tcPr>
          <w:p w14:paraId="05E63EC3"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6D02625A" w14:textId="77777777" w:rsidR="00885FF8" w:rsidRPr="00872D7E" w:rsidRDefault="00885FF8" w:rsidP="00885FF8">
            <w:pPr>
              <w:jc w:val="right"/>
              <w:rPr>
                <w:color w:val="000000"/>
                <w:sz w:val="14"/>
                <w:szCs w:val="14"/>
              </w:rPr>
            </w:pPr>
            <w:r w:rsidRPr="00872D7E">
              <w:rPr>
                <w:color w:val="000000"/>
                <w:sz w:val="14"/>
                <w:szCs w:val="14"/>
              </w:rPr>
              <w:t>17.736</w:t>
            </w:r>
          </w:p>
        </w:tc>
      </w:tr>
      <w:tr w:rsidR="00885FF8" w:rsidRPr="00872D7E" w14:paraId="5C63F8A0"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59FF00D5" w14:textId="77777777" w:rsidR="00885FF8" w:rsidRPr="00872D7E" w:rsidRDefault="00885FF8" w:rsidP="00885FF8">
            <w:pPr>
              <w:rPr>
                <w:color w:val="000000"/>
                <w:sz w:val="14"/>
                <w:szCs w:val="14"/>
              </w:rPr>
            </w:pPr>
            <w:r w:rsidRPr="00872D7E">
              <w:rPr>
                <w:color w:val="000000"/>
                <w:sz w:val="14"/>
                <w:szCs w:val="14"/>
              </w:rPr>
              <w:t>4.1.2</w:t>
            </w:r>
          </w:p>
        </w:tc>
        <w:tc>
          <w:tcPr>
            <w:tcW w:w="3430" w:type="pct"/>
            <w:tcBorders>
              <w:top w:val="nil"/>
              <w:left w:val="nil"/>
              <w:bottom w:val="nil"/>
              <w:right w:val="nil"/>
            </w:tcBorders>
            <w:shd w:val="clear" w:color="auto" w:fill="auto"/>
            <w:hideMark/>
          </w:tcPr>
          <w:p w14:paraId="26CFE3DE" w14:textId="77777777" w:rsidR="00885FF8" w:rsidRPr="00872D7E" w:rsidRDefault="00885FF8" w:rsidP="00885FF8">
            <w:pPr>
              <w:rPr>
                <w:color w:val="000000"/>
                <w:sz w:val="14"/>
                <w:szCs w:val="14"/>
              </w:rPr>
            </w:pPr>
            <w:r w:rsidRPr="00872D7E">
              <w:rPr>
                <w:color w:val="000000"/>
                <w:sz w:val="14"/>
                <w:szCs w:val="14"/>
              </w:rPr>
              <w:t>Diğer</w:t>
            </w:r>
          </w:p>
        </w:tc>
        <w:tc>
          <w:tcPr>
            <w:tcW w:w="622" w:type="pct"/>
            <w:tcBorders>
              <w:top w:val="nil"/>
              <w:left w:val="single" w:sz="4" w:space="0" w:color="auto"/>
              <w:bottom w:val="nil"/>
              <w:right w:val="single" w:sz="4" w:space="0" w:color="auto"/>
            </w:tcBorders>
            <w:shd w:val="clear" w:color="auto" w:fill="auto"/>
            <w:hideMark/>
          </w:tcPr>
          <w:p w14:paraId="10657220"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ED7EB20" w14:textId="77777777" w:rsidR="00885FF8" w:rsidRPr="00872D7E" w:rsidRDefault="00885FF8" w:rsidP="00885FF8">
            <w:pPr>
              <w:jc w:val="right"/>
              <w:rPr>
                <w:color w:val="000000"/>
                <w:sz w:val="14"/>
                <w:szCs w:val="14"/>
              </w:rPr>
            </w:pPr>
            <w:r w:rsidRPr="00872D7E">
              <w:rPr>
                <w:color w:val="000000"/>
                <w:sz w:val="14"/>
                <w:szCs w:val="14"/>
              </w:rPr>
              <w:t>181.460</w:t>
            </w:r>
          </w:p>
        </w:tc>
      </w:tr>
      <w:tr w:rsidR="00885FF8" w:rsidRPr="00872D7E" w14:paraId="6D72A840"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0245EF57" w14:textId="77777777" w:rsidR="00885FF8" w:rsidRPr="00872D7E" w:rsidRDefault="00885FF8" w:rsidP="00885FF8">
            <w:pPr>
              <w:rPr>
                <w:color w:val="000000"/>
                <w:sz w:val="14"/>
                <w:szCs w:val="14"/>
              </w:rPr>
            </w:pPr>
            <w:r w:rsidRPr="00872D7E">
              <w:rPr>
                <w:color w:val="000000"/>
                <w:sz w:val="14"/>
                <w:szCs w:val="14"/>
              </w:rPr>
              <w:t>4.2</w:t>
            </w:r>
          </w:p>
        </w:tc>
        <w:tc>
          <w:tcPr>
            <w:tcW w:w="3430" w:type="pct"/>
            <w:tcBorders>
              <w:top w:val="nil"/>
              <w:left w:val="nil"/>
              <w:bottom w:val="nil"/>
              <w:right w:val="nil"/>
            </w:tcBorders>
            <w:shd w:val="clear" w:color="auto" w:fill="auto"/>
            <w:hideMark/>
          </w:tcPr>
          <w:p w14:paraId="4FFB8E95" w14:textId="77777777" w:rsidR="00885FF8" w:rsidRPr="00872D7E" w:rsidRDefault="00885FF8" w:rsidP="00885FF8">
            <w:pPr>
              <w:rPr>
                <w:color w:val="000000"/>
                <w:sz w:val="14"/>
                <w:szCs w:val="14"/>
              </w:rPr>
            </w:pPr>
            <w:r w:rsidRPr="00872D7E">
              <w:rPr>
                <w:color w:val="000000"/>
                <w:sz w:val="14"/>
                <w:szCs w:val="14"/>
              </w:rPr>
              <w:t>Verilen Ücret ve Komisyonlar (-)</w:t>
            </w:r>
          </w:p>
        </w:tc>
        <w:tc>
          <w:tcPr>
            <w:tcW w:w="622" w:type="pct"/>
            <w:tcBorders>
              <w:top w:val="nil"/>
              <w:left w:val="single" w:sz="4" w:space="0" w:color="auto"/>
              <w:bottom w:val="nil"/>
              <w:right w:val="single" w:sz="4" w:space="0" w:color="auto"/>
            </w:tcBorders>
            <w:shd w:val="clear" w:color="auto" w:fill="auto"/>
            <w:hideMark/>
          </w:tcPr>
          <w:p w14:paraId="0099C9E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6E2FF8E" w14:textId="77777777" w:rsidR="00885FF8" w:rsidRPr="00872D7E" w:rsidRDefault="00885FF8" w:rsidP="00885FF8">
            <w:pPr>
              <w:jc w:val="right"/>
              <w:rPr>
                <w:color w:val="000000"/>
                <w:sz w:val="14"/>
                <w:szCs w:val="14"/>
              </w:rPr>
            </w:pPr>
            <w:r w:rsidRPr="00872D7E">
              <w:rPr>
                <w:color w:val="000000"/>
                <w:sz w:val="14"/>
                <w:szCs w:val="14"/>
              </w:rPr>
              <w:t>10.201</w:t>
            </w:r>
          </w:p>
        </w:tc>
      </w:tr>
      <w:tr w:rsidR="00885FF8" w:rsidRPr="00872D7E" w14:paraId="0CD6E06A"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2AD9765" w14:textId="77777777" w:rsidR="00885FF8" w:rsidRPr="00872D7E" w:rsidRDefault="00885FF8" w:rsidP="00885FF8">
            <w:pPr>
              <w:rPr>
                <w:color w:val="000000"/>
                <w:sz w:val="14"/>
                <w:szCs w:val="14"/>
              </w:rPr>
            </w:pPr>
            <w:r w:rsidRPr="00872D7E">
              <w:rPr>
                <w:color w:val="000000"/>
                <w:sz w:val="14"/>
                <w:szCs w:val="14"/>
              </w:rPr>
              <w:t>4.2.1</w:t>
            </w:r>
          </w:p>
        </w:tc>
        <w:tc>
          <w:tcPr>
            <w:tcW w:w="3430" w:type="pct"/>
            <w:tcBorders>
              <w:top w:val="nil"/>
              <w:left w:val="nil"/>
              <w:bottom w:val="nil"/>
              <w:right w:val="nil"/>
            </w:tcBorders>
            <w:shd w:val="clear" w:color="auto" w:fill="auto"/>
            <w:hideMark/>
          </w:tcPr>
          <w:p w14:paraId="3895F4C1" w14:textId="77777777" w:rsidR="00885FF8" w:rsidRPr="00872D7E" w:rsidRDefault="00885FF8" w:rsidP="00885FF8">
            <w:pPr>
              <w:rPr>
                <w:color w:val="000000"/>
                <w:sz w:val="14"/>
                <w:szCs w:val="14"/>
              </w:rPr>
            </w:pPr>
            <w:r w:rsidRPr="00872D7E">
              <w:rPr>
                <w:color w:val="000000"/>
                <w:sz w:val="14"/>
                <w:szCs w:val="14"/>
              </w:rPr>
              <w:t>Gayri Nakdi Kredilere</w:t>
            </w:r>
          </w:p>
        </w:tc>
        <w:tc>
          <w:tcPr>
            <w:tcW w:w="622" w:type="pct"/>
            <w:tcBorders>
              <w:top w:val="nil"/>
              <w:left w:val="single" w:sz="4" w:space="0" w:color="auto"/>
              <w:bottom w:val="nil"/>
              <w:right w:val="single" w:sz="4" w:space="0" w:color="auto"/>
            </w:tcBorders>
            <w:shd w:val="clear" w:color="auto" w:fill="auto"/>
            <w:hideMark/>
          </w:tcPr>
          <w:p w14:paraId="6BDB5BA3"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59578003" w14:textId="77777777" w:rsidR="00885FF8" w:rsidRPr="00872D7E" w:rsidRDefault="00885FF8" w:rsidP="00885FF8">
            <w:pPr>
              <w:jc w:val="right"/>
              <w:rPr>
                <w:color w:val="000000"/>
                <w:sz w:val="14"/>
                <w:szCs w:val="14"/>
              </w:rPr>
            </w:pPr>
            <w:r w:rsidRPr="00872D7E">
              <w:rPr>
                <w:color w:val="000000"/>
                <w:sz w:val="14"/>
                <w:szCs w:val="14"/>
              </w:rPr>
              <w:t>915</w:t>
            </w:r>
          </w:p>
        </w:tc>
      </w:tr>
      <w:tr w:rsidR="00885FF8" w:rsidRPr="00872D7E" w14:paraId="3E566904"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2A6BF682" w14:textId="77777777" w:rsidR="00885FF8" w:rsidRPr="00872D7E" w:rsidRDefault="00885FF8" w:rsidP="00885FF8">
            <w:pPr>
              <w:rPr>
                <w:color w:val="000000"/>
                <w:sz w:val="14"/>
                <w:szCs w:val="14"/>
              </w:rPr>
            </w:pPr>
            <w:r w:rsidRPr="00872D7E">
              <w:rPr>
                <w:color w:val="000000"/>
                <w:sz w:val="14"/>
                <w:szCs w:val="14"/>
              </w:rPr>
              <w:t>4.2.2</w:t>
            </w:r>
          </w:p>
        </w:tc>
        <w:tc>
          <w:tcPr>
            <w:tcW w:w="3430" w:type="pct"/>
            <w:tcBorders>
              <w:top w:val="nil"/>
              <w:left w:val="nil"/>
              <w:bottom w:val="nil"/>
              <w:right w:val="nil"/>
            </w:tcBorders>
            <w:shd w:val="clear" w:color="auto" w:fill="auto"/>
            <w:hideMark/>
          </w:tcPr>
          <w:p w14:paraId="0ADCB551" w14:textId="77777777" w:rsidR="00885FF8" w:rsidRPr="00872D7E" w:rsidRDefault="00885FF8" w:rsidP="00885FF8">
            <w:pPr>
              <w:rPr>
                <w:color w:val="000000"/>
                <w:sz w:val="14"/>
                <w:szCs w:val="14"/>
              </w:rPr>
            </w:pPr>
            <w:r w:rsidRPr="00872D7E">
              <w:rPr>
                <w:color w:val="000000"/>
                <w:sz w:val="14"/>
                <w:szCs w:val="14"/>
              </w:rPr>
              <w:t>Diğer</w:t>
            </w:r>
          </w:p>
        </w:tc>
        <w:tc>
          <w:tcPr>
            <w:tcW w:w="622" w:type="pct"/>
            <w:tcBorders>
              <w:top w:val="nil"/>
              <w:left w:val="single" w:sz="4" w:space="0" w:color="auto"/>
              <w:bottom w:val="nil"/>
              <w:right w:val="single" w:sz="4" w:space="0" w:color="auto"/>
            </w:tcBorders>
            <w:shd w:val="clear" w:color="auto" w:fill="auto"/>
            <w:hideMark/>
          </w:tcPr>
          <w:p w14:paraId="5024A0F8"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8401AF1" w14:textId="77777777" w:rsidR="00885FF8" w:rsidRPr="00872D7E" w:rsidRDefault="00885FF8" w:rsidP="00885FF8">
            <w:pPr>
              <w:jc w:val="right"/>
              <w:rPr>
                <w:color w:val="000000"/>
                <w:sz w:val="14"/>
                <w:szCs w:val="14"/>
              </w:rPr>
            </w:pPr>
            <w:r w:rsidRPr="00872D7E">
              <w:rPr>
                <w:color w:val="000000"/>
                <w:sz w:val="14"/>
                <w:szCs w:val="14"/>
              </w:rPr>
              <w:t>9.286</w:t>
            </w:r>
          </w:p>
        </w:tc>
      </w:tr>
      <w:tr w:rsidR="00885FF8" w:rsidRPr="00872D7E" w14:paraId="24B9BF0C"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140793A6" w14:textId="77777777" w:rsidR="00885FF8" w:rsidRPr="00872D7E" w:rsidRDefault="00885FF8" w:rsidP="00885FF8">
            <w:pPr>
              <w:rPr>
                <w:b/>
                <w:bCs/>
                <w:color w:val="000000"/>
                <w:sz w:val="14"/>
                <w:szCs w:val="14"/>
              </w:rPr>
            </w:pPr>
            <w:r w:rsidRPr="00872D7E">
              <w:rPr>
                <w:b/>
                <w:bCs/>
                <w:color w:val="000000"/>
                <w:sz w:val="14"/>
                <w:szCs w:val="14"/>
              </w:rPr>
              <w:t>V.</w:t>
            </w:r>
          </w:p>
        </w:tc>
        <w:tc>
          <w:tcPr>
            <w:tcW w:w="3430" w:type="pct"/>
            <w:tcBorders>
              <w:top w:val="nil"/>
              <w:left w:val="nil"/>
              <w:bottom w:val="nil"/>
              <w:right w:val="nil"/>
            </w:tcBorders>
            <w:shd w:val="clear" w:color="auto" w:fill="auto"/>
            <w:hideMark/>
          </w:tcPr>
          <w:p w14:paraId="01B80EF1" w14:textId="77777777" w:rsidR="00885FF8" w:rsidRPr="00872D7E" w:rsidRDefault="00885FF8" w:rsidP="00885FF8">
            <w:pPr>
              <w:rPr>
                <w:b/>
                <w:bCs/>
                <w:color w:val="000000"/>
                <w:sz w:val="14"/>
                <w:szCs w:val="14"/>
              </w:rPr>
            </w:pPr>
            <w:r w:rsidRPr="00872D7E">
              <w:rPr>
                <w:b/>
                <w:bCs/>
                <w:color w:val="000000"/>
                <w:sz w:val="14"/>
                <w:szCs w:val="14"/>
              </w:rPr>
              <w:t>TEMETTÜ GELİRLERİ</w:t>
            </w:r>
          </w:p>
        </w:tc>
        <w:tc>
          <w:tcPr>
            <w:tcW w:w="622" w:type="pct"/>
            <w:tcBorders>
              <w:top w:val="nil"/>
              <w:left w:val="single" w:sz="4" w:space="0" w:color="auto"/>
              <w:bottom w:val="nil"/>
              <w:right w:val="single" w:sz="4" w:space="0" w:color="auto"/>
            </w:tcBorders>
            <w:shd w:val="clear" w:color="auto" w:fill="auto"/>
            <w:hideMark/>
          </w:tcPr>
          <w:p w14:paraId="0D21D98B" w14:textId="77777777" w:rsidR="00885FF8" w:rsidRPr="00872D7E" w:rsidRDefault="00885FF8" w:rsidP="00885FF8">
            <w:pPr>
              <w:jc w:val="center"/>
              <w:rPr>
                <w:b/>
                <w:bCs/>
                <w:color w:val="000000"/>
                <w:sz w:val="14"/>
                <w:szCs w:val="14"/>
              </w:rPr>
            </w:pPr>
            <w:r w:rsidRPr="00872D7E">
              <w:rPr>
                <w:b/>
                <w:bCs/>
                <w:color w:val="000000"/>
                <w:sz w:val="14"/>
                <w:szCs w:val="14"/>
              </w:rPr>
              <w:t>(4)</w:t>
            </w:r>
          </w:p>
        </w:tc>
        <w:tc>
          <w:tcPr>
            <w:tcW w:w="622" w:type="pct"/>
            <w:tcBorders>
              <w:top w:val="nil"/>
              <w:left w:val="nil"/>
              <w:bottom w:val="nil"/>
              <w:right w:val="single" w:sz="4" w:space="0" w:color="auto"/>
            </w:tcBorders>
            <w:shd w:val="clear" w:color="auto" w:fill="auto"/>
            <w:vAlign w:val="center"/>
            <w:hideMark/>
          </w:tcPr>
          <w:p w14:paraId="66A3607E" w14:textId="77777777" w:rsidR="00885FF8" w:rsidRPr="00872D7E" w:rsidRDefault="00885FF8" w:rsidP="00885FF8">
            <w:pPr>
              <w:jc w:val="right"/>
              <w:rPr>
                <w:b/>
                <w:bCs/>
                <w:color w:val="000000"/>
                <w:sz w:val="14"/>
                <w:szCs w:val="14"/>
              </w:rPr>
            </w:pPr>
            <w:r w:rsidRPr="00872D7E">
              <w:rPr>
                <w:b/>
                <w:bCs/>
                <w:color w:val="000000"/>
                <w:sz w:val="14"/>
                <w:szCs w:val="14"/>
              </w:rPr>
              <w:t>52</w:t>
            </w:r>
          </w:p>
        </w:tc>
      </w:tr>
      <w:tr w:rsidR="00885FF8" w:rsidRPr="00872D7E" w14:paraId="4696D6F9"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04E2EE87" w14:textId="77777777" w:rsidR="00885FF8" w:rsidRPr="00872D7E" w:rsidRDefault="00885FF8" w:rsidP="00885FF8">
            <w:pPr>
              <w:rPr>
                <w:b/>
                <w:bCs/>
                <w:color w:val="000000"/>
                <w:sz w:val="14"/>
                <w:szCs w:val="14"/>
              </w:rPr>
            </w:pPr>
            <w:r w:rsidRPr="00872D7E">
              <w:rPr>
                <w:b/>
                <w:bCs/>
                <w:color w:val="000000"/>
                <w:sz w:val="14"/>
                <w:szCs w:val="14"/>
              </w:rPr>
              <w:t>VI.</w:t>
            </w:r>
          </w:p>
        </w:tc>
        <w:tc>
          <w:tcPr>
            <w:tcW w:w="3430" w:type="pct"/>
            <w:tcBorders>
              <w:top w:val="nil"/>
              <w:left w:val="nil"/>
              <w:bottom w:val="nil"/>
              <w:right w:val="nil"/>
            </w:tcBorders>
            <w:shd w:val="clear" w:color="auto" w:fill="auto"/>
            <w:hideMark/>
          </w:tcPr>
          <w:p w14:paraId="10E5693E" w14:textId="77777777" w:rsidR="00885FF8" w:rsidRPr="00872D7E" w:rsidRDefault="00885FF8" w:rsidP="00885FF8">
            <w:pPr>
              <w:rPr>
                <w:b/>
                <w:bCs/>
                <w:color w:val="000000"/>
                <w:sz w:val="14"/>
                <w:szCs w:val="14"/>
              </w:rPr>
            </w:pPr>
            <w:r w:rsidRPr="00872D7E">
              <w:rPr>
                <w:b/>
                <w:bCs/>
                <w:color w:val="000000"/>
                <w:sz w:val="14"/>
                <w:szCs w:val="14"/>
              </w:rPr>
              <w:t>TİCARİ KAR/ZARAR (Net)</w:t>
            </w:r>
          </w:p>
        </w:tc>
        <w:tc>
          <w:tcPr>
            <w:tcW w:w="622" w:type="pct"/>
            <w:tcBorders>
              <w:top w:val="nil"/>
              <w:left w:val="single" w:sz="4" w:space="0" w:color="auto"/>
              <w:bottom w:val="nil"/>
              <w:right w:val="single" w:sz="4" w:space="0" w:color="auto"/>
            </w:tcBorders>
            <w:shd w:val="clear" w:color="auto" w:fill="auto"/>
            <w:hideMark/>
          </w:tcPr>
          <w:p w14:paraId="4C032BD7" w14:textId="77777777" w:rsidR="00885FF8" w:rsidRPr="00872D7E" w:rsidRDefault="00885FF8" w:rsidP="00885FF8">
            <w:pPr>
              <w:jc w:val="center"/>
              <w:rPr>
                <w:b/>
                <w:bCs/>
                <w:color w:val="000000"/>
                <w:sz w:val="14"/>
                <w:szCs w:val="14"/>
              </w:rPr>
            </w:pPr>
            <w:r w:rsidRPr="00872D7E">
              <w:rPr>
                <w:b/>
                <w:bCs/>
                <w:color w:val="000000"/>
                <w:sz w:val="14"/>
                <w:szCs w:val="14"/>
              </w:rPr>
              <w:t>(5)</w:t>
            </w:r>
          </w:p>
        </w:tc>
        <w:tc>
          <w:tcPr>
            <w:tcW w:w="622" w:type="pct"/>
            <w:tcBorders>
              <w:top w:val="nil"/>
              <w:left w:val="nil"/>
              <w:bottom w:val="nil"/>
              <w:right w:val="single" w:sz="4" w:space="0" w:color="auto"/>
            </w:tcBorders>
            <w:shd w:val="clear" w:color="auto" w:fill="auto"/>
            <w:vAlign w:val="center"/>
            <w:hideMark/>
          </w:tcPr>
          <w:p w14:paraId="30B5B96A" w14:textId="77777777" w:rsidR="00885FF8" w:rsidRPr="00872D7E" w:rsidRDefault="00885FF8" w:rsidP="00885FF8">
            <w:pPr>
              <w:jc w:val="right"/>
              <w:rPr>
                <w:b/>
                <w:bCs/>
                <w:color w:val="000000"/>
                <w:sz w:val="14"/>
                <w:szCs w:val="14"/>
              </w:rPr>
            </w:pPr>
            <w:r w:rsidRPr="00872D7E">
              <w:rPr>
                <w:b/>
                <w:bCs/>
                <w:color w:val="000000"/>
                <w:sz w:val="14"/>
                <w:szCs w:val="14"/>
              </w:rPr>
              <w:t>1.379.654</w:t>
            </w:r>
          </w:p>
        </w:tc>
      </w:tr>
      <w:tr w:rsidR="00885FF8" w:rsidRPr="00872D7E" w14:paraId="2738C155"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23C1E287" w14:textId="77777777" w:rsidR="00885FF8" w:rsidRPr="00872D7E" w:rsidRDefault="00885FF8" w:rsidP="00885FF8">
            <w:pPr>
              <w:rPr>
                <w:color w:val="000000"/>
                <w:sz w:val="14"/>
                <w:szCs w:val="14"/>
              </w:rPr>
            </w:pPr>
            <w:r w:rsidRPr="00872D7E">
              <w:rPr>
                <w:color w:val="000000"/>
                <w:sz w:val="14"/>
                <w:szCs w:val="14"/>
              </w:rPr>
              <w:t>6.1</w:t>
            </w:r>
          </w:p>
        </w:tc>
        <w:tc>
          <w:tcPr>
            <w:tcW w:w="3430" w:type="pct"/>
            <w:tcBorders>
              <w:top w:val="nil"/>
              <w:left w:val="nil"/>
              <w:bottom w:val="nil"/>
              <w:right w:val="nil"/>
            </w:tcBorders>
            <w:shd w:val="clear" w:color="auto" w:fill="auto"/>
            <w:hideMark/>
          </w:tcPr>
          <w:p w14:paraId="601C273D" w14:textId="77777777" w:rsidR="00885FF8" w:rsidRPr="00872D7E" w:rsidRDefault="00885FF8" w:rsidP="00885FF8">
            <w:pPr>
              <w:rPr>
                <w:color w:val="000000"/>
                <w:sz w:val="14"/>
                <w:szCs w:val="14"/>
              </w:rPr>
            </w:pPr>
            <w:r w:rsidRPr="00872D7E">
              <w:rPr>
                <w:color w:val="000000"/>
                <w:sz w:val="14"/>
                <w:szCs w:val="14"/>
              </w:rPr>
              <w:t xml:space="preserve">Sermaye Piyasası İşlemleri Kârı/Zararı </w:t>
            </w:r>
          </w:p>
        </w:tc>
        <w:tc>
          <w:tcPr>
            <w:tcW w:w="622" w:type="pct"/>
            <w:tcBorders>
              <w:top w:val="nil"/>
              <w:left w:val="single" w:sz="4" w:space="0" w:color="auto"/>
              <w:bottom w:val="nil"/>
              <w:right w:val="single" w:sz="4" w:space="0" w:color="auto"/>
            </w:tcBorders>
            <w:shd w:val="clear" w:color="auto" w:fill="auto"/>
            <w:hideMark/>
          </w:tcPr>
          <w:p w14:paraId="331A32F7"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0F22057A" w14:textId="77777777" w:rsidR="00885FF8" w:rsidRPr="00872D7E" w:rsidRDefault="00885FF8" w:rsidP="00885FF8">
            <w:pPr>
              <w:jc w:val="right"/>
              <w:rPr>
                <w:color w:val="000000"/>
                <w:sz w:val="14"/>
                <w:szCs w:val="14"/>
              </w:rPr>
            </w:pPr>
            <w:r w:rsidRPr="00872D7E">
              <w:rPr>
                <w:color w:val="000000"/>
                <w:sz w:val="14"/>
                <w:szCs w:val="14"/>
              </w:rPr>
              <w:t>806.661</w:t>
            </w:r>
          </w:p>
        </w:tc>
      </w:tr>
      <w:tr w:rsidR="00885FF8" w:rsidRPr="00872D7E" w14:paraId="1CE4410D"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475DB391" w14:textId="77777777" w:rsidR="00885FF8" w:rsidRPr="00872D7E" w:rsidRDefault="00885FF8" w:rsidP="00885FF8">
            <w:pPr>
              <w:rPr>
                <w:color w:val="000000"/>
                <w:sz w:val="14"/>
                <w:szCs w:val="14"/>
              </w:rPr>
            </w:pPr>
            <w:r w:rsidRPr="00872D7E">
              <w:rPr>
                <w:color w:val="000000"/>
                <w:sz w:val="14"/>
                <w:szCs w:val="14"/>
              </w:rPr>
              <w:t>6.2</w:t>
            </w:r>
          </w:p>
        </w:tc>
        <w:tc>
          <w:tcPr>
            <w:tcW w:w="3430" w:type="pct"/>
            <w:tcBorders>
              <w:top w:val="nil"/>
              <w:left w:val="nil"/>
              <w:bottom w:val="nil"/>
              <w:right w:val="nil"/>
            </w:tcBorders>
            <w:shd w:val="clear" w:color="auto" w:fill="auto"/>
            <w:hideMark/>
          </w:tcPr>
          <w:p w14:paraId="70BEABC6" w14:textId="77777777" w:rsidR="00885FF8" w:rsidRPr="00872D7E" w:rsidRDefault="00885FF8" w:rsidP="00885FF8">
            <w:pPr>
              <w:rPr>
                <w:color w:val="000000"/>
                <w:sz w:val="14"/>
                <w:szCs w:val="14"/>
              </w:rPr>
            </w:pPr>
            <w:r w:rsidRPr="00872D7E">
              <w:rPr>
                <w:color w:val="000000"/>
                <w:sz w:val="14"/>
                <w:szCs w:val="14"/>
              </w:rPr>
              <w:t>Türev Finansal İşlemlerden Kâr/Zarar</w:t>
            </w:r>
          </w:p>
        </w:tc>
        <w:tc>
          <w:tcPr>
            <w:tcW w:w="622" w:type="pct"/>
            <w:tcBorders>
              <w:top w:val="nil"/>
              <w:left w:val="single" w:sz="4" w:space="0" w:color="auto"/>
              <w:bottom w:val="nil"/>
              <w:right w:val="single" w:sz="4" w:space="0" w:color="auto"/>
            </w:tcBorders>
            <w:shd w:val="clear" w:color="auto" w:fill="auto"/>
            <w:hideMark/>
          </w:tcPr>
          <w:p w14:paraId="5DD0AC8F"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978DDDD" w14:textId="77777777" w:rsidR="00885FF8" w:rsidRPr="00872D7E" w:rsidRDefault="00885FF8" w:rsidP="00885FF8">
            <w:pPr>
              <w:jc w:val="right"/>
              <w:rPr>
                <w:sz w:val="14"/>
                <w:szCs w:val="14"/>
              </w:rPr>
            </w:pPr>
            <w:r w:rsidRPr="00872D7E">
              <w:rPr>
                <w:sz w:val="14"/>
                <w:szCs w:val="14"/>
              </w:rPr>
              <w:t>454.341</w:t>
            </w:r>
          </w:p>
        </w:tc>
      </w:tr>
      <w:tr w:rsidR="00885FF8" w:rsidRPr="00872D7E" w14:paraId="57D97CB9"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7BA05A6C" w14:textId="77777777" w:rsidR="00885FF8" w:rsidRPr="00872D7E" w:rsidRDefault="00885FF8" w:rsidP="00885FF8">
            <w:pPr>
              <w:rPr>
                <w:color w:val="000000"/>
                <w:sz w:val="14"/>
                <w:szCs w:val="14"/>
              </w:rPr>
            </w:pPr>
            <w:r w:rsidRPr="00872D7E">
              <w:rPr>
                <w:color w:val="000000"/>
                <w:sz w:val="14"/>
                <w:szCs w:val="14"/>
              </w:rPr>
              <w:t>6.3</w:t>
            </w:r>
          </w:p>
        </w:tc>
        <w:tc>
          <w:tcPr>
            <w:tcW w:w="3430" w:type="pct"/>
            <w:tcBorders>
              <w:top w:val="nil"/>
              <w:left w:val="nil"/>
              <w:bottom w:val="nil"/>
              <w:right w:val="nil"/>
            </w:tcBorders>
            <w:shd w:val="clear" w:color="auto" w:fill="auto"/>
            <w:hideMark/>
          </w:tcPr>
          <w:p w14:paraId="51B9E51B" w14:textId="77777777" w:rsidR="00885FF8" w:rsidRPr="00872D7E" w:rsidRDefault="00885FF8" w:rsidP="00885FF8">
            <w:pPr>
              <w:rPr>
                <w:color w:val="000000"/>
                <w:sz w:val="14"/>
                <w:szCs w:val="14"/>
              </w:rPr>
            </w:pPr>
            <w:r w:rsidRPr="00872D7E">
              <w:rPr>
                <w:color w:val="000000"/>
                <w:sz w:val="14"/>
                <w:szCs w:val="14"/>
              </w:rPr>
              <w:t xml:space="preserve">Kambiyo İşlemleri Kârı/Zararı </w:t>
            </w:r>
          </w:p>
        </w:tc>
        <w:tc>
          <w:tcPr>
            <w:tcW w:w="622" w:type="pct"/>
            <w:tcBorders>
              <w:top w:val="nil"/>
              <w:left w:val="single" w:sz="4" w:space="0" w:color="auto"/>
              <w:bottom w:val="nil"/>
              <w:right w:val="single" w:sz="4" w:space="0" w:color="auto"/>
            </w:tcBorders>
            <w:shd w:val="clear" w:color="auto" w:fill="auto"/>
            <w:hideMark/>
          </w:tcPr>
          <w:p w14:paraId="6397310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3A408274" w14:textId="77777777" w:rsidR="00885FF8" w:rsidRPr="00872D7E" w:rsidRDefault="00885FF8" w:rsidP="00885FF8">
            <w:pPr>
              <w:jc w:val="right"/>
              <w:rPr>
                <w:sz w:val="14"/>
                <w:szCs w:val="14"/>
              </w:rPr>
            </w:pPr>
            <w:r w:rsidRPr="00872D7E">
              <w:rPr>
                <w:sz w:val="14"/>
                <w:szCs w:val="14"/>
              </w:rPr>
              <w:t>118.652</w:t>
            </w:r>
          </w:p>
        </w:tc>
      </w:tr>
      <w:tr w:rsidR="00885FF8" w:rsidRPr="00872D7E" w14:paraId="43E007F5"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4D92A437" w14:textId="77777777" w:rsidR="00885FF8" w:rsidRPr="00872D7E" w:rsidRDefault="00885FF8" w:rsidP="00885FF8">
            <w:pPr>
              <w:rPr>
                <w:b/>
                <w:bCs/>
                <w:color w:val="000000"/>
                <w:sz w:val="14"/>
                <w:szCs w:val="14"/>
              </w:rPr>
            </w:pPr>
            <w:r w:rsidRPr="00872D7E">
              <w:rPr>
                <w:b/>
                <w:bCs/>
                <w:color w:val="000000"/>
                <w:sz w:val="14"/>
                <w:szCs w:val="14"/>
              </w:rPr>
              <w:t>VII.</w:t>
            </w:r>
          </w:p>
        </w:tc>
        <w:tc>
          <w:tcPr>
            <w:tcW w:w="3430" w:type="pct"/>
            <w:tcBorders>
              <w:top w:val="nil"/>
              <w:left w:val="nil"/>
              <w:bottom w:val="nil"/>
              <w:right w:val="nil"/>
            </w:tcBorders>
            <w:shd w:val="clear" w:color="auto" w:fill="auto"/>
            <w:hideMark/>
          </w:tcPr>
          <w:p w14:paraId="0DB2B81C" w14:textId="77777777" w:rsidR="00885FF8" w:rsidRPr="00872D7E" w:rsidRDefault="00885FF8" w:rsidP="00885FF8">
            <w:pPr>
              <w:rPr>
                <w:b/>
                <w:bCs/>
                <w:color w:val="000000"/>
                <w:sz w:val="14"/>
                <w:szCs w:val="14"/>
              </w:rPr>
            </w:pPr>
            <w:r w:rsidRPr="00872D7E">
              <w:rPr>
                <w:b/>
                <w:bCs/>
                <w:color w:val="000000"/>
                <w:sz w:val="14"/>
                <w:szCs w:val="14"/>
              </w:rPr>
              <w:t>DİĞER FAALİYET GELİRLERİ</w:t>
            </w:r>
          </w:p>
        </w:tc>
        <w:tc>
          <w:tcPr>
            <w:tcW w:w="622" w:type="pct"/>
            <w:tcBorders>
              <w:top w:val="nil"/>
              <w:left w:val="single" w:sz="4" w:space="0" w:color="auto"/>
              <w:bottom w:val="nil"/>
              <w:right w:val="single" w:sz="4" w:space="0" w:color="auto"/>
            </w:tcBorders>
            <w:shd w:val="clear" w:color="auto" w:fill="auto"/>
            <w:hideMark/>
          </w:tcPr>
          <w:p w14:paraId="1C4DD3C1" w14:textId="77777777" w:rsidR="00885FF8" w:rsidRPr="00872D7E" w:rsidRDefault="00885FF8" w:rsidP="00885FF8">
            <w:pPr>
              <w:jc w:val="center"/>
              <w:rPr>
                <w:b/>
                <w:bCs/>
                <w:color w:val="000000"/>
                <w:sz w:val="14"/>
                <w:szCs w:val="14"/>
              </w:rPr>
            </w:pPr>
            <w:r w:rsidRPr="00872D7E">
              <w:rPr>
                <w:b/>
                <w:bCs/>
                <w:color w:val="000000"/>
                <w:sz w:val="14"/>
                <w:szCs w:val="14"/>
              </w:rPr>
              <w:t>(6)</w:t>
            </w:r>
          </w:p>
        </w:tc>
        <w:tc>
          <w:tcPr>
            <w:tcW w:w="622" w:type="pct"/>
            <w:tcBorders>
              <w:top w:val="nil"/>
              <w:left w:val="nil"/>
              <w:bottom w:val="nil"/>
              <w:right w:val="single" w:sz="4" w:space="0" w:color="auto"/>
            </w:tcBorders>
            <w:shd w:val="clear" w:color="auto" w:fill="auto"/>
            <w:vAlign w:val="center"/>
            <w:hideMark/>
          </w:tcPr>
          <w:p w14:paraId="70C154D3" w14:textId="77777777" w:rsidR="00885FF8" w:rsidRPr="00872D7E" w:rsidRDefault="00885FF8" w:rsidP="00885FF8">
            <w:pPr>
              <w:jc w:val="right"/>
              <w:rPr>
                <w:b/>
                <w:bCs/>
                <w:sz w:val="14"/>
                <w:szCs w:val="14"/>
              </w:rPr>
            </w:pPr>
            <w:r w:rsidRPr="00872D7E">
              <w:rPr>
                <w:b/>
                <w:bCs/>
                <w:sz w:val="14"/>
                <w:szCs w:val="14"/>
              </w:rPr>
              <w:t>12.725</w:t>
            </w:r>
          </w:p>
        </w:tc>
      </w:tr>
      <w:tr w:rsidR="00885FF8" w:rsidRPr="00872D7E" w14:paraId="11E73A57"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049E0BAA" w14:textId="77777777" w:rsidR="00885FF8" w:rsidRPr="00872D7E" w:rsidRDefault="00885FF8" w:rsidP="00885FF8">
            <w:pPr>
              <w:rPr>
                <w:b/>
                <w:bCs/>
                <w:color w:val="000000"/>
                <w:sz w:val="14"/>
                <w:szCs w:val="14"/>
              </w:rPr>
            </w:pPr>
            <w:r w:rsidRPr="00872D7E">
              <w:rPr>
                <w:b/>
                <w:bCs/>
                <w:color w:val="000000"/>
                <w:sz w:val="14"/>
                <w:szCs w:val="14"/>
              </w:rPr>
              <w:t>VIII.</w:t>
            </w:r>
          </w:p>
        </w:tc>
        <w:tc>
          <w:tcPr>
            <w:tcW w:w="3430" w:type="pct"/>
            <w:tcBorders>
              <w:top w:val="nil"/>
              <w:left w:val="nil"/>
              <w:bottom w:val="nil"/>
              <w:right w:val="nil"/>
            </w:tcBorders>
            <w:shd w:val="clear" w:color="auto" w:fill="auto"/>
            <w:hideMark/>
          </w:tcPr>
          <w:p w14:paraId="3E321B13" w14:textId="77777777" w:rsidR="00885FF8" w:rsidRPr="00872D7E" w:rsidRDefault="00885FF8" w:rsidP="00885FF8">
            <w:pPr>
              <w:rPr>
                <w:b/>
                <w:bCs/>
                <w:color w:val="000000"/>
                <w:sz w:val="14"/>
                <w:szCs w:val="14"/>
              </w:rPr>
            </w:pPr>
            <w:r w:rsidRPr="00872D7E">
              <w:rPr>
                <w:b/>
                <w:bCs/>
                <w:color w:val="000000"/>
                <w:sz w:val="14"/>
                <w:szCs w:val="14"/>
              </w:rPr>
              <w:t>FAALİYET BRÜT KÂRI (III+IV+V+VI+VII)</w:t>
            </w:r>
          </w:p>
        </w:tc>
        <w:tc>
          <w:tcPr>
            <w:tcW w:w="622" w:type="pct"/>
            <w:tcBorders>
              <w:top w:val="nil"/>
              <w:left w:val="single" w:sz="4" w:space="0" w:color="auto"/>
              <w:bottom w:val="nil"/>
              <w:right w:val="single" w:sz="4" w:space="0" w:color="auto"/>
            </w:tcBorders>
            <w:shd w:val="clear" w:color="auto" w:fill="auto"/>
            <w:hideMark/>
          </w:tcPr>
          <w:p w14:paraId="23458916" w14:textId="77777777" w:rsidR="00885FF8" w:rsidRPr="00872D7E" w:rsidRDefault="00885FF8" w:rsidP="00885FF8">
            <w:pPr>
              <w:jc w:val="center"/>
              <w:rPr>
                <w:b/>
                <w:bCs/>
                <w:color w:val="000000"/>
                <w:sz w:val="14"/>
                <w:szCs w:val="14"/>
              </w:rPr>
            </w:pPr>
            <w:r w:rsidRPr="00872D7E">
              <w:rPr>
                <w:b/>
                <w:bCs/>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3DA8DB06" w14:textId="77777777" w:rsidR="00885FF8" w:rsidRPr="00872D7E" w:rsidRDefault="00885FF8" w:rsidP="00885FF8">
            <w:pPr>
              <w:jc w:val="right"/>
              <w:rPr>
                <w:b/>
                <w:bCs/>
                <w:color w:val="000000"/>
                <w:sz w:val="14"/>
                <w:szCs w:val="14"/>
              </w:rPr>
            </w:pPr>
            <w:r w:rsidRPr="00872D7E">
              <w:rPr>
                <w:b/>
                <w:bCs/>
                <w:color w:val="000000"/>
                <w:sz w:val="14"/>
                <w:szCs w:val="14"/>
              </w:rPr>
              <w:t>3.184.019</w:t>
            </w:r>
          </w:p>
        </w:tc>
      </w:tr>
      <w:tr w:rsidR="00885FF8" w:rsidRPr="00872D7E" w14:paraId="28F41059"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EB5E82E" w14:textId="77777777" w:rsidR="00885FF8" w:rsidRPr="00872D7E" w:rsidRDefault="00885FF8" w:rsidP="00885FF8">
            <w:pPr>
              <w:rPr>
                <w:b/>
                <w:bCs/>
                <w:color w:val="000000"/>
                <w:sz w:val="14"/>
                <w:szCs w:val="14"/>
              </w:rPr>
            </w:pPr>
            <w:r w:rsidRPr="00872D7E">
              <w:rPr>
                <w:b/>
                <w:bCs/>
                <w:color w:val="000000"/>
                <w:sz w:val="14"/>
                <w:szCs w:val="14"/>
              </w:rPr>
              <w:t>IX.</w:t>
            </w:r>
          </w:p>
        </w:tc>
        <w:tc>
          <w:tcPr>
            <w:tcW w:w="3430" w:type="pct"/>
            <w:tcBorders>
              <w:top w:val="nil"/>
              <w:left w:val="nil"/>
              <w:bottom w:val="nil"/>
              <w:right w:val="nil"/>
            </w:tcBorders>
            <w:shd w:val="clear" w:color="auto" w:fill="auto"/>
            <w:hideMark/>
          </w:tcPr>
          <w:p w14:paraId="53991EFA" w14:textId="77777777" w:rsidR="00885FF8" w:rsidRPr="00872D7E" w:rsidRDefault="00885FF8" w:rsidP="00885FF8">
            <w:pPr>
              <w:rPr>
                <w:b/>
                <w:bCs/>
                <w:color w:val="000000"/>
                <w:sz w:val="14"/>
                <w:szCs w:val="14"/>
              </w:rPr>
            </w:pPr>
            <w:r w:rsidRPr="00872D7E">
              <w:rPr>
                <w:b/>
                <w:bCs/>
                <w:color w:val="000000"/>
                <w:sz w:val="14"/>
                <w:szCs w:val="14"/>
              </w:rPr>
              <w:t>KREDİ KARŞILIKLARI (-)</w:t>
            </w:r>
          </w:p>
        </w:tc>
        <w:tc>
          <w:tcPr>
            <w:tcW w:w="622" w:type="pct"/>
            <w:tcBorders>
              <w:top w:val="nil"/>
              <w:left w:val="single" w:sz="4" w:space="0" w:color="auto"/>
              <w:bottom w:val="nil"/>
              <w:right w:val="single" w:sz="4" w:space="0" w:color="auto"/>
            </w:tcBorders>
            <w:shd w:val="clear" w:color="auto" w:fill="auto"/>
            <w:hideMark/>
          </w:tcPr>
          <w:p w14:paraId="344636CF" w14:textId="77777777" w:rsidR="00885FF8" w:rsidRPr="00872D7E" w:rsidRDefault="00885FF8" w:rsidP="00885FF8">
            <w:pPr>
              <w:jc w:val="center"/>
              <w:rPr>
                <w:color w:val="000000"/>
                <w:sz w:val="18"/>
                <w:szCs w:val="18"/>
                <w:lang w:eastAsia="tr-TR"/>
              </w:rPr>
            </w:pPr>
            <w:r w:rsidRPr="00872D7E">
              <w:rPr>
                <w:b/>
                <w:bCs/>
                <w:color w:val="000000"/>
                <w:sz w:val="14"/>
                <w:szCs w:val="14"/>
              </w:rPr>
              <w:t>(7</w:t>
            </w:r>
            <w:r w:rsidRPr="00872D7E">
              <w:rPr>
                <w:color w:val="000000"/>
                <w:sz w:val="18"/>
                <w:szCs w:val="18"/>
                <w:lang w:eastAsia="tr-TR"/>
              </w:rPr>
              <w:t>)</w:t>
            </w:r>
          </w:p>
        </w:tc>
        <w:tc>
          <w:tcPr>
            <w:tcW w:w="622" w:type="pct"/>
            <w:tcBorders>
              <w:top w:val="nil"/>
              <w:left w:val="nil"/>
              <w:bottom w:val="nil"/>
              <w:right w:val="single" w:sz="4" w:space="0" w:color="auto"/>
            </w:tcBorders>
            <w:shd w:val="clear" w:color="auto" w:fill="auto"/>
            <w:vAlign w:val="center"/>
            <w:hideMark/>
          </w:tcPr>
          <w:p w14:paraId="04B182D0" w14:textId="77777777" w:rsidR="00885FF8" w:rsidRPr="00872D7E" w:rsidRDefault="00885FF8" w:rsidP="00885FF8">
            <w:pPr>
              <w:jc w:val="right"/>
              <w:rPr>
                <w:b/>
                <w:bCs/>
                <w:color w:val="000000"/>
                <w:sz w:val="14"/>
                <w:szCs w:val="14"/>
              </w:rPr>
            </w:pPr>
            <w:r w:rsidRPr="00872D7E">
              <w:rPr>
                <w:b/>
                <w:bCs/>
                <w:color w:val="000000"/>
                <w:sz w:val="14"/>
                <w:szCs w:val="14"/>
              </w:rPr>
              <w:t>369.935</w:t>
            </w:r>
          </w:p>
        </w:tc>
      </w:tr>
      <w:tr w:rsidR="00885FF8" w:rsidRPr="00872D7E" w14:paraId="4A302A31"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3623F54F" w14:textId="77777777" w:rsidR="00885FF8" w:rsidRPr="00872D7E" w:rsidRDefault="00885FF8" w:rsidP="00885FF8">
            <w:pPr>
              <w:rPr>
                <w:b/>
                <w:bCs/>
                <w:color w:val="000000"/>
                <w:sz w:val="14"/>
                <w:szCs w:val="14"/>
              </w:rPr>
            </w:pPr>
            <w:r w:rsidRPr="00872D7E">
              <w:rPr>
                <w:b/>
                <w:bCs/>
                <w:color w:val="000000"/>
                <w:sz w:val="14"/>
                <w:szCs w:val="14"/>
              </w:rPr>
              <w:t>X.</w:t>
            </w:r>
          </w:p>
        </w:tc>
        <w:tc>
          <w:tcPr>
            <w:tcW w:w="3430" w:type="pct"/>
            <w:tcBorders>
              <w:top w:val="nil"/>
              <w:left w:val="nil"/>
              <w:bottom w:val="nil"/>
              <w:right w:val="nil"/>
            </w:tcBorders>
            <w:shd w:val="clear" w:color="auto" w:fill="auto"/>
            <w:hideMark/>
          </w:tcPr>
          <w:p w14:paraId="1C869C69" w14:textId="77777777" w:rsidR="00885FF8" w:rsidRPr="00872D7E" w:rsidRDefault="00885FF8" w:rsidP="00885FF8">
            <w:pPr>
              <w:rPr>
                <w:b/>
                <w:bCs/>
                <w:color w:val="000000"/>
                <w:sz w:val="14"/>
                <w:szCs w:val="14"/>
              </w:rPr>
            </w:pPr>
            <w:r w:rsidRPr="00872D7E">
              <w:rPr>
                <w:b/>
                <w:bCs/>
                <w:color w:val="000000"/>
                <w:sz w:val="14"/>
                <w:szCs w:val="14"/>
              </w:rPr>
              <w:t>PERSONEL GİDERLERİ (-)</w:t>
            </w:r>
          </w:p>
        </w:tc>
        <w:tc>
          <w:tcPr>
            <w:tcW w:w="622" w:type="pct"/>
            <w:tcBorders>
              <w:top w:val="nil"/>
              <w:left w:val="single" w:sz="4" w:space="0" w:color="auto"/>
              <w:bottom w:val="nil"/>
              <w:right w:val="single" w:sz="4" w:space="0" w:color="auto"/>
            </w:tcBorders>
            <w:shd w:val="clear" w:color="auto" w:fill="auto"/>
            <w:hideMark/>
          </w:tcPr>
          <w:p w14:paraId="732B3146" w14:textId="77777777" w:rsidR="00885FF8" w:rsidRPr="00872D7E" w:rsidRDefault="00885FF8" w:rsidP="00885FF8">
            <w:pPr>
              <w:jc w:val="center"/>
              <w:rPr>
                <w:b/>
                <w:bCs/>
                <w:color w:val="000000"/>
                <w:sz w:val="14"/>
                <w:szCs w:val="14"/>
              </w:rPr>
            </w:pPr>
            <w:r w:rsidRPr="00872D7E">
              <w:rPr>
                <w:b/>
                <w:bCs/>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5B0E2F0F" w14:textId="77777777" w:rsidR="00885FF8" w:rsidRPr="00872D7E" w:rsidRDefault="00885FF8" w:rsidP="00885FF8">
            <w:pPr>
              <w:jc w:val="right"/>
              <w:rPr>
                <w:b/>
                <w:bCs/>
                <w:color w:val="000000"/>
                <w:sz w:val="14"/>
                <w:szCs w:val="14"/>
              </w:rPr>
            </w:pPr>
            <w:r w:rsidRPr="00872D7E">
              <w:rPr>
                <w:b/>
                <w:bCs/>
                <w:color w:val="000000"/>
                <w:sz w:val="14"/>
                <w:szCs w:val="14"/>
              </w:rPr>
              <w:t>765.031</w:t>
            </w:r>
          </w:p>
        </w:tc>
      </w:tr>
      <w:tr w:rsidR="00885FF8" w:rsidRPr="00872D7E" w14:paraId="6597FC21"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34CF682D" w14:textId="77777777" w:rsidR="00885FF8" w:rsidRPr="00872D7E" w:rsidRDefault="00885FF8" w:rsidP="00885FF8">
            <w:pPr>
              <w:rPr>
                <w:b/>
                <w:bCs/>
                <w:color w:val="000000"/>
                <w:sz w:val="14"/>
                <w:szCs w:val="14"/>
              </w:rPr>
            </w:pPr>
            <w:r w:rsidRPr="00872D7E">
              <w:rPr>
                <w:b/>
                <w:bCs/>
                <w:color w:val="000000"/>
                <w:sz w:val="14"/>
                <w:szCs w:val="14"/>
              </w:rPr>
              <w:t>XI.</w:t>
            </w:r>
          </w:p>
        </w:tc>
        <w:tc>
          <w:tcPr>
            <w:tcW w:w="3430" w:type="pct"/>
            <w:tcBorders>
              <w:top w:val="nil"/>
              <w:left w:val="nil"/>
              <w:bottom w:val="nil"/>
              <w:right w:val="nil"/>
            </w:tcBorders>
            <w:shd w:val="clear" w:color="auto" w:fill="auto"/>
            <w:hideMark/>
          </w:tcPr>
          <w:p w14:paraId="13DC600A" w14:textId="77777777" w:rsidR="00885FF8" w:rsidRPr="00872D7E" w:rsidRDefault="00885FF8" w:rsidP="00885FF8">
            <w:pPr>
              <w:rPr>
                <w:b/>
                <w:bCs/>
                <w:color w:val="000000"/>
                <w:sz w:val="14"/>
                <w:szCs w:val="14"/>
              </w:rPr>
            </w:pPr>
            <w:r w:rsidRPr="00872D7E">
              <w:rPr>
                <w:b/>
                <w:bCs/>
                <w:color w:val="000000"/>
                <w:sz w:val="14"/>
                <w:szCs w:val="14"/>
              </w:rPr>
              <w:t>DİĞER FAALİYET GİDERLERİ (-)</w:t>
            </w:r>
          </w:p>
        </w:tc>
        <w:tc>
          <w:tcPr>
            <w:tcW w:w="622" w:type="pct"/>
            <w:tcBorders>
              <w:top w:val="nil"/>
              <w:left w:val="single" w:sz="4" w:space="0" w:color="auto"/>
              <w:bottom w:val="nil"/>
              <w:right w:val="single" w:sz="4" w:space="0" w:color="auto"/>
            </w:tcBorders>
            <w:shd w:val="clear" w:color="auto" w:fill="auto"/>
            <w:hideMark/>
          </w:tcPr>
          <w:p w14:paraId="085D235F" w14:textId="77777777" w:rsidR="00885FF8" w:rsidRPr="00872D7E" w:rsidRDefault="00885FF8" w:rsidP="00885FF8">
            <w:pPr>
              <w:jc w:val="center"/>
              <w:rPr>
                <w:b/>
                <w:bCs/>
                <w:color w:val="000000"/>
                <w:sz w:val="14"/>
                <w:szCs w:val="14"/>
              </w:rPr>
            </w:pPr>
            <w:r w:rsidRPr="00872D7E">
              <w:rPr>
                <w:b/>
                <w:bCs/>
                <w:color w:val="000000"/>
                <w:sz w:val="14"/>
                <w:szCs w:val="14"/>
              </w:rPr>
              <w:t>(8)</w:t>
            </w:r>
          </w:p>
        </w:tc>
        <w:tc>
          <w:tcPr>
            <w:tcW w:w="622" w:type="pct"/>
            <w:tcBorders>
              <w:top w:val="nil"/>
              <w:left w:val="nil"/>
              <w:bottom w:val="nil"/>
              <w:right w:val="single" w:sz="4" w:space="0" w:color="auto"/>
            </w:tcBorders>
            <w:shd w:val="clear" w:color="auto" w:fill="auto"/>
            <w:vAlign w:val="center"/>
            <w:hideMark/>
          </w:tcPr>
          <w:p w14:paraId="7822AEC7" w14:textId="77777777" w:rsidR="00885FF8" w:rsidRPr="00872D7E" w:rsidRDefault="00885FF8" w:rsidP="00885FF8">
            <w:pPr>
              <w:jc w:val="right"/>
              <w:rPr>
                <w:b/>
                <w:bCs/>
                <w:color w:val="000000"/>
                <w:sz w:val="14"/>
                <w:szCs w:val="14"/>
              </w:rPr>
            </w:pPr>
            <w:r w:rsidRPr="00872D7E">
              <w:rPr>
                <w:b/>
                <w:bCs/>
                <w:color w:val="000000"/>
                <w:sz w:val="14"/>
                <w:szCs w:val="14"/>
              </w:rPr>
              <w:t>432.818</w:t>
            </w:r>
          </w:p>
        </w:tc>
      </w:tr>
      <w:tr w:rsidR="00885FF8" w:rsidRPr="00872D7E" w14:paraId="7A03A5C0"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12B0774D" w14:textId="77777777" w:rsidR="00885FF8" w:rsidRPr="00872D7E" w:rsidRDefault="00885FF8" w:rsidP="00885FF8">
            <w:pPr>
              <w:rPr>
                <w:b/>
                <w:bCs/>
                <w:color w:val="000000"/>
                <w:sz w:val="14"/>
                <w:szCs w:val="14"/>
              </w:rPr>
            </w:pPr>
            <w:r w:rsidRPr="00872D7E">
              <w:rPr>
                <w:b/>
                <w:bCs/>
                <w:color w:val="000000"/>
                <w:sz w:val="14"/>
                <w:szCs w:val="14"/>
              </w:rPr>
              <w:t>XII.</w:t>
            </w:r>
          </w:p>
        </w:tc>
        <w:tc>
          <w:tcPr>
            <w:tcW w:w="3430" w:type="pct"/>
            <w:tcBorders>
              <w:top w:val="nil"/>
              <w:left w:val="nil"/>
              <w:bottom w:val="nil"/>
              <w:right w:val="nil"/>
            </w:tcBorders>
            <w:shd w:val="clear" w:color="auto" w:fill="auto"/>
            <w:hideMark/>
          </w:tcPr>
          <w:p w14:paraId="16DD7B60" w14:textId="77777777" w:rsidR="00885FF8" w:rsidRPr="00872D7E" w:rsidRDefault="00885FF8" w:rsidP="00885FF8">
            <w:pPr>
              <w:rPr>
                <w:b/>
                <w:bCs/>
                <w:color w:val="000000"/>
                <w:sz w:val="14"/>
                <w:szCs w:val="14"/>
              </w:rPr>
            </w:pPr>
            <w:r w:rsidRPr="00872D7E">
              <w:rPr>
                <w:b/>
                <w:bCs/>
                <w:color w:val="000000"/>
                <w:sz w:val="14"/>
                <w:szCs w:val="14"/>
              </w:rPr>
              <w:t>NET FAALİYET KÂRI/ZARARI (VIII-IX-X-XI-XII)</w:t>
            </w:r>
          </w:p>
        </w:tc>
        <w:tc>
          <w:tcPr>
            <w:tcW w:w="622" w:type="pct"/>
            <w:tcBorders>
              <w:top w:val="nil"/>
              <w:left w:val="single" w:sz="4" w:space="0" w:color="auto"/>
              <w:bottom w:val="nil"/>
              <w:right w:val="single" w:sz="4" w:space="0" w:color="auto"/>
            </w:tcBorders>
            <w:shd w:val="clear" w:color="auto" w:fill="auto"/>
            <w:hideMark/>
          </w:tcPr>
          <w:p w14:paraId="49D2C068" w14:textId="77777777" w:rsidR="00885FF8" w:rsidRPr="00872D7E" w:rsidRDefault="00885FF8" w:rsidP="00885FF8">
            <w:pPr>
              <w:jc w:val="center"/>
              <w:rPr>
                <w:b/>
                <w:bCs/>
                <w:color w:val="000000"/>
                <w:sz w:val="14"/>
                <w:szCs w:val="14"/>
              </w:rPr>
            </w:pPr>
            <w:r w:rsidRPr="00872D7E">
              <w:rPr>
                <w:b/>
                <w:bCs/>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352C27E7" w14:textId="77777777" w:rsidR="00885FF8" w:rsidRPr="00872D7E" w:rsidRDefault="00885FF8" w:rsidP="00885FF8">
            <w:pPr>
              <w:jc w:val="right"/>
              <w:rPr>
                <w:b/>
                <w:bCs/>
                <w:color w:val="000000"/>
                <w:sz w:val="14"/>
                <w:szCs w:val="14"/>
              </w:rPr>
            </w:pPr>
            <w:r w:rsidRPr="00872D7E">
              <w:rPr>
                <w:b/>
                <w:bCs/>
                <w:color w:val="000000"/>
                <w:sz w:val="14"/>
                <w:szCs w:val="14"/>
              </w:rPr>
              <w:t>1.616.235</w:t>
            </w:r>
          </w:p>
        </w:tc>
      </w:tr>
      <w:tr w:rsidR="00885FF8" w:rsidRPr="00872D7E" w14:paraId="24F59929"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78FAB8F9" w14:textId="77777777" w:rsidR="00885FF8" w:rsidRPr="00872D7E" w:rsidRDefault="00885FF8" w:rsidP="00885FF8">
            <w:pPr>
              <w:rPr>
                <w:b/>
                <w:bCs/>
                <w:color w:val="000000"/>
                <w:sz w:val="14"/>
                <w:szCs w:val="14"/>
              </w:rPr>
            </w:pPr>
            <w:r w:rsidRPr="00872D7E">
              <w:rPr>
                <w:b/>
                <w:bCs/>
                <w:color w:val="000000"/>
                <w:sz w:val="14"/>
                <w:szCs w:val="14"/>
              </w:rPr>
              <w:t>XIII.</w:t>
            </w:r>
          </w:p>
        </w:tc>
        <w:tc>
          <w:tcPr>
            <w:tcW w:w="3430" w:type="pct"/>
            <w:tcBorders>
              <w:top w:val="nil"/>
              <w:left w:val="nil"/>
              <w:bottom w:val="nil"/>
              <w:right w:val="nil"/>
            </w:tcBorders>
            <w:shd w:val="clear" w:color="auto" w:fill="auto"/>
            <w:hideMark/>
          </w:tcPr>
          <w:p w14:paraId="45971CF8" w14:textId="77777777" w:rsidR="00885FF8" w:rsidRPr="00872D7E" w:rsidRDefault="00885FF8" w:rsidP="00885FF8">
            <w:pPr>
              <w:rPr>
                <w:b/>
                <w:bCs/>
                <w:color w:val="000000"/>
                <w:sz w:val="14"/>
                <w:szCs w:val="14"/>
              </w:rPr>
            </w:pPr>
            <w:r w:rsidRPr="00872D7E">
              <w:rPr>
                <w:b/>
                <w:bCs/>
                <w:color w:val="000000"/>
                <w:sz w:val="14"/>
                <w:szCs w:val="14"/>
              </w:rPr>
              <w:t>BİRLEŞME İŞLEMİ SONRASINDA GELİR OLARAK KAYDEDİLEN FAZLALIK TUTARI</w:t>
            </w:r>
          </w:p>
        </w:tc>
        <w:tc>
          <w:tcPr>
            <w:tcW w:w="622" w:type="pct"/>
            <w:tcBorders>
              <w:top w:val="nil"/>
              <w:left w:val="single" w:sz="4" w:space="0" w:color="auto"/>
              <w:bottom w:val="nil"/>
              <w:right w:val="single" w:sz="4" w:space="0" w:color="auto"/>
            </w:tcBorders>
            <w:shd w:val="clear" w:color="auto" w:fill="auto"/>
            <w:hideMark/>
          </w:tcPr>
          <w:p w14:paraId="513F4151" w14:textId="77777777" w:rsidR="00885FF8" w:rsidRPr="00872D7E" w:rsidRDefault="00885FF8" w:rsidP="00885FF8">
            <w:pPr>
              <w:jc w:val="center"/>
              <w:rPr>
                <w:b/>
                <w:bCs/>
                <w:color w:val="000000"/>
                <w:sz w:val="14"/>
                <w:szCs w:val="14"/>
              </w:rPr>
            </w:pPr>
            <w:r w:rsidRPr="00872D7E">
              <w:rPr>
                <w:b/>
                <w:bCs/>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02B9977F" w14:textId="77777777" w:rsidR="00885FF8" w:rsidRPr="00872D7E" w:rsidRDefault="00885FF8" w:rsidP="00885FF8">
            <w:pPr>
              <w:jc w:val="right"/>
              <w:rPr>
                <w:b/>
                <w:bCs/>
                <w:color w:val="000000"/>
                <w:sz w:val="14"/>
                <w:szCs w:val="14"/>
              </w:rPr>
            </w:pPr>
            <w:r w:rsidRPr="00872D7E">
              <w:rPr>
                <w:b/>
                <w:bCs/>
                <w:color w:val="000000"/>
                <w:sz w:val="14"/>
                <w:szCs w:val="14"/>
              </w:rPr>
              <w:t>-</w:t>
            </w:r>
          </w:p>
        </w:tc>
      </w:tr>
      <w:tr w:rsidR="00885FF8" w:rsidRPr="00872D7E" w14:paraId="19AF9534"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7D01924F" w14:textId="77777777" w:rsidR="00885FF8" w:rsidRPr="00872D7E" w:rsidRDefault="00885FF8" w:rsidP="00885FF8">
            <w:pPr>
              <w:rPr>
                <w:b/>
                <w:bCs/>
                <w:color w:val="000000"/>
                <w:sz w:val="14"/>
                <w:szCs w:val="14"/>
              </w:rPr>
            </w:pPr>
            <w:r w:rsidRPr="00872D7E">
              <w:rPr>
                <w:b/>
                <w:bCs/>
                <w:color w:val="000000"/>
                <w:sz w:val="14"/>
                <w:szCs w:val="14"/>
              </w:rPr>
              <w:t>XIV.</w:t>
            </w:r>
          </w:p>
        </w:tc>
        <w:tc>
          <w:tcPr>
            <w:tcW w:w="3430" w:type="pct"/>
            <w:tcBorders>
              <w:top w:val="nil"/>
              <w:left w:val="nil"/>
              <w:bottom w:val="nil"/>
              <w:right w:val="nil"/>
            </w:tcBorders>
            <w:shd w:val="clear" w:color="auto" w:fill="auto"/>
            <w:hideMark/>
          </w:tcPr>
          <w:p w14:paraId="4056DE6E" w14:textId="77777777" w:rsidR="00885FF8" w:rsidRPr="00872D7E" w:rsidRDefault="00885FF8" w:rsidP="00885FF8">
            <w:pPr>
              <w:rPr>
                <w:b/>
                <w:bCs/>
                <w:color w:val="000000"/>
                <w:sz w:val="14"/>
                <w:szCs w:val="14"/>
              </w:rPr>
            </w:pPr>
            <w:r w:rsidRPr="00872D7E">
              <w:rPr>
                <w:b/>
                <w:bCs/>
                <w:color w:val="000000"/>
                <w:sz w:val="14"/>
                <w:szCs w:val="14"/>
              </w:rPr>
              <w:t>ÖZKAYNAK YÖNTEMİ UYGULANAN ORTAKLIKLARDAN KÂR/ZARAR</w:t>
            </w:r>
          </w:p>
        </w:tc>
        <w:tc>
          <w:tcPr>
            <w:tcW w:w="622" w:type="pct"/>
            <w:tcBorders>
              <w:top w:val="nil"/>
              <w:left w:val="single" w:sz="4" w:space="0" w:color="auto"/>
              <w:bottom w:val="nil"/>
              <w:right w:val="single" w:sz="4" w:space="0" w:color="auto"/>
            </w:tcBorders>
            <w:shd w:val="clear" w:color="auto" w:fill="auto"/>
            <w:hideMark/>
          </w:tcPr>
          <w:p w14:paraId="5F9FF401" w14:textId="77777777" w:rsidR="00885FF8" w:rsidRPr="00872D7E" w:rsidRDefault="00885FF8" w:rsidP="00885FF8">
            <w:pPr>
              <w:jc w:val="center"/>
              <w:rPr>
                <w:b/>
                <w:bCs/>
                <w:color w:val="000000"/>
                <w:sz w:val="14"/>
                <w:szCs w:val="14"/>
              </w:rPr>
            </w:pPr>
            <w:r w:rsidRPr="00872D7E">
              <w:rPr>
                <w:b/>
                <w:bCs/>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660C699" w14:textId="77777777" w:rsidR="00885FF8" w:rsidRPr="00872D7E" w:rsidRDefault="00885FF8" w:rsidP="00885FF8">
            <w:pPr>
              <w:jc w:val="right"/>
              <w:rPr>
                <w:b/>
                <w:bCs/>
                <w:color w:val="000000"/>
                <w:sz w:val="14"/>
                <w:szCs w:val="14"/>
              </w:rPr>
            </w:pPr>
            <w:r w:rsidRPr="00872D7E">
              <w:rPr>
                <w:b/>
                <w:bCs/>
                <w:color w:val="000000"/>
                <w:sz w:val="14"/>
                <w:szCs w:val="14"/>
              </w:rPr>
              <w:t>-</w:t>
            </w:r>
          </w:p>
        </w:tc>
      </w:tr>
      <w:tr w:rsidR="00885FF8" w:rsidRPr="00872D7E" w14:paraId="3C2F21FB"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7FFBB983" w14:textId="77777777" w:rsidR="00885FF8" w:rsidRPr="00872D7E" w:rsidRDefault="00885FF8" w:rsidP="00885FF8">
            <w:pPr>
              <w:rPr>
                <w:b/>
                <w:bCs/>
                <w:color w:val="000000"/>
                <w:sz w:val="14"/>
                <w:szCs w:val="14"/>
              </w:rPr>
            </w:pPr>
            <w:r w:rsidRPr="00872D7E">
              <w:rPr>
                <w:b/>
                <w:bCs/>
                <w:color w:val="000000"/>
                <w:sz w:val="14"/>
                <w:szCs w:val="14"/>
              </w:rPr>
              <w:t>XV.</w:t>
            </w:r>
          </w:p>
        </w:tc>
        <w:tc>
          <w:tcPr>
            <w:tcW w:w="3430" w:type="pct"/>
            <w:tcBorders>
              <w:top w:val="nil"/>
              <w:left w:val="nil"/>
              <w:bottom w:val="nil"/>
              <w:right w:val="nil"/>
            </w:tcBorders>
            <w:shd w:val="clear" w:color="auto" w:fill="auto"/>
            <w:hideMark/>
          </w:tcPr>
          <w:p w14:paraId="7708DDAF" w14:textId="77777777" w:rsidR="00885FF8" w:rsidRPr="00872D7E" w:rsidRDefault="00885FF8" w:rsidP="00885FF8">
            <w:pPr>
              <w:rPr>
                <w:b/>
                <w:bCs/>
                <w:color w:val="000000"/>
                <w:sz w:val="14"/>
                <w:szCs w:val="14"/>
              </w:rPr>
            </w:pPr>
            <w:r w:rsidRPr="00872D7E">
              <w:rPr>
                <w:b/>
                <w:bCs/>
                <w:color w:val="000000"/>
                <w:sz w:val="14"/>
                <w:szCs w:val="14"/>
              </w:rPr>
              <w:t>NET PARASAL POZİSYON KÂRI/ZARARI</w:t>
            </w:r>
          </w:p>
        </w:tc>
        <w:tc>
          <w:tcPr>
            <w:tcW w:w="622" w:type="pct"/>
            <w:tcBorders>
              <w:top w:val="nil"/>
              <w:left w:val="single" w:sz="4" w:space="0" w:color="auto"/>
              <w:bottom w:val="nil"/>
              <w:right w:val="single" w:sz="4" w:space="0" w:color="auto"/>
            </w:tcBorders>
            <w:shd w:val="clear" w:color="auto" w:fill="auto"/>
            <w:hideMark/>
          </w:tcPr>
          <w:p w14:paraId="2A2D6F99" w14:textId="77777777" w:rsidR="00885FF8" w:rsidRPr="00872D7E" w:rsidRDefault="00885FF8" w:rsidP="00885FF8">
            <w:pPr>
              <w:jc w:val="center"/>
              <w:rPr>
                <w:b/>
                <w:bCs/>
                <w:color w:val="000000"/>
                <w:sz w:val="14"/>
                <w:szCs w:val="14"/>
              </w:rPr>
            </w:pPr>
            <w:r w:rsidRPr="00872D7E">
              <w:rPr>
                <w:b/>
                <w:bCs/>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C1EFF26" w14:textId="77777777" w:rsidR="00885FF8" w:rsidRPr="00872D7E" w:rsidRDefault="00885FF8" w:rsidP="00885FF8">
            <w:pPr>
              <w:jc w:val="right"/>
              <w:rPr>
                <w:b/>
                <w:bCs/>
                <w:color w:val="000000"/>
                <w:sz w:val="14"/>
                <w:szCs w:val="14"/>
              </w:rPr>
            </w:pPr>
            <w:r w:rsidRPr="00872D7E">
              <w:rPr>
                <w:b/>
                <w:bCs/>
                <w:color w:val="000000"/>
                <w:sz w:val="14"/>
                <w:szCs w:val="14"/>
              </w:rPr>
              <w:t>-</w:t>
            </w:r>
          </w:p>
        </w:tc>
      </w:tr>
      <w:tr w:rsidR="001C7892" w:rsidRPr="00872D7E" w14:paraId="08EF2493"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77377777" w14:textId="77777777" w:rsidR="001C7892" w:rsidRPr="00872D7E" w:rsidRDefault="001C7892" w:rsidP="001C7892">
            <w:pPr>
              <w:rPr>
                <w:b/>
                <w:bCs/>
                <w:color w:val="000000"/>
                <w:sz w:val="14"/>
                <w:szCs w:val="14"/>
              </w:rPr>
            </w:pPr>
            <w:r w:rsidRPr="00872D7E">
              <w:rPr>
                <w:b/>
                <w:bCs/>
                <w:color w:val="000000"/>
                <w:sz w:val="14"/>
                <w:szCs w:val="14"/>
              </w:rPr>
              <w:t>XVI.</w:t>
            </w:r>
          </w:p>
        </w:tc>
        <w:tc>
          <w:tcPr>
            <w:tcW w:w="3430" w:type="pct"/>
            <w:tcBorders>
              <w:top w:val="nil"/>
              <w:left w:val="nil"/>
              <w:bottom w:val="nil"/>
              <w:right w:val="nil"/>
            </w:tcBorders>
            <w:shd w:val="clear" w:color="auto" w:fill="auto"/>
            <w:hideMark/>
          </w:tcPr>
          <w:p w14:paraId="25EF15E8" w14:textId="77777777" w:rsidR="001C7892" w:rsidRPr="00872D7E" w:rsidRDefault="001C7892" w:rsidP="001C7892">
            <w:pPr>
              <w:rPr>
                <w:b/>
                <w:bCs/>
                <w:color w:val="000000"/>
                <w:sz w:val="14"/>
                <w:szCs w:val="14"/>
              </w:rPr>
            </w:pPr>
            <w:r w:rsidRPr="00872D7E">
              <w:rPr>
                <w:b/>
                <w:bCs/>
                <w:color w:val="000000"/>
                <w:sz w:val="14"/>
                <w:szCs w:val="14"/>
              </w:rPr>
              <w:t>SÜRDÜRÜLEN FAALİYETLER VERGİ ÖNCESİ K/Z (XIII+...+XVI)</w:t>
            </w:r>
          </w:p>
        </w:tc>
        <w:tc>
          <w:tcPr>
            <w:tcW w:w="622" w:type="pct"/>
            <w:tcBorders>
              <w:top w:val="nil"/>
              <w:left w:val="single" w:sz="4" w:space="0" w:color="auto"/>
              <w:bottom w:val="nil"/>
              <w:right w:val="single" w:sz="4" w:space="0" w:color="auto"/>
            </w:tcBorders>
            <w:shd w:val="clear" w:color="auto" w:fill="auto"/>
            <w:hideMark/>
          </w:tcPr>
          <w:p w14:paraId="60281A8E" w14:textId="34D48BA0" w:rsidR="001C7892" w:rsidRPr="00872D7E" w:rsidRDefault="001C7892" w:rsidP="001C7892">
            <w:pPr>
              <w:jc w:val="center"/>
              <w:rPr>
                <w:b/>
                <w:bCs/>
                <w:color w:val="000000"/>
                <w:sz w:val="14"/>
                <w:szCs w:val="14"/>
              </w:rPr>
            </w:pPr>
            <w:r w:rsidRPr="00872D7E">
              <w:rPr>
                <w:b/>
                <w:bCs/>
                <w:color w:val="000000"/>
                <w:sz w:val="14"/>
                <w:szCs w:val="14"/>
              </w:rPr>
              <w:t>(10)</w:t>
            </w:r>
          </w:p>
        </w:tc>
        <w:tc>
          <w:tcPr>
            <w:tcW w:w="622" w:type="pct"/>
            <w:tcBorders>
              <w:top w:val="nil"/>
              <w:left w:val="nil"/>
              <w:bottom w:val="nil"/>
              <w:right w:val="single" w:sz="4" w:space="0" w:color="auto"/>
            </w:tcBorders>
            <w:shd w:val="clear" w:color="auto" w:fill="auto"/>
            <w:vAlign w:val="center"/>
            <w:hideMark/>
          </w:tcPr>
          <w:p w14:paraId="7D8F990B" w14:textId="77777777" w:rsidR="001C7892" w:rsidRPr="00872D7E" w:rsidRDefault="001C7892" w:rsidP="001C7892">
            <w:pPr>
              <w:jc w:val="right"/>
              <w:rPr>
                <w:b/>
                <w:bCs/>
                <w:color w:val="000000"/>
                <w:sz w:val="14"/>
                <w:szCs w:val="14"/>
              </w:rPr>
            </w:pPr>
            <w:r w:rsidRPr="00872D7E">
              <w:rPr>
                <w:b/>
                <w:bCs/>
                <w:color w:val="000000"/>
                <w:sz w:val="14"/>
                <w:szCs w:val="14"/>
              </w:rPr>
              <w:t>1.616.235</w:t>
            </w:r>
          </w:p>
        </w:tc>
      </w:tr>
      <w:tr w:rsidR="001C7892" w:rsidRPr="00872D7E" w14:paraId="1FF720D8"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595ACC54" w14:textId="77777777" w:rsidR="001C7892" w:rsidRPr="00872D7E" w:rsidRDefault="001C7892" w:rsidP="001C7892">
            <w:pPr>
              <w:rPr>
                <w:b/>
                <w:bCs/>
                <w:color w:val="000000"/>
                <w:sz w:val="14"/>
                <w:szCs w:val="14"/>
              </w:rPr>
            </w:pPr>
            <w:r w:rsidRPr="00872D7E">
              <w:rPr>
                <w:b/>
                <w:bCs/>
                <w:color w:val="000000"/>
                <w:sz w:val="14"/>
                <w:szCs w:val="14"/>
              </w:rPr>
              <w:t>XVII.</w:t>
            </w:r>
          </w:p>
        </w:tc>
        <w:tc>
          <w:tcPr>
            <w:tcW w:w="3430" w:type="pct"/>
            <w:tcBorders>
              <w:top w:val="nil"/>
              <w:left w:val="nil"/>
              <w:bottom w:val="nil"/>
              <w:right w:val="nil"/>
            </w:tcBorders>
            <w:shd w:val="clear" w:color="auto" w:fill="auto"/>
            <w:hideMark/>
          </w:tcPr>
          <w:p w14:paraId="0B5DA3D0" w14:textId="77777777" w:rsidR="001C7892" w:rsidRPr="00872D7E" w:rsidRDefault="001C7892" w:rsidP="001C7892">
            <w:pPr>
              <w:rPr>
                <w:b/>
                <w:bCs/>
                <w:color w:val="000000"/>
                <w:sz w:val="14"/>
                <w:szCs w:val="14"/>
              </w:rPr>
            </w:pPr>
            <w:r w:rsidRPr="00872D7E">
              <w:rPr>
                <w:b/>
                <w:bCs/>
                <w:color w:val="000000"/>
                <w:sz w:val="14"/>
                <w:szCs w:val="14"/>
              </w:rPr>
              <w:t>SÜRDÜRÜLEN FAALİYETLER VERGİ KARŞILIĞI (±)</w:t>
            </w:r>
          </w:p>
        </w:tc>
        <w:tc>
          <w:tcPr>
            <w:tcW w:w="622" w:type="pct"/>
            <w:tcBorders>
              <w:top w:val="nil"/>
              <w:left w:val="single" w:sz="4" w:space="0" w:color="auto"/>
              <w:bottom w:val="nil"/>
              <w:right w:val="single" w:sz="4" w:space="0" w:color="auto"/>
            </w:tcBorders>
            <w:shd w:val="clear" w:color="auto" w:fill="auto"/>
            <w:hideMark/>
          </w:tcPr>
          <w:p w14:paraId="22620841" w14:textId="09CEFA9F" w:rsidR="001C7892" w:rsidRPr="00872D7E" w:rsidRDefault="001C7892" w:rsidP="001C7892">
            <w:pPr>
              <w:jc w:val="center"/>
              <w:rPr>
                <w:b/>
                <w:bCs/>
                <w:color w:val="000000"/>
                <w:sz w:val="14"/>
                <w:szCs w:val="14"/>
              </w:rPr>
            </w:pPr>
            <w:r w:rsidRPr="00872D7E">
              <w:rPr>
                <w:b/>
                <w:bCs/>
                <w:color w:val="000000"/>
                <w:sz w:val="14"/>
                <w:szCs w:val="14"/>
              </w:rPr>
              <w:t>(11)</w:t>
            </w:r>
          </w:p>
        </w:tc>
        <w:tc>
          <w:tcPr>
            <w:tcW w:w="622" w:type="pct"/>
            <w:tcBorders>
              <w:top w:val="nil"/>
              <w:left w:val="nil"/>
              <w:bottom w:val="nil"/>
              <w:right w:val="single" w:sz="4" w:space="0" w:color="auto"/>
            </w:tcBorders>
            <w:shd w:val="clear" w:color="auto" w:fill="auto"/>
            <w:vAlign w:val="center"/>
            <w:hideMark/>
          </w:tcPr>
          <w:p w14:paraId="25E3671A" w14:textId="77777777" w:rsidR="001C7892" w:rsidRPr="00872D7E" w:rsidRDefault="001C7892" w:rsidP="001C7892">
            <w:pPr>
              <w:jc w:val="right"/>
              <w:rPr>
                <w:b/>
                <w:bCs/>
                <w:color w:val="000000"/>
                <w:sz w:val="14"/>
                <w:szCs w:val="14"/>
              </w:rPr>
            </w:pPr>
            <w:r w:rsidRPr="00872D7E">
              <w:rPr>
                <w:b/>
                <w:bCs/>
                <w:color w:val="000000"/>
                <w:sz w:val="14"/>
                <w:szCs w:val="14"/>
              </w:rPr>
              <w:t>262.593</w:t>
            </w:r>
          </w:p>
        </w:tc>
      </w:tr>
      <w:tr w:rsidR="001C7892" w:rsidRPr="00872D7E" w14:paraId="1C84C861"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6B3D47C" w14:textId="77777777" w:rsidR="001C7892" w:rsidRPr="00872D7E" w:rsidRDefault="001C7892" w:rsidP="001C7892">
            <w:pPr>
              <w:rPr>
                <w:color w:val="000000"/>
                <w:sz w:val="14"/>
                <w:szCs w:val="14"/>
              </w:rPr>
            </w:pPr>
            <w:r w:rsidRPr="00872D7E">
              <w:rPr>
                <w:color w:val="000000"/>
                <w:sz w:val="14"/>
                <w:szCs w:val="14"/>
              </w:rPr>
              <w:t>17.1</w:t>
            </w:r>
          </w:p>
        </w:tc>
        <w:tc>
          <w:tcPr>
            <w:tcW w:w="3430" w:type="pct"/>
            <w:tcBorders>
              <w:top w:val="nil"/>
              <w:left w:val="nil"/>
              <w:bottom w:val="nil"/>
              <w:right w:val="nil"/>
            </w:tcBorders>
            <w:shd w:val="clear" w:color="auto" w:fill="auto"/>
            <w:hideMark/>
          </w:tcPr>
          <w:p w14:paraId="1BEB86F8" w14:textId="77777777" w:rsidR="001C7892" w:rsidRPr="00872D7E" w:rsidRDefault="001C7892" w:rsidP="001C7892">
            <w:pPr>
              <w:rPr>
                <w:color w:val="000000"/>
                <w:sz w:val="14"/>
                <w:szCs w:val="14"/>
              </w:rPr>
            </w:pPr>
            <w:r w:rsidRPr="00872D7E">
              <w:rPr>
                <w:color w:val="000000"/>
                <w:sz w:val="14"/>
                <w:szCs w:val="14"/>
              </w:rPr>
              <w:t>Cari Vergi Karşılığı</w:t>
            </w:r>
          </w:p>
        </w:tc>
        <w:tc>
          <w:tcPr>
            <w:tcW w:w="622" w:type="pct"/>
            <w:tcBorders>
              <w:top w:val="nil"/>
              <w:left w:val="single" w:sz="4" w:space="0" w:color="auto"/>
              <w:bottom w:val="nil"/>
              <w:right w:val="single" w:sz="4" w:space="0" w:color="auto"/>
            </w:tcBorders>
            <w:shd w:val="clear" w:color="auto" w:fill="auto"/>
            <w:hideMark/>
          </w:tcPr>
          <w:p w14:paraId="35A59D7A" w14:textId="6B8D69ED" w:rsidR="001C7892" w:rsidRPr="00872D7E" w:rsidRDefault="001C7892" w:rsidP="001C7892">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D9732CE" w14:textId="77777777" w:rsidR="001C7892" w:rsidRPr="00872D7E" w:rsidRDefault="001C7892" w:rsidP="001C7892">
            <w:pPr>
              <w:jc w:val="right"/>
              <w:rPr>
                <w:color w:val="000000"/>
                <w:sz w:val="14"/>
                <w:szCs w:val="14"/>
              </w:rPr>
            </w:pPr>
            <w:r w:rsidRPr="00872D7E">
              <w:rPr>
                <w:color w:val="000000"/>
                <w:sz w:val="14"/>
                <w:szCs w:val="14"/>
              </w:rPr>
              <w:t>334.828</w:t>
            </w:r>
          </w:p>
        </w:tc>
      </w:tr>
      <w:tr w:rsidR="001C7892" w:rsidRPr="00872D7E" w14:paraId="15391F02"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2D07E5EA" w14:textId="77777777" w:rsidR="001C7892" w:rsidRPr="00872D7E" w:rsidRDefault="001C7892" w:rsidP="001C7892">
            <w:pPr>
              <w:rPr>
                <w:color w:val="000000"/>
                <w:sz w:val="14"/>
                <w:szCs w:val="14"/>
              </w:rPr>
            </w:pPr>
            <w:r w:rsidRPr="00872D7E">
              <w:rPr>
                <w:color w:val="000000"/>
                <w:sz w:val="14"/>
                <w:szCs w:val="14"/>
              </w:rPr>
              <w:t>17.2</w:t>
            </w:r>
          </w:p>
        </w:tc>
        <w:tc>
          <w:tcPr>
            <w:tcW w:w="3430" w:type="pct"/>
            <w:tcBorders>
              <w:top w:val="nil"/>
              <w:left w:val="nil"/>
              <w:bottom w:val="nil"/>
              <w:right w:val="nil"/>
            </w:tcBorders>
            <w:shd w:val="clear" w:color="auto" w:fill="auto"/>
            <w:hideMark/>
          </w:tcPr>
          <w:p w14:paraId="230C1016" w14:textId="77777777" w:rsidR="001C7892" w:rsidRPr="00872D7E" w:rsidRDefault="001C7892" w:rsidP="001C7892">
            <w:pPr>
              <w:rPr>
                <w:color w:val="000000"/>
                <w:sz w:val="14"/>
                <w:szCs w:val="14"/>
              </w:rPr>
            </w:pPr>
            <w:r w:rsidRPr="00872D7E">
              <w:rPr>
                <w:color w:val="000000"/>
                <w:sz w:val="14"/>
                <w:szCs w:val="14"/>
              </w:rPr>
              <w:t>Ertelenmiş Vergi Gider Etkisi (+)</w:t>
            </w:r>
          </w:p>
        </w:tc>
        <w:tc>
          <w:tcPr>
            <w:tcW w:w="622" w:type="pct"/>
            <w:tcBorders>
              <w:top w:val="nil"/>
              <w:left w:val="single" w:sz="4" w:space="0" w:color="auto"/>
              <w:bottom w:val="nil"/>
              <w:right w:val="single" w:sz="4" w:space="0" w:color="auto"/>
            </w:tcBorders>
            <w:shd w:val="clear" w:color="auto" w:fill="auto"/>
            <w:hideMark/>
          </w:tcPr>
          <w:p w14:paraId="20D1D9CF" w14:textId="5A78D336" w:rsidR="001C7892" w:rsidRPr="00872D7E" w:rsidRDefault="001C7892" w:rsidP="001C7892">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D9DAE6C" w14:textId="77777777" w:rsidR="001C7892" w:rsidRPr="00872D7E" w:rsidRDefault="001C7892" w:rsidP="001C7892">
            <w:pPr>
              <w:jc w:val="right"/>
              <w:rPr>
                <w:color w:val="000000"/>
                <w:sz w:val="14"/>
                <w:szCs w:val="14"/>
              </w:rPr>
            </w:pPr>
            <w:r w:rsidRPr="00872D7E">
              <w:rPr>
                <w:color w:val="000000"/>
                <w:sz w:val="14"/>
                <w:szCs w:val="14"/>
              </w:rPr>
              <w:t>118.531</w:t>
            </w:r>
          </w:p>
        </w:tc>
      </w:tr>
      <w:tr w:rsidR="001C7892" w:rsidRPr="00872D7E" w14:paraId="349F71A4"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4B6744ED" w14:textId="77777777" w:rsidR="001C7892" w:rsidRPr="00872D7E" w:rsidRDefault="001C7892" w:rsidP="001C7892">
            <w:pPr>
              <w:rPr>
                <w:color w:val="000000"/>
                <w:sz w:val="14"/>
                <w:szCs w:val="14"/>
              </w:rPr>
            </w:pPr>
            <w:r w:rsidRPr="00872D7E">
              <w:rPr>
                <w:color w:val="000000"/>
                <w:sz w:val="14"/>
                <w:szCs w:val="14"/>
              </w:rPr>
              <w:t>17.3</w:t>
            </w:r>
          </w:p>
        </w:tc>
        <w:tc>
          <w:tcPr>
            <w:tcW w:w="3430" w:type="pct"/>
            <w:tcBorders>
              <w:top w:val="nil"/>
              <w:left w:val="nil"/>
              <w:bottom w:val="nil"/>
              <w:right w:val="nil"/>
            </w:tcBorders>
            <w:shd w:val="clear" w:color="auto" w:fill="auto"/>
            <w:hideMark/>
          </w:tcPr>
          <w:p w14:paraId="53CC1096" w14:textId="77777777" w:rsidR="001C7892" w:rsidRPr="00872D7E" w:rsidRDefault="001C7892" w:rsidP="001C7892">
            <w:pPr>
              <w:rPr>
                <w:color w:val="000000"/>
                <w:sz w:val="14"/>
                <w:szCs w:val="14"/>
              </w:rPr>
            </w:pPr>
            <w:r w:rsidRPr="00872D7E">
              <w:rPr>
                <w:color w:val="000000"/>
                <w:sz w:val="14"/>
                <w:szCs w:val="14"/>
              </w:rPr>
              <w:t>Ertelenmiş Vergi Gelir Etkisi (-)</w:t>
            </w:r>
          </w:p>
        </w:tc>
        <w:tc>
          <w:tcPr>
            <w:tcW w:w="622" w:type="pct"/>
            <w:tcBorders>
              <w:top w:val="nil"/>
              <w:left w:val="single" w:sz="4" w:space="0" w:color="auto"/>
              <w:bottom w:val="nil"/>
              <w:right w:val="single" w:sz="4" w:space="0" w:color="auto"/>
            </w:tcBorders>
            <w:shd w:val="clear" w:color="auto" w:fill="auto"/>
            <w:hideMark/>
          </w:tcPr>
          <w:p w14:paraId="56A53830" w14:textId="371632D3" w:rsidR="001C7892" w:rsidRPr="00872D7E" w:rsidRDefault="001C7892" w:rsidP="001C7892">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B696048" w14:textId="77777777" w:rsidR="001C7892" w:rsidRPr="00872D7E" w:rsidRDefault="001C7892" w:rsidP="001C7892">
            <w:pPr>
              <w:jc w:val="right"/>
              <w:rPr>
                <w:color w:val="000000"/>
                <w:sz w:val="14"/>
                <w:szCs w:val="14"/>
              </w:rPr>
            </w:pPr>
            <w:r w:rsidRPr="00872D7E">
              <w:rPr>
                <w:color w:val="000000"/>
                <w:sz w:val="14"/>
                <w:szCs w:val="14"/>
              </w:rPr>
              <w:t>190.766</w:t>
            </w:r>
          </w:p>
        </w:tc>
      </w:tr>
      <w:tr w:rsidR="001C7892" w:rsidRPr="00872D7E" w14:paraId="666C6400"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3D75EFE" w14:textId="77777777" w:rsidR="001C7892" w:rsidRPr="00872D7E" w:rsidRDefault="001C7892" w:rsidP="001C7892">
            <w:pPr>
              <w:rPr>
                <w:b/>
                <w:bCs/>
                <w:color w:val="000000"/>
                <w:sz w:val="14"/>
                <w:szCs w:val="14"/>
              </w:rPr>
            </w:pPr>
            <w:r w:rsidRPr="00872D7E">
              <w:rPr>
                <w:b/>
                <w:bCs/>
                <w:color w:val="000000"/>
                <w:sz w:val="14"/>
                <w:szCs w:val="14"/>
              </w:rPr>
              <w:t>XVIII.</w:t>
            </w:r>
          </w:p>
        </w:tc>
        <w:tc>
          <w:tcPr>
            <w:tcW w:w="3430" w:type="pct"/>
            <w:tcBorders>
              <w:top w:val="nil"/>
              <w:left w:val="nil"/>
              <w:bottom w:val="nil"/>
              <w:right w:val="nil"/>
            </w:tcBorders>
            <w:shd w:val="clear" w:color="auto" w:fill="auto"/>
            <w:hideMark/>
          </w:tcPr>
          <w:p w14:paraId="58641BE0" w14:textId="77777777" w:rsidR="001C7892" w:rsidRPr="00872D7E" w:rsidRDefault="001C7892" w:rsidP="001C7892">
            <w:pPr>
              <w:rPr>
                <w:b/>
                <w:bCs/>
                <w:color w:val="000000"/>
                <w:sz w:val="14"/>
                <w:szCs w:val="14"/>
              </w:rPr>
            </w:pPr>
            <w:r w:rsidRPr="00872D7E">
              <w:rPr>
                <w:b/>
                <w:bCs/>
                <w:color w:val="000000"/>
                <w:sz w:val="14"/>
                <w:szCs w:val="14"/>
              </w:rPr>
              <w:t>SÜRDÜRÜLEN FAALİYETLER DÖNEM NET K/Z (XVII±XVIII)</w:t>
            </w:r>
          </w:p>
        </w:tc>
        <w:tc>
          <w:tcPr>
            <w:tcW w:w="622" w:type="pct"/>
            <w:tcBorders>
              <w:top w:val="nil"/>
              <w:left w:val="single" w:sz="4" w:space="0" w:color="auto"/>
              <w:bottom w:val="nil"/>
              <w:right w:val="single" w:sz="4" w:space="0" w:color="auto"/>
            </w:tcBorders>
            <w:shd w:val="clear" w:color="auto" w:fill="auto"/>
            <w:hideMark/>
          </w:tcPr>
          <w:p w14:paraId="138E45E8" w14:textId="02B40CE0" w:rsidR="001C7892" w:rsidRPr="00872D7E" w:rsidRDefault="001C7892" w:rsidP="001C7892">
            <w:pPr>
              <w:jc w:val="center"/>
              <w:rPr>
                <w:color w:val="000000"/>
                <w:sz w:val="14"/>
                <w:szCs w:val="14"/>
              </w:rPr>
            </w:pPr>
            <w:r w:rsidRPr="00872D7E">
              <w:rPr>
                <w:b/>
                <w:bCs/>
                <w:color w:val="000000"/>
                <w:sz w:val="14"/>
                <w:szCs w:val="14"/>
              </w:rPr>
              <w:t>(12)</w:t>
            </w:r>
          </w:p>
        </w:tc>
        <w:tc>
          <w:tcPr>
            <w:tcW w:w="622" w:type="pct"/>
            <w:tcBorders>
              <w:top w:val="nil"/>
              <w:left w:val="nil"/>
              <w:bottom w:val="nil"/>
              <w:right w:val="single" w:sz="4" w:space="0" w:color="auto"/>
            </w:tcBorders>
            <w:shd w:val="clear" w:color="auto" w:fill="auto"/>
            <w:vAlign w:val="center"/>
            <w:hideMark/>
          </w:tcPr>
          <w:p w14:paraId="541C8D7A" w14:textId="77777777" w:rsidR="001C7892" w:rsidRPr="00872D7E" w:rsidRDefault="001C7892" w:rsidP="001C7892">
            <w:pPr>
              <w:jc w:val="right"/>
              <w:rPr>
                <w:b/>
                <w:bCs/>
                <w:color w:val="000000"/>
                <w:sz w:val="14"/>
                <w:szCs w:val="14"/>
              </w:rPr>
            </w:pPr>
            <w:r w:rsidRPr="00872D7E">
              <w:rPr>
                <w:b/>
                <w:bCs/>
                <w:color w:val="000000"/>
                <w:sz w:val="14"/>
                <w:szCs w:val="14"/>
              </w:rPr>
              <w:t>1.353.642</w:t>
            </w:r>
          </w:p>
        </w:tc>
      </w:tr>
      <w:tr w:rsidR="00885FF8" w:rsidRPr="00872D7E" w14:paraId="009F4CED"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745364E" w14:textId="77777777" w:rsidR="00885FF8" w:rsidRPr="00872D7E" w:rsidRDefault="00885FF8" w:rsidP="00885FF8">
            <w:pPr>
              <w:rPr>
                <w:b/>
                <w:bCs/>
                <w:color w:val="000000"/>
                <w:sz w:val="14"/>
                <w:szCs w:val="14"/>
              </w:rPr>
            </w:pPr>
            <w:r w:rsidRPr="00872D7E">
              <w:rPr>
                <w:b/>
                <w:bCs/>
                <w:color w:val="000000"/>
                <w:sz w:val="14"/>
                <w:szCs w:val="14"/>
              </w:rPr>
              <w:t>XIX.</w:t>
            </w:r>
          </w:p>
        </w:tc>
        <w:tc>
          <w:tcPr>
            <w:tcW w:w="3430" w:type="pct"/>
            <w:tcBorders>
              <w:top w:val="nil"/>
              <w:left w:val="nil"/>
              <w:bottom w:val="nil"/>
              <w:right w:val="nil"/>
            </w:tcBorders>
            <w:shd w:val="clear" w:color="auto" w:fill="auto"/>
            <w:hideMark/>
          </w:tcPr>
          <w:p w14:paraId="65413429" w14:textId="77777777" w:rsidR="00885FF8" w:rsidRPr="00872D7E" w:rsidRDefault="00885FF8" w:rsidP="00885FF8">
            <w:pPr>
              <w:rPr>
                <w:b/>
                <w:bCs/>
                <w:color w:val="000000"/>
                <w:sz w:val="14"/>
                <w:szCs w:val="14"/>
              </w:rPr>
            </w:pPr>
            <w:r w:rsidRPr="00872D7E">
              <w:rPr>
                <w:b/>
                <w:bCs/>
                <w:color w:val="000000"/>
                <w:sz w:val="14"/>
                <w:szCs w:val="14"/>
              </w:rPr>
              <w:t>DURDURULAN FAALİYETLERDEN GELİRLER</w:t>
            </w:r>
          </w:p>
        </w:tc>
        <w:tc>
          <w:tcPr>
            <w:tcW w:w="622" w:type="pct"/>
            <w:tcBorders>
              <w:top w:val="nil"/>
              <w:left w:val="single" w:sz="4" w:space="0" w:color="auto"/>
              <w:bottom w:val="nil"/>
              <w:right w:val="single" w:sz="4" w:space="0" w:color="auto"/>
            </w:tcBorders>
            <w:shd w:val="clear" w:color="auto" w:fill="auto"/>
            <w:hideMark/>
          </w:tcPr>
          <w:p w14:paraId="117B035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373B7FB6" w14:textId="77777777" w:rsidR="00885FF8" w:rsidRPr="00872D7E" w:rsidRDefault="00885FF8" w:rsidP="00885FF8">
            <w:pPr>
              <w:jc w:val="right"/>
              <w:rPr>
                <w:b/>
                <w:bCs/>
                <w:color w:val="000000"/>
                <w:sz w:val="14"/>
                <w:szCs w:val="14"/>
              </w:rPr>
            </w:pPr>
            <w:r w:rsidRPr="00872D7E">
              <w:rPr>
                <w:b/>
                <w:bCs/>
                <w:color w:val="000000"/>
                <w:sz w:val="14"/>
                <w:szCs w:val="14"/>
              </w:rPr>
              <w:t>-</w:t>
            </w:r>
          </w:p>
        </w:tc>
      </w:tr>
      <w:tr w:rsidR="00885FF8" w:rsidRPr="00872D7E" w14:paraId="10FE336A"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7A56D179" w14:textId="77777777" w:rsidR="00885FF8" w:rsidRPr="00872D7E" w:rsidRDefault="00885FF8" w:rsidP="00885FF8">
            <w:pPr>
              <w:rPr>
                <w:color w:val="000000"/>
                <w:sz w:val="14"/>
                <w:szCs w:val="14"/>
              </w:rPr>
            </w:pPr>
            <w:r w:rsidRPr="00872D7E">
              <w:rPr>
                <w:color w:val="000000"/>
                <w:sz w:val="14"/>
                <w:szCs w:val="14"/>
              </w:rPr>
              <w:t>19.1</w:t>
            </w:r>
          </w:p>
        </w:tc>
        <w:tc>
          <w:tcPr>
            <w:tcW w:w="3430" w:type="pct"/>
            <w:tcBorders>
              <w:top w:val="nil"/>
              <w:left w:val="nil"/>
              <w:bottom w:val="nil"/>
              <w:right w:val="nil"/>
            </w:tcBorders>
            <w:shd w:val="clear" w:color="auto" w:fill="auto"/>
            <w:hideMark/>
          </w:tcPr>
          <w:p w14:paraId="6FAF03B2" w14:textId="77777777" w:rsidR="00885FF8" w:rsidRPr="00872D7E" w:rsidRDefault="00885FF8" w:rsidP="00885FF8">
            <w:pPr>
              <w:rPr>
                <w:color w:val="000000"/>
                <w:sz w:val="14"/>
                <w:szCs w:val="14"/>
              </w:rPr>
            </w:pPr>
            <w:r w:rsidRPr="00872D7E">
              <w:rPr>
                <w:color w:val="000000"/>
                <w:sz w:val="14"/>
                <w:szCs w:val="14"/>
              </w:rPr>
              <w:t>Satış Amaçlı Elde Tutulan Duran Varlık Gelirleri</w:t>
            </w:r>
          </w:p>
        </w:tc>
        <w:tc>
          <w:tcPr>
            <w:tcW w:w="622" w:type="pct"/>
            <w:tcBorders>
              <w:top w:val="nil"/>
              <w:left w:val="single" w:sz="4" w:space="0" w:color="auto"/>
              <w:bottom w:val="nil"/>
              <w:right w:val="single" w:sz="4" w:space="0" w:color="auto"/>
            </w:tcBorders>
            <w:shd w:val="clear" w:color="auto" w:fill="auto"/>
            <w:hideMark/>
          </w:tcPr>
          <w:p w14:paraId="282DA8E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7AB51BF3"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3FE07B7D"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03071FFC" w14:textId="77777777" w:rsidR="00885FF8" w:rsidRPr="00872D7E" w:rsidRDefault="00885FF8" w:rsidP="00885FF8">
            <w:pPr>
              <w:rPr>
                <w:color w:val="000000"/>
                <w:sz w:val="14"/>
                <w:szCs w:val="14"/>
              </w:rPr>
            </w:pPr>
            <w:r w:rsidRPr="00872D7E">
              <w:rPr>
                <w:color w:val="000000"/>
                <w:sz w:val="14"/>
                <w:szCs w:val="14"/>
              </w:rPr>
              <w:t>19.2</w:t>
            </w:r>
          </w:p>
        </w:tc>
        <w:tc>
          <w:tcPr>
            <w:tcW w:w="3430" w:type="pct"/>
            <w:tcBorders>
              <w:top w:val="nil"/>
              <w:left w:val="nil"/>
              <w:bottom w:val="nil"/>
              <w:right w:val="nil"/>
            </w:tcBorders>
            <w:shd w:val="clear" w:color="auto" w:fill="auto"/>
            <w:hideMark/>
          </w:tcPr>
          <w:p w14:paraId="4362BC0C" w14:textId="77777777" w:rsidR="00885FF8" w:rsidRPr="00872D7E" w:rsidRDefault="00885FF8" w:rsidP="00885FF8">
            <w:pPr>
              <w:rPr>
                <w:color w:val="000000"/>
                <w:sz w:val="14"/>
                <w:szCs w:val="14"/>
              </w:rPr>
            </w:pPr>
            <w:r w:rsidRPr="00872D7E">
              <w:rPr>
                <w:color w:val="000000"/>
                <w:sz w:val="14"/>
                <w:szCs w:val="14"/>
              </w:rPr>
              <w:t>İştirak, Bağlı Ortaklık ve Birlikte Kontrol Edilen Ortaklıklar (İş Ort.) Satış Karları</w:t>
            </w:r>
          </w:p>
        </w:tc>
        <w:tc>
          <w:tcPr>
            <w:tcW w:w="622" w:type="pct"/>
            <w:tcBorders>
              <w:top w:val="nil"/>
              <w:left w:val="single" w:sz="4" w:space="0" w:color="auto"/>
              <w:bottom w:val="nil"/>
              <w:right w:val="single" w:sz="4" w:space="0" w:color="auto"/>
            </w:tcBorders>
            <w:shd w:val="clear" w:color="auto" w:fill="auto"/>
            <w:hideMark/>
          </w:tcPr>
          <w:p w14:paraId="3DD4E65D"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B964BA3"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2DDB7E29"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21EE4AFF" w14:textId="77777777" w:rsidR="00885FF8" w:rsidRPr="00872D7E" w:rsidRDefault="00885FF8" w:rsidP="00885FF8">
            <w:pPr>
              <w:rPr>
                <w:color w:val="000000"/>
                <w:sz w:val="14"/>
                <w:szCs w:val="14"/>
              </w:rPr>
            </w:pPr>
            <w:r w:rsidRPr="00872D7E">
              <w:rPr>
                <w:color w:val="000000"/>
                <w:sz w:val="14"/>
                <w:szCs w:val="14"/>
              </w:rPr>
              <w:t>19.3</w:t>
            </w:r>
          </w:p>
        </w:tc>
        <w:tc>
          <w:tcPr>
            <w:tcW w:w="3430" w:type="pct"/>
            <w:tcBorders>
              <w:top w:val="nil"/>
              <w:left w:val="nil"/>
              <w:bottom w:val="nil"/>
              <w:right w:val="nil"/>
            </w:tcBorders>
            <w:shd w:val="clear" w:color="auto" w:fill="auto"/>
            <w:hideMark/>
          </w:tcPr>
          <w:p w14:paraId="4DBFD148" w14:textId="77777777" w:rsidR="00885FF8" w:rsidRPr="00872D7E" w:rsidRDefault="00885FF8" w:rsidP="00885FF8">
            <w:pPr>
              <w:rPr>
                <w:color w:val="000000"/>
                <w:sz w:val="14"/>
                <w:szCs w:val="14"/>
              </w:rPr>
            </w:pPr>
            <w:r w:rsidRPr="00872D7E">
              <w:rPr>
                <w:color w:val="000000"/>
                <w:sz w:val="14"/>
                <w:szCs w:val="14"/>
              </w:rPr>
              <w:t>Diğer Durdurulan Faaliyet Gelirleri</w:t>
            </w:r>
          </w:p>
        </w:tc>
        <w:tc>
          <w:tcPr>
            <w:tcW w:w="622" w:type="pct"/>
            <w:tcBorders>
              <w:top w:val="nil"/>
              <w:left w:val="single" w:sz="4" w:space="0" w:color="auto"/>
              <w:bottom w:val="nil"/>
              <w:right w:val="single" w:sz="4" w:space="0" w:color="auto"/>
            </w:tcBorders>
            <w:shd w:val="clear" w:color="auto" w:fill="auto"/>
            <w:hideMark/>
          </w:tcPr>
          <w:p w14:paraId="52CC9D48"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0EBAC31A"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32018ACA"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5883A9D5" w14:textId="77777777" w:rsidR="00885FF8" w:rsidRPr="00872D7E" w:rsidRDefault="00885FF8" w:rsidP="00885FF8">
            <w:pPr>
              <w:rPr>
                <w:b/>
                <w:bCs/>
                <w:color w:val="000000"/>
                <w:sz w:val="14"/>
                <w:szCs w:val="14"/>
              </w:rPr>
            </w:pPr>
            <w:r w:rsidRPr="00872D7E">
              <w:rPr>
                <w:b/>
                <w:bCs/>
                <w:color w:val="000000"/>
                <w:sz w:val="14"/>
                <w:szCs w:val="14"/>
              </w:rPr>
              <w:t>XX.</w:t>
            </w:r>
          </w:p>
        </w:tc>
        <w:tc>
          <w:tcPr>
            <w:tcW w:w="3430" w:type="pct"/>
            <w:tcBorders>
              <w:top w:val="nil"/>
              <w:left w:val="nil"/>
              <w:bottom w:val="nil"/>
              <w:right w:val="nil"/>
            </w:tcBorders>
            <w:shd w:val="clear" w:color="auto" w:fill="auto"/>
            <w:hideMark/>
          </w:tcPr>
          <w:p w14:paraId="4E174065" w14:textId="77777777" w:rsidR="00885FF8" w:rsidRPr="00872D7E" w:rsidRDefault="00885FF8" w:rsidP="00885FF8">
            <w:pPr>
              <w:rPr>
                <w:b/>
                <w:bCs/>
                <w:color w:val="000000"/>
                <w:sz w:val="14"/>
                <w:szCs w:val="14"/>
              </w:rPr>
            </w:pPr>
            <w:r w:rsidRPr="00872D7E">
              <w:rPr>
                <w:b/>
                <w:bCs/>
                <w:color w:val="000000"/>
                <w:sz w:val="14"/>
                <w:szCs w:val="14"/>
              </w:rPr>
              <w:t>DURDURULAN FAALİYETLERDEN GİDERLER (-)</w:t>
            </w:r>
          </w:p>
        </w:tc>
        <w:tc>
          <w:tcPr>
            <w:tcW w:w="622" w:type="pct"/>
            <w:tcBorders>
              <w:top w:val="nil"/>
              <w:left w:val="single" w:sz="4" w:space="0" w:color="auto"/>
              <w:bottom w:val="nil"/>
              <w:right w:val="single" w:sz="4" w:space="0" w:color="auto"/>
            </w:tcBorders>
            <w:shd w:val="clear" w:color="auto" w:fill="auto"/>
            <w:hideMark/>
          </w:tcPr>
          <w:p w14:paraId="6D0E51BC"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59627A7A" w14:textId="77777777" w:rsidR="00885FF8" w:rsidRPr="00872D7E" w:rsidRDefault="00885FF8" w:rsidP="00885FF8">
            <w:pPr>
              <w:jc w:val="right"/>
              <w:rPr>
                <w:b/>
                <w:bCs/>
                <w:color w:val="000000"/>
                <w:sz w:val="14"/>
                <w:szCs w:val="14"/>
              </w:rPr>
            </w:pPr>
            <w:r w:rsidRPr="00872D7E">
              <w:rPr>
                <w:b/>
                <w:bCs/>
                <w:color w:val="000000"/>
                <w:sz w:val="14"/>
                <w:szCs w:val="14"/>
              </w:rPr>
              <w:t>-</w:t>
            </w:r>
          </w:p>
        </w:tc>
      </w:tr>
      <w:tr w:rsidR="00885FF8" w:rsidRPr="00872D7E" w14:paraId="01AB6FE2"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00363384" w14:textId="77777777" w:rsidR="00885FF8" w:rsidRPr="00872D7E" w:rsidRDefault="00885FF8" w:rsidP="00885FF8">
            <w:pPr>
              <w:rPr>
                <w:color w:val="000000"/>
                <w:sz w:val="14"/>
                <w:szCs w:val="14"/>
              </w:rPr>
            </w:pPr>
            <w:r w:rsidRPr="00872D7E">
              <w:rPr>
                <w:color w:val="000000"/>
                <w:sz w:val="14"/>
                <w:szCs w:val="14"/>
              </w:rPr>
              <w:t>20.1</w:t>
            </w:r>
          </w:p>
        </w:tc>
        <w:tc>
          <w:tcPr>
            <w:tcW w:w="3430" w:type="pct"/>
            <w:tcBorders>
              <w:top w:val="nil"/>
              <w:left w:val="nil"/>
              <w:bottom w:val="nil"/>
              <w:right w:val="nil"/>
            </w:tcBorders>
            <w:shd w:val="clear" w:color="auto" w:fill="auto"/>
            <w:hideMark/>
          </w:tcPr>
          <w:p w14:paraId="3A62F10C" w14:textId="77777777" w:rsidR="00885FF8" w:rsidRPr="00872D7E" w:rsidRDefault="00885FF8" w:rsidP="00885FF8">
            <w:pPr>
              <w:rPr>
                <w:color w:val="000000"/>
                <w:sz w:val="14"/>
                <w:szCs w:val="14"/>
              </w:rPr>
            </w:pPr>
            <w:r w:rsidRPr="00872D7E">
              <w:rPr>
                <w:color w:val="000000"/>
                <w:sz w:val="14"/>
                <w:szCs w:val="14"/>
              </w:rPr>
              <w:t>Satış Amaçlı Elde Tutulan Duran Varlık Giderleri</w:t>
            </w:r>
          </w:p>
        </w:tc>
        <w:tc>
          <w:tcPr>
            <w:tcW w:w="622" w:type="pct"/>
            <w:tcBorders>
              <w:top w:val="nil"/>
              <w:left w:val="single" w:sz="4" w:space="0" w:color="auto"/>
              <w:bottom w:val="nil"/>
              <w:right w:val="single" w:sz="4" w:space="0" w:color="auto"/>
            </w:tcBorders>
            <w:shd w:val="clear" w:color="auto" w:fill="auto"/>
            <w:hideMark/>
          </w:tcPr>
          <w:p w14:paraId="00C625A4"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4C9EC2FE"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4A8BAC0E"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28EFD55E" w14:textId="77777777" w:rsidR="00885FF8" w:rsidRPr="00872D7E" w:rsidRDefault="00885FF8" w:rsidP="00885FF8">
            <w:pPr>
              <w:rPr>
                <w:color w:val="000000"/>
                <w:sz w:val="14"/>
                <w:szCs w:val="14"/>
              </w:rPr>
            </w:pPr>
            <w:r w:rsidRPr="00872D7E">
              <w:rPr>
                <w:color w:val="000000"/>
                <w:sz w:val="14"/>
                <w:szCs w:val="14"/>
              </w:rPr>
              <w:t>20.2</w:t>
            </w:r>
          </w:p>
        </w:tc>
        <w:tc>
          <w:tcPr>
            <w:tcW w:w="3430" w:type="pct"/>
            <w:tcBorders>
              <w:top w:val="nil"/>
              <w:left w:val="nil"/>
              <w:bottom w:val="nil"/>
              <w:right w:val="nil"/>
            </w:tcBorders>
            <w:shd w:val="clear" w:color="auto" w:fill="auto"/>
            <w:hideMark/>
          </w:tcPr>
          <w:p w14:paraId="13D94DB2" w14:textId="77777777" w:rsidR="00885FF8" w:rsidRPr="00872D7E" w:rsidRDefault="00885FF8" w:rsidP="00885FF8">
            <w:pPr>
              <w:rPr>
                <w:color w:val="000000"/>
                <w:sz w:val="14"/>
                <w:szCs w:val="14"/>
              </w:rPr>
            </w:pPr>
            <w:r w:rsidRPr="00872D7E">
              <w:rPr>
                <w:color w:val="000000"/>
                <w:sz w:val="14"/>
                <w:szCs w:val="14"/>
              </w:rPr>
              <w:t>İştirak, Bağlı Ortaklık ve Birlikte Kontrol Edilen Ortaklıklar (İş Ort.) Satış Zararları</w:t>
            </w:r>
          </w:p>
        </w:tc>
        <w:tc>
          <w:tcPr>
            <w:tcW w:w="622" w:type="pct"/>
            <w:tcBorders>
              <w:top w:val="nil"/>
              <w:left w:val="single" w:sz="4" w:space="0" w:color="auto"/>
              <w:bottom w:val="nil"/>
              <w:right w:val="single" w:sz="4" w:space="0" w:color="auto"/>
            </w:tcBorders>
            <w:shd w:val="clear" w:color="auto" w:fill="auto"/>
            <w:hideMark/>
          </w:tcPr>
          <w:p w14:paraId="12866847"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495B31A0"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531C75B7"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B546242" w14:textId="77777777" w:rsidR="00885FF8" w:rsidRPr="00872D7E" w:rsidRDefault="00885FF8" w:rsidP="00885FF8">
            <w:pPr>
              <w:rPr>
                <w:color w:val="000000"/>
                <w:sz w:val="14"/>
                <w:szCs w:val="14"/>
              </w:rPr>
            </w:pPr>
            <w:r w:rsidRPr="00872D7E">
              <w:rPr>
                <w:color w:val="000000"/>
                <w:sz w:val="14"/>
                <w:szCs w:val="14"/>
              </w:rPr>
              <w:t>20.3</w:t>
            </w:r>
          </w:p>
        </w:tc>
        <w:tc>
          <w:tcPr>
            <w:tcW w:w="3430" w:type="pct"/>
            <w:tcBorders>
              <w:top w:val="nil"/>
              <w:left w:val="nil"/>
              <w:bottom w:val="nil"/>
              <w:right w:val="nil"/>
            </w:tcBorders>
            <w:shd w:val="clear" w:color="auto" w:fill="auto"/>
            <w:hideMark/>
          </w:tcPr>
          <w:p w14:paraId="1F4A81A1" w14:textId="77777777" w:rsidR="00885FF8" w:rsidRPr="00872D7E" w:rsidRDefault="00885FF8" w:rsidP="00885FF8">
            <w:pPr>
              <w:rPr>
                <w:color w:val="000000"/>
                <w:sz w:val="14"/>
                <w:szCs w:val="14"/>
              </w:rPr>
            </w:pPr>
            <w:r w:rsidRPr="00872D7E">
              <w:rPr>
                <w:color w:val="000000"/>
                <w:sz w:val="14"/>
                <w:szCs w:val="14"/>
              </w:rPr>
              <w:t>Diğer Durdurulan Faaliyet Giderleri</w:t>
            </w:r>
          </w:p>
        </w:tc>
        <w:tc>
          <w:tcPr>
            <w:tcW w:w="622" w:type="pct"/>
            <w:tcBorders>
              <w:top w:val="nil"/>
              <w:left w:val="single" w:sz="4" w:space="0" w:color="auto"/>
              <w:bottom w:val="nil"/>
              <w:right w:val="single" w:sz="4" w:space="0" w:color="auto"/>
            </w:tcBorders>
            <w:shd w:val="clear" w:color="auto" w:fill="auto"/>
            <w:hideMark/>
          </w:tcPr>
          <w:p w14:paraId="085BB683"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41757BD5"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1219E6FB"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05DCD76F" w14:textId="77777777" w:rsidR="00885FF8" w:rsidRPr="00872D7E" w:rsidRDefault="00885FF8" w:rsidP="00885FF8">
            <w:pPr>
              <w:rPr>
                <w:b/>
                <w:bCs/>
                <w:color w:val="000000"/>
                <w:sz w:val="14"/>
                <w:szCs w:val="14"/>
              </w:rPr>
            </w:pPr>
            <w:r w:rsidRPr="00872D7E">
              <w:rPr>
                <w:b/>
                <w:bCs/>
                <w:color w:val="000000"/>
                <w:sz w:val="14"/>
                <w:szCs w:val="14"/>
              </w:rPr>
              <w:t>XXI.</w:t>
            </w:r>
          </w:p>
        </w:tc>
        <w:tc>
          <w:tcPr>
            <w:tcW w:w="3430" w:type="pct"/>
            <w:tcBorders>
              <w:top w:val="nil"/>
              <w:left w:val="nil"/>
              <w:bottom w:val="nil"/>
              <w:right w:val="nil"/>
            </w:tcBorders>
            <w:shd w:val="clear" w:color="auto" w:fill="auto"/>
            <w:hideMark/>
          </w:tcPr>
          <w:p w14:paraId="04416AA9" w14:textId="77777777" w:rsidR="00885FF8" w:rsidRPr="00872D7E" w:rsidRDefault="00885FF8" w:rsidP="00885FF8">
            <w:pPr>
              <w:rPr>
                <w:b/>
                <w:bCs/>
                <w:color w:val="000000"/>
                <w:sz w:val="14"/>
                <w:szCs w:val="14"/>
              </w:rPr>
            </w:pPr>
            <w:r w:rsidRPr="00872D7E">
              <w:rPr>
                <w:b/>
                <w:bCs/>
                <w:color w:val="000000"/>
                <w:sz w:val="14"/>
                <w:szCs w:val="14"/>
              </w:rPr>
              <w:t>DURDURULAN FAALİYETLER VERGİ ÖNCESİ K/Z (XX-XXI)</w:t>
            </w:r>
          </w:p>
        </w:tc>
        <w:tc>
          <w:tcPr>
            <w:tcW w:w="622" w:type="pct"/>
            <w:tcBorders>
              <w:top w:val="nil"/>
              <w:left w:val="single" w:sz="4" w:space="0" w:color="auto"/>
              <w:bottom w:val="nil"/>
              <w:right w:val="single" w:sz="4" w:space="0" w:color="auto"/>
            </w:tcBorders>
            <w:shd w:val="clear" w:color="auto" w:fill="auto"/>
            <w:hideMark/>
          </w:tcPr>
          <w:p w14:paraId="5CA584BF"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54E28BCC" w14:textId="77777777" w:rsidR="00885FF8" w:rsidRPr="00872D7E" w:rsidRDefault="00885FF8" w:rsidP="00885FF8">
            <w:pPr>
              <w:jc w:val="right"/>
              <w:rPr>
                <w:b/>
                <w:bCs/>
                <w:color w:val="000000"/>
                <w:sz w:val="14"/>
                <w:szCs w:val="14"/>
              </w:rPr>
            </w:pPr>
            <w:r w:rsidRPr="00872D7E">
              <w:rPr>
                <w:b/>
                <w:bCs/>
                <w:color w:val="000000"/>
                <w:sz w:val="14"/>
                <w:szCs w:val="14"/>
              </w:rPr>
              <w:t>-</w:t>
            </w:r>
          </w:p>
        </w:tc>
      </w:tr>
      <w:tr w:rsidR="00885FF8" w:rsidRPr="00872D7E" w14:paraId="0EE311EE"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06BEE4CF" w14:textId="77777777" w:rsidR="00885FF8" w:rsidRPr="00872D7E" w:rsidRDefault="00885FF8" w:rsidP="00885FF8">
            <w:pPr>
              <w:rPr>
                <w:b/>
                <w:bCs/>
                <w:color w:val="000000"/>
                <w:sz w:val="14"/>
                <w:szCs w:val="14"/>
              </w:rPr>
            </w:pPr>
            <w:r w:rsidRPr="00872D7E">
              <w:rPr>
                <w:b/>
                <w:bCs/>
                <w:color w:val="000000"/>
                <w:sz w:val="14"/>
                <w:szCs w:val="14"/>
              </w:rPr>
              <w:t>XXII.</w:t>
            </w:r>
          </w:p>
        </w:tc>
        <w:tc>
          <w:tcPr>
            <w:tcW w:w="3430" w:type="pct"/>
            <w:tcBorders>
              <w:top w:val="nil"/>
              <w:left w:val="nil"/>
              <w:bottom w:val="nil"/>
              <w:right w:val="nil"/>
            </w:tcBorders>
            <w:shd w:val="clear" w:color="auto" w:fill="auto"/>
            <w:hideMark/>
          </w:tcPr>
          <w:p w14:paraId="645C8076" w14:textId="77777777" w:rsidR="00885FF8" w:rsidRPr="00872D7E" w:rsidRDefault="00885FF8" w:rsidP="00885FF8">
            <w:pPr>
              <w:rPr>
                <w:b/>
                <w:bCs/>
                <w:color w:val="000000"/>
                <w:sz w:val="14"/>
                <w:szCs w:val="14"/>
              </w:rPr>
            </w:pPr>
            <w:r w:rsidRPr="00872D7E">
              <w:rPr>
                <w:b/>
                <w:bCs/>
                <w:color w:val="000000"/>
                <w:sz w:val="14"/>
                <w:szCs w:val="14"/>
              </w:rPr>
              <w:t>DURDURULAN FAALİYETLER VERGİ KARŞILIĞI (±)</w:t>
            </w:r>
          </w:p>
        </w:tc>
        <w:tc>
          <w:tcPr>
            <w:tcW w:w="622" w:type="pct"/>
            <w:tcBorders>
              <w:top w:val="nil"/>
              <w:left w:val="single" w:sz="4" w:space="0" w:color="auto"/>
              <w:bottom w:val="nil"/>
              <w:right w:val="single" w:sz="4" w:space="0" w:color="auto"/>
            </w:tcBorders>
            <w:shd w:val="clear" w:color="auto" w:fill="auto"/>
            <w:hideMark/>
          </w:tcPr>
          <w:p w14:paraId="4BB90F99"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5984D88" w14:textId="77777777" w:rsidR="00885FF8" w:rsidRPr="00872D7E" w:rsidRDefault="00885FF8" w:rsidP="00885FF8">
            <w:pPr>
              <w:jc w:val="right"/>
              <w:rPr>
                <w:b/>
                <w:bCs/>
                <w:color w:val="000000"/>
                <w:sz w:val="14"/>
                <w:szCs w:val="14"/>
              </w:rPr>
            </w:pPr>
            <w:r w:rsidRPr="00872D7E">
              <w:rPr>
                <w:b/>
                <w:bCs/>
                <w:color w:val="000000"/>
                <w:sz w:val="14"/>
                <w:szCs w:val="14"/>
              </w:rPr>
              <w:t>-</w:t>
            </w:r>
          </w:p>
        </w:tc>
      </w:tr>
      <w:tr w:rsidR="00885FF8" w:rsidRPr="00872D7E" w14:paraId="7AEFE42D"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3833A1CA" w14:textId="77777777" w:rsidR="00885FF8" w:rsidRPr="00872D7E" w:rsidRDefault="00885FF8" w:rsidP="00885FF8">
            <w:pPr>
              <w:rPr>
                <w:color w:val="000000"/>
                <w:sz w:val="14"/>
                <w:szCs w:val="14"/>
              </w:rPr>
            </w:pPr>
            <w:r w:rsidRPr="00872D7E">
              <w:rPr>
                <w:color w:val="000000"/>
                <w:sz w:val="14"/>
                <w:szCs w:val="14"/>
              </w:rPr>
              <w:t>22.1</w:t>
            </w:r>
          </w:p>
        </w:tc>
        <w:tc>
          <w:tcPr>
            <w:tcW w:w="3430" w:type="pct"/>
            <w:tcBorders>
              <w:top w:val="nil"/>
              <w:left w:val="nil"/>
              <w:bottom w:val="nil"/>
              <w:right w:val="nil"/>
            </w:tcBorders>
            <w:shd w:val="clear" w:color="auto" w:fill="auto"/>
            <w:hideMark/>
          </w:tcPr>
          <w:p w14:paraId="2FD2A36B" w14:textId="77777777" w:rsidR="00885FF8" w:rsidRPr="00872D7E" w:rsidRDefault="00885FF8" w:rsidP="00885FF8">
            <w:pPr>
              <w:rPr>
                <w:color w:val="000000"/>
                <w:sz w:val="14"/>
                <w:szCs w:val="14"/>
              </w:rPr>
            </w:pPr>
            <w:r w:rsidRPr="00872D7E">
              <w:rPr>
                <w:color w:val="000000"/>
                <w:sz w:val="14"/>
                <w:szCs w:val="14"/>
              </w:rPr>
              <w:t>Cari Vergi Karşılığı</w:t>
            </w:r>
          </w:p>
        </w:tc>
        <w:tc>
          <w:tcPr>
            <w:tcW w:w="622" w:type="pct"/>
            <w:tcBorders>
              <w:top w:val="nil"/>
              <w:left w:val="single" w:sz="4" w:space="0" w:color="auto"/>
              <w:bottom w:val="nil"/>
              <w:right w:val="single" w:sz="4" w:space="0" w:color="auto"/>
            </w:tcBorders>
            <w:shd w:val="clear" w:color="auto" w:fill="auto"/>
            <w:hideMark/>
          </w:tcPr>
          <w:p w14:paraId="3ED3FBF7"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65760021"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12429912"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60118BA8" w14:textId="77777777" w:rsidR="00885FF8" w:rsidRPr="00872D7E" w:rsidRDefault="00885FF8" w:rsidP="00885FF8">
            <w:pPr>
              <w:rPr>
                <w:color w:val="000000"/>
                <w:sz w:val="14"/>
                <w:szCs w:val="14"/>
              </w:rPr>
            </w:pPr>
            <w:r w:rsidRPr="00872D7E">
              <w:rPr>
                <w:color w:val="000000"/>
                <w:sz w:val="14"/>
                <w:szCs w:val="14"/>
              </w:rPr>
              <w:t>22.2</w:t>
            </w:r>
          </w:p>
        </w:tc>
        <w:tc>
          <w:tcPr>
            <w:tcW w:w="3430" w:type="pct"/>
            <w:tcBorders>
              <w:top w:val="nil"/>
              <w:left w:val="nil"/>
              <w:bottom w:val="nil"/>
              <w:right w:val="nil"/>
            </w:tcBorders>
            <w:shd w:val="clear" w:color="auto" w:fill="auto"/>
            <w:hideMark/>
          </w:tcPr>
          <w:p w14:paraId="1C2788DF" w14:textId="77777777" w:rsidR="00885FF8" w:rsidRPr="00872D7E" w:rsidRDefault="00885FF8" w:rsidP="00885FF8">
            <w:pPr>
              <w:rPr>
                <w:color w:val="000000"/>
                <w:sz w:val="14"/>
                <w:szCs w:val="14"/>
              </w:rPr>
            </w:pPr>
            <w:r w:rsidRPr="00872D7E">
              <w:rPr>
                <w:color w:val="000000"/>
                <w:sz w:val="14"/>
                <w:szCs w:val="14"/>
              </w:rPr>
              <w:t>Ertelenmiş Vergi Gider Etkisi (+)</w:t>
            </w:r>
          </w:p>
        </w:tc>
        <w:tc>
          <w:tcPr>
            <w:tcW w:w="622" w:type="pct"/>
            <w:tcBorders>
              <w:top w:val="nil"/>
              <w:left w:val="single" w:sz="4" w:space="0" w:color="auto"/>
              <w:bottom w:val="nil"/>
              <w:right w:val="single" w:sz="4" w:space="0" w:color="auto"/>
            </w:tcBorders>
            <w:shd w:val="clear" w:color="auto" w:fill="auto"/>
            <w:hideMark/>
          </w:tcPr>
          <w:p w14:paraId="33BA8883"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1613D798"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55E50595"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1FF6F985" w14:textId="77777777" w:rsidR="00885FF8" w:rsidRPr="00872D7E" w:rsidRDefault="00885FF8" w:rsidP="00885FF8">
            <w:pPr>
              <w:rPr>
                <w:color w:val="000000"/>
                <w:sz w:val="14"/>
                <w:szCs w:val="14"/>
              </w:rPr>
            </w:pPr>
            <w:r w:rsidRPr="00872D7E">
              <w:rPr>
                <w:color w:val="000000"/>
                <w:sz w:val="14"/>
                <w:szCs w:val="14"/>
              </w:rPr>
              <w:t>22.3</w:t>
            </w:r>
          </w:p>
        </w:tc>
        <w:tc>
          <w:tcPr>
            <w:tcW w:w="3430" w:type="pct"/>
            <w:tcBorders>
              <w:top w:val="nil"/>
              <w:left w:val="nil"/>
              <w:bottom w:val="nil"/>
              <w:right w:val="nil"/>
            </w:tcBorders>
            <w:shd w:val="clear" w:color="auto" w:fill="auto"/>
            <w:hideMark/>
          </w:tcPr>
          <w:p w14:paraId="60CF1CB6" w14:textId="77777777" w:rsidR="00885FF8" w:rsidRPr="00872D7E" w:rsidRDefault="00885FF8" w:rsidP="00885FF8">
            <w:pPr>
              <w:rPr>
                <w:color w:val="000000"/>
                <w:sz w:val="14"/>
                <w:szCs w:val="14"/>
              </w:rPr>
            </w:pPr>
            <w:r w:rsidRPr="00872D7E">
              <w:rPr>
                <w:color w:val="000000"/>
                <w:sz w:val="14"/>
                <w:szCs w:val="14"/>
              </w:rPr>
              <w:t>Ertelenmiş Vergi Gelir Etkisi (-)</w:t>
            </w:r>
          </w:p>
        </w:tc>
        <w:tc>
          <w:tcPr>
            <w:tcW w:w="622" w:type="pct"/>
            <w:tcBorders>
              <w:top w:val="nil"/>
              <w:left w:val="single" w:sz="4" w:space="0" w:color="auto"/>
              <w:bottom w:val="nil"/>
              <w:right w:val="single" w:sz="4" w:space="0" w:color="auto"/>
            </w:tcBorders>
            <w:shd w:val="clear" w:color="auto" w:fill="auto"/>
            <w:hideMark/>
          </w:tcPr>
          <w:p w14:paraId="048D513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3C70FEA0" w14:textId="77777777" w:rsidR="00885FF8" w:rsidRPr="00872D7E" w:rsidRDefault="00885FF8" w:rsidP="00885FF8">
            <w:pPr>
              <w:jc w:val="right"/>
              <w:rPr>
                <w:color w:val="000000"/>
                <w:sz w:val="14"/>
                <w:szCs w:val="14"/>
              </w:rPr>
            </w:pPr>
            <w:r w:rsidRPr="00872D7E">
              <w:rPr>
                <w:color w:val="000000"/>
                <w:sz w:val="14"/>
                <w:szCs w:val="14"/>
              </w:rPr>
              <w:t>-</w:t>
            </w:r>
          </w:p>
        </w:tc>
      </w:tr>
      <w:tr w:rsidR="00885FF8" w:rsidRPr="00872D7E" w14:paraId="11C14C33"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4E140D94" w14:textId="77777777" w:rsidR="00885FF8" w:rsidRPr="00872D7E" w:rsidRDefault="00885FF8" w:rsidP="00885FF8">
            <w:pPr>
              <w:rPr>
                <w:b/>
                <w:bCs/>
                <w:color w:val="000000"/>
                <w:sz w:val="14"/>
                <w:szCs w:val="14"/>
              </w:rPr>
            </w:pPr>
            <w:r w:rsidRPr="00872D7E">
              <w:rPr>
                <w:b/>
                <w:bCs/>
                <w:color w:val="000000"/>
                <w:sz w:val="14"/>
                <w:szCs w:val="14"/>
              </w:rPr>
              <w:t>XXIII.</w:t>
            </w:r>
          </w:p>
        </w:tc>
        <w:tc>
          <w:tcPr>
            <w:tcW w:w="3430" w:type="pct"/>
            <w:tcBorders>
              <w:top w:val="nil"/>
              <w:left w:val="nil"/>
              <w:bottom w:val="nil"/>
              <w:right w:val="nil"/>
            </w:tcBorders>
            <w:shd w:val="clear" w:color="auto" w:fill="auto"/>
            <w:hideMark/>
          </w:tcPr>
          <w:p w14:paraId="7259C88B" w14:textId="77777777" w:rsidR="00885FF8" w:rsidRPr="00872D7E" w:rsidRDefault="00885FF8" w:rsidP="00885FF8">
            <w:pPr>
              <w:rPr>
                <w:b/>
                <w:bCs/>
                <w:color w:val="000000"/>
                <w:sz w:val="14"/>
                <w:szCs w:val="14"/>
              </w:rPr>
            </w:pPr>
            <w:r w:rsidRPr="00872D7E">
              <w:rPr>
                <w:b/>
                <w:bCs/>
                <w:color w:val="000000"/>
                <w:sz w:val="14"/>
                <w:szCs w:val="14"/>
              </w:rPr>
              <w:t>DURDURULAN FAALİYETLER DÖNEM NET K/Z (XXII±XXIII)</w:t>
            </w:r>
          </w:p>
        </w:tc>
        <w:tc>
          <w:tcPr>
            <w:tcW w:w="622" w:type="pct"/>
            <w:tcBorders>
              <w:top w:val="nil"/>
              <w:left w:val="single" w:sz="4" w:space="0" w:color="auto"/>
              <w:bottom w:val="nil"/>
              <w:right w:val="single" w:sz="4" w:space="0" w:color="auto"/>
            </w:tcBorders>
            <w:shd w:val="clear" w:color="auto" w:fill="auto"/>
            <w:hideMark/>
          </w:tcPr>
          <w:p w14:paraId="796F7E4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454C0DFC" w14:textId="77777777" w:rsidR="00885FF8" w:rsidRPr="00872D7E" w:rsidRDefault="00885FF8" w:rsidP="00885FF8">
            <w:pPr>
              <w:jc w:val="right"/>
              <w:rPr>
                <w:b/>
                <w:bCs/>
                <w:color w:val="000000"/>
                <w:sz w:val="14"/>
                <w:szCs w:val="14"/>
              </w:rPr>
            </w:pPr>
            <w:r w:rsidRPr="00872D7E">
              <w:rPr>
                <w:b/>
                <w:bCs/>
                <w:color w:val="000000"/>
                <w:sz w:val="14"/>
                <w:szCs w:val="14"/>
              </w:rPr>
              <w:t>-</w:t>
            </w:r>
          </w:p>
        </w:tc>
      </w:tr>
      <w:tr w:rsidR="00885FF8" w:rsidRPr="00872D7E" w14:paraId="2CC01762" w14:textId="77777777" w:rsidTr="00D3610B">
        <w:trPr>
          <w:divId w:val="2145350834"/>
          <w:trHeight w:val="20"/>
        </w:trPr>
        <w:tc>
          <w:tcPr>
            <w:tcW w:w="326" w:type="pct"/>
            <w:tcBorders>
              <w:top w:val="nil"/>
              <w:left w:val="single" w:sz="4" w:space="0" w:color="auto"/>
              <w:bottom w:val="nil"/>
              <w:right w:val="nil"/>
            </w:tcBorders>
            <w:shd w:val="clear" w:color="auto" w:fill="auto"/>
            <w:noWrap/>
            <w:hideMark/>
          </w:tcPr>
          <w:p w14:paraId="3F94F73A" w14:textId="77777777" w:rsidR="00885FF8" w:rsidRPr="00872D7E" w:rsidRDefault="00885FF8" w:rsidP="00885FF8">
            <w:pPr>
              <w:rPr>
                <w:b/>
                <w:bCs/>
                <w:color w:val="000000"/>
                <w:sz w:val="14"/>
                <w:szCs w:val="14"/>
              </w:rPr>
            </w:pPr>
            <w:r w:rsidRPr="00872D7E">
              <w:rPr>
                <w:b/>
                <w:bCs/>
                <w:color w:val="000000"/>
                <w:sz w:val="14"/>
                <w:szCs w:val="14"/>
              </w:rPr>
              <w:t>XXIV.</w:t>
            </w:r>
          </w:p>
        </w:tc>
        <w:tc>
          <w:tcPr>
            <w:tcW w:w="3430" w:type="pct"/>
            <w:tcBorders>
              <w:top w:val="nil"/>
              <w:left w:val="nil"/>
              <w:bottom w:val="nil"/>
              <w:right w:val="nil"/>
            </w:tcBorders>
            <w:shd w:val="clear" w:color="auto" w:fill="auto"/>
            <w:hideMark/>
          </w:tcPr>
          <w:p w14:paraId="50DD3679" w14:textId="77777777" w:rsidR="00885FF8" w:rsidRPr="00872D7E" w:rsidRDefault="00885FF8" w:rsidP="00885FF8">
            <w:pPr>
              <w:rPr>
                <w:b/>
                <w:bCs/>
                <w:color w:val="000000"/>
                <w:sz w:val="14"/>
                <w:szCs w:val="14"/>
              </w:rPr>
            </w:pPr>
            <w:r w:rsidRPr="00872D7E">
              <w:rPr>
                <w:b/>
                <w:bCs/>
                <w:color w:val="000000"/>
                <w:sz w:val="14"/>
                <w:szCs w:val="14"/>
              </w:rPr>
              <w:t>DÖNEM NET KARI/ZARARI (XIX+XXIV)</w:t>
            </w:r>
          </w:p>
        </w:tc>
        <w:tc>
          <w:tcPr>
            <w:tcW w:w="622" w:type="pct"/>
            <w:tcBorders>
              <w:top w:val="nil"/>
              <w:left w:val="single" w:sz="4" w:space="0" w:color="auto"/>
              <w:bottom w:val="nil"/>
              <w:right w:val="single" w:sz="4" w:space="0" w:color="auto"/>
            </w:tcBorders>
            <w:shd w:val="clear" w:color="auto" w:fill="auto"/>
            <w:hideMark/>
          </w:tcPr>
          <w:p w14:paraId="517FA7F5"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nil"/>
              <w:right w:val="single" w:sz="4" w:space="0" w:color="auto"/>
            </w:tcBorders>
            <w:shd w:val="clear" w:color="auto" w:fill="auto"/>
            <w:vAlign w:val="center"/>
            <w:hideMark/>
          </w:tcPr>
          <w:p w14:paraId="295B4057" w14:textId="77777777" w:rsidR="00885FF8" w:rsidRPr="00872D7E" w:rsidRDefault="00885FF8" w:rsidP="00885FF8">
            <w:pPr>
              <w:jc w:val="right"/>
              <w:rPr>
                <w:b/>
                <w:bCs/>
                <w:color w:val="000000"/>
                <w:sz w:val="14"/>
                <w:szCs w:val="14"/>
              </w:rPr>
            </w:pPr>
            <w:r w:rsidRPr="00872D7E">
              <w:rPr>
                <w:b/>
                <w:bCs/>
                <w:color w:val="000000"/>
                <w:sz w:val="14"/>
                <w:szCs w:val="14"/>
              </w:rPr>
              <w:t>1.353.642</w:t>
            </w:r>
          </w:p>
        </w:tc>
      </w:tr>
      <w:tr w:rsidR="00885FF8" w:rsidRPr="00872D7E" w14:paraId="6670699B" w14:textId="77777777" w:rsidTr="00D3610B">
        <w:trPr>
          <w:divId w:val="2145350834"/>
          <w:trHeight w:val="20"/>
        </w:trPr>
        <w:tc>
          <w:tcPr>
            <w:tcW w:w="326" w:type="pct"/>
            <w:tcBorders>
              <w:top w:val="nil"/>
              <w:left w:val="single" w:sz="4" w:space="0" w:color="auto"/>
              <w:bottom w:val="single" w:sz="4" w:space="0" w:color="auto"/>
              <w:right w:val="nil"/>
            </w:tcBorders>
            <w:shd w:val="clear" w:color="auto" w:fill="auto"/>
            <w:noWrap/>
            <w:hideMark/>
          </w:tcPr>
          <w:p w14:paraId="604DD2E8" w14:textId="77777777" w:rsidR="00885FF8" w:rsidRPr="00872D7E" w:rsidRDefault="00885FF8" w:rsidP="00885FF8">
            <w:pPr>
              <w:rPr>
                <w:color w:val="000000"/>
                <w:sz w:val="14"/>
                <w:szCs w:val="14"/>
              </w:rPr>
            </w:pPr>
            <w:r w:rsidRPr="00872D7E">
              <w:rPr>
                <w:color w:val="000000"/>
                <w:sz w:val="14"/>
                <w:szCs w:val="14"/>
              </w:rPr>
              <w:t> </w:t>
            </w:r>
          </w:p>
        </w:tc>
        <w:tc>
          <w:tcPr>
            <w:tcW w:w="3430" w:type="pct"/>
            <w:tcBorders>
              <w:top w:val="nil"/>
              <w:left w:val="nil"/>
              <w:bottom w:val="single" w:sz="4" w:space="0" w:color="auto"/>
              <w:right w:val="nil"/>
            </w:tcBorders>
            <w:shd w:val="clear" w:color="auto" w:fill="auto"/>
            <w:hideMark/>
          </w:tcPr>
          <w:p w14:paraId="24A0F2FD" w14:textId="77777777" w:rsidR="00885FF8" w:rsidRPr="00872D7E" w:rsidRDefault="00885FF8" w:rsidP="00885FF8">
            <w:pPr>
              <w:rPr>
                <w:color w:val="000000"/>
                <w:sz w:val="14"/>
                <w:szCs w:val="14"/>
              </w:rPr>
            </w:pPr>
            <w:r w:rsidRPr="00872D7E">
              <w:rPr>
                <w:color w:val="000000"/>
                <w:sz w:val="14"/>
                <w:szCs w:val="14"/>
              </w:rPr>
              <w:t>Hisse Başına Kâr/Zarar</w:t>
            </w:r>
          </w:p>
        </w:tc>
        <w:tc>
          <w:tcPr>
            <w:tcW w:w="622" w:type="pct"/>
            <w:tcBorders>
              <w:top w:val="nil"/>
              <w:left w:val="single" w:sz="4" w:space="0" w:color="auto"/>
              <w:bottom w:val="single" w:sz="4" w:space="0" w:color="auto"/>
              <w:right w:val="single" w:sz="4" w:space="0" w:color="auto"/>
            </w:tcBorders>
            <w:shd w:val="clear" w:color="auto" w:fill="auto"/>
            <w:hideMark/>
          </w:tcPr>
          <w:p w14:paraId="4D968C2E" w14:textId="77777777" w:rsidR="00885FF8" w:rsidRPr="00872D7E" w:rsidRDefault="00885FF8" w:rsidP="00885FF8">
            <w:pPr>
              <w:jc w:val="center"/>
              <w:rPr>
                <w:color w:val="000000"/>
                <w:sz w:val="14"/>
                <w:szCs w:val="14"/>
              </w:rPr>
            </w:pPr>
            <w:r w:rsidRPr="00872D7E">
              <w:rPr>
                <w:color w:val="000000"/>
                <w:sz w:val="14"/>
                <w:szCs w:val="14"/>
              </w:rPr>
              <w:t> </w:t>
            </w:r>
          </w:p>
        </w:tc>
        <w:tc>
          <w:tcPr>
            <w:tcW w:w="622" w:type="pct"/>
            <w:tcBorders>
              <w:top w:val="nil"/>
              <w:left w:val="nil"/>
              <w:bottom w:val="single" w:sz="4" w:space="0" w:color="auto"/>
              <w:right w:val="single" w:sz="4" w:space="0" w:color="auto"/>
            </w:tcBorders>
            <w:shd w:val="clear" w:color="auto" w:fill="auto"/>
            <w:vAlign w:val="center"/>
            <w:hideMark/>
          </w:tcPr>
          <w:p w14:paraId="238CAA5D" w14:textId="77777777" w:rsidR="00885FF8" w:rsidRPr="00872D7E" w:rsidRDefault="00885FF8" w:rsidP="00885FF8">
            <w:pPr>
              <w:jc w:val="right"/>
              <w:rPr>
                <w:color w:val="000000"/>
                <w:sz w:val="14"/>
                <w:szCs w:val="14"/>
              </w:rPr>
            </w:pPr>
            <w:r w:rsidRPr="00872D7E">
              <w:rPr>
                <w:color w:val="000000"/>
                <w:sz w:val="14"/>
                <w:szCs w:val="14"/>
              </w:rPr>
              <w:t>0,03032</w:t>
            </w:r>
          </w:p>
        </w:tc>
      </w:tr>
    </w:tbl>
    <w:p w14:paraId="520C46CD" w14:textId="52F936D8" w:rsidR="003E61C4" w:rsidRPr="00872D7E" w:rsidRDefault="003E61C4" w:rsidP="009F6E11">
      <w:pPr>
        <w:widowControl w:val="0"/>
        <w:jc w:val="center"/>
        <w:rPr>
          <w:szCs w:val="20"/>
        </w:rPr>
      </w:pPr>
    </w:p>
    <w:p w14:paraId="28AA262F" w14:textId="2A40477F" w:rsidR="0097685D" w:rsidRPr="00872D7E" w:rsidRDefault="0097685D" w:rsidP="00D3610B">
      <w:pPr>
        <w:widowControl w:val="0"/>
        <w:ind w:left="567" w:hanging="567"/>
        <w:jc w:val="both"/>
        <w:rPr>
          <w:szCs w:val="20"/>
        </w:rPr>
      </w:pPr>
      <w:r w:rsidRPr="00872D7E">
        <w:rPr>
          <w:sz w:val="18"/>
          <w:szCs w:val="18"/>
          <w:vertAlign w:val="superscript"/>
        </w:rPr>
        <w:t>(*)</w:t>
      </w:r>
      <w:r w:rsidRPr="00872D7E">
        <w:rPr>
          <w:sz w:val="18"/>
          <w:szCs w:val="18"/>
        </w:rPr>
        <w:t xml:space="preserve"> </w:t>
      </w:r>
      <w:r w:rsidR="00D3610B" w:rsidRPr="00872D7E">
        <w:rPr>
          <w:sz w:val="18"/>
          <w:szCs w:val="18"/>
        </w:rPr>
        <w:tab/>
      </w:r>
      <w:r w:rsidRPr="00872D7E">
        <w:rPr>
          <w:sz w:val="18"/>
          <w:szCs w:val="18"/>
        </w:rPr>
        <w:t xml:space="preserve">3. Bölüm I. Kısımda açıklandığı üzere Banka’nın 1 </w:t>
      </w:r>
      <w:proofErr w:type="gramStart"/>
      <w:r w:rsidRPr="00872D7E">
        <w:rPr>
          <w:sz w:val="18"/>
          <w:szCs w:val="18"/>
        </w:rPr>
        <w:t>Ocak</w:t>
      </w:r>
      <w:r w:rsidR="00577340" w:rsidRPr="00872D7E">
        <w:rPr>
          <w:sz w:val="18"/>
          <w:szCs w:val="18"/>
        </w:rPr>
        <w:t xml:space="preserve"> </w:t>
      </w:r>
      <w:r w:rsidRPr="00872D7E">
        <w:rPr>
          <w:sz w:val="18"/>
          <w:szCs w:val="18"/>
        </w:rPr>
        <w:t>-</w:t>
      </w:r>
      <w:proofErr w:type="gramEnd"/>
      <w:r w:rsidRPr="00872D7E">
        <w:rPr>
          <w:sz w:val="18"/>
          <w:szCs w:val="18"/>
        </w:rPr>
        <w:t xml:space="preserve"> </w:t>
      </w:r>
      <w:r w:rsidR="00B07002" w:rsidRPr="00872D7E">
        <w:rPr>
          <w:sz w:val="18"/>
          <w:szCs w:val="18"/>
        </w:rPr>
        <w:t>31 Aralık</w:t>
      </w:r>
      <w:r w:rsidR="007301E4" w:rsidRPr="00872D7E">
        <w:rPr>
          <w:sz w:val="18"/>
          <w:szCs w:val="18"/>
        </w:rPr>
        <w:t xml:space="preserve"> </w:t>
      </w:r>
      <w:r w:rsidR="005D4EF6" w:rsidRPr="00872D7E">
        <w:rPr>
          <w:sz w:val="18"/>
          <w:szCs w:val="18"/>
        </w:rPr>
        <w:t>2024</w:t>
      </w:r>
      <w:r w:rsidRPr="00872D7E">
        <w:rPr>
          <w:sz w:val="18"/>
          <w:szCs w:val="18"/>
        </w:rPr>
        <w:t xml:space="preserve"> hesap dönemine ait konsolide olmayan kar veya zarar tablosu önceki dönem ile karşılaştırmalı olarak sunulmamıştır.</w:t>
      </w:r>
    </w:p>
    <w:p w14:paraId="30969177" w14:textId="77777777" w:rsidR="0048261E" w:rsidRPr="00872D7E" w:rsidRDefault="0048261E" w:rsidP="009F6E11">
      <w:pPr>
        <w:widowControl w:val="0"/>
        <w:jc w:val="center"/>
        <w:rPr>
          <w:szCs w:val="20"/>
        </w:rPr>
      </w:pPr>
    </w:p>
    <w:p w14:paraId="7E9F90CC" w14:textId="77777777" w:rsidR="0048261E" w:rsidRPr="00872D7E" w:rsidRDefault="0048261E" w:rsidP="009F6E11">
      <w:pPr>
        <w:widowControl w:val="0"/>
        <w:jc w:val="center"/>
        <w:rPr>
          <w:szCs w:val="20"/>
        </w:rPr>
      </w:pPr>
    </w:p>
    <w:p w14:paraId="2F01B10F" w14:textId="77777777" w:rsidR="00D245A8" w:rsidRPr="00872D7E" w:rsidRDefault="00D245A8" w:rsidP="001B6D11">
      <w:pPr>
        <w:widowControl w:val="0"/>
        <w:jc w:val="center"/>
        <w:rPr>
          <w:szCs w:val="20"/>
        </w:rPr>
      </w:pPr>
    </w:p>
    <w:p w14:paraId="19EFF96D" w14:textId="77777777" w:rsidR="00D245A8" w:rsidRPr="00872D7E" w:rsidRDefault="00D245A8" w:rsidP="001B6D11">
      <w:pPr>
        <w:widowControl w:val="0"/>
        <w:jc w:val="center"/>
        <w:rPr>
          <w:szCs w:val="20"/>
        </w:rPr>
      </w:pPr>
    </w:p>
    <w:p w14:paraId="527DD6D3" w14:textId="77777777" w:rsidR="00D3610B" w:rsidRPr="00872D7E" w:rsidRDefault="00D3610B" w:rsidP="001B6D11">
      <w:pPr>
        <w:widowControl w:val="0"/>
        <w:jc w:val="center"/>
        <w:rPr>
          <w:szCs w:val="20"/>
        </w:rPr>
      </w:pPr>
    </w:p>
    <w:p w14:paraId="097EC11B" w14:textId="77777777" w:rsidR="007C53D5" w:rsidRPr="00872D7E" w:rsidRDefault="007C53D5" w:rsidP="001B6D11">
      <w:pPr>
        <w:widowControl w:val="0"/>
        <w:jc w:val="center"/>
        <w:rPr>
          <w:sz w:val="18"/>
          <w:szCs w:val="18"/>
        </w:rPr>
      </w:pPr>
    </w:p>
    <w:p w14:paraId="68F0DC4E" w14:textId="77777777" w:rsidR="00D3610B" w:rsidRPr="00872D7E" w:rsidRDefault="00D3610B" w:rsidP="001B6D11">
      <w:pPr>
        <w:widowControl w:val="0"/>
        <w:jc w:val="center"/>
        <w:rPr>
          <w:sz w:val="18"/>
          <w:szCs w:val="18"/>
        </w:rPr>
      </w:pPr>
    </w:p>
    <w:p w14:paraId="78D36B07" w14:textId="77777777" w:rsidR="00D3610B" w:rsidRPr="00872D7E" w:rsidRDefault="00D3610B" w:rsidP="001B6D11">
      <w:pPr>
        <w:widowControl w:val="0"/>
        <w:jc w:val="center"/>
        <w:rPr>
          <w:sz w:val="18"/>
          <w:szCs w:val="18"/>
        </w:rPr>
      </w:pPr>
    </w:p>
    <w:p w14:paraId="0CDDA73D" w14:textId="77777777" w:rsidR="00D245A8" w:rsidRPr="00872D7E" w:rsidRDefault="00D245A8" w:rsidP="001B6D11">
      <w:pPr>
        <w:widowControl w:val="0"/>
        <w:jc w:val="center"/>
        <w:rPr>
          <w:sz w:val="18"/>
          <w:szCs w:val="18"/>
        </w:rPr>
      </w:pPr>
    </w:p>
    <w:p w14:paraId="0F1E809F" w14:textId="1DE9080B" w:rsidR="00482A8C" w:rsidRPr="00872D7E" w:rsidRDefault="00E85D26" w:rsidP="009F6E11">
      <w:pPr>
        <w:widowControl w:val="0"/>
        <w:jc w:val="center"/>
        <w:rPr>
          <w:szCs w:val="20"/>
        </w:rPr>
      </w:pPr>
      <w:r w:rsidRPr="00872D7E">
        <w:rPr>
          <w:szCs w:val="20"/>
        </w:rPr>
        <w:t>İlişikteki açıklama ve dipnotlar bu finansal tabloların tamamlayıcı bir parçasıdır.</w:t>
      </w:r>
    </w:p>
    <w:p w14:paraId="2EFE8DF9" w14:textId="77777777" w:rsidR="00D15123" w:rsidRPr="00872D7E" w:rsidRDefault="00D15123" w:rsidP="009F6E11">
      <w:pPr>
        <w:widowControl w:val="0"/>
        <w:jc w:val="center"/>
        <w:rPr>
          <w:sz w:val="16"/>
          <w:szCs w:val="16"/>
        </w:rPr>
        <w:sectPr w:rsidR="00D15123" w:rsidRPr="00872D7E" w:rsidSect="00CA6446">
          <w:headerReference w:type="even" r:id="rId43"/>
          <w:headerReference w:type="default" r:id="rId44"/>
          <w:footerReference w:type="even" r:id="rId45"/>
          <w:footerReference w:type="default" r:id="rId46"/>
          <w:headerReference w:type="first" r:id="rId47"/>
          <w:footerReference w:type="first" r:id="rId48"/>
          <w:type w:val="nextColumn"/>
          <w:pgSz w:w="11907" w:h="16840" w:code="9"/>
          <w:pgMar w:top="851" w:right="851" w:bottom="851" w:left="851" w:header="851" w:footer="851" w:gutter="0"/>
          <w:cols w:space="720"/>
          <w:noEndnote/>
          <w:titlePg/>
          <w:docGrid w:linePitch="326"/>
        </w:sectPr>
      </w:pPr>
    </w:p>
    <w:tbl>
      <w:tblPr>
        <w:tblW w:w="9918" w:type="dxa"/>
        <w:tblCellMar>
          <w:left w:w="70" w:type="dxa"/>
          <w:right w:w="70" w:type="dxa"/>
        </w:tblCellMar>
        <w:tblLook w:val="04A0" w:firstRow="1" w:lastRow="0" w:firstColumn="1" w:lastColumn="0" w:noHBand="0" w:noVBand="1"/>
      </w:tblPr>
      <w:tblGrid>
        <w:gridCol w:w="647"/>
        <w:gridCol w:w="7271"/>
        <w:gridCol w:w="2000"/>
      </w:tblGrid>
      <w:tr w:rsidR="00862A01" w:rsidRPr="00872D7E" w14:paraId="544E4237" w14:textId="77777777" w:rsidTr="00D3610B">
        <w:trPr>
          <w:divId w:val="932010356"/>
          <w:trHeight w:val="170"/>
        </w:trPr>
        <w:tc>
          <w:tcPr>
            <w:tcW w:w="7918" w:type="dxa"/>
            <w:gridSpan w:val="2"/>
            <w:tcBorders>
              <w:top w:val="single" w:sz="4" w:space="0" w:color="auto"/>
              <w:left w:val="single" w:sz="4" w:space="0" w:color="auto"/>
              <w:bottom w:val="nil"/>
              <w:right w:val="nil"/>
            </w:tcBorders>
            <w:shd w:val="clear" w:color="auto" w:fill="auto"/>
            <w:noWrap/>
            <w:vAlign w:val="bottom"/>
            <w:hideMark/>
          </w:tcPr>
          <w:p w14:paraId="4BCF30E7" w14:textId="17C92AF4" w:rsidR="00862A01" w:rsidRPr="00872D7E" w:rsidRDefault="00862A01" w:rsidP="00862A01">
            <w:pPr>
              <w:rPr>
                <w:b/>
                <w:bCs/>
                <w:color w:val="000000"/>
                <w:sz w:val="16"/>
                <w:szCs w:val="16"/>
              </w:rPr>
            </w:pPr>
            <w:r w:rsidRPr="00872D7E">
              <w:rPr>
                <w:b/>
                <w:bCs/>
                <w:color w:val="000000"/>
                <w:sz w:val="16"/>
                <w:szCs w:val="16"/>
              </w:rPr>
              <w:lastRenderedPageBreak/>
              <w:t>KAR VEYA ZARAR VE DİĞER KAPSAMLI GELİR TABLOSU</w:t>
            </w:r>
          </w:p>
        </w:tc>
        <w:tc>
          <w:tcPr>
            <w:tcW w:w="2000" w:type="dxa"/>
            <w:tcBorders>
              <w:top w:val="single" w:sz="4" w:space="0" w:color="auto"/>
              <w:left w:val="single" w:sz="4" w:space="0" w:color="auto"/>
              <w:bottom w:val="nil"/>
              <w:right w:val="single" w:sz="4" w:space="0" w:color="auto"/>
            </w:tcBorders>
            <w:shd w:val="clear" w:color="auto" w:fill="auto"/>
            <w:vAlign w:val="bottom"/>
            <w:hideMark/>
          </w:tcPr>
          <w:p w14:paraId="6693EF3F" w14:textId="77777777" w:rsidR="00862A01" w:rsidRPr="00872D7E" w:rsidRDefault="00862A01" w:rsidP="00862A01">
            <w:pPr>
              <w:jc w:val="right"/>
              <w:rPr>
                <w:b/>
                <w:bCs/>
                <w:color w:val="000000"/>
                <w:sz w:val="16"/>
                <w:szCs w:val="16"/>
              </w:rPr>
            </w:pPr>
            <w:r w:rsidRPr="00872D7E">
              <w:rPr>
                <w:b/>
                <w:bCs/>
                <w:color w:val="000000"/>
                <w:sz w:val="16"/>
                <w:szCs w:val="16"/>
              </w:rPr>
              <w:t xml:space="preserve">1 </w:t>
            </w:r>
            <w:proofErr w:type="gramStart"/>
            <w:r w:rsidRPr="00872D7E">
              <w:rPr>
                <w:b/>
                <w:bCs/>
                <w:color w:val="000000"/>
                <w:sz w:val="16"/>
                <w:szCs w:val="16"/>
              </w:rPr>
              <w:t>Ocak -</w:t>
            </w:r>
            <w:proofErr w:type="gramEnd"/>
            <w:r w:rsidRPr="00872D7E">
              <w:rPr>
                <w:b/>
                <w:bCs/>
                <w:color w:val="000000"/>
                <w:sz w:val="16"/>
                <w:szCs w:val="16"/>
              </w:rPr>
              <w:t xml:space="preserve"> 31 Aralık 2024 </w:t>
            </w:r>
            <w:r w:rsidRPr="00872D7E">
              <w:rPr>
                <w:b/>
                <w:bCs/>
                <w:color w:val="000000"/>
                <w:sz w:val="16"/>
                <w:szCs w:val="16"/>
                <w:vertAlign w:val="superscript"/>
              </w:rPr>
              <w:t>(*)</w:t>
            </w:r>
          </w:p>
        </w:tc>
      </w:tr>
      <w:tr w:rsidR="00862A01" w:rsidRPr="00872D7E" w14:paraId="024A1E41" w14:textId="77777777" w:rsidTr="00D3610B">
        <w:trPr>
          <w:divId w:val="932010356"/>
          <w:trHeight w:val="170"/>
        </w:trPr>
        <w:tc>
          <w:tcPr>
            <w:tcW w:w="647" w:type="dxa"/>
            <w:tcBorders>
              <w:top w:val="single" w:sz="4" w:space="0" w:color="auto"/>
              <w:left w:val="single" w:sz="4" w:space="0" w:color="auto"/>
              <w:bottom w:val="nil"/>
              <w:right w:val="nil"/>
            </w:tcBorders>
            <w:shd w:val="clear" w:color="auto" w:fill="auto"/>
            <w:noWrap/>
            <w:vAlign w:val="bottom"/>
            <w:hideMark/>
          </w:tcPr>
          <w:p w14:paraId="594F1B42" w14:textId="77777777" w:rsidR="00862A01" w:rsidRPr="00872D7E" w:rsidRDefault="00862A01" w:rsidP="00862A01">
            <w:pPr>
              <w:rPr>
                <w:color w:val="000000"/>
                <w:sz w:val="16"/>
                <w:szCs w:val="16"/>
              </w:rPr>
            </w:pPr>
            <w:r w:rsidRPr="00872D7E">
              <w:rPr>
                <w:color w:val="000000"/>
                <w:sz w:val="16"/>
                <w:szCs w:val="16"/>
              </w:rPr>
              <w:t> </w:t>
            </w:r>
          </w:p>
        </w:tc>
        <w:tc>
          <w:tcPr>
            <w:tcW w:w="7271" w:type="dxa"/>
            <w:tcBorders>
              <w:top w:val="single" w:sz="4" w:space="0" w:color="auto"/>
              <w:left w:val="nil"/>
              <w:bottom w:val="nil"/>
              <w:right w:val="nil"/>
            </w:tcBorders>
            <w:shd w:val="clear" w:color="auto" w:fill="auto"/>
            <w:noWrap/>
            <w:vAlign w:val="bottom"/>
            <w:hideMark/>
          </w:tcPr>
          <w:p w14:paraId="4AD5A6AA" w14:textId="77777777" w:rsidR="00862A01" w:rsidRPr="00872D7E" w:rsidRDefault="00862A01" w:rsidP="00862A01">
            <w:pPr>
              <w:rPr>
                <w:color w:val="000000"/>
                <w:sz w:val="16"/>
                <w:szCs w:val="16"/>
              </w:rPr>
            </w:pPr>
            <w:r w:rsidRPr="00872D7E">
              <w:rPr>
                <w:color w:val="000000"/>
                <w:sz w:val="16"/>
                <w:szCs w:val="16"/>
              </w:rPr>
              <w:t> </w:t>
            </w:r>
          </w:p>
        </w:tc>
        <w:tc>
          <w:tcPr>
            <w:tcW w:w="2000" w:type="dxa"/>
            <w:tcBorders>
              <w:top w:val="single" w:sz="4" w:space="0" w:color="auto"/>
              <w:left w:val="single" w:sz="4" w:space="0" w:color="auto"/>
              <w:bottom w:val="nil"/>
              <w:right w:val="single" w:sz="4" w:space="0" w:color="auto"/>
            </w:tcBorders>
            <w:shd w:val="clear" w:color="auto" w:fill="auto"/>
            <w:noWrap/>
            <w:vAlign w:val="bottom"/>
            <w:hideMark/>
          </w:tcPr>
          <w:p w14:paraId="0167B2FC" w14:textId="77777777" w:rsidR="00862A01" w:rsidRPr="00872D7E" w:rsidRDefault="00862A01" w:rsidP="00862A01">
            <w:pPr>
              <w:rPr>
                <w:color w:val="000000"/>
                <w:sz w:val="16"/>
                <w:szCs w:val="16"/>
              </w:rPr>
            </w:pPr>
            <w:r w:rsidRPr="00872D7E">
              <w:rPr>
                <w:color w:val="000000"/>
                <w:sz w:val="16"/>
                <w:szCs w:val="16"/>
              </w:rPr>
              <w:t> </w:t>
            </w:r>
          </w:p>
        </w:tc>
      </w:tr>
      <w:tr w:rsidR="00862A01" w:rsidRPr="00872D7E" w14:paraId="2C6DE3AC"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707759A3" w14:textId="77777777" w:rsidR="00862A01" w:rsidRPr="00872D7E" w:rsidRDefault="00862A01" w:rsidP="00862A01">
            <w:pPr>
              <w:rPr>
                <w:b/>
                <w:bCs/>
                <w:color w:val="000000"/>
                <w:sz w:val="16"/>
                <w:szCs w:val="16"/>
              </w:rPr>
            </w:pPr>
            <w:r w:rsidRPr="00872D7E">
              <w:rPr>
                <w:b/>
                <w:bCs/>
                <w:color w:val="000000"/>
                <w:sz w:val="16"/>
                <w:szCs w:val="16"/>
              </w:rPr>
              <w:t>I.</w:t>
            </w:r>
          </w:p>
        </w:tc>
        <w:tc>
          <w:tcPr>
            <w:tcW w:w="7271" w:type="dxa"/>
            <w:tcBorders>
              <w:top w:val="nil"/>
              <w:left w:val="nil"/>
              <w:bottom w:val="nil"/>
              <w:right w:val="nil"/>
            </w:tcBorders>
            <w:shd w:val="clear" w:color="auto" w:fill="auto"/>
            <w:vAlign w:val="center"/>
            <w:hideMark/>
          </w:tcPr>
          <w:p w14:paraId="2DB6A621" w14:textId="77777777" w:rsidR="00862A01" w:rsidRPr="00872D7E" w:rsidRDefault="00862A01" w:rsidP="00862A01">
            <w:pPr>
              <w:rPr>
                <w:b/>
                <w:bCs/>
                <w:color w:val="000000"/>
                <w:sz w:val="16"/>
                <w:szCs w:val="16"/>
              </w:rPr>
            </w:pPr>
            <w:r w:rsidRPr="00872D7E">
              <w:rPr>
                <w:b/>
                <w:bCs/>
                <w:color w:val="000000"/>
                <w:sz w:val="16"/>
                <w:szCs w:val="16"/>
              </w:rPr>
              <w:t>DÖNEM KARI/ZARARI</w:t>
            </w:r>
          </w:p>
        </w:tc>
        <w:tc>
          <w:tcPr>
            <w:tcW w:w="2000" w:type="dxa"/>
            <w:tcBorders>
              <w:top w:val="nil"/>
              <w:left w:val="single" w:sz="4" w:space="0" w:color="auto"/>
              <w:bottom w:val="nil"/>
              <w:right w:val="single" w:sz="4" w:space="0" w:color="auto"/>
            </w:tcBorders>
            <w:shd w:val="clear" w:color="auto" w:fill="auto"/>
            <w:vAlign w:val="bottom"/>
            <w:hideMark/>
          </w:tcPr>
          <w:p w14:paraId="53101E79" w14:textId="77777777" w:rsidR="00862A01" w:rsidRPr="00872D7E" w:rsidRDefault="00862A01" w:rsidP="00862A01">
            <w:pPr>
              <w:jc w:val="right"/>
              <w:rPr>
                <w:b/>
                <w:bCs/>
                <w:color w:val="000000"/>
                <w:sz w:val="16"/>
                <w:szCs w:val="16"/>
              </w:rPr>
            </w:pPr>
            <w:r w:rsidRPr="00872D7E">
              <w:rPr>
                <w:b/>
                <w:bCs/>
                <w:color w:val="000000"/>
                <w:sz w:val="16"/>
                <w:szCs w:val="16"/>
              </w:rPr>
              <w:t>1.353.642</w:t>
            </w:r>
          </w:p>
        </w:tc>
      </w:tr>
      <w:tr w:rsidR="00862A01" w:rsidRPr="00872D7E" w14:paraId="0117C279"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0EC3FD8D" w14:textId="77777777" w:rsidR="00862A01" w:rsidRPr="00872D7E" w:rsidRDefault="00862A01" w:rsidP="00862A01">
            <w:pPr>
              <w:rPr>
                <w:b/>
                <w:bCs/>
                <w:color w:val="000000"/>
                <w:sz w:val="16"/>
                <w:szCs w:val="16"/>
              </w:rPr>
            </w:pPr>
            <w:r w:rsidRPr="00872D7E">
              <w:rPr>
                <w:b/>
                <w:bCs/>
                <w:sz w:val="16"/>
                <w:szCs w:val="16"/>
              </w:rPr>
              <w:t>II.</w:t>
            </w:r>
          </w:p>
        </w:tc>
        <w:tc>
          <w:tcPr>
            <w:tcW w:w="7271" w:type="dxa"/>
            <w:tcBorders>
              <w:top w:val="nil"/>
              <w:left w:val="nil"/>
              <w:bottom w:val="nil"/>
              <w:right w:val="nil"/>
            </w:tcBorders>
            <w:shd w:val="clear" w:color="auto" w:fill="auto"/>
            <w:vAlign w:val="center"/>
            <w:hideMark/>
          </w:tcPr>
          <w:p w14:paraId="0FE2C951" w14:textId="77777777" w:rsidR="00862A01" w:rsidRPr="00872D7E" w:rsidRDefault="00862A01" w:rsidP="00862A01">
            <w:pPr>
              <w:rPr>
                <w:b/>
                <w:bCs/>
                <w:color w:val="000000"/>
                <w:sz w:val="16"/>
                <w:szCs w:val="16"/>
              </w:rPr>
            </w:pPr>
            <w:r w:rsidRPr="00872D7E">
              <w:rPr>
                <w:b/>
                <w:bCs/>
                <w:sz w:val="16"/>
                <w:szCs w:val="16"/>
              </w:rPr>
              <w:t>DİĞER KAPSAMLI GELİRLER</w:t>
            </w:r>
          </w:p>
        </w:tc>
        <w:tc>
          <w:tcPr>
            <w:tcW w:w="2000" w:type="dxa"/>
            <w:tcBorders>
              <w:top w:val="nil"/>
              <w:left w:val="single" w:sz="4" w:space="0" w:color="auto"/>
              <w:bottom w:val="nil"/>
              <w:right w:val="single" w:sz="4" w:space="0" w:color="auto"/>
            </w:tcBorders>
            <w:shd w:val="clear" w:color="auto" w:fill="auto"/>
            <w:vAlign w:val="bottom"/>
            <w:hideMark/>
          </w:tcPr>
          <w:p w14:paraId="0A51D9A8" w14:textId="77777777" w:rsidR="00862A01" w:rsidRPr="00872D7E" w:rsidRDefault="00862A01" w:rsidP="00862A01">
            <w:pPr>
              <w:jc w:val="right"/>
              <w:rPr>
                <w:b/>
                <w:bCs/>
                <w:color w:val="000000"/>
                <w:sz w:val="16"/>
                <w:szCs w:val="16"/>
              </w:rPr>
            </w:pPr>
            <w:r w:rsidRPr="00872D7E">
              <w:rPr>
                <w:b/>
                <w:bCs/>
                <w:color w:val="000000"/>
                <w:sz w:val="16"/>
                <w:szCs w:val="16"/>
              </w:rPr>
              <w:t>4.404</w:t>
            </w:r>
          </w:p>
        </w:tc>
      </w:tr>
      <w:tr w:rsidR="00862A01" w:rsidRPr="00872D7E" w14:paraId="2C6192D1"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078C5787" w14:textId="77777777" w:rsidR="00862A01" w:rsidRPr="00872D7E" w:rsidRDefault="00862A01" w:rsidP="00862A01">
            <w:pPr>
              <w:rPr>
                <w:b/>
                <w:bCs/>
                <w:color w:val="000000"/>
                <w:sz w:val="16"/>
                <w:szCs w:val="16"/>
              </w:rPr>
            </w:pPr>
            <w:r w:rsidRPr="00872D7E">
              <w:rPr>
                <w:b/>
                <w:bCs/>
                <w:sz w:val="16"/>
                <w:szCs w:val="16"/>
              </w:rPr>
              <w:t>2.1</w:t>
            </w:r>
          </w:p>
        </w:tc>
        <w:tc>
          <w:tcPr>
            <w:tcW w:w="7271" w:type="dxa"/>
            <w:tcBorders>
              <w:top w:val="nil"/>
              <w:left w:val="nil"/>
              <w:bottom w:val="nil"/>
              <w:right w:val="nil"/>
            </w:tcBorders>
            <w:shd w:val="clear" w:color="auto" w:fill="auto"/>
            <w:vAlign w:val="center"/>
            <w:hideMark/>
          </w:tcPr>
          <w:p w14:paraId="2E069908" w14:textId="77777777" w:rsidR="00862A01" w:rsidRPr="00872D7E" w:rsidRDefault="00862A01" w:rsidP="00862A01">
            <w:pPr>
              <w:rPr>
                <w:b/>
                <w:bCs/>
                <w:color w:val="000000"/>
                <w:sz w:val="16"/>
                <w:szCs w:val="16"/>
              </w:rPr>
            </w:pPr>
            <w:r w:rsidRPr="00872D7E">
              <w:rPr>
                <w:b/>
                <w:bCs/>
                <w:sz w:val="16"/>
                <w:szCs w:val="16"/>
              </w:rPr>
              <w:t>Kar veya Zararda Yeniden Sınıflandırılmayacaklar</w:t>
            </w:r>
          </w:p>
        </w:tc>
        <w:tc>
          <w:tcPr>
            <w:tcW w:w="2000" w:type="dxa"/>
            <w:tcBorders>
              <w:top w:val="nil"/>
              <w:left w:val="single" w:sz="4" w:space="0" w:color="auto"/>
              <w:bottom w:val="nil"/>
              <w:right w:val="single" w:sz="4" w:space="0" w:color="auto"/>
            </w:tcBorders>
            <w:shd w:val="clear" w:color="auto" w:fill="auto"/>
            <w:vAlign w:val="bottom"/>
            <w:hideMark/>
          </w:tcPr>
          <w:p w14:paraId="4E2995B8" w14:textId="77777777" w:rsidR="00862A01" w:rsidRPr="00872D7E" w:rsidRDefault="00862A01" w:rsidP="00862A01">
            <w:pPr>
              <w:jc w:val="right"/>
              <w:rPr>
                <w:b/>
                <w:bCs/>
                <w:color w:val="000000"/>
                <w:sz w:val="16"/>
                <w:szCs w:val="16"/>
                <w:lang w:eastAsia="tr-TR"/>
              </w:rPr>
            </w:pPr>
            <w:r w:rsidRPr="00872D7E">
              <w:rPr>
                <w:b/>
                <w:bCs/>
                <w:color w:val="000000"/>
                <w:sz w:val="16"/>
                <w:szCs w:val="16"/>
              </w:rPr>
              <w:t>(3.899</w:t>
            </w:r>
            <w:r w:rsidRPr="00872D7E">
              <w:rPr>
                <w:b/>
                <w:bCs/>
                <w:color w:val="000000"/>
                <w:sz w:val="16"/>
                <w:szCs w:val="16"/>
                <w:lang w:eastAsia="tr-TR"/>
              </w:rPr>
              <w:t>)</w:t>
            </w:r>
          </w:p>
        </w:tc>
      </w:tr>
      <w:tr w:rsidR="00862A01" w:rsidRPr="00872D7E" w14:paraId="15BDDC3F"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364A2B5A" w14:textId="77777777" w:rsidR="00862A01" w:rsidRPr="00872D7E" w:rsidRDefault="00862A01" w:rsidP="00862A01">
            <w:pPr>
              <w:ind w:firstLineChars="100" w:firstLine="160"/>
              <w:rPr>
                <w:color w:val="000000"/>
                <w:sz w:val="16"/>
                <w:szCs w:val="16"/>
              </w:rPr>
            </w:pPr>
            <w:r w:rsidRPr="00872D7E">
              <w:rPr>
                <w:sz w:val="16"/>
                <w:szCs w:val="16"/>
              </w:rPr>
              <w:t>2.1.1</w:t>
            </w:r>
          </w:p>
        </w:tc>
        <w:tc>
          <w:tcPr>
            <w:tcW w:w="7271" w:type="dxa"/>
            <w:tcBorders>
              <w:top w:val="nil"/>
              <w:left w:val="nil"/>
              <w:bottom w:val="nil"/>
              <w:right w:val="nil"/>
            </w:tcBorders>
            <w:shd w:val="clear" w:color="auto" w:fill="auto"/>
            <w:vAlign w:val="center"/>
            <w:hideMark/>
          </w:tcPr>
          <w:p w14:paraId="566DE3DA" w14:textId="77777777" w:rsidR="00862A01" w:rsidRPr="00872D7E" w:rsidRDefault="00862A01" w:rsidP="00862A01">
            <w:pPr>
              <w:ind w:firstLineChars="100" w:firstLine="160"/>
              <w:rPr>
                <w:color w:val="000000"/>
                <w:sz w:val="16"/>
                <w:szCs w:val="16"/>
              </w:rPr>
            </w:pPr>
            <w:r w:rsidRPr="00872D7E">
              <w:rPr>
                <w:sz w:val="16"/>
                <w:szCs w:val="16"/>
              </w:rPr>
              <w:t>Maddi Duran Varlıklar Yeniden Değerleme Artışları/Azalışları</w:t>
            </w:r>
          </w:p>
        </w:tc>
        <w:tc>
          <w:tcPr>
            <w:tcW w:w="2000" w:type="dxa"/>
            <w:tcBorders>
              <w:top w:val="nil"/>
              <w:left w:val="single" w:sz="4" w:space="0" w:color="auto"/>
              <w:bottom w:val="nil"/>
              <w:right w:val="single" w:sz="4" w:space="0" w:color="auto"/>
            </w:tcBorders>
            <w:shd w:val="clear" w:color="auto" w:fill="auto"/>
            <w:vAlign w:val="bottom"/>
            <w:hideMark/>
          </w:tcPr>
          <w:p w14:paraId="50CAF8F6"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391B2E2C"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2FB71F6D" w14:textId="77777777" w:rsidR="00862A01" w:rsidRPr="00872D7E" w:rsidRDefault="00862A01" w:rsidP="00862A01">
            <w:pPr>
              <w:ind w:firstLineChars="100" w:firstLine="160"/>
              <w:rPr>
                <w:color w:val="000000"/>
                <w:sz w:val="16"/>
                <w:szCs w:val="16"/>
              </w:rPr>
            </w:pPr>
            <w:r w:rsidRPr="00872D7E">
              <w:rPr>
                <w:sz w:val="16"/>
                <w:szCs w:val="16"/>
              </w:rPr>
              <w:t>2.1.2</w:t>
            </w:r>
          </w:p>
        </w:tc>
        <w:tc>
          <w:tcPr>
            <w:tcW w:w="7271" w:type="dxa"/>
            <w:tcBorders>
              <w:top w:val="nil"/>
              <w:left w:val="nil"/>
              <w:bottom w:val="nil"/>
              <w:right w:val="nil"/>
            </w:tcBorders>
            <w:shd w:val="clear" w:color="auto" w:fill="auto"/>
            <w:vAlign w:val="center"/>
            <w:hideMark/>
          </w:tcPr>
          <w:p w14:paraId="1F3D5777" w14:textId="77777777" w:rsidR="00862A01" w:rsidRPr="00872D7E" w:rsidRDefault="00862A01" w:rsidP="00862A01">
            <w:pPr>
              <w:ind w:firstLineChars="100" w:firstLine="160"/>
              <w:rPr>
                <w:color w:val="000000"/>
                <w:sz w:val="16"/>
                <w:szCs w:val="16"/>
              </w:rPr>
            </w:pPr>
            <w:r w:rsidRPr="00872D7E">
              <w:rPr>
                <w:sz w:val="16"/>
                <w:szCs w:val="16"/>
              </w:rPr>
              <w:t>Maddi Olmayan Duran Varlıklar Yeniden Değerleme Artışları/Azalışları</w:t>
            </w:r>
          </w:p>
        </w:tc>
        <w:tc>
          <w:tcPr>
            <w:tcW w:w="2000" w:type="dxa"/>
            <w:tcBorders>
              <w:top w:val="nil"/>
              <w:left w:val="single" w:sz="4" w:space="0" w:color="auto"/>
              <w:bottom w:val="nil"/>
              <w:right w:val="single" w:sz="4" w:space="0" w:color="auto"/>
            </w:tcBorders>
            <w:shd w:val="clear" w:color="auto" w:fill="auto"/>
            <w:vAlign w:val="bottom"/>
            <w:hideMark/>
          </w:tcPr>
          <w:p w14:paraId="0F5132EC"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44CFFD94"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62C72ECA" w14:textId="77777777" w:rsidR="00862A01" w:rsidRPr="00872D7E" w:rsidRDefault="00862A01" w:rsidP="00862A01">
            <w:pPr>
              <w:ind w:firstLineChars="100" w:firstLine="160"/>
              <w:rPr>
                <w:color w:val="000000"/>
                <w:sz w:val="16"/>
                <w:szCs w:val="16"/>
              </w:rPr>
            </w:pPr>
            <w:r w:rsidRPr="00872D7E">
              <w:rPr>
                <w:sz w:val="16"/>
                <w:szCs w:val="16"/>
              </w:rPr>
              <w:t>2.1.3</w:t>
            </w:r>
          </w:p>
        </w:tc>
        <w:tc>
          <w:tcPr>
            <w:tcW w:w="7271" w:type="dxa"/>
            <w:tcBorders>
              <w:top w:val="nil"/>
              <w:left w:val="nil"/>
              <w:bottom w:val="nil"/>
              <w:right w:val="nil"/>
            </w:tcBorders>
            <w:shd w:val="clear" w:color="auto" w:fill="auto"/>
            <w:vAlign w:val="center"/>
            <w:hideMark/>
          </w:tcPr>
          <w:p w14:paraId="0E5AEF4D" w14:textId="77777777" w:rsidR="00862A01" w:rsidRPr="00872D7E" w:rsidRDefault="00862A01" w:rsidP="00862A01">
            <w:pPr>
              <w:ind w:firstLineChars="100" w:firstLine="160"/>
              <w:rPr>
                <w:color w:val="000000"/>
                <w:sz w:val="16"/>
                <w:szCs w:val="16"/>
              </w:rPr>
            </w:pPr>
            <w:r w:rsidRPr="00872D7E">
              <w:rPr>
                <w:sz w:val="16"/>
                <w:szCs w:val="16"/>
              </w:rPr>
              <w:t>Tanımlanmış Fayda Planları Yeniden Ölçüm Kazançları/Kayıpları</w:t>
            </w:r>
          </w:p>
        </w:tc>
        <w:tc>
          <w:tcPr>
            <w:tcW w:w="2000" w:type="dxa"/>
            <w:tcBorders>
              <w:top w:val="nil"/>
              <w:left w:val="single" w:sz="4" w:space="0" w:color="auto"/>
              <w:bottom w:val="nil"/>
              <w:right w:val="single" w:sz="4" w:space="0" w:color="auto"/>
            </w:tcBorders>
            <w:shd w:val="clear" w:color="auto" w:fill="auto"/>
            <w:vAlign w:val="bottom"/>
            <w:hideMark/>
          </w:tcPr>
          <w:p w14:paraId="519B105F" w14:textId="77777777" w:rsidR="00862A01" w:rsidRPr="00872D7E" w:rsidRDefault="00862A01" w:rsidP="00862A01">
            <w:pPr>
              <w:jc w:val="right"/>
              <w:rPr>
                <w:b/>
                <w:bCs/>
                <w:color w:val="000000"/>
                <w:sz w:val="16"/>
                <w:szCs w:val="16"/>
                <w:lang w:eastAsia="tr-TR"/>
              </w:rPr>
            </w:pPr>
            <w:r w:rsidRPr="00872D7E">
              <w:rPr>
                <w:color w:val="000000"/>
                <w:sz w:val="16"/>
                <w:szCs w:val="16"/>
              </w:rPr>
              <w:t>(6.532</w:t>
            </w:r>
            <w:r w:rsidRPr="00872D7E">
              <w:rPr>
                <w:b/>
                <w:bCs/>
                <w:color w:val="000000"/>
                <w:sz w:val="16"/>
                <w:szCs w:val="16"/>
                <w:lang w:eastAsia="tr-TR"/>
              </w:rPr>
              <w:t>)</w:t>
            </w:r>
          </w:p>
        </w:tc>
      </w:tr>
      <w:tr w:rsidR="00862A01" w:rsidRPr="00872D7E" w14:paraId="62C5406F"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7A3FF446" w14:textId="77777777" w:rsidR="00862A01" w:rsidRPr="00872D7E" w:rsidRDefault="00862A01" w:rsidP="00862A01">
            <w:pPr>
              <w:ind w:firstLineChars="100" w:firstLine="160"/>
              <w:rPr>
                <w:color w:val="000000"/>
                <w:sz w:val="16"/>
                <w:szCs w:val="16"/>
              </w:rPr>
            </w:pPr>
            <w:r w:rsidRPr="00872D7E">
              <w:rPr>
                <w:sz w:val="16"/>
                <w:szCs w:val="16"/>
              </w:rPr>
              <w:t>2.1.4</w:t>
            </w:r>
          </w:p>
        </w:tc>
        <w:tc>
          <w:tcPr>
            <w:tcW w:w="7271" w:type="dxa"/>
            <w:tcBorders>
              <w:top w:val="nil"/>
              <w:left w:val="nil"/>
              <w:bottom w:val="nil"/>
              <w:right w:val="nil"/>
            </w:tcBorders>
            <w:shd w:val="clear" w:color="auto" w:fill="auto"/>
            <w:vAlign w:val="center"/>
            <w:hideMark/>
          </w:tcPr>
          <w:p w14:paraId="028B15A6" w14:textId="77777777" w:rsidR="00862A01" w:rsidRPr="00872D7E" w:rsidRDefault="00862A01" w:rsidP="00862A01">
            <w:pPr>
              <w:ind w:firstLineChars="100" w:firstLine="160"/>
              <w:rPr>
                <w:color w:val="000000"/>
                <w:sz w:val="16"/>
                <w:szCs w:val="16"/>
              </w:rPr>
            </w:pPr>
            <w:r w:rsidRPr="00872D7E">
              <w:rPr>
                <w:sz w:val="16"/>
                <w:szCs w:val="16"/>
              </w:rPr>
              <w:t>Diğer Kâr veya Zarar Olarak Yeniden Sınıflandırılmayacak Diğer Kapsamlı Gelir Unsurları</w:t>
            </w:r>
          </w:p>
        </w:tc>
        <w:tc>
          <w:tcPr>
            <w:tcW w:w="2000" w:type="dxa"/>
            <w:tcBorders>
              <w:top w:val="nil"/>
              <w:left w:val="single" w:sz="4" w:space="0" w:color="auto"/>
              <w:bottom w:val="nil"/>
              <w:right w:val="single" w:sz="4" w:space="0" w:color="auto"/>
            </w:tcBorders>
            <w:shd w:val="clear" w:color="auto" w:fill="auto"/>
            <w:vAlign w:val="bottom"/>
            <w:hideMark/>
          </w:tcPr>
          <w:p w14:paraId="2CCA2A4B"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57D94982"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4445D437" w14:textId="77777777" w:rsidR="00862A01" w:rsidRPr="00872D7E" w:rsidRDefault="00862A01" w:rsidP="00862A01">
            <w:pPr>
              <w:ind w:firstLineChars="100" w:firstLine="160"/>
              <w:rPr>
                <w:color w:val="000000"/>
                <w:sz w:val="16"/>
                <w:szCs w:val="16"/>
              </w:rPr>
            </w:pPr>
            <w:r w:rsidRPr="00872D7E">
              <w:rPr>
                <w:sz w:val="16"/>
                <w:szCs w:val="16"/>
              </w:rPr>
              <w:t>2.1.5</w:t>
            </w:r>
          </w:p>
        </w:tc>
        <w:tc>
          <w:tcPr>
            <w:tcW w:w="7271" w:type="dxa"/>
            <w:tcBorders>
              <w:top w:val="nil"/>
              <w:left w:val="nil"/>
              <w:bottom w:val="nil"/>
              <w:right w:val="nil"/>
            </w:tcBorders>
            <w:shd w:val="clear" w:color="auto" w:fill="auto"/>
            <w:vAlign w:val="center"/>
            <w:hideMark/>
          </w:tcPr>
          <w:p w14:paraId="45EB1F6A" w14:textId="77777777" w:rsidR="00862A01" w:rsidRPr="00872D7E" w:rsidRDefault="00862A01" w:rsidP="00862A01">
            <w:pPr>
              <w:ind w:firstLineChars="100" w:firstLine="160"/>
              <w:rPr>
                <w:color w:val="000000"/>
                <w:sz w:val="16"/>
                <w:szCs w:val="16"/>
              </w:rPr>
            </w:pPr>
            <w:r w:rsidRPr="00872D7E">
              <w:rPr>
                <w:sz w:val="16"/>
                <w:szCs w:val="16"/>
              </w:rPr>
              <w:t>Kâr veya Zararda Yeniden Sınıflandırılmayacak Diğer Kapsamlı Gelire İlişkin Vergiler</w:t>
            </w:r>
          </w:p>
        </w:tc>
        <w:tc>
          <w:tcPr>
            <w:tcW w:w="2000" w:type="dxa"/>
            <w:tcBorders>
              <w:top w:val="nil"/>
              <w:left w:val="single" w:sz="4" w:space="0" w:color="auto"/>
              <w:bottom w:val="nil"/>
              <w:right w:val="single" w:sz="4" w:space="0" w:color="auto"/>
            </w:tcBorders>
            <w:shd w:val="clear" w:color="auto" w:fill="auto"/>
            <w:vAlign w:val="bottom"/>
            <w:hideMark/>
          </w:tcPr>
          <w:p w14:paraId="682112C0" w14:textId="77777777" w:rsidR="00862A01" w:rsidRPr="00872D7E" w:rsidRDefault="00862A01" w:rsidP="00862A01">
            <w:pPr>
              <w:jc w:val="right"/>
              <w:rPr>
                <w:color w:val="000000"/>
                <w:sz w:val="16"/>
                <w:szCs w:val="16"/>
              </w:rPr>
            </w:pPr>
            <w:r w:rsidRPr="00872D7E">
              <w:rPr>
                <w:color w:val="000000"/>
                <w:sz w:val="16"/>
                <w:szCs w:val="16"/>
              </w:rPr>
              <w:t>2.633</w:t>
            </w:r>
          </w:p>
        </w:tc>
      </w:tr>
      <w:tr w:rsidR="00862A01" w:rsidRPr="00872D7E" w14:paraId="6661672A"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45E5E06F" w14:textId="77777777" w:rsidR="00862A01" w:rsidRPr="00872D7E" w:rsidRDefault="00862A01" w:rsidP="00862A01">
            <w:pPr>
              <w:rPr>
                <w:b/>
                <w:bCs/>
                <w:color w:val="000000"/>
                <w:sz w:val="16"/>
                <w:szCs w:val="16"/>
              </w:rPr>
            </w:pPr>
            <w:r w:rsidRPr="00872D7E">
              <w:rPr>
                <w:b/>
                <w:bCs/>
                <w:sz w:val="16"/>
                <w:szCs w:val="16"/>
              </w:rPr>
              <w:t>2.2</w:t>
            </w:r>
          </w:p>
        </w:tc>
        <w:tc>
          <w:tcPr>
            <w:tcW w:w="7271" w:type="dxa"/>
            <w:tcBorders>
              <w:top w:val="nil"/>
              <w:left w:val="nil"/>
              <w:bottom w:val="nil"/>
              <w:right w:val="nil"/>
            </w:tcBorders>
            <w:shd w:val="clear" w:color="auto" w:fill="auto"/>
            <w:vAlign w:val="center"/>
            <w:hideMark/>
          </w:tcPr>
          <w:p w14:paraId="1EDFE4DB" w14:textId="77777777" w:rsidR="00862A01" w:rsidRPr="00872D7E" w:rsidRDefault="00862A01" w:rsidP="00862A01">
            <w:pPr>
              <w:rPr>
                <w:b/>
                <w:bCs/>
                <w:color w:val="000000"/>
                <w:sz w:val="16"/>
                <w:szCs w:val="16"/>
              </w:rPr>
            </w:pPr>
            <w:r w:rsidRPr="00872D7E">
              <w:rPr>
                <w:b/>
                <w:bCs/>
                <w:sz w:val="16"/>
                <w:szCs w:val="16"/>
              </w:rPr>
              <w:t>Kâr veya Zararda Yeniden Sınıflandırılacaklar</w:t>
            </w:r>
          </w:p>
        </w:tc>
        <w:tc>
          <w:tcPr>
            <w:tcW w:w="2000" w:type="dxa"/>
            <w:tcBorders>
              <w:top w:val="nil"/>
              <w:left w:val="single" w:sz="4" w:space="0" w:color="auto"/>
              <w:bottom w:val="nil"/>
              <w:right w:val="single" w:sz="4" w:space="0" w:color="auto"/>
            </w:tcBorders>
            <w:shd w:val="clear" w:color="auto" w:fill="auto"/>
            <w:vAlign w:val="bottom"/>
            <w:hideMark/>
          </w:tcPr>
          <w:p w14:paraId="0E5B79EE" w14:textId="77777777" w:rsidR="00862A01" w:rsidRPr="00872D7E" w:rsidRDefault="00862A01" w:rsidP="00862A01">
            <w:pPr>
              <w:jc w:val="right"/>
              <w:rPr>
                <w:b/>
                <w:bCs/>
                <w:color w:val="000000"/>
                <w:sz w:val="16"/>
                <w:szCs w:val="16"/>
              </w:rPr>
            </w:pPr>
            <w:r w:rsidRPr="00872D7E">
              <w:rPr>
                <w:b/>
                <w:bCs/>
                <w:color w:val="000000"/>
                <w:sz w:val="16"/>
                <w:szCs w:val="16"/>
              </w:rPr>
              <w:t>8.303</w:t>
            </w:r>
          </w:p>
        </w:tc>
      </w:tr>
      <w:tr w:rsidR="00862A01" w:rsidRPr="00872D7E" w14:paraId="31CABA6A"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41BFAFF1" w14:textId="77777777" w:rsidR="00862A01" w:rsidRPr="00872D7E" w:rsidRDefault="00862A01" w:rsidP="00862A01">
            <w:pPr>
              <w:ind w:firstLineChars="100" w:firstLine="160"/>
              <w:rPr>
                <w:color w:val="000000"/>
                <w:sz w:val="16"/>
                <w:szCs w:val="16"/>
              </w:rPr>
            </w:pPr>
            <w:r w:rsidRPr="00872D7E">
              <w:rPr>
                <w:sz w:val="16"/>
                <w:szCs w:val="16"/>
              </w:rPr>
              <w:t>2.2.1</w:t>
            </w:r>
          </w:p>
        </w:tc>
        <w:tc>
          <w:tcPr>
            <w:tcW w:w="7271" w:type="dxa"/>
            <w:tcBorders>
              <w:top w:val="nil"/>
              <w:left w:val="nil"/>
              <w:bottom w:val="nil"/>
              <w:right w:val="nil"/>
            </w:tcBorders>
            <w:shd w:val="clear" w:color="auto" w:fill="auto"/>
            <w:vAlign w:val="center"/>
            <w:hideMark/>
          </w:tcPr>
          <w:p w14:paraId="71CD89CA" w14:textId="77777777" w:rsidR="00862A01" w:rsidRPr="00872D7E" w:rsidRDefault="00862A01" w:rsidP="00862A01">
            <w:pPr>
              <w:ind w:firstLineChars="100" w:firstLine="160"/>
              <w:rPr>
                <w:color w:val="000000"/>
                <w:sz w:val="16"/>
                <w:szCs w:val="16"/>
              </w:rPr>
            </w:pPr>
            <w:r w:rsidRPr="00872D7E">
              <w:rPr>
                <w:sz w:val="16"/>
                <w:szCs w:val="16"/>
              </w:rPr>
              <w:t>Yabancı Para Çevirim Farkları</w:t>
            </w:r>
          </w:p>
        </w:tc>
        <w:tc>
          <w:tcPr>
            <w:tcW w:w="2000" w:type="dxa"/>
            <w:tcBorders>
              <w:top w:val="nil"/>
              <w:left w:val="single" w:sz="4" w:space="0" w:color="auto"/>
              <w:bottom w:val="nil"/>
              <w:right w:val="single" w:sz="4" w:space="0" w:color="auto"/>
            </w:tcBorders>
            <w:shd w:val="clear" w:color="auto" w:fill="auto"/>
            <w:vAlign w:val="bottom"/>
            <w:hideMark/>
          </w:tcPr>
          <w:p w14:paraId="752BF108"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1732C9B8"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495E4DBF" w14:textId="77777777" w:rsidR="00862A01" w:rsidRPr="00872D7E" w:rsidRDefault="00862A01" w:rsidP="00862A01">
            <w:pPr>
              <w:ind w:firstLineChars="100" w:firstLine="160"/>
              <w:rPr>
                <w:color w:val="000000"/>
                <w:sz w:val="16"/>
                <w:szCs w:val="16"/>
              </w:rPr>
            </w:pPr>
            <w:r w:rsidRPr="00872D7E">
              <w:rPr>
                <w:sz w:val="16"/>
                <w:szCs w:val="16"/>
              </w:rPr>
              <w:t>2.2.2</w:t>
            </w:r>
          </w:p>
        </w:tc>
        <w:tc>
          <w:tcPr>
            <w:tcW w:w="7271" w:type="dxa"/>
            <w:tcBorders>
              <w:top w:val="nil"/>
              <w:left w:val="nil"/>
              <w:bottom w:val="nil"/>
              <w:right w:val="nil"/>
            </w:tcBorders>
            <w:shd w:val="clear" w:color="auto" w:fill="auto"/>
            <w:noWrap/>
            <w:vAlign w:val="center"/>
            <w:hideMark/>
          </w:tcPr>
          <w:p w14:paraId="41D97F0A" w14:textId="77777777" w:rsidR="00862A01" w:rsidRPr="00872D7E" w:rsidRDefault="00862A01" w:rsidP="00862A01">
            <w:pPr>
              <w:ind w:firstLineChars="100" w:firstLine="160"/>
              <w:rPr>
                <w:color w:val="000000"/>
                <w:sz w:val="16"/>
                <w:szCs w:val="16"/>
              </w:rPr>
            </w:pPr>
            <w:r w:rsidRPr="00872D7E">
              <w:rPr>
                <w:sz w:val="16"/>
                <w:szCs w:val="16"/>
              </w:rPr>
              <w:t>Gerçeğe Uygun Değer Farkı Diğer Kapsamlı Gelire Yansıtılan Finansal Varlıkların Değerleme ve/veya Sınıflandırma Gelirleri/Giderleri</w:t>
            </w:r>
          </w:p>
        </w:tc>
        <w:tc>
          <w:tcPr>
            <w:tcW w:w="2000" w:type="dxa"/>
            <w:tcBorders>
              <w:top w:val="nil"/>
              <w:left w:val="single" w:sz="4" w:space="0" w:color="auto"/>
              <w:bottom w:val="nil"/>
              <w:right w:val="single" w:sz="4" w:space="0" w:color="auto"/>
            </w:tcBorders>
            <w:shd w:val="clear" w:color="auto" w:fill="auto"/>
            <w:vAlign w:val="bottom"/>
            <w:hideMark/>
          </w:tcPr>
          <w:p w14:paraId="4FEB76A0" w14:textId="77777777" w:rsidR="00862A01" w:rsidRPr="00872D7E" w:rsidRDefault="00862A01" w:rsidP="00862A01">
            <w:pPr>
              <w:jc w:val="right"/>
              <w:rPr>
                <w:color w:val="000000"/>
                <w:sz w:val="16"/>
                <w:szCs w:val="16"/>
              </w:rPr>
            </w:pPr>
            <w:r w:rsidRPr="00872D7E">
              <w:rPr>
                <w:color w:val="000000"/>
                <w:sz w:val="16"/>
                <w:szCs w:val="16"/>
              </w:rPr>
              <w:t>11.861</w:t>
            </w:r>
          </w:p>
        </w:tc>
      </w:tr>
      <w:tr w:rsidR="00862A01" w:rsidRPr="00872D7E" w14:paraId="0DDCAA53"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12715969" w14:textId="77777777" w:rsidR="00862A01" w:rsidRPr="00872D7E" w:rsidRDefault="00862A01" w:rsidP="00862A01">
            <w:pPr>
              <w:ind w:firstLineChars="100" w:firstLine="160"/>
              <w:rPr>
                <w:color w:val="000000"/>
                <w:sz w:val="16"/>
                <w:szCs w:val="16"/>
              </w:rPr>
            </w:pPr>
            <w:r w:rsidRPr="00872D7E">
              <w:rPr>
                <w:sz w:val="16"/>
                <w:szCs w:val="16"/>
              </w:rPr>
              <w:t>2.2.3</w:t>
            </w:r>
          </w:p>
        </w:tc>
        <w:tc>
          <w:tcPr>
            <w:tcW w:w="7271" w:type="dxa"/>
            <w:tcBorders>
              <w:top w:val="nil"/>
              <w:left w:val="nil"/>
              <w:bottom w:val="nil"/>
              <w:right w:val="nil"/>
            </w:tcBorders>
            <w:shd w:val="clear" w:color="auto" w:fill="auto"/>
            <w:vAlign w:val="center"/>
            <w:hideMark/>
          </w:tcPr>
          <w:p w14:paraId="217FC226" w14:textId="77777777" w:rsidR="00862A01" w:rsidRPr="00872D7E" w:rsidRDefault="00862A01" w:rsidP="00862A01">
            <w:pPr>
              <w:ind w:firstLineChars="100" w:firstLine="160"/>
              <w:rPr>
                <w:color w:val="000000"/>
                <w:sz w:val="16"/>
                <w:szCs w:val="16"/>
              </w:rPr>
            </w:pPr>
            <w:r w:rsidRPr="00872D7E">
              <w:rPr>
                <w:sz w:val="16"/>
                <w:szCs w:val="16"/>
              </w:rPr>
              <w:t>Nakit Akış Riskinden Korunma Gelirleri/Giderleri</w:t>
            </w:r>
          </w:p>
        </w:tc>
        <w:tc>
          <w:tcPr>
            <w:tcW w:w="2000" w:type="dxa"/>
            <w:tcBorders>
              <w:top w:val="nil"/>
              <w:left w:val="single" w:sz="4" w:space="0" w:color="auto"/>
              <w:bottom w:val="nil"/>
              <w:right w:val="single" w:sz="4" w:space="0" w:color="auto"/>
            </w:tcBorders>
            <w:shd w:val="clear" w:color="auto" w:fill="auto"/>
            <w:vAlign w:val="bottom"/>
            <w:hideMark/>
          </w:tcPr>
          <w:p w14:paraId="3D47FDB4"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3DFCA6AD" w14:textId="77777777" w:rsidTr="00D3610B">
        <w:trPr>
          <w:divId w:val="932010356"/>
          <w:trHeight w:val="170"/>
        </w:trPr>
        <w:tc>
          <w:tcPr>
            <w:tcW w:w="647" w:type="dxa"/>
            <w:tcBorders>
              <w:top w:val="nil"/>
              <w:left w:val="single" w:sz="4" w:space="0" w:color="auto"/>
              <w:bottom w:val="nil"/>
              <w:right w:val="nil"/>
            </w:tcBorders>
            <w:shd w:val="clear" w:color="auto" w:fill="auto"/>
            <w:hideMark/>
          </w:tcPr>
          <w:p w14:paraId="657EF403" w14:textId="77777777" w:rsidR="00862A01" w:rsidRPr="00872D7E" w:rsidRDefault="00862A01" w:rsidP="00862A01">
            <w:pPr>
              <w:ind w:firstLineChars="100" w:firstLine="160"/>
              <w:rPr>
                <w:color w:val="000000"/>
                <w:sz w:val="16"/>
                <w:szCs w:val="16"/>
              </w:rPr>
            </w:pPr>
            <w:r w:rsidRPr="00872D7E">
              <w:rPr>
                <w:sz w:val="16"/>
                <w:szCs w:val="16"/>
              </w:rPr>
              <w:t>2.2.4</w:t>
            </w:r>
          </w:p>
        </w:tc>
        <w:tc>
          <w:tcPr>
            <w:tcW w:w="7271" w:type="dxa"/>
            <w:tcBorders>
              <w:top w:val="nil"/>
              <w:left w:val="nil"/>
              <w:bottom w:val="nil"/>
              <w:right w:val="nil"/>
            </w:tcBorders>
            <w:shd w:val="clear" w:color="auto" w:fill="auto"/>
            <w:vAlign w:val="center"/>
            <w:hideMark/>
          </w:tcPr>
          <w:p w14:paraId="52640A54" w14:textId="77777777" w:rsidR="00862A01" w:rsidRPr="00872D7E" w:rsidRDefault="00862A01" w:rsidP="00862A01">
            <w:pPr>
              <w:ind w:firstLineChars="100" w:firstLine="160"/>
              <w:rPr>
                <w:color w:val="000000"/>
                <w:sz w:val="16"/>
                <w:szCs w:val="16"/>
              </w:rPr>
            </w:pPr>
            <w:r w:rsidRPr="00872D7E">
              <w:rPr>
                <w:sz w:val="16"/>
                <w:szCs w:val="16"/>
              </w:rPr>
              <w:t>Yurtdışındaki İşletmeye İlişkin Yatırım Riskinden Korunma Gelirleri/Giderleri</w:t>
            </w:r>
          </w:p>
        </w:tc>
        <w:tc>
          <w:tcPr>
            <w:tcW w:w="2000" w:type="dxa"/>
            <w:tcBorders>
              <w:top w:val="nil"/>
              <w:left w:val="single" w:sz="4" w:space="0" w:color="auto"/>
              <w:bottom w:val="nil"/>
              <w:right w:val="single" w:sz="4" w:space="0" w:color="auto"/>
            </w:tcBorders>
            <w:shd w:val="clear" w:color="auto" w:fill="auto"/>
            <w:vAlign w:val="bottom"/>
            <w:hideMark/>
          </w:tcPr>
          <w:p w14:paraId="62ED204A"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3B7763D9" w14:textId="77777777" w:rsidTr="00D3610B">
        <w:trPr>
          <w:divId w:val="932010356"/>
          <w:trHeight w:val="170"/>
        </w:trPr>
        <w:tc>
          <w:tcPr>
            <w:tcW w:w="647" w:type="dxa"/>
            <w:tcBorders>
              <w:top w:val="nil"/>
              <w:left w:val="single" w:sz="4" w:space="0" w:color="auto"/>
              <w:bottom w:val="nil"/>
              <w:right w:val="nil"/>
            </w:tcBorders>
            <w:shd w:val="clear" w:color="auto" w:fill="auto"/>
            <w:hideMark/>
          </w:tcPr>
          <w:p w14:paraId="209314FD" w14:textId="77777777" w:rsidR="00862A01" w:rsidRPr="00872D7E" w:rsidRDefault="00862A01" w:rsidP="00862A01">
            <w:pPr>
              <w:ind w:firstLineChars="100" w:firstLine="160"/>
              <w:rPr>
                <w:color w:val="000000"/>
                <w:sz w:val="16"/>
                <w:szCs w:val="16"/>
              </w:rPr>
            </w:pPr>
            <w:r w:rsidRPr="00872D7E">
              <w:rPr>
                <w:sz w:val="16"/>
                <w:szCs w:val="16"/>
              </w:rPr>
              <w:t>2.2.5</w:t>
            </w:r>
          </w:p>
        </w:tc>
        <w:tc>
          <w:tcPr>
            <w:tcW w:w="7271" w:type="dxa"/>
            <w:tcBorders>
              <w:top w:val="nil"/>
              <w:left w:val="nil"/>
              <w:bottom w:val="nil"/>
              <w:right w:val="nil"/>
            </w:tcBorders>
            <w:shd w:val="clear" w:color="auto" w:fill="auto"/>
            <w:vAlign w:val="center"/>
            <w:hideMark/>
          </w:tcPr>
          <w:p w14:paraId="4598F518" w14:textId="77777777" w:rsidR="00862A01" w:rsidRPr="00872D7E" w:rsidRDefault="00862A01" w:rsidP="00862A01">
            <w:pPr>
              <w:ind w:firstLineChars="100" w:firstLine="160"/>
              <w:rPr>
                <w:color w:val="000000"/>
                <w:sz w:val="16"/>
                <w:szCs w:val="16"/>
              </w:rPr>
            </w:pPr>
            <w:r w:rsidRPr="00872D7E">
              <w:rPr>
                <w:sz w:val="16"/>
                <w:szCs w:val="16"/>
              </w:rPr>
              <w:t>Diğer Kâr veya Zarar Olarak Yeniden Sınıflandırılacak Diğer Kapsamlı Gelir Unsurları</w:t>
            </w:r>
          </w:p>
        </w:tc>
        <w:tc>
          <w:tcPr>
            <w:tcW w:w="2000" w:type="dxa"/>
            <w:tcBorders>
              <w:top w:val="nil"/>
              <w:left w:val="single" w:sz="4" w:space="0" w:color="auto"/>
              <w:bottom w:val="nil"/>
              <w:right w:val="single" w:sz="4" w:space="0" w:color="auto"/>
            </w:tcBorders>
            <w:shd w:val="clear" w:color="auto" w:fill="auto"/>
            <w:vAlign w:val="bottom"/>
            <w:hideMark/>
          </w:tcPr>
          <w:p w14:paraId="17FF62A0"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1DA7A348" w14:textId="77777777" w:rsidTr="00D3610B">
        <w:trPr>
          <w:divId w:val="932010356"/>
          <w:trHeight w:val="170"/>
        </w:trPr>
        <w:tc>
          <w:tcPr>
            <w:tcW w:w="647" w:type="dxa"/>
            <w:tcBorders>
              <w:top w:val="nil"/>
              <w:left w:val="single" w:sz="4" w:space="0" w:color="auto"/>
              <w:bottom w:val="nil"/>
              <w:right w:val="nil"/>
            </w:tcBorders>
            <w:shd w:val="clear" w:color="auto" w:fill="auto"/>
            <w:noWrap/>
            <w:hideMark/>
          </w:tcPr>
          <w:p w14:paraId="6E3E5FDC" w14:textId="77777777" w:rsidR="00862A01" w:rsidRPr="00872D7E" w:rsidRDefault="00862A01" w:rsidP="00862A01">
            <w:pPr>
              <w:ind w:firstLineChars="100" w:firstLine="160"/>
              <w:rPr>
                <w:color w:val="000000"/>
                <w:sz w:val="16"/>
                <w:szCs w:val="16"/>
              </w:rPr>
            </w:pPr>
            <w:r w:rsidRPr="00872D7E">
              <w:rPr>
                <w:sz w:val="16"/>
                <w:szCs w:val="16"/>
              </w:rPr>
              <w:t>2.2.6</w:t>
            </w:r>
          </w:p>
        </w:tc>
        <w:tc>
          <w:tcPr>
            <w:tcW w:w="7271" w:type="dxa"/>
            <w:tcBorders>
              <w:top w:val="nil"/>
              <w:left w:val="nil"/>
              <w:bottom w:val="nil"/>
              <w:right w:val="nil"/>
            </w:tcBorders>
            <w:shd w:val="clear" w:color="auto" w:fill="auto"/>
            <w:noWrap/>
            <w:vAlign w:val="center"/>
            <w:hideMark/>
          </w:tcPr>
          <w:p w14:paraId="69F06791" w14:textId="77777777" w:rsidR="00862A01" w:rsidRPr="00872D7E" w:rsidRDefault="00862A01" w:rsidP="00862A01">
            <w:pPr>
              <w:ind w:firstLineChars="100" w:firstLine="160"/>
              <w:rPr>
                <w:color w:val="000000"/>
                <w:sz w:val="16"/>
                <w:szCs w:val="16"/>
              </w:rPr>
            </w:pPr>
            <w:r w:rsidRPr="00872D7E">
              <w:rPr>
                <w:sz w:val="16"/>
                <w:szCs w:val="16"/>
              </w:rPr>
              <w:t>Kâr veya Zararda Yeniden Sınıflandırılacak Diğer Kapsamlı Gelire İlişkin Vergiler</w:t>
            </w:r>
          </w:p>
        </w:tc>
        <w:tc>
          <w:tcPr>
            <w:tcW w:w="2000" w:type="dxa"/>
            <w:tcBorders>
              <w:top w:val="nil"/>
              <w:left w:val="single" w:sz="4" w:space="0" w:color="auto"/>
              <w:bottom w:val="nil"/>
              <w:right w:val="single" w:sz="4" w:space="0" w:color="auto"/>
            </w:tcBorders>
            <w:shd w:val="clear" w:color="auto" w:fill="auto"/>
            <w:vAlign w:val="bottom"/>
            <w:hideMark/>
          </w:tcPr>
          <w:p w14:paraId="46C20E33" w14:textId="77777777" w:rsidR="00862A01" w:rsidRPr="00872D7E" w:rsidRDefault="00862A01" w:rsidP="00862A01">
            <w:pPr>
              <w:jc w:val="right"/>
              <w:rPr>
                <w:b/>
                <w:bCs/>
                <w:color w:val="000000"/>
                <w:sz w:val="16"/>
                <w:szCs w:val="16"/>
                <w:lang w:eastAsia="tr-TR"/>
              </w:rPr>
            </w:pPr>
            <w:r w:rsidRPr="00872D7E">
              <w:rPr>
                <w:color w:val="000000"/>
                <w:sz w:val="16"/>
                <w:szCs w:val="16"/>
              </w:rPr>
              <w:t>(3.558</w:t>
            </w:r>
            <w:r w:rsidRPr="00872D7E">
              <w:rPr>
                <w:b/>
                <w:bCs/>
                <w:color w:val="000000"/>
                <w:sz w:val="16"/>
                <w:szCs w:val="16"/>
                <w:lang w:eastAsia="tr-TR"/>
              </w:rPr>
              <w:t>)</w:t>
            </w:r>
          </w:p>
        </w:tc>
      </w:tr>
      <w:tr w:rsidR="00862A01" w:rsidRPr="00872D7E" w14:paraId="749DABDE" w14:textId="77777777" w:rsidTr="00D3610B">
        <w:trPr>
          <w:divId w:val="932010356"/>
          <w:trHeight w:val="170"/>
        </w:trPr>
        <w:tc>
          <w:tcPr>
            <w:tcW w:w="647" w:type="dxa"/>
            <w:tcBorders>
              <w:top w:val="nil"/>
              <w:left w:val="single" w:sz="4" w:space="0" w:color="auto"/>
              <w:bottom w:val="nil"/>
              <w:right w:val="nil"/>
            </w:tcBorders>
            <w:shd w:val="clear" w:color="auto" w:fill="auto"/>
            <w:noWrap/>
            <w:vAlign w:val="bottom"/>
            <w:hideMark/>
          </w:tcPr>
          <w:p w14:paraId="432FB216" w14:textId="77777777" w:rsidR="00862A01" w:rsidRPr="00872D7E" w:rsidRDefault="00862A01" w:rsidP="00862A01">
            <w:pPr>
              <w:rPr>
                <w:color w:val="000000"/>
                <w:sz w:val="16"/>
                <w:szCs w:val="16"/>
              </w:rPr>
            </w:pPr>
            <w:r w:rsidRPr="00872D7E">
              <w:rPr>
                <w:color w:val="000000"/>
                <w:sz w:val="16"/>
                <w:szCs w:val="16"/>
              </w:rPr>
              <w:t> </w:t>
            </w:r>
          </w:p>
        </w:tc>
        <w:tc>
          <w:tcPr>
            <w:tcW w:w="7271" w:type="dxa"/>
            <w:tcBorders>
              <w:top w:val="nil"/>
              <w:left w:val="nil"/>
              <w:bottom w:val="nil"/>
              <w:right w:val="nil"/>
            </w:tcBorders>
            <w:shd w:val="clear" w:color="auto" w:fill="auto"/>
            <w:noWrap/>
            <w:vAlign w:val="bottom"/>
            <w:hideMark/>
          </w:tcPr>
          <w:p w14:paraId="17CFC0EC" w14:textId="77777777" w:rsidR="00862A01" w:rsidRPr="00872D7E" w:rsidRDefault="00862A01" w:rsidP="00862A01">
            <w:pPr>
              <w:rPr>
                <w:color w:val="000000"/>
                <w:sz w:val="16"/>
                <w:szCs w:val="16"/>
              </w:rPr>
            </w:pPr>
          </w:p>
        </w:tc>
        <w:tc>
          <w:tcPr>
            <w:tcW w:w="2000" w:type="dxa"/>
            <w:tcBorders>
              <w:top w:val="nil"/>
              <w:left w:val="single" w:sz="4" w:space="0" w:color="auto"/>
              <w:bottom w:val="nil"/>
              <w:right w:val="single" w:sz="4" w:space="0" w:color="auto"/>
            </w:tcBorders>
            <w:shd w:val="clear" w:color="auto" w:fill="auto"/>
            <w:noWrap/>
            <w:vAlign w:val="bottom"/>
            <w:hideMark/>
          </w:tcPr>
          <w:p w14:paraId="1828E9CA" w14:textId="77777777" w:rsidR="00862A01" w:rsidRPr="00872D7E" w:rsidRDefault="00862A01" w:rsidP="00862A01">
            <w:pPr>
              <w:jc w:val="right"/>
              <w:rPr>
                <w:color w:val="000000"/>
                <w:sz w:val="16"/>
                <w:szCs w:val="16"/>
              </w:rPr>
            </w:pPr>
            <w:r w:rsidRPr="00872D7E">
              <w:rPr>
                <w:color w:val="000000"/>
                <w:sz w:val="16"/>
                <w:szCs w:val="16"/>
              </w:rPr>
              <w:t> </w:t>
            </w:r>
          </w:p>
        </w:tc>
      </w:tr>
      <w:tr w:rsidR="00862A01" w:rsidRPr="00872D7E" w14:paraId="4EC96F33" w14:textId="77777777" w:rsidTr="00D3610B">
        <w:trPr>
          <w:divId w:val="932010356"/>
          <w:trHeight w:val="170"/>
        </w:trPr>
        <w:tc>
          <w:tcPr>
            <w:tcW w:w="647" w:type="dxa"/>
            <w:tcBorders>
              <w:top w:val="nil"/>
              <w:left w:val="single" w:sz="4" w:space="0" w:color="auto"/>
              <w:bottom w:val="single" w:sz="4" w:space="0" w:color="auto"/>
              <w:right w:val="nil"/>
            </w:tcBorders>
            <w:shd w:val="clear" w:color="auto" w:fill="auto"/>
            <w:noWrap/>
            <w:vAlign w:val="center"/>
            <w:hideMark/>
          </w:tcPr>
          <w:p w14:paraId="5FD75A68" w14:textId="77777777" w:rsidR="00862A01" w:rsidRPr="00872D7E" w:rsidRDefault="00862A01" w:rsidP="00862A01">
            <w:pPr>
              <w:rPr>
                <w:b/>
                <w:bCs/>
                <w:color w:val="000000"/>
                <w:sz w:val="16"/>
                <w:szCs w:val="16"/>
              </w:rPr>
            </w:pPr>
            <w:r w:rsidRPr="00872D7E">
              <w:rPr>
                <w:b/>
                <w:bCs/>
                <w:sz w:val="16"/>
                <w:szCs w:val="16"/>
              </w:rPr>
              <w:t>III.</w:t>
            </w:r>
          </w:p>
        </w:tc>
        <w:tc>
          <w:tcPr>
            <w:tcW w:w="7271" w:type="dxa"/>
            <w:tcBorders>
              <w:top w:val="nil"/>
              <w:left w:val="nil"/>
              <w:bottom w:val="single" w:sz="4" w:space="0" w:color="auto"/>
              <w:right w:val="nil"/>
            </w:tcBorders>
            <w:shd w:val="clear" w:color="auto" w:fill="auto"/>
            <w:noWrap/>
            <w:vAlign w:val="center"/>
            <w:hideMark/>
          </w:tcPr>
          <w:p w14:paraId="63B4443C" w14:textId="77777777" w:rsidR="00862A01" w:rsidRPr="00872D7E" w:rsidRDefault="00862A01" w:rsidP="00862A01">
            <w:pPr>
              <w:rPr>
                <w:b/>
                <w:bCs/>
                <w:color w:val="000000"/>
                <w:sz w:val="16"/>
                <w:szCs w:val="16"/>
              </w:rPr>
            </w:pPr>
            <w:r w:rsidRPr="00872D7E">
              <w:rPr>
                <w:b/>
                <w:bCs/>
                <w:sz w:val="16"/>
                <w:szCs w:val="16"/>
              </w:rPr>
              <w:t>TOPLAM KAPSAMLI GELİR (I+II)</w:t>
            </w:r>
          </w:p>
        </w:tc>
        <w:tc>
          <w:tcPr>
            <w:tcW w:w="2000" w:type="dxa"/>
            <w:tcBorders>
              <w:top w:val="nil"/>
              <w:left w:val="single" w:sz="4" w:space="0" w:color="auto"/>
              <w:bottom w:val="single" w:sz="4" w:space="0" w:color="auto"/>
              <w:right w:val="single" w:sz="4" w:space="0" w:color="auto"/>
            </w:tcBorders>
            <w:shd w:val="clear" w:color="auto" w:fill="auto"/>
            <w:vAlign w:val="bottom"/>
            <w:hideMark/>
          </w:tcPr>
          <w:p w14:paraId="15AAA6B0" w14:textId="77777777" w:rsidR="00862A01" w:rsidRPr="00872D7E" w:rsidRDefault="00862A01" w:rsidP="00862A01">
            <w:pPr>
              <w:jc w:val="right"/>
              <w:rPr>
                <w:b/>
                <w:bCs/>
                <w:color w:val="000000"/>
                <w:sz w:val="16"/>
                <w:szCs w:val="16"/>
              </w:rPr>
            </w:pPr>
            <w:r w:rsidRPr="00872D7E">
              <w:rPr>
                <w:b/>
                <w:bCs/>
                <w:color w:val="000000"/>
                <w:sz w:val="16"/>
                <w:szCs w:val="16"/>
              </w:rPr>
              <w:t>1.358.046</w:t>
            </w:r>
          </w:p>
        </w:tc>
      </w:tr>
    </w:tbl>
    <w:p w14:paraId="273CAD7C" w14:textId="06ECDE19" w:rsidR="00275726" w:rsidRPr="00872D7E" w:rsidRDefault="00275726" w:rsidP="009F6E11">
      <w:pPr>
        <w:widowControl w:val="0"/>
        <w:ind w:left="-266" w:right="-490"/>
        <w:rPr>
          <w:szCs w:val="20"/>
        </w:rPr>
      </w:pPr>
    </w:p>
    <w:p w14:paraId="26260BD8" w14:textId="0B72677C" w:rsidR="0097685D" w:rsidRPr="00872D7E" w:rsidRDefault="0097685D" w:rsidP="00D3610B">
      <w:pPr>
        <w:widowControl w:val="0"/>
        <w:ind w:left="567" w:hanging="567"/>
        <w:jc w:val="both"/>
        <w:rPr>
          <w:szCs w:val="20"/>
        </w:rPr>
      </w:pPr>
      <w:r w:rsidRPr="00872D7E">
        <w:rPr>
          <w:sz w:val="18"/>
          <w:szCs w:val="18"/>
          <w:vertAlign w:val="superscript"/>
        </w:rPr>
        <w:t>(*)</w:t>
      </w:r>
      <w:r w:rsidR="00504891" w:rsidRPr="00872D7E">
        <w:rPr>
          <w:sz w:val="18"/>
          <w:szCs w:val="18"/>
        </w:rPr>
        <w:tab/>
      </w:r>
      <w:r w:rsidRPr="00872D7E">
        <w:rPr>
          <w:sz w:val="18"/>
          <w:szCs w:val="18"/>
        </w:rPr>
        <w:t xml:space="preserve">3. Bölüm I. Kısımda açıklandığı üzere Banka’nın 1 </w:t>
      </w:r>
      <w:proofErr w:type="gramStart"/>
      <w:r w:rsidRPr="00872D7E">
        <w:rPr>
          <w:sz w:val="18"/>
          <w:szCs w:val="18"/>
        </w:rPr>
        <w:t>Ocak -</w:t>
      </w:r>
      <w:proofErr w:type="gramEnd"/>
      <w:r w:rsidRPr="00872D7E">
        <w:rPr>
          <w:sz w:val="18"/>
          <w:szCs w:val="18"/>
        </w:rPr>
        <w:t xml:space="preserve"> </w:t>
      </w:r>
      <w:r w:rsidR="00B07002" w:rsidRPr="00872D7E">
        <w:rPr>
          <w:sz w:val="18"/>
          <w:szCs w:val="18"/>
        </w:rPr>
        <w:t>31 Aralık</w:t>
      </w:r>
      <w:r w:rsidR="007301E4" w:rsidRPr="00872D7E">
        <w:rPr>
          <w:sz w:val="18"/>
          <w:szCs w:val="18"/>
        </w:rPr>
        <w:t xml:space="preserve"> </w:t>
      </w:r>
      <w:r w:rsidR="005D4EF6" w:rsidRPr="00872D7E">
        <w:rPr>
          <w:sz w:val="18"/>
          <w:szCs w:val="18"/>
        </w:rPr>
        <w:t>2024</w:t>
      </w:r>
      <w:r w:rsidRPr="00872D7E">
        <w:rPr>
          <w:sz w:val="18"/>
          <w:szCs w:val="18"/>
        </w:rPr>
        <w:t xml:space="preserve"> hesap dönemine ait konsolide olmayan kar veya zarar ve diğer kapsamlı gelir tablosu önceki dönem ile karşılaştırmalı olarak sunulmamıştır.</w:t>
      </w:r>
    </w:p>
    <w:p w14:paraId="78916E49" w14:textId="24B1F723" w:rsidR="00916223" w:rsidRPr="00872D7E" w:rsidRDefault="00916223" w:rsidP="00916223">
      <w:pPr>
        <w:widowControl w:val="0"/>
        <w:tabs>
          <w:tab w:val="left" w:pos="-426"/>
        </w:tabs>
        <w:ind w:right="-1"/>
        <w:jc w:val="both"/>
        <w:rPr>
          <w:szCs w:val="20"/>
        </w:rPr>
      </w:pPr>
    </w:p>
    <w:p w14:paraId="5DD836CD" w14:textId="77777777" w:rsidR="001E4B32" w:rsidRPr="00872D7E" w:rsidRDefault="001E4B32" w:rsidP="009F6E11">
      <w:pPr>
        <w:widowControl w:val="0"/>
        <w:jc w:val="center"/>
        <w:rPr>
          <w:szCs w:val="20"/>
        </w:rPr>
      </w:pPr>
    </w:p>
    <w:p w14:paraId="4ABB3E9F" w14:textId="77777777" w:rsidR="001E4B32" w:rsidRPr="00872D7E" w:rsidRDefault="001E4B32" w:rsidP="009F6E11">
      <w:pPr>
        <w:widowControl w:val="0"/>
        <w:jc w:val="center"/>
        <w:rPr>
          <w:szCs w:val="20"/>
        </w:rPr>
      </w:pPr>
    </w:p>
    <w:p w14:paraId="0C5E4609" w14:textId="77777777" w:rsidR="00355A76" w:rsidRPr="00872D7E" w:rsidRDefault="00355A76" w:rsidP="009F6E11">
      <w:pPr>
        <w:widowControl w:val="0"/>
        <w:jc w:val="center"/>
        <w:rPr>
          <w:szCs w:val="20"/>
        </w:rPr>
      </w:pPr>
    </w:p>
    <w:p w14:paraId="17B18CCE" w14:textId="77777777" w:rsidR="00355A76" w:rsidRPr="00872D7E" w:rsidRDefault="00355A76" w:rsidP="009F6E11">
      <w:pPr>
        <w:widowControl w:val="0"/>
        <w:jc w:val="center"/>
        <w:rPr>
          <w:szCs w:val="20"/>
        </w:rPr>
      </w:pPr>
    </w:p>
    <w:p w14:paraId="117383E5" w14:textId="77777777" w:rsidR="00355A76" w:rsidRPr="00872D7E" w:rsidRDefault="00355A76" w:rsidP="009F6E11">
      <w:pPr>
        <w:widowControl w:val="0"/>
        <w:jc w:val="center"/>
        <w:rPr>
          <w:szCs w:val="20"/>
        </w:rPr>
      </w:pPr>
    </w:p>
    <w:p w14:paraId="17979F7E" w14:textId="77777777" w:rsidR="00355A76" w:rsidRPr="00872D7E" w:rsidRDefault="00355A76" w:rsidP="009F6E11">
      <w:pPr>
        <w:widowControl w:val="0"/>
        <w:jc w:val="center"/>
        <w:rPr>
          <w:szCs w:val="20"/>
        </w:rPr>
      </w:pPr>
    </w:p>
    <w:p w14:paraId="2ECE5A33" w14:textId="77777777" w:rsidR="00355A76" w:rsidRPr="00872D7E" w:rsidRDefault="00355A76" w:rsidP="009F6E11">
      <w:pPr>
        <w:widowControl w:val="0"/>
        <w:jc w:val="center"/>
        <w:rPr>
          <w:szCs w:val="20"/>
        </w:rPr>
      </w:pPr>
    </w:p>
    <w:p w14:paraId="3D671D8F" w14:textId="77777777" w:rsidR="00355A76" w:rsidRPr="00872D7E" w:rsidRDefault="00355A76" w:rsidP="009F6E11">
      <w:pPr>
        <w:widowControl w:val="0"/>
        <w:jc w:val="center"/>
        <w:rPr>
          <w:szCs w:val="20"/>
        </w:rPr>
      </w:pPr>
    </w:p>
    <w:p w14:paraId="37E5D848" w14:textId="77777777" w:rsidR="00355A76" w:rsidRPr="00872D7E" w:rsidRDefault="00355A76" w:rsidP="009F6E11">
      <w:pPr>
        <w:widowControl w:val="0"/>
        <w:jc w:val="center"/>
        <w:rPr>
          <w:szCs w:val="20"/>
        </w:rPr>
      </w:pPr>
    </w:p>
    <w:p w14:paraId="07A71A20" w14:textId="77777777" w:rsidR="00355A76" w:rsidRPr="00872D7E" w:rsidRDefault="00355A76" w:rsidP="009F6E11">
      <w:pPr>
        <w:widowControl w:val="0"/>
        <w:jc w:val="center"/>
        <w:rPr>
          <w:szCs w:val="20"/>
        </w:rPr>
      </w:pPr>
    </w:p>
    <w:p w14:paraId="30A1FA8B" w14:textId="77777777" w:rsidR="00355A76" w:rsidRPr="00872D7E" w:rsidRDefault="00355A76" w:rsidP="009F6E11">
      <w:pPr>
        <w:widowControl w:val="0"/>
        <w:jc w:val="center"/>
        <w:rPr>
          <w:szCs w:val="20"/>
        </w:rPr>
      </w:pPr>
    </w:p>
    <w:p w14:paraId="511573D2" w14:textId="77777777" w:rsidR="00355A76" w:rsidRPr="00872D7E" w:rsidRDefault="00355A76" w:rsidP="009F6E11">
      <w:pPr>
        <w:widowControl w:val="0"/>
        <w:jc w:val="center"/>
        <w:rPr>
          <w:szCs w:val="20"/>
        </w:rPr>
      </w:pPr>
    </w:p>
    <w:p w14:paraId="3F092A83" w14:textId="77777777" w:rsidR="00355A76" w:rsidRPr="00872D7E" w:rsidRDefault="00355A76" w:rsidP="009F6E11">
      <w:pPr>
        <w:widowControl w:val="0"/>
        <w:jc w:val="center"/>
        <w:rPr>
          <w:szCs w:val="20"/>
        </w:rPr>
      </w:pPr>
    </w:p>
    <w:p w14:paraId="5FF59B6B" w14:textId="77777777" w:rsidR="00355A76" w:rsidRPr="00872D7E" w:rsidRDefault="00355A76" w:rsidP="009F6E11">
      <w:pPr>
        <w:widowControl w:val="0"/>
        <w:jc w:val="center"/>
        <w:rPr>
          <w:szCs w:val="20"/>
        </w:rPr>
      </w:pPr>
    </w:p>
    <w:p w14:paraId="1D17502D" w14:textId="77777777" w:rsidR="005426C5" w:rsidRPr="00872D7E" w:rsidRDefault="005426C5" w:rsidP="009F6E11">
      <w:pPr>
        <w:widowControl w:val="0"/>
        <w:jc w:val="center"/>
        <w:rPr>
          <w:szCs w:val="20"/>
        </w:rPr>
      </w:pPr>
    </w:p>
    <w:p w14:paraId="12F2BB39" w14:textId="2764F1AE" w:rsidR="005426C5" w:rsidRPr="00872D7E" w:rsidRDefault="005426C5" w:rsidP="009F6E11">
      <w:pPr>
        <w:widowControl w:val="0"/>
        <w:jc w:val="center"/>
        <w:rPr>
          <w:szCs w:val="20"/>
        </w:rPr>
      </w:pPr>
    </w:p>
    <w:p w14:paraId="669862AC" w14:textId="77777777" w:rsidR="00D145A6" w:rsidRPr="00872D7E" w:rsidRDefault="00D145A6" w:rsidP="009F6E11">
      <w:pPr>
        <w:widowControl w:val="0"/>
        <w:jc w:val="center"/>
        <w:rPr>
          <w:szCs w:val="20"/>
        </w:rPr>
      </w:pPr>
    </w:p>
    <w:p w14:paraId="05052B3D" w14:textId="77777777" w:rsidR="00244557" w:rsidRPr="00872D7E" w:rsidRDefault="00244557" w:rsidP="009F6E11">
      <w:pPr>
        <w:widowControl w:val="0"/>
        <w:jc w:val="center"/>
        <w:rPr>
          <w:szCs w:val="20"/>
        </w:rPr>
      </w:pPr>
    </w:p>
    <w:p w14:paraId="3258791C" w14:textId="77777777" w:rsidR="00244557" w:rsidRPr="00872D7E" w:rsidRDefault="00244557" w:rsidP="009F6E11">
      <w:pPr>
        <w:widowControl w:val="0"/>
        <w:jc w:val="center"/>
        <w:rPr>
          <w:szCs w:val="20"/>
        </w:rPr>
      </w:pPr>
    </w:p>
    <w:p w14:paraId="072AF89F" w14:textId="77777777" w:rsidR="00244557" w:rsidRPr="00872D7E" w:rsidRDefault="00244557" w:rsidP="009F6E11">
      <w:pPr>
        <w:widowControl w:val="0"/>
        <w:jc w:val="center"/>
        <w:rPr>
          <w:szCs w:val="20"/>
        </w:rPr>
      </w:pPr>
    </w:p>
    <w:p w14:paraId="47C63B7A" w14:textId="77777777" w:rsidR="004C4FDF" w:rsidRPr="00872D7E" w:rsidRDefault="004C4FDF" w:rsidP="009F6E11">
      <w:pPr>
        <w:widowControl w:val="0"/>
        <w:jc w:val="center"/>
        <w:rPr>
          <w:szCs w:val="20"/>
        </w:rPr>
      </w:pPr>
    </w:p>
    <w:p w14:paraId="1AE481F4" w14:textId="77777777" w:rsidR="004C4FDF" w:rsidRPr="00872D7E" w:rsidRDefault="004C4FDF" w:rsidP="009F6E11">
      <w:pPr>
        <w:widowControl w:val="0"/>
        <w:jc w:val="center"/>
        <w:rPr>
          <w:szCs w:val="20"/>
        </w:rPr>
      </w:pPr>
    </w:p>
    <w:p w14:paraId="4B5A1DD2" w14:textId="77777777" w:rsidR="004C4FDF" w:rsidRPr="00872D7E" w:rsidRDefault="004C4FDF" w:rsidP="001B6D11">
      <w:pPr>
        <w:widowControl w:val="0"/>
        <w:jc w:val="center"/>
        <w:rPr>
          <w:szCs w:val="20"/>
        </w:rPr>
      </w:pPr>
    </w:p>
    <w:p w14:paraId="42886CE3" w14:textId="77777777" w:rsidR="00D245A8" w:rsidRPr="00872D7E" w:rsidRDefault="00D245A8" w:rsidP="001B6D11">
      <w:pPr>
        <w:widowControl w:val="0"/>
        <w:jc w:val="center"/>
        <w:rPr>
          <w:szCs w:val="20"/>
        </w:rPr>
      </w:pPr>
    </w:p>
    <w:p w14:paraId="62B95711" w14:textId="77777777" w:rsidR="00D245A8" w:rsidRPr="00872D7E" w:rsidRDefault="00D245A8" w:rsidP="001B6D11">
      <w:pPr>
        <w:widowControl w:val="0"/>
        <w:jc w:val="center"/>
        <w:rPr>
          <w:szCs w:val="20"/>
        </w:rPr>
      </w:pPr>
    </w:p>
    <w:p w14:paraId="27D25DCF" w14:textId="77777777" w:rsidR="002C16CB" w:rsidRPr="00872D7E" w:rsidRDefault="002C16CB" w:rsidP="001B6D11">
      <w:pPr>
        <w:widowControl w:val="0"/>
        <w:jc w:val="center"/>
        <w:rPr>
          <w:szCs w:val="20"/>
        </w:rPr>
      </w:pPr>
    </w:p>
    <w:p w14:paraId="6E858BFF" w14:textId="77777777" w:rsidR="002C16CB" w:rsidRPr="00872D7E" w:rsidRDefault="002C16CB" w:rsidP="001B6D11">
      <w:pPr>
        <w:widowControl w:val="0"/>
        <w:jc w:val="center"/>
        <w:rPr>
          <w:szCs w:val="20"/>
        </w:rPr>
      </w:pPr>
    </w:p>
    <w:p w14:paraId="25D6DB74" w14:textId="77777777" w:rsidR="00D245A8" w:rsidRPr="00872D7E" w:rsidRDefault="00D245A8" w:rsidP="001B6D11">
      <w:pPr>
        <w:widowControl w:val="0"/>
        <w:jc w:val="center"/>
        <w:rPr>
          <w:szCs w:val="20"/>
        </w:rPr>
      </w:pPr>
    </w:p>
    <w:p w14:paraId="511A1667" w14:textId="77777777" w:rsidR="00D245A8" w:rsidRPr="00872D7E" w:rsidRDefault="00D245A8" w:rsidP="001B6D11">
      <w:pPr>
        <w:widowControl w:val="0"/>
        <w:jc w:val="center"/>
        <w:rPr>
          <w:szCs w:val="20"/>
        </w:rPr>
      </w:pPr>
    </w:p>
    <w:p w14:paraId="13AE9146" w14:textId="77777777" w:rsidR="00D245A8" w:rsidRPr="00872D7E" w:rsidRDefault="00D245A8" w:rsidP="001B6D11">
      <w:pPr>
        <w:widowControl w:val="0"/>
        <w:jc w:val="center"/>
        <w:rPr>
          <w:szCs w:val="20"/>
        </w:rPr>
      </w:pPr>
    </w:p>
    <w:p w14:paraId="06CB535D" w14:textId="77777777" w:rsidR="00D245A8" w:rsidRPr="00872D7E" w:rsidRDefault="00D245A8" w:rsidP="001B6D11">
      <w:pPr>
        <w:widowControl w:val="0"/>
        <w:jc w:val="center"/>
        <w:rPr>
          <w:szCs w:val="20"/>
        </w:rPr>
      </w:pPr>
    </w:p>
    <w:p w14:paraId="1A0AD51E" w14:textId="77777777" w:rsidR="00D3610B" w:rsidRPr="00872D7E" w:rsidRDefault="00D3610B" w:rsidP="001B6D11">
      <w:pPr>
        <w:widowControl w:val="0"/>
        <w:jc w:val="center"/>
        <w:rPr>
          <w:szCs w:val="20"/>
        </w:rPr>
      </w:pPr>
    </w:p>
    <w:p w14:paraId="5A2C9FAF" w14:textId="77777777" w:rsidR="00D3610B" w:rsidRPr="00872D7E" w:rsidRDefault="00D3610B" w:rsidP="001B6D11">
      <w:pPr>
        <w:widowControl w:val="0"/>
        <w:jc w:val="center"/>
        <w:rPr>
          <w:szCs w:val="20"/>
        </w:rPr>
      </w:pPr>
    </w:p>
    <w:p w14:paraId="26FF15FD" w14:textId="77777777" w:rsidR="00D3610B" w:rsidRPr="00872D7E" w:rsidRDefault="00D3610B" w:rsidP="001B6D11">
      <w:pPr>
        <w:widowControl w:val="0"/>
        <w:jc w:val="center"/>
        <w:rPr>
          <w:szCs w:val="20"/>
        </w:rPr>
      </w:pPr>
    </w:p>
    <w:p w14:paraId="1EDC87E0" w14:textId="77777777" w:rsidR="00D3610B" w:rsidRPr="00872D7E" w:rsidRDefault="00D3610B" w:rsidP="001B6D11">
      <w:pPr>
        <w:widowControl w:val="0"/>
        <w:jc w:val="center"/>
        <w:rPr>
          <w:szCs w:val="20"/>
        </w:rPr>
      </w:pPr>
    </w:p>
    <w:p w14:paraId="3C11178D" w14:textId="77777777" w:rsidR="00D245A8" w:rsidRPr="00872D7E" w:rsidRDefault="00D245A8" w:rsidP="009F6E11">
      <w:pPr>
        <w:widowControl w:val="0"/>
        <w:jc w:val="center"/>
        <w:rPr>
          <w:szCs w:val="20"/>
        </w:rPr>
      </w:pPr>
    </w:p>
    <w:p w14:paraId="5B36D342" w14:textId="77777777" w:rsidR="004C4FDF" w:rsidRPr="00872D7E" w:rsidRDefault="004C4FDF" w:rsidP="009F6E11">
      <w:pPr>
        <w:widowControl w:val="0"/>
        <w:jc w:val="center"/>
        <w:rPr>
          <w:szCs w:val="20"/>
        </w:rPr>
      </w:pPr>
    </w:p>
    <w:p w14:paraId="207746BE" w14:textId="77777777" w:rsidR="00D15123" w:rsidRPr="00872D7E" w:rsidRDefault="00D245A8" w:rsidP="009F6E11">
      <w:pPr>
        <w:widowControl w:val="0"/>
        <w:jc w:val="center"/>
        <w:rPr>
          <w:szCs w:val="20"/>
        </w:rPr>
      </w:pPr>
      <w:r w:rsidRPr="00872D7E">
        <w:rPr>
          <w:szCs w:val="20"/>
        </w:rPr>
        <w:t>İlişikteki açıklama ve dipnotlar bu finansal tabloların tamamlayıcı bir parçasıdır</w:t>
      </w:r>
      <w:r w:rsidR="00E0081F" w:rsidRPr="00872D7E">
        <w:rPr>
          <w:szCs w:val="20"/>
        </w:rPr>
        <w:t>.</w:t>
      </w:r>
    </w:p>
    <w:p w14:paraId="7DD4FB17" w14:textId="1A97A88A" w:rsidR="00D3610B" w:rsidRPr="00872D7E" w:rsidRDefault="00D3610B" w:rsidP="009F6E11">
      <w:pPr>
        <w:widowControl w:val="0"/>
        <w:jc w:val="center"/>
        <w:rPr>
          <w:szCs w:val="20"/>
        </w:rPr>
        <w:sectPr w:rsidR="00D3610B" w:rsidRPr="00872D7E" w:rsidSect="00504891">
          <w:headerReference w:type="even" r:id="rId49"/>
          <w:headerReference w:type="default" r:id="rId50"/>
          <w:footerReference w:type="even" r:id="rId51"/>
          <w:footerReference w:type="default" r:id="rId52"/>
          <w:headerReference w:type="first" r:id="rId53"/>
          <w:footerReference w:type="first" r:id="rId54"/>
          <w:type w:val="nextColumn"/>
          <w:pgSz w:w="11907" w:h="16840" w:code="9"/>
          <w:pgMar w:top="851" w:right="851" w:bottom="851" w:left="1134" w:header="851" w:footer="851" w:gutter="0"/>
          <w:cols w:space="720"/>
          <w:noEndnote/>
          <w:titlePg/>
          <w:docGrid w:linePitch="326"/>
        </w:sectPr>
      </w:pPr>
    </w:p>
    <w:tbl>
      <w:tblPr>
        <w:tblW w:w="15027" w:type="dxa"/>
        <w:tblCellMar>
          <w:left w:w="70" w:type="dxa"/>
          <w:right w:w="70" w:type="dxa"/>
        </w:tblCellMar>
        <w:tblLook w:val="04A0" w:firstRow="1" w:lastRow="0" w:firstColumn="1" w:lastColumn="0" w:noHBand="0" w:noVBand="1"/>
      </w:tblPr>
      <w:tblGrid>
        <w:gridCol w:w="562"/>
        <w:gridCol w:w="3381"/>
        <w:gridCol w:w="707"/>
        <w:gridCol w:w="851"/>
        <w:gridCol w:w="709"/>
        <w:gridCol w:w="708"/>
        <w:gridCol w:w="724"/>
        <w:gridCol w:w="575"/>
        <w:gridCol w:w="709"/>
        <w:gridCol w:w="640"/>
        <w:gridCol w:w="636"/>
        <w:gridCol w:w="731"/>
        <w:gridCol w:w="715"/>
        <w:gridCol w:w="835"/>
        <w:gridCol w:w="709"/>
        <w:gridCol w:w="850"/>
        <w:gridCol w:w="985"/>
      </w:tblGrid>
      <w:tr w:rsidR="00862A01" w:rsidRPr="00872D7E" w14:paraId="47E951C0" w14:textId="77777777" w:rsidTr="00862A01">
        <w:trPr>
          <w:divId w:val="324477069"/>
          <w:trHeight w:val="113"/>
        </w:trPr>
        <w:tc>
          <w:tcPr>
            <w:tcW w:w="39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5317CD50" w14:textId="4D765F40" w:rsidR="00862A01" w:rsidRPr="00872D7E" w:rsidRDefault="00862A01" w:rsidP="00862A01">
            <w:pPr>
              <w:jc w:val="center"/>
              <w:rPr>
                <w:b/>
                <w:bCs/>
                <w:color w:val="000000"/>
                <w:sz w:val="14"/>
                <w:szCs w:val="14"/>
              </w:rPr>
            </w:pPr>
            <w:r w:rsidRPr="00872D7E">
              <w:rPr>
                <w:b/>
                <w:bCs/>
                <w:color w:val="000000"/>
                <w:sz w:val="14"/>
                <w:szCs w:val="14"/>
              </w:rPr>
              <w:lastRenderedPageBreak/>
              <w:t>ÖZKAYNAK KALEMLERİNDEKİ DEĞİŞİKLİKLER</w:t>
            </w:r>
          </w:p>
        </w:tc>
        <w:tc>
          <w:tcPr>
            <w:tcW w:w="70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32C4B2E" w14:textId="77777777" w:rsidR="00862A01" w:rsidRPr="00872D7E" w:rsidRDefault="00862A01" w:rsidP="00862A01">
            <w:pPr>
              <w:jc w:val="center"/>
              <w:rPr>
                <w:b/>
                <w:bCs/>
                <w:color w:val="000000"/>
                <w:sz w:val="14"/>
                <w:szCs w:val="14"/>
              </w:rPr>
            </w:pPr>
            <w:r w:rsidRPr="00872D7E">
              <w:rPr>
                <w:b/>
                <w:bCs/>
                <w:color w:val="000000"/>
                <w:sz w:val="14"/>
                <w:szCs w:val="14"/>
              </w:rPr>
              <w:t>Dipnot</w:t>
            </w:r>
            <w:r w:rsidRPr="00872D7E">
              <w:rPr>
                <w:b/>
                <w:bCs/>
                <w:color w:val="000000"/>
                <w:sz w:val="14"/>
                <w:szCs w:val="14"/>
              </w:rPr>
              <w:br/>
              <w:t>(Beşinci Bölüm-V)</w:t>
            </w:r>
          </w:p>
        </w:tc>
        <w:tc>
          <w:tcPr>
            <w:tcW w:w="851" w:type="dxa"/>
            <w:tcBorders>
              <w:top w:val="single" w:sz="4" w:space="0" w:color="auto"/>
              <w:left w:val="nil"/>
              <w:bottom w:val="single" w:sz="4" w:space="0" w:color="auto"/>
              <w:right w:val="nil"/>
            </w:tcBorders>
            <w:shd w:val="clear" w:color="auto" w:fill="auto"/>
            <w:vAlign w:val="center"/>
            <w:hideMark/>
          </w:tcPr>
          <w:p w14:paraId="654D0ABC" w14:textId="77777777" w:rsidR="00862A01" w:rsidRPr="00872D7E" w:rsidRDefault="00862A01" w:rsidP="00862A01">
            <w:pPr>
              <w:rPr>
                <w:b/>
                <w:bCs/>
                <w:color w:val="000000"/>
                <w:sz w:val="14"/>
                <w:szCs w:val="14"/>
              </w:rPr>
            </w:pPr>
            <w:r w:rsidRPr="00872D7E">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57A1C522" w14:textId="77777777" w:rsidR="00862A01" w:rsidRPr="00872D7E" w:rsidRDefault="00862A01" w:rsidP="00862A01">
            <w:pPr>
              <w:rPr>
                <w:b/>
                <w:bCs/>
                <w:color w:val="000000"/>
                <w:sz w:val="14"/>
                <w:szCs w:val="14"/>
              </w:rPr>
            </w:pPr>
            <w:r w:rsidRPr="00872D7E">
              <w:rPr>
                <w:b/>
                <w:bCs/>
                <w:color w:val="000000"/>
                <w:sz w:val="14"/>
                <w:szCs w:val="14"/>
              </w:rPr>
              <w:t> </w:t>
            </w:r>
          </w:p>
        </w:tc>
        <w:tc>
          <w:tcPr>
            <w:tcW w:w="708" w:type="dxa"/>
            <w:tcBorders>
              <w:top w:val="single" w:sz="4" w:space="0" w:color="auto"/>
              <w:left w:val="nil"/>
              <w:bottom w:val="single" w:sz="4" w:space="0" w:color="auto"/>
              <w:right w:val="nil"/>
            </w:tcBorders>
            <w:shd w:val="clear" w:color="auto" w:fill="auto"/>
            <w:vAlign w:val="center"/>
            <w:hideMark/>
          </w:tcPr>
          <w:p w14:paraId="74148656" w14:textId="77777777" w:rsidR="00862A01" w:rsidRPr="00872D7E" w:rsidRDefault="00862A01" w:rsidP="00862A01">
            <w:pPr>
              <w:rPr>
                <w:b/>
                <w:bCs/>
                <w:color w:val="000000"/>
                <w:sz w:val="14"/>
                <w:szCs w:val="14"/>
              </w:rPr>
            </w:pPr>
            <w:r w:rsidRPr="00872D7E">
              <w:rPr>
                <w:b/>
                <w:bCs/>
                <w:color w:val="000000"/>
                <w:sz w:val="14"/>
                <w:szCs w:val="14"/>
              </w:rPr>
              <w:t> </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52727B0A" w14:textId="77777777" w:rsidR="00862A01" w:rsidRPr="00872D7E" w:rsidRDefault="00862A01" w:rsidP="00862A01">
            <w:pPr>
              <w:rPr>
                <w:b/>
                <w:bCs/>
                <w:color w:val="000000"/>
                <w:sz w:val="14"/>
                <w:szCs w:val="14"/>
              </w:rPr>
            </w:pPr>
            <w:r w:rsidRPr="00872D7E">
              <w:rPr>
                <w:b/>
                <w:bCs/>
                <w:color w:val="000000"/>
                <w:sz w:val="14"/>
                <w:szCs w:val="14"/>
              </w:rPr>
              <w:t> </w:t>
            </w:r>
          </w:p>
        </w:tc>
        <w:tc>
          <w:tcPr>
            <w:tcW w:w="1924" w:type="dxa"/>
            <w:gridSpan w:val="3"/>
            <w:tcBorders>
              <w:top w:val="single" w:sz="4" w:space="0" w:color="auto"/>
              <w:left w:val="nil"/>
              <w:bottom w:val="single" w:sz="4" w:space="0" w:color="auto"/>
              <w:right w:val="single" w:sz="4" w:space="0" w:color="auto"/>
            </w:tcBorders>
            <w:shd w:val="clear" w:color="auto" w:fill="auto"/>
            <w:vAlign w:val="center"/>
            <w:hideMark/>
          </w:tcPr>
          <w:p w14:paraId="0CE71AC2" w14:textId="77777777" w:rsidR="00862A01" w:rsidRPr="00872D7E" w:rsidRDefault="00862A01" w:rsidP="00862A01">
            <w:pPr>
              <w:jc w:val="center"/>
              <w:rPr>
                <w:b/>
                <w:bCs/>
                <w:color w:val="000000"/>
                <w:sz w:val="14"/>
                <w:szCs w:val="14"/>
              </w:rPr>
            </w:pPr>
            <w:r w:rsidRPr="00872D7E">
              <w:rPr>
                <w:b/>
                <w:bCs/>
                <w:color w:val="000000"/>
                <w:sz w:val="14"/>
                <w:szCs w:val="14"/>
              </w:rPr>
              <w:t>Kâr veya Zararda Yeniden Sınıflandırılmayacak Birikmiş Diğer Kapsamlı Gelirler ve Giderler</w:t>
            </w:r>
          </w:p>
        </w:tc>
        <w:tc>
          <w:tcPr>
            <w:tcW w:w="2082" w:type="dxa"/>
            <w:gridSpan w:val="3"/>
            <w:tcBorders>
              <w:top w:val="single" w:sz="4" w:space="0" w:color="auto"/>
              <w:left w:val="nil"/>
              <w:bottom w:val="single" w:sz="4" w:space="0" w:color="auto"/>
              <w:right w:val="single" w:sz="4" w:space="0" w:color="auto"/>
            </w:tcBorders>
            <w:shd w:val="clear" w:color="auto" w:fill="auto"/>
            <w:vAlign w:val="center"/>
            <w:hideMark/>
          </w:tcPr>
          <w:p w14:paraId="18FA3C13" w14:textId="77777777" w:rsidR="00862A01" w:rsidRPr="00872D7E" w:rsidRDefault="00862A01" w:rsidP="00862A01">
            <w:pPr>
              <w:jc w:val="center"/>
              <w:rPr>
                <w:b/>
                <w:bCs/>
                <w:color w:val="000000"/>
                <w:sz w:val="14"/>
                <w:szCs w:val="14"/>
              </w:rPr>
            </w:pPr>
            <w:r w:rsidRPr="00872D7E">
              <w:rPr>
                <w:b/>
                <w:bCs/>
                <w:color w:val="000000"/>
                <w:sz w:val="14"/>
                <w:szCs w:val="14"/>
              </w:rPr>
              <w:t>Kâr veya Zararda Yeniden Sınıflandırılacak Birikmiş Diğer Kapsamlı Gelirler ve Giderler</w:t>
            </w:r>
          </w:p>
        </w:tc>
        <w:tc>
          <w:tcPr>
            <w:tcW w:w="835" w:type="dxa"/>
            <w:tcBorders>
              <w:top w:val="single" w:sz="4" w:space="0" w:color="auto"/>
              <w:left w:val="nil"/>
              <w:bottom w:val="single" w:sz="4" w:space="0" w:color="auto"/>
              <w:right w:val="nil"/>
            </w:tcBorders>
            <w:shd w:val="clear" w:color="auto" w:fill="auto"/>
            <w:vAlign w:val="center"/>
            <w:hideMark/>
          </w:tcPr>
          <w:p w14:paraId="52DF7633" w14:textId="77777777" w:rsidR="00862A01" w:rsidRPr="00872D7E" w:rsidRDefault="00862A01" w:rsidP="00862A01">
            <w:pPr>
              <w:rPr>
                <w:b/>
                <w:bCs/>
                <w:color w:val="000000"/>
                <w:sz w:val="14"/>
                <w:szCs w:val="14"/>
              </w:rPr>
            </w:pPr>
            <w:r w:rsidRPr="00872D7E">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61C65F70" w14:textId="77777777" w:rsidR="00862A01" w:rsidRPr="00872D7E" w:rsidRDefault="00862A01" w:rsidP="00862A01">
            <w:pPr>
              <w:rPr>
                <w:b/>
                <w:bCs/>
                <w:color w:val="000000"/>
                <w:sz w:val="14"/>
                <w:szCs w:val="14"/>
              </w:rPr>
            </w:pPr>
            <w:r w:rsidRPr="00872D7E">
              <w:rPr>
                <w:b/>
                <w:bCs/>
                <w:color w:val="000000"/>
                <w:sz w:val="14"/>
                <w:szCs w:val="14"/>
              </w:rPr>
              <w:t> </w:t>
            </w:r>
          </w:p>
        </w:tc>
        <w:tc>
          <w:tcPr>
            <w:tcW w:w="850" w:type="dxa"/>
            <w:tcBorders>
              <w:top w:val="single" w:sz="4" w:space="0" w:color="auto"/>
              <w:left w:val="nil"/>
              <w:bottom w:val="single" w:sz="4" w:space="0" w:color="auto"/>
              <w:right w:val="nil"/>
            </w:tcBorders>
            <w:shd w:val="clear" w:color="auto" w:fill="auto"/>
            <w:vAlign w:val="center"/>
            <w:hideMark/>
          </w:tcPr>
          <w:p w14:paraId="12482E85" w14:textId="77777777" w:rsidR="00862A01" w:rsidRPr="00872D7E" w:rsidRDefault="00862A01" w:rsidP="00862A01">
            <w:pPr>
              <w:rPr>
                <w:b/>
                <w:bCs/>
                <w:color w:val="000000"/>
                <w:sz w:val="14"/>
                <w:szCs w:val="14"/>
              </w:rPr>
            </w:pPr>
            <w:r w:rsidRPr="00872D7E">
              <w:rPr>
                <w:b/>
                <w:bCs/>
                <w:color w:val="000000"/>
                <w:sz w:val="14"/>
                <w:szCs w:val="14"/>
              </w:rPr>
              <w:t> </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762D6E31" w14:textId="77777777" w:rsidR="00862A01" w:rsidRPr="00872D7E" w:rsidRDefault="00862A01" w:rsidP="00862A01">
            <w:pPr>
              <w:rPr>
                <w:b/>
                <w:bCs/>
                <w:color w:val="000000"/>
                <w:sz w:val="14"/>
                <w:szCs w:val="14"/>
              </w:rPr>
            </w:pPr>
            <w:r w:rsidRPr="00872D7E">
              <w:rPr>
                <w:b/>
                <w:bCs/>
                <w:color w:val="000000"/>
                <w:sz w:val="14"/>
                <w:szCs w:val="14"/>
              </w:rPr>
              <w:t> </w:t>
            </w:r>
          </w:p>
        </w:tc>
      </w:tr>
      <w:tr w:rsidR="00862A01" w:rsidRPr="00872D7E" w14:paraId="5FCBC5AB" w14:textId="77777777" w:rsidTr="00862A01">
        <w:trPr>
          <w:divId w:val="324477069"/>
          <w:trHeight w:val="113"/>
        </w:trPr>
        <w:tc>
          <w:tcPr>
            <w:tcW w:w="3943" w:type="dxa"/>
            <w:gridSpan w:val="2"/>
            <w:vMerge/>
            <w:tcBorders>
              <w:top w:val="single" w:sz="4" w:space="0" w:color="auto"/>
              <w:left w:val="single" w:sz="4" w:space="0" w:color="auto"/>
              <w:bottom w:val="single" w:sz="4" w:space="0" w:color="000000"/>
              <w:right w:val="single" w:sz="4" w:space="0" w:color="000000"/>
            </w:tcBorders>
            <w:vAlign w:val="center"/>
            <w:hideMark/>
          </w:tcPr>
          <w:p w14:paraId="5CF207A4" w14:textId="77777777" w:rsidR="00862A01" w:rsidRPr="00872D7E" w:rsidRDefault="00862A01" w:rsidP="00862A01">
            <w:pPr>
              <w:rPr>
                <w:b/>
                <w:bCs/>
                <w:color w:val="000000"/>
                <w:sz w:val="14"/>
                <w:szCs w:val="14"/>
              </w:rPr>
            </w:pPr>
          </w:p>
        </w:tc>
        <w:tc>
          <w:tcPr>
            <w:tcW w:w="707" w:type="dxa"/>
            <w:vMerge/>
            <w:tcBorders>
              <w:top w:val="single" w:sz="4" w:space="0" w:color="auto"/>
              <w:left w:val="single" w:sz="4" w:space="0" w:color="auto"/>
              <w:bottom w:val="single" w:sz="4" w:space="0" w:color="000000"/>
              <w:right w:val="single" w:sz="4" w:space="0" w:color="auto"/>
            </w:tcBorders>
            <w:vAlign w:val="center"/>
            <w:hideMark/>
          </w:tcPr>
          <w:p w14:paraId="4C1C1710" w14:textId="77777777" w:rsidR="00862A01" w:rsidRPr="00872D7E" w:rsidRDefault="00862A01" w:rsidP="00862A01">
            <w:pPr>
              <w:rPr>
                <w:b/>
                <w:bCs/>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6CAD9DA5" w14:textId="77777777" w:rsidR="00862A01" w:rsidRPr="00872D7E" w:rsidRDefault="00862A01" w:rsidP="00862A01">
            <w:pPr>
              <w:jc w:val="right"/>
              <w:rPr>
                <w:b/>
                <w:bCs/>
                <w:color w:val="000000"/>
                <w:sz w:val="14"/>
                <w:szCs w:val="14"/>
              </w:rPr>
            </w:pPr>
            <w:r w:rsidRPr="00872D7E">
              <w:rPr>
                <w:b/>
                <w:bCs/>
                <w:color w:val="000000"/>
                <w:sz w:val="14"/>
                <w:szCs w:val="14"/>
              </w:rPr>
              <w:t>Ödenmiş Sermaye</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5B85C52A" w14:textId="77777777" w:rsidR="00862A01" w:rsidRPr="00872D7E" w:rsidRDefault="00862A01" w:rsidP="00862A01">
            <w:pPr>
              <w:jc w:val="right"/>
              <w:rPr>
                <w:b/>
                <w:bCs/>
                <w:color w:val="000000"/>
                <w:sz w:val="14"/>
                <w:szCs w:val="14"/>
              </w:rPr>
            </w:pPr>
            <w:r w:rsidRPr="00872D7E">
              <w:rPr>
                <w:b/>
                <w:bCs/>
                <w:color w:val="000000"/>
                <w:sz w:val="14"/>
                <w:szCs w:val="14"/>
              </w:rPr>
              <w:t>Hisse Senedi İhraç Primleri</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35E9D0C6" w14:textId="77777777" w:rsidR="00862A01" w:rsidRPr="00872D7E" w:rsidRDefault="00862A01" w:rsidP="00862A01">
            <w:pPr>
              <w:jc w:val="right"/>
              <w:rPr>
                <w:b/>
                <w:bCs/>
                <w:color w:val="000000"/>
                <w:sz w:val="14"/>
                <w:szCs w:val="14"/>
              </w:rPr>
            </w:pPr>
            <w:r w:rsidRPr="00872D7E">
              <w:rPr>
                <w:b/>
                <w:bCs/>
                <w:color w:val="000000"/>
                <w:sz w:val="14"/>
                <w:szCs w:val="14"/>
              </w:rPr>
              <w:t>Hisse Senedi İptal Kârları</w:t>
            </w:r>
          </w:p>
        </w:tc>
        <w:tc>
          <w:tcPr>
            <w:tcW w:w="724" w:type="dxa"/>
            <w:tcBorders>
              <w:top w:val="single" w:sz="4" w:space="0" w:color="auto"/>
              <w:left w:val="nil"/>
              <w:bottom w:val="single" w:sz="4" w:space="0" w:color="auto"/>
              <w:right w:val="single" w:sz="4" w:space="0" w:color="auto"/>
            </w:tcBorders>
            <w:shd w:val="clear" w:color="auto" w:fill="auto"/>
            <w:vAlign w:val="bottom"/>
            <w:hideMark/>
          </w:tcPr>
          <w:p w14:paraId="65FB00B6" w14:textId="77777777" w:rsidR="00862A01" w:rsidRPr="00872D7E" w:rsidRDefault="00862A01" w:rsidP="00862A01">
            <w:pPr>
              <w:jc w:val="right"/>
              <w:rPr>
                <w:b/>
                <w:bCs/>
                <w:color w:val="000000"/>
                <w:sz w:val="14"/>
                <w:szCs w:val="14"/>
              </w:rPr>
            </w:pPr>
            <w:r w:rsidRPr="00872D7E">
              <w:rPr>
                <w:b/>
                <w:bCs/>
                <w:color w:val="000000"/>
                <w:sz w:val="14"/>
                <w:szCs w:val="14"/>
              </w:rPr>
              <w:t>Diğer Sermaye Yedekleri</w:t>
            </w:r>
          </w:p>
        </w:tc>
        <w:tc>
          <w:tcPr>
            <w:tcW w:w="575" w:type="dxa"/>
            <w:tcBorders>
              <w:top w:val="single" w:sz="4" w:space="0" w:color="auto"/>
              <w:left w:val="nil"/>
              <w:bottom w:val="single" w:sz="4" w:space="0" w:color="auto"/>
              <w:right w:val="single" w:sz="4" w:space="0" w:color="auto"/>
            </w:tcBorders>
            <w:shd w:val="clear" w:color="auto" w:fill="auto"/>
            <w:vAlign w:val="bottom"/>
            <w:hideMark/>
          </w:tcPr>
          <w:p w14:paraId="69573C94" w14:textId="77777777" w:rsidR="00862A01" w:rsidRPr="00872D7E" w:rsidRDefault="00862A01" w:rsidP="00862A01">
            <w:pPr>
              <w:jc w:val="right"/>
              <w:rPr>
                <w:b/>
                <w:bCs/>
                <w:color w:val="000000"/>
                <w:sz w:val="14"/>
                <w:szCs w:val="14"/>
              </w:rPr>
            </w:pPr>
            <w:r w:rsidRPr="00872D7E">
              <w:rPr>
                <w:b/>
                <w:bCs/>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52BBDA46" w14:textId="77777777" w:rsidR="00862A01" w:rsidRPr="00872D7E" w:rsidRDefault="00862A01" w:rsidP="00862A01">
            <w:pPr>
              <w:jc w:val="right"/>
              <w:rPr>
                <w:b/>
                <w:bCs/>
                <w:color w:val="000000"/>
                <w:sz w:val="14"/>
                <w:szCs w:val="14"/>
              </w:rPr>
            </w:pPr>
            <w:r w:rsidRPr="00872D7E">
              <w:rPr>
                <w:b/>
                <w:bCs/>
                <w:color w:val="000000"/>
                <w:sz w:val="14"/>
                <w:szCs w:val="14"/>
              </w:rPr>
              <w:t>2</w:t>
            </w:r>
          </w:p>
        </w:tc>
        <w:tc>
          <w:tcPr>
            <w:tcW w:w="640" w:type="dxa"/>
            <w:tcBorders>
              <w:top w:val="single" w:sz="4" w:space="0" w:color="auto"/>
              <w:left w:val="nil"/>
              <w:bottom w:val="single" w:sz="4" w:space="0" w:color="auto"/>
              <w:right w:val="single" w:sz="4" w:space="0" w:color="auto"/>
            </w:tcBorders>
            <w:shd w:val="clear" w:color="auto" w:fill="auto"/>
            <w:vAlign w:val="bottom"/>
            <w:hideMark/>
          </w:tcPr>
          <w:p w14:paraId="0BB18779" w14:textId="77777777" w:rsidR="00862A01" w:rsidRPr="00872D7E" w:rsidRDefault="00862A01" w:rsidP="00862A01">
            <w:pPr>
              <w:jc w:val="right"/>
              <w:rPr>
                <w:b/>
                <w:bCs/>
                <w:color w:val="000000"/>
                <w:sz w:val="14"/>
                <w:szCs w:val="14"/>
              </w:rPr>
            </w:pPr>
            <w:r w:rsidRPr="00872D7E">
              <w:rPr>
                <w:b/>
                <w:bCs/>
                <w:color w:val="000000"/>
                <w:sz w:val="14"/>
                <w:szCs w:val="14"/>
              </w:rPr>
              <w:t>3</w:t>
            </w:r>
          </w:p>
        </w:tc>
        <w:tc>
          <w:tcPr>
            <w:tcW w:w="636" w:type="dxa"/>
            <w:tcBorders>
              <w:top w:val="single" w:sz="4" w:space="0" w:color="auto"/>
              <w:left w:val="nil"/>
              <w:bottom w:val="single" w:sz="4" w:space="0" w:color="auto"/>
              <w:right w:val="single" w:sz="4" w:space="0" w:color="auto"/>
            </w:tcBorders>
            <w:shd w:val="clear" w:color="auto" w:fill="auto"/>
            <w:vAlign w:val="bottom"/>
            <w:hideMark/>
          </w:tcPr>
          <w:p w14:paraId="34A6F0D8" w14:textId="77777777" w:rsidR="00862A01" w:rsidRPr="00872D7E" w:rsidRDefault="00862A01" w:rsidP="00862A01">
            <w:pPr>
              <w:jc w:val="right"/>
              <w:rPr>
                <w:b/>
                <w:bCs/>
                <w:color w:val="000000"/>
                <w:sz w:val="14"/>
                <w:szCs w:val="14"/>
              </w:rPr>
            </w:pPr>
            <w:r w:rsidRPr="00872D7E">
              <w:rPr>
                <w:b/>
                <w:bCs/>
                <w:color w:val="000000"/>
                <w:sz w:val="14"/>
                <w:szCs w:val="14"/>
              </w:rPr>
              <w:t>4</w:t>
            </w:r>
          </w:p>
        </w:tc>
        <w:tc>
          <w:tcPr>
            <w:tcW w:w="731" w:type="dxa"/>
            <w:tcBorders>
              <w:top w:val="single" w:sz="4" w:space="0" w:color="auto"/>
              <w:left w:val="nil"/>
              <w:bottom w:val="single" w:sz="4" w:space="0" w:color="auto"/>
              <w:right w:val="single" w:sz="4" w:space="0" w:color="auto"/>
            </w:tcBorders>
            <w:shd w:val="clear" w:color="auto" w:fill="auto"/>
            <w:vAlign w:val="bottom"/>
            <w:hideMark/>
          </w:tcPr>
          <w:p w14:paraId="037257AD" w14:textId="77777777" w:rsidR="00862A01" w:rsidRPr="00872D7E" w:rsidRDefault="00862A01" w:rsidP="00862A01">
            <w:pPr>
              <w:jc w:val="right"/>
              <w:rPr>
                <w:b/>
                <w:bCs/>
                <w:color w:val="000000"/>
                <w:sz w:val="14"/>
                <w:szCs w:val="14"/>
              </w:rPr>
            </w:pPr>
            <w:r w:rsidRPr="00872D7E">
              <w:rPr>
                <w:b/>
                <w:bCs/>
                <w:color w:val="000000"/>
                <w:sz w:val="14"/>
                <w:szCs w:val="14"/>
              </w:rPr>
              <w:t>5</w:t>
            </w:r>
          </w:p>
        </w:tc>
        <w:tc>
          <w:tcPr>
            <w:tcW w:w="715" w:type="dxa"/>
            <w:tcBorders>
              <w:top w:val="single" w:sz="4" w:space="0" w:color="auto"/>
              <w:left w:val="nil"/>
              <w:bottom w:val="single" w:sz="4" w:space="0" w:color="auto"/>
              <w:right w:val="single" w:sz="4" w:space="0" w:color="auto"/>
            </w:tcBorders>
            <w:shd w:val="clear" w:color="auto" w:fill="auto"/>
            <w:vAlign w:val="bottom"/>
            <w:hideMark/>
          </w:tcPr>
          <w:p w14:paraId="549A4D15" w14:textId="77777777" w:rsidR="00862A01" w:rsidRPr="00872D7E" w:rsidRDefault="00862A01" w:rsidP="00862A01">
            <w:pPr>
              <w:jc w:val="right"/>
              <w:rPr>
                <w:b/>
                <w:bCs/>
                <w:color w:val="000000"/>
                <w:sz w:val="14"/>
                <w:szCs w:val="14"/>
              </w:rPr>
            </w:pPr>
            <w:r w:rsidRPr="00872D7E">
              <w:rPr>
                <w:b/>
                <w:bCs/>
                <w:color w:val="000000"/>
                <w:sz w:val="14"/>
                <w:szCs w:val="14"/>
              </w:rPr>
              <w:t>6</w:t>
            </w:r>
          </w:p>
        </w:tc>
        <w:tc>
          <w:tcPr>
            <w:tcW w:w="835" w:type="dxa"/>
            <w:tcBorders>
              <w:top w:val="single" w:sz="4" w:space="0" w:color="auto"/>
              <w:left w:val="nil"/>
              <w:bottom w:val="single" w:sz="4" w:space="0" w:color="auto"/>
              <w:right w:val="single" w:sz="4" w:space="0" w:color="auto"/>
            </w:tcBorders>
            <w:shd w:val="clear" w:color="auto" w:fill="auto"/>
            <w:vAlign w:val="bottom"/>
            <w:hideMark/>
          </w:tcPr>
          <w:p w14:paraId="3E8BF22D" w14:textId="77777777" w:rsidR="00862A01" w:rsidRPr="00872D7E" w:rsidRDefault="00862A01" w:rsidP="00862A01">
            <w:pPr>
              <w:jc w:val="right"/>
              <w:rPr>
                <w:b/>
                <w:bCs/>
                <w:color w:val="000000"/>
                <w:sz w:val="14"/>
                <w:szCs w:val="14"/>
              </w:rPr>
            </w:pPr>
            <w:r w:rsidRPr="00872D7E">
              <w:rPr>
                <w:b/>
                <w:bCs/>
                <w:color w:val="000000"/>
                <w:sz w:val="14"/>
                <w:szCs w:val="14"/>
              </w:rPr>
              <w:t>Kar Yedekleri</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19D67022" w14:textId="77777777" w:rsidR="00862A01" w:rsidRPr="00872D7E" w:rsidRDefault="00862A01" w:rsidP="00862A01">
            <w:pPr>
              <w:jc w:val="right"/>
              <w:rPr>
                <w:b/>
                <w:bCs/>
                <w:color w:val="000000"/>
                <w:sz w:val="14"/>
                <w:szCs w:val="14"/>
              </w:rPr>
            </w:pPr>
            <w:r w:rsidRPr="00872D7E">
              <w:rPr>
                <w:b/>
                <w:bCs/>
                <w:color w:val="000000"/>
                <w:sz w:val="14"/>
                <w:szCs w:val="14"/>
              </w:rPr>
              <w:t>Geçmiş Dönem Kârı/ (Zararı)</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52987C47" w14:textId="77777777" w:rsidR="00862A01" w:rsidRPr="00872D7E" w:rsidRDefault="00862A01" w:rsidP="00862A01">
            <w:pPr>
              <w:jc w:val="right"/>
              <w:rPr>
                <w:b/>
                <w:bCs/>
                <w:color w:val="000000"/>
                <w:sz w:val="14"/>
                <w:szCs w:val="14"/>
              </w:rPr>
            </w:pPr>
            <w:r w:rsidRPr="00872D7E">
              <w:rPr>
                <w:b/>
                <w:bCs/>
                <w:color w:val="000000"/>
                <w:sz w:val="14"/>
                <w:szCs w:val="14"/>
              </w:rPr>
              <w:t>Dönem Net Kar veya Zararı</w:t>
            </w:r>
          </w:p>
        </w:tc>
        <w:tc>
          <w:tcPr>
            <w:tcW w:w="985" w:type="dxa"/>
            <w:tcBorders>
              <w:top w:val="single" w:sz="4" w:space="0" w:color="auto"/>
              <w:left w:val="nil"/>
              <w:bottom w:val="single" w:sz="4" w:space="0" w:color="auto"/>
              <w:right w:val="single" w:sz="4" w:space="0" w:color="auto"/>
            </w:tcBorders>
            <w:shd w:val="clear" w:color="auto" w:fill="auto"/>
            <w:vAlign w:val="bottom"/>
            <w:hideMark/>
          </w:tcPr>
          <w:p w14:paraId="3EE484E9" w14:textId="77777777" w:rsidR="00862A01" w:rsidRPr="00872D7E" w:rsidRDefault="00862A01" w:rsidP="00862A01">
            <w:pPr>
              <w:jc w:val="right"/>
              <w:rPr>
                <w:b/>
                <w:bCs/>
                <w:color w:val="000000"/>
                <w:sz w:val="14"/>
                <w:szCs w:val="14"/>
              </w:rPr>
            </w:pPr>
            <w:r w:rsidRPr="00872D7E">
              <w:rPr>
                <w:b/>
                <w:bCs/>
                <w:color w:val="000000"/>
                <w:sz w:val="14"/>
                <w:szCs w:val="14"/>
              </w:rPr>
              <w:t>Toplam Özkaynak</w:t>
            </w:r>
          </w:p>
        </w:tc>
      </w:tr>
      <w:tr w:rsidR="00862A01" w:rsidRPr="00872D7E" w14:paraId="71243898" w14:textId="77777777" w:rsidTr="00862A01">
        <w:trPr>
          <w:divId w:val="324477069"/>
          <w:trHeight w:val="113"/>
        </w:trPr>
        <w:tc>
          <w:tcPr>
            <w:tcW w:w="562" w:type="dxa"/>
            <w:tcBorders>
              <w:top w:val="nil"/>
              <w:left w:val="single" w:sz="4" w:space="0" w:color="auto"/>
              <w:bottom w:val="nil"/>
              <w:right w:val="nil"/>
            </w:tcBorders>
            <w:shd w:val="clear" w:color="auto" w:fill="auto"/>
            <w:vAlign w:val="center"/>
            <w:hideMark/>
          </w:tcPr>
          <w:p w14:paraId="276B27F6" w14:textId="77777777" w:rsidR="00862A01" w:rsidRPr="00872D7E" w:rsidRDefault="00862A01" w:rsidP="00862A01">
            <w:pPr>
              <w:rPr>
                <w:b/>
                <w:bCs/>
                <w:color w:val="000000"/>
                <w:sz w:val="14"/>
                <w:szCs w:val="14"/>
              </w:rPr>
            </w:pPr>
            <w:r w:rsidRPr="00872D7E">
              <w:rPr>
                <w:b/>
                <w:bCs/>
                <w:color w:val="000000"/>
                <w:sz w:val="14"/>
                <w:szCs w:val="14"/>
              </w:rPr>
              <w:t> </w:t>
            </w:r>
          </w:p>
        </w:tc>
        <w:tc>
          <w:tcPr>
            <w:tcW w:w="3381" w:type="dxa"/>
            <w:tcBorders>
              <w:top w:val="nil"/>
              <w:left w:val="nil"/>
              <w:bottom w:val="nil"/>
              <w:right w:val="nil"/>
            </w:tcBorders>
            <w:shd w:val="clear" w:color="auto" w:fill="auto"/>
            <w:vAlign w:val="center"/>
            <w:hideMark/>
          </w:tcPr>
          <w:p w14:paraId="54E8BEFD" w14:textId="77777777" w:rsidR="00862A01" w:rsidRPr="00872D7E" w:rsidRDefault="00862A01" w:rsidP="00862A01">
            <w:pPr>
              <w:rPr>
                <w:b/>
                <w:bCs/>
                <w:color w:val="000000"/>
                <w:sz w:val="14"/>
                <w:szCs w:val="14"/>
              </w:rPr>
            </w:pPr>
          </w:p>
        </w:tc>
        <w:tc>
          <w:tcPr>
            <w:tcW w:w="707" w:type="dxa"/>
            <w:tcBorders>
              <w:top w:val="nil"/>
              <w:left w:val="nil"/>
              <w:bottom w:val="nil"/>
              <w:right w:val="nil"/>
            </w:tcBorders>
            <w:shd w:val="clear" w:color="auto" w:fill="auto"/>
            <w:vAlign w:val="center"/>
            <w:hideMark/>
          </w:tcPr>
          <w:p w14:paraId="7FF3D9B5" w14:textId="77777777" w:rsidR="00862A01" w:rsidRPr="00872D7E" w:rsidRDefault="00862A01" w:rsidP="00862A01">
            <w:pPr>
              <w:rPr>
                <w:sz w:val="14"/>
                <w:szCs w:val="14"/>
              </w:rPr>
            </w:pPr>
          </w:p>
        </w:tc>
        <w:tc>
          <w:tcPr>
            <w:tcW w:w="851" w:type="dxa"/>
            <w:tcBorders>
              <w:top w:val="nil"/>
              <w:left w:val="nil"/>
              <w:bottom w:val="nil"/>
              <w:right w:val="nil"/>
            </w:tcBorders>
            <w:shd w:val="clear" w:color="auto" w:fill="auto"/>
            <w:vAlign w:val="center"/>
            <w:hideMark/>
          </w:tcPr>
          <w:p w14:paraId="48F3E0E0" w14:textId="77777777" w:rsidR="00862A01" w:rsidRPr="00872D7E" w:rsidRDefault="00862A01" w:rsidP="00862A01">
            <w:pPr>
              <w:jc w:val="right"/>
              <w:rPr>
                <w:sz w:val="14"/>
                <w:szCs w:val="14"/>
              </w:rPr>
            </w:pPr>
          </w:p>
        </w:tc>
        <w:tc>
          <w:tcPr>
            <w:tcW w:w="709" w:type="dxa"/>
            <w:tcBorders>
              <w:top w:val="nil"/>
              <w:left w:val="nil"/>
              <w:bottom w:val="nil"/>
              <w:right w:val="nil"/>
            </w:tcBorders>
            <w:shd w:val="clear" w:color="auto" w:fill="auto"/>
            <w:vAlign w:val="center"/>
            <w:hideMark/>
          </w:tcPr>
          <w:p w14:paraId="4F06CF69" w14:textId="77777777" w:rsidR="00862A01" w:rsidRPr="00872D7E" w:rsidRDefault="00862A01" w:rsidP="00862A01">
            <w:pPr>
              <w:jc w:val="right"/>
              <w:rPr>
                <w:sz w:val="14"/>
                <w:szCs w:val="14"/>
              </w:rPr>
            </w:pPr>
          </w:p>
        </w:tc>
        <w:tc>
          <w:tcPr>
            <w:tcW w:w="708" w:type="dxa"/>
            <w:tcBorders>
              <w:top w:val="nil"/>
              <w:left w:val="nil"/>
              <w:bottom w:val="nil"/>
              <w:right w:val="nil"/>
            </w:tcBorders>
            <w:shd w:val="clear" w:color="auto" w:fill="auto"/>
            <w:vAlign w:val="center"/>
            <w:hideMark/>
          </w:tcPr>
          <w:p w14:paraId="534FC769" w14:textId="77777777" w:rsidR="00862A01" w:rsidRPr="00872D7E" w:rsidRDefault="00862A01" w:rsidP="00862A01">
            <w:pPr>
              <w:jc w:val="right"/>
              <w:rPr>
                <w:sz w:val="14"/>
                <w:szCs w:val="14"/>
              </w:rPr>
            </w:pPr>
          </w:p>
        </w:tc>
        <w:tc>
          <w:tcPr>
            <w:tcW w:w="724" w:type="dxa"/>
            <w:tcBorders>
              <w:top w:val="nil"/>
              <w:left w:val="nil"/>
              <w:bottom w:val="nil"/>
              <w:right w:val="nil"/>
            </w:tcBorders>
            <w:shd w:val="clear" w:color="auto" w:fill="auto"/>
            <w:vAlign w:val="center"/>
            <w:hideMark/>
          </w:tcPr>
          <w:p w14:paraId="36A1DFEF" w14:textId="77777777" w:rsidR="00862A01" w:rsidRPr="00872D7E" w:rsidRDefault="00862A01" w:rsidP="00862A01">
            <w:pPr>
              <w:jc w:val="right"/>
              <w:rPr>
                <w:sz w:val="14"/>
                <w:szCs w:val="14"/>
              </w:rPr>
            </w:pPr>
          </w:p>
        </w:tc>
        <w:tc>
          <w:tcPr>
            <w:tcW w:w="575" w:type="dxa"/>
            <w:tcBorders>
              <w:top w:val="nil"/>
              <w:left w:val="nil"/>
              <w:bottom w:val="nil"/>
              <w:right w:val="nil"/>
            </w:tcBorders>
            <w:shd w:val="clear" w:color="auto" w:fill="auto"/>
            <w:vAlign w:val="center"/>
            <w:hideMark/>
          </w:tcPr>
          <w:p w14:paraId="7B18B707" w14:textId="77777777" w:rsidR="00862A01" w:rsidRPr="00872D7E" w:rsidRDefault="00862A01" w:rsidP="00862A01">
            <w:pPr>
              <w:jc w:val="right"/>
              <w:rPr>
                <w:sz w:val="14"/>
                <w:szCs w:val="14"/>
              </w:rPr>
            </w:pPr>
          </w:p>
        </w:tc>
        <w:tc>
          <w:tcPr>
            <w:tcW w:w="709" w:type="dxa"/>
            <w:tcBorders>
              <w:top w:val="nil"/>
              <w:left w:val="nil"/>
              <w:bottom w:val="nil"/>
              <w:right w:val="nil"/>
            </w:tcBorders>
            <w:shd w:val="clear" w:color="auto" w:fill="auto"/>
            <w:vAlign w:val="center"/>
            <w:hideMark/>
          </w:tcPr>
          <w:p w14:paraId="7E327443" w14:textId="77777777" w:rsidR="00862A01" w:rsidRPr="00872D7E" w:rsidRDefault="00862A01" w:rsidP="00862A01">
            <w:pPr>
              <w:jc w:val="right"/>
              <w:rPr>
                <w:sz w:val="14"/>
                <w:szCs w:val="14"/>
              </w:rPr>
            </w:pPr>
          </w:p>
        </w:tc>
        <w:tc>
          <w:tcPr>
            <w:tcW w:w="640" w:type="dxa"/>
            <w:tcBorders>
              <w:top w:val="nil"/>
              <w:left w:val="nil"/>
              <w:bottom w:val="nil"/>
              <w:right w:val="nil"/>
            </w:tcBorders>
            <w:shd w:val="clear" w:color="auto" w:fill="auto"/>
            <w:vAlign w:val="center"/>
            <w:hideMark/>
          </w:tcPr>
          <w:p w14:paraId="70A31DC1" w14:textId="77777777" w:rsidR="00862A01" w:rsidRPr="00872D7E" w:rsidRDefault="00862A01" w:rsidP="00862A01">
            <w:pPr>
              <w:jc w:val="right"/>
              <w:rPr>
                <w:sz w:val="14"/>
                <w:szCs w:val="14"/>
              </w:rPr>
            </w:pPr>
          </w:p>
        </w:tc>
        <w:tc>
          <w:tcPr>
            <w:tcW w:w="636" w:type="dxa"/>
            <w:tcBorders>
              <w:top w:val="nil"/>
              <w:left w:val="nil"/>
              <w:bottom w:val="nil"/>
              <w:right w:val="nil"/>
            </w:tcBorders>
            <w:shd w:val="clear" w:color="auto" w:fill="auto"/>
            <w:vAlign w:val="center"/>
            <w:hideMark/>
          </w:tcPr>
          <w:p w14:paraId="3CB97936" w14:textId="77777777" w:rsidR="00862A01" w:rsidRPr="00872D7E" w:rsidRDefault="00862A01" w:rsidP="00862A01">
            <w:pPr>
              <w:jc w:val="right"/>
              <w:rPr>
                <w:sz w:val="14"/>
                <w:szCs w:val="14"/>
              </w:rPr>
            </w:pPr>
          </w:p>
        </w:tc>
        <w:tc>
          <w:tcPr>
            <w:tcW w:w="731" w:type="dxa"/>
            <w:tcBorders>
              <w:top w:val="nil"/>
              <w:left w:val="nil"/>
              <w:bottom w:val="nil"/>
              <w:right w:val="nil"/>
            </w:tcBorders>
            <w:shd w:val="clear" w:color="auto" w:fill="auto"/>
            <w:vAlign w:val="center"/>
            <w:hideMark/>
          </w:tcPr>
          <w:p w14:paraId="326BEF73" w14:textId="77777777" w:rsidR="00862A01" w:rsidRPr="00872D7E" w:rsidRDefault="00862A01" w:rsidP="00862A01">
            <w:pPr>
              <w:jc w:val="right"/>
              <w:rPr>
                <w:sz w:val="14"/>
                <w:szCs w:val="14"/>
              </w:rPr>
            </w:pPr>
          </w:p>
        </w:tc>
        <w:tc>
          <w:tcPr>
            <w:tcW w:w="715" w:type="dxa"/>
            <w:tcBorders>
              <w:top w:val="nil"/>
              <w:left w:val="nil"/>
              <w:bottom w:val="nil"/>
              <w:right w:val="nil"/>
            </w:tcBorders>
            <w:shd w:val="clear" w:color="auto" w:fill="auto"/>
            <w:vAlign w:val="center"/>
            <w:hideMark/>
          </w:tcPr>
          <w:p w14:paraId="71CDD8A7" w14:textId="77777777" w:rsidR="00862A01" w:rsidRPr="00872D7E" w:rsidRDefault="00862A01" w:rsidP="00862A01">
            <w:pPr>
              <w:jc w:val="right"/>
              <w:rPr>
                <w:sz w:val="14"/>
                <w:szCs w:val="14"/>
              </w:rPr>
            </w:pPr>
          </w:p>
        </w:tc>
        <w:tc>
          <w:tcPr>
            <w:tcW w:w="835" w:type="dxa"/>
            <w:tcBorders>
              <w:top w:val="nil"/>
              <w:left w:val="nil"/>
              <w:bottom w:val="nil"/>
              <w:right w:val="nil"/>
            </w:tcBorders>
            <w:shd w:val="clear" w:color="auto" w:fill="auto"/>
            <w:vAlign w:val="center"/>
            <w:hideMark/>
          </w:tcPr>
          <w:p w14:paraId="00FD829F" w14:textId="77777777" w:rsidR="00862A01" w:rsidRPr="00872D7E" w:rsidRDefault="00862A01" w:rsidP="00862A01">
            <w:pPr>
              <w:jc w:val="right"/>
              <w:rPr>
                <w:sz w:val="14"/>
                <w:szCs w:val="14"/>
              </w:rPr>
            </w:pPr>
          </w:p>
        </w:tc>
        <w:tc>
          <w:tcPr>
            <w:tcW w:w="709" w:type="dxa"/>
            <w:tcBorders>
              <w:top w:val="nil"/>
              <w:left w:val="nil"/>
              <w:bottom w:val="nil"/>
              <w:right w:val="nil"/>
            </w:tcBorders>
            <w:shd w:val="clear" w:color="auto" w:fill="auto"/>
            <w:vAlign w:val="center"/>
            <w:hideMark/>
          </w:tcPr>
          <w:p w14:paraId="1888BC4C" w14:textId="77777777" w:rsidR="00862A01" w:rsidRPr="00872D7E" w:rsidRDefault="00862A01" w:rsidP="00862A01">
            <w:pPr>
              <w:jc w:val="right"/>
              <w:rPr>
                <w:sz w:val="14"/>
                <w:szCs w:val="14"/>
              </w:rPr>
            </w:pPr>
          </w:p>
        </w:tc>
        <w:tc>
          <w:tcPr>
            <w:tcW w:w="850" w:type="dxa"/>
            <w:tcBorders>
              <w:top w:val="nil"/>
              <w:left w:val="nil"/>
              <w:bottom w:val="nil"/>
              <w:right w:val="nil"/>
            </w:tcBorders>
            <w:shd w:val="clear" w:color="auto" w:fill="auto"/>
            <w:vAlign w:val="center"/>
            <w:hideMark/>
          </w:tcPr>
          <w:p w14:paraId="50AC5B5E" w14:textId="77777777" w:rsidR="00862A01" w:rsidRPr="00872D7E" w:rsidRDefault="00862A01" w:rsidP="00862A01">
            <w:pPr>
              <w:jc w:val="right"/>
              <w:rPr>
                <w:sz w:val="14"/>
                <w:szCs w:val="14"/>
              </w:rPr>
            </w:pPr>
          </w:p>
        </w:tc>
        <w:tc>
          <w:tcPr>
            <w:tcW w:w="985" w:type="dxa"/>
            <w:tcBorders>
              <w:top w:val="nil"/>
              <w:left w:val="nil"/>
              <w:bottom w:val="nil"/>
              <w:right w:val="single" w:sz="4" w:space="0" w:color="auto"/>
            </w:tcBorders>
            <w:shd w:val="clear" w:color="auto" w:fill="auto"/>
            <w:vAlign w:val="center"/>
            <w:hideMark/>
          </w:tcPr>
          <w:p w14:paraId="7F3A0D7C" w14:textId="77777777" w:rsidR="00862A01" w:rsidRPr="00872D7E" w:rsidRDefault="00862A01" w:rsidP="00862A01">
            <w:pPr>
              <w:jc w:val="right"/>
              <w:rPr>
                <w:b/>
                <w:bCs/>
                <w:color w:val="000000"/>
                <w:sz w:val="14"/>
                <w:szCs w:val="14"/>
              </w:rPr>
            </w:pPr>
            <w:r w:rsidRPr="00872D7E">
              <w:rPr>
                <w:b/>
                <w:bCs/>
                <w:color w:val="000000"/>
                <w:sz w:val="14"/>
                <w:szCs w:val="14"/>
              </w:rPr>
              <w:t> </w:t>
            </w:r>
          </w:p>
        </w:tc>
      </w:tr>
      <w:tr w:rsidR="00862A01" w:rsidRPr="00872D7E" w14:paraId="3EF0D7F2"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159C0473" w14:textId="77777777" w:rsidR="00862A01" w:rsidRPr="00872D7E" w:rsidRDefault="00862A01" w:rsidP="00862A01">
            <w:pPr>
              <w:jc w:val="center"/>
              <w:rPr>
                <w:b/>
                <w:bCs/>
                <w:color w:val="000000"/>
                <w:sz w:val="14"/>
                <w:szCs w:val="14"/>
              </w:rPr>
            </w:pPr>
            <w:r w:rsidRPr="00872D7E">
              <w:rPr>
                <w:b/>
                <w:bCs/>
                <w:color w:val="000000"/>
                <w:sz w:val="14"/>
                <w:szCs w:val="14"/>
              </w:rPr>
              <w:t> </w:t>
            </w:r>
          </w:p>
        </w:tc>
        <w:tc>
          <w:tcPr>
            <w:tcW w:w="3381" w:type="dxa"/>
            <w:tcBorders>
              <w:top w:val="nil"/>
              <w:left w:val="nil"/>
              <w:bottom w:val="nil"/>
              <w:right w:val="nil"/>
            </w:tcBorders>
            <w:shd w:val="clear" w:color="auto" w:fill="auto"/>
            <w:noWrap/>
            <w:vAlign w:val="bottom"/>
            <w:hideMark/>
          </w:tcPr>
          <w:p w14:paraId="1D63728A" w14:textId="77777777" w:rsidR="00862A01" w:rsidRPr="00872D7E" w:rsidRDefault="00862A01" w:rsidP="00862A01">
            <w:pPr>
              <w:rPr>
                <w:b/>
                <w:bCs/>
                <w:sz w:val="14"/>
                <w:szCs w:val="14"/>
              </w:rPr>
            </w:pPr>
            <w:r w:rsidRPr="00872D7E">
              <w:rPr>
                <w:b/>
                <w:bCs/>
                <w:sz w:val="14"/>
                <w:szCs w:val="14"/>
              </w:rPr>
              <w:t xml:space="preserve">1 </w:t>
            </w:r>
            <w:proofErr w:type="gramStart"/>
            <w:r w:rsidRPr="00872D7E">
              <w:rPr>
                <w:b/>
                <w:bCs/>
                <w:sz w:val="14"/>
                <w:szCs w:val="14"/>
              </w:rPr>
              <w:t>Ocak -</w:t>
            </w:r>
            <w:proofErr w:type="gramEnd"/>
            <w:r w:rsidRPr="00872D7E">
              <w:rPr>
                <w:b/>
                <w:bCs/>
                <w:sz w:val="14"/>
                <w:szCs w:val="14"/>
              </w:rPr>
              <w:t xml:space="preserve"> 31 Aralık 2024 </w:t>
            </w:r>
            <w:r w:rsidRPr="00872D7E">
              <w:rPr>
                <w:b/>
                <w:bCs/>
                <w:sz w:val="14"/>
                <w:szCs w:val="14"/>
                <w:vertAlign w:val="superscript"/>
              </w:rPr>
              <w:t>(*)</w:t>
            </w:r>
          </w:p>
        </w:tc>
        <w:tc>
          <w:tcPr>
            <w:tcW w:w="707" w:type="dxa"/>
            <w:tcBorders>
              <w:top w:val="nil"/>
              <w:left w:val="nil"/>
              <w:bottom w:val="nil"/>
              <w:right w:val="nil"/>
            </w:tcBorders>
            <w:shd w:val="clear" w:color="auto" w:fill="auto"/>
            <w:noWrap/>
            <w:vAlign w:val="bottom"/>
            <w:hideMark/>
          </w:tcPr>
          <w:p w14:paraId="0B2DEBE8" w14:textId="77777777" w:rsidR="00862A01" w:rsidRPr="00872D7E" w:rsidRDefault="00862A01" w:rsidP="00862A01">
            <w:pPr>
              <w:rPr>
                <w:b/>
                <w:bCs/>
                <w:sz w:val="14"/>
                <w:szCs w:val="14"/>
              </w:rPr>
            </w:pPr>
          </w:p>
        </w:tc>
        <w:tc>
          <w:tcPr>
            <w:tcW w:w="851" w:type="dxa"/>
            <w:tcBorders>
              <w:top w:val="nil"/>
              <w:left w:val="nil"/>
              <w:bottom w:val="nil"/>
              <w:right w:val="nil"/>
            </w:tcBorders>
            <w:shd w:val="clear" w:color="auto" w:fill="auto"/>
            <w:noWrap/>
            <w:vAlign w:val="center"/>
            <w:hideMark/>
          </w:tcPr>
          <w:p w14:paraId="7BBFD99A" w14:textId="77777777" w:rsidR="00862A01" w:rsidRPr="00872D7E" w:rsidRDefault="00862A01" w:rsidP="00862A01">
            <w:pPr>
              <w:jc w:val="right"/>
              <w:rPr>
                <w:sz w:val="14"/>
                <w:szCs w:val="14"/>
              </w:rPr>
            </w:pPr>
          </w:p>
        </w:tc>
        <w:tc>
          <w:tcPr>
            <w:tcW w:w="709" w:type="dxa"/>
            <w:tcBorders>
              <w:top w:val="nil"/>
              <w:left w:val="nil"/>
              <w:bottom w:val="nil"/>
              <w:right w:val="nil"/>
            </w:tcBorders>
            <w:shd w:val="clear" w:color="auto" w:fill="auto"/>
            <w:noWrap/>
            <w:vAlign w:val="center"/>
            <w:hideMark/>
          </w:tcPr>
          <w:p w14:paraId="0A0BDD3D" w14:textId="77777777" w:rsidR="00862A01" w:rsidRPr="00872D7E" w:rsidRDefault="00862A01" w:rsidP="00862A01">
            <w:pPr>
              <w:jc w:val="right"/>
              <w:rPr>
                <w:sz w:val="14"/>
                <w:szCs w:val="14"/>
              </w:rPr>
            </w:pPr>
          </w:p>
        </w:tc>
        <w:tc>
          <w:tcPr>
            <w:tcW w:w="708" w:type="dxa"/>
            <w:tcBorders>
              <w:top w:val="nil"/>
              <w:left w:val="nil"/>
              <w:bottom w:val="nil"/>
              <w:right w:val="nil"/>
            </w:tcBorders>
            <w:shd w:val="clear" w:color="auto" w:fill="auto"/>
            <w:noWrap/>
            <w:vAlign w:val="center"/>
            <w:hideMark/>
          </w:tcPr>
          <w:p w14:paraId="04331D0B" w14:textId="77777777" w:rsidR="00862A01" w:rsidRPr="00872D7E" w:rsidRDefault="00862A01" w:rsidP="00862A01">
            <w:pPr>
              <w:jc w:val="right"/>
              <w:rPr>
                <w:sz w:val="14"/>
                <w:szCs w:val="14"/>
              </w:rPr>
            </w:pPr>
          </w:p>
        </w:tc>
        <w:tc>
          <w:tcPr>
            <w:tcW w:w="724" w:type="dxa"/>
            <w:tcBorders>
              <w:top w:val="nil"/>
              <w:left w:val="nil"/>
              <w:bottom w:val="nil"/>
              <w:right w:val="nil"/>
            </w:tcBorders>
            <w:shd w:val="clear" w:color="auto" w:fill="auto"/>
            <w:noWrap/>
            <w:vAlign w:val="center"/>
            <w:hideMark/>
          </w:tcPr>
          <w:p w14:paraId="37EDE518" w14:textId="77777777" w:rsidR="00862A01" w:rsidRPr="00872D7E" w:rsidRDefault="00862A01" w:rsidP="00862A01">
            <w:pPr>
              <w:jc w:val="right"/>
              <w:rPr>
                <w:sz w:val="14"/>
                <w:szCs w:val="14"/>
              </w:rPr>
            </w:pPr>
          </w:p>
        </w:tc>
        <w:tc>
          <w:tcPr>
            <w:tcW w:w="575" w:type="dxa"/>
            <w:tcBorders>
              <w:top w:val="nil"/>
              <w:left w:val="nil"/>
              <w:bottom w:val="nil"/>
              <w:right w:val="nil"/>
            </w:tcBorders>
            <w:shd w:val="clear" w:color="auto" w:fill="auto"/>
            <w:noWrap/>
            <w:vAlign w:val="center"/>
            <w:hideMark/>
          </w:tcPr>
          <w:p w14:paraId="3C7AA91A" w14:textId="77777777" w:rsidR="00862A01" w:rsidRPr="00872D7E" w:rsidRDefault="00862A01" w:rsidP="00862A01">
            <w:pPr>
              <w:jc w:val="right"/>
              <w:rPr>
                <w:sz w:val="14"/>
                <w:szCs w:val="14"/>
              </w:rPr>
            </w:pPr>
          </w:p>
        </w:tc>
        <w:tc>
          <w:tcPr>
            <w:tcW w:w="709" w:type="dxa"/>
            <w:tcBorders>
              <w:top w:val="nil"/>
              <w:left w:val="nil"/>
              <w:bottom w:val="nil"/>
              <w:right w:val="nil"/>
            </w:tcBorders>
            <w:shd w:val="clear" w:color="auto" w:fill="auto"/>
            <w:noWrap/>
            <w:vAlign w:val="center"/>
            <w:hideMark/>
          </w:tcPr>
          <w:p w14:paraId="48B62D0D" w14:textId="77777777" w:rsidR="00862A01" w:rsidRPr="00872D7E" w:rsidRDefault="00862A01" w:rsidP="00862A01">
            <w:pPr>
              <w:jc w:val="right"/>
              <w:rPr>
                <w:sz w:val="14"/>
                <w:szCs w:val="14"/>
              </w:rPr>
            </w:pPr>
          </w:p>
        </w:tc>
        <w:tc>
          <w:tcPr>
            <w:tcW w:w="640" w:type="dxa"/>
            <w:tcBorders>
              <w:top w:val="nil"/>
              <w:left w:val="nil"/>
              <w:bottom w:val="nil"/>
              <w:right w:val="nil"/>
            </w:tcBorders>
            <w:shd w:val="clear" w:color="auto" w:fill="auto"/>
            <w:noWrap/>
            <w:vAlign w:val="center"/>
            <w:hideMark/>
          </w:tcPr>
          <w:p w14:paraId="0FEB2710" w14:textId="77777777" w:rsidR="00862A01" w:rsidRPr="00872D7E" w:rsidRDefault="00862A01" w:rsidP="00862A01">
            <w:pPr>
              <w:jc w:val="right"/>
              <w:rPr>
                <w:sz w:val="14"/>
                <w:szCs w:val="14"/>
              </w:rPr>
            </w:pPr>
          </w:p>
        </w:tc>
        <w:tc>
          <w:tcPr>
            <w:tcW w:w="636" w:type="dxa"/>
            <w:tcBorders>
              <w:top w:val="nil"/>
              <w:left w:val="nil"/>
              <w:bottom w:val="nil"/>
              <w:right w:val="nil"/>
            </w:tcBorders>
            <w:shd w:val="clear" w:color="auto" w:fill="auto"/>
            <w:noWrap/>
            <w:vAlign w:val="center"/>
            <w:hideMark/>
          </w:tcPr>
          <w:p w14:paraId="4B465466" w14:textId="77777777" w:rsidR="00862A01" w:rsidRPr="00872D7E" w:rsidRDefault="00862A01" w:rsidP="00862A01">
            <w:pPr>
              <w:jc w:val="right"/>
              <w:rPr>
                <w:sz w:val="14"/>
                <w:szCs w:val="14"/>
              </w:rPr>
            </w:pPr>
          </w:p>
        </w:tc>
        <w:tc>
          <w:tcPr>
            <w:tcW w:w="731" w:type="dxa"/>
            <w:tcBorders>
              <w:top w:val="nil"/>
              <w:left w:val="nil"/>
              <w:bottom w:val="nil"/>
              <w:right w:val="nil"/>
            </w:tcBorders>
            <w:shd w:val="clear" w:color="auto" w:fill="auto"/>
            <w:noWrap/>
            <w:vAlign w:val="center"/>
            <w:hideMark/>
          </w:tcPr>
          <w:p w14:paraId="6420A0BF" w14:textId="77777777" w:rsidR="00862A01" w:rsidRPr="00872D7E" w:rsidRDefault="00862A01" w:rsidP="00862A01">
            <w:pPr>
              <w:jc w:val="right"/>
              <w:rPr>
                <w:sz w:val="14"/>
                <w:szCs w:val="14"/>
              </w:rPr>
            </w:pPr>
          </w:p>
        </w:tc>
        <w:tc>
          <w:tcPr>
            <w:tcW w:w="715" w:type="dxa"/>
            <w:tcBorders>
              <w:top w:val="nil"/>
              <w:left w:val="nil"/>
              <w:bottom w:val="nil"/>
              <w:right w:val="nil"/>
            </w:tcBorders>
            <w:shd w:val="clear" w:color="auto" w:fill="auto"/>
            <w:noWrap/>
            <w:vAlign w:val="center"/>
            <w:hideMark/>
          </w:tcPr>
          <w:p w14:paraId="52C3BB78" w14:textId="77777777" w:rsidR="00862A01" w:rsidRPr="00872D7E" w:rsidRDefault="00862A01" w:rsidP="00862A01">
            <w:pPr>
              <w:jc w:val="right"/>
              <w:rPr>
                <w:sz w:val="14"/>
                <w:szCs w:val="14"/>
              </w:rPr>
            </w:pPr>
          </w:p>
        </w:tc>
        <w:tc>
          <w:tcPr>
            <w:tcW w:w="835" w:type="dxa"/>
            <w:tcBorders>
              <w:top w:val="nil"/>
              <w:left w:val="nil"/>
              <w:bottom w:val="nil"/>
              <w:right w:val="nil"/>
            </w:tcBorders>
            <w:shd w:val="clear" w:color="auto" w:fill="auto"/>
            <w:noWrap/>
            <w:vAlign w:val="center"/>
            <w:hideMark/>
          </w:tcPr>
          <w:p w14:paraId="39FBBCA4" w14:textId="77777777" w:rsidR="00862A01" w:rsidRPr="00872D7E" w:rsidRDefault="00862A01" w:rsidP="00862A01">
            <w:pPr>
              <w:jc w:val="right"/>
              <w:rPr>
                <w:sz w:val="14"/>
                <w:szCs w:val="14"/>
              </w:rPr>
            </w:pPr>
          </w:p>
        </w:tc>
        <w:tc>
          <w:tcPr>
            <w:tcW w:w="709" w:type="dxa"/>
            <w:tcBorders>
              <w:top w:val="nil"/>
              <w:left w:val="nil"/>
              <w:bottom w:val="nil"/>
              <w:right w:val="nil"/>
            </w:tcBorders>
            <w:shd w:val="clear" w:color="auto" w:fill="auto"/>
            <w:noWrap/>
            <w:hideMark/>
          </w:tcPr>
          <w:p w14:paraId="0980B573" w14:textId="77777777" w:rsidR="00862A01" w:rsidRPr="00872D7E" w:rsidRDefault="00862A01" w:rsidP="00862A01">
            <w:pPr>
              <w:jc w:val="right"/>
              <w:rPr>
                <w:sz w:val="14"/>
                <w:szCs w:val="14"/>
              </w:rPr>
            </w:pPr>
          </w:p>
        </w:tc>
        <w:tc>
          <w:tcPr>
            <w:tcW w:w="850" w:type="dxa"/>
            <w:tcBorders>
              <w:top w:val="nil"/>
              <w:left w:val="nil"/>
              <w:bottom w:val="nil"/>
              <w:right w:val="nil"/>
            </w:tcBorders>
            <w:shd w:val="clear" w:color="auto" w:fill="auto"/>
            <w:noWrap/>
            <w:hideMark/>
          </w:tcPr>
          <w:p w14:paraId="29BDB666" w14:textId="77777777" w:rsidR="00862A01" w:rsidRPr="00872D7E" w:rsidRDefault="00862A01" w:rsidP="00862A01">
            <w:pPr>
              <w:jc w:val="right"/>
              <w:rPr>
                <w:sz w:val="14"/>
                <w:szCs w:val="14"/>
              </w:rPr>
            </w:pPr>
          </w:p>
        </w:tc>
        <w:tc>
          <w:tcPr>
            <w:tcW w:w="985" w:type="dxa"/>
            <w:tcBorders>
              <w:top w:val="nil"/>
              <w:left w:val="nil"/>
              <w:bottom w:val="nil"/>
              <w:right w:val="single" w:sz="4" w:space="0" w:color="auto"/>
            </w:tcBorders>
            <w:shd w:val="clear" w:color="auto" w:fill="auto"/>
            <w:noWrap/>
            <w:vAlign w:val="center"/>
            <w:hideMark/>
          </w:tcPr>
          <w:p w14:paraId="6E0B34AE" w14:textId="77777777" w:rsidR="00862A01" w:rsidRPr="00872D7E" w:rsidRDefault="00862A01" w:rsidP="00862A01">
            <w:pPr>
              <w:jc w:val="right"/>
              <w:rPr>
                <w:color w:val="000000"/>
                <w:sz w:val="14"/>
                <w:szCs w:val="14"/>
              </w:rPr>
            </w:pPr>
            <w:r w:rsidRPr="00872D7E">
              <w:rPr>
                <w:color w:val="000000"/>
                <w:sz w:val="14"/>
                <w:szCs w:val="14"/>
              </w:rPr>
              <w:t> </w:t>
            </w:r>
          </w:p>
        </w:tc>
      </w:tr>
      <w:tr w:rsidR="00862A01" w:rsidRPr="00872D7E" w14:paraId="0B456C2D"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38992592" w14:textId="77777777" w:rsidR="00862A01" w:rsidRPr="00872D7E" w:rsidRDefault="00862A01" w:rsidP="00862A01">
            <w:pPr>
              <w:jc w:val="center"/>
              <w:rPr>
                <w:b/>
                <w:bCs/>
                <w:color w:val="000000"/>
                <w:sz w:val="14"/>
                <w:szCs w:val="14"/>
              </w:rPr>
            </w:pPr>
            <w:r w:rsidRPr="00872D7E">
              <w:rPr>
                <w:b/>
                <w:bCs/>
                <w:color w:val="000000"/>
                <w:sz w:val="14"/>
                <w:szCs w:val="14"/>
              </w:rPr>
              <w:t> </w:t>
            </w:r>
          </w:p>
        </w:tc>
        <w:tc>
          <w:tcPr>
            <w:tcW w:w="3381" w:type="dxa"/>
            <w:tcBorders>
              <w:top w:val="nil"/>
              <w:left w:val="nil"/>
              <w:bottom w:val="nil"/>
              <w:right w:val="nil"/>
            </w:tcBorders>
            <w:shd w:val="clear" w:color="auto" w:fill="auto"/>
            <w:noWrap/>
            <w:vAlign w:val="bottom"/>
            <w:hideMark/>
          </w:tcPr>
          <w:p w14:paraId="664336E4" w14:textId="77777777" w:rsidR="00862A01" w:rsidRPr="00872D7E" w:rsidRDefault="00862A01" w:rsidP="00862A01">
            <w:pPr>
              <w:jc w:val="center"/>
              <w:rPr>
                <w:b/>
                <w:bCs/>
                <w:color w:val="000000"/>
                <w:sz w:val="14"/>
                <w:szCs w:val="14"/>
              </w:rPr>
            </w:pPr>
          </w:p>
        </w:tc>
        <w:tc>
          <w:tcPr>
            <w:tcW w:w="707" w:type="dxa"/>
            <w:tcBorders>
              <w:top w:val="nil"/>
              <w:left w:val="nil"/>
              <w:bottom w:val="nil"/>
              <w:right w:val="nil"/>
            </w:tcBorders>
            <w:shd w:val="clear" w:color="auto" w:fill="auto"/>
            <w:noWrap/>
            <w:vAlign w:val="bottom"/>
            <w:hideMark/>
          </w:tcPr>
          <w:p w14:paraId="3B9DB566" w14:textId="77777777" w:rsidR="00862A01" w:rsidRPr="00872D7E" w:rsidRDefault="00862A01" w:rsidP="00862A01">
            <w:pPr>
              <w:rPr>
                <w:sz w:val="14"/>
                <w:szCs w:val="14"/>
              </w:rPr>
            </w:pPr>
          </w:p>
        </w:tc>
        <w:tc>
          <w:tcPr>
            <w:tcW w:w="851" w:type="dxa"/>
            <w:tcBorders>
              <w:top w:val="nil"/>
              <w:left w:val="nil"/>
              <w:bottom w:val="nil"/>
              <w:right w:val="nil"/>
            </w:tcBorders>
            <w:shd w:val="clear" w:color="auto" w:fill="auto"/>
            <w:noWrap/>
            <w:vAlign w:val="center"/>
            <w:hideMark/>
          </w:tcPr>
          <w:p w14:paraId="2C44EB77" w14:textId="77777777" w:rsidR="00862A01" w:rsidRPr="00872D7E" w:rsidRDefault="00862A01" w:rsidP="00862A01">
            <w:pPr>
              <w:jc w:val="right"/>
              <w:rPr>
                <w:sz w:val="14"/>
                <w:szCs w:val="14"/>
              </w:rPr>
            </w:pPr>
          </w:p>
        </w:tc>
        <w:tc>
          <w:tcPr>
            <w:tcW w:w="709" w:type="dxa"/>
            <w:tcBorders>
              <w:top w:val="nil"/>
              <w:left w:val="nil"/>
              <w:bottom w:val="nil"/>
              <w:right w:val="nil"/>
            </w:tcBorders>
            <w:shd w:val="clear" w:color="auto" w:fill="auto"/>
            <w:noWrap/>
            <w:vAlign w:val="center"/>
            <w:hideMark/>
          </w:tcPr>
          <w:p w14:paraId="6B09ECCD" w14:textId="77777777" w:rsidR="00862A01" w:rsidRPr="00872D7E" w:rsidRDefault="00862A01" w:rsidP="00862A01">
            <w:pPr>
              <w:jc w:val="right"/>
              <w:rPr>
                <w:sz w:val="14"/>
                <w:szCs w:val="14"/>
              </w:rPr>
            </w:pPr>
          </w:p>
        </w:tc>
        <w:tc>
          <w:tcPr>
            <w:tcW w:w="708" w:type="dxa"/>
            <w:tcBorders>
              <w:top w:val="nil"/>
              <w:left w:val="nil"/>
              <w:bottom w:val="nil"/>
              <w:right w:val="nil"/>
            </w:tcBorders>
            <w:shd w:val="clear" w:color="auto" w:fill="auto"/>
            <w:noWrap/>
            <w:vAlign w:val="center"/>
            <w:hideMark/>
          </w:tcPr>
          <w:p w14:paraId="76CE53A1" w14:textId="77777777" w:rsidR="00862A01" w:rsidRPr="00872D7E" w:rsidRDefault="00862A01" w:rsidP="00862A01">
            <w:pPr>
              <w:jc w:val="right"/>
              <w:rPr>
                <w:sz w:val="14"/>
                <w:szCs w:val="14"/>
              </w:rPr>
            </w:pPr>
          </w:p>
        </w:tc>
        <w:tc>
          <w:tcPr>
            <w:tcW w:w="724" w:type="dxa"/>
            <w:tcBorders>
              <w:top w:val="nil"/>
              <w:left w:val="nil"/>
              <w:bottom w:val="nil"/>
              <w:right w:val="nil"/>
            </w:tcBorders>
            <w:shd w:val="clear" w:color="auto" w:fill="auto"/>
            <w:noWrap/>
            <w:vAlign w:val="center"/>
            <w:hideMark/>
          </w:tcPr>
          <w:p w14:paraId="646B3BB3" w14:textId="77777777" w:rsidR="00862A01" w:rsidRPr="00872D7E" w:rsidRDefault="00862A01" w:rsidP="00862A01">
            <w:pPr>
              <w:jc w:val="right"/>
              <w:rPr>
                <w:sz w:val="14"/>
                <w:szCs w:val="14"/>
              </w:rPr>
            </w:pPr>
          </w:p>
        </w:tc>
        <w:tc>
          <w:tcPr>
            <w:tcW w:w="575" w:type="dxa"/>
            <w:tcBorders>
              <w:top w:val="nil"/>
              <w:left w:val="nil"/>
              <w:bottom w:val="nil"/>
              <w:right w:val="nil"/>
            </w:tcBorders>
            <w:shd w:val="clear" w:color="auto" w:fill="auto"/>
            <w:noWrap/>
            <w:vAlign w:val="center"/>
            <w:hideMark/>
          </w:tcPr>
          <w:p w14:paraId="00DE37BE" w14:textId="77777777" w:rsidR="00862A01" w:rsidRPr="00872D7E" w:rsidRDefault="00862A01" w:rsidP="00862A01">
            <w:pPr>
              <w:jc w:val="right"/>
              <w:rPr>
                <w:sz w:val="14"/>
                <w:szCs w:val="14"/>
              </w:rPr>
            </w:pPr>
          </w:p>
        </w:tc>
        <w:tc>
          <w:tcPr>
            <w:tcW w:w="709" w:type="dxa"/>
            <w:tcBorders>
              <w:top w:val="nil"/>
              <w:left w:val="nil"/>
              <w:bottom w:val="nil"/>
              <w:right w:val="nil"/>
            </w:tcBorders>
            <w:shd w:val="clear" w:color="auto" w:fill="auto"/>
            <w:noWrap/>
            <w:vAlign w:val="center"/>
            <w:hideMark/>
          </w:tcPr>
          <w:p w14:paraId="680D3535" w14:textId="77777777" w:rsidR="00862A01" w:rsidRPr="00872D7E" w:rsidRDefault="00862A01" w:rsidP="00862A01">
            <w:pPr>
              <w:jc w:val="right"/>
              <w:rPr>
                <w:sz w:val="14"/>
                <w:szCs w:val="14"/>
              </w:rPr>
            </w:pPr>
          </w:p>
        </w:tc>
        <w:tc>
          <w:tcPr>
            <w:tcW w:w="640" w:type="dxa"/>
            <w:tcBorders>
              <w:top w:val="nil"/>
              <w:left w:val="nil"/>
              <w:bottom w:val="nil"/>
              <w:right w:val="nil"/>
            </w:tcBorders>
            <w:shd w:val="clear" w:color="auto" w:fill="auto"/>
            <w:noWrap/>
            <w:vAlign w:val="center"/>
            <w:hideMark/>
          </w:tcPr>
          <w:p w14:paraId="5DBF3381" w14:textId="77777777" w:rsidR="00862A01" w:rsidRPr="00872D7E" w:rsidRDefault="00862A01" w:rsidP="00862A01">
            <w:pPr>
              <w:jc w:val="right"/>
              <w:rPr>
                <w:sz w:val="14"/>
                <w:szCs w:val="14"/>
              </w:rPr>
            </w:pPr>
          </w:p>
        </w:tc>
        <w:tc>
          <w:tcPr>
            <w:tcW w:w="636" w:type="dxa"/>
            <w:tcBorders>
              <w:top w:val="nil"/>
              <w:left w:val="nil"/>
              <w:bottom w:val="nil"/>
              <w:right w:val="nil"/>
            </w:tcBorders>
            <w:shd w:val="clear" w:color="auto" w:fill="auto"/>
            <w:noWrap/>
            <w:vAlign w:val="center"/>
            <w:hideMark/>
          </w:tcPr>
          <w:p w14:paraId="0B27CDD5" w14:textId="77777777" w:rsidR="00862A01" w:rsidRPr="00872D7E" w:rsidRDefault="00862A01" w:rsidP="00862A01">
            <w:pPr>
              <w:jc w:val="right"/>
              <w:rPr>
                <w:sz w:val="14"/>
                <w:szCs w:val="14"/>
              </w:rPr>
            </w:pPr>
          </w:p>
        </w:tc>
        <w:tc>
          <w:tcPr>
            <w:tcW w:w="731" w:type="dxa"/>
            <w:tcBorders>
              <w:top w:val="nil"/>
              <w:left w:val="nil"/>
              <w:bottom w:val="nil"/>
              <w:right w:val="nil"/>
            </w:tcBorders>
            <w:shd w:val="clear" w:color="auto" w:fill="auto"/>
            <w:noWrap/>
            <w:vAlign w:val="center"/>
            <w:hideMark/>
          </w:tcPr>
          <w:p w14:paraId="1110226C" w14:textId="77777777" w:rsidR="00862A01" w:rsidRPr="00872D7E" w:rsidRDefault="00862A01" w:rsidP="00862A01">
            <w:pPr>
              <w:jc w:val="right"/>
              <w:rPr>
                <w:sz w:val="14"/>
                <w:szCs w:val="14"/>
              </w:rPr>
            </w:pPr>
          </w:p>
        </w:tc>
        <w:tc>
          <w:tcPr>
            <w:tcW w:w="715" w:type="dxa"/>
            <w:tcBorders>
              <w:top w:val="nil"/>
              <w:left w:val="nil"/>
              <w:bottom w:val="nil"/>
              <w:right w:val="nil"/>
            </w:tcBorders>
            <w:shd w:val="clear" w:color="auto" w:fill="auto"/>
            <w:noWrap/>
            <w:vAlign w:val="center"/>
            <w:hideMark/>
          </w:tcPr>
          <w:p w14:paraId="33054BFF" w14:textId="77777777" w:rsidR="00862A01" w:rsidRPr="00872D7E" w:rsidRDefault="00862A01" w:rsidP="00862A01">
            <w:pPr>
              <w:jc w:val="right"/>
              <w:rPr>
                <w:sz w:val="14"/>
                <w:szCs w:val="14"/>
              </w:rPr>
            </w:pPr>
          </w:p>
        </w:tc>
        <w:tc>
          <w:tcPr>
            <w:tcW w:w="835" w:type="dxa"/>
            <w:tcBorders>
              <w:top w:val="nil"/>
              <w:left w:val="nil"/>
              <w:bottom w:val="nil"/>
              <w:right w:val="nil"/>
            </w:tcBorders>
            <w:shd w:val="clear" w:color="auto" w:fill="auto"/>
            <w:noWrap/>
            <w:vAlign w:val="center"/>
            <w:hideMark/>
          </w:tcPr>
          <w:p w14:paraId="6D414967" w14:textId="77777777" w:rsidR="00862A01" w:rsidRPr="00872D7E" w:rsidRDefault="00862A01" w:rsidP="00862A01">
            <w:pPr>
              <w:jc w:val="right"/>
              <w:rPr>
                <w:sz w:val="14"/>
                <w:szCs w:val="14"/>
              </w:rPr>
            </w:pPr>
          </w:p>
        </w:tc>
        <w:tc>
          <w:tcPr>
            <w:tcW w:w="709" w:type="dxa"/>
            <w:tcBorders>
              <w:top w:val="nil"/>
              <w:left w:val="nil"/>
              <w:bottom w:val="nil"/>
              <w:right w:val="nil"/>
            </w:tcBorders>
            <w:shd w:val="clear" w:color="auto" w:fill="auto"/>
            <w:noWrap/>
            <w:vAlign w:val="center"/>
            <w:hideMark/>
          </w:tcPr>
          <w:p w14:paraId="7CA9F777" w14:textId="77777777" w:rsidR="00862A01" w:rsidRPr="00872D7E" w:rsidRDefault="00862A01" w:rsidP="00862A01">
            <w:pPr>
              <w:jc w:val="right"/>
              <w:rPr>
                <w:sz w:val="14"/>
                <w:szCs w:val="14"/>
              </w:rPr>
            </w:pPr>
          </w:p>
        </w:tc>
        <w:tc>
          <w:tcPr>
            <w:tcW w:w="850" w:type="dxa"/>
            <w:tcBorders>
              <w:top w:val="nil"/>
              <w:left w:val="nil"/>
              <w:bottom w:val="nil"/>
              <w:right w:val="nil"/>
            </w:tcBorders>
            <w:shd w:val="clear" w:color="auto" w:fill="auto"/>
            <w:noWrap/>
            <w:vAlign w:val="center"/>
            <w:hideMark/>
          </w:tcPr>
          <w:p w14:paraId="1F878499" w14:textId="77777777" w:rsidR="00862A01" w:rsidRPr="00872D7E" w:rsidRDefault="00862A01" w:rsidP="00862A01">
            <w:pPr>
              <w:jc w:val="right"/>
              <w:rPr>
                <w:sz w:val="14"/>
                <w:szCs w:val="14"/>
              </w:rPr>
            </w:pPr>
          </w:p>
        </w:tc>
        <w:tc>
          <w:tcPr>
            <w:tcW w:w="985" w:type="dxa"/>
            <w:tcBorders>
              <w:top w:val="nil"/>
              <w:left w:val="nil"/>
              <w:bottom w:val="nil"/>
              <w:right w:val="single" w:sz="4" w:space="0" w:color="auto"/>
            </w:tcBorders>
            <w:shd w:val="clear" w:color="auto" w:fill="auto"/>
            <w:noWrap/>
            <w:vAlign w:val="center"/>
            <w:hideMark/>
          </w:tcPr>
          <w:p w14:paraId="2CF69882" w14:textId="77777777" w:rsidR="00862A01" w:rsidRPr="00872D7E" w:rsidRDefault="00862A01" w:rsidP="00862A01">
            <w:pPr>
              <w:jc w:val="right"/>
              <w:rPr>
                <w:color w:val="000000"/>
                <w:sz w:val="14"/>
                <w:szCs w:val="14"/>
              </w:rPr>
            </w:pPr>
            <w:r w:rsidRPr="00872D7E">
              <w:rPr>
                <w:color w:val="000000"/>
                <w:sz w:val="14"/>
                <w:szCs w:val="14"/>
              </w:rPr>
              <w:t> </w:t>
            </w:r>
          </w:p>
        </w:tc>
      </w:tr>
      <w:tr w:rsidR="00862A01" w:rsidRPr="00872D7E" w14:paraId="073F8ED8"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0153AFA0" w14:textId="77777777" w:rsidR="00862A01" w:rsidRPr="00872D7E" w:rsidRDefault="00862A01" w:rsidP="00862A01">
            <w:pPr>
              <w:rPr>
                <w:b/>
                <w:bCs/>
                <w:color w:val="000000"/>
                <w:sz w:val="14"/>
                <w:szCs w:val="14"/>
              </w:rPr>
            </w:pPr>
            <w:r w:rsidRPr="00872D7E">
              <w:rPr>
                <w:b/>
                <w:bCs/>
                <w:color w:val="000000"/>
                <w:sz w:val="14"/>
                <w:szCs w:val="14"/>
              </w:rPr>
              <w:t>I.</w:t>
            </w:r>
          </w:p>
        </w:tc>
        <w:tc>
          <w:tcPr>
            <w:tcW w:w="3381" w:type="dxa"/>
            <w:tcBorders>
              <w:top w:val="nil"/>
              <w:left w:val="nil"/>
              <w:bottom w:val="nil"/>
              <w:right w:val="nil"/>
            </w:tcBorders>
            <w:shd w:val="clear" w:color="auto" w:fill="auto"/>
            <w:noWrap/>
            <w:vAlign w:val="center"/>
            <w:hideMark/>
          </w:tcPr>
          <w:p w14:paraId="02854639" w14:textId="77777777" w:rsidR="00862A01" w:rsidRPr="00872D7E" w:rsidRDefault="00862A01" w:rsidP="00862A01">
            <w:pPr>
              <w:rPr>
                <w:b/>
                <w:bCs/>
                <w:color w:val="000000"/>
                <w:sz w:val="14"/>
                <w:szCs w:val="14"/>
              </w:rPr>
            </w:pPr>
            <w:r w:rsidRPr="00872D7E">
              <w:rPr>
                <w:b/>
                <w:bCs/>
                <w:color w:val="000000"/>
                <w:sz w:val="14"/>
                <w:szCs w:val="14"/>
              </w:rPr>
              <w:t xml:space="preserve">Önceki Dönem Sonu Bakiyesi </w:t>
            </w:r>
          </w:p>
        </w:tc>
        <w:tc>
          <w:tcPr>
            <w:tcW w:w="707" w:type="dxa"/>
            <w:tcBorders>
              <w:top w:val="nil"/>
              <w:left w:val="nil"/>
              <w:bottom w:val="nil"/>
              <w:right w:val="nil"/>
            </w:tcBorders>
            <w:shd w:val="clear" w:color="auto" w:fill="auto"/>
            <w:noWrap/>
            <w:vAlign w:val="center"/>
            <w:hideMark/>
          </w:tcPr>
          <w:p w14:paraId="4DE3BBEB"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34AD0916" w14:textId="77777777" w:rsidR="00862A01" w:rsidRPr="00872D7E" w:rsidRDefault="00862A01" w:rsidP="00862A01">
            <w:pPr>
              <w:jc w:val="right"/>
              <w:rPr>
                <w:b/>
                <w:bCs/>
                <w:color w:val="000000"/>
                <w:sz w:val="14"/>
                <w:szCs w:val="14"/>
              </w:rPr>
            </w:pPr>
            <w:r w:rsidRPr="00872D7E">
              <w:rPr>
                <w:b/>
                <w:bCs/>
                <w:color w:val="000000"/>
                <w:sz w:val="14"/>
                <w:szCs w:val="14"/>
              </w:rPr>
              <w:t>99.337</w:t>
            </w:r>
          </w:p>
        </w:tc>
        <w:tc>
          <w:tcPr>
            <w:tcW w:w="709" w:type="dxa"/>
            <w:tcBorders>
              <w:top w:val="nil"/>
              <w:left w:val="nil"/>
              <w:bottom w:val="nil"/>
              <w:right w:val="nil"/>
            </w:tcBorders>
            <w:shd w:val="clear" w:color="auto" w:fill="auto"/>
            <w:vAlign w:val="center"/>
            <w:hideMark/>
          </w:tcPr>
          <w:p w14:paraId="6D4272F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294290F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79BFC54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4CFFBFB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0A6B56DB" w14:textId="77777777" w:rsidR="00862A01" w:rsidRPr="00872D7E" w:rsidRDefault="00862A01" w:rsidP="00862A01">
            <w:pPr>
              <w:jc w:val="right"/>
              <w:rPr>
                <w:b/>
                <w:bCs/>
                <w:color w:val="000000"/>
                <w:sz w:val="14"/>
                <w:szCs w:val="14"/>
              </w:rPr>
            </w:pPr>
            <w:r w:rsidRPr="00872D7E">
              <w:rPr>
                <w:b/>
                <w:bCs/>
                <w:color w:val="000000"/>
                <w:sz w:val="14"/>
                <w:szCs w:val="14"/>
              </w:rPr>
              <w:t>(2.245)</w:t>
            </w:r>
          </w:p>
        </w:tc>
        <w:tc>
          <w:tcPr>
            <w:tcW w:w="640" w:type="dxa"/>
            <w:tcBorders>
              <w:top w:val="nil"/>
              <w:left w:val="nil"/>
              <w:bottom w:val="nil"/>
              <w:right w:val="nil"/>
            </w:tcBorders>
            <w:shd w:val="clear" w:color="auto" w:fill="auto"/>
            <w:vAlign w:val="center"/>
            <w:hideMark/>
          </w:tcPr>
          <w:p w14:paraId="52EFD4F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55C9030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1B862FD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05E4F33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3B54393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292496FA" w14:textId="77777777" w:rsidR="00862A01" w:rsidRPr="00872D7E" w:rsidRDefault="00862A01" w:rsidP="00862A01">
            <w:pPr>
              <w:jc w:val="right"/>
              <w:rPr>
                <w:b/>
                <w:bCs/>
                <w:color w:val="000000"/>
                <w:sz w:val="14"/>
                <w:szCs w:val="14"/>
              </w:rPr>
            </w:pPr>
            <w:r w:rsidRPr="00872D7E">
              <w:rPr>
                <w:b/>
                <w:bCs/>
                <w:color w:val="000000"/>
                <w:sz w:val="14"/>
                <w:szCs w:val="14"/>
              </w:rPr>
              <w:t>(21.140)</w:t>
            </w:r>
          </w:p>
        </w:tc>
        <w:tc>
          <w:tcPr>
            <w:tcW w:w="850" w:type="dxa"/>
            <w:tcBorders>
              <w:top w:val="nil"/>
              <w:left w:val="nil"/>
              <w:bottom w:val="nil"/>
              <w:right w:val="nil"/>
            </w:tcBorders>
            <w:shd w:val="clear" w:color="auto" w:fill="auto"/>
            <w:vAlign w:val="center"/>
            <w:hideMark/>
          </w:tcPr>
          <w:p w14:paraId="7BC0C909" w14:textId="77777777" w:rsidR="00862A01" w:rsidRPr="00872D7E" w:rsidRDefault="00862A01" w:rsidP="00862A01">
            <w:pPr>
              <w:jc w:val="right"/>
              <w:rPr>
                <w:b/>
                <w:bCs/>
                <w:color w:val="000000"/>
                <w:sz w:val="14"/>
                <w:szCs w:val="14"/>
              </w:rPr>
            </w:pPr>
            <w:r w:rsidRPr="00872D7E">
              <w:rPr>
                <w:b/>
                <w:bCs/>
                <w:color w:val="000000"/>
                <w:sz w:val="14"/>
                <w:szCs w:val="14"/>
              </w:rPr>
              <w:t>8.092</w:t>
            </w:r>
          </w:p>
        </w:tc>
        <w:tc>
          <w:tcPr>
            <w:tcW w:w="985" w:type="dxa"/>
            <w:tcBorders>
              <w:top w:val="nil"/>
              <w:left w:val="nil"/>
              <w:bottom w:val="nil"/>
              <w:right w:val="single" w:sz="4" w:space="0" w:color="auto"/>
            </w:tcBorders>
            <w:shd w:val="clear" w:color="auto" w:fill="auto"/>
            <w:vAlign w:val="center"/>
            <w:hideMark/>
          </w:tcPr>
          <w:p w14:paraId="2DED64C4" w14:textId="77777777" w:rsidR="00862A01" w:rsidRPr="00872D7E" w:rsidRDefault="00862A01" w:rsidP="00862A01">
            <w:pPr>
              <w:jc w:val="right"/>
              <w:rPr>
                <w:b/>
                <w:bCs/>
                <w:color w:val="000000"/>
                <w:sz w:val="14"/>
                <w:szCs w:val="14"/>
              </w:rPr>
            </w:pPr>
            <w:r w:rsidRPr="00872D7E">
              <w:rPr>
                <w:b/>
                <w:bCs/>
                <w:color w:val="000000"/>
                <w:sz w:val="14"/>
                <w:szCs w:val="14"/>
              </w:rPr>
              <w:t>84.044</w:t>
            </w:r>
          </w:p>
        </w:tc>
      </w:tr>
      <w:tr w:rsidR="00862A01" w:rsidRPr="00872D7E" w14:paraId="0590418C"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2C57AD91" w14:textId="77777777" w:rsidR="00862A01" w:rsidRPr="00872D7E" w:rsidRDefault="00862A01" w:rsidP="00862A01">
            <w:pPr>
              <w:rPr>
                <w:b/>
                <w:bCs/>
                <w:color w:val="000000"/>
                <w:sz w:val="14"/>
                <w:szCs w:val="14"/>
              </w:rPr>
            </w:pPr>
            <w:r w:rsidRPr="00872D7E">
              <w:rPr>
                <w:b/>
                <w:bCs/>
                <w:color w:val="000000"/>
                <w:sz w:val="14"/>
                <w:szCs w:val="14"/>
              </w:rPr>
              <w:t>II.</w:t>
            </w:r>
          </w:p>
        </w:tc>
        <w:tc>
          <w:tcPr>
            <w:tcW w:w="3381" w:type="dxa"/>
            <w:tcBorders>
              <w:top w:val="nil"/>
              <w:left w:val="nil"/>
              <w:bottom w:val="nil"/>
              <w:right w:val="nil"/>
            </w:tcBorders>
            <w:shd w:val="clear" w:color="auto" w:fill="auto"/>
            <w:noWrap/>
            <w:vAlign w:val="center"/>
            <w:hideMark/>
          </w:tcPr>
          <w:p w14:paraId="3AAA56E3" w14:textId="77777777" w:rsidR="00862A01" w:rsidRPr="00872D7E" w:rsidRDefault="00862A01" w:rsidP="00862A01">
            <w:pPr>
              <w:rPr>
                <w:b/>
                <w:bCs/>
                <w:color w:val="000000"/>
                <w:sz w:val="14"/>
                <w:szCs w:val="14"/>
              </w:rPr>
            </w:pPr>
            <w:r w:rsidRPr="00872D7E">
              <w:rPr>
                <w:b/>
                <w:bCs/>
                <w:color w:val="000000"/>
                <w:sz w:val="14"/>
                <w:szCs w:val="14"/>
              </w:rPr>
              <w:t>TMS 8 Uyarınca Yapılan Düzeltmeler</w:t>
            </w:r>
          </w:p>
        </w:tc>
        <w:tc>
          <w:tcPr>
            <w:tcW w:w="707" w:type="dxa"/>
            <w:tcBorders>
              <w:top w:val="nil"/>
              <w:left w:val="nil"/>
              <w:bottom w:val="nil"/>
              <w:right w:val="nil"/>
            </w:tcBorders>
            <w:shd w:val="clear" w:color="auto" w:fill="auto"/>
            <w:noWrap/>
            <w:vAlign w:val="center"/>
            <w:hideMark/>
          </w:tcPr>
          <w:p w14:paraId="33D419AF"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6AEA128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30D5E1F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1849C22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60AB1A3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1F191F4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21D186D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40" w:type="dxa"/>
            <w:tcBorders>
              <w:top w:val="nil"/>
              <w:left w:val="nil"/>
              <w:bottom w:val="nil"/>
              <w:right w:val="nil"/>
            </w:tcBorders>
            <w:shd w:val="clear" w:color="auto" w:fill="auto"/>
            <w:vAlign w:val="center"/>
            <w:hideMark/>
          </w:tcPr>
          <w:p w14:paraId="7E2F9C3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03897C5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4C75029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3FF0DF3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16AF95E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6916616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0" w:type="dxa"/>
            <w:tcBorders>
              <w:top w:val="nil"/>
              <w:left w:val="nil"/>
              <w:bottom w:val="nil"/>
              <w:right w:val="nil"/>
            </w:tcBorders>
            <w:shd w:val="clear" w:color="auto" w:fill="auto"/>
            <w:vAlign w:val="center"/>
            <w:hideMark/>
          </w:tcPr>
          <w:p w14:paraId="1AA2DBB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74D409FE"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4F8D27EF"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0A2F5D79" w14:textId="77777777" w:rsidR="00862A01" w:rsidRPr="00872D7E" w:rsidRDefault="00862A01" w:rsidP="00862A01">
            <w:pPr>
              <w:rPr>
                <w:color w:val="000000"/>
                <w:sz w:val="14"/>
                <w:szCs w:val="14"/>
              </w:rPr>
            </w:pPr>
            <w:r w:rsidRPr="00872D7E">
              <w:rPr>
                <w:color w:val="000000"/>
                <w:sz w:val="14"/>
                <w:szCs w:val="14"/>
              </w:rPr>
              <w:t>2.1</w:t>
            </w:r>
          </w:p>
        </w:tc>
        <w:tc>
          <w:tcPr>
            <w:tcW w:w="3381" w:type="dxa"/>
            <w:tcBorders>
              <w:top w:val="nil"/>
              <w:left w:val="nil"/>
              <w:bottom w:val="nil"/>
              <w:right w:val="nil"/>
            </w:tcBorders>
            <w:shd w:val="clear" w:color="auto" w:fill="auto"/>
            <w:noWrap/>
            <w:vAlign w:val="center"/>
            <w:hideMark/>
          </w:tcPr>
          <w:p w14:paraId="5621949E" w14:textId="77777777" w:rsidR="00862A01" w:rsidRPr="00872D7E" w:rsidRDefault="00862A01" w:rsidP="00862A01">
            <w:pPr>
              <w:rPr>
                <w:color w:val="000000"/>
                <w:sz w:val="14"/>
                <w:szCs w:val="14"/>
              </w:rPr>
            </w:pPr>
            <w:r w:rsidRPr="00872D7E">
              <w:rPr>
                <w:color w:val="000000"/>
                <w:sz w:val="14"/>
                <w:szCs w:val="14"/>
              </w:rPr>
              <w:t xml:space="preserve">Hataların Düzeltilmesinin Etkisi </w:t>
            </w:r>
          </w:p>
        </w:tc>
        <w:tc>
          <w:tcPr>
            <w:tcW w:w="707" w:type="dxa"/>
            <w:tcBorders>
              <w:top w:val="nil"/>
              <w:left w:val="nil"/>
              <w:bottom w:val="nil"/>
              <w:right w:val="nil"/>
            </w:tcBorders>
            <w:shd w:val="clear" w:color="auto" w:fill="auto"/>
            <w:noWrap/>
            <w:vAlign w:val="center"/>
            <w:hideMark/>
          </w:tcPr>
          <w:p w14:paraId="614F4AF0" w14:textId="77777777" w:rsidR="00862A01" w:rsidRPr="00872D7E" w:rsidRDefault="00862A01" w:rsidP="00862A01">
            <w:pPr>
              <w:rPr>
                <w:color w:val="000000"/>
                <w:sz w:val="14"/>
                <w:szCs w:val="14"/>
              </w:rPr>
            </w:pPr>
          </w:p>
        </w:tc>
        <w:tc>
          <w:tcPr>
            <w:tcW w:w="851" w:type="dxa"/>
            <w:tcBorders>
              <w:top w:val="nil"/>
              <w:left w:val="nil"/>
              <w:bottom w:val="nil"/>
              <w:right w:val="nil"/>
            </w:tcBorders>
            <w:shd w:val="clear" w:color="auto" w:fill="auto"/>
            <w:vAlign w:val="center"/>
            <w:hideMark/>
          </w:tcPr>
          <w:p w14:paraId="39FAB55A"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vAlign w:val="center"/>
            <w:hideMark/>
          </w:tcPr>
          <w:p w14:paraId="620C0134" w14:textId="77777777" w:rsidR="00862A01" w:rsidRPr="00872D7E" w:rsidRDefault="00862A01" w:rsidP="00862A01">
            <w:pPr>
              <w:jc w:val="right"/>
              <w:rPr>
                <w:color w:val="000000"/>
                <w:sz w:val="14"/>
                <w:szCs w:val="14"/>
              </w:rPr>
            </w:pPr>
            <w:r w:rsidRPr="00872D7E">
              <w:rPr>
                <w:color w:val="000000"/>
                <w:sz w:val="14"/>
                <w:szCs w:val="14"/>
              </w:rPr>
              <w:t>-</w:t>
            </w:r>
          </w:p>
        </w:tc>
        <w:tc>
          <w:tcPr>
            <w:tcW w:w="708" w:type="dxa"/>
            <w:tcBorders>
              <w:top w:val="nil"/>
              <w:left w:val="nil"/>
              <w:bottom w:val="nil"/>
              <w:right w:val="nil"/>
            </w:tcBorders>
            <w:shd w:val="clear" w:color="auto" w:fill="auto"/>
            <w:vAlign w:val="center"/>
            <w:hideMark/>
          </w:tcPr>
          <w:p w14:paraId="01971AFC" w14:textId="77777777" w:rsidR="00862A01" w:rsidRPr="00872D7E" w:rsidRDefault="00862A01" w:rsidP="00862A01">
            <w:pPr>
              <w:jc w:val="right"/>
              <w:rPr>
                <w:color w:val="000000"/>
                <w:sz w:val="14"/>
                <w:szCs w:val="14"/>
              </w:rPr>
            </w:pPr>
            <w:r w:rsidRPr="00872D7E">
              <w:rPr>
                <w:color w:val="000000"/>
                <w:sz w:val="14"/>
                <w:szCs w:val="14"/>
              </w:rPr>
              <w:t>-</w:t>
            </w:r>
          </w:p>
        </w:tc>
        <w:tc>
          <w:tcPr>
            <w:tcW w:w="724" w:type="dxa"/>
            <w:tcBorders>
              <w:top w:val="nil"/>
              <w:left w:val="nil"/>
              <w:bottom w:val="nil"/>
              <w:right w:val="nil"/>
            </w:tcBorders>
            <w:shd w:val="clear" w:color="auto" w:fill="auto"/>
            <w:vAlign w:val="center"/>
            <w:hideMark/>
          </w:tcPr>
          <w:p w14:paraId="1CF2E906" w14:textId="77777777" w:rsidR="00862A01" w:rsidRPr="00872D7E" w:rsidRDefault="00862A01" w:rsidP="00862A01">
            <w:pPr>
              <w:jc w:val="right"/>
              <w:rPr>
                <w:color w:val="000000"/>
                <w:sz w:val="14"/>
                <w:szCs w:val="14"/>
              </w:rPr>
            </w:pPr>
            <w:r w:rsidRPr="00872D7E">
              <w:rPr>
                <w:color w:val="000000"/>
                <w:sz w:val="14"/>
                <w:szCs w:val="14"/>
              </w:rPr>
              <w:t>-</w:t>
            </w:r>
          </w:p>
        </w:tc>
        <w:tc>
          <w:tcPr>
            <w:tcW w:w="575" w:type="dxa"/>
            <w:tcBorders>
              <w:top w:val="nil"/>
              <w:left w:val="nil"/>
              <w:bottom w:val="nil"/>
              <w:right w:val="nil"/>
            </w:tcBorders>
            <w:shd w:val="clear" w:color="auto" w:fill="auto"/>
            <w:vAlign w:val="center"/>
            <w:hideMark/>
          </w:tcPr>
          <w:p w14:paraId="2DE25CDB"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vAlign w:val="center"/>
            <w:hideMark/>
          </w:tcPr>
          <w:p w14:paraId="6010FC16" w14:textId="77777777" w:rsidR="00862A01" w:rsidRPr="00872D7E" w:rsidRDefault="00862A01" w:rsidP="00862A01">
            <w:pPr>
              <w:jc w:val="right"/>
              <w:rPr>
                <w:color w:val="000000"/>
                <w:sz w:val="14"/>
                <w:szCs w:val="14"/>
              </w:rPr>
            </w:pPr>
            <w:r w:rsidRPr="00872D7E">
              <w:rPr>
                <w:color w:val="000000"/>
                <w:sz w:val="14"/>
                <w:szCs w:val="14"/>
              </w:rPr>
              <w:t>-</w:t>
            </w:r>
          </w:p>
        </w:tc>
        <w:tc>
          <w:tcPr>
            <w:tcW w:w="640" w:type="dxa"/>
            <w:tcBorders>
              <w:top w:val="nil"/>
              <w:left w:val="nil"/>
              <w:bottom w:val="nil"/>
              <w:right w:val="nil"/>
            </w:tcBorders>
            <w:shd w:val="clear" w:color="auto" w:fill="auto"/>
            <w:vAlign w:val="center"/>
            <w:hideMark/>
          </w:tcPr>
          <w:p w14:paraId="06A3B4DF" w14:textId="77777777" w:rsidR="00862A01" w:rsidRPr="00872D7E" w:rsidRDefault="00862A01" w:rsidP="00862A01">
            <w:pPr>
              <w:jc w:val="right"/>
              <w:rPr>
                <w:color w:val="000000"/>
                <w:sz w:val="14"/>
                <w:szCs w:val="14"/>
              </w:rPr>
            </w:pPr>
            <w:r w:rsidRPr="00872D7E">
              <w:rPr>
                <w:color w:val="000000"/>
                <w:sz w:val="14"/>
                <w:szCs w:val="14"/>
              </w:rPr>
              <w:t>-</w:t>
            </w:r>
          </w:p>
        </w:tc>
        <w:tc>
          <w:tcPr>
            <w:tcW w:w="636" w:type="dxa"/>
            <w:tcBorders>
              <w:top w:val="nil"/>
              <w:left w:val="nil"/>
              <w:bottom w:val="nil"/>
              <w:right w:val="nil"/>
            </w:tcBorders>
            <w:shd w:val="clear" w:color="auto" w:fill="auto"/>
            <w:vAlign w:val="center"/>
            <w:hideMark/>
          </w:tcPr>
          <w:p w14:paraId="515E74C6" w14:textId="77777777" w:rsidR="00862A01" w:rsidRPr="00872D7E" w:rsidRDefault="00862A01" w:rsidP="00862A01">
            <w:pPr>
              <w:jc w:val="right"/>
              <w:rPr>
                <w:color w:val="000000"/>
                <w:sz w:val="14"/>
                <w:szCs w:val="14"/>
              </w:rPr>
            </w:pPr>
            <w:r w:rsidRPr="00872D7E">
              <w:rPr>
                <w:color w:val="000000"/>
                <w:sz w:val="14"/>
                <w:szCs w:val="14"/>
              </w:rPr>
              <w:t>-</w:t>
            </w:r>
          </w:p>
        </w:tc>
        <w:tc>
          <w:tcPr>
            <w:tcW w:w="731" w:type="dxa"/>
            <w:tcBorders>
              <w:top w:val="nil"/>
              <w:left w:val="nil"/>
              <w:bottom w:val="nil"/>
              <w:right w:val="nil"/>
            </w:tcBorders>
            <w:shd w:val="clear" w:color="auto" w:fill="auto"/>
            <w:vAlign w:val="center"/>
            <w:hideMark/>
          </w:tcPr>
          <w:p w14:paraId="2FB2BEC0" w14:textId="77777777" w:rsidR="00862A01" w:rsidRPr="00872D7E" w:rsidRDefault="00862A01" w:rsidP="00862A01">
            <w:pPr>
              <w:jc w:val="right"/>
              <w:rPr>
                <w:color w:val="000000"/>
                <w:sz w:val="14"/>
                <w:szCs w:val="14"/>
              </w:rPr>
            </w:pPr>
            <w:r w:rsidRPr="00872D7E">
              <w:rPr>
                <w:color w:val="000000"/>
                <w:sz w:val="14"/>
                <w:szCs w:val="14"/>
              </w:rPr>
              <w:t>-</w:t>
            </w:r>
          </w:p>
        </w:tc>
        <w:tc>
          <w:tcPr>
            <w:tcW w:w="715" w:type="dxa"/>
            <w:tcBorders>
              <w:top w:val="nil"/>
              <w:left w:val="nil"/>
              <w:bottom w:val="nil"/>
              <w:right w:val="nil"/>
            </w:tcBorders>
            <w:shd w:val="clear" w:color="auto" w:fill="auto"/>
            <w:vAlign w:val="center"/>
            <w:hideMark/>
          </w:tcPr>
          <w:p w14:paraId="774C9806" w14:textId="77777777" w:rsidR="00862A01" w:rsidRPr="00872D7E" w:rsidRDefault="00862A01" w:rsidP="00862A01">
            <w:pPr>
              <w:jc w:val="right"/>
              <w:rPr>
                <w:color w:val="000000"/>
                <w:sz w:val="14"/>
                <w:szCs w:val="14"/>
              </w:rPr>
            </w:pPr>
            <w:r w:rsidRPr="00872D7E">
              <w:rPr>
                <w:color w:val="000000"/>
                <w:sz w:val="14"/>
                <w:szCs w:val="14"/>
              </w:rPr>
              <w:t>-</w:t>
            </w:r>
          </w:p>
        </w:tc>
        <w:tc>
          <w:tcPr>
            <w:tcW w:w="835" w:type="dxa"/>
            <w:tcBorders>
              <w:top w:val="nil"/>
              <w:left w:val="nil"/>
              <w:bottom w:val="nil"/>
              <w:right w:val="nil"/>
            </w:tcBorders>
            <w:shd w:val="clear" w:color="auto" w:fill="auto"/>
            <w:vAlign w:val="center"/>
            <w:hideMark/>
          </w:tcPr>
          <w:p w14:paraId="50711AEF"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vAlign w:val="center"/>
            <w:hideMark/>
          </w:tcPr>
          <w:p w14:paraId="1E232D4D" w14:textId="77777777" w:rsidR="00862A01" w:rsidRPr="00872D7E" w:rsidRDefault="00862A01" w:rsidP="00862A01">
            <w:pPr>
              <w:jc w:val="right"/>
              <w:rPr>
                <w:color w:val="000000"/>
                <w:sz w:val="14"/>
                <w:szCs w:val="14"/>
              </w:rPr>
            </w:pPr>
            <w:r w:rsidRPr="00872D7E">
              <w:rPr>
                <w:color w:val="000000"/>
                <w:sz w:val="14"/>
                <w:szCs w:val="14"/>
              </w:rPr>
              <w:t>-</w:t>
            </w:r>
          </w:p>
        </w:tc>
        <w:tc>
          <w:tcPr>
            <w:tcW w:w="850" w:type="dxa"/>
            <w:tcBorders>
              <w:top w:val="nil"/>
              <w:left w:val="nil"/>
              <w:bottom w:val="nil"/>
              <w:right w:val="nil"/>
            </w:tcBorders>
            <w:shd w:val="clear" w:color="auto" w:fill="auto"/>
            <w:vAlign w:val="center"/>
            <w:hideMark/>
          </w:tcPr>
          <w:p w14:paraId="468D9AB8" w14:textId="77777777" w:rsidR="00862A01" w:rsidRPr="00872D7E" w:rsidRDefault="00862A01" w:rsidP="00862A01">
            <w:pPr>
              <w:jc w:val="right"/>
              <w:rPr>
                <w:color w:val="000000"/>
                <w:sz w:val="14"/>
                <w:szCs w:val="14"/>
              </w:rPr>
            </w:pPr>
            <w:r w:rsidRPr="00872D7E">
              <w:rPr>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41756414"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09C832F6"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7541DF67" w14:textId="77777777" w:rsidR="00862A01" w:rsidRPr="00872D7E" w:rsidRDefault="00862A01" w:rsidP="00862A01">
            <w:pPr>
              <w:rPr>
                <w:color w:val="000000"/>
                <w:sz w:val="14"/>
                <w:szCs w:val="14"/>
              </w:rPr>
            </w:pPr>
            <w:r w:rsidRPr="00872D7E">
              <w:rPr>
                <w:color w:val="000000"/>
                <w:sz w:val="14"/>
                <w:szCs w:val="14"/>
              </w:rPr>
              <w:t>2.2</w:t>
            </w:r>
          </w:p>
        </w:tc>
        <w:tc>
          <w:tcPr>
            <w:tcW w:w="3381" w:type="dxa"/>
            <w:tcBorders>
              <w:top w:val="nil"/>
              <w:left w:val="nil"/>
              <w:bottom w:val="nil"/>
              <w:right w:val="nil"/>
            </w:tcBorders>
            <w:shd w:val="clear" w:color="auto" w:fill="auto"/>
            <w:noWrap/>
            <w:vAlign w:val="center"/>
            <w:hideMark/>
          </w:tcPr>
          <w:p w14:paraId="7B245B9D" w14:textId="77777777" w:rsidR="00862A01" w:rsidRPr="00872D7E" w:rsidRDefault="00862A01" w:rsidP="00862A01">
            <w:pPr>
              <w:rPr>
                <w:color w:val="000000"/>
                <w:sz w:val="14"/>
                <w:szCs w:val="14"/>
              </w:rPr>
            </w:pPr>
            <w:r w:rsidRPr="00872D7E">
              <w:rPr>
                <w:color w:val="000000"/>
                <w:sz w:val="14"/>
                <w:szCs w:val="14"/>
              </w:rPr>
              <w:t>Muhasebe Politikasında Yapılan Değişikliklerin Etkisi</w:t>
            </w:r>
          </w:p>
        </w:tc>
        <w:tc>
          <w:tcPr>
            <w:tcW w:w="707" w:type="dxa"/>
            <w:tcBorders>
              <w:top w:val="nil"/>
              <w:left w:val="nil"/>
              <w:bottom w:val="nil"/>
              <w:right w:val="nil"/>
            </w:tcBorders>
            <w:shd w:val="clear" w:color="auto" w:fill="auto"/>
            <w:noWrap/>
            <w:vAlign w:val="center"/>
            <w:hideMark/>
          </w:tcPr>
          <w:p w14:paraId="3CDB9723" w14:textId="77777777" w:rsidR="00862A01" w:rsidRPr="00872D7E" w:rsidRDefault="00862A01" w:rsidP="00862A01">
            <w:pPr>
              <w:rPr>
                <w:color w:val="000000"/>
                <w:sz w:val="14"/>
                <w:szCs w:val="14"/>
              </w:rPr>
            </w:pPr>
          </w:p>
        </w:tc>
        <w:tc>
          <w:tcPr>
            <w:tcW w:w="851" w:type="dxa"/>
            <w:tcBorders>
              <w:top w:val="nil"/>
              <w:left w:val="nil"/>
              <w:bottom w:val="nil"/>
              <w:right w:val="nil"/>
            </w:tcBorders>
            <w:shd w:val="clear" w:color="auto" w:fill="auto"/>
            <w:vAlign w:val="center"/>
            <w:hideMark/>
          </w:tcPr>
          <w:p w14:paraId="4F41F25B"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vAlign w:val="center"/>
            <w:hideMark/>
          </w:tcPr>
          <w:p w14:paraId="2FFB6254" w14:textId="77777777" w:rsidR="00862A01" w:rsidRPr="00872D7E" w:rsidRDefault="00862A01" w:rsidP="00862A01">
            <w:pPr>
              <w:jc w:val="right"/>
              <w:rPr>
                <w:color w:val="000000"/>
                <w:sz w:val="14"/>
                <w:szCs w:val="14"/>
              </w:rPr>
            </w:pPr>
            <w:r w:rsidRPr="00872D7E">
              <w:rPr>
                <w:color w:val="000000"/>
                <w:sz w:val="14"/>
                <w:szCs w:val="14"/>
              </w:rPr>
              <w:t>-</w:t>
            </w:r>
          </w:p>
        </w:tc>
        <w:tc>
          <w:tcPr>
            <w:tcW w:w="708" w:type="dxa"/>
            <w:tcBorders>
              <w:top w:val="nil"/>
              <w:left w:val="nil"/>
              <w:bottom w:val="nil"/>
              <w:right w:val="nil"/>
            </w:tcBorders>
            <w:shd w:val="clear" w:color="auto" w:fill="auto"/>
            <w:vAlign w:val="center"/>
            <w:hideMark/>
          </w:tcPr>
          <w:p w14:paraId="59F7FF1D" w14:textId="77777777" w:rsidR="00862A01" w:rsidRPr="00872D7E" w:rsidRDefault="00862A01" w:rsidP="00862A01">
            <w:pPr>
              <w:jc w:val="right"/>
              <w:rPr>
                <w:color w:val="000000"/>
                <w:sz w:val="14"/>
                <w:szCs w:val="14"/>
              </w:rPr>
            </w:pPr>
            <w:r w:rsidRPr="00872D7E">
              <w:rPr>
                <w:color w:val="000000"/>
                <w:sz w:val="14"/>
                <w:szCs w:val="14"/>
              </w:rPr>
              <w:t>-</w:t>
            </w:r>
          </w:p>
        </w:tc>
        <w:tc>
          <w:tcPr>
            <w:tcW w:w="724" w:type="dxa"/>
            <w:tcBorders>
              <w:top w:val="nil"/>
              <w:left w:val="nil"/>
              <w:bottom w:val="nil"/>
              <w:right w:val="nil"/>
            </w:tcBorders>
            <w:shd w:val="clear" w:color="auto" w:fill="auto"/>
            <w:vAlign w:val="center"/>
            <w:hideMark/>
          </w:tcPr>
          <w:p w14:paraId="1A02EA22" w14:textId="77777777" w:rsidR="00862A01" w:rsidRPr="00872D7E" w:rsidRDefault="00862A01" w:rsidP="00862A01">
            <w:pPr>
              <w:jc w:val="right"/>
              <w:rPr>
                <w:color w:val="000000"/>
                <w:sz w:val="14"/>
                <w:szCs w:val="14"/>
              </w:rPr>
            </w:pPr>
            <w:r w:rsidRPr="00872D7E">
              <w:rPr>
                <w:color w:val="000000"/>
                <w:sz w:val="14"/>
                <w:szCs w:val="14"/>
              </w:rPr>
              <w:t>-</w:t>
            </w:r>
          </w:p>
        </w:tc>
        <w:tc>
          <w:tcPr>
            <w:tcW w:w="575" w:type="dxa"/>
            <w:tcBorders>
              <w:top w:val="nil"/>
              <w:left w:val="nil"/>
              <w:bottom w:val="nil"/>
              <w:right w:val="nil"/>
            </w:tcBorders>
            <w:shd w:val="clear" w:color="auto" w:fill="auto"/>
            <w:vAlign w:val="center"/>
            <w:hideMark/>
          </w:tcPr>
          <w:p w14:paraId="7CDCD1B8"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vAlign w:val="center"/>
            <w:hideMark/>
          </w:tcPr>
          <w:p w14:paraId="3E6688F7" w14:textId="77777777" w:rsidR="00862A01" w:rsidRPr="00872D7E" w:rsidRDefault="00862A01" w:rsidP="00862A01">
            <w:pPr>
              <w:jc w:val="right"/>
              <w:rPr>
                <w:color w:val="000000"/>
                <w:sz w:val="14"/>
                <w:szCs w:val="14"/>
              </w:rPr>
            </w:pPr>
            <w:r w:rsidRPr="00872D7E">
              <w:rPr>
                <w:color w:val="000000"/>
                <w:sz w:val="14"/>
                <w:szCs w:val="14"/>
              </w:rPr>
              <w:t>-</w:t>
            </w:r>
          </w:p>
        </w:tc>
        <w:tc>
          <w:tcPr>
            <w:tcW w:w="640" w:type="dxa"/>
            <w:tcBorders>
              <w:top w:val="nil"/>
              <w:left w:val="nil"/>
              <w:bottom w:val="nil"/>
              <w:right w:val="nil"/>
            </w:tcBorders>
            <w:shd w:val="clear" w:color="auto" w:fill="auto"/>
            <w:vAlign w:val="center"/>
            <w:hideMark/>
          </w:tcPr>
          <w:p w14:paraId="7EA12ECA" w14:textId="77777777" w:rsidR="00862A01" w:rsidRPr="00872D7E" w:rsidRDefault="00862A01" w:rsidP="00862A01">
            <w:pPr>
              <w:jc w:val="right"/>
              <w:rPr>
                <w:color w:val="000000"/>
                <w:sz w:val="14"/>
                <w:szCs w:val="14"/>
              </w:rPr>
            </w:pPr>
            <w:r w:rsidRPr="00872D7E">
              <w:rPr>
                <w:color w:val="000000"/>
                <w:sz w:val="14"/>
                <w:szCs w:val="14"/>
              </w:rPr>
              <w:t>-</w:t>
            </w:r>
          </w:p>
        </w:tc>
        <w:tc>
          <w:tcPr>
            <w:tcW w:w="636" w:type="dxa"/>
            <w:tcBorders>
              <w:top w:val="nil"/>
              <w:left w:val="nil"/>
              <w:bottom w:val="nil"/>
              <w:right w:val="nil"/>
            </w:tcBorders>
            <w:shd w:val="clear" w:color="auto" w:fill="auto"/>
            <w:vAlign w:val="center"/>
            <w:hideMark/>
          </w:tcPr>
          <w:p w14:paraId="088CEB08" w14:textId="77777777" w:rsidR="00862A01" w:rsidRPr="00872D7E" w:rsidRDefault="00862A01" w:rsidP="00862A01">
            <w:pPr>
              <w:jc w:val="right"/>
              <w:rPr>
                <w:color w:val="000000"/>
                <w:sz w:val="14"/>
                <w:szCs w:val="14"/>
              </w:rPr>
            </w:pPr>
            <w:r w:rsidRPr="00872D7E">
              <w:rPr>
                <w:color w:val="000000"/>
                <w:sz w:val="14"/>
                <w:szCs w:val="14"/>
              </w:rPr>
              <w:t>-</w:t>
            </w:r>
          </w:p>
        </w:tc>
        <w:tc>
          <w:tcPr>
            <w:tcW w:w="731" w:type="dxa"/>
            <w:tcBorders>
              <w:top w:val="nil"/>
              <w:left w:val="nil"/>
              <w:bottom w:val="nil"/>
              <w:right w:val="nil"/>
            </w:tcBorders>
            <w:shd w:val="clear" w:color="auto" w:fill="auto"/>
            <w:vAlign w:val="center"/>
            <w:hideMark/>
          </w:tcPr>
          <w:p w14:paraId="212137E6" w14:textId="77777777" w:rsidR="00862A01" w:rsidRPr="00872D7E" w:rsidRDefault="00862A01" w:rsidP="00862A01">
            <w:pPr>
              <w:jc w:val="right"/>
              <w:rPr>
                <w:color w:val="000000"/>
                <w:sz w:val="14"/>
                <w:szCs w:val="14"/>
              </w:rPr>
            </w:pPr>
            <w:r w:rsidRPr="00872D7E">
              <w:rPr>
                <w:color w:val="000000"/>
                <w:sz w:val="14"/>
                <w:szCs w:val="14"/>
              </w:rPr>
              <w:t>-</w:t>
            </w:r>
          </w:p>
        </w:tc>
        <w:tc>
          <w:tcPr>
            <w:tcW w:w="715" w:type="dxa"/>
            <w:tcBorders>
              <w:top w:val="nil"/>
              <w:left w:val="nil"/>
              <w:bottom w:val="nil"/>
              <w:right w:val="nil"/>
            </w:tcBorders>
            <w:shd w:val="clear" w:color="auto" w:fill="auto"/>
            <w:vAlign w:val="center"/>
            <w:hideMark/>
          </w:tcPr>
          <w:p w14:paraId="126A298E" w14:textId="77777777" w:rsidR="00862A01" w:rsidRPr="00872D7E" w:rsidRDefault="00862A01" w:rsidP="00862A01">
            <w:pPr>
              <w:jc w:val="right"/>
              <w:rPr>
                <w:color w:val="000000"/>
                <w:sz w:val="14"/>
                <w:szCs w:val="14"/>
              </w:rPr>
            </w:pPr>
            <w:r w:rsidRPr="00872D7E">
              <w:rPr>
                <w:color w:val="000000"/>
                <w:sz w:val="14"/>
                <w:szCs w:val="14"/>
              </w:rPr>
              <w:t>-</w:t>
            </w:r>
          </w:p>
        </w:tc>
        <w:tc>
          <w:tcPr>
            <w:tcW w:w="835" w:type="dxa"/>
            <w:tcBorders>
              <w:top w:val="nil"/>
              <w:left w:val="nil"/>
              <w:bottom w:val="nil"/>
              <w:right w:val="nil"/>
            </w:tcBorders>
            <w:shd w:val="clear" w:color="auto" w:fill="auto"/>
            <w:vAlign w:val="center"/>
            <w:hideMark/>
          </w:tcPr>
          <w:p w14:paraId="0DC8EC81"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vAlign w:val="center"/>
            <w:hideMark/>
          </w:tcPr>
          <w:p w14:paraId="7025C203" w14:textId="77777777" w:rsidR="00862A01" w:rsidRPr="00872D7E" w:rsidRDefault="00862A01" w:rsidP="00862A01">
            <w:pPr>
              <w:jc w:val="right"/>
              <w:rPr>
                <w:color w:val="000000"/>
                <w:sz w:val="14"/>
                <w:szCs w:val="14"/>
              </w:rPr>
            </w:pPr>
            <w:r w:rsidRPr="00872D7E">
              <w:rPr>
                <w:color w:val="000000"/>
                <w:sz w:val="14"/>
                <w:szCs w:val="14"/>
              </w:rPr>
              <w:t>-</w:t>
            </w:r>
          </w:p>
        </w:tc>
        <w:tc>
          <w:tcPr>
            <w:tcW w:w="850" w:type="dxa"/>
            <w:tcBorders>
              <w:top w:val="nil"/>
              <w:left w:val="nil"/>
              <w:bottom w:val="nil"/>
              <w:right w:val="nil"/>
            </w:tcBorders>
            <w:shd w:val="clear" w:color="auto" w:fill="auto"/>
            <w:vAlign w:val="center"/>
            <w:hideMark/>
          </w:tcPr>
          <w:p w14:paraId="7390F349" w14:textId="77777777" w:rsidR="00862A01" w:rsidRPr="00872D7E" w:rsidRDefault="00862A01" w:rsidP="00862A01">
            <w:pPr>
              <w:jc w:val="right"/>
              <w:rPr>
                <w:color w:val="000000"/>
                <w:sz w:val="14"/>
                <w:szCs w:val="14"/>
              </w:rPr>
            </w:pPr>
            <w:r w:rsidRPr="00872D7E">
              <w:rPr>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1AD21DA6"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3EF64D9F"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6057D00C" w14:textId="77777777" w:rsidR="00862A01" w:rsidRPr="00872D7E" w:rsidRDefault="00862A01" w:rsidP="00862A01">
            <w:pPr>
              <w:rPr>
                <w:b/>
                <w:bCs/>
                <w:color w:val="000000"/>
                <w:sz w:val="14"/>
                <w:szCs w:val="14"/>
              </w:rPr>
            </w:pPr>
            <w:r w:rsidRPr="00872D7E">
              <w:rPr>
                <w:b/>
                <w:bCs/>
                <w:color w:val="000000"/>
                <w:sz w:val="14"/>
                <w:szCs w:val="14"/>
              </w:rPr>
              <w:t>III.</w:t>
            </w:r>
          </w:p>
        </w:tc>
        <w:tc>
          <w:tcPr>
            <w:tcW w:w="3381" w:type="dxa"/>
            <w:tcBorders>
              <w:top w:val="nil"/>
              <w:left w:val="nil"/>
              <w:bottom w:val="nil"/>
              <w:right w:val="nil"/>
            </w:tcBorders>
            <w:shd w:val="clear" w:color="auto" w:fill="auto"/>
            <w:noWrap/>
            <w:vAlign w:val="center"/>
            <w:hideMark/>
          </w:tcPr>
          <w:p w14:paraId="23D53D8B" w14:textId="77777777" w:rsidR="00862A01" w:rsidRPr="00872D7E" w:rsidRDefault="00862A01" w:rsidP="00862A01">
            <w:pPr>
              <w:rPr>
                <w:b/>
                <w:bCs/>
                <w:color w:val="000000"/>
                <w:sz w:val="14"/>
                <w:szCs w:val="14"/>
              </w:rPr>
            </w:pPr>
            <w:r w:rsidRPr="00872D7E">
              <w:rPr>
                <w:b/>
                <w:bCs/>
                <w:color w:val="000000"/>
                <w:sz w:val="14"/>
                <w:szCs w:val="14"/>
              </w:rPr>
              <w:t>Yeni Bakiye (I+II)</w:t>
            </w:r>
          </w:p>
        </w:tc>
        <w:tc>
          <w:tcPr>
            <w:tcW w:w="707" w:type="dxa"/>
            <w:tcBorders>
              <w:top w:val="nil"/>
              <w:left w:val="nil"/>
              <w:bottom w:val="nil"/>
              <w:right w:val="nil"/>
            </w:tcBorders>
            <w:shd w:val="clear" w:color="auto" w:fill="auto"/>
            <w:noWrap/>
            <w:vAlign w:val="center"/>
            <w:hideMark/>
          </w:tcPr>
          <w:p w14:paraId="46A6C786"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07414B35" w14:textId="77777777" w:rsidR="00862A01" w:rsidRPr="00872D7E" w:rsidRDefault="00862A01" w:rsidP="00862A01">
            <w:pPr>
              <w:jc w:val="right"/>
              <w:rPr>
                <w:b/>
                <w:bCs/>
                <w:color w:val="000000"/>
                <w:sz w:val="14"/>
                <w:szCs w:val="14"/>
              </w:rPr>
            </w:pPr>
            <w:r w:rsidRPr="00872D7E">
              <w:rPr>
                <w:b/>
                <w:bCs/>
                <w:color w:val="000000"/>
                <w:sz w:val="14"/>
                <w:szCs w:val="14"/>
              </w:rPr>
              <w:t>99.337</w:t>
            </w:r>
          </w:p>
        </w:tc>
        <w:tc>
          <w:tcPr>
            <w:tcW w:w="709" w:type="dxa"/>
            <w:tcBorders>
              <w:top w:val="nil"/>
              <w:left w:val="nil"/>
              <w:bottom w:val="nil"/>
              <w:right w:val="nil"/>
            </w:tcBorders>
            <w:shd w:val="clear" w:color="auto" w:fill="auto"/>
            <w:vAlign w:val="center"/>
            <w:hideMark/>
          </w:tcPr>
          <w:p w14:paraId="6EEED67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5BA6857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1E5C332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5222323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04EDF8F3" w14:textId="77777777" w:rsidR="00862A01" w:rsidRPr="00872D7E" w:rsidRDefault="00862A01" w:rsidP="00862A01">
            <w:pPr>
              <w:jc w:val="right"/>
              <w:rPr>
                <w:b/>
                <w:bCs/>
                <w:color w:val="000000"/>
                <w:sz w:val="14"/>
                <w:szCs w:val="14"/>
              </w:rPr>
            </w:pPr>
            <w:r w:rsidRPr="00872D7E">
              <w:rPr>
                <w:b/>
                <w:bCs/>
                <w:color w:val="000000"/>
                <w:sz w:val="14"/>
                <w:szCs w:val="14"/>
              </w:rPr>
              <w:t>(2.245)</w:t>
            </w:r>
          </w:p>
        </w:tc>
        <w:tc>
          <w:tcPr>
            <w:tcW w:w="640" w:type="dxa"/>
            <w:tcBorders>
              <w:top w:val="nil"/>
              <w:left w:val="nil"/>
              <w:bottom w:val="nil"/>
              <w:right w:val="nil"/>
            </w:tcBorders>
            <w:shd w:val="clear" w:color="auto" w:fill="auto"/>
            <w:vAlign w:val="center"/>
            <w:hideMark/>
          </w:tcPr>
          <w:p w14:paraId="38742AE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5B9E318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5EDF444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364AA2F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685ADBC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00AD8F40" w14:textId="77777777" w:rsidR="00862A01" w:rsidRPr="00872D7E" w:rsidRDefault="00862A01" w:rsidP="00862A01">
            <w:pPr>
              <w:jc w:val="right"/>
              <w:rPr>
                <w:b/>
                <w:bCs/>
                <w:color w:val="000000"/>
                <w:sz w:val="14"/>
                <w:szCs w:val="14"/>
              </w:rPr>
            </w:pPr>
            <w:r w:rsidRPr="00872D7E">
              <w:rPr>
                <w:b/>
                <w:bCs/>
                <w:color w:val="000000"/>
                <w:sz w:val="14"/>
                <w:szCs w:val="14"/>
              </w:rPr>
              <w:t>(21.140)</w:t>
            </w:r>
          </w:p>
        </w:tc>
        <w:tc>
          <w:tcPr>
            <w:tcW w:w="850" w:type="dxa"/>
            <w:tcBorders>
              <w:top w:val="nil"/>
              <w:left w:val="nil"/>
              <w:bottom w:val="nil"/>
              <w:right w:val="nil"/>
            </w:tcBorders>
            <w:shd w:val="clear" w:color="auto" w:fill="auto"/>
            <w:vAlign w:val="center"/>
            <w:hideMark/>
          </w:tcPr>
          <w:p w14:paraId="1D5D41B3" w14:textId="77777777" w:rsidR="00862A01" w:rsidRPr="00872D7E" w:rsidRDefault="00862A01" w:rsidP="00862A01">
            <w:pPr>
              <w:jc w:val="right"/>
              <w:rPr>
                <w:b/>
                <w:bCs/>
                <w:color w:val="000000"/>
                <w:sz w:val="14"/>
                <w:szCs w:val="14"/>
              </w:rPr>
            </w:pPr>
            <w:r w:rsidRPr="00872D7E">
              <w:rPr>
                <w:b/>
                <w:bCs/>
                <w:color w:val="000000"/>
                <w:sz w:val="14"/>
                <w:szCs w:val="14"/>
              </w:rPr>
              <w:t>8.092</w:t>
            </w:r>
          </w:p>
        </w:tc>
        <w:tc>
          <w:tcPr>
            <w:tcW w:w="985" w:type="dxa"/>
            <w:tcBorders>
              <w:top w:val="nil"/>
              <w:left w:val="nil"/>
              <w:bottom w:val="nil"/>
              <w:right w:val="single" w:sz="4" w:space="0" w:color="auto"/>
            </w:tcBorders>
            <w:shd w:val="clear" w:color="auto" w:fill="auto"/>
            <w:vAlign w:val="center"/>
            <w:hideMark/>
          </w:tcPr>
          <w:p w14:paraId="1DAE3364" w14:textId="77777777" w:rsidR="00862A01" w:rsidRPr="00872D7E" w:rsidRDefault="00862A01" w:rsidP="00862A01">
            <w:pPr>
              <w:jc w:val="right"/>
              <w:rPr>
                <w:b/>
                <w:bCs/>
                <w:color w:val="000000"/>
                <w:sz w:val="14"/>
                <w:szCs w:val="14"/>
              </w:rPr>
            </w:pPr>
            <w:r w:rsidRPr="00872D7E">
              <w:rPr>
                <w:b/>
                <w:bCs/>
                <w:color w:val="000000"/>
                <w:sz w:val="14"/>
                <w:szCs w:val="14"/>
              </w:rPr>
              <w:t>84.044</w:t>
            </w:r>
          </w:p>
        </w:tc>
      </w:tr>
      <w:tr w:rsidR="00862A01" w:rsidRPr="00872D7E" w14:paraId="645A373B"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0A0C9722" w14:textId="77777777" w:rsidR="00862A01" w:rsidRPr="00872D7E" w:rsidRDefault="00862A01" w:rsidP="00862A01">
            <w:pPr>
              <w:rPr>
                <w:b/>
                <w:bCs/>
                <w:color w:val="000000"/>
                <w:sz w:val="14"/>
                <w:szCs w:val="14"/>
              </w:rPr>
            </w:pPr>
            <w:r w:rsidRPr="00872D7E">
              <w:rPr>
                <w:b/>
                <w:bCs/>
                <w:color w:val="000000"/>
                <w:sz w:val="14"/>
                <w:szCs w:val="14"/>
              </w:rPr>
              <w:t>IV.</w:t>
            </w:r>
          </w:p>
        </w:tc>
        <w:tc>
          <w:tcPr>
            <w:tcW w:w="3381" w:type="dxa"/>
            <w:tcBorders>
              <w:top w:val="nil"/>
              <w:left w:val="nil"/>
              <w:bottom w:val="nil"/>
              <w:right w:val="nil"/>
            </w:tcBorders>
            <w:shd w:val="clear" w:color="auto" w:fill="auto"/>
            <w:noWrap/>
            <w:vAlign w:val="center"/>
            <w:hideMark/>
          </w:tcPr>
          <w:p w14:paraId="200E9E5D" w14:textId="77777777" w:rsidR="00862A01" w:rsidRPr="00872D7E" w:rsidRDefault="00862A01" w:rsidP="00862A01">
            <w:pPr>
              <w:rPr>
                <w:b/>
                <w:bCs/>
                <w:color w:val="000000"/>
                <w:sz w:val="14"/>
                <w:szCs w:val="14"/>
              </w:rPr>
            </w:pPr>
            <w:r w:rsidRPr="00872D7E">
              <w:rPr>
                <w:b/>
                <w:bCs/>
                <w:color w:val="000000"/>
                <w:sz w:val="14"/>
                <w:szCs w:val="14"/>
              </w:rPr>
              <w:t>Toplam Kapsamlı Gelir</w:t>
            </w:r>
          </w:p>
        </w:tc>
        <w:tc>
          <w:tcPr>
            <w:tcW w:w="707" w:type="dxa"/>
            <w:tcBorders>
              <w:top w:val="nil"/>
              <w:left w:val="nil"/>
              <w:bottom w:val="nil"/>
              <w:right w:val="nil"/>
            </w:tcBorders>
            <w:shd w:val="clear" w:color="auto" w:fill="auto"/>
            <w:noWrap/>
            <w:vAlign w:val="center"/>
            <w:hideMark/>
          </w:tcPr>
          <w:p w14:paraId="6BDE134D"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41974FA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64D8B6D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68EABD1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10648ED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7CC8C17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3CB3F47C" w14:textId="77777777" w:rsidR="00862A01" w:rsidRPr="00872D7E" w:rsidRDefault="00862A01" w:rsidP="00862A01">
            <w:pPr>
              <w:jc w:val="right"/>
              <w:rPr>
                <w:b/>
                <w:bCs/>
                <w:color w:val="000000"/>
                <w:sz w:val="14"/>
                <w:szCs w:val="14"/>
                <w:lang w:eastAsia="tr-TR"/>
              </w:rPr>
            </w:pPr>
            <w:r w:rsidRPr="00872D7E">
              <w:rPr>
                <w:b/>
                <w:bCs/>
                <w:color w:val="000000"/>
                <w:sz w:val="14"/>
                <w:szCs w:val="14"/>
              </w:rPr>
              <w:t>(3.899</w:t>
            </w:r>
            <w:r w:rsidRPr="00872D7E">
              <w:rPr>
                <w:b/>
                <w:bCs/>
                <w:color w:val="000000"/>
                <w:sz w:val="14"/>
                <w:szCs w:val="14"/>
                <w:lang w:eastAsia="tr-TR"/>
              </w:rPr>
              <w:t>)</w:t>
            </w:r>
          </w:p>
        </w:tc>
        <w:tc>
          <w:tcPr>
            <w:tcW w:w="640" w:type="dxa"/>
            <w:tcBorders>
              <w:top w:val="nil"/>
              <w:left w:val="nil"/>
              <w:bottom w:val="nil"/>
              <w:right w:val="nil"/>
            </w:tcBorders>
            <w:shd w:val="clear" w:color="auto" w:fill="auto"/>
            <w:vAlign w:val="center"/>
            <w:hideMark/>
          </w:tcPr>
          <w:p w14:paraId="5EB720A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326D485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257D13FD" w14:textId="77777777" w:rsidR="00862A01" w:rsidRPr="00872D7E" w:rsidRDefault="00862A01" w:rsidP="00862A01">
            <w:pPr>
              <w:jc w:val="right"/>
              <w:rPr>
                <w:b/>
                <w:bCs/>
                <w:color w:val="000000"/>
                <w:sz w:val="14"/>
                <w:szCs w:val="14"/>
              </w:rPr>
            </w:pPr>
            <w:r w:rsidRPr="00872D7E">
              <w:rPr>
                <w:b/>
                <w:bCs/>
                <w:color w:val="000000"/>
                <w:sz w:val="14"/>
                <w:szCs w:val="14"/>
              </w:rPr>
              <w:t>8.303</w:t>
            </w:r>
          </w:p>
        </w:tc>
        <w:tc>
          <w:tcPr>
            <w:tcW w:w="715" w:type="dxa"/>
            <w:tcBorders>
              <w:top w:val="nil"/>
              <w:left w:val="nil"/>
              <w:bottom w:val="nil"/>
              <w:right w:val="nil"/>
            </w:tcBorders>
            <w:shd w:val="clear" w:color="auto" w:fill="auto"/>
            <w:noWrap/>
            <w:vAlign w:val="center"/>
            <w:hideMark/>
          </w:tcPr>
          <w:p w14:paraId="4A749758" w14:textId="77777777" w:rsidR="00862A01" w:rsidRPr="00872D7E" w:rsidRDefault="00862A01" w:rsidP="00862A01">
            <w:pPr>
              <w:jc w:val="right"/>
              <w:rPr>
                <w:color w:val="000000"/>
                <w:sz w:val="14"/>
                <w:szCs w:val="14"/>
              </w:rPr>
            </w:pPr>
            <w:r w:rsidRPr="00872D7E">
              <w:rPr>
                <w:color w:val="000000"/>
                <w:sz w:val="14"/>
                <w:szCs w:val="14"/>
              </w:rPr>
              <w:t>-</w:t>
            </w:r>
          </w:p>
        </w:tc>
        <w:tc>
          <w:tcPr>
            <w:tcW w:w="835" w:type="dxa"/>
            <w:tcBorders>
              <w:top w:val="nil"/>
              <w:left w:val="nil"/>
              <w:bottom w:val="nil"/>
              <w:right w:val="nil"/>
            </w:tcBorders>
            <w:shd w:val="clear" w:color="auto" w:fill="auto"/>
            <w:noWrap/>
            <w:vAlign w:val="center"/>
            <w:hideMark/>
          </w:tcPr>
          <w:p w14:paraId="75DEDAEA"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noWrap/>
            <w:vAlign w:val="center"/>
            <w:hideMark/>
          </w:tcPr>
          <w:p w14:paraId="01813BF2" w14:textId="77777777" w:rsidR="00862A01" w:rsidRPr="00872D7E" w:rsidRDefault="00862A01" w:rsidP="00862A01">
            <w:pPr>
              <w:jc w:val="right"/>
              <w:rPr>
                <w:color w:val="000000"/>
                <w:sz w:val="14"/>
                <w:szCs w:val="14"/>
              </w:rPr>
            </w:pPr>
            <w:r w:rsidRPr="00872D7E">
              <w:rPr>
                <w:color w:val="000000"/>
                <w:sz w:val="14"/>
                <w:szCs w:val="14"/>
              </w:rPr>
              <w:t>-</w:t>
            </w:r>
          </w:p>
        </w:tc>
        <w:tc>
          <w:tcPr>
            <w:tcW w:w="850" w:type="dxa"/>
            <w:tcBorders>
              <w:top w:val="nil"/>
              <w:left w:val="nil"/>
              <w:bottom w:val="nil"/>
              <w:right w:val="nil"/>
            </w:tcBorders>
            <w:shd w:val="clear" w:color="auto" w:fill="auto"/>
            <w:vAlign w:val="center"/>
            <w:hideMark/>
          </w:tcPr>
          <w:p w14:paraId="55E56CFC" w14:textId="77777777" w:rsidR="00862A01" w:rsidRPr="00872D7E" w:rsidRDefault="00862A01" w:rsidP="00862A01">
            <w:pPr>
              <w:jc w:val="right"/>
              <w:rPr>
                <w:b/>
                <w:bCs/>
                <w:color w:val="000000"/>
                <w:sz w:val="14"/>
                <w:szCs w:val="14"/>
              </w:rPr>
            </w:pPr>
            <w:r w:rsidRPr="00872D7E">
              <w:rPr>
                <w:b/>
                <w:bCs/>
                <w:color w:val="000000"/>
                <w:sz w:val="14"/>
                <w:szCs w:val="14"/>
              </w:rPr>
              <w:t>1.353.642</w:t>
            </w:r>
          </w:p>
        </w:tc>
        <w:tc>
          <w:tcPr>
            <w:tcW w:w="985" w:type="dxa"/>
            <w:tcBorders>
              <w:top w:val="nil"/>
              <w:left w:val="nil"/>
              <w:bottom w:val="nil"/>
              <w:right w:val="single" w:sz="4" w:space="0" w:color="auto"/>
            </w:tcBorders>
            <w:shd w:val="clear" w:color="auto" w:fill="auto"/>
            <w:vAlign w:val="center"/>
            <w:hideMark/>
          </w:tcPr>
          <w:p w14:paraId="5D92D09E" w14:textId="77777777" w:rsidR="00862A01" w:rsidRPr="00872D7E" w:rsidRDefault="00862A01" w:rsidP="00862A01">
            <w:pPr>
              <w:jc w:val="right"/>
              <w:rPr>
                <w:b/>
                <w:bCs/>
                <w:color w:val="000000"/>
                <w:sz w:val="14"/>
                <w:szCs w:val="14"/>
              </w:rPr>
            </w:pPr>
            <w:r w:rsidRPr="00872D7E">
              <w:rPr>
                <w:b/>
                <w:bCs/>
                <w:color w:val="000000"/>
                <w:sz w:val="14"/>
                <w:szCs w:val="14"/>
              </w:rPr>
              <w:t>1.358.046</w:t>
            </w:r>
          </w:p>
        </w:tc>
      </w:tr>
      <w:tr w:rsidR="00862A01" w:rsidRPr="00872D7E" w14:paraId="7A73C392"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7405B99B" w14:textId="77777777" w:rsidR="00862A01" w:rsidRPr="00872D7E" w:rsidRDefault="00862A01" w:rsidP="00862A01">
            <w:pPr>
              <w:rPr>
                <w:b/>
                <w:bCs/>
                <w:color w:val="000000"/>
                <w:sz w:val="14"/>
                <w:szCs w:val="14"/>
              </w:rPr>
            </w:pPr>
            <w:r w:rsidRPr="00872D7E">
              <w:rPr>
                <w:b/>
                <w:bCs/>
                <w:color w:val="000000"/>
                <w:sz w:val="14"/>
                <w:szCs w:val="14"/>
              </w:rPr>
              <w:t>V.</w:t>
            </w:r>
          </w:p>
        </w:tc>
        <w:tc>
          <w:tcPr>
            <w:tcW w:w="3381" w:type="dxa"/>
            <w:tcBorders>
              <w:top w:val="nil"/>
              <w:left w:val="nil"/>
              <w:bottom w:val="nil"/>
              <w:right w:val="nil"/>
            </w:tcBorders>
            <w:shd w:val="clear" w:color="auto" w:fill="auto"/>
            <w:noWrap/>
            <w:vAlign w:val="center"/>
            <w:hideMark/>
          </w:tcPr>
          <w:p w14:paraId="1AAE7416" w14:textId="77777777" w:rsidR="00862A01" w:rsidRPr="00872D7E" w:rsidRDefault="00862A01" w:rsidP="00862A01">
            <w:pPr>
              <w:rPr>
                <w:b/>
                <w:bCs/>
                <w:color w:val="000000"/>
                <w:sz w:val="14"/>
                <w:szCs w:val="14"/>
              </w:rPr>
            </w:pPr>
            <w:r w:rsidRPr="00872D7E">
              <w:rPr>
                <w:b/>
                <w:bCs/>
                <w:color w:val="000000"/>
                <w:sz w:val="14"/>
                <w:szCs w:val="14"/>
              </w:rPr>
              <w:t>Nakden Gerçekleştirilen Sermaye Artırımı</w:t>
            </w:r>
          </w:p>
        </w:tc>
        <w:tc>
          <w:tcPr>
            <w:tcW w:w="707" w:type="dxa"/>
            <w:tcBorders>
              <w:top w:val="nil"/>
              <w:left w:val="nil"/>
              <w:bottom w:val="nil"/>
              <w:right w:val="nil"/>
            </w:tcBorders>
            <w:shd w:val="clear" w:color="auto" w:fill="auto"/>
            <w:noWrap/>
            <w:vAlign w:val="center"/>
            <w:hideMark/>
          </w:tcPr>
          <w:p w14:paraId="31A81E60"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19A20D10" w14:textId="77777777" w:rsidR="00862A01" w:rsidRPr="00872D7E" w:rsidRDefault="00862A01" w:rsidP="00862A01">
            <w:pPr>
              <w:jc w:val="right"/>
              <w:rPr>
                <w:b/>
                <w:bCs/>
                <w:color w:val="000000"/>
                <w:sz w:val="14"/>
                <w:szCs w:val="14"/>
              </w:rPr>
            </w:pPr>
            <w:r w:rsidRPr="00872D7E">
              <w:rPr>
                <w:b/>
                <w:bCs/>
                <w:color w:val="000000"/>
                <w:sz w:val="14"/>
                <w:szCs w:val="14"/>
              </w:rPr>
              <w:t>5.900.000</w:t>
            </w:r>
          </w:p>
        </w:tc>
        <w:tc>
          <w:tcPr>
            <w:tcW w:w="709" w:type="dxa"/>
            <w:tcBorders>
              <w:top w:val="nil"/>
              <w:left w:val="nil"/>
              <w:bottom w:val="nil"/>
              <w:right w:val="nil"/>
            </w:tcBorders>
            <w:shd w:val="clear" w:color="auto" w:fill="auto"/>
            <w:vAlign w:val="center"/>
            <w:hideMark/>
          </w:tcPr>
          <w:p w14:paraId="78DBDD8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25CE5F2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7925569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2877257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7DE4F49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40" w:type="dxa"/>
            <w:tcBorders>
              <w:top w:val="nil"/>
              <w:left w:val="nil"/>
              <w:bottom w:val="nil"/>
              <w:right w:val="nil"/>
            </w:tcBorders>
            <w:shd w:val="clear" w:color="auto" w:fill="auto"/>
            <w:vAlign w:val="center"/>
            <w:hideMark/>
          </w:tcPr>
          <w:p w14:paraId="5388EF3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474E1C9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1AAAF61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2BAF9D2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0B2CE85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54DA1F2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0" w:type="dxa"/>
            <w:tcBorders>
              <w:top w:val="nil"/>
              <w:left w:val="nil"/>
              <w:bottom w:val="nil"/>
              <w:right w:val="nil"/>
            </w:tcBorders>
            <w:shd w:val="clear" w:color="auto" w:fill="auto"/>
            <w:vAlign w:val="center"/>
            <w:hideMark/>
          </w:tcPr>
          <w:p w14:paraId="4EEA1B4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0625FD51" w14:textId="77777777" w:rsidR="00862A01" w:rsidRPr="00872D7E" w:rsidRDefault="00862A01" w:rsidP="00862A01">
            <w:pPr>
              <w:jc w:val="right"/>
              <w:rPr>
                <w:b/>
                <w:bCs/>
                <w:color w:val="000000"/>
                <w:sz w:val="14"/>
                <w:szCs w:val="14"/>
              </w:rPr>
            </w:pPr>
            <w:r w:rsidRPr="00872D7E">
              <w:rPr>
                <w:b/>
                <w:bCs/>
                <w:color w:val="000000"/>
                <w:sz w:val="14"/>
                <w:szCs w:val="14"/>
              </w:rPr>
              <w:t>5.900.000</w:t>
            </w:r>
          </w:p>
        </w:tc>
      </w:tr>
      <w:tr w:rsidR="00862A01" w:rsidRPr="00872D7E" w14:paraId="67D8D635"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4622AC41" w14:textId="77777777" w:rsidR="00862A01" w:rsidRPr="00872D7E" w:rsidRDefault="00862A01" w:rsidP="00862A01">
            <w:pPr>
              <w:rPr>
                <w:b/>
                <w:bCs/>
                <w:color w:val="000000"/>
                <w:sz w:val="14"/>
                <w:szCs w:val="14"/>
              </w:rPr>
            </w:pPr>
            <w:r w:rsidRPr="00872D7E">
              <w:rPr>
                <w:b/>
                <w:bCs/>
                <w:color w:val="000000"/>
                <w:sz w:val="14"/>
                <w:szCs w:val="14"/>
              </w:rPr>
              <w:t>VI.</w:t>
            </w:r>
          </w:p>
        </w:tc>
        <w:tc>
          <w:tcPr>
            <w:tcW w:w="3381" w:type="dxa"/>
            <w:tcBorders>
              <w:top w:val="nil"/>
              <w:left w:val="nil"/>
              <w:bottom w:val="nil"/>
              <w:right w:val="nil"/>
            </w:tcBorders>
            <w:shd w:val="clear" w:color="auto" w:fill="auto"/>
            <w:noWrap/>
            <w:vAlign w:val="center"/>
            <w:hideMark/>
          </w:tcPr>
          <w:p w14:paraId="3B3708F7" w14:textId="77777777" w:rsidR="00862A01" w:rsidRPr="00872D7E" w:rsidRDefault="00862A01" w:rsidP="00862A01">
            <w:pPr>
              <w:rPr>
                <w:b/>
                <w:bCs/>
                <w:color w:val="000000"/>
                <w:sz w:val="14"/>
                <w:szCs w:val="14"/>
              </w:rPr>
            </w:pPr>
            <w:r w:rsidRPr="00872D7E">
              <w:rPr>
                <w:b/>
                <w:bCs/>
                <w:color w:val="000000"/>
                <w:sz w:val="14"/>
                <w:szCs w:val="14"/>
              </w:rPr>
              <w:t>İç Kaynaklardan Gerçekleştirilen Sermaye Artırımı</w:t>
            </w:r>
          </w:p>
        </w:tc>
        <w:tc>
          <w:tcPr>
            <w:tcW w:w="707" w:type="dxa"/>
            <w:tcBorders>
              <w:top w:val="nil"/>
              <w:left w:val="nil"/>
              <w:bottom w:val="nil"/>
              <w:right w:val="nil"/>
            </w:tcBorders>
            <w:shd w:val="clear" w:color="auto" w:fill="auto"/>
            <w:noWrap/>
            <w:vAlign w:val="center"/>
            <w:hideMark/>
          </w:tcPr>
          <w:p w14:paraId="495FACEB"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76798E4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3053607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09A914B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368D907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6FED18F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75E300A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40" w:type="dxa"/>
            <w:tcBorders>
              <w:top w:val="nil"/>
              <w:left w:val="nil"/>
              <w:bottom w:val="nil"/>
              <w:right w:val="nil"/>
            </w:tcBorders>
            <w:shd w:val="clear" w:color="auto" w:fill="auto"/>
            <w:vAlign w:val="center"/>
            <w:hideMark/>
          </w:tcPr>
          <w:p w14:paraId="209E34A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7057E1D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767F946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176DF0B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6FB9661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368E5B9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0" w:type="dxa"/>
            <w:tcBorders>
              <w:top w:val="nil"/>
              <w:left w:val="nil"/>
              <w:bottom w:val="nil"/>
              <w:right w:val="nil"/>
            </w:tcBorders>
            <w:shd w:val="clear" w:color="auto" w:fill="auto"/>
            <w:vAlign w:val="center"/>
            <w:hideMark/>
          </w:tcPr>
          <w:p w14:paraId="0E5D9F8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38BDE3CC"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5288B3BD"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049EABF0" w14:textId="77777777" w:rsidR="00862A01" w:rsidRPr="00872D7E" w:rsidRDefault="00862A01" w:rsidP="00862A01">
            <w:pPr>
              <w:rPr>
                <w:b/>
                <w:bCs/>
                <w:color w:val="000000"/>
                <w:sz w:val="14"/>
                <w:szCs w:val="14"/>
              </w:rPr>
            </w:pPr>
            <w:r w:rsidRPr="00872D7E">
              <w:rPr>
                <w:b/>
                <w:bCs/>
                <w:color w:val="000000"/>
                <w:sz w:val="14"/>
                <w:szCs w:val="14"/>
              </w:rPr>
              <w:t>VII.</w:t>
            </w:r>
          </w:p>
        </w:tc>
        <w:tc>
          <w:tcPr>
            <w:tcW w:w="3381" w:type="dxa"/>
            <w:tcBorders>
              <w:top w:val="nil"/>
              <w:left w:val="nil"/>
              <w:bottom w:val="nil"/>
              <w:right w:val="nil"/>
            </w:tcBorders>
            <w:shd w:val="clear" w:color="auto" w:fill="auto"/>
            <w:vAlign w:val="center"/>
            <w:hideMark/>
          </w:tcPr>
          <w:p w14:paraId="5636D341" w14:textId="77777777" w:rsidR="00862A01" w:rsidRPr="00872D7E" w:rsidRDefault="00862A01" w:rsidP="00862A01">
            <w:pPr>
              <w:rPr>
                <w:b/>
                <w:bCs/>
                <w:color w:val="000000"/>
                <w:sz w:val="14"/>
                <w:szCs w:val="14"/>
              </w:rPr>
            </w:pPr>
            <w:r w:rsidRPr="00872D7E">
              <w:rPr>
                <w:b/>
                <w:bCs/>
                <w:color w:val="000000"/>
                <w:sz w:val="14"/>
                <w:szCs w:val="14"/>
              </w:rPr>
              <w:t>Ödenmiş Sermaye Enflasyon Düzeltme Farkı</w:t>
            </w:r>
          </w:p>
        </w:tc>
        <w:tc>
          <w:tcPr>
            <w:tcW w:w="707" w:type="dxa"/>
            <w:tcBorders>
              <w:top w:val="nil"/>
              <w:left w:val="nil"/>
              <w:bottom w:val="nil"/>
              <w:right w:val="nil"/>
            </w:tcBorders>
            <w:shd w:val="clear" w:color="auto" w:fill="auto"/>
            <w:vAlign w:val="center"/>
            <w:hideMark/>
          </w:tcPr>
          <w:p w14:paraId="10533FE1"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64C6575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281215E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58DE07B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58DAF36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62B8ED9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6B80A48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40" w:type="dxa"/>
            <w:tcBorders>
              <w:top w:val="nil"/>
              <w:left w:val="nil"/>
              <w:bottom w:val="nil"/>
              <w:right w:val="nil"/>
            </w:tcBorders>
            <w:shd w:val="clear" w:color="auto" w:fill="auto"/>
            <w:vAlign w:val="center"/>
            <w:hideMark/>
          </w:tcPr>
          <w:p w14:paraId="4133EE7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004FF99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1727C03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6B06096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61A45DB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79AC0DA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0" w:type="dxa"/>
            <w:tcBorders>
              <w:top w:val="nil"/>
              <w:left w:val="nil"/>
              <w:bottom w:val="nil"/>
              <w:right w:val="nil"/>
            </w:tcBorders>
            <w:shd w:val="clear" w:color="auto" w:fill="auto"/>
            <w:vAlign w:val="center"/>
            <w:hideMark/>
          </w:tcPr>
          <w:p w14:paraId="5895514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735D04A9"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2C0EF652"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61644CAC" w14:textId="77777777" w:rsidR="00862A01" w:rsidRPr="00872D7E" w:rsidRDefault="00862A01" w:rsidP="00862A01">
            <w:pPr>
              <w:rPr>
                <w:b/>
                <w:bCs/>
                <w:color w:val="000000"/>
                <w:sz w:val="14"/>
                <w:szCs w:val="14"/>
              </w:rPr>
            </w:pPr>
            <w:r w:rsidRPr="00872D7E">
              <w:rPr>
                <w:b/>
                <w:bCs/>
                <w:color w:val="000000"/>
                <w:sz w:val="14"/>
                <w:szCs w:val="14"/>
              </w:rPr>
              <w:t>VIII.</w:t>
            </w:r>
          </w:p>
        </w:tc>
        <w:tc>
          <w:tcPr>
            <w:tcW w:w="3381" w:type="dxa"/>
            <w:tcBorders>
              <w:top w:val="nil"/>
              <w:left w:val="nil"/>
              <w:bottom w:val="nil"/>
              <w:right w:val="nil"/>
            </w:tcBorders>
            <w:shd w:val="clear" w:color="auto" w:fill="auto"/>
            <w:noWrap/>
            <w:vAlign w:val="center"/>
            <w:hideMark/>
          </w:tcPr>
          <w:p w14:paraId="5FDE5BB7" w14:textId="77777777" w:rsidR="00862A01" w:rsidRPr="00872D7E" w:rsidRDefault="00862A01" w:rsidP="00862A01">
            <w:pPr>
              <w:rPr>
                <w:b/>
                <w:bCs/>
                <w:color w:val="000000"/>
                <w:sz w:val="14"/>
                <w:szCs w:val="14"/>
              </w:rPr>
            </w:pPr>
            <w:r w:rsidRPr="00872D7E">
              <w:rPr>
                <w:b/>
                <w:bCs/>
                <w:color w:val="000000"/>
                <w:sz w:val="14"/>
                <w:szCs w:val="14"/>
              </w:rPr>
              <w:t xml:space="preserve">Hisse Senedine Dönüştürülebilir Tahviller </w:t>
            </w:r>
          </w:p>
        </w:tc>
        <w:tc>
          <w:tcPr>
            <w:tcW w:w="707" w:type="dxa"/>
            <w:tcBorders>
              <w:top w:val="nil"/>
              <w:left w:val="nil"/>
              <w:bottom w:val="nil"/>
              <w:right w:val="nil"/>
            </w:tcBorders>
            <w:shd w:val="clear" w:color="auto" w:fill="auto"/>
            <w:noWrap/>
            <w:vAlign w:val="center"/>
            <w:hideMark/>
          </w:tcPr>
          <w:p w14:paraId="707177A2"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4C07813B"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56F5862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2429731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653043A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079FDD1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1AF0C3F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40" w:type="dxa"/>
            <w:tcBorders>
              <w:top w:val="nil"/>
              <w:left w:val="nil"/>
              <w:bottom w:val="nil"/>
              <w:right w:val="nil"/>
            </w:tcBorders>
            <w:shd w:val="clear" w:color="auto" w:fill="auto"/>
            <w:vAlign w:val="center"/>
            <w:hideMark/>
          </w:tcPr>
          <w:p w14:paraId="219BD9E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7303BC6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715F7F7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77A95C4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3746199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17506AD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0" w:type="dxa"/>
            <w:tcBorders>
              <w:top w:val="nil"/>
              <w:left w:val="nil"/>
              <w:bottom w:val="nil"/>
              <w:right w:val="nil"/>
            </w:tcBorders>
            <w:shd w:val="clear" w:color="auto" w:fill="auto"/>
            <w:vAlign w:val="center"/>
            <w:hideMark/>
          </w:tcPr>
          <w:p w14:paraId="031F30F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5EA6476C"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5ED7CFFF"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550C6A79" w14:textId="77777777" w:rsidR="00862A01" w:rsidRPr="00872D7E" w:rsidRDefault="00862A01" w:rsidP="00862A01">
            <w:pPr>
              <w:rPr>
                <w:b/>
                <w:bCs/>
                <w:color w:val="000000"/>
                <w:sz w:val="14"/>
                <w:szCs w:val="14"/>
              </w:rPr>
            </w:pPr>
            <w:r w:rsidRPr="00872D7E">
              <w:rPr>
                <w:b/>
                <w:bCs/>
                <w:color w:val="000000"/>
                <w:sz w:val="14"/>
                <w:szCs w:val="14"/>
              </w:rPr>
              <w:t>IX.</w:t>
            </w:r>
          </w:p>
        </w:tc>
        <w:tc>
          <w:tcPr>
            <w:tcW w:w="3381" w:type="dxa"/>
            <w:tcBorders>
              <w:top w:val="nil"/>
              <w:left w:val="nil"/>
              <w:bottom w:val="nil"/>
              <w:right w:val="nil"/>
            </w:tcBorders>
            <w:shd w:val="clear" w:color="auto" w:fill="auto"/>
            <w:noWrap/>
            <w:vAlign w:val="center"/>
            <w:hideMark/>
          </w:tcPr>
          <w:p w14:paraId="585D971F" w14:textId="77777777" w:rsidR="00862A01" w:rsidRPr="00872D7E" w:rsidRDefault="00862A01" w:rsidP="00862A01">
            <w:pPr>
              <w:rPr>
                <w:b/>
                <w:bCs/>
                <w:color w:val="000000"/>
                <w:sz w:val="14"/>
                <w:szCs w:val="14"/>
              </w:rPr>
            </w:pPr>
            <w:r w:rsidRPr="00872D7E">
              <w:rPr>
                <w:b/>
                <w:bCs/>
                <w:color w:val="000000"/>
                <w:sz w:val="14"/>
                <w:szCs w:val="14"/>
              </w:rPr>
              <w:t>Sermaye Benzeri Borçlanma Araçları</w:t>
            </w:r>
          </w:p>
        </w:tc>
        <w:tc>
          <w:tcPr>
            <w:tcW w:w="707" w:type="dxa"/>
            <w:tcBorders>
              <w:top w:val="nil"/>
              <w:left w:val="nil"/>
              <w:bottom w:val="nil"/>
              <w:right w:val="nil"/>
            </w:tcBorders>
            <w:shd w:val="clear" w:color="auto" w:fill="auto"/>
            <w:noWrap/>
            <w:vAlign w:val="center"/>
            <w:hideMark/>
          </w:tcPr>
          <w:p w14:paraId="197B6112"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2D47BD1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342DF51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622170F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37F7913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2F8BC56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201FC32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40" w:type="dxa"/>
            <w:tcBorders>
              <w:top w:val="nil"/>
              <w:left w:val="nil"/>
              <w:bottom w:val="nil"/>
              <w:right w:val="nil"/>
            </w:tcBorders>
            <w:shd w:val="clear" w:color="auto" w:fill="auto"/>
            <w:vAlign w:val="center"/>
            <w:hideMark/>
          </w:tcPr>
          <w:p w14:paraId="7D8E6962"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5B6DD9F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20500B9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39D9431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5EEEF19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0FB7F95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0" w:type="dxa"/>
            <w:tcBorders>
              <w:top w:val="nil"/>
              <w:left w:val="nil"/>
              <w:bottom w:val="nil"/>
              <w:right w:val="nil"/>
            </w:tcBorders>
            <w:shd w:val="clear" w:color="auto" w:fill="auto"/>
            <w:vAlign w:val="center"/>
            <w:hideMark/>
          </w:tcPr>
          <w:p w14:paraId="1FE5484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3A11FB05"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74260C57"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18535A08" w14:textId="77777777" w:rsidR="00862A01" w:rsidRPr="00872D7E" w:rsidRDefault="00862A01" w:rsidP="00862A01">
            <w:pPr>
              <w:rPr>
                <w:b/>
                <w:bCs/>
                <w:color w:val="000000"/>
                <w:sz w:val="14"/>
                <w:szCs w:val="14"/>
              </w:rPr>
            </w:pPr>
            <w:r w:rsidRPr="00872D7E">
              <w:rPr>
                <w:b/>
                <w:bCs/>
                <w:color w:val="000000"/>
                <w:sz w:val="14"/>
                <w:szCs w:val="14"/>
              </w:rPr>
              <w:t>X.</w:t>
            </w:r>
          </w:p>
        </w:tc>
        <w:tc>
          <w:tcPr>
            <w:tcW w:w="3381" w:type="dxa"/>
            <w:tcBorders>
              <w:top w:val="nil"/>
              <w:left w:val="nil"/>
              <w:bottom w:val="nil"/>
              <w:right w:val="nil"/>
            </w:tcBorders>
            <w:shd w:val="clear" w:color="auto" w:fill="auto"/>
            <w:noWrap/>
            <w:vAlign w:val="center"/>
            <w:hideMark/>
          </w:tcPr>
          <w:p w14:paraId="50B1AA10" w14:textId="77777777" w:rsidR="00862A01" w:rsidRPr="00872D7E" w:rsidRDefault="00862A01" w:rsidP="00862A01">
            <w:pPr>
              <w:rPr>
                <w:b/>
                <w:bCs/>
                <w:color w:val="000000"/>
                <w:sz w:val="14"/>
                <w:szCs w:val="14"/>
              </w:rPr>
            </w:pPr>
            <w:r w:rsidRPr="00872D7E">
              <w:rPr>
                <w:b/>
                <w:bCs/>
                <w:color w:val="000000"/>
                <w:sz w:val="14"/>
                <w:szCs w:val="14"/>
              </w:rPr>
              <w:t>Diğer Değişiklikler Nedeniyle Artış /Azalış</w:t>
            </w:r>
          </w:p>
        </w:tc>
        <w:tc>
          <w:tcPr>
            <w:tcW w:w="707" w:type="dxa"/>
            <w:tcBorders>
              <w:top w:val="nil"/>
              <w:left w:val="nil"/>
              <w:bottom w:val="nil"/>
              <w:right w:val="nil"/>
            </w:tcBorders>
            <w:shd w:val="clear" w:color="auto" w:fill="auto"/>
            <w:noWrap/>
            <w:vAlign w:val="center"/>
            <w:hideMark/>
          </w:tcPr>
          <w:p w14:paraId="4AD61AC1"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12CD2A0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63D1B55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7F27AFC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308FADA7"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1305AE6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5C01150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40" w:type="dxa"/>
            <w:tcBorders>
              <w:top w:val="nil"/>
              <w:left w:val="nil"/>
              <w:bottom w:val="nil"/>
              <w:right w:val="nil"/>
            </w:tcBorders>
            <w:shd w:val="clear" w:color="auto" w:fill="auto"/>
            <w:vAlign w:val="center"/>
            <w:hideMark/>
          </w:tcPr>
          <w:p w14:paraId="3090F62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443F0D2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41E78D38"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6B217C3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7EA6AF1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5B978A86"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50" w:type="dxa"/>
            <w:tcBorders>
              <w:top w:val="nil"/>
              <w:left w:val="nil"/>
              <w:bottom w:val="nil"/>
              <w:right w:val="nil"/>
            </w:tcBorders>
            <w:shd w:val="clear" w:color="auto" w:fill="auto"/>
            <w:vAlign w:val="center"/>
            <w:hideMark/>
          </w:tcPr>
          <w:p w14:paraId="5FAA250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1D5C2C8E"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52E6D5EF"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72B44DC1" w14:textId="77777777" w:rsidR="00862A01" w:rsidRPr="00872D7E" w:rsidRDefault="00862A01" w:rsidP="00862A01">
            <w:pPr>
              <w:rPr>
                <w:b/>
                <w:bCs/>
                <w:color w:val="000000"/>
                <w:sz w:val="14"/>
                <w:szCs w:val="14"/>
              </w:rPr>
            </w:pPr>
            <w:r w:rsidRPr="00872D7E">
              <w:rPr>
                <w:b/>
                <w:bCs/>
                <w:color w:val="000000"/>
                <w:sz w:val="14"/>
                <w:szCs w:val="14"/>
              </w:rPr>
              <w:t>XI.</w:t>
            </w:r>
          </w:p>
        </w:tc>
        <w:tc>
          <w:tcPr>
            <w:tcW w:w="3381" w:type="dxa"/>
            <w:tcBorders>
              <w:top w:val="nil"/>
              <w:left w:val="nil"/>
              <w:bottom w:val="nil"/>
              <w:right w:val="nil"/>
            </w:tcBorders>
            <w:shd w:val="clear" w:color="auto" w:fill="auto"/>
            <w:noWrap/>
            <w:vAlign w:val="center"/>
            <w:hideMark/>
          </w:tcPr>
          <w:p w14:paraId="0A17D18A" w14:textId="77777777" w:rsidR="00862A01" w:rsidRPr="00872D7E" w:rsidRDefault="00862A01" w:rsidP="00862A01">
            <w:pPr>
              <w:rPr>
                <w:b/>
                <w:bCs/>
                <w:color w:val="000000"/>
                <w:sz w:val="14"/>
                <w:szCs w:val="14"/>
              </w:rPr>
            </w:pPr>
            <w:r w:rsidRPr="00872D7E">
              <w:rPr>
                <w:b/>
                <w:bCs/>
                <w:color w:val="000000"/>
                <w:sz w:val="14"/>
                <w:szCs w:val="14"/>
              </w:rPr>
              <w:t>Kâr Dağıtımı</w:t>
            </w:r>
          </w:p>
        </w:tc>
        <w:tc>
          <w:tcPr>
            <w:tcW w:w="707" w:type="dxa"/>
            <w:tcBorders>
              <w:top w:val="nil"/>
              <w:left w:val="nil"/>
              <w:bottom w:val="nil"/>
              <w:right w:val="nil"/>
            </w:tcBorders>
            <w:shd w:val="clear" w:color="auto" w:fill="auto"/>
            <w:noWrap/>
            <w:vAlign w:val="center"/>
            <w:hideMark/>
          </w:tcPr>
          <w:p w14:paraId="4ECE4850" w14:textId="77777777" w:rsidR="00862A01" w:rsidRPr="00872D7E" w:rsidRDefault="00862A01" w:rsidP="00862A01">
            <w:pPr>
              <w:rPr>
                <w:b/>
                <w:bCs/>
                <w:color w:val="000000"/>
                <w:sz w:val="14"/>
                <w:szCs w:val="14"/>
              </w:rPr>
            </w:pPr>
          </w:p>
        </w:tc>
        <w:tc>
          <w:tcPr>
            <w:tcW w:w="851" w:type="dxa"/>
            <w:tcBorders>
              <w:top w:val="nil"/>
              <w:left w:val="nil"/>
              <w:bottom w:val="nil"/>
              <w:right w:val="nil"/>
            </w:tcBorders>
            <w:shd w:val="clear" w:color="auto" w:fill="auto"/>
            <w:vAlign w:val="center"/>
            <w:hideMark/>
          </w:tcPr>
          <w:p w14:paraId="5AB91335"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0922B28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top w:val="nil"/>
              <w:left w:val="nil"/>
              <w:bottom w:val="nil"/>
              <w:right w:val="nil"/>
            </w:tcBorders>
            <w:shd w:val="clear" w:color="auto" w:fill="auto"/>
            <w:vAlign w:val="center"/>
            <w:hideMark/>
          </w:tcPr>
          <w:p w14:paraId="1328539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top w:val="nil"/>
              <w:left w:val="nil"/>
              <w:bottom w:val="nil"/>
              <w:right w:val="nil"/>
            </w:tcBorders>
            <w:shd w:val="clear" w:color="auto" w:fill="auto"/>
            <w:vAlign w:val="center"/>
            <w:hideMark/>
          </w:tcPr>
          <w:p w14:paraId="0D1C951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top w:val="nil"/>
              <w:left w:val="nil"/>
              <w:bottom w:val="nil"/>
              <w:right w:val="nil"/>
            </w:tcBorders>
            <w:shd w:val="clear" w:color="auto" w:fill="auto"/>
            <w:vAlign w:val="center"/>
            <w:hideMark/>
          </w:tcPr>
          <w:p w14:paraId="1C8F574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42146881"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40" w:type="dxa"/>
            <w:tcBorders>
              <w:top w:val="nil"/>
              <w:left w:val="nil"/>
              <w:bottom w:val="nil"/>
              <w:right w:val="nil"/>
            </w:tcBorders>
            <w:shd w:val="clear" w:color="auto" w:fill="auto"/>
            <w:vAlign w:val="center"/>
            <w:hideMark/>
          </w:tcPr>
          <w:p w14:paraId="23FA06AA"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top w:val="nil"/>
              <w:left w:val="nil"/>
              <w:bottom w:val="nil"/>
              <w:right w:val="nil"/>
            </w:tcBorders>
            <w:shd w:val="clear" w:color="auto" w:fill="auto"/>
            <w:vAlign w:val="center"/>
            <w:hideMark/>
          </w:tcPr>
          <w:p w14:paraId="49DE6D84"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top w:val="nil"/>
              <w:left w:val="nil"/>
              <w:bottom w:val="nil"/>
              <w:right w:val="nil"/>
            </w:tcBorders>
            <w:shd w:val="clear" w:color="auto" w:fill="auto"/>
            <w:vAlign w:val="center"/>
            <w:hideMark/>
          </w:tcPr>
          <w:p w14:paraId="751C3EE9"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15" w:type="dxa"/>
            <w:tcBorders>
              <w:top w:val="nil"/>
              <w:left w:val="nil"/>
              <w:bottom w:val="nil"/>
              <w:right w:val="nil"/>
            </w:tcBorders>
            <w:shd w:val="clear" w:color="auto" w:fill="auto"/>
            <w:vAlign w:val="center"/>
            <w:hideMark/>
          </w:tcPr>
          <w:p w14:paraId="57A6684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top w:val="nil"/>
              <w:left w:val="nil"/>
              <w:bottom w:val="nil"/>
              <w:right w:val="nil"/>
            </w:tcBorders>
            <w:shd w:val="clear" w:color="auto" w:fill="auto"/>
            <w:vAlign w:val="center"/>
            <w:hideMark/>
          </w:tcPr>
          <w:p w14:paraId="25FC5553"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top w:val="nil"/>
              <w:left w:val="nil"/>
              <w:bottom w:val="nil"/>
              <w:right w:val="nil"/>
            </w:tcBorders>
            <w:shd w:val="clear" w:color="auto" w:fill="auto"/>
            <w:vAlign w:val="center"/>
            <w:hideMark/>
          </w:tcPr>
          <w:p w14:paraId="5C621496" w14:textId="77777777" w:rsidR="00862A01" w:rsidRPr="00872D7E" w:rsidRDefault="00862A01" w:rsidP="00862A01">
            <w:pPr>
              <w:jc w:val="right"/>
              <w:rPr>
                <w:b/>
                <w:bCs/>
                <w:color w:val="000000"/>
                <w:sz w:val="14"/>
                <w:szCs w:val="14"/>
              </w:rPr>
            </w:pPr>
            <w:r w:rsidRPr="00872D7E">
              <w:rPr>
                <w:b/>
                <w:bCs/>
                <w:color w:val="000000"/>
                <w:sz w:val="14"/>
                <w:szCs w:val="14"/>
              </w:rPr>
              <w:t>8.092</w:t>
            </w:r>
          </w:p>
        </w:tc>
        <w:tc>
          <w:tcPr>
            <w:tcW w:w="850" w:type="dxa"/>
            <w:tcBorders>
              <w:top w:val="nil"/>
              <w:left w:val="nil"/>
              <w:bottom w:val="nil"/>
              <w:right w:val="nil"/>
            </w:tcBorders>
            <w:shd w:val="clear" w:color="auto" w:fill="auto"/>
            <w:vAlign w:val="center"/>
            <w:hideMark/>
          </w:tcPr>
          <w:p w14:paraId="39BCAA9D" w14:textId="77777777" w:rsidR="00862A01" w:rsidRPr="00872D7E" w:rsidRDefault="00862A01" w:rsidP="00862A01">
            <w:pPr>
              <w:jc w:val="right"/>
              <w:rPr>
                <w:b/>
                <w:bCs/>
                <w:color w:val="000000"/>
                <w:sz w:val="14"/>
                <w:szCs w:val="14"/>
              </w:rPr>
            </w:pPr>
            <w:r w:rsidRPr="00872D7E">
              <w:rPr>
                <w:b/>
                <w:bCs/>
                <w:color w:val="000000"/>
                <w:sz w:val="14"/>
                <w:szCs w:val="14"/>
              </w:rPr>
              <w:t>(8.092)</w:t>
            </w:r>
          </w:p>
        </w:tc>
        <w:tc>
          <w:tcPr>
            <w:tcW w:w="985" w:type="dxa"/>
            <w:tcBorders>
              <w:top w:val="nil"/>
              <w:left w:val="nil"/>
              <w:bottom w:val="nil"/>
              <w:right w:val="single" w:sz="4" w:space="0" w:color="auto"/>
            </w:tcBorders>
            <w:shd w:val="clear" w:color="auto" w:fill="auto"/>
            <w:vAlign w:val="center"/>
            <w:hideMark/>
          </w:tcPr>
          <w:p w14:paraId="15EA2700" w14:textId="77777777" w:rsidR="00862A01" w:rsidRPr="00872D7E" w:rsidRDefault="00862A01" w:rsidP="00862A01">
            <w:pPr>
              <w:jc w:val="right"/>
              <w:rPr>
                <w:b/>
                <w:bCs/>
                <w:color w:val="000000"/>
                <w:sz w:val="14"/>
                <w:szCs w:val="14"/>
              </w:rPr>
            </w:pPr>
            <w:r w:rsidRPr="00872D7E">
              <w:rPr>
                <w:b/>
                <w:bCs/>
                <w:color w:val="000000"/>
                <w:sz w:val="14"/>
                <w:szCs w:val="14"/>
              </w:rPr>
              <w:t>-</w:t>
            </w:r>
          </w:p>
        </w:tc>
      </w:tr>
      <w:tr w:rsidR="00862A01" w:rsidRPr="00872D7E" w14:paraId="6A834CA2" w14:textId="77777777" w:rsidTr="00862A01">
        <w:trPr>
          <w:divId w:val="324477069"/>
          <w:trHeight w:val="113"/>
        </w:trPr>
        <w:tc>
          <w:tcPr>
            <w:tcW w:w="562" w:type="dxa"/>
            <w:tcBorders>
              <w:top w:val="nil"/>
              <w:left w:val="single" w:sz="4" w:space="0" w:color="auto"/>
              <w:bottom w:val="nil"/>
              <w:right w:val="nil"/>
            </w:tcBorders>
            <w:shd w:val="clear" w:color="auto" w:fill="auto"/>
            <w:noWrap/>
            <w:vAlign w:val="center"/>
            <w:hideMark/>
          </w:tcPr>
          <w:p w14:paraId="7CAA0EBB" w14:textId="77777777" w:rsidR="00862A01" w:rsidRPr="00872D7E" w:rsidRDefault="00862A01" w:rsidP="00862A01">
            <w:pPr>
              <w:rPr>
                <w:color w:val="000000"/>
                <w:sz w:val="14"/>
                <w:szCs w:val="14"/>
              </w:rPr>
            </w:pPr>
            <w:r w:rsidRPr="00872D7E">
              <w:rPr>
                <w:color w:val="000000"/>
                <w:sz w:val="14"/>
                <w:szCs w:val="14"/>
              </w:rPr>
              <w:t>11.1</w:t>
            </w:r>
          </w:p>
        </w:tc>
        <w:tc>
          <w:tcPr>
            <w:tcW w:w="3381" w:type="dxa"/>
            <w:tcBorders>
              <w:top w:val="nil"/>
              <w:left w:val="nil"/>
              <w:bottom w:val="nil"/>
              <w:right w:val="nil"/>
            </w:tcBorders>
            <w:shd w:val="clear" w:color="auto" w:fill="auto"/>
            <w:noWrap/>
            <w:vAlign w:val="center"/>
            <w:hideMark/>
          </w:tcPr>
          <w:p w14:paraId="23042521" w14:textId="77777777" w:rsidR="00862A01" w:rsidRPr="00872D7E" w:rsidRDefault="00862A01" w:rsidP="00862A01">
            <w:pPr>
              <w:rPr>
                <w:color w:val="000000"/>
                <w:sz w:val="14"/>
                <w:szCs w:val="14"/>
              </w:rPr>
            </w:pPr>
            <w:r w:rsidRPr="00872D7E">
              <w:rPr>
                <w:color w:val="000000"/>
                <w:sz w:val="14"/>
                <w:szCs w:val="14"/>
              </w:rPr>
              <w:t>Dağıtılan Temettü</w:t>
            </w:r>
          </w:p>
        </w:tc>
        <w:tc>
          <w:tcPr>
            <w:tcW w:w="707" w:type="dxa"/>
            <w:tcBorders>
              <w:top w:val="nil"/>
              <w:left w:val="nil"/>
              <w:bottom w:val="nil"/>
              <w:right w:val="nil"/>
            </w:tcBorders>
            <w:shd w:val="clear" w:color="auto" w:fill="auto"/>
            <w:noWrap/>
            <w:vAlign w:val="center"/>
            <w:hideMark/>
          </w:tcPr>
          <w:p w14:paraId="71112CF1" w14:textId="77777777" w:rsidR="00862A01" w:rsidRPr="00872D7E" w:rsidRDefault="00862A01" w:rsidP="00862A01">
            <w:pPr>
              <w:rPr>
                <w:color w:val="000000"/>
                <w:sz w:val="14"/>
                <w:szCs w:val="14"/>
              </w:rPr>
            </w:pPr>
          </w:p>
        </w:tc>
        <w:tc>
          <w:tcPr>
            <w:tcW w:w="851" w:type="dxa"/>
            <w:tcBorders>
              <w:top w:val="nil"/>
              <w:left w:val="nil"/>
              <w:bottom w:val="nil"/>
              <w:right w:val="nil"/>
            </w:tcBorders>
            <w:shd w:val="clear" w:color="auto" w:fill="auto"/>
            <w:vAlign w:val="center"/>
            <w:hideMark/>
          </w:tcPr>
          <w:p w14:paraId="3AF5FE1B"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vAlign w:val="center"/>
            <w:hideMark/>
          </w:tcPr>
          <w:p w14:paraId="0A2222A9" w14:textId="77777777" w:rsidR="00862A01" w:rsidRPr="00872D7E" w:rsidRDefault="00862A01" w:rsidP="00862A01">
            <w:pPr>
              <w:jc w:val="right"/>
              <w:rPr>
                <w:color w:val="000000"/>
                <w:sz w:val="14"/>
                <w:szCs w:val="14"/>
              </w:rPr>
            </w:pPr>
            <w:r w:rsidRPr="00872D7E">
              <w:rPr>
                <w:color w:val="000000"/>
                <w:sz w:val="14"/>
                <w:szCs w:val="14"/>
              </w:rPr>
              <w:t>-</w:t>
            </w:r>
          </w:p>
        </w:tc>
        <w:tc>
          <w:tcPr>
            <w:tcW w:w="708" w:type="dxa"/>
            <w:tcBorders>
              <w:top w:val="nil"/>
              <w:left w:val="nil"/>
              <w:bottom w:val="nil"/>
              <w:right w:val="nil"/>
            </w:tcBorders>
            <w:shd w:val="clear" w:color="auto" w:fill="auto"/>
            <w:vAlign w:val="center"/>
            <w:hideMark/>
          </w:tcPr>
          <w:p w14:paraId="5A98607F" w14:textId="77777777" w:rsidR="00862A01" w:rsidRPr="00872D7E" w:rsidRDefault="00862A01" w:rsidP="00862A01">
            <w:pPr>
              <w:jc w:val="right"/>
              <w:rPr>
                <w:color w:val="000000"/>
                <w:sz w:val="14"/>
                <w:szCs w:val="14"/>
              </w:rPr>
            </w:pPr>
            <w:r w:rsidRPr="00872D7E">
              <w:rPr>
                <w:color w:val="000000"/>
                <w:sz w:val="14"/>
                <w:szCs w:val="14"/>
              </w:rPr>
              <w:t>-</w:t>
            </w:r>
          </w:p>
        </w:tc>
        <w:tc>
          <w:tcPr>
            <w:tcW w:w="724" w:type="dxa"/>
            <w:tcBorders>
              <w:top w:val="nil"/>
              <w:left w:val="nil"/>
              <w:bottom w:val="nil"/>
              <w:right w:val="nil"/>
            </w:tcBorders>
            <w:shd w:val="clear" w:color="auto" w:fill="auto"/>
            <w:vAlign w:val="center"/>
            <w:hideMark/>
          </w:tcPr>
          <w:p w14:paraId="22BABD55" w14:textId="77777777" w:rsidR="00862A01" w:rsidRPr="00872D7E" w:rsidRDefault="00862A01" w:rsidP="00862A01">
            <w:pPr>
              <w:jc w:val="right"/>
              <w:rPr>
                <w:color w:val="000000"/>
                <w:sz w:val="14"/>
                <w:szCs w:val="14"/>
              </w:rPr>
            </w:pPr>
            <w:r w:rsidRPr="00872D7E">
              <w:rPr>
                <w:color w:val="000000"/>
                <w:sz w:val="14"/>
                <w:szCs w:val="14"/>
              </w:rPr>
              <w:t>-</w:t>
            </w:r>
          </w:p>
        </w:tc>
        <w:tc>
          <w:tcPr>
            <w:tcW w:w="575" w:type="dxa"/>
            <w:tcBorders>
              <w:top w:val="nil"/>
              <w:left w:val="nil"/>
              <w:bottom w:val="nil"/>
              <w:right w:val="nil"/>
            </w:tcBorders>
            <w:shd w:val="clear" w:color="auto" w:fill="auto"/>
            <w:vAlign w:val="center"/>
            <w:hideMark/>
          </w:tcPr>
          <w:p w14:paraId="70FE2D82"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vAlign w:val="center"/>
            <w:hideMark/>
          </w:tcPr>
          <w:p w14:paraId="6224C6F1" w14:textId="77777777" w:rsidR="00862A01" w:rsidRPr="00872D7E" w:rsidRDefault="00862A01" w:rsidP="00862A01">
            <w:pPr>
              <w:jc w:val="right"/>
              <w:rPr>
                <w:color w:val="000000"/>
                <w:sz w:val="14"/>
                <w:szCs w:val="14"/>
              </w:rPr>
            </w:pPr>
            <w:r w:rsidRPr="00872D7E">
              <w:rPr>
                <w:color w:val="000000"/>
                <w:sz w:val="14"/>
                <w:szCs w:val="14"/>
              </w:rPr>
              <w:t>-</w:t>
            </w:r>
          </w:p>
        </w:tc>
        <w:tc>
          <w:tcPr>
            <w:tcW w:w="640" w:type="dxa"/>
            <w:tcBorders>
              <w:top w:val="nil"/>
              <w:left w:val="nil"/>
              <w:bottom w:val="nil"/>
              <w:right w:val="nil"/>
            </w:tcBorders>
            <w:shd w:val="clear" w:color="auto" w:fill="auto"/>
            <w:vAlign w:val="center"/>
            <w:hideMark/>
          </w:tcPr>
          <w:p w14:paraId="37F0E8FD" w14:textId="77777777" w:rsidR="00862A01" w:rsidRPr="00872D7E" w:rsidRDefault="00862A01" w:rsidP="00862A01">
            <w:pPr>
              <w:jc w:val="right"/>
              <w:rPr>
                <w:color w:val="000000"/>
                <w:sz w:val="14"/>
                <w:szCs w:val="14"/>
              </w:rPr>
            </w:pPr>
            <w:r w:rsidRPr="00872D7E">
              <w:rPr>
                <w:color w:val="000000"/>
                <w:sz w:val="14"/>
                <w:szCs w:val="14"/>
              </w:rPr>
              <w:t>-</w:t>
            </w:r>
          </w:p>
        </w:tc>
        <w:tc>
          <w:tcPr>
            <w:tcW w:w="636" w:type="dxa"/>
            <w:tcBorders>
              <w:top w:val="nil"/>
              <w:left w:val="nil"/>
              <w:bottom w:val="nil"/>
              <w:right w:val="nil"/>
            </w:tcBorders>
            <w:shd w:val="clear" w:color="auto" w:fill="auto"/>
            <w:vAlign w:val="center"/>
            <w:hideMark/>
          </w:tcPr>
          <w:p w14:paraId="3026F8CB" w14:textId="77777777" w:rsidR="00862A01" w:rsidRPr="00872D7E" w:rsidRDefault="00862A01" w:rsidP="00862A01">
            <w:pPr>
              <w:jc w:val="right"/>
              <w:rPr>
                <w:color w:val="000000"/>
                <w:sz w:val="14"/>
                <w:szCs w:val="14"/>
              </w:rPr>
            </w:pPr>
            <w:r w:rsidRPr="00872D7E">
              <w:rPr>
                <w:color w:val="000000"/>
                <w:sz w:val="14"/>
                <w:szCs w:val="14"/>
              </w:rPr>
              <w:t>-</w:t>
            </w:r>
          </w:p>
        </w:tc>
        <w:tc>
          <w:tcPr>
            <w:tcW w:w="731" w:type="dxa"/>
            <w:tcBorders>
              <w:top w:val="nil"/>
              <w:left w:val="nil"/>
              <w:bottom w:val="nil"/>
              <w:right w:val="nil"/>
            </w:tcBorders>
            <w:shd w:val="clear" w:color="auto" w:fill="auto"/>
            <w:vAlign w:val="center"/>
            <w:hideMark/>
          </w:tcPr>
          <w:p w14:paraId="62235724" w14:textId="77777777" w:rsidR="00862A01" w:rsidRPr="00872D7E" w:rsidRDefault="00862A01" w:rsidP="00862A01">
            <w:pPr>
              <w:jc w:val="right"/>
              <w:rPr>
                <w:color w:val="000000"/>
                <w:sz w:val="14"/>
                <w:szCs w:val="14"/>
              </w:rPr>
            </w:pPr>
            <w:r w:rsidRPr="00872D7E">
              <w:rPr>
                <w:color w:val="000000"/>
                <w:sz w:val="14"/>
                <w:szCs w:val="14"/>
              </w:rPr>
              <w:t>-</w:t>
            </w:r>
          </w:p>
        </w:tc>
        <w:tc>
          <w:tcPr>
            <w:tcW w:w="715" w:type="dxa"/>
            <w:tcBorders>
              <w:top w:val="nil"/>
              <w:left w:val="nil"/>
              <w:bottom w:val="nil"/>
              <w:right w:val="nil"/>
            </w:tcBorders>
            <w:shd w:val="clear" w:color="auto" w:fill="auto"/>
            <w:vAlign w:val="center"/>
            <w:hideMark/>
          </w:tcPr>
          <w:p w14:paraId="00D2E04A" w14:textId="77777777" w:rsidR="00862A01" w:rsidRPr="00872D7E" w:rsidRDefault="00862A01" w:rsidP="00862A01">
            <w:pPr>
              <w:jc w:val="right"/>
              <w:rPr>
                <w:color w:val="000000"/>
                <w:sz w:val="14"/>
                <w:szCs w:val="14"/>
              </w:rPr>
            </w:pPr>
            <w:r w:rsidRPr="00872D7E">
              <w:rPr>
                <w:color w:val="000000"/>
                <w:sz w:val="14"/>
                <w:szCs w:val="14"/>
              </w:rPr>
              <w:t>-</w:t>
            </w:r>
          </w:p>
        </w:tc>
        <w:tc>
          <w:tcPr>
            <w:tcW w:w="835" w:type="dxa"/>
            <w:tcBorders>
              <w:top w:val="nil"/>
              <w:left w:val="nil"/>
              <w:bottom w:val="nil"/>
              <w:right w:val="nil"/>
            </w:tcBorders>
            <w:shd w:val="clear" w:color="auto" w:fill="auto"/>
            <w:vAlign w:val="center"/>
            <w:hideMark/>
          </w:tcPr>
          <w:p w14:paraId="34F3330D"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nil"/>
              <w:right w:val="nil"/>
            </w:tcBorders>
            <w:shd w:val="clear" w:color="auto" w:fill="auto"/>
            <w:vAlign w:val="center"/>
            <w:hideMark/>
          </w:tcPr>
          <w:p w14:paraId="70FA4E17" w14:textId="77777777" w:rsidR="00862A01" w:rsidRPr="00872D7E" w:rsidRDefault="00862A01" w:rsidP="00862A01">
            <w:pPr>
              <w:jc w:val="right"/>
              <w:rPr>
                <w:color w:val="000000"/>
                <w:sz w:val="14"/>
                <w:szCs w:val="14"/>
              </w:rPr>
            </w:pPr>
            <w:r w:rsidRPr="00872D7E">
              <w:rPr>
                <w:color w:val="000000"/>
                <w:sz w:val="14"/>
                <w:szCs w:val="14"/>
              </w:rPr>
              <w:t>-</w:t>
            </w:r>
          </w:p>
        </w:tc>
        <w:tc>
          <w:tcPr>
            <w:tcW w:w="850" w:type="dxa"/>
            <w:tcBorders>
              <w:top w:val="nil"/>
              <w:left w:val="nil"/>
              <w:bottom w:val="nil"/>
              <w:right w:val="nil"/>
            </w:tcBorders>
            <w:shd w:val="clear" w:color="auto" w:fill="auto"/>
            <w:vAlign w:val="center"/>
            <w:hideMark/>
          </w:tcPr>
          <w:p w14:paraId="4D92C1ED" w14:textId="77777777" w:rsidR="00862A01" w:rsidRPr="00872D7E" w:rsidRDefault="00862A01" w:rsidP="00862A01">
            <w:pPr>
              <w:jc w:val="right"/>
              <w:rPr>
                <w:color w:val="000000"/>
                <w:sz w:val="14"/>
                <w:szCs w:val="14"/>
              </w:rPr>
            </w:pPr>
            <w:r w:rsidRPr="00872D7E">
              <w:rPr>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1226832F"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4C40E3FB" w14:textId="77777777" w:rsidTr="00236C13">
        <w:trPr>
          <w:divId w:val="324477069"/>
          <w:trHeight w:val="113"/>
        </w:trPr>
        <w:tc>
          <w:tcPr>
            <w:tcW w:w="562" w:type="dxa"/>
            <w:tcBorders>
              <w:top w:val="nil"/>
              <w:left w:val="single" w:sz="4" w:space="0" w:color="auto"/>
              <w:right w:val="nil"/>
            </w:tcBorders>
            <w:shd w:val="clear" w:color="auto" w:fill="auto"/>
            <w:noWrap/>
            <w:vAlign w:val="center"/>
            <w:hideMark/>
          </w:tcPr>
          <w:p w14:paraId="4A1FC349" w14:textId="77777777" w:rsidR="00862A01" w:rsidRPr="00872D7E" w:rsidRDefault="00862A01" w:rsidP="00862A01">
            <w:pPr>
              <w:rPr>
                <w:color w:val="000000"/>
                <w:sz w:val="14"/>
                <w:szCs w:val="14"/>
              </w:rPr>
            </w:pPr>
            <w:r w:rsidRPr="00872D7E">
              <w:rPr>
                <w:color w:val="000000"/>
                <w:sz w:val="14"/>
                <w:szCs w:val="14"/>
              </w:rPr>
              <w:t>11.2</w:t>
            </w:r>
          </w:p>
        </w:tc>
        <w:tc>
          <w:tcPr>
            <w:tcW w:w="3381" w:type="dxa"/>
            <w:tcBorders>
              <w:top w:val="nil"/>
              <w:left w:val="nil"/>
              <w:right w:val="nil"/>
            </w:tcBorders>
            <w:shd w:val="clear" w:color="auto" w:fill="auto"/>
            <w:noWrap/>
            <w:vAlign w:val="center"/>
            <w:hideMark/>
          </w:tcPr>
          <w:p w14:paraId="3F939898" w14:textId="77777777" w:rsidR="00862A01" w:rsidRPr="00872D7E" w:rsidRDefault="00862A01" w:rsidP="00862A01">
            <w:pPr>
              <w:rPr>
                <w:color w:val="000000"/>
                <w:sz w:val="14"/>
                <w:szCs w:val="14"/>
              </w:rPr>
            </w:pPr>
            <w:r w:rsidRPr="00872D7E">
              <w:rPr>
                <w:color w:val="000000"/>
                <w:sz w:val="14"/>
                <w:szCs w:val="14"/>
              </w:rPr>
              <w:t>Yedeklere Aktarılan Tutarlar</w:t>
            </w:r>
          </w:p>
        </w:tc>
        <w:tc>
          <w:tcPr>
            <w:tcW w:w="707" w:type="dxa"/>
            <w:tcBorders>
              <w:top w:val="nil"/>
              <w:left w:val="nil"/>
              <w:right w:val="nil"/>
            </w:tcBorders>
            <w:shd w:val="clear" w:color="auto" w:fill="auto"/>
            <w:noWrap/>
            <w:vAlign w:val="center"/>
            <w:hideMark/>
          </w:tcPr>
          <w:p w14:paraId="1C51C73A" w14:textId="77777777" w:rsidR="00862A01" w:rsidRPr="00872D7E" w:rsidRDefault="00862A01" w:rsidP="00862A01">
            <w:pPr>
              <w:rPr>
                <w:color w:val="000000"/>
                <w:sz w:val="14"/>
                <w:szCs w:val="14"/>
              </w:rPr>
            </w:pPr>
          </w:p>
        </w:tc>
        <w:tc>
          <w:tcPr>
            <w:tcW w:w="851" w:type="dxa"/>
            <w:tcBorders>
              <w:top w:val="nil"/>
              <w:left w:val="nil"/>
              <w:right w:val="nil"/>
            </w:tcBorders>
            <w:shd w:val="clear" w:color="auto" w:fill="auto"/>
            <w:vAlign w:val="center"/>
            <w:hideMark/>
          </w:tcPr>
          <w:p w14:paraId="0854C4E8"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right w:val="nil"/>
            </w:tcBorders>
            <w:shd w:val="clear" w:color="auto" w:fill="auto"/>
            <w:vAlign w:val="center"/>
            <w:hideMark/>
          </w:tcPr>
          <w:p w14:paraId="37129AAD" w14:textId="77777777" w:rsidR="00862A01" w:rsidRPr="00872D7E" w:rsidRDefault="00862A01" w:rsidP="00862A01">
            <w:pPr>
              <w:jc w:val="right"/>
              <w:rPr>
                <w:color w:val="000000"/>
                <w:sz w:val="14"/>
                <w:szCs w:val="14"/>
              </w:rPr>
            </w:pPr>
            <w:r w:rsidRPr="00872D7E">
              <w:rPr>
                <w:color w:val="000000"/>
                <w:sz w:val="14"/>
                <w:szCs w:val="14"/>
              </w:rPr>
              <w:t>-</w:t>
            </w:r>
          </w:p>
        </w:tc>
        <w:tc>
          <w:tcPr>
            <w:tcW w:w="708" w:type="dxa"/>
            <w:tcBorders>
              <w:top w:val="nil"/>
              <w:left w:val="nil"/>
              <w:right w:val="nil"/>
            </w:tcBorders>
            <w:shd w:val="clear" w:color="auto" w:fill="auto"/>
            <w:vAlign w:val="center"/>
            <w:hideMark/>
          </w:tcPr>
          <w:p w14:paraId="5FC4A0A2" w14:textId="77777777" w:rsidR="00862A01" w:rsidRPr="00872D7E" w:rsidRDefault="00862A01" w:rsidP="00862A01">
            <w:pPr>
              <w:jc w:val="right"/>
              <w:rPr>
                <w:color w:val="000000"/>
                <w:sz w:val="14"/>
                <w:szCs w:val="14"/>
              </w:rPr>
            </w:pPr>
            <w:r w:rsidRPr="00872D7E">
              <w:rPr>
                <w:color w:val="000000"/>
                <w:sz w:val="14"/>
                <w:szCs w:val="14"/>
              </w:rPr>
              <w:t>-</w:t>
            </w:r>
          </w:p>
        </w:tc>
        <w:tc>
          <w:tcPr>
            <w:tcW w:w="724" w:type="dxa"/>
            <w:tcBorders>
              <w:top w:val="nil"/>
              <w:left w:val="nil"/>
              <w:right w:val="nil"/>
            </w:tcBorders>
            <w:shd w:val="clear" w:color="auto" w:fill="auto"/>
            <w:vAlign w:val="center"/>
            <w:hideMark/>
          </w:tcPr>
          <w:p w14:paraId="15535320" w14:textId="77777777" w:rsidR="00862A01" w:rsidRPr="00872D7E" w:rsidRDefault="00862A01" w:rsidP="00862A01">
            <w:pPr>
              <w:jc w:val="right"/>
              <w:rPr>
                <w:color w:val="000000"/>
                <w:sz w:val="14"/>
                <w:szCs w:val="14"/>
              </w:rPr>
            </w:pPr>
            <w:r w:rsidRPr="00872D7E">
              <w:rPr>
                <w:color w:val="000000"/>
                <w:sz w:val="14"/>
                <w:szCs w:val="14"/>
              </w:rPr>
              <w:t>-</w:t>
            </w:r>
          </w:p>
        </w:tc>
        <w:tc>
          <w:tcPr>
            <w:tcW w:w="575" w:type="dxa"/>
            <w:tcBorders>
              <w:top w:val="nil"/>
              <w:left w:val="nil"/>
              <w:right w:val="nil"/>
            </w:tcBorders>
            <w:shd w:val="clear" w:color="auto" w:fill="auto"/>
            <w:vAlign w:val="center"/>
            <w:hideMark/>
          </w:tcPr>
          <w:p w14:paraId="38A8B829"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right w:val="nil"/>
            </w:tcBorders>
            <w:shd w:val="clear" w:color="auto" w:fill="auto"/>
            <w:vAlign w:val="center"/>
            <w:hideMark/>
          </w:tcPr>
          <w:p w14:paraId="3BADC5F3" w14:textId="77777777" w:rsidR="00862A01" w:rsidRPr="00872D7E" w:rsidRDefault="00862A01" w:rsidP="00862A01">
            <w:pPr>
              <w:jc w:val="right"/>
              <w:rPr>
                <w:color w:val="000000"/>
                <w:sz w:val="14"/>
                <w:szCs w:val="14"/>
              </w:rPr>
            </w:pPr>
            <w:r w:rsidRPr="00872D7E">
              <w:rPr>
                <w:color w:val="000000"/>
                <w:sz w:val="14"/>
                <w:szCs w:val="14"/>
              </w:rPr>
              <w:t>-</w:t>
            </w:r>
          </w:p>
        </w:tc>
        <w:tc>
          <w:tcPr>
            <w:tcW w:w="640" w:type="dxa"/>
            <w:tcBorders>
              <w:top w:val="nil"/>
              <w:left w:val="nil"/>
              <w:right w:val="nil"/>
            </w:tcBorders>
            <w:shd w:val="clear" w:color="auto" w:fill="auto"/>
            <w:vAlign w:val="center"/>
            <w:hideMark/>
          </w:tcPr>
          <w:p w14:paraId="148FD8F1" w14:textId="77777777" w:rsidR="00862A01" w:rsidRPr="00872D7E" w:rsidRDefault="00862A01" w:rsidP="00862A01">
            <w:pPr>
              <w:jc w:val="right"/>
              <w:rPr>
                <w:color w:val="000000"/>
                <w:sz w:val="14"/>
                <w:szCs w:val="14"/>
              </w:rPr>
            </w:pPr>
            <w:r w:rsidRPr="00872D7E">
              <w:rPr>
                <w:color w:val="000000"/>
                <w:sz w:val="14"/>
                <w:szCs w:val="14"/>
              </w:rPr>
              <w:t>-</w:t>
            </w:r>
          </w:p>
        </w:tc>
        <w:tc>
          <w:tcPr>
            <w:tcW w:w="636" w:type="dxa"/>
            <w:tcBorders>
              <w:top w:val="nil"/>
              <w:left w:val="nil"/>
              <w:right w:val="nil"/>
            </w:tcBorders>
            <w:shd w:val="clear" w:color="auto" w:fill="auto"/>
            <w:vAlign w:val="center"/>
            <w:hideMark/>
          </w:tcPr>
          <w:p w14:paraId="6D824AF9" w14:textId="77777777" w:rsidR="00862A01" w:rsidRPr="00872D7E" w:rsidRDefault="00862A01" w:rsidP="00862A01">
            <w:pPr>
              <w:jc w:val="right"/>
              <w:rPr>
                <w:color w:val="000000"/>
                <w:sz w:val="14"/>
                <w:szCs w:val="14"/>
              </w:rPr>
            </w:pPr>
            <w:r w:rsidRPr="00872D7E">
              <w:rPr>
                <w:color w:val="000000"/>
                <w:sz w:val="14"/>
                <w:szCs w:val="14"/>
              </w:rPr>
              <w:t>-</w:t>
            </w:r>
          </w:p>
        </w:tc>
        <w:tc>
          <w:tcPr>
            <w:tcW w:w="731" w:type="dxa"/>
            <w:tcBorders>
              <w:top w:val="nil"/>
              <w:left w:val="nil"/>
              <w:right w:val="nil"/>
            </w:tcBorders>
            <w:shd w:val="clear" w:color="auto" w:fill="auto"/>
            <w:vAlign w:val="center"/>
            <w:hideMark/>
          </w:tcPr>
          <w:p w14:paraId="3A831FDA" w14:textId="77777777" w:rsidR="00862A01" w:rsidRPr="00872D7E" w:rsidRDefault="00862A01" w:rsidP="00862A01">
            <w:pPr>
              <w:jc w:val="right"/>
              <w:rPr>
                <w:color w:val="000000"/>
                <w:sz w:val="14"/>
                <w:szCs w:val="14"/>
              </w:rPr>
            </w:pPr>
            <w:r w:rsidRPr="00872D7E">
              <w:rPr>
                <w:color w:val="000000"/>
                <w:sz w:val="14"/>
                <w:szCs w:val="14"/>
              </w:rPr>
              <w:t>-</w:t>
            </w:r>
          </w:p>
        </w:tc>
        <w:tc>
          <w:tcPr>
            <w:tcW w:w="715" w:type="dxa"/>
            <w:tcBorders>
              <w:top w:val="nil"/>
              <w:left w:val="nil"/>
              <w:right w:val="nil"/>
            </w:tcBorders>
            <w:shd w:val="clear" w:color="auto" w:fill="auto"/>
            <w:vAlign w:val="center"/>
            <w:hideMark/>
          </w:tcPr>
          <w:p w14:paraId="5369CF87" w14:textId="77777777" w:rsidR="00862A01" w:rsidRPr="00872D7E" w:rsidRDefault="00862A01" w:rsidP="00862A01">
            <w:pPr>
              <w:jc w:val="right"/>
              <w:rPr>
                <w:color w:val="000000"/>
                <w:sz w:val="14"/>
                <w:szCs w:val="14"/>
              </w:rPr>
            </w:pPr>
            <w:r w:rsidRPr="00872D7E">
              <w:rPr>
                <w:color w:val="000000"/>
                <w:sz w:val="14"/>
                <w:szCs w:val="14"/>
              </w:rPr>
              <w:t>-</w:t>
            </w:r>
          </w:p>
        </w:tc>
        <w:tc>
          <w:tcPr>
            <w:tcW w:w="835" w:type="dxa"/>
            <w:tcBorders>
              <w:top w:val="nil"/>
              <w:left w:val="nil"/>
              <w:right w:val="nil"/>
            </w:tcBorders>
            <w:shd w:val="clear" w:color="auto" w:fill="auto"/>
            <w:vAlign w:val="center"/>
            <w:hideMark/>
          </w:tcPr>
          <w:p w14:paraId="1D4B4603"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right w:val="nil"/>
            </w:tcBorders>
            <w:shd w:val="clear" w:color="auto" w:fill="auto"/>
            <w:vAlign w:val="center"/>
            <w:hideMark/>
          </w:tcPr>
          <w:p w14:paraId="6BC99E01" w14:textId="77777777" w:rsidR="00862A01" w:rsidRPr="00872D7E" w:rsidRDefault="00862A01" w:rsidP="00862A01">
            <w:pPr>
              <w:jc w:val="right"/>
              <w:rPr>
                <w:color w:val="000000"/>
                <w:sz w:val="14"/>
                <w:szCs w:val="14"/>
              </w:rPr>
            </w:pPr>
            <w:r w:rsidRPr="00872D7E">
              <w:rPr>
                <w:color w:val="000000"/>
                <w:sz w:val="14"/>
                <w:szCs w:val="14"/>
              </w:rPr>
              <w:t>-</w:t>
            </w:r>
          </w:p>
        </w:tc>
        <w:tc>
          <w:tcPr>
            <w:tcW w:w="850" w:type="dxa"/>
            <w:tcBorders>
              <w:top w:val="nil"/>
              <w:left w:val="nil"/>
              <w:right w:val="nil"/>
            </w:tcBorders>
            <w:shd w:val="clear" w:color="auto" w:fill="auto"/>
            <w:vAlign w:val="center"/>
            <w:hideMark/>
          </w:tcPr>
          <w:p w14:paraId="30BF800E" w14:textId="77777777" w:rsidR="00862A01" w:rsidRPr="00872D7E" w:rsidRDefault="00862A01" w:rsidP="00862A01">
            <w:pPr>
              <w:jc w:val="right"/>
              <w:rPr>
                <w:color w:val="000000"/>
                <w:sz w:val="14"/>
                <w:szCs w:val="14"/>
              </w:rPr>
            </w:pPr>
            <w:r w:rsidRPr="00872D7E">
              <w:rPr>
                <w:color w:val="000000"/>
                <w:sz w:val="14"/>
                <w:szCs w:val="14"/>
              </w:rPr>
              <w:t>-</w:t>
            </w:r>
          </w:p>
        </w:tc>
        <w:tc>
          <w:tcPr>
            <w:tcW w:w="985" w:type="dxa"/>
            <w:tcBorders>
              <w:top w:val="nil"/>
              <w:left w:val="nil"/>
              <w:right w:val="single" w:sz="4" w:space="0" w:color="auto"/>
            </w:tcBorders>
            <w:shd w:val="clear" w:color="auto" w:fill="auto"/>
            <w:vAlign w:val="center"/>
            <w:hideMark/>
          </w:tcPr>
          <w:p w14:paraId="3DA05DF2"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7CDC2409" w14:textId="77777777" w:rsidTr="00236C13">
        <w:trPr>
          <w:divId w:val="324477069"/>
          <w:trHeight w:val="113"/>
        </w:trPr>
        <w:tc>
          <w:tcPr>
            <w:tcW w:w="562" w:type="dxa"/>
            <w:tcBorders>
              <w:top w:val="nil"/>
              <w:bottom w:val="single" w:sz="4" w:space="0" w:color="auto"/>
              <w:right w:val="nil"/>
            </w:tcBorders>
            <w:shd w:val="clear" w:color="auto" w:fill="auto"/>
            <w:noWrap/>
            <w:vAlign w:val="center"/>
            <w:hideMark/>
          </w:tcPr>
          <w:p w14:paraId="7076F091" w14:textId="77777777" w:rsidR="00862A01" w:rsidRPr="00872D7E" w:rsidRDefault="00862A01" w:rsidP="00862A01">
            <w:pPr>
              <w:rPr>
                <w:color w:val="000000"/>
                <w:sz w:val="14"/>
                <w:szCs w:val="14"/>
              </w:rPr>
            </w:pPr>
            <w:r w:rsidRPr="00872D7E">
              <w:rPr>
                <w:color w:val="000000"/>
                <w:sz w:val="14"/>
                <w:szCs w:val="14"/>
              </w:rPr>
              <w:t>11.3</w:t>
            </w:r>
          </w:p>
        </w:tc>
        <w:tc>
          <w:tcPr>
            <w:tcW w:w="3381" w:type="dxa"/>
            <w:tcBorders>
              <w:top w:val="nil"/>
              <w:left w:val="nil"/>
              <w:bottom w:val="single" w:sz="4" w:space="0" w:color="auto"/>
              <w:right w:val="nil"/>
            </w:tcBorders>
            <w:shd w:val="clear" w:color="auto" w:fill="auto"/>
            <w:noWrap/>
            <w:vAlign w:val="center"/>
            <w:hideMark/>
          </w:tcPr>
          <w:p w14:paraId="1DF7E975" w14:textId="77777777" w:rsidR="00862A01" w:rsidRPr="00872D7E" w:rsidRDefault="00862A01" w:rsidP="00862A01">
            <w:pPr>
              <w:rPr>
                <w:color w:val="000000"/>
                <w:sz w:val="14"/>
                <w:szCs w:val="14"/>
              </w:rPr>
            </w:pPr>
            <w:r w:rsidRPr="00872D7E">
              <w:rPr>
                <w:color w:val="000000"/>
                <w:sz w:val="14"/>
                <w:szCs w:val="14"/>
              </w:rPr>
              <w:t xml:space="preserve">Diğer </w:t>
            </w:r>
          </w:p>
        </w:tc>
        <w:tc>
          <w:tcPr>
            <w:tcW w:w="707" w:type="dxa"/>
            <w:tcBorders>
              <w:top w:val="nil"/>
              <w:left w:val="nil"/>
              <w:bottom w:val="single" w:sz="4" w:space="0" w:color="auto"/>
              <w:right w:val="nil"/>
            </w:tcBorders>
            <w:shd w:val="clear" w:color="auto" w:fill="auto"/>
            <w:noWrap/>
            <w:vAlign w:val="center"/>
            <w:hideMark/>
          </w:tcPr>
          <w:p w14:paraId="4AC3EDDE" w14:textId="77777777" w:rsidR="00862A01" w:rsidRPr="00872D7E" w:rsidRDefault="00862A01" w:rsidP="00862A01">
            <w:pPr>
              <w:rPr>
                <w:color w:val="000000"/>
                <w:sz w:val="14"/>
                <w:szCs w:val="14"/>
              </w:rPr>
            </w:pPr>
          </w:p>
        </w:tc>
        <w:tc>
          <w:tcPr>
            <w:tcW w:w="851" w:type="dxa"/>
            <w:tcBorders>
              <w:top w:val="nil"/>
              <w:left w:val="nil"/>
              <w:bottom w:val="single" w:sz="4" w:space="0" w:color="auto"/>
              <w:right w:val="nil"/>
            </w:tcBorders>
            <w:shd w:val="clear" w:color="auto" w:fill="auto"/>
            <w:vAlign w:val="center"/>
            <w:hideMark/>
          </w:tcPr>
          <w:p w14:paraId="5989389C"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single" w:sz="4" w:space="0" w:color="auto"/>
              <w:right w:val="nil"/>
            </w:tcBorders>
            <w:shd w:val="clear" w:color="auto" w:fill="auto"/>
            <w:vAlign w:val="center"/>
            <w:hideMark/>
          </w:tcPr>
          <w:p w14:paraId="004DA625" w14:textId="77777777" w:rsidR="00862A01" w:rsidRPr="00872D7E" w:rsidRDefault="00862A01" w:rsidP="00862A01">
            <w:pPr>
              <w:jc w:val="right"/>
              <w:rPr>
                <w:color w:val="000000"/>
                <w:sz w:val="14"/>
                <w:szCs w:val="14"/>
              </w:rPr>
            </w:pPr>
            <w:r w:rsidRPr="00872D7E">
              <w:rPr>
                <w:color w:val="000000"/>
                <w:sz w:val="14"/>
                <w:szCs w:val="14"/>
              </w:rPr>
              <w:t>-</w:t>
            </w:r>
          </w:p>
        </w:tc>
        <w:tc>
          <w:tcPr>
            <w:tcW w:w="708" w:type="dxa"/>
            <w:tcBorders>
              <w:top w:val="nil"/>
              <w:left w:val="nil"/>
              <w:bottom w:val="single" w:sz="4" w:space="0" w:color="auto"/>
              <w:right w:val="nil"/>
            </w:tcBorders>
            <w:shd w:val="clear" w:color="auto" w:fill="auto"/>
            <w:vAlign w:val="center"/>
            <w:hideMark/>
          </w:tcPr>
          <w:p w14:paraId="3DEB9B61" w14:textId="77777777" w:rsidR="00862A01" w:rsidRPr="00872D7E" w:rsidRDefault="00862A01" w:rsidP="00862A01">
            <w:pPr>
              <w:jc w:val="right"/>
              <w:rPr>
                <w:color w:val="000000"/>
                <w:sz w:val="14"/>
                <w:szCs w:val="14"/>
              </w:rPr>
            </w:pPr>
            <w:r w:rsidRPr="00872D7E">
              <w:rPr>
                <w:color w:val="000000"/>
                <w:sz w:val="14"/>
                <w:szCs w:val="14"/>
              </w:rPr>
              <w:t>-</w:t>
            </w:r>
          </w:p>
        </w:tc>
        <w:tc>
          <w:tcPr>
            <w:tcW w:w="724" w:type="dxa"/>
            <w:tcBorders>
              <w:top w:val="nil"/>
              <w:left w:val="nil"/>
              <w:bottom w:val="single" w:sz="4" w:space="0" w:color="auto"/>
              <w:right w:val="nil"/>
            </w:tcBorders>
            <w:shd w:val="clear" w:color="auto" w:fill="auto"/>
            <w:vAlign w:val="center"/>
            <w:hideMark/>
          </w:tcPr>
          <w:p w14:paraId="12B4AC16" w14:textId="77777777" w:rsidR="00862A01" w:rsidRPr="00872D7E" w:rsidRDefault="00862A01" w:rsidP="00862A01">
            <w:pPr>
              <w:jc w:val="right"/>
              <w:rPr>
                <w:color w:val="000000"/>
                <w:sz w:val="14"/>
                <w:szCs w:val="14"/>
              </w:rPr>
            </w:pPr>
            <w:r w:rsidRPr="00872D7E">
              <w:rPr>
                <w:color w:val="000000"/>
                <w:sz w:val="14"/>
                <w:szCs w:val="14"/>
              </w:rPr>
              <w:t>-</w:t>
            </w:r>
          </w:p>
        </w:tc>
        <w:tc>
          <w:tcPr>
            <w:tcW w:w="575" w:type="dxa"/>
            <w:tcBorders>
              <w:top w:val="nil"/>
              <w:left w:val="nil"/>
              <w:bottom w:val="single" w:sz="4" w:space="0" w:color="auto"/>
              <w:right w:val="nil"/>
            </w:tcBorders>
            <w:shd w:val="clear" w:color="auto" w:fill="auto"/>
            <w:vAlign w:val="center"/>
            <w:hideMark/>
          </w:tcPr>
          <w:p w14:paraId="383A93AC"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single" w:sz="4" w:space="0" w:color="auto"/>
              <w:right w:val="nil"/>
            </w:tcBorders>
            <w:shd w:val="clear" w:color="auto" w:fill="auto"/>
            <w:vAlign w:val="center"/>
            <w:hideMark/>
          </w:tcPr>
          <w:p w14:paraId="3A3FF27E" w14:textId="77777777" w:rsidR="00862A01" w:rsidRPr="00872D7E" w:rsidRDefault="00862A01" w:rsidP="00862A01">
            <w:pPr>
              <w:jc w:val="right"/>
              <w:rPr>
                <w:color w:val="000000"/>
                <w:sz w:val="14"/>
                <w:szCs w:val="14"/>
              </w:rPr>
            </w:pPr>
            <w:r w:rsidRPr="00872D7E">
              <w:rPr>
                <w:color w:val="000000"/>
                <w:sz w:val="14"/>
                <w:szCs w:val="14"/>
              </w:rPr>
              <w:t>-</w:t>
            </w:r>
          </w:p>
        </w:tc>
        <w:tc>
          <w:tcPr>
            <w:tcW w:w="640" w:type="dxa"/>
            <w:tcBorders>
              <w:top w:val="nil"/>
              <w:left w:val="nil"/>
              <w:bottom w:val="single" w:sz="4" w:space="0" w:color="auto"/>
              <w:right w:val="nil"/>
            </w:tcBorders>
            <w:shd w:val="clear" w:color="auto" w:fill="auto"/>
            <w:vAlign w:val="center"/>
            <w:hideMark/>
          </w:tcPr>
          <w:p w14:paraId="4246B0C7" w14:textId="77777777" w:rsidR="00862A01" w:rsidRPr="00872D7E" w:rsidRDefault="00862A01" w:rsidP="00862A01">
            <w:pPr>
              <w:jc w:val="right"/>
              <w:rPr>
                <w:color w:val="000000"/>
                <w:sz w:val="14"/>
                <w:szCs w:val="14"/>
              </w:rPr>
            </w:pPr>
            <w:r w:rsidRPr="00872D7E">
              <w:rPr>
                <w:color w:val="000000"/>
                <w:sz w:val="14"/>
                <w:szCs w:val="14"/>
              </w:rPr>
              <w:t>-</w:t>
            </w:r>
          </w:p>
        </w:tc>
        <w:tc>
          <w:tcPr>
            <w:tcW w:w="636" w:type="dxa"/>
            <w:tcBorders>
              <w:top w:val="nil"/>
              <w:left w:val="nil"/>
              <w:bottom w:val="single" w:sz="4" w:space="0" w:color="auto"/>
              <w:right w:val="nil"/>
            </w:tcBorders>
            <w:shd w:val="clear" w:color="auto" w:fill="auto"/>
            <w:vAlign w:val="center"/>
            <w:hideMark/>
          </w:tcPr>
          <w:p w14:paraId="2CF89670" w14:textId="77777777" w:rsidR="00862A01" w:rsidRPr="00872D7E" w:rsidRDefault="00862A01" w:rsidP="00862A01">
            <w:pPr>
              <w:jc w:val="right"/>
              <w:rPr>
                <w:color w:val="000000"/>
                <w:sz w:val="14"/>
                <w:szCs w:val="14"/>
              </w:rPr>
            </w:pPr>
            <w:r w:rsidRPr="00872D7E">
              <w:rPr>
                <w:color w:val="000000"/>
                <w:sz w:val="14"/>
                <w:szCs w:val="14"/>
              </w:rPr>
              <w:t>-</w:t>
            </w:r>
          </w:p>
        </w:tc>
        <w:tc>
          <w:tcPr>
            <w:tcW w:w="731" w:type="dxa"/>
            <w:tcBorders>
              <w:top w:val="nil"/>
              <w:left w:val="nil"/>
              <w:bottom w:val="single" w:sz="4" w:space="0" w:color="auto"/>
              <w:right w:val="nil"/>
            </w:tcBorders>
            <w:shd w:val="clear" w:color="auto" w:fill="auto"/>
            <w:vAlign w:val="center"/>
            <w:hideMark/>
          </w:tcPr>
          <w:p w14:paraId="57B01FDA" w14:textId="77777777" w:rsidR="00862A01" w:rsidRPr="00872D7E" w:rsidRDefault="00862A01" w:rsidP="00862A01">
            <w:pPr>
              <w:jc w:val="right"/>
              <w:rPr>
                <w:color w:val="000000"/>
                <w:sz w:val="14"/>
                <w:szCs w:val="14"/>
              </w:rPr>
            </w:pPr>
            <w:r w:rsidRPr="00872D7E">
              <w:rPr>
                <w:color w:val="000000"/>
                <w:sz w:val="14"/>
                <w:szCs w:val="14"/>
              </w:rPr>
              <w:t>-</w:t>
            </w:r>
          </w:p>
        </w:tc>
        <w:tc>
          <w:tcPr>
            <w:tcW w:w="715" w:type="dxa"/>
            <w:tcBorders>
              <w:top w:val="nil"/>
              <w:left w:val="nil"/>
              <w:bottom w:val="single" w:sz="4" w:space="0" w:color="auto"/>
              <w:right w:val="nil"/>
            </w:tcBorders>
            <w:shd w:val="clear" w:color="auto" w:fill="auto"/>
            <w:vAlign w:val="center"/>
            <w:hideMark/>
          </w:tcPr>
          <w:p w14:paraId="1AC2CDE2" w14:textId="77777777" w:rsidR="00862A01" w:rsidRPr="00872D7E" w:rsidRDefault="00862A01" w:rsidP="00862A01">
            <w:pPr>
              <w:jc w:val="right"/>
              <w:rPr>
                <w:color w:val="000000"/>
                <w:sz w:val="14"/>
                <w:szCs w:val="14"/>
              </w:rPr>
            </w:pPr>
            <w:r w:rsidRPr="00872D7E">
              <w:rPr>
                <w:color w:val="000000"/>
                <w:sz w:val="14"/>
                <w:szCs w:val="14"/>
              </w:rPr>
              <w:t>-</w:t>
            </w:r>
          </w:p>
        </w:tc>
        <w:tc>
          <w:tcPr>
            <w:tcW w:w="835" w:type="dxa"/>
            <w:tcBorders>
              <w:top w:val="nil"/>
              <w:left w:val="nil"/>
              <w:bottom w:val="single" w:sz="4" w:space="0" w:color="auto"/>
              <w:right w:val="nil"/>
            </w:tcBorders>
            <w:shd w:val="clear" w:color="auto" w:fill="auto"/>
            <w:vAlign w:val="center"/>
            <w:hideMark/>
          </w:tcPr>
          <w:p w14:paraId="3E6108DB" w14:textId="77777777" w:rsidR="00862A01" w:rsidRPr="00872D7E" w:rsidRDefault="00862A01" w:rsidP="00862A01">
            <w:pPr>
              <w:jc w:val="right"/>
              <w:rPr>
                <w:color w:val="000000"/>
                <w:sz w:val="14"/>
                <w:szCs w:val="14"/>
              </w:rPr>
            </w:pPr>
            <w:r w:rsidRPr="00872D7E">
              <w:rPr>
                <w:color w:val="000000"/>
                <w:sz w:val="14"/>
                <w:szCs w:val="14"/>
              </w:rPr>
              <w:t>-</w:t>
            </w:r>
          </w:p>
        </w:tc>
        <w:tc>
          <w:tcPr>
            <w:tcW w:w="709" w:type="dxa"/>
            <w:tcBorders>
              <w:top w:val="nil"/>
              <w:left w:val="nil"/>
              <w:bottom w:val="single" w:sz="4" w:space="0" w:color="auto"/>
              <w:right w:val="nil"/>
            </w:tcBorders>
            <w:shd w:val="clear" w:color="auto" w:fill="auto"/>
            <w:vAlign w:val="center"/>
            <w:hideMark/>
          </w:tcPr>
          <w:p w14:paraId="2B9D846A" w14:textId="77777777" w:rsidR="00862A01" w:rsidRPr="00872D7E" w:rsidRDefault="00862A01" w:rsidP="00862A01">
            <w:pPr>
              <w:jc w:val="right"/>
              <w:rPr>
                <w:color w:val="000000"/>
                <w:sz w:val="14"/>
                <w:szCs w:val="14"/>
              </w:rPr>
            </w:pPr>
            <w:r w:rsidRPr="00872D7E">
              <w:rPr>
                <w:color w:val="000000"/>
                <w:sz w:val="14"/>
                <w:szCs w:val="14"/>
              </w:rPr>
              <w:t>8.092</w:t>
            </w:r>
          </w:p>
        </w:tc>
        <w:tc>
          <w:tcPr>
            <w:tcW w:w="850" w:type="dxa"/>
            <w:tcBorders>
              <w:top w:val="nil"/>
              <w:left w:val="nil"/>
              <w:bottom w:val="single" w:sz="4" w:space="0" w:color="auto"/>
              <w:right w:val="nil"/>
            </w:tcBorders>
            <w:shd w:val="clear" w:color="auto" w:fill="auto"/>
            <w:vAlign w:val="center"/>
            <w:hideMark/>
          </w:tcPr>
          <w:p w14:paraId="54ED9B97" w14:textId="77777777" w:rsidR="00862A01" w:rsidRPr="00872D7E" w:rsidRDefault="00862A01" w:rsidP="00862A01">
            <w:pPr>
              <w:jc w:val="right"/>
              <w:rPr>
                <w:color w:val="000000"/>
                <w:sz w:val="14"/>
                <w:szCs w:val="14"/>
              </w:rPr>
            </w:pPr>
            <w:r w:rsidRPr="00872D7E">
              <w:rPr>
                <w:color w:val="000000"/>
                <w:sz w:val="14"/>
                <w:szCs w:val="14"/>
              </w:rPr>
              <w:t>(8.092)</w:t>
            </w:r>
          </w:p>
        </w:tc>
        <w:tc>
          <w:tcPr>
            <w:tcW w:w="985" w:type="dxa"/>
            <w:tcBorders>
              <w:top w:val="nil"/>
              <w:left w:val="nil"/>
              <w:bottom w:val="single" w:sz="4" w:space="0" w:color="auto"/>
            </w:tcBorders>
            <w:shd w:val="clear" w:color="auto" w:fill="auto"/>
            <w:vAlign w:val="center"/>
            <w:hideMark/>
          </w:tcPr>
          <w:p w14:paraId="3A76DBD4" w14:textId="77777777" w:rsidR="00862A01" w:rsidRPr="00872D7E" w:rsidRDefault="00862A01" w:rsidP="00862A01">
            <w:pPr>
              <w:jc w:val="right"/>
              <w:rPr>
                <w:color w:val="000000"/>
                <w:sz w:val="14"/>
                <w:szCs w:val="14"/>
              </w:rPr>
            </w:pPr>
            <w:r w:rsidRPr="00872D7E">
              <w:rPr>
                <w:color w:val="000000"/>
                <w:sz w:val="14"/>
                <w:szCs w:val="14"/>
              </w:rPr>
              <w:t>-</w:t>
            </w:r>
          </w:p>
        </w:tc>
      </w:tr>
      <w:tr w:rsidR="00862A01" w:rsidRPr="00872D7E" w14:paraId="13256DCB" w14:textId="77777777" w:rsidTr="00236C13">
        <w:trPr>
          <w:divId w:val="324477069"/>
          <w:trHeight w:val="113"/>
        </w:trPr>
        <w:tc>
          <w:tcPr>
            <w:tcW w:w="562" w:type="dxa"/>
            <w:tcBorders>
              <w:top w:val="single" w:sz="4" w:space="0" w:color="auto"/>
              <w:right w:val="nil"/>
            </w:tcBorders>
            <w:shd w:val="clear" w:color="auto" w:fill="auto"/>
            <w:noWrap/>
            <w:vAlign w:val="center"/>
            <w:hideMark/>
          </w:tcPr>
          <w:p w14:paraId="245F6D2D" w14:textId="77777777" w:rsidR="00862A01" w:rsidRPr="00872D7E" w:rsidRDefault="00862A01" w:rsidP="00862A01">
            <w:pPr>
              <w:rPr>
                <w:color w:val="000000"/>
                <w:sz w:val="14"/>
                <w:szCs w:val="14"/>
              </w:rPr>
            </w:pPr>
            <w:r w:rsidRPr="00872D7E">
              <w:rPr>
                <w:color w:val="000000"/>
                <w:sz w:val="14"/>
                <w:szCs w:val="14"/>
              </w:rPr>
              <w:t> </w:t>
            </w:r>
          </w:p>
        </w:tc>
        <w:tc>
          <w:tcPr>
            <w:tcW w:w="3381" w:type="dxa"/>
            <w:tcBorders>
              <w:top w:val="single" w:sz="4" w:space="0" w:color="auto"/>
              <w:left w:val="nil"/>
              <w:right w:val="nil"/>
            </w:tcBorders>
            <w:shd w:val="clear" w:color="auto" w:fill="auto"/>
            <w:noWrap/>
            <w:vAlign w:val="center"/>
            <w:hideMark/>
          </w:tcPr>
          <w:p w14:paraId="7BEC0D38" w14:textId="77777777" w:rsidR="00862A01" w:rsidRPr="00872D7E" w:rsidRDefault="00862A01" w:rsidP="00862A01">
            <w:pPr>
              <w:rPr>
                <w:color w:val="000000"/>
                <w:sz w:val="14"/>
                <w:szCs w:val="14"/>
              </w:rPr>
            </w:pPr>
          </w:p>
        </w:tc>
        <w:tc>
          <w:tcPr>
            <w:tcW w:w="707" w:type="dxa"/>
            <w:tcBorders>
              <w:top w:val="single" w:sz="4" w:space="0" w:color="auto"/>
              <w:left w:val="nil"/>
              <w:right w:val="nil"/>
            </w:tcBorders>
            <w:shd w:val="clear" w:color="auto" w:fill="auto"/>
            <w:noWrap/>
            <w:vAlign w:val="center"/>
            <w:hideMark/>
          </w:tcPr>
          <w:p w14:paraId="29C40E30" w14:textId="77777777" w:rsidR="00862A01" w:rsidRPr="00872D7E" w:rsidRDefault="00862A01" w:rsidP="00862A01">
            <w:pPr>
              <w:jc w:val="both"/>
              <w:rPr>
                <w:sz w:val="14"/>
                <w:szCs w:val="14"/>
              </w:rPr>
            </w:pPr>
          </w:p>
        </w:tc>
        <w:tc>
          <w:tcPr>
            <w:tcW w:w="851" w:type="dxa"/>
            <w:tcBorders>
              <w:top w:val="single" w:sz="4" w:space="0" w:color="auto"/>
              <w:left w:val="nil"/>
              <w:right w:val="nil"/>
            </w:tcBorders>
            <w:shd w:val="clear" w:color="auto" w:fill="auto"/>
            <w:noWrap/>
            <w:vAlign w:val="center"/>
            <w:hideMark/>
          </w:tcPr>
          <w:p w14:paraId="61611031" w14:textId="77777777" w:rsidR="00862A01" w:rsidRPr="00872D7E" w:rsidRDefault="00862A01" w:rsidP="00862A01">
            <w:pPr>
              <w:jc w:val="right"/>
              <w:rPr>
                <w:sz w:val="14"/>
                <w:szCs w:val="14"/>
              </w:rPr>
            </w:pPr>
          </w:p>
        </w:tc>
        <w:tc>
          <w:tcPr>
            <w:tcW w:w="709" w:type="dxa"/>
            <w:tcBorders>
              <w:top w:val="single" w:sz="4" w:space="0" w:color="auto"/>
              <w:left w:val="nil"/>
              <w:right w:val="nil"/>
            </w:tcBorders>
            <w:shd w:val="clear" w:color="auto" w:fill="auto"/>
            <w:noWrap/>
            <w:vAlign w:val="center"/>
            <w:hideMark/>
          </w:tcPr>
          <w:p w14:paraId="63B70FF3" w14:textId="77777777" w:rsidR="00862A01" w:rsidRPr="00872D7E" w:rsidRDefault="00862A01" w:rsidP="00862A01">
            <w:pPr>
              <w:jc w:val="right"/>
              <w:rPr>
                <w:sz w:val="14"/>
                <w:szCs w:val="14"/>
              </w:rPr>
            </w:pPr>
          </w:p>
        </w:tc>
        <w:tc>
          <w:tcPr>
            <w:tcW w:w="708" w:type="dxa"/>
            <w:tcBorders>
              <w:top w:val="single" w:sz="4" w:space="0" w:color="auto"/>
              <w:left w:val="nil"/>
              <w:right w:val="nil"/>
            </w:tcBorders>
            <w:shd w:val="clear" w:color="auto" w:fill="auto"/>
            <w:noWrap/>
            <w:vAlign w:val="center"/>
            <w:hideMark/>
          </w:tcPr>
          <w:p w14:paraId="00EBC98E" w14:textId="77777777" w:rsidR="00862A01" w:rsidRPr="00872D7E" w:rsidRDefault="00862A01" w:rsidP="00862A01">
            <w:pPr>
              <w:jc w:val="right"/>
              <w:rPr>
                <w:sz w:val="14"/>
                <w:szCs w:val="14"/>
              </w:rPr>
            </w:pPr>
          </w:p>
        </w:tc>
        <w:tc>
          <w:tcPr>
            <w:tcW w:w="724" w:type="dxa"/>
            <w:tcBorders>
              <w:top w:val="single" w:sz="4" w:space="0" w:color="auto"/>
              <w:left w:val="nil"/>
              <w:right w:val="nil"/>
            </w:tcBorders>
            <w:shd w:val="clear" w:color="auto" w:fill="auto"/>
            <w:noWrap/>
            <w:vAlign w:val="center"/>
            <w:hideMark/>
          </w:tcPr>
          <w:p w14:paraId="709FEBC1" w14:textId="77777777" w:rsidR="00862A01" w:rsidRPr="00872D7E" w:rsidRDefault="00862A01" w:rsidP="00862A01">
            <w:pPr>
              <w:jc w:val="right"/>
              <w:rPr>
                <w:sz w:val="14"/>
                <w:szCs w:val="14"/>
              </w:rPr>
            </w:pPr>
          </w:p>
        </w:tc>
        <w:tc>
          <w:tcPr>
            <w:tcW w:w="575" w:type="dxa"/>
            <w:tcBorders>
              <w:top w:val="single" w:sz="4" w:space="0" w:color="auto"/>
              <w:left w:val="nil"/>
              <w:right w:val="nil"/>
            </w:tcBorders>
            <w:shd w:val="clear" w:color="auto" w:fill="auto"/>
            <w:noWrap/>
            <w:vAlign w:val="center"/>
            <w:hideMark/>
          </w:tcPr>
          <w:p w14:paraId="42243A88" w14:textId="77777777" w:rsidR="00862A01" w:rsidRPr="00872D7E" w:rsidRDefault="00862A01" w:rsidP="00862A01">
            <w:pPr>
              <w:jc w:val="right"/>
              <w:rPr>
                <w:sz w:val="14"/>
                <w:szCs w:val="14"/>
              </w:rPr>
            </w:pPr>
          </w:p>
        </w:tc>
        <w:tc>
          <w:tcPr>
            <w:tcW w:w="709" w:type="dxa"/>
            <w:tcBorders>
              <w:top w:val="single" w:sz="4" w:space="0" w:color="auto"/>
              <w:left w:val="nil"/>
              <w:right w:val="nil"/>
            </w:tcBorders>
            <w:shd w:val="clear" w:color="auto" w:fill="auto"/>
            <w:noWrap/>
            <w:vAlign w:val="center"/>
            <w:hideMark/>
          </w:tcPr>
          <w:p w14:paraId="02E65CAF" w14:textId="77777777" w:rsidR="00862A01" w:rsidRPr="00872D7E" w:rsidRDefault="00862A01" w:rsidP="00862A01">
            <w:pPr>
              <w:jc w:val="right"/>
              <w:rPr>
                <w:sz w:val="14"/>
                <w:szCs w:val="14"/>
              </w:rPr>
            </w:pPr>
          </w:p>
        </w:tc>
        <w:tc>
          <w:tcPr>
            <w:tcW w:w="640" w:type="dxa"/>
            <w:tcBorders>
              <w:top w:val="single" w:sz="4" w:space="0" w:color="auto"/>
              <w:left w:val="nil"/>
              <w:right w:val="nil"/>
            </w:tcBorders>
            <w:shd w:val="clear" w:color="auto" w:fill="auto"/>
            <w:noWrap/>
            <w:vAlign w:val="center"/>
            <w:hideMark/>
          </w:tcPr>
          <w:p w14:paraId="5A7E60EB" w14:textId="77777777" w:rsidR="00862A01" w:rsidRPr="00872D7E" w:rsidRDefault="00862A01" w:rsidP="00862A01">
            <w:pPr>
              <w:jc w:val="right"/>
              <w:rPr>
                <w:sz w:val="14"/>
                <w:szCs w:val="14"/>
              </w:rPr>
            </w:pPr>
          </w:p>
        </w:tc>
        <w:tc>
          <w:tcPr>
            <w:tcW w:w="636" w:type="dxa"/>
            <w:tcBorders>
              <w:top w:val="single" w:sz="4" w:space="0" w:color="auto"/>
              <w:left w:val="nil"/>
              <w:right w:val="nil"/>
            </w:tcBorders>
            <w:shd w:val="clear" w:color="auto" w:fill="auto"/>
            <w:noWrap/>
            <w:vAlign w:val="center"/>
            <w:hideMark/>
          </w:tcPr>
          <w:p w14:paraId="3D58EBD1" w14:textId="77777777" w:rsidR="00862A01" w:rsidRPr="00872D7E" w:rsidRDefault="00862A01" w:rsidP="00862A01">
            <w:pPr>
              <w:jc w:val="right"/>
              <w:rPr>
                <w:sz w:val="14"/>
                <w:szCs w:val="14"/>
              </w:rPr>
            </w:pPr>
          </w:p>
        </w:tc>
        <w:tc>
          <w:tcPr>
            <w:tcW w:w="731" w:type="dxa"/>
            <w:tcBorders>
              <w:top w:val="single" w:sz="4" w:space="0" w:color="auto"/>
              <w:left w:val="nil"/>
              <w:right w:val="nil"/>
            </w:tcBorders>
            <w:shd w:val="clear" w:color="auto" w:fill="auto"/>
            <w:noWrap/>
            <w:vAlign w:val="center"/>
            <w:hideMark/>
          </w:tcPr>
          <w:p w14:paraId="175B969B" w14:textId="77777777" w:rsidR="00862A01" w:rsidRPr="00872D7E" w:rsidRDefault="00862A01" w:rsidP="00862A01">
            <w:pPr>
              <w:jc w:val="right"/>
              <w:rPr>
                <w:sz w:val="14"/>
                <w:szCs w:val="14"/>
              </w:rPr>
            </w:pPr>
          </w:p>
        </w:tc>
        <w:tc>
          <w:tcPr>
            <w:tcW w:w="715" w:type="dxa"/>
            <w:tcBorders>
              <w:top w:val="single" w:sz="4" w:space="0" w:color="auto"/>
              <w:left w:val="nil"/>
              <w:right w:val="nil"/>
            </w:tcBorders>
            <w:shd w:val="clear" w:color="auto" w:fill="auto"/>
            <w:noWrap/>
            <w:vAlign w:val="center"/>
            <w:hideMark/>
          </w:tcPr>
          <w:p w14:paraId="2FAD7E71" w14:textId="77777777" w:rsidR="00862A01" w:rsidRPr="00872D7E" w:rsidRDefault="00862A01" w:rsidP="00862A01">
            <w:pPr>
              <w:jc w:val="right"/>
              <w:rPr>
                <w:sz w:val="14"/>
                <w:szCs w:val="14"/>
              </w:rPr>
            </w:pPr>
          </w:p>
        </w:tc>
        <w:tc>
          <w:tcPr>
            <w:tcW w:w="835" w:type="dxa"/>
            <w:tcBorders>
              <w:top w:val="single" w:sz="4" w:space="0" w:color="auto"/>
              <w:left w:val="nil"/>
              <w:right w:val="nil"/>
            </w:tcBorders>
            <w:shd w:val="clear" w:color="auto" w:fill="auto"/>
            <w:noWrap/>
            <w:vAlign w:val="center"/>
            <w:hideMark/>
          </w:tcPr>
          <w:p w14:paraId="2DD88F7E" w14:textId="77777777" w:rsidR="00862A01" w:rsidRPr="00872D7E" w:rsidRDefault="00862A01" w:rsidP="00862A01">
            <w:pPr>
              <w:jc w:val="right"/>
              <w:rPr>
                <w:sz w:val="14"/>
                <w:szCs w:val="14"/>
              </w:rPr>
            </w:pPr>
          </w:p>
        </w:tc>
        <w:tc>
          <w:tcPr>
            <w:tcW w:w="709" w:type="dxa"/>
            <w:tcBorders>
              <w:top w:val="single" w:sz="4" w:space="0" w:color="auto"/>
              <w:left w:val="nil"/>
              <w:right w:val="nil"/>
            </w:tcBorders>
            <w:shd w:val="clear" w:color="auto" w:fill="auto"/>
            <w:noWrap/>
            <w:vAlign w:val="center"/>
            <w:hideMark/>
          </w:tcPr>
          <w:p w14:paraId="68059177" w14:textId="77777777" w:rsidR="00862A01" w:rsidRPr="00872D7E" w:rsidRDefault="00862A01" w:rsidP="00862A01">
            <w:pPr>
              <w:jc w:val="right"/>
              <w:rPr>
                <w:sz w:val="14"/>
                <w:szCs w:val="14"/>
              </w:rPr>
            </w:pPr>
          </w:p>
        </w:tc>
        <w:tc>
          <w:tcPr>
            <w:tcW w:w="850" w:type="dxa"/>
            <w:tcBorders>
              <w:top w:val="single" w:sz="4" w:space="0" w:color="auto"/>
              <w:left w:val="nil"/>
              <w:right w:val="nil"/>
            </w:tcBorders>
            <w:shd w:val="clear" w:color="auto" w:fill="auto"/>
            <w:noWrap/>
            <w:vAlign w:val="center"/>
            <w:hideMark/>
          </w:tcPr>
          <w:p w14:paraId="38AA6104" w14:textId="77777777" w:rsidR="00862A01" w:rsidRPr="00872D7E" w:rsidRDefault="00862A01" w:rsidP="00862A01">
            <w:pPr>
              <w:jc w:val="right"/>
              <w:rPr>
                <w:sz w:val="14"/>
                <w:szCs w:val="14"/>
              </w:rPr>
            </w:pPr>
          </w:p>
        </w:tc>
        <w:tc>
          <w:tcPr>
            <w:tcW w:w="985" w:type="dxa"/>
            <w:tcBorders>
              <w:top w:val="single" w:sz="4" w:space="0" w:color="auto"/>
              <w:left w:val="nil"/>
            </w:tcBorders>
            <w:shd w:val="clear" w:color="auto" w:fill="auto"/>
            <w:noWrap/>
            <w:vAlign w:val="center"/>
            <w:hideMark/>
          </w:tcPr>
          <w:p w14:paraId="7B58A7AC" w14:textId="77777777" w:rsidR="00862A01" w:rsidRPr="00872D7E" w:rsidRDefault="00862A01" w:rsidP="00862A01">
            <w:pPr>
              <w:jc w:val="right"/>
              <w:rPr>
                <w:color w:val="000000"/>
                <w:sz w:val="14"/>
                <w:szCs w:val="14"/>
              </w:rPr>
            </w:pPr>
            <w:r w:rsidRPr="00872D7E">
              <w:rPr>
                <w:color w:val="000000"/>
                <w:sz w:val="14"/>
                <w:szCs w:val="14"/>
              </w:rPr>
              <w:t> </w:t>
            </w:r>
          </w:p>
        </w:tc>
      </w:tr>
      <w:tr w:rsidR="00862A01" w:rsidRPr="00872D7E" w14:paraId="176BEC89" w14:textId="77777777" w:rsidTr="00236C13">
        <w:trPr>
          <w:divId w:val="324477069"/>
          <w:trHeight w:val="60"/>
        </w:trPr>
        <w:tc>
          <w:tcPr>
            <w:tcW w:w="562" w:type="dxa"/>
            <w:tcBorders>
              <w:bottom w:val="single" w:sz="4" w:space="0" w:color="auto"/>
              <w:right w:val="nil"/>
            </w:tcBorders>
            <w:shd w:val="clear" w:color="auto" w:fill="auto"/>
            <w:noWrap/>
            <w:vAlign w:val="center"/>
            <w:hideMark/>
          </w:tcPr>
          <w:p w14:paraId="1DF1C569" w14:textId="77777777" w:rsidR="00862A01" w:rsidRPr="00872D7E" w:rsidRDefault="00862A01" w:rsidP="00862A01">
            <w:pPr>
              <w:rPr>
                <w:b/>
                <w:bCs/>
                <w:color w:val="000000"/>
                <w:sz w:val="14"/>
                <w:szCs w:val="14"/>
              </w:rPr>
            </w:pPr>
            <w:r w:rsidRPr="00872D7E">
              <w:rPr>
                <w:b/>
                <w:bCs/>
                <w:color w:val="000000"/>
                <w:sz w:val="14"/>
                <w:szCs w:val="14"/>
              </w:rPr>
              <w:t> </w:t>
            </w:r>
          </w:p>
        </w:tc>
        <w:tc>
          <w:tcPr>
            <w:tcW w:w="3381" w:type="dxa"/>
            <w:tcBorders>
              <w:left w:val="nil"/>
              <w:bottom w:val="single" w:sz="4" w:space="0" w:color="auto"/>
              <w:right w:val="nil"/>
            </w:tcBorders>
            <w:shd w:val="clear" w:color="auto" w:fill="auto"/>
            <w:noWrap/>
            <w:vAlign w:val="center"/>
            <w:hideMark/>
          </w:tcPr>
          <w:p w14:paraId="5F2F1D9E" w14:textId="77777777" w:rsidR="00862A01" w:rsidRPr="00872D7E" w:rsidRDefault="00862A01" w:rsidP="00862A01">
            <w:pPr>
              <w:rPr>
                <w:b/>
                <w:bCs/>
                <w:color w:val="000000"/>
                <w:sz w:val="14"/>
                <w:szCs w:val="14"/>
              </w:rPr>
            </w:pPr>
            <w:r w:rsidRPr="00872D7E">
              <w:rPr>
                <w:b/>
                <w:bCs/>
                <w:color w:val="000000"/>
                <w:sz w:val="14"/>
                <w:szCs w:val="14"/>
              </w:rPr>
              <w:t xml:space="preserve">Dönem Sonu </w:t>
            </w:r>
            <w:proofErr w:type="gramStart"/>
            <w:r w:rsidRPr="00872D7E">
              <w:rPr>
                <w:b/>
                <w:bCs/>
                <w:color w:val="000000"/>
                <w:sz w:val="14"/>
                <w:szCs w:val="14"/>
              </w:rPr>
              <w:t>Bakiyesi  (</w:t>
            </w:r>
            <w:proofErr w:type="gramEnd"/>
            <w:r w:rsidRPr="00872D7E">
              <w:rPr>
                <w:b/>
                <w:bCs/>
                <w:color w:val="000000"/>
                <w:sz w:val="14"/>
                <w:szCs w:val="14"/>
              </w:rPr>
              <w:t>III+IV+…...+X+XI)</w:t>
            </w:r>
          </w:p>
        </w:tc>
        <w:tc>
          <w:tcPr>
            <w:tcW w:w="707" w:type="dxa"/>
            <w:tcBorders>
              <w:left w:val="nil"/>
              <w:bottom w:val="single" w:sz="4" w:space="0" w:color="auto"/>
              <w:right w:val="nil"/>
            </w:tcBorders>
            <w:shd w:val="clear" w:color="auto" w:fill="auto"/>
            <w:noWrap/>
            <w:vAlign w:val="center"/>
            <w:hideMark/>
          </w:tcPr>
          <w:p w14:paraId="2D901363" w14:textId="77777777" w:rsidR="00862A01" w:rsidRPr="00872D7E" w:rsidRDefault="00862A01" w:rsidP="00862A01">
            <w:pPr>
              <w:rPr>
                <w:b/>
                <w:bCs/>
                <w:color w:val="000000"/>
                <w:sz w:val="14"/>
                <w:szCs w:val="14"/>
              </w:rPr>
            </w:pPr>
            <w:r w:rsidRPr="00872D7E">
              <w:rPr>
                <w:b/>
                <w:bCs/>
                <w:color w:val="000000"/>
                <w:sz w:val="14"/>
                <w:szCs w:val="14"/>
              </w:rPr>
              <w:t> </w:t>
            </w:r>
          </w:p>
        </w:tc>
        <w:tc>
          <w:tcPr>
            <w:tcW w:w="851" w:type="dxa"/>
            <w:tcBorders>
              <w:left w:val="nil"/>
              <w:bottom w:val="single" w:sz="4" w:space="0" w:color="auto"/>
              <w:right w:val="nil"/>
            </w:tcBorders>
            <w:shd w:val="clear" w:color="auto" w:fill="auto"/>
            <w:vAlign w:val="center"/>
            <w:hideMark/>
          </w:tcPr>
          <w:p w14:paraId="0B448067" w14:textId="77777777" w:rsidR="00862A01" w:rsidRPr="00872D7E" w:rsidRDefault="00862A01" w:rsidP="00862A01">
            <w:pPr>
              <w:jc w:val="right"/>
              <w:rPr>
                <w:b/>
                <w:bCs/>
                <w:color w:val="000000"/>
                <w:sz w:val="14"/>
                <w:szCs w:val="14"/>
              </w:rPr>
            </w:pPr>
            <w:r w:rsidRPr="00872D7E">
              <w:rPr>
                <w:b/>
                <w:bCs/>
                <w:color w:val="000000"/>
                <w:sz w:val="14"/>
                <w:szCs w:val="14"/>
              </w:rPr>
              <w:t>5.999.337</w:t>
            </w:r>
          </w:p>
        </w:tc>
        <w:tc>
          <w:tcPr>
            <w:tcW w:w="709" w:type="dxa"/>
            <w:tcBorders>
              <w:left w:val="nil"/>
              <w:bottom w:val="single" w:sz="4" w:space="0" w:color="auto"/>
              <w:right w:val="nil"/>
            </w:tcBorders>
            <w:shd w:val="clear" w:color="auto" w:fill="auto"/>
            <w:vAlign w:val="center"/>
            <w:hideMark/>
          </w:tcPr>
          <w:p w14:paraId="5DFEB52D"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8" w:type="dxa"/>
            <w:tcBorders>
              <w:left w:val="nil"/>
              <w:bottom w:val="single" w:sz="4" w:space="0" w:color="auto"/>
              <w:right w:val="nil"/>
            </w:tcBorders>
            <w:shd w:val="clear" w:color="auto" w:fill="auto"/>
            <w:vAlign w:val="center"/>
            <w:hideMark/>
          </w:tcPr>
          <w:p w14:paraId="0F795D50"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24" w:type="dxa"/>
            <w:tcBorders>
              <w:left w:val="nil"/>
              <w:bottom w:val="single" w:sz="4" w:space="0" w:color="auto"/>
              <w:right w:val="nil"/>
            </w:tcBorders>
            <w:shd w:val="clear" w:color="auto" w:fill="auto"/>
            <w:vAlign w:val="center"/>
            <w:hideMark/>
          </w:tcPr>
          <w:p w14:paraId="3DFD70F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575" w:type="dxa"/>
            <w:tcBorders>
              <w:left w:val="nil"/>
              <w:bottom w:val="single" w:sz="4" w:space="0" w:color="auto"/>
              <w:right w:val="nil"/>
            </w:tcBorders>
            <w:shd w:val="clear" w:color="auto" w:fill="auto"/>
            <w:vAlign w:val="center"/>
            <w:hideMark/>
          </w:tcPr>
          <w:p w14:paraId="3EE4C38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left w:val="nil"/>
              <w:bottom w:val="single" w:sz="4" w:space="0" w:color="auto"/>
              <w:right w:val="nil"/>
            </w:tcBorders>
            <w:shd w:val="clear" w:color="auto" w:fill="auto"/>
            <w:vAlign w:val="center"/>
            <w:hideMark/>
          </w:tcPr>
          <w:p w14:paraId="692EB4B0" w14:textId="77777777" w:rsidR="00862A01" w:rsidRPr="00872D7E" w:rsidRDefault="00862A01" w:rsidP="00862A01">
            <w:pPr>
              <w:jc w:val="right"/>
              <w:rPr>
                <w:b/>
                <w:bCs/>
                <w:color w:val="000000"/>
                <w:sz w:val="14"/>
                <w:szCs w:val="14"/>
              </w:rPr>
            </w:pPr>
            <w:r w:rsidRPr="00872D7E">
              <w:rPr>
                <w:b/>
                <w:bCs/>
                <w:color w:val="000000"/>
                <w:sz w:val="14"/>
                <w:szCs w:val="14"/>
              </w:rPr>
              <w:t>(6.144)</w:t>
            </w:r>
          </w:p>
        </w:tc>
        <w:tc>
          <w:tcPr>
            <w:tcW w:w="640" w:type="dxa"/>
            <w:tcBorders>
              <w:left w:val="nil"/>
              <w:bottom w:val="single" w:sz="4" w:space="0" w:color="auto"/>
              <w:right w:val="nil"/>
            </w:tcBorders>
            <w:shd w:val="clear" w:color="auto" w:fill="auto"/>
            <w:vAlign w:val="center"/>
            <w:hideMark/>
          </w:tcPr>
          <w:p w14:paraId="3FD6B42E"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636" w:type="dxa"/>
            <w:tcBorders>
              <w:left w:val="nil"/>
              <w:bottom w:val="single" w:sz="4" w:space="0" w:color="auto"/>
              <w:right w:val="nil"/>
            </w:tcBorders>
            <w:shd w:val="clear" w:color="auto" w:fill="auto"/>
            <w:vAlign w:val="center"/>
            <w:hideMark/>
          </w:tcPr>
          <w:p w14:paraId="2ACB264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31" w:type="dxa"/>
            <w:tcBorders>
              <w:left w:val="nil"/>
              <w:bottom w:val="single" w:sz="4" w:space="0" w:color="auto"/>
              <w:right w:val="nil"/>
            </w:tcBorders>
            <w:shd w:val="clear" w:color="auto" w:fill="auto"/>
            <w:vAlign w:val="center"/>
            <w:hideMark/>
          </w:tcPr>
          <w:p w14:paraId="4E89066D" w14:textId="77777777" w:rsidR="00862A01" w:rsidRPr="00872D7E" w:rsidRDefault="00862A01" w:rsidP="00862A01">
            <w:pPr>
              <w:jc w:val="right"/>
              <w:rPr>
                <w:b/>
                <w:bCs/>
                <w:color w:val="000000"/>
                <w:sz w:val="14"/>
                <w:szCs w:val="14"/>
              </w:rPr>
            </w:pPr>
            <w:r w:rsidRPr="00872D7E">
              <w:rPr>
                <w:b/>
                <w:bCs/>
                <w:color w:val="000000"/>
                <w:sz w:val="14"/>
                <w:szCs w:val="14"/>
              </w:rPr>
              <w:t>8.303</w:t>
            </w:r>
          </w:p>
        </w:tc>
        <w:tc>
          <w:tcPr>
            <w:tcW w:w="715" w:type="dxa"/>
            <w:tcBorders>
              <w:left w:val="nil"/>
              <w:bottom w:val="single" w:sz="4" w:space="0" w:color="auto"/>
              <w:right w:val="nil"/>
            </w:tcBorders>
            <w:shd w:val="clear" w:color="auto" w:fill="auto"/>
            <w:vAlign w:val="center"/>
            <w:hideMark/>
          </w:tcPr>
          <w:p w14:paraId="79C8751C"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835" w:type="dxa"/>
            <w:tcBorders>
              <w:left w:val="nil"/>
              <w:bottom w:val="single" w:sz="4" w:space="0" w:color="auto"/>
              <w:right w:val="nil"/>
            </w:tcBorders>
            <w:shd w:val="clear" w:color="auto" w:fill="auto"/>
            <w:vAlign w:val="center"/>
            <w:hideMark/>
          </w:tcPr>
          <w:p w14:paraId="1A41BA7F" w14:textId="77777777" w:rsidR="00862A01" w:rsidRPr="00872D7E" w:rsidRDefault="00862A01" w:rsidP="00862A01">
            <w:pPr>
              <w:jc w:val="right"/>
              <w:rPr>
                <w:b/>
                <w:bCs/>
                <w:color w:val="000000"/>
                <w:sz w:val="14"/>
                <w:szCs w:val="14"/>
              </w:rPr>
            </w:pPr>
            <w:r w:rsidRPr="00872D7E">
              <w:rPr>
                <w:b/>
                <w:bCs/>
                <w:color w:val="000000"/>
                <w:sz w:val="14"/>
                <w:szCs w:val="14"/>
              </w:rPr>
              <w:t>-</w:t>
            </w:r>
          </w:p>
        </w:tc>
        <w:tc>
          <w:tcPr>
            <w:tcW w:w="709" w:type="dxa"/>
            <w:tcBorders>
              <w:left w:val="nil"/>
              <w:bottom w:val="single" w:sz="4" w:space="0" w:color="auto"/>
              <w:right w:val="nil"/>
            </w:tcBorders>
            <w:shd w:val="clear" w:color="auto" w:fill="auto"/>
            <w:vAlign w:val="center"/>
            <w:hideMark/>
          </w:tcPr>
          <w:p w14:paraId="669C4F69" w14:textId="77777777" w:rsidR="00862A01" w:rsidRPr="00872D7E" w:rsidRDefault="00862A01" w:rsidP="00862A01">
            <w:pPr>
              <w:jc w:val="right"/>
              <w:rPr>
                <w:b/>
                <w:bCs/>
                <w:color w:val="000000"/>
                <w:sz w:val="14"/>
                <w:szCs w:val="14"/>
              </w:rPr>
            </w:pPr>
            <w:r w:rsidRPr="00872D7E">
              <w:rPr>
                <w:b/>
                <w:bCs/>
                <w:color w:val="000000"/>
                <w:sz w:val="14"/>
                <w:szCs w:val="14"/>
              </w:rPr>
              <w:t>(13.048)</w:t>
            </w:r>
          </w:p>
        </w:tc>
        <w:tc>
          <w:tcPr>
            <w:tcW w:w="850" w:type="dxa"/>
            <w:tcBorders>
              <w:left w:val="nil"/>
              <w:bottom w:val="single" w:sz="4" w:space="0" w:color="auto"/>
              <w:right w:val="nil"/>
            </w:tcBorders>
            <w:shd w:val="clear" w:color="auto" w:fill="auto"/>
            <w:vAlign w:val="center"/>
            <w:hideMark/>
          </w:tcPr>
          <w:p w14:paraId="159F4E9B" w14:textId="77777777" w:rsidR="00862A01" w:rsidRPr="00872D7E" w:rsidRDefault="00862A01" w:rsidP="00862A01">
            <w:pPr>
              <w:jc w:val="right"/>
              <w:rPr>
                <w:b/>
                <w:bCs/>
                <w:color w:val="000000"/>
                <w:sz w:val="14"/>
                <w:szCs w:val="14"/>
              </w:rPr>
            </w:pPr>
            <w:r w:rsidRPr="00872D7E">
              <w:rPr>
                <w:b/>
                <w:bCs/>
                <w:color w:val="000000"/>
                <w:sz w:val="14"/>
                <w:szCs w:val="14"/>
              </w:rPr>
              <w:t>1.353.642</w:t>
            </w:r>
          </w:p>
        </w:tc>
        <w:tc>
          <w:tcPr>
            <w:tcW w:w="985" w:type="dxa"/>
            <w:tcBorders>
              <w:left w:val="nil"/>
              <w:bottom w:val="single" w:sz="4" w:space="0" w:color="auto"/>
            </w:tcBorders>
            <w:shd w:val="clear" w:color="auto" w:fill="auto"/>
            <w:vAlign w:val="center"/>
            <w:hideMark/>
          </w:tcPr>
          <w:p w14:paraId="1B975386" w14:textId="77777777" w:rsidR="00862A01" w:rsidRPr="00872D7E" w:rsidRDefault="00862A01" w:rsidP="00862A01">
            <w:pPr>
              <w:jc w:val="right"/>
              <w:rPr>
                <w:b/>
                <w:bCs/>
                <w:color w:val="000000"/>
                <w:sz w:val="14"/>
                <w:szCs w:val="14"/>
              </w:rPr>
            </w:pPr>
            <w:r w:rsidRPr="00872D7E">
              <w:rPr>
                <w:b/>
                <w:bCs/>
                <w:color w:val="000000"/>
                <w:sz w:val="14"/>
                <w:szCs w:val="14"/>
              </w:rPr>
              <w:t>7.342.090</w:t>
            </w:r>
          </w:p>
        </w:tc>
      </w:tr>
    </w:tbl>
    <w:p w14:paraId="7F53C718" w14:textId="3DA9FAD4" w:rsidR="003169EA" w:rsidRPr="00872D7E" w:rsidRDefault="003169EA" w:rsidP="009F6E11">
      <w:pPr>
        <w:widowControl w:val="0"/>
        <w:autoSpaceDE w:val="0"/>
        <w:autoSpaceDN w:val="0"/>
        <w:ind w:right="-455"/>
        <w:rPr>
          <w:szCs w:val="20"/>
        </w:rPr>
      </w:pPr>
    </w:p>
    <w:p w14:paraId="00EE2348" w14:textId="3FFCDC3D" w:rsidR="0097685D" w:rsidRPr="00872D7E" w:rsidRDefault="0097685D" w:rsidP="00236C13">
      <w:pPr>
        <w:widowControl w:val="0"/>
        <w:ind w:left="567" w:hanging="567"/>
        <w:rPr>
          <w:sz w:val="14"/>
          <w:szCs w:val="14"/>
        </w:rPr>
      </w:pPr>
      <w:r w:rsidRPr="00872D7E">
        <w:rPr>
          <w:sz w:val="14"/>
          <w:szCs w:val="14"/>
          <w:vertAlign w:val="superscript"/>
        </w:rPr>
        <w:t>(*)</w:t>
      </w:r>
      <w:r w:rsidRPr="00872D7E">
        <w:rPr>
          <w:sz w:val="14"/>
          <w:szCs w:val="14"/>
        </w:rPr>
        <w:t xml:space="preserve"> </w:t>
      </w:r>
      <w:r w:rsidR="00236C13" w:rsidRPr="00872D7E">
        <w:rPr>
          <w:sz w:val="14"/>
          <w:szCs w:val="14"/>
        </w:rPr>
        <w:tab/>
      </w:r>
      <w:r w:rsidRPr="00872D7E">
        <w:rPr>
          <w:sz w:val="14"/>
          <w:szCs w:val="14"/>
        </w:rPr>
        <w:t xml:space="preserve">3. Bölüm I. Kısımda açıklandığı üzere Banka’nın 1 Ocak </w:t>
      </w:r>
      <w:r w:rsidR="00EC1415" w:rsidRPr="00872D7E">
        <w:rPr>
          <w:sz w:val="14"/>
          <w:szCs w:val="14"/>
        </w:rPr>
        <w:t>–</w:t>
      </w:r>
      <w:r w:rsidRPr="00872D7E">
        <w:rPr>
          <w:sz w:val="14"/>
          <w:szCs w:val="14"/>
        </w:rPr>
        <w:t xml:space="preserve"> </w:t>
      </w:r>
      <w:r w:rsidR="00B07002" w:rsidRPr="00872D7E">
        <w:rPr>
          <w:sz w:val="14"/>
          <w:szCs w:val="14"/>
        </w:rPr>
        <w:t>31 Aralık</w:t>
      </w:r>
      <w:r w:rsidR="007301E4" w:rsidRPr="00872D7E">
        <w:rPr>
          <w:sz w:val="14"/>
          <w:szCs w:val="14"/>
        </w:rPr>
        <w:t xml:space="preserve"> </w:t>
      </w:r>
      <w:r w:rsidRPr="00872D7E">
        <w:rPr>
          <w:sz w:val="14"/>
          <w:szCs w:val="14"/>
        </w:rPr>
        <w:t>2024 hesap dönemine ait konsolide olmayan özkaynaklar değişim tablosu önceki dönem ile karşılaştırmalı olarak sunulmamıştır.</w:t>
      </w:r>
    </w:p>
    <w:p w14:paraId="0A7A612B" w14:textId="77777777" w:rsidR="00303606" w:rsidRPr="00872D7E" w:rsidRDefault="00303606" w:rsidP="009F6E11">
      <w:pPr>
        <w:widowControl w:val="0"/>
        <w:autoSpaceDE w:val="0"/>
        <w:autoSpaceDN w:val="0"/>
        <w:ind w:right="-455"/>
        <w:rPr>
          <w:sz w:val="14"/>
          <w:szCs w:val="14"/>
        </w:rPr>
      </w:pPr>
    </w:p>
    <w:p w14:paraId="7B44B84F" w14:textId="29382921" w:rsidR="00831EF9" w:rsidRPr="00872D7E" w:rsidRDefault="00831EF9" w:rsidP="001B6D11">
      <w:pPr>
        <w:widowControl w:val="0"/>
        <w:kinsoku w:val="0"/>
        <w:overflowPunct w:val="0"/>
        <w:autoSpaceDE w:val="0"/>
        <w:adjustRightInd w:val="0"/>
        <w:ind w:left="426" w:hanging="426"/>
        <w:jc w:val="both"/>
        <w:rPr>
          <w:sz w:val="14"/>
          <w:szCs w:val="14"/>
        </w:rPr>
      </w:pPr>
      <w:r w:rsidRPr="00872D7E">
        <w:rPr>
          <w:sz w:val="14"/>
          <w:szCs w:val="14"/>
        </w:rPr>
        <w:t>1.</w:t>
      </w:r>
      <w:r w:rsidRPr="00872D7E">
        <w:rPr>
          <w:sz w:val="14"/>
          <w:szCs w:val="14"/>
        </w:rPr>
        <w:tab/>
        <w:t>Duran varlıklar birikmiş yeniden değerleme artışları/azalışları,</w:t>
      </w:r>
    </w:p>
    <w:p w14:paraId="165FB845" w14:textId="6C9E1F0A" w:rsidR="00831EF9" w:rsidRPr="00872D7E" w:rsidRDefault="00831EF9" w:rsidP="001B6D11">
      <w:pPr>
        <w:widowControl w:val="0"/>
        <w:kinsoku w:val="0"/>
        <w:overflowPunct w:val="0"/>
        <w:autoSpaceDE w:val="0"/>
        <w:adjustRightInd w:val="0"/>
        <w:ind w:left="426" w:hanging="426"/>
        <w:jc w:val="both"/>
        <w:rPr>
          <w:sz w:val="14"/>
          <w:szCs w:val="14"/>
        </w:rPr>
      </w:pPr>
      <w:r w:rsidRPr="00872D7E">
        <w:rPr>
          <w:sz w:val="14"/>
          <w:szCs w:val="14"/>
        </w:rPr>
        <w:t>2.</w:t>
      </w:r>
      <w:r w:rsidRPr="00872D7E">
        <w:rPr>
          <w:sz w:val="14"/>
          <w:szCs w:val="14"/>
        </w:rPr>
        <w:tab/>
        <w:t>Tanımlanmış fayda planlarının birikmiş yeniden ölçüm kazançları/kayıpları,</w:t>
      </w:r>
    </w:p>
    <w:p w14:paraId="712CF56C" w14:textId="77777777" w:rsidR="00831EF9" w:rsidRPr="00872D7E" w:rsidRDefault="00831EF9" w:rsidP="001B6D11">
      <w:pPr>
        <w:widowControl w:val="0"/>
        <w:kinsoku w:val="0"/>
        <w:overflowPunct w:val="0"/>
        <w:autoSpaceDE w:val="0"/>
        <w:adjustRightInd w:val="0"/>
        <w:ind w:left="426" w:hanging="426"/>
        <w:jc w:val="both"/>
        <w:rPr>
          <w:sz w:val="14"/>
          <w:szCs w:val="14"/>
        </w:rPr>
      </w:pPr>
      <w:r w:rsidRPr="00872D7E">
        <w:rPr>
          <w:sz w:val="14"/>
          <w:szCs w:val="14"/>
        </w:rPr>
        <w:t>3.</w:t>
      </w:r>
      <w:r w:rsidRPr="00872D7E">
        <w:rPr>
          <w:sz w:val="14"/>
          <w:szCs w:val="14"/>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64D01F93" w14:textId="77777777" w:rsidR="00831EF9" w:rsidRPr="00872D7E" w:rsidRDefault="00831EF9" w:rsidP="001B6D11">
      <w:pPr>
        <w:widowControl w:val="0"/>
        <w:kinsoku w:val="0"/>
        <w:overflowPunct w:val="0"/>
        <w:autoSpaceDE w:val="0"/>
        <w:adjustRightInd w:val="0"/>
        <w:ind w:left="426" w:hanging="426"/>
        <w:jc w:val="both"/>
        <w:rPr>
          <w:sz w:val="14"/>
          <w:szCs w:val="14"/>
        </w:rPr>
      </w:pPr>
      <w:r w:rsidRPr="00872D7E">
        <w:rPr>
          <w:sz w:val="14"/>
          <w:szCs w:val="14"/>
        </w:rPr>
        <w:t>4.</w:t>
      </w:r>
      <w:r w:rsidRPr="00872D7E">
        <w:rPr>
          <w:sz w:val="14"/>
          <w:szCs w:val="14"/>
        </w:rPr>
        <w:tab/>
        <w:t>Yabancı para çevirim farkları,</w:t>
      </w:r>
    </w:p>
    <w:p w14:paraId="1F58479C" w14:textId="77777777" w:rsidR="00831EF9" w:rsidRPr="00872D7E" w:rsidRDefault="00831EF9" w:rsidP="001B6D11">
      <w:pPr>
        <w:widowControl w:val="0"/>
        <w:kinsoku w:val="0"/>
        <w:overflowPunct w:val="0"/>
        <w:autoSpaceDE w:val="0"/>
        <w:adjustRightInd w:val="0"/>
        <w:ind w:left="426" w:hanging="426"/>
        <w:jc w:val="both"/>
        <w:rPr>
          <w:sz w:val="14"/>
          <w:szCs w:val="14"/>
        </w:rPr>
      </w:pPr>
      <w:r w:rsidRPr="00872D7E">
        <w:rPr>
          <w:sz w:val="14"/>
          <w:szCs w:val="14"/>
        </w:rPr>
        <w:t>5.</w:t>
      </w:r>
      <w:r w:rsidRPr="00872D7E">
        <w:rPr>
          <w:sz w:val="14"/>
          <w:szCs w:val="14"/>
        </w:rPr>
        <w:tab/>
        <w:t>Gerçeğe uygun değer farkı diğer kapsamlı gelire yansıtılan finansal varlıkların birikmiş yeniden değerleme ve/veya sınıflandırma kazançları/kayıpları,</w:t>
      </w:r>
    </w:p>
    <w:p w14:paraId="18BFF328" w14:textId="77777777" w:rsidR="00831EF9" w:rsidRPr="00872D7E" w:rsidRDefault="00831EF9" w:rsidP="001B6D11">
      <w:pPr>
        <w:widowControl w:val="0"/>
        <w:kinsoku w:val="0"/>
        <w:overflowPunct w:val="0"/>
        <w:autoSpaceDE w:val="0"/>
        <w:adjustRightInd w:val="0"/>
        <w:ind w:left="426" w:hanging="426"/>
        <w:jc w:val="both"/>
        <w:rPr>
          <w:sz w:val="14"/>
          <w:szCs w:val="14"/>
        </w:rPr>
      </w:pPr>
      <w:r w:rsidRPr="00872D7E">
        <w:rPr>
          <w:sz w:val="14"/>
          <w:szCs w:val="14"/>
        </w:rPr>
        <w:t>6.</w:t>
      </w:r>
      <w:r w:rsidRPr="00872D7E">
        <w:rPr>
          <w:sz w:val="14"/>
          <w:szCs w:val="14"/>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59B03705" w14:textId="77777777" w:rsidR="001A755B" w:rsidRPr="00872D7E" w:rsidRDefault="001A755B" w:rsidP="001B6D11">
      <w:pPr>
        <w:widowControl w:val="0"/>
        <w:jc w:val="both"/>
        <w:rPr>
          <w:sz w:val="14"/>
          <w:szCs w:val="14"/>
        </w:rPr>
      </w:pPr>
    </w:p>
    <w:p w14:paraId="03DEFEE2" w14:textId="77777777" w:rsidR="001A755B" w:rsidRPr="00872D7E" w:rsidRDefault="001A755B" w:rsidP="001B6D11">
      <w:pPr>
        <w:widowControl w:val="0"/>
        <w:jc w:val="both"/>
        <w:rPr>
          <w:szCs w:val="20"/>
        </w:rPr>
      </w:pPr>
    </w:p>
    <w:p w14:paraId="5CA4C9B0" w14:textId="77777777" w:rsidR="00711BE2" w:rsidRPr="00872D7E" w:rsidRDefault="00711BE2" w:rsidP="001B6D11">
      <w:pPr>
        <w:widowControl w:val="0"/>
        <w:jc w:val="both"/>
        <w:rPr>
          <w:szCs w:val="20"/>
        </w:rPr>
      </w:pPr>
    </w:p>
    <w:p w14:paraId="5686599E" w14:textId="77777777" w:rsidR="001A755B" w:rsidRPr="00872D7E" w:rsidRDefault="001A755B" w:rsidP="001B6D11">
      <w:pPr>
        <w:widowControl w:val="0"/>
        <w:jc w:val="both"/>
        <w:rPr>
          <w:szCs w:val="20"/>
        </w:rPr>
      </w:pPr>
    </w:p>
    <w:p w14:paraId="1A022649" w14:textId="77777777" w:rsidR="00236C13" w:rsidRPr="00872D7E" w:rsidRDefault="00236C13" w:rsidP="001B6D11">
      <w:pPr>
        <w:widowControl w:val="0"/>
        <w:jc w:val="both"/>
        <w:rPr>
          <w:szCs w:val="20"/>
        </w:rPr>
      </w:pPr>
    </w:p>
    <w:p w14:paraId="505199F7" w14:textId="77777777" w:rsidR="00236C13" w:rsidRPr="00872D7E" w:rsidRDefault="00236C13" w:rsidP="001B6D11">
      <w:pPr>
        <w:widowControl w:val="0"/>
        <w:jc w:val="both"/>
        <w:rPr>
          <w:szCs w:val="20"/>
        </w:rPr>
      </w:pPr>
    </w:p>
    <w:p w14:paraId="573F6648" w14:textId="77777777" w:rsidR="00236C13" w:rsidRPr="00872D7E" w:rsidRDefault="00236C13" w:rsidP="001B6D11">
      <w:pPr>
        <w:widowControl w:val="0"/>
        <w:jc w:val="both"/>
        <w:rPr>
          <w:szCs w:val="20"/>
        </w:rPr>
      </w:pPr>
    </w:p>
    <w:p w14:paraId="3CD7FA6A" w14:textId="77777777" w:rsidR="001A755B" w:rsidRPr="00872D7E" w:rsidRDefault="001A755B" w:rsidP="001B6D11">
      <w:pPr>
        <w:widowControl w:val="0"/>
        <w:jc w:val="both"/>
        <w:rPr>
          <w:szCs w:val="20"/>
        </w:rPr>
      </w:pPr>
    </w:p>
    <w:p w14:paraId="316F3C06" w14:textId="6511D1EA" w:rsidR="000F2E9A" w:rsidRPr="00872D7E" w:rsidRDefault="00FD1822" w:rsidP="009F6E11">
      <w:pPr>
        <w:widowControl w:val="0"/>
        <w:jc w:val="center"/>
        <w:rPr>
          <w:sz w:val="16"/>
          <w:szCs w:val="16"/>
        </w:rPr>
        <w:sectPr w:rsidR="000F2E9A" w:rsidRPr="00872D7E" w:rsidSect="00504891">
          <w:headerReference w:type="even" r:id="rId55"/>
          <w:headerReference w:type="default" r:id="rId56"/>
          <w:footerReference w:type="even" r:id="rId57"/>
          <w:footerReference w:type="default" r:id="rId58"/>
          <w:headerReference w:type="first" r:id="rId59"/>
          <w:footerReference w:type="first" r:id="rId60"/>
          <w:pgSz w:w="16840" w:h="11907" w:orient="landscape" w:code="9"/>
          <w:pgMar w:top="851" w:right="851" w:bottom="851" w:left="851" w:header="851" w:footer="851" w:gutter="0"/>
          <w:cols w:space="708"/>
          <w:titlePg/>
          <w:docGrid w:linePitch="360"/>
        </w:sectPr>
      </w:pPr>
      <w:r w:rsidRPr="00872D7E">
        <w:rPr>
          <w:szCs w:val="20"/>
        </w:rPr>
        <w:t>İlişikteki açıklama ve dipnotlar bu finansal tabloların tamamlayıcı bir parçasıdır.</w:t>
      </w:r>
    </w:p>
    <w:tbl>
      <w:tblPr>
        <w:tblW w:w="5000" w:type="pct"/>
        <w:tblCellMar>
          <w:left w:w="70" w:type="dxa"/>
          <w:right w:w="70" w:type="dxa"/>
        </w:tblCellMar>
        <w:tblLook w:val="04A0" w:firstRow="1" w:lastRow="0" w:firstColumn="1" w:lastColumn="0" w:noHBand="0" w:noVBand="1"/>
      </w:tblPr>
      <w:tblGrid>
        <w:gridCol w:w="619"/>
        <w:gridCol w:w="6294"/>
        <w:gridCol w:w="876"/>
        <w:gridCol w:w="2123"/>
      </w:tblGrid>
      <w:tr w:rsidR="008A61B7" w:rsidRPr="00872D7E" w14:paraId="3D493BD2" w14:textId="77777777" w:rsidTr="008A61B7">
        <w:trPr>
          <w:divId w:val="796528434"/>
          <w:trHeight w:val="113"/>
        </w:trPr>
        <w:tc>
          <w:tcPr>
            <w:tcW w:w="3487"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1879CFE" w14:textId="7845A9D1" w:rsidR="008A61B7" w:rsidRPr="00872D7E" w:rsidRDefault="008A61B7" w:rsidP="008A61B7">
            <w:pPr>
              <w:jc w:val="center"/>
              <w:rPr>
                <w:b/>
                <w:bCs/>
                <w:sz w:val="14"/>
                <w:szCs w:val="14"/>
              </w:rPr>
            </w:pPr>
            <w:r w:rsidRPr="00872D7E">
              <w:rPr>
                <w:b/>
                <w:bCs/>
                <w:sz w:val="14"/>
                <w:szCs w:val="14"/>
              </w:rPr>
              <w:lastRenderedPageBreak/>
              <w:t>NAKİT AKIŞ TABLOSU</w:t>
            </w:r>
          </w:p>
        </w:tc>
        <w:tc>
          <w:tcPr>
            <w:tcW w:w="442" w:type="pct"/>
            <w:tcBorders>
              <w:top w:val="single" w:sz="4" w:space="0" w:color="auto"/>
              <w:left w:val="nil"/>
              <w:bottom w:val="single" w:sz="4" w:space="0" w:color="auto"/>
              <w:right w:val="single" w:sz="4" w:space="0" w:color="auto"/>
            </w:tcBorders>
            <w:shd w:val="clear" w:color="auto" w:fill="auto"/>
            <w:vAlign w:val="bottom"/>
            <w:hideMark/>
          </w:tcPr>
          <w:p w14:paraId="7A9EADF0" w14:textId="77777777" w:rsidR="008A61B7" w:rsidRPr="00872D7E" w:rsidRDefault="008A61B7" w:rsidP="008A61B7">
            <w:pPr>
              <w:jc w:val="center"/>
              <w:rPr>
                <w:b/>
                <w:bCs/>
                <w:sz w:val="14"/>
                <w:szCs w:val="14"/>
              </w:rPr>
            </w:pPr>
            <w:r w:rsidRPr="00872D7E">
              <w:rPr>
                <w:b/>
                <w:bCs/>
                <w:sz w:val="14"/>
                <w:szCs w:val="14"/>
              </w:rPr>
              <w:t>Dipnot (Beşinci Bölüm-VI)</w:t>
            </w:r>
          </w:p>
        </w:tc>
        <w:tc>
          <w:tcPr>
            <w:tcW w:w="1071" w:type="pct"/>
            <w:tcBorders>
              <w:top w:val="single" w:sz="4" w:space="0" w:color="auto"/>
              <w:left w:val="nil"/>
              <w:bottom w:val="single" w:sz="4" w:space="0" w:color="auto"/>
              <w:right w:val="single" w:sz="4" w:space="0" w:color="auto"/>
            </w:tcBorders>
            <w:shd w:val="clear" w:color="auto" w:fill="auto"/>
            <w:vAlign w:val="bottom"/>
            <w:hideMark/>
          </w:tcPr>
          <w:p w14:paraId="3483BF28" w14:textId="77777777" w:rsidR="008A61B7" w:rsidRPr="00872D7E" w:rsidRDefault="008A61B7" w:rsidP="008A61B7">
            <w:pPr>
              <w:jc w:val="right"/>
              <w:rPr>
                <w:b/>
                <w:bCs/>
                <w:sz w:val="14"/>
                <w:szCs w:val="14"/>
              </w:rPr>
            </w:pPr>
            <w:r w:rsidRPr="00872D7E">
              <w:rPr>
                <w:b/>
                <w:bCs/>
                <w:sz w:val="14"/>
                <w:szCs w:val="14"/>
              </w:rPr>
              <w:t xml:space="preserve">1 </w:t>
            </w:r>
            <w:proofErr w:type="gramStart"/>
            <w:r w:rsidRPr="00872D7E">
              <w:rPr>
                <w:b/>
                <w:bCs/>
                <w:sz w:val="14"/>
                <w:szCs w:val="14"/>
              </w:rPr>
              <w:t>Ocak -</w:t>
            </w:r>
            <w:proofErr w:type="gramEnd"/>
            <w:r w:rsidRPr="00872D7E">
              <w:rPr>
                <w:b/>
                <w:bCs/>
                <w:sz w:val="14"/>
                <w:szCs w:val="14"/>
              </w:rPr>
              <w:t xml:space="preserve"> 31 Aralık 2024 </w:t>
            </w:r>
            <w:r w:rsidRPr="00872D7E">
              <w:rPr>
                <w:b/>
                <w:bCs/>
                <w:sz w:val="14"/>
                <w:szCs w:val="14"/>
                <w:vertAlign w:val="superscript"/>
              </w:rPr>
              <w:t>(*)</w:t>
            </w:r>
          </w:p>
        </w:tc>
      </w:tr>
      <w:tr w:rsidR="008A61B7" w:rsidRPr="00872D7E" w14:paraId="0DB94165" w14:textId="77777777" w:rsidTr="008A61B7">
        <w:trPr>
          <w:divId w:val="796528434"/>
          <w:trHeight w:val="113"/>
        </w:trPr>
        <w:tc>
          <w:tcPr>
            <w:tcW w:w="312" w:type="pct"/>
            <w:tcBorders>
              <w:top w:val="nil"/>
              <w:left w:val="single" w:sz="4" w:space="0" w:color="auto"/>
              <w:bottom w:val="nil"/>
              <w:right w:val="nil"/>
            </w:tcBorders>
            <w:shd w:val="clear" w:color="auto" w:fill="auto"/>
            <w:noWrap/>
            <w:vAlign w:val="bottom"/>
            <w:hideMark/>
          </w:tcPr>
          <w:p w14:paraId="3D88BC68" w14:textId="77777777" w:rsidR="008A61B7" w:rsidRPr="00872D7E" w:rsidRDefault="008A61B7" w:rsidP="008A61B7">
            <w:pPr>
              <w:rPr>
                <w:sz w:val="14"/>
                <w:szCs w:val="14"/>
              </w:rPr>
            </w:pPr>
            <w:r w:rsidRPr="00872D7E">
              <w:rPr>
                <w:sz w:val="14"/>
                <w:szCs w:val="14"/>
              </w:rPr>
              <w:t> </w:t>
            </w:r>
          </w:p>
        </w:tc>
        <w:tc>
          <w:tcPr>
            <w:tcW w:w="3175" w:type="pct"/>
            <w:tcBorders>
              <w:top w:val="nil"/>
              <w:left w:val="nil"/>
              <w:bottom w:val="nil"/>
              <w:right w:val="nil"/>
            </w:tcBorders>
            <w:shd w:val="clear" w:color="auto" w:fill="auto"/>
            <w:noWrap/>
            <w:vAlign w:val="bottom"/>
            <w:hideMark/>
          </w:tcPr>
          <w:p w14:paraId="41B0C8CF" w14:textId="77777777" w:rsidR="008A61B7" w:rsidRPr="00872D7E" w:rsidRDefault="008A61B7" w:rsidP="008A61B7">
            <w:pPr>
              <w:rPr>
                <w:sz w:val="14"/>
                <w:szCs w:val="14"/>
              </w:rPr>
            </w:pPr>
          </w:p>
        </w:tc>
        <w:tc>
          <w:tcPr>
            <w:tcW w:w="442" w:type="pct"/>
            <w:tcBorders>
              <w:top w:val="nil"/>
              <w:left w:val="single" w:sz="4" w:space="0" w:color="auto"/>
              <w:bottom w:val="nil"/>
              <w:right w:val="single" w:sz="4" w:space="0" w:color="auto"/>
            </w:tcBorders>
            <w:shd w:val="clear" w:color="auto" w:fill="auto"/>
            <w:noWrap/>
            <w:vAlign w:val="bottom"/>
            <w:hideMark/>
          </w:tcPr>
          <w:p w14:paraId="36147DAC" w14:textId="77777777" w:rsidR="008A61B7" w:rsidRPr="00872D7E" w:rsidRDefault="008A61B7" w:rsidP="008A61B7">
            <w:pP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4B260C78" w14:textId="77777777" w:rsidR="008A61B7" w:rsidRPr="00872D7E" w:rsidRDefault="008A61B7" w:rsidP="008A61B7">
            <w:pPr>
              <w:rPr>
                <w:sz w:val="14"/>
                <w:szCs w:val="14"/>
              </w:rPr>
            </w:pPr>
            <w:r w:rsidRPr="00872D7E">
              <w:rPr>
                <w:sz w:val="14"/>
                <w:szCs w:val="14"/>
              </w:rPr>
              <w:t> </w:t>
            </w:r>
          </w:p>
        </w:tc>
      </w:tr>
      <w:tr w:rsidR="008A61B7" w:rsidRPr="00872D7E" w14:paraId="17A3E7D7" w14:textId="77777777" w:rsidTr="008A61B7">
        <w:trPr>
          <w:divId w:val="796528434"/>
          <w:trHeight w:val="113"/>
        </w:trPr>
        <w:tc>
          <w:tcPr>
            <w:tcW w:w="312" w:type="pct"/>
            <w:tcBorders>
              <w:top w:val="nil"/>
              <w:left w:val="single" w:sz="4" w:space="0" w:color="auto"/>
              <w:bottom w:val="nil"/>
              <w:right w:val="nil"/>
            </w:tcBorders>
            <w:shd w:val="clear" w:color="auto" w:fill="auto"/>
            <w:noWrap/>
            <w:hideMark/>
          </w:tcPr>
          <w:p w14:paraId="170E8574" w14:textId="77777777" w:rsidR="008A61B7" w:rsidRPr="00872D7E" w:rsidRDefault="008A61B7" w:rsidP="008A61B7">
            <w:pPr>
              <w:rPr>
                <w:b/>
                <w:bCs/>
                <w:sz w:val="14"/>
                <w:szCs w:val="14"/>
              </w:rPr>
            </w:pPr>
            <w:r w:rsidRPr="00872D7E">
              <w:rPr>
                <w:b/>
                <w:bCs/>
                <w:sz w:val="14"/>
                <w:szCs w:val="14"/>
              </w:rPr>
              <w:t>A.</w:t>
            </w:r>
          </w:p>
        </w:tc>
        <w:tc>
          <w:tcPr>
            <w:tcW w:w="3175" w:type="pct"/>
            <w:tcBorders>
              <w:top w:val="nil"/>
              <w:left w:val="nil"/>
              <w:bottom w:val="nil"/>
              <w:right w:val="nil"/>
            </w:tcBorders>
            <w:shd w:val="clear" w:color="auto" w:fill="auto"/>
            <w:noWrap/>
            <w:hideMark/>
          </w:tcPr>
          <w:p w14:paraId="23226ABD" w14:textId="77777777" w:rsidR="008A61B7" w:rsidRPr="00872D7E" w:rsidRDefault="008A61B7" w:rsidP="008A61B7">
            <w:pPr>
              <w:rPr>
                <w:b/>
                <w:bCs/>
                <w:sz w:val="14"/>
                <w:szCs w:val="14"/>
              </w:rPr>
            </w:pPr>
            <w:r w:rsidRPr="00872D7E">
              <w:rPr>
                <w:b/>
                <w:bCs/>
                <w:sz w:val="14"/>
                <w:szCs w:val="14"/>
              </w:rPr>
              <w:t>BANKACILIK FAALİYETLERİNE İLİŞKİN NAKİT AKIŞLARI</w:t>
            </w:r>
          </w:p>
        </w:tc>
        <w:tc>
          <w:tcPr>
            <w:tcW w:w="442" w:type="pct"/>
            <w:tcBorders>
              <w:top w:val="nil"/>
              <w:left w:val="single" w:sz="4" w:space="0" w:color="auto"/>
              <w:bottom w:val="nil"/>
              <w:right w:val="single" w:sz="4" w:space="0" w:color="auto"/>
            </w:tcBorders>
            <w:shd w:val="clear" w:color="auto" w:fill="auto"/>
            <w:noWrap/>
            <w:vAlign w:val="bottom"/>
            <w:hideMark/>
          </w:tcPr>
          <w:p w14:paraId="7A65A5F4" w14:textId="77777777" w:rsidR="008A61B7" w:rsidRPr="00872D7E" w:rsidRDefault="008A61B7" w:rsidP="008A61B7">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289C84EB" w14:textId="77777777" w:rsidR="008A61B7" w:rsidRPr="00872D7E" w:rsidRDefault="008A61B7" w:rsidP="008A61B7">
            <w:pPr>
              <w:jc w:val="right"/>
              <w:rPr>
                <w:sz w:val="14"/>
                <w:szCs w:val="14"/>
              </w:rPr>
            </w:pPr>
            <w:r w:rsidRPr="00872D7E">
              <w:rPr>
                <w:sz w:val="14"/>
                <w:szCs w:val="14"/>
              </w:rPr>
              <w:t> </w:t>
            </w:r>
          </w:p>
        </w:tc>
      </w:tr>
      <w:tr w:rsidR="008A61B7" w:rsidRPr="00872D7E" w14:paraId="1825FCAD"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0601ECFD" w14:textId="77777777" w:rsidR="008A61B7" w:rsidRPr="00872D7E" w:rsidRDefault="008A61B7" w:rsidP="008A61B7">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12ED5D23" w14:textId="77777777" w:rsidR="008A61B7" w:rsidRPr="00872D7E" w:rsidRDefault="008A61B7" w:rsidP="008A61B7">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371AB62C" w14:textId="77777777" w:rsidR="008A61B7" w:rsidRPr="00872D7E" w:rsidRDefault="008A61B7" w:rsidP="008A61B7">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center"/>
            <w:hideMark/>
          </w:tcPr>
          <w:p w14:paraId="16CB8124" w14:textId="77777777" w:rsidR="008A61B7" w:rsidRPr="00872D7E" w:rsidRDefault="008A61B7" w:rsidP="008A61B7">
            <w:pPr>
              <w:jc w:val="right"/>
              <w:rPr>
                <w:sz w:val="14"/>
                <w:szCs w:val="14"/>
              </w:rPr>
            </w:pPr>
            <w:r w:rsidRPr="00872D7E">
              <w:rPr>
                <w:sz w:val="14"/>
                <w:szCs w:val="14"/>
              </w:rPr>
              <w:t> </w:t>
            </w:r>
          </w:p>
        </w:tc>
      </w:tr>
      <w:tr w:rsidR="00D11881" w:rsidRPr="00872D7E" w14:paraId="6B4B6593"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045B2DFA" w14:textId="77777777" w:rsidR="00D11881" w:rsidRPr="00872D7E" w:rsidRDefault="00D11881" w:rsidP="00D11881">
            <w:pPr>
              <w:rPr>
                <w:b/>
                <w:bCs/>
                <w:sz w:val="14"/>
                <w:szCs w:val="14"/>
              </w:rPr>
            </w:pPr>
            <w:r w:rsidRPr="00872D7E">
              <w:rPr>
                <w:b/>
                <w:bCs/>
                <w:sz w:val="14"/>
                <w:szCs w:val="14"/>
              </w:rPr>
              <w:t>1.1</w:t>
            </w:r>
          </w:p>
        </w:tc>
        <w:tc>
          <w:tcPr>
            <w:tcW w:w="3175" w:type="pct"/>
            <w:tcBorders>
              <w:top w:val="nil"/>
              <w:left w:val="nil"/>
              <w:bottom w:val="nil"/>
              <w:right w:val="nil"/>
            </w:tcBorders>
            <w:shd w:val="clear" w:color="auto" w:fill="auto"/>
            <w:hideMark/>
          </w:tcPr>
          <w:p w14:paraId="38FF7AFB" w14:textId="77777777" w:rsidR="00D11881" w:rsidRPr="00872D7E" w:rsidRDefault="00D11881" w:rsidP="00D11881">
            <w:pPr>
              <w:rPr>
                <w:b/>
                <w:bCs/>
                <w:sz w:val="14"/>
                <w:szCs w:val="14"/>
              </w:rPr>
            </w:pPr>
            <w:r w:rsidRPr="00872D7E">
              <w:rPr>
                <w:b/>
                <w:bCs/>
                <w:sz w:val="14"/>
                <w:szCs w:val="14"/>
              </w:rPr>
              <w:t>Bankacılık Faaliyet Konusu Varlık ve Yükümlülüklerdeki Değişim Öncesi Faaliyet Kârı</w:t>
            </w:r>
          </w:p>
        </w:tc>
        <w:tc>
          <w:tcPr>
            <w:tcW w:w="442" w:type="pct"/>
            <w:tcBorders>
              <w:top w:val="nil"/>
              <w:left w:val="single" w:sz="4" w:space="0" w:color="auto"/>
              <w:bottom w:val="nil"/>
              <w:right w:val="single" w:sz="4" w:space="0" w:color="auto"/>
            </w:tcBorders>
            <w:shd w:val="clear" w:color="auto" w:fill="auto"/>
            <w:vAlign w:val="bottom"/>
            <w:hideMark/>
          </w:tcPr>
          <w:p w14:paraId="3C1DBAA3"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5B8DD5AE" w14:textId="2C5F894C" w:rsidR="00D11881" w:rsidRPr="00872D7E" w:rsidRDefault="00D11881" w:rsidP="00D11881">
            <w:pPr>
              <w:jc w:val="right"/>
              <w:rPr>
                <w:b/>
                <w:bCs/>
                <w:sz w:val="14"/>
                <w:szCs w:val="14"/>
              </w:rPr>
            </w:pPr>
            <w:r w:rsidRPr="00872D7E">
              <w:rPr>
                <w:b/>
                <w:bCs/>
                <w:color w:val="000000"/>
                <w:sz w:val="14"/>
                <w:szCs w:val="14"/>
              </w:rPr>
              <w:t>866.746</w:t>
            </w:r>
          </w:p>
        </w:tc>
      </w:tr>
      <w:tr w:rsidR="00D11881" w:rsidRPr="00872D7E" w14:paraId="26AE9368"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4684B1C9"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6BA54FBF"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3FF14986"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269E6C54" w14:textId="1DD7B8DB" w:rsidR="00D11881" w:rsidRPr="00872D7E" w:rsidRDefault="00D11881" w:rsidP="00D11881">
            <w:pPr>
              <w:jc w:val="right"/>
              <w:rPr>
                <w:sz w:val="14"/>
                <w:szCs w:val="14"/>
              </w:rPr>
            </w:pPr>
            <w:r w:rsidRPr="00872D7E">
              <w:rPr>
                <w:color w:val="000000"/>
                <w:sz w:val="14"/>
                <w:szCs w:val="14"/>
              </w:rPr>
              <w:t> </w:t>
            </w:r>
          </w:p>
        </w:tc>
      </w:tr>
      <w:tr w:rsidR="00D11881" w:rsidRPr="00872D7E" w14:paraId="07795169"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1259BBCD" w14:textId="77777777" w:rsidR="00D11881" w:rsidRPr="00872D7E" w:rsidRDefault="00D11881" w:rsidP="00D11881">
            <w:pPr>
              <w:rPr>
                <w:sz w:val="14"/>
                <w:szCs w:val="14"/>
              </w:rPr>
            </w:pPr>
            <w:r w:rsidRPr="00872D7E">
              <w:rPr>
                <w:sz w:val="14"/>
                <w:szCs w:val="14"/>
              </w:rPr>
              <w:t>1.1.1</w:t>
            </w:r>
          </w:p>
        </w:tc>
        <w:tc>
          <w:tcPr>
            <w:tcW w:w="3175" w:type="pct"/>
            <w:tcBorders>
              <w:top w:val="nil"/>
              <w:left w:val="nil"/>
              <w:bottom w:val="nil"/>
              <w:right w:val="nil"/>
            </w:tcBorders>
            <w:shd w:val="clear" w:color="auto" w:fill="auto"/>
            <w:hideMark/>
          </w:tcPr>
          <w:p w14:paraId="178651BC" w14:textId="77777777" w:rsidR="00D11881" w:rsidRPr="00872D7E" w:rsidRDefault="00D11881" w:rsidP="00D11881">
            <w:pPr>
              <w:rPr>
                <w:sz w:val="14"/>
                <w:szCs w:val="14"/>
              </w:rPr>
            </w:pPr>
            <w:r w:rsidRPr="00872D7E">
              <w:rPr>
                <w:sz w:val="14"/>
                <w:szCs w:val="14"/>
              </w:rPr>
              <w:t>Alınan Kâr Payları</w:t>
            </w:r>
          </w:p>
        </w:tc>
        <w:tc>
          <w:tcPr>
            <w:tcW w:w="442" w:type="pct"/>
            <w:tcBorders>
              <w:top w:val="nil"/>
              <w:left w:val="single" w:sz="4" w:space="0" w:color="auto"/>
              <w:bottom w:val="nil"/>
              <w:right w:val="single" w:sz="4" w:space="0" w:color="auto"/>
            </w:tcBorders>
            <w:shd w:val="clear" w:color="auto" w:fill="auto"/>
            <w:vAlign w:val="bottom"/>
            <w:hideMark/>
          </w:tcPr>
          <w:p w14:paraId="16FA5DDC"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1DEF7C1E" w14:textId="35AF7264" w:rsidR="00D11881" w:rsidRPr="00872D7E" w:rsidRDefault="00D11881" w:rsidP="00D11881">
            <w:pPr>
              <w:jc w:val="right"/>
              <w:rPr>
                <w:sz w:val="14"/>
                <w:szCs w:val="14"/>
              </w:rPr>
            </w:pPr>
            <w:r w:rsidRPr="00872D7E">
              <w:rPr>
                <w:color w:val="000000"/>
                <w:sz w:val="14"/>
                <w:szCs w:val="14"/>
              </w:rPr>
              <w:t>2.107.436</w:t>
            </w:r>
          </w:p>
        </w:tc>
      </w:tr>
      <w:tr w:rsidR="00D11881" w:rsidRPr="00872D7E" w14:paraId="6D1F961D"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5434D9B2" w14:textId="77777777" w:rsidR="00D11881" w:rsidRPr="00872D7E" w:rsidRDefault="00D11881" w:rsidP="00D11881">
            <w:pPr>
              <w:rPr>
                <w:sz w:val="14"/>
                <w:szCs w:val="14"/>
              </w:rPr>
            </w:pPr>
            <w:r w:rsidRPr="00872D7E">
              <w:rPr>
                <w:sz w:val="14"/>
                <w:szCs w:val="14"/>
              </w:rPr>
              <w:t>1.1.2</w:t>
            </w:r>
          </w:p>
        </w:tc>
        <w:tc>
          <w:tcPr>
            <w:tcW w:w="3175" w:type="pct"/>
            <w:tcBorders>
              <w:top w:val="nil"/>
              <w:left w:val="nil"/>
              <w:bottom w:val="nil"/>
              <w:right w:val="nil"/>
            </w:tcBorders>
            <w:shd w:val="clear" w:color="auto" w:fill="auto"/>
            <w:hideMark/>
          </w:tcPr>
          <w:p w14:paraId="0A90767B" w14:textId="77777777" w:rsidR="00D11881" w:rsidRPr="00872D7E" w:rsidRDefault="00D11881" w:rsidP="00D11881">
            <w:pPr>
              <w:rPr>
                <w:sz w:val="14"/>
                <w:szCs w:val="14"/>
              </w:rPr>
            </w:pPr>
            <w:r w:rsidRPr="00872D7E">
              <w:rPr>
                <w:sz w:val="14"/>
                <w:szCs w:val="14"/>
              </w:rPr>
              <w:t>Ödenen Kâr Payları</w:t>
            </w:r>
          </w:p>
        </w:tc>
        <w:tc>
          <w:tcPr>
            <w:tcW w:w="442" w:type="pct"/>
            <w:tcBorders>
              <w:top w:val="nil"/>
              <w:left w:val="single" w:sz="4" w:space="0" w:color="auto"/>
              <w:bottom w:val="nil"/>
              <w:right w:val="single" w:sz="4" w:space="0" w:color="auto"/>
            </w:tcBorders>
            <w:shd w:val="clear" w:color="auto" w:fill="auto"/>
            <w:vAlign w:val="bottom"/>
            <w:hideMark/>
          </w:tcPr>
          <w:p w14:paraId="631E06FA"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11FE8ACD" w14:textId="502996F3" w:rsidR="00D11881" w:rsidRPr="00872D7E" w:rsidRDefault="00D11881" w:rsidP="00D11881">
            <w:pPr>
              <w:jc w:val="right"/>
              <w:rPr>
                <w:sz w:val="14"/>
                <w:szCs w:val="14"/>
              </w:rPr>
            </w:pPr>
            <w:r w:rsidRPr="00872D7E">
              <w:rPr>
                <w:color w:val="000000"/>
                <w:sz w:val="14"/>
                <w:szCs w:val="14"/>
              </w:rPr>
              <w:t>(1.069.389)</w:t>
            </w:r>
          </w:p>
        </w:tc>
      </w:tr>
      <w:tr w:rsidR="00D11881" w:rsidRPr="00872D7E" w14:paraId="031809DE"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FCEC6DA" w14:textId="77777777" w:rsidR="00D11881" w:rsidRPr="00872D7E" w:rsidRDefault="00D11881" w:rsidP="00D11881">
            <w:pPr>
              <w:rPr>
                <w:sz w:val="14"/>
                <w:szCs w:val="14"/>
              </w:rPr>
            </w:pPr>
            <w:r w:rsidRPr="00872D7E">
              <w:rPr>
                <w:sz w:val="14"/>
                <w:szCs w:val="14"/>
              </w:rPr>
              <w:t>1.1.3</w:t>
            </w:r>
          </w:p>
        </w:tc>
        <w:tc>
          <w:tcPr>
            <w:tcW w:w="3175" w:type="pct"/>
            <w:tcBorders>
              <w:top w:val="nil"/>
              <w:left w:val="nil"/>
              <w:bottom w:val="nil"/>
              <w:right w:val="nil"/>
            </w:tcBorders>
            <w:shd w:val="clear" w:color="auto" w:fill="auto"/>
            <w:hideMark/>
          </w:tcPr>
          <w:p w14:paraId="6AAF7DD2" w14:textId="77777777" w:rsidR="00D11881" w:rsidRPr="00872D7E" w:rsidRDefault="00D11881" w:rsidP="00D11881">
            <w:pPr>
              <w:rPr>
                <w:sz w:val="14"/>
                <w:szCs w:val="14"/>
              </w:rPr>
            </w:pPr>
            <w:r w:rsidRPr="00872D7E">
              <w:rPr>
                <w:sz w:val="14"/>
                <w:szCs w:val="14"/>
              </w:rPr>
              <w:t>Alınan Temettüler</w:t>
            </w:r>
          </w:p>
        </w:tc>
        <w:tc>
          <w:tcPr>
            <w:tcW w:w="442" w:type="pct"/>
            <w:tcBorders>
              <w:top w:val="nil"/>
              <w:left w:val="single" w:sz="4" w:space="0" w:color="auto"/>
              <w:bottom w:val="nil"/>
              <w:right w:val="single" w:sz="4" w:space="0" w:color="auto"/>
            </w:tcBorders>
            <w:shd w:val="clear" w:color="auto" w:fill="auto"/>
            <w:vAlign w:val="bottom"/>
            <w:hideMark/>
          </w:tcPr>
          <w:p w14:paraId="697ADF64"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29D8F411" w14:textId="5C45759E" w:rsidR="00D11881" w:rsidRPr="00872D7E" w:rsidRDefault="00D11881" w:rsidP="00D11881">
            <w:pPr>
              <w:jc w:val="right"/>
              <w:rPr>
                <w:sz w:val="14"/>
                <w:szCs w:val="14"/>
              </w:rPr>
            </w:pPr>
            <w:r w:rsidRPr="00872D7E">
              <w:rPr>
                <w:color w:val="000000"/>
                <w:sz w:val="14"/>
                <w:szCs w:val="14"/>
              </w:rPr>
              <w:t>52</w:t>
            </w:r>
          </w:p>
        </w:tc>
      </w:tr>
      <w:tr w:rsidR="00D11881" w:rsidRPr="00872D7E" w14:paraId="6254A154"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4C3F4D62" w14:textId="77777777" w:rsidR="00D11881" w:rsidRPr="00872D7E" w:rsidRDefault="00D11881" w:rsidP="00D11881">
            <w:pPr>
              <w:rPr>
                <w:sz w:val="14"/>
                <w:szCs w:val="14"/>
              </w:rPr>
            </w:pPr>
            <w:r w:rsidRPr="00872D7E">
              <w:rPr>
                <w:sz w:val="14"/>
                <w:szCs w:val="14"/>
              </w:rPr>
              <w:t>1.1.4</w:t>
            </w:r>
          </w:p>
        </w:tc>
        <w:tc>
          <w:tcPr>
            <w:tcW w:w="3175" w:type="pct"/>
            <w:tcBorders>
              <w:top w:val="nil"/>
              <w:left w:val="nil"/>
              <w:bottom w:val="nil"/>
              <w:right w:val="nil"/>
            </w:tcBorders>
            <w:shd w:val="clear" w:color="auto" w:fill="auto"/>
            <w:hideMark/>
          </w:tcPr>
          <w:p w14:paraId="33888A3D" w14:textId="77777777" w:rsidR="00D11881" w:rsidRPr="00872D7E" w:rsidRDefault="00D11881" w:rsidP="00D11881">
            <w:pPr>
              <w:rPr>
                <w:sz w:val="14"/>
                <w:szCs w:val="14"/>
              </w:rPr>
            </w:pPr>
            <w:r w:rsidRPr="00872D7E">
              <w:rPr>
                <w:sz w:val="14"/>
                <w:szCs w:val="14"/>
              </w:rPr>
              <w:t>Alınan Ücret ve Komisyonlar</w:t>
            </w:r>
          </w:p>
        </w:tc>
        <w:tc>
          <w:tcPr>
            <w:tcW w:w="442" w:type="pct"/>
            <w:tcBorders>
              <w:top w:val="nil"/>
              <w:left w:val="single" w:sz="4" w:space="0" w:color="auto"/>
              <w:bottom w:val="nil"/>
              <w:right w:val="single" w:sz="4" w:space="0" w:color="auto"/>
            </w:tcBorders>
            <w:shd w:val="clear" w:color="auto" w:fill="auto"/>
            <w:vAlign w:val="bottom"/>
            <w:hideMark/>
          </w:tcPr>
          <w:p w14:paraId="182C0447"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6BACE185" w14:textId="6BAD3708" w:rsidR="00D11881" w:rsidRPr="00872D7E" w:rsidRDefault="00D11881" w:rsidP="00D11881">
            <w:pPr>
              <w:jc w:val="right"/>
              <w:rPr>
                <w:sz w:val="14"/>
                <w:szCs w:val="14"/>
              </w:rPr>
            </w:pPr>
            <w:r w:rsidRPr="00872D7E">
              <w:rPr>
                <w:color w:val="000000"/>
                <w:sz w:val="14"/>
                <w:szCs w:val="14"/>
              </w:rPr>
              <w:t>182.968</w:t>
            </w:r>
          </w:p>
        </w:tc>
      </w:tr>
      <w:tr w:rsidR="00D11881" w:rsidRPr="00872D7E" w14:paraId="7D67B739"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3BDF0A6" w14:textId="77777777" w:rsidR="00D11881" w:rsidRPr="00872D7E" w:rsidRDefault="00D11881" w:rsidP="00D11881">
            <w:pPr>
              <w:rPr>
                <w:sz w:val="14"/>
                <w:szCs w:val="14"/>
              </w:rPr>
            </w:pPr>
            <w:r w:rsidRPr="00872D7E">
              <w:rPr>
                <w:sz w:val="14"/>
                <w:szCs w:val="14"/>
              </w:rPr>
              <w:t>1.1.5</w:t>
            </w:r>
          </w:p>
        </w:tc>
        <w:tc>
          <w:tcPr>
            <w:tcW w:w="3175" w:type="pct"/>
            <w:tcBorders>
              <w:top w:val="nil"/>
              <w:left w:val="nil"/>
              <w:bottom w:val="nil"/>
              <w:right w:val="nil"/>
            </w:tcBorders>
            <w:shd w:val="clear" w:color="auto" w:fill="auto"/>
            <w:hideMark/>
          </w:tcPr>
          <w:p w14:paraId="08C6080B" w14:textId="77777777" w:rsidR="00D11881" w:rsidRPr="00872D7E" w:rsidRDefault="00D11881" w:rsidP="00D11881">
            <w:pPr>
              <w:rPr>
                <w:sz w:val="14"/>
                <w:szCs w:val="14"/>
              </w:rPr>
            </w:pPr>
            <w:r w:rsidRPr="00872D7E">
              <w:rPr>
                <w:sz w:val="14"/>
                <w:szCs w:val="14"/>
              </w:rPr>
              <w:t>Elde Edilen Diğer Kazançlar</w:t>
            </w:r>
          </w:p>
        </w:tc>
        <w:tc>
          <w:tcPr>
            <w:tcW w:w="442" w:type="pct"/>
            <w:tcBorders>
              <w:top w:val="nil"/>
              <w:left w:val="single" w:sz="4" w:space="0" w:color="auto"/>
              <w:bottom w:val="nil"/>
              <w:right w:val="single" w:sz="4" w:space="0" w:color="auto"/>
            </w:tcBorders>
            <w:shd w:val="clear" w:color="auto" w:fill="auto"/>
            <w:vAlign w:val="bottom"/>
            <w:hideMark/>
          </w:tcPr>
          <w:p w14:paraId="302F4B83"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2170BF4D" w14:textId="7F0DC96F" w:rsidR="00D11881" w:rsidRPr="00872D7E" w:rsidRDefault="00D11881" w:rsidP="00D11881">
            <w:pPr>
              <w:jc w:val="right"/>
              <w:rPr>
                <w:sz w:val="14"/>
                <w:szCs w:val="14"/>
                <w:lang w:eastAsia="tr-TR"/>
              </w:rPr>
            </w:pPr>
            <w:r w:rsidRPr="00872D7E">
              <w:rPr>
                <w:color w:val="000000"/>
                <w:sz w:val="14"/>
                <w:szCs w:val="14"/>
              </w:rPr>
              <w:t>(10.940)</w:t>
            </w:r>
          </w:p>
        </w:tc>
      </w:tr>
      <w:tr w:rsidR="00D11881" w:rsidRPr="00872D7E" w14:paraId="5152076F"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0EED0623" w14:textId="77777777" w:rsidR="00D11881" w:rsidRPr="00872D7E" w:rsidRDefault="00D11881" w:rsidP="00D11881">
            <w:pPr>
              <w:rPr>
                <w:sz w:val="14"/>
                <w:szCs w:val="14"/>
              </w:rPr>
            </w:pPr>
            <w:r w:rsidRPr="00872D7E">
              <w:rPr>
                <w:sz w:val="14"/>
                <w:szCs w:val="14"/>
              </w:rPr>
              <w:t>1.1.6</w:t>
            </w:r>
          </w:p>
        </w:tc>
        <w:tc>
          <w:tcPr>
            <w:tcW w:w="3175" w:type="pct"/>
            <w:tcBorders>
              <w:top w:val="nil"/>
              <w:left w:val="nil"/>
              <w:bottom w:val="nil"/>
              <w:right w:val="nil"/>
            </w:tcBorders>
            <w:shd w:val="clear" w:color="auto" w:fill="auto"/>
            <w:hideMark/>
          </w:tcPr>
          <w:p w14:paraId="36112D14" w14:textId="77777777" w:rsidR="00D11881" w:rsidRPr="00872D7E" w:rsidRDefault="00D11881" w:rsidP="00D11881">
            <w:pPr>
              <w:rPr>
                <w:sz w:val="14"/>
                <w:szCs w:val="14"/>
              </w:rPr>
            </w:pPr>
            <w:r w:rsidRPr="00872D7E">
              <w:rPr>
                <w:sz w:val="14"/>
                <w:szCs w:val="14"/>
              </w:rPr>
              <w:t>Zarar Olarak Muhasebeleştirilen Donuk Alacaklardan Tahsilatlar</w:t>
            </w:r>
          </w:p>
        </w:tc>
        <w:tc>
          <w:tcPr>
            <w:tcW w:w="442" w:type="pct"/>
            <w:tcBorders>
              <w:top w:val="nil"/>
              <w:left w:val="single" w:sz="4" w:space="0" w:color="auto"/>
              <w:bottom w:val="nil"/>
              <w:right w:val="single" w:sz="4" w:space="0" w:color="auto"/>
            </w:tcBorders>
            <w:shd w:val="clear" w:color="auto" w:fill="auto"/>
            <w:vAlign w:val="bottom"/>
            <w:hideMark/>
          </w:tcPr>
          <w:p w14:paraId="4BFB333A"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7EE92589" w14:textId="4184B3A7" w:rsidR="00D11881" w:rsidRPr="00872D7E" w:rsidRDefault="00D11881" w:rsidP="00D11881">
            <w:pPr>
              <w:jc w:val="right"/>
              <w:rPr>
                <w:sz w:val="14"/>
                <w:szCs w:val="14"/>
              </w:rPr>
            </w:pPr>
            <w:r w:rsidRPr="00872D7E">
              <w:rPr>
                <w:color w:val="000000"/>
                <w:sz w:val="14"/>
                <w:szCs w:val="14"/>
              </w:rPr>
              <w:t>-</w:t>
            </w:r>
          </w:p>
        </w:tc>
      </w:tr>
      <w:tr w:rsidR="00D11881" w:rsidRPr="00872D7E" w14:paraId="606FA056"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52F4012B" w14:textId="77777777" w:rsidR="00D11881" w:rsidRPr="00872D7E" w:rsidRDefault="00D11881" w:rsidP="00D11881">
            <w:pPr>
              <w:rPr>
                <w:sz w:val="14"/>
                <w:szCs w:val="14"/>
              </w:rPr>
            </w:pPr>
            <w:r w:rsidRPr="00872D7E">
              <w:rPr>
                <w:sz w:val="14"/>
                <w:szCs w:val="14"/>
              </w:rPr>
              <w:t>1.1.7</w:t>
            </w:r>
          </w:p>
        </w:tc>
        <w:tc>
          <w:tcPr>
            <w:tcW w:w="3175" w:type="pct"/>
            <w:tcBorders>
              <w:top w:val="nil"/>
              <w:left w:val="nil"/>
              <w:bottom w:val="nil"/>
              <w:right w:val="nil"/>
            </w:tcBorders>
            <w:shd w:val="clear" w:color="auto" w:fill="auto"/>
            <w:hideMark/>
          </w:tcPr>
          <w:p w14:paraId="75DDB246" w14:textId="77777777" w:rsidR="00D11881" w:rsidRPr="00872D7E" w:rsidRDefault="00D11881" w:rsidP="00D11881">
            <w:pPr>
              <w:rPr>
                <w:sz w:val="14"/>
                <w:szCs w:val="14"/>
              </w:rPr>
            </w:pPr>
            <w:r w:rsidRPr="00872D7E">
              <w:rPr>
                <w:sz w:val="14"/>
                <w:szCs w:val="14"/>
              </w:rPr>
              <w:t>Personele ve Hizmet Tedarik Edenlere Yapılan Nakit Ödemeler</w:t>
            </w:r>
          </w:p>
        </w:tc>
        <w:tc>
          <w:tcPr>
            <w:tcW w:w="442" w:type="pct"/>
            <w:tcBorders>
              <w:top w:val="nil"/>
              <w:left w:val="single" w:sz="4" w:space="0" w:color="auto"/>
              <w:bottom w:val="nil"/>
              <w:right w:val="single" w:sz="4" w:space="0" w:color="auto"/>
            </w:tcBorders>
            <w:shd w:val="clear" w:color="auto" w:fill="auto"/>
            <w:vAlign w:val="bottom"/>
            <w:hideMark/>
          </w:tcPr>
          <w:p w14:paraId="550D1799"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724F1F45" w14:textId="0BF0699F" w:rsidR="00D11881" w:rsidRPr="00872D7E" w:rsidRDefault="00D11881" w:rsidP="00D11881">
            <w:pPr>
              <w:jc w:val="right"/>
              <w:rPr>
                <w:sz w:val="14"/>
                <w:szCs w:val="14"/>
              </w:rPr>
            </w:pPr>
            <w:r w:rsidRPr="00872D7E">
              <w:rPr>
                <w:color w:val="000000"/>
                <w:sz w:val="14"/>
                <w:szCs w:val="14"/>
              </w:rPr>
              <w:t>(973.653)</w:t>
            </w:r>
          </w:p>
        </w:tc>
      </w:tr>
      <w:tr w:rsidR="00D11881" w:rsidRPr="00872D7E" w14:paraId="62399E4E"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3566F044" w14:textId="77777777" w:rsidR="00D11881" w:rsidRPr="00872D7E" w:rsidRDefault="00D11881" w:rsidP="00D11881">
            <w:pPr>
              <w:rPr>
                <w:sz w:val="14"/>
                <w:szCs w:val="14"/>
              </w:rPr>
            </w:pPr>
            <w:r w:rsidRPr="00872D7E">
              <w:rPr>
                <w:sz w:val="14"/>
                <w:szCs w:val="14"/>
              </w:rPr>
              <w:t>1.1.8</w:t>
            </w:r>
          </w:p>
        </w:tc>
        <w:tc>
          <w:tcPr>
            <w:tcW w:w="3175" w:type="pct"/>
            <w:tcBorders>
              <w:top w:val="nil"/>
              <w:left w:val="nil"/>
              <w:bottom w:val="nil"/>
              <w:right w:val="nil"/>
            </w:tcBorders>
            <w:shd w:val="clear" w:color="auto" w:fill="auto"/>
            <w:hideMark/>
          </w:tcPr>
          <w:p w14:paraId="491C1F31" w14:textId="77777777" w:rsidR="00D11881" w:rsidRPr="00872D7E" w:rsidRDefault="00D11881" w:rsidP="00D11881">
            <w:pPr>
              <w:rPr>
                <w:sz w:val="14"/>
                <w:szCs w:val="14"/>
              </w:rPr>
            </w:pPr>
            <w:r w:rsidRPr="00872D7E">
              <w:rPr>
                <w:sz w:val="14"/>
                <w:szCs w:val="14"/>
              </w:rPr>
              <w:t>Ödenen Vergiler</w:t>
            </w:r>
          </w:p>
        </w:tc>
        <w:tc>
          <w:tcPr>
            <w:tcW w:w="442" w:type="pct"/>
            <w:tcBorders>
              <w:top w:val="nil"/>
              <w:left w:val="single" w:sz="4" w:space="0" w:color="auto"/>
              <w:bottom w:val="nil"/>
              <w:right w:val="single" w:sz="4" w:space="0" w:color="auto"/>
            </w:tcBorders>
            <w:shd w:val="clear" w:color="auto" w:fill="auto"/>
            <w:vAlign w:val="bottom"/>
            <w:hideMark/>
          </w:tcPr>
          <w:p w14:paraId="56E5875F"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3E8728EB" w14:textId="15FA655D" w:rsidR="00D11881" w:rsidRPr="00872D7E" w:rsidRDefault="00D11881" w:rsidP="00D11881">
            <w:pPr>
              <w:jc w:val="right"/>
              <w:rPr>
                <w:sz w:val="14"/>
                <w:szCs w:val="14"/>
              </w:rPr>
            </w:pPr>
            <w:r w:rsidRPr="00872D7E">
              <w:rPr>
                <w:color w:val="000000"/>
                <w:sz w:val="14"/>
                <w:szCs w:val="14"/>
              </w:rPr>
              <w:t>(161.694)</w:t>
            </w:r>
          </w:p>
        </w:tc>
      </w:tr>
      <w:tr w:rsidR="00D11881" w:rsidRPr="00872D7E" w14:paraId="2D1039B6"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577AF57E" w14:textId="77777777" w:rsidR="00D11881" w:rsidRPr="00872D7E" w:rsidRDefault="00D11881" w:rsidP="00D11881">
            <w:pPr>
              <w:rPr>
                <w:sz w:val="14"/>
                <w:szCs w:val="14"/>
              </w:rPr>
            </w:pPr>
            <w:r w:rsidRPr="00872D7E">
              <w:rPr>
                <w:sz w:val="14"/>
                <w:szCs w:val="14"/>
              </w:rPr>
              <w:t>1.1.9</w:t>
            </w:r>
          </w:p>
        </w:tc>
        <w:tc>
          <w:tcPr>
            <w:tcW w:w="3175" w:type="pct"/>
            <w:tcBorders>
              <w:top w:val="nil"/>
              <w:left w:val="nil"/>
              <w:bottom w:val="nil"/>
              <w:right w:val="nil"/>
            </w:tcBorders>
            <w:shd w:val="clear" w:color="auto" w:fill="auto"/>
            <w:hideMark/>
          </w:tcPr>
          <w:p w14:paraId="2328D6D7" w14:textId="77777777" w:rsidR="00D11881" w:rsidRPr="00872D7E" w:rsidRDefault="00D11881" w:rsidP="00D11881">
            <w:pPr>
              <w:rPr>
                <w:sz w:val="14"/>
                <w:szCs w:val="14"/>
              </w:rPr>
            </w:pPr>
            <w:r w:rsidRPr="00872D7E">
              <w:rPr>
                <w:sz w:val="14"/>
                <w:szCs w:val="14"/>
              </w:rPr>
              <w:t>Diğer</w:t>
            </w:r>
          </w:p>
        </w:tc>
        <w:tc>
          <w:tcPr>
            <w:tcW w:w="442" w:type="pct"/>
            <w:tcBorders>
              <w:top w:val="nil"/>
              <w:left w:val="single" w:sz="4" w:space="0" w:color="auto"/>
              <w:bottom w:val="nil"/>
              <w:right w:val="single" w:sz="4" w:space="0" w:color="auto"/>
            </w:tcBorders>
            <w:shd w:val="clear" w:color="auto" w:fill="auto"/>
            <w:vAlign w:val="bottom"/>
            <w:hideMark/>
          </w:tcPr>
          <w:p w14:paraId="70C6B771" w14:textId="77777777" w:rsidR="00D11881" w:rsidRPr="00872D7E" w:rsidRDefault="00D11881" w:rsidP="00D11881">
            <w:pPr>
              <w:jc w:val="center"/>
              <w:rPr>
                <w:sz w:val="14"/>
                <w:szCs w:val="14"/>
                <w:lang w:eastAsia="tr-TR"/>
              </w:rPr>
            </w:pPr>
            <w:r w:rsidRPr="00872D7E">
              <w:rPr>
                <w:sz w:val="14"/>
                <w:szCs w:val="14"/>
              </w:rPr>
              <w:t>(V-VI-3</w:t>
            </w:r>
            <w:r w:rsidRPr="00872D7E">
              <w:rPr>
                <w:sz w:val="14"/>
                <w:szCs w:val="14"/>
                <w:lang w:eastAsia="tr-TR"/>
              </w:rPr>
              <w:t>)</w:t>
            </w:r>
          </w:p>
        </w:tc>
        <w:tc>
          <w:tcPr>
            <w:tcW w:w="1071" w:type="pct"/>
            <w:tcBorders>
              <w:top w:val="nil"/>
              <w:left w:val="nil"/>
              <w:bottom w:val="nil"/>
              <w:right w:val="single" w:sz="4" w:space="0" w:color="auto"/>
            </w:tcBorders>
            <w:shd w:val="clear" w:color="auto" w:fill="auto"/>
            <w:vAlign w:val="bottom"/>
            <w:hideMark/>
          </w:tcPr>
          <w:p w14:paraId="127852E1" w14:textId="6253F22C" w:rsidR="00D11881" w:rsidRPr="00872D7E" w:rsidRDefault="00D11881" w:rsidP="00D11881">
            <w:pPr>
              <w:jc w:val="right"/>
              <w:rPr>
                <w:sz w:val="14"/>
                <w:szCs w:val="14"/>
              </w:rPr>
            </w:pPr>
            <w:r w:rsidRPr="00872D7E">
              <w:rPr>
                <w:color w:val="000000"/>
                <w:sz w:val="14"/>
                <w:szCs w:val="14"/>
              </w:rPr>
              <w:t>791.966</w:t>
            </w:r>
          </w:p>
        </w:tc>
      </w:tr>
      <w:tr w:rsidR="00D11881" w:rsidRPr="00872D7E" w14:paraId="16CB4B50"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282C8E4" w14:textId="77777777" w:rsidR="00D11881" w:rsidRPr="00872D7E" w:rsidRDefault="00D11881" w:rsidP="00D11881">
            <w:pPr>
              <w:rPr>
                <w:sz w:val="14"/>
                <w:szCs w:val="14"/>
              </w:rPr>
            </w:pPr>
            <w:r w:rsidRPr="00872D7E">
              <w:rPr>
                <w:sz w:val="14"/>
                <w:szCs w:val="14"/>
              </w:rPr>
              <w:t> </w:t>
            </w:r>
          </w:p>
        </w:tc>
        <w:tc>
          <w:tcPr>
            <w:tcW w:w="3175" w:type="pct"/>
            <w:tcBorders>
              <w:top w:val="nil"/>
              <w:left w:val="nil"/>
              <w:bottom w:val="nil"/>
              <w:right w:val="nil"/>
            </w:tcBorders>
            <w:shd w:val="clear" w:color="auto" w:fill="auto"/>
            <w:hideMark/>
          </w:tcPr>
          <w:p w14:paraId="4E61C17F" w14:textId="77777777" w:rsidR="00D11881" w:rsidRPr="00872D7E" w:rsidRDefault="00D11881" w:rsidP="00D11881">
            <w:pPr>
              <w:rPr>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174909D8"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680B5BBD" w14:textId="126CBE9C" w:rsidR="00D11881" w:rsidRPr="00872D7E" w:rsidRDefault="00D11881" w:rsidP="00D11881">
            <w:pPr>
              <w:jc w:val="right"/>
              <w:rPr>
                <w:sz w:val="14"/>
                <w:szCs w:val="14"/>
              </w:rPr>
            </w:pPr>
            <w:r w:rsidRPr="00872D7E">
              <w:rPr>
                <w:color w:val="000000"/>
                <w:sz w:val="14"/>
                <w:szCs w:val="14"/>
              </w:rPr>
              <w:t> </w:t>
            </w:r>
          </w:p>
        </w:tc>
      </w:tr>
      <w:tr w:rsidR="00D11881" w:rsidRPr="00872D7E" w14:paraId="547D2FC3"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1014F3E3" w14:textId="77777777" w:rsidR="00D11881" w:rsidRPr="00872D7E" w:rsidRDefault="00D11881" w:rsidP="00D11881">
            <w:pPr>
              <w:rPr>
                <w:b/>
                <w:bCs/>
                <w:sz w:val="14"/>
                <w:szCs w:val="14"/>
              </w:rPr>
            </w:pPr>
            <w:r w:rsidRPr="00872D7E">
              <w:rPr>
                <w:b/>
                <w:bCs/>
                <w:sz w:val="14"/>
                <w:szCs w:val="14"/>
              </w:rPr>
              <w:t>1.2</w:t>
            </w:r>
          </w:p>
        </w:tc>
        <w:tc>
          <w:tcPr>
            <w:tcW w:w="3175" w:type="pct"/>
            <w:tcBorders>
              <w:top w:val="nil"/>
              <w:left w:val="nil"/>
              <w:bottom w:val="nil"/>
              <w:right w:val="nil"/>
            </w:tcBorders>
            <w:shd w:val="clear" w:color="auto" w:fill="auto"/>
            <w:hideMark/>
          </w:tcPr>
          <w:p w14:paraId="0EDD0B4F" w14:textId="77777777" w:rsidR="00D11881" w:rsidRPr="00872D7E" w:rsidRDefault="00D11881" w:rsidP="00D11881">
            <w:pPr>
              <w:rPr>
                <w:b/>
                <w:bCs/>
                <w:sz w:val="14"/>
                <w:szCs w:val="14"/>
              </w:rPr>
            </w:pPr>
            <w:r w:rsidRPr="00872D7E">
              <w:rPr>
                <w:b/>
                <w:bCs/>
                <w:sz w:val="14"/>
                <w:szCs w:val="14"/>
              </w:rPr>
              <w:t>Bankacılık Faaliyetleri Konusu Varlık ve Yükümlülüklerdeki Değişim</w:t>
            </w:r>
          </w:p>
        </w:tc>
        <w:tc>
          <w:tcPr>
            <w:tcW w:w="442" w:type="pct"/>
            <w:tcBorders>
              <w:top w:val="nil"/>
              <w:left w:val="single" w:sz="4" w:space="0" w:color="auto"/>
              <w:bottom w:val="nil"/>
              <w:right w:val="single" w:sz="4" w:space="0" w:color="auto"/>
            </w:tcBorders>
            <w:shd w:val="clear" w:color="auto" w:fill="auto"/>
            <w:vAlign w:val="bottom"/>
            <w:hideMark/>
          </w:tcPr>
          <w:p w14:paraId="51077FE2"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27C1E50F" w14:textId="52B62205" w:rsidR="00D11881" w:rsidRPr="00872D7E" w:rsidRDefault="00D11881" w:rsidP="00D11881">
            <w:pPr>
              <w:jc w:val="right"/>
              <w:rPr>
                <w:b/>
                <w:bCs/>
                <w:sz w:val="14"/>
                <w:szCs w:val="14"/>
              </w:rPr>
            </w:pPr>
            <w:r w:rsidRPr="00872D7E">
              <w:rPr>
                <w:b/>
                <w:bCs/>
                <w:color w:val="000000"/>
                <w:sz w:val="14"/>
                <w:szCs w:val="14"/>
              </w:rPr>
              <w:t>(242.257)</w:t>
            </w:r>
          </w:p>
        </w:tc>
      </w:tr>
      <w:tr w:rsidR="00D11881" w:rsidRPr="00872D7E" w14:paraId="42CB8EA3"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19E3856" w14:textId="77777777" w:rsidR="00D11881" w:rsidRPr="00872D7E" w:rsidRDefault="00D11881" w:rsidP="00D11881">
            <w:pPr>
              <w:rPr>
                <w:sz w:val="14"/>
                <w:szCs w:val="14"/>
              </w:rPr>
            </w:pPr>
            <w:r w:rsidRPr="00872D7E">
              <w:rPr>
                <w:sz w:val="14"/>
                <w:szCs w:val="14"/>
              </w:rPr>
              <w:t> </w:t>
            </w:r>
          </w:p>
        </w:tc>
        <w:tc>
          <w:tcPr>
            <w:tcW w:w="3175" w:type="pct"/>
            <w:tcBorders>
              <w:top w:val="nil"/>
              <w:left w:val="nil"/>
              <w:bottom w:val="nil"/>
              <w:right w:val="nil"/>
            </w:tcBorders>
            <w:shd w:val="clear" w:color="auto" w:fill="auto"/>
            <w:hideMark/>
          </w:tcPr>
          <w:p w14:paraId="0DE415AF" w14:textId="77777777" w:rsidR="00D11881" w:rsidRPr="00872D7E" w:rsidRDefault="00D11881" w:rsidP="00D11881">
            <w:pPr>
              <w:rPr>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02209745"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3757EA7D" w14:textId="3C42EA8C" w:rsidR="00D11881" w:rsidRPr="00872D7E" w:rsidRDefault="00D11881" w:rsidP="00D11881">
            <w:pPr>
              <w:jc w:val="right"/>
              <w:rPr>
                <w:sz w:val="14"/>
                <w:szCs w:val="14"/>
              </w:rPr>
            </w:pPr>
            <w:r w:rsidRPr="00872D7E">
              <w:rPr>
                <w:color w:val="000000"/>
                <w:sz w:val="14"/>
                <w:szCs w:val="14"/>
              </w:rPr>
              <w:t> </w:t>
            </w:r>
          </w:p>
        </w:tc>
      </w:tr>
      <w:tr w:rsidR="00D11881" w:rsidRPr="00872D7E" w14:paraId="315C334C"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162BC9CD" w14:textId="77777777" w:rsidR="00D11881" w:rsidRPr="00872D7E" w:rsidRDefault="00D11881" w:rsidP="00D11881">
            <w:pPr>
              <w:rPr>
                <w:sz w:val="14"/>
                <w:szCs w:val="14"/>
              </w:rPr>
            </w:pPr>
            <w:r w:rsidRPr="00872D7E">
              <w:rPr>
                <w:sz w:val="14"/>
                <w:szCs w:val="14"/>
              </w:rPr>
              <w:t>1.2.1</w:t>
            </w:r>
          </w:p>
        </w:tc>
        <w:tc>
          <w:tcPr>
            <w:tcW w:w="3175" w:type="pct"/>
            <w:tcBorders>
              <w:top w:val="nil"/>
              <w:left w:val="nil"/>
              <w:bottom w:val="nil"/>
              <w:right w:val="nil"/>
            </w:tcBorders>
            <w:shd w:val="clear" w:color="auto" w:fill="auto"/>
            <w:hideMark/>
          </w:tcPr>
          <w:p w14:paraId="28E974FF" w14:textId="77777777" w:rsidR="00D11881" w:rsidRPr="00872D7E" w:rsidRDefault="00D11881" w:rsidP="00D11881">
            <w:pPr>
              <w:rPr>
                <w:sz w:val="14"/>
                <w:szCs w:val="14"/>
              </w:rPr>
            </w:pPr>
            <w:r w:rsidRPr="00872D7E">
              <w:rPr>
                <w:sz w:val="14"/>
                <w:szCs w:val="14"/>
              </w:rPr>
              <w:t>Gerçeğe Uygun Değer Farkı K/</w:t>
            </w:r>
            <w:proofErr w:type="spellStart"/>
            <w:r w:rsidRPr="00872D7E">
              <w:rPr>
                <w:sz w:val="14"/>
                <w:szCs w:val="14"/>
              </w:rPr>
              <w:t>Z’a</w:t>
            </w:r>
            <w:proofErr w:type="spellEnd"/>
            <w:r w:rsidRPr="00872D7E">
              <w:rPr>
                <w:sz w:val="14"/>
                <w:szCs w:val="14"/>
              </w:rPr>
              <w:t xml:space="preserve"> Yansıtılan </w:t>
            </w:r>
            <w:proofErr w:type="spellStart"/>
            <w:r w:rsidRPr="00872D7E">
              <w:rPr>
                <w:sz w:val="14"/>
                <w:szCs w:val="14"/>
              </w:rPr>
              <w:t>FV’larda</w:t>
            </w:r>
            <w:proofErr w:type="spellEnd"/>
            <w:r w:rsidRPr="00872D7E">
              <w:rPr>
                <w:sz w:val="14"/>
                <w:szCs w:val="14"/>
              </w:rPr>
              <w:t xml:space="preserve">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1F3A24F8"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14A8F8C4" w14:textId="45EE0876" w:rsidR="00D11881" w:rsidRPr="00872D7E" w:rsidRDefault="00D11881" w:rsidP="00D11881">
            <w:pPr>
              <w:jc w:val="right"/>
              <w:rPr>
                <w:sz w:val="14"/>
                <w:szCs w:val="14"/>
              </w:rPr>
            </w:pPr>
            <w:r w:rsidRPr="00872D7E">
              <w:rPr>
                <w:color w:val="000000"/>
                <w:sz w:val="14"/>
                <w:szCs w:val="14"/>
              </w:rPr>
              <w:t>(134.512)</w:t>
            </w:r>
          </w:p>
        </w:tc>
      </w:tr>
      <w:tr w:rsidR="00D11881" w:rsidRPr="00872D7E" w14:paraId="753B4E54"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3928B803" w14:textId="77777777" w:rsidR="00D11881" w:rsidRPr="00872D7E" w:rsidRDefault="00D11881" w:rsidP="00D11881">
            <w:pPr>
              <w:rPr>
                <w:sz w:val="14"/>
                <w:szCs w:val="14"/>
              </w:rPr>
            </w:pPr>
            <w:r w:rsidRPr="00872D7E">
              <w:rPr>
                <w:sz w:val="14"/>
                <w:szCs w:val="14"/>
              </w:rPr>
              <w:t>1.2.2</w:t>
            </w:r>
          </w:p>
        </w:tc>
        <w:tc>
          <w:tcPr>
            <w:tcW w:w="3175" w:type="pct"/>
            <w:tcBorders>
              <w:top w:val="nil"/>
              <w:left w:val="nil"/>
              <w:bottom w:val="nil"/>
              <w:right w:val="nil"/>
            </w:tcBorders>
            <w:shd w:val="clear" w:color="auto" w:fill="auto"/>
            <w:hideMark/>
          </w:tcPr>
          <w:p w14:paraId="6A2816EA" w14:textId="77777777" w:rsidR="00D11881" w:rsidRPr="00872D7E" w:rsidRDefault="00D11881" w:rsidP="00D11881">
            <w:pPr>
              <w:rPr>
                <w:sz w:val="14"/>
                <w:szCs w:val="14"/>
              </w:rPr>
            </w:pPr>
            <w:r w:rsidRPr="00872D7E">
              <w:rPr>
                <w:sz w:val="14"/>
                <w:szCs w:val="14"/>
              </w:rPr>
              <w:t>Bankalar Hesabındaki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1F040852"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78BFE82F" w14:textId="1B4C89A2" w:rsidR="00D11881" w:rsidRPr="00872D7E" w:rsidRDefault="00D11881" w:rsidP="00D11881">
            <w:pPr>
              <w:jc w:val="right"/>
              <w:rPr>
                <w:sz w:val="14"/>
                <w:szCs w:val="14"/>
              </w:rPr>
            </w:pPr>
            <w:r w:rsidRPr="00872D7E">
              <w:rPr>
                <w:color w:val="000000"/>
                <w:sz w:val="14"/>
                <w:szCs w:val="14"/>
              </w:rPr>
              <w:t>(2.005.191)</w:t>
            </w:r>
          </w:p>
        </w:tc>
      </w:tr>
      <w:tr w:rsidR="00D11881" w:rsidRPr="00872D7E" w14:paraId="6588835F"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7F38E512" w14:textId="77777777" w:rsidR="00D11881" w:rsidRPr="00872D7E" w:rsidRDefault="00D11881" w:rsidP="00D11881">
            <w:pPr>
              <w:rPr>
                <w:sz w:val="14"/>
                <w:szCs w:val="14"/>
              </w:rPr>
            </w:pPr>
            <w:r w:rsidRPr="00872D7E">
              <w:rPr>
                <w:sz w:val="14"/>
                <w:szCs w:val="14"/>
              </w:rPr>
              <w:t>1.2.3</w:t>
            </w:r>
          </w:p>
        </w:tc>
        <w:tc>
          <w:tcPr>
            <w:tcW w:w="3175" w:type="pct"/>
            <w:tcBorders>
              <w:top w:val="nil"/>
              <w:left w:val="nil"/>
              <w:bottom w:val="nil"/>
              <w:right w:val="nil"/>
            </w:tcBorders>
            <w:shd w:val="clear" w:color="auto" w:fill="auto"/>
            <w:hideMark/>
          </w:tcPr>
          <w:p w14:paraId="44B8EDC8" w14:textId="77777777" w:rsidR="00D11881" w:rsidRPr="00872D7E" w:rsidRDefault="00D11881" w:rsidP="00D11881">
            <w:pPr>
              <w:rPr>
                <w:sz w:val="14"/>
                <w:szCs w:val="14"/>
              </w:rPr>
            </w:pPr>
            <w:r w:rsidRPr="00872D7E">
              <w:rPr>
                <w:sz w:val="14"/>
                <w:szCs w:val="14"/>
              </w:rPr>
              <w:t>Kredilerdeki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0586F072"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24C2F046" w14:textId="1D287C72" w:rsidR="00D11881" w:rsidRPr="00872D7E" w:rsidRDefault="00D11881" w:rsidP="00D11881">
            <w:pPr>
              <w:jc w:val="right"/>
              <w:rPr>
                <w:sz w:val="14"/>
                <w:szCs w:val="14"/>
              </w:rPr>
            </w:pPr>
            <w:r w:rsidRPr="00872D7E">
              <w:rPr>
                <w:color w:val="000000"/>
                <w:sz w:val="14"/>
                <w:szCs w:val="14"/>
              </w:rPr>
              <w:t>(21.502.919)</w:t>
            </w:r>
          </w:p>
        </w:tc>
      </w:tr>
      <w:tr w:rsidR="00D11881" w:rsidRPr="00872D7E" w14:paraId="613844BF"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4124BA77" w14:textId="77777777" w:rsidR="00D11881" w:rsidRPr="00872D7E" w:rsidRDefault="00D11881" w:rsidP="00D11881">
            <w:pPr>
              <w:rPr>
                <w:sz w:val="14"/>
                <w:szCs w:val="14"/>
              </w:rPr>
            </w:pPr>
            <w:r w:rsidRPr="00872D7E">
              <w:rPr>
                <w:sz w:val="14"/>
                <w:szCs w:val="14"/>
              </w:rPr>
              <w:t>1.2.4</w:t>
            </w:r>
          </w:p>
        </w:tc>
        <w:tc>
          <w:tcPr>
            <w:tcW w:w="3175" w:type="pct"/>
            <w:tcBorders>
              <w:top w:val="nil"/>
              <w:left w:val="nil"/>
              <w:bottom w:val="nil"/>
              <w:right w:val="nil"/>
            </w:tcBorders>
            <w:shd w:val="clear" w:color="auto" w:fill="auto"/>
            <w:hideMark/>
          </w:tcPr>
          <w:p w14:paraId="391230BC" w14:textId="77777777" w:rsidR="00D11881" w:rsidRPr="00872D7E" w:rsidRDefault="00D11881" w:rsidP="00D11881">
            <w:pPr>
              <w:rPr>
                <w:sz w:val="14"/>
                <w:szCs w:val="14"/>
              </w:rPr>
            </w:pPr>
            <w:r w:rsidRPr="00872D7E">
              <w:rPr>
                <w:sz w:val="14"/>
                <w:szCs w:val="14"/>
              </w:rPr>
              <w:t>Diğer Varlıklarda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09E47D68"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1DABC1D8" w14:textId="314A4F5B" w:rsidR="00D11881" w:rsidRPr="00872D7E" w:rsidRDefault="00D11881" w:rsidP="00D11881">
            <w:pPr>
              <w:jc w:val="right"/>
              <w:rPr>
                <w:sz w:val="14"/>
                <w:szCs w:val="14"/>
              </w:rPr>
            </w:pPr>
            <w:r w:rsidRPr="00872D7E">
              <w:rPr>
                <w:color w:val="000000"/>
                <w:sz w:val="14"/>
                <w:szCs w:val="14"/>
              </w:rPr>
              <w:t>(314.462)</w:t>
            </w:r>
          </w:p>
        </w:tc>
      </w:tr>
      <w:tr w:rsidR="00D11881" w:rsidRPr="00872D7E" w14:paraId="479330D1"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46B245F4" w14:textId="77777777" w:rsidR="00D11881" w:rsidRPr="00872D7E" w:rsidRDefault="00D11881" w:rsidP="00D11881">
            <w:pPr>
              <w:rPr>
                <w:sz w:val="14"/>
                <w:szCs w:val="14"/>
              </w:rPr>
            </w:pPr>
            <w:r w:rsidRPr="00872D7E">
              <w:rPr>
                <w:sz w:val="14"/>
                <w:szCs w:val="14"/>
              </w:rPr>
              <w:t>1.2.5</w:t>
            </w:r>
          </w:p>
        </w:tc>
        <w:tc>
          <w:tcPr>
            <w:tcW w:w="3175" w:type="pct"/>
            <w:tcBorders>
              <w:top w:val="nil"/>
              <w:left w:val="nil"/>
              <w:bottom w:val="nil"/>
              <w:right w:val="nil"/>
            </w:tcBorders>
            <w:shd w:val="clear" w:color="auto" w:fill="auto"/>
            <w:hideMark/>
          </w:tcPr>
          <w:p w14:paraId="40327111" w14:textId="77777777" w:rsidR="00D11881" w:rsidRPr="00872D7E" w:rsidRDefault="00D11881" w:rsidP="00D11881">
            <w:pPr>
              <w:rPr>
                <w:sz w:val="14"/>
                <w:szCs w:val="14"/>
              </w:rPr>
            </w:pPr>
            <w:r w:rsidRPr="00872D7E">
              <w:rPr>
                <w:sz w:val="14"/>
                <w:szCs w:val="14"/>
              </w:rPr>
              <w:t>Bankalardan Toplanan Fonlarda Net Azalış)</w:t>
            </w:r>
          </w:p>
        </w:tc>
        <w:tc>
          <w:tcPr>
            <w:tcW w:w="442" w:type="pct"/>
            <w:tcBorders>
              <w:top w:val="nil"/>
              <w:left w:val="single" w:sz="4" w:space="0" w:color="auto"/>
              <w:bottom w:val="nil"/>
              <w:right w:val="single" w:sz="4" w:space="0" w:color="auto"/>
            </w:tcBorders>
            <w:shd w:val="clear" w:color="auto" w:fill="auto"/>
            <w:vAlign w:val="bottom"/>
            <w:hideMark/>
          </w:tcPr>
          <w:p w14:paraId="6A286154"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2A2AD0A6" w14:textId="63D8911A" w:rsidR="00D11881" w:rsidRPr="00872D7E" w:rsidRDefault="00D11881" w:rsidP="00D11881">
            <w:pPr>
              <w:jc w:val="right"/>
              <w:rPr>
                <w:sz w:val="14"/>
                <w:szCs w:val="14"/>
              </w:rPr>
            </w:pPr>
            <w:r w:rsidRPr="00872D7E">
              <w:rPr>
                <w:color w:val="000000"/>
                <w:sz w:val="14"/>
                <w:szCs w:val="14"/>
              </w:rPr>
              <w:t>2.136</w:t>
            </w:r>
          </w:p>
        </w:tc>
      </w:tr>
      <w:tr w:rsidR="00D11881" w:rsidRPr="00872D7E" w14:paraId="6C92D8C5"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74C4AAD3" w14:textId="77777777" w:rsidR="00D11881" w:rsidRPr="00872D7E" w:rsidRDefault="00D11881" w:rsidP="00D11881">
            <w:pPr>
              <w:rPr>
                <w:sz w:val="14"/>
                <w:szCs w:val="14"/>
              </w:rPr>
            </w:pPr>
            <w:r w:rsidRPr="00872D7E">
              <w:rPr>
                <w:sz w:val="14"/>
                <w:szCs w:val="14"/>
              </w:rPr>
              <w:t>1.2.6</w:t>
            </w:r>
          </w:p>
        </w:tc>
        <w:tc>
          <w:tcPr>
            <w:tcW w:w="3175" w:type="pct"/>
            <w:tcBorders>
              <w:top w:val="nil"/>
              <w:left w:val="nil"/>
              <w:bottom w:val="nil"/>
              <w:right w:val="nil"/>
            </w:tcBorders>
            <w:shd w:val="clear" w:color="auto" w:fill="auto"/>
            <w:hideMark/>
          </w:tcPr>
          <w:p w14:paraId="37DA45E2" w14:textId="77777777" w:rsidR="00D11881" w:rsidRPr="00872D7E" w:rsidRDefault="00D11881" w:rsidP="00D11881">
            <w:pPr>
              <w:rPr>
                <w:sz w:val="14"/>
                <w:szCs w:val="14"/>
              </w:rPr>
            </w:pPr>
            <w:r w:rsidRPr="00872D7E">
              <w:rPr>
                <w:sz w:val="14"/>
                <w:szCs w:val="14"/>
              </w:rPr>
              <w:t>Diğer Toplanan Fonlarda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4BB7B1DD"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612F3F0E" w14:textId="67EDCC87" w:rsidR="00D11881" w:rsidRPr="00872D7E" w:rsidRDefault="00D11881" w:rsidP="00D11881">
            <w:pPr>
              <w:jc w:val="right"/>
              <w:rPr>
                <w:sz w:val="14"/>
                <w:szCs w:val="14"/>
              </w:rPr>
            </w:pPr>
            <w:r w:rsidRPr="00872D7E">
              <w:rPr>
                <w:color w:val="000000"/>
                <w:sz w:val="14"/>
                <w:szCs w:val="14"/>
              </w:rPr>
              <w:t>22.832.771</w:t>
            </w:r>
          </w:p>
        </w:tc>
      </w:tr>
      <w:tr w:rsidR="00D11881" w:rsidRPr="00872D7E" w14:paraId="09A9FBDD"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5892F1DB" w14:textId="77777777" w:rsidR="00D11881" w:rsidRPr="00872D7E" w:rsidRDefault="00D11881" w:rsidP="00D11881">
            <w:pPr>
              <w:rPr>
                <w:sz w:val="14"/>
                <w:szCs w:val="14"/>
              </w:rPr>
            </w:pPr>
            <w:r w:rsidRPr="00872D7E">
              <w:rPr>
                <w:sz w:val="14"/>
                <w:szCs w:val="14"/>
              </w:rPr>
              <w:t>1.2.7</w:t>
            </w:r>
          </w:p>
        </w:tc>
        <w:tc>
          <w:tcPr>
            <w:tcW w:w="3175" w:type="pct"/>
            <w:tcBorders>
              <w:top w:val="nil"/>
              <w:left w:val="nil"/>
              <w:bottom w:val="nil"/>
              <w:right w:val="nil"/>
            </w:tcBorders>
            <w:shd w:val="clear" w:color="auto" w:fill="auto"/>
            <w:hideMark/>
          </w:tcPr>
          <w:p w14:paraId="185534CE" w14:textId="77777777" w:rsidR="00D11881" w:rsidRPr="00872D7E" w:rsidRDefault="00D11881" w:rsidP="00D11881">
            <w:pPr>
              <w:rPr>
                <w:sz w:val="14"/>
                <w:szCs w:val="14"/>
              </w:rPr>
            </w:pPr>
            <w:r w:rsidRPr="00872D7E">
              <w:rPr>
                <w:sz w:val="14"/>
                <w:szCs w:val="14"/>
              </w:rPr>
              <w:t>Gerçeğe Uygun Değer Farkı K/</w:t>
            </w:r>
            <w:proofErr w:type="spellStart"/>
            <w:r w:rsidRPr="00872D7E">
              <w:rPr>
                <w:sz w:val="14"/>
                <w:szCs w:val="14"/>
              </w:rPr>
              <w:t>Z’a</w:t>
            </w:r>
            <w:proofErr w:type="spellEnd"/>
            <w:r w:rsidRPr="00872D7E">
              <w:rPr>
                <w:sz w:val="14"/>
                <w:szCs w:val="14"/>
              </w:rPr>
              <w:t xml:space="preserve"> Yansıtılan </w:t>
            </w:r>
            <w:proofErr w:type="spellStart"/>
            <w:r w:rsidRPr="00872D7E">
              <w:rPr>
                <w:sz w:val="14"/>
                <w:szCs w:val="14"/>
              </w:rPr>
              <w:t>FY’lerde</w:t>
            </w:r>
            <w:proofErr w:type="spellEnd"/>
            <w:r w:rsidRPr="00872D7E">
              <w:rPr>
                <w:sz w:val="14"/>
                <w:szCs w:val="14"/>
              </w:rPr>
              <w:t xml:space="preserve">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17D778F0"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40474835" w14:textId="40BAAEE3" w:rsidR="00D11881" w:rsidRPr="00872D7E" w:rsidRDefault="00D11881" w:rsidP="00D11881">
            <w:pPr>
              <w:jc w:val="right"/>
              <w:rPr>
                <w:sz w:val="14"/>
                <w:szCs w:val="14"/>
              </w:rPr>
            </w:pPr>
            <w:r w:rsidRPr="00872D7E">
              <w:rPr>
                <w:color w:val="000000"/>
                <w:sz w:val="14"/>
                <w:szCs w:val="14"/>
              </w:rPr>
              <w:t>-</w:t>
            </w:r>
          </w:p>
        </w:tc>
      </w:tr>
      <w:tr w:rsidR="00D11881" w:rsidRPr="00872D7E" w14:paraId="07443648"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59300242" w14:textId="77777777" w:rsidR="00D11881" w:rsidRPr="00872D7E" w:rsidRDefault="00D11881" w:rsidP="00D11881">
            <w:pPr>
              <w:rPr>
                <w:sz w:val="14"/>
                <w:szCs w:val="14"/>
              </w:rPr>
            </w:pPr>
            <w:r w:rsidRPr="00872D7E">
              <w:rPr>
                <w:sz w:val="14"/>
                <w:szCs w:val="14"/>
              </w:rPr>
              <w:t>1.2.8</w:t>
            </w:r>
          </w:p>
        </w:tc>
        <w:tc>
          <w:tcPr>
            <w:tcW w:w="3175" w:type="pct"/>
            <w:tcBorders>
              <w:top w:val="nil"/>
              <w:left w:val="nil"/>
              <w:bottom w:val="nil"/>
              <w:right w:val="nil"/>
            </w:tcBorders>
            <w:shd w:val="clear" w:color="auto" w:fill="auto"/>
            <w:hideMark/>
          </w:tcPr>
          <w:p w14:paraId="21D387ED" w14:textId="77777777" w:rsidR="00D11881" w:rsidRPr="00872D7E" w:rsidRDefault="00D11881" w:rsidP="00D11881">
            <w:pPr>
              <w:rPr>
                <w:sz w:val="14"/>
                <w:szCs w:val="14"/>
              </w:rPr>
            </w:pPr>
            <w:r w:rsidRPr="00872D7E">
              <w:rPr>
                <w:sz w:val="14"/>
                <w:szCs w:val="14"/>
              </w:rPr>
              <w:t>Alınan Kredilerdeki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4B1262CB"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1B64DB77" w14:textId="694F2CA8" w:rsidR="00D11881" w:rsidRPr="00872D7E" w:rsidRDefault="00D11881" w:rsidP="00D11881">
            <w:pPr>
              <w:jc w:val="right"/>
              <w:rPr>
                <w:sz w:val="14"/>
                <w:szCs w:val="14"/>
              </w:rPr>
            </w:pPr>
            <w:r w:rsidRPr="00872D7E">
              <w:rPr>
                <w:color w:val="000000"/>
                <w:sz w:val="14"/>
                <w:szCs w:val="14"/>
              </w:rPr>
              <w:t>-</w:t>
            </w:r>
          </w:p>
        </w:tc>
      </w:tr>
      <w:tr w:rsidR="00D11881" w:rsidRPr="00872D7E" w14:paraId="0DCF757A"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5EE317A9" w14:textId="77777777" w:rsidR="00D11881" w:rsidRPr="00872D7E" w:rsidRDefault="00D11881" w:rsidP="00D11881">
            <w:pPr>
              <w:rPr>
                <w:sz w:val="14"/>
                <w:szCs w:val="14"/>
              </w:rPr>
            </w:pPr>
            <w:r w:rsidRPr="00872D7E">
              <w:rPr>
                <w:sz w:val="14"/>
                <w:szCs w:val="14"/>
              </w:rPr>
              <w:t>1.2.9</w:t>
            </w:r>
          </w:p>
        </w:tc>
        <w:tc>
          <w:tcPr>
            <w:tcW w:w="3175" w:type="pct"/>
            <w:tcBorders>
              <w:top w:val="nil"/>
              <w:left w:val="nil"/>
              <w:bottom w:val="nil"/>
              <w:right w:val="nil"/>
            </w:tcBorders>
            <w:shd w:val="clear" w:color="auto" w:fill="auto"/>
            <w:hideMark/>
          </w:tcPr>
          <w:p w14:paraId="490F8E61" w14:textId="77777777" w:rsidR="00D11881" w:rsidRPr="00872D7E" w:rsidRDefault="00D11881" w:rsidP="00D11881">
            <w:pPr>
              <w:rPr>
                <w:sz w:val="14"/>
                <w:szCs w:val="14"/>
              </w:rPr>
            </w:pPr>
            <w:r w:rsidRPr="00872D7E">
              <w:rPr>
                <w:sz w:val="14"/>
                <w:szCs w:val="14"/>
              </w:rPr>
              <w:t>Vadesi Gelmiş Borçlarda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74D5ECDC"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4DECBB04" w14:textId="18E5F8DE" w:rsidR="00D11881" w:rsidRPr="00872D7E" w:rsidRDefault="00D11881" w:rsidP="00D11881">
            <w:pPr>
              <w:jc w:val="right"/>
              <w:rPr>
                <w:sz w:val="14"/>
                <w:szCs w:val="14"/>
              </w:rPr>
            </w:pPr>
            <w:r w:rsidRPr="00872D7E">
              <w:rPr>
                <w:color w:val="000000"/>
                <w:sz w:val="14"/>
                <w:szCs w:val="14"/>
              </w:rPr>
              <w:t>-</w:t>
            </w:r>
          </w:p>
        </w:tc>
      </w:tr>
      <w:tr w:rsidR="00D11881" w:rsidRPr="00872D7E" w14:paraId="210C5A61"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ADA87CF" w14:textId="77777777" w:rsidR="00D11881" w:rsidRPr="00872D7E" w:rsidRDefault="00D11881" w:rsidP="00D11881">
            <w:pPr>
              <w:rPr>
                <w:sz w:val="14"/>
                <w:szCs w:val="14"/>
              </w:rPr>
            </w:pPr>
            <w:r w:rsidRPr="00872D7E">
              <w:rPr>
                <w:sz w:val="14"/>
                <w:szCs w:val="14"/>
              </w:rPr>
              <w:t>1.2.10</w:t>
            </w:r>
          </w:p>
        </w:tc>
        <w:tc>
          <w:tcPr>
            <w:tcW w:w="3175" w:type="pct"/>
            <w:tcBorders>
              <w:top w:val="nil"/>
              <w:left w:val="nil"/>
              <w:bottom w:val="nil"/>
              <w:right w:val="nil"/>
            </w:tcBorders>
            <w:shd w:val="clear" w:color="auto" w:fill="auto"/>
            <w:hideMark/>
          </w:tcPr>
          <w:p w14:paraId="5C98FCC5" w14:textId="77777777" w:rsidR="00D11881" w:rsidRPr="00872D7E" w:rsidRDefault="00D11881" w:rsidP="00D11881">
            <w:pPr>
              <w:rPr>
                <w:sz w:val="14"/>
                <w:szCs w:val="14"/>
              </w:rPr>
            </w:pPr>
            <w:r w:rsidRPr="00872D7E">
              <w:rPr>
                <w:sz w:val="14"/>
                <w:szCs w:val="14"/>
              </w:rPr>
              <w:t>Diğer Borçlarda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7425F30C" w14:textId="77777777" w:rsidR="00D11881" w:rsidRPr="00872D7E" w:rsidRDefault="00D11881" w:rsidP="00D11881">
            <w:pPr>
              <w:jc w:val="center"/>
              <w:rPr>
                <w:sz w:val="14"/>
                <w:szCs w:val="14"/>
                <w:lang w:eastAsia="tr-TR"/>
              </w:rPr>
            </w:pPr>
            <w:r w:rsidRPr="00872D7E">
              <w:rPr>
                <w:sz w:val="14"/>
                <w:szCs w:val="14"/>
              </w:rPr>
              <w:t>(V-VI-3</w:t>
            </w:r>
            <w:r w:rsidRPr="00872D7E">
              <w:rPr>
                <w:sz w:val="14"/>
                <w:szCs w:val="14"/>
                <w:lang w:eastAsia="tr-TR"/>
              </w:rPr>
              <w:t>)</w:t>
            </w:r>
          </w:p>
        </w:tc>
        <w:tc>
          <w:tcPr>
            <w:tcW w:w="1071" w:type="pct"/>
            <w:tcBorders>
              <w:top w:val="nil"/>
              <w:left w:val="nil"/>
              <w:bottom w:val="nil"/>
              <w:right w:val="single" w:sz="4" w:space="0" w:color="auto"/>
            </w:tcBorders>
            <w:shd w:val="clear" w:color="auto" w:fill="auto"/>
            <w:vAlign w:val="bottom"/>
            <w:hideMark/>
          </w:tcPr>
          <w:p w14:paraId="6EE9F942" w14:textId="2DEB42E1" w:rsidR="00D11881" w:rsidRPr="00872D7E" w:rsidRDefault="00D11881" w:rsidP="00D11881">
            <w:pPr>
              <w:jc w:val="right"/>
              <w:rPr>
                <w:sz w:val="14"/>
                <w:szCs w:val="14"/>
              </w:rPr>
            </w:pPr>
            <w:r w:rsidRPr="00872D7E">
              <w:rPr>
                <w:color w:val="000000"/>
                <w:sz w:val="14"/>
                <w:szCs w:val="14"/>
              </w:rPr>
              <w:t>879.920</w:t>
            </w:r>
          </w:p>
        </w:tc>
      </w:tr>
      <w:tr w:rsidR="00D11881" w:rsidRPr="00872D7E" w14:paraId="3C1E2665"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71F40963"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3A19061D"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6D0C56C8"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0D6A251B" w14:textId="5E9A4EBB" w:rsidR="00D11881" w:rsidRPr="00872D7E" w:rsidRDefault="00D11881" w:rsidP="00D11881">
            <w:pPr>
              <w:jc w:val="right"/>
              <w:rPr>
                <w:sz w:val="14"/>
                <w:szCs w:val="14"/>
              </w:rPr>
            </w:pPr>
            <w:r w:rsidRPr="00872D7E">
              <w:rPr>
                <w:color w:val="000000"/>
                <w:sz w:val="14"/>
                <w:szCs w:val="14"/>
              </w:rPr>
              <w:t> </w:t>
            </w:r>
          </w:p>
        </w:tc>
      </w:tr>
      <w:tr w:rsidR="00D11881" w:rsidRPr="00872D7E" w14:paraId="24EE2ED4"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BB3C343" w14:textId="77777777" w:rsidR="00D11881" w:rsidRPr="00872D7E" w:rsidRDefault="00D11881" w:rsidP="00D11881">
            <w:pPr>
              <w:rPr>
                <w:b/>
                <w:bCs/>
                <w:sz w:val="14"/>
                <w:szCs w:val="14"/>
              </w:rPr>
            </w:pPr>
            <w:r w:rsidRPr="00872D7E">
              <w:rPr>
                <w:b/>
                <w:bCs/>
                <w:sz w:val="14"/>
                <w:szCs w:val="14"/>
              </w:rPr>
              <w:t>I.</w:t>
            </w:r>
          </w:p>
        </w:tc>
        <w:tc>
          <w:tcPr>
            <w:tcW w:w="3175" w:type="pct"/>
            <w:tcBorders>
              <w:top w:val="nil"/>
              <w:left w:val="nil"/>
              <w:bottom w:val="nil"/>
              <w:right w:val="nil"/>
            </w:tcBorders>
            <w:shd w:val="clear" w:color="auto" w:fill="auto"/>
            <w:hideMark/>
          </w:tcPr>
          <w:p w14:paraId="6A56C19F" w14:textId="77777777" w:rsidR="00D11881" w:rsidRPr="00872D7E" w:rsidRDefault="00D11881" w:rsidP="00D11881">
            <w:pPr>
              <w:rPr>
                <w:b/>
                <w:bCs/>
                <w:sz w:val="14"/>
                <w:szCs w:val="14"/>
              </w:rPr>
            </w:pPr>
            <w:r w:rsidRPr="00872D7E">
              <w:rPr>
                <w:b/>
                <w:bCs/>
                <w:sz w:val="14"/>
                <w:szCs w:val="14"/>
              </w:rPr>
              <w:t>Bankacılık Faaliyetlerinden Kaynaklanan Net Nakit Akışı</w:t>
            </w:r>
          </w:p>
        </w:tc>
        <w:tc>
          <w:tcPr>
            <w:tcW w:w="442" w:type="pct"/>
            <w:tcBorders>
              <w:top w:val="nil"/>
              <w:left w:val="single" w:sz="4" w:space="0" w:color="auto"/>
              <w:bottom w:val="nil"/>
              <w:right w:val="single" w:sz="4" w:space="0" w:color="auto"/>
            </w:tcBorders>
            <w:shd w:val="clear" w:color="auto" w:fill="auto"/>
            <w:vAlign w:val="bottom"/>
            <w:hideMark/>
          </w:tcPr>
          <w:p w14:paraId="1D4EDA57"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751AEC75" w14:textId="71DD1BF1" w:rsidR="00D11881" w:rsidRPr="00872D7E" w:rsidRDefault="00D11881" w:rsidP="00D11881">
            <w:pPr>
              <w:jc w:val="right"/>
              <w:rPr>
                <w:b/>
                <w:bCs/>
                <w:sz w:val="14"/>
                <w:szCs w:val="14"/>
              </w:rPr>
            </w:pPr>
            <w:r w:rsidRPr="00872D7E">
              <w:rPr>
                <w:b/>
                <w:bCs/>
                <w:color w:val="000000"/>
                <w:sz w:val="14"/>
                <w:szCs w:val="14"/>
              </w:rPr>
              <w:t>624.489</w:t>
            </w:r>
          </w:p>
        </w:tc>
      </w:tr>
      <w:tr w:rsidR="00D11881" w:rsidRPr="00872D7E" w14:paraId="22690343"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0874B43"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415F37C9"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7CEBE9D1"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0175E1ED" w14:textId="0A3DEEE3" w:rsidR="00D11881" w:rsidRPr="00872D7E" w:rsidRDefault="00D11881" w:rsidP="00D11881">
            <w:pPr>
              <w:jc w:val="right"/>
              <w:rPr>
                <w:sz w:val="14"/>
                <w:szCs w:val="14"/>
              </w:rPr>
            </w:pPr>
            <w:r w:rsidRPr="00872D7E">
              <w:rPr>
                <w:color w:val="000000"/>
                <w:sz w:val="14"/>
                <w:szCs w:val="14"/>
              </w:rPr>
              <w:t> </w:t>
            </w:r>
          </w:p>
        </w:tc>
      </w:tr>
      <w:tr w:rsidR="00D11881" w:rsidRPr="00872D7E" w14:paraId="0399A5E3"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31AEE3BB" w14:textId="77777777" w:rsidR="00D11881" w:rsidRPr="00872D7E" w:rsidRDefault="00D11881" w:rsidP="00D11881">
            <w:pPr>
              <w:rPr>
                <w:b/>
                <w:bCs/>
                <w:sz w:val="14"/>
                <w:szCs w:val="14"/>
              </w:rPr>
            </w:pPr>
            <w:r w:rsidRPr="00872D7E">
              <w:rPr>
                <w:b/>
                <w:bCs/>
                <w:sz w:val="14"/>
                <w:szCs w:val="14"/>
              </w:rPr>
              <w:t>B.</w:t>
            </w:r>
          </w:p>
        </w:tc>
        <w:tc>
          <w:tcPr>
            <w:tcW w:w="3175" w:type="pct"/>
            <w:tcBorders>
              <w:top w:val="nil"/>
              <w:left w:val="nil"/>
              <w:bottom w:val="nil"/>
              <w:right w:val="nil"/>
            </w:tcBorders>
            <w:shd w:val="clear" w:color="auto" w:fill="auto"/>
            <w:hideMark/>
          </w:tcPr>
          <w:p w14:paraId="1D63395E" w14:textId="77777777" w:rsidR="00D11881" w:rsidRPr="00872D7E" w:rsidRDefault="00D11881" w:rsidP="00D11881">
            <w:pPr>
              <w:rPr>
                <w:b/>
                <w:bCs/>
                <w:sz w:val="14"/>
                <w:szCs w:val="14"/>
              </w:rPr>
            </w:pPr>
            <w:r w:rsidRPr="00872D7E">
              <w:rPr>
                <w:b/>
                <w:bCs/>
                <w:sz w:val="14"/>
                <w:szCs w:val="14"/>
              </w:rPr>
              <w:t>YATIRIM FAALİYETLERİNE İLİŞKİN NAKİT AKIŞLARI</w:t>
            </w:r>
          </w:p>
        </w:tc>
        <w:tc>
          <w:tcPr>
            <w:tcW w:w="442" w:type="pct"/>
            <w:tcBorders>
              <w:top w:val="nil"/>
              <w:left w:val="single" w:sz="4" w:space="0" w:color="auto"/>
              <w:bottom w:val="nil"/>
              <w:right w:val="single" w:sz="4" w:space="0" w:color="auto"/>
            </w:tcBorders>
            <w:shd w:val="clear" w:color="auto" w:fill="auto"/>
            <w:vAlign w:val="bottom"/>
            <w:hideMark/>
          </w:tcPr>
          <w:p w14:paraId="029C7E5E"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48A88240" w14:textId="40E29A20" w:rsidR="00D11881" w:rsidRPr="00872D7E" w:rsidRDefault="00D11881" w:rsidP="00D11881">
            <w:pPr>
              <w:jc w:val="right"/>
              <w:rPr>
                <w:sz w:val="14"/>
                <w:szCs w:val="14"/>
              </w:rPr>
            </w:pPr>
            <w:r w:rsidRPr="00872D7E">
              <w:rPr>
                <w:color w:val="000000"/>
                <w:sz w:val="14"/>
                <w:szCs w:val="14"/>
              </w:rPr>
              <w:t> </w:t>
            </w:r>
          </w:p>
        </w:tc>
      </w:tr>
      <w:tr w:rsidR="00D11881" w:rsidRPr="00872D7E" w14:paraId="74B4EE0B"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387DB2FB"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494825E5"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6FE28C71"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6132CB7A" w14:textId="343D8F69" w:rsidR="00D11881" w:rsidRPr="00872D7E" w:rsidRDefault="00D11881" w:rsidP="00D11881">
            <w:pPr>
              <w:jc w:val="right"/>
              <w:rPr>
                <w:sz w:val="14"/>
                <w:szCs w:val="14"/>
              </w:rPr>
            </w:pPr>
            <w:r w:rsidRPr="00872D7E">
              <w:rPr>
                <w:color w:val="000000"/>
                <w:sz w:val="14"/>
                <w:szCs w:val="14"/>
              </w:rPr>
              <w:t> </w:t>
            </w:r>
          </w:p>
        </w:tc>
      </w:tr>
      <w:tr w:rsidR="00D11881" w:rsidRPr="00872D7E" w14:paraId="5C561846"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5C1D1D52" w14:textId="77777777" w:rsidR="00D11881" w:rsidRPr="00872D7E" w:rsidRDefault="00D11881" w:rsidP="00D11881">
            <w:pPr>
              <w:rPr>
                <w:b/>
                <w:bCs/>
                <w:sz w:val="14"/>
                <w:szCs w:val="14"/>
              </w:rPr>
            </w:pPr>
            <w:r w:rsidRPr="00872D7E">
              <w:rPr>
                <w:b/>
                <w:bCs/>
                <w:sz w:val="14"/>
                <w:szCs w:val="14"/>
              </w:rPr>
              <w:t>II.</w:t>
            </w:r>
          </w:p>
        </w:tc>
        <w:tc>
          <w:tcPr>
            <w:tcW w:w="3175" w:type="pct"/>
            <w:tcBorders>
              <w:top w:val="nil"/>
              <w:left w:val="nil"/>
              <w:bottom w:val="nil"/>
              <w:right w:val="nil"/>
            </w:tcBorders>
            <w:shd w:val="clear" w:color="auto" w:fill="auto"/>
            <w:hideMark/>
          </w:tcPr>
          <w:p w14:paraId="63FAC068" w14:textId="77777777" w:rsidR="00D11881" w:rsidRPr="00872D7E" w:rsidRDefault="00D11881" w:rsidP="00D11881">
            <w:pPr>
              <w:rPr>
                <w:b/>
                <w:bCs/>
                <w:sz w:val="14"/>
                <w:szCs w:val="14"/>
              </w:rPr>
            </w:pPr>
            <w:r w:rsidRPr="00872D7E">
              <w:rPr>
                <w:b/>
                <w:bCs/>
                <w:sz w:val="14"/>
                <w:szCs w:val="14"/>
              </w:rPr>
              <w:t>Yatırım Faaliyetlerinden Kaynaklanan Net Nakit Akışı</w:t>
            </w:r>
          </w:p>
        </w:tc>
        <w:tc>
          <w:tcPr>
            <w:tcW w:w="442" w:type="pct"/>
            <w:tcBorders>
              <w:top w:val="nil"/>
              <w:left w:val="single" w:sz="4" w:space="0" w:color="auto"/>
              <w:bottom w:val="nil"/>
              <w:right w:val="single" w:sz="4" w:space="0" w:color="auto"/>
            </w:tcBorders>
            <w:shd w:val="clear" w:color="auto" w:fill="auto"/>
            <w:vAlign w:val="bottom"/>
            <w:hideMark/>
          </w:tcPr>
          <w:p w14:paraId="25B44C05"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10D5276C" w14:textId="5875F5EB" w:rsidR="00D11881" w:rsidRPr="00872D7E" w:rsidRDefault="00D11881" w:rsidP="00D11881">
            <w:pPr>
              <w:jc w:val="right"/>
              <w:rPr>
                <w:b/>
                <w:bCs/>
                <w:sz w:val="14"/>
                <w:szCs w:val="14"/>
                <w:lang w:eastAsia="tr-TR"/>
              </w:rPr>
            </w:pPr>
            <w:r w:rsidRPr="00872D7E">
              <w:rPr>
                <w:b/>
                <w:bCs/>
                <w:color w:val="000000"/>
                <w:sz w:val="14"/>
                <w:szCs w:val="14"/>
              </w:rPr>
              <w:t>(1.966.316)</w:t>
            </w:r>
          </w:p>
        </w:tc>
      </w:tr>
      <w:tr w:rsidR="00D11881" w:rsidRPr="00872D7E" w14:paraId="4FABFC16"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DEE1E8D" w14:textId="77777777" w:rsidR="00D11881" w:rsidRPr="00872D7E" w:rsidRDefault="00D11881" w:rsidP="00D11881">
            <w:pPr>
              <w:rPr>
                <w:sz w:val="14"/>
                <w:szCs w:val="14"/>
              </w:rPr>
            </w:pPr>
            <w:r w:rsidRPr="00872D7E">
              <w:rPr>
                <w:sz w:val="14"/>
                <w:szCs w:val="14"/>
              </w:rPr>
              <w:t> </w:t>
            </w:r>
          </w:p>
        </w:tc>
        <w:tc>
          <w:tcPr>
            <w:tcW w:w="3175" w:type="pct"/>
            <w:tcBorders>
              <w:top w:val="nil"/>
              <w:left w:val="nil"/>
              <w:bottom w:val="nil"/>
              <w:right w:val="nil"/>
            </w:tcBorders>
            <w:shd w:val="clear" w:color="auto" w:fill="auto"/>
            <w:hideMark/>
          </w:tcPr>
          <w:p w14:paraId="6317015B" w14:textId="77777777" w:rsidR="00D11881" w:rsidRPr="00872D7E" w:rsidRDefault="00D11881" w:rsidP="00D11881">
            <w:pPr>
              <w:rPr>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049BDCE6"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6A76190D" w14:textId="7677F1CA" w:rsidR="00D11881" w:rsidRPr="00872D7E" w:rsidRDefault="00D11881" w:rsidP="00D11881">
            <w:pPr>
              <w:jc w:val="right"/>
              <w:rPr>
                <w:sz w:val="14"/>
                <w:szCs w:val="14"/>
              </w:rPr>
            </w:pPr>
            <w:r w:rsidRPr="00872D7E">
              <w:rPr>
                <w:color w:val="000000"/>
                <w:sz w:val="14"/>
                <w:szCs w:val="14"/>
              </w:rPr>
              <w:t> </w:t>
            </w:r>
          </w:p>
        </w:tc>
      </w:tr>
      <w:tr w:rsidR="00D11881" w:rsidRPr="00872D7E" w14:paraId="566A0C32"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13F2B535" w14:textId="77777777" w:rsidR="00D11881" w:rsidRPr="00872D7E" w:rsidRDefault="00D11881" w:rsidP="00D11881">
            <w:pPr>
              <w:rPr>
                <w:sz w:val="14"/>
                <w:szCs w:val="14"/>
              </w:rPr>
            </w:pPr>
            <w:r w:rsidRPr="00872D7E">
              <w:rPr>
                <w:sz w:val="14"/>
                <w:szCs w:val="14"/>
              </w:rPr>
              <w:t>2.1</w:t>
            </w:r>
          </w:p>
        </w:tc>
        <w:tc>
          <w:tcPr>
            <w:tcW w:w="3175" w:type="pct"/>
            <w:tcBorders>
              <w:top w:val="nil"/>
              <w:left w:val="nil"/>
              <w:bottom w:val="nil"/>
              <w:right w:val="nil"/>
            </w:tcBorders>
            <w:shd w:val="clear" w:color="auto" w:fill="auto"/>
            <w:hideMark/>
          </w:tcPr>
          <w:p w14:paraId="611E643B" w14:textId="77777777" w:rsidR="00D11881" w:rsidRPr="00872D7E" w:rsidRDefault="00D11881" w:rsidP="00D11881">
            <w:pPr>
              <w:rPr>
                <w:sz w:val="14"/>
                <w:szCs w:val="14"/>
              </w:rPr>
            </w:pPr>
            <w:r w:rsidRPr="00872D7E">
              <w:rPr>
                <w:sz w:val="14"/>
                <w:szCs w:val="14"/>
              </w:rPr>
              <w:t>İktisap Edilen İştirakler, Bağlı Ortaklıklar ve Birlikte Kontrol Edilen Ortaklıklar (İş Ortaklıkları)</w:t>
            </w:r>
          </w:p>
        </w:tc>
        <w:tc>
          <w:tcPr>
            <w:tcW w:w="442" w:type="pct"/>
            <w:tcBorders>
              <w:top w:val="nil"/>
              <w:left w:val="single" w:sz="4" w:space="0" w:color="auto"/>
              <w:bottom w:val="nil"/>
              <w:right w:val="single" w:sz="4" w:space="0" w:color="auto"/>
            </w:tcBorders>
            <w:shd w:val="clear" w:color="auto" w:fill="auto"/>
            <w:vAlign w:val="bottom"/>
            <w:hideMark/>
          </w:tcPr>
          <w:p w14:paraId="65F80B31"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77D235E2" w14:textId="4726EB2C" w:rsidR="00D11881" w:rsidRPr="00872D7E" w:rsidRDefault="00D11881" w:rsidP="00D11881">
            <w:pPr>
              <w:jc w:val="right"/>
              <w:rPr>
                <w:sz w:val="14"/>
                <w:szCs w:val="14"/>
              </w:rPr>
            </w:pPr>
            <w:r w:rsidRPr="00872D7E">
              <w:rPr>
                <w:color w:val="000000"/>
                <w:sz w:val="14"/>
                <w:szCs w:val="14"/>
              </w:rPr>
              <w:t>(1.250)</w:t>
            </w:r>
          </w:p>
        </w:tc>
      </w:tr>
      <w:tr w:rsidR="00D11881" w:rsidRPr="00872D7E" w14:paraId="43BF9313"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3D62C5FD" w14:textId="77777777" w:rsidR="00D11881" w:rsidRPr="00872D7E" w:rsidRDefault="00D11881" w:rsidP="00D11881">
            <w:pPr>
              <w:rPr>
                <w:sz w:val="14"/>
                <w:szCs w:val="14"/>
              </w:rPr>
            </w:pPr>
            <w:r w:rsidRPr="00872D7E">
              <w:rPr>
                <w:sz w:val="14"/>
                <w:szCs w:val="14"/>
              </w:rPr>
              <w:t>2.2</w:t>
            </w:r>
          </w:p>
        </w:tc>
        <w:tc>
          <w:tcPr>
            <w:tcW w:w="3175" w:type="pct"/>
            <w:tcBorders>
              <w:top w:val="nil"/>
              <w:left w:val="nil"/>
              <w:bottom w:val="nil"/>
              <w:right w:val="nil"/>
            </w:tcBorders>
            <w:shd w:val="clear" w:color="auto" w:fill="auto"/>
            <w:hideMark/>
          </w:tcPr>
          <w:p w14:paraId="11523D00" w14:textId="77777777" w:rsidR="00D11881" w:rsidRPr="00872D7E" w:rsidRDefault="00D11881" w:rsidP="00D11881">
            <w:pPr>
              <w:rPr>
                <w:sz w:val="14"/>
                <w:szCs w:val="14"/>
              </w:rPr>
            </w:pPr>
            <w:r w:rsidRPr="00872D7E">
              <w:rPr>
                <w:sz w:val="14"/>
                <w:szCs w:val="14"/>
              </w:rPr>
              <w:t>Elden Çıkarılan İştirakler, Bağlı Ortaklıklar ve Birlikte Kontrol Edilen Ortaklıklar (İş Ortaklıkları)</w:t>
            </w:r>
          </w:p>
        </w:tc>
        <w:tc>
          <w:tcPr>
            <w:tcW w:w="442" w:type="pct"/>
            <w:tcBorders>
              <w:top w:val="nil"/>
              <w:left w:val="single" w:sz="4" w:space="0" w:color="auto"/>
              <w:bottom w:val="nil"/>
              <w:right w:val="single" w:sz="4" w:space="0" w:color="auto"/>
            </w:tcBorders>
            <w:shd w:val="clear" w:color="auto" w:fill="auto"/>
            <w:vAlign w:val="bottom"/>
            <w:hideMark/>
          </w:tcPr>
          <w:p w14:paraId="1AFAE46C"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2619B849" w14:textId="414109A3" w:rsidR="00D11881" w:rsidRPr="00872D7E" w:rsidRDefault="00D11881" w:rsidP="00D11881">
            <w:pPr>
              <w:jc w:val="right"/>
              <w:rPr>
                <w:sz w:val="14"/>
                <w:szCs w:val="14"/>
              </w:rPr>
            </w:pPr>
            <w:r w:rsidRPr="00872D7E">
              <w:rPr>
                <w:color w:val="000000"/>
                <w:sz w:val="14"/>
                <w:szCs w:val="14"/>
              </w:rPr>
              <w:t>-</w:t>
            </w:r>
          </w:p>
        </w:tc>
      </w:tr>
      <w:tr w:rsidR="00D11881" w:rsidRPr="00872D7E" w14:paraId="560B8343"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277A0F7A" w14:textId="77777777" w:rsidR="00D11881" w:rsidRPr="00872D7E" w:rsidRDefault="00D11881" w:rsidP="00D11881">
            <w:pPr>
              <w:rPr>
                <w:sz w:val="14"/>
                <w:szCs w:val="14"/>
              </w:rPr>
            </w:pPr>
            <w:r w:rsidRPr="00872D7E">
              <w:rPr>
                <w:sz w:val="14"/>
                <w:szCs w:val="14"/>
              </w:rPr>
              <w:t>2.3</w:t>
            </w:r>
          </w:p>
        </w:tc>
        <w:tc>
          <w:tcPr>
            <w:tcW w:w="3175" w:type="pct"/>
            <w:tcBorders>
              <w:top w:val="nil"/>
              <w:left w:val="nil"/>
              <w:bottom w:val="nil"/>
              <w:right w:val="nil"/>
            </w:tcBorders>
            <w:shd w:val="clear" w:color="auto" w:fill="auto"/>
            <w:hideMark/>
          </w:tcPr>
          <w:p w14:paraId="10B0916B" w14:textId="77777777" w:rsidR="00D11881" w:rsidRPr="00872D7E" w:rsidRDefault="00D11881" w:rsidP="00D11881">
            <w:pPr>
              <w:rPr>
                <w:sz w:val="14"/>
                <w:szCs w:val="14"/>
              </w:rPr>
            </w:pPr>
            <w:r w:rsidRPr="00872D7E">
              <w:rPr>
                <w:sz w:val="14"/>
                <w:szCs w:val="14"/>
              </w:rPr>
              <w:t>Satın Alınan Menkul ve Gayrimenkuller</w:t>
            </w:r>
          </w:p>
        </w:tc>
        <w:tc>
          <w:tcPr>
            <w:tcW w:w="442" w:type="pct"/>
            <w:tcBorders>
              <w:top w:val="nil"/>
              <w:left w:val="single" w:sz="4" w:space="0" w:color="auto"/>
              <w:bottom w:val="nil"/>
              <w:right w:val="single" w:sz="4" w:space="0" w:color="auto"/>
            </w:tcBorders>
            <w:shd w:val="clear" w:color="auto" w:fill="auto"/>
            <w:vAlign w:val="bottom"/>
            <w:hideMark/>
          </w:tcPr>
          <w:p w14:paraId="60C75E08"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5B6F4088" w14:textId="7540991E" w:rsidR="00D11881" w:rsidRPr="00872D7E" w:rsidRDefault="00D11881" w:rsidP="00D11881">
            <w:pPr>
              <w:jc w:val="right"/>
              <w:rPr>
                <w:sz w:val="14"/>
                <w:szCs w:val="14"/>
              </w:rPr>
            </w:pPr>
            <w:r w:rsidRPr="00872D7E">
              <w:rPr>
                <w:color w:val="000000"/>
                <w:sz w:val="14"/>
                <w:szCs w:val="14"/>
              </w:rPr>
              <w:t>(716.273)</w:t>
            </w:r>
          </w:p>
        </w:tc>
      </w:tr>
      <w:tr w:rsidR="00D11881" w:rsidRPr="00872D7E" w14:paraId="7B0F4951"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12B783B9" w14:textId="77777777" w:rsidR="00D11881" w:rsidRPr="00872D7E" w:rsidRDefault="00D11881" w:rsidP="00D11881">
            <w:pPr>
              <w:rPr>
                <w:sz w:val="14"/>
                <w:szCs w:val="14"/>
              </w:rPr>
            </w:pPr>
            <w:r w:rsidRPr="00872D7E">
              <w:rPr>
                <w:sz w:val="14"/>
                <w:szCs w:val="14"/>
              </w:rPr>
              <w:t>2.4</w:t>
            </w:r>
          </w:p>
        </w:tc>
        <w:tc>
          <w:tcPr>
            <w:tcW w:w="3175" w:type="pct"/>
            <w:tcBorders>
              <w:top w:val="nil"/>
              <w:left w:val="nil"/>
              <w:bottom w:val="nil"/>
              <w:right w:val="nil"/>
            </w:tcBorders>
            <w:shd w:val="clear" w:color="auto" w:fill="auto"/>
            <w:hideMark/>
          </w:tcPr>
          <w:p w14:paraId="254516A4" w14:textId="77777777" w:rsidR="00D11881" w:rsidRPr="00872D7E" w:rsidRDefault="00D11881" w:rsidP="00D11881">
            <w:pPr>
              <w:rPr>
                <w:sz w:val="14"/>
                <w:szCs w:val="14"/>
              </w:rPr>
            </w:pPr>
            <w:r w:rsidRPr="00872D7E">
              <w:rPr>
                <w:sz w:val="14"/>
                <w:szCs w:val="14"/>
              </w:rPr>
              <w:t>Elden Çıkarılan Menkul ve Gayrimenkuller</w:t>
            </w:r>
          </w:p>
        </w:tc>
        <w:tc>
          <w:tcPr>
            <w:tcW w:w="442" w:type="pct"/>
            <w:tcBorders>
              <w:top w:val="nil"/>
              <w:left w:val="single" w:sz="4" w:space="0" w:color="auto"/>
              <w:bottom w:val="nil"/>
              <w:right w:val="single" w:sz="4" w:space="0" w:color="auto"/>
            </w:tcBorders>
            <w:shd w:val="clear" w:color="auto" w:fill="auto"/>
            <w:vAlign w:val="bottom"/>
            <w:hideMark/>
          </w:tcPr>
          <w:p w14:paraId="66826186"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32E44A9D" w14:textId="72576B27" w:rsidR="00D11881" w:rsidRPr="00872D7E" w:rsidRDefault="00D11881" w:rsidP="00D11881">
            <w:pPr>
              <w:jc w:val="right"/>
              <w:rPr>
                <w:sz w:val="14"/>
                <w:szCs w:val="14"/>
              </w:rPr>
            </w:pPr>
            <w:r w:rsidRPr="00872D7E">
              <w:rPr>
                <w:color w:val="000000"/>
                <w:sz w:val="14"/>
                <w:szCs w:val="14"/>
              </w:rPr>
              <w:t>-</w:t>
            </w:r>
          </w:p>
        </w:tc>
      </w:tr>
      <w:tr w:rsidR="00D11881" w:rsidRPr="00872D7E" w14:paraId="2633D856"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147C91EE" w14:textId="77777777" w:rsidR="00D11881" w:rsidRPr="00872D7E" w:rsidRDefault="00D11881" w:rsidP="00D11881">
            <w:pPr>
              <w:rPr>
                <w:sz w:val="14"/>
                <w:szCs w:val="14"/>
              </w:rPr>
            </w:pPr>
            <w:r w:rsidRPr="00872D7E">
              <w:rPr>
                <w:sz w:val="14"/>
                <w:szCs w:val="14"/>
              </w:rPr>
              <w:t>2.5</w:t>
            </w:r>
          </w:p>
        </w:tc>
        <w:tc>
          <w:tcPr>
            <w:tcW w:w="3175" w:type="pct"/>
            <w:tcBorders>
              <w:top w:val="nil"/>
              <w:left w:val="nil"/>
              <w:bottom w:val="nil"/>
              <w:right w:val="nil"/>
            </w:tcBorders>
            <w:shd w:val="clear" w:color="auto" w:fill="auto"/>
            <w:hideMark/>
          </w:tcPr>
          <w:p w14:paraId="09F70159" w14:textId="77777777" w:rsidR="00D11881" w:rsidRPr="00872D7E" w:rsidRDefault="00D11881" w:rsidP="00D11881">
            <w:pPr>
              <w:rPr>
                <w:sz w:val="14"/>
                <w:szCs w:val="14"/>
              </w:rPr>
            </w:pPr>
            <w:r w:rsidRPr="00872D7E">
              <w:rPr>
                <w:sz w:val="14"/>
                <w:szCs w:val="14"/>
              </w:rPr>
              <w:t>Elde Edilen Gerçeğe Uygun Değer Farkı Diğer Kapsamlı Gelire Yansıtılan Finansal Varlıklar</w:t>
            </w:r>
          </w:p>
        </w:tc>
        <w:tc>
          <w:tcPr>
            <w:tcW w:w="442" w:type="pct"/>
            <w:tcBorders>
              <w:top w:val="nil"/>
              <w:left w:val="single" w:sz="4" w:space="0" w:color="auto"/>
              <w:bottom w:val="nil"/>
              <w:right w:val="single" w:sz="4" w:space="0" w:color="auto"/>
            </w:tcBorders>
            <w:shd w:val="clear" w:color="auto" w:fill="auto"/>
            <w:vAlign w:val="bottom"/>
            <w:hideMark/>
          </w:tcPr>
          <w:p w14:paraId="63FB7B69"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41BA614F" w14:textId="61C8334A" w:rsidR="00D11881" w:rsidRPr="00872D7E" w:rsidRDefault="00D11881" w:rsidP="00D11881">
            <w:pPr>
              <w:jc w:val="right"/>
              <w:rPr>
                <w:sz w:val="14"/>
                <w:szCs w:val="14"/>
              </w:rPr>
            </w:pPr>
            <w:r w:rsidRPr="00872D7E">
              <w:rPr>
                <w:color w:val="000000"/>
                <w:sz w:val="14"/>
                <w:szCs w:val="14"/>
              </w:rPr>
              <w:t>(881.192)</w:t>
            </w:r>
          </w:p>
        </w:tc>
      </w:tr>
      <w:tr w:rsidR="00D11881" w:rsidRPr="00872D7E" w14:paraId="52A03F3D"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2DFF1D68" w14:textId="77777777" w:rsidR="00D11881" w:rsidRPr="00872D7E" w:rsidRDefault="00D11881" w:rsidP="00D11881">
            <w:pPr>
              <w:rPr>
                <w:sz w:val="14"/>
                <w:szCs w:val="14"/>
              </w:rPr>
            </w:pPr>
            <w:r w:rsidRPr="00872D7E">
              <w:rPr>
                <w:sz w:val="14"/>
                <w:szCs w:val="14"/>
              </w:rPr>
              <w:t>2.6</w:t>
            </w:r>
          </w:p>
        </w:tc>
        <w:tc>
          <w:tcPr>
            <w:tcW w:w="3175" w:type="pct"/>
            <w:tcBorders>
              <w:top w:val="nil"/>
              <w:left w:val="nil"/>
              <w:bottom w:val="nil"/>
              <w:right w:val="nil"/>
            </w:tcBorders>
            <w:shd w:val="clear" w:color="auto" w:fill="auto"/>
            <w:hideMark/>
          </w:tcPr>
          <w:p w14:paraId="2F17E12B" w14:textId="77777777" w:rsidR="00D11881" w:rsidRPr="00872D7E" w:rsidRDefault="00D11881" w:rsidP="00D11881">
            <w:pPr>
              <w:rPr>
                <w:sz w:val="14"/>
                <w:szCs w:val="14"/>
              </w:rPr>
            </w:pPr>
            <w:r w:rsidRPr="00872D7E">
              <w:rPr>
                <w:sz w:val="14"/>
                <w:szCs w:val="14"/>
              </w:rPr>
              <w:t>Elden Çıkarılan Gerçeğe Uygun Değer Farkı Diğer Kapsamlı Gelire Yansıtılan Finansal Varlıklar</w:t>
            </w:r>
          </w:p>
        </w:tc>
        <w:tc>
          <w:tcPr>
            <w:tcW w:w="442" w:type="pct"/>
            <w:tcBorders>
              <w:top w:val="nil"/>
              <w:left w:val="single" w:sz="4" w:space="0" w:color="auto"/>
              <w:bottom w:val="nil"/>
              <w:right w:val="single" w:sz="4" w:space="0" w:color="auto"/>
            </w:tcBorders>
            <w:shd w:val="clear" w:color="auto" w:fill="auto"/>
            <w:vAlign w:val="bottom"/>
            <w:hideMark/>
          </w:tcPr>
          <w:p w14:paraId="422605EA"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47BDACF0" w14:textId="24E6BCA0" w:rsidR="00D11881" w:rsidRPr="00872D7E" w:rsidRDefault="00D11881" w:rsidP="00D11881">
            <w:pPr>
              <w:jc w:val="right"/>
              <w:rPr>
                <w:sz w:val="14"/>
                <w:szCs w:val="14"/>
              </w:rPr>
            </w:pPr>
            <w:r w:rsidRPr="00872D7E">
              <w:rPr>
                <w:color w:val="000000"/>
                <w:sz w:val="14"/>
                <w:szCs w:val="14"/>
              </w:rPr>
              <w:t>-</w:t>
            </w:r>
          </w:p>
        </w:tc>
      </w:tr>
      <w:tr w:rsidR="00D11881" w:rsidRPr="00872D7E" w14:paraId="2C9651B4"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8A6EF02" w14:textId="77777777" w:rsidR="00D11881" w:rsidRPr="00872D7E" w:rsidRDefault="00D11881" w:rsidP="00D11881">
            <w:pPr>
              <w:rPr>
                <w:sz w:val="14"/>
                <w:szCs w:val="14"/>
              </w:rPr>
            </w:pPr>
            <w:r w:rsidRPr="00872D7E">
              <w:rPr>
                <w:sz w:val="14"/>
                <w:szCs w:val="14"/>
              </w:rPr>
              <w:t>2.7</w:t>
            </w:r>
          </w:p>
        </w:tc>
        <w:tc>
          <w:tcPr>
            <w:tcW w:w="3175" w:type="pct"/>
            <w:tcBorders>
              <w:top w:val="nil"/>
              <w:left w:val="nil"/>
              <w:bottom w:val="nil"/>
              <w:right w:val="nil"/>
            </w:tcBorders>
            <w:shd w:val="clear" w:color="auto" w:fill="auto"/>
            <w:hideMark/>
          </w:tcPr>
          <w:p w14:paraId="672C167C" w14:textId="77777777" w:rsidR="00D11881" w:rsidRPr="00872D7E" w:rsidRDefault="00D11881" w:rsidP="00D11881">
            <w:pPr>
              <w:rPr>
                <w:sz w:val="14"/>
                <w:szCs w:val="14"/>
              </w:rPr>
            </w:pPr>
            <w:r w:rsidRPr="00872D7E">
              <w:rPr>
                <w:sz w:val="14"/>
                <w:szCs w:val="14"/>
              </w:rPr>
              <w:t>Satın Alınan İtfa Edilmiş Maliyeti ile Ölçülen Finansal Varlıklar</w:t>
            </w:r>
          </w:p>
        </w:tc>
        <w:tc>
          <w:tcPr>
            <w:tcW w:w="442" w:type="pct"/>
            <w:tcBorders>
              <w:top w:val="nil"/>
              <w:left w:val="single" w:sz="4" w:space="0" w:color="auto"/>
              <w:bottom w:val="nil"/>
              <w:right w:val="single" w:sz="4" w:space="0" w:color="auto"/>
            </w:tcBorders>
            <w:shd w:val="clear" w:color="auto" w:fill="auto"/>
            <w:vAlign w:val="bottom"/>
            <w:hideMark/>
          </w:tcPr>
          <w:p w14:paraId="21678F6E" w14:textId="77777777" w:rsidR="00D11881" w:rsidRPr="00872D7E" w:rsidRDefault="00D11881" w:rsidP="00D11881">
            <w:pPr>
              <w:jc w:val="center"/>
              <w:rPr>
                <w:sz w:val="14"/>
                <w:szCs w:val="14"/>
                <w:lang w:eastAsia="tr-TR"/>
              </w:rPr>
            </w:pPr>
            <w:r w:rsidRPr="00872D7E">
              <w:rPr>
                <w:sz w:val="14"/>
                <w:szCs w:val="14"/>
              </w:rPr>
              <w:t>(V-I-4</w:t>
            </w:r>
            <w:r w:rsidRPr="00872D7E">
              <w:rPr>
                <w:sz w:val="14"/>
                <w:szCs w:val="14"/>
                <w:lang w:eastAsia="tr-TR"/>
              </w:rPr>
              <w:t>)</w:t>
            </w:r>
          </w:p>
        </w:tc>
        <w:tc>
          <w:tcPr>
            <w:tcW w:w="1071" w:type="pct"/>
            <w:tcBorders>
              <w:top w:val="nil"/>
              <w:left w:val="nil"/>
              <w:bottom w:val="nil"/>
              <w:right w:val="single" w:sz="4" w:space="0" w:color="auto"/>
            </w:tcBorders>
            <w:shd w:val="clear" w:color="auto" w:fill="auto"/>
            <w:vAlign w:val="bottom"/>
            <w:hideMark/>
          </w:tcPr>
          <w:p w14:paraId="1CF63685" w14:textId="033F0AE6" w:rsidR="00D11881" w:rsidRPr="00872D7E" w:rsidRDefault="00D11881" w:rsidP="00D11881">
            <w:pPr>
              <w:jc w:val="right"/>
              <w:rPr>
                <w:sz w:val="14"/>
                <w:szCs w:val="14"/>
              </w:rPr>
            </w:pPr>
            <w:r w:rsidRPr="00872D7E">
              <w:rPr>
                <w:color w:val="000000"/>
                <w:sz w:val="14"/>
                <w:szCs w:val="14"/>
              </w:rPr>
              <w:t>(367.601)</w:t>
            </w:r>
          </w:p>
        </w:tc>
      </w:tr>
      <w:tr w:rsidR="00D11881" w:rsidRPr="00872D7E" w14:paraId="79C08E93"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1DC92183" w14:textId="77777777" w:rsidR="00D11881" w:rsidRPr="00872D7E" w:rsidRDefault="00D11881" w:rsidP="00D11881">
            <w:pPr>
              <w:rPr>
                <w:sz w:val="14"/>
                <w:szCs w:val="14"/>
              </w:rPr>
            </w:pPr>
            <w:r w:rsidRPr="00872D7E">
              <w:rPr>
                <w:sz w:val="14"/>
                <w:szCs w:val="14"/>
              </w:rPr>
              <w:t>2.8</w:t>
            </w:r>
          </w:p>
        </w:tc>
        <w:tc>
          <w:tcPr>
            <w:tcW w:w="3175" w:type="pct"/>
            <w:tcBorders>
              <w:top w:val="nil"/>
              <w:left w:val="nil"/>
              <w:bottom w:val="nil"/>
              <w:right w:val="nil"/>
            </w:tcBorders>
            <w:shd w:val="clear" w:color="auto" w:fill="auto"/>
            <w:hideMark/>
          </w:tcPr>
          <w:p w14:paraId="48175E21" w14:textId="77777777" w:rsidR="00D11881" w:rsidRPr="00872D7E" w:rsidRDefault="00D11881" w:rsidP="00D11881">
            <w:pPr>
              <w:rPr>
                <w:sz w:val="14"/>
                <w:szCs w:val="14"/>
              </w:rPr>
            </w:pPr>
            <w:r w:rsidRPr="00872D7E">
              <w:rPr>
                <w:sz w:val="14"/>
                <w:szCs w:val="14"/>
              </w:rPr>
              <w:t>Satılan İtfa Edilmiş Maliyeti ile Ölçülen Finansal Varlıklar</w:t>
            </w:r>
          </w:p>
        </w:tc>
        <w:tc>
          <w:tcPr>
            <w:tcW w:w="442" w:type="pct"/>
            <w:tcBorders>
              <w:top w:val="nil"/>
              <w:left w:val="single" w:sz="4" w:space="0" w:color="auto"/>
              <w:bottom w:val="nil"/>
              <w:right w:val="single" w:sz="4" w:space="0" w:color="auto"/>
            </w:tcBorders>
            <w:shd w:val="clear" w:color="auto" w:fill="auto"/>
            <w:vAlign w:val="bottom"/>
            <w:hideMark/>
          </w:tcPr>
          <w:p w14:paraId="4382F307"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11B2219F" w14:textId="0A76066F" w:rsidR="00D11881" w:rsidRPr="00872D7E" w:rsidRDefault="00D11881" w:rsidP="00D11881">
            <w:pPr>
              <w:jc w:val="right"/>
              <w:rPr>
                <w:sz w:val="14"/>
                <w:szCs w:val="14"/>
              </w:rPr>
            </w:pPr>
            <w:r w:rsidRPr="00872D7E">
              <w:rPr>
                <w:color w:val="000000"/>
                <w:sz w:val="14"/>
                <w:szCs w:val="14"/>
              </w:rPr>
              <w:t>-</w:t>
            </w:r>
          </w:p>
        </w:tc>
      </w:tr>
      <w:tr w:rsidR="00D11881" w:rsidRPr="00872D7E" w14:paraId="498FA875"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B2A97FC" w14:textId="77777777" w:rsidR="00D11881" w:rsidRPr="00872D7E" w:rsidRDefault="00D11881" w:rsidP="00D11881">
            <w:pPr>
              <w:rPr>
                <w:sz w:val="14"/>
                <w:szCs w:val="14"/>
              </w:rPr>
            </w:pPr>
            <w:r w:rsidRPr="00872D7E">
              <w:rPr>
                <w:sz w:val="14"/>
                <w:szCs w:val="14"/>
              </w:rPr>
              <w:t>2.9</w:t>
            </w:r>
          </w:p>
        </w:tc>
        <w:tc>
          <w:tcPr>
            <w:tcW w:w="3175" w:type="pct"/>
            <w:tcBorders>
              <w:top w:val="nil"/>
              <w:left w:val="nil"/>
              <w:bottom w:val="nil"/>
              <w:right w:val="nil"/>
            </w:tcBorders>
            <w:shd w:val="clear" w:color="auto" w:fill="auto"/>
            <w:hideMark/>
          </w:tcPr>
          <w:p w14:paraId="5C157EAE" w14:textId="77777777" w:rsidR="00D11881" w:rsidRPr="00872D7E" w:rsidRDefault="00D11881" w:rsidP="00D11881">
            <w:pPr>
              <w:rPr>
                <w:sz w:val="14"/>
                <w:szCs w:val="14"/>
              </w:rPr>
            </w:pPr>
            <w:r w:rsidRPr="00872D7E">
              <w:rPr>
                <w:sz w:val="14"/>
                <w:szCs w:val="14"/>
              </w:rPr>
              <w:t>Diğer</w:t>
            </w:r>
          </w:p>
        </w:tc>
        <w:tc>
          <w:tcPr>
            <w:tcW w:w="442" w:type="pct"/>
            <w:tcBorders>
              <w:top w:val="nil"/>
              <w:left w:val="single" w:sz="4" w:space="0" w:color="auto"/>
              <w:bottom w:val="nil"/>
              <w:right w:val="single" w:sz="4" w:space="0" w:color="auto"/>
            </w:tcBorders>
            <w:shd w:val="clear" w:color="auto" w:fill="auto"/>
            <w:vAlign w:val="bottom"/>
            <w:hideMark/>
          </w:tcPr>
          <w:p w14:paraId="3FA9B4D9"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6C8BC84A" w14:textId="249B095A" w:rsidR="00D11881" w:rsidRPr="00872D7E" w:rsidRDefault="00D11881" w:rsidP="00D11881">
            <w:pPr>
              <w:jc w:val="right"/>
              <w:rPr>
                <w:sz w:val="14"/>
                <w:szCs w:val="14"/>
              </w:rPr>
            </w:pPr>
            <w:r w:rsidRPr="00872D7E">
              <w:rPr>
                <w:color w:val="000000"/>
                <w:sz w:val="14"/>
                <w:szCs w:val="14"/>
              </w:rPr>
              <w:t>-</w:t>
            </w:r>
          </w:p>
        </w:tc>
      </w:tr>
      <w:tr w:rsidR="00D11881" w:rsidRPr="00872D7E" w14:paraId="1CB5EE00"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273E67CC"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2020C80A"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24A6F3B0" w14:textId="77777777" w:rsidR="00D11881" w:rsidRPr="00872D7E" w:rsidRDefault="00D11881" w:rsidP="00D11881">
            <w:pPr>
              <w:jc w:val="center"/>
              <w:rPr>
                <w:b/>
                <w:bCs/>
                <w:sz w:val="14"/>
                <w:szCs w:val="14"/>
              </w:rPr>
            </w:pPr>
            <w:r w:rsidRPr="00872D7E">
              <w:rPr>
                <w:b/>
                <w:bCs/>
                <w:sz w:val="14"/>
                <w:szCs w:val="14"/>
              </w:rPr>
              <w:t> </w:t>
            </w:r>
          </w:p>
        </w:tc>
        <w:tc>
          <w:tcPr>
            <w:tcW w:w="1071" w:type="pct"/>
            <w:tcBorders>
              <w:top w:val="nil"/>
              <w:left w:val="nil"/>
              <w:bottom w:val="nil"/>
              <w:right w:val="single" w:sz="4" w:space="0" w:color="auto"/>
            </w:tcBorders>
            <w:shd w:val="clear" w:color="auto" w:fill="auto"/>
            <w:noWrap/>
            <w:vAlign w:val="bottom"/>
            <w:hideMark/>
          </w:tcPr>
          <w:p w14:paraId="33DF686D" w14:textId="42635BA8" w:rsidR="00D11881" w:rsidRPr="00872D7E" w:rsidRDefault="00D11881" w:rsidP="00D11881">
            <w:pPr>
              <w:jc w:val="right"/>
              <w:rPr>
                <w:sz w:val="14"/>
                <w:szCs w:val="14"/>
              </w:rPr>
            </w:pPr>
            <w:r w:rsidRPr="00872D7E">
              <w:rPr>
                <w:color w:val="000000"/>
                <w:sz w:val="14"/>
                <w:szCs w:val="14"/>
              </w:rPr>
              <w:t> </w:t>
            </w:r>
          </w:p>
        </w:tc>
      </w:tr>
      <w:tr w:rsidR="00D11881" w:rsidRPr="00872D7E" w14:paraId="0F53597C"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0A7825A8" w14:textId="77777777" w:rsidR="00D11881" w:rsidRPr="00872D7E" w:rsidRDefault="00D11881" w:rsidP="00D11881">
            <w:pPr>
              <w:rPr>
                <w:b/>
                <w:bCs/>
                <w:sz w:val="14"/>
                <w:szCs w:val="14"/>
              </w:rPr>
            </w:pPr>
            <w:r w:rsidRPr="00872D7E">
              <w:rPr>
                <w:b/>
                <w:bCs/>
                <w:sz w:val="14"/>
                <w:szCs w:val="14"/>
              </w:rPr>
              <w:t>C.</w:t>
            </w:r>
          </w:p>
        </w:tc>
        <w:tc>
          <w:tcPr>
            <w:tcW w:w="3175" w:type="pct"/>
            <w:tcBorders>
              <w:top w:val="nil"/>
              <w:left w:val="nil"/>
              <w:bottom w:val="nil"/>
              <w:right w:val="nil"/>
            </w:tcBorders>
            <w:shd w:val="clear" w:color="auto" w:fill="auto"/>
            <w:hideMark/>
          </w:tcPr>
          <w:p w14:paraId="3E496597" w14:textId="77777777" w:rsidR="00D11881" w:rsidRPr="00872D7E" w:rsidRDefault="00D11881" w:rsidP="00D11881">
            <w:pPr>
              <w:rPr>
                <w:b/>
                <w:bCs/>
                <w:sz w:val="14"/>
                <w:szCs w:val="14"/>
              </w:rPr>
            </w:pPr>
            <w:r w:rsidRPr="00872D7E">
              <w:rPr>
                <w:b/>
                <w:bCs/>
                <w:sz w:val="14"/>
                <w:szCs w:val="14"/>
              </w:rPr>
              <w:t>FİNANSMAN FAALİYETLERİNE İLİŞKİN NAKİT AKIŞLARI</w:t>
            </w:r>
          </w:p>
        </w:tc>
        <w:tc>
          <w:tcPr>
            <w:tcW w:w="442" w:type="pct"/>
            <w:tcBorders>
              <w:top w:val="nil"/>
              <w:left w:val="single" w:sz="4" w:space="0" w:color="auto"/>
              <w:bottom w:val="nil"/>
              <w:right w:val="single" w:sz="4" w:space="0" w:color="auto"/>
            </w:tcBorders>
            <w:shd w:val="clear" w:color="auto" w:fill="auto"/>
            <w:vAlign w:val="bottom"/>
            <w:hideMark/>
          </w:tcPr>
          <w:p w14:paraId="20CB173E" w14:textId="77777777" w:rsidR="00D11881" w:rsidRPr="00872D7E" w:rsidRDefault="00D11881" w:rsidP="00D11881">
            <w:pPr>
              <w:jc w:val="center"/>
              <w:rPr>
                <w:b/>
                <w:bCs/>
                <w:sz w:val="14"/>
                <w:szCs w:val="14"/>
              </w:rPr>
            </w:pPr>
            <w:r w:rsidRPr="00872D7E">
              <w:rPr>
                <w:b/>
                <w:bCs/>
                <w:sz w:val="14"/>
                <w:szCs w:val="14"/>
              </w:rPr>
              <w:t> </w:t>
            </w:r>
          </w:p>
        </w:tc>
        <w:tc>
          <w:tcPr>
            <w:tcW w:w="1071" w:type="pct"/>
            <w:tcBorders>
              <w:top w:val="nil"/>
              <w:left w:val="nil"/>
              <w:bottom w:val="nil"/>
              <w:right w:val="single" w:sz="4" w:space="0" w:color="auto"/>
            </w:tcBorders>
            <w:shd w:val="clear" w:color="auto" w:fill="auto"/>
            <w:noWrap/>
            <w:vAlign w:val="bottom"/>
            <w:hideMark/>
          </w:tcPr>
          <w:p w14:paraId="2A4760A5" w14:textId="795C3CFA" w:rsidR="00D11881" w:rsidRPr="00872D7E" w:rsidRDefault="00D11881" w:rsidP="00D11881">
            <w:pPr>
              <w:jc w:val="right"/>
              <w:rPr>
                <w:sz w:val="14"/>
                <w:szCs w:val="14"/>
              </w:rPr>
            </w:pPr>
            <w:r w:rsidRPr="00872D7E">
              <w:rPr>
                <w:color w:val="000000"/>
                <w:sz w:val="14"/>
                <w:szCs w:val="14"/>
              </w:rPr>
              <w:t> </w:t>
            </w:r>
          </w:p>
        </w:tc>
      </w:tr>
      <w:tr w:rsidR="00D11881" w:rsidRPr="00872D7E" w14:paraId="0C5F4901"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0B9C9EBA"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1281ED49"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1D78C756" w14:textId="77777777" w:rsidR="00D11881" w:rsidRPr="00872D7E" w:rsidRDefault="00D11881" w:rsidP="00D11881">
            <w:pPr>
              <w:jc w:val="center"/>
              <w:rPr>
                <w:b/>
                <w:bCs/>
                <w:sz w:val="14"/>
                <w:szCs w:val="14"/>
              </w:rPr>
            </w:pPr>
            <w:r w:rsidRPr="00872D7E">
              <w:rPr>
                <w:b/>
                <w:bCs/>
                <w:sz w:val="14"/>
                <w:szCs w:val="14"/>
              </w:rPr>
              <w:t> </w:t>
            </w:r>
          </w:p>
        </w:tc>
        <w:tc>
          <w:tcPr>
            <w:tcW w:w="1071" w:type="pct"/>
            <w:tcBorders>
              <w:top w:val="nil"/>
              <w:left w:val="nil"/>
              <w:bottom w:val="nil"/>
              <w:right w:val="single" w:sz="4" w:space="0" w:color="auto"/>
            </w:tcBorders>
            <w:shd w:val="clear" w:color="auto" w:fill="auto"/>
            <w:noWrap/>
            <w:vAlign w:val="bottom"/>
            <w:hideMark/>
          </w:tcPr>
          <w:p w14:paraId="3D840276" w14:textId="1FAD0FF7" w:rsidR="00D11881" w:rsidRPr="00872D7E" w:rsidRDefault="00D11881" w:rsidP="00D11881">
            <w:pPr>
              <w:jc w:val="right"/>
              <w:rPr>
                <w:sz w:val="14"/>
                <w:szCs w:val="14"/>
              </w:rPr>
            </w:pPr>
            <w:r w:rsidRPr="00872D7E">
              <w:rPr>
                <w:color w:val="000000"/>
                <w:sz w:val="14"/>
                <w:szCs w:val="14"/>
              </w:rPr>
              <w:t> </w:t>
            </w:r>
          </w:p>
        </w:tc>
      </w:tr>
      <w:tr w:rsidR="00D11881" w:rsidRPr="00872D7E" w14:paraId="541D96B6"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3E806090" w14:textId="77777777" w:rsidR="00D11881" w:rsidRPr="00872D7E" w:rsidRDefault="00D11881" w:rsidP="00D11881">
            <w:pPr>
              <w:rPr>
                <w:b/>
                <w:bCs/>
                <w:sz w:val="14"/>
                <w:szCs w:val="14"/>
              </w:rPr>
            </w:pPr>
            <w:r w:rsidRPr="00872D7E">
              <w:rPr>
                <w:b/>
                <w:bCs/>
                <w:sz w:val="14"/>
                <w:szCs w:val="14"/>
              </w:rPr>
              <w:t>III.</w:t>
            </w:r>
          </w:p>
        </w:tc>
        <w:tc>
          <w:tcPr>
            <w:tcW w:w="3175" w:type="pct"/>
            <w:tcBorders>
              <w:top w:val="nil"/>
              <w:left w:val="nil"/>
              <w:bottom w:val="nil"/>
              <w:right w:val="nil"/>
            </w:tcBorders>
            <w:shd w:val="clear" w:color="auto" w:fill="auto"/>
            <w:hideMark/>
          </w:tcPr>
          <w:p w14:paraId="5E054CCD" w14:textId="77777777" w:rsidR="00D11881" w:rsidRPr="00872D7E" w:rsidRDefault="00D11881" w:rsidP="00D11881">
            <w:pPr>
              <w:rPr>
                <w:b/>
                <w:bCs/>
                <w:sz w:val="14"/>
                <w:szCs w:val="14"/>
              </w:rPr>
            </w:pPr>
            <w:r w:rsidRPr="00872D7E">
              <w:rPr>
                <w:b/>
                <w:bCs/>
                <w:sz w:val="14"/>
                <w:szCs w:val="14"/>
              </w:rPr>
              <w:t>Finansman Faaliyetlerinden Sağlanan Net Nakit</w:t>
            </w:r>
          </w:p>
        </w:tc>
        <w:tc>
          <w:tcPr>
            <w:tcW w:w="442" w:type="pct"/>
            <w:tcBorders>
              <w:top w:val="nil"/>
              <w:left w:val="single" w:sz="4" w:space="0" w:color="auto"/>
              <w:bottom w:val="nil"/>
              <w:right w:val="single" w:sz="4" w:space="0" w:color="auto"/>
            </w:tcBorders>
            <w:shd w:val="clear" w:color="auto" w:fill="auto"/>
            <w:vAlign w:val="bottom"/>
            <w:hideMark/>
          </w:tcPr>
          <w:p w14:paraId="0C60422C" w14:textId="77777777" w:rsidR="00D11881" w:rsidRPr="00872D7E" w:rsidRDefault="00D11881" w:rsidP="00D11881">
            <w:pPr>
              <w:jc w:val="center"/>
              <w:rPr>
                <w:b/>
                <w:bCs/>
                <w:sz w:val="14"/>
                <w:szCs w:val="14"/>
              </w:rPr>
            </w:pPr>
            <w:r w:rsidRPr="00872D7E">
              <w:rPr>
                <w:b/>
                <w:bCs/>
                <w:sz w:val="14"/>
                <w:szCs w:val="14"/>
              </w:rPr>
              <w:t> </w:t>
            </w:r>
          </w:p>
        </w:tc>
        <w:tc>
          <w:tcPr>
            <w:tcW w:w="1071" w:type="pct"/>
            <w:tcBorders>
              <w:top w:val="nil"/>
              <w:left w:val="nil"/>
              <w:bottom w:val="nil"/>
              <w:right w:val="single" w:sz="4" w:space="0" w:color="auto"/>
            </w:tcBorders>
            <w:shd w:val="clear" w:color="auto" w:fill="auto"/>
            <w:vAlign w:val="bottom"/>
            <w:hideMark/>
          </w:tcPr>
          <w:p w14:paraId="63D74276" w14:textId="316D22FD" w:rsidR="00D11881" w:rsidRPr="00872D7E" w:rsidRDefault="00D11881" w:rsidP="00D11881">
            <w:pPr>
              <w:jc w:val="right"/>
              <w:rPr>
                <w:b/>
                <w:bCs/>
                <w:sz w:val="14"/>
                <w:szCs w:val="14"/>
              </w:rPr>
            </w:pPr>
            <w:r w:rsidRPr="00872D7E">
              <w:rPr>
                <w:b/>
                <w:bCs/>
                <w:color w:val="000000"/>
                <w:sz w:val="14"/>
                <w:szCs w:val="14"/>
              </w:rPr>
              <w:t>7.796.453</w:t>
            </w:r>
          </w:p>
        </w:tc>
      </w:tr>
      <w:tr w:rsidR="00D11881" w:rsidRPr="00872D7E" w14:paraId="3758AA97"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0E2BA8E6"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3BFB3ECB"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30A4D746"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3EE376FD" w14:textId="40C129AD" w:rsidR="00D11881" w:rsidRPr="00872D7E" w:rsidRDefault="00D11881" w:rsidP="00D11881">
            <w:pPr>
              <w:jc w:val="right"/>
              <w:rPr>
                <w:sz w:val="14"/>
                <w:szCs w:val="14"/>
              </w:rPr>
            </w:pPr>
            <w:r w:rsidRPr="00872D7E">
              <w:rPr>
                <w:color w:val="000000"/>
                <w:sz w:val="14"/>
                <w:szCs w:val="14"/>
              </w:rPr>
              <w:t> </w:t>
            </w:r>
          </w:p>
        </w:tc>
      </w:tr>
      <w:tr w:rsidR="00D11881" w:rsidRPr="00872D7E" w14:paraId="40DB4A88"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5F954529" w14:textId="77777777" w:rsidR="00D11881" w:rsidRPr="00872D7E" w:rsidRDefault="00D11881" w:rsidP="00D11881">
            <w:pPr>
              <w:rPr>
                <w:sz w:val="14"/>
                <w:szCs w:val="14"/>
              </w:rPr>
            </w:pPr>
            <w:r w:rsidRPr="00872D7E">
              <w:rPr>
                <w:sz w:val="14"/>
                <w:szCs w:val="14"/>
              </w:rPr>
              <w:t>3.1</w:t>
            </w:r>
          </w:p>
        </w:tc>
        <w:tc>
          <w:tcPr>
            <w:tcW w:w="3175" w:type="pct"/>
            <w:tcBorders>
              <w:top w:val="nil"/>
              <w:left w:val="nil"/>
              <w:bottom w:val="nil"/>
              <w:right w:val="nil"/>
            </w:tcBorders>
            <w:shd w:val="clear" w:color="auto" w:fill="auto"/>
            <w:hideMark/>
          </w:tcPr>
          <w:p w14:paraId="7C8B1BB8" w14:textId="77777777" w:rsidR="00D11881" w:rsidRPr="00872D7E" w:rsidRDefault="00D11881" w:rsidP="00D11881">
            <w:pPr>
              <w:rPr>
                <w:sz w:val="14"/>
                <w:szCs w:val="14"/>
              </w:rPr>
            </w:pPr>
            <w:r w:rsidRPr="00872D7E">
              <w:rPr>
                <w:sz w:val="14"/>
                <w:szCs w:val="14"/>
              </w:rPr>
              <w:t>Krediler ve İhraç Edilen Menkul Değerlerden Sağlanan Nakit</w:t>
            </w:r>
          </w:p>
        </w:tc>
        <w:tc>
          <w:tcPr>
            <w:tcW w:w="442" w:type="pct"/>
            <w:tcBorders>
              <w:top w:val="nil"/>
              <w:left w:val="single" w:sz="4" w:space="0" w:color="auto"/>
              <w:bottom w:val="nil"/>
              <w:right w:val="single" w:sz="4" w:space="0" w:color="auto"/>
            </w:tcBorders>
            <w:shd w:val="clear" w:color="auto" w:fill="auto"/>
            <w:vAlign w:val="bottom"/>
            <w:hideMark/>
          </w:tcPr>
          <w:p w14:paraId="7FB35C46"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1EE7E224" w14:textId="4507DFAB" w:rsidR="00D11881" w:rsidRPr="00872D7E" w:rsidRDefault="00D11881" w:rsidP="00D11881">
            <w:pPr>
              <w:jc w:val="right"/>
              <w:rPr>
                <w:sz w:val="14"/>
                <w:szCs w:val="14"/>
              </w:rPr>
            </w:pPr>
            <w:r w:rsidRPr="00872D7E">
              <w:rPr>
                <w:color w:val="000000"/>
                <w:sz w:val="14"/>
                <w:szCs w:val="14"/>
              </w:rPr>
              <w:t>5.379.625</w:t>
            </w:r>
          </w:p>
        </w:tc>
      </w:tr>
      <w:tr w:rsidR="00D11881" w:rsidRPr="00872D7E" w14:paraId="4BC1AC87"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37C719E0" w14:textId="77777777" w:rsidR="00D11881" w:rsidRPr="00872D7E" w:rsidRDefault="00D11881" w:rsidP="00D11881">
            <w:pPr>
              <w:rPr>
                <w:sz w:val="14"/>
                <w:szCs w:val="14"/>
              </w:rPr>
            </w:pPr>
            <w:r w:rsidRPr="00872D7E">
              <w:rPr>
                <w:sz w:val="14"/>
                <w:szCs w:val="14"/>
              </w:rPr>
              <w:t>3.2</w:t>
            </w:r>
          </w:p>
        </w:tc>
        <w:tc>
          <w:tcPr>
            <w:tcW w:w="3175" w:type="pct"/>
            <w:tcBorders>
              <w:top w:val="nil"/>
              <w:left w:val="nil"/>
              <w:bottom w:val="nil"/>
              <w:right w:val="nil"/>
            </w:tcBorders>
            <w:shd w:val="clear" w:color="auto" w:fill="auto"/>
            <w:hideMark/>
          </w:tcPr>
          <w:p w14:paraId="6C387160" w14:textId="77777777" w:rsidR="00D11881" w:rsidRPr="00872D7E" w:rsidRDefault="00D11881" w:rsidP="00D11881">
            <w:pPr>
              <w:rPr>
                <w:sz w:val="14"/>
                <w:szCs w:val="14"/>
              </w:rPr>
            </w:pPr>
            <w:r w:rsidRPr="00872D7E">
              <w:rPr>
                <w:sz w:val="14"/>
                <w:szCs w:val="14"/>
              </w:rPr>
              <w:t>Krediler ve İhraç Edilen Menkul Değerlerden Kaynaklanan Nakit Çıkışı</w:t>
            </w:r>
          </w:p>
        </w:tc>
        <w:tc>
          <w:tcPr>
            <w:tcW w:w="442" w:type="pct"/>
            <w:tcBorders>
              <w:top w:val="nil"/>
              <w:left w:val="single" w:sz="4" w:space="0" w:color="auto"/>
              <w:bottom w:val="nil"/>
              <w:right w:val="single" w:sz="4" w:space="0" w:color="auto"/>
            </w:tcBorders>
            <w:shd w:val="clear" w:color="auto" w:fill="auto"/>
            <w:vAlign w:val="bottom"/>
            <w:hideMark/>
          </w:tcPr>
          <w:p w14:paraId="4C626942"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766CECB4" w14:textId="1177209A" w:rsidR="00D11881" w:rsidRPr="00872D7E" w:rsidRDefault="00D11881" w:rsidP="00D11881">
            <w:pPr>
              <w:jc w:val="right"/>
              <w:rPr>
                <w:sz w:val="14"/>
                <w:szCs w:val="14"/>
                <w:lang w:eastAsia="tr-TR"/>
              </w:rPr>
            </w:pPr>
            <w:r w:rsidRPr="00872D7E">
              <w:rPr>
                <w:color w:val="000000"/>
                <w:sz w:val="14"/>
                <w:szCs w:val="14"/>
              </w:rPr>
              <w:t>(3.483.172)</w:t>
            </w:r>
          </w:p>
        </w:tc>
      </w:tr>
      <w:tr w:rsidR="00D11881" w:rsidRPr="00872D7E" w14:paraId="1B48C1C9"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600489B0" w14:textId="77777777" w:rsidR="00D11881" w:rsidRPr="00872D7E" w:rsidRDefault="00D11881" w:rsidP="00D11881">
            <w:pPr>
              <w:rPr>
                <w:sz w:val="14"/>
                <w:szCs w:val="14"/>
              </w:rPr>
            </w:pPr>
            <w:r w:rsidRPr="00872D7E">
              <w:rPr>
                <w:sz w:val="14"/>
                <w:szCs w:val="14"/>
              </w:rPr>
              <w:t>3.3</w:t>
            </w:r>
          </w:p>
        </w:tc>
        <w:tc>
          <w:tcPr>
            <w:tcW w:w="3175" w:type="pct"/>
            <w:tcBorders>
              <w:top w:val="nil"/>
              <w:left w:val="nil"/>
              <w:bottom w:val="nil"/>
              <w:right w:val="nil"/>
            </w:tcBorders>
            <w:shd w:val="clear" w:color="auto" w:fill="auto"/>
            <w:hideMark/>
          </w:tcPr>
          <w:p w14:paraId="29230C31" w14:textId="77777777" w:rsidR="00D11881" w:rsidRPr="00872D7E" w:rsidRDefault="00D11881" w:rsidP="00D11881">
            <w:pPr>
              <w:rPr>
                <w:sz w:val="14"/>
                <w:szCs w:val="14"/>
              </w:rPr>
            </w:pPr>
            <w:r w:rsidRPr="00872D7E">
              <w:rPr>
                <w:sz w:val="14"/>
                <w:szCs w:val="14"/>
              </w:rPr>
              <w:t>İhraç Edilen Sermaye Araçları</w:t>
            </w:r>
          </w:p>
        </w:tc>
        <w:tc>
          <w:tcPr>
            <w:tcW w:w="442" w:type="pct"/>
            <w:tcBorders>
              <w:top w:val="nil"/>
              <w:left w:val="single" w:sz="4" w:space="0" w:color="auto"/>
              <w:bottom w:val="nil"/>
              <w:right w:val="single" w:sz="4" w:space="0" w:color="auto"/>
            </w:tcBorders>
            <w:shd w:val="clear" w:color="auto" w:fill="auto"/>
            <w:vAlign w:val="bottom"/>
            <w:hideMark/>
          </w:tcPr>
          <w:p w14:paraId="409772D1"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0D1C8C8D" w14:textId="534C63AF" w:rsidR="00D11881" w:rsidRPr="00872D7E" w:rsidRDefault="00D11881" w:rsidP="00D11881">
            <w:pPr>
              <w:jc w:val="right"/>
              <w:rPr>
                <w:sz w:val="14"/>
                <w:szCs w:val="14"/>
              </w:rPr>
            </w:pPr>
            <w:r w:rsidRPr="00872D7E">
              <w:rPr>
                <w:color w:val="000000"/>
                <w:sz w:val="14"/>
                <w:szCs w:val="14"/>
              </w:rPr>
              <w:t>-</w:t>
            </w:r>
          </w:p>
        </w:tc>
      </w:tr>
      <w:tr w:rsidR="00D11881" w:rsidRPr="00872D7E" w14:paraId="09289564"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513EF736" w14:textId="77777777" w:rsidR="00D11881" w:rsidRPr="00872D7E" w:rsidRDefault="00D11881" w:rsidP="00D11881">
            <w:pPr>
              <w:rPr>
                <w:sz w:val="14"/>
                <w:szCs w:val="14"/>
              </w:rPr>
            </w:pPr>
            <w:r w:rsidRPr="00872D7E">
              <w:rPr>
                <w:sz w:val="14"/>
                <w:szCs w:val="14"/>
              </w:rPr>
              <w:t>3.4</w:t>
            </w:r>
          </w:p>
        </w:tc>
        <w:tc>
          <w:tcPr>
            <w:tcW w:w="3175" w:type="pct"/>
            <w:tcBorders>
              <w:top w:val="nil"/>
              <w:left w:val="nil"/>
              <w:bottom w:val="nil"/>
              <w:right w:val="nil"/>
            </w:tcBorders>
            <w:shd w:val="clear" w:color="auto" w:fill="auto"/>
            <w:hideMark/>
          </w:tcPr>
          <w:p w14:paraId="779EBF7C" w14:textId="77777777" w:rsidR="00D11881" w:rsidRPr="00872D7E" w:rsidRDefault="00D11881" w:rsidP="00D11881">
            <w:pPr>
              <w:rPr>
                <w:sz w:val="14"/>
                <w:szCs w:val="14"/>
              </w:rPr>
            </w:pPr>
            <w:r w:rsidRPr="00872D7E">
              <w:rPr>
                <w:sz w:val="14"/>
                <w:szCs w:val="14"/>
              </w:rPr>
              <w:t>Temettü Ödemeleri</w:t>
            </w:r>
          </w:p>
        </w:tc>
        <w:tc>
          <w:tcPr>
            <w:tcW w:w="442" w:type="pct"/>
            <w:tcBorders>
              <w:top w:val="nil"/>
              <w:left w:val="single" w:sz="4" w:space="0" w:color="auto"/>
              <w:bottom w:val="nil"/>
              <w:right w:val="single" w:sz="4" w:space="0" w:color="auto"/>
            </w:tcBorders>
            <w:shd w:val="clear" w:color="auto" w:fill="auto"/>
            <w:vAlign w:val="bottom"/>
            <w:hideMark/>
          </w:tcPr>
          <w:p w14:paraId="2024F554"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44E465F7" w14:textId="71870FC4" w:rsidR="00D11881" w:rsidRPr="00872D7E" w:rsidRDefault="00D11881" w:rsidP="00D11881">
            <w:pPr>
              <w:jc w:val="right"/>
              <w:rPr>
                <w:sz w:val="14"/>
                <w:szCs w:val="14"/>
              </w:rPr>
            </w:pPr>
            <w:r w:rsidRPr="00872D7E">
              <w:rPr>
                <w:color w:val="000000"/>
                <w:sz w:val="14"/>
                <w:szCs w:val="14"/>
              </w:rPr>
              <w:t>-</w:t>
            </w:r>
          </w:p>
        </w:tc>
      </w:tr>
      <w:tr w:rsidR="00D11881" w:rsidRPr="00872D7E" w14:paraId="5630F2A7"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74F7DCF0" w14:textId="77777777" w:rsidR="00D11881" w:rsidRPr="00872D7E" w:rsidRDefault="00D11881" w:rsidP="00D11881">
            <w:pPr>
              <w:rPr>
                <w:sz w:val="14"/>
                <w:szCs w:val="14"/>
              </w:rPr>
            </w:pPr>
            <w:r w:rsidRPr="00872D7E">
              <w:rPr>
                <w:sz w:val="14"/>
                <w:szCs w:val="14"/>
              </w:rPr>
              <w:t>3.5</w:t>
            </w:r>
          </w:p>
        </w:tc>
        <w:tc>
          <w:tcPr>
            <w:tcW w:w="3175" w:type="pct"/>
            <w:tcBorders>
              <w:top w:val="nil"/>
              <w:left w:val="nil"/>
              <w:bottom w:val="nil"/>
              <w:right w:val="nil"/>
            </w:tcBorders>
            <w:shd w:val="clear" w:color="auto" w:fill="auto"/>
            <w:hideMark/>
          </w:tcPr>
          <w:p w14:paraId="63E3EB8E" w14:textId="77777777" w:rsidR="00D11881" w:rsidRPr="00872D7E" w:rsidRDefault="00D11881" w:rsidP="00D11881">
            <w:pPr>
              <w:rPr>
                <w:sz w:val="14"/>
                <w:szCs w:val="14"/>
              </w:rPr>
            </w:pPr>
            <w:r w:rsidRPr="00872D7E">
              <w:rPr>
                <w:sz w:val="14"/>
                <w:szCs w:val="14"/>
              </w:rPr>
              <w:t>Kiralamaya İlişkin Ödemeler</w:t>
            </w:r>
          </w:p>
        </w:tc>
        <w:tc>
          <w:tcPr>
            <w:tcW w:w="442" w:type="pct"/>
            <w:tcBorders>
              <w:top w:val="nil"/>
              <w:left w:val="single" w:sz="4" w:space="0" w:color="auto"/>
              <w:bottom w:val="nil"/>
              <w:right w:val="single" w:sz="4" w:space="0" w:color="auto"/>
            </w:tcBorders>
            <w:shd w:val="clear" w:color="auto" w:fill="auto"/>
            <w:vAlign w:val="bottom"/>
            <w:hideMark/>
          </w:tcPr>
          <w:p w14:paraId="39D096E7"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123A007A" w14:textId="4E344C0B" w:rsidR="00D11881" w:rsidRPr="00872D7E" w:rsidRDefault="00D11881" w:rsidP="00D11881">
            <w:pPr>
              <w:jc w:val="right"/>
              <w:rPr>
                <w:sz w:val="14"/>
                <w:szCs w:val="14"/>
              </w:rPr>
            </w:pPr>
            <w:r w:rsidRPr="00872D7E">
              <w:rPr>
                <w:color w:val="000000"/>
                <w:sz w:val="14"/>
                <w:szCs w:val="14"/>
              </w:rPr>
              <w:t>-</w:t>
            </w:r>
          </w:p>
        </w:tc>
      </w:tr>
      <w:tr w:rsidR="00D11881" w:rsidRPr="00872D7E" w14:paraId="1190BE06"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2ED9E28F" w14:textId="77777777" w:rsidR="00D11881" w:rsidRPr="00872D7E" w:rsidRDefault="00D11881" w:rsidP="00D11881">
            <w:pPr>
              <w:rPr>
                <w:sz w:val="14"/>
                <w:szCs w:val="14"/>
              </w:rPr>
            </w:pPr>
            <w:r w:rsidRPr="00872D7E">
              <w:rPr>
                <w:sz w:val="14"/>
                <w:szCs w:val="14"/>
              </w:rPr>
              <w:t>3.6</w:t>
            </w:r>
          </w:p>
        </w:tc>
        <w:tc>
          <w:tcPr>
            <w:tcW w:w="3175" w:type="pct"/>
            <w:tcBorders>
              <w:top w:val="nil"/>
              <w:left w:val="nil"/>
              <w:bottom w:val="nil"/>
              <w:right w:val="nil"/>
            </w:tcBorders>
            <w:shd w:val="clear" w:color="auto" w:fill="auto"/>
            <w:hideMark/>
          </w:tcPr>
          <w:p w14:paraId="77D56562" w14:textId="77777777" w:rsidR="00D11881" w:rsidRPr="00872D7E" w:rsidRDefault="00D11881" w:rsidP="00D11881">
            <w:pPr>
              <w:rPr>
                <w:sz w:val="14"/>
                <w:szCs w:val="14"/>
                <w:lang w:eastAsia="tr-TR"/>
              </w:rPr>
            </w:pPr>
            <w:r w:rsidRPr="00872D7E">
              <w:rPr>
                <w:sz w:val="14"/>
                <w:szCs w:val="14"/>
              </w:rPr>
              <w:t>Diğer</w:t>
            </w:r>
            <w:r w:rsidRPr="00872D7E">
              <w:rPr>
                <w:sz w:val="14"/>
                <w:szCs w:val="14"/>
                <w:vertAlign w:val="superscript"/>
              </w:rPr>
              <w:t xml:space="preserve"> </w:t>
            </w:r>
            <w:r w:rsidRPr="00872D7E">
              <w:rPr>
                <w:sz w:val="14"/>
                <w:szCs w:val="14"/>
                <w:vertAlign w:val="superscript"/>
                <w:lang w:eastAsia="tr-TR"/>
              </w:rPr>
              <w:t>(**)</w:t>
            </w:r>
          </w:p>
        </w:tc>
        <w:tc>
          <w:tcPr>
            <w:tcW w:w="442" w:type="pct"/>
            <w:tcBorders>
              <w:top w:val="nil"/>
              <w:left w:val="single" w:sz="4" w:space="0" w:color="auto"/>
              <w:bottom w:val="nil"/>
              <w:right w:val="single" w:sz="4" w:space="0" w:color="auto"/>
            </w:tcBorders>
            <w:shd w:val="clear" w:color="auto" w:fill="auto"/>
            <w:vAlign w:val="bottom"/>
            <w:hideMark/>
          </w:tcPr>
          <w:p w14:paraId="509F4DD9"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0A7A5161" w14:textId="4BECE422" w:rsidR="00D11881" w:rsidRPr="00872D7E" w:rsidRDefault="00D11881" w:rsidP="00D11881">
            <w:pPr>
              <w:jc w:val="right"/>
              <w:rPr>
                <w:sz w:val="14"/>
                <w:szCs w:val="14"/>
              </w:rPr>
            </w:pPr>
            <w:r w:rsidRPr="00872D7E">
              <w:rPr>
                <w:color w:val="000000"/>
                <w:sz w:val="14"/>
                <w:szCs w:val="14"/>
              </w:rPr>
              <w:t>5.900.000</w:t>
            </w:r>
          </w:p>
        </w:tc>
      </w:tr>
      <w:tr w:rsidR="00D11881" w:rsidRPr="00872D7E" w14:paraId="528E4B11"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78D6A01A" w14:textId="77777777" w:rsidR="00D11881" w:rsidRPr="00872D7E" w:rsidRDefault="00D11881" w:rsidP="00D11881">
            <w:pPr>
              <w:rPr>
                <w:sz w:val="14"/>
                <w:szCs w:val="14"/>
              </w:rPr>
            </w:pPr>
            <w:r w:rsidRPr="00872D7E">
              <w:rPr>
                <w:sz w:val="14"/>
                <w:szCs w:val="14"/>
              </w:rPr>
              <w:t> </w:t>
            </w:r>
          </w:p>
        </w:tc>
        <w:tc>
          <w:tcPr>
            <w:tcW w:w="3175" w:type="pct"/>
            <w:tcBorders>
              <w:top w:val="nil"/>
              <w:left w:val="nil"/>
              <w:bottom w:val="nil"/>
              <w:right w:val="nil"/>
            </w:tcBorders>
            <w:shd w:val="clear" w:color="auto" w:fill="auto"/>
            <w:hideMark/>
          </w:tcPr>
          <w:p w14:paraId="5CC900ED" w14:textId="77777777" w:rsidR="00D11881" w:rsidRPr="00872D7E" w:rsidRDefault="00D11881" w:rsidP="00D11881">
            <w:pPr>
              <w:rPr>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26356B20"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6A5B7B19" w14:textId="36260B00" w:rsidR="00D11881" w:rsidRPr="00872D7E" w:rsidRDefault="00D11881" w:rsidP="00D11881">
            <w:pPr>
              <w:jc w:val="right"/>
              <w:rPr>
                <w:sz w:val="14"/>
                <w:szCs w:val="14"/>
              </w:rPr>
            </w:pPr>
            <w:r w:rsidRPr="00872D7E">
              <w:rPr>
                <w:color w:val="000000"/>
                <w:sz w:val="14"/>
                <w:szCs w:val="14"/>
              </w:rPr>
              <w:t> </w:t>
            </w:r>
          </w:p>
        </w:tc>
      </w:tr>
      <w:tr w:rsidR="00D11881" w:rsidRPr="00872D7E" w14:paraId="7714D4A2"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37E2B4FA" w14:textId="77777777" w:rsidR="00D11881" w:rsidRPr="00872D7E" w:rsidRDefault="00D11881" w:rsidP="00D11881">
            <w:pPr>
              <w:rPr>
                <w:b/>
                <w:bCs/>
                <w:sz w:val="14"/>
                <w:szCs w:val="14"/>
              </w:rPr>
            </w:pPr>
            <w:r w:rsidRPr="00872D7E">
              <w:rPr>
                <w:b/>
                <w:bCs/>
                <w:sz w:val="14"/>
                <w:szCs w:val="14"/>
              </w:rPr>
              <w:t>IV.</w:t>
            </w:r>
          </w:p>
        </w:tc>
        <w:tc>
          <w:tcPr>
            <w:tcW w:w="3175" w:type="pct"/>
            <w:tcBorders>
              <w:top w:val="nil"/>
              <w:left w:val="nil"/>
              <w:bottom w:val="nil"/>
              <w:right w:val="nil"/>
            </w:tcBorders>
            <w:shd w:val="clear" w:color="auto" w:fill="auto"/>
            <w:hideMark/>
          </w:tcPr>
          <w:p w14:paraId="0F45A095" w14:textId="77777777" w:rsidR="00D11881" w:rsidRPr="00872D7E" w:rsidRDefault="00D11881" w:rsidP="00D11881">
            <w:pPr>
              <w:rPr>
                <w:b/>
                <w:bCs/>
                <w:sz w:val="14"/>
                <w:szCs w:val="14"/>
              </w:rPr>
            </w:pPr>
            <w:r w:rsidRPr="00872D7E">
              <w:rPr>
                <w:b/>
                <w:bCs/>
                <w:sz w:val="14"/>
                <w:szCs w:val="14"/>
              </w:rPr>
              <w:t>Yabancı Para Çevrim Farklarının Nakit ve Nakde Eşdeğer Varlıklar Üzerindeki Etkisi</w:t>
            </w:r>
          </w:p>
        </w:tc>
        <w:tc>
          <w:tcPr>
            <w:tcW w:w="442" w:type="pct"/>
            <w:tcBorders>
              <w:top w:val="nil"/>
              <w:left w:val="single" w:sz="4" w:space="0" w:color="auto"/>
              <w:bottom w:val="nil"/>
              <w:right w:val="single" w:sz="4" w:space="0" w:color="auto"/>
            </w:tcBorders>
            <w:shd w:val="clear" w:color="auto" w:fill="auto"/>
            <w:vAlign w:val="bottom"/>
            <w:hideMark/>
          </w:tcPr>
          <w:p w14:paraId="7D2E2BB9" w14:textId="77777777" w:rsidR="00D11881" w:rsidRPr="00872D7E" w:rsidRDefault="00D11881" w:rsidP="00D11881">
            <w:pPr>
              <w:jc w:val="center"/>
              <w:rPr>
                <w:b/>
                <w:bCs/>
                <w:sz w:val="14"/>
                <w:szCs w:val="14"/>
                <w:lang w:eastAsia="tr-TR"/>
              </w:rPr>
            </w:pPr>
            <w:r w:rsidRPr="00872D7E">
              <w:rPr>
                <w:b/>
                <w:bCs/>
                <w:sz w:val="14"/>
                <w:szCs w:val="14"/>
              </w:rPr>
              <w:t>(V-VI-3</w:t>
            </w:r>
            <w:r w:rsidRPr="00872D7E">
              <w:rPr>
                <w:b/>
                <w:bCs/>
                <w:sz w:val="14"/>
                <w:szCs w:val="14"/>
                <w:lang w:eastAsia="tr-TR"/>
              </w:rPr>
              <w:t>)</w:t>
            </w:r>
          </w:p>
        </w:tc>
        <w:tc>
          <w:tcPr>
            <w:tcW w:w="1071" w:type="pct"/>
            <w:tcBorders>
              <w:top w:val="nil"/>
              <w:left w:val="nil"/>
              <w:bottom w:val="nil"/>
              <w:right w:val="single" w:sz="4" w:space="0" w:color="auto"/>
            </w:tcBorders>
            <w:shd w:val="clear" w:color="auto" w:fill="auto"/>
            <w:vAlign w:val="bottom"/>
            <w:hideMark/>
          </w:tcPr>
          <w:p w14:paraId="6F504FDD" w14:textId="273F13F1" w:rsidR="00D11881" w:rsidRPr="00872D7E" w:rsidRDefault="00D11881" w:rsidP="00D11881">
            <w:pPr>
              <w:jc w:val="right"/>
              <w:rPr>
                <w:b/>
                <w:bCs/>
                <w:sz w:val="14"/>
                <w:szCs w:val="14"/>
              </w:rPr>
            </w:pPr>
            <w:r w:rsidRPr="00872D7E">
              <w:rPr>
                <w:b/>
                <w:bCs/>
                <w:color w:val="000000"/>
                <w:sz w:val="14"/>
                <w:szCs w:val="14"/>
              </w:rPr>
              <w:t>143.448</w:t>
            </w:r>
          </w:p>
        </w:tc>
      </w:tr>
      <w:tr w:rsidR="00D11881" w:rsidRPr="00872D7E" w14:paraId="5E6A3D42"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752E34B9"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08A99060"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6C146D64"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66B59035" w14:textId="4C36D55E" w:rsidR="00D11881" w:rsidRPr="00872D7E" w:rsidRDefault="00D11881" w:rsidP="00D11881">
            <w:pPr>
              <w:jc w:val="right"/>
              <w:rPr>
                <w:sz w:val="14"/>
                <w:szCs w:val="14"/>
              </w:rPr>
            </w:pPr>
            <w:r w:rsidRPr="00872D7E">
              <w:rPr>
                <w:color w:val="000000"/>
                <w:sz w:val="14"/>
                <w:szCs w:val="14"/>
              </w:rPr>
              <w:t> </w:t>
            </w:r>
          </w:p>
        </w:tc>
      </w:tr>
      <w:tr w:rsidR="00D11881" w:rsidRPr="00872D7E" w14:paraId="29F3D790"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2CBCFE6B" w14:textId="77777777" w:rsidR="00D11881" w:rsidRPr="00872D7E" w:rsidRDefault="00D11881" w:rsidP="00D11881">
            <w:pPr>
              <w:rPr>
                <w:b/>
                <w:bCs/>
                <w:sz w:val="14"/>
                <w:szCs w:val="14"/>
              </w:rPr>
            </w:pPr>
            <w:r w:rsidRPr="00872D7E">
              <w:rPr>
                <w:b/>
                <w:bCs/>
                <w:sz w:val="14"/>
                <w:szCs w:val="14"/>
              </w:rPr>
              <w:t>V.</w:t>
            </w:r>
          </w:p>
        </w:tc>
        <w:tc>
          <w:tcPr>
            <w:tcW w:w="3175" w:type="pct"/>
            <w:tcBorders>
              <w:top w:val="nil"/>
              <w:left w:val="nil"/>
              <w:bottom w:val="nil"/>
              <w:right w:val="nil"/>
            </w:tcBorders>
            <w:shd w:val="clear" w:color="auto" w:fill="auto"/>
            <w:hideMark/>
          </w:tcPr>
          <w:p w14:paraId="697928DC" w14:textId="77777777" w:rsidR="00D11881" w:rsidRPr="00872D7E" w:rsidRDefault="00D11881" w:rsidP="00D11881">
            <w:pPr>
              <w:rPr>
                <w:b/>
                <w:bCs/>
                <w:sz w:val="14"/>
                <w:szCs w:val="14"/>
              </w:rPr>
            </w:pPr>
            <w:r w:rsidRPr="00872D7E">
              <w:rPr>
                <w:b/>
                <w:bCs/>
                <w:sz w:val="14"/>
                <w:szCs w:val="14"/>
              </w:rPr>
              <w:t>Nakit ve Nakde Eşdeğer Varlıklardaki Net Artış</w:t>
            </w:r>
          </w:p>
        </w:tc>
        <w:tc>
          <w:tcPr>
            <w:tcW w:w="442" w:type="pct"/>
            <w:tcBorders>
              <w:top w:val="nil"/>
              <w:left w:val="single" w:sz="4" w:space="0" w:color="auto"/>
              <w:bottom w:val="nil"/>
              <w:right w:val="single" w:sz="4" w:space="0" w:color="auto"/>
            </w:tcBorders>
            <w:shd w:val="clear" w:color="auto" w:fill="auto"/>
            <w:vAlign w:val="bottom"/>
            <w:hideMark/>
          </w:tcPr>
          <w:p w14:paraId="68215F87"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vAlign w:val="bottom"/>
            <w:hideMark/>
          </w:tcPr>
          <w:p w14:paraId="635AB58D" w14:textId="2F0EDF3E" w:rsidR="00D11881" w:rsidRPr="00872D7E" w:rsidRDefault="00D11881" w:rsidP="00D11881">
            <w:pPr>
              <w:jc w:val="right"/>
              <w:rPr>
                <w:b/>
                <w:bCs/>
                <w:sz w:val="14"/>
                <w:szCs w:val="14"/>
              </w:rPr>
            </w:pPr>
            <w:r w:rsidRPr="00872D7E">
              <w:rPr>
                <w:b/>
                <w:bCs/>
                <w:color w:val="000000"/>
                <w:sz w:val="14"/>
                <w:szCs w:val="14"/>
              </w:rPr>
              <w:t>6.598.074</w:t>
            </w:r>
          </w:p>
        </w:tc>
      </w:tr>
      <w:tr w:rsidR="00D11881" w:rsidRPr="00872D7E" w14:paraId="5F999A5A"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0AA17406"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6EECD34F"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0E736255" w14:textId="77777777" w:rsidR="00D11881" w:rsidRPr="00872D7E" w:rsidRDefault="00D11881" w:rsidP="00D11881">
            <w:pPr>
              <w:jc w:val="center"/>
              <w:rPr>
                <w:sz w:val="14"/>
                <w:szCs w:val="14"/>
              </w:rPr>
            </w:pPr>
            <w:r w:rsidRPr="00872D7E">
              <w:rPr>
                <w:sz w:val="14"/>
                <w:szCs w:val="14"/>
              </w:rPr>
              <w:t> </w:t>
            </w:r>
          </w:p>
        </w:tc>
        <w:tc>
          <w:tcPr>
            <w:tcW w:w="1071" w:type="pct"/>
            <w:tcBorders>
              <w:top w:val="nil"/>
              <w:left w:val="nil"/>
              <w:bottom w:val="nil"/>
              <w:right w:val="single" w:sz="4" w:space="0" w:color="auto"/>
            </w:tcBorders>
            <w:shd w:val="clear" w:color="auto" w:fill="auto"/>
            <w:noWrap/>
            <w:vAlign w:val="bottom"/>
            <w:hideMark/>
          </w:tcPr>
          <w:p w14:paraId="7B900841" w14:textId="05E59977" w:rsidR="00D11881" w:rsidRPr="00872D7E" w:rsidRDefault="00D11881" w:rsidP="00D11881">
            <w:pPr>
              <w:jc w:val="right"/>
              <w:rPr>
                <w:sz w:val="14"/>
                <w:szCs w:val="14"/>
              </w:rPr>
            </w:pPr>
            <w:r w:rsidRPr="00872D7E">
              <w:rPr>
                <w:color w:val="000000"/>
                <w:sz w:val="14"/>
                <w:szCs w:val="14"/>
              </w:rPr>
              <w:t> </w:t>
            </w:r>
          </w:p>
        </w:tc>
      </w:tr>
      <w:tr w:rsidR="00D11881" w:rsidRPr="00872D7E" w14:paraId="4191A58C"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22C34889" w14:textId="77777777" w:rsidR="00D11881" w:rsidRPr="00872D7E" w:rsidRDefault="00D11881" w:rsidP="00D11881">
            <w:pPr>
              <w:rPr>
                <w:b/>
                <w:bCs/>
                <w:sz w:val="14"/>
                <w:szCs w:val="14"/>
              </w:rPr>
            </w:pPr>
            <w:r w:rsidRPr="00872D7E">
              <w:rPr>
                <w:b/>
                <w:bCs/>
                <w:sz w:val="14"/>
                <w:szCs w:val="14"/>
              </w:rPr>
              <w:t>VI.</w:t>
            </w:r>
          </w:p>
        </w:tc>
        <w:tc>
          <w:tcPr>
            <w:tcW w:w="3175" w:type="pct"/>
            <w:tcBorders>
              <w:top w:val="nil"/>
              <w:left w:val="nil"/>
              <w:bottom w:val="nil"/>
              <w:right w:val="nil"/>
            </w:tcBorders>
            <w:shd w:val="clear" w:color="auto" w:fill="auto"/>
            <w:hideMark/>
          </w:tcPr>
          <w:p w14:paraId="38C28171" w14:textId="77777777" w:rsidR="00D11881" w:rsidRPr="00872D7E" w:rsidRDefault="00D11881" w:rsidP="00D11881">
            <w:pPr>
              <w:rPr>
                <w:b/>
                <w:bCs/>
                <w:sz w:val="14"/>
                <w:szCs w:val="14"/>
              </w:rPr>
            </w:pPr>
            <w:r w:rsidRPr="00872D7E">
              <w:rPr>
                <w:b/>
                <w:bCs/>
                <w:sz w:val="14"/>
                <w:szCs w:val="14"/>
              </w:rPr>
              <w:t>Dönem Başındaki Nakit ve Nakde Eşdeğer Varlıklar</w:t>
            </w:r>
          </w:p>
        </w:tc>
        <w:tc>
          <w:tcPr>
            <w:tcW w:w="442" w:type="pct"/>
            <w:tcBorders>
              <w:top w:val="nil"/>
              <w:left w:val="single" w:sz="4" w:space="0" w:color="auto"/>
              <w:bottom w:val="nil"/>
              <w:right w:val="single" w:sz="4" w:space="0" w:color="auto"/>
            </w:tcBorders>
            <w:shd w:val="clear" w:color="auto" w:fill="auto"/>
            <w:vAlign w:val="bottom"/>
            <w:hideMark/>
          </w:tcPr>
          <w:p w14:paraId="18ECA571" w14:textId="77777777" w:rsidR="00D11881" w:rsidRPr="00872D7E" w:rsidRDefault="00D11881" w:rsidP="00D11881">
            <w:pPr>
              <w:jc w:val="center"/>
              <w:rPr>
                <w:b/>
                <w:bCs/>
                <w:sz w:val="14"/>
                <w:szCs w:val="14"/>
                <w:lang w:eastAsia="tr-TR"/>
              </w:rPr>
            </w:pPr>
            <w:r w:rsidRPr="00872D7E">
              <w:rPr>
                <w:b/>
                <w:bCs/>
                <w:sz w:val="14"/>
                <w:szCs w:val="14"/>
              </w:rPr>
              <w:t>(V-VI-a</w:t>
            </w:r>
            <w:r w:rsidRPr="00872D7E">
              <w:rPr>
                <w:b/>
                <w:bCs/>
                <w:sz w:val="14"/>
                <w:szCs w:val="14"/>
                <w:lang w:eastAsia="tr-TR"/>
              </w:rPr>
              <w:t>)</w:t>
            </w:r>
          </w:p>
        </w:tc>
        <w:tc>
          <w:tcPr>
            <w:tcW w:w="1071" w:type="pct"/>
            <w:tcBorders>
              <w:top w:val="nil"/>
              <w:left w:val="nil"/>
              <w:bottom w:val="nil"/>
              <w:right w:val="single" w:sz="4" w:space="0" w:color="auto"/>
            </w:tcBorders>
            <w:shd w:val="clear" w:color="auto" w:fill="auto"/>
            <w:vAlign w:val="bottom"/>
            <w:hideMark/>
          </w:tcPr>
          <w:p w14:paraId="4993AE47" w14:textId="49CBA1DB" w:rsidR="00D11881" w:rsidRPr="00872D7E" w:rsidRDefault="00D11881" w:rsidP="00D11881">
            <w:pPr>
              <w:jc w:val="right"/>
              <w:rPr>
                <w:b/>
                <w:bCs/>
                <w:sz w:val="14"/>
                <w:szCs w:val="14"/>
              </w:rPr>
            </w:pPr>
            <w:r w:rsidRPr="00872D7E">
              <w:rPr>
                <w:b/>
                <w:bCs/>
                <w:color w:val="000000"/>
                <w:sz w:val="14"/>
                <w:szCs w:val="14"/>
              </w:rPr>
              <w:t>429.773</w:t>
            </w:r>
          </w:p>
        </w:tc>
      </w:tr>
      <w:tr w:rsidR="00D11881" w:rsidRPr="00872D7E" w14:paraId="202D1793" w14:textId="77777777" w:rsidTr="008A61B7">
        <w:trPr>
          <w:divId w:val="796528434"/>
          <w:trHeight w:val="113"/>
        </w:trPr>
        <w:tc>
          <w:tcPr>
            <w:tcW w:w="312" w:type="pct"/>
            <w:tcBorders>
              <w:top w:val="nil"/>
              <w:left w:val="single" w:sz="4" w:space="0" w:color="auto"/>
              <w:bottom w:val="nil"/>
              <w:right w:val="nil"/>
            </w:tcBorders>
            <w:shd w:val="clear" w:color="auto" w:fill="auto"/>
            <w:hideMark/>
          </w:tcPr>
          <w:p w14:paraId="0B88B7D7" w14:textId="77777777" w:rsidR="00D11881" w:rsidRPr="00872D7E" w:rsidRDefault="00D11881" w:rsidP="00D11881">
            <w:pPr>
              <w:rPr>
                <w:b/>
                <w:bCs/>
                <w:sz w:val="14"/>
                <w:szCs w:val="14"/>
              </w:rPr>
            </w:pPr>
            <w:r w:rsidRPr="00872D7E">
              <w:rPr>
                <w:b/>
                <w:bCs/>
                <w:sz w:val="14"/>
                <w:szCs w:val="14"/>
              </w:rPr>
              <w:t> </w:t>
            </w:r>
          </w:p>
        </w:tc>
        <w:tc>
          <w:tcPr>
            <w:tcW w:w="3175" w:type="pct"/>
            <w:tcBorders>
              <w:top w:val="nil"/>
              <w:left w:val="nil"/>
              <w:bottom w:val="nil"/>
              <w:right w:val="nil"/>
            </w:tcBorders>
            <w:shd w:val="clear" w:color="auto" w:fill="auto"/>
            <w:hideMark/>
          </w:tcPr>
          <w:p w14:paraId="17016DA1" w14:textId="77777777" w:rsidR="00D11881" w:rsidRPr="00872D7E" w:rsidRDefault="00D11881" w:rsidP="00D11881">
            <w:pPr>
              <w:rPr>
                <w:b/>
                <w:bCs/>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2CD767A5" w14:textId="77777777" w:rsidR="00D11881" w:rsidRPr="00872D7E" w:rsidRDefault="00D11881" w:rsidP="00D11881">
            <w:pPr>
              <w:jc w:val="center"/>
              <w:rPr>
                <w:b/>
                <w:bCs/>
                <w:sz w:val="14"/>
                <w:szCs w:val="14"/>
              </w:rPr>
            </w:pPr>
            <w:r w:rsidRPr="00872D7E">
              <w:rPr>
                <w:b/>
                <w:bCs/>
                <w:sz w:val="14"/>
                <w:szCs w:val="14"/>
              </w:rPr>
              <w:t> </w:t>
            </w:r>
          </w:p>
        </w:tc>
        <w:tc>
          <w:tcPr>
            <w:tcW w:w="1071" w:type="pct"/>
            <w:tcBorders>
              <w:top w:val="nil"/>
              <w:left w:val="nil"/>
              <w:bottom w:val="nil"/>
              <w:right w:val="single" w:sz="4" w:space="0" w:color="auto"/>
            </w:tcBorders>
            <w:shd w:val="clear" w:color="auto" w:fill="auto"/>
            <w:noWrap/>
            <w:vAlign w:val="bottom"/>
            <w:hideMark/>
          </w:tcPr>
          <w:p w14:paraId="5EAFFA95" w14:textId="2566BEAA" w:rsidR="00D11881" w:rsidRPr="00872D7E" w:rsidRDefault="00D11881" w:rsidP="00D11881">
            <w:pPr>
              <w:jc w:val="right"/>
              <w:rPr>
                <w:b/>
                <w:bCs/>
                <w:sz w:val="14"/>
                <w:szCs w:val="14"/>
              </w:rPr>
            </w:pPr>
            <w:r w:rsidRPr="00872D7E">
              <w:rPr>
                <w:color w:val="000000"/>
                <w:sz w:val="14"/>
                <w:szCs w:val="14"/>
              </w:rPr>
              <w:t> </w:t>
            </w:r>
          </w:p>
        </w:tc>
      </w:tr>
      <w:tr w:rsidR="00D11881" w:rsidRPr="00872D7E" w14:paraId="3B636121" w14:textId="77777777" w:rsidTr="008A61B7">
        <w:trPr>
          <w:divId w:val="796528434"/>
          <w:trHeight w:val="113"/>
        </w:trPr>
        <w:tc>
          <w:tcPr>
            <w:tcW w:w="312" w:type="pct"/>
            <w:tcBorders>
              <w:top w:val="nil"/>
              <w:left w:val="single" w:sz="4" w:space="0" w:color="auto"/>
              <w:bottom w:val="single" w:sz="4" w:space="0" w:color="auto"/>
              <w:right w:val="nil"/>
            </w:tcBorders>
            <w:shd w:val="clear" w:color="auto" w:fill="auto"/>
            <w:hideMark/>
          </w:tcPr>
          <w:p w14:paraId="7CEE1606" w14:textId="77777777" w:rsidR="00D11881" w:rsidRPr="00872D7E" w:rsidRDefault="00D11881" w:rsidP="00D11881">
            <w:pPr>
              <w:rPr>
                <w:b/>
                <w:bCs/>
                <w:sz w:val="14"/>
                <w:szCs w:val="14"/>
              </w:rPr>
            </w:pPr>
            <w:r w:rsidRPr="00872D7E">
              <w:rPr>
                <w:b/>
                <w:bCs/>
                <w:sz w:val="14"/>
                <w:szCs w:val="14"/>
              </w:rPr>
              <w:t>VII.</w:t>
            </w:r>
          </w:p>
        </w:tc>
        <w:tc>
          <w:tcPr>
            <w:tcW w:w="3175" w:type="pct"/>
            <w:tcBorders>
              <w:top w:val="nil"/>
              <w:left w:val="nil"/>
              <w:bottom w:val="single" w:sz="4" w:space="0" w:color="auto"/>
              <w:right w:val="nil"/>
            </w:tcBorders>
            <w:shd w:val="clear" w:color="auto" w:fill="auto"/>
            <w:hideMark/>
          </w:tcPr>
          <w:p w14:paraId="54CFEA27" w14:textId="77777777" w:rsidR="00D11881" w:rsidRPr="00872D7E" w:rsidRDefault="00D11881" w:rsidP="00D11881">
            <w:pPr>
              <w:rPr>
                <w:b/>
                <w:bCs/>
                <w:sz w:val="14"/>
                <w:szCs w:val="14"/>
              </w:rPr>
            </w:pPr>
            <w:r w:rsidRPr="00872D7E">
              <w:rPr>
                <w:b/>
                <w:bCs/>
                <w:sz w:val="14"/>
                <w:szCs w:val="14"/>
              </w:rPr>
              <w:t>Dönem Sonundaki Nakit ve Nakde Eşdeğer Varlıklar</w:t>
            </w:r>
          </w:p>
        </w:tc>
        <w:tc>
          <w:tcPr>
            <w:tcW w:w="442" w:type="pct"/>
            <w:tcBorders>
              <w:top w:val="nil"/>
              <w:left w:val="single" w:sz="4" w:space="0" w:color="auto"/>
              <w:bottom w:val="single" w:sz="4" w:space="0" w:color="auto"/>
              <w:right w:val="single" w:sz="4" w:space="0" w:color="auto"/>
            </w:tcBorders>
            <w:shd w:val="clear" w:color="auto" w:fill="auto"/>
            <w:vAlign w:val="bottom"/>
            <w:hideMark/>
          </w:tcPr>
          <w:p w14:paraId="4756AB51" w14:textId="77777777" w:rsidR="00D11881" w:rsidRPr="00872D7E" w:rsidRDefault="00D11881" w:rsidP="00D11881">
            <w:pPr>
              <w:jc w:val="center"/>
              <w:rPr>
                <w:b/>
                <w:bCs/>
                <w:sz w:val="14"/>
                <w:szCs w:val="14"/>
                <w:lang w:eastAsia="tr-TR"/>
              </w:rPr>
            </w:pPr>
            <w:r w:rsidRPr="00872D7E">
              <w:rPr>
                <w:b/>
                <w:bCs/>
                <w:sz w:val="14"/>
                <w:szCs w:val="14"/>
              </w:rPr>
              <w:t>(V-VI-b</w:t>
            </w:r>
            <w:r w:rsidRPr="00872D7E">
              <w:rPr>
                <w:b/>
                <w:bCs/>
                <w:sz w:val="14"/>
                <w:szCs w:val="14"/>
                <w:lang w:eastAsia="tr-TR"/>
              </w:rPr>
              <w:t>)</w:t>
            </w:r>
          </w:p>
        </w:tc>
        <w:tc>
          <w:tcPr>
            <w:tcW w:w="1071" w:type="pct"/>
            <w:tcBorders>
              <w:top w:val="nil"/>
              <w:left w:val="nil"/>
              <w:bottom w:val="single" w:sz="4" w:space="0" w:color="auto"/>
              <w:right w:val="single" w:sz="4" w:space="0" w:color="auto"/>
            </w:tcBorders>
            <w:shd w:val="clear" w:color="auto" w:fill="auto"/>
            <w:vAlign w:val="bottom"/>
            <w:hideMark/>
          </w:tcPr>
          <w:p w14:paraId="62F71166" w14:textId="1DAD09CC" w:rsidR="00D11881" w:rsidRPr="00872D7E" w:rsidRDefault="00D11881" w:rsidP="00D11881">
            <w:pPr>
              <w:jc w:val="right"/>
              <w:rPr>
                <w:b/>
                <w:bCs/>
                <w:sz w:val="14"/>
                <w:szCs w:val="14"/>
              </w:rPr>
            </w:pPr>
            <w:r w:rsidRPr="00872D7E">
              <w:rPr>
                <w:b/>
                <w:bCs/>
                <w:color w:val="000000"/>
                <w:sz w:val="14"/>
                <w:szCs w:val="14"/>
              </w:rPr>
              <w:t>7.027.847</w:t>
            </w:r>
          </w:p>
        </w:tc>
      </w:tr>
    </w:tbl>
    <w:p w14:paraId="5567FFD8" w14:textId="3EDB0932" w:rsidR="00C253B8" w:rsidRPr="00872D7E" w:rsidRDefault="00C253B8" w:rsidP="009F6E11">
      <w:pPr>
        <w:widowControl w:val="0"/>
        <w:jc w:val="both"/>
        <w:rPr>
          <w:sz w:val="16"/>
          <w:szCs w:val="20"/>
        </w:rPr>
      </w:pPr>
    </w:p>
    <w:p w14:paraId="3541A31B" w14:textId="5655556E" w:rsidR="0097685D" w:rsidRPr="00872D7E" w:rsidRDefault="0097685D" w:rsidP="00236C13">
      <w:pPr>
        <w:widowControl w:val="0"/>
        <w:ind w:left="567" w:hanging="567"/>
        <w:jc w:val="both"/>
        <w:rPr>
          <w:sz w:val="18"/>
          <w:szCs w:val="18"/>
        </w:rPr>
      </w:pPr>
      <w:r w:rsidRPr="00872D7E">
        <w:rPr>
          <w:sz w:val="18"/>
          <w:szCs w:val="18"/>
          <w:vertAlign w:val="superscript"/>
        </w:rPr>
        <w:t>(*)</w:t>
      </w:r>
      <w:r w:rsidR="00504891" w:rsidRPr="00872D7E">
        <w:rPr>
          <w:sz w:val="18"/>
          <w:szCs w:val="18"/>
        </w:rPr>
        <w:tab/>
      </w:r>
      <w:r w:rsidRPr="00872D7E">
        <w:rPr>
          <w:sz w:val="18"/>
          <w:szCs w:val="18"/>
        </w:rPr>
        <w:t xml:space="preserve">3. Bölüm I. Kısımda açıklandığı üzere Banka’nın 1 </w:t>
      </w:r>
      <w:proofErr w:type="gramStart"/>
      <w:r w:rsidRPr="00872D7E">
        <w:rPr>
          <w:sz w:val="18"/>
          <w:szCs w:val="18"/>
        </w:rPr>
        <w:t>Ocak -</w:t>
      </w:r>
      <w:proofErr w:type="gramEnd"/>
      <w:r w:rsidRPr="00872D7E">
        <w:rPr>
          <w:sz w:val="18"/>
          <w:szCs w:val="18"/>
        </w:rPr>
        <w:t xml:space="preserve"> </w:t>
      </w:r>
      <w:r w:rsidR="00B07002" w:rsidRPr="00872D7E">
        <w:rPr>
          <w:sz w:val="18"/>
          <w:szCs w:val="18"/>
        </w:rPr>
        <w:t>31 Aralık</w:t>
      </w:r>
      <w:r w:rsidR="007301E4" w:rsidRPr="00872D7E">
        <w:rPr>
          <w:sz w:val="18"/>
          <w:szCs w:val="18"/>
        </w:rPr>
        <w:t xml:space="preserve"> </w:t>
      </w:r>
      <w:r w:rsidR="005D4EF6" w:rsidRPr="00872D7E">
        <w:rPr>
          <w:sz w:val="18"/>
          <w:szCs w:val="18"/>
        </w:rPr>
        <w:t>2024</w:t>
      </w:r>
      <w:r w:rsidRPr="00872D7E">
        <w:rPr>
          <w:sz w:val="18"/>
          <w:szCs w:val="18"/>
        </w:rPr>
        <w:t xml:space="preserve"> hesap dönemine ait konsolide olmayan nakit akış tablosu önceki dönem ile karşılaştırmalı olarak sunulmamıştır.</w:t>
      </w:r>
    </w:p>
    <w:p w14:paraId="23573C99" w14:textId="181EA2A9" w:rsidR="000966BD" w:rsidRPr="00872D7E" w:rsidRDefault="000966BD" w:rsidP="00236C13">
      <w:pPr>
        <w:widowControl w:val="0"/>
        <w:ind w:left="567" w:hanging="567"/>
        <w:jc w:val="both"/>
        <w:rPr>
          <w:sz w:val="18"/>
          <w:szCs w:val="18"/>
        </w:rPr>
      </w:pPr>
      <w:r w:rsidRPr="00872D7E">
        <w:rPr>
          <w:sz w:val="18"/>
          <w:szCs w:val="18"/>
          <w:vertAlign w:val="superscript"/>
        </w:rPr>
        <w:t>(**)</w:t>
      </w:r>
      <w:r w:rsidRPr="00872D7E">
        <w:rPr>
          <w:sz w:val="18"/>
          <w:szCs w:val="18"/>
          <w:vertAlign w:val="superscript"/>
        </w:rPr>
        <w:tab/>
      </w:r>
      <w:r w:rsidRPr="00872D7E">
        <w:rPr>
          <w:sz w:val="18"/>
          <w:szCs w:val="18"/>
        </w:rPr>
        <w:t>Banka’nın cari dönem içerisinde yapılan sermaye artırımını ifade etmektedir.</w:t>
      </w:r>
    </w:p>
    <w:p w14:paraId="3C5E03DD" w14:textId="77777777" w:rsidR="00DB5BF9" w:rsidRPr="00872D7E" w:rsidRDefault="00DB5BF9" w:rsidP="001B6D11">
      <w:pPr>
        <w:widowControl w:val="0"/>
        <w:jc w:val="both"/>
        <w:rPr>
          <w:szCs w:val="20"/>
        </w:rPr>
      </w:pPr>
    </w:p>
    <w:p w14:paraId="5914CADD" w14:textId="77777777" w:rsidR="00DB5BF9" w:rsidRPr="00872D7E" w:rsidRDefault="00DB5BF9" w:rsidP="001B6D11">
      <w:pPr>
        <w:widowControl w:val="0"/>
        <w:jc w:val="both"/>
        <w:rPr>
          <w:szCs w:val="20"/>
        </w:rPr>
      </w:pPr>
    </w:p>
    <w:p w14:paraId="1981A9CE" w14:textId="77777777" w:rsidR="00DB5BF9" w:rsidRPr="00872D7E" w:rsidRDefault="00DB5BF9" w:rsidP="001B6D11">
      <w:pPr>
        <w:widowControl w:val="0"/>
        <w:jc w:val="both"/>
        <w:rPr>
          <w:sz w:val="18"/>
          <w:szCs w:val="18"/>
        </w:rPr>
      </w:pPr>
    </w:p>
    <w:p w14:paraId="5C90F8CD" w14:textId="77777777" w:rsidR="00236C13" w:rsidRPr="00872D7E" w:rsidRDefault="00236C13" w:rsidP="001B6D11">
      <w:pPr>
        <w:widowControl w:val="0"/>
        <w:jc w:val="both"/>
        <w:rPr>
          <w:sz w:val="18"/>
          <w:szCs w:val="18"/>
        </w:rPr>
      </w:pPr>
    </w:p>
    <w:p w14:paraId="2E3E93D7" w14:textId="77777777" w:rsidR="00236C13" w:rsidRPr="00872D7E" w:rsidRDefault="00236C13" w:rsidP="001B6D11">
      <w:pPr>
        <w:widowControl w:val="0"/>
        <w:jc w:val="both"/>
        <w:rPr>
          <w:sz w:val="18"/>
          <w:szCs w:val="18"/>
        </w:rPr>
      </w:pPr>
    </w:p>
    <w:p w14:paraId="57408A4C" w14:textId="77777777" w:rsidR="00236C13" w:rsidRPr="00872D7E" w:rsidRDefault="00236C13" w:rsidP="001B6D11">
      <w:pPr>
        <w:widowControl w:val="0"/>
        <w:jc w:val="both"/>
        <w:rPr>
          <w:sz w:val="18"/>
          <w:szCs w:val="18"/>
        </w:rPr>
      </w:pPr>
    </w:p>
    <w:p w14:paraId="74DA2A91" w14:textId="77777777" w:rsidR="007C53D5" w:rsidRPr="00872D7E" w:rsidRDefault="007C53D5" w:rsidP="001B6D11">
      <w:pPr>
        <w:widowControl w:val="0"/>
        <w:jc w:val="both"/>
        <w:rPr>
          <w:sz w:val="18"/>
          <w:szCs w:val="18"/>
        </w:rPr>
      </w:pPr>
    </w:p>
    <w:p w14:paraId="48A99C5A" w14:textId="1B4544BE" w:rsidR="00001F3A" w:rsidRPr="00872D7E" w:rsidRDefault="00001F3A" w:rsidP="009F6E11">
      <w:pPr>
        <w:widowControl w:val="0"/>
        <w:jc w:val="both"/>
        <w:rPr>
          <w:sz w:val="16"/>
          <w:szCs w:val="16"/>
        </w:rPr>
      </w:pPr>
    </w:p>
    <w:p w14:paraId="78180A73" w14:textId="0E90E287" w:rsidR="00D82AF9" w:rsidRPr="00872D7E" w:rsidRDefault="00FD1822" w:rsidP="00236C13">
      <w:pPr>
        <w:widowControl w:val="0"/>
        <w:jc w:val="center"/>
        <w:rPr>
          <w:szCs w:val="20"/>
        </w:rPr>
      </w:pPr>
      <w:r w:rsidRPr="00872D7E">
        <w:rPr>
          <w:szCs w:val="20"/>
        </w:rPr>
        <w:t>İlişikteki açıklama ve dipnotlar bu finansal tablol</w:t>
      </w:r>
      <w:r w:rsidR="007C04FA" w:rsidRPr="00872D7E">
        <w:rPr>
          <w:szCs w:val="20"/>
        </w:rPr>
        <w:t>arın tamamlayıcı bir parçasıdır.</w:t>
      </w:r>
      <w:r w:rsidR="00D82AF9" w:rsidRPr="00872D7E">
        <w:rPr>
          <w:szCs w:val="20"/>
        </w:rPr>
        <w:br w:type="page"/>
      </w:r>
    </w:p>
    <w:tbl>
      <w:tblPr>
        <w:tblW w:w="5000" w:type="pct"/>
        <w:tblLook w:val="04A0" w:firstRow="1" w:lastRow="0" w:firstColumn="1" w:lastColumn="0" w:noHBand="0" w:noVBand="1"/>
      </w:tblPr>
      <w:tblGrid>
        <w:gridCol w:w="7965"/>
        <w:gridCol w:w="1947"/>
      </w:tblGrid>
      <w:tr w:rsidR="00547D6D" w:rsidRPr="00872D7E" w14:paraId="16EB5E9A" w14:textId="77777777" w:rsidTr="00391341">
        <w:trPr>
          <w:trHeight w:val="113"/>
        </w:trPr>
        <w:tc>
          <w:tcPr>
            <w:tcW w:w="4018" w:type="pct"/>
            <w:tcBorders>
              <w:top w:val="single" w:sz="4" w:space="0" w:color="auto"/>
              <w:left w:val="single" w:sz="4" w:space="0" w:color="auto"/>
              <w:bottom w:val="single" w:sz="4" w:space="0" w:color="auto"/>
              <w:right w:val="single" w:sz="4" w:space="0" w:color="auto"/>
            </w:tcBorders>
            <w:shd w:val="clear" w:color="auto" w:fill="auto"/>
            <w:vAlign w:val="center"/>
          </w:tcPr>
          <w:p w14:paraId="1A415FE4" w14:textId="77777777" w:rsidR="00547D6D" w:rsidRPr="00872D7E" w:rsidRDefault="00547D6D" w:rsidP="00391341">
            <w:pPr>
              <w:jc w:val="center"/>
              <w:rPr>
                <w:b/>
                <w:bCs/>
                <w:sz w:val="15"/>
                <w:szCs w:val="15"/>
              </w:rPr>
            </w:pPr>
            <w:r w:rsidRPr="00872D7E">
              <w:rPr>
                <w:b/>
                <w:bCs/>
                <w:sz w:val="15"/>
                <w:szCs w:val="15"/>
              </w:rPr>
              <w:lastRenderedPageBreak/>
              <w:t>KAR DAĞITIM TABLOSU</w:t>
            </w:r>
          </w:p>
        </w:tc>
        <w:tc>
          <w:tcPr>
            <w:tcW w:w="982" w:type="pct"/>
            <w:tcBorders>
              <w:top w:val="single" w:sz="4" w:space="0" w:color="auto"/>
              <w:left w:val="single" w:sz="4" w:space="0" w:color="auto"/>
              <w:bottom w:val="single" w:sz="4" w:space="0" w:color="auto"/>
              <w:right w:val="single" w:sz="4" w:space="0" w:color="auto"/>
            </w:tcBorders>
            <w:shd w:val="clear" w:color="auto" w:fill="auto"/>
            <w:vAlign w:val="bottom"/>
          </w:tcPr>
          <w:p w14:paraId="31DFFB21" w14:textId="1BAE6056" w:rsidR="00547D6D" w:rsidRPr="00872D7E" w:rsidRDefault="00547D6D" w:rsidP="00391341">
            <w:pPr>
              <w:jc w:val="right"/>
              <w:rPr>
                <w:b/>
                <w:sz w:val="15"/>
                <w:szCs w:val="15"/>
              </w:rPr>
            </w:pPr>
            <w:r w:rsidRPr="00872D7E">
              <w:rPr>
                <w:b/>
                <w:sz w:val="15"/>
                <w:szCs w:val="15"/>
              </w:rPr>
              <w:t>31 Aralık 2024</w:t>
            </w:r>
          </w:p>
        </w:tc>
      </w:tr>
      <w:tr w:rsidR="00547D6D" w:rsidRPr="00872D7E" w14:paraId="2CAC6327" w14:textId="77777777" w:rsidTr="00391341">
        <w:trPr>
          <w:trHeight w:val="113"/>
        </w:trPr>
        <w:tc>
          <w:tcPr>
            <w:tcW w:w="4018" w:type="pct"/>
            <w:tcBorders>
              <w:top w:val="nil"/>
              <w:left w:val="single" w:sz="4" w:space="0" w:color="auto"/>
              <w:bottom w:val="nil"/>
              <w:right w:val="single" w:sz="4" w:space="0" w:color="auto"/>
            </w:tcBorders>
            <w:shd w:val="clear" w:color="auto" w:fill="auto"/>
            <w:vAlign w:val="bottom"/>
          </w:tcPr>
          <w:p w14:paraId="5E98E926" w14:textId="77777777" w:rsidR="00547D6D" w:rsidRPr="00872D7E" w:rsidRDefault="00547D6D" w:rsidP="00391341">
            <w:pPr>
              <w:rPr>
                <w:b/>
                <w:bCs/>
                <w:sz w:val="15"/>
                <w:szCs w:val="15"/>
              </w:rPr>
            </w:pPr>
          </w:p>
        </w:tc>
        <w:tc>
          <w:tcPr>
            <w:tcW w:w="982" w:type="pct"/>
            <w:tcBorders>
              <w:top w:val="single" w:sz="4" w:space="0" w:color="auto"/>
              <w:left w:val="single" w:sz="4" w:space="0" w:color="auto"/>
              <w:bottom w:val="nil"/>
              <w:right w:val="single" w:sz="4" w:space="0" w:color="auto"/>
            </w:tcBorders>
            <w:shd w:val="clear" w:color="auto" w:fill="auto"/>
          </w:tcPr>
          <w:p w14:paraId="2B354148" w14:textId="77777777" w:rsidR="00547D6D" w:rsidRPr="00872D7E" w:rsidRDefault="00547D6D" w:rsidP="00391341">
            <w:pPr>
              <w:jc w:val="center"/>
              <w:rPr>
                <w:b/>
                <w:sz w:val="15"/>
                <w:szCs w:val="15"/>
              </w:rPr>
            </w:pPr>
          </w:p>
        </w:tc>
      </w:tr>
      <w:tr w:rsidR="00547D6D" w:rsidRPr="00872D7E" w14:paraId="19455A99" w14:textId="77777777" w:rsidTr="00391341">
        <w:trPr>
          <w:trHeight w:val="113"/>
        </w:trPr>
        <w:tc>
          <w:tcPr>
            <w:tcW w:w="4018" w:type="pct"/>
            <w:tcBorders>
              <w:top w:val="nil"/>
              <w:left w:val="single" w:sz="4" w:space="0" w:color="auto"/>
              <w:bottom w:val="nil"/>
              <w:right w:val="single" w:sz="4" w:space="0" w:color="auto"/>
            </w:tcBorders>
            <w:shd w:val="clear" w:color="auto" w:fill="auto"/>
            <w:hideMark/>
          </w:tcPr>
          <w:p w14:paraId="6C64A3D6" w14:textId="77777777" w:rsidR="00547D6D" w:rsidRPr="00872D7E" w:rsidRDefault="00547D6D" w:rsidP="00391341">
            <w:pPr>
              <w:rPr>
                <w:b/>
                <w:sz w:val="15"/>
                <w:szCs w:val="15"/>
              </w:rPr>
            </w:pPr>
            <w:r w:rsidRPr="00872D7E">
              <w:rPr>
                <w:b/>
                <w:sz w:val="15"/>
                <w:szCs w:val="15"/>
              </w:rPr>
              <w:t>I. DÖNEM KÂRININ DAĞITIMI</w:t>
            </w:r>
          </w:p>
        </w:tc>
        <w:tc>
          <w:tcPr>
            <w:tcW w:w="982" w:type="pct"/>
            <w:tcBorders>
              <w:top w:val="nil"/>
              <w:left w:val="single" w:sz="4" w:space="0" w:color="auto"/>
              <w:bottom w:val="nil"/>
              <w:right w:val="single" w:sz="4" w:space="0" w:color="auto"/>
            </w:tcBorders>
            <w:shd w:val="clear" w:color="auto" w:fill="auto"/>
          </w:tcPr>
          <w:p w14:paraId="6BEE2C52" w14:textId="77777777" w:rsidR="00547D6D" w:rsidRPr="00872D7E" w:rsidRDefault="00547D6D" w:rsidP="00391341">
            <w:pPr>
              <w:jc w:val="center"/>
              <w:rPr>
                <w:b/>
                <w:sz w:val="15"/>
                <w:szCs w:val="15"/>
              </w:rPr>
            </w:pPr>
          </w:p>
        </w:tc>
      </w:tr>
      <w:tr w:rsidR="00547D6D" w:rsidRPr="00872D7E" w14:paraId="3527274D" w14:textId="77777777" w:rsidTr="00391341">
        <w:trPr>
          <w:trHeight w:val="113"/>
        </w:trPr>
        <w:tc>
          <w:tcPr>
            <w:tcW w:w="4018" w:type="pct"/>
            <w:tcBorders>
              <w:top w:val="nil"/>
              <w:left w:val="single" w:sz="4" w:space="0" w:color="auto"/>
              <w:bottom w:val="nil"/>
              <w:right w:val="single" w:sz="4" w:space="0" w:color="auto"/>
            </w:tcBorders>
            <w:shd w:val="clear" w:color="auto" w:fill="auto"/>
          </w:tcPr>
          <w:p w14:paraId="14B154A2" w14:textId="77777777" w:rsidR="00547D6D" w:rsidRPr="00872D7E" w:rsidRDefault="00547D6D" w:rsidP="00391341">
            <w:pPr>
              <w:rPr>
                <w:b/>
                <w:sz w:val="15"/>
                <w:szCs w:val="15"/>
              </w:rPr>
            </w:pPr>
          </w:p>
        </w:tc>
        <w:tc>
          <w:tcPr>
            <w:tcW w:w="982" w:type="pct"/>
            <w:tcBorders>
              <w:top w:val="nil"/>
              <w:left w:val="single" w:sz="4" w:space="0" w:color="auto"/>
              <w:bottom w:val="nil"/>
              <w:right w:val="single" w:sz="4" w:space="0" w:color="auto"/>
            </w:tcBorders>
            <w:shd w:val="clear" w:color="auto" w:fill="auto"/>
          </w:tcPr>
          <w:p w14:paraId="72089567" w14:textId="77777777" w:rsidR="00547D6D" w:rsidRPr="00872D7E" w:rsidRDefault="00547D6D" w:rsidP="00391341">
            <w:pPr>
              <w:jc w:val="center"/>
              <w:rPr>
                <w:sz w:val="15"/>
                <w:szCs w:val="15"/>
              </w:rPr>
            </w:pPr>
          </w:p>
        </w:tc>
      </w:tr>
      <w:tr w:rsidR="00042B01" w:rsidRPr="00872D7E" w14:paraId="69287CC2"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3A1B916F" w14:textId="77777777" w:rsidR="00042B01" w:rsidRPr="00872D7E" w:rsidRDefault="00042B01" w:rsidP="00042B01">
            <w:pPr>
              <w:rPr>
                <w:sz w:val="15"/>
                <w:szCs w:val="15"/>
              </w:rPr>
            </w:pPr>
            <w:r w:rsidRPr="00872D7E">
              <w:rPr>
                <w:sz w:val="15"/>
                <w:szCs w:val="15"/>
              </w:rPr>
              <w:t xml:space="preserve">1.1. DÖNEM KÂRI </w:t>
            </w:r>
          </w:p>
        </w:tc>
        <w:tc>
          <w:tcPr>
            <w:tcW w:w="982" w:type="pct"/>
            <w:tcBorders>
              <w:top w:val="nil"/>
              <w:left w:val="single" w:sz="4" w:space="0" w:color="auto"/>
              <w:bottom w:val="nil"/>
              <w:right w:val="single" w:sz="4" w:space="0" w:color="auto"/>
            </w:tcBorders>
            <w:shd w:val="clear" w:color="auto" w:fill="auto"/>
            <w:vAlign w:val="center"/>
          </w:tcPr>
          <w:p w14:paraId="4EA72EB5" w14:textId="324D0BE1" w:rsidR="00042B01" w:rsidRPr="00872D7E" w:rsidRDefault="00042B01" w:rsidP="00042B01">
            <w:pPr>
              <w:jc w:val="right"/>
              <w:rPr>
                <w:sz w:val="15"/>
                <w:szCs w:val="15"/>
              </w:rPr>
            </w:pPr>
            <w:r w:rsidRPr="00872D7E">
              <w:rPr>
                <w:color w:val="000000"/>
                <w:sz w:val="15"/>
                <w:szCs w:val="15"/>
              </w:rPr>
              <w:t>1.616.235</w:t>
            </w:r>
          </w:p>
        </w:tc>
      </w:tr>
      <w:tr w:rsidR="00042B01" w:rsidRPr="00872D7E" w14:paraId="1DB608FB"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51470880" w14:textId="77777777" w:rsidR="00042B01" w:rsidRPr="00872D7E" w:rsidRDefault="00042B01" w:rsidP="00042B01">
            <w:pPr>
              <w:rPr>
                <w:sz w:val="15"/>
                <w:szCs w:val="15"/>
              </w:rPr>
            </w:pPr>
            <w:r w:rsidRPr="00872D7E">
              <w:rPr>
                <w:sz w:val="15"/>
                <w:szCs w:val="15"/>
              </w:rPr>
              <w:t>1.2. ÖDENECEK VERGİ VE YASAL YÜKÜMLÜLÜKLER (-)</w:t>
            </w:r>
          </w:p>
        </w:tc>
        <w:tc>
          <w:tcPr>
            <w:tcW w:w="982" w:type="pct"/>
            <w:tcBorders>
              <w:top w:val="nil"/>
              <w:left w:val="single" w:sz="4" w:space="0" w:color="auto"/>
              <w:bottom w:val="nil"/>
              <w:right w:val="single" w:sz="4" w:space="0" w:color="auto"/>
            </w:tcBorders>
            <w:shd w:val="clear" w:color="auto" w:fill="auto"/>
            <w:vAlign w:val="center"/>
          </w:tcPr>
          <w:p w14:paraId="2D1DF12A" w14:textId="50CD71EE" w:rsidR="00042B01" w:rsidRPr="00872D7E" w:rsidRDefault="00042B01" w:rsidP="00042B01">
            <w:pPr>
              <w:jc w:val="right"/>
              <w:rPr>
                <w:sz w:val="15"/>
                <w:szCs w:val="15"/>
              </w:rPr>
            </w:pPr>
            <w:r w:rsidRPr="00872D7E">
              <w:rPr>
                <w:color w:val="000000"/>
                <w:sz w:val="15"/>
                <w:szCs w:val="15"/>
              </w:rPr>
              <w:t>262.593</w:t>
            </w:r>
          </w:p>
        </w:tc>
      </w:tr>
      <w:tr w:rsidR="00042B01" w:rsidRPr="00872D7E" w14:paraId="6223322E"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6B835787" w14:textId="77777777" w:rsidR="00042B01" w:rsidRPr="00872D7E" w:rsidRDefault="00042B01" w:rsidP="00042B01">
            <w:pPr>
              <w:rPr>
                <w:sz w:val="15"/>
                <w:szCs w:val="15"/>
              </w:rPr>
            </w:pPr>
            <w:r w:rsidRPr="00872D7E">
              <w:rPr>
                <w:sz w:val="15"/>
                <w:szCs w:val="15"/>
              </w:rPr>
              <w:t>1.2.1. Kurumlar Vergisi (Gelir Vergisi)</w:t>
            </w:r>
          </w:p>
        </w:tc>
        <w:tc>
          <w:tcPr>
            <w:tcW w:w="982" w:type="pct"/>
            <w:tcBorders>
              <w:top w:val="nil"/>
              <w:left w:val="single" w:sz="4" w:space="0" w:color="auto"/>
              <w:bottom w:val="nil"/>
              <w:right w:val="single" w:sz="4" w:space="0" w:color="auto"/>
            </w:tcBorders>
            <w:shd w:val="clear" w:color="auto" w:fill="auto"/>
            <w:vAlign w:val="center"/>
          </w:tcPr>
          <w:p w14:paraId="28C1C7C9" w14:textId="7498A454" w:rsidR="00042B01" w:rsidRPr="00872D7E" w:rsidRDefault="00042B01" w:rsidP="00042B01">
            <w:pPr>
              <w:jc w:val="right"/>
              <w:rPr>
                <w:sz w:val="15"/>
                <w:szCs w:val="15"/>
              </w:rPr>
            </w:pPr>
            <w:r w:rsidRPr="00872D7E">
              <w:rPr>
                <w:color w:val="000000"/>
                <w:sz w:val="15"/>
                <w:szCs w:val="15"/>
              </w:rPr>
              <w:t>334.828</w:t>
            </w:r>
          </w:p>
        </w:tc>
      </w:tr>
      <w:tr w:rsidR="00042B01" w:rsidRPr="00872D7E" w14:paraId="6DB6CC66"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7B48FF7A" w14:textId="77777777" w:rsidR="00042B01" w:rsidRPr="00872D7E" w:rsidRDefault="00042B01" w:rsidP="00042B01">
            <w:pPr>
              <w:rPr>
                <w:sz w:val="15"/>
                <w:szCs w:val="15"/>
              </w:rPr>
            </w:pPr>
            <w:r w:rsidRPr="00872D7E">
              <w:rPr>
                <w:sz w:val="15"/>
                <w:szCs w:val="15"/>
              </w:rPr>
              <w:t>1.2.2. Gelir Vergisi Kesintisi</w:t>
            </w:r>
          </w:p>
        </w:tc>
        <w:tc>
          <w:tcPr>
            <w:tcW w:w="982" w:type="pct"/>
            <w:tcBorders>
              <w:top w:val="nil"/>
              <w:left w:val="single" w:sz="4" w:space="0" w:color="auto"/>
              <w:bottom w:val="nil"/>
              <w:right w:val="single" w:sz="4" w:space="0" w:color="auto"/>
            </w:tcBorders>
            <w:shd w:val="clear" w:color="auto" w:fill="auto"/>
            <w:vAlign w:val="center"/>
          </w:tcPr>
          <w:p w14:paraId="3A7DD352" w14:textId="1EE527CC" w:rsidR="00042B01" w:rsidRPr="00872D7E" w:rsidRDefault="00042B01" w:rsidP="00042B01">
            <w:pPr>
              <w:jc w:val="right"/>
              <w:rPr>
                <w:sz w:val="15"/>
                <w:szCs w:val="15"/>
              </w:rPr>
            </w:pPr>
            <w:r w:rsidRPr="00872D7E">
              <w:rPr>
                <w:color w:val="000000"/>
                <w:sz w:val="15"/>
                <w:szCs w:val="15"/>
              </w:rPr>
              <w:t>-</w:t>
            </w:r>
          </w:p>
        </w:tc>
      </w:tr>
      <w:tr w:rsidR="00042B01" w:rsidRPr="00872D7E" w14:paraId="7931E054"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18CC53BA" w14:textId="77777777" w:rsidR="00042B01" w:rsidRPr="00872D7E" w:rsidRDefault="00042B01" w:rsidP="00042B01">
            <w:pPr>
              <w:rPr>
                <w:sz w:val="15"/>
                <w:szCs w:val="15"/>
              </w:rPr>
            </w:pPr>
            <w:r w:rsidRPr="00872D7E">
              <w:rPr>
                <w:sz w:val="15"/>
                <w:szCs w:val="15"/>
              </w:rPr>
              <w:t xml:space="preserve">1.2.3. Diğer Vergi ve Yasal Yükümlülükler </w:t>
            </w:r>
            <w:r w:rsidRPr="00872D7E">
              <w:rPr>
                <w:sz w:val="15"/>
                <w:szCs w:val="15"/>
                <w:vertAlign w:val="superscript"/>
              </w:rPr>
              <w:t>(*)</w:t>
            </w:r>
          </w:p>
        </w:tc>
        <w:tc>
          <w:tcPr>
            <w:tcW w:w="982" w:type="pct"/>
            <w:tcBorders>
              <w:top w:val="nil"/>
              <w:left w:val="single" w:sz="4" w:space="0" w:color="auto"/>
              <w:bottom w:val="nil"/>
              <w:right w:val="single" w:sz="4" w:space="0" w:color="auto"/>
            </w:tcBorders>
            <w:shd w:val="clear" w:color="auto" w:fill="auto"/>
            <w:vAlign w:val="center"/>
          </w:tcPr>
          <w:p w14:paraId="71B4C4FC" w14:textId="58348B8F" w:rsidR="00042B01" w:rsidRPr="00872D7E" w:rsidRDefault="00042B01" w:rsidP="00042B01">
            <w:pPr>
              <w:jc w:val="right"/>
              <w:rPr>
                <w:sz w:val="15"/>
                <w:szCs w:val="15"/>
              </w:rPr>
            </w:pPr>
            <w:r w:rsidRPr="00872D7E">
              <w:rPr>
                <w:color w:val="000000"/>
                <w:sz w:val="15"/>
                <w:szCs w:val="15"/>
              </w:rPr>
              <w:t>(72.235)</w:t>
            </w:r>
          </w:p>
        </w:tc>
      </w:tr>
      <w:tr w:rsidR="00042B01" w:rsidRPr="00872D7E" w14:paraId="64415DBF" w14:textId="77777777" w:rsidTr="00391341">
        <w:trPr>
          <w:trHeight w:val="113"/>
        </w:trPr>
        <w:tc>
          <w:tcPr>
            <w:tcW w:w="4018" w:type="pct"/>
            <w:tcBorders>
              <w:top w:val="nil"/>
              <w:left w:val="single" w:sz="4" w:space="0" w:color="auto"/>
              <w:bottom w:val="nil"/>
              <w:right w:val="single" w:sz="4" w:space="0" w:color="auto"/>
            </w:tcBorders>
            <w:shd w:val="clear" w:color="auto" w:fill="auto"/>
          </w:tcPr>
          <w:p w14:paraId="0977FB71" w14:textId="77777777" w:rsidR="00042B01" w:rsidRPr="00872D7E" w:rsidRDefault="00042B01" w:rsidP="00042B01">
            <w:pPr>
              <w:rPr>
                <w:sz w:val="15"/>
                <w:szCs w:val="15"/>
              </w:rPr>
            </w:pPr>
          </w:p>
        </w:tc>
        <w:tc>
          <w:tcPr>
            <w:tcW w:w="982" w:type="pct"/>
            <w:tcBorders>
              <w:top w:val="nil"/>
              <w:left w:val="single" w:sz="4" w:space="0" w:color="auto"/>
              <w:bottom w:val="nil"/>
              <w:right w:val="single" w:sz="4" w:space="0" w:color="auto"/>
            </w:tcBorders>
            <w:shd w:val="clear" w:color="auto" w:fill="auto"/>
            <w:vAlign w:val="bottom"/>
          </w:tcPr>
          <w:p w14:paraId="5AF5DA84" w14:textId="72DACD9B" w:rsidR="00042B01" w:rsidRPr="00872D7E" w:rsidRDefault="00042B01" w:rsidP="00042B01">
            <w:pPr>
              <w:jc w:val="right"/>
              <w:rPr>
                <w:sz w:val="15"/>
                <w:szCs w:val="15"/>
              </w:rPr>
            </w:pPr>
            <w:r w:rsidRPr="00872D7E">
              <w:rPr>
                <w:color w:val="000000"/>
                <w:sz w:val="15"/>
                <w:szCs w:val="15"/>
              </w:rPr>
              <w:t> </w:t>
            </w:r>
          </w:p>
        </w:tc>
      </w:tr>
      <w:tr w:rsidR="00042B01" w:rsidRPr="00872D7E" w14:paraId="68EF40F7"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3AB66392" w14:textId="77777777" w:rsidR="00042B01" w:rsidRPr="00872D7E" w:rsidRDefault="00042B01" w:rsidP="00042B01">
            <w:pPr>
              <w:rPr>
                <w:b/>
                <w:sz w:val="15"/>
                <w:szCs w:val="15"/>
              </w:rPr>
            </w:pPr>
            <w:r w:rsidRPr="00872D7E">
              <w:rPr>
                <w:b/>
                <w:sz w:val="15"/>
                <w:szCs w:val="15"/>
              </w:rPr>
              <w:t>A. NET DÖNEM KÂRI (1.1-1.2)</w:t>
            </w:r>
          </w:p>
        </w:tc>
        <w:tc>
          <w:tcPr>
            <w:tcW w:w="982" w:type="pct"/>
            <w:tcBorders>
              <w:top w:val="nil"/>
              <w:left w:val="single" w:sz="4" w:space="0" w:color="auto"/>
              <w:bottom w:val="nil"/>
              <w:right w:val="single" w:sz="4" w:space="0" w:color="auto"/>
            </w:tcBorders>
            <w:shd w:val="clear" w:color="auto" w:fill="auto"/>
            <w:vAlign w:val="center"/>
          </w:tcPr>
          <w:p w14:paraId="0216A332" w14:textId="4F0E9949" w:rsidR="00042B01" w:rsidRPr="00872D7E" w:rsidRDefault="00042B01" w:rsidP="00042B01">
            <w:pPr>
              <w:jc w:val="right"/>
              <w:rPr>
                <w:b/>
                <w:bCs/>
                <w:sz w:val="15"/>
                <w:szCs w:val="15"/>
              </w:rPr>
            </w:pPr>
            <w:r w:rsidRPr="00872D7E">
              <w:rPr>
                <w:b/>
                <w:bCs/>
                <w:color w:val="000000"/>
                <w:sz w:val="15"/>
                <w:szCs w:val="15"/>
              </w:rPr>
              <w:t>1.353.642</w:t>
            </w:r>
          </w:p>
        </w:tc>
      </w:tr>
      <w:tr w:rsidR="00042B01" w:rsidRPr="00872D7E" w14:paraId="3F174732" w14:textId="77777777" w:rsidTr="00391341">
        <w:trPr>
          <w:trHeight w:val="113"/>
        </w:trPr>
        <w:tc>
          <w:tcPr>
            <w:tcW w:w="4018" w:type="pct"/>
            <w:tcBorders>
              <w:top w:val="nil"/>
              <w:left w:val="single" w:sz="4" w:space="0" w:color="auto"/>
              <w:bottom w:val="nil"/>
              <w:right w:val="single" w:sz="4" w:space="0" w:color="auto"/>
            </w:tcBorders>
            <w:shd w:val="clear" w:color="auto" w:fill="auto"/>
          </w:tcPr>
          <w:p w14:paraId="3D9C2C42" w14:textId="77777777" w:rsidR="00042B01" w:rsidRPr="00872D7E" w:rsidRDefault="00042B01" w:rsidP="00042B01">
            <w:pPr>
              <w:rPr>
                <w:b/>
                <w:sz w:val="15"/>
                <w:szCs w:val="15"/>
              </w:rPr>
            </w:pPr>
          </w:p>
        </w:tc>
        <w:tc>
          <w:tcPr>
            <w:tcW w:w="982" w:type="pct"/>
            <w:tcBorders>
              <w:top w:val="nil"/>
              <w:left w:val="single" w:sz="4" w:space="0" w:color="auto"/>
              <w:bottom w:val="nil"/>
              <w:right w:val="single" w:sz="4" w:space="0" w:color="auto"/>
            </w:tcBorders>
            <w:shd w:val="clear" w:color="auto" w:fill="auto"/>
            <w:vAlign w:val="bottom"/>
          </w:tcPr>
          <w:p w14:paraId="2B5AA25D" w14:textId="7E1B6799" w:rsidR="00042B01" w:rsidRPr="00872D7E" w:rsidRDefault="00042B01" w:rsidP="00042B01">
            <w:pPr>
              <w:jc w:val="right"/>
              <w:rPr>
                <w:sz w:val="15"/>
                <w:szCs w:val="15"/>
              </w:rPr>
            </w:pPr>
            <w:r w:rsidRPr="00872D7E">
              <w:rPr>
                <w:color w:val="000000"/>
                <w:sz w:val="15"/>
                <w:szCs w:val="15"/>
              </w:rPr>
              <w:t> </w:t>
            </w:r>
          </w:p>
        </w:tc>
      </w:tr>
      <w:tr w:rsidR="00042B01" w:rsidRPr="00872D7E" w14:paraId="37E4CD0E"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7B131537" w14:textId="77777777" w:rsidR="00042B01" w:rsidRPr="00872D7E" w:rsidRDefault="00042B01" w:rsidP="00042B01">
            <w:pPr>
              <w:rPr>
                <w:sz w:val="15"/>
                <w:szCs w:val="15"/>
              </w:rPr>
            </w:pPr>
            <w:r w:rsidRPr="00872D7E">
              <w:rPr>
                <w:sz w:val="15"/>
                <w:szCs w:val="15"/>
              </w:rPr>
              <w:t>1.3. GEÇMİŞ DÖNEMLER ZARARI (-)</w:t>
            </w:r>
          </w:p>
        </w:tc>
        <w:tc>
          <w:tcPr>
            <w:tcW w:w="982" w:type="pct"/>
            <w:tcBorders>
              <w:top w:val="nil"/>
              <w:left w:val="single" w:sz="4" w:space="0" w:color="auto"/>
              <w:bottom w:val="nil"/>
              <w:right w:val="single" w:sz="4" w:space="0" w:color="auto"/>
            </w:tcBorders>
            <w:shd w:val="clear" w:color="auto" w:fill="auto"/>
            <w:vAlign w:val="center"/>
          </w:tcPr>
          <w:p w14:paraId="2621C6D5" w14:textId="7C624FDD" w:rsidR="00042B01" w:rsidRPr="00872D7E" w:rsidRDefault="00042B01" w:rsidP="00042B01">
            <w:pPr>
              <w:jc w:val="right"/>
              <w:rPr>
                <w:sz w:val="15"/>
                <w:szCs w:val="15"/>
              </w:rPr>
            </w:pPr>
            <w:r w:rsidRPr="00872D7E">
              <w:rPr>
                <w:color w:val="000000"/>
                <w:sz w:val="15"/>
                <w:szCs w:val="15"/>
              </w:rPr>
              <w:t>13.048</w:t>
            </w:r>
          </w:p>
        </w:tc>
      </w:tr>
      <w:tr w:rsidR="00042B01" w:rsidRPr="00872D7E" w14:paraId="27F037DB"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5F9B518C" w14:textId="77777777" w:rsidR="00042B01" w:rsidRPr="00872D7E" w:rsidRDefault="00042B01" w:rsidP="00042B01">
            <w:pPr>
              <w:rPr>
                <w:sz w:val="15"/>
                <w:szCs w:val="15"/>
              </w:rPr>
            </w:pPr>
            <w:r w:rsidRPr="00872D7E">
              <w:rPr>
                <w:sz w:val="15"/>
                <w:szCs w:val="15"/>
              </w:rPr>
              <w:t>1.4. BİRİNCİ TERTİP YASAL YEDEK AKÇE (-)</w:t>
            </w:r>
          </w:p>
        </w:tc>
        <w:tc>
          <w:tcPr>
            <w:tcW w:w="982" w:type="pct"/>
            <w:tcBorders>
              <w:top w:val="nil"/>
              <w:left w:val="single" w:sz="4" w:space="0" w:color="auto"/>
              <w:bottom w:val="nil"/>
              <w:right w:val="single" w:sz="4" w:space="0" w:color="auto"/>
            </w:tcBorders>
            <w:shd w:val="clear" w:color="auto" w:fill="auto"/>
            <w:vAlign w:val="center"/>
          </w:tcPr>
          <w:p w14:paraId="6494624A" w14:textId="629ED814" w:rsidR="00042B01" w:rsidRPr="00872D7E" w:rsidRDefault="00042B01" w:rsidP="00042B01">
            <w:pPr>
              <w:jc w:val="right"/>
              <w:rPr>
                <w:sz w:val="15"/>
                <w:szCs w:val="15"/>
              </w:rPr>
            </w:pPr>
            <w:r w:rsidRPr="00872D7E">
              <w:rPr>
                <w:color w:val="000000"/>
                <w:sz w:val="15"/>
                <w:szCs w:val="15"/>
              </w:rPr>
              <w:t>67.030</w:t>
            </w:r>
          </w:p>
        </w:tc>
      </w:tr>
      <w:tr w:rsidR="00042B01" w:rsidRPr="00872D7E" w14:paraId="5DF065FD"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459BA44D" w14:textId="77777777" w:rsidR="00042B01" w:rsidRPr="00872D7E" w:rsidRDefault="00042B01" w:rsidP="00042B01">
            <w:pPr>
              <w:rPr>
                <w:sz w:val="15"/>
                <w:szCs w:val="15"/>
              </w:rPr>
            </w:pPr>
            <w:r w:rsidRPr="00872D7E">
              <w:rPr>
                <w:sz w:val="15"/>
                <w:szCs w:val="15"/>
              </w:rPr>
              <w:t>1.5. BANKADA BIRAKILMASI VE TASARRUFU ZORUNLU YASAL FONLAR (-)</w:t>
            </w:r>
          </w:p>
        </w:tc>
        <w:tc>
          <w:tcPr>
            <w:tcW w:w="982" w:type="pct"/>
            <w:tcBorders>
              <w:top w:val="nil"/>
              <w:left w:val="single" w:sz="4" w:space="0" w:color="auto"/>
              <w:bottom w:val="nil"/>
              <w:right w:val="single" w:sz="4" w:space="0" w:color="auto"/>
            </w:tcBorders>
            <w:shd w:val="clear" w:color="auto" w:fill="auto"/>
            <w:vAlign w:val="center"/>
          </w:tcPr>
          <w:p w14:paraId="7EFAEC58" w14:textId="02D46EC8" w:rsidR="00042B01" w:rsidRPr="00872D7E" w:rsidRDefault="00042B01" w:rsidP="00042B01">
            <w:pPr>
              <w:jc w:val="right"/>
              <w:rPr>
                <w:sz w:val="15"/>
                <w:szCs w:val="15"/>
              </w:rPr>
            </w:pPr>
            <w:r w:rsidRPr="00872D7E">
              <w:rPr>
                <w:color w:val="000000"/>
                <w:sz w:val="15"/>
                <w:szCs w:val="15"/>
              </w:rPr>
              <w:t>-</w:t>
            </w:r>
          </w:p>
        </w:tc>
      </w:tr>
      <w:tr w:rsidR="00042B01" w:rsidRPr="00872D7E" w14:paraId="75448B7F" w14:textId="77777777" w:rsidTr="00391341">
        <w:trPr>
          <w:trHeight w:val="113"/>
        </w:trPr>
        <w:tc>
          <w:tcPr>
            <w:tcW w:w="4018" w:type="pct"/>
            <w:tcBorders>
              <w:top w:val="nil"/>
              <w:left w:val="single" w:sz="4" w:space="0" w:color="auto"/>
              <w:bottom w:val="nil"/>
              <w:right w:val="single" w:sz="4" w:space="0" w:color="auto"/>
            </w:tcBorders>
            <w:shd w:val="clear" w:color="auto" w:fill="auto"/>
          </w:tcPr>
          <w:p w14:paraId="6A858395" w14:textId="77777777" w:rsidR="00042B01" w:rsidRPr="00872D7E" w:rsidRDefault="00042B01" w:rsidP="00042B01">
            <w:pPr>
              <w:rPr>
                <w:b/>
                <w:sz w:val="15"/>
                <w:szCs w:val="15"/>
              </w:rPr>
            </w:pPr>
          </w:p>
        </w:tc>
        <w:tc>
          <w:tcPr>
            <w:tcW w:w="982" w:type="pct"/>
            <w:tcBorders>
              <w:top w:val="nil"/>
              <w:left w:val="single" w:sz="4" w:space="0" w:color="auto"/>
              <w:bottom w:val="nil"/>
              <w:right w:val="single" w:sz="4" w:space="0" w:color="auto"/>
            </w:tcBorders>
            <w:shd w:val="clear" w:color="auto" w:fill="auto"/>
            <w:vAlign w:val="bottom"/>
          </w:tcPr>
          <w:p w14:paraId="1F15E1D1" w14:textId="2AAA9745" w:rsidR="00042B01" w:rsidRPr="00872D7E" w:rsidRDefault="00042B01" w:rsidP="00042B01">
            <w:pPr>
              <w:jc w:val="right"/>
              <w:rPr>
                <w:sz w:val="15"/>
                <w:szCs w:val="15"/>
              </w:rPr>
            </w:pPr>
            <w:r w:rsidRPr="00872D7E">
              <w:rPr>
                <w:color w:val="000000"/>
                <w:sz w:val="15"/>
                <w:szCs w:val="15"/>
              </w:rPr>
              <w:t> </w:t>
            </w:r>
          </w:p>
        </w:tc>
      </w:tr>
      <w:tr w:rsidR="00042B01" w:rsidRPr="00872D7E" w14:paraId="625029D2"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61A87282" w14:textId="1F0FAF21" w:rsidR="00042B01" w:rsidRPr="00872D7E" w:rsidRDefault="00042B01" w:rsidP="00042B01">
            <w:pPr>
              <w:rPr>
                <w:b/>
                <w:sz w:val="15"/>
                <w:szCs w:val="15"/>
              </w:rPr>
            </w:pPr>
            <w:r w:rsidRPr="00872D7E">
              <w:rPr>
                <w:b/>
                <w:sz w:val="15"/>
                <w:szCs w:val="15"/>
              </w:rPr>
              <w:t xml:space="preserve">B. DAĞITILABİLİR NET DÖNEM KÂRI [(A-(1.3+1.4+1.5)] </w:t>
            </w:r>
            <w:r w:rsidRPr="00872D7E">
              <w:rPr>
                <w:b/>
                <w:sz w:val="15"/>
                <w:szCs w:val="15"/>
                <w:vertAlign w:val="superscript"/>
              </w:rPr>
              <w:t>(**)</w:t>
            </w:r>
          </w:p>
        </w:tc>
        <w:tc>
          <w:tcPr>
            <w:tcW w:w="982" w:type="pct"/>
            <w:tcBorders>
              <w:top w:val="nil"/>
              <w:left w:val="single" w:sz="4" w:space="0" w:color="auto"/>
              <w:bottom w:val="nil"/>
              <w:right w:val="single" w:sz="4" w:space="0" w:color="auto"/>
            </w:tcBorders>
            <w:shd w:val="clear" w:color="auto" w:fill="auto"/>
            <w:vAlign w:val="center"/>
          </w:tcPr>
          <w:p w14:paraId="163DCA4F" w14:textId="6D79F6C7" w:rsidR="00042B01" w:rsidRPr="00872D7E" w:rsidRDefault="00042B01" w:rsidP="00042B01">
            <w:pPr>
              <w:jc w:val="right"/>
              <w:rPr>
                <w:b/>
                <w:bCs/>
                <w:sz w:val="15"/>
                <w:szCs w:val="15"/>
              </w:rPr>
            </w:pPr>
            <w:r w:rsidRPr="00872D7E">
              <w:rPr>
                <w:b/>
                <w:bCs/>
                <w:color w:val="000000"/>
                <w:sz w:val="15"/>
                <w:szCs w:val="15"/>
              </w:rPr>
              <w:t>1.273.564</w:t>
            </w:r>
          </w:p>
        </w:tc>
      </w:tr>
      <w:tr w:rsidR="00042B01" w:rsidRPr="00872D7E" w14:paraId="71161812" w14:textId="77777777" w:rsidTr="00391341">
        <w:trPr>
          <w:trHeight w:val="113"/>
        </w:trPr>
        <w:tc>
          <w:tcPr>
            <w:tcW w:w="4018" w:type="pct"/>
            <w:tcBorders>
              <w:top w:val="nil"/>
              <w:left w:val="single" w:sz="4" w:space="0" w:color="auto"/>
              <w:bottom w:val="nil"/>
              <w:right w:val="single" w:sz="4" w:space="0" w:color="auto"/>
            </w:tcBorders>
            <w:shd w:val="clear" w:color="auto" w:fill="auto"/>
          </w:tcPr>
          <w:p w14:paraId="38613D59" w14:textId="77777777" w:rsidR="00042B01" w:rsidRPr="00872D7E" w:rsidRDefault="00042B01" w:rsidP="00042B01">
            <w:pPr>
              <w:rPr>
                <w:b/>
                <w:sz w:val="15"/>
                <w:szCs w:val="15"/>
              </w:rPr>
            </w:pPr>
          </w:p>
        </w:tc>
        <w:tc>
          <w:tcPr>
            <w:tcW w:w="982" w:type="pct"/>
            <w:tcBorders>
              <w:top w:val="nil"/>
              <w:left w:val="single" w:sz="4" w:space="0" w:color="auto"/>
              <w:bottom w:val="nil"/>
              <w:right w:val="single" w:sz="4" w:space="0" w:color="auto"/>
            </w:tcBorders>
            <w:shd w:val="clear" w:color="auto" w:fill="auto"/>
            <w:vAlign w:val="bottom"/>
          </w:tcPr>
          <w:p w14:paraId="057B53EE" w14:textId="7AFD106C" w:rsidR="00042B01" w:rsidRPr="00872D7E" w:rsidRDefault="00042B01" w:rsidP="00042B01">
            <w:pPr>
              <w:jc w:val="right"/>
              <w:rPr>
                <w:sz w:val="15"/>
                <w:szCs w:val="15"/>
              </w:rPr>
            </w:pPr>
            <w:r w:rsidRPr="00872D7E">
              <w:rPr>
                <w:b/>
                <w:bCs/>
                <w:color w:val="000000"/>
                <w:sz w:val="15"/>
                <w:szCs w:val="15"/>
              </w:rPr>
              <w:t> </w:t>
            </w:r>
          </w:p>
        </w:tc>
      </w:tr>
      <w:tr w:rsidR="00366A32" w:rsidRPr="00872D7E" w14:paraId="0611A663"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77A66B43" w14:textId="77777777" w:rsidR="00366A32" w:rsidRPr="00872D7E" w:rsidRDefault="00366A32" w:rsidP="00366A32">
            <w:pPr>
              <w:rPr>
                <w:sz w:val="15"/>
                <w:szCs w:val="15"/>
              </w:rPr>
            </w:pPr>
            <w:r w:rsidRPr="00872D7E">
              <w:rPr>
                <w:sz w:val="15"/>
                <w:szCs w:val="15"/>
              </w:rPr>
              <w:t>1.6. ORTAKLARA BİRİNCİ TEMETTÜ (-)</w:t>
            </w:r>
          </w:p>
        </w:tc>
        <w:tc>
          <w:tcPr>
            <w:tcW w:w="982" w:type="pct"/>
            <w:tcBorders>
              <w:top w:val="nil"/>
              <w:left w:val="single" w:sz="4" w:space="0" w:color="auto"/>
              <w:bottom w:val="nil"/>
              <w:right w:val="single" w:sz="4" w:space="0" w:color="auto"/>
            </w:tcBorders>
            <w:shd w:val="clear" w:color="auto" w:fill="auto"/>
          </w:tcPr>
          <w:p w14:paraId="466DEBF1" w14:textId="2941CF4D" w:rsidR="00366A32" w:rsidRPr="00872D7E" w:rsidRDefault="00366A32" w:rsidP="00366A32">
            <w:pPr>
              <w:jc w:val="right"/>
              <w:rPr>
                <w:sz w:val="15"/>
                <w:szCs w:val="15"/>
              </w:rPr>
            </w:pPr>
            <w:r w:rsidRPr="00872D7E">
              <w:rPr>
                <w:b/>
                <w:bCs/>
                <w:color w:val="000000"/>
                <w:sz w:val="15"/>
                <w:szCs w:val="15"/>
              </w:rPr>
              <w:t>- </w:t>
            </w:r>
          </w:p>
        </w:tc>
      </w:tr>
      <w:tr w:rsidR="00366A32" w:rsidRPr="00872D7E" w14:paraId="4F2F09C9"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6E28D3B2" w14:textId="77777777" w:rsidR="00366A32" w:rsidRPr="00872D7E" w:rsidRDefault="00366A32" w:rsidP="00366A32">
            <w:pPr>
              <w:rPr>
                <w:sz w:val="15"/>
                <w:szCs w:val="15"/>
              </w:rPr>
            </w:pPr>
            <w:r w:rsidRPr="00872D7E">
              <w:rPr>
                <w:sz w:val="15"/>
                <w:szCs w:val="15"/>
              </w:rPr>
              <w:t>1.6.1. Hisse Senedi Sahiplerine</w:t>
            </w:r>
          </w:p>
        </w:tc>
        <w:tc>
          <w:tcPr>
            <w:tcW w:w="982" w:type="pct"/>
            <w:tcBorders>
              <w:top w:val="nil"/>
              <w:left w:val="single" w:sz="4" w:space="0" w:color="auto"/>
              <w:bottom w:val="nil"/>
              <w:right w:val="single" w:sz="4" w:space="0" w:color="auto"/>
            </w:tcBorders>
            <w:shd w:val="clear" w:color="auto" w:fill="auto"/>
          </w:tcPr>
          <w:p w14:paraId="2F4E392F" w14:textId="7D88F79C" w:rsidR="00366A32" w:rsidRPr="00872D7E" w:rsidRDefault="00366A32" w:rsidP="00366A32">
            <w:pPr>
              <w:jc w:val="right"/>
              <w:rPr>
                <w:sz w:val="15"/>
                <w:szCs w:val="15"/>
              </w:rPr>
            </w:pPr>
            <w:r w:rsidRPr="00872D7E">
              <w:rPr>
                <w:b/>
                <w:bCs/>
                <w:color w:val="000000"/>
                <w:sz w:val="15"/>
                <w:szCs w:val="15"/>
              </w:rPr>
              <w:t>- </w:t>
            </w:r>
          </w:p>
        </w:tc>
      </w:tr>
      <w:tr w:rsidR="00366A32" w:rsidRPr="00872D7E" w14:paraId="3DF5B3D0"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5A973EE8" w14:textId="77777777" w:rsidR="00366A32" w:rsidRPr="00872D7E" w:rsidRDefault="00366A32" w:rsidP="00366A32">
            <w:pPr>
              <w:rPr>
                <w:sz w:val="15"/>
                <w:szCs w:val="15"/>
              </w:rPr>
            </w:pPr>
            <w:r w:rsidRPr="00872D7E">
              <w:rPr>
                <w:sz w:val="15"/>
                <w:szCs w:val="15"/>
              </w:rPr>
              <w:t>1.6.2. İmtiyazlı Hisse Senedi Sahiplerine</w:t>
            </w:r>
          </w:p>
        </w:tc>
        <w:tc>
          <w:tcPr>
            <w:tcW w:w="982" w:type="pct"/>
            <w:tcBorders>
              <w:top w:val="nil"/>
              <w:left w:val="single" w:sz="4" w:space="0" w:color="auto"/>
              <w:bottom w:val="nil"/>
              <w:right w:val="single" w:sz="4" w:space="0" w:color="auto"/>
            </w:tcBorders>
            <w:shd w:val="clear" w:color="auto" w:fill="auto"/>
          </w:tcPr>
          <w:p w14:paraId="775530C8" w14:textId="556D736A" w:rsidR="00366A32" w:rsidRPr="00872D7E" w:rsidRDefault="00366A32" w:rsidP="00366A32">
            <w:pPr>
              <w:jc w:val="right"/>
              <w:rPr>
                <w:sz w:val="15"/>
                <w:szCs w:val="15"/>
              </w:rPr>
            </w:pPr>
            <w:r w:rsidRPr="00872D7E">
              <w:rPr>
                <w:b/>
                <w:bCs/>
                <w:color w:val="000000"/>
                <w:sz w:val="15"/>
                <w:szCs w:val="15"/>
              </w:rPr>
              <w:t>- </w:t>
            </w:r>
          </w:p>
        </w:tc>
      </w:tr>
      <w:tr w:rsidR="00366A32" w:rsidRPr="00872D7E" w14:paraId="3FEB70BF"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15FFFA59" w14:textId="77777777" w:rsidR="00366A32" w:rsidRPr="00872D7E" w:rsidRDefault="00366A32" w:rsidP="00366A32">
            <w:pPr>
              <w:rPr>
                <w:sz w:val="15"/>
                <w:szCs w:val="15"/>
              </w:rPr>
            </w:pPr>
            <w:r w:rsidRPr="00872D7E">
              <w:rPr>
                <w:sz w:val="15"/>
                <w:szCs w:val="15"/>
              </w:rPr>
              <w:t>1.6.3. Katılma İntifa Senetlerine</w:t>
            </w:r>
          </w:p>
        </w:tc>
        <w:tc>
          <w:tcPr>
            <w:tcW w:w="982" w:type="pct"/>
            <w:tcBorders>
              <w:top w:val="nil"/>
              <w:left w:val="single" w:sz="4" w:space="0" w:color="auto"/>
              <w:bottom w:val="nil"/>
              <w:right w:val="single" w:sz="4" w:space="0" w:color="auto"/>
            </w:tcBorders>
            <w:shd w:val="clear" w:color="auto" w:fill="auto"/>
          </w:tcPr>
          <w:p w14:paraId="1833DC43" w14:textId="67B00ED6" w:rsidR="00366A32" w:rsidRPr="00872D7E" w:rsidRDefault="00366A32" w:rsidP="00366A32">
            <w:pPr>
              <w:jc w:val="right"/>
              <w:rPr>
                <w:sz w:val="15"/>
                <w:szCs w:val="15"/>
              </w:rPr>
            </w:pPr>
            <w:r w:rsidRPr="00872D7E">
              <w:rPr>
                <w:b/>
                <w:bCs/>
                <w:color w:val="000000"/>
                <w:sz w:val="15"/>
                <w:szCs w:val="15"/>
              </w:rPr>
              <w:t>- </w:t>
            </w:r>
          </w:p>
        </w:tc>
      </w:tr>
      <w:tr w:rsidR="00366A32" w:rsidRPr="00872D7E" w14:paraId="34833063"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46511FDC" w14:textId="77777777" w:rsidR="00366A32" w:rsidRPr="00872D7E" w:rsidRDefault="00366A32" w:rsidP="00366A32">
            <w:pPr>
              <w:rPr>
                <w:sz w:val="15"/>
                <w:szCs w:val="15"/>
              </w:rPr>
            </w:pPr>
            <w:r w:rsidRPr="00872D7E">
              <w:rPr>
                <w:sz w:val="15"/>
                <w:szCs w:val="15"/>
              </w:rPr>
              <w:t>1.6.4. Kâra İştirakli Tahvillere</w:t>
            </w:r>
          </w:p>
        </w:tc>
        <w:tc>
          <w:tcPr>
            <w:tcW w:w="982" w:type="pct"/>
            <w:tcBorders>
              <w:top w:val="nil"/>
              <w:left w:val="single" w:sz="4" w:space="0" w:color="auto"/>
              <w:bottom w:val="nil"/>
              <w:right w:val="single" w:sz="4" w:space="0" w:color="auto"/>
            </w:tcBorders>
            <w:shd w:val="clear" w:color="auto" w:fill="auto"/>
          </w:tcPr>
          <w:p w14:paraId="314017E9" w14:textId="7E207DAE" w:rsidR="00366A32" w:rsidRPr="00872D7E" w:rsidRDefault="00366A32" w:rsidP="00366A32">
            <w:pPr>
              <w:jc w:val="right"/>
              <w:rPr>
                <w:sz w:val="15"/>
                <w:szCs w:val="15"/>
              </w:rPr>
            </w:pPr>
            <w:r w:rsidRPr="00872D7E">
              <w:rPr>
                <w:b/>
                <w:bCs/>
                <w:color w:val="000000"/>
                <w:sz w:val="15"/>
                <w:szCs w:val="15"/>
              </w:rPr>
              <w:t>- </w:t>
            </w:r>
          </w:p>
        </w:tc>
      </w:tr>
      <w:tr w:rsidR="00366A32" w:rsidRPr="00872D7E" w14:paraId="291B0249"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27E423EE" w14:textId="77777777" w:rsidR="00366A32" w:rsidRPr="00872D7E" w:rsidRDefault="00366A32" w:rsidP="00366A32">
            <w:pPr>
              <w:rPr>
                <w:sz w:val="15"/>
                <w:szCs w:val="15"/>
              </w:rPr>
            </w:pPr>
            <w:r w:rsidRPr="00872D7E">
              <w:rPr>
                <w:sz w:val="15"/>
                <w:szCs w:val="15"/>
              </w:rPr>
              <w:t>1.6.5. Kâr ve Zarar Ortaklığı Belgesi Sahiplerine</w:t>
            </w:r>
          </w:p>
        </w:tc>
        <w:tc>
          <w:tcPr>
            <w:tcW w:w="982" w:type="pct"/>
            <w:tcBorders>
              <w:top w:val="nil"/>
              <w:left w:val="single" w:sz="4" w:space="0" w:color="auto"/>
              <w:bottom w:val="nil"/>
              <w:right w:val="single" w:sz="4" w:space="0" w:color="auto"/>
            </w:tcBorders>
            <w:shd w:val="clear" w:color="auto" w:fill="auto"/>
          </w:tcPr>
          <w:p w14:paraId="76432365" w14:textId="0CD495B5" w:rsidR="00366A32" w:rsidRPr="00872D7E" w:rsidRDefault="00366A32" w:rsidP="00366A32">
            <w:pPr>
              <w:jc w:val="right"/>
              <w:rPr>
                <w:sz w:val="15"/>
                <w:szCs w:val="15"/>
              </w:rPr>
            </w:pPr>
            <w:r w:rsidRPr="00872D7E">
              <w:rPr>
                <w:b/>
                <w:bCs/>
                <w:color w:val="000000"/>
                <w:sz w:val="15"/>
                <w:szCs w:val="15"/>
              </w:rPr>
              <w:t>- </w:t>
            </w:r>
          </w:p>
        </w:tc>
      </w:tr>
      <w:tr w:rsidR="00366A32" w:rsidRPr="00872D7E" w14:paraId="2B58C8DD"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0C337B4C" w14:textId="77777777" w:rsidR="00366A32" w:rsidRPr="00872D7E" w:rsidRDefault="00366A32" w:rsidP="00366A32">
            <w:pPr>
              <w:rPr>
                <w:sz w:val="15"/>
                <w:szCs w:val="15"/>
              </w:rPr>
            </w:pPr>
            <w:r w:rsidRPr="00872D7E">
              <w:rPr>
                <w:sz w:val="15"/>
                <w:szCs w:val="15"/>
              </w:rPr>
              <w:t>1.7. PERSONELE TEMETTÜ (-)</w:t>
            </w:r>
          </w:p>
        </w:tc>
        <w:tc>
          <w:tcPr>
            <w:tcW w:w="982" w:type="pct"/>
            <w:tcBorders>
              <w:top w:val="nil"/>
              <w:left w:val="single" w:sz="4" w:space="0" w:color="auto"/>
              <w:bottom w:val="nil"/>
              <w:right w:val="single" w:sz="4" w:space="0" w:color="auto"/>
            </w:tcBorders>
            <w:shd w:val="clear" w:color="auto" w:fill="auto"/>
          </w:tcPr>
          <w:p w14:paraId="2E0DBEBE" w14:textId="136FDA19" w:rsidR="00366A32" w:rsidRPr="00872D7E" w:rsidRDefault="00366A32" w:rsidP="00366A32">
            <w:pPr>
              <w:jc w:val="right"/>
              <w:rPr>
                <w:sz w:val="15"/>
                <w:szCs w:val="15"/>
              </w:rPr>
            </w:pPr>
            <w:r w:rsidRPr="00872D7E">
              <w:rPr>
                <w:b/>
                <w:bCs/>
                <w:color w:val="000000"/>
                <w:sz w:val="15"/>
                <w:szCs w:val="15"/>
              </w:rPr>
              <w:t>- </w:t>
            </w:r>
          </w:p>
        </w:tc>
      </w:tr>
      <w:tr w:rsidR="00366A32" w:rsidRPr="00872D7E" w14:paraId="2F99B142"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081E962A" w14:textId="77777777" w:rsidR="00366A32" w:rsidRPr="00872D7E" w:rsidRDefault="00366A32" w:rsidP="00366A32">
            <w:pPr>
              <w:rPr>
                <w:sz w:val="15"/>
                <w:szCs w:val="15"/>
              </w:rPr>
            </w:pPr>
            <w:r w:rsidRPr="00872D7E">
              <w:rPr>
                <w:sz w:val="15"/>
                <w:szCs w:val="15"/>
              </w:rPr>
              <w:t>1.8. YÖNETİM KURULUNA TEMETTÜ (-)</w:t>
            </w:r>
          </w:p>
        </w:tc>
        <w:tc>
          <w:tcPr>
            <w:tcW w:w="982" w:type="pct"/>
            <w:tcBorders>
              <w:top w:val="nil"/>
              <w:left w:val="single" w:sz="4" w:space="0" w:color="auto"/>
              <w:bottom w:val="nil"/>
              <w:right w:val="single" w:sz="4" w:space="0" w:color="auto"/>
            </w:tcBorders>
            <w:shd w:val="clear" w:color="auto" w:fill="auto"/>
          </w:tcPr>
          <w:p w14:paraId="18736E80" w14:textId="5EEE268F" w:rsidR="00366A32" w:rsidRPr="00872D7E" w:rsidRDefault="00366A32" w:rsidP="00366A32">
            <w:pPr>
              <w:jc w:val="right"/>
              <w:rPr>
                <w:sz w:val="15"/>
                <w:szCs w:val="15"/>
              </w:rPr>
            </w:pPr>
            <w:r w:rsidRPr="00872D7E">
              <w:rPr>
                <w:b/>
                <w:bCs/>
                <w:color w:val="000000"/>
                <w:sz w:val="15"/>
                <w:szCs w:val="15"/>
              </w:rPr>
              <w:t>- </w:t>
            </w:r>
          </w:p>
        </w:tc>
      </w:tr>
      <w:tr w:rsidR="00366A32" w:rsidRPr="00872D7E" w14:paraId="28B85943"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363204BF" w14:textId="77777777" w:rsidR="00366A32" w:rsidRPr="00872D7E" w:rsidRDefault="00366A32" w:rsidP="00366A32">
            <w:pPr>
              <w:rPr>
                <w:sz w:val="15"/>
                <w:szCs w:val="15"/>
              </w:rPr>
            </w:pPr>
            <w:r w:rsidRPr="00872D7E">
              <w:rPr>
                <w:sz w:val="15"/>
                <w:szCs w:val="15"/>
              </w:rPr>
              <w:t>1.9. ORTAKLARA İKİNCİ TEMETTÜ (-)</w:t>
            </w:r>
          </w:p>
        </w:tc>
        <w:tc>
          <w:tcPr>
            <w:tcW w:w="982" w:type="pct"/>
            <w:tcBorders>
              <w:top w:val="nil"/>
              <w:left w:val="single" w:sz="4" w:space="0" w:color="auto"/>
              <w:bottom w:val="nil"/>
              <w:right w:val="single" w:sz="4" w:space="0" w:color="auto"/>
            </w:tcBorders>
            <w:shd w:val="clear" w:color="auto" w:fill="auto"/>
          </w:tcPr>
          <w:p w14:paraId="37ECF013" w14:textId="42FECEDF" w:rsidR="00366A32" w:rsidRPr="00872D7E" w:rsidRDefault="00366A32" w:rsidP="00366A32">
            <w:pPr>
              <w:jc w:val="right"/>
              <w:rPr>
                <w:sz w:val="15"/>
                <w:szCs w:val="15"/>
              </w:rPr>
            </w:pPr>
            <w:r w:rsidRPr="00872D7E">
              <w:rPr>
                <w:b/>
                <w:bCs/>
                <w:color w:val="000000"/>
                <w:sz w:val="15"/>
                <w:szCs w:val="15"/>
              </w:rPr>
              <w:t>- </w:t>
            </w:r>
          </w:p>
        </w:tc>
      </w:tr>
      <w:tr w:rsidR="00366A32" w:rsidRPr="00872D7E" w14:paraId="5EEBD8C7"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43451570" w14:textId="77777777" w:rsidR="00366A32" w:rsidRPr="00872D7E" w:rsidRDefault="00366A32" w:rsidP="00366A32">
            <w:pPr>
              <w:rPr>
                <w:sz w:val="15"/>
                <w:szCs w:val="15"/>
              </w:rPr>
            </w:pPr>
            <w:r w:rsidRPr="00872D7E">
              <w:rPr>
                <w:sz w:val="15"/>
                <w:szCs w:val="15"/>
              </w:rPr>
              <w:t>1.9.1. Hisse Senedi Sahiplerine</w:t>
            </w:r>
          </w:p>
        </w:tc>
        <w:tc>
          <w:tcPr>
            <w:tcW w:w="982" w:type="pct"/>
            <w:tcBorders>
              <w:top w:val="nil"/>
              <w:left w:val="single" w:sz="4" w:space="0" w:color="auto"/>
              <w:bottom w:val="nil"/>
              <w:right w:val="single" w:sz="4" w:space="0" w:color="auto"/>
            </w:tcBorders>
            <w:shd w:val="clear" w:color="auto" w:fill="auto"/>
          </w:tcPr>
          <w:p w14:paraId="4C544912" w14:textId="455096D0" w:rsidR="00366A32" w:rsidRPr="00872D7E" w:rsidRDefault="00366A32" w:rsidP="00366A32">
            <w:pPr>
              <w:jc w:val="right"/>
              <w:rPr>
                <w:sz w:val="15"/>
                <w:szCs w:val="15"/>
              </w:rPr>
            </w:pPr>
            <w:r w:rsidRPr="00872D7E">
              <w:rPr>
                <w:b/>
                <w:bCs/>
                <w:color w:val="000000"/>
                <w:sz w:val="15"/>
                <w:szCs w:val="15"/>
              </w:rPr>
              <w:t>- </w:t>
            </w:r>
          </w:p>
        </w:tc>
      </w:tr>
      <w:tr w:rsidR="00366A32" w:rsidRPr="00872D7E" w14:paraId="540DDBDC"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18E8343F" w14:textId="77777777" w:rsidR="00366A32" w:rsidRPr="00872D7E" w:rsidRDefault="00366A32" w:rsidP="00366A32">
            <w:pPr>
              <w:rPr>
                <w:sz w:val="15"/>
                <w:szCs w:val="15"/>
              </w:rPr>
            </w:pPr>
            <w:r w:rsidRPr="00872D7E">
              <w:rPr>
                <w:sz w:val="15"/>
                <w:szCs w:val="15"/>
              </w:rPr>
              <w:t>1.9.2. İmtiyazlı Hisse Senedi Sahiplerine</w:t>
            </w:r>
          </w:p>
        </w:tc>
        <w:tc>
          <w:tcPr>
            <w:tcW w:w="982" w:type="pct"/>
            <w:tcBorders>
              <w:top w:val="nil"/>
              <w:left w:val="single" w:sz="4" w:space="0" w:color="auto"/>
              <w:bottom w:val="nil"/>
              <w:right w:val="single" w:sz="4" w:space="0" w:color="auto"/>
            </w:tcBorders>
            <w:shd w:val="clear" w:color="auto" w:fill="auto"/>
          </w:tcPr>
          <w:p w14:paraId="1F290238" w14:textId="57E75792" w:rsidR="00366A32" w:rsidRPr="00872D7E" w:rsidRDefault="00366A32" w:rsidP="00366A32">
            <w:pPr>
              <w:jc w:val="right"/>
              <w:rPr>
                <w:sz w:val="15"/>
                <w:szCs w:val="15"/>
              </w:rPr>
            </w:pPr>
            <w:r w:rsidRPr="00872D7E">
              <w:rPr>
                <w:b/>
                <w:bCs/>
                <w:color w:val="000000"/>
                <w:sz w:val="15"/>
                <w:szCs w:val="15"/>
              </w:rPr>
              <w:t>- </w:t>
            </w:r>
          </w:p>
        </w:tc>
      </w:tr>
      <w:tr w:rsidR="00366A32" w:rsidRPr="00872D7E" w14:paraId="53BCD918"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32B85CCB" w14:textId="77777777" w:rsidR="00366A32" w:rsidRPr="00872D7E" w:rsidRDefault="00366A32" w:rsidP="00366A32">
            <w:pPr>
              <w:rPr>
                <w:sz w:val="15"/>
                <w:szCs w:val="15"/>
              </w:rPr>
            </w:pPr>
            <w:r w:rsidRPr="00872D7E">
              <w:rPr>
                <w:sz w:val="15"/>
                <w:szCs w:val="15"/>
              </w:rPr>
              <w:t>1.9.3. Katılma İntifa Senetlerine</w:t>
            </w:r>
          </w:p>
        </w:tc>
        <w:tc>
          <w:tcPr>
            <w:tcW w:w="982" w:type="pct"/>
            <w:tcBorders>
              <w:top w:val="nil"/>
              <w:left w:val="single" w:sz="4" w:space="0" w:color="auto"/>
              <w:bottom w:val="nil"/>
              <w:right w:val="single" w:sz="4" w:space="0" w:color="auto"/>
            </w:tcBorders>
            <w:shd w:val="clear" w:color="auto" w:fill="auto"/>
          </w:tcPr>
          <w:p w14:paraId="65CCA85E" w14:textId="5A7C856C" w:rsidR="00366A32" w:rsidRPr="00872D7E" w:rsidRDefault="00366A32" w:rsidP="00366A32">
            <w:pPr>
              <w:jc w:val="right"/>
              <w:rPr>
                <w:sz w:val="15"/>
                <w:szCs w:val="15"/>
              </w:rPr>
            </w:pPr>
            <w:r w:rsidRPr="00872D7E">
              <w:rPr>
                <w:b/>
                <w:bCs/>
                <w:color w:val="000000"/>
                <w:sz w:val="15"/>
                <w:szCs w:val="15"/>
              </w:rPr>
              <w:t>- </w:t>
            </w:r>
          </w:p>
        </w:tc>
      </w:tr>
      <w:tr w:rsidR="00366A32" w:rsidRPr="00872D7E" w14:paraId="1BA88D61"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0EE15ABE" w14:textId="77777777" w:rsidR="00366A32" w:rsidRPr="00872D7E" w:rsidRDefault="00366A32" w:rsidP="00366A32">
            <w:pPr>
              <w:rPr>
                <w:sz w:val="15"/>
                <w:szCs w:val="15"/>
              </w:rPr>
            </w:pPr>
            <w:r w:rsidRPr="00872D7E">
              <w:rPr>
                <w:sz w:val="15"/>
                <w:szCs w:val="15"/>
              </w:rPr>
              <w:t>1.9.4. Kâra İştirakli Tahvillere</w:t>
            </w:r>
          </w:p>
        </w:tc>
        <w:tc>
          <w:tcPr>
            <w:tcW w:w="982" w:type="pct"/>
            <w:tcBorders>
              <w:top w:val="nil"/>
              <w:left w:val="single" w:sz="4" w:space="0" w:color="auto"/>
              <w:bottom w:val="nil"/>
              <w:right w:val="single" w:sz="4" w:space="0" w:color="auto"/>
            </w:tcBorders>
            <w:shd w:val="clear" w:color="auto" w:fill="auto"/>
          </w:tcPr>
          <w:p w14:paraId="7662E983" w14:textId="7A6E4AFC" w:rsidR="00366A32" w:rsidRPr="00872D7E" w:rsidRDefault="00366A32" w:rsidP="00366A32">
            <w:pPr>
              <w:jc w:val="right"/>
              <w:rPr>
                <w:sz w:val="15"/>
                <w:szCs w:val="15"/>
              </w:rPr>
            </w:pPr>
            <w:r w:rsidRPr="00872D7E">
              <w:rPr>
                <w:b/>
                <w:bCs/>
                <w:color w:val="000000"/>
                <w:sz w:val="15"/>
                <w:szCs w:val="15"/>
              </w:rPr>
              <w:t>- </w:t>
            </w:r>
          </w:p>
        </w:tc>
      </w:tr>
      <w:tr w:rsidR="00366A32" w:rsidRPr="00872D7E" w14:paraId="5C4DF0D1"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2C4481C7" w14:textId="77777777" w:rsidR="00366A32" w:rsidRPr="00872D7E" w:rsidRDefault="00366A32" w:rsidP="00366A32">
            <w:pPr>
              <w:rPr>
                <w:sz w:val="15"/>
                <w:szCs w:val="15"/>
              </w:rPr>
            </w:pPr>
            <w:r w:rsidRPr="00872D7E">
              <w:rPr>
                <w:sz w:val="15"/>
                <w:szCs w:val="15"/>
              </w:rPr>
              <w:t>1.9.5. Kâr ve Zarar Ortaklığı Belgesi Sahiplerine</w:t>
            </w:r>
          </w:p>
        </w:tc>
        <w:tc>
          <w:tcPr>
            <w:tcW w:w="982" w:type="pct"/>
            <w:tcBorders>
              <w:top w:val="nil"/>
              <w:left w:val="single" w:sz="4" w:space="0" w:color="auto"/>
              <w:bottom w:val="nil"/>
              <w:right w:val="single" w:sz="4" w:space="0" w:color="auto"/>
            </w:tcBorders>
            <w:shd w:val="clear" w:color="auto" w:fill="auto"/>
          </w:tcPr>
          <w:p w14:paraId="5B338A54" w14:textId="453A315D" w:rsidR="00366A32" w:rsidRPr="00872D7E" w:rsidRDefault="00366A32" w:rsidP="00366A32">
            <w:pPr>
              <w:jc w:val="right"/>
              <w:rPr>
                <w:sz w:val="15"/>
                <w:szCs w:val="15"/>
              </w:rPr>
            </w:pPr>
            <w:r w:rsidRPr="00872D7E">
              <w:rPr>
                <w:b/>
                <w:bCs/>
                <w:color w:val="000000"/>
                <w:sz w:val="15"/>
                <w:szCs w:val="15"/>
              </w:rPr>
              <w:t>- </w:t>
            </w:r>
          </w:p>
        </w:tc>
      </w:tr>
      <w:tr w:rsidR="00366A32" w:rsidRPr="00872D7E" w14:paraId="7B3D0F09"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351C7C82" w14:textId="77777777" w:rsidR="00366A32" w:rsidRPr="00872D7E" w:rsidRDefault="00366A32" w:rsidP="00366A32">
            <w:pPr>
              <w:rPr>
                <w:sz w:val="15"/>
                <w:szCs w:val="15"/>
              </w:rPr>
            </w:pPr>
            <w:r w:rsidRPr="00872D7E">
              <w:rPr>
                <w:sz w:val="15"/>
                <w:szCs w:val="15"/>
              </w:rPr>
              <w:t>1.10. İKİNCİ TERTİP YASAL YEDEK AKÇE (-)</w:t>
            </w:r>
          </w:p>
        </w:tc>
        <w:tc>
          <w:tcPr>
            <w:tcW w:w="982" w:type="pct"/>
            <w:tcBorders>
              <w:top w:val="nil"/>
              <w:left w:val="single" w:sz="4" w:space="0" w:color="auto"/>
              <w:bottom w:val="nil"/>
              <w:right w:val="single" w:sz="4" w:space="0" w:color="auto"/>
            </w:tcBorders>
            <w:shd w:val="clear" w:color="auto" w:fill="auto"/>
          </w:tcPr>
          <w:p w14:paraId="20E1675D" w14:textId="4E3FC209" w:rsidR="00366A32" w:rsidRPr="00872D7E" w:rsidRDefault="00366A32" w:rsidP="00366A32">
            <w:pPr>
              <w:jc w:val="right"/>
              <w:rPr>
                <w:sz w:val="15"/>
                <w:szCs w:val="15"/>
              </w:rPr>
            </w:pPr>
            <w:r w:rsidRPr="00872D7E">
              <w:rPr>
                <w:b/>
                <w:bCs/>
                <w:color w:val="000000"/>
                <w:sz w:val="15"/>
                <w:szCs w:val="15"/>
              </w:rPr>
              <w:t>- </w:t>
            </w:r>
          </w:p>
        </w:tc>
      </w:tr>
      <w:tr w:rsidR="00366A32" w:rsidRPr="00872D7E" w14:paraId="0A11A614"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7076B9F7" w14:textId="77777777" w:rsidR="00366A32" w:rsidRPr="00872D7E" w:rsidRDefault="00366A32" w:rsidP="00366A32">
            <w:pPr>
              <w:rPr>
                <w:sz w:val="15"/>
                <w:szCs w:val="15"/>
              </w:rPr>
            </w:pPr>
            <w:r w:rsidRPr="00872D7E">
              <w:rPr>
                <w:sz w:val="15"/>
                <w:szCs w:val="15"/>
              </w:rPr>
              <w:t>1.11. STATÜ YEDEKLERİ (-)</w:t>
            </w:r>
          </w:p>
        </w:tc>
        <w:tc>
          <w:tcPr>
            <w:tcW w:w="982" w:type="pct"/>
            <w:tcBorders>
              <w:top w:val="nil"/>
              <w:left w:val="single" w:sz="4" w:space="0" w:color="auto"/>
              <w:bottom w:val="nil"/>
              <w:right w:val="single" w:sz="4" w:space="0" w:color="auto"/>
            </w:tcBorders>
            <w:shd w:val="clear" w:color="auto" w:fill="auto"/>
          </w:tcPr>
          <w:p w14:paraId="15C926A7" w14:textId="4E33F8E4" w:rsidR="00366A32" w:rsidRPr="00872D7E" w:rsidRDefault="00366A32" w:rsidP="00366A32">
            <w:pPr>
              <w:jc w:val="right"/>
              <w:rPr>
                <w:sz w:val="15"/>
                <w:szCs w:val="15"/>
              </w:rPr>
            </w:pPr>
            <w:r w:rsidRPr="00872D7E">
              <w:rPr>
                <w:b/>
                <w:bCs/>
                <w:color w:val="000000"/>
                <w:sz w:val="15"/>
                <w:szCs w:val="15"/>
              </w:rPr>
              <w:t>- </w:t>
            </w:r>
          </w:p>
        </w:tc>
      </w:tr>
      <w:tr w:rsidR="00366A32" w:rsidRPr="00872D7E" w14:paraId="4B85E4CE"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621D08AF" w14:textId="77777777" w:rsidR="00366A32" w:rsidRPr="00872D7E" w:rsidRDefault="00366A32" w:rsidP="00366A32">
            <w:pPr>
              <w:rPr>
                <w:sz w:val="15"/>
                <w:szCs w:val="15"/>
              </w:rPr>
            </w:pPr>
            <w:r w:rsidRPr="00872D7E">
              <w:rPr>
                <w:sz w:val="15"/>
                <w:szCs w:val="15"/>
              </w:rPr>
              <w:t>1.12. OLAĞANÜSTÜ YEDEKLER</w:t>
            </w:r>
          </w:p>
        </w:tc>
        <w:tc>
          <w:tcPr>
            <w:tcW w:w="982" w:type="pct"/>
            <w:tcBorders>
              <w:top w:val="nil"/>
              <w:left w:val="single" w:sz="4" w:space="0" w:color="auto"/>
              <w:bottom w:val="nil"/>
              <w:right w:val="single" w:sz="4" w:space="0" w:color="auto"/>
            </w:tcBorders>
            <w:shd w:val="clear" w:color="auto" w:fill="auto"/>
          </w:tcPr>
          <w:p w14:paraId="0EE2FCFD" w14:textId="43709584" w:rsidR="00366A32" w:rsidRPr="00872D7E" w:rsidRDefault="00366A32" w:rsidP="00366A32">
            <w:pPr>
              <w:jc w:val="right"/>
              <w:rPr>
                <w:sz w:val="15"/>
                <w:szCs w:val="15"/>
              </w:rPr>
            </w:pPr>
            <w:r w:rsidRPr="00872D7E">
              <w:rPr>
                <w:b/>
                <w:bCs/>
                <w:color w:val="000000"/>
                <w:sz w:val="15"/>
                <w:szCs w:val="15"/>
              </w:rPr>
              <w:t>- </w:t>
            </w:r>
          </w:p>
        </w:tc>
      </w:tr>
      <w:tr w:rsidR="00366A32" w:rsidRPr="00872D7E" w14:paraId="3B0978D7"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6AA788ED" w14:textId="77777777" w:rsidR="00366A32" w:rsidRPr="00872D7E" w:rsidRDefault="00366A32" w:rsidP="00366A32">
            <w:pPr>
              <w:rPr>
                <w:sz w:val="15"/>
                <w:szCs w:val="15"/>
              </w:rPr>
            </w:pPr>
            <w:r w:rsidRPr="00872D7E">
              <w:rPr>
                <w:sz w:val="15"/>
                <w:szCs w:val="15"/>
              </w:rPr>
              <w:t>1.13. DİĞER YEDEKLER</w:t>
            </w:r>
          </w:p>
        </w:tc>
        <w:tc>
          <w:tcPr>
            <w:tcW w:w="982" w:type="pct"/>
            <w:tcBorders>
              <w:top w:val="nil"/>
              <w:left w:val="single" w:sz="4" w:space="0" w:color="auto"/>
              <w:bottom w:val="nil"/>
              <w:right w:val="single" w:sz="4" w:space="0" w:color="auto"/>
            </w:tcBorders>
            <w:shd w:val="clear" w:color="auto" w:fill="auto"/>
          </w:tcPr>
          <w:p w14:paraId="383CE0FD" w14:textId="0AF86FEC" w:rsidR="00366A32" w:rsidRPr="00872D7E" w:rsidRDefault="00366A32" w:rsidP="00366A32">
            <w:pPr>
              <w:jc w:val="right"/>
              <w:rPr>
                <w:sz w:val="15"/>
                <w:szCs w:val="15"/>
              </w:rPr>
            </w:pPr>
            <w:r w:rsidRPr="00872D7E">
              <w:rPr>
                <w:b/>
                <w:bCs/>
                <w:color w:val="000000"/>
                <w:sz w:val="15"/>
                <w:szCs w:val="15"/>
              </w:rPr>
              <w:t>- </w:t>
            </w:r>
          </w:p>
        </w:tc>
      </w:tr>
      <w:tr w:rsidR="00366A32" w:rsidRPr="00872D7E" w14:paraId="30885471" w14:textId="77777777" w:rsidTr="005716E1">
        <w:trPr>
          <w:trHeight w:val="113"/>
        </w:trPr>
        <w:tc>
          <w:tcPr>
            <w:tcW w:w="4018" w:type="pct"/>
            <w:tcBorders>
              <w:top w:val="nil"/>
              <w:left w:val="single" w:sz="4" w:space="0" w:color="auto"/>
              <w:bottom w:val="nil"/>
              <w:right w:val="single" w:sz="4" w:space="0" w:color="auto"/>
            </w:tcBorders>
            <w:shd w:val="clear" w:color="auto" w:fill="auto"/>
            <w:hideMark/>
          </w:tcPr>
          <w:p w14:paraId="756DB27C" w14:textId="77777777" w:rsidR="00366A32" w:rsidRPr="00872D7E" w:rsidRDefault="00366A32" w:rsidP="00366A32">
            <w:pPr>
              <w:rPr>
                <w:sz w:val="15"/>
                <w:szCs w:val="15"/>
              </w:rPr>
            </w:pPr>
            <w:r w:rsidRPr="00872D7E">
              <w:rPr>
                <w:sz w:val="15"/>
                <w:szCs w:val="15"/>
              </w:rPr>
              <w:t>1.14. ÖZEL FONLAR</w:t>
            </w:r>
          </w:p>
        </w:tc>
        <w:tc>
          <w:tcPr>
            <w:tcW w:w="982" w:type="pct"/>
            <w:tcBorders>
              <w:top w:val="nil"/>
              <w:left w:val="single" w:sz="4" w:space="0" w:color="auto"/>
              <w:bottom w:val="nil"/>
              <w:right w:val="single" w:sz="4" w:space="0" w:color="auto"/>
            </w:tcBorders>
            <w:shd w:val="clear" w:color="auto" w:fill="auto"/>
          </w:tcPr>
          <w:p w14:paraId="0C652BD9" w14:textId="74AECD53" w:rsidR="00366A32" w:rsidRPr="00872D7E" w:rsidRDefault="00366A32" w:rsidP="00366A32">
            <w:pPr>
              <w:jc w:val="right"/>
              <w:rPr>
                <w:sz w:val="15"/>
                <w:szCs w:val="15"/>
              </w:rPr>
            </w:pPr>
            <w:r w:rsidRPr="00872D7E">
              <w:rPr>
                <w:b/>
                <w:bCs/>
                <w:color w:val="000000"/>
                <w:sz w:val="15"/>
                <w:szCs w:val="15"/>
              </w:rPr>
              <w:t>- </w:t>
            </w:r>
          </w:p>
        </w:tc>
      </w:tr>
      <w:tr w:rsidR="00042B01" w:rsidRPr="00872D7E" w14:paraId="7B5BCD7D" w14:textId="77777777" w:rsidTr="00391341">
        <w:trPr>
          <w:trHeight w:val="113"/>
        </w:trPr>
        <w:tc>
          <w:tcPr>
            <w:tcW w:w="4018" w:type="pct"/>
            <w:tcBorders>
              <w:top w:val="nil"/>
              <w:left w:val="single" w:sz="4" w:space="0" w:color="auto"/>
              <w:bottom w:val="nil"/>
              <w:right w:val="single" w:sz="4" w:space="0" w:color="auto"/>
            </w:tcBorders>
            <w:shd w:val="clear" w:color="auto" w:fill="auto"/>
          </w:tcPr>
          <w:p w14:paraId="791C5355" w14:textId="77777777" w:rsidR="00042B01" w:rsidRPr="00872D7E" w:rsidRDefault="00042B01" w:rsidP="00042B01">
            <w:pPr>
              <w:rPr>
                <w:sz w:val="15"/>
                <w:szCs w:val="15"/>
              </w:rPr>
            </w:pPr>
          </w:p>
        </w:tc>
        <w:tc>
          <w:tcPr>
            <w:tcW w:w="982" w:type="pct"/>
            <w:tcBorders>
              <w:top w:val="nil"/>
              <w:left w:val="single" w:sz="4" w:space="0" w:color="auto"/>
              <w:bottom w:val="nil"/>
              <w:right w:val="single" w:sz="4" w:space="0" w:color="auto"/>
            </w:tcBorders>
            <w:shd w:val="clear" w:color="auto" w:fill="auto"/>
            <w:vAlign w:val="bottom"/>
          </w:tcPr>
          <w:p w14:paraId="4EB5CD61" w14:textId="25FF4997" w:rsidR="00042B01" w:rsidRPr="00872D7E" w:rsidRDefault="00042B01" w:rsidP="00042B01">
            <w:pPr>
              <w:jc w:val="right"/>
              <w:rPr>
                <w:sz w:val="15"/>
                <w:szCs w:val="15"/>
              </w:rPr>
            </w:pPr>
            <w:r w:rsidRPr="00872D7E">
              <w:rPr>
                <w:b/>
                <w:bCs/>
                <w:color w:val="000000"/>
                <w:sz w:val="15"/>
                <w:szCs w:val="15"/>
              </w:rPr>
              <w:t> </w:t>
            </w:r>
          </w:p>
        </w:tc>
      </w:tr>
      <w:tr w:rsidR="00042B01" w:rsidRPr="00872D7E" w14:paraId="20875964"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0BE72A93" w14:textId="77777777" w:rsidR="00042B01" w:rsidRPr="00872D7E" w:rsidRDefault="00042B01" w:rsidP="00042B01">
            <w:pPr>
              <w:rPr>
                <w:b/>
                <w:sz w:val="15"/>
                <w:szCs w:val="15"/>
              </w:rPr>
            </w:pPr>
            <w:r w:rsidRPr="00872D7E">
              <w:rPr>
                <w:b/>
                <w:sz w:val="15"/>
                <w:szCs w:val="15"/>
              </w:rPr>
              <w:t>II. YEDEKLERDEN DAĞITIM</w:t>
            </w:r>
          </w:p>
        </w:tc>
        <w:tc>
          <w:tcPr>
            <w:tcW w:w="982" w:type="pct"/>
            <w:tcBorders>
              <w:top w:val="nil"/>
              <w:left w:val="single" w:sz="4" w:space="0" w:color="auto"/>
              <w:bottom w:val="nil"/>
              <w:right w:val="single" w:sz="4" w:space="0" w:color="auto"/>
            </w:tcBorders>
            <w:shd w:val="clear" w:color="auto" w:fill="auto"/>
            <w:vAlign w:val="center"/>
          </w:tcPr>
          <w:p w14:paraId="3E590E1D" w14:textId="4DB6DA88" w:rsidR="00042B01" w:rsidRPr="00872D7E" w:rsidRDefault="00042B01" w:rsidP="00042B01">
            <w:pPr>
              <w:jc w:val="right"/>
              <w:rPr>
                <w:sz w:val="15"/>
                <w:szCs w:val="15"/>
              </w:rPr>
            </w:pPr>
            <w:r w:rsidRPr="00872D7E">
              <w:rPr>
                <w:b/>
                <w:bCs/>
                <w:color w:val="000000"/>
                <w:sz w:val="15"/>
                <w:szCs w:val="15"/>
              </w:rPr>
              <w:t> </w:t>
            </w:r>
          </w:p>
        </w:tc>
      </w:tr>
      <w:tr w:rsidR="00042B01" w:rsidRPr="00872D7E" w14:paraId="54D07E05" w14:textId="77777777" w:rsidTr="00391341">
        <w:trPr>
          <w:trHeight w:val="161"/>
        </w:trPr>
        <w:tc>
          <w:tcPr>
            <w:tcW w:w="4018" w:type="pct"/>
            <w:tcBorders>
              <w:top w:val="nil"/>
              <w:left w:val="single" w:sz="4" w:space="0" w:color="auto"/>
              <w:bottom w:val="nil"/>
              <w:right w:val="single" w:sz="4" w:space="0" w:color="auto"/>
            </w:tcBorders>
            <w:shd w:val="clear" w:color="auto" w:fill="auto"/>
          </w:tcPr>
          <w:p w14:paraId="037D02B6" w14:textId="77777777" w:rsidR="00042B01" w:rsidRPr="00872D7E" w:rsidRDefault="00042B01" w:rsidP="00042B01">
            <w:pPr>
              <w:rPr>
                <w:b/>
                <w:sz w:val="15"/>
                <w:szCs w:val="15"/>
              </w:rPr>
            </w:pPr>
          </w:p>
        </w:tc>
        <w:tc>
          <w:tcPr>
            <w:tcW w:w="982" w:type="pct"/>
            <w:tcBorders>
              <w:top w:val="nil"/>
              <w:left w:val="single" w:sz="4" w:space="0" w:color="auto"/>
              <w:bottom w:val="nil"/>
              <w:right w:val="single" w:sz="4" w:space="0" w:color="auto"/>
            </w:tcBorders>
            <w:shd w:val="clear" w:color="auto" w:fill="auto"/>
            <w:vAlign w:val="bottom"/>
          </w:tcPr>
          <w:p w14:paraId="6DDDA820" w14:textId="7AEA617A" w:rsidR="00042B01" w:rsidRPr="00872D7E" w:rsidRDefault="00042B01" w:rsidP="00042B01">
            <w:pPr>
              <w:jc w:val="right"/>
              <w:rPr>
                <w:sz w:val="15"/>
                <w:szCs w:val="15"/>
              </w:rPr>
            </w:pPr>
            <w:r w:rsidRPr="00872D7E">
              <w:rPr>
                <w:b/>
                <w:bCs/>
                <w:color w:val="000000"/>
                <w:sz w:val="15"/>
                <w:szCs w:val="15"/>
              </w:rPr>
              <w:t> </w:t>
            </w:r>
          </w:p>
        </w:tc>
      </w:tr>
      <w:tr w:rsidR="00366A32" w:rsidRPr="00872D7E" w14:paraId="70E3621A" w14:textId="77777777" w:rsidTr="00BF0371">
        <w:trPr>
          <w:trHeight w:val="113"/>
        </w:trPr>
        <w:tc>
          <w:tcPr>
            <w:tcW w:w="4018" w:type="pct"/>
            <w:tcBorders>
              <w:top w:val="nil"/>
              <w:left w:val="single" w:sz="4" w:space="0" w:color="auto"/>
              <w:bottom w:val="nil"/>
              <w:right w:val="single" w:sz="4" w:space="0" w:color="auto"/>
            </w:tcBorders>
            <w:shd w:val="clear" w:color="auto" w:fill="auto"/>
            <w:hideMark/>
          </w:tcPr>
          <w:p w14:paraId="5D7F6E7D" w14:textId="77777777" w:rsidR="00366A32" w:rsidRPr="00872D7E" w:rsidRDefault="00366A32" w:rsidP="00366A32">
            <w:pPr>
              <w:rPr>
                <w:sz w:val="15"/>
                <w:szCs w:val="15"/>
              </w:rPr>
            </w:pPr>
            <w:r w:rsidRPr="00872D7E">
              <w:rPr>
                <w:sz w:val="15"/>
                <w:szCs w:val="15"/>
              </w:rPr>
              <w:t>2.1. DAĞITILAN YEDEKLER</w:t>
            </w:r>
          </w:p>
        </w:tc>
        <w:tc>
          <w:tcPr>
            <w:tcW w:w="982" w:type="pct"/>
            <w:tcBorders>
              <w:top w:val="nil"/>
              <w:left w:val="single" w:sz="4" w:space="0" w:color="auto"/>
              <w:bottom w:val="nil"/>
              <w:right w:val="single" w:sz="4" w:space="0" w:color="auto"/>
            </w:tcBorders>
            <w:shd w:val="clear" w:color="auto" w:fill="auto"/>
          </w:tcPr>
          <w:p w14:paraId="7CBEA818" w14:textId="6C9DCD77" w:rsidR="00366A32" w:rsidRPr="00872D7E" w:rsidRDefault="00366A32" w:rsidP="00366A32">
            <w:pPr>
              <w:jc w:val="right"/>
              <w:rPr>
                <w:sz w:val="15"/>
                <w:szCs w:val="15"/>
              </w:rPr>
            </w:pPr>
            <w:r w:rsidRPr="00872D7E">
              <w:rPr>
                <w:b/>
                <w:bCs/>
                <w:color w:val="000000"/>
                <w:sz w:val="15"/>
                <w:szCs w:val="15"/>
              </w:rPr>
              <w:t>- </w:t>
            </w:r>
          </w:p>
        </w:tc>
      </w:tr>
      <w:tr w:rsidR="00366A32" w:rsidRPr="00872D7E" w14:paraId="0135481E" w14:textId="77777777" w:rsidTr="00BF0371">
        <w:trPr>
          <w:trHeight w:val="113"/>
        </w:trPr>
        <w:tc>
          <w:tcPr>
            <w:tcW w:w="4018" w:type="pct"/>
            <w:tcBorders>
              <w:top w:val="nil"/>
              <w:left w:val="single" w:sz="4" w:space="0" w:color="auto"/>
              <w:bottom w:val="nil"/>
              <w:right w:val="single" w:sz="4" w:space="0" w:color="auto"/>
            </w:tcBorders>
            <w:shd w:val="clear" w:color="auto" w:fill="auto"/>
            <w:hideMark/>
          </w:tcPr>
          <w:p w14:paraId="5E3771C9" w14:textId="77777777" w:rsidR="00366A32" w:rsidRPr="00872D7E" w:rsidRDefault="00366A32" w:rsidP="00366A32">
            <w:pPr>
              <w:rPr>
                <w:sz w:val="15"/>
                <w:szCs w:val="15"/>
              </w:rPr>
            </w:pPr>
            <w:r w:rsidRPr="00872D7E">
              <w:rPr>
                <w:sz w:val="15"/>
                <w:szCs w:val="15"/>
              </w:rPr>
              <w:t>2.2. İKİNCİ TERTİP YASAL YEDEKLER (-)</w:t>
            </w:r>
          </w:p>
        </w:tc>
        <w:tc>
          <w:tcPr>
            <w:tcW w:w="982" w:type="pct"/>
            <w:tcBorders>
              <w:top w:val="nil"/>
              <w:left w:val="single" w:sz="4" w:space="0" w:color="auto"/>
              <w:bottom w:val="nil"/>
              <w:right w:val="single" w:sz="4" w:space="0" w:color="auto"/>
            </w:tcBorders>
            <w:shd w:val="clear" w:color="auto" w:fill="auto"/>
          </w:tcPr>
          <w:p w14:paraId="10150D0E" w14:textId="417EC8E8" w:rsidR="00366A32" w:rsidRPr="00872D7E" w:rsidRDefault="00366A32" w:rsidP="00366A32">
            <w:pPr>
              <w:jc w:val="right"/>
              <w:rPr>
                <w:sz w:val="15"/>
                <w:szCs w:val="15"/>
              </w:rPr>
            </w:pPr>
            <w:r w:rsidRPr="00872D7E">
              <w:rPr>
                <w:b/>
                <w:bCs/>
                <w:color w:val="000000"/>
                <w:sz w:val="15"/>
                <w:szCs w:val="15"/>
              </w:rPr>
              <w:t>- </w:t>
            </w:r>
          </w:p>
        </w:tc>
      </w:tr>
      <w:tr w:rsidR="00366A32" w:rsidRPr="00872D7E" w14:paraId="5774F596" w14:textId="77777777" w:rsidTr="00BF0371">
        <w:trPr>
          <w:trHeight w:val="113"/>
        </w:trPr>
        <w:tc>
          <w:tcPr>
            <w:tcW w:w="4018" w:type="pct"/>
            <w:tcBorders>
              <w:top w:val="nil"/>
              <w:left w:val="single" w:sz="4" w:space="0" w:color="auto"/>
              <w:bottom w:val="nil"/>
              <w:right w:val="single" w:sz="4" w:space="0" w:color="auto"/>
            </w:tcBorders>
            <w:shd w:val="clear" w:color="auto" w:fill="auto"/>
            <w:hideMark/>
          </w:tcPr>
          <w:p w14:paraId="741C4C5C" w14:textId="77777777" w:rsidR="00366A32" w:rsidRPr="00872D7E" w:rsidRDefault="00366A32" w:rsidP="00366A32">
            <w:pPr>
              <w:rPr>
                <w:sz w:val="15"/>
                <w:szCs w:val="15"/>
              </w:rPr>
            </w:pPr>
            <w:r w:rsidRPr="00872D7E">
              <w:rPr>
                <w:sz w:val="15"/>
                <w:szCs w:val="15"/>
              </w:rPr>
              <w:t>2.3. ORTAKLARA PAY (-)</w:t>
            </w:r>
          </w:p>
        </w:tc>
        <w:tc>
          <w:tcPr>
            <w:tcW w:w="982" w:type="pct"/>
            <w:tcBorders>
              <w:top w:val="nil"/>
              <w:left w:val="single" w:sz="4" w:space="0" w:color="auto"/>
              <w:bottom w:val="nil"/>
              <w:right w:val="single" w:sz="4" w:space="0" w:color="auto"/>
            </w:tcBorders>
            <w:shd w:val="clear" w:color="auto" w:fill="auto"/>
          </w:tcPr>
          <w:p w14:paraId="7CAA5EBB" w14:textId="49167B2D" w:rsidR="00366A32" w:rsidRPr="00872D7E" w:rsidRDefault="00366A32" w:rsidP="00366A32">
            <w:pPr>
              <w:jc w:val="right"/>
              <w:rPr>
                <w:sz w:val="15"/>
                <w:szCs w:val="15"/>
              </w:rPr>
            </w:pPr>
            <w:r w:rsidRPr="00872D7E">
              <w:rPr>
                <w:b/>
                <w:bCs/>
                <w:color w:val="000000"/>
                <w:sz w:val="15"/>
                <w:szCs w:val="15"/>
              </w:rPr>
              <w:t>- </w:t>
            </w:r>
          </w:p>
        </w:tc>
      </w:tr>
      <w:tr w:rsidR="00366A32" w:rsidRPr="00872D7E" w14:paraId="383F4087" w14:textId="77777777" w:rsidTr="00BF0371">
        <w:trPr>
          <w:trHeight w:val="113"/>
        </w:trPr>
        <w:tc>
          <w:tcPr>
            <w:tcW w:w="4018" w:type="pct"/>
            <w:tcBorders>
              <w:top w:val="nil"/>
              <w:left w:val="single" w:sz="4" w:space="0" w:color="auto"/>
              <w:bottom w:val="nil"/>
              <w:right w:val="single" w:sz="4" w:space="0" w:color="auto"/>
            </w:tcBorders>
            <w:shd w:val="clear" w:color="auto" w:fill="auto"/>
            <w:hideMark/>
          </w:tcPr>
          <w:p w14:paraId="3CFE61FF" w14:textId="77777777" w:rsidR="00366A32" w:rsidRPr="00872D7E" w:rsidRDefault="00366A32" w:rsidP="00366A32">
            <w:pPr>
              <w:rPr>
                <w:sz w:val="15"/>
                <w:szCs w:val="15"/>
              </w:rPr>
            </w:pPr>
            <w:r w:rsidRPr="00872D7E">
              <w:rPr>
                <w:sz w:val="15"/>
                <w:szCs w:val="15"/>
              </w:rPr>
              <w:t>2.3.1. Hisse Senedi Sahiplerine</w:t>
            </w:r>
          </w:p>
        </w:tc>
        <w:tc>
          <w:tcPr>
            <w:tcW w:w="982" w:type="pct"/>
            <w:tcBorders>
              <w:top w:val="nil"/>
              <w:left w:val="single" w:sz="4" w:space="0" w:color="auto"/>
              <w:bottom w:val="nil"/>
              <w:right w:val="single" w:sz="4" w:space="0" w:color="auto"/>
            </w:tcBorders>
            <w:shd w:val="clear" w:color="auto" w:fill="auto"/>
          </w:tcPr>
          <w:p w14:paraId="060239B3" w14:textId="1CE3EF55" w:rsidR="00366A32" w:rsidRPr="00872D7E" w:rsidRDefault="00366A32" w:rsidP="00366A32">
            <w:pPr>
              <w:jc w:val="right"/>
              <w:rPr>
                <w:sz w:val="15"/>
                <w:szCs w:val="15"/>
              </w:rPr>
            </w:pPr>
            <w:r w:rsidRPr="00872D7E">
              <w:rPr>
                <w:b/>
                <w:bCs/>
                <w:color w:val="000000"/>
                <w:sz w:val="15"/>
                <w:szCs w:val="15"/>
              </w:rPr>
              <w:t>- </w:t>
            </w:r>
          </w:p>
        </w:tc>
      </w:tr>
      <w:tr w:rsidR="00366A32" w:rsidRPr="00872D7E" w14:paraId="2BFE7055" w14:textId="77777777" w:rsidTr="00BF0371">
        <w:trPr>
          <w:trHeight w:val="113"/>
        </w:trPr>
        <w:tc>
          <w:tcPr>
            <w:tcW w:w="4018" w:type="pct"/>
            <w:tcBorders>
              <w:top w:val="nil"/>
              <w:left w:val="single" w:sz="4" w:space="0" w:color="auto"/>
              <w:bottom w:val="nil"/>
              <w:right w:val="single" w:sz="4" w:space="0" w:color="auto"/>
            </w:tcBorders>
            <w:shd w:val="clear" w:color="auto" w:fill="auto"/>
            <w:hideMark/>
          </w:tcPr>
          <w:p w14:paraId="6D9B5973" w14:textId="77777777" w:rsidR="00366A32" w:rsidRPr="00872D7E" w:rsidRDefault="00366A32" w:rsidP="00366A32">
            <w:pPr>
              <w:rPr>
                <w:sz w:val="15"/>
                <w:szCs w:val="15"/>
              </w:rPr>
            </w:pPr>
            <w:r w:rsidRPr="00872D7E">
              <w:rPr>
                <w:sz w:val="15"/>
                <w:szCs w:val="15"/>
              </w:rPr>
              <w:t>2.3.2. İmtiyazlı Hisse Senedi Sahiplerine</w:t>
            </w:r>
          </w:p>
        </w:tc>
        <w:tc>
          <w:tcPr>
            <w:tcW w:w="982" w:type="pct"/>
            <w:tcBorders>
              <w:top w:val="nil"/>
              <w:left w:val="single" w:sz="4" w:space="0" w:color="auto"/>
              <w:bottom w:val="nil"/>
              <w:right w:val="single" w:sz="4" w:space="0" w:color="auto"/>
            </w:tcBorders>
            <w:shd w:val="clear" w:color="auto" w:fill="auto"/>
          </w:tcPr>
          <w:p w14:paraId="7BC38BE2" w14:textId="03CEAFCD" w:rsidR="00366A32" w:rsidRPr="00872D7E" w:rsidRDefault="00366A32" w:rsidP="00366A32">
            <w:pPr>
              <w:jc w:val="right"/>
              <w:rPr>
                <w:sz w:val="15"/>
                <w:szCs w:val="15"/>
              </w:rPr>
            </w:pPr>
            <w:r w:rsidRPr="00872D7E">
              <w:rPr>
                <w:b/>
                <w:bCs/>
                <w:color w:val="000000"/>
                <w:sz w:val="15"/>
                <w:szCs w:val="15"/>
              </w:rPr>
              <w:t>- </w:t>
            </w:r>
          </w:p>
        </w:tc>
      </w:tr>
      <w:tr w:rsidR="00366A32" w:rsidRPr="00872D7E" w14:paraId="1BA33088" w14:textId="77777777" w:rsidTr="00BF0371">
        <w:trPr>
          <w:trHeight w:val="113"/>
        </w:trPr>
        <w:tc>
          <w:tcPr>
            <w:tcW w:w="4018" w:type="pct"/>
            <w:tcBorders>
              <w:top w:val="nil"/>
              <w:left w:val="single" w:sz="4" w:space="0" w:color="auto"/>
              <w:bottom w:val="nil"/>
              <w:right w:val="single" w:sz="4" w:space="0" w:color="auto"/>
            </w:tcBorders>
            <w:shd w:val="clear" w:color="auto" w:fill="auto"/>
            <w:hideMark/>
          </w:tcPr>
          <w:p w14:paraId="5B282479" w14:textId="77777777" w:rsidR="00366A32" w:rsidRPr="00872D7E" w:rsidRDefault="00366A32" w:rsidP="00366A32">
            <w:pPr>
              <w:rPr>
                <w:sz w:val="15"/>
                <w:szCs w:val="15"/>
              </w:rPr>
            </w:pPr>
            <w:r w:rsidRPr="00872D7E">
              <w:rPr>
                <w:sz w:val="15"/>
                <w:szCs w:val="15"/>
              </w:rPr>
              <w:t>2.3.3. Katılma İntifa Senetlerine</w:t>
            </w:r>
          </w:p>
        </w:tc>
        <w:tc>
          <w:tcPr>
            <w:tcW w:w="982" w:type="pct"/>
            <w:tcBorders>
              <w:top w:val="nil"/>
              <w:left w:val="single" w:sz="4" w:space="0" w:color="auto"/>
              <w:bottom w:val="nil"/>
              <w:right w:val="single" w:sz="4" w:space="0" w:color="auto"/>
            </w:tcBorders>
            <w:shd w:val="clear" w:color="auto" w:fill="auto"/>
          </w:tcPr>
          <w:p w14:paraId="2E0C2D9E" w14:textId="101D0FEB" w:rsidR="00366A32" w:rsidRPr="00872D7E" w:rsidRDefault="00366A32" w:rsidP="00366A32">
            <w:pPr>
              <w:jc w:val="right"/>
              <w:rPr>
                <w:sz w:val="15"/>
                <w:szCs w:val="15"/>
              </w:rPr>
            </w:pPr>
            <w:r w:rsidRPr="00872D7E">
              <w:rPr>
                <w:b/>
                <w:bCs/>
                <w:color w:val="000000"/>
                <w:sz w:val="15"/>
                <w:szCs w:val="15"/>
              </w:rPr>
              <w:t>- </w:t>
            </w:r>
          </w:p>
        </w:tc>
      </w:tr>
      <w:tr w:rsidR="00366A32" w:rsidRPr="00872D7E" w14:paraId="171510A5" w14:textId="77777777" w:rsidTr="00BF0371">
        <w:trPr>
          <w:trHeight w:val="74"/>
        </w:trPr>
        <w:tc>
          <w:tcPr>
            <w:tcW w:w="4018" w:type="pct"/>
            <w:tcBorders>
              <w:top w:val="nil"/>
              <w:left w:val="single" w:sz="4" w:space="0" w:color="auto"/>
              <w:bottom w:val="nil"/>
              <w:right w:val="single" w:sz="4" w:space="0" w:color="auto"/>
            </w:tcBorders>
            <w:shd w:val="clear" w:color="auto" w:fill="auto"/>
            <w:hideMark/>
          </w:tcPr>
          <w:p w14:paraId="5E899B49" w14:textId="77777777" w:rsidR="00366A32" w:rsidRPr="00872D7E" w:rsidRDefault="00366A32" w:rsidP="00366A32">
            <w:pPr>
              <w:rPr>
                <w:sz w:val="15"/>
                <w:szCs w:val="15"/>
              </w:rPr>
            </w:pPr>
            <w:r w:rsidRPr="00872D7E">
              <w:rPr>
                <w:sz w:val="15"/>
                <w:szCs w:val="15"/>
              </w:rPr>
              <w:t>2.3.4. Kâra İştirakli Tahvillere</w:t>
            </w:r>
          </w:p>
        </w:tc>
        <w:tc>
          <w:tcPr>
            <w:tcW w:w="982" w:type="pct"/>
            <w:tcBorders>
              <w:top w:val="nil"/>
              <w:left w:val="single" w:sz="4" w:space="0" w:color="auto"/>
              <w:bottom w:val="nil"/>
              <w:right w:val="single" w:sz="4" w:space="0" w:color="auto"/>
            </w:tcBorders>
            <w:shd w:val="clear" w:color="auto" w:fill="auto"/>
          </w:tcPr>
          <w:p w14:paraId="60171D1A" w14:textId="67993872" w:rsidR="00366A32" w:rsidRPr="00872D7E" w:rsidRDefault="00366A32" w:rsidP="00366A32">
            <w:pPr>
              <w:jc w:val="right"/>
              <w:rPr>
                <w:sz w:val="15"/>
                <w:szCs w:val="15"/>
              </w:rPr>
            </w:pPr>
            <w:r w:rsidRPr="00872D7E">
              <w:rPr>
                <w:b/>
                <w:bCs/>
                <w:color w:val="000000"/>
                <w:sz w:val="15"/>
                <w:szCs w:val="15"/>
              </w:rPr>
              <w:t>- </w:t>
            </w:r>
          </w:p>
        </w:tc>
      </w:tr>
      <w:tr w:rsidR="00366A32" w:rsidRPr="00872D7E" w14:paraId="5CD51A27" w14:textId="77777777" w:rsidTr="00BF0371">
        <w:trPr>
          <w:trHeight w:val="113"/>
        </w:trPr>
        <w:tc>
          <w:tcPr>
            <w:tcW w:w="4018" w:type="pct"/>
            <w:tcBorders>
              <w:top w:val="nil"/>
              <w:left w:val="single" w:sz="4" w:space="0" w:color="auto"/>
              <w:bottom w:val="nil"/>
              <w:right w:val="single" w:sz="4" w:space="0" w:color="auto"/>
            </w:tcBorders>
            <w:shd w:val="clear" w:color="auto" w:fill="auto"/>
            <w:hideMark/>
          </w:tcPr>
          <w:p w14:paraId="1E2C449D" w14:textId="77777777" w:rsidR="00366A32" w:rsidRPr="00872D7E" w:rsidRDefault="00366A32" w:rsidP="00366A32">
            <w:pPr>
              <w:rPr>
                <w:sz w:val="15"/>
                <w:szCs w:val="15"/>
              </w:rPr>
            </w:pPr>
            <w:r w:rsidRPr="00872D7E">
              <w:rPr>
                <w:sz w:val="15"/>
                <w:szCs w:val="15"/>
              </w:rPr>
              <w:t>2.3.5. Kâr ve Zarar Ortaklığı Belgesi Sahiplerine</w:t>
            </w:r>
          </w:p>
        </w:tc>
        <w:tc>
          <w:tcPr>
            <w:tcW w:w="982" w:type="pct"/>
            <w:tcBorders>
              <w:top w:val="nil"/>
              <w:left w:val="single" w:sz="4" w:space="0" w:color="auto"/>
              <w:bottom w:val="nil"/>
              <w:right w:val="single" w:sz="4" w:space="0" w:color="auto"/>
            </w:tcBorders>
            <w:shd w:val="clear" w:color="auto" w:fill="auto"/>
          </w:tcPr>
          <w:p w14:paraId="2350F721" w14:textId="273A3613" w:rsidR="00366A32" w:rsidRPr="00872D7E" w:rsidRDefault="00366A32" w:rsidP="00366A32">
            <w:pPr>
              <w:jc w:val="right"/>
              <w:rPr>
                <w:sz w:val="15"/>
                <w:szCs w:val="15"/>
              </w:rPr>
            </w:pPr>
            <w:r w:rsidRPr="00872D7E">
              <w:rPr>
                <w:b/>
                <w:bCs/>
                <w:color w:val="000000"/>
                <w:sz w:val="15"/>
                <w:szCs w:val="15"/>
              </w:rPr>
              <w:t>- </w:t>
            </w:r>
          </w:p>
        </w:tc>
      </w:tr>
      <w:tr w:rsidR="00366A32" w:rsidRPr="00872D7E" w14:paraId="78EBD48A" w14:textId="77777777" w:rsidTr="00BF0371">
        <w:trPr>
          <w:trHeight w:val="113"/>
        </w:trPr>
        <w:tc>
          <w:tcPr>
            <w:tcW w:w="4018" w:type="pct"/>
            <w:tcBorders>
              <w:top w:val="nil"/>
              <w:left w:val="single" w:sz="4" w:space="0" w:color="auto"/>
              <w:bottom w:val="nil"/>
              <w:right w:val="single" w:sz="4" w:space="0" w:color="auto"/>
            </w:tcBorders>
            <w:shd w:val="clear" w:color="auto" w:fill="auto"/>
            <w:hideMark/>
          </w:tcPr>
          <w:p w14:paraId="76594379" w14:textId="77777777" w:rsidR="00366A32" w:rsidRPr="00872D7E" w:rsidRDefault="00366A32" w:rsidP="00366A32">
            <w:pPr>
              <w:rPr>
                <w:sz w:val="15"/>
                <w:szCs w:val="15"/>
              </w:rPr>
            </w:pPr>
            <w:r w:rsidRPr="00872D7E">
              <w:rPr>
                <w:sz w:val="15"/>
                <w:szCs w:val="15"/>
              </w:rPr>
              <w:t>2.4. PERSONELE PAY (-)</w:t>
            </w:r>
          </w:p>
        </w:tc>
        <w:tc>
          <w:tcPr>
            <w:tcW w:w="982" w:type="pct"/>
            <w:tcBorders>
              <w:top w:val="nil"/>
              <w:left w:val="single" w:sz="4" w:space="0" w:color="auto"/>
              <w:bottom w:val="nil"/>
              <w:right w:val="single" w:sz="4" w:space="0" w:color="auto"/>
            </w:tcBorders>
            <w:shd w:val="clear" w:color="auto" w:fill="auto"/>
          </w:tcPr>
          <w:p w14:paraId="597E7C15" w14:textId="545CE062" w:rsidR="00366A32" w:rsidRPr="00872D7E" w:rsidRDefault="00366A32" w:rsidP="00366A32">
            <w:pPr>
              <w:jc w:val="right"/>
              <w:rPr>
                <w:sz w:val="15"/>
                <w:szCs w:val="15"/>
              </w:rPr>
            </w:pPr>
            <w:r w:rsidRPr="00872D7E">
              <w:rPr>
                <w:b/>
                <w:bCs/>
                <w:color w:val="000000"/>
                <w:sz w:val="15"/>
                <w:szCs w:val="15"/>
              </w:rPr>
              <w:t>- </w:t>
            </w:r>
          </w:p>
        </w:tc>
      </w:tr>
      <w:tr w:rsidR="00366A32" w:rsidRPr="00872D7E" w14:paraId="092762FB" w14:textId="77777777" w:rsidTr="00BF0371">
        <w:trPr>
          <w:trHeight w:val="113"/>
        </w:trPr>
        <w:tc>
          <w:tcPr>
            <w:tcW w:w="4018" w:type="pct"/>
            <w:tcBorders>
              <w:top w:val="nil"/>
              <w:left w:val="single" w:sz="4" w:space="0" w:color="auto"/>
              <w:bottom w:val="nil"/>
              <w:right w:val="single" w:sz="4" w:space="0" w:color="auto"/>
            </w:tcBorders>
            <w:shd w:val="clear" w:color="auto" w:fill="auto"/>
            <w:hideMark/>
          </w:tcPr>
          <w:p w14:paraId="0A45AD18" w14:textId="77777777" w:rsidR="00366A32" w:rsidRPr="00872D7E" w:rsidRDefault="00366A32" w:rsidP="00366A32">
            <w:pPr>
              <w:rPr>
                <w:sz w:val="15"/>
                <w:szCs w:val="15"/>
              </w:rPr>
            </w:pPr>
            <w:r w:rsidRPr="00872D7E">
              <w:rPr>
                <w:sz w:val="15"/>
                <w:szCs w:val="15"/>
              </w:rPr>
              <w:t>2.5. YÖNETİM KURULUNA PAY (-)</w:t>
            </w:r>
          </w:p>
        </w:tc>
        <w:tc>
          <w:tcPr>
            <w:tcW w:w="982" w:type="pct"/>
            <w:tcBorders>
              <w:top w:val="nil"/>
              <w:left w:val="single" w:sz="4" w:space="0" w:color="auto"/>
              <w:bottom w:val="nil"/>
              <w:right w:val="single" w:sz="4" w:space="0" w:color="auto"/>
            </w:tcBorders>
            <w:shd w:val="clear" w:color="auto" w:fill="auto"/>
          </w:tcPr>
          <w:p w14:paraId="2E0E280B" w14:textId="7CE23621" w:rsidR="00366A32" w:rsidRPr="00872D7E" w:rsidRDefault="00366A32" w:rsidP="00366A32">
            <w:pPr>
              <w:jc w:val="right"/>
              <w:rPr>
                <w:sz w:val="15"/>
                <w:szCs w:val="15"/>
              </w:rPr>
            </w:pPr>
            <w:r w:rsidRPr="00872D7E">
              <w:rPr>
                <w:b/>
                <w:bCs/>
                <w:color w:val="000000"/>
                <w:sz w:val="15"/>
                <w:szCs w:val="15"/>
              </w:rPr>
              <w:t>- </w:t>
            </w:r>
          </w:p>
        </w:tc>
      </w:tr>
      <w:tr w:rsidR="00042B01" w:rsidRPr="00872D7E" w14:paraId="1CC82034" w14:textId="77777777" w:rsidTr="00391341">
        <w:trPr>
          <w:trHeight w:val="113"/>
        </w:trPr>
        <w:tc>
          <w:tcPr>
            <w:tcW w:w="4018" w:type="pct"/>
            <w:tcBorders>
              <w:top w:val="nil"/>
              <w:left w:val="single" w:sz="4" w:space="0" w:color="auto"/>
              <w:bottom w:val="nil"/>
              <w:right w:val="single" w:sz="4" w:space="0" w:color="auto"/>
            </w:tcBorders>
            <w:shd w:val="clear" w:color="auto" w:fill="auto"/>
          </w:tcPr>
          <w:p w14:paraId="470CED5B" w14:textId="77777777" w:rsidR="00042B01" w:rsidRPr="00872D7E" w:rsidRDefault="00042B01" w:rsidP="00042B01">
            <w:pPr>
              <w:rPr>
                <w:sz w:val="15"/>
                <w:szCs w:val="15"/>
              </w:rPr>
            </w:pPr>
          </w:p>
        </w:tc>
        <w:tc>
          <w:tcPr>
            <w:tcW w:w="982" w:type="pct"/>
            <w:tcBorders>
              <w:top w:val="nil"/>
              <w:left w:val="single" w:sz="4" w:space="0" w:color="auto"/>
              <w:bottom w:val="nil"/>
              <w:right w:val="single" w:sz="4" w:space="0" w:color="auto"/>
            </w:tcBorders>
            <w:shd w:val="clear" w:color="auto" w:fill="auto"/>
            <w:vAlign w:val="bottom"/>
          </w:tcPr>
          <w:p w14:paraId="55FAA269" w14:textId="426C081F" w:rsidR="00042B01" w:rsidRPr="00872D7E" w:rsidRDefault="00042B01" w:rsidP="00042B01">
            <w:pPr>
              <w:jc w:val="right"/>
              <w:rPr>
                <w:sz w:val="15"/>
                <w:szCs w:val="15"/>
              </w:rPr>
            </w:pPr>
            <w:r w:rsidRPr="00872D7E">
              <w:rPr>
                <w:b/>
                <w:bCs/>
                <w:color w:val="000000"/>
                <w:sz w:val="15"/>
                <w:szCs w:val="15"/>
              </w:rPr>
              <w:t> </w:t>
            </w:r>
          </w:p>
        </w:tc>
      </w:tr>
      <w:tr w:rsidR="00042B01" w:rsidRPr="00872D7E" w14:paraId="1E1DE581" w14:textId="77777777" w:rsidTr="005C2F45">
        <w:trPr>
          <w:trHeight w:val="113"/>
        </w:trPr>
        <w:tc>
          <w:tcPr>
            <w:tcW w:w="4018" w:type="pct"/>
            <w:tcBorders>
              <w:top w:val="nil"/>
              <w:left w:val="single" w:sz="4" w:space="0" w:color="auto"/>
              <w:bottom w:val="nil"/>
              <w:right w:val="single" w:sz="4" w:space="0" w:color="auto"/>
            </w:tcBorders>
            <w:shd w:val="clear" w:color="auto" w:fill="auto"/>
            <w:hideMark/>
          </w:tcPr>
          <w:p w14:paraId="44882AF4" w14:textId="77777777" w:rsidR="00042B01" w:rsidRPr="00872D7E" w:rsidRDefault="00042B01" w:rsidP="00042B01">
            <w:pPr>
              <w:rPr>
                <w:b/>
                <w:sz w:val="15"/>
                <w:szCs w:val="15"/>
              </w:rPr>
            </w:pPr>
            <w:r w:rsidRPr="00872D7E">
              <w:rPr>
                <w:b/>
                <w:sz w:val="15"/>
                <w:szCs w:val="15"/>
              </w:rPr>
              <w:t>III. HİSSE BAŞINA KÂR</w:t>
            </w:r>
          </w:p>
        </w:tc>
        <w:tc>
          <w:tcPr>
            <w:tcW w:w="982" w:type="pct"/>
            <w:tcBorders>
              <w:top w:val="nil"/>
              <w:left w:val="single" w:sz="4" w:space="0" w:color="auto"/>
              <w:bottom w:val="nil"/>
              <w:right w:val="single" w:sz="4" w:space="0" w:color="auto"/>
            </w:tcBorders>
            <w:shd w:val="clear" w:color="auto" w:fill="auto"/>
            <w:vAlign w:val="center"/>
          </w:tcPr>
          <w:p w14:paraId="36E4B818" w14:textId="45806082" w:rsidR="00042B01" w:rsidRPr="00872D7E" w:rsidRDefault="00042B01" w:rsidP="00042B01">
            <w:pPr>
              <w:jc w:val="right"/>
              <w:rPr>
                <w:sz w:val="15"/>
                <w:szCs w:val="15"/>
              </w:rPr>
            </w:pPr>
            <w:r w:rsidRPr="00872D7E">
              <w:rPr>
                <w:b/>
                <w:bCs/>
                <w:color w:val="000000"/>
                <w:sz w:val="15"/>
                <w:szCs w:val="15"/>
              </w:rPr>
              <w:t> </w:t>
            </w:r>
          </w:p>
        </w:tc>
      </w:tr>
      <w:tr w:rsidR="00042B01" w:rsidRPr="00872D7E" w14:paraId="79C8E7F0" w14:textId="77777777" w:rsidTr="00391341">
        <w:trPr>
          <w:trHeight w:val="113"/>
        </w:trPr>
        <w:tc>
          <w:tcPr>
            <w:tcW w:w="4018" w:type="pct"/>
            <w:tcBorders>
              <w:top w:val="nil"/>
              <w:left w:val="single" w:sz="4" w:space="0" w:color="auto"/>
              <w:bottom w:val="nil"/>
              <w:right w:val="single" w:sz="4" w:space="0" w:color="auto"/>
            </w:tcBorders>
            <w:shd w:val="clear" w:color="auto" w:fill="auto"/>
          </w:tcPr>
          <w:p w14:paraId="7BFA416E" w14:textId="77777777" w:rsidR="00042B01" w:rsidRPr="00872D7E" w:rsidRDefault="00042B01" w:rsidP="00042B01">
            <w:pPr>
              <w:rPr>
                <w:b/>
                <w:sz w:val="15"/>
                <w:szCs w:val="15"/>
              </w:rPr>
            </w:pPr>
          </w:p>
        </w:tc>
        <w:tc>
          <w:tcPr>
            <w:tcW w:w="982" w:type="pct"/>
            <w:tcBorders>
              <w:top w:val="nil"/>
              <w:left w:val="single" w:sz="4" w:space="0" w:color="auto"/>
              <w:bottom w:val="nil"/>
              <w:right w:val="single" w:sz="4" w:space="0" w:color="auto"/>
            </w:tcBorders>
            <w:shd w:val="clear" w:color="auto" w:fill="auto"/>
            <w:vAlign w:val="bottom"/>
          </w:tcPr>
          <w:p w14:paraId="4AAD024F" w14:textId="69032D7F" w:rsidR="00042B01" w:rsidRPr="00872D7E" w:rsidRDefault="00042B01" w:rsidP="00042B01">
            <w:pPr>
              <w:jc w:val="right"/>
              <w:rPr>
                <w:sz w:val="15"/>
                <w:szCs w:val="15"/>
              </w:rPr>
            </w:pPr>
            <w:r w:rsidRPr="00872D7E">
              <w:rPr>
                <w:b/>
                <w:bCs/>
                <w:color w:val="000000"/>
                <w:sz w:val="15"/>
                <w:szCs w:val="15"/>
              </w:rPr>
              <w:t> </w:t>
            </w:r>
          </w:p>
        </w:tc>
      </w:tr>
      <w:tr w:rsidR="00366A32" w:rsidRPr="00872D7E" w14:paraId="01589DF2" w14:textId="77777777" w:rsidTr="00227AC5">
        <w:trPr>
          <w:trHeight w:val="113"/>
        </w:trPr>
        <w:tc>
          <w:tcPr>
            <w:tcW w:w="4018" w:type="pct"/>
            <w:tcBorders>
              <w:top w:val="nil"/>
              <w:left w:val="single" w:sz="4" w:space="0" w:color="auto"/>
              <w:bottom w:val="nil"/>
              <w:right w:val="single" w:sz="4" w:space="0" w:color="auto"/>
            </w:tcBorders>
            <w:shd w:val="clear" w:color="auto" w:fill="auto"/>
            <w:hideMark/>
          </w:tcPr>
          <w:p w14:paraId="2B76CF5C" w14:textId="3D811DA9" w:rsidR="00366A32" w:rsidRPr="00872D7E" w:rsidRDefault="00366A32" w:rsidP="00366A32">
            <w:pPr>
              <w:rPr>
                <w:sz w:val="15"/>
                <w:szCs w:val="15"/>
              </w:rPr>
            </w:pPr>
            <w:r w:rsidRPr="00872D7E">
              <w:rPr>
                <w:sz w:val="15"/>
                <w:szCs w:val="15"/>
              </w:rPr>
              <w:t xml:space="preserve">3.1. HİSSE SENEDİ SAHİPLERİNE </w:t>
            </w:r>
            <w:r w:rsidR="006E15C8" w:rsidRPr="00872D7E">
              <w:rPr>
                <w:sz w:val="15"/>
                <w:szCs w:val="15"/>
                <w:vertAlign w:val="superscript"/>
              </w:rPr>
              <w:t>(***)</w:t>
            </w:r>
            <w:r w:rsidR="006E15C8" w:rsidRPr="00872D7E">
              <w:rPr>
                <w:sz w:val="15"/>
                <w:szCs w:val="15"/>
              </w:rPr>
              <w:t xml:space="preserve"> </w:t>
            </w:r>
            <w:r w:rsidRPr="00872D7E">
              <w:rPr>
                <w:sz w:val="15"/>
                <w:szCs w:val="15"/>
              </w:rPr>
              <w:t>(tam TL)</w:t>
            </w:r>
          </w:p>
        </w:tc>
        <w:tc>
          <w:tcPr>
            <w:tcW w:w="982" w:type="pct"/>
            <w:tcBorders>
              <w:top w:val="nil"/>
              <w:left w:val="single" w:sz="4" w:space="0" w:color="auto"/>
              <w:bottom w:val="nil"/>
              <w:right w:val="single" w:sz="4" w:space="0" w:color="auto"/>
            </w:tcBorders>
            <w:shd w:val="clear" w:color="auto" w:fill="auto"/>
          </w:tcPr>
          <w:p w14:paraId="07FDC8ED" w14:textId="5C6B3A69" w:rsidR="00366A32" w:rsidRPr="00872D7E" w:rsidRDefault="008D1EEC" w:rsidP="00366A32">
            <w:pPr>
              <w:jc w:val="right"/>
              <w:rPr>
                <w:sz w:val="15"/>
                <w:szCs w:val="15"/>
              </w:rPr>
            </w:pPr>
            <w:r w:rsidRPr="00872D7E">
              <w:rPr>
                <w:b/>
                <w:bCs/>
                <w:color w:val="000000"/>
                <w:sz w:val="15"/>
                <w:szCs w:val="15"/>
              </w:rPr>
              <w:t>0,0212</w:t>
            </w:r>
          </w:p>
        </w:tc>
      </w:tr>
      <w:tr w:rsidR="00366A32" w:rsidRPr="00872D7E" w14:paraId="53CC9582" w14:textId="77777777" w:rsidTr="00227AC5">
        <w:trPr>
          <w:trHeight w:val="113"/>
        </w:trPr>
        <w:tc>
          <w:tcPr>
            <w:tcW w:w="4018" w:type="pct"/>
            <w:tcBorders>
              <w:top w:val="nil"/>
              <w:left w:val="single" w:sz="4" w:space="0" w:color="auto"/>
              <w:bottom w:val="nil"/>
              <w:right w:val="single" w:sz="4" w:space="0" w:color="auto"/>
            </w:tcBorders>
            <w:shd w:val="clear" w:color="auto" w:fill="auto"/>
            <w:hideMark/>
          </w:tcPr>
          <w:p w14:paraId="3FAFFED1" w14:textId="77777777" w:rsidR="00366A32" w:rsidRPr="00872D7E" w:rsidRDefault="00366A32" w:rsidP="00366A32">
            <w:pPr>
              <w:rPr>
                <w:sz w:val="15"/>
                <w:szCs w:val="15"/>
              </w:rPr>
            </w:pPr>
            <w:r w:rsidRPr="00872D7E">
              <w:rPr>
                <w:sz w:val="15"/>
                <w:szCs w:val="15"/>
              </w:rPr>
              <w:t>3.2. HİSSE SENEDİ SAHİPLERİNE (%)</w:t>
            </w:r>
          </w:p>
        </w:tc>
        <w:tc>
          <w:tcPr>
            <w:tcW w:w="982" w:type="pct"/>
            <w:tcBorders>
              <w:top w:val="nil"/>
              <w:left w:val="single" w:sz="4" w:space="0" w:color="auto"/>
              <w:bottom w:val="nil"/>
              <w:right w:val="single" w:sz="4" w:space="0" w:color="auto"/>
            </w:tcBorders>
            <w:shd w:val="clear" w:color="auto" w:fill="auto"/>
          </w:tcPr>
          <w:p w14:paraId="5DCF70B7" w14:textId="421EB96E" w:rsidR="00366A32" w:rsidRPr="00872D7E" w:rsidRDefault="008D1EEC" w:rsidP="00366A32">
            <w:pPr>
              <w:jc w:val="right"/>
              <w:rPr>
                <w:sz w:val="15"/>
                <w:szCs w:val="15"/>
              </w:rPr>
            </w:pPr>
            <w:r w:rsidRPr="00872D7E">
              <w:rPr>
                <w:b/>
                <w:bCs/>
                <w:color w:val="000000"/>
                <w:sz w:val="15"/>
                <w:szCs w:val="15"/>
              </w:rPr>
              <w:t>2,12</w:t>
            </w:r>
          </w:p>
        </w:tc>
      </w:tr>
      <w:tr w:rsidR="00366A32" w:rsidRPr="00872D7E" w14:paraId="3653DEE9" w14:textId="77777777" w:rsidTr="00227AC5">
        <w:trPr>
          <w:trHeight w:val="113"/>
        </w:trPr>
        <w:tc>
          <w:tcPr>
            <w:tcW w:w="4018" w:type="pct"/>
            <w:tcBorders>
              <w:top w:val="nil"/>
              <w:left w:val="single" w:sz="4" w:space="0" w:color="auto"/>
              <w:bottom w:val="nil"/>
              <w:right w:val="single" w:sz="4" w:space="0" w:color="auto"/>
            </w:tcBorders>
            <w:shd w:val="clear" w:color="auto" w:fill="auto"/>
            <w:hideMark/>
          </w:tcPr>
          <w:p w14:paraId="6A907ADC" w14:textId="77777777" w:rsidR="00366A32" w:rsidRPr="00872D7E" w:rsidRDefault="00366A32" w:rsidP="00366A32">
            <w:pPr>
              <w:rPr>
                <w:sz w:val="15"/>
                <w:szCs w:val="15"/>
              </w:rPr>
            </w:pPr>
            <w:r w:rsidRPr="00872D7E">
              <w:rPr>
                <w:sz w:val="15"/>
                <w:szCs w:val="15"/>
              </w:rPr>
              <w:t>3.3. İMTİYAZLI HİSSE SENEDİ SAHİPLERİNE</w:t>
            </w:r>
          </w:p>
        </w:tc>
        <w:tc>
          <w:tcPr>
            <w:tcW w:w="982" w:type="pct"/>
            <w:tcBorders>
              <w:top w:val="nil"/>
              <w:left w:val="single" w:sz="4" w:space="0" w:color="auto"/>
              <w:bottom w:val="nil"/>
              <w:right w:val="single" w:sz="4" w:space="0" w:color="auto"/>
            </w:tcBorders>
            <w:shd w:val="clear" w:color="auto" w:fill="auto"/>
          </w:tcPr>
          <w:p w14:paraId="43C63392" w14:textId="0024677A" w:rsidR="00366A32" w:rsidRPr="00872D7E" w:rsidRDefault="00366A32" w:rsidP="00366A32">
            <w:pPr>
              <w:jc w:val="right"/>
              <w:rPr>
                <w:sz w:val="15"/>
                <w:szCs w:val="15"/>
              </w:rPr>
            </w:pPr>
            <w:r w:rsidRPr="00872D7E">
              <w:rPr>
                <w:b/>
                <w:bCs/>
                <w:color w:val="000000"/>
                <w:sz w:val="15"/>
                <w:szCs w:val="15"/>
              </w:rPr>
              <w:t>- </w:t>
            </w:r>
          </w:p>
        </w:tc>
      </w:tr>
      <w:tr w:rsidR="00366A32" w:rsidRPr="00872D7E" w14:paraId="31A456E1" w14:textId="77777777" w:rsidTr="00227AC5">
        <w:trPr>
          <w:trHeight w:val="113"/>
        </w:trPr>
        <w:tc>
          <w:tcPr>
            <w:tcW w:w="4018" w:type="pct"/>
            <w:tcBorders>
              <w:top w:val="nil"/>
              <w:left w:val="single" w:sz="4" w:space="0" w:color="auto"/>
              <w:bottom w:val="nil"/>
              <w:right w:val="single" w:sz="4" w:space="0" w:color="auto"/>
            </w:tcBorders>
            <w:shd w:val="clear" w:color="auto" w:fill="auto"/>
            <w:hideMark/>
          </w:tcPr>
          <w:p w14:paraId="4A9B6131" w14:textId="77777777" w:rsidR="00366A32" w:rsidRPr="00872D7E" w:rsidRDefault="00366A32" w:rsidP="00366A32">
            <w:pPr>
              <w:rPr>
                <w:sz w:val="15"/>
                <w:szCs w:val="15"/>
              </w:rPr>
            </w:pPr>
            <w:r w:rsidRPr="00872D7E">
              <w:rPr>
                <w:sz w:val="15"/>
                <w:szCs w:val="15"/>
              </w:rPr>
              <w:t>3.4. İMTİYAZLI HİSSE SENEDİ SAHİPLERİNE (%)</w:t>
            </w:r>
          </w:p>
        </w:tc>
        <w:tc>
          <w:tcPr>
            <w:tcW w:w="982" w:type="pct"/>
            <w:tcBorders>
              <w:top w:val="nil"/>
              <w:left w:val="single" w:sz="4" w:space="0" w:color="auto"/>
              <w:bottom w:val="nil"/>
              <w:right w:val="single" w:sz="4" w:space="0" w:color="auto"/>
            </w:tcBorders>
            <w:shd w:val="clear" w:color="auto" w:fill="auto"/>
          </w:tcPr>
          <w:p w14:paraId="45EC78C1" w14:textId="6182B1FC" w:rsidR="00366A32" w:rsidRPr="00872D7E" w:rsidRDefault="00366A32" w:rsidP="00366A32">
            <w:pPr>
              <w:jc w:val="right"/>
              <w:rPr>
                <w:sz w:val="15"/>
                <w:szCs w:val="15"/>
              </w:rPr>
            </w:pPr>
            <w:r w:rsidRPr="00872D7E">
              <w:rPr>
                <w:b/>
                <w:bCs/>
                <w:color w:val="000000"/>
                <w:sz w:val="15"/>
                <w:szCs w:val="15"/>
              </w:rPr>
              <w:t>- </w:t>
            </w:r>
          </w:p>
        </w:tc>
      </w:tr>
      <w:tr w:rsidR="00042B01" w:rsidRPr="00872D7E" w14:paraId="2CF46B1D" w14:textId="77777777" w:rsidTr="005C2F45">
        <w:trPr>
          <w:trHeight w:val="113"/>
        </w:trPr>
        <w:tc>
          <w:tcPr>
            <w:tcW w:w="4018" w:type="pct"/>
            <w:tcBorders>
              <w:top w:val="nil"/>
              <w:left w:val="single" w:sz="4" w:space="0" w:color="auto"/>
              <w:bottom w:val="nil"/>
              <w:right w:val="single" w:sz="4" w:space="0" w:color="auto"/>
            </w:tcBorders>
            <w:shd w:val="clear" w:color="auto" w:fill="auto"/>
          </w:tcPr>
          <w:p w14:paraId="08A5D02E" w14:textId="77777777" w:rsidR="00042B01" w:rsidRPr="00872D7E" w:rsidRDefault="00042B01" w:rsidP="00042B01">
            <w:pPr>
              <w:rPr>
                <w:sz w:val="15"/>
                <w:szCs w:val="15"/>
              </w:rPr>
            </w:pPr>
          </w:p>
        </w:tc>
        <w:tc>
          <w:tcPr>
            <w:tcW w:w="982" w:type="pct"/>
            <w:tcBorders>
              <w:top w:val="nil"/>
              <w:left w:val="single" w:sz="4" w:space="0" w:color="auto"/>
              <w:bottom w:val="nil"/>
              <w:right w:val="single" w:sz="4" w:space="0" w:color="auto"/>
            </w:tcBorders>
            <w:shd w:val="clear" w:color="auto" w:fill="auto"/>
            <w:vAlign w:val="bottom"/>
          </w:tcPr>
          <w:p w14:paraId="5C303167" w14:textId="42822C31" w:rsidR="00042B01" w:rsidRPr="00872D7E" w:rsidRDefault="00042B01" w:rsidP="00042B01">
            <w:pPr>
              <w:jc w:val="right"/>
              <w:rPr>
                <w:sz w:val="15"/>
                <w:szCs w:val="15"/>
              </w:rPr>
            </w:pPr>
            <w:r w:rsidRPr="00872D7E">
              <w:rPr>
                <w:b/>
                <w:bCs/>
                <w:color w:val="000000"/>
                <w:sz w:val="15"/>
                <w:szCs w:val="15"/>
              </w:rPr>
              <w:t> </w:t>
            </w:r>
          </w:p>
        </w:tc>
      </w:tr>
      <w:tr w:rsidR="00042B01" w:rsidRPr="00872D7E" w14:paraId="111647EF" w14:textId="77777777" w:rsidTr="00391341">
        <w:trPr>
          <w:trHeight w:val="113"/>
        </w:trPr>
        <w:tc>
          <w:tcPr>
            <w:tcW w:w="4018" w:type="pct"/>
            <w:tcBorders>
              <w:top w:val="nil"/>
              <w:left w:val="single" w:sz="4" w:space="0" w:color="auto"/>
              <w:bottom w:val="nil"/>
              <w:right w:val="single" w:sz="4" w:space="0" w:color="auto"/>
            </w:tcBorders>
            <w:shd w:val="clear" w:color="auto" w:fill="auto"/>
            <w:hideMark/>
          </w:tcPr>
          <w:p w14:paraId="37BE0D7B" w14:textId="77777777" w:rsidR="00042B01" w:rsidRPr="00872D7E" w:rsidRDefault="00042B01" w:rsidP="00042B01">
            <w:pPr>
              <w:rPr>
                <w:b/>
                <w:sz w:val="15"/>
                <w:szCs w:val="15"/>
              </w:rPr>
            </w:pPr>
            <w:r w:rsidRPr="00872D7E">
              <w:rPr>
                <w:b/>
                <w:sz w:val="15"/>
                <w:szCs w:val="15"/>
              </w:rPr>
              <w:t>IV. HİSSE BAŞINA TEMETTÜ</w:t>
            </w:r>
          </w:p>
        </w:tc>
        <w:tc>
          <w:tcPr>
            <w:tcW w:w="982" w:type="pct"/>
            <w:tcBorders>
              <w:top w:val="nil"/>
              <w:left w:val="single" w:sz="4" w:space="0" w:color="auto"/>
              <w:bottom w:val="nil"/>
              <w:right w:val="single" w:sz="4" w:space="0" w:color="auto"/>
            </w:tcBorders>
            <w:shd w:val="clear" w:color="auto" w:fill="auto"/>
            <w:vAlign w:val="center"/>
          </w:tcPr>
          <w:p w14:paraId="1117E846" w14:textId="16E6374F" w:rsidR="00042B01" w:rsidRPr="00872D7E" w:rsidRDefault="00042B01" w:rsidP="00042B01">
            <w:pPr>
              <w:jc w:val="right"/>
              <w:rPr>
                <w:sz w:val="15"/>
                <w:szCs w:val="15"/>
              </w:rPr>
            </w:pPr>
            <w:r w:rsidRPr="00872D7E">
              <w:rPr>
                <w:b/>
                <w:bCs/>
                <w:color w:val="000000"/>
                <w:sz w:val="15"/>
                <w:szCs w:val="15"/>
              </w:rPr>
              <w:t> </w:t>
            </w:r>
          </w:p>
        </w:tc>
      </w:tr>
      <w:tr w:rsidR="00042B01" w:rsidRPr="00872D7E" w14:paraId="64B51A47" w14:textId="77777777" w:rsidTr="005C2F45">
        <w:trPr>
          <w:trHeight w:val="113"/>
        </w:trPr>
        <w:tc>
          <w:tcPr>
            <w:tcW w:w="4018" w:type="pct"/>
            <w:tcBorders>
              <w:top w:val="nil"/>
              <w:left w:val="single" w:sz="4" w:space="0" w:color="auto"/>
              <w:bottom w:val="nil"/>
              <w:right w:val="single" w:sz="4" w:space="0" w:color="auto"/>
            </w:tcBorders>
            <w:shd w:val="clear" w:color="auto" w:fill="auto"/>
          </w:tcPr>
          <w:p w14:paraId="1ED25EE3" w14:textId="77777777" w:rsidR="00042B01" w:rsidRPr="00872D7E" w:rsidRDefault="00042B01" w:rsidP="00042B01">
            <w:pPr>
              <w:rPr>
                <w:b/>
                <w:sz w:val="15"/>
                <w:szCs w:val="15"/>
              </w:rPr>
            </w:pPr>
          </w:p>
        </w:tc>
        <w:tc>
          <w:tcPr>
            <w:tcW w:w="982" w:type="pct"/>
            <w:tcBorders>
              <w:top w:val="nil"/>
              <w:left w:val="single" w:sz="4" w:space="0" w:color="auto"/>
              <w:bottom w:val="nil"/>
              <w:right w:val="single" w:sz="4" w:space="0" w:color="auto"/>
            </w:tcBorders>
            <w:shd w:val="clear" w:color="auto" w:fill="auto"/>
            <w:vAlign w:val="bottom"/>
          </w:tcPr>
          <w:p w14:paraId="078EF3C0" w14:textId="18E48D92" w:rsidR="00042B01" w:rsidRPr="00872D7E" w:rsidRDefault="00042B01" w:rsidP="00042B01">
            <w:pPr>
              <w:jc w:val="right"/>
              <w:rPr>
                <w:sz w:val="15"/>
                <w:szCs w:val="15"/>
              </w:rPr>
            </w:pPr>
            <w:r w:rsidRPr="00872D7E">
              <w:rPr>
                <w:b/>
                <w:bCs/>
                <w:color w:val="000000"/>
                <w:sz w:val="15"/>
                <w:szCs w:val="15"/>
              </w:rPr>
              <w:t> </w:t>
            </w:r>
          </w:p>
        </w:tc>
      </w:tr>
      <w:tr w:rsidR="00366A32" w:rsidRPr="00872D7E" w14:paraId="3FE5F1BA" w14:textId="77777777" w:rsidTr="00795697">
        <w:trPr>
          <w:trHeight w:val="113"/>
        </w:trPr>
        <w:tc>
          <w:tcPr>
            <w:tcW w:w="4018" w:type="pct"/>
            <w:tcBorders>
              <w:top w:val="nil"/>
              <w:left w:val="single" w:sz="4" w:space="0" w:color="auto"/>
              <w:bottom w:val="nil"/>
              <w:right w:val="single" w:sz="4" w:space="0" w:color="auto"/>
            </w:tcBorders>
            <w:shd w:val="clear" w:color="auto" w:fill="auto"/>
            <w:hideMark/>
          </w:tcPr>
          <w:p w14:paraId="12BE0451" w14:textId="77777777" w:rsidR="00366A32" w:rsidRPr="00872D7E" w:rsidRDefault="00366A32" w:rsidP="00366A32">
            <w:pPr>
              <w:rPr>
                <w:sz w:val="15"/>
                <w:szCs w:val="15"/>
              </w:rPr>
            </w:pPr>
            <w:r w:rsidRPr="00872D7E">
              <w:rPr>
                <w:sz w:val="15"/>
                <w:szCs w:val="15"/>
              </w:rPr>
              <w:t>4.1. HİSSE SENEDİ SAHİPLERİNE (tam TL)</w:t>
            </w:r>
          </w:p>
        </w:tc>
        <w:tc>
          <w:tcPr>
            <w:tcW w:w="982" w:type="pct"/>
            <w:tcBorders>
              <w:top w:val="nil"/>
              <w:left w:val="single" w:sz="4" w:space="0" w:color="auto"/>
              <w:bottom w:val="nil"/>
              <w:right w:val="single" w:sz="4" w:space="0" w:color="auto"/>
            </w:tcBorders>
            <w:shd w:val="clear" w:color="auto" w:fill="auto"/>
          </w:tcPr>
          <w:p w14:paraId="1EB847D5" w14:textId="0FEE787A" w:rsidR="00366A32" w:rsidRPr="00872D7E" w:rsidRDefault="00366A32" w:rsidP="00366A32">
            <w:pPr>
              <w:jc w:val="right"/>
              <w:rPr>
                <w:sz w:val="15"/>
                <w:szCs w:val="15"/>
              </w:rPr>
            </w:pPr>
            <w:r w:rsidRPr="00872D7E">
              <w:rPr>
                <w:b/>
                <w:bCs/>
                <w:color w:val="000000"/>
                <w:sz w:val="15"/>
                <w:szCs w:val="15"/>
              </w:rPr>
              <w:t>- </w:t>
            </w:r>
          </w:p>
        </w:tc>
      </w:tr>
      <w:tr w:rsidR="00366A32" w:rsidRPr="00872D7E" w14:paraId="30640237" w14:textId="77777777" w:rsidTr="00795697">
        <w:trPr>
          <w:trHeight w:val="113"/>
        </w:trPr>
        <w:tc>
          <w:tcPr>
            <w:tcW w:w="4018" w:type="pct"/>
            <w:tcBorders>
              <w:top w:val="nil"/>
              <w:left w:val="single" w:sz="4" w:space="0" w:color="auto"/>
              <w:bottom w:val="nil"/>
              <w:right w:val="single" w:sz="4" w:space="0" w:color="auto"/>
            </w:tcBorders>
            <w:shd w:val="clear" w:color="auto" w:fill="auto"/>
            <w:hideMark/>
          </w:tcPr>
          <w:p w14:paraId="737751CC" w14:textId="77777777" w:rsidR="00366A32" w:rsidRPr="00872D7E" w:rsidRDefault="00366A32" w:rsidP="00366A32">
            <w:pPr>
              <w:rPr>
                <w:sz w:val="15"/>
                <w:szCs w:val="15"/>
              </w:rPr>
            </w:pPr>
            <w:r w:rsidRPr="00872D7E">
              <w:rPr>
                <w:sz w:val="15"/>
                <w:szCs w:val="15"/>
              </w:rPr>
              <w:t>4.2. HİSSE SENEDİ SAHİPLERİNE (%)</w:t>
            </w:r>
          </w:p>
        </w:tc>
        <w:tc>
          <w:tcPr>
            <w:tcW w:w="982" w:type="pct"/>
            <w:tcBorders>
              <w:top w:val="nil"/>
              <w:left w:val="single" w:sz="4" w:space="0" w:color="auto"/>
              <w:bottom w:val="nil"/>
              <w:right w:val="single" w:sz="4" w:space="0" w:color="auto"/>
            </w:tcBorders>
            <w:shd w:val="clear" w:color="auto" w:fill="auto"/>
          </w:tcPr>
          <w:p w14:paraId="4389E829" w14:textId="25F61CA1" w:rsidR="00366A32" w:rsidRPr="00872D7E" w:rsidRDefault="00366A32" w:rsidP="00366A32">
            <w:pPr>
              <w:jc w:val="right"/>
              <w:rPr>
                <w:sz w:val="15"/>
                <w:szCs w:val="15"/>
              </w:rPr>
            </w:pPr>
            <w:r w:rsidRPr="00872D7E">
              <w:rPr>
                <w:b/>
                <w:bCs/>
                <w:color w:val="000000"/>
                <w:sz w:val="15"/>
                <w:szCs w:val="15"/>
              </w:rPr>
              <w:t>- </w:t>
            </w:r>
          </w:p>
        </w:tc>
      </w:tr>
      <w:tr w:rsidR="00366A32" w:rsidRPr="00872D7E" w14:paraId="490E8D25" w14:textId="77777777" w:rsidTr="00795697">
        <w:trPr>
          <w:trHeight w:val="113"/>
        </w:trPr>
        <w:tc>
          <w:tcPr>
            <w:tcW w:w="4018" w:type="pct"/>
            <w:tcBorders>
              <w:top w:val="nil"/>
              <w:left w:val="single" w:sz="4" w:space="0" w:color="auto"/>
              <w:right w:val="single" w:sz="4" w:space="0" w:color="auto"/>
            </w:tcBorders>
            <w:shd w:val="clear" w:color="auto" w:fill="auto"/>
            <w:hideMark/>
          </w:tcPr>
          <w:p w14:paraId="07B5BD4B" w14:textId="77777777" w:rsidR="00366A32" w:rsidRPr="00872D7E" w:rsidRDefault="00366A32" w:rsidP="00366A32">
            <w:pPr>
              <w:rPr>
                <w:sz w:val="15"/>
                <w:szCs w:val="15"/>
              </w:rPr>
            </w:pPr>
            <w:r w:rsidRPr="00872D7E">
              <w:rPr>
                <w:sz w:val="15"/>
                <w:szCs w:val="15"/>
              </w:rPr>
              <w:t>4.3. İMTİYAZLI HİSSE SENEDİ SAHİPLERİNE</w:t>
            </w:r>
          </w:p>
        </w:tc>
        <w:tc>
          <w:tcPr>
            <w:tcW w:w="982" w:type="pct"/>
            <w:tcBorders>
              <w:top w:val="nil"/>
              <w:left w:val="single" w:sz="4" w:space="0" w:color="auto"/>
              <w:right w:val="single" w:sz="4" w:space="0" w:color="auto"/>
            </w:tcBorders>
            <w:shd w:val="clear" w:color="auto" w:fill="auto"/>
          </w:tcPr>
          <w:p w14:paraId="622B9A65" w14:textId="6DB51F22" w:rsidR="00366A32" w:rsidRPr="00872D7E" w:rsidRDefault="00366A32" w:rsidP="00366A32">
            <w:pPr>
              <w:jc w:val="right"/>
              <w:rPr>
                <w:sz w:val="15"/>
                <w:szCs w:val="15"/>
              </w:rPr>
            </w:pPr>
            <w:r w:rsidRPr="00872D7E">
              <w:rPr>
                <w:b/>
                <w:bCs/>
                <w:color w:val="000000"/>
                <w:sz w:val="15"/>
                <w:szCs w:val="15"/>
              </w:rPr>
              <w:t>- </w:t>
            </w:r>
          </w:p>
        </w:tc>
      </w:tr>
      <w:tr w:rsidR="00366A32" w:rsidRPr="00872D7E" w14:paraId="4BD31CC7" w14:textId="77777777" w:rsidTr="00795697">
        <w:trPr>
          <w:trHeight w:val="113"/>
        </w:trPr>
        <w:tc>
          <w:tcPr>
            <w:tcW w:w="4018" w:type="pct"/>
            <w:tcBorders>
              <w:top w:val="nil"/>
              <w:left w:val="single" w:sz="4" w:space="0" w:color="auto"/>
              <w:bottom w:val="nil"/>
              <w:right w:val="single" w:sz="4" w:space="0" w:color="auto"/>
            </w:tcBorders>
            <w:shd w:val="clear" w:color="auto" w:fill="auto"/>
            <w:vAlign w:val="bottom"/>
            <w:hideMark/>
          </w:tcPr>
          <w:p w14:paraId="4E49960A" w14:textId="77777777" w:rsidR="00366A32" w:rsidRPr="00872D7E" w:rsidRDefault="00366A32" w:rsidP="00366A32">
            <w:pPr>
              <w:rPr>
                <w:b/>
                <w:sz w:val="15"/>
                <w:szCs w:val="15"/>
              </w:rPr>
            </w:pPr>
            <w:r w:rsidRPr="00872D7E">
              <w:rPr>
                <w:sz w:val="15"/>
                <w:szCs w:val="15"/>
              </w:rPr>
              <w:t>4.4. İMTİYAZLI HİSSE SENEDİ SAHİPLERİNE (%)</w:t>
            </w:r>
          </w:p>
        </w:tc>
        <w:tc>
          <w:tcPr>
            <w:tcW w:w="982" w:type="pct"/>
            <w:tcBorders>
              <w:top w:val="nil"/>
              <w:left w:val="single" w:sz="4" w:space="0" w:color="auto"/>
              <w:bottom w:val="nil"/>
              <w:right w:val="single" w:sz="4" w:space="0" w:color="auto"/>
            </w:tcBorders>
            <w:shd w:val="clear" w:color="auto" w:fill="auto"/>
          </w:tcPr>
          <w:p w14:paraId="780DD00D" w14:textId="5878429A" w:rsidR="00366A32" w:rsidRPr="00872D7E" w:rsidRDefault="00366A32" w:rsidP="00366A32">
            <w:pPr>
              <w:jc w:val="right"/>
              <w:rPr>
                <w:sz w:val="15"/>
                <w:szCs w:val="15"/>
              </w:rPr>
            </w:pPr>
            <w:r w:rsidRPr="00872D7E">
              <w:rPr>
                <w:b/>
                <w:bCs/>
                <w:color w:val="000000"/>
                <w:sz w:val="15"/>
                <w:szCs w:val="15"/>
              </w:rPr>
              <w:t>- </w:t>
            </w:r>
          </w:p>
        </w:tc>
      </w:tr>
      <w:tr w:rsidR="00547D6D" w:rsidRPr="00872D7E" w14:paraId="6FB9CB02" w14:textId="77777777" w:rsidTr="00391341">
        <w:trPr>
          <w:trHeight w:val="113"/>
        </w:trPr>
        <w:tc>
          <w:tcPr>
            <w:tcW w:w="4018" w:type="pct"/>
            <w:tcBorders>
              <w:top w:val="nil"/>
              <w:left w:val="single" w:sz="4" w:space="0" w:color="auto"/>
              <w:bottom w:val="single" w:sz="4" w:space="0" w:color="auto"/>
              <w:right w:val="single" w:sz="4" w:space="0" w:color="auto"/>
            </w:tcBorders>
            <w:shd w:val="clear" w:color="auto" w:fill="auto"/>
            <w:vAlign w:val="bottom"/>
          </w:tcPr>
          <w:p w14:paraId="7D03D4C2" w14:textId="77777777" w:rsidR="00547D6D" w:rsidRPr="00872D7E" w:rsidRDefault="00547D6D" w:rsidP="00391341">
            <w:pPr>
              <w:rPr>
                <w:sz w:val="15"/>
                <w:szCs w:val="15"/>
              </w:rPr>
            </w:pPr>
          </w:p>
        </w:tc>
        <w:tc>
          <w:tcPr>
            <w:tcW w:w="982" w:type="pct"/>
            <w:tcBorders>
              <w:top w:val="nil"/>
              <w:left w:val="single" w:sz="4" w:space="0" w:color="auto"/>
              <w:bottom w:val="single" w:sz="4" w:space="0" w:color="auto"/>
              <w:right w:val="single" w:sz="4" w:space="0" w:color="auto"/>
            </w:tcBorders>
            <w:shd w:val="clear" w:color="auto" w:fill="auto"/>
            <w:vAlign w:val="bottom"/>
          </w:tcPr>
          <w:p w14:paraId="170607D9" w14:textId="77777777" w:rsidR="00547D6D" w:rsidRPr="00872D7E" w:rsidRDefault="00547D6D" w:rsidP="00391341">
            <w:pPr>
              <w:jc w:val="right"/>
              <w:rPr>
                <w:sz w:val="15"/>
                <w:szCs w:val="15"/>
              </w:rPr>
            </w:pPr>
          </w:p>
        </w:tc>
      </w:tr>
    </w:tbl>
    <w:p w14:paraId="61C0DE95" w14:textId="0D35BADD" w:rsidR="00D82AF9" w:rsidRPr="00872D7E" w:rsidRDefault="00D82AF9" w:rsidP="00391341">
      <w:pPr>
        <w:rPr>
          <w:sz w:val="16"/>
          <w:szCs w:val="16"/>
        </w:rPr>
      </w:pPr>
    </w:p>
    <w:p w14:paraId="251832A0" w14:textId="286A3D21" w:rsidR="00D82AF9" w:rsidRPr="00872D7E" w:rsidRDefault="00D82AF9" w:rsidP="00236C13">
      <w:pPr>
        <w:widowControl w:val="0"/>
        <w:ind w:left="567" w:hanging="567"/>
        <w:jc w:val="both"/>
        <w:rPr>
          <w:sz w:val="16"/>
          <w:szCs w:val="16"/>
        </w:rPr>
      </w:pPr>
      <w:r w:rsidRPr="00872D7E">
        <w:rPr>
          <w:sz w:val="16"/>
          <w:szCs w:val="16"/>
          <w:vertAlign w:val="superscript"/>
        </w:rPr>
        <w:t>(*)</w:t>
      </w:r>
      <w:r w:rsidR="006E15C8" w:rsidRPr="00872D7E">
        <w:rPr>
          <w:sz w:val="16"/>
          <w:szCs w:val="16"/>
          <w:vertAlign w:val="superscript"/>
        </w:rPr>
        <w:tab/>
      </w:r>
      <w:r w:rsidRPr="00872D7E">
        <w:rPr>
          <w:sz w:val="16"/>
          <w:szCs w:val="16"/>
        </w:rPr>
        <w:t>Ertelenmiş vergi geliri diğer vergi ve yasal yükümlülükler satırında gösterilmiştir. Kar dağıtımına konu edilmemesi gerekmekte olup olağanüstü yedekler içerisinde tutulmaktadır.</w:t>
      </w:r>
    </w:p>
    <w:p w14:paraId="2C5ADBB9" w14:textId="3DCBADA4" w:rsidR="00D82AF9" w:rsidRPr="00872D7E" w:rsidRDefault="00D82AF9" w:rsidP="00236C13">
      <w:pPr>
        <w:widowControl w:val="0"/>
        <w:ind w:left="567" w:hanging="567"/>
        <w:jc w:val="both"/>
        <w:rPr>
          <w:sz w:val="16"/>
          <w:szCs w:val="16"/>
        </w:rPr>
      </w:pPr>
      <w:r w:rsidRPr="00872D7E">
        <w:rPr>
          <w:sz w:val="16"/>
          <w:szCs w:val="16"/>
          <w:vertAlign w:val="superscript"/>
        </w:rPr>
        <w:t>(**)</w:t>
      </w:r>
      <w:r w:rsidR="006E15C8" w:rsidRPr="00872D7E">
        <w:rPr>
          <w:sz w:val="16"/>
          <w:szCs w:val="16"/>
        </w:rPr>
        <w:tab/>
      </w:r>
      <w:r w:rsidRPr="00872D7E">
        <w:rPr>
          <w:sz w:val="16"/>
          <w:szCs w:val="16"/>
        </w:rPr>
        <w:t>Cari döneme ait karın dağıtımı hakkında Banka’nın yetkili organı Genel Kurul’dur. Bu finansal tabloların düzenlendiği tarih itibarıyla Banka’nın yıllık Olağan Genel Kurul toplantısı henüz yapılmamıştır.</w:t>
      </w:r>
    </w:p>
    <w:p w14:paraId="16B68E16" w14:textId="7E5333D9" w:rsidR="00D82AF9" w:rsidRPr="00872D7E" w:rsidRDefault="006E15C8" w:rsidP="00236C13">
      <w:pPr>
        <w:widowControl w:val="0"/>
        <w:ind w:left="567" w:hanging="567"/>
        <w:jc w:val="both"/>
        <w:rPr>
          <w:sz w:val="16"/>
          <w:szCs w:val="16"/>
        </w:rPr>
      </w:pPr>
      <w:r w:rsidRPr="00872D7E">
        <w:rPr>
          <w:sz w:val="16"/>
          <w:szCs w:val="16"/>
          <w:vertAlign w:val="superscript"/>
        </w:rPr>
        <w:t>(***)</w:t>
      </w:r>
      <w:r w:rsidRPr="00872D7E">
        <w:rPr>
          <w:sz w:val="16"/>
          <w:szCs w:val="16"/>
        </w:rPr>
        <w:tab/>
        <w:t>İlgili dönem sonundaki hisse senedi adedi kullanılarak hesaplanmıştır.</w:t>
      </w:r>
      <w:r w:rsidRPr="00872D7E">
        <w:rPr>
          <w:sz w:val="16"/>
          <w:szCs w:val="16"/>
        </w:rPr>
        <w:tab/>
      </w:r>
    </w:p>
    <w:p w14:paraId="1D16F5DE" w14:textId="77777777" w:rsidR="00E020C0" w:rsidRPr="00872D7E" w:rsidRDefault="00E020C0" w:rsidP="008F5992">
      <w:pPr>
        <w:widowControl w:val="0"/>
        <w:jc w:val="center"/>
        <w:rPr>
          <w:sz w:val="16"/>
          <w:szCs w:val="16"/>
        </w:rPr>
      </w:pPr>
    </w:p>
    <w:p w14:paraId="099F8E62" w14:textId="77777777" w:rsidR="00236C13" w:rsidRPr="00872D7E" w:rsidRDefault="00236C13" w:rsidP="008F5992">
      <w:pPr>
        <w:widowControl w:val="0"/>
        <w:jc w:val="center"/>
        <w:rPr>
          <w:sz w:val="16"/>
          <w:szCs w:val="16"/>
        </w:rPr>
      </w:pPr>
    </w:p>
    <w:p w14:paraId="50BA46F9" w14:textId="77777777" w:rsidR="00236C13" w:rsidRPr="00872D7E" w:rsidRDefault="00236C13" w:rsidP="008F5992">
      <w:pPr>
        <w:widowControl w:val="0"/>
        <w:jc w:val="center"/>
        <w:rPr>
          <w:sz w:val="16"/>
          <w:szCs w:val="16"/>
        </w:rPr>
      </w:pPr>
    </w:p>
    <w:p w14:paraId="0F9C375F" w14:textId="77777777" w:rsidR="00236C13" w:rsidRPr="00872D7E" w:rsidRDefault="00236C13" w:rsidP="008F5992">
      <w:pPr>
        <w:widowControl w:val="0"/>
        <w:jc w:val="center"/>
        <w:rPr>
          <w:sz w:val="16"/>
          <w:szCs w:val="16"/>
        </w:rPr>
      </w:pPr>
    </w:p>
    <w:p w14:paraId="710105A3" w14:textId="2D11C09C" w:rsidR="00D82AF9" w:rsidRPr="00872D7E" w:rsidRDefault="00D82AF9" w:rsidP="008F5992">
      <w:pPr>
        <w:widowControl w:val="0"/>
        <w:jc w:val="center"/>
        <w:rPr>
          <w:sz w:val="16"/>
          <w:szCs w:val="16"/>
        </w:rPr>
        <w:sectPr w:rsidR="00D82AF9" w:rsidRPr="00872D7E" w:rsidSect="00504891">
          <w:headerReference w:type="even" r:id="rId61"/>
          <w:headerReference w:type="default" r:id="rId62"/>
          <w:footerReference w:type="even" r:id="rId63"/>
          <w:footerReference w:type="default" r:id="rId64"/>
          <w:headerReference w:type="first" r:id="rId65"/>
          <w:pgSz w:w="11907" w:h="16840" w:code="9"/>
          <w:pgMar w:top="851" w:right="851" w:bottom="851" w:left="1134" w:header="851" w:footer="851" w:gutter="0"/>
          <w:cols w:space="708"/>
          <w:titlePg/>
          <w:docGrid w:linePitch="360"/>
        </w:sectPr>
      </w:pPr>
      <w:r w:rsidRPr="00872D7E">
        <w:rPr>
          <w:szCs w:val="20"/>
        </w:rPr>
        <w:t>İlişikteki açıklama ve dipnotlar bu finansal tabloların tamamlayıcı bir parçasıdır</w:t>
      </w:r>
      <w:r w:rsidRPr="00872D7E">
        <w:rPr>
          <w:sz w:val="16"/>
          <w:szCs w:val="16"/>
        </w:rPr>
        <w:t>.</w:t>
      </w:r>
    </w:p>
    <w:p w14:paraId="21346882" w14:textId="55B2BD88" w:rsidR="000A410D" w:rsidRPr="00872D7E" w:rsidRDefault="000A410D" w:rsidP="00204048">
      <w:pPr>
        <w:pStyle w:val="BodyTextIndent"/>
        <w:widowControl w:val="0"/>
        <w:ind w:firstLine="0"/>
        <w:jc w:val="center"/>
        <w:rPr>
          <w:b/>
          <w:szCs w:val="20"/>
        </w:rPr>
      </w:pPr>
      <w:bookmarkStart w:id="18" w:name="_Hlk189745998"/>
      <w:bookmarkStart w:id="19" w:name="_Hlk189663184"/>
      <w:r w:rsidRPr="00872D7E">
        <w:rPr>
          <w:b/>
          <w:szCs w:val="20"/>
        </w:rPr>
        <w:lastRenderedPageBreak/>
        <w:t>ÜÇÜNCÜ BÖLÜM</w:t>
      </w:r>
    </w:p>
    <w:p w14:paraId="4CB5494A" w14:textId="77777777" w:rsidR="00F115B8" w:rsidRPr="00872D7E" w:rsidRDefault="00F115B8" w:rsidP="00204048">
      <w:pPr>
        <w:pStyle w:val="BodyTextIndent"/>
        <w:widowControl w:val="0"/>
        <w:ind w:firstLine="0"/>
        <w:jc w:val="center"/>
        <w:rPr>
          <w:b/>
          <w:szCs w:val="20"/>
        </w:rPr>
      </w:pPr>
    </w:p>
    <w:p w14:paraId="59E2528E" w14:textId="46863112" w:rsidR="00632D27" w:rsidRPr="00872D7E" w:rsidRDefault="008C6792" w:rsidP="00204048">
      <w:pPr>
        <w:pStyle w:val="BodyTextIndent"/>
        <w:widowControl w:val="0"/>
        <w:ind w:firstLine="0"/>
        <w:jc w:val="center"/>
        <w:rPr>
          <w:b/>
          <w:szCs w:val="20"/>
        </w:rPr>
      </w:pPr>
      <w:r w:rsidRPr="00872D7E">
        <w:rPr>
          <w:b/>
          <w:szCs w:val="20"/>
        </w:rPr>
        <w:t>MUHASEBE POLİTİKALARI</w:t>
      </w:r>
      <w:r w:rsidR="000A410D" w:rsidRPr="00872D7E">
        <w:rPr>
          <w:b/>
          <w:szCs w:val="20"/>
        </w:rPr>
        <w:t>NA İLİŞKİN AÇIKLAMALAR</w:t>
      </w:r>
    </w:p>
    <w:p w14:paraId="7FA8C580" w14:textId="77777777" w:rsidR="00204048" w:rsidRPr="00872D7E" w:rsidRDefault="00204048" w:rsidP="00204048">
      <w:pPr>
        <w:pStyle w:val="BodyTextIndent"/>
        <w:widowControl w:val="0"/>
        <w:ind w:firstLine="0"/>
        <w:rPr>
          <w:b/>
          <w:sz w:val="14"/>
          <w:szCs w:val="14"/>
        </w:rPr>
      </w:pPr>
    </w:p>
    <w:p w14:paraId="5A8606B3" w14:textId="32A06E32" w:rsidR="00632D27" w:rsidRPr="00872D7E" w:rsidRDefault="000A410D" w:rsidP="00204048">
      <w:pPr>
        <w:pStyle w:val="BodyText2"/>
        <w:widowControl w:val="0"/>
        <w:numPr>
          <w:ilvl w:val="4"/>
          <w:numId w:val="4"/>
        </w:numPr>
        <w:tabs>
          <w:tab w:val="clear" w:pos="3960"/>
        </w:tabs>
        <w:ind w:left="851" w:hanging="851"/>
      </w:pPr>
      <w:r w:rsidRPr="00872D7E">
        <w:t>SUNUM ESASLARINA İLİŞKİN AÇIKLAMALAR</w:t>
      </w:r>
    </w:p>
    <w:p w14:paraId="4FB0453C" w14:textId="1F189C1C" w:rsidR="0060139D" w:rsidRPr="00872D7E" w:rsidRDefault="0060139D" w:rsidP="00ED2040">
      <w:pPr>
        <w:jc w:val="both"/>
        <w:rPr>
          <w:sz w:val="12"/>
          <w:szCs w:val="16"/>
        </w:rPr>
      </w:pPr>
    </w:p>
    <w:p w14:paraId="16913C21" w14:textId="77777777" w:rsidR="0060139D" w:rsidRPr="00872D7E" w:rsidRDefault="0060139D" w:rsidP="00DF282B">
      <w:pPr>
        <w:pStyle w:val="ListParagraph"/>
        <w:numPr>
          <w:ilvl w:val="0"/>
          <w:numId w:val="81"/>
        </w:numPr>
        <w:spacing w:after="160" w:line="278" w:lineRule="auto"/>
        <w:ind w:left="851" w:hanging="425"/>
        <w:contextualSpacing/>
        <w:jc w:val="both"/>
        <w:rPr>
          <w:b/>
          <w:bCs/>
          <w:szCs w:val="20"/>
        </w:rPr>
      </w:pPr>
      <w:r w:rsidRPr="00872D7E">
        <w:rPr>
          <w:b/>
          <w:bCs/>
          <w:szCs w:val="20"/>
        </w:rPr>
        <w:t>Finansal tablolar ile bunlara ilişkin açıklama ve dipnotların Türkiye Muhasebe Standartları ve Bankaların Muhasebe Uygulamalarına ve Belgelerin Saklanmasına İlişkin Usul ve Esaslar Hakkında Yönetmeliğe uygun olarak hazırlanması</w:t>
      </w:r>
    </w:p>
    <w:p w14:paraId="2625E6A3" w14:textId="77777777" w:rsidR="00872F13" w:rsidRPr="00872D7E" w:rsidRDefault="00872F13" w:rsidP="00872F13">
      <w:pPr>
        <w:pStyle w:val="BodyText"/>
        <w:widowControl w:val="0"/>
        <w:ind w:left="851"/>
        <w:rPr>
          <w:color w:val="auto"/>
        </w:rPr>
      </w:pPr>
      <w:r w:rsidRPr="00872D7E">
        <w:rPr>
          <w:color w:val="auto"/>
        </w:rPr>
        <w:t xml:space="preserve">Banka, finansal tablolarını 1 Kasım 2006 tarihli ve 26333 sayılı Resmi </w:t>
      </w:r>
      <w:proofErr w:type="spellStart"/>
      <w:r w:rsidRPr="00872D7E">
        <w:rPr>
          <w:color w:val="auto"/>
        </w:rPr>
        <w:t>Gazete'de</w:t>
      </w:r>
      <w:proofErr w:type="spellEnd"/>
      <w:r w:rsidRPr="00872D7E">
        <w:rPr>
          <w:color w:val="auto"/>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Türkiye Finansal Raporlama Standartları (“TFRS”) hükümlerini içeren "BDDK Muhasebe ve Finansal Raporlama </w:t>
      </w:r>
      <w:proofErr w:type="spellStart"/>
      <w:r w:rsidRPr="00872D7E">
        <w:rPr>
          <w:color w:val="auto"/>
        </w:rPr>
        <w:t>Mevzuatı"na</w:t>
      </w:r>
      <w:proofErr w:type="spellEnd"/>
      <w:r w:rsidRPr="00872D7E">
        <w:rPr>
          <w:color w:val="auto"/>
        </w:rPr>
        <w:t xml:space="preserve"> ve 28 Haziran 2012 tarihli ve 28337 sayılı Resmi </w:t>
      </w:r>
      <w:proofErr w:type="spellStart"/>
      <w:r w:rsidRPr="00872D7E">
        <w:rPr>
          <w:color w:val="auto"/>
        </w:rPr>
        <w:t>Gazete’de</w:t>
      </w:r>
      <w:proofErr w:type="spellEnd"/>
      <w:r w:rsidRPr="00872D7E">
        <w:rPr>
          <w:color w:val="auto"/>
        </w:rPr>
        <w:t xml:space="preserve"> yayımlanan “Bankalarca Kamuya Açıklanacak Finansal Tablolar ile Bunlara İlişkin Açıklama ve Dipnotlar Hakkında Tebliğ” ve “Bankalarca Risk Yönetimine İlişkin Kamuya Yapılacak Açıklamalar Hakkında Tebliğ” ile bunlara ek ve değişiklikler getiren tebliğlere uygun olarak hazırlamıştır.</w:t>
      </w:r>
    </w:p>
    <w:p w14:paraId="170DAF71" w14:textId="77777777" w:rsidR="00872F13" w:rsidRPr="00872D7E" w:rsidRDefault="00872F13" w:rsidP="00872F13">
      <w:pPr>
        <w:pStyle w:val="BodyText"/>
        <w:widowControl w:val="0"/>
        <w:ind w:left="851"/>
        <w:rPr>
          <w:color w:val="auto"/>
          <w:sz w:val="14"/>
          <w:szCs w:val="14"/>
        </w:rPr>
      </w:pPr>
    </w:p>
    <w:p w14:paraId="03104CAF" w14:textId="77777777" w:rsidR="00872F13" w:rsidRPr="00872D7E" w:rsidRDefault="00872F13" w:rsidP="00872F13">
      <w:pPr>
        <w:pStyle w:val="BodyText"/>
        <w:widowControl w:val="0"/>
        <w:ind w:left="851"/>
        <w:rPr>
          <w:color w:val="auto"/>
        </w:rPr>
      </w:pPr>
      <w:r w:rsidRPr="00872D7E">
        <w:rPr>
          <w:color w:val="auto"/>
        </w:rPr>
        <w:t xml:space="preserve">Düzenlenen kamuya açıklanacak konsolide olmayan finansal tabloların biçim ve içerikleri ile bunların açıklama ve dipnotları 28 Haziran 2012 tarih ve 28337 sayılı Resmî </w:t>
      </w:r>
      <w:proofErr w:type="spellStart"/>
      <w:r w:rsidRPr="00872D7E">
        <w:rPr>
          <w:color w:val="auto"/>
        </w:rPr>
        <w:t>Gazete’de</w:t>
      </w:r>
      <w:proofErr w:type="spellEnd"/>
      <w:r w:rsidRPr="00872D7E">
        <w:rPr>
          <w:color w:val="auto"/>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 Konsolide olmayan finansal tablolar, gerçeğe uygun değerleri ile gösterilen finansal varlık ve yükümlülüklerin dışında, tarihi maliyet esası baz alınarak hazırlanmıştır.</w:t>
      </w:r>
    </w:p>
    <w:p w14:paraId="235A85C1" w14:textId="77777777" w:rsidR="00872F13" w:rsidRPr="00872D7E" w:rsidRDefault="00872F13" w:rsidP="00872F13">
      <w:pPr>
        <w:pStyle w:val="BodyText"/>
        <w:widowControl w:val="0"/>
        <w:ind w:left="851"/>
        <w:rPr>
          <w:color w:val="auto"/>
          <w:sz w:val="14"/>
          <w:szCs w:val="14"/>
        </w:rPr>
      </w:pPr>
    </w:p>
    <w:p w14:paraId="62CA0F16" w14:textId="77777777" w:rsidR="00872F13" w:rsidRPr="00872D7E" w:rsidRDefault="00872F13" w:rsidP="00872F13">
      <w:pPr>
        <w:pStyle w:val="BodyText"/>
        <w:widowControl w:val="0"/>
        <w:ind w:left="851"/>
        <w:rPr>
          <w:color w:val="auto"/>
        </w:rPr>
      </w:pPr>
      <w:r w:rsidRPr="00872D7E">
        <w:rPr>
          <w:color w:val="auto"/>
        </w:rPr>
        <w:t>Finansal tablolar, gerçeğe uygun değerleri ile gösterilen finansal varlıklar, yükümlülükler ve yeniden değerlenen gayrimenkuller dışında tarihi maliyet esası baz alınarak TL olarak hazırlanmıştır.</w:t>
      </w:r>
    </w:p>
    <w:p w14:paraId="7CB1A4E4" w14:textId="77777777" w:rsidR="00872F13" w:rsidRPr="00872D7E" w:rsidRDefault="00872F13" w:rsidP="00872F13">
      <w:pPr>
        <w:pStyle w:val="BodyText"/>
        <w:widowControl w:val="0"/>
        <w:ind w:left="851"/>
        <w:rPr>
          <w:color w:val="auto"/>
          <w:sz w:val="14"/>
          <w:szCs w:val="14"/>
        </w:rPr>
      </w:pPr>
    </w:p>
    <w:p w14:paraId="19E3C28B" w14:textId="460FC03B" w:rsidR="00204048" w:rsidRPr="00872D7E" w:rsidRDefault="00872F13" w:rsidP="00872F13">
      <w:pPr>
        <w:pStyle w:val="BodyText"/>
        <w:widowControl w:val="0"/>
        <w:tabs>
          <w:tab w:val="clear" w:pos="0"/>
          <w:tab w:val="clear" w:pos="567"/>
          <w:tab w:val="clear" w:pos="720"/>
        </w:tabs>
        <w:ind w:left="851"/>
        <w:rPr>
          <w:color w:val="auto"/>
        </w:rPr>
      </w:pPr>
      <w:r w:rsidRPr="00872D7E">
        <w:rPr>
          <w:color w:val="auto"/>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KGK, 23 Kasım 2023 tarihinde yaptığı duyuru ile, </w:t>
      </w:r>
      <w:proofErr w:type="spellStart"/>
      <w:r w:rsidRPr="00872D7E">
        <w:rPr>
          <w:color w:val="auto"/>
        </w:rPr>
        <w:t>TFRS’yi</w:t>
      </w:r>
      <w:proofErr w:type="spellEnd"/>
      <w:r w:rsidRPr="00872D7E">
        <w:rPr>
          <w:color w:val="auto"/>
        </w:rPr>
        <w:t xml:space="preserve"> uygulayan işletmelerin 31 Aralık 2023 tarihinde veya sonrasında sona eren yıllık raporlama dönemine ait finansal tablolarının TMS 29 standardında yer alan ilgili muhasebe ilkelerine uygun olarak enflasyon etkisine göre düzeltilerek sunulması gerektiğini, diğer yandan kendi alanlarında düzenleme ve denetleme yapmakla yetkili olan kurum ya da kuruluşların TMS 29 hükümlerinin uygulanmasına yönelik olarak farklı geçiş tarihleri belirleyebileceğini açıklamıştır. BDDK’nın 12 Aralık 2023 tarih ve 10744 sayılı kararıyla, bankalar ile finansal kiralama, </w:t>
      </w:r>
      <w:proofErr w:type="spellStart"/>
      <w:r w:rsidRPr="00872D7E">
        <w:rPr>
          <w:color w:val="auto"/>
        </w:rPr>
        <w:t>faktoring</w:t>
      </w:r>
      <w:proofErr w:type="spellEnd"/>
      <w:r w:rsidRPr="00872D7E">
        <w:rPr>
          <w:color w:val="auto"/>
        </w:rPr>
        <w:t xml:space="preserve">, finansman, tasarruf finansman ve varlık yönetim şirketlerinin 31 Aralık 2023 tarihli finansal tablolarının TMS 29 kapsamında yapılması gereken enflasyon düzeltmesine tabi tutulmayacağı, 11 Ocak 2024 tarih ve 10825 sayılı kararıyla ise, 1 Ocak 2025 tarihinden itibaren enflasyon muhasebesi uygulamasına geçileceği açıklanmıştır. Buna istinaden, 31 Aralık 2024 tarihli finansal tablolarda TMS 29 uygulanmamış ve enflasyon düzeltmesi yapılmamıştır. Bununla birlikte, BDDK’nın  5 Aralık 2024 tarih ve 11021 sayılı kararı uyarınca bankalar ile finansal kiralama, </w:t>
      </w:r>
      <w:proofErr w:type="spellStart"/>
      <w:r w:rsidRPr="00872D7E">
        <w:rPr>
          <w:color w:val="auto"/>
        </w:rPr>
        <w:t>faktoring</w:t>
      </w:r>
      <w:proofErr w:type="spellEnd"/>
      <w:r w:rsidRPr="00872D7E">
        <w:rPr>
          <w:color w:val="auto"/>
        </w:rPr>
        <w:t>, finansman, tasarruf finansman ve varlık yönetim şirketlerinin 2025 yılında da enflasyon muhasebesi uygulamamasına karar verilmiştir.</w:t>
      </w:r>
    </w:p>
    <w:p w14:paraId="4A6266B0" w14:textId="77777777" w:rsidR="0060139D" w:rsidRPr="00872D7E" w:rsidRDefault="0060139D" w:rsidP="00ED2040">
      <w:pPr>
        <w:pStyle w:val="BodyText"/>
        <w:widowControl w:val="0"/>
        <w:tabs>
          <w:tab w:val="clear" w:pos="0"/>
          <w:tab w:val="clear" w:pos="567"/>
          <w:tab w:val="clear" w:pos="720"/>
        </w:tabs>
        <w:ind w:left="851"/>
        <w:rPr>
          <w:color w:val="auto"/>
          <w:sz w:val="14"/>
          <w:szCs w:val="14"/>
        </w:rPr>
      </w:pPr>
    </w:p>
    <w:p w14:paraId="6FA64CCF" w14:textId="77777777" w:rsidR="0060139D" w:rsidRPr="00872D7E" w:rsidRDefault="0060139D" w:rsidP="00DF282B">
      <w:pPr>
        <w:pStyle w:val="ListParagraph"/>
        <w:numPr>
          <w:ilvl w:val="0"/>
          <w:numId w:val="81"/>
        </w:numPr>
        <w:spacing w:after="160" w:line="278" w:lineRule="auto"/>
        <w:ind w:left="868" w:hanging="434"/>
        <w:contextualSpacing/>
        <w:jc w:val="both"/>
        <w:rPr>
          <w:b/>
          <w:bCs/>
          <w:szCs w:val="20"/>
        </w:rPr>
      </w:pPr>
      <w:r w:rsidRPr="00872D7E">
        <w:rPr>
          <w:b/>
          <w:bCs/>
          <w:szCs w:val="20"/>
        </w:rPr>
        <w:t>Finansal tabloların hazırlanmasında izlenen muhasebe politikaları ve kullanılan değerleme esasları:</w:t>
      </w:r>
    </w:p>
    <w:p w14:paraId="38B6F071" w14:textId="6653BF57" w:rsidR="00FC2A9D" w:rsidRPr="00872D7E" w:rsidRDefault="00CE7522" w:rsidP="002235EF">
      <w:pPr>
        <w:widowControl w:val="0"/>
        <w:autoSpaceDE w:val="0"/>
        <w:autoSpaceDN w:val="0"/>
        <w:adjustRightInd w:val="0"/>
        <w:ind w:left="851"/>
        <w:jc w:val="both"/>
        <w:rPr>
          <w:szCs w:val="20"/>
        </w:rPr>
      </w:pPr>
      <w:bookmarkStart w:id="20" w:name="_Hlk40377250"/>
      <w:r w:rsidRPr="00872D7E">
        <w:rPr>
          <w:szCs w:val="20"/>
        </w:rPr>
        <w:t>Finansal tabloların hazırlanması, bilanço tarihi itibarıyla raporlanan aktif ve pasiflerin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r w:rsidR="00FC2A9D" w:rsidRPr="00872D7E">
        <w:rPr>
          <w:szCs w:val="20"/>
        </w:rPr>
        <w:br w:type="page"/>
      </w:r>
    </w:p>
    <w:p w14:paraId="5CB71D58" w14:textId="77777777" w:rsidR="000350F9" w:rsidRPr="00872D7E" w:rsidRDefault="000350F9" w:rsidP="000350F9">
      <w:pPr>
        <w:pStyle w:val="BodyTextIndent"/>
        <w:widowControl w:val="0"/>
        <w:ind w:firstLine="0"/>
        <w:jc w:val="left"/>
        <w:rPr>
          <w:b/>
          <w:szCs w:val="20"/>
        </w:rPr>
      </w:pPr>
      <w:r w:rsidRPr="00872D7E">
        <w:rPr>
          <w:b/>
          <w:szCs w:val="20"/>
        </w:rPr>
        <w:lastRenderedPageBreak/>
        <w:t>MUHASEBE POLİTİKALARINA İLİŞKİN AÇIKLAMALAR (Devamı)</w:t>
      </w:r>
    </w:p>
    <w:p w14:paraId="77EDA589" w14:textId="77777777" w:rsidR="000350F9" w:rsidRPr="00872D7E" w:rsidRDefault="000350F9" w:rsidP="000350F9">
      <w:pPr>
        <w:pStyle w:val="BodyTextIndent"/>
        <w:widowControl w:val="0"/>
        <w:ind w:firstLine="0"/>
        <w:jc w:val="right"/>
        <w:rPr>
          <w:b/>
          <w:sz w:val="16"/>
          <w:szCs w:val="16"/>
        </w:rPr>
      </w:pPr>
    </w:p>
    <w:p w14:paraId="72F48089" w14:textId="77777777" w:rsidR="000350F9" w:rsidRPr="00872D7E" w:rsidRDefault="000350F9" w:rsidP="00DF282B">
      <w:pPr>
        <w:pStyle w:val="BodyText2"/>
        <w:widowControl w:val="0"/>
        <w:numPr>
          <w:ilvl w:val="0"/>
          <w:numId w:val="44"/>
        </w:numPr>
        <w:ind w:left="851" w:hanging="851"/>
      </w:pPr>
      <w:r w:rsidRPr="00872D7E">
        <w:t>SUNUM ESASLARINA İLİŞKİN AÇIKLAMALAR (Devamı)</w:t>
      </w:r>
    </w:p>
    <w:p w14:paraId="6B1278E0" w14:textId="77777777" w:rsidR="000350F9" w:rsidRPr="00872D7E" w:rsidRDefault="000350F9">
      <w:pPr>
        <w:rPr>
          <w:szCs w:val="20"/>
        </w:rPr>
      </w:pPr>
    </w:p>
    <w:p w14:paraId="7CAD63D6" w14:textId="77777777" w:rsidR="0060139D" w:rsidRPr="00872D7E" w:rsidRDefault="0060139D" w:rsidP="00DF282B">
      <w:pPr>
        <w:pStyle w:val="ListParagraph"/>
        <w:numPr>
          <w:ilvl w:val="0"/>
          <w:numId w:val="81"/>
        </w:numPr>
        <w:spacing w:after="160" w:line="278" w:lineRule="auto"/>
        <w:ind w:left="868" w:hanging="420"/>
        <w:contextualSpacing/>
        <w:rPr>
          <w:b/>
          <w:bCs/>
          <w:szCs w:val="20"/>
        </w:rPr>
      </w:pPr>
      <w:r w:rsidRPr="00872D7E">
        <w:rPr>
          <w:b/>
          <w:bCs/>
          <w:szCs w:val="20"/>
        </w:rPr>
        <w:t>Karşılaştırmalı bilgiler ve sınıflamalar:</w:t>
      </w:r>
    </w:p>
    <w:p w14:paraId="1E321577" w14:textId="709FFC20" w:rsidR="00303606" w:rsidRPr="00872D7E" w:rsidRDefault="003B079B" w:rsidP="004C3C53">
      <w:pPr>
        <w:ind w:left="868"/>
        <w:jc w:val="both"/>
        <w:rPr>
          <w:szCs w:val="20"/>
        </w:rPr>
      </w:pPr>
      <w:bookmarkStart w:id="21" w:name="_Hlk167274635"/>
      <w:r w:rsidRPr="00872D7E">
        <w:rPr>
          <w:szCs w:val="20"/>
        </w:rPr>
        <w:t xml:space="preserve">Banka’nın 25 Temmuz 2023 tarihinde AHL </w:t>
      </w:r>
      <w:proofErr w:type="spellStart"/>
      <w:r w:rsidRPr="00872D7E">
        <w:rPr>
          <w:szCs w:val="20"/>
        </w:rPr>
        <w:t>Ahlat</w:t>
      </w:r>
      <w:r w:rsidR="0097685D" w:rsidRPr="00872D7E">
        <w:rPr>
          <w:szCs w:val="20"/>
        </w:rPr>
        <w:t>c</w:t>
      </w:r>
      <w:r w:rsidRPr="00872D7E">
        <w:rPr>
          <w:szCs w:val="20"/>
        </w:rPr>
        <w:t>ı</w:t>
      </w:r>
      <w:proofErr w:type="spellEnd"/>
      <w:r w:rsidRPr="00872D7E">
        <w:rPr>
          <w:szCs w:val="20"/>
        </w:rPr>
        <w:t xml:space="preserve"> Finansal Yönetim </w:t>
      </w:r>
      <w:proofErr w:type="spellStart"/>
      <w:r w:rsidRPr="00872D7E">
        <w:rPr>
          <w:szCs w:val="20"/>
        </w:rPr>
        <w:t>A.Ş.’ye</w:t>
      </w:r>
      <w:proofErr w:type="spellEnd"/>
      <w:r w:rsidRPr="00872D7E">
        <w:rPr>
          <w:szCs w:val="20"/>
        </w:rPr>
        <w:t xml:space="preserve"> devredilmesi sonrası </w:t>
      </w:r>
      <w:r w:rsidR="007C53D5" w:rsidRPr="00872D7E">
        <w:rPr>
          <w:szCs w:val="20"/>
        </w:rPr>
        <w:br/>
      </w:r>
      <w:r w:rsidRPr="00872D7E">
        <w:rPr>
          <w:szCs w:val="20"/>
        </w:rPr>
        <w:t xml:space="preserve">28 Kasım 2024 tarih ve 32383 sayılı </w:t>
      </w:r>
      <w:r w:rsidR="00B21AE8" w:rsidRPr="00872D7E">
        <w:rPr>
          <w:szCs w:val="20"/>
        </w:rPr>
        <w:t>Resmî</w:t>
      </w:r>
      <w:r w:rsidRPr="00872D7E">
        <w:rPr>
          <w:szCs w:val="20"/>
        </w:rPr>
        <w:t xml:space="preserve"> </w:t>
      </w:r>
      <w:proofErr w:type="spellStart"/>
      <w:r w:rsidRPr="00872D7E">
        <w:rPr>
          <w:szCs w:val="20"/>
        </w:rPr>
        <w:t>Gazete’de</w:t>
      </w:r>
      <w:proofErr w:type="spellEnd"/>
      <w:r w:rsidRPr="00872D7E">
        <w:rPr>
          <w:szCs w:val="20"/>
        </w:rPr>
        <w:t xml:space="preserve"> yayımlanan BDDK kararıyla bankanın mevduat bankası olan niteliği katılım bankası olarak değiştirilmiş ve bu karar 28 Kasım 2023 tarihli ve 32383 sayılı Resmî Gazetede yayımlanarak yürürlüğe girmiştir. Ancak Banka, katılım bankacılığı usul ve esaslarına uyum faaliyetleri ve muhasebe sistemi değişikliği entegrasyonun devam etmesi sebebiyle 2023 yılı içerisinde katılım bankacılığı faaliyetlerine başlayamamıştır. 1 Ocak 2024 tarihi itibarıyla ilgili geçiş süreçlerin tamamlanması neticesinde Banka, katılım bankacılığı faaliyetlerine başlamıştır. Bu kapsamda, Banka’nın 31 Aralık 2023 yılı konsolide olmayan finansal tabloları ve dipnotları Bankalarca Kamuya Açıklanacak Finansal Tablolar </w:t>
      </w:r>
      <w:proofErr w:type="gramStart"/>
      <w:r w:rsidRPr="00872D7E">
        <w:rPr>
          <w:szCs w:val="20"/>
        </w:rPr>
        <w:t>İle</w:t>
      </w:r>
      <w:proofErr w:type="gramEnd"/>
      <w:r w:rsidRPr="00872D7E">
        <w:rPr>
          <w:szCs w:val="20"/>
        </w:rPr>
        <w:t xml:space="preserve"> Bunlara İlişkin Açıklama Ve Dipnotlar Hakkında Tebliğinde yer alan ve mevduat bankalarının açıklamakla yükümlü oldukları finansal tablo ve dipnotlara uygun olarak sunulmuş</w:t>
      </w:r>
      <w:r w:rsidR="004C3C53" w:rsidRPr="00872D7E">
        <w:rPr>
          <w:szCs w:val="20"/>
        </w:rPr>
        <w:t>tur.</w:t>
      </w:r>
      <w:r w:rsidRPr="00872D7E">
        <w:rPr>
          <w:szCs w:val="20"/>
        </w:rPr>
        <w:t xml:space="preserve"> </w:t>
      </w:r>
    </w:p>
    <w:bookmarkEnd w:id="18"/>
    <w:p w14:paraId="3E2BD22B" w14:textId="77777777" w:rsidR="00303606" w:rsidRPr="00872D7E" w:rsidRDefault="00303606" w:rsidP="004C3C53">
      <w:pPr>
        <w:ind w:left="868"/>
        <w:jc w:val="both"/>
        <w:rPr>
          <w:szCs w:val="20"/>
        </w:rPr>
      </w:pPr>
    </w:p>
    <w:p w14:paraId="4D7D6C31" w14:textId="5C43ADDF" w:rsidR="00303606" w:rsidRPr="00872D7E" w:rsidRDefault="00303606" w:rsidP="004C3C53">
      <w:pPr>
        <w:ind w:left="868"/>
        <w:jc w:val="both"/>
        <w:rPr>
          <w:szCs w:val="20"/>
        </w:rPr>
      </w:pPr>
      <w:r w:rsidRPr="00872D7E">
        <w:rPr>
          <w:szCs w:val="20"/>
        </w:rPr>
        <w:t xml:space="preserve">Banka’nın </w:t>
      </w:r>
      <w:r w:rsidR="00B07002" w:rsidRPr="00872D7E">
        <w:rPr>
          <w:szCs w:val="20"/>
        </w:rPr>
        <w:t>31 Aralık</w:t>
      </w:r>
      <w:r w:rsidR="007301E4" w:rsidRPr="00872D7E">
        <w:rPr>
          <w:szCs w:val="20"/>
        </w:rPr>
        <w:t xml:space="preserve"> </w:t>
      </w:r>
      <w:r w:rsidRPr="00872D7E">
        <w:rPr>
          <w:szCs w:val="20"/>
        </w:rPr>
        <w:t xml:space="preserve">2024 dönemine ait konsolide olmayan </w:t>
      </w:r>
      <w:r w:rsidR="00843819" w:rsidRPr="00872D7E">
        <w:rPr>
          <w:szCs w:val="20"/>
        </w:rPr>
        <w:t>finansal durum tablosu</w:t>
      </w:r>
      <w:r w:rsidRPr="00872D7E">
        <w:rPr>
          <w:szCs w:val="20"/>
        </w:rPr>
        <w:t>, kar veya zarar tablosu, kar veya zarar ve diğer kapsamlı gelir tablosu, özkaynaklar değişim tablosu</w:t>
      </w:r>
      <w:r w:rsidR="00516846" w:rsidRPr="00872D7E">
        <w:rPr>
          <w:szCs w:val="20"/>
        </w:rPr>
        <w:t xml:space="preserve">, </w:t>
      </w:r>
      <w:r w:rsidRPr="00872D7E">
        <w:rPr>
          <w:szCs w:val="20"/>
        </w:rPr>
        <w:t>nakit akış tablosu</w:t>
      </w:r>
      <w:r w:rsidR="00516846" w:rsidRPr="00872D7E">
        <w:rPr>
          <w:szCs w:val="20"/>
        </w:rPr>
        <w:t xml:space="preserve"> ve kar dağıtım tablosu</w:t>
      </w:r>
      <w:r w:rsidRPr="00872D7E">
        <w:rPr>
          <w:szCs w:val="20"/>
        </w:rPr>
        <w:t xml:space="preserve"> ile konsolide olmayan finansal tablo dipnotları ise Bankalarca Kamuya Açıklanacak Finansal Tablolar </w:t>
      </w:r>
      <w:proofErr w:type="gramStart"/>
      <w:r w:rsidRPr="00872D7E">
        <w:rPr>
          <w:szCs w:val="20"/>
        </w:rPr>
        <w:t>İle</w:t>
      </w:r>
      <w:proofErr w:type="gramEnd"/>
      <w:r w:rsidRPr="00872D7E">
        <w:rPr>
          <w:szCs w:val="20"/>
        </w:rPr>
        <w:t xml:space="preserve"> Bunlara İlişkin Açıklama Ve Dipnotlar Hakkında Tebliğinde yer alan ve katılım bankalarının uyması gereken şekil ve içeriğe uygun olarak hazırlanmıştır. Banka’nın</w:t>
      </w:r>
      <w:r w:rsidR="00843819" w:rsidRPr="00872D7E">
        <w:rPr>
          <w:szCs w:val="20"/>
        </w:rPr>
        <w:t xml:space="preserve"> yukarıda açıklanan</w:t>
      </w:r>
      <w:r w:rsidRPr="00872D7E">
        <w:rPr>
          <w:szCs w:val="20"/>
        </w:rPr>
        <w:t xml:space="preserve"> statü </w:t>
      </w:r>
      <w:r w:rsidR="00E30621" w:rsidRPr="00872D7E">
        <w:rPr>
          <w:szCs w:val="20"/>
        </w:rPr>
        <w:t>değişikliği nedeniyle cari dönem konsolide olmayan finansal tabloları</w:t>
      </w:r>
      <w:r w:rsidR="00843819" w:rsidRPr="00872D7E">
        <w:rPr>
          <w:szCs w:val="20"/>
        </w:rPr>
        <w:t>, finansal durum tablosu haricinde</w:t>
      </w:r>
      <w:r w:rsidR="00E30621" w:rsidRPr="00872D7E">
        <w:rPr>
          <w:szCs w:val="20"/>
        </w:rPr>
        <w:t xml:space="preserve"> bir önceki dönem ile karşılaştırmalı sunulmamıştır. Bununla birlikte</w:t>
      </w:r>
      <w:r w:rsidR="00843819" w:rsidRPr="00872D7E">
        <w:rPr>
          <w:szCs w:val="20"/>
        </w:rPr>
        <w:t>,</w:t>
      </w:r>
      <w:r w:rsidR="00E30621" w:rsidRPr="00872D7E">
        <w:rPr>
          <w:szCs w:val="20"/>
        </w:rPr>
        <w:t xml:space="preserve"> Banka’nın </w:t>
      </w:r>
      <w:r w:rsidR="003B079B" w:rsidRPr="00872D7E">
        <w:rPr>
          <w:szCs w:val="20"/>
        </w:rPr>
        <w:t xml:space="preserve">1 Ocak 2024 tarihi itibarıyla konsolide olmayan açılış </w:t>
      </w:r>
      <w:r w:rsidR="00843819" w:rsidRPr="00872D7E">
        <w:rPr>
          <w:szCs w:val="20"/>
        </w:rPr>
        <w:t xml:space="preserve">finansal durum tablosu cari dönem ile karşılaştırmalı olarak </w:t>
      </w:r>
      <w:r w:rsidR="00E30621" w:rsidRPr="00872D7E">
        <w:rPr>
          <w:szCs w:val="20"/>
        </w:rPr>
        <w:t xml:space="preserve">sunulmuştur. Banka’nın 1 Ocak 2024 tarihli bilançosu ile statü değişikliği öncesi yayımlanan 31 Aralık 2023 tarihli bilançosundaki sınıflandırma farklılıklarının </w:t>
      </w:r>
      <w:r w:rsidR="003B079B" w:rsidRPr="00872D7E">
        <w:rPr>
          <w:szCs w:val="20"/>
        </w:rPr>
        <w:t>mutabakatı aşağıdaki gibidir:</w:t>
      </w:r>
    </w:p>
    <w:bookmarkEnd w:id="19"/>
    <w:p w14:paraId="75951722" w14:textId="77777777" w:rsidR="00303606" w:rsidRPr="00872D7E" w:rsidRDefault="00303606" w:rsidP="004C3C53">
      <w:pPr>
        <w:ind w:left="868"/>
        <w:jc w:val="both"/>
        <w:rPr>
          <w:szCs w:val="20"/>
        </w:rPr>
      </w:pPr>
    </w:p>
    <w:tbl>
      <w:tblPr>
        <w:tblW w:w="4532" w:type="pct"/>
        <w:tblInd w:w="835" w:type="dxa"/>
        <w:tblLayout w:type="fixed"/>
        <w:tblLook w:val="04A0" w:firstRow="1" w:lastRow="0" w:firstColumn="1" w:lastColumn="0" w:noHBand="0" w:noVBand="1"/>
      </w:tblPr>
      <w:tblGrid>
        <w:gridCol w:w="3130"/>
        <w:gridCol w:w="1269"/>
        <w:gridCol w:w="3247"/>
        <w:gridCol w:w="1082"/>
      </w:tblGrid>
      <w:tr w:rsidR="00303606" w:rsidRPr="00872D7E" w14:paraId="22AEAFCD" w14:textId="77777777" w:rsidTr="0097685D">
        <w:trPr>
          <w:trHeight w:val="113"/>
        </w:trPr>
        <w:tc>
          <w:tcPr>
            <w:tcW w:w="17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576A0" w14:textId="77777777" w:rsidR="00303606" w:rsidRPr="00872D7E" w:rsidRDefault="00303606" w:rsidP="002402EB">
            <w:pPr>
              <w:ind w:left="-66"/>
              <w:rPr>
                <w:b/>
                <w:bCs/>
                <w:color w:val="000000"/>
                <w:sz w:val="16"/>
                <w:szCs w:val="16"/>
              </w:rPr>
            </w:pPr>
            <w:r w:rsidRPr="00872D7E">
              <w:rPr>
                <w:b/>
                <w:bCs/>
                <w:color w:val="000000"/>
                <w:sz w:val="16"/>
                <w:szCs w:val="16"/>
              </w:rPr>
              <w:t>Varlıklar </w:t>
            </w:r>
          </w:p>
        </w:tc>
        <w:tc>
          <w:tcPr>
            <w:tcW w:w="727" w:type="pct"/>
            <w:tcBorders>
              <w:top w:val="single" w:sz="4" w:space="0" w:color="auto"/>
              <w:left w:val="nil"/>
              <w:bottom w:val="single" w:sz="4" w:space="0" w:color="auto"/>
              <w:right w:val="single" w:sz="4" w:space="0" w:color="auto"/>
            </w:tcBorders>
            <w:shd w:val="clear" w:color="auto" w:fill="auto"/>
            <w:noWrap/>
            <w:vAlign w:val="bottom"/>
            <w:hideMark/>
          </w:tcPr>
          <w:p w14:paraId="2DC4BAF5" w14:textId="77777777" w:rsidR="00303606" w:rsidRPr="00872D7E" w:rsidRDefault="00303606" w:rsidP="002402EB">
            <w:pPr>
              <w:ind w:right="-64"/>
              <w:jc w:val="right"/>
              <w:rPr>
                <w:b/>
                <w:bCs/>
                <w:color w:val="000000"/>
                <w:sz w:val="16"/>
                <w:szCs w:val="16"/>
              </w:rPr>
            </w:pPr>
            <w:r w:rsidRPr="00872D7E">
              <w:rPr>
                <w:b/>
                <w:bCs/>
                <w:color w:val="000000"/>
                <w:sz w:val="16"/>
                <w:szCs w:val="16"/>
              </w:rPr>
              <w:t>31 Aralık 2023</w:t>
            </w:r>
          </w:p>
        </w:tc>
        <w:tc>
          <w:tcPr>
            <w:tcW w:w="1860" w:type="pct"/>
            <w:tcBorders>
              <w:top w:val="single" w:sz="4" w:space="0" w:color="auto"/>
              <w:left w:val="nil"/>
              <w:bottom w:val="single" w:sz="4" w:space="0" w:color="auto"/>
              <w:right w:val="single" w:sz="4" w:space="0" w:color="auto"/>
            </w:tcBorders>
            <w:shd w:val="clear" w:color="auto" w:fill="auto"/>
            <w:noWrap/>
            <w:vAlign w:val="bottom"/>
            <w:hideMark/>
          </w:tcPr>
          <w:p w14:paraId="6F4512F5" w14:textId="77777777" w:rsidR="00303606" w:rsidRPr="00872D7E" w:rsidRDefault="00303606" w:rsidP="002402EB">
            <w:pPr>
              <w:ind w:right="-64"/>
              <w:rPr>
                <w:b/>
                <w:bCs/>
                <w:color w:val="000000"/>
                <w:sz w:val="16"/>
                <w:szCs w:val="16"/>
              </w:rPr>
            </w:pPr>
            <w:r w:rsidRPr="00872D7E">
              <w:rPr>
                <w:b/>
                <w:bCs/>
                <w:color w:val="000000"/>
                <w:sz w:val="16"/>
                <w:szCs w:val="16"/>
              </w:rPr>
              <w:t>Varlıklar</w:t>
            </w:r>
          </w:p>
        </w:tc>
        <w:tc>
          <w:tcPr>
            <w:tcW w:w="620" w:type="pct"/>
            <w:tcBorders>
              <w:top w:val="single" w:sz="4" w:space="0" w:color="auto"/>
              <w:left w:val="nil"/>
              <w:bottom w:val="single" w:sz="4" w:space="0" w:color="auto"/>
              <w:right w:val="single" w:sz="4" w:space="0" w:color="auto"/>
            </w:tcBorders>
            <w:shd w:val="clear" w:color="auto" w:fill="auto"/>
            <w:noWrap/>
            <w:vAlign w:val="bottom"/>
            <w:hideMark/>
          </w:tcPr>
          <w:p w14:paraId="47F5258F" w14:textId="77777777" w:rsidR="00303606" w:rsidRPr="00872D7E" w:rsidRDefault="00303606" w:rsidP="002402EB">
            <w:pPr>
              <w:ind w:right="-64"/>
              <w:jc w:val="right"/>
              <w:rPr>
                <w:b/>
                <w:bCs/>
                <w:color w:val="000000"/>
                <w:sz w:val="16"/>
                <w:szCs w:val="16"/>
              </w:rPr>
            </w:pPr>
            <w:r w:rsidRPr="00872D7E">
              <w:rPr>
                <w:b/>
                <w:bCs/>
                <w:color w:val="000000"/>
                <w:sz w:val="16"/>
                <w:szCs w:val="16"/>
              </w:rPr>
              <w:t>1 Ocak 2024</w:t>
            </w:r>
          </w:p>
        </w:tc>
      </w:tr>
      <w:tr w:rsidR="00303606" w:rsidRPr="00872D7E" w14:paraId="3C2E033D"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229AFE93" w14:textId="1343277F" w:rsidR="00303606" w:rsidRPr="00872D7E" w:rsidRDefault="00303606" w:rsidP="002402EB">
            <w:pPr>
              <w:ind w:left="-66"/>
              <w:rPr>
                <w:color w:val="000000"/>
                <w:sz w:val="16"/>
                <w:szCs w:val="16"/>
              </w:rPr>
            </w:pPr>
            <w:r w:rsidRPr="00872D7E">
              <w:rPr>
                <w:color w:val="000000"/>
                <w:sz w:val="16"/>
                <w:szCs w:val="16"/>
              </w:rPr>
              <w:t xml:space="preserve">Nakit </w:t>
            </w:r>
            <w:r w:rsidR="00CE7522" w:rsidRPr="00872D7E">
              <w:rPr>
                <w:color w:val="000000"/>
                <w:sz w:val="16"/>
                <w:szCs w:val="16"/>
              </w:rPr>
              <w:t>ve</w:t>
            </w:r>
            <w:r w:rsidRPr="00872D7E">
              <w:rPr>
                <w:color w:val="000000"/>
                <w:sz w:val="16"/>
                <w:szCs w:val="16"/>
              </w:rPr>
              <w:t xml:space="preserve"> Nakit Benzerleri</w:t>
            </w:r>
          </w:p>
        </w:tc>
        <w:tc>
          <w:tcPr>
            <w:tcW w:w="727" w:type="pct"/>
            <w:tcBorders>
              <w:top w:val="nil"/>
              <w:left w:val="nil"/>
              <w:bottom w:val="single" w:sz="4" w:space="0" w:color="auto"/>
              <w:right w:val="single" w:sz="4" w:space="0" w:color="auto"/>
            </w:tcBorders>
            <w:shd w:val="clear" w:color="auto" w:fill="auto"/>
            <w:noWrap/>
            <w:vAlign w:val="bottom"/>
            <w:hideMark/>
          </w:tcPr>
          <w:p w14:paraId="2F252299" w14:textId="77777777" w:rsidR="00303606" w:rsidRPr="00872D7E" w:rsidRDefault="00303606" w:rsidP="002402EB">
            <w:pPr>
              <w:ind w:right="-64"/>
              <w:jc w:val="right"/>
              <w:rPr>
                <w:color w:val="000000"/>
                <w:sz w:val="16"/>
                <w:szCs w:val="16"/>
              </w:rPr>
            </w:pPr>
            <w:r w:rsidRPr="00872D7E">
              <w:rPr>
                <w:color w:val="000000"/>
                <w:sz w:val="16"/>
                <w:szCs w:val="16"/>
              </w:rPr>
              <w:t>442.603</w:t>
            </w:r>
          </w:p>
        </w:tc>
        <w:tc>
          <w:tcPr>
            <w:tcW w:w="1860" w:type="pct"/>
            <w:tcBorders>
              <w:top w:val="nil"/>
              <w:left w:val="nil"/>
              <w:bottom w:val="single" w:sz="4" w:space="0" w:color="auto"/>
              <w:right w:val="single" w:sz="4" w:space="0" w:color="auto"/>
            </w:tcBorders>
            <w:shd w:val="clear" w:color="auto" w:fill="auto"/>
            <w:noWrap/>
            <w:vAlign w:val="bottom"/>
            <w:hideMark/>
          </w:tcPr>
          <w:p w14:paraId="3EAD0F37" w14:textId="77E66739" w:rsidR="00303606" w:rsidRPr="00872D7E" w:rsidRDefault="00303606" w:rsidP="002402EB">
            <w:pPr>
              <w:ind w:right="-64"/>
              <w:rPr>
                <w:color w:val="000000"/>
                <w:sz w:val="16"/>
                <w:szCs w:val="16"/>
              </w:rPr>
            </w:pPr>
            <w:r w:rsidRPr="00872D7E">
              <w:rPr>
                <w:color w:val="000000"/>
                <w:sz w:val="16"/>
                <w:szCs w:val="16"/>
              </w:rPr>
              <w:t xml:space="preserve">Nakit </w:t>
            </w:r>
            <w:r w:rsidR="00CE7522" w:rsidRPr="00872D7E">
              <w:rPr>
                <w:color w:val="000000"/>
                <w:sz w:val="16"/>
                <w:szCs w:val="16"/>
              </w:rPr>
              <w:t>ve</w:t>
            </w:r>
            <w:r w:rsidRPr="00872D7E">
              <w:rPr>
                <w:color w:val="000000"/>
                <w:sz w:val="16"/>
                <w:szCs w:val="16"/>
              </w:rPr>
              <w:t xml:space="preserve"> Nakit Benzerleri</w:t>
            </w:r>
          </w:p>
        </w:tc>
        <w:tc>
          <w:tcPr>
            <w:tcW w:w="620" w:type="pct"/>
            <w:tcBorders>
              <w:top w:val="nil"/>
              <w:left w:val="nil"/>
              <w:bottom w:val="single" w:sz="4" w:space="0" w:color="auto"/>
              <w:right w:val="single" w:sz="4" w:space="0" w:color="auto"/>
            </w:tcBorders>
            <w:shd w:val="clear" w:color="auto" w:fill="auto"/>
            <w:noWrap/>
            <w:vAlign w:val="bottom"/>
            <w:hideMark/>
          </w:tcPr>
          <w:p w14:paraId="102D7D56" w14:textId="77777777" w:rsidR="00303606" w:rsidRPr="00872D7E" w:rsidRDefault="00303606" w:rsidP="002402EB">
            <w:pPr>
              <w:ind w:right="-64"/>
              <w:jc w:val="right"/>
              <w:rPr>
                <w:color w:val="000000"/>
                <w:sz w:val="16"/>
                <w:szCs w:val="16"/>
              </w:rPr>
            </w:pPr>
            <w:r w:rsidRPr="00872D7E">
              <w:rPr>
                <w:color w:val="000000"/>
                <w:sz w:val="16"/>
                <w:szCs w:val="16"/>
              </w:rPr>
              <w:t>442.603</w:t>
            </w:r>
          </w:p>
        </w:tc>
      </w:tr>
      <w:tr w:rsidR="00303606" w:rsidRPr="00872D7E" w14:paraId="2D931B1A"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4C3F2170" w14:textId="77777777" w:rsidR="00303606" w:rsidRPr="00872D7E" w:rsidRDefault="00303606" w:rsidP="002402EB">
            <w:pPr>
              <w:ind w:left="-66"/>
              <w:rPr>
                <w:color w:val="000000"/>
                <w:sz w:val="16"/>
                <w:szCs w:val="16"/>
              </w:rPr>
            </w:pPr>
            <w:r w:rsidRPr="00872D7E">
              <w:rPr>
                <w:color w:val="000000"/>
                <w:sz w:val="16"/>
                <w:szCs w:val="16"/>
              </w:rPr>
              <w:t xml:space="preserve">Gerçeğe Uygun Değer Farkı Kâr Zarara Yansıtılan Finansal Varlıklar </w:t>
            </w:r>
          </w:p>
        </w:tc>
        <w:tc>
          <w:tcPr>
            <w:tcW w:w="727" w:type="pct"/>
            <w:tcBorders>
              <w:top w:val="nil"/>
              <w:left w:val="nil"/>
              <w:bottom w:val="single" w:sz="4" w:space="0" w:color="auto"/>
              <w:right w:val="single" w:sz="4" w:space="0" w:color="auto"/>
            </w:tcBorders>
            <w:shd w:val="clear" w:color="auto" w:fill="auto"/>
            <w:noWrap/>
            <w:vAlign w:val="bottom"/>
            <w:hideMark/>
          </w:tcPr>
          <w:p w14:paraId="2CF29D35" w14:textId="77777777" w:rsidR="00303606" w:rsidRPr="00872D7E" w:rsidRDefault="00303606" w:rsidP="002402EB">
            <w:pPr>
              <w:ind w:right="-64"/>
              <w:jc w:val="right"/>
              <w:rPr>
                <w:color w:val="000000"/>
                <w:sz w:val="16"/>
                <w:szCs w:val="16"/>
              </w:rPr>
            </w:pPr>
            <w:r w:rsidRPr="00872D7E">
              <w:rPr>
                <w:color w:val="000000"/>
                <w:sz w:val="16"/>
                <w:szCs w:val="16"/>
              </w:rPr>
              <w:t>111.358</w:t>
            </w:r>
          </w:p>
        </w:tc>
        <w:tc>
          <w:tcPr>
            <w:tcW w:w="1860" w:type="pct"/>
            <w:tcBorders>
              <w:top w:val="nil"/>
              <w:left w:val="nil"/>
              <w:bottom w:val="single" w:sz="4" w:space="0" w:color="auto"/>
              <w:right w:val="single" w:sz="4" w:space="0" w:color="auto"/>
            </w:tcBorders>
            <w:shd w:val="clear" w:color="auto" w:fill="auto"/>
            <w:noWrap/>
            <w:vAlign w:val="bottom"/>
            <w:hideMark/>
          </w:tcPr>
          <w:p w14:paraId="7285B3B9" w14:textId="77777777" w:rsidR="00303606" w:rsidRPr="00872D7E" w:rsidRDefault="00303606" w:rsidP="002402EB">
            <w:pPr>
              <w:ind w:right="-64"/>
              <w:rPr>
                <w:color w:val="000000"/>
                <w:sz w:val="16"/>
                <w:szCs w:val="16"/>
              </w:rPr>
            </w:pPr>
            <w:r w:rsidRPr="00872D7E">
              <w:rPr>
                <w:color w:val="000000"/>
                <w:sz w:val="16"/>
                <w:szCs w:val="16"/>
              </w:rPr>
              <w:t>Gerçeğe Uygun Değer Farkı Kâr Zarara Yansıtılan Finansal Varlıklar</w:t>
            </w:r>
          </w:p>
        </w:tc>
        <w:tc>
          <w:tcPr>
            <w:tcW w:w="620" w:type="pct"/>
            <w:tcBorders>
              <w:top w:val="nil"/>
              <w:left w:val="nil"/>
              <w:bottom w:val="single" w:sz="4" w:space="0" w:color="auto"/>
              <w:right w:val="single" w:sz="4" w:space="0" w:color="auto"/>
            </w:tcBorders>
            <w:shd w:val="clear" w:color="auto" w:fill="auto"/>
            <w:noWrap/>
            <w:vAlign w:val="bottom"/>
            <w:hideMark/>
          </w:tcPr>
          <w:p w14:paraId="0E4CA643" w14:textId="77777777" w:rsidR="00303606" w:rsidRPr="00872D7E" w:rsidRDefault="00303606" w:rsidP="002402EB">
            <w:pPr>
              <w:ind w:right="-64"/>
              <w:jc w:val="right"/>
              <w:rPr>
                <w:color w:val="000000"/>
                <w:sz w:val="16"/>
                <w:szCs w:val="16"/>
              </w:rPr>
            </w:pPr>
            <w:r w:rsidRPr="00872D7E">
              <w:rPr>
                <w:color w:val="000000"/>
                <w:sz w:val="16"/>
                <w:szCs w:val="16"/>
              </w:rPr>
              <w:t>111.358</w:t>
            </w:r>
          </w:p>
        </w:tc>
      </w:tr>
      <w:tr w:rsidR="00303606" w:rsidRPr="00872D7E" w14:paraId="69834D87"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3C398204" w14:textId="77777777" w:rsidR="00303606" w:rsidRPr="00872D7E" w:rsidRDefault="00303606" w:rsidP="002402EB">
            <w:pPr>
              <w:ind w:left="-66"/>
              <w:rPr>
                <w:color w:val="000000"/>
                <w:sz w:val="16"/>
                <w:szCs w:val="16"/>
              </w:rPr>
            </w:pPr>
            <w:r w:rsidRPr="00872D7E">
              <w:rPr>
                <w:color w:val="000000"/>
                <w:sz w:val="16"/>
                <w:szCs w:val="16"/>
              </w:rPr>
              <w:t xml:space="preserve">Maddi Duran Varlıklar (Net) </w:t>
            </w:r>
          </w:p>
        </w:tc>
        <w:tc>
          <w:tcPr>
            <w:tcW w:w="727" w:type="pct"/>
            <w:tcBorders>
              <w:top w:val="nil"/>
              <w:left w:val="nil"/>
              <w:bottom w:val="single" w:sz="4" w:space="0" w:color="auto"/>
              <w:right w:val="single" w:sz="4" w:space="0" w:color="auto"/>
            </w:tcBorders>
            <w:shd w:val="clear" w:color="auto" w:fill="auto"/>
            <w:noWrap/>
            <w:vAlign w:val="bottom"/>
            <w:hideMark/>
          </w:tcPr>
          <w:p w14:paraId="053DA43B" w14:textId="77777777" w:rsidR="00303606" w:rsidRPr="00872D7E" w:rsidRDefault="00303606" w:rsidP="002402EB">
            <w:pPr>
              <w:ind w:right="-64"/>
              <w:jc w:val="right"/>
              <w:rPr>
                <w:color w:val="000000"/>
                <w:sz w:val="16"/>
                <w:szCs w:val="16"/>
              </w:rPr>
            </w:pPr>
            <w:r w:rsidRPr="00872D7E">
              <w:rPr>
                <w:color w:val="000000"/>
                <w:sz w:val="16"/>
                <w:szCs w:val="16"/>
              </w:rPr>
              <w:t>83.528</w:t>
            </w:r>
          </w:p>
        </w:tc>
        <w:tc>
          <w:tcPr>
            <w:tcW w:w="1860" w:type="pct"/>
            <w:tcBorders>
              <w:top w:val="nil"/>
              <w:left w:val="nil"/>
              <w:bottom w:val="single" w:sz="4" w:space="0" w:color="auto"/>
              <w:right w:val="single" w:sz="4" w:space="0" w:color="auto"/>
            </w:tcBorders>
            <w:shd w:val="clear" w:color="auto" w:fill="auto"/>
            <w:noWrap/>
            <w:vAlign w:val="bottom"/>
            <w:hideMark/>
          </w:tcPr>
          <w:p w14:paraId="28D21791" w14:textId="77777777" w:rsidR="00303606" w:rsidRPr="00872D7E" w:rsidRDefault="00303606" w:rsidP="002402EB">
            <w:pPr>
              <w:ind w:right="-64"/>
              <w:rPr>
                <w:color w:val="000000"/>
                <w:sz w:val="16"/>
                <w:szCs w:val="16"/>
              </w:rPr>
            </w:pPr>
            <w:r w:rsidRPr="00872D7E">
              <w:rPr>
                <w:color w:val="000000"/>
                <w:sz w:val="16"/>
                <w:szCs w:val="16"/>
              </w:rPr>
              <w:t>Maddi Duran Varlıklar (Net)</w:t>
            </w:r>
          </w:p>
        </w:tc>
        <w:tc>
          <w:tcPr>
            <w:tcW w:w="620" w:type="pct"/>
            <w:tcBorders>
              <w:top w:val="nil"/>
              <w:left w:val="nil"/>
              <w:bottom w:val="single" w:sz="4" w:space="0" w:color="auto"/>
              <w:right w:val="single" w:sz="4" w:space="0" w:color="auto"/>
            </w:tcBorders>
            <w:shd w:val="clear" w:color="auto" w:fill="auto"/>
            <w:noWrap/>
            <w:vAlign w:val="bottom"/>
            <w:hideMark/>
          </w:tcPr>
          <w:p w14:paraId="1EDEEEFE" w14:textId="77777777" w:rsidR="00303606" w:rsidRPr="00872D7E" w:rsidRDefault="00303606" w:rsidP="002402EB">
            <w:pPr>
              <w:ind w:right="-64"/>
              <w:jc w:val="right"/>
              <w:rPr>
                <w:color w:val="000000"/>
                <w:sz w:val="16"/>
                <w:szCs w:val="16"/>
              </w:rPr>
            </w:pPr>
            <w:r w:rsidRPr="00872D7E">
              <w:rPr>
                <w:color w:val="000000"/>
                <w:sz w:val="16"/>
                <w:szCs w:val="16"/>
              </w:rPr>
              <w:t>83.528</w:t>
            </w:r>
          </w:p>
        </w:tc>
      </w:tr>
      <w:tr w:rsidR="00303606" w:rsidRPr="00872D7E" w14:paraId="027CD4F3"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6D422A47" w14:textId="77777777" w:rsidR="00303606" w:rsidRPr="00872D7E" w:rsidRDefault="00303606" w:rsidP="002402EB">
            <w:pPr>
              <w:ind w:left="-66"/>
              <w:rPr>
                <w:color w:val="000000"/>
                <w:sz w:val="16"/>
                <w:szCs w:val="16"/>
              </w:rPr>
            </w:pPr>
            <w:r w:rsidRPr="00872D7E">
              <w:rPr>
                <w:color w:val="000000"/>
                <w:sz w:val="16"/>
                <w:szCs w:val="16"/>
              </w:rPr>
              <w:t>Maddi Olmayan Duran Varlıklar (Net)</w:t>
            </w:r>
          </w:p>
        </w:tc>
        <w:tc>
          <w:tcPr>
            <w:tcW w:w="727" w:type="pct"/>
            <w:tcBorders>
              <w:top w:val="nil"/>
              <w:left w:val="nil"/>
              <w:bottom w:val="single" w:sz="4" w:space="0" w:color="auto"/>
              <w:right w:val="single" w:sz="4" w:space="0" w:color="auto"/>
            </w:tcBorders>
            <w:shd w:val="clear" w:color="auto" w:fill="auto"/>
            <w:noWrap/>
            <w:vAlign w:val="bottom"/>
            <w:hideMark/>
          </w:tcPr>
          <w:p w14:paraId="1E5CD7C3" w14:textId="77777777" w:rsidR="00303606" w:rsidRPr="00872D7E" w:rsidRDefault="00303606" w:rsidP="002402EB">
            <w:pPr>
              <w:ind w:right="-64"/>
              <w:jc w:val="right"/>
              <w:rPr>
                <w:color w:val="000000"/>
                <w:sz w:val="16"/>
                <w:szCs w:val="16"/>
              </w:rPr>
            </w:pPr>
            <w:r w:rsidRPr="00872D7E">
              <w:rPr>
                <w:color w:val="000000"/>
                <w:sz w:val="16"/>
                <w:szCs w:val="16"/>
              </w:rPr>
              <w:t>5.575</w:t>
            </w:r>
          </w:p>
        </w:tc>
        <w:tc>
          <w:tcPr>
            <w:tcW w:w="1860" w:type="pct"/>
            <w:tcBorders>
              <w:top w:val="nil"/>
              <w:left w:val="nil"/>
              <w:bottom w:val="single" w:sz="4" w:space="0" w:color="auto"/>
              <w:right w:val="single" w:sz="4" w:space="0" w:color="auto"/>
            </w:tcBorders>
            <w:shd w:val="clear" w:color="auto" w:fill="auto"/>
            <w:noWrap/>
            <w:vAlign w:val="bottom"/>
            <w:hideMark/>
          </w:tcPr>
          <w:p w14:paraId="6ACE11F4" w14:textId="77777777" w:rsidR="00303606" w:rsidRPr="00872D7E" w:rsidRDefault="00303606" w:rsidP="002402EB">
            <w:pPr>
              <w:ind w:right="-64"/>
              <w:rPr>
                <w:color w:val="000000"/>
                <w:sz w:val="16"/>
                <w:szCs w:val="16"/>
              </w:rPr>
            </w:pPr>
            <w:r w:rsidRPr="00872D7E">
              <w:rPr>
                <w:color w:val="000000"/>
                <w:sz w:val="16"/>
                <w:szCs w:val="16"/>
              </w:rPr>
              <w:t>Maddi Olmayan Duran Varlıklar (Net)</w:t>
            </w:r>
          </w:p>
        </w:tc>
        <w:tc>
          <w:tcPr>
            <w:tcW w:w="620" w:type="pct"/>
            <w:tcBorders>
              <w:top w:val="nil"/>
              <w:left w:val="nil"/>
              <w:bottom w:val="single" w:sz="4" w:space="0" w:color="auto"/>
              <w:right w:val="single" w:sz="4" w:space="0" w:color="auto"/>
            </w:tcBorders>
            <w:shd w:val="clear" w:color="auto" w:fill="auto"/>
            <w:noWrap/>
            <w:vAlign w:val="bottom"/>
            <w:hideMark/>
          </w:tcPr>
          <w:p w14:paraId="7E93ADBB" w14:textId="77777777" w:rsidR="00303606" w:rsidRPr="00872D7E" w:rsidRDefault="00303606" w:rsidP="002402EB">
            <w:pPr>
              <w:ind w:right="-64"/>
              <w:jc w:val="right"/>
              <w:rPr>
                <w:color w:val="000000"/>
                <w:sz w:val="16"/>
                <w:szCs w:val="16"/>
              </w:rPr>
            </w:pPr>
            <w:r w:rsidRPr="00872D7E">
              <w:rPr>
                <w:color w:val="000000"/>
                <w:sz w:val="16"/>
                <w:szCs w:val="16"/>
              </w:rPr>
              <w:t>5.575</w:t>
            </w:r>
          </w:p>
        </w:tc>
      </w:tr>
      <w:tr w:rsidR="00303606" w:rsidRPr="00872D7E" w14:paraId="2C9413AF"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0A02250E" w14:textId="77777777" w:rsidR="00303606" w:rsidRPr="00872D7E" w:rsidRDefault="00303606" w:rsidP="002402EB">
            <w:pPr>
              <w:ind w:left="-66"/>
              <w:rPr>
                <w:color w:val="000000"/>
                <w:sz w:val="16"/>
                <w:szCs w:val="16"/>
              </w:rPr>
            </w:pPr>
            <w:r w:rsidRPr="00872D7E">
              <w:rPr>
                <w:color w:val="000000"/>
                <w:sz w:val="16"/>
                <w:szCs w:val="16"/>
              </w:rPr>
              <w:t>Yatırım Amaçlı Gayrimenkuller (Net)</w:t>
            </w:r>
          </w:p>
        </w:tc>
        <w:tc>
          <w:tcPr>
            <w:tcW w:w="727" w:type="pct"/>
            <w:tcBorders>
              <w:top w:val="nil"/>
              <w:left w:val="nil"/>
              <w:bottom w:val="single" w:sz="4" w:space="0" w:color="auto"/>
              <w:right w:val="single" w:sz="4" w:space="0" w:color="auto"/>
            </w:tcBorders>
            <w:shd w:val="clear" w:color="auto" w:fill="auto"/>
            <w:noWrap/>
            <w:vAlign w:val="bottom"/>
            <w:hideMark/>
          </w:tcPr>
          <w:p w14:paraId="0F54351A" w14:textId="77777777" w:rsidR="00303606" w:rsidRPr="00872D7E" w:rsidRDefault="00303606" w:rsidP="002402EB">
            <w:pPr>
              <w:ind w:right="-64"/>
              <w:jc w:val="right"/>
              <w:rPr>
                <w:color w:val="000000"/>
                <w:sz w:val="16"/>
                <w:szCs w:val="16"/>
              </w:rPr>
            </w:pPr>
            <w:r w:rsidRPr="00872D7E">
              <w:rPr>
                <w:color w:val="000000"/>
                <w:sz w:val="16"/>
                <w:szCs w:val="16"/>
              </w:rPr>
              <w:t>1.486</w:t>
            </w:r>
          </w:p>
        </w:tc>
        <w:tc>
          <w:tcPr>
            <w:tcW w:w="1860" w:type="pct"/>
            <w:tcBorders>
              <w:top w:val="nil"/>
              <w:left w:val="nil"/>
              <w:bottom w:val="single" w:sz="4" w:space="0" w:color="auto"/>
              <w:right w:val="single" w:sz="4" w:space="0" w:color="auto"/>
            </w:tcBorders>
            <w:shd w:val="clear" w:color="auto" w:fill="auto"/>
            <w:noWrap/>
            <w:vAlign w:val="bottom"/>
            <w:hideMark/>
          </w:tcPr>
          <w:p w14:paraId="2C85D498" w14:textId="77777777" w:rsidR="00303606" w:rsidRPr="00872D7E" w:rsidRDefault="00303606" w:rsidP="002402EB">
            <w:pPr>
              <w:ind w:right="-64"/>
              <w:rPr>
                <w:color w:val="000000"/>
                <w:sz w:val="16"/>
                <w:szCs w:val="16"/>
              </w:rPr>
            </w:pPr>
            <w:r w:rsidRPr="00872D7E">
              <w:rPr>
                <w:color w:val="000000"/>
                <w:sz w:val="16"/>
                <w:szCs w:val="16"/>
              </w:rPr>
              <w:t>Yatırım Amaçlı Gayrimenkuller (Net)</w:t>
            </w:r>
          </w:p>
        </w:tc>
        <w:tc>
          <w:tcPr>
            <w:tcW w:w="620" w:type="pct"/>
            <w:tcBorders>
              <w:top w:val="nil"/>
              <w:left w:val="nil"/>
              <w:bottom w:val="single" w:sz="4" w:space="0" w:color="auto"/>
              <w:right w:val="single" w:sz="4" w:space="0" w:color="auto"/>
            </w:tcBorders>
            <w:shd w:val="clear" w:color="auto" w:fill="auto"/>
            <w:noWrap/>
            <w:vAlign w:val="bottom"/>
            <w:hideMark/>
          </w:tcPr>
          <w:p w14:paraId="2539919E" w14:textId="77777777" w:rsidR="00303606" w:rsidRPr="00872D7E" w:rsidRDefault="00303606" w:rsidP="002402EB">
            <w:pPr>
              <w:ind w:right="-64"/>
              <w:jc w:val="right"/>
              <w:rPr>
                <w:color w:val="000000"/>
                <w:sz w:val="16"/>
                <w:szCs w:val="16"/>
              </w:rPr>
            </w:pPr>
            <w:r w:rsidRPr="00872D7E">
              <w:rPr>
                <w:color w:val="000000"/>
                <w:sz w:val="16"/>
                <w:szCs w:val="16"/>
              </w:rPr>
              <w:t>1.486</w:t>
            </w:r>
          </w:p>
        </w:tc>
      </w:tr>
      <w:tr w:rsidR="00303606" w:rsidRPr="00872D7E" w14:paraId="4F1EC405"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0B5CB732" w14:textId="77777777" w:rsidR="00303606" w:rsidRPr="00872D7E" w:rsidRDefault="00303606" w:rsidP="002402EB">
            <w:pPr>
              <w:ind w:left="-66"/>
              <w:rPr>
                <w:color w:val="000000"/>
                <w:sz w:val="16"/>
                <w:szCs w:val="16"/>
              </w:rPr>
            </w:pPr>
            <w:r w:rsidRPr="00872D7E">
              <w:rPr>
                <w:color w:val="000000"/>
                <w:sz w:val="16"/>
                <w:szCs w:val="16"/>
              </w:rPr>
              <w:t xml:space="preserve">Ertelenmiş Vergi Varlığı </w:t>
            </w:r>
          </w:p>
        </w:tc>
        <w:tc>
          <w:tcPr>
            <w:tcW w:w="727" w:type="pct"/>
            <w:tcBorders>
              <w:top w:val="nil"/>
              <w:left w:val="nil"/>
              <w:bottom w:val="single" w:sz="4" w:space="0" w:color="auto"/>
              <w:right w:val="single" w:sz="4" w:space="0" w:color="auto"/>
            </w:tcBorders>
            <w:shd w:val="clear" w:color="auto" w:fill="auto"/>
            <w:noWrap/>
            <w:vAlign w:val="bottom"/>
            <w:hideMark/>
          </w:tcPr>
          <w:p w14:paraId="7EECB601" w14:textId="77777777" w:rsidR="00303606" w:rsidRPr="00872D7E" w:rsidRDefault="00303606" w:rsidP="002402EB">
            <w:pPr>
              <w:ind w:right="-64"/>
              <w:jc w:val="right"/>
              <w:rPr>
                <w:color w:val="000000"/>
                <w:sz w:val="16"/>
                <w:szCs w:val="16"/>
              </w:rPr>
            </w:pPr>
            <w:r w:rsidRPr="00872D7E">
              <w:rPr>
                <w:color w:val="000000"/>
                <w:sz w:val="16"/>
                <w:szCs w:val="16"/>
              </w:rPr>
              <w:t>9.275</w:t>
            </w:r>
          </w:p>
        </w:tc>
        <w:tc>
          <w:tcPr>
            <w:tcW w:w="1860" w:type="pct"/>
            <w:tcBorders>
              <w:top w:val="nil"/>
              <w:left w:val="nil"/>
              <w:bottom w:val="single" w:sz="4" w:space="0" w:color="auto"/>
              <w:right w:val="single" w:sz="4" w:space="0" w:color="auto"/>
            </w:tcBorders>
            <w:shd w:val="clear" w:color="auto" w:fill="auto"/>
            <w:noWrap/>
            <w:vAlign w:val="bottom"/>
            <w:hideMark/>
          </w:tcPr>
          <w:p w14:paraId="5A0F3115" w14:textId="77777777" w:rsidR="00303606" w:rsidRPr="00872D7E" w:rsidRDefault="00303606" w:rsidP="002402EB">
            <w:pPr>
              <w:ind w:right="-64"/>
              <w:rPr>
                <w:color w:val="000000"/>
                <w:sz w:val="16"/>
                <w:szCs w:val="16"/>
              </w:rPr>
            </w:pPr>
            <w:r w:rsidRPr="00872D7E">
              <w:rPr>
                <w:color w:val="000000"/>
                <w:sz w:val="16"/>
                <w:szCs w:val="16"/>
              </w:rPr>
              <w:t>Ertelenmiş Vergi Varlığı</w:t>
            </w:r>
          </w:p>
        </w:tc>
        <w:tc>
          <w:tcPr>
            <w:tcW w:w="620" w:type="pct"/>
            <w:tcBorders>
              <w:top w:val="nil"/>
              <w:left w:val="nil"/>
              <w:bottom w:val="single" w:sz="4" w:space="0" w:color="auto"/>
              <w:right w:val="single" w:sz="4" w:space="0" w:color="auto"/>
            </w:tcBorders>
            <w:shd w:val="clear" w:color="auto" w:fill="auto"/>
            <w:noWrap/>
            <w:vAlign w:val="bottom"/>
            <w:hideMark/>
          </w:tcPr>
          <w:p w14:paraId="13DAE20D" w14:textId="77777777" w:rsidR="00303606" w:rsidRPr="00872D7E" w:rsidRDefault="00303606" w:rsidP="002402EB">
            <w:pPr>
              <w:ind w:right="-64"/>
              <w:jc w:val="right"/>
              <w:rPr>
                <w:color w:val="000000"/>
                <w:sz w:val="16"/>
                <w:szCs w:val="16"/>
              </w:rPr>
            </w:pPr>
            <w:r w:rsidRPr="00872D7E">
              <w:rPr>
                <w:color w:val="000000"/>
                <w:sz w:val="16"/>
                <w:szCs w:val="16"/>
              </w:rPr>
              <w:t>9.275</w:t>
            </w:r>
          </w:p>
        </w:tc>
      </w:tr>
      <w:tr w:rsidR="00303606" w:rsidRPr="00872D7E" w14:paraId="3402AC73"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6A52CF9A" w14:textId="77777777" w:rsidR="00303606" w:rsidRPr="00872D7E" w:rsidRDefault="00303606" w:rsidP="002402EB">
            <w:pPr>
              <w:ind w:left="-66"/>
              <w:rPr>
                <w:color w:val="000000"/>
                <w:sz w:val="16"/>
                <w:szCs w:val="16"/>
              </w:rPr>
            </w:pPr>
            <w:r w:rsidRPr="00872D7E">
              <w:rPr>
                <w:color w:val="000000"/>
                <w:sz w:val="16"/>
                <w:szCs w:val="16"/>
              </w:rPr>
              <w:t xml:space="preserve">Diğer Aktifler  </w:t>
            </w:r>
          </w:p>
        </w:tc>
        <w:tc>
          <w:tcPr>
            <w:tcW w:w="727" w:type="pct"/>
            <w:tcBorders>
              <w:top w:val="nil"/>
              <w:left w:val="nil"/>
              <w:bottom w:val="single" w:sz="4" w:space="0" w:color="auto"/>
              <w:right w:val="single" w:sz="4" w:space="0" w:color="auto"/>
            </w:tcBorders>
            <w:shd w:val="clear" w:color="auto" w:fill="auto"/>
            <w:noWrap/>
            <w:vAlign w:val="bottom"/>
            <w:hideMark/>
          </w:tcPr>
          <w:p w14:paraId="05F33458" w14:textId="77777777" w:rsidR="00303606" w:rsidRPr="00872D7E" w:rsidRDefault="00303606" w:rsidP="002402EB">
            <w:pPr>
              <w:ind w:right="-64"/>
              <w:jc w:val="right"/>
              <w:rPr>
                <w:color w:val="000000"/>
                <w:sz w:val="16"/>
                <w:szCs w:val="16"/>
              </w:rPr>
            </w:pPr>
            <w:r w:rsidRPr="00872D7E">
              <w:rPr>
                <w:color w:val="000000"/>
                <w:sz w:val="16"/>
                <w:szCs w:val="16"/>
              </w:rPr>
              <w:t>476</w:t>
            </w:r>
          </w:p>
        </w:tc>
        <w:tc>
          <w:tcPr>
            <w:tcW w:w="1860" w:type="pct"/>
            <w:tcBorders>
              <w:top w:val="nil"/>
              <w:left w:val="nil"/>
              <w:bottom w:val="single" w:sz="4" w:space="0" w:color="auto"/>
              <w:right w:val="single" w:sz="4" w:space="0" w:color="auto"/>
            </w:tcBorders>
            <w:shd w:val="clear" w:color="auto" w:fill="auto"/>
            <w:noWrap/>
            <w:vAlign w:val="bottom"/>
            <w:hideMark/>
          </w:tcPr>
          <w:p w14:paraId="5E2BCEF0" w14:textId="77777777" w:rsidR="00303606" w:rsidRPr="00872D7E" w:rsidRDefault="00303606" w:rsidP="002402EB">
            <w:pPr>
              <w:ind w:right="-64"/>
              <w:rPr>
                <w:color w:val="000000"/>
                <w:sz w:val="16"/>
                <w:szCs w:val="16"/>
              </w:rPr>
            </w:pPr>
            <w:r w:rsidRPr="00872D7E">
              <w:rPr>
                <w:color w:val="000000"/>
                <w:sz w:val="16"/>
                <w:szCs w:val="16"/>
              </w:rPr>
              <w:t>Diğer Aktifler</w:t>
            </w:r>
          </w:p>
        </w:tc>
        <w:tc>
          <w:tcPr>
            <w:tcW w:w="620" w:type="pct"/>
            <w:tcBorders>
              <w:top w:val="nil"/>
              <w:left w:val="nil"/>
              <w:bottom w:val="single" w:sz="4" w:space="0" w:color="auto"/>
              <w:right w:val="single" w:sz="4" w:space="0" w:color="auto"/>
            </w:tcBorders>
            <w:shd w:val="clear" w:color="auto" w:fill="auto"/>
            <w:noWrap/>
            <w:vAlign w:val="bottom"/>
            <w:hideMark/>
          </w:tcPr>
          <w:p w14:paraId="51AEA527" w14:textId="77777777" w:rsidR="00303606" w:rsidRPr="00872D7E" w:rsidRDefault="00303606" w:rsidP="002402EB">
            <w:pPr>
              <w:ind w:right="-64"/>
              <w:jc w:val="right"/>
              <w:rPr>
                <w:color w:val="000000"/>
                <w:sz w:val="16"/>
                <w:szCs w:val="16"/>
              </w:rPr>
            </w:pPr>
            <w:r w:rsidRPr="00872D7E">
              <w:rPr>
                <w:color w:val="000000"/>
                <w:sz w:val="16"/>
                <w:szCs w:val="16"/>
              </w:rPr>
              <w:t>476</w:t>
            </w:r>
          </w:p>
        </w:tc>
      </w:tr>
      <w:tr w:rsidR="00303606" w:rsidRPr="00872D7E" w14:paraId="63334424"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659E851A" w14:textId="77777777" w:rsidR="00303606" w:rsidRPr="00872D7E" w:rsidRDefault="00303606" w:rsidP="002402EB">
            <w:pPr>
              <w:ind w:left="-66"/>
              <w:rPr>
                <w:b/>
                <w:bCs/>
                <w:color w:val="000000"/>
                <w:sz w:val="16"/>
                <w:szCs w:val="16"/>
              </w:rPr>
            </w:pPr>
            <w:r w:rsidRPr="00872D7E">
              <w:rPr>
                <w:b/>
                <w:bCs/>
                <w:color w:val="000000"/>
                <w:sz w:val="16"/>
                <w:szCs w:val="16"/>
              </w:rPr>
              <w:t>Varlıklar Toplamı</w:t>
            </w:r>
          </w:p>
        </w:tc>
        <w:tc>
          <w:tcPr>
            <w:tcW w:w="727" w:type="pct"/>
            <w:tcBorders>
              <w:top w:val="nil"/>
              <w:left w:val="nil"/>
              <w:bottom w:val="single" w:sz="4" w:space="0" w:color="auto"/>
              <w:right w:val="single" w:sz="4" w:space="0" w:color="auto"/>
            </w:tcBorders>
            <w:shd w:val="clear" w:color="auto" w:fill="auto"/>
            <w:noWrap/>
            <w:vAlign w:val="bottom"/>
            <w:hideMark/>
          </w:tcPr>
          <w:p w14:paraId="0D6521AC" w14:textId="77777777" w:rsidR="00303606" w:rsidRPr="00872D7E" w:rsidRDefault="00303606" w:rsidP="002402EB">
            <w:pPr>
              <w:ind w:right="-64"/>
              <w:jc w:val="right"/>
              <w:rPr>
                <w:b/>
                <w:bCs/>
                <w:color w:val="000000"/>
                <w:sz w:val="16"/>
                <w:szCs w:val="16"/>
              </w:rPr>
            </w:pPr>
            <w:r w:rsidRPr="00872D7E">
              <w:rPr>
                <w:b/>
                <w:bCs/>
                <w:color w:val="000000"/>
                <w:sz w:val="16"/>
                <w:szCs w:val="16"/>
              </w:rPr>
              <w:t>654.301</w:t>
            </w:r>
          </w:p>
        </w:tc>
        <w:tc>
          <w:tcPr>
            <w:tcW w:w="1860" w:type="pct"/>
            <w:tcBorders>
              <w:top w:val="nil"/>
              <w:left w:val="nil"/>
              <w:bottom w:val="single" w:sz="4" w:space="0" w:color="auto"/>
              <w:right w:val="single" w:sz="4" w:space="0" w:color="auto"/>
            </w:tcBorders>
            <w:shd w:val="clear" w:color="auto" w:fill="auto"/>
            <w:noWrap/>
            <w:vAlign w:val="bottom"/>
            <w:hideMark/>
          </w:tcPr>
          <w:p w14:paraId="7BC9742F" w14:textId="77777777" w:rsidR="00303606" w:rsidRPr="00872D7E" w:rsidRDefault="00303606" w:rsidP="002402EB">
            <w:pPr>
              <w:ind w:right="-64"/>
              <w:rPr>
                <w:b/>
                <w:bCs/>
                <w:color w:val="000000"/>
                <w:sz w:val="16"/>
                <w:szCs w:val="16"/>
              </w:rPr>
            </w:pPr>
            <w:r w:rsidRPr="00872D7E">
              <w:rPr>
                <w:b/>
                <w:bCs/>
                <w:color w:val="000000"/>
                <w:sz w:val="16"/>
                <w:szCs w:val="16"/>
              </w:rPr>
              <w:t>Varlıklar Toplamı</w:t>
            </w:r>
          </w:p>
        </w:tc>
        <w:tc>
          <w:tcPr>
            <w:tcW w:w="620" w:type="pct"/>
            <w:tcBorders>
              <w:top w:val="nil"/>
              <w:left w:val="nil"/>
              <w:bottom w:val="single" w:sz="4" w:space="0" w:color="auto"/>
              <w:right w:val="single" w:sz="4" w:space="0" w:color="auto"/>
            </w:tcBorders>
            <w:shd w:val="clear" w:color="auto" w:fill="auto"/>
            <w:noWrap/>
            <w:vAlign w:val="bottom"/>
            <w:hideMark/>
          </w:tcPr>
          <w:p w14:paraId="7A7B31D2" w14:textId="77777777" w:rsidR="00303606" w:rsidRPr="00872D7E" w:rsidRDefault="00303606" w:rsidP="002402EB">
            <w:pPr>
              <w:ind w:right="-64"/>
              <w:jc w:val="right"/>
              <w:rPr>
                <w:b/>
                <w:bCs/>
                <w:color w:val="000000"/>
                <w:sz w:val="16"/>
                <w:szCs w:val="16"/>
              </w:rPr>
            </w:pPr>
            <w:r w:rsidRPr="00872D7E">
              <w:rPr>
                <w:b/>
                <w:bCs/>
                <w:color w:val="000000"/>
                <w:sz w:val="16"/>
                <w:szCs w:val="16"/>
              </w:rPr>
              <w:t>654.301</w:t>
            </w:r>
          </w:p>
        </w:tc>
      </w:tr>
    </w:tbl>
    <w:p w14:paraId="40CA06D9" w14:textId="77777777" w:rsidR="00303606" w:rsidRPr="00872D7E" w:rsidRDefault="00303606" w:rsidP="00303606">
      <w:pPr>
        <w:widowControl w:val="0"/>
        <w:autoSpaceDE w:val="0"/>
        <w:autoSpaceDN w:val="0"/>
        <w:adjustRightInd w:val="0"/>
        <w:ind w:left="851"/>
        <w:jc w:val="both"/>
        <w:rPr>
          <w:szCs w:val="20"/>
        </w:rPr>
      </w:pPr>
    </w:p>
    <w:tbl>
      <w:tblPr>
        <w:tblW w:w="4548" w:type="pct"/>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5"/>
        <w:gridCol w:w="1284"/>
        <w:gridCol w:w="3237"/>
        <w:gridCol w:w="1063"/>
      </w:tblGrid>
      <w:tr w:rsidR="00303606" w:rsidRPr="00872D7E" w14:paraId="27B1F1AE" w14:textId="77777777" w:rsidTr="002402EB">
        <w:trPr>
          <w:trHeight w:val="113"/>
        </w:trPr>
        <w:tc>
          <w:tcPr>
            <w:tcW w:w="1812" w:type="pct"/>
            <w:shd w:val="clear" w:color="auto" w:fill="auto"/>
            <w:noWrap/>
            <w:vAlign w:val="center"/>
            <w:hideMark/>
          </w:tcPr>
          <w:p w14:paraId="217590A5" w14:textId="77777777" w:rsidR="00303606" w:rsidRPr="00872D7E" w:rsidRDefault="00303606" w:rsidP="002402EB">
            <w:pPr>
              <w:ind w:left="-66"/>
              <w:rPr>
                <w:b/>
                <w:bCs/>
                <w:color w:val="000000"/>
                <w:sz w:val="16"/>
                <w:szCs w:val="16"/>
              </w:rPr>
            </w:pPr>
            <w:r w:rsidRPr="00872D7E">
              <w:rPr>
                <w:b/>
                <w:bCs/>
                <w:color w:val="000000"/>
                <w:sz w:val="16"/>
                <w:szCs w:val="16"/>
              </w:rPr>
              <w:t>Yükümlülükler</w:t>
            </w:r>
          </w:p>
        </w:tc>
        <w:tc>
          <w:tcPr>
            <w:tcW w:w="733" w:type="pct"/>
            <w:shd w:val="clear" w:color="auto" w:fill="auto"/>
            <w:noWrap/>
            <w:vAlign w:val="bottom"/>
            <w:hideMark/>
          </w:tcPr>
          <w:p w14:paraId="363ACD4E" w14:textId="77777777" w:rsidR="00303606" w:rsidRPr="00872D7E" w:rsidRDefault="00303606" w:rsidP="002402EB">
            <w:pPr>
              <w:ind w:right="-78"/>
              <w:jc w:val="right"/>
              <w:rPr>
                <w:b/>
                <w:bCs/>
                <w:color w:val="000000"/>
                <w:sz w:val="16"/>
                <w:szCs w:val="16"/>
              </w:rPr>
            </w:pPr>
            <w:r w:rsidRPr="00872D7E">
              <w:rPr>
                <w:b/>
                <w:bCs/>
                <w:color w:val="000000"/>
                <w:sz w:val="16"/>
                <w:szCs w:val="16"/>
              </w:rPr>
              <w:t>31 Aralık 2023</w:t>
            </w:r>
          </w:p>
        </w:tc>
        <w:tc>
          <w:tcPr>
            <w:tcW w:w="1848" w:type="pct"/>
            <w:shd w:val="clear" w:color="auto" w:fill="auto"/>
            <w:noWrap/>
            <w:vAlign w:val="bottom"/>
            <w:hideMark/>
          </w:tcPr>
          <w:p w14:paraId="08E2E821" w14:textId="77777777" w:rsidR="00303606" w:rsidRPr="00872D7E" w:rsidRDefault="00303606" w:rsidP="002402EB">
            <w:pPr>
              <w:ind w:right="-78"/>
              <w:rPr>
                <w:b/>
                <w:bCs/>
                <w:color w:val="000000"/>
                <w:sz w:val="16"/>
                <w:szCs w:val="16"/>
              </w:rPr>
            </w:pPr>
            <w:r w:rsidRPr="00872D7E">
              <w:rPr>
                <w:b/>
                <w:bCs/>
                <w:color w:val="000000"/>
                <w:sz w:val="16"/>
                <w:szCs w:val="16"/>
              </w:rPr>
              <w:t>Yükümlülükler</w:t>
            </w:r>
          </w:p>
        </w:tc>
        <w:tc>
          <w:tcPr>
            <w:tcW w:w="607" w:type="pct"/>
            <w:shd w:val="clear" w:color="auto" w:fill="auto"/>
            <w:noWrap/>
            <w:vAlign w:val="bottom"/>
            <w:hideMark/>
          </w:tcPr>
          <w:p w14:paraId="03EFF5B6" w14:textId="77777777" w:rsidR="00303606" w:rsidRPr="00872D7E" w:rsidRDefault="00303606" w:rsidP="002402EB">
            <w:pPr>
              <w:ind w:right="-78"/>
              <w:jc w:val="right"/>
              <w:rPr>
                <w:b/>
                <w:bCs/>
                <w:color w:val="000000"/>
                <w:sz w:val="16"/>
                <w:szCs w:val="16"/>
              </w:rPr>
            </w:pPr>
            <w:r w:rsidRPr="00872D7E">
              <w:rPr>
                <w:b/>
                <w:bCs/>
                <w:color w:val="000000"/>
                <w:sz w:val="16"/>
                <w:szCs w:val="16"/>
              </w:rPr>
              <w:t>1 Ocak 2024</w:t>
            </w:r>
          </w:p>
        </w:tc>
      </w:tr>
      <w:tr w:rsidR="00303606" w:rsidRPr="00872D7E" w14:paraId="717C4DA3" w14:textId="77777777" w:rsidTr="002402EB">
        <w:trPr>
          <w:trHeight w:val="113"/>
        </w:trPr>
        <w:tc>
          <w:tcPr>
            <w:tcW w:w="1812" w:type="pct"/>
            <w:shd w:val="clear" w:color="auto" w:fill="auto"/>
            <w:noWrap/>
            <w:vAlign w:val="center"/>
            <w:hideMark/>
          </w:tcPr>
          <w:p w14:paraId="70915A47" w14:textId="77777777" w:rsidR="00303606" w:rsidRPr="00872D7E" w:rsidRDefault="00303606" w:rsidP="002402EB">
            <w:pPr>
              <w:ind w:left="-66"/>
              <w:rPr>
                <w:color w:val="000000"/>
                <w:sz w:val="16"/>
                <w:szCs w:val="16"/>
              </w:rPr>
            </w:pPr>
            <w:r w:rsidRPr="00872D7E">
              <w:rPr>
                <w:color w:val="000000"/>
                <w:sz w:val="16"/>
                <w:szCs w:val="16"/>
              </w:rPr>
              <w:t>Mevduat</w:t>
            </w:r>
          </w:p>
        </w:tc>
        <w:tc>
          <w:tcPr>
            <w:tcW w:w="733" w:type="pct"/>
            <w:shd w:val="clear" w:color="auto" w:fill="auto"/>
            <w:vAlign w:val="bottom"/>
            <w:hideMark/>
          </w:tcPr>
          <w:p w14:paraId="13414D3B" w14:textId="77777777" w:rsidR="00303606" w:rsidRPr="00872D7E" w:rsidRDefault="00303606" w:rsidP="002402EB">
            <w:pPr>
              <w:ind w:right="-78"/>
              <w:jc w:val="right"/>
              <w:rPr>
                <w:color w:val="000000"/>
                <w:sz w:val="16"/>
                <w:szCs w:val="16"/>
              </w:rPr>
            </w:pPr>
            <w:r w:rsidRPr="00872D7E">
              <w:rPr>
                <w:color w:val="000000"/>
                <w:sz w:val="16"/>
                <w:szCs w:val="16"/>
              </w:rPr>
              <w:t>55</w:t>
            </w:r>
          </w:p>
        </w:tc>
        <w:tc>
          <w:tcPr>
            <w:tcW w:w="1848" w:type="pct"/>
            <w:shd w:val="clear" w:color="auto" w:fill="auto"/>
            <w:noWrap/>
            <w:vAlign w:val="bottom"/>
            <w:hideMark/>
          </w:tcPr>
          <w:p w14:paraId="4B3C9897" w14:textId="77777777" w:rsidR="00303606" w:rsidRPr="00872D7E" w:rsidRDefault="00303606" w:rsidP="002402EB">
            <w:pPr>
              <w:ind w:right="-78"/>
              <w:rPr>
                <w:color w:val="000000"/>
                <w:sz w:val="16"/>
                <w:szCs w:val="16"/>
              </w:rPr>
            </w:pPr>
            <w:r w:rsidRPr="00872D7E">
              <w:rPr>
                <w:color w:val="000000"/>
                <w:sz w:val="16"/>
                <w:szCs w:val="16"/>
              </w:rPr>
              <w:t>Toplanan Fonlar</w:t>
            </w:r>
          </w:p>
        </w:tc>
        <w:tc>
          <w:tcPr>
            <w:tcW w:w="607" w:type="pct"/>
            <w:shd w:val="clear" w:color="auto" w:fill="auto"/>
            <w:vAlign w:val="bottom"/>
            <w:hideMark/>
          </w:tcPr>
          <w:p w14:paraId="6EB6AF9F" w14:textId="77777777" w:rsidR="00303606" w:rsidRPr="00872D7E" w:rsidRDefault="00303606" w:rsidP="002402EB">
            <w:pPr>
              <w:ind w:right="-78"/>
              <w:jc w:val="right"/>
              <w:rPr>
                <w:color w:val="000000"/>
                <w:sz w:val="16"/>
                <w:szCs w:val="16"/>
              </w:rPr>
            </w:pPr>
            <w:r w:rsidRPr="00872D7E">
              <w:rPr>
                <w:color w:val="000000"/>
                <w:sz w:val="16"/>
                <w:szCs w:val="16"/>
              </w:rPr>
              <w:t>55</w:t>
            </w:r>
          </w:p>
        </w:tc>
      </w:tr>
      <w:tr w:rsidR="00303606" w:rsidRPr="00872D7E" w14:paraId="52376E97" w14:textId="77777777" w:rsidTr="002402EB">
        <w:trPr>
          <w:trHeight w:val="113"/>
        </w:trPr>
        <w:tc>
          <w:tcPr>
            <w:tcW w:w="1812" w:type="pct"/>
            <w:shd w:val="clear" w:color="auto" w:fill="auto"/>
            <w:noWrap/>
            <w:vAlign w:val="center"/>
            <w:hideMark/>
          </w:tcPr>
          <w:p w14:paraId="58ADD5C8" w14:textId="77777777" w:rsidR="00303606" w:rsidRPr="00872D7E" w:rsidRDefault="00303606" w:rsidP="002402EB">
            <w:pPr>
              <w:ind w:left="-66"/>
              <w:rPr>
                <w:color w:val="000000"/>
                <w:sz w:val="16"/>
                <w:szCs w:val="16"/>
              </w:rPr>
            </w:pPr>
            <w:r w:rsidRPr="00872D7E">
              <w:rPr>
                <w:color w:val="000000"/>
                <w:sz w:val="16"/>
                <w:szCs w:val="16"/>
              </w:rPr>
              <w:t>Kiralama İşlemlerinden Yükümlülükler</w:t>
            </w:r>
          </w:p>
        </w:tc>
        <w:tc>
          <w:tcPr>
            <w:tcW w:w="733" w:type="pct"/>
            <w:shd w:val="clear" w:color="auto" w:fill="auto"/>
            <w:vAlign w:val="bottom"/>
            <w:hideMark/>
          </w:tcPr>
          <w:p w14:paraId="1FEF311A" w14:textId="77777777" w:rsidR="00303606" w:rsidRPr="00872D7E" w:rsidRDefault="00303606" w:rsidP="002402EB">
            <w:pPr>
              <w:ind w:right="-78"/>
              <w:jc w:val="right"/>
              <w:rPr>
                <w:color w:val="000000"/>
                <w:sz w:val="16"/>
                <w:szCs w:val="16"/>
              </w:rPr>
            </w:pPr>
            <w:r w:rsidRPr="00872D7E">
              <w:rPr>
                <w:color w:val="000000"/>
                <w:sz w:val="16"/>
                <w:szCs w:val="16"/>
              </w:rPr>
              <w:t>5.745</w:t>
            </w:r>
          </w:p>
        </w:tc>
        <w:tc>
          <w:tcPr>
            <w:tcW w:w="1848" w:type="pct"/>
            <w:shd w:val="clear" w:color="auto" w:fill="auto"/>
            <w:noWrap/>
            <w:vAlign w:val="bottom"/>
            <w:hideMark/>
          </w:tcPr>
          <w:p w14:paraId="363B64F3" w14:textId="77777777" w:rsidR="00303606" w:rsidRPr="00872D7E" w:rsidRDefault="00303606" w:rsidP="002402EB">
            <w:pPr>
              <w:ind w:right="-78"/>
              <w:rPr>
                <w:color w:val="000000"/>
                <w:sz w:val="16"/>
                <w:szCs w:val="16"/>
              </w:rPr>
            </w:pPr>
            <w:r w:rsidRPr="00872D7E">
              <w:rPr>
                <w:color w:val="000000"/>
                <w:sz w:val="16"/>
                <w:szCs w:val="16"/>
              </w:rPr>
              <w:t>Kiralama İşlemlerinden Yükümlülükler</w:t>
            </w:r>
          </w:p>
        </w:tc>
        <w:tc>
          <w:tcPr>
            <w:tcW w:w="607" w:type="pct"/>
            <w:shd w:val="clear" w:color="auto" w:fill="auto"/>
            <w:vAlign w:val="bottom"/>
            <w:hideMark/>
          </w:tcPr>
          <w:p w14:paraId="1F9C8217" w14:textId="77777777" w:rsidR="00303606" w:rsidRPr="00872D7E" w:rsidRDefault="00303606" w:rsidP="002402EB">
            <w:pPr>
              <w:ind w:right="-78"/>
              <w:jc w:val="right"/>
              <w:rPr>
                <w:color w:val="000000"/>
                <w:sz w:val="16"/>
                <w:szCs w:val="16"/>
              </w:rPr>
            </w:pPr>
            <w:r w:rsidRPr="00872D7E">
              <w:rPr>
                <w:color w:val="000000"/>
                <w:sz w:val="16"/>
                <w:szCs w:val="16"/>
              </w:rPr>
              <w:t>5.745</w:t>
            </w:r>
          </w:p>
        </w:tc>
      </w:tr>
      <w:tr w:rsidR="00303606" w:rsidRPr="00872D7E" w14:paraId="137795C5" w14:textId="77777777" w:rsidTr="002402EB">
        <w:trPr>
          <w:trHeight w:val="113"/>
        </w:trPr>
        <w:tc>
          <w:tcPr>
            <w:tcW w:w="1812" w:type="pct"/>
            <w:shd w:val="clear" w:color="auto" w:fill="auto"/>
            <w:noWrap/>
            <w:vAlign w:val="center"/>
            <w:hideMark/>
          </w:tcPr>
          <w:p w14:paraId="339A8693" w14:textId="77777777" w:rsidR="00303606" w:rsidRPr="00872D7E" w:rsidRDefault="00303606" w:rsidP="002402EB">
            <w:pPr>
              <w:ind w:left="-66"/>
              <w:rPr>
                <w:color w:val="000000"/>
                <w:sz w:val="16"/>
                <w:szCs w:val="16"/>
              </w:rPr>
            </w:pPr>
            <w:r w:rsidRPr="00872D7E">
              <w:rPr>
                <w:color w:val="000000"/>
                <w:sz w:val="16"/>
                <w:szCs w:val="16"/>
              </w:rPr>
              <w:t>Karşılıklar</w:t>
            </w:r>
          </w:p>
        </w:tc>
        <w:tc>
          <w:tcPr>
            <w:tcW w:w="733" w:type="pct"/>
            <w:shd w:val="clear" w:color="auto" w:fill="auto"/>
            <w:vAlign w:val="bottom"/>
            <w:hideMark/>
          </w:tcPr>
          <w:p w14:paraId="4A298893" w14:textId="77777777" w:rsidR="00303606" w:rsidRPr="00872D7E" w:rsidRDefault="00303606" w:rsidP="002402EB">
            <w:pPr>
              <w:ind w:right="-78"/>
              <w:jc w:val="right"/>
              <w:rPr>
                <w:color w:val="000000"/>
                <w:sz w:val="16"/>
                <w:szCs w:val="16"/>
              </w:rPr>
            </w:pPr>
            <w:r w:rsidRPr="00872D7E">
              <w:rPr>
                <w:color w:val="000000"/>
                <w:sz w:val="16"/>
                <w:szCs w:val="16"/>
              </w:rPr>
              <w:t>39.699</w:t>
            </w:r>
          </w:p>
        </w:tc>
        <w:tc>
          <w:tcPr>
            <w:tcW w:w="1848" w:type="pct"/>
            <w:shd w:val="clear" w:color="auto" w:fill="auto"/>
            <w:noWrap/>
            <w:vAlign w:val="bottom"/>
            <w:hideMark/>
          </w:tcPr>
          <w:p w14:paraId="36693AB5" w14:textId="77777777" w:rsidR="00303606" w:rsidRPr="00872D7E" w:rsidRDefault="00303606" w:rsidP="002402EB">
            <w:pPr>
              <w:ind w:right="-78"/>
              <w:rPr>
                <w:color w:val="000000"/>
                <w:sz w:val="16"/>
                <w:szCs w:val="16"/>
              </w:rPr>
            </w:pPr>
            <w:r w:rsidRPr="00872D7E">
              <w:rPr>
                <w:color w:val="000000"/>
                <w:sz w:val="16"/>
                <w:szCs w:val="16"/>
              </w:rPr>
              <w:t>Karşılıklar</w:t>
            </w:r>
          </w:p>
        </w:tc>
        <w:tc>
          <w:tcPr>
            <w:tcW w:w="607" w:type="pct"/>
            <w:shd w:val="clear" w:color="auto" w:fill="auto"/>
            <w:vAlign w:val="bottom"/>
            <w:hideMark/>
          </w:tcPr>
          <w:p w14:paraId="7DFDFA48" w14:textId="77777777" w:rsidR="00303606" w:rsidRPr="00872D7E" w:rsidRDefault="00303606" w:rsidP="002402EB">
            <w:pPr>
              <w:ind w:right="-78"/>
              <w:jc w:val="right"/>
              <w:rPr>
                <w:color w:val="000000"/>
                <w:sz w:val="16"/>
                <w:szCs w:val="16"/>
              </w:rPr>
            </w:pPr>
            <w:r w:rsidRPr="00872D7E">
              <w:rPr>
                <w:color w:val="000000"/>
                <w:sz w:val="16"/>
                <w:szCs w:val="16"/>
              </w:rPr>
              <w:t>39.699</w:t>
            </w:r>
          </w:p>
        </w:tc>
      </w:tr>
      <w:tr w:rsidR="00303606" w:rsidRPr="00872D7E" w14:paraId="5C7CD16E" w14:textId="77777777" w:rsidTr="002402EB">
        <w:trPr>
          <w:trHeight w:val="113"/>
        </w:trPr>
        <w:tc>
          <w:tcPr>
            <w:tcW w:w="1812" w:type="pct"/>
            <w:shd w:val="clear" w:color="auto" w:fill="auto"/>
            <w:noWrap/>
            <w:vAlign w:val="center"/>
            <w:hideMark/>
          </w:tcPr>
          <w:p w14:paraId="6DB9528C" w14:textId="77777777" w:rsidR="00303606" w:rsidRPr="00872D7E" w:rsidRDefault="00303606" w:rsidP="002402EB">
            <w:pPr>
              <w:ind w:left="-66"/>
              <w:rPr>
                <w:color w:val="000000"/>
                <w:sz w:val="16"/>
                <w:szCs w:val="16"/>
              </w:rPr>
            </w:pPr>
            <w:r w:rsidRPr="00872D7E">
              <w:rPr>
                <w:color w:val="000000"/>
                <w:sz w:val="16"/>
                <w:szCs w:val="16"/>
              </w:rPr>
              <w:t>Cari Vergi Borcu</w:t>
            </w:r>
          </w:p>
        </w:tc>
        <w:tc>
          <w:tcPr>
            <w:tcW w:w="733" w:type="pct"/>
            <w:shd w:val="clear" w:color="auto" w:fill="auto"/>
            <w:vAlign w:val="bottom"/>
            <w:hideMark/>
          </w:tcPr>
          <w:p w14:paraId="79A0B699" w14:textId="77777777" w:rsidR="00303606" w:rsidRPr="00872D7E" w:rsidRDefault="00303606" w:rsidP="002402EB">
            <w:pPr>
              <w:ind w:right="-78"/>
              <w:jc w:val="right"/>
              <w:rPr>
                <w:color w:val="000000"/>
                <w:sz w:val="16"/>
                <w:szCs w:val="16"/>
              </w:rPr>
            </w:pPr>
            <w:r w:rsidRPr="00872D7E">
              <w:rPr>
                <w:color w:val="000000"/>
                <w:sz w:val="16"/>
                <w:szCs w:val="16"/>
              </w:rPr>
              <w:t>8.072</w:t>
            </w:r>
          </w:p>
        </w:tc>
        <w:tc>
          <w:tcPr>
            <w:tcW w:w="1848" w:type="pct"/>
            <w:shd w:val="clear" w:color="auto" w:fill="auto"/>
            <w:noWrap/>
            <w:vAlign w:val="bottom"/>
            <w:hideMark/>
          </w:tcPr>
          <w:p w14:paraId="258A0199" w14:textId="77777777" w:rsidR="00303606" w:rsidRPr="00872D7E" w:rsidRDefault="00303606" w:rsidP="002402EB">
            <w:pPr>
              <w:ind w:right="-78"/>
              <w:rPr>
                <w:color w:val="000000"/>
                <w:sz w:val="16"/>
                <w:szCs w:val="16"/>
              </w:rPr>
            </w:pPr>
            <w:r w:rsidRPr="00872D7E">
              <w:rPr>
                <w:color w:val="000000"/>
                <w:sz w:val="16"/>
                <w:szCs w:val="16"/>
              </w:rPr>
              <w:t>Cari Vergi Borcu</w:t>
            </w:r>
          </w:p>
        </w:tc>
        <w:tc>
          <w:tcPr>
            <w:tcW w:w="607" w:type="pct"/>
            <w:shd w:val="clear" w:color="auto" w:fill="auto"/>
            <w:vAlign w:val="bottom"/>
            <w:hideMark/>
          </w:tcPr>
          <w:p w14:paraId="3A6C015B" w14:textId="77777777" w:rsidR="00303606" w:rsidRPr="00872D7E" w:rsidRDefault="00303606" w:rsidP="002402EB">
            <w:pPr>
              <w:ind w:right="-78"/>
              <w:jc w:val="right"/>
              <w:rPr>
                <w:color w:val="000000"/>
                <w:sz w:val="16"/>
                <w:szCs w:val="16"/>
              </w:rPr>
            </w:pPr>
            <w:r w:rsidRPr="00872D7E">
              <w:rPr>
                <w:color w:val="000000"/>
                <w:sz w:val="16"/>
                <w:szCs w:val="16"/>
              </w:rPr>
              <w:t>8.072</w:t>
            </w:r>
          </w:p>
        </w:tc>
      </w:tr>
      <w:tr w:rsidR="00303606" w:rsidRPr="00872D7E" w14:paraId="42FB3656" w14:textId="77777777" w:rsidTr="002402EB">
        <w:trPr>
          <w:trHeight w:val="113"/>
        </w:trPr>
        <w:tc>
          <w:tcPr>
            <w:tcW w:w="1812" w:type="pct"/>
            <w:shd w:val="clear" w:color="auto" w:fill="auto"/>
            <w:noWrap/>
            <w:vAlign w:val="center"/>
            <w:hideMark/>
          </w:tcPr>
          <w:p w14:paraId="7CD88429" w14:textId="77777777" w:rsidR="00303606" w:rsidRPr="00872D7E" w:rsidRDefault="00303606" w:rsidP="002402EB">
            <w:pPr>
              <w:ind w:left="-66"/>
              <w:rPr>
                <w:color w:val="000000"/>
                <w:sz w:val="16"/>
                <w:szCs w:val="16"/>
              </w:rPr>
            </w:pPr>
            <w:r w:rsidRPr="00872D7E">
              <w:rPr>
                <w:color w:val="000000"/>
                <w:sz w:val="16"/>
                <w:szCs w:val="16"/>
              </w:rPr>
              <w:t>Sermaye Benzeri Borçlanma Araçları</w:t>
            </w:r>
          </w:p>
        </w:tc>
        <w:tc>
          <w:tcPr>
            <w:tcW w:w="733" w:type="pct"/>
            <w:shd w:val="clear" w:color="auto" w:fill="auto"/>
            <w:vAlign w:val="bottom"/>
            <w:hideMark/>
          </w:tcPr>
          <w:p w14:paraId="19531D4C" w14:textId="77777777" w:rsidR="00303606" w:rsidRPr="00872D7E" w:rsidRDefault="00303606" w:rsidP="002402EB">
            <w:pPr>
              <w:ind w:right="-78"/>
              <w:jc w:val="right"/>
              <w:rPr>
                <w:color w:val="000000"/>
                <w:sz w:val="16"/>
                <w:szCs w:val="16"/>
              </w:rPr>
            </w:pPr>
            <w:r w:rsidRPr="00872D7E">
              <w:rPr>
                <w:color w:val="000000"/>
                <w:sz w:val="16"/>
                <w:szCs w:val="16"/>
              </w:rPr>
              <w:t>500.000</w:t>
            </w:r>
          </w:p>
        </w:tc>
        <w:tc>
          <w:tcPr>
            <w:tcW w:w="1848" w:type="pct"/>
            <w:shd w:val="clear" w:color="auto" w:fill="auto"/>
            <w:noWrap/>
            <w:vAlign w:val="bottom"/>
            <w:hideMark/>
          </w:tcPr>
          <w:p w14:paraId="24979E97" w14:textId="77777777" w:rsidR="00303606" w:rsidRPr="00872D7E" w:rsidRDefault="00303606" w:rsidP="002402EB">
            <w:pPr>
              <w:ind w:right="-78"/>
              <w:rPr>
                <w:color w:val="000000"/>
                <w:sz w:val="16"/>
                <w:szCs w:val="16"/>
              </w:rPr>
            </w:pPr>
            <w:r w:rsidRPr="00872D7E">
              <w:rPr>
                <w:color w:val="000000"/>
                <w:sz w:val="16"/>
                <w:szCs w:val="16"/>
              </w:rPr>
              <w:t>Sermaye Benzeri Borçlanma Araçları</w:t>
            </w:r>
          </w:p>
        </w:tc>
        <w:tc>
          <w:tcPr>
            <w:tcW w:w="607" w:type="pct"/>
            <w:shd w:val="clear" w:color="auto" w:fill="auto"/>
            <w:vAlign w:val="bottom"/>
            <w:hideMark/>
          </w:tcPr>
          <w:p w14:paraId="67ABC040" w14:textId="77777777" w:rsidR="00303606" w:rsidRPr="00872D7E" w:rsidRDefault="00303606" w:rsidP="002402EB">
            <w:pPr>
              <w:ind w:right="-78"/>
              <w:jc w:val="right"/>
              <w:rPr>
                <w:color w:val="000000"/>
                <w:sz w:val="16"/>
                <w:szCs w:val="16"/>
              </w:rPr>
            </w:pPr>
            <w:r w:rsidRPr="00872D7E">
              <w:rPr>
                <w:color w:val="000000"/>
                <w:sz w:val="16"/>
                <w:szCs w:val="16"/>
              </w:rPr>
              <w:t>500.000</w:t>
            </w:r>
          </w:p>
        </w:tc>
      </w:tr>
      <w:tr w:rsidR="00303606" w:rsidRPr="00872D7E" w14:paraId="588D96BF" w14:textId="77777777" w:rsidTr="002402EB">
        <w:trPr>
          <w:trHeight w:val="113"/>
        </w:trPr>
        <w:tc>
          <w:tcPr>
            <w:tcW w:w="1812" w:type="pct"/>
            <w:shd w:val="clear" w:color="auto" w:fill="auto"/>
            <w:noWrap/>
            <w:vAlign w:val="center"/>
            <w:hideMark/>
          </w:tcPr>
          <w:p w14:paraId="3A6047FA" w14:textId="77777777" w:rsidR="00303606" w:rsidRPr="00872D7E" w:rsidRDefault="00303606" w:rsidP="002402EB">
            <w:pPr>
              <w:ind w:left="-66"/>
              <w:rPr>
                <w:color w:val="000000"/>
                <w:sz w:val="16"/>
                <w:szCs w:val="16"/>
              </w:rPr>
            </w:pPr>
            <w:r w:rsidRPr="00872D7E">
              <w:rPr>
                <w:color w:val="000000"/>
                <w:sz w:val="16"/>
                <w:szCs w:val="16"/>
              </w:rPr>
              <w:t>Diğer Yükümlülükler</w:t>
            </w:r>
          </w:p>
        </w:tc>
        <w:tc>
          <w:tcPr>
            <w:tcW w:w="733" w:type="pct"/>
            <w:shd w:val="clear" w:color="auto" w:fill="auto"/>
            <w:vAlign w:val="bottom"/>
            <w:hideMark/>
          </w:tcPr>
          <w:p w14:paraId="1AB60748" w14:textId="77777777" w:rsidR="00303606" w:rsidRPr="00872D7E" w:rsidRDefault="00303606" w:rsidP="002402EB">
            <w:pPr>
              <w:ind w:right="-78"/>
              <w:jc w:val="right"/>
              <w:rPr>
                <w:color w:val="000000"/>
                <w:sz w:val="16"/>
                <w:szCs w:val="16"/>
              </w:rPr>
            </w:pPr>
            <w:r w:rsidRPr="00872D7E">
              <w:rPr>
                <w:color w:val="000000"/>
                <w:sz w:val="16"/>
                <w:szCs w:val="16"/>
              </w:rPr>
              <w:t>16.686</w:t>
            </w:r>
          </w:p>
        </w:tc>
        <w:tc>
          <w:tcPr>
            <w:tcW w:w="1848" w:type="pct"/>
            <w:shd w:val="clear" w:color="auto" w:fill="auto"/>
            <w:noWrap/>
            <w:vAlign w:val="bottom"/>
            <w:hideMark/>
          </w:tcPr>
          <w:p w14:paraId="5442173E" w14:textId="77777777" w:rsidR="00303606" w:rsidRPr="00872D7E" w:rsidRDefault="00303606" w:rsidP="002402EB">
            <w:pPr>
              <w:ind w:right="-78"/>
              <w:rPr>
                <w:color w:val="000000"/>
                <w:sz w:val="16"/>
                <w:szCs w:val="16"/>
              </w:rPr>
            </w:pPr>
            <w:r w:rsidRPr="00872D7E">
              <w:rPr>
                <w:color w:val="000000"/>
                <w:sz w:val="16"/>
                <w:szCs w:val="16"/>
              </w:rPr>
              <w:t>Diğer Yükümlülükler</w:t>
            </w:r>
          </w:p>
        </w:tc>
        <w:tc>
          <w:tcPr>
            <w:tcW w:w="607" w:type="pct"/>
            <w:shd w:val="clear" w:color="auto" w:fill="auto"/>
            <w:vAlign w:val="bottom"/>
            <w:hideMark/>
          </w:tcPr>
          <w:p w14:paraId="0682874F" w14:textId="77777777" w:rsidR="00303606" w:rsidRPr="00872D7E" w:rsidRDefault="00303606" w:rsidP="002402EB">
            <w:pPr>
              <w:ind w:right="-78"/>
              <w:jc w:val="right"/>
              <w:rPr>
                <w:color w:val="000000"/>
                <w:sz w:val="16"/>
                <w:szCs w:val="16"/>
              </w:rPr>
            </w:pPr>
            <w:r w:rsidRPr="00872D7E">
              <w:rPr>
                <w:color w:val="000000"/>
                <w:sz w:val="16"/>
                <w:szCs w:val="16"/>
              </w:rPr>
              <w:t>16.686</w:t>
            </w:r>
          </w:p>
        </w:tc>
      </w:tr>
      <w:tr w:rsidR="00303606" w:rsidRPr="00872D7E" w14:paraId="13F598B5" w14:textId="77777777" w:rsidTr="002402EB">
        <w:trPr>
          <w:trHeight w:val="113"/>
        </w:trPr>
        <w:tc>
          <w:tcPr>
            <w:tcW w:w="1812" w:type="pct"/>
            <w:shd w:val="clear" w:color="auto" w:fill="auto"/>
            <w:noWrap/>
            <w:vAlign w:val="center"/>
            <w:hideMark/>
          </w:tcPr>
          <w:p w14:paraId="4ADD0E4E" w14:textId="77777777" w:rsidR="00303606" w:rsidRPr="00872D7E" w:rsidRDefault="00303606" w:rsidP="002402EB">
            <w:pPr>
              <w:ind w:left="-66"/>
              <w:rPr>
                <w:color w:val="000000"/>
                <w:sz w:val="16"/>
                <w:szCs w:val="16"/>
              </w:rPr>
            </w:pPr>
            <w:r w:rsidRPr="00872D7E">
              <w:rPr>
                <w:color w:val="000000"/>
                <w:sz w:val="16"/>
                <w:szCs w:val="16"/>
              </w:rPr>
              <w:t>Özkaynaklar</w:t>
            </w:r>
          </w:p>
        </w:tc>
        <w:tc>
          <w:tcPr>
            <w:tcW w:w="733" w:type="pct"/>
            <w:shd w:val="clear" w:color="auto" w:fill="auto"/>
            <w:vAlign w:val="bottom"/>
            <w:hideMark/>
          </w:tcPr>
          <w:p w14:paraId="1D7A95EA" w14:textId="77777777" w:rsidR="00303606" w:rsidRPr="00872D7E" w:rsidRDefault="00303606" w:rsidP="002402EB">
            <w:pPr>
              <w:ind w:right="-78"/>
              <w:jc w:val="right"/>
              <w:rPr>
                <w:color w:val="000000"/>
                <w:sz w:val="16"/>
                <w:szCs w:val="16"/>
              </w:rPr>
            </w:pPr>
            <w:r w:rsidRPr="00872D7E">
              <w:rPr>
                <w:color w:val="000000"/>
                <w:sz w:val="16"/>
                <w:szCs w:val="16"/>
              </w:rPr>
              <w:t>84.044</w:t>
            </w:r>
          </w:p>
        </w:tc>
        <w:tc>
          <w:tcPr>
            <w:tcW w:w="1848" w:type="pct"/>
            <w:shd w:val="clear" w:color="auto" w:fill="auto"/>
            <w:noWrap/>
            <w:vAlign w:val="bottom"/>
            <w:hideMark/>
          </w:tcPr>
          <w:p w14:paraId="02D5E1BE" w14:textId="77777777" w:rsidR="00303606" w:rsidRPr="00872D7E" w:rsidRDefault="00303606" w:rsidP="002402EB">
            <w:pPr>
              <w:ind w:right="-78"/>
              <w:rPr>
                <w:color w:val="000000"/>
                <w:sz w:val="16"/>
                <w:szCs w:val="16"/>
              </w:rPr>
            </w:pPr>
            <w:r w:rsidRPr="00872D7E">
              <w:rPr>
                <w:color w:val="000000"/>
                <w:sz w:val="16"/>
                <w:szCs w:val="16"/>
              </w:rPr>
              <w:t>Özkaynaklar</w:t>
            </w:r>
          </w:p>
        </w:tc>
        <w:tc>
          <w:tcPr>
            <w:tcW w:w="607" w:type="pct"/>
            <w:shd w:val="clear" w:color="auto" w:fill="auto"/>
            <w:vAlign w:val="bottom"/>
            <w:hideMark/>
          </w:tcPr>
          <w:p w14:paraId="6241DE2F" w14:textId="77777777" w:rsidR="00303606" w:rsidRPr="00872D7E" w:rsidRDefault="00303606" w:rsidP="002402EB">
            <w:pPr>
              <w:ind w:right="-78"/>
              <w:jc w:val="right"/>
              <w:rPr>
                <w:color w:val="000000"/>
                <w:sz w:val="16"/>
                <w:szCs w:val="16"/>
              </w:rPr>
            </w:pPr>
            <w:r w:rsidRPr="00872D7E">
              <w:rPr>
                <w:color w:val="000000"/>
                <w:sz w:val="16"/>
                <w:szCs w:val="16"/>
              </w:rPr>
              <w:t>84.044</w:t>
            </w:r>
          </w:p>
        </w:tc>
      </w:tr>
      <w:tr w:rsidR="000A74AE" w:rsidRPr="00872D7E" w14:paraId="7B1FC4B3" w14:textId="77777777" w:rsidTr="00561B8F">
        <w:trPr>
          <w:trHeight w:val="113"/>
        </w:trPr>
        <w:tc>
          <w:tcPr>
            <w:tcW w:w="1812" w:type="pct"/>
            <w:shd w:val="clear" w:color="auto" w:fill="auto"/>
            <w:noWrap/>
            <w:vAlign w:val="center"/>
            <w:hideMark/>
          </w:tcPr>
          <w:p w14:paraId="4FF003E3" w14:textId="77777777" w:rsidR="000A74AE" w:rsidRPr="00872D7E" w:rsidRDefault="000A74AE" w:rsidP="000A74AE">
            <w:pPr>
              <w:ind w:left="-66"/>
              <w:rPr>
                <w:b/>
                <w:bCs/>
                <w:color w:val="000000"/>
                <w:sz w:val="16"/>
                <w:szCs w:val="16"/>
              </w:rPr>
            </w:pPr>
            <w:r w:rsidRPr="00872D7E">
              <w:rPr>
                <w:b/>
                <w:bCs/>
                <w:color w:val="000000"/>
                <w:sz w:val="16"/>
                <w:szCs w:val="16"/>
              </w:rPr>
              <w:t>Yükümlülükler Toplamı</w:t>
            </w:r>
          </w:p>
        </w:tc>
        <w:tc>
          <w:tcPr>
            <w:tcW w:w="733" w:type="pct"/>
            <w:shd w:val="clear" w:color="auto" w:fill="auto"/>
            <w:vAlign w:val="bottom"/>
            <w:hideMark/>
          </w:tcPr>
          <w:p w14:paraId="45D1F4C8" w14:textId="77777777" w:rsidR="000A74AE" w:rsidRPr="00872D7E" w:rsidRDefault="000A74AE" w:rsidP="000A74AE">
            <w:pPr>
              <w:ind w:right="-78"/>
              <w:jc w:val="right"/>
              <w:rPr>
                <w:b/>
                <w:bCs/>
                <w:color w:val="000000"/>
                <w:sz w:val="16"/>
                <w:szCs w:val="16"/>
              </w:rPr>
            </w:pPr>
            <w:r w:rsidRPr="00872D7E">
              <w:rPr>
                <w:b/>
                <w:bCs/>
                <w:color w:val="000000"/>
                <w:sz w:val="16"/>
                <w:szCs w:val="16"/>
              </w:rPr>
              <w:t>654.301</w:t>
            </w:r>
          </w:p>
        </w:tc>
        <w:tc>
          <w:tcPr>
            <w:tcW w:w="1848" w:type="pct"/>
            <w:shd w:val="clear" w:color="auto" w:fill="auto"/>
            <w:noWrap/>
            <w:vAlign w:val="center"/>
            <w:hideMark/>
          </w:tcPr>
          <w:p w14:paraId="22A863EA" w14:textId="66E6BDCA" w:rsidR="000A74AE" w:rsidRPr="00872D7E" w:rsidRDefault="000A74AE" w:rsidP="000A74AE">
            <w:pPr>
              <w:ind w:right="-78"/>
              <w:rPr>
                <w:b/>
                <w:bCs/>
                <w:color w:val="000000"/>
                <w:sz w:val="16"/>
                <w:szCs w:val="16"/>
              </w:rPr>
            </w:pPr>
            <w:r w:rsidRPr="00872D7E">
              <w:rPr>
                <w:b/>
                <w:bCs/>
                <w:color w:val="000000"/>
                <w:sz w:val="16"/>
                <w:szCs w:val="16"/>
              </w:rPr>
              <w:t>Yükümlülükler Toplamı</w:t>
            </w:r>
          </w:p>
        </w:tc>
        <w:tc>
          <w:tcPr>
            <w:tcW w:w="607" w:type="pct"/>
            <w:shd w:val="clear" w:color="auto" w:fill="auto"/>
            <w:vAlign w:val="bottom"/>
            <w:hideMark/>
          </w:tcPr>
          <w:p w14:paraId="310DD7E2" w14:textId="77777777" w:rsidR="000A74AE" w:rsidRPr="00872D7E" w:rsidRDefault="000A74AE" w:rsidP="000A74AE">
            <w:pPr>
              <w:ind w:right="-78"/>
              <w:jc w:val="right"/>
              <w:rPr>
                <w:b/>
                <w:bCs/>
                <w:color w:val="000000"/>
                <w:sz w:val="16"/>
                <w:szCs w:val="16"/>
              </w:rPr>
            </w:pPr>
            <w:r w:rsidRPr="00872D7E">
              <w:rPr>
                <w:b/>
                <w:bCs/>
                <w:color w:val="000000"/>
                <w:sz w:val="16"/>
                <w:szCs w:val="16"/>
              </w:rPr>
              <w:t>654.301</w:t>
            </w:r>
          </w:p>
        </w:tc>
      </w:tr>
    </w:tbl>
    <w:p w14:paraId="03DC308B" w14:textId="77777777" w:rsidR="0097685D" w:rsidRPr="00872D7E" w:rsidRDefault="0097685D" w:rsidP="0097685D">
      <w:pPr>
        <w:ind w:left="868"/>
        <w:jc w:val="both"/>
        <w:rPr>
          <w:bCs/>
          <w:szCs w:val="20"/>
        </w:rPr>
      </w:pPr>
    </w:p>
    <w:p w14:paraId="4915AF96" w14:textId="77777777" w:rsidR="000350F9" w:rsidRPr="00872D7E" w:rsidRDefault="000350F9">
      <w:pPr>
        <w:rPr>
          <w:b/>
          <w:szCs w:val="20"/>
        </w:rPr>
      </w:pPr>
      <w:r w:rsidRPr="00872D7E">
        <w:rPr>
          <w:b/>
          <w:szCs w:val="20"/>
        </w:rPr>
        <w:br w:type="page"/>
      </w:r>
    </w:p>
    <w:p w14:paraId="54C3A920" w14:textId="77777777" w:rsidR="000350F9" w:rsidRPr="00872D7E" w:rsidRDefault="000350F9" w:rsidP="000350F9">
      <w:pPr>
        <w:pStyle w:val="BodyTextIndent"/>
        <w:widowControl w:val="0"/>
        <w:ind w:firstLine="0"/>
        <w:jc w:val="left"/>
        <w:rPr>
          <w:b/>
          <w:szCs w:val="20"/>
        </w:rPr>
      </w:pPr>
      <w:r w:rsidRPr="00872D7E">
        <w:rPr>
          <w:b/>
          <w:szCs w:val="20"/>
        </w:rPr>
        <w:lastRenderedPageBreak/>
        <w:t>MUHASEBE POLİTİKALARINA İLİŞKİN AÇIKLAMALAR (Devamı)</w:t>
      </w:r>
    </w:p>
    <w:p w14:paraId="39AD9F43" w14:textId="77777777" w:rsidR="000350F9" w:rsidRPr="00872D7E" w:rsidRDefault="000350F9" w:rsidP="0097685D">
      <w:pPr>
        <w:widowControl w:val="0"/>
        <w:ind w:left="851" w:hanging="851"/>
        <w:jc w:val="both"/>
        <w:rPr>
          <w:b/>
          <w:szCs w:val="20"/>
        </w:rPr>
      </w:pPr>
    </w:p>
    <w:p w14:paraId="0B9BCC74" w14:textId="2D553A62" w:rsidR="0097685D" w:rsidRPr="00872D7E" w:rsidRDefault="0097685D" w:rsidP="0097685D">
      <w:pPr>
        <w:widowControl w:val="0"/>
        <w:ind w:left="851" w:hanging="851"/>
        <w:jc w:val="both"/>
        <w:rPr>
          <w:b/>
          <w:szCs w:val="20"/>
        </w:rPr>
      </w:pPr>
      <w:r w:rsidRPr="00872D7E">
        <w:rPr>
          <w:b/>
          <w:szCs w:val="20"/>
        </w:rPr>
        <w:t>II.</w:t>
      </w:r>
      <w:r w:rsidRPr="00872D7E">
        <w:rPr>
          <w:b/>
          <w:szCs w:val="20"/>
        </w:rPr>
        <w:tab/>
        <w:t xml:space="preserve">FİNANSAL ARAÇLARIN KULLANIM STRATEJİSİ VE YABANCI PARA CİNSİNDEN İŞLEMLERE İLİŞKİN AÇIKLAMALAR </w:t>
      </w:r>
    </w:p>
    <w:p w14:paraId="55B7F07F" w14:textId="77777777" w:rsidR="0097685D" w:rsidRPr="00872D7E" w:rsidRDefault="0097685D" w:rsidP="0097685D">
      <w:pPr>
        <w:ind w:left="868"/>
        <w:jc w:val="both"/>
        <w:rPr>
          <w:bCs/>
          <w:szCs w:val="20"/>
        </w:rPr>
      </w:pPr>
    </w:p>
    <w:p w14:paraId="3C2C6CFC" w14:textId="77777777" w:rsidR="0097685D" w:rsidRPr="00872D7E" w:rsidRDefault="0097685D" w:rsidP="0097685D">
      <w:pPr>
        <w:widowControl w:val="0"/>
        <w:ind w:left="851"/>
        <w:jc w:val="both"/>
        <w:rPr>
          <w:bCs/>
          <w:szCs w:val="20"/>
        </w:rPr>
      </w:pPr>
      <w:r w:rsidRPr="00872D7E">
        <w:rPr>
          <w:bCs/>
          <w:szCs w:val="20"/>
        </w:rPr>
        <w:t>Banka, finansal araçlara ilişkin stratejilerini kaynak yapısını dikkate alarak oluşturmaktadır. Banka’nın kaynak yapısı, esas olarak özel cari hesaplar ile katılma hesaplarında toplanan fonlardan meydana gelmektedir. Banka vadesi gelmiş yükümlülüklerin karşılanabilirliğini sağlayan likidite yapısını, yeterli düzeyde nakit varlık bulundurarak korumaktadır.</w:t>
      </w:r>
    </w:p>
    <w:p w14:paraId="0F5DE5E7" w14:textId="77777777" w:rsidR="0097685D" w:rsidRPr="00872D7E" w:rsidRDefault="0097685D" w:rsidP="0097685D">
      <w:pPr>
        <w:widowControl w:val="0"/>
        <w:jc w:val="both"/>
        <w:rPr>
          <w:bCs/>
          <w:sz w:val="16"/>
          <w:szCs w:val="16"/>
        </w:rPr>
      </w:pPr>
    </w:p>
    <w:p w14:paraId="2049870B" w14:textId="149DB892" w:rsidR="0097685D" w:rsidRPr="00872D7E" w:rsidRDefault="0097685D" w:rsidP="0097685D">
      <w:pPr>
        <w:widowControl w:val="0"/>
        <w:autoSpaceDE w:val="0"/>
        <w:autoSpaceDN w:val="0"/>
        <w:adjustRightInd w:val="0"/>
        <w:ind w:left="851"/>
        <w:jc w:val="both"/>
        <w:rPr>
          <w:bCs/>
          <w:szCs w:val="20"/>
        </w:rPr>
      </w:pPr>
      <w:r w:rsidRPr="00872D7E">
        <w:rPr>
          <w:bCs/>
          <w:szCs w:val="20"/>
        </w:rPr>
        <w:t xml:space="preserve">Yabancı para işlemlerden doğan kur farkı gelir ve giderleri işlemin yapıldığı dönemde “Kur Değişiminin Etkilerine İlişkin Türkiye Muhasebe Standardı” (“TMS 21”) esas alınarak muhasebeleştirilmiştir. </w:t>
      </w:r>
      <w:r w:rsidR="00D54470" w:rsidRPr="00872D7E">
        <w:rPr>
          <w:bCs/>
          <w:szCs w:val="20"/>
        </w:rPr>
        <w:t>Dönem sonlarında, yabancı para aktif ve pasif hesapların bakiyeleri, dönem sonu Türkiye Cumhuriyet Merkez Bankası döviz alış kurlarından değerlemeye tabi tutularak TL’ye çevrilmiş ve oluşan kur farkları kambiyo işlemleri karı veya zararı olarak kayıtlara yansıtılmıştır.</w:t>
      </w:r>
    </w:p>
    <w:p w14:paraId="3FCE6658" w14:textId="77777777" w:rsidR="0097685D" w:rsidRPr="00872D7E" w:rsidRDefault="0097685D" w:rsidP="0097685D">
      <w:pPr>
        <w:widowControl w:val="0"/>
        <w:autoSpaceDE w:val="0"/>
        <w:autoSpaceDN w:val="0"/>
        <w:adjustRightInd w:val="0"/>
        <w:ind w:left="851"/>
        <w:jc w:val="both"/>
        <w:rPr>
          <w:bCs/>
          <w:sz w:val="16"/>
          <w:szCs w:val="16"/>
        </w:rPr>
      </w:pPr>
    </w:p>
    <w:p w14:paraId="6C392465" w14:textId="77777777" w:rsidR="0097685D" w:rsidRPr="00872D7E" w:rsidRDefault="0097685D" w:rsidP="0097685D">
      <w:pPr>
        <w:widowControl w:val="0"/>
        <w:ind w:left="851"/>
        <w:jc w:val="both"/>
        <w:rPr>
          <w:bCs/>
          <w:szCs w:val="20"/>
        </w:rPr>
      </w:pPr>
      <w:r w:rsidRPr="00872D7E">
        <w:rPr>
          <w:bCs/>
          <w:szCs w:val="20"/>
        </w:rPr>
        <w:t>Yabancı para krediler hesaplarında izlenen krediler takibe intikal ettiklerinde yabancı para krediler hesaplarında izlenmeye devam edilirler ve cari kurlarla değerlenirler.</w:t>
      </w:r>
    </w:p>
    <w:p w14:paraId="59DF9FF7" w14:textId="77777777" w:rsidR="0097685D" w:rsidRPr="00872D7E" w:rsidRDefault="0097685D" w:rsidP="0097685D">
      <w:pPr>
        <w:ind w:left="868"/>
        <w:jc w:val="both"/>
        <w:rPr>
          <w:bCs/>
          <w:szCs w:val="20"/>
        </w:rPr>
      </w:pPr>
    </w:p>
    <w:p w14:paraId="7A375B52" w14:textId="3270A7AE" w:rsidR="00F115B8" w:rsidRPr="00872D7E" w:rsidRDefault="0097685D" w:rsidP="000350F9">
      <w:pPr>
        <w:widowControl w:val="0"/>
        <w:autoSpaceDE w:val="0"/>
        <w:autoSpaceDN w:val="0"/>
        <w:adjustRightInd w:val="0"/>
        <w:ind w:left="851"/>
        <w:jc w:val="both"/>
        <w:rPr>
          <w:bCs/>
          <w:szCs w:val="20"/>
        </w:rPr>
      </w:pPr>
      <w:r w:rsidRPr="00872D7E">
        <w:rPr>
          <w:bCs/>
          <w:szCs w:val="20"/>
        </w:rPr>
        <w:t>Borçlanmayı temsil eden menkul değerler ile parasal nitelikli finansal varlıkların Türk Lirası’na dönüştürülmesinden kaynaklanan farklar gelir tablosuna dahil edilmektedir.</w:t>
      </w:r>
    </w:p>
    <w:p w14:paraId="26DD7F40" w14:textId="77777777" w:rsidR="000350F9" w:rsidRPr="00872D7E" w:rsidRDefault="000350F9" w:rsidP="000350F9">
      <w:pPr>
        <w:widowControl w:val="0"/>
        <w:autoSpaceDE w:val="0"/>
        <w:autoSpaceDN w:val="0"/>
        <w:adjustRightInd w:val="0"/>
        <w:ind w:left="851"/>
        <w:jc w:val="both"/>
        <w:rPr>
          <w:bCs/>
          <w:szCs w:val="20"/>
        </w:rPr>
      </w:pPr>
    </w:p>
    <w:bookmarkEnd w:id="20"/>
    <w:bookmarkEnd w:id="21"/>
    <w:p w14:paraId="6FA27AD9" w14:textId="653A3671" w:rsidR="00E17DB3" w:rsidRPr="00872D7E" w:rsidRDefault="008762C7" w:rsidP="0097685D">
      <w:pPr>
        <w:widowControl w:val="0"/>
        <w:autoSpaceDE w:val="0"/>
        <w:autoSpaceDN w:val="0"/>
        <w:adjustRightInd w:val="0"/>
        <w:ind w:left="851"/>
        <w:jc w:val="both"/>
        <w:rPr>
          <w:szCs w:val="20"/>
        </w:rPr>
      </w:pPr>
      <w:r w:rsidRPr="00872D7E">
        <w:rPr>
          <w:szCs w:val="20"/>
        </w:rPr>
        <w:t>Aktif ve pasif hesaplarda izlenen ve bir vadeye bağlı olmayan kıymetli maden (altın</w:t>
      </w:r>
      <w:r w:rsidR="00C9586C" w:rsidRPr="00872D7E">
        <w:rPr>
          <w:szCs w:val="20"/>
        </w:rPr>
        <w:t xml:space="preserve"> ve gümüş</w:t>
      </w:r>
      <w:r w:rsidRPr="00872D7E">
        <w:rPr>
          <w:szCs w:val="20"/>
        </w:rPr>
        <w:t xml:space="preserve">) cinsinden varlık ve yükümlülükler dönem sonu </w:t>
      </w:r>
      <w:r w:rsidR="004A5B56" w:rsidRPr="00872D7E">
        <w:rPr>
          <w:szCs w:val="20"/>
        </w:rPr>
        <w:t>Borsa İstanbul referans fiyatlarıyla</w:t>
      </w:r>
      <w:r w:rsidRPr="00872D7E">
        <w:rPr>
          <w:szCs w:val="20"/>
        </w:rPr>
        <w:t xml:space="preserve"> değerlemeye tabi tutularak Türk Lirası’na çevrilmiş ve oluşan değerleme farkları kambiyo işlemleri karı veya zararı olarak kayıtlara yansıtılmıştır.</w:t>
      </w:r>
      <w:r w:rsidR="0097685D" w:rsidRPr="00872D7E">
        <w:rPr>
          <w:szCs w:val="20"/>
        </w:rPr>
        <w:t xml:space="preserve"> </w:t>
      </w:r>
      <w:r w:rsidR="00632D27" w:rsidRPr="00872D7E">
        <w:rPr>
          <w:szCs w:val="20"/>
        </w:rPr>
        <w:t xml:space="preserve">Banka’nın aktifleştirdiği kur farkı bulunmamaktadır. </w:t>
      </w:r>
    </w:p>
    <w:p w14:paraId="5B07FC77" w14:textId="77777777" w:rsidR="00E17DB3" w:rsidRPr="00872D7E" w:rsidRDefault="00E17DB3" w:rsidP="0097685D">
      <w:pPr>
        <w:widowControl w:val="0"/>
        <w:autoSpaceDE w:val="0"/>
        <w:autoSpaceDN w:val="0"/>
        <w:adjustRightInd w:val="0"/>
        <w:ind w:left="851"/>
        <w:jc w:val="both"/>
        <w:rPr>
          <w:szCs w:val="20"/>
        </w:rPr>
      </w:pPr>
    </w:p>
    <w:p w14:paraId="2F0BD239" w14:textId="7FD357EF" w:rsidR="00A70306" w:rsidRPr="00872D7E" w:rsidRDefault="00A70306" w:rsidP="0097685D">
      <w:pPr>
        <w:pStyle w:val="BodyText2"/>
        <w:widowControl w:val="0"/>
        <w:ind w:left="851" w:hanging="851"/>
      </w:pPr>
      <w:r w:rsidRPr="00872D7E">
        <w:t>III.</w:t>
      </w:r>
      <w:r w:rsidRPr="00872D7E">
        <w:tab/>
      </w:r>
      <w:r w:rsidR="000A410D" w:rsidRPr="00872D7E">
        <w:t>VADELİ İŞLEM VE OPSİYON SÖZLEŞMELERİ İLE TÜREV ÜRÜNLERE İLİŞKİN AÇIKLAMALAR</w:t>
      </w:r>
    </w:p>
    <w:p w14:paraId="738CB37D" w14:textId="77777777" w:rsidR="00A70306" w:rsidRPr="00872D7E" w:rsidRDefault="00A70306" w:rsidP="0097685D">
      <w:pPr>
        <w:widowControl w:val="0"/>
        <w:autoSpaceDE w:val="0"/>
        <w:autoSpaceDN w:val="0"/>
        <w:adjustRightInd w:val="0"/>
        <w:jc w:val="both"/>
        <w:rPr>
          <w:color w:val="000000"/>
          <w:szCs w:val="20"/>
        </w:rPr>
      </w:pPr>
    </w:p>
    <w:p w14:paraId="77CEB9FE" w14:textId="69E162BC" w:rsidR="00A70306" w:rsidRPr="00872D7E" w:rsidRDefault="00A70306" w:rsidP="0097685D">
      <w:pPr>
        <w:widowControl w:val="0"/>
        <w:autoSpaceDE w:val="0"/>
        <w:autoSpaceDN w:val="0"/>
        <w:adjustRightInd w:val="0"/>
        <w:ind w:left="851"/>
        <w:jc w:val="both"/>
        <w:rPr>
          <w:color w:val="000000"/>
          <w:szCs w:val="20"/>
        </w:rPr>
      </w:pPr>
      <w:r w:rsidRPr="00872D7E">
        <w:rPr>
          <w:color w:val="000000"/>
          <w:szCs w:val="20"/>
        </w:rPr>
        <w:t>Türev işlemler portföyü piyasa koşullarına göre dönem içinde değişiklik göstermektedir. Banka valörlü spot döviz alım-satım işlemlerini vadeli aktif değerler alım satım taahhütlerinde muhasebeleştirmektedir.</w:t>
      </w:r>
    </w:p>
    <w:p w14:paraId="50C24194" w14:textId="77777777" w:rsidR="00A70306" w:rsidRPr="00872D7E" w:rsidRDefault="00A70306" w:rsidP="0097685D">
      <w:pPr>
        <w:widowControl w:val="0"/>
        <w:rPr>
          <w:szCs w:val="20"/>
        </w:rPr>
      </w:pPr>
    </w:p>
    <w:p w14:paraId="475AB1CB" w14:textId="471A3D85" w:rsidR="00553193" w:rsidRPr="00872D7E" w:rsidRDefault="00A70306" w:rsidP="0097685D">
      <w:pPr>
        <w:widowControl w:val="0"/>
        <w:autoSpaceDE w:val="0"/>
        <w:autoSpaceDN w:val="0"/>
        <w:adjustRightInd w:val="0"/>
        <w:ind w:left="851"/>
        <w:jc w:val="both"/>
        <w:rPr>
          <w:color w:val="000000"/>
          <w:szCs w:val="20"/>
        </w:rPr>
      </w:pPr>
      <w:r w:rsidRPr="00872D7E">
        <w:rPr>
          <w:color w:val="000000"/>
          <w:szCs w:val="20"/>
        </w:rPr>
        <w:t>Türev işlemlerden doğan yükümlülük ve alacaklar sözleşme tutarları üzerinden nazım hesaplara kaydedilmektedir.</w:t>
      </w:r>
      <w:r w:rsidRPr="00872D7E">
        <w:rPr>
          <w:szCs w:val="20"/>
        </w:rPr>
        <w:t xml:space="preserve"> </w:t>
      </w:r>
      <w:r w:rsidRPr="00872D7E">
        <w:rPr>
          <w:color w:val="000000"/>
          <w:szCs w:val="20"/>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w:t>
      </w:r>
      <w:proofErr w:type="gramStart"/>
      <w:r w:rsidRPr="00872D7E">
        <w:rPr>
          <w:color w:val="000000"/>
          <w:szCs w:val="20"/>
        </w:rPr>
        <w:t>kar</w:t>
      </w:r>
      <w:proofErr w:type="gramEnd"/>
      <w:r w:rsidRPr="00872D7E">
        <w:rPr>
          <w:color w:val="000000"/>
          <w:szCs w:val="20"/>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54B6E9A9" w14:textId="77777777" w:rsidR="00553193" w:rsidRPr="00872D7E" w:rsidRDefault="00553193">
      <w:pPr>
        <w:rPr>
          <w:color w:val="000000"/>
          <w:szCs w:val="20"/>
        </w:rPr>
      </w:pPr>
      <w:r w:rsidRPr="00872D7E">
        <w:rPr>
          <w:color w:val="000000"/>
          <w:szCs w:val="20"/>
        </w:rPr>
        <w:br w:type="page"/>
      </w:r>
    </w:p>
    <w:p w14:paraId="4B3A7203" w14:textId="77777777" w:rsidR="009B0E8B" w:rsidRPr="00872D7E" w:rsidRDefault="009B0E8B" w:rsidP="009B0E8B">
      <w:pPr>
        <w:pStyle w:val="BodyTextIndent"/>
        <w:widowControl w:val="0"/>
        <w:ind w:firstLine="0"/>
        <w:jc w:val="left"/>
        <w:rPr>
          <w:b/>
          <w:szCs w:val="20"/>
        </w:rPr>
      </w:pPr>
      <w:bookmarkStart w:id="22" w:name="_Hlk173918862"/>
      <w:r w:rsidRPr="00872D7E">
        <w:rPr>
          <w:b/>
          <w:szCs w:val="20"/>
        </w:rPr>
        <w:lastRenderedPageBreak/>
        <w:t>MUHASEBE POLİTİKALARINA İLİŞKİN AÇIKLAMALAR (Devamı)</w:t>
      </w:r>
    </w:p>
    <w:p w14:paraId="1C4CD956" w14:textId="77777777" w:rsidR="009B0E8B" w:rsidRPr="00872D7E" w:rsidRDefault="009B0E8B" w:rsidP="0097685D">
      <w:pPr>
        <w:widowControl w:val="0"/>
        <w:autoSpaceDE w:val="0"/>
        <w:autoSpaceDN w:val="0"/>
        <w:adjustRightInd w:val="0"/>
        <w:ind w:left="851" w:hanging="851"/>
        <w:jc w:val="both"/>
        <w:rPr>
          <w:b/>
          <w:szCs w:val="20"/>
        </w:rPr>
      </w:pPr>
    </w:p>
    <w:p w14:paraId="73DA4412" w14:textId="5C2BEDC0" w:rsidR="00A70306" w:rsidRPr="00872D7E" w:rsidRDefault="00A70306" w:rsidP="0097685D">
      <w:pPr>
        <w:widowControl w:val="0"/>
        <w:autoSpaceDE w:val="0"/>
        <w:autoSpaceDN w:val="0"/>
        <w:adjustRightInd w:val="0"/>
        <w:ind w:left="851" w:hanging="851"/>
        <w:jc w:val="both"/>
        <w:rPr>
          <w:b/>
          <w:szCs w:val="20"/>
        </w:rPr>
      </w:pPr>
      <w:r w:rsidRPr="00872D7E">
        <w:rPr>
          <w:b/>
          <w:szCs w:val="20"/>
        </w:rPr>
        <w:t>IV.</w:t>
      </w:r>
      <w:r w:rsidRPr="00872D7E">
        <w:rPr>
          <w:b/>
          <w:szCs w:val="20"/>
        </w:rPr>
        <w:tab/>
      </w:r>
      <w:r w:rsidR="000A410D" w:rsidRPr="00872D7E">
        <w:rPr>
          <w:b/>
          <w:szCs w:val="20"/>
        </w:rPr>
        <w:t>KAR PAYI GELİR VE GİDERİNE İLİŞKİN AÇIKLAMALAR</w:t>
      </w:r>
    </w:p>
    <w:p w14:paraId="1772652C" w14:textId="77777777" w:rsidR="00A70306" w:rsidRPr="00872D7E" w:rsidRDefault="00A70306" w:rsidP="0097685D">
      <w:pPr>
        <w:pStyle w:val="BodyTextIndent"/>
        <w:widowControl w:val="0"/>
        <w:ind w:firstLine="0"/>
        <w:jc w:val="left"/>
        <w:rPr>
          <w:i/>
          <w:sz w:val="14"/>
          <w:szCs w:val="14"/>
          <w:lang w:eastAsia="tr-TR"/>
        </w:rPr>
      </w:pPr>
    </w:p>
    <w:p w14:paraId="1A9FFB90" w14:textId="124BE29F" w:rsidR="00A70306" w:rsidRPr="00872D7E" w:rsidRDefault="00020D5C" w:rsidP="0097685D">
      <w:pPr>
        <w:pStyle w:val="BodyTextIndent"/>
        <w:widowControl w:val="0"/>
        <w:ind w:left="851" w:firstLine="0"/>
        <w:jc w:val="left"/>
        <w:rPr>
          <w:i/>
          <w:szCs w:val="20"/>
          <w:lang w:eastAsia="tr-TR"/>
        </w:rPr>
      </w:pPr>
      <w:r w:rsidRPr="00872D7E">
        <w:rPr>
          <w:i/>
          <w:szCs w:val="20"/>
          <w:lang w:eastAsia="tr-TR"/>
        </w:rPr>
        <w:t>Kâr</w:t>
      </w:r>
      <w:r w:rsidR="00A70306" w:rsidRPr="00872D7E">
        <w:rPr>
          <w:i/>
          <w:szCs w:val="20"/>
          <w:lang w:eastAsia="tr-TR"/>
        </w:rPr>
        <w:t xml:space="preserve"> payı gelirleri</w:t>
      </w:r>
    </w:p>
    <w:p w14:paraId="06828E18" w14:textId="77777777" w:rsidR="00A70306" w:rsidRPr="00872D7E" w:rsidRDefault="00A70306" w:rsidP="0097685D">
      <w:pPr>
        <w:pStyle w:val="BodyTextIndent"/>
        <w:widowControl w:val="0"/>
        <w:ind w:left="851" w:firstLine="0"/>
        <w:jc w:val="left"/>
        <w:rPr>
          <w:i/>
          <w:szCs w:val="20"/>
          <w:lang w:eastAsia="tr-TR"/>
        </w:rPr>
      </w:pPr>
    </w:p>
    <w:p w14:paraId="161A2E2D" w14:textId="649FB528" w:rsidR="004B029B" w:rsidRPr="00872D7E" w:rsidRDefault="00020D5C" w:rsidP="0097685D">
      <w:pPr>
        <w:widowControl w:val="0"/>
        <w:autoSpaceDE w:val="0"/>
        <w:autoSpaceDN w:val="0"/>
        <w:adjustRightInd w:val="0"/>
        <w:ind w:left="851"/>
        <w:jc w:val="both"/>
        <w:rPr>
          <w:szCs w:val="20"/>
        </w:rPr>
      </w:pPr>
      <w:r w:rsidRPr="00872D7E">
        <w:rPr>
          <w:szCs w:val="20"/>
        </w:rPr>
        <w:t>Kâr</w:t>
      </w:r>
      <w:r w:rsidR="004B029B" w:rsidRPr="00872D7E">
        <w:rPr>
          <w:szCs w:val="20"/>
        </w:rPr>
        <w:t xml:space="preserve"> payı gelirleri, TFRS 9 da belirlenen finansal varlığın gelecekteki nakit akımlarının bugünkü net değerine eşitleyen iç verim oranı yöntemine göre muhasebeleştirilmekte ve tahakkuk esasına göre kayıtlara yansıtılmaktadır.</w:t>
      </w:r>
    </w:p>
    <w:p w14:paraId="4E379779" w14:textId="77777777" w:rsidR="00A70306" w:rsidRPr="00872D7E" w:rsidRDefault="00A70306" w:rsidP="0097685D">
      <w:pPr>
        <w:widowControl w:val="0"/>
        <w:autoSpaceDE w:val="0"/>
        <w:autoSpaceDN w:val="0"/>
        <w:adjustRightInd w:val="0"/>
        <w:ind w:left="851"/>
        <w:jc w:val="both"/>
        <w:rPr>
          <w:szCs w:val="20"/>
        </w:rPr>
      </w:pPr>
    </w:p>
    <w:p w14:paraId="14575510" w14:textId="37566625" w:rsidR="00A70306" w:rsidRPr="00872D7E" w:rsidRDefault="00020D5C" w:rsidP="0097685D">
      <w:pPr>
        <w:pStyle w:val="BodyTextIndent"/>
        <w:widowControl w:val="0"/>
        <w:ind w:left="851" w:firstLine="0"/>
        <w:jc w:val="left"/>
        <w:rPr>
          <w:i/>
          <w:szCs w:val="20"/>
          <w:lang w:eastAsia="tr-TR"/>
        </w:rPr>
      </w:pPr>
      <w:r w:rsidRPr="00872D7E">
        <w:rPr>
          <w:i/>
          <w:szCs w:val="20"/>
          <w:lang w:eastAsia="tr-TR"/>
        </w:rPr>
        <w:t>Kâr</w:t>
      </w:r>
      <w:r w:rsidR="00A70306" w:rsidRPr="00872D7E">
        <w:rPr>
          <w:i/>
          <w:szCs w:val="20"/>
          <w:lang w:eastAsia="tr-TR"/>
        </w:rPr>
        <w:t xml:space="preserve"> payı giderleri</w:t>
      </w:r>
    </w:p>
    <w:p w14:paraId="75671496" w14:textId="77777777" w:rsidR="00A70306" w:rsidRPr="00872D7E" w:rsidRDefault="00A70306" w:rsidP="0097685D">
      <w:pPr>
        <w:pStyle w:val="BodyTextIndent"/>
        <w:widowControl w:val="0"/>
        <w:ind w:left="851" w:firstLine="0"/>
        <w:jc w:val="left"/>
        <w:rPr>
          <w:i/>
          <w:szCs w:val="20"/>
          <w:lang w:eastAsia="tr-TR"/>
        </w:rPr>
      </w:pPr>
    </w:p>
    <w:p w14:paraId="0E8DAD2A" w14:textId="7DCC5228" w:rsidR="00A70306" w:rsidRPr="00872D7E" w:rsidRDefault="00A70306" w:rsidP="0097685D">
      <w:pPr>
        <w:pStyle w:val="BodyText"/>
        <w:widowControl w:val="0"/>
        <w:tabs>
          <w:tab w:val="clear" w:pos="0"/>
          <w:tab w:val="clear" w:pos="567"/>
          <w:tab w:val="clear" w:pos="720"/>
        </w:tabs>
        <w:ind w:left="851"/>
        <w:rPr>
          <w:color w:val="auto"/>
          <w:lang w:eastAsia="tr-TR"/>
        </w:rPr>
      </w:pPr>
      <w:r w:rsidRPr="00872D7E">
        <w:rPr>
          <w:color w:val="auto"/>
          <w:lang w:eastAsia="tr-TR"/>
        </w:rPr>
        <w:t xml:space="preserve">Banka, </w:t>
      </w:r>
      <w:r w:rsidR="00020D5C" w:rsidRPr="00872D7E">
        <w:rPr>
          <w:color w:val="auto"/>
          <w:lang w:eastAsia="tr-TR"/>
        </w:rPr>
        <w:t>kâr</w:t>
      </w:r>
      <w:r w:rsidRPr="00872D7E">
        <w:rPr>
          <w:color w:val="auto"/>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bookmarkEnd w:id="22"/>
    <w:p w14:paraId="7FA12229" w14:textId="77777777" w:rsidR="00332B3C" w:rsidRPr="00872D7E" w:rsidRDefault="00332B3C" w:rsidP="0097685D">
      <w:pPr>
        <w:pStyle w:val="BodyText"/>
        <w:widowControl w:val="0"/>
        <w:tabs>
          <w:tab w:val="clear" w:pos="0"/>
          <w:tab w:val="clear" w:pos="567"/>
          <w:tab w:val="clear" w:pos="720"/>
        </w:tabs>
        <w:ind w:left="851"/>
        <w:rPr>
          <w:color w:val="auto"/>
          <w:lang w:eastAsia="tr-TR"/>
        </w:rPr>
      </w:pPr>
    </w:p>
    <w:p w14:paraId="697A69A2" w14:textId="089874B0" w:rsidR="00332B3C" w:rsidRPr="00872D7E" w:rsidRDefault="00332B3C" w:rsidP="0097685D">
      <w:pPr>
        <w:pStyle w:val="BodyText"/>
        <w:widowControl w:val="0"/>
        <w:tabs>
          <w:tab w:val="clear" w:pos="0"/>
          <w:tab w:val="clear" w:pos="567"/>
          <w:tab w:val="clear" w:pos="720"/>
        </w:tabs>
        <w:ind w:left="851" w:hanging="851"/>
        <w:rPr>
          <w:b/>
          <w:color w:val="auto"/>
        </w:rPr>
      </w:pPr>
      <w:r w:rsidRPr="00872D7E">
        <w:rPr>
          <w:b/>
          <w:color w:val="auto"/>
        </w:rPr>
        <w:t>V.</w:t>
      </w:r>
      <w:r w:rsidRPr="00872D7E">
        <w:t xml:space="preserve"> </w:t>
      </w:r>
      <w:r w:rsidRPr="00872D7E">
        <w:tab/>
      </w:r>
      <w:r w:rsidR="000A410D" w:rsidRPr="00872D7E">
        <w:rPr>
          <w:b/>
          <w:color w:val="auto"/>
        </w:rPr>
        <w:t>ÜCRET VE KOMİSYON GELİR VE GİDERLERİNE İLİŞKİN AÇIKLAMALAR</w:t>
      </w:r>
    </w:p>
    <w:p w14:paraId="18336B9B" w14:textId="77777777" w:rsidR="00332B3C" w:rsidRPr="00872D7E" w:rsidRDefault="00332B3C" w:rsidP="0097685D">
      <w:pPr>
        <w:pStyle w:val="BodyTextIndent"/>
        <w:widowControl w:val="0"/>
        <w:ind w:firstLine="0"/>
        <w:rPr>
          <w:sz w:val="14"/>
          <w:szCs w:val="14"/>
        </w:rPr>
      </w:pPr>
    </w:p>
    <w:p w14:paraId="77E9931C" w14:textId="77777777" w:rsidR="00CE7522" w:rsidRPr="00872D7E" w:rsidRDefault="00CE7522" w:rsidP="00CE7522">
      <w:pPr>
        <w:widowControl w:val="0"/>
        <w:ind w:left="851"/>
        <w:jc w:val="both"/>
        <w:rPr>
          <w:szCs w:val="20"/>
        </w:rPr>
      </w:pPr>
      <w:r w:rsidRPr="00872D7E">
        <w:rPr>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 İtfa edilmiş maliyeti ile ölçülen finansal enstrümanların etkin kar oranının ayrılmaz bir parçası olanlar dışındaki ücret ve komisyonlar, TFRS 15 Müşteri Sözleşmelerinden Hasılat standardına uygun olarak muhasebeleştirilmektedir.</w:t>
      </w:r>
    </w:p>
    <w:p w14:paraId="56BD891D" w14:textId="77777777" w:rsidR="00CE7522" w:rsidRPr="00872D7E" w:rsidRDefault="00CE7522" w:rsidP="00CE7522">
      <w:pPr>
        <w:widowControl w:val="0"/>
        <w:ind w:left="851"/>
        <w:jc w:val="both"/>
        <w:rPr>
          <w:sz w:val="14"/>
          <w:szCs w:val="14"/>
        </w:rPr>
      </w:pPr>
    </w:p>
    <w:p w14:paraId="404205C3" w14:textId="77777777" w:rsidR="00CE7522" w:rsidRPr="00872D7E" w:rsidRDefault="00CE7522" w:rsidP="00CE7522">
      <w:pPr>
        <w:widowControl w:val="0"/>
        <w:ind w:left="851"/>
        <w:jc w:val="both"/>
        <w:rPr>
          <w:szCs w:val="20"/>
        </w:rPr>
      </w:pPr>
      <w:r w:rsidRPr="00872D7E">
        <w:rPr>
          <w:szCs w:val="20"/>
        </w:rPr>
        <w:t xml:space="preserve">Banka tarafından kullandırılan nakdi ve </w:t>
      </w:r>
      <w:proofErr w:type="spellStart"/>
      <w:r w:rsidRPr="00872D7E">
        <w:rPr>
          <w:szCs w:val="20"/>
        </w:rPr>
        <w:t>gayrinakdi</w:t>
      </w:r>
      <w:proofErr w:type="spellEnd"/>
      <w:r w:rsidRPr="00872D7E">
        <w:rPr>
          <w:szCs w:val="20"/>
        </w:rPr>
        <w:t xml:space="preserve">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3FE3D6B7" w14:textId="77777777" w:rsidR="00CE7522" w:rsidRPr="00872D7E" w:rsidRDefault="00CE7522" w:rsidP="00CE7522">
      <w:pPr>
        <w:widowControl w:val="0"/>
        <w:ind w:left="851"/>
        <w:jc w:val="both"/>
        <w:rPr>
          <w:sz w:val="16"/>
          <w:szCs w:val="16"/>
        </w:rPr>
      </w:pPr>
    </w:p>
    <w:p w14:paraId="1F5966A9" w14:textId="2F56F2F1" w:rsidR="00332B3C" w:rsidRPr="00872D7E" w:rsidRDefault="00CE7522" w:rsidP="00CE7522">
      <w:pPr>
        <w:widowControl w:val="0"/>
        <w:ind w:left="851"/>
        <w:jc w:val="both"/>
        <w:rPr>
          <w:szCs w:val="20"/>
        </w:rPr>
      </w:pPr>
      <w:r w:rsidRPr="00872D7E">
        <w:rPr>
          <w:szCs w:val="20"/>
        </w:rPr>
        <w:t xml:space="preserve">BDDK’nın 8 Haziran 2012 tarih ve B.02.1.BDK.0.13.00.0-91.11-12061 sayılı yazısı ile uzun vadeli </w:t>
      </w:r>
      <w:proofErr w:type="spellStart"/>
      <w:r w:rsidRPr="00872D7E">
        <w:rPr>
          <w:szCs w:val="20"/>
        </w:rPr>
        <w:t>gayrinakdi</w:t>
      </w:r>
      <w:proofErr w:type="spellEnd"/>
      <w:r w:rsidRPr="00872D7E">
        <w:rPr>
          <w:szCs w:val="20"/>
        </w:rPr>
        <w:t xml:space="preserve"> kredilerden üçer aylık ya da üçer aydan daha kısa periyotlarla tahsil edilen komisyonların doğrudan gelir kaydedilmesinde sakınca bulunmadığı ifade edilmiş olup, Banka söz konusu nakdi ve </w:t>
      </w:r>
      <w:proofErr w:type="spellStart"/>
      <w:r w:rsidRPr="00872D7E">
        <w:rPr>
          <w:szCs w:val="20"/>
        </w:rPr>
        <w:t>gayrinakdi</w:t>
      </w:r>
      <w:proofErr w:type="spellEnd"/>
      <w:r w:rsidRPr="00872D7E">
        <w:rPr>
          <w:szCs w:val="20"/>
        </w:rPr>
        <w:t xml:space="preserve"> kredi komisyonlarını doğrudan gelir kaydetmektedir.</w:t>
      </w:r>
    </w:p>
    <w:p w14:paraId="2BF3BAAD" w14:textId="77777777" w:rsidR="003A6A60" w:rsidRPr="00872D7E" w:rsidRDefault="003A6A60" w:rsidP="00CE7522">
      <w:pPr>
        <w:widowControl w:val="0"/>
        <w:ind w:left="851"/>
        <w:jc w:val="both"/>
        <w:rPr>
          <w:sz w:val="16"/>
          <w:szCs w:val="16"/>
        </w:rPr>
      </w:pPr>
    </w:p>
    <w:p w14:paraId="7D6E8614" w14:textId="24487C99" w:rsidR="00332B3C" w:rsidRPr="00872D7E" w:rsidRDefault="00332B3C" w:rsidP="003A6A60">
      <w:pPr>
        <w:pStyle w:val="BodyText"/>
        <w:widowControl w:val="0"/>
        <w:tabs>
          <w:tab w:val="clear" w:pos="0"/>
          <w:tab w:val="clear" w:pos="567"/>
          <w:tab w:val="clear" w:pos="720"/>
        </w:tabs>
        <w:spacing w:after="120" w:line="223" w:lineRule="auto"/>
        <w:ind w:left="851" w:hanging="851"/>
        <w:rPr>
          <w:b/>
          <w:color w:val="auto"/>
        </w:rPr>
      </w:pPr>
      <w:r w:rsidRPr="00872D7E">
        <w:rPr>
          <w:b/>
          <w:color w:val="auto"/>
        </w:rPr>
        <w:t>VI.</w:t>
      </w:r>
      <w:r w:rsidRPr="00872D7E">
        <w:rPr>
          <w:b/>
          <w:color w:val="auto"/>
        </w:rPr>
        <w:tab/>
      </w:r>
      <w:r w:rsidR="000A410D" w:rsidRPr="00872D7E">
        <w:rPr>
          <w:b/>
          <w:color w:val="auto"/>
        </w:rPr>
        <w:t>FİNANSAL VARLIKLARA İLİŞKİN AÇIKLAMALAR</w:t>
      </w:r>
    </w:p>
    <w:p w14:paraId="5DA3302B" w14:textId="1AB70D5C" w:rsidR="00332B3C" w:rsidRPr="00872D7E" w:rsidRDefault="00332B3C" w:rsidP="003A6A60">
      <w:pPr>
        <w:spacing w:line="223" w:lineRule="auto"/>
        <w:ind w:left="851"/>
        <w:jc w:val="both"/>
        <w:rPr>
          <w:szCs w:val="20"/>
        </w:rPr>
      </w:pPr>
      <w:r w:rsidRPr="00872D7E">
        <w:rPr>
          <w:szCs w:val="2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İlgili finansal varlıklar, Kamu Gözetimi Muhasebe ve Denetim Standartları Kurumu (KGK) tarafından 19 Ocak 2017 tarihli ve 29953 sayılı </w:t>
      </w:r>
      <w:r w:rsidR="00B21AE8" w:rsidRPr="00872D7E">
        <w:rPr>
          <w:szCs w:val="20"/>
        </w:rPr>
        <w:t>Resmî</w:t>
      </w:r>
      <w:r w:rsidRPr="00872D7E">
        <w:rPr>
          <w:szCs w:val="20"/>
        </w:rPr>
        <w:t xml:space="preserve"> </w:t>
      </w:r>
      <w:proofErr w:type="spellStart"/>
      <w:r w:rsidRPr="00872D7E">
        <w:rPr>
          <w:szCs w:val="20"/>
        </w:rPr>
        <w:t>Gazete’de</w:t>
      </w:r>
      <w:proofErr w:type="spellEnd"/>
      <w:r w:rsidRPr="00872D7E">
        <w:rPr>
          <w:szCs w:val="20"/>
        </w:rPr>
        <w:t xml:space="preserve"> yayımlanan finansal araçların sınıflandırılması ve ölçümüne ilişkin “TFRS 9 Finansal Araçlar” standardının üçüncü bölümünde yer alan “Finansal Tablolara Alma ve Finansal Tablo Dışı Bırakma” hükümlerine göre muhasebeleştirilmekte veya kayıtlardan çıkarılmaktadır.</w:t>
      </w:r>
    </w:p>
    <w:p w14:paraId="587BC846" w14:textId="77777777" w:rsidR="00332B3C" w:rsidRPr="00872D7E" w:rsidRDefault="00332B3C" w:rsidP="003A6A60">
      <w:pPr>
        <w:spacing w:line="223" w:lineRule="auto"/>
        <w:ind w:left="851"/>
        <w:jc w:val="both"/>
        <w:rPr>
          <w:sz w:val="14"/>
          <w:szCs w:val="14"/>
        </w:rPr>
      </w:pPr>
    </w:p>
    <w:p w14:paraId="7E116C23" w14:textId="479C784D" w:rsidR="00332B3C" w:rsidRPr="00872D7E" w:rsidRDefault="00332B3C" w:rsidP="003A6A60">
      <w:pPr>
        <w:widowControl w:val="0"/>
        <w:spacing w:line="223" w:lineRule="auto"/>
        <w:ind w:left="851"/>
        <w:jc w:val="both"/>
        <w:rPr>
          <w:szCs w:val="20"/>
        </w:rPr>
      </w:pPr>
      <w:r w:rsidRPr="00872D7E">
        <w:rPr>
          <w:szCs w:val="20"/>
        </w:rPr>
        <w:t>İlk kez finansal tablolara alınan finansal varlıklar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Banka, finansal bir varlığı sadece finansal araca ilişkin sözleşme hükümlerine taraf olduğunda finansal durum tablosuna almaktadır. Finansal bir varlığın ilk kez finansal tablolara alınması sırasında, Banka tarafından belirlenen iş modeli ve finansal varlığın sözleşmeye bağlı nakit akışlarının özellikleri göz önünde bulundurulmaktadır.</w:t>
      </w:r>
    </w:p>
    <w:p w14:paraId="01CCFDD5" w14:textId="40DDF002" w:rsidR="003A6A60" w:rsidRPr="00872D7E" w:rsidRDefault="000966BD" w:rsidP="003A6A60">
      <w:pPr>
        <w:widowControl w:val="0"/>
        <w:spacing w:line="235" w:lineRule="auto"/>
        <w:ind w:left="851"/>
        <w:jc w:val="both"/>
        <w:rPr>
          <w:rStyle w:val="ui-provider"/>
        </w:rPr>
      </w:pPr>
      <w:r w:rsidRPr="00872D7E">
        <w:rPr>
          <w:rStyle w:val="ui-provider"/>
        </w:rPr>
        <w:t xml:space="preserve">Banka’nın itfa edilmiş maliyeti ile ölçülen menkul kıymet portföylerinde tüketici fiyatlarına (“TÜFE”) endeksli </w:t>
      </w:r>
      <w:proofErr w:type="spellStart"/>
      <w:r w:rsidRPr="00872D7E">
        <w:rPr>
          <w:rStyle w:val="ui-provider"/>
        </w:rPr>
        <w:t>sukukları</w:t>
      </w:r>
      <w:proofErr w:type="spellEnd"/>
      <w:r w:rsidRPr="00872D7E">
        <w:rPr>
          <w:rStyle w:val="ui-provider"/>
        </w:rPr>
        <w:t xml:space="preserve"> bulunmaktadır. Söz konusu </w:t>
      </w:r>
      <w:proofErr w:type="spellStart"/>
      <w:r w:rsidRPr="00872D7E">
        <w:rPr>
          <w:rStyle w:val="ui-provider"/>
        </w:rPr>
        <w:t>sukukların</w:t>
      </w:r>
      <w:proofErr w:type="spellEnd"/>
      <w:r w:rsidRPr="00872D7E">
        <w:rPr>
          <w:rStyle w:val="ui-provider"/>
        </w:rPr>
        <w:t xml:space="preserve"> yıl içerisindeki değerlemeleri reel kupon oranları ve hazine referans endeksi baz alınarak etkin iç verim oranı yöntemine göre yapılmaktadır. Bu kıymetlerin fiili kupon ödeme tutarları, alış-satış işlemleri ile yılsonu değerlemelerinde ise hazine tarafından açıklanan endeks değerleri kullanılmaktadır. </w:t>
      </w:r>
      <w:proofErr w:type="spellStart"/>
      <w:r w:rsidRPr="00872D7E">
        <w:rPr>
          <w:rStyle w:val="ui-provider"/>
        </w:rPr>
        <w:t>TÜFE’li</w:t>
      </w:r>
      <w:proofErr w:type="spellEnd"/>
      <w:r w:rsidRPr="00872D7E">
        <w:rPr>
          <w:rStyle w:val="ui-provider"/>
        </w:rPr>
        <w:t xml:space="preserve"> kıymetlere ilişkin endeks hesaplamaları T.C. Hazine ve Maliye Bakanlığı’nın TÜFE’ye Endeksli Tahviller Yatırımcı Kılavuzunda belirtildiği yöntem ile yapılmaktadır.</w:t>
      </w:r>
      <w:r w:rsidR="003A6A60" w:rsidRPr="00872D7E">
        <w:rPr>
          <w:rStyle w:val="ui-provider"/>
        </w:rPr>
        <w:br w:type="page"/>
      </w:r>
    </w:p>
    <w:p w14:paraId="3CCAB5A8" w14:textId="77777777" w:rsidR="003A6A60" w:rsidRPr="00872D7E" w:rsidRDefault="003A6A60" w:rsidP="003A6A60">
      <w:pPr>
        <w:pStyle w:val="BodyTextIndent"/>
        <w:widowControl w:val="0"/>
        <w:spacing w:line="235" w:lineRule="auto"/>
        <w:ind w:firstLine="0"/>
        <w:rPr>
          <w:b/>
          <w:szCs w:val="20"/>
        </w:rPr>
      </w:pPr>
      <w:r w:rsidRPr="00872D7E">
        <w:rPr>
          <w:b/>
          <w:szCs w:val="20"/>
        </w:rPr>
        <w:lastRenderedPageBreak/>
        <w:t xml:space="preserve">MUHASEBE POLİTİKALARINA İLİŞKİN AÇIKLAMALAR (Devamı) </w:t>
      </w:r>
    </w:p>
    <w:p w14:paraId="1D4D628E" w14:textId="77777777" w:rsidR="00332B3C" w:rsidRPr="00872D7E" w:rsidRDefault="00332B3C" w:rsidP="003A6A60">
      <w:pPr>
        <w:widowControl w:val="0"/>
        <w:spacing w:line="235" w:lineRule="auto"/>
        <w:ind w:left="851"/>
        <w:jc w:val="both"/>
        <w:rPr>
          <w:sz w:val="14"/>
          <w:szCs w:val="14"/>
        </w:rPr>
      </w:pPr>
    </w:p>
    <w:p w14:paraId="0D213A2F" w14:textId="597CFD83" w:rsidR="003A6A60" w:rsidRPr="00872D7E" w:rsidRDefault="003A6A60" w:rsidP="003A6A60">
      <w:pPr>
        <w:pStyle w:val="BodyText"/>
        <w:widowControl w:val="0"/>
        <w:tabs>
          <w:tab w:val="clear" w:pos="0"/>
          <w:tab w:val="clear" w:pos="567"/>
          <w:tab w:val="clear" w:pos="720"/>
        </w:tabs>
        <w:spacing w:line="235" w:lineRule="auto"/>
        <w:ind w:left="851" w:hanging="851"/>
        <w:rPr>
          <w:b/>
          <w:color w:val="auto"/>
        </w:rPr>
      </w:pPr>
      <w:r w:rsidRPr="00872D7E">
        <w:rPr>
          <w:b/>
          <w:color w:val="auto"/>
        </w:rPr>
        <w:t>VI.</w:t>
      </w:r>
      <w:r w:rsidRPr="00872D7E">
        <w:rPr>
          <w:b/>
          <w:color w:val="auto"/>
        </w:rPr>
        <w:tab/>
        <w:t>FİNANSAL VARLIKLARA İLİŞKİN AÇIKLAMALAR (Devamı)</w:t>
      </w:r>
    </w:p>
    <w:p w14:paraId="123EC53C" w14:textId="77777777" w:rsidR="003A6A60" w:rsidRPr="00872D7E" w:rsidRDefault="003A6A60" w:rsidP="003A6A60">
      <w:pPr>
        <w:widowControl w:val="0"/>
        <w:spacing w:line="235" w:lineRule="auto"/>
        <w:ind w:left="851"/>
        <w:jc w:val="both"/>
        <w:rPr>
          <w:sz w:val="14"/>
          <w:szCs w:val="14"/>
        </w:rPr>
      </w:pPr>
    </w:p>
    <w:p w14:paraId="63F437FC" w14:textId="0828D63B" w:rsidR="00332B3C" w:rsidRPr="00872D7E" w:rsidRDefault="00332B3C" w:rsidP="003A6A60">
      <w:pPr>
        <w:pStyle w:val="ListParagraph"/>
        <w:widowControl w:val="0"/>
        <w:numPr>
          <w:ilvl w:val="0"/>
          <w:numId w:val="41"/>
        </w:numPr>
        <w:spacing w:line="235" w:lineRule="auto"/>
        <w:ind w:left="851" w:hanging="709"/>
        <w:rPr>
          <w:b/>
          <w:szCs w:val="20"/>
        </w:rPr>
      </w:pPr>
      <w:r w:rsidRPr="00872D7E">
        <w:rPr>
          <w:b/>
          <w:bCs/>
          <w:szCs w:val="20"/>
        </w:rPr>
        <w:t>Gerçeğe uygun değer farkı kar/zarara yansıtılan finansal varlıklar:</w:t>
      </w:r>
    </w:p>
    <w:p w14:paraId="5E9D2A6F" w14:textId="77777777" w:rsidR="003A6A60" w:rsidRPr="00872D7E" w:rsidRDefault="003A6A60" w:rsidP="003A6A60">
      <w:pPr>
        <w:widowControl w:val="0"/>
        <w:spacing w:line="235" w:lineRule="auto"/>
        <w:ind w:left="426"/>
        <w:jc w:val="both"/>
        <w:rPr>
          <w:szCs w:val="20"/>
        </w:rPr>
      </w:pPr>
    </w:p>
    <w:p w14:paraId="723A4294" w14:textId="4DFF84F9" w:rsidR="00332B3C" w:rsidRPr="00872D7E" w:rsidRDefault="00332B3C" w:rsidP="003A6A60">
      <w:pPr>
        <w:widowControl w:val="0"/>
        <w:spacing w:line="235" w:lineRule="auto"/>
        <w:ind w:left="851"/>
        <w:jc w:val="both"/>
        <w:rPr>
          <w:szCs w:val="20"/>
        </w:rPr>
      </w:pPr>
      <w:r w:rsidRPr="00872D7E">
        <w:rPr>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1448AAF2" w14:textId="77777777" w:rsidR="003A6A60" w:rsidRPr="00872D7E" w:rsidRDefault="003A6A60" w:rsidP="003A6A60">
      <w:pPr>
        <w:widowControl w:val="0"/>
        <w:spacing w:line="235" w:lineRule="auto"/>
        <w:ind w:left="426"/>
        <w:jc w:val="both"/>
        <w:rPr>
          <w:sz w:val="14"/>
          <w:szCs w:val="14"/>
        </w:rPr>
      </w:pPr>
    </w:p>
    <w:p w14:paraId="401910D1" w14:textId="14926FE4" w:rsidR="00332B3C" w:rsidRPr="00872D7E" w:rsidRDefault="00332B3C" w:rsidP="003A6A60">
      <w:pPr>
        <w:pStyle w:val="ListParagraph"/>
        <w:widowControl w:val="0"/>
        <w:numPr>
          <w:ilvl w:val="0"/>
          <w:numId w:val="41"/>
        </w:numPr>
        <w:spacing w:line="235" w:lineRule="auto"/>
        <w:ind w:left="851" w:hanging="850"/>
        <w:rPr>
          <w:b/>
          <w:szCs w:val="20"/>
        </w:rPr>
      </w:pPr>
      <w:r w:rsidRPr="00872D7E">
        <w:rPr>
          <w:b/>
          <w:bCs/>
          <w:szCs w:val="20"/>
        </w:rPr>
        <w:t>Gerçeğe uygun değer farkı diğer kapsamlı gelire yansıtılan finansal varlıklar:</w:t>
      </w:r>
    </w:p>
    <w:p w14:paraId="2D469327" w14:textId="77777777" w:rsidR="003A6A60" w:rsidRPr="00872D7E" w:rsidRDefault="003A6A60" w:rsidP="003A6A60">
      <w:pPr>
        <w:widowControl w:val="0"/>
        <w:autoSpaceDE w:val="0"/>
        <w:autoSpaceDN w:val="0"/>
        <w:adjustRightInd w:val="0"/>
        <w:spacing w:line="235" w:lineRule="auto"/>
        <w:ind w:left="426"/>
        <w:jc w:val="both"/>
        <w:rPr>
          <w:sz w:val="14"/>
          <w:szCs w:val="14"/>
        </w:rPr>
      </w:pPr>
    </w:p>
    <w:p w14:paraId="4B26F61E" w14:textId="42D2D51D" w:rsidR="00332B3C" w:rsidRPr="00872D7E" w:rsidRDefault="00332B3C" w:rsidP="003A6A60">
      <w:pPr>
        <w:widowControl w:val="0"/>
        <w:autoSpaceDE w:val="0"/>
        <w:autoSpaceDN w:val="0"/>
        <w:adjustRightInd w:val="0"/>
        <w:spacing w:line="235" w:lineRule="auto"/>
        <w:ind w:left="851"/>
        <w:jc w:val="both"/>
        <w:rPr>
          <w:szCs w:val="20"/>
        </w:rPr>
      </w:pPr>
      <w:r w:rsidRPr="00872D7E">
        <w:rPr>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872D7E">
        <w:rPr>
          <w:szCs w:val="20"/>
        </w:rPr>
        <w:t>kote</w:t>
      </w:r>
      <w:proofErr w:type="spellEnd"/>
      <w:r w:rsidRPr="00872D7E">
        <w:rPr>
          <w:szCs w:val="20"/>
        </w:rPr>
        <w:t xml:space="preserve"> olmayan özkaynağa dayalı araçlar ise maliyet değerlerinden varsa değer düşüklükleri indirildikten sonraki değerleri ile kayda alınmaktadır.</w:t>
      </w:r>
    </w:p>
    <w:p w14:paraId="1E956299" w14:textId="77777777" w:rsidR="00332B3C" w:rsidRPr="00872D7E" w:rsidRDefault="00332B3C" w:rsidP="003A6A60">
      <w:pPr>
        <w:widowControl w:val="0"/>
        <w:spacing w:line="235" w:lineRule="auto"/>
        <w:ind w:left="426"/>
        <w:jc w:val="both"/>
        <w:rPr>
          <w:sz w:val="14"/>
          <w:szCs w:val="14"/>
        </w:rPr>
      </w:pPr>
    </w:p>
    <w:p w14:paraId="621A41D0" w14:textId="77777777" w:rsidR="000B65E2" w:rsidRPr="00872D7E" w:rsidRDefault="000B65E2" w:rsidP="003A6A60">
      <w:pPr>
        <w:pStyle w:val="ListParagraph"/>
        <w:widowControl w:val="0"/>
        <w:numPr>
          <w:ilvl w:val="0"/>
          <w:numId w:val="41"/>
        </w:numPr>
        <w:autoSpaceDE w:val="0"/>
        <w:autoSpaceDN w:val="0"/>
        <w:adjustRightInd w:val="0"/>
        <w:spacing w:line="235" w:lineRule="auto"/>
        <w:ind w:left="851" w:hanging="851"/>
        <w:jc w:val="both"/>
        <w:rPr>
          <w:b/>
          <w:bCs/>
          <w:szCs w:val="20"/>
        </w:rPr>
      </w:pPr>
      <w:r w:rsidRPr="00872D7E">
        <w:rPr>
          <w:b/>
          <w:bCs/>
          <w:szCs w:val="20"/>
        </w:rPr>
        <w:t>İtfa edilmiş maliyet ile ölçülen finansal varlıklar</w:t>
      </w:r>
    </w:p>
    <w:p w14:paraId="06D8E595" w14:textId="77777777" w:rsidR="003A6A60" w:rsidRPr="00872D7E" w:rsidRDefault="003A6A60" w:rsidP="003A6A60">
      <w:pPr>
        <w:widowControl w:val="0"/>
        <w:autoSpaceDE w:val="0"/>
        <w:autoSpaceDN w:val="0"/>
        <w:adjustRightInd w:val="0"/>
        <w:spacing w:line="235" w:lineRule="auto"/>
        <w:ind w:left="426"/>
        <w:jc w:val="both"/>
        <w:rPr>
          <w:sz w:val="14"/>
          <w:szCs w:val="14"/>
        </w:rPr>
      </w:pPr>
    </w:p>
    <w:p w14:paraId="6CA8619C" w14:textId="0787FBF0" w:rsidR="000B65E2" w:rsidRPr="00872D7E" w:rsidRDefault="000B65E2" w:rsidP="003A6A60">
      <w:pPr>
        <w:widowControl w:val="0"/>
        <w:autoSpaceDE w:val="0"/>
        <w:autoSpaceDN w:val="0"/>
        <w:adjustRightInd w:val="0"/>
        <w:spacing w:line="235" w:lineRule="auto"/>
        <w:ind w:left="851"/>
        <w:jc w:val="both"/>
        <w:rPr>
          <w:szCs w:val="20"/>
        </w:rPr>
      </w:pPr>
      <w:r w:rsidRPr="00872D7E">
        <w:rPr>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r w:rsidR="00020D5C" w:rsidRPr="00872D7E">
        <w:rPr>
          <w:szCs w:val="20"/>
        </w:rPr>
        <w:t>kâr</w:t>
      </w:r>
      <w:r w:rsidRPr="00872D7E">
        <w:rPr>
          <w:szCs w:val="20"/>
        </w:rPr>
        <w:t xml:space="preserve"> payı ödemelerini içeren nakit akışlarına yol açması durumunda finansal varlık itfa edilmiş maliyeti ile ölçülen finansal varlık olarak sınıflandırılmaktadır.</w:t>
      </w:r>
    </w:p>
    <w:p w14:paraId="12B59735" w14:textId="77777777" w:rsidR="000B65E2" w:rsidRPr="00872D7E" w:rsidRDefault="000B65E2" w:rsidP="003A6A60">
      <w:pPr>
        <w:widowControl w:val="0"/>
        <w:autoSpaceDE w:val="0"/>
        <w:autoSpaceDN w:val="0"/>
        <w:adjustRightInd w:val="0"/>
        <w:spacing w:line="235" w:lineRule="auto"/>
        <w:ind w:left="851"/>
        <w:jc w:val="both"/>
        <w:rPr>
          <w:sz w:val="14"/>
          <w:szCs w:val="14"/>
        </w:rPr>
      </w:pPr>
    </w:p>
    <w:p w14:paraId="6A33E3D2" w14:textId="49EC2BDE" w:rsidR="00204048" w:rsidRPr="00872D7E" w:rsidRDefault="000B65E2" w:rsidP="003A6A60">
      <w:pPr>
        <w:widowControl w:val="0"/>
        <w:autoSpaceDE w:val="0"/>
        <w:autoSpaceDN w:val="0"/>
        <w:adjustRightInd w:val="0"/>
        <w:spacing w:line="235" w:lineRule="auto"/>
        <w:ind w:left="851"/>
        <w:jc w:val="both"/>
        <w:rPr>
          <w:szCs w:val="20"/>
        </w:rPr>
      </w:pPr>
      <w:r w:rsidRPr="00872D7E">
        <w:rPr>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872D7E">
        <w:rPr>
          <w:szCs w:val="20"/>
        </w:rPr>
        <w:t>kar</w:t>
      </w:r>
      <w:proofErr w:type="gramEnd"/>
      <w:r w:rsidRPr="00872D7E">
        <w:rPr>
          <w:szCs w:val="20"/>
        </w:rPr>
        <w:t xml:space="preserve"> payı gelirleri gelir tablosuna yansıtılmaktadır.</w:t>
      </w:r>
    </w:p>
    <w:p w14:paraId="35E5AEB5" w14:textId="77777777" w:rsidR="0025237D" w:rsidRPr="00872D7E" w:rsidRDefault="0025237D" w:rsidP="003A6A60">
      <w:pPr>
        <w:widowControl w:val="0"/>
        <w:autoSpaceDE w:val="0"/>
        <w:autoSpaceDN w:val="0"/>
        <w:adjustRightInd w:val="0"/>
        <w:spacing w:line="235" w:lineRule="auto"/>
        <w:jc w:val="both"/>
        <w:rPr>
          <w:sz w:val="10"/>
          <w:szCs w:val="10"/>
        </w:rPr>
      </w:pPr>
    </w:p>
    <w:p w14:paraId="7B828601" w14:textId="147CC154" w:rsidR="00332B3C" w:rsidRPr="00872D7E" w:rsidRDefault="00332B3C" w:rsidP="003A6A60">
      <w:pPr>
        <w:pStyle w:val="ListParagraph"/>
        <w:widowControl w:val="0"/>
        <w:numPr>
          <w:ilvl w:val="0"/>
          <w:numId w:val="41"/>
        </w:numPr>
        <w:autoSpaceDE w:val="0"/>
        <w:autoSpaceDN w:val="0"/>
        <w:adjustRightInd w:val="0"/>
        <w:spacing w:line="235" w:lineRule="auto"/>
        <w:ind w:left="851" w:hanging="851"/>
        <w:jc w:val="both"/>
        <w:rPr>
          <w:b/>
          <w:bCs/>
          <w:szCs w:val="20"/>
        </w:rPr>
      </w:pPr>
      <w:r w:rsidRPr="00872D7E">
        <w:rPr>
          <w:b/>
          <w:bCs/>
          <w:szCs w:val="20"/>
        </w:rPr>
        <w:t>Krediler</w:t>
      </w:r>
    </w:p>
    <w:p w14:paraId="595BDFF5" w14:textId="77777777" w:rsidR="00332B3C" w:rsidRPr="00872D7E" w:rsidRDefault="00332B3C" w:rsidP="003A6A60">
      <w:pPr>
        <w:pStyle w:val="BodyTextIndent"/>
        <w:widowControl w:val="0"/>
        <w:spacing w:line="235" w:lineRule="auto"/>
        <w:ind w:left="851" w:firstLine="0"/>
        <w:rPr>
          <w:sz w:val="14"/>
          <w:szCs w:val="14"/>
        </w:rPr>
      </w:pPr>
    </w:p>
    <w:p w14:paraId="34AB93B2" w14:textId="77777777" w:rsidR="00332B3C" w:rsidRPr="00872D7E" w:rsidRDefault="00332B3C" w:rsidP="003A6A60">
      <w:pPr>
        <w:widowControl w:val="0"/>
        <w:autoSpaceDE w:val="0"/>
        <w:autoSpaceDN w:val="0"/>
        <w:adjustRightInd w:val="0"/>
        <w:spacing w:line="235" w:lineRule="auto"/>
        <w:ind w:left="851"/>
        <w:jc w:val="both"/>
        <w:rPr>
          <w:szCs w:val="20"/>
        </w:rPr>
      </w:pPr>
      <w:r w:rsidRPr="00872D7E">
        <w:rPr>
          <w:szCs w:val="20"/>
        </w:rPr>
        <w:t xml:space="preserve">Krediler, sabit veya belirlenebilir nitelikte ödemelere sahip olan ve aktif bir piyasada işlem görmeyen türev olmayan finansal varlıklardır. Söz konusu krediler ilk olarak gerçeğe uygun değerini yansıtan elde etme maliyet bedellerine işlem maliyetlerinin eklenmesi ile kayda alınmakta ve kayda alınmalarını takiben “iç verim oranı yöntemi” kullanılarak itfa edilmiş bedelleri ile ölçülmektedir. </w:t>
      </w:r>
    </w:p>
    <w:p w14:paraId="354DD766" w14:textId="77777777" w:rsidR="00332B3C" w:rsidRPr="00872D7E" w:rsidRDefault="00332B3C" w:rsidP="003A6A60">
      <w:pPr>
        <w:widowControl w:val="0"/>
        <w:autoSpaceDE w:val="0"/>
        <w:autoSpaceDN w:val="0"/>
        <w:adjustRightInd w:val="0"/>
        <w:spacing w:line="235" w:lineRule="auto"/>
        <w:ind w:left="851"/>
        <w:jc w:val="both"/>
        <w:rPr>
          <w:sz w:val="14"/>
          <w:szCs w:val="14"/>
        </w:rPr>
      </w:pPr>
    </w:p>
    <w:p w14:paraId="064D45B1" w14:textId="7E194DE2" w:rsidR="003A6A60" w:rsidRPr="00872D7E" w:rsidRDefault="00332B3C" w:rsidP="003A6A60">
      <w:pPr>
        <w:widowControl w:val="0"/>
        <w:autoSpaceDE w:val="0"/>
        <w:autoSpaceDN w:val="0"/>
        <w:adjustRightInd w:val="0"/>
        <w:spacing w:line="235" w:lineRule="auto"/>
        <w:ind w:left="851"/>
        <w:jc w:val="both"/>
        <w:rPr>
          <w:szCs w:val="20"/>
        </w:rPr>
      </w:pPr>
      <w:r w:rsidRPr="00872D7E">
        <w:rPr>
          <w:szCs w:val="20"/>
        </w:rPr>
        <w:t xml:space="preserve">Banka yönetimi, </w:t>
      </w:r>
      <w:r w:rsidR="0097685D" w:rsidRPr="00872D7E">
        <w:rPr>
          <w:szCs w:val="20"/>
        </w:rPr>
        <w:t>kredileri</w:t>
      </w:r>
      <w:r w:rsidR="00FB1858" w:rsidRPr="00872D7E">
        <w:rPr>
          <w:szCs w:val="20"/>
        </w:rPr>
        <w:t xml:space="preserve">, “Kredilerin Sınıflandırılması ve Bunlar İçin ayrılacak Karşılıklarına İlişkin Usul ve Esaslar Hakkında </w:t>
      </w:r>
      <w:proofErr w:type="spellStart"/>
      <w:r w:rsidR="00FB1858" w:rsidRPr="00872D7E">
        <w:rPr>
          <w:szCs w:val="20"/>
        </w:rPr>
        <w:t>Yönetmeliği”ne</w:t>
      </w:r>
      <w:proofErr w:type="spellEnd"/>
      <w:r w:rsidR="00FB1858" w:rsidRPr="00872D7E">
        <w:rPr>
          <w:szCs w:val="20"/>
        </w:rPr>
        <w:t xml:space="preserve"> kapsamında TFRS 9 uygulamayan bankalarca uygulanacak yöntemlere uygun olarak sınıflandırmalarını yapar. Banka ayrıca,</w:t>
      </w:r>
      <w:r w:rsidR="0097685D" w:rsidRPr="00872D7E">
        <w:rPr>
          <w:szCs w:val="20"/>
        </w:rPr>
        <w:t xml:space="preserve"> </w:t>
      </w:r>
      <w:r w:rsidRPr="00872D7E">
        <w:rPr>
          <w:szCs w:val="20"/>
        </w:rPr>
        <w:t xml:space="preserve">kredi portföyünü düzenli aralıklarla gözden geçirir ve kullandırılan kredilerin tahsil edilemeyeceğine dair şüphelerin görülmesi durumunda, sorunlu hale gelmiş kabul edilen krediler 22 Eylül 2016 tarih ve 29750 Sayılı Resmi </w:t>
      </w:r>
      <w:proofErr w:type="spellStart"/>
      <w:r w:rsidRPr="00872D7E">
        <w:rPr>
          <w:szCs w:val="20"/>
        </w:rPr>
        <w:t>Gazete’de</w:t>
      </w:r>
      <w:proofErr w:type="spellEnd"/>
      <w:r w:rsidRPr="00872D7E">
        <w:rPr>
          <w:szCs w:val="20"/>
        </w:rPr>
        <w:t xml:space="preserve"> yayımlanmış olan ve 18 Ekim 2018 tarih ve 30569 sayılı Resmi </w:t>
      </w:r>
      <w:proofErr w:type="spellStart"/>
      <w:r w:rsidRPr="00872D7E">
        <w:rPr>
          <w:szCs w:val="20"/>
        </w:rPr>
        <w:t>Gazete’de</w:t>
      </w:r>
      <w:proofErr w:type="spellEnd"/>
      <w:r w:rsidRPr="00872D7E">
        <w:rPr>
          <w:szCs w:val="20"/>
        </w:rPr>
        <w:t xml:space="preserve"> yayımlanan yönetmelik ile değişiklik yapılan “Kredilerin Sınıflandırılması ve Bunlar İçin ayrılacak Karşılıklarına İlişkin Usul ve Esaslar Hakkında Yönetmeliğinde (“Karşılıklar Yönetmeliği”) yer alan</w:t>
      </w:r>
      <w:r w:rsidR="00E6325F" w:rsidRPr="00872D7E">
        <w:rPr>
          <w:szCs w:val="20"/>
        </w:rPr>
        <w:t xml:space="preserve"> esaslar çerçevesinde TFRS 9 uygulamayan bankalarca uygulanacak yöntemlere uygun olarak</w:t>
      </w:r>
      <w:r w:rsidRPr="00872D7E">
        <w:rPr>
          <w:szCs w:val="20"/>
        </w:rPr>
        <w:t xml:space="preserve"> sınıflandırmalarını </w:t>
      </w:r>
      <w:r w:rsidR="00FB1858" w:rsidRPr="00872D7E">
        <w:rPr>
          <w:szCs w:val="20"/>
        </w:rPr>
        <w:t>gerçekleştirir</w:t>
      </w:r>
      <w:r w:rsidRPr="00872D7E">
        <w:rPr>
          <w:szCs w:val="20"/>
        </w:rPr>
        <w:t>.</w:t>
      </w:r>
      <w:r w:rsidR="003A6A60" w:rsidRPr="00872D7E">
        <w:rPr>
          <w:szCs w:val="20"/>
        </w:rPr>
        <w:br w:type="page"/>
      </w:r>
    </w:p>
    <w:p w14:paraId="11C128FC" w14:textId="77777777" w:rsidR="003A6A60" w:rsidRPr="00872D7E" w:rsidRDefault="003A6A60" w:rsidP="003A6A60">
      <w:pPr>
        <w:pStyle w:val="BodyTextIndent"/>
        <w:widowControl w:val="0"/>
        <w:ind w:firstLine="0"/>
        <w:rPr>
          <w:b/>
          <w:szCs w:val="20"/>
        </w:rPr>
      </w:pPr>
      <w:r w:rsidRPr="00872D7E">
        <w:rPr>
          <w:b/>
          <w:szCs w:val="20"/>
        </w:rPr>
        <w:lastRenderedPageBreak/>
        <w:t xml:space="preserve">MUHASEBE POLİTİKALARINA İLİŞKİN AÇIKLAMALAR (Devamı) </w:t>
      </w:r>
    </w:p>
    <w:p w14:paraId="3A4E010C" w14:textId="77777777" w:rsidR="003A6A60" w:rsidRPr="00872D7E" w:rsidRDefault="003A6A60" w:rsidP="003A6A60">
      <w:pPr>
        <w:widowControl w:val="0"/>
        <w:spacing w:line="235" w:lineRule="auto"/>
        <w:jc w:val="both"/>
        <w:rPr>
          <w:szCs w:val="20"/>
        </w:rPr>
      </w:pPr>
    </w:p>
    <w:p w14:paraId="34CB5604" w14:textId="2BFAB78D" w:rsidR="00E6325F" w:rsidRPr="00872D7E" w:rsidRDefault="00E6325F" w:rsidP="00DF282B">
      <w:pPr>
        <w:pStyle w:val="BodyText2"/>
        <w:widowControl w:val="0"/>
        <w:numPr>
          <w:ilvl w:val="0"/>
          <w:numId w:val="42"/>
        </w:numPr>
        <w:ind w:hanging="861"/>
      </w:pPr>
      <w:r w:rsidRPr="00872D7E">
        <w:t>FİNANSAL VARLIKLARDA DEĞER DÜŞÜKLÜĞÜNE İLİŞKİN AÇIKLAMALAR</w:t>
      </w:r>
    </w:p>
    <w:p w14:paraId="681C97DC" w14:textId="77777777" w:rsidR="00E6325F" w:rsidRPr="00872D7E" w:rsidRDefault="00E6325F" w:rsidP="00E6325F">
      <w:pPr>
        <w:pStyle w:val="BodyText2"/>
        <w:widowControl w:val="0"/>
        <w:ind w:left="861"/>
      </w:pPr>
    </w:p>
    <w:p w14:paraId="7E0FC8A1" w14:textId="77777777" w:rsidR="0097685D" w:rsidRPr="00872D7E" w:rsidRDefault="00E6325F" w:rsidP="00E6325F">
      <w:pPr>
        <w:widowControl w:val="0"/>
        <w:autoSpaceDE w:val="0"/>
        <w:autoSpaceDN w:val="0"/>
        <w:adjustRightInd w:val="0"/>
        <w:ind w:left="851"/>
        <w:jc w:val="both"/>
        <w:rPr>
          <w:szCs w:val="20"/>
        </w:rPr>
      </w:pPr>
      <w:r w:rsidRPr="00872D7E">
        <w:rPr>
          <w:szCs w:val="20"/>
        </w:rPr>
        <w:t xml:space="preserve">Banka, BDDK’nin 3 Ekim 2017 tarihli 32521522-101.02.02(27)-E.81 sayılı yazı onayı ile 1 Ocak 2018 tarihinden itibaren geçerli olan TFRS 9’un değer düşüklüğüne ilişkin hükümlerini uygulamamaktadır. </w:t>
      </w:r>
    </w:p>
    <w:p w14:paraId="506ACE4D" w14:textId="77777777" w:rsidR="0097685D" w:rsidRPr="00872D7E" w:rsidRDefault="0097685D" w:rsidP="00E6325F">
      <w:pPr>
        <w:widowControl w:val="0"/>
        <w:autoSpaceDE w:val="0"/>
        <w:autoSpaceDN w:val="0"/>
        <w:adjustRightInd w:val="0"/>
        <w:ind w:left="851"/>
        <w:jc w:val="both"/>
        <w:rPr>
          <w:szCs w:val="20"/>
        </w:rPr>
      </w:pPr>
    </w:p>
    <w:p w14:paraId="23F2ADAE" w14:textId="3E90B489" w:rsidR="00E6325F" w:rsidRPr="00872D7E" w:rsidRDefault="00E6325F" w:rsidP="00E6325F">
      <w:pPr>
        <w:widowControl w:val="0"/>
        <w:autoSpaceDE w:val="0"/>
        <w:autoSpaceDN w:val="0"/>
        <w:adjustRightInd w:val="0"/>
        <w:ind w:left="851"/>
        <w:jc w:val="both"/>
        <w:rPr>
          <w:szCs w:val="20"/>
        </w:rPr>
      </w:pPr>
      <w:r w:rsidRPr="00872D7E">
        <w:rPr>
          <w:szCs w:val="20"/>
        </w:rPr>
        <w:t>Bu kapsamda karşılık hesaplama metodunu TFRS 9’a göre beklenen kredi zararı modeli ile değil; aksi karar verilinceye kadar Kredilerin Sınıflandırılması ve Bunlar İçin Ayrılacak Karşılıklara İlişkin Usul ve Esaslar Hakkında Yönetmelik’in 10’uncu, 11’inci, 13’üncü ve 15’inci maddeleri kapsamında “TFRS 9 uygulamayan bankalarca ayrılacak genel ve özel karşılıklar” düzenlemelerine uygun olarak hesaplayıp muhasebeleştirmektedir.</w:t>
      </w:r>
    </w:p>
    <w:p w14:paraId="15B59D53" w14:textId="77777777" w:rsidR="00E6325F" w:rsidRPr="00872D7E" w:rsidRDefault="00E6325F" w:rsidP="00332B3C">
      <w:pPr>
        <w:pStyle w:val="BodyText2"/>
        <w:widowControl w:val="0"/>
        <w:ind w:left="851" w:hanging="851"/>
      </w:pPr>
    </w:p>
    <w:p w14:paraId="23E63567" w14:textId="34C6CE20" w:rsidR="00332B3C" w:rsidRPr="00872D7E" w:rsidRDefault="00E6325F" w:rsidP="00DF282B">
      <w:pPr>
        <w:pStyle w:val="BodyText2"/>
        <w:widowControl w:val="0"/>
        <w:numPr>
          <w:ilvl w:val="0"/>
          <w:numId w:val="42"/>
        </w:numPr>
        <w:ind w:hanging="861"/>
      </w:pPr>
      <w:r w:rsidRPr="00872D7E">
        <w:t>FİNANSAL ARAÇLARIN NETLEŞTİRİLMESİNE İLİŞKİN AÇIKLAMALAR</w:t>
      </w:r>
    </w:p>
    <w:p w14:paraId="519B7D72" w14:textId="77777777" w:rsidR="00332B3C" w:rsidRPr="00872D7E" w:rsidRDefault="00332B3C" w:rsidP="00332B3C">
      <w:pPr>
        <w:widowControl w:val="0"/>
        <w:autoSpaceDE w:val="0"/>
        <w:autoSpaceDN w:val="0"/>
        <w:adjustRightInd w:val="0"/>
        <w:ind w:left="851"/>
        <w:jc w:val="both"/>
        <w:rPr>
          <w:szCs w:val="20"/>
        </w:rPr>
      </w:pPr>
    </w:p>
    <w:p w14:paraId="55284DC3" w14:textId="77777777" w:rsidR="00332B3C" w:rsidRPr="00872D7E" w:rsidRDefault="00332B3C" w:rsidP="00332B3C">
      <w:pPr>
        <w:widowControl w:val="0"/>
        <w:autoSpaceDE w:val="0"/>
        <w:autoSpaceDN w:val="0"/>
        <w:adjustRightInd w:val="0"/>
        <w:ind w:left="851"/>
        <w:jc w:val="both"/>
        <w:rPr>
          <w:szCs w:val="20"/>
        </w:rPr>
      </w:pPr>
      <w:r w:rsidRPr="00872D7E">
        <w:rPr>
          <w:szCs w:val="20"/>
        </w:rPr>
        <w:t>Finansal varlıklar ve borçlar, Bankanın netleştirmeye yönelik bir hakka ve yaptırım gücüne sahip olması ve ilgili finansal varlık ve borcu net tutarları üzerinden tahsil etme/ödeme niyetinde olması veya ilgili finansal varlığı ve borcu eş zamanlı olarak sonuçlandırma hakkına sahip olması durumlarında bilançoda net tutarları üzerinden gösterilmektedir.</w:t>
      </w:r>
    </w:p>
    <w:p w14:paraId="1219B020" w14:textId="77777777" w:rsidR="00E6325F" w:rsidRPr="00872D7E" w:rsidRDefault="00E6325F" w:rsidP="0025237D">
      <w:pPr>
        <w:pStyle w:val="BodyTextIndent"/>
        <w:widowControl w:val="0"/>
        <w:spacing w:line="235" w:lineRule="auto"/>
        <w:ind w:firstLine="0"/>
        <w:jc w:val="left"/>
        <w:rPr>
          <w:b/>
          <w:szCs w:val="20"/>
        </w:rPr>
      </w:pPr>
    </w:p>
    <w:p w14:paraId="7CAB1D3F" w14:textId="26EE2302" w:rsidR="00E6325F" w:rsidRPr="00872D7E" w:rsidRDefault="00DF415D" w:rsidP="00DF282B">
      <w:pPr>
        <w:pStyle w:val="BodyText2"/>
        <w:widowControl w:val="0"/>
        <w:numPr>
          <w:ilvl w:val="0"/>
          <w:numId w:val="42"/>
        </w:numPr>
        <w:ind w:hanging="861"/>
      </w:pPr>
      <w:r w:rsidRPr="00872D7E">
        <w:t>SATIŞ VE GERİ ALIŞ ANLAŞMALARI VE MENKUL DEĞERLERİN ÖDÜNÇ VERİLMESİ İŞLEMLERİNE İLİŞKİN AÇIKLAMALAR</w:t>
      </w:r>
    </w:p>
    <w:p w14:paraId="4B8DE243" w14:textId="77777777" w:rsidR="00E6325F" w:rsidRPr="00872D7E" w:rsidRDefault="00E6325F" w:rsidP="00E6325F">
      <w:pPr>
        <w:pStyle w:val="BodyText2"/>
        <w:widowControl w:val="0"/>
        <w:ind w:left="851" w:hanging="851"/>
      </w:pPr>
    </w:p>
    <w:p w14:paraId="36CF07C9" w14:textId="3DF4943B" w:rsidR="00DF415D" w:rsidRPr="00872D7E" w:rsidRDefault="00E6325F" w:rsidP="00E6325F">
      <w:pPr>
        <w:pStyle w:val="BodyText"/>
        <w:widowControl w:val="0"/>
        <w:tabs>
          <w:tab w:val="clear" w:pos="0"/>
          <w:tab w:val="clear" w:pos="567"/>
          <w:tab w:val="clear" w:pos="720"/>
        </w:tabs>
        <w:ind w:left="851" w:right="-1"/>
        <w:rPr>
          <w:color w:val="auto"/>
        </w:rPr>
      </w:pPr>
      <w:r w:rsidRPr="00872D7E">
        <w:rPr>
          <w:color w:val="auto"/>
        </w:rPr>
        <w:t xml:space="preserve">Tekrar geri alımlarını öngören anlaşmalar çerçevesinde satılmış olan menkul kıymetler Banka portföyünde tutuluş amaçlarına göre “Gerçeğe </w:t>
      </w:r>
      <w:r w:rsidR="0009220A" w:rsidRPr="00872D7E">
        <w:rPr>
          <w:color w:val="auto"/>
        </w:rPr>
        <w:t>Uygun Değer Farkı Kar/Zarara Yansıtılan</w:t>
      </w:r>
      <w:r w:rsidRPr="00872D7E">
        <w:rPr>
          <w:color w:val="auto"/>
        </w:rPr>
        <w:t>”, “</w:t>
      </w:r>
      <w:r w:rsidR="00516846" w:rsidRPr="00872D7E">
        <w:rPr>
          <w:color w:val="auto"/>
        </w:rPr>
        <w:t xml:space="preserve">Gerçeğe </w:t>
      </w:r>
      <w:r w:rsidR="0009220A" w:rsidRPr="00872D7E">
        <w:rPr>
          <w:color w:val="auto"/>
        </w:rPr>
        <w:t>Uygun Değer Farkı Diğer Kapsamlı Gelire Yansıtılan</w:t>
      </w:r>
      <w:r w:rsidRPr="00872D7E">
        <w:rPr>
          <w:color w:val="auto"/>
        </w:rPr>
        <w:t>” veya “</w:t>
      </w:r>
      <w:r w:rsidR="00516846" w:rsidRPr="00872D7E">
        <w:rPr>
          <w:color w:val="auto"/>
        </w:rPr>
        <w:t xml:space="preserve">İtfa </w:t>
      </w:r>
      <w:r w:rsidR="0009220A" w:rsidRPr="00872D7E">
        <w:rPr>
          <w:color w:val="auto"/>
        </w:rPr>
        <w:t>Edilmiş Maliyet</w:t>
      </w:r>
      <w:r w:rsidRPr="00872D7E">
        <w:rPr>
          <w:color w:val="auto"/>
        </w:rPr>
        <w:t>” portföylerinde sınıflandırılmakta ve ait olduğu portföyün esaslarına göre değerlemeye tabi tutulmaktadır.</w:t>
      </w:r>
    </w:p>
    <w:p w14:paraId="7290F4C4" w14:textId="77777777" w:rsidR="00DF415D" w:rsidRPr="00872D7E" w:rsidRDefault="00DF415D" w:rsidP="00E6325F">
      <w:pPr>
        <w:pStyle w:val="BodyText"/>
        <w:widowControl w:val="0"/>
        <w:tabs>
          <w:tab w:val="clear" w:pos="0"/>
          <w:tab w:val="clear" w:pos="567"/>
          <w:tab w:val="clear" w:pos="720"/>
        </w:tabs>
        <w:ind w:left="851" w:right="-1"/>
        <w:rPr>
          <w:color w:val="auto"/>
        </w:rPr>
      </w:pPr>
    </w:p>
    <w:p w14:paraId="1D2DFF3B" w14:textId="4E1D4E9C" w:rsidR="00E6325F" w:rsidRPr="00872D7E" w:rsidRDefault="00E6325F" w:rsidP="00E6325F">
      <w:pPr>
        <w:pStyle w:val="BodyText"/>
        <w:widowControl w:val="0"/>
        <w:tabs>
          <w:tab w:val="clear" w:pos="0"/>
          <w:tab w:val="clear" w:pos="567"/>
          <w:tab w:val="clear" w:pos="720"/>
        </w:tabs>
        <w:ind w:left="851" w:right="-1"/>
        <w:rPr>
          <w:color w:val="auto"/>
        </w:rPr>
      </w:pPr>
      <w:r w:rsidRPr="00872D7E">
        <w:rPr>
          <w:color w:val="auto"/>
        </w:rPr>
        <w:t xml:space="preserve">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w:t>
      </w:r>
      <w:r w:rsidR="0009220A" w:rsidRPr="00872D7E">
        <w:rPr>
          <w:color w:val="auto"/>
        </w:rPr>
        <w:t>Piyasası İşlemlerine Verilen Kar Payları</w:t>
      </w:r>
      <w:r w:rsidRPr="00872D7E">
        <w:rPr>
          <w:color w:val="auto"/>
        </w:rPr>
        <w:t xml:space="preserve">” kaleminde izlenmektedir. </w:t>
      </w:r>
    </w:p>
    <w:p w14:paraId="3394CABE" w14:textId="374061A2" w:rsidR="004C6EA2" w:rsidRPr="00872D7E" w:rsidRDefault="004C6EA2" w:rsidP="0025237D">
      <w:pPr>
        <w:widowControl w:val="0"/>
        <w:autoSpaceDE w:val="0"/>
        <w:autoSpaceDN w:val="0"/>
        <w:adjustRightInd w:val="0"/>
        <w:jc w:val="both"/>
        <w:rPr>
          <w:szCs w:val="20"/>
        </w:rPr>
      </w:pPr>
    </w:p>
    <w:p w14:paraId="27BD8EC9" w14:textId="2CCAC5EA" w:rsidR="006B4B08" w:rsidRPr="00872D7E" w:rsidRDefault="00DF415D" w:rsidP="00DF282B">
      <w:pPr>
        <w:pStyle w:val="BodyText2"/>
        <w:widowControl w:val="0"/>
        <w:numPr>
          <w:ilvl w:val="0"/>
          <w:numId w:val="42"/>
        </w:numPr>
        <w:ind w:hanging="861"/>
      </w:pPr>
      <w:r w:rsidRPr="00872D7E">
        <w:t>SATIŞ AMAÇLI ELDE TUTULAN VE DURDURULAN FAALİYETLERE İLİŞKİN DURAN VARLIKLAR İLE BU VARLIKLARA İLİŞKİN BORÇLAR HAKKINDA AÇIKLAMALAR</w:t>
      </w:r>
    </w:p>
    <w:p w14:paraId="2E1B6F51" w14:textId="77777777" w:rsidR="006B4B08" w:rsidRPr="00872D7E" w:rsidRDefault="006B4B08" w:rsidP="004C6EA2">
      <w:pPr>
        <w:widowControl w:val="0"/>
        <w:autoSpaceDE w:val="0"/>
        <w:autoSpaceDN w:val="0"/>
        <w:adjustRightInd w:val="0"/>
        <w:jc w:val="both"/>
        <w:rPr>
          <w:szCs w:val="20"/>
        </w:rPr>
      </w:pPr>
    </w:p>
    <w:p w14:paraId="6D8A360A" w14:textId="77777777" w:rsidR="006B4B08" w:rsidRPr="00872D7E" w:rsidRDefault="006B4B08" w:rsidP="004C6EA2">
      <w:pPr>
        <w:widowControl w:val="0"/>
        <w:autoSpaceDE w:val="0"/>
        <w:autoSpaceDN w:val="0"/>
        <w:adjustRightInd w:val="0"/>
        <w:ind w:left="851"/>
        <w:jc w:val="both"/>
        <w:rPr>
          <w:szCs w:val="20"/>
        </w:rPr>
      </w:pPr>
      <w:r w:rsidRPr="00872D7E">
        <w:rPr>
          <w:szCs w:val="20"/>
        </w:rPr>
        <w:t>Satış amaçlı elde tutulan varlık olarak sınıflandırılan bir duran varlık (veya elden çıkarılacak duran varlık grubu) defter değeri ile satış maliyeti düşülmüş gerçeğe uygun değerinden küçük olanı ile ölçülür ve söz konusu varlıklar üzerinden amortisman ayırma işlemi durdurulur.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872D7E">
        <w:rPr>
          <w:color w:val="0000FF"/>
          <w:szCs w:val="20"/>
        </w:rPr>
        <w:t>.</w:t>
      </w:r>
      <w:r w:rsidRPr="00872D7E">
        <w:rPr>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A47FFA3" w14:textId="77777777" w:rsidR="006B4B08" w:rsidRPr="00872D7E" w:rsidRDefault="006B4B08" w:rsidP="004C6EA2">
      <w:pPr>
        <w:widowControl w:val="0"/>
        <w:autoSpaceDE w:val="0"/>
        <w:autoSpaceDN w:val="0"/>
        <w:adjustRightInd w:val="0"/>
        <w:ind w:left="851"/>
        <w:jc w:val="both"/>
        <w:rPr>
          <w:szCs w:val="20"/>
        </w:rPr>
      </w:pPr>
    </w:p>
    <w:p w14:paraId="2F24BF11" w14:textId="58DB1F37" w:rsidR="006B4B08" w:rsidRPr="00872D7E" w:rsidRDefault="006B4B08" w:rsidP="004C6EA2">
      <w:pPr>
        <w:widowControl w:val="0"/>
        <w:ind w:left="851"/>
        <w:jc w:val="both"/>
        <w:rPr>
          <w:szCs w:val="20"/>
        </w:rPr>
      </w:pPr>
      <w:r w:rsidRPr="00872D7E">
        <w:rPr>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6949574C" w14:textId="3BEE5C31" w:rsidR="003A6A60" w:rsidRPr="00872D7E" w:rsidRDefault="003A6A60">
      <w:pPr>
        <w:rPr>
          <w:szCs w:val="20"/>
        </w:rPr>
      </w:pPr>
      <w:r w:rsidRPr="00872D7E">
        <w:rPr>
          <w:szCs w:val="20"/>
        </w:rPr>
        <w:br w:type="page"/>
      </w:r>
    </w:p>
    <w:p w14:paraId="1DB68409" w14:textId="77777777" w:rsidR="003A6A60" w:rsidRPr="00872D7E" w:rsidRDefault="003A6A60" w:rsidP="003A6A60">
      <w:pPr>
        <w:pStyle w:val="BodyTextIndent"/>
        <w:widowControl w:val="0"/>
        <w:ind w:firstLine="0"/>
        <w:rPr>
          <w:b/>
          <w:szCs w:val="20"/>
        </w:rPr>
      </w:pPr>
      <w:r w:rsidRPr="00872D7E">
        <w:rPr>
          <w:b/>
          <w:szCs w:val="20"/>
        </w:rPr>
        <w:lastRenderedPageBreak/>
        <w:t xml:space="preserve">MUHASEBE POLİTİKALARINA İLİŞKİN AÇIKLAMALAR (Devamı) </w:t>
      </w:r>
    </w:p>
    <w:p w14:paraId="7DF41400" w14:textId="77777777" w:rsidR="003A6A60" w:rsidRPr="00872D7E" w:rsidRDefault="003A6A60" w:rsidP="003A6A60">
      <w:pPr>
        <w:widowControl w:val="0"/>
        <w:spacing w:line="235" w:lineRule="auto"/>
        <w:jc w:val="both"/>
        <w:rPr>
          <w:szCs w:val="20"/>
        </w:rPr>
      </w:pPr>
    </w:p>
    <w:p w14:paraId="4BA3582C" w14:textId="5F4CD897" w:rsidR="006B4B08" w:rsidRPr="00872D7E" w:rsidRDefault="00DF415D" w:rsidP="00DF282B">
      <w:pPr>
        <w:pStyle w:val="BodyText2"/>
        <w:widowControl w:val="0"/>
        <w:numPr>
          <w:ilvl w:val="0"/>
          <w:numId w:val="42"/>
        </w:numPr>
        <w:ind w:hanging="861"/>
      </w:pPr>
      <w:bookmarkStart w:id="23" w:name="_Hlk103158885"/>
      <w:r w:rsidRPr="00872D7E">
        <w:t>ŞEREFİYE VE DİĞER MADDİ OLMAYAN DURAN VARLIKLARA İLİŞKİN AÇIKLAMALAR</w:t>
      </w:r>
      <w:bookmarkEnd w:id="23"/>
    </w:p>
    <w:p w14:paraId="547A67CD" w14:textId="77777777" w:rsidR="006B4B08" w:rsidRPr="00872D7E" w:rsidRDefault="006B4B08" w:rsidP="004C6EA2">
      <w:pPr>
        <w:pStyle w:val="BodyTextIndent"/>
        <w:widowControl w:val="0"/>
        <w:ind w:firstLine="0"/>
        <w:rPr>
          <w:szCs w:val="20"/>
        </w:rPr>
      </w:pPr>
      <w:bookmarkStart w:id="24" w:name="_Hlk103158901"/>
    </w:p>
    <w:p w14:paraId="76ECF8D0" w14:textId="77777777" w:rsidR="006B4B08" w:rsidRPr="00872D7E" w:rsidRDefault="006B4B08" w:rsidP="004C6EA2">
      <w:pPr>
        <w:pStyle w:val="BodyTextIndent"/>
        <w:widowControl w:val="0"/>
        <w:ind w:left="851" w:firstLine="0"/>
        <w:rPr>
          <w:szCs w:val="20"/>
        </w:rPr>
      </w:pPr>
      <w:r w:rsidRPr="00872D7E">
        <w:rPr>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w:t>
      </w:r>
      <w:proofErr w:type="spellStart"/>
      <w:r w:rsidRPr="00872D7E">
        <w:rPr>
          <w:szCs w:val="20"/>
        </w:rPr>
        <w:t>gayrimaddi</w:t>
      </w:r>
      <w:proofErr w:type="spellEnd"/>
      <w:r w:rsidRPr="00872D7E">
        <w:rPr>
          <w:szCs w:val="20"/>
        </w:rPr>
        <w:t xml:space="preserve"> haklardan oluşmaktadır. </w:t>
      </w:r>
    </w:p>
    <w:p w14:paraId="7C123F7E" w14:textId="77777777" w:rsidR="006B4B08" w:rsidRPr="00872D7E" w:rsidRDefault="006B4B08" w:rsidP="004C6EA2">
      <w:pPr>
        <w:pStyle w:val="BodyTextIndent"/>
        <w:widowControl w:val="0"/>
        <w:ind w:left="851" w:firstLine="0"/>
        <w:rPr>
          <w:szCs w:val="20"/>
        </w:rPr>
      </w:pPr>
    </w:p>
    <w:bookmarkEnd w:id="24"/>
    <w:p w14:paraId="6909BABB" w14:textId="7D35544B" w:rsidR="006B4B08" w:rsidRPr="00872D7E" w:rsidRDefault="006B4B08" w:rsidP="004C6EA2">
      <w:pPr>
        <w:widowControl w:val="0"/>
        <w:autoSpaceDE w:val="0"/>
        <w:autoSpaceDN w:val="0"/>
        <w:adjustRightInd w:val="0"/>
        <w:ind w:left="851"/>
        <w:jc w:val="both"/>
        <w:rPr>
          <w:szCs w:val="20"/>
        </w:rPr>
      </w:pPr>
      <w:r w:rsidRPr="00872D7E">
        <w:rPr>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r w:rsidR="00DF415D" w:rsidRPr="00872D7E">
        <w:rPr>
          <w:szCs w:val="20"/>
        </w:rPr>
        <w:t xml:space="preserve"> </w:t>
      </w:r>
      <w:r w:rsidRPr="00872D7E">
        <w:rPr>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95E733E" w14:textId="77E10D0A" w:rsidR="00FB4424" w:rsidRPr="00872D7E" w:rsidRDefault="00FB4424" w:rsidP="004C6EA2">
      <w:pPr>
        <w:widowControl w:val="0"/>
        <w:autoSpaceDE w:val="0"/>
        <w:autoSpaceDN w:val="0"/>
        <w:adjustRightInd w:val="0"/>
        <w:ind w:left="851"/>
        <w:jc w:val="both"/>
        <w:rPr>
          <w:szCs w:val="20"/>
        </w:rPr>
      </w:pPr>
    </w:p>
    <w:p w14:paraId="28BA9AE5" w14:textId="46E13B0A" w:rsidR="00632D27" w:rsidRPr="00872D7E" w:rsidRDefault="00DF415D" w:rsidP="00DF282B">
      <w:pPr>
        <w:pStyle w:val="BodyText2"/>
        <w:widowControl w:val="0"/>
        <w:numPr>
          <w:ilvl w:val="0"/>
          <w:numId w:val="42"/>
        </w:numPr>
        <w:spacing w:line="233" w:lineRule="auto"/>
        <w:ind w:hanging="861"/>
      </w:pPr>
      <w:r w:rsidRPr="00872D7E">
        <w:t>MADDİ DURAN VARLIKLARA İLİŞKİN AÇIKLAMALAR</w:t>
      </w:r>
    </w:p>
    <w:p w14:paraId="777A1325" w14:textId="77777777" w:rsidR="0025237D" w:rsidRPr="00872D7E" w:rsidRDefault="0025237D" w:rsidP="00FB4424">
      <w:pPr>
        <w:widowControl w:val="0"/>
        <w:autoSpaceDE w:val="0"/>
        <w:autoSpaceDN w:val="0"/>
        <w:adjustRightInd w:val="0"/>
        <w:spacing w:line="233" w:lineRule="auto"/>
        <w:jc w:val="both"/>
        <w:rPr>
          <w:sz w:val="16"/>
          <w:szCs w:val="16"/>
        </w:rPr>
      </w:pPr>
    </w:p>
    <w:p w14:paraId="19D4F9D1" w14:textId="2C27371D" w:rsidR="00BA33CA" w:rsidRPr="00872D7E" w:rsidRDefault="00632D27" w:rsidP="00FB4424">
      <w:pPr>
        <w:widowControl w:val="0"/>
        <w:autoSpaceDE w:val="0"/>
        <w:autoSpaceDN w:val="0"/>
        <w:adjustRightInd w:val="0"/>
        <w:spacing w:line="233" w:lineRule="auto"/>
        <w:ind w:left="851"/>
        <w:jc w:val="both"/>
        <w:rPr>
          <w:szCs w:val="20"/>
        </w:rPr>
      </w:pPr>
      <w:r w:rsidRPr="00872D7E">
        <w:rPr>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872D7E">
        <w:rPr>
          <w:szCs w:val="20"/>
        </w:rPr>
        <w:t>arlığın değer düşüklüğü karşılı</w:t>
      </w:r>
      <w:r w:rsidR="00B23846" w:rsidRPr="00872D7E">
        <w:rPr>
          <w:szCs w:val="20"/>
        </w:rPr>
        <w:t>k</w:t>
      </w:r>
      <w:r w:rsidRPr="00872D7E">
        <w:rPr>
          <w:szCs w:val="20"/>
        </w:rPr>
        <w:t>ları düşülerek finansal tabl</w:t>
      </w:r>
      <w:r w:rsidR="00B23846" w:rsidRPr="00872D7E">
        <w:rPr>
          <w:szCs w:val="20"/>
        </w:rPr>
        <w:t xml:space="preserve">olarda “Maddi Duran Varlıklara İlişkin Türkiye </w:t>
      </w:r>
      <w:r w:rsidRPr="00872D7E">
        <w:rPr>
          <w:szCs w:val="20"/>
        </w:rPr>
        <w:t>Muhasebe Standardı” (“TM</w:t>
      </w:r>
      <w:r w:rsidR="00A82E06" w:rsidRPr="00872D7E">
        <w:rPr>
          <w:szCs w:val="20"/>
        </w:rPr>
        <w:t>S 16”) uyarınca izlenmektedir.</w:t>
      </w:r>
    </w:p>
    <w:p w14:paraId="6036A1CE" w14:textId="77777777" w:rsidR="0025237D" w:rsidRPr="00872D7E" w:rsidRDefault="0025237D" w:rsidP="00FB4424">
      <w:pPr>
        <w:widowControl w:val="0"/>
        <w:autoSpaceDE w:val="0"/>
        <w:autoSpaceDN w:val="0"/>
        <w:adjustRightInd w:val="0"/>
        <w:spacing w:line="233" w:lineRule="auto"/>
        <w:ind w:left="851"/>
        <w:jc w:val="both"/>
        <w:rPr>
          <w:sz w:val="16"/>
          <w:szCs w:val="16"/>
        </w:rPr>
      </w:pPr>
    </w:p>
    <w:p w14:paraId="5048D78B" w14:textId="77777777" w:rsidR="00632D27" w:rsidRPr="00872D7E" w:rsidRDefault="00501CEA" w:rsidP="00FB4424">
      <w:pPr>
        <w:widowControl w:val="0"/>
        <w:autoSpaceDE w:val="0"/>
        <w:autoSpaceDN w:val="0"/>
        <w:adjustRightInd w:val="0"/>
        <w:spacing w:line="233" w:lineRule="auto"/>
        <w:ind w:left="851"/>
        <w:jc w:val="both"/>
        <w:rPr>
          <w:szCs w:val="20"/>
        </w:rPr>
      </w:pPr>
      <w:r w:rsidRPr="00872D7E">
        <w:rPr>
          <w:szCs w:val="20"/>
        </w:rPr>
        <w:t>M</w:t>
      </w:r>
      <w:r w:rsidR="00632D27" w:rsidRPr="00872D7E">
        <w:rPr>
          <w:szCs w:val="20"/>
        </w:rPr>
        <w:t>addi duran varlıklar üzerinde rehin, ipotek ve benzeri herhangi bir takyidat bulunmamaktadır.</w:t>
      </w:r>
    </w:p>
    <w:p w14:paraId="227FAD7B" w14:textId="77777777" w:rsidR="0025237D" w:rsidRPr="00872D7E" w:rsidRDefault="0025237D" w:rsidP="00FB4424">
      <w:pPr>
        <w:widowControl w:val="0"/>
        <w:autoSpaceDE w:val="0"/>
        <w:autoSpaceDN w:val="0"/>
        <w:adjustRightInd w:val="0"/>
        <w:spacing w:line="233" w:lineRule="auto"/>
        <w:ind w:left="851"/>
        <w:jc w:val="both"/>
        <w:rPr>
          <w:sz w:val="16"/>
          <w:szCs w:val="16"/>
        </w:rPr>
      </w:pPr>
    </w:p>
    <w:p w14:paraId="1581CD76" w14:textId="77777777" w:rsidR="00632D27" w:rsidRPr="00872D7E" w:rsidRDefault="00632D27" w:rsidP="00FB4424">
      <w:pPr>
        <w:widowControl w:val="0"/>
        <w:autoSpaceDE w:val="0"/>
        <w:autoSpaceDN w:val="0"/>
        <w:adjustRightInd w:val="0"/>
        <w:spacing w:line="233" w:lineRule="auto"/>
        <w:ind w:left="851"/>
        <w:jc w:val="both"/>
        <w:rPr>
          <w:szCs w:val="20"/>
        </w:rPr>
      </w:pPr>
      <w:r w:rsidRPr="00872D7E">
        <w:rPr>
          <w:szCs w:val="20"/>
        </w:rPr>
        <w:t>Muhasebe tahminlerinde, cari döneme önemli bir etkisi olan ya da sonraki dönemlerde önemli bir etkisi olması beklenen değişiklik bulunmamaktadır.</w:t>
      </w:r>
    </w:p>
    <w:p w14:paraId="6A605C2F" w14:textId="77777777" w:rsidR="0025237D" w:rsidRPr="00872D7E" w:rsidRDefault="0025237D" w:rsidP="00FB4424">
      <w:pPr>
        <w:widowControl w:val="0"/>
        <w:autoSpaceDE w:val="0"/>
        <w:autoSpaceDN w:val="0"/>
        <w:adjustRightInd w:val="0"/>
        <w:spacing w:line="233" w:lineRule="auto"/>
        <w:ind w:left="851"/>
        <w:jc w:val="both"/>
        <w:rPr>
          <w:sz w:val="16"/>
          <w:szCs w:val="16"/>
        </w:rPr>
      </w:pPr>
    </w:p>
    <w:p w14:paraId="2FB3D2CD" w14:textId="77777777" w:rsidR="00632D27" w:rsidRPr="00872D7E" w:rsidRDefault="00632D27" w:rsidP="00FB4424">
      <w:pPr>
        <w:pStyle w:val="BodyTextIndent"/>
        <w:widowControl w:val="0"/>
        <w:spacing w:line="233" w:lineRule="auto"/>
        <w:ind w:left="851" w:firstLine="0"/>
        <w:rPr>
          <w:szCs w:val="20"/>
        </w:rPr>
      </w:pPr>
      <w:r w:rsidRPr="00872D7E">
        <w:rPr>
          <w:szCs w:val="20"/>
        </w:rPr>
        <w:t>Maddi duran varlıkların amortismanı doğrusal yönteme göre hesaplanmaktadır. Kullanılan amortisman oranları aktiflerin ekonomik ömürleri dikkate alınarak ayrılmakta olup kullanılan oranlar aşağıdaki gibidir:</w:t>
      </w:r>
    </w:p>
    <w:p w14:paraId="47FEBA51" w14:textId="77777777" w:rsidR="0025237D" w:rsidRPr="00872D7E" w:rsidRDefault="0025237D" w:rsidP="00FB4424">
      <w:pPr>
        <w:pStyle w:val="BodyTextIndent"/>
        <w:widowControl w:val="0"/>
        <w:spacing w:line="233" w:lineRule="auto"/>
        <w:ind w:firstLine="0"/>
        <w:rPr>
          <w:sz w:val="16"/>
          <w:szCs w:val="16"/>
        </w:rPr>
      </w:pPr>
    </w:p>
    <w:tbl>
      <w:tblPr>
        <w:tblW w:w="4522" w:type="pct"/>
        <w:tblInd w:w="868" w:type="dxa"/>
        <w:tblLook w:val="0000" w:firstRow="0" w:lastRow="0" w:firstColumn="0" w:lastColumn="0" w:noHBand="0" w:noVBand="0"/>
      </w:tblPr>
      <w:tblGrid>
        <w:gridCol w:w="5581"/>
        <w:gridCol w:w="3137"/>
      </w:tblGrid>
      <w:tr w:rsidR="00632D27" w:rsidRPr="00872D7E" w14:paraId="39998D34" w14:textId="77777777" w:rsidTr="00C67CCF">
        <w:trPr>
          <w:trHeight w:val="104"/>
        </w:trPr>
        <w:tc>
          <w:tcPr>
            <w:tcW w:w="3201" w:type="pct"/>
          </w:tcPr>
          <w:p w14:paraId="20AADF63" w14:textId="77777777" w:rsidR="00632D27" w:rsidRPr="00872D7E" w:rsidRDefault="00632D27" w:rsidP="00FB4424">
            <w:pPr>
              <w:pStyle w:val="BodyTextIndent"/>
              <w:widowControl w:val="0"/>
              <w:spacing w:line="233" w:lineRule="auto"/>
              <w:ind w:firstLine="540"/>
              <w:rPr>
                <w:szCs w:val="20"/>
              </w:rPr>
            </w:pPr>
          </w:p>
        </w:tc>
        <w:tc>
          <w:tcPr>
            <w:tcW w:w="1799" w:type="pct"/>
            <w:tcBorders>
              <w:bottom w:val="single" w:sz="4" w:space="0" w:color="auto"/>
            </w:tcBorders>
            <w:vAlign w:val="bottom"/>
          </w:tcPr>
          <w:p w14:paraId="5648956E" w14:textId="77777777" w:rsidR="00632D27" w:rsidRPr="00872D7E" w:rsidRDefault="009735D0" w:rsidP="00FB4424">
            <w:pPr>
              <w:pStyle w:val="BodyTextIndent"/>
              <w:widowControl w:val="0"/>
              <w:spacing w:line="233" w:lineRule="auto"/>
              <w:ind w:firstLine="0"/>
              <w:jc w:val="right"/>
              <w:rPr>
                <w:b/>
                <w:szCs w:val="20"/>
              </w:rPr>
            </w:pPr>
            <w:r w:rsidRPr="00872D7E">
              <w:rPr>
                <w:b/>
                <w:szCs w:val="20"/>
              </w:rPr>
              <w:t>Amortisman Oranı</w:t>
            </w:r>
            <w:r w:rsidR="00B75FBE" w:rsidRPr="00872D7E">
              <w:rPr>
                <w:b/>
                <w:szCs w:val="20"/>
              </w:rPr>
              <w:t xml:space="preserve"> </w:t>
            </w:r>
            <w:r w:rsidRPr="00872D7E">
              <w:rPr>
                <w:b/>
                <w:szCs w:val="20"/>
              </w:rPr>
              <w:t>(%)</w:t>
            </w:r>
          </w:p>
        </w:tc>
      </w:tr>
      <w:tr w:rsidR="00632D27" w:rsidRPr="00872D7E" w14:paraId="28B2723E" w14:textId="77777777" w:rsidTr="0025237D">
        <w:trPr>
          <w:trHeight w:val="125"/>
        </w:trPr>
        <w:tc>
          <w:tcPr>
            <w:tcW w:w="3201" w:type="pct"/>
            <w:vAlign w:val="bottom"/>
          </w:tcPr>
          <w:p w14:paraId="060A90C2" w14:textId="77777777" w:rsidR="00632D27" w:rsidRPr="00872D7E" w:rsidRDefault="00632D27" w:rsidP="00FB4424">
            <w:pPr>
              <w:pStyle w:val="BodyTextIndent"/>
              <w:widowControl w:val="0"/>
              <w:spacing w:line="233" w:lineRule="auto"/>
              <w:ind w:left="-108" w:firstLine="0"/>
              <w:jc w:val="left"/>
              <w:rPr>
                <w:szCs w:val="20"/>
              </w:rPr>
            </w:pPr>
            <w:r w:rsidRPr="00872D7E">
              <w:rPr>
                <w:szCs w:val="20"/>
              </w:rPr>
              <w:t>Mobilya, mefruşat ve büro makineleri</w:t>
            </w:r>
          </w:p>
        </w:tc>
        <w:tc>
          <w:tcPr>
            <w:tcW w:w="1799" w:type="pct"/>
            <w:vAlign w:val="bottom"/>
          </w:tcPr>
          <w:p w14:paraId="5E601FD7" w14:textId="77777777" w:rsidR="00632D27" w:rsidRPr="00872D7E" w:rsidRDefault="009735D0" w:rsidP="00FB4424">
            <w:pPr>
              <w:pStyle w:val="BodyTextIndent"/>
              <w:widowControl w:val="0"/>
              <w:spacing w:line="233" w:lineRule="auto"/>
              <w:ind w:firstLine="0"/>
              <w:jc w:val="right"/>
              <w:rPr>
                <w:szCs w:val="20"/>
              </w:rPr>
            </w:pPr>
            <w:r w:rsidRPr="00872D7E">
              <w:rPr>
                <w:szCs w:val="20"/>
              </w:rPr>
              <w:t>4–</w:t>
            </w:r>
            <w:r w:rsidR="00632D27" w:rsidRPr="00872D7E">
              <w:rPr>
                <w:szCs w:val="20"/>
              </w:rPr>
              <w:t xml:space="preserve">33 </w:t>
            </w:r>
          </w:p>
        </w:tc>
      </w:tr>
      <w:tr w:rsidR="00632D27" w:rsidRPr="00872D7E" w14:paraId="590A739B" w14:textId="77777777" w:rsidTr="0025237D">
        <w:trPr>
          <w:trHeight w:val="125"/>
        </w:trPr>
        <w:tc>
          <w:tcPr>
            <w:tcW w:w="3201" w:type="pct"/>
            <w:vAlign w:val="bottom"/>
          </w:tcPr>
          <w:p w14:paraId="60D58705" w14:textId="77777777" w:rsidR="00632D27" w:rsidRPr="00872D7E" w:rsidRDefault="00632D27" w:rsidP="00FB4424">
            <w:pPr>
              <w:pStyle w:val="BodyTextIndent"/>
              <w:widowControl w:val="0"/>
              <w:spacing w:line="233" w:lineRule="auto"/>
              <w:ind w:left="-108" w:firstLine="0"/>
              <w:jc w:val="left"/>
              <w:rPr>
                <w:szCs w:val="20"/>
              </w:rPr>
            </w:pPr>
            <w:r w:rsidRPr="00872D7E">
              <w:rPr>
                <w:szCs w:val="20"/>
              </w:rPr>
              <w:t>Kasalar</w:t>
            </w:r>
          </w:p>
        </w:tc>
        <w:tc>
          <w:tcPr>
            <w:tcW w:w="1799" w:type="pct"/>
            <w:vAlign w:val="bottom"/>
          </w:tcPr>
          <w:p w14:paraId="7AA9A421" w14:textId="77777777" w:rsidR="00632D27" w:rsidRPr="00872D7E" w:rsidRDefault="009735D0" w:rsidP="00FB4424">
            <w:pPr>
              <w:pStyle w:val="BodyTextIndent"/>
              <w:widowControl w:val="0"/>
              <w:spacing w:line="233" w:lineRule="auto"/>
              <w:ind w:firstLine="0"/>
              <w:jc w:val="right"/>
              <w:rPr>
                <w:szCs w:val="20"/>
              </w:rPr>
            </w:pPr>
            <w:r w:rsidRPr="00872D7E">
              <w:rPr>
                <w:szCs w:val="20"/>
              </w:rPr>
              <w:t>2–</w:t>
            </w:r>
            <w:r w:rsidR="00632D27" w:rsidRPr="00872D7E">
              <w:rPr>
                <w:szCs w:val="20"/>
              </w:rPr>
              <w:t>20</w:t>
            </w:r>
          </w:p>
        </w:tc>
      </w:tr>
      <w:tr w:rsidR="00632D27" w:rsidRPr="00872D7E" w14:paraId="6EF3DA29" w14:textId="77777777" w:rsidTr="0025237D">
        <w:trPr>
          <w:trHeight w:val="82"/>
        </w:trPr>
        <w:tc>
          <w:tcPr>
            <w:tcW w:w="3201" w:type="pct"/>
            <w:vAlign w:val="bottom"/>
          </w:tcPr>
          <w:p w14:paraId="0101F7A0" w14:textId="77777777" w:rsidR="00632D27" w:rsidRPr="00872D7E" w:rsidRDefault="00632D27" w:rsidP="00FB4424">
            <w:pPr>
              <w:pStyle w:val="BodyTextIndent"/>
              <w:widowControl w:val="0"/>
              <w:spacing w:line="233" w:lineRule="auto"/>
              <w:ind w:left="-108" w:firstLine="0"/>
              <w:jc w:val="left"/>
              <w:rPr>
                <w:szCs w:val="20"/>
              </w:rPr>
            </w:pPr>
            <w:r w:rsidRPr="00872D7E">
              <w:rPr>
                <w:szCs w:val="20"/>
              </w:rPr>
              <w:t>Faaliyet Kiralaması Geliştirme Maliyetleri (Özel maliyetler)</w:t>
            </w:r>
          </w:p>
        </w:tc>
        <w:tc>
          <w:tcPr>
            <w:tcW w:w="1799" w:type="pct"/>
            <w:vAlign w:val="bottom"/>
          </w:tcPr>
          <w:p w14:paraId="43856155" w14:textId="77777777" w:rsidR="00DB3C20" w:rsidRPr="00872D7E" w:rsidRDefault="00632D27" w:rsidP="00FB4424">
            <w:pPr>
              <w:pStyle w:val="BodyTextIndent"/>
              <w:widowControl w:val="0"/>
              <w:spacing w:line="233" w:lineRule="auto"/>
              <w:ind w:firstLine="0"/>
              <w:jc w:val="right"/>
              <w:rPr>
                <w:szCs w:val="20"/>
              </w:rPr>
            </w:pPr>
            <w:r w:rsidRPr="00872D7E">
              <w:rPr>
                <w:szCs w:val="20"/>
              </w:rPr>
              <w:t>Kira süresince – 5 yıl</w:t>
            </w:r>
          </w:p>
        </w:tc>
      </w:tr>
      <w:tr w:rsidR="005F2C83" w:rsidRPr="00872D7E" w14:paraId="1D08684E" w14:textId="77777777" w:rsidTr="0025237D">
        <w:trPr>
          <w:trHeight w:val="82"/>
        </w:trPr>
        <w:tc>
          <w:tcPr>
            <w:tcW w:w="3201" w:type="pct"/>
            <w:tcBorders>
              <w:bottom w:val="single" w:sz="4" w:space="0" w:color="auto"/>
            </w:tcBorders>
            <w:vAlign w:val="bottom"/>
          </w:tcPr>
          <w:p w14:paraId="149535C5" w14:textId="0D741BCB" w:rsidR="005F2C83" w:rsidRPr="00872D7E" w:rsidRDefault="005F2C83" w:rsidP="00FB4424">
            <w:pPr>
              <w:pStyle w:val="BodyTextIndent"/>
              <w:widowControl w:val="0"/>
              <w:spacing w:line="233" w:lineRule="auto"/>
              <w:ind w:left="-108" w:firstLine="0"/>
              <w:jc w:val="left"/>
              <w:rPr>
                <w:szCs w:val="20"/>
              </w:rPr>
            </w:pPr>
            <w:r w:rsidRPr="00872D7E">
              <w:rPr>
                <w:szCs w:val="20"/>
              </w:rPr>
              <w:t xml:space="preserve">Kiralanan varlıklar </w:t>
            </w:r>
          </w:p>
        </w:tc>
        <w:tc>
          <w:tcPr>
            <w:tcW w:w="1799" w:type="pct"/>
            <w:tcBorders>
              <w:bottom w:val="single" w:sz="4" w:space="0" w:color="auto"/>
            </w:tcBorders>
            <w:vAlign w:val="bottom"/>
          </w:tcPr>
          <w:p w14:paraId="3B3C8D60" w14:textId="31571078" w:rsidR="005F2C83" w:rsidRPr="00872D7E" w:rsidRDefault="005F2C83" w:rsidP="00FB4424">
            <w:pPr>
              <w:pStyle w:val="BodyTextIndent"/>
              <w:widowControl w:val="0"/>
              <w:spacing w:line="233" w:lineRule="auto"/>
              <w:ind w:firstLine="0"/>
              <w:jc w:val="right"/>
              <w:rPr>
                <w:szCs w:val="20"/>
              </w:rPr>
            </w:pPr>
            <w:r w:rsidRPr="00872D7E">
              <w:rPr>
                <w:szCs w:val="20"/>
              </w:rPr>
              <w:t xml:space="preserve">1-10 yıl </w:t>
            </w:r>
          </w:p>
        </w:tc>
      </w:tr>
    </w:tbl>
    <w:p w14:paraId="3CF2ED85" w14:textId="77777777" w:rsidR="006B4B08" w:rsidRPr="00872D7E" w:rsidRDefault="006B4B08" w:rsidP="00FB4424">
      <w:pPr>
        <w:spacing w:line="233" w:lineRule="auto"/>
        <w:rPr>
          <w:sz w:val="16"/>
          <w:szCs w:val="16"/>
        </w:rPr>
      </w:pPr>
    </w:p>
    <w:p w14:paraId="1D4F76EA" w14:textId="394DC251" w:rsidR="006B4B08" w:rsidRPr="00872D7E" w:rsidRDefault="006B4B08" w:rsidP="00FB4424">
      <w:pPr>
        <w:spacing w:line="233" w:lineRule="auto"/>
        <w:ind w:left="854"/>
        <w:jc w:val="both"/>
        <w:rPr>
          <w:szCs w:val="20"/>
        </w:rPr>
      </w:pPr>
      <w:r w:rsidRPr="00872D7E">
        <w:rPr>
          <w:szCs w:val="20"/>
        </w:rPr>
        <w:t>Maddi duran varlıkların elden çıkarılmasından kaynaklanan kar veya zarar, net elden çıkarma hasılatı ile ilgili maddi duran varlığın net defter değerinin farkı olarak gelir tablosuna yansıtılmaktadır. Maddi duran varlığın onarım maliyetlerinden varlığın ekonomik ömrünü uzatıcı nitelikte olanlar aktifleştirilmekte, diğer onarım maliyetleri ise gider olarak kayıtlara yansıtılmaktadır. Maddi duran varlıklarla ilgili alım taahhüdü bulunmamaktadır.</w:t>
      </w:r>
    </w:p>
    <w:p w14:paraId="4B60B1B7" w14:textId="77777777" w:rsidR="006B4B08" w:rsidRPr="00872D7E" w:rsidRDefault="006B4B08" w:rsidP="00FB4424">
      <w:pPr>
        <w:spacing w:line="233" w:lineRule="auto"/>
        <w:ind w:left="854"/>
        <w:rPr>
          <w:sz w:val="16"/>
          <w:szCs w:val="16"/>
        </w:rPr>
      </w:pPr>
    </w:p>
    <w:p w14:paraId="578EA78D" w14:textId="0A5E3A03" w:rsidR="006B4B08" w:rsidRPr="00872D7E" w:rsidRDefault="00DF415D" w:rsidP="00DF282B">
      <w:pPr>
        <w:pStyle w:val="ListParagraph"/>
        <w:widowControl w:val="0"/>
        <w:numPr>
          <w:ilvl w:val="0"/>
          <w:numId w:val="42"/>
        </w:numPr>
        <w:spacing w:line="233" w:lineRule="auto"/>
        <w:ind w:hanging="861"/>
        <w:jc w:val="both"/>
        <w:rPr>
          <w:rStyle w:val="BodyText2Char1"/>
          <w:sz w:val="20"/>
          <w:szCs w:val="20"/>
        </w:rPr>
      </w:pPr>
      <w:r w:rsidRPr="00872D7E">
        <w:rPr>
          <w:rStyle w:val="BodyText2Char1"/>
          <w:sz w:val="20"/>
          <w:szCs w:val="20"/>
        </w:rPr>
        <w:t>KİRALAMA İŞLEMLERİNE İLİŞKİN AÇIKLAMALAR</w:t>
      </w:r>
    </w:p>
    <w:p w14:paraId="3AC9999C" w14:textId="77777777" w:rsidR="00FB4424" w:rsidRPr="00872D7E" w:rsidRDefault="00FB4424" w:rsidP="00FB4424">
      <w:pPr>
        <w:widowControl w:val="0"/>
        <w:spacing w:line="233" w:lineRule="auto"/>
        <w:ind w:left="851" w:hanging="851"/>
        <w:jc w:val="both"/>
        <w:rPr>
          <w:b/>
          <w:iCs/>
          <w:sz w:val="16"/>
          <w:szCs w:val="16"/>
        </w:rPr>
      </w:pPr>
    </w:p>
    <w:p w14:paraId="41EEB4F5" w14:textId="2281D848" w:rsidR="006B4B08" w:rsidRPr="00872D7E" w:rsidRDefault="006B4B08" w:rsidP="00FB4424">
      <w:pPr>
        <w:widowControl w:val="0"/>
        <w:autoSpaceDE w:val="0"/>
        <w:autoSpaceDN w:val="0"/>
        <w:adjustRightInd w:val="0"/>
        <w:spacing w:line="233" w:lineRule="auto"/>
        <w:ind w:left="851"/>
        <w:jc w:val="both"/>
        <w:rPr>
          <w:szCs w:val="20"/>
        </w:rPr>
      </w:pPr>
      <w:r w:rsidRPr="00872D7E">
        <w:rPr>
          <w:szCs w:val="20"/>
        </w:rPr>
        <w:t>Finansal kiralama yoluyla edinilen maddi duran varlıklar kiranın başlangıç tarihinde Banka’nın aktifinde varlık, pasifinde ise borç olarak kaydedilir. Bilançoda varlık ve borç olarak yer alan tutarların tespitinde, varlığın gerçeğe uygun değeri ile kira ödemelerinin bugünkü değerinden düşük olanı esas alınır. Kiralamadan doğan finansman maliyetleri, kiralama süresi boyunca iç verim oranı dikkate alınarak ilgili dönemler itibarıyla giderleştirilir.</w:t>
      </w:r>
    </w:p>
    <w:p w14:paraId="6A53061D" w14:textId="0FBE268E" w:rsidR="00D158DE" w:rsidRPr="00872D7E" w:rsidRDefault="00D158DE">
      <w:pPr>
        <w:rPr>
          <w:sz w:val="16"/>
          <w:szCs w:val="16"/>
        </w:rPr>
      </w:pPr>
      <w:r w:rsidRPr="00872D7E">
        <w:rPr>
          <w:sz w:val="16"/>
          <w:szCs w:val="16"/>
        </w:rPr>
        <w:br w:type="page"/>
      </w:r>
    </w:p>
    <w:p w14:paraId="4B61925D" w14:textId="77777777" w:rsidR="00D158DE" w:rsidRPr="00872D7E" w:rsidRDefault="00D158DE" w:rsidP="00D158DE">
      <w:pPr>
        <w:pStyle w:val="BodyTextIndent"/>
        <w:widowControl w:val="0"/>
        <w:spacing w:line="206" w:lineRule="auto"/>
        <w:ind w:firstLine="0"/>
        <w:rPr>
          <w:b/>
          <w:szCs w:val="20"/>
        </w:rPr>
      </w:pPr>
      <w:r w:rsidRPr="00872D7E">
        <w:rPr>
          <w:b/>
          <w:szCs w:val="20"/>
        </w:rPr>
        <w:lastRenderedPageBreak/>
        <w:t>MUHASEBE POLİTİKALARINA İLİŞKİN AÇIKLAMALAR (Devamı)</w:t>
      </w:r>
    </w:p>
    <w:p w14:paraId="7938CFE0" w14:textId="77777777" w:rsidR="00D158DE" w:rsidRPr="00872D7E" w:rsidRDefault="00D158DE" w:rsidP="00D158DE">
      <w:pPr>
        <w:widowControl w:val="0"/>
        <w:autoSpaceDE w:val="0"/>
        <w:autoSpaceDN w:val="0"/>
        <w:adjustRightInd w:val="0"/>
        <w:spacing w:line="206" w:lineRule="auto"/>
        <w:jc w:val="both"/>
        <w:rPr>
          <w:sz w:val="16"/>
          <w:szCs w:val="16"/>
        </w:rPr>
      </w:pPr>
    </w:p>
    <w:p w14:paraId="138BB944" w14:textId="77777777" w:rsidR="00D158DE" w:rsidRPr="00872D7E" w:rsidRDefault="00D158DE" w:rsidP="00D158DE">
      <w:pPr>
        <w:widowControl w:val="0"/>
        <w:spacing w:line="206" w:lineRule="auto"/>
        <w:ind w:left="851" w:hanging="851"/>
        <w:jc w:val="both"/>
        <w:rPr>
          <w:b/>
          <w:iCs/>
          <w:szCs w:val="20"/>
        </w:rPr>
      </w:pPr>
      <w:r w:rsidRPr="00872D7E">
        <w:rPr>
          <w:b/>
          <w:iCs/>
          <w:szCs w:val="20"/>
        </w:rPr>
        <w:t>XIII.</w:t>
      </w:r>
      <w:r w:rsidRPr="00872D7E">
        <w:rPr>
          <w:b/>
          <w:iCs/>
          <w:szCs w:val="20"/>
        </w:rPr>
        <w:tab/>
      </w:r>
      <w:r w:rsidRPr="00872D7E">
        <w:rPr>
          <w:rStyle w:val="BodyText2Char1"/>
          <w:sz w:val="20"/>
          <w:szCs w:val="20"/>
        </w:rPr>
        <w:t>KİRALAMA İŞLEMLERİNE İLİŞKİN AÇIKLAMALAR</w:t>
      </w:r>
      <w:r w:rsidRPr="00872D7E">
        <w:rPr>
          <w:b/>
          <w:iCs/>
          <w:szCs w:val="20"/>
        </w:rPr>
        <w:t xml:space="preserve"> (Devamı)</w:t>
      </w:r>
    </w:p>
    <w:p w14:paraId="0CD9DB0C" w14:textId="77777777" w:rsidR="006B4B08" w:rsidRPr="00872D7E" w:rsidRDefault="006B4B08" w:rsidP="00D158DE">
      <w:pPr>
        <w:widowControl w:val="0"/>
        <w:autoSpaceDE w:val="0"/>
        <w:autoSpaceDN w:val="0"/>
        <w:adjustRightInd w:val="0"/>
        <w:spacing w:line="206" w:lineRule="auto"/>
        <w:ind w:left="851"/>
        <w:jc w:val="both"/>
        <w:rPr>
          <w:sz w:val="12"/>
          <w:szCs w:val="12"/>
        </w:rPr>
      </w:pPr>
    </w:p>
    <w:p w14:paraId="1BCD8460" w14:textId="1CB51D73" w:rsidR="00FB4424" w:rsidRPr="00872D7E" w:rsidRDefault="006B4B08" w:rsidP="00D158DE">
      <w:pPr>
        <w:widowControl w:val="0"/>
        <w:spacing w:line="206" w:lineRule="auto"/>
        <w:ind w:left="851"/>
        <w:jc w:val="both"/>
        <w:rPr>
          <w:szCs w:val="20"/>
        </w:rPr>
      </w:pPr>
      <w:r w:rsidRPr="00872D7E">
        <w:rPr>
          <w:szCs w:val="20"/>
        </w:rPr>
        <w:t xml:space="preserve">Finansal kiralama yoluyla edinilen sabit kıymetler faydalı ömürleri dikkate alınarak amortismana tabi tutulmakta ve geri kazanılabilir değerlerinde bir azalma tespit edildiğinde değer düşüklüğü karşılığı ayrılmaktadır. 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 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 </w:t>
      </w:r>
    </w:p>
    <w:p w14:paraId="1FAF7B68" w14:textId="77777777" w:rsidR="0025237D" w:rsidRPr="00872D7E" w:rsidRDefault="0025237D" w:rsidP="00D158DE">
      <w:pPr>
        <w:widowControl w:val="0"/>
        <w:autoSpaceDE w:val="0"/>
        <w:autoSpaceDN w:val="0"/>
        <w:adjustRightInd w:val="0"/>
        <w:spacing w:line="206" w:lineRule="auto"/>
        <w:jc w:val="both"/>
        <w:rPr>
          <w:sz w:val="12"/>
          <w:szCs w:val="12"/>
        </w:rPr>
      </w:pPr>
    </w:p>
    <w:p w14:paraId="4DBC09AE" w14:textId="098D44A0" w:rsidR="0097564B" w:rsidRPr="00872D7E" w:rsidRDefault="0097564B" w:rsidP="00D158DE">
      <w:pPr>
        <w:widowControl w:val="0"/>
        <w:autoSpaceDE w:val="0"/>
        <w:autoSpaceDN w:val="0"/>
        <w:adjustRightInd w:val="0"/>
        <w:spacing w:line="206" w:lineRule="auto"/>
        <w:ind w:left="851"/>
        <w:jc w:val="both"/>
        <w:rPr>
          <w:szCs w:val="20"/>
        </w:rPr>
      </w:pPr>
      <w:r w:rsidRPr="00872D7E">
        <w:rPr>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069D2E8" w14:textId="77777777" w:rsidR="00BE031B" w:rsidRPr="00872D7E" w:rsidRDefault="00BE031B" w:rsidP="00D158DE">
      <w:pPr>
        <w:widowControl w:val="0"/>
        <w:autoSpaceDE w:val="0"/>
        <w:autoSpaceDN w:val="0"/>
        <w:adjustRightInd w:val="0"/>
        <w:spacing w:line="206" w:lineRule="auto"/>
        <w:ind w:left="851"/>
        <w:jc w:val="both"/>
        <w:rPr>
          <w:sz w:val="12"/>
          <w:szCs w:val="12"/>
        </w:rPr>
      </w:pPr>
    </w:p>
    <w:p w14:paraId="29A8071D" w14:textId="0266DD5C" w:rsidR="006B4B08" w:rsidRPr="00872D7E" w:rsidRDefault="006B4B08" w:rsidP="00D158DE">
      <w:pPr>
        <w:widowControl w:val="0"/>
        <w:autoSpaceDE w:val="0"/>
        <w:autoSpaceDN w:val="0"/>
        <w:adjustRightInd w:val="0"/>
        <w:spacing w:line="206" w:lineRule="auto"/>
        <w:ind w:left="851"/>
        <w:jc w:val="both"/>
        <w:rPr>
          <w:szCs w:val="20"/>
        </w:rPr>
      </w:pPr>
      <w:r w:rsidRPr="00872D7E">
        <w:rPr>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Banka, bu oranın kolaylıkla belirlenememesi durumunda, kendi tespit edeceği alternatif borçlanma oranını kullanır. Kiralama yükümlülüğü üzerindeki </w:t>
      </w:r>
      <w:proofErr w:type="gramStart"/>
      <w:r w:rsidRPr="00872D7E">
        <w:rPr>
          <w:szCs w:val="20"/>
        </w:rPr>
        <w:t>kar</w:t>
      </w:r>
      <w:proofErr w:type="gramEnd"/>
      <w:r w:rsidRPr="00872D7E">
        <w:rPr>
          <w:szCs w:val="20"/>
        </w:rPr>
        <w:t xml:space="preserve"> payı gideri ile kullanım hakkı varlığının amortisman giderini ayrı olarak kaydedilir.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3F46C047" w14:textId="184B43EE" w:rsidR="006B4B08" w:rsidRPr="00872D7E" w:rsidRDefault="006B4B08" w:rsidP="00D158DE">
      <w:pPr>
        <w:widowControl w:val="0"/>
        <w:autoSpaceDE w:val="0"/>
        <w:autoSpaceDN w:val="0"/>
        <w:adjustRightInd w:val="0"/>
        <w:spacing w:line="206" w:lineRule="auto"/>
        <w:ind w:left="851"/>
        <w:jc w:val="both"/>
        <w:rPr>
          <w:sz w:val="16"/>
          <w:szCs w:val="16"/>
        </w:rPr>
      </w:pPr>
    </w:p>
    <w:p w14:paraId="4DD3C22E" w14:textId="77777777" w:rsidR="006B4B08" w:rsidRPr="00872D7E" w:rsidRDefault="006B4B08" w:rsidP="00D158DE">
      <w:pPr>
        <w:widowControl w:val="0"/>
        <w:autoSpaceDE w:val="0"/>
        <w:autoSpaceDN w:val="0"/>
        <w:adjustRightInd w:val="0"/>
        <w:spacing w:line="206" w:lineRule="auto"/>
        <w:ind w:left="851"/>
        <w:jc w:val="both"/>
        <w:rPr>
          <w:b/>
          <w:szCs w:val="20"/>
        </w:rPr>
      </w:pPr>
      <w:r w:rsidRPr="00872D7E">
        <w:rPr>
          <w:b/>
          <w:szCs w:val="20"/>
        </w:rPr>
        <w:t xml:space="preserve">Kullanım Hakkı Varlığı </w:t>
      </w:r>
    </w:p>
    <w:p w14:paraId="3187CD76" w14:textId="77777777" w:rsidR="0030346E" w:rsidRPr="00872D7E" w:rsidRDefault="0030346E" w:rsidP="00D158DE">
      <w:pPr>
        <w:widowControl w:val="0"/>
        <w:autoSpaceDE w:val="0"/>
        <w:autoSpaceDN w:val="0"/>
        <w:adjustRightInd w:val="0"/>
        <w:spacing w:line="206" w:lineRule="auto"/>
        <w:ind w:left="851"/>
        <w:jc w:val="both"/>
        <w:rPr>
          <w:b/>
          <w:sz w:val="16"/>
          <w:szCs w:val="16"/>
        </w:rPr>
      </w:pPr>
    </w:p>
    <w:p w14:paraId="1218A734" w14:textId="77777777" w:rsidR="006B4B08" w:rsidRPr="00872D7E" w:rsidRDefault="006B4B08" w:rsidP="00D158DE">
      <w:pPr>
        <w:widowControl w:val="0"/>
        <w:autoSpaceDE w:val="0"/>
        <w:autoSpaceDN w:val="0"/>
        <w:adjustRightInd w:val="0"/>
        <w:spacing w:line="206" w:lineRule="auto"/>
        <w:ind w:left="851"/>
        <w:jc w:val="both"/>
        <w:rPr>
          <w:szCs w:val="20"/>
        </w:rPr>
      </w:pPr>
      <w:r w:rsidRPr="00872D7E">
        <w:rPr>
          <w:szCs w:val="20"/>
        </w:rPr>
        <w:t>Kullanım hakkı varlığı ilk olarak maliyet yöntemiyle muhasebeleştirilir ve aşağıdakileri içerir:</w:t>
      </w:r>
    </w:p>
    <w:p w14:paraId="56D33667" w14:textId="77777777" w:rsidR="006B4B08" w:rsidRPr="00872D7E" w:rsidRDefault="006B4B08" w:rsidP="00D158DE">
      <w:pPr>
        <w:widowControl w:val="0"/>
        <w:autoSpaceDE w:val="0"/>
        <w:autoSpaceDN w:val="0"/>
        <w:adjustRightInd w:val="0"/>
        <w:spacing w:line="206" w:lineRule="auto"/>
        <w:jc w:val="both"/>
        <w:rPr>
          <w:sz w:val="16"/>
          <w:szCs w:val="16"/>
        </w:rPr>
      </w:pPr>
    </w:p>
    <w:p w14:paraId="7FDAF650" w14:textId="77777777" w:rsidR="006B4B08" w:rsidRPr="00872D7E" w:rsidRDefault="006B4B08" w:rsidP="00D158DE">
      <w:pPr>
        <w:widowControl w:val="0"/>
        <w:autoSpaceDE w:val="0"/>
        <w:autoSpaceDN w:val="0"/>
        <w:adjustRightInd w:val="0"/>
        <w:spacing w:line="206" w:lineRule="auto"/>
        <w:ind w:left="1276" w:hanging="425"/>
        <w:jc w:val="both"/>
        <w:rPr>
          <w:szCs w:val="20"/>
        </w:rPr>
      </w:pPr>
      <w:r w:rsidRPr="00872D7E">
        <w:rPr>
          <w:szCs w:val="20"/>
        </w:rPr>
        <w:t>-</w:t>
      </w:r>
      <w:r w:rsidRPr="00872D7E">
        <w:rPr>
          <w:szCs w:val="20"/>
        </w:rPr>
        <w:tab/>
        <w:t>Kira yükümlülüğünün ilk ölçüm tutarı,</w:t>
      </w:r>
    </w:p>
    <w:p w14:paraId="0E2866A8" w14:textId="77777777" w:rsidR="006B4B08" w:rsidRPr="00872D7E" w:rsidRDefault="006B4B08" w:rsidP="00D158DE">
      <w:pPr>
        <w:widowControl w:val="0"/>
        <w:autoSpaceDE w:val="0"/>
        <w:autoSpaceDN w:val="0"/>
        <w:adjustRightInd w:val="0"/>
        <w:spacing w:line="206" w:lineRule="auto"/>
        <w:ind w:left="1276" w:hanging="425"/>
        <w:jc w:val="both"/>
        <w:rPr>
          <w:szCs w:val="20"/>
        </w:rPr>
      </w:pPr>
      <w:r w:rsidRPr="00872D7E">
        <w:rPr>
          <w:szCs w:val="20"/>
        </w:rPr>
        <w:t>-</w:t>
      </w:r>
      <w:r w:rsidRPr="00872D7E">
        <w:rPr>
          <w:szCs w:val="20"/>
        </w:rPr>
        <w:tab/>
        <w:t>Kiralamanın fiilen başladığı tarihte veya öncesinde yapılan tüm kira ödemelerinden alınan tüm kiralama teşviklerinin düşülmesiyle elde edilen tutar,</w:t>
      </w:r>
    </w:p>
    <w:p w14:paraId="3EF6FDCB" w14:textId="77777777" w:rsidR="006B4B08" w:rsidRPr="00872D7E" w:rsidRDefault="006B4B08" w:rsidP="00D158DE">
      <w:pPr>
        <w:widowControl w:val="0"/>
        <w:autoSpaceDE w:val="0"/>
        <w:autoSpaceDN w:val="0"/>
        <w:adjustRightInd w:val="0"/>
        <w:spacing w:line="206" w:lineRule="auto"/>
        <w:ind w:left="1276" w:hanging="425"/>
        <w:jc w:val="both"/>
        <w:rPr>
          <w:szCs w:val="20"/>
        </w:rPr>
      </w:pPr>
      <w:r w:rsidRPr="00872D7E">
        <w:rPr>
          <w:szCs w:val="20"/>
        </w:rPr>
        <w:t>-</w:t>
      </w:r>
      <w:r w:rsidRPr="00872D7E">
        <w:rPr>
          <w:szCs w:val="20"/>
        </w:rPr>
        <w:tab/>
        <w:t>Banka tarafından katlanılan tüm başlangıçtaki doğrudan maliyetler.</w:t>
      </w:r>
    </w:p>
    <w:p w14:paraId="24732885" w14:textId="77777777" w:rsidR="006B4B08" w:rsidRPr="00872D7E" w:rsidRDefault="006B4B08" w:rsidP="00D158DE">
      <w:pPr>
        <w:widowControl w:val="0"/>
        <w:autoSpaceDE w:val="0"/>
        <w:autoSpaceDN w:val="0"/>
        <w:adjustRightInd w:val="0"/>
        <w:spacing w:line="206" w:lineRule="auto"/>
        <w:jc w:val="both"/>
        <w:rPr>
          <w:sz w:val="16"/>
          <w:szCs w:val="16"/>
        </w:rPr>
      </w:pPr>
    </w:p>
    <w:p w14:paraId="70E62CA3" w14:textId="77777777" w:rsidR="006B4B08" w:rsidRPr="00872D7E" w:rsidRDefault="006B4B08" w:rsidP="00D158DE">
      <w:pPr>
        <w:widowControl w:val="0"/>
        <w:autoSpaceDE w:val="0"/>
        <w:autoSpaceDN w:val="0"/>
        <w:adjustRightInd w:val="0"/>
        <w:spacing w:line="206" w:lineRule="auto"/>
        <w:ind w:left="851"/>
        <w:jc w:val="both"/>
        <w:rPr>
          <w:szCs w:val="20"/>
        </w:rPr>
      </w:pPr>
      <w:r w:rsidRPr="00872D7E">
        <w:rPr>
          <w:szCs w:val="20"/>
        </w:rPr>
        <w:t>Banka maliyet yöntemini uygularken, kullanım hakkı varlığını:</w:t>
      </w:r>
    </w:p>
    <w:p w14:paraId="494B5D81" w14:textId="77777777" w:rsidR="006B4B08" w:rsidRPr="00872D7E" w:rsidRDefault="006B4B08" w:rsidP="00D158DE">
      <w:pPr>
        <w:widowControl w:val="0"/>
        <w:autoSpaceDE w:val="0"/>
        <w:autoSpaceDN w:val="0"/>
        <w:adjustRightInd w:val="0"/>
        <w:spacing w:line="206" w:lineRule="auto"/>
        <w:jc w:val="both"/>
        <w:rPr>
          <w:sz w:val="16"/>
          <w:szCs w:val="16"/>
        </w:rPr>
      </w:pPr>
    </w:p>
    <w:p w14:paraId="6B4EF41A" w14:textId="77777777" w:rsidR="006B4B08" w:rsidRPr="00872D7E" w:rsidRDefault="006B4B08" w:rsidP="00D158DE">
      <w:pPr>
        <w:widowControl w:val="0"/>
        <w:autoSpaceDE w:val="0"/>
        <w:autoSpaceDN w:val="0"/>
        <w:adjustRightInd w:val="0"/>
        <w:spacing w:line="206" w:lineRule="auto"/>
        <w:ind w:left="1276" w:hanging="425"/>
        <w:jc w:val="both"/>
        <w:rPr>
          <w:szCs w:val="20"/>
        </w:rPr>
      </w:pPr>
      <w:r w:rsidRPr="00872D7E">
        <w:rPr>
          <w:szCs w:val="20"/>
        </w:rPr>
        <w:t>-</w:t>
      </w:r>
      <w:r w:rsidRPr="00872D7E">
        <w:rPr>
          <w:szCs w:val="20"/>
        </w:rPr>
        <w:tab/>
        <w:t>Birikmiş amortisman ve birikmiş değer düşüklüğü zararları düşülmüş ve</w:t>
      </w:r>
    </w:p>
    <w:p w14:paraId="4EF78C45" w14:textId="77777777" w:rsidR="006B4B08" w:rsidRPr="00872D7E" w:rsidRDefault="006B4B08" w:rsidP="00D158DE">
      <w:pPr>
        <w:widowControl w:val="0"/>
        <w:autoSpaceDE w:val="0"/>
        <w:autoSpaceDN w:val="0"/>
        <w:adjustRightInd w:val="0"/>
        <w:spacing w:line="206" w:lineRule="auto"/>
        <w:ind w:left="1276" w:hanging="425"/>
        <w:jc w:val="both"/>
        <w:rPr>
          <w:szCs w:val="20"/>
        </w:rPr>
      </w:pPr>
      <w:r w:rsidRPr="00872D7E">
        <w:rPr>
          <w:szCs w:val="20"/>
        </w:rPr>
        <w:t>-</w:t>
      </w:r>
      <w:r w:rsidRPr="00872D7E">
        <w:rPr>
          <w:szCs w:val="20"/>
        </w:rPr>
        <w:tab/>
        <w:t>Kira yükümlülüğünün yeniden ölçümüne göre düzeltilmiş maliyeti üzerinden ölçer.</w:t>
      </w:r>
    </w:p>
    <w:p w14:paraId="09CD129B" w14:textId="77777777" w:rsidR="006B4B08" w:rsidRPr="00872D7E" w:rsidRDefault="006B4B08" w:rsidP="00D158DE">
      <w:pPr>
        <w:widowControl w:val="0"/>
        <w:autoSpaceDE w:val="0"/>
        <w:autoSpaceDN w:val="0"/>
        <w:adjustRightInd w:val="0"/>
        <w:spacing w:line="206" w:lineRule="auto"/>
        <w:jc w:val="both"/>
        <w:rPr>
          <w:sz w:val="16"/>
          <w:szCs w:val="16"/>
        </w:rPr>
      </w:pPr>
    </w:p>
    <w:p w14:paraId="1B4F6820" w14:textId="77777777" w:rsidR="006B4B08" w:rsidRPr="00872D7E" w:rsidRDefault="006B4B08" w:rsidP="00D158DE">
      <w:pPr>
        <w:widowControl w:val="0"/>
        <w:autoSpaceDE w:val="0"/>
        <w:autoSpaceDN w:val="0"/>
        <w:adjustRightInd w:val="0"/>
        <w:spacing w:line="206" w:lineRule="auto"/>
        <w:ind w:left="851"/>
        <w:jc w:val="both"/>
        <w:rPr>
          <w:szCs w:val="20"/>
        </w:rPr>
      </w:pPr>
      <w:r w:rsidRPr="00872D7E">
        <w:rPr>
          <w:szCs w:val="20"/>
        </w:rPr>
        <w:t>Banka, kullanım hakkı varlığını amortismana tabi tutarken TMS 16 Maddi Duran Varlıklar standardında yer alan amortisman hükümlerini uygular.</w:t>
      </w:r>
    </w:p>
    <w:p w14:paraId="1A79CDAA" w14:textId="70B3D32B" w:rsidR="006B4B08" w:rsidRPr="00872D7E" w:rsidRDefault="006B4B08" w:rsidP="00D158DE">
      <w:pPr>
        <w:widowControl w:val="0"/>
        <w:autoSpaceDE w:val="0"/>
        <w:autoSpaceDN w:val="0"/>
        <w:adjustRightInd w:val="0"/>
        <w:spacing w:line="206" w:lineRule="auto"/>
        <w:ind w:left="851"/>
        <w:jc w:val="both"/>
        <w:rPr>
          <w:sz w:val="16"/>
          <w:szCs w:val="16"/>
        </w:rPr>
      </w:pPr>
    </w:p>
    <w:p w14:paraId="7C4E5E32" w14:textId="77777777" w:rsidR="006B4B08" w:rsidRPr="00872D7E" w:rsidRDefault="006B4B08" w:rsidP="00D158DE">
      <w:pPr>
        <w:widowControl w:val="0"/>
        <w:autoSpaceDE w:val="0"/>
        <w:autoSpaceDN w:val="0"/>
        <w:adjustRightInd w:val="0"/>
        <w:spacing w:line="206" w:lineRule="auto"/>
        <w:ind w:left="851"/>
        <w:rPr>
          <w:szCs w:val="20"/>
        </w:rPr>
      </w:pPr>
      <w:r w:rsidRPr="00872D7E">
        <w:rPr>
          <w:b/>
          <w:szCs w:val="20"/>
        </w:rPr>
        <w:t>Kira Yükümlülüğü</w:t>
      </w:r>
      <w:r w:rsidRPr="00872D7E">
        <w:rPr>
          <w:szCs w:val="20"/>
        </w:rPr>
        <w:t>:</w:t>
      </w:r>
    </w:p>
    <w:p w14:paraId="154A4B4C" w14:textId="77777777" w:rsidR="0030346E" w:rsidRPr="00872D7E" w:rsidRDefault="0030346E" w:rsidP="00D158DE">
      <w:pPr>
        <w:widowControl w:val="0"/>
        <w:autoSpaceDE w:val="0"/>
        <w:autoSpaceDN w:val="0"/>
        <w:adjustRightInd w:val="0"/>
        <w:spacing w:line="206" w:lineRule="auto"/>
        <w:ind w:left="851"/>
        <w:rPr>
          <w:sz w:val="16"/>
          <w:szCs w:val="16"/>
        </w:rPr>
      </w:pPr>
    </w:p>
    <w:p w14:paraId="125CA56A" w14:textId="77777777" w:rsidR="006B4B08" w:rsidRPr="00872D7E" w:rsidRDefault="006B4B08" w:rsidP="00D158DE">
      <w:pPr>
        <w:widowControl w:val="0"/>
        <w:autoSpaceDE w:val="0"/>
        <w:autoSpaceDN w:val="0"/>
        <w:adjustRightInd w:val="0"/>
        <w:spacing w:line="206" w:lineRule="auto"/>
        <w:ind w:left="851"/>
        <w:jc w:val="both"/>
        <w:rPr>
          <w:szCs w:val="20"/>
        </w:rPr>
      </w:pPr>
      <w:r w:rsidRPr="00872D7E">
        <w:rPr>
          <w:szCs w:val="20"/>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 Kiralamanın fiilen başladığı tarihte, kira yükümlülüğünün ölçümüne dahil olan kira ödemeleri, dayanak varlığın kiralama suresi boyunca kullanım hakkı için yapılacak ve kiralamanın fiilen başladığı tarihte ödenmemiş olan ödemelerden oluşur.</w:t>
      </w:r>
    </w:p>
    <w:p w14:paraId="07428E68" w14:textId="77777777" w:rsidR="006B4B08" w:rsidRPr="00872D7E" w:rsidRDefault="006B4B08" w:rsidP="00D158DE">
      <w:pPr>
        <w:widowControl w:val="0"/>
        <w:autoSpaceDE w:val="0"/>
        <w:autoSpaceDN w:val="0"/>
        <w:adjustRightInd w:val="0"/>
        <w:spacing w:line="206" w:lineRule="auto"/>
        <w:ind w:left="851"/>
        <w:jc w:val="both"/>
        <w:rPr>
          <w:sz w:val="16"/>
          <w:szCs w:val="16"/>
        </w:rPr>
      </w:pPr>
    </w:p>
    <w:p w14:paraId="1F5DD66B" w14:textId="77777777" w:rsidR="006B4B08" w:rsidRPr="00872D7E" w:rsidRDefault="006B4B08" w:rsidP="00D158DE">
      <w:pPr>
        <w:widowControl w:val="0"/>
        <w:autoSpaceDE w:val="0"/>
        <w:autoSpaceDN w:val="0"/>
        <w:adjustRightInd w:val="0"/>
        <w:spacing w:line="206" w:lineRule="auto"/>
        <w:ind w:left="851"/>
        <w:jc w:val="both"/>
        <w:rPr>
          <w:szCs w:val="20"/>
        </w:rPr>
      </w:pPr>
      <w:r w:rsidRPr="00872D7E">
        <w:rPr>
          <w:szCs w:val="20"/>
        </w:rPr>
        <w:t>Kiralamanın fiilen başladığı tarihten sonra Banka, kira yükümlülüğünü aşağıdaki şekilde ölçer;</w:t>
      </w:r>
    </w:p>
    <w:p w14:paraId="6DF787E8" w14:textId="77777777" w:rsidR="006B4B08" w:rsidRPr="00872D7E" w:rsidRDefault="006B4B08" w:rsidP="00D158DE">
      <w:pPr>
        <w:widowControl w:val="0"/>
        <w:autoSpaceDE w:val="0"/>
        <w:autoSpaceDN w:val="0"/>
        <w:adjustRightInd w:val="0"/>
        <w:spacing w:line="206" w:lineRule="auto"/>
        <w:ind w:left="851"/>
        <w:jc w:val="both"/>
        <w:rPr>
          <w:sz w:val="16"/>
          <w:szCs w:val="16"/>
        </w:rPr>
      </w:pPr>
    </w:p>
    <w:p w14:paraId="4C25C298" w14:textId="77777777" w:rsidR="006B4B08" w:rsidRPr="00872D7E" w:rsidRDefault="006B4B08" w:rsidP="00D158DE">
      <w:pPr>
        <w:widowControl w:val="0"/>
        <w:autoSpaceDE w:val="0"/>
        <w:autoSpaceDN w:val="0"/>
        <w:adjustRightInd w:val="0"/>
        <w:spacing w:line="206" w:lineRule="auto"/>
        <w:ind w:left="1276" w:hanging="425"/>
        <w:rPr>
          <w:szCs w:val="20"/>
        </w:rPr>
      </w:pPr>
      <w:r w:rsidRPr="00872D7E">
        <w:rPr>
          <w:szCs w:val="20"/>
        </w:rPr>
        <w:t>-</w:t>
      </w:r>
      <w:r w:rsidRPr="00872D7E">
        <w:rPr>
          <w:szCs w:val="20"/>
        </w:rPr>
        <w:tab/>
        <w:t>Defter değerini, kira yükümlülüğündeki kar oranını yansıtacak şekilde artırır,</w:t>
      </w:r>
    </w:p>
    <w:p w14:paraId="5FA73009" w14:textId="77777777" w:rsidR="006B4B08" w:rsidRPr="00872D7E" w:rsidRDefault="006B4B08" w:rsidP="00D158DE">
      <w:pPr>
        <w:widowControl w:val="0"/>
        <w:autoSpaceDE w:val="0"/>
        <w:autoSpaceDN w:val="0"/>
        <w:adjustRightInd w:val="0"/>
        <w:spacing w:line="206" w:lineRule="auto"/>
        <w:ind w:left="1276" w:hanging="425"/>
        <w:rPr>
          <w:szCs w:val="20"/>
        </w:rPr>
      </w:pPr>
      <w:r w:rsidRPr="00872D7E">
        <w:rPr>
          <w:szCs w:val="20"/>
        </w:rPr>
        <w:t>-</w:t>
      </w:r>
      <w:r w:rsidRPr="00872D7E">
        <w:rPr>
          <w:szCs w:val="20"/>
        </w:rPr>
        <w:tab/>
        <w:t>Defter değerini, yapılmış olan kira ödemelerini yansıtacak şekilde azaltır,</w:t>
      </w:r>
    </w:p>
    <w:p w14:paraId="2BEABBE9" w14:textId="77777777" w:rsidR="006B4B08" w:rsidRPr="00872D7E" w:rsidRDefault="006B4B08" w:rsidP="00D158DE">
      <w:pPr>
        <w:widowControl w:val="0"/>
        <w:autoSpaceDE w:val="0"/>
        <w:autoSpaceDN w:val="0"/>
        <w:adjustRightInd w:val="0"/>
        <w:spacing w:line="206" w:lineRule="auto"/>
        <w:ind w:left="1276" w:hanging="425"/>
        <w:rPr>
          <w:szCs w:val="20"/>
        </w:rPr>
      </w:pPr>
      <w:r w:rsidRPr="00872D7E">
        <w:rPr>
          <w:szCs w:val="20"/>
        </w:rPr>
        <w:t>-</w:t>
      </w:r>
      <w:r w:rsidRPr="00872D7E">
        <w:rPr>
          <w:szCs w:val="20"/>
        </w:rPr>
        <w:tab/>
        <w:t>Defter değerini yeniden değerlendirmeleri ve yeniden yapılandırmaları yansıtacak şekilde ya da revize edilmiş özü itibarıyla sabit olan kira ödemelerini yansıtacak şekilde yeniden ölçer.</w:t>
      </w:r>
    </w:p>
    <w:p w14:paraId="0CF3EFE6" w14:textId="77777777" w:rsidR="0030346E" w:rsidRPr="00872D7E" w:rsidRDefault="0030346E" w:rsidP="00D158DE">
      <w:pPr>
        <w:widowControl w:val="0"/>
        <w:autoSpaceDE w:val="0"/>
        <w:autoSpaceDN w:val="0"/>
        <w:adjustRightInd w:val="0"/>
        <w:spacing w:line="206" w:lineRule="auto"/>
        <w:ind w:left="1276" w:hanging="425"/>
        <w:rPr>
          <w:sz w:val="16"/>
          <w:szCs w:val="16"/>
        </w:rPr>
      </w:pPr>
    </w:p>
    <w:p w14:paraId="3DB8F9A7" w14:textId="155936FB" w:rsidR="00DF415D" w:rsidRPr="00872D7E" w:rsidRDefault="006B4B08" w:rsidP="00D158DE">
      <w:pPr>
        <w:widowControl w:val="0"/>
        <w:autoSpaceDE w:val="0"/>
        <w:autoSpaceDN w:val="0"/>
        <w:adjustRightInd w:val="0"/>
        <w:spacing w:line="206" w:lineRule="auto"/>
        <w:ind w:left="851"/>
        <w:jc w:val="both"/>
        <w:rPr>
          <w:szCs w:val="20"/>
        </w:rPr>
      </w:pPr>
      <w:r w:rsidRPr="00872D7E">
        <w:rPr>
          <w:szCs w:val="20"/>
        </w:rPr>
        <w:t>Kiralama suresindeki her bir döneme ait kira yükümlülüğüne ilişkin kar oranı, kira yükümlülüğünün kalan bakiyesine sabit bir dönemsel kar oranı uygulanarak bulunan tutardır.</w:t>
      </w:r>
      <w:r w:rsidR="00DF415D" w:rsidRPr="00872D7E">
        <w:rPr>
          <w:szCs w:val="20"/>
        </w:rPr>
        <w:br w:type="page"/>
      </w:r>
    </w:p>
    <w:p w14:paraId="4E408521" w14:textId="0DCF7271" w:rsidR="00DF415D" w:rsidRPr="00872D7E" w:rsidRDefault="00DF415D" w:rsidP="004C6EA2">
      <w:pPr>
        <w:pStyle w:val="BodyTextIndent"/>
        <w:widowControl w:val="0"/>
        <w:ind w:firstLine="0"/>
        <w:rPr>
          <w:b/>
          <w:szCs w:val="20"/>
        </w:rPr>
      </w:pPr>
      <w:r w:rsidRPr="00872D7E">
        <w:rPr>
          <w:b/>
          <w:szCs w:val="20"/>
        </w:rPr>
        <w:lastRenderedPageBreak/>
        <w:t xml:space="preserve">MUHASEBE POLİTİKALARINA İLİŞKİN AÇIKLAMALAR </w:t>
      </w:r>
      <w:r w:rsidR="00451EE9" w:rsidRPr="00872D7E">
        <w:rPr>
          <w:b/>
          <w:szCs w:val="20"/>
        </w:rPr>
        <w:t>(Devamı)</w:t>
      </w:r>
    </w:p>
    <w:p w14:paraId="1DE3F664" w14:textId="77777777" w:rsidR="006C7154" w:rsidRPr="00872D7E" w:rsidRDefault="006C7154" w:rsidP="004C6EA2">
      <w:pPr>
        <w:widowControl w:val="0"/>
        <w:autoSpaceDE w:val="0"/>
        <w:autoSpaceDN w:val="0"/>
        <w:adjustRightInd w:val="0"/>
        <w:jc w:val="both"/>
        <w:rPr>
          <w:szCs w:val="20"/>
        </w:rPr>
      </w:pPr>
    </w:p>
    <w:p w14:paraId="03792C04" w14:textId="7961149F" w:rsidR="00632D27" w:rsidRPr="00872D7E" w:rsidRDefault="00632D27" w:rsidP="004C6EA2">
      <w:pPr>
        <w:widowControl w:val="0"/>
        <w:ind w:left="851" w:hanging="851"/>
        <w:jc w:val="both"/>
        <w:rPr>
          <w:b/>
          <w:iCs/>
          <w:szCs w:val="20"/>
        </w:rPr>
      </w:pPr>
      <w:r w:rsidRPr="00872D7E">
        <w:rPr>
          <w:b/>
          <w:iCs/>
          <w:szCs w:val="20"/>
        </w:rPr>
        <w:t>XIV.</w:t>
      </w:r>
      <w:r w:rsidRPr="00872D7E">
        <w:rPr>
          <w:b/>
          <w:iCs/>
          <w:szCs w:val="20"/>
        </w:rPr>
        <w:tab/>
      </w:r>
      <w:r w:rsidR="00DF415D" w:rsidRPr="00872D7E">
        <w:rPr>
          <w:b/>
          <w:iCs/>
          <w:szCs w:val="20"/>
        </w:rPr>
        <w:t>KARŞILIKLAR VE KOŞULLU YÜKÜMLÜLÜKLERE İLİŞKİN AÇIKLAMALAR</w:t>
      </w:r>
    </w:p>
    <w:p w14:paraId="5BED71AC" w14:textId="77777777" w:rsidR="0025237D" w:rsidRPr="00872D7E" w:rsidRDefault="0025237D" w:rsidP="004C6EA2">
      <w:pPr>
        <w:widowControl w:val="0"/>
        <w:autoSpaceDE w:val="0"/>
        <w:autoSpaceDN w:val="0"/>
        <w:adjustRightInd w:val="0"/>
        <w:jc w:val="both"/>
        <w:rPr>
          <w:szCs w:val="20"/>
        </w:rPr>
      </w:pPr>
    </w:p>
    <w:p w14:paraId="5A9A5032" w14:textId="15CC5BE1" w:rsidR="00632D27" w:rsidRPr="00872D7E" w:rsidRDefault="00632D27" w:rsidP="004C6EA2">
      <w:pPr>
        <w:widowControl w:val="0"/>
        <w:autoSpaceDE w:val="0"/>
        <w:autoSpaceDN w:val="0"/>
        <w:adjustRightInd w:val="0"/>
        <w:ind w:left="851"/>
        <w:jc w:val="both"/>
        <w:rPr>
          <w:szCs w:val="20"/>
        </w:rPr>
      </w:pPr>
      <w:r w:rsidRPr="00872D7E">
        <w:rPr>
          <w:szCs w:val="20"/>
        </w:rPr>
        <w:t xml:space="preserve">Krediler için ayrılan </w:t>
      </w:r>
      <w:r w:rsidR="005A795C" w:rsidRPr="00872D7E">
        <w:rPr>
          <w:szCs w:val="20"/>
        </w:rPr>
        <w:t>beklenen zarar</w:t>
      </w:r>
      <w:r w:rsidRPr="00872D7E">
        <w:rPr>
          <w:szCs w:val="20"/>
        </w:rPr>
        <w:t xml:space="preserve"> karşılıklar</w:t>
      </w:r>
      <w:r w:rsidR="005A795C" w:rsidRPr="00872D7E">
        <w:rPr>
          <w:szCs w:val="20"/>
        </w:rPr>
        <w:t>ı</w:t>
      </w:r>
      <w:r w:rsidRPr="00872D7E">
        <w:rPr>
          <w:szCs w:val="20"/>
        </w:rPr>
        <w:t xml:space="preserve"> dışında kalan karşılıklar ve şarta bağlı yükümlülükler “Karşılıklar, Koşullu Borçlar ve Koşullu Varlıklara İlişkin Türkiye Muhasebe Standardı”</w:t>
      </w:r>
      <w:r w:rsidR="006A428D" w:rsidRPr="00872D7E">
        <w:rPr>
          <w:szCs w:val="20"/>
        </w:rPr>
        <w:t xml:space="preserve"> </w:t>
      </w:r>
      <w:r w:rsidRPr="00872D7E">
        <w:rPr>
          <w:szCs w:val="20"/>
        </w:rPr>
        <w:t>(“TMS 37”)’</w:t>
      </w:r>
      <w:proofErr w:type="spellStart"/>
      <w:r w:rsidRPr="00872D7E">
        <w:rPr>
          <w:szCs w:val="20"/>
        </w:rPr>
        <w:t>na</w:t>
      </w:r>
      <w:proofErr w:type="spellEnd"/>
      <w:r w:rsidRPr="00872D7E">
        <w:rPr>
          <w:szCs w:val="20"/>
        </w:rPr>
        <w:t xml:space="preserve"> uygun olarak muhasebeleştirilmektedir. </w:t>
      </w:r>
    </w:p>
    <w:p w14:paraId="09C6F7AA" w14:textId="77777777" w:rsidR="0025237D" w:rsidRPr="00872D7E" w:rsidRDefault="0025237D" w:rsidP="004C6EA2">
      <w:pPr>
        <w:widowControl w:val="0"/>
        <w:autoSpaceDE w:val="0"/>
        <w:autoSpaceDN w:val="0"/>
        <w:adjustRightInd w:val="0"/>
        <w:ind w:left="851"/>
        <w:jc w:val="both"/>
        <w:rPr>
          <w:szCs w:val="20"/>
        </w:rPr>
      </w:pPr>
    </w:p>
    <w:p w14:paraId="6D037796" w14:textId="77777777" w:rsidR="00632D27" w:rsidRPr="00872D7E" w:rsidRDefault="00632D27" w:rsidP="004C6EA2">
      <w:pPr>
        <w:pStyle w:val="BodyTextIndent"/>
        <w:widowControl w:val="0"/>
        <w:ind w:left="851" w:firstLine="0"/>
        <w:rPr>
          <w:szCs w:val="20"/>
        </w:rPr>
      </w:pPr>
      <w:r w:rsidRPr="00872D7E">
        <w:rPr>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10471B23" w14:textId="77777777" w:rsidR="0025237D" w:rsidRPr="00872D7E" w:rsidRDefault="0025237D" w:rsidP="004C6EA2">
      <w:pPr>
        <w:pStyle w:val="BodyTextIndent"/>
        <w:widowControl w:val="0"/>
        <w:ind w:left="851" w:firstLine="0"/>
        <w:rPr>
          <w:szCs w:val="20"/>
        </w:rPr>
      </w:pPr>
    </w:p>
    <w:p w14:paraId="390FA523" w14:textId="3D541940" w:rsidR="00632D27" w:rsidRPr="00872D7E" w:rsidRDefault="00632D27" w:rsidP="004C6EA2">
      <w:pPr>
        <w:pStyle w:val="BodyTextIndent"/>
        <w:widowControl w:val="0"/>
        <w:ind w:left="851" w:firstLine="0"/>
        <w:rPr>
          <w:szCs w:val="20"/>
        </w:rPr>
      </w:pPr>
      <w:r w:rsidRPr="00872D7E">
        <w:rPr>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1951B607" w14:textId="77777777" w:rsidR="0025237D" w:rsidRPr="00872D7E" w:rsidRDefault="0025237D" w:rsidP="004C6EA2">
      <w:pPr>
        <w:pStyle w:val="BodyTextIndent"/>
        <w:widowControl w:val="0"/>
        <w:ind w:left="851" w:firstLine="0"/>
        <w:rPr>
          <w:szCs w:val="20"/>
        </w:rPr>
      </w:pPr>
    </w:p>
    <w:p w14:paraId="283EFC12" w14:textId="11BED85A" w:rsidR="00B32471" w:rsidRPr="00872D7E" w:rsidRDefault="00B32471" w:rsidP="004C6EA2">
      <w:pPr>
        <w:pStyle w:val="BodyText"/>
        <w:widowControl w:val="0"/>
        <w:tabs>
          <w:tab w:val="clear" w:pos="0"/>
          <w:tab w:val="clear" w:pos="720"/>
          <w:tab w:val="left" w:pos="142"/>
          <w:tab w:val="left" w:pos="540"/>
        </w:tabs>
        <w:ind w:left="851"/>
        <w:rPr>
          <w:color w:val="auto"/>
        </w:rPr>
      </w:pPr>
      <w:r w:rsidRPr="00872D7E">
        <w:rPr>
          <w:color w:val="auto"/>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6A1AE0E5" w14:textId="77777777" w:rsidR="0025237D" w:rsidRPr="00872D7E" w:rsidRDefault="0025237D" w:rsidP="004C6EA2">
      <w:pPr>
        <w:pStyle w:val="BodyText"/>
        <w:widowControl w:val="0"/>
        <w:tabs>
          <w:tab w:val="clear" w:pos="0"/>
          <w:tab w:val="clear" w:pos="720"/>
          <w:tab w:val="left" w:pos="142"/>
          <w:tab w:val="left" w:pos="540"/>
        </w:tabs>
        <w:rPr>
          <w:color w:val="auto"/>
        </w:rPr>
      </w:pPr>
    </w:p>
    <w:p w14:paraId="1358F58A" w14:textId="2E9BEAE2" w:rsidR="00632D27" w:rsidRPr="00872D7E" w:rsidRDefault="00632D27" w:rsidP="004C6EA2">
      <w:pPr>
        <w:widowControl w:val="0"/>
        <w:ind w:left="851" w:hanging="851"/>
        <w:jc w:val="both"/>
        <w:rPr>
          <w:b/>
          <w:iCs/>
          <w:szCs w:val="20"/>
        </w:rPr>
      </w:pPr>
      <w:r w:rsidRPr="00872D7E">
        <w:rPr>
          <w:b/>
          <w:iCs/>
          <w:szCs w:val="20"/>
        </w:rPr>
        <w:t>XV.</w:t>
      </w:r>
      <w:r w:rsidRPr="00872D7E">
        <w:rPr>
          <w:b/>
          <w:iCs/>
          <w:szCs w:val="20"/>
        </w:rPr>
        <w:tab/>
      </w:r>
      <w:r w:rsidR="00DF415D" w:rsidRPr="00872D7E">
        <w:rPr>
          <w:b/>
          <w:iCs/>
          <w:szCs w:val="20"/>
        </w:rPr>
        <w:t>ÇALIŞANLARIN HAKLARINA İLİŞKİN YÜKÜMLÜLÜKLERE İLİŞKİN AÇIKLAMALAR</w:t>
      </w:r>
    </w:p>
    <w:p w14:paraId="18245B45" w14:textId="77777777" w:rsidR="0025237D" w:rsidRPr="00872D7E" w:rsidRDefault="0025237D" w:rsidP="004C6EA2">
      <w:pPr>
        <w:pStyle w:val="BodybyBD"/>
        <w:keepLines w:val="0"/>
        <w:widowControl w:val="0"/>
        <w:autoSpaceDE w:val="0"/>
        <w:autoSpaceDN w:val="0"/>
        <w:adjustRightInd w:val="0"/>
        <w:spacing w:before="0" w:after="0" w:line="240" w:lineRule="auto"/>
        <w:rPr>
          <w:sz w:val="20"/>
        </w:rPr>
      </w:pPr>
    </w:p>
    <w:p w14:paraId="1540F6E1" w14:textId="33106CA2" w:rsidR="0022681F" w:rsidRPr="00872D7E" w:rsidRDefault="0022681F" w:rsidP="004C6EA2">
      <w:pPr>
        <w:pStyle w:val="BodybyBD"/>
        <w:keepLines w:val="0"/>
        <w:widowControl w:val="0"/>
        <w:autoSpaceDE w:val="0"/>
        <w:autoSpaceDN w:val="0"/>
        <w:adjustRightInd w:val="0"/>
        <w:spacing w:before="0" w:after="0" w:line="240" w:lineRule="auto"/>
        <w:ind w:left="851"/>
        <w:rPr>
          <w:sz w:val="20"/>
        </w:rPr>
      </w:pPr>
      <w:r w:rsidRPr="00872D7E">
        <w:rPr>
          <w:sz w:val="20"/>
        </w:rPr>
        <w:t xml:space="preserve">Banka çalışanların haklarına ilişkin yükümlülüklerini </w:t>
      </w:r>
      <w:r w:rsidR="00D83F35" w:rsidRPr="00872D7E">
        <w:rPr>
          <w:sz w:val="20"/>
        </w:rPr>
        <w:t>(“</w:t>
      </w:r>
      <w:r w:rsidRPr="00872D7E">
        <w:rPr>
          <w:sz w:val="20"/>
        </w:rPr>
        <w:t>TMS 19</w:t>
      </w:r>
      <w:r w:rsidR="00D83F35" w:rsidRPr="00872D7E">
        <w:rPr>
          <w:sz w:val="20"/>
        </w:rPr>
        <w:t>”)</w:t>
      </w:r>
      <w:r w:rsidR="00266E78" w:rsidRPr="00872D7E">
        <w:rPr>
          <w:sz w:val="20"/>
        </w:rPr>
        <w:t xml:space="preserve"> </w:t>
      </w:r>
      <w:r w:rsidR="00D83F35" w:rsidRPr="00872D7E">
        <w:rPr>
          <w:sz w:val="20"/>
        </w:rPr>
        <w:t>“</w:t>
      </w:r>
      <w:r w:rsidRPr="00872D7E">
        <w:rPr>
          <w:sz w:val="20"/>
        </w:rPr>
        <w:t>Çalışanlara Sağlanan Faydalar” standardı uyarınca muhasebeleştirmektedir.</w:t>
      </w:r>
    </w:p>
    <w:p w14:paraId="4D02FA22" w14:textId="77777777" w:rsidR="0025237D" w:rsidRPr="00872D7E" w:rsidRDefault="0025237D" w:rsidP="004C6EA2">
      <w:pPr>
        <w:pStyle w:val="BodybyBD"/>
        <w:keepLines w:val="0"/>
        <w:widowControl w:val="0"/>
        <w:autoSpaceDE w:val="0"/>
        <w:autoSpaceDN w:val="0"/>
        <w:adjustRightInd w:val="0"/>
        <w:spacing w:before="0" w:after="0" w:line="240" w:lineRule="auto"/>
        <w:ind w:left="851"/>
        <w:rPr>
          <w:sz w:val="16"/>
          <w:szCs w:val="16"/>
        </w:rPr>
      </w:pPr>
    </w:p>
    <w:p w14:paraId="4E8C5358" w14:textId="030A1473" w:rsidR="0025237D" w:rsidRPr="00872D7E" w:rsidRDefault="0053225C" w:rsidP="004C6EA2">
      <w:pPr>
        <w:pStyle w:val="BodybyBD"/>
        <w:keepLines w:val="0"/>
        <w:widowControl w:val="0"/>
        <w:autoSpaceDE w:val="0"/>
        <w:autoSpaceDN w:val="0"/>
        <w:adjustRightInd w:val="0"/>
        <w:spacing w:before="0" w:after="0" w:line="240" w:lineRule="auto"/>
        <w:ind w:left="851"/>
        <w:rPr>
          <w:sz w:val="20"/>
        </w:rPr>
      </w:pPr>
      <w:r w:rsidRPr="00872D7E">
        <w:rPr>
          <w:sz w:val="20"/>
        </w:rPr>
        <w:t>Yürürlükteki kanunlara göre, Banka, emeklilik dolayısıyla istifa ve İş Kanunu’nda belirtilen davranışlar dışındaki sebeplerle istihdamı sona erdirilen çalışanlara belirli bir toplu ödeme yapmakla yükümlüdür. 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34BF3CEB" w14:textId="77777777" w:rsidR="0053225C" w:rsidRPr="00872D7E" w:rsidRDefault="0053225C" w:rsidP="004C6EA2">
      <w:pPr>
        <w:pStyle w:val="BodybyBD"/>
        <w:keepLines w:val="0"/>
        <w:widowControl w:val="0"/>
        <w:autoSpaceDE w:val="0"/>
        <w:autoSpaceDN w:val="0"/>
        <w:adjustRightInd w:val="0"/>
        <w:spacing w:before="0" w:after="0" w:line="240" w:lineRule="auto"/>
        <w:ind w:left="851"/>
        <w:rPr>
          <w:sz w:val="20"/>
        </w:rPr>
      </w:pPr>
    </w:p>
    <w:p w14:paraId="65ED3B75" w14:textId="618F958B" w:rsidR="00537C3E" w:rsidRPr="00872D7E" w:rsidRDefault="0022681F" w:rsidP="004C6EA2">
      <w:pPr>
        <w:pStyle w:val="BodybyBD"/>
        <w:keepLines w:val="0"/>
        <w:widowControl w:val="0"/>
        <w:autoSpaceDE w:val="0"/>
        <w:autoSpaceDN w:val="0"/>
        <w:adjustRightInd w:val="0"/>
        <w:spacing w:before="0" w:after="0" w:line="240" w:lineRule="auto"/>
        <w:ind w:left="851"/>
        <w:rPr>
          <w:sz w:val="20"/>
        </w:rPr>
      </w:pPr>
      <w:r w:rsidRPr="00872D7E">
        <w:rPr>
          <w:sz w:val="20"/>
        </w:rPr>
        <w:t>Banka, çalışanlarının kullanmadığı izin günlerine ilişkin TMS 19 standardı uyarınca karşılık ayırm</w:t>
      </w:r>
      <w:r w:rsidR="0053225C" w:rsidRPr="00872D7E">
        <w:rPr>
          <w:sz w:val="20"/>
        </w:rPr>
        <w:t>akta</w:t>
      </w:r>
      <w:r w:rsidRPr="00872D7E">
        <w:rPr>
          <w:sz w:val="20"/>
        </w:rPr>
        <w:t xml:space="preserve"> ve finansal tablolarına yansıtm</w:t>
      </w:r>
      <w:r w:rsidR="0053225C" w:rsidRPr="00872D7E">
        <w:rPr>
          <w:sz w:val="20"/>
        </w:rPr>
        <w:t>aktadır.</w:t>
      </w:r>
    </w:p>
    <w:p w14:paraId="5B44C4D9" w14:textId="78409657" w:rsidR="0053225C" w:rsidRPr="00872D7E" w:rsidRDefault="0053225C" w:rsidP="004C6EA2">
      <w:pPr>
        <w:pStyle w:val="BodybyBD"/>
        <w:keepLines w:val="0"/>
        <w:widowControl w:val="0"/>
        <w:autoSpaceDE w:val="0"/>
        <w:autoSpaceDN w:val="0"/>
        <w:adjustRightInd w:val="0"/>
        <w:spacing w:before="0" w:after="0" w:line="240" w:lineRule="auto"/>
        <w:ind w:left="851"/>
        <w:rPr>
          <w:sz w:val="16"/>
          <w:szCs w:val="16"/>
        </w:rPr>
      </w:pPr>
    </w:p>
    <w:p w14:paraId="3A7170C8" w14:textId="77777777" w:rsidR="007F286D" w:rsidRPr="00872D7E" w:rsidRDefault="0053225C" w:rsidP="004C6EA2">
      <w:pPr>
        <w:pStyle w:val="BodybyBD"/>
        <w:keepLines w:val="0"/>
        <w:widowControl w:val="0"/>
        <w:autoSpaceDE w:val="0"/>
        <w:autoSpaceDN w:val="0"/>
        <w:adjustRightInd w:val="0"/>
        <w:spacing w:before="0" w:after="0" w:line="240" w:lineRule="auto"/>
        <w:ind w:left="851"/>
        <w:rPr>
          <w:sz w:val="20"/>
        </w:rPr>
      </w:pPr>
      <w:r w:rsidRPr="00872D7E">
        <w:rPr>
          <w:sz w:val="20"/>
        </w:rPr>
        <w:t>Bilanço tarihi itibarıyla finansal tablolarda ilave karşılık ayrılmasını gerektiren çalışan haklarından doğan kısa vadeli yükümlülükler bulunmamaktadır. Banka çalışanlarının üyesi olduğu vakıf, sandık ve benzeri kuruluşlar bulunmamaktadır.</w:t>
      </w:r>
    </w:p>
    <w:p w14:paraId="60D47BD1" w14:textId="2D007D8D" w:rsidR="0053225C" w:rsidRPr="00872D7E" w:rsidRDefault="0053225C" w:rsidP="004C6EA2">
      <w:pPr>
        <w:pStyle w:val="BodybyBD"/>
        <w:keepLines w:val="0"/>
        <w:widowControl w:val="0"/>
        <w:autoSpaceDE w:val="0"/>
        <w:autoSpaceDN w:val="0"/>
        <w:adjustRightInd w:val="0"/>
        <w:spacing w:before="0" w:after="0" w:line="240" w:lineRule="auto"/>
        <w:ind w:left="851"/>
        <w:rPr>
          <w:sz w:val="16"/>
          <w:szCs w:val="16"/>
        </w:rPr>
      </w:pPr>
    </w:p>
    <w:p w14:paraId="37CB0826" w14:textId="60FF2939" w:rsidR="00632D27" w:rsidRPr="00872D7E" w:rsidRDefault="00632D27" w:rsidP="004C6EA2">
      <w:pPr>
        <w:pStyle w:val="BodyTextIndent"/>
        <w:widowControl w:val="0"/>
        <w:ind w:left="851" w:hanging="851"/>
        <w:rPr>
          <w:b/>
          <w:iCs/>
          <w:szCs w:val="20"/>
        </w:rPr>
      </w:pPr>
      <w:r w:rsidRPr="00872D7E">
        <w:rPr>
          <w:b/>
          <w:iCs/>
          <w:szCs w:val="20"/>
        </w:rPr>
        <w:t>XVI.</w:t>
      </w:r>
      <w:r w:rsidRPr="00872D7E">
        <w:rPr>
          <w:b/>
          <w:iCs/>
          <w:szCs w:val="20"/>
        </w:rPr>
        <w:tab/>
      </w:r>
      <w:r w:rsidR="00DF415D" w:rsidRPr="00872D7E">
        <w:rPr>
          <w:b/>
          <w:iCs/>
          <w:szCs w:val="20"/>
        </w:rPr>
        <w:t>VERGİ UYGULAMALARINA İLİŞKİN AÇIKLAMALAR</w:t>
      </w:r>
    </w:p>
    <w:p w14:paraId="51E1D683" w14:textId="77777777" w:rsidR="0025237D" w:rsidRPr="00872D7E" w:rsidRDefault="0025237D" w:rsidP="004C6EA2">
      <w:pPr>
        <w:pStyle w:val="BodyTextIndent"/>
        <w:widowControl w:val="0"/>
        <w:ind w:left="851" w:firstLine="0"/>
        <w:rPr>
          <w:b/>
          <w:sz w:val="16"/>
          <w:szCs w:val="16"/>
        </w:rPr>
      </w:pPr>
    </w:p>
    <w:p w14:paraId="20FDDC35" w14:textId="60FCF751" w:rsidR="0008711C" w:rsidRPr="00872D7E" w:rsidRDefault="00DF415D" w:rsidP="004C6EA2">
      <w:pPr>
        <w:pStyle w:val="BodyTextIndent"/>
        <w:widowControl w:val="0"/>
        <w:ind w:left="851" w:firstLine="0"/>
        <w:rPr>
          <w:b/>
          <w:szCs w:val="20"/>
        </w:rPr>
      </w:pPr>
      <w:r w:rsidRPr="00872D7E">
        <w:rPr>
          <w:b/>
          <w:szCs w:val="20"/>
        </w:rPr>
        <w:t xml:space="preserve">Kurumlar Vergisi </w:t>
      </w:r>
    </w:p>
    <w:p w14:paraId="28368C7C" w14:textId="77777777" w:rsidR="0025237D" w:rsidRPr="00872D7E" w:rsidRDefault="0025237D" w:rsidP="004C6EA2">
      <w:pPr>
        <w:pStyle w:val="BodyTextIndent"/>
        <w:widowControl w:val="0"/>
        <w:ind w:left="851" w:firstLine="0"/>
        <w:rPr>
          <w:b/>
          <w:sz w:val="16"/>
          <w:szCs w:val="16"/>
        </w:rPr>
      </w:pPr>
    </w:p>
    <w:p w14:paraId="0C1AF18C" w14:textId="4116EC2A" w:rsidR="007F286D" w:rsidRPr="00872D7E" w:rsidRDefault="0008711C" w:rsidP="004C6EA2">
      <w:pPr>
        <w:pStyle w:val="BodyTextIndent"/>
        <w:widowControl w:val="0"/>
        <w:ind w:left="851" w:firstLine="0"/>
        <w:rPr>
          <w:szCs w:val="20"/>
        </w:rPr>
      </w:pPr>
      <w:r w:rsidRPr="00872D7E">
        <w:rPr>
          <w:szCs w:val="20"/>
        </w:rPr>
        <w:t>Banka, Türkiye’de yürürlükte bulunan vergi mevzuatına tabidir.</w:t>
      </w:r>
      <w:r w:rsidR="00332B3C" w:rsidRPr="00872D7E">
        <w:rPr>
          <w:szCs w:val="20"/>
        </w:rPr>
        <w:t xml:space="preserve"> Kurumlar vergisi oranı, 21 Haziran 2006 tarihli ve 26205 sayılı </w:t>
      </w:r>
      <w:r w:rsidR="00B21AE8" w:rsidRPr="00872D7E">
        <w:rPr>
          <w:szCs w:val="20"/>
        </w:rPr>
        <w:t>Resmî</w:t>
      </w:r>
      <w:r w:rsidR="00332B3C" w:rsidRPr="00872D7E">
        <w:rPr>
          <w:szCs w:val="20"/>
        </w:rPr>
        <w:t xml:space="preserve"> </w:t>
      </w:r>
      <w:proofErr w:type="spellStart"/>
      <w:r w:rsidR="00332B3C" w:rsidRPr="00872D7E">
        <w:rPr>
          <w:szCs w:val="20"/>
        </w:rPr>
        <w:t>Gazete’de</w:t>
      </w:r>
      <w:proofErr w:type="spellEnd"/>
      <w:r w:rsidR="00332B3C" w:rsidRPr="00872D7E">
        <w:rPr>
          <w:szCs w:val="20"/>
        </w:rPr>
        <w:t xml:space="preserve"> yayımlanarak yürürlüğe giren 5520 sayılı Kurumlar Vergisi Kanunu ile 1 Ocak 2006 tarihinden itibaren geçerli olmak üzere %20 olarak belirlenmiştir. Ancak; 15 Nisan 2022 tarih ve 31810 sayılı Resmi </w:t>
      </w:r>
      <w:proofErr w:type="spellStart"/>
      <w:r w:rsidR="00332B3C" w:rsidRPr="00872D7E">
        <w:rPr>
          <w:szCs w:val="20"/>
        </w:rPr>
        <w:t>Gazete’de</w:t>
      </w:r>
      <w:proofErr w:type="spellEnd"/>
      <w:r w:rsidR="00332B3C" w:rsidRPr="00872D7E">
        <w:rPr>
          <w:szCs w:val="20"/>
        </w:rPr>
        <w:t xml:space="preserv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1 Temmuz 2022 tarihinden itibaren verilmesi gereken beyannamelerden başlamak ve 1 Ocak 2022 tarihinden itibaren başlayan hesap dönemlerine ait kurum kazançlarına uygulanmak üzere yürürlüğe girmiştir.</w:t>
      </w:r>
      <w:r w:rsidR="007F286D" w:rsidRPr="00872D7E">
        <w:rPr>
          <w:szCs w:val="20"/>
        </w:rPr>
        <w:br w:type="page"/>
      </w:r>
    </w:p>
    <w:p w14:paraId="6617BE3F" w14:textId="77777777" w:rsidR="00F427BE" w:rsidRPr="00872D7E" w:rsidRDefault="00F427BE" w:rsidP="00F427BE">
      <w:pPr>
        <w:pStyle w:val="BodyTextIndent"/>
        <w:widowControl w:val="0"/>
        <w:ind w:firstLine="0"/>
        <w:rPr>
          <w:b/>
          <w:szCs w:val="20"/>
        </w:rPr>
      </w:pPr>
      <w:r w:rsidRPr="00872D7E">
        <w:rPr>
          <w:b/>
          <w:szCs w:val="20"/>
        </w:rPr>
        <w:lastRenderedPageBreak/>
        <w:t>MUHASEBE POLİTİKALARINA İLİŞKİN AÇIKLAMALAR (Devamı)</w:t>
      </w:r>
    </w:p>
    <w:p w14:paraId="462352B3" w14:textId="77777777" w:rsidR="00332B3C" w:rsidRPr="00872D7E" w:rsidRDefault="00332B3C" w:rsidP="004C6EA2">
      <w:pPr>
        <w:pStyle w:val="BodyTextIndent"/>
        <w:widowControl w:val="0"/>
        <w:ind w:left="851" w:firstLine="0"/>
        <w:rPr>
          <w:sz w:val="16"/>
          <w:szCs w:val="16"/>
        </w:rPr>
      </w:pPr>
    </w:p>
    <w:p w14:paraId="38DBFF8C" w14:textId="67FFE472" w:rsidR="00F427BE" w:rsidRPr="00872D7E" w:rsidRDefault="00F427BE" w:rsidP="00F427BE">
      <w:pPr>
        <w:pStyle w:val="BodyTextIndent"/>
        <w:widowControl w:val="0"/>
        <w:ind w:left="851" w:hanging="851"/>
        <w:rPr>
          <w:b/>
          <w:iCs/>
          <w:szCs w:val="20"/>
        </w:rPr>
      </w:pPr>
      <w:r w:rsidRPr="00872D7E">
        <w:rPr>
          <w:b/>
          <w:iCs/>
          <w:szCs w:val="20"/>
        </w:rPr>
        <w:t>XVI.</w:t>
      </w:r>
      <w:r w:rsidRPr="00872D7E">
        <w:rPr>
          <w:b/>
          <w:iCs/>
          <w:szCs w:val="20"/>
        </w:rPr>
        <w:tab/>
        <w:t>VERGİ UYGULAMALARINA İLİŞKİN AÇIKLAMALAR (Devamı)</w:t>
      </w:r>
    </w:p>
    <w:p w14:paraId="2C380D27" w14:textId="77777777" w:rsidR="00332B3C" w:rsidRPr="00872D7E" w:rsidRDefault="00332B3C" w:rsidP="004C6EA2">
      <w:pPr>
        <w:pStyle w:val="BodyTextIndent"/>
        <w:widowControl w:val="0"/>
        <w:ind w:left="851" w:firstLine="0"/>
        <w:rPr>
          <w:sz w:val="16"/>
          <w:szCs w:val="16"/>
        </w:rPr>
      </w:pPr>
    </w:p>
    <w:p w14:paraId="22EE72EE" w14:textId="65CF35F5" w:rsidR="00332B3C" w:rsidRPr="00872D7E" w:rsidRDefault="00332B3C" w:rsidP="004C6EA2">
      <w:pPr>
        <w:pStyle w:val="BodyTextIndent"/>
        <w:widowControl w:val="0"/>
        <w:ind w:left="851" w:firstLine="0"/>
        <w:rPr>
          <w:szCs w:val="20"/>
        </w:rPr>
      </w:pPr>
      <w:r w:rsidRPr="00872D7E">
        <w:rPr>
          <w:szCs w:val="20"/>
        </w:rPr>
        <w:t xml:space="preserve">15 Temmuz 2023 tarih ve 32249 sayılı </w:t>
      </w:r>
      <w:r w:rsidR="00B21AE8" w:rsidRPr="00872D7E">
        <w:rPr>
          <w:szCs w:val="20"/>
        </w:rPr>
        <w:t>Resmî</w:t>
      </w:r>
      <w:r w:rsidRPr="00872D7E">
        <w:rPr>
          <w:szCs w:val="20"/>
        </w:rPr>
        <w:t xml:space="preserve"> </w:t>
      </w:r>
      <w:proofErr w:type="spellStart"/>
      <w:r w:rsidRPr="00872D7E">
        <w:rPr>
          <w:szCs w:val="20"/>
        </w:rPr>
        <w:t>Gazete’de</w:t>
      </w:r>
      <w:proofErr w:type="spellEnd"/>
      <w:r w:rsidRPr="00872D7E">
        <w:rPr>
          <w:szCs w:val="20"/>
        </w:rPr>
        <w:t xml:space="preserv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2F7EED86" w14:textId="77777777" w:rsidR="00332B3C" w:rsidRPr="00872D7E" w:rsidRDefault="00332B3C" w:rsidP="004C6EA2">
      <w:pPr>
        <w:pStyle w:val="BodyTextIndent"/>
        <w:widowControl w:val="0"/>
        <w:ind w:left="851" w:firstLine="0"/>
        <w:rPr>
          <w:sz w:val="16"/>
          <w:szCs w:val="16"/>
        </w:rPr>
      </w:pPr>
    </w:p>
    <w:p w14:paraId="039CAC61" w14:textId="43E7C79A" w:rsidR="0008711C" w:rsidRPr="00872D7E" w:rsidRDefault="00332B3C" w:rsidP="004C6EA2">
      <w:pPr>
        <w:pStyle w:val="BodyTextIndent"/>
        <w:widowControl w:val="0"/>
        <w:ind w:left="851" w:firstLine="0"/>
        <w:rPr>
          <w:szCs w:val="20"/>
        </w:rPr>
      </w:pPr>
      <w:r w:rsidRPr="00872D7E">
        <w:rPr>
          <w:szCs w:val="20"/>
        </w:rPr>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p>
    <w:p w14:paraId="2DE13710" w14:textId="340A2BAB" w:rsidR="00EC7E6E" w:rsidRPr="00872D7E" w:rsidRDefault="00EC7E6E" w:rsidP="004C6EA2">
      <w:pPr>
        <w:pStyle w:val="BodyTextIndent"/>
        <w:widowControl w:val="0"/>
        <w:ind w:left="851" w:firstLine="0"/>
        <w:rPr>
          <w:szCs w:val="20"/>
        </w:rPr>
      </w:pPr>
    </w:p>
    <w:p w14:paraId="0B3925C7" w14:textId="5B6514BF" w:rsidR="00332B3C" w:rsidRPr="00872D7E" w:rsidRDefault="00E04E7B" w:rsidP="00E04E7B">
      <w:pPr>
        <w:pStyle w:val="BodyTextIndent"/>
        <w:widowControl w:val="0"/>
        <w:ind w:left="851" w:firstLine="0"/>
        <w:rPr>
          <w:szCs w:val="20"/>
        </w:rPr>
      </w:pPr>
      <w:r w:rsidRPr="00872D7E">
        <w:rPr>
          <w:szCs w:val="20"/>
        </w:rPr>
        <w:t xml:space="preserve">Türkiye’deki bir işyeri ya da </w:t>
      </w:r>
      <w:proofErr w:type="gramStart"/>
      <w:r w:rsidRPr="00872D7E">
        <w:rPr>
          <w:szCs w:val="20"/>
        </w:rPr>
        <w:t>daimi</w:t>
      </w:r>
      <w:proofErr w:type="gramEnd"/>
      <w:r w:rsidRPr="00872D7E">
        <w:rPr>
          <w:szCs w:val="20"/>
        </w:rPr>
        <w:t xml:space="preserve"> temsilcisi aracılığı ile gelir elde eden dar mükellef kurumlar ile Türkiye’de yerleşik kurumlara ödenen kâr paylarından (temettüler) stopaj yapılmaz. Bunların dışında kalan kişi ve kurumlara yapılan temettü ödemeleri %15 oranında stopaja tabidir. Kârın sermayeye ilavesi, kâr dağıtımı sayılmaz ve stopaj uygulanmaz.</w:t>
      </w:r>
    </w:p>
    <w:p w14:paraId="4CEE68C2" w14:textId="77777777" w:rsidR="00332B3C" w:rsidRPr="00872D7E" w:rsidRDefault="00332B3C" w:rsidP="004C6EA2">
      <w:pPr>
        <w:pStyle w:val="BodyTextIndent"/>
        <w:widowControl w:val="0"/>
        <w:ind w:left="851" w:firstLine="0"/>
        <w:rPr>
          <w:sz w:val="16"/>
          <w:szCs w:val="16"/>
        </w:rPr>
      </w:pPr>
    </w:p>
    <w:p w14:paraId="35B7C910" w14:textId="7BC34F9A" w:rsidR="00332B3C" w:rsidRPr="00872D7E" w:rsidRDefault="00332B3C" w:rsidP="004C6EA2">
      <w:pPr>
        <w:pStyle w:val="BodyTextIndent"/>
        <w:widowControl w:val="0"/>
        <w:ind w:left="851" w:firstLine="0"/>
        <w:rPr>
          <w:szCs w:val="20"/>
        </w:rPr>
      </w:pPr>
      <w:r w:rsidRPr="00872D7E">
        <w:rPr>
          <w:szCs w:val="20"/>
        </w:rPr>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1D372388" w14:textId="77777777" w:rsidR="00332B3C" w:rsidRPr="00872D7E" w:rsidRDefault="00332B3C" w:rsidP="004C6EA2">
      <w:pPr>
        <w:pStyle w:val="BodyTextIndent"/>
        <w:widowControl w:val="0"/>
        <w:ind w:left="851" w:firstLine="0"/>
        <w:rPr>
          <w:sz w:val="16"/>
          <w:szCs w:val="16"/>
        </w:rPr>
      </w:pPr>
    </w:p>
    <w:p w14:paraId="23D8F16B" w14:textId="03F8EA0E" w:rsidR="00332B3C" w:rsidRPr="00872D7E" w:rsidRDefault="00332B3C" w:rsidP="004C6EA2">
      <w:pPr>
        <w:pStyle w:val="BodyTextIndent"/>
        <w:widowControl w:val="0"/>
        <w:ind w:left="851" w:firstLine="0"/>
        <w:rPr>
          <w:szCs w:val="20"/>
        </w:rPr>
      </w:pPr>
      <w:r w:rsidRPr="00872D7E">
        <w:rPr>
          <w:szCs w:val="20"/>
        </w:rPr>
        <w:t xml:space="preserve">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w:t>
      </w:r>
      <w:proofErr w:type="spellStart"/>
      <w:r w:rsidRPr="00872D7E">
        <w:rPr>
          <w:szCs w:val="20"/>
        </w:rPr>
        <w:t>Gazete’de</w:t>
      </w:r>
      <w:proofErr w:type="spellEnd"/>
      <w:r w:rsidRPr="00872D7E">
        <w:rPr>
          <w:szCs w:val="20"/>
        </w:rPr>
        <w:t xml:space="preserve"> yayınlanan 7456 sayılı Kanun ‘un 19. Maddesi ile kaldırılmış, kanunun </w:t>
      </w:r>
      <w:r w:rsidR="00D158DE" w:rsidRPr="00872D7E">
        <w:rPr>
          <w:szCs w:val="20"/>
        </w:rPr>
        <w:br/>
      </w:r>
      <w:r w:rsidRPr="00872D7E">
        <w:rPr>
          <w:szCs w:val="20"/>
        </w:rPr>
        <w:t>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5B012D78" w14:textId="77777777" w:rsidR="00332B3C" w:rsidRPr="00872D7E" w:rsidRDefault="00332B3C" w:rsidP="004C6EA2">
      <w:pPr>
        <w:pStyle w:val="BodyTextIndent"/>
        <w:widowControl w:val="0"/>
        <w:ind w:left="851" w:firstLine="0"/>
        <w:rPr>
          <w:sz w:val="16"/>
          <w:szCs w:val="16"/>
        </w:rPr>
      </w:pPr>
    </w:p>
    <w:p w14:paraId="1A1AF355" w14:textId="77777777" w:rsidR="00F427BE" w:rsidRPr="00872D7E" w:rsidRDefault="00332B3C" w:rsidP="004C6EA2">
      <w:pPr>
        <w:pStyle w:val="BodyTextIndent"/>
        <w:widowControl w:val="0"/>
        <w:ind w:left="851" w:firstLine="0"/>
        <w:rPr>
          <w:szCs w:val="20"/>
        </w:rPr>
      </w:pPr>
      <w:r w:rsidRPr="00872D7E">
        <w:rPr>
          <w:szCs w:val="20"/>
        </w:rPr>
        <w:t xml:space="preserve">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872D7E">
        <w:rPr>
          <w:szCs w:val="20"/>
        </w:rPr>
        <w:t>ziyaa</w:t>
      </w:r>
      <w:proofErr w:type="spellEnd"/>
      <w:r w:rsidRPr="00872D7E">
        <w:rPr>
          <w:szCs w:val="20"/>
        </w:rPr>
        <w:t xml:space="preserve"> uğramış sayılır.</w:t>
      </w:r>
    </w:p>
    <w:p w14:paraId="4E895526" w14:textId="77777777" w:rsidR="00F427BE" w:rsidRPr="00872D7E" w:rsidRDefault="00F427BE" w:rsidP="004C6EA2">
      <w:pPr>
        <w:pStyle w:val="BodyTextIndent"/>
        <w:widowControl w:val="0"/>
        <w:ind w:left="851" w:firstLine="0"/>
        <w:rPr>
          <w:sz w:val="16"/>
          <w:szCs w:val="16"/>
        </w:rPr>
      </w:pPr>
    </w:p>
    <w:p w14:paraId="05946D66" w14:textId="77777777" w:rsidR="00F427BE" w:rsidRPr="00872D7E" w:rsidRDefault="00F427BE" w:rsidP="00F427BE">
      <w:pPr>
        <w:pStyle w:val="BodyTextIndent"/>
        <w:widowControl w:val="0"/>
        <w:ind w:left="851" w:firstLine="0"/>
        <w:rPr>
          <w:szCs w:val="20"/>
        </w:rPr>
      </w:pPr>
      <w:r w:rsidRPr="00872D7E">
        <w:rPr>
          <w:szCs w:val="20"/>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872D7E">
        <w:rPr>
          <w:szCs w:val="20"/>
        </w:rPr>
        <w:t>ziyaa</w:t>
      </w:r>
      <w:proofErr w:type="spellEnd"/>
      <w:r w:rsidRPr="00872D7E">
        <w:rPr>
          <w:szCs w:val="20"/>
        </w:rPr>
        <w:t xml:space="preserve"> uğramış sayılır. Aynı süre içinde işletmenin tasfiyesi (bu Kanuna göre yapılan devir ve bölünmeler hariç) halinde de bu hüküm uygulanır.</w:t>
      </w:r>
    </w:p>
    <w:p w14:paraId="4FEE64DA" w14:textId="77777777" w:rsidR="00F427BE" w:rsidRPr="00872D7E" w:rsidRDefault="00F427BE" w:rsidP="004C6EA2">
      <w:pPr>
        <w:pStyle w:val="BodyTextIndent"/>
        <w:widowControl w:val="0"/>
        <w:ind w:left="851" w:firstLine="0"/>
        <w:rPr>
          <w:sz w:val="16"/>
          <w:szCs w:val="16"/>
        </w:rPr>
      </w:pPr>
    </w:p>
    <w:p w14:paraId="6E98640B" w14:textId="18B252D3" w:rsidR="00451EE9" w:rsidRPr="00872D7E" w:rsidRDefault="00F427BE" w:rsidP="00F427BE">
      <w:pPr>
        <w:pStyle w:val="BodyTextIndent"/>
        <w:widowControl w:val="0"/>
        <w:ind w:left="851" w:firstLine="0"/>
        <w:rPr>
          <w:szCs w:val="20"/>
        </w:rPr>
      </w:pPr>
      <w:r w:rsidRPr="00872D7E">
        <w:rPr>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r w:rsidR="00451EE9" w:rsidRPr="00872D7E">
        <w:rPr>
          <w:szCs w:val="20"/>
        </w:rPr>
        <w:br w:type="page"/>
      </w:r>
    </w:p>
    <w:p w14:paraId="3C506515" w14:textId="77777777" w:rsidR="00451EE9" w:rsidRPr="00872D7E" w:rsidRDefault="00451EE9" w:rsidP="004C6EA2">
      <w:pPr>
        <w:pStyle w:val="BodyTextIndent"/>
        <w:widowControl w:val="0"/>
        <w:ind w:firstLine="0"/>
        <w:rPr>
          <w:b/>
          <w:szCs w:val="20"/>
        </w:rPr>
      </w:pPr>
      <w:bookmarkStart w:id="25" w:name="OLE_LINK1"/>
      <w:r w:rsidRPr="00872D7E">
        <w:rPr>
          <w:b/>
          <w:szCs w:val="20"/>
        </w:rPr>
        <w:lastRenderedPageBreak/>
        <w:t>MUHASEBE POLİTİKALARINA İLİŞKİN AÇIKLAMALAR (Devamı)</w:t>
      </w:r>
    </w:p>
    <w:p w14:paraId="269D3CCB" w14:textId="77777777" w:rsidR="00332B3C" w:rsidRPr="00872D7E" w:rsidRDefault="00332B3C" w:rsidP="004C6EA2">
      <w:pPr>
        <w:pStyle w:val="BodyTextIndent"/>
        <w:widowControl w:val="0"/>
        <w:ind w:left="851" w:hanging="851"/>
        <w:rPr>
          <w:b/>
          <w:iCs/>
          <w:szCs w:val="20"/>
        </w:rPr>
      </w:pPr>
    </w:p>
    <w:p w14:paraId="7931ECA4" w14:textId="4B9C6FAC" w:rsidR="00332B3C" w:rsidRPr="00872D7E" w:rsidRDefault="00332B3C" w:rsidP="004C6EA2">
      <w:pPr>
        <w:pStyle w:val="BodyTextIndent"/>
        <w:widowControl w:val="0"/>
        <w:ind w:left="851" w:hanging="851"/>
        <w:rPr>
          <w:b/>
          <w:iCs/>
          <w:szCs w:val="20"/>
        </w:rPr>
      </w:pPr>
      <w:r w:rsidRPr="00872D7E">
        <w:rPr>
          <w:b/>
          <w:iCs/>
          <w:szCs w:val="20"/>
        </w:rPr>
        <w:t>XVI.</w:t>
      </w:r>
      <w:r w:rsidRPr="00872D7E">
        <w:rPr>
          <w:b/>
          <w:iCs/>
          <w:szCs w:val="20"/>
        </w:rPr>
        <w:tab/>
      </w:r>
      <w:r w:rsidR="00451EE9" w:rsidRPr="00872D7E">
        <w:rPr>
          <w:b/>
          <w:iCs/>
          <w:szCs w:val="20"/>
        </w:rPr>
        <w:t>VERGİ UYGULAMALARINA İLİŞKİN AÇIKLAMALAR</w:t>
      </w:r>
      <w:r w:rsidRPr="00872D7E">
        <w:rPr>
          <w:b/>
          <w:iCs/>
          <w:szCs w:val="20"/>
        </w:rPr>
        <w:t xml:space="preserve"> (</w:t>
      </w:r>
      <w:r w:rsidR="00451EE9" w:rsidRPr="00872D7E">
        <w:rPr>
          <w:b/>
          <w:iCs/>
          <w:szCs w:val="20"/>
        </w:rPr>
        <w:t>D</w:t>
      </w:r>
      <w:r w:rsidRPr="00872D7E">
        <w:rPr>
          <w:b/>
          <w:iCs/>
          <w:szCs w:val="20"/>
        </w:rPr>
        <w:t>evamı)</w:t>
      </w:r>
    </w:p>
    <w:bookmarkEnd w:id="25"/>
    <w:p w14:paraId="0B5058ED" w14:textId="77777777" w:rsidR="00332B3C" w:rsidRPr="00872D7E" w:rsidRDefault="00332B3C" w:rsidP="004C6EA2">
      <w:pPr>
        <w:pStyle w:val="BodyTextIndent"/>
        <w:widowControl w:val="0"/>
        <w:ind w:firstLine="0"/>
        <w:rPr>
          <w:b/>
          <w:szCs w:val="20"/>
        </w:rPr>
      </w:pPr>
    </w:p>
    <w:p w14:paraId="1ABFFCCA" w14:textId="6A9204AA" w:rsidR="00332B3C" w:rsidRPr="00872D7E" w:rsidRDefault="00332B3C" w:rsidP="004C6EA2">
      <w:pPr>
        <w:pStyle w:val="BodyTextIndent"/>
        <w:widowControl w:val="0"/>
        <w:ind w:left="851" w:firstLine="0"/>
        <w:rPr>
          <w:szCs w:val="20"/>
        </w:rPr>
      </w:pPr>
      <w:r w:rsidRPr="00872D7E">
        <w:rPr>
          <w:szCs w:val="20"/>
        </w:rPr>
        <w:t>Türk vergi mevzuatına göre beyanname üzerinde gösterilen mali zararlar 5 yılı aşmamak kaydıyla dönem kurum kazancından indirilebilirler. Ancak, mali zararlar, geçmiş yıl karlarından mahsup edilemez.</w:t>
      </w:r>
    </w:p>
    <w:p w14:paraId="26074E9A" w14:textId="77777777" w:rsidR="00332B3C" w:rsidRPr="00872D7E" w:rsidRDefault="00332B3C" w:rsidP="004C6EA2">
      <w:pPr>
        <w:pStyle w:val="BodyTextIndent"/>
        <w:widowControl w:val="0"/>
        <w:ind w:left="851" w:firstLine="0"/>
        <w:rPr>
          <w:szCs w:val="20"/>
        </w:rPr>
      </w:pPr>
    </w:p>
    <w:p w14:paraId="3C3464A9" w14:textId="762251B2" w:rsidR="00332B3C" w:rsidRPr="00872D7E" w:rsidRDefault="00332B3C" w:rsidP="004C6EA2">
      <w:pPr>
        <w:pStyle w:val="BodyTextIndent"/>
        <w:widowControl w:val="0"/>
        <w:ind w:left="851" w:firstLine="0"/>
        <w:rPr>
          <w:szCs w:val="20"/>
        </w:rPr>
      </w:pPr>
      <w:r w:rsidRPr="00872D7E">
        <w:rPr>
          <w:szCs w:val="20"/>
        </w:rPr>
        <w:t>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w:t>
      </w:r>
    </w:p>
    <w:p w14:paraId="5E5C8B82" w14:textId="77777777" w:rsidR="00332B3C" w:rsidRPr="00872D7E" w:rsidRDefault="00332B3C" w:rsidP="004C6EA2">
      <w:pPr>
        <w:pStyle w:val="BodyTextIndent"/>
        <w:widowControl w:val="0"/>
        <w:ind w:left="851" w:firstLine="0"/>
        <w:rPr>
          <w:szCs w:val="20"/>
        </w:rPr>
      </w:pPr>
    </w:p>
    <w:p w14:paraId="636642CF" w14:textId="7F37CBC9" w:rsidR="00332B3C" w:rsidRPr="00872D7E" w:rsidRDefault="00332B3C" w:rsidP="004C6EA2">
      <w:pPr>
        <w:pStyle w:val="BodyTextIndent"/>
        <w:widowControl w:val="0"/>
        <w:ind w:left="851" w:firstLine="0"/>
        <w:rPr>
          <w:szCs w:val="20"/>
        </w:rPr>
      </w:pPr>
      <w:r w:rsidRPr="00872D7E">
        <w:rPr>
          <w:szCs w:val="20"/>
        </w:rPr>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w:t>
      </w:r>
      <w:proofErr w:type="spellStart"/>
      <w:r w:rsidRPr="00872D7E">
        <w:rPr>
          <w:szCs w:val="20"/>
        </w:rPr>
        <w:t>Gazete’de</w:t>
      </w:r>
      <w:proofErr w:type="spellEnd"/>
      <w:r w:rsidRPr="00872D7E">
        <w:rPr>
          <w:szCs w:val="20"/>
        </w:rPr>
        <w:t xml:space="preserv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w:t>
      </w:r>
      <w:r w:rsidR="00D158DE" w:rsidRPr="00872D7E">
        <w:rPr>
          <w:szCs w:val="20"/>
        </w:rPr>
        <w:br/>
      </w:r>
      <w:r w:rsidRPr="00872D7E">
        <w:rPr>
          <w:szCs w:val="20"/>
        </w:rPr>
        <w:t xml:space="preserve">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872D7E">
        <w:rPr>
          <w:szCs w:val="20"/>
        </w:rPr>
        <w:t>Faktoring</w:t>
      </w:r>
      <w:proofErr w:type="spellEnd"/>
      <w:r w:rsidRPr="00872D7E">
        <w:rPr>
          <w:szCs w:val="20"/>
        </w:rPr>
        <w:t>,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p>
    <w:p w14:paraId="70225EEB" w14:textId="77777777" w:rsidR="00332B3C" w:rsidRPr="00872D7E" w:rsidRDefault="00332B3C" w:rsidP="004C6EA2">
      <w:pPr>
        <w:pStyle w:val="BodyTextIndent"/>
        <w:widowControl w:val="0"/>
        <w:ind w:left="851" w:firstLine="0"/>
        <w:rPr>
          <w:szCs w:val="20"/>
        </w:rPr>
      </w:pPr>
    </w:p>
    <w:p w14:paraId="03577FB6" w14:textId="018B1E0C" w:rsidR="00866EF1" w:rsidRPr="00872D7E" w:rsidRDefault="00332B3C" w:rsidP="004C6EA2">
      <w:pPr>
        <w:pStyle w:val="BodyTextIndent"/>
        <w:widowControl w:val="0"/>
        <w:ind w:left="851" w:firstLine="0"/>
        <w:rPr>
          <w:szCs w:val="20"/>
        </w:rPr>
      </w:pPr>
      <w:r w:rsidRPr="00872D7E">
        <w:rPr>
          <w:szCs w:val="20"/>
        </w:rPr>
        <w:t xml:space="preserve">30 Nisan 2024 tarih ve 32532 sayılı </w:t>
      </w:r>
      <w:r w:rsidR="00233D31" w:rsidRPr="00872D7E">
        <w:rPr>
          <w:szCs w:val="20"/>
        </w:rPr>
        <w:t>Resmî</w:t>
      </w:r>
      <w:r w:rsidRPr="00872D7E">
        <w:rPr>
          <w:szCs w:val="20"/>
        </w:rPr>
        <w:t xml:space="preserve"> Gazete yayımlanan 560 sayılı VUK Genel Tebliğ ile 2024 hesap dönemi birinci geçici vergi döneminde enflasyon düzeltmesi yapılmamasının uygun bulunduğu bildirilmiştir.</w:t>
      </w:r>
      <w:r w:rsidR="00866EF1" w:rsidRPr="00872D7E">
        <w:rPr>
          <w:szCs w:val="20"/>
        </w:rPr>
        <w:t xml:space="preserve"> Vergi Usul Kanunu’nun Geçici 33’üncü maddesi çerçevesinde, </w:t>
      </w:r>
      <w:r w:rsidR="00B07002" w:rsidRPr="00872D7E">
        <w:rPr>
          <w:szCs w:val="20"/>
        </w:rPr>
        <w:t>31 Aralık</w:t>
      </w:r>
      <w:r w:rsidR="007301E4" w:rsidRPr="00872D7E">
        <w:rPr>
          <w:szCs w:val="20"/>
        </w:rPr>
        <w:t xml:space="preserve"> </w:t>
      </w:r>
      <w:r w:rsidR="00866EF1" w:rsidRPr="00872D7E">
        <w:rPr>
          <w:szCs w:val="20"/>
        </w:rPr>
        <w:t xml:space="preserve">2024 tarihli mali tabloların VUK uyarınca enflasyon düzeltmesine tabi tutulması kapsamında oluşan vergi etkileri </w:t>
      </w:r>
      <w:r w:rsidR="00B07002" w:rsidRPr="00872D7E">
        <w:rPr>
          <w:szCs w:val="20"/>
        </w:rPr>
        <w:t>31 Aralık</w:t>
      </w:r>
      <w:r w:rsidR="007301E4" w:rsidRPr="00872D7E">
        <w:rPr>
          <w:szCs w:val="20"/>
        </w:rPr>
        <w:t xml:space="preserve"> </w:t>
      </w:r>
      <w:r w:rsidR="00866EF1" w:rsidRPr="00872D7E">
        <w:rPr>
          <w:szCs w:val="20"/>
        </w:rPr>
        <w:t>2024 tarihi itibarıyla ertelenmiş vergi hesaplamasına dahil edilmiştir.</w:t>
      </w:r>
    </w:p>
    <w:p w14:paraId="2F338C1B" w14:textId="77777777" w:rsidR="0025237D" w:rsidRPr="00872D7E" w:rsidRDefault="0025237D" w:rsidP="004C6EA2">
      <w:pPr>
        <w:pStyle w:val="BodyTextIndent"/>
        <w:widowControl w:val="0"/>
        <w:ind w:left="851" w:firstLine="0"/>
        <w:rPr>
          <w:b/>
          <w:szCs w:val="20"/>
        </w:rPr>
      </w:pPr>
    </w:p>
    <w:p w14:paraId="21FE6DFF" w14:textId="549D426A" w:rsidR="00632D27" w:rsidRPr="00872D7E" w:rsidRDefault="00632D27" w:rsidP="004C6EA2">
      <w:pPr>
        <w:pStyle w:val="BodyTextIndent"/>
        <w:widowControl w:val="0"/>
        <w:ind w:left="851" w:firstLine="0"/>
        <w:rPr>
          <w:szCs w:val="20"/>
        </w:rPr>
      </w:pPr>
      <w:r w:rsidRPr="00872D7E">
        <w:rPr>
          <w:b/>
          <w:szCs w:val="20"/>
        </w:rPr>
        <w:t>Ertelenmiş vergiler</w:t>
      </w:r>
      <w:r w:rsidRPr="00872D7E">
        <w:rPr>
          <w:szCs w:val="20"/>
        </w:rPr>
        <w:t xml:space="preserve"> </w:t>
      </w:r>
    </w:p>
    <w:p w14:paraId="59764240" w14:textId="532BACC9" w:rsidR="00B87FEA" w:rsidRPr="00872D7E" w:rsidRDefault="00B87FEA" w:rsidP="004C6EA2">
      <w:pPr>
        <w:widowControl w:val="0"/>
        <w:ind w:left="851"/>
        <w:jc w:val="both"/>
        <w:rPr>
          <w:bCs/>
          <w:szCs w:val="20"/>
        </w:rPr>
      </w:pPr>
    </w:p>
    <w:p w14:paraId="4D907229" w14:textId="23B3B404" w:rsidR="006243A7" w:rsidRPr="00872D7E" w:rsidRDefault="0053225C" w:rsidP="004C6EA2">
      <w:pPr>
        <w:widowControl w:val="0"/>
        <w:ind w:left="851"/>
        <w:jc w:val="both"/>
        <w:rPr>
          <w:bCs/>
          <w:szCs w:val="20"/>
        </w:rPr>
      </w:pPr>
      <w:r w:rsidRPr="00872D7E">
        <w:rPr>
          <w:bCs/>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 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kar elde etmek suretiyle bu farklardan yararlanmanın kuvvetle muhtemel olması şartıyla hesaplanmaktadır.</w:t>
      </w:r>
      <w:r w:rsidR="0072325C" w:rsidRPr="00872D7E">
        <w:rPr>
          <w:bCs/>
          <w:szCs w:val="20"/>
        </w:rPr>
        <w:t xml:space="preserve"> </w:t>
      </w:r>
      <w:r w:rsidRPr="00872D7E">
        <w:rPr>
          <w:bCs/>
          <w:szCs w:val="20"/>
        </w:rPr>
        <w:t xml:space="preserve">Ertelenmiş vergi, varlıkların oluştuğu veya yükümlülüklerin yerine getirildiği dönemde geçerli olan veya yürürlüğe girmesi kesine yakın olan vergi oranları üzerinden hesaplanır ve kar veya zarar tablosuna gider veya gelir olarak kaydedilir. Bununla birlikte, ertelenen vergi, aynı veya farklı bir dönemde doğrudan özkaynak ile ilişkilendirilen varlıklarla ilgili ise doğrudan özkaynak hesaplarında muhasebeleştirilir. Banka </w:t>
      </w:r>
      <w:r w:rsidR="00AE0B9A" w:rsidRPr="00872D7E">
        <w:rPr>
          <w:bCs/>
          <w:szCs w:val="20"/>
        </w:rPr>
        <w:t>31 Aralık</w:t>
      </w:r>
      <w:r w:rsidR="007301E4" w:rsidRPr="00872D7E">
        <w:rPr>
          <w:bCs/>
          <w:szCs w:val="20"/>
        </w:rPr>
        <w:t xml:space="preserve"> </w:t>
      </w:r>
      <w:r w:rsidRPr="00872D7E">
        <w:rPr>
          <w:bCs/>
          <w:szCs w:val="20"/>
        </w:rPr>
        <w:t>2024 tarihli finansal tabloları hazırlarken gerçekleşmesi veya kapanması beklenen geçici farklar için %30 vergi oranı kullanmıştır.</w:t>
      </w:r>
      <w:r w:rsidR="006243A7" w:rsidRPr="00872D7E">
        <w:rPr>
          <w:bCs/>
          <w:szCs w:val="20"/>
        </w:rPr>
        <w:br w:type="page"/>
      </w:r>
    </w:p>
    <w:p w14:paraId="40D75C6C" w14:textId="77777777" w:rsidR="006243A7" w:rsidRPr="00872D7E" w:rsidRDefault="006243A7" w:rsidP="00444D4B">
      <w:pPr>
        <w:pStyle w:val="BodyTextIndent"/>
        <w:widowControl w:val="0"/>
        <w:spacing w:line="233" w:lineRule="auto"/>
        <w:ind w:firstLine="0"/>
        <w:rPr>
          <w:b/>
          <w:szCs w:val="20"/>
        </w:rPr>
      </w:pPr>
      <w:r w:rsidRPr="00872D7E">
        <w:rPr>
          <w:b/>
          <w:szCs w:val="20"/>
        </w:rPr>
        <w:lastRenderedPageBreak/>
        <w:t>MUHASEBE POLİTİKALARINA İLİŞKİN AÇIKLAMALAR (Devamı)</w:t>
      </w:r>
    </w:p>
    <w:p w14:paraId="21016018" w14:textId="77777777" w:rsidR="006243A7" w:rsidRPr="00872D7E" w:rsidRDefault="006243A7" w:rsidP="00444D4B">
      <w:pPr>
        <w:pStyle w:val="BodyTextIndent"/>
        <w:widowControl w:val="0"/>
        <w:spacing w:line="233" w:lineRule="auto"/>
        <w:ind w:left="851" w:hanging="851"/>
        <w:rPr>
          <w:b/>
          <w:iCs/>
          <w:sz w:val="16"/>
          <w:szCs w:val="16"/>
        </w:rPr>
      </w:pPr>
    </w:p>
    <w:p w14:paraId="4CD04FC9" w14:textId="77777777" w:rsidR="006243A7" w:rsidRPr="00872D7E" w:rsidRDefault="006243A7" w:rsidP="00444D4B">
      <w:pPr>
        <w:pStyle w:val="BodyTextIndent"/>
        <w:widowControl w:val="0"/>
        <w:spacing w:line="233" w:lineRule="auto"/>
        <w:ind w:left="851" w:hanging="851"/>
        <w:rPr>
          <w:b/>
          <w:iCs/>
          <w:szCs w:val="20"/>
        </w:rPr>
      </w:pPr>
      <w:r w:rsidRPr="00872D7E">
        <w:rPr>
          <w:b/>
          <w:iCs/>
          <w:szCs w:val="20"/>
        </w:rPr>
        <w:t>XVI.</w:t>
      </w:r>
      <w:r w:rsidRPr="00872D7E">
        <w:rPr>
          <w:b/>
          <w:iCs/>
          <w:szCs w:val="20"/>
        </w:rPr>
        <w:tab/>
        <w:t>VERGİ UYGULAMALARINA İLİŞKİN AÇIKLAMALAR (Devamı)</w:t>
      </w:r>
    </w:p>
    <w:p w14:paraId="4C15DBD7" w14:textId="77777777" w:rsidR="0053225C" w:rsidRPr="00872D7E" w:rsidRDefault="0053225C" w:rsidP="00444D4B">
      <w:pPr>
        <w:widowControl w:val="0"/>
        <w:spacing w:line="233" w:lineRule="auto"/>
        <w:ind w:left="851"/>
        <w:jc w:val="both"/>
        <w:rPr>
          <w:bCs/>
          <w:sz w:val="16"/>
          <w:szCs w:val="16"/>
        </w:rPr>
      </w:pPr>
    </w:p>
    <w:p w14:paraId="7E5C9985" w14:textId="215D5DE0" w:rsidR="000A410D" w:rsidRPr="00872D7E" w:rsidRDefault="000A410D" w:rsidP="00444D4B">
      <w:pPr>
        <w:widowControl w:val="0"/>
        <w:spacing w:line="233" w:lineRule="auto"/>
        <w:ind w:left="851"/>
        <w:jc w:val="both"/>
        <w:rPr>
          <w:bCs/>
          <w:szCs w:val="20"/>
        </w:rPr>
      </w:pPr>
      <w:r w:rsidRPr="00872D7E">
        <w:rPr>
          <w:bCs/>
          <w:szCs w:val="20"/>
        </w:rPr>
        <w:t>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w:t>
      </w:r>
      <w:r w:rsidR="006031CD" w:rsidRPr="00872D7E">
        <w:rPr>
          <w:bCs/>
          <w:szCs w:val="20"/>
        </w:rPr>
        <w:t xml:space="preserve"> </w:t>
      </w:r>
      <w:r w:rsidRPr="00872D7E">
        <w:rPr>
          <w:bCs/>
          <w:szCs w:val="20"/>
        </w:rPr>
        <w:t xml:space="preserve">Vergi Usul Kanunu’nun Geçici </w:t>
      </w:r>
      <w:r w:rsidR="00CC59C4" w:rsidRPr="00872D7E">
        <w:rPr>
          <w:bCs/>
          <w:szCs w:val="20"/>
        </w:rPr>
        <w:t>33’üncü</w:t>
      </w:r>
      <w:r w:rsidRPr="00872D7E">
        <w:rPr>
          <w:bCs/>
          <w:szCs w:val="20"/>
        </w:rPr>
        <w:t xml:space="preserve"> maddesi çerçevesinde, </w:t>
      </w:r>
      <w:r w:rsidR="00AE0B9A" w:rsidRPr="00872D7E">
        <w:rPr>
          <w:bCs/>
          <w:szCs w:val="20"/>
        </w:rPr>
        <w:t>31 Aralık</w:t>
      </w:r>
      <w:r w:rsidR="007301E4" w:rsidRPr="00872D7E">
        <w:rPr>
          <w:bCs/>
          <w:szCs w:val="20"/>
        </w:rPr>
        <w:t xml:space="preserve"> </w:t>
      </w:r>
      <w:r w:rsidRPr="00872D7E">
        <w:rPr>
          <w:bCs/>
          <w:szCs w:val="20"/>
        </w:rPr>
        <w:t xml:space="preserve">2024 tarihli mali tabloların VUK uyarınca enflasyon düzeltmesine tabi tutulması kapsamında oluşan vergi etkileri </w:t>
      </w:r>
      <w:r w:rsidR="00AE0B9A" w:rsidRPr="00872D7E">
        <w:rPr>
          <w:bCs/>
          <w:szCs w:val="20"/>
        </w:rPr>
        <w:t>31 Aralık</w:t>
      </w:r>
      <w:r w:rsidR="007301E4" w:rsidRPr="00872D7E">
        <w:rPr>
          <w:bCs/>
          <w:szCs w:val="20"/>
        </w:rPr>
        <w:t xml:space="preserve"> </w:t>
      </w:r>
      <w:r w:rsidRPr="00872D7E">
        <w:rPr>
          <w:bCs/>
          <w:szCs w:val="20"/>
        </w:rPr>
        <w:t>2024 tarihi itibarıyla ertelenmiş vergi hesaplamasına dahil edilmiştir.</w:t>
      </w:r>
    </w:p>
    <w:p w14:paraId="35427FC0" w14:textId="77777777" w:rsidR="0053225C" w:rsidRPr="00872D7E" w:rsidRDefault="0053225C" w:rsidP="00444D4B">
      <w:pPr>
        <w:widowControl w:val="0"/>
        <w:spacing w:line="233" w:lineRule="auto"/>
        <w:ind w:left="851"/>
        <w:jc w:val="both"/>
        <w:rPr>
          <w:bCs/>
          <w:sz w:val="16"/>
          <w:szCs w:val="16"/>
        </w:rPr>
      </w:pPr>
    </w:p>
    <w:p w14:paraId="2047E728" w14:textId="77777777" w:rsidR="0008711C" w:rsidRPr="00872D7E" w:rsidRDefault="0008711C" w:rsidP="00444D4B">
      <w:pPr>
        <w:widowControl w:val="0"/>
        <w:autoSpaceDE w:val="0"/>
        <w:autoSpaceDN w:val="0"/>
        <w:adjustRightInd w:val="0"/>
        <w:spacing w:line="233" w:lineRule="auto"/>
        <w:ind w:left="851"/>
        <w:rPr>
          <w:b/>
          <w:bCs/>
          <w:szCs w:val="20"/>
        </w:rPr>
      </w:pPr>
      <w:r w:rsidRPr="00872D7E">
        <w:rPr>
          <w:b/>
          <w:bCs/>
          <w:szCs w:val="20"/>
        </w:rPr>
        <w:t>Transfer Fiyatlandırması</w:t>
      </w:r>
    </w:p>
    <w:p w14:paraId="65DCA432" w14:textId="77777777" w:rsidR="006243A7" w:rsidRPr="00872D7E" w:rsidRDefault="006243A7" w:rsidP="00444D4B">
      <w:pPr>
        <w:widowControl w:val="0"/>
        <w:autoSpaceDE w:val="0"/>
        <w:autoSpaceDN w:val="0"/>
        <w:adjustRightInd w:val="0"/>
        <w:spacing w:line="233" w:lineRule="auto"/>
        <w:ind w:left="851"/>
        <w:rPr>
          <w:b/>
          <w:bCs/>
          <w:sz w:val="16"/>
          <w:szCs w:val="16"/>
        </w:rPr>
      </w:pPr>
    </w:p>
    <w:p w14:paraId="00820D8A" w14:textId="0A1F22F4" w:rsidR="0008711C" w:rsidRPr="00872D7E" w:rsidRDefault="0008711C" w:rsidP="00444D4B">
      <w:pPr>
        <w:widowControl w:val="0"/>
        <w:spacing w:line="233" w:lineRule="auto"/>
        <w:ind w:left="851"/>
        <w:jc w:val="both"/>
        <w:rPr>
          <w:bCs/>
          <w:szCs w:val="20"/>
        </w:rPr>
      </w:pPr>
      <w:r w:rsidRPr="00872D7E">
        <w:rPr>
          <w:bCs/>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r w:rsidR="009554D9" w:rsidRPr="00872D7E">
        <w:rPr>
          <w:bCs/>
          <w:szCs w:val="20"/>
        </w:rPr>
        <w:t xml:space="preserve"> </w:t>
      </w:r>
      <w:r w:rsidRPr="00872D7E">
        <w:rPr>
          <w:bCs/>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678C8FA7" w14:textId="166FEF88" w:rsidR="00CE7522" w:rsidRPr="00872D7E" w:rsidRDefault="00CE7522" w:rsidP="00444D4B">
      <w:pPr>
        <w:widowControl w:val="0"/>
        <w:spacing w:line="233" w:lineRule="auto"/>
        <w:ind w:left="851"/>
        <w:jc w:val="both"/>
        <w:rPr>
          <w:bCs/>
          <w:szCs w:val="20"/>
        </w:rPr>
      </w:pPr>
    </w:p>
    <w:p w14:paraId="688091FD" w14:textId="77777777" w:rsidR="00CE7522" w:rsidRPr="00872D7E" w:rsidRDefault="00CE7522" w:rsidP="00CE7522">
      <w:pPr>
        <w:widowControl w:val="0"/>
        <w:spacing w:line="233" w:lineRule="auto"/>
        <w:ind w:left="851"/>
        <w:jc w:val="both"/>
        <w:rPr>
          <w:b/>
          <w:szCs w:val="20"/>
        </w:rPr>
      </w:pPr>
      <w:r w:rsidRPr="00872D7E">
        <w:rPr>
          <w:b/>
          <w:szCs w:val="20"/>
        </w:rPr>
        <w:t>Yerel ve Küresel Asgari Tamamlayıcı Kurumlar Vergisi</w:t>
      </w:r>
    </w:p>
    <w:p w14:paraId="276D826F" w14:textId="77777777" w:rsidR="00CE7522" w:rsidRPr="00872D7E" w:rsidRDefault="00CE7522" w:rsidP="00CE7522">
      <w:pPr>
        <w:widowControl w:val="0"/>
        <w:spacing w:line="233" w:lineRule="auto"/>
        <w:ind w:left="851"/>
        <w:jc w:val="both"/>
        <w:rPr>
          <w:bCs/>
          <w:szCs w:val="20"/>
        </w:rPr>
      </w:pPr>
    </w:p>
    <w:p w14:paraId="2F31A8E7" w14:textId="77777777" w:rsidR="00CE7522" w:rsidRPr="00872D7E" w:rsidRDefault="00CE7522" w:rsidP="00CE7522">
      <w:pPr>
        <w:widowControl w:val="0"/>
        <w:spacing w:line="233" w:lineRule="auto"/>
        <w:ind w:left="851"/>
        <w:jc w:val="both"/>
        <w:rPr>
          <w:bCs/>
          <w:szCs w:val="20"/>
        </w:rPr>
      </w:pPr>
      <w:r w:rsidRPr="00872D7E">
        <w:rPr>
          <w:bCs/>
          <w:szCs w:val="20"/>
        </w:rPr>
        <w:t xml:space="preserve">Eylül 2023’te KGK, İkinci Sütun gelir vergileriyle ilgili ertelenmiş vergi varlık ve yükümlülüklerinin muhasebeleştirilmesi ve açıklanmasına zorunlu bir istisna getiren TMS 12’ye yönelik değişiklikler yayımlamıştır. Söz konusu değişiklikler, Ekonomik </w:t>
      </w:r>
      <w:proofErr w:type="gramStart"/>
      <w:r w:rsidRPr="00872D7E">
        <w:rPr>
          <w:bCs/>
          <w:szCs w:val="20"/>
        </w:rPr>
        <w:t>İşbirliği</w:t>
      </w:r>
      <w:proofErr w:type="gramEnd"/>
      <w:r w:rsidRPr="00872D7E">
        <w:rPr>
          <w:bCs/>
          <w:szCs w:val="20"/>
        </w:rPr>
        <w:t xml:space="preserve"> ve Kalkınma Teşkilatı (OECD) tarafından yayımlanan İkinci Sütun Modeli Kurallarının uygulanması amacıyla yürürlüğe girmiş ya da yürürlüğe girmesi kesine yakın olan vergi kanunlarından ortaya çıkan gelir verilerine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1F2971D3" w14:textId="77777777" w:rsidR="00CE7522" w:rsidRPr="00872D7E" w:rsidRDefault="00CE7522" w:rsidP="00CE7522">
      <w:pPr>
        <w:widowControl w:val="0"/>
        <w:spacing w:line="233" w:lineRule="auto"/>
        <w:ind w:left="851"/>
        <w:jc w:val="both"/>
        <w:rPr>
          <w:bCs/>
          <w:szCs w:val="20"/>
        </w:rPr>
      </w:pPr>
    </w:p>
    <w:p w14:paraId="5F450387" w14:textId="14005F35" w:rsidR="00CE7522" w:rsidRPr="00872D7E" w:rsidRDefault="00CE7522" w:rsidP="00CE7522">
      <w:pPr>
        <w:widowControl w:val="0"/>
        <w:spacing w:line="233" w:lineRule="auto"/>
        <w:ind w:left="851"/>
        <w:jc w:val="both"/>
        <w:rPr>
          <w:bCs/>
          <w:szCs w:val="20"/>
        </w:rPr>
      </w:pPr>
      <w:r w:rsidRPr="00872D7E">
        <w:rPr>
          <w:bCs/>
          <w:szCs w:val="20"/>
        </w:rPr>
        <w:t xml:space="preserve">OECD’ye üye ülkelerin üzerinde anlaştığı Sütun 2 düzenlemeleri 2 Ağustos 2024 tarihli </w:t>
      </w:r>
      <w:proofErr w:type="gramStart"/>
      <w:r w:rsidRPr="00872D7E">
        <w:rPr>
          <w:bCs/>
          <w:szCs w:val="20"/>
        </w:rPr>
        <w:t>Resmi</w:t>
      </w:r>
      <w:proofErr w:type="gramEnd"/>
      <w:r w:rsidRPr="00872D7E">
        <w:rPr>
          <w:bCs/>
          <w:szCs w:val="20"/>
        </w:rPr>
        <w:t xml:space="preserve"> </w:t>
      </w:r>
      <w:proofErr w:type="spellStart"/>
      <w:r w:rsidRPr="00872D7E">
        <w:rPr>
          <w:bCs/>
          <w:szCs w:val="20"/>
        </w:rPr>
        <w:t>Gazete’de</w:t>
      </w:r>
      <w:proofErr w:type="spellEnd"/>
      <w:r w:rsidRPr="00872D7E">
        <w:rPr>
          <w:bCs/>
          <w:szCs w:val="20"/>
        </w:rPr>
        <w:t xml:space="preserv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w:t>
      </w:r>
      <w:proofErr w:type="spellStart"/>
      <w:r w:rsidRPr="00872D7E">
        <w:rPr>
          <w:bCs/>
          <w:szCs w:val="20"/>
        </w:rPr>
        <w:t>bahsekonu</w:t>
      </w:r>
      <w:proofErr w:type="spellEnd"/>
      <w:r w:rsidRPr="00872D7E">
        <w:rPr>
          <w:bCs/>
          <w:szCs w:val="20"/>
        </w:rPr>
        <w:t xml:space="preserve"> düzenlemelerin, finansal tablolar üzerinde bir etkisi bulunmamaktadır.</w:t>
      </w:r>
    </w:p>
    <w:p w14:paraId="5480005D" w14:textId="4D9AC44E" w:rsidR="009554D9" w:rsidRPr="00872D7E" w:rsidRDefault="009554D9" w:rsidP="00444D4B">
      <w:pPr>
        <w:widowControl w:val="0"/>
        <w:spacing w:line="233" w:lineRule="auto"/>
        <w:ind w:left="851"/>
        <w:jc w:val="both"/>
        <w:rPr>
          <w:bCs/>
          <w:sz w:val="16"/>
          <w:szCs w:val="16"/>
        </w:rPr>
      </w:pPr>
    </w:p>
    <w:p w14:paraId="04109D44" w14:textId="3525BA7C" w:rsidR="009554D9" w:rsidRPr="00872D7E" w:rsidRDefault="009554D9" w:rsidP="00444D4B">
      <w:pPr>
        <w:widowControl w:val="0"/>
        <w:spacing w:line="233" w:lineRule="auto"/>
        <w:ind w:left="851" w:hanging="851"/>
        <w:jc w:val="both"/>
        <w:rPr>
          <w:b/>
          <w:iCs/>
          <w:szCs w:val="20"/>
        </w:rPr>
      </w:pPr>
      <w:r w:rsidRPr="00872D7E">
        <w:rPr>
          <w:b/>
          <w:iCs/>
          <w:szCs w:val="20"/>
        </w:rPr>
        <w:t>XVII.</w:t>
      </w:r>
      <w:r w:rsidRPr="00872D7E">
        <w:rPr>
          <w:b/>
          <w:iCs/>
          <w:szCs w:val="20"/>
        </w:rPr>
        <w:tab/>
      </w:r>
      <w:r w:rsidR="00451EE9" w:rsidRPr="00872D7E">
        <w:rPr>
          <w:b/>
          <w:iCs/>
          <w:szCs w:val="20"/>
        </w:rPr>
        <w:t>BORÇLANMALARA İLİŞKİN İLAVE AÇIKLAMALAR</w:t>
      </w:r>
    </w:p>
    <w:p w14:paraId="0C6DED55" w14:textId="77777777" w:rsidR="009554D9" w:rsidRPr="00872D7E" w:rsidRDefault="009554D9" w:rsidP="00444D4B">
      <w:pPr>
        <w:widowControl w:val="0"/>
        <w:spacing w:line="233" w:lineRule="auto"/>
        <w:jc w:val="both"/>
        <w:rPr>
          <w:sz w:val="16"/>
          <w:szCs w:val="16"/>
        </w:rPr>
      </w:pPr>
    </w:p>
    <w:p w14:paraId="70368F1F" w14:textId="77777777" w:rsidR="009554D9" w:rsidRPr="00872D7E" w:rsidRDefault="009554D9" w:rsidP="00444D4B">
      <w:pPr>
        <w:widowControl w:val="0"/>
        <w:spacing w:line="233" w:lineRule="auto"/>
        <w:ind w:left="851"/>
        <w:jc w:val="both"/>
        <w:rPr>
          <w:bCs/>
          <w:szCs w:val="20"/>
        </w:rPr>
      </w:pPr>
      <w:r w:rsidRPr="00872D7E">
        <w:rPr>
          <w:bCs/>
          <w:szCs w:val="20"/>
        </w:rPr>
        <w:t>Banka, Gerçeğe uygun değer üzerinden yansıtılan finansal araçlara ilişkin yükümlülükler hariç, finansal yükümlülükler işlem maliyetleri dahil elde etme maliyetleri ile kayıtlara alınmakta ve izleyen dönemlerde “iç verim oranı yöntemi” ile hesaplanan iskonto edilmiş bedelleri ile değerlenmektedir.</w:t>
      </w:r>
    </w:p>
    <w:p w14:paraId="3BDE2C57" w14:textId="77777777" w:rsidR="00444D4B" w:rsidRPr="00872D7E" w:rsidRDefault="00444D4B" w:rsidP="00444D4B">
      <w:pPr>
        <w:widowControl w:val="0"/>
        <w:spacing w:line="233" w:lineRule="auto"/>
        <w:ind w:left="851"/>
        <w:jc w:val="both"/>
        <w:rPr>
          <w:bCs/>
          <w:sz w:val="14"/>
          <w:szCs w:val="14"/>
        </w:rPr>
      </w:pPr>
    </w:p>
    <w:p w14:paraId="781D8FC5" w14:textId="77777777" w:rsidR="009554D9" w:rsidRPr="00872D7E" w:rsidRDefault="009554D9" w:rsidP="00444D4B">
      <w:pPr>
        <w:widowControl w:val="0"/>
        <w:spacing w:line="233" w:lineRule="auto"/>
        <w:ind w:left="851"/>
        <w:jc w:val="both"/>
        <w:rPr>
          <w:bCs/>
          <w:szCs w:val="20"/>
        </w:rPr>
      </w:pPr>
      <w:r w:rsidRPr="00872D7E">
        <w:rPr>
          <w:bCs/>
          <w:szCs w:val="20"/>
        </w:rPr>
        <w:t>Banka tarafından ihraç edilen, borçlanmayı temsil eden araçlar bulunmamaktadır.  Banka tarafından hisse senedine dönüştürülebilir tahvil ihraç edilmemiştir.</w:t>
      </w:r>
    </w:p>
    <w:p w14:paraId="21216DFB" w14:textId="77777777" w:rsidR="009554D9" w:rsidRPr="00872D7E" w:rsidRDefault="009554D9" w:rsidP="00444D4B">
      <w:pPr>
        <w:widowControl w:val="0"/>
        <w:spacing w:line="233" w:lineRule="auto"/>
        <w:ind w:left="851"/>
        <w:jc w:val="both"/>
        <w:rPr>
          <w:bCs/>
          <w:sz w:val="16"/>
          <w:szCs w:val="16"/>
        </w:rPr>
      </w:pPr>
    </w:p>
    <w:p w14:paraId="58F0966A" w14:textId="77777777" w:rsidR="002D1DAB" w:rsidRPr="00872D7E" w:rsidRDefault="009554D9" w:rsidP="00444D4B">
      <w:pPr>
        <w:widowControl w:val="0"/>
        <w:spacing w:line="233" w:lineRule="auto"/>
        <w:ind w:left="851"/>
        <w:jc w:val="both"/>
        <w:rPr>
          <w:bCs/>
          <w:szCs w:val="20"/>
        </w:rPr>
      </w:pPr>
      <w:r w:rsidRPr="00872D7E">
        <w:rPr>
          <w:bCs/>
          <w:szCs w:val="20"/>
        </w:rPr>
        <w:t>Kullanıma ve satışa hazır hale getirilmesi önemli ölçüde zaman isteyen varlıklar (özellikli varlıklar) söz konusu olduğunda, satın alınması, yapımı veya üretimi ile doğrudan ilişkilendirilen borçlanma maliyetleri, ilgili varlık kullanıma veya satışa hazır hale getirilene kadar varlığın maliyetine dahil edilmektedir. Bir dönemde, özellikli bir varlığın elde edilmesi amacıyla borç alınan fonlara ilişkin aktifleştirilebilecek borçlanma maliyetleri tutarı, ilgili dönemde bu varlıklar için katlanılan toplam borçlanma maliyetlerinden bu fonların geçici yatırımlardan elde edilen gelirlerin düşülmesi sonucu belirlenen tutardır. Diğer tüm borçlanma maliyetleri, oluştukları dönemde gelir tablosuna kaydedilmektedir.</w:t>
      </w:r>
    </w:p>
    <w:p w14:paraId="17C5669C" w14:textId="295D1240" w:rsidR="00286AC5" w:rsidRPr="00872D7E" w:rsidRDefault="00286AC5">
      <w:pPr>
        <w:rPr>
          <w:bCs/>
          <w:sz w:val="16"/>
          <w:szCs w:val="16"/>
        </w:rPr>
      </w:pPr>
      <w:r w:rsidRPr="00872D7E">
        <w:rPr>
          <w:bCs/>
          <w:sz w:val="16"/>
          <w:szCs w:val="16"/>
        </w:rPr>
        <w:br w:type="page"/>
      </w:r>
    </w:p>
    <w:p w14:paraId="37432F81" w14:textId="77777777" w:rsidR="00286AC5" w:rsidRPr="00872D7E" w:rsidRDefault="00286AC5" w:rsidP="002332CD">
      <w:pPr>
        <w:pStyle w:val="BodyTextIndent"/>
        <w:widowControl w:val="0"/>
        <w:ind w:firstLine="0"/>
        <w:rPr>
          <w:b/>
          <w:szCs w:val="20"/>
        </w:rPr>
      </w:pPr>
      <w:r w:rsidRPr="00872D7E">
        <w:rPr>
          <w:b/>
          <w:szCs w:val="20"/>
        </w:rPr>
        <w:lastRenderedPageBreak/>
        <w:t>MUHASEBE POLİTİKALARINA İLİŞKİN AÇIKLAMALAR (Devamı)</w:t>
      </w:r>
    </w:p>
    <w:p w14:paraId="7291DE04" w14:textId="77777777" w:rsidR="002D1DAB" w:rsidRPr="00872D7E" w:rsidRDefault="002D1DAB" w:rsidP="002332CD">
      <w:pPr>
        <w:widowControl w:val="0"/>
        <w:ind w:left="851"/>
        <w:jc w:val="both"/>
        <w:rPr>
          <w:bCs/>
          <w:szCs w:val="20"/>
        </w:rPr>
      </w:pPr>
    </w:p>
    <w:p w14:paraId="02FF9EED" w14:textId="4DCB8587" w:rsidR="00632D27" w:rsidRPr="00872D7E" w:rsidRDefault="00451EE9" w:rsidP="002332CD">
      <w:pPr>
        <w:widowControl w:val="0"/>
        <w:ind w:left="851" w:hanging="851"/>
        <w:jc w:val="both"/>
        <w:rPr>
          <w:b/>
          <w:iCs/>
          <w:szCs w:val="20"/>
        </w:rPr>
      </w:pPr>
      <w:r w:rsidRPr="00872D7E">
        <w:rPr>
          <w:b/>
          <w:iCs/>
          <w:szCs w:val="20"/>
        </w:rPr>
        <w:t>XVIII.</w:t>
      </w:r>
      <w:r w:rsidRPr="00872D7E">
        <w:rPr>
          <w:b/>
          <w:iCs/>
          <w:szCs w:val="20"/>
        </w:rPr>
        <w:tab/>
        <w:t>İHRAÇ EDİLEN HİSSE SENETLERİNE İLİŞKİN AÇIKLAMALAR</w:t>
      </w:r>
    </w:p>
    <w:p w14:paraId="06711F53" w14:textId="77777777" w:rsidR="00B87FEA" w:rsidRPr="00872D7E" w:rsidRDefault="00B87FEA" w:rsidP="002332CD">
      <w:pPr>
        <w:widowControl w:val="0"/>
        <w:autoSpaceDE w:val="0"/>
        <w:autoSpaceDN w:val="0"/>
        <w:adjustRightInd w:val="0"/>
        <w:jc w:val="both"/>
        <w:rPr>
          <w:szCs w:val="20"/>
        </w:rPr>
      </w:pPr>
    </w:p>
    <w:p w14:paraId="04E0C2EC" w14:textId="27824C1F" w:rsidR="00D158DE" w:rsidRPr="00872D7E" w:rsidRDefault="00116258" w:rsidP="002332CD">
      <w:pPr>
        <w:widowControl w:val="0"/>
        <w:autoSpaceDE w:val="0"/>
        <w:autoSpaceDN w:val="0"/>
        <w:adjustRightInd w:val="0"/>
        <w:ind w:left="851"/>
        <w:jc w:val="both"/>
        <w:rPr>
          <w:szCs w:val="20"/>
        </w:rPr>
      </w:pPr>
      <w:r w:rsidRPr="00872D7E">
        <w:rPr>
          <w:szCs w:val="20"/>
        </w:rPr>
        <w:t>Bulunmamaktadır.</w:t>
      </w:r>
    </w:p>
    <w:p w14:paraId="72500CC7" w14:textId="77777777" w:rsidR="00E024D3" w:rsidRPr="00872D7E" w:rsidRDefault="00E024D3" w:rsidP="002332CD">
      <w:pPr>
        <w:widowControl w:val="0"/>
        <w:autoSpaceDE w:val="0"/>
        <w:autoSpaceDN w:val="0"/>
        <w:adjustRightInd w:val="0"/>
        <w:ind w:left="851"/>
        <w:jc w:val="both"/>
        <w:rPr>
          <w:szCs w:val="20"/>
        </w:rPr>
      </w:pPr>
    </w:p>
    <w:p w14:paraId="1A156BF7" w14:textId="49078A83" w:rsidR="00632D27" w:rsidRPr="00872D7E" w:rsidRDefault="00632D27" w:rsidP="002332CD">
      <w:pPr>
        <w:widowControl w:val="0"/>
        <w:autoSpaceDE w:val="0"/>
        <w:autoSpaceDN w:val="0"/>
        <w:adjustRightInd w:val="0"/>
        <w:ind w:left="851" w:hanging="851"/>
        <w:jc w:val="both"/>
        <w:rPr>
          <w:b/>
          <w:iCs/>
          <w:szCs w:val="20"/>
        </w:rPr>
      </w:pPr>
      <w:r w:rsidRPr="00872D7E">
        <w:rPr>
          <w:b/>
          <w:szCs w:val="20"/>
        </w:rPr>
        <w:t>XIX.</w:t>
      </w:r>
      <w:r w:rsidRPr="00872D7E">
        <w:rPr>
          <w:color w:val="0000FF"/>
          <w:szCs w:val="20"/>
        </w:rPr>
        <w:tab/>
      </w:r>
      <w:r w:rsidR="00451EE9" w:rsidRPr="00872D7E">
        <w:rPr>
          <w:b/>
          <w:iCs/>
          <w:szCs w:val="20"/>
        </w:rPr>
        <w:t>AVAL VE KABULLERE İLİŞKİN AÇIKLAMALAR</w:t>
      </w:r>
    </w:p>
    <w:p w14:paraId="0856D14A" w14:textId="77777777" w:rsidR="00A37418" w:rsidRPr="00872D7E" w:rsidRDefault="00A37418" w:rsidP="002332CD">
      <w:pPr>
        <w:widowControl w:val="0"/>
        <w:autoSpaceDE w:val="0"/>
        <w:autoSpaceDN w:val="0"/>
        <w:adjustRightInd w:val="0"/>
        <w:jc w:val="both"/>
        <w:rPr>
          <w:sz w:val="16"/>
          <w:szCs w:val="16"/>
        </w:rPr>
      </w:pPr>
    </w:p>
    <w:p w14:paraId="0787E44B" w14:textId="7A040C3F" w:rsidR="00341A54" w:rsidRPr="00872D7E" w:rsidRDefault="00632D27" w:rsidP="002332CD">
      <w:pPr>
        <w:widowControl w:val="0"/>
        <w:autoSpaceDE w:val="0"/>
        <w:autoSpaceDN w:val="0"/>
        <w:adjustRightInd w:val="0"/>
        <w:ind w:left="851"/>
        <w:jc w:val="both"/>
        <w:rPr>
          <w:szCs w:val="20"/>
        </w:rPr>
      </w:pPr>
      <w:r w:rsidRPr="00872D7E">
        <w:rPr>
          <w:szCs w:val="20"/>
        </w:rPr>
        <w:t>Banka, aval ve kabullerin ödemelerini, müşterilerin ödemeleri ile eşzamanlı olarak gerçekleştirmektedir. Aval ve kabuller olası borç ve taahhütler olarak bilanço dışı yükümlülüklerde gösterilmektedir.</w:t>
      </w:r>
    </w:p>
    <w:p w14:paraId="26A579F8" w14:textId="77777777" w:rsidR="00A37418" w:rsidRPr="00872D7E" w:rsidRDefault="00A37418" w:rsidP="002332CD">
      <w:pPr>
        <w:widowControl w:val="0"/>
        <w:autoSpaceDE w:val="0"/>
        <w:autoSpaceDN w:val="0"/>
        <w:adjustRightInd w:val="0"/>
        <w:jc w:val="both"/>
        <w:rPr>
          <w:b/>
          <w:iCs/>
          <w:sz w:val="16"/>
          <w:szCs w:val="16"/>
        </w:rPr>
      </w:pPr>
    </w:p>
    <w:p w14:paraId="7E603270" w14:textId="7AD99D07" w:rsidR="00632D27" w:rsidRPr="00872D7E" w:rsidRDefault="00632D27" w:rsidP="002332CD">
      <w:pPr>
        <w:widowControl w:val="0"/>
        <w:ind w:left="851" w:hanging="851"/>
        <w:jc w:val="both"/>
        <w:rPr>
          <w:b/>
          <w:iCs/>
          <w:szCs w:val="20"/>
        </w:rPr>
      </w:pPr>
      <w:r w:rsidRPr="00872D7E">
        <w:rPr>
          <w:b/>
          <w:iCs/>
          <w:szCs w:val="20"/>
        </w:rPr>
        <w:t>XX.</w:t>
      </w:r>
      <w:r w:rsidRPr="00872D7E">
        <w:rPr>
          <w:b/>
          <w:iCs/>
          <w:szCs w:val="20"/>
        </w:rPr>
        <w:tab/>
      </w:r>
      <w:r w:rsidR="00451EE9" w:rsidRPr="00872D7E">
        <w:rPr>
          <w:b/>
          <w:iCs/>
          <w:szCs w:val="20"/>
        </w:rPr>
        <w:t>DEVLET TEŞVİKLERİNE İLİŞKİN AÇIKLAMALAR</w:t>
      </w:r>
    </w:p>
    <w:p w14:paraId="66C5C910" w14:textId="77777777" w:rsidR="00A37418" w:rsidRPr="00872D7E" w:rsidRDefault="00A37418" w:rsidP="002332CD">
      <w:pPr>
        <w:widowControl w:val="0"/>
        <w:autoSpaceDE w:val="0"/>
        <w:autoSpaceDN w:val="0"/>
        <w:adjustRightInd w:val="0"/>
        <w:jc w:val="both"/>
        <w:rPr>
          <w:sz w:val="16"/>
          <w:szCs w:val="16"/>
        </w:rPr>
      </w:pPr>
    </w:p>
    <w:p w14:paraId="03CCCB4A" w14:textId="47B430ED" w:rsidR="00E16DDE" w:rsidRPr="00872D7E" w:rsidRDefault="00632D27" w:rsidP="002332CD">
      <w:pPr>
        <w:widowControl w:val="0"/>
        <w:autoSpaceDE w:val="0"/>
        <w:autoSpaceDN w:val="0"/>
        <w:adjustRightInd w:val="0"/>
        <w:ind w:left="851"/>
        <w:jc w:val="both"/>
        <w:rPr>
          <w:szCs w:val="20"/>
        </w:rPr>
      </w:pPr>
      <w:r w:rsidRPr="00872D7E">
        <w:rPr>
          <w:szCs w:val="20"/>
        </w:rPr>
        <w:t>Banka’nın bilanço tarihi itibarıyla yararlanmış olduğu devlet teşviki bulunmamaktadır.</w:t>
      </w:r>
    </w:p>
    <w:p w14:paraId="63DACE14" w14:textId="77777777" w:rsidR="00A37418" w:rsidRPr="00872D7E" w:rsidRDefault="00A37418" w:rsidP="002332CD">
      <w:pPr>
        <w:widowControl w:val="0"/>
        <w:rPr>
          <w:sz w:val="16"/>
          <w:szCs w:val="16"/>
        </w:rPr>
      </w:pPr>
    </w:p>
    <w:p w14:paraId="62C562E4" w14:textId="163516B8" w:rsidR="00B66682" w:rsidRPr="00872D7E" w:rsidRDefault="00D20D76" w:rsidP="002332CD">
      <w:pPr>
        <w:widowControl w:val="0"/>
        <w:autoSpaceDE w:val="0"/>
        <w:autoSpaceDN w:val="0"/>
        <w:adjustRightInd w:val="0"/>
        <w:ind w:left="851" w:hanging="851"/>
        <w:jc w:val="both"/>
        <w:rPr>
          <w:b/>
          <w:iCs/>
          <w:szCs w:val="20"/>
        </w:rPr>
      </w:pPr>
      <w:r w:rsidRPr="00872D7E">
        <w:rPr>
          <w:b/>
          <w:iCs/>
          <w:szCs w:val="20"/>
        </w:rPr>
        <w:t>XXI</w:t>
      </w:r>
      <w:r w:rsidR="00632D27" w:rsidRPr="00872D7E">
        <w:rPr>
          <w:b/>
          <w:iCs/>
          <w:szCs w:val="20"/>
        </w:rPr>
        <w:t>.</w:t>
      </w:r>
      <w:r w:rsidR="00632D27" w:rsidRPr="00872D7E">
        <w:rPr>
          <w:b/>
          <w:iCs/>
          <w:szCs w:val="20"/>
        </w:rPr>
        <w:tab/>
      </w:r>
      <w:r w:rsidR="00451EE9" w:rsidRPr="00872D7E">
        <w:rPr>
          <w:b/>
          <w:szCs w:val="20"/>
        </w:rPr>
        <w:t>DİĞER HUSUSLARA İLİŞKİN AÇIKLAMALAR</w:t>
      </w:r>
    </w:p>
    <w:p w14:paraId="6821984E" w14:textId="126E119C" w:rsidR="00A37418" w:rsidRPr="00872D7E" w:rsidRDefault="00A37418" w:rsidP="002332CD">
      <w:pPr>
        <w:widowControl w:val="0"/>
        <w:autoSpaceDE w:val="0"/>
        <w:autoSpaceDN w:val="0"/>
        <w:adjustRightInd w:val="0"/>
        <w:ind w:hanging="600"/>
        <w:jc w:val="both"/>
        <w:rPr>
          <w:sz w:val="16"/>
          <w:szCs w:val="16"/>
        </w:rPr>
      </w:pPr>
    </w:p>
    <w:p w14:paraId="3E0E357A" w14:textId="0B35DEF5" w:rsidR="000A410D" w:rsidRPr="00872D7E" w:rsidRDefault="00373E2A" w:rsidP="002332CD">
      <w:pPr>
        <w:widowControl w:val="0"/>
        <w:autoSpaceDE w:val="0"/>
        <w:autoSpaceDN w:val="0"/>
        <w:adjustRightInd w:val="0"/>
        <w:ind w:left="851"/>
        <w:jc w:val="both"/>
        <w:rPr>
          <w:szCs w:val="20"/>
        </w:rPr>
      </w:pPr>
      <w:r w:rsidRPr="00872D7E">
        <w:rPr>
          <w:szCs w:val="20"/>
        </w:rPr>
        <w:t>Bulunmamaktadır.</w:t>
      </w:r>
      <w:r w:rsidR="000A410D" w:rsidRPr="00872D7E">
        <w:rPr>
          <w:szCs w:val="20"/>
        </w:rPr>
        <w:br w:type="page"/>
      </w:r>
    </w:p>
    <w:p w14:paraId="3538248C" w14:textId="77777777" w:rsidR="002C6E36" w:rsidRPr="00872D7E" w:rsidRDefault="00B75FBE" w:rsidP="009F6E11">
      <w:pPr>
        <w:pStyle w:val="BodyTextIndent"/>
        <w:widowControl w:val="0"/>
        <w:spacing w:line="221" w:lineRule="auto"/>
        <w:ind w:firstLine="0"/>
        <w:jc w:val="center"/>
        <w:rPr>
          <w:b/>
          <w:szCs w:val="20"/>
        </w:rPr>
      </w:pPr>
      <w:r w:rsidRPr="00872D7E">
        <w:rPr>
          <w:b/>
          <w:szCs w:val="20"/>
        </w:rPr>
        <w:lastRenderedPageBreak/>
        <w:t>DÖRDÜNCÜ BÖLÜM</w:t>
      </w:r>
    </w:p>
    <w:p w14:paraId="2C4AE463" w14:textId="77777777" w:rsidR="00A37418" w:rsidRPr="00872D7E" w:rsidRDefault="00A37418" w:rsidP="00FE0E26">
      <w:pPr>
        <w:pStyle w:val="BodyTextIndent"/>
        <w:widowControl w:val="0"/>
        <w:spacing w:line="221" w:lineRule="auto"/>
        <w:ind w:firstLine="0"/>
        <w:rPr>
          <w:b/>
          <w:sz w:val="16"/>
          <w:szCs w:val="16"/>
        </w:rPr>
      </w:pPr>
    </w:p>
    <w:p w14:paraId="45DEDF55" w14:textId="687F34A5" w:rsidR="00AE6405" w:rsidRPr="00872D7E" w:rsidRDefault="00451EE9" w:rsidP="00FE0E26">
      <w:pPr>
        <w:pStyle w:val="BodyTextIndent"/>
        <w:widowControl w:val="0"/>
        <w:spacing w:line="221" w:lineRule="auto"/>
        <w:ind w:firstLine="0"/>
        <w:jc w:val="center"/>
        <w:rPr>
          <w:b/>
          <w:szCs w:val="20"/>
        </w:rPr>
      </w:pPr>
      <w:r w:rsidRPr="00872D7E">
        <w:rPr>
          <w:b/>
          <w:szCs w:val="20"/>
        </w:rPr>
        <w:t>MALİ BÜNYEYE VE RİSK YÖNETİMİNE İLİŞKİN BİLGİLER</w:t>
      </w:r>
    </w:p>
    <w:p w14:paraId="3D77C5F5" w14:textId="77777777" w:rsidR="00A37418" w:rsidRPr="00872D7E" w:rsidRDefault="00A37418" w:rsidP="00FE0E26">
      <w:pPr>
        <w:pStyle w:val="BodyTextIndent"/>
        <w:widowControl w:val="0"/>
        <w:spacing w:line="221" w:lineRule="auto"/>
        <w:ind w:firstLine="0"/>
        <w:rPr>
          <w:b/>
          <w:sz w:val="12"/>
          <w:szCs w:val="12"/>
        </w:rPr>
      </w:pPr>
    </w:p>
    <w:p w14:paraId="122A9CDE" w14:textId="17B82681" w:rsidR="00F117F1" w:rsidRPr="00872D7E" w:rsidRDefault="00C560CD" w:rsidP="004C63BE">
      <w:pPr>
        <w:widowControl w:val="0"/>
        <w:spacing w:after="120" w:line="221" w:lineRule="auto"/>
        <w:ind w:left="851" w:hanging="851"/>
        <w:jc w:val="both"/>
        <w:rPr>
          <w:b/>
          <w:szCs w:val="20"/>
        </w:rPr>
      </w:pPr>
      <w:r w:rsidRPr="00872D7E">
        <w:rPr>
          <w:b/>
          <w:szCs w:val="20"/>
        </w:rPr>
        <w:t>I.</w:t>
      </w:r>
      <w:r w:rsidRPr="00872D7E">
        <w:rPr>
          <w:b/>
          <w:szCs w:val="20"/>
        </w:rPr>
        <w:tab/>
        <w:t>ÖZKAYNAK KALEMLERİNE İLİŞKİN AÇIKLAMALAR</w:t>
      </w:r>
    </w:p>
    <w:p w14:paraId="2B1A51A7" w14:textId="77777777" w:rsidR="00451EE9" w:rsidRPr="00872D7E" w:rsidRDefault="0081600B" w:rsidP="00993539">
      <w:pPr>
        <w:widowControl w:val="0"/>
        <w:spacing w:after="120" w:line="221" w:lineRule="auto"/>
        <w:ind w:left="851"/>
        <w:jc w:val="both"/>
        <w:rPr>
          <w:szCs w:val="20"/>
        </w:rPr>
      </w:pPr>
      <w:r w:rsidRPr="00872D7E">
        <w:rPr>
          <w:szCs w:val="20"/>
        </w:rPr>
        <w:t xml:space="preserve">Özkaynak tutarı ve sermaye yeterliliği standart oranı “Bankaların Özkaynaklarına İlişkin Yönetmelik” ile “Bankaların Sermaye Yeterliliğinin Ölçülmesine ve Değerlendirilmesine İlişkin Yönetmelik” çerçevesinde hesaplanmıştır. </w:t>
      </w:r>
    </w:p>
    <w:p w14:paraId="196DE57D" w14:textId="021A2AA0" w:rsidR="001A6279" w:rsidRPr="00872D7E" w:rsidRDefault="0081600B" w:rsidP="00993539">
      <w:pPr>
        <w:widowControl w:val="0"/>
        <w:spacing w:after="120" w:line="221" w:lineRule="auto"/>
        <w:ind w:left="851"/>
        <w:jc w:val="both"/>
        <w:rPr>
          <w:szCs w:val="20"/>
        </w:rPr>
      </w:pPr>
      <w:r w:rsidRPr="00872D7E">
        <w:rPr>
          <w:szCs w:val="20"/>
        </w:rPr>
        <w:t xml:space="preserve">Banka’nın </w:t>
      </w:r>
      <w:r w:rsidR="00AE0B9A" w:rsidRPr="00872D7E">
        <w:rPr>
          <w:szCs w:val="20"/>
        </w:rPr>
        <w:t>31 Aralık</w:t>
      </w:r>
      <w:r w:rsidR="007301E4" w:rsidRPr="00872D7E">
        <w:rPr>
          <w:szCs w:val="20"/>
        </w:rPr>
        <w:t xml:space="preserve"> </w:t>
      </w:r>
      <w:r w:rsidR="00B04E74" w:rsidRPr="00872D7E">
        <w:rPr>
          <w:szCs w:val="20"/>
        </w:rPr>
        <w:t>2024</w:t>
      </w:r>
      <w:r w:rsidR="00FC71E5" w:rsidRPr="00872D7E">
        <w:rPr>
          <w:szCs w:val="20"/>
        </w:rPr>
        <w:t xml:space="preserve"> </w:t>
      </w:r>
      <w:r w:rsidRPr="00872D7E">
        <w:rPr>
          <w:szCs w:val="20"/>
        </w:rPr>
        <w:t xml:space="preserve">tarihi itibarıyla hesaplanan cari dönem özkaynak tutarı </w:t>
      </w:r>
      <w:bookmarkStart w:id="26" w:name="_Hlk189551504"/>
      <w:bookmarkStart w:id="27" w:name="_Hlk133326191"/>
      <w:r w:rsidR="00CD05C3" w:rsidRPr="00872D7E">
        <w:rPr>
          <w:szCs w:val="20"/>
        </w:rPr>
        <w:t>7.068.728</w:t>
      </w:r>
      <w:bookmarkEnd w:id="26"/>
      <w:r w:rsidR="00664307" w:rsidRPr="00872D7E">
        <w:rPr>
          <w:szCs w:val="20"/>
        </w:rPr>
        <w:t xml:space="preserve"> </w:t>
      </w:r>
      <w:bookmarkEnd w:id="27"/>
      <w:r w:rsidRPr="00872D7E">
        <w:rPr>
          <w:szCs w:val="20"/>
        </w:rPr>
        <w:t xml:space="preserve">TL, sermaye yeterliliği standart oranı da </w:t>
      </w:r>
      <w:r w:rsidR="008E2D9E" w:rsidRPr="00872D7E">
        <w:rPr>
          <w:szCs w:val="20"/>
        </w:rPr>
        <w:t>%</w:t>
      </w:r>
      <w:bookmarkStart w:id="28" w:name="_Hlk189551521"/>
      <w:r w:rsidR="00CD05C3" w:rsidRPr="00872D7E">
        <w:rPr>
          <w:szCs w:val="20"/>
        </w:rPr>
        <w:t>46,94</w:t>
      </w:r>
      <w:bookmarkEnd w:id="28"/>
      <w:r w:rsidR="00F22A8F" w:rsidRPr="00872D7E">
        <w:rPr>
          <w:szCs w:val="20"/>
        </w:rPr>
        <w:t>’</w:t>
      </w:r>
      <w:r w:rsidR="002A3F56" w:rsidRPr="00872D7E">
        <w:rPr>
          <w:szCs w:val="20"/>
        </w:rPr>
        <w:t>d</w:t>
      </w:r>
      <w:r w:rsidR="00E01C09" w:rsidRPr="00872D7E">
        <w:rPr>
          <w:szCs w:val="20"/>
        </w:rPr>
        <w:t>u</w:t>
      </w:r>
      <w:r w:rsidR="00185D1E" w:rsidRPr="00872D7E">
        <w:rPr>
          <w:szCs w:val="20"/>
        </w:rPr>
        <w:t>r</w:t>
      </w:r>
      <w:r w:rsidR="00575F15" w:rsidRPr="00872D7E">
        <w:rPr>
          <w:szCs w:val="20"/>
        </w:rPr>
        <w:t>.</w:t>
      </w:r>
      <w:r w:rsidR="00A05FF0" w:rsidRPr="00872D7E">
        <w:rPr>
          <w:szCs w:val="20"/>
        </w:rPr>
        <w:t xml:space="preserve"> </w:t>
      </w:r>
      <w:r w:rsidR="004D26F1" w:rsidRPr="00872D7E">
        <w:rPr>
          <w:szCs w:val="20"/>
        </w:rPr>
        <w:t xml:space="preserve">1 </w:t>
      </w:r>
      <w:r w:rsidR="00F61513" w:rsidRPr="00872D7E">
        <w:rPr>
          <w:szCs w:val="20"/>
        </w:rPr>
        <w:t xml:space="preserve">Ocak </w:t>
      </w:r>
      <w:r w:rsidR="004D26F1" w:rsidRPr="00872D7E">
        <w:rPr>
          <w:szCs w:val="20"/>
        </w:rPr>
        <w:t>20</w:t>
      </w:r>
      <w:r w:rsidR="00A81300" w:rsidRPr="00872D7E">
        <w:rPr>
          <w:szCs w:val="20"/>
        </w:rPr>
        <w:t>2</w:t>
      </w:r>
      <w:r w:rsidR="00F61513" w:rsidRPr="00872D7E">
        <w:rPr>
          <w:szCs w:val="20"/>
        </w:rPr>
        <w:t>4</w:t>
      </w:r>
      <w:r w:rsidR="00F35CB1" w:rsidRPr="00872D7E">
        <w:rPr>
          <w:szCs w:val="20"/>
        </w:rPr>
        <w:t xml:space="preserve"> için</w:t>
      </w:r>
      <w:r w:rsidRPr="00872D7E">
        <w:rPr>
          <w:szCs w:val="20"/>
        </w:rPr>
        <w:t xml:space="preserve"> özkaynak tutarı </w:t>
      </w:r>
      <w:r w:rsidR="00664307" w:rsidRPr="00872D7E">
        <w:rPr>
          <w:szCs w:val="20"/>
        </w:rPr>
        <w:t>572.014</w:t>
      </w:r>
      <w:r w:rsidR="00A81300" w:rsidRPr="00872D7E">
        <w:rPr>
          <w:szCs w:val="20"/>
        </w:rPr>
        <w:t xml:space="preserve"> </w:t>
      </w:r>
      <w:r w:rsidRPr="00872D7E">
        <w:rPr>
          <w:szCs w:val="20"/>
        </w:rPr>
        <w:t xml:space="preserve">TL, sermaye yeterliliği standart oranı da </w:t>
      </w:r>
      <w:r w:rsidR="00A05FF0" w:rsidRPr="00872D7E">
        <w:rPr>
          <w:szCs w:val="20"/>
        </w:rPr>
        <w:t>%</w:t>
      </w:r>
      <w:r w:rsidR="00664307" w:rsidRPr="00872D7E">
        <w:rPr>
          <w:szCs w:val="20"/>
        </w:rPr>
        <w:t>263</w:t>
      </w:r>
      <w:r w:rsidR="00451EE9" w:rsidRPr="00872D7E">
        <w:rPr>
          <w:szCs w:val="20"/>
        </w:rPr>
        <w:t>,</w:t>
      </w:r>
      <w:r w:rsidR="00664307" w:rsidRPr="00872D7E">
        <w:rPr>
          <w:szCs w:val="20"/>
        </w:rPr>
        <w:t>75</w:t>
      </w:r>
      <w:r w:rsidR="00FC6C55" w:rsidRPr="00872D7E">
        <w:rPr>
          <w:szCs w:val="20"/>
        </w:rPr>
        <w:t>’d</w:t>
      </w:r>
      <w:r w:rsidR="007C04FA" w:rsidRPr="00872D7E">
        <w:rPr>
          <w:szCs w:val="20"/>
        </w:rPr>
        <w:t>i</w:t>
      </w:r>
      <w:r w:rsidRPr="00872D7E">
        <w:rPr>
          <w:szCs w:val="20"/>
        </w:rPr>
        <w:t>r. Banka’nın sermaye yeterliliği standart oranı ilgili mevzuat ile belirlenen asgari oranın üzerindedir.</w:t>
      </w:r>
    </w:p>
    <w:p w14:paraId="0AC1E11A" w14:textId="4E9920FC" w:rsidR="0089258C" w:rsidRPr="00872D7E" w:rsidRDefault="0089258C" w:rsidP="00DF282B">
      <w:pPr>
        <w:pStyle w:val="ListParagraph"/>
        <w:widowControl w:val="0"/>
        <w:numPr>
          <w:ilvl w:val="0"/>
          <w:numId w:val="45"/>
        </w:numPr>
        <w:spacing w:line="221" w:lineRule="auto"/>
        <w:ind w:left="1276" w:right="244" w:hanging="425"/>
        <w:jc w:val="both"/>
        <w:rPr>
          <w:b/>
          <w:szCs w:val="20"/>
        </w:rPr>
      </w:pPr>
      <w:r w:rsidRPr="00872D7E">
        <w:rPr>
          <w:b/>
          <w:szCs w:val="20"/>
        </w:rPr>
        <w:t>Özkaynak kalemlerine ilişkin bilgiler:</w:t>
      </w:r>
    </w:p>
    <w:p w14:paraId="045BC75D" w14:textId="73E8A3A6" w:rsidR="000D5178" w:rsidRPr="00872D7E" w:rsidRDefault="000D5178" w:rsidP="00B11D96"/>
    <w:tbl>
      <w:tblPr>
        <w:tblW w:w="9639" w:type="dxa"/>
        <w:tblLayout w:type="fixed"/>
        <w:tblCellMar>
          <w:left w:w="70" w:type="dxa"/>
          <w:right w:w="70" w:type="dxa"/>
        </w:tblCellMar>
        <w:tblLook w:val="04A0" w:firstRow="1" w:lastRow="0" w:firstColumn="1" w:lastColumn="0" w:noHBand="0" w:noVBand="1"/>
      </w:tblPr>
      <w:tblGrid>
        <w:gridCol w:w="7513"/>
        <w:gridCol w:w="1134"/>
        <w:gridCol w:w="992"/>
      </w:tblGrid>
      <w:tr w:rsidR="000D5178" w:rsidRPr="00872D7E" w14:paraId="50581F03" w14:textId="77777777" w:rsidTr="009213E5">
        <w:trPr>
          <w:divId w:val="1592006871"/>
          <w:trHeight w:val="170"/>
        </w:trPr>
        <w:tc>
          <w:tcPr>
            <w:tcW w:w="7513" w:type="dxa"/>
            <w:shd w:val="clear" w:color="auto" w:fill="auto"/>
            <w:noWrap/>
            <w:vAlign w:val="bottom"/>
            <w:hideMark/>
          </w:tcPr>
          <w:p w14:paraId="0CB0D67A" w14:textId="07813F08" w:rsidR="000D5178" w:rsidRPr="00872D7E" w:rsidRDefault="000D5178" w:rsidP="000D5178">
            <w:pPr>
              <w:rPr>
                <w:sz w:val="15"/>
                <w:szCs w:val="15"/>
                <w:lang w:eastAsia="tr-TR"/>
              </w:rPr>
            </w:pPr>
          </w:p>
        </w:tc>
        <w:tc>
          <w:tcPr>
            <w:tcW w:w="1134" w:type="dxa"/>
            <w:shd w:val="clear" w:color="auto" w:fill="auto"/>
            <w:noWrap/>
            <w:vAlign w:val="bottom"/>
            <w:hideMark/>
          </w:tcPr>
          <w:p w14:paraId="7720B3A6"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31 Aralık 2024</w:t>
            </w:r>
          </w:p>
        </w:tc>
        <w:tc>
          <w:tcPr>
            <w:tcW w:w="992" w:type="dxa"/>
            <w:shd w:val="clear" w:color="auto" w:fill="auto"/>
            <w:noWrap/>
            <w:vAlign w:val="bottom"/>
            <w:hideMark/>
          </w:tcPr>
          <w:p w14:paraId="3C98E363"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1 Ocak 2024</w:t>
            </w:r>
          </w:p>
        </w:tc>
      </w:tr>
      <w:tr w:rsidR="000D5178" w:rsidRPr="00872D7E" w14:paraId="0F516081" w14:textId="77777777" w:rsidTr="009213E5">
        <w:trPr>
          <w:divId w:val="1592006871"/>
          <w:trHeight w:val="170"/>
        </w:trPr>
        <w:tc>
          <w:tcPr>
            <w:tcW w:w="7513" w:type="dxa"/>
            <w:tcBorders>
              <w:bottom w:val="single" w:sz="4" w:space="0" w:color="auto"/>
            </w:tcBorders>
            <w:shd w:val="clear" w:color="auto" w:fill="auto"/>
            <w:vAlign w:val="center"/>
            <w:hideMark/>
          </w:tcPr>
          <w:p w14:paraId="5FAA8BF5" w14:textId="77777777" w:rsidR="000D5178" w:rsidRPr="00872D7E" w:rsidRDefault="000D5178" w:rsidP="000D5178">
            <w:pPr>
              <w:rPr>
                <w:b/>
                <w:bCs/>
                <w:color w:val="000000"/>
                <w:sz w:val="15"/>
                <w:szCs w:val="15"/>
                <w:lang w:eastAsia="tr-TR"/>
              </w:rPr>
            </w:pPr>
            <w:r w:rsidRPr="00872D7E">
              <w:rPr>
                <w:b/>
                <w:bCs/>
                <w:color w:val="000000"/>
                <w:sz w:val="15"/>
                <w:szCs w:val="15"/>
                <w:lang w:eastAsia="tr-TR"/>
              </w:rPr>
              <w:t>ÇEKİRDEK SERMAYE</w:t>
            </w:r>
          </w:p>
        </w:tc>
        <w:tc>
          <w:tcPr>
            <w:tcW w:w="1134" w:type="dxa"/>
            <w:tcBorders>
              <w:bottom w:val="single" w:sz="4" w:space="0" w:color="auto"/>
            </w:tcBorders>
            <w:shd w:val="clear" w:color="auto" w:fill="auto"/>
            <w:noWrap/>
            <w:vAlign w:val="bottom"/>
            <w:hideMark/>
          </w:tcPr>
          <w:p w14:paraId="2CC815FD"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 </w:t>
            </w:r>
          </w:p>
        </w:tc>
        <w:tc>
          <w:tcPr>
            <w:tcW w:w="992" w:type="dxa"/>
            <w:tcBorders>
              <w:bottom w:val="single" w:sz="4" w:space="0" w:color="auto"/>
            </w:tcBorders>
            <w:shd w:val="clear" w:color="auto" w:fill="auto"/>
            <w:noWrap/>
            <w:vAlign w:val="bottom"/>
            <w:hideMark/>
          </w:tcPr>
          <w:p w14:paraId="1300588A"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 </w:t>
            </w:r>
          </w:p>
        </w:tc>
      </w:tr>
      <w:tr w:rsidR="000D5178" w:rsidRPr="00872D7E" w14:paraId="6019A101" w14:textId="77777777" w:rsidTr="009213E5">
        <w:trPr>
          <w:divId w:val="1592006871"/>
          <w:trHeight w:val="170"/>
        </w:trPr>
        <w:tc>
          <w:tcPr>
            <w:tcW w:w="7513" w:type="dxa"/>
            <w:tcBorders>
              <w:top w:val="single" w:sz="4" w:space="0" w:color="auto"/>
            </w:tcBorders>
            <w:shd w:val="clear" w:color="auto" w:fill="auto"/>
            <w:vAlign w:val="center"/>
            <w:hideMark/>
          </w:tcPr>
          <w:p w14:paraId="3FEFFB72" w14:textId="77777777" w:rsidR="000D5178" w:rsidRPr="00872D7E" w:rsidRDefault="000D5178" w:rsidP="000D5178">
            <w:pPr>
              <w:rPr>
                <w:color w:val="000000"/>
                <w:sz w:val="15"/>
                <w:szCs w:val="15"/>
                <w:lang w:eastAsia="tr-TR"/>
              </w:rPr>
            </w:pPr>
            <w:r w:rsidRPr="00872D7E">
              <w:rPr>
                <w:color w:val="000000"/>
                <w:sz w:val="15"/>
                <w:szCs w:val="15"/>
                <w:lang w:eastAsia="tr-TR"/>
              </w:rPr>
              <w:t>Bankanın tasfiyesi halinde alacak hakkı açısından diğer tüm alacaklardan sonra gelen ödenmiş sermaye</w:t>
            </w:r>
          </w:p>
        </w:tc>
        <w:tc>
          <w:tcPr>
            <w:tcW w:w="1134" w:type="dxa"/>
            <w:tcBorders>
              <w:top w:val="single" w:sz="4" w:space="0" w:color="auto"/>
            </w:tcBorders>
            <w:shd w:val="clear" w:color="auto" w:fill="auto"/>
            <w:vAlign w:val="center"/>
            <w:hideMark/>
          </w:tcPr>
          <w:p w14:paraId="748E224C" w14:textId="77777777" w:rsidR="000D5178" w:rsidRPr="00872D7E" w:rsidRDefault="000D5178" w:rsidP="000D5178">
            <w:pPr>
              <w:jc w:val="right"/>
              <w:rPr>
                <w:color w:val="000000"/>
                <w:sz w:val="15"/>
                <w:szCs w:val="15"/>
                <w:lang w:eastAsia="tr-TR"/>
              </w:rPr>
            </w:pPr>
            <w:r w:rsidRPr="00872D7E">
              <w:rPr>
                <w:color w:val="000000"/>
                <w:sz w:val="15"/>
                <w:szCs w:val="15"/>
                <w:lang w:eastAsia="tr-TR"/>
              </w:rPr>
              <w:t>5.999.337</w:t>
            </w:r>
          </w:p>
        </w:tc>
        <w:tc>
          <w:tcPr>
            <w:tcW w:w="992" w:type="dxa"/>
            <w:tcBorders>
              <w:top w:val="single" w:sz="4" w:space="0" w:color="auto"/>
            </w:tcBorders>
            <w:shd w:val="clear" w:color="auto" w:fill="auto"/>
            <w:vAlign w:val="center"/>
            <w:hideMark/>
          </w:tcPr>
          <w:p w14:paraId="0BC6AE4E" w14:textId="77777777" w:rsidR="000D5178" w:rsidRPr="00872D7E" w:rsidRDefault="000D5178" w:rsidP="000D5178">
            <w:pPr>
              <w:jc w:val="right"/>
              <w:rPr>
                <w:color w:val="000000"/>
                <w:sz w:val="15"/>
                <w:szCs w:val="15"/>
                <w:lang w:eastAsia="tr-TR"/>
              </w:rPr>
            </w:pPr>
            <w:r w:rsidRPr="00872D7E">
              <w:rPr>
                <w:color w:val="000000"/>
                <w:sz w:val="15"/>
                <w:szCs w:val="15"/>
                <w:lang w:eastAsia="tr-TR"/>
              </w:rPr>
              <w:t>99.337</w:t>
            </w:r>
          </w:p>
        </w:tc>
      </w:tr>
      <w:tr w:rsidR="000D5178" w:rsidRPr="00872D7E" w14:paraId="006E54F0" w14:textId="77777777" w:rsidTr="009213E5">
        <w:trPr>
          <w:divId w:val="1592006871"/>
          <w:trHeight w:val="170"/>
        </w:trPr>
        <w:tc>
          <w:tcPr>
            <w:tcW w:w="7513" w:type="dxa"/>
            <w:shd w:val="clear" w:color="auto" w:fill="auto"/>
            <w:vAlign w:val="center"/>
            <w:hideMark/>
          </w:tcPr>
          <w:p w14:paraId="524285D1" w14:textId="77777777" w:rsidR="000D5178" w:rsidRPr="00872D7E" w:rsidRDefault="000D5178" w:rsidP="000D5178">
            <w:pPr>
              <w:rPr>
                <w:color w:val="000000"/>
                <w:sz w:val="15"/>
                <w:szCs w:val="15"/>
                <w:lang w:eastAsia="tr-TR"/>
              </w:rPr>
            </w:pPr>
            <w:r w:rsidRPr="00872D7E">
              <w:rPr>
                <w:color w:val="000000"/>
                <w:sz w:val="15"/>
                <w:szCs w:val="15"/>
                <w:lang w:eastAsia="tr-TR"/>
              </w:rPr>
              <w:t>Hisse senedi ihraç primleri</w:t>
            </w:r>
          </w:p>
        </w:tc>
        <w:tc>
          <w:tcPr>
            <w:tcW w:w="1134" w:type="dxa"/>
            <w:shd w:val="clear" w:color="auto" w:fill="auto"/>
            <w:vAlign w:val="center"/>
            <w:hideMark/>
          </w:tcPr>
          <w:p w14:paraId="5D1496B0"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79E5D020"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4917B92E" w14:textId="77777777" w:rsidTr="009213E5">
        <w:trPr>
          <w:divId w:val="1592006871"/>
          <w:trHeight w:val="170"/>
        </w:trPr>
        <w:tc>
          <w:tcPr>
            <w:tcW w:w="7513" w:type="dxa"/>
            <w:shd w:val="clear" w:color="auto" w:fill="auto"/>
            <w:vAlign w:val="center"/>
            <w:hideMark/>
          </w:tcPr>
          <w:p w14:paraId="23BD31AA" w14:textId="77777777" w:rsidR="000D5178" w:rsidRPr="00872D7E" w:rsidRDefault="000D5178" w:rsidP="000D5178">
            <w:pPr>
              <w:rPr>
                <w:color w:val="000000"/>
                <w:sz w:val="15"/>
                <w:szCs w:val="15"/>
                <w:lang w:eastAsia="tr-TR"/>
              </w:rPr>
            </w:pPr>
            <w:r w:rsidRPr="00872D7E">
              <w:rPr>
                <w:color w:val="000000"/>
                <w:sz w:val="15"/>
                <w:szCs w:val="15"/>
                <w:lang w:eastAsia="tr-TR"/>
              </w:rPr>
              <w:t>Yedek akçeler</w:t>
            </w:r>
          </w:p>
        </w:tc>
        <w:tc>
          <w:tcPr>
            <w:tcW w:w="1134" w:type="dxa"/>
            <w:shd w:val="clear" w:color="auto" w:fill="auto"/>
            <w:vAlign w:val="center"/>
            <w:hideMark/>
          </w:tcPr>
          <w:p w14:paraId="2C26FC42"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6EA8497A"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1E45C285" w14:textId="77777777" w:rsidTr="009213E5">
        <w:trPr>
          <w:divId w:val="1592006871"/>
          <w:trHeight w:val="170"/>
        </w:trPr>
        <w:tc>
          <w:tcPr>
            <w:tcW w:w="7513" w:type="dxa"/>
            <w:shd w:val="clear" w:color="auto" w:fill="auto"/>
            <w:vAlign w:val="center"/>
            <w:hideMark/>
          </w:tcPr>
          <w:p w14:paraId="2E27F281" w14:textId="77777777" w:rsidR="000D5178" w:rsidRPr="00872D7E" w:rsidRDefault="000D5178" w:rsidP="000D5178">
            <w:pPr>
              <w:rPr>
                <w:color w:val="000000"/>
                <w:sz w:val="15"/>
                <w:szCs w:val="15"/>
                <w:lang w:eastAsia="tr-TR"/>
              </w:rPr>
            </w:pPr>
            <w:r w:rsidRPr="00872D7E">
              <w:rPr>
                <w:color w:val="000000"/>
                <w:sz w:val="15"/>
                <w:szCs w:val="15"/>
                <w:lang w:eastAsia="tr-TR"/>
              </w:rPr>
              <w:t>Türkiye Muhasebe Standartları (TMS) uyarınca özkaynaklara yansıtılan kazançlar</w:t>
            </w:r>
          </w:p>
        </w:tc>
        <w:tc>
          <w:tcPr>
            <w:tcW w:w="1134" w:type="dxa"/>
            <w:shd w:val="clear" w:color="auto" w:fill="auto"/>
            <w:vAlign w:val="center"/>
            <w:hideMark/>
          </w:tcPr>
          <w:p w14:paraId="4D8EFBB4" w14:textId="77777777" w:rsidR="000D5178" w:rsidRPr="00872D7E" w:rsidRDefault="000D5178" w:rsidP="000D5178">
            <w:pPr>
              <w:jc w:val="right"/>
              <w:rPr>
                <w:color w:val="000000"/>
                <w:sz w:val="15"/>
                <w:szCs w:val="15"/>
                <w:lang w:eastAsia="tr-TR"/>
              </w:rPr>
            </w:pPr>
            <w:r w:rsidRPr="00872D7E">
              <w:rPr>
                <w:color w:val="000000"/>
                <w:sz w:val="15"/>
                <w:szCs w:val="15"/>
                <w:lang w:eastAsia="tr-TR"/>
              </w:rPr>
              <w:t>8.303</w:t>
            </w:r>
          </w:p>
        </w:tc>
        <w:tc>
          <w:tcPr>
            <w:tcW w:w="992" w:type="dxa"/>
            <w:shd w:val="clear" w:color="auto" w:fill="auto"/>
            <w:vAlign w:val="center"/>
            <w:hideMark/>
          </w:tcPr>
          <w:p w14:paraId="015B151E"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573E2433" w14:textId="77777777" w:rsidTr="009213E5">
        <w:trPr>
          <w:divId w:val="1592006871"/>
          <w:trHeight w:val="170"/>
        </w:trPr>
        <w:tc>
          <w:tcPr>
            <w:tcW w:w="7513" w:type="dxa"/>
            <w:shd w:val="clear" w:color="auto" w:fill="auto"/>
            <w:vAlign w:val="center"/>
            <w:hideMark/>
          </w:tcPr>
          <w:p w14:paraId="754418A5" w14:textId="77777777" w:rsidR="000D5178" w:rsidRPr="00872D7E" w:rsidRDefault="000D5178" w:rsidP="000D5178">
            <w:pPr>
              <w:rPr>
                <w:color w:val="000000"/>
                <w:sz w:val="15"/>
                <w:szCs w:val="15"/>
                <w:lang w:eastAsia="tr-TR"/>
              </w:rPr>
            </w:pPr>
            <w:r w:rsidRPr="00872D7E">
              <w:rPr>
                <w:color w:val="000000"/>
                <w:sz w:val="15"/>
                <w:szCs w:val="15"/>
                <w:lang w:eastAsia="tr-TR"/>
              </w:rPr>
              <w:t>Kâr</w:t>
            </w:r>
          </w:p>
        </w:tc>
        <w:tc>
          <w:tcPr>
            <w:tcW w:w="1134" w:type="dxa"/>
            <w:shd w:val="clear" w:color="auto" w:fill="auto"/>
            <w:vAlign w:val="center"/>
            <w:hideMark/>
          </w:tcPr>
          <w:p w14:paraId="50725D5A" w14:textId="77777777" w:rsidR="000D5178" w:rsidRPr="00872D7E" w:rsidRDefault="000D5178" w:rsidP="000D5178">
            <w:pPr>
              <w:jc w:val="right"/>
              <w:rPr>
                <w:color w:val="000000"/>
                <w:sz w:val="15"/>
                <w:szCs w:val="15"/>
                <w:lang w:eastAsia="tr-TR"/>
              </w:rPr>
            </w:pPr>
            <w:r w:rsidRPr="00872D7E">
              <w:rPr>
                <w:color w:val="000000"/>
                <w:sz w:val="15"/>
                <w:szCs w:val="15"/>
                <w:lang w:eastAsia="tr-TR"/>
              </w:rPr>
              <w:t>1.353.642</w:t>
            </w:r>
          </w:p>
        </w:tc>
        <w:tc>
          <w:tcPr>
            <w:tcW w:w="992" w:type="dxa"/>
            <w:shd w:val="clear" w:color="auto" w:fill="auto"/>
            <w:vAlign w:val="center"/>
            <w:hideMark/>
          </w:tcPr>
          <w:p w14:paraId="4E741B0A" w14:textId="77777777" w:rsidR="000D5178" w:rsidRPr="00872D7E" w:rsidRDefault="000D5178" w:rsidP="000D5178">
            <w:pPr>
              <w:jc w:val="right"/>
              <w:rPr>
                <w:color w:val="000000"/>
                <w:sz w:val="15"/>
                <w:szCs w:val="15"/>
                <w:lang w:eastAsia="tr-TR"/>
              </w:rPr>
            </w:pPr>
            <w:r w:rsidRPr="00872D7E">
              <w:rPr>
                <w:color w:val="000000"/>
                <w:sz w:val="15"/>
                <w:szCs w:val="15"/>
                <w:lang w:eastAsia="tr-TR"/>
              </w:rPr>
              <w:t>8.092</w:t>
            </w:r>
          </w:p>
        </w:tc>
      </w:tr>
      <w:tr w:rsidR="000D5178" w:rsidRPr="00872D7E" w14:paraId="062C1474" w14:textId="77777777" w:rsidTr="009213E5">
        <w:trPr>
          <w:divId w:val="1592006871"/>
          <w:trHeight w:val="170"/>
        </w:trPr>
        <w:tc>
          <w:tcPr>
            <w:tcW w:w="7513" w:type="dxa"/>
            <w:shd w:val="clear" w:color="auto" w:fill="auto"/>
            <w:vAlign w:val="center"/>
            <w:hideMark/>
          </w:tcPr>
          <w:p w14:paraId="05FFA301" w14:textId="77777777" w:rsidR="000D5178" w:rsidRPr="00872D7E" w:rsidRDefault="000D5178" w:rsidP="000D5178">
            <w:pPr>
              <w:ind w:firstLineChars="100" w:firstLine="150"/>
              <w:rPr>
                <w:color w:val="000000"/>
                <w:sz w:val="15"/>
                <w:szCs w:val="15"/>
                <w:lang w:eastAsia="tr-TR"/>
              </w:rPr>
            </w:pPr>
            <w:r w:rsidRPr="00872D7E">
              <w:rPr>
                <w:color w:val="000000"/>
                <w:sz w:val="15"/>
                <w:szCs w:val="15"/>
                <w:lang w:eastAsia="tr-TR"/>
              </w:rPr>
              <w:t>Net Dönem Kârı</w:t>
            </w:r>
          </w:p>
        </w:tc>
        <w:tc>
          <w:tcPr>
            <w:tcW w:w="1134" w:type="dxa"/>
            <w:shd w:val="clear" w:color="auto" w:fill="auto"/>
            <w:vAlign w:val="center"/>
            <w:hideMark/>
          </w:tcPr>
          <w:p w14:paraId="3B1D151C" w14:textId="77777777" w:rsidR="000D5178" w:rsidRPr="00872D7E" w:rsidRDefault="000D5178" w:rsidP="000D5178">
            <w:pPr>
              <w:jc w:val="right"/>
              <w:rPr>
                <w:color w:val="000000"/>
                <w:sz w:val="15"/>
                <w:szCs w:val="15"/>
                <w:lang w:eastAsia="tr-TR"/>
              </w:rPr>
            </w:pPr>
            <w:r w:rsidRPr="00872D7E">
              <w:rPr>
                <w:color w:val="000000"/>
                <w:sz w:val="15"/>
                <w:szCs w:val="15"/>
                <w:lang w:eastAsia="tr-TR"/>
              </w:rPr>
              <w:t>1.353.642</w:t>
            </w:r>
          </w:p>
        </w:tc>
        <w:tc>
          <w:tcPr>
            <w:tcW w:w="992" w:type="dxa"/>
            <w:shd w:val="clear" w:color="auto" w:fill="auto"/>
            <w:vAlign w:val="center"/>
            <w:hideMark/>
          </w:tcPr>
          <w:p w14:paraId="65BFB267" w14:textId="77777777" w:rsidR="000D5178" w:rsidRPr="00872D7E" w:rsidRDefault="000D5178" w:rsidP="000D5178">
            <w:pPr>
              <w:jc w:val="right"/>
              <w:rPr>
                <w:color w:val="000000"/>
                <w:sz w:val="15"/>
                <w:szCs w:val="15"/>
                <w:lang w:eastAsia="tr-TR"/>
              </w:rPr>
            </w:pPr>
            <w:r w:rsidRPr="00872D7E">
              <w:rPr>
                <w:color w:val="000000"/>
                <w:sz w:val="15"/>
                <w:szCs w:val="15"/>
                <w:lang w:eastAsia="tr-TR"/>
              </w:rPr>
              <w:t>8.092</w:t>
            </w:r>
          </w:p>
        </w:tc>
      </w:tr>
      <w:tr w:rsidR="000D5178" w:rsidRPr="00872D7E" w14:paraId="0AAA260D" w14:textId="77777777" w:rsidTr="009213E5">
        <w:trPr>
          <w:divId w:val="1592006871"/>
          <w:trHeight w:val="170"/>
        </w:trPr>
        <w:tc>
          <w:tcPr>
            <w:tcW w:w="7513" w:type="dxa"/>
            <w:shd w:val="clear" w:color="auto" w:fill="auto"/>
            <w:vAlign w:val="center"/>
            <w:hideMark/>
          </w:tcPr>
          <w:p w14:paraId="6419635B" w14:textId="77777777" w:rsidR="000D5178" w:rsidRPr="00872D7E" w:rsidRDefault="000D5178" w:rsidP="000D5178">
            <w:pPr>
              <w:ind w:firstLineChars="100" w:firstLine="150"/>
              <w:rPr>
                <w:color w:val="000000"/>
                <w:sz w:val="15"/>
                <w:szCs w:val="15"/>
                <w:lang w:eastAsia="tr-TR"/>
              </w:rPr>
            </w:pPr>
            <w:r w:rsidRPr="00872D7E">
              <w:rPr>
                <w:color w:val="000000"/>
                <w:sz w:val="15"/>
                <w:szCs w:val="15"/>
                <w:lang w:eastAsia="tr-TR"/>
              </w:rPr>
              <w:t>Geçmiş Yıllar Kârı</w:t>
            </w:r>
          </w:p>
        </w:tc>
        <w:tc>
          <w:tcPr>
            <w:tcW w:w="1134" w:type="dxa"/>
            <w:shd w:val="clear" w:color="auto" w:fill="auto"/>
            <w:vAlign w:val="center"/>
            <w:hideMark/>
          </w:tcPr>
          <w:p w14:paraId="3D058342"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178955B8"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1DA21973" w14:textId="77777777" w:rsidTr="009213E5">
        <w:trPr>
          <w:divId w:val="1592006871"/>
          <w:trHeight w:val="170"/>
        </w:trPr>
        <w:tc>
          <w:tcPr>
            <w:tcW w:w="7513" w:type="dxa"/>
            <w:tcBorders>
              <w:bottom w:val="single" w:sz="4" w:space="0" w:color="auto"/>
            </w:tcBorders>
            <w:shd w:val="clear" w:color="auto" w:fill="auto"/>
            <w:vAlign w:val="center"/>
            <w:hideMark/>
          </w:tcPr>
          <w:p w14:paraId="3C8268A9" w14:textId="77777777" w:rsidR="000D5178" w:rsidRPr="00872D7E" w:rsidRDefault="000D5178" w:rsidP="000D5178">
            <w:pPr>
              <w:rPr>
                <w:color w:val="000000"/>
                <w:sz w:val="15"/>
                <w:szCs w:val="15"/>
                <w:lang w:eastAsia="tr-TR"/>
              </w:rPr>
            </w:pPr>
            <w:r w:rsidRPr="00872D7E">
              <w:rPr>
                <w:color w:val="000000"/>
                <w:sz w:val="15"/>
                <w:szCs w:val="15"/>
                <w:lang w:eastAsia="tr-TR"/>
              </w:rPr>
              <w:t>İştirakler, bağlı ortaklıklar ve birlikte kontrol edilen ortaklıklardan bedelsiz olarak edinilen ve dönem kârı içerisinde muhasebeleştirilmeyen hisseler</w:t>
            </w:r>
          </w:p>
        </w:tc>
        <w:tc>
          <w:tcPr>
            <w:tcW w:w="1134" w:type="dxa"/>
            <w:tcBorders>
              <w:bottom w:val="single" w:sz="4" w:space="0" w:color="auto"/>
            </w:tcBorders>
            <w:shd w:val="clear" w:color="auto" w:fill="auto"/>
            <w:vAlign w:val="center"/>
            <w:hideMark/>
          </w:tcPr>
          <w:p w14:paraId="71F5EE1D"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tcBorders>
              <w:bottom w:val="single" w:sz="4" w:space="0" w:color="auto"/>
            </w:tcBorders>
            <w:shd w:val="clear" w:color="auto" w:fill="auto"/>
            <w:vAlign w:val="center"/>
            <w:hideMark/>
          </w:tcPr>
          <w:p w14:paraId="02BCBCC2"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74A3404E" w14:textId="77777777" w:rsidTr="009213E5">
        <w:trPr>
          <w:divId w:val="1592006871"/>
          <w:trHeight w:val="170"/>
        </w:trPr>
        <w:tc>
          <w:tcPr>
            <w:tcW w:w="7513" w:type="dxa"/>
            <w:tcBorders>
              <w:top w:val="single" w:sz="4" w:space="0" w:color="auto"/>
              <w:bottom w:val="single" w:sz="4" w:space="0" w:color="auto"/>
            </w:tcBorders>
            <w:shd w:val="clear" w:color="auto" w:fill="auto"/>
            <w:vAlign w:val="center"/>
            <w:hideMark/>
          </w:tcPr>
          <w:p w14:paraId="6EB70261" w14:textId="77777777" w:rsidR="000D5178" w:rsidRPr="00872D7E" w:rsidRDefault="000D5178" w:rsidP="000D5178">
            <w:pPr>
              <w:rPr>
                <w:b/>
                <w:bCs/>
                <w:color w:val="000000"/>
                <w:sz w:val="15"/>
                <w:szCs w:val="15"/>
                <w:lang w:eastAsia="tr-TR"/>
              </w:rPr>
            </w:pPr>
            <w:r w:rsidRPr="00872D7E">
              <w:rPr>
                <w:b/>
                <w:bCs/>
                <w:color w:val="000000"/>
                <w:sz w:val="15"/>
                <w:szCs w:val="15"/>
                <w:lang w:eastAsia="tr-TR"/>
              </w:rPr>
              <w:t>İndirimler Öncesi Çekirdek Sermaye</w:t>
            </w:r>
          </w:p>
        </w:tc>
        <w:tc>
          <w:tcPr>
            <w:tcW w:w="1134" w:type="dxa"/>
            <w:tcBorders>
              <w:top w:val="single" w:sz="4" w:space="0" w:color="auto"/>
              <w:bottom w:val="single" w:sz="4" w:space="0" w:color="auto"/>
            </w:tcBorders>
            <w:shd w:val="clear" w:color="auto" w:fill="auto"/>
            <w:vAlign w:val="center"/>
            <w:hideMark/>
          </w:tcPr>
          <w:p w14:paraId="7DE33D85"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7.361.282</w:t>
            </w:r>
          </w:p>
        </w:tc>
        <w:tc>
          <w:tcPr>
            <w:tcW w:w="992" w:type="dxa"/>
            <w:tcBorders>
              <w:top w:val="single" w:sz="4" w:space="0" w:color="auto"/>
              <w:bottom w:val="single" w:sz="4" w:space="0" w:color="auto"/>
            </w:tcBorders>
            <w:shd w:val="clear" w:color="auto" w:fill="auto"/>
            <w:vAlign w:val="center"/>
            <w:hideMark/>
          </w:tcPr>
          <w:p w14:paraId="11BC01F1"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107.429</w:t>
            </w:r>
          </w:p>
        </w:tc>
      </w:tr>
      <w:tr w:rsidR="000D5178" w:rsidRPr="00872D7E" w14:paraId="1B4BCD62" w14:textId="77777777" w:rsidTr="009213E5">
        <w:trPr>
          <w:divId w:val="1592006871"/>
          <w:trHeight w:val="170"/>
        </w:trPr>
        <w:tc>
          <w:tcPr>
            <w:tcW w:w="7513" w:type="dxa"/>
            <w:tcBorders>
              <w:top w:val="single" w:sz="4" w:space="0" w:color="auto"/>
              <w:bottom w:val="single" w:sz="4" w:space="0" w:color="auto"/>
            </w:tcBorders>
            <w:shd w:val="clear" w:color="auto" w:fill="auto"/>
            <w:vAlign w:val="center"/>
            <w:hideMark/>
          </w:tcPr>
          <w:p w14:paraId="35E6F4A9" w14:textId="77777777" w:rsidR="000D5178" w:rsidRPr="00872D7E" w:rsidRDefault="000D5178" w:rsidP="000D5178">
            <w:pPr>
              <w:rPr>
                <w:b/>
                <w:bCs/>
                <w:color w:val="000000"/>
                <w:sz w:val="15"/>
                <w:szCs w:val="15"/>
                <w:lang w:eastAsia="tr-TR"/>
              </w:rPr>
            </w:pPr>
            <w:r w:rsidRPr="00872D7E">
              <w:rPr>
                <w:b/>
                <w:bCs/>
                <w:color w:val="000000"/>
                <w:sz w:val="15"/>
                <w:szCs w:val="15"/>
                <w:lang w:eastAsia="tr-TR"/>
              </w:rPr>
              <w:t>Çekirdek Sermayeden Yapılacak İndirimler</w:t>
            </w:r>
          </w:p>
        </w:tc>
        <w:tc>
          <w:tcPr>
            <w:tcW w:w="1134" w:type="dxa"/>
            <w:tcBorders>
              <w:top w:val="single" w:sz="4" w:space="0" w:color="auto"/>
              <w:bottom w:val="single" w:sz="4" w:space="0" w:color="auto"/>
            </w:tcBorders>
            <w:shd w:val="clear" w:color="auto" w:fill="auto"/>
            <w:vAlign w:val="center"/>
            <w:hideMark/>
          </w:tcPr>
          <w:p w14:paraId="7844C8D7"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 </w:t>
            </w:r>
          </w:p>
        </w:tc>
        <w:tc>
          <w:tcPr>
            <w:tcW w:w="992" w:type="dxa"/>
            <w:tcBorders>
              <w:top w:val="single" w:sz="4" w:space="0" w:color="auto"/>
              <w:bottom w:val="single" w:sz="4" w:space="0" w:color="auto"/>
            </w:tcBorders>
            <w:shd w:val="clear" w:color="auto" w:fill="auto"/>
            <w:vAlign w:val="center"/>
            <w:hideMark/>
          </w:tcPr>
          <w:p w14:paraId="01D9CAF5"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 </w:t>
            </w:r>
          </w:p>
        </w:tc>
      </w:tr>
      <w:tr w:rsidR="000D5178" w:rsidRPr="00872D7E" w14:paraId="4B56D0FA" w14:textId="77777777" w:rsidTr="009213E5">
        <w:trPr>
          <w:divId w:val="1592006871"/>
          <w:trHeight w:val="170"/>
        </w:trPr>
        <w:tc>
          <w:tcPr>
            <w:tcW w:w="7513" w:type="dxa"/>
            <w:tcBorders>
              <w:top w:val="single" w:sz="4" w:space="0" w:color="auto"/>
            </w:tcBorders>
            <w:shd w:val="clear" w:color="auto" w:fill="auto"/>
            <w:vAlign w:val="center"/>
            <w:hideMark/>
          </w:tcPr>
          <w:p w14:paraId="4612DACE" w14:textId="77777777" w:rsidR="000D5178" w:rsidRPr="00872D7E" w:rsidRDefault="000D5178" w:rsidP="000D5178">
            <w:pPr>
              <w:rPr>
                <w:color w:val="000000"/>
                <w:sz w:val="15"/>
                <w:szCs w:val="15"/>
                <w:lang w:eastAsia="tr-TR"/>
              </w:rPr>
            </w:pPr>
            <w:r w:rsidRPr="00872D7E">
              <w:rPr>
                <w:color w:val="000000"/>
                <w:sz w:val="15"/>
                <w:szCs w:val="15"/>
                <w:lang w:eastAsia="tr-TR"/>
              </w:rPr>
              <w:t>Bankaların Özkaynaklarına İlişkin Yönetmeliğin 9 uncu maddesinin birinci fıkrasının (i) bendi uyarınca hesaplanan değerleme ayarlamaları</w:t>
            </w:r>
          </w:p>
        </w:tc>
        <w:tc>
          <w:tcPr>
            <w:tcW w:w="1134" w:type="dxa"/>
            <w:tcBorders>
              <w:top w:val="single" w:sz="4" w:space="0" w:color="auto"/>
            </w:tcBorders>
            <w:shd w:val="clear" w:color="auto" w:fill="auto"/>
            <w:vAlign w:val="center"/>
            <w:hideMark/>
          </w:tcPr>
          <w:p w14:paraId="5C60F623"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tcBorders>
              <w:top w:val="single" w:sz="4" w:space="0" w:color="auto"/>
            </w:tcBorders>
            <w:shd w:val="clear" w:color="auto" w:fill="auto"/>
            <w:vAlign w:val="center"/>
            <w:hideMark/>
          </w:tcPr>
          <w:p w14:paraId="0ECF8CBC"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473E5AC6" w14:textId="77777777" w:rsidTr="009213E5">
        <w:trPr>
          <w:divId w:val="1592006871"/>
          <w:trHeight w:val="170"/>
        </w:trPr>
        <w:tc>
          <w:tcPr>
            <w:tcW w:w="7513" w:type="dxa"/>
            <w:shd w:val="clear" w:color="auto" w:fill="auto"/>
            <w:vAlign w:val="center"/>
            <w:hideMark/>
          </w:tcPr>
          <w:p w14:paraId="5C9BE800" w14:textId="77777777" w:rsidR="000D5178" w:rsidRPr="00872D7E" w:rsidRDefault="000D5178" w:rsidP="000D5178">
            <w:pPr>
              <w:rPr>
                <w:color w:val="000000"/>
                <w:sz w:val="15"/>
                <w:szCs w:val="15"/>
                <w:lang w:eastAsia="tr-TR"/>
              </w:rPr>
            </w:pPr>
            <w:r w:rsidRPr="00872D7E">
              <w:rPr>
                <w:color w:val="000000"/>
                <w:sz w:val="15"/>
                <w:szCs w:val="15"/>
                <w:lang w:eastAsia="tr-TR"/>
              </w:rPr>
              <w:t>Net dönem zararı ile geçmiş yıllar zararı toplamının yedek akçelerle karşılanamayan kısmı ile TMS uyarınca özkaynaklara yansıtılan kayıplar</w:t>
            </w:r>
          </w:p>
        </w:tc>
        <w:tc>
          <w:tcPr>
            <w:tcW w:w="1134" w:type="dxa"/>
            <w:shd w:val="clear" w:color="auto" w:fill="auto"/>
            <w:vAlign w:val="center"/>
            <w:hideMark/>
          </w:tcPr>
          <w:p w14:paraId="64203864" w14:textId="77777777" w:rsidR="000D5178" w:rsidRPr="00872D7E" w:rsidRDefault="000D5178" w:rsidP="000D5178">
            <w:pPr>
              <w:jc w:val="right"/>
              <w:rPr>
                <w:color w:val="000000"/>
                <w:sz w:val="15"/>
                <w:szCs w:val="15"/>
                <w:lang w:eastAsia="tr-TR"/>
              </w:rPr>
            </w:pPr>
            <w:r w:rsidRPr="00872D7E">
              <w:rPr>
                <w:color w:val="000000"/>
                <w:sz w:val="15"/>
                <w:szCs w:val="15"/>
                <w:lang w:eastAsia="tr-TR"/>
              </w:rPr>
              <w:t>19.192</w:t>
            </w:r>
          </w:p>
        </w:tc>
        <w:tc>
          <w:tcPr>
            <w:tcW w:w="992" w:type="dxa"/>
            <w:shd w:val="clear" w:color="auto" w:fill="auto"/>
            <w:vAlign w:val="center"/>
            <w:hideMark/>
          </w:tcPr>
          <w:p w14:paraId="43203FDA"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2E8DF4BC" w14:textId="77777777" w:rsidTr="009213E5">
        <w:trPr>
          <w:divId w:val="1592006871"/>
          <w:trHeight w:val="170"/>
        </w:trPr>
        <w:tc>
          <w:tcPr>
            <w:tcW w:w="7513" w:type="dxa"/>
            <w:shd w:val="clear" w:color="auto" w:fill="auto"/>
            <w:vAlign w:val="center"/>
            <w:hideMark/>
          </w:tcPr>
          <w:p w14:paraId="3E2D29D5" w14:textId="77777777" w:rsidR="000D5178" w:rsidRPr="00872D7E" w:rsidRDefault="000D5178" w:rsidP="000D5178">
            <w:pPr>
              <w:rPr>
                <w:color w:val="000000"/>
                <w:sz w:val="15"/>
                <w:szCs w:val="15"/>
                <w:lang w:eastAsia="tr-TR"/>
              </w:rPr>
            </w:pPr>
            <w:r w:rsidRPr="00872D7E">
              <w:rPr>
                <w:color w:val="000000"/>
                <w:sz w:val="15"/>
                <w:szCs w:val="15"/>
                <w:lang w:eastAsia="tr-TR"/>
              </w:rPr>
              <w:t>Faaliyet kiralaması geliştirme maliyetleri</w:t>
            </w:r>
          </w:p>
        </w:tc>
        <w:tc>
          <w:tcPr>
            <w:tcW w:w="1134" w:type="dxa"/>
            <w:shd w:val="clear" w:color="auto" w:fill="auto"/>
            <w:vAlign w:val="center"/>
            <w:hideMark/>
          </w:tcPr>
          <w:p w14:paraId="65AAAA4A" w14:textId="77777777" w:rsidR="000D5178" w:rsidRPr="00872D7E" w:rsidRDefault="000D5178" w:rsidP="000D5178">
            <w:pPr>
              <w:jc w:val="right"/>
              <w:rPr>
                <w:color w:val="000000"/>
                <w:sz w:val="15"/>
                <w:szCs w:val="15"/>
                <w:lang w:eastAsia="tr-TR"/>
              </w:rPr>
            </w:pPr>
            <w:r w:rsidRPr="00872D7E">
              <w:rPr>
                <w:color w:val="000000"/>
                <w:sz w:val="15"/>
                <w:szCs w:val="15"/>
                <w:lang w:eastAsia="tr-TR"/>
              </w:rPr>
              <w:t>147.382</w:t>
            </w:r>
          </w:p>
        </w:tc>
        <w:tc>
          <w:tcPr>
            <w:tcW w:w="992" w:type="dxa"/>
            <w:shd w:val="clear" w:color="auto" w:fill="auto"/>
            <w:vAlign w:val="center"/>
            <w:hideMark/>
          </w:tcPr>
          <w:p w14:paraId="5F53D7E2" w14:textId="77777777" w:rsidR="000D5178" w:rsidRPr="00872D7E" w:rsidRDefault="000D5178" w:rsidP="000D5178">
            <w:pPr>
              <w:jc w:val="right"/>
              <w:rPr>
                <w:color w:val="000000"/>
                <w:sz w:val="15"/>
                <w:szCs w:val="15"/>
                <w:lang w:eastAsia="tr-TR"/>
              </w:rPr>
            </w:pPr>
            <w:r w:rsidRPr="00872D7E">
              <w:rPr>
                <w:color w:val="000000"/>
                <w:sz w:val="15"/>
                <w:szCs w:val="15"/>
                <w:lang w:eastAsia="tr-TR"/>
              </w:rPr>
              <w:t>23.385</w:t>
            </w:r>
          </w:p>
        </w:tc>
      </w:tr>
      <w:tr w:rsidR="000D5178" w:rsidRPr="00872D7E" w14:paraId="4DF7E7F1" w14:textId="77777777" w:rsidTr="009213E5">
        <w:trPr>
          <w:divId w:val="1592006871"/>
          <w:trHeight w:val="170"/>
        </w:trPr>
        <w:tc>
          <w:tcPr>
            <w:tcW w:w="7513" w:type="dxa"/>
            <w:shd w:val="clear" w:color="auto" w:fill="auto"/>
            <w:vAlign w:val="center"/>
            <w:hideMark/>
          </w:tcPr>
          <w:p w14:paraId="16F29EE6" w14:textId="77777777" w:rsidR="000D5178" w:rsidRPr="00872D7E" w:rsidRDefault="000D5178" w:rsidP="000D5178">
            <w:pPr>
              <w:rPr>
                <w:color w:val="000000"/>
                <w:sz w:val="15"/>
                <w:szCs w:val="15"/>
                <w:lang w:eastAsia="tr-TR"/>
              </w:rPr>
            </w:pPr>
            <w:r w:rsidRPr="00872D7E">
              <w:rPr>
                <w:color w:val="000000"/>
                <w:sz w:val="15"/>
                <w:szCs w:val="15"/>
                <w:lang w:eastAsia="tr-TR"/>
              </w:rPr>
              <w:t>İlgili ertelenmiş vergi yükümlülüğü ile mahsup edildikten sonra kalan şerefiye</w:t>
            </w:r>
          </w:p>
        </w:tc>
        <w:tc>
          <w:tcPr>
            <w:tcW w:w="1134" w:type="dxa"/>
            <w:shd w:val="clear" w:color="auto" w:fill="auto"/>
            <w:vAlign w:val="center"/>
            <w:hideMark/>
          </w:tcPr>
          <w:p w14:paraId="74C6A5C8"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03D2EDC2"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564A742E" w14:textId="77777777" w:rsidTr="009213E5">
        <w:trPr>
          <w:divId w:val="1592006871"/>
          <w:trHeight w:val="170"/>
        </w:trPr>
        <w:tc>
          <w:tcPr>
            <w:tcW w:w="7513" w:type="dxa"/>
            <w:shd w:val="clear" w:color="auto" w:fill="auto"/>
            <w:vAlign w:val="center"/>
            <w:hideMark/>
          </w:tcPr>
          <w:p w14:paraId="3A89F8CB" w14:textId="77777777" w:rsidR="000D5178" w:rsidRPr="00872D7E" w:rsidRDefault="000D5178" w:rsidP="000D5178">
            <w:pPr>
              <w:rPr>
                <w:color w:val="000000"/>
                <w:sz w:val="15"/>
                <w:szCs w:val="15"/>
                <w:lang w:eastAsia="tr-TR"/>
              </w:rPr>
            </w:pPr>
            <w:r w:rsidRPr="00872D7E">
              <w:rPr>
                <w:color w:val="000000"/>
                <w:sz w:val="15"/>
                <w:szCs w:val="15"/>
                <w:lang w:eastAsia="tr-TR"/>
              </w:rPr>
              <w:t>İpotek hizmeti sunma hakları hariç olmak üzere ilgili ertelenmiş vergi yükümlülüğü ile mahsup edildikten sonra kalan diğer maddi olmayan duran varlıklar</w:t>
            </w:r>
          </w:p>
        </w:tc>
        <w:tc>
          <w:tcPr>
            <w:tcW w:w="1134" w:type="dxa"/>
            <w:shd w:val="clear" w:color="auto" w:fill="auto"/>
            <w:vAlign w:val="center"/>
            <w:hideMark/>
          </w:tcPr>
          <w:p w14:paraId="5A1A6155" w14:textId="77777777" w:rsidR="000D5178" w:rsidRPr="00872D7E" w:rsidRDefault="000D5178" w:rsidP="000D5178">
            <w:pPr>
              <w:jc w:val="right"/>
              <w:rPr>
                <w:color w:val="000000"/>
                <w:sz w:val="15"/>
                <w:szCs w:val="15"/>
                <w:lang w:eastAsia="tr-TR"/>
              </w:rPr>
            </w:pPr>
            <w:r w:rsidRPr="00872D7E">
              <w:rPr>
                <w:color w:val="000000"/>
                <w:sz w:val="15"/>
                <w:szCs w:val="15"/>
                <w:lang w:eastAsia="tr-TR"/>
              </w:rPr>
              <w:t>212.558</w:t>
            </w:r>
          </w:p>
        </w:tc>
        <w:tc>
          <w:tcPr>
            <w:tcW w:w="992" w:type="dxa"/>
            <w:shd w:val="clear" w:color="auto" w:fill="auto"/>
            <w:vAlign w:val="center"/>
            <w:hideMark/>
          </w:tcPr>
          <w:p w14:paraId="4114CEB3"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156B9F1F" w14:textId="77777777" w:rsidTr="009213E5">
        <w:trPr>
          <w:divId w:val="1592006871"/>
          <w:trHeight w:val="170"/>
        </w:trPr>
        <w:tc>
          <w:tcPr>
            <w:tcW w:w="7513" w:type="dxa"/>
            <w:shd w:val="clear" w:color="auto" w:fill="auto"/>
            <w:vAlign w:val="center"/>
            <w:hideMark/>
          </w:tcPr>
          <w:p w14:paraId="0157E9AC" w14:textId="77777777" w:rsidR="000D5178" w:rsidRPr="00872D7E" w:rsidRDefault="000D5178" w:rsidP="000D5178">
            <w:pPr>
              <w:rPr>
                <w:color w:val="000000"/>
                <w:sz w:val="15"/>
                <w:szCs w:val="15"/>
                <w:lang w:eastAsia="tr-TR"/>
              </w:rPr>
            </w:pPr>
            <w:r w:rsidRPr="00872D7E">
              <w:rPr>
                <w:color w:val="000000"/>
                <w:sz w:val="15"/>
                <w:szCs w:val="15"/>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134" w:type="dxa"/>
            <w:shd w:val="clear" w:color="auto" w:fill="auto"/>
            <w:vAlign w:val="center"/>
            <w:hideMark/>
          </w:tcPr>
          <w:p w14:paraId="24AC209C"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7A6BD231" w14:textId="77777777" w:rsidR="000D5178" w:rsidRPr="00872D7E" w:rsidRDefault="000D5178" w:rsidP="000D5178">
            <w:pPr>
              <w:jc w:val="right"/>
              <w:rPr>
                <w:color w:val="000000"/>
                <w:sz w:val="15"/>
                <w:szCs w:val="15"/>
                <w:lang w:eastAsia="tr-TR"/>
              </w:rPr>
            </w:pPr>
            <w:r w:rsidRPr="00872D7E">
              <w:rPr>
                <w:color w:val="000000"/>
                <w:sz w:val="15"/>
                <w:szCs w:val="15"/>
                <w:lang w:eastAsia="tr-TR"/>
              </w:rPr>
              <w:t>5.575</w:t>
            </w:r>
          </w:p>
        </w:tc>
      </w:tr>
      <w:tr w:rsidR="000D5178" w:rsidRPr="00872D7E" w14:paraId="09C40D31" w14:textId="77777777" w:rsidTr="009213E5">
        <w:trPr>
          <w:divId w:val="1592006871"/>
          <w:trHeight w:val="170"/>
        </w:trPr>
        <w:tc>
          <w:tcPr>
            <w:tcW w:w="7513" w:type="dxa"/>
            <w:shd w:val="clear" w:color="auto" w:fill="auto"/>
            <w:vAlign w:val="center"/>
            <w:hideMark/>
          </w:tcPr>
          <w:p w14:paraId="5CC42720" w14:textId="77777777" w:rsidR="000D5178" w:rsidRPr="00872D7E" w:rsidRDefault="000D5178" w:rsidP="000D5178">
            <w:pPr>
              <w:rPr>
                <w:color w:val="000000"/>
                <w:sz w:val="15"/>
                <w:szCs w:val="15"/>
                <w:lang w:eastAsia="tr-TR"/>
              </w:rPr>
            </w:pPr>
            <w:r w:rsidRPr="00872D7E">
              <w:rPr>
                <w:color w:val="000000"/>
                <w:sz w:val="15"/>
                <w:szCs w:val="15"/>
                <w:lang w:eastAsia="tr-TR"/>
              </w:rPr>
              <w:t>Gerçeğe uygun değeri üzerinden izlenmeyen varlık veya yükümlülüklerin nakit akış riskinden korunma işlemine konu edilmesi halinde ortaya çıkan farklar</w:t>
            </w:r>
          </w:p>
        </w:tc>
        <w:tc>
          <w:tcPr>
            <w:tcW w:w="1134" w:type="dxa"/>
            <w:shd w:val="clear" w:color="auto" w:fill="auto"/>
            <w:vAlign w:val="center"/>
            <w:hideMark/>
          </w:tcPr>
          <w:p w14:paraId="6C1DDFAC"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511ABCA6" w14:textId="77777777" w:rsidR="000D5178" w:rsidRPr="00872D7E" w:rsidRDefault="000D5178" w:rsidP="000D5178">
            <w:pPr>
              <w:jc w:val="right"/>
              <w:rPr>
                <w:color w:val="000000"/>
                <w:sz w:val="15"/>
                <w:szCs w:val="15"/>
                <w:lang w:eastAsia="tr-TR"/>
              </w:rPr>
            </w:pPr>
            <w:r w:rsidRPr="00872D7E">
              <w:rPr>
                <w:color w:val="000000"/>
                <w:sz w:val="15"/>
                <w:szCs w:val="15"/>
                <w:lang w:eastAsia="tr-TR"/>
              </w:rPr>
              <w:t>6.528</w:t>
            </w:r>
          </w:p>
        </w:tc>
      </w:tr>
      <w:tr w:rsidR="000D5178" w:rsidRPr="00872D7E" w14:paraId="36054A97" w14:textId="77777777" w:rsidTr="009213E5">
        <w:trPr>
          <w:divId w:val="1592006871"/>
          <w:trHeight w:val="170"/>
        </w:trPr>
        <w:tc>
          <w:tcPr>
            <w:tcW w:w="7513" w:type="dxa"/>
            <w:shd w:val="clear" w:color="auto" w:fill="auto"/>
            <w:vAlign w:val="center"/>
            <w:hideMark/>
          </w:tcPr>
          <w:p w14:paraId="413ABEF5" w14:textId="77777777" w:rsidR="000D5178" w:rsidRPr="00872D7E" w:rsidRDefault="000D5178" w:rsidP="000D5178">
            <w:pPr>
              <w:rPr>
                <w:color w:val="000000"/>
                <w:sz w:val="15"/>
                <w:szCs w:val="15"/>
                <w:lang w:eastAsia="tr-TR"/>
              </w:rPr>
            </w:pPr>
            <w:r w:rsidRPr="00872D7E">
              <w:rPr>
                <w:color w:val="000000"/>
                <w:sz w:val="15"/>
                <w:szCs w:val="15"/>
                <w:lang w:eastAsia="tr-TR"/>
              </w:rPr>
              <w:t>Kredi Riskine Esas Tutarın İçsel Derecelendirmeye Dayalı Yaklaşımlar ile Hesaplanmasına İlişkin Tebliğ uyarınca hesaplanan toplam beklenen kayıp tutarının, toplam karşılık tutarını aşan kısmı</w:t>
            </w:r>
          </w:p>
        </w:tc>
        <w:tc>
          <w:tcPr>
            <w:tcW w:w="1134" w:type="dxa"/>
            <w:shd w:val="clear" w:color="auto" w:fill="auto"/>
            <w:vAlign w:val="center"/>
            <w:hideMark/>
          </w:tcPr>
          <w:p w14:paraId="05BC92A7"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2E52B562"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077B3AB2" w14:textId="77777777" w:rsidTr="009213E5">
        <w:trPr>
          <w:divId w:val="1592006871"/>
          <w:trHeight w:val="170"/>
        </w:trPr>
        <w:tc>
          <w:tcPr>
            <w:tcW w:w="7513" w:type="dxa"/>
            <w:shd w:val="clear" w:color="auto" w:fill="auto"/>
            <w:vAlign w:val="center"/>
            <w:hideMark/>
          </w:tcPr>
          <w:p w14:paraId="040B6278" w14:textId="77777777" w:rsidR="000D5178" w:rsidRPr="00872D7E" w:rsidRDefault="000D5178" w:rsidP="000D5178">
            <w:pPr>
              <w:rPr>
                <w:color w:val="000000"/>
                <w:sz w:val="15"/>
                <w:szCs w:val="15"/>
                <w:lang w:eastAsia="tr-TR"/>
              </w:rPr>
            </w:pPr>
            <w:r w:rsidRPr="00872D7E">
              <w:rPr>
                <w:color w:val="000000"/>
                <w:sz w:val="15"/>
                <w:szCs w:val="15"/>
                <w:lang w:eastAsia="tr-TR"/>
              </w:rPr>
              <w:t>Menkul kıymetleştirme işlemlerinden kaynaklanan kazançlar</w:t>
            </w:r>
          </w:p>
        </w:tc>
        <w:tc>
          <w:tcPr>
            <w:tcW w:w="1134" w:type="dxa"/>
            <w:shd w:val="clear" w:color="auto" w:fill="auto"/>
            <w:vAlign w:val="center"/>
            <w:hideMark/>
          </w:tcPr>
          <w:p w14:paraId="43CD4061"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342B9837"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1F30B93D" w14:textId="77777777" w:rsidTr="009213E5">
        <w:trPr>
          <w:divId w:val="1592006871"/>
          <w:trHeight w:val="170"/>
        </w:trPr>
        <w:tc>
          <w:tcPr>
            <w:tcW w:w="7513" w:type="dxa"/>
            <w:shd w:val="clear" w:color="auto" w:fill="auto"/>
            <w:vAlign w:val="center"/>
            <w:hideMark/>
          </w:tcPr>
          <w:p w14:paraId="1D87616F" w14:textId="77777777" w:rsidR="000D5178" w:rsidRPr="00872D7E" w:rsidRDefault="000D5178" w:rsidP="000D5178">
            <w:pPr>
              <w:rPr>
                <w:color w:val="000000"/>
                <w:sz w:val="15"/>
                <w:szCs w:val="15"/>
                <w:lang w:eastAsia="tr-TR"/>
              </w:rPr>
            </w:pPr>
            <w:r w:rsidRPr="00872D7E">
              <w:rPr>
                <w:color w:val="000000"/>
                <w:sz w:val="15"/>
                <w:szCs w:val="15"/>
                <w:lang w:eastAsia="tr-TR"/>
              </w:rPr>
              <w:t>Bankanın yükümlülüklerinin gerçeğe uygun değerlerinde, kredi değerliliğindeki değişikliklere bağlı olarak oluşan farklar sonucu ortaya çıkan gerçekleşmemiş kazançlar ve kayıplar</w:t>
            </w:r>
          </w:p>
        </w:tc>
        <w:tc>
          <w:tcPr>
            <w:tcW w:w="1134" w:type="dxa"/>
            <w:shd w:val="clear" w:color="auto" w:fill="auto"/>
            <w:vAlign w:val="center"/>
            <w:hideMark/>
          </w:tcPr>
          <w:p w14:paraId="6DB19D96"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51F78185"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12DFB33F" w14:textId="77777777" w:rsidTr="009213E5">
        <w:trPr>
          <w:divId w:val="1592006871"/>
          <w:trHeight w:val="170"/>
        </w:trPr>
        <w:tc>
          <w:tcPr>
            <w:tcW w:w="7513" w:type="dxa"/>
            <w:shd w:val="clear" w:color="auto" w:fill="auto"/>
            <w:vAlign w:val="center"/>
            <w:hideMark/>
          </w:tcPr>
          <w:p w14:paraId="2B3F1E8C" w14:textId="77777777" w:rsidR="000D5178" w:rsidRPr="00872D7E" w:rsidRDefault="000D5178" w:rsidP="000D5178">
            <w:pPr>
              <w:rPr>
                <w:color w:val="000000"/>
                <w:sz w:val="15"/>
                <w:szCs w:val="15"/>
                <w:lang w:eastAsia="tr-TR"/>
              </w:rPr>
            </w:pPr>
            <w:r w:rsidRPr="00872D7E">
              <w:rPr>
                <w:color w:val="000000"/>
                <w:sz w:val="15"/>
                <w:szCs w:val="15"/>
                <w:lang w:eastAsia="tr-TR"/>
              </w:rPr>
              <w:t>Tanımlanmış fayda plan varlıklarının net tutarı</w:t>
            </w:r>
          </w:p>
        </w:tc>
        <w:tc>
          <w:tcPr>
            <w:tcW w:w="1134" w:type="dxa"/>
            <w:shd w:val="clear" w:color="auto" w:fill="auto"/>
            <w:vAlign w:val="center"/>
            <w:hideMark/>
          </w:tcPr>
          <w:p w14:paraId="2F839BFB"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6703ABB9"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5B24F466" w14:textId="77777777" w:rsidTr="009213E5">
        <w:trPr>
          <w:divId w:val="1592006871"/>
          <w:trHeight w:val="170"/>
        </w:trPr>
        <w:tc>
          <w:tcPr>
            <w:tcW w:w="7513" w:type="dxa"/>
            <w:shd w:val="clear" w:color="auto" w:fill="auto"/>
            <w:vAlign w:val="center"/>
            <w:hideMark/>
          </w:tcPr>
          <w:p w14:paraId="2AEC45F7" w14:textId="77777777" w:rsidR="000D5178" w:rsidRPr="00872D7E" w:rsidRDefault="000D5178" w:rsidP="000D5178">
            <w:pPr>
              <w:rPr>
                <w:color w:val="000000"/>
                <w:sz w:val="15"/>
                <w:szCs w:val="15"/>
                <w:lang w:eastAsia="tr-TR"/>
              </w:rPr>
            </w:pPr>
            <w:r w:rsidRPr="00872D7E">
              <w:rPr>
                <w:color w:val="000000"/>
                <w:sz w:val="15"/>
                <w:szCs w:val="15"/>
                <w:lang w:eastAsia="tr-TR"/>
              </w:rPr>
              <w:t>Bankanın kendi çekirdek sermayesine yapmış olduğu doğrudan veya dolaylı yatırımlar</w:t>
            </w:r>
          </w:p>
        </w:tc>
        <w:tc>
          <w:tcPr>
            <w:tcW w:w="1134" w:type="dxa"/>
            <w:shd w:val="clear" w:color="auto" w:fill="auto"/>
            <w:vAlign w:val="center"/>
            <w:hideMark/>
          </w:tcPr>
          <w:p w14:paraId="4544D28C"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7C4E1913"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6E3A8AF0" w14:textId="77777777" w:rsidTr="009213E5">
        <w:trPr>
          <w:divId w:val="1592006871"/>
          <w:trHeight w:val="170"/>
        </w:trPr>
        <w:tc>
          <w:tcPr>
            <w:tcW w:w="7513" w:type="dxa"/>
            <w:shd w:val="clear" w:color="auto" w:fill="auto"/>
            <w:vAlign w:val="center"/>
            <w:hideMark/>
          </w:tcPr>
          <w:p w14:paraId="33C0C8B1" w14:textId="77777777" w:rsidR="000D5178" w:rsidRPr="00872D7E" w:rsidRDefault="000D5178" w:rsidP="000D5178">
            <w:pPr>
              <w:rPr>
                <w:color w:val="000000"/>
                <w:sz w:val="15"/>
                <w:szCs w:val="15"/>
                <w:lang w:eastAsia="tr-TR"/>
              </w:rPr>
            </w:pPr>
            <w:r w:rsidRPr="00872D7E">
              <w:rPr>
                <w:color w:val="000000"/>
                <w:sz w:val="15"/>
                <w:szCs w:val="15"/>
                <w:lang w:eastAsia="tr-TR"/>
              </w:rPr>
              <w:t xml:space="preserve">Kanunun </w:t>
            </w:r>
            <w:proofErr w:type="gramStart"/>
            <w:r w:rsidRPr="00872D7E">
              <w:rPr>
                <w:color w:val="000000"/>
                <w:sz w:val="15"/>
                <w:szCs w:val="15"/>
                <w:lang w:eastAsia="tr-TR"/>
              </w:rPr>
              <w:t>56 ncı</w:t>
            </w:r>
            <w:proofErr w:type="gramEnd"/>
            <w:r w:rsidRPr="00872D7E">
              <w:rPr>
                <w:color w:val="000000"/>
                <w:sz w:val="15"/>
                <w:szCs w:val="15"/>
                <w:lang w:eastAsia="tr-TR"/>
              </w:rPr>
              <w:t xml:space="preserve"> maddesinin dördüncü fıkrasına aykırı olarak edinilen paylar</w:t>
            </w:r>
          </w:p>
        </w:tc>
        <w:tc>
          <w:tcPr>
            <w:tcW w:w="1134" w:type="dxa"/>
            <w:shd w:val="clear" w:color="auto" w:fill="auto"/>
            <w:vAlign w:val="center"/>
            <w:hideMark/>
          </w:tcPr>
          <w:p w14:paraId="05E00DC3"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7F7CB50C"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2D5FC963" w14:textId="77777777" w:rsidTr="009213E5">
        <w:trPr>
          <w:divId w:val="1592006871"/>
          <w:trHeight w:val="170"/>
        </w:trPr>
        <w:tc>
          <w:tcPr>
            <w:tcW w:w="7513" w:type="dxa"/>
            <w:shd w:val="clear" w:color="auto" w:fill="auto"/>
            <w:vAlign w:val="center"/>
            <w:hideMark/>
          </w:tcPr>
          <w:p w14:paraId="56F10382" w14:textId="77777777" w:rsidR="000D5178" w:rsidRPr="00872D7E" w:rsidRDefault="000D5178" w:rsidP="000D5178">
            <w:pPr>
              <w:rPr>
                <w:color w:val="000000"/>
                <w:sz w:val="15"/>
                <w:szCs w:val="15"/>
                <w:lang w:eastAsia="tr-TR"/>
              </w:rPr>
            </w:pPr>
            <w:r w:rsidRPr="00872D7E">
              <w:rPr>
                <w:color w:val="000000"/>
                <w:sz w:val="15"/>
                <w:szCs w:val="15"/>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134" w:type="dxa"/>
            <w:shd w:val="clear" w:color="auto" w:fill="auto"/>
            <w:vAlign w:val="center"/>
            <w:hideMark/>
          </w:tcPr>
          <w:p w14:paraId="772088D6"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362E6830"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03024FF6" w14:textId="77777777" w:rsidTr="009213E5">
        <w:trPr>
          <w:divId w:val="1592006871"/>
          <w:trHeight w:val="170"/>
        </w:trPr>
        <w:tc>
          <w:tcPr>
            <w:tcW w:w="7513" w:type="dxa"/>
            <w:shd w:val="clear" w:color="auto" w:fill="auto"/>
            <w:vAlign w:val="center"/>
            <w:hideMark/>
          </w:tcPr>
          <w:p w14:paraId="4EBDAD89" w14:textId="77777777" w:rsidR="000D5178" w:rsidRPr="00872D7E" w:rsidRDefault="000D5178" w:rsidP="000D5178">
            <w:pPr>
              <w:rPr>
                <w:color w:val="000000"/>
                <w:sz w:val="15"/>
                <w:szCs w:val="15"/>
                <w:lang w:eastAsia="tr-TR"/>
              </w:rPr>
            </w:pPr>
            <w:r w:rsidRPr="00872D7E">
              <w:rPr>
                <w:color w:val="000000"/>
                <w:sz w:val="15"/>
                <w:szCs w:val="15"/>
                <w:lang w:eastAsia="tr-TR"/>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134" w:type="dxa"/>
            <w:shd w:val="clear" w:color="auto" w:fill="auto"/>
            <w:vAlign w:val="center"/>
            <w:hideMark/>
          </w:tcPr>
          <w:p w14:paraId="5DB7410D"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5A477938" w14:textId="77777777" w:rsidR="000D5178" w:rsidRPr="00872D7E" w:rsidRDefault="000D5178" w:rsidP="000D5178">
            <w:pPr>
              <w:jc w:val="right"/>
              <w:rPr>
                <w:color w:val="000000"/>
                <w:sz w:val="15"/>
                <w:szCs w:val="15"/>
                <w:lang w:eastAsia="tr-TR"/>
              </w:rPr>
            </w:pPr>
            <w:r w:rsidRPr="00872D7E">
              <w:rPr>
                <w:color w:val="000000"/>
                <w:sz w:val="15"/>
                <w:szCs w:val="15"/>
                <w:lang w:eastAsia="tr-TR"/>
              </w:rPr>
              <w:t>15</w:t>
            </w:r>
          </w:p>
        </w:tc>
      </w:tr>
      <w:tr w:rsidR="000D5178" w:rsidRPr="00872D7E" w14:paraId="51CD2B0C" w14:textId="77777777" w:rsidTr="009213E5">
        <w:trPr>
          <w:divId w:val="1592006871"/>
          <w:trHeight w:val="170"/>
        </w:trPr>
        <w:tc>
          <w:tcPr>
            <w:tcW w:w="7513" w:type="dxa"/>
            <w:shd w:val="clear" w:color="auto" w:fill="auto"/>
            <w:vAlign w:val="center"/>
            <w:hideMark/>
          </w:tcPr>
          <w:p w14:paraId="0AC23217" w14:textId="77777777" w:rsidR="000D5178" w:rsidRPr="00872D7E" w:rsidRDefault="000D5178" w:rsidP="000D5178">
            <w:pPr>
              <w:rPr>
                <w:color w:val="000000"/>
                <w:sz w:val="15"/>
                <w:szCs w:val="15"/>
                <w:lang w:eastAsia="tr-TR"/>
              </w:rPr>
            </w:pPr>
            <w:r w:rsidRPr="00872D7E">
              <w:rPr>
                <w:color w:val="000000"/>
                <w:sz w:val="15"/>
                <w:szCs w:val="15"/>
                <w:lang w:eastAsia="tr-TR"/>
              </w:rPr>
              <w:t>İpotek hizmeti sunma haklarının çekirdek sermayenin %10’nunu aşan kısmı</w:t>
            </w:r>
          </w:p>
        </w:tc>
        <w:tc>
          <w:tcPr>
            <w:tcW w:w="1134" w:type="dxa"/>
            <w:shd w:val="clear" w:color="auto" w:fill="auto"/>
            <w:vAlign w:val="center"/>
            <w:hideMark/>
          </w:tcPr>
          <w:p w14:paraId="570845CB"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736A585F"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42FE12E8" w14:textId="77777777" w:rsidTr="009213E5">
        <w:trPr>
          <w:divId w:val="1592006871"/>
          <w:trHeight w:val="170"/>
        </w:trPr>
        <w:tc>
          <w:tcPr>
            <w:tcW w:w="7513" w:type="dxa"/>
            <w:shd w:val="clear" w:color="auto" w:fill="auto"/>
            <w:noWrap/>
            <w:vAlign w:val="center"/>
            <w:hideMark/>
          </w:tcPr>
          <w:p w14:paraId="46F952FC" w14:textId="77777777" w:rsidR="000D5178" w:rsidRPr="00872D7E" w:rsidRDefault="000D5178" w:rsidP="000D5178">
            <w:pPr>
              <w:rPr>
                <w:color w:val="000000"/>
                <w:sz w:val="15"/>
                <w:szCs w:val="15"/>
                <w:lang w:eastAsia="tr-TR"/>
              </w:rPr>
            </w:pPr>
            <w:r w:rsidRPr="00872D7E">
              <w:rPr>
                <w:color w:val="000000"/>
                <w:sz w:val="15"/>
                <w:szCs w:val="15"/>
                <w:lang w:eastAsia="tr-TR"/>
              </w:rPr>
              <w:t>Geçici farklara dayanan ertelenmiş vergi varlıklarının çekirdek sermayenin %10’nunu aşan kısmı</w:t>
            </w:r>
          </w:p>
        </w:tc>
        <w:tc>
          <w:tcPr>
            <w:tcW w:w="1134" w:type="dxa"/>
            <w:shd w:val="clear" w:color="auto" w:fill="auto"/>
            <w:vAlign w:val="center"/>
            <w:hideMark/>
          </w:tcPr>
          <w:p w14:paraId="65F16F67"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7A4BA4CC"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5081E171" w14:textId="77777777" w:rsidTr="009213E5">
        <w:trPr>
          <w:divId w:val="1592006871"/>
          <w:trHeight w:val="170"/>
        </w:trPr>
        <w:tc>
          <w:tcPr>
            <w:tcW w:w="7513" w:type="dxa"/>
            <w:shd w:val="clear" w:color="auto" w:fill="auto"/>
            <w:vAlign w:val="center"/>
            <w:hideMark/>
          </w:tcPr>
          <w:p w14:paraId="28281E3B" w14:textId="77777777" w:rsidR="000D5178" w:rsidRPr="00872D7E" w:rsidRDefault="000D5178" w:rsidP="000D5178">
            <w:pPr>
              <w:rPr>
                <w:color w:val="000000"/>
                <w:sz w:val="15"/>
                <w:szCs w:val="15"/>
                <w:lang w:eastAsia="tr-TR"/>
              </w:rPr>
            </w:pPr>
            <w:r w:rsidRPr="00872D7E">
              <w:rPr>
                <w:color w:val="000000"/>
                <w:sz w:val="15"/>
                <w:szCs w:val="15"/>
                <w:lang w:eastAsia="tr-TR"/>
              </w:rPr>
              <w:t xml:space="preserve">Bankaların Özkaynaklarına İlişkin Yönetmeliğin Geçici </w:t>
            </w:r>
            <w:proofErr w:type="gramStart"/>
            <w:r w:rsidRPr="00872D7E">
              <w:rPr>
                <w:color w:val="000000"/>
                <w:sz w:val="15"/>
                <w:szCs w:val="15"/>
                <w:lang w:eastAsia="tr-TR"/>
              </w:rPr>
              <w:t>2 nci</w:t>
            </w:r>
            <w:proofErr w:type="gramEnd"/>
            <w:r w:rsidRPr="00872D7E">
              <w:rPr>
                <w:color w:val="000000"/>
                <w:sz w:val="15"/>
                <w:szCs w:val="15"/>
                <w:lang w:eastAsia="tr-TR"/>
              </w:rPr>
              <w:t xml:space="preserve"> maddesinin ikinci fıkrası uyarınca çekirdek sermayenin %15’ini aşan tutarlar</w:t>
            </w:r>
          </w:p>
        </w:tc>
        <w:tc>
          <w:tcPr>
            <w:tcW w:w="1134" w:type="dxa"/>
            <w:shd w:val="clear" w:color="auto" w:fill="auto"/>
            <w:vAlign w:val="center"/>
            <w:hideMark/>
          </w:tcPr>
          <w:p w14:paraId="261C9002"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30CD56A6"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5C07DF19" w14:textId="77777777" w:rsidTr="009213E5">
        <w:trPr>
          <w:divId w:val="1592006871"/>
          <w:trHeight w:val="170"/>
        </w:trPr>
        <w:tc>
          <w:tcPr>
            <w:tcW w:w="7513" w:type="dxa"/>
            <w:shd w:val="clear" w:color="auto" w:fill="auto"/>
            <w:vAlign w:val="center"/>
            <w:hideMark/>
          </w:tcPr>
          <w:p w14:paraId="21B27C4D" w14:textId="77777777" w:rsidR="000D5178" w:rsidRPr="00872D7E" w:rsidRDefault="000D5178" w:rsidP="000D5178">
            <w:pPr>
              <w:rPr>
                <w:color w:val="000000"/>
                <w:sz w:val="15"/>
                <w:szCs w:val="15"/>
                <w:lang w:eastAsia="tr-TR"/>
              </w:rPr>
            </w:pPr>
            <w:r w:rsidRPr="00872D7E">
              <w:rPr>
                <w:color w:val="000000"/>
                <w:sz w:val="15"/>
                <w:szCs w:val="15"/>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134" w:type="dxa"/>
            <w:shd w:val="clear" w:color="auto" w:fill="auto"/>
            <w:vAlign w:val="center"/>
            <w:hideMark/>
          </w:tcPr>
          <w:p w14:paraId="57575E0D"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4DC00EE2"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23100EF4" w14:textId="77777777" w:rsidTr="009213E5">
        <w:trPr>
          <w:divId w:val="1592006871"/>
          <w:trHeight w:val="170"/>
        </w:trPr>
        <w:tc>
          <w:tcPr>
            <w:tcW w:w="7513" w:type="dxa"/>
            <w:shd w:val="clear" w:color="auto" w:fill="auto"/>
            <w:vAlign w:val="center"/>
            <w:hideMark/>
          </w:tcPr>
          <w:p w14:paraId="3506AA9C" w14:textId="77777777" w:rsidR="000D5178" w:rsidRPr="00872D7E" w:rsidRDefault="000D5178" w:rsidP="000D5178">
            <w:pPr>
              <w:rPr>
                <w:color w:val="000000"/>
                <w:sz w:val="15"/>
                <w:szCs w:val="15"/>
                <w:lang w:eastAsia="tr-TR"/>
              </w:rPr>
            </w:pPr>
            <w:r w:rsidRPr="00872D7E">
              <w:rPr>
                <w:color w:val="000000"/>
                <w:sz w:val="15"/>
                <w:szCs w:val="15"/>
                <w:lang w:eastAsia="tr-TR"/>
              </w:rPr>
              <w:t>İpotek hizmeti sunma haklarından kaynaklanan aşım tutarı</w:t>
            </w:r>
          </w:p>
        </w:tc>
        <w:tc>
          <w:tcPr>
            <w:tcW w:w="1134" w:type="dxa"/>
            <w:shd w:val="clear" w:color="auto" w:fill="auto"/>
            <w:vAlign w:val="center"/>
            <w:hideMark/>
          </w:tcPr>
          <w:p w14:paraId="5BCBE50F"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381F47BE"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779930B1" w14:textId="77777777" w:rsidTr="009213E5">
        <w:trPr>
          <w:divId w:val="1592006871"/>
          <w:trHeight w:val="170"/>
        </w:trPr>
        <w:tc>
          <w:tcPr>
            <w:tcW w:w="7513" w:type="dxa"/>
            <w:shd w:val="clear" w:color="auto" w:fill="auto"/>
            <w:vAlign w:val="center"/>
            <w:hideMark/>
          </w:tcPr>
          <w:p w14:paraId="3A1A72B2" w14:textId="77777777" w:rsidR="000D5178" w:rsidRPr="00872D7E" w:rsidRDefault="000D5178" w:rsidP="000D5178">
            <w:pPr>
              <w:rPr>
                <w:color w:val="000000"/>
                <w:sz w:val="15"/>
                <w:szCs w:val="15"/>
                <w:lang w:eastAsia="tr-TR"/>
              </w:rPr>
            </w:pPr>
            <w:r w:rsidRPr="00872D7E">
              <w:rPr>
                <w:color w:val="000000"/>
                <w:sz w:val="15"/>
                <w:szCs w:val="15"/>
                <w:lang w:eastAsia="tr-TR"/>
              </w:rPr>
              <w:t>Geçici farklara dayanan ertelenmiş vergi varlıklarından kaynaklanan aşım tutarı</w:t>
            </w:r>
          </w:p>
        </w:tc>
        <w:tc>
          <w:tcPr>
            <w:tcW w:w="1134" w:type="dxa"/>
            <w:shd w:val="clear" w:color="auto" w:fill="auto"/>
            <w:vAlign w:val="center"/>
            <w:hideMark/>
          </w:tcPr>
          <w:p w14:paraId="23AED827"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05A72092"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3744CC89" w14:textId="77777777" w:rsidTr="009213E5">
        <w:trPr>
          <w:divId w:val="1592006871"/>
          <w:trHeight w:val="170"/>
        </w:trPr>
        <w:tc>
          <w:tcPr>
            <w:tcW w:w="7513" w:type="dxa"/>
            <w:shd w:val="clear" w:color="auto" w:fill="auto"/>
            <w:vAlign w:val="center"/>
            <w:hideMark/>
          </w:tcPr>
          <w:p w14:paraId="4AEDE438" w14:textId="77777777" w:rsidR="000D5178" w:rsidRPr="00872D7E" w:rsidRDefault="000D5178" w:rsidP="000D5178">
            <w:pPr>
              <w:rPr>
                <w:color w:val="000000"/>
                <w:sz w:val="15"/>
                <w:szCs w:val="15"/>
                <w:lang w:eastAsia="tr-TR"/>
              </w:rPr>
            </w:pPr>
            <w:r w:rsidRPr="00872D7E">
              <w:rPr>
                <w:color w:val="000000"/>
                <w:sz w:val="15"/>
                <w:szCs w:val="15"/>
                <w:lang w:eastAsia="tr-TR"/>
              </w:rPr>
              <w:t>Kurulca belirlenecek diğer kalemler</w:t>
            </w:r>
          </w:p>
        </w:tc>
        <w:tc>
          <w:tcPr>
            <w:tcW w:w="1134" w:type="dxa"/>
            <w:shd w:val="clear" w:color="auto" w:fill="auto"/>
            <w:vAlign w:val="center"/>
            <w:hideMark/>
          </w:tcPr>
          <w:p w14:paraId="2359242B"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shd w:val="clear" w:color="auto" w:fill="auto"/>
            <w:vAlign w:val="center"/>
            <w:hideMark/>
          </w:tcPr>
          <w:p w14:paraId="2DCD47B6"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482B23E8" w14:textId="77777777" w:rsidTr="009213E5">
        <w:trPr>
          <w:divId w:val="1592006871"/>
          <w:trHeight w:val="170"/>
        </w:trPr>
        <w:tc>
          <w:tcPr>
            <w:tcW w:w="7513" w:type="dxa"/>
            <w:tcBorders>
              <w:bottom w:val="single" w:sz="4" w:space="0" w:color="auto"/>
            </w:tcBorders>
            <w:shd w:val="clear" w:color="auto" w:fill="auto"/>
            <w:vAlign w:val="center"/>
            <w:hideMark/>
          </w:tcPr>
          <w:p w14:paraId="65677F2E" w14:textId="77777777" w:rsidR="000D5178" w:rsidRPr="00872D7E" w:rsidRDefault="000D5178" w:rsidP="000D5178">
            <w:pPr>
              <w:rPr>
                <w:color w:val="000000"/>
                <w:sz w:val="15"/>
                <w:szCs w:val="15"/>
                <w:lang w:eastAsia="tr-TR"/>
              </w:rPr>
            </w:pPr>
            <w:r w:rsidRPr="00872D7E">
              <w:rPr>
                <w:color w:val="000000"/>
                <w:sz w:val="15"/>
                <w:szCs w:val="15"/>
                <w:lang w:eastAsia="tr-TR"/>
              </w:rPr>
              <w:t>Yeterli ilave ana sermaye veya katkı sermaye bulunmaması halinde çekirdek sermayeden indirim yapılacak tutar</w:t>
            </w:r>
          </w:p>
        </w:tc>
        <w:tc>
          <w:tcPr>
            <w:tcW w:w="1134" w:type="dxa"/>
            <w:tcBorders>
              <w:bottom w:val="single" w:sz="4" w:space="0" w:color="auto"/>
            </w:tcBorders>
            <w:shd w:val="clear" w:color="auto" w:fill="auto"/>
            <w:vAlign w:val="center"/>
            <w:hideMark/>
          </w:tcPr>
          <w:p w14:paraId="4E86F8A1"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c>
          <w:tcPr>
            <w:tcW w:w="992" w:type="dxa"/>
            <w:tcBorders>
              <w:bottom w:val="single" w:sz="4" w:space="0" w:color="auto"/>
            </w:tcBorders>
            <w:shd w:val="clear" w:color="auto" w:fill="auto"/>
            <w:vAlign w:val="center"/>
            <w:hideMark/>
          </w:tcPr>
          <w:p w14:paraId="2AFD0810" w14:textId="77777777" w:rsidR="000D5178" w:rsidRPr="00872D7E" w:rsidRDefault="000D5178" w:rsidP="000D5178">
            <w:pPr>
              <w:jc w:val="right"/>
              <w:rPr>
                <w:color w:val="000000"/>
                <w:sz w:val="15"/>
                <w:szCs w:val="15"/>
                <w:lang w:eastAsia="tr-TR"/>
              </w:rPr>
            </w:pPr>
            <w:r w:rsidRPr="00872D7E">
              <w:rPr>
                <w:color w:val="000000"/>
                <w:sz w:val="15"/>
                <w:szCs w:val="15"/>
                <w:lang w:eastAsia="tr-TR"/>
              </w:rPr>
              <w:t>-</w:t>
            </w:r>
          </w:p>
        </w:tc>
      </w:tr>
      <w:tr w:rsidR="000D5178" w:rsidRPr="00872D7E" w14:paraId="0D79CE97" w14:textId="77777777" w:rsidTr="009213E5">
        <w:trPr>
          <w:divId w:val="1592006871"/>
          <w:trHeight w:val="170"/>
        </w:trPr>
        <w:tc>
          <w:tcPr>
            <w:tcW w:w="7513" w:type="dxa"/>
            <w:tcBorders>
              <w:top w:val="single" w:sz="4" w:space="0" w:color="auto"/>
              <w:bottom w:val="single" w:sz="4" w:space="0" w:color="auto"/>
            </w:tcBorders>
            <w:shd w:val="clear" w:color="auto" w:fill="auto"/>
            <w:vAlign w:val="center"/>
            <w:hideMark/>
          </w:tcPr>
          <w:p w14:paraId="3A0D49CF" w14:textId="77777777" w:rsidR="000D5178" w:rsidRPr="00872D7E" w:rsidRDefault="000D5178" w:rsidP="000D5178">
            <w:pPr>
              <w:rPr>
                <w:b/>
                <w:bCs/>
                <w:color w:val="000000"/>
                <w:sz w:val="15"/>
                <w:szCs w:val="15"/>
                <w:lang w:eastAsia="tr-TR"/>
              </w:rPr>
            </w:pPr>
            <w:r w:rsidRPr="00872D7E">
              <w:rPr>
                <w:b/>
                <w:bCs/>
                <w:color w:val="000000"/>
                <w:sz w:val="15"/>
                <w:szCs w:val="15"/>
                <w:lang w:eastAsia="tr-TR"/>
              </w:rPr>
              <w:t>Çekirdek Sermayeden Yapılan İndirimler Toplamı</w:t>
            </w:r>
          </w:p>
        </w:tc>
        <w:tc>
          <w:tcPr>
            <w:tcW w:w="1134" w:type="dxa"/>
            <w:tcBorders>
              <w:top w:val="single" w:sz="4" w:space="0" w:color="auto"/>
              <w:bottom w:val="single" w:sz="4" w:space="0" w:color="auto"/>
            </w:tcBorders>
            <w:shd w:val="clear" w:color="auto" w:fill="auto"/>
            <w:vAlign w:val="center"/>
            <w:hideMark/>
          </w:tcPr>
          <w:p w14:paraId="2AD54B77"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379.132</w:t>
            </w:r>
          </w:p>
        </w:tc>
        <w:tc>
          <w:tcPr>
            <w:tcW w:w="992" w:type="dxa"/>
            <w:tcBorders>
              <w:top w:val="single" w:sz="4" w:space="0" w:color="auto"/>
              <w:bottom w:val="single" w:sz="4" w:space="0" w:color="auto"/>
            </w:tcBorders>
            <w:shd w:val="clear" w:color="auto" w:fill="auto"/>
            <w:vAlign w:val="center"/>
            <w:hideMark/>
          </w:tcPr>
          <w:p w14:paraId="53BCCFB9"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35.503</w:t>
            </w:r>
          </w:p>
        </w:tc>
      </w:tr>
      <w:tr w:rsidR="000D5178" w:rsidRPr="00872D7E" w14:paraId="7A8DBAB5" w14:textId="77777777" w:rsidTr="009213E5">
        <w:trPr>
          <w:divId w:val="1592006871"/>
          <w:trHeight w:val="170"/>
        </w:trPr>
        <w:tc>
          <w:tcPr>
            <w:tcW w:w="7513" w:type="dxa"/>
            <w:tcBorders>
              <w:top w:val="single" w:sz="4" w:space="0" w:color="auto"/>
              <w:bottom w:val="single" w:sz="4" w:space="0" w:color="auto"/>
            </w:tcBorders>
            <w:shd w:val="clear" w:color="auto" w:fill="auto"/>
            <w:vAlign w:val="center"/>
            <w:hideMark/>
          </w:tcPr>
          <w:p w14:paraId="14F73D4B" w14:textId="77777777" w:rsidR="000D5178" w:rsidRPr="00872D7E" w:rsidRDefault="000D5178" w:rsidP="000D5178">
            <w:pPr>
              <w:rPr>
                <w:b/>
                <w:bCs/>
                <w:color w:val="000000"/>
                <w:sz w:val="15"/>
                <w:szCs w:val="15"/>
                <w:lang w:eastAsia="tr-TR"/>
              </w:rPr>
            </w:pPr>
            <w:r w:rsidRPr="00872D7E">
              <w:rPr>
                <w:b/>
                <w:bCs/>
                <w:color w:val="000000"/>
                <w:sz w:val="15"/>
                <w:szCs w:val="15"/>
                <w:lang w:eastAsia="tr-TR"/>
              </w:rPr>
              <w:t>Çekirdek Sermaye Toplamı</w:t>
            </w:r>
          </w:p>
        </w:tc>
        <w:tc>
          <w:tcPr>
            <w:tcW w:w="1134" w:type="dxa"/>
            <w:tcBorders>
              <w:top w:val="single" w:sz="4" w:space="0" w:color="auto"/>
              <w:bottom w:val="single" w:sz="4" w:space="0" w:color="auto"/>
            </w:tcBorders>
            <w:shd w:val="clear" w:color="auto" w:fill="auto"/>
            <w:vAlign w:val="center"/>
            <w:hideMark/>
          </w:tcPr>
          <w:p w14:paraId="6BF70FD4"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6.982.150</w:t>
            </w:r>
          </w:p>
        </w:tc>
        <w:tc>
          <w:tcPr>
            <w:tcW w:w="992" w:type="dxa"/>
            <w:tcBorders>
              <w:top w:val="single" w:sz="4" w:space="0" w:color="auto"/>
              <w:bottom w:val="single" w:sz="4" w:space="0" w:color="auto"/>
            </w:tcBorders>
            <w:shd w:val="clear" w:color="auto" w:fill="auto"/>
            <w:vAlign w:val="center"/>
            <w:hideMark/>
          </w:tcPr>
          <w:p w14:paraId="002730F4" w14:textId="77777777" w:rsidR="000D5178" w:rsidRPr="00872D7E" w:rsidRDefault="000D5178" w:rsidP="000D5178">
            <w:pPr>
              <w:jc w:val="right"/>
              <w:rPr>
                <w:b/>
                <w:bCs/>
                <w:color w:val="000000"/>
                <w:sz w:val="15"/>
                <w:szCs w:val="15"/>
                <w:lang w:eastAsia="tr-TR"/>
              </w:rPr>
            </w:pPr>
            <w:r w:rsidRPr="00872D7E">
              <w:rPr>
                <w:b/>
                <w:bCs/>
                <w:color w:val="000000"/>
                <w:sz w:val="15"/>
                <w:szCs w:val="15"/>
                <w:lang w:eastAsia="tr-TR"/>
              </w:rPr>
              <w:t>71.926</w:t>
            </w:r>
          </w:p>
        </w:tc>
      </w:tr>
    </w:tbl>
    <w:p w14:paraId="315E723D" w14:textId="77777777" w:rsidR="009213E5" w:rsidRPr="00872D7E" w:rsidRDefault="009213E5" w:rsidP="00B11D96">
      <w:pPr>
        <w:rPr>
          <w:b/>
          <w:szCs w:val="20"/>
        </w:rPr>
      </w:pPr>
    </w:p>
    <w:p w14:paraId="3C722ED3" w14:textId="77777777" w:rsidR="009213E5" w:rsidRPr="00872D7E" w:rsidRDefault="009213E5">
      <w:pPr>
        <w:rPr>
          <w:b/>
          <w:szCs w:val="20"/>
        </w:rPr>
      </w:pPr>
      <w:r w:rsidRPr="00872D7E">
        <w:rPr>
          <w:b/>
          <w:szCs w:val="20"/>
        </w:rPr>
        <w:br w:type="page"/>
      </w:r>
    </w:p>
    <w:p w14:paraId="6651BC68" w14:textId="0F514935" w:rsidR="00B857EA" w:rsidRPr="00872D7E" w:rsidRDefault="00451EE9" w:rsidP="00B11D96">
      <w:pPr>
        <w:rPr>
          <w:b/>
          <w:szCs w:val="20"/>
        </w:rPr>
      </w:pPr>
      <w:r w:rsidRPr="00872D7E">
        <w:rPr>
          <w:b/>
          <w:szCs w:val="20"/>
        </w:rPr>
        <w:lastRenderedPageBreak/>
        <w:t xml:space="preserve">MALİ BÜNYEYE VE RİSK YÖNETİMİNE İLİŞKİN BİLGİLER </w:t>
      </w:r>
      <w:r w:rsidR="00B857EA" w:rsidRPr="00872D7E">
        <w:rPr>
          <w:b/>
          <w:szCs w:val="20"/>
        </w:rPr>
        <w:t>(Devamı)</w:t>
      </w:r>
    </w:p>
    <w:p w14:paraId="6F59E276" w14:textId="77777777" w:rsidR="00B857EA" w:rsidRPr="00872D7E" w:rsidRDefault="00B857EA" w:rsidP="00B857EA">
      <w:pPr>
        <w:pStyle w:val="ListParagraph"/>
        <w:widowControl w:val="0"/>
        <w:ind w:left="851"/>
        <w:jc w:val="both"/>
        <w:rPr>
          <w:b/>
          <w:szCs w:val="20"/>
        </w:rPr>
      </w:pPr>
    </w:p>
    <w:p w14:paraId="3069A9D1" w14:textId="27B73E93" w:rsidR="00CF3759" w:rsidRPr="00872D7E" w:rsidRDefault="00E009D9" w:rsidP="00212E4A">
      <w:pPr>
        <w:pStyle w:val="ListParagraph"/>
        <w:widowControl w:val="0"/>
        <w:numPr>
          <w:ilvl w:val="0"/>
          <w:numId w:val="27"/>
        </w:numPr>
        <w:ind w:left="851" w:hanging="851"/>
        <w:jc w:val="both"/>
        <w:rPr>
          <w:b/>
          <w:szCs w:val="20"/>
        </w:rPr>
      </w:pPr>
      <w:r w:rsidRPr="00872D7E">
        <w:rPr>
          <w:b/>
          <w:szCs w:val="20"/>
        </w:rPr>
        <w:t>ÖZKAYNAK KALEMLERİNE İLİŞKİN AÇIKLAMALAR</w:t>
      </w:r>
      <w:r w:rsidR="00451EE9" w:rsidRPr="00872D7E">
        <w:rPr>
          <w:b/>
          <w:szCs w:val="20"/>
        </w:rPr>
        <w:t xml:space="preserve"> </w:t>
      </w:r>
      <w:r w:rsidR="00CF3759" w:rsidRPr="00872D7E">
        <w:rPr>
          <w:b/>
          <w:szCs w:val="20"/>
        </w:rPr>
        <w:t>(</w:t>
      </w:r>
      <w:r w:rsidR="00A37418" w:rsidRPr="00872D7E">
        <w:rPr>
          <w:b/>
          <w:szCs w:val="20"/>
        </w:rPr>
        <w:t>Devamı</w:t>
      </w:r>
      <w:r w:rsidR="00CF3759" w:rsidRPr="00872D7E">
        <w:rPr>
          <w:b/>
          <w:szCs w:val="20"/>
        </w:rPr>
        <w:t>):</w:t>
      </w:r>
    </w:p>
    <w:p w14:paraId="582CA437" w14:textId="77777777" w:rsidR="00A37418" w:rsidRPr="00872D7E" w:rsidRDefault="00A37418" w:rsidP="00A37418">
      <w:pPr>
        <w:widowControl w:val="0"/>
        <w:ind w:left="-567"/>
        <w:jc w:val="both"/>
        <w:rPr>
          <w:b/>
          <w:szCs w:val="20"/>
        </w:rPr>
      </w:pPr>
    </w:p>
    <w:p w14:paraId="60A478B6" w14:textId="5EF5C73F" w:rsidR="00B75FBE" w:rsidRPr="00872D7E" w:rsidRDefault="00B75FBE" w:rsidP="00212E4A">
      <w:pPr>
        <w:pStyle w:val="ListParagraph"/>
        <w:widowControl w:val="0"/>
        <w:numPr>
          <w:ilvl w:val="0"/>
          <w:numId w:val="28"/>
        </w:numPr>
        <w:ind w:left="1276" w:hanging="425"/>
        <w:jc w:val="both"/>
        <w:rPr>
          <w:b/>
          <w:szCs w:val="20"/>
        </w:rPr>
      </w:pPr>
      <w:r w:rsidRPr="00872D7E">
        <w:rPr>
          <w:b/>
          <w:szCs w:val="20"/>
        </w:rPr>
        <w:t>Özkaynak kalemlerine ilişkin bilgiler (</w:t>
      </w:r>
      <w:r w:rsidR="00A37418" w:rsidRPr="00872D7E">
        <w:rPr>
          <w:b/>
          <w:szCs w:val="20"/>
        </w:rPr>
        <w:t>Devamı</w:t>
      </w:r>
      <w:r w:rsidRPr="00872D7E">
        <w:rPr>
          <w:b/>
          <w:szCs w:val="20"/>
        </w:rPr>
        <w:t>):</w:t>
      </w:r>
    </w:p>
    <w:p w14:paraId="593430F7" w14:textId="4FB4536E" w:rsidR="000D5178" w:rsidRPr="00872D7E" w:rsidRDefault="000D5178" w:rsidP="00C838D9"/>
    <w:tbl>
      <w:tblPr>
        <w:tblW w:w="9775" w:type="dxa"/>
        <w:tblCellMar>
          <w:left w:w="70" w:type="dxa"/>
          <w:right w:w="70" w:type="dxa"/>
        </w:tblCellMar>
        <w:tblLook w:val="04A0" w:firstRow="1" w:lastRow="0" w:firstColumn="1" w:lastColumn="0" w:noHBand="0" w:noVBand="1"/>
      </w:tblPr>
      <w:tblGrid>
        <w:gridCol w:w="6663"/>
        <w:gridCol w:w="1556"/>
        <w:gridCol w:w="1556"/>
      </w:tblGrid>
      <w:tr w:rsidR="000D5178" w:rsidRPr="00872D7E" w14:paraId="7C37DB4B" w14:textId="77777777" w:rsidTr="009213E5">
        <w:trPr>
          <w:divId w:val="69697369"/>
          <w:trHeight w:val="170"/>
        </w:trPr>
        <w:tc>
          <w:tcPr>
            <w:tcW w:w="6663" w:type="dxa"/>
            <w:shd w:val="clear" w:color="auto" w:fill="auto"/>
            <w:noWrap/>
            <w:vAlign w:val="bottom"/>
            <w:hideMark/>
          </w:tcPr>
          <w:p w14:paraId="38348736" w14:textId="07B22B4F" w:rsidR="000D5178" w:rsidRPr="00872D7E" w:rsidRDefault="000D5178" w:rsidP="000D5178">
            <w:pPr>
              <w:rPr>
                <w:sz w:val="16"/>
                <w:szCs w:val="16"/>
                <w:lang w:eastAsia="tr-TR"/>
              </w:rPr>
            </w:pPr>
          </w:p>
        </w:tc>
        <w:tc>
          <w:tcPr>
            <w:tcW w:w="1556" w:type="dxa"/>
            <w:shd w:val="clear" w:color="auto" w:fill="auto"/>
            <w:noWrap/>
            <w:vAlign w:val="bottom"/>
            <w:hideMark/>
          </w:tcPr>
          <w:p w14:paraId="5233F32A"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31 Aralık 2024</w:t>
            </w:r>
          </w:p>
        </w:tc>
        <w:tc>
          <w:tcPr>
            <w:tcW w:w="1556" w:type="dxa"/>
            <w:shd w:val="clear" w:color="auto" w:fill="auto"/>
            <w:noWrap/>
            <w:vAlign w:val="bottom"/>
            <w:hideMark/>
          </w:tcPr>
          <w:p w14:paraId="2E047637"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1 Ocak 2024</w:t>
            </w:r>
          </w:p>
        </w:tc>
      </w:tr>
      <w:tr w:rsidR="000D5178" w:rsidRPr="00872D7E" w14:paraId="36C1AC85" w14:textId="77777777" w:rsidTr="009213E5">
        <w:trPr>
          <w:divId w:val="69697369"/>
          <w:trHeight w:val="170"/>
        </w:trPr>
        <w:tc>
          <w:tcPr>
            <w:tcW w:w="6663" w:type="dxa"/>
            <w:tcBorders>
              <w:bottom w:val="single" w:sz="4" w:space="0" w:color="auto"/>
            </w:tcBorders>
            <w:shd w:val="clear" w:color="auto" w:fill="auto"/>
            <w:vAlign w:val="center"/>
            <w:hideMark/>
          </w:tcPr>
          <w:p w14:paraId="05E4B8BF"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İLAVE ANA SERMAYE</w:t>
            </w:r>
          </w:p>
        </w:tc>
        <w:tc>
          <w:tcPr>
            <w:tcW w:w="1556" w:type="dxa"/>
            <w:tcBorders>
              <w:bottom w:val="single" w:sz="4" w:space="0" w:color="auto"/>
            </w:tcBorders>
            <w:shd w:val="clear" w:color="auto" w:fill="auto"/>
            <w:noWrap/>
            <w:vAlign w:val="bottom"/>
            <w:hideMark/>
          </w:tcPr>
          <w:p w14:paraId="32902B77" w14:textId="77777777" w:rsidR="000D5178" w:rsidRPr="00872D7E" w:rsidRDefault="000D5178" w:rsidP="000D5178">
            <w:pPr>
              <w:jc w:val="center"/>
              <w:rPr>
                <w:b/>
                <w:bCs/>
                <w:color w:val="000000"/>
                <w:sz w:val="16"/>
                <w:szCs w:val="16"/>
                <w:lang w:eastAsia="tr-TR"/>
              </w:rPr>
            </w:pPr>
            <w:r w:rsidRPr="00872D7E">
              <w:rPr>
                <w:b/>
                <w:bCs/>
                <w:color w:val="000000"/>
                <w:sz w:val="16"/>
                <w:szCs w:val="16"/>
                <w:lang w:eastAsia="tr-TR"/>
              </w:rPr>
              <w:t> </w:t>
            </w:r>
          </w:p>
        </w:tc>
        <w:tc>
          <w:tcPr>
            <w:tcW w:w="1556" w:type="dxa"/>
            <w:tcBorders>
              <w:bottom w:val="single" w:sz="4" w:space="0" w:color="auto"/>
            </w:tcBorders>
            <w:shd w:val="clear" w:color="auto" w:fill="auto"/>
            <w:noWrap/>
            <w:vAlign w:val="bottom"/>
            <w:hideMark/>
          </w:tcPr>
          <w:p w14:paraId="5FE030EC" w14:textId="77777777" w:rsidR="000D5178" w:rsidRPr="00872D7E" w:rsidRDefault="000D5178" w:rsidP="000D5178">
            <w:pPr>
              <w:jc w:val="center"/>
              <w:rPr>
                <w:b/>
                <w:bCs/>
                <w:color w:val="000000"/>
                <w:sz w:val="16"/>
                <w:szCs w:val="16"/>
                <w:lang w:eastAsia="tr-TR"/>
              </w:rPr>
            </w:pPr>
            <w:r w:rsidRPr="00872D7E">
              <w:rPr>
                <w:b/>
                <w:bCs/>
                <w:color w:val="000000"/>
                <w:sz w:val="16"/>
                <w:szCs w:val="16"/>
                <w:lang w:eastAsia="tr-TR"/>
              </w:rPr>
              <w:t> </w:t>
            </w:r>
          </w:p>
        </w:tc>
      </w:tr>
      <w:tr w:rsidR="000D5178" w:rsidRPr="00872D7E" w14:paraId="7831C90F" w14:textId="77777777" w:rsidTr="009213E5">
        <w:trPr>
          <w:divId w:val="69697369"/>
          <w:trHeight w:val="170"/>
        </w:trPr>
        <w:tc>
          <w:tcPr>
            <w:tcW w:w="6663" w:type="dxa"/>
            <w:tcBorders>
              <w:top w:val="single" w:sz="4" w:space="0" w:color="auto"/>
            </w:tcBorders>
            <w:shd w:val="clear" w:color="auto" w:fill="auto"/>
            <w:vAlign w:val="center"/>
            <w:hideMark/>
          </w:tcPr>
          <w:p w14:paraId="3F043B8A" w14:textId="77777777" w:rsidR="000D5178" w:rsidRPr="00872D7E" w:rsidRDefault="000D5178" w:rsidP="000D5178">
            <w:pPr>
              <w:rPr>
                <w:color w:val="000000"/>
                <w:sz w:val="16"/>
                <w:szCs w:val="16"/>
                <w:lang w:eastAsia="tr-TR"/>
              </w:rPr>
            </w:pPr>
            <w:r w:rsidRPr="00872D7E">
              <w:rPr>
                <w:color w:val="000000"/>
                <w:sz w:val="16"/>
                <w:szCs w:val="16"/>
                <w:lang w:eastAsia="tr-TR"/>
              </w:rPr>
              <w:t>Çekirdek sermayeye dahil edilmeyen imtiyazlı paylara tekabül eden sermaye ile bunlara ilişkin ihraç primleri</w:t>
            </w:r>
          </w:p>
        </w:tc>
        <w:tc>
          <w:tcPr>
            <w:tcW w:w="1556" w:type="dxa"/>
            <w:tcBorders>
              <w:top w:val="single" w:sz="4" w:space="0" w:color="auto"/>
            </w:tcBorders>
            <w:shd w:val="clear" w:color="auto" w:fill="auto"/>
            <w:vAlign w:val="center"/>
            <w:hideMark/>
          </w:tcPr>
          <w:p w14:paraId="206CF314"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top w:val="single" w:sz="4" w:space="0" w:color="auto"/>
            </w:tcBorders>
            <w:shd w:val="clear" w:color="auto" w:fill="auto"/>
            <w:vAlign w:val="center"/>
            <w:hideMark/>
          </w:tcPr>
          <w:p w14:paraId="0EB606DB"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1A476E88" w14:textId="77777777" w:rsidTr="009213E5">
        <w:trPr>
          <w:divId w:val="69697369"/>
          <w:trHeight w:val="170"/>
        </w:trPr>
        <w:tc>
          <w:tcPr>
            <w:tcW w:w="6663" w:type="dxa"/>
            <w:shd w:val="clear" w:color="auto" w:fill="auto"/>
            <w:vAlign w:val="center"/>
            <w:hideMark/>
          </w:tcPr>
          <w:p w14:paraId="28FB4BEC" w14:textId="77777777" w:rsidR="000D5178" w:rsidRPr="00872D7E" w:rsidRDefault="000D5178" w:rsidP="000D5178">
            <w:pPr>
              <w:rPr>
                <w:color w:val="000000"/>
                <w:sz w:val="16"/>
                <w:szCs w:val="16"/>
                <w:lang w:eastAsia="tr-TR"/>
              </w:rPr>
            </w:pPr>
            <w:r w:rsidRPr="00872D7E">
              <w:rPr>
                <w:color w:val="000000"/>
                <w:sz w:val="16"/>
                <w:szCs w:val="16"/>
                <w:lang w:eastAsia="tr-TR"/>
              </w:rPr>
              <w:t>Kurumca uygun görülen borçlanma araçları ve bunlara ilişkin ihraç primleri</w:t>
            </w:r>
          </w:p>
        </w:tc>
        <w:tc>
          <w:tcPr>
            <w:tcW w:w="1556" w:type="dxa"/>
            <w:shd w:val="clear" w:color="auto" w:fill="auto"/>
            <w:vAlign w:val="center"/>
            <w:hideMark/>
          </w:tcPr>
          <w:p w14:paraId="4B9C5FCB"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center"/>
            <w:hideMark/>
          </w:tcPr>
          <w:p w14:paraId="4913DE64"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442CDDA5" w14:textId="77777777" w:rsidTr="009213E5">
        <w:trPr>
          <w:divId w:val="69697369"/>
          <w:trHeight w:val="170"/>
        </w:trPr>
        <w:tc>
          <w:tcPr>
            <w:tcW w:w="6663" w:type="dxa"/>
            <w:tcBorders>
              <w:bottom w:val="single" w:sz="4" w:space="0" w:color="auto"/>
            </w:tcBorders>
            <w:shd w:val="clear" w:color="auto" w:fill="auto"/>
            <w:vAlign w:val="center"/>
            <w:hideMark/>
          </w:tcPr>
          <w:p w14:paraId="416826D5" w14:textId="77777777" w:rsidR="000D5178" w:rsidRPr="00872D7E" w:rsidRDefault="000D5178" w:rsidP="000D5178">
            <w:pPr>
              <w:rPr>
                <w:color w:val="000000"/>
                <w:sz w:val="16"/>
                <w:szCs w:val="16"/>
                <w:lang w:eastAsia="tr-TR"/>
              </w:rPr>
            </w:pPr>
            <w:r w:rsidRPr="00872D7E">
              <w:rPr>
                <w:color w:val="000000"/>
                <w:sz w:val="16"/>
                <w:szCs w:val="16"/>
                <w:lang w:eastAsia="tr-TR"/>
              </w:rPr>
              <w:t>Kurumca uygun görülen borçlanma araçları ve bunlara ilişkin ihraç primleri (Geçici Madde 4 kapsamında olanlar)</w:t>
            </w:r>
          </w:p>
        </w:tc>
        <w:tc>
          <w:tcPr>
            <w:tcW w:w="1556" w:type="dxa"/>
            <w:tcBorders>
              <w:bottom w:val="single" w:sz="4" w:space="0" w:color="auto"/>
            </w:tcBorders>
            <w:shd w:val="clear" w:color="auto" w:fill="auto"/>
            <w:vAlign w:val="center"/>
            <w:hideMark/>
          </w:tcPr>
          <w:p w14:paraId="53A68189"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bottom w:val="single" w:sz="4" w:space="0" w:color="auto"/>
            </w:tcBorders>
            <w:shd w:val="clear" w:color="auto" w:fill="auto"/>
            <w:vAlign w:val="center"/>
            <w:hideMark/>
          </w:tcPr>
          <w:p w14:paraId="35C43B8A"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53ABC443"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083FEBD8"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İndirimler Öncesi İlave Ana Sermaye</w:t>
            </w:r>
          </w:p>
        </w:tc>
        <w:tc>
          <w:tcPr>
            <w:tcW w:w="1556" w:type="dxa"/>
            <w:tcBorders>
              <w:top w:val="single" w:sz="4" w:space="0" w:color="auto"/>
              <w:bottom w:val="single" w:sz="4" w:space="0" w:color="auto"/>
            </w:tcBorders>
            <w:shd w:val="clear" w:color="auto" w:fill="auto"/>
            <w:vAlign w:val="center"/>
            <w:hideMark/>
          </w:tcPr>
          <w:p w14:paraId="17477C56"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2C79B1EE"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17A0A73B"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7F951F25"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İlave Ana Sermayeden Yapılacak İndirimler</w:t>
            </w:r>
          </w:p>
        </w:tc>
        <w:tc>
          <w:tcPr>
            <w:tcW w:w="1556" w:type="dxa"/>
            <w:tcBorders>
              <w:top w:val="single" w:sz="4" w:space="0" w:color="auto"/>
              <w:bottom w:val="single" w:sz="4" w:space="0" w:color="auto"/>
            </w:tcBorders>
            <w:shd w:val="clear" w:color="auto" w:fill="auto"/>
            <w:vAlign w:val="center"/>
            <w:hideMark/>
          </w:tcPr>
          <w:p w14:paraId="16D8C25C"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 </w:t>
            </w:r>
          </w:p>
        </w:tc>
        <w:tc>
          <w:tcPr>
            <w:tcW w:w="1556" w:type="dxa"/>
            <w:tcBorders>
              <w:top w:val="single" w:sz="4" w:space="0" w:color="auto"/>
              <w:bottom w:val="single" w:sz="4" w:space="0" w:color="auto"/>
            </w:tcBorders>
            <w:shd w:val="clear" w:color="auto" w:fill="auto"/>
            <w:vAlign w:val="center"/>
            <w:hideMark/>
          </w:tcPr>
          <w:p w14:paraId="14A4F6E7"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 </w:t>
            </w:r>
          </w:p>
        </w:tc>
      </w:tr>
      <w:tr w:rsidR="000D5178" w:rsidRPr="00872D7E" w14:paraId="55B96FEF" w14:textId="77777777" w:rsidTr="009213E5">
        <w:trPr>
          <w:divId w:val="69697369"/>
          <w:trHeight w:val="170"/>
        </w:trPr>
        <w:tc>
          <w:tcPr>
            <w:tcW w:w="6663" w:type="dxa"/>
            <w:tcBorders>
              <w:top w:val="single" w:sz="4" w:space="0" w:color="auto"/>
            </w:tcBorders>
            <w:shd w:val="clear" w:color="auto" w:fill="auto"/>
            <w:vAlign w:val="center"/>
            <w:hideMark/>
          </w:tcPr>
          <w:p w14:paraId="093C3577" w14:textId="77777777" w:rsidR="000D5178" w:rsidRPr="00872D7E" w:rsidRDefault="000D5178" w:rsidP="000D5178">
            <w:pPr>
              <w:rPr>
                <w:color w:val="000000"/>
                <w:sz w:val="16"/>
                <w:szCs w:val="16"/>
                <w:lang w:eastAsia="tr-TR"/>
              </w:rPr>
            </w:pPr>
            <w:r w:rsidRPr="00872D7E">
              <w:rPr>
                <w:color w:val="000000"/>
                <w:sz w:val="16"/>
                <w:szCs w:val="16"/>
                <w:lang w:eastAsia="tr-TR"/>
              </w:rPr>
              <w:t>Bankanın kendi ilave ana sermayesine yapmış olduğu doğrudan veya dolaylı yatırımlar</w:t>
            </w:r>
          </w:p>
        </w:tc>
        <w:tc>
          <w:tcPr>
            <w:tcW w:w="1556" w:type="dxa"/>
            <w:tcBorders>
              <w:top w:val="single" w:sz="4" w:space="0" w:color="auto"/>
            </w:tcBorders>
            <w:shd w:val="clear" w:color="auto" w:fill="auto"/>
            <w:vAlign w:val="center"/>
            <w:hideMark/>
          </w:tcPr>
          <w:p w14:paraId="65DBBE17"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top w:val="single" w:sz="4" w:space="0" w:color="auto"/>
            </w:tcBorders>
            <w:shd w:val="clear" w:color="auto" w:fill="auto"/>
            <w:vAlign w:val="center"/>
            <w:hideMark/>
          </w:tcPr>
          <w:p w14:paraId="3A186A79"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33A572FB" w14:textId="77777777" w:rsidTr="009213E5">
        <w:trPr>
          <w:divId w:val="69697369"/>
          <w:trHeight w:val="170"/>
        </w:trPr>
        <w:tc>
          <w:tcPr>
            <w:tcW w:w="6663" w:type="dxa"/>
            <w:shd w:val="clear" w:color="auto" w:fill="auto"/>
            <w:vAlign w:val="center"/>
            <w:hideMark/>
          </w:tcPr>
          <w:p w14:paraId="460804B5" w14:textId="77777777" w:rsidR="000D5178" w:rsidRPr="00872D7E" w:rsidRDefault="000D5178" w:rsidP="000D5178">
            <w:pPr>
              <w:rPr>
                <w:color w:val="000000"/>
                <w:sz w:val="16"/>
                <w:szCs w:val="16"/>
                <w:lang w:eastAsia="tr-TR"/>
              </w:rPr>
            </w:pPr>
            <w:r w:rsidRPr="00872D7E">
              <w:rPr>
                <w:color w:val="000000"/>
                <w:sz w:val="16"/>
                <w:szCs w:val="16"/>
                <w:lang w:eastAsia="tr-TR"/>
              </w:rPr>
              <w:t xml:space="preserve">Bankanın ilave ana sermaye kalemlerine yatırım yapan bankalar ile finansal kuruluşlar tarafından ihraç edilen ve Yönetmeliğin </w:t>
            </w:r>
            <w:proofErr w:type="gramStart"/>
            <w:r w:rsidRPr="00872D7E">
              <w:rPr>
                <w:color w:val="000000"/>
                <w:sz w:val="16"/>
                <w:szCs w:val="16"/>
                <w:lang w:eastAsia="tr-TR"/>
              </w:rPr>
              <w:t>7 nci</w:t>
            </w:r>
            <w:proofErr w:type="gramEnd"/>
            <w:r w:rsidRPr="00872D7E">
              <w:rPr>
                <w:color w:val="000000"/>
                <w:sz w:val="16"/>
                <w:szCs w:val="16"/>
                <w:lang w:eastAsia="tr-TR"/>
              </w:rPr>
              <w:t xml:space="preserve"> maddesinde belirtilen şartları taşıyan özkaynak kalemlerine bankanın yaptığı yatırımlar</w:t>
            </w:r>
          </w:p>
        </w:tc>
        <w:tc>
          <w:tcPr>
            <w:tcW w:w="1556" w:type="dxa"/>
            <w:shd w:val="clear" w:color="auto" w:fill="auto"/>
            <w:vAlign w:val="center"/>
            <w:hideMark/>
          </w:tcPr>
          <w:p w14:paraId="3CA96846"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center"/>
            <w:hideMark/>
          </w:tcPr>
          <w:p w14:paraId="4A121B13"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2EA0F120" w14:textId="77777777" w:rsidTr="009213E5">
        <w:trPr>
          <w:divId w:val="69697369"/>
          <w:trHeight w:val="170"/>
        </w:trPr>
        <w:tc>
          <w:tcPr>
            <w:tcW w:w="6663" w:type="dxa"/>
            <w:shd w:val="clear" w:color="auto" w:fill="auto"/>
            <w:vAlign w:val="center"/>
            <w:hideMark/>
          </w:tcPr>
          <w:p w14:paraId="6D38E12C" w14:textId="77777777" w:rsidR="000D5178" w:rsidRPr="00872D7E" w:rsidRDefault="000D5178" w:rsidP="000D5178">
            <w:pPr>
              <w:rPr>
                <w:color w:val="000000"/>
                <w:sz w:val="16"/>
                <w:szCs w:val="16"/>
                <w:lang w:eastAsia="tr-TR"/>
              </w:rPr>
            </w:pPr>
            <w:r w:rsidRPr="00872D7E">
              <w:rPr>
                <w:color w:val="000000"/>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556" w:type="dxa"/>
            <w:shd w:val="clear" w:color="auto" w:fill="auto"/>
            <w:vAlign w:val="center"/>
            <w:hideMark/>
          </w:tcPr>
          <w:p w14:paraId="3A233498"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center"/>
            <w:hideMark/>
          </w:tcPr>
          <w:p w14:paraId="73A57C5D"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72C936E3" w14:textId="77777777" w:rsidTr="009213E5">
        <w:trPr>
          <w:divId w:val="69697369"/>
          <w:trHeight w:val="170"/>
        </w:trPr>
        <w:tc>
          <w:tcPr>
            <w:tcW w:w="6663" w:type="dxa"/>
            <w:shd w:val="clear" w:color="auto" w:fill="auto"/>
            <w:vAlign w:val="center"/>
            <w:hideMark/>
          </w:tcPr>
          <w:p w14:paraId="6F4F1D7B" w14:textId="77777777" w:rsidR="000D5178" w:rsidRPr="00872D7E" w:rsidRDefault="000D5178" w:rsidP="000D5178">
            <w:pPr>
              <w:rPr>
                <w:color w:val="000000"/>
                <w:sz w:val="16"/>
                <w:szCs w:val="16"/>
                <w:lang w:eastAsia="tr-TR"/>
              </w:rPr>
            </w:pPr>
            <w:r w:rsidRPr="00872D7E">
              <w:rPr>
                <w:color w:val="000000"/>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556" w:type="dxa"/>
            <w:shd w:val="clear" w:color="auto" w:fill="auto"/>
            <w:vAlign w:val="center"/>
            <w:hideMark/>
          </w:tcPr>
          <w:p w14:paraId="492AF51D"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center"/>
            <w:hideMark/>
          </w:tcPr>
          <w:p w14:paraId="100A3613"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1C6FD768" w14:textId="77777777" w:rsidTr="009213E5">
        <w:trPr>
          <w:divId w:val="69697369"/>
          <w:trHeight w:val="170"/>
        </w:trPr>
        <w:tc>
          <w:tcPr>
            <w:tcW w:w="6663" w:type="dxa"/>
            <w:tcBorders>
              <w:bottom w:val="single" w:sz="4" w:space="0" w:color="auto"/>
            </w:tcBorders>
            <w:shd w:val="clear" w:color="auto" w:fill="auto"/>
            <w:vAlign w:val="center"/>
            <w:hideMark/>
          </w:tcPr>
          <w:p w14:paraId="2C4BA750" w14:textId="77777777" w:rsidR="000D5178" w:rsidRPr="00872D7E" w:rsidRDefault="000D5178" w:rsidP="000D5178">
            <w:pPr>
              <w:rPr>
                <w:color w:val="000000"/>
                <w:sz w:val="16"/>
                <w:szCs w:val="16"/>
                <w:lang w:eastAsia="tr-TR"/>
              </w:rPr>
            </w:pPr>
            <w:r w:rsidRPr="00872D7E">
              <w:rPr>
                <w:color w:val="000000"/>
                <w:sz w:val="16"/>
                <w:szCs w:val="16"/>
                <w:lang w:eastAsia="tr-TR"/>
              </w:rPr>
              <w:t>Kurulca belirlenecek diğer kalemler</w:t>
            </w:r>
          </w:p>
        </w:tc>
        <w:tc>
          <w:tcPr>
            <w:tcW w:w="1556" w:type="dxa"/>
            <w:tcBorders>
              <w:bottom w:val="single" w:sz="4" w:space="0" w:color="auto"/>
            </w:tcBorders>
            <w:shd w:val="clear" w:color="auto" w:fill="auto"/>
            <w:vAlign w:val="center"/>
            <w:hideMark/>
          </w:tcPr>
          <w:p w14:paraId="6D5E83D9"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bottom w:val="single" w:sz="4" w:space="0" w:color="auto"/>
            </w:tcBorders>
            <w:shd w:val="clear" w:color="auto" w:fill="auto"/>
            <w:vAlign w:val="center"/>
            <w:hideMark/>
          </w:tcPr>
          <w:p w14:paraId="5DF5093A"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34B7EBD2"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09A76263"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Geçiş Sürecinde Ana Sermayeden İndirilmeye Devam Edecek Unsurlar</w:t>
            </w:r>
          </w:p>
        </w:tc>
        <w:tc>
          <w:tcPr>
            <w:tcW w:w="1556" w:type="dxa"/>
            <w:tcBorders>
              <w:top w:val="single" w:sz="4" w:space="0" w:color="auto"/>
              <w:bottom w:val="single" w:sz="4" w:space="0" w:color="auto"/>
            </w:tcBorders>
            <w:shd w:val="clear" w:color="auto" w:fill="auto"/>
            <w:vAlign w:val="center"/>
            <w:hideMark/>
          </w:tcPr>
          <w:p w14:paraId="75762CE1"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51A4A76D"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 </w:t>
            </w:r>
          </w:p>
        </w:tc>
      </w:tr>
      <w:tr w:rsidR="000D5178" w:rsidRPr="00872D7E" w14:paraId="2B13E1BE" w14:textId="77777777" w:rsidTr="009213E5">
        <w:trPr>
          <w:divId w:val="69697369"/>
          <w:trHeight w:val="170"/>
        </w:trPr>
        <w:tc>
          <w:tcPr>
            <w:tcW w:w="6663" w:type="dxa"/>
            <w:tcBorders>
              <w:top w:val="single" w:sz="4" w:space="0" w:color="auto"/>
            </w:tcBorders>
            <w:shd w:val="clear" w:color="auto" w:fill="auto"/>
            <w:vAlign w:val="center"/>
            <w:hideMark/>
          </w:tcPr>
          <w:p w14:paraId="0EDEAE5C" w14:textId="77777777" w:rsidR="000D5178" w:rsidRPr="00872D7E" w:rsidRDefault="000D5178" w:rsidP="000D5178">
            <w:pPr>
              <w:rPr>
                <w:color w:val="000000"/>
                <w:sz w:val="16"/>
                <w:szCs w:val="16"/>
                <w:lang w:eastAsia="tr-TR"/>
              </w:rPr>
            </w:pPr>
            <w:r w:rsidRPr="00872D7E">
              <w:rPr>
                <w:color w:val="000000"/>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872D7E">
              <w:rPr>
                <w:color w:val="000000"/>
                <w:sz w:val="16"/>
                <w:szCs w:val="16"/>
                <w:lang w:eastAsia="tr-TR"/>
              </w:rPr>
              <w:t>2 nci</w:t>
            </w:r>
            <w:proofErr w:type="gramEnd"/>
            <w:r w:rsidRPr="00872D7E">
              <w:rPr>
                <w:color w:val="000000"/>
                <w:sz w:val="16"/>
                <w:szCs w:val="16"/>
                <w:lang w:eastAsia="tr-TR"/>
              </w:rPr>
              <w:t xml:space="preserve"> maddesinin birinci fıkrası uyarınca çekirdek sermayeden indirilmeyen kısmı (-)</w:t>
            </w:r>
          </w:p>
        </w:tc>
        <w:tc>
          <w:tcPr>
            <w:tcW w:w="1556" w:type="dxa"/>
            <w:tcBorders>
              <w:top w:val="single" w:sz="4" w:space="0" w:color="auto"/>
            </w:tcBorders>
            <w:shd w:val="clear" w:color="auto" w:fill="auto"/>
            <w:vAlign w:val="center"/>
            <w:hideMark/>
          </w:tcPr>
          <w:p w14:paraId="0FD3B573" w14:textId="77777777" w:rsidR="000D5178" w:rsidRPr="00872D7E" w:rsidRDefault="000D5178" w:rsidP="000D5178">
            <w:pPr>
              <w:jc w:val="right"/>
              <w:rPr>
                <w:color w:val="000000"/>
                <w:sz w:val="16"/>
                <w:szCs w:val="16"/>
                <w:lang w:eastAsia="tr-TR"/>
              </w:rPr>
            </w:pPr>
            <w:r w:rsidRPr="00872D7E">
              <w:rPr>
                <w:color w:val="000000"/>
                <w:sz w:val="16"/>
                <w:szCs w:val="16"/>
                <w:lang w:eastAsia="tr-TR"/>
              </w:rPr>
              <w:t>-</w:t>
            </w:r>
          </w:p>
        </w:tc>
        <w:tc>
          <w:tcPr>
            <w:tcW w:w="1556" w:type="dxa"/>
            <w:tcBorders>
              <w:top w:val="single" w:sz="4" w:space="0" w:color="auto"/>
            </w:tcBorders>
            <w:shd w:val="clear" w:color="auto" w:fill="auto"/>
            <w:vAlign w:val="center"/>
            <w:hideMark/>
          </w:tcPr>
          <w:p w14:paraId="47E4AED4" w14:textId="77777777" w:rsidR="000D5178" w:rsidRPr="00872D7E" w:rsidRDefault="000D5178" w:rsidP="000D5178">
            <w:pPr>
              <w:jc w:val="right"/>
              <w:rPr>
                <w:color w:val="000000"/>
                <w:sz w:val="16"/>
                <w:szCs w:val="16"/>
                <w:lang w:eastAsia="tr-TR"/>
              </w:rPr>
            </w:pPr>
            <w:r w:rsidRPr="00872D7E">
              <w:rPr>
                <w:color w:val="000000"/>
                <w:sz w:val="16"/>
                <w:szCs w:val="16"/>
                <w:lang w:eastAsia="tr-TR"/>
              </w:rPr>
              <w:t>-</w:t>
            </w:r>
          </w:p>
        </w:tc>
      </w:tr>
      <w:tr w:rsidR="000D5178" w:rsidRPr="00872D7E" w14:paraId="4B19E5F5" w14:textId="77777777" w:rsidTr="009213E5">
        <w:trPr>
          <w:divId w:val="69697369"/>
          <w:trHeight w:val="170"/>
        </w:trPr>
        <w:tc>
          <w:tcPr>
            <w:tcW w:w="6663" w:type="dxa"/>
            <w:shd w:val="clear" w:color="auto" w:fill="auto"/>
            <w:vAlign w:val="center"/>
            <w:hideMark/>
          </w:tcPr>
          <w:p w14:paraId="34C810FD" w14:textId="77777777" w:rsidR="000D5178" w:rsidRPr="00872D7E" w:rsidRDefault="000D5178" w:rsidP="000D5178">
            <w:pPr>
              <w:rPr>
                <w:color w:val="000000"/>
                <w:sz w:val="16"/>
                <w:szCs w:val="16"/>
                <w:lang w:eastAsia="tr-TR"/>
              </w:rPr>
            </w:pPr>
            <w:r w:rsidRPr="00872D7E">
              <w:rPr>
                <w:color w:val="000000"/>
                <w:sz w:val="16"/>
                <w:szCs w:val="16"/>
                <w:lang w:eastAsia="tr-TR"/>
              </w:rPr>
              <w:t xml:space="preserve">Net ertelenmiş vergi varlığı/vergi borcunun Bankaların Özkaynaklarına İlişkin Yönetmeliğin Geçici </w:t>
            </w:r>
            <w:proofErr w:type="gramStart"/>
            <w:r w:rsidRPr="00872D7E">
              <w:rPr>
                <w:color w:val="000000"/>
                <w:sz w:val="16"/>
                <w:szCs w:val="16"/>
                <w:lang w:eastAsia="tr-TR"/>
              </w:rPr>
              <w:t>2 nci</w:t>
            </w:r>
            <w:proofErr w:type="gramEnd"/>
            <w:r w:rsidRPr="00872D7E">
              <w:rPr>
                <w:color w:val="000000"/>
                <w:sz w:val="16"/>
                <w:szCs w:val="16"/>
                <w:lang w:eastAsia="tr-TR"/>
              </w:rPr>
              <w:t xml:space="preserve"> maddesinin birinci fıkrası uyarınca çekirdek sermayeden indirilmeyen kısmı (-)</w:t>
            </w:r>
          </w:p>
        </w:tc>
        <w:tc>
          <w:tcPr>
            <w:tcW w:w="1556" w:type="dxa"/>
            <w:shd w:val="clear" w:color="auto" w:fill="auto"/>
            <w:vAlign w:val="center"/>
            <w:hideMark/>
          </w:tcPr>
          <w:p w14:paraId="7A408104" w14:textId="77777777" w:rsidR="000D5178" w:rsidRPr="00872D7E" w:rsidRDefault="000D5178" w:rsidP="000D5178">
            <w:pPr>
              <w:jc w:val="right"/>
              <w:rPr>
                <w:color w:val="000000"/>
                <w:sz w:val="16"/>
                <w:szCs w:val="16"/>
                <w:lang w:eastAsia="tr-TR"/>
              </w:rPr>
            </w:pPr>
            <w:r w:rsidRPr="00872D7E">
              <w:rPr>
                <w:color w:val="000000"/>
                <w:sz w:val="16"/>
                <w:szCs w:val="16"/>
                <w:lang w:eastAsia="tr-TR"/>
              </w:rPr>
              <w:t>-</w:t>
            </w:r>
          </w:p>
        </w:tc>
        <w:tc>
          <w:tcPr>
            <w:tcW w:w="1556" w:type="dxa"/>
            <w:shd w:val="clear" w:color="auto" w:fill="auto"/>
            <w:vAlign w:val="center"/>
            <w:hideMark/>
          </w:tcPr>
          <w:p w14:paraId="17A25EC2" w14:textId="77777777" w:rsidR="000D5178" w:rsidRPr="00872D7E" w:rsidRDefault="000D5178" w:rsidP="000D5178">
            <w:pPr>
              <w:jc w:val="right"/>
              <w:rPr>
                <w:color w:val="000000"/>
                <w:sz w:val="16"/>
                <w:szCs w:val="16"/>
                <w:lang w:eastAsia="tr-TR"/>
              </w:rPr>
            </w:pPr>
            <w:r w:rsidRPr="00872D7E">
              <w:rPr>
                <w:color w:val="000000"/>
                <w:sz w:val="16"/>
                <w:szCs w:val="16"/>
                <w:lang w:eastAsia="tr-TR"/>
              </w:rPr>
              <w:t>-</w:t>
            </w:r>
          </w:p>
        </w:tc>
      </w:tr>
      <w:tr w:rsidR="000D5178" w:rsidRPr="00872D7E" w14:paraId="24A9CF62" w14:textId="77777777" w:rsidTr="009213E5">
        <w:trPr>
          <w:divId w:val="69697369"/>
          <w:trHeight w:val="170"/>
        </w:trPr>
        <w:tc>
          <w:tcPr>
            <w:tcW w:w="6663" w:type="dxa"/>
            <w:tcBorders>
              <w:bottom w:val="single" w:sz="4" w:space="0" w:color="auto"/>
            </w:tcBorders>
            <w:shd w:val="clear" w:color="auto" w:fill="auto"/>
            <w:vAlign w:val="center"/>
            <w:hideMark/>
          </w:tcPr>
          <w:p w14:paraId="3B97CBA9" w14:textId="77777777" w:rsidR="000D5178" w:rsidRPr="00872D7E" w:rsidRDefault="000D5178" w:rsidP="000D5178">
            <w:pPr>
              <w:rPr>
                <w:color w:val="000000"/>
                <w:sz w:val="16"/>
                <w:szCs w:val="16"/>
                <w:lang w:eastAsia="tr-TR"/>
              </w:rPr>
            </w:pPr>
            <w:r w:rsidRPr="00872D7E">
              <w:rPr>
                <w:color w:val="000000"/>
                <w:sz w:val="16"/>
                <w:szCs w:val="16"/>
                <w:lang w:eastAsia="tr-TR"/>
              </w:rPr>
              <w:t>Yeterli katkı sermaye bulunmaması halinde ilave ana sermayeden indirim yapılacak tutar (-)</w:t>
            </w:r>
          </w:p>
        </w:tc>
        <w:tc>
          <w:tcPr>
            <w:tcW w:w="1556" w:type="dxa"/>
            <w:tcBorders>
              <w:bottom w:val="single" w:sz="4" w:space="0" w:color="auto"/>
            </w:tcBorders>
            <w:shd w:val="clear" w:color="auto" w:fill="auto"/>
            <w:vAlign w:val="center"/>
            <w:hideMark/>
          </w:tcPr>
          <w:p w14:paraId="496CDC33" w14:textId="77777777" w:rsidR="000D5178" w:rsidRPr="00872D7E" w:rsidRDefault="000D5178" w:rsidP="000D5178">
            <w:pPr>
              <w:jc w:val="right"/>
              <w:rPr>
                <w:color w:val="000000"/>
                <w:sz w:val="16"/>
                <w:szCs w:val="16"/>
                <w:lang w:eastAsia="tr-TR"/>
              </w:rPr>
            </w:pPr>
            <w:r w:rsidRPr="00872D7E">
              <w:rPr>
                <w:color w:val="000000"/>
                <w:sz w:val="16"/>
                <w:szCs w:val="16"/>
                <w:lang w:eastAsia="tr-TR"/>
              </w:rPr>
              <w:t>-</w:t>
            </w:r>
          </w:p>
        </w:tc>
        <w:tc>
          <w:tcPr>
            <w:tcW w:w="1556" w:type="dxa"/>
            <w:tcBorders>
              <w:bottom w:val="single" w:sz="4" w:space="0" w:color="auto"/>
            </w:tcBorders>
            <w:shd w:val="clear" w:color="auto" w:fill="auto"/>
            <w:vAlign w:val="center"/>
            <w:hideMark/>
          </w:tcPr>
          <w:p w14:paraId="70486724" w14:textId="77777777" w:rsidR="000D5178" w:rsidRPr="00872D7E" w:rsidRDefault="000D5178" w:rsidP="000D5178">
            <w:pPr>
              <w:jc w:val="right"/>
              <w:rPr>
                <w:color w:val="000000"/>
                <w:sz w:val="16"/>
                <w:szCs w:val="16"/>
                <w:lang w:eastAsia="tr-TR"/>
              </w:rPr>
            </w:pPr>
            <w:r w:rsidRPr="00872D7E">
              <w:rPr>
                <w:color w:val="000000"/>
                <w:sz w:val="16"/>
                <w:szCs w:val="16"/>
                <w:lang w:eastAsia="tr-TR"/>
              </w:rPr>
              <w:t>-</w:t>
            </w:r>
          </w:p>
        </w:tc>
      </w:tr>
      <w:tr w:rsidR="000D5178" w:rsidRPr="00872D7E" w14:paraId="02868942"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2185AD75"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İlave ana sermayeden yapılan indirimler toplamı</w:t>
            </w:r>
          </w:p>
        </w:tc>
        <w:tc>
          <w:tcPr>
            <w:tcW w:w="1556" w:type="dxa"/>
            <w:tcBorders>
              <w:top w:val="single" w:sz="4" w:space="0" w:color="auto"/>
              <w:bottom w:val="single" w:sz="4" w:space="0" w:color="auto"/>
            </w:tcBorders>
            <w:shd w:val="clear" w:color="auto" w:fill="auto"/>
            <w:vAlign w:val="center"/>
            <w:hideMark/>
          </w:tcPr>
          <w:p w14:paraId="205C2697"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0A413478"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0FC5C13A"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7E4C5C26"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İlave Ana Sermaye Toplamı</w:t>
            </w:r>
          </w:p>
        </w:tc>
        <w:tc>
          <w:tcPr>
            <w:tcW w:w="1556" w:type="dxa"/>
            <w:tcBorders>
              <w:top w:val="single" w:sz="4" w:space="0" w:color="auto"/>
              <w:bottom w:val="single" w:sz="4" w:space="0" w:color="auto"/>
            </w:tcBorders>
            <w:shd w:val="clear" w:color="auto" w:fill="auto"/>
            <w:vAlign w:val="center"/>
            <w:hideMark/>
          </w:tcPr>
          <w:p w14:paraId="52782055"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657D3777"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03855A7E"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30927E40"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Ana Sermaye Toplamı (Ana Sermaye=Çekirdek Sermaye + İlave Ana Sermaye)</w:t>
            </w:r>
          </w:p>
        </w:tc>
        <w:tc>
          <w:tcPr>
            <w:tcW w:w="1556" w:type="dxa"/>
            <w:tcBorders>
              <w:top w:val="single" w:sz="4" w:space="0" w:color="auto"/>
              <w:bottom w:val="single" w:sz="4" w:space="0" w:color="auto"/>
            </w:tcBorders>
            <w:shd w:val="clear" w:color="auto" w:fill="auto"/>
            <w:vAlign w:val="center"/>
            <w:hideMark/>
          </w:tcPr>
          <w:p w14:paraId="7F022F38"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6.982.150</w:t>
            </w:r>
          </w:p>
        </w:tc>
        <w:tc>
          <w:tcPr>
            <w:tcW w:w="1556" w:type="dxa"/>
            <w:tcBorders>
              <w:top w:val="single" w:sz="4" w:space="0" w:color="auto"/>
              <w:bottom w:val="single" w:sz="4" w:space="0" w:color="auto"/>
            </w:tcBorders>
            <w:shd w:val="clear" w:color="auto" w:fill="auto"/>
            <w:vAlign w:val="center"/>
            <w:hideMark/>
          </w:tcPr>
          <w:p w14:paraId="11DA6C9C"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71.926</w:t>
            </w:r>
          </w:p>
        </w:tc>
      </w:tr>
      <w:tr w:rsidR="000D5178" w:rsidRPr="00872D7E" w14:paraId="5DDE20A5"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2DED41A2"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KATKI SERMAYE</w:t>
            </w:r>
          </w:p>
        </w:tc>
        <w:tc>
          <w:tcPr>
            <w:tcW w:w="1556" w:type="dxa"/>
            <w:tcBorders>
              <w:top w:val="single" w:sz="4" w:space="0" w:color="auto"/>
              <w:bottom w:val="single" w:sz="4" w:space="0" w:color="auto"/>
            </w:tcBorders>
            <w:shd w:val="clear" w:color="auto" w:fill="auto"/>
            <w:noWrap/>
            <w:vAlign w:val="bottom"/>
            <w:hideMark/>
          </w:tcPr>
          <w:p w14:paraId="01FB9DA0"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 </w:t>
            </w:r>
          </w:p>
        </w:tc>
        <w:tc>
          <w:tcPr>
            <w:tcW w:w="1556" w:type="dxa"/>
            <w:tcBorders>
              <w:top w:val="single" w:sz="4" w:space="0" w:color="auto"/>
              <w:bottom w:val="single" w:sz="4" w:space="0" w:color="auto"/>
            </w:tcBorders>
            <w:shd w:val="clear" w:color="auto" w:fill="auto"/>
            <w:noWrap/>
            <w:vAlign w:val="bottom"/>
            <w:hideMark/>
          </w:tcPr>
          <w:p w14:paraId="2CDAB853"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 </w:t>
            </w:r>
          </w:p>
        </w:tc>
      </w:tr>
      <w:tr w:rsidR="000D5178" w:rsidRPr="00872D7E" w14:paraId="2E504AAC" w14:textId="77777777" w:rsidTr="009213E5">
        <w:trPr>
          <w:divId w:val="69697369"/>
          <w:trHeight w:val="170"/>
        </w:trPr>
        <w:tc>
          <w:tcPr>
            <w:tcW w:w="6663" w:type="dxa"/>
            <w:tcBorders>
              <w:top w:val="single" w:sz="4" w:space="0" w:color="auto"/>
            </w:tcBorders>
            <w:shd w:val="clear" w:color="auto" w:fill="auto"/>
            <w:vAlign w:val="center"/>
            <w:hideMark/>
          </w:tcPr>
          <w:p w14:paraId="2D973847" w14:textId="77777777" w:rsidR="000D5178" w:rsidRPr="00872D7E" w:rsidRDefault="000D5178" w:rsidP="000D5178">
            <w:pPr>
              <w:rPr>
                <w:color w:val="000000"/>
                <w:sz w:val="16"/>
                <w:szCs w:val="16"/>
                <w:lang w:eastAsia="tr-TR"/>
              </w:rPr>
            </w:pPr>
            <w:r w:rsidRPr="00872D7E">
              <w:rPr>
                <w:color w:val="000000"/>
                <w:sz w:val="16"/>
                <w:szCs w:val="16"/>
                <w:lang w:eastAsia="tr-TR"/>
              </w:rPr>
              <w:t>Kurumca uygun görülen borçlanma araçları ve bunlara ilişkin ihraç primleri</w:t>
            </w:r>
          </w:p>
        </w:tc>
        <w:tc>
          <w:tcPr>
            <w:tcW w:w="1556" w:type="dxa"/>
            <w:tcBorders>
              <w:top w:val="single" w:sz="4" w:space="0" w:color="auto"/>
            </w:tcBorders>
            <w:shd w:val="clear" w:color="auto" w:fill="auto"/>
            <w:vAlign w:val="center"/>
            <w:hideMark/>
          </w:tcPr>
          <w:p w14:paraId="1D56C992" w14:textId="77777777" w:rsidR="000D5178" w:rsidRPr="00872D7E" w:rsidRDefault="000D5178" w:rsidP="000D5178">
            <w:pPr>
              <w:jc w:val="right"/>
              <w:rPr>
                <w:color w:val="000000"/>
                <w:sz w:val="16"/>
                <w:szCs w:val="16"/>
                <w:lang w:eastAsia="tr-TR"/>
              </w:rPr>
            </w:pPr>
            <w:r w:rsidRPr="00872D7E">
              <w:rPr>
                <w:color w:val="000000"/>
                <w:sz w:val="16"/>
                <w:szCs w:val="16"/>
                <w:lang w:eastAsia="tr-TR"/>
              </w:rPr>
              <w:t>-</w:t>
            </w:r>
          </w:p>
        </w:tc>
        <w:tc>
          <w:tcPr>
            <w:tcW w:w="1556" w:type="dxa"/>
            <w:tcBorders>
              <w:top w:val="single" w:sz="4" w:space="0" w:color="auto"/>
            </w:tcBorders>
            <w:shd w:val="clear" w:color="auto" w:fill="auto"/>
            <w:vAlign w:val="center"/>
            <w:hideMark/>
          </w:tcPr>
          <w:p w14:paraId="257FAE59" w14:textId="77777777" w:rsidR="000D5178" w:rsidRPr="00872D7E" w:rsidRDefault="000D5178" w:rsidP="000D5178">
            <w:pPr>
              <w:jc w:val="right"/>
              <w:rPr>
                <w:color w:val="000000"/>
                <w:sz w:val="16"/>
                <w:szCs w:val="16"/>
                <w:lang w:eastAsia="tr-TR"/>
              </w:rPr>
            </w:pPr>
            <w:r w:rsidRPr="00872D7E">
              <w:rPr>
                <w:color w:val="000000"/>
                <w:sz w:val="16"/>
                <w:szCs w:val="16"/>
                <w:lang w:eastAsia="tr-TR"/>
              </w:rPr>
              <w:t>500.000</w:t>
            </w:r>
          </w:p>
        </w:tc>
      </w:tr>
      <w:tr w:rsidR="000D5178" w:rsidRPr="00872D7E" w14:paraId="43FEAC33" w14:textId="77777777" w:rsidTr="009213E5">
        <w:trPr>
          <w:divId w:val="69697369"/>
          <w:trHeight w:val="170"/>
        </w:trPr>
        <w:tc>
          <w:tcPr>
            <w:tcW w:w="6663" w:type="dxa"/>
            <w:shd w:val="clear" w:color="auto" w:fill="auto"/>
            <w:vAlign w:val="center"/>
            <w:hideMark/>
          </w:tcPr>
          <w:p w14:paraId="594D871E" w14:textId="77777777" w:rsidR="000D5178" w:rsidRPr="00872D7E" w:rsidRDefault="000D5178" w:rsidP="000D5178">
            <w:pPr>
              <w:rPr>
                <w:color w:val="000000"/>
                <w:sz w:val="16"/>
                <w:szCs w:val="16"/>
                <w:lang w:eastAsia="tr-TR"/>
              </w:rPr>
            </w:pPr>
            <w:r w:rsidRPr="00872D7E">
              <w:rPr>
                <w:color w:val="000000"/>
                <w:sz w:val="16"/>
                <w:szCs w:val="16"/>
                <w:lang w:eastAsia="tr-TR"/>
              </w:rPr>
              <w:t>Kurumca uygun görülen borçlanma araçları ve bunlara ilişkin ihraç primleri (Geçici Madde 4 kapsamında olanlar)</w:t>
            </w:r>
          </w:p>
        </w:tc>
        <w:tc>
          <w:tcPr>
            <w:tcW w:w="1556" w:type="dxa"/>
            <w:shd w:val="clear" w:color="auto" w:fill="auto"/>
            <w:vAlign w:val="center"/>
            <w:hideMark/>
          </w:tcPr>
          <w:p w14:paraId="0E45738D" w14:textId="77777777" w:rsidR="000D5178" w:rsidRPr="00872D7E" w:rsidRDefault="000D5178" w:rsidP="000D5178">
            <w:pPr>
              <w:jc w:val="right"/>
              <w:rPr>
                <w:color w:val="000000"/>
                <w:sz w:val="16"/>
                <w:szCs w:val="16"/>
                <w:lang w:eastAsia="tr-TR"/>
              </w:rPr>
            </w:pPr>
            <w:r w:rsidRPr="00872D7E">
              <w:rPr>
                <w:color w:val="000000"/>
                <w:sz w:val="16"/>
                <w:szCs w:val="16"/>
                <w:lang w:eastAsia="tr-TR"/>
              </w:rPr>
              <w:t>-</w:t>
            </w:r>
          </w:p>
        </w:tc>
        <w:tc>
          <w:tcPr>
            <w:tcW w:w="1556" w:type="dxa"/>
            <w:shd w:val="clear" w:color="auto" w:fill="auto"/>
            <w:vAlign w:val="center"/>
            <w:hideMark/>
          </w:tcPr>
          <w:p w14:paraId="196EA00C" w14:textId="77777777" w:rsidR="000D5178" w:rsidRPr="00872D7E" w:rsidRDefault="000D5178" w:rsidP="000D5178">
            <w:pPr>
              <w:jc w:val="right"/>
              <w:rPr>
                <w:color w:val="000000"/>
                <w:sz w:val="16"/>
                <w:szCs w:val="16"/>
                <w:lang w:eastAsia="tr-TR"/>
              </w:rPr>
            </w:pPr>
            <w:r w:rsidRPr="00872D7E">
              <w:rPr>
                <w:color w:val="000000"/>
                <w:sz w:val="16"/>
                <w:szCs w:val="16"/>
                <w:lang w:eastAsia="tr-TR"/>
              </w:rPr>
              <w:t>-</w:t>
            </w:r>
          </w:p>
        </w:tc>
      </w:tr>
      <w:tr w:rsidR="000D5178" w:rsidRPr="00872D7E" w14:paraId="50EEB64B" w14:textId="77777777" w:rsidTr="009213E5">
        <w:trPr>
          <w:divId w:val="69697369"/>
          <w:trHeight w:val="170"/>
        </w:trPr>
        <w:tc>
          <w:tcPr>
            <w:tcW w:w="6663" w:type="dxa"/>
            <w:tcBorders>
              <w:bottom w:val="single" w:sz="4" w:space="0" w:color="auto"/>
            </w:tcBorders>
            <w:shd w:val="clear" w:color="auto" w:fill="auto"/>
            <w:vAlign w:val="center"/>
            <w:hideMark/>
          </w:tcPr>
          <w:p w14:paraId="1C20F114" w14:textId="77777777" w:rsidR="000D5178" w:rsidRPr="00872D7E" w:rsidRDefault="000D5178" w:rsidP="000D5178">
            <w:pPr>
              <w:rPr>
                <w:color w:val="000000"/>
                <w:sz w:val="16"/>
                <w:szCs w:val="16"/>
                <w:lang w:eastAsia="tr-TR"/>
              </w:rPr>
            </w:pPr>
            <w:r w:rsidRPr="00872D7E">
              <w:rPr>
                <w:color w:val="000000"/>
                <w:sz w:val="16"/>
                <w:szCs w:val="16"/>
                <w:lang w:eastAsia="tr-TR"/>
              </w:rPr>
              <w:t>Karşılıklar (Bankaların Özkaynaklarına İlişkin Yönetmeliğin 8 inci maddesinin birinci fıkrasında belirtilen tutarlar)</w:t>
            </w:r>
          </w:p>
        </w:tc>
        <w:tc>
          <w:tcPr>
            <w:tcW w:w="1556" w:type="dxa"/>
            <w:tcBorders>
              <w:bottom w:val="single" w:sz="4" w:space="0" w:color="auto"/>
            </w:tcBorders>
            <w:shd w:val="clear" w:color="auto" w:fill="auto"/>
            <w:vAlign w:val="center"/>
            <w:hideMark/>
          </w:tcPr>
          <w:p w14:paraId="36CD49DC" w14:textId="77777777" w:rsidR="000D5178" w:rsidRPr="00872D7E" w:rsidRDefault="000D5178" w:rsidP="000D5178">
            <w:pPr>
              <w:jc w:val="right"/>
              <w:rPr>
                <w:color w:val="000000"/>
                <w:sz w:val="16"/>
                <w:szCs w:val="16"/>
                <w:lang w:eastAsia="tr-TR"/>
              </w:rPr>
            </w:pPr>
            <w:r w:rsidRPr="00872D7E">
              <w:rPr>
                <w:color w:val="000000"/>
                <w:sz w:val="16"/>
                <w:szCs w:val="16"/>
                <w:lang w:eastAsia="tr-TR"/>
              </w:rPr>
              <w:t>86.578</w:t>
            </w:r>
          </w:p>
        </w:tc>
        <w:tc>
          <w:tcPr>
            <w:tcW w:w="1556" w:type="dxa"/>
            <w:tcBorders>
              <w:bottom w:val="single" w:sz="4" w:space="0" w:color="auto"/>
            </w:tcBorders>
            <w:shd w:val="clear" w:color="auto" w:fill="auto"/>
            <w:vAlign w:val="center"/>
            <w:hideMark/>
          </w:tcPr>
          <w:p w14:paraId="7C973C3C" w14:textId="77777777" w:rsidR="000D5178" w:rsidRPr="00872D7E" w:rsidRDefault="000D5178" w:rsidP="000D5178">
            <w:pPr>
              <w:jc w:val="right"/>
              <w:rPr>
                <w:color w:val="000000"/>
                <w:sz w:val="16"/>
                <w:szCs w:val="16"/>
                <w:lang w:eastAsia="tr-TR"/>
              </w:rPr>
            </w:pPr>
            <w:r w:rsidRPr="00872D7E">
              <w:rPr>
                <w:color w:val="000000"/>
                <w:sz w:val="16"/>
                <w:szCs w:val="16"/>
                <w:lang w:eastAsia="tr-TR"/>
              </w:rPr>
              <w:t>88</w:t>
            </w:r>
          </w:p>
        </w:tc>
      </w:tr>
      <w:tr w:rsidR="000D5178" w:rsidRPr="00872D7E" w14:paraId="3755B665"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70D435AF"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İndirimler Öncesi Katkı Sermaye</w:t>
            </w:r>
          </w:p>
        </w:tc>
        <w:tc>
          <w:tcPr>
            <w:tcW w:w="1556" w:type="dxa"/>
            <w:tcBorders>
              <w:top w:val="single" w:sz="4" w:space="0" w:color="auto"/>
              <w:bottom w:val="single" w:sz="4" w:space="0" w:color="auto"/>
            </w:tcBorders>
            <w:shd w:val="clear" w:color="auto" w:fill="auto"/>
            <w:vAlign w:val="center"/>
            <w:hideMark/>
          </w:tcPr>
          <w:p w14:paraId="181C5DA2"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86.578</w:t>
            </w:r>
          </w:p>
        </w:tc>
        <w:tc>
          <w:tcPr>
            <w:tcW w:w="1556" w:type="dxa"/>
            <w:tcBorders>
              <w:top w:val="single" w:sz="4" w:space="0" w:color="auto"/>
              <w:bottom w:val="single" w:sz="4" w:space="0" w:color="auto"/>
            </w:tcBorders>
            <w:shd w:val="clear" w:color="auto" w:fill="auto"/>
            <w:vAlign w:val="center"/>
            <w:hideMark/>
          </w:tcPr>
          <w:p w14:paraId="1340C86D"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500.088</w:t>
            </w:r>
          </w:p>
        </w:tc>
      </w:tr>
      <w:tr w:rsidR="000D5178" w:rsidRPr="00872D7E" w14:paraId="12043F69"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6E430E64"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Katkı Sermayeden Yapılacak İndirimler</w:t>
            </w:r>
          </w:p>
        </w:tc>
        <w:tc>
          <w:tcPr>
            <w:tcW w:w="1556" w:type="dxa"/>
            <w:tcBorders>
              <w:top w:val="single" w:sz="4" w:space="0" w:color="auto"/>
              <w:bottom w:val="single" w:sz="4" w:space="0" w:color="auto"/>
            </w:tcBorders>
            <w:shd w:val="clear" w:color="auto" w:fill="auto"/>
            <w:vAlign w:val="center"/>
            <w:hideMark/>
          </w:tcPr>
          <w:p w14:paraId="1D8BFA08"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 </w:t>
            </w:r>
          </w:p>
        </w:tc>
        <w:tc>
          <w:tcPr>
            <w:tcW w:w="1556" w:type="dxa"/>
            <w:tcBorders>
              <w:top w:val="single" w:sz="4" w:space="0" w:color="auto"/>
              <w:bottom w:val="single" w:sz="4" w:space="0" w:color="auto"/>
            </w:tcBorders>
            <w:shd w:val="clear" w:color="auto" w:fill="auto"/>
            <w:vAlign w:val="center"/>
            <w:hideMark/>
          </w:tcPr>
          <w:p w14:paraId="1E03C75F"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 </w:t>
            </w:r>
          </w:p>
        </w:tc>
      </w:tr>
      <w:tr w:rsidR="000D5178" w:rsidRPr="00872D7E" w14:paraId="26B5E519" w14:textId="77777777" w:rsidTr="009213E5">
        <w:trPr>
          <w:divId w:val="69697369"/>
          <w:trHeight w:val="170"/>
        </w:trPr>
        <w:tc>
          <w:tcPr>
            <w:tcW w:w="6663" w:type="dxa"/>
            <w:tcBorders>
              <w:top w:val="single" w:sz="4" w:space="0" w:color="auto"/>
            </w:tcBorders>
            <w:shd w:val="clear" w:color="auto" w:fill="auto"/>
            <w:vAlign w:val="center"/>
            <w:hideMark/>
          </w:tcPr>
          <w:p w14:paraId="480165F4" w14:textId="77777777" w:rsidR="000D5178" w:rsidRPr="00872D7E" w:rsidRDefault="000D5178" w:rsidP="000D5178">
            <w:pPr>
              <w:rPr>
                <w:color w:val="000000"/>
                <w:sz w:val="16"/>
                <w:szCs w:val="16"/>
                <w:lang w:eastAsia="tr-TR"/>
              </w:rPr>
            </w:pPr>
            <w:r w:rsidRPr="00872D7E">
              <w:rPr>
                <w:color w:val="000000"/>
                <w:sz w:val="16"/>
                <w:szCs w:val="16"/>
                <w:lang w:eastAsia="tr-TR"/>
              </w:rPr>
              <w:t>Bankanın kendi katkı sermayesine yapmış olduğu doğrudan veya dolaylı yatırımlar (-)</w:t>
            </w:r>
          </w:p>
        </w:tc>
        <w:tc>
          <w:tcPr>
            <w:tcW w:w="1556" w:type="dxa"/>
            <w:tcBorders>
              <w:top w:val="single" w:sz="4" w:space="0" w:color="auto"/>
            </w:tcBorders>
            <w:shd w:val="clear" w:color="auto" w:fill="auto"/>
            <w:vAlign w:val="center"/>
            <w:hideMark/>
          </w:tcPr>
          <w:p w14:paraId="78B10E10"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top w:val="single" w:sz="4" w:space="0" w:color="auto"/>
            </w:tcBorders>
            <w:shd w:val="clear" w:color="auto" w:fill="auto"/>
            <w:vAlign w:val="center"/>
            <w:hideMark/>
          </w:tcPr>
          <w:p w14:paraId="3B758681"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1D7822FB" w14:textId="77777777" w:rsidTr="009213E5">
        <w:trPr>
          <w:divId w:val="69697369"/>
          <w:trHeight w:val="170"/>
        </w:trPr>
        <w:tc>
          <w:tcPr>
            <w:tcW w:w="6663" w:type="dxa"/>
            <w:shd w:val="clear" w:color="auto" w:fill="auto"/>
            <w:vAlign w:val="center"/>
            <w:hideMark/>
          </w:tcPr>
          <w:p w14:paraId="2B22A894" w14:textId="77777777" w:rsidR="000D5178" w:rsidRPr="00872D7E" w:rsidRDefault="000D5178" w:rsidP="000D5178">
            <w:pPr>
              <w:rPr>
                <w:color w:val="000000"/>
                <w:sz w:val="16"/>
                <w:szCs w:val="16"/>
                <w:lang w:eastAsia="tr-TR"/>
              </w:rPr>
            </w:pPr>
            <w:r w:rsidRPr="00872D7E">
              <w:rPr>
                <w:color w:val="000000"/>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556" w:type="dxa"/>
            <w:shd w:val="clear" w:color="auto" w:fill="auto"/>
            <w:vAlign w:val="center"/>
            <w:hideMark/>
          </w:tcPr>
          <w:p w14:paraId="6BAA0DF4"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center"/>
            <w:hideMark/>
          </w:tcPr>
          <w:p w14:paraId="75E641D3"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6B274B2F" w14:textId="77777777" w:rsidTr="009213E5">
        <w:trPr>
          <w:divId w:val="69697369"/>
          <w:trHeight w:val="170"/>
        </w:trPr>
        <w:tc>
          <w:tcPr>
            <w:tcW w:w="6663" w:type="dxa"/>
            <w:shd w:val="clear" w:color="auto" w:fill="auto"/>
            <w:vAlign w:val="center"/>
            <w:hideMark/>
          </w:tcPr>
          <w:p w14:paraId="24E2BD3E" w14:textId="77777777" w:rsidR="000D5178" w:rsidRPr="00872D7E" w:rsidRDefault="000D5178" w:rsidP="000D5178">
            <w:pPr>
              <w:rPr>
                <w:color w:val="000000"/>
                <w:sz w:val="16"/>
                <w:szCs w:val="16"/>
                <w:lang w:eastAsia="tr-TR"/>
              </w:rPr>
            </w:pPr>
            <w:r w:rsidRPr="00872D7E">
              <w:rPr>
                <w:color w:val="000000"/>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556" w:type="dxa"/>
            <w:shd w:val="clear" w:color="auto" w:fill="auto"/>
            <w:vAlign w:val="center"/>
            <w:hideMark/>
          </w:tcPr>
          <w:p w14:paraId="2982C6FF"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center"/>
            <w:hideMark/>
          </w:tcPr>
          <w:p w14:paraId="1918E574"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5E284316" w14:textId="77777777" w:rsidTr="009213E5">
        <w:trPr>
          <w:divId w:val="69697369"/>
          <w:trHeight w:val="170"/>
        </w:trPr>
        <w:tc>
          <w:tcPr>
            <w:tcW w:w="6663" w:type="dxa"/>
            <w:shd w:val="clear" w:color="auto" w:fill="auto"/>
            <w:vAlign w:val="center"/>
            <w:hideMark/>
          </w:tcPr>
          <w:p w14:paraId="5D7C452E" w14:textId="77777777" w:rsidR="000D5178" w:rsidRPr="00872D7E" w:rsidRDefault="000D5178" w:rsidP="000D5178">
            <w:pPr>
              <w:rPr>
                <w:color w:val="000000"/>
                <w:sz w:val="16"/>
                <w:szCs w:val="16"/>
                <w:lang w:eastAsia="tr-TR"/>
              </w:rPr>
            </w:pPr>
            <w:r w:rsidRPr="00872D7E">
              <w:rPr>
                <w:color w:val="000000"/>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556" w:type="dxa"/>
            <w:shd w:val="clear" w:color="auto" w:fill="auto"/>
            <w:vAlign w:val="center"/>
            <w:hideMark/>
          </w:tcPr>
          <w:p w14:paraId="0376E057"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center"/>
            <w:hideMark/>
          </w:tcPr>
          <w:p w14:paraId="028908EE"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2BE9FC20" w14:textId="77777777" w:rsidTr="009213E5">
        <w:trPr>
          <w:divId w:val="69697369"/>
          <w:trHeight w:val="170"/>
        </w:trPr>
        <w:tc>
          <w:tcPr>
            <w:tcW w:w="6663" w:type="dxa"/>
            <w:tcBorders>
              <w:bottom w:val="single" w:sz="4" w:space="0" w:color="auto"/>
            </w:tcBorders>
            <w:shd w:val="clear" w:color="auto" w:fill="auto"/>
            <w:vAlign w:val="center"/>
            <w:hideMark/>
          </w:tcPr>
          <w:p w14:paraId="49A29EC7" w14:textId="77777777" w:rsidR="000D5178" w:rsidRPr="00872D7E" w:rsidRDefault="000D5178" w:rsidP="000D5178">
            <w:pPr>
              <w:rPr>
                <w:color w:val="000000"/>
                <w:sz w:val="16"/>
                <w:szCs w:val="16"/>
                <w:lang w:eastAsia="tr-TR"/>
              </w:rPr>
            </w:pPr>
            <w:r w:rsidRPr="00872D7E">
              <w:rPr>
                <w:color w:val="000000"/>
                <w:sz w:val="16"/>
                <w:szCs w:val="16"/>
                <w:lang w:eastAsia="tr-TR"/>
              </w:rPr>
              <w:t>Kurulca belirlenecek diğer kalemler (-)</w:t>
            </w:r>
          </w:p>
        </w:tc>
        <w:tc>
          <w:tcPr>
            <w:tcW w:w="1556" w:type="dxa"/>
            <w:tcBorders>
              <w:bottom w:val="single" w:sz="4" w:space="0" w:color="auto"/>
            </w:tcBorders>
            <w:shd w:val="clear" w:color="auto" w:fill="auto"/>
            <w:vAlign w:val="center"/>
            <w:hideMark/>
          </w:tcPr>
          <w:p w14:paraId="7EB20577"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bottom w:val="single" w:sz="4" w:space="0" w:color="auto"/>
            </w:tcBorders>
            <w:shd w:val="clear" w:color="auto" w:fill="auto"/>
            <w:vAlign w:val="center"/>
            <w:hideMark/>
          </w:tcPr>
          <w:p w14:paraId="0E88A9E2"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038A6AD6"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4A7A13DE"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Katkı Sermayeden Yapılan İndirimler Toplamı</w:t>
            </w:r>
          </w:p>
        </w:tc>
        <w:tc>
          <w:tcPr>
            <w:tcW w:w="1556" w:type="dxa"/>
            <w:tcBorders>
              <w:top w:val="single" w:sz="4" w:space="0" w:color="auto"/>
              <w:bottom w:val="single" w:sz="4" w:space="0" w:color="auto"/>
            </w:tcBorders>
            <w:shd w:val="clear" w:color="auto" w:fill="auto"/>
            <w:vAlign w:val="center"/>
            <w:hideMark/>
          </w:tcPr>
          <w:p w14:paraId="485906FC"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1A6DDB80"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248D046A"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70314318"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Katkı Sermaye Toplamı</w:t>
            </w:r>
          </w:p>
        </w:tc>
        <w:tc>
          <w:tcPr>
            <w:tcW w:w="1556" w:type="dxa"/>
            <w:tcBorders>
              <w:top w:val="single" w:sz="4" w:space="0" w:color="auto"/>
              <w:bottom w:val="single" w:sz="4" w:space="0" w:color="auto"/>
            </w:tcBorders>
            <w:shd w:val="clear" w:color="auto" w:fill="auto"/>
            <w:vAlign w:val="center"/>
            <w:hideMark/>
          </w:tcPr>
          <w:p w14:paraId="2CE7E821"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86.578</w:t>
            </w:r>
          </w:p>
        </w:tc>
        <w:tc>
          <w:tcPr>
            <w:tcW w:w="1556" w:type="dxa"/>
            <w:tcBorders>
              <w:top w:val="single" w:sz="4" w:space="0" w:color="auto"/>
              <w:bottom w:val="single" w:sz="4" w:space="0" w:color="auto"/>
            </w:tcBorders>
            <w:shd w:val="clear" w:color="auto" w:fill="auto"/>
            <w:vAlign w:val="center"/>
            <w:hideMark/>
          </w:tcPr>
          <w:p w14:paraId="57C10FEE"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500.088</w:t>
            </w:r>
          </w:p>
        </w:tc>
      </w:tr>
      <w:tr w:rsidR="000D5178" w:rsidRPr="00872D7E" w14:paraId="7EFD6922"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50EF2003"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Toplam Özkaynak (Ana Sermaye ve Katkı Sermaye Toplamı)</w:t>
            </w:r>
          </w:p>
        </w:tc>
        <w:tc>
          <w:tcPr>
            <w:tcW w:w="1556" w:type="dxa"/>
            <w:tcBorders>
              <w:top w:val="single" w:sz="4" w:space="0" w:color="auto"/>
              <w:bottom w:val="single" w:sz="4" w:space="0" w:color="auto"/>
            </w:tcBorders>
            <w:shd w:val="clear" w:color="auto" w:fill="auto"/>
            <w:vAlign w:val="center"/>
            <w:hideMark/>
          </w:tcPr>
          <w:p w14:paraId="00ABF433"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7.068.728</w:t>
            </w:r>
          </w:p>
        </w:tc>
        <w:tc>
          <w:tcPr>
            <w:tcW w:w="1556" w:type="dxa"/>
            <w:tcBorders>
              <w:top w:val="single" w:sz="4" w:space="0" w:color="auto"/>
              <w:bottom w:val="single" w:sz="4" w:space="0" w:color="auto"/>
            </w:tcBorders>
            <w:shd w:val="clear" w:color="auto" w:fill="auto"/>
            <w:vAlign w:val="center"/>
            <w:hideMark/>
          </w:tcPr>
          <w:p w14:paraId="5FC40B96"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572.014</w:t>
            </w:r>
          </w:p>
        </w:tc>
      </w:tr>
      <w:tr w:rsidR="000D5178" w:rsidRPr="00872D7E" w14:paraId="24CA1D47" w14:textId="77777777" w:rsidTr="009213E5">
        <w:trPr>
          <w:divId w:val="69697369"/>
          <w:trHeight w:val="170"/>
        </w:trPr>
        <w:tc>
          <w:tcPr>
            <w:tcW w:w="6663" w:type="dxa"/>
            <w:tcBorders>
              <w:top w:val="single" w:sz="4" w:space="0" w:color="auto"/>
              <w:bottom w:val="single" w:sz="4" w:space="0" w:color="auto"/>
            </w:tcBorders>
            <w:shd w:val="clear" w:color="auto" w:fill="auto"/>
            <w:vAlign w:val="center"/>
            <w:hideMark/>
          </w:tcPr>
          <w:p w14:paraId="5AB73B61"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Ana Sermaye ve Katkı Sermaye Toplamı (Toplam Özkaynak)</w:t>
            </w:r>
          </w:p>
        </w:tc>
        <w:tc>
          <w:tcPr>
            <w:tcW w:w="1556" w:type="dxa"/>
            <w:tcBorders>
              <w:top w:val="single" w:sz="4" w:space="0" w:color="auto"/>
              <w:bottom w:val="single" w:sz="4" w:space="0" w:color="auto"/>
            </w:tcBorders>
            <w:shd w:val="clear" w:color="auto" w:fill="auto"/>
            <w:vAlign w:val="center"/>
            <w:hideMark/>
          </w:tcPr>
          <w:p w14:paraId="426DE629"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 </w:t>
            </w:r>
          </w:p>
        </w:tc>
        <w:tc>
          <w:tcPr>
            <w:tcW w:w="1556" w:type="dxa"/>
            <w:tcBorders>
              <w:top w:val="single" w:sz="4" w:space="0" w:color="auto"/>
              <w:bottom w:val="single" w:sz="4" w:space="0" w:color="auto"/>
            </w:tcBorders>
            <w:shd w:val="clear" w:color="auto" w:fill="auto"/>
            <w:vAlign w:val="center"/>
            <w:hideMark/>
          </w:tcPr>
          <w:p w14:paraId="0D237848"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 </w:t>
            </w:r>
          </w:p>
        </w:tc>
      </w:tr>
      <w:tr w:rsidR="000D5178" w:rsidRPr="00872D7E" w14:paraId="515CD577" w14:textId="77777777" w:rsidTr="009213E5">
        <w:trPr>
          <w:divId w:val="69697369"/>
          <w:trHeight w:val="170"/>
        </w:trPr>
        <w:tc>
          <w:tcPr>
            <w:tcW w:w="6663" w:type="dxa"/>
            <w:tcBorders>
              <w:top w:val="single" w:sz="4" w:space="0" w:color="auto"/>
            </w:tcBorders>
            <w:shd w:val="clear" w:color="auto" w:fill="auto"/>
            <w:vAlign w:val="center"/>
            <w:hideMark/>
          </w:tcPr>
          <w:p w14:paraId="78D1EC54" w14:textId="77777777" w:rsidR="000D5178" w:rsidRPr="00872D7E" w:rsidRDefault="000D5178" w:rsidP="000D5178">
            <w:pPr>
              <w:rPr>
                <w:color w:val="000000"/>
                <w:sz w:val="16"/>
                <w:szCs w:val="16"/>
                <w:lang w:eastAsia="tr-TR"/>
              </w:rPr>
            </w:pPr>
            <w:r w:rsidRPr="00872D7E">
              <w:rPr>
                <w:color w:val="000000"/>
                <w:sz w:val="16"/>
                <w:szCs w:val="16"/>
                <w:lang w:eastAsia="tr-TR"/>
              </w:rPr>
              <w:t>Kanunun 50 ve 51 inci maddeleri hükümlerine aykırı olarak kullandırılan krediler</w:t>
            </w:r>
          </w:p>
        </w:tc>
        <w:tc>
          <w:tcPr>
            <w:tcW w:w="1556" w:type="dxa"/>
            <w:tcBorders>
              <w:top w:val="single" w:sz="4" w:space="0" w:color="auto"/>
            </w:tcBorders>
            <w:shd w:val="clear" w:color="auto" w:fill="auto"/>
            <w:vAlign w:val="center"/>
            <w:hideMark/>
          </w:tcPr>
          <w:p w14:paraId="286453EB"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top w:val="single" w:sz="4" w:space="0" w:color="auto"/>
            </w:tcBorders>
            <w:shd w:val="clear" w:color="auto" w:fill="auto"/>
            <w:vAlign w:val="center"/>
            <w:hideMark/>
          </w:tcPr>
          <w:p w14:paraId="2BF42C86"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341EE198" w14:textId="77777777" w:rsidTr="009213E5">
        <w:trPr>
          <w:divId w:val="69697369"/>
          <w:trHeight w:val="170"/>
        </w:trPr>
        <w:tc>
          <w:tcPr>
            <w:tcW w:w="6663" w:type="dxa"/>
            <w:shd w:val="clear" w:color="auto" w:fill="auto"/>
            <w:vAlign w:val="center"/>
            <w:hideMark/>
          </w:tcPr>
          <w:p w14:paraId="71760653" w14:textId="77777777" w:rsidR="000D5178" w:rsidRPr="00872D7E" w:rsidRDefault="000D5178" w:rsidP="000D5178">
            <w:pPr>
              <w:rPr>
                <w:color w:val="000000"/>
                <w:sz w:val="16"/>
                <w:szCs w:val="16"/>
                <w:lang w:eastAsia="tr-TR"/>
              </w:rPr>
            </w:pPr>
            <w:r w:rsidRPr="00872D7E">
              <w:rPr>
                <w:color w:val="000000"/>
                <w:sz w:val="16"/>
                <w:szCs w:val="16"/>
                <w:lang w:eastAsia="tr-TR"/>
              </w:rPr>
              <w:t xml:space="preserve">Kanunun </w:t>
            </w:r>
            <w:proofErr w:type="gramStart"/>
            <w:r w:rsidRPr="00872D7E">
              <w:rPr>
                <w:color w:val="000000"/>
                <w:sz w:val="16"/>
                <w:szCs w:val="16"/>
                <w:lang w:eastAsia="tr-TR"/>
              </w:rPr>
              <w:t>57 nci</w:t>
            </w:r>
            <w:proofErr w:type="gramEnd"/>
            <w:r w:rsidRPr="00872D7E">
              <w:rPr>
                <w:color w:val="000000"/>
                <w:sz w:val="16"/>
                <w:szCs w:val="16"/>
                <w:lang w:eastAsia="tr-TR"/>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556" w:type="dxa"/>
            <w:shd w:val="clear" w:color="auto" w:fill="auto"/>
            <w:vAlign w:val="center"/>
            <w:hideMark/>
          </w:tcPr>
          <w:p w14:paraId="57DDA506"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center"/>
            <w:hideMark/>
          </w:tcPr>
          <w:p w14:paraId="6D10AF38"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r w:rsidR="000D5178" w:rsidRPr="00872D7E" w14:paraId="6B37DD48" w14:textId="77777777" w:rsidTr="009213E5">
        <w:trPr>
          <w:divId w:val="69697369"/>
          <w:trHeight w:val="170"/>
        </w:trPr>
        <w:tc>
          <w:tcPr>
            <w:tcW w:w="6663" w:type="dxa"/>
            <w:tcBorders>
              <w:bottom w:val="single" w:sz="4" w:space="0" w:color="auto"/>
            </w:tcBorders>
            <w:shd w:val="clear" w:color="auto" w:fill="auto"/>
            <w:vAlign w:val="center"/>
            <w:hideMark/>
          </w:tcPr>
          <w:p w14:paraId="1FC14D93" w14:textId="77777777" w:rsidR="000D5178" w:rsidRPr="00872D7E" w:rsidRDefault="000D5178" w:rsidP="000D5178">
            <w:pPr>
              <w:rPr>
                <w:color w:val="000000"/>
                <w:sz w:val="16"/>
                <w:szCs w:val="16"/>
                <w:lang w:eastAsia="tr-TR"/>
              </w:rPr>
            </w:pPr>
            <w:r w:rsidRPr="00872D7E">
              <w:rPr>
                <w:color w:val="000000"/>
                <w:sz w:val="16"/>
                <w:szCs w:val="16"/>
                <w:lang w:eastAsia="tr-TR"/>
              </w:rPr>
              <w:t xml:space="preserve">Kurulca belirlenecek diğer hesaplar </w:t>
            </w:r>
          </w:p>
        </w:tc>
        <w:tc>
          <w:tcPr>
            <w:tcW w:w="1556" w:type="dxa"/>
            <w:tcBorders>
              <w:bottom w:val="single" w:sz="4" w:space="0" w:color="auto"/>
            </w:tcBorders>
            <w:shd w:val="clear" w:color="auto" w:fill="auto"/>
            <w:vAlign w:val="center"/>
            <w:hideMark/>
          </w:tcPr>
          <w:p w14:paraId="55C9D392"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c>
          <w:tcPr>
            <w:tcW w:w="1556" w:type="dxa"/>
            <w:tcBorders>
              <w:bottom w:val="single" w:sz="4" w:space="0" w:color="auto"/>
            </w:tcBorders>
            <w:shd w:val="clear" w:color="auto" w:fill="auto"/>
            <w:vAlign w:val="center"/>
            <w:hideMark/>
          </w:tcPr>
          <w:p w14:paraId="3AC679B5" w14:textId="77777777" w:rsidR="000D5178" w:rsidRPr="00872D7E" w:rsidRDefault="000D5178" w:rsidP="000D5178">
            <w:pPr>
              <w:jc w:val="right"/>
              <w:rPr>
                <w:b/>
                <w:bCs/>
                <w:color w:val="000000"/>
                <w:sz w:val="16"/>
                <w:szCs w:val="16"/>
                <w:lang w:eastAsia="tr-TR"/>
              </w:rPr>
            </w:pPr>
            <w:r w:rsidRPr="00872D7E">
              <w:rPr>
                <w:b/>
                <w:bCs/>
                <w:color w:val="000000"/>
                <w:sz w:val="16"/>
                <w:szCs w:val="16"/>
                <w:lang w:eastAsia="tr-TR"/>
              </w:rPr>
              <w:t>-</w:t>
            </w:r>
          </w:p>
        </w:tc>
      </w:tr>
    </w:tbl>
    <w:p w14:paraId="7743F417" w14:textId="683EE3C1" w:rsidR="00993539" w:rsidRPr="00872D7E" w:rsidRDefault="00993539" w:rsidP="00C838D9"/>
    <w:p w14:paraId="3C0D8321" w14:textId="77777777" w:rsidR="00993539" w:rsidRPr="00872D7E" w:rsidRDefault="00993539">
      <w:r w:rsidRPr="00872D7E">
        <w:br w:type="page"/>
      </w:r>
    </w:p>
    <w:p w14:paraId="5797F9FE" w14:textId="04F8136A" w:rsidR="00451EE9" w:rsidRPr="00872D7E" w:rsidRDefault="00451EE9" w:rsidP="00C838D9">
      <w:pPr>
        <w:rPr>
          <w:b/>
          <w:szCs w:val="20"/>
        </w:rPr>
      </w:pPr>
      <w:r w:rsidRPr="00872D7E">
        <w:rPr>
          <w:b/>
          <w:szCs w:val="20"/>
        </w:rPr>
        <w:lastRenderedPageBreak/>
        <w:t>MALİ BÜNYEYE VE RİSK YÖNETİMİNE İLİŞKİN BİLGİLER (Devamı)</w:t>
      </w:r>
    </w:p>
    <w:p w14:paraId="7C5E5B23" w14:textId="77777777" w:rsidR="00451EE9" w:rsidRPr="00872D7E" w:rsidRDefault="00451EE9" w:rsidP="00451EE9">
      <w:pPr>
        <w:pStyle w:val="ListParagraph"/>
        <w:widowControl w:val="0"/>
        <w:ind w:left="851"/>
        <w:jc w:val="both"/>
        <w:rPr>
          <w:b/>
          <w:szCs w:val="20"/>
        </w:rPr>
      </w:pPr>
    </w:p>
    <w:p w14:paraId="4ADB5410" w14:textId="1117C74D" w:rsidR="00451EE9" w:rsidRPr="00872D7E" w:rsidRDefault="00E009D9" w:rsidP="00DF282B">
      <w:pPr>
        <w:pStyle w:val="ListParagraph"/>
        <w:widowControl w:val="0"/>
        <w:numPr>
          <w:ilvl w:val="0"/>
          <w:numId w:val="46"/>
        </w:numPr>
        <w:ind w:left="851" w:hanging="851"/>
        <w:jc w:val="both"/>
        <w:rPr>
          <w:b/>
          <w:szCs w:val="20"/>
        </w:rPr>
      </w:pPr>
      <w:r w:rsidRPr="00872D7E">
        <w:rPr>
          <w:b/>
          <w:szCs w:val="20"/>
        </w:rPr>
        <w:t>ÖZKAYNAK KALEMLERİNE İLİŞKİN AÇIKLAMALAR</w:t>
      </w:r>
      <w:r w:rsidR="00451EE9" w:rsidRPr="00872D7E">
        <w:rPr>
          <w:b/>
          <w:szCs w:val="20"/>
        </w:rPr>
        <w:t xml:space="preserve"> (Devamı):</w:t>
      </w:r>
    </w:p>
    <w:p w14:paraId="5B34B783" w14:textId="77777777" w:rsidR="00451EE9" w:rsidRPr="00872D7E" w:rsidRDefault="00451EE9" w:rsidP="00451EE9">
      <w:pPr>
        <w:widowControl w:val="0"/>
        <w:ind w:left="-567"/>
        <w:jc w:val="both"/>
        <w:rPr>
          <w:b/>
          <w:szCs w:val="20"/>
        </w:rPr>
      </w:pPr>
    </w:p>
    <w:p w14:paraId="1071044B" w14:textId="77777777" w:rsidR="00451EE9" w:rsidRPr="00872D7E" w:rsidRDefault="00451EE9" w:rsidP="00DF282B">
      <w:pPr>
        <w:pStyle w:val="ListParagraph"/>
        <w:widowControl w:val="0"/>
        <w:numPr>
          <w:ilvl w:val="0"/>
          <w:numId w:val="47"/>
        </w:numPr>
        <w:ind w:left="1276" w:hanging="425"/>
        <w:jc w:val="both"/>
        <w:rPr>
          <w:b/>
          <w:szCs w:val="20"/>
        </w:rPr>
      </w:pPr>
      <w:r w:rsidRPr="00872D7E">
        <w:rPr>
          <w:b/>
          <w:szCs w:val="20"/>
        </w:rPr>
        <w:t>Özkaynak kalemlerine ilişkin bilgiler (Devamı):</w:t>
      </w:r>
    </w:p>
    <w:p w14:paraId="3D66FABB" w14:textId="561E6CC0" w:rsidR="000D5178" w:rsidRPr="00872D7E" w:rsidRDefault="000D5178" w:rsidP="008B6ADA"/>
    <w:tbl>
      <w:tblPr>
        <w:tblW w:w="9775" w:type="dxa"/>
        <w:tblCellMar>
          <w:left w:w="70" w:type="dxa"/>
          <w:right w:w="70" w:type="dxa"/>
        </w:tblCellMar>
        <w:tblLook w:val="04A0" w:firstRow="1" w:lastRow="0" w:firstColumn="1" w:lastColumn="0" w:noHBand="0" w:noVBand="1"/>
      </w:tblPr>
      <w:tblGrid>
        <w:gridCol w:w="6663"/>
        <w:gridCol w:w="1556"/>
        <w:gridCol w:w="1556"/>
      </w:tblGrid>
      <w:tr w:rsidR="000D5178" w:rsidRPr="00872D7E" w14:paraId="785AB8AC" w14:textId="77777777" w:rsidTr="009213E5">
        <w:trPr>
          <w:divId w:val="1325159991"/>
          <w:trHeight w:val="170"/>
        </w:trPr>
        <w:tc>
          <w:tcPr>
            <w:tcW w:w="6663" w:type="dxa"/>
            <w:shd w:val="clear" w:color="auto" w:fill="auto"/>
            <w:noWrap/>
            <w:vAlign w:val="bottom"/>
            <w:hideMark/>
          </w:tcPr>
          <w:p w14:paraId="1B3B421D" w14:textId="74D8D4C2" w:rsidR="000D5178" w:rsidRPr="00872D7E" w:rsidRDefault="000D5178" w:rsidP="000D5178">
            <w:pPr>
              <w:rPr>
                <w:sz w:val="16"/>
                <w:szCs w:val="16"/>
                <w:lang w:eastAsia="tr-TR"/>
              </w:rPr>
            </w:pPr>
          </w:p>
        </w:tc>
        <w:tc>
          <w:tcPr>
            <w:tcW w:w="1556" w:type="dxa"/>
            <w:shd w:val="clear" w:color="auto" w:fill="auto"/>
            <w:noWrap/>
            <w:vAlign w:val="bottom"/>
            <w:hideMark/>
          </w:tcPr>
          <w:p w14:paraId="4B6418E4"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31 Aralık 2024</w:t>
            </w:r>
          </w:p>
        </w:tc>
        <w:tc>
          <w:tcPr>
            <w:tcW w:w="1556" w:type="dxa"/>
            <w:shd w:val="clear" w:color="auto" w:fill="auto"/>
            <w:noWrap/>
            <w:vAlign w:val="bottom"/>
            <w:hideMark/>
          </w:tcPr>
          <w:p w14:paraId="5A1BD22C"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1 Ocak 2024</w:t>
            </w:r>
          </w:p>
        </w:tc>
      </w:tr>
      <w:tr w:rsidR="000D5178" w:rsidRPr="00872D7E" w14:paraId="7976359C" w14:textId="77777777" w:rsidTr="009213E5">
        <w:trPr>
          <w:divId w:val="1325159991"/>
          <w:trHeight w:val="170"/>
        </w:trPr>
        <w:tc>
          <w:tcPr>
            <w:tcW w:w="6663" w:type="dxa"/>
            <w:tcBorders>
              <w:bottom w:val="single" w:sz="4" w:space="0" w:color="auto"/>
            </w:tcBorders>
            <w:shd w:val="clear" w:color="auto" w:fill="auto"/>
            <w:vAlign w:val="center"/>
            <w:hideMark/>
          </w:tcPr>
          <w:p w14:paraId="4B6BA4C1"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Geçiş Sürecinde Ana Sermaye ve Katkı Sermaye Toplamından (Sermayeden) İndirilmeye Devam Edecek Unsurlar</w:t>
            </w:r>
          </w:p>
        </w:tc>
        <w:tc>
          <w:tcPr>
            <w:tcW w:w="1556" w:type="dxa"/>
            <w:tcBorders>
              <w:bottom w:val="single" w:sz="4" w:space="0" w:color="auto"/>
            </w:tcBorders>
            <w:shd w:val="clear" w:color="auto" w:fill="auto"/>
            <w:noWrap/>
            <w:vAlign w:val="bottom"/>
            <w:hideMark/>
          </w:tcPr>
          <w:p w14:paraId="7B9C6D21" w14:textId="037B33D1" w:rsidR="000D5178" w:rsidRPr="00872D7E" w:rsidRDefault="000D5178" w:rsidP="009213E5">
            <w:pPr>
              <w:jc w:val="right"/>
              <w:rPr>
                <w:b/>
                <w:bCs/>
                <w:color w:val="000000"/>
                <w:sz w:val="16"/>
                <w:szCs w:val="16"/>
                <w:lang w:eastAsia="tr-TR"/>
              </w:rPr>
            </w:pPr>
          </w:p>
        </w:tc>
        <w:tc>
          <w:tcPr>
            <w:tcW w:w="1556" w:type="dxa"/>
            <w:tcBorders>
              <w:bottom w:val="single" w:sz="4" w:space="0" w:color="auto"/>
            </w:tcBorders>
            <w:shd w:val="clear" w:color="auto" w:fill="auto"/>
            <w:noWrap/>
            <w:vAlign w:val="bottom"/>
            <w:hideMark/>
          </w:tcPr>
          <w:p w14:paraId="3B139635" w14:textId="287F8044" w:rsidR="000D5178" w:rsidRPr="00872D7E" w:rsidRDefault="000D5178" w:rsidP="009213E5">
            <w:pPr>
              <w:jc w:val="right"/>
              <w:rPr>
                <w:b/>
                <w:bCs/>
                <w:color w:val="000000"/>
                <w:sz w:val="16"/>
                <w:szCs w:val="16"/>
                <w:lang w:eastAsia="tr-TR"/>
              </w:rPr>
            </w:pPr>
          </w:p>
        </w:tc>
      </w:tr>
      <w:tr w:rsidR="000D5178" w:rsidRPr="00872D7E" w14:paraId="7180BB22" w14:textId="77777777" w:rsidTr="009213E5">
        <w:trPr>
          <w:divId w:val="1325159991"/>
          <w:trHeight w:val="170"/>
        </w:trPr>
        <w:tc>
          <w:tcPr>
            <w:tcW w:w="6663" w:type="dxa"/>
            <w:tcBorders>
              <w:top w:val="single" w:sz="4" w:space="0" w:color="auto"/>
            </w:tcBorders>
            <w:shd w:val="clear" w:color="auto" w:fill="auto"/>
            <w:vAlign w:val="center"/>
            <w:hideMark/>
          </w:tcPr>
          <w:p w14:paraId="46F39104" w14:textId="77777777" w:rsidR="000D5178" w:rsidRPr="00872D7E" w:rsidRDefault="000D5178" w:rsidP="000D5178">
            <w:pPr>
              <w:rPr>
                <w:color w:val="000000"/>
                <w:sz w:val="16"/>
                <w:szCs w:val="16"/>
                <w:lang w:eastAsia="tr-TR"/>
              </w:rPr>
            </w:pPr>
            <w:r w:rsidRPr="00872D7E">
              <w:rPr>
                <w:color w:val="000000"/>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872D7E">
              <w:rPr>
                <w:color w:val="000000"/>
                <w:sz w:val="16"/>
                <w:szCs w:val="16"/>
                <w:lang w:eastAsia="tr-TR"/>
              </w:rPr>
              <w:t>2 nci</w:t>
            </w:r>
            <w:proofErr w:type="gramEnd"/>
            <w:r w:rsidRPr="00872D7E">
              <w:rPr>
                <w:color w:val="000000"/>
                <w:sz w:val="16"/>
                <w:szCs w:val="16"/>
                <w:lang w:eastAsia="tr-TR"/>
              </w:rPr>
              <w:t xml:space="preserve"> maddesinin birinci fıkrası uyarınca çekirdek sermayeden, ilave ana sermayeden ve katkı sermayeden indirilmeyen kısmı</w:t>
            </w:r>
          </w:p>
        </w:tc>
        <w:tc>
          <w:tcPr>
            <w:tcW w:w="1556" w:type="dxa"/>
            <w:tcBorders>
              <w:top w:val="single" w:sz="4" w:space="0" w:color="auto"/>
            </w:tcBorders>
            <w:shd w:val="clear" w:color="auto" w:fill="auto"/>
            <w:vAlign w:val="bottom"/>
            <w:hideMark/>
          </w:tcPr>
          <w:p w14:paraId="090F1D4C"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c>
          <w:tcPr>
            <w:tcW w:w="1556" w:type="dxa"/>
            <w:tcBorders>
              <w:top w:val="single" w:sz="4" w:space="0" w:color="auto"/>
            </w:tcBorders>
            <w:shd w:val="clear" w:color="auto" w:fill="auto"/>
            <w:vAlign w:val="bottom"/>
            <w:hideMark/>
          </w:tcPr>
          <w:p w14:paraId="23E3B418"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r>
      <w:tr w:rsidR="000D5178" w:rsidRPr="00872D7E" w14:paraId="2845F944" w14:textId="77777777" w:rsidTr="009213E5">
        <w:trPr>
          <w:divId w:val="1325159991"/>
          <w:trHeight w:val="170"/>
        </w:trPr>
        <w:tc>
          <w:tcPr>
            <w:tcW w:w="6663" w:type="dxa"/>
            <w:shd w:val="clear" w:color="auto" w:fill="auto"/>
            <w:vAlign w:val="center"/>
            <w:hideMark/>
          </w:tcPr>
          <w:p w14:paraId="7297ECF4" w14:textId="77777777" w:rsidR="000D5178" w:rsidRPr="00872D7E" w:rsidRDefault="000D5178" w:rsidP="000D5178">
            <w:pPr>
              <w:rPr>
                <w:color w:val="000000"/>
                <w:sz w:val="16"/>
                <w:szCs w:val="16"/>
                <w:lang w:eastAsia="tr-TR"/>
              </w:rPr>
            </w:pPr>
            <w:r w:rsidRPr="00872D7E">
              <w:rPr>
                <w:color w:val="000000"/>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872D7E">
              <w:rPr>
                <w:color w:val="000000"/>
                <w:sz w:val="16"/>
                <w:szCs w:val="16"/>
                <w:lang w:eastAsia="tr-TR"/>
              </w:rPr>
              <w:t>2 nci</w:t>
            </w:r>
            <w:proofErr w:type="gramEnd"/>
            <w:r w:rsidRPr="00872D7E">
              <w:rPr>
                <w:color w:val="000000"/>
                <w:sz w:val="16"/>
                <w:szCs w:val="16"/>
                <w:lang w:eastAsia="tr-TR"/>
              </w:rPr>
              <w:t xml:space="preserve"> maddesinin birinci fıkrası uyarınca, ilave ana sermayeden ve katkı sermayeden indirilmeyen kısmı</w:t>
            </w:r>
          </w:p>
        </w:tc>
        <w:tc>
          <w:tcPr>
            <w:tcW w:w="1556" w:type="dxa"/>
            <w:shd w:val="clear" w:color="auto" w:fill="auto"/>
            <w:vAlign w:val="bottom"/>
            <w:hideMark/>
          </w:tcPr>
          <w:p w14:paraId="496A322B"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c>
          <w:tcPr>
            <w:tcW w:w="1556" w:type="dxa"/>
            <w:shd w:val="clear" w:color="auto" w:fill="auto"/>
            <w:vAlign w:val="bottom"/>
            <w:hideMark/>
          </w:tcPr>
          <w:p w14:paraId="0A137A42"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r>
      <w:tr w:rsidR="000D5178" w:rsidRPr="00872D7E" w14:paraId="61671542" w14:textId="77777777" w:rsidTr="009213E5">
        <w:trPr>
          <w:divId w:val="1325159991"/>
          <w:trHeight w:val="170"/>
        </w:trPr>
        <w:tc>
          <w:tcPr>
            <w:tcW w:w="6663" w:type="dxa"/>
            <w:tcBorders>
              <w:bottom w:val="single" w:sz="4" w:space="0" w:color="auto"/>
            </w:tcBorders>
            <w:shd w:val="clear" w:color="auto" w:fill="auto"/>
            <w:vAlign w:val="center"/>
            <w:hideMark/>
          </w:tcPr>
          <w:p w14:paraId="1F785D87" w14:textId="77777777" w:rsidR="000D5178" w:rsidRPr="00872D7E" w:rsidRDefault="000D5178" w:rsidP="000D5178">
            <w:pPr>
              <w:rPr>
                <w:color w:val="000000"/>
                <w:sz w:val="16"/>
                <w:szCs w:val="16"/>
                <w:lang w:eastAsia="tr-TR"/>
              </w:rPr>
            </w:pPr>
            <w:r w:rsidRPr="00872D7E">
              <w:rPr>
                <w:color w:val="000000"/>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maddesininbirinci fıkrası uyarınca çekirdek sermayeden indirilmeyen kısmı</w:t>
            </w:r>
          </w:p>
        </w:tc>
        <w:tc>
          <w:tcPr>
            <w:tcW w:w="1556" w:type="dxa"/>
            <w:tcBorders>
              <w:bottom w:val="single" w:sz="4" w:space="0" w:color="auto"/>
            </w:tcBorders>
            <w:shd w:val="clear" w:color="auto" w:fill="auto"/>
            <w:vAlign w:val="bottom"/>
            <w:hideMark/>
          </w:tcPr>
          <w:p w14:paraId="67A8C3E1"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c>
          <w:tcPr>
            <w:tcW w:w="1556" w:type="dxa"/>
            <w:tcBorders>
              <w:bottom w:val="single" w:sz="4" w:space="0" w:color="auto"/>
            </w:tcBorders>
            <w:shd w:val="clear" w:color="auto" w:fill="auto"/>
            <w:vAlign w:val="bottom"/>
            <w:hideMark/>
          </w:tcPr>
          <w:p w14:paraId="506F85A6"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r>
      <w:tr w:rsidR="000D5178" w:rsidRPr="00872D7E" w14:paraId="08E1DDB9" w14:textId="77777777" w:rsidTr="009213E5">
        <w:trPr>
          <w:divId w:val="1325159991"/>
          <w:trHeight w:val="170"/>
        </w:trPr>
        <w:tc>
          <w:tcPr>
            <w:tcW w:w="6663" w:type="dxa"/>
            <w:tcBorders>
              <w:top w:val="single" w:sz="4" w:space="0" w:color="auto"/>
              <w:bottom w:val="single" w:sz="4" w:space="0" w:color="auto"/>
            </w:tcBorders>
            <w:shd w:val="clear" w:color="auto" w:fill="auto"/>
            <w:vAlign w:val="center"/>
            <w:hideMark/>
          </w:tcPr>
          <w:p w14:paraId="4AA76AA7"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Toplam Özkaynak (Ana sermaye ve katkı sermaye toplamı)</w:t>
            </w:r>
          </w:p>
        </w:tc>
        <w:tc>
          <w:tcPr>
            <w:tcW w:w="1556" w:type="dxa"/>
            <w:tcBorders>
              <w:top w:val="single" w:sz="4" w:space="0" w:color="auto"/>
              <w:bottom w:val="single" w:sz="4" w:space="0" w:color="auto"/>
            </w:tcBorders>
            <w:shd w:val="clear" w:color="auto" w:fill="auto"/>
            <w:vAlign w:val="bottom"/>
            <w:hideMark/>
          </w:tcPr>
          <w:p w14:paraId="13B3752B"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7.068.728</w:t>
            </w:r>
          </w:p>
        </w:tc>
        <w:tc>
          <w:tcPr>
            <w:tcW w:w="1556" w:type="dxa"/>
            <w:tcBorders>
              <w:top w:val="single" w:sz="4" w:space="0" w:color="auto"/>
              <w:bottom w:val="single" w:sz="4" w:space="0" w:color="auto"/>
            </w:tcBorders>
            <w:shd w:val="clear" w:color="auto" w:fill="auto"/>
            <w:vAlign w:val="bottom"/>
            <w:hideMark/>
          </w:tcPr>
          <w:p w14:paraId="66A2A6B2"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572.014</w:t>
            </w:r>
          </w:p>
        </w:tc>
      </w:tr>
      <w:tr w:rsidR="000D5178" w:rsidRPr="00872D7E" w14:paraId="551A2D66" w14:textId="77777777" w:rsidTr="009213E5">
        <w:trPr>
          <w:divId w:val="1325159991"/>
          <w:trHeight w:val="170"/>
        </w:trPr>
        <w:tc>
          <w:tcPr>
            <w:tcW w:w="6663" w:type="dxa"/>
            <w:tcBorders>
              <w:top w:val="single" w:sz="4" w:space="0" w:color="auto"/>
              <w:bottom w:val="single" w:sz="4" w:space="0" w:color="auto"/>
            </w:tcBorders>
            <w:shd w:val="clear" w:color="auto" w:fill="auto"/>
            <w:vAlign w:val="center"/>
            <w:hideMark/>
          </w:tcPr>
          <w:p w14:paraId="5C03BAA0"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Toplam Risk Ağırlıklı Tutarlar</w:t>
            </w:r>
          </w:p>
        </w:tc>
        <w:tc>
          <w:tcPr>
            <w:tcW w:w="1556" w:type="dxa"/>
            <w:tcBorders>
              <w:top w:val="single" w:sz="4" w:space="0" w:color="auto"/>
              <w:bottom w:val="single" w:sz="4" w:space="0" w:color="auto"/>
            </w:tcBorders>
            <w:shd w:val="clear" w:color="auto" w:fill="auto"/>
            <w:vAlign w:val="bottom"/>
            <w:hideMark/>
          </w:tcPr>
          <w:p w14:paraId="161B83B7"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15.057.976</w:t>
            </w:r>
          </w:p>
        </w:tc>
        <w:tc>
          <w:tcPr>
            <w:tcW w:w="1556" w:type="dxa"/>
            <w:tcBorders>
              <w:top w:val="single" w:sz="4" w:space="0" w:color="auto"/>
              <w:bottom w:val="single" w:sz="4" w:space="0" w:color="auto"/>
            </w:tcBorders>
            <w:shd w:val="clear" w:color="auto" w:fill="auto"/>
            <w:vAlign w:val="bottom"/>
            <w:hideMark/>
          </w:tcPr>
          <w:p w14:paraId="3898B310"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216.881</w:t>
            </w:r>
          </w:p>
        </w:tc>
      </w:tr>
      <w:tr w:rsidR="000D5178" w:rsidRPr="00872D7E" w14:paraId="43D9AAB0" w14:textId="77777777" w:rsidTr="009213E5">
        <w:trPr>
          <w:divId w:val="1325159991"/>
          <w:trHeight w:val="170"/>
        </w:trPr>
        <w:tc>
          <w:tcPr>
            <w:tcW w:w="6663" w:type="dxa"/>
            <w:tcBorders>
              <w:top w:val="single" w:sz="4" w:space="0" w:color="auto"/>
              <w:bottom w:val="single" w:sz="4" w:space="0" w:color="auto"/>
            </w:tcBorders>
            <w:shd w:val="clear" w:color="auto" w:fill="auto"/>
            <w:vAlign w:val="center"/>
            <w:hideMark/>
          </w:tcPr>
          <w:p w14:paraId="684C91EC" w14:textId="77777777" w:rsidR="000D5178" w:rsidRPr="00872D7E" w:rsidRDefault="000D5178" w:rsidP="00882319">
            <w:pPr>
              <w:jc w:val="center"/>
              <w:rPr>
                <w:b/>
                <w:bCs/>
                <w:color w:val="000000"/>
                <w:sz w:val="16"/>
                <w:szCs w:val="16"/>
                <w:lang w:eastAsia="tr-TR"/>
              </w:rPr>
            </w:pPr>
            <w:r w:rsidRPr="00872D7E">
              <w:rPr>
                <w:b/>
                <w:bCs/>
                <w:color w:val="000000"/>
                <w:sz w:val="16"/>
                <w:szCs w:val="16"/>
                <w:lang w:eastAsia="tr-TR"/>
              </w:rPr>
              <w:t>SERMAYE YETERLİLİĞİ ORANLARI</w:t>
            </w:r>
          </w:p>
        </w:tc>
        <w:tc>
          <w:tcPr>
            <w:tcW w:w="1556" w:type="dxa"/>
            <w:tcBorders>
              <w:top w:val="single" w:sz="4" w:space="0" w:color="auto"/>
              <w:bottom w:val="single" w:sz="4" w:space="0" w:color="auto"/>
            </w:tcBorders>
            <w:shd w:val="clear" w:color="auto" w:fill="auto"/>
            <w:noWrap/>
            <w:vAlign w:val="bottom"/>
            <w:hideMark/>
          </w:tcPr>
          <w:p w14:paraId="5C86EBD7" w14:textId="3E68720B" w:rsidR="000D5178" w:rsidRPr="00872D7E" w:rsidRDefault="000D5178" w:rsidP="009213E5">
            <w:pPr>
              <w:jc w:val="right"/>
              <w:rPr>
                <w:b/>
                <w:bCs/>
                <w:color w:val="000000"/>
                <w:sz w:val="16"/>
                <w:szCs w:val="16"/>
                <w:lang w:eastAsia="tr-TR"/>
              </w:rPr>
            </w:pPr>
          </w:p>
        </w:tc>
        <w:tc>
          <w:tcPr>
            <w:tcW w:w="1556" w:type="dxa"/>
            <w:tcBorders>
              <w:top w:val="single" w:sz="4" w:space="0" w:color="auto"/>
              <w:bottom w:val="single" w:sz="4" w:space="0" w:color="auto"/>
            </w:tcBorders>
            <w:shd w:val="clear" w:color="auto" w:fill="auto"/>
            <w:noWrap/>
            <w:vAlign w:val="bottom"/>
            <w:hideMark/>
          </w:tcPr>
          <w:p w14:paraId="3F128088" w14:textId="47EBD275" w:rsidR="000D5178" w:rsidRPr="00872D7E" w:rsidRDefault="000D5178" w:rsidP="009213E5">
            <w:pPr>
              <w:jc w:val="right"/>
              <w:rPr>
                <w:b/>
                <w:bCs/>
                <w:color w:val="000000"/>
                <w:sz w:val="16"/>
                <w:szCs w:val="16"/>
                <w:lang w:eastAsia="tr-TR"/>
              </w:rPr>
            </w:pPr>
          </w:p>
        </w:tc>
      </w:tr>
      <w:tr w:rsidR="000D5178" w:rsidRPr="00872D7E" w14:paraId="55F29995" w14:textId="77777777" w:rsidTr="009213E5">
        <w:trPr>
          <w:divId w:val="1325159991"/>
          <w:trHeight w:val="170"/>
        </w:trPr>
        <w:tc>
          <w:tcPr>
            <w:tcW w:w="6663" w:type="dxa"/>
            <w:tcBorders>
              <w:top w:val="single" w:sz="4" w:space="0" w:color="auto"/>
            </w:tcBorders>
            <w:shd w:val="clear" w:color="auto" w:fill="auto"/>
            <w:vAlign w:val="center"/>
            <w:hideMark/>
          </w:tcPr>
          <w:p w14:paraId="1075EE25" w14:textId="77777777" w:rsidR="000D5178" w:rsidRPr="00872D7E" w:rsidRDefault="000D5178" w:rsidP="000D5178">
            <w:pPr>
              <w:rPr>
                <w:color w:val="000000"/>
                <w:sz w:val="16"/>
                <w:szCs w:val="16"/>
                <w:lang w:eastAsia="tr-TR"/>
              </w:rPr>
            </w:pPr>
            <w:r w:rsidRPr="00872D7E">
              <w:rPr>
                <w:color w:val="000000"/>
                <w:sz w:val="16"/>
                <w:szCs w:val="16"/>
                <w:lang w:eastAsia="tr-TR"/>
              </w:rPr>
              <w:t>Çekirdek Sermaye Yeterliliği Oranı (%)</w:t>
            </w:r>
          </w:p>
        </w:tc>
        <w:tc>
          <w:tcPr>
            <w:tcW w:w="1556" w:type="dxa"/>
            <w:tcBorders>
              <w:top w:val="single" w:sz="4" w:space="0" w:color="auto"/>
            </w:tcBorders>
            <w:shd w:val="clear" w:color="auto" w:fill="auto"/>
            <w:vAlign w:val="bottom"/>
            <w:hideMark/>
          </w:tcPr>
          <w:p w14:paraId="173DAA81" w14:textId="77777777" w:rsidR="000D5178" w:rsidRPr="00872D7E" w:rsidRDefault="000D5178" w:rsidP="009213E5">
            <w:pPr>
              <w:jc w:val="right"/>
              <w:rPr>
                <w:color w:val="000000"/>
                <w:sz w:val="16"/>
                <w:szCs w:val="16"/>
                <w:lang w:eastAsia="tr-TR"/>
              </w:rPr>
            </w:pPr>
            <w:r w:rsidRPr="00872D7E">
              <w:rPr>
                <w:color w:val="000000"/>
                <w:sz w:val="16"/>
                <w:szCs w:val="16"/>
                <w:lang w:eastAsia="tr-TR"/>
              </w:rPr>
              <w:t>46,37</w:t>
            </w:r>
          </w:p>
        </w:tc>
        <w:tc>
          <w:tcPr>
            <w:tcW w:w="1556" w:type="dxa"/>
            <w:tcBorders>
              <w:top w:val="single" w:sz="4" w:space="0" w:color="auto"/>
            </w:tcBorders>
            <w:shd w:val="clear" w:color="auto" w:fill="auto"/>
            <w:vAlign w:val="bottom"/>
            <w:hideMark/>
          </w:tcPr>
          <w:p w14:paraId="33C2DF05" w14:textId="77777777" w:rsidR="000D5178" w:rsidRPr="00872D7E" w:rsidRDefault="000D5178" w:rsidP="009213E5">
            <w:pPr>
              <w:jc w:val="right"/>
              <w:rPr>
                <w:color w:val="000000"/>
                <w:sz w:val="16"/>
                <w:szCs w:val="16"/>
                <w:lang w:eastAsia="tr-TR"/>
              </w:rPr>
            </w:pPr>
            <w:r w:rsidRPr="00872D7E">
              <w:rPr>
                <w:color w:val="000000"/>
                <w:sz w:val="16"/>
                <w:szCs w:val="16"/>
                <w:lang w:eastAsia="tr-TR"/>
              </w:rPr>
              <w:t>33,16</w:t>
            </w:r>
          </w:p>
        </w:tc>
      </w:tr>
      <w:tr w:rsidR="000D5178" w:rsidRPr="00872D7E" w14:paraId="01AB4DCE" w14:textId="77777777" w:rsidTr="009213E5">
        <w:trPr>
          <w:divId w:val="1325159991"/>
          <w:trHeight w:val="170"/>
        </w:trPr>
        <w:tc>
          <w:tcPr>
            <w:tcW w:w="6663" w:type="dxa"/>
            <w:shd w:val="clear" w:color="auto" w:fill="auto"/>
            <w:vAlign w:val="center"/>
            <w:hideMark/>
          </w:tcPr>
          <w:p w14:paraId="56FAD001" w14:textId="77777777" w:rsidR="000D5178" w:rsidRPr="00872D7E" w:rsidRDefault="000D5178" w:rsidP="000D5178">
            <w:pPr>
              <w:rPr>
                <w:color w:val="000000"/>
                <w:sz w:val="16"/>
                <w:szCs w:val="16"/>
                <w:lang w:eastAsia="tr-TR"/>
              </w:rPr>
            </w:pPr>
            <w:r w:rsidRPr="00872D7E">
              <w:rPr>
                <w:color w:val="000000"/>
                <w:sz w:val="16"/>
                <w:szCs w:val="16"/>
                <w:lang w:eastAsia="tr-TR"/>
              </w:rPr>
              <w:t>Ana Sermaye Yeterliliği Oranı (%)</w:t>
            </w:r>
          </w:p>
        </w:tc>
        <w:tc>
          <w:tcPr>
            <w:tcW w:w="1556" w:type="dxa"/>
            <w:shd w:val="clear" w:color="auto" w:fill="auto"/>
            <w:vAlign w:val="bottom"/>
            <w:hideMark/>
          </w:tcPr>
          <w:p w14:paraId="6F0A9F43" w14:textId="77777777" w:rsidR="000D5178" w:rsidRPr="00872D7E" w:rsidRDefault="000D5178" w:rsidP="009213E5">
            <w:pPr>
              <w:jc w:val="right"/>
              <w:rPr>
                <w:color w:val="000000"/>
                <w:sz w:val="16"/>
                <w:szCs w:val="16"/>
                <w:lang w:eastAsia="tr-TR"/>
              </w:rPr>
            </w:pPr>
            <w:r w:rsidRPr="00872D7E">
              <w:rPr>
                <w:color w:val="000000"/>
                <w:sz w:val="16"/>
                <w:szCs w:val="16"/>
                <w:lang w:eastAsia="tr-TR"/>
              </w:rPr>
              <w:t>46,37</w:t>
            </w:r>
          </w:p>
        </w:tc>
        <w:tc>
          <w:tcPr>
            <w:tcW w:w="1556" w:type="dxa"/>
            <w:shd w:val="clear" w:color="auto" w:fill="auto"/>
            <w:vAlign w:val="bottom"/>
            <w:hideMark/>
          </w:tcPr>
          <w:p w14:paraId="058CB292" w14:textId="77777777" w:rsidR="000D5178" w:rsidRPr="00872D7E" w:rsidRDefault="000D5178" w:rsidP="009213E5">
            <w:pPr>
              <w:jc w:val="right"/>
              <w:rPr>
                <w:color w:val="000000"/>
                <w:sz w:val="16"/>
                <w:szCs w:val="16"/>
                <w:lang w:eastAsia="tr-TR"/>
              </w:rPr>
            </w:pPr>
            <w:r w:rsidRPr="00872D7E">
              <w:rPr>
                <w:color w:val="000000"/>
                <w:sz w:val="16"/>
                <w:szCs w:val="16"/>
                <w:lang w:eastAsia="tr-TR"/>
              </w:rPr>
              <w:t>33,16</w:t>
            </w:r>
          </w:p>
        </w:tc>
      </w:tr>
      <w:tr w:rsidR="000D5178" w:rsidRPr="00872D7E" w14:paraId="21678C0A" w14:textId="77777777" w:rsidTr="009213E5">
        <w:trPr>
          <w:divId w:val="1325159991"/>
          <w:trHeight w:val="170"/>
        </w:trPr>
        <w:tc>
          <w:tcPr>
            <w:tcW w:w="6663" w:type="dxa"/>
            <w:tcBorders>
              <w:bottom w:val="single" w:sz="4" w:space="0" w:color="auto"/>
            </w:tcBorders>
            <w:shd w:val="clear" w:color="auto" w:fill="auto"/>
            <w:vAlign w:val="center"/>
            <w:hideMark/>
          </w:tcPr>
          <w:p w14:paraId="23D4853F" w14:textId="77777777" w:rsidR="000D5178" w:rsidRPr="00872D7E" w:rsidRDefault="000D5178" w:rsidP="000D5178">
            <w:pPr>
              <w:rPr>
                <w:color w:val="000000"/>
                <w:sz w:val="16"/>
                <w:szCs w:val="16"/>
                <w:lang w:eastAsia="tr-TR"/>
              </w:rPr>
            </w:pPr>
            <w:r w:rsidRPr="00872D7E">
              <w:rPr>
                <w:color w:val="000000"/>
                <w:sz w:val="16"/>
                <w:szCs w:val="16"/>
                <w:lang w:eastAsia="tr-TR"/>
              </w:rPr>
              <w:t>Sermaye Yeterliliği Oranı (%)</w:t>
            </w:r>
          </w:p>
        </w:tc>
        <w:tc>
          <w:tcPr>
            <w:tcW w:w="1556" w:type="dxa"/>
            <w:tcBorders>
              <w:bottom w:val="single" w:sz="4" w:space="0" w:color="auto"/>
            </w:tcBorders>
            <w:shd w:val="clear" w:color="auto" w:fill="auto"/>
            <w:vAlign w:val="bottom"/>
            <w:hideMark/>
          </w:tcPr>
          <w:p w14:paraId="2B087837" w14:textId="77777777" w:rsidR="000D5178" w:rsidRPr="00872D7E" w:rsidRDefault="000D5178" w:rsidP="009213E5">
            <w:pPr>
              <w:jc w:val="right"/>
              <w:rPr>
                <w:color w:val="000000"/>
                <w:sz w:val="16"/>
                <w:szCs w:val="16"/>
                <w:lang w:eastAsia="tr-TR"/>
              </w:rPr>
            </w:pPr>
            <w:r w:rsidRPr="00872D7E">
              <w:rPr>
                <w:color w:val="000000"/>
                <w:sz w:val="16"/>
                <w:szCs w:val="16"/>
                <w:lang w:eastAsia="tr-TR"/>
              </w:rPr>
              <w:t>46,94</w:t>
            </w:r>
          </w:p>
        </w:tc>
        <w:tc>
          <w:tcPr>
            <w:tcW w:w="1556" w:type="dxa"/>
            <w:tcBorders>
              <w:bottom w:val="single" w:sz="4" w:space="0" w:color="auto"/>
            </w:tcBorders>
            <w:shd w:val="clear" w:color="auto" w:fill="auto"/>
            <w:vAlign w:val="bottom"/>
            <w:hideMark/>
          </w:tcPr>
          <w:p w14:paraId="7EF8948B" w14:textId="77777777" w:rsidR="000D5178" w:rsidRPr="00872D7E" w:rsidRDefault="000D5178" w:rsidP="009213E5">
            <w:pPr>
              <w:jc w:val="right"/>
              <w:rPr>
                <w:color w:val="000000"/>
                <w:sz w:val="16"/>
                <w:szCs w:val="16"/>
                <w:lang w:eastAsia="tr-TR"/>
              </w:rPr>
            </w:pPr>
            <w:r w:rsidRPr="00872D7E">
              <w:rPr>
                <w:color w:val="000000"/>
                <w:sz w:val="16"/>
                <w:szCs w:val="16"/>
                <w:lang w:eastAsia="tr-TR"/>
              </w:rPr>
              <w:t>263,75</w:t>
            </w:r>
          </w:p>
        </w:tc>
      </w:tr>
      <w:tr w:rsidR="000D5178" w:rsidRPr="00872D7E" w14:paraId="72A270E1" w14:textId="77777777" w:rsidTr="009213E5">
        <w:trPr>
          <w:divId w:val="1325159991"/>
          <w:trHeight w:val="170"/>
        </w:trPr>
        <w:tc>
          <w:tcPr>
            <w:tcW w:w="6663" w:type="dxa"/>
            <w:tcBorders>
              <w:top w:val="single" w:sz="4" w:space="0" w:color="auto"/>
              <w:bottom w:val="single" w:sz="4" w:space="0" w:color="auto"/>
            </w:tcBorders>
            <w:shd w:val="clear" w:color="auto" w:fill="auto"/>
            <w:vAlign w:val="center"/>
            <w:hideMark/>
          </w:tcPr>
          <w:p w14:paraId="1C7412B5" w14:textId="77777777" w:rsidR="000D5178" w:rsidRPr="00872D7E" w:rsidRDefault="000D5178" w:rsidP="00882319">
            <w:pPr>
              <w:jc w:val="center"/>
              <w:rPr>
                <w:b/>
                <w:bCs/>
                <w:color w:val="000000"/>
                <w:sz w:val="16"/>
                <w:szCs w:val="16"/>
                <w:lang w:eastAsia="tr-TR"/>
              </w:rPr>
            </w:pPr>
            <w:r w:rsidRPr="00872D7E">
              <w:rPr>
                <w:b/>
                <w:bCs/>
                <w:color w:val="000000"/>
                <w:sz w:val="16"/>
                <w:szCs w:val="16"/>
                <w:lang w:eastAsia="tr-TR"/>
              </w:rPr>
              <w:t>TAMPONLAR</w:t>
            </w:r>
          </w:p>
        </w:tc>
        <w:tc>
          <w:tcPr>
            <w:tcW w:w="1556" w:type="dxa"/>
            <w:tcBorders>
              <w:top w:val="single" w:sz="4" w:space="0" w:color="auto"/>
              <w:bottom w:val="single" w:sz="4" w:space="0" w:color="auto"/>
            </w:tcBorders>
            <w:shd w:val="clear" w:color="auto" w:fill="auto"/>
            <w:noWrap/>
            <w:vAlign w:val="bottom"/>
            <w:hideMark/>
          </w:tcPr>
          <w:p w14:paraId="2BFE70A3" w14:textId="3CF5B0C4" w:rsidR="000D5178" w:rsidRPr="00872D7E" w:rsidRDefault="000D5178" w:rsidP="009213E5">
            <w:pPr>
              <w:jc w:val="right"/>
              <w:rPr>
                <w:b/>
                <w:bCs/>
                <w:color w:val="000000"/>
                <w:sz w:val="16"/>
                <w:szCs w:val="16"/>
                <w:lang w:eastAsia="tr-TR"/>
              </w:rPr>
            </w:pPr>
          </w:p>
        </w:tc>
        <w:tc>
          <w:tcPr>
            <w:tcW w:w="1556" w:type="dxa"/>
            <w:tcBorders>
              <w:top w:val="single" w:sz="4" w:space="0" w:color="auto"/>
              <w:bottom w:val="single" w:sz="4" w:space="0" w:color="auto"/>
            </w:tcBorders>
            <w:shd w:val="clear" w:color="auto" w:fill="auto"/>
            <w:noWrap/>
            <w:vAlign w:val="bottom"/>
            <w:hideMark/>
          </w:tcPr>
          <w:p w14:paraId="5B33F09C" w14:textId="388B1603" w:rsidR="000D5178" w:rsidRPr="00872D7E" w:rsidRDefault="000D5178" w:rsidP="009213E5">
            <w:pPr>
              <w:jc w:val="right"/>
              <w:rPr>
                <w:b/>
                <w:bCs/>
                <w:color w:val="000000"/>
                <w:sz w:val="16"/>
                <w:szCs w:val="16"/>
                <w:lang w:eastAsia="tr-TR"/>
              </w:rPr>
            </w:pPr>
          </w:p>
        </w:tc>
      </w:tr>
      <w:tr w:rsidR="000D5178" w:rsidRPr="00872D7E" w14:paraId="0B55E4E8" w14:textId="77777777" w:rsidTr="009213E5">
        <w:trPr>
          <w:divId w:val="1325159991"/>
          <w:trHeight w:val="170"/>
        </w:trPr>
        <w:tc>
          <w:tcPr>
            <w:tcW w:w="6663" w:type="dxa"/>
            <w:tcBorders>
              <w:top w:val="single" w:sz="4" w:space="0" w:color="auto"/>
            </w:tcBorders>
            <w:shd w:val="clear" w:color="auto" w:fill="auto"/>
            <w:vAlign w:val="center"/>
            <w:hideMark/>
          </w:tcPr>
          <w:p w14:paraId="5CD14A44"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Toplam ilave çekirdek sermaye gereksinim oranı (a+b+c)</w:t>
            </w:r>
          </w:p>
        </w:tc>
        <w:tc>
          <w:tcPr>
            <w:tcW w:w="1556" w:type="dxa"/>
            <w:tcBorders>
              <w:top w:val="single" w:sz="4" w:space="0" w:color="auto"/>
            </w:tcBorders>
            <w:shd w:val="clear" w:color="auto" w:fill="auto"/>
            <w:vAlign w:val="bottom"/>
            <w:hideMark/>
          </w:tcPr>
          <w:p w14:paraId="641B0D82"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2,57</w:t>
            </w:r>
          </w:p>
        </w:tc>
        <w:tc>
          <w:tcPr>
            <w:tcW w:w="1556" w:type="dxa"/>
            <w:tcBorders>
              <w:top w:val="single" w:sz="4" w:space="0" w:color="auto"/>
            </w:tcBorders>
            <w:shd w:val="clear" w:color="auto" w:fill="auto"/>
            <w:vAlign w:val="bottom"/>
            <w:hideMark/>
          </w:tcPr>
          <w:p w14:paraId="7CE22943"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09D2A610" w14:textId="77777777" w:rsidTr="009213E5">
        <w:trPr>
          <w:divId w:val="1325159991"/>
          <w:trHeight w:val="170"/>
        </w:trPr>
        <w:tc>
          <w:tcPr>
            <w:tcW w:w="6663" w:type="dxa"/>
            <w:shd w:val="clear" w:color="auto" w:fill="auto"/>
            <w:vAlign w:val="center"/>
            <w:hideMark/>
          </w:tcPr>
          <w:p w14:paraId="793B4B9B" w14:textId="77777777" w:rsidR="000D5178" w:rsidRPr="00872D7E" w:rsidRDefault="000D5178" w:rsidP="000D5178">
            <w:pPr>
              <w:rPr>
                <w:color w:val="000000"/>
                <w:sz w:val="16"/>
                <w:szCs w:val="16"/>
                <w:lang w:eastAsia="tr-TR"/>
              </w:rPr>
            </w:pPr>
            <w:r w:rsidRPr="00872D7E">
              <w:rPr>
                <w:color w:val="000000"/>
                <w:sz w:val="16"/>
                <w:szCs w:val="16"/>
                <w:lang w:eastAsia="tr-TR"/>
              </w:rPr>
              <w:t>a)                    Sermaye koruma tamponu oranı (%)</w:t>
            </w:r>
          </w:p>
        </w:tc>
        <w:tc>
          <w:tcPr>
            <w:tcW w:w="1556" w:type="dxa"/>
            <w:shd w:val="clear" w:color="auto" w:fill="auto"/>
            <w:vAlign w:val="bottom"/>
            <w:hideMark/>
          </w:tcPr>
          <w:p w14:paraId="72D06367" w14:textId="77777777" w:rsidR="000D5178" w:rsidRPr="00872D7E" w:rsidRDefault="000D5178" w:rsidP="009213E5">
            <w:pPr>
              <w:jc w:val="right"/>
              <w:rPr>
                <w:color w:val="000000"/>
                <w:sz w:val="16"/>
                <w:szCs w:val="16"/>
                <w:lang w:eastAsia="tr-TR"/>
              </w:rPr>
            </w:pPr>
            <w:r w:rsidRPr="00872D7E">
              <w:rPr>
                <w:color w:val="000000"/>
                <w:sz w:val="16"/>
                <w:szCs w:val="16"/>
                <w:lang w:eastAsia="tr-TR"/>
              </w:rPr>
              <w:t>2,50</w:t>
            </w:r>
          </w:p>
        </w:tc>
        <w:tc>
          <w:tcPr>
            <w:tcW w:w="1556" w:type="dxa"/>
            <w:shd w:val="clear" w:color="auto" w:fill="auto"/>
            <w:vAlign w:val="bottom"/>
            <w:hideMark/>
          </w:tcPr>
          <w:p w14:paraId="3F826E6A"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r>
      <w:tr w:rsidR="000D5178" w:rsidRPr="00872D7E" w14:paraId="7BB29FB6" w14:textId="77777777" w:rsidTr="009213E5">
        <w:trPr>
          <w:divId w:val="1325159991"/>
          <w:trHeight w:val="170"/>
        </w:trPr>
        <w:tc>
          <w:tcPr>
            <w:tcW w:w="6663" w:type="dxa"/>
            <w:shd w:val="clear" w:color="auto" w:fill="auto"/>
            <w:vAlign w:val="center"/>
            <w:hideMark/>
          </w:tcPr>
          <w:p w14:paraId="71396736" w14:textId="77777777" w:rsidR="000D5178" w:rsidRPr="00872D7E" w:rsidRDefault="000D5178" w:rsidP="000D5178">
            <w:pPr>
              <w:rPr>
                <w:color w:val="000000"/>
                <w:sz w:val="16"/>
                <w:szCs w:val="16"/>
                <w:lang w:eastAsia="tr-TR"/>
              </w:rPr>
            </w:pPr>
            <w:r w:rsidRPr="00872D7E">
              <w:rPr>
                <w:color w:val="000000"/>
                <w:sz w:val="16"/>
                <w:szCs w:val="16"/>
                <w:lang w:eastAsia="tr-TR"/>
              </w:rPr>
              <w:t>b)                   Bankaya özgü döngüsel sermaye tamponu oranı (%)</w:t>
            </w:r>
          </w:p>
        </w:tc>
        <w:tc>
          <w:tcPr>
            <w:tcW w:w="1556" w:type="dxa"/>
            <w:shd w:val="clear" w:color="auto" w:fill="auto"/>
            <w:vAlign w:val="bottom"/>
            <w:hideMark/>
          </w:tcPr>
          <w:p w14:paraId="423973AF" w14:textId="77777777" w:rsidR="000D5178" w:rsidRPr="00872D7E" w:rsidRDefault="000D5178" w:rsidP="009213E5">
            <w:pPr>
              <w:jc w:val="right"/>
              <w:rPr>
                <w:color w:val="000000"/>
                <w:sz w:val="16"/>
                <w:szCs w:val="16"/>
                <w:lang w:eastAsia="tr-TR"/>
              </w:rPr>
            </w:pPr>
            <w:r w:rsidRPr="00872D7E">
              <w:rPr>
                <w:color w:val="000000"/>
                <w:sz w:val="16"/>
                <w:szCs w:val="16"/>
                <w:lang w:eastAsia="tr-TR"/>
              </w:rPr>
              <w:t>0,07</w:t>
            </w:r>
          </w:p>
        </w:tc>
        <w:tc>
          <w:tcPr>
            <w:tcW w:w="1556" w:type="dxa"/>
            <w:shd w:val="clear" w:color="auto" w:fill="auto"/>
            <w:vAlign w:val="bottom"/>
            <w:hideMark/>
          </w:tcPr>
          <w:p w14:paraId="3117DE29"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r>
      <w:tr w:rsidR="000D5178" w:rsidRPr="00872D7E" w14:paraId="45227C5A" w14:textId="77777777" w:rsidTr="009213E5">
        <w:trPr>
          <w:divId w:val="1325159991"/>
          <w:trHeight w:val="170"/>
        </w:trPr>
        <w:tc>
          <w:tcPr>
            <w:tcW w:w="6663" w:type="dxa"/>
            <w:shd w:val="clear" w:color="auto" w:fill="auto"/>
            <w:vAlign w:val="center"/>
            <w:hideMark/>
          </w:tcPr>
          <w:p w14:paraId="0EA5FAA3" w14:textId="77777777" w:rsidR="000D5178" w:rsidRPr="00872D7E" w:rsidRDefault="000D5178" w:rsidP="000D5178">
            <w:pPr>
              <w:rPr>
                <w:color w:val="000000"/>
                <w:sz w:val="16"/>
                <w:szCs w:val="16"/>
                <w:lang w:eastAsia="tr-TR"/>
              </w:rPr>
            </w:pPr>
            <w:r w:rsidRPr="00872D7E">
              <w:rPr>
                <w:color w:val="000000"/>
                <w:sz w:val="16"/>
                <w:szCs w:val="16"/>
                <w:lang w:eastAsia="tr-TR"/>
              </w:rPr>
              <w:t>c)                    Sistemik önemli banka tamponu oranı (%)</w:t>
            </w:r>
          </w:p>
        </w:tc>
        <w:tc>
          <w:tcPr>
            <w:tcW w:w="1556" w:type="dxa"/>
            <w:shd w:val="clear" w:color="auto" w:fill="auto"/>
            <w:vAlign w:val="bottom"/>
            <w:hideMark/>
          </w:tcPr>
          <w:p w14:paraId="108CF9E3" w14:textId="77777777" w:rsidR="000D5178" w:rsidRPr="00872D7E" w:rsidRDefault="000D5178" w:rsidP="009213E5">
            <w:pPr>
              <w:jc w:val="right"/>
              <w:rPr>
                <w:color w:val="000000"/>
                <w:sz w:val="16"/>
                <w:szCs w:val="16"/>
                <w:lang w:eastAsia="tr-TR"/>
              </w:rPr>
            </w:pPr>
            <w:r w:rsidRPr="00872D7E">
              <w:rPr>
                <w:color w:val="000000"/>
                <w:sz w:val="16"/>
                <w:szCs w:val="16"/>
                <w:lang w:eastAsia="tr-TR"/>
              </w:rPr>
              <w:t>0,00</w:t>
            </w:r>
          </w:p>
        </w:tc>
        <w:tc>
          <w:tcPr>
            <w:tcW w:w="1556" w:type="dxa"/>
            <w:shd w:val="clear" w:color="auto" w:fill="auto"/>
            <w:vAlign w:val="bottom"/>
            <w:hideMark/>
          </w:tcPr>
          <w:p w14:paraId="0B5B3590"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r>
      <w:tr w:rsidR="000D5178" w:rsidRPr="00872D7E" w14:paraId="18839A5D" w14:textId="77777777" w:rsidTr="009213E5">
        <w:trPr>
          <w:divId w:val="1325159991"/>
          <w:trHeight w:val="170"/>
        </w:trPr>
        <w:tc>
          <w:tcPr>
            <w:tcW w:w="6663" w:type="dxa"/>
            <w:shd w:val="clear" w:color="auto" w:fill="auto"/>
            <w:vAlign w:val="center"/>
            <w:hideMark/>
          </w:tcPr>
          <w:p w14:paraId="57095486" w14:textId="77777777" w:rsidR="000D5178" w:rsidRPr="00872D7E" w:rsidRDefault="000D5178" w:rsidP="000D5178">
            <w:pPr>
              <w:rPr>
                <w:color w:val="000000"/>
                <w:sz w:val="16"/>
                <w:szCs w:val="16"/>
                <w:lang w:eastAsia="tr-TR"/>
              </w:rPr>
            </w:pPr>
            <w:r w:rsidRPr="00872D7E">
              <w:rPr>
                <w:color w:val="000000"/>
                <w:sz w:val="16"/>
                <w:szCs w:val="16"/>
                <w:lang w:eastAsia="tr-TR"/>
              </w:rPr>
              <w:t xml:space="preserve">Sermaye Koruma ve Döngüsel Sermaye Tamponlarına İlişkin Yönetmeliğin </w:t>
            </w:r>
            <w:proofErr w:type="gramStart"/>
            <w:r w:rsidRPr="00872D7E">
              <w:rPr>
                <w:color w:val="000000"/>
                <w:sz w:val="16"/>
                <w:szCs w:val="16"/>
                <w:lang w:eastAsia="tr-TR"/>
              </w:rPr>
              <w:t>4 üncü</w:t>
            </w:r>
            <w:proofErr w:type="gramEnd"/>
            <w:r w:rsidRPr="00872D7E">
              <w:rPr>
                <w:color w:val="000000"/>
                <w:sz w:val="16"/>
                <w:szCs w:val="16"/>
                <w:lang w:eastAsia="tr-TR"/>
              </w:rPr>
              <w:t xml:space="preserve"> maddesinin birinci fıkrası uyarınca hesaplanacak ilave çekirdek sermaye tutarının risk ağırlıklı varlıklar tutarına oranı (%)</w:t>
            </w:r>
          </w:p>
        </w:tc>
        <w:tc>
          <w:tcPr>
            <w:tcW w:w="1556" w:type="dxa"/>
            <w:shd w:val="clear" w:color="auto" w:fill="auto"/>
            <w:vAlign w:val="bottom"/>
            <w:hideMark/>
          </w:tcPr>
          <w:p w14:paraId="1BFC6BA1" w14:textId="77777777" w:rsidR="000D5178" w:rsidRPr="00872D7E" w:rsidRDefault="000D5178" w:rsidP="009213E5">
            <w:pPr>
              <w:jc w:val="right"/>
              <w:rPr>
                <w:color w:val="000000"/>
                <w:sz w:val="16"/>
                <w:szCs w:val="16"/>
                <w:lang w:eastAsia="tr-TR"/>
              </w:rPr>
            </w:pPr>
            <w:r w:rsidRPr="00872D7E">
              <w:rPr>
                <w:color w:val="000000"/>
                <w:sz w:val="16"/>
                <w:szCs w:val="16"/>
                <w:lang w:eastAsia="tr-TR"/>
              </w:rPr>
              <w:t>38,37</w:t>
            </w:r>
          </w:p>
        </w:tc>
        <w:tc>
          <w:tcPr>
            <w:tcW w:w="1556" w:type="dxa"/>
            <w:shd w:val="clear" w:color="auto" w:fill="auto"/>
            <w:vAlign w:val="bottom"/>
            <w:hideMark/>
          </w:tcPr>
          <w:p w14:paraId="3DB9B5E3" w14:textId="77777777" w:rsidR="000D5178" w:rsidRPr="00872D7E" w:rsidRDefault="000D5178" w:rsidP="009213E5">
            <w:pPr>
              <w:jc w:val="right"/>
              <w:rPr>
                <w:color w:val="000000"/>
                <w:sz w:val="16"/>
                <w:szCs w:val="16"/>
                <w:lang w:eastAsia="tr-TR"/>
              </w:rPr>
            </w:pPr>
            <w:r w:rsidRPr="00872D7E">
              <w:rPr>
                <w:color w:val="000000"/>
                <w:sz w:val="16"/>
                <w:szCs w:val="16"/>
                <w:lang w:eastAsia="tr-TR"/>
              </w:rPr>
              <w:t>-</w:t>
            </w:r>
          </w:p>
        </w:tc>
      </w:tr>
      <w:tr w:rsidR="000D5178" w:rsidRPr="00872D7E" w14:paraId="442A3906" w14:textId="77777777" w:rsidTr="009213E5">
        <w:trPr>
          <w:divId w:val="1325159991"/>
          <w:trHeight w:val="170"/>
        </w:trPr>
        <w:tc>
          <w:tcPr>
            <w:tcW w:w="6663" w:type="dxa"/>
            <w:tcBorders>
              <w:bottom w:val="single" w:sz="4" w:space="0" w:color="auto"/>
            </w:tcBorders>
            <w:shd w:val="clear" w:color="auto" w:fill="auto"/>
            <w:vAlign w:val="center"/>
            <w:hideMark/>
          </w:tcPr>
          <w:p w14:paraId="0BC58D8C"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Uygulanacak İndirim Esaslarında Aşım Tutarının Altında Kalan Tutarlar</w:t>
            </w:r>
          </w:p>
        </w:tc>
        <w:tc>
          <w:tcPr>
            <w:tcW w:w="1556" w:type="dxa"/>
            <w:tcBorders>
              <w:bottom w:val="single" w:sz="4" w:space="0" w:color="auto"/>
            </w:tcBorders>
            <w:shd w:val="clear" w:color="auto" w:fill="auto"/>
            <w:noWrap/>
            <w:vAlign w:val="bottom"/>
            <w:hideMark/>
          </w:tcPr>
          <w:p w14:paraId="34D3EA55" w14:textId="4AD83D84" w:rsidR="000D5178" w:rsidRPr="00872D7E" w:rsidRDefault="000D5178" w:rsidP="009213E5">
            <w:pPr>
              <w:jc w:val="right"/>
              <w:rPr>
                <w:b/>
                <w:bCs/>
                <w:color w:val="000000"/>
                <w:sz w:val="16"/>
                <w:szCs w:val="16"/>
                <w:lang w:eastAsia="tr-TR"/>
              </w:rPr>
            </w:pPr>
          </w:p>
        </w:tc>
        <w:tc>
          <w:tcPr>
            <w:tcW w:w="1556" w:type="dxa"/>
            <w:tcBorders>
              <w:bottom w:val="single" w:sz="4" w:space="0" w:color="auto"/>
            </w:tcBorders>
            <w:shd w:val="clear" w:color="auto" w:fill="auto"/>
            <w:noWrap/>
            <w:vAlign w:val="bottom"/>
            <w:hideMark/>
          </w:tcPr>
          <w:p w14:paraId="40D19ABE" w14:textId="64BCD548" w:rsidR="000D5178" w:rsidRPr="00872D7E" w:rsidRDefault="000D5178" w:rsidP="009213E5">
            <w:pPr>
              <w:jc w:val="right"/>
              <w:rPr>
                <w:b/>
                <w:bCs/>
                <w:color w:val="000000"/>
                <w:sz w:val="16"/>
                <w:szCs w:val="16"/>
                <w:lang w:eastAsia="tr-TR"/>
              </w:rPr>
            </w:pPr>
          </w:p>
        </w:tc>
      </w:tr>
      <w:tr w:rsidR="000D5178" w:rsidRPr="00872D7E" w14:paraId="736685D2" w14:textId="77777777" w:rsidTr="009213E5">
        <w:trPr>
          <w:divId w:val="1325159991"/>
          <w:trHeight w:val="170"/>
        </w:trPr>
        <w:tc>
          <w:tcPr>
            <w:tcW w:w="6663" w:type="dxa"/>
            <w:tcBorders>
              <w:top w:val="single" w:sz="4" w:space="0" w:color="auto"/>
            </w:tcBorders>
            <w:shd w:val="clear" w:color="auto" w:fill="auto"/>
            <w:vAlign w:val="center"/>
            <w:hideMark/>
          </w:tcPr>
          <w:p w14:paraId="22DA7865" w14:textId="77777777" w:rsidR="000D5178" w:rsidRPr="00872D7E" w:rsidRDefault="000D5178" w:rsidP="000D5178">
            <w:pPr>
              <w:rPr>
                <w:color w:val="000000"/>
                <w:sz w:val="16"/>
                <w:szCs w:val="16"/>
                <w:lang w:eastAsia="tr-TR"/>
              </w:rPr>
            </w:pPr>
            <w:r w:rsidRPr="00872D7E">
              <w:rPr>
                <w:color w:val="000000"/>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556" w:type="dxa"/>
            <w:tcBorders>
              <w:top w:val="single" w:sz="4" w:space="0" w:color="auto"/>
            </w:tcBorders>
            <w:shd w:val="clear" w:color="auto" w:fill="auto"/>
            <w:vAlign w:val="bottom"/>
            <w:hideMark/>
          </w:tcPr>
          <w:p w14:paraId="32496CAB" w14:textId="77777777" w:rsidR="000D5178" w:rsidRPr="00872D7E" w:rsidRDefault="000D5178" w:rsidP="009213E5">
            <w:pPr>
              <w:jc w:val="right"/>
              <w:rPr>
                <w:b/>
                <w:bCs/>
                <w:color w:val="000000"/>
                <w:sz w:val="16"/>
                <w:szCs w:val="16"/>
                <w:lang w:eastAsia="tr-TR"/>
              </w:rPr>
            </w:pPr>
            <w:r w:rsidRPr="00872D7E">
              <w:rPr>
                <w:color w:val="000000"/>
                <w:sz w:val="16"/>
                <w:szCs w:val="16"/>
                <w:lang w:eastAsia="tr-TR"/>
              </w:rPr>
              <w:t>-</w:t>
            </w:r>
          </w:p>
        </w:tc>
        <w:tc>
          <w:tcPr>
            <w:tcW w:w="1556" w:type="dxa"/>
            <w:tcBorders>
              <w:top w:val="single" w:sz="4" w:space="0" w:color="auto"/>
            </w:tcBorders>
            <w:shd w:val="clear" w:color="auto" w:fill="auto"/>
            <w:vAlign w:val="bottom"/>
            <w:hideMark/>
          </w:tcPr>
          <w:p w14:paraId="45DABBE1"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2139B75C" w14:textId="77777777" w:rsidTr="009213E5">
        <w:trPr>
          <w:divId w:val="1325159991"/>
          <w:trHeight w:val="170"/>
        </w:trPr>
        <w:tc>
          <w:tcPr>
            <w:tcW w:w="6663" w:type="dxa"/>
            <w:shd w:val="clear" w:color="auto" w:fill="auto"/>
            <w:vAlign w:val="center"/>
            <w:hideMark/>
          </w:tcPr>
          <w:p w14:paraId="3F28B663" w14:textId="77777777" w:rsidR="000D5178" w:rsidRPr="00872D7E" w:rsidRDefault="000D5178" w:rsidP="000D5178">
            <w:pPr>
              <w:rPr>
                <w:color w:val="000000"/>
                <w:sz w:val="16"/>
                <w:szCs w:val="16"/>
                <w:lang w:eastAsia="tr-TR"/>
              </w:rPr>
            </w:pPr>
            <w:r w:rsidRPr="00872D7E">
              <w:rPr>
                <w:color w:val="000000"/>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56" w:type="dxa"/>
            <w:shd w:val="clear" w:color="auto" w:fill="auto"/>
            <w:vAlign w:val="bottom"/>
            <w:hideMark/>
          </w:tcPr>
          <w:p w14:paraId="17E9B96D" w14:textId="77777777" w:rsidR="000D5178" w:rsidRPr="00872D7E" w:rsidRDefault="000D5178" w:rsidP="009213E5">
            <w:pPr>
              <w:jc w:val="right"/>
              <w:rPr>
                <w:b/>
                <w:bCs/>
                <w:color w:val="000000"/>
                <w:sz w:val="16"/>
                <w:szCs w:val="16"/>
                <w:lang w:eastAsia="tr-TR"/>
              </w:rPr>
            </w:pPr>
            <w:r w:rsidRPr="00872D7E">
              <w:rPr>
                <w:color w:val="000000"/>
                <w:sz w:val="16"/>
                <w:szCs w:val="16"/>
                <w:lang w:eastAsia="tr-TR"/>
              </w:rPr>
              <w:t>-</w:t>
            </w:r>
          </w:p>
        </w:tc>
        <w:tc>
          <w:tcPr>
            <w:tcW w:w="1556" w:type="dxa"/>
            <w:shd w:val="clear" w:color="auto" w:fill="auto"/>
            <w:vAlign w:val="bottom"/>
            <w:hideMark/>
          </w:tcPr>
          <w:p w14:paraId="7C7B4CAE"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4A25A78E" w14:textId="77777777" w:rsidTr="009213E5">
        <w:trPr>
          <w:divId w:val="1325159991"/>
          <w:trHeight w:val="170"/>
        </w:trPr>
        <w:tc>
          <w:tcPr>
            <w:tcW w:w="6663" w:type="dxa"/>
            <w:shd w:val="clear" w:color="auto" w:fill="auto"/>
            <w:vAlign w:val="center"/>
            <w:hideMark/>
          </w:tcPr>
          <w:p w14:paraId="3E3BF98C" w14:textId="77777777" w:rsidR="000D5178" w:rsidRPr="00872D7E" w:rsidRDefault="000D5178" w:rsidP="000D5178">
            <w:pPr>
              <w:rPr>
                <w:color w:val="000000"/>
                <w:sz w:val="16"/>
                <w:szCs w:val="16"/>
                <w:lang w:eastAsia="tr-TR"/>
              </w:rPr>
            </w:pPr>
            <w:r w:rsidRPr="00872D7E">
              <w:rPr>
                <w:color w:val="000000"/>
                <w:sz w:val="16"/>
                <w:szCs w:val="16"/>
                <w:lang w:eastAsia="tr-TR"/>
              </w:rPr>
              <w:t>İpotek hizmeti sunma haklarından kaynaklanan tutar</w:t>
            </w:r>
          </w:p>
        </w:tc>
        <w:tc>
          <w:tcPr>
            <w:tcW w:w="1556" w:type="dxa"/>
            <w:shd w:val="clear" w:color="auto" w:fill="auto"/>
            <w:vAlign w:val="bottom"/>
            <w:hideMark/>
          </w:tcPr>
          <w:p w14:paraId="1DE14162" w14:textId="77777777" w:rsidR="000D5178" w:rsidRPr="00872D7E" w:rsidRDefault="000D5178" w:rsidP="009213E5">
            <w:pPr>
              <w:jc w:val="right"/>
              <w:rPr>
                <w:b/>
                <w:bCs/>
                <w:color w:val="000000"/>
                <w:sz w:val="16"/>
                <w:szCs w:val="16"/>
                <w:lang w:eastAsia="tr-TR"/>
              </w:rPr>
            </w:pPr>
            <w:r w:rsidRPr="00872D7E">
              <w:rPr>
                <w:color w:val="000000"/>
                <w:sz w:val="16"/>
                <w:szCs w:val="16"/>
                <w:lang w:eastAsia="tr-TR"/>
              </w:rPr>
              <w:t>-</w:t>
            </w:r>
          </w:p>
        </w:tc>
        <w:tc>
          <w:tcPr>
            <w:tcW w:w="1556" w:type="dxa"/>
            <w:shd w:val="clear" w:color="auto" w:fill="auto"/>
            <w:vAlign w:val="bottom"/>
            <w:hideMark/>
          </w:tcPr>
          <w:p w14:paraId="6596180D"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32B45995" w14:textId="77777777" w:rsidTr="009213E5">
        <w:trPr>
          <w:divId w:val="1325159991"/>
          <w:trHeight w:val="170"/>
        </w:trPr>
        <w:tc>
          <w:tcPr>
            <w:tcW w:w="6663" w:type="dxa"/>
            <w:shd w:val="clear" w:color="auto" w:fill="auto"/>
            <w:vAlign w:val="center"/>
            <w:hideMark/>
          </w:tcPr>
          <w:p w14:paraId="2199BD97" w14:textId="77777777" w:rsidR="000D5178" w:rsidRPr="00872D7E" w:rsidRDefault="000D5178" w:rsidP="000D5178">
            <w:pPr>
              <w:rPr>
                <w:color w:val="000000"/>
                <w:sz w:val="16"/>
                <w:szCs w:val="16"/>
                <w:lang w:eastAsia="tr-TR"/>
              </w:rPr>
            </w:pPr>
            <w:r w:rsidRPr="00872D7E">
              <w:rPr>
                <w:color w:val="000000"/>
                <w:sz w:val="16"/>
                <w:szCs w:val="16"/>
                <w:lang w:eastAsia="tr-TR"/>
              </w:rPr>
              <w:t>Geçici farklara dayanan ertelenmiş vergi varlıklarından kaynaklanan tutar</w:t>
            </w:r>
          </w:p>
        </w:tc>
        <w:tc>
          <w:tcPr>
            <w:tcW w:w="1556" w:type="dxa"/>
            <w:shd w:val="clear" w:color="auto" w:fill="auto"/>
            <w:vAlign w:val="bottom"/>
            <w:hideMark/>
          </w:tcPr>
          <w:p w14:paraId="220B1CE1"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bottom"/>
            <w:hideMark/>
          </w:tcPr>
          <w:p w14:paraId="1F5FA11B"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2F03D693" w14:textId="77777777" w:rsidTr="009213E5">
        <w:trPr>
          <w:divId w:val="1325159991"/>
          <w:trHeight w:val="170"/>
        </w:trPr>
        <w:tc>
          <w:tcPr>
            <w:tcW w:w="6663" w:type="dxa"/>
            <w:tcBorders>
              <w:bottom w:val="single" w:sz="4" w:space="0" w:color="auto"/>
            </w:tcBorders>
            <w:shd w:val="clear" w:color="auto" w:fill="auto"/>
            <w:vAlign w:val="center"/>
            <w:hideMark/>
          </w:tcPr>
          <w:p w14:paraId="4BDD7BA0"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Katkı Sermaye Hesaplamasında Dikkate Alınan Karşılıklara İlişkin Sınırlar</w:t>
            </w:r>
          </w:p>
        </w:tc>
        <w:tc>
          <w:tcPr>
            <w:tcW w:w="1556" w:type="dxa"/>
            <w:tcBorders>
              <w:bottom w:val="single" w:sz="4" w:space="0" w:color="auto"/>
            </w:tcBorders>
            <w:shd w:val="clear" w:color="auto" w:fill="auto"/>
            <w:noWrap/>
            <w:vAlign w:val="bottom"/>
            <w:hideMark/>
          </w:tcPr>
          <w:p w14:paraId="0ADC8271" w14:textId="3B4F0D50" w:rsidR="000D5178" w:rsidRPr="00872D7E" w:rsidRDefault="000D5178" w:rsidP="009213E5">
            <w:pPr>
              <w:jc w:val="right"/>
              <w:rPr>
                <w:b/>
                <w:bCs/>
                <w:color w:val="000000"/>
                <w:sz w:val="16"/>
                <w:szCs w:val="16"/>
                <w:lang w:eastAsia="tr-TR"/>
              </w:rPr>
            </w:pPr>
          </w:p>
        </w:tc>
        <w:tc>
          <w:tcPr>
            <w:tcW w:w="1556" w:type="dxa"/>
            <w:tcBorders>
              <w:bottom w:val="single" w:sz="4" w:space="0" w:color="auto"/>
            </w:tcBorders>
            <w:shd w:val="clear" w:color="auto" w:fill="auto"/>
            <w:noWrap/>
            <w:vAlign w:val="bottom"/>
            <w:hideMark/>
          </w:tcPr>
          <w:p w14:paraId="4884F04F" w14:textId="62BE8DF4" w:rsidR="000D5178" w:rsidRPr="00872D7E" w:rsidRDefault="000D5178" w:rsidP="009213E5">
            <w:pPr>
              <w:jc w:val="right"/>
              <w:rPr>
                <w:b/>
                <w:bCs/>
                <w:color w:val="000000"/>
                <w:sz w:val="16"/>
                <w:szCs w:val="16"/>
                <w:lang w:eastAsia="tr-TR"/>
              </w:rPr>
            </w:pPr>
          </w:p>
        </w:tc>
      </w:tr>
      <w:tr w:rsidR="000D5178" w:rsidRPr="00872D7E" w14:paraId="66864149" w14:textId="77777777" w:rsidTr="009213E5">
        <w:trPr>
          <w:divId w:val="1325159991"/>
          <w:trHeight w:val="170"/>
        </w:trPr>
        <w:tc>
          <w:tcPr>
            <w:tcW w:w="6663" w:type="dxa"/>
            <w:tcBorders>
              <w:top w:val="single" w:sz="4" w:space="0" w:color="auto"/>
            </w:tcBorders>
            <w:shd w:val="clear" w:color="auto" w:fill="auto"/>
            <w:vAlign w:val="center"/>
            <w:hideMark/>
          </w:tcPr>
          <w:p w14:paraId="414B9101" w14:textId="77777777" w:rsidR="000D5178" w:rsidRPr="00872D7E" w:rsidRDefault="000D5178" w:rsidP="000D5178">
            <w:pPr>
              <w:rPr>
                <w:color w:val="000000"/>
                <w:sz w:val="16"/>
                <w:szCs w:val="16"/>
                <w:lang w:eastAsia="tr-TR"/>
              </w:rPr>
            </w:pPr>
            <w:r w:rsidRPr="00872D7E">
              <w:rPr>
                <w:color w:val="000000"/>
                <w:sz w:val="16"/>
                <w:szCs w:val="16"/>
                <w:lang w:eastAsia="tr-TR"/>
              </w:rPr>
              <w:t>Standart yaklaşımın kullanıldığı alacaklar için ayrılan genel karşılıklar (Onbindeyüzyirmibeşlik sınır öncesi)</w:t>
            </w:r>
          </w:p>
        </w:tc>
        <w:tc>
          <w:tcPr>
            <w:tcW w:w="1556" w:type="dxa"/>
            <w:tcBorders>
              <w:top w:val="single" w:sz="4" w:space="0" w:color="auto"/>
            </w:tcBorders>
            <w:shd w:val="clear" w:color="auto" w:fill="auto"/>
            <w:vAlign w:val="bottom"/>
            <w:hideMark/>
          </w:tcPr>
          <w:p w14:paraId="0B06B7C5"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86.578</w:t>
            </w:r>
          </w:p>
        </w:tc>
        <w:tc>
          <w:tcPr>
            <w:tcW w:w="1556" w:type="dxa"/>
            <w:tcBorders>
              <w:top w:val="single" w:sz="4" w:space="0" w:color="auto"/>
            </w:tcBorders>
            <w:shd w:val="clear" w:color="auto" w:fill="auto"/>
            <w:vAlign w:val="bottom"/>
            <w:hideMark/>
          </w:tcPr>
          <w:p w14:paraId="1BC4C354"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88</w:t>
            </w:r>
          </w:p>
        </w:tc>
      </w:tr>
      <w:tr w:rsidR="000D5178" w:rsidRPr="00872D7E" w14:paraId="62A6081A" w14:textId="77777777" w:rsidTr="009213E5">
        <w:trPr>
          <w:divId w:val="1325159991"/>
          <w:trHeight w:val="170"/>
        </w:trPr>
        <w:tc>
          <w:tcPr>
            <w:tcW w:w="6663" w:type="dxa"/>
            <w:shd w:val="clear" w:color="auto" w:fill="auto"/>
            <w:vAlign w:val="center"/>
            <w:hideMark/>
          </w:tcPr>
          <w:p w14:paraId="47836A35" w14:textId="77777777" w:rsidR="000D5178" w:rsidRPr="00872D7E" w:rsidRDefault="000D5178" w:rsidP="000D5178">
            <w:pPr>
              <w:rPr>
                <w:color w:val="000000"/>
                <w:sz w:val="16"/>
                <w:szCs w:val="16"/>
                <w:lang w:eastAsia="tr-TR"/>
              </w:rPr>
            </w:pPr>
            <w:r w:rsidRPr="00872D7E">
              <w:rPr>
                <w:color w:val="000000"/>
                <w:sz w:val="16"/>
                <w:szCs w:val="16"/>
                <w:lang w:eastAsia="tr-TR"/>
              </w:rPr>
              <w:t>Standart yaklaşımın kullanıldığı alacaklar için ayrılan genel karşılıkların risk ağırlıklı tutarlar toplamının %1,25’ine kadar olan kısmı</w:t>
            </w:r>
          </w:p>
        </w:tc>
        <w:tc>
          <w:tcPr>
            <w:tcW w:w="1556" w:type="dxa"/>
            <w:shd w:val="clear" w:color="auto" w:fill="auto"/>
            <w:vAlign w:val="bottom"/>
            <w:hideMark/>
          </w:tcPr>
          <w:p w14:paraId="178E412F"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86.578</w:t>
            </w:r>
          </w:p>
        </w:tc>
        <w:tc>
          <w:tcPr>
            <w:tcW w:w="1556" w:type="dxa"/>
            <w:shd w:val="clear" w:color="auto" w:fill="auto"/>
            <w:vAlign w:val="bottom"/>
            <w:hideMark/>
          </w:tcPr>
          <w:p w14:paraId="476757F4"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88</w:t>
            </w:r>
          </w:p>
        </w:tc>
      </w:tr>
      <w:tr w:rsidR="000D5178" w:rsidRPr="00872D7E" w14:paraId="52F0B71B" w14:textId="77777777" w:rsidTr="009213E5">
        <w:trPr>
          <w:divId w:val="1325159991"/>
          <w:trHeight w:val="170"/>
        </w:trPr>
        <w:tc>
          <w:tcPr>
            <w:tcW w:w="6663" w:type="dxa"/>
            <w:shd w:val="clear" w:color="auto" w:fill="auto"/>
            <w:vAlign w:val="center"/>
            <w:hideMark/>
          </w:tcPr>
          <w:p w14:paraId="1691ACD5" w14:textId="77777777" w:rsidR="000D5178" w:rsidRPr="00872D7E" w:rsidRDefault="000D5178" w:rsidP="000D5178">
            <w:pPr>
              <w:rPr>
                <w:color w:val="000000"/>
                <w:sz w:val="16"/>
                <w:szCs w:val="16"/>
                <w:lang w:eastAsia="tr-TR"/>
              </w:rPr>
            </w:pPr>
            <w:r w:rsidRPr="00872D7E">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56" w:type="dxa"/>
            <w:shd w:val="clear" w:color="auto" w:fill="auto"/>
            <w:vAlign w:val="bottom"/>
            <w:hideMark/>
          </w:tcPr>
          <w:p w14:paraId="6DA0239E"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bottom"/>
            <w:hideMark/>
          </w:tcPr>
          <w:p w14:paraId="3383661A"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352E20F2" w14:textId="77777777" w:rsidTr="009213E5">
        <w:trPr>
          <w:divId w:val="1325159991"/>
          <w:trHeight w:val="170"/>
        </w:trPr>
        <w:tc>
          <w:tcPr>
            <w:tcW w:w="6663" w:type="dxa"/>
            <w:shd w:val="clear" w:color="auto" w:fill="auto"/>
            <w:vAlign w:val="center"/>
            <w:hideMark/>
          </w:tcPr>
          <w:p w14:paraId="77AD6178" w14:textId="77777777" w:rsidR="000D5178" w:rsidRPr="00872D7E" w:rsidRDefault="000D5178" w:rsidP="000D5178">
            <w:pPr>
              <w:rPr>
                <w:color w:val="000000"/>
                <w:sz w:val="16"/>
                <w:szCs w:val="16"/>
                <w:lang w:eastAsia="tr-TR"/>
              </w:rPr>
            </w:pPr>
            <w:r w:rsidRPr="00872D7E">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56" w:type="dxa"/>
            <w:shd w:val="clear" w:color="auto" w:fill="auto"/>
            <w:vAlign w:val="bottom"/>
            <w:hideMark/>
          </w:tcPr>
          <w:p w14:paraId="5181308E"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c>
          <w:tcPr>
            <w:tcW w:w="1556" w:type="dxa"/>
            <w:shd w:val="clear" w:color="auto" w:fill="auto"/>
            <w:vAlign w:val="bottom"/>
            <w:hideMark/>
          </w:tcPr>
          <w:p w14:paraId="64308A15"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170F0629" w14:textId="77777777" w:rsidTr="009213E5">
        <w:trPr>
          <w:divId w:val="1325159991"/>
          <w:trHeight w:val="170"/>
        </w:trPr>
        <w:tc>
          <w:tcPr>
            <w:tcW w:w="6663" w:type="dxa"/>
            <w:tcBorders>
              <w:bottom w:val="single" w:sz="4" w:space="0" w:color="auto"/>
            </w:tcBorders>
            <w:shd w:val="clear" w:color="auto" w:fill="auto"/>
            <w:vAlign w:val="center"/>
            <w:hideMark/>
          </w:tcPr>
          <w:p w14:paraId="45B2AB2C" w14:textId="77777777" w:rsidR="000D5178" w:rsidRPr="00872D7E" w:rsidRDefault="000D5178" w:rsidP="000D5178">
            <w:pPr>
              <w:rPr>
                <w:b/>
                <w:bCs/>
                <w:color w:val="000000"/>
                <w:sz w:val="16"/>
                <w:szCs w:val="16"/>
                <w:lang w:eastAsia="tr-TR"/>
              </w:rPr>
            </w:pPr>
            <w:r w:rsidRPr="00872D7E">
              <w:rPr>
                <w:b/>
                <w:bCs/>
                <w:color w:val="000000"/>
                <w:sz w:val="16"/>
                <w:szCs w:val="16"/>
                <w:lang w:eastAsia="tr-TR"/>
              </w:rPr>
              <w:t>Geçici Madde 4 hükümlerine tabi borçlanma araçları (1 Ocak 2018 ve 1 Ocak 2022 arasında uygulanmak üzere)</w:t>
            </w:r>
          </w:p>
        </w:tc>
        <w:tc>
          <w:tcPr>
            <w:tcW w:w="1556" w:type="dxa"/>
            <w:tcBorders>
              <w:bottom w:val="single" w:sz="4" w:space="0" w:color="auto"/>
            </w:tcBorders>
            <w:shd w:val="clear" w:color="auto" w:fill="auto"/>
            <w:noWrap/>
            <w:vAlign w:val="bottom"/>
            <w:hideMark/>
          </w:tcPr>
          <w:p w14:paraId="725D86DB" w14:textId="4358A5F4" w:rsidR="000D5178" w:rsidRPr="00872D7E" w:rsidRDefault="000D5178" w:rsidP="009213E5">
            <w:pPr>
              <w:jc w:val="right"/>
              <w:rPr>
                <w:color w:val="000000"/>
                <w:sz w:val="16"/>
                <w:szCs w:val="16"/>
                <w:lang w:eastAsia="tr-TR"/>
              </w:rPr>
            </w:pPr>
          </w:p>
        </w:tc>
        <w:tc>
          <w:tcPr>
            <w:tcW w:w="1556" w:type="dxa"/>
            <w:tcBorders>
              <w:bottom w:val="single" w:sz="4" w:space="0" w:color="auto"/>
            </w:tcBorders>
            <w:shd w:val="clear" w:color="auto" w:fill="auto"/>
            <w:noWrap/>
            <w:vAlign w:val="bottom"/>
            <w:hideMark/>
          </w:tcPr>
          <w:p w14:paraId="090B7187" w14:textId="3AE35317" w:rsidR="000D5178" w:rsidRPr="00872D7E" w:rsidRDefault="000D5178" w:rsidP="009213E5">
            <w:pPr>
              <w:jc w:val="right"/>
              <w:rPr>
                <w:color w:val="000000"/>
                <w:sz w:val="16"/>
                <w:szCs w:val="16"/>
                <w:lang w:eastAsia="tr-TR"/>
              </w:rPr>
            </w:pPr>
          </w:p>
        </w:tc>
      </w:tr>
      <w:tr w:rsidR="000D5178" w:rsidRPr="00872D7E" w14:paraId="53199FD4" w14:textId="77777777" w:rsidTr="009213E5">
        <w:trPr>
          <w:divId w:val="1325159991"/>
          <w:trHeight w:val="170"/>
        </w:trPr>
        <w:tc>
          <w:tcPr>
            <w:tcW w:w="6663" w:type="dxa"/>
            <w:tcBorders>
              <w:top w:val="single" w:sz="4" w:space="0" w:color="auto"/>
            </w:tcBorders>
            <w:shd w:val="clear" w:color="auto" w:fill="auto"/>
            <w:vAlign w:val="center"/>
            <w:hideMark/>
          </w:tcPr>
          <w:p w14:paraId="366C1CA0" w14:textId="77777777" w:rsidR="000D5178" w:rsidRPr="00872D7E" w:rsidRDefault="000D5178" w:rsidP="000D5178">
            <w:pPr>
              <w:rPr>
                <w:color w:val="000000"/>
                <w:sz w:val="16"/>
                <w:szCs w:val="16"/>
                <w:lang w:eastAsia="tr-TR"/>
              </w:rPr>
            </w:pPr>
            <w:r w:rsidRPr="00872D7E">
              <w:rPr>
                <w:color w:val="000000"/>
                <w:sz w:val="16"/>
                <w:szCs w:val="16"/>
                <w:lang w:eastAsia="tr-TR"/>
              </w:rPr>
              <w:t>Geçici Madde 4 hükümlerine tabi ilave ana sermaye kalemlerine ilişkin üst sınır</w:t>
            </w:r>
          </w:p>
        </w:tc>
        <w:tc>
          <w:tcPr>
            <w:tcW w:w="1556" w:type="dxa"/>
            <w:tcBorders>
              <w:top w:val="single" w:sz="4" w:space="0" w:color="auto"/>
            </w:tcBorders>
            <w:shd w:val="clear" w:color="auto" w:fill="auto"/>
            <w:vAlign w:val="bottom"/>
            <w:hideMark/>
          </w:tcPr>
          <w:p w14:paraId="6C92F5C5" w14:textId="77777777" w:rsidR="000D5178" w:rsidRPr="00872D7E" w:rsidRDefault="000D5178" w:rsidP="009213E5">
            <w:pPr>
              <w:jc w:val="right"/>
              <w:rPr>
                <w:b/>
                <w:bCs/>
                <w:color w:val="000000"/>
                <w:sz w:val="16"/>
                <w:szCs w:val="16"/>
                <w:lang w:eastAsia="tr-TR"/>
              </w:rPr>
            </w:pPr>
            <w:r w:rsidRPr="00872D7E">
              <w:rPr>
                <w:color w:val="000000"/>
                <w:sz w:val="16"/>
                <w:szCs w:val="16"/>
                <w:lang w:eastAsia="tr-TR"/>
              </w:rPr>
              <w:t>-</w:t>
            </w:r>
          </w:p>
        </w:tc>
        <w:tc>
          <w:tcPr>
            <w:tcW w:w="1556" w:type="dxa"/>
            <w:tcBorders>
              <w:top w:val="single" w:sz="4" w:space="0" w:color="auto"/>
            </w:tcBorders>
            <w:shd w:val="clear" w:color="auto" w:fill="auto"/>
            <w:vAlign w:val="bottom"/>
            <w:hideMark/>
          </w:tcPr>
          <w:p w14:paraId="5CEB89FD"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2FB5511A" w14:textId="77777777" w:rsidTr="009213E5">
        <w:trPr>
          <w:divId w:val="1325159991"/>
          <w:trHeight w:val="170"/>
        </w:trPr>
        <w:tc>
          <w:tcPr>
            <w:tcW w:w="6663" w:type="dxa"/>
            <w:shd w:val="clear" w:color="auto" w:fill="auto"/>
            <w:vAlign w:val="center"/>
            <w:hideMark/>
          </w:tcPr>
          <w:p w14:paraId="19155798" w14:textId="77777777" w:rsidR="000D5178" w:rsidRPr="00872D7E" w:rsidRDefault="000D5178" w:rsidP="000D5178">
            <w:pPr>
              <w:rPr>
                <w:color w:val="000000"/>
                <w:sz w:val="16"/>
                <w:szCs w:val="16"/>
                <w:lang w:eastAsia="tr-TR"/>
              </w:rPr>
            </w:pPr>
            <w:r w:rsidRPr="00872D7E">
              <w:rPr>
                <w:color w:val="000000"/>
                <w:sz w:val="16"/>
                <w:szCs w:val="16"/>
                <w:lang w:eastAsia="tr-TR"/>
              </w:rPr>
              <w:t>Geçici Madde 4 hükümlerine tabi ilave ana sermaye kalemlerinin üst sınırı aşan kısmı</w:t>
            </w:r>
          </w:p>
        </w:tc>
        <w:tc>
          <w:tcPr>
            <w:tcW w:w="1556" w:type="dxa"/>
            <w:shd w:val="clear" w:color="auto" w:fill="auto"/>
            <w:vAlign w:val="bottom"/>
            <w:hideMark/>
          </w:tcPr>
          <w:p w14:paraId="62CE11F2" w14:textId="77777777" w:rsidR="000D5178" w:rsidRPr="00872D7E" w:rsidRDefault="000D5178" w:rsidP="009213E5">
            <w:pPr>
              <w:jc w:val="right"/>
              <w:rPr>
                <w:b/>
                <w:bCs/>
                <w:color w:val="000000"/>
                <w:sz w:val="16"/>
                <w:szCs w:val="16"/>
                <w:lang w:eastAsia="tr-TR"/>
              </w:rPr>
            </w:pPr>
            <w:r w:rsidRPr="00872D7E">
              <w:rPr>
                <w:color w:val="000000"/>
                <w:sz w:val="16"/>
                <w:szCs w:val="16"/>
                <w:lang w:eastAsia="tr-TR"/>
              </w:rPr>
              <w:t>-</w:t>
            </w:r>
          </w:p>
        </w:tc>
        <w:tc>
          <w:tcPr>
            <w:tcW w:w="1556" w:type="dxa"/>
            <w:shd w:val="clear" w:color="auto" w:fill="auto"/>
            <w:vAlign w:val="bottom"/>
            <w:hideMark/>
          </w:tcPr>
          <w:p w14:paraId="169365CE"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57003EE8" w14:textId="77777777" w:rsidTr="009213E5">
        <w:trPr>
          <w:divId w:val="1325159991"/>
          <w:trHeight w:val="170"/>
        </w:trPr>
        <w:tc>
          <w:tcPr>
            <w:tcW w:w="6663" w:type="dxa"/>
            <w:shd w:val="clear" w:color="auto" w:fill="auto"/>
            <w:vAlign w:val="center"/>
            <w:hideMark/>
          </w:tcPr>
          <w:p w14:paraId="59F50DF0" w14:textId="77777777" w:rsidR="000D5178" w:rsidRPr="00872D7E" w:rsidRDefault="000D5178" w:rsidP="000D5178">
            <w:pPr>
              <w:rPr>
                <w:color w:val="000000"/>
                <w:sz w:val="16"/>
                <w:szCs w:val="16"/>
                <w:lang w:eastAsia="tr-TR"/>
              </w:rPr>
            </w:pPr>
            <w:r w:rsidRPr="00872D7E">
              <w:rPr>
                <w:color w:val="000000"/>
                <w:sz w:val="16"/>
                <w:szCs w:val="16"/>
                <w:lang w:eastAsia="tr-TR"/>
              </w:rPr>
              <w:t>Geçici Madde 4 hükümlerine tabi katkı sermaye kalemlerine ilişkin üst sınır</w:t>
            </w:r>
          </w:p>
        </w:tc>
        <w:tc>
          <w:tcPr>
            <w:tcW w:w="1556" w:type="dxa"/>
            <w:shd w:val="clear" w:color="auto" w:fill="auto"/>
            <w:vAlign w:val="bottom"/>
            <w:hideMark/>
          </w:tcPr>
          <w:p w14:paraId="29249292" w14:textId="77777777" w:rsidR="000D5178" w:rsidRPr="00872D7E" w:rsidRDefault="000D5178" w:rsidP="009213E5">
            <w:pPr>
              <w:jc w:val="right"/>
              <w:rPr>
                <w:b/>
                <w:bCs/>
                <w:color w:val="000000"/>
                <w:sz w:val="16"/>
                <w:szCs w:val="16"/>
                <w:lang w:eastAsia="tr-TR"/>
              </w:rPr>
            </w:pPr>
            <w:r w:rsidRPr="00872D7E">
              <w:rPr>
                <w:color w:val="000000"/>
                <w:sz w:val="16"/>
                <w:szCs w:val="16"/>
                <w:lang w:eastAsia="tr-TR"/>
              </w:rPr>
              <w:t>-</w:t>
            </w:r>
          </w:p>
        </w:tc>
        <w:tc>
          <w:tcPr>
            <w:tcW w:w="1556" w:type="dxa"/>
            <w:shd w:val="clear" w:color="auto" w:fill="auto"/>
            <w:vAlign w:val="bottom"/>
            <w:hideMark/>
          </w:tcPr>
          <w:p w14:paraId="7B17B178"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r w:rsidR="000D5178" w:rsidRPr="00872D7E" w14:paraId="7CB714BD" w14:textId="77777777" w:rsidTr="009213E5">
        <w:trPr>
          <w:divId w:val="1325159991"/>
          <w:trHeight w:val="170"/>
        </w:trPr>
        <w:tc>
          <w:tcPr>
            <w:tcW w:w="6663" w:type="dxa"/>
            <w:tcBorders>
              <w:bottom w:val="single" w:sz="4" w:space="0" w:color="auto"/>
            </w:tcBorders>
            <w:shd w:val="clear" w:color="auto" w:fill="auto"/>
            <w:vAlign w:val="center"/>
            <w:hideMark/>
          </w:tcPr>
          <w:p w14:paraId="3F7A1CED" w14:textId="77777777" w:rsidR="000D5178" w:rsidRPr="00872D7E" w:rsidRDefault="000D5178" w:rsidP="000D5178">
            <w:pPr>
              <w:rPr>
                <w:color w:val="000000"/>
                <w:sz w:val="16"/>
                <w:szCs w:val="16"/>
                <w:lang w:eastAsia="tr-TR"/>
              </w:rPr>
            </w:pPr>
            <w:r w:rsidRPr="00872D7E">
              <w:rPr>
                <w:color w:val="000000"/>
                <w:sz w:val="16"/>
                <w:szCs w:val="16"/>
                <w:lang w:eastAsia="tr-TR"/>
              </w:rPr>
              <w:t>Geçici Madde 4 hükümlerine tabi katkı sermaye kalemlerinin üst sınırı aşan kısmı</w:t>
            </w:r>
          </w:p>
        </w:tc>
        <w:tc>
          <w:tcPr>
            <w:tcW w:w="1556" w:type="dxa"/>
            <w:tcBorders>
              <w:bottom w:val="single" w:sz="4" w:space="0" w:color="auto"/>
            </w:tcBorders>
            <w:shd w:val="clear" w:color="auto" w:fill="auto"/>
            <w:vAlign w:val="bottom"/>
            <w:hideMark/>
          </w:tcPr>
          <w:p w14:paraId="4AB49759"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c>
          <w:tcPr>
            <w:tcW w:w="1556" w:type="dxa"/>
            <w:tcBorders>
              <w:bottom w:val="single" w:sz="4" w:space="0" w:color="auto"/>
            </w:tcBorders>
            <w:shd w:val="clear" w:color="auto" w:fill="auto"/>
            <w:vAlign w:val="bottom"/>
            <w:hideMark/>
          </w:tcPr>
          <w:p w14:paraId="0D1F16B7" w14:textId="77777777" w:rsidR="000D5178" w:rsidRPr="00872D7E" w:rsidRDefault="000D5178" w:rsidP="009213E5">
            <w:pPr>
              <w:jc w:val="right"/>
              <w:rPr>
                <w:b/>
                <w:bCs/>
                <w:color w:val="000000"/>
                <w:sz w:val="16"/>
                <w:szCs w:val="16"/>
                <w:lang w:eastAsia="tr-TR"/>
              </w:rPr>
            </w:pPr>
            <w:r w:rsidRPr="00872D7E">
              <w:rPr>
                <w:b/>
                <w:bCs/>
                <w:color w:val="000000"/>
                <w:sz w:val="16"/>
                <w:szCs w:val="16"/>
                <w:lang w:eastAsia="tr-TR"/>
              </w:rPr>
              <w:t>-</w:t>
            </w:r>
          </w:p>
        </w:tc>
      </w:tr>
    </w:tbl>
    <w:p w14:paraId="3E26F5D2" w14:textId="4F24E97E" w:rsidR="00A37418" w:rsidRPr="00872D7E" w:rsidRDefault="00A37418" w:rsidP="008B6ADA"/>
    <w:p w14:paraId="6F56B756" w14:textId="46EC8EC0" w:rsidR="00F66E71" w:rsidRPr="00872D7E" w:rsidRDefault="00F66E71" w:rsidP="00150D23">
      <w:pPr>
        <w:widowControl w:val="0"/>
        <w:tabs>
          <w:tab w:val="left" w:pos="426"/>
          <w:tab w:val="left" w:pos="6830"/>
          <w:tab w:val="left" w:pos="7986"/>
        </w:tabs>
        <w:ind w:right="-19"/>
        <w:rPr>
          <w:color w:val="000000"/>
          <w:sz w:val="16"/>
          <w:szCs w:val="16"/>
        </w:rPr>
      </w:pPr>
      <w:r w:rsidRPr="00872D7E">
        <w:rPr>
          <w:szCs w:val="20"/>
        </w:rPr>
        <w:br w:type="page"/>
      </w:r>
    </w:p>
    <w:p w14:paraId="1180B439" w14:textId="77777777" w:rsidR="00D8352C" w:rsidRPr="00872D7E" w:rsidRDefault="00D8352C" w:rsidP="009213E5">
      <w:pPr>
        <w:rPr>
          <w:b/>
          <w:szCs w:val="20"/>
        </w:rPr>
      </w:pPr>
      <w:bookmarkStart w:id="29" w:name="_Hlk70322411"/>
      <w:r w:rsidRPr="00872D7E">
        <w:rPr>
          <w:b/>
          <w:szCs w:val="20"/>
        </w:rPr>
        <w:lastRenderedPageBreak/>
        <w:t>MALİ BÜNYEYE VE RİSK YÖNETİMİNE İLİŞKİN BİLGİLER (Devamı)</w:t>
      </w:r>
    </w:p>
    <w:p w14:paraId="3E9B2BAD" w14:textId="77777777" w:rsidR="00B857EA" w:rsidRPr="00872D7E" w:rsidRDefault="00B857EA" w:rsidP="009213E5">
      <w:pPr>
        <w:pStyle w:val="ListParagraph"/>
        <w:widowControl w:val="0"/>
        <w:ind w:left="-426"/>
        <w:rPr>
          <w:b/>
          <w:szCs w:val="20"/>
        </w:rPr>
      </w:pPr>
    </w:p>
    <w:bookmarkEnd w:id="29"/>
    <w:p w14:paraId="1BD5BB9D" w14:textId="23E9148B" w:rsidR="00584F22" w:rsidRPr="00872D7E" w:rsidRDefault="00BE7741" w:rsidP="009213E5">
      <w:pPr>
        <w:widowControl w:val="0"/>
        <w:autoSpaceDE w:val="0"/>
        <w:autoSpaceDN w:val="0"/>
        <w:adjustRightInd w:val="0"/>
        <w:ind w:left="851" w:right="-1" w:hanging="851"/>
        <w:jc w:val="both"/>
        <w:rPr>
          <w:b/>
          <w:szCs w:val="20"/>
        </w:rPr>
      </w:pPr>
      <w:r w:rsidRPr="00872D7E">
        <w:rPr>
          <w:b/>
          <w:szCs w:val="20"/>
        </w:rPr>
        <w:t>II</w:t>
      </w:r>
      <w:r w:rsidR="0057519E" w:rsidRPr="00872D7E">
        <w:rPr>
          <w:b/>
          <w:szCs w:val="20"/>
        </w:rPr>
        <w:t>.</w:t>
      </w:r>
      <w:r w:rsidR="00D05182" w:rsidRPr="00872D7E">
        <w:rPr>
          <w:b/>
          <w:szCs w:val="20"/>
        </w:rPr>
        <w:tab/>
      </w:r>
      <w:r w:rsidR="006218A8" w:rsidRPr="00872D7E">
        <w:rPr>
          <w:b/>
          <w:szCs w:val="20"/>
        </w:rPr>
        <w:t>KREDİ RİSKİNE İLİŞKİN AÇIKLAMALAR</w:t>
      </w:r>
    </w:p>
    <w:p w14:paraId="55D7DBB1" w14:textId="77777777" w:rsidR="009213E5" w:rsidRPr="00872D7E" w:rsidRDefault="009213E5" w:rsidP="009213E5">
      <w:pPr>
        <w:widowControl w:val="0"/>
        <w:autoSpaceDE w:val="0"/>
        <w:autoSpaceDN w:val="0"/>
        <w:adjustRightInd w:val="0"/>
        <w:ind w:left="851" w:right="-1" w:hanging="851"/>
        <w:jc w:val="both"/>
        <w:rPr>
          <w:b/>
          <w:szCs w:val="20"/>
        </w:rPr>
      </w:pPr>
    </w:p>
    <w:p w14:paraId="6999CB6F" w14:textId="77777777" w:rsidR="00E9074B" w:rsidRPr="00872D7E" w:rsidRDefault="00F86FB5" w:rsidP="00BE3AAB">
      <w:pPr>
        <w:pStyle w:val="ListParagraph"/>
        <w:numPr>
          <w:ilvl w:val="0"/>
          <w:numId w:val="75"/>
        </w:numPr>
        <w:autoSpaceDE w:val="0"/>
        <w:autoSpaceDN w:val="0"/>
        <w:adjustRightInd w:val="0"/>
        <w:ind w:left="851" w:firstLine="0"/>
        <w:jc w:val="both"/>
        <w:rPr>
          <w:szCs w:val="20"/>
        </w:rPr>
      </w:pPr>
      <w:r w:rsidRPr="00872D7E">
        <w:rPr>
          <w:szCs w:val="20"/>
        </w:rPr>
        <w:t xml:space="preserve">Kredi riski, Banka’nın gerek nakdi gerekse gayri nakdi kredi ilişkisi içinde bulunduğu kurumsal ve bireysel müşterilerin, Banka ile yaptığı sözleşme gereklerine uymayarak yükümlülüğünü kısmen veya tamamen zamanında yerine getirememesinden oluşabilecek risk ve zararları ifade etmektedir. </w:t>
      </w:r>
    </w:p>
    <w:p w14:paraId="1EF2A9CF" w14:textId="77777777" w:rsidR="009213E5" w:rsidRPr="00872D7E" w:rsidRDefault="009213E5" w:rsidP="00BE3AAB">
      <w:pPr>
        <w:pStyle w:val="ListParagraph"/>
        <w:autoSpaceDE w:val="0"/>
        <w:autoSpaceDN w:val="0"/>
        <w:adjustRightInd w:val="0"/>
        <w:ind w:left="851"/>
        <w:jc w:val="both"/>
        <w:rPr>
          <w:szCs w:val="20"/>
        </w:rPr>
      </w:pPr>
    </w:p>
    <w:p w14:paraId="423DC22D" w14:textId="1F004D14" w:rsidR="00F86FB5" w:rsidRPr="00872D7E" w:rsidRDefault="00F86FB5" w:rsidP="00BE3AAB">
      <w:pPr>
        <w:pStyle w:val="ListParagraph"/>
        <w:autoSpaceDE w:val="0"/>
        <w:autoSpaceDN w:val="0"/>
        <w:adjustRightInd w:val="0"/>
        <w:ind w:left="851"/>
        <w:jc w:val="both"/>
        <w:rPr>
          <w:szCs w:val="20"/>
        </w:rPr>
      </w:pPr>
      <w:r w:rsidRPr="00872D7E">
        <w:rPr>
          <w:szCs w:val="20"/>
        </w:rPr>
        <w:t xml:space="preserve">Kredi tahsis yetkisi esas olarak Yönetim Kurulu’na ait olup, Yönetim Kurulu’nun verdiği yetkiye istinaden Banka’nın risk limitleri Genel Müdürlük Kredi Komitesi, Kredi Komitesi ve Yönetim Kurulu’nca belirlenmektedir. Genel Müdürlük Kredi komitesi bu yetkisinin bir kısmını veya tamamını, birimler veya şubeler aracılığı ile kullanabilmektedir. Kredi Komitesi’ne ve Yönetim Kurulu’na kredi teklifleri yazılı olarak sunulmaktadır. </w:t>
      </w:r>
    </w:p>
    <w:p w14:paraId="0211829C" w14:textId="77777777" w:rsidR="009213E5" w:rsidRPr="00872D7E" w:rsidRDefault="009213E5" w:rsidP="00BE3AAB">
      <w:pPr>
        <w:pStyle w:val="ListParagraph"/>
        <w:autoSpaceDE w:val="0"/>
        <w:autoSpaceDN w:val="0"/>
        <w:adjustRightInd w:val="0"/>
        <w:ind w:left="851"/>
        <w:jc w:val="both"/>
        <w:rPr>
          <w:szCs w:val="20"/>
        </w:rPr>
      </w:pPr>
    </w:p>
    <w:p w14:paraId="564F1316" w14:textId="77777777" w:rsidR="00F86FB5" w:rsidRPr="00872D7E" w:rsidRDefault="00F86FB5" w:rsidP="00BE3AAB">
      <w:pPr>
        <w:autoSpaceDE w:val="0"/>
        <w:autoSpaceDN w:val="0"/>
        <w:adjustRightInd w:val="0"/>
        <w:ind w:left="851"/>
        <w:jc w:val="both"/>
        <w:rPr>
          <w:szCs w:val="20"/>
        </w:rPr>
      </w:pPr>
      <w:r w:rsidRPr="00872D7E">
        <w:rPr>
          <w:szCs w:val="20"/>
        </w:rPr>
        <w:t xml:space="preserve">Kredi riski açısından, borçlu veya borçlular grubu risk sınırlamasına tabi tutulmaktadır. Kredi limitleri her bir bireysel müşteri, şirket, şirketler grubu ve risk grupları için ayrı ayrı belirlenmektedir. Kredi limitleri belirlenirken müşterilerin mali gücü, ticari kapasiteleri, sektörleri, coğrafi bölgeleri ve sermaye yapıları gibi birçok kriter bir arada değerlendirilmektedir. </w:t>
      </w:r>
    </w:p>
    <w:p w14:paraId="5C54DFAF" w14:textId="77777777" w:rsidR="009213E5" w:rsidRPr="00872D7E" w:rsidRDefault="009213E5" w:rsidP="00BE3AAB">
      <w:pPr>
        <w:autoSpaceDE w:val="0"/>
        <w:autoSpaceDN w:val="0"/>
        <w:adjustRightInd w:val="0"/>
        <w:ind w:left="851"/>
        <w:jc w:val="both"/>
        <w:rPr>
          <w:szCs w:val="20"/>
        </w:rPr>
      </w:pPr>
    </w:p>
    <w:p w14:paraId="329C0B8F" w14:textId="77777777" w:rsidR="00F86FB5" w:rsidRPr="00872D7E" w:rsidRDefault="00F86FB5" w:rsidP="00BE3AAB">
      <w:pPr>
        <w:autoSpaceDE w:val="0"/>
        <w:autoSpaceDN w:val="0"/>
        <w:adjustRightInd w:val="0"/>
        <w:ind w:left="851"/>
        <w:jc w:val="both"/>
        <w:rPr>
          <w:szCs w:val="20"/>
        </w:rPr>
      </w:pPr>
      <w:r w:rsidRPr="00872D7E">
        <w:rPr>
          <w:szCs w:val="20"/>
        </w:rPr>
        <w:t xml:space="preserve">Banka Yönetim Kurulu’nun aldığı karar gereği prensip olarak, bir gerçek ya da tüzel kişiye tahsis edilecek limitte üst sınır olarak banka özkaynaklarının %15’i dikkate alınır (Yönetim Kurulu Kararıyla belirtilen sınırın üzerinde limit tahsis yapılması tabiidir). Riskin sektörler arasında dengeli dağıtılmasına dikkat edilmekte, bu nedenle şubeler pazarlama faaliyetlerinde mümkün olduğunca değişik sektörlerden firmalara ulaşmaya gayret göstermektedirler. İlke olarak, her şube kendi bünyesindeki toplam riskin sektörler arasında dengeli dağılımını ve kritik görülen sektörlerdeki firmaların gelişimini gözetmektedir. </w:t>
      </w:r>
    </w:p>
    <w:p w14:paraId="51B0C0C7" w14:textId="77777777" w:rsidR="009213E5" w:rsidRPr="00872D7E" w:rsidRDefault="009213E5" w:rsidP="00BE3AAB">
      <w:pPr>
        <w:autoSpaceDE w:val="0"/>
        <w:autoSpaceDN w:val="0"/>
        <w:adjustRightInd w:val="0"/>
        <w:ind w:left="851"/>
        <w:jc w:val="both"/>
        <w:rPr>
          <w:szCs w:val="20"/>
        </w:rPr>
      </w:pPr>
    </w:p>
    <w:p w14:paraId="41636275" w14:textId="77777777" w:rsidR="00E9074B" w:rsidRPr="00872D7E" w:rsidRDefault="00F86FB5" w:rsidP="00BE3AAB">
      <w:pPr>
        <w:autoSpaceDE w:val="0"/>
        <w:autoSpaceDN w:val="0"/>
        <w:adjustRightInd w:val="0"/>
        <w:ind w:left="851"/>
        <w:jc w:val="both"/>
        <w:rPr>
          <w:szCs w:val="20"/>
        </w:rPr>
      </w:pPr>
      <w:r w:rsidRPr="00872D7E">
        <w:rPr>
          <w:szCs w:val="20"/>
        </w:rPr>
        <w:t>Kredi borçlularının kredibiliteleri düzenli aralıklarla ilgili mevzuata uygun şekilde izlenmektedir. Verilen krediler için hesap durumu belgeleri ilgili mevzuatta öngörüldüğü şekilde alınmakta, denetlenmekte ve gerektiği durumlarda güncellenmektedir.</w:t>
      </w:r>
    </w:p>
    <w:p w14:paraId="305C2921" w14:textId="77777777" w:rsidR="009213E5" w:rsidRPr="00872D7E" w:rsidRDefault="009213E5" w:rsidP="00BE3AAB">
      <w:pPr>
        <w:autoSpaceDE w:val="0"/>
        <w:autoSpaceDN w:val="0"/>
        <w:adjustRightInd w:val="0"/>
        <w:ind w:left="851"/>
        <w:jc w:val="both"/>
        <w:rPr>
          <w:szCs w:val="20"/>
        </w:rPr>
      </w:pPr>
    </w:p>
    <w:p w14:paraId="27743B40" w14:textId="033FCB35" w:rsidR="00F86FB5" w:rsidRPr="00872D7E" w:rsidRDefault="00F86FB5" w:rsidP="00BE3AAB">
      <w:pPr>
        <w:autoSpaceDE w:val="0"/>
        <w:autoSpaceDN w:val="0"/>
        <w:adjustRightInd w:val="0"/>
        <w:ind w:left="851"/>
        <w:jc w:val="both"/>
        <w:rPr>
          <w:szCs w:val="20"/>
        </w:rPr>
      </w:pPr>
      <w:r w:rsidRPr="00872D7E">
        <w:rPr>
          <w:szCs w:val="20"/>
        </w:rPr>
        <w:t>Kredi müşterilerinin kredi limitleri, Banka’nın kredi limit yenileme prosedürlerine uygun olarak periyodik olarak yenilenmektedir. Banka, kredi politikaları çerçevesinde kurumsal ve bireysel kredilerin değerliliğini analiz ederek, krediler için gerekli teminatları almaktadır. Kredi riski için alınan başlıca teminatlar, gayrimenkul ipotekleri, nakit blokajı ile araç ve makine rehinleridir.</w:t>
      </w:r>
    </w:p>
    <w:p w14:paraId="2BE86366" w14:textId="77777777" w:rsidR="009213E5" w:rsidRPr="00872D7E" w:rsidRDefault="009213E5" w:rsidP="00BE3AAB">
      <w:pPr>
        <w:autoSpaceDE w:val="0"/>
        <w:autoSpaceDN w:val="0"/>
        <w:adjustRightInd w:val="0"/>
        <w:ind w:left="851"/>
        <w:jc w:val="both"/>
        <w:rPr>
          <w:szCs w:val="20"/>
        </w:rPr>
      </w:pPr>
    </w:p>
    <w:p w14:paraId="3111D8F9" w14:textId="77777777" w:rsidR="00F86FB5" w:rsidRPr="00872D7E" w:rsidRDefault="00F86FB5" w:rsidP="00BE3AAB">
      <w:pPr>
        <w:autoSpaceDE w:val="0"/>
        <w:autoSpaceDN w:val="0"/>
        <w:adjustRightInd w:val="0"/>
        <w:ind w:left="851"/>
        <w:jc w:val="both"/>
        <w:rPr>
          <w:szCs w:val="20"/>
        </w:rPr>
      </w:pPr>
      <w:r w:rsidRPr="00872D7E">
        <w:rPr>
          <w:szCs w:val="20"/>
        </w:rPr>
        <w:t>Yurtiçi ve yurtdışı muhabir bankalarla yapılan plasman veya döviz alım satım gibi hazine işlemlerinde Kredi Komitesi’nin ve Yönetim Kurulu’nun her bir banka için tahsis ettiği limitler günlük olarak Hazine Yönetimi tarafından takip edilmektedir.</w:t>
      </w:r>
    </w:p>
    <w:p w14:paraId="327105E8" w14:textId="0D3A139A" w:rsidR="009213E5" w:rsidRPr="00872D7E" w:rsidRDefault="009213E5">
      <w:pPr>
        <w:rPr>
          <w:b/>
          <w:sz w:val="16"/>
          <w:szCs w:val="16"/>
        </w:rPr>
      </w:pPr>
      <w:r w:rsidRPr="00872D7E">
        <w:rPr>
          <w:b/>
          <w:sz w:val="16"/>
          <w:szCs w:val="16"/>
        </w:rPr>
        <w:br w:type="page"/>
      </w:r>
    </w:p>
    <w:p w14:paraId="395133DC" w14:textId="77777777" w:rsidR="009213E5" w:rsidRPr="00872D7E" w:rsidRDefault="009213E5" w:rsidP="009213E5">
      <w:pPr>
        <w:spacing w:line="228" w:lineRule="auto"/>
        <w:rPr>
          <w:b/>
          <w:szCs w:val="20"/>
        </w:rPr>
      </w:pPr>
      <w:r w:rsidRPr="00872D7E">
        <w:rPr>
          <w:b/>
          <w:szCs w:val="20"/>
        </w:rPr>
        <w:lastRenderedPageBreak/>
        <w:t>MALİ BÜNYEYE VE RİSK YÖNETİMİNE İLİŞKİN BİLGİLER (Devamı)</w:t>
      </w:r>
    </w:p>
    <w:p w14:paraId="4F8F46B0" w14:textId="77777777" w:rsidR="00BE3AAB" w:rsidRPr="00872D7E" w:rsidRDefault="00BE3AAB" w:rsidP="009213E5">
      <w:pPr>
        <w:autoSpaceDE w:val="0"/>
        <w:autoSpaceDN w:val="0"/>
        <w:adjustRightInd w:val="0"/>
        <w:spacing w:line="228" w:lineRule="auto"/>
        <w:jc w:val="both"/>
        <w:rPr>
          <w:b/>
          <w:szCs w:val="20"/>
        </w:rPr>
      </w:pPr>
    </w:p>
    <w:p w14:paraId="7B3F540A" w14:textId="341CCA72" w:rsidR="009213E5" w:rsidRPr="00872D7E" w:rsidRDefault="009213E5" w:rsidP="00BE3AAB">
      <w:pPr>
        <w:autoSpaceDE w:val="0"/>
        <w:autoSpaceDN w:val="0"/>
        <w:adjustRightInd w:val="0"/>
        <w:spacing w:line="228" w:lineRule="auto"/>
        <w:ind w:left="851" w:hanging="851"/>
        <w:jc w:val="both"/>
        <w:rPr>
          <w:b/>
          <w:szCs w:val="20"/>
        </w:rPr>
      </w:pPr>
      <w:r w:rsidRPr="00872D7E">
        <w:rPr>
          <w:b/>
          <w:szCs w:val="20"/>
        </w:rPr>
        <w:t>II.</w:t>
      </w:r>
      <w:r w:rsidRPr="00872D7E">
        <w:rPr>
          <w:b/>
          <w:szCs w:val="20"/>
        </w:rPr>
        <w:tab/>
        <w:t>KREDİ RİSKİNE İLİŞKİN AÇIKLAMALAR (Devamı)</w:t>
      </w:r>
    </w:p>
    <w:p w14:paraId="080EC2BB" w14:textId="77777777" w:rsidR="00823993" w:rsidRPr="00872D7E" w:rsidRDefault="00823993" w:rsidP="009213E5">
      <w:pPr>
        <w:spacing w:line="228" w:lineRule="auto"/>
        <w:jc w:val="both"/>
        <w:rPr>
          <w:b/>
          <w:sz w:val="16"/>
          <w:szCs w:val="16"/>
        </w:rPr>
      </w:pPr>
    </w:p>
    <w:p w14:paraId="66E9DC75" w14:textId="3A90E511" w:rsidR="007B7B09" w:rsidRPr="00872D7E" w:rsidRDefault="007B7B09" w:rsidP="00BE3AAB">
      <w:pPr>
        <w:autoSpaceDE w:val="0"/>
        <w:autoSpaceDN w:val="0"/>
        <w:adjustRightInd w:val="0"/>
        <w:spacing w:line="228" w:lineRule="auto"/>
        <w:ind w:left="851"/>
        <w:jc w:val="both"/>
        <w:rPr>
          <w:szCs w:val="20"/>
        </w:rPr>
      </w:pPr>
      <w:r w:rsidRPr="00872D7E">
        <w:rPr>
          <w:szCs w:val="20"/>
        </w:rPr>
        <w:t>Kredi riski azaltımının etkileri dikkate alınmaksızın mahsup işlemleri sonrası maruz kalınan risklerin toplam tutarı ile farklı risk sınıfları ve türlerine göre ayrıştırılmış risklerin ilgili döneme ilişkin ortalama tutarı:</w:t>
      </w:r>
    </w:p>
    <w:p w14:paraId="3588C3D9" w14:textId="77777777" w:rsidR="009213E5" w:rsidRPr="00872D7E" w:rsidRDefault="009213E5" w:rsidP="009213E5">
      <w:pPr>
        <w:autoSpaceDE w:val="0"/>
        <w:autoSpaceDN w:val="0"/>
        <w:adjustRightInd w:val="0"/>
        <w:spacing w:line="228" w:lineRule="auto"/>
        <w:jc w:val="both"/>
        <w:rPr>
          <w:szCs w:val="20"/>
        </w:rPr>
      </w:pPr>
    </w:p>
    <w:tbl>
      <w:tblPr>
        <w:tblW w:w="5000" w:type="pct"/>
        <w:tblCellMar>
          <w:left w:w="0" w:type="dxa"/>
          <w:right w:w="0" w:type="dxa"/>
        </w:tblCellMar>
        <w:tblLook w:val="0000" w:firstRow="0" w:lastRow="0" w:firstColumn="0" w:lastColumn="0" w:noHBand="0" w:noVBand="0"/>
      </w:tblPr>
      <w:tblGrid>
        <w:gridCol w:w="6886"/>
        <w:gridCol w:w="1365"/>
        <w:gridCol w:w="1388"/>
      </w:tblGrid>
      <w:tr w:rsidR="007B7B09" w:rsidRPr="00872D7E" w14:paraId="74B17AA5" w14:textId="77777777" w:rsidTr="00841570">
        <w:trPr>
          <w:trHeight w:val="227"/>
        </w:trPr>
        <w:tc>
          <w:tcPr>
            <w:tcW w:w="3572" w:type="pct"/>
            <w:tcBorders>
              <w:top w:val="single" w:sz="4" w:space="0" w:color="auto"/>
              <w:bottom w:val="single" w:sz="4" w:space="0" w:color="auto"/>
            </w:tcBorders>
            <w:vAlign w:val="bottom"/>
          </w:tcPr>
          <w:p w14:paraId="798D1715" w14:textId="77777777" w:rsidR="007B7B09" w:rsidRPr="00872D7E" w:rsidRDefault="007B7B09" w:rsidP="009213E5">
            <w:pPr>
              <w:spacing w:line="228" w:lineRule="auto"/>
              <w:ind w:left="323" w:hanging="323"/>
              <w:rPr>
                <w:rFonts w:eastAsia="Arial Unicode MS"/>
                <w:b/>
                <w:szCs w:val="20"/>
              </w:rPr>
            </w:pPr>
            <w:r w:rsidRPr="00872D7E">
              <w:rPr>
                <w:rFonts w:eastAsia="Arial Unicode MS"/>
                <w:b/>
                <w:szCs w:val="20"/>
              </w:rPr>
              <w:t>Risk Sınıfları:</w:t>
            </w:r>
          </w:p>
        </w:tc>
        <w:tc>
          <w:tcPr>
            <w:tcW w:w="708" w:type="pct"/>
            <w:tcBorders>
              <w:top w:val="single" w:sz="4" w:space="0" w:color="auto"/>
              <w:bottom w:val="single" w:sz="4" w:space="0" w:color="auto"/>
            </w:tcBorders>
            <w:vAlign w:val="bottom"/>
          </w:tcPr>
          <w:p w14:paraId="34BB6AA7" w14:textId="4EAB0155" w:rsidR="007B7B09" w:rsidRPr="00872D7E" w:rsidRDefault="000F318F" w:rsidP="009213E5">
            <w:pPr>
              <w:spacing w:line="228" w:lineRule="auto"/>
              <w:ind w:right="56"/>
              <w:jc w:val="right"/>
              <w:rPr>
                <w:b/>
                <w:szCs w:val="20"/>
              </w:rPr>
            </w:pPr>
            <w:r w:rsidRPr="00872D7E">
              <w:rPr>
                <w:b/>
                <w:szCs w:val="20"/>
              </w:rPr>
              <w:t>31 Aralık 2024</w:t>
            </w:r>
          </w:p>
          <w:p w14:paraId="14F76369" w14:textId="77777777" w:rsidR="007B7B09" w:rsidRPr="00872D7E" w:rsidRDefault="007B7B09" w:rsidP="009213E5">
            <w:pPr>
              <w:spacing w:line="228" w:lineRule="auto"/>
              <w:ind w:right="56"/>
              <w:jc w:val="right"/>
              <w:rPr>
                <w:b/>
                <w:szCs w:val="20"/>
              </w:rPr>
            </w:pPr>
            <w:r w:rsidRPr="00872D7E">
              <w:rPr>
                <w:b/>
                <w:szCs w:val="20"/>
              </w:rPr>
              <w:t xml:space="preserve">Risk Tutarı </w:t>
            </w:r>
          </w:p>
        </w:tc>
        <w:tc>
          <w:tcPr>
            <w:tcW w:w="720" w:type="pct"/>
            <w:tcBorders>
              <w:top w:val="single" w:sz="4" w:space="0" w:color="auto"/>
              <w:bottom w:val="single" w:sz="4" w:space="0" w:color="auto"/>
            </w:tcBorders>
            <w:vAlign w:val="bottom"/>
          </w:tcPr>
          <w:p w14:paraId="71AD6558" w14:textId="77777777" w:rsidR="007B7B09" w:rsidRPr="00872D7E" w:rsidRDefault="007B7B09" w:rsidP="009213E5">
            <w:pPr>
              <w:spacing w:line="228" w:lineRule="auto"/>
              <w:ind w:right="56"/>
              <w:jc w:val="right"/>
              <w:rPr>
                <w:b/>
                <w:szCs w:val="20"/>
              </w:rPr>
            </w:pPr>
            <w:r w:rsidRPr="00872D7E">
              <w:rPr>
                <w:b/>
                <w:szCs w:val="20"/>
              </w:rPr>
              <w:t>Ortalama</w:t>
            </w:r>
          </w:p>
          <w:p w14:paraId="2415D5A2" w14:textId="56D70D63" w:rsidR="007B7B09" w:rsidRPr="00872D7E" w:rsidRDefault="007B7B09" w:rsidP="009213E5">
            <w:pPr>
              <w:spacing w:line="228" w:lineRule="auto"/>
              <w:ind w:right="56"/>
              <w:jc w:val="right"/>
              <w:rPr>
                <w:b/>
                <w:szCs w:val="20"/>
              </w:rPr>
            </w:pPr>
            <w:r w:rsidRPr="00872D7E">
              <w:rPr>
                <w:b/>
                <w:szCs w:val="20"/>
              </w:rPr>
              <w:t>Risk Tutarı</w:t>
            </w:r>
          </w:p>
        </w:tc>
      </w:tr>
      <w:tr w:rsidR="007B7B09" w:rsidRPr="00872D7E" w14:paraId="07FE5285" w14:textId="77777777" w:rsidTr="00841570">
        <w:trPr>
          <w:trHeight w:val="65"/>
        </w:trPr>
        <w:tc>
          <w:tcPr>
            <w:tcW w:w="3572" w:type="pct"/>
            <w:tcBorders>
              <w:top w:val="single" w:sz="4" w:space="0" w:color="auto"/>
            </w:tcBorders>
            <w:vAlign w:val="bottom"/>
          </w:tcPr>
          <w:p w14:paraId="57BB0121" w14:textId="77777777" w:rsidR="007B7B09" w:rsidRPr="00872D7E" w:rsidRDefault="007B7B09" w:rsidP="009213E5">
            <w:pPr>
              <w:spacing w:line="228" w:lineRule="auto"/>
              <w:ind w:left="323" w:hanging="323"/>
              <w:rPr>
                <w:rFonts w:eastAsia="Arial Unicode MS"/>
                <w:b/>
                <w:szCs w:val="20"/>
              </w:rPr>
            </w:pPr>
          </w:p>
        </w:tc>
        <w:tc>
          <w:tcPr>
            <w:tcW w:w="708" w:type="pct"/>
            <w:tcBorders>
              <w:top w:val="single" w:sz="4" w:space="0" w:color="auto"/>
            </w:tcBorders>
            <w:vAlign w:val="bottom"/>
          </w:tcPr>
          <w:p w14:paraId="3C272C20" w14:textId="77777777" w:rsidR="007B7B09" w:rsidRPr="00872D7E" w:rsidRDefault="007B7B09" w:rsidP="009213E5">
            <w:pPr>
              <w:spacing w:line="228" w:lineRule="auto"/>
              <w:ind w:right="56"/>
              <w:jc w:val="right"/>
              <w:rPr>
                <w:b/>
                <w:szCs w:val="20"/>
              </w:rPr>
            </w:pPr>
          </w:p>
        </w:tc>
        <w:tc>
          <w:tcPr>
            <w:tcW w:w="720" w:type="pct"/>
            <w:tcBorders>
              <w:top w:val="single" w:sz="4" w:space="0" w:color="auto"/>
            </w:tcBorders>
            <w:vAlign w:val="bottom"/>
          </w:tcPr>
          <w:p w14:paraId="45D498FF" w14:textId="77777777" w:rsidR="007B7B09" w:rsidRPr="00872D7E" w:rsidRDefault="007B7B09" w:rsidP="009213E5">
            <w:pPr>
              <w:spacing w:line="228" w:lineRule="auto"/>
              <w:ind w:right="56"/>
              <w:jc w:val="right"/>
              <w:rPr>
                <w:b/>
                <w:szCs w:val="20"/>
              </w:rPr>
            </w:pPr>
          </w:p>
        </w:tc>
      </w:tr>
      <w:tr w:rsidR="0009220A" w:rsidRPr="00872D7E" w14:paraId="2A874BBF" w14:textId="77777777" w:rsidTr="008B17D1">
        <w:trPr>
          <w:trHeight w:val="20"/>
        </w:trPr>
        <w:tc>
          <w:tcPr>
            <w:tcW w:w="3572" w:type="pct"/>
            <w:vAlign w:val="bottom"/>
          </w:tcPr>
          <w:p w14:paraId="42B070AA" w14:textId="77777777" w:rsidR="0009220A" w:rsidRPr="00872D7E" w:rsidRDefault="0009220A" w:rsidP="009213E5">
            <w:pPr>
              <w:spacing w:line="228" w:lineRule="auto"/>
              <w:ind w:left="323" w:hanging="323"/>
              <w:rPr>
                <w:szCs w:val="20"/>
              </w:rPr>
            </w:pPr>
            <w:r w:rsidRPr="00872D7E">
              <w:rPr>
                <w:szCs w:val="20"/>
              </w:rPr>
              <w:t>Merkezi yönetimlerden veya merkez bankalarından alacaklar</w:t>
            </w:r>
          </w:p>
        </w:tc>
        <w:tc>
          <w:tcPr>
            <w:tcW w:w="708" w:type="pct"/>
            <w:tcBorders>
              <w:top w:val="nil"/>
              <w:left w:val="nil"/>
              <w:bottom w:val="nil"/>
              <w:right w:val="nil"/>
            </w:tcBorders>
            <w:shd w:val="clear" w:color="auto" w:fill="auto"/>
          </w:tcPr>
          <w:p w14:paraId="05DEF404" w14:textId="2F803BCC" w:rsidR="0009220A" w:rsidRPr="00872D7E" w:rsidRDefault="0009220A" w:rsidP="009213E5">
            <w:pPr>
              <w:spacing w:line="228" w:lineRule="auto"/>
              <w:ind w:right="126"/>
              <w:jc w:val="right"/>
              <w:rPr>
                <w:color w:val="000000"/>
                <w:szCs w:val="20"/>
              </w:rPr>
            </w:pPr>
            <w:r w:rsidRPr="00872D7E">
              <w:t>4.830.858</w:t>
            </w:r>
          </w:p>
        </w:tc>
        <w:tc>
          <w:tcPr>
            <w:tcW w:w="720" w:type="pct"/>
          </w:tcPr>
          <w:p w14:paraId="5543F127" w14:textId="64537945" w:rsidR="0009220A" w:rsidRPr="00872D7E" w:rsidRDefault="0009220A" w:rsidP="009213E5">
            <w:pPr>
              <w:spacing w:line="228" w:lineRule="auto"/>
              <w:ind w:right="126"/>
              <w:jc w:val="right"/>
              <w:rPr>
                <w:color w:val="000000"/>
                <w:szCs w:val="20"/>
              </w:rPr>
            </w:pPr>
            <w:r w:rsidRPr="00872D7E">
              <w:t>1.575.993</w:t>
            </w:r>
          </w:p>
        </w:tc>
      </w:tr>
      <w:tr w:rsidR="0009220A" w:rsidRPr="00872D7E" w14:paraId="3B27920F" w14:textId="77777777" w:rsidTr="008B17D1">
        <w:trPr>
          <w:trHeight w:val="20"/>
        </w:trPr>
        <w:tc>
          <w:tcPr>
            <w:tcW w:w="3572" w:type="pct"/>
            <w:vAlign w:val="bottom"/>
          </w:tcPr>
          <w:p w14:paraId="2371AB6A" w14:textId="77777777" w:rsidR="0009220A" w:rsidRPr="00872D7E" w:rsidRDefault="0009220A" w:rsidP="009213E5">
            <w:pPr>
              <w:spacing w:line="228" w:lineRule="auto"/>
              <w:ind w:left="323" w:hanging="323"/>
              <w:rPr>
                <w:szCs w:val="20"/>
              </w:rPr>
            </w:pPr>
            <w:r w:rsidRPr="00872D7E">
              <w:rPr>
                <w:szCs w:val="20"/>
              </w:rPr>
              <w:t>Bölgesel yönetimlerden veya yerel yönetimlerden alacaklar</w:t>
            </w:r>
          </w:p>
        </w:tc>
        <w:tc>
          <w:tcPr>
            <w:tcW w:w="708" w:type="pct"/>
            <w:tcBorders>
              <w:top w:val="nil"/>
              <w:left w:val="nil"/>
              <w:bottom w:val="nil"/>
              <w:right w:val="nil"/>
            </w:tcBorders>
            <w:shd w:val="clear" w:color="auto" w:fill="auto"/>
          </w:tcPr>
          <w:p w14:paraId="5AC9D0DB" w14:textId="1635666C" w:rsidR="0009220A" w:rsidRPr="00872D7E" w:rsidRDefault="0009220A" w:rsidP="009213E5">
            <w:pPr>
              <w:spacing w:line="228" w:lineRule="auto"/>
              <w:ind w:right="126"/>
              <w:jc w:val="right"/>
              <w:rPr>
                <w:color w:val="000000"/>
                <w:szCs w:val="20"/>
              </w:rPr>
            </w:pPr>
            <w:r w:rsidRPr="00872D7E">
              <w:t>-</w:t>
            </w:r>
          </w:p>
        </w:tc>
        <w:tc>
          <w:tcPr>
            <w:tcW w:w="720" w:type="pct"/>
          </w:tcPr>
          <w:p w14:paraId="0B5E491D" w14:textId="36A66E2F" w:rsidR="0009220A" w:rsidRPr="00872D7E" w:rsidRDefault="0009220A" w:rsidP="009213E5">
            <w:pPr>
              <w:spacing w:line="228" w:lineRule="auto"/>
              <w:ind w:right="126"/>
              <w:jc w:val="right"/>
              <w:rPr>
                <w:color w:val="000000"/>
                <w:szCs w:val="20"/>
              </w:rPr>
            </w:pPr>
            <w:r w:rsidRPr="00872D7E">
              <w:t>-</w:t>
            </w:r>
          </w:p>
        </w:tc>
      </w:tr>
      <w:tr w:rsidR="0009220A" w:rsidRPr="00872D7E" w14:paraId="1DA88E30" w14:textId="77777777" w:rsidTr="008B17D1">
        <w:trPr>
          <w:trHeight w:val="20"/>
        </w:trPr>
        <w:tc>
          <w:tcPr>
            <w:tcW w:w="3572" w:type="pct"/>
            <w:vAlign w:val="bottom"/>
          </w:tcPr>
          <w:p w14:paraId="781B2FF3" w14:textId="77777777" w:rsidR="0009220A" w:rsidRPr="00872D7E" w:rsidRDefault="0009220A" w:rsidP="009213E5">
            <w:pPr>
              <w:spacing w:line="228" w:lineRule="auto"/>
              <w:ind w:left="323" w:hanging="323"/>
              <w:rPr>
                <w:szCs w:val="20"/>
              </w:rPr>
            </w:pPr>
            <w:r w:rsidRPr="00872D7E">
              <w:rPr>
                <w:szCs w:val="20"/>
              </w:rPr>
              <w:t>İdari birimlerden ve ticari olmayan girişimlerden alacaklar</w:t>
            </w:r>
          </w:p>
        </w:tc>
        <w:tc>
          <w:tcPr>
            <w:tcW w:w="708" w:type="pct"/>
            <w:tcBorders>
              <w:top w:val="nil"/>
              <w:left w:val="nil"/>
              <w:bottom w:val="nil"/>
              <w:right w:val="nil"/>
            </w:tcBorders>
            <w:shd w:val="clear" w:color="auto" w:fill="auto"/>
          </w:tcPr>
          <w:p w14:paraId="460B69B3" w14:textId="3D86274E" w:rsidR="0009220A" w:rsidRPr="00872D7E" w:rsidRDefault="0009220A" w:rsidP="009213E5">
            <w:pPr>
              <w:spacing w:line="228" w:lineRule="auto"/>
              <w:ind w:right="126"/>
              <w:jc w:val="right"/>
              <w:rPr>
                <w:color w:val="000000"/>
                <w:szCs w:val="20"/>
              </w:rPr>
            </w:pPr>
            <w:r w:rsidRPr="00872D7E">
              <w:t>-</w:t>
            </w:r>
          </w:p>
        </w:tc>
        <w:tc>
          <w:tcPr>
            <w:tcW w:w="720" w:type="pct"/>
          </w:tcPr>
          <w:p w14:paraId="3EE2CB93" w14:textId="067A34FA" w:rsidR="0009220A" w:rsidRPr="00872D7E" w:rsidRDefault="0009220A" w:rsidP="009213E5">
            <w:pPr>
              <w:spacing w:line="228" w:lineRule="auto"/>
              <w:ind w:right="126"/>
              <w:jc w:val="right"/>
              <w:rPr>
                <w:color w:val="000000"/>
                <w:szCs w:val="20"/>
              </w:rPr>
            </w:pPr>
            <w:r w:rsidRPr="00872D7E">
              <w:t>-</w:t>
            </w:r>
          </w:p>
        </w:tc>
      </w:tr>
      <w:tr w:rsidR="0009220A" w:rsidRPr="00872D7E" w14:paraId="68CD5363" w14:textId="77777777" w:rsidTr="008B17D1">
        <w:trPr>
          <w:trHeight w:val="20"/>
        </w:trPr>
        <w:tc>
          <w:tcPr>
            <w:tcW w:w="3572" w:type="pct"/>
            <w:vAlign w:val="bottom"/>
          </w:tcPr>
          <w:p w14:paraId="66637B5C" w14:textId="77777777" w:rsidR="0009220A" w:rsidRPr="00872D7E" w:rsidRDefault="0009220A" w:rsidP="009213E5">
            <w:pPr>
              <w:spacing w:line="228" w:lineRule="auto"/>
              <w:ind w:left="323" w:hanging="323"/>
              <w:rPr>
                <w:szCs w:val="20"/>
              </w:rPr>
            </w:pPr>
            <w:r w:rsidRPr="00872D7E">
              <w:rPr>
                <w:szCs w:val="20"/>
              </w:rPr>
              <w:t>Çok taraflı kalkınma bankalarından alacaklar</w:t>
            </w:r>
          </w:p>
        </w:tc>
        <w:tc>
          <w:tcPr>
            <w:tcW w:w="708" w:type="pct"/>
            <w:tcBorders>
              <w:top w:val="nil"/>
              <w:left w:val="nil"/>
              <w:bottom w:val="nil"/>
              <w:right w:val="nil"/>
            </w:tcBorders>
            <w:shd w:val="clear" w:color="auto" w:fill="auto"/>
          </w:tcPr>
          <w:p w14:paraId="118073E8" w14:textId="0809D51D" w:rsidR="0009220A" w:rsidRPr="00872D7E" w:rsidRDefault="0009220A" w:rsidP="009213E5">
            <w:pPr>
              <w:spacing w:line="228" w:lineRule="auto"/>
              <w:ind w:right="126"/>
              <w:jc w:val="right"/>
              <w:rPr>
                <w:color w:val="000000"/>
                <w:szCs w:val="20"/>
              </w:rPr>
            </w:pPr>
            <w:r w:rsidRPr="00872D7E">
              <w:t>-</w:t>
            </w:r>
          </w:p>
        </w:tc>
        <w:tc>
          <w:tcPr>
            <w:tcW w:w="720" w:type="pct"/>
          </w:tcPr>
          <w:p w14:paraId="07EB4BF3" w14:textId="75E013AC" w:rsidR="0009220A" w:rsidRPr="00872D7E" w:rsidRDefault="0009220A" w:rsidP="009213E5">
            <w:pPr>
              <w:spacing w:line="228" w:lineRule="auto"/>
              <w:ind w:right="126"/>
              <w:jc w:val="right"/>
              <w:rPr>
                <w:color w:val="000000"/>
                <w:szCs w:val="20"/>
              </w:rPr>
            </w:pPr>
            <w:r w:rsidRPr="00872D7E">
              <w:t>-</w:t>
            </w:r>
          </w:p>
        </w:tc>
      </w:tr>
      <w:tr w:rsidR="0009220A" w:rsidRPr="00872D7E" w14:paraId="24658624" w14:textId="77777777" w:rsidTr="008B17D1">
        <w:trPr>
          <w:trHeight w:val="20"/>
        </w:trPr>
        <w:tc>
          <w:tcPr>
            <w:tcW w:w="3572" w:type="pct"/>
            <w:vAlign w:val="bottom"/>
          </w:tcPr>
          <w:p w14:paraId="2804D9F4" w14:textId="77777777" w:rsidR="0009220A" w:rsidRPr="00872D7E" w:rsidRDefault="0009220A" w:rsidP="009213E5">
            <w:pPr>
              <w:spacing w:line="228" w:lineRule="auto"/>
              <w:ind w:left="323" w:hanging="323"/>
              <w:rPr>
                <w:szCs w:val="20"/>
              </w:rPr>
            </w:pPr>
            <w:r w:rsidRPr="00872D7E">
              <w:rPr>
                <w:szCs w:val="20"/>
              </w:rPr>
              <w:t>Uluslararası teşkilatlardan alacaklar</w:t>
            </w:r>
          </w:p>
        </w:tc>
        <w:tc>
          <w:tcPr>
            <w:tcW w:w="708" w:type="pct"/>
            <w:tcBorders>
              <w:top w:val="nil"/>
              <w:left w:val="nil"/>
              <w:bottom w:val="nil"/>
              <w:right w:val="nil"/>
            </w:tcBorders>
            <w:shd w:val="clear" w:color="auto" w:fill="auto"/>
          </w:tcPr>
          <w:p w14:paraId="5D2A2913" w14:textId="5F58248C" w:rsidR="0009220A" w:rsidRPr="00872D7E" w:rsidRDefault="0009220A" w:rsidP="009213E5">
            <w:pPr>
              <w:spacing w:line="228" w:lineRule="auto"/>
              <w:ind w:right="126"/>
              <w:jc w:val="right"/>
              <w:rPr>
                <w:color w:val="000000"/>
                <w:szCs w:val="20"/>
              </w:rPr>
            </w:pPr>
            <w:r w:rsidRPr="00872D7E">
              <w:t>-</w:t>
            </w:r>
          </w:p>
        </w:tc>
        <w:tc>
          <w:tcPr>
            <w:tcW w:w="720" w:type="pct"/>
          </w:tcPr>
          <w:p w14:paraId="3576AA06" w14:textId="4A74E160" w:rsidR="0009220A" w:rsidRPr="00872D7E" w:rsidRDefault="0009220A" w:rsidP="009213E5">
            <w:pPr>
              <w:spacing w:line="228" w:lineRule="auto"/>
              <w:ind w:right="126"/>
              <w:jc w:val="right"/>
              <w:rPr>
                <w:color w:val="000000"/>
                <w:szCs w:val="20"/>
              </w:rPr>
            </w:pPr>
            <w:r w:rsidRPr="00872D7E">
              <w:t>-</w:t>
            </w:r>
          </w:p>
        </w:tc>
      </w:tr>
      <w:tr w:rsidR="0009220A" w:rsidRPr="00872D7E" w14:paraId="5631BD13" w14:textId="77777777" w:rsidTr="008B17D1">
        <w:trPr>
          <w:trHeight w:val="20"/>
        </w:trPr>
        <w:tc>
          <w:tcPr>
            <w:tcW w:w="3572" w:type="pct"/>
            <w:vAlign w:val="bottom"/>
          </w:tcPr>
          <w:p w14:paraId="65D7E460" w14:textId="77777777" w:rsidR="0009220A" w:rsidRPr="00872D7E" w:rsidRDefault="0009220A" w:rsidP="009213E5">
            <w:pPr>
              <w:spacing w:line="228" w:lineRule="auto"/>
              <w:ind w:left="323" w:hanging="323"/>
              <w:rPr>
                <w:szCs w:val="20"/>
              </w:rPr>
            </w:pPr>
            <w:r w:rsidRPr="00872D7E">
              <w:rPr>
                <w:szCs w:val="20"/>
              </w:rPr>
              <w:t>Bankalardan ve aracı kurumlardan alacaklar</w:t>
            </w:r>
          </w:p>
        </w:tc>
        <w:tc>
          <w:tcPr>
            <w:tcW w:w="708" w:type="pct"/>
            <w:tcBorders>
              <w:top w:val="nil"/>
              <w:left w:val="nil"/>
              <w:bottom w:val="nil"/>
              <w:right w:val="nil"/>
            </w:tcBorders>
            <w:shd w:val="clear" w:color="auto" w:fill="auto"/>
          </w:tcPr>
          <w:p w14:paraId="266113CA" w14:textId="1DD99307" w:rsidR="0009220A" w:rsidRPr="00872D7E" w:rsidRDefault="0009220A" w:rsidP="009213E5">
            <w:pPr>
              <w:spacing w:line="228" w:lineRule="auto"/>
              <w:ind w:right="126"/>
              <w:jc w:val="right"/>
              <w:rPr>
                <w:color w:val="000000"/>
                <w:szCs w:val="20"/>
              </w:rPr>
            </w:pPr>
            <w:r w:rsidRPr="00872D7E">
              <w:t>5.221.722</w:t>
            </w:r>
          </w:p>
        </w:tc>
        <w:tc>
          <w:tcPr>
            <w:tcW w:w="720" w:type="pct"/>
          </w:tcPr>
          <w:p w14:paraId="7540E8D9" w14:textId="37386FE1" w:rsidR="0009220A" w:rsidRPr="00872D7E" w:rsidRDefault="0009220A" w:rsidP="009213E5">
            <w:pPr>
              <w:spacing w:line="228" w:lineRule="auto"/>
              <w:ind w:right="126"/>
              <w:jc w:val="right"/>
              <w:rPr>
                <w:color w:val="000000"/>
                <w:szCs w:val="20"/>
              </w:rPr>
            </w:pPr>
            <w:r w:rsidRPr="00872D7E">
              <w:t>1.911.171</w:t>
            </w:r>
          </w:p>
        </w:tc>
      </w:tr>
      <w:tr w:rsidR="0009220A" w:rsidRPr="00872D7E" w14:paraId="08E0C0DC" w14:textId="77777777" w:rsidTr="008B17D1">
        <w:trPr>
          <w:trHeight w:val="20"/>
        </w:trPr>
        <w:tc>
          <w:tcPr>
            <w:tcW w:w="3572" w:type="pct"/>
            <w:vAlign w:val="bottom"/>
          </w:tcPr>
          <w:p w14:paraId="4D2F5FA3" w14:textId="77777777" w:rsidR="0009220A" w:rsidRPr="00872D7E" w:rsidRDefault="0009220A" w:rsidP="009213E5">
            <w:pPr>
              <w:spacing w:line="228" w:lineRule="auto"/>
              <w:ind w:left="323" w:hanging="323"/>
              <w:rPr>
                <w:szCs w:val="20"/>
              </w:rPr>
            </w:pPr>
            <w:r w:rsidRPr="00872D7E">
              <w:rPr>
                <w:szCs w:val="20"/>
              </w:rPr>
              <w:t>Kurumsal alacaklar</w:t>
            </w:r>
          </w:p>
        </w:tc>
        <w:tc>
          <w:tcPr>
            <w:tcW w:w="708" w:type="pct"/>
            <w:tcBorders>
              <w:top w:val="nil"/>
              <w:left w:val="nil"/>
              <w:bottom w:val="nil"/>
              <w:right w:val="nil"/>
            </w:tcBorders>
            <w:shd w:val="clear" w:color="auto" w:fill="auto"/>
          </w:tcPr>
          <w:p w14:paraId="2D74D2F9" w14:textId="3A65B87B" w:rsidR="0009220A" w:rsidRPr="00872D7E" w:rsidRDefault="0009220A" w:rsidP="009213E5">
            <w:pPr>
              <w:spacing w:line="228" w:lineRule="auto"/>
              <w:ind w:right="126"/>
              <w:jc w:val="right"/>
              <w:rPr>
                <w:color w:val="000000"/>
                <w:szCs w:val="20"/>
              </w:rPr>
            </w:pPr>
            <w:r w:rsidRPr="00872D7E">
              <w:t>13.423.540</w:t>
            </w:r>
          </w:p>
        </w:tc>
        <w:tc>
          <w:tcPr>
            <w:tcW w:w="720" w:type="pct"/>
          </w:tcPr>
          <w:p w14:paraId="75CE5D5D" w14:textId="55E91A95" w:rsidR="0009220A" w:rsidRPr="00872D7E" w:rsidRDefault="0009220A" w:rsidP="009213E5">
            <w:pPr>
              <w:spacing w:line="228" w:lineRule="auto"/>
              <w:ind w:right="126"/>
              <w:jc w:val="right"/>
              <w:rPr>
                <w:color w:val="000000"/>
                <w:szCs w:val="20"/>
              </w:rPr>
            </w:pPr>
            <w:r w:rsidRPr="00872D7E">
              <w:t>3.368.614</w:t>
            </w:r>
          </w:p>
        </w:tc>
      </w:tr>
      <w:tr w:rsidR="0009220A" w:rsidRPr="00872D7E" w14:paraId="585175FE" w14:textId="77777777" w:rsidTr="008B17D1">
        <w:trPr>
          <w:trHeight w:val="20"/>
        </w:trPr>
        <w:tc>
          <w:tcPr>
            <w:tcW w:w="3572" w:type="pct"/>
            <w:vAlign w:val="bottom"/>
          </w:tcPr>
          <w:p w14:paraId="31536601" w14:textId="77777777" w:rsidR="0009220A" w:rsidRPr="00872D7E" w:rsidRDefault="0009220A" w:rsidP="009213E5">
            <w:pPr>
              <w:spacing w:line="228" w:lineRule="auto"/>
              <w:ind w:left="323" w:hanging="323"/>
              <w:rPr>
                <w:szCs w:val="20"/>
              </w:rPr>
            </w:pPr>
            <w:r w:rsidRPr="00872D7E">
              <w:rPr>
                <w:szCs w:val="20"/>
              </w:rPr>
              <w:t>Perakende alacaklar</w:t>
            </w:r>
          </w:p>
        </w:tc>
        <w:tc>
          <w:tcPr>
            <w:tcW w:w="708" w:type="pct"/>
            <w:tcBorders>
              <w:top w:val="nil"/>
              <w:left w:val="nil"/>
              <w:bottom w:val="nil"/>
              <w:right w:val="nil"/>
            </w:tcBorders>
            <w:shd w:val="clear" w:color="auto" w:fill="auto"/>
          </w:tcPr>
          <w:p w14:paraId="677D0309" w14:textId="231AF08B" w:rsidR="0009220A" w:rsidRPr="00872D7E" w:rsidRDefault="0009220A" w:rsidP="009213E5">
            <w:pPr>
              <w:spacing w:line="228" w:lineRule="auto"/>
              <w:ind w:right="126"/>
              <w:jc w:val="right"/>
              <w:rPr>
                <w:color w:val="000000"/>
                <w:szCs w:val="20"/>
              </w:rPr>
            </w:pPr>
            <w:r w:rsidRPr="00872D7E">
              <w:t>-</w:t>
            </w:r>
          </w:p>
        </w:tc>
        <w:tc>
          <w:tcPr>
            <w:tcW w:w="720" w:type="pct"/>
          </w:tcPr>
          <w:p w14:paraId="41EA65D5" w14:textId="74BD91BF" w:rsidR="0009220A" w:rsidRPr="00872D7E" w:rsidRDefault="0009220A" w:rsidP="009213E5">
            <w:pPr>
              <w:spacing w:line="228" w:lineRule="auto"/>
              <w:ind w:right="126"/>
              <w:jc w:val="right"/>
              <w:rPr>
                <w:color w:val="000000"/>
                <w:szCs w:val="20"/>
              </w:rPr>
            </w:pPr>
            <w:r w:rsidRPr="00872D7E">
              <w:t>46</w:t>
            </w:r>
          </w:p>
        </w:tc>
      </w:tr>
      <w:tr w:rsidR="0009220A" w:rsidRPr="00872D7E" w14:paraId="1083D450" w14:textId="77777777" w:rsidTr="008B17D1">
        <w:trPr>
          <w:trHeight w:val="20"/>
        </w:trPr>
        <w:tc>
          <w:tcPr>
            <w:tcW w:w="3572" w:type="pct"/>
            <w:vAlign w:val="bottom"/>
          </w:tcPr>
          <w:p w14:paraId="48287467" w14:textId="77777777" w:rsidR="0009220A" w:rsidRPr="00872D7E" w:rsidRDefault="0009220A" w:rsidP="009213E5">
            <w:pPr>
              <w:spacing w:line="228" w:lineRule="auto"/>
              <w:ind w:left="323" w:hanging="323"/>
              <w:rPr>
                <w:szCs w:val="20"/>
              </w:rPr>
            </w:pPr>
            <w:r w:rsidRPr="00872D7E">
              <w:rPr>
                <w:szCs w:val="20"/>
              </w:rPr>
              <w:t>Gayrimenkul ipoteği ile teminatlandırılan alacaklar</w:t>
            </w:r>
          </w:p>
        </w:tc>
        <w:tc>
          <w:tcPr>
            <w:tcW w:w="708" w:type="pct"/>
            <w:tcBorders>
              <w:top w:val="nil"/>
              <w:left w:val="nil"/>
              <w:bottom w:val="nil"/>
              <w:right w:val="nil"/>
            </w:tcBorders>
            <w:shd w:val="clear" w:color="auto" w:fill="auto"/>
          </w:tcPr>
          <w:p w14:paraId="5306792B" w14:textId="7013ED61" w:rsidR="0009220A" w:rsidRPr="00872D7E" w:rsidRDefault="0009220A" w:rsidP="009213E5">
            <w:pPr>
              <w:spacing w:line="228" w:lineRule="auto"/>
              <w:ind w:right="126"/>
              <w:jc w:val="right"/>
              <w:rPr>
                <w:color w:val="000000"/>
                <w:szCs w:val="20"/>
              </w:rPr>
            </w:pPr>
            <w:r w:rsidRPr="00872D7E">
              <w:t>709.613</w:t>
            </w:r>
          </w:p>
        </w:tc>
        <w:tc>
          <w:tcPr>
            <w:tcW w:w="720" w:type="pct"/>
          </w:tcPr>
          <w:p w14:paraId="3A635A16" w14:textId="118E8C2F" w:rsidR="0009220A" w:rsidRPr="00872D7E" w:rsidRDefault="0009220A" w:rsidP="009213E5">
            <w:pPr>
              <w:spacing w:line="228" w:lineRule="auto"/>
              <w:ind w:right="126"/>
              <w:jc w:val="right"/>
              <w:rPr>
                <w:color w:val="000000"/>
                <w:szCs w:val="20"/>
              </w:rPr>
            </w:pPr>
            <w:r w:rsidRPr="00872D7E">
              <w:t>195.263</w:t>
            </w:r>
          </w:p>
        </w:tc>
      </w:tr>
      <w:tr w:rsidR="0009220A" w:rsidRPr="00872D7E" w14:paraId="4D66AC40" w14:textId="77777777" w:rsidTr="008B17D1">
        <w:trPr>
          <w:trHeight w:val="20"/>
        </w:trPr>
        <w:tc>
          <w:tcPr>
            <w:tcW w:w="3572" w:type="pct"/>
            <w:vAlign w:val="bottom"/>
          </w:tcPr>
          <w:p w14:paraId="2C74BE21" w14:textId="77777777" w:rsidR="0009220A" w:rsidRPr="00872D7E" w:rsidRDefault="0009220A" w:rsidP="009213E5">
            <w:pPr>
              <w:spacing w:line="228" w:lineRule="auto"/>
              <w:ind w:left="323" w:hanging="323"/>
              <w:rPr>
                <w:szCs w:val="20"/>
              </w:rPr>
            </w:pPr>
            <w:r w:rsidRPr="00872D7E">
              <w:rPr>
                <w:szCs w:val="20"/>
              </w:rPr>
              <w:t>Tahsili gecikmiş alacaklar</w:t>
            </w:r>
          </w:p>
        </w:tc>
        <w:tc>
          <w:tcPr>
            <w:tcW w:w="708" w:type="pct"/>
            <w:tcBorders>
              <w:top w:val="nil"/>
              <w:left w:val="nil"/>
              <w:bottom w:val="nil"/>
              <w:right w:val="nil"/>
            </w:tcBorders>
            <w:shd w:val="clear" w:color="auto" w:fill="auto"/>
          </w:tcPr>
          <w:p w14:paraId="15AED341" w14:textId="5C9B646F" w:rsidR="0009220A" w:rsidRPr="00872D7E" w:rsidRDefault="0009220A" w:rsidP="009213E5">
            <w:pPr>
              <w:spacing w:line="228" w:lineRule="auto"/>
              <w:ind w:right="126"/>
              <w:jc w:val="right"/>
              <w:rPr>
                <w:color w:val="000000"/>
                <w:szCs w:val="20"/>
              </w:rPr>
            </w:pPr>
            <w:r w:rsidRPr="00872D7E">
              <w:t>-</w:t>
            </w:r>
          </w:p>
        </w:tc>
        <w:tc>
          <w:tcPr>
            <w:tcW w:w="720" w:type="pct"/>
          </w:tcPr>
          <w:p w14:paraId="6EEB213A" w14:textId="602C0B3F" w:rsidR="0009220A" w:rsidRPr="00872D7E" w:rsidRDefault="0009220A" w:rsidP="009213E5">
            <w:pPr>
              <w:spacing w:line="228" w:lineRule="auto"/>
              <w:ind w:right="126"/>
              <w:jc w:val="right"/>
              <w:rPr>
                <w:color w:val="000000"/>
                <w:szCs w:val="20"/>
              </w:rPr>
            </w:pPr>
            <w:r w:rsidRPr="00872D7E">
              <w:t>-</w:t>
            </w:r>
          </w:p>
        </w:tc>
      </w:tr>
      <w:tr w:rsidR="0009220A" w:rsidRPr="00872D7E" w14:paraId="6A15C89F" w14:textId="77777777" w:rsidTr="008B17D1">
        <w:trPr>
          <w:trHeight w:val="20"/>
        </w:trPr>
        <w:tc>
          <w:tcPr>
            <w:tcW w:w="3572" w:type="pct"/>
            <w:vAlign w:val="bottom"/>
          </w:tcPr>
          <w:p w14:paraId="76EAE897" w14:textId="77777777" w:rsidR="0009220A" w:rsidRPr="00872D7E" w:rsidRDefault="0009220A" w:rsidP="009213E5">
            <w:pPr>
              <w:spacing w:line="228" w:lineRule="auto"/>
              <w:ind w:left="323" w:hanging="323"/>
              <w:rPr>
                <w:szCs w:val="20"/>
              </w:rPr>
            </w:pPr>
            <w:r w:rsidRPr="00872D7E">
              <w:rPr>
                <w:szCs w:val="20"/>
              </w:rPr>
              <w:t>Kurulca riski yüksek belirlenmiş alacaklar</w:t>
            </w:r>
          </w:p>
        </w:tc>
        <w:tc>
          <w:tcPr>
            <w:tcW w:w="708" w:type="pct"/>
            <w:tcBorders>
              <w:top w:val="nil"/>
              <w:left w:val="nil"/>
              <w:bottom w:val="nil"/>
              <w:right w:val="nil"/>
            </w:tcBorders>
            <w:shd w:val="clear" w:color="auto" w:fill="auto"/>
          </w:tcPr>
          <w:p w14:paraId="2CE9E4CA" w14:textId="00582F10" w:rsidR="0009220A" w:rsidRPr="00872D7E" w:rsidRDefault="0009220A" w:rsidP="009213E5">
            <w:pPr>
              <w:spacing w:line="228" w:lineRule="auto"/>
              <w:ind w:right="126"/>
              <w:jc w:val="right"/>
              <w:rPr>
                <w:color w:val="000000"/>
                <w:szCs w:val="20"/>
              </w:rPr>
            </w:pPr>
            <w:r w:rsidRPr="00872D7E">
              <w:t>27.648</w:t>
            </w:r>
          </w:p>
        </w:tc>
        <w:tc>
          <w:tcPr>
            <w:tcW w:w="720" w:type="pct"/>
          </w:tcPr>
          <w:p w14:paraId="23FADDA5" w14:textId="1B00E9AD" w:rsidR="0009220A" w:rsidRPr="00872D7E" w:rsidRDefault="0009220A" w:rsidP="009213E5">
            <w:pPr>
              <w:spacing w:line="228" w:lineRule="auto"/>
              <w:ind w:right="126"/>
              <w:jc w:val="right"/>
              <w:rPr>
                <w:color w:val="000000"/>
                <w:szCs w:val="20"/>
              </w:rPr>
            </w:pPr>
            <w:r w:rsidRPr="00872D7E">
              <w:t>1.548.945</w:t>
            </w:r>
          </w:p>
        </w:tc>
      </w:tr>
      <w:tr w:rsidR="0009220A" w:rsidRPr="00872D7E" w14:paraId="4DFFB7B8" w14:textId="77777777" w:rsidTr="008B17D1">
        <w:trPr>
          <w:trHeight w:val="20"/>
        </w:trPr>
        <w:tc>
          <w:tcPr>
            <w:tcW w:w="3572" w:type="pct"/>
            <w:vAlign w:val="bottom"/>
          </w:tcPr>
          <w:p w14:paraId="60BE791D" w14:textId="77777777" w:rsidR="0009220A" w:rsidRPr="00872D7E" w:rsidRDefault="0009220A" w:rsidP="009213E5">
            <w:pPr>
              <w:spacing w:line="228" w:lineRule="auto"/>
              <w:ind w:left="323" w:hanging="323"/>
              <w:rPr>
                <w:szCs w:val="20"/>
              </w:rPr>
            </w:pPr>
            <w:r w:rsidRPr="00872D7E">
              <w:rPr>
                <w:szCs w:val="20"/>
              </w:rPr>
              <w:t>Teminatlı menkul kıymetler</w:t>
            </w:r>
          </w:p>
        </w:tc>
        <w:tc>
          <w:tcPr>
            <w:tcW w:w="708" w:type="pct"/>
            <w:tcBorders>
              <w:top w:val="nil"/>
              <w:left w:val="nil"/>
              <w:bottom w:val="nil"/>
              <w:right w:val="nil"/>
            </w:tcBorders>
            <w:shd w:val="clear" w:color="auto" w:fill="auto"/>
          </w:tcPr>
          <w:p w14:paraId="06394952" w14:textId="6BB9E605" w:rsidR="0009220A" w:rsidRPr="00872D7E" w:rsidRDefault="0009220A" w:rsidP="009213E5">
            <w:pPr>
              <w:spacing w:line="228" w:lineRule="auto"/>
              <w:ind w:right="126"/>
              <w:jc w:val="right"/>
              <w:rPr>
                <w:color w:val="000000"/>
                <w:szCs w:val="20"/>
              </w:rPr>
            </w:pPr>
            <w:r w:rsidRPr="00872D7E">
              <w:t>-</w:t>
            </w:r>
          </w:p>
        </w:tc>
        <w:tc>
          <w:tcPr>
            <w:tcW w:w="720" w:type="pct"/>
          </w:tcPr>
          <w:p w14:paraId="5EBE84F6" w14:textId="6398724B" w:rsidR="0009220A" w:rsidRPr="00872D7E" w:rsidRDefault="0009220A" w:rsidP="009213E5">
            <w:pPr>
              <w:spacing w:line="228" w:lineRule="auto"/>
              <w:ind w:right="126"/>
              <w:jc w:val="right"/>
              <w:rPr>
                <w:color w:val="000000"/>
                <w:szCs w:val="20"/>
              </w:rPr>
            </w:pPr>
            <w:r w:rsidRPr="00872D7E">
              <w:t>-</w:t>
            </w:r>
          </w:p>
        </w:tc>
      </w:tr>
      <w:tr w:rsidR="0009220A" w:rsidRPr="00872D7E" w14:paraId="77FDE696" w14:textId="77777777" w:rsidTr="008B17D1">
        <w:trPr>
          <w:trHeight w:val="20"/>
        </w:trPr>
        <w:tc>
          <w:tcPr>
            <w:tcW w:w="3572" w:type="pct"/>
            <w:vAlign w:val="bottom"/>
          </w:tcPr>
          <w:p w14:paraId="6637EC54" w14:textId="77777777" w:rsidR="0009220A" w:rsidRPr="00872D7E" w:rsidRDefault="0009220A" w:rsidP="009213E5">
            <w:pPr>
              <w:spacing w:line="228" w:lineRule="auto"/>
              <w:rPr>
                <w:szCs w:val="20"/>
              </w:rPr>
            </w:pPr>
            <w:r w:rsidRPr="00872D7E">
              <w:rPr>
                <w:szCs w:val="20"/>
              </w:rPr>
              <w:t>Bankalardan ve aracı kurumlardan olan kısa vadeli alacaklar ile kısa vadeli kurumsal alacaklar</w:t>
            </w:r>
          </w:p>
        </w:tc>
        <w:tc>
          <w:tcPr>
            <w:tcW w:w="708" w:type="pct"/>
            <w:tcBorders>
              <w:top w:val="nil"/>
              <w:left w:val="nil"/>
              <w:bottom w:val="nil"/>
              <w:right w:val="nil"/>
            </w:tcBorders>
            <w:shd w:val="clear" w:color="auto" w:fill="auto"/>
          </w:tcPr>
          <w:p w14:paraId="0A722E3B" w14:textId="5637F695" w:rsidR="0009220A" w:rsidRPr="00872D7E" w:rsidRDefault="0009220A" w:rsidP="009213E5">
            <w:pPr>
              <w:spacing w:line="228" w:lineRule="auto"/>
              <w:ind w:right="126"/>
              <w:jc w:val="right"/>
              <w:rPr>
                <w:color w:val="000000"/>
                <w:szCs w:val="20"/>
              </w:rPr>
            </w:pPr>
            <w:r w:rsidRPr="00872D7E">
              <w:t>-</w:t>
            </w:r>
          </w:p>
        </w:tc>
        <w:tc>
          <w:tcPr>
            <w:tcW w:w="720" w:type="pct"/>
          </w:tcPr>
          <w:p w14:paraId="59644D7F" w14:textId="3C4F599A" w:rsidR="0009220A" w:rsidRPr="00872D7E" w:rsidRDefault="0009220A" w:rsidP="009213E5">
            <w:pPr>
              <w:spacing w:line="228" w:lineRule="auto"/>
              <w:ind w:right="126"/>
              <w:jc w:val="right"/>
              <w:rPr>
                <w:color w:val="000000"/>
                <w:szCs w:val="20"/>
              </w:rPr>
            </w:pPr>
            <w:r w:rsidRPr="00872D7E">
              <w:t>-</w:t>
            </w:r>
          </w:p>
        </w:tc>
      </w:tr>
      <w:tr w:rsidR="0009220A" w:rsidRPr="00872D7E" w14:paraId="77977AE2" w14:textId="77777777" w:rsidTr="008B17D1">
        <w:trPr>
          <w:trHeight w:val="20"/>
        </w:trPr>
        <w:tc>
          <w:tcPr>
            <w:tcW w:w="3572" w:type="pct"/>
            <w:vAlign w:val="bottom"/>
          </w:tcPr>
          <w:p w14:paraId="62840672" w14:textId="77777777" w:rsidR="0009220A" w:rsidRPr="00872D7E" w:rsidRDefault="0009220A" w:rsidP="009213E5">
            <w:pPr>
              <w:spacing w:line="228" w:lineRule="auto"/>
              <w:ind w:left="323" w:hanging="323"/>
              <w:rPr>
                <w:szCs w:val="20"/>
              </w:rPr>
            </w:pPr>
            <w:r w:rsidRPr="00872D7E">
              <w:rPr>
                <w:szCs w:val="20"/>
              </w:rPr>
              <w:t>Kolektif yatırım kuruluşu niteliğindeki yatırımlar</w:t>
            </w:r>
          </w:p>
        </w:tc>
        <w:tc>
          <w:tcPr>
            <w:tcW w:w="708" w:type="pct"/>
            <w:tcBorders>
              <w:top w:val="nil"/>
              <w:left w:val="nil"/>
              <w:bottom w:val="nil"/>
              <w:right w:val="nil"/>
            </w:tcBorders>
            <w:shd w:val="clear" w:color="auto" w:fill="auto"/>
          </w:tcPr>
          <w:p w14:paraId="7DF82A4A" w14:textId="22878945" w:rsidR="0009220A" w:rsidRPr="00872D7E" w:rsidRDefault="0009220A" w:rsidP="009213E5">
            <w:pPr>
              <w:spacing w:line="228" w:lineRule="auto"/>
              <w:ind w:right="126"/>
              <w:jc w:val="right"/>
              <w:rPr>
                <w:color w:val="000000"/>
                <w:szCs w:val="20"/>
              </w:rPr>
            </w:pPr>
            <w:r w:rsidRPr="00872D7E">
              <w:t>948</w:t>
            </w:r>
          </w:p>
        </w:tc>
        <w:tc>
          <w:tcPr>
            <w:tcW w:w="720" w:type="pct"/>
          </w:tcPr>
          <w:p w14:paraId="347B41C9" w14:textId="462F03C2" w:rsidR="0009220A" w:rsidRPr="00872D7E" w:rsidRDefault="0009220A" w:rsidP="009213E5">
            <w:pPr>
              <w:spacing w:line="228" w:lineRule="auto"/>
              <w:ind w:right="126"/>
              <w:jc w:val="right"/>
              <w:rPr>
                <w:color w:val="000000"/>
                <w:szCs w:val="20"/>
              </w:rPr>
            </w:pPr>
            <w:r w:rsidRPr="00872D7E">
              <w:t>1.683.441</w:t>
            </w:r>
          </w:p>
        </w:tc>
      </w:tr>
      <w:tr w:rsidR="0009220A" w:rsidRPr="00872D7E" w14:paraId="143F2241" w14:textId="77777777" w:rsidTr="008B17D1">
        <w:trPr>
          <w:trHeight w:val="20"/>
        </w:trPr>
        <w:tc>
          <w:tcPr>
            <w:tcW w:w="3572" w:type="pct"/>
            <w:vAlign w:val="bottom"/>
          </w:tcPr>
          <w:p w14:paraId="09521928" w14:textId="77777777" w:rsidR="0009220A" w:rsidRPr="00872D7E" w:rsidRDefault="0009220A" w:rsidP="009213E5">
            <w:pPr>
              <w:spacing w:line="228" w:lineRule="auto"/>
              <w:ind w:left="323" w:hanging="323"/>
              <w:rPr>
                <w:szCs w:val="20"/>
              </w:rPr>
            </w:pPr>
            <w:r w:rsidRPr="00872D7E">
              <w:rPr>
                <w:szCs w:val="20"/>
              </w:rPr>
              <w:t>Diğer alacaklar</w:t>
            </w:r>
          </w:p>
        </w:tc>
        <w:tc>
          <w:tcPr>
            <w:tcW w:w="708" w:type="pct"/>
            <w:tcBorders>
              <w:top w:val="nil"/>
              <w:left w:val="nil"/>
              <w:bottom w:val="nil"/>
              <w:right w:val="nil"/>
            </w:tcBorders>
            <w:shd w:val="clear" w:color="auto" w:fill="auto"/>
          </w:tcPr>
          <w:p w14:paraId="2D9BBA1F" w14:textId="3D51450F" w:rsidR="0009220A" w:rsidRPr="00872D7E" w:rsidRDefault="0009220A" w:rsidP="009213E5">
            <w:pPr>
              <w:spacing w:line="228" w:lineRule="auto"/>
              <w:ind w:right="126"/>
              <w:jc w:val="right"/>
              <w:rPr>
                <w:color w:val="000000"/>
                <w:szCs w:val="20"/>
              </w:rPr>
            </w:pPr>
            <w:r w:rsidRPr="00872D7E">
              <w:t>991.124</w:t>
            </w:r>
          </w:p>
        </w:tc>
        <w:tc>
          <w:tcPr>
            <w:tcW w:w="720" w:type="pct"/>
          </w:tcPr>
          <w:p w14:paraId="4A3FFFA4" w14:textId="4B6F1D0C" w:rsidR="0009220A" w:rsidRPr="00872D7E" w:rsidRDefault="0009220A" w:rsidP="009213E5">
            <w:pPr>
              <w:spacing w:line="228" w:lineRule="auto"/>
              <w:ind w:right="126"/>
              <w:jc w:val="right"/>
              <w:rPr>
                <w:color w:val="000000"/>
                <w:szCs w:val="20"/>
              </w:rPr>
            </w:pPr>
            <w:r w:rsidRPr="00872D7E">
              <w:t>580.120</w:t>
            </w:r>
          </w:p>
        </w:tc>
      </w:tr>
      <w:tr w:rsidR="0009220A" w:rsidRPr="00872D7E" w14:paraId="7BD3FCDF" w14:textId="77777777" w:rsidTr="008B17D1">
        <w:trPr>
          <w:trHeight w:val="20"/>
        </w:trPr>
        <w:tc>
          <w:tcPr>
            <w:tcW w:w="3572" w:type="pct"/>
            <w:vAlign w:val="bottom"/>
          </w:tcPr>
          <w:p w14:paraId="5511CBC3" w14:textId="77777777" w:rsidR="0009220A" w:rsidRPr="00872D7E" w:rsidRDefault="0009220A" w:rsidP="009213E5">
            <w:pPr>
              <w:spacing w:line="228" w:lineRule="auto"/>
              <w:ind w:left="323" w:hanging="323"/>
              <w:rPr>
                <w:szCs w:val="20"/>
              </w:rPr>
            </w:pPr>
            <w:r w:rsidRPr="00872D7E">
              <w:rPr>
                <w:szCs w:val="20"/>
              </w:rPr>
              <w:t>Hisse senedi yatırımları</w:t>
            </w:r>
          </w:p>
        </w:tc>
        <w:tc>
          <w:tcPr>
            <w:tcW w:w="708" w:type="pct"/>
            <w:tcBorders>
              <w:top w:val="nil"/>
              <w:left w:val="nil"/>
              <w:bottom w:val="nil"/>
              <w:right w:val="nil"/>
            </w:tcBorders>
            <w:shd w:val="clear" w:color="auto" w:fill="auto"/>
          </w:tcPr>
          <w:p w14:paraId="26C2E1DE" w14:textId="03B6F1ED" w:rsidR="0009220A" w:rsidRPr="00872D7E" w:rsidRDefault="0009220A" w:rsidP="009213E5">
            <w:pPr>
              <w:spacing w:line="228" w:lineRule="auto"/>
              <w:ind w:right="126"/>
              <w:jc w:val="right"/>
              <w:rPr>
                <w:color w:val="000000"/>
                <w:szCs w:val="20"/>
              </w:rPr>
            </w:pPr>
            <w:r w:rsidRPr="00872D7E">
              <w:t>1.265</w:t>
            </w:r>
          </w:p>
        </w:tc>
        <w:tc>
          <w:tcPr>
            <w:tcW w:w="720" w:type="pct"/>
          </w:tcPr>
          <w:p w14:paraId="1D5FB5F3" w14:textId="6B616F97" w:rsidR="0009220A" w:rsidRPr="00872D7E" w:rsidRDefault="0009220A" w:rsidP="009213E5">
            <w:pPr>
              <w:spacing w:line="228" w:lineRule="auto"/>
              <w:ind w:right="126"/>
              <w:jc w:val="right"/>
              <w:rPr>
                <w:color w:val="000000"/>
                <w:szCs w:val="20"/>
              </w:rPr>
            </w:pPr>
            <w:r w:rsidRPr="00872D7E">
              <w:t>1.057</w:t>
            </w:r>
          </w:p>
        </w:tc>
      </w:tr>
      <w:tr w:rsidR="0009220A" w:rsidRPr="00872D7E" w14:paraId="24368E88" w14:textId="77777777" w:rsidTr="000F318F">
        <w:trPr>
          <w:trHeight w:val="20"/>
        </w:trPr>
        <w:tc>
          <w:tcPr>
            <w:tcW w:w="3572" w:type="pct"/>
            <w:tcBorders>
              <w:top w:val="single" w:sz="4" w:space="0" w:color="auto"/>
              <w:bottom w:val="single" w:sz="4" w:space="0" w:color="auto"/>
            </w:tcBorders>
            <w:vAlign w:val="bottom"/>
          </w:tcPr>
          <w:p w14:paraId="30D9FA12" w14:textId="58DC0195" w:rsidR="0009220A" w:rsidRPr="00872D7E" w:rsidRDefault="0009220A" w:rsidP="009213E5">
            <w:pPr>
              <w:spacing w:line="228" w:lineRule="auto"/>
              <w:ind w:left="323" w:hanging="323"/>
              <w:rPr>
                <w:b/>
                <w:szCs w:val="20"/>
              </w:rPr>
            </w:pPr>
            <w:r w:rsidRPr="00872D7E">
              <w:rPr>
                <w:b/>
                <w:szCs w:val="20"/>
              </w:rPr>
              <w:t>Toplam</w:t>
            </w:r>
          </w:p>
        </w:tc>
        <w:tc>
          <w:tcPr>
            <w:tcW w:w="708" w:type="pct"/>
            <w:tcBorders>
              <w:top w:val="single" w:sz="4" w:space="0" w:color="auto"/>
              <w:left w:val="nil"/>
              <w:bottom w:val="single" w:sz="4" w:space="0" w:color="auto"/>
              <w:right w:val="nil"/>
            </w:tcBorders>
            <w:shd w:val="clear" w:color="auto" w:fill="auto"/>
          </w:tcPr>
          <w:p w14:paraId="355B5730" w14:textId="4C47B41D" w:rsidR="0009220A" w:rsidRPr="00872D7E" w:rsidRDefault="0009220A" w:rsidP="009213E5">
            <w:pPr>
              <w:spacing w:line="228" w:lineRule="auto"/>
              <w:ind w:right="126"/>
              <w:jc w:val="right"/>
              <w:rPr>
                <w:b/>
                <w:bCs/>
                <w:color w:val="000000"/>
                <w:szCs w:val="20"/>
              </w:rPr>
            </w:pPr>
            <w:r w:rsidRPr="00872D7E">
              <w:rPr>
                <w:b/>
                <w:bCs/>
              </w:rPr>
              <w:t>25.206.718</w:t>
            </w:r>
          </w:p>
        </w:tc>
        <w:tc>
          <w:tcPr>
            <w:tcW w:w="720" w:type="pct"/>
            <w:tcBorders>
              <w:top w:val="single" w:sz="4" w:space="0" w:color="auto"/>
              <w:left w:val="nil"/>
              <w:bottom w:val="single" w:sz="4" w:space="0" w:color="auto"/>
              <w:right w:val="nil"/>
            </w:tcBorders>
          </w:tcPr>
          <w:p w14:paraId="0C2C8D54" w14:textId="1F1EC53B" w:rsidR="0009220A" w:rsidRPr="00872D7E" w:rsidRDefault="0009220A" w:rsidP="009213E5">
            <w:pPr>
              <w:spacing w:line="228" w:lineRule="auto"/>
              <w:ind w:right="126"/>
              <w:jc w:val="right"/>
              <w:rPr>
                <w:b/>
                <w:bCs/>
                <w:color w:val="000000"/>
                <w:szCs w:val="20"/>
              </w:rPr>
            </w:pPr>
            <w:r w:rsidRPr="00872D7E">
              <w:rPr>
                <w:b/>
                <w:bCs/>
              </w:rPr>
              <w:t>10.864.650</w:t>
            </w:r>
          </w:p>
        </w:tc>
      </w:tr>
    </w:tbl>
    <w:p w14:paraId="33D9BA10" w14:textId="77777777" w:rsidR="009213E5" w:rsidRPr="00872D7E" w:rsidRDefault="009213E5" w:rsidP="009213E5">
      <w:pPr>
        <w:autoSpaceDE w:val="0"/>
        <w:autoSpaceDN w:val="0"/>
        <w:adjustRightInd w:val="0"/>
        <w:spacing w:line="228" w:lineRule="auto"/>
        <w:jc w:val="both"/>
        <w:rPr>
          <w:b/>
          <w:szCs w:val="20"/>
        </w:rPr>
      </w:pPr>
      <w:bookmarkStart w:id="30" w:name="_Hlk153376063"/>
    </w:p>
    <w:p w14:paraId="0B349F78" w14:textId="5ACE3525" w:rsidR="007B7B09" w:rsidRPr="00872D7E" w:rsidRDefault="007B7B09" w:rsidP="00BE3AAB">
      <w:pPr>
        <w:tabs>
          <w:tab w:val="left" w:pos="426"/>
        </w:tabs>
        <w:autoSpaceDE w:val="0"/>
        <w:autoSpaceDN w:val="0"/>
        <w:adjustRightInd w:val="0"/>
        <w:spacing w:line="228" w:lineRule="auto"/>
        <w:ind w:left="851"/>
        <w:jc w:val="both"/>
        <w:rPr>
          <w:szCs w:val="20"/>
        </w:rPr>
      </w:pPr>
      <w:r w:rsidRPr="00872D7E">
        <w:rPr>
          <w:b/>
          <w:szCs w:val="20"/>
        </w:rPr>
        <w:t>(2)</w:t>
      </w:r>
      <w:bookmarkEnd w:id="30"/>
      <w:r w:rsidRPr="00872D7E">
        <w:rPr>
          <w:szCs w:val="20"/>
        </w:rPr>
        <w:tab/>
        <w:t>Vadeli işlem sözleşmesi ve benzeri diğer sözleşmeler için üstlenilen kredi riski piyasa hareketlerinden kaynaklanan riskler ile beraber yönetilmektedir.</w:t>
      </w:r>
    </w:p>
    <w:p w14:paraId="6BD0768A" w14:textId="77777777" w:rsidR="009213E5" w:rsidRPr="00872D7E" w:rsidRDefault="009213E5" w:rsidP="00BE3AAB">
      <w:pPr>
        <w:tabs>
          <w:tab w:val="left" w:pos="426"/>
        </w:tabs>
        <w:autoSpaceDE w:val="0"/>
        <w:autoSpaceDN w:val="0"/>
        <w:adjustRightInd w:val="0"/>
        <w:spacing w:line="228" w:lineRule="auto"/>
        <w:ind w:left="851"/>
        <w:jc w:val="both"/>
        <w:rPr>
          <w:b/>
          <w:szCs w:val="20"/>
        </w:rPr>
      </w:pPr>
    </w:p>
    <w:p w14:paraId="7CD679C9" w14:textId="69484DB2" w:rsidR="007B7B09" w:rsidRPr="00872D7E" w:rsidRDefault="007B7B09" w:rsidP="00BE3AAB">
      <w:pPr>
        <w:tabs>
          <w:tab w:val="left" w:pos="426"/>
        </w:tabs>
        <w:autoSpaceDE w:val="0"/>
        <w:autoSpaceDN w:val="0"/>
        <w:adjustRightInd w:val="0"/>
        <w:spacing w:line="228" w:lineRule="auto"/>
        <w:ind w:left="851"/>
        <w:jc w:val="both"/>
        <w:rPr>
          <w:szCs w:val="20"/>
        </w:rPr>
      </w:pPr>
      <w:r w:rsidRPr="00872D7E">
        <w:rPr>
          <w:b/>
          <w:szCs w:val="20"/>
        </w:rPr>
        <w:t>(3)</w:t>
      </w:r>
      <w:r w:rsidR="009213E5" w:rsidRPr="00872D7E">
        <w:rPr>
          <w:szCs w:val="20"/>
        </w:rPr>
        <w:tab/>
      </w:r>
      <w:r w:rsidRPr="00872D7E">
        <w:rPr>
          <w:szCs w:val="20"/>
        </w:rPr>
        <w:t>Vadeli işlem ve benzer nitelikli sözleşmelerin riskleri düzenli olarak takip edilmekte ve kredi riskine göre gerekli görüldüğünde risklerin azaltılması yoluna gidilmektedir.</w:t>
      </w:r>
    </w:p>
    <w:p w14:paraId="09CA20E6" w14:textId="77777777" w:rsidR="009213E5" w:rsidRPr="00872D7E" w:rsidRDefault="009213E5" w:rsidP="00BE3AAB">
      <w:pPr>
        <w:tabs>
          <w:tab w:val="left" w:pos="426"/>
        </w:tabs>
        <w:autoSpaceDE w:val="0"/>
        <w:autoSpaceDN w:val="0"/>
        <w:adjustRightInd w:val="0"/>
        <w:spacing w:line="228" w:lineRule="auto"/>
        <w:ind w:left="851"/>
        <w:jc w:val="both"/>
        <w:rPr>
          <w:b/>
          <w:szCs w:val="20"/>
        </w:rPr>
      </w:pPr>
    </w:p>
    <w:p w14:paraId="4B0B00E4" w14:textId="3760708A" w:rsidR="007B7B09" w:rsidRPr="00872D7E" w:rsidRDefault="007B7B09" w:rsidP="00BE3AAB">
      <w:pPr>
        <w:tabs>
          <w:tab w:val="left" w:pos="426"/>
        </w:tabs>
        <w:autoSpaceDE w:val="0"/>
        <w:autoSpaceDN w:val="0"/>
        <w:adjustRightInd w:val="0"/>
        <w:spacing w:line="228" w:lineRule="auto"/>
        <w:ind w:left="851"/>
        <w:jc w:val="both"/>
        <w:rPr>
          <w:szCs w:val="20"/>
        </w:rPr>
      </w:pPr>
      <w:r w:rsidRPr="00872D7E">
        <w:rPr>
          <w:b/>
          <w:szCs w:val="20"/>
        </w:rPr>
        <w:t>(4)</w:t>
      </w:r>
      <w:r w:rsidRPr="00872D7E">
        <w:rPr>
          <w:szCs w:val="20"/>
        </w:rPr>
        <w:tab/>
        <w:t xml:space="preserve">Tazmin edilen gayri nakdi krediler, vadesi geldiği halde ödenmeyen krediler gibi aynı risk ağırlığına tabi tutulmaktadır. Yenilenen ve yeniden itfa planına bağlanan krediler Banka tarafından Banka’nın kredi risk yönetimi ve takibi ilkelerine göre izlemeye alınmaktadır. İlgili müşterinin finansal durumu ve ticari faaliyetleri sürekli analiz edilmekte ve yenilenen plana göre anapara ve </w:t>
      </w:r>
      <w:proofErr w:type="gramStart"/>
      <w:r w:rsidRPr="00872D7E">
        <w:rPr>
          <w:szCs w:val="20"/>
        </w:rPr>
        <w:t>kar</w:t>
      </w:r>
      <w:proofErr w:type="gramEnd"/>
      <w:r w:rsidRPr="00872D7E">
        <w:rPr>
          <w:szCs w:val="20"/>
        </w:rPr>
        <w:t xml:space="preserve"> payı ödemelerinin yapılıp yapılmadığı ilgili birimler tarafından takip edilmektedir. </w:t>
      </w:r>
    </w:p>
    <w:p w14:paraId="002E01D3" w14:textId="77777777" w:rsidR="007B7B09" w:rsidRPr="00872D7E" w:rsidRDefault="007B7B09" w:rsidP="00BE3AAB">
      <w:pPr>
        <w:tabs>
          <w:tab w:val="left" w:pos="426"/>
        </w:tabs>
        <w:autoSpaceDE w:val="0"/>
        <w:autoSpaceDN w:val="0"/>
        <w:adjustRightInd w:val="0"/>
        <w:spacing w:line="228" w:lineRule="auto"/>
        <w:ind w:left="851"/>
        <w:jc w:val="both"/>
        <w:rPr>
          <w:szCs w:val="20"/>
        </w:rPr>
      </w:pPr>
      <w:r w:rsidRPr="00872D7E">
        <w:rPr>
          <w:szCs w:val="20"/>
        </w:rPr>
        <w:t>Banka’nın risk yönetim anlayışı çerçevesinde uzun vadeli risklerin kısa vadeli risklere oranla daha fazla kredi riskine maruz kaldığı kabul edilmekte ve uzun vadeli riskler için risk limiti belirleme, teminatlandırma gibi hususlar kısa vadeli risklere oranla daha geniş kapsamlı olarak ele alınmaktadır.</w:t>
      </w:r>
    </w:p>
    <w:p w14:paraId="43FCEE0E" w14:textId="77777777" w:rsidR="009213E5" w:rsidRPr="00872D7E" w:rsidRDefault="009213E5" w:rsidP="00BE3AAB">
      <w:pPr>
        <w:tabs>
          <w:tab w:val="left" w:pos="426"/>
        </w:tabs>
        <w:autoSpaceDE w:val="0"/>
        <w:autoSpaceDN w:val="0"/>
        <w:adjustRightInd w:val="0"/>
        <w:spacing w:line="228" w:lineRule="auto"/>
        <w:ind w:left="851"/>
        <w:jc w:val="both"/>
        <w:rPr>
          <w:b/>
          <w:szCs w:val="20"/>
        </w:rPr>
      </w:pPr>
    </w:p>
    <w:p w14:paraId="0008AAB6" w14:textId="2A5CC4F6" w:rsidR="007B7B09" w:rsidRPr="00872D7E" w:rsidRDefault="007B7B09" w:rsidP="00BE3AAB">
      <w:pPr>
        <w:tabs>
          <w:tab w:val="left" w:pos="426"/>
        </w:tabs>
        <w:autoSpaceDE w:val="0"/>
        <w:autoSpaceDN w:val="0"/>
        <w:adjustRightInd w:val="0"/>
        <w:spacing w:line="228" w:lineRule="auto"/>
        <w:ind w:left="851"/>
        <w:jc w:val="both"/>
        <w:rPr>
          <w:szCs w:val="20"/>
        </w:rPr>
      </w:pPr>
      <w:r w:rsidRPr="00872D7E">
        <w:rPr>
          <w:b/>
          <w:szCs w:val="20"/>
        </w:rPr>
        <w:t>(5)</w:t>
      </w:r>
      <w:r w:rsidRPr="00872D7E">
        <w:rPr>
          <w:szCs w:val="20"/>
        </w:rPr>
        <w:tab/>
        <w:t>Banka’nın çeşitli yabancı ülkelerde bankacılık faaliyeti kapsamında limiti mevcut olup, bu limitlerin tahsisi ve revizyonu aşamasında gerekli araştırmalar (ekonomik, konjonktürel vb.) yapılmaktadır.</w:t>
      </w:r>
    </w:p>
    <w:p w14:paraId="6789BE4A" w14:textId="77777777" w:rsidR="007B7B09" w:rsidRPr="00872D7E" w:rsidRDefault="007B7B09" w:rsidP="00BE3AAB">
      <w:pPr>
        <w:tabs>
          <w:tab w:val="left" w:pos="426"/>
        </w:tabs>
        <w:autoSpaceDE w:val="0"/>
        <w:autoSpaceDN w:val="0"/>
        <w:adjustRightInd w:val="0"/>
        <w:spacing w:line="228" w:lineRule="auto"/>
        <w:ind w:left="851"/>
        <w:jc w:val="both"/>
        <w:rPr>
          <w:szCs w:val="20"/>
        </w:rPr>
      </w:pPr>
      <w:r w:rsidRPr="00872D7E">
        <w:rPr>
          <w:szCs w:val="20"/>
        </w:rPr>
        <w:t>Muhabirlik faaliyetleri ve uluslararası emtia işlemleri için çalışılacak bankalara ise ilgili kredi komitelerince limit tahsis edilmekte olup, bu limitler Banka’nın ölçeği ve muhatap banka ölçeği dikkate alınarak tahsis edilmekte ve risk yoğunlaşmasından kaçınılmaktadır. Bu açıdan ciddi bir risk taşınmamaktadır.</w:t>
      </w:r>
    </w:p>
    <w:p w14:paraId="550E1255" w14:textId="77777777" w:rsidR="009213E5" w:rsidRPr="00872D7E" w:rsidRDefault="009213E5" w:rsidP="00BE3AAB">
      <w:pPr>
        <w:tabs>
          <w:tab w:val="left" w:pos="426"/>
        </w:tabs>
        <w:autoSpaceDE w:val="0"/>
        <w:autoSpaceDN w:val="0"/>
        <w:adjustRightInd w:val="0"/>
        <w:spacing w:line="228" w:lineRule="auto"/>
        <w:ind w:left="851"/>
        <w:jc w:val="both"/>
        <w:rPr>
          <w:b/>
          <w:szCs w:val="20"/>
        </w:rPr>
      </w:pPr>
    </w:p>
    <w:p w14:paraId="2A56119C" w14:textId="59455D03" w:rsidR="007B7B09" w:rsidRPr="00872D7E" w:rsidRDefault="007B7B09" w:rsidP="00BE3AAB">
      <w:pPr>
        <w:tabs>
          <w:tab w:val="left" w:pos="426"/>
        </w:tabs>
        <w:autoSpaceDE w:val="0"/>
        <w:autoSpaceDN w:val="0"/>
        <w:adjustRightInd w:val="0"/>
        <w:spacing w:line="228" w:lineRule="auto"/>
        <w:ind w:left="851"/>
        <w:jc w:val="both"/>
        <w:rPr>
          <w:szCs w:val="20"/>
        </w:rPr>
      </w:pPr>
      <w:r w:rsidRPr="00872D7E">
        <w:rPr>
          <w:b/>
          <w:szCs w:val="20"/>
        </w:rPr>
        <w:t>(6)</w:t>
      </w:r>
      <w:r w:rsidRPr="00872D7E">
        <w:rPr>
          <w:szCs w:val="20"/>
        </w:rPr>
        <w:tab/>
        <w:t>Banka’nın ilk büyük 100 ve 200 nakdi kredi müşterisinden olan nakdi alacağının toplam nakdi krediler portföyü içindeki payı sırasıyla %</w:t>
      </w:r>
      <w:r w:rsidR="00347D6D" w:rsidRPr="00872D7E">
        <w:rPr>
          <w:szCs w:val="20"/>
        </w:rPr>
        <w:t>85</w:t>
      </w:r>
      <w:r w:rsidRPr="00872D7E">
        <w:rPr>
          <w:szCs w:val="20"/>
        </w:rPr>
        <w:t xml:space="preserve"> ve %</w:t>
      </w:r>
      <w:r w:rsidR="00347D6D" w:rsidRPr="00872D7E">
        <w:rPr>
          <w:szCs w:val="20"/>
        </w:rPr>
        <w:t>92</w:t>
      </w:r>
      <w:r w:rsidRPr="00872D7E">
        <w:rPr>
          <w:szCs w:val="20"/>
        </w:rPr>
        <w:t xml:space="preserve">’dir. </w:t>
      </w:r>
    </w:p>
    <w:p w14:paraId="4E0BC983" w14:textId="44475808" w:rsidR="007B7B09" w:rsidRPr="00872D7E" w:rsidRDefault="007B7B09" w:rsidP="00BE3AAB">
      <w:pPr>
        <w:tabs>
          <w:tab w:val="left" w:pos="426"/>
        </w:tabs>
        <w:autoSpaceDE w:val="0"/>
        <w:autoSpaceDN w:val="0"/>
        <w:adjustRightInd w:val="0"/>
        <w:spacing w:line="228" w:lineRule="auto"/>
        <w:ind w:left="851"/>
        <w:jc w:val="both"/>
        <w:rPr>
          <w:szCs w:val="20"/>
        </w:rPr>
      </w:pPr>
      <w:r w:rsidRPr="00872D7E">
        <w:rPr>
          <w:szCs w:val="20"/>
        </w:rPr>
        <w:t xml:space="preserve">Banka’nın ilk büyük 100 ve 200 </w:t>
      </w:r>
      <w:proofErr w:type="spellStart"/>
      <w:r w:rsidRPr="00872D7E">
        <w:rPr>
          <w:szCs w:val="20"/>
        </w:rPr>
        <w:t>gayrinakdi</w:t>
      </w:r>
      <w:proofErr w:type="spellEnd"/>
      <w:r w:rsidRPr="00872D7E">
        <w:rPr>
          <w:szCs w:val="20"/>
        </w:rPr>
        <w:t xml:space="preserve"> kredi müşterisinden olan </w:t>
      </w:r>
      <w:proofErr w:type="spellStart"/>
      <w:r w:rsidRPr="00872D7E">
        <w:rPr>
          <w:szCs w:val="20"/>
        </w:rPr>
        <w:t>gayrinakdi</w:t>
      </w:r>
      <w:proofErr w:type="spellEnd"/>
      <w:r w:rsidRPr="00872D7E">
        <w:rPr>
          <w:szCs w:val="20"/>
        </w:rPr>
        <w:t xml:space="preserve"> alacağının toplam </w:t>
      </w:r>
      <w:proofErr w:type="spellStart"/>
      <w:r w:rsidRPr="00872D7E">
        <w:rPr>
          <w:szCs w:val="20"/>
        </w:rPr>
        <w:t>gayrinakdi</w:t>
      </w:r>
      <w:proofErr w:type="spellEnd"/>
      <w:r w:rsidRPr="00872D7E">
        <w:rPr>
          <w:szCs w:val="20"/>
        </w:rPr>
        <w:t xml:space="preserve"> krediler portföyü içindeki payı sırasıyla %</w:t>
      </w:r>
      <w:r w:rsidR="00F64309" w:rsidRPr="00872D7E">
        <w:rPr>
          <w:szCs w:val="20"/>
        </w:rPr>
        <w:t>99,5</w:t>
      </w:r>
      <w:r w:rsidRPr="00872D7E">
        <w:rPr>
          <w:szCs w:val="20"/>
        </w:rPr>
        <w:t xml:space="preserve"> ve %</w:t>
      </w:r>
      <w:r w:rsidR="00F64309" w:rsidRPr="00872D7E">
        <w:rPr>
          <w:szCs w:val="20"/>
        </w:rPr>
        <w:t>100</w:t>
      </w:r>
      <w:r w:rsidRPr="00872D7E">
        <w:rPr>
          <w:szCs w:val="20"/>
        </w:rPr>
        <w:t>’dir.</w:t>
      </w:r>
    </w:p>
    <w:p w14:paraId="39F27259" w14:textId="77777777" w:rsidR="009213E5" w:rsidRPr="00872D7E" w:rsidRDefault="009213E5" w:rsidP="00BE3AAB">
      <w:pPr>
        <w:tabs>
          <w:tab w:val="left" w:pos="426"/>
        </w:tabs>
        <w:autoSpaceDE w:val="0"/>
        <w:autoSpaceDN w:val="0"/>
        <w:adjustRightInd w:val="0"/>
        <w:spacing w:line="228" w:lineRule="auto"/>
        <w:ind w:left="851"/>
        <w:jc w:val="both"/>
        <w:rPr>
          <w:szCs w:val="20"/>
        </w:rPr>
      </w:pPr>
    </w:p>
    <w:p w14:paraId="3BBD5785" w14:textId="20AC5F83" w:rsidR="007B7B09" w:rsidRPr="00872D7E" w:rsidRDefault="007B7B09" w:rsidP="00BE3AAB">
      <w:pPr>
        <w:tabs>
          <w:tab w:val="left" w:pos="426"/>
        </w:tabs>
        <w:autoSpaceDE w:val="0"/>
        <w:autoSpaceDN w:val="0"/>
        <w:adjustRightInd w:val="0"/>
        <w:spacing w:line="228" w:lineRule="auto"/>
        <w:ind w:left="851"/>
        <w:jc w:val="both"/>
        <w:rPr>
          <w:szCs w:val="20"/>
        </w:rPr>
      </w:pPr>
      <w:r w:rsidRPr="00872D7E">
        <w:rPr>
          <w:szCs w:val="20"/>
        </w:rPr>
        <w:t xml:space="preserve">Banka’nın ilk büyük 100 ve 200 kredi müşterisinden olan nakdi ve </w:t>
      </w:r>
      <w:proofErr w:type="spellStart"/>
      <w:r w:rsidRPr="00872D7E">
        <w:rPr>
          <w:szCs w:val="20"/>
        </w:rPr>
        <w:t>gayrinakdi</w:t>
      </w:r>
      <w:proofErr w:type="spellEnd"/>
      <w:r w:rsidRPr="00872D7E">
        <w:rPr>
          <w:szCs w:val="20"/>
        </w:rPr>
        <w:t xml:space="preserve"> alacak tutarının toplam bilanço içi ve </w:t>
      </w:r>
      <w:proofErr w:type="spellStart"/>
      <w:r w:rsidR="00322960" w:rsidRPr="00872D7E">
        <w:rPr>
          <w:szCs w:val="20"/>
        </w:rPr>
        <w:t>gayrinakdi</w:t>
      </w:r>
      <w:proofErr w:type="spellEnd"/>
      <w:r w:rsidR="00322960" w:rsidRPr="00872D7E">
        <w:rPr>
          <w:szCs w:val="20"/>
        </w:rPr>
        <w:t xml:space="preserve"> krediler toplamı </w:t>
      </w:r>
      <w:r w:rsidRPr="00872D7E">
        <w:rPr>
          <w:szCs w:val="20"/>
        </w:rPr>
        <w:t>içindeki payı %</w:t>
      </w:r>
      <w:r w:rsidR="00F64309" w:rsidRPr="00872D7E">
        <w:rPr>
          <w:szCs w:val="20"/>
        </w:rPr>
        <w:t>64</w:t>
      </w:r>
      <w:r w:rsidRPr="00872D7E">
        <w:rPr>
          <w:szCs w:val="20"/>
        </w:rPr>
        <w:t xml:space="preserve"> ve %</w:t>
      </w:r>
      <w:r w:rsidR="00F64309" w:rsidRPr="00872D7E">
        <w:rPr>
          <w:szCs w:val="20"/>
        </w:rPr>
        <w:t>68</w:t>
      </w:r>
      <w:r w:rsidRPr="00872D7E">
        <w:rPr>
          <w:szCs w:val="20"/>
        </w:rPr>
        <w:t>’dir.</w:t>
      </w:r>
    </w:p>
    <w:p w14:paraId="65F61985" w14:textId="77777777" w:rsidR="009213E5" w:rsidRPr="00872D7E" w:rsidRDefault="009213E5" w:rsidP="00BE3AAB">
      <w:pPr>
        <w:tabs>
          <w:tab w:val="left" w:pos="426"/>
        </w:tabs>
        <w:autoSpaceDE w:val="0"/>
        <w:autoSpaceDN w:val="0"/>
        <w:adjustRightInd w:val="0"/>
        <w:spacing w:line="228" w:lineRule="auto"/>
        <w:ind w:left="851"/>
        <w:jc w:val="both"/>
        <w:rPr>
          <w:b/>
          <w:szCs w:val="20"/>
        </w:rPr>
      </w:pPr>
    </w:p>
    <w:p w14:paraId="6B6A3142" w14:textId="2FAB9EC1" w:rsidR="007B7B09" w:rsidRPr="00872D7E" w:rsidRDefault="007B7B09" w:rsidP="00BE3AAB">
      <w:pPr>
        <w:tabs>
          <w:tab w:val="left" w:pos="426"/>
        </w:tabs>
        <w:autoSpaceDE w:val="0"/>
        <w:autoSpaceDN w:val="0"/>
        <w:adjustRightInd w:val="0"/>
        <w:spacing w:line="228" w:lineRule="auto"/>
        <w:ind w:left="851"/>
        <w:jc w:val="both"/>
        <w:rPr>
          <w:szCs w:val="20"/>
        </w:rPr>
        <w:sectPr w:rsidR="007B7B09" w:rsidRPr="00872D7E" w:rsidSect="0004729F">
          <w:headerReference w:type="even" r:id="rId66"/>
          <w:footerReference w:type="even" r:id="rId67"/>
          <w:footerReference w:type="default" r:id="rId68"/>
          <w:headerReference w:type="first" r:id="rId69"/>
          <w:pgSz w:w="11907" w:h="16840" w:code="9"/>
          <w:pgMar w:top="1134" w:right="1134" w:bottom="1134" w:left="1134" w:header="851" w:footer="851" w:gutter="0"/>
          <w:cols w:space="708"/>
          <w:titlePg/>
          <w:docGrid w:linePitch="360"/>
        </w:sectPr>
      </w:pPr>
      <w:r w:rsidRPr="00872D7E">
        <w:rPr>
          <w:b/>
          <w:szCs w:val="20"/>
        </w:rPr>
        <w:t>(7)</w:t>
      </w:r>
      <w:r w:rsidRPr="00872D7E">
        <w:rPr>
          <w:szCs w:val="20"/>
        </w:rPr>
        <w:tab/>
        <w:t xml:space="preserve">Banka’ca üstlenilen kredi riski için ayrılan </w:t>
      </w:r>
      <w:r w:rsidR="000E463B" w:rsidRPr="00872D7E">
        <w:rPr>
          <w:szCs w:val="20"/>
        </w:rPr>
        <w:t>genel karşılık tutarı</w:t>
      </w:r>
      <w:r w:rsidRPr="00872D7E">
        <w:rPr>
          <w:szCs w:val="20"/>
        </w:rPr>
        <w:t xml:space="preserve"> </w:t>
      </w:r>
      <w:r w:rsidR="000E463B" w:rsidRPr="00872D7E">
        <w:rPr>
          <w:szCs w:val="20"/>
        </w:rPr>
        <w:t xml:space="preserve">369.935 </w:t>
      </w:r>
      <w:r w:rsidRPr="00872D7E">
        <w:rPr>
          <w:szCs w:val="20"/>
        </w:rPr>
        <w:t>TL’dir.</w:t>
      </w:r>
    </w:p>
    <w:p w14:paraId="60298078" w14:textId="77777777" w:rsidR="00261C50" w:rsidRPr="00872D7E" w:rsidRDefault="00261C50" w:rsidP="00261C50">
      <w:pPr>
        <w:autoSpaceDE w:val="0"/>
        <w:autoSpaceDN w:val="0"/>
        <w:adjustRightInd w:val="0"/>
        <w:spacing w:before="120" w:after="120"/>
        <w:jc w:val="both"/>
        <w:rPr>
          <w:b/>
          <w:szCs w:val="20"/>
        </w:rPr>
      </w:pPr>
      <w:r w:rsidRPr="00872D7E">
        <w:rPr>
          <w:b/>
          <w:szCs w:val="20"/>
        </w:rPr>
        <w:lastRenderedPageBreak/>
        <w:t>II.</w:t>
      </w:r>
      <w:r w:rsidRPr="00872D7E">
        <w:rPr>
          <w:b/>
          <w:szCs w:val="20"/>
        </w:rPr>
        <w:tab/>
        <w:t>KREDİ RİSKİNE İLİŞKİN AÇIKLAMALAR (Devamı)</w:t>
      </w:r>
    </w:p>
    <w:p w14:paraId="36F22BFC" w14:textId="77777777" w:rsidR="00DB1825" w:rsidRPr="00872D7E" w:rsidRDefault="00DB1825" w:rsidP="00261C50">
      <w:pPr>
        <w:autoSpaceDE w:val="0"/>
        <w:autoSpaceDN w:val="0"/>
        <w:adjustRightInd w:val="0"/>
        <w:spacing w:before="120" w:after="120"/>
        <w:jc w:val="both"/>
        <w:rPr>
          <w:szCs w:val="20"/>
        </w:rPr>
      </w:pPr>
      <w:r w:rsidRPr="00872D7E">
        <w:rPr>
          <w:b/>
          <w:szCs w:val="20"/>
        </w:rPr>
        <w:t>(8)</w:t>
      </w:r>
      <w:r w:rsidRPr="00872D7E">
        <w:rPr>
          <w:szCs w:val="20"/>
        </w:rPr>
        <w:tab/>
      </w:r>
      <w:r w:rsidRPr="00872D7E">
        <w:rPr>
          <w:b/>
          <w:szCs w:val="20"/>
        </w:rPr>
        <w:t>Önemli Bölgelerdeki Önemlilik Arz eden Risklere İlişkin Profil:</w:t>
      </w:r>
    </w:p>
    <w:tbl>
      <w:tblPr>
        <w:tblW w:w="14572" w:type="dxa"/>
        <w:tblCellMar>
          <w:left w:w="70" w:type="dxa"/>
          <w:right w:w="70" w:type="dxa"/>
        </w:tblCellMar>
        <w:tblLook w:val="04A0" w:firstRow="1" w:lastRow="0" w:firstColumn="1" w:lastColumn="0" w:noHBand="0" w:noVBand="1"/>
      </w:tblPr>
      <w:tblGrid>
        <w:gridCol w:w="2337"/>
        <w:gridCol w:w="780"/>
        <w:gridCol w:w="544"/>
        <w:gridCol w:w="478"/>
        <w:gridCol w:w="409"/>
        <w:gridCol w:w="709"/>
        <w:gridCol w:w="795"/>
        <w:gridCol w:w="908"/>
        <w:gridCol w:w="701"/>
        <w:gridCol w:w="718"/>
        <w:gridCol w:w="674"/>
        <w:gridCol w:w="734"/>
        <w:gridCol w:w="647"/>
        <w:gridCol w:w="647"/>
        <w:gridCol w:w="647"/>
        <w:gridCol w:w="650"/>
        <w:gridCol w:w="660"/>
        <w:gridCol w:w="674"/>
        <w:gridCol w:w="860"/>
      </w:tblGrid>
      <w:tr w:rsidR="00895AC4" w:rsidRPr="00872D7E" w14:paraId="07808172" w14:textId="26DF9DC8" w:rsidTr="00895AC4">
        <w:trPr>
          <w:trHeight w:val="206"/>
        </w:trPr>
        <w:tc>
          <w:tcPr>
            <w:tcW w:w="2337" w:type="dxa"/>
            <w:tcBorders>
              <w:top w:val="single" w:sz="4" w:space="0" w:color="auto"/>
              <w:left w:val="nil"/>
              <w:bottom w:val="single" w:sz="4" w:space="0" w:color="auto"/>
              <w:right w:val="nil"/>
            </w:tcBorders>
            <w:shd w:val="clear" w:color="auto" w:fill="auto"/>
            <w:vAlign w:val="bottom"/>
          </w:tcPr>
          <w:p w14:paraId="51D3A391" w14:textId="77777777" w:rsidR="00895AC4" w:rsidRPr="00872D7E" w:rsidRDefault="00895AC4" w:rsidP="00AC09C3">
            <w:pPr>
              <w:ind w:firstLineChars="30" w:firstLine="48"/>
              <w:rPr>
                <w:b/>
                <w:bCs/>
                <w:color w:val="000000"/>
                <w:sz w:val="16"/>
                <w:szCs w:val="16"/>
              </w:rPr>
            </w:pPr>
          </w:p>
        </w:tc>
        <w:tc>
          <w:tcPr>
            <w:tcW w:w="780" w:type="dxa"/>
            <w:tcBorders>
              <w:top w:val="single" w:sz="4" w:space="0" w:color="auto"/>
              <w:left w:val="nil"/>
              <w:bottom w:val="single" w:sz="4" w:space="0" w:color="auto"/>
              <w:right w:val="nil"/>
            </w:tcBorders>
            <w:shd w:val="clear" w:color="auto" w:fill="auto"/>
            <w:vAlign w:val="bottom"/>
          </w:tcPr>
          <w:p w14:paraId="3F36D28F" w14:textId="77777777" w:rsidR="00895AC4" w:rsidRPr="00872D7E" w:rsidRDefault="00895AC4" w:rsidP="00AC09C3">
            <w:pPr>
              <w:ind w:firstLineChars="30" w:firstLine="48"/>
              <w:jc w:val="right"/>
              <w:rPr>
                <w:b/>
                <w:bCs/>
                <w:color w:val="000000"/>
                <w:sz w:val="16"/>
                <w:szCs w:val="16"/>
              </w:rPr>
            </w:pPr>
          </w:p>
        </w:tc>
        <w:tc>
          <w:tcPr>
            <w:tcW w:w="544" w:type="dxa"/>
            <w:tcBorders>
              <w:top w:val="single" w:sz="4" w:space="0" w:color="auto"/>
              <w:left w:val="nil"/>
              <w:bottom w:val="single" w:sz="4" w:space="0" w:color="auto"/>
              <w:right w:val="nil"/>
            </w:tcBorders>
            <w:shd w:val="clear" w:color="auto" w:fill="auto"/>
            <w:vAlign w:val="bottom"/>
          </w:tcPr>
          <w:p w14:paraId="35388C78" w14:textId="77777777" w:rsidR="00895AC4" w:rsidRPr="00872D7E" w:rsidRDefault="00895AC4" w:rsidP="00AC09C3">
            <w:pPr>
              <w:ind w:firstLineChars="30" w:firstLine="48"/>
              <w:jc w:val="right"/>
              <w:rPr>
                <w:b/>
                <w:bCs/>
                <w:color w:val="000000"/>
                <w:sz w:val="16"/>
                <w:szCs w:val="16"/>
              </w:rPr>
            </w:pPr>
          </w:p>
        </w:tc>
        <w:tc>
          <w:tcPr>
            <w:tcW w:w="478" w:type="dxa"/>
            <w:tcBorders>
              <w:top w:val="single" w:sz="4" w:space="0" w:color="auto"/>
              <w:left w:val="nil"/>
              <w:bottom w:val="single" w:sz="4" w:space="0" w:color="auto"/>
              <w:right w:val="nil"/>
            </w:tcBorders>
            <w:shd w:val="clear" w:color="auto" w:fill="auto"/>
            <w:vAlign w:val="bottom"/>
          </w:tcPr>
          <w:p w14:paraId="5571AD3C" w14:textId="77777777" w:rsidR="00895AC4" w:rsidRPr="00872D7E" w:rsidRDefault="00895AC4" w:rsidP="00AC09C3">
            <w:pPr>
              <w:ind w:firstLineChars="30" w:firstLine="48"/>
              <w:jc w:val="right"/>
              <w:rPr>
                <w:b/>
                <w:bCs/>
                <w:color w:val="000000"/>
                <w:sz w:val="16"/>
                <w:szCs w:val="16"/>
              </w:rPr>
            </w:pPr>
          </w:p>
        </w:tc>
        <w:tc>
          <w:tcPr>
            <w:tcW w:w="409" w:type="dxa"/>
            <w:tcBorders>
              <w:top w:val="single" w:sz="4" w:space="0" w:color="auto"/>
              <w:left w:val="nil"/>
              <w:bottom w:val="single" w:sz="4" w:space="0" w:color="auto"/>
              <w:right w:val="nil"/>
            </w:tcBorders>
            <w:shd w:val="clear" w:color="auto" w:fill="auto"/>
            <w:vAlign w:val="bottom"/>
          </w:tcPr>
          <w:p w14:paraId="050FC83E" w14:textId="77777777" w:rsidR="00895AC4" w:rsidRPr="00872D7E" w:rsidRDefault="00895AC4" w:rsidP="00AC09C3">
            <w:pPr>
              <w:ind w:firstLineChars="30" w:firstLine="48"/>
              <w:jc w:val="right"/>
              <w:rPr>
                <w:b/>
                <w:bCs/>
                <w:color w:val="000000"/>
                <w:sz w:val="16"/>
                <w:szCs w:val="16"/>
              </w:rPr>
            </w:pPr>
          </w:p>
        </w:tc>
        <w:tc>
          <w:tcPr>
            <w:tcW w:w="709" w:type="dxa"/>
            <w:tcBorders>
              <w:top w:val="single" w:sz="4" w:space="0" w:color="auto"/>
              <w:left w:val="nil"/>
              <w:bottom w:val="single" w:sz="4" w:space="0" w:color="auto"/>
              <w:right w:val="nil"/>
            </w:tcBorders>
            <w:shd w:val="clear" w:color="auto" w:fill="auto"/>
            <w:vAlign w:val="bottom"/>
          </w:tcPr>
          <w:p w14:paraId="4981A626" w14:textId="77777777" w:rsidR="00895AC4" w:rsidRPr="00872D7E" w:rsidRDefault="00895AC4" w:rsidP="00AC09C3">
            <w:pPr>
              <w:ind w:firstLineChars="30" w:firstLine="48"/>
              <w:jc w:val="right"/>
              <w:rPr>
                <w:b/>
                <w:bCs/>
                <w:color w:val="000000"/>
                <w:sz w:val="16"/>
                <w:szCs w:val="16"/>
              </w:rPr>
            </w:pPr>
          </w:p>
        </w:tc>
        <w:tc>
          <w:tcPr>
            <w:tcW w:w="795" w:type="dxa"/>
            <w:tcBorders>
              <w:top w:val="single" w:sz="4" w:space="0" w:color="auto"/>
              <w:left w:val="nil"/>
              <w:bottom w:val="single" w:sz="4" w:space="0" w:color="auto"/>
              <w:right w:val="nil"/>
            </w:tcBorders>
            <w:shd w:val="clear" w:color="auto" w:fill="auto"/>
            <w:vAlign w:val="bottom"/>
          </w:tcPr>
          <w:p w14:paraId="0DCFDF6B" w14:textId="77777777" w:rsidR="00895AC4" w:rsidRPr="00872D7E" w:rsidRDefault="00895AC4" w:rsidP="00AC09C3">
            <w:pPr>
              <w:ind w:firstLineChars="30" w:firstLine="48"/>
              <w:jc w:val="right"/>
              <w:rPr>
                <w:b/>
                <w:bCs/>
                <w:color w:val="000000"/>
                <w:sz w:val="16"/>
                <w:szCs w:val="16"/>
              </w:rPr>
            </w:pPr>
          </w:p>
        </w:tc>
        <w:tc>
          <w:tcPr>
            <w:tcW w:w="908" w:type="dxa"/>
            <w:tcBorders>
              <w:top w:val="single" w:sz="4" w:space="0" w:color="auto"/>
              <w:left w:val="nil"/>
              <w:bottom w:val="single" w:sz="4" w:space="0" w:color="auto"/>
              <w:right w:val="nil"/>
            </w:tcBorders>
            <w:shd w:val="clear" w:color="auto" w:fill="auto"/>
            <w:vAlign w:val="bottom"/>
          </w:tcPr>
          <w:p w14:paraId="7ABAB6A7" w14:textId="2C4DF633" w:rsidR="00895AC4" w:rsidRPr="00872D7E" w:rsidRDefault="00895AC4" w:rsidP="00AC09C3">
            <w:pPr>
              <w:ind w:firstLineChars="30" w:firstLine="48"/>
              <w:jc w:val="right"/>
              <w:rPr>
                <w:b/>
                <w:bCs/>
                <w:color w:val="000000"/>
                <w:sz w:val="16"/>
                <w:szCs w:val="16"/>
              </w:rPr>
            </w:pPr>
          </w:p>
        </w:tc>
        <w:tc>
          <w:tcPr>
            <w:tcW w:w="1419" w:type="dxa"/>
            <w:gridSpan w:val="2"/>
            <w:tcBorders>
              <w:top w:val="single" w:sz="4" w:space="0" w:color="auto"/>
              <w:left w:val="nil"/>
              <w:bottom w:val="single" w:sz="4" w:space="0" w:color="auto"/>
              <w:right w:val="nil"/>
            </w:tcBorders>
            <w:shd w:val="clear" w:color="auto" w:fill="auto"/>
            <w:vAlign w:val="bottom"/>
          </w:tcPr>
          <w:p w14:paraId="1A388397" w14:textId="0263ABB9" w:rsidR="00895AC4" w:rsidRPr="00872D7E" w:rsidRDefault="00895AC4" w:rsidP="00AC09C3">
            <w:pPr>
              <w:ind w:firstLineChars="30" w:firstLine="48"/>
              <w:jc w:val="right"/>
              <w:rPr>
                <w:b/>
                <w:bCs/>
                <w:color w:val="000000"/>
                <w:sz w:val="16"/>
                <w:szCs w:val="16"/>
              </w:rPr>
            </w:pPr>
            <w:r w:rsidRPr="00872D7E">
              <w:rPr>
                <w:b/>
                <w:bCs/>
                <w:color w:val="000000"/>
                <w:sz w:val="16"/>
                <w:szCs w:val="16"/>
              </w:rPr>
              <w:t>Risk Sınıfları (*)</w:t>
            </w:r>
          </w:p>
        </w:tc>
        <w:tc>
          <w:tcPr>
            <w:tcW w:w="674" w:type="dxa"/>
            <w:tcBorders>
              <w:top w:val="single" w:sz="4" w:space="0" w:color="auto"/>
              <w:left w:val="nil"/>
              <w:bottom w:val="single" w:sz="4" w:space="0" w:color="auto"/>
              <w:right w:val="nil"/>
            </w:tcBorders>
            <w:shd w:val="clear" w:color="auto" w:fill="auto"/>
            <w:vAlign w:val="bottom"/>
          </w:tcPr>
          <w:p w14:paraId="051CE890" w14:textId="77777777" w:rsidR="00895AC4" w:rsidRPr="00872D7E" w:rsidRDefault="00895AC4" w:rsidP="00AC09C3">
            <w:pPr>
              <w:ind w:firstLineChars="30" w:firstLine="48"/>
              <w:jc w:val="right"/>
              <w:rPr>
                <w:b/>
                <w:bCs/>
                <w:color w:val="000000"/>
                <w:sz w:val="16"/>
                <w:szCs w:val="16"/>
              </w:rPr>
            </w:pPr>
          </w:p>
        </w:tc>
        <w:tc>
          <w:tcPr>
            <w:tcW w:w="734" w:type="dxa"/>
            <w:tcBorders>
              <w:top w:val="single" w:sz="4" w:space="0" w:color="auto"/>
              <w:left w:val="nil"/>
              <w:bottom w:val="single" w:sz="4" w:space="0" w:color="auto"/>
              <w:right w:val="nil"/>
            </w:tcBorders>
            <w:shd w:val="clear" w:color="auto" w:fill="auto"/>
          </w:tcPr>
          <w:p w14:paraId="41129256" w14:textId="77777777" w:rsidR="00895AC4" w:rsidRPr="00872D7E" w:rsidRDefault="00895AC4" w:rsidP="00AC09C3">
            <w:pPr>
              <w:ind w:firstLineChars="30" w:firstLine="48"/>
              <w:jc w:val="right"/>
              <w:rPr>
                <w:b/>
                <w:bCs/>
                <w:color w:val="000000"/>
                <w:sz w:val="16"/>
                <w:szCs w:val="16"/>
              </w:rPr>
            </w:pPr>
          </w:p>
        </w:tc>
        <w:tc>
          <w:tcPr>
            <w:tcW w:w="647" w:type="dxa"/>
            <w:tcBorders>
              <w:top w:val="single" w:sz="4" w:space="0" w:color="auto"/>
              <w:left w:val="nil"/>
              <w:bottom w:val="single" w:sz="4" w:space="0" w:color="auto"/>
              <w:right w:val="nil"/>
            </w:tcBorders>
          </w:tcPr>
          <w:p w14:paraId="6AF1F5F5" w14:textId="77777777" w:rsidR="00895AC4" w:rsidRPr="00872D7E" w:rsidRDefault="00895AC4" w:rsidP="00AC09C3">
            <w:pPr>
              <w:ind w:firstLineChars="30" w:firstLine="48"/>
              <w:jc w:val="right"/>
              <w:rPr>
                <w:b/>
                <w:bCs/>
                <w:color w:val="000000"/>
                <w:sz w:val="16"/>
                <w:szCs w:val="16"/>
              </w:rPr>
            </w:pPr>
          </w:p>
        </w:tc>
        <w:tc>
          <w:tcPr>
            <w:tcW w:w="647" w:type="dxa"/>
            <w:tcBorders>
              <w:top w:val="single" w:sz="4" w:space="0" w:color="auto"/>
              <w:left w:val="nil"/>
              <w:bottom w:val="single" w:sz="4" w:space="0" w:color="auto"/>
              <w:right w:val="nil"/>
            </w:tcBorders>
          </w:tcPr>
          <w:p w14:paraId="2F49543C" w14:textId="77777777" w:rsidR="00895AC4" w:rsidRPr="00872D7E" w:rsidRDefault="00895AC4" w:rsidP="00AC09C3">
            <w:pPr>
              <w:ind w:firstLineChars="30" w:firstLine="48"/>
              <w:jc w:val="right"/>
              <w:rPr>
                <w:b/>
                <w:bCs/>
                <w:color w:val="000000"/>
                <w:sz w:val="16"/>
                <w:szCs w:val="16"/>
              </w:rPr>
            </w:pPr>
          </w:p>
        </w:tc>
        <w:tc>
          <w:tcPr>
            <w:tcW w:w="647" w:type="dxa"/>
            <w:tcBorders>
              <w:top w:val="single" w:sz="4" w:space="0" w:color="auto"/>
              <w:left w:val="nil"/>
              <w:bottom w:val="single" w:sz="4" w:space="0" w:color="auto"/>
              <w:right w:val="nil"/>
            </w:tcBorders>
          </w:tcPr>
          <w:p w14:paraId="5549916F" w14:textId="77777777" w:rsidR="00895AC4" w:rsidRPr="00872D7E" w:rsidRDefault="00895AC4" w:rsidP="00AC09C3">
            <w:pPr>
              <w:ind w:firstLineChars="30" w:firstLine="48"/>
              <w:jc w:val="right"/>
              <w:rPr>
                <w:b/>
                <w:bCs/>
                <w:color w:val="000000"/>
                <w:sz w:val="16"/>
                <w:szCs w:val="16"/>
              </w:rPr>
            </w:pPr>
          </w:p>
        </w:tc>
        <w:tc>
          <w:tcPr>
            <w:tcW w:w="650" w:type="dxa"/>
            <w:tcBorders>
              <w:top w:val="single" w:sz="4" w:space="0" w:color="auto"/>
              <w:left w:val="nil"/>
              <w:bottom w:val="single" w:sz="4" w:space="0" w:color="auto"/>
              <w:right w:val="nil"/>
            </w:tcBorders>
          </w:tcPr>
          <w:p w14:paraId="06DB8CCD" w14:textId="77777777" w:rsidR="00895AC4" w:rsidRPr="00872D7E" w:rsidRDefault="00895AC4" w:rsidP="00AC09C3">
            <w:pPr>
              <w:ind w:firstLineChars="30" w:firstLine="48"/>
              <w:jc w:val="right"/>
              <w:rPr>
                <w:b/>
                <w:bCs/>
                <w:color w:val="000000"/>
                <w:sz w:val="16"/>
                <w:szCs w:val="16"/>
              </w:rPr>
            </w:pPr>
          </w:p>
        </w:tc>
        <w:tc>
          <w:tcPr>
            <w:tcW w:w="660" w:type="dxa"/>
            <w:tcBorders>
              <w:top w:val="single" w:sz="4" w:space="0" w:color="auto"/>
              <w:left w:val="nil"/>
              <w:bottom w:val="single" w:sz="4" w:space="0" w:color="auto"/>
              <w:right w:val="nil"/>
            </w:tcBorders>
          </w:tcPr>
          <w:p w14:paraId="3A12F916" w14:textId="77777777" w:rsidR="00895AC4" w:rsidRPr="00872D7E" w:rsidRDefault="00895AC4" w:rsidP="00AC09C3">
            <w:pPr>
              <w:ind w:firstLineChars="30" w:firstLine="48"/>
              <w:jc w:val="right"/>
              <w:rPr>
                <w:b/>
                <w:bCs/>
                <w:color w:val="000000"/>
                <w:sz w:val="16"/>
                <w:szCs w:val="16"/>
              </w:rPr>
            </w:pPr>
          </w:p>
        </w:tc>
        <w:tc>
          <w:tcPr>
            <w:tcW w:w="674" w:type="dxa"/>
            <w:tcBorders>
              <w:top w:val="single" w:sz="4" w:space="0" w:color="auto"/>
              <w:left w:val="nil"/>
              <w:bottom w:val="single" w:sz="4" w:space="0" w:color="auto"/>
              <w:right w:val="nil"/>
            </w:tcBorders>
          </w:tcPr>
          <w:p w14:paraId="49CDCC4B" w14:textId="77777777" w:rsidR="00895AC4" w:rsidRPr="00872D7E" w:rsidRDefault="00895AC4" w:rsidP="00AC09C3">
            <w:pPr>
              <w:ind w:firstLineChars="30" w:firstLine="48"/>
              <w:jc w:val="right"/>
              <w:rPr>
                <w:b/>
                <w:bCs/>
                <w:color w:val="000000"/>
                <w:sz w:val="16"/>
                <w:szCs w:val="16"/>
              </w:rPr>
            </w:pPr>
          </w:p>
        </w:tc>
        <w:tc>
          <w:tcPr>
            <w:tcW w:w="860" w:type="dxa"/>
            <w:tcBorders>
              <w:top w:val="single" w:sz="4" w:space="0" w:color="auto"/>
              <w:left w:val="nil"/>
              <w:bottom w:val="single" w:sz="4" w:space="0" w:color="auto"/>
              <w:right w:val="nil"/>
            </w:tcBorders>
          </w:tcPr>
          <w:p w14:paraId="6BB4C491" w14:textId="177049D9" w:rsidR="00895AC4" w:rsidRPr="00872D7E" w:rsidRDefault="00895AC4" w:rsidP="00AC09C3">
            <w:pPr>
              <w:ind w:firstLineChars="30" w:firstLine="48"/>
              <w:jc w:val="right"/>
              <w:rPr>
                <w:b/>
                <w:bCs/>
                <w:color w:val="000000"/>
                <w:sz w:val="16"/>
                <w:szCs w:val="16"/>
              </w:rPr>
            </w:pPr>
          </w:p>
        </w:tc>
      </w:tr>
      <w:tr w:rsidR="00895AC4" w:rsidRPr="00872D7E" w14:paraId="4DF44718" w14:textId="10E5D063" w:rsidTr="00895AC4">
        <w:trPr>
          <w:trHeight w:val="206"/>
        </w:trPr>
        <w:tc>
          <w:tcPr>
            <w:tcW w:w="2337" w:type="dxa"/>
            <w:tcBorders>
              <w:top w:val="single" w:sz="4" w:space="0" w:color="auto"/>
              <w:left w:val="nil"/>
              <w:bottom w:val="single" w:sz="4" w:space="0" w:color="auto"/>
              <w:right w:val="nil"/>
            </w:tcBorders>
            <w:shd w:val="clear" w:color="auto" w:fill="auto"/>
            <w:vAlign w:val="bottom"/>
            <w:hideMark/>
          </w:tcPr>
          <w:p w14:paraId="16E47AFE" w14:textId="6FC615EF" w:rsidR="00895AC4" w:rsidRPr="00872D7E" w:rsidRDefault="00827BED" w:rsidP="00AC09C3">
            <w:pPr>
              <w:ind w:firstLineChars="30" w:firstLine="48"/>
              <w:rPr>
                <w:b/>
                <w:bCs/>
                <w:color w:val="000000"/>
                <w:sz w:val="16"/>
                <w:szCs w:val="16"/>
              </w:rPr>
            </w:pPr>
            <w:bookmarkStart w:id="31" w:name="_Hlk183783019"/>
            <w:r w:rsidRPr="00872D7E">
              <w:rPr>
                <w:b/>
                <w:bCs/>
                <w:color w:val="000000"/>
                <w:sz w:val="16"/>
                <w:szCs w:val="16"/>
              </w:rPr>
              <w:t>31 Aralık 2024</w:t>
            </w:r>
          </w:p>
        </w:tc>
        <w:tc>
          <w:tcPr>
            <w:tcW w:w="780" w:type="dxa"/>
            <w:tcBorders>
              <w:top w:val="single" w:sz="4" w:space="0" w:color="auto"/>
              <w:left w:val="nil"/>
              <w:bottom w:val="single" w:sz="4" w:space="0" w:color="auto"/>
              <w:right w:val="nil"/>
            </w:tcBorders>
            <w:shd w:val="clear" w:color="auto" w:fill="auto"/>
            <w:vAlign w:val="bottom"/>
            <w:hideMark/>
          </w:tcPr>
          <w:p w14:paraId="564F1AD8"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1</w:t>
            </w:r>
          </w:p>
        </w:tc>
        <w:tc>
          <w:tcPr>
            <w:tcW w:w="544" w:type="dxa"/>
            <w:tcBorders>
              <w:top w:val="single" w:sz="4" w:space="0" w:color="auto"/>
              <w:left w:val="nil"/>
              <w:bottom w:val="single" w:sz="4" w:space="0" w:color="auto"/>
              <w:right w:val="nil"/>
            </w:tcBorders>
            <w:shd w:val="clear" w:color="auto" w:fill="auto"/>
            <w:vAlign w:val="bottom"/>
            <w:hideMark/>
          </w:tcPr>
          <w:p w14:paraId="33C5AFA1"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2</w:t>
            </w:r>
          </w:p>
        </w:tc>
        <w:tc>
          <w:tcPr>
            <w:tcW w:w="478" w:type="dxa"/>
            <w:tcBorders>
              <w:top w:val="single" w:sz="4" w:space="0" w:color="auto"/>
              <w:left w:val="nil"/>
              <w:bottom w:val="single" w:sz="4" w:space="0" w:color="auto"/>
              <w:right w:val="nil"/>
            </w:tcBorders>
            <w:shd w:val="clear" w:color="auto" w:fill="auto"/>
            <w:vAlign w:val="bottom"/>
            <w:hideMark/>
          </w:tcPr>
          <w:p w14:paraId="41EF8130"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3</w:t>
            </w:r>
          </w:p>
        </w:tc>
        <w:tc>
          <w:tcPr>
            <w:tcW w:w="409" w:type="dxa"/>
            <w:tcBorders>
              <w:top w:val="single" w:sz="4" w:space="0" w:color="auto"/>
              <w:left w:val="nil"/>
              <w:bottom w:val="single" w:sz="4" w:space="0" w:color="auto"/>
              <w:right w:val="nil"/>
            </w:tcBorders>
            <w:shd w:val="clear" w:color="auto" w:fill="auto"/>
            <w:vAlign w:val="bottom"/>
            <w:hideMark/>
          </w:tcPr>
          <w:p w14:paraId="1C3BF624"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4</w:t>
            </w:r>
          </w:p>
        </w:tc>
        <w:tc>
          <w:tcPr>
            <w:tcW w:w="709" w:type="dxa"/>
            <w:tcBorders>
              <w:top w:val="single" w:sz="4" w:space="0" w:color="auto"/>
              <w:left w:val="nil"/>
              <w:bottom w:val="single" w:sz="4" w:space="0" w:color="auto"/>
              <w:right w:val="nil"/>
            </w:tcBorders>
            <w:shd w:val="clear" w:color="auto" w:fill="auto"/>
            <w:vAlign w:val="bottom"/>
            <w:hideMark/>
          </w:tcPr>
          <w:p w14:paraId="435E858A"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5</w:t>
            </w:r>
          </w:p>
        </w:tc>
        <w:tc>
          <w:tcPr>
            <w:tcW w:w="795" w:type="dxa"/>
            <w:tcBorders>
              <w:top w:val="single" w:sz="4" w:space="0" w:color="auto"/>
              <w:left w:val="nil"/>
              <w:bottom w:val="single" w:sz="4" w:space="0" w:color="auto"/>
              <w:right w:val="nil"/>
            </w:tcBorders>
            <w:shd w:val="clear" w:color="auto" w:fill="auto"/>
            <w:vAlign w:val="bottom"/>
            <w:hideMark/>
          </w:tcPr>
          <w:p w14:paraId="1C35DD65"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6</w:t>
            </w:r>
          </w:p>
        </w:tc>
        <w:tc>
          <w:tcPr>
            <w:tcW w:w="908" w:type="dxa"/>
            <w:tcBorders>
              <w:top w:val="single" w:sz="4" w:space="0" w:color="auto"/>
              <w:left w:val="nil"/>
              <w:bottom w:val="single" w:sz="4" w:space="0" w:color="auto"/>
              <w:right w:val="nil"/>
            </w:tcBorders>
            <w:shd w:val="clear" w:color="auto" w:fill="auto"/>
            <w:vAlign w:val="bottom"/>
            <w:hideMark/>
          </w:tcPr>
          <w:p w14:paraId="597B327F"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7</w:t>
            </w:r>
          </w:p>
        </w:tc>
        <w:tc>
          <w:tcPr>
            <w:tcW w:w="701" w:type="dxa"/>
            <w:tcBorders>
              <w:top w:val="single" w:sz="4" w:space="0" w:color="auto"/>
              <w:left w:val="nil"/>
              <w:bottom w:val="single" w:sz="4" w:space="0" w:color="auto"/>
              <w:right w:val="nil"/>
            </w:tcBorders>
            <w:shd w:val="clear" w:color="auto" w:fill="auto"/>
            <w:vAlign w:val="bottom"/>
            <w:hideMark/>
          </w:tcPr>
          <w:p w14:paraId="664D24ED"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8</w:t>
            </w:r>
          </w:p>
        </w:tc>
        <w:tc>
          <w:tcPr>
            <w:tcW w:w="718" w:type="dxa"/>
            <w:tcBorders>
              <w:top w:val="single" w:sz="4" w:space="0" w:color="auto"/>
              <w:left w:val="nil"/>
              <w:bottom w:val="single" w:sz="4" w:space="0" w:color="auto"/>
              <w:right w:val="nil"/>
            </w:tcBorders>
            <w:shd w:val="clear" w:color="auto" w:fill="auto"/>
            <w:vAlign w:val="bottom"/>
            <w:hideMark/>
          </w:tcPr>
          <w:p w14:paraId="388E7C6D"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9</w:t>
            </w:r>
          </w:p>
        </w:tc>
        <w:tc>
          <w:tcPr>
            <w:tcW w:w="674" w:type="dxa"/>
            <w:tcBorders>
              <w:top w:val="single" w:sz="4" w:space="0" w:color="auto"/>
              <w:left w:val="nil"/>
              <w:bottom w:val="single" w:sz="4" w:space="0" w:color="auto"/>
              <w:right w:val="nil"/>
            </w:tcBorders>
            <w:shd w:val="clear" w:color="auto" w:fill="auto"/>
            <w:vAlign w:val="bottom"/>
          </w:tcPr>
          <w:p w14:paraId="4D4843C1"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10</w:t>
            </w:r>
          </w:p>
        </w:tc>
        <w:tc>
          <w:tcPr>
            <w:tcW w:w="734" w:type="dxa"/>
            <w:tcBorders>
              <w:top w:val="single" w:sz="4" w:space="0" w:color="auto"/>
              <w:left w:val="nil"/>
              <w:bottom w:val="single" w:sz="4" w:space="0" w:color="auto"/>
              <w:right w:val="nil"/>
            </w:tcBorders>
            <w:shd w:val="clear" w:color="auto" w:fill="auto"/>
            <w:vAlign w:val="bottom"/>
            <w:hideMark/>
          </w:tcPr>
          <w:p w14:paraId="685C1B01" w14:textId="77777777" w:rsidR="00895AC4" w:rsidRPr="00872D7E" w:rsidRDefault="00895AC4" w:rsidP="00895AC4">
            <w:pPr>
              <w:ind w:firstLineChars="30" w:firstLine="48"/>
              <w:jc w:val="right"/>
              <w:rPr>
                <w:b/>
                <w:bCs/>
                <w:color w:val="000000"/>
                <w:sz w:val="16"/>
                <w:szCs w:val="16"/>
              </w:rPr>
            </w:pPr>
            <w:r w:rsidRPr="00872D7E">
              <w:rPr>
                <w:b/>
                <w:bCs/>
                <w:color w:val="000000"/>
                <w:sz w:val="16"/>
                <w:szCs w:val="16"/>
              </w:rPr>
              <w:t>11</w:t>
            </w:r>
          </w:p>
        </w:tc>
        <w:tc>
          <w:tcPr>
            <w:tcW w:w="647" w:type="dxa"/>
            <w:tcBorders>
              <w:top w:val="single" w:sz="4" w:space="0" w:color="auto"/>
              <w:left w:val="nil"/>
              <w:bottom w:val="single" w:sz="4" w:space="0" w:color="auto"/>
              <w:right w:val="nil"/>
            </w:tcBorders>
            <w:vAlign w:val="bottom"/>
          </w:tcPr>
          <w:p w14:paraId="3E48E7B2" w14:textId="6D2EC453" w:rsidR="00895AC4" w:rsidRPr="00872D7E" w:rsidRDefault="00895AC4" w:rsidP="00895AC4">
            <w:pPr>
              <w:ind w:firstLineChars="30" w:firstLine="48"/>
              <w:jc w:val="right"/>
              <w:rPr>
                <w:b/>
                <w:bCs/>
                <w:color w:val="000000"/>
                <w:sz w:val="16"/>
                <w:szCs w:val="16"/>
              </w:rPr>
            </w:pPr>
            <w:r w:rsidRPr="00872D7E">
              <w:rPr>
                <w:b/>
                <w:bCs/>
                <w:color w:val="000000"/>
                <w:sz w:val="16"/>
                <w:szCs w:val="16"/>
              </w:rPr>
              <w:t>12</w:t>
            </w:r>
          </w:p>
        </w:tc>
        <w:tc>
          <w:tcPr>
            <w:tcW w:w="647" w:type="dxa"/>
            <w:tcBorders>
              <w:top w:val="single" w:sz="4" w:space="0" w:color="auto"/>
              <w:left w:val="nil"/>
              <w:bottom w:val="single" w:sz="4" w:space="0" w:color="auto"/>
              <w:right w:val="nil"/>
            </w:tcBorders>
            <w:vAlign w:val="bottom"/>
          </w:tcPr>
          <w:p w14:paraId="1F840EAA" w14:textId="5A041712" w:rsidR="00895AC4" w:rsidRPr="00872D7E" w:rsidRDefault="00895AC4" w:rsidP="00895AC4">
            <w:pPr>
              <w:ind w:firstLineChars="30" w:firstLine="48"/>
              <w:jc w:val="right"/>
              <w:rPr>
                <w:b/>
                <w:bCs/>
                <w:color w:val="000000"/>
                <w:sz w:val="16"/>
                <w:szCs w:val="16"/>
              </w:rPr>
            </w:pPr>
            <w:r w:rsidRPr="00872D7E">
              <w:rPr>
                <w:b/>
                <w:bCs/>
                <w:color w:val="000000"/>
                <w:sz w:val="16"/>
                <w:szCs w:val="16"/>
              </w:rPr>
              <w:t>13</w:t>
            </w:r>
          </w:p>
        </w:tc>
        <w:tc>
          <w:tcPr>
            <w:tcW w:w="647" w:type="dxa"/>
            <w:tcBorders>
              <w:top w:val="single" w:sz="4" w:space="0" w:color="auto"/>
              <w:left w:val="nil"/>
              <w:bottom w:val="single" w:sz="4" w:space="0" w:color="auto"/>
              <w:right w:val="nil"/>
            </w:tcBorders>
            <w:vAlign w:val="bottom"/>
          </w:tcPr>
          <w:p w14:paraId="4E7C19D7" w14:textId="1D777AD9" w:rsidR="00895AC4" w:rsidRPr="00872D7E" w:rsidRDefault="00895AC4" w:rsidP="00895AC4">
            <w:pPr>
              <w:ind w:firstLineChars="30" w:firstLine="48"/>
              <w:jc w:val="right"/>
              <w:rPr>
                <w:b/>
                <w:bCs/>
                <w:color w:val="000000"/>
                <w:sz w:val="16"/>
                <w:szCs w:val="16"/>
              </w:rPr>
            </w:pPr>
            <w:r w:rsidRPr="00872D7E">
              <w:rPr>
                <w:b/>
                <w:bCs/>
                <w:color w:val="000000"/>
                <w:sz w:val="16"/>
                <w:szCs w:val="16"/>
              </w:rPr>
              <w:t>14</w:t>
            </w:r>
          </w:p>
        </w:tc>
        <w:tc>
          <w:tcPr>
            <w:tcW w:w="650" w:type="dxa"/>
            <w:tcBorders>
              <w:top w:val="single" w:sz="4" w:space="0" w:color="auto"/>
              <w:left w:val="nil"/>
              <w:bottom w:val="single" w:sz="4" w:space="0" w:color="auto"/>
              <w:right w:val="nil"/>
            </w:tcBorders>
            <w:vAlign w:val="bottom"/>
          </w:tcPr>
          <w:p w14:paraId="5828CBDD" w14:textId="0FF5DC05" w:rsidR="00895AC4" w:rsidRPr="00872D7E" w:rsidRDefault="00895AC4" w:rsidP="00895AC4">
            <w:pPr>
              <w:ind w:firstLineChars="30" w:firstLine="48"/>
              <w:jc w:val="right"/>
              <w:rPr>
                <w:b/>
                <w:bCs/>
                <w:color w:val="000000"/>
                <w:sz w:val="16"/>
                <w:szCs w:val="16"/>
              </w:rPr>
            </w:pPr>
            <w:r w:rsidRPr="00872D7E">
              <w:rPr>
                <w:b/>
                <w:bCs/>
                <w:color w:val="000000"/>
                <w:sz w:val="16"/>
                <w:szCs w:val="16"/>
              </w:rPr>
              <w:t>15</w:t>
            </w:r>
          </w:p>
        </w:tc>
        <w:tc>
          <w:tcPr>
            <w:tcW w:w="660" w:type="dxa"/>
            <w:tcBorders>
              <w:top w:val="single" w:sz="4" w:space="0" w:color="auto"/>
              <w:left w:val="nil"/>
              <w:bottom w:val="single" w:sz="4" w:space="0" w:color="auto"/>
              <w:right w:val="nil"/>
            </w:tcBorders>
            <w:vAlign w:val="bottom"/>
          </w:tcPr>
          <w:p w14:paraId="3837040F" w14:textId="1DE16DA7" w:rsidR="00895AC4" w:rsidRPr="00872D7E" w:rsidRDefault="00895AC4" w:rsidP="00895AC4">
            <w:pPr>
              <w:ind w:firstLineChars="30" w:firstLine="48"/>
              <w:jc w:val="right"/>
              <w:rPr>
                <w:b/>
                <w:bCs/>
                <w:color w:val="000000"/>
                <w:sz w:val="16"/>
                <w:szCs w:val="16"/>
              </w:rPr>
            </w:pPr>
            <w:r w:rsidRPr="00872D7E">
              <w:rPr>
                <w:b/>
                <w:bCs/>
                <w:color w:val="000000"/>
                <w:sz w:val="16"/>
                <w:szCs w:val="16"/>
              </w:rPr>
              <w:t>16</w:t>
            </w:r>
          </w:p>
        </w:tc>
        <w:tc>
          <w:tcPr>
            <w:tcW w:w="674" w:type="dxa"/>
            <w:tcBorders>
              <w:top w:val="single" w:sz="4" w:space="0" w:color="auto"/>
              <w:left w:val="nil"/>
              <w:bottom w:val="single" w:sz="4" w:space="0" w:color="auto"/>
              <w:right w:val="nil"/>
            </w:tcBorders>
            <w:vAlign w:val="bottom"/>
          </w:tcPr>
          <w:p w14:paraId="1D153D09" w14:textId="2468C139" w:rsidR="00895AC4" w:rsidRPr="00872D7E" w:rsidRDefault="00895AC4" w:rsidP="00895AC4">
            <w:pPr>
              <w:ind w:firstLineChars="30" w:firstLine="48"/>
              <w:jc w:val="right"/>
              <w:rPr>
                <w:b/>
                <w:bCs/>
                <w:color w:val="000000"/>
                <w:sz w:val="16"/>
                <w:szCs w:val="16"/>
              </w:rPr>
            </w:pPr>
            <w:r w:rsidRPr="00872D7E">
              <w:rPr>
                <w:b/>
                <w:bCs/>
                <w:color w:val="000000"/>
                <w:sz w:val="16"/>
                <w:szCs w:val="16"/>
              </w:rPr>
              <w:t>17</w:t>
            </w:r>
          </w:p>
        </w:tc>
        <w:tc>
          <w:tcPr>
            <w:tcW w:w="860" w:type="dxa"/>
            <w:tcBorders>
              <w:top w:val="single" w:sz="4" w:space="0" w:color="auto"/>
              <w:left w:val="nil"/>
              <w:bottom w:val="single" w:sz="4" w:space="0" w:color="auto"/>
              <w:right w:val="nil"/>
            </w:tcBorders>
            <w:vAlign w:val="bottom"/>
          </w:tcPr>
          <w:p w14:paraId="5B78140B" w14:textId="6C2E8615" w:rsidR="00895AC4" w:rsidRPr="00872D7E" w:rsidRDefault="00895AC4" w:rsidP="00895AC4">
            <w:pPr>
              <w:ind w:firstLineChars="30" w:firstLine="48"/>
              <w:jc w:val="right"/>
              <w:rPr>
                <w:b/>
                <w:bCs/>
                <w:color w:val="000000"/>
                <w:sz w:val="16"/>
                <w:szCs w:val="16"/>
              </w:rPr>
            </w:pPr>
            <w:r w:rsidRPr="00872D7E">
              <w:rPr>
                <w:b/>
                <w:bCs/>
                <w:color w:val="000000"/>
                <w:sz w:val="16"/>
                <w:szCs w:val="16"/>
              </w:rPr>
              <w:t>Toplam</w:t>
            </w:r>
          </w:p>
        </w:tc>
      </w:tr>
      <w:tr w:rsidR="00895AC4" w:rsidRPr="00872D7E" w14:paraId="621B5AC8" w14:textId="28A5DF09" w:rsidTr="00895AC4">
        <w:trPr>
          <w:trHeight w:val="206"/>
        </w:trPr>
        <w:tc>
          <w:tcPr>
            <w:tcW w:w="2337" w:type="dxa"/>
            <w:tcBorders>
              <w:top w:val="single" w:sz="4" w:space="0" w:color="auto"/>
              <w:left w:val="nil"/>
              <w:bottom w:val="nil"/>
              <w:right w:val="nil"/>
            </w:tcBorders>
            <w:shd w:val="clear" w:color="auto" w:fill="auto"/>
            <w:vAlign w:val="bottom"/>
            <w:hideMark/>
          </w:tcPr>
          <w:p w14:paraId="2F583E75" w14:textId="77777777" w:rsidR="00895AC4" w:rsidRPr="00872D7E" w:rsidRDefault="00895AC4" w:rsidP="00895AC4">
            <w:pPr>
              <w:ind w:firstLineChars="30" w:firstLine="48"/>
              <w:rPr>
                <w:color w:val="000000"/>
                <w:sz w:val="16"/>
                <w:szCs w:val="16"/>
              </w:rPr>
            </w:pPr>
            <w:r w:rsidRPr="00872D7E">
              <w:rPr>
                <w:color w:val="000000"/>
                <w:sz w:val="16"/>
                <w:szCs w:val="16"/>
              </w:rPr>
              <w:t>Yurtiçi</w:t>
            </w:r>
          </w:p>
        </w:tc>
        <w:tc>
          <w:tcPr>
            <w:tcW w:w="780" w:type="dxa"/>
            <w:tcBorders>
              <w:top w:val="nil"/>
              <w:left w:val="nil"/>
              <w:bottom w:val="nil"/>
              <w:right w:val="nil"/>
            </w:tcBorders>
            <w:shd w:val="clear" w:color="auto" w:fill="auto"/>
            <w:vAlign w:val="bottom"/>
          </w:tcPr>
          <w:p w14:paraId="6760E711" w14:textId="68935C5A" w:rsidR="00895AC4" w:rsidRPr="00872D7E" w:rsidRDefault="00895AC4" w:rsidP="00895AC4">
            <w:pPr>
              <w:jc w:val="right"/>
              <w:rPr>
                <w:color w:val="000000"/>
                <w:sz w:val="16"/>
                <w:szCs w:val="16"/>
              </w:rPr>
            </w:pPr>
            <w:r w:rsidRPr="00872D7E">
              <w:rPr>
                <w:sz w:val="16"/>
                <w:szCs w:val="16"/>
              </w:rPr>
              <w:t>4.830.858</w:t>
            </w:r>
          </w:p>
        </w:tc>
        <w:tc>
          <w:tcPr>
            <w:tcW w:w="544" w:type="dxa"/>
            <w:tcBorders>
              <w:top w:val="nil"/>
              <w:left w:val="nil"/>
              <w:bottom w:val="nil"/>
              <w:right w:val="nil"/>
            </w:tcBorders>
            <w:shd w:val="clear" w:color="auto" w:fill="auto"/>
            <w:vAlign w:val="bottom"/>
          </w:tcPr>
          <w:p w14:paraId="0B8D6BD8" w14:textId="784AD45D" w:rsidR="00895AC4" w:rsidRPr="00872D7E" w:rsidRDefault="00895AC4" w:rsidP="00895AC4">
            <w:pPr>
              <w:jc w:val="right"/>
              <w:rPr>
                <w:color w:val="000000"/>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4B6EE9D3" w14:textId="69C1F4A9" w:rsidR="00895AC4" w:rsidRPr="00872D7E" w:rsidRDefault="00895AC4" w:rsidP="00895AC4">
            <w:pPr>
              <w:jc w:val="right"/>
              <w:rPr>
                <w:color w:val="000000"/>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790D31DE" w14:textId="50D3E16B"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0A3F1946" w14:textId="6B7BA088"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31B93D37" w14:textId="00CA795F" w:rsidR="00895AC4" w:rsidRPr="00872D7E" w:rsidRDefault="00895AC4" w:rsidP="00895AC4">
            <w:pPr>
              <w:jc w:val="right"/>
              <w:rPr>
                <w:color w:val="000000"/>
                <w:sz w:val="16"/>
                <w:szCs w:val="16"/>
              </w:rPr>
            </w:pPr>
            <w:r w:rsidRPr="00872D7E">
              <w:rPr>
                <w:sz w:val="16"/>
                <w:szCs w:val="16"/>
              </w:rPr>
              <w:t>4.975.319</w:t>
            </w:r>
          </w:p>
        </w:tc>
        <w:tc>
          <w:tcPr>
            <w:tcW w:w="908" w:type="dxa"/>
            <w:tcBorders>
              <w:top w:val="nil"/>
              <w:left w:val="nil"/>
              <w:bottom w:val="nil"/>
              <w:right w:val="nil"/>
            </w:tcBorders>
            <w:shd w:val="clear" w:color="auto" w:fill="auto"/>
            <w:vAlign w:val="bottom"/>
          </w:tcPr>
          <w:p w14:paraId="2A6E35F5" w14:textId="729EDDA4" w:rsidR="00895AC4" w:rsidRPr="00872D7E" w:rsidRDefault="00895AC4" w:rsidP="00895AC4">
            <w:pPr>
              <w:jc w:val="right"/>
              <w:rPr>
                <w:color w:val="000000"/>
                <w:sz w:val="16"/>
                <w:szCs w:val="16"/>
              </w:rPr>
            </w:pPr>
            <w:r w:rsidRPr="00872D7E">
              <w:rPr>
                <w:sz w:val="16"/>
                <w:szCs w:val="16"/>
              </w:rPr>
              <w:t>12.957.365</w:t>
            </w:r>
          </w:p>
        </w:tc>
        <w:tc>
          <w:tcPr>
            <w:tcW w:w="701" w:type="dxa"/>
            <w:tcBorders>
              <w:top w:val="nil"/>
              <w:left w:val="nil"/>
              <w:bottom w:val="nil"/>
              <w:right w:val="nil"/>
            </w:tcBorders>
            <w:shd w:val="clear" w:color="auto" w:fill="auto"/>
            <w:vAlign w:val="bottom"/>
          </w:tcPr>
          <w:p w14:paraId="6118BCB6" w14:textId="53A9DC42"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0D0C819D" w14:textId="3673A2C6" w:rsidR="00895AC4" w:rsidRPr="00872D7E" w:rsidRDefault="00895AC4" w:rsidP="00895AC4">
            <w:pPr>
              <w:jc w:val="right"/>
              <w:rPr>
                <w:color w:val="000000"/>
                <w:sz w:val="16"/>
                <w:szCs w:val="16"/>
              </w:rPr>
            </w:pPr>
            <w:r w:rsidRPr="00872D7E">
              <w:rPr>
                <w:sz w:val="16"/>
                <w:szCs w:val="16"/>
              </w:rPr>
              <w:t>709.613</w:t>
            </w:r>
          </w:p>
        </w:tc>
        <w:tc>
          <w:tcPr>
            <w:tcW w:w="674" w:type="dxa"/>
            <w:tcBorders>
              <w:top w:val="nil"/>
              <w:left w:val="nil"/>
              <w:bottom w:val="nil"/>
              <w:right w:val="nil"/>
            </w:tcBorders>
            <w:shd w:val="clear" w:color="auto" w:fill="auto"/>
            <w:vAlign w:val="bottom"/>
          </w:tcPr>
          <w:p w14:paraId="33D5224D" w14:textId="0D3854C2"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1291BBA4" w14:textId="45184D40" w:rsidR="00895AC4" w:rsidRPr="00872D7E" w:rsidRDefault="00895AC4" w:rsidP="00895AC4">
            <w:pPr>
              <w:jc w:val="right"/>
              <w:rPr>
                <w:color w:val="000000"/>
                <w:sz w:val="16"/>
                <w:szCs w:val="16"/>
              </w:rPr>
            </w:pPr>
            <w:r w:rsidRPr="00872D7E">
              <w:rPr>
                <w:sz w:val="16"/>
                <w:szCs w:val="16"/>
              </w:rPr>
              <w:t>27.648</w:t>
            </w:r>
          </w:p>
        </w:tc>
        <w:tc>
          <w:tcPr>
            <w:tcW w:w="647" w:type="dxa"/>
            <w:tcBorders>
              <w:top w:val="nil"/>
              <w:left w:val="nil"/>
              <w:bottom w:val="nil"/>
              <w:right w:val="nil"/>
            </w:tcBorders>
            <w:vAlign w:val="bottom"/>
          </w:tcPr>
          <w:p w14:paraId="65C6FA76" w14:textId="5058619F"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554A7C91" w14:textId="69A5F4A4"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0E2F0F49" w14:textId="1EA7164A"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18E293A5" w14:textId="0B0EDF24" w:rsidR="00895AC4" w:rsidRPr="00872D7E" w:rsidRDefault="00895AC4" w:rsidP="00895AC4">
            <w:pPr>
              <w:jc w:val="right"/>
              <w:rPr>
                <w:color w:val="000000"/>
                <w:sz w:val="16"/>
                <w:szCs w:val="16"/>
              </w:rPr>
            </w:pPr>
            <w:r w:rsidRPr="00872D7E">
              <w:rPr>
                <w:sz w:val="16"/>
                <w:szCs w:val="16"/>
              </w:rPr>
              <w:t>948</w:t>
            </w:r>
          </w:p>
        </w:tc>
        <w:tc>
          <w:tcPr>
            <w:tcW w:w="660" w:type="dxa"/>
            <w:tcBorders>
              <w:top w:val="nil"/>
              <w:left w:val="nil"/>
              <w:bottom w:val="nil"/>
              <w:right w:val="nil"/>
            </w:tcBorders>
            <w:vAlign w:val="bottom"/>
          </w:tcPr>
          <w:p w14:paraId="699E4AFE" w14:textId="54931BC7" w:rsidR="00895AC4" w:rsidRPr="00872D7E" w:rsidRDefault="00895AC4" w:rsidP="00895AC4">
            <w:pPr>
              <w:jc w:val="right"/>
              <w:rPr>
                <w:color w:val="000000"/>
                <w:sz w:val="16"/>
                <w:szCs w:val="16"/>
              </w:rPr>
            </w:pPr>
            <w:r w:rsidRPr="00872D7E">
              <w:rPr>
                <w:sz w:val="16"/>
                <w:szCs w:val="16"/>
              </w:rPr>
              <w:t>15</w:t>
            </w:r>
          </w:p>
        </w:tc>
        <w:tc>
          <w:tcPr>
            <w:tcW w:w="674" w:type="dxa"/>
            <w:tcBorders>
              <w:top w:val="nil"/>
              <w:left w:val="nil"/>
              <w:bottom w:val="nil"/>
              <w:right w:val="nil"/>
            </w:tcBorders>
            <w:vAlign w:val="bottom"/>
          </w:tcPr>
          <w:p w14:paraId="0F81C6DE" w14:textId="2A9D87DF" w:rsidR="00895AC4" w:rsidRPr="00872D7E" w:rsidRDefault="00895AC4" w:rsidP="00895AC4">
            <w:pPr>
              <w:jc w:val="right"/>
              <w:rPr>
                <w:color w:val="000000"/>
                <w:sz w:val="16"/>
                <w:szCs w:val="16"/>
              </w:rPr>
            </w:pPr>
            <w:r w:rsidRPr="00872D7E">
              <w:rPr>
                <w:sz w:val="16"/>
                <w:szCs w:val="16"/>
              </w:rPr>
              <w:t>991.124</w:t>
            </w:r>
          </w:p>
        </w:tc>
        <w:tc>
          <w:tcPr>
            <w:tcW w:w="860" w:type="dxa"/>
            <w:tcBorders>
              <w:top w:val="nil"/>
              <w:left w:val="nil"/>
              <w:bottom w:val="nil"/>
              <w:right w:val="nil"/>
            </w:tcBorders>
            <w:vAlign w:val="bottom"/>
          </w:tcPr>
          <w:p w14:paraId="7E6A2B77" w14:textId="78724309" w:rsidR="00895AC4" w:rsidRPr="00872D7E" w:rsidRDefault="00895AC4" w:rsidP="00895AC4">
            <w:pPr>
              <w:jc w:val="right"/>
              <w:rPr>
                <w:color w:val="000000"/>
                <w:sz w:val="16"/>
                <w:szCs w:val="16"/>
              </w:rPr>
            </w:pPr>
            <w:r w:rsidRPr="00872D7E">
              <w:rPr>
                <w:sz w:val="16"/>
                <w:szCs w:val="16"/>
              </w:rPr>
              <w:t>24.492.890</w:t>
            </w:r>
          </w:p>
        </w:tc>
      </w:tr>
      <w:tr w:rsidR="00895AC4" w:rsidRPr="00872D7E" w14:paraId="5A5EDBF8" w14:textId="4A127435" w:rsidTr="00895AC4">
        <w:trPr>
          <w:trHeight w:val="206"/>
        </w:trPr>
        <w:tc>
          <w:tcPr>
            <w:tcW w:w="2337" w:type="dxa"/>
            <w:tcBorders>
              <w:top w:val="nil"/>
              <w:left w:val="nil"/>
              <w:bottom w:val="nil"/>
              <w:right w:val="nil"/>
            </w:tcBorders>
            <w:shd w:val="clear" w:color="auto" w:fill="auto"/>
            <w:vAlign w:val="bottom"/>
            <w:hideMark/>
          </w:tcPr>
          <w:p w14:paraId="4E768FCF" w14:textId="77777777" w:rsidR="00895AC4" w:rsidRPr="00872D7E" w:rsidRDefault="00895AC4" w:rsidP="00895AC4">
            <w:pPr>
              <w:ind w:firstLineChars="30" w:firstLine="48"/>
              <w:rPr>
                <w:color w:val="000000"/>
                <w:sz w:val="16"/>
                <w:szCs w:val="16"/>
              </w:rPr>
            </w:pPr>
            <w:r w:rsidRPr="00872D7E">
              <w:rPr>
                <w:color w:val="000000"/>
                <w:sz w:val="16"/>
                <w:szCs w:val="16"/>
              </w:rPr>
              <w:t>Avrupa birliği ülkeleri</w:t>
            </w:r>
          </w:p>
        </w:tc>
        <w:tc>
          <w:tcPr>
            <w:tcW w:w="780" w:type="dxa"/>
            <w:tcBorders>
              <w:top w:val="nil"/>
              <w:left w:val="nil"/>
              <w:bottom w:val="nil"/>
              <w:right w:val="nil"/>
            </w:tcBorders>
            <w:shd w:val="clear" w:color="auto" w:fill="auto"/>
            <w:vAlign w:val="bottom"/>
          </w:tcPr>
          <w:p w14:paraId="3577DA48" w14:textId="5282A5FB"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51FDCD14" w14:textId="792675CE" w:rsidR="00895AC4" w:rsidRPr="00872D7E" w:rsidRDefault="00895AC4" w:rsidP="00895AC4">
            <w:pPr>
              <w:jc w:val="right"/>
              <w:rPr>
                <w:color w:val="000000"/>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10B158B4" w14:textId="5382680E" w:rsidR="00895AC4" w:rsidRPr="00872D7E" w:rsidRDefault="00895AC4" w:rsidP="00895AC4">
            <w:pPr>
              <w:jc w:val="right"/>
              <w:rPr>
                <w:color w:val="000000"/>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7EA49C19" w14:textId="4CDEC39E"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0C055974" w14:textId="190358C5"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4445800C" w14:textId="30714546" w:rsidR="00895AC4" w:rsidRPr="00872D7E" w:rsidRDefault="00895AC4" w:rsidP="00895AC4">
            <w:pPr>
              <w:jc w:val="right"/>
              <w:rPr>
                <w:color w:val="000000"/>
                <w:sz w:val="16"/>
                <w:szCs w:val="16"/>
              </w:rPr>
            </w:pPr>
            <w:r w:rsidRPr="00872D7E">
              <w:rPr>
                <w:sz w:val="16"/>
                <w:szCs w:val="16"/>
              </w:rPr>
              <w:t>44.367</w:t>
            </w:r>
          </w:p>
        </w:tc>
        <w:tc>
          <w:tcPr>
            <w:tcW w:w="908" w:type="dxa"/>
            <w:tcBorders>
              <w:top w:val="nil"/>
              <w:left w:val="nil"/>
              <w:bottom w:val="nil"/>
              <w:right w:val="nil"/>
            </w:tcBorders>
            <w:shd w:val="clear" w:color="auto" w:fill="auto"/>
            <w:vAlign w:val="bottom"/>
          </w:tcPr>
          <w:p w14:paraId="394E1C15" w14:textId="047B61C1" w:rsidR="00895AC4" w:rsidRPr="00872D7E" w:rsidRDefault="00895AC4" w:rsidP="00895AC4">
            <w:pPr>
              <w:jc w:val="right"/>
              <w:rPr>
                <w:color w:val="000000"/>
                <w:sz w:val="16"/>
                <w:szCs w:val="16"/>
              </w:rPr>
            </w:pPr>
            <w:r w:rsidRPr="00872D7E">
              <w:rPr>
                <w:sz w:val="16"/>
                <w:szCs w:val="16"/>
              </w:rPr>
              <w:t>39.006</w:t>
            </w:r>
          </w:p>
        </w:tc>
        <w:tc>
          <w:tcPr>
            <w:tcW w:w="701" w:type="dxa"/>
            <w:tcBorders>
              <w:top w:val="nil"/>
              <w:left w:val="nil"/>
              <w:bottom w:val="nil"/>
              <w:right w:val="nil"/>
            </w:tcBorders>
            <w:shd w:val="clear" w:color="auto" w:fill="auto"/>
            <w:vAlign w:val="bottom"/>
          </w:tcPr>
          <w:p w14:paraId="049835AA" w14:textId="0C61DBFE"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5E4F5AAD" w14:textId="21415F90"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2556873A" w14:textId="63FBEB4E"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038E7086" w14:textId="527F00ED"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5515EE16" w14:textId="6D536C05"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12BDED79" w14:textId="3463F98C"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06A7EA52" w14:textId="7A6941E7"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04021687" w14:textId="33123726"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0FFBEF3F" w14:textId="5CDA8CF0"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0448240F" w14:textId="475DAEC0"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4100F862" w14:textId="7005D43D" w:rsidR="00895AC4" w:rsidRPr="00872D7E" w:rsidRDefault="00895AC4" w:rsidP="00895AC4">
            <w:pPr>
              <w:jc w:val="right"/>
              <w:rPr>
                <w:color w:val="000000"/>
                <w:sz w:val="16"/>
                <w:szCs w:val="16"/>
              </w:rPr>
            </w:pPr>
            <w:r w:rsidRPr="00872D7E">
              <w:rPr>
                <w:sz w:val="16"/>
                <w:szCs w:val="16"/>
              </w:rPr>
              <w:t>83.373</w:t>
            </w:r>
          </w:p>
        </w:tc>
      </w:tr>
      <w:tr w:rsidR="00895AC4" w:rsidRPr="00872D7E" w14:paraId="185F00C8" w14:textId="5D45AD5A" w:rsidTr="00895AC4">
        <w:trPr>
          <w:trHeight w:val="206"/>
        </w:trPr>
        <w:tc>
          <w:tcPr>
            <w:tcW w:w="2337" w:type="dxa"/>
            <w:tcBorders>
              <w:top w:val="nil"/>
              <w:left w:val="nil"/>
              <w:bottom w:val="nil"/>
              <w:right w:val="nil"/>
            </w:tcBorders>
            <w:shd w:val="clear" w:color="auto" w:fill="auto"/>
            <w:vAlign w:val="bottom"/>
            <w:hideMark/>
          </w:tcPr>
          <w:p w14:paraId="0429A3CC" w14:textId="77777777" w:rsidR="00895AC4" w:rsidRPr="00872D7E" w:rsidRDefault="00895AC4" w:rsidP="00895AC4">
            <w:pPr>
              <w:ind w:firstLineChars="30" w:firstLine="48"/>
              <w:rPr>
                <w:color w:val="000000"/>
                <w:sz w:val="16"/>
                <w:szCs w:val="16"/>
              </w:rPr>
            </w:pPr>
            <w:r w:rsidRPr="00872D7E">
              <w:rPr>
                <w:color w:val="000000"/>
                <w:sz w:val="16"/>
                <w:szCs w:val="16"/>
              </w:rPr>
              <w:t xml:space="preserve">OECD ülkeleri </w:t>
            </w:r>
            <w:r w:rsidRPr="00872D7E">
              <w:rPr>
                <w:color w:val="000000"/>
                <w:sz w:val="16"/>
                <w:szCs w:val="16"/>
                <w:vertAlign w:val="superscript"/>
              </w:rPr>
              <w:t>(**)</w:t>
            </w:r>
          </w:p>
        </w:tc>
        <w:tc>
          <w:tcPr>
            <w:tcW w:w="780" w:type="dxa"/>
            <w:tcBorders>
              <w:top w:val="nil"/>
              <w:left w:val="nil"/>
              <w:bottom w:val="nil"/>
              <w:right w:val="nil"/>
            </w:tcBorders>
            <w:shd w:val="clear" w:color="auto" w:fill="auto"/>
            <w:vAlign w:val="bottom"/>
          </w:tcPr>
          <w:p w14:paraId="4C7D6F66" w14:textId="2AAC15DB"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03276EEE" w14:textId="26CF4967" w:rsidR="00895AC4" w:rsidRPr="00872D7E" w:rsidRDefault="00895AC4" w:rsidP="00895AC4">
            <w:pPr>
              <w:jc w:val="right"/>
              <w:rPr>
                <w:color w:val="000000"/>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1AD74FE5" w14:textId="793FBBE5" w:rsidR="00895AC4" w:rsidRPr="00872D7E" w:rsidRDefault="00895AC4" w:rsidP="00895AC4">
            <w:pPr>
              <w:jc w:val="right"/>
              <w:rPr>
                <w:color w:val="000000"/>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5120B6D8" w14:textId="1D184B56"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6F136537" w14:textId="480EE18E"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561EECA2" w14:textId="7DEFF114" w:rsidR="00895AC4" w:rsidRPr="00872D7E" w:rsidRDefault="00895AC4" w:rsidP="00895AC4">
            <w:pPr>
              <w:jc w:val="right"/>
              <w:rPr>
                <w:color w:val="000000"/>
                <w:sz w:val="16"/>
                <w:szCs w:val="16"/>
              </w:rPr>
            </w:pPr>
            <w:r w:rsidRPr="00872D7E">
              <w:rPr>
                <w:sz w:val="16"/>
                <w:szCs w:val="16"/>
              </w:rPr>
              <w:t>202.036</w:t>
            </w:r>
          </w:p>
        </w:tc>
        <w:tc>
          <w:tcPr>
            <w:tcW w:w="908" w:type="dxa"/>
            <w:tcBorders>
              <w:top w:val="nil"/>
              <w:left w:val="nil"/>
              <w:bottom w:val="nil"/>
              <w:right w:val="nil"/>
            </w:tcBorders>
            <w:shd w:val="clear" w:color="auto" w:fill="auto"/>
            <w:vAlign w:val="bottom"/>
          </w:tcPr>
          <w:p w14:paraId="7B68F437" w14:textId="79008D10" w:rsidR="00895AC4" w:rsidRPr="00872D7E" w:rsidRDefault="00895AC4" w:rsidP="00895AC4">
            <w:pPr>
              <w:jc w:val="right"/>
              <w:rPr>
                <w:color w:val="000000"/>
                <w:sz w:val="16"/>
                <w:szCs w:val="16"/>
              </w:rPr>
            </w:pPr>
            <w:r w:rsidRPr="00872D7E">
              <w:rPr>
                <w:sz w:val="16"/>
                <w:szCs w:val="16"/>
              </w:rPr>
              <w:t>427.169</w:t>
            </w:r>
          </w:p>
        </w:tc>
        <w:tc>
          <w:tcPr>
            <w:tcW w:w="701" w:type="dxa"/>
            <w:tcBorders>
              <w:top w:val="nil"/>
              <w:left w:val="nil"/>
              <w:bottom w:val="nil"/>
              <w:right w:val="nil"/>
            </w:tcBorders>
            <w:shd w:val="clear" w:color="auto" w:fill="auto"/>
            <w:vAlign w:val="bottom"/>
          </w:tcPr>
          <w:p w14:paraId="046DDB5E" w14:textId="2530A84F"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05856285" w14:textId="56B59E2A"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692132B9" w14:textId="10818555"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39A3DC11" w14:textId="53E4B9B6"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67FA1A97" w14:textId="08B55EED"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4A65F13D" w14:textId="31075B7A"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7226304B" w14:textId="024D25B3"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752F6642" w14:textId="64ABF75A"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1AADE637" w14:textId="343D21CC"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229A5114" w14:textId="28466162"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55184929" w14:textId="2F12B103" w:rsidR="00895AC4" w:rsidRPr="00872D7E" w:rsidRDefault="00895AC4" w:rsidP="00895AC4">
            <w:pPr>
              <w:jc w:val="right"/>
              <w:rPr>
                <w:color w:val="000000"/>
                <w:sz w:val="16"/>
                <w:szCs w:val="16"/>
              </w:rPr>
            </w:pPr>
            <w:r w:rsidRPr="00872D7E">
              <w:rPr>
                <w:sz w:val="16"/>
                <w:szCs w:val="16"/>
              </w:rPr>
              <w:t>629.205</w:t>
            </w:r>
          </w:p>
        </w:tc>
      </w:tr>
      <w:tr w:rsidR="00895AC4" w:rsidRPr="00872D7E" w14:paraId="69789E9F" w14:textId="1FBB8037" w:rsidTr="00895AC4">
        <w:trPr>
          <w:trHeight w:val="206"/>
        </w:trPr>
        <w:tc>
          <w:tcPr>
            <w:tcW w:w="2337" w:type="dxa"/>
            <w:tcBorders>
              <w:top w:val="nil"/>
              <w:left w:val="nil"/>
              <w:bottom w:val="nil"/>
              <w:right w:val="nil"/>
            </w:tcBorders>
            <w:shd w:val="clear" w:color="auto" w:fill="auto"/>
            <w:vAlign w:val="bottom"/>
            <w:hideMark/>
          </w:tcPr>
          <w:p w14:paraId="0FADC443" w14:textId="77777777" w:rsidR="00895AC4" w:rsidRPr="00872D7E" w:rsidRDefault="00895AC4" w:rsidP="00895AC4">
            <w:pPr>
              <w:ind w:firstLineChars="30" w:firstLine="48"/>
              <w:rPr>
                <w:color w:val="000000"/>
                <w:sz w:val="16"/>
                <w:szCs w:val="16"/>
              </w:rPr>
            </w:pPr>
            <w:r w:rsidRPr="00872D7E">
              <w:rPr>
                <w:color w:val="000000"/>
                <w:sz w:val="16"/>
                <w:szCs w:val="16"/>
              </w:rPr>
              <w:t>Kıyı bankacılığı bölgeleri</w:t>
            </w:r>
          </w:p>
        </w:tc>
        <w:tc>
          <w:tcPr>
            <w:tcW w:w="780" w:type="dxa"/>
            <w:tcBorders>
              <w:top w:val="nil"/>
              <w:left w:val="nil"/>
              <w:bottom w:val="nil"/>
              <w:right w:val="nil"/>
            </w:tcBorders>
            <w:shd w:val="clear" w:color="auto" w:fill="auto"/>
            <w:vAlign w:val="bottom"/>
          </w:tcPr>
          <w:p w14:paraId="184EFC62" w14:textId="7B1D93B5"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2934FE5D" w14:textId="38B87BDE" w:rsidR="00895AC4" w:rsidRPr="00872D7E" w:rsidRDefault="00895AC4" w:rsidP="00895AC4">
            <w:pPr>
              <w:jc w:val="right"/>
              <w:rPr>
                <w:color w:val="000000"/>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710F098D" w14:textId="1874C9E5" w:rsidR="00895AC4" w:rsidRPr="00872D7E" w:rsidRDefault="00895AC4" w:rsidP="00895AC4">
            <w:pPr>
              <w:jc w:val="right"/>
              <w:rPr>
                <w:color w:val="000000"/>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68EE6945" w14:textId="53720C4A"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1D49706F" w14:textId="594E5244"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256B092C" w14:textId="2CB6DD4F"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164BB554" w14:textId="7E54FB09"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717810E8" w14:textId="1D2F7238"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262D99BB" w14:textId="403DA230"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3E6F61BE" w14:textId="1783EF18"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52058273" w14:textId="3B783586"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6C82FA22" w14:textId="0DAA2C4D"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31BB106A" w14:textId="5472388C"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2A6948ED" w14:textId="3CF04400"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726B6456" w14:textId="686D987A"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7FC89B4A" w14:textId="4F7F706A"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502220F3" w14:textId="67086228"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77327B0B" w14:textId="47AA7598" w:rsidR="00895AC4" w:rsidRPr="00872D7E" w:rsidRDefault="00895AC4" w:rsidP="00895AC4">
            <w:pPr>
              <w:jc w:val="right"/>
              <w:rPr>
                <w:color w:val="000000"/>
                <w:sz w:val="16"/>
                <w:szCs w:val="16"/>
              </w:rPr>
            </w:pPr>
            <w:r w:rsidRPr="00872D7E">
              <w:rPr>
                <w:sz w:val="16"/>
                <w:szCs w:val="16"/>
              </w:rPr>
              <w:t>-</w:t>
            </w:r>
          </w:p>
        </w:tc>
      </w:tr>
      <w:tr w:rsidR="00895AC4" w:rsidRPr="00872D7E" w14:paraId="055843EA" w14:textId="66A7569F" w:rsidTr="00895AC4">
        <w:trPr>
          <w:trHeight w:val="206"/>
        </w:trPr>
        <w:tc>
          <w:tcPr>
            <w:tcW w:w="2337" w:type="dxa"/>
            <w:tcBorders>
              <w:top w:val="nil"/>
              <w:left w:val="nil"/>
              <w:bottom w:val="nil"/>
              <w:right w:val="nil"/>
            </w:tcBorders>
            <w:shd w:val="clear" w:color="auto" w:fill="auto"/>
            <w:vAlign w:val="bottom"/>
            <w:hideMark/>
          </w:tcPr>
          <w:p w14:paraId="536A1613" w14:textId="77777777" w:rsidR="00895AC4" w:rsidRPr="00872D7E" w:rsidRDefault="00895AC4" w:rsidP="00895AC4">
            <w:pPr>
              <w:ind w:firstLineChars="30" w:firstLine="48"/>
              <w:rPr>
                <w:color w:val="000000"/>
                <w:sz w:val="16"/>
                <w:szCs w:val="16"/>
              </w:rPr>
            </w:pPr>
            <w:r w:rsidRPr="00872D7E">
              <w:rPr>
                <w:color w:val="000000"/>
                <w:sz w:val="16"/>
                <w:szCs w:val="16"/>
              </w:rPr>
              <w:t>ABD, Kanada</w:t>
            </w:r>
          </w:p>
        </w:tc>
        <w:tc>
          <w:tcPr>
            <w:tcW w:w="780" w:type="dxa"/>
            <w:tcBorders>
              <w:top w:val="nil"/>
              <w:left w:val="nil"/>
              <w:bottom w:val="nil"/>
              <w:right w:val="nil"/>
            </w:tcBorders>
            <w:shd w:val="clear" w:color="auto" w:fill="auto"/>
            <w:vAlign w:val="bottom"/>
          </w:tcPr>
          <w:p w14:paraId="27DDA85A" w14:textId="716E129F"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7D90492D" w14:textId="26CD45C4" w:rsidR="00895AC4" w:rsidRPr="00872D7E" w:rsidRDefault="00895AC4" w:rsidP="00895AC4">
            <w:pPr>
              <w:jc w:val="right"/>
              <w:rPr>
                <w:color w:val="000000"/>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2354444D" w14:textId="2BFA282D" w:rsidR="00895AC4" w:rsidRPr="00872D7E" w:rsidRDefault="00895AC4" w:rsidP="00895AC4">
            <w:pPr>
              <w:jc w:val="right"/>
              <w:rPr>
                <w:color w:val="000000"/>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72CD08AC" w14:textId="36E41420"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3ED2B25C" w14:textId="66E4D7EE"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34114146" w14:textId="743CAA29"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1501E9B5" w14:textId="5658EBE4"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056F7EFA" w14:textId="2C5E738E"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2166F578" w14:textId="3E83CD60"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05E3BC5D" w14:textId="616ABDF4"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0CBDDF01" w14:textId="570630ED"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074EF91C" w14:textId="238FD488"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4DD49301" w14:textId="5FD9367A"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66E98ACD" w14:textId="2B0BD4B1"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02DEEA4F" w14:textId="7FEB5321"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19453616" w14:textId="01E1081C"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4771B078" w14:textId="3100DC09"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3CB2F4E4" w14:textId="09061227" w:rsidR="00895AC4" w:rsidRPr="00872D7E" w:rsidRDefault="00895AC4" w:rsidP="00895AC4">
            <w:pPr>
              <w:jc w:val="right"/>
              <w:rPr>
                <w:color w:val="000000"/>
                <w:sz w:val="16"/>
                <w:szCs w:val="16"/>
              </w:rPr>
            </w:pPr>
            <w:r w:rsidRPr="00872D7E">
              <w:rPr>
                <w:sz w:val="16"/>
                <w:szCs w:val="16"/>
              </w:rPr>
              <w:t>-</w:t>
            </w:r>
          </w:p>
        </w:tc>
      </w:tr>
      <w:tr w:rsidR="00895AC4" w:rsidRPr="00872D7E" w14:paraId="238B49CA" w14:textId="3869B495" w:rsidTr="00895AC4">
        <w:trPr>
          <w:trHeight w:val="206"/>
        </w:trPr>
        <w:tc>
          <w:tcPr>
            <w:tcW w:w="2337" w:type="dxa"/>
            <w:tcBorders>
              <w:top w:val="nil"/>
              <w:left w:val="nil"/>
              <w:bottom w:val="nil"/>
              <w:right w:val="nil"/>
            </w:tcBorders>
            <w:shd w:val="clear" w:color="auto" w:fill="auto"/>
            <w:vAlign w:val="bottom"/>
            <w:hideMark/>
          </w:tcPr>
          <w:p w14:paraId="26320A54" w14:textId="77777777" w:rsidR="00895AC4" w:rsidRPr="00872D7E" w:rsidRDefault="00895AC4" w:rsidP="00895AC4">
            <w:pPr>
              <w:ind w:firstLineChars="30" w:firstLine="48"/>
              <w:rPr>
                <w:color w:val="000000"/>
                <w:sz w:val="16"/>
                <w:szCs w:val="16"/>
              </w:rPr>
            </w:pPr>
            <w:r w:rsidRPr="00872D7E">
              <w:rPr>
                <w:color w:val="000000"/>
                <w:sz w:val="16"/>
                <w:szCs w:val="16"/>
              </w:rPr>
              <w:t>Diğer ülkeler</w:t>
            </w:r>
          </w:p>
        </w:tc>
        <w:tc>
          <w:tcPr>
            <w:tcW w:w="780" w:type="dxa"/>
            <w:tcBorders>
              <w:top w:val="nil"/>
              <w:left w:val="nil"/>
              <w:bottom w:val="nil"/>
              <w:right w:val="nil"/>
            </w:tcBorders>
            <w:shd w:val="clear" w:color="auto" w:fill="auto"/>
            <w:vAlign w:val="bottom"/>
          </w:tcPr>
          <w:p w14:paraId="68C2F355" w14:textId="48F31438"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19FDF446" w14:textId="305B8F12" w:rsidR="00895AC4" w:rsidRPr="00872D7E" w:rsidRDefault="00895AC4" w:rsidP="00895AC4">
            <w:pPr>
              <w:jc w:val="right"/>
              <w:rPr>
                <w:color w:val="000000"/>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3E90E697" w14:textId="438C8081" w:rsidR="00895AC4" w:rsidRPr="00872D7E" w:rsidRDefault="00895AC4" w:rsidP="00895AC4">
            <w:pPr>
              <w:jc w:val="right"/>
              <w:rPr>
                <w:color w:val="000000"/>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57EAFB6E" w14:textId="002A9BF9"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6CBC9D39" w14:textId="7DAE6164"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1AE893FD" w14:textId="25DB338A"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6782032F" w14:textId="655500E2"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01C11DB6" w14:textId="090FD072"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689D775A" w14:textId="3EBC5FEF"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7BF8A64A" w14:textId="5BB92858"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0D1059A0" w14:textId="694D8D9C"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42AD7488" w14:textId="5F3E8B1D"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18D6E990" w14:textId="7D6BB185"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20314EBA" w14:textId="2786414A"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0388F1C6" w14:textId="64838507"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0E61C3B4" w14:textId="249352E2"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5F644D88" w14:textId="42DF6CD0"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4A41853B" w14:textId="105E30B2" w:rsidR="00895AC4" w:rsidRPr="00872D7E" w:rsidRDefault="00895AC4" w:rsidP="00895AC4">
            <w:pPr>
              <w:jc w:val="right"/>
              <w:rPr>
                <w:color w:val="000000"/>
                <w:sz w:val="16"/>
                <w:szCs w:val="16"/>
              </w:rPr>
            </w:pPr>
            <w:r w:rsidRPr="00872D7E">
              <w:rPr>
                <w:sz w:val="16"/>
                <w:szCs w:val="16"/>
              </w:rPr>
              <w:t>-</w:t>
            </w:r>
          </w:p>
        </w:tc>
      </w:tr>
      <w:tr w:rsidR="00895AC4" w:rsidRPr="00872D7E" w14:paraId="1C28C0BC" w14:textId="4EA0FEC0" w:rsidTr="00895AC4">
        <w:trPr>
          <w:trHeight w:val="206"/>
        </w:trPr>
        <w:tc>
          <w:tcPr>
            <w:tcW w:w="2337" w:type="dxa"/>
            <w:tcBorders>
              <w:top w:val="nil"/>
              <w:left w:val="nil"/>
              <w:bottom w:val="nil"/>
              <w:right w:val="nil"/>
            </w:tcBorders>
            <w:shd w:val="clear" w:color="auto" w:fill="auto"/>
            <w:vAlign w:val="bottom"/>
            <w:hideMark/>
          </w:tcPr>
          <w:p w14:paraId="319A989C" w14:textId="77777777" w:rsidR="00895AC4" w:rsidRPr="00872D7E" w:rsidRDefault="00895AC4" w:rsidP="00895AC4">
            <w:pPr>
              <w:ind w:firstLineChars="30" w:firstLine="48"/>
              <w:rPr>
                <w:color w:val="000000"/>
                <w:sz w:val="16"/>
                <w:szCs w:val="16"/>
              </w:rPr>
            </w:pPr>
            <w:r w:rsidRPr="00872D7E">
              <w:rPr>
                <w:color w:val="000000"/>
                <w:sz w:val="16"/>
                <w:szCs w:val="16"/>
              </w:rPr>
              <w:t xml:space="preserve">İştirak, Bağlı Ortaklık ve </w:t>
            </w:r>
          </w:p>
          <w:p w14:paraId="12DD646D" w14:textId="77777777" w:rsidR="00895AC4" w:rsidRPr="00872D7E" w:rsidRDefault="00895AC4" w:rsidP="00895AC4">
            <w:pPr>
              <w:ind w:firstLineChars="30" w:firstLine="48"/>
              <w:rPr>
                <w:color w:val="000000"/>
                <w:sz w:val="16"/>
                <w:szCs w:val="16"/>
              </w:rPr>
            </w:pPr>
            <w:r w:rsidRPr="00872D7E">
              <w:rPr>
                <w:color w:val="000000"/>
                <w:sz w:val="16"/>
                <w:szCs w:val="16"/>
              </w:rPr>
              <w:t>Birlikte Kontrol Edilen Ortaklıklar</w:t>
            </w:r>
          </w:p>
        </w:tc>
        <w:tc>
          <w:tcPr>
            <w:tcW w:w="780" w:type="dxa"/>
            <w:tcBorders>
              <w:top w:val="nil"/>
              <w:left w:val="nil"/>
              <w:bottom w:val="nil"/>
              <w:right w:val="nil"/>
            </w:tcBorders>
            <w:shd w:val="clear" w:color="auto" w:fill="auto"/>
            <w:vAlign w:val="bottom"/>
          </w:tcPr>
          <w:p w14:paraId="52627593" w14:textId="087EDAEF"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26456949" w14:textId="05A1B422" w:rsidR="00895AC4" w:rsidRPr="00872D7E" w:rsidRDefault="00895AC4" w:rsidP="00895AC4">
            <w:pPr>
              <w:jc w:val="right"/>
              <w:rPr>
                <w:color w:val="000000"/>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4FE4EA0A" w14:textId="27881D66" w:rsidR="00895AC4" w:rsidRPr="00872D7E" w:rsidRDefault="00895AC4" w:rsidP="00895AC4">
            <w:pPr>
              <w:jc w:val="right"/>
              <w:rPr>
                <w:color w:val="000000"/>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1BF35747" w14:textId="2BDC8981"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616809DF" w14:textId="4693DD39"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6F4F89FF" w14:textId="319AB8DD"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596E019B" w14:textId="17B2B201"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6C408ED1" w14:textId="3D63A149"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03B3DD44" w14:textId="322F4DF4"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263C3E90" w14:textId="5BCE5AB6"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7038F160" w14:textId="167AE67D"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584356A1" w14:textId="03E9123F"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0F524E67" w14:textId="1F6D9D48"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61B2F772" w14:textId="4B3794F1"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71CB31EF" w14:textId="2E59CDD3"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50C48E3A" w14:textId="4639DD30" w:rsidR="00895AC4" w:rsidRPr="00872D7E" w:rsidRDefault="00895AC4" w:rsidP="00895AC4">
            <w:pPr>
              <w:jc w:val="right"/>
              <w:rPr>
                <w:color w:val="000000"/>
                <w:sz w:val="16"/>
                <w:szCs w:val="16"/>
              </w:rPr>
            </w:pPr>
            <w:r w:rsidRPr="00872D7E">
              <w:rPr>
                <w:sz w:val="16"/>
                <w:szCs w:val="16"/>
              </w:rPr>
              <w:t>1.250</w:t>
            </w:r>
          </w:p>
        </w:tc>
        <w:tc>
          <w:tcPr>
            <w:tcW w:w="674" w:type="dxa"/>
            <w:tcBorders>
              <w:top w:val="nil"/>
              <w:left w:val="nil"/>
              <w:bottom w:val="nil"/>
              <w:right w:val="nil"/>
            </w:tcBorders>
            <w:vAlign w:val="bottom"/>
          </w:tcPr>
          <w:p w14:paraId="4AF72163" w14:textId="34E7437E"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1159EF2F" w14:textId="27151670" w:rsidR="00895AC4" w:rsidRPr="00872D7E" w:rsidRDefault="00895AC4" w:rsidP="00895AC4">
            <w:pPr>
              <w:jc w:val="right"/>
              <w:rPr>
                <w:color w:val="000000"/>
                <w:sz w:val="16"/>
                <w:szCs w:val="16"/>
              </w:rPr>
            </w:pPr>
            <w:r w:rsidRPr="00872D7E">
              <w:rPr>
                <w:sz w:val="16"/>
                <w:szCs w:val="16"/>
              </w:rPr>
              <w:t>1.250</w:t>
            </w:r>
          </w:p>
        </w:tc>
      </w:tr>
      <w:tr w:rsidR="00895AC4" w:rsidRPr="00872D7E" w14:paraId="613B1A99" w14:textId="423992F9" w:rsidTr="00895AC4">
        <w:trPr>
          <w:trHeight w:val="206"/>
        </w:trPr>
        <w:tc>
          <w:tcPr>
            <w:tcW w:w="2337" w:type="dxa"/>
            <w:tcBorders>
              <w:top w:val="nil"/>
              <w:left w:val="nil"/>
              <w:bottom w:val="nil"/>
              <w:right w:val="nil"/>
            </w:tcBorders>
            <w:shd w:val="clear" w:color="auto" w:fill="auto"/>
            <w:vAlign w:val="bottom"/>
            <w:hideMark/>
          </w:tcPr>
          <w:p w14:paraId="62769CC6" w14:textId="77777777" w:rsidR="00895AC4" w:rsidRPr="00872D7E" w:rsidRDefault="00895AC4" w:rsidP="00895AC4">
            <w:pPr>
              <w:rPr>
                <w:color w:val="000000"/>
                <w:sz w:val="16"/>
                <w:szCs w:val="16"/>
              </w:rPr>
            </w:pPr>
            <w:r w:rsidRPr="00872D7E">
              <w:rPr>
                <w:color w:val="000000"/>
                <w:sz w:val="16"/>
                <w:szCs w:val="16"/>
              </w:rPr>
              <w:t xml:space="preserve">Dağıtılmamış Varlıklar/ </w:t>
            </w:r>
            <w:proofErr w:type="gramStart"/>
            <w:r w:rsidRPr="00872D7E">
              <w:rPr>
                <w:color w:val="000000"/>
                <w:sz w:val="16"/>
                <w:szCs w:val="16"/>
              </w:rPr>
              <w:t>Yükümlülükler</w:t>
            </w:r>
            <w:r w:rsidRPr="00872D7E">
              <w:rPr>
                <w:color w:val="000000"/>
                <w:sz w:val="16"/>
                <w:szCs w:val="16"/>
                <w:vertAlign w:val="superscript"/>
              </w:rPr>
              <w:t>(</w:t>
            </w:r>
            <w:proofErr w:type="gramEnd"/>
            <w:r w:rsidRPr="00872D7E">
              <w:rPr>
                <w:color w:val="000000"/>
                <w:sz w:val="16"/>
                <w:szCs w:val="16"/>
                <w:vertAlign w:val="superscript"/>
              </w:rPr>
              <w:t>***)</w:t>
            </w:r>
          </w:p>
        </w:tc>
        <w:tc>
          <w:tcPr>
            <w:tcW w:w="780" w:type="dxa"/>
            <w:tcBorders>
              <w:top w:val="nil"/>
              <w:left w:val="nil"/>
              <w:bottom w:val="nil"/>
              <w:right w:val="nil"/>
            </w:tcBorders>
            <w:shd w:val="clear" w:color="auto" w:fill="auto"/>
            <w:vAlign w:val="bottom"/>
          </w:tcPr>
          <w:p w14:paraId="7B6945C5" w14:textId="6F0A7C1C"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10A6A1B6" w14:textId="00482B92" w:rsidR="00895AC4" w:rsidRPr="00872D7E" w:rsidRDefault="00895AC4" w:rsidP="00895AC4">
            <w:pPr>
              <w:jc w:val="right"/>
              <w:rPr>
                <w:color w:val="000000"/>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6396826E" w14:textId="6BBC3B01" w:rsidR="00895AC4" w:rsidRPr="00872D7E" w:rsidRDefault="00895AC4" w:rsidP="00895AC4">
            <w:pPr>
              <w:jc w:val="right"/>
              <w:rPr>
                <w:color w:val="000000"/>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2016A276" w14:textId="2F3093B2"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1F633CF2" w14:textId="759EDEF7"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3D25CC9B" w14:textId="6ADC989F"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6E273517" w14:textId="2BD8055F"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712CAAF0" w14:textId="1952DFDC"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59A6B57E" w14:textId="1B62C64D"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6B8D89CC" w14:textId="375E4779"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2FEC4DF2" w14:textId="36E8BC15"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22F7F511" w14:textId="19844447"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1F5AF2D9" w14:textId="023C18AF"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09D5BD2C" w14:textId="568BB096"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25A30300" w14:textId="4802617B"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1C2A0D85" w14:textId="1E628740"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7CD400F0" w14:textId="44EB5461"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35C83D70" w14:textId="1310D493" w:rsidR="00895AC4" w:rsidRPr="00872D7E" w:rsidRDefault="00895AC4" w:rsidP="00895AC4">
            <w:pPr>
              <w:jc w:val="right"/>
              <w:rPr>
                <w:color w:val="000000"/>
                <w:sz w:val="16"/>
                <w:szCs w:val="16"/>
              </w:rPr>
            </w:pPr>
            <w:r w:rsidRPr="00872D7E">
              <w:rPr>
                <w:sz w:val="16"/>
                <w:szCs w:val="16"/>
              </w:rPr>
              <w:t>-</w:t>
            </w:r>
          </w:p>
        </w:tc>
      </w:tr>
      <w:tr w:rsidR="00895AC4" w:rsidRPr="00872D7E" w14:paraId="1E0761B0" w14:textId="5DE9C981" w:rsidTr="000F318F">
        <w:trPr>
          <w:trHeight w:val="206"/>
        </w:trPr>
        <w:tc>
          <w:tcPr>
            <w:tcW w:w="2337" w:type="dxa"/>
            <w:tcBorders>
              <w:top w:val="nil"/>
              <w:left w:val="nil"/>
              <w:bottom w:val="single" w:sz="4" w:space="0" w:color="auto"/>
              <w:right w:val="nil"/>
            </w:tcBorders>
            <w:shd w:val="clear" w:color="auto" w:fill="auto"/>
            <w:vAlign w:val="bottom"/>
          </w:tcPr>
          <w:p w14:paraId="33783E4B" w14:textId="77777777" w:rsidR="00895AC4" w:rsidRPr="00872D7E" w:rsidRDefault="00895AC4" w:rsidP="00895AC4">
            <w:pPr>
              <w:ind w:firstLineChars="30" w:firstLine="48"/>
              <w:rPr>
                <w:color w:val="000000"/>
                <w:sz w:val="16"/>
                <w:szCs w:val="16"/>
              </w:rPr>
            </w:pPr>
          </w:p>
        </w:tc>
        <w:tc>
          <w:tcPr>
            <w:tcW w:w="780" w:type="dxa"/>
            <w:tcBorders>
              <w:top w:val="nil"/>
              <w:left w:val="nil"/>
              <w:bottom w:val="single" w:sz="4" w:space="0" w:color="auto"/>
              <w:right w:val="nil"/>
            </w:tcBorders>
            <w:shd w:val="clear" w:color="auto" w:fill="auto"/>
            <w:vAlign w:val="bottom"/>
          </w:tcPr>
          <w:p w14:paraId="26FA8D80" w14:textId="79715016" w:rsidR="00895AC4" w:rsidRPr="00872D7E" w:rsidRDefault="00895AC4" w:rsidP="00895AC4">
            <w:pPr>
              <w:jc w:val="right"/>
              <w:rPr>
                <w:color w:val="000000"/>
                <w:sz w:val="16"/>
                <w:szCs w:val="16"/>
              </w:rPr>
            </w:pPr>
          </w:p>
        </w:tc>
        <w:tc>
          <w:tcPr>
            <w:tcW w:w="544" w:type="dxa"/>
            <w:tcBorders>
              <w:top w:val="nil"/>
              <w:left w:val="nil"/>
              <w:bottom w:val="single" w:sz="4" w:space="0" w:color="auto"/>
              <w:right w:val="nil"/>
            </w:tcBorders>
            <w:shd w:val="clear" w:color="auto" w:fill="auto"/>
            <w:vAlign w:val="bottom"/>
          </w:tcPr>
          <w:p w14:paraId="75134190" w14:textId="2274E491" w:rsidR="00895AC4" w:rsidRPr="00872D7E" w:rsidRDefault="00895AC4" w:rsidP="00895AC4">
            <w:pPr>
              <w:jc w:val="right"/>
              <w:rPr>
                <w:color w:val="000000"/>
                <w:sz w:val="16"/>
                <w:szCs w:val="16"/>
              </w:rPr>
            </w:pPr>
          </w:p>
        </w:tc>
        <w:tc>
          <w:tcPr>
            <w:tcW w:w="478" w:type="dxa"/>
            <w:tcBorders>
              <w:top w:val="nil"/>
              <w:left w:val="nil"/>
              <w:bottom w:val="single" w:sz="4" w:space="0" w:color="auto"/>
              <w:right w:val="nil"/>
            </w:tcBorders>
            <w:shd w:val="clear" w:color="auto" w:fill="auto"/>
            <w:vAlign w:val="bottom"/>
          </w:tcPr>
          <w:p w14:paraId="7EC717E3" w14:textId="54C19B6F" w:rsidR="00895AC4" w:rsidRPr="00872D7E" w:rsidRDefault="00895AC4" w:rsidP="00895AC4">
            <w:pPr>
              <w:jc w:val="right"/>
              <w:rPr>
                <w:color w:val="000000"/>
                <w:sz w:val="16"/>
                <w:szCs w:val="16"/>
              </w:rPr>
            </w:pPr>
          </w:p>
        </w:tc>
        <w:tc>
          <w:tcPr>
            <w:tcW w:w="409" w:type="dxa"/>
            <w:tcBorders>
              <w:top w:val="nil"/>
              <w:left w:val="nil"/>
              <w:bottom w:val="single" w:sz="4" w:space="0" w:color="auto"/>
              <w:right w:val="nil"/>
            </w:tcBorders>
            <w:shd w:val="clear" w:color="auto" w:fill="auto"/>
            <w:vAlign w:val="bottom"/>
          </w:tcPr>
          <w:p w14:paraId="36EC52EE" w14:textId="3D1B20AF" w:rsidR="00895AC4" w:rsidRPr="00872D7E" w:rsidRDefault="00895AC4" w:rsidP="00895AC4">
            <w:pPr>
              <w:jc w:val="right"/>
              <w:rPr>
                <w:color w:val="000000"/>
                <w:sz w:val="16"/>
                <w:szCs w:val="16"/>
              </w:rPr>
            </w:pPr>
          </w:p>
        </w:tc>
        <w:tc>
          <w:tcPr>
            <w:tcW w:w="709" w:type="dxa"/>
            <w:tcBorders>
              <w:top w:val="nil"/>
              <w:left w:val="nil"/>
              <w:bottom w:val="single" w:sz="4" w:space="0" w:color="auto"/>
              <w:right w:val="nil"/>
            </w:tcBorders>
            <w:shd w:val="clear" w:color="auto" w:fill="auto"/>
            <w:vAlign w:val="bottom"/>
          </w:tcPr>
          <w:p w14:paraId="23364ADB" w14:textId="3B18AFC0" w:rsidR="00895AC4" w:rsidRPr="00872D7E" w:rsidRDefault="00895AC4" w:rsidP="00895AC4">
            <w:pPr>
              <w:jc w:val="right"/>
              <w:rPr>
                <w:color w:val="000000"/>
                <w:sz w:val="16"/>
                <w:szCs w:val="16"/>
              </w:rPr>
            </w:pPr>
          </w:p>
        </w:tc>
        <w:tc>
          <w:tcPr>
            <w:tcW w:w="795" w:type="dxa"/>
            <w:tcBorders>
              <w:top w:val="nil"/>
              <w:left w:val="nil"/>
              <w:bottom w:val="single" w:sz="4" w:space="0" w:color="auto"/>
              <w:right w:val="nil"/>
            </w:tcBorders>
            <w:shd w:val="clear" w:color="auto" w:fill="auto"/>
            <w:vAlign w:val="bottom"/>
          </w:tcPr>
          <w:p w14:paraId="74E27797" w14:textId="147A83A3" w:rsidR="00895AC4" w:rsidRPr="00872D7E" w:rsidRDefault="00895AC4" w:rsidP="00895AC4">
            <w:pPr>
              <w:jc w:val="right"/>
              <w:rPr>
                <w:color w:val="000000"/>
                <w:sz w:val="16"/>
                <w:szCs w:val="16"/>
              </w:rPr>
            </w:pPr>
          </w:p>
        </w:tc>
        <w:tc>
          <w:tcPr>
            <w:tcW w:w="908" w:type="dxa"/>
            <w:tcBorders>
              <w:top w:val="nil"/>
              <w:left w:val="nil"/>
              <w:bottom w:val="single" w:sz="4" w:space="0" w:color="auto"/>
              <w:right w:val="nil"/>
            </w:tcBorders>
            <w:shd w:val="clear" w:color="auto" w:fill="auto"/>
            <w:vAlign w:val="bottom"/>
          </w:tcPr>
          <w:p w14:paraId="2F12D95D" w14:textId="57709114" w:rsidR="00895AC4" w:rsidRPr="00872D7E" w:rsidRDefault="00895AC4" w:rsidP="00895AC4">
            <w:pPr>
              <w:jc w:val="right"/>
              <w:rPr>
                <w:color w:val="000000"/>
                <w:sz w:val="16"/>
                <w:szCs w:val="16"/>
              </w:rPr>
            </w:pPr>
          </w:p>
        </w:tc>
        <w:tc>
          <w:tcPr>
            <w:tcW w:w="701" w:type="dxa"/>
            <w:tcBorders>
              <w:top w:val="nil"/>
              <w:left w:val="nil"/>
              <w:bottom w:val="single" w:sz="4" w:space="0" w:color="auto"/>
              <w:right w:val="nil"/>
            </w:tcBorders>
            <w:shd w:val="clear" w:color="auto" w:fill="auto"/>
            <w:vAlign w:val="bottom"/>
          </w:tcPr>
          <w:p w14:paraId="012981DB" w14:textId="24AE8D54" w:rsidR="00895AC4" w:rsidRPr="00872D7E" w:rsidRDefault="00895AC4" w:rsidP="00895AC4">
            <w:pPr>
              <w:jc w:val="right"/>
              <w:rPr>
                <w:color w:val="000000"/>
                <w:sz w:val="16"/>
                <w:szCs w:val="16"/>
              </w:rPr>
            </w:pPr>
          </w:p>
        </w:tc>
        <w:tc>
          <w:tcPr>
            <w:tcW w:w="718" w:type="dxa"/>
            <w:tcBorders>
              <w:top w:val="nil"/>
              <w:left w:val="nil"/>
              <w:bottom w:val="single" w:sz="4" w:space="0" w:color="auto"/>
              <w:right w:val="nil"/>
            </w:tcBorders>
            <w:shd w:val="clear" w:color="auto" w:fill="auto"/>
            <w:vAlign w:val="bottom"/>
          </w:tcPr>
          <w:p w14:paraId="30676376" w14:textId="6C2D65FD" w:rsidR="00895AC4" w:rsidRPr="00872D7E" w:rsidRDefault="00895AC4" w:rsidP="00895AC4">
            <w:pPr>
              <w:jc w:val="right"/>
              <w:rPr>
                <w:color w:val="000000"/>
                <w:sz w:val="16"/>
                <w:szCs w:val="16"/>
              </w:rPr>
            </w:pPr>
          </w:p>
        </w:tc>
        <w:tc>
          <w:tcPr>
            <w:tcW w:w="674" w:type="dxa"/>
            <w:tcBorders>
              <w:top w:val="nil"/>
              <w:left w:val="nil"/>
              <w:bottom w:val="single" w:sz="4" w:space="0" w:color="auto"/>
              <w:right w:val="nil"/>
            </w:tcBorders>
            <w:shd w:val="clear" w:color="auto" w:fill="auto"/>
            <w:vAlign w:val="bottom"/>
          </w:tcPr>
          <w:p w14:paraId="095F627D" w14:textId="43213650" w:rsidR="00895AC4" w:rsidRPr="00872D7E" w:rsidRDefault="00895AC4" w:rsidP="00895AC4">
            <w:pPr>
              <w:jc w:val="right"/>
              <w:rPr>
                <w:color w:val="000000"/>
                <w:sz w:val="16"/>
                <w:szCs w:val="16"/>
              </w:rPr>
            </w:pPr>
          </w:p>
        </w:tc>
        <w:tc>
          <w:tcPr>
            <w:tcW w:w="734" w:type="dxa"/>
            <w:tcBorders>
              <w:top w:val="nil"/>
              <w:left w:val="nil"/>
              <w:bottom w:val="single" w:sz="4" w:space="0" w:color="auto"/>
              <w:right w:val="nil"/>
            </w:tcBorders>
            <w:shd w:val="clear" w:color="auto" w:fill="auto"/>
            <w:vAlign w:val="bottom"/>
          </w:tcPr>
          <w:p w14:paraId="2B52125E" w14:textId="13EB40CA" w:rsidR="00895AC4" w:rsidRPr="00872D7E" w:rsidRDefault="00895AC4" w:rsidP="00895AC4">
            <w:pPr>
              <w:jc w:val="right"/>
              <w:rPr>
                <w:color w:val="000000"/>
                <w:sz w:val="16"/>
                <w:szCs w:val="16"/>
              </w:rPr>
            </w:pPr>
          </w:p>
        </w:tc>
        <w:tc>
          <w:tcPr>
            <w:tcW w:w="647" w:type="dxa"/>
            <w:tcBorders>
              <w:top w:val="nil"/>
              <w:left w:val="nil"/>
              <w:bottom w:val="single" w:sz="4" w:space="0" w:color="auto"/>
              <w:right w:val="nil"/>
            </w:tcBorders>
            <w:vAlign w:val="bottom"/>
          </w:tcPr>
          <w:p w14:paraId="06E9E6AF" w14:textId="77777777" w:rsidR="00895AC4" w:rsidRPr="00872D7E" w:rsidRDefault="00895AC4" w:rsidP="00895AC4">
            <w:pPr>
              <w:jc w:val="right"/>
              <w:rPr>
                <w:color w:val="000000"/>
                <w:sz w:val="16"/>
                <w:szCs w:val="16"/>
              </w:rPr>
            </w:pPr>
          </w:p>
        </w:tc>
        <w:tc>
          <w:tcPr>
            <w:tcW w:w="647" w:type="dxa"/>
            <w:tcBorders>
              <w:top w:val="nil"/>
              <w:left w:val="nil"/>
              <w:bottom w:val="single" w:sz="4" w:space="0" w:color="auto"/>
              <w:right w:val="nil"/>
            </w:tcBorders>
            <w:vAlign w:val="bottom"/>
          </w:tcPr>
          <w:p w14:paraId="03CAECA6" w14:textId="77777777" w:rsidR="00895AC4" w:rsidRPr="00872D7E" w:rsidRDefault="00895AC4" w:rsidP="00895AC4">
            <w:pPr>
              <w:jc w:val="right"/>
              <w:rPr>
                <w:color w:val="000000"/>
                <w:sz w:val="16"/>
                <w:szCs w:val="16"/>
              </w:rPr>
            </w:pPr>
          </w:p>
        </w:tc>
        <w:tc>
          <w:tcPr>
            <w:tcW w:w="647" w:type="dxa"/>
            <w:tcBorders>
              <w:top w:val="nil"/>
              <w:left w:val="nil"/>
              <w:bottom w:val="single" w:sz="4" w:space="0" w:color="auto"/>
              <w:right w:val="nil"/>
            </w:tcBorders>
            <w:vAlign w:val="bottom"/>
          </w:tcPr>
          <w:p w14:paraId="54DF9895" w14:textId="77777777" w:rsidR="00895AC4" w:rsidRPr="00872D7E" w:rsidRDefault="00895AC4" w:rsidP="00895AC4">
            <w:pPr>
              <w:jc w:val="right"/>
              <w:rPr>
                <w:color w:val="000000"/>
                <w:sz w:val="16"/>
                <w:szCs w:val="16"/>
              </w:rPr>
            </w:pPr>
          </w:p>
        </w:tc>
        <w:tc>
          <w:tcPr>
            <w:tcW w:w="650" w:type="dxa"/>
            <w:tcBorders>
              <w:top w:val="nil"/>
              <w:left w:val="nil"/>
              <w:bottom w:val="single" w:sz="4" w:space="0" w:color="auto"/>
              <w:right w:val="nil"/>
            </w:tcBorders>
            <w:vAlign w:val="bottom"/>
          </w:tcPr>
          <w:p w14:paraId="750F55A7" w14:textId="77777777" w:rsidR="00895AC4" w:rsidRPr="00872D7E" w:rsidRDefault="00895AC4" w:rsidP="00895AC4">
            <w:pPr>
              <w:jc w:val="right"/>
              <w:rPr>
                <w:color w:val="000000"/>
                <w:sz w:val="16"/>
                <w:szCs w:val="16"/>
              </w:rPr>
            </w:pPr>
          </w:p>
        </w:tc>
        <w:tc>
          <w:tcPr>
            <w:tcW w:w="660" w:type="dxa"/>
            <w:tcBorders>
              <w:top w:val="nil"/>
              <w:left w:val="nil"/>
              <w:bottom w:val="single" w:sz="4" w:space="0" w:color="auto"/>
              <w:right w:val="nil"/>
            </w:tcBorders>
            <w:vAlign w:val="bottom"/>
          </w:tcPr>
          <w:p w14:paraId="2B1E3D2F" w14:textId="77777777" w:rsidR="00895AC4" w:rsidRPr="00872D7E" w:rsidRDefault="00895AC4" w:rsidP="00895AC4">
            <w:pPr>
              <w:jc w:val="right"/>
              <w:rPr>
                <w:color w:val="000000"/>
                <w:sz w:val="16"/>
                <w:szCs w:val="16"/>
              </w:rPr>
            </w:pPr>
          </w:p>
        </w:tc>
        <w:tc>
          <w:tcPr>
            <w:tcW w:w="674" w:type="dxa"/>
            <w:tcBorders>
              <w:top w:val="nil"/>
              <w:left w:val="nil"/>
              <w:bottom w:val="single" w:sz="4" w:space="0" w:color="auto"/>
              <w:right w:val="nil"/>
            </w:tcBorders>
            <w:vAlign w:val="bottom"/>
          </w:tcPr>
          <w:p w14:paraId="46CA0BA9" w14:textId="77777777" w:rsidR="00895AC4" w:rsidRPr="00872D7E" w:rsidRDefault="00895AC4" w:rsidP="00895AC4">
            <w:pPr>
              <w:jc w:val="right"/>
              <w:rPr>
                <w:color w:val="000000"/>
                <w:sz w:val="16"/>
                <w:szCs w:val="16"/>
              </w:rPr>
            </w:pPr>
          </w:p>
        </w:tc>
        <w:tc>
          <w:tcPr>
            <w:tcW w:w="860" w:type="dxa"/>
            <w:tcBorders>
              <w:top w:val="nil"/>
              <w:left w:val="nil"/>
              <w:bottom w:val="single" w:sz="4" w:space="0" w:color="auto"/>
              <w:right w:val="nil"/>
            </w:tcBorders>
            <w:vAlign w:val="bottom"/>
          </w:tcPr>
          <w:p w14:paraId="6CE42F34" w14:textId="6C34F5E4" w:rsidR="00895AC4" w:rsidRPr="00872D7E" w:rsidRDefault="00895AC4" w:rsidP="00895AC4">
            <w:pPr>
              <w:jc w:val="right"/>
              <w:rPr>
                <w:color w:val="000000"/>
                <w:sz w:val="16"/>
                <w:szCs w:val="16"/>
              </w:rPr>
            </w:pPr>
          </w:p>
        </w:tc>
      </w:tr>
      <w:tr w:rsidR="00895AC4" w:rsidRPr="00872D7E" w14:paraId="1CEA7C73" w14:textId="08F3D9D3" w:rsidTr="000F318F">
        <w:trPr>
          <w:trHeight w:val="206"/>
        </w:trPr>
        <w:tc>
          <w:tcPr>
            <w:tcW w:w="2337" w:type="dxa"/>
            <w:tcBorders>
              <w:top w:val="single" w:sz="4" w:space="0" w:color="auto"/>
              <w:left w:val="nil"/>
              <w:bottom w:val="single" w:sz="4" w:space="0" w:color="auto"/>
              <w:right w:val="nil"/>
            </w:tcBorders>
            <w:shd w:val="clear" w:color="auto" w:fill="auto"/>
            <w:vAlign w:val="bottom"/>
          </w:tcPr>
          <w:p w14:paraId="1C3B5151" w14:textId="77777777" w:rsidR="00895AC4" w:rsidRPr="00872D7E" w:rsidRDefault="00895AC4" w:rsidP="00895AC4">
            <w:pPr>
              <w:ind w:firstLineChars="30" w:firstLine="48"/>
              <w:rPr>
                <w:b/>
                <w:bCs/>
                <w:color w:val="000000"/>
                <w:sz w:val="16"/>
                <w:szCs w:val="16"/>
              </w:rPr>
            </w:pPr>
            <w:r w:rsidRPr="00872D7E">
              <w:rPr>
                <w:b/>
                <w:bCs/>
                <w:color w:val="000000"/>
                <w:sz w:val="16"/>
                <w:szCs w:val="16"/>
              </w:rPr>
              <w:t> TOPLAM</w:t>
            </w:r>
          </w:p>
        </w:tc>
        <w:tc>
          <w:tcPr>
            <w:tcW w:w="780" w:type="dxa"/>
            <w:tcBorders>
              <w:top w:val="single" w:sz="4" w:space="0" w:color="auto"/>
              <w:left w:val="nil"/>
              <w:bottom w:val="single" w:sz="4" w:space="0" w:color="auto"/>
              <w:right w:val="nil"/>
            </w:tcBorders>
            <w:shd w:val="clear" w:color="auto" w:fill="auto"/>
            <w:vAlign w:val="bottom"/>
          </w:tcPr>
          <w:p w14:paraId="2AAB42A1" w14:textId="07B7BBE2" w:rsidR="00895AC4" w:rsidRPr="00872D7E" w:rsidRDefault="00895AC4" w:rsidP="00895AC4">
            <w:pPr>
              <w:jc w:val="right"/>
              <w:rPr>
                <w:b/>
                <w:bCs/>
                <w:color w:val="000000"/>
                <w:sz w:val="16"/>
                <w:szCs w:val="16"/>
              </w:rPr>
            </w:pPr>
            <w:r w:rsidRPr="00872D7E">
              <w:rPr>
                <w:b/>
                <w:bCs/>
                <w:sz w:val="16"/>
                <w:szCs w:val="16"/>
              </w:rPr>
              <w:t>4.830.858</w:t>
            </w:r>
          </w:p>
        </w:tc>
        <w:tc>
          <w:tcPr>
            <w:tcW w:w="544" w:type="dxa"/>
            <w:tcBorders>
              <w:top w:val="single" w:sz="4" w:space="0" w:color="auto"/>
              <w:left w:val="nil"/>
              <w:bottom w:val="single" w:sz="4" w:space="0" w:color="auto"/>
              <w:right w:val="nil"/>
            </w:tcBorders>
            <w:shd w:val="clear" w:color="auto" w:fill="auto"/>
            <w:vAlign w:val="bottom"/>
          </w:tcPr>
          <w:p w14:paraId="0727E8CB" w14:textId="2EAF9496" w:rsidR="00895AC4" w:rsidRPr="00872D7E" w:rsidRDefault="00895AC4" w:rsidP="00895AC4">
            <w:pPr>
              <w:jc w:val="right"/>
              <w:rPr>
                <w:b/>
                <w:bCs/>
                <w:color w:val="000000"/>
                <w:sz w:val="16"/>
                <w:szCs w:val="16"/>
              </w:rPr>
            </w:pPr>
            <w:r w:rsidRPr="00872D7E">
              <w:rPr>
                <w:b/>
                <w:bCs/>
                <w:sz w:val="16"/>
                <w:szCs w:val="16"/>
              </w:rPr>
              <w:t>-</w:t>
            </w:r>
          </w:p>
        </w:tc>
        <w:tc>
          <w:tcPr>
            <w:tcW w:w="478" w:type="dxa"/>
            <w:tcBorders>
              <w:top w:val="single" w:sz="4" w:space="0" w:color="auto"/>
              <w:left w:val="nil"/>
              <w:bottom w:val="single" w:sz="4" w:space="0" w:color="auto"/>
              <w:right w:val="nil"/>
            </w:tcBorders>
            <w:shd w:val="clear" w:color="auto" w:fill="auto"/>
            <w:vAlign w:val="bottom"/>
          </w:tcPr>
          <w:p w14:paraId="211A601B" w14:textId="20E3FCE9" w:rsidR="00895AC4" w:rsidRPr="00872D7E" w:rsidRDefault="00895AC4" w:rsidP="00895AC4">
            <w:pPr>
              <w:jc w:val="right"/>
              <w:rPr>
                <w:b/>
                <w:bCs/>
                <w:color w:val="000000"/>
                <w:sz w:val="16"/>
                <w:szCs w:val="16"/>
              </w:rPr>
            </w:pPr>
            <w:r w:rsidRPr="00872D7E">
              <w:rPr>
                <w:b/>
                <w:bCs/>
                <w:sz w:val="16"/>
                <w:szCs w:val="16"/>
              </w:rPr>
              <w:t>-</w:t>
            </w:r>
          </w:p>
        </w:tc>
        <w:tc>
          <w:tcPr>
            <w:tcW w:w="409" w:type="dxa"/>
            <w:tcBorders>
              <w:top w:val="single" w:sz="4" w:space="0" w:color="auto"/>
              <w:left w:val="nil"/>
              <w:bottom w:val="single" w:sz="4" w:space="0" w:color="auto"/>
              <w:right w:val="nil"/>
            </w:tcBorders>
            <w:shd w:val="clear" w:color="auto" w:fill="auto"/>
            <w:vAlign w:val="bottom"/>
          </w:tcPr>
          <w:p w14:paraId="0BE5B3AB" w14:textId="656A35E2" w:rsidR="00895AC4" w:rsidRPr="00872D7E" w:rsidRDefault="00895AC4" w:rsidP="00895AC4">
            <w:pPr>
              <w:jc w:val="right"/>
              <w:rPr>
                <w:b/>
                <w:bCs/>
                <w:color w:val="000000"/>
                <w:sz w:val="16"/>
                <w:szCs w:val="16"/>
              </w:rPr>
            </w:pPr>
            <w:r w:rsidRPr="00872D7E">
              <w:rPr>
                <w:b/>
                <w:bCs/>
                <w:sz w:val="16"/>
                <w:szCs w:val="16"/>
              </w:rPr>
              <w:t>-</w:t>
            </w:r>
          </w:p>
        </w:tc>
        <w:tc>
          <w:tcPr>
            <w:tcW w:w="709" w:type="dxa"/>
            <w:tcBorders>
              <w:top w:val="single" w:sz="4" w:space="0" w:color="auto"/>
              <w:left w:val="nil"/>
              <w:bottom w:val="single" w:sz="4" w:space="0" w:color="auto"/>
              <w:right w:val="nil"/>
            </w:tcBorders>
            <w:shd w:val="clear" w:color="auto" w:fill="auto"/>
            <w:vAlign w:val="bottom"/>
          </w:tcPr>
          <w:p w14:paraId="062A6205" w14:textId="36A204A1" w:rsidR="00895AC4" w:rsidRPr="00872D7E" w:rsidRDefault="00895AC4" w:rsidP="00895AC4">
            <w:pPr>
              <w:jc w:val="right"/>
              <w:rPr>
                <w:b/>
                <w:bCs/>
                <w:color w:val="000000"/>
                <w:sz w:val="16"/>
                <w:szCs w:val="16"/>
              </w:rPr>
            </w:pPr>
            <w:r w:rsidRPr="00872D7E">
              <w:rPr>
                <w:b/>
                <w:bCs/>
                <w:sz w:val="16"/>
                <w:szCs w:val="16"/>
              </w:rPr>
              <w:t>-</w:t>
            </w:r>
          </w:p>
        </w:tc>
        <w:tc>
          <w:tcPr>
            <w:tcW w:w="795" w:type="dxa"/>
            <w:tcBorders>
              <w:top w:val="single" w:sz="4" w:space="0" w:color="auto"/>
              <w:left w:val="nil"/>
              <w:bottom w:val="single" w:sz="4" w:space="0" w:color="auto"/>
              <w:right w:val="nil"/>
            </w:tcBorders>
            <w:shd w:val="clear" w:color="auto" w:fill="auto"/>
            <w:vAlign w:val="bottom"/>
          </w:tcPr>
          <w:p w14:paraId="22FF0474" w14:textId="0098730D" w:rsidR="00895AC4" w:rsidRPr="00872D7E" w:rsidRDefault="00895AC4" w:rsidP="00895AC4">
            <w:pPr>
              <w:jc w:val="right"/>
              <w:rPr>
                <w:b/>
                <w:bCs/>
                <w:color w:val="000000"/>
                <w:sz w:val="16"/>
                <w:szCs w:val="16"/>
              </w:rPr>
            </w:pPr>
            <w:r w:rsidRPr="00872D7E">
              <w:rPr>
                <w:b/>
                <w:bCs/>
                <w:sz w:val="16"/>
                <w:szCs w:val="16"/>
              </w:rPr>
              <w:t>5.221.722</w:t>
            </w:r>
          </w:p>
        </w:tc>
        <w:tc>
          <w:tcPr>
            <w:tcW w:w="908" w:type="dxa"/>
            <w:tcBorders>
              <w:top w:val="single" w:sz="4" w:space="0" w:color="auto"/>
              <w:left w:val="nil"/>
              <w:bottom w:val="single" w:sz="4" w:space="0" w:color="auto"/>
              <w:right w:val="nil"/>
            </w:tcBorders>
            <w:shd w:val="clear" w:color="auto" w:fill="auto"/>
            <w:vAlign w:val="bottom"/>
          </w:tcPr>
          <w:p w14:paraId="2C5A972E" w14:textId="7382760A" w:rsidR="00895AC4" w:rsidRPr="00872D7E" w:rsidRDefault="00895AC4" w:rsidP="00895AC4">
            <w:pPr>
              <w:jc w:val="right"/>
              <w:rPr>
                <w:b/>
                <w:bCs/>
                <w:color w:val="000000"/>
                <w:sz w:val="16"/>
                <w:szCs w:val="16"/>
              </w:rPr>
            </w:pPr>
            <w:r w:rsidRPr="00872D7E">
              <w:rPr>
                <w:b/>
                <w:bCs/>
                <w:sz w:val="16"/>
                <w:szCs w:val="16"/>
              </w:rPr>
              <w:t>13.423.540</w:t>
            </w:r>
          </w:p>
        </w:tc>
        <w:tc>
          <w:tcPr>
            <w:tcW w:w="701" w:type="dxa"/>
            <w:tcBorders>
              <w:top w:val="single" w:sz="4" w:space="0" w:color="auto"/>
              <w:left w:val="nil"/>
              <w:bottom w:val="single" w:sz="4" w:space="0" w:color="auto"/>
              <w:right w:val="nil"/>
            </w:tcBorders>
            <w:shd w:val="clear" w:color="auto" w:fill="auto"/>
            <w:vAlign w:val="bottom"/>
          </w:tcPr>
          <w:p w14:paraId="2A668CAA" w14:textId="6EF73FF0" w:rsidR="00895AC4" w:rsidRPr="00872D7E" w:rsidRDefault="00895AC4" w:rsidP="00895AC4">
            <w:pPr>
              <w:jc w:val="right"/>
              <w:rPr>
                <w:b/>
                <w:bCs/>
                <w:color w:val="000000"/>
                <w:sz w:val="16"/>
                <w:szCs w:val="16"/>
              </w:rPr>
            </w:pPr>
            <w:r w:rsidRPr="00872D7E">
              <w:rPr>
                <w:b/>
                <w:bCs/>
                <w:sz w:val="16"/>
                <w:szCs w:val="16"/>
              </w:rPr>
              <w:t>-</w:t>
            </w:r>
          </w:p>
        </w:tc>
        <w:tc>
          <w:tcPr>
            <w:tcW w:w="718" w:type="dxa"/>
            <w:tcBorders>
              <w:top w:val="single" w:sz="4" w:space="0" w:color="auto"/>
              <w:left w:val="nil"/>
              <w:bottom w:val="single" w:sz="4" w:space="0" w:color="auto"/>
              <w:right w:val="nil"/>
            </w:tcBorders>
            <w:shd w:val="clear" w:color="auto" w:fill="auto"/>
            <w:vAlign w:val="bottom"/>
          </w:tcPr>
          <w:p w14:paraId="3B2F1E24" w14:textId="1E5CCB8E" w:rsidR="00895AC4" w:rsidRPr="00872D7E" w:rsidRDefault="00895AC4" w:rsidP="00895AC4">
            <w:pPr>
              <w:jc w:val="right"/>
              <w:rPr>
                <w:b/>
                <w:bCs/>
                <w:color w:val="000000"/>
                <w:sz w:val="16"/>
                <w:szCs w:val="16"/>
              </w:rPr>
            </w:pPr>
            <w:r w:rsidRPr="00872D7E">
              <w:rPr>
                <w:b/>
                <w:bCs/>
                <w:sz w:val="16"/>
                <w:szCs w:val="16"/>
              </w:rPr>
              <w:t>709.613</w:t>
            </w:r>
          </w:p>
        </w:tc>
        <w:tc>
          <w:tcPr>
            <w:tcW w:w="674" w:type="dxa"/>
            <w:tcBorders>
              <w:top w:val="single" w:sz="4" w:space="0" w:color="auto"/>
              <w:left w:val="nil"/>
              <w:bottom w:val="single" w:sz="4" w:space="0" w:color="auto"/>
              <w:right w:val="nil"/>
            </w:tcBorders>
            <w:shd w:val="clear" w:color="auto" w:fill="auto"/>
            <w:vAlign w:val="bottom"/>
          </w:tcPr>
          <w:p w14:paraId="19A41064" w14:textId="68F9D9AE" w:rsidR="00895AC4" w:rsidRPr="00872D7E" w:rsidRDefault="00895AC4" w:rsidP="00895AC4">
            <w:pPr>
              <w:jc w:val="right"/>
              <w:rPr>
                <w:b/>
                <w:bCs/>
                <w:color w:val="000000"/>
                <w:sz w:val="16"/>
                <w:szCs w:val="16"/>
              </w:rPr>
            </w:pPr>
            <w:r w:rsidRPr="00872D7E">
              <w:rPr>
                <w:b/>
                <w:bCs/>
                <w:sz w:val="16"/>
                <w:szCs w:val="16"/>
              </w:rPr>
              <w:t>-</w:t>
            </w:r>
          </w:p>
        </w:tc>
        <w:tc>
          <w:tcPr>
            <w:tcW w:w="734" w:type="dxa"/>
            <w:tcBorders>
              <w:top w:val="single" w:sz="4" w:space="0" w:color="auto"/>
              <w:left w:val="nil"/>
              <w:bottom w:val="single" w:sz="4" w:space="0" w:color="auto"/>
              <w:right w:val="nil"/>
            </w:tcBorders>
            <w:shd w:val="clear" w:color="auto" w:fill="auto"/>
            <w:vAlign w:val="bottom"/>
          </w:tcPr>
          <w:p w14:paraId="4615807A" w14:textId="5420D2E8" w:rsidR="00895AC4" w:rsidRPr="00872D7E" w:rsidRDefault="00895AC4" w:rsidP="00895AC4">
            <w:pPr>
              <w:jc w:val="right"/>
              <w:rPr>
                <w:b/>
                <w:bCs/>
                <w:color w:val="000000"/>
                <w:sz w:val="16"/>
                <w:szCs w:val="16"/>
              </w:rPr>
            </w:pPr>
            <w:r w:rsidRPr="00872D7E">
              <w:rPr>
                <w:b/>
                <w:bCs/>
                <w:sz w:val="16"/>
                <w:szCs w:val="16"/>
              </w:rPr>
              <w:t>27.648</w:t>
            </w:r>
          </w:p>
        </w:tc>
        <w:tc>
          <w:tcPr>
            <w:tcW w:w="647" w:type="dxa"/>
            <w:tcBorders>
              <w:top w:val="single" w:sz="4" w:space="0" w:color="auto"/>
              <w:left w:val="nil"/>
              <w:bottom w:val="single" w:sz="4" w:space="0" w:color="auto"/>
              <w:right w:val="nil"/>
            </w:tcBorders>
            <w:vAlign w:val="bottom"/>
          </w:tcPr>
          <w:p w14:paraId="745344B9" w14:textId="0A48014D" w:rsidR="00895AC4" w:rsidRPr="00872D7E" w:rsidRDefault="00895AC4" w:rsidP="00895AC4">
            <w:pPr>
              <w:jc w:val="right"/>
              <w:rPr>
                <w:b/>
                <w:bCs/>
                <w:color w:val="000000"/>
                <w:sz w:val="16"/>
                <w:szCs w:val="16"/>
              </w:rPr>
            </w:pPr>
            <w:r w:rsidRPr="00872D7E">
              <w:rPr>
                <w:b/>
                <w:bCs/>
                <w:sz w:val="16"/>
                <w:szCs w:val="16"/>
              </w:rPr>
              <w:t>-</w:t>
            </w:r>
          </w:p>
        </w:tc>
        <w:tc>
          <w:tcPr>
            <w:tcW w:w="647" w:type="dxa"/>
            <w:tcBorders>
              <w:top w:val="single" w:sz="4" w:space="0" w:color="auto"/>
              <w:left w:val="nil"/>
              <w:bottom w:val="single" w:sz="4" w:space="0" w:color="auto"/>
              <w:right w:val="nil"/>
            </w:tcBorders>
            <w:vAlign w:val="bottom"/>
          </w:tcPr>
          <w:p w14:paraId="69E200F2" w14:textId="0766937C" w:rsidR="00895AC4" w:rsidRPr="00872D7E" w:rsidRDefault="00895AC4" w:rsidP="00895AC4">
            <w:pPr>
              <w:jc w:val="right"/>
              <w:rPr>
                <w:b/>
                <w:bCs/>
                <w:color w:val="000000"/>
                <w:sz w:val="16"/>
                <w:szCs w:val="16"/>
              </w:rPr>
            </w:pPr>
            <w:r w:rsidRPr="00872D7E">
              <w:rPr>
                <w:b/>
                <w:bCs/>
                <w:sz w:val="16"/>
                <w:szCs w:val="16"/>
              </w:rPr>
              <w:t>-</w:t>
            </w:r>
          </w:p>
        </w:tc>
        <w:tc>
          <w:tcPr>
            <w:tcW w:w="647" w:type="dxa"/>
            <w:tcBorders>
              <w:top w:val="single" w:sz="4" w:space="0" w:color="auto"/>
              <w:left w:val="nil"/>
              <w:bottom w:val="single" w:sz="4" w:space="0" w:color="auto"/>
              <w:right w:val="nil"/>
            </w:tcBorders>
            <w:vAlign w:val="bottom"/>
          </w:tcPr>
          <w:p w14:paraId="5219A27A" w14:textId="0534AB7B" w:rsidR="00895AC4" w:rsidRPr="00872D7E" w:rsidRDefault="00895AC4" w:rsidP="00895AC4">
            <w:pPr>
              <w:jc w:val="right"/>
              <w:rPr>
                <w:b/>
                <w:bCs/>
                <w:color w:val="000000"/>
                <w:sz w:val="16"/>
                <w:szCs w:val="16"/>
              </w:rPr>
            </w:pPr>
            <w:r w:rsidRPr="00872D7E">
              <w:rPr>
                <w:b/>
                <w:bCs/>
                <w:sz w:val="16"/>
                <w:szCs w:val="16"/>
              </w:rPr>
              <w:t>-</w:t>
            </w:r>
          </w:p>
        </w:tc>
        <w:tc>
          <w:tcPr>
            <w:tcW w:w="650" w:type="dxa"/>
            <w:tcBorders>
              <w:top w:val="single" w:sz="4" w:space="0" w:color="auto"/>
              <w:left w:val="nil"/>
              <w:bottom w:val="single" w:sz="4" w:space="0" w:color="auto"/>
              <w:right w:val="nil"/>
            </w:tcBorders>
            <w:vAlign w:val="bottom"/>
          </w:tcPr>
          <w:p w14:paraId="411AB9DD" w14:textId="50A34056" w:rsidR="00895AC4" w:rsidRPr="00872D7E" w:rsidRDefault="00895AC4" w:rsidP="00895AC4">
            <w:pPr>
              <w:jc w:val="right"/>
              <w:rPr>
                <w:b/>
                <w:bCs/>
                <w:color w:val="000000"/>
                <w:sz w:val="16"/>
                <w:szCs w:val="16"/>
              </w:rPr>
            </w:pPr>
            <w:r w:rsidRPr="00872D7E">
              <w:rPr>
                <w:b/>
                <w:bCs/>
                <w:sz w:val="16"/>
                <w:szCs w:val="16"/>
              </w:rPr>
              <w:t>948</w:t>
            </w:r>
          </w:p>
        </w:tc>
        <w:tc>
          <w:tcPr>
            <w:tcW w:w="660" w:type="dxa"/>
            <w:tcBorders>
              <w:top w:val="single" w:sz="4" w:space="0" w:color="auto"/>
              <w:left w:val="nil"/>
              <w:bottom w:val="single" w:sz="4" w:space="0" w:color="auto"/>
              <w:right w:val="nil"/>
            </w:tcBorders>
            <w:vAlign w:val="bottom"/>
          </w:tcPr>
          <w:p w14:paraId="151FC628" w14:textId="21E7F4FE" w:rsidR="00895AC4" w:rsidRPr="00872D7E" w:rsidRDefault="00895AC4" w:rsidP="00895AC4">
            <w:pPr>
              <w:jc w:val="right"/>
              <w:rPr>
                <w:b/>
                <w:bCs/>
                <w:color w:val="000000"/>
                <w:sz w:val="16"/>
                <w:szCs w:val="16"/>
              </w:rPr>
            </w:pPr>
            <w:r w:rsidRPr="00872D7E">
              <w:rPr>
                <w:b/>
                <w:bCs/>
                <w:sz w:val="16"/>
                <w:szCs w:val="16"/>
              </w:rPr>
              <w:t>1.265</w:t>
            </w:r>
          </w:p>
        </w:tc>
        <w:tc>
          <w:tcPr>
            <w:tcW w:w="674" w:type="dxa"/>
            <w:tcBorders>
              <w:top w:val="single" w:sz="4" w:space="0" w:color="auto"/>
              <w:left w:val="nil"/>
              <w:bottom w:val="single" w:sz="4" w:space="0" w:color="auto"/>
              <w:right w:val="nil"/>
            </w:tcBorders>
            <w:vAlign w:val="bottom"/>
          </w:tcPr>
          <w:p w14:paraId="183B3643" w14:textId="5AAE6E44" w:rsidR="00895AC4" w:rsidRPr="00872D7E" w:rsidRDefault="00895AC4" w:rsidP="00895AC4">
            <w:pPr>
              <w:jc w:val="right"/>
              <w:rPr>
                <w:b/>
                <w:bCs/>
                <w:color w:val="000000"/>
                <w:sz w:val="16"/>
                <w:szCs w:val="16"/>
              </w:rPr>
            </w:pPr>
            <w:r w:rsidRPr="00872D7E">
              <w:rPr>
                <w:b/>
                <w:bCs/>
                <w:sz w:val="16"/>
                <w:szCs w:val="16"/>
              </w:rPr>
              <w:t>991.124</w:t>
            </w:r>
          </w:p>
        </w:tc>
        <w:tc>
          <w:tcPr>
            <w:tcW w:w="860" w:type="dxa"/>
            <w:tcBorders>
              <w:top w:val="single" w:sz="4" w:space="0" w:color="auto"/>
              <w:left w:val="nil"/>
              <w:bottom w:val="single" w:sz="4" w:space="0" w:color="auto"/>
              <w:right w:val="nil"/>
            </w:tcBorders>
            <w:vAlign w:val="bottom"/>
          </w:tcPr>
          <w:p w14:paraId="0DF837EA" w14:textId="70C9172B" w:rsidR="00895AC4" w:rsidRPr="00872D7E" w:rsidRDefault="00895AC4" w:rsidP="00895AC4">
            <w:pPr>
              <w:jc w:val="right"/>
              <w:rPr>
                <w:b/>
                <w:bCs/>
                <w:color w:val="000000"/>
                <w:sz w:val="16"/>
                <w:szCs w:val="16"/>
              </w:rPr>
            </w:pPr>
            <w:r w:rsidRPr="00872D7E">
              <w:rPr>
                <w:b/>
                <w:bCs/>
                <w:sz w:val="16"/>
                <w:szCs w:val="16"/>
              </w:rPr>
              <w:t>25.206.718</w:t>
            </w:r>
          </w:p>
        </w:tc>
      </w:tr>
      <w:tr w:rsidR="00895AC4" w:rsidRPr="00872D7E" w14:paraId="6025D460" w14:textId="0685D1B2" w:rsidTr="000F318F">
        <w:trPr>
          <w:trHeight w:val="206"/>
        </w:trPr>
        <w:tc>
          <w:tcPr>
            <w:tcW w:w="2337" w:type="dxa"/>
            <w:tcBorders>
              <w:top w:val="single" w:sz="4" w:space="0" w:color="auto"/>
              <w:left w:val="nil"/>
              <w:bottom w:val="single" w:sz="4" w:space="0" w:color="auto"/>
              <w:right w:val="nil"/>
            </w:tcBorders>
            <w:shd w:val="clear" w:color="auto" w:fill="auto"/>
            <w:vAlign w:val="bottom"/>
          </w:tcPr>
          <w:p w14:paraId="167A6593" w14:textId="77777777" w:rsidR="00895AC4" w:rsidRPr="00872D7E" w:rsidRDefault="00895AC4" w:rsidP="00AC09C3">
            <w:pPr>
              <w:ind w:firstLineChars="30" w:firstLine="48"/>
              <w:rPr>
                <w:b/>
                <w:bCs/>
                <w:color w:val="000000"/>
                <w:sz w:val="16"/>
                <w:szCs w:val="16"/>
              </w:rPr>
            </w:pPr>
          </w:p>
        </w:tc>
        <w:tc>
          <w:tcPr>
            <w:tcW w:w="780" w:type="dxa"/>
            <w:tcBorders>
              <w:top w:val="single" w:sz="4" w:space="0" w:color="auto"/>
              <w:left w:val="nil"/>
              <w:bottom w:val="single" w:sz="4" w:space="0" w:color="auto"/>
              <w:right w:val="nil"/>
            </w:tcBorders>
            <w:shd w:val="clear" w:color="auto" w:fill="auto"/>
            <w:vAlign w:val="bottom"/>
          </w:tcPr>
          <w:p w14:paraId="70976A01" w14:textId="77777777" w:rsidR="00895AC4" w:rsidRPr="00872D7E" w:rsidRDefault="00895AC4" w:rsidP="00AC09C3">
            <w:pPr>
              <w:ind w:firstLineChars="30" w:firstLine="48"/>
              <w:jc w:val="right"/>
              <w:rPr>
                <w:b/>
                <w:bCs/>
                <w:color w:val="000000"/>
                <w:sz w:val="16"/>
                <w:szCs w:val="16"/>
              </w:rPr>
            </w:pPr>
          </w:p>
        </w:tc>
        <w:tc>
          <w:tcPr>
            <w:tcW w:w="544" w:type="dxa"/>
            <w:tcBorders>
              <w:top w:val="single" w:sz="4" w:space="0" w:color="auto"/>
              <w:left w:val="nil"/>
              <w:bottom w:val="single" w:sz="4" w:space="0" w:color="auto"/>
              <w:right w:val="nil"/>
            </w:tcBorders>
            <w:shd w:val="clear" w:color="auto" w:fill="auto"/>
            <w:vAlign w:val="bottom"/>
          </w:tcPr>
          <w:p w14:paraId="7BCA8BA4" w14:textId="77777777" w:rsidR="00895AC4" w:rsidRPr="00872D7E" w:rsidRDefault="00895AC4" w:rsidP="00AC09C3">
            <w:pPr>
              <w:ind w:firstLineChars="30" w:firstLine="48"/>
              <w:jc w:val="right"/>
              <w:rPr>
                <w:b/>
                <w:bCs/>
                <w:color w:val="000000"/>
                <w:sz w:val="16"/>
                <w:szCs w:val="16"/>
              </w:rPr>
            </w:pPr>
          </w:p>
        </w:tc>
        <w:tc>
          <w:tcPr>
            <w:tcW w:w="478" w:type="dxa"/>
            <w:tcBorders>
              <w:top w:val="single" w:sz="4" w:space="0" w:color="auto"/>
              <w:left w:val="nil"/>
              <w:bottom w:val="single" w:sz="4" w:space="0" w:color="auto"/>
              <w:right w:val="nil"/>
            </w:tcBorders>
            <w:shd w:val="clear" w:color="auto" w:fill="auto"/>
            <w:vAlign w:val="bottom"/>
          </w:tcPr>
          <w:p w14:paraId="245C0658" w14:textId="77777777" w:rsidR="00895AC4" w:rsidRPr="00872D7E" w:rsidRDefault="00895AC4" w:rsidP="00AC09C3">
            <w:pPr>
              <w:ind w:firstLineChars="30" w:firstLine="48"/>
              <w:jc w:val="right"/>
              <w:rPr>
                <w:b/>
                <w:bCs/>
                <w:color w:val="000000"/>
                <w:sz w:val="16"/>
                <w:szCs w:val="16"/>
              </w:rPr>
            </w:pPr>
          </w:p>
        </w:tc>
        <w:tc>
          <w:tcPr>
            <w:tcW w:w="409" w:type="dxa"/>
            <w:tcBorders>
              <w:top w:val="single" w:sz="4" w:space="0" w:color="auto"/>
              <w:left w:val="nil"/>
              <w:bottom w:val="single" w:sz="4" w:space="0" w:color="auto"/>
              <w:right w:val="nil"/>
            </w:tcBorders>
            <w:shd w:val="clear" w:color="auto" w:fill="auto"/>
            <w:vAlign w:val="bottom"/>
          </w:tcPr>
          <w:p w14:paraId="796C29DE" w14:textId="77777777" w:rsidR="00895AC4" w:rsidRPr="00872D7E" w:rsidRDefault="00895AC4" w:rsidP="00AC09C3">
            <w:pPr>
              <w:ind w:firstLineChars="30" w:firstLine="48"/>
              <w:jc w:val="right"/>
              <w:rPr>
                <w:b/>
                <w:bCs/>
                <w:color w:val="000000"/>
                <w:sz w:val="16"/>
                <w:szCs w:val="16"/>
              </w:rPr>
            </w:pPr>
          </w:p>
        </w:tc>
        <w:tc>
          <w:tcPr>
            <w:tcW w:w="709" w:type="dxa"/>
            <w:tcBorders>
              <w:top w:val="single" w:sz="4" w:space="0" w:color="auto"/>
              <w:left w:val="nil"/>
              <w:bottom w:val="single" w:sz="4" w:space="0" w:color="auto"/>
              <w:right w:val="nil"/>
            </w:tcBorders>
            <w:shd w:val="clear" w:color="auto" w:fill="auto"/>
            <w:vAlign w:val="bottom"/>
          </w:tcPr>
          <w:p w14:paraId="458F29ED" w14:textId="77777777" w:rsidR="00895AC4" w:rsidRPr="00872D7E" w:rsidRDefault="00895AC4" w:rsidP="00AC09C3">
            <w:pPr>
              <w:ind w:firstLineChars="30" w:firstLine="48"/>
              <w:jc w:val="right"/>
              <w:rPr>
                <w:b/>
                <w:bCs/>
                <w:color w:val="000000"/>
                <w:sz w:val="16"/>
                <w:szCs w:val="16"/>
              </w:rPr>
            </w:pPr>
          </w:p>
        </w:tc>
        <w:tc>
          <w:tcPr>
            <w:tcW w:w="795" w:type="dxa"/>
            <w:tcBorders>
              <w:top w:val="single" w:sz="4" w:space="0" w:color="auto"/>
              <w:left w:val="nil"/>
              <w:bottom w:val="single" w:sz="4" w:space="0" w:color="auto"/>
              <w:right w:val="nil"/>
            </w:tcBorders>
            <w:shd w:val="clear" w:color="auto" w:fill="auto"/>
            <w:vAlign w:val="bottom"/>
          </w:tcPr>
          <w:p w14:paraId="204841BD" w14:textId="77777777" w:rsidR="00895AC4" w:rsidRPr="00872D7E" w:rsidRDefault="00895AC4" w:rsidP="00AC09C3">
            <w:pPr>
              <w:ind w:firstLineChars="30" w:firstLine="48"/>
              <w:jc w:val="right"/>
              <w:rPr>
                <w:b/>
                <w:bCs/>
                <w:color w:val="000000"/>
                <w:sz w:val="16"/>
                <w:szCs w:val="16"/>
              </w:rPr>
            </w:pPr>
          </w:p>
        </w:tc>
        <w:tc>
          <w:tcPr>
            <w:tcW w:w="908" w:type="dxa"/>
            <w:tcBorders>
              <w:top w:val="single" w:sz="4" w:space="0" w:color="auto"/>
              <w:left w:val="nil"/>
              <w:bottom w:val="single" w:sz="4" w:space="0" w:color="auto"/>
              <w:right w:val="nil"/>
            </w:tcBorders>
            <w:shd w:val="clear" w:color="auto" w:fill="auto"/>
            <w:vAlign w:val="bottom"/>
          </w:tcPr>
          <w:p w14:paraId="0F0EC4EF" w14:textId="77777777" w:rsidR="00895AC4" w:rsidRPr="00872D7E" w:rsidRDefault="00895AC4" w:rsidP="00AC09C3">
            <w:pPr>
              <w:ind w:firstLineChars="30" w:firstLine="48"/>
              <w:jc w:val="right"/>
              <w:rPr>
                <w:b/>
                <w:bCs/>
                <w:color w:val="000000"/>
                <w:sz w:val="16"/>
                <w:szCs w:val="16"/>
              </w:rPr>
            </w:pPr>
          </w:p>
        </w:tc>
        <w:tc>
          <w:tcPr>
            <w:tcW w:w="701" w:type="dxa"/>
            <w:tcBorders>
              <w:top w:val="single" w:sz="4" w:space="0" w:color="auto"/>
              <w:left w:val="nil"/>
              <w:bottom w:val="single" w:sz="4" w:space="0" w:color="auto"/>
              <w:right w:val="nil"/>
            </w:tcBorders>
            <w:shd w:val="clear" w:color="auto" w:fill="auto"/>
            <w:vAlign w:val="bottom"/>
          </w:tcPr>
          <w:p w14:paraId="44A5AD10" w14:textId="77777777" w:rsidR="00895AC4" w:rsidRPr="00872D7E" w:rsidRDefault="00895AC4" w:rsidP="00AC09C3">
            <w:pPr>
              <w:ind w:firstLineChars="30" w:firstLine="48"/>
              <w:jc w:val="right"/>
              <w:rPr>
                <w:b/>
                <w:bCs/>
                <w:color w:val="000000"/>
                <w:sz w:val="16"/>
                <w:szCs w:val="16"/>
              </w:rPr>
            </w:pPr>
          </w:p>
        </w:tc>
        <w:tc>
          <w:tcPr>
            <w:tcW w:w="718" w:type="dxa"/>
            <w:tcBorders>
              <w:top w:val="single" w:sz="4" w:space="0" w:color="auto"/>
              <w:left w:val="nil"/>
              <w:bottom w:val="single" w:sz="4" w:space="0" w:color="auto"/>
              <w:right w:val="nil"/>
            </w:tcBorders>
            <w:shd w:val="clear" w:color="auto" w:fill="auto"/>
            <w:vAlign w:val="bottom"/>
          </w:tcPr>
          <w:p w14:paraId="22ED070C" w14:textId="77777777" w:rsidR="00895AC4" w:rsidRPr="00872D7E" w:rsidRDefault="00895AC4" w:rsidP="00AC09C3">
            <w:pPr>
              <w:ind w:firstLineChars="30" w:firstLine="48"/>
              <w:jc w:val="right"/>
              <w:rPr>
                <w:b/>
                <w:bCs/>
                <w:color w:val="000000"/>
                <w:sz w:val="16"/>
                <w:szCs w:val="16"/>
              </w:rPr>
            </w:pPr>
          </w:p>
        </w:tc>
        <w:tc>
          <w:tcPr>
            <w:tcW w:w="674" w:type="dxa"/>
            <w:tcBorders>
              <w:top w:val="single" w:sz="4" w:space="0" w:color="auto"/>
              <w:left w:val="nil"/>
              <w:bottom w:val="single" w:sz="4" w:space="0" w:color="auto"/>
              <w:right w:val="nil"/>
            </w:tcBorders>
            <w:shd w:val="clear" w:color="auto" w:fill="auto"/>
            <w:vAlign w:val="bottom"/>
          </w:tcPr>
          <w:p w14:paraId="7A340EBA" w14:textId="77777777" w:rsidR="00895AC4" w:rsidRPr="00872D7E" w:rsidRDefault="00895AC4" w:rsidP="00AC09C3">
            <w:pPr>
              <w:ind w:firstLineChars="30" w:firstLine="48"/>
              <w:jc w:val="right"/>
              <w:rPr>
                <w:b/>
                <w:bCs/>
                <w:color w:val="000000"/>
                <w:sz w:val="16"/>
                <w:szCs w:val="16"/>
              </w:rPr>
            </w:pPr>
          </w:p>
        </w:tc>
        <w:tc>
          <w:tcPr>
            <w:tcW w:w="734" w:type="dxa"/>
            <w:tcBorders>
              <w:top w:val="single" w:sz="4" w:space="0" w:color="auto"/>
              <w:left w:val="nil"/>
              <w:bottom w:val="single" w:sz="4" w:space="0" w:color="auto"/>
              <w:right w:val="nil"/>
            </w:tcBorders>
            <w:shd w:val="clear" w:color="auto" w:fill="auto"/>
          </w:tcPr>
          <w:p w14:paraId="3A25FEB1" w14:textId="77777777" w:rsidR="00895AC4" w:rsidRPr="00872D7E" w:rsidRDefault="00895AC4" w:rsidP="00AC09C3">
            <w:pPr>
              <w:ind w:firstLineChars="30" w:firstLine="48"/>
              <w:jc w:val="right"/>
              <w:rPr>
                <w:b/>
                <w:bCs/>
                <w:color w:val="000000"/>
                <w:sz w:val="16"/>
                <w:szCs w:val="16"/>
              </w:rPr>
            </w:pPr>
          </w:p>
        </w:tc>
        <w:tc>
          <w:tcPr>
            <w:tcW w:w="647" w:type="dxa"/>
            <w:tcBorders>
              <w:top w:val="single" w:sz="4" w:space="0" w:color="auto"/>
              <w:left w:val="nil"/>
              <w:bottom w:val="single" w:sz="4" w:space="0" w:color="auto"/>
              <w:right w:val="nil"/>
            </w:tcBorders>
          </w:tcPr>
          <w:p w14:paraId="0B65CFC3" w14:textId="77777777" w:rsidR="00895AC4" w:rsidRPr="00872D7E" w:rsidRDefault="00895AC4" w:rsidP="00AC09C3">
            <w:pPr>
              <w:ind w:firstLineChars="30" w:firstLine="48"/>
              <w:jc w:val="right"/>
              <w:rPr>
                <w:b/>
                <w:bCs/>
                <w:color w:val="000000"/>
                <w:sz w:val="16"/>
                <w:szCs w:val="16"/>
              </w:rPr>
            </w:pPr>
          </w:p>
        </w:tc>
        <w:tc>
          <w:tcPr>
            <w:tcW w:w="647" w:type="dxa"/>
            <w:tcBorders>
              <w:top w:val="single" w:sz="4" w:space="0" w:color="auto"/>
              <w:left w:val="nil"/>
              <w:bottom w:val="single" w:sz="4" w:space="0" w:color="auto"/>
              <w:right w:val="nil"/>
            </w:tcBorders>
          </w:tcPr>
          <w:p w14:paraId="487B44D4" w14:textId="77777777" w:rsidR="00895AC4" w:rsidRPr="00872D7E" w:rsidRDefault="00895AC4" w:rsidP="00AC09C3">
            <w:pPr>
              <w:ind w:firstLineChars="30" w:firstLine="48"/>
              <w:jc w:val="right"/>
              <w:rPr>
                <w:b/>
                <w:bCs/>
                <w:color w:val="000000"/>
                <w:sz w:val="16"/>
                <w:szCs w:val="16"/>
              </w:rPr>
            </w:pPr>
          </w:p>
        </w:tc>
        <w:tc>
          <w:tcPr>
            <w:tcW w:w="647" w:type="dxa"/>
            <w:tcBorders>
              <w:top w:val="single" w:sz="4" w:space="0" w:color="auto"/>
              <w:left w:val="nil"/>
              <w:bottom w:val="single" w:sz="4" w:space="0" w:color="auto"/>
              <w:right w:val="nil"/>
            </w:tcBorders>
          </w:tcPr>
          <w:p w14:paraId="545C6BBF" w14:textId="77777777" w:rsidR="00895AC4" w:rsidRPr="00872D7E" w:rsidRDefault="00895AC4" w:rsidP="00AC09C3">
            <w:pPr>
              <w:ind w:firstLineChars="30" w:firstLine="48"/>
              <w:jc w:val="right"/>
              <w:rPr>
                <w:b/>
                <w:bCs/>
                <w:color w:val="000000"/>
                <w:sz w:val="16"/>
                <w:szCs w:val="16"/>
              </w:rPr>
            </w:pPr>
          </w:p>
        </w:tc>
        <w:tc>
          <w:tcPr>
            <w:tcW w:w="650" w:type="dxa"/>
            <w:tcBorders>
              <w:top w:val="single" w:sz="4" w:space="0" w:color="auto"/>
              <w:left w:val="nil"/>
              <w:bottom w:val="single" w:sz="4" w:space="0" w:color="auto"/>
              <w:right w:val="nil"/>
            </w:tcBorders>
          </w:tcPr>
          <w:p w14:paraId="2E588876" w14:textId="77777777" w:rsidR="00895AC4" w:rsidRPr="00872D7E" w:rsidRDefault="00895AC4" w:rsidP="00AC09C3">
            <w:pPr>
              <w:ind w:firstLineChars="30" w:firstLine="48"/>
              <w:jc w:val="right"/>
              <w:rPr>
                <w:b/>
                <w:bCs/>
                <w:color w:val="000000"/>
                <w:sz w:val="16"/>
                <w:szCs w:val="16"/>
              </w:rPr>
            </w:pPr>
          </w:p>
        </w:tc>
        <w:tc>
          <w:tcPr>
            <w:tcW w:w="660" w:type="dxa"/>
            <w:tcBorders>
              <w:top w:val="single" w:sz="4" w:space="0" w:color="auto"/>
              <w:left w:val="nil"/>
              <w:bottom w:val="single" w:sz="4" w:space="0" w:color="auto"/>
              <w:right w:val="nil"/>
            </w:tcBorders>
          </w:tcPr>
          <w:p w14:paraId="005AF0C0" w14:textId="77777777" w:rsidR="00895AC4" w:rsidRPr="00872D7E" w:rsidRDefault="00895AC4" w:rsidP="00AC09C3">
            <w:pPr>
              <w:ind w:firstLineChars="30" w:firstLine="48"/>
              <w:jc w:val="right"/>
              <w:rPr>
                <w:b/>
                <w:bCs/>
                <w:color w:val="000000"/>
                <w:sz w:val="16"/>
                <w:szCs w:val="16"/>
              </w:rPr>
            </w:pPr>
          </w:p>
        </w:tc>
        <w:tc>
          <w:tcPr>
            <w:tcW w:w="674" w:type="dxa"/>
            <w:tcBorders>
              <w:top w:val="single" w:sz="4" w:space="0" w:color="auto"/>
              <w:left w:val="nil"/>
              <w:bottom w:val="single" w:sz="4" w:space="0" w:color="auto"/>
              <w:right w:val="nil"/>
            </w:tcBorders>
          </w:tcPr>
          <w:p w14:paraId="5BFA5A06" w14:textId="77777777" w:rsidR="00895AC4" w:rsidRPr="00872D7E" w:rsidRDefault="00895AC4" w:rsidP="00AC09C3">
            <w:pPr>
              <w:ind w:firstLineChars="30" w:firstLine="48"/>
              <w:jc w:val="right"/>
              <w:rPr>
                <w:b/>
                <w:bCs/>
                <w:color w:val="000000"/>
                <w:sz w:val="16"/>
                <w:szCs w:val="16"/>
              </w:rPr>
            </w:pPr>
          </w:p>
        </w:tc>
        <w:tc>
          <w:tcPr>
            <w:tcW w:w="860" w:type="dxa"/>
            <w:tcBorders>
              <w:top w:val="single" w:sz="4" w:space="0" w:color="auto"/>
              <w:left w:val="nil"/>
              <w:bottom w:val="single" w:sz="4" w:space="0" w:color="auto"/>
              <w:right w:val="nil"/>
            </w:tcBorders>
          </w:tcPr>
          <w:p w14:paraId="56CA4A4B" w14:textId="329D6A0E" w:rsidR="00895AC4" w:rsidRPr="00872D7E" w:rsidRDefault="00895AC4" w:rsidP="00AC09C3">
            <w:pPr>
              <w:ind w:firstLineChars="30" w:firstLine="48"/>
              <w:jc w:val="right"/>
              <w:rPr>
                <w:b/>
                <w:bCs/>
                <w:color w:val="000000"/>
                <w:sz w:val="16"/>
                <w:szCs w:val="16"/>
              </w:rPr>
            </w:pPr>
          </w:p>
        </w:tc>
      </w:tr>
      <w:tr w:rsidR="00895AC4" w:rsidRPr="00872D7E" w14:paraId="66941E43" w14:textId="2990F4AB" w:rsidTr="00895AC4">
        <w:trPr>
          <w:trHeight w:val="206"/>
        </w:trPr>
        <w:tc>
          <w:tcPr>
            <w:tcW w:w="2337" w:type="dxa"/>
            <w:tcBorders>
              <w:top w:val="single" w:sz="4" w:space="0" w:color="auto"/>
              <w:left w:val="nil"/>
              <w:bottom w:val="single" w:sz="4" w:space="0" w:color="auto"/>
              <w:right w:val="nil"/>
            </w:tcBorders>
            <w:shd w:val="clear" w:color="auto" w:fill="auto"/>
            <w:vAlign w:val="bottom"/>
            <w:hideMark/>
          </w:tcPr>
          <w:p w14:paraId="6BFA7F72" w14:textId="074251E8" w:rsidR="00895AC4" w:rsidRPr="00872D7E" w:rsidRDefault="00827BED" w:rsidP="00895AC4">
            <w:pPr>
              <w:ind w:firstLineChars="30" w:firstLine="48"/>
              <w:rPr>
                <w:b/>
                <w:bCs/>
                <w:color w:val="000000"/>
                <w:sz w:val="16"/>
                <w:szCs w:val="16"/>
              </w:rPr>
            </w:pPr>
            <w:r w:rsidRPr="00872D7E">
              <w:rPr>
                <w:b/>
                <w:bCs/>
                <w:color w:val="000000"/>
                <w:sz w:val="16"/>
                <w:szCs w:val="16"/>
              </w:rPr>
              <w:t>1 Ocak 2024</w:t>
            </w:r>
          </w:p>
        </w:tc>
        <w:tc>
          <w:tcPr>
            <w:tcW w:w="780" w:type="dxa"/>
            <w:tcBorders>
              <w:top w:val="single" w:sz="4" w:space="0" w:color="auto"/>
              <w:left w:val="nil"/>
              <w:bottom w:val="single" w:sz="4" w:space="0" w:color="auto"/>
              <w:right w:val="nil"/>
            </w:tcBorders>
            <w:shd w:val="clear" w:color="auto" w:fill="auto"/>
            <w:vAlign w:val="bottom"/>
            <w:hideMark/>
          </w:tcPr>
          <w:p w14:paraId="03F8218B" w14:textId="310FEC86" w:rsidR="00895AC4" w:rsidRPr="00872D7E" w:rsidRDefault="00895AC4" w:rsidP="00895AC4">
            <w:pPr>
              <w:ind w:firstLineChars="30" w:firstLine="48"/>
              <w:jc w:val="right"/>
              <w:rPr>
                <w:b/>
                <w:bCs/>
                <w:color w:val="000000"/>
                <w:sz w:val="16"/>
                <w:szCs w:val="16"/>
              </w:rPr>
            </w:pPr>
            <w:r w:rsidRPr="00872D7E">
              <w:rPr>
                <w:b/>
                <w:bCs/>
                <w:color w:val="000000"/>
                <w:sz w:val="16"/>
                <w:szCs w:val="16"/>
              </w:rPr>
              <w:t>1</w:t>
            </w:r>
          </w:p>
        </w:tc>
        <w:tc>
          <w:tcPr>
            <w:tcW w:w="544" w:type="dxa"/>
            <w:tcBorders>
              <w:top w:val="single" w:sz="4" w:space="0" w:color="auto"/>
              <w:left w:val="nil"/>
              <w:bottom w:val="single" w:sz="4" w:space="0" w:color="auto"/>
              <w:right w:val="nil"/>
            </w:tcBorders>
            <w:shd w:val="clear" w:color="auto" w:fill="auto"/>
            <w:vAlign w:val="bottom"/>
            <w:hideMark/>
          </w:tcPr>
          <w:p w14:paraId="612B7EFA" w14:textId="2FEEB29E" w:rsidR="00895AC4" w:rsidRPr="00872D7E" w:rsidRDefault="00895AC4" w:rsidP="00895AC4">
            <w:pPr>
              <w:ind w:firstLineChars="30" w:firstLine="48"/>
              <w:jc w:val="right"/>
              <w:rPr>
                <w:b/>
                <w:bCs/>
                <w:color w:val="000000"/>
                <w:sz w:val="16"/>
                <w:szCs w:val="16"/>
              </w:rPr>
            </w:pPr>
            <w:r w:rsidRPr="00872D7E">
              <w:rPr>
                <w:b/>
                <w:bCs/>
                <w:color w:val="000000"/>
                <w:sz w:val="16"/>
                <w:szCs w:val="16"/>
              </w:rPr>
              <w:t>2</w:t>
            </w:r>
          </w:p>
        </w:tc>
        <w:tc>
          <w:tcPr>
            <w:tcW w:w="478" w:type="dxa"/>
            <w:tcBorders>
              <w:top w:val="single" w:sz="4" w:space="0" w:color="auto"/>
              <w:left w:val="nil"/>
              <w:bottom w:val="single" w:sz="4" w:space="0" w:color="auto"/>
              <w:right w:val="nil"/>
            </w:tcBorders>
            <w:shd w:val="clear" w:color="auto" w:fill="auto"/>
            <w:vAlign w:val="bottom"/>
            <w:hideMark/>
          </w:tcPr>
          <w:p w14:paraId="5CB32079" w14:textId="09A6ABF6" w:rsidR="00895AC4" w:rsidRPr="00872D7E" w:rsidRDefault="00895AC4" w:rsidP="00895AC4">
            <w:pPr>
              <w:ind w:firstLineChars="30" w:firstLine="48"/>
              <w:jc w:val="right"/>
              <w:rPr>
                <w:b/>
                <w:bCs/>
                <w:color w:val="000000"/>
                <w:sz w:val="16"/>
                <w:szCs w:val="16"/>
              </w:rPr>
            </w:pPr>
            <w:r w:rsidRPr="00872D7E">
              <w:rPr>
                <w:b/>
                <w:bCs/>
                <w:color w:val="000000"/>
                <w:sz w:val="16"/>
                <w:szCs w:val="16"/>
              </w:rPr>
              <w:t>3</w:t>
            </w:r>
          </w:p>
        </w:tc>
        <w:tc>
          <w:tcPr>
            <w:tcW w:w="409" w:type="dxa"/>
            <w:tcBorders>
              <w:top w:val="single" w:sz="4" w:space="0" w:color="auto"/>
              <w:left w:val="nil"/>
              <w:bottom w:val="single" w:sz="4" w:space="0" w:color="auto"/>
              <w:right w:val="nil"/>
            </w:tcBorders>
            <w:shd w:val="clear" w:color="auto" w:fill="auto"/>
            <w:vAlign w:val="bottom"/>
            <w:hideMark/>
          </w:tcPr>
          <w:p w14:paraId="5EF1B220" w14:textId="0D843951" w:rsidR="00895AC4" w:rsidRPr="00872D7E" w:rsidRDefault="00895AC4" w:rsidP="00895AC4">
            <w:pPr>
              <w:ind w:firstLineChars="30" w:firstLine="48"/>
              <w:jc w:val="right"/>
              <w:rPr>
                <w:b/>
                <w:bCs/>
                <w:color w:val="000000"/>
                <w:sz w:val="16"/>
                <w:szCs w:val="16"/>
              </w:rPr>
            </w:pPr>
            <w:r w:rsidRPr="00872D7E">
              <w:rPr>
                <w:b/>
                <w:bCs/>
                <w:color w:val="000000"/>
                <w:sz w:val="16"/>
                <w:szCs w:val="16"/>
              </w:rPr>
              <w:t>4</w:t>
            </w:r>
          </w:p>
        </w:tc>
        <w:tc>
          <w:tcPr>
            <w:tcW w:w="709" w:type="dxa"/>
            <w:tcBorders>
              <w:top w:val="single" w:sz="4" w:space="0" w:color="auto"/>
              <w:left w:val="nil"/>
              <w:bottom w:val="single" w:sz="4" w:space="0" w:color="auto"/>
              <w:right w:val="nil"/>
            </w:tcBorders>
            <w:shd w:val="clear" w:color="auto" w:fill="auto"/>
            <w:vAlign w:val="bottom"/>
            <w:hideMark/>
          </w:tcPr>
          <w:p w14:paraId="794B4C3D" w14:textId="63DC3A3A" w:rsidR="00895AC4" w:rsidRPr="00872D7E" w:rsidRDefault="00895AC4" w:rsidP="00895AC4">
            <w:pPr>
              <w:ind w:firstLineChars="30" w:firstLine="48"/>
              <w:jc w:val="right"/>
              <w:rPr>
                <w:b/>
                <w:bCs/>
                <w:color w:val="000000"/>
                <w:sz w:val="16"/>
                <w:szCs w:val="16"/>
              </w:rPr>
            </w:pPr>
            <w:r w:rsidRPr="00872D7E">
              <w:rPr>
                <w:b/>
                <w:bCs/>
                <w:color w:val="000000"/>
                <w:sz w:val="16"/>
                <w:szCs w:val="16"/>
              </w:rPr>
              <w:t>5</w:t>
            </w:r>
          </w:p>
        </w:tc>
        <w:tc>
          <w:tcPr>
            <w:tcW w:w="795" w:type="dxa"/>
            <w:tcBorders>
              <w:top w:val="single" w:sz="4" w:space="0" w:color="auto"/>
              <w:left w:val="nil"/>
              <w:bottom w:val="single" w:sz="4" w:space="0" w:color="auto"/>
              <w:right w:val="nil"/>
            </w:tcBorders>
            <w:shd w:val="clear" w:color="auto" w:fill="auto"/>
            <w:vAlign w:val="bottom"/>
            <w:hideMark/>
          </w:tcPr>
          <w:p w14:paraId="58B8BF76" w14:textId="6D003CDC" w:rsidR="00895AC4" w:rsidRPr="00872D7E" w:rsidRDefault="00895AC4" w:rsidP="00895AC4">
            <w:pPr>
              <w:ind w:firstLineChars="30" w:firstLine="48"/>
              <w:jc w:val="right"/>
              <w:rPr>
                <w:b/>
                <w:bCs/>
                <w:color w:val="000000"/>
                <w:sz w:val="16"/>
                <w:szCs w:val="16"/>
              </w:rPr>
            </w:pPr>
            <w:r w:rsidRPr="00872D7E">
              <w:rPr>
                <w:b/>
                <w:bCs/>
                <w:color w:val="000000"/>
                <w:sz w:val="16"/>
                <w:szCs w:val="16"/>
              </w:rPr>
              <w:t>6</w:t>
            </w:r>
          </w:p>
        </w:tc>
        <w:tc>
          <w:tcPr>
            <w:tcW w:w="908" w:type="dxa"/>
            <w:tcBorders>
              <w:top w:val="single" w:sz="4" w:space="0" w:color="auto"/>
              <w:left w:val="nil"/>
              <w:bottom w:val="single" w:sz="4" w:space="0" w:color="auto"/>
              <w:right w:val="nil"/>
            </w:tcBorders>
            <w:shd w:val="clear" w:color="auto" w:fill="auto"/>
            <w:vAlign w:val="bottom"/>
            <w:hideMark/>
          </w:tcPr>
          <w:p w14:paraId="42960316" w14:textId="5274985B" w:rsidR="00895AC4" w:rsidRPr="00872D7E" w:rsidRDefault="00895AC4" w:rsidP="00895AC4">
            <w:pPr>
              <w:ind w:firstLineChars="30" w:firstLine="48"/>
              <w:jc w:val="right"/>
              <w:rPr>
                <w:b/>
                <w:bCs/>
                <w:color w:val="000000"/>
                <w:sz w:val="16"/>
                <w:szCs w:val="16"/>
              </w:rPr>
            </w:pPr>
            <w:r w:rsidRPr="00872D7E">
              <w:rPr>
                <w:b/>
                <w:bCs/>
                <w:color w:val="000000"/>
                <w:sz w:val="16"/>
                <w:szCs w:val="16"/>
              </w:rPr>
              <w:t>7</w:t>
            </w:r>
          </w:p>
        </w:tc>
        <w:tc>
          <w:tcPr>
            <w:tcW w:w="701" w:type="dxa"/>
            <w:tcBorders>
              <w:top w:val="single" w:sz="4" w:space="0" w:color="auto"/>
              <w:left w:val="nil"/>
              <w:bottom w:val="single" w:sz="4" w:space="0" w:color="auto"/>
              <w:right w:val="nil"/>
            </w:tcBorders>
            <w:shd w:val="clear" w:color="auto" w:fill="auto"/>
            <w:vAlign w:val="bottom"/>
            <w:hideMark/>
          </w:tcPr>
          <w:p w14:paraId="10012814" w14:textId="1BCE8F2B" w:rsidR="00895AC4" w:rsidRPr="00872D7E" w:rsidRDefault="00895AC4" w:rsidP="00895AC4">
            <w:pPr>
              <w:ind w:firstLineChars="30" w:firstLine="48"/>
              <w:jc w:val="right"/>
              <w:rPr>
                <w:b/>
                <w:bCs/>
                <w:color w:val="000000"/>
                <w:sz w:val="16"/>
                <w:szCs w:val="16"/>
              </w:rPr>
            </w:pPr>
            <w:r w:rsidRPr="00872D7E">
              <w:rPr>
                <w:b/>
                <w:bCs/>
                <w:color w:val="000000"/>
                <w:sz w:val="16"/>
                <w:szCs w:val="16"/>
              </w:rPr>
              <w:t>8</w:t>
            </w:r>
          </w:p>
        </w:tc>
        <w:tc>
          <w:tcPr>
            <w:tcW w:w="718" w:type="dxa"/>
            <w:tcBorders>
              <w:top w:val="single" w:sz="4" w:space="0" w:color="auto"/>
              <w:left w:val="nil"/>
              <w:bottom w:val="single" w:sz="4" w:space="0" w:color="auto"/>
              <w:right w:val="nil"/>
            </w:tcBorders>
            <w:shd w:val="clear" w:color="auto" w:fill="auto"/>
            <w:vAlign w:val="bottom"/>
            <w:hideMark/>
          </w:tcPr>
          <w:p w14:paraId="176B4CE0" w14:textId="51B6C10D" w:rsidR="00895AC4" w:rsidRPr="00872D7E" w:rsidRDefault="00895AC4" w:rsidP="00895AC4">
            <w:pPr>
              <w:ind w:firstLineChars="30" w:firstLine="48"/>
              <w:jc w:val="right"/>
              <w:rPr>
                <w:b/>
                <w:bCs/>
                <w:color w:val="000000"/>
                <w:sz w:val="16"/>
                <w:szCs w:val="16"/>
              </w:rPr>
            </w:pPr>
            <w:r w:rsidRPr="00872D7E">
              <w:rPr>
                <w:b/>
                <w:bCs/>
                <w:color w:val="000000"/>
                <w:sz w:val="16"/>
                <w:szCs w:val="16"/>
              </w:rPr>
              <w:t>9</w:t>
            </w:r>
          </w:p>
        </w:tc>
        <w:tc>
          <w:tcPr>
            <w:tcW w:w="674" w:type="dxa"/>
            <w:tcBorders>
              <w:top w:val="single" w:sz="4" w:space="0" w:color="auto"/>
              <w:left w:val="nil"/>
              <w:bottom w:val="single" w:sz="4" w:space="0" w:color="auto"/>
              <w:right w:val="nil"/>
            </w:tcBorders>
            <w:shd w:val="clear" w:color="auto" w:fill="auto"/>
            <w:vAlign w:val="bottom"/>
          </w:tcPr>
          <w:p w14:paraId="0A70FD67" w14:textId="35D36A57" w:rsidR="00895AC4" w:rsidRPr="00872D7E" w:rsidRDefault="00895AC4" w:rsidP="00895AC4">
            <w:pPr>
              <w:ind w:firstLineChars="30" w:firstLine="48"/>
              <w:jc w:val="right"/>
              <w:rPr>
                <w:b/>
                <w:bCs/>
                <w:color w:val="000000"/>
                <w:sz w:val="16"/>
                <w:szCs w:val="16"/>
              </w:rPr>
            </w:pPr>
            <w:r w:rsidRPr="00872D7E">
              <w:rPr>
                <w:b/>
                <w:bCs/>
                <w:color w:val="000000"/>
                <w:sz w:val="16"/>
                <w:szCs w:val="16"/>
              </w:rPr>
              <w:t>10</w:t>
            </w:r>
          </w:p>
        </w:tc>
        <w:tc>
          <w:tcPr>
            <w:tcW w:w="734" w:type="dxa"/>
            <w:tcBorders>
              <w:top w:val="single" w:sz="4" w:space="0" w:color="auto"/>
              <w:left w:val="nil"/>
              <w:bottom w:val="single" w:sz="4" w:space="0" w:color="auto"/>
              <w:right w:val="nil"/>
            </w:tcBorders>
            <w:shd w:val="clear" w:color="auto" w:fill="auto"/>
            <w:vAlign w:val="bottom"/>
            <w:hideMark/>
          </w:tcPr>
          <w:p w14:paraId="2BB60B98" w14:textId="3652BC4C" w:rsidR="00895AC4" w:rsidRPr="00872D7E" w:rsidRDefault="00895AC4" w:rsidP="00895AC4">
            <w:pPr>
              <w:ind w:firstLineChars="30" w:firstLine="48"/>
              <w:jc w:val="right"/>
              <w:rPr>
                <w:b/>
                <w:bCs/>
                <w:color w:val="000000"/>
                <w:sz w:val="16"/>
                <w:szCs w:val="16"/>
              </w:rPr>
            </w:pPr>
            <w:r w:rsidRPr="00872D7E">
              <w:rPr>
                <w:b/>
                <w:bCs/>
                <w:color w:val="000000"/>
                <w:sz w:val="16"/>
                <w:szCs w:val="16"/>
              </w:rPr>
              <w:t>11</w:t>
            </w:r>
          </w:p>
        </w:tc>
        <w:tc>
          <w:tcPr>
            <w:tcW w:w="647" w:type="dxa"/>
            <w:tcBorders>
              <w:top w:val="single" w:sz="4" w:space="0" w:color="auto"/>
              <w:left w:val="nil"/>
              <w:bottom w:val="single" w:sz="4" w:space="0" w:color="auto"/>
              <w:right w:val="nil"/>
            </w:tcBorders>
            <w:vAlign w:val="bottom"/>
          </w:tcPr>
          <w:p w14:paraId="40C7D078" w14:textId="1F0E8C00" w:rsidR="00895AC4" w:rsidRPr="00872D7E" w:rsidRDefault="00895AC4" w:rsidP="00895AC4">
            <w:pPr>
              <w:ind w:firstLineChars="30" w:firstLine="48"/>
              <w:jc w:val="right"/>
              <w:rPr>
                <w:b/>
                <w:bCs/>
                <w:color w:val="000000"/>
                <w:sz w:val="16"/>
                <w:szCs w:val="16"/>
              </w:rPr>
            </w:pPr>
            <w:r w:rsidRPr="00872D7E">
              <w:rPr>
                <w:b/>
                <w:bCs/>
                <w:color w:val="000000"/>
                <w:sz w:val="16"/>
                <w:szCs w:val="16"/>
              </w:rPr>
              <w:t>12</w:t>
            </w:r>
          </w:p>
        </w:tc>
        <w:tc>
          <w:tcPr>
            <w:tcW w:w="647" w:type="dxa"/>
            <w:tcBorders>
              <w:top w:val="single" w:sz="4" w:space="0" w:color="auto"/>
              <w:left w:val="nil"/>
              <w:bottom w:val="single" w:sz="4" w:space="0" w:color="auto"/>
              <w:right w:val="nil"/>
            </w:tcBorders>
            <w:vAlign w:val="bottom"/>
          </w:tcPr>
          <w:p w14:paraId="40FE5FC8" w14:textId="0C1D8E0E" w:rsidR="00895AC4" w:rsidRPr="00872D7E" w:rsidRDefault="00895AC4" w:rsidP="00895AC4">
            <w:pPr>
              <w:ind w:firstLineChars="30" w:firstLine="48"/>
              <w:jc w:val="right"/>
              <w:rPr>
                <w:b/>
                <w:bCs/>
                <w:color w:val="000000"/>
                <w:sz w:val="16"/>
                <w:szCs w:val="16"/>
              </w:rPr>
            </w:pPr>
            <w:r w:rsidRPr="00872D7E">
              <w:rPr>
                <w:b/>
                <w:bCs/>
                <w:color w:val="000000"/>
                <w:sz w:val="16"/>
                <w:szCs w:val="16"/>
              </w:rPr>
              <w:t>13</w:t>
            </w:r>
          </w:p>
        </w:tc>
        <w:tc>
          <w:tcPr>
            <w:tcW w:w="647" w:type="dxa"/>
            <w:tcBorders>
              <w:top w:val="single" w:sz="4" w:space="0" w:color="auto"/>
              <w:left w:val="nil"/>
              <w:bottom w:val="single" w:sz="4" w:space="0" w:color="auto"/>
              <w:right w:val="nil"/>
            </w:tcBorders>
            <w:vAlign w:val="bottom"/>
          </w:tcPr>
          <w:p w14:paraId="7134F200" w14:textId="64DF6F73" w:rsidR="00895AC4" w:rsidRPr="00872D7E" w:rsidRDefault="00895AC4" w:rsidP="00895AC4">
            <w:pPr>
              <w:ind w:firstLineChars="30" w:firstLine="48"/>
              <w:jc w:val="right"/>
              <w:rPr>
                <w:b/>
                <w:bCs/>
                <w:color w:val="000000"/>
                <w:sz w:val="16"/>
                <w:szCs w:val="16"/>
              </w:rPr>
            </w:pPr>
            <w:r w:rsidRPr="00872D7E">
              <w:rPr>
                <w:b/>
                <w:bCs/>
                <w:color w:val="000000"/>
                <w:sz w:val="16"/>
                <w:szCs w:val="16"/>
              </w:rPr>
              <w:t>14</w:t>
            </w:r>
          </w:p>
        </w:tc>
        <w:tc>
          <w:tcPr>
            <w:tcW w:w="650" w:type="dxa"/>
            <w:tcBorders>
              <w:top w:val="single" w:sz="4" w:space="0" w:color="auto"/>
              <w:left w:val="nil"/>
              <w:bottom w:val="single" w:sz="4" w:space="0" w:color="auto"/>
              <w:right w:val="nil"/>
            </w:tcBorders>
            <w:vAlign w:val="bottom"/>
          </w:tcPr>
          <w:p w14:paraId="3271A2EC" w14:textId="6AC369BD" w:rsidR="00895AC4" w:rsidRPr="00872D7E" w:rsidRDefault="00895AC4" w:rsidP="00895AC4">
            <w:pPr>
              <w:ind w:firstLineChars="30" w:firstLine="48"/>
              <w:jc w:val="right"/>
              <w:rPr>
                <w:b/>
                <w:bCs/>
                <w:color w:val="000000"/>
                <w:sz w:val="16"/>
                <w:szCs w:val="16"/>
              </w:rPr>
            </w:pPr>
            <w:r w:rsidRPr="00872D7E">
              <w:rPr>
                <w:b/>
                <w:bCs/>
                <w:color w:val="000000"/>
                <w:sz w:val="16"/>
                <w:szCs w:val="16"/>
              </w:rPr>
              <w:t>15</w:t>
            </w:r>
          </w:p>
        </w:tc>
        <w:tc>
          <w:tcPr>
            <w:tcW w:w="660" w:type="dxa"/>
            <w:tcBorders>
              <w:top w:val="single" w:sz="4" w:space="0" w:color="auto"/>
              <w:left w:val="nil"/>
              <w:bottom w:val="single" w:sz="4" w:space="0" w:color="auto"/>
              <w:right w:val="nil"/>
            </w:tcBorders>
            <w:vAlign w:val="bottom"/>
          </w:tcPr>
          <w:p w14:paraId="1C1A6317" w14:textId="65BC6521" w:rsidR="00895AC4" w:rsidRPr="00872D7E" w:rsidRDefault="00895AC4" w:rsidP="00895AC4">
            <w:pPr>
              <w:ind w:firstLineChars="30" w:firstLine="48"/>
              <w:jc w:val="right"/>
              <w:rPr>
                <w:b/>
                <w:bCs/>
                <w:color w:val="000000"/>
                <w:sz w:val="16"/>
                <w:szCs w:val="16"/>
              </w:rPr>
            </w:pPr>
            <w:r w:rsidRPr="00872D7E">
              <w:rPr>
                <w:b/>
                <w:bCs/>
                <w:color w:val="000000"/>
                <w:sz w:val="16"/>
                <w:szCs w:val="16"/>
              </w:rPr>
              <w:t>16</w:t>
            </w:r>
          </w:p>
        </w:tc>
        <w:tc>
          <w:tcPr>
            <w:tcW w:w="674" w:type="dxa"/>
            <w:tcBorders>
              <w:top w:val="single" w:sz="4" w:space="0" w:color="auto"/>
              <w:left w:val="nil"/>
              <w:bottom w:val="single" w:sz="4" w:space="0" w:color="auto"/>
              <w:right w:val="nil"/>
            </w:tcBorders>
            <w:vAlign w:val="bottom"/>
          </w:tcPr>
          <w:p w14:paraId="2EE1D536" w14:textId="07808B4B" w:rsidR="00895AC4" w:rsidRPr="00872D7E" w:rsidRDefault="00895AC4" w:rsidP="00895AC4">
            <w:pPr>
              <w:ind w:firstLineChars="30" w:firstLine="48"/>
              <w:jc w:val="right"/>
              <w:rPr>
                <w:b/>
                <w:bCs/>
                <w:color w:val="000000"/>
                <w:sz w:val="16"/>
                <w:szCs w:val="16"/>
              </w:rPr>
            </w:pPr>
            <w:r w:rsidRPr="00872D7E">
              <w:rPr>
                <w:b/>
                <w:bCs/>
                <w:color w:val="000000"/>
                <w:sz w:val="16"/>
                <w:szCs w:val="16"/>
              </w:rPr>
              <w:t>17</w:t>
            </w:r>
          </w:p>
        </w:tc>
        <w:tc>
          <w:tcPr>
            <w:tcW w:w="860" w:type="dxa"/>
            <w:tcBorders>
              <w:top w:val="single" w:sz="4" w:space="0" w:color="auto"/>
              <w:left w:val="nil"/>
              <w:bottom w:val="single" w:sz="4" w:space="0" w:color="auto"/>
              <w:right w:val="nil"/>
            </w:tcBorders>
            <w:vAlign w:val="bottom"/>
          </w:tcPr>
          <w:p w14:paraId="3906FA4C" w14:textId="5635E211" w:rsidR="00895AC4" w:rsidRPr="00872D7E" w:rsidRDefault="00895AC4" w:rsidP="00895AC4">
            <w:pPr>
              <w:ind w:firstLineChars="30" w:firstLine="48"/>
              <w:jc w:val="right"/>
              <w:rPr>
                <w:b/>
                <w:bCs/>
                <w:color w:val="000000"/>
                <w:sz w:val="16"/>
                <w:szCs w:val="16"/>
              </w:rPr>
            </w:pPr>
            <w:r w:rsidRPr="00872D7E">
              <w:rPr>
                <w:b/>
                <w:bCs/>
                <w:color w:val="000000"/>
                <w:sz w:val="16"/>
                <w:szCs w:val="16"/>
              </w:rPr>
              <w:t>Toplam</w:t>
            </w:r>
          </w:p>
        </w:tc>
      </w:tr>
      <w:tr w:rsidR="00895AC4" w:rsidRPr="00872D7E" w14:paraId="545943D7" w14:textId="5BBCF599" w:rsidTr="00895AC4">
        <w:trPr>
          <w:trHeight w:val="206"/>
        </w:trPr>
        <w:tc>
          <w:tcPr>
            <w:tcW w:w="2337" w:type="dxa"/>
            <w:tcBorders>
              <w:top w:val="single" w:sz="4" w:space="0" w:color="auto"/>
              <w:left w:val="nil"/>
              <w:bottom w:val="nil"/>
              <w:right w:val="nil"/>
            </w:tcBorders>
            <w:shd w:val="clear" w:color="auto" w:fill="auto"/>
            <w:vAlign w:val="bottom"/>
            <w:hideMark/>
          </w:tcPr>
          <w:p w14:paraId="5B59E12E" w14:textId="77777777" w:rsidR="00895AC4" w:rsidRPr="00872D7E" w:rsidRDefault="00895AC4" w:rsidP="00895AC4">
            <w:pPr>
              <w:ind w:firstLineChars="30" w:firstLine="48"/>
              <w:rPr>
                <w:color w:val="000000"/>
                <w:sz w:val="16"/>
                <w:szCs w:val="16"/>
              </w:rPr>
            </w:pPr>
            <w:r w:rsidRPr="00872D7E">
              <w:rPr>
                <w:color w:val="000000"/>
                <w:sz w:val="16"/>
                <w:szCs w:val="16"/>
              </w:rPr>
              <w:t>Yurtiçi</w:t>
            </w:r>
          </w:p>
        </w:tc>
        <w:tc>
          <w:tcPr>
            <w:tcW w:w="780" w:type="dxa"/>
            <w:tcBorders>
              <w:top w:val="nil"/>
              <w:left w:val="nil"/>
              <w:bottom w:val="nil"/>
              <w:right w:val="nil"/>
            </w:tcBorders>
            <w:shd w:val="clear" w:color="auto" w:fill="auto"/>
            <w:vAlign w:val="bottom"/>
          </w:tcPr>
          <w:p w14:paraId="222090AF" w14:textId="7786D1AF" w:rsidR="00895AC4" w:rsidRPr="00872D7E" w:rsidRDefault="00895AC4" w:rsidP="00895AC4">
            <w:pPr>
              <w:jc w:val="right"/>
              <w:rPr>
                <w:color w:val="000000"/>
                <w:sz w:val="16"/>
                <w:szCs w:val="16"/>
              </w:rPr>
            </w:pPr>
            <w:r w:rsidRPr="00872D7E">
              <w:rPr>
                <w:sz w:val="16"/>
                <w:szCs w:val="16"/>
              </w:rPr>
              <w:t>9.383</w:t>
            </w:r>
          </w:p>
        </w:tc>
        <w:tc>
          <w:tcPr>
            <w:tcW w:w="544" w:type="dxa"/>
            <w:tcBorders>
              <w:top w:val="nil"/>
              <w:left w:val="nil"/>
              <w:bottom w:val="nil"/>
              <w:right w:val="nil"/>
            </w:tcBorders>
            <w:shd w:val="clear" w:color="auto" w:fill="auto"/>
            <w:vAlign w:val="bottom"/>
          </w:tcPr>
          <w:p w14:paraId="565B3D6C" w14:textId="0A272954" w:rsidR="00895AC4" w:rsidRPr="00872D7E" w:rsidRDefault="00895AC4" w:rsidP="00895AC4">
            <w:pPr>
              <w:jc w:val="right"/>
              <w:rPr>
                <w:color w:val="000000"/>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05504CC0" w14:textId="1B692DA5" w:rsidR="00895AC4" w:rsidRPr="00872D7E" w:rsidRDefault="00895AC4" w:rsidP="00895AC4">
            <w:pPr>
              <w:jc w:val="right"/>
              <w:rPr>
                <w:color w:val="000000"/>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749D2688" w14:textId="2D08DA46"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4BDC25DE" w14:textId="47AA8645"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57A5963B" w14:textId="73EDF2E9" w:rsidR="00895AC4" w:rsidRPr="00872D7E" w:rsidRDefault="00895AC4" w:rsidP="00895AC4">
            <w:pPr>
              <w:jc w:val="right"/>
              <w:rPr>
                <w:color w:val="000000"/>
                <w:sz w:val="16"/>
                <w:szCs w:val="16"/>
              </w:rPr>
            </w:pPr>
            <w:r w:rsidRPr="00872D7E">
              <w:rPr>
                <w:sz w:val="16"/>
                <w:szCs w:val="16"/>
              </w:rPr>
              <w:t>552.875</w:t>
            </w:r>
          </w:p>
        </w:tc>
        <w:tc>
          <w:tcPr>
            <w:tcW w:w="908" w:type="dxa"/>
            <w:tcBorders>
              <w:top w:val="nil"/>
              <w:left w:val="nil"/>
              <w:bottom w:val="nil"/>
              <w:right w:val="nil"/>
            </w:tcBorders>
            <w:shd w:val="clear" w:color="auto" w:fill="auto"/>
            <w:vAlign w:val="bottom"/>
          </w:tcPr>
          <w:p w14:paraId="06813472" w14:textId="0A8CB96D"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25C5B92E" w14:textId="53B249E9"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2D5DE34B" w14:textId="79CA5C23"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05E575F6" w14:textId="633DAB84" w:rsidR="00895AC4" w:rsidRPr="00872D7E" w:rsidRDefault="00895AC4" w:rsidP="00895AC4">
            <w:pPr>
              <w:jc w:val="right"/>
              <w:rPr>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4EEB1D4E" w14:textId="4FE9CA15"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185E9C26" w14:textId="56FA6D61"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08A786F8" w14:textId="604315B3"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64E9D48C" w14:textId="08A470B6"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008C329F" w14:textId="2784B330" w:rsidR="00895AC4" w:rsidRPr="00872D7E" w:rsidRDefault="00895AC4" w:rsidP="00895AC4">
            <w:pPr>
              <w:jc w:val="right"/>
              <w:rPr>
                <w:color w:val="000000"/>
                <w:sz w:val="16"/>
                <w:szCs w:val="16"/>
              </w:rPr>
            </w:pPr>
            <w:r w:rsidRPr="00872D7E">
              <w:rPr>
                <w:sz w:val="16"/>
                <w:szCs w:val="16"/>
              </w:rPr>
              <w:t>87.593</w:t>
            </w:r>
          </w:p>
        </w:tc>
        <w:tc>
          <w:tcPr>
            <w:tcW w:w="660" w:type="dxa"/>
            <w:tcBorders>
              <w:top w:val="nil"/>
              <w:left w:val="nil"/>
              <w:bottom w:val="nil"/>
              <w:right w:val="nil"/>
            </w:tcBorders>
            <w:vAlign w:val="bottom"/>
          </w:tcPr>
          <w:p w14:paraId="41310834" w14:textId="28DAED57"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7D6B19B7" w14:textId="71CFDF38"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7B26CD10" w14:textId="4EB36586" w:rsidR="00895AC4" w:rsidRPr="00872D7E" w:rsidRDefault="00895AC4" w:rsidP="00895AC4">
            <w:pPr>
              <w:jc w:val="right"/>
              <w:rPr>
                <w:color w:val="000000"/>
                <w:sz w:val="16"/>
                <w:szCs w:val="16"/>
              </w:rPr>
            </w:pPr>
            <w:r w:rsidRPr="00872D7E">
              <w:rPr>
                <w:sz w:val="16"/>
                <w:szCs w:val="16"/>
              </w:rPr>
              <w:t>649.851</w:t>
            </w:r>
          </w:p>
        </w:tc>
      </w:tr>
      <w:tr w:rsidR="00895AC4" w:rsidRPr="00872D7E" w14:paraId="1668FC08" w14:textId="1A95E0E4" w:rsidTr="00895AC4">
        <w:trPr>
          <w:trHeight w:val="206"/>
        </w:trPr>
        <w:tc>
          <w:tcPr>
            <w:tcW w:w="2337" w:type="dxa"/>
            <w:tcBorders>
              <w:top w:val="nil"/>
              <w:left w:val="nil"/>
              <w:bottom w:val="nil"/>
              <w:right w:val="nil"/>
            </w:tcBorders>
            <w:shd w:val="clear" w:color="auto" w:fill="auto"/>
            <w:vAlign w:val="bottom"/>
            <w:hideMark/>
          </w:tcPr>
          <w:p w14:paraId="7F8C7F7F" w14:textId="77777777" w:rsidR="00895AC4" w:rsidRPr="00872D7E" w:rsidRDefault="00895AC4" w:rsidP="00895AC4">
            <w:pPr>
              <w:ind w:firstLineChars="30" w:firstLine="48"/>
              <w:rPr>
                <w:color w:val="000000"/>
                <w:sz w:val="16"/>
                <w:szCs w:val="16"/>
              </w:rPr>
            </w:pPr>
            <w:r w:rsidRPr="00872D7E">
              <w:rPr>
                <w:color w:val="000000"/>
                <w:sz w:val="16"/>
                <w:szCs w:val="16"/>
              </w:rPr>
              <w:t>Avrupa birliği ülkeleri</w:t>
            </w:r>
          </w:p>
        </w:tc>
        <w:tc>
          <w:tcPr>
            <w:tcW w:w="780" w:type="dxa"/>
            <w:tcBorders>
              <w:top w:val="nil"/>
              <w:left w:val="nil"/>
              <w:bottom w:val="nil"/>
              <w:right w:val="nil"/>
            </w:tcBorders>
            <w:shd w:val="clear" w:color="auto" w:fill="auto"/>
            <w:vAlign w:val="bottom"/>
          </w:tcPr>
          <w:p w14:paraId="4C0416A9" w14:textId="534A9B06"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53E61E0C" w14:textId="702A0ABF" w:rsidR="00895AC4" w:rsidRPr="00872D7E" w:rsidRDefault="00895AC4" w:rsidP="00895AC4">
            <w:pPr>
              <w:jc w:val="right"/>
              <w:rPr>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3E1B853B" w14:textId="17EB2BDD" w:rsidR="00895AC4" w:rsidRPr="00872D7E" w:rsidRDefault="00895AC4" w:rsidP="00895AC4">
            <w:pPr>
              <w:jc w:val="right"/>
              <w:rPr>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40D2FE3A" w14:textId="33FE751C" w:rsidR="00895AC4" w:rsidRPr="00872D7E" w:rsidRDefault="00895AC4" w:rsidP="00895AC4">
            <w:pPr>
              <w:jc w:val="right"/>
              <w:rPr>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796FD015" w14:textId="43DF7303"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518EADBD" w14:textId="6E4C0AA3"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69AC0C17" w14:textId="7640F32B"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0858C5CB" w14:textId="34BD9E73"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50A8C4C0" w14:textId="697475EB"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7590E8F1" w14:textId="33DCB7E6" w:rsidR="00895AC4" w:rsidRPr="00872D7E" w:rsidRDefault="00895AC4" w:rsidP="00895AC4">
            <w:pPr>
              <w:jc w:val="right"/>
              <w:rPr>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534554AB" w14:textId="3587D23D"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0C77DA7A" w14:textId="36994647"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5702AC05" w14:textId="3129DCA6"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09914853" w14:textId="2E029164"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22BB07CE" w14:textId="33906EF0"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5AB2C743" w14:textId="46FCBD36"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27508C04" w14:textId="68F39A28"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02E14AE5" w14:textId="646DCCB1" w:rsidR="00895AC4" w:rsidRPr="00872D7E" w:rsidRDefault="00895AC4" w:rsidP="00895AC4">
            <w:pPr>
              <w:jc w:val="right"/>
              <w:rPr>
                <w:color w:val="000000"/>
                <w:sz w:val="16"/>
                <w:szCs w:val="16"/>
              </w:rPr>
            </w:pPr>
            <w:r w:rsidRPr="00872D7E">
              <w:rPr>
                <w:sz w:val="16"/>
                <w:szCs w:val="16"/>
              </w:rPr>
              <w:t>-</w:t>
            </w:r>
          </w:p>
        </w:tc>
      </w:tr>
      <w:tr w:rsidR="00895AC4" w:rsidRPr="00872D7E" w14:paraId="0DBC9AB0" w14:textId="1802F249" w:rsidTr="00895AC4">
        <w:trPr>
          <w:trHeight w:val="206"/>
        </w:trPr>
        <w:tc>
          <w:tcPr>
            <w:tcW w:w="2337" w:type="dxa"/>
            <w:tcBorders>
              <w:top w:val="nil"/>
              <w:left w:val="nil"/>
              <w:bottom w:val="nil"/>
              <w:right w:val="nil"/>
            </w:tcBorders>
            <w:shd w:val="clear" w:color="auto" w:fill="auto"/>
            <w:vAlign w:val="bottom"/>
            <w:hideMark/>
          </w:tcPr>
          <w:p w14:paraId="54998869" w14:textId="77777777" w:rsidR="00895AC4" w:rsidRPr="00872D7E" w:rsidRDefault="00895AC4" w:rsidP="00895AC4">
            <w:pPr>
              <w:ind w:firstLineChars="30" w:firstLine="48"/>
              <w:rPr>
                <w:color w:val="000000"/>
                <w:sz w:val="16"/>
                <w:szCs w:val="16"/>
              </w:rPr>
            </w:pPr>
            <w:r w:rsidRPr="00872D7E">
              <w:rPr>
                <w:color w:val="000000"/>
                <w:sz w:val="16"/>
                <w:szCs w:val="16"/>
              </w:rPr>
              <w:t xml:space="preserve">OECD ülkeleri </w:t>
            </w:r>
            <w:r w:rsidRPr="00872D7E">
              <w:rPr>
                <w:color w:val="000000"/>
                <w:sz w:val="16"/>
                <w:szCs w:val="16"/>
                <w:vertAlign w:val="superscript"/>
              </w:rPr>
              <w:t>(**)</w:t>
            </w:r>
          </w:p>
        </w:tc>
        <w:tc>
          <w:tcPr>
            <w:tcW w:w="780" w:type="dxa"/>
            <w:tcBorders>
              <w:top w:val="nil"/>
              <w:left w:val="nil"/>
              <w:bottom w:val="nil"/>
              <w:right w:val="nil"/>
            </w:tcBorders>
            <w:shd w:val="clear" w:color="auto" w:fill="auto"/>
            <w:vAlign w:val="bottom"/>
          </w:tcPr>
          <w:p w14:paraId="21130541" w14:textId="63528C2C"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71BD51AC" w14:textId="70D86712" w:rsidR="00895AC4" w:rsidRPr="00872D7E" w:rsidRDefault="00895AC4" w:rsidP="00895AC4">
            <w:pPr>
              <w:jc w:val="right"/>
              <w:rPr>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06F32322" w14:textId="38F71DBE" w:rsidR="00895AC4" w:rsidRPr="00872D7E" w:rsidRDefault="00895AC4" w:rsidP="00895AC4">
            <w:pPr>
              <w:jc w:val="right"/>
              <w:rPr>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38977557" w14:textId="7B3CD3C4" w:rsidR="00895AC4" w:rsidRPr="00872D7E" w:rsidRDefault="00895AC4" w:rsidP="00895AC4">
            <w:pPr>
              <w:jc w:val="right"/>
              <w:rPr>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257D67F8" w14:textId="67950CEC"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570A5502" w14:textId="5C1DAA5A"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426C053E" w14:textId="791D18C2"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4511FB5B" w14:textId="6C4BB10D"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5DE4B81C" w14:textId="2ED43330" w:rsidR="00895AC4" w:rsidRPr="00872D7E" w:rsidRDefault="00895AC4" w:rsidP="00895AC4">
            <w:pPr>
              <w:jc w:val="right"/>
              <w:rPr>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2A77F326" w14:textId="1DBC8ED5" w:rsidR="00895AC4" w:rsidRPr="00872D7E" w:rsidRDefault="00895AC4" w:rsidP="00895AC4">
            <w:pPr>
              <w:jc w:val="right"/>
              <w:rPr>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56B7BEA3" w14:textId="65C04569" w:rsidR="00895AC4" w:rsidRPr="00872D7E" w:rsidRDefault="00895AC4" w:rsidP="00895AC4">
            <w:pPr>
              <w:jc w:val="right"/>
              <w:rPr>
                <w:sz w:val="16"/>
                <w:szCs w:val="16"/>
              </w:rPr>
            </w:pPr>
            <w:r w:rsidRPr="00872D7E">
              <w:rPr>
                <w:sz w:val="16"/>
                <w:szCs w:val="16"/>
              </w:rPr>
              <w:t>-</w:t>
            </w:r>
          </w:p>
        </w:tc>
        <w:tc>
          <w:tcPr>
            <w:tcW w:w="647" w:type="dxa"/>
            <w:tcBorders>
              <w:top w:val="nil"/>
              <w:left w:val="nil"/>
              <w:bottom w:val="nil"/>
              <w:right w:val="nil"/>
            </w:tcBorders>
            <w:vAlign w:val="bottom"/>
          </w:tcPr>
          <w:p w14:paraId="7B19A403" w14:textId="1C33CAA7" w:rsidR="00895AC4" w:rsidRPr="00872D7E" w:rsidRDefault="00895AC4" w:rsidP="00895AC4">
            <w:pPr>
              <w:jc w:val="right"/>
              <w:rPr>
                <w:sz w:val="16"/>
                <w:szCs w:val="16"/>
              </w:rPr>
            </w:pPr>
            <w:r w:rsidRPr="00872D7E">
              <w:rPr>
                <w:sz w:val="16"/>
                <w:szCs w:val="16"/>
              </w:rPr>
              <w:t>-</w:t>
            </w:r>
          </w:p>
        </w:tc>
        <w:tc>
          <w:tcPr>
            <w:tcW w:w="647" w:type="dxa"/>
            <w:tcBorders>
              <w:top w:val="nil"/>
              <w:left w:val="nil"/>
              <w:bottom w:val="nil"/>
              <w:right w:val="nil"/>
            </w:tcBorders>
            <w:vAlign w:val="bottom"/>
          </w:tcPr>
          <w:p w14:paraId="1362CE60" w14:textId="09F225AA" w:rsidR="00895AC4" w:rsidRPr="00872D7E" w:rsidRDefault="00895AC4" w:rsidP="00895AC4">
            <w:pPr>
              <w:jc w:val="right"/>
              <w:rPr>
                <w:sz w:val="16"/>
                <w:szCs w:val="16"/>
              </w:rPr>
            </w:pPr>
            <w:r w:rsidRPr="00872D7E">
              <w:rPr>
                <w:sz w:val="16"/>
                <w:szCs w:val="16"/>
              </w:rPr>
              <w:t>-</w:t>
            </w:r>
          </w:p>
        </w:tc>
        <w:tc>
          <w:tcPr>
            <w:tcW w:w="647" w:type="dxa"/>
            <w:tcBorders>
              <w:top w:val="nil"/>
              <w:left w:val="nil"/>
              <w:bottom w:val="nil"/>
              <w:right w:val="nil"/>
            </w:tcBorders>
            <w:vAlign w:val="bottom"/>
          </w:tcPr>
          <w:p w14:paraId="2E7B1117" w14:textId="299B98B1" w:rsidR="00895AC4" w:rsidRPr="00872D7E" w:rsidRDefault="00895AC4" w:rsidP="00895AC4">
            <w:pPr>
              <w:jc w:val="right"/>
              <w:rPr>
                <w:sz w:val="16"/>
                <w:szCs w:val="16"/>
              </w:rPr>
            </w:pPr>
            <w:r w:rsidRPr="00872D7E">
              <w:rPr>
                <w:sz w:val="16"/>
                <w:szCs w:val="16"/>
              </w:rPr>
              <w:t>-</w:t>
            </w:r>
          </w:p>
        </w:tc>
        <w:tc>
          <w:tcPr>
            <w:tcW w:w="650" w:type="dxa"/>
            <w:tcBorders>
              <w:top w:val="nil"/>
              <w:left w:val="nil"/>
              <w:bottom w:val="nil"/>
              <w:right w:val="nil"/>
            </w:tcBorders>
            <w:vAlign w:val="bottom"/>
          </w:tcPr>
          <w:p w14:paraId="086C1052" w14:textId="513D7F0A" w:rsidR="00895AC4" w:rsidRPr="00872D7E" w:rsidRDefault="00895AC4" w:rsidP="00895AC4">
            <w:pPr>
              <w:jc w:val="right"/>
              <w:rPr>
                <w:sz w:val="16"/>
                <w:szCs w:val="16"/>
              </w:rPr>
            </w:pPr>
            <w:r w:rsidRPr="00872D7E">
              <w:rPr>
                <w:sz w:val="16"/>
                <w:szCs w:val="16"/>
              </w:rPr>
              <w:t>-</w:t>
            </w:r>
          </w:p>
        </w:tc>
        <w:tc>
          <w:tcPr>
            <w:tcW w:w="660" w:type="dxa"/>
            <w:tcBorders>
              <w:top w:val="nil"/>
              <w:left w:val="nil"/>
              <w:bottom w:val="nil"/>
              <w:right w:val="nil"/>
            </w:tcBorders>
            <w:vAlign w:val="bottom"/>
          </w:tcPr>
          <w:p w14:paraId="06577470" w14:textId="3F3F7A13" w:rsidR="00895AC4" w:rsidRPr="00872D7E" w:rsidRDefault="00895AC4" w:rsidP="00895AC4">
            <w:pPr>
              <w:jc w:val="right"/>
              <w:rPr>
                <w:sz w:val="16"/>
                <w:szCs w:val="16"/>
              </w:rPr>
            </w:pPr>
            <w:r w:rsidRPr="00872D7E">
              <w:rPr>
                <w:sz w:val="16"/>
                <w:szCs w:val="16"/>
              </w:rPr>
              <w:t>-</w:t>
            </w:r>
          </w:p>
        </w:tc>
        <w:tc>
          <w:tcPr>
            <w:tcW w:w="674" w:type="dxa"/>
            <w:tcBorders>
              <w:top w:val="nil"/>
              <w:left w:val="nil"/>
              <w:bottom w:val="nil"/>
              <w:right w:val="nil"/>
            </w:tcBorders>
            <w:vAlign w:val="bottom"/>
          </w:tcPr>
          <w:p w14:paraId="369B6DF2" w14:textId="013B03C5" w:rsidR="00895AC4" w:rsidRPr="00872D7E" w:rsidRDefault="00895AC4" w:rsidP="00895AC4">
            <w:pPr>
              <w:jc w:val="right"/>
              <w:rPr>
                <w:sz w:val="16"/>
                <w:szCs w:val="16"/>
              </w:rPr>
            </w:pPr>
            <w:r w:rsidRPr="00872D7E">
              <w:rPr>
                <w:sz w:val="16"/>
                <w:szCs w:val="16"/>
              </w:rPr>
              <w:t>-</w:t>
            </w:r>
          </w:p>
        </w:tc>
        <w:tc>
          <w:tcPr>
            <w:tcW w:w="860" w:type="dxa"/>
            <w:tcBorders>
              <w:top w:val="nil"/>
              <w:left w:val="nil"/>
              <w:bottom w:val="nil"/>
              <w:right w:val="nil"/>
            </w:tcBorders>
            <w:vAlign w:val="bottom"/>
          </w:tcPr>
          <w:p w14:paraId="44158BC0" w14:textId="500C6060" w:rsidR="00895AC4" w:rsidRPr="00872D7E" w:rsidRDefault="00895AC4" w:rsidP="00895AC4">
            <w:pPr>
              <w:jc w:val="right"/>
              <w:rPr>
                <w:sz w:val="16"/>
                <w:szCs w:val="16"/>
              </w:rPr>
            </w:pPr>
            <w:r w:rsidRPr="00872D7E">
              <w:rPr>
                <w:sz w:val="16"/>
                <w:szCs w:val="16"/>
              </w:rPr>
              <w:t>-</w:t>
            </w:r>
          </w:p>
        </w:tc>
      </w:tr>
      <w:tr w:rsidR="00895AC4" w:rsidRPr="00872D7E" w14:paraId="22BF9563" w14:textId="099F1C32" w:rsidTr="00895AC4">
        <w:trPr>
          <w:trHeight w:val="206"/>
        </w:trPr>
        <w:tc>
          <w:tcPr>
            <w:tcW w:w="2337" w:type="dxa"/>
            <w:tcBorders>
              <w:top w:val="nil"/>
              <w:left w:val="nil"/>
              <w:bottom w:val="nil"/>
              <w:right w:val="nil"/>
            </w:tcBorders>
            <w:shd w:val="clear" w:color="auto" w:fill="auto"/>
            <w:vAlign w:val="bottom"/>
            <w:hideMark/>
          </w:tcPr>
          <w:p w14:paraId="17870AE3" w14:textId="77777777" w:rsidR="00895AC4" w:rsidRPr="00872D7E" w:rsidRDefault="00895AC4" w:rsidP="00895AC4">
            <w:pPr>
              <w:ind w:firstLineChars="30" w:firstLine="48"/>
              <w:rPr>
                <w:color w:val="000000"/>
                <w:sz w:val="16"/>
                <w:szCs w:val="16"/>
              </w:rPr>
            </w:pPr>
            <w:r w:rsidRPr="00872D7E">
              <w:rPr>
                <w:color w:val="000000"/>
                <w:sz w:val="16"/>
                <w:szCs w:val="16"/>
              </w:rPr>
              <w:t>Kıyı bankacılığı bölgeleri</w:t>
            </w:r>
          </w:p>
        </w:tc>
        <w:tc>
          <w:tcPr>
            <w:tcW w:w="780" w:type="dxa"/>
            <w:tcBorders>
              <w:top w:val="nil"/>
              <w:left w:val="nil"/>
              <w:bottom w:val="nil"/>
              <w:right w:val="nil"/>
            </w:tcBorders>
            <w:shd w:val="clear" w:color="auto" w:fill="auto"/>
            <w:vAlign w:val="bottom"/>
          </w:tcPr>
          <w:p w14:paraId="32B9673E" w14:textId="05DA2B7B" w:rsidR="00895AC4" w:rsidRPr="00872D7E" w:rsidRDefault="00895AC4" w:rsidP="00895AC4">
            <w:pPr>
              <w:jc w:val="right"/>
              <w:rPr>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0DBA7D45" w14:textId="1DC2BC24" w:rsidR="00895AC4" w:rsidRPr="00872D7E" w:rsidRDefault="00895AC4" w:rsidP="00895AC4">
            <w:pPr>
              <w:jc w:val="right"/>
              <w:rPr>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466483B0" w14:textId="52B87C3B" w:rsidR="00895AC4" w:rsidRPr="00872D7E" w:rsidRDefault="00895AC4" w:rsidP="00895AC4">
            <w:pPr>
              <w:jc w:val="right"/>
              <w:rPr>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191CE14D" w14:textId="0A82C465" w:rsidR="00895AC4" w:rsidRPr="00872D7E" w:rsidRDefault="00895AC4" w:rsidP="00895AC4">
            <w:pPr>
              <w:jc w:val="right"/>
              <w:rPr>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03FC076A" w14:textId="55B50BD1"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76B52913" w14:textId="1D932273"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1EF5A741" w14:textId="309D613B"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511E2B13" w14:textId="20A7EAE7"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0D67562A" w14:textId="64EB6AEB"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50615010" w14:textId="3671B2C1" w:rsidR="00895AC4" w:rsidRPr="00872D7E" w:rsidRDefault="00895AC4" w:rsidP="00895AC4">
            <w:pPr>
              <w:jc w:val="right"/>
              <w:rPr>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4049689A" w14:textId="42E379D8"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5E45A55F" w14:textId="2BC6243E"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5948E30D" w14:textId="6B693104"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60B53007" w14:textId="3D8A6622"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0007DCDC" w14:textId="017CED9D"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6A1DD858" w14:textId="30B4498C"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38B13D35" w14:textId="0F764B77"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38095CAB" w14:textId="4839DDC6" w:rsidR="00895AC4" w:rsidRPr="00872D7E" w:rsidRDefault="00895AC4" w:rsidP="00895AC4">
            <w:pPr>
              <w:jc w:val="right"/>
              <w:rPr>
                <w:color w:val="000000"/>
                <w:sz w:val="16"/>
                <w:szCs w:val="16"/>
              </w:rPr>
            </w:pPr>
            <w:r w:rsidRPr="00872D7E">
              <w:rPr>
                <w:sz w:val="16"/>
                <w:szCs w:val="16"/>
              </w:rPr>
              <w:t>-</w:t>
            </w:r>
          </w:p>
        </w:tc>
      </w:tr>
      <w:tr w:rsidR="00895AC4" w:rsidRPr="00872D7E" w14:paraId="1A4EFF30" w14:textId="5A34CFEE" w:rsidTr="00895AC4">
        <w:trPr>
          <w:trHeight w:val="206"/>
        </w:trPr>
        <w:tc>
          <w:tcPr>
            <w:tcW w:w="2337" w:type="dxa"/>
            <w:tcBorders>
              <w:top w:val="nil"/>
              <w:left w:val="nil"/>
              <w:bottom w:val="nil"/>
              <w:right w:val="nil"/>
            </w:tcBorders>
            <w:shd w:val="clear" w:color="auto" w:fill="auto"/>
            <w:vAlign w:val="bottom"/>
            <w:hideMark/>
          </w:tcPr>
          <w:p w14:paraId="2AD2ACEA" w14:textId="77777777" w:rsidR="00895AC4" w:rsidRPr="00872D7E" w:rsidRDefault="00895AC4" w:rsidP="00895AC4">
            <w:pPr>
              <w:ind w:firstLineChars="30" w:firstLine="48"/>
              <w:rPr>
                <w:color w:val="000000"/>
                <w:sz w:val="16"/>
                <w:szCs w:val="16"/>
              </w:rPr>
            </w:pPr>
            <w:r w:rsidRPr="00872D7E">
              <w:rPr>
                <w:color w:val="000000"/>
                <w:sz w:val="16"/>
                <w:szCs w:val="16"/>
              </w:rPr>
              <w:t>ABD, Kanada</w:t>
            </w:r>
          </w:p>
        </w:tc>
        <w:tc>
          <w:tcPr>
            <w:tcW w:w="780" w:type="dxa"/>
            <w:tcBorders>
              <w:top w:val="nil"/>
              <w:left w:val="nil"/>
              <w:bottom w:val="nil"/>
              <w:right w:val="nil"/>
            </w:tcBorders>
            <w:shd w:val="clear" w:color="auto" w:fill="auto"/>
            <w:vAlign w:val="bottom"/>
          </w:tcPr>
          <w:p w14:paraId="6F405E74" w14:textId="6EFDC656" w:rsidR="00895AC4" w:rsidRPr="00872D7E" w:rsidRDefault="00895AC4" w:rsidP="00895AC4">
            <w:pPr>
              <w:jc w:val="right"/>
              <w:rPr>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137472FE" w14:textId="18AECBD4" w:rsidR="00895AC4" w:rsidRPr="00872D7E" w:rsidRDefault="00895AC4" w:rsidP="00895AC4">
            <w:pPr>
              <w:jc w:val="right"/>
              <w:rPr>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756C2EA5" w14:textId="04CE3DCA" w:rsidR="00895AC4" w:rsidRPr="00872D7E" w:rsidRDefault="00895AC4" w:rsidP="00895AC4">
            <w:pPr>
              <w:jc w:val="right"/>
              <w:rPr>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52466EDF" w14:textId="77252394" w:rsidR="00895AC4" w:rsidRPr="00872D7E" w:rsidRDefault="00895AC4" w:rsidP="00895AC4">
            <w:pPr>
              <w:jc w:val="right"/>
              <w:rPr>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73182F75" w14:textId="66D2E39E"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01E1A287" w14:textId="4373122B"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4824D4CF" w14:textId="308CD96F"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4804D2C8" w14:textId="267E3AB0"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7C171B5E" w14:textId="539E30BA" w:rsidR="00895AC4" w:rsidRPr="00872D7E" w:rsidRDefault="00895AC4" w:rsidP="00895AC4">
            <w:pPr>
              <w:jc w:val="right"/>
              <w:rPr>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1D81E7C0" w14:textId="76C031A6" w:rsidR="00895AC4" w:rsidRPr="00872D7E" w:rsidRDefault="00895AC4" w:rsidP="00895AC4">
            <w:pPr>
              <w:jc w:val="right"/>
              <w:rPr>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1BA47B4E" w14:textId="463DA497" w:rsidR="00895AC4" w:rsidRPr="00872D7E" w:rsidRDefault="00895AC4" w:rsidP="00895AC4">
            <w:pPr>
              <w:jc w:val="right"/>
              <w:rPr>
                <w:sz w:val="16"/>
                <w:szCs w:val="16"/>
              </w:rPr>
            </w:pPr>
            <w:r w:rsidRPr="00872D7E">
              <w:rPr>
                <w:sz w:val="16"/>
                <w:szCs w:val="16"/>
              </w:rPr>
              <w:t>-</w:t>
            </w:r>
          </w:p>
        </w:tc>
        <w:tc>
          <w:tcPr>
            <w:tcW w:w="647" w:type="dxa"/>
            <w:tcBorders>
              <w:top w:val="nil"/>
              <w:left w:val="nil"/>
              <w:bottom w:val="nil"/>
              <w:right w:val="nil"/>
            </w:tcBorders>
            <w:vAlign w:val="bottom"/>
          </w:tcPr>
          <w:p w14:paraId="0749D01E" w14:textId="45E0154A" w:rsidR="00895AC4" w:rsidRPr="00872D7E" w:rsidRDefault="00895AC4" w:rsidP="00895AC4">
            <w:pPr>
              <w:jc w:val="right"/>
              <w:rPr>
                <w:sz w:val="16"/>
                <w:szCs w:val="16"/>
              </w:rPr>
            </w:pPr>
            <w:r w:rsidRPr="00872D7E">
              <w:rPr>
                <w:sz w:val="16"/>
                <w:szCs w:val="16"/>
              </w:rPr>
              <w:t>-</w:t>
            </w:r>
          </w:p>
        </w:tc>
        <w:tc>
          <w:tcPr>
            <w:tcW w:w="647" w:type="dxa"/>
            <w:tcBorders>
              <w:top w:val="nil"/>
              <w:left w:val="nil"/>
              <w:bottom w:val="nil"/>
              <w:right w:val="nil"/>
            </w:tcBorders>
            <w:vAlign w:val="bottom"/>
          </w:tcPr>
          <w:p w14:paraId="6A8466FF" w14:textId="409D88F5" w:rsidR="00895AC4" w:rsidRPr="00872D7E" w:rsidRDefault="00895AC4" w:rsidP="00895AC4">
            <w:pPr>
              <w:jc w:val="right"/>
              <w:rPr>
                <w:sz w:val="16"/>
                <w:szCs w:val="16"/>
              </w:rPr>
            </w:pPr>
            <w:r w:rsidRPr="00872D7E">
              <w:rPr>
                <w:sz w:val="16"/>
                <w:szCs w:val="16"/>
              </w:rPr>
              <w:t>-</w:t>
            </w:r>
          </w:p>
        </w:tc>
        <w:tc>
          <w:tcPr>
            <w:tcW w:w="647" w:type="dxa"/>
            <w:tcBorders>
              <w:top w:val="nil"/>
              <w:left w:val="nil"/>
              <w:bottom w:val="nil"/>
              <w:right w:val="nil"/>
            </w:tcBorders>
            <w:vAlign w:val="bottom"/>
          </w:tcPr>
          <w:p w14:paraId="06FB05DB" w14:textId="769BE702" w:rsidR="00895AC4" w:rsidRPr="00872D7E" w:rsidRDefault="00895AC4" w:rsidP="00895AC4">
            <w:pPr>
              <w:jc w:val="right"/>
              <w:rPr>
                <w:sz w:val="16"/>
                <w:szCs w:val="16"/>
              </w:rPr>
            </w:pPr>
            <w:r w:rsidRPr="00872D7E">
              <w:rPr>
                <w:sz w:val="16"/>
                <w:szCs w:val="16"/>
              </w:rPr>
              <w:t>-</w:t>
            </w:r>
          </w:p>
        </w:tc>
        <w:tc>
          <w:tcPr>
            <w:tcW w:w="650" w:type="dxa"/>
            <w:tcBorders>
              <w:top w:val="nil"/>
              <w:left w:val="nil"/>
              <w:bottom w:val="nil"/>
              <w:right w:val="nil"/>
            </w:tcBorders>
            <w:vAlign w:val="bottom"/>
          </w:tcPr>
          <w:p w14:paraId="37964DC9" w14:textId="55FA26EB" w:rsidR="00895AC4" w:rsidRPr="00872D7E" w:rsidRDefault="00895AC4" w:rsidP="00895AC4">
            <w:pPr>
              <w:jc w:val="right"/>
              <w:rPr>
                <w:sz w:val="16"/>
                <w:szCs w:val="16"/>
              </w:rPr>
            </w:pPr>
            <w:r w:rsidRPr="00872D7E">
              <w:rPr>
                <w:sz w:val="16"/>
                <w:szCs w:val="16"/>
              </w:rPr>
              <w:t>-</w:t>
            </w:r>
          </w:p>
        </w:tc>
        <w:tc>
          <w:tcPr>
            <w:tcW w:w="660" w:type="dxa"/>
            <w:tcBorders>
              <w:top w:val="nil"/>
              <w:left w:val="nil"/>
              <w:bottom w:val="nil"/>
              <w:right w:val="nil"/>
            </w:tcBorders>
            <w:vAlign w:val="bottom"/>
          </w:tcPr>
          <w:p w14:paraId="573EC16F" w14:textId="78B3F47D" w:rsidR="00895AC4" w:rsidRPr="00872D7E" w:rsidRDefault="00895AC4" w:rsidP="00895AC4">
            <w:pPr>
              <w:jc w:val="right"/>
              <w:rPr>
                <w:sz w:val="16"/>
                <w:szCs w:val="16"/>
              </w:rPr>
            </w:pPr>
            <w:r w:rsidRPr="00872D7E">
              <w:rPr>
                <w:sz w:val="16"/>
                <w:szCs w:val="16"/>
              </w:rPr>
              <w:t>-</w:t>
            </w:r>
          </w:p>
        </w:tc>
        <w:tc>
          <w:tcPr>
            <w:tcW w:w="674" w:type="dxa"/>
            <w:tcBorders>
              <w:top w:val="nil"/>
              <w:left w:val="nil"/>
              <w:bottom w:val="nil"/>
              <w:right w:val="nil"/>
            </w:tcBorders>
            <w:vAlign w:val="bottom"/>
          </w:tcPr>
          <w:p w14:paraId="68EC2323" w14:textId="2AB74790" w:rsidR="00895AC4" w:rsidRPr="00872D7E" w:rsidRDefault="00895AC4" w:rsidP="00895AC4">
            <w:pPr>
              <w:jc w:val="right"/>
              <w:rPr>
                <w:sz w:val="16"/>
                <w:szCs w:val="16"/>
              </w:rPr>
            </w:pPr>
            <w:r w:rsidRPr="00872D7E">
              <w:rPr>
                <w:sz w:val="16"/>
                <w:szCs w:val="16"/>
              </w:rPr>
              <w:t>-</w:t>
            </w:r>
          </w:p>
        </w:tc>
        <w:tc>
          <w:tcPr>
            <w:tcW w:w="860" w:type="dxa"/>
            <w:tcBorders>
              <w:top w:val="nil"/>
              <w:left w:val="nil"/>
              <w:bottom w:val="nil"/>
              <w:right w:val="nil"/>
            </w:tcBorders>
            <w:vAlign w:val="bottom"/>
          </w:tcPr>
          <w:p w14:paraId="3719C610" w14:textId="5441255F" w:rsidR="00895AC4" w:rsidRPr="00872D7E" w:rsidRDefault="00895AC4" w:rsidP="00895AC4">
            <w:pPr>
              <w:jc w:val="right"/>
              <w:rPr>
                <w:sz w:val="16"/>
                <w:szCs w:val="16"/>
              </w:rPr>
            </w:pPr>
            <w:r w:rsidRPr="00872D7E">
              <w:rPr>
                <w:sz w:val="16"/>
                <w:szCs w:val="16"/>
              </w:rPr>
              <w:t>-</w:t>
            </w:r>
          </w:p>
        </w:tc>
      </w:tr>
      <w:tr w:rsidR="00895AC4" w:rsidRPr="00872D7E" w14:paraId="1FAE51E5" w14:textId="72D01D2A" w:rsidTr="00895AC4">
        <w:trPr>
          <w:trHeight w:val="206"/>
        </w:trPr>
        <w:tc>
          <w:tcPr>
            <w:tcW w:w="2337" w:type="dxa"/>
            <w:tcBorders>
              <w:top w:val="nil"/>
              <w:left w:val="nil"/>
              <w:bottom w:val="nil"/>
              <w:right w:val="nil"/>
            </w:tcBorders>
            <w:shd w:val="clear" w:color="auto" w:fill="auto"/>
            <w:vAlign w:val="bottom"/>
            <w:hideMark/>
          </w:tcPr>
          <w:p w14:paraId="63A095B3" w14:textId="77777777" w:rsidR="00895AC4" w:rsidRPr="00872D7E" w:rsidRDefault="00895AC4" w:rsidP="00895AC4">
            <w:pPr>
              <w:ind w:firstLineChars="30" w:firstLine="48"/>
              <w:rPr>
                <w:color w:val="000000"/>
                <w:sz w:val="16"/>
                <w:szCs w:val="16"/>
              </w:rPr>
            </w:pPr>
            <w:r w:rsidRPr="00872D7E">
              <w:rPr>
                <w:color w:val="000000"/>
                <w:sz w:val="16"/>
                <w:szCs w:val="16"/>
              </w:rPr>
              <w:t>Diğer ülkeler</w:t>
            </w:r>
          </w:p>
        </w:tc>
        <w:tc>
          <w:tcPr>
            <w:tcW w:w="780" w:type="dxa"/>
            <w:tcBorders>
              <w:top w:val="nil"/>
              <w:left w:val="nil"/>
              <w:bottom w:val="nil"/>
              <w:right w:val="nil"/>
            </w:tcBorders>
            <w:shd w:val="clear" w:color="auto" w:fill="auto"/>
            <w:vAlign w:val="bottom"/>
          </w:tcPr>
          <w:p w14:paraId="229BD5E3" w14:textId="624380FB" w:rsidR="00895AC4" w:rsidRPr="00872D7E" w:rsidRDefault="00895AC4" w:rsidP="00895AC4">
            <w:pPr>
              <w:jc w:val="right"/>
              <w:rPr>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4F69217B" w14:textId="52B8045C" w:rsidR="00895AC4" w:rsidRPr="00872D7E" w:rsidRDefault="00895AC4" w:rsidP="00895AC4">
            <w:pPr>
              <w:jc w:val="right"/>
              <w:rPr>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0F36587C" w14:textId="788C1BD4" w:rsidR="00895AC4" w:rsidRPr="00872D7E" w:rsidRDefault="00895AC4" w:rsidP="00895AC4">
            <w:pPr>
              <w:jc w:val="right"/>
              <w:rPr>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32ED36A2" w14:textId="32148F20" w:rsidR="00895AC4" w:rsidRPr="00872D7E" w:rsidRDefault="00895AC4" w:rsidP="00895AC4">
            <w:pPr>
              <w:jc w:val="right"/>
              <w:rPr>
                <w:color w:val="000000"/>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5155B76C" w14:textId="59C382E2" w:rsidR="00895AC4" w:rsidRPr="00872D7E" w:rsidRDefault="00895AC4" w:rsidP="00895AC4">
            <w:pPr>
              <w:jc w:val="right"/>
              <w:rPr>
                <w:color w:val="000000"/>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606A8A84" w14:textId="3C810426" w:rsidR="00895AC4" w:rsidRPr="00872D7E" w:rsidRDefault="00895AC4" w:rsidP="00895AC4">
            <w:pPr>
              <w:jc w:val="right"/>
              <w:rPr>
                <w:color w:val="000000"/>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7250D373" w14:textId="3C88FCCC" w:rsidR="00895AC4" w:rsidRPr="00872D7E" w:rsidRDefault="00895AC4" w:rsidP="00895AC4">
            <w:pPr>
              <w:jc w:val="right"/>
              <w:rPr>
                <w:color w:val="000000"/>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21CCD964" w14:textId="6E56F386" w:rsidR="00895AC4" w:rsidRPr="00872D7E" w:rsidRDefault="00895AC4" w:rsidP="00895AC4">
            <w:pPr>
              <w:jc w:val="right"/>
              <w:rPr>
                <w:color w:val="000000"/>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4ABC997C" w14:textId="18C95E95"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405900D0" w14:textId="003E3A32" w:rsidR="00895AC4" w:rsidRPr="00872D7E" w:rsidRDefault="00895AC4" w:rsidP="00895AC4">
            <w:pPr>
              <w:jc w:val="right"/>
              <w:rPr>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31811271" w14:textId="6E4B4F40"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63AFA10A" w14:textId="5A2C4834"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107B4FE3" w14:textId="6FDAE827"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46CC958B" w14:textId="3C090446"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6592C357" w14:textId="40F5BEAE"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297DABB9" w14:textId="2EA0FD77"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783518B6" w14:textId="7128996A"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34FBCDCB" w14:textId="3D9279E2" w:rsidR="00895AC4" w:rsidRPr="00872D7E" w:rsidRDefault="00895AC4" w:rsidP="00895AC4">
            <w:pPr>
              <w:jc w:val="right"/>
              <w:rPr>
                <w:color w:val="000000"/>
                <w:sz w:val="16"/>
                <w:szCs w:val="16"/>
              </w:rPr>
            </w:pPr>
            <w:r w:rsidRPr="00872D7E">
              <w:rPr>
                <w:sz w:val="16"/>
                <w:szCs w:val="16"/>
              </w:rPr>
              <w:t>-</w:t>
            </w:r>
          </w:p>
        </w:tc>
      </w:tr>
      <w:tr w:rsidR="00895AC4" w:rsidRPr="00872D7E" w14:paraId="4CB46DE2" w14:textId="3B12B033" w:rsidTr="00895AC4">
        <w:trPr>
          <w:trHeight w:val="206"/>
        </w:trPr>
        <w:tc>
          <w:tcPr>
            <w:tcW w:w="2337" w:type="dxa"/>
            <w:tcBorders>
              <w:top w:val="nil"/>
              <w:left w:val="nil"/>
              <w:bottom w:val="nil"/>
              <w:right w:val="nil"/>
            </w:tcBorders>
            <w:shd w:val="clear" w:color="auto" w:fill="auto"/>
            <w:vAlign w:val="bottom"/>
            <w:hideMark/>
          </w:tcPr>
          <w:p w14:paraId="7D888B24" w14:textId="77777777" w:rsidR="00895AC4" w:rsidRPr="00872D7E" w:rsidRDefault="00895AC4" w:rsidP="00895AC4">
            <w:pPr>
              <w:ind w:firstLineChars="30" w:firstLine="48"/>
              <w:rPr>
                <w:color w:val="000000"/>
                <w:sz w:val="16"/>
                <w:szCs w:val="16"/>
              </w:rPr>
            </w:pPr>
            <w:r w:rsidRPr="00872D7E">
              <w:rPr>
                <w:color w:val="000000"/>
                <w:sz w:val="16"/>
                <w:szCs w:val="16"/>
              </w:rPr>
              <w:t xml:space="preserve">İştirak, Bağlı Ortaklık ve </w:t>
            </w:r>
          </w:p>
          <w:p w14:paraId="7A4ED2D2" w14:textId="77777777" w:rsidR="00895AC4" w:rsidRPr="00872D7E" w:rsidRDefault="00895AC4" w:rsidP="00895AC4">
            <w:pPr>
              <w:ind w:firstLineChars="30" w:firstLine="48"/>
              <w:rPr>
                <w:color w:val="000000"/>
                <w:sz w:val="16"/>
                <w:szCs w:val="16"/>
              </w:rPr>
            </w:pPr>
            <w:r w:rsidRPr="00872D7E">
              <w:rPr>
                <w:color w:val="000000"/>
                <w:sz w:val="16"/>
                <w:szCs w:val="16"/>
              </w:rPr>
              <w:t>Birlikte Kontrol Edilen Ortaklıklar</w:t>
            </w:r>
          </w:p>
        </w:tc>
        <w:tc>
          <w:tcPr>
            <w:tcW w:w="780" w:type="dxa"/>
            <w:tcBorders>
              <w:top w:val="nil"/>
              <w:left w:val="nil"/>
              <w:bottom w:val="nil"/>
              <w:right w:val="nil"/>
            </w:tcBorders>
            <w:shd w:val="clear" w:color="auto" w:fill="auto"/>
            <w:vAlign w:val="bottom"/>
          </w:tcPr>
          <w:p w14:paraId="3CFAAE1D" w14:textId="375AAF0A"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77F650B2" w14:textId="2CF9E79A" w:rsidR="00895AC4" w:rsidRPr="00872D7E" w:rsidRDefault="00895AC4" w:rsidP="00895AC4">
            <w:pPr>
              <w:jc w:val="right"/>
              <w:rPr>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3F82A56A" w14:textId="0A36D80A" w:rsidR="00895AC4" w:rsidRPr="00872D7E" w:rsidRDefault="00895AC4" w:rsidP="00895AC4">
            <w:pPr>
              <w:jc w:val="right"/>
              <w:rPr>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1210AAF4" w14:textId="750AA9FB" w:rsidR="00895AC4" w:rsidRPr="00872D7E" w:rsidRDefault="00895AC4" w:rsidP="00895AC4">
            <w:pPr>
              <w:jc w:val="right"/>
              <w:rPr>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247B0525" w14:textId="352804C9" w:rsidR="00895AC4" w:rsidRPr="00872D7E" w:rsidRDefault="00895AC4" w:rsidP="00895AC4">
            <w:pPr>
              <w:jc w:val="right"/>
              <w:rPr>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1E812041" w14:textId="5B4C5D92" w:rsidR="00895AC4" w:rsidRPr="00872D7E" w:rsidRDefault="00895AC4" w:rsidP="00895AC4">
            <w:pPr>
              <w:jc w:val="right"/>
              <w:rPr>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5ABF1FD9" w14:textId="1BAE9FFB" w:rsidR="00895AC4" w:rsidRPr="00872D7E" w:rsidRDefault="00895AC4" w:rsidP="00895AC4">
            <w:pPr>
              <w:jc w:val="right"/>
              <w:rPr>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7135B78C" w14:textId="153C0FEA" w:rsidR="00895AC4" w:rsidRPr="00872D7E" w:rsidRDefault="00895AC4" w:rsidP="00895AC4">
            <w:pPr>
              <w:jc w:val="right"/>
              <w:rPr>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34CF6F65" w14:textId="3C3B5289" w:rsidR="00895AC4" w:rsidRPr="00872D7E" w:rsidRDefault="00895AC4" w:rsidP="00895AC4">
            <w:pPr>
              <w:jc w:val="right"/>
              <w:rPr>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14F14126" w14:textId="4ADA1308"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065CFEEA" w14:textId="2B18FBC4"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20503A7B" w14:textId="787F4A38"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55A56F27" w14:textId="464F3324" w:rsidR="00895AC4" w:rsidRPr="00872D7E" w:rsidRDefault="00895AC4" w:rsidP="00895AC4">
            <w:pPr>
              <w:jc w:val="right"/>
              <w:rPr>
                <w:color w:val="000000"/>
                <w:sz w:val="16"/>
                <w:szCs w:val="16"/>
              </w:rPr>
            </w:pPr>
            <w:r w:rsidRPr="00872D7E">
              <w:rPr>
                <w:sz w:val="16"/>
                <w:szCs w:val="16"/>
              </w:rPr>
              <w:t>-</w:t>
            </w:r>
          </w:p>
        </w:tc>
        <w:tc>
          <w:tcPr>
            <w:tcW w:w="647" w:type="dxa"/>
            <w:tcBorders>
              <w:top w:val="nil"/>
              <w:left w:val="nil"/>
              <w:bottom w:val="nil"/>
              <w:right w:val="nil"/>
            </w:tcBorders>
            <w:vAlign w:val="bottom"/>
          </w:tcPr>
          <w:p w14:paraId="4113F031" w14:textId="6769BC06" w:rsidR="00895AC4" w:rsidRPr="00872D7E" w:rsidRDefault="00895AC4" w:rsidP="00895AC4">
            <w:pPr>
              <w:jc w:val="right"/>
              <w:rPr>
                <w:color w:val="000000"/>
                <w:sz w:val="16"/>
                <w:szCs w:val="16"/>
              </w:rPr>
            </w:pPr>
            <w:r w:rsidRPr="00872D7E">
              <w:rPr>
                <w:sz w:val="16"/>
                <w:szCs w:val="16"/>
              </w:rPr>
              <w:t>-</w:t>
            </w:r>
          </w:p>
        </w:tc>
        <w:tc>
          <w:tcPr>
            <w:tcW w:w="650" w:type="dxa"/>
            <w:tcBorders>
              <w:top w:val="nil"/>
              <w:left w:val="nil"/>
              <w:bottom w:val="nil"/>
              <w:right w:val="nil"/>
            </w:tcBorders>
            <w:vAlign w:val="bottom"/>
          </w:tcPr>
          <w:p w14:paraId="634F6EBD" w14:textId="5E5F2B1D" w:rsidR="00895AC4" w:rsidRPr="00872D7E" w:rsidRDefault="00895AC4" w:rsidP="00895AC4">
            <w:pPr>
              <w:jc w:val="right"/>
              <w:rPr>
                <w:color w:val="000000"/>
                <w:sz w:val="16"/>
                <w:szCs w:val="16"/>
              </w:rPr>
            </w:pPr>
            <w:r w:rsidRPr="00872D7E">
              <w:rPr>
                <w:sz w:val="16"/>
                <w:szCs w:val="16"/>
              </w:rPr>
              <w:t>-</w:t>
            </w:r>
          </w:p>
        </w:tc>
        <w:tc>
          <w:tcPr>
            <w:tcW w:w="660" w:type="dxa"/>
            <w:tcBorders>
              <w:top w:val="nil"/>
              <w:left w:val="nil"/>
              <w:bottom w:val="nil"/>
              <w:right w:val="nil"/>
            </w:tcBorders>
            <w:vAlign w:val="bottom"/>
          </w:tcPr>
          <w:p w14:paraId="6D911327" w14:textId="0405D7D2" w:rsidR="00895AC4" w:rsidRPr="00872D7E" w:rsidRDefault="00895AC4" w:rsidP="00895AC4">
            <w:pPr>
              <w:jc w:val="right"/>
              <w:rPr>
                <w:color w:val="000000"/>
                <w:sz w:val="16"/>
                <w:szCs w:val="16"/>
              </w:rPr>
            </w:pPr>
            <w:r w:rsidRPr="00872D7E">
              <w:rPr>
                <w:sz w:val="16"/>
                <w:szCs w:val="16"/>
              </w:rPr>
              <w:t>-</w:t>
            </w:r>
          </w:p>
        </w:tc>
        <w:tc>
          <w:tcPr>
            <w:tcW w:w="674" w:type="dxa"/>
            <w:tcBorders>
              <w:top w:val="nil"/>
              <w:left w:val="nil"/>
              <w:bottom w:val="nil"/>
              <w:right w:val="nil"/>
            </w:tcBorders>
            <w:vAlign w:val="bottom"/>
          </w:tcPr>
          <w:p w14:paraId="6C224897" w14:textId="6F35566C" w:rsidR="00895AC4" w:rsidRPr="00872D7E" w:rsidRDefault="00895AC4" w:rsidP="00895AC4">
            <w:pPr>
              <w:jc w:val="right"/>
              <w:rPr>
                <w:color w:val="000000"/>
                <w:sz w:val="16"/>
                <w:szCs w:val="16"/>
              </w:rPr>
            </w:pPr>
            <w:r w:rsidRPr="00872D7E">
              <w:rPr>
                <w:sz w:val="16"/>
                <w:szCs w:val="16"/>
              </w:rPr>
              <w:t>-</w:t>
            </w:r>
          </w:p>
        </w:tc>
        <w:tc>
          <w:tcPr>
            <w:tcW w:w="860" w:type="dxa"/>
            <w:tcBorders>
              <w:top w:val="nil"/>
              <w:left w:val="nil"/>
              <w:bottom w:val="nil"/>
              <w:right w:val="nil"/>
            </w:tcBorders>
            <w:vAlign w:val="bottom"/>
          </w:tcPr>
          <w:p w14:paraId="56FE6AFE" w14:textId="6C4163D8" w:rsidR="00895AC4" w:rsidRPr="00872D7E" w:rsidRDefault="00895AC4" w:rsidP="00895AC4">
            <w:pPr>
              <w:jc w:val="right"/>
              <w:rPr>
                <w:color w:val="000000"/>
                <w:sz w:val="16"/>
                <w:szCs w:val="16"/>
              </w:rPr>
            </w:pPr>
            <w:r w:rsidRPr="00872D7E">
              <w:rPr>
                <w:sz w:val="16"/>
                <w:szCs w:val="16"/>
              </w:rPr>
              <w:t>-</w:t>
            </w:r>
          </w:p>
        </w:tc>
      </w:tr>
      <w:tr w:rsidR="00895AC4" w:rsidRPr="00872D7E" w14:paraId="7F5217E1" w14:textId="795B83A3" w:rsidTr="00895AC4">
        <w:trPr>
          <w:trHeight w:val="206"/>
        </w:trPr>
        <w:tc>
          <w:tcPr>
            <w:tcW w:w="2337" w:type="dxa"/>
            <w:tcBorders>
              <w:top w:val="nil"/>
              <w:left w:val="nil"/>
              <w:bottom w:val="nil"/>
              <w:right w:val="nil"/>
            </w:tcBorders>
            <w:shd w:val="clear" w:color="auto" w:fill="auto"/>
            <w:vAlign w:val="bottom"/>
            <w:hideMark/>
          </w:tcPr>
          <w:p w14:paraId="40E847E0" w14:textId="77777777" w:rsidR="00895AC4" w:rsidRPr="00872D7E" w:rsidRDefault="00895AC4" w:rsidP="00895AC4">
            <w:pPr>
              <w:ind w:firstLineChars="30" w:firstLine="48"/>
              <w:rPr>
                <w:sz w:val="16"/>
                <w:szCs w:val="16"/>
              </w:rPr>
            </w:pPr>
            <w:r w:rsidRPr="00872D7E">
              <w:rPr>
                <w:color w:val="000000"/>
                <w:sz w:val="16"/>
                <w:szCs w:val="16"/>
              </w:rPr>
              <w:t>Dağıtılmamış Varlıklar/</w:t>
            </w:r>
            <w:r w:rsidRPr="00872D7E">
              <w:rPr>
                <w:sz w:val="16"/>
                <w:szCs w:val="16"/>
              </w:rPr>
              <w:t xml:space="preserve"> </w:t>
            </w:r>
          </w:p>
          <w:p w14:paraId="2A1A2EDF" w14:textId="77777777" w:rsidR="00895AC4" w:rsidRPr="00872D7E" w:rsidRDefault="00895AC4" w:rsidP="00895AC4">
            <w:pPr>
              <w:ind w:firstLineChars="30" w:firstLine="48"/>
              <w:rPr>
                <w:color w:val="000000"/>
                <w:sz w:val="16"/>
                <w:szCs w:val="16"/>
              </w:rPr>
            </w:pPr>
            <w:proofErr w:type="gramStart"/>
            <w:r w:rsidRPr="00872D7E">
              <w:rPr>
                <w:color w:val="000000"/>
                <w:sz w:val="16"/>
                <w:szCs w:val="16"/>
              </w:rPr>
              <w:t>Yükümlülükler</w:t>
            </w:r>
            <w:r w:rsidRPr="00872D7E">
              <w:rPr>
                <w:color w:val="000000"/>
                <w:sz w:val="16"/>
                <w:szCs w:val="16"/>
                <w:vertAlign w:val="superscript"/>
              </w:rPr>
              <w:t>(</w:t>
            </w:r>
            <w:proofErr w:type="gramEnd"/>
            <w:r w:rsidRPr="00872D7E">
              <w:rPr>
                <w:color w:val="000000"/>
                <w:sz w:val="16"/>
                <w:szCs w:val="16"/>
                <w:vertAlign w:val="superscript"/>
              </w:rPr>
              <w:t>***)</w:t>
            </w:r>
          </w:p>
        </w:tc>
        <w:tc>
          <w:tcPr>
            <w:tcW w:w="780" w:type="dxa"/>
            <w:tcBorders>
              <w:top w:val="nil"/>
              <w:left w:val="nil"/>
              <w:bottom w:val="nil"/>
              <w:right w:val="nil"/>
            </w:tcBorders>
            <w:shd w:val="clear" w:color="auto" w:fill="auto"/>
            <w:vAlign w:val="bottom"/>
          </w:tcPr>
          <w:p w14:paraId="4984FA53" w14:textId="23A043FD" w:rsidR="00895AC4" w:rsidRPr="00872D7E" w:rsidRDefault="00895AC4" w:rsidP="00895AC4">
            <w:pPr>
              <w:jc w:val="right"/>
              <w:rPr>
                <w:color w:val="000000"/>
                <w:sz w:val="16"/>
                <w:szCs w:val="16"/>
              </w:rPr>
            </w:pPr>
            <w:r w:rsidRPr="00872D7E">
              <w:rPr>
                <w:sz w:val="16"/>
                <w:szCs w:val="16"/>
              </w:rPr>
              <w:t>-</w:t>
            </w:r>
          </w:p>
        </w:tc>
        <w:tc>
          <w:tcPr>
            <w:tcW w:w="544" w:type="dxa"/>
            <w:tcBorders>
              <w:top w:val="nil"/>
              <w:left w:val="nil"/>
              <w:bottom w:val="nil"/>
              <w:right w:val="nil"/>
            </w:tcBorders>
            <w:shd w:val="clear" w:color="auto" w:fill="auto"/>
            <w:vAlign w:val="bottom"/>
          </w:tcPr>
          <w:p w14:paraId="0D842FC7" w14:textId="565D17C0" w:rsidR="00895AC4" w:rsidRPr="00872D7E" w:rsidRDefault="00895AC4" w:rsidP="00895AC4">
            <w:pPr>
              <w:jc w:val="right"/>
              <w:rPr>
                <w:sz w:val="16"/>
                <w:szCs w:val="16"/>
              </w:rPr>
            </w:pPr>
            <w:r w:rsidRPr="00872D7E">
              <w:rPr>
                <w:sz w:val="16"/>
                <w:szCs w:val="16"/>
              </w:rPr>
              <w:t>-</w:t>
            </w:r>
          </w:p>
        </w:tc>
        <w:tc>
          <w:tcPr>
            <w:tcW w:w="478" w:type="dxa"/>
            <w:tcBorders>
              <w:top w:val="nil"/>
              <w:left w:val="nil"/>
              <w:bottom w:val="nil"/>
              <w:right w:val="nil"/>
            </w:tcBorders>
            <w:shd w:val="clear" w:color="auto" w:fill="auto"/>
            <w:vAlign w:val="bottom"/>
          </w:tcPr>
          <w:p w14:paraId="23298ECE" w14:textId="4C650E98" w:rsidR="00895AC4" w:rsidRPr="00872D7E" w:rsidRDefault="00895AC4" w:rsidP="00895AC4">
            <w:pPr>
              <w:jc w:val="right"/>
              <w:rPr>
                <w:sz w:val="16"/>
                <w:szCs w:val="16"/>
              </w:rPr>
            </w:pPr>
            <w:r w:rsidRPr="00872D7E">
              <w:rPr>
                <w:sz w:val="16"/>
                <w:szCs w:val="16"/>
              </w:rPr>
              <w:t>-</w:t>
            </w:r>
          </w:p>
        </w:tc>
        <w:tc>
          <w:tcPr>
            <w:tcW w:w="409" w:type="dxa"/>
            <w:tcBorders>
              <w:top w:val="nil"/>
              <w:left w:val="nil"/>
              <w:bottom w:val="nil"/>
              <w:right w:val="nil"/>
            </w:tcBorders>
            <w:shd w:val="clear" w:color="auto" w:fill="auto"/>
            <w:vAlign w:val="bottom"/>
          </w:tcPr>
          <w:p w14:paraId="0C584071" w14:textId="5BEDC1FF" w:rsidR="00895AC4" w:rsidRPr="00872D7E" w:rsidRDefault="00895AC4" w:rsidP="00895AC4">
            <w:pPr>
              <w:jc w:val="right"/>
              <w:rPr>
                <w:sz w:val="16"/>
                <w:szCs w:val="16"/>
              </w:rPr>
            </w:pPr>
            <w:r w:rsidRPr="00872D7E">
              <w:rPr>
                <w:sz w:val="16"/>
                <w:szCs w:val="16"/>
              </w:rPr>
              <w:t>-</w:t>
            </w:r>
          </w:p>
        </w:tc>
        <w:tc>
          <w:tcPr>
            <w:tcW w:w="709" w:type="dxa"/>
            <w:tcBorders>
              <w:top w:val="nil"/>
              <w:left w:val="nil"/>
              <w:bottom w:val="nil"/>
              <w:right w:val="nil"/>
            </w:tcBorders>
            <w:shd w:val="clear" w:color="auto" w:fill="auto"/>
            <w:vAlign w:val="bottom"/>
          </w:tcPr>
          <w:p w14:paraId="30ACED18" w14:textId="4B38393D" w:rsidR="00895AC4" w:rsidRPr="00872D7E" w:rsidRDefault="00895AC4" w:rsidP="00895AC4">
            <w:pPr>
              <w:jc w:val="right"/>
              <w:rPr>
                <w:sz w:val="16"/>
                <w:szCs w:val="16"/>
              </w:rPr>
            </w:pPr>
            <w:r w:rsidRPr="00872D7E">
              <w:rPr>
                <w:sz w:val="16"/>
                <w:szCs w:val="16"/>
              </w:rPr>
              <w:t>-</w:t>
            </w:r>
          </w:p>
        </w:tc>
        <w:tc>
          <w:tcPr>
            <w:tcW w:w="795" w:type="dxa"/>
            <w:tcBorders>
              <w:top w:val="nil"/>
              <w:left w:val="nil"/>
              <w:bottom w:val="nil"/>
              <w:right w:val="nil"/>
            </w:tcBorders>
            <w:shd w:val="clear" w:color="auto" w:fill="auto"/>
            <w:vAlign w:val="bottom"/>
          </w:tcPr>
          <w:p w14:paraId="7510747A" w14:textId="46F8BEB0" w:rsidR="00895AC4" w:rsidRPr="00872D7E" w:rsidRDefault="00895AC4" w:rsidP="00895AC4">
            <w:pPr>
              <w:jc w:val="right"/>
              <w:rPr>
                <w:sz w:val="16"/>
                <w:szCs w:val="16"/>
              </w:rPr>
            </w:pPr>
            <w:r w:rsidRPr="00872D7E">
              <w:rPr>
                <w:sz w:val="16"/>
                <w:szCs w:val="16"/>
              </w:rPr>
              <w:t>-</w:t>
            </w:r>
          </w:p>
        </w:tc>
        <w:tc>
          <w:tcPr>
            <w:tcW w:w="908" w:type="dxa"/>
            <w:tcBorders>
              <w:top w:val="nil"/>
              <w:left w:val="nil"/>
              <w:bottom w:val="nil"/>
              <w:right w:val="nil"/>
            </w:tcBorders>
            <w:shd w:val="clear" w:color="auto" w:fill="auto"/>
            <w:vAlign w:val="bottom"/>
          </w:tcPr>
          <w:p w14:paraId="13516675" w14:textId="4FB8447F" w:rsidR="00895AC4" w:rsidRPr="00872D7E" w:rsidRDefault="00895AC4" w:rsidP="00895AC4">
            <w:pPr>
              <w:jc w:val="right"/>
              <w:rPr>
                <w:sz w:val="16"/>
                <w:szCs w:val="16"/>
              </w:rPr>
            </w:pPr>
            <w:r w:rsidRPr="00872D7E">
              <w:rPr>
                <w:sz w:val="16"/>
                <w:szCs w:val="16"/>
              </w:rPr>
              <w:t>-</w:t>
            </w:r>
          </w:p>
        </w:tc>
        <w:tc>
          <w:tcPr>
            <w:tcW w:w="701" w:type="dxa"/>
            <w:tcBorders>
              <w:top w:val="nil"/>
              <w:left w:val="nil"/>
              <w:bottom w:val="nil"/>
              <w:right w:val="nil"/>
            </w:tcBorders>
            <w:shd w:val="clear" w:color="auto" w:fill="auto"/>
            <w:vAlign w:val="bottom"/>
          </w:tcPr>
          <w:p w14:paraId="34D44CFA" w14:textId="6B289ED1" w:rsidR="00895AC4" w:rsidRPr="00872D7E" w:rsidRDefault="00895AC4" w:rsidP="00895AC4">
            <w:pPr>
              <w:jc w:val="right"/>
              <w:rPr>
                <w:sz w:val="16"/>
                <w:szCs w:val="16"/>
              </w:rPr>
            </w:pPr>
            <w:r w:rsidRPr="00872D7E">
              <w:rPr>
                <w:sz w:val="16"/>
                <w:szCs w:val="16"/>
              </w:rPr>
              <w:t>-</w:t>
            </w:r>
          </w:p>
        </w:tc>
        <w:tc>
          <w:tcPr>
            <w:tcW w:w="718" w:type="dxa"/>
            <w:tcBorders>
              <w:top w:val="nil"/>
              <w:left w:val="nil"/>
              <w:bottom w:val="nil"/>
              <w:right w:val="nil"/>
            </w:tcBorders>
            <w:shd w:val="clear" w:color="auto" w:fill="auto"/>
            <w:vAlign w:val="bottom"/>
          </w:tcPr>
          <w:p w14:paraId="4F99EEAF" w14:textId="10619A3C" w:rsidR="00895AC4" w:rsidRPr="00872D7E" w:rsidRDefault="00895AC4" w:rsidP="00895AC4">
            <w:pPr>
              <w:jc w:val="right"/>
              <w:rPr>
                <w:sz w:val="16"/>
                <w:szCs w:val="16"/>
              </w:rPr>
            </w:pPr>
            <w:r w:rsidRPr="00872D7E">
              <w:rPr>
                <w:sz w:val="16"/>
                <w:szCs w:val="16"/>
              </w:rPr>
              <w:t>-</w:t>
            </w:r>
          </w:p>
        </w:tc>
        <w:tc>
          <w:tcPr>
            <w:tcW w:w="674" w:type="dxa"/>
            <w:tcBorders>
              <w:top w:val="nil"/>
              <w:left w:val="nil"/>
              <w:bottom w:val="nil"/>
              <w:right w:val="nil"/>
            </w:tcBorders>
            <w:shd w:val="clear" w:color="auto" w:fill="auto"/>
            <w:vAlign w:val="bottom"/>
          </w:tcPr>
          <w:p w14:paraId="5F667D93" w14:textId="0B66AF44" w:rsidR="00895AC4" w:rsidRPr="00872D7E" w:rsidRDefault="00895AC4" w:rsidP="00895AC4">
            <w:pPr>
              <w:jc w:val="right"/>
              <w:rPr>
                <w:color w:val="000000"/>
                <w:sz w:val="16"/>
                <w:szCs w:val="16"/>
              </w:rPr>
            </w:pPr>
            <w:r w:rsidRPr="00872D7E">
              <w:rPr>
                <w:sz w:val="16"/>
                <w:szCs w:val="16"/>
              </w:rPr>
              <w:t>-</w:t>
            </w:r>
          </w:p>
        </w:tc>
        <w:tc>
          <w:tcPr>
            <w:tcW w:w="734" w:type="dxa"/>
            <w:tcBorders>
              <w:top w:val="nil"/>
              <w:left w:val="nil"/>
              <w:bottom w:val="nil"/>
              <w:right w:val="nil"/>
            </w:tcBorders>
            <w:shd w:val="clear" w:color="auto" w:fill="auto"/>
            <w:vAlign w:val="bottom"/>
          </w:tcPr>
          <w:p w14:paraId="79EC4D9C" w14:textId="7D5E7168" w:rsidR="00895AC4" w:rsidRPr="00872D7E" w:rsidRDefault="00895AC4" w:rsidP="00895AC4">
            <w:pPr>
              <w:jc w:val="right"/>
              <w:rPr>
                <w:sz w:val="16"/>
                <w:szCs w:val="16"/>
              </w:rPr>
            </w:pPr>
            <w:r w:rsidRPr="00872D7E">
              <w:rPr>
                <w:sz w:val="16"/>
                <w:szCs w:val="16"/>
              </w:rPr>
              <w:t>-</w:t>
            </w:r>
          </w:p>
        </w:tc>
        <w:tc>
          <w:tcPr>
            <w:tcW w:w="647" w:type="dxa"/>
            <w:tcBorders>
              <w:top w:val="nil"/>
              <w:left w:val="nil"/>
              <w:bottom w:val="nil"/>
              <w:right w:val="nil"/>
            </w:tcBorders>
            <w:vAlign w:val="bottom"/>
          </w:tcPr>
          <w:p w14:paraId="789C0841" w14:textId="2B319B58" w:rsidR="00895AC4" w:rsidRPr="00872D7E" w:rsidRDefault="00895AC4" w:rsidP="00895AC4">
            <w:pPr>
              <w:jc w:val="right"/>
              <w:rPr>
                <w:sz w:val="16"/>
                <w:szCs w:val="16"/>
              </w:rPr>
            </w:pPr>
            <w:r w:rsidRPr="00872D7E">
              <w:rPr>
                <w:sz w:val="16"/>
                <w:szCs w:val="16"/>
              </w:rPr>
              <w:t>-</w:t>
            </w:r>
          </w:p>
        </w:tc>
        <w:tc>
          <w:tcPr>
            <w:tcW w:w="647" w:type="dxa"/>
            <w:tcBorders>
              <w:top w:val="nil"/>
              <w:left w:val="nil"/>
              <w:bottom w:val="nil"/>
              <w:right w:val="nil"/>
            </w:tcBorders>
            <w:vAlign w:val="bottom"/>
          </w:tcPr>
          <w:p w14:paraId="6BA79D8D" w14:textId="29213C7D" w:rsidR="00895AC4" w:rsidRPr="00872D7E" w:rsidRDefault="00895AC4" w:rsidP="00895AC4">
            <w:pPr>
              <w:jc w:val="right"/>
              <w:rPr>
                <w:sz w:val="16"/>
                <w:szCs w:val="16"/>
              </w:rPr>
            </w:pPr>
            <w:r w:rsidRPr="00872D7E">
              <w:rPr>
                <w:sz w:val="16"/>
                <w:szCs w:val="16"/>
              </w:rPr>
              <w:t>-</w:t>
            </w:r>
          </w:p>
        </w:tc>
        <w:tc>
          <w:tcPr>
            <w:tcW w:w="647" w:type="dxa"/>
            <w:tcBorders>
              <w:top w:val="nil"/>
              <w:left w:val="nil"/>
              <w:bottom w:val="nil"/>
              <w:right w:val="nil"/>
            </w:tcBorders>
            <w:vAlign w:val="bottom"/>
          </w:tcPr>
          <w:p w14:paraId="50CF6B4D" w14:textId="7B1A3FC1" w:rsidR="00895AC4" w:rsidRPr="00872D7E" w:rsidRDefault="00895AC4" w:rsidP="00895AC4">
            <w:pPr>
              <w:jc w:val="right"/>
              <w:rPr>
                <w:sz w:val="16"/>
                <w:szCs w:val="16"/>
              </w:rPr>
            </w:pPr>
            <w:r w:rsidRPr="00872D7E">
              <w:rPr>
                <w:sz w:val="16"/>
                <w:szCs w:val="16"/>
              </w:rPr>
              <w:t>-</w:t>
            </w:r>
          </w:p>
        </w:tc>
        <w:tc>
          <w:tcPr>
            <w:tcW w:w="650" w:type="dxa"/>
            <w:tcBorders>
              <w:top w:val="nil"/>
              <w:left w:val="nil"/>
              <w:bottom w:val="nil"/>
              <w:right w:val="nil"/>
            </w:tcBorders>
            <w:vAlign w:val="bottom"/>
          </w:tcPr>
          <w:p w14:paraId="4775000C" w14:textId="390CBFBB" w:rsidR="00895AC4" w:rsidRPr="00872D7E" w:rsidRDefault="00895AC4" w:rsidP="00895AC4">
            <w:pPr>
              <w:jc w:val="right"/>
              <w:rPr>
                <w:sz w:val="16"/>
                <w:szCs w:val="16"/>
              </w:rPr>
            </w:pPr>
            <w:r w:rsidRPr="00872D7E">
              <w:rPr>
                <w:sz w:val="16"/>
                <w:szCs w:val="16"/>
              </w:rPr>
              <w:t>-</w:t>
            </w:r>
          </w:p>
        </w:tc>
        <w:tc>
          <w:tcPr>
            <w:tcW w:w="660" w:type="dxa"/>
            <w:tcBorders>
              <w:top w:val="nil"/>
              <w:left w:val="nil"/>
              <w:bottom w:val="nil"/>
              <w:right w:val="nil"/>
            </w:tcBorders>
            <w:vAlign w:val="bottom"/>
          </w:tcPr>
          <w:p w14:paraId="0780247A" w14:textId="39244313" w:rsidR="00895AC4" w:rsidRPr="00872D7E" w:rsidRDefault="00895AC4" w:rsidP="00895AC4">
            <w:pPr>
              <w:jc w:val="right"/>
              <w:rPr>
                <w:sz w:val="16"/>
                <w:szCs w:val="16"/>
              </w:rPr>
            </w:pPr>
            <w:r w:rsidRPr="00872D7E">
              <w:rPr>
                <w:sz w:val="16"/>
                <w:szCs w:val="16"/>
              </w:rPr>
              <w:t>-</w:t>
            </w:r>
          </w:p>
        </w:tc>
        <w:tc>
          <w:tcPr>
            <w:tcW w:w="674" w:type="dxa"/>
            <w:tcBorders>
              <w:top w:val="nil"/>
              <w:left w:val="nil"/>
              <w:bottom w:val="nil"/>
              <w:right w:val="nil"/>
            </w:tcBorders>
            <w:vAlign w:val="bottom"/>
          </w:tcPr>
          <w:p w14:paraId="2CBD0FDC" w14:textId="3F2DF716" w:rsidR="00895AC4" w:rsidRPr="00872D7E" w:rsidRDefault="00895AC4" w:rsidP="00895AC4">
            <w:pPr>
              <w:jc w:val="right"/>
              <w:rPr>
                <w:sz w:val="16"/>
                <w:szCs w:val="16"/>
              </w:rPr>
            </w:pPr>
            <w:r w:rsidRPr="00872D7E">
              <w:rPr>
                <w:sz w:val="16"/>
                <w:szCs w:val="16"/>
              </w:rPr>
              <w:t>-</w:t>
            </w:r>
          </w:p>
        </w:tc>
        <w:tc>
          <w:tcPr>
            <w:tcW w:w="860" w:type="dxa"/>
            <w:tcBorders>
              <w:top w:val="nil"/>
              <w:left w:val="nil"/>
              <w:bottom w:val="nil"/>
              <w:right w:val="nil"/>
            </w:tcBorders>
            <w:vAlign w:val="bottom"/>
          </w:tcPr>
          <w:p w14:paraId="46D5FD99" w14:textId="616CCFE5" w:rsidR="00895AC4" w:rsidRPr="00872D7E" w:rsidRDefault="00895AC4" w:rsidP="00895AC4">
            <w:pPr>
              <w:jc w:val="right"/>
              <w:rPr>
                <w:sz w:val="16"/>
                <w:szCs w:val="16"/>
              </w:rPr>
            </w:pPr>
            <w:r w:rsidRPr="00872D7E">
              <w:rPr>
                <w:sz w:val="16"/>
                <w:szCs w:val="16"/>
              </w:rPr>
              <w:t>-</w:t>
            </w:r>
          </w:p>
        </w:tc>
      </w:tr>
      <w:tr w:rsidR="00895AC4" w:rsidRPr="00872D7E" w14:paraId="76E1BB9C" w14:textId="1A6EBA50" w:rsidTr="000F318F">
        <w:trPr>
          <w:trHeight w:val="206"/>
        </w:trPr>
        <w:tc>
          <w:tcPr>
            <w:tcW w:w="2337" w:type="dxa"/>
            <w:tcBorders>
              <w:top w:val="nil"/>
              <w:left w:val="nil"/>
              <w:bottom w:val="single" w:sz="4" w:space="0" w:color="auto"/>
              <w:right w:val="nil"/>
            </w:tcBorders>
            <w:shd w:val="clear" w:color="auto" w:fill="auto"/>
            <w:vAlign w:val="bottom"/>
            <w:hideMark/>
          </w:tcPr>
          <w:p w14:paraId="0B6B02C2" w14:textId="77777777" w:rsidR="00895AC4" w:rsidRPr="00872D7E" w:rsidRDefault="00895AC4" w:rsidP="00895AC4">
            <w:pPr>
              <w:ind w:firstLineChars="30" w:firstLine="48"/>
              <w:rPr>
                <w:color w:val="000000"/>
                <w:sz w:val="16"/>
                <w:szCs w:val="16"/>
              </w:rPr>
            </w:pPr>
          </w:p>
        </w:tc>
        <w:tc>
          <w:tcPr>
            <w:tcW w:w="780" w:type="dxa"/>
            <w:tcBorders>
              <w:top w:val="nil"/>
              <w:left w:val="nil"/>
              <w:bottom w:val="single" w:sz="4" w:space="0" w:color="auto"/>
              <w:right w:val="nil"/>
            </w:tcBorders>
            <w:shd w:val="clear" w:color="auto" w:fill="auto"/>
            <w:vAlign w:val="bottom"/>
          </w:tcPr>
          <w:p w14:paraId="2355953C" w14:textId="77777777" w:rsidR="00895AC4" w:rsidRPr="00872D7E" w:rsidRDefault="00895AC4" w:rsidP="00895AC4">
            <w:pPr>
              <w:jc w:val="right"/>
              <w:rPr>
                <w:sz w:val="16"/>
                <w:szCs w:val="16"/>
              </w:rPr>
            </w:pPr>
          </w:p>
        </w:tc>
        <w:tc>
          <w:tcPr>
            <w:tcW w:w="544" w:type="dxa"/>
            <w:tcBorders>
              <w:top w:val="nil"/>
              <w:left w:val="nil"/>
              <w:bottom w:val="single" w:sz="4" w:space="0" w:color="auto"/>
              <w:right w:val="nil"/>
            </w:tcBorders>
            <w:shd w:val="clear" w:color="auto" w:fill="auto"/>
            <w:vAlign w:val="bottom"/>
          </w:tcPr>
          <w:p w14:paraId="254AE096" w14:textId="77777777" w:rsidR="00895AC4" w:rsidRPr="00872D7E" w:rsidRDefault="00895AC4" w:rsidP="00895AC4">
            <w:pPr>
              <w:jc w:val="right"/>
              <w:rPr>
                <w:sz w:val="16"/>
                <w:szCs w:val="16"/>
              </w:rPr>
            </w:pPr>
          </w:p>
        </w:tc>
        <w:tc>
          <w:tcPr>
            <w:tcW w:w="478" w:type="dxa"/>
            <w:tcBorders>
              <w:top w:val="nil"/>
              <w:left w:val="nil"/>
              <w:bottom w:val="single" w:sz="4" w:space="0" w:color="auto"/>
              <w:right w:val="nil"/>
            </w:tcBorders>
            <w:shd w:val="clear" w:color="auto" w:fill="auto"/>
            <w:vAlign w:val="bottom"/>
          </w:tcPr>
          <w:p w14:paraId="4496A066" w14:textId="77777777" w:rsidR="00895AC4" w:rsidRPr="00872D7E" w:rsidRDefault="00895AC4" w:rsidP="00895AC4">
            <w:pPr>
              <w:jc w:val="right"/>
              <w:rPr>
                <w:sz w:val="16"/>
                <w:szCs w:val="16"/>
              </w:rPr>
            </w:pPr>
          </w:p>
        </w:tc>
        <w:tc>
          <w:tcPr>
            <w:tcW w:w="409" w:type="dxa"/>
            <w:tcBorders>
              <w:top w:val="nil"/>
              <w:left w:val="nil"/>
              <w:bottom w:val="single" w:sz="4" w:space="0" w:color="auto"/>
              <w:right w:val="nil"/>
            </w:tcBorders>
            <w:shd w:val="clear" w:color="auto" w:fill="auto"/>
            <w:vAlign w:val="bottom"/>
          </w:tcPr>
          <w:p w14:paraId="619454F3" w14:textId="77777777" w:rsidR="00895AC4" w:rsidRPr="00872D7E" w:rsidRDefault="00895AC4" w:rsidP="00895AC4">
            <w:pPr>
              <w:jc w:val="right"/>
              <w:rPr>
                <w:sz w:val="16"/>
                <w:szCs w:val="16"/>
              </w:rPr>
            </w:pPr>
          </w:p>
        </w:tc>
        <w:tc>
          <w:tcPr>
            <w:tcW w:w="709" w:type="dxa"/>
            <w:tcBorders>
              <w:top w:val="nil"/>
              <w:left w:val="nil"/>
              <w:bottom w:val="single" w:sz="4" w:space="0" w:color="auto"/>
              <w:right w:val="nil"/>
            </w:tcBorders>
            <w:shd w:val="clear" w:color="auto" w:fill="auto"/>
            <w:vAlign w:val="bottom"/>
          </w:tcPr>
          <w:p w14:paraId="128BDDB3" w14:textId="77777777" w:rsidR="00895AC4" w:rsidRPr="00872D7E" w:rsidRDefault="00895AC4" w:rsidP="00895AC4">
            <w:pPr>
              <w:jc w:val="right"/>
              <w:rPr>
                <w:sz w:val="16"/>
                <w:szCs w:val="16"/>
              </w:rPr>
            </w:pPr>
          </w:p>
        </w:tc>
        <w:tc>
          <w:tcPr>
            <w:tcW w:w="795" w:type="dxa"/>
            <w:tcBorders>
              <w:top w:val="nil"/>
              <w:left w:val="nil"/>
              <w:bottom w:val="single" w:sz="4" w:space="0" w:color="auto"/>
              <w:right w:val="nil"/>
            </w:tcBorders>
            <w:shd w:val="clear" w:color="auto" w:fill="auto"/>
            <w:vAlign w:val="bottom"/>
          </w:tcPr>
          <w:p w14:paraId="1AC4D354" w14:textId="77777777" w:rsidR="00895AC4" w:rsidRPr="00872D7E" w:rsidRDefault="00895AC4" w:rsidP="00895AC4">
            <w:pPr>
              <w:jc w:val="right"/>
              <w:rPr>
                <w:sz w:val="16"/>
                <w:szCs w:val="16"/>
              </w:rPr>
            </w:pPr>
          </w:p>
        </w:tc>
        <w:tc>
          <w:tcPr>
            <w:tcW w:w="908" w:type="dxa"/>
            <w:tcBorders>
              <w:top w:val="nil"/>
              <w:left w:val="nil"/>
              <w:bottom w:val="single" w:sz="4" w:space="0" w:color="auto"/>
              <w:right w:val="nil"/>
            </w:tcBorders>
            <w:shd w:val="clear" w:color="auto" w:fill="auto"/>
            <w:vAlign w:val="bottom"/>
          </w:tcPr>
          <w:p w14:paraId="0BEBF2F1" w14:textId="77777777" w:rsidR="00895AC4" w:rsidRPr="00872D7E" w:rsidRDefault="00895AC4" w:rsidP="00895AC4">
            <w:pPr>
              <w:jc w:val="right"/>
              <w:rPr>
                <w:sz w:val="16"/>
                <w:szCs w:val="16"/>
              </w:rPr>
            </w:pPr>
          </w:p>
        </w:tc>
        <w:tc>
          <w:tcPr>
            <w:tcW w:w="701" w:type="dxa"/>
            <w:tcBorders>
              <w:top w:val="nil"/>
              <w:left w:val="nil"/>
              <w:bottom w:val="single" w:sz="4" w:space="0" w:color="auto"/>
              <w:right w:val="nil"/>
            </w:tcBorders>
            <w:shd w:val="clear" w:color="auto" w:fill="auto"/>
            <w:vAlign w:val="bottom"/>
          </w:tcPr>
          <w:p w14:paraId="75D3CE94" w14:textId="77777777" w:rsidR="00895AC4" w:rsidRPr="00872D7E" w:rsidRDefault="00895AC4" w:rsidP="00895AC4">
            <w:pPr>
              <w:jc w:val="right"/>
              <w:rPr>
                <w:sz w:val="16"/>
                <w:szCs w:val="16"/>
              </w:rPr>
            </w:pPr>
          </w:p>
        </w:tc>
        <w:tc>
          <w:tcPr>
            <w:tcW w:w="718" w:type="dxa"/>
            <w:tcBorders>
              <w:top w:val="nil"/>
              <w:left w:val="nil"/>
              <w:bottom w:val="single" w:sz="4" w:space="0" w:color="auto"/>
              <w:right w:val="nil"/>
            </w:tcBorders>
            <w:shd w:val="clear" w:color="auto" w:fill="auto"/>
            <w:vAlign w:val="bottom"/>
          </w:tcPr>
          <w:p w14:paraId="59A90B76" w14:textId="77777777" w:rsidR="00895AC4" w:rsidRPr="00872D7E" w:rsidRDefault="00895AC4" w:rsidP="00895AC4">
            <w:pPr>
              <w:jc w:val="right"/>
              <w:rPr>
                <w:sz w:val="16"/>
                <w:szCs w:val="16"/>
              </w:rPr>
            </w:pPr>
          </w:p>
        </w:tc>
        <w:tc>
          <w:tcPr>
            <w:tcW w:w="674" w:type="dxa"/>
            <w:tcBorders>
              <w:top w:val="nil"/>
              <w:left w:val="nil"/>
              <w:bottom w:val="single" w:sz="4" w:space="0" w:color="auto"/>
              <w:right w:val="nil"/>
            </w:tcBorders>
            <w:shd w:val="clear" w:color="auto" w:fill="auto"/>
            <w:vAlign w:val="bottom"/>
          </w:tcPr>
          <w:p w14:paraId="452985E8" w14:textId="26FE6717" w:rsidR="00895AC4" w:rsidRPr="00872D7E" w:rsidRDefault="00895AC4" w:rsidP="00895AC4">
            <w:pPr>
              <w:jc w:val="right"/>
              <w:rPr>
                <w:sz w:val="16"/>
                <w:szCs w:val="16"/>
              </w:rPr>
            </w:pPr>
          </w:p>
        </w:tc>
        <w:tc>
          <w:tcPr>
            <w:tcW w:w="734" w:type="dxa"/>
            <w:tcBorders>
              <w:top w:val="nil"/>
              <w:left w:val="nil"/>
              <w:bottom w:val="single" w:sz="4" w:space="0" w:color="auto"/>
              <w:right w:val="nil"/>
            </w:tcBorders>
            <w:shd w:val="clear" w:color="auto" w:fill="auto"/>
            <w:vAlign w:val="bottom"/>
          </w:tcPr>
          <w:p w14:paraId="6502FF87" w14:textId="77777777" w:rsidR="00895AC4" w:rsidRPr="00872D7E" w:rsidRDefault="00895AC4" w:rsidP="00895AC4">
            <w:pPr>
              <w:jc w:val="right"/>
              <w:rPr>
                <w:sz w:val="16"/>
                <w:szCs w:val="16"/>
              </w:rPr>
            </w:pPr>
          </w:p>
        </w:tc>
        <w:tc>
          <w:tcPr>
            <w:tcW w:w="647" w:type="dxa"/>
            <w:tcBorders>
              <w:top w:val="nil"/>
              <w:left w:val="nil"/>
              <w:bottom w:val="single" w:sz="4" w:space="0" w:color="auto"/>
              <w:right w:val="nil"/>
            </w:tcBorders>
            <w:vAlign w:val="bottom"/>
          </w:tcPr>
          <w:p w14:paraId="300F276E" w14:textId="77777777" w:rsidR="00895AC4" w:rsidRPr="00872D7E" w:rsidRDefault="00895AC4" w:rsidP="00895AC4">
            <w:pPr>
              <w:jc w:val="right"/>
              <w:rPr>
                <w:sz w:val="16"/>
                <w:szCs w:val="16"/>
              </w:rPr>
            </w:pPr>
          </w:p>
        </w:tc>
        <w:tc>
          <w:tcPr>
            <w:tcW w:w="647" w:type="dxa"/>
            <w:tcBorders>
              <w:top w:val="nil"/>
              <w:left w:val="nil"/>
              <w:bottom w:val="single" w:sz="4" w:space="0" w:color="auto"/>
              <w:right w:val="nil"/>
            </w:tcBorders>
            <w:vAlign w:val="bottom"/>
          </w:tcPr>
          <w:p w14:paraId="6B1E20B2" w14:textId="77777777" w:rsidR="00895AC4" w:rsidRPr="00872D7E" w:rsidRDefault="00895AC4" w:rsidP="00895AC4">
            <w:pPr>
              <w:jc w:val="right"/>
              <w:rPr>
                <w:sz w:val="16"/>
                <w:szCs w:val="16"/>
              </w:rPr>
            </w:pPr>
          </w:p>
        </w:tc>
        <w:tc>
          <w:tcPr>
            <w:tcW w:w="647" w:type="dxa"/>
            <w:tcBorders>
              <w:top w:val="nil"/>
              <w:left w:val="nil"/>
              <w:bottom w:val="single" w:sz="4" w:space="0" w:color="auto"/>
              <w:right w:val="nil"/>
            </w:tcBorders>
            <w:vAlign w:val="bottom"/>
          </w:tcPr>
          <w:p w14:paraId="7E7F559B" w14:textId="77777777" w:rsidR="00895AC4" w:rsidRPr="00872D7E" w:rsidRDefault="00895AC4" w:rsidP="00895AC4">
            <w:pPr>
              <w:jc w:val="right"/>
              <w:rPr>
                <w:sz w:val="16"/>
                <w:szCs w:val="16"/>
              </w:rPr>
            </w:pPr>
          </w:p>
        </w:tc>
        <w:tc>
          <w:tcPr>
            <w:tcW w:w="650" w:type="dxa"/>
            <w:tcBorders>
              <w:top w:val="nil"/>
              <w:left w:val="nil"/>
              <w:bottom w:val="single" w:sz="4" w:space="0" w:color="auto"/>
              <w:right w:val="nil"/>
            </w:tcBorders>
            <w:vAlign w:val="bottom"/>
          </w:tcPr>
          <w:p w14:paraId="19913110" w14:textId="77777777" w:rsidR="00895AC4" w:rsidRPr="00872D7E" w:rsidRDefault="00895AC4" w:rsidP="00895AC4">
            <w:pPr>
              <w:jc w:val="right"/>
              <w:rPr>
                <w:sz w:val="16"/>
                <w:szCs w:val="16"/>
              </w:rPr>
            </w:pPr>
          </w:p>
        </w:tc>
        <w:tc>
          <w:tcPr>
            <w:tcW w:w="660" w:type="dxa"/>
            <w:tcBorders>
              <w:top w:val="nil"/>
              <w:left w:val="nil"/>
              <w:bottom w:val="single" w:sz="4" w:space="0" w:color="auto"/>
              <w:right w:val="nil"/>
            </w:tcBorders>
            <w:vAlign w:val="bottom"/>
          </w:tcPr>
          <w:p w14:paraId="673569EB" w14:textId="77777777" w:rsidR="00895AC4" w:rsidRPr="00872D7E" w:rsidRDefault="00895AC4" w:rsidP="00895AC4">
            <w:pPr>
              <w:jc w:val="right"/>
              <w:rPr>
                <w:sz w:val="16"/>
                <w:szCs w:val="16"/>
              </w:rPr>
            </w:pPr>
          </w:p>
        </w:tc>
        <w:tc>
          <w:tcPr>
            <w:tcW w:w="674" w:type="dxa"/>
            <w:tcBorders>
              <w:top w:val="nil"/>
              <w:left w:val="nil"/>
              <w:bottom w:val="single" w:sz="4" w:space="0" w:color="auto"/>
              <w:right w:val="nil"/>
            </w:tcBorders>
            <w:vAlign w:val="bottom"/>
          </w:tcPr>
          <w:p w14:paraId="29B5686A" w14:textId="77777777" w:rsidR="00895AC4" w:rsidRPr="00872D7E" w:rsidRDefault="00895AC4" w:rsidP="00895AC4">
            <w:pPr>
              <w:jc w:val="right"/>
              <w:rPr>
                <w:sz w:val="16"/>
                <w:szCs w:val="16"/>
              </w:rPr>
            </w:pPr>
          </w:p>
        </w:tc>
        <w:tc>
          <w:tcPr>
            <w:tcW w:w="860" w:type="dxa"/>
            <w:tcBorders>
              <w:top w:val="nil"/>
              <w:left w:val="nil"/>
              <w:bottom w:val="single" w:sz="4" w:space="0" w:color="auto"/>
              <w:right w:val="nil"/>
            </w:tcBorders>
            <w:vAlign w:val="bottom"/>
          </w:tcPr>
          <w:p w14:paraId="24EE5FD6" w14:textId="6C162C7B" w:rsidR="00895AC4" w:rsidRPr="00872D7E" w:rsidRDefault="00895AC4" w:rsidP="00895AC4">
            <w:pPr>
              <w:jc w:val="right"/>
              <w:rPr>
                <w:sz w:val="16"/>
                <w:szCs w:val="16"/>
              </w:rPr>
            </w:pPr>
          </w:p>
        </w:tc>
      </w:tr>
      <w:tr w:rsidR="00895AC4" w:rsidRPr="00872D7E" w14:paraId="2A431725" w14:textId="67DF673C" w:rsidTr="000F318F">
        <w:trPr>
          <w:trHeight w:val="206"/>
        </w:trPr>
        <w:tc>
          <w:tcPr>
            <w:tcW w:w="2337" w:type="dxa"/>
            <w:tcBorders>
              <w:top w:val="single" w:sz="4" w:space="0" w:color="auto"/>
              <w:left w:val="nil"/>
              <w:bottom w:val="single" w:sz="4" w:space="0" w:color="auto"/>
              <w:right w:val="nil"/>
            </w:tcBorders>
            <w:shd w:val="clear" w:color="auto" w:fill="auto"/>
            <w:vAlign w:val="bottom"/>
          </w:tcPr>
          <w:p w14:paraId="4CE73DD1" w14:textId="77777777" w:rsidR="00895AC4" w:rsidRPr="00872D7E" w:rsidRDefault="00895AC4" w:rsidP="00895AC4">
            <w:pPr>
              <w:ind w:firstLineChars="30" w:firstLine="48"/>
              <w:rPr>
                <w:b/>
                <w:bCs/>
                <w:color w:val="000000"/>
                <w:sz w:val="16"/>
                <w:szCs w:val="16"/>
              </w:rPr>
            </w:pPr>
            <w:r w:rsidRPr="00872D7E">
              <w:rPr>
                <w:b/>
                <w:bCs/>
                <w:color w:val="000000"/>
                <w:sz w:val="16"/>
                <w:szCs w:val="16"/>
              </w:rPr>
              <w:t>TOPLAM</w:t>
            </w:r>
          </w:p>
        </w:tc>
        <w:tc>
          <w:tcPr>
            <w:tcW w:w="780" w:type="dxa"/>
            <w:tcBorders>
              <w:top w:val="single" w:sz="4" w:space="0" w:color="auto"/>
              <w:left w:val="nil"/>
              <w:bottom w:val="single" w:sz="4" w:space="0" w:color="auto"/>
              <w:right w:val="nil"/>
            </w:tcBorders>
            <w:shd w:val="clear" w:color="auto" w:fill="auto"/>
            <w:vAlign w:val="bottom"/>
          </w:tcPr>
          <w:p w14:paraId="5E3B555D" w14:textId="26707A48" w:rsidR="00895AC4" w:rsidRPr="00872D7E" w:rsidRDefault="00895AC4" w:rsidP="00895AC4">
            <w:pPr>
              <w:jc w:val="right"/>
              <w:rPr>
                <w:b/>
                <w:bCs/>
                <w:color w:val="000000"/>
                <w:sz w:val="16"/>
                <w:szCs w:val="16"/>
              </w:rPr>
            </w:pPr>
            <w:r w:rsidRPr="00872D7E">
              <w:rPr>
                <w:b/>
                <w:bCs/>
                <w:sz w:val="16"/>
                <w:szCs w:val="16"/>
              </w:rPr>
              <w:t>9.383</w:t>
            </w:r>
          </w:p>
        </w:tc>
        <w:tc>
          <w:tcPr>
            <w:tcW w:w="544" w:type="dxa"/>
            <w:tcBorders>
              <w:top w:val="single" w:sz="4" w:space="0" w:color="auto"/>
              <w:left w:val="nil"/>
              <w:bottom w:val="single" w:sz="4" w:space="0" w:color="auto"/>
              <w:right w:val="nil"/>
            </w:tcBorders>
            <w:shd w:val="clear" w:color="auto" w:fill="auto"/>
            <w:vAlign w:val="bottom"/>
          </w:tcPr>
          <w:p w14:paraId="2546B3D8" w14:textId="440FD9D3" w:rsidR="00895AC4" w:rsidRPr="00872D7E" w:rsidRDefault="00895AC4" w:rsidP="00895AC4">
            <w:pPr>
              <w:jc w:val="right"/>
              <w:rPr>
                <w:b/>
                <w:bCs/>
                <w:color w:val="000000"/>
                <w:sz w:val="16"/>
                <w:szCs w:val="16"/>
              </w:rPr>
            </w:pPr>
            <w:r w:rsidRPr="00872D7E">
              <w:rPr>
                <w:b/>
                <w:bCs/>
                <w:sz w:val="16"/>
                <w:szCs w:val="16"/>
              </w:rPr>
              <w:t>-</w:t>
            </w:r>
          </w:p>
        </w:tc>
        <w:tc>
          <w:tcPr>
            <w:tcW w:w="478" w:type="dxa"/>
            <w:tcBorders>
              <w:top w:val="single" w:sz="4" w:space="0" w:color="auto"/>
              <w:left w:val="nil"/>
              <w:bottom w:val="single" w:sz="4" w:space="0" w:color="auto"/>
              <w:right w:val="nil"/>
            </w:tcBorders>
            <w:shd w:val="clear" w:color="auto" w:fill="auto"/>
            <w:vAlign w:val="bottom"/>
          </w:tcPr>
          <w:p w14:paraId="246E1DE4" w14:textId="2F2439F0" w:rsidR="00895AC4" w:rsidRPr="00872D7E" w:rsidRDefault="00895AC4" w:rsidP="00895AC4">
            <w:pPr>
              <w:jc w:val="right"/>
              <w:rPr>
                <w:b/>
                <w:bCs/>
                <w:color w:val="000000"/>
                <w:sz w:val="16"/>
                <w:szCs w:val="16"/>
              </w:rPr>
            </w:pPr>
            <w:r w:rsidRPr="00872D7E">
              <w:rPr>
                <w:b/>
                <w:bCs/>
                <w:sz w:val="16"/>
                <w:szCs w:val="16"/>
              </w:rPr>
              <w:t>-</w:t>
            </w:r>
          </w:p>
        </w:tc>
        <w:tc>
          <w:tcPr>
            <w:tcW w:w="409" w:type="dxa"/>
            <w:tcBorders>
              <w:top w:val="single" w:sz="4" w:space="0" w:color="auto"/>
              <w:left w:val="nil"/>
              <w:bottom w:val="single" w:sz="4" w:space="0" w:color="auto"/>
              <w:right w:val="nil"/>
            </w:tcBorders>
            <w:shd w:val="clear" w:color="auto" w:fill="auto"/>
            <w:vAlign w:val="bottom"/>
          </w:tcPr>
          <w:p w14:paraId="2F7D850D" w14:textId="1BCF6E34" w:rsidR="00895AC4" w:rsidRPr="00872D7E" w:rsidRDefault="00895AC4" w:rsidP="00895AC4">
            <w:pPr>
              <w:jc w:val="right"/>
              <w:rPr>
                <w:b/>
                <w:bCs/>
                <w:color w:val="000000"/>
                <w:sz w:val="16"/>
                <w:szCs w:val="16"/>
              </w:rPr>
            </w:pPr>
            <w:r w:rsidRPr="00872D7E">
              <w:rPr>
                <w:b/>
                <w:bCs/>
                <w:sz w:val="16"/>
                <w:szCs w:val="16"/>
              </w:rPr>
              <w:t>-</w:t>
            </w:r>
          </w:p>
        </w:tc>
        <w:tc>
          <w:tcPr>
            <w:tcW w:w="709" w:type="dxa"/>
            <w:tcBorders>
              <w:top w:val="single" w:sz="4" w:space="0" w:color="auto"/>
              <w:left w:val="nil"/>
              <w:bottom w:val="single" w:sz="4" w:space="0" w:color="auto"/>
              <w:right w:val="nil"/>
            </w:tcBorders>
            <w:shd w:val="clear" w:color="auto" w:fill="auto"/>
            <w:vAlign w:val="bottom"/>
          </w:tcPr>
          <w:p w14:paraId="7D6619A9" w14:textId="7FC37556" w:rsidR="00895AC4" w:rsidRPr="00872D7E" w:rsidRDefault="00895AC4" w:rsidP="00895AC4">
            <w:pPr>
              <w:jc w:val="right"/>
              <w:rPr>
                <w:b/>
                <w:bCs/>
                <w:color w:val="000000"/>
                <w:sz w:val="16"/>
                <w:szCs w:val="16"/>
              </w:rPr>
            </w:pPr>
            <w:r w:rsidRPr="00872D7E">
              <w:rPr>
                <w:b/>
                <w:bCs/>
                <w:sz w:val="16"/>
                <w:szCs w:val="16"/>
              </w:rPr>
              <w:t>-</w:t>
            </w:r>
          </w:p>
        </w:tc>
        <w:tc>
          <w:tcPr>
            <w:tcW w:w="795" w:type="dxa"/>
            <w:tcBorders>
              <w:top w:val="single" w:sz="4" w:space="0" w:color="auto"/>
              <w:left w:val="nil"/>
              <w:bottom w:val="single" w:sz="4" w:space="0" w:color="auto"/>
              <w:right w:val="nil"/>
            </w:tcBorders>
            <w:shd w:val="clear" w:color="auto" w:fill="auto"/>
            <w:vAlign w:val="bottom"/>
          </w:tcPr>
          <w:p w14:paraId="50F375B5" w14:textId="08796A25" w:rsidR="00895AC4" w:rsidRPr="00872D7E" w:rsidRDefault="00895AC4" w:rsidP="00895AC4">
            <w:pPr>
              <w:jc w:val="right"/>
              <w:rPr>
                <w:b/>
                <w:bCs/>
                <w:color w:val="000000"/>
                <w:sz w:val="16"/>
                <w:szCs w:val="16"/>
              </w:rPr>
            </w:pPr>
            <w:r w:rsidRPr="00872D7E">
              <w:rPr>
                <w:b/>
                <w:bCs/>
                <w:sz w:val="16"/>
                <w:szCs w:val="16"/>
              </w:rPr>
              <w:t>552.875</w:t>
            </w:r>
          </w:p>
        </w:tc>
        <w:tc>
          <w:tcPr>
            <w:tcW w:w="908" w:type="dxa"/>
            <w:tcBorders>
              <w:top w:val="single" w:sz="4" w:space="0" w:color="auto"/>
              <w:left w:val="nil"/>
              <w:bottom w:val="single" w:sz="4" w:space="0" w:color="auto"/>
              <w:right w:val="nil"/>
            </w:tcBorders>
            <w:shd w:val="clear" w:color="auto" w:fill="auto"/>
            <w:vAlign w:val="bottom"/>
          </w:tcPr>
          <w:p w14:paraId="26F790C6" w14:textId="34E9B155" w:rsidR="00895AC4" w:rsidRPr="00872D7E" w:rsidRDefault="00895AC4" w:rsidP="00895AC4">
            <w:pPr>
              <w:jc w:val="right"/>
              <w:rPr>
                <w:b/>
                <w:bCs/>
                <w:color w:val="000000"/>
                <w:sz w:val="16"/>
                <w:szCs w:val="16"/>
              </w:rPr>
            </w:pPr>
            <w:r w:rsidRPr="00872D7E">
              <w:rPr>
                <w:b/>
                <w:bCs/>
                <w:sz w:val="16"/>
                <w:szCs w:val="16"/>
              </w:rPr>
              <w:t>-</w:t>
            </w:r>
          </w:p>
        </w:tc>
        <w:tc>
          <w:tcPr>
            <w:tcW w:w="701" w:type="dxa"/>
            <w:tcBorders>
              <w:top w:val="single" w:sz="4" w:space="0" w:color="auto"/>
              <w:left w:val="nil"/>
              <w:bottom w:val="single" w:sz="4" w:space="0" w:color="auto"/>
              <w:right w:val="nil"/>
            </w:tcBorders>
            <w:shd w:val="clear" w:color="auto" w:fill="auto"/>
            <w:vAlign w:val="bottom"/>
          </w:tcPr>
          <w:p w14:paraId="0279C49D" w14:textId="0444E3F2" w:rsidR="00895AC4" w:rsidRPr="00872D7E" w:rsidRDefault="00895AC4" w:rsidP="00895AC4">
            <w:pPr>
              <w:jc w:val="right"/>
              <w:rPr>
                <w:b/>
                <w:bCs/>
                <w:color w:val="000000"/>
                <w:sz w:val="16"/>
                <w:szCs w:val="16"/>
              </w:rPr>
            </w:pPr>
            <w:r w:rsidRPr="00872D7E">
              <w:rPr>
                <w:b/>
                <w:bCs/>
                <w:sz w:val="16"/>
                <w:szCs w:val="16"/>
              </w:rPr>
              <w:t>-</w:t>
            </w:r>
          </w:p>
        </w:tc>
        <w:tc>
          <w:tcPr>
            <w:tcW w:w="718" w:type="dxa"/>
            <w:tcBorders>
              <w:top w:val="single" w:sz="4" w:space="0" w:color="auto"/>
              <w:left w:val="nil"/>
              <w:bottom w:val="single" w:sz="4" w:space="0" w:color="auto"/>
              <w:right w:val="nil"/>
            </w:tcBorders>
            <w:shd w:val="clear" w:color="auto" w:fill="auto"/>
            <w:vAlign w:val="bottom"/>
          </w:tcPr>
          <w:p w14:paraId="147875DB" w14:textId="61E97B20" w:rsidR="00895AC4" w:rsidRPr="00872D7E" w:rsidRDefault="00895AC4" w:rsidP="00895AC4">
            <w:pPr>
              <w:jc w:val="right"/>
              <w:rPr>
                <w:b/>
                <w:bCs/>
                <w:color w:val="000000"/>
                <w:sz w:val="16"/>
                <w:szCs w:val="16"/>
              </w:rPr>
            </w:pPr>
            <w:r w:rsidRPr="00872D7E">
              <w:rPr>
                <w:b/>
                <w:bCs/>
                <w:sz w:val="16"/>
                <w:szCs w:val="16"/>
              </w:rPr>
              <w:t>-</w:t>
            </w:r>
          </w:p>
        </w:tc>
        <w:tc>
          <w:tcPr>
            <w:tcW w:w="674" w:type="dxa"/>
            <w:tcBorders>
              <w:top w:val="single" w:sz="4" w:space="0" w:color="auto"/>
              <w:left w:val="nil"/>
              <w:bottom w:val="single" w:sz="4" w:space="0" w:color="auto"/>
              <w:right w:val="nil"/>
            </w:tcBorders>
            <w:shd w:val="clear" w:color="auto" w:fill="auto"/>
            <w:vAlign w:val="bottom"/>
          </w:tcPr>
          <w:p w14:paraId="6C4E1C96" w14:textId="55256E03" w:rsidR="00895AC4" w:rsidRPr="00872D7E" w:rsidRDefault="00895AC4" w:rsidP="00895AC4">
            <w:pPr>
              <w:jc w:val="right"/>
              <w:rPr>
                <w:b/>
                <w:bCs/>
                <w:sz w:val="16"/>
                <w:szCs w:val="16"/>
              </w:rPr>
            </w:pPr>
            <w:r w:rsidRPr="00872D7E">
              <w:rPr>
                <w:b/>
                <w:bCs/>
                <w:sz w:val="16"/>
                <w:szCs w:val="16"/>
              </w:rPr>
              <w:t>-</w:t>
            </w:r>
          </w:p>
        </w:tc>
        <w:tc>
          <w:tcPr>
            <w:tcW w:w="734" w:type="dxa"/>
            <w:tcBorders>
              <w:top w:val="single" w:sz="4" w:space="0" w:color="auto"/>
              <w:left w:val="nil"/>
              <w:bottom w:val="single" w:sz="4" w:space="0" w:color="auto"/>
              <w:right w:val="nil"/>
            </w:tcBorders>
            <w:shd w:val="clear" w:color="auto" w:fill="auto"/>
            <w:vAlign w:val="bottom"/>
          </w:tcPr>
          <w:p w14:paraId="0BABA905" w14:textId="17FA5ECE" w:rsidR="00895AC4" w:rsidRPr="00872D7E" w:rsidRDefault="00895AC4" w:rsidP="00895AC4">
            <w:pPr>
              <w:jc w:val="right"/>
              <w:rPr>
                <w:b/>
                <w:bCs/>
                <w:color w:val="000000"/>
                <w:sz w:val="16"/>
                <w:szCs w:val="16"/>
              </w:rPr>
            </w:pPr>
            <w:r w:rsidRPr="00872D7E">
              <w:rPr>
                <w:b/>
                <w:bCs/>
                <w:sz w:val="16"/>
                <w:szCs w:val="16"/>
              </w:rPr>
              <w:t>-</w:t>
            </w:r>
          </w:p>
        </w:tc>
        <w:tc>
          <w:tcPr>
            <w:tcW w:w="647" w:type="dxa"/>
            <w:tcBorders>
              <w:top w:val="single" w:sz="4" w:space="0" w:color="auto"/>
              <w:left w:val="nil"/>
              <w:bottom w:val="single" w:sz="4" w:space="0" w:color="auto"/>
              <w:right w:val="nil"/>
            </w:tcBorders>
            <w:vAlign w:val="bottom"/>
          </w:tcPr>
          <w:p w14:paraId="5008D959" w14:textId="7B13C605" w:rsidR="00895AC4" w:rsidRPr="00872D7E" w:rsidRDefault="00895AC4" w:rsidP="00895AC4">
            <w:pPr>
              <w:jc w:val="right"/>
              <w:rPr>
                <w:b/>
                <w:bCs/>
                <w:color w:val="000000"/>
                <w:sz w:val="16"/>
                <w:szCs w:val="16"/>
              </w:rPr>
            </w:pPr>
            <w:r w:rsidRPr="00872D7E">
              <w:rPr>
                <w:b/>
                <w:bCs/>
                <w:sz w:val="16"/>
                <w:szCs w:val="16"/>
              </w:rPr>
              <w:t>-</w:t>
            </w:r>
          </w:p>
        </w:tc>
        <w:tc>
          <w:tcPr>
            <w:tcW w:w="647" w:type="dxa"/>
            <w:tcBorders>
              <w:top w:val="single" w:sz="4" w:space="0" w:color="auto"/>
              <w:left w:val="nil"/>
              <w:bottom w:val="single" w:sz="4" w:space="0" w:color="auto"/>
              <w:right w:val="nil"/>
            </w:tcBorders>
            <w:vAlign w:val="bottom"/>
          </w:tcPr>
          <w:p w14:paraId="0F7E8AFD" w14:textId="40A0AF11" w:rsidR="00895AC4" w:rsidRPr="00872D7E" w:rsidRDefault="00895AC4" w:rsidP="00895AC4">
            <w:pPr>
              <w:jc w:val="right"/>
              <w:rPr>
                <w:b/>
                <w:bCs/>
                <w:color w:val="000000"/>
                <w:sz w:val="16"/>
                <w:szCs w:val="16"/>
              </w:rPr>
            </w:pPr>
            <w:r w:rsidRPr="00872D7E">
              <w:rPr>
                <w:b/>
                <w:bCs/>
                <w:sz w:val="16"/>
                <w:szCs w:val="16"/>
              </w:rPr>
              <w:t>-</w:t>
            </w:r>
          </w:p>
        </w:tc>
        <w:tc>
          <w:tcPr>
            <w:tcW w:w="647" w:type="dxa"/>
            <w:tcBorders>
              <w:top w:val="single" w:sz="4" w:space="0" w:color="auto"/>
              <w:left w:val="nil"/>
              <w:bottom w:val="single" w:sz="4" w:space="0" w:color="auto"/>
              <w:right w:val="nil"/>
            </w:tcBorders>
            <w:vAlign w:val="bottom"/>
          </w:tcPr>
          <w:p w14:paraId="16F67E76" w14:textId="6F6905C0" w:rsidR="00895AC4" w:rsidRPr="00872D7E" w:rsidRDefault="00895AC4" w:rsidP="00895AC4">
            <w:pPr>
              <w:jc w:val="right"/>
              <w:rPr>
                <w:b/>
                <w:bCs/>
                <w:color w:val="000000"/>
                <w:sz w:val="16"/>
                <w:szCs w:val="16"/>
              </w:rPr>
            </w:pPr>
            <w:r w:rsidRPr="00872D7E">
              <w:rPr>
                <w:b/>
                <w:bCs/>
                <w:sz w:val="16"/>
                <w:szCs w:val="16"/>
              </w:rPr>
              <w:t>-</w:t>
            </w:r>
          </w:p>
        </w:tc>
        <w:tc>
          <w:tcPr>
            <w:tcW w:w="650" w:type="dxa"/>
            <w:tcBorders>
              <w:top w:val="single" w:sz="4" w:space="0" w:color="auto"/>
              <w:left w:val="nil"/>
              <w:bottom w:val="single" w:sz="4" w:space="0" w:color="auto"/>
              <w:right w:val="nil"/>
            </w:tcBorders>
            <w:vAlign w:val="bottom"/>
          </w:tcPr>
          <w:p w14:paraId="0100705A" w14:textId="2B0E8A24" w:rsidR="00895AC4" w:rsidRPr="00872D7E" w:rsidRDefault="00895AC4" w:rsidP="00895AC4">
            <w:pPr>
              <w:jc w:val="right"/>
              <w:rPr>
                <w:b/>
                <w:bCs/>
                <w:color w:val="000000"/>
                <w:sz w:val="16"/>
                <w:szCs w:val="16"/>
              </w:rPr>
            </w:pPr>
            <w:r w:rsidRPr="00872D7E">
              <w:rPr>
                <w:b/>
                <w:bCs/>
                <w:sz w:val="16"/>
                <w:szCs w:val="16"/>
              </w:rPr>
              <w:t>87.593</w:t>
            </w:r>
          </w:p>
        </w:tc>
        <w:tc>
          <w:tcPr>
            <w:tcW w:w="660" w:type="dxa"/>
            <w:tcBorders>
              <w:top w:val="single" w:sz="4" w:space="0" w:color="auto"/>
              <w:left w:val="nil"/>
              <w:bottom w:val="single" w:sz="4" w:space="0" w:color="auto"/>
              <w:right w:val="nil"/>
            </w:tcBorders>
            <w:vAlign w:val="bottom"/>
          </w:tcPr>
          <w:p w14:paraId="719E8C93" w14:textId="67D6566D" w:rsidR="00895AC4" w:rsidRPr="00872D7E" w:rsidRDefault="00895AC4" w:rsidP="00895AC4">
            <w:pPr>
              <w:jc w:val="right"/>
              <w:rPr>
                <w:b/>
                <w:bCs/>
                <w:color w:val="000000"/>
                <w:sz w:val="16"/>
                <w:szCs w:val="16"/>
              </w:rPr>
            </w:pPr>
            <w:r w:rsidRPr="00872D7E">
              <w:rPr>
                <w:b/>
                <w:bCs/>
                <w:sz w:val="16"/>
                <w:szCs w:val="16"/>
              </w:rPr>
              <w:t>-</w:t>
            </w:r>
          </w:p>
        </w:tc>
        <w:tc>
          <w:tcPr>
            <w:tcW w:w="674" w:type="dxa"/>
            <w:tcBorders>
              <w:top w:val="single" w:sz="4" w:space="0" w:color="auto"/>
              <w:left w:val="nil"/>
              <w:bottom w:val="single" w:sz="4" w:space="0" w:color="auto"/>
              <w:right w:val="nil"/>
            </w:tcBorders>
            <w:vAlign w:val="bottom"/>
          </w:tcPr>
          <w:p w14:paraId="7C7E2973" w14:textId="24BE7B27" w:rsidR="00895AC4" w:rsidRPr="00872D7E" w:rsidRDefault="00895AC4" w:rsidP="00895AC4">
            <w:pPr>
              <w:jc w:val="right"/>
              <w:rPr>
                <w:b/>
                <w:bCs/>
                <w:color w:val="000000"/>
                <w:sz w:val="16"/>
                <w:szCs w:val="16"/>
              </w:rPr>
            </w:pPr>
            <w:r w:rsidRPr="00872D7E">
              <w:rPr>
                <w:b/>
                <w:bCs/>
                <w:sz w:val="16"/>
                <w:szCs w:val="16"/>
              </w:rPr>
              <w:t>-</w:t>
            </w:r>
          </w:p>
        </w:tc>
        <w:tc>
          <w:tcPr>
            <w:tcW w:w="860" w:type="dxa"/>
            <w:tcBorders>
              <w:top w:val="single" w:sz="4" w:space="0" w:color="auto"/>
              <w:left w:val="nil"/>
              <w:bottom w:val="single" w:sz="4" w:space="0" w:color="auto"/>
              <w:right w:val="nil"/>
            </w:tcBorders>
            <w:vAlign w:val="bottom"/>
          </w:tcPr>
          <w:p w14:paraId="0088687B" w14:textId="3A873BB2" w:rsidR="00895AC4" w:rsidRPr="00872D7E" w:rsidRDefault="00895AC4" w:rsidP="00895AC4">
            <w:pPr>
              <w:jc w:val="right"/>
              <w:rPr>
                <w:b/>
                <w:bCs/>
                <w:color w:val="000000"/>
                <w:sz w:val="16"/>
                <w:szCs w:val="16"/>
              </w:rPr>
            </w:pPr>
            <w:r w:rsidRPr="00872D7E">
              <w:rPr>
                <w:b/>
                <w:bCs/>
                <w:sz w:val="16"/>
                <w:szCs w:val="16"/>
              </w:rPr>
              <w:t>649.851</w:t>
            </w:r>
          </w:p>
        </w:tc>
      </w:tr>
    </w:tbl>
    <w:bookmarkEnd w:id="31"/>
    <w:p w14:paraId="5E98B5B6" w14:textId="767DF31B" w:rsidR="00DB1825" w:rsidRPr="00872D7E" w:rsidRDefault="00DB1825" w:rsidP="00261C50">
      <w:pPr>
        <w:rPr>
          <w:sz w:val="14"/>
          <w:szCs w:val="14"/>
        </w:rPr>
      </w:pPr>
      <w:r w:rsidRPr="00872D7E">
        <w:rPr>
          <w:sz w:val="14"/>
          <w:szCs w:val="14"/>
          <w:vertAlign w:val="superscript"/>
        </w:rPr>
        <w:t>(*)</w:t>
      </w:r>
      <w:r w:rsidR="00012D66" w:rsidRPr="00872D7E">
        <w:rPr>
          <w:sz w:val="14"/>
          <w:szCs w:val="14"/>
        </w:rPr>
        <w:tab/>
      </w:r>
      <w:r w:rsidRPr="00872D7E">
        <w:rPr>
          <w:sz w:val="14"/>
          <w:szCs w:val="14"/>
        </w:rPr>
        <w:t xml:space="preserve">Bankaların Sermaye Yeterliliğinin Ölçülmesine ve Değerlendirilmesine İlişkin Yönetmelikte yer alan risk sınıfları dikkate alınacaktır. </w:t>
      </w:r>
    </w:p>
    <w:p w14:paraId="0063B4F3" w14:textId="48E73C22" w:rsidR="00DB1825" w:rsidRPr="00872D7E" w:rsidRDefault="00DB1825" w:rsidP="00261C50">
      <w:pPr>
        <w:rPr>
          <w:sz w:val="14"/>
          <w:szCs w:val="14"/>
        </w:rPr>
      </w:pPr>
      <w:r w:rsidRPr="00872D7E">
        <w:rPr>
          <w:sz w:val="14"/>
          <w:szCs w:val="14"/>
          <w:vertAlign w:val="superscript"/>
        </w:rPr>
        <w:t>(**)</w:t>
      </w:r>
      <w:r w:rsidR="00012D66" w:rsidRPr="00872D7E">
        <w:rPr>
          <w:sz w:val="14"/>
          <w:szCs w:val="14"/>
        </w:rPr>
        <w:tab/>
      </w:r>
      <w:r w:rsidRPr="00872D7E">
        <w:rPr>
          <w:sz w:val="14"/>
          <w:szCs w:val="14"/>
        </w:rPr>
        <w:t xml:space="preserve">AB ülkeleri, ABD ve Kanada dışındaki OECD ülkeleri </w:t>
      </w:r>
    </w:p>
    <w:p w14:paraId="0C218281" w14:textId="51AD2300" w:rsidR="00DB1825" w:rsidRPr="00872D7E" w:rsidRDefault="00DB1825" w:rsidP="00261C50">
      <w:pPr>
        <w:rPr>
          <w:sz w:val="14"/>
          <w:szCs w:val="14"/>
        </w:rPr>
      </w:pPr>
      <w:r w:rsidRPr="00872D7E">
        <w:rPr>
          <w:sz w:val="14"/>
          <w:szCs w:val="14"/>
          <w:vertAlign w:val="superscript"/>
        </w:rPr>
        <w:t>(***)</w:t>
      </w:r>
      <w:r w:rsidR="00012D66" w:rsidRPr="00872D7E">
        <w:rPr>
          <w:sz w:val="14"/>
          <w:szCs w:val="14"/>
        </w:rPr>
        <w:tab/>
      </w:r>
      <w:r w:rsidRPr="00872D7E">
        <w:rPr>
          <w:sz w:val="14"/>
          <w:szCs w:val="14"/>
        </w:rPr>
        <w:t>Tutarlı bir esasa göre bölümlere dağıtılamayan varlık ve yükümlülükler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4801"/>
        <w:gridCol w:w="5943"/>
      </w:tblGrid>
      <w:tr w:rsidR="00012D66" w:rsidRPr="00872D7E" w14:paraId="1C09F937" w14:textId="77777777" w:rsidTr="00BF6F4B">
        <w:tc>
          <w:tcPr>
            <w:tcW w:w="3828" w:type="dxa"/>
          </w:tcPr>
          <w:p w14:paraId="7FFA6054" w14:textId="77777777" w:rsidR="00930C75" w:rsidRPr="00872D7E" w:rsidRDefault="00930C75" w:rsidP="00930C75">
            <w:pPr>
              <w:rPr>
                <w:sz w:val="12"/>
                <w:szCs w:val="16"/>
              </w:rPr>
            </w:pPr>
            <w:r w:rsidRPr="00872D7E">
              <w:rPr>
                <w:sz w:val="12"/>
                <w:szCs w:val="16"/>
              </w:rPr>
              <w:t>1- Merkezi yönetimlerden veya merkez bankalarından alacaklar</w:t>
            </w:r>
          </w:p>
          <w:p w14:paraId="434E6B7B" w14:textId="77777777" w:rsidR="00930C75" w:rsidRPr="00872D7E" w:rsidRDefault="00930C75" w:rsidP="00930C75">
            <w:pPr>
              <w:rPr>
                <w:sz w:val="12"/>
                <w:szCs w:val="16"/>
              </w:rPr>
            </w:pPr>
            <w:r w:rsidRPr="00872D7E">
              <w:rPr>
                <w:sz w:val="12"/>
                <w:szCs w:val="16"/>
              </w:rPr>
              <w:t>2- Bölgesel yönetimlerden veya yerel yönetimlerden alacaklar</w:t>
            </w:r>
          </w:p>
          <w:p w14:paraId="327E15FE" w14:textId="77777777" w:rsidR="00930C75" w:rsidRPr="00872D7E" w:rsidRDefault="00930C75" w:rsidP="00930C75">
            <w:pPr>
              <w:rPr>
                <w:sz w:val="12"/>
                <w:szCs w:val="16"/>
              </w:rPr>
            </w:pPr>
            <w:r w:rsidRPr="00872D7E">
              <w:rPr>
                <w:sz w:val="12"/>
                <w:szCs w:val="16"/>
              </w:rPr>
              <w:t>3- İdari birimlerden ve ticari olmayan girişimlerden alacaklar</w:t>
            </w:r>
          </w:p>
          <w:p w14:paraId="2A1E6F9E" w14:textId="77777777" w:rsidR="00930C75" w:rsidRPr="00872D7E" w:rsidRDefault="00930C75" w:rsidP="00930C75">
            <w:pPr>
              <w:rPr>
                <w:sz w:val="12"/>
                <w:szCs w:val="16"/>
              </w:rPr>
            </w:pPr>
            <w:r w:rsidRPr="00872D7E">
              <w:rPr>
                <w:sz w:val="12"/>
                <w:szCs w:val="16"/>
              </w:rPr>
              <w:t>4- Çok taraflı kalkınma bankalarından alacaklar</w:t>
            </w:r>
          </w:p>
          <w:p w14:paraId="6CACB8AB" w14:textId="77777777" w:rsidR="00930C75" w:rsidRPr="00872D7E" w:rsidRDefault="00930C75" w:rsidP="00930C75">
            <w:pPr>
              <w:rPr>
                <w:sz w:val="12"/>
                <w:szCs w:val="16"/>
              </w:rPr>
            </w:pPr>
            <w:r w:rsidRPr="00872D7E">
              <w:rPr>
                <w:sz w:val="12"/>
                <w:szCs w:val="16"/>
              </w:rPr>
              <w:t>5- Uluslararası teşkilatlardan alacaklar</w:t>
            </w:r>
          </w:p>
          <w:p w14:paraId="77F1C0FE" w14:textId="393561C5" w:rsidR="00012D66" w:rsidRPr="00872D7E" w:rsidRDefault="00930C75" w:rsidP="00930C75">
            <w:pPr>
              <w:rPr>
                <w:sz w:val="12"/>
                <w:szCs w:val="16"/>
              </w:rPr>
            </w:pPr>
            <w:r w:rsidRPr="00872D7E">
              <w:rPr>
                <w:sz w:val="12"/>
                <w:szCs w:val="16"/>
              </w:rPr>
              <w:t>6- Bankalar ve aracı kurumlardan alacaklar</w:t>
            </w:r>
          </w:p>
        </w:tc>
        <w:tc>
          <w:tcPr>
            <w:tcW w:w="4801" w:type="dxa"/>
          </w:tcPr>
          <w:p w14:paraId="51B15537" w14:textId="77777777" w:rsidR="00930C75" w:rsidRPr="00872D7E" w:rsidRDefault="00930C75" w:rsidP="00930C75">
            <w:pPr>
              <w:rPr>
                <w:sz w:val="12"/>
                <w:szCs w:val="16"/>
              </w:rPr>
            </w:pPr>
            <w:r w:rsidRPr="00872D7E">
              <w:rPr>
                <w:sz w:val="12"/>
                <w:szCs w:val="16"/>
              </w:rPr>
              <w:t>7- Kurumsal alacaklar</w:t>
            </w:r>
          </w:p>
          <w:p w14:paraId="1B1EF8AC" w14:textId="77777777" w:rsidR="00930C75" w:rsidRPr="00872D7E" w:rsidRDefault="00930C75" w:rsidP="00930C75">
            <w:pPr>
              <w:rPr>
                <w:sz w:val="12"/>
                <w:szCs w:val="16"/>
              </w:rPr>
            </w:pPr>
            <w:r w:rsidRPr="00872D7E">
              <w:rPr>
                <w:sz w:val="12"/>
                <w:szCs w:val="16"/>
              </w:rPr>
              <w:t>8- Perakende alacaklar</w:t>
            </w:r>
          </w:p>
          <w:p w14:paraId="0E36A239" w14:textId="77777777" w:rsidR="00930C75" w:rsidRPr="00872D7E" w:rsidRDefault="00930C75" w:rsidP="00930C75">
            <w:pPr>
              <w:rPr>
                <w:sz w:val="12"/>
                <w:szCs w:val="16"/>
              </w:rPr>
            </w:pPr>
            <w:r w:rsidRPr="00872D7E">
              <w:rPr>
                <w:sz w:val="12"/>
                <w:szCs w:val="16"/>
              </w:rPr>
              <w:t>9- Gayrimenkul ipoteğiyle teminatlandırılmış alacaklar</w:t>
            </w:r>
          </w:p>
          <w:p w14:paraId="60FA1FF9" w14:textId="77777777" w:rsidR="00930C75" w:rsidRPr="00872D7E" w:rsidRDefault="00930C75" w:rsidP="00930C75">
            <w:pPr>
              <w:rPr>
                <w:sz w:val="12"/>
                <w:szCs w:val="16"/>
              </w:rPr>
            </w:pPr>
            <w:r w:rsidRPr="00872D7E">
              <w:rPr>
                <w:sz w:val="12"/>
                <w:szCs w:val="16"/>
              </w:rPr>
              <w:t>10- Tahsili gecikmiş alacaklar</w:t>
            </w:r>
          </w:p>
          <w:p w14:paraId="76A9874B" w14:textId="77777777" w:rsidR="00930C75" w:rsidRPr="00872D7E" w:rsidRDefault="00930C75" w:rsidP="00930C75">
            <w:pPr>
              <w:rPr>
                <w:sz w:val="12"/>
                <w:szCs w:val="16"/>
              </w:rPr>
            </w:pPr>
            <w:r w:rsidRPr="00872D7E">
              <w:rPr>
                <w:sz w:val="12"/>
                <w:szCs w:val="16"/>
              </w:rPr>
              <w:t>11- Kurulca riski yüksek olarak belirlenen alacaklar</w:t>
            </w:r>
          </w:p>
          <w:p w14:paraId="1D25D3D8" w14:textId="60B84167" w:rsidR="00012D66" w:rsidRPr="00872D7E" w:rsidRDefault="00930C75" w:rsidP="00930C75">
            <w:pPr>
              <w:rPr>
                <w:sz w:val="12"/>
                <w:szCs w:val="16"/>
              </w:rPr>
            </w:pPr>
            <w:r w:rsidRPr="00872D7E">
              <w:rPr>
                <w:sz w:val="12"/>
                <w:szCs w:val="16"/>
              </w:rPr>
              <w:t>12- Teminatlı menkul kıymetler</w:t>
            </w:r>
          </w:p>
        </w:tc>
        <w:tc>
          <w:tcPr>
            <w:tcW w:w="5943" w:type="dxa"/>
          </w:tcPr>
          <w:p w14:paraId="7D8A5AC4" w14:textId="77777777" w:rsidR="00930C75" w:rsidRPr="00872D7E" w:rsidRDefault="00930C75" w:rsidP="00930C75">
            <w:pPr>
              <w:rPr>
                <w:sz w:val="12"/>
                <w:szCs w:val="16"/>
              </w:rPr>
            </w:pPr>
            <w:r w:rsidRPr="00872D7E">
              <w:rPr>
                <w:sz w:val="12"/>
                <w:szCs w:val="16"/>
              </w:rPr>
              <w:t>13- Menkul kıymetleştirme pozisyonları</w:t>
            </w:r>
          </w:p>
          <w:p w14:paraId="3FC90617" w14:textId="77777777" w:rsidR="00930C75" w:rsidRPr="00872D7E" w:rsidRDefault="00930C75" w:rsidP="00930C75">
            <w:pPr>
              <w:rPr>
                <w:sz w:val="12"/>
                <w:szCs w:val="16"/>
              </w:rPr>
            </w:pPr>
            <w:r w:rsidRPr="00872D7E">
              <w:rPr>
                <w:sz w:val="12"/>
                <w:szCs w:val="16"/>
              </w:rPr>
              <w:t>14- Bankalar ve aracı kurumlardan olan kısa vadeli alacaklar ile kısa vadeli kurumsal alacaklar</w:t>
            </w:r>
          </w:p>
          <w:p w14:paraId="1DFB87FC" w14:textId="77777777" w:rsidR="00930C75" w:rsidRPr="00872D7E" w:rsidRDefault="00930C75" w:rsidP="00930C75">
            <w:pPr>
              <w:rPr>
                <w:sz w:val="12"/>
                <w:szCs w:val="16"/>
              </w:rPr>
            </w:pPr>
            <w:r w:rsidRPr="00872D7E">
              <w:rPr>
                <w:sz w:val="12"/>
                <w:szCs w:val="16"/>
              </w:rPr>
              <w:t>15- Kolektif yatırım kuruluşu niteliğindeki yatırımlar</w:t>
            </w:r>
          </w:p>
          <w:p w14:paraId="559C8A0A" w14:textId="77777777" w:rsidR="00930C75" w:rsidRPr="00872D7E" w:rsidRDefault="00930C75" w:rsidP="00930C75">
            <w:pPr>
              <w:rPr>
                <w:sz w:val="12"/>
                <w:szCs w:val="16"/>
              </w:rPr>
            </w:pPr>
            <w:r w:rsidRPr="00872D7E">
              <w:rPr>
                <w:sz w:val="12"/>
                <w:szCs w:val="16"/>
              </w:rPr>
              <w:t>16- Hisse senedi yatırımları</w:t>
            </w:r>
          </w:p>
          <w:p w14:paraId="6A6E1434" w14:textId="71688403" w:rsidR="00012D66" w:rsidRPr="00872D7E" w:rsidRDefault="00930C75" w:rsidP="00930C75">
            <w:pPr>
              <w:rPr>
                <w:sz w:val="12"/>
                <w:szCs w:val="16"/>
              </w:rPr>
            </w:pPr>
            <w:r w:rsidRPr="00872D7E">
              <w:rPr>
                <w:sz w:val="12"/>
                <w:szCs w:val="16"/>
              </w:rPr>
              <w:t>17- Diğer alacaklar</w:t>
            </w:r>
          </w:p>
        </w:tc>
      </w:tr>
    </w:tbl>
    <w:p w14:paraId="33327128" w14:textId="18EA123B" w:rsidR="00261C50" w:rsidRPr="00872D7E" w:rsidRDefault="00261C50" w:rsidP="00261C50">
      <w:pPr>
        <w:autoSpaceDE w:val="0"/>
        <w:autoSpaceDN w:val="0"/>
        <w:adjustRightInd w:val="0"/>
        <w:spacing w:before="120" w:after="120"/>
        <w:jc w:val="both"/>
        <w:rPr>
          <w:b/>
          <w:szCs w:val="20"/>
        </w:rPr>
      </w:pPr>
      <w:r w:rsidRPr="00872D7E">
        <w:rPr>
          <w:b/>
          <w:szCs w:val="20"/>
        </w:rPr>
        <w:lastRenderedPageBreak/>
        <w:t>II.</w:t>
      </w:r>
      <w:r w:rsidRPr="00872D7E">
        <w:rPr>
          <w:b/>
          <w:szCs w:val="20"/>
        </w:rPr>
        <w:tab/>
        <w:t>KREDİ RİSKİNE İLİŞKİN AÇIKLAMALAR (Devamı)</w:t>
      </w:r>
    </w:p>
    <w:p w14:paraId="41C957F1" w14:textId="10CA267F" w:rsidR="00DB1825" w:rsidRPr="00872D7E" w:rsidRDefault="00DB1825" w:rsidP="00261C50">
      <w:pPr>
        <w:tabs>
          <w:tab w:val="left" w:pos="-142"/>
        </w:tabs>
        <w:spacing w:before="120" w:after="120"/>
        <w:ind w:left="-142" w:firstLine="142"/>
        <w:rPr>
          <w:b/>
          <w:szCs w:val="20"/>
        </w:rPr>
      </w:pPr>
      <w:r w:rsidRPr="00872D7E">
        <w:rPr>
          <w:b/>
          <w:szCs w:val="20"/>
        </w:rPr>
        <w:t>Sektörlere veya Karşı Taraflara Göre Risk Profili:</w:t>
      </w:r>
    </w:p>
    <w:tbl>
      <w:tblPr>
        <w:tblW w:w="5000" w:type="pct"/>
        <w:tblCellMar>
          <w:left w:w="30" w:type="dxa"/>
          <w:right w:w="30" w:type="dxa"/>
        </w:tblCellMar>
        <w:tblLook w:val="0000" w:firstRow="0" w:lastRow="0" w:firstColumn="0" w:lastColumn="0" w:noHBand="0" w:noVBand="0"/>
      </w:tblPr>
      <w:tblGrid>
        <w:gridCol w:w="285"/>
        <w:gridCol w:w="1539"/>
        <w:gridCol w:w="700"/>
        <w:gridCol w:w="455"/>
        <w:gridCol w:w="504"/>
        <w:gridCol w:w="291"/>
        <w:gridCol w:w="653"/>
        <w:gridCol w:w="700"/>
        <w:gridCol w:w="781"/>
        <w:gridCol w:w="641"/>
        <w:gridCol w:w="586"/>
        <w:gridCol w:w="414"/>
        <w:gridCol w:w="641"/>
        <w:gridCol w:w="463"/>
        <w:gridCol w:w="711"/>
        <w:gridCol w:w="711"/>
        <w:gridCol w:w="711"/>
        <w:gridCol w:w="711"/>
        <w:gridCol w:w="711"/>
        <w:gridCol w:w="781"/>
        <w:gridCol w:w="793"/>
        <w:gridCol w:w="790"/>
      </w:tblGrid>
      <w:tr w:rsidR="001A327E" w:rsidRPr="00872D7E" w14:paraId="5BBC50C0" w14:textId="77777777" w:rsidTr="001A327E">
        <w:trPr>
          <w:trHeight w:val="133"/>
        </w:trPr>
        <w:tc>
          <w:tcPr>
            <w:tcW w:w="98" w:type="pct"/>
            <w:tcBorders>
              <w:top w:val="single" w:sz="4" w:space="0" w:color="auto"/>
              <w:bottom w:val="single" w:sz="4" w:space="0" w:color="auto"/>
            </w:tcBorders>
            <w:shd w:val="clear" w:color="auto" w:fill="auto"/>
            <w:vAlign w:val="bottom"/>
          </w:tcPr>
          <w:p w14:paraId="6F2F9A0E" w14:textId="77777777" w:rsidR="001A327E" w:rsidRPr="00872D7E" w:rsidRDefault="001A327E" w:rsidP="00AC09C3">
            <w:pPr>
              <w:autoSpaceDE w:val="0"/>
              <w:autoSpaceDN w:val="0"/>
              <w:adjustRightInd w:val="0"/>
              <w:ind w:left="180" w:hanging="180"/>
              <w:rPr>
                <w:rFonts w:eastAsia="Arial Unicode MS"/>
                <w:b/>
                <w:sz w:val="15"/>
                <w:szCs w:val="15"/>
              </w:rPr>
            </w:pPr>
          </w:p>
        </w:tc>
        <w:tc>
          <w:tcPr>
            <w:tcW w:w="528" w:type="pct"/>
            <w:tcBorders>
              <w:top w:val="single" w:sz="4" w:space="0" w:color="auto"/>
              <w:bottom w:val="single" w:sz="4" w:space="0" w:color="auto"/>
            </w:tcBorders>
            <w:shd w:val="clear" w:color="auto" w:fill="auto"/>
            <w:vAlign w:val="bottom"/>
          </w:tcPr>
          <w:p w14:paraId="1036084B" w14:textId="77777777" w:rsidR="001A327E" w:rsidRPr="00872D7E" w:rsidRDefault="001A327E" w:rsidP="00AC09C3">
            <w:pPr>
              <w:autoSpaceDE w:val="0"/>
              <w:autoSpaceDN w:val="0"/>
              <w:adjustRightInd w:val="0"/>
              <w:ind w:left="180" w:hanging="180"/>
              <w:rPr>
                <w:rFonts w:eastAsia="Arial Unicode MS"/>
                <w:b/>
                <w:sz w:val="15"/>
                <w:szCs w:val="15"/>
              </w:rPr>
            </w:pPr>
          </w:p>
        </w:tc>
        <w:tc>
          <w:tcPr>
            <w:tcW w:w="240" w:type="pct"/>
            <w:tcBorders>
              <w:top w:val="single" w:sz="4" w:space="0" w:color="auto"/>
              <w:bottom w:val="single" w:sz="4" w:space="0" w:color="auto"/>
            </w:tcBorders>
            <w:shd w:val="clear" w:color="auto" w:fill="auto"/>
            <w:vAlign w:val="bottom"/>
          </w:tcPr>
          <w:p w14:paraId="03E8ECCE" w14:textId="77777777" w:rsidR="001A327E" w:rsidRPr="00872D7E" w:rsidRDefault="001A327E" w:rsidP="00AC09C3">
            <w:pPr>
              <w:autoSpaceDE w:val="0"/>
              <w:autoSpaceDN w:val="0"/>
              <w:adjustRightInd w:val="0"/>
              <w:jc w:val="right"/>
              <w:rPr>
                <w:rFonts w:eastAsia="Arial Unicode MS"/>
                <w:b/>
                <w:sz w:val="15"/>
                <w:szCs w:val="15"/>
              </w:rPr>
            </w:pPr>
          </w:p>
        </w:tc>
        <w:tc>
          <w:tcPr>
            <w:tcW w:w="156" w:type="pct"/>
            <w:tcBorders>
              <w:top w:val="single" w:sz="4" w:space="0" w:color="auto"/>
              <w:bottom w:val="single" w:sz="4" w:space="0" w:color="auto"/>
            </w:tcBorders>
            <w:shd w:val="clear" w:color="auto" w:fill="auto"/>
            <w:vAlign w:val="bottom"/>
          </w:tcPr>
          <w:p w14:paraId="19D16039" w14:textId="77777777" w:rsidR="001A327E" w:rsidRPr="00872D7E" w:rsidRDefault="001A327E" w:rsidP="00AC09C3">
            <w:pPr>
              <w:autoSpaceDE w:val="0"/>
              <w:autoSpaceDN w:val="0"/>
              <w:adjustRightInd w:val="0"/>
              <w:jc w:val="right"/>
              <w:rPr>
                <w:rFonts w:eastAsia="Arial Unicode MS"/>
                <w:b/>
                <w:sz w:val="15"/>
                <w:szCs w:val="15"/>
              </w:rPr>
            </w:pPr>
          </w:p>
        </w:tc>
        <w:tc>
          <w:tcPr>
            <w:tcW w:w="173" w:type="pct"/>
            <w:tcBorders>
              <w:top w:val="single" w:sz="4" w:space="0" w:color="auto"/>
              <w:bottom w:val="single" w:sz="4" w:space="0" w:color="auto"/>
            </w:tcBorders>
            <w:shd w:val="clear" w:color="auto" w:fill="auto"/>
            <w:vAlign w:val="bottom"/>
          </w:tcPr>
          <w:p w14:paraId="106525D4" w14:textId="77777777" w:rsidR="001A327E" w:rsidRPr="00872D7E" w:rsidRDefault="001A327E" w:rsidP="00AC09C3">
            <w:pPr>
              <w:autoSpaceDE w:val="0"/>
              <w:autoSpaceDN w:val="0"/>
              <w:adjustRightInd w:val="0"/>
              <w:jc w:val="right"/>
              <w:rPr>
                <w:rFonts w:eastAsia="Arial Unicode MS"/>
                <w:b/>
                <w:sz w:val="15"/>
                <w:szCs w:val="15"/>
              </w:rPr>
            </w:pPr>
          </w:p>
        </w:tc>
        <w:tc>
          <w:tcPr>
            <w:tcW w:w="100" w:type="pct"/>
            <w:tcBorders>
              <w:top w:val="single" w:sz="4" w:space="0" w:color="auto"/>
              <w:bottom w:val="single" w:sz="4" w:space="0" w:color="auto"/>
            </w:tcBorders>
            <w:shd w:val="clear" w:color="auto" w:fill="auto"/>
            <w:vAlign w:val="bottom"/>
          </w:tcPr>
          <w:p w14:paraId="1368F58F" w14:textId="77777777" w:rsidR="001A327E" w:rsidRPr="00872D7E" w:rsidRDefault="001A327E" w:rsidP="00AC09C3">
            <w:pPr>
              <w:autoSpaceDE w:val="0"/>
              <w:autoSpaceDN w:val="0"/>
              <w:adjustRightInd w:val="0"/>
              <w:jc w:val="right"/>
              <w:rPr>
                <w:rFonts w:eastAsia="Arial Unicode MS"/>
                <w:b/>
                <w:sz w:val="15"/>
                <w:szCs w:val="15"/>
              </w:rPr>
            </w:pPr>
          </w:p>
        </w:tc>
        <w:tc>
          <w:tcPr>
            <w:tcW w:w="224" w:type="pct"/>
            <w:tcBorders>
              <w:top w:val="single" w:sz="4" w:space="0" w:color="auto"/>
              <w:bottom w:val="single" w:sz="4" w:space="0" w:color="auto"/>
            </w:tcBorders>
            <w:shd w:val="clear" w:color="auto" w:fill="auto"/>
            <w:vAlign w:val="bottom"/>
          </w:tcPr>
          <w:p w14:paraId="3CA123A0" w14:textId="77777777" w:rsidR="001A327E" w:rsidRPr="00872D7E" w:rsidRDefault="001A327E" w:rsidP="00AC09C3">
            <w:pPr>
              <w:autoSpaceDE w:val="0"/>
              <w:autoSpaceDN w:val="0"/>
              <w:adjustRightInd w:val="0"/>
              <w:jc w:val="right"/>
              <w:rPr>
                <w:rFonts w:eastAsia="Arial Unicode MS"/>
                <w:b/>
                <w:sz w:val="15"/>
                <w:szCs w:val="15"/>
              </w:rPr>
            </w:pPr>
          </w:p>
        </w:tc>
        <w:tc>
          <w:tcPr>
            <w:tcW w:w="240" w:type="pct"/>
            <w:tcBorders>
              <w:top w:val="single" w:sz="4" w:space="0" w:color="auto"/>
              <w:bottom w:val="single" w:sz="4" w:space="0" w:color="auto"/>
            </w:tcBorders>
            <w:shd w:val="clear" w:color="auto" w:fill="auto"/>
            <w:vAlign w:val="bottom"/>
          </w:tcPr>
          <w:p w14:paraId="0CE07F34" w14:textId="77777777" w:rsidR="001A327E" w:rsidRPr="00872D7E" w:rsidRDefault="001A327E" w:rsidP="00AC09C3">
            <w:pPr>
              <w:autoSpaceDE w:val="0"/>
              <w:autoSpaceDN w:val="0"/>
              <w:adjustRightInd w:val="0"/>
              <w:jc w:val="right"/>
              <w:rPr>
                <w:rFonts w:eastAsia="Arial Unicode MS"/>
                <w:b/>
                <w:sz w:val="15"/>
                <w:szCs w:val="15"/>
              </w:rPr>
            </w:pPr>
          </w:p>
        </w:tc>
        <w:tc>
          <w:tcPr>
            <w:tcW w:w="268" w:type="pct"/>
            <w:tcBorders>
              <w:top w:val="single" w:sz="4" w:space="0" w:color="auto"/>
              <w:bottom w:val="single" w:sz="4" w:space="0" w:color="auto"/>
            </w:tcBorders>
            <w:shd w:val="clear" w:color="auto" w:fill="auto"/>
            <w:vAlign w:val="bottom"/>
          </w:tcPr>
          <w:p w14:paraId="1B7CABB6" w14:textId="7A60B165" w:rsidR="001A327E" w:rsidRPr="00872D7E" w:rsidRDefault="001A327E" w:rsidP="00AC09C3">
            <w:pPr>
              <w:autoSpaceDE w:val="0"/>
              <w:autoSpaceDN w:val="0"/>
              <w:adjustRightInd w:val="0"/>
              <w:jc w:val="right"/>
              <w:rPr>
                <w:rFonts w:eastAsia="Arial Unicode MS"/>
                <w:b/>
                <w:sz w:val="15"/>
                <w:szCs w:val="15"/>
              </w:rPr>
            </w:pPr>
          </w:p>
        </w:tc>
        <w:tc>
          <w:tcPr>
            <w:tcW w:w="220" w:type="pct"/>
            <w:tcBorders>
              <w:top w:val="single" w:sz="4" w:space="0" w:color="auto"/>
              <w:bottom w:val="single" w:sz="4" w:space="0" w:color="auto"/>
            </w:tcBorders>
            <w:shd w:val="clear" w:color="auto" w:fill="auto"/>
            <w:vAlign w:val="bottom"/>
          </w:tcPr>
          <w:p w14:paraId="18D412FA" w14:textId="77777777" w:rsidR="001A327E" w:rsidRPr="00872D7E" w:rsidRDefault="001A327E" w:rsidP="00AC09C3">
            <w:pPr>
              <w:autoSpaceDE w:val="0"/>
              <w:autoSpaceDN w:val="0"/>
              <w:adjustRightInd w:val="0"/>
              <w:jc w:val="right"/>
              <w:rPr>
                <w:rFonts w:eastAsia="Arial Unicode MS"/>
                <w:b/>
                <w:sz w:val="15"/>
                <w:szCs w:val="15"/>
              </w:rPr>
            </w:pPr>
          </w:p>
        </w:tc>
        <w:tc>
          <w:tcPr>
            <w:tcW w:w="343" w:type="pct"/>
            <w:gridSpan w:val="2"/>
            <w:tcBorders>
              <w:top w:val="single" w:sz="4" w:space="0" w:color="auto"/>
              <w:bottom w:val="single" w:sz="4" w:space="0" w:color="auto"/>
            </w:tcBorders>
            <w:shd w:val="clear" w:color="auto" w:fill="auto"/>
            <w:vAlign w:val="bottom"/>
          </w:tcPr>
          <w:p w14:paraId="6D4B0E6A" w14:textId="6F466369" w:rsidR="001A327E" w:rsidRPr="00872D7E" w:rsidRDefault="001A327E" w:rsidP="00AC09C3">
            <w:pPr>
              <w:jc w:val="right"/>
              <w:rPr>
                <w:b/>
                <w:bCs/>
                <w:color w:val="000000"/>
                <w:sz w:val="15"/>
                <w:szCs w:val="15"/>
              </w:rPr>
            </w:pPr>
            <w:r w:rsidRPr="00872D7E">
              <w:rPr>
                <w:rFonts w:eastAsia="Arial Unicode MS"/>
                <w:b/>
                <w:sz w:val="15"/>
                <w:szCs w:val="15"/>
              </w:rPr>
              <w:t>Risk Sınıfları</w:t>
            </w:r>
          </w:p>
        </w:tc>
        <w:tc>
          <w:tcPr>
            <w:tcW w:w="220" w:type="pct"/>
            <w:tcBorders>
              <w:top w:val="single" w:sz="4" w:space="0" w:color="auto"/>
              <w:bottom w:val="single" w:sz="4" w:space="0" w:color="auto"/>
            </w:tcBorders>
            <w:shd w:val="clear" w:color="auto" w:fill="auto"/>
          </w:tcPr>
          <w:p w14:paraId="7374F75C" w14:textId="77777777" w:rsidR="001A327E" w:rsidRPr="00872D7E" w:rsidRDefault="001A327E" w:rsidP="00AC09C3">
            <w:pPr>
              <w:jc w:val="right"/>
              <w:rPr>
                <w:b/>
                <w:bCs/>
                <w:color w:val="000000"/>
                <w:sz w:val="15"/>
                <w:szCs w:val="15"/>
              </w:rPr>
            </w:pPr>
          </w:p>
        </w:tc>
        <w:tc>
          <w:tcPr>
            <w:tcW w:w="159" w:type="pct"/>
            <w:tcBorders>
              <w:top w:val="single" w:sz="4" w:space="0" w:color="auto"/>
              <w:bottom w:val="single" w:sz="4" w:space="0" w:color="auto"/>
            </w:tcBorders>
            <w:shd w:val="clear" w:color="auto" w:fill="auto"/>
          </w:tcPr>
          <w:p w14:paraId="69427231" w14:textId="77777777" w:rsidR="001A327E" w:rsidRPr="00872D7E" w:rsidRDefault="001A327E" w:rsidP="00AC09C3">
            <w:pPr>
              <w:tabs>
                <w:tab w:val="left" w:pos="272"/>
                <w:tab w:val="right" w:pos="606"/>
              </w:tabs>
              <w:jc w:val="right"/>
              <w:rPr>
                <w:b/>
                <w:bCs/>
                <w:color w:val="000000"/>
                <w:sz w:val="15"/>
                <w:szCs w:val="15"/>
              </w:rPr>
            </w:pPr>
          </w:p>
        </w:tc>
        <w:tc>
          <w:tcPr>
            <w:tcW w:w="244" w:type="pct"/>
            <w:tcBorders>
              <w:top w:val="single" w:sz="4" w:space="0" w:color="auto"/>
              <w:bottom w:val="single" w:sz="4" w:space="0" w:color="auto"/>
            </w:tcBorders>
          </w:tcPr>
          <w:p w14:paraId="4B97544F" w14:textId="77777777" w:rsidR="001A327E" w:rsidRPr="00872D7E" w:rsidRDefault="001A327E" w:rsidP="00AC09C3">
            <w:pPr>
              <w:jc w:val="right"/>
              <w:rPr>
                <w:b/>
                <w:bCs/>
                <w:color w:val="000000"/>
                <w:sz w:val="15"/>
                <w:szCs w:val="15"/>
              </w:rPr>
            </w:pPr>
          </w:p>
        </w:tc>
        <w:tc>
          <w:tcPr>
            <w:tcW w:w="244" w:type="pct"/>
            <w:tcBorders>
              <w:top w:val="single" w:sz="4" w:space="0" w:color="auto"/>
              <w:bottom w:val="single" w:sz="4" w:space="0" w:color="auto"/>
            </w:tcBorders>
          </w:tcPr>
          <w:p w14:paraId="5964205A" w14:textId="6F9BEB1B" w:rsidR="001A327E" w:rsidRPr="00872D7E" w:rsidRDefault="001A327E" w:rsidP="00AC09C3">
            <w:pPr>
              <w:jc w:val="right"/>
              <w:rPr>
                <w:b/>
                <w:bCs/>
                <w:color w:val="000000"/>
                <w:sz w:val="15"/>
                <w:szCs w:val="15"/>
              </w:rPr>
            </w:pPr>
          </w:p>
        </w:tc>
        <w:tc>
          <w:tcPr>
            <w:tcW w:w="244" w:type="pct"/>
            <w:tcBorders>
              <w:top w:val="single" w:sz="4" w:space="0" w:color="auto"/>
              <w:bottom w:val="single" w:sz="4" w:space="0" w:color="auto"/>
            </w:tcBorders>
          </w:tcPr>
          <w:p w14:paraId="43B31871" w14:textId="0DD5AD40" w:rsidR="001A327E" w:rsidRPr="00872D7E" w:rsidRDefault="001A327E" w:rsidP="00AC09C3">
            <w:pPr>
              <w:jc w:val="right"/>
              <w:rPr>
                <w:b/>
                <w:bCs/>
                <w:color w:val="000000"/>
                <w:sz w:val="15"/>
                <w:szCs w:val="15"/>
              </w:rPr>
            </w:pPr>
          </w:p>
        </w:tc>
        <w:tc>
          <w:tcPr>
            <w:tcW w:w="244" w:type="pct"/>
            <w:tcBorders>
              <w:top w:val="single" w:sz="4" w:space="0" w:color="auto"/>
              <w:bottom w:val="single" w:sz="4" w:space="0" w:color="auto"/>
            </w:tcBorders>
          </w:tcPr>
          <w:p w14:paraId="55573F08" w14:textId="2377BDA5" w:rsidR="001A327E" w:rsidRPr="00872D7E" w:rsidRDefault="001A327E" w:rsidP="00AC09C3">
            <w:pPr>
              <w:jc w:val="right"/>
              <w:rPr>
                <w:b/>
                <w:bCs/>
                <w:color w:val="000000"/>
                <w:sz w:val="15"/>
                <w:szCs w:val="15"/>
              </w:rPr>
            </w:pPr>
          </w:p>
        </w:tc>
        <w:tc>
          <w:tcPr>
            <w:tcW w:w="244" w:type="pct"/>
            <w:tcBorders>
              <w:top w:val="single" w:sz="4" w:space="0" w:color="auto"/>
              <w:bottom w:val="single" w:sz="4" w:space="0" w:color="auto"/>
            </w:tcBorders>
          </w:tcPr>
          <w:p w14:paraId="670B5588" w14:textId="77777777" w:rsidR="001A327E" w:rsidRPr="00872D7E" w:rsidRDefault="001A327E" w:rsidP="00AC09C3">
            <w:pPr>
              <w:jc w:val="right"/>
              <w:rPr>
                <w:b/>
                <w:bCs/>
                <w:color w:val="000000"/>
                <w:sz w:val="15"/>
                <w:szCs w:val="15"/>
              </w:rPr>
            </w:pPr>
          </w:p>
        </w:tc>
        <w:tc>
          <w:tcPr>
            <w:tcW w:w="268" w:type="pct"/>
            <w:tcBorders>
              <w:top w:val="single" w:sz="4" w:space="0" w:color="auto"/>
              <w:bottom w:val="single" w:sz="4" w:space="0" w:color="auto"/>
            </w:tcBorders>
            <w:shd w:val="clear" w:color="auto" w:fill="auto"/>
            <w:vAlign w:val="bottom"/>
          </w:tcPr>
          <w:p w14:paraId="35239FB0" w14:textId="765647BF" w:rsidR="001A327E" w:rsidRPr="00872D7E" w:rsidRDefault="001A327E" w:rsidP="00AC09C3">
            <w:pPr>
              <w:jc w:val="right"/>
              <w:rPr>
                <w:b/>
                <w:bCs/>
                <w:color w:val="000000"/>
                <w:sz w:val="15"/>
                <w:szCs w:val="15"/>
              </w:rPr>
            </w:pPr>
          </w:p>
        </w:tc>
        <w:tc>
          <w:tcPr>
            <w:tcW w:w="272" w:type="pct"/>
            <w:tcBorders>
              <w:top w:val="single" w:sz="4" w:space="0" w:color="auto"/>
              <w:bottom w:val="single" w:sz="4" w:space="0" w:color="auto"/>
            </w:tcBorders>
            <w:shd w:val="clear" w:color="auto" w:fill="auto"/>
            <w:vAlign w:val="bottom"/>
          </w:tcPr>
          <w:p w14:paraId="32B1ED44" w14:textId="77777777" w:rsidR="001A327E" w:rsidRPr="00872D7E" w:rsidRDefault="001A327E" w:rsidP="00AC09C3">
            <w:pPr>
              <w:jc w:val="right"/>
              <w:rPr>
                <w:b/>
                <w:bCs/>
                <w:color w:val="000000"/>
                <w:sz w:val="15"/>
                <w:szCs w:val="15"/>
              </w:rPr>
            </w:pPr>
          </w:p>
        </w:tc>
        <w:tc>
          <w:tcPr>
            <w:tcW w:w="273" w:type="pct"/>
            <w:tcBorders>
              <w:top w:val="single" w:sz="4" w:space="0" w:color="auto"/>
              <w:bottom w:val="single" w:sz="4" w:space="0" w:color="auto"/>
            </w:tcBorders>
            <w:shd w:val="clear" w:color="auto" w:fill="auto"/>
            <w:vAlign w:val="bottom"/>
          </w:tcPr>
          <w:p w14:paraId="6EE82ABC" w14:textId="77777777" w:rsidR="001A327E" w:rsidRPr="00872D7E" w:rsidRDefault="001A327E" w:rsidP="00AC09C3">
            <w:pPr>
              <w:jc w:val="right"/>
              <w:rPr>
                <w:b/>
                <w:bCs/>
                <w:color w:val="000000"/>
                <w:sz w:val="15"/>
                <w:szCs w:val="15"/>
              </w:rPr>
            </w:pPr>
          </w:p>
        </w:tc>
      </w:tr>
      <w:tr w:rsidR="001A327E" w:rsidRPr="00872D7E" w14:paraId="27735E8E" w14:textId="77777777" w:rsidTr="001A327E">
        <w:trPr>
          <w:trHeight w:val="133"/>
        </w:trPr>
        <w:tc>
          <w:tcPr>
            <w:tcW w:w="98" w:type="pct"/>
            <w:tcBorders>
              <w:top w:val="single" w:sz="4" w:space="0" w:color="auto"/>
              <w:bottom w:val="single" w:sz="4" w:space="0" w:color="auto"/>
            </w:tcBorders>
            <w:shd w:val="clear" w:color="auto" w:fill="auto"/>
            <w:vAlign w:val="bottom"/>
          </w:tcPr>
          <w:p w14:paraId="5994E4FD" w14:textId="77777777" w:rsidR="001A327E" w:rsidRPr="00872D7E" w:rsidRDefault="001A327E" w:rsidP="00AC09C3">
            <w:pPr>
              <w:autoSpaceDE w:val="0"/>
              <w:autoSpaceDN w:val="0"/>
              <w:adjustRightInd w:val="0"/>
              <w:ind w:left="180" w:hanging="180"/>
              <w:rPr>
                <w:rFonts w:eastAsia="Arial Unicode MS"/>
                <w:b/>
                <w:sz w:val="15"/>
                <w:szCs w:val="15"/>
              </w:rPr>
            </w:pPr>
          </w:p>
        </w:tc>
        <w:tc>
          <w:tcPr>
            <w:tcW w:w="528" w:type="pct"/>
            <w:tcBorders>
              <w:top w:val="single" w:sz="4" w:space="0" w:color="auto"/>
              <w:bottom w:val="single" w:sz="4" w:space="0" w:color="auto"/>
            </w:tcBorders>
            <w:shd w:val="clear" w:color="auto" w:fill="auto"/>
            <w:vAlign w:val="bottom"/>
          </w:tcPr>
          <w:p w14:paraId="4021A024" w14:textId="77777777" w:rsidR="001A327E" w:rsidRPr="00872D7E" w:rsidRDefault="001A327E" w:rsidP="00AC09C3">
            <w:pPr>
              <w:autoSpaceDE w:val="0"/>
              <w:autoSpaceDN w:val="0"/>
              <w:adjustRightInd w:val="0"/>
              <w:ind w:left="180" w:hanging="180"/>
              <w:rPr>
                <w:rFonts w:eastAsia="Arial Unicode MS"/>
                <w:b/>
                <w:sz w:val="15"/>
                <w:szCs w:val="15"/>
              </w:rPr>
            </w:pPr>
            <w:r w:rsidRPr="00872D7E">
              <w:rPr>
                <w:rFonts w:eastAsia="Arial Unicode MS"/>
                <w:b/>
                <w:sz w:val="15"/>
                <w:szCs w:val="15"/>
              </w:rPr>
              <w:t>Sektörler/Karşı Taraflar</w:t>
            </w:r>
          </w:p>
        </w:tc>
        <w:tc>
          <w:tcPr>
            <w:tcW w:w="240" w:type="pct"/>
            <w:tcBorders>
              <w:top w:val="single" w:sz="4" w:space="0" w:color="auto"/>
              <w:bottom w:val="single" w:sz="4" w:space="0" w:color="auto"/>
            </w:tcBorders>
            <w:shd w:val="clear" w:color="auto" w:fill="auto"/>
            <w:vAlign w:val="bottom"/>
          </w:tcPr>
          <w:p w14:paraId="650963EF" w14:textId="77777777" w:rsidR="001A327E" w:rsidRPr="00872D7E" w:rsidRDefault="001A327E" w:rsidP="001A327E">
            <w:pPr>
              <w:autoSpaceDE w:val="0"/>
              <w:autoSpaceDN w:val="0"/>
              <w:adjustRightInd w:val="0"/>
              <w:jc w:val="right"/>
              <w:rPr>
                <w:rFonts w:eastAsia="Arial Unicode MS"/>
                <w:b/>
                <w:sz w:val="15"/>
                <w:szCs w:val="15"/>
              </w:rPr>
            </w:pPr>
            <w:r w:rsidRPr="00872D7E">
              <w:rPr>
                <w:rFonts w:eastAsia="Arial Unicode MS"/>
                <w:b/>
                <w:sz w:val="15"/>
                <w:szCs w:val="15"/>
              </w:rPr>
              <w:t>1</w:t>
            </w:r>
          </w:p>
        </w:tc>
        <w:tc>
          <w:tcPr>
            <w:tcW w:w="156" w:type="pct"/>
            <w:tcBorders>
              <w:top w:val="single" w:sz="4" w:space="0" w:color="auto"/>
              <w:bottom w:val="single" w:sz="4" w:space="0" w:color="auto"/>
            </w:tcBorders>
            <w:shd w:val="clear" w:color="auto" w:fill="auto"/>
            <w:vAlign w:val="bottom"/>
          </w:tcPr>
          <w:p w14:paraId="344BC661" w14:textId="77777777" w:rsidR="001A327E" w:rsidRPr="00872D7E" w:rsidRDefault="001A327E" w:rsidP="001A327E">
            <w:pPr>
              <w:autoSpaceDE w:val="0"/>
              <w:autoSpaceDN w:val="0"/>
              <w:adjustRightInd w:val="0"/>
              <w:jc w:val="right"/>
              <w:rPr>
                <w:rFonts w:eastAsia="Arial Unicode MS"/>
                <w:b/>
                <w:sz w:val="15"/>
                <w:szCs w:val="15"/>
              </w:rPr>
            </w:pPr>
            <w:r w:rsidRPr="00872D7E">
              <w:rPr>
                <w:rFonts w:eastAsia="Arial Unicode MS"/>
                <w:b/>
                <w:sz w:val="15"/>
                <w:szCs w:val="15"/>
              </w:rPr>
              <w:t>2</w:t>
            </w:r>
          </w:p>
        </w:tc>
        <w:tc>
          <w:tcPr>
            <w:tcW w:w="173" w:type="pct"/>
            <w:tcBorders>
              <w:top w:val="single" w:sz="4" w:space="0" w:color="auto"/>
              <w:bottom w:val="single" w:sz="4" w:space="0" w:color="auto"/>
            </w:tcBorders>
            <w:shd w:val="clear" w:color="auto" w:fill="auto"/>
            <w:vAlign w:val="bottom"/>
          </w:tcPr>
          <w:p w14:paraId="5A06490F" w14:textId="77777777" w:rsidR="001A327E" w:rsidRPr="00872D7E" w:rsidRDefault="001A327E" w:rsidP="001A327E">
            <w:pPr>
              <w:autoSpaceDE w:val="0"/>
              <w:autoSpaceDN w:val="0"/>
              <w:adjustRightInd w:val="0"/>
              <w:jc w:val="right"/>
              <w:rPr>
                <w:rFonts w:eastAsia="Arial Unicode MS"/>
                <w:b/>
                <w:sz w:val="15"/>
                <w:szCs w:val="15"/>
              </w:rPr>
            </w:pPr>
            <w:r w:rsidRPr="00872D7E">
              <w:rPr>
                <w:rFonts w:eastAsia="Arial Unicode MS"/>
                <w:b/>
                <w:sz w:val="15"/>
                <w:szCs w:val="15"/>
              </w:rPr>
              <w:t>3</w:t>
            </w:r>
          </w:p>
        </w:tc>
        <w:tc>
          <w:tcPr>
            <w:tcW w:w="100" w:type="pct"/>
            <w:tcBorders>
              <w:top w:val="single" w:sz="4" w:space="0" w:color="auto"/>
              <w:bottom w:val="single" w:sz="4" w:space="0" w:color="auto"/>
            </w:tcBorders>
            <w:shd w:val="clear" w:color="auto" w:fill="auto"/>
            <w:vAlign w:val="bottom"/>
          </w:tcPr>
          <w:p w14:paraId="3E2DABC7" w14:textId="77777777" w:rsidR="001A327E" w:rsidRPr="00872D7E" w:rsidRDefault="001A327E" w:rsidP="001A327E">
            <w:pPr>
              <w:autoSpaceDE w:val="0"/>
              <w:autoSpaceDN w:val="0"/>
              <w:adjustRightInd w:val="0"/>
              <w:jc w:val="right"/>
              <w:rPr>
                <w:rFonts w:eastAsia="Arial Unicode MS"/>
                <w:b/>
                <w:sz w:val="15"/>
                <w:szCs w:val="15"/>
              </w:rPr>
            </w:pPr>
            <w:r w:rsidRPr="00872D7E">
              <w:rPr>
                <w:rFonts w:eastAsia="Arial Unicode MS"/>
                <w:b/>
                <w:sz w:val="15"/>
                <w:szCs w:val="15"/>
              </w:rPr>
              <w:t>4</w:t>
            </w:r>
          </w:p>
        </w:tc>
        <w:tc>
          <w:tcPr>
            <w:tcW w:w="224" w:type="pct"/>
            <w:tcBorders>
              <w:top w:val="single" w:sz="4" w:space="0" w:color="auto"/>
              <w:bottom w:val="single" w:sz="4" w:space="0" w:color="auto"/>
            </w:tcBorders>
            <w:shd w:val="clear" w:color="auto" w:fill="auto"/>
            <w:vAlign w:val="bottom"/>
          </w:tcPr>
          <w:p w14:paraId="7923B746" w14:textId="77777777" w:rsidR="001A327E" w:rsidRPr="00872D7E" w:rsidRDefault="001A327E" w:rsidP="001A327E">
            <w:pPr>
              <w:autoSpaceDE w:val="0"/>
              <w:autoSpaceDN w:val="0"/>
              <w:adjustRightInd w:val="0"/>
              <w:jc w:val="right"/>
              <w:rPr>
                <w:rFonts w:eastAsia="Arial Unicode MS"/>
                <w:b/>
                <w:sz w:val="15"/>
                <w:szCs w:val="15"/>
              </w:rPr>
            </w:pPr>
            <w:r w:rsidRPr="00872D7E">
              <w:rPr>
                <w:rFonts w:eastAsia="Arial Unicode MS"/>
                <w:b/>
                <w:sz w:val="15"/>
                <w:szCs w:val="15"/>
              </w:rPr>
              <w:t>5</w:t>
            </w:r>
          </w:p>
        </w:tc>
        <w:tc>
          <w:tcPr>
            <w:tcW w:w="240" w:type="pct"/>
            <w:tcBorders>
              <w:top w:val="single" w:sz="4" w:space="0" w:color="auto"/>
              <w:bottom w:val="single" w:sz="4" w:space="0" w:color="auto"/>
            </w:tcBorders>
            <w:shd w:val="clear" w:color="auto" w:fill="auto"/>
            <w:vAlign w:val="bottom"/>
          </w:tcPr>
          <w:p w14:paraId="6A3AEB4B" w14:textId="77777777" w:rsidR="001A327E" w:rsidRPr="00872D7E" w:rsidRDefault="001A327E" w:rsidP="001A327E">
            <w:pPr>
              <w:autoSpaceDE w:val="0"/>
              <w:autoSpaceDN w:val="0"/>
              <w:adjustRightInd w:val="0"/>
              <w:jc w:val="right"/>
              <w:rPr>
                <w:rFonts w:eastAsia="Arial Unicode MS"/>
                <w:b/>
                <w:sz w:val="15"/>
                <w:szCs w:val="15"/>
              </w:rPr>
            </w:pPr>
            <w:r w:rsidRPr="00872D7E">
              <w:rPr>
                <w:rFonts w:eastAsia="Arial Unicode MS"/>
                <w:b/>
                <w:sz w:val="15"/>
                <w:szCs w:val="15"/>
              </w:rPr>
              <w:t>6</w:t>
            </w:r>
          </w:p>
        </w:tc>
        <w:tc>
          <w:tcPr>
            <w:tcW w:w="268" w:type="pct"/>
            <w:tcBorders>
              <w:top w:val="single" w:sz="4" w:space="0" w:color="auto"/>
              <w:bottom w:val="single" w:sz="4" w:space="0" w:color="auto"/>
            </w:tcBorders>
            <w:shd w:val="clear" w:color="auto" w:fill="auto"/>
            <w:vAlign w:val="bottom"/>
          </w:tcPr>
          <w:p w14:paraId="7161879E" w14:textId="77777777" w:rsidR="001A327E" w:rsidRPr="00872D7E" w:rsidRDefault="001A327E" w:rsidP="001A327E">
            <w:pPr>
              <w:autoSpaceDE w:val="0"/>
              <w:autoSpaceDN w:val="0"/>
              <w:adjustRightInd w:val="0"/>
              <w:jc w:val="right"/>
              <w:rPr>
                <w:rFonts w:eastAsia="Arial Unicode MS"/>
                <w:b/>
                <w:sz w:val="15"/>
                <w:szCs w:val="15"/>
              </w:rPr>
            </w:pPr>
            <w:r w:rsidRPr="00872D7E">
              <w:rPr>
                <w:rFonts w:eastAsia="Arial Unicode MS"/>
                <w:b/>
                <w:sz w:val="15"/>
                <w:szCs w:val="15"/>
              </w:rPr>
              <w:t>7</w:t>
            </w:r>
          </w:p>
        </w:tc>
        <w:tc>
          <w:tcPr>
            <w:tcW w:w="220" w:type="pct"/>
            <w:tcBorders>
              <w:top w:val="single" w:sz="4" w:space="0" w:color="auto"/>
              <w:bottom w:val="single" w:sz="4" w:space="0" w:color="auto"/>
            </w:tcBorders>
            <w:shd w:val="clear" w:color="auto" w:fill="auto"/>
            <w:vAlign w:val="bottom"/>
          </w:tcPr>
          <w:p w14:paraId="459C9D67" w14:textId="77777777" w:rsidR="001A327E" w:rsidRPr="00872D7E" w:rsidRDefault="001A327E" w:rsidP="001A327E">
            <w:pPr>
              <w:autoSpaceDE w:val="0"/>
              <w:autoSpaceDN w:val="0"/>
              <w:adjustRightInd w:val="0"/>
              <w:jc w:val="right"/>
              <w:rPr>
                <w:rFonts w:eastAsia="Arial Unicode MS"/>
                <w:b/>
                <w:sz w:val="15"/>
                <w:szCs w:val="15"/>
              </w:rPr>
            </w:pPr>
            <w:r w:rsidRPr="00872D7E">
              <w:rPr>
                <w:rFonts w:eastAsia="Arial Unicode MS"/>
                <w:b/>
                <w:sz w:val="15"/>
                <w:szCs w:val="15"/>
              </w:rPr>
              <w:t>8</w:t>
            </w:r>
          </w:p>
        </w:tc>
        <w:tc>
          <w:tcPr>
            <w:tcW w:w="201" w:type="pct"/>
            <w:tcBorders>
              <w:top w:val="single" w:sz="4" w:space="0" w:color="auto"/>
              <w:bottom w:val="single" w:sz="4" w:space="0" w:color="auto"/>
            </w:tcBorders>
            <w:shd w:val="clear" w:color="auto" w:fill="auto"/>
            <w:vAlign w:val="bottom"/>
          </w:tcPr>
          <w:p w14:paraId="244F4C91" w14:textId="77777777" w:rsidR="001A327E" w:rsidRPr="00872D7E" w:rsidRDefault="001A327E" w:rsidP="001A327E">
            <w:pPr>
              <w:autoSpaceDE w:val="0"/>
              <w:autoSpaceDN w:val="0"/>
              <w:adjustRightInd w:val="0"/>
              <w:jc w:val="right"/>
              <w:rPr>
                <w:rFonts w:eastAsia="Arial Unicode MS"/>
                <w:b/>
                <w:sz w:val="15"/>
                <w:szCs w:val="15"/>
              </w:rPr>
            </w:pPr>
            <w:r w:rsidRPr="00872D7E">
              <w:rPr>
                <w:rFonts w:eastAsia="Arial Unicode MS"/>
                <w:b/>
                <w:sz w:val="15"/>
                <w:szCs w:val="15"/>
              </w:rPr>
              <w:t>9</w:t>
            </w:r>
          </w:p>
        </w:tc>
        <w:tc>
          <w:tcPr>
            <w:tcW w:w="142" w:type="pct"/>
            <w:tcBorders>
              <w:top w:val="single" w:sz="4" w:space="0" w:color="auto"/>
              <w:bottom w:val="single" w:sz="4" w:space="0" w:color="auto"/>
            </w:tcBorders>
            <w:shd w:val="clear" w:color="auto" w:fill="auto"/>
            <w:vAlign w:val="bottom"/>
          </w:tcPr>
          <w:p w14:paraId="1139097B" w14:textId="77777777" w:rsidR="001A327E" w:rsidRPr="00872D7E" w:rsidRDefault="001A327E" w:rsidP="001A327E">
            <w:pPr>
              <w:jc w:val="right"/>
              <w:rPr>
                <w:b/>
                <w:bCs/>
                <w:color w:val="000000"/>
                <w:sz w:val="15"/>
                <w:szCs w:val="15"/>
              </w:rPr>
            </w:pPr>
            <w:r w:rsidRPr="00872D7E">
              <w:rPr>
                <w:b/>
                <w:bCs/>
                <w:color w:val="000000"/>
                <w:sz w:val="15"/>
                <w:szCs w:val="15"/>
              </w:rPr>
              <w:t>10</w:t>
            </w:r>
          </w:p>
        </w:tc>
        <w:tc>
          <w:tcPr>
            <w:tcW w:w="220" w:type="pct"/>
            <w:tcBorders>
              <w:top w:val="single" w:sz="4" w:space="0" w:color="auto"/>
              <w:bottom w:val="single" w:sz="4" w:space="0" w:color="auto"/>
            </w:tcBorders>
            <w:shd w:val="clear" w:color="auto" w:fill="auto"/>
            <w:vAlign w:val="bottom"/>
          </w:tcPr>
          <w:p w14:paraId="542D6D01" w14:textId="77777777" w:rsidR="001A327E" w:rsidRPr="00872D7E" w:rsidRDefault="001A327E" w:rsidP="001A327E">
            <w:pPr>
              <w:jc w:val="right"/>
              <w:rPr>
                <w:b/>
                <w:bCs/>
                <w:color w:val="000000"/>
                <w:sz w:val="15"/>
                <w:szCs w:val="15"/>
              </w:rPr>
            </w:pPr>
            <w:r w:rsidRPr="00872D7E">
              <w:rPr>
                <w:b/>
                <w:bCs/>
                <w:color w:val="000000"/>
                <w:sz w:val="15"/>
                <w:szCs w:val="15"/>
              </w:rPr>
              <w:t>11</w:t>
            </w:r>
          </w:p>
        </w:tc>
        <w:tc>
          <w:tcPr>
            <w:tcW w:w="159" w:type="pct"/>
            <w:tcBorders>
              <w:top w:val="single" w:sz="4" w:space="0" w:color="auto"/>
              <w:bottom w:val="single" w:sz="4" w:space="0" w:color="auto"/>
            </w:tcBorders>
            <w:shd w:val="clear" w:color="auto" w:fill="auto"/>
            <w:vAlign w:val="bottom"/>
          </w:tcPr>
          <w:p w14:paraId="6DBB977A" w14:textId="77777777" w:rsidR="001A327E" w:rsidRPr="00872D7E" w:rsidRDefault="001A327E" w:rsidP="001A327E">
            <w:pPr>
              <w:tabs>
                <w:tab w:val="left" w:pos="272"/>
                <w:tab w:val="right" w:pos="606"/>
              </w:tabs>
              <w:jc w:val="right"/>
              <w:rPr>
                <w:b/>
                <w:bCs/>
                <w:color w:val="000000"/>
                <w:sz w:val="15"/>
                <w:szCs w:val="15"/>
              </w:rPr>
            </w:pPr>
            <w:r w:rsidRPr="00872D7E">
              <w:rPr>
                <w:b/>
                <w:bCs/>
                <w:color w:val="000000"/>
                <w:sz w:val="15"/>
                <w:szCs w:val="15"/>
              </w:rPr>
              <w:t>12</w:t>
            </w:r>
          </w:p>
        </w:tc>
        <w:tc>
          <w:tcPr>
            <w:tcW w:w="244" w:type="pct"/>
            <w:tcBorders>
              <w:top w:val="single" w:sz="4" w:space="0" w:color="auto"/>
              <w:bottom w:val="single" w:sz="4" w:space="0" w:color="auto"/>
            </w:tcBorders>
            <w:vAlign w:val="bottom"/>
          </w:tcPr>
          <w:p w14:paraId="5A9E745B" w14:textId="1883F0E1" w:rsidR="001A327E" w:rsidRPr="00872D7E" w:rsidRDefault="001A327E" w:rsidP="001A327E">
            <w:pPr>
              <w:jc w:val="right"/>
              <w:rPr>
                <w:b/>
                <w:bCs/>
                <w:color w:val="000000"/>
                <w:sz w:val="15"/>
                <w:szCs w:val="15"/>
              </w:rPr>
            </w:pPr>
            <w:r w:rsidRPr="00872D7E">
              <w:rPr>
                <w:b/>
                <w:bCs/>
                <w:color w:val="000000"/>
                <w:sz w:val="15"/>
                <w:szCs w:val="15"/>
              </w:rPr>
              <w:t>13</w:t>
            </w:r>
          </w:p>
        </w:tc>
        <w:tc>
          <w:tcPr>
            <w:tcW w:w="244" w:type="pct"/>
            <w:tcBorders>
              <w:top w:val="single" w:sz="4" w:space="0" w:color="auto"/>
              <w:bottom w:val="single" w:sz="4" w:space="0" w:color="auto"/>
            </w:tcBorders>
            <w:vAlign w:val="bottom"/>
          </w:tcPr>
          <w:p w14:paraId="5B3A4ED5" w14:textId="18BD8615" w:rsidR="001A327E" w:rsidRPr="00872D7E" w:rsidRDefault="001A327E" w:rsidP="001A327E">
            <w:pPr>
              <w:jc w:val="right"/>
              <w:rPr>
                <w:b/>
                <w:bCs/>
                <w:color w:val="000000"/>
                <w:sz w:val="15"/>
                <w:szCs w:val="15"/>
              </w:rPr>
            </w:pPr>
            <w:r w:rsidRPr="00872D7E">
              <w:rPr>
                <w:b/>
                <w:bCs/>
                <w:color w:val="000000"/>
                <w:sz w:val="15"/>
                <w:szCs w:val="15"/>
              </w:rPr>
              <w:t>14</w:t>
            </w:r>
          </w:p>
        </w:tc>
        <w:tc>
          <w:tcPr>
            <w:tcW w:w="244" w:type="pct"/>
            <w:tcBorders>
              <w:top w:val="single" w:sz="4" w:space="0" w:color="auto"/>
              <w:bottom w:val="single" w:sz="4" w:space="0" w:color="auto"/>
            </w:tcBorders>
            <w:vAlign w:val="bottom"/>
          </w:tcPr>
          <w:p w14:paraId="274050EF" w14:textId="2017C234" w:rsidR="001A327E" w:rsidRPr="00872D7E" w:rsidRDefault="001A327E" w:rsidP="001A327E">
            <w:pPr>
              <w:jc w:val="right"/>
              <w:rPr>
                <w:b/>
                <w:bCs/>
                <w:color w:val="000000"/>
                <w:sz w:val="15"/>
                <w:szCs w:val="15"/>
              </w:rPr>
            </w:pPr>
            <w:r w:rsidRPr="00872D7E">
              <w:rPr>
                <w:b/>
                <w:bCs/>
                <w:color w:val="000000"/>
                <w:sz w:val="15"/>
                <w:szCs w:val="15"/>
              </w:rPr>
              <w:t>15</w:t>
            </w:r>
          </w:p>
        </w:tc>
        <w:tc>
          <w:tcPr>
            <w:tcW w:w="244" w:type="pct"/>
            <w:tcBorders>
              <w:top w:val="single" w:sz="4" w:space="0" w:color="auto"/>
              <w:bottom w:val="single" w:sz="4" w:space="0" w:color="auto"/>
            </w:tcBorders>
            <w:vAlign w:val="bottom"/>
          </w:tcPr>
          <w:p w14:paraId="72E6AED9" w14:textId="35713962" w:rsidR="001A327E" w:rsidRPr="00872D7E" w:rsidRDefault="001A327E" w:rsidP="001A327E">
            <w:pPr>
              <w:jc w:val="right"/>
              <w:rPr>
                <w:b/>
                <w:bCs/>
                <w:color w:val="000000"/>
                <w:sz w:val="15"/>
                <w:szCs w:val="15"/>
              </w:rPr>
            </w:pPr>
            <w:r w:rsidRPr="00872D7E">
              <w:rPr>
                <w:b/>
                <w:bCs/>
                <w:color w:val="000000"/>
                <w:sz w:val="15"/>
                <w:szCs w:val="15"/>
              </w:rPr>
              <w:t>16</w:t>
            </w:r>
          </w:p>
        </w:tc>
        <w:tc>
          <w:tcPr>
            <w:tcW w:w="244" w:type="pct"/>
            <w:tcBorders>
              <w:top w:val="single" w:sz="4" w:space="0" w:color="auto"/>
              <w:bottom w:val="single" w:sz="4" w:space="0" w:color="auto"/>
            </w:tcBorders>
            <w:vAlign w:val="bottom"/>
          </w:tcPr>
          <w:p w14:paraId="19E13CE6" w14:textId="6E610574" w:rsidR="001A327E" w:rsidRPr="00872D7E" w:rsidRDefault="001A327E" w:rsidP="001A327E">
            <w:pPr>
              <w:jc w:val="right"/>
              <w:rPr>
                <w:b/>
                <w:bCs/>
                <w:color w:val="000000"/>
                <w:sz w:val="15"/>
                <w:szCs w:val="15"/>
              </w:rPr>
            </w:pPr>
            <w:r w:rsidRPr="00872D7E">
              <w:rPr>
                <w:b/>
                <w:bCs/>
                <w:color w:val="000000"/>
                <w:sz w:val="15"/>
                <w:szCs w:val="15"/>
              </w:rPr>
              <w:t>17</w:t>
            </w:r>
          </w:p>
        </w:tc>
        <w:tc>
          <w:tcPr>
            <w:tcW w:w="268" w:type="pct"/>
            <w:tcBorders>
              <w:top w:val="single" w:sz="4" w:space="0" w:color="auto"/>
              <w:bottom w:val="single" w:sz="4" w:space="0" w:color="auto"/>
            </w:tcBorders>
            <w:shd w:val="clear" w:color="auto" w:fill="auto"/>
            <w:vAlign w:val="bottom"/>
          </w:tcPr>
          <w:p w14:paraId="50AF1489" w14:textId="38DD3905" w:rsidR="001A327E" w:rsidRPr="00872D7E" w:rsidRDefault="001A327E" w:rsidP="001A327E">
            <w:pPr>
              <w:jc w:val="right"/>
              <w:rPr>
                <w:rFonts w:eastAsia="Arial Unicode MS"/>
                <w:b/>
                <w:sz w:val="15"/>
                <w:szCs w:val="15"/>
              </w:rPr>
            </w:pPr>
            <w:r w:rsidRPr="00872D7E">
              <w:rPr>
                <w:b/>
                <w:bCs/>
                <w:color w:val="000000"/>
                <w:sz w:val="15"/>
                <w:szCs w:val="15"/>
              </w:rPr>
              <w:t xml:space="preserve">    TP</w:t>
            </w:r>
          </w:p>
        </w:tc>
        <w:tc>
          <w:tcPr>
            <w:tcW w:w="272" w:type="pct"/>
            <w:tcBorders>
              <w:top w:val="single" w:sz="4" w:space="0" w:color="auto"/>
              <w:bottom w:val="single" w:sz="4" w:space="0" w:color="auto"/>
            </w:tcBorders>
            <w:shd w:val="clear" w:color="auto" w:fill="auto"/>
            <w:vAlign w:val="bottom"/>
          </w:tcPr>
          <w:p w14:paraId="67B3B74A" w14:textId="77777777" w:rsidR="001A327E" w:rsidRPr="00872D7E" w:rsidRDefault="001A327E" w:rsidP="001A327E">
            <w:pPr>
              <w:jc w:val="right"/>
              <w:rPr>
                <w:rFonts w:eastAsia="Arial Unicode MS"/>
                <w:b/>
                <w:sz w:val="15"/>
                <w:szCs w:val="15"/>
              </w:rPr>
            </w:pPr>
            <w:r w:rsidRPr="00872D7E">
              <w:rPr>
                <w:b/>
                <w:bCs/>
                <w:color w:val="000000"/>
                <w:sz w:val="15"/>
                <w:szCs w:val="15"/>
              </w:rPr>
              <w:t>YP</w:t>
            </w:r>
          </w:p>
        </w:tc>
        <w:tc>
          <w:tcPr>
            <w:tcW w:w="273" w:type="pct"/>
            <w:tcBorders>
              <w:top w:val="single" w:sz="4" w:space="0" w:color="auto"/>
              <w:bottom w:val="single" w:sz="4" w:space="0" w:color="auto"/>
            </w:tcBorders>
            <w:shd w:val="clear" w:color="auto" w:fill="auto"/>
            <w:vAlign w:val="bottom"/>
          </w:tcPr>
          <w:p w14:paraId="748B84D2" w14:textId="77777777" w:rsidR="001A327E" w:rsidRPr="00872D7E" w:rsidRDefault="001A327E" w:rsidP="001A327E">
            <w:pPr>
              <w:jc w:val="right"/>
              <w:rPr>
                <w:b/>
                <w:bCs/>
                <w:color w:val="000000"/>
                <w:sz w:val="15"/>
                <w:szCs w:val="15"/>
              </w:rPr>
            </w:pPr>
            <w:r w:rsidRPr="00872D7E">
              <w:rPr>
                <w:b/>
                <w:bCs/>
                <w:color w:val="000000"/>
                <w:sz w:val="15"/>
                <w:szCs w:val="15"/>
              </w:rPr>
              <w:t xml:space="preserve">      Toplam</w:t>
            </w:r>
          </w:p>
        </w:tc>
      </w:tr>
      <w:tr w:rsidR="001A327E" w:rsidRPr="00872D7E" w14:paraId="70D01716" w14:textId="77777777" w:rsidTr="001A327E">
        <w:trPr>
          <w:trHeight w:val="176"/>
        </w:trPr>
        <w:tc>
          <w:tcPr>
            <w:tcW w:w="98" w:type="pct"/>
            <w:tcBorders>
              <w:top w:val="single" w:sz="4" w:space="0" w:color="auto"/>
            </w:tcBorders>
            <w:shd w:val="clear" w:color="auto" w:fill="auto"/>
            <w:vAlign w:val="bottom"/>
          </w:tcPr>
          <w:p w14:paraId="0FFF4794" w14:textId="77777777" w:rsidR="001A327E" w:rsidRPr="00872D7E" w:rsidRDefault="001A327E" w:rsidP="001A327E">
            <w:pPr>
              <w:autoSpaceDE w:val="0"/>
              <w:autoSpaceDN w:val="0"/>
              <w:adjustRightInd w:val="0"/>
              <w:ind w:left="180" w:hanging="180"/>
              <w:rPr>
                <w:rFonts w:eastAsia="Arial Unicode MS"/>
                <w:b/>
                <w:sz w:val="15"/>
                <w:szCs w:val="15"/>
              </w:rPr>
            </w:pPr>
            <w:r w:rsidRPr="00872D7E">
              <w:rPr>
                <w:rFonts w:eastAsia="Arial Unicode MS"/>
                <w:b/>
                <w:sz w:val="15"/>
                <w:szCs w:val="15"/>
              </w:rPr>
              <w:t>1</w:t>
            </w:r>
          </w:p>
        </w:tc>
        <w:tc>
          <w:tcPr>
            <w:tcW w:w="528" w:type="pct"/>
            <w:tcBorders>
              <w:top w:val="single" w:sz="4" w:space="0" w:color="auto"/>
            </w:tcBorders>
            <w:shd w:val="clear" w:color="auto" w:fill="auto"/>
            <w:vAlign w:val="bottom"/>
          </w:tcPr>
          <w:p w14:paraId="4F69B203" w14:textId="77777777" w:rsidR="001A327E" w:rsidRPr="00872D7E" w:rsidRDefault="001A327E" w:rsidP="001A327E">
            <w:pPr>
              <w:rPr>
                <w:b/>
                <w:bCs/>
                <w:color w:val="000000"/>
                <w:sz w:val="15"/>
                <w:szCs w:val="15"/>
              </w:rPr>
            </w:pPr>
            <w:r w:rsidRPr="00872D7E">
              <w:rPr>
                <w:b/>
                <w:bCs/>
                <w:color w:val="000000"/>
                <w:sz w:val="15"/>
                <w:szCs w:val="15"/>
              </w:rPr>
              <w:t>Tarım</w:t>
            </w:r>
          </w:p>
        </w:tc>
        <w:tc>
          <w:tcPr>
            <w:tcW w:w="240" w:type="pct"/>
            <w:tcBorders>
              <w:top w:val="nil"/>
              <w:left w:val="nil"/>
              <w:bottom w:val="nil"/>
              <w:right w:val="nil"/>
            </w:tcBorders>
            <w:shd w:val="clear" w:color="auto" w:fill="auto"/>
            <w:vAlign w:val="bottom"/>
          </w:tcPr>
          <w:p w14:paraId="24DEEE3D" w14:textId="1D49ED56" w:rsidR="001A327E" w:rsidRPr="00872D7E" w:rsidRDefault="001A327E" w:rsidP="001A327E">
            <w:pPr>
              <w:jc w:val="right"/>
              <w:rPr>
                <w:b/>
                <w:sz w:val="16"/>
                <w:szCs w:val="16"/>
              </w:rPr>
            </w:pPr>
            <w:r w:rsidRPr="00872D7E">
              <w:rPr>
                <w:b/>
                <w:bCs/>
                <w:color w:val="000000"/>
                <w:sz w:val="16"/>
                <w:szCs w:val="16"/>
              </w:rPr>
              <w:t>-</w:t>
            </w:r>
          </w:p>
        </w:tc>
        <w:tc>
          <w:tcPr>
            <w:tcW w:w="156" w:type="pct"/>
            <w:tcBorders>
              <w:top w:val="nil"/>
              <w:left w:val="nil"/>
              <w:bottom w:val="nil"/>
              <w:right w:val="nil"/>
            </w:tcBorders>
            <w:shd w:val="clear" w:color="auto" w:fill="auto"/>
            <w:vAlign w:val="bottom"/>
          </w:tcPr>
          <w:p w14:paraId="17666923" w14:textId="3822B8DC" w:rsidR="001A327E" w:rsidRPr="00872D7E" w:rsidRDefault="001A327E" w:rsidP="001A327E">
            <w:pPr>
              <w:jc w:val="right"/>
              <w:rPr>
                <w:b/>
                <w:sz w:val="16"/>
                <w:szCs w:val="16"/>
              </w:rPr>
            </w:pPr>
            <w:r w:rsidRPr="00872D7E">
              <w:rPr>
                <w:b/>
                <w:bCs/>
                <w:color w:val="000000"/>
                <w:sz w:val="16"/>
                <w:szCs w:val="16"/>
              </w:rPr>
              <w:t>-</w:t>
            </w:r>
          </w:p>
        </w:tc>
        <w:tc>
          <w:tcPr>
            <w:tcW w:w="173" w:type="pct"/>
            <w:tcBorders>
              <w:top w:val="nil"/>
              <w:left w:val="nil"/>
              <w:bottom w:val="nil"/>
              <w:right w:val="nil"/>
            </w:tcBorders>
            <w:shd w:val="clear" w:color="auto" w:fill="auto"/>
            <w:vAlign w:val="bottom"/>
          </w:tcPr>
          <w:p w14:paraId="4EDC286C" w14:textId="271AA7BD" w:rsidR="001A327E" w:rsidRPr="00872D7E" w:rsidRDefault="001A327E" w:rsidP="001A327E">
            <w:pPr>
              <w:jc w:val="right"/>
              <w:rPr>
                <w:b/>
                <w:sz w:val="16"/>
                <w:szCs w:val="16"/>
              </w:rPr>
            </w:pPr>
            <w:r w:rsidRPr="00872D7E">
              <w:rPr>
                <w:b/>
                <w:bCs/>
                <w:color w:val="000000"/>
                <w:sz w:val="16"/>
                <w:szCs w:val="16"/>
              </w:rPr>
              <w:t>-</w:t>
            </w:r>
          </w:p>
        </w:tc>
        <w:tc>
          <w:tcPr>
            <w:tcW w:w="100" w:type="pct"/>
            <w:tcBorders>
              <w:top w:val="nil"/>
              <w:left w:val="nil"/>
              <w:bottom w:val="nil"/>
              <w:right w:val="nil"/>
            </w:tcBorders>
            <w:shd w:val="clear" w:color="auto" w:fill="auto"/>
            <w:vAlign w:val="bottom"/>
          </w:tcPr>
          <w:p w14:paraId="6F07A6BA" w14:textId="44A1D301" w:rsidR="001A327E" w:rsidRPr="00872D7E" w:rsidRDefault="001A327E" w:rsidP="001A327E">
            <w:pPr>
              <w:jc w:val="right"/>
              <w:rPr>
                <w:b/>
                <w:sz w:val="16"/>
                <w:szCs w:val="16"/>
              </w:rPr>
            </w:pPr>
            <w:r w:rsidRPr="00872D7E">
              <w:rPr>
                <w:b/>
                <w:bCs/>
                <w:color w:val="000000"/>
                <w:sz w:val="16"/>
                <w:szCs w:val="16"/>
              </w:rPr>
              <w:t>-</w:t>
            </w:r>
          </w:p>
        </w:tc>
        <w:tc>
          <w:tcPr>
            <w:tcW w:w="224" w:type="pct"/>
            <w:tcBorders>
              <w:top w:val="nil"/>
              <w:left w:val="nil"/>
              <w:bottom w:val="nil"/>
              <w:right w:val="nil"/>
            </w:tcBorders>
            <w:shd w:val="clear" w:color="auto" w:fill="auto"/>
            <w:vAlign w:val="bottom"/>
          </w:tcPr>
          <w:p w14:paraId="13941234" w14:textId="0F28A2EF" w:rsidR="001A327E" w:rsidRPr="00872D7E" w:rsidRDefault="001A327E" w:rsidP="001A327E">
            <w:pPr>
              <w:jc w:val="right"/>
              <w:rPr>
                <w:b/>
                <w:sz w:val="16"/>
                <w:szCs w:val="16"/>
              </w:rPr>
            </w:pPr>
            <w:r w:rsidRPr="00872D7E">
              <w:rPr>
                <w:b/>
                <w:bCs/>
                <w:color w:val="000000"/>
                <w:sz w:val="16"/>
                <w:szCs w:val="16"/>
              </w:rPr>
              <w:t>-</w:t>
            </w:r>
          </w:p>
        </w:tc>
        <w:tc>
          <w:tcPr>
            <w:tcW w:w="240" w:type="pct"/>
            <w:tcBorders>
              <w:top w:val="nil"/>
              <w:left w:val="nil"/>
              <w:bottom w:val="nil"/>
              <w:right w:val="nil"/>
            </w:tcBorders>
            <w:shd w:val="clear" w:color="auto" w:fill="auto"/>
            <w:vAlign w:val="bottom"/>
          </w:tcPr>
          <w:p w14:paraId="328B0645" w14:textId="24FF6EF0" w:rsidR="001A327E" w:rsidRPr="00872D7E" w:rsidRDefault="001A327E" w:rsidP="001A327E">
            <w:pPr>
              <w:jc w:val="right"/>
              <w:rPr>
                <w:b/>
                <w:sz w:val="16"/>
                <w:szCs w:val="16"/>
              </w:rPr>
            </w:pPr>
            <w:r w:rsidRPr="00872D7E">
              <w:rPr>
                <w:b/>
                <w:bCs/>
                <w:color w:val="000000"/>
                <w:sz w:val="16"/>
                <w:szCs w:val="16"/>
              </w:rPr>
              <w:t>-</w:t>
            </w:r>
          </w:p>
        </w:tc>
        <w:tc>
          <w:tcPr>
            <w:tcW w:w="268" w:type="pct"/>
            <w:tcBorders>
              <w:top w:val="nil"/>
              <w:left w:val="nil"/>
              <w:bottom w:val="nil"/>
              <w:right w:val="nil"/>
            </w:tcBorders>
            <w:shd w:val="clear" w:color="auto" w:fill="auto"/>
            <w:vAlign w:val="bottom"/>
          </w:tcPr>
          <w:p w14:paraId="1A7C5372" w14:textId="764FA4EE" w:rsidR="001A327E" w:rsidRPr="00872D7E" w:rsidRDefault="001A327E" w:rsidP="001A327E">
            <w:pPr>
              <w:jc w:val="right"/>
              <w:rPr>
                <w:b/>
                <w:sz w:val="16"/>
                <w:szCs w:val="16"/>
              </w:rPr>
            </w:pPr>
            <w:r w:rsidRPr="00872D7E">
              <w:rPr>
                <w:b/>
                <w:bCs/>
                <w:color w:val="000000"/>
                <w:sz w:val="16"/>
                <w:szCs w:val="16"/>
              </w:rPr>
              <w:t>147.662</w:t>
            </w:r>
          </w:p>
        </w:tc>
        <w:tc>
          <w:tcPr>
            <w:tcW w:w="220" w:type="pct"/>
            <w:tcBorders>
              <w:top w:val="nil"/>
              <w:left w:val="nil"/>
              <w:bottom w:val="nil"/>
              <w:right w:val="nil"/>
            </w:tcBorders>
            <w:shd w:val="clear" w:color="auto" w:fill="auto"/>
            <w:vAlign w:val="bottom"/>
          </w:tcPr>
          <w:p w14:paraId="2E99EFBE" w14:textId="6877440E" w:rsidR="001A327E" w:rsidRPr="00872D7E" w:rsidRDefault="001A327E" w:rsidP="001A327E">
            <w:pPr>
              <w:jc w:val="right"/>
              <w:rPr>
                <w:b/>
                <w:sz w:val="16"/>
                <w:szCs w:val="16"/>
              </w:rPr>
            </w:pPr>
            <w:r w:rsidRPr="00872D7E">
              <w:rPr>
                <w:b/>
                <w:bCs/>
                <w:color w:val="000000"/>
                <w:sz w:val="16"/>
                <w:szCs w:val="16"/>
              </w:rPr>
              <w:t>-</w:t>
            </w:r>
          </w:p>
        </w:tc>
        <w:tc>
          <w:tcPr>
            <w:tcW w:w="201" w:type="pct"/>
            <w:tcBorders>
              <w:top w:val="nil"/>
              <w:left w:val="nil"/>
              <w:bottom w:val="nil"/>
              <w:right w:val="nil"/>
            </w:tcBorders>
            <w:shd w:val="clear" w:color="auto" w:fill="auto"/>
            <w:vAlign w:val="bottom"/>
          </w:tcPr>
          <w:p w14:paraId="628F0FC2" w14:textId="427AC831" w:rsidR="001A327E" w:rsidRPr="00872D7E" w:rsidRDefault="001A327E" w:rsidP="001A327E">
            <w:pPr>
              <w:jc w:val="right"/>
              <w:rPr>
                <w:b/>
                <w:sz w:val="16"/>
                <w:szCs w:val="16"/>
              </w:rPr>
            </w:pPr>
            <w:r w:rsidRPr="00872D7E">
              <w:rPr>
                <w:b/>
                <w:bCs/>
                <w:color w:val="000000"/>
                <w:sz w:val="16"/>
                <w:szCs w:val="16"/>
              </w:rPr>
              <w:t>-</w:t>
            </w:r>
          </w:p>
        </w:tc>
        <w:tc>
          <w:tcPr>
            <w:tcW w:w="142" w:type="pct"/>
            <w:tcBorders>
              <w:top w:val="nil"/>
              <w:left w:val="nil"/>
              <w:bottom w:val="nil"/>
              <w:right w:val="nil"/>
            </w:tcBorders>
            <w:shd w:val="clear" w:color="auto" w:fill="auto"/>
            <w:vAlign w:val="bottom"/>
          </w:tcPr>
          <w:p w14:paraId="255C671C" w14:textId="7B5EEA58" w:rsidR="001A327E" w:rsidRPr="00872D7E" w:rsidRDefault="001A327E" w:rsidP="001A327E">
            <w:pPr>
              <w:jc w:val="right"/>
              <w:rPr>
                <w:b/>
                <w:sz w:val="16"/>
                <w:szCs w:val="16"/>
              </w:rPr>
            </w:pPr>
            <w:r w:rsidRPr="00872D7E">
              <w:rPr>
                <w:b/>
                <w:bCs/>
                <w:color w:val="000000"/>
                <w:sz w:val="16"/>
                <w:szCs w:val="16"/>
              </w:rPr>
              <w:t>-</w:t>
            </w:r>
          </w:p>
        </w:tc>
        <w:tc>
          <w:tcPr>
            <w:tcW w:w="220" w:type="pct"/>
            <w:tcBorders>
              <w:top w:val="nil"/>
              <w:left w:val="nil"/>
              <w:bottom w:val="nil"/>
              <w:right w:val="nil"/>
            </w:tcBorders>
            <w:shd w:val="clear" w:color="auto" w:fill="auto"/>
            <w:vAlign w:val="bottom"/>
          </w:tcPr>
          <w:p w14:paraId="64EC6AA5" w14:textId="03513D6A" w:rsidR="001A327E" w:rsidRPr="00872D7E" w:rsidRDefault="001A327E" w:rsidP="001A327E">
            <w:pPr>
              <w:jc w:val="right"/>
              <w:rPr>
                <w:b/>
                <w:sz w:val="16"/>
                <w:szCs w:val="16"/>
              </w:rPr>
            </w:pPr>
            <w:r w:rsidRPr="00872D7E">
              <w:rPr>
                <w:b/>
                <w:bCs/>
                <w:color w:val="000000"/>
                <w:sz w:val="16"/>
                <w:szCs w:val="16"/>
              </w:rPr>
              <w:t>-</w:t>
            </w:r>
          </w:p>
        </w:tc>
        <w:tc>
          <w:tcPr>
            <w:tcW w:w="159" w:type="pct"/>
            <w:tcBorders>
              <w:top w:val="nil"/>
              <w:left w:val="nil"/>
              <w:bottom w:val="nil"/>
              <w:right w:val="nil"/>
            </w:tcBorders>
            <w:shd w:val="clear" w:color="auto" w:fill="auto"/>
            <w:vAlign w:val="bottom"/>
          </w:tcPr>
          <w:p w14:paraId="5CC43519" w14:textId="5EADC055"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1481F858" w14:textId="4AB858E5"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7F6F73F1" w14:textId="1D3715C5"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31656004" w14:textId="654AF278"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104C83AA" w14:textId="0744BF83"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5EF54EB1" w14:textId="7373B6DD" w:rsidR="001A327E" w:rsidRPr="00872D7E" w:rsidRDefault="001A327E" w:rsidP="001A327E">
            <w:pPr>
              <w:jc w:val="right"/>
              <w:rPr>
                <w:b/>
                <w:sz w:val="16"/>
                <w:szCs w:val="16"/>
              </w:rPr>
            </w:pPr>
            <w:r w:rsidRPr="00872D7E">
              <w:rPr>
                <w:b/>
                <w:bCs/>
                <w:color w:val="000000"/>
                <w:sz w:val="16"/>
                <w:szCs w:val="16"/>
              </w:rPr>
              <w:t>-</w:t>
            </w:r>
          </w:p>
        </w:tc>
        <w:tc>
          <w:tcPr>
            <w:tcW w:w="268" w:type="pct"/>
            <w:tcBorders>
              <w:top w:val="nil"/>
              <w:left w:val="nil"/>
              <w:bottom w:val="nil"/>
              <w:right w:val="nil"/>
            </w:tcBorders>
            <w:shd w:val="clear" w:color="auto" w:fill="auto"/>
            <w:vAlign w:val="bottom"/>
          </w:tcPr>
          <w:p w14:paraId="6E35F544" w14:textId="393B37EB" w:rsidR="001A327E" w:rsidRPr="00872D7E" w:rsidRDefault="001A327E" w:rsidP="001A327E">
            <w:pPr>
              <w:jc w:val="right"/>
              <w:rPr>
                <w:b/>
                <w:sz w:val="16"/>
                <w:szCs w:val="16"/>
              </w:rPr>
            </w:pPr>
            <w:r w:rsidRPr="00872D7E">
              <w:rPr>
                <w:b/>
                <w:bCs/>
                <w:color w:val="000000"/>
                <w:sz w:val="16"/>
                <w:szCs w:val="16"/>
              </w:rPr>
              <w:t>145.317</w:t>
            </w:r>
          </w:p>
        </w:tc>
        <w:tc>
          <w:tcPr>
            <w:tcW w:w="272" w:type="pct"/>
            <w:tcBorders>
              <w:top w:val="nil"/>
              <w:left w:val="nil"/>
              <w:bottom w:val="nil"/>
              <w:right w:val="nil"/>
            </w:tcBorders>
            <w:shd w:val="clear" w:color="auto" w:fill="auto"/>
            <w:vAlign w:val="bottom"/>
          </w:tcPr>
          <w:p w14:paraId="270F3534" w14:textId="2FDD011F" w:rsidR="001A327E" w:rsidRPr="00872D7E" w:rsidRDefault="001A327E" w:rsidP="001A327E">
            <w:pPr>
              <w:jc w:val="right"/>
              <w:rPr>
                <w:b/>
                <w:sz w:val="16"/>
                <w:szCs w:val="16"/>
              </w:rPr>
            </w:pPr>
            <w:r w:rsidRPr="00872D7E">
              <w:rPr>
                <w:b/>
                <w:bCs/>
                <w:color w:val="000000"/>
                <w:sz w:val="16"/>
                <w:szCs w:val="16"/>
              </w:rPr>
              <w:t>2.345</w:t>
            </w:r>
          </w:p>
        </w:tc>
        <w:tc>
          <w:tcPr>
            <w:tcW w:w="273" w:type="pct"/>
            <w:tcBorders>
              <w:top w:val="single" w:sz="4" w:space="0" w:color="auto"/>
              <w:left w:val="nil"/>
              <w:bottom w:val="nil"/>
              <w:right w:val="nil"/>
            </w:tcBorders>
            <w:shd w:val="clear" w:color="auto" w:fill="auto"/>
            <w:vAlign w:val="bottom"/>
          </w:tcPr>
          <w:p w14:paraId="0D78DD57" w14:textId="4C80D86E" w:rsidR="001A327E" w:rsidRPr="00872D7E" w:rsidRDefault="001A327E" w:rsidP="001A327E">
            <w:pPr>
              <w:jc w:val="right"/>
              <w:rPr>
                <w:b/>
                <w:sz w:val="16"/>
                <w:szCs w:val="16"/>
              </w:rPr>
            </w:pPr>
            <w:r w:rsidRPr="00872D7E">
              <w:rPr>
                <w:b/>
                <w:bCs/>
                <w:color w:val="000000"/>
                <w:sz w:val="16"/>
                <w:szCs w:val="16"/>
              </w:rPr>
              <w:t>147.662</w:t>
            </w:r>
          </w:p>
        </w:tc>
      </w:tr>
      <w:tr w:rsidR="001A327E" w:rsidRPr="00872D7E" w14:paraId="210ED1E3" w14:textId="77777777" w:rsidTr="001A327E">
        <w:trPr>
          <w:trHeight w:val="133"/>
        </w:trPr>
        <w:tc>
          <w:tcPr>
            <w:tcW w:w="98" w:type="pct"/>
            <w:shd w:val="clear" w:color="auto" w:fill="auto"/>
            <w:vAlign w:val="bottom"/>
          </w:tcPr>
          <w:p w14:paraId="7A12A7F1"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1.1</w:t>
            </w:r>
          </w:p>
        </w:tc>
        <w:tc>
          <w:tcPr>
            <w:tcW w:w="528" w:type="pct"/>
            <w:shd w:val="clear" w:color="auto" w:fill="auto"/>
            <w:vAlign w:val="bottom"/>
          </w:tcPr>
          <w:p w14:paraId="38C1B99E" w14:textId="77777777" w:rsidR="001A327E" w:rsidRPr="00872D7E" w:rsidRDefault="001A327E" w:rsidP="001A327E">
            <w:pPr>
              <w:rPr>
                <w:color w:val="000000"/>
                <w:sz w:val="15"/>
                <w:szCs w:val="15"/>
              </w:rPr>
            </w:pPr>
            <w:r w:rsidRPr="00872D7E">
              <w:rPr>
                <w:color w:val="000000"/>
                <w:sz w:val="15"/>
                <w:szCs w:val="15"/>
              </w:rPr>
              <w:t xml:space="preserve">   Çiftçilik ve Hayvancılık </w:t>
            </w:r>
          </w:p>
        </w:tc>
        <w:tc>
          <w:tcPr>
            <w:tcW w:w="240" w:type="pct"/>
            <w:tcBorders>
              <w:top w:val="nil"/>
              <w:left w:val="nil"/>
              <w:bottom w:val="nil"/>
              <w:right w:val="nil"/>
            </w:tcBorders>
            <w:shd w:val="clear" w:color="auto" w:fill="auto"/>
            <w:vAlign w:val="bottom"/>
          </w:tcPr>
          <w:p w14:paraId="7AFABFFB" w14:textId="05FBC975"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00A3FB5F" w14:textId="276C4AA6"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2DEF104E" w14:textId="00787E2D"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47513AEE" w14:textId="298D3CD8"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124EA374" w14:textId="2A6402AA"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6DE152FC" w14:textId="59C6EAB7"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78397013" w14:textId="3F276475" w:rsidR="001A327E" w:rsidRPr="00872D7E" w:rsidRDefault="001A327E" w:rsidP="001A327E">
            <w:pPr>
              <w:jc w:val="right"/>
              <w:rPr>
                <w:sz w:val="16"/>
                <w:szCs w:val="16"/>
              </w:rPr>
            </w:pPr>
            <w:r w:rsidRPr="00872D7E">
              <w:rPr>
                <w:color w:val="000000"/>
                <w:sz w:val="16"/>
                <w:szCs w:val="16"/>
              </w:rPr>
              <w:t>147.662</w:t>
            </w:r>
          </w:p>
        </w:tc>
        <w:tc>
          <w:tcPr>
            <w:tcW w:w="220" w:type="pct"/>
            <w:tcBorders>
              <w:top w:val="nil"/>
              <w:left w:val="nil"/>
              <w:bottom w:val="nil"/>
              <w:right w:val="nil"/>
            </w:tcBorders>
            <w:shd w:val="clear" w:color="auto" w:fill="auto"/>
            <w:vAlign w:val="bottom"/>
          </w:tcPr>
          <w:p w14:paraId="4E8D83B6" w14:textId="6545A2EF"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2602ABDE" w14:textId="3B88A123" w:rsidR="001A327E" w:rsidRPr="00872D7E" w:rsidRDefault="001A327E" w:rsidP="001A327E">
            <w:pPr>
              <w:jc w:val="right"/>
              <w:rPr>
                <w:sz w:val="16"/>
                <w:szCs w:val="16"/>
              </w:rPr>
            </w:pPr>
            <w:r w:rsidRPr="00872D7E">
              <w:rPr>
                <w:color w:val="000000"/>
                <w:sz w:val="16"/>
                <w:szCs w:val="16"/>
              </w:rPr>
              <w:t>-</w:t>
            </w:r>
          </w:p>
        </w:tc>
        <w:tc>
          <w:tcPr>
            <w:tcW w:w="142" w:type="pct"/>
            <w:tcBorders>
              <w:top w:val="nil"/>
              <w:left w:val="nil"/>
              <w:bottom w:val="nil"/>
              <w:right w:val="nil"/>
            </w:tcBorders>
            <w:shd w:val="clear" w:color="auto" w:fill="auto"/>
            <w:vAlign w:val="bottom"/>
          </w:tcPr>
          <w:p w14:paraId="4F8839D1" w14:textId="039A8E4A"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381EDC6B" w14:textId="5B5166CD"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12FAD861" w14:textId="5CE1AFF8"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38E7CBC" w14:textId="5928B3B4"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89DDE88" w14:textId="0982EED7"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2F4E6CDE" w14:textId="7F11578A"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270A7361" w14:textId="57583421"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2E03BB67" w14:textId="6DD4BE83"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3C4BBD1B" w14:textId="159D9058" w:rsidR="001A327E" w:rsidRPr="00872D7E" w:rsidRDefault="001A327E" w:rsidP="001A327E">
            <w:pPr>
              <w:jc w:val="right"/>
              <w:rPr>
                <w:sz w:val="16"/>
                <w:szCs w:val="16"/>
              </w:rPr>
            </w:pPr>
            <w:r w:rsidRPr="00872D7E">
              <w:rPr>
                <w:color w:val="000000"/>
                <w:sz w:val="16"/>
                <w:szCs w:val="16"/>
              </w:rPr>
              <w:t>145.317</w:t>
            </w:r>
          </w:p>
        </w:tc>
        <w:tc>
          <w:tcPr>
            <w:tcW w:w="272" w:type="pct"/>
            <w:tcBorders>
              <w:top w:val="nil"/>
              <w:left w:val="nil"/>
              <w:bottom w:val="nil"/>
              <w:right w:val="nil"/>
            </w:tcBorders>
            <w:shd w:val="clear" w:color="auto" w:fill="auto"/>
            <w:vAlign w:val="bottom"/>
          </w:tcPr>
          <w:p w14:paraId="40A293AB" w14:textId="58B7310C" w:rsidR="001A327E" w:rsidRPr="00872D7E" w:rsidRDefault="001A327E" w:rsidP="001A327E">
            <w:pPr>
              <w:jc w:val="right"/>
              <w:rPr>
                <w:sz w:val="16"/>
                <w:szCs w:val="16"/>
              </w:rPr>
            </w:pPr>
            <w:r w:rsidRPr="00872D7E">
              <w:rPr>
                <w:color w:val="000000"/>
                <w:sz w:val="16"/>
                <w:szCs w:val="16"/>
              </w:rPr>
              <w:t>2.345</w:t>
            </w:r>
          </w:p>
        </w:tc>
        <w:tc>
          <w:tcPr>
            <w:tcW w:w="273" w:type="pct"/>
            <w:tcBorders>
              <w:top w:val="nil"/>
              <w:left w:val="nil"/>
              <w:bottom w:val="nil"/>
              <w:right w:val="nil"/>
            </w:tcBorders>
            <w:shd w:val="clear" w:color="auto" w:fill="auto"/>
            <w:vAlign w:val="bottom"/>
          </w:tcPr>
          <w:p w14:paraId="3807DF50" w14:textId="06E1723A" w:rsidR="001A327E" w:rsidRPr="00872D7E" w:rsidRDefault="001A327E" w:rsidP="001A327E">
            <w:pPr>
              <w:jc w:val="right"/>
              <w:rPr>
                <w:sz w:val="16"/>
                <w:szCs w:val="16"/>
              </w:rPr>
            </w:pPr>
            <w:r w:rsidRPr="00872D7E">
              <w:rPr>
                <w:color w:val="000000"/>
                <w:sz w:val="16"/>
                <w:szCs w:val="16"/>
              </w:rPr>
              <w:t>147.662</w:t>
            </w:r>
          </w:p>
        </w:tc>
      </w:tr>
      <w:tr w:rsidR="001A327E" w:rsidRPr="00872D7E" w14:paraId="38122E53" w14:textId="77777777" w:rsidTr="001A327E">
        <w:trPr>
          <w:trHeight w:val="133"/>
        </w:trPr>
        <w:tc>
          <w:tcPr>
            <w:tcW w:w="98" w:type="pct"/>
            <w:shd w:val="clear" w:color="auto" w:fill="auto"/>
            <w:vAlign w:val="bottom"/>
          </w:tcPr>
          <w:p w14:paraId="5096B26D"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1.2</w:t>
            </w:r>
          </w:p>
        </w:tc>
        <w:tc>
          <w:tcPr>
            <w:tcW w:w="528" w:type="pct"/>
            <w:shd w:val="clear" w:color="auto" w:fill="auto"/>
            <w:vAlign w:val="bottom"/>
          </w:tcPr>
          <w:p w14:paraId="4047EBF2" w14:textId="77777777" w:rsidR="001A327E" w:rsidRPr="00872D7E" w:rsidRDefault="001A327E" w:rsidP="001A327E">
            <w:pPr>
              <w:rPr>
                <w:color w:val="000000"/>
                <w:sz w:val="15"/>
                <w:szCs w:val="15"/>
              </w:rPr>
            </w:pPr>
            <w:r w:rsidRPr="00872D7E">
              <w:rPr>
                <w:color w:val="000000"/>
                <w:sz w:val="15"/>
                <w:szCs w:val="15"/>
              </w:rPr>
              <w:t xml:space="preserve">   Ormancılık</w:t>
            </w:r>
          </w:p>
        </w:tc>
        <w:tc>
          <w:tcPr>
            <w:tcW w:w="240" w:type="pct"/>
            <w:tcBorders>
              <w:top w:val="nil"/>
              <w:left w:val="nil"/>
              <w:bottom w:val="nil"/>
              <w:right w:val="nil"/>
            </w:tcBorders>
            <w:shd w:val="clear" w:color="auto" w:fill="auto"/>
            <w:vAlign w:val="bottom"/>
          </w:tcPr>
          <w:p w14:paraId="22336F6B" w14:textId="11E7DEE2"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2A4620CF" w14:textId="075E4658"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5F655CDF" w14:textId="46BD40F6"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4EA8AF47" w14:textId="6571F089"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38590F95" w14:textId="5F25A96F"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4BB7AA55" w14:textId="42E1F638"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600E6B99" w14:textId="71AF9596"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2442BBED" w14:textId="780A9420"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2F3049CB" w14:textId="48E17A8C" w:rsidR="001A327E" w:rsidRPr="00872D7E" w:rsidRDefault="001A327E" w:rsidP="001A327E">
            <w:pPr>
              <w:jc w:val="right"/>
              <w:rPr>
                <w:sz w:val="16"/>
                <w:szCs w:val="16"/>
              </w:rPr>
            </w:pPr>
            <w:r w:rsidRPr="00872D7E">
              <w:rPr>
                <w:color w:val="000000"/>
                <w:sz w:val="16"/>
                <w:szCs w:val="16"/>
              </w:rPr>
              <w:t>-</w:t>
            </w:r>
          </w:p>
        </w:tc>
        <w:tc>
          <w:tcPr>
            <w:tcW w:w="142" w:type="pct"/>
            <w:tcBorders>
              <w:top w:val="nil"/>
              <w:left w:val="nil"/>
              <w:bottom w:val="nil"/>
              <w:right w:val="nil"/>
            </w:tcBorders>
            <w:shd w:val="clear" w:color="auto" w:fill="auto"/>
            <w:vAlign w:val="bottom"/>
          </w:tcPr>
          <w:p w14:paraId="6A8BAA4A" w14:textId="0D272E7F"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0B10C5E8" w14:textId="332F6540"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1D8513C6" w14:textId="3C4C1B0C"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75A69C91" w14:textId="4EB66A2F"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BC91143" w14:textId="47146A36"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E956242" w14:textId="753B6AFD"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2B3867D5" w14:textId="03844FCB"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DCE520D" w14:textId="05F5D72C"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15545924" w14:textId="434C5DD8" w:rsidR="001A327E" w:rsidRPr="00872D7E" w:rsidRDefault="001A327E" w:rsidP="001A327E">
            <w:pPr>
              <w:jc w:val="right"/>
              <w:rPr>
                <w:sz w:val="16"/>
                <w:szCs w:val="16"/>
              </w:rPr>
            </w:pPr>
            <w:r w:rsidRPr="00872D7E">
              <w:rPr>
                <w:color w:val="000000"/>
                <w:sz w:val="16"/>
                <w:szCs w:val="16"/>
              </w:rPr>
              <w:t>-</w:t>
            </w:r>
          </w:p>
        </w:tc>
        <w:tc>
          <w:tcPr>
            <w:tcW w:w="272" w:type="pct"/>
            <w:tcBorders>
              <w:top w:val="nil"/>
              <w:left w:val="nil"/>
              <w:bottom w:val="nil"/>
              <w:right w:val="nil"/>
            </w:tcBorders>
            <w:shd w:val="clear" w:color="auto" w:fill="auto"/>
            <w:vAlign w:val="bottom"/>
          </w:tcPr>
          <w:p w14:paraId="5FEC751F" w14:textId="63B8FD69" w:rsidR="001A327E" w:rsidRPr="00872D7E" w:rsidRDefault="001A327E" w:rsidP="001A327E">
            <w:pPr>
              <w:jc w:val="right"/>
              <w:rPr>
                <w:sz w:val="16"/>
                <w:szCs w:val="16"/>
              </w:rPr>
            </w:pPr>
            <w:r w:rsidRPr="00872D7E">
              <w:rPr>
                <w:color w:val="000000"/>
                <w:sz w:val="16"/>
                <w:szCs w:val="16"/>
              </w:rPr>
              <w:t>-</w:t>
            </w:r>
          </w:p>
        </w:tc>
        <w:tc>
          <w:tcPr>
            <w:tcW w:w="273" w:type="pct"/>
            <w:tcBorders>
              <w:top w:val="nil"/>
              <w:left w:val="nil"/>
              <w:bottom w:val="nil"/>
              <w:right w:val="nil"/>
            </w:tcBorders>
            <w:shd w:val="clear" w:color="auto" w:fill="auto"/>
            <w:vAlign w:val="bottom"/>
          </w:tcPr>
          <w:p w14:paraId="0D560533" w14:textId="4ADE8C18" w:rsidR="001A327E" w:rsidRPr="00872D7E" w:rsidRDefault="001A327E" w:rsidP="001A327E">
            <w:pPr>
              <w:jc w:val="right"/>
              <w:rPr>
                <w:sz w:val="16"/>
                <w:szCs w:val="16"/>
              </w:rPr>
            </w:pPr>
            <w:r w:rsidRPr="00872D7E">
              <w:rPr>
                <w:color w:val="000000"/>
                <w:sz w:val="16"/>
                <w:szCs w:val="16"/>
              </w:rPr>
              <w:t>-</w:t>
            </w:r>
          </w:p>
        </w:tc>
      </w:tr>
      <w:tr w:rsidR="001A327E" w:rsidRPr="00872D7E" w14:paraId="7B9A6A4A" w14:textId="77777777" w:rsidTr="001A327E">
        <w:trPr>
          <w:trHeight w:val="133"/>
        </w:trPr>
        <w:tc>
          <w:tcPr>
            <w:tcW w:w="98" w:type="pct"/>
            <w:shd w:val="clear" w:color="auto" w:fill="auto"/>
            <w:vAlign w:val="bottom"/>
          </w:tcPr>
          <w:p w14:paraId="2C87F3DB"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1.3</w:t>
            </w:r>
          </w:p>
        </w:tc>
        <w:tc>
          <w:tcPr>
            <w:tcW w:w="528" w:type="pct"/>
            <w:shd w:val="clear" w:color="auto" w:fill="auto"/>
            <w:vAlign w:val="bottom"/>
          </w:tcPr>
          <w:p w14:paraId="76A2D9E5" w14:textId="77777777" w:rsidR="001A327E" w:rsidRPr="00872D7E" w:rsidRDefault="001A327E" w:rsidP="001A327E">
            <w:pPr>
              <w:rPr>
                <w:color w:val="000000"/>
                <w:sz w:val="15"/>
                <w:szCs w:val="15"/>
              </w:rPr>
            </w:pPr>
            <w:r w:rsidRPr="00872D7E">
              <w:rPr>
                <w:color w:val="000000"/>
                <w:sz w:val="15"/>
                <w:szCs w:val="15"/>
              </w:rPr>
              <w:t xml:space="preserve">   Balıkçılık</w:t>
            </w:r>
          </w:p>
        </w:tc>
        <w:tc>
          <w:tcPr>
            <w:tcW w:w="240" w:type="pct"/>
            <w:tcBorders>
              <w:top w:val="nil"/>
              <w:left w:val="nil"/>
              <w:bottom w:val="nil"/>
              <w:right w:val="nil"/>
            </w:tcBorders>
            <w:shd w:val="clear" w:color="auto" w:fill="auto"/>
            <w:vAlign w:val="bottom"/>
          </w:tcPr>
          <w:p w14:paraId="608E0F04" w14:textId="56B16496"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44E2EACA" w14:textId="6E6CAF99"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50561528" w14:textId="5A996A01"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11768E34" w14:textId="4A849815"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0C3A1F3C" w14:textId="5BCB30CC"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2CCCF912" w14:textId="1D1BF3C7"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4E7BEAD3" w14:textId="5463E1D3"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02EC7ED7" w14:textId="16DB2EE7"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45CABDF2" w14:textId="71A2FFD3" w:rsidR="001A327E" w:rsidRPr="00872D7E" w:rsidRDefault="001A327E" w:rsidP="001A327E">
            <w:pPr>
              <w:jc w:val="right"/>
              <w:rPr>
                <w:sz w:val="16"/>
                <w:szCs w:val="16"/>
              </w:rPr>
            </w:pPr>
            <w:r w:rsidRPr="00872D7E">
              <w:rPr>
                <w:color w:val="000000"/>
                <w:sz w:val="16"/>
                <w:szCs w:val="16"/>
              </w:rPr>
              <w:t>-</w:t>
            </w:r>
          </w:p>
        </w:tc>
        <w:tc>
          <w:tcPr>
            <w:tcW w:w="142" w:type="pct"/>
            <w:tcBorders>
              <w:top w:val="nil"/>
              <w:left w:val="nil"/>
              <w:bottom w:val="nil"/>
              <w:right w:val="nil"/>
            </w:tcBorders>
            <w:shd w:val="clear" w:color="auto" w:fill="auto"/>
            <w:vAlign w:val="bottom"/>
          </w:tcPr>
          <w:p w14:paraId="0DE5BD78" w14:textId="153D2C6E"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41A252D3" w14:textId="66DE254A"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0B504544" w14:textId="734983F6"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153AF48" w14:textId="66586CC6"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6F6026B" w14:textId="6951E43C"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E5730B5" w14:textId="05ADB8C1"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B7A8B10" w14:textId="74956740"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71823DFE" w14:textId="22A709B9"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217E08AA" w14:textId="7D2CC144" w:rsidR="001A327E" w:rsidRPr="00872D7E" w:rsidRDefault="001A327E" w:rsidP="001A327E">
            <w:pPr>
              <w:jc w:val="right"/>
              <w:rPr>
                <w:sz w:val="16"/>
                <w:szCs w:val="16"/>
              </w:rPr>
            </w:pPr>
            <w:r w:rsidRPr="00872D7E">
              <w:rPr>
                <w:color w:val="000000"/>
                <w:sz w:val="16"/>
                <w:szCs w:val="16"/>
              </w:rPr>
              <w:t>-</w:t>
            </w:r>
          </w:p>
        </w:tc>
        <w:tc>
          <w:tcPr>
            <w:tcW w:w="272" w:type="pct"/>
            <w:tcBorders>
              <w:top w:val="nil"/>
              <w:left w:val="nil"/>
              <w:bottom w:val="nil"/>
              <w:right w:val="nil"/>
            </w:tcBorders>
            <w:shd w:val="clear" w:color="auto" w:fill="auto"/>
            <w:vAlign w:val="bottom"/>
          </w:tcPr>
          <w:p w14:paraId="7B1F15C1" w14:textId="38FF3D59" w:rsidR="001A327E" w:rsidRPr="00872D7E" w:rsidRDefault="001A327E" w:rsidP="001A327E">
            <w:pPr>
              <w:jc w:val="right"/>
              <w:rPr>
                <w:sz w:val="16"/>
                <w:szCs w:val="16"/>
              </w:rPr>
            </w:pPr>
            <w:r w:rsidRPr="00872D7E">
              <w:rPr>
                <w:color w:val="000000"/>
                <w:sz w:val="16"/>
                <w:szCs w:val="16"/>
              </w:rPr>
              <w:t>-</w:t>
            </w:r>
          </w:p>
        </w:tc>
        <w:tc>
          <w:tcPr>
            <w:tcW w:w="273" w:type="pct"/>
            <w:tcBorders>
              <w:top w:val="nil"/>
              <w:left w:val="nil"/>
              <w:bottom w:val="nil"/>
              <w:right w:val="nil"/>
            </w:tcBorders>
            <w:shd w:val="clear" w:color="auto" w:fill="auto"/>
            <w:vAlign w:val="bottom"/>
          </w:tcPr>
          <w:p w14:paraId="72928F90" w14:textId="32E14BAF" w:rsidR="001A327E" w:rsidRPr="00872D7E" w:rsidRDefault="001A327E" w:rsidP="001A327E">
            <w:pPr>
              <w:jc w:val="right"/>
              <w:rPr>
                <w:sz w:val="16"/>
                <w:szCs w:val="16"/>
              </w:rPr>
            </w:pPr>
            <w:r w:rsidRPr="00872D7E">
              <w:rPr>
                <w:color w:val="000000"/>
                <w:sz w:val="16"/>
                <w:szCs w:val="16"/>
              </w:rPr>
              <w:t>-</w:t>
            </w:r>
          </w:p>
        </w:tc>
      </w:tr>
      <w:tr w:rsidR="001A327E" w:rsidRPr="00872D7E" w14:paraId="4EC5B11F" w14:textId="77777777" w:rsidTr="001A327E">
        <w:trPr>
          <w:trHeight w:val="133"/>
        </w:trPr>
        <w:tc>
          <w:tcPr>
            <w:tcW w:w="98" w:type="pct"/>
            <w:shd w:val="clear" w:color="auto" w:fill="auto"/>
            <w:vAlign w:val="bottom"/>
          </w:tcPr>
          <w:p w14:paraId="6DEC9722" w14:textId="77777777" w:rsidR="001A327E" w:rsidRPr="00872D7E" w:rsidRDefault="001A327E" w:rsidP="001A327E">
            <w:pPr>
              <w:autoSpaceDE w:val="0"/>
              <w:autoSpaceDN w:val="0"/>
              <w:adjustRightInd w:val="0"/>
              <w:ind w:left="180" w:hanging="180"/>
              <w:rPr>
                <w:rFonts w:eastAsia="Arial Unicode MS"/>
                <w:b/>
                <w:sz w:val="15"/>
                <w:szCs w:val="15"/>
              </w:rPr>
            </w:pPr>
            <w:r w:rsidRPr="00872D7E">
              <w:rPr>
                <w:rFonts w:eastAsia="Arial Unicode MS"/>
                <w:b/>
                <w:sz w:val="15"/>
                <w:szCs w:val="15"/>
              </w:rPr>
              <w:t>2</w:t>
            </w:r>
          </w:p>
        </w:tc>
        <w:tc>
          <w:tcPr>
            <w:tcW w:w="528" w:type="pct"/>
            <w:shd w:val="clear" w:color="auto" w:fill="auto"/>
            <w:vAlign w:val="bottom"/>
          </w:tcPr>
          <w:p w14:paraId="286EF61A" w14:textId="77777777" w:rsidR="001A327E" w:rsidRPr="00872D7E" w:rsidRDefault="001A327E" w:rsidP="001A327E">
            <w:pPr>
              <w:rPr>
                <w:b/>
                <w:bCs/>
                <w:color w:val="000000"/>
                <w:sz w:val="15"/>
                <w:szCs w:val="15"/>
              </w:rPr>
            </w:pPr>
            <w:r w:rsidRPr="00872D7E">
              <w:rPr>
                <w:b/>
                <w:bCs/>
                <w:color w:val="000000"/>
                <w:sz w:val="15"/>
                <w:szCs w:val="15"/>
              </w:rPr>
              <w:t>Sanayi</w:t>
            </w:r>
          </w:p>
        </w:tc>
        <w:tc>
          <w:tcPr>
            <w:tcW w:w="240" w:type="pct"/>
            <w:tcBorders>
              <w:top w:val="nil"/>
              <w:left w:val="nil"/>
              <w:bottom w:val="nil"/>
              <w:right w:val="nil"/>
            </w:tcBorders>
            <w:shd w:val="clear" w:color="auto" w:fill="auto"/>
            <w:vAlign w:val="bottom"/>
          </w:tcPr>
          <w:p w14:paraId="43E41BF0" w14:textId="082155F0" w:rsidR="001A327E" w:rsidRPr="00872D7E" w:rsidRDefault="001A327E" w:rsidP="001A327E">
            <w:pPr>
              <w:jc w:val="right"/>
              <w:rPr>
                <w:b/>
                <w:sz w:val="16"/>
                <w:szCs w:val="16"/>
              </w:rPr>
            </w:pPr>
            <w:r w:rsidRPr="00872D7E">
              <w:rPr>
                <w:b/>
                <w:bCs/>
                <w:color w:val="000000"/>
                <w:sz w:val="16"/>
                <w:szCs w:val="16"/>
              </w:rPr>
              <w:t>-</w:t>
            </w:r>
          </w:p>
        </w:tc>
        <w:tc>
          <w:tcPr>
            <w:tcW w:w="156" w:type="pct"/>
            <w:tcBorders>
              <w:top w:val="nil"/>
              <w:left w:val="nil"/>
              <w:bottom w:val="nil"/>
              <w:right w:val="nil"/>
            </w:tcBorders>
            <w:shd w:val="clear" w:color="auto" w:fill="auto"/>
            <w:vAlign w:val="bottom"/>
          </w:tcPr>
          <w:p w14:paraId="21108D85" w14:textId="01EA981B" w:rsidR="001A327E" w:rsidRPr="00872D7E" w:rsidRDefault="001A327E" w:rsidP="001A327E">
            <w:pPr>
              <w:jc w:val="right"/>
              <w:rPr>
                <w:b/>
                <w:sz w:val="16"/>
                <w:szCs w:val="16"/>
              </w:rPr>
            </w:pPr>
            <w:r w:rsidRPr="00872D7E">
              <w:rPr>
                <w:b/>
                <w:bCs/>
                <w:color w:val="000000"/>
                <w:sz w:val="16"/>
                <w:szCs w:val="16"/>
              </w:rPr>
              <w:t>-</w:t>
            </w:r>
          </w:p>
        </w:tc>
        <w:tc>
          <w:tcPr>
            <w:tcW w:w="173" w:type="pct"/>
            <w:tcBorders>
              <w:top w:val="nil"/>
              <w:left w:val="nil"/>
              <w:bottom w:val="nil"/>
              <w:right w:val="nil"/>
            </w:tcBorders>
            <w:shd w:val="clear" w:color="auto" w:fill="auto"/>
            <w:vAlign w:val="bottom"/>
          </w:tcPr>
          <w:p w14:paraId="1311FE29" w14:textId="1FD9F4F7" w:rsidR="001A327E" w:rsidRPr="00872D7E" w:rsidRDefault="001A327E" w:rsidP="001A327E">
            <w:pPr>
              <w:jc w:val="right"/>
              <w:rPr>
                <w:b/>
                <w:sz w:val="16"/>
                <w:szCs w:val="16"/>
              </w:rPr>
            </w:pPr>
            <w:r w:rsidRPr="00872D7E">
              <w:rPr>
                <w:b/>
                <w:bCs/>
                <w:color w:val="000000"/>
                <w:sz w:val="16"/>
                <w:szCs w:val="16"/>
              </w:rPr>
              <w:t>-</w:t>
            </w:r>
          </w:p>
        </w:tc>
        <w:tc>
          <w:tcPr>
            <w:tcW w:w="100" w:type="pct"/>
            <w:tcBorders>
              <w:top w:val="nil"/>
              <w:left w:val="nil"/>
              <w:bottom w:val="nil"/>
              <w:right w:val="nil"/>
            </w:tcBorders>
            <w:shd w:val="clear" w:color="auto" w:fill="auto"/>
            <w:vAlign w:val="bottom"/>
          </w:tcPr>
          <w:p w14:paraId="34503261" w14:textId="07976135" w:rsidR="001A327E" w:rsidRPr="00872D7E" w:rsidRDefault="001A327E" w:rsidP="001A327E">
            <w:pPr>
              <w:jc w:val="right"/>
              <w:rPr>
                <w:b/>
                <w:sz w:val="16"/>
                <w:szCs w:val="16"/>
              </w:rPr>
            </w:pPr>
            <w:r w:rsidRPr="00872D7E">
              <w:rPr>
                <w:b/>
                <w:bCs/>
                <w:color w:val="000000"/>
                <w:sz w:val="16"/>
                <w:szCs w:val="16"/>
              </w:rPr>
              <w:t>-</w:t>
            </w:r>
          </w:p>
        </w:tc>
        <w:tc>
          <w:tcPr>
            <w:tcW w:w="224" w:type="pct"/>
            <w:tcBorders>
              <w:top w:val="nil"/>
              <w:left w:val="nil"/>
              <w:bottom w:val="nil"/>
              <w:right w:val="nil"/>
            </w:tcBorders>
            <w:shd w:val="clear" w:color="auto" w:fill="auto"/>
            <w:vAlign w:val="bottom"/>
          </w:tcPr>
          <w:p w14:paraId="03A971A8" w14:textId="5578DE95" w:rsidR="001A327E" w:rsidRPr="00872D7E" w:rsidRDefault="001A327E" w:rsidP="001A327E">
            <w:pPr>
              <w:jc w:val="right"/>
              <w:rPr>
                <w:b/>
                <w:sz w:val="16"/>
                <w:szCs w:val="16"/>
              </w:rPr>
            </w:pPr>
            <w:r w:rsidRPr="00872D7E">
              <w:rPr>
                <w:b/>
                <w:bCs/>
                <w:color w:val="000000"/>
                <w:sz w:val="16"/>
                <w:szCs w:val="16"/>
              </w:rPr>
              <w:t>-</w:t>
            </w:r>
          </w:p>
        </w:tc>
        <w:tc>
          <w:tcPr>
            <w:tcW w:w="240" w:type="pct"/>
            <w:tcBorders>
              <w:top w:val="nil"/>
              <w:left w:val="nil"/>
              <w:bottom w:val="nil"/>
              <w:right w:val="nil"/>
            </w:tcBorders>
            <w:shd w:val="clear" w:color="auto" w:fill="auto"/>
            <w:vAlign w:val="bottom"/>
          </w:tcPr>
          <w:p w14:paraId="1679F946" w14:textId="18FFDA0A" w:rsidR="001A327E" w:rsidRPr="00872D7E" w:rsidRDefault="001A327E" w:rsidP="001A327E">
            <w:pPr>
              <w:jc w:val="right"/>
              <w:rPr>
                <w:b/>
                <w:sz w:val="16"/>
                <w:szCs w:val="16"/>
              </w:rPr>
            </w:pPr>
            <w:r w:rsidRPr="00872D7E">
              <w:rPr>
                <w:b/>
                <w:bCs/>
                <w:color w:val="000000"/>
                <w:sz w:val="16"/>
                <w:szCs w:val="16"/>
              </w:rPr>
              <w:t>-</w:t>
            </w:r>
          </w:p>
        </w:tc>
        <w:tc>
          <w:tcPr>
            <w:tcW w:w="268" w:type="pct"/>
            <w:tcBorders>
              <w:top w:val="nil"/>
              <w:left w:val="nil"/>
              <w:bottom w:val="nil"/>
              <w:right w:val="nil"/>
            </w:tcBorders>
            <w:shd w:val="clear" w:color="auto" w:fill="auto"/>
            <w:vAlign w:val="bottom"/>
          </w:tcPr>
          <w:p w14:paraId="605CB198" w14:textId="2A5C784B" w:rsidR="001A327E" w:rsidRPr="00872D7E" w:rsidRDefault="001A327E" w:rsidP="001A327E">
            <w:pPr>
              <w:jc w:val="right"/>
              <w:rPr>
                <w:b/>
                <w:sz w:val="16"/>
                <w:szCs w:val="16"/>
              </w:rPr>
            </w:pPr>
            <w:r w:rsidRPr="00872D7E">
              <w:rPr>
                <w:b/>
                <w:bCs/>
                <w:color w:val="000000"/>
                <w:sz w:val="16"/>
                <w:szCs w:val="16"/>
              </w:rPr>
              <w:t>3.473.351</w:t>
            </w:r>
          </w:p>
        </w:tc>
        <w:tc>
          <w:tcPr>
            <w:tcW w:w="220" w:type="pct"/>
            <w:tcBorders>
              <w:top w:val="nil"/>
              <w:left w:val="nil"/>
              <w:bottom w:val="nil"/>
              <w:right w:val="nil"/>
            </w:tcBorders>
            <w:shd w:val="clear" w:color="auto" w:fill="auto"/>
            <w:vAlign w:val="bottom"/>
          </w:tcPr>
          <w:p w14:paraId="5F15F2C7" w14:textId="387F93BD" w:rsidR="001A327E" w:rsidRPr="00872D7E" w:rsidRDefault="001A327E" w:rsidP="001A327E">
            <w:pPr>
              <w:jc w:val="right"/>
              <w:rPr>
                <w:b/>
                <w:sz w:val="16"/>
                <w:szCs w:val="16"/>
              </w:rPr>
            </w:pPr>
            <w:r w:rsidRPr="00872D7E">
              <w:rPr>
                <w:b/>
                <w:bCs/>
                <w:color w:val="000000"/>
                <w:sz w:val="16"/>
                <w:szCs w:val="16"/>
              </w:rPr>
              <w:t>-</w:t>
            </w:r>
          </w:p>
        </w:tc>
        <w:tc>
          <w:tcPr>
            <w:tcW w:w="201" w:type="pct"/>
            <w:tcBorders>
              <w:top w:val="nil"/>
              <w:left w:val="nil"/>
              <w:bottom w:val="nil"/>
              <w:right w:val="nil"/>
            </w:tcBorders>
            <w:shd w:val="clear" w:color="auto" w:fill="auto"/>
            <w:vAlign w:val="bottom"/>
          </w:tcPr>
          <w:p w14:paraId="680F9EF9" w14:textId="11537FDF" w:rsidR="001A327E" w:rsidRPr="00872D7E" w:rsidRDefault="001A327E" w:rsidP="001A327E">
            <w:pPr>
              <w:jc w:val="right"/>
              <w:rPr>
                <w:b/>
                <w:sz w:val="16"/>
                <w:szCs w:val="16"/>
              </w:rPr>
            </w:pPr>
            <w:r w:rsidRPr="00872D7E">
              <w:rPr>
                <w:b/>
                <w:bCs/>
                <w:color w:val="000000"/>
                <w:sz w:val="16"/>
                <w:szCs w:val="16"/>
              </w:rPr>
              <w:t>238.040</w:t>
            </w:r>
          </w:p>
        </w:tc>
        <w:tc>
          <w:tcPr>
            <w:tcW w:w="142" w:type="pct"/>
            <w:tcBorders>
              <w:top w:val="nil"/>
              <w:left w:val="nil"/>
              <w:bottom w:val="nil"/>
              <w:right w:val="nil"/>
            </w:tcBorders>
            <w:shd w:val="clear" w:color="auto" w:fill="auto"/>
            <w:vAlign w:val="bottom"/>
          </w:tcPr>
          <w:p w14:paraId="3A5298C3" w14:textId="4B5D490E" w:rsidR="001A327E" w:rsidRPr="00872D7E" w:rsidRDefault="001A327E" w:rsidP="001A327E">
            <w:pPr>
              <w:jc w:val="right"/>
              <w:rPr>
                <w:b/>
                <w:sz w:val="16"/>
                <w:szCs w:val="16"/>
              </w:rPr>
            </w:pPr>
            <w:r w:rsidRPr="00872D7E">
              <w:rPr>
                <w:b/>
                <w:bCs/>
                <w:color w:val="000000"/>
                <w:sz w:val="16"/>
                <w:szCs w:val="16"/>
              </w:rPr>
              <w:t>-</w:t>
            </w:r>
          </w:p>
        </w:tc>
        <w:tc>
          <w:tcPr>
            <w:tcW w:w="220" w:type="pct"/>
            <w:tcBorders>
              <w:top w:val="nil"/>
              <w:left w:val="nil"/>
              <w:bottom w:val="nil"/>
              <w:right w:val="nil"/>
            </w:tcBorders>
            <w:shd w:val="clear" w:color="auto" w:fill="auto"/>
            <w:vAlign w:val="bottom"/>
          </w:tcPr>
          <w:p w14:paraId="0DBB56AC" w14:textId="54C87D05" w:rsidR="001A327E" w:rsidRPr="00872D7E" w:rsidRDefault="001A327E" w:rsidP="001A327E">
            <w:pPr>
              <w:jc w:val="right"/>
              <w:rPr>
                <w:b/>
                <w:sz w:val="16"/>
                <w:szCs w:val="16"/>
              </w:rPr>
            </w:pPr>
            <w:r w:rsidRPr="00872D7E">
              <w:rPr>
                <w:b/>
                <w:bCs/>
                <w:color w:val="000000"/>
                <w:sz w:val="16"/>
                <w:szCs w:val="16"/>
              </w:rPr>
              <w:t>-</w:t>
            </w:r>
          </w:p>
        </w:tc>
        <w:tc>
          <w:tcPr>
            <w:tcW w:w="159" w:type="pct"/>
            <w:tcBorders>
              <w:top w:val="nil"/>
              <w:left w:val="nil"/>
              <w:bottom w:val="nil"/>
              <w:right w:val="nil"/>
            </w:tcBorders>
            <w:shd w:val="clear" w:color="auto" w:fill="auto"/>
            <w:vAlign w:val="bottom"/>
          </w:tcPr>
          <w:p w14:paraId="66F8B230" w14:textId="2A7107FA"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3883CA94" w14:textId="4D4BCF85"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374050D6" w14:textId="70650904"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560B5A57" w14:textId="6F17C746"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5F25B4C9" w14:textId="7E44CD20"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58EC9F5C" w14:textId="307E38D7" w:rsidR="001A327E" w:rsidRPr="00872D7E" w:rsidRDefault="001A327E" w:rsidP="001A327E">
            <w:pPr>
              <w:jc w:val="right"/>
              <w:rPr>
                <w:b/>
                <w:sz w:val="16"/>
                <w:szCs w:val="16"/>
              </w:rPr>
            </w:pPr>
            <w:r w:rsidRPr="00872D7E">
              <w:rPr>
                <w:b/>
                <w:bCs/>
                <w:color w:val="000000"/>
                <w:sz w:val="16"/>
                <w:szCs w:val="16"/>
              </w:rPr>
              <w:t>-</w:t>
            </w:r>
          </w:p>
        </w:tc>
        <w:tc>
          <w:tcPr>
            <w:tcW w:w="268" w:type="pct"/>
            <w:tcBorders>
              <w:top w:val="nil"/>
              <w:left w:val="nil"/>
              <w:bottom w:val="nil"/>
              <w:right w:val="nil"/>
            </w:tcBorders>
            <w:shd w:val="clear" w:color="auto" w:fill="auto"/>
            <w:vAlign w:val="bottom"/>
          </w:tcPr>
          <w:p w14:paraId="6DD8D3FF" w14:textId="75575F74" w:rsidR="001A327E" w:rsidRPr="00872D7E" w:rsidRDefault="001A327E" w:rsidP="001A327E">
            <w:pPr>
              <w:jc w:val="right"/>
              <w:rPr>
                <w:b/>
                <w:sz w:val="16"/>
                <w:szCs w:val="16"/>
              </w:rPr>
            </w:pPr>
            <w:r w:rsidRPr="00872D7E">
              <w:rPr>
                <w:b/>
                <w:bCs/>
                <w:color w:val="000000"/>
                <w:sz w:val="16"/>
                <w:szCs w:val="16"/>
              </w:rPr>
              <w:t>1.881.438</w:t>
            </w:r>
          </w:p>
        </w:tc>
        <w:tc>
          <w:tcPr>
            <w:tcW w:w="272" w:type="pct"/>
            <w:tcBorders>
              <w:top w:val="nil"/>
              <w:left w:val="nil"/>
              <w:bottom w:val="nil"/>
              <w:right w:val="nil"/>
            </w:tcBorders>
            <w:shd w:val="clear" w:color="auto" w:fill="auto"/>
            <w:vAlign w:val="bottom"/>
          </w:tcPr>
          <w:p w14:paraId="3249C171" w14:textId="33F5CCB1" w:rsidR="001A327E" w:rsidRPr="00872D7E" w:rsidRDefault="001A327E" w:rsidP="001A327E">
            <w:pPr>
              <w:jc w:val="right"/>
              <w:rPr>
                <w:b/>
                <w:sz w:val="16"/>
                <w:szCs w:val="16"/>
              </w:rPr>
            </w:pPr>
            <w:r w:rsidRPr="00872D7E">
              <w:rPr>
                <w:b/>
                <w:bCs/>
                <w:color w:val="000000"/>
                <w:sz w:val="16"/>
                <w:szCs w:val="16"/>
              </w:rPr>
              <w:t>1.829.953</w:t>
            </w:r>
          </w:p>
        </w:tc>
        <w:tc>
          <w:tcPr>
            <w:tcW w:w="273" w:type="pct"/>
            <w:tcBorders>
              <w:top w:val="nil"/>
              <w:left w:val="nil"/>
              <w:bottom w:val="nil"/>
              <w:right w:val="nil"/>
            </w:tcBorders>
            <w:shd w:val="clear" w:color="auto" w:fill="auto"/>
            <w:vAlign w:val="bottom"/>
          </w:tcPr>
          <w:p w14:paraId="528EE3CA" w14:textId="77BA7D56" w:rsidR="001A327E" w:rsidRPr="00872D7E" w:rsidRDefault="001A327E" w:rsidP="001A327E">
            <w:pPr>
              <w:jc w:val="right"/>
              <w:rPr>
                <w:b/>
                <w:sz w:val="16"/>
                <w:szCs w:val="16"/>
              </w:rPr>
            </w:pPr>
            <w:r w:rsidRPr="00872D7E">
              <w:rPr>
                <w:b/>
                <w:bCs/>
                <w:color w:val="000000"/>
                <w:sz w:val="16"/>
                <w:szCs w:val="16"/>
              </w:rPr>
              <w:t>3.711.391</w:t>
            </w:r>
          </w:p>
        </w:tc>
      </w:tr>
      <w:tr w:rsidR="001A327E" w:rsidRPr="00872D7E" w14:paraId="5F5DC948" w14:textId="77777777" w:rsidTr="001A327E">
        <w:trPr>
          <w:trHeight w:val="133"/>
        </w:trPr>
        <w:tc>
          <w:tcPr>
            <w:tcW w:w="98" w:type="pct"/>
            <w:shd w:val="clear" w:color="auto" w:fill="auto"/>
            <w:vAlign w:val="bottom"/>
          </w:tcPr>
          <w:p w14:paraId="1128CBF4"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2.1</w:t>
            </w:r>
          </w:p>
        </w:tc>
        <w:tc>
          <w:tcPr>
            <w:tcW w:w="528" w:type="pct"/>
            <w:shd w:val="clear" w:color="auto" w:fill="auto"/>
            <w:vAlign w:val="bottom"/>
          </w:tcPr>
          <w:p w14:paraId="65251360" w14:textId="77777777" w:rsidR="001A327E" w:rsidRPr="00872D7E" w:rsidRDefault="001A327E" w:rsidP="001A327E">
            <w:pPr>
              <w:ind w:left="160"/>
              <w:rPr>
                <w:rFonts w:eastAsia="Arial Unicode MS"/>
                <w:b/>
                <w:bCs/>
                <w:noProof/>
                <w:color w:val="000000"/>
                <w:sz w:val="15"/>
                <w:szCs w:val="15"/>
              </w:rPr>
            </w:pPr>
            <w:r w:rsidRPr="00872D7E">
              <w:rPr>
                <w:color w:val="000000"/>
                <w:sz w:val="15"/>
                <w:szCs w:val="15"/>
              </w:rPr>
              <w:t xml:space="preserve">Madencilik ve Taş ocakçılığı </w:t>
            </w:r>
          </w:p>
        </w:tc>
        <w:tc>
          <w:tcPr>
            <w:tcW w:w="240" w:type="pct"/>
            <w:tcBorders>
              <w:top w:val="nil"/>
              <w:left w:val="nil"/>
              <w:bottom w:val="nil"/>
              <w:right w:val="nil"/>
            </w:tcBorders>
            <w:shd w:val="clear" w:color="auto" w:fill="auto"/>
            <w:vAlign w:val="bottom"/>
          </w:tcPr>
          <w:p w14:paraId="5A652B81" w14:textId="486740AE"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7642E7B3" w14:textId="3C29378A"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7FBFB72F" w14:textId="14448B4B"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78E37B55" w14:textId="24A06DC7"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49FF766C" w14:textId="39A0213E"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686EE187" w14:textId="4F2818F8"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00CEDF26" w14:textId="5052CCF1" w:rsidR="001A327E" w:rsidRPr="00872D7E" w:rsidRDefault="001A327E" w:rsidP="001A327E">
            <w:pPr>
              <w:jc w:val="right"/>
              <w:rPr>
                <w:sz w:val="16"/>
                <w:szCs w:val="16"/>
              </w:rPr>
            </w:pPr>
            <w:r w:rsidRPr="00872D7E">
              <w:rPr>
                <w:color w:val="000000"/>
                <w:sz w:val="16"/>
                <w:szCs w:val="16"/>
              </w:rPr>
              <w:t>794.095</w:t>
            </w:r>
          </w:p>
        </w:tc>
        <w:tc>
          <w:tcPr>
            <w:tcW w:w="220" w:type="pct"/>
            <w:tcBorders>
              <w:top w:val="nil"/>
              <w:left w:val="nil"/>
              <w:bottom w:val="nil"/>
              <w:right w:val="nil"/>
            </w:tcBorders>
            <w:shd w:val="clear" w:color="auto" w:fill="auto"/>
            <w:vAlign w:val="bottom"/>
          </w:tcPr>
          <w:p w14:paraId="1B5365E3" w14:textId="138D1424"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697867F7" w14:textId="264A73B5" w:rsidR="001A327E" w:rsidRPr="00872D7E" w:rsidRDefault="001A327E" w:rsidP="001A327E">
            <w:pPr>
              <w:jc w:val="right"/>
              <w:rPr>
                <w:sz w:val="16"/>
                <w:szCs w:val="16"/>
              </w:rPr>
            </w:pPr>
            <w:r w:rsidRPr="00872D7E">
              <w:rPr>
                <w:color w:val="000000"/>
                <w:sz w:val="16"/>
                <w:szCs w:val="16"/>
              </w:rPr>
              <w:t>-</w:t>
            </w:r>
          </w:p>
        </w:tc>
        <w:tc>
          <w:tcPr>
            <w:tcW w:w="142" w:type="pct"/>
            <w:tcBorders>
              <w:top w:val="nil"/>
              <w:left w:val="nil"/>
              <w:bottom w:val="nil"/>
              <w:right w:val="nil"/>
            </w:tcBorders>
            <w:shd w:val="clear" w:color="auto" w:fill="auto"/>
            <w:vAlign w:val="bottom"/>
          </w:tcPr>
          <w:p w14:paraId="4B396468" w14:textId="1145BD4D"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73CDBAB3" w14:textId="3B7BDE95" w:rsidR="001A327E" w:rsidRPr="00872D7E" w:rsidRDefault="001A327E" w:rsidP="001A327E">
            <w:pPr>
              <w:jc w:val="right"/>
              <w:rPr>
                <w:bCs/>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36806BD3" w14:textId="1A16C908"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8D42FE5" w14:textId="772AF5A5"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2FF6EB0C" w14:textId="461EAE8E"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5251EF5" w14:textId="221B61EB"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254675E" w14:textId="0F88302B"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102F9B54" w14:textId="76AC9325"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77B54ECC" w14:textId="5595F51E" w:rsidR="001A327E" w:rsidRPr="00872D7E" w:rsidRDefault="001A327E" w:rsidP="001A327E">
            <w:pPr>
              <w:jc w:val="right"/>
              <w:rPr>
                <w:sz w:val="16"/>
                <w:szCs w:val="16"/>
              </w:rPr>
            </w:pPr>
            <w:r w:rsidRPr="00872D7E">
              <w:rPr>
                <w:color w:val="000000"/>
                <w:sz w:val="16"/>
                <w:szCs w:val="16"/>
              </w:rPr>
              <w:t>794.095</w:t>
            </w:r>
          </w:p>
        </w:tc>
        <w:tc>
          <w:tcPr>
            <w:tcW w:w="272" w:type="pct"/>
            <w:tcBorders>
              <w:top w:val="nil"/>
              <w:left w:val="nil"/>
              <w:bottom w:val="nil"/>
              <w:right w:val="nil"/>
            </w:tcBorders>
            <w:shd w:val="clear" w:color="auto" w:fill="auto"/>
            <w:vAlign w:val="bottom"/>
          </w:tcPr>
          <w:p w14:paraId="019CDD74" w14:textId="74E95158" w:rsidR="001A327E" w:rsidRPr="00872D7E" w:rsidRDefault="001A327E" w:rsidP="001A327E">
            <w:pPr>
              <w:jc w:val="right"/>
              <w:rPr>
                <w:sz w:val="16"/>
                <w:szCs w:val="16"/>
              </w:rPr>
            </w:pPr>
            <w:r w:rsidRPr="00872D7E">
              <w:rPr>
                <w:color w:val="000000"/>
                <w:sz w:val="16"/>
                <w:szCs w:val="16"/>
              </w:rPr>
              <w:t>-</w:t>
            </w:r>
          </w:p>
        </w:tc>
        <w:tc>
          <w:tcPr>
            <w:tcW w:w="273" w:type="pct"/>
            <w:tcBorders>
              <w:top w:val="nil"/>
              <w:left w:val="nil"/>
              <w:bottom w:val="nil"/>
              <w:right w:val="nil"/>
            </w:tcBorders>
            <w:shd w:val="clear" w:color="auto" w:fill="auto"/>
            <w:vAlign w:val="bottom"/>
          </w:tcPr>
          <w:p w14:paraId="79E849A2" w14:textId="35E287D1" w:rsidR="001A327E" w:rsidRPr="00872D7E" w:rsidRDefault="001A327E" w:rsidP="001A327E">
            <w:pPr>
              <w:jc w:val="right"/>
              <w:rPr>
                <w:sz w:val="16"/>
                <w:szCs w:val="16"/>
              </w:rPr>
            </w:pPr>
            <w:r w:rsidRPr="00872D7E">
              <w:rPr>
                <w:color w:val="000000"/>
                <w:sz w:val="16"/>
                <w:szCs w:val="16"/>
              </w:rPr>
              <w:t>794.095</w:t>
            </w:r>
          </w:p>
        </w:tc>
      </w:tr>
      <w:tr w:rsidR="001A327E" w:rsidRPr="00872D7E" w14:paraId="62FA36C5" w14:textId="77777777" w:rsidTr="001A327E">
        <w:trPr>
          <w:trHeight w:val="133"/>
        </w:trPr>
        <w:tc>
          <w:tcPr>
            <w:tcW w:w="98" w:type="pct"/>
            <w:shd w:val="clear" w:color="auto" w:fill="auto"/>
            <w:vAlign w:val="bottom"/>
          </w:tcPr>
          <w:p w14:paraId="2BFFB715"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2.2</w:t>
            </w:r>
          </w:p>
        </w:tc>
        <w:tc>
          <w:tcPr>
            <w:tcW w:w="528" w:type="pct"/>
            <w:shd w:val="clear" w:color="auto" w:fill="auto"/>
            <w:vAlign w:val="bottom"/>
          </w:tcPr>
          <w:p w14:paraId="0C1F7800" w14:textId="77777777" w:rsidR="001A327E" w:rsidRPr="00872D7E" w:rsidRDefault="001A327E" w:rsidP="001A327E">
            <w:pPr>
              <w:rPr>
                <w:color w:val="000000"/>
                <w:sz w:val="15"/>
                <w:szCs w:val="15"/>
              </w:rPr>
            </w:pPr>
            <w:r w:rsidRPr="00872D7E">
              <w:rPr>
                <w:color w:val="000000"/>
                <w:sz w:val="15"/>
                <w:szCs w:val="15"/>
              </w:rPr>
              <w:t xml:space="preserve">   İmalat Sanayi</w:t>
            </w:r>
          </w:p>
        </w:tc>
        <w:tc>
          <w:tcPr>
            <w:tcW w:w="240" w:type="pct"/>
            <w:tcBorders>
              <w:top w:val="nil"/>
              <w:left w:val="nil"/>
              <w:bottom w:val="nil"/>
              <w:right w:val="nil"/>
            </w:tcBorders>
            <w:shd w:val="clear" w:color="auto" w:fill="auto"/>
            <w:vAlign w:val="bottom"/>
          </w:tcPr>
          <w:p w14:paraId="2E4B4389" w14:textId="4E8137AA"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186AA6B4" w14:textId="4E414D53"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4E8A0941" w14:textId="3A403774"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2091CF7E" w14:textId="4C9C2FDC"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14D1D630" w14:textId="1EE4F925"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5112B8DE" w14:textId="5136BB56"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564AF6C9" w14:textId="3BBDA33E" w:rsidR="001A327E" w:rsidRPr="00872D7E" w:rsidRDefault="001A327E" w:rsidP="001A327E">
            <w:pPr>
              <w:jc w:val="right"/>
              <w:rPr>
                <w:sz w:val="16"/>
                <w:szCs w:val="16"/>
              </w:rPr>
            </w:pPr>
            <w:r w:rsidRPr="00872D7E">
              <w:rPr>
                <w:color w:val="000000"/>
                <w:sz w:val="16"/>
                <w:szCs w:val="16"/>
              </w:rPr>
              <w:t>2.439.665</w:t>
            </w:r>
          </w:p>
        </w:tc>
        <w:tc>
          <w:tcPr>
            <w:tcW w:w="220" w:type="pct"/>
            <w:tcBorders>
              <w:top w:val="nil"/>
              <w:left w:val="nil"/>
              <w:bottom w:val="nil"/>
              <w:right w:val="nil"/>
            </w:tcBorders>
            <w:shd w:val="clear" w:color="auto" w:fill="auto"/>
            <w:vAlign w:val="bottom"/>
          </w:tcPr>
          <w:p w14:paraId="14EA6A91" w14:textId="752C428F"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00070596" w14:textId="3E025B44" w:rsidR="001A327E" w:rsidRPr="00872D7E" w:rsidRDefault="001A327E" w:rsidP="001A327E">
            <w:pPr>
              <w:jc w:val="right"/>
              <w:rPr>
                <w:sz w:val="16"/>
                <w:szCs w:val="16"/>
              </w:rPr>
            </w:pPr>
            <w:r w:rsidRPr="00872D7E">
              <w:rPr>
                <w:color w:val="000000"/>
                <w:sz w:val="16"/>
                <w:szCs w:val="16"/>
              </w:rPr>
              <w:t>231.177</w:t>
            </w:r>
          </w:p>
        </w:tc>
        <w:tc>
          <w:tcPr>
            <w:tcW w:w="142" w:type="pct"/>
            <w:tcBorders>
              <w:top w:val="nil"/>
              <w:left w:val="nil"/>
              <w:bottom w:val="nil"/>
              <w:right w:val="nil"/>
            </w:tcBorders>
            <w:shd w:val="clear" w:color="auto" w:fill="auto"/>
            <w:vAlign w:val="bottom"/>
          </w:tcPr>
          <w:p w14:paraId="286DF4DB" w14:textId="7B740828"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1D57333A" w14:textId="2D69D92C" w:rsidR="001A327E" w:rsidRPr="00872D7E" w:rsidRDefault="001A327E" w:rsidP="001A327E">
            <w:pPr>
              <w:jc w:val="right"/>
              <w:rPr>
                <w:bCs/>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35550BFE" w14:textId="50BD4387"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1A2D832B" w14:textId="07D46405"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254AAA2" w14:textId="7A0DBC59"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F9BD74F" w14:textId="7BFFACCC"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21C26234" w14:textId="1A9501BA"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53BAC1C" w14:textId="616FFA89"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1AB9D389" w14:textId="1FEB3BEE" w:rsidR="001A327E" w:rsidRPr="00872D7E" w:rsidRDefault="001A327E" w:rsidP="001A327E">
            <w:pPr>
              <w:jc w:val="right"/>
              <w:rPr>
                <w:sz w:val="16"/>
                <w:szCs w:val="16"/>
              </w:rPr>
            </w:pPr>
            <w:r w:rsidRPr="00872D7E">
              <w:rPr>
                <w:color w:val="000000"/>
                <w:sz w:val="16"/>
                <w:szCs w:val="16"/>
              </w:rPr>
              <w:t>847.752</w:t>
            </w:r>
          </w:p>
        </w:tc>
        <w:tc>
          <w:tcPr>
            <w:tcW w:w="272" w:type="pct"/>
            <w:tcBorders>
              <w:top w:val="nil"/>
              <w:left w:val="nil"/>
              <w:bottom w:val="nil"/>
              <w:right w:val="nil"/>
            </w:tcBorders>
            <w:shd w:val="clear" w:color="auto" w:fill="auto"/>
            <w:vAlign w:val="bottom"/>
          </w:tcPr>
          <w:p w14:paraId="65F4F473" w14:textId="1E66CAFE" w:rsidR="001A327E" w:rsidRPr="00872D7E" w:rsidRDefault="001A327E" w:rsidP="001A327E">
            <w:pPr>
              <w:jc w:val="right"/>
              <w:rPr>
                <w:sz w:val="16"/>
                <w:szCs w:val="16"/>
              </w:rPr>
            </w:pPr>
            <w:r w:rsidRPr="00872D7E">
              <w:rPr>
                <w:color w:val="000000"/>
                <w:sz w:val="16"/>
                <w:szCs w:val="16"/>
              </w:rPr>
              <w:t>1.823.090</w:t>
            </w:r>
          </w:p>
        </w:tc>
        <w:tc>
          <w:tcPr>
            <w:tcW w:w="273" w:type="pct"/>
            <w:tcBorders>
              <w:top w:val="nil"/>
              <w:left w:val="nil"/>
              <w:bottom w:val="nil"/>
              <w:right w:val="nil"/>
            </w:tcBorders>
            <w:shd w:val="clear" w:color="auto" w:fill="auto"/>
            <w:vAlign w:val="bottom"/>
          </w:tcPr>
          <w:p w14:paraId="0152DD23" w14:textId="68862838" w:rsidR="001A327E" w:rsidRPr="00872D7E" w:rsidRDefault="001A327E" w:rsidP="001A327E">
            <w:pPr>
              <w:jc w:val="right"/>
              <w:rPr>
                <w:sz w:val="16"/>
                <w:szCs w:val="16"/>
              </w:rPr>
            </w:pPr>
            <w:r w:rsidRPr="00872D7E">
              <w:rPr>
                <w:color w:val="000000"/>
                <w:sz w:val="16"/>
                <w:szCs w:val="16"/>
              </w:rPr>
              <w:t>2.670.842</w:t>
            </w:r>
          </w:p>
        </w:tc>
      </w:tr>
      <w:tr w:rsidR="001A327E" w:rsidRPr="00872D7E" w14:paraId="6B94F5DD" w14:textId="77777777" w:rsidTr="001A327E">
        <w:trPr>
          <w:trHeight w:val="133"/>
        </w:trPr>
        <w:tc>
          <w:tcPr>
            <w:tcW w:w="98" w:type="pct"/>
            <w:shd w:val="clear" w:color="auto" w:fill="auto"/>
            <w:vAlign w:val="bottom"/>
          </w:tcPr>
          <w:p w14:paraId="3414001B" w14:textId="77777777" w:rsidR="001A327E" w:rsidRPr="00872D7E" w:rsidRDefault="001A327E" w:rsidP="001A327E">
            <w:pPr>
              <w:autoSpaceDE w:val="0"/>
              <w:autoSpaceDN w:val="0"/>
              <w:adjustRightInd w:val="0"/>
              <w:ind w:left="112" w:hanging="112"/>
              <w:rPr>
                <w:rFonts w:eastAsia="Arial Unicode MS"/>
                <w:sz w:val="15"/>
                <w:szCs w:val="15"/>
              </w:rPr>
            </w:pPr>
            <w:r w:rsidRPr="00872D7E">
              <w:rPr>
                <w:rFonts w:eastAsia="Arial Unicode MS"/>
                <w:sz w:val="15"/>
                <w:szCs w:val="15"/>
              </w:rPr>
              <w:t>2.3</w:t>
            </w:r>
          </w:p>
        </w:tc>
        <w:tc>
          <w:tcPr>
            <w:tcW w:w="528" w:type="pct"/>
            <w:shd w:val="clear" w:color="auto" w:fill="auto"/>
            <w:vAlign w:val="bottom"/>
          </w:tcPr>
          <w:p w14:paraId="7E54D742" w14:textId="77777777" w:rsidR="001A327E" w:rsidRPr="00872D7E" w:rsidRDefault="001A327E" w:rsidP="001A327E">
            <w:pPr>
              <w:rPr>
                <w:color w:val="000000"/>
                <w:sz w:val="15"/>
                <w:szCs w:val="15"/>
              </w:rPr>
            </w:pPr>
            <w:r w:rsidRPr="00872D7E">
              <w:rPr>
                <w:color w:val="000000"/>
                <w:sz w:val="15"/>
                <w:szCs w:val="15"/>
              </w:rPr>
              <w:t xml:space="preserve">   Elektrik, Gaz, Su</w:t>
            </w:r>
          </w:p>
        </w:tc>
        <w:tc>
          <w:tcPr>
            <w:tcW w:w="240" w:type="pct"/>
            <w:tcBorders>
              <w:top w:val="nil"/>
              <w:left w:val="nil"/>
              <w:bottom w:val="nil"/>
              <w:right w:val="nil"/>
            </w:tcBorders>
            <w:shd w:val="clear" w:color="auto" w:fill="auto"/>
            <w:vAlign w:val="bottom"/>
          </w:tcPr>
          <w:p w14:paraId="17D2FBCF" w14:textId="7DC1E427"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1412FF5B" w14:textId="125A9705"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37DB00A7" w14:textId="38604F31"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67B4E227" w14:textId="61CAE35D"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2154EA0E" w14:textId="3F815B73"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51A3E68A" w14:textId="609E1D7F"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17D0129A" w14:textId="2CDE7F5C" w:rsidR="001A327E" w:rsidRPr="00872D7E" w:rsidRDefault="001A327E" w:rsidP="001A327E">
            <w:pPr>
              <w:jc w:val="right"/>
              <w:rPr>
                <w:sz w:val="16"/>
                <w:szCs w:val="16"/>
              </w:rPr>
            </w:pPr>
            <w:r w:rsidRPr="00872D7E">
              <w:rPr>
                <w:color w:val="000000"/>
                <w:sz w:val="16"/>
                <w:szCs w:val="16"/>
              </w:rPr>
              <w:t>239.591</w:t>
            </w:r>
          </w:p>
        </w:tc>
        <w:tc>
          <w:tcPr>
            <w:tcW w:w="220" w:type="pct"/>
            <w:tcBorders>
              <w:top w:val="nil"/>
              <w:left w:val="nil"/>
              <w:bottom w:val="nil"/>
              <w:right w:val="nil"/>
            </w:tcBorders>
            <w:shd w:val="clear" w:color="auto" w:fill="auto"/>
            <w:vAlign w:val="bottom"/>
          </w:tcPr>
          <w:p w14:paraId="246668F3" w14:textId="6EC8A750"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07D5054D" w14:textId="22C79F6D" w:rsidR="001A327E" w:rsidRPr="00872D7E" w:rsidRDefault="001A327E" w:rsidP="001A327E">
            <w:pPr>
              <w:jc w:val="right"/>
              <w:rPr>
                <w:sz w:val="16"/>
                <w:szCs w:val="16"/>
              </w:rPr>
            </w:pPr>
            <w:r w:rsidRPr="00872D7E">
              <w:rPr>
                <w:color w:val="000000"/>
                <w:sz w:val="16"/>
                <w:szCs w:val="16"/>
              </w:rPr>
              <w:t>6.863</w:t>
            </w:r>
          </w:p>
        </w:tc>
        <w:tc>
          <w:tcPr>
            <w:tcW w:w="142" w:type="pct"/>
            <w:tcBorders>
              <w:top w:val="nil"/>
              <w:left w:val="nil"/>
              <w:bottom w:val="nil"/>
              <w:right w:val="nil"/>
            </w:tcBorders>
            <w:shd w:val="clear" w:color="auto" w:fill="auto"/>
            <w:vAlign w:val="bottom"/>
          </w:tcPr>
          <w:p w14:paraId="12391858" w14:textId="5F3BD9B5"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33679261" w14:textId="161BEF0A" w:rsidR="001A327E" w:rsidRPr="00872D7E" w:rsidRDefault="001A327E" w:rsidP="001A327E">
            <w:pPr>
              <w:jc w:val="right"/>
              <w:rPr>
                <w:bCs/>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276765BC" w14:textId="48AE16E4"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04016DD" w14:textId="59B114E0"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8CC560B" w14:textId="797AAC5D"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521A23CB" w14:textId="72336790"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2152FC21" w14:textId="39190237"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22F42E42" w14:textId="0F76B80C"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44B6B69D" w14:textId="587F6373" w:rsidR="001A327E" w:rsidRPr="00872D7E" w:rsidRDefault="001A327E" w:rsidP="001A327E">
            <w:pPr>
              <w:jc w:val="right"/>
              <w:rPr>
                <w:sz w:val="16"/>
                <w:szCs w:val="16"/>
              </w:rPr>
            </w:pPr>
            <w:r w:rsidRPr="00872D7E">
              <w:rPr>
                <w:color w:val="000000"/>
                <w:sz w:val="16"/>
                <w:szCs w:val="16"/>
              </w:rPr>
              <w:t>239.591</w:t>
            </w:r>
          </w:p>
        </w:tc>
        <w:tc>
          <w:tcPr>
            <w:tcW w:w="272" w:type="pct"/>
            <w:tcBorders>
              <w:top w:val="nil"/>
              <w:left w:val="nil"/>
              <w:bottom w:val="nil"/>
              <w:right w:val="nil"/>
            </w:tcBorders>
            <w:shd w:val="clear" w:color="auto" w:fill="auto"/>
            <w:vAlign w:val="bottom"/>
          </w:tcPr>
          <w:p w14:paraId="30886C4B" w14:textId="2A170A5F" w:rsidR="001A327E" w:rsidRPr="00872D7E" w:rsidRDefault="001A327E" w:rsidP="001A327E">
            <w:pPr>
              <w:jc w:val="right"/>
              <w:rPr>
                <w:sz w:val="16"/>
                <w:szCs w:val="16"/>
              </w:rPr>
            </w:pPr>
            <w:r w:rsidRPr="00872D7E">
              <w:rPr>
                <w:color w:val="000000"/>
                <w:sz w:val="16"/>
                <w:szCs w:val="16"/>
              </w:rPr>
              <w:t>6.863</w:t>
            </w:r>
          </w:p>
        </w:tc>
        <w:tc>
          <w:tcPr>
            <w:tcW w:w="273" w:type="pct"/>
            <w:tcBorders>
              <w:top w:val="nil"/>
              <w:left w:val="nil"/>
              <w:bottom w:val="nil"/>
              <w:right w:val="nil"/>
            </w:tcBorders>
            <w:shd w:val="clear" w:color="auto" w:fill="auto"/>
            <w:vAlign w:val="bottom"/>
          </w:tcPr>
          <w:p w14:paraId="7CAF491E" w14:textId="50F59EF3" w:rsidR="001A327E" w:rsidRPr="00872D7E" w:rsidRDefault="001A327E" w:rsidP="001A327E">
            <w:pPr>
              <w:jc w:val="right"/>
              <w:rPr>
                <w:sz w:val="16"/>
                <w:szCs w:val="16"/>
              </w:rPr>
            </w:pPr>
            <w:r w:rsidRPr="00872D7E">
              <w:rPr>
                <w:color w:val="000000"/>
                <w:sz w:val="16"/>
                <w:szCs w:val="16"/>
              </w:rPr>
              <w:t>246.454</w:t>
            </w:r>
          </w:p>
        </w:tc>
      </w:tr>
      <w:tr w:rsidR="001A327E" w:rsidRPr="00872D7E" w14:paraId="436832BD" w14:textId="77777777" w:rsidTr="001A327E">
        <w:trPr>
          <w:trHeight w:val="133"/>
        </w:trPr>
        <w:tc>
          <w:tcPr>
            <w:tcW w:w="98" w:type="pct"/>
            <w:shd w:val="clear" w:color="auto" w:fill="auto"/>
            <w:vAlign w:val="bottom"/>
          </w:tcPr>
          <w:p w14:paraId="4CA903C3" w14:textId="77777777" w:rsidR="001A327E" w:rsidRPr="00872D7E" w:rsidRDefault="001A327E" w:rsidP="001A327E">
            <w:pPr>
              <w:autoSpaceDE w:val="0"/>
              <w:autoSpaceDN w:val="0"/>
              <w:adjustRightInd w:val="0"/>
              <w:rPr>
                <w:rFonts w:eastAsia="Arial Unicode MS"/>
                <w:b/>
                <w:sz w:val="15"/>
                <w:szCs w:val="15"/>
              </w:rPr>
            </w:pPr>
            <w:r w:rsidRPr="00872D7E">
              <w:rPr>
                <w:rFonts w:eastAsia="Arial Unicode MS"/>
                <w:b/>
                <w:sz w:val="15"/>
                <w:szCs w:val="15"/>
              </w:rPr>
              <w:t>3</w:t>
            </w:r>
          </w:p>
        </w:tc>
        <w:tc>
          <w:tcPr>
            <w:tcW w:w="528" w:type="pct"/>
            <w:shd w:val="clear" w:color="auto" w:fill="auto"/>
            <w:vAlign w:val="bottom"/>
          </w:tcPr>
          <w:p w14:paraId="0B024003" w14:textId="77777777" w:rsidR="001A327E" w:rsidRPr="00872D7E" w:rsidRDefault="001A327E" w:rsidP="001A327E">
            <w:pPr>
              <w:rPr>
                <w:b/>
                <w:bCs/>
                <w:color w:val="000000"/>
                <w:sz w:val="15"/>
                <w:szCs w:val="15"/>
              </w:rPr>
            </w:pPr>
            <w:r w:rsidRPr="00872D7E">
              <w:rPr>
                <w:b/>
                <w:bCs/>
                <w:color w:val="000000"/>
                <w:sz w:val="15"/>
                <w:szCs w:val="15"/>
              </w:rPr>
              <w:t>İnşaat</w:t>
            </w:r>
          </w:p>
        </w:tc>
        <w:tc>
          <w:tcPr>
            <w:tcW w:w="240" w:type="pct"/>
            <w:tcBorders>
              <w:top w:val="nil"/>
              <w:left w:val="nil"/>
              <w:bottom w:val="nil"/>
              <w:right w:val="nil"/>
            </w:tcBorders>
            <w:shd w:val="clear" w:color="auto" w:fill="auto"/>
            <w:vAlign w:val="bottom"/>
          </w:tcPr>
          <w:p w14:paraId="705E6357" w14:textId="79DFB235" w:rsidR="001A327E" w:rsidRPr="00872D7E" w:rsidRDefault="001A327E" w:rsidP="001A327E">
            <w:pPr>
              <w:jc w:val="right"/>
              <w:rPr>
                <w:b/>
                <w:sz w:val="16"/>
                <w:szCs w:val="16"/>
              </w:rPr>
            </w:pPr>
            <w:r w:rsidRPr="00872D7E">
              <w:rPr>
                <w:b/>
                <w:bCs/>
                <w:color w:val="000000"/>
                <w:sz w:val="16"/>
                <w:szCs w:val="16"/>
              </w:rPr>
              <w:t>-</w:t>
            </w:r>
          </w:p>
        </w:tc>
        <w:tc>
          <w:tcPr>
            <w:tcW w:w="156" w:type="pct"/>
            <w:tcBorders>
              <w:top w:val="nil"/>
              <w:left w:val="nil"/>
              <w:bottom w:val="nil"/>
              <w:right w:val="nil"/>
            </w:tcBorders>
            <w:shd w:val="clear" w:color="auto" w:fill="auto"/>
            <w:vAlign w:val="bottom"/>
          </w:tcPr>
          <w:p w14:paraId="7015FFE8" w14:textId="15C4849B" w:rsidR="001A327E" w:rsidRPr="00872D7E" w:rsidRDefault="001A327E" w:rsidP="001A327E">
            <w:pPr>
              <w:jc w:val="right"/>
              <w:rPr>
                <w:b/>
                <w:sz w:val="16"/>
                <w:szCs w:val="16"/>
              </w:rPr>
            </w:pPr>
            <w:r w:rsidRPr="00872D7E">
              <w:rPr>
                <w:b/>
                <w:bCs/>
                <w:color w:val="000000"/>
                <w:sz w:val="16"/>
                <w:szCs w:val="16"/>
              </w:rPr>
              <w:t>-</w:t>
            </w:r>
          </w:p>
        </w:tc>
        <w:tc>
          <w:tcPr>
            <w:tcW w:w="173" w:type="pct"/>
            <w:tcBorders>
              <w:top w:val="nil"/>
              <w:left w:val="nil"/>
              <w:bottom w:val="nil"/>
              <w:right w:val="nil"/>
            </w:tcBorders>
            <w:shd w:val="clear" w:color="auto" w:fill="auto"/>
            <w:vAlign w:val="bottom"/>
          </w:tcPr>
          <w:p w14:paraId="17075880" w14:textId="2F1FF0C5" w:rsidR="001A327E" w:rsidRPr="00872D7E" w:rsidRDefault="001A327E" w:rsidP="001A327E">
            <w:pPr>
              <w:jc w:val="right"/>
              <w:rPr>
                <w:b/>
                <w:sz w:val="16"/>
                <w:szCs w:val="16"/>
              </w:rPr>
            </w:pPr>
            <w:r w:rsidRPr="00872D7E">
              <w:rPr>
                <w:b/>
                <w:bCs/>
                <w:color w:val="000000"/>
                <w:sz w:val="16"/>
                <w:szCs w:val="16"/>
              </w:rPr>
              <w:t>-</w:t>
            </w:r>
          </w:p>
        </w:tc>
        <w:tc>
          <w:tcPr>
            <w:tcW w:w="100" w:type="pct"/>
            <w:tcBorders>
              <w:top w:val="nil"/>
              <w:left w:val="nil"/>
              <w:bottom w:val="nil"/>
              <w:right w:val="nil"/>
            </w:tcBorders>
            <w:shd w:val="clear" w:color="auto" w:fill="auto"/>
            <w:vAlign w:val="bottom"/>
          </w:tcPr>
          <w:p w14:paraId="0FDAEBA9" w14:textId="776493D3" w:rsidR="001A327E" w:rsidRPr="00872D7E" w:rsidRDefault="001A327E" w:rsidP="001A327E">
            <w:pPr>
              <w:jc w:val="right"/>
              <w:rPr>
                <w:b/>
                <w:sz w:val="16"/>
                <w:szCs w:val="16"/>
              </w:rPr>
            </w:pPr>
            <w:r w:rsidRPr="00872D7E">
              <w:rPr>
                <w:b/>
                <w:bCs/>
                <w:color w:val="000000"/>
                <w:sz w:val="16"/>
                <w:szCs w:val="16"/>
              </w:rPr>
              <w:t>-</w:t>
            </w:r>
          </w:p>
        </w:tc>
        <w:tc>
          <w:tcPr>
            <w:tcW w:w="224" w:type="pct"/>
            <w:tcBorders>
              <w:top w:val="nil"/>
              <w:left w:val="nil"/>
              <w:bottom w:val="nil"/>
              <w:right w:val="nil"/>
            </w:tcBorders>
            <w:shd w:val="clear" w:color="auto" w:fill="auto"/>
            <w:vAlign w:val="bottom"/>
          </w:tcPr>
          <w:p w14:paraId="5C8F7EF8" w14:textId="6887F2D2" w:rsidR="001A327E" w:rsidRPr="00872D7E" w:rsidRDefault="001A327E" w:rsidP="001A327E">
            <w:pPr>
              <w:jc w:val="right"/>
              <w:rPr>
                <w:b/>
                <w:sz w:val="16"/>
                <w:szCs w:val="16"/>
              </w:rPr>
            </w:pPr>
            <w:r w:rsidRPr="00872D7E">
              <w:rPr>
                <w:b/>
                <w:bCs/>
                <w:color w:val="000000"/>
                <w:sz w:val="16"/>
                <w:szCs w:val="16"/>
              </w:rPr>
              <w:t>-</w:t>
            </w:r>
          </w:p>
        </w:tc>
        <w:tc>
          <w:tcPr>
            <w:tcW w:w="240" w:type="pct"/>
            <w:tcBorders>
              <w:top w:val="nil"/>
              <w:left w:val="nil"/>
              <w:bottom w:val="nil"/>
              <w:right w:val="nil"/>
            </w:tcBorders>
            <w:shd w:val="clear" w:color="auto" w:fill="auto"/>
            <w:vAlign w:val="bottom"/>
          </w:tcPr>
          <w:p w14:paraId="0806E25D" w14:textId="427B5528" w:rsidR="001A327E" w:rsidRPr="00872D7E" w:rsidRDefault="001A327E" w:rsidP="001A327E">
            <w:pPr>
              <w:jc w:val="right"/>
              <w:rPr>
                <w:b/>
                <w:sz w:val="16"/>
                <w:szCs w:val="16"/>
              </w:rPr>
            </w:pPr>
            <w:r w:rsidRPr="00872D7E">
              <w:rPr>
                <w:b/>
                <w:bCs/>
                <w:color w:val="000000"/>
                <w:sz w:val="16"/>
                <w:szCs w:val="16"/>
              </w:rPr>
              <w:t>-</w:t>
            </w:r>
          </w:p>
        </w:tc>
        <w:tc>
          <w:tcPr>
            <w:tcW w:w="268" w:type="pct"/>
            <w:tcBorders>
              <w:top w:val="nil"/>
              <w:left w:val="nil"/>
              <w:bottom w:val="nil"/>
              <w:right w:val="nil"/>
            </w:tcBorders>
            <w:shd w:val="clear" w:color="auto" w:fill="auto"/>
            <w:vAlign w:val="bottom"/>
          </w:tcPr>
          <w:p w14:paraId="0B26BD57" w14:textId="107EA478" w:rsidR="001A327E" w:rsidRPr="00872D7E" w:rsidRDefault="001A327E" w:rsidP="001A327E">
            <w:pPr>
              <w:jc w:val="right"/>
              <w:rPr>
                <w:b/>
                <w:sz w:val="16"/>
                <w:szCs w:val="16"/>
              </w:rPr>
            </w:pPr>
            <w:r w:rsidRPr="00872D7E">
              <w:rPr>
                <w:b/>
                <w:bCs/>
                <w:color w:val="000000"/>
                <w:sz w:val="16"/>
                <w:szCs w:val="16"/>
              </w:rPr>
              <w:t>2.147.548</w:t>
            </w:r>
          </w:p>
        </w:tc>
        <w:tc>
          <w:tcPr>
            <w:tcW w:w="220" w:type="pct"/>
            <w:tcBorders>
              <w:top w:val="nil"/>
              <w:left w:val="nil"/>
              <w:bottom w:val="nil"/>
              <w:right w:val="nil"/>
            </w:tcBorders>
            <w:shd w:val="clear" w:color="auto" w:fill="auto"/>
            <w:vAlign w:val="bottom"/>
          </w:tcPr>
          <w:p w14:paraId="683A64E1" w14:textId="65784743" w:rsidR="001A327E" w:rsidRPr="00872D7E" w:rsidRDefault="001A327E" w:rsidP="001A327E">
            <w:pPr>
              <w:jc w:val="right"/>
              <w:rPr>
                <w:b/>
                <w:sz w:val="16"/>
                <w:szCs w:val="16"/>
              </w:rPr>
            </w:pPr>
            <w:r w:rsidRPr="00872D7E">
              <w:rPr>
                <w:b/>
                <w:bCs/>
                <w:color w:val="000000"/>
                <w:sz w:val="16"/>
                <w:szCs w:val="16"/>
              </w:rPr>
              <w:t>-</w:t>
            </w:r>
          </w:p>
        </w:tc>
        <w:tc>
          <w:tcPr>
            <w:tcW w:w="201" w:type="pct"/>
            <w:tcBorders>
              <w:top w:val="nil"/>
              <w:left w:val="nil"/>
              <w:bottom w:val="nil"/>
              <w:right w:val="nil"/>
            </w:tcBorders>
            <w:shd w:val="clear" w:color="auto" w:fill="auto"/>
            <w:vAlign w:val="bottom"/>
          </w:tcPr>
          <w:p w14:paraId="233D075F" w14:textId="5252D3F8" w:rsidR="001A327E" w:rsidRPr="00872D7E" w:rsidRDefault="001A327E" w:rsidP="001A327E">
            <w:pPr>
              <w:jc w:val="right"/>
              <w:rPr>
                <w:b/>
                <w:sz w:val="16"/>
                <w:szCs w:val="16"/>
              </w:rPr>
            </w:pPr>
            <w:r w:rsidRPr="00872D7E">
              <w:rPr>
                <w:b/>
                <w:bCs/>
                <w:color w:val="000000"/>
                <w:sz w:val="16"/>
                <w:szCs w:val="16"/>
              </w:rPr>
              <w:t>197.024</w:t>
            </w:r>
          </w:p>
        </w:tc>
        <w:tc>
          <w:tcPr>
            <w:tcW w:w="142" w:type="pct"/>
            <w:tcBorders>
              <w:top w:val="nil"/>
              <w:left w:val="nil"/>
              <w:bottom w:val="nil"/>
              <w:right w:val="nil"/>
            </w:tcBorders>
            <w:shd w:val="clear" w:color="auto" w:fill="auto"/>
            <w:vAlign w:val="bottom"/>
          </w:tcPr>
          <w:p w14:paraId="7750961C" w14:textId="4E9AA9E2" w:rsidR="001A327E" w:rsidRPr="00872D7E" w:rsidRDefault="001A327E" w:rsidP="001A327E">
            <w:pPr>
              <w:jc w:val="right"/>
              <w:rPr>
                <w:b/>
                <w:sz w:val="16"/>
                <w:szCs w:val="16"/>
              </w:rPr>
            </w:pPr>
            <w:r w:rsidRPr="00872D7E">
              <w:rPr>
                <w:b/>
                <w:bCs/>
                <w:color w:val="000000"/>
                <w:sz w:val="16"/>
                <w:szCs w:val="16"/>
              </w:rPr>
              <w:t>-</w:t>
            </w:r>
          </w:p>
        </w:tc>
        <w:tc>
          <w:tcPr>
            <w:tcW w:w="220" w:type="pct"/>
            <w:tcBorders>
              <w:top w:val="nil"/>
              <w:left w:val="nil"/>
              <w:bottom w:val="nil"/>
              <w:right w:val="nil"/>
            </w:tcBorders>
            <w:shd w:val="clear" w:color="auto" w:fill="auto"/>
            <w:vAlign w:val="bottom"/>
          </w:tcPr>
          <w:p w14:paraId="699B9EC4" w14:textId="1E74264F" w:rsidR="001A327E" w:rsidRPr="00872D7E" w:rsidRDefault="001A327E" w:rsidP="001A327E">
            <w:pPr>
              <w:jc w:val="right"/>
              <w:rPr>
                <w:b/>
                <w:sz w:val="16"/>
                <w:szCs w:val="16"/>
              </w:rPr>
            </w:pPr>
            <w:r w:rsidRPr="00872D7E">
              <w:rPr>
                <w:b/>
                <w:bCs/>
                <w:color w:val="000000"/>
                <w:sz w:val="16"/>
                <w:szCs w:val="16"/>
              </w:rPr>
              <w:t>-</w:t>
            </w:r>
          </w:p>
        </w:tc>
        <w:tc>
          <w:tcPr>
            <w:tcW w:w="159" w:type="pct"/>
            <w:tcBorders>
              <w:top w:val="nil"/>
              <w:left w:val="nil"/>
              <w:bottom w:val="nil"/>
              <w:right w:val="nil"/>
            </w:tcBorders>
            <w:shd w:val="clear" w:color="auto" w:fill="auto"/>
            <w:vAlign w:val="bottom"/>
          </w:tcPr>
          <w:p w14:paraId="1226A2F1" w14:textId="68EE6B0E"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67583B7F" w14:textId="1D8DE76F"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7D3C9CDA" w14:textId="67F43DA7"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43CC6B4E" w14:textId="1FEE0F94"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032D9D67" w14:textId="0AD8676D"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5B141724" w14:textId="2B047F17" w:rsidR="001A327E" w:rsidRPr="00872D7E" w:rsidRDefault="001A327E" w:rsidP="001A327E">
            <w:pPr>
              <w:jc w:val="right"/>
              <w:rPr>
                <w:b/>
                <w:sz w:val="16"/>
                <w:szCs w:val="16"/>
              </w:rPr>
            </w:pPr>
            <w:r w:rsidRPr="00872D7E">
              <w:rPr>
                <w:b/>
                <w:bCs/>
                <w:color w:val="000000"/>
                <w:sz w:val="16"/>
                <w:szCs w:val="16"/>
              </w:rPr>
              <w:t>-</w:t>
            </w:r>
          </w:p>
        </w:tc>
        <w:tc>
          <w:tcPr>
            <w:tcW w:w="268" w:type="pct"/>
            <w:tcBorders>
              <w:top w:val="nil"/>
              <w:left w:val="nil"/>
              <w:bottom w:val="nil"/>
              <w:right w:val="nil"/>
            </w:tcBorders>
            <w:shd w:val="clear" w:color="auto" w:fill="auto"/>
            <w:vAlign w:val="bottom"/>
          </w:tcPr>
          <w:p w14:paraId="6F45B3F1" w14:textId="668C5B90" w:rsidR="001A327E" w:rsidRPr="00872D7E" w:rsidRDefault="001A327E" w:rsidP="001A327E">
            <w:pPr>
              <w:jc w:val="right"/>
              <w:rPr>
                <w:b/>
                <w:sz w:val="16"/>
                <w:szCs w:val="16"/>
              </w:rPr>
            </w:pPr>
            <w:r w:rsidRPr="00872D7E">
              <w:rPr>
                <w:b/>
                <w:bCs/>
                <w:color w:val="000000"/>
                <w:sz w:val="16"/>
                <w:szCs w:val="16"/>
              </w:rPr>
              <w:t>2.241.348</w:t>
            </w:r>
          </w:p>
        </w:tc>
        <w:tc>
          <w:tcPr>
            <w:tcW w:w="272" w:type="pct"/>
            <w:tcBorders>
              <w:top w:val="nil"/>
              <w:left w:val="nil"/>
              <w:bottom w:val="nil"/>
              <w:right w:val="nil"/>
            </w:tcBorders>
            <w:shd w:val="clear" w:color="auto" w:fill="auto"/>
            <w:vAlign w:val="bottom"/>
          </w:tcPr>
          <w:p w14:paraId="60150DD3" w14:textId="31A184B8" w:rsidR="001A327E" w:rsidRPr="00872D7E" w:rsidRDefault="001A327E" w:rsidP="001A327E">
            <w:pPr>
              <w:jc w:val="right"/>
              <w:rPr>
                <w:b/>
                <w:sz w:val="16"/>
                <w:szCs w:val="16"/>
              </w:rPr>
            </w:pPr>
            <w:r w:rsidRPr="00872D7E">
              <w:rPr>
                <w:b/>
                <w:bCs/>
                <w:color w:val="000000"/>
                <w:sz w:val="16"/>
                <w:szCs w:val="16"/>
              </w:rPr>
              <w:t>103.224</w:t>
            </w:r>
          </w:p>
        </w:tc>
        <w:tc>
          <w:tcPr>
            <w:tcW w:w="273" w:type="pct"/>
            <w:tcBorders>
              <w:top w:val="nil"/>
              <w:left w:val="nil"/>
              <w:bottom w:val="nil"/>
              <w:right w:val="nil"/>
            </w:tcBorders>
            <w:shd w:val="clear" w:color="auto" w:fill="auto"/>
            <w:vAlign w:val="bottom"/>
          </w:tcPr>
          <w:p w14:paraId="22C03970" w14:textId="1C6D65C8" w:rsidR="001A327E" w:rsidRPr="00872D7E" w:rsidRDefault="001A327E" w:rsidP="001A327E">
            <w:pPr>
              <w:jc w:val="right"/>
              <w:rPr>
                <w:b/>
                <w:sz w:val="16"/>
                <w:szCs w:val="16"/>
              </w:rPr>
            </w:pPr>
            <w:r w:rsidRPr="00872D7E">
              <w:rPr>
                <w:b/>
                <w:bCs/>
                <w:color w:val="000000"/>
                <w:sz w:val="16"/>
                <w:szCs w:val="16"/>
              </w:rPr>
              <w:t>2.344.572</w:t>
            </w:r>
          </w:p>
        </w:tc>
      </w:tr>
      <w:tr w:rsidR="001A327E" w:rsidRPr="00872D7E" w14:paraId="17C29340" w14:textId="77777777" w:rsidTr="001A327E">
        <w:trPr>
          <w:trHeight w:val="133"/>
        </w:trPr>
        <w:tc>
          <w:tcPr>
            <w:tcW w:w="98" w:type="pct"/>
            <w:shd w:val="clear" w:color="auto" w:fill="auto"/>
            <w:vAlign w:val="bottom"/>
          </w:tcPr>
          <w:p w14:paraId="0F6F4738" w14:textId="77777777" w:rsidR="001A327E" w:rsidRPr="00872D7E" w:rsidRDefault="001A327E" w:rsidP="001A327E">
            <w:pPr>
              <w:autoSpaceDE w:val="0"/>
              <w:autoSpaceDN w:val="0"/>
              <w:adjustRightInd w:val="0"/>
              <w:ind w:left="180" w:hanging="180"/>
              <w:rPr>
                <w:rFonts w:eastAsia="Arial Unicode MS"/>
                <w:b/>
                <w:sz w:val="15"/>
                <w:szCs w:val="15"/>
              </w:rPr>
            </w:pPr>
            <w:r w:rsidRPr="00872D7E">
              <w:rPr>
                <w:rFonts w:eastAsia="Arial Unicode MS"/>
                <w:b/>
                <w:sz w:val="15"/>
                <w:szCs w:val="15"/>
              </w:rPr>
              <w:t>4</w:t>
            </w:r>
          </w:p>
        </w:tc>
        <w:tc>
          <w:tcPr>
            <w:tcW w:w="528" w:type="pct"/>
            <w:shd w:val="clear" w:color="auto" w:fill="auto"/>
            <w:vAlign w:val="bottom"/>
          </w:tcPr>
          <w:p w14:paraId="3B0BD88E" w14:textId="77777777" w:rsidR="001A327E" w:rsidRPr="00872D7E" w:rsidRDefault="001A327E" w:rsidP="001A327E">
            <w:pPr>
              <w:rPr>
                <w:b/>
                <w:bCs/>
                <w:color w:val="000000"/>
                <w:sz w:val="15"/>
                <w:szCs w:val="15"/>
              </w:rPr>
            </w:pPr>
            <w:r w:rsidRPr="00872D7E">
              <w:rPr>
                <w:b/>
                <w:bCs/>
                <w:color w:val="000000"/>
                <w:sz w:val="15"/>
                <w:szCs w:val="15"/>
              </w:rPr>
              <w:t>Hizmetler</w:t>
            </w:r>
          </w:p>
        </w:tc>
        <w:tc>
          <w:tcPr>
            <w:tcW w:w="240" w:type="pct"/>
            <w:tcBorders>
              <w:top w:val="nil"/>
              <w:left w:val="nil"/>
              <w:bottom w:val="nil"/>
              <w:right w:val="nil"/>
            </w:tcBorders>
            <w:shd w:val="clear" w:color="auto" w:fill="auto"/>
            <w:vAlign w:val="bottom"/>
          </w:tcPr>
          <w:p w14:paraId="507F95AE" w14:textId="2BE66274" w:rsidR="001A327E" w:rsidRPr="00872D7E" w:rsidRDefault="001A327E" w:rsidP="001A327E">
            <w:pPr>
              <w:jc w:val="right"/>
              <w:rPr>
                <w:b/>
                <w:sz w:val="16"/>
                <w:szCs w:val="16"/>
              </w:rPr>
            </w:pPr>
            <w:r w:rsidRPr="00872D7E">
              <w:rPr>
                <w:b/>
                <w:bCs/>
                <w:color w:val="000000"/>
                <w:sz w:val="16"/>
                <w:szCs w:val="16"/>
              </w:rPr>
              <w:t>4.830.858</w:t>
            </w:r>
          </w:p>
        </w:tc>
        <w:tc>
          <w:tcPr>
            <w:tcW w:w="156" w:type="pct"/>
            <w:tcBorders>
              <w:top w:val="nil"/>
              <w:left w:val="nil"/>
              <w:bottom w:val="nil"/>
              <w:right w:val="nil"/>
            </w:tcBorders>
            <w:shd w:val="clear" w:color="auto" w:fill="auto"/>
            <w:vAlign w:val="bottom"/>
          </w:tcPr>
          <w:p w14:paraId="499E02BC" w14:textId="405BC9D7" w:rsidR="001A327E" w:rsidRPr="00872D7E" w:rsidRDefault="001A327E" w:rsidP="001A327E">
            <w:pPr>
              <w:jc w:val="right"/>
              <w:rPr>
                <w:b/>
                <w:sz w:val="16"/>
                <w:szCs w:val="16"/>
              </w:rPr>
            </w:pPr>
            <w:r w:rsidRPr="00872D7E">
              <w:rPr>
                <w:b/>
                <w:bCs/>
                <w:color w:val="000000"/>
                <w:sz w:val="16"/>
                <w:szCs w:val="16"/>
              </w:rPr>
              <w:t>-</w:t>
            </w:r>
          </w:p>
        </w:tc>
        <w:tc>
          <w:tcPr>
            <w:tcW w:w="173" w:type="pct"/>
            <w:tcBorders>
              <w:top w:val="nil"/>
              <w:left w:val="nil"/>
              <w:bottom w:val="nil"/>
              <w:right w:val="nil"/>
            </w:tcBorders>
            <w:shd w:val="clear" w:color="auto" w:fill="auto"/>
            <w:vAlign w:val="bottom"/>
          </w:tcPr>
          <w:p w14:paraId="4DDBCDEC" w14:textId="1C5B24CF" w:rsidR="001A327E" w:rsidRPr="00872D7E" w:rsidRDefault="001A327E" w:rsidP="001A327E">
            <w:pPr>
              <w:jc w:val="right"/>
              <w:rPr>
                <w:b/>
                <w:sz w:val="16"/>
                <w:szCs w:val="16"/>
              </w:rPr>
            </w:pPr>
            <w:r w:rsidRPr="00872D7E">
              <w:rPr>
                <w:b/>
                <w:bCs/>
                <w:color w:val="000000"/>
                <w:sz w:val="16"/>
                <w:szCs w:val="16"/>
              </w:rPr>
              <w:t>-</w:t>
            </w:r>
          </w:p>
        </w:tc>
        <w:tc>
          <w:tcPr>
            <w:tcW w:w="100" w:type="pct"/>
            <w:tcBorders>
              <w:top w:val="nil"/>
              <w:left w:val="nil"/>
              <w:bottom w:val="nil"/>
              <w:right w:val="nil"/>
            </w:tcBorders>
            <w:shd w:val="clear" w:color="auto" w:fill="auto"/>
            <w:vAlign w:val="bottom"/>
          </w:tcPr>
          <w:p w14:paraId="0477B898" w14:textId="6F9FDBA8" w:rsidR="001A327E" w:rsidRPr="00872D7E" w:rsidRDefault="001A327E" w:rsidP="001A327E">
            <w:pPr>
              <w:jc w:val="right"/>
              <w:rPr>
                <w:b/>
                <w:sz w:val="16"/>
                <w:szCs w:val="16"/>
              </w:rPr>
            </w:pPr>
            <w:r w:rsidRPr="00872D7E">
              <w:rPr>
                <w:b/>
                <w:bCs/>
                <w:color w:val="000000"/>
                <w:sz w:val="16"/>
                <w:szCs w:val="16"/>
              </w:rPr>
              <w:t>-</w:t>
            </w:r>
          </w:p>
        </w:tc>
        <w:tc>
          <w:tcPr>
            <w:tcW w:w="224" w:type="pct"/>
            <w:tcBorders>
              <w:top w:val="nil"/>
              <w:left w:val="nil"/>
              <w:bottom w:val="nil"/>
              <w:right w:val="nil"/>
            </w:tcBorders>
            <w:shd w:val="clear" w:color="auto" w:fill="auto"/>
            <w:vAlign w:val="bottom"/>
          </w:tcPr>
          <w:p w14:paraId="7FF15B3C" w14:textId="62BAC0A7" w:rsidR="001A327E" w:rsidRPr="00872D7E" w:rsidRDefault="001A327E" w:rsidP="001A327E">
            <w:pPr>
              <w:jc w:val="right"/>
              <w:rPr>
                <w:b/>
                <w:sz w:val="16"/>
                <w:szCs w:val="16"/>
              </w:rPr>
            </w:pPr>
            <w:r w:rsidRPr="00872D7E">
              <w:rPr>
                <w:b/>
                <w:bCs/>
                <w:color w:val="000000"/>
                <w:sz w:val="16"/>
                <w:szCs w:val="16"/>
              </w:rPr>
              <w:t>-</w:t>
            </w:r>
          </w:p>
        </w:tc>
        <w:tc>
          <w:tcPr>
            <w:tcW w:w="240" w:type="pct"/>
            <w:tcBorders>
              <w:top w:val="nil"/>
              <w:left w:val="nil"/>
              <w:bottom w:val="nil"/>
              <w:right w:val="nil"/>
            </w:tcBorders>
            <w:shd w:val="clear" w:color="auto" w:fill="auto"/>
            <w:vAlign w:val="bottom"/>
          </w:tcPr>
          <w:p w14:paraId="6945F997" w14:textId="317DB3FD" w:rsidR="001A327E" w:rsidRPr="00872D7E" w:rsidRDefault="001A327E" w:rsidP="001A327E">
            <w:pPr>
              <w:jc w:val="right"/>
              <w:rPr>
                <w:b/>
                <w:sz w:val="16"/>
                <w:szCs w:val="16"/>
              </w:rPr>
            </w:pPr>
            <w:r w:rsidRPr="00872D7E">
              <w:rPr>
                <w:b/>
                <w:bCs/>
                <w:color w:val="000000"/>
                <w:sz w:val="16"/>
                <w:szCs w:val="16"/>
              </w:rPr>
              <w:t>5.221.722</w:t>
            </w:r>
          </w:p>
        </w:tc>
        <w:tc>
          <w:tcPr>
            <w:tcW w:w="268" w:type="pct"/>
            <w:tcBorders>
              <w:top w:val="nil"/>
              <w:left w:val="nil"/>
              <w:bottom w:val="nil"/>
              <w:right w:val="nil"/>
            </w:tcBorders>
            <w:shd w:val="clear" w:color="auto" w:fill="auto"/>
            <w:vAlign w:val="bottom"/>
          </w:tcPr>
          <w:p w14:paraId="3C850C2B" w14:textId="3E6ECB46" w:rsidR="001A327E" w:rsidRPr="00872D7E" w:rsidRDefault="001A327E" w:rsidP="001A327E">
            <w:pPr>
              <w:jc w:val="right"/>
              <w:rPr>
                <w:b/>
                <w:sz w:val="16"/>
                <w:szCs w:val="16"/>
              </w:rPr>
            </w:pPr>
            <w:r w:rsidRPr="00872D7E">
              <w:rPr>
                <w:b/>
                <w:bCs/>
                <w:color w:val="000000"/>
                <w:sz w:val="16"/>
                <w:szCs w:val="16"/>
              </w:rPr>
              <w:t>6.639.062</w:t>
            </w:r>
          </w:p>
        </w:tc>
        <w:tc>
          <w:tcPr>
            <w:tcW w:w="220" w:type="pct"/>
            <w:tcBorders>
              <w:top w:val="nil"/>
              <w:left w:val="nil"/>
              <w:bottom w:val="nil"/>
              <w:right w:val="nil"/>
            </w:tcBorders>
            <w:shd w:val="clear" w:color="auto" w:fill="auto"/>
            <w:vAlign w:val="bottom"/>
          </w:tcPr>
          <w:p w14:paraId="5730A031" w14:textId="3B791884" w:rsidR="001A327E" w:rsidRPr="00872D7E" w:rsidRDefault="001A327E" w:rsidP="001A327E">
            <w:pPr>
              <w:jc w:val="right"/>
              <w:rPr>
                <w:b/>
                <w:sz w:val="16"/>
                <w:szCs w:val="16"/>
              </w:rPr>
            </w:pPr>
            <w:r w:rsidRPr="00872D7E">
              <w:rPr>
                <w:b/>
                <w:bCs/>
                <w:color w:val="000000"/>
                <w:sz w:val="16"/>
                <w:szCs w:val="16"/>
              </w:rPr>
              <w:t>-</w:t>
            </w:r>
          </w:p>
        </w:tc>
        <w:tc>
          <w:tcPr>
            <w:tcW w:w="201" w:type="pct"/>
            <w:tcBorders>
              <w:top w:val="nil"/>
              <w:left w:val="nil"/>
              <w:bottom w:val="nil"/>
              <w:right w:val="nil"/>
            </w:tcBorders>
            <w:shd w:val="clear" w:color="auto" w:fill="auto"/>
            <w:vAlign w:val="bottom"/>
          </w:tcPr>
          <w:p w14:paraId="7F7E5815" w14:textId="2FAE62DC" w:rsidR="001A327E" w:rsidRPr="00872D7E" w:rsidRDefault="001A327E" w:rsidP="001A327E">
            <w:pPr>
              <w:jc w:val="right"/>
              <w:rPr>
                <w:b/>
                <w:sz w:val="16"/>
                <w:szCs w:val="16"/>
              </w:rPr>
            </w:pPr>
            <w:r w:rsidRPr="00872D7E">
              <w:rPr>
                <w:b/>
                <w:bCs/>
                <w:color w:val="000000"/>
                <w:sz w:val="16"/>
                <w:szCs w:val="16"/>
              </w:rPr>
              <w:t>271.533</w:t>
            </w:r>
          </w:p>
        </w:tc>
        <w:tc>
          <w:tcPr>
            <w:tcW w:w="142" w:type="pct"/>
            <w:tcBorders>
              <w:top w:val="nil"/>
              <w:left w:val="nil"/>
              <w:bottom w:val="nil"/>
              <w:right w:val="nil"/>
            </w:tcBorders>
            <w:shd w:val="clear" w:color="auto" w:fill="auto"/>
            <w:vAlign w:val="bottom"/>
          </w:tcPr>
          <w:p w14:paraId="2D060721" w14:textId="501362C5" w:rsidR="001A327E" w:rsidRPr="00872D7E" w:rsidRDefault="001A327E" w:rsidP="001A327E">
            <w:pPr>
              <w:jc w:val="right"/>
              <w:rPr>
                <w:b/>
                <w:sz w:val="16"/>
                <w:szCs w:val="16"/>
              </w:rPr>
            </w:pPr>
            <w:r w:rsidRPr="00872D7E">
              <w:rPr>
                <w:b/>
                <w:bCs/>
                <w:color w:val="000000"/>
                <w:sz w:val="16"/>
                <w:szCs w:val="16"/>
              </w:rPr>
              <w:t>-</w:t>
            </w:r>
          </w:p>
        </w:tc>
        <w:tc>
          <w:tcPr>
            <w:tcW w:w="220" w:type="pct"/>
            <w:tcBorders>
              <w:top w:val="nil"/>
              <w:left w:val="nil"/>
              <w:bottom w:val="nil"/>
              <w:right w:val="nil"/>
            </w:tcBorders>
            <w:shd w:val="clear" w:color="auto" w:fill="auto"/>
            <w:vAlign w:val="bottom"/>
          </w:tcPr>
          <w:p w14:paraId="5B4C4D3C" w14:textId="12C0F909" w:rsidR="001A327E" w:rsidRPr="00872D7E" w:rsidRDefault="001A327E" w:rsidP="001A327E">
            <w:pPr>
              <w:jc w:val="right"/>
              <w:rPr>
                <w:b/>
                <w:sz w:val="16"/>
                <w:szCs w:val="16"/>
              </w:rPr>
            </w:pPr>
            <w:r w:rsidRPr="00872D7E">
              <w:rPr>
                <w:b/>
                <w:bCs/>
                <w:color w:val="000000"/>
                <w:sz w:val="16"/>
                <w:szCs w:val="16"/>
              </w:rPr>
              <w:t>27.648</w:t>
            </w:r>
          </w:p>
        </w:tc>
        <w:tc>
          <w:tcPr>
            <w:tcW w:w="159" w:type="pct"/>
            <w:tcBorders>
              <w:top w:val="nil"/>
              <w:left w:val="nil"/>
              <w:bottom w:val="nil"/>
              <w:right w:val="nil"/>
            </w:tcBorders>
            <w:shd w:val="clear" w:color="auto" w:fill="auto"/>
            <w:vAlign w:val="bottom"/>
          </w:tcPr>
          <w:p w14:paraId="193BE53E" w14:textId="101E7D1A"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023E07BE" w14:textId="7CB21613"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38B842BC" w14:textId="5705C99E"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1251FC86" w14:textId="14148FD6"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nil"/>
              <w:right w:val="nil"/>
            </w:tcBorders>
            <w:vAlign w:val="bottom"/>
          </w:tcPr>
          <w:p w14:paraId="71E1AE35" w14:textId="73DECB9F" w:rsidR="001A327E" w:rsidRPr="00872D7E" w:rsidRDefault="001A327E" w:rsidP="001A327E">
            <w:pPr>
              <w:jc w:val="right"/>
              <w:rPr>
                <w:b/>
                <w:sz w:val="16"/>
                <w:szCs w:val="16"/>
              </w:rPr>
            </w:pPr>
            <w:r w:rsidRPr="00872D7E">
              <w:rPr>
                <w:b/>
                <w:bCs/>
                <w:color w:val="000000"/>
                <w:sz w:val="16"/>
                <w:szCs w:val="16"/>
              </w:rPr>
              <w:t>1.265</w:t>
            </w:r>
          </w:p>
        </w:tc>
        <w:tc>
          <w:tcPr>
            <w:tcW w:w="244" w:type="pct"/>
            <w:tcBorders>
              <w:top w:val="nil"/>
              <w:left w:val="nil"/>
              <w:bottom w:val="nil"/>
              <w:right w:val="nil"/>
            </w:tcBorders>
            <w:vAlign w:val="bottom"/>
          </w:tcPr>
          <w:p w14:paraId="291E6304" w14:textId="45368C85" w:rsidR="001A327E" w:rsidRPr="00872D7E" w:rsidRDefault="001A327E" w:rsidP="001A327E">
            <w:pPr>
              <w:jc w:val="right"/>
              <w:rPr>
                <w:b/>
                <w:sz w:val="16"/>
                <w:szCs w:val="16"/>
              </w:rPr>
            </w:pPr>
            <w:r w:rsidRPr="00872D7E">
              <w:rPr>
                <w:b/>
                <w:bCs/>
                <w:color w:val="000000"/>
                <w:sz w:val="16"/>
                <w:szCs w:val="16"/>
              </w:rPr>
              <w:t>991.124</w:t>
            </w:r>
          </w:p>
        </w:tc>
        <w:tc>
          <w:tcPr>
            <w:tcW w:w="268" w:type="pct"/>
            <w:tcBorders>
              <w:top w:val="nil"/>
              <w:left w:val="nil"/>
              <w:bottom w:val="nil"/>
              <w:right w:val="nil"/>
            </w:tcBorders>
            <w:shd w:val="clear" w:color="auto" w:fill="auto"/>
            <w:vAlign w:val="bottom"/>
          </w:tcPr>
          <w:p w14:paraId="29D64B53" w14:textId="58B9AA99" w:rsidR="001A327E" w:rsidRPr="00872D7E" w:rsidRDefault="001A327E" w:rsidP="001A327E">
            <w:pPr>
              <w:jc w:val="right"/>
              <w:rPr>
                <w:b/>
                <w:sz w:val="16"/>
                <w:szCs w:val="16"/>
              </w:rPr>
            </w:pPr>
            <w:r w:rsidRPr="00872D7E">
              <w:rPr>
                <w:b/>
                <w:bCs/>
                <w:color w:val="000000"/>
                <w:sz w:val="16"/>
                <w:szCs w:val="16"/>
              </w:rPr>
              <w:t>11.830.164</w:t>
            </w:r>
          </w:p>
        </w:tc>
        <w:tc>
          <w:tcPr>
            <w:tcW w:w="272" w:type="pct"/>
            <w:tcBorders>
              <w:top w:val="nil"/>
              <w:left w:val="nil"/>
              <w:bottom w:val="nil"/>
              <w:right w:val="nil"/>
            </w:tcBorders>
            <w:shd w:val="clear" w:color="auto" w:fill="auto"/>
            <w:vAlign w:val="bottom"/>
          </w:tcPr>
          <w:p w14:paraId="1D1473CA" w14:textId="65D29914" w:rsidR="001A327E" w:rsidRPr="00872D7E" w:rsidRDefault="001A327E" w:rsidP="001A327E">
            <w:pPr>
              <w:jc w:val="right"/>
              <w:rPr>
                <w:b/>
                <w:sz w:val="16"/>
                <w:szCs w:val="16"/>
              </w:rPr>
            </w:pPr>
            <w:r w:rsidRPr="00872D7E">
              <w:rPr>
                <w:b/>
                <w:bCs/>
                <w:color w:val="000000"/>
                <w:sz w:val="16"/>
                <w:szCs w:val="16"/>
              </w:rPr>
              <w:t>6.153.048</w:t>
            </w:r>
          </w:p>
        </w:tc>
        <w:tc>
          <w:tcPr>
            <w:tcW w:w="273" w:type="pct"/>
            <w:tcBorders>
              <w:top w:val="nil"/>
              <w:left w:val="nil"/>
              <w:bottom w:val="nil"/>
              <w:right w:val="nil"/>
            </w:tcBorders>
            <w:shd w:val="clear" w:color="auto" w:fill="auto"/>
            <w:vAlign w:val="bottom"/>
          </w:tcPr>
          <w:p w14:paraId="34AACE8C" w14:textId="5B478AE0" w:rsidR="001A327E" w:rsidRPr="00872D7E" w:rsidRDefault="001A327E" w:rsidP="001A327E">
            <w:pPr>
              <w:jc w:val="right"/>
              <w:rPr>
                <w:b/>
                <w:sz w:val="16"/>
                <w:szCs w:val="16"/>
              </w:rPr>
            </w:pPr>
            <w:r w:rsidRPr="00872D7E">
              <w:rPr>
                <w:b/>
                <w:bCs/>
                <w:color w:val="000000"/>
                <w:sz w:val="16"/>
                <w:szCs w:val="16"/>
              </w:rPr>
              <w:t>17.983.212</w:t>
            </w:r>
          </w:p>
        </w:tc>
      </w:tr>
      <w:tr w:rsidR="001A327E" w:rsidRPr="00872D7E" w14:paraId="4FFF98CB" w14:textId="77777777" w:rsidTr="001A327E">
        <w:trPr>
          <w:trHeight w:val="133"/>
        </w:trPr>
        <w:tc>
          <w:tcPr>
            <w:tcW w:w="98" w:type="pct"/>
            <w:shd w:val="clear" w:color="auto" w:fill="auto"/>
          </w:tcPr>
          <w:p w14:paraId="1E97AF2E"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4.1</w:t>
            </w:r>
          </w:p>
        </w:tc>
        <w:tc>
          <w:tcPr>
            <w:tcW w:w="528" w:type="pct"/>
            <w:shd w:val="clear" w:color="auto" w:fill="auto"/>
            <w:vAlign w:val="bottom"/>
          </w:tcPr>
          <w:p w14:paraId="3C2842A4" w14:textId="77777777" w:rsidR="001A327E" w:rsidRPr="00872D7E" w:rsidRDefault="001A327E" w:rsidP="001A327E">
            <w:pPr>
              <w:ind w:left="160"/>
              <w:rPr>
                <w:rFonts w:eastAsia="Arial Unicode MS"/>
                <w:b/>
                <w:bCs/>
                <w:noProof/>
                <w:color w:val="000000"/>
                <w:sz w:val="15"/>
                <w:szCs w:val="15"/>
              </w:rPr>
            </w:pPr>
            <w:r w:rsidRPr="00872D7E">
              <w:rPr>
                <w:color w:val="000000"/>
                <w:sz w:val="15"/>
                <w:szCs w:val="15"/>
              </w:rPr>
              <w:t>Toptan ve Perakende Ticaret</w:t>
            </w:r>
          </w:p>
        </w:tc>
        <w:tc>
          <w:tcPr>
            <w:tcW w:w="240" w:type="pct"/>
            <w:tcBorders>
              <w:top w:val="nil"/>
              <w:left w:val="nil"/>
              <w:bottom w:val="nil"/>
              <w:right w:val="nil"/>
            </w:tcBorders>
            <w:shd w:val="clear" w:color="auto" w:fill="auto"/>
            <w:vAlign w:val="bottom"/>
          </w:tcPr>
          <w:p w14:paraId="6F9159A1" w14:textId="62A7A1D1"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36285D57" w14:textId="53F7C516"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4591A327" w14:textId="6350C7FD"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7F2CF31E" w14:textId="2D151D70"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7A77D1F0" w14:textId="1E171414"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61BDD0C2" w14:textId="7669F431"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49FE83F5" w14:textId="59C9ED17" w:rsidR="001A327E" w:rsidRPr="00872D7E" w:rsidRDefault="001A327E" w:rsidP="001A327E">
            <w:pPr>
              <w:jc w:val="right"/>
              <w:rPr>
                <w:sz w:val="16"/>
                <w:szCs w:val="16"/>
              </w:rPr>
            </w:pPr>
            <w:r w:rsidRPr="00872D7E">
              <w:rPr>
                <w:color w:val="000000"/>
                <w:sz w:val="16"/>
                <w:szCs w:val="16"/>
              </w:rPr>
              <w:t>3.436.862</w:t>
            </w:r>
          </w:p>
        </w:tc>
        <w:tc>
          <w:tcPr>
            <w:tcW w:w="220" w:type="pct"/>
            <w:tcBorders>
              <w:top w:val="nil"/>
              <w:left w:val="nil"/>
              <w:bottom w:val="nil"/>
              <w:right w:val="nil"/>
            </w:tcBorders>
            <w:shd w:val="clear" w:color="auto" w:fill="auto"/>
            <w:vAlign w:val="bottom"/>
          </w:tcPr>
          <w:p w14:paraId="441933E8" w14:textId="32997DC6"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15E92652" w14:textId="457AD66B" w:rsidR="001A327E" w:rsidRPr="00872D7E" w:rsidRDefault="001A327E" w:rsidP="001A327E">
            <w:pPr>
              <w:jc w:val="right"/>
              <w:rPr>
                <w:sz w:val="16"/>
                <w:szCs w:val="16"/>
              </w:rPr>
            </w:pPr>
            <w:r w:rsidRPr="00872D7E">
              <w:rPr>
                <w:color w:val="000000"/>
                <w:sz w:val="16"/>
                <w:szCs w:val="16"/>
              </w:rPr>
              <w:t>235.146</w:t>
            </w:r>
          </w:p>
        </w:tc>
        <w:tc>
          <w:tcPr>
            <w:tcW w:w="142" w:type="pct"/>
            <w:tcBorders>
              <w:top w:val="nil"/>
              <w:left w:val="nil"/>
              <w:bottom w:val="nil"/>
              <w:right w:val="nil"/>
            </w:tcBorders>
            <w:shd w:val="clear" w:color="auto" w:fill="auto"/>
            <w:vAlign w:val="bottom"/>
          </w:tcPr>
          <w:p w14:paraId="2C6FE5DE" w14:textId="14809746"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5BD23377" w14:textId="24380816" w:rsidR="001A327E" w:rsidRPr="00872D7E" w:rsidRDefault="001A327E" w:rsidP="001A327E">
            <w:pPr>
              <w:jc w:val="right"/>
              <w:rPr>
                <w:sz w:val="16"/>
                <w:szCs w:val="16"/>
              </w:rPr>
            </w:pPr>
            <w:r w:rsidRPr="00872D7E">
              <w:rPr>
                <w:color w:val="000000"/>
                <w:sz w:val="16"/>
                <w:szCs w:val="16"/>
              </w:rPr>
              <w:t>27.648</w:t>
            </w:r>
          </w:p>
        </w:tc>
        <w:tc>
          <w:tcPr>
            <w:tcW w:w="159" w:type="pct"/>
            <w:tcBorders>
              <w:top w:val="nil"/>
              <w:left w:val="nil"/>
              <w:bottom w:val="nil"/>
              <w:right w:val="nil"/>
            </w:tcBorders>
            <w:shd w:val="clear" w:color="auto" w:fill="auto"/>
            <w:vAlign w:val="bottom"/>
          </w:tcPr>
          <w:p w14:paraId="2A0D3074" w14:textId="149AFB8D"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598D3CED" w14:textId="18B1159C"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5EC1B634" w14:textId="5C96BCCA"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425845B8" w14:textId="1DD5774A"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2E5BA54" w14:textId="214E068F"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0564F93" w14:textId="495E6A06"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57088BE9" w14:textId="46164C5C" w:rsidR="001A327E" w:rsidRPr="00872D7E" w:rsidRDefault="001A327E" w:rsidP="001A327E">
            <w:pPr>
              <w:jc w:val="right"/>
              <w:rPr>
                <w:sz w:val="16"/>
                <w:szCs w:val="16"/>
              </w:rPr>
            </w:pPr>
            <w:r w:rsidRPr="00872D7E">
              <w:rPr>
                <w:color w:val="000000"/>
                <w:sz w:val="16"/>
                <w:szCs w:val="16"/>
              </w:rPr>
              <w:t>2.596.297</w:t>
            </w:r>
          </w:p>
        </w:tc>
        <w:tc>
          <w:tcPr>
            <w:tcW w:w="272" w:type="pct"/>
            <w:tcBorders>
              <w:top w:val="nil"/>
              <w:left w:val="nil"/>
              <w:bottom w:val="nil"/>
              <w:right w:val="nil"/>
            </w:tcBorders>
            <w:shd w:val="clear" w:color="auto" w:fill="auto"/>
            <w:vAlign w:val="bottom"/>
          </w:tcPr>
          <w:p w14:paraId="7DEC4534" w14:textId="607C39A4" w:rsidR="001A327E" w:rsidRPr="00872D7E" w:rsidRDefault="001A327E" w:rsidP="001A327E">
            <w:pPr>
              <w:jc w:val="right"/>
              <w:rPr>
                <w:sz w:val="16"/>
                <w:szCs w:val="16"/>
              </w:rPr>
            </w:pPr>
            <w:r w:rsidRPr="00872D7E">
              <w:rPr>
                <w:color w:val="000000"/>
                <w:sz w:val="16"/>
                <w:szCs w:val="16"/>
              </w:rPr>
              <w:t>1.103.359</w:t>
            </w:r>
          </w:p>
        </w:tc>
        <w:tc>
          <w:tcPr>
            <w:tcW w:w="273" w:type="pct"/>
            <w:tcBorders>
              <w:top w:val="nil"/>
              <w:left w:val="nil"/>
              <w:bottom w:val="nil"/>
              <w:right w:val="nil"/>
            </w:tcBorders>
            <w:shd w:val="clear" w:color="auto" w:fill="auto"/>
            <w:vAlign w:val="bottom"/>
          </w:tcPr>
          <w:p w14:paraId="6C27DABE" w14:textId="18BC28B7" w:rsidR="001A327E" w:rsidRPr="00872D7E" w:rsidRDefault="001A327E" w:rsidP="001A327E">
            <w:pPr>
              <w:jc w:val="right"/>
              <w:rPr>
                <w:sz w:val="16"/>
                <w:szCs w:val="16"/>
              </w:rPr>
            </w:pPr>
            <w:r w:rsidRPr="00872D7E">
              <w:rPr>
                <w:color w:val="000000"/>
                <w:sz w:val="16"/>
                <w:szCs w:val="16"/>
              </w:rPr>
              <w:t>3.699.656</w:t>
            </w:r>
          </w:p>
        </w:tc>
      </w:tr>
      <w:tr w:rsidR="001A327E" w:rsidRPr="00872D7E" w14:paraId="1BCE194B" w14:textId="77777777" w:rsidTr="001A327E">
        <w:trPr>
          <w:trHeight w:val="133"/>
        </w:trPr>
        <w:tc>
          <w:tcPr>
            <w:tcW w:w="98" w:type="pct"/>
            <w:shd w:val="clear" w:color="auto" w:fill="auto"/>
            <w:vAlign w:val="bottom"/>
          </w:tcPr>
          <w:p w14:paraId="1B9581A2"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4.2</w:t>
            </w:r>
          </w:p>
        </w:tc>
        <w:tc>
          <w:tcPr>
            <w:tcW w:w="528" w:type="pct"/>
            <w:shd w:val="clear" w:color="auto" w:fill="auto"/>
            <w:vAlign w:val="bottom"/>
          </w:tcPr>
          <w:p w14:paraId="519AEE2E" w14:textId="77777777" w:rsidR="001A327E" w:rsidRPr="00872D7E" w:rsidRDefault="001A327E" w:rsidP="001A327E">
            <w:pPr>
              <w:rPr>
                <w:color w:val="000000"/>
                <w:sz w:val="15"/>
                <w:szCs w:val="15"/>
              </w:rPr>
            </w:pPr>
            <w:r w:rsidRPr="00872D7E">
              <w:rPr>
                <w:color w:val="000000"/>
                <w:sz w:val="15"/>
                <w:szCs w:val="15"/>
              </w:rPr>
              <w:t xml:space="preserve">   Otel ve Lokanta Hizmetleri</w:t>
            </w:r>
          </w:p>
        </w:tc>
        <w:tc>
          <w:tcPr>
            <w:tcW w:w="240" w:type="pct"/>
            <w:tcBorders>
              <w:top w:val="nil"/>
              <w:left w:val="nil"/>
              <w:bottom w:val="nil"/>
              <w:right w:val="nil"/>
            </w:tcBorders>
            <w:shd w:val="clear" w:color="auto" w:fill="auto"/>
            <w:vAlign w:val="bottom"/>
          </w:tcPr>
          <w:p w14:paraId="3FB03BBE" w14:textId="0572A9AF"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66F0CA7A" w14:textId="1AE450B4"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3E949E16" w14:textId="43F8D0B9"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66817DD1" w14:textId="3B6C200D"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10C4B43D" w14:textId="3E165A34"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65433E8E" w14:textId="7A8F61AA"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5FC3C8D7" w14:textId="69A2C2B9" w:rsidR="001A327E" w:rsidRPr="00872D7E" w:rsidRDefault="001A327E" w:rsidP="001A327E">
            <w:pPr>
              <w:jc w:val="right"/>
              <w:rPr>
                <w:sz w:val="16"/>
                <w:szCs w:val="16"/>
              </w:rPr>
            </w:pPr>
            <w:r w:rsidRPr="00872D7E">
              <w:rPr>
                <w:color w:val="000000"/>
                <w:sz w:val="16"/>
                <w:szCs w:val="16"/>
              </w:rPr>
              <w:t>57.659</w:t>
            </w:r>
          </w:p>
        </w:tc>
        <w:tc>
          <w:tcPr>
            <w:tcW w:w="220" w:type="pct"/>
            <w:tcBorders>
              <w:top w:val="nil"/>
              <w:left w:val="nil"/>
              <w:bottom w:val="nil"/>
              <w:right w:val="nil"/>
            </w:tcBorders>
            <w:shd w:val="clear" w:color="auto" w:fill="auto"/>
            <w:vAlign w:val="bottom"/>
          </w:tcPr>
          <w:p w14:paraId="74FCD896" w14:textId="241518BD"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230DF5B2" w14:textId="5862C2DB" w:rsidR="001A327E" w:rsidRPr="00872D7E" w:rsidRDefault="001A327E" w:rsidP="001A327E">
            <w:pPr>
              <w:jc w:val="right"/>
              <w:rPr>
                <w:sz w:val="16"/>
                <w:szCs w:val="16"/>
              </w:rPr>
            </w:pPr>
            <w:r w:rsidRPr="00872D7E">
              <w:rPr>
                <w:color w:val="000000"/>
                <w:sz w:val="16"/>
                <w:szCs w:val="16"/>
              </w:rPr>
              <w:t>19.208</w:t>
            </w:r>
          </w:p>
        </w:tc>
        <w:tc>
          <w:tcPr>
            <w:tcW w:w="142" w:type="pct"/>
            <w:tcBorders>
              <w:top w:val="nil"/>
              <w:left w:val="nil"/>
              <w:bottom w:val="nil"/>
              <w:right w:val="nil"/>
            </w:tcBorders>
            <w:shd w:val="clear" w:color="auto" w:fill="auto"/>
            <w:vAlign w:val="bottom"/>
          </w:tcPr>
          <w:p w14:paraId="6997633C" w14:textId="5FDA2E3D"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6FC6F020" w14:textId="502CBC77"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3DF6FB14" w14:textId="5F47070E"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658847B" w14:textId="42E69E85"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A307B29" w14:textId="245C2684"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5E3F6D5" w14:textId="7E3E5364"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40BA6DF4" w14:textId="3812216F"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851A704" w14:textId="2A996DC7"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470B070E" w14:textId="5B152596" w:rsidR="001A327E" w:rsidRPr="00872D7E" w:rsidRDefault="001A327E" w:rsidP="001A327E">
            <w:pPr>
              <w:jc w:val="right"/>
              <w:rPr>
                <w:sz w:val="16"/>
                <w:szCs w:val="16"/>
              </w:rPr>
            </w:pPr>
            <w:r w:rsidRPr="00872D7E">
              <w:rPr>
                <w:color w:val="000000"/>
                <w:sz w:val="16"/>
                <w:szCs w:val="16"/>
              </w:rPr>
              <w:t>76.867</w:t>
            </w:r>
          </w:p>
        </w:tc>
        <w:tc>
          <w:tcPr>
            <w:tcW w:w="272" w:type="pct"/>
            <w:tcBorders>
              <w:top w:val="nil"/>
              <w:left w:val="nil"/>
              <w:bottom w:val="nil"/>
              <w:right w:val="nil"/>
            </w:tcBorders>
            <w:shd w:val="clear" w:color="auto" w:fill="auto"/>
            <w:vAlign w:val="bottom"/>
          </w:tcPr>
          <w:p w14:paraId="0D1A874B" w14:textId="554FD178" w:rsidR="001A327E" w:rsidRPr="00872D7E" w:rsidRDefault="001A327E" w:rsidP="001A327E">
            <w:pPr>
              <w:jc w:val="right"/>
              <w:rPr>
                <w:sz w:val="16"/>
                <w:szCs w:val="16"/>
              </w:rPr>
            </w:pPr>
            <w:r w:rsidRPr="00872D7E">
              <w:rPr>
                <w:color w:val="000000"/>
                <w:sz w:val="16"/>
                <w:szCs w:val="16"/>
              </w:rPr>
              <w:t>-</w:t>
            </w:r>
          </w:p>
        </w:tc>
        <w:tc>
          <w:tcPr>
            <w:tcW w:w="273" w:type="pct"/>
            <w:tcBorders>
              <w:top w:val="nil"/>
              <w:left w:val="nil"/>
              <w:bottom w:val="nil"/>
              <w:right w:val="nil"/>
            </w:tcBorders>
            <w:shd w:val="clear" w:color="auto" w:fill="auto"/>
            <w:vAlign w:val="bottom"/>
          </w:tcPr>
          <w:p w14:paraId="4DC50E9A" w14:textId="7223CA99" w:rsidR="001A327E" w:rsidRPr="00872D7E" w:rsidRDefault="001A327E" w:rsidP="001A327E">
            <w:pPr>
              <w:jc w:val="right"/>
              <w:rPr>
                <w:sz w:val="16"/>
                <w:szCs w:val="16"/>
              </w:rPr>
            </w:pPr>
            <w:r w:rsidRPr="00872D7E">
              <w:rPr>
                <w:color w:val="000000"/>
                <w:sz w:val="16"/>
                <w:szCs w:val="16"/>
              </w:rPr>
              <w:t>76.867</w:t>
            </w:r>
          </w:p>
        </w:tc>
      </w:tr>
      <w:tr w:rsidR="001A327E" w:rsidRPr="00872D7E" w14:paraId="511778FA" w14:textId="77777777" w:rsidTr="001A327E">
        <w:trPr>
          <w:trHeight w:val="133"/>
        </w:trPr>
        <w:tc>
          <w:tcPr>
            <w:tcW w:w="98" w:type="pct"/>
            <w:shd w:val="clear" w:color="auto" w:fill="auto"/>
            <w:vAlign w:val="bottom"/>
          </w:tcPr>
          <w:p w14:paraId="4CAD0293"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4.3</w:t>
            </w:r>
          </w:p>
        </w:tc>
        <w:tc>
          <w:tcPr>
            <w:tcW w:w="528" w:type="pct"/>
            <w:shd w:val="clear" w:color="auto" w:fill="auto"/>
            <w:vAlign w:val="bottom"/>
          </w:tcPr>
          <w:p w14:paraId="2448A150" w14:textId="77777777" w:rsidR="001A327E" w:rsidRPr="00872D7E" w:rsidRDefault="001A327E" w:rsidP="001A327E">
            <w:pPr>
              <w:rPr>
                <w:color w:val="000000"/>
                <w:sz w:val="15"/>
                <w:szCs w:val="15"/>
              </w:rPr>
            </w:pPr>
            <w:r w:rsidRPr="00872D7E">
              <w:rPr>
                <w:color w:val="000000"/>
                <w:sz w:val="15"/>
                <w:szCs w:val="15"/>
              </w:rPr>
              <w:t xml:space="preserve">   Ulaştırma </w:t>
            </w:r>
            <w:proofErr w:type="gramStart"/>
            <w:r w:rsidRPr="00872D7E">
              <w:rPr>
                <w:color w:val="000000"/>
                <w:sz w:val="15"/>
                <w:szCs w:val="15"/>
              </w:rPr>
              <w:t>Ve</w:t>
            </w:r>
            <w:proofErr w:type="gramEnd"/>
            <w:r w:rsidRPr="00872D7E">
              <w:rPr>
                <w:color w:val="000000"/>
                <w:sz w:val="15"/>
                <w:szCs w:val="15"/>
              </w:rPr>
              <w:t xml:space="preserve"> Haberleşme</w:t>
            </w:r>
          </w:p>
        </w:tc>
        <w:tc>
          <w:tcPr>
            <w:tcW w:w="240" w:type="pct"/>
            <w:tcBorders>
              <w:top w:val="nil"/>
              <w:left w:val="nil"/>
              <w:bottom w:val="nil"/>
              <w:right w:val="nil"/>
            </w:tcBorders>
            <w:shd w:val="clear" w:color="auto" w:fill="auto"/>
            <w:vAlign w:val="bottom"/>
          </w:tcPr>
          <w:p w14:paraId="116140B9" w14:textId="62203FE6"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5AFCB7B2" w14:textId="0A403F30"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2C20143D" w14:textId="5DC4C5BD"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65B52334" w14:textId="60E2D16E"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711460D2" w14:textId="788946C5"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35D35DD0" w14:textId="456CDD4A"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08C2C26B" w14:textId="7C72451C" w:rsidR="001A327E" w:rsidRPr="00872D7E" w:rsidRDefault="001A327E" w:rsidP="001A327E">
            <w:pPr>
              <w:jc w:val="right"/>
              <w:rPr>
                <w:sz w:val="16"/>
                <w:szCs w:val="16"/>
              </w:rPr>
            </w:pPr>
            <w:r w:rsidRPr="00872D7E">
              <w:rPr>
                <w:color w:val="000000"/>
                <w:sz w:val="16"/>
                <w:szCs w:val="16"/>
              </w:rPr>
              <w:t>1.093.175</w:t>
            </w:r>
          </w:p>
        </w:tc>
        <w:tc>
          <w:tcPr>
            <w:tcW w:w="220" w:type="pct"/>
            <w:tcBorders>
              <w:top w:val="nil"/>
              <w:left w:val="nil"/>
              <w:bottom w:val="nil"/>
              <w:right w:val="nil"/>
            </w:tcBorders>
            <w:shd w:val="clear" w:color="auto" w:fill="auto"/>
            <w:vAlign w:val="bottom"/>
          </w:tcPr>
          <w:p w14:paraId="32A92BC8" w14:textId="46D22C39"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1F01783E" w14:textId="07F753AA" w:rsidR="001A327E" w:rsidRPr="00872D7E" w:rsidRDefault="001A327E" w:rsidP="001A327E">
            <w:pPr>
              <w:jc w:val="right"/>
              <w:rPr>
                <w:sz w:val="16"/>
                <w:szCs w:val="16"/>
              </w:rPr>
            </w:pPr>
            <w:r w:rsidRPr="00872D7E">
              <w:rPr>
                <w:color w:val="000000"/>
                <w:sz w:val="16"/>
                <w:szCs w:val="16"/>
              </w:rPr>
              <w:t>2.819</w:t>
            </w:r>
          </w:p>
        </w:tc>
        <w:tc>
          <w:tcPr>
            <w:tcW w:w="142" w:type="pct"/>
            <w:tcBorders>
              <w:top w:val="nil"/>
              <w:left w:val="nil"/>
              <w:bottom w:val="nil"/>
              <w:right w:val="nil"/>
            </w:tcBorders>
            <w:shd w:val="clear" w:color="auto" w:fill="auto"/>
            <w:vAlign w:val="bottom"/>
          </w:tcPr>
          <w:p w14:paraId="166E9B2C" w14:textId="365142C7"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2C43A6C0" w14:textId="667B919A"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3A60DD55" w14:textId="2D8D9B76"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328CE2C" w14:textId="2C91C187"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147069F" w14:textId="6EBA32B4"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46FA23F6" w14:textId="78381B59"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1BA14099" w14:textId="1B7E1E32"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50580ACC" w14:textId="50591731"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3117C798" w14:textId="04DB8108" w:rsidR="001A327E" w:rsidRPr="00872D7E" w:rsidRDefault="001A327E" w:rsidP="001A327E">
            <w:pPr>
              <w:jc w:val="right"/>
              <w:rPr>
                <w:sz w:val="16"/>
                <w:szCs w:val="16"/>
              </w:rPr>
            </w:pPr>
            <w:r w:rsidRPr="00872D7E">
              <w:rPr>
                <w:color w:val="000000"/>
                <w:sz w:val="16"/>
                <w:szCs w:val="16"/>
              </w:rPr>
              <w:t>812.957</w:t>
            </w:r>
          </w:p>
        </w:tc>
        <w:tc>
          <w:tcPr>
            <w:tcW w:w="272" w:type="pct"/>
            <w:tcBorders>
              <w:top w:val="nil"/>
              <w:left w:val="nil"/>
              <w:bottom w:val="nil"/>
              <w:right w:val="nil"/>
            </w:tcBorders>
            <w:shd w:val="clear" w:color="auto" w:fill="auto"/>
            <w:vAlign w:val="bottom"/>
          </w:tcPr>
          <w:p w14:paraId="7850D128" w14:textId="73F1B54B" w:rsidR="001A327E" w:rsidRPr="00872D7E" w:rsidRDefault="001A327E" w:rsidP="001A327E">
            <w:pPr>
              <w:jc w:val="right"/>
              <w:rPr>
                <w:sz w:val="16"/>
                <w:szCs w:val="16"/>
              </w:rPr>
            </w:pPr>
            <w:r w:rsidRPr="00872D7E">
              <w:rPr>
                <w:color w:val="000000"/>
                <w:sz w:val="16"/>
                <w:szCs w:val="16"/>
              </w:rPr>
              <w:t>283.037</w:t>
            </w:r>
          </w:p>
        </w:tc>
        <w:tc>
          <w:tcPr>
            <w:tcW w:w="273" w:type="pct"/>
            <w:tcBorders>
              <w:top w:val="nil"/>
              <w:left w:val="nil"/>
              <w:bottom w:val="nil"/>
              <w:right w:val="nil"/>
            </w:tcBorders>
            <w:shd w:val="clear" w:color="auto" w:fill="auto"/>
            <w:vAlign w:val="bottom"/>
          </w:tcPr>
          <w:p w14:paraId="4F74DB8C" w14:textId="1AC4F097" w:rsidR="001A327E" w:rsidRPr="00872D7E" w:rsidRDefault="001A327E" w:rsidP="001A327E">
            <w:pPr>
              <w:jc w:val="right"/>
              <w:rPr>
                <w:sz w:val="16"/>
                <w:szCs w:val="16"/>
              </w:rPr>
            </w:pPr>
            <w:r w:rsidRPr="00872D7E">
              <w:rPr>
                <w:color w:val="000000"/>
                <w:sz w:val="16"/>
                <w:szCs w:val="16"/>
              </w:rPr>
              <w:t>1.095.994</w:t>
            </w:r>
          </w:p>
        </w:tc>
      </w:tr>
      <w:tr w:rsidR="001A327E" w:rsidRPr="00872D7E" w14:paraId="40BCB224" w14:textId="77777777" w:rsidTr="001A327E">
        <w:trPr>
          <w:trHeight w:val="133"/>
        </w:trPr>
        <w:tc>
          <w:tcPr>
            <w:tcW w:w="98" w:type="pct"/>
            <w:shd w:val="clear" w:color="auto" w:fill="auto"/>
            <w:vAlign w:val="bottom"/>
          </w:tcPr>
          <w:p w14:paraId="0C88F6F9"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4.4</w:t>
            </w:r>
          </w:p>
        </w:tc>
        <w:tc>
          <w:tcPr>
            <w:tcW w:w="528" w:type="pct"/>
            <w:shd w:val="clear" w:color="auto" w:fill="auto"/>
            <w:vAlign w:val="bottom"/>
          </w:tcPr>
          <w:p w14:paraId="7D77745D" w14:textId="77777777" w:rsidR="001A327E" w:rsidRPr="00872D7E" w:rsidRDefault="001A327E" w:rsidP="001A327E">
            <w:pPr>
              <w:rPr>
                <w:color w:val="000000"/>
                <w:sz w:val="15"/>
                <w:szCs w:val="15"/>
              </w:rPr>
            </w:pPr>
            <w:r w:rsidRPr="00872D7E">
              <w:rPr>
                <w:color w:val="000000"/>
                <w:sz w:val="15"/>
                <w:szCs w:val="15"/>
              </w:rPr>
              <w:t xml:space="preserve">   Mali Kuruluşlar</w:t>
            </w:r>
          </w:p>
        </w:tc>
        <w:tc>
          <w:tcPr>
            <w:tcW w:w="240" w:type="pct"/>
            <w:tcBorders>
              <w:top w:val="nil"/>
              <w:left w:val="nil"/>
              <w:bottom w:val="nil"/>
              <w:right w:val="nil"/>
            </w:tcBorders>
            <w:shd w:val="clear" w:color="auto" w:fill="auto"/>
            <w:vAlign w:val="bottom"/>
          </w:tcPr>
          <w:p w14:paraId="6AB7FFAE" w14:textId="104E8B87" w:rsidR="001A327E" w:rsidRPr="00872D7E" w:rsidRDefault="001A327E" w:rsidP="001A327E">
            <w:pPr>
              <w:jc w:val="right"/>
              <w:rPr>
                <w:sz w:val="16"/>
                <w:szCs w:val="16"/>
              </w:rPr>
            </w:pPr>
            <w:r w:rsidRPr="00872D7E">
              <w:rPr>
                <w:color w:val="000000"/>
                <w:sz w:val="16"/>
                <w:szCs w:val="16"/>
              </w:rPr>
              <w:t>4.830.858</w:t>
            </w:r>
          </w:p>
        </w:tc>
        <w:tc>
          <w:tcPr>
            <w:tcW w:w="156" w:type="pct"/>
            <w:tcBorders>
              <w:top w:val="nil"/>
              <w:left w:val="nil"/>
              <w:bottom w:val="nil"/>
              <w:right w:val="nil"/>
            </w:tcBorders>
            <w:shd w:val="clear" w:color="auto" w:fill="auto"/>
            <w:vAlign w:val="bottom"/>
          </w:tcPr>
          <w:p w14:paraId="2FD8A5A1" w14:textId="304B7623"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2556EF27" w14:textId="59FFEA1D"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13216098" w14:textId="49C54CBA"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02836E41" w14:textId="311D4E84"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07296E96" w14:textId="4C59FAB7" w:rsidR="001A327E" w:rsidRPr="00872D7E" w:rsidRDefault="001A327E" w:rsidP="001A327E">
            <w:pPr>
              <w:jc w:val="right"/>
              <w:rPr>
                <w:sz w:val="16"/>
                <w:szCs w:val="16"/>
              </w:rPr>
            </w:pPr>
            <w:r w:rsidRPr="00872D7E">
              <w:rPr>
                <w:color w:val="000000"/>
                <w:sz w:val="16"/>
                <w:szCs w:val="16"/>
              </w:rPr>
              <w:t>5.221.722</w:t>
            </w:r>
          </w:p>
        </w:tc>
        <w:tc>
          <w:tcPr>
            <w:tcW w:w="268" w:type="pct"/>
            <w:tcBorders>
              <w:top w:val="nil"/>
              <w:left w:val="nil"/>
              <w:bottom w:val="nil"/>
              <w:right w:val="nil"/>
            </w:tcBorders>
            <w:shd w:val="clear" w:color="auto" w:fill="auto"/>
            <w:vAlign w:val="bottom"/>
          </w:tcPr>
          <w:p w14:paraId="5B842219" w14:textId="32F41360" w:rsidR="001A327E" w:rsidRPr="00872D7E" w:rsidRDefault="001A327E" w:rsidP="001A327E">
            <w:pPr>
              <w:jc w:val="right"/>
              <w:rPr>
                <w:sz w:val="16"/>
                <w:szCs w:val="16"/>
              </w:rPr>
            </w:pPr>
            <w:r w:rsidRPr="00872D7E">
              <w:rPr>
                <w:color w:val="000000"/>
                <w:sz w:val="16"/>
                <w:szCs w:val="16"/>
              </w:rPr>
              <w:t>1.036.207</w:t>
            </w:r>
          </w:p>
        </w:tc>
        <w:tc>
          <w:tcPr>
            <w:tcW w:w="220" w:type="pct"/>
            <w:tcBorders>
              <w:top w:val="nil"/>
              <w:left w:val="nil"/>
              <w:bottom w:val="nil"/>
              <w:right w:val="nil"/>
            </w:tcBorders>
            <w:shd w:val="clear" w:color="auto" w:fill="auto"/>
            <w:vAlign w:val="bottom"/>
          </w:tcPr>
          <w:p w14:paraId="771CECFD" w14:textId="58981BFF"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2BBCA79D" w14:textId="5E76E279" w:rsidR="001A327E" w:rsidRPr="00872D7E" w:rsidRDefault="001A327E" w:rsidP="001A327E">
            <w:pPr>
              <w:jc w:val="right"/>
              <w:rPr>
                <w:sz w:val="16"/>
                <w:szCs w:val="16"/>
              </w:rPr>
            </w:pPr>
            <w:r w:rsidRPr="00872D7E">
              <w:rPr>
                <w:color w:val="000000"/>
                <w:sz w:val="16"/>
                <w:szCs w:val="16"/>
              </w:rPr>
              <w:t>8.613</w:t>
            </w:r>
          </w:p>
        </w:tc>
        <w:tc>
          <w:tcPr>
            <w:tcW w:w="142" w:type="pct"/>
            <w:tcBorders>
              <w:top w:val="nil"/>
              <w:left w:val="nil"/>
              <w:bottom w:val="nil"/>
              <w:right w:val="nil"/>
            </w:tcBorders>
            <w:shd w:val="clear" w:color="auto" w:fill="auto"/>
            <w:vAlign w:val="bottom"/>
          </w:tcPr>
          <w:p w14:paraId="7F76F5B1" w14:textId="11DB17D2"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11BC8855" w14:textId="1D2DA14B"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08C6D044" w14:textId="7A917117"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29DAA42" w14:textId="38AC7E0F"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4D85779C" w14:textId="4C6CE548"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33C99E3" w14:textId="08A4E136"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F3A88B1" w14:textId="3860973B" w:rsidR="001A327E" w:rsidRPr="00872D7E" w:rsidRDefault="001A327E" w:rsidP="001A327E">
            <w:pPr>
              <w:jc w:val="right"/>
              <w:rPr>
                <w:sz w:val="16"/>
                <w:szCs w:val="16"/>
              </w:rPr>
            </w:pPr>
            <w:r w:rsidRPr="00872D7E">
              <w:rPr>
                <w:color w:val="000000"/>
                <w:sz w:val="16"/>
                <w:szCs w:val="16"/>
              </w:rPr>
              <w:t>1.265</w:t>
            </w:r>
          </w:p>
        </w:tc>
        <w:tc>
          <w:tcPr>
            <w:tcW w:w="244" w:type="pct"/>
            <w:tcBorders>
              <w:top w:val="nil"/>
              <w:left w:val="nil"/>
              <w:bottom w:val="nil"/>
              <w:right w:val="nil"/>
            </w:tcBorders>
            <w:vAlign w:val="bottom"/>
          </w:tcPr>
          <w:p w14:paraId="7712ECAB" w14:textId="6C967844" w:rsidR="001A327E" w:rsidRPr="00872D7E" w:rsidRDefault="001A327E" w:rsidP="001A327E">
            <w:pPr>
              <w:jc w:val="right"/>
              <w:rPr>
                <w:sz w:val="16"/>
                <w:szCs w:val="16"/>
              </w:rPr>
            </w:pPr>
            <w:r w:rsidRPr="00872D7E">
              <w:rPr>
                <w:color w:val="000000"/>
                <w:sz w:val="16"/>
                <w:szCs w:val="16"/>
              </w:rPr>
              <w:t>991.124</w:t>
            </w:r>
          </w:p>
        </w:tc>
        <w:tc>
          <w:tcPr>
            <w:tcW w:w="268" w:type="pct"/>
            <w:tcBorders>
              <w:top w:val="nil"/>
              <w:left w:val="nil"/>
              <w:bottom w:val="nil"/>
              <w:right w:val="nil"/>
            </w:tcBorders>
            <w:shd w:val="clear" w:color="auto" w:fill="auto"/>
            <w:vAlign w:val="bottom"/>
          </w:tcPr>
          <w:p w14:paraId="4E307AB2" w14:textId="6390ADA1" w:rsidR="001A327E" w:rsidRPr="00872D7E" w:rsidRDefault="001A327E" w:rsidP="001A327E">
            <w:pPr>
              <w:jc w:val="right"/>
              <w:rPr>
                <w:sz w:val="16"/>
                <w:szCs w:val="16"/>
              </w:rPr>
            </w:pPr>
            <w:r w:rsidRPr="00872D7E">
              <w:rPr>
                <w:color w:val="000000"/>
                <w:sz w:val="16"/>
                <w:szCs w:val="16"/>
              </w:rPr>
              <w:t>7.539.656</w:t>
            </w:r>
          </w:p>
        </w:tc>
        <w:tc>
          <w:tcPr>
            <w:tcW w:w="272" w:type="pct"/>
            <w:tcBorders>
              <w:top w:val="nil"/>
              <w:left w:val="nil"/>
              <w:bottom w:val="nil"/>
              <w:right w:val="nil"/>
            </w:tcBorders>
            <w:shd w:val="clear" w:color="auto" w:fill="auto"/>
            <w:vAlign w:val="bottom"/>
          </w:tcPr>
          <w:p w14:paraId="34DFEF22" w14:textId="4061ED1A" w:rsidR="001A327E" w:rsidRPr="00872D7E" w:rsidRDefault="001A327E" w:rsidP="001A327E">
            <w:pPr>
              <w:jc w:val="right"/>
              <w:rPr>
                <w:sz w:val="16"/>
                <w:szCs w:val="16"/>
              </w:rPr>
            </w:pPr>
            <w:r w:rsidRPr="00872D7E">
              <w:rPr>
                <w:color w:val="000000"/>
                <w:sz w:val="16"/>
                <w:szCs w:val="16"/>
              </w:rPr>
              <w:t>4.550.133</w:t>
            </w:r>
          </w:p>
        </w:tc>
        <w:tc>
          <w:tcPr>
            <w:tcW w:w="273" w:type="pct"/>
            <w:tcBorders>
              <w:top w:val="nil"/>
              <w:left w:val="nil"/>
              <w:bottom w:val="nil"/>
              <w:right w:val="nil"/>
            </w:tcBorders>
            <w:shd w:val="clear" w:color="auto" w:fill="auto"/>
            <w:vAlign w:val="bottom"/>
          </w:tcPr>
          <w:p w14:paraId="0DE5B77B" w14:textId="07D1E2B4" w:rsidR="001A327E" w:rsidRPr="00872D7E" w:rsidRDefault="001A327E" w:rsidP="001A327E">
            <w:pPr>
              <w:jc w:val="right"/>
              <w:rPr>
                <w:sz w:val="16"/>
                <w:szCs w:val="16"/>
              </w:rPr>
            </w:pPr>
            <w:r w:rsidRPr="00872D7E">
              <w:rPr>
                <w:color w:val="000000"/>
                <w:sz w:val="16"/>
                <w:szCs w:val="16"/>
              </w:rPr>
              <w:t>12.089.789</w:t>
            </w:r>
          </w:p>
        </w:tc>
      </w:tr>
      <w:tr w:rsidR="001A327E" w:rsidRPr="00872D7E" w14:paraId="47BFF7B9" w14:textId="77777777" w:rsidTr="001A327E">
        <w:trPr>
          <w:trHeight w:val="133"/>
        </w:trPr>
        <w:tc>
          <w:tcPr>
            <w:tcW w:w="98" w:type="pct"/>
            <w:shd w:val="clear" w:color="auto" w:fill="auto"/>
            <w:vAlign w:val="bottom"/>
          </w:tcPr>
          <w:p w14:paraId="220ADB5B"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4.5</w:t>
            </w:r>
          </w:p>
        </w:tc>
        <w:tc>
          <w:tcPr>
            <w:tcW w:w="528" w:type="pct"/>
            <w:shd w:val="clear" w:color="auto" w:fill="auto"/>
            <w:vAlign w:val="bottom"/>
          </w:tcPr>
          <w:p w14:paraId="158E0874" w14:textId="77777777" w:rsidR="001A327E" w:rsidRPr="00872D7E" w:rsidRDefault="001A327E" w:rsidP="001A327E">
            <w:pPr>
              <w:rPr>
                <w:color w:val="000000"/>
                <w:sz w:val="15"/>
                <w:szCs w:val="15"/>
              </w:rPr>
            </w:pPr>
            <w:r w:rsidRPr="00872D7E">
              <w:rPr>
                <w:color w:val="000000"/>
                <w:sz w:val="15"/>
                <w:szCs w:val="15"/>
              </w:rPr>
              <w:t xml:space="preserve">   Gayrimenkul ve Kira. </w:t>
            </w:r>
            <w:proofErr w:type="spellStart"/>
            <w:r w:rsidRPr="00872D7E">
              <w:rPr>
                <w:color w:val="000000"/>
                <w:sz w:val="15"/>
                <w:szCs w:val="15"/>
              </w:rPr>
              <w:t>Hizm</w:t>
            </w:r>
            <w:proofErr w:type="spellEnd"/>
            <w:r w:rsidRPr="00872D7E">
              <w:rPr>
                <w:color w:val="000000"/>
                <w:sz w:val="15"/>
                <w:szCs w:val="15"/>
              </w:rPr>
              <w:t>.</w:t>
            </w:r>
          </w:p>
        </w:tc>
        <w:tc>
          <w:tcPr>
            <w:tcW w:w="240" w:type="pct"/>
            <w:tcBorders>
              <w:top w:val="nil"/>
              <w:left w:val="nil"/>
              <w:bottom w:val="nil"/>
              <w:right w:val="nil"/>
            </w:tcBorders>
            <w:shd w:val="clear" w:color="auto" w:fill="auto"/>
            <w:vAlign w:val="bottom"/>
          </w:tcPr>
          <w:p w14:paraId="04E70E2E" w14:textId="19F2C838"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2F17AB7E" w14:textId="11F7C1FF"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3A1ABDC4" w14:textId="68DA0935"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2EEEDC80" w14:textId="0FA03197"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1C8DDB3E" w14:textId="0F9B2096"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09208A9B" w14:textId="4D3DCCD8"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40720ED0" w14:textId="56E856B4" w:rsidR="001A327E" w:rsidRPr="00872D7E" w:rsidRDefault="001A327E" w:rsidP="001A327E">
            <w:pPr>
              <w:jc w:val="right"/>
              <w:rPr>
                <w:sz w:val="16"/>
                <w:szCs w:val="16"/>
              </w:rPr>
            </w:pPr>
            <w:r w:rsidRPr="00872D7E">
              <w:rPr>
                <w:color w:val="000000"/>
                <w:sz w:val="16"/>
                <w:szCs w:val="16"/>
              </w:rPr>
              <w:t>910.555</w:t>
            </w:r>
          </w:p>
        </w:tc>
        <w:tc>
          <w:tcPr>
            <w:tcW w:w="220" w:type="pct"/>
            <w:tcBorders>
              <w:top w:val="nil"/>
              <w:left w:val="nil"/>
              <w:bottom w:val="nil"/>
              <w:right w:val="nil"/>
            </w:tcBorders>
            <w:shd w:val="clear" w:color="auto" w:fill="auto"/>
            <w:vAlign w:val="bottom"/>
          </w:tcPr>
          <w:p w14:paraId="72AF055F" w14:textId="2A53283C"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3F6DF61D" w14:textId="533B4E67" w:rsidR="001A327E" w:rsidRPr="00872D7E" w:rsidRDefault="001A327E" w:rsidP="001A327E">
            <w:pPr>
              <w:jc w:val="right"/>
              <w:rPr>
                <w:sz w:val="16"/>
                <w:szCs w:val="16"/>
              </w:rPr>
            </w:pPr>
            <w:r w:rsidRPr="00872D7E">
              <w:rPr>
                <w:color w:val="000000"/>
                <w:sz w:val="16"/>
                <w:szCs w:val="16"/>
              </w:rPr>
              <w:t>5.747</w:t>
            </w:r>
          </w:p>
        </w:tc>
        <w:tc>
          <w:tcPr>
            <w:tcW w:w="142" w:type="pct"/>
            <w:tcBorders>
              <w:top w:val="nil"/>
              <w:left w:val="nil"/>
              <w:bottom w:val="nil"/>
              <w:right w:val="nil"/>
            </w:tcBorders>
            <w:shd w:val="clear" w:color="auto" w:fill="auto"/>
            <w:vAlign w:val="bottom"/>
          </w:tcPr>
          <w:p w14:paraId="78877FE3" w14:textId="253B9FA2"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01422101" w14:textId="7B67D800"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60F8C873" w14:textId="59D66325"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15EFD57E" w14:textId="10A6790E"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727C8C4" w14:textId="5D7ED62A"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FCCFB4D" w14:textId="65EAFF6B"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20FA8169" w14:textId="035596DF"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E9F6666" w14:textId="0589AB2D"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432EE09C" w14:textId="0D789FBD" w:rsidR="001A327E" w:rsidRPr="00872D7E" w:rsidRDefault="001A327E" w:rsidP="001A327E">
            <w:pPr>
              <w:jc w:val="right"/>
              <w:rPr>
                <w:sz w:val="16"/>
                <w:szCs w:val="16"/>
              </w:rPr>
            </w:pPr>
            <w:r w:rsidRPr="00872D7E">
              <w:rPr>
                <w:color w:val="000000"/>
                <w:sz w:val="16"/>
                <w:szCs w:val="16"/>
              </w:rPr>
              <w:t>699.783</w:t>
            </w:r>
          </w:p>
        </w:tc>
        <w:tc>
          <w:tcPr>
            <w:tcW w:w="272" w:type="pct"/>
            <w:tcBorders>
              <w:top w:val="nil"/>
              <w:left w:val="nil"/>
              <w:bottom w:val="nil"/>
              <w:right w:val="nil"/>
            </w:tcBorders>
            <w:shd w:val="clear" w:color="auto" w:fill="auto"/>
            <w:vAlign w:val="bottom"/>
          </w:tcPr>
          <w:p w14:paraId="786B9723" w14:textId="6794C696" w:rsidR="001A327E" w:rsidRPr="00872D7E" w:rsidRDefault="001A327E" w:rsidP="001A327E">
            <w:pPr>
              <w:jc w:val="right"/>
              <w:rPr>
                <w:sz w:val="16"/>
                <w:szCs w:val="16"/>
              </w:rPr>
            </w:pPr>
            <w:r w:rsidRPr="00872D7E">
              <w:rPr>
                <w:color w:val="000000"/>
                <w:sz w:val="16"/>
                <w:szCs w:val="16"/>
              </w:rPr>
              <w:t>216.519</w:t>
            </w:r>
          </w:p>
        </w:tc>
        <w:tc>
          <w:tcPr>
            <w:tcW w:w="273" w:type="pct"/>
            <w:tcBorders>
              <w:top w:val="nil"/>
              <w:left w:val="nil"/>
              <w:bottom w:val="nil"/>
              <w:right w:val="nil"/>
            </w:tcBorders>
            <w:shd w:val="clear" w:color="auto" w:fill="auto"/>
            <w:vAlign w:val="bottom"/>
          </w:tcPr>
          <w:p w14:paraId="52920B15" w14:textId="519359C8" w:rsidR="001A327E" w:rsidRPr="00872D7E" w:rsidRDefault="001A327E" w:rsidP="001A327E">
            <w:pPr>
              <w:jc w:val="right"/>
              <w:rPr>
                <w:sz w:val="16"/>
                <w:szCs w:val="16"/>
              </w:rPr>
            </w:pPr>
            <w:r w:rsidRPr="00872D7E">
              <w:rPr>
                <w:color w:val="000000"/>
                <w:sz w:val="16"/>
                <w:szCs w:val="16"/>
              </w:rPr>
              <w:t>916.302</w:t>
            </w:r>
          </w:p>
        </w:tc>
      </w:tr>
      <w:tr w:rsidR="001A327E" w:rsidRPr="00872D7E" w14:paraId="75C907B1" w14:textId="77777777" w:rsidTr="001A327E">
        <w:trPr>
          <w:trHeight w:val="133"/>
        </w:trPr>
        <w:tc>
          <w:tcPr>
            <w:tcW w:w="98" w:type="pct"/>
            <w:shd w:val="clear" w:color="auto" w:fill="auto"/>
            <w:vAlign w:val="bottom"/>
          </w:tcPr>
          <w:p w14:paraId="2A8F5EE8"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4.6</w:t>
            </w:r>
          </w:p>
        </w:tc>
        <w:tc>
          <w:tcPr>
            <w:tcW w:w="528" w:type="pct"/>
            <w:shd w:val="clear" w:color="auto" w:fill="auto"/>
            <w:vAlign w:val="bottom"/>
          </w:tcPr>
          <w:p w14:paraId="5938B6EF" w14:textId="77777777" w:rsidR="001A327E" w:rsidRPr="00872D7E" w:rsidRDefault="001A327E" w:rsidP="001A327E">
            <w:pPr>
              <w:rPr>
                <w:color w:val="000000"/>
                <w:sz w:val="15"/>
                <w:szCs w:val="15"/>
              </w:rPr>
            </w:pPr>
            <w:r w:rsidRPr="00872D7E">
              <w:rPr>
                <w:color w:val="000000"/>
                <w:sz w:val="15"/>
                <w:szCs w:val="15"/>
              </w:rPr>
              <w:t xml:space="preserve">   Serbest Meslek Hizmetleri</w:t>
            </w:r>
          </w:p>
        </w:tc>
        <w:tc>
          <w:tcPr>
            <w:tcW w:w="240" w:type="pct"/>
            <w:tcBorders>
              <w:top w:val="nil"/>
              <w:left w:val="nil"/>
              <w:bottom w:val="nil"/>
              <w:right w:val="nil"/>
            </w:tcBorders>
            <w:shd w:val="clear" w:color="auto" w:fill="auto"/>
            <w:vAlign w:val="bottom"/>
          </w:tcPr>
          <w:p w14:paraId="6FCEC1B1" w14:textId="1CE84013"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69E99F74" w14:textId="14EEDA65"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42972498" w14:textId="2A3CFEBA"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3B63B3EF" w14:textId="0104FB98"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7AFAB40F" w14:textId="3734976A"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7EDA944A" w14:textId="77A182E4"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2277CA01" w14:textId="0A2751C7"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688D4A39" w14:textId="2178F6F8"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0F655FF3" w14:textId="38A739FF" w:rsidR="001A327E" w:rsidRPr="00872D7E" w:rsidRDefault="001A327E" w:rsidP="001A327E">
            <w:pPr>
              <w:jc w:val="right"/>
              <w:rPr>
                <w:sz w:val="16"/>
                <w:szCs w:val="16"/>
              </w:rPr>
            </w:pPr>
            <w:r w:rsidRPr="00872D7E">
              <w:rPr>
                <w:color w:val="000000"/>
                <w:sz w:val="16"/>
                <w:szCs w:val="16"/>
              </w:rPr>
              <w:t>-</w:t>
            </w:r>
          </w:p>
        </w:tc>
        <w:tc>
          <w:tcPr>
            <w:tcW w:w="142" w:type="pct"/>
            <w:tcBorders>
              <w:top w:val="nil"/>
              <w:left w:val="nil"/>
              <w:bottom w:val="nil"/>
              <w:right w:val="nil"/>
            </w:tcBorders>
            <w:shd w:val="clear" w:color="auto" w:fill="auto"/>
            <w:vAlign w:val="bottom"/>
          </w:tcPr>
          <w:p w14:paraId="3F1EAEB1" w14:textId="0268C46E"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172085BC" w14:textId="08446CCE"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55B73112" w14:textId="440EE132"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5AE93F29" w14:textId="09E21B24"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BC3451B" w14:textId="4237F26B"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41AFA19E" w14:textId="775BD181"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46574DF6" w14:textId="18812B84"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148F76E0" w14:textId="2E6F1EED"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6FE26D15" w14:textId="780237DF" w:rsidR="001A327E" w:rsidRPr="00872D7E" w:rsidRDefault="001A327E" w:rsidP="001A327E">
            <w:pPr>
              <w:jc w:val="right"/>
              <w:rPr>
                <w:sz w:val="16"/>
                <w:szCs w:val="16"/>
              </w:rPr>
            </w:pPr>
            <w:r w:rsidRPr="00872D7E">
              <w:rPr>
                <w:color w:val="000000"/>
                <w:sz w:val="16"/>
                <w:szCs w:val="16"/>
              </w:rPr>
              <w:t>-</w:t>
            </w:r>
          </w:p>
        </w:tc>
        <w:tc>
          <w:tcPr>
            <w:tcW w:w="272" w:type="pct"/>
            <w:tcBorders>
              <w:top w:val="nil"/>
              <w:left w:val="nil"/>
              <w:bottom w:val="nil"/>
              <w:right w:val="nil"/>
            </w:tcBorders>
            <w:shd w:val="clear" w:color="auto" w:fill="auto"/>
            <w:vAlign w:val="bottom"/>
          </w:tcPr>
          <w:p w14:paraId="5C7FADE5" w14:textId="082654AF" w:rsidR="001A327E" w:rsidRPr="00872D7E" w:rsidRDefault="001A327E" w:rsidP="001A327E">
            <w:pPr>
              <w:jc w:val="right"/>
              <w:rPr>
                <w:sz w:val="16"/>
                <w:szCs w:val="16"/>
              </w:rPr>
            </w:pPr>
            <w:r w:rsidRPr="00872D7E">
              <w:rPr>
                <w:color w:val="000000"/>
                <w:sz w:val="16"/>
                <w:szCs w:val="16"/>
              </w:rPr>
              <w:t>-</w:t>
            </w:r>
          </w:p>
        </w:tc>
        <w:tc>
          <w:tcPr>
            <w:tcW w:w="273" w:type="pct"/>
            <w:tcBorders>
              <w:top w:val="nil"/>
              <w:left w:val="nil"/>
              <w:bottom w:val="nil"/>
              <w:right w:val="nil"/>
            </w:tcBorders>
            <w:shd w:val="clear" w:color="auto" w:fill="auto"/>
            <w:vAlign w:val="bottom"/>
          </w:tcPr>
          <w:p w14:paraId="293F205B" w14:textId="418B7BFD" w:rsidR="001A327E" w:rsidRPr="00872D7E" w:rsidRDefault="001A327E" w:rsidP="001A327E">
            <w:pPr>
              <w:jc w:val="right"/>
              <w:rPr>
                <w:sz w:val="16"/>
                <w:szCs w:val="16"/>
              </w:rPr>
            </w:pPr>
            <w:r w:rsidRPr="00872D7E">
              <w:rPr>
                <w:color w:val="000000"/>
                <w:sz w:val="16"/>
                <w:szCs w:val="16"/>
              </w:rPr>
              <w:t>-</w:t>
            </w:r>
          </w:p>
        </w:tc>
      </w:tr>
      <w:tr w:rsidR="001A327E" w:rsidRPr="00872D7E" w14:paraId="333BC737" w14:textId="77777777" w:rsidTr="001A327E">
        <w:trPr>
          <w:trHeight w:val="133"/>
        </w:trPr>
        <w:tc>
          <w:tcPr>
            <w:tcW w:w="98" w:type="pct"/>
            <w:shd w:val="clear" w:color="auto" w:fill="auto"/>
            <w:vAlign w:val="bottom"/>
          </w:tcPr>
          <w:p w14:paraId="3C38F9D4" w14:textId="77777777" w:rsidR="001A327E" w:rsidRPr="00872D7E" w:rsidRDefault="001A327E" w:rsidP="001A327E">
            <w:pPr>
              <w:autoSpaceDE w:val="0"/>
              <w:autoSpaceDN w:val="0"/>
              <w:adjustRightInd w:val="0"/>
              <w:ind w:left="180" w:hanging="180"/>
              <w:rPr>
                <w:rFonts w:eastAsia="Arial Unicode MS"/>
                <w:sz w:val="15"/>
                <w:szCs w:val="15"/>
              </w:rPr>
            </w:pPr>
            <w:r w:rsidRPr="00872D7E">
              <w:rPr>
                <w:rFonts w:eastAsia="Arial Unicode MS"/>
                <w:sz w:val="15"/>
                <w:szCs w:val="15"/>
              </w:rPr>
              <w:t>4.7</w:t>
            </w:r>
          </w:p>
        </w:tc>
        <w:tc>
          <w:tcPr>
            <w:tcW w:w="528" w:type="pct"/>
            <w:shd w:val="clear" w:color="auto" w:fill="auto"/>
            <w:vAlign w:val="bottom"/>
          </w:tcPr>
          <w:p w14:paraId="70D4FC79" w14:textId="77777777" w:rsidR="001A327E" w:rsidRPr="00872D7E" w:rsidRDefault="001A327E" w:rsidP="001A327E">
            <w:pPr>
              <w:rPr>
                <w:color w:val="000000"/>
                <w:sz w:val="15"/>
                <w:szCs w:val="15"/>
              </w:rPr>
            </w:pPr>
            <w:r w:rsidRPr="00872D7E">
              <w:rPr>
                <w:color w:val="000000"/>
                <w:sz w:val="15"/>
                <w:szCs w:val="15"/>
              </w:rPr>
              <w:t xml:space="preserve">   Eğitim Hizmetleri</w:t>
            </w:r>
          </w:p>
        </w:tc>
        <w:tc>
          <w:tcPr>
            <w:tcW w:w="240" w:type="pct"/>
            <w:tcBorders>
              <w:top w:val="nil"/>
              <w:left w:val="nil"/>
              <w:bottom w:val="nil"/>
              <w:right w:val="nil"/>
            </w:tcBorders>
            <w:shd w:val="clear" w:color="auto" w:fill="auto"/>
            <w:vAlign w:val="bottom"/>
          </w:tcPr>
          <w:p w14:paraId="35E6B295" w14:textId="1F207E84"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6E5DC515" w14:textId="3CA24D1E"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1E5EB75C" w14:textId="39755675"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32ACFA4C" w14:textId="6582A92F"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310B0017" w14:textId="60A15261"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0E0F3AF7" w14:textId="27E23911"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7955C994" w14:textId="2CB4153F"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6B232747" w14:textId="139FE416"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3EA6BA04" w14:textId="77FDDD6E" w:rsidR="001A327E" w:rsidRPr="00872D7E" w:rsidRDefault="001A327E" w:rsidP="001A327E">
            <w:pPr>
              <w:jc w:val="right"/>
              <w:rPr>
                <w:sz w:val="16"/>
                <w:szCs w:val="16"/>
              </w:rPr>
            </w:pPr>
            <w:r w:rsidRPr="00872D7E">
              <w:rPr>
                <w:color w:val="000000"/>
                <w:sz w:val="16"/>
                <w:szCs w:val="16"/>
              </w:rPr>
              <w:t>-</w:t>
            </w:r>
          </w:p>
        </w:tc>
        <w:tc>
          <w:tcPr>
            <w:tcW w:w="142" w:type="pct"/>
            <w:tcBorders>
              <w:top w:val="nil"/>
              <w:left w:val="nil"/>
              <w:bottom w:val="nil"/>
              <w:right w:val="nil"/>
            </w:tcBorders>
            <w:shd w:val="clear" w:color="auto" w:fill="auto"/>
            <w:vAlign w:val="bottom"/>
          </w:tcPr>
          <w:p w14:paraId="1D3B0299" w14:textId="6124C310"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7BDF6492" w14:textId="5A5C31A0"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44222FB2" w14:textId="1DE8A7C9"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5B87D704" w14:textId="017989A3"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8295AC5" w14:textId="2EA1EDDC"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3E97B04C" w14:textId="152EDAE1"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00BA369" w14:textId="418FB36E"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73AA61C9" w14:textId="40E3624F"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6E8CA6D6" w14:textId="6E3F3CAD" w:rsidR="001A327E" w:rsidRPr="00872D7E" w:rsidRDefault="001A327E" w:rsidP="001A327E">
            <w:pPr>
              <w:jc w:val="right"/>
              <w:rPr>
                <w:sz w:val="16"/>
                <w:szCs w:val="16"/>
              </w:rPr>
            </w:pPr>
            <w:r w:rsidRPr="00872D7E">
              <w:rPr>
                <w:color w:val="000000"/>
                <w:sz w:val="16"/>
                <w:szCs w:val="16"/>
              </w:rPr>
              <w:t>-</w:t>
            </w:r>
          </w:p>
        </w:tc>
        <w:tc>
          <w:tcPr>
            <w:tcW w:w="272" w:type="pct"/>
            <w:tcBorders>
              <w:top w:val="nil"/>
              <w:left w:val="nil"/>
              <w:bottom w:val="nil"/>
              <w:right w:val="nil"/>
            </w:tcBorders>
            <w:shd w:val="clear" w:color="auto" w:fill="auto"/>
            <w:vAlign w:val="bottom"/>
          </w:tcPr>
          <w:p w14:paraId="24E96484" w14:textId="0B0799BC" w:rsidR="001A327E" w:rsidRPr="00872D7E" w:rsidRDefault="001A327E" w:rsidP="001A327E">
            <w:pPr>
              <w:jc w:val="right"/>
              <w:rPr>
                <w:sz w:val="16"/>
                <w:szCs w:val="16"/>
              </w:rPr>
            </w:pPr>
            <w:r w:rsidRPr="00872D7E">
              <w:rPr>
                <w:color w:val="000000"/>
                <w:sz w:val="16"/>
                <w:szCs w:val="16"/>
              </w:rPr>
              <w:t>-</w:t>
            </w:r>
          </w:p>
        </w:tc>
        <w:tc>
          <w:tcPr>
            <w:tcW w:w="273" w:type="pct"/>
            <w:tcBorders>
              <w:top w:val="nil"/>
              <w:left w:val="nil"/>
              <w:bottom w:val="nil"/>
              <w:right w:val="nil"/>
            </w:tcBorders>
            <w:shd w:val="clear" w:color="auto" w:fill="auto"/>
            <w:vAlign w:val="bottom"/>
          </w:tcPr>
          <w:p w14:paraId="28C1F0B3" w14:textId="3DA16F87" w:rsidR="001A327E" w:rsidRPr="00872D7E" w:rsidRDefault="001A327E" w:rsidP="001A327E">
            <w:pPr>
              <w:jc w:val="right"/>
              <w:rPr>
                <w:sz w:val="16"/>
                <w:szCs w:val="16"/>
              </w:rPr>
            </w:pPr>
            <w:r w:rsidRPr="00872D7E">
              <w:rPr>
                <w:color w:val="000000"/>
                <w:sz w:val="16"/>
                <w:szCs w:val="16"/>
              </w:rPr>
              <w:t>-</w:t>
            </w:r>
          </w:p>
        </w:tc>
      </w:tr>
      <w:tr w:rsidR="001A327E" w:rsidRPr="00872D7E" w14:paraId="12263161" w14:textId="77777777" w:rsidTr="001A327E">
        <w:trPr>
          <w:trHeight w:val="133"/>
        </w:trPr>
        <w:tc>
          <w:tcPr>
            <w:tcW w:w="98" w:type="pct"/>
            <w:shd w:val="clear" w:color="auto" w:fill="auto"/>
            <w:vAlign w:val="bottom"/>
          </w:tcPr>
          <w:p w14:paraId="175647B3" w14:textId="77777777" w:rsidR="001A327E" w:rsidRPr="00872D7E" w:rsidRDefault="001A327E" w:rsidP="001A327E">
            <w:pPr>
              <w:autoSpaceDE w:val="0"/>
              <w:autoSpaceDN w:val="0"/>
              <w:adjustRightInd w:val="0"/>
              <w:ind w:left="112" w:hanging="112"/>
              <w:rPr>
                <w:rFonts w:eastAsia="Arial Unicode MS"/>
                <w:sz w:val="15"/>
                <w:szCs w:val="15"/>
              </w:rPr>
            </w:pPr>
            <w:r w:rsidRPr="00872D7E">
              <w:rPr>
                <w:rFonts w:eastAsia="Arial Unicode MS"/>
                <w:sz w:val="15"/>
                <w:szCs w:val="15"/>
              </w:rPr>
              <w:t>4.8</w:t>
            </w:r>
          </w:p>
        </w:tc>
        <w:tc>
          <w:tcPr>
            <w:tcW w:w="528" w:type="pct"/>
            <w:shd w:val="clear" w:color="auto" w:fill="auto"/>
            <w:vAlign w:val="bottom"/>
          </w:tcPr>
          <w:p w14:paraId="640952C6" w14:textId="77777777" w:rsidR="001A327E" w:rsidRPr="00872D7E" w:rsidRDefault="001A327E" w:rsidP="001A327E">
            <w:pPr>
              <w:rPr>
                <w:color w:val="000000"/>
                <w:sz w:val="15"/>
                <w:szCs w:val="15"/>
              </w:rPr>
            </w:pPr>
            <w:r w:rsidRPr="00872D7E">
              <w:rPr>
                <w:color w:val="000000"/>
                <w:sz w:val="15"/>
                <w:szCs w:val="15"/>
              </w:rPr>
              <w:t xml:space="preserve">   Sağlık ve Sosyal Hizmetler</w:t>
            </w:r>
          </w:p>
        </w:tc>
        <w:tc>
          <w:tcPr>
            <w:tcW w:w="240" w:type="pct"/>
            <w:tcBorders>
              <w:top w:val="nil"/>
              <w:left w:val="nil"/>
              <w:bottom w:val="nil"/>
              <w:right w:val="nil"/>
            </w:tcBorders>
            <w:shd w:val="clear" w:color="auto" w:fill="auto"/>
            <w:vAlign w:val="bottom"/>
          </w:tcPr>
          <w:p w14:paraId="54B97156" w14:textId="75406AA7" w:rsidR="001A327E" w:rsidRPr="00872D7E" w:rsidRDefault="001A327E" w:rsidP="001A327E">
            <w:pPr>
              <w:jc w:val="right"/>
              <w:rPr>
                <w:sz w:val="16"/>
                <w:szCs w:val="16"/>
              </w:rPr>
            </w:pPr>
            <w:r w:rsidRPr="00872D7E">
              <w:rPr>
                <w:color w:val="000000"/>
                <w:sz w:val="16"/>
                <w:szCs w:val="16"/>
              </w:rPr>
              <w:t>-</w:t>
            </w:r>
          </w:p>
        </w:tc>
        <w:tc>
          <w:tcPr>
            <w:tcW w:w="156" w:type="pct"/>
            <w:tcBorders>
              <w:top w:val="nil"/>
              <w:left w:val="nil"/>
              <w:bottom w:val="nil"/>
              <w:right w:val="nil"/>
            </w:tcBorders>
            <w:shd w:val="clear" w:color="auto" w:fill="auto"/>
            <w:vAlign w:val="bottom"/>
          </w:tcPr>
          <w:p w14:paraId="693DD04C" w14:textId="434875FD" w:rsidR="001A327E" w:rsidRPr="00872D7E" w:rsidRDefault="001A327E" w:rsidP="001A327E">
            <w:pPr>
              <w:jc w:val="right"/>
              <w:rPr>
                <w:sz w:val="16"/>
                <w:szCs w:val="16"/>
              </w:rPr>
            </w:pPr>
            <w:r w:rsidRPr="00872D7E">
              <w:rPr>
                <w:color w:val="000000"/>
                <w:sz w:val="16"/>
                <w:szCs w:val="16"/>
              </w:rPr>
              <w:t>-</w:t>
            </w:r>
          </w:p>
        </w:tc>
        <w:tc>
          <w:tcPr>
            <w:tcW w:w="173" w:type="pct"/>
            <w:tcBorders>
              <w:top w:val="nil"/>
              <w:left w:val="nil"/>
              <w:bottom w:val="nil"/>
              <w:right w:val="nil"/>
            </w:tcBorders>
            <w:shd w:val="clear" w:color="auto" w:fill="auto"/>
            <w:vAlign w:val="bottom"/>
          </w:tcPr>
          <w:p w14:paraId="036CEE92" w14:textId="4DE34559" w:rsidR="001A327E" w:rsidRPr="00872D7E" w:rsidRDefault="001A327E" w:rsidP="001A327E">
            <w:pPr>
              <w:jc w:val="right"/>
              <w:rPr>
                <w:sz w:val="16"/>
                <w:szCs w:val="16"/>
              </w:rPr>
            </w:pPr>
            <w:r w:rsidRPr="00872D7E">
              <w:rPr>
                <w:color w:val="000000"/>
                <w:sz w:val="16"/>
                <w:szCs w:val="16"/>
              </w:rPr>
              <w:t>-</w:t>
            </w:r>
          </w:p>
        </w:tc>
        <w:tc>
          <w:tcPr>
            <w:tcW w:w="100" w:type="pct"/>
            <w:tcBorders>
              <w:top w:val="nil"/>
              <w:left w:val="nil"/>
              <w:bottom w:val="nil"/>
              <w:right w:val="nil"/>
            </w:tcBorders>
            <w:shd w:val="clear" w:color="auto" w:fill="auto"/>
            <w:vAlign w:val="bottom"/>
          </w:tcPr>
          <w:p w14:paraId="05090D4B" w14:textId="22E84A64" w:rsidR="001A327E" w:rsidRPr="00872D7E" w:rsidRDefault="001A327E" w:rsidP="001A327E">
            <w:pPr>
              <w:jc w:val="right"/>
              <w:rPr>
                <w:sz w:val="16"/>
                <w:szCs w:val="16"/>
              </w:rPr>
            </w:pPr>
            <w:r w:rsidRPr="00872D7E">
              <w:rPr>
                <w:color w:val="000000"/>
                <w:sz w:val="16"/>
                <w:szCs w:val="16"/>
              </w:rPr>
              <w:t>-</w:t>
            </w:r>
          </w:p>
        </w:tc>
        <w:tc>
          <w:tcPr>
            <w:tcW w:w="224" w:type="pct"/>
            <w:tcBorders>
              <w:top w:val="nil"/>
              <w:left w:val="nil"/>
              <w:bottom w:val="nil"/>
              <w:right w:val="nil"/>
            </w:tcBorders>
            <w:shd w:val="clear" w:color="auto" w:fill="auto"/>
            <w:vAlign w:val="bottom"/>
          </w:tcPr>
          <w:p w14:paraId="474F96D7" w14:textId="447A96C0" w:rsidR="001A327E" w:rsidRPr="00872D7E" w:rsidRDefault="001A327E" w:rsidP="001A327E">
            <w:pPr>
              <w:jc w:val="right"/>
              <w:rPr>
                <w:sz w:val="16"/>
                <w:szCs w:val="16"/>
              </w:rPr>
            </w:pPr>
            <w:r w:rsidRPr="00872D7E">
              <w:rPr>
                <w:color w:val="000000"/>
                <w:sz w:val="16"/>
                <w:szCs w:val="16"/>
              </w:rPr>
              <w:t>-</w:t>
            </w:r>
          </w:p>
        </w:tc>
        <w:tc>
          <w:tcPr>
            <w:tcW w:w="240" w:type="pct"/>
            <w:tcBorders>
              <w:top w:val="nil"/>
              <w:left w:val="nil"/>
              <w:bottom w:val="nil"/>
              <w:right w:val="nil"/>
            </w:tcBorders>
            <w:shd w:val="clear" w:color="auto" w:fill="auto"/>
            <w:vAlign w:val="bottom"/>
          </w:tcPr>
          <w:p w14:paraId="535A9078" w14:textId="2DF614F9"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546527AE" w14:textId="548F6A66" w:rsidR="001A327E" w:rsidRPr="00872D7E" w:rsidRDefault="001A327E" w:rsidP="001A327E">
            <w:pPr>
              <w:jc w:val="right"/>
              <w:rPr>
                <w:sz w:val="16"/>
                <w:szCs w:val="16"/>
              </w:rPr>
            </w:pPr>
            <w:r w:rsidRPr="00872D7E">
              <w:rPr>
                <w:color w:val="000000"/>
                <w:sz w:val="16"/>
                <w:szCs w:val="16"/>
              </w:rPr>
              <w:t>104.604</w:t>
            </w:r>
          </w:p>
        </w:tc>
        <w:tc>
          <w:tcPr>
            <w:tcW w:w="220" w:type="pct"/>
            <w:tcBorders>
              <w:top w:val="nil"/>
              <w:left w:val="nil"/>
              <w:bottom w:val="nil"/>
              <w:right w:val="nil"/>
            </w:tcBorders>
            <w:shd w:val="clear" w:color="auto" w:fill="auto"/>
            <w:vAlign w:val="bottom"/>
          </w:tcPr>
          <w:p w14:paraId="47B0211E" w14:textId="1CF1B202" w:rsidR="001A327E" w:rsidRPr="00872D7E" w:rsidRDefault="001A327E" w:rsidP="001A327E">
            <w:pPr>
              <w:jc w:val="right"/>
              <w:rPr>
                <w:sz w:val="16"/>
                <w:szCs w:val="16"/>
              </w:rPr>
            </w:pPr>
            <w:r w:rsidRPr="00872D7E">
              <w:rPr>
                <w:color w:val="000000"/>
                <w:sz w:val="16"/>
                <w:szCs w:val="16"/>
              </w:rPr>
              <w:t>-</w:t>
            </w:r>
          </w:p>
        </w:tc>
        <w:tc>
          <w:tcPr>
            <w:tcW w:w="201" w:type="pct"/>
            <w:tcBorders>
              <w:top w:val="nil"/>
              <w:left w:val="nil"/>
              <w:bottom w:val="nil"/>
              <w:right w:val="nil"/>
            </w:tcBorders>
            <w:shd w:val="clear" w:color="auto" w:fill="auto"/>
            <w:vAlign w:val="bottom"/>
          </w:tcPr>
          <w:p w14:paraId="4AF34CBF" w14:textId="7F46C03A" w:rsidR="001A327E" w:rsidRPr="00872D7E" w:rsidRDefault="001A327E" w:rsidP="001A327E">
            <w:pPr>
              <w:jc w:val="right"/>
              <w:rPr>
                <w:sz w:val="16"/>
                <w:szCs w:val="16"/>
              </w:rPr>
            </w:pPr>
            <w:r w:rsidRPr="00872D7E">
              <w:rPr>
                <w:color w:val="000000"/>
                <w:sz w:val="16"/>
                <w:szCs w:val="16"/>
              </w:rPr>
              <w:t>-</w:t>
            </w:r>
          </w:p>
        </w:tc>
        <w:tc>
          <w:tcPr>
            <w:tcW w:w="142" w:type="pct"/>
            <w:tcBorders>
              <w:top w:val="nil"/>
              <w:left w:val="nil"/>
              <w:bottom w:val="nil"/>
              <w:right w:val="nil"/>
            </w:tcBorders>
            <w:shd w:val="clear" w:color="auto" w:fill="auto"/>
            <w:vAlign w:val="bottom"/>
          </w:tcPr>
          <w:p w14:paraId="72D414D9" w14:textId="5849788A" w:rsidR="001A327E" w:rsidRPr="00872D7E" w:rsidRDefault="001A327E" w:rsidP="001A327E">
            <w:pPr>
              <w:jc w:val="right"/>
              <w:rPr>
                <w:sz w:val="16"/>
                <w:szCs w:val="16"/>
              </w:rPr>
            </w:pPr>
            <w:r w:rsidRPr="00872D7E">
              <w:rPr>
                <w:color w:val="000000"/>
                <w:sz w:val="16"/>
                <w:szCs w:val="16"/>
              </w:rPr>
              <w:t>-</w:t>
            </w:r>
          </w:p>
        </w:tc>
        <w:tc>
          <w:tcPr>
            <w:tcW w:w="220" w:type="pct"/>
            <w:tcBorders>
              <w:top w:val="nil"/>
              <w:left w:val="nil"/>
              <w:bottom w:val="nil"/>
              <w:right w:val="nil"/>
            </w:tcBorders>
            <w:shd w:val="clear" w:color="auto" w:fill="auto"/>
            <w:vAlign w:val="bottom"/>
          </w:tcPr>
          <w:p w14:paraId="4D30C463" w14:textId="15A22F8F" w:rsidR="001A327E" w:rsidRPr="00872D7E" w:rsidRDefault="001A327E" w:rsidP="001A327E">
            <w:pPr>
              <w:jc w:val="right"/>
              <w:rPr>
                <w:sz w:val="16"/>
                <w:szCs w:val="16"/>
              </w:rPr>
            </w:pPr>
            <w:r w:rsidRPr="00872D7E">
              <w:rPr>
                <w:color w:val="000000"/>
                <w:sz w:val="16"/>
                <w:szCs w:val="16"/>
              </w:rPr>
              <w:t>-</w:t>
            </w:r>
          </w:p>
        </w:tc>
        <w:tc>
          <w:tcPr>
            <w:tcW w:w="159" w:type="pct"/>
            <w:tcBorders>
              <w:top w:val="nil"/>
              <w:left w:val="nil"/>
              <w:bottom w:val="nil"/>
              <w:right w:val="nil"/>
            </w:tcBorders>
            <w:shd w:val="clear" w:color="auto" w:fill="auto"/>
            <w:vAlign w:val="bottom"/>
          </w:tcPr>
          <w:p w14:paraId="62EAF808" w14:textId="0A074A3C"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7F279CA3" w14:textId="54B785A2"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9033A47" w14:textId="1F8E8DA4"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00144EA8" w14:textId="3ADC94BC"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6AFCACF7" w14:textId="3B42C710" w:rsidR="001A327E" w:rsidRPr="00872D7E" w:rsidRDefault="001A327E" w:rsidP="001A327E">
            <w:pPr>
              <w:jc w:val="right"/>
              <w:rPr>
                <w:sz w:val="16"/>
                <w:szCs w:val="16"/>
              </w:rPr>
            </w:pPr>
            <w:r w:rsidRPr="00872D7E">
              <w:rPr>
                <w:color w:val="000000"/>
                <w:sz w:val="16"/>
                <w:szCs w:val="16"/>
              </w:rPr>
              <w:t>-</w:t>
            </w:r>
          </w:p>
        </w:tc>
        <w:tc>
          <w:tcPr>
            <w:tcW w:w="244" w:type="pct"/>
            <w:tcBorders>
              <w:top w:val="nil"/>
              <w:left w:val="nil"/>
              <w:bottom w:val="nil"/>
              <w:right w:val="nil"/>
            </w:tcBorders>
            <w:vAlign w:val="bottom"/>
          </w:tcPr>
          <w:p w14:paraId="56BD4AE8" w14:textId="0BDB97B1" w:rsidR="001A327E" w:rsidRPr="00872D7E" w:rsidRDefault="001A327E" w:rsidP="001A327E">
            <w:pPr>
              <w:jc w:val="right"/>
              <w:rPr>
                <w:sz w:val="16"/>
                <w:szCs w:val="16"/>
              </w:rPr>
            </w:pPr>
            <w:r w:rsidRPr="00872D7E">
              <w:rPr>
                <w:color w:val="000000"/>
                <w:sz w:val="16"/>
                <w:szCs w:val="16"/>
              </w:rPr>
              <w:t>-</w:t>
            </w:r>
          </w:p>
        </w:tc>
        <w:tc>
          <w:tcPr>
            <w:tcW w:w="268" w:type="pct"/>
            <w:tcBorders>
              <w:top w:val="nil"/>
              <w:left w:val="nil"/>
              <w:bottom w:val="nil"/>
              <w:right w:val="nil"/>
            </w:tcBorders>
            <w:shd w:val="clear" w:color="auto" w:fill="auto"/>
            <w:vAlign w:val="bottom"/>
          </w:tcPr>
          <w:p w14:paraId="6B3A4496" w14:textId="025723D7" w:rsidR="001A327E" w:rsidRPr="00872D7E" w:rsidRDefault="001A327E" w:rsidP="001A327E">
            <w:pPr>
              <w:jc w:val="right"/>
              <w:rPr>
                <w:sz w:val="16"/>
                <w:szCs w:val="16"/>
              </w:rPr>
            </w:pPr>
            <w:r w:rsidRPr="00872D7E">
              <w:rPr>
                <w:color w:val="000000"/>
                <w:sz w:val="16"/>
                <w:szCs w:val="16"/>
              </w:rPr>
              <w:t>104.604</w:t>
            </w:r>
          </w:p>
        </w:tc>
        <w:tc>
          <w:tcPr>
            <w:tcW w:w="272" w:type="pct"/>
            <w:tcBorders>
              <w:top w:val="nil"/>
              <w:left w:val="nil"/>
              <w:bottom w:val="nil"/>
              <w:right w:val="nil"/>
            </w:tcBorders>
            <w:shd w:val="clear" w:color="auto" w:fill="auto"/>
            <w:vAlign w:val="bottom"/>
          </w:tcPr>
          <w:p w14:paraId="35662E19" w14:textId="6406ADF8" w:rsidR="001A327E" w:rsidRPr="00872D7E" w:rsidRDefault="001A327E" w:rsidP="001A327E">
            <w:pPr>
              <w:jc w:val="right"/>
              <w:rPr>
                <w:sz w:val="16"/>
                <w:szCs w:val="16"/>
              </w:rPr>
            </w:pPr>
            <w:r w:rsidRPr="00872D7E">
              <w:rPr>
                <w:color w:val="000000"/>
                <w:sz w:val="16"/>
                <w:szCs w:val="16"/>
              </w:rPr>
              <w:t>-</w:t>
            </w:r>
          </w:p>
        </w:tc>
        <w:tc>
          <w:tcPr>
            <w:tcW w:w="273" w:type="pct"/>
            <w:tcBorders>
              <w:top w:val="nil"/>
              <w:left w:val="nil"/>
              <w:bottom w:val="nil"/>
              <w:right w:val="nil"/>
            </w:tcBorders>
            <w:shd w:val="clear" w:color="auto" w:fill="auto"/>
            <w:vAlign w:val="bottom"/>
          </w:tcPr>
          <w:p w14:paraId="2C033572" w14:textId="6F4CEC25" w:rsidR="001A327E" w:rsidRPr="00872D7E" w:rsidRDefault="001A327E" w:rsidP="001A327E">
            <w:pPr>
              <w:jc w:val="right"/>
              <w:rPr>
                <w:sz w:val="16"/>
                <w:szCs w:val="16"/>
              </w:rPr>
            </w:pPr>
            <w:r w:rsidRPr="00872D7E">
              <w:rPr>
                <w:color w:val="000000"/>
                <w:sz w:val="16"/>
                <w:szCs w:val="16"/>
              </w:rPr>
              <w:t>104.604</w:t>
            </w:r>
          </w:p>
        </w:tc>
      </w:tr>
      <w:tr w:rsidR="001A327E" w:rsidRPr="00872D7E" w14:paraId="41C482F4" w14:textId="77777777" w:rsidTr="00987E11">
        <w:trPr>
          <w:trHeight w:val="131"/>
        </w:trPr>
        <w:tc>
          <w:tcPr>
            <w:tcW w:w="98" w:type="pct"/>
            <w:tcBorders>
              <w:bottom w:val="single" w:sz="4" w:space="0" w:color="auto"/>
            </w:tcBorders>
            <w:shd w:val="clear" w:color="auto" w:fill="auto"/>
            <w:vAlign w:val="bottom"/>
          </w:tcPr>
          <w:p w14:paraId="5E411D58" w14:textId="77777777" w:rsidR="001A327E" w:rsidRPr="00872D7E" w:rsidRDefault="001A327E" w:rsidP="001A327E">
            <w:pPr>
              <w:autoSpaceDE w:val="0"/>
              <w:autoSpaceDN w:val="0"/>
              <w:adjustRightInd w:val="0"/>
              <w:rPr>
                <w:rFonts w:eastAsia="Arial Unicode MS"/>
                <w:b/>
                <w:sz w:val="15"/>
                <w:szCs w:val="15"/>
              </w:rPr>
            </w:pPr>
            <w:r w:rsidRPr="00872D7E">
              <w:rPr>
                <w:rFonts w:eastAsia="Arial Unicode MS"/>
                <w:b/>
                <w:sz w:val="15"/>
                <w:szCs w:val="15"/>
              </w:rPr>
              <w:t>5</w:t>
            </w:r>
          </w:p>
        </w:tc>
        <w:tc>
          <w:tcPr>
            <w:tcW w:w="528" w:type="pct"/>
            <w:tcBorders>
              <w:bottom w:val="single" w:sz="4" w:space="0" w:color="auto"/>
            </w:tcBorders>
            <w:shd w:val="clear" w:color="auto" w:fill="auto"/>
            <w:vAlign w:val="bottom"/>
          </w:tcPr>
          <w:p w14:paraId="030FA146" w14:textId="77777777" w:rsidR="001A327E" w:rsidRPr="00872D7E" w:rsidRDefault="001A327E" w:rsidP="001A327E">
            <w:pPr>
              <w:rPr>
                <w:b/>
                <w:bCs/>
                <w:color w:val="000000"/>
                <w:sz w:val="15"/>
                <w:szCs w:val="15"/>
              </w:rPr>
            </w:pPr>
            <w:r w:rsidRPr="00872D7E">
              <w:rPr>
                <w:b/>
                <w:bCs/>
                <w:color w:val="000000"/>
                <w:sz w:val="15"/>
                <w:szCs w:val="15"/>
              </w:rPr>
              <w:t>Diğer</w:t>
            </w:r>
          </w:p>
        </w:tc>
        <w:tc>
          <w:tcPr>
            <w:tcW w:w="240" w:type="pct"/>
            <w:tcBorders>
              <w:top w:val="nil"/>
              <w:left w:val="nil"/>
              <w:bottom w:val="single" w:sz="4" w:space="0" w:color="auto"/>
              <w:right w:val="nil"/>
            </w:tcBorders>
            <w:shd w:val="clear" w:color="auto" w:fill="auto"/>
            <w:vAlign w:val="bottom"/>
          </w:tcPr>
          <w:p w14:paraId="09AAA7EA" w14:textId="750C2B3E" w:rsidR="001A327E" w:rsidRPr="00872D7E" w:rsidRDefault="001A327E" w:rsidP="001A327E">
            <w:pPr>
              <w:jc w:val="right"/>
              <w:rPr>
                <w:b/>
                <w:sz w:val="16"/>
                <w:szCs w:val="16"/>
              </w:rPr>
            </w:pPr>
            <w:r w:rsidRPr="00872D7E">
              <w:rPr>
                <w:b/>
                <w:bCs/>
                <w:color w:val="000000"/>
                <w:sz w:val="16"/>
                <w:szCs w:val="16"/>
              </w:rPr>
              <w:t>-</w:t>
            </w:r>
          </w:p>
        </w:tc>
        <w:tc>
          <w:tcPr>
            <w:tcW w:w="156" w:type="pct"/>
            <w:tcBorders>
              <w:top w:val="nil"/>
              <w:left w:val="nil"/>
              <w:bottom w:val="single" w:sz="4" w:space="0" w:color="auto"/>
              <w:right w:val="nil"/>
            </w:tcBorders>
            <w:shd w:val="clear" w:color="auto" w:fill="auto"/>
            <w:vAlign w:val="bottom"/>
          </w:tcPr>
          <w:p w14:paraId="72F8794C" w14:textId="6EE3E7A0" w:rsidR="001A327E" w:rsidRPr="00872D7E" w:rsidRDefault="001A327E" w:rsidP="001A327E">
            <w:pPr>
              <w:jc w:val="right"/>
              <w:rPr>
                <w:b/>
                <w:sz w:val="16"/>
                <w:szCs w:val="16"/>
              </w:rPr>
            </w:pPr>
            <w:r w:rsidRPr="00872D7E">
              <w:rPr>
                <w:b/>
                <w:bCs/>
                <w:color w:val="000000"/>
                <w:sz w:val="16"/>
                <w:szCs w:val="16"/>
              </w:rPr>
              <w:t>-</w:t>
            </w:r>
          </w:p>
        </w:tc>
        <w:tc>
          <w:tcPr>
            <w:tcW w:w="173" w:type="pct"/>
            <w:tcBorders>
              <w:top w:val="nil"/>
              <w:left w:val="nil"/>
              <w:bottom w:val="single" w:sz="4" w:space="0" w:color="auto"/>
              <w:right w:val="nil"/>
            </w:tcBorders>
            <w:shd w:val="clear" w:color="auto" w:fill="auto"/>
            <w:vAlign w:val="bottom"/>
          </w:tcPr>
          <w:p w14:paraId="41525FC5" w14:textId="3839D9F0" w:rsidR="001A327E" w:rsidRPr="00872D7E" w:rsidRDefault="001A327E" w:rsidP="001A327E">
            <w:pPr>
              <w:jc w:val="right"/>
              <w:rPr>
                <w:b/>
                <w:sz w:val="16"/>
                <w:szCs w:val="16"/>
              </w:rPr>
            </w:pPr>
            <w:r w:rsidRPr="00872D7E">
              <w:rPr>
                <w:b/>
                <w:bCs/>
                <w:color w:val="000000"/>
                <w:sz w:val="16"/>
                <w:szCs w:val="16"/>
              </w:rPr>
              <w:t>-</w:t>
            </w:r>
          </w:p>
        </w:tc>
        <w:tc>
          <w:tcPr>
            <w:tcW w:w="100" w:type="pct"/>
            <w:tcBorders>
              <w:top w:val="nil"/>
              <w:left w:val="nil"/>
              <w:bottom w:val="single" w:sz="4" w:space="0" w:color="auto"/>
              <w:right w:val="nil"/>
            </w:tcBorders>
            <w:shd w:val="clear" w:color="auto" w:fill="auto"/>
            <w:vAlign w:val="bottom"/>
          </w:tcPr>
          <w:p w14:paraId="1030ED59" w14:textId="1E6AACEC" w:rsidR="001A327E" w:rsidRPr="00872D7E" w:rsidRDefault="001A327E" w:rsidP="001A327E">
            <w:pPr>
              <w:jc w:val="right"/>
              <w:rPr>
                <w:b/>
                <w:sz w:val="16"/>
                <w:szCs w:val="16"/>
              </w:rPr>
            </w:pPr>
            <w:r w:rsidRPr="00872D7E">
              <w:rPr>
                <w:b/>
                <w:bCs/>
                <w:color w:val="000000"/>
                <w:sz w:val="16"/>
                <w:szCs w:val="16"/>
              </w:rPr>
              <w:t>-</w:t>
            </w:r>
          </w:p>
        </w:tc>
        <w:tc>
          <w:tcPr>
            <w:tcW w:w="224" w:type="pct"/>
            <w:tcBorders>
              <w:top w:val="nil"/>
              <w:left w:val="nil"/>
              <w:bottom w:val="single" w:sz="4" w:space="0" w:color="auto"/>
              <w:right w:val="nil"/>
            </w:tcBorders>
            <w:shd w:val="clear" w:color="auto" w:fill="auto"/>
            <w:vAlign w:val="bottom"/>
          </w:tcPr>
          <w:p w14:paraId="400E2E92" w14:textId="7D78A050" w:rsidR="001A327E" w:rsidRPr="00872D7E" w:rsidRDefault="001A327E" w:rsidP="001A327E">
            <w:pPr>
              <w:jc w:val="right"/>
              <w:rPr>
                <w:b/>
                <w:sz w:val="16"/>
                <w:szCs w:val="16"/>
              </w:rPr>
            </w:pPr>
            <w:r w:rsidRPr="00872D7E">
              <w:rPr>
                <w:b/>
                <w:bCs/>
                <w:color w:val="000000"/>
                <w:sz w:val="16"/>
                <w:szCs w:val="16"/>
              </w:rPr>
              <w:t>-</w:t>
            </w:r>
          </w:p>
        </w:tc>
        <w:tc>
          <w:tcPr>
            <w:tcW w:w="240" w:type="pct"/>
            <w:tcBorders>
              <w:top w:val="nil"/>
              <w:left w:val="nil"/>
              <w:bottom w:val="single" w:sz="4" w:space="0" w:color="auto"/>
              <w:right w:val="nil"/>
            </w:tcBorders>
            <w:shd w:val="clear" w:color="auto" w:fill="auto"/>
            <w:vAlign w:val="bottom"/>
          </w:tcPr>
          <w:p w14:paraId="7B1D7C90" w14:textId="17AB2150" w:rsidR="001A327E" w:rsidRPr="00872D7E" w:rsidRDefault="001A327E" w:rsidP="001A327E">
            <w:pPr>
              <w:jc w:val="right"/>
              <w:rPr>
                <w:b/>
                <w:sz w:val="16"/>
                <w:szCs w:val="16"/>
              </w:rPr>
            </w:pPr>
            <w:r w:rsidRPr="00872D7E">
              <w:rPr>
                <w:b/>
                <w:bCs/>
                <w:color w:val="000000"/>
                <w:sz w:val="16"/>
                <w:szCs w:val="16"/>
              </w:rPr>
              <w:t>-</w:t>
            </w:r>
          </w:p>
        </w:tc>
        <w:tc>
          <w:tcPr>
            <w:tcW w:w="268" w:type="pct"/>
            <w:tcBorders>
              <w:top w:val="nil"/>
              <w:left w:val="nil"/>
              <w:bottom w:val="single" w:sz="4" w:space="0" w:color="auto"/>
              <w:right w:val="nil"/>
            </w:tcBorders>
            <w:shd w:val="clear" w:color="auto" w:fill="auto"/>
            <w:vAlign w:val="bottom"/>
          </w:tcPr>
          <w:p w14:paraId="3540A53C" w14:textId="1B29C478" w:rsidR="001A327E" w:rsidRPr="00872D7E" w:rsidRDefault="001A327E" w:rsidP="001A327E">
            <w:pPr>
              <w:jc w:val="right"/>
              <w:rPr>
                <w:b/>
                <w:sz w:val="16"/>
                <w:szCs w:val="16"/>
              </w:rPr>
            </w:pPr>
            <w:r w:rsidRPr="00872D7E">
              <w:rPr>
                <w:b/>
                <w:bCs/>
                <w:color w:val="000000"/>
                <w:sz w:val="16"/>
                <w:szCs w:val="16"/>
              </w:rPr>
              <w:t>1.015.917</w:t>
            </w:r>
          </w:p>
        </w:tc>
        <w:tc>
          <w:tcPr>
            <w:tcW w:w="220" w:type="pct"/>
            <w:tcBorders>
              <w:top w:val="nil"/>
              <w:left w:val="nil"/>
              <w:bottom w:val="single" w:sz="4" w:space="0" w:color="auto"/>
              <w:right w:val="nil"/>
            </w:tcBorders>
            <w:shd w:val="clear" w:color="auto" w:fill="auto"/>
            <w:vAlign w:val="bottom"/>
          </w:tcPr>
          <w:p w14:paraId="0C0FD1A1" w14:textId="2C62F13C" w:rsidR="001A327E" w:rsidRPr="00872D7E" w:rsidRDefault="001A327E" w:rsidP="001A327E">
            <w:pPr>
              <w:jc w:val="right"/>
              <w:rPr>
                <w:b/>
                <w:sz w:val="16"/>
                <w:szCs w:val="16"/>
              </w:rPr>
            </w:pPr>
            <w:r w:rsidRPr="00872D7E">
              <w:rPr>
                <w:b/>
                <w:bCs/>
                <w:color w:val="000000"/>
                <w:sz w:val="16"/>
                <w:szCs w:val="16"/>
              </w:rPr>
              <w:t>-</w:t>
            </w:r>
          </w:p>
        </w:tc>
        <w:tc>
          <w:tcPr>
            <w:tcW w:w="201" w:type="pct"/>
            <w:tcBorders>
              <w:top w:val="nil"/>
              <w:left w:val="nil"/>
              <w:bottom w:val="single" w:sz="4" w:space="0" w:color="auto"/>
              <w:right w:val="nil"/>
            </w:tcBorders>
            <w:shd w:val="clear" w:color="auto" w:fill="auto"/>
            <w:vAlign w:val="bottom"/>
          </w:tcPr>
          <w:p w14:paraId="55E9D75E" w14:textId="6ACD42C4" w:rsidR="001A327E" w:rsidRPr="00872D7E" w:rsidRDefault="001A327E" w:rsidP="001A327E">
            <w:pPr>
              <w:jc w:val="right"/>
              <w:rPr>
                <w:b/>
                <w:sz w:val="16"/>
                <w:szCs w:val="16"/>
              </w:rPr>
            </w:pPr>
            <w:r w:rsidRPr="00872D7E">
              <w:rPr>
                <w:b/>
                <w:bCs/>
                <w:color w:val="000000"/>
                <w:sz w:val="16"/>
                <w:szCs w:val="16"/>
              </w:rPr>
              <w:t>3.016</w:t>
            </w:r>
          </w:p>
        </w:tc>
        <w:tc>
          <w:tcPr>
            <w:tcW w:w="142" w:type="pct"/>
            <w:tcBorders>
              <w:top w:val="nil"/>
              <w:left w:val="nil"/>
              <w:bottom w:val="single" w:sz="4" w:space="0" w:color="auto"/>
              <w:right w:val="nil"/>
            </w:tcBorders>
            <w:shd w:val="clear" w:color="auto" w:fill="auto"/>
            <w:vAlign w:val="bottom"/>
          </w:tcPr>
          <w:p w14:paraId="06F80EBD" w14:textId="5F874D57" w:rsidR="001A327E" w:rsidRPr="00872D7E" w:rsidRDefault="001A327E" w:rsidP="001A327E">
            <w:pPr>
              <w:jc w:val="right"/>
              <w:rPr>
                <w:b/>
                <w:sz w:val="16"/>
                <w:szCs w:val="16"/>
              </w:rPr>
            </w:pPr>
            <w:r w:rsidRPr="00872D7E">
              <w:rPr>
                <w:b/>
                <w:bCs/>
                <w:color w:val="000000"/>
                <w:sz w:val="16"/>
                <w:szCs w:val="16"/>
              </w:rPr>
              <w:t>-</w:t>
            </w:r>
          </w:p>
        </w:tc>
        <w:tc>
          <w:tcPr>
            <w:tcW w:w="220" w:type="pct"/>
            <w:tcBorders>
              <w:top w:val="nil"/>
              <w:left w:val="nil"/>
              <w:bottom w:val="single" w:sz="4" w:space="0" w:color="auto"/>
              <w:right w:val="nil"/>
            </w:tcBorders>
            <w:shd w:val="clear" w:color="auto" w:fill="auto"/>
            <w:vAlign w:val="bottom"/>
          </w:tcPr>
          <w:p w14:paraId="755A171D" w14:textId="64AEF16C" w:rsidR="001A327E" w:rsidRPr="00872D7E" w:rsidRDefault="001A327E" w:rsidP="001A327E">
            <w:pPr>
              <w:jc w:val="right"/>
              <w:rPr>
                <w:b/>
                <w:sz w:val="16"/>
                <w:szCs w:val="16"/>
              </w:rPr>
            </w:pPr>
            <w:r w:rsidRPr="00872D7E">
              <w:rPr>
                <w:b/>
                <w:bCs/>
                <w:color w:val="000000"/>
                <w:sz w:val="16"/>
                <w:szCs w:val="16"/>
              </w:rPr>
              <w:t>-</w:t>
            </w:r>
          </w:p>
        </w:tc>
        <w:tc>
          <w:tcPr>
            <w:tcW w:w="159" w:type="pct"/>
            <w:tcBorders>
              <w:top w:val="nil"/>
              <w:left w:val="nil"/>
              <w:bottom w:val="single" w:sz="4" w:space="0" w:color="auto"/>
              <w:right w:val="nil"/>
            </w:tcBorders>
            <w:shd w:val="clear" w:color="auto" w:fill="auto"/>
            <w:vAlign w:val="bottom"/>
          </w:tcPr>
          <w:p w14:paraId="1C35A50E" w14:textId="2670AEE0"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single" w:sz="4" w:space="0" w:color="auto"/>
              <w:right w:val="nil"/>
            </w:tcBorders>
            <w:vAlign w:val="bottom"/>
          </w:tcPr>
          <w:p w14:paraId="7ECFA81D" w14:textId="4BF19DC4"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single" w:sz="4" w:space="0" w:color="auto"/>
              <w:right w:val="nil"/>
            </w:tcBorders>
            <w:vAlign w:val="bottom"/>
          </w:tcPr>
          <w:p w14:paraId="23D0B982" w14:textId="0F3E529B"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single" w:sz="4" w:space="0" w:color="auto"/>
              <w:right w:val="nil"/>
            </w:tcBorders>
            <w:vAlign w:val="bottom"/>
          </w:tcPr>
          <w:p w14:paraId="57F19C28" w14:textId="64F3B516" w:rsidR="001A327E" w:rsidRPr="00872D7E" w:rsidRDefault="001A327E" w:rsidP="001A327E">
            <w:pPr>
              <w:jc w:val="right"/>
              <w:rPr>
                <w:b/>
                <w:sz w:val="16"/>
                <w:szCs w:val="16"/>
              </w:rPr>
            </w:pPr>
            <w:r w:rsidRPr="00872D7E">
              <w:rPr>
                <w:b/>
                <w:bCs/>
                <w:color w:val="000000"/>
                <w:sz w:val="16"/>
                <w:szCs w:val="16"/>
              </w:rPr>
              <w:t>948</w:t>
            </w:r>
          </w:p>
        </w:tc>
        <w:tc>
          <w:tcPr>
            <w:tcW w:w="244" w:type="pct"/>
            <w:tcBorders>
              <w:top w:val="nil"/>
              <w:left w:val="nil"/>
              <w:bottom w:val="single" w:sz="4" w:space="0" w:color="auto"/>
              <w:right w:val="nil"/>
            </w:tcBorders>
            <w:vAlign w:val="bottom"/>
          </w:tcPr>
          <w:p w14:paraId="48048762" w14:textId="7476F058" w:rsidR="001A327E" w:rsidRPr="00872D7E" w:rsidRDefault="001A327E" w:rsidP="001A327E">
            <w:pPr>
              <w:jc w:val="right"/>
              <w:rPr>
                <w:b/>
                <w:sz w:val="16"/>
                <w:szCs w:val="16"/>
              </w:rPr>
            </w:pPr>
            <w:r w:rsidRPr="00872D7E">
              <w:rPr>
                <w:b/>
                <w:bCs/>
                <w:color w:val="000000"/>
                <w:sz w:val="16"/>
                <w:szCs w:val="16"/>
              </w:rPr>
              <w:t>-</w:t>
            </w:r>
          </w:p>
        </w:tc>
        <w:tc>
          <w:tcPr>
            <w:tcW w:w="244" w:type="pct"/>
            <w:tcBorders>
              <w:top w:val="nil"/>
              <w:left w:val="nil"/>
              <w:bottom w:val="single" w:sz="4" w:space="0" w:color="auto"/>
              <w:right w:val="nil"/>
            </w:tcBorders>
            <w:vAlign w:val="bottom"/>
          </w:tcPr>
          <w:p w14:paraId="20ECEA94" w14:textId="11EF5AA1" w:rsidR="001A327E" w:rsidRPr="00872D7E" w:rsidRDefault="001A327E" w:rsidP="001A327E">
            <w:pPr>
              <w:jc w:val="right"/>
              <w:rPr>
                <w:b/>
                <w:sz w:val="16"/>
                <w:szCs w:val="16"/>
              </w:rPr>
            </w:pPr>
            <w:r w:rsidRPr="00872D7E">
              <w:rPr>
                <w:b/>
                <w:bCs/>
                <w:color w:val="000000"/>
                <w:sz w:val="16"/>
                <w:szCs w:val="16"/>
              </w:rPr>
              <w:t>-</w:t>
            </w:r>
          </w:p>
        </w:tc>
        <w:tc>
          <w:tcPr>
            <w:tcW w:w="268" w:type="pct"/>
            <w:tcBorders>
              <w:top w:val="nil"/>
              <w:left w:val="nil"/>
              <w:bottom w:val="single" w:sz="4" w:space="0" w:color="auto"/>
              <w:right w:val="nil"/>
            </w:tcBorders>
            <w:shd w:val="clear" w:color="auto" w:fill="auto"/>
            <w:vAlign w:val="bottom"/>
          </w:tcPr>
          <w:p w14:paraId="5109C4C1" w14:textId="2674934E" w:rsidR="001A327E" w:rsidRPr="00872D7E" w:rsidRDefault="001A327E" w:rsidP="001A327E">
            <w:pPr>
              <w:jc w:val="right"/>
              <w:rPr>
                <w:b/>
                <w:sz w:val="16"/>
                <w:szCs w:val="16"/>
              </w:rPr>
            </w:pPr>
            <w:r w:rsidRPr="00872D7E">
              <w:rPr>
                <w:b/>
                <w:bCs/>
                <w:color w:val="000000"/>
                <w:sz w:val="16"/>
                <w:szCs w:val="16"/>
              </w:rPr>
              <w:t>555.499</w:t>
            </w:r>
          </w:p>
        </w:tc>
        <w:tc>
          <w:tcPr>
            <w:tcW w:w="272" w:type="pct"/>
            <w:tcBorders>
              <w:top w:val="nil"/>
              <w:left w:val="nil"/>
              <w:bottom w:val="single" w:sz="4" w:space="0" w:color="auto"/>
              <w:right w:val="nil"/>
            </w:tcBorders>
            <w:shd w:val="clear" w:color="auto" w:fill="auto"/>
            <w:vAlign w:val="bottom"/>
          </w:tcPr>
          <w:p w14:paraId="7ECE0291" w14:textId="6143CF61" w:rsidR="001A327E" w:rsidRPr="00872D7E" w:rsidRDefault="001A327E" w:rsidP="001A327E">
            <w:pPr>
              <w:jc w:val="right"/>
              <w:rPr>
                <w:b/>
                <w:sz w:val="16"/>
                <w:szCs w:val="16"/>
              </w:rPr>
            </w:pPr>
            <w:r w:rsidRPr="00872D7E">
              <w:rPr>
                <w:b/>
                <w:bCs/>
                <w:color w:val="000000"/>
                <w:sz w:val="16"/>
                <w:szCs w:val="16"/>
              </w:rPr>
              <w:t>464.382</w:t>
            </w:r>
          </w:p>
        </w:tc>
        <w:tc>
          <w:tcPr>
            <w:tcW w:w="273" w:type="pct"/>
            <w:tcBorders>
              <w:top w:val="nil"/>
              <w:left w:val="nil"/>
              <w:bottom w:val="single" w:sz="4" w:space="0" w:color="auto"/>
              <w:right w:val="nil"/>
            </w:tcBorders>
            <w:shd w:val="clear" w:color="auto" w:fill="auto"/>
            <w:vAlign w:val="bottom"/>
          </w:tcPr>
          <w:p w14:paraId="40456871" w14:textId="0177B759" w:rsidR="001A327E" w:rsidRPr="00872D7E" w:rsidRDefault="001A327E" w:rsidP="001A327E">
            <w:pPr>
              <w:jc w:val="right"/>
              <w:rPr>
                <w:b/>
                <w:sz w:val="16"/>
                <w:szCs w:val="16"/>
              </w:rPr>
            </w:pPr>
            <w:r w:rsidRPr="00872D7E">
              <w:rPr>
                <w:b/>
                <w:bCs/>
                <w:color w:val="000000"/>
                <w:sz w:val="16"/>
                <w:szCs w:val="16"/>
              </w:rPr>
              <w:t>1.019.881</w:t>
            </w:r>
          </w:p>
        </w:tc>
      </w:tr>
      <w:tr w:rsidR="001A327E" w:rsidRPr="00872D7E" w14:paraId="03DB4DAE" w14:textId="77777777" w:rsidTr="00987E11">
        <w:trPr>
          <w:trHeight w:val="133"/>
        </w:trPr>
        <w:tc>
          <w:tcPr>
            <w:tcW w:w="98" w:type="pct"/>
            <w:tcBorders>
              <w:top w:val="single" w:sz="4" w:space="0" w:color="auto"/>
              <w:bottom w:val="single" w:sz="12" w:space="0" w:color="auto"/>
            </w:tcBorders>
            <w:shd w:val="clear" w:color="auto" w:fill="auto"/>
            <w:vAlign w:val="bottom"/>
          </w:tcPr>
          <w:p w14:paraId="2AE0A48E" w14:textId="77777777" w:rsidR="001A327E" w:rsidRPr="00872D7E" w:rsidRDefault="001A327E" w:rsidP="001A327E">
            <w:pPr>
              <w:autoSpaceDE w:val="0"/>
              <w:autoSpaceDN w:val="0"/>
              <w:adjustRightInd w:val="0"/>
              <w:ind w:left="180" w:hanging="180"/>
              <w:rPr>
                <w:rFonts w:eastAsia="Arial Unicode MS"/>
                <w:b/>
                <w:sz w:val="15"/>
                <w:szCs w:val="15"/>
              </w:rPr>
            </w:pPr>
          </w:p>
        </w:tc>
        <w:tc>
          <w:tcPr>
            <w:tcW w:w="528" w:type="pct"/>
            <w:tcBorders>
              <w:top w:val="single" w:sz="4" w:space="0" w:color="auto"/>
              <w:bottom w:val="single" w:sz="12" w:space="0" w:color="auto"/>
            </w:tcBorders>
            <w:shd w:val="clear" w:color="auto" w:fill="auto"/>
            <w:vAlign w:val="bottom"/>
          </w:tcPr>
          <w:p w14:paraId="0715B43B" w14:textId="77777777" w:rsidR="001A327E" w:rsidRPr="00872D7E" w:rsidRDefault="001A327E" w:rsidP="001A327E">
            <w:pPr>
              <w:rPr>
                <w:b/>
                <w:bCs/>
                <w:color w:val="000000"/>
                <w:sz w:val="15"/>
                <w:szCs w:val="15"/>
              </w:rPr>
            </w:pPr>
            <w:r w:rsidRPr="00872D7E">
              <w:rPr>
                <w:b/>
                <w:bCs/>
                <w:color w:val="000000"/>
                <w:sz w:val="15"/>
                <w:szCs w:val="15"/>
              </w:rPr>
              <w:t>Toplam</w:t>
            </w:r>
          </w:p>
        </w:tc>
        <w:tc>
          <w:tcPr>
            <w:tcW w:w="240" w:type="pct"/>
            <w:tcBorders>
              <w:top w:val="single" w:sz="4" w:space="0" w:color="auto"/>
              <w:left w:val="nil"/>
              <w:bottom w:val="single" w:sz="12" w:space="0" w:color="auto"/>
              <w:right w:val="nil"/>
            </w:tcBorders>
            <w:shd w:val="clear" w:color="auto" w:fill="auto"/>
            <w:vAlign w:val="bottom"/>
          </w:tcPr>
          <w:p w14:paraId="66AFEA56" w14:textId="68C19584" w:rsidR="001A327E" w:rsidRPr="00872D7E" w:rsidRDefault="001A327E" w:rsidP="001A327E">
            <w:pPr>
              <w:jc w:val="right"/>
              <w:rPr>
                <w:b/>
                <w:sz w:val="16"/>
                <w:szCs w:val="16"/>
              </w:rPr>
            </w:pPr>
            <w:r w:rsidRPr="00872D7E">
              <w:rPr>
                <w:b/>
                <w:bCs/>
                <w:color w:val="000000"/>
                <w:sz w:val="16"/>
                <w:szCs w:val="16"/>
              </w:rPr>
              <w:t>4.830.858</w:t>
            </w:r>
          </w:p>
        </w:tc>
        <w:tc>
          <w:tcPr>
            <w:tcW w:w="156" w:type="pct"/>
            <w:tcBorders>
              <w:top w:val="single" w:sz="4" w:space="0" w:color="auto"/>
              <w:left w:val="nil"/>
              <w:bottom w:val="single" w:sz="12" w:space="0" w:color="auto"/>
              <w:right w:val="nil"/>
            </w:tcBorders>
            <w:shd w:val="clear" w:color="auto" w:fill="auto"/>
            <w:vAlign w:val="bottom"/>
          </w:tcPr>
          <w:p w14:paraId="05BDDA36" w14:textId="6591CE08" w:rsidR="001A327E" w:rsidRPr="00872D7E" w:rsidRDefault="001A327E" w:rsidP="001A327E">
            <w:pPr>
              <w:jc w:val="right"/>
              <w:rPr>
                <w:b/>
                <w:sz w:val="16"/>
                <w:szCs w:val="16"/>
              </w:rPr>
            </w:pPr>
            <w:r w:rsidRPr="00872D7E">
              <w:rPr>
                <w:b/>
                <w:bCs/>
                <w:color w:val="000000"/>
                <w:sz w:val="16"/>
                <w:szCs w:val="16"/>
              </w:rPr>
              <w:t>-</w:t>
            </w:r>
          </w:p>
        </w:tc>
        <w:tc>
          <w:tcPr>
            <w:tcW w:w="173" w:type="pct"/>
            <w:tcBorders>
              <w:top w:val="single" w:sz="4" w:space="0" w:color="auto"/>
              <w:left w:val="nil"/>
              <w:bottom w:val="single" w:sz="12" w:space="0" w:color="auto"/>
              <w:right w:val="nil"/>
            </w:tcBorders>
            <w:shd w:val="clear" w:color="auto" w:fill="auto"/>
            <w:vAlign w:val="bottom"/>
          </w:tcPr>
          <w:p w14:paraId="5F68EB7C" w14:textId="2599EF7C" w:rsidR="001A327E" w:rsidRPr="00872D7E" w:rsidRDefault="001A327E" w:rsidP="001A327E">
            <w:pPr>
              <w:jc w:val="right"/>
              <w:rPr>
                <w:b/>
                <w:sz w:val="16"/>
                <w:szCs w:val="16"/>
              </w:rPr>
            </w:pPr>
            <w:r w:rsidRPr="00872D7E">
              <w:rPr>
                <w:b/>
                <w:bCs/>
                <w:color w:val="000000"/>
                <w:sz w:val="16"/>
                <w:szCs w:val="16"/>
              </w:rPr>
              <w:t>-</w:t>
            </w:r>
          </w:p>
        </w:tc>
        <w:tc>
          <w:tcPr>
            <w:tcW w:w="100" w:type="pct"/>
            <w:tcBorders>
              <w:top w:val="single" w:sz="4" w:space="0" w:color="auto"/>
              <w:left w:val="nil"/>
              <w:bottom w:val="single" w:sz="12" w:space="0" w:color="auto"/>
              <w:right w:val="nil"/>
            </w:tcBorders>
            <w:shd w:val="clear" w:color="auto" w:fill="auto"/>
            <w:vAlign w:val="bottom"/>
          </w:tcPr>
          <w:p w14:paraId="571ED1C8" w14:textId="1D853513" w:rsidR="001A327E" w:rsidRPr="00872D7E" w:rsidRDefault="001A327E" w:rsidP="001A327E">
            <w:pPr>
              <w:jc w:val="right"/>
              <w:rPr>
                <w:b/>
                <w:sz w:val="16"/>
                <w:szCs w:val="16"/>
              </w:rPr>
            </w:pPr>
            <w:r w:rsidRPr="00872D7E">
              <w:rPr>
                <w:b/>
                <w:bCs/>
                <w:color w:val="000000"/>
                <w:sz w:val="16"/>
                <w:szCs w:val="16"/>
              </w:rPr>
              <w:t>-</w:t>
            </w:r>
          </w:p>
        </w:tc>
        <w:tc>
          <w:tcPr>
            <w:tcW w:w="224" w:type="pct"/>
            <w:tcBorders>
              <w:top w:val="single" w:sz="4" w:space="0" w:color="auto"/>
              <w:left w:val="nil"/>
              <w:bottom w:val="single" w:sz="12" w:space="0" w:color="auto"/>
              <w:right w:val="nil"/>
            </w:tcBorders>
            <w:shd w:val="clear" w:color="auto" w:fill="auto"/>
            <w:vAlign w:val="bottom"/>
          </w:tcPr>
          <w:p w14:paraId="5462C869" w14:textId="1A51E941" w:rsidR="001A327E" w:rsidRPr="00872D7E" w:rsidRDefault="001A327E" w:rsidP="001A327E">
            <w:pPr>
              <w:jc w:val="right"/>
              <w:rPr>
                <w:b/>
                <w:sz w:val="16"/>
                <w:szCs w:val="16"/>
              </w:rPr>
            </w:pPr>
            <w:r w:rsidRPr="00872D7E">
              <w:rPr>
                <w:b/>
                <w:bCs/>
                <w:color w:val="000000"/>
                <w:sz w:val="16"/>
                <w:szCs w:val="16"/>
              </w:rPr>
              <w:t>-</w:t>
            </w:r>
          </w:p>
        </w:tc>
        <w:tc>
          <w:tcPr>
            <w:tcW w:w="240" w:type="pct"/>
            <w:tcBorders>
              <w:top w:val="single" w:sz="4" w:space="0" w:color="auto"/>
              <w:left w:val="nil"/>
              <w:bottom w:val="single" w:sz="12" w:space="0" w:color="auto"/>
              <w:right w:val="nil"/>
            </w:tcBorders>
            <w:shd w:val="clear" w:color="auto" w:fill="auto"/>
            <w:vAlign w:val="bottom"/>
          </w:tcPr>
          <w:p w14:paraId="6CAF4D6B" w14:textId="536E23CD" w:rsidR="001A327E" w:rsidRPr="00872D7E" w:rsidRDefault="001A327E" w:rsidP="001A327E">
            <w:pPr>
              <w:jc w:val="right"/>
              <w:rPr>
                <w:b/>
                <w:sz w:val="16"/>
                <w:szCs w:val="16"/>
              </w:rPr>
            </w:pPr>
            <w:r w:rsidRPr="00872D7E">
              <w:rPr>
                <w:b/>
                <w:bCs/>
                <w:color w:val="000000"/>
                <w:sz w:val="16"/>
                <w:szCs w:val="16"/>
              </w:rPr>
              <w:t>5.221.722</w:t>
            </w:r>
          </w:p>
        </w:tc>
        <w:tc>
          <w:tcPr>
            <w:tcW w:w="268" w:type="pct"/>
            <w:tcBorders>
              <w:top w:val="single" w:sz="4" w:space="0" w:color="auto"/>
              <w:left w:val="nil"/>
              <w:bottom w:val="single" w:sz="12" w:space="0" w:color="auto"/>
              <w:right w:val="nil"/>
            </w:tcBorders>
            <w:shd w:val="clear" w:color="auto" w:fill="auto"/>
            <w:vAlign w:val="bottom"/>
          </w:tcPr>
          <w:p w14:paraId="1C39E395" w14:textId="43604A5C" w:rsidR="001A327E" w:rsidRPr="00872D7E" w:rsidRDefault="001A327E" w:rsidP="001A327E">
            <w:pPr>
              <w:jc w:val="right"/>
              <w:rPr>
                <w:b/>
                <w:sz w:val="16"/>
                <w:szCs w:val="16"/>
              </w:rPr>
            </w:pPr>
            <w:r w:rsidRPr="00872D7E">
              <w:rPr>
                <w:b/>
                <w:bCs/>
                <w:color w:val="000000"/>
                <w:sz w:val="16"/>
                <w:szCs w:val="16"/>
              </w:rPr>
              <w:t>13.423.540</w:t>
            </w:r>
          </w:p>
        </w:tc>
        <w:tc>
          <w:tcPr>
            <w:tcW w:w="220" w:type="pct"/>
            <w:tcBorders>
              <w:top w:val="single" w:sz="4" w:space="0" w:color="auto"/>
              <w:left w:val="nil"/>
              <w:bottom w:val="single" w:sz="12" w:space="0" w:color="auto"/>
              <w:right w:val="nil"/>
            </w:tcBorders>
            <w:shd w:val="clear" w:color="auto" w:fill="auto"/>
            <w:vAlign w:val="bottom"/>
          </w:tcPr>
          <w:p w14:paraId="73DC7935" w14:textId="601191EC" w:rsidR="001A327E" w:rsidRPr="00872D7E" w:rsidRDefault="001A327E" w:rsidP="001A327E">
            <w:pPr>
              <w:jc w:val="right"/>
              <w:rPr>
                <w:b/>
                <w:sz w:val="16"/>
                <w:szCs w:val="16"/>
              </w:rPr>
            </w:pPr>
            <w:r w:rsidRPr="00872D7E">
              <w:rPr>
                <w:b/>
                <w:bCs/>
                <w:color w:val="000000"/>
                <w:sz w:val="16"/>
                <w:szCs w:val="16"/>
              </w:rPr>
              <w:t>-</w:t>
            </w:r>
          </w:p>
        </w:tc>
        <w:tc>
          <w:tcPr>
            <w:tcW w:w="201" w:type="pct"/>
            <w:tcBorders>
              <w:top w:val="single" w:sz="4" w:space="0" w:color="auto"/>
              <w:left w:val="nil"/>
              <w:bottom w:val="single" w:sz="12" w:space="0" w:color="auto"/>
              <w:right w:val="nil"/>
            </w:tcBorders>
            <w:shd w:val="clear" w:color="auto" w:fill="auto"/>
            <w:vAlign w:val="bottom"/>
          </w:tcPr>
          <w:p w14:paraId="6C22DB4A" w14:textId="1D17F728" w:rsidR="001A327E" w:rsidRPr="00872D7E" w:rsidRDefault="001A327E" w:rsidP="001A327E">
            <w:pPr>
              <w:jc w:val="right"/>
              <w:rPr>
                <w:b/>
                <w:sz w:val="16"/>
                <w:szCs w:val="16"/>
              </w:rPr>
            </w:pPr>
            <w:r w:rsidRPr="00872D7E">
              <w:rPr>
                <w:b/>
                <w:bCs/>
                <w:color w:val="000000"/>
                <w:sz w:val="16"/>
                <w:szCs w:val="16"/>
              </w:rPr>
              <w:t>709.613</w:t>
            </w:r>
          </w:p>
        </w:tc>
        <w:tc>
          <w:tcPr>
            <w:tcW w:w="142" w:type="pct"/>
            <w:tcBorders>
              <w:top w:val="single" w:sz="4" w:space="0" w:color="auto"/>
              <w:left w:val="nil"/>
              <w:bottom w:val="single" w:sz="12" w:space="0" w:color="auto"/>
              <w:right w:val="nil"/>
            </w:tcBorders>
            <w:shd w:val="clear" w:color="auto" w:fill="auto"/>
            <w:vAlign w:val="bottom"/>
          </w:tcPr>
          <w:p w14:paraId="10439B99" w14:textId="3B718D01" w:rsidR="001A327E" w:rsidRPr="00872D7E" w:rsidRDefault="001A327E" w:rsidP="001A327E">
            <w:pPr>
              <w:jc w:val="right"/>
              <w:rPr>
                <w:b/>
                <w:sz w:val="16"/>
                <w:szCs w:val="16"/>
              </w:rPr>
            </w:pPr>
            <w:r w:rsidRPr="00872D7E">
              <w:rPr>
                <w:b/>
                <w:bCs/>
                <w:color w:val="000000"/>
                <w:sz w:val="16"/>
                <w:szCs w:val="16"/>
              </w:rPr>
              <w:t>-</w:t>
            </w:r>
          </w:p>
        </w:tc>
        <w:tc>
          <w:tcPr>
            <w:tcW w:w="220" w:type="pct"/>
            <w:tcBorders>
              <w:top w:val="single" w:sz="4" w:space="0" w:color="auto"/>
              <w:left w:val="nil"/>
              <w:bottom w:val="single" w:sz="12" w:space="0" w:color="auto"/>
              <w:right w:val="nil"/>
            </w:tcBorders>
            <w:shd w:val="clear" w:color="auto" w:fill="auto"/>
            <w:vAlign w:val="bottom"/>
          </w:tcPr>
          <w:p w14:paraId="0CB4FDD9" w14:textId="0E3B202E" w:rsidR="001A327E" w:rsidRPr="00872D7E" w:rsidRDefault="001A327E" w:rsidP="001A327E">
            <w:pPr>
              <w:jc w:val="right"/>
              <w:rPr>
                <w:b/>
                <w:sz w:val="16"/>
                <w:szCs w:val="16"/>
              </w:rPr>
            </w:pPr>
            <w:r w:rsidRPr="00872D7E">
              <w:rPr>
                <w:b/>
                <w:bCs/>
                <w:color w:val="000000"/>
                <w:sz w:val="16"/>
                <w:szCs w:val="16"/>
              </w:rPr>
              <w:t>27.648</w:t>
            </w:r>
          </w:p>
        </w:tc>
        <w:tc>
          <w:tcPr>
            <w:tcW w:w="159" w:type="pct"/>
            <w:tcBorders>
              <w:top w:val="single" w:sz="4" w:space="0" w:color="auto"/>
              <w:left w:val="nil"/>
              <w:bottom w:val="single" w:sz="12" w:space="0" w:color="auto"/>
              <w:right w:val="nil"/>
            </w:tcBorders>
            <w:shd w:val="clear" w:color="auto" w:fill="auto"/>
            <w:vAlign w:val="bottom"/>
          </w:tcPr>
          <w:p w14:paraId="167B2954" w14:textId="0D4E3CC3" w:rsidR="001A327E" w:rsidRPr="00872D7E" w:rsidRDefault="001A327E" w:rsidP="001A327E">
            <w:pPr>
              <w:jc w:val="right"/>
              <w:rPr>
                <w:b/>
                <w:sz w:val="16"/>
                <w:szCs w:val="16"/>
              </w:rPr>
            </w:pPr>
            <w:r w:rsidRPr="00872D7E">
              <w:rPr>
                <w:b/>
                <w:bCs/>
                <w:color w:val="000000"/>
                <w:sz w:val="16"/>
                <w:szCs w:val="16"/>
              </w:rPr>
              <w:t>-</w:t>
            </w:r>
          </w:p>
        </w:tc>
        <w:tc>
          <w:tcPr>
            <w:tcW w:w="244" w:type="pct"/>
            <w:tcBorders>
              <w:top w:val="single" w:sz="4" w:space="0" w:color="auto"/>
              <w:left w:val="nil"/>
              <w:bottom w:val="single" w:sz="12" w:space="0" w:color="auto"/>
              <w:right w:val="nil"/>
            </w:tcBorders>
            <w:vAlign w:val="bottom"/>
          </w:tcPr>
          <w:p w14:paraId="3B3FE857" w14:textId="0D7DB339" w:rsidR="001A327E" w:rsidRPr="00872D7E" w:rsidRDefault="001A327E" w:rsidP="001A327E">
            <w:pPr>
              <w:jc w:val="right"/>
              <w:rPr>
                <w:b/>
                <w:sz w:val="16"/>
                <w:szCs w:val="16"/>
              </w:rPr>
            </w:pPr>
            <w:r w:rsidRPr="00872D7E">
              <w:rPr>
                <w:b/>
                <w:bCs/>
                <w:color w:val="000000"/>
                <w:sz w:val="16"/>
                <w:szCs w:val="16"/>
              </w:rPr>
              <w:t>-</w:t>
            </w:r>
          </w:p>
        </w:tc>
        <w:tc>
          <w:tcPr>
            <w:tcW w:w="244" w:type="pct"/>
            <w:tcBorders>
              <w:top w:val="single" w:sz="4" w:space="0" w:color="auto"/>
              <w:left w:val="nil"/>
              <w:bottom w:val="single" w:sz="12" w:space="0" w:color="auto"/>
              <w:right w:val="nil"/>
            </w:tcBorders>
            <w:vAlign w:val="bottom"/>
          </w:tcPr>
          <w:p w14:paraId="7F86AF7E" w14:textId="2A5155E5" w:rsidR="001A327E" w:rsidRPr="00872D7E" w:rsidRDefault="001A327E" w:rsidP="001A327E">
            <w:pPr>
              <w:jc w:val="right"/>
              <w:rPr>
                <w:b/>
                <w:sz w:val="16"/>
                <w:szCs w:val="16"/>
              </w:rPr>
            </w:pPr>
            <w:r w:rsidRPr="00872D7E">
              <w:rPr>
                <w:b/>
                <w:bCs/>
                <w:color w:val="000000"/>
                <w:sz w:val="16"/>
                <w:szCs w:val="16"/>
              </w:rPr>
              <w:t>-</w:t>
            </w:r>
          </w:p>
        </w:tc>
        <w:tc>
          <w:tcPr>
            <w:tcW w:w="244" w:type="pct"/>
            <w:tcBorders>
              <w:top w:val="single" w:sz="4" w:space="0" w:color="auto"/>
              <w:left w:val="nil"/>
              <w:bottom w:val="single" w:sz="12" w:space="0" w:color="auto"/>
              <w:right w:val="nil"/>
            </w:tcBorders>
            <w:vAlign w:val="bottom"/>
          </w:tcPr>
          <w:p w14:paraId="0E72BBB8" w14:textId="0D58F0E9" w:rsidR="001A327E" w:rsidRPr="00872D7E" w:rsidRDefault="001A327E" w:rsidP="001A327E">
            <w:pPr>
              <w:jc w:val="right"/>
              <w:rPr>
                <w:b/>
                <w:sz w:val="16"/>
                <w:szCs w:val="16"/>
              </w:rPr>
            </w:pPr>
            <w:r w:rsidRPr="00872D7E">
              <w:rPr>
                <w:b/>
                <w:bCs/>
                <w:color w:val="000000"/>
                <w:sz w:val="16"/>
                <w:szCs w:val="16"/>
              </w:rPr>
              <w:t>948</w:t>
            </w:r>
          </w:p>
        </w:tc>
        <w:tc>
          <w:tcPr>
            <w:tcW w:w="244" w:type="pct"/>
            <w:tcBorders>
              <w:top w:val="single" w:sz="4" w:space="0" w:color="auto"/>
              <w:left w:val="nil"/>
              <w:bottom w:val="single" w:sz="12" w:space="0" w:color="auto"/>
              <w:right w:val="nil"/>
            </w:tcBorders>
            <w:vAlign w:val="bottom"/>
          </w:tcPr>
          <w:p w14:paraId="24D05A31" w14:textId="281ECF65" w:rsidR="001A327E" w:rsidRPr="00872D7E" w:rsidRDefault="001A327E" w:rsidP="001A327E">
            <w:pPr>
              <w:jc w:val="right"/>
              <w:rPr>
                <w:b/>
                <w:sz w:val="16"/>
                <w:szCs w:val="16"/>
              </w:rPr>
            </w:pPr>
            <w:r w:rsidRPr="00872D7E">
              <w:rPr>
                <w:b/>
                <w:bCs/>
                <w:color w:val="000000"/>
                <w:sz w:val="16"/>
                <w:szCs w:val="16"/>
              </w:rPr>
              <w:t>1.265</w:t>
            </w:r>
          </w:p>
        </w:tc>
        <w:tc>
          <w:tcPr>
            <w:tcW w:w="244" w:type="pct"/>
            <w:tcBorders>
              <w:top w:val="single" w:sz="4" w:space="0" w:color="auto"/>
              <w:left w:val="nil"/>
              <w:bottom w:val="single" w:sz="12" w:space="0" w:color="auto"/>
              <w:right w:val="nil"/>
            </w:tcBorders>
            <w:vAlign w:val="bottom"/>
          </w:tcPr>
          <w:p w14:paraId="7DBF69C0" w14:textId="41072ABC" w:rsidR="001A327E" w:rsidRPr="00872D7E" w:rsidRDefault="001A327E" w:rsidP="001A327E">
            <w:pPr>
              <w:jc w:val="right"/>
              <w:rPr>
                <w:b/>
                <w:sz w:val="16"/>
                <w:szCs w:val="16"/>
              </w:rPr>
            </w:pPr>
            <w:r w:rsidRPr="00872D7E">
              <w:rPr>
                <w:b/>
                <w:bCs/>
                <w:color w:val="000000"/>
                <w:sz w:val="16"/>
                <w:szCs w:val="16"/>
              </w:rPr>
              <w:t>991.124</w:t>
            </w:r>
          </w:p>
        </w:tc>
        <w:tc>
          <w:tcPr>
            <w:tcW w:w="268" w:type="pct"/>
            <w:tcBorders>
              <w:top w:val="single" w:sz="4" w:space="0" w:color="auto"/>
              <w:left w:val="nil"/>
              <w:bottom w:val="single" w:sz="12" w:space="0" w:color="auto"/>
              <w:right w:val="nil"/>
            </w:tcBorders>
            <w:shd w:val="clear" w:color="auto" w:fill="auto"/>
            <w:vAlign w:val="bottom"/>
          </w:tcPr>
          <w:p w14:paraId="0DED3789" w14:textId="4AFF4E5B" w:rsidR="001A327E" w:rsidRPr="00872D7E" w:rsidRDefault="001A327E" w:rsidP="001A327E">
            <w:pPr>
              <w:jc w:val="right"/>
              <w:rPr>
                <w:b/>
                <w:sz w:val="16"/>
                <w:szCs w:val="16"/>
              </w:rPr>
            </w:pPr>
            <w:r w:rsidRPr="00872D7E">
              <w:rPr>
                <w:b/>
                <w:bCs/>
                <w:color w:val="000000"/>
                <w:sz w:val="16"/>
                <w:szCs w:val="16"/>
              </w:rPr>
              <w:t>16.653.766</w:t>
            </w:r>
          </w:p>
        </w:tc>
        <w:tc>
          <w:tcPr>
            <w:tcW w:w="272" w:type="pct"/>
            <w:tcBorders>
              <w:top w:val="single" w:sz="4" w:space="0" w:color="auto"/>
              <w:left w:val="nil"/>
              <w:bottom w:val="single" w:sz="12" w:space="0" w:color="auto"/>
              <w:right w:val="nil"/>
            </w:tcBorders>
            <w:shd w:val="clear" w:color="auto" w:fill="auto"/>
            <w:vAlign w:val="bottom"/>
          </w:tcPr>
          <w:p w14:paraId="60784933" w14:textId="3F6DCDA7" w:rsidR="001A327E" w:rsidRPr="00872D7E" w:rsidRDefault="001A327E" w:rsidP="001A327E">
            <w:pPr>
              <w:jc w:val="right"/>
              <w:rPr>
                <w:b/>
                <w:sz w:val="16"/>
                <w:szCs w:val="16"/>
              </w:rPr>
            </w:pPr>
            <w:r w:rsidRPr="00872D7E">
              <w:rPr>
                <w:b/>
                <w:bCs/>
                <w:color w:val="000000"/>
                <w:sz w:val="16"/>
                <w:szCs w:val="16"/>
              </w:rPr>
              <w:t>8.552.952</w:t>
            </w:r>
          </w:p>
        </w:tc>
        <w:tc>
          <w:tcPr>
            <w:tcW w:w="273" w:type="pct"/>
            <w:tcBorders>
              <w:top w:val="single" w:sz="4" w:space="0" w:color="auto"/>
              <w:left w:val="nil"/>
              <w:bottom w:val="single" w:sz="12" w:space="0" w:color="auto"/>
              <w:right w:val="nil"/>
            </w:tcBorders>
            <w:shd w:val="clear" w:color="auto" w:fill="auto"/>
            <w:vAlign w:val="bottom"/>
          </w:tcPr>
          <w:p w14:paraId="019D1FD8" w14:textId="72775C47" w:rsidR="001A327E" w:rsidRPr="00872D7E" w:rsidRDefault="001A327E" w:rsidP="001A327E">
            <w:pPr>
              <w:jc w:val="right"/>
              <w:rPr>
                <w:b/>
                <w:sz w:val="16"/>
                <w:szCs w:val="16"/>
              </w:rPr>
            </w:pPr>
            <w:r w:rsidRPr="00872D7E">
              <w:rPr>
                <w:b/>
                <w:bCs/>
                <w:color w:val="000000"/>
                <w:sz w:val="16"/>
                <w:szCs w:val="16"/>
              </w:rPr>
              <w:t>25.206.718</w:t>
            </w:r>
          </w:p>
        </w:tc>
      </w:tr>
    </w:tbl>
    <w:p w14:paraId="0AADD22A" w14:textId="77777777" w:rsidR="00AC09C3" w:rsidRPr="00872D7E" w:rsidRDefault="00AC09C3" w:rsidP="00AC09C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4801"/>
        <w:gridCol w:w="5943"/>
      </w:tblGrid>
      <w:tr w:rsidR="0064378E" w:rsidRPr="00872D7E" w14:paraId="2B313249" w14:textId="77777777" w:rsidTr="00E72032">
        <w:tc>
          <w:tcPr>
            <w:tcW w:w="3828" w:type="dxa"/>
          </w:tcPr>
          <w:p w14:paraId="4BBB16A9" w14:textId="77777777" w:rsidR="0064378E" w:rsidRPr="00872D7E" w:rsidRDefault="0064378E" w:rsidP="00E72032">
            <w:pPr>
              <w:rPr>
                <w:sz w:val="12"/>
                <w:szCs w:val="16"/>
              </w:rPr>
            </w:pPr>
            <w:r w:rsidRPr="00872D7E">
              <w:rPr>
                <w:sz w:val="12"/>
                <w:szCs w:val="16"/>
              </w:rPr>
              <w:t>1- Merkezi yönetimlerden veya merkez bankalarından alacaklar</w:t>
            </w:r>
          </w:p>
          <w:p w14:paraId="636122EA" w14:textId="77777777" w:rsidR="0064378E" w:rsidRPr="00872D7E" w:rsidRDefault="0064378E" w:rsidP="00E72032">
            <w:pPr>
              <w:rPr>
                <w:sz w:val="12"/>
                <w:szCs w:val="16"/>
              </w:rPr>
            </w:pPr>
            <w:r w:rsidRPr="00872D7E">
              <w:rPr>
                <w:sz w:val="12"/>
                <w:szCs w:val="16"/>
              </w:rPr>
              <w:t>2- Bölgesel yönetimlerden veya yerel yönetimlerden alacaklar</w:t>
            </w:r>
          </w:p>
          <w:p w14:paraId="20855CD3" w14:textId="77777777" w:rsidR="0064378E" w:rsidRPr="00872D7E" w:rsidRDefault="0064378E" w:rsidP="00E72032">
            <w:pPr>
              <w:rPr>
                <w:sz w:val="12"/>
                <w:szCs w:val="16"/>
              </w:rPr>
            </w:pPr>
            <w:r w:rsidRPr="00872D7E">
              <w:rPr>
                <w:sz w:val="12"/>
                <w:szCs w:val="16"/>
              </w:rPr>
              <w:t>3- İdari birimlerden ve ticari olmayan girişimlerden alacaklar</w:t>
            </w:r>
          </w:p>
          <w:p w14:paraId="3746E11F" w14:textId="77777777" w:rsidR="0064378E" w:rsidRPr="00872D7E" w:rsidRDefault="0064378E" w:rsidP="00E72032">
            <w:pPr>
              <w:rPr>
                <w:sz w:val="12"/>
                <w:szCs w:val="16"/>
              </w:rPr>
            </w:pPr>
            <w:r w:rsidRPr="00872D7E">
              <w:rPr>
                <w:sz w:val="12"/>
                <w:szCs w:val="16"/>
              </w:rPr>
              <w:t>4- Çok taraflı kalkınma bankalarından alacaklar</w:t>
            </w:r>
          </w:p>
          <w:p w14:paraId="35372D44" w14:textId="77777777" w:rsidR="0064378E" w:rsidRPr="00872D7E" w:rsidRDefault="0064378E" w:rsidP="00E72032">
            <w:pPr>
              <w:rPr>
                <w:sz w:val="12"/>
                <w:szCs w:val="16"/>
              </w:rPr>
            </w:pPr>
            <w:r w:rsidRPr="00872D7E">
              <w:rPr>
                <w:sz w:val="12"/>
                <w:szCs w:val="16"/>
              </w:rPr>
              <w:t>5- Uluslararası teşkilatlardan alacaklar</w:t>
            </w:r>
          </w:p>
          <w:p w14:paraId="20D05CBA" w14:textId="77777777" w:rsidR="0064378E" w:rsidRPr="00872D7E" w:rsidRDefault="0064378E" w:rsidP="00E72032">
            <w:pPr>
              <w:rPr>
                <w:sz w:val="12"/>
                <w:szCs w:val="16"/>
              </w:rPr>
            </w:pPr>
            <w:r w:rsidRPr="00872D7E">
              <w:rPr>
                <w:sz w:val="12"/>
                <w:szCs w:val="16"/>
              </w:rPr>
              <w:t>6- Bankalar ve aracı kurumlardan alacaklar</w:t>
            </w:r>
          </w:p>
        </w:tc>
        <w:tc>
          <w:tcPr>
            <w:tcW w:w="4801" w:type="dxa"/>
          </w:tcPr>
          <w:p w14:paraId="748208EF" w14:textId="77777777" w:rsidR="0064378E" w:rsidRPr="00872D7E" w:rsidRDefault="0064378E" w:rsidP="00E72032">
            <w:pPr>
              <w:rPr>
                <w:sz w:val="12"/>
                <w:szCs w:val="16"/>
              </w:rPr>
            </w:pPr>
            <w:r w:rsidRPr="00872D7E">
              <w:rPr>
                <w:sz w:val="12"/>
                <w:szCs w:val="16"/>
              </w:rPr>
              <w:t>7- Kurumsal alacaklar</w:t>
            </w:r>
          </w:p>
          <w:p w14:paraId="3B9DAFF6" w14:textId="77777777" w:rsidR="0064378E" w:rsidRPr="00872D7E" w:rsidRDefault="0064378E" w:rsidP="00E72032">
            <w:pPr>
              <w:rPr>
                <w:sz w:val="12"/>
                <w:szCs w:val="16"/>
              </w:rPr>
            </w:pPr>
            <w:r w:rsidRPr="00872D7E">
              <w:rPr>
                <w:sz w:val="12"/>
                <w:szCs w:val="16"/>
              </w:rPr>
              <w:t>8- Perakende alacaklar</w:t>
            </w:r>
          </w:p>
          <w:p w14:paraId="2B744304" w14:textId="77777777" w:rsidR="0064378E" w:rsidRPr="00872D7E" w:rsidRDefault="0064378E" w:rsidP="00E72032">
            <w:pPr>
              <w:rPr>
                <w:sz w:val="12"/>
                <w:szCs w:val="16"/>
              </w:rPr>
            </w:pPr>
            <w:r w:rsidRPr="00872D7E">
              <w:rPr>
                <w:sz w:val="12"/>
                <w:szCs w:val="16"/>
              </w:rPr>
              <w:t>9- Gayrimenkul ipoteğiyle teminatlandırılmış alacaklar</w:t>
            </w:r>
          </w:p>
          <w:p w14:paraId="263BB158" w14:textId="77777777" w:rsidR="0064378E" w:rsidRPr="00872D7E" w:rsidRDefault="0064378E" w:rsidP="00E72032">
            <w:pPr>
              <w:rPr>
                <w:sz w:val="12"/>
                <w:szCs w:val="16"/>
              </w:rPr>
            </w:pPr>
            <w:r w:rsidRPr="00872D7E">
              <w:rPr>
                <w:sz w:val="12"/>
                <w:szCs w:val="16"/>
              </w:rPr>
              <w:t>10- Tahsili gecikmiş alacaklar</w:t>
            </w:r>
          </w:p>
          <w:p w14:paraId="5B0F3BFB" w14:textId="77777777" w:rsidR="0064378E" w:rsidRPr="00872D7E" w:rsidRDefault="0064378E" w:rsidP="00E72032">
            <w:pPr>
              <w:rPr>
                <w:sz w:val="12"/>
                <w:szCs w:val="16"/>
              </w:rPr>
            </w:pPr>
            <w:r w:rsidRPr="00872D7E">
              <w:rPr>
                <w:sz w:val="12"/>
                <w:szCs w:val="16"/>
              </w:rPr>
              <w:t>11- Kurulca riski yüksek olarak belirlenen alacaklar</w:t>
            </w:r>
          </w:p>
          <w:p w14:paraId="727D032B" w14:textId="77777777" w:rsidR="0064378E" w:rsidRPr="00872D7E" w:rsidRDefault="0064378E" w:rsidP="00E72032">
            <w:pPr>
              <w:rPr>
                <w:sz w:val="12"/>
                <w:szCs w:val="16"/>
              </w:rPr>
            </w:pPr>
            <w:r w:rsidRPr="00872D7E">
              <w:rPr>
                <w:sz w:val="12"/>
                <w:szCs w:val="16"/>
              </w:rPr>
              <w:t>12- Teminatlı menkul kıymetler</w:t>
            </w:r>
          </w:p>
        </w:tc>
        <w:tc>
          <w:tcPr>
            <w:tcW w:w="5943" w:type="dxa"/>
          </w:tcPr>
          <w:p w14:paraId="40EF738B" w14:textId="77777777" w:rsidR="0064378E" w:rsidRPr="00872D7E" w:rsidRDefault="0064378E" w:rsidP="00E72032">
            <w:pPr>
              <w:rPr>
                <w:sz w:val="12"/>
                <w:szCs w:val="16"/>
              </w:rPr>
            </w:pPr>
            <w:r w:rsidRPr="00872D7E">
              <w:rPr>
                <w:sz w:val="12"/>
                <w:szCs w:val="16"/>
              </w:rPr>
              <w:t>13- Menkul kıymetleştirme pozisyonları</w:t>
            </w:r>
          </w:p>
          <w:p w14:paraId="3D307D21" w14:textId="77777777" w:rsidR="0064378E" w:rsidRPr="00872D7E" w:rsidRDefault="0064378E" w:rsidP="00E72032">
            <w:pPr>
              <w:rPr>
                <w:sz w:val="12"/>
                <w:szCs w:val="16"/>
              </w:rPr>
            </w:pPr>
            <w:r w:rsidRPr="00872D7E">
              <w:rPr>
                <w:sz w:val="12"/>
                <w:szCs w:val="16"/>
              </w:rPr>
              <w:t>14- Bankalar ve aracı kurumlardan olan kısa vadeli alacaklar ile kısa vadeli kurumsal alacaklar</w:t>
            </w:r>
          </w:p>
          <w:p w14:paraId="083D2878" w14:textId="77777777" w:rsidR="0064378E" w:rsidRPr="00872D7E" w:rsidRDefault="0064378E" w:rsidP="00E72032">
            <w:pPr>
              <w:rPr>
                <w:sz w:val="12"/>
                <w:szCs w:val="16"/>
              </w:rPr>
            </w:pPr>
            <w:r w:rsidRPr="00872D7E">
              <w:rPr>
                <w:sz w:val="12"/>
                <w:szCs w:val="16"/>
              </w:rPr>
              <w:t>15- Kolektif yatırım kuruluşu niteliğindeki yatırımlar</w:t>
            </w:r>
          </w:p>
          <w:p w14:paraId="2D463007" w14:textId="77777777" w:rsidR="0064378E" w:rsidRPr="00872D7E" w:rsidRDefault="0064378E" w:rsidP="00E72032">
            <w:pPr>
              <w:rPr>
                <w:sz w:val="12"/>
                <w:szCs w:val="16"/>
              </w:rPr>
            </w:pPr>
            <w:r w:rsidRPr="00872D7E">
              <w:rPr>
                <w:sz w:val="12"/>
                <w:szCs w:val="16"/>
              </w:rPr>
              <w:t>16- Hisse senedi yatırımları</w:t>
            </w:r>
          </w:p>
          <w:p w14:paraId="78AD4B5D" w14:textId="77777777" w:rsidR="0064378E" w:rsidRPr="00872D7E" w:rsidRDefault="0064378E" w:rsidP="00E72032">
            <w:pPr>
              <w:rPr>
                <w:sz w:val="12"/>
                <w:szCs w:val="16"/>
              </w:rPr>
            </w:pPr>
            <w:r w:rsidRPr="00872D7E">
              <w:rPr>
                <w:sz w:val="12"/>
                <w:szCs w:val="16"/>
              </w:rPr>
              <w:t>17- Diğer alacaklar</w:t>
            </w:r>
          </w:p>
        </w:tc>
      </w:tr>
    </w:tbl>
    <w:p w14:paraId="7568261D" w14:textId="77777777" w:rsidR="00DB1825" w:rsidRPr="00872D7E" w:rsidRDefault="00DB1825" w:rsidP="00261C50"/>
    <w:p w14:paraId="27FB664D" w14:textId="4F1D94E5" w:rsidR="000006B4" w:rsidRPr="00872D7E" w:rsidRDefault="000006B4" w:rsidP="00261C50">
      <w:pPr>
        <w:sectPr w:rsidR="000006B4" w:rsidRPr="00872D7E" w:rsidSect="007B7B09">
          <w:pgSz w:w="16840" w:h="11907" w:orient="landscape" w:code="9"/>
          <w:pgMar w:top="1134" w:right="1134" w:bottom="1134" w:left="1134" w:header="851" w:footer="851" w:gutter="0"/>
          <w:cols w:space="708"/>
          <w:titlePg/>
          <w:docGrid w:linePitch="360"/>
        </w:sectPr>
      </w:pPr>
    </w:p>
    <w:p w14:paraId="6AEB0196" w14:textId="77777777" w:rsidR="00261C50" w:rsidRPr="00872D7E" w:rsidRDefault="00261C50" w:rsidP="00FA5705">
      <w:pPr>
        <w:autoSpaceDE w:val="0"/>
        <w:autoSpaceDN w:val="0"/>
        <w:adjustRightInd w:val="0"/>
        <w:ind w:left="851" w:hanging="851"/>
        <w:jc w:val="both"/>
        <w:rPr>
          <w:b/>
          <w:szCs w:val="20"/>
        </w:rPr>
      </w:pPr>
      <w:r w:rsidRPr="00872D7E">
        <w:rPr>
          <w:b/>
          <w:szCs w:val="20"/>
        </w:rPr>
        <w:lastRenderedPageBreak/>
        <w:t>II.</w:t>
      </w:r>
      <w:r w:rsidRPr="00872D7E">
        <w:rPr>
          <w:b/>
          <w:szCs w:val="20"/>
        </w:rPr>
        <w:tab/>
        <w:t>KREDİ RİSKİNE İLİŞKİN AÇIKLAMALAR (Devamı)</w:t>
      </w:r>
    </w:p>
    <w:p w14:paraId="42009610" w14:textId="77777777" w:rsidR="00FA5705" w:rsidRPr="00872D7E" w:rsidRDefault="00FA5705" w:rsidP="00FA5705">
      <w:pPr>
        <w:ind w:left="851"/>
        <w:rPr>
          <w:b/>
          <w:szCs w:val="20"/>
        </w:rPr>
      </w:pPr>
    </w:p>
    <w:p w14:paraId="7919551E" w14:textId="43CA4688" w:rsidR="00DB273F" w:rsidRPr="00872D7E" w:rsidRDefault="00DB273F" w:rsidP="00FA5705">
      <w:pPr>
        <w:ind w:left="851"/>
        <w:rPr>
          <w:b/>
          <w:szCs w:val="20"/>
        </w:rPr>
      </w:pPr>
      <w:r w:rsidRPr="00872D7E">
        <w:rPr>
          <w:b/>
          <w:szCs w:val="20"/>
        </w:rPr>
        <w:t>Vade Unsuru Taşıyan Risklerin Kalan Vadelerine Göre Dağılımı:</w:t>
      </w:r>
    </w:p>
    <w:p w14:paraId="0D501E61" w14:textId="77777777" w:rsidR="00FA5705" w:rsidRPr="00872D7E" w:rsidRDefault="00FA5705" w:rsidP="00FA5705">
      <w:pPr>
        <w:ind w:left="851"/>
        <w:rPr>
          <w:b/>
          <w:szCs w:val="20"/>
        </w:rPr>
      </w:pPr>
    </w:p>
    <w:tbl>
      <w:tblPr>
        <w:tblW w:w="5000" w:type="pct"/>
        <w:tblLook w:val="01E0" w:firstRow="1" w:lastRow="1" w:firstColumn="1" w:lastColumn="1" w:noHBand="0" w:noVBand="0"/>
      </w:tblPr>
      <w:tblGrid>
        <w:gridCol w:w="508"/>
        <w:gridCol w:w="3354"/>
        <w:gridCol w:w="1074"/>
        <w:gridCol w:w="1074"/>
        <w:gridCol w:w="1074"/>
        <w:gridCol w:w="1074"/>
        <w:gridCol w:w="1481"/>
      </w:tblGrid>
      <w:tr w:rsidR="00DB273F" w:rsidRPr="00872D7E" w14:paraId="0558845C" w14:textId="77777777" w:rsidTr="00261C50">
        <w:trPr>
          <w:cantSplit/>
          <w:trHeight w:val="20"/>
        </w:trPr>
        <w:tc>
          <w:tcPr>
            <w:tcW w:w="264" w:type="pct"/>
            <w:tcBorders>
              <w:top w:val="single" w:sz="4" w:space="0" w:color="auto"/>
              <w:left w:val="nil"/>
              <w:bottom w:val="single" w:sz="4" w:space="0" w:color="auto"/>
              <w:right w:val="nil"/>
            </w:tcBorders>
            <w:shd w:val="clear" w:color="auto" w:fill="auto"/>
            <w:vAlign w:val="bottom"/>
          </w:tcPr>
          <w:p w14:paraId="6139CE58" w14:textId="77777777" w:rsidR="00DB273F" w:rsidRPr="00872D7E" w:rsidRDefault="00DB273F" w:rsidP="00FA5705">
            <w:pPr>
              <w:rPr>
                <w:b/>
                <w:sz w:val="18"/>
                <w:szCs w:val="18"/>
              </w:rPr>
            </w:pPr>
          </w:p>
        </w:tc>
        <w:tc>
          <w:tcPr>
            <w:tcW w:w="1740" w:type="pct"/>
            <w:tcBorders>
              <w:top w:val="single" w:sz="4" w:space="0" w:color="auto"/>
              <w:left w:val="nil"/>
              <w:bottom w:val="single" w:sz="4" w:space="0" w:color="auto"/>
              <w:right w:val="nil"/>
            </w:tcBorders>
            <w:shd w:val="clear" w:color="auto" w:fill="auto"/>
            <w:vAlign w:val="bottom"/>
          </w:tcPr>
          <w:p w14:paraId="01ADFEAF" w14:textId="77777777" w:rsidR="00DB273F" w:rsidRPr="00872D7E" w:rsidRDefault="00DB273F" w:rsidP="00FA5705">
            <w:pPr>
              <w:rPr>
                <w:sz w:val="18"/>
                <w:szCs w:val="18"/>
              </w:rPr>
            </w:pPr>
          </w:p>
        </w:tc>
        <w:tc>
          <w:tcPr>
            <w:tcW w:w="2997" w:type="pct"/>
            <w:gridSpan w:val="5"/>
            <w:tcBorders>
              <w:top w:val="single" w:sz="4" w:space="0" w:color="auto"/>
              <w:left w:val="nil"/>
              <w:bottom w:val="single" w:sz="4" w:space="0" w:color="auto"/>
              <w:right w:val="nil"/>
            </w:tcBorders>
            <w:shd w:val="clear" w:color="auto" w:fill="auto"/>
            <w:vAlign w:val="bottom"/>
            <w:hideMark/>
          </w:tcPr>
          <w:p w14:paraId="0B102498" w14:textId="77777777" w:rsidR="00DB273F" w:rsidRPr="00872D7E" w:rsidRDefault="00DB273F" w:rsidP="00FA5705">
            <w:pPr>
              <w:jc w:val="center"/>
              <w:rPr>
                <w:b/>
                <w:sz w:val="18"/>
                <w:szCs w:val="18"/>
              </w:rPr>
            </w:pPr>
            <w:r w:rsidRPr="00872D7E">
              <w:rPr>
                <w:b/>
                <w:sz w:val="18"/>
                <w:szCs w:val="18"/>
              </w:rPr>
              <w:t>Vadeye Kalan Süre</w:t>
            </w:r>
          </w:p>
        </w:tc>
      </w:tr>
      <w:tr w:rsidR="00DB273F" w:rsidRPr="00872D7E" w14:paraId="41B4549D" w14:textId="77777777" w:rsidTr="00261C50">
        <w:trPr>
          <w:cantSplit/>
          <w:trHeight w:val="20"/>
        </w:trPr>
        <w:tc>
          <w:tcPr>
            <w:tcW w:w="264" w:type="pct"/>
            <w:tcBorders>
              <w:top w:val="single" w:sz="4" w:space="0" w:color="auto"/>
              <w:left w:val="nil"/>
              <w:bottom w:val="single" w:sz="4" w:space="0" w:color="auto"/>
              <w:right w:val="nil"/>
            </w:tcBorders>
            <w:shd w:val="clear" w:color="auto" w:fill="auto"/>
            <w:vAlign w:val="bottom"/>
            <w:hideMark/>
          </w:tcPr>
          <w:p w14:paraId="2FDA7D2E" w14:textId="77777777" w:rsidR="00DB273F" w:rsidRPr="00872D7E" w:rsidRDefault="00DB273F" w:rsidP="00FA5705">
            <w:pPr>
              <w:rPr>
                <w:b/>
                <w:sz w:val="18"/>
                <w:szCs w:val="18"/>
              </w:rPr>
            </w:pPr>
          </w:p>
        </w:tc>
        <w:tc>
          <w:tcPr>
            <w:tcW w:w="1740" w:type="pct"/>
            <w:tcBorders>
              <w:top w:val="single" w:sz="4" w:space="0" w:color="auto"/>
              <w:left w:val="nil"/>
              <w:bottom w:val="single" w:sz="4" w:space="0" w:color="auto"/>
              <w:right w:val="nil"/>
            </w:tcBorders>
            <w:shd w:val="clear" w:color="auto" w:fill="auto"/>
            <w:vAlign w:val="bottom"/>
            <w:hideMark/>
          </w:tcPr>
          <w:p w14:paraId="6C010808" w14:textId="77777777" w:rsidR="00DB273F" w:rsidRPr="00872D7E" w:rsidRDefault="00DB273F" w:rsidP="00FA5705">
            <w:pPr>
              <w:ind w:hanging="10"/>
              <w:rPr>
                <w:b/>
                <w:sz w:val="18"/>
                <w:szCs w:val="18"/>
              </w:rPr>
            </w:pPr>
            <w:r w:rsidRPr="00872D7E">
              <w:rPr>
                <w:b/>
                <w:sz w:val="18"/>
                <w:szCs w:val="18"/>
              </w:rPr>
              <w:t>Risk Sınıfları</w:t>
            </w:r>
          </w:p>
        </w:tc>
        <w:tc>
          <w:tcPr>
            <w:tcW w:w="557" w:type="pct"/>
            <w:tcBorders>
              <w:top w:val="single" w:sz="4" w:space="0" w:color="auto"/>
              <w:left w:val="nil"/>
              <w:bottom w:val="single" w:sz="4" w:space="0" w:color="auto"/>
              <w:right w:val="nil"/>
            </w:tcBorders>
            <w:shd w:val="clear" w:color="auto" w:fill="auto"/>
            <w:vAlign w:val="bottom"/>
            <w:hideMark/>
          </w:tcPr>
          <w:p w14:paraId="7E9E084C" w14:textId="77777777" w:rsidR="00DB273F" w:rsidRPr="00872D7E" w:rsidRDefault="00DB273F" w:rsidP="00FA5705">
            <w:pPr>
              <w:jc w:val="right"/>
              <w:rPr>
                <w:b/>
                <w:sz w:val="18"/>
                <w:szCs w:val="18"/>
              </w:rPr>
            </w:pPr>
            <w:r w:rsidRPr="00872D7E">
              <w:rPr>
                <w:b/>
                <w:sz w:val="18"/>
                <w:szCs w:val="18"/>
              </w:rPr>
              <w:t>1 ay</w:t>
            </w:r>
          </w:p>
        </w:tc>
        <w:tc>
          <w:tcPr>
            <w:tcW w:w="557" w:type="pct"/>
            <w:tcBorders>
              <w:top w:val="single" w:sz="4" w:space="0" w:color="auto"/>
              <w:left w:val="nil"/>
              <w:bottom w:val="single" w:sz="4" w:space="0" w:color="auto"/>
              <w:right w:val="nil"/>
            </w:tcBorders>
            <w:shd w:val="clear" w:color="auto" w:fill="auto"/>
            <w:vAlign w:val="bottom"/>
            <w:hideMark/>
          </w:tcPr>
          <w:p w14:paraId="0FB1534F" w14:textId="77777777" w:rsidR="00DB273F" w:rsidRPr="00872D7E" w:rsidRDefault="00DB273F" w:rsidP="00FA5705">
            <w:pPr>
              <w:jc w:val="right"/>
              <w:rPr>
                <w:b/>
                <w:sz w:val="18"/>
                <w:szCs w:val="18"/>
              </w:rPr>
            </w:pPr>
            <w:r w:rsidRPr="00872D7E">
              <w:rPr>
                <w:b/>
                <w:sz w:val="18"/>
                <w:szCs w:val="18"/>
              </w:rPr>
              <w:t>1–3 ay</w:t>
            </w:r>
          </w:p>
        </w:tc>
        <w:tc>
          <w:tcPr>
            <w:tcW w:w="557" w:type="pct"/>
            <w:tcBorders>
              <w:top w:val="single" w:sz="4" w:space="0" w:color="auto"/>
              <w:left w:val="nil"/>
              <w:bottom w:val="single" w:sz="4" w:space="0" w:color="auto"/>
              <w:right w:val="nil"/>
            </w:tcBorders>
            <w:shd w:val="clear" w:color="auto" w:fill="auto"/>
            <w:vAlign w:val="bottom"/>
            <w:hideMark/>
          </w:tcPr>
          <w:p w14:paraId="20D5AF61" w14:textId="77777777" w:rsidR="00DB273F" w:rsidRPr="00872D7E" w:rsidRDefault="00DB273F" w:rsidP="00FA5705">
            <w:pPr>
              <w:jc w:val="right"/>
              <w:rPr>
                <w:b/>
                <w:sz w:val="18"/>
                <w:szCs w:val="18"/>
              </w:rPr>
            </w:pPr>
            <w:r w:rsidRPr="00872D7E">
              <w:rPr>
                <w:b/>
                <w:sz w:val="18"/>
                <w:szCs w:val="18"/>
              </w:rPr>
              <w:t>3–6 ay</w:t>
            </w:r>
          </w:p>
        </w:tc>
        <w:tc>
          <w:tcPr>
            <w:tcW w:w="557" w:type="pct"/>
            <w:tcBorders>
              <w:top w:val="single" w:sz="4" w:space="0" w:color="auto"/>
              <w:left w:val="nil"/>
              <w:bottom w:val="single" w:sz="4" w:space="0" w:color="auto"/>
              <w:right w:val="nil"/>
            </w:tcBorders>
            <w:shd w:val="clear" w:color="auto" w:fill="auto"/>
            <w:vAlign w:val="bottom"/>
            <w:hideMark/>
          </w:tcPr>
          <w:p w14:paraId="40B5E020" w14:textId="77777777" w:rsidR="00DB273F" w:rsidRPr="00872D7E" w:rsidRDefault="00DB273F" w:rsidP="00FA5705">
            <w:pPr>
              <w:jc w:val="right"/>
              <w:rPr>
                <w:b/>
                <w:sz w:val="18"/>
                <w:szCs w:val="18"/>
              </w:rPr>
            </w:pPr>
            <w:r w:rsidRPr="00872D7E">
              <w:rPr>
                <w:b/>
                <w:sz w:val="18"/>
                <w:szCs w:val="18"/>
              </w:rPr>
              <w:t>6–12 ay</w:t>
            </w:r>
          </w:p>
        </w:tc>
        <w:tc>
          <w:tcPr>
            <w:tcW w:w="768" w:type="pct"/>
            <w:tcBorders>
              <w:top w:val="single" w:sz="4" w:space="0" w:color="auto"/>
              <w:left w:val="nil"/>
              <w:bottom w:val="single" w:sz="4" w:space="0" w:color="auto"/>
              <w:right w:val="nil"/>
            </w:tcBorders>
            <w:shd w:val="clear" w:color="auto" w:fill="auto"/>
            <w:vAlign w:val="bottom"/>
            <w:hideMark/>
          </w:tcPr>
          <w:p w14:paraId="1C63F4D5" w14:textId="77777777" w:rsidR="00DB273F" w:rsidRPr="00872D7E" w:rsidRDefault="00DB273F" w:rsidP="00FA5705">
            <w:pPr>
              <w:jc w:val="right"/>
              <w:rPr>
                <w:b/>
                <w:sz w:val="18"/>
                <w:szCs w:val="18"/>
              </w:rPr>
            </w:pPr>
            <w:r w:rsidRPr="00872D7E">
              <w:rPr>
                <w:b/>
                <w:sz w:val="18"/>
                <w:szCs w:val="18"/>
              </w:rPr>
              <w:t>1 yıl üzeri</w:t>
            </w:r>
          </w:p>
        </w:tc>
      </w:tr>
      <w:tr w:rsidR="001A327E" w:rsidRPr="00872D7E" w14:paraId="29F5563E" w14:textId="77777777" w:rsidTr="001A327E">
        <w:trPr>
          <w:cantSplit/>
          <w:trHeight w:val="20"/>
        </w:trPr>
        <w:tc>
          <w:tcPr>
            <w:tcW w:w="264" w:type="pct"/>
            <w:tcBorders>
              <w:top w:val="single" w:sz="4" w:space="0" w:color="auto"/>
              <w:left w:val="nil"/>
              <w:bottom w:val="nil"/>
              <w:right w:val="nil"/>
            </w:tcBorders>
            <w:shd w:val="clear" w:color="auto" w:fill="auto"/>
            <w:hideMark/>
          </w:tcPr>
          <w:p w14:paraId="3E1EDE95" w14:textId="77777777" w:rsidR="001A327E" w:rsidRPr="00872D7E" w:rsidRDefault="001A327E" w:rsidP="00FA5705">
            <w:pPr>
              <w:rPr>
                <w:sz w:val="18"/>
                <w:szCs w:val="18"/>
              </w:rPr>
            </w:pPr>
            <w:r w:rsidRPr="00872D7E">
              <w:rPr>
                <w:sz w:val="18"/>
                <w:szCs w:val="18"/>
              </w:rPr>
              <w:t>1</w:t>
            </w:r>
          </w:p>
        </w:tc>
        <w:tc>
          <w:tcPr>
            <w:tcW w:w="1740" w:type="pct"/>
            <w:tcBorders>
              <w:top w:val="single" w:sz="4" w:space="0" w:color="auto"/>
              <w:left w:val="nil"/>
              <w:bottom w:val="nil"/>
              <w:right w:val="nil"/>
            </w:tcBorders>
            <w:shd w:val="clear" w:color="auto" w:fill="auto"/>
            <w:vAlign w:val="bottom"/>
            <w:hideMark/>
          </w:tcPr>
          <w:p w14:paraId="414DC1E9" w14:textId="77777777" w:rsidR="001A327E" w:rsidRPr="00872D7E" w:rsidRDefault="001A327E" w:rsidP="00FA5705">
            <w:pPr>
              <w:ind w:left="-10"/>
              <w:rPr>
                <w:sz w:val="18"/>
                <w:szCs w:val="18"/>
              </w:rPr>
            </w:pPr>
            <w:r w:rsidRPr="00872D7E">
              <w:rPr>
                <w:sz w:val="18"/>
                <w:szCs w:val="18"/>
              </w:rPr>
              <w:t>Merkezi yönetimlerden veya merkez bankalarından alacaklar</w:t>
            </w:r>
          </w:p>
        </w:tc>
        <w:tc>
          <w:tcPr>
            <w:tcW w:w="557" w:type="pct"/>
            <w:shd w:val="clear" w:color="auto" w:fill="auto"/>
            <w:vAlign w:val="bottom"/>
          </w:tcPr>
          <w:p w14:paraId="5F14E1EE" w14:textId="3DA06F39" w:rsidR="001A327E" w:rsidRPr="00872D7E" w:rsidRDefault="001A327E" w:rsidP="00FA5705">
            <w:pPr>
              <w:jc w:val="right"/>
              <w:rPr>
                <w:color w:val="000000"/>
                <w:sz w:val="18"/>
                <w:szCs w:val="18"/>
              </w:rPr>
            </w:pPr>
            <w:r w:rsidRPr="00872D7E">
              <w:rPr>
                <w:color w:val="000000"/>
                <w:sz w:val="18"/>
                <w:szCs w:val="18"/>
              </w:rPr>
              <w:t>3.475.105</w:t>
            </w:r>
          </w:p>
        </w:tc>
        <w:tc>
          <w:tcPr>
            <w:tcW w:w="557" w:type="pct"/>
            <w:shd w:val="clear" w:color="auto" w:fill="auto"/>
            <w:vAlign w:val="bottom"/>
          </w:tcPr>
          <w:p w14:paraId="3F2C62F1" w14:textId="4ED7B3E0"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24DC9E94" w14:textId="441C6DDE"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3EBC643D" w14:textId="11AFC128"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5C5E5525" w14:textId="1E91D767" w:rsidR="001A327E" w:rsidRPr="00872D7E" w:rsidRDefault="001A327E" w:rsidP="00FA5705">
            <w:pPr>
              <w:jc w:val="right"/>
              <w:rPr>
                <w:color w:val="000000"/>
                <w:sz w:val="18"/>
                <w:szCs w:val="18"/>
              </w:rPr>
            </w:pPr>
            <w:r w:rsidRPr="00872D7E">
              <w:rPr>
                <w:color w:val="000000"/>
                <w:sz w:val="18"/>
                <w:szCs w:val="18"/>
              </w:rPr>
              <w:t>1.355.753</w:t>
            </w:r>
          </w:p>
        </w:tc>
      </w:tr>
      <w:tr w:rsidR="001A327E" w:rsidRPr="00872D7E" w14:paraId="378CC203" w14:textId="77777777" w:rsidTr="001A327E">
        <w:trPr>
          <w:cantSplit/>
          <w:trHeight w:val="20"/>
        </w:trPr>
        <w:tc>
          <w:tcPr>
            <w:tcW w:w="264" w:type="pct"/>
            <w:shd w:val="clear" w:color="auto" w:fill="auto"/>
            <w:hideMark/>
          </w:tcPr>
          <w:p w14:paraId="43FA4E48" w14:textId="77777777" w:rsidR="001A327E" w:rsidRPr="00872D7E" w:rsidRDefault="001A327E" w:rsidP="00FA5705">
            <w:pPr>
              <w:rPr>
                <w:sz w:val="18"/>
                <w:szCs w:val="18"/>
              </w:rPr>
            </w:pPr>
            <w:r w:rsidRPr="00872D7E">
              <w:rPr>
                <w:sz w:val="18"/>
                <w:szCs w:val="18"/>
              </w:rPr>
              <w:t>2</w:t>
            </w:r>
          </w:p>
        </w:tc>
        <w:tc>
          <w:tcPr>
            <w:tcW w:w="1740" w:type="pct"/>
            <w:shd w:val="clear" w:color="auto" w:fill="auto"/>
            <w:vAlign w:val="bottom"/>
            <w:hideMark/>
          </w:tcPr>
          <w:p w14:paraId="7499FE1D" w14:textId="77777777" w:rsidR="001A327E" w:rsidRPr="00872D7E" w:rsidRDefault="001A327E" w:rsidP="00FA5705">
            <w:pPr>
              <w:ind w:left="-10"/>
              <w:rPr>
                <w:sz w:val="18"/>
                <w:szCs w:val="18"/>
              </w:rPr>
            </w:pPr>
            <w:r w:rsidRPr="00872D7E">
              <w:rPr>
                <w:sz w:val="18"/>
                <w:szCs w:val="18"/>
              </w:rPr>
              <w:t>Bölgesel yönetimlerden veya yerel yönetimlerden alacaklar</w:t>
            </w:r>
          </w:p>
        </w:tc>
        <w:tc>
          <w:tcPr>
            <w:tcW w:w="557" w:type="pct"/>
            <w:shd w:val="clear" w:color="auto" w:fill="auto"/>
            <w:vAlign w:val="bottom"/>
          </w:tcPr>
          <w:p w14:paraId="52B69632" w14:textId="5C0142EA"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41ACD926" w14:textId="3770E333"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1F13709B" w14:textId="00C8ED5A"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47D3B011" w14:textId="374656A9"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1F165A23" w14:textId="20775762"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6C7DA2C6" w14:textId="77777777" w:rsidTr="001A327E">
        <w:trPr>
          <w:cantSplit/>
          <w:trHeight w:val="20"/>
        </w:trPr>
        <w:tc>
          <w:tcPr>
            <w:tcW w:w="264" w:type="pct"/>
            <w:shd w:val="clear" w:color="auto" w:fill="auto"/>
            <w:hideMark/>
          </w:tcPr>
          <w:p w14:paraId="2DFBCA01" w14:textId="77777777" w:rsidR="001A327E" w:rsidRPr="00872D7E" w:rsidRDefault="001A327E" w:rsidP="00FA5705">
            <w:pPr>
              <w:rPr>
                <w:sz w:val="18"/>
                <w:szCs w:val="18"/>
              </w:rPr>
            </w:pPr>
            <w:r w:rsidRPr="00872D7E">
              <w:rPr>
                <w:sz w:val="18"/>
                <w:szCs w:val="18"/>
              </w:rPr>
              <w:t>3</w:t>
            </w:r>
          </w:p>
        </w:tc>
        <w:tc>
          <w:tcPr>
            <w:tcW w:w="1740" w:type="pct"/>
            <w:shd w:val="clear" w:color="auto" w:fill="auto"/>
            <w:vAlign w:val="bottom"/>
            <w:hideMark/>
          </w:tcPr>
          <w:p w14:paraId="2F8144D5" w14:textId="77777777" w:rsidR="001A327E" w:rsidRPr="00872D7E" w:rsidRDefault="001A327E" w:rsidP="00FA5705">
            <w:pPr>
              <w:ind w:left="-10"/>
              <w:rPr>
                <w:sz w:val="18"/>
                <w:szCs w:val="18"/>
              </w:rPr>
            </w:pPr>
            <w:r w:rsidRPr="00872D7E">
              <w:rPr>
                <w:sz w:val="18"/>
                <w:szCs w:val="18"/>
              </w:rPr>
              <w:t>İdari birimlerden ve ticari olmayan girişimlerden alacaklar</w:t>
            </w:r>
          </w:p>
        </w:tc>
        <w:tc>
          <w:tcPr>
            <w:tcW w:w="557" w:type="pct"/>
            <w:shd w:val="clear" w:color="auto" w:fill="auto"/>
            <w:vAlign w:val="bottom"/>
          </w:tcPr>
          <w:p w14:paraId="0D3A6943" w14:textId="1D5FFC35"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14E4E691" w14:textId="065B3A2D"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2C6DF722" w14:textId="74D3774F"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11AE9E82" w14:textId="6F94FCEB"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73039BD1" w14:textId="41B7C0E0"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0A9A1ED0" w14:textId="77777777" w:rsidTr="001A327E">
        <w:trPr>
          <w:cantSplit/>
          <w:trHeight w:val="20"/>
        </w:trPr>
        <w:tc>
          <w:tcPr>
            <w:tcW w:w="264" w:type="pct"/>
            <w:shd w:val="clear" w:color="auto" w:fill="auto"/>
            <w:hideMark/>
          </w:tcPr>
          <w:p w14:paraId="2ADA7DE4" w14:textId="77777777" w:rsidR="001A327E" w:rsidRPr="00872D7E" w:rsidRDefault="001A327E" w:rsidP="00FA5705">
            <w:pPr>
              <w:rPr>
                <w:sz w:val="18"/>
                <w:szCs w:val="18"/>
              </w:rPr>
            </w:pPr>
            <w:r w:rsidRPr="00872D7E">
              <w:rPr>
                <w:sz w:val="18"/>
                <w:szCs w:val="18"/>
              </w:rPr>
              <w:t>4</w:t>
            </w:r>
          </w:p>
        </w:tc>
        <w:tc>
          <w:tcPr>
            <w:tcW w:w="1740" w:type="pct"/>
            <w:shd w:val="clear" w:color="auto" w:fill="auto"/>
            <w:vAlign w:val="bottom"/>
            <w:hideMark/>
          </w:tcPr>
          <w:p w14:paraId="1B1C6654" w14:textId="77777777" w:rsidR="001A327E" w:rsidRPr="00872D7E" w:rsidRDefault="001A327E" w:rsidP="00FA5705">
            <w:pPr>
              <w:ind w:left="-10"/>
              <w:rPr>
                <w:sz w:val="18"/>
                <w:szCs w:val="18"/>
              </w:rPr>
            </w:pPr>
            <w:r w:rsidRPr="00872D7E">
              <w:rPr>
                <w:sz w:val="18"/>
                <w:szCs w:val="18"/>
              </w:rPr>
              <w:t>Çok taraflı kalkınma bankalarından alacaklar</w:t>
            </w:r>
          </w:p>
        </w:tc>
        <w:tc>
          <w:tcPr>
            <w:tcW w:w="557" w:type="pct"/>
            <w:shd w:val="clear" w:color="auto" w:fill="auto"/>
            <w:vAlign w:val="bottom"/>
          </w:tcPr>
          <w:p w14:paraId="2B8E5778" w14:textId="416F34CE"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0EBE5DDB" w14:textId="62499E19"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38234412" w14:textId="3D430810"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3BF73224" w14:textId="4F9925A1"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154B737C" w14:textId="414566D5"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1FA4B675" w14:textId="77777777" w:rsidTr="001A327E">
        <w:trPr>
          <w:cantSplit/>
          <w:trHeight w:val="20"/>
        </w:trPr>
        <w:tc>
          <w:tcPr>
            <w:tcW w:w="264" w:type="pct"/>
            <w:shd w:val="clear" w:color="auto" w:fill="auto"/>
            <w:hideMark/>
          </w:tcPr>
          <w:p w14:paraId="559CBEF8" w14:textId="77777777" w:rsidR="001A327E" w:rsidRPr="00872D7E" w:rsidRDefault="001A327E" w:rsidP="00FA5705">
            <w:pPr>
              <w:rPr>
                <w:sz w:val="18"/>
                <w:szCs w:val="18"/>
              </w:rPr>
            </w:pPr>
            <w:r w:rsidRPr="00872D7E">
              <w:rPr>
                <w:sz w:val="18"/>
                <w:szCs w:val="18"/>
              </w:rPr>
              <w:t>5</w:t>
            </w:r>
          </w:p>
        </w:tc>
        <w:tc>
          <w:tcPr>
            <w:tcW w:w="1740" w:type="pct"/>
            <w:shd w:val="clear" w:color="auto" w:fill="auto"/>
            <w:vAlign w:val="bottom"/>
            <w:hideMark/>
          </w:tcPr>
          <w:p w14:paraId="79570CC7" w14:textId="77777777" w:rsidR="001A327E" w:rsidRPr="00872D7E" w:rsidRDefault="001A327E" w:rsidP="00FA5705">
            <w:pPr>
              <w:ind w:left="-10"/>
              <w:rPr>
                <w:sz w:val="18"/>
                <w:szCs w:val="18"/>
              </w:rPr>
            </w:pPr>
            <w:r w:rsidRPr="00872D7E">
              <w:rPr>
                <w:sz w:val="18"/>
                <w:szCs w:val="18"/>
              </w:rPr>
              <w:t>Uluslararası teşkilatlardan alacaklar</w:t>
            </w:r>
          </w:p>
        </w:tc>
        <w:tc>
          <w:tcPr>
            <w:tcW w:w="557" w:type="pct"/>
            <w:shd w:val="clear" w:color="auto" w:fill="auto"/>
            <w:vAlign w:val="bottom"/>
          </w:tcPr>
          <w:p w14:paraId="1B922296" w14:textId="1E86CEF3"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5045845F" w14:textId="34BE0463"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15F40CFA" w14:textId="78BB2812"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4EA28BD7" w14:textId="3EFD4023"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4CDB99B6" w14:textId="14925376"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48C11E69" w14:textId="77777777" w:rsidTr="001A327E">
        <w:trPr>
          <w:cantSplit/>
          <w:trHeight w:val="20"/>
        </w:trPr>
        <w:tc>
          <w:tcPr>
            <w:tcW w:w="264" w:type="pct"/>
            <w:shd w:val="clear" w:color="auto" w:fill="auto"/>
            <w:hideMark/>
          </w:tcPr>
          <w:p w14:paraId="0CF86A18" w14:textId="77777777" w:rsidR="001A327E" w:rsidRPr="00872D7E" w:rsidRDefault="001A327E" w:rsidP="00FA5705">
            <w:pPr>
              <w:rPr>
                <w:sz w:val="18"/>
                <w:szCs w:val="18"/>
              </w:rPr>
            </w:pPr>
            <w:r w:rsidRPr="00872D7E">
              <w:rPr>
                <w:sz w:val="18"/>
                <w:szCs w:val="18"/>
              </w:rPr>
              <w:t>6</w:t>
            </w:r>
          </w:p>
        </w:tc>
        <w:tc>
          <w:tcPr>
            <w:tcW w:w="1740" w:type="pct"/>
            <w:shd w:val="clear" w:color="auto" w:fill="auto"/>
            <w:vAlign w:val="bottom"/>
            <w:hideMark/>
          </w:tcPr>
          <w:p w14:paraId="310AC80D" w14:textId="77777777" w:rsidR="001A327E" w:rsidRPr="00872D7E" w:rsidRDefault="001A327E" w:rsidP="00FA5705">
            <w:pPr>
              <w:tabs>
                <w:tab w:val="left" w:pos="490"/>
                <w:tab w:val="left" w:pos="2722"/>
              </w:tabs>
              <w:ind w:left="-10"/>
              <w:rPr>
                <w:sz w:val="18"/>
                <w:szCs w:val="18"/>
              </w:rPr>
            </w:pPr>
            <w:r w:rsidRPr="00872D7E">
              <w:rPr>
                <w:sz w:val="18"/>
                <w:szCs w:val="18"/>
              </w:rPr>
              <w:t>Bankalardan ve aracı kurumlardan alacaklar</w:t>
            </w:r>
          </w:p>
        </w:tc>
        <w:tc>
          <w:tcPr>
            <w:tcW w:w="557" w:type="pct"/>
            <w:shd w:val="clear" w:color="auto" w:fill="auto"/>
            <w:vAlign w:val="bottom"/>
          </w:tcPr>
          <w:p w14:paraId="05A97072" w14:textId="4C989A0D" w:rsidR="001A327E" w:rsidRPr="00872D7E" w:rsidRDefault="001A327E" w:rsidP="00FA5705">
            <w:pPr>
              <w:jc w:val="right"/>
              <w:rPr>
                <w:color w:val="000000"/>
                <w:sz w:val="18"/>
                <w:szCs w:val="18"/>
              </w:rPr>
            </w:pPr>
            <w:r w:rsidRPr="00872D7E">
              <w:rPr>
                <w:color w:val="000000"/>
                <w:sz w:val="18"/>
                <w:szCs w:val="18"/>
              </w:rPr>
              <w:t>5.221.721</w:t>
            </w:r>
          </w:p>
        </w:tc>
        <w:tc>
          <w:tcPr>
            <w:tcW w:w="557" w:type="pct"/>
            <w:shd w:val="clear" w:color="auto" w:fill="auto"/>
            <w:vAlign w:val="bottom"/>
          </w:tcPr>
          <w:p w14:paraId="504B7119" w14:textId="155AC9CE"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793EA1F2" w14:textId="56FC9896"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72D7C742" w14:textId="33768789"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5B04230A" w14:textId="653A72D3" w:rsidR="001A327E" w:rsidRPr="00872D7E" w:rsidRDefault="001A327E" w:rsidP="00FA5705">
            <w:pPr>
              <w:jc w:val="right"/>
              <w:rPr>
                <w:color w:val="000000"/>
                <w:sz w:val="18"/>
                <w:szCs w:val="18"/>
              </w:rPr>
            </w:pPr>
            <w:r w:rsidRPr="00872D7E">
              <w:rPr>
                <w:color w:val="000000"/>
                <w:sz w:val="18"/>
                <w:szCs w:val="18"/>
              </w:rPr>
              <w:t>1</w:t>
            </w:r>
          </w:p>
        </w:tc>
      </w:tr>
      <w:tr w:rsidR="001A327E" w:rsidRPr="00872D7E" w14:paraId="29EC2EEB" w14:textId="77777777" w:rsidTr="001A327E">
        <w:trPr>
          <w:cantSplit/>
          <w:trHeight w:val="20"/>
        </w:trPr>
        <w:tc>
          <w:tcPr>
            <w:tcW w:w="264" w:type="pct"/>
            <w:shd w:val="clear" w:color="auto" w:fill="auto"/>
            <w:hideMark/>
          </w:tcPr>
          <w:p w14:paraId="33B86B93" w14:textId="77777777" w:rsidR="001A327E" w:rsidRPr="00872D7E" w:rsidRDefault="001A327E" w:rsidP="00FA5705">
            <w:pPr>
              <w:rPr>
                <w:sz w:val="18"/>
                <w:szCs w:val="18"/>
              </w:rPr>
            </w:pPr>
            <w:r w:rsidRPr="00872D7E">
              <w:rPr>
                <w:sz w:val="18"/>
                <w:szCs w:val="18"/>
              </w:rPr>
              <w:t>7</w:t>
            </w:r>
          </w:p>
        </w:tc>
        <w:tc>
          <w:tcPr>
            <w:tcW w:w="1740" w:type="pct"/>
            <w:shd w:val="clear" w:color="auto" w:fill="auto"/>
            <w:vAlign w:val="bottom"/>
            <w:hideMark/>
          </w:tcPr>
          <w:p w14:paraId="4503C08B" w14:textId="77777777" w:rsidR="001A327E" w:rsidRPr="00872D7E" w:rsidRDefault="001A327E" w:rsidP="00FA5705">
            <w:pPr>
              <w:ind w:left="-10"/>
              <w:rPr>
                <w:sz w:val="18"/>
                <w:szCs w:val="18"/>
              </w:rPr>
            </w:pPr>
            <w:r w:rsidRPr="00872D7E">
              <w:rPr>
                <w:sz w:val="18"/>
                <w:szCs w:val="18"/>
              </w:rPr>
              <w:t>Kurumsal alacaklar</w:t>
            </w:r>
          </w:p>
        </w:tc>
        <w:tc>
          <w:tcPr>
            <w:tcW w:w="557" w:type="pct"/>
            <w:shd w:val="clear" w:color="auto" w:fill="auto"/>
            <w:vAlign w:val="bottom"/>
          </w:tcPr>
          <w:p w14:paraId="3BFE5BAE" w14:textId="0E54039D" w:rsidR="001A327E" w:rsidRPr="00872D7E" w:rsidRDefault="001A327E" w:rsidP="00FA5705">
            <w:pPr>
              <w:jc w:val="right"/>
              <w:rPr>
                <w:color w:val="000000"/>
                <w:sz w:val="18"/>
                <w:szCs w:val="18"/>
              </w:rPr>
            </w:pPr>
            <w:r w:rsidRPr="00872D7E">
              <w:rPr>
                <w:color w:val="000000"/>
                <w:sz w:val="18"/>
                <w:szCs w:val="18"/>
              </w:rPr>
              <w:t>1.845.945</w:t>
            </w:r>
          </w:p>
        </w:tc>
        <w:tc>
          <w:tcPr>
            <w:tcW w:w="557" w:type="pct"/>
            <w:shd w:val="clear" w:color="auto" w:fill="auto"/>
            <w:vAlign w:val="bottom"/>
          </w:tcPr>
          <w:p w14:paraId="280FEB1E" w14:textId="481B5448" w:rsidR="001A327E" w:rsidRPr="00872D7E" w:rsidRDefault="001A327E" w:rsidP="00FA5705">
            <w:pPr>
              <w:jc w:val="right"/>
              <w:rPr>
                <w:color w:val="000000"/>
                <w:sz w:val="18"/>
                <w:szCs w:val="18"/>
              </w:rPr>
            </w:pPr>
            <w:r w:rsidRPr="00872D7E">
              <w:rPr>
                <w:color w:val="000000"/>
                <w:sz w:val="18"/>
                <w:szCs w:val="18"/>
              </w:rPr>
              <w:t>3.025.603</w:t>
            </w:r>
          </w:p>
        </w:tc>
        <w:tc>
          <w:tcPr>
            <w:tcW w:w="557" w:type="pct"/>
            <w:shd w:val="clear" w:color="auto" w:fill="auto"/>
            <w:vAlign w:val="bottom"/>
          </w:tcPr>
          <w:p w14:paraId="05BBADA0" w14:textId="5B7D3B7A" w:rsidR="001A327E" w:rsidRPr="00872D7E" w:rsidRDefault="001A327E" w:rsidP="00FA5705">
            <w:pPr>
              <w:jc w:val="right"/>
              <w:rPr>
                <w:color w:val="000000"/>
                <w:sz w:val="18"/>
                <w:szCs w:val="18"/>
              </w:rPr>
            </w:pPr>
            <w:r w:rsidRPr="00872D7E">
              <w:rPr>
                <w:color w:val="000000"/>
                <w:sz w:val="18"/>
                <w:szCs w:val="18"/>
              </w:rPr>
              <w:t>2.931.029</w:t>
            </w:r>
          </w:p>
        </w:tc>
        <w:tc>
          <w:tcPr>
            <w:tcW w:w="557" w:type="pct"/>
            <w:shd w:val="clear" w:color="auto" w:fill="auto"/>
            <w:vAlign w:val="bottom"/>
          </w:tcPr>
          <w:p w14:paraId="0C0090CB" w14:textId="6E5F91AE" w:rsidR="001A327E" w:rsidRPr="00872D7E" w:rsidRDefault="001A327E" w:rsidP="00FA5705">
            <w:pPr>
              <w:jc w:val="right"/>
              <w:rPr>
                <w:color w:val="000000"/>
                <w:sz w:val="18"/>
                <w:szCs w:val="18"/>
              </w:rPr>
            </w:pPr>
            <w:r w:rsidRPr="00872D7E">
              <w:rPr>
                <w:color w:val="000000"/>
                <w:sz w:val="18"/>
                <w:szCs w:val="18"/>
              </w:rPr>
              <w:t>2.487.398</w:t>
            </w:r>
          </w:p>
        </w:tc>
        <w:tc>
          <w:tcPr>
            <w:tcW w:w="768" w:type="pct"/>
            <w:shd w:val="clear" w:color="auto" w:fill="auto"/>
            <w:vAlign w:val="bottom"/>
          </w:tcPr>
          <w:p w14:paraId="0CBF8208" w14:textId="6364C2A9" w:rsidR="001A327E" w:rsidRPr="00872D7E" w:rsidRDefault="001A327E" w:rsidP="00FA5705">
            <w:pPr>
              <w:jc w:val="right"/>
              <w:rPr>
                <w:color w:val="000000"/>
                <w:sz w:val="18"/>
                <w:szCs w:val="18"/>
              </w:rPr>
            </w:pPr>
            <w:r w:rsidRPr="00872D7E">
              <w:rPr>
                <w:color w:val="000000"/>
                <w:sz w:val="18"/>
                <w:szCs w:val="18"/>
              </w:rPr>
              <w:t>3.133.565</w:t>
            </w:r>
          </w:p>
        </w:tc>
      </w:tr>
      <w:tr w:rsidR="001A327E" w:rsidRPr="00872D7E" w14:paraId="1D55F6D7" w14:textId="77777777" w:rsidTr="001A327E">
        <w:trPr>
          <w:cantSplit/>
          <w:trHeight w:val="20"/>
        </w:trPr>
        <w:tc>
          <w:tcPr>
            <w:tcW w:w="264" w:type="pct"/>
            <w:shd w:val="clear" w:color="auto" w:fill="auto"/>
            <w:hideMark/>
          </w:tcPr>
          <w:p w14:paraId="64D0C82F" w14:textId="77777777" w:rsidR="001A327E" w:rsidRPr="00872D7E" w:rsidRDefault="001A327E" w:rsidP="00FA5705">
            <w:pPr>
              <w:rPr>
                <w:sz w:val="18"/>
                <w:szCs w:val="18"/>
              </w:rPr>
            </w:pPr>
            <w:r w:rsidRPr="00872D7E">
              <w:rPr>
                <w:sz w:val="18"/>
                <w:szCs w:val="18"/>
              </w:rPr>
              <w:t>8</w:t>
            </w:r>
          </w:p>
        </w:tc>
        <w:tc>
          <w:tcPr>
            <w:tcW w:w="1740" w:type="pct"/>
            <w:shd w:val="clear" w:color="auto" w:fill="auto"/>
            <w:vAlign w:val="bottom"/>
            <w:hideMark/>
          </w:tcPr>
          <w:p w14:paraId="389C929C" w14:textId="77777777" w:rsidR="001A327E" w:rsidRPr="00872D7E" w:rsidRDefault="001A327E" w:rsidP="00FA5705">
            <w:pPr>
              <w:ind w:left="-10"/>
              <w:rPr>
                <w:sz w:val="18"/>
                <w:szCs w:val="18"/>
              </w:rPr>
            </w:pPr>
            <w:r w:rsidRPr="00872D7E">
              <w:rPr>
                <w:sz w:val="18"/>
                <w:szCs w:val="18"/>
              </w:rPr>
              <w:t>Perakende alacaklar</w:t>
            </w:r>
          </w:p>
        </w:tc>
        <w:tc>
          <w:tcPr>
            <w:tcW w:w="557" w:type="pct"/>
            <w:shd w:val="clear" w:color="auto" w:fill="auto"/>
            <w:vAlign w:val="bottom"/>
          </w:tcPr>
          <w:p w14:paraId="69B134D9" w14:textId="2B8CB060"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4E45624A" w14:textId="4F572AB1"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56D89B94" w14:textId="5E0D9DA5"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4ED56FC8" w14:textId="4B659882"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6D2E1E86" w14:textId="13989DB4"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2AD57066" w14:textId="77777777" w:rsidTr="001A327E">
        <w:trPr>
          <w:cantSplit/>
          <w:trHeight w:val="20"/>
        </w:trPr>
        <w:tc>
          <w:tcPr>
            <w:tcW w:w="264" w:type="pct"/>
            <w:shd w:val="clear" w:color="auto" w:fill="auto"/>
            <w:hideMark/>
          </w:tcPr>
          <w:p w14:paraId="05EB48D6" w14:textId="77777777" w:rsidR="001A327E" w:rsidRPr="00872D7E" w:rsidRDefault="001A327E" w:rsidP="00FA5705">
            <w:pPr>
              <w:rPr>
                <w:sz w:val="18"/>
                <w:szCs w:val="18"/>
              </w:rPr>
            </w:pPr>
            <w:r w:rsidRPr="00872D7E">
              <w:rPr>
                <w:sz w:val="18"/>
                <w:szCs w:val="18"/>
              </w:rPr>
              <w:t>9</w:t>
            </w:r>
          </w:p>
        </w:tc>
        <w:tc>
          <w:tcPr>
            <w:tcW w:w="1740" w:type="pct"/>
            <w:shd w:val="clear" w:color="auto" w:fill="auto"/>
            <w:vAlign w:val="bottom"/>
            <w:hideMark/>
          </w:tcPr>
          <w:p w14:paraId="2E55EC18" w14:textId="77777777" w:rsidR="001A327E" w:rsidRPr="00872D7E" w:rsidRDefault="001A327E" w:rsidP="00FA5705">
            <w:pPr>
              <w:ind w:left="-10"/>
              <w:rPr>
                <w:sz w:val="18"/>
                <w:szCs w:val="18"/>
              </w:rPr>
            </w:pPr>
            <w:r w:rsidRPr="00872D7E">
              <w:rPr>
                <w:sz w:val="18"/>
                <w:szCs w:val="18"/>
              </w:rPr>
              <w:t>Gayrimenkul ipoteği ile teminatlandırılan alacaklar</w:t>
            </w:r>
          </w:p>
        </w:tc>
        <w:tc>
          <w:tcPr>
            <w:tcW w:w="557" w:type="pct"/>
            <w:shd w:val="clear" w:color="auto" w:fill="auto"/>
            <w:vAlign w:val="bottom"/>
          </w:tcPr>
          <w:p w14:paraId="314F30F5" w14:textId="60E6BA23" w:rsidR="001A327E" w:rsidRPr="00872D7E" w:rsidRDefault="001A327E" w:rsidP="00FA5705">
            <w:pPr>
              <w:jc w:val="right"/>
              <w:rPr>
                <w:color w:val="000000"/>
                <w:sz w:val="18"/>
                <w:szCs w:val="18"/>
              </w:rPr>
            </w:pPr>
            <w:r w:rsidRPr="00872D7E">
              <w:rPr>
                <w:color w:val="000000"/>
                <w:sz w:val="18"/>
                <w:szCs w:val="18"/>
              </w:rPr>
              <w:t>62.670</w:t>
            </w:r>
          </w:p>
        </w:tc>
        <w:tc>
          <w:tcPr>
            <w:tcW w:w="557" w:type="pct"/>
            <w:shd w:val="clear" w:color="auto" w:fill="auto"/>
            <w:vAlign w:val="bottom"/>
          </w:tcPr>
          <w:p w14:paraId="4615F17C" w14:textId="0E7FAFF4" w:rsidR="001A327E" w:rsidRPr="00872D7E" w:rsidRDefault="001A327E" w:rsidP="00FA5705">
            <w:pPr>
              <w:jc w:val="right"/>
              <w:rPr>
                <w:color w:val="000000"/>
                <w:sz w:val="18"/>
                <w:szCs w:val="18"/>
              </w:rPr>
            </w:pPr>
            <w:r w:rsidRPr="00872D7E">
              <w:rPr>
                <w:color w:val="000000"/>
                <w:sz w:val="18"/>
                <w:szCs w:val="18"/>
              </w:rPr>
              <w:t>64.169</w:t>
            </w:r>
          </w:p>
        </w:tc>
        <w:tc>
          <w:tcPr>
            <w:tcW w:w="557" w:type="pct"/>
            <w:shd w:val="clear" w:color="auto" w:fill="auto"/>
            <w:vAlign w:val="bottom"/>
          </w:tcPr>
          <w:p w14:paraId="52DDEAA7" w14:textId="538DD1F2" w:rsidR="001A327E" w:rsidRPr="00872D7E" w:rsidRDefault="001A327E" w:rsidP="00FA5705">
            <w:pPr>
              <w:jc w:val="right"/>
              <w:rPr>
                <w:color w:val="000000"/>
                <w:sz w:val="18"/>
                <w:szCs w:val="18"/>
              </w:rPr>
            </w:pPr>
            <w:r w:rsidRPr="00872D7E">
              <w:rPr>
                <w:color w:val="000000"/>
                <w:sz w:val="18"/>
                <w:szCs w:val="18"/>
              </w:rPr>
              <w:t>115.226</w:t>
            </w:r>
          </w:p>
        </w:tc>
        <w:tc>
          <w:tcPr>
            <w:tcW w:w="557" w:type="pct"/>
            <w:shd w:val="clear" w:color="auto" w:fill="auto"/>
            <w:vAlign w:val="bottom"/>
          </w:tcPr>
          <w:p w14:paraId="267FE2E2" w14:textId="02BC147F" w:rsidR="001A327E" w:rsidRPr="00872D7E" w:rsidRDefault="001A327E" w:rsidP="00FA5705">
            <w:pPr>
              <w:jc w:val="right"/>
              <w:rPr>
                <w:color w:val="000000"/>
                <w:sz w:val="18"/>
                <w:szCs w:val="18"/>
              </w:rPr>
            </w:pPr>
            <w:r w:rsidRPr="00872D7E">
              <w:rPr>
                <w:color w:val="000000"/>
                <w:sz w:val="18"/>
                <w:szCs w:val="18"/>
              </w:rPr>
              <w:t>153.239</w:t>
            </w:r>
          </w:p>
        </w:tc>
        <w:tc>
          <w:tcPr>
            <w:tcW w:w="768" w:type="pct"/>
            <w:shd w:val="clear" w:color="auto" w:fill="auto"/>
            <w:vAlign w:val="bottom"/>
          </w:tcPr>
          <w:p w14:paraId="132FC641" w14:textId="046B0EFA" w:rsidR="001A327E" w:rsidRPr="00872D7E" w:rsidRDefault="001A327E" w:rsidP="00FA5705">
            <w:pPr>
              <w:jc w:val="right"/>
              <w:rPr>
                <w:color w:val="000000"/>
                <w:sz w:val="18"/>
                <w:szCs w:val="18"/>
              </w:rPr>
            </w:pPr>
            <w:r w:rsidRPr="00872D7E">
              <w:rPr>
                <w:color w:val="000000"/>
                <w:sz w:val="18"/>
                <w:szCs w:val="18"/>
              </w:rPr>
              <w:t>314.309</w:t>
            </w:r>
          </w:p>
        </w:tc>
      </w:tr>
      <w:tr w:rsidR="001A327E" w:rsidRPr="00872D7E" w14:paraId="3DBB7181" w14:textId="77777777" w:rsidTr="001A327E">
        <w:trPr>
          <w:cantSplit/>
          <w:trHeight w:val="20"/>
        </w:trPr>
        <w:tc>
          <w:tcPr>
            <w:tcW w:w="264" w:type="pct"/>
            <w:shd w:val="clear" w:color="auto" w:fill="auto"/>
            <w:hideMark/>
          </w:tcPr>
          <w:p w14:paraId="5945C927" w14:textId="77777777" w:rsidR="001A327E" w:rsidRPr="00872D7E" w:rsidRDefault="001A327E" w:rsidP="00FA5705">
            <w:pPr>
              <w:rPr>
                <w:sz w:val="18"/>
                <w:szCs w:val="18"/>
              </w:rPr>
            </w:pPr>
            <w:r w:rsidRPr="00872D7E">
              <w:rPr>
                <w:sz w:val="18"/>
                <w:szCs w:val="18"/>
              </w:rPr>
              <w:t>10</w:t>
            </w:r>
          </w:p>
        </w:tc>
        <w:tc>
          <w:tcPr>
            <w:tcW w:w="1740" w:type="pct"/>
            <w:shd w:val="clear" w:color="auto" w:fill="auto"/>
            <w:vAlign w:val="bottom"/>
            <w:hideMark/>
          </w:tcPr>
          <w:p w14:paraId="6542BDAC" w14:textId="77777777" w:rsidR="001A327E" w:rsidRPr="00872D7E" w:rsidRDefault="001A327E" w:rsidP="00FA5705">
            <w:pPr>
              <w:ind w:left="-10"/>
              <w:rPr>
                <w:sz w:val="18"/>
                <w:szCs w:val="18"/>
              </w:rPr>
            </w:pPr>
            <w:r w:rsidRPr="00872D7E">
              <w:rPr>
                <w:sz w:val="18"/>
                <w:szCs w:val="18"/>
              </w:rPr>
              <w:t>Tahsili gecikmiş alacaklar</w:t>
            </w:r>
          </w:p>
        </w:tc>
        <w:tc>
          <w:tcPr>
            <w:tcW w:w="557" w:type="pct"/>
            <w:shd w:val="clear" w:color="auto" w:fill="auto"/>
            <w:vAlign w:val="bottom"/>
          </w:tcPr>
          <w:p w14:paraId="4C736DE3" w14:textId="1A2A4133"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034B87B8" w14:textId="62140AB9"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03A240B0" w14:textId="35EC378F"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0298652D" w14:textId="421C2ABD"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2B6E3386" w14:textId="4DA05A91"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250D972C" w14:textId="77777777" w:rsidTr="001A327E">
        <w:trPr>
          <w:cantSplit/>
          <w:trHeight w:val="20"/>
        </w:trPr>
        <w:tc>
          <w:tcPr>
            <w:tcW w:w="264" w:type="pct"/>
            <w:shd w:val="clear" w:color="auto" w:fill="auto"/>
            <w:hideMark/>
          </w:tcPr>
          <w:p w14:paraId="5AFE32EF" w14:textId="77777777" w:rsidR="001A327E" w:rsidRPr="00872D7E" w:rsidRDefault="001A327E" w:rsidP="00FA5705">
            <w:pPr>
              <w:rPr>
                <w:sz w:val="18"/>
                <w:szCs w:val="18"/>
              </w:rPr>
            </w:pPr>
            <w:r w:rsidRPr="00872D7E">
              <w:rPr>
                <w:sz w:val="18"/>
                <w:szCs w:val="18"/>
              </w:rPr>
              <w:t>11</w:t>
            </w:r>
          </w:p>
        </w:tc>
        <w:tc>
          <w:tcPr>
            <w:tcW w:w="1740" w:type="pct"/>
            <w:shd w:val="clear" w:color="auto" w:fill="auto"/>
            <w:vAlign w:val="bottom"/>
            <w:hideMark/>
          </w:tcPr>
          <w:p w14:paraId="64F4E931" w14:textId="77777777" w:rsidR="001A327E" w:rsidRPr="00872D7E" w:rsidRDefault="001A327E" w:rsidP="00FA5705">
            <w:pPr>
              <w:ind w:left="-10"/>
              <w:rPr>
                <w:sz w:val="18"/>
                <w:szCs w:val="18"/>
              </w:rPr>
            </w:pPr>
            <w:r w:rsidRPr="00872D7E">
              <w:rPr>
                <w:sz w:val="18"/>
                <w:szCs w:val="18"/>
              </w:rPr>
              <w:t>Kurulca riski yüksek belirlenmiş alacaklar</w:t>
            </w:r>
          </w:p>
        </w:tc>
        <w:tc>
          <w:tcPr>
            <w:tcW w:w="557" w:type="pct"/>
            <w:shd w:val="clear" w:color="auto" w:fill="auto"/>
            <w:vAlign w:val="bottom"/>
          </w:tcPr>
          <w:p w14:paraId="22A2EBFF" w14:textId="1BBF5893" w:rsidR="001A327E" w:rsidRPr="00872D7E" w:rsidRDefault="001A327E" w:rsidP="00FA5705">
            <w:pPr>
              <w:jc w:val="right"/>
              <w:rPr>
                <w:color w:val="000000"/>
                <w:sz w:val="18"/>
                <w:szCs w:val="18"/>
              </w:rPr>
            </w:pPr>
            <w:r w:rsidRPr="00872D7E">
              <w:rPr>
                <w:color w:val="000000"/>
                <w:sz w:val="18"/>
                <w:szCs w:val="18"/>
              </w:rPr>
              <w:t>1</w:t>
            </w:r>
          </w:p>
        </w:tc>
        <w:tc>
          <w:tcPr>
            <w:tcW w:w="557" w:type="pct"/>
            <w:shd w:val="clear" w:color="auto" w:fill="auto"/>
            <w:vAlign w:val="bottom"/>
          </w:tcPr>
          <w:p w14:paraId="5F445E64" w14:textId="16B5C876"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5CE60A7A" w14:textId="56D80E2A" w:rsidR="001A327E" w:rsidRPr="00872D7E" w:rsidRDefault="001A327E" w:rsidP="00FA5705">
            <w:pPr>
              <w:jc w:val="right"/>
              <w:rPr>
                <w:color w:val="000000"/>
                <w:sz w:val="18"/>
                <w:szCs w:val="18"/>
              </w:rPr>
            </w:pPr>
            <w:r w:rsidRPr="00872D7E">
              <w:rPr>
                <w:color w:val="000000"/>
                <w:sz w:val="18"/>
                <w:szCs w:val="18"/>
              </w:rPr>
              <w:t>2.458</w:t>
            </w:r>
          </w:p>
        </w:tc>
        <w:tc>
          <w:tcPr>
            <w:tcW w:w="557" w:type="pct"/>
            <w:shd w:val="clear" w:color="auto" w:fill="auto"/>
            <w:vAlign w:val="bottom"/>
          </w:tcPr>
          <w:p w14:paraId="002CD699" w14:textId="39A43D0C" w:rsidR="001A327E" w:rsidRPr="00872D7E" w:rsidRDefault="001A327E" w:rsidP="00FA5705">
            <w:pPr>
              <w:jc w:val="right"/>
              <w:rPr>
                <w:color w:val="000000"/>
                <w:sz w:val="18"/>
                <w:szCs w:val="18"/>
              </w:rPr>
            </w:pPr>
            <w:r w:rsidRPr="00872D7E">
              <w:rPr>
                <w:color w:val="000000"/>
                <w:sz w:val="18"/>
                <w:szCs w:val="18"/>
              </w:rPr>
              <w:t>25.189</w:t>
            </w:r>
          </w:p>
        </w:tc>
        <w:tc>
          <w:tcPr>
            <w:tcW w:w="768" w:type="pct"/>
            <w:shd w:val="clear" w:color="auto" w:fill="auto"/>
            <w:vAlign w:val="bottom"/>
          </w:tcPr>
          <w:p w14:paraId="53314AC0" w14:textId="6CC6BC64"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2EF5F358" w14:textId="77777777" w:rsidTr="001A327E">
        <w:trPr>
          <w:cantSplit/>
          <w:trHeight w:val="20"/>
        </w:trPr>
        <w:tc>
          <w:tcPr>
            <w:tcW w:w="264" w:type="pct"/>
            <w:shd w:val="clear" w:color="auto" w:fill="auto"/>
            <w:hideMark/>
          </w:tcPr>
          <w:p w14:paraId="156D38AC" w14:textId="77777777" w:rsidR="001A327E" w:rsidRPr="00872D7E" w:rsidRDefault="001A327E" w:rsidP="00FA5705">
            <w:pPr>
              <w:rPr>
                <w:sz w:val="18"/>
                <w:szCs w:val="18"/>
              </w:rPr>
            </w:pPr>
            <w:r w:rsidRPr="00872D7E">
              <w:rPr>
                <w:sz w:val="18"/>
                <w:szCs w:val="18"/>
              </w:rPr>
              <w:t>12</w:t>
            </w:r>
          </w:p>
        </w:tc>
        <w:tc>
          <w:tcPr>
            <w:tcW w:w="1740" w:type="pct"/>
            <w:shd w:val="clear" w:color="auto" w:fill="auto"/>
            <w:vAlign w:val="bottom"/>
            <w:hideMark/>
          </w:tcPr>
          <w:p w14:paraId="1A23CF1E" w14:textId="77777777" w:rsidR="001A327E" w:rsidRPr="00872D7E" w:rsidRDefault="001A327E" w:rsidP="00FA5705">
            <w:pPr>
              <w:ind w:left="-10"/>
              <w:rPr>
                <w:sz w:val="18"/>
                <w:szCs w:val="18"/>
              </w:rPr>
            </w:pPr>
            <w:r w:rsidRPr="00872D7E">
              <w:rPr>
                <w:sz w:val="18"/>
                <w:szCs w:val="18"/>
              </w:rPr>
              <w:t>Teminatlı menkul kıymetler</w:t>
            </w:r>
          </w:p>
        </w:tc>
        <w:tc>
          <w:tcPr>
            <w:tcW w:w="557" w:type="pct"/>
            <w:shd w:val="clear" w:color="auto" w:fill="auto"/>
            <w:vAlign w:val="bottom"/>
          </w:tcPr>
          <w:p w14:paraId="6ACD60F3" w14:textId="1F3629AA"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640D4D2D" w14:textId="7BE9106F"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6D569DC6" w14:textId="37285C93"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2EEF9A62" w14:textId="22743CC2"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39027958" w14:textId="604BB1A5"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1D30558B" w14:textId="77777777" w:rsidTr="001A327E">
        <w:trPr>
          <w:cantSplit/>
          <w:trHeight w:val="20"/>
        </w:trPr>
        <w:tc>
          <w:tcPr>
            <w:tcW w:w="264" w:type="pct"/>
            <w:shd w:val="clear" w:color="auto" w:fill="auto"/>
            <w:hideMark/>
          </w:tcPr>
          <w:p w14:paraId="2C8550A9" w14:textId="77777777" w:rsidR="001A327E" w:rsidRPr="00872D7E" w:rsidRDefault="001A327E" w:rsidP="00FA5705">
            <w:pPr>
              <w:rPr>
                <w:sz w:val="18"/>
                <w:szCs w:val="18"/>
              </w:rPr>
            </w:pPr>
            <w:r w:rsidRPr="00872D7E">
              <w:rPr>
                <w:sz w:val="18"/>
                <w:szCs w:val="18"/>
              </w:rPr>
              <w:t>13</w:t>
            </w:r>
          </w:p>
        </w:tc>
        <w:tc>
          <w:tcPr>
            <w:tcW w:w="1740" w:type="pct"/>
            <w:shd w:val="clear" w:color="auto" w:fill="auto"/>
            <w:vAlign w:val="bottom"/>
            <w:hideMark/>
          </w:tcPr>
          <w:p w14:paraId="11742722" w14:textId="77777777" w:rsidR="001A327E" w:rsidRPr="00872D7E" w:rsidRDefault="001A327E" w:rsidP="00FA5705">
            <w:pPr>
              <w:ind w:left="-10"/>
              <w:rPr>
                <w:sz w:val="18"/>
                <w:szCs w:val="18"/>
              </w:rPr>
            </w:pPr>
            <w:r w:rsidRPr="00872D7E">
              <w:rPr>
                <w:sz w:val="18"/>
                <w:szCs w:val="18"/>
              </w:rPr>
              <w:t>Bankalardan ve aracı kurumlardan olan kısa vadeli alacaklar ile kısa vadeli kurumsal alacaklar</w:t>
            </w:r>
          </w:p>
        </w:tc>
        <w:tc>
          <w:tcPr>
            <w:tcW w:w="557" w:type="pct"/>
            <w:shd w:val="clear" w:color="auto" w:fill="auto"/>
            <w:vAlign w:val="bottom"/>
          </w:tcPr>
          <w:p w14:paraId="300DFE9F" w14:textId="52EAF89B"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23EDE73D" w14:textId="1B504134"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78CCE1F4" w14:textId="70E23B22"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670542D4" w14:textId="32037FFD"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4FE19C27" w14:textId="4B51D178"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27A5CFAE" w14:textId="77777777" w:rsidTr="001A327E">
        <w:trPr>
          <w:cantSplit/>
          <w:trHeight w:val="20"/>
        </w:trPr>
        <w:tc>
          <w:tcPr>
            <w:tcW w:w="264" w:type="pct"/>
            <w:shd w:val="clear" w:color="auto" w:fill="auto"/>
            <w:hideMark/>
          </w:tcPr>
          <w:p w14:paraId="624E7303" w14:textId="77777777" w:rsidR="001A327E" w:rsidRPr="00872D7E" w:rsidRDefault="001A327E" w:rsidP="00FA5705">
            <w:pPr>
              <w:rPr>
                <w:sz w:val="18"/>
                <w:szCs w:val="18"/>
              </w:rPr>
            </w:pPr>
            <w:r w:rsidRPr="00872D7E">
              <w:rPr>
                <w:sz w:val="18"/>
                <w:szCs w:val="18"/>
              </w:rPr>
              <w:t>14</w:t>
            </w:r>
          </w:p>
        </w:tc>
        <w:tc>
          <w:tcPr>
            <w:tcW w:w="1740" w:type="pct"/>
            <w:shd w:val="clear" w:color="auto" w:fill="auto"/>
            <w:vAlign w:val="bottom"/>
            <w:hideMark/>
          </w:tcPr>
          <w:p w14:paraId="769F18CC" w14:textId="77777777" w:rsidR="001A327E" w:rsidRPr="00872D7E" w:rsidRDefault="001A327E" w:rsidP="00FA5705">
            <w:pPr>
              <w:ind w:left="-10"/>
              <w:rPr>
                <w:sz w:val="18"/>
                <w:szCs w:val="18"/>
              </w:rPr>
            </w:pPr>
            <w:r w:rsidRPr="00872D7E">
              <w:rPr>
                <w:sz w:val="18"/>
                <w:szCs w:val="18"/>
              </w:rPr>
              <w:t>Kolektif yatırım kuruluşu niteliğindeki yatırımlar</w:t>
            </w:r>
          </w:p>
        </w:tc>
        <w:tc>
          <w:tcPr>
            <w:tcW w:w="557" w:type="pct"/>
            <w:shd w:val="clear" w:color="auto" w:fill="auto"/>
            <w:vAlign w:val="bottom"/>
          </w:tcPr>
          <w:p w14:paraId="50873ABA" w14:textId="1CDDCA27" w:rsidR="001A327E" w:rsidRPr="00872D7E" w:rsidRDefault="001A327E" w:rsidP="00FA5705">
            <w:pPr>
              <w:jc w:val="right"/>
              <w:rPr>
                <w:color w:val="000000"/>
                <w:sz w:val="18"/>
                <w:szCs w:val="18"/>
              </w:rPr>
            </w:pPr>
            <w:r w:rsidRPr="00872D7E">
              <w:rPr>
                <w:color w:val="000000"/>
                <w:sz w:val="18"/>
                <w:szCs w:val="18"/>
              </w:rPr>
              <w:t>948</w:t>
            </w:r>
          </w:p>
        </w:tc>
        <w:tc>
          <w:tcPr>
            <w:tcW w:w="557" w:type="pct"/>
            <w:shd w:val="clear" w:color="auto" w:fill="auto"/>
            <w:vAlign w:val="bottom"/>
          </w:tcPr>
          <w:p w14:paraId="6EE4CBB5" w14:textId="03A100AE"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5A67CC4C" w14:textId="52A3C3C3" w:rsidR="001A327E" w:rsidRPr="00872D7E" w:rsidRDefault="001A327E" w:rsidP="00FA5705">
            <w:pPr>
              <w:jc w:val="right"/>
              <w:rPr>
                <w:color w:val="000000"/>
                <w:sz w:val="18"/>
                <w:szCs w:val="18"/>
              </w:rPr>
            </w:pPr>
            <w:r w:rsidRPr="00872D7E">
              <w:rPr>
                <w:color w:val="000000"/>
                <w:sz w:val="18"/>
                <w:szCs w:val="18"/>
              </w:rPr>
              <w:t>-</w:t>
            </w:r>
          </w:p>
        </w:tc>
        <w:tc>
          <w:tcPr>
            <w:tcW w:w="557" w:type="pct"/>
            <w:shd w:val="clear" w:color="auto" w:fill="auto"/>
            <w:vAlign w:val="bottom"/>
          </w:tcPr>
          <w:p w14:paraId="5B156F07" w14:textId="6F9A04A7" w:rsidR="001A327E" w:rsidRPr="00872D7E" w:rsidRDefault="001A327E" w:rsidP="00FA5705">
            <w:pPr>
              <w:jc w:val="right"/>
              <w:rPr>
                <w:color w:val="000000"/>
                <w:sz w:val="18"/>
                <w:szCs w:val="18"/>
              </w:rPr>
            </w:pPr>
            <w:r w:rsidRPr="00872D7E">
              <w:rPr>
                <w:color w:val="000000"/>
                <w:sz w:val="18"/>
                <w:szCs w:val="18"/>
              </w:rPr>
              <w:t>-</w:t>
            </w:r>
          </w:p>
        </w:tc>
        <w:tc>
          <w:tcPr>
            <w:tcW w:w="768" w:type="pct"/>
            <w:shd w:val="clear" w:color="auto" w:fill="auto"/>
            <w:vAlign w:val="bottom"/>
          </w:tcPr>
          <w:p w14:paraId="60513D34" w14:textId="02B15B54" w:rsidR="001A327E" w:rsidRPr="00872D7E" w:rsidRDefault="001A327E" w:rsidP="00FA5705">
            <w:pPr>
              <w:jc w:val="right"/>
              <w:rPr>
                <w:color w:val="000000"/>
                <w:sz w:val="18"/>
                <w:szCs w:val="18"/>
              </w:rPr>
            </w:pPr>
            <w:r w:rsidRPr="00872D7E">
              <w:rPr>
                <w:color w:val="000000"/>
                <w:sz w:val="18"/>
                <w:szCs w:val="18"/>
              </w:rPr>
              <w:t>-</w:t>
            </w:r>
          </w:p>
        </w:tc>
      </w:tr>
      <w:tr w:rsidR="001A327E" w:rsidRPr="00872D7E" w14:paraId="675C25A4" w14:textId="77777777" w:rsidTr="001A327E">
        <w:trPr>
          <w:cantSplit/>
          <w:trHeight w:val="20"/>
        </w:trPr>
        <w:tc>
          <w:tcPr>
            <w:tcW w:w="264" w:type="pct"/>
            <w:shd w:val="clear" w:color="auto" w:fill="auto"/>
            <w:hideMark/>
          </w:tcPr>
          <w:p w14:paraId="1F1D0D3F" w14:textId="77777777" w:rsidR="001A327E" w:rsidRPr="00872D7E" w:rsidRDefault="001A327E" w:rsidP="00FA5705">
            <w:pPr>
              <w:rPr>
                <w:sz w:val="18"/>
                <w:szCs w:val="18"/>
              </w:rPr>
            </w:pPr>
            <w:r w:rsidRPr="00872D7E">
              <w:rPr>
                <w:sz w:val="18"/>
                <w:szCs w:val="18"/>
              </w:rPr>
              <w:t>15</w:t>
            </w:r>
          </w:p>
        </w:tc>
        <w:tc>
          <w:tcPr>
            <w:tcW w:w="1740" w:type="pct"/>
            <w:shd w:val="clear" w:color="auto" w:fill="auto"/>
            <w:vAlign w:val="bottom"/>
            <w:hideMark/>
          </w:tcPr>
          <w:p w14:paraId="3891E4DB" w14:textId="77777777" w:rsidR="001A327E" w:rsidRPr="00872D7E" w:rsidRDefault="001A327E" w:rsidP="00FA5705">
            <w:pPr>
              <w:ind w:left="-10"/>
              <w:rPr>
                <w:sz w:val="18"/>
                <w:szCs w:val="18"/>
              </w:rPr>
            </w:pPr>
            <w:r w:rsidRPr="00872D7E">
              <w:rPr>
                <w:sz w:val="18"/>
                <w:szCs w:val="18"/>
              </w:rPr>
              <w:t>Diğer alacaklar</w:t>
            </w:r>
          </w:p>
        </w:tc>
        <w:tc>
          <w:tcPr>
            <w:tcW w:w="557" w:type="pct"/>
            <w:shd w:val="clear" w:color="auto" w:fill="auto"/>
            <w:vAlign w:val="bottom"/>
          </w:tcPr>
          <w:p w14:paraId="50057D86" w14:textId="69096547" w:rsidR="001A327E" w:rsidRPr="00872D7E" w:rsidRDefault="001A327E" w:rsidP="00FA5705">
            <w:pPr>
              <w:jc w:val="right"/>
              <w:rPr>
                <w:sz w:val="18"/>
                <w:szCs w:val="18"/>
              </w:rPr>
            </w:pPr>
            <w:r w:rsidRPr="00872D7E">
              <w:rPr>
                <w:color w:val="000000"/>
                <w:sz w:val="18"/>
                <w:szCs w:val="18"/>
              </w:rPr>
              <w:t>991.124</w:t>
            </w:r>
          </w:p>
        </w:tc>
        <w:tc>
          <w:tcPr>
            <w:tcW w:w="557" w:type="pct"/>
            <w:shd w:val="clear" w:color="auto" w:fill="auto"/>
            <w:vAlign w:val="bottom"/>
          </w:tcPr>
          <w:p w14:paraId="7DAD60F5" w14:textId="287F44BD" w:rsidR="001A327E" w:rsidRPr="00872D7E" w:rsidRDefault="001A327E" w:rsidP="00FA5705">
            <w:pPr>
              <w:jc w:val="right"/>
              <w:rPr>
                <w:sz w:val="18"/>
                <w:szCs w:val="18"/>
              </w:rPr>
            </w:pPr>
            <w:r w:rsidRPr="00872D7E">
              <w:rPr>
                <w:color w:val="000000"/>
                <w:sz w:val="18"/>
                <w:szCs w:val="18"/>
              </w:rPr>
              <w:t>-</w:t>
            </w:r>
          </w:p>
        </w:tc>
        <w:tc>
          <w:tcPr>
            <w:tcW w:w="557" w:type="pct"/>
            <w:shd w:val="clear" w:color="auto" w:fill="auto"/>
            <w:vAlign w:val="bottom"/>
          </w:tcPr>
          <w:p w14:paraId="7F6D8AB1" w14:textId="357CDF60" w:rsidR="001A327E" w:rsidRPr="00872D7E" w:rsidRDefault="001A327E" w:rsidP="00FA5705">
            <w:pPr>
              <w:jc w:val="right"/>
              <w:rPr>
                <w:sz w:val="18"/>
                <w:szCs w:val="18"/>
              </w:rPr>
            </w:pPr>
            <w:r w:rsidRPr="00872D7E">
              <w:rPr>
                <w:color w:val="000000"/>
                <w:sz w:val="18"/>
                <w:szCs w:val="18"/>
              </w:rPr>
              <w:t>-</w:t>
            </w:r>
          </w:p>
        </w:tc>
        <w:tc>
          <w:tcPr>
            <w:tcW w:w="557" w:type="pct"/>
            <w:shd w:val="clear" w:color="auto" w:fill="auto"/>
            <w:vAlign w:val="bottom"/>
          </w:tcPr>
          <w:p w14:paraId="286E9386" w14:textId="1292421D" w:rsidR="001A327E" w:rsidRPr="00872D7E" w:rsidRDefault="001A327E" w:rsidP="00FA5705">
            <w:pPr>
              <w:jc w:val="right"/>
              <w:rPr>
                <w:sz w:val="18"/>
                <w:szCs w:val="18"/>
              </w:rPr>
            </w:pPr>
            <w:r w:rsidRPr="00872D7E">
              <w:rPr>
                <w:color w:val="000000"/>
                <w:sz w:val="18"/>
                <w:szCs w:val="18"/>
              </w:rPr>
              <w:t>-</w:t>
            </w:r>
          </w:p>
        </w:tc>
        <w:tc>
          <w:tcPr>
            <w:tcW w:w="768" w:type="pct"/>
            <w:shd w:val="clear" w:color="auto" w:fill="auto"/>
            <w:vAlign w:val="bottom"/>
          </w:tcPr>
          <w:p w14:paraId="351E52D3" w14:textId="0FFF1D04" w:rsidR="001A327E" w:rsidRPr="00872D7E" w:rsidRDefault="001A327E" w:rsidP="00FA5705">
            <w:pPr>
              <w:jc w:val="right"/>
              <w:rPr>
                <w:sz w:val="18"/>
                <w:szCs w:val="18"/>
              </w:rPr>
            </w:pPr>
            <w:r w:rsidRPr="00872D7E">
              <w:rPr>
                <w:color w:val="000000"/>
                <w:sz w:val="18"/>
                <w:szCs w:val="18"/>
              </w:rPr>
              <w:t>-</w:t>
            </w:r>
          </w:p>
        </w:tc>
      </w:tr>
      <w:tr w:rsidR="001A327E" w:rsidRPr="00872D7E" w14:paraId="03434D82" w14:textId="77777777" w:rsidTr="00987E11">
        <w:trPr>
          <w:cantSplit/>
          <w:trHeight w:val="20"/>
        </w:trPr>
        <w:tc>
          <w:tcPr>
            <w:tcW w:w="264" w:type="pct"/>
            <w:tcBorders>
              <w:top w:val="nil"/>
              <w:left w:val="nil"/>
              <w:bottom w:val="single" w:sz="4" w:space="0" w:color="auto"/>
              <w:right w:val="nil"/>
            </w:tcBorders>
            <w:shd w:val="clear" w:color="auto" w:fill="auto"/>
            <w:hideMark/>
          </w:tcPr>
          <w:p w14:paraId="551CFF3C" w14:textId="77777777" w:rsidR="001A327E" w:rsidRPr="00872D7E" w:rsidRDefault="001A327E" w:rsidP="00FA5705">
            <w:pPr>
              <w:rPr>
                <w:sz w:val="18"/>
                <w:szCs w:val="18"/>
              </w:rPr>
            </w:pPr>
            <w:r w:rsidRPr="00872D7E">
              <w:rPr>
                <w:sz w:val="18"/>
                <w:szCs w:val="18"/>
              </w:rPr>
              <w:t>16</w:t>
            </w:r>
          </w:p>
        </w:tc>
        <w:tc>
          <w:tcPr>
            <w:tcW w:w="1740" w:type="pct"/>
            <w:tcBorders>
              <w:top w:val="nil"/>
              <w:left w:val="nil"/>
              <w:bottom w:val="single" w:sz="4" w:space="0" w:color="auto"/>
              <w:right w:val="nil"/>
            </w:tcBorders>
            <w:shd w:val="clear" w:color="auto" w:fill="auto"/>
            <w:vAlign w:val="bottom"/>
            <w:hideMark/>
          </w:tcPr>
          <w:p w14:paraId="547887E6" w14:textId="77777777" w:rsidR="001A327E" w:rsidRPr="00872D7E" w:rsidRDefault="001A327E" w:rsidP="00FA5705">
            <w:pPr>
              <w:ind w:left="-10"/>
              <w:rPr>
                <w:sz w:val="18"/>
                <w:szCs w:val="18"/>
              </w:rPr>
            </w:pPr>
            <w:r w:rsidRPr="00872D7E">
              <w:rPr>
                <w:sz w:val="18"/>
                <w:szCs w:val="18"/>
              </w:rPr>
              <w:t>Hisse senedi yatırımları</w:t>
            </w:r>
          </w:p>
        </w:tc>
        <w:tc>
          <w:tcPr>
            <w:tcW w:w="557" w:type="pct"/>
            <w:tcBorders>
              <w:top w:val="nil"/>
              <w:left w:val="nil"/>
              <w:bottom w:val="single" w:sz="4" w:space="0" w:color="auto"/>
              <w:right w:val="nil"/>
            </w:tcBorders>
            <w:shd w:val="clear" w:color="auto" w:fill="auto"/>
            <w:vAlign w:val="bottom"/>
          </w:tcPr>
          <w:p w14:paraId="2F0259FF" w14:textId="4908EB0F" w:rsidR="001A327E" w:rsidRPr="00872D7E" w:rsidRDefault="001A327E" w:rsidP="00FA5705">
            <w:pPr>
              <w:jc w:val="right"/>
              <w:rPr>
                <w:sz w:val="18"/>
                <w:szCs w:val="18"/>
              </w:rPr>
            </w:pPr>
            <w:r w:rsidRPr="00872D7E">
              <w:rPr>
                <w:color w:val="000000"/>
                <w:sz w:val="18"/>
                <w:szCs w:val="18"/>
              </w:rPr>
              <w:t>1.265</w:t>
            </w:r>
          </w:p>
        </w:tc>
        <w:tc>
          <w:tcPr>
            <w:tcW w:w="557" w:type="pct"/>
            <w:tcBorders>
              <w:top w:val="nil"/>
              <w:left w:val="nil"/>
              <w:bottom w:val="single" w:sz="4" w:space="0" w:color="auto"/>
              <w:right w:val="nil"/>
            </w:tcBorders>
            <w:shd w:val="clear" w:color="auto" w:fill="auto"/>
            <w:vAlign w:val="bottom"/>
          </w:tcPr>
          <w:p w14:paraId="08436481" w14:textId="762E78A9" w:rsidR="001A327E" w:rsidRPr="00872D7E" w:rsidRDefault="001A327E" w:rsidP="00FA5705">
            <w:pPr>
              <w:jc w:val="right"/>
              <w:rPr>
                <w:sz w:val="18"/>
                <w:szCs w:val="18"/>
              </w:rPr>
            </w:pPr>
            <w:r w:rsidRPr="00872D7E">
              <w:rPr>
                <w:color w:val="000000"/>
                <w:sz w:val="18"/>
                <w:szCs w:val="18"/>
              </w:rPr>
              <w:t>-</w:t>
            </w:r>
          </w:p>
        </w:tc>
        <w:tc>
          <w:tcPr>
            <w:tcW w:w="557" w:type="pct"/>
            <w:tcBorders>
              <w:top w:val="nil"/>
              <w:left w:val="nil"/>
              <w:bottom w:val="single" w:sz="4" w:space="0" w:color="auto"/>
              <w:right w:val="nil"/>
            </w:tcBorders>
            <w:shd w:val="clear" w:color="auto" w:fill="auto"/>
            <w:vAlign w:val="bottom"/>
          </w:tcPr>
          <w:p w14:paraId="1C736CAD" w14:textId="6FD7DFE8" w:rsidR="001A327E" w:rsidRPr="00872D7E" w:rsidRDefault="001A327E" w:rsidP="00FA5705">
            <w:pPr>
              <w:jc w:val="right"/>
              <w:rPr>
                <w:sz w:val="18"/>
                <w:szCs w:val="18"/>
              </w:rPr>
            </w:pPr>
            <w:r w:rsidRPr="00872D7E">
              <w:rPr>
                <w:color w:val="000000"/>
                <w:sz w:val="18"/>
                <w:szCs w:val="18"/>
              </w:rPr>
              <w:t>-</w:t>
            </w:r>
          </w:p>
        </w:tc>
        <w:tc>
          <w:tcPr>
            <w:tcW w:w="557" w:type="pct"/>
            <w:tcBorders>
              <w:top w:val="nil"/>
              <w:left w:val="nil"/>
              <w:bottom w:val="single" w:sz="4" w:space="0" w:color="auto"/>
              <w:right w:val="nil"/>
            </w:tcBorders>
            <w:shd w:val="clear" w:color="auto" w:fill="auto"/>
            <w:vAlign w:val="bottom"/>
          </w:tcPr>
          <w:p w14:paraId="131CEB16" w14:textId="47B5B281" w:rsidR="001A327E" w:rsidRPr="00872D7E" w:rsidRDefault="001A327E" w:rsidP="00FA5705">
            <w:pPr>
              <w:jc w:val="right"/>
              <w:rPr>
                <w:sz w:val="18"/>
                <w:szCs w:val="18"/>
              </w:rPr>
            </w:pPr>
            <w:r w:rsidRPr="00872D7E">
              <w:rPr>
                <w:color w:val="000000"/>
                <w:sz w:val="18"/>
                <w:szCs w:val="18"/>
              </w:rPr>
              <w:t>-</w:t>
            </w:r>
          </w:p>
        </w:tc>
        <w:tc>
          <w:tcPr>
            <w:tcW w:w="768" w:type="pct"/>
            <w:tcBorders>
              <w:top w:val="nil"/>
              <w:left w:val="nil"/>
              <w:bottom w:val="single" w:sz="4" w:space="0" w:color="auto"/>
              <w:right w:val="nil"/>
            </w:tcBorders>
            <w:shd w:val="clear" w:color="auto" w:fill="auto"/>
            <w:vAlign w:val="bottom"/>
          </w:tcPr>
          <w:p w14:paraId="57737459" w14:textId="208DD602" w:rsidR="001A327E" w:rsidRPr="00872D7E" w:rsidRDefault="001A327E" w:rsidP="00FA5705">
            <w:pPr>
              <w:jc w:val="right"/>
              <w:rPr>
                <w:sz w:val="18"/>
                <w:szCs w:val="18"/>
              </w:rPr>
            </w:pPr>
            <w:r w:rsidRPr="00872D7E">
              <w:rPr>
                <w:color w:val="000000"/>
                <w:sz w:val="18"/>
                <w:szCs w:val="18"/>
              </w:rPr>
              <w:t>-</w:t>
            </w:r>
          </w:p>
        </w:tc>
      </w:tr>
      <w:tr w:rsidR="001A327E" w:rsidRPr="00872D7E" w14:paraId="494BDB1B" w14:textId="77777777" w:rsidTr="00987E11">
        <w:trPr>
          <w:cantSplit/>
          <w:trHeight w:val="20"/>
        </w:trPr>
        <w:tc>
          <w:tcPr>
            <w:tcW w:w="264" w:type="pct"/>
            <w:tcBorders>
              <w:top w:val="single" w:sz="4" w:space="0" w:color="auto"/>
              <w:left w:val="nil"/>
              <w:bottom w:val="single" w:sz="12" w:space="0" w:color="auto"/>
              <w:right w:val="nil"/>
            </w:tcBorders>
            <w:shd w:val="clear" w:color="auto" w:fill="auto"/>
            <w:hideMark/>
          </w:tcPr>
          <w:p w14:paraId="4801192B" w14:textId="77777777" w:rsidR="001A327E" w:rsidRPr="00872D7E" w:rsidRDefault="001A327E" w:rsidP="00FA5705">
            <w:pPr>
              <w:rPr>
                <w:b/>
                <w:sz w:val="18"/>
                <w:szCs w:val="18"/>
              </w:rPr>
            </w:pPr>
            <w:r w:rsidRPr="00872D7E">
              <w:rPr>
                <w:b/>
                <w:sz w:val="18"/>
                <w:szCs w:val="18"/>
              </w:rPr>
              <w:t>17</w:t>
            </w:r>
          </w:p>
        </w:tc>
        <w:tc>
          <w:tcPr>
            <w:tcW w:w="1740" w:type="pct"/>
            <w:tcBorders>
              <w:top w:val="single" w:sz="4" w:space="0" w:color="auto"/>
              <w:left w:val="nil"/>
              <w:bottom w:val="single" w:sz="12" w:space="0" w:color="auto"/>
              <w:right w:val="nil"/>
            </w:tcBorders>
            <w:shd w:val="clear" w:color="auto" w:fill="auto"/>
            <w:vAlign w:val="bottom"/>
            <w:hideMark/>
          </w:tcPr>
          <w:p w14:paraId="6D2F4F27" w14:textId="77777777" w:rsidR="001A327E" w:rsidRPr="00872D7E" w:rsidRDefault="001A327E" w:rsidP="00FA5705">
            <w:pPr>
              <w:rPr>
                <w:b/>
                <w:snapToGrid w:val="0"/>
                <w:sz w:val="18"/>
                <w:szCs w:val="18"/>
              </w:rPr>
            </w:pPr>
            <w:r w:rsidRPr="00872D7E">
              <w:rPr>
                <w:b/>
                <w:sz w:val="18"/>
                <w:szCs w:val="18"/>
              </w:rPr>
              <w:t>Toplam</w:t>
            </w:r>
          </w:p>
        </w:tc>
        <w:tc>
          <w:tcPr>
            <w:tcW w:w="557" w:type="pct"/>
            <w:tcBorders>
              <w:top w:val="single" w:sz="4" w:space="0" w:color="auto"/>
              <w:left w:val="nil"/>
              <w:bottom w:val="single" w:sz="12" w:space="0" w:color="auto"/>
              <w:right w:val="nil"/>
            </w:tcBorders>
            <w:shd w:val="clear" w:color="auto" w:fill="auto"/>
            <w:vAlign w:val="bottom"/>
          </w:tcPr>
          <w:p w14:paraId="4AFC756A" w14:textId="7C57C7B7" w:rsidR="001A327E" w:rsidRPr="00872D7E" w:rsidRDefault="001A327E" w:rsidP="00FA5705">
            <w:pPr>
              <w:jc w:val="right"/>
              <w:rPr>
                <w:b/>
                <w:sz w:val="18"/>
                <w:szCs w:val="18"/>
              </w:rPr>
            </w:pPr>
            <w:r w:rsidRPr="00872D7E">
              <w:rPr>
                <w:b/>
                <w:bCs/>
                <w:color w:val="000000"/>
                <w:sz w:val="18"/>
                <w:szCs w:val="18"/>
              </w:rPr>
              <w:t>11.598.779</w:t>
            </w:r>
          </w:p>
        </w:tc>
        <w:tc>
          <w:tcPr>
            <w:tcW w:w="557" w:type="pct"/>
            <w:tcBorders>
              <w:top w:val="single" w:sz="4" w:space="0" w:color="auto"/>
              <w:left w:val="nil"/>
              <w:bottom w:val="single" w:sz="12" w:space="0" w:color="auto"/>
              <w:right w:val="nil"/>
            </w:tcBorders>
            <w:shd w:val="clear" w:color="auto" w:fill="auto"/>
            <w:vAlign w:val="bottom"/>
          </w:tcPr>
          <w:p w14:paraId="5231533A" w14:textId="4E95B223" w:rsidR="001A327E" w:rsidRPr="00872D7E" w:rsidRDefault="001A327E" w:rsidP="00FA5705">
            <w:pPr>
              <w:jc w:val="right"/>
              <w:rPr>
                <w:b/>
                <w:sz w:val="18"/>
                <w:szCs w:val="18"/>
              </w:rPr>
            </w:pPr>
            <w:r w:rsidRPr="00872D7E">
              <w:rPr>
                <w:b/>
                <w:bCs/>
                <w:color w:val="000000"/>
                <w:sz w:val="18"/>
                <w:szCs w:val="18"/>
              </w:rPr>
              <w:t>3.089.772</w:t>
            </w:r>
          </w:p>
        </w:tc>
        <w:tc>
          <w:tcPr>
            <w:tcW w:w="557" w:type="pct"/>
            <w:tcBorders>
              <w:top w:val="single" w:sz="4" w:space="0" w:color="auto"/>
              <w:left w:val="nil"/>
              <w:bottom w:val="single" w:sz="12" w:space="0" w:color="auto"/>
              <w:right w:val="nil"/>
            </w:tcBorders>
            <w:shd w:val="clear" w:color="auto" w:fill="auto"/>
            <w:vAlign w:val="bottom"/>
          </w:tcPr>
          <w:p w14:paraId="4952AB3E" w14:textId="5FDFCFE4" w:rsidR="001A327E" w:rsidRPr="00872D7E" w:rsidRDefault="001A327E" w:rsidP="00FA5705">
            <w:pPr>
              <w:jc w:val="right"/>
              <w:rPr>
                <w:b/>
                <w:sz w:val="18"/>
                <w:szCs w:val="18"/>
              </w:rPr>
            </w:pPr>
            <w:r w:rsidRPr="00872D7E">
              <w:rPr>
                <w:b/>
                <w:bCs/>
                <w:color w:val="000000"/>
                <w:sz w:val="18"/>
                <w:szCs w:val="18"/>
              </w:rPr>
              <w:t>3.048.713</w:t>
            </w:r>
          </w:p>
        </w:tc>
        <w:tc>
          <w:tcPr>
            <w:tcW w:w="557" w:type="pct"/>
            <w:tcBorders>
              <w:top w:val="single" w:sz="4" w:space="0" w:color="auto"/>
              <w:left w:val="nil"/>
              <w:bottom w:val="single" w:sz="12" w:space="0" w:color="auto"/>
              <w:right w:val="nil"/>
            </w:tcBorders>
            <w:shd w:val="clear" w:color="auto" w:fill="auto"/>
            <w:vAlign w:val="bottom"/>
          </w:tcPr>
          <w:p w14:paraId="038034D5" w14:textId="28373C3D" w:rsidR="001A327E" w:rsidRPr="00872D7E" w:rsidRDefault="001A327E" w:rsidP="00FA5705">
            <w:pPr>
              <w:jc w:val="right"/>
              <w:rPr>
                <w:b/>
                <w:sz w:val="18"/>
                <w:szCs w:val="18"/>
              </w:rPr>
            </w:pPr>
            <w:r w:rsidRPr="00872D7E">
              <w:rPr>
                <w:b/>
                <w:bCs/>
                <w:color w:val="000000"/>
                <w:sz w:val="18"/>
                <w:szCs w:val="18"/>
              </w:rPr>
              <w:t>2.665.826</w:t>
            </w:r>
          </w:p>
        </w:tc>
        <w:tc>
          <w:tcPr>
            <w:tcW w:w="768" w:type="pct"/>
            <w:tcBorders>
              <w:top w:val="single" w:sz="4" w:space="0" w:color="auto"/>
              <w:left w:val="nil"/>
              <w:bottom w:val="single" w:sz="12" w:space="0" w:color="auto"/>
              <w:right w:val="nil"/>
            </w:tcBorders>
            <w:shd w:val="clear" w:color="auto" w:fill="auto"/>
            <w:vAlign w:val="bottom"/>
          </w:tcPr>
          <w:p w14:paraId="6877718B" w14:textId="6A0EC4E7" w:rsidR="001A327E" w:rsidRPr="00872D7E" w:rsidRDefault="001A327E" w:rsidP="00FA5705">
            <w:pPr>
              <w:jc w:val="right"/>
              <w:rPr>
                <w:b/>
                <w:sz w:val="18"/>
                <w:szCs w:val="18"/>
              </w:rPr>
            </w:pPr>
            <w:r w:rsidRPr="00872D7E">
              <w:rPr>
                <w:b/>
                <w:bCs/>
                <w:color w:val="000000"/>
                <w:sz w:val="18"/>
                <w:szCs w:val="18"/>
              </w:rPr>
              <w:t>4.803.628</w:t>
            </w:r>
          </w:p>
        </w:tc>
      </w:tr>
    </w:tbl>
    <w:p w14:paraId="7DF69623" w14:textId="77777777" w:rsidR="00FA5705" w:rsidRPr="00872D7E" w:rsidRDefault="00FA5705" w:rsidP="00FA5705">
      <w:pPr>
        <w:ind w:left="851"/>
        <w:jc w:val="both"/>
        <w:rPr>
          <w:b/>
          <w:szCs w:val="20"/>
        </w:rPr>
      </w:pPr>
    </w:p>
    <w:p w14:paraId="309874BC" w14:textId="55AA366B" w:rsidR="00220C40" w:rsidRPr="00872D7E" w:rsidRDefault="00AF6D40" w:rsidP="00FA5705">
      <w:pPr>
        <w:ind w:left="851"/>
        <w:jc w:val="both"/>
        <w:rPr>
          <w:szCs w:val="20"/>
        </w:rPr>
      </w:pPr>
      <w:r w:rsidRPr="00872D7E">
        <w:rPr>
          <w:b/>
          <w:szCs w:val="20"/>
        </w:rPr>
        <w:t>(</w:t>
      </w:r>
      <w:r w:rsidR="00C17B76" w:rsidRPr="00872D7E">
        <w:rPr>
          <w:b/>
          <w:szCs w:val="20"/>
        </w:rPr>
        <w:t>9</w:t>
      </w:r>
      <w:r w:rsidR="00DB273F" w:rsidRPr="00872D7E">
        <w:rPr>
          <w:b/>
          <w:szCs w:val="20"/>
        </w:rPr>
        <w:t>)</w:t>
      </w:r>
      <w:r w:rsidR="00DB273F" w:rsidRPr="00872D7E">
        <w:rPr>
          <w:szCs w:val="20"/>
        </w:rPr>
        <w:t xml:space="preserve"> </w:t>
      </w:r>
      <w:r w:rsidR="00DB273F" w:rsidRPr="00872D7E">
        <w:rPr>
          <w:szCs w:val="20"/>
        </w:rPr>
        <w:tab/>
      </w:r>
      <w:r w:rsidR="00220C40" w:rsidRPr="00872D7E">
        <w:rPr>
          <w:szCs w:val="20"/>
        </w:rPr>
        <w:t>Bankaların Sermaye Yeterliliğinin Ölçülmesine ve Değerlendirilmesine İlişkin Yönetmeliğin 6’ncı maddesinde belirtilen risk sınıflarına ait risk ağırlıklarının belirlenmesinde kredi müşterileri tarafından görevlendirilen derecelendirme kuruluşlarından alınan derecelendirme notları kullanılmamaktadır. Derecelendirilmemiş merkezi yönetimlerden ve merkez bankalarından alacaklar için OECD (</w:t>
      </w:r>
      <w:proofErr w:type="spellStart"/>
      <w:r w:rsidR="00220C40" w:rsidRPr="00872D7E">
        <w:rPr>
          <w:szCs w:val="20"/>
        </w:rPr>
        <w:t>Organization</w:t>
      </w:r>
      <w:proofErr w:type="spellEnd"/>
      <w:r w:rsidR="00220C40" w:rsidRPr="00872D7E">
        <w:rPr>
          <w:szCs w:val="20"/>
        </w:rPr>
        <w:t xml:space="preserve"> </w:t>
      </w:r>
      <w:proofErr w:type="spellStart"/>
      <w:r w:rsidR="00220C40" w:rsidRPr="00872D7E">
        <w:rPr>
          <w:szCs w:val="20"/>
        </w:rPr>
        <w:t>for</w:t>
      </w:r>
      <w:proofErr w:type="spellEnd"/>
      <w:r w:rsidR="00220C40" w:rsidRPr="00872D7E">
        <w:rPr>
          <w:szCs w:val="20"/>
        </w:rPr>
        <w:t xml:space="preserve"> </w:t>
      </w:r>
      <w:proofErr w:type="spellStart"/>
      <w:r w:rsidR="00220C40" w:rsidRPr="00872D7E">
        <w:rPr>
          <w:szCs w:val="20"/>
        </w:rPr>
        <w:t>Economic</w:t>
      </w:r>
      <w:proofErr w:type="spellEnd"/>
      <w:r w:rsidR="00220C40" w:rsidRPr="00872D7E">
        <w:rPr>
          <w:szCs w:val="20"/>
        </w:rPr>
        <w:t xml:space="preserve"> </w:t>
      </w:r>
      <w:proofErr w:type="spellStart"/>
      <w:r w:rsidR="00220C40" w:rsidRPr="00872D7E">
        <w:rPr>
          <w:szCs w:val="20"/>
        </w:rPr>
        <w:t>Cooperation</w:t>
      </w:r>
      <w:proofErr w:type="spellEnd"/>
      <w:r w:rsidR="00220C40" w:rsidRPr="00872D7E">
        <w:rPr>
          <w:szCs w:val="20"/>
        </w:rPr>
        <w:t xml:space="preserve"> </w:t>
      </w:r>
      <w:proofErr w:type="spellStart"/>
      <w:r w:rsidR="00220C40" w:rsidRPr="00872D7E">
        <w:rPr>
          <w:szCs w:val="20"/>
        </w:rPr>
        <w:t>and</w:t>
      </w:r>
      <w:proofErr w:type="spellEnd"/>
      <w:r w:rsidR="00220C40" w:rsidRPr="00872D7E">
        <w:rPr>
          <w:szCs w:val="20"/>
        </w:rPr>
        <w:t xml:space="preserve"> Development) tarafından verilen derecelendirme notları dikkate alınmaktadır. Yönetmelikte yer alan diğer alacaklar derecesiz kabul edilmek suretiyle sermaye yeterliliği hesabına dâhil edilmektedir.</w:t>
      </w:r>
    </w:p>
    <w:p w14:paraId="01DA4682" w14:textId="77777777" w:rsidR="00FA5705" w:rsidRPr="00872D7E" w:rsidRDefault="00FA5705" w:rsidP="00FA5705">
      <w:pPr>
        <w:ind w:left="851"/>
        <w:jc w:val="both"/>
        <w:rPr>
          <w:szCs w:val="20"/>
        </w:rPr>
      </w:pPr>
    </w:p>
    <w:p w14:paraId="75730F89" w14:textId="63C3195A" w:rsidR="00DB273F" w:rsidRPr="00872D7E" w:rsidRDefault="00220C40" w:rsidP="00FA5705">
      <w:pPr>
        <w:ind w:left="851"/>
        <w:jc w:val="both"/>
        <w:rPr>
          <w:szCs w:val="20"/>
        </w:rPr>
      </w:pPr>
      <w:r w:rsidRPr="00872D7E">
        <w:rPr>
          <w:szCs w:val="20"/>
        </w:rPr>
        <w:t xml:space="preserve">Kredi derecelendirme kuruluşlarının verdiği derecelerin eşleştirmesini gösteren “Kredi Kalite Kademesi Tablosu” </w:t>
      </w:r>
      <w:proofErr w:type="spellStart"/>
      <w:r w:rsidRPr="00872D7E">
        <w:rPr>
          <w:szCs w:val="20"/>
        </w:rPr>
        <w:t>na</w:t>
      </w:r>
      <w:proofErr w:type="spellEnd"/>
      <w:r w:rsidRPr="00872D7E">
        <w:rPr>
          <w:szCs w:val="20"/>
        </w:rPr>
        <w:t xml:space="preserve"> aşağıda yer verilmiştir.</w:t>
      </w:r>
    </w:p>
    <w:p w14:paraId="069B2D17" w14:textId="5128237D" w:rsidR="00DB273F" w:rsidRPr="00872D7E" w:rsidRDefault="00DB273F" w:rsidP="00FA5705">
      <w:r w:rsidRPr="00872D7E">
        <w:br w:type="page"/>
      </w:r>
    </w:p>
    <w:p w14:paraId="1FF7D445" w14:textId="77777777" w:rsidR="00706ECA" w:rsidRPr="00872D7E" w:rsidRDefault="00706ECA" w:rsidP="00706ECA">
      <w:pPr>
        <w:rPr>
          <w:b/>
          <w:szCs w:val="20"/>
        </w:rPr>
      </w:pPr>
      <w:r w:rsidRPr="00872D7E">
        <w:rPr>
          <w:b/>
          <w:szCs w:val="20"/>
        </w:rPr>
        <w:lastRenderedPageBreak/>
        <w:t>MALİ BÜNYEYE VE RİSK YÖNETİMİNE İLİŞKİN BİLGİLER (Devamı)</w:t>
      </w:r>
    </w:p>
    <w:p w14:paraId="0DD018B1" w14:textId="77777777" w:rsidR="00FA5705" w:rsidRPr="00872D7E" w:rsidRDefault="00FA5705" w:rsidP="00706ECA">
      <w:pPr>
        <w:rPr>
          <w:b/>
          <w:szCs w:val="20"/>
        </w:rPr>
      </w:pPr>
    </w:p>
    <w:p w14:paraId="4099FCCF" w14:textId="1C6AB307" w:rsidR="00261C50" w:rsidRPr="00872D7E" w:rsidRDefault="00261C50" w:rsidP="00FA5705">
      <w:pPr>
        <w:autoSpaceDE w:val="0"/>
        <w:autoSpaceDN w:val="0"/>
        <w:adjustRightInd w:val="0"/>
        <w:spacing w:before="120" w:after="120"/>
        <w:ind w:left="851" w:hanging="851"/>
        <w:jc w:val="both"/>
        <w:rPr>
          <w:b/>
          <w:szCs w:val="20"/>
        </w:rPr>
      </w:pPr>
      <w:r w:rsidRPr="00872D7E">
        <w:rPr>
          <w:b/>
          <w:szCs w:val="20"/>
        </w:rPr>
        <w:t>II.</w:t>
      </w:r>
      <w:r w:rsidRPr="00872D7E">
        <w:rPr>
          <w:b/>
          <w:szCs w:val="20"/>
        </w:rPr>
        <w:tab/>
        <w:t>KREDİ RİSKİNE İLİŞKİN AÇIKLAMALAR (Devamı)</w:t>
      </w:r>
    </w:p>
    <w:tbl>
      <w:tblPr>
        <w:tblStyle w:val="TableGrid0"/>
        <w:tblW w:w="5000" w:type="pct"/>
        <w:tblInd w:w="0" w:type="dxa"/>
        <w:tblCellMar>
          <w:top w:w="46" w:type="dxa"/>
          <w:left w:w="60" w:type="dxa"/>
          <w:right w:w="21" w:type="dxa"/>
        </w:tblCellMar>
        <w:tblLook w:val="04A0" w:firstRow="1" w:lastRow="0" w:firstColumn="1" w:lastColumn="0" w:noHBand="0" w:noVBand="1"/>
      </w:tblPr>
      <w:tblGrid>
        <w:gridCol w:w="422"/>
        <w:gridCol w:w="992"/>
        <w:gridCol w:w="951"/>
        <w:gridCol w:w="953"/>
        <w:gridCol w:w="790"/>
        <w:gridCol w:w="1781"/>
        <w:gridCol w:w="849"/>
        <w:gridCol w:w="1793"/>
        <w:gridCol w:w="1098"/>
      </w:tblGrid>
      <w:tr w:rsidR="00DB273F" w:rsidRPr="00872D7E" w14:paraId="3C539268" w14:textId="77777777" w:rsidTr="00394E48">
        <w:trPr>
          <w:cantSplit/>
          <w:trHeight w:val="20"/>
        </w:trPr>
        <w:tc>
          <w:tcPr>
            <w:tcW w:w="219"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D3CD0DD" w14:textId="77777777" w:rsidR="00DB273F" w:rsidRPr="00872D7E" w:rsidRDefault="00DB273F" w:rsidP="00394E48">
            <w:pPr>
              <w:spacing w:line="256" w:lineRule="auto"/>
              <w:ind w:left="85" w:right="113"/>
              <w:jc w:val="center"/>
              <w:rPr>
                <w:rFonts w:ascii="Times New Roman" w:hAnsi="Times New Roman" w:cs="Times New Roman"/>
                <w:b/>
                <w:sz w:val="15"/>
                <w:szCs w:val="15"/>
              </w:rPr>
            </w:pPr>
            <w:r w:rsidRPr="00872D7E">
              <w:rPr>
                <w:rFonts w:ascii="Times New Roman" w:hAnsi="Times New Roman" w:cs="Times New Roman"/>
                <w:b/>
                <w:sz w:val="15"/>
                <w:szCs w:val="15"/>
              </w:rPr>
              <w:t>Eşleştirilecek Derecelendirmeler</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55A0A" w14:textId="77777777" w:rsidR="00DB273F" w:rsidRPr="00872D7E" w:rsidRDefault="00DB273F" w:rsidP="00394E48">
            <w:pPr>
              <w:ind w:left="2"/>
              <w:jc w:val="cente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FC34D5"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b/>
                <w:sz w:val="15"/>
                <w:szCs w:val="15"/>
              </w:rPr>
              <w:t>Kredi</w:t>
            </w:r>
          </w:p>
          <w:p w14:paraId="2683AB51"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b/>
                <w:sz w:val="15"/>
                <w:szCs w:val="15"/>
              </w:rPr>
              <w:t>Kalitesi</w:t>
            </w:r>
          </w:p>
          <w:p w14:paraId="24501765" w14:textId="77777777" w:rsidR="00DB273F" w:rsidRPr="00872D7E" w:rsidRDefault="00DB273F" w:rsidP="00394E48">
            <w:pPr>
              <w:ind w:left="19"/>
              <w:jc w:val="center"/>
              <w:rPr>
                <w:rFonts w:ascii="Times New Roman" w:hAnsi="Times New Roman" w:cs="Times New Roman"/>
                <w:sz w:val="15"/>
                <w:szCs w:val="15"/>
              </w:rPr>
            </w:pPr>
            <w:r w:rsidRPr="00872D7E">
              <w:rPr>
                <w:rFonts w:ascii="Times New Roman" w:hAnsi="Times New Roman" w:cs="Times New Roman"/>
                <w:b/>
                <w:sz w:val="15"/>
                <w:szCs w:val="15"/>
              </w:rPr>
              <w:t>Kademesi</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9E56C8" w14:textId="77777777" w:rsidR="00DB273F" w:rsidRPr="00872D7E" w:rsidRDefault="00DB273F" w:rsidP="00394E48">
            <w:pPr>
              <w:ind w:left="26"/>
              <w:jc w:val="center"/>
              <w:rPr>
                <w:rFonts w:ascii="Times New Roman" w:hAnsi="Times New Roman" w:cs="Times New Roman"/>
                <w:sz w:val="15"/>
                <w:szCs w:val="15"/>
              </w:rPr>
            </w:pPr>
            <w:r w:rsidRPr="00872D7E">
              <w:rPr>
                <w:rFonts w:ascii="Times New Roman" w:hAnsi="Times New Roman" w:cs="Times New Roman"/>
                <w:b/>
                <w:sz w:val="15"/>
                <w:szCs w:val="15"/>
              </w:rPr>
              <w:t xml:space="preserve">Fitch </w:t>
            </w:r>
            <w:proofErr w:type="spellStart"/>
            <w:r w:rsidRPr="00872D7E">
              <w:rPr>
                <w:rFonts w:ascii="Times New Roman" w:hAnsi="Times New Roman" w:cs="Times New Roman"/>
                <w:b/>
                <w:sz w:val="15"/>
                <w:szCs w:val="15"/>
              </w:rPr>
              <w:t>Ratings</w:t>
            </w:r>
            <w:proofErr w:type="spellEnd"/>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740F5F" w14:textId="77777777" w:rsidR="00DB273F" w:rsidRPr="00872D7E" w:rsidRDefault="00DB273F" w:rsidP="00394E48">
            <w:pPr>
              <w:ind w:right="41"/>
              <w:jc w:val="center"/>
              <w:rPr>
                <w:rFonts w:ascii="Times New Roman" w:hAnsi="Times New Roman" w:cs="Times New Roman"/>
                <w:sz w:val="15"/>
                <w:szCs w:val="15"/>
              </w:rPr>
            </w:pPr>
            <w:r w:rsidRPr="00872D7E">
              <w:rPr>
                <w:rFonts w:ascii="Times New Roman" w:hAnsi="Times New Roman" w:cs="Times New Roman"/>
                <w:b/>
                <w:sz w:val="15"/>
                <w:szCs w:val="15"/>
              </w:rPr>
              <w:t>Moody's</w:t>
            </w:r>
          </w:p>
          <w:p w14:paraId="477E8BC0"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b/>
                <w:sz w:val="15"/>
                <w:szCs w:val="15"/>
              </w:rPr>
              <w:t>Investor Service</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C40F3A"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b/>
                <w:sz w:val="15"/>
                <w:szCs w:val="15"/>
              </w:rPr>
              <w:t xml:space="preserve">S&amp;P </w:t>
            </w:r>
            <w:proofErr w:type="spellStart"/>
            <w:r w:rsidRPr="00872D7E">
              <w:rPr>
                <w:rFonts w:ascii="Times New Roman" w:hAnsi="Times New Roman" w:cs="Times New Roman"/>
                <w:b/>
                <w:sz w:val="15"/>
                <w:szCs w:val="15"/>
              </w:rPr>
              <w:t>Ratings</w:t>
            </w:r>
            <w:proofErr w:type="spellEnd"/>
            <w:r w:rsidRPr="00872D7E">
              <w:rPr>
                <w:rFonts w:ascii="Times New Roman" w:hAnsi="Times New Roman" w:cs="Times New Roman"/>
                <w:b/>
                <w:sz w:val="15"/>
                <w:szCs w:val="15"/>
              </w:rPr>
              <w:t xml:space="preserve"> Services</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891309"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b/>
                <w:sz w:val="15"/>
                <w:szCs w:val="15"/>
              </w:rPr>
              <w:t xml:space="preserve">Japan </w:t>
            </w:r>
            <w:proofErr w:type="spellStart"/>
            <w:r w:rsidRPr="00872D7E">
              <w:rPr>
                <w:rFonts w:ascii="Times New Roman" w:hAnsi="Times New Roman" w:cs="Times New Roman"/>
                <w:b/>
                <w:sz w:val="15"/>
                <w:szCs w:val="15"/>
              </w:rPr>
              <w:t>Credit</w:t>
            </w:r>
            <w:proofErr w:type="spellEnd"/>
            <w:r w:rsidRPr="00872D7E">
              <w:rPr>
                <w:rFonts w:ascii="Times New Roman" w:hAnsi="Times New Roman" w:cs="Times New Roman"/>
                <w:b/>
                <w:sz w:val="15"/>
                <w:szCs w:val="15"/>
              </w:rPr>
              <w:t xml:space="preserve"> Rating </w:t>
            </w:r>
            <w:proofErr w:type="spellStart"/>
            <w:r w:rsidRPr="00872D7E">
              <w:rPr>
                <w:rFonts w:ascii="Times New Roman" w:hAnsi="Times New Roman" w:cs="Times New Roman"/>
                <w:b/>
                <w:sz w:val="15"/>
                <w:szCs w:val="15"/>
              </w:rPr>
              <w:t>Agency</w:t>
            </w:r>
            <w:proofErr w:type="spellEnd"/>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AC40D8"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eastAsia="Calibri" w:hAnsi="Times New Roman" w:cs="Times New Roman"/>
                <w:b/>
                <w:sz w:val="15"/>
                <w:szCs w:val="15"/>
              </w:rPr>
              <w:t>DBRS</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092FC" w14:textId="77777777" w:rsidR="00DB273F" w:rsidRPr="00872D7E" w:rsidRDefault="00DB273F" w:rsidP="00394E48">
            <w:pPr>
              <w:ind w:right="36"/>
              <w:jc w:val="center"/>
              <w:rPr>
                <w:rFonts w:ascii="Times New Roman" w:hAnsi="Times New Roman" w:cs="Times New Roman"/>
                <w:sz w:val="15"/>
                <w:szCs w:val="15"/>
              </w:rPr>
            </w:pPr>
            <w:r w:rsidRPr="00872D7E">
              <w:rPr>
                <w:rFonts w:ascii="Times New Roman" w:eastAsia="Calibri" w:hAnsi="Times New Roman" w:cs="Times New Roman"/>
                <w:b/>
                <w:sz w:val="15"/>
                <w:szCs w:val="15"/>
              </w:rPr>
              <w:t>IIRA</w:t>
            </w:r>
          </w:p>
        </w:tc>
      </w:tr>
      <w:tr w:rsidR="00DB273F" w:rsidRPr="00872D7E" w14:paraId="0D6422A0"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2476D8" w14:textId="77777777" w:rsidR="00DB273F" w:rsidRPr="00872D7E" w:rsidRDefault="00DB273F" w:rsidP="00394E48">
            <w:pPr>
              <w:rPr>
                <w:rFonts w:ascii="Times New Roman" w:hAnsi="Times New Roman" w:cs="Times New Roman"/>
                <w:b/>
                <w:sz w:val="15"/>
                <w:szCs w:val="15"/>
              </w:rPr>
            </w:pPr>
          </w:p>
        </w:tc>
        <w:tc>
          <w:tcPr>
            <w:tcW w:w="51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2AF03F38" w14:textId="77777777" w:rsidR="00DB273F" w:rsidRPr="00872D7E" w:rsidRDefault="00DB273F" w:rsidP="00394E48">
            <w:pPr>
              <w:ind w:left="351" w:right="113"/>
              <w:jc w:val="center"/>
              <w:rPr>
                <w:rFonts w:ascii="Times New Roman" w:hAnsi="Times New Roman" w:cs="Times New Roman"/>
                <w:b/>
                <w:sz w:val="15"/>
                <w:szCs w:val="15"/>
              </w:rPr>
            </w:pPr>
            <w:r w:rsidRPr="00872D7E">
              <w:rPr>
                <w:rFonts w:ascii="Times New Roman" w:hAnsi="Times New Roman" w:cs="Times New Roman"/>
                <w:b/>
                <w:sz w:val="15"/>
                <w:szCs w:val="15"/>
              </w:rPr>
              <w:t>Uzun vadeli kredi derecelendirmeleri</w:t>
            </w: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B61FD5"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1</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F01C13" w14:textId="77777777" w:rsidR="00DB273F" w:rsidRPr="00872D7E" w:rsidRDefault="00DB273F" w:rsidP="00394E48">
            <w:pPr>
              <w:ind w:left="50"/>
              <w:jc w:val="center"/>
              <w:rPr>
                <w:rFonts w:ascii="Times New Roman" w:hAnsi="Times New Roman" w:cs="Times New Roman"/>
                <w:sz w:val="15"/>
                <w:szCs w:val="15"/>
              </w:rPr>
            </w:pPr>
            <w:r w:rsidRPr="00872D7E">
              <w:rPr>
                <w:rFonts w:ascii="Times New Roman" w:hAnsi="Times New Roman" w:cs="Times New Roman"/>
                <w:sz w:val="15"/>
                <w:szCs w:val="15"/>
              </w:rPr>
              <w:t xml:space="preserve">AAA ile AA-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71DBBE" w14:textId="77777777" w:rsidR="00DB273F" w:rsidRPr="00872D7E" w:rsidRDefault="00DB273F" w:rsidP="00394E48">
            <w:pPr>
              <w:ind w:right="38"/>
              <w:jc w:val="center"/>
              <w:rPr>
                <w:rFonts w:ascii="Times New Roman" w:hAnsi="Times New Roman" w:cs="Times New Roman"/>
                <w:sz w:val="15"/>
                <w:szCs w:val="15"/>
              </w:rPr>
            </w:pPr>
            <w:proofErr w:type="spellStart"/>
            <w:r w:rsidRPr="00872D7E">
              <w:rPr>
                <w:rFonts w:ascii="Times New Roman" w:hAnsi="Times New Roman" w:cs="Times New Roman"/>
                <w:sz w:val="15"/>
                <w:szCs w:val="15"/>
              </w:rPr>
              <w:t>Aaa</w:t>
            </w:r>
            <w:proofErr w:type="spellEnd"/>
            <w:r w:rsidRPr="00872D7E">
              <w:rPr>
                <w:rFonts w:ascii="Times New Roman" w:hAnsi="Times New Roman" w:cs="Times New Roman"/>
                <w:sz w:val="15"/>
                <w:szCs w:val="15"/>
              </w:rPr>
              <w:t xml:space="preserve"> ile Aa3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07F5DE"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AAA ile AA-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702A6E"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AAA ile AA-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187D33" w14:textId="53B2DA2F" w:rsidR="00DB273F" w:rsidRPr="00872D7E" w:rsidRDefault="00DB273F" w:rsidP="00394E48">
            <w:pPr>
              <w:spacing w:line="256" w:lineRule="auto"/>
              <w:ind w:right="41"/>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AAA </w:t>
            </w:r>
            <w:r w:rsidRPr="00872D7E">
              <w:rPr>
                <w:rFonts w:ascii="Times New Roman" w:hAnsi="Times New Roman" w:cs="Times New Roman"/>
                <w:sz w:val="15"/>
                <w:szCs w:val="15"/>
              </w:rPr>
              <w:t>ile</w:t>
            </w:r>
            <w:r w:rsidRPr="00872D7E">
              <w:rPr>
                <w:rFonts w:ascii="Times New Roman" w:eastAsia="Calibri" w:hAnsi="Times New Roman" w:cs="Times New Roman"/>
                <w:sz w:val="15"/>
                <w:szCs w:val="15"/>
              </w:rPr>
              <w:t xml:space="preserve"> AA </w:t>
            </w:r>
          </w:p>
          <w:p w14:paraId="5787F30E"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eastAsia="Calibri" w:hAnsi="Times New Roman" w:cs="Times New Roman"/>
                <w:sz w:val="15"/>
                <w:szCs w:val="15"/>
              </w:rPr>
              <w:t>(</w:t>
            </w:r>
            <w:proofErr w:type="gramStart"/>
            <w:r w:rsidRPr="00872D7E">
              <w:rPr>
                <w:rFonts w:ascii="Times New Roman" w:hAnsi="Times New Roman" w:cs="Times New Roman"/>
                <w:sz w:val="15"/>
                <w:szCs w:val="15"/>
              </w:rPr>
              <w:t>düşük</w:t>
            </w:r>
            <w:proofErr w:type="gramEnd"/>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843EA6" w14:textId="77777777" w:rsidR="00DB273F" w:rsidRPr="00872D7E" w:rsidRDefault="00DB273F" w:rsidP="00394E48">
            <w:pPr>
              <w:ind w:left="36"/>
              <w:jc w:val="center"/>
              <w:rPr>
                <w:rFonts w:ascii="Times New Roman" w:hAnsi="Times New Roman" w:cs="Times New Roman"/>
                <w:sz w:val="15"/>
                <w:szCs w:val="15"/>
              </w:rPr>
            </w:pPr>
            <w:r w:rsidRPr="00872D7E">
              <w:rPr>
                <w:rFonts w:ascii="Times New Roman" w:hAnsi="Times New Roman" w:cs="Times New Roman"/>
                <w:sz w:val="15"/>
                <w:szCs w:val="15"/>
              </w:rPr>
              <w:t xml:space="preserve">AAA ile AA- </w:t>
            </w:r>
          </w:p>
        </w:tc>
      </w:tr>
      <w:tr w:rsidR="00DB273F" w:rsidRPr="00872D7E" w14:paraId="7FFBFF7F"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911011"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224201"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4AF46E"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2</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901885"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A+ ile A-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098A31"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hAnsi="Times New Roman" w:cs="Times New Roman"/>
                <w:sz w:val="15"/>
                <w:szCs w:val="15"/>
              </w:rPr>
              <w:t xml:space="preserve">A1 ile A3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077EDF"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A+ ile A-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9B21A1"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A+ ile A-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65F78D" w14:textId="043D94AD"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A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w:t>
            </w:r>
            <w:r w:rsidRPr="00872D7E">
              <w:rPr>
                <w:rFonts w:ascii="Times New Roman" w:hAnsi="Times New Roman" w:cs="Times New Roman"/>
                <w:sz w:val="15"/>
                <w:szCs w:val="15"/>
              </w:rPr>
              <w:t xml:space="preserve"> ile</w:t>
            </w:r>
            <w:r w:rsidRPr="00872D7E">
              <w:rPr>
                <w:rFonts w:ascii="Times New Roman" w:eastAsia="Calibri" w:hAnsi="Times New Roman" w:cs="Times New Roman"/>
                <w:sz w:val="15"/>
                <w:szCs w:val="15"/>
              </w:rPr>
              <w:t xml:space="preserve"> A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D6C2CD" w14:textId="77777777" w:rsidR="00DB273F" w:rsidRPr="00872D7E" w:rsidRDefault="00DB273F" w:rsidP="00394E48">
            <w:pPr>
              <w:ind w:right="42"/>
              <w:jc w:val="center"/>
              <w:rPr>
                <w:rFonts w:ascii="Times New Roman" w:hAnsi="Times New Roman" w:cs="Times New Roman"/>
                <w:sz w:val="15"/>
                <w:szCs w:val="15"/>
              </w:rPr>
            </w:pPr>
            <w:r w:rsidRPr="00872D7E">
              <w:rPr>
                <w:rFonts w:ascii="Times New Roman" w:hAnsi="Times New Roman" w:cs="Times New Roman"/>
                <w:sz w:val="15"/>
                <w:szCs w:val="15"/>
              </w:rPr>
              <w:t xml:space="preserve">A+ ile A- </w:t>
            </w:r>
          </w:p>
        </w:tc>
      </w:tr>
      <w:tr w:rsidR="00DB273F" w:rsidRPr="00872D7E" w14:paraId="56269417"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85A0DA"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788C74"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B1465C"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3</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E52558"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BBB+ ile BBB-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D6666D"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Baa1 ile Baa3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244C0C" w14:textId="77777777" w:rsidR="00DB273F" w:rsidRPr="00872D7E" w:rsidRDefault="00DB273F" w:rsidP="00394E48">
            <w:pPr>
              <w:ind w:left="46"/>
              <w:jc w:val="center"/>
              <w:rPr>
                <w:rFonts w:ascii="Times New Roman" w:hAnsi="Times New Roman" w:cs="Times New Roman"/>
                <w:sz w:val="15"/>
                <w:szCs w:val="15"/>
              </w:rPr>
            </w:pPr>
            <w:r w:rsidRPr="00872D7E">
              <w:rPr>
                <w:rFonts w:ascii="Times New Roman" w:hAnsi="Times New Roman" w:cs="Times New Roman"/>
                <w:sz w:val="15"/>
                <w:szCs w:val="15"/>
              </w:rPr>
              <w:t xml:space="preserve">BBB+ ile BBB-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864A24" w14:textId="77777777" w:rsidR="00DB273F" w:rsidRPr="00872D7E" w:rsidRDefault="00DB273F" w:rsidP="00394E48">
            <w:pPr>
              <w:ind w:left="2"/>
              <w:jc w:val="center"/>
              <w:rPr>
                <w:rFonts w:ascii="Times New Roman" w:hAnsi="Times New Roman" w:cs="Times New Roman"/>
                <w:sz w:val="15"/>
                <w:szCs w:val="15"/>
              </w:rPr>
            </w:pPr>
            <w:r w:rsidRPr="00872D7E">
              <w:rPr>
                <w:rFonts w:ascii="Times New Roman" w:hAnsi="Times New Roman" w:cs="Times New Roman"/>
                <w:sz w:val="15"/>
                <w:szCs w:val="15"/>
              </w:rPr>
              <w:t xml:space="preserve">BBB+ ile BBB-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D7227E" w14:textId="391B4763" w:rsidR="00DB273F" w:rsidRPr="00872D7E" w:rsidRDefault="00DB273F" w:rsidP="00394E48">
            <w:pPr>
              <w:ind w:left="26" w:right="27"/>
              <w:jc w:val="center"/>
              <w:rPr>
                <w:rFonts w:ascii="Times New Roman" w:hAnsi="Times New Roman" w:cs="Times New Roman"/>
                <w:sz w:val="15"/>
                <w:szCs w:val="15"/>
              </w:rPr>
            </w:pPr>
            <w:r w:rsidRPr="00872D7E">
              <w:rPr>
                <w:rFonts w:ascii="Times New Roman" w:eastAsia="Calibri" w:hAnsi="Times New Roman" w:cs="Times New Roman"/>
                <w:sz w:val="15"/>
                <w:szCs w:val="15"/>
              </w:rPr>
              <w:t>BBB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w:t>
            </w:r>
            <w:r w:rsidRPr="00872D7E">
              <w:rPr>
                <w:rFonts w:ascii="Times New Roman" w:hAnsi="Times New Roman" w:cs="Times New Roman"/>
                <w:sz w:val="15"/>
                <w:szCs w:val="15"/>
              </w:rPr>
              <w:t xml:space="preserve"> ile</w:t>
            </w:r>
            <w:r w:rsidRPr="00872D7E">
              <w:rPr>
                <w:rFonts w:ascii="Times New Roman" w:eastAsia="Calibri" w:hAnsi="Times New Roman" w:cs="Times New Roman"/>
                <w:sz w:val="15"/>
                <w:szCs w:val="15"/>
              </w:rPr>
              <w:t xml:space="preserve"> BBB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530654"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BBB+ ile BBB- </w:t>
            </w:r>
          </w:p>
        </w:tc>
      </w:tr>
      <w:tr w:rsidR="00DB273F" w:rsidRPr="00872D7E" w14:paraId="7D4524E3"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0C0C73"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46664D"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CF7F99"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4</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5EF26F"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BB+ ile BB-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879511" w14:textId="77777777" w:rsidR="00DB273F" w:rsidRPr="00872D7E" w:rsidRDefault="00DB273F" w:rsidP="00394E48">
            <w:pPr>
              <w:ind w:right="40"/>
              <w:jc w:val="center"/>
              <w:rPr>
                <w:rFonts w:ascii="Times New Roman" w:hAnsi="Times New Roman" w:cs="Times New Roman"/>
                <w:sz w:val="15"/>
                <w:szCs w:val="15"/>
              </w:rPr>
            </w:pPr>
            <w:r w:rsidRPr="00872D7E">
              <w:rPr>
                <w:rFonts w:ascii="Times New Roman" w:hAnsi="Times New Roman" w:cs="Times New Roman"/>
                <w:sz w:val="15"/>
                <w:szCs w:val="15"/>
              </w:rPr>
              <w:t xml:space="preserve">Ba1 ile Ba3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6E9A0B"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BB+ ile BB-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189559"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BB+ ile BB-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26731E" w14:textId="511638D9"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BB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w:t>
            </w:r>
            <w:r w:rsidRPr="00872D7E">
              <w:rPr>
                <w:rFonts w:ascii="Times New Roman" w:hAnsi="Times New Roman" w:cs="Times New Roman"/>
                <w:sz w:val="15"/>
                <w:szCs w:val="15"/>
              </w:rPr>
              <w:t xml:space="preserve"> ile</w:t>
            </w:r>
            <w:r w:rsidRPr="00872D7E">
              <w:rPr>
                <w:rFonts w:ascii="Times New Roman" w:eastAsia="Calibri" w:hAnsi="Times New Roman" w:cs="Times New Roman"/>
                <w:sz w:val="15"/>
                <w:szCs w:val="15"/>
              </w:rPr>
              <w:t xml:space="preserve"> BB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1AFC12"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BB+ ile BB- </w:t>
            </w:r>
          </w:p>
        </w:tc>
      </w:tr>
      <w:tr w:rsidR="00DB273F" w:rsidRPr="00872D7E" w14:paraId="4F953351"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A51D50"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6261DA"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50AF3B"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5</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5F2567" w14:textId="77777777" w:rsidR="00DB273F" w:rsidRPr="00872D7E" w:rsidRDefault="00DB273F" w:rsidP="00394E48">
            <w:pPr>
              <w:ind w:right="32"/>
              <w:jc w:val="center"/>
              <w:rPr>
                <w:rFonts w:ascii="Times New Roman" w:hAnsi="Times New Roman" w:cs="Times New Roman"/>
                <w:sz w:val="15"/>
                <w:szCs w:val="15"/>
              </w:rPr>
            </w:pPr>
            <w:r w:rsidRPr="00872D7E">
              <w:rPr>
                <w:rFonts w:ascii="Times New Roman" w:hAnsi="Times New Roman" w:cs="Times New Roman"/>
                <w:sz w:val="15"/>
                <w:szCs w:val="15"/>
              </w:rPr>
              <w:t xml:space="preserve">B+ ile B-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2AB863"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B1 ile B3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F06AE1" w14:textId="77777777" w:rsidR="00DB273F" w:rsidRPr="00872D7E" w:rsidRDefault="00DB273F" w:rsidP="00394E48">
            <w:pPr>
              <w:ind w:right="30"/>
              <w:jc w:val="center"/>
              <w:rPr>
                <w:rFonts w:ascii="Times New Roman" w:hAnsi="Times New Roman" w:cs="Times New Roman"/>
                <w:sz w:val="15"/>
                <w:szCs w:val="15"/>
              </w:rPr>
            </w:pPr>
            <w:r w:rsidRPr="00872D7E">
              <w:rPr>
                <w:rFonts w:ascii="Times New Roman" w:hAnsi="Times New Roman" w:cs="Times New Roman"/>
                <w:sz w:val="15"/>
                <w:szCs w:val="15"/>
              </w:rPr>
              <w:t xml:space="preserve">B+ ile B-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412D6D"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B+ ile B-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7899D3" w14:textId="497D50EB"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B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 xml:space="preserve">) </w:t>
            </w:r>
            <w:r w:rsidRPr="00872D7E">
              <w:rPr>
                <w:rFonts w:ascii="Times New Roman" w:hAnsi="Times New Roman" w:cs="Times New Roman"/>
                <w:sz w:val="15"/>
                <w:szCs w:val="15"/>
              </w:rPr>
              <w:t>ile</w:t>
            </w:r>
            <w:r w:rsidRPr="00872D7E">
              <w:rPr>
                <w:rFonts w:ascii="Times New Roman" w:eastAsia="Calibri" w:hAnsi="Times New Roman" w:cs="Times New Roman"/>
                <w:sz w:val="15"/>
                <w:szCs w:val="15"/>
              </w:rPr>
              <w:t xml:space="preserve"> B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B1E46D"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B+ ile B- </w:t>
            </w:r>
          </w:p>
        </w:tc>
      </w:tr>
      <w:tr w:rsidR="00DB273F" w:rsidRPr="00872D7E" w14:paraId="2E67C7A7"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DE7EDF"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B5FFAF"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1ED222"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6</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706254"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CCC+ ve aşağısı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7913A6" w14:textId="77777777" w:rsidR="00DB273F" w:rsidRPr="00872D7E" w:rsidRDefault="00DB273F" w:rsidP="00394E48">
            <w:pPr>
              <w:ind w:right="40"/>
              <w:jc w:val="center"/>
              <w:rPr>
                <w:rFonts w:ascii="Times New Roman" w:hAnsi="Times New Roman" w:cs="Times New Roman"/>
                <w:sz w:val="15"/>
                <w:szCs w:val="15"/>
              </w:rPr>
            </w:pPr>
            <w:r w:rsidRPr="00872D7E">
              <w:rPr>
                <w:rFonts w:ascii="Times New Roman" w:hAnsi="Times New Roman" w:cs="Times New Roman"/>
                <w:sz w:val="15"/>
                <w:szCs w:val="15"/>
              </w:rPr>
              <w:t xml:space="preserve">Caa1 ve aşağısı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F386B1" w14:textId="77777777" w:rsidR="00DB273F" w:rsidRPr="00872D7E" w:rsidRDefault="00DB273F" w:rsidP="00394E48">
            <w:pPr>
              <w:ind w:left="19"/>
              <w:jc w:val="center"/>
              <w:rPr>
                <w:rFonts w:ascii="Times New Roman" w:hAnsi="Times New Roman" w:cs="Times New Roman"/>
                <w:sz w:val="15"/>
                <w:szCs w:val="15"/>
              </w:rPr>
            </w:pPr>
            <w:r w:rsidRPr="00872D7E">
              <w:rPr>
                <w:rFonts w:ascii="Times New Roman" w:hAnsi="Times New Roman" w:cs="Times New Roman"/>
                <w:sz w:val="15"/>
                <w:szCs w:val="15"/>
              </w:rPr>
              <w:t xml:space="preserve">CCC+ ve aşağısı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8327C4" w14:textId="77777777" w:rsidR="00DB273F" w:rsidRPr="00872D7E" w:rsidRDefault="00DB273F" w:rsidP="00394E48">
            <w:pPr>
              <w:ind w:left="22"/>
              <w:jc w:val="center"/>
              <w:rPr>
                <w:rFonts w:ascii="Times New Roman" w:hAnsi="Times New Roman" w:cs="Times New Roman"/>
                <w:sz w:val="15"/>
                <w:szCs w:val="15"/>
              </w:rPr>
            </w:pPr>
            <w:r w:rsidRPr="00872D7E">
              <w:rPr>
                <w:rFonts w:ascii="Times New Roman" w:hAnsi="Times New Roman" w:cs="Times New Roman"/>
                <w:sz w:val="15"/>
                <w:szCs w:val="15"/>
              </w:rPr>
              <w:t xml:space="preserve">CCC ve aşağısı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996085" w14:textId="77777777" w:rsidR="00DB273F" w:rsidRPr="00872D7E" w:rsidRDefault="00DB273F" w:rsidP="00394E48">
            <w:pPr>
              <w:ind w:left="13" w:right="17"/>
              <w:jc w:val="center"/>
              <w:rPr>
                <w:rFonts w:ascii="Times New Roman" w:hAnsi="Times New Roman" w:cs="Times New Roman"/>
                <w:sz w:val="15"/>
                <w:szCs w:val="15"/>
              </w:rPr>
            </w:pPr>
            <w:r w:rsidRPr="00872D7E">
              <w:rPr>
                <w:rFonts w:ascii="Times New Roman" w:eastAsia="Calibri" w:hAnsi="Times New Roman" w:cs="Times New Roman"/>
                <w:sz w:val="15"/>
                <w:szCs w:val="15"/>
              </w:rPr>
              <w:t>CCC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 xml:space="preserve">) </w:t>
            </w:r>
            <w:r w:rsidRPr="00872D7E">
              <w:rPr>
                <w:rFonts w:ascii="Times New Roman" w:hAnsi="Times New Roman" w:cs="Times New Roman"/>
                <w:sz w:val="15"/>
                <w:szCs w:val="15"/>
              </w:rPr>
              <w:t xml:space="preserve">ve aşağısı </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18B1BF"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CCC+ ve aşağısı </w:t>
            </w:r>
          </w:p>
        </w:tc>
      </w:tr>
      <w:tr w:rsidR="00DB273F" w:rsidRPr="00872D7E" w14:paraId="779C41D0" w14:textId="77777777" w:rsidTr="00394E48">
        <w:trPr>
          <w:cantSplit/>
          <w:trHeight w:val="227"/>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630E49" w14:textId="77777777" w:rsidR="00DB273F" w:rsidRPr="00872D7E" w:rsidRDefault="00DB273F" w:rsidP="00394E48">
            <w:pPr>
              <w:rPr>
                <w:rFonts w:ascii="Times New Roman" w:hAnsi="Times New Roman" w:cs="Times New Roman"/>
                <w:b/>
                <w:sz w:val="15"/>
                <w:szCs w:val="15"/>
              </w:rPr>
            </w:pPr>
          </w:p>
        </w:tc>
        <w:tc>
          <w:tcPr>
            <w:tcW w:w="51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1927DE57" w14:textId="77777777" w:rsidR="00DB273F" w:rsidRPr="00872D7E" w:rsidRDefault="00DB273F" w:rsidP="00394E48">
            <w:pPr>
              <w:ind w:left="351" w:right="113"/>
              <w:jc w:val="center"/>
              <w:rPr>
                <w:rFonts w:ascii="Times New Roman" w:hAnsi="Times New Roman" w:cs="Times New Roman"/>
                <w:b/>
                <w:sz w:val="15"/>
                <w:szCs w:val="15"/>
              </w:rPr>
            </w:pPr>
            <w:r w:rsidRPr="00872D7E">
              <w:rPr>
                <w:rFonts w:ascii="Times New Roman" w:hAnsi="Times New Roman" w:cs="Times New Roman"/>
                <w:b/>
                <w:sz w:val="15"/>
                <w:szCs w:val="15"/>
              </w:rPr>
              <w:t>Kısa vadeli kredi derecelendirmeleri</w:t>
            </w: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895E96"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1</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FE7610"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F1+ ile F1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0407EC" w14:textId="77777777" w:rsidR="00DB273F" w:rsidRPr="00872D7E" w:rsidRDefault="00DB273F" w:rsidP="00394E48">
            <w:pPr>
              <w:ind w:right="42"/>
              <w:jc w:val="center"/>
              <w:rPr>
                <w:rFonts w:ascii="Times New Roman" w:hAnsi="Times New Roman" w:cs="Times New Roman"/>
                <w:sz w:val="15"/>
                <w:szCs w:val="15"/>
              </w:rPr>
            </w:pPr>
            <w:r w:rsidRPr="00872D7E">
              <w:rPr>
                <w:rFonts w:ascii="Times New Roman" w:hAnsi="Times New Roman" w:cs="Times New Roman"/>
                <w:sz w:val="15"/>
                <w:szCs w:val="15"/>
              </w:rPr>
              <w:t xml:space="preserve">P-1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B0C6D8"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A-1+ ile A-1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C92BB4"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J-1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9E6D0F" w14:textId="67961751"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R-1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w:t>
            </w:r>
            <w:r w:rsidRPr="00872D7E">
              <w:rPr>
                <w:rFonts w:ascii="Times New Roman" w:hAnsi="Times New Roman" w:cs="Times New Roman"/>
                <w:sz w:val="15"/>
                <w:szCs w:val="15"/>
              </w:rPr>
              <w:t xml:space="preserve"> ile</w:t>
            </w:r>
            <w:r w:rsidRPr="00872D7E">
              <w:rPr>
                <w:rFonts w:ascii="Times New Roman" w:eastAsia="Calibri" w:hAnsi="Times New Roman" w:cs="Times New Roman"/>
                <w:sz w:val="15"/>
                <w:szCs w:val="15"/>
              </w:rPr>
              <w:t xml:space="preserve"> R-1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CABC08"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A-1+ ile A-1 </w:t>
            </w:r>
          </w:p>
        </w:tc>
      </w:tr>
      <w:tr w:rsidR="00DB273F" w:rsidRPr="00872D7E" w14:paraId="7B6EDD46" w14:textId="77777777" w:rsidTr="00394E48">
        <w:trPr>
          <w:cantSplit/>
          <w:trHeight w:val="227"/>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95D0A2"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71AB4C"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C55148"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2</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CC2CB9"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F2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DC6889" w14:textId="77777777" w:rsidR="00DB273F" w:rsidRPr="00872D7E" w:rsidRDefault="00DB273F" w:rsidP="00394E48">
            <w:pPr>
              <w:ind w:right="42"/>
              <w:jc w:val="center"/>
              <w:rPr>
                <w:rFonts w:ascii="Times New Roman" w:hAnsi="Times New Roman" w:cs="Times New Roman"/>
                <w:sz w:val="15"/>
                <w:szCs w:val="15"/>
              </w:rPr>
            </w:pPr>
            <w:r w:rsidRPr="00872D7E">
              <w:rPr>
                <w:rFonts w:ascii="Times New Roman" w:hAnsi="Times New Roman" w:cs="Times New Roman"/>
                <w:sz w:val="15"/>
                <w:szCs w:val="15"/>
              </w:rPr>
              <w:t xml:space="preserve">P-2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A31382"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A-2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301D7F"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J-2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E85E9C" w14:textId="77777777"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R-2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 xml:space="preserve">) </w:t>
            </w:r>
            <w:proofErr w:type="spellStart"/>
            <w:r w:rsidRPr="00872D7E">
              <w:rPr>
                <w:rFonts w:ascii="Times New Roman" w:hAnsi="Times New Roman" w:cs="Times New Roman"/>
                <w:sz w:val="15"/>
                <w:szCs w:val="15"/>
              </w:rPr>
              <w:t>to</w:t>
            </w:r>
            <w:proofErr w:type="spellEnd"/>
            <w:r w:rsidRPr="00872D7E">
              <w:rPr>
                <w:rFonts w:ascii="Times New Roman" w:eastAsia="Calibri" w:hAnsi="Times New Roman" w:cs="Times New Roman"/>
                <w:sz w:val="15"/>
                <w:szCs w:val="15"/>
              </w:rPr>
              <w:t xml:space="preserve"> R-2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827FD4"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hAnsi="Times New Roman" w:cs="Times New Roman"/>
                <w:sz w:val="15"/>
                <w:szCs w:val="15"/>
              </w:rPr>
              <w:t xml:space="preserve">A-2 </w:t>
            </w:r>
          </w:p>
        </w:tc>
      </w:tr>
      <w:tr w:rsidR="00DB273F" w:rsidRPr="00872D7E" w14:paraId="5623E416" w14:textId="77777777" w:rsidTr="00394E48">
        <w:trPr>
          <w:cantSplit/>
          <w:trHeight w:val="227"/>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2BD0F8"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FCB4C1"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AF10D9"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3</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2652A4"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F3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3D1027" w14:textId="77777777" w:rsidR="00DB273F" w:rsidRPr="00872D7E" w:rsidRDefault="00DB273F" w:rsidP="00394E48">
            <w:pPr>
              <w:ind w:right="42"/>
              <w:jc w:val="center"/>
              <w:rPr>
                <w:rFonts w:ascii="Times New Roman" w:hAnsi="Times New Roman" w:cs="Times New Roman"/>
                <w:sz w:val="15"/>
                <w:szCs w:val="15"/>
              </w:rPr>
            </w:pPr>
            <w:r w:rsidRPr="00872D7E">
              <w:rPr>
                <w:rFonts w:ascii="Times New Roman" w:hAnsi="Times New Roman" w:cs="Times New Roman"/>
                <w:sz w:val="15"/>
                <w:szCs w:val="15"/>
              </w:rPr>
              <w:t xml:space="preserve">P-3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A1994F"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A-3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83502E"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J-3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A7BE72"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R-3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41C4B3"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hAnsi="Times New Roman" w:cs="Times New Roman"/>
                <w:sz w:val="15"/>
                <w:szCs w:val="15"/>
              </w:rPr>
              <w:t xml:space="preserve">A-3 </w:t>
            </w:r>
          </w:p>
        </w:tc>
      </w:tr>
      <w:tr w:rsidR="00DB273F" w:rsidRPr="00872D7E" w14:paraId="0B3D3329" w14:textId="77777777" w:rsidTr="00394E48">
        <w:trPr>
          <w:cantSplit/>
          <w:trHeight w:val="227"/>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F210C3"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79CA7B"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5988A7"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4</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DC62CE"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F3 aşağısı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C76781" w14:textId="77777777" w:rsidR="00DB273F" w:rsidRPr="00872D7E" w:rsidRDefault="00DB273F" w:rsidP="00394E48">
            <w:pPr>
              <w:ind w:right="40"/>
              <w:jc w:val="center"/>
              <w:rPr>
                <w:rFonts w:ascii="Times New Roman" w:hAnsi="Times New Roman" w:cs="Times New Roman"/>
                <w:sz w:val="15"/>
                <w:szCs w:val="15"/>
              </w:rPr>
            </w:pPr>
            <w:r w:rsidRPr="00872D7E">
              <w:rPr>
                <w:rFonts w:ascii="Times New Roman" w:hAnsi="Times New Roman" w:cs="Times New Roman"/>
                <w:sz w:val="15"/>
                <w:szCs w:val="15"/>
              </w:rPr>
              <w:t xml:space="preserve">NP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DAA492"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A-3 aşağısı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E82D50"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J-3 aşağısı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1F195A" w14:textId="0409775D" w:rsidR="00DB273F" w:rsidRPr="00872D7E" w:rsidRDefault="00DB273F" w:rsidP="00394E48">
            <w:pPr>
              <w:spacing w:line="256" w:lineRule="auto"/>
              <w:rPr>
                <w:rFonts w:ascii="Times New Roman" w:hAnsi="Times New Roman" w:cs="Times New Roman"/>
                <w:sz w:val="15"/>
                <w:szCs w:val="15"/>
              </w:rPr>
            </w:pPr>
            <w:r w:rsidRPr="00872D7E">
              <w:rPr>
                <w:rFonts w:ascii="Times New Roman" w:eastAsia="Calibri" w:hAnsi="Times New Roman" w:cs="Times New Roman"/>
                <w:sz w:val="15"/>
                <w:szCs w:val="15"/>
              </w:rPr>
              <w:t xml:space="preserve">         R-3 aşağısı</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1C4984" w14:textId="77777777" w:rsidR="00DB273F" w:rsidRPr="00872D7E" w:rsidRDefault="00DB273F" w:rsidP="00394E48">
            <w:pPr>
              <w:ind w:right="40"/>
              <w:jc w:val="center"/>
              <w:rPr>
                <w:rFonts w:ascii="Times New Roman" w:hAnsi="Times New Roman" w:cs="Times New Roman"/>
                <w:sz w:val="15"/>
                <w:szCs w:val="15"/>
              </w:rPr>
            </w:pPr>
            <w:r w:rsidRPr="00872D7E">
              <w:rPr>
                <w:rFonts w:ascii="Times New Roman" w:hAnsi="Times New Roman" w:cs="Times New Roman"/>
                <w:sz w:val="15"/>
                <w:szCs w:val="15"/>
              </w:rPr>
              <w:t xml:space="preserve">A-3 aşağısı </w:t>
            </w:r>
          </w:p>
        </w:tc>
      </w:tr>
      <w:tr w:rsidR="00DB273F" w:rsidRPr="00872D7E" w14:paraId="74CEFA59" w14:textId="77777777" w:rsidTr="00394E48">
        <w:trPr>
          <w:cantSplit/>
          <w:trHeight w:val="227"/>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E05614"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532138"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2E4705"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5</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67774F"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591280"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279BA2"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8A553D"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F4F8A0"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eastAsia="Calibri" w:hAnsi="Times New Roman" w:cs="Times New Roman"/>
                <w:sz w:val="15"/>
                <w:szCs w:val="15"/>
              </w:rPr>
              <w:t>-</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F2E885"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r>
      <w:tr w:rsidR="00DB273F" w:rsidRPr="00872D7E" w14:paraId="0DF1EC76" w14:textId="77777777" w:rsidTr="00394E48">
        <w:trPr>
          <w:cantSplit/>
          <w:trHeight w:val="227"/>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6725D6"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23662C"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13813F"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6</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230DF"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298C76"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FE8693"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7D8B0C"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4C1670"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eastAsia="Calibri" w:hAnsi="Times New Roman" w:cs="Times New Roman"/>
                <w:sz w:val="15"/>
                <w:szCs w:val="15"/>
              </w:rPr>
              <w:t>-</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05A0AD"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r>
      <w:tr w:rsidR="00DB273F" w:rsidRPr="00872D7E" w14:paraId="410C3680"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0915A7" w14:textId="77777777" w:rsidR="00DB273F" w:rsidRPr="00872D7E" w:rsidRDefault="00DB273F" w:rsidP="00394E48">
            <w:pPr>
              <w:rPr>
                <w:rFonts w:ascii="Times New Roman" w:hAnsi="Times New Roman" w:cs="Times New Roman"/>
                <w:b/>
                <w:sz w:val="15"/>
                <w:szCs w:val="15"/>
              </w:rPr>
            </w:pPr>
          </w:p>
        </w:tc>
        <w:tc>
          <w:tcPr>
            <w:tcW w:w="51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189076A5" w14:textId="77777777" w:rsidR="00DB273F" w:rsidRPr="00872D7E" w:rsidRDefault="00DB273F" w:rsidP="00394E48">
            <w:pPr>
              <w:ind w:left="292" w:right="113"/>
              <w:jc w:val="center"/>
              <w:rPr>
                <w:rFonts w:ascii="Times New Roman" w:hAnsi="Times New Roman" w:cs="Times New Roman"/>
                <w:b/>
                <w:sz w:val="15"/>
                <w:szCs w:val="15"/>
              </w:rPr>
            </w:pPr>
            <w:r w:rsidRPr="00872D7E">
              <w:rPr>
                <w:rFonts w:ascii="Times New Roman" w:hAnsi="Times New Roman" w:cs="Times New Roman"/>
                <w:b/>
                <w:sz w:val="15"/>
                <w:szCs w:val="15"/>
              </w:rPr>
              <w:t>Uzun vadeli menkul kıymetleştirme pozisyonları için derecelendirmeler</w:t>
            </w: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245CA6"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1</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033BCD" w14:textId="77777777" w:rsidR="00DB273F" w:rsidRPr="00872D7E" w:rsidRDefault="00DB273F" w:rsidP="00394E48">
            <w:pPr>
              <w:ind w:left="50"/>
              <w:jc w:val="center"/>
              <w:rPr>
                <w:rFonts w:ascii="Times New Roman" w:hAnsi="Times New Roman" w:cs="Times New Roman"/>
                <w:sz w:val="15"/>
                <w:szCs w:val="15"/>
              </w:rPr>
            </w:pPr>
            <w:r w:rsidRPr="00872D7E">
              <w:rPr>
                <w:rFonts w:ascii="Times New Roman" w:hAnsi="Times New Roman" w:cs="Times New Roman"/>
                <w:sz w:val="15"/>
                <w:szCs w:val="15"/>
              </w:rPr>
              <w:t xml:space="preserve">AAA ile AA-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19E5BD" w14:textId="77777777" w:rsidR="00DB273F" w:rsidRPr="00872D7E" w:rsidRDefault="00DB273F" w:rsidP="00394E48">
            <w:pPr>
              <w:ind w:right="38"/>
              <w:jc w:val="center"/>
              <w:rPr>
                <w:rFonts w:ascii="Times New Roman" w:hAnsi="Times New Roman" w:cs="Times New Roman"/>
                <w:sz w:val="15"/>
                <w:szCs w:val="15"/>
              </w:rPr>
            </w:pPr>
            <w:proofErr w:type="spellStart"/>
            <w:r w:rsidRPr="00872D7E">
              <w:rPr>
                <w:rFonts w:ascii="Times New Roman" w:hAnsi="Times New Roman" w:cs="Times New Roman"/>
                <w:sz w:val="15"/>
                <w:szCs w:val="15"/>
              </w:rPr>
              <w:t>Aaa</w:t>
            </w:r>
            <w:proofErr w:type="spellEnd"/>
            <w:r w:rsidRPr="00872D7E">
              <w:rPr>
                <w:rFonts w:ascii="Times New Roman" w:hAnsi="Times New Roman" w:cs="Times New Roman"/>
                <w:sz w:val="15"/>
                <w:szCs w:val="15"/>
              </w:rPr>
              <w:t xml:space="preserve"> ile Aa3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8F5B54"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AAA ile AA-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AF83ED"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64EFD8" w14:textId="5A36B6E3" w:rsidR="00DB273F" w:rsidRPr="00872D7E" w:rsidRDefault="00DB273F" w:rsidP="00394E48">
            <w:pPr>
              <w:spacing w:line="256" w:lineRule="auto"/>
              <w:ind w:right="41"/>
              <w:jc w:val="center"/>
              <w:rPr>
                <w:rFonts w:ascii="Times New Roman" w:hAnsi="Times New Roman" w:cs="Times New Roman"/>
                <w:sz w:val="15"/>
                <w:szCs w:val="15"/>
              </w:rPr>
            </w:pPr>
            <w:r w:rsidRPr="00872D7E">
              <w:rPr>
                <w:rFonts w:ascii="Times New Roman" w:eastAsia="Calibri" w:hAnsi="Times New Roman" w:cs="Times New Roman"/>
                <w:sz w:val="15"/>
                <w:szCs w:val="15"/>
              </w:rPr>
              <w:t>AAA</w:t>
            </w:r>
            <w:r w:rsidRPr="00872D7E">
              <w:rPr>
                <w:rFonts w:ascii="Times New Roman" w:hAnsi="Times New Roman" w:cs="Times New Roman"/>
                <w:sz w:val="15"/>
                <w:szCs w:val="15"/>
              </w:rPr>
              <w:t xml:space="preserve"> ile</w:t>
            </w:r>
            <w:r w:rsidRPr="00872D7E">
              <w:rPr>
                <w:rFonts w:ascii="Times New Roman" w:eastAsia="Calibri" w:hAnsi="Times New Roman" w:cs="Times New Roman"/>
                <w:sz w:val="15"/>
                <w:szCs w:val="15"/>
              </w:rPr>
              <w:t xml:space="preserve"> AA </w:t>
            </w:r>
          </w:p>
          <w:p w14:paraId="4351F5A7"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eastAsia="Calibri" w:hAnsi="Times New Roman" w:cs="Times New Roman"/>
                <w:sz w:val="15"/>
                <w:szCs w:val="15"/>
              </w:rPr>
              <w:t>(</w:t>
            </w:r>
            <w:proofErr w:type="gramStart"/>
            <w:r w:rsidRPr="00872D7E">
              <w:rPr>
                <w:rFonts w:ascii="Times New Roman" w:hAnsi="Times New Roman" w:cs="Times New Roman"/>
                <w:sz w:val="15"/>
                <w:szCs w:val="15"/>
              </w:rPr>
              <w:t>düşük</w:t>
            </w:r>
            <w:proofErr w:type="gramEnd"/>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49ECBF" w14:textId="77777777" w:rsidR="00DB273F" w:rsidRPr="00872D7E" w:rsidRDefault="00DB273F" w:rsidP="00394E48">
            <w:pPr>
              <w:ind w:left="36"/>
              <w:jc w:val="center"/>
              <w:rPr>
                <w:rFonts w:ascii="Times New Roman" w:hAnsi="Times New Roman" w:cs="Times New Roman"/>
                <w:sz w:val="15"/>
                <w:szCs w:val="15"/>
              </w:rPr>
            </w:pPr>
            <w:r w:rsidRPr="00872D7E">
              <w:rPr>
                <w:rFonts w:ascii="Times New Roman" w:hAnsi="Times New Roman" w:cs="Times New Roman"/>
                <w:sz w:val="15"/>
                <w:szCs w:val="15"/>
              </w:rPr>
              <w:t xml:space="preserve">AAA ile AA- </w:t>
            </w:r>
          </w:p>
        </w:tc>
      </w:tr>
      <w:tr w:rsidR="00DB273F" w:rsidRPr="00872D7E" w14:paraId="3A4A809F"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93A18C"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A9318F"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DEE92D"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2</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A46652"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A+ ile A-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F6451C"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hAnsi="Times New Roman" w:cs="Times New Roman"/>
                <w:sz w:val="15"/>
                <w:szCs w:val="15"/>
              </w:rPr>
              <w:t xml:space="preserve">A1 ile A3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C61D88"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A+ ile A-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67ECDB"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F6708A" w14:textId="18F6DF48"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A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 xml:space="preserve">) </w:t>
            </w:r>
            <w:r w:rsidRPr="00872D7E">
              <w:rPr>
                <w:rFonts w:ascii="Times New Roman" w:hAnsi="Times New Roman" w:cs="Times New Roman"/>
                <w:sz w:val="15"/>
                <w:szCs w:val="15"/>
              </w:rPr>
              <w:t>ile</w:t>
            </w:r>
            <w:r w:rsidRPr="00872D7E">
              <w:rPr>
                <w:rFonts w:ascii="Times New Roman" w:eastAsia="Calibri" w:hAnsi="Times New Roman" w:cs="Times New Roman"/>
                <w:sz w:val="15"/>
                <w:szCs w:val="15"/>
              </w:rPr>
              <w:t xml:space="preserve"> A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4835F3" w14:textId="77777777" w:rsidR="00DB273F" w:rsidRPr="00872D7E" w:rsidRDefault="00DB273F" w:rsidP="00394E48">
            <w:pPr>
              <w:ind w:right="42"/>
              <w:jc w:val="center"/>
              <w:rPr>
                <w:rFonts w:ascii="Times New Roman" w:hAnsi="Times New Roman" w:cs="Times New Roman"/>
                <w:sz w:val="15"/>
                <w:szCs w:val="15"/>
              </w:rPr>
            </w:pPr>
            <w:r w:rsidRPr="00872D7E">
              <w:rPr>
                <w:rFonts w:ascii="Times New Roman" w:hAnsi="Times New Roman" w:cs="Times New Roman"/>
                <w:sz w:val="15"/>
                <w:szCs w:val="15"/>
              </w:rPr>
              <w:t xml:space="preserve">A+ ile A- </w:t>
            </w:r>
          </w:p>
        </w:tc>
      </w:tr>
      <w:tr w:rsidR="00DB273F" w:rsidRPr="00872D7E" w14:paraId="4D5681C6"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352954"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7F65FD"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787906"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3</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C7940D"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BBB+ ile BBB-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878B65"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Baa1 ile Baa3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FB5EE9" w14:textId="77777777" w:rsidR="00DB273F" w:rsidRPr="00872D7E" w:rsidRDefault="00DB273F" w:rsidP="00394E48">
            <w:pPr>
              <w:ind w:left="46"/>
              <w:jc w:val="center"/>
              <w:rPr>
                <w:rFonts w:ascii="Times New Roman" w:hAnsi="Times New Roman" w:cs="Times New Roman"/>
                <w:sz w:val="15"/>
                <w:szCs w:val="15"/>
              </w:rPr>
            </w:pPr>
            <w:r w:rsidRPr="00872D7E">
              <w:rPr>
                <w:rFonts w:ascii="Times New Roman" w:hAnsi="Times New Roman" w:cs="Times New Roman"/>
                <w:sz w:val="15"/>
                <w:szCs w:val="15"/>
              </w:rPr>
              <w:t xml:space="preserve">BBB+ ile BBB-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74D37B"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E1F06C" w14:textId="16D31223" w:rsidR="00DB273F" w:rsidRPr="00872D7E" w:rsidRDefault="00DB273F" w:rsidP="00394E48">
            <w:pPr>
              <w:ind w:left="26" w:right="27"/>
              <w:jc w:val="center"/>
              <w:rPr>
                <w:rFonts w:ascii="Times New Roman" w:hAnsi="Times New Roman" w:cs="Times New Roman"/>
                <w:sz w:val="15"/>
                <w:szCs w:val="15"/>
              </w:rPr>
            </w:pPr>
            <w:r w:rsidRPr="00872D7E">
              <w:rPr>
                <w:rFonts w:ascii="Times New Roman" w:eastAsia="Calibri" w:hAnsi="Times New Roman" w:cs="Times New Roman"/>
                <w:sz w:val="15"/>
                <w:szCs w:val="15"/>
              </w:rPr>
              <w:t>BBB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 xml:space="preserve">) </w:t>
            </w:r>
            <w:r w:rsidRPr="00872D7E">
              <w:rPr>
                <w:rFonts w:ascii="Times New Roman" w:hAnsi="Times New Roman" w:cs="Times New Roman"/>
                <w:sz w:val="15"/>
                <w:szCs w:val="15"/>
              </w:rPr>
              <w:t>ile</w:t>
            </w:r>
            <w:r w:rsidRPr="00872D7E">
              <w:rPr>
                <w:rFonts w:ascii="Times New Roman" w:eastAsia="Calibri" w:hAnsi="Times New Roman" w:cs="Times New Roman"/>
                <w:sz w:val="15"/>
                <w:szCs w:val="15"/>
              </w:rPr>
              <w:t xml:space="preserve"> BBB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D137CD"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BBB+ ile BBB- </w:t>
            </w:r>
          </w:p>
        </w:tc>
      </w:tr>
      <w:tr w:rsidR="00DB273F" w:rsidRPr="00872D7E" w14:paraId="3FE2A5B4"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BD5BA7"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71DD87"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4C3EF0"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4</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174E2F"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BB+ ile BB-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1F4879" w14:textId="77777777" w:rsidR="00DB273F" w:rsidRPr="00872D7E" w:rsidRDefault="00DB273F" w:rsidP="00394E48">
            <w:pPr>
              <w:ind w:right="40"/>
              <w:jc w:val="center"/>
              <w:rPr>
                <w:rFonts w:ascii="Times New Roman" w:hAnsi="Times New Roman" w:cs="Times New Roman"/>
                <w:sz w:val="15"/>
                <w:szCs w:val="15"/>
              </w:rPr>
            </w:pPr>
            <w:r w:rsidRPr="00872D7E">
              <w:rPr>
                <w:rFonts w:ascii="Times New Roman" w:hAnsi="Times New Roman" w:cs="Times New Roman"/>
                <w:sz w:val="15"/>
                <w:szCs w:val="15"/>
              </w:rPr>
              <w:t xml:space="preserve">Ba1 ile Ba3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2C3D46"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 xml:space="preserve">BB+ ile BB-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376ED0"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A2E6DF" w14:textId="4768C268"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BB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w:t>
            </w:r>
            <w:r w:rsidRPr="00872D7E">
              <w:rPr>
                <w:rFonts w:ascii="Times New Roman" w:hAnsi="Times New Roman" w:cs="Times New Roman"/>
                <w:sz w:val="15"/>
                <w:szCs w:val="15"/>
              </w:rPr>
              <w:t xml:space="preserve"> ile</w:t>
            </w:r>
            <w:r w:rsidRPr="00872D7E">
              <w:rPr>
                <w:rFonts w:ascii="Times New Roman" w:eastAsia="Calibri" w:hAnsi="Times New Roman" w:cs="Times New Roman"/>
                <w:sz w:val="15"/>
                <w:szCs w:val="15"/>
              </w:rPr>
              <w:t xml:space="preserve"> BB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7FD387"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BB+ ile BB- </w:t>
            </w:r>
          </w:p>
        </w:tc>
      </w:tr>
      <w:tr w:rsidR="00DB273F" w:rsidRPr="00872D7E" w14:paraId="347F1772"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FBC50D"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C37BAE"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6CBB12"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5</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517AED"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B+ ve aşağısı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E5CAAF" w14:textId="77777777" w:rsidR="00DB273F" w:rsidRPr="00872D7E" w:rsidRDefault="00DB273F" w:rsidP="00394E48">
            <w:pPr>
              <w:ind w:right="37"/>
              <w:jc w:val="center"/>
              <w:rPr>
                <w:rFonts w:ascii="Times New Roman" w:hAnsi="Times New Roman" w:cs="Times New Roman"/>
                <w:sz w:val="15"/>
                <w:szCs w:val="15"/>
              </w:rPr>
            </w:pPr>
            <w:r w:rsidRPr="00872D7E">
              <w:rPr>
                <w:rFonts w:ascii="Times New Roman" w:hAnsi="Times New Roman" w:cs="Times New Roman"/>
                <w:sz w:val="15"/>
                <w:szCs w:val="15"/>
              </w:rPr>
              <w:t xml:space="preserve">B1 ve aşağısı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9D8DB0"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B+ ve aşağısı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518B46"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903D3" w14:textId="77777777"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B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 xml:space="preserve">) </w:t>
            </w:r>
            <w:r w:rsidRPr="00872D7E">
              <w:rPr>
                <w:rFonts w:ascii="Times New Roman" w:hAnsi="Times New Roman" w:cs="Times New Roman"/>
                <w:sz w:val="15"/>
                <w:szCs w:val="15"/>
              </w:rPr>
              <w:t xml:space="preserve">ve aşağısı </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F49830" w14:textId="77777777" w:rsidR="00DB273F" w:rsidRPr="00872D7E" w:rsidRDefault="00DB273F" w:rsidP="00394E48">
            <w:pPr>
              <w:ind w:left="38"/>
              <w:jc w:val="center"/>
              <w:rPr>
                <w:rFonts w:ascii="Times New Roman" w:hAnsi="Times New Roman" w:cs="Times New Roman"/>
                <w:sz w:val="15"/>
                <w:szCs w:val="15"/>
              </w:rPr>
            </w:pPr>
            <w:r w:rsidRPr="00872D7E">
              <w:rPr>
                <w:rFonts w:ascii="Times New Roman" w:hAnsi="Times New Roman" w:cs="Times New Roman"/>
                <w:sz w:val="15"/>
                <w:szCs w:val="15"/>
              </w:rPr>
              <w:t xml:space="preserve">B+ ve aşağısı </w:t>
            </w:r>
          </w:p>
        </w:tc>
      </w:tr>
      <w:tr w:rsidR="00DB273F" w:rsidRPr="00872D7E" w14:paraId="3ECA4D41"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B33820" w14:textId="77777777" w:rsidR="00DB273F" w:rsidRPr="00872D7E" w:rsidRDefault="00DB273F" w:rsidP="00394E48">
            <w:pPr>
              <w:rPr>
                <w:rFonts w:ascii="Times New Roman" w:hAnsi="Times New Roman" w:cs="Times New Roman"/>
                <w:b/>
                <w:sz w:val="15"/>
                <w:szCs w:val="15"/>
              </w:rPr>
            </w:pPr>
          </w:p>
        </w:tc>
        <w:tc>
          <w:tcPr>
            <w:tcW w:w="51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187CD096" w14:textId="77777777" w:rsidR="00DB273F" w:rsidRPr="00872D7E" w:rsidRDefault="00DB273F" w:rsidP="00394E48">
            <w:pPr>
              <w:ind w:left="54" w:right="113"/>
              <w:jc w:val="center"/>
              <w:rPr>
                <w:rFonts w:ascii="Times New Roman" w:hAnsi="Times New Roman" w:cs="Times New Roman"/>
                <w:b/>
                <w:sz w:val="15"/>
                <w:szCs w:val="15"/>
              </w:rPr>
            </w:pPr>
            <w:r w:rsidRPr="00872D7E">
              <w:rPr>
                <w:rFonts w:ascii="Times New Roman" w:hAnsi="Times New Roman" w:cs="Times New Roman"/>
                <w:b/>
                <w:sz w:val="15"/>
                <w:szCs w:val="15"/>
              </w:rPr>
              <w:t>Kısa vadeli menkul Kıymetleştirme pozisyonları için derecelendirmeler</w:t>
            </w: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5ABD5F"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1</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1FA5CD"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F1+ ile F1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287D78" w14:textId="77777777" w:rsidR="00DB273F" w:rsidRPr="00872D7E" w:rsidRDefault="00DB273F" w:rsidP="00394E48">
            <w:pPr>
              <w:ind w:right="42"/>
              <w:jc w:val="center"/>
              <w:rPr>
                <w:rFonts w:ascii="Times New Roman" w:hAnsi="Times New Roman" w:cs="Times New Roman"/>
                <w:sz w:val="15"/>
                <w:szCs w:val="15"/>
              </w:rPr>
            </w:pPr>
            <w:r w:rsidRPr="00872D7E">
              <w:rPr>
                <w:rFonts w:ascii="Times New Roman" w:hAnsi="Times New Roman" w:cs="Times New Roman"/>
                <w:sz w:val="15"/>
                <w:szCs w:val="15"/>
              </w:rPr>
              <w:t xml:space="preserve">P-1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622FD2"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A-1+ ile A-1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D17336"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3DDC6D" w14:textId="746DC7B9"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R-1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 xml:space="preserve">) </w:t>
            </w:r>
            <w:r w:rsidRPr="00872D7E">
              <w:rPr>
                <w:rFonts w:ascii="Times New Roman" w:hAnsi="Times New Roman" w:cs="Times New Roman"/>
                <w:sz w:val="15"/>
                <w:szCs w:val="15"/>
              </w:rPr>
              <w:t>ile</w:t>
            </w:r>
            <w:r w:rsidRPr="00872D7E">
              <w:rPr>
                <w:rFonts w:ascii="Times New Roman" w:eastAsia="Calibri" w:hAnsi="Times New Roman" w:cs="Times New Roman"/>
                <w:sz w:val="15"/>
                <w:szCs w:val="15"/>
              </w:rPr>
              <w:t xml:space="preserve"> R-1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3DF41A"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A-1+ ile A-1 </w:t>
            </w:r>
          </w:p>
        </w:tc>
      </w:tr>
      <w:tr w:rsidR="00DB273F" w:rsidRPr="00872D7E" w14:paraId="2253C3E6"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029F36"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A2CA55"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39187D"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2</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6D45AF"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F2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170EFB" w14:textId="77777777" w:rsidR="00DB273F" w:rsidRPr="00872D7E" w:rsidRDefault="00DB273F" w:rsidP="00394E48">
            <w:pPr>
              <w:ind w:right="42"/>
              <w:jc w:val="center"/>
              <w:rPr>
                <w:rFonts w:ascii="Times New Roman" w:hAnsi="Times New Roman" w:cs="Times New Roman"/>
                <w:sz w:val="15"/>
                <w:szCs w:val="15"/>
              </w:rPr>
            </w:pPr>
            <w:r w:rsidRPr="00872D7E">
              <w:rPr>
                <w:rFonts w:ascii="Times New Roman" w:hAnsi="Times New Roman" w:cs="Times New Roman"/>
                <w:sz w:val="15"/>
                <w:szCs w:val="15"/>
              </w:rPr>
              <w:t xml:space="preserve">P-2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A6AD2B"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A-2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4E1960"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3027AE" w14:textId="3293E996" w:rsidR="00DB273F" w:rsidRPr="00872D7E" w:rsidRDefault="00DB273F" w:rsidP="00394E48">
            <w:pPr>
              <w:jc w:val="center"/>
              <w:rPr>
                <w:rFonts w:ascii="Times New Roman" w:hAnsi="Times New Roman" w:cs="Times New Roman"/>
                <w:sz w:val="15"/>
                <w:szCs w:val="15"/>
              </w:rPr>
            </w:pPr>
            <w:r w:rsidRPr="00872D7E">
              <w:rPr>
                <w:rFonts w:ascii="Times New Roman" w:eastAsia="Calibri" w:hAnsi="Times New Roman" w:cs="Times New Roman"/>
                <w:sz w:val="15"/>
                <w:szCs w:val="15"/>
              </w:rPr>
              <w:t>R-2 (</w:t>
            </w:r>
            <w:r w:rsidRPr="00872D7E">
              <w:rPr>
                <w:rFonts w:ascii="Times New Roman" w:hAnsi="Times New Roman" w:cs="Times New Roman"/>
                <w:sz w:val="15"/>
                <w:szCs w:val="15"/>
              </w:rPr>
              <w:t>yüksek</w:t>
            </w:r>
            <w:r w:rsidRPr="00872D7E">
              <w:rPr>
                <w:rFonts w:ascii="Times New Roman" w:eastAsia="Calibri" w:hAnsi="Times New Roman" w:cs="Times New Roman"/>
                <w:sz w:val="15"/>
                <w:szCs w:val="15"/>
              </w:rPr>
              <w:t xml:space="preserve">) </w:t>
            </w:r>
            <w:r w:rsidRPr="00872D7E">
              <w:rPr>
                <w:rFonts w:ascii="Times New Roman" w:hAnsi="Times New Roman" w:cs="Times New Roman"/>
                <w:sz w:val="15"/>
                <w:szCs w:val="15"/>
              </w:rPr>
              <w:t>ile</w:t>
            </w:r>
            <w:r w:rsidRPr="00872D7E">
              <w:rPr>
                <w:rFonts w:ascii="Times New Roman" w:eastAsia="Calibri" w:hAnsi="Times New Roman" w:cs="Times New Roman"/>
                <w:sz w:val="15"/>
                <w:szCs w:val="15"/>
              </w:rPr>
              <w:t xml:space="preserve"> R-2 (</w:t>
            </w:r>
            <w:r w:rsidRPr="00872D7E">
              <w:rPr>
                <w:rFonts w:ascii="Times New Roman" w:hAnsi="Times New Roman" w:cs="Times New Roman"/>
                <w:sz w:val="15"/>
                <w:szCs w:val="15"/>
              </w:rPr>
              <w:t>düşük</w:t>
            </w: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6F13B4"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hAnsi="Times New Roman" w:cs="Times New Roman"/>
                <w:sz w:val="15"/>
                <w:szCs w:val="15"/>
              </w:rPr>
              <w:t xml:space="preserve">A-2 </w:t>
            </w:r>
          </w:p>
        </w:tc>
      </w:tr>
      <w:tr w:rsidR="00DB273F" w:rsidRPr="00872D7E" w14:paraId="058AF740"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8F0A6D"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8FB018"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6360E9" w14:textId="77777777" w:rsidR="00DB273F" w:rsidRPr="00872D7E" w:rsidRDefault="00DB273F" w:rsidP="00394E48">
            <w:pPr>
              <w:ind w:right="35"/>
              <w:jc w:val="center"/>
              <w:rPr>
                <w:rFonts w:ascii="Times New Roman" w:hAnsi="Times New Roman" w:cs="Times New Roman"/>
                <w:sz w:val="15"/>
                <w:szCs w:val="15"/>
              </w:rPr>
            </w:pPr>
            <w:r w:rsidRPr="00872D7E">
              <w:rPr>
                <w:rFonts w:ascii="Times New Roman" w:hAnsi="Times New Roman" w:cs="Times New Roman"/>
                <w:sz w:val="15"/>
                <w:szCs w:val="15"/>
              </w:rPr>
              <w:t>3</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9B379"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F3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B6E0DB" w14:textId="77777777" w:rsidR="00DB273F" w:rsidRPr="00872D7E" w:rsidRDefault="00DB273F" w:rsidP="00394E48">
            <w:pPr>
              <w:ind w:right="42"/>
              <w:jc w:val="center"/>
              <w:rPr>
                <w:rFonts w:ascii="Times New Roman" w:hAnsi="Times New Roman" w:cs="Times New Roman"/>
                <w:sz w:val="15"/>
                <w:szCs w:val="15"/>
              </w:rPr>
            </w:pPr>
            <w:r w:rsidRPr="00872D7E">
              <w:rPr>
                <w:rFonts w:ascii="Times New Roman" w:hAnsi="Times New Roman" w:cs="Times New Roman"/>
                <w:sz w:val="15"/>
                <w:szCs w:val="15"/>
              </w:rPr>
              <w:t xml:space="preserve">P-3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DCF85E"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 xml:space="preserve">A-3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30FA93"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09BDBB"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R-3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C09117"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hAnsi="Times New Roman" w:cs="Times New Roman"/>
                <w:sz w:val="15"/>
                <w:szCs w:val="15"/>
              </w:rPr>
              <w:t xml:space="preserve">A-3 </w:t>
            </w:r>
          </w:p>
        </w:tc>
      </w:tr>
      <w:tr w:rsidR="00DB273F" w:rsidRPr="00872D7E" w14:paraId="0436AF7B" w14:textId="77777777" w:rsidTr="00394E48">
        <w:trPr>
          <w:cantSplit/>
          <w:trHeight w:val="49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3C0833"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135DF9"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09044D" w14:textId="77777777" w:rsidR="00DB273F" w:rsidRPr="00872D7E" w:rsidRDefault="00DB273F" w:rsidP="00394E48">
            <w:pPr>
              <w:ind w:right="40"/>
              <w:jc w:val="center"/>
              <w:rPr>
                <w:rFonts w:ascii="Times New Roman" w:hAnsi="Times New Roman" w:cs="Times New Roman"/>
                <w:sz w:val="15"/>
                <w:szCs w:val="15"/>
              </w:rPr>
            </w:pPr>
            <w:r w:rsidRPr="00872D7E">
              <w:rPr>
                <w:rFonts w:ascii="Times New Roman" w:hAnsi="Times New Roman" w:cs="Times New Roman"/>
                <w:sz w:val="15"/>
                <w:szCs w:val="15"/>
              </w:rPr>
              <w:t>Diğerleri</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F6FF13"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F3 aşağısı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A4548B" w14:textId="77777777" w:rsidR="00DB273F" w:rsidRPr="00872D7E" w:rsidRDefault="00DB273F" w:rsidP="00394E48">
            <w:pPr>
              <w:ind w:right="40"/>
              <w:jc w:val="center"/>
              <w:rPr>
                <w:rFonts w:ascii="Times New Roman" w:hAnsi="Times New Roman" w:cs="Times New Roman"/>
                <w:sz w:val="15"/>
                <w:szCs w:val="15"/>
              </w:rPr>
            </w:pPr>
            <w:r w:rsidRPr="00872D7E">
              <w:rPr>
                <w:rFonts w:ascii="Times New Roman" w:hAnsi="Times New Roman" w:cs="Times New Roman"/>
                <w:sz w:val="15"/>
                <w:szCs w:val="15"/>
              </w:rPr>
              <w:t xml:space="preserve">NP </w:t>
            </w:r>
          </w:p>
        </w:tc>
        <w:tc>
          <w:tcPr>
            <w:tcW w:w="9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4C2DC4"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A-3 aşağısı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8486CE" w14:textId="77777777" w:rsidR="00DB273F" w:rsidRPr="00872D7E" w:rsidRDefault="00DB273F" w:rsidP="00394E48">
            <w:pPr>
              <w:ind w:right="34"/>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345510"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R-3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B04AEA" w14:textId="77777777" w:rsidR="00DB273F" w:rsidRPr="00872D7E" w:rsidRDefault="00DB273F" w:rsidP="00394E48">
            <w:pPr>
              <w:ind w:right="40"/>
              <w:jc w:val="center"/>
              <w:rPr>
                <w:rFonts w:ascii="Times New Roman" w:hAnsi="Times New Roman" w:cs="Times New Roman"/>
                <w:sz w:val="15"/>
                <w:szCs w:val="15"/>
              </w:rPr>
            </w:pPr>
            <w:r w:rsidRPr="00872D7E">
              <w:rPr>
                <w:rFonts w:ascii="Times New Roman" w:hAnsi="Times New Roman" w:cs="Times New Roman"/>
                <w:sz w:val="15"/>
                <w:szCs w:val="15"/>
              </w:rPr>
              <w:t xml:space="preserve">A-3 aşağısı </w:t>
            </w:r>
          </w:p>
        </w:tc>
      </w:tr>
      <w:tr w:rsidR="00DB273F" w:rsidRPr="00872D7E" w14:paraId="7B55A86A" w14:textId="77777777" w:rsidTr="00394E48">
        <w:trPr>
          <w:cantSplit/>
          <w:trHeight w:val="20"/>
        </w:trPr>
        <w:tc>
          <w:tcPr>
            <w:tcW w:w="2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F6A533" w14:textId="77777777" w:rsidR="00DB273F" w:rsidRPr="00872D7E" w:rsidRDefault="00DB273F" w:rsidP="00394E48">
            <w:pPr>
              <w:spacing w:after="160" w:line="256" w:lineRule="auto"/>
              <w:jc w:val="center"/>
              <w:rPr>
                <w:rFonts w:ascii="Times New Roman" w:hAnsi="Times New Roman" w:cs="Times New Roman"/>
                <w:b/>
                <w:sz w:val="15"/>
                <w:szCs w:val="15"/>
              </w:rPr>
            </w:pPr>
          </w:p>
        </w:tc>
        <w:tc>
          <w:tcPr>
            <w:tcW w:w="51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512C731D" w14:textId="77777777" w:rsidR="00DB273F" w:rsidRPr="00872D7E" w:rsidRDefault="00DB273F" w:rsidP="00394E48">
            <w:pPr>
              <w:ind w:left="373" w:right="113"/>
              <w:jc w:val="center"/>
              <w:rPr>
                <w:rFonts w:ascii="Times New Roman" w:hAnsi="Times New Roman" w:cs="Times New Roman"/>
                <w:b/>
                <w:sz w:val="15"/>
                <w:szCs w:val="15"/>
              </w:rPr>
            </w:pPr>
            <w:r w:rsidRPr="00872D7E">
              <w:rPr>
                <w:rFonts w:ascii="Times New Roman" w:hAnsi="Times New Roman" w:cs="Times New Roman"/>
                <w:b/>
                <w:sz w:val="15"/>
                <w:szCs w:val="15"/>
              </w:rPr>
              <w:t>Kolektif yatırım kuruluşlarına ilişkin eşleştirme</w:t>
            </w: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48F45B"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1</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D31236" w14:textId="77777777" w:rsidR="00DB273F" w:rsidRPr="00872D7E" w:rsidRDefault="00DB273F" w:rsidP="00394E48">
            <w:pPr>
              <w:ind w:left="72"/>
              <w:jc w:val="center"/>
              <w:rPr>
                <w:rFonts w:ascii="Times New Roman" w:hAnsi="Times New Roman" w:cs="Times New Roman"/>
                <w:sz w:val="15"/>
                <w:szCs w:val="15"/>
              </w:rPr>
            </w:pPr>
            <w:r w:rsidRPr="00872D7E">
              <w:rPr>
                <w:rFonts w:ascii="Times New Roman" w:hAnsi="Times New Roman" w:cs="Times New Roman"/>
                <w:sz w:val="15"/>
                <w:szCs w:val="15"/>
              </w:rPr>
              <w:t xml:space="preserve">AAA ile AA-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6E8292" w14:textId="77777777" w:rsidR="00DB273F" w:rsidRPr="00872D7E" w:rsidRDefault="00DB273F" w:rsidP="00394E48">
            <w:pPr>
              <w:ind w:right="42"/>
              <w:jc w:val="center"/>
              <w:rPr>
                <w:rFonts w:ascii="Times New Roman" w:hAnsi="Times New Roman" w:cs="Times New Roman"/>
                <w:sz w:val="15"/>
                <w:szCs w:val="15"/>
              </w:rPr>
            </w:pPr>
            <w:proofErr w:type="spellStart"/>
            <w:r w:rsidRPr="00872D7E">
              <w:rPr>
                <w:rFonts w:ascii="Times New Roman" w:hAnsi="Times New Roman" w:cs="Times New Roman"/>
                <w:sz w:val="15"/>
                <w:szCs w:val="15"/>
              </w:rPr>
              <w:t>Aaa</w:t>
            </w:r>
            <w:proofErr w:type="spellEnd"/>
            <w:r w:rsidRPr="00872D7E">
              <w:rPr>
                <w:rFonts w:ascii="Times New Roman" w:hAnsi="Times New Roman" w:cs="Times New Roman"/>
                <w:sz w:val="15"/>
                <w:szCs w:val="15"/>
              </w:rPr>
              <w:t xml:space="preserve"> ile Aa3 </w:t>
            </w:r>
          </w:p>
        </w:tc>
        <w:tc>
          <w:tcPr>
            <w:tcW w:w="925" w:type="pct"/>
            <w:tcBorders>
              <w:top w:val="single" w:sz="4" w:space="0" w:color="000000"/>
              <w:left w:val="single" w:sz="4" w:space="0" w:color="000000"/>
              <w:bottom w:val="single" w:sz="4" w:space="0" w:color="000000"/>
              <w:right w:val="single" w:sz="4" w:space="0" w:color="000000"/>
            </w:tcBorders>
            <w:shd w:val="clear" w:color="auto" w:fill="auto"/>
            <w:hideMark/>
          </w:tcPr>
          <w:p w14:paraId="7C941CE3" w14:textId="77777777" w:rsidR="00DB273F" w:rsidRPr="00872D7E" w:rsidRDefault="00DB273F" w:rsidP="00394E48">
            <w:pPr>
              <w:spacing w:after="43" w:line="232" w:lineRule="auto"/>
              <w:jc w:val="center"/>
              <w:rPr>
                <w:rFonts w:ascii="Times New Roman" w:hAnsi="Times New Roman" w:cs="Times New Roman"/>
                <w:sz w:val="15"/>
                <w:szCs w:val="15"/>
              </w:rPr>
            </w:pPr>
            <w:r w:rsidRPr="00872D7E">
              <w:rPr>
                <w:rFonts w:ascii="Times New Roman" w:hAnsi="Times New Roman" w:cs="Times New Roman"/>
                <w:sz w:val="15"/>
                <w:szCs w:val="15"/>
              </w:rPr>
              <w:t xml:space="preserve">FCQR: </w:t>
            </w:r>
            <w:proofErr w:type="spellStart"/>
            <w:r w:rsidRPr="00872D7E">
              <w:rPr>
                <w:rFonts w:ascii="Times New Roman" w:hAnsi="Times New Roman" w:cs="Times New Roman"/>
                <w:sz w:val="15"/>
                <w:szCs w:val="15"/>
              </w:rPr>
              <w:t>AAAf</w:t>
            </w:r>
            <w:proofErr w:type="spellEnd"/>
            <w:r w:rsidRPr="00872D7E">
              <w:rPr>
                <w:rFonts w:ascii="Times New Roman" w:hAnsi="Times New Roman" w:cs="Times New Roman"/>
                <w:sz w:val="15"/>
                <w:szCs w:val="15"/>
              </w:rPr>
              <w:t xml:space="preserve"> ile AA-f; </w:t>
            </w:r>
          </w:p>
          <w:p w14:paraId="5925286D"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PSFR: </w:t>
            </w:r>
            <w:proofErr w:type="spellStart"/>
            <w:r w:rsidRPr="00872D7E">
              <w:rPr>
                <w:rFonts w:ascii="Times New Roman" w:hAnsi="Times New Roman" w:cs="Times New Roman"/>
                <w:sz w:val="15"/>
                <w:szCs w:val="15"/>
              </w:rPr>
              <w:t>AAAm</w:t>
            </w:r>
            <w:proofErr w:type="spellEnd"/>
            <w:r w:rsidRPr="00872D7E">
              <w:rPr>
                <w:rFonts w:ascii="Times New Roman" w:hAnsi="Times New Roman" w:cs="Times New Roman"/>
                <w:sz w:val="15"/>
                <w:szCs w:val="15"/>
              </w:rPr>
              <w:t xml:space="preserve"> ile AA-m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8CB019"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4C6209"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59BA87"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r>
      <w:tr w:rsidR="00DB273F" w:rsidRPr="00872D7E" w14:paraId="05190E98"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2AEB16"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897925"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F9453A"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2</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E1922C"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hAnsi="Times New Roman" w:cs="Times New Roman"/>
                <w:sz w:val="15"/>
                <w:szCs w:val="15"/>
              </w:rPr>
              <w:t xml:space="preserve">A+ ile A-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B15C22" w14:textId="77777777" w:rsidR="00DB273F" w:rsidRPr="00872D7E" w:rsidRDefault="00DB273F" w:rsidP="00394E48">
            <w:pPr>
              <w:ind w:right="47"/>
              <w:jc w:val="center"/>
              <w:rPr>
                <w:rFonts w:ascii="Times New Roman" w:hAnsi="Times New Roman" w:cs="Times New Roman"/>
                <w:sz w:val="15"/>
                <w:szCs w:val="15"/>
              </w:rPr>
            </w:pPr>
            <w:r w:rsidRPr="00872D7E">
              <w:rPr>
                <w:rFonts w:ascii="Times New Roman" w:hAnsi="Times New Roman" w:cs="Times New Roman"/>
                <w:sz w:val="15"/>
                <w:szCs w:val="15"/>
              </w:rPr>
              <w:t xml:space="preserve">A1 ile A3 </w:t>
            </w:r>
          </w:p>
        </w:tc>
        <w:tc>
          <w:tcPr>
            <w:tcW w:w="925" w:type="pct"/>
            <w:tcBorders>
              <w:top w:val="single" w:sz="4" w:space="0" w:color="000000"/>
              <w:left w:val="single" w:sz="4" w:space="0" w:color="000000"/>
              <w:bottom w:val="single" w:sz="4" w:space="0" w:color="000000"/>
              <w:right w:val="single" w:sz="4" w:space="0" w:color="000000"/>
            </w:tcBorders>
            <w:shd w:val="clear" w:color="auto" w:fill="auto"/>
            <w:hideMark/>
          </w:tcPr>
          <w:p w14:paraId="51283607" w14:textId="77777777" w:rsidR="00DB273F" w:rsidRPr="00872D7E" w:rsidRDefault="00DB273F" w:rsidP="00394E48">
            <w:pPr>
              <w:spacing w:after="41" w:line="232" w:lineRule="auto"/>
              <w:jc w:val="center"/>
              <w:rPr>
                <w:rFonts w:ascii="Times New Roman" w:hAnsi="Times New Roman" w:cs="Times New Roman"/>
                <w:sz w:val="15"/>
                <w:szCs w:val="15"/>
              </w:rPr>
            </w:pPr>
            <w:r w:rsidRPr="00872D7E">
              <w:rPr>
                <w:rFonts w:ascii="Times New Roman" w:hAnsi="Times New Roman" w:cs="Times New Roman"/>
                <w:sz w:val="15"/>
                <w:szCs w:val="15"/>
              </w:rPr>
              <w:t xml:space="preserve">FCQR: </w:t>
            </w:r>
            <w:proofErr w:type="spellStart"/>
            <w:r w:rsidRPr="00872D7E">
              <w:rPr>
                <w:rFonts w:ascii="Times New Roman" w:hAnsi="Times New Roman" w:cs="Times New Roman"/>
                <w:sz w:val="15"/>
                <w:szCs w:val="15"/>
              </w:rPr>
              <w:t>A+f</w:t>
            </w:r>
            <w:proofErr w:type="spellEnd"/>
            <w:r w:rsidRPr="00872D7E">
              <w:rPr>
                <w:rFonts w:ascii="Times New Roman" w:hAnsi="Times New Roman" w:cs="Times New Roman"/>
                <w:sz w:val="15"/>
                <w:szCs w:val="15"/>
              </w:rPr>
              <w:t xml:space="preserve"> ile A-f; </w:t>
            </w:r>
          </w:p>
          <w:p w14:paraId="0EAD94CB"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PSFR: </w:t>
            </w:r>
            <w:proofErr w:type="spellStart"/>
            <w:r w:rsidRPr="00872D7E">
              <w:rPr>
                <w:rFonts w:ascii="Times New Roman" w:hAnsi="Times New Roman" w:cs="Times New Roman"/>
                <w:sz w:val="15"/>
                <w:szCs w:val="15"/>
              </w:rPr>
              <w:t>A+m</w:t>
            </w:r>
            <w:proofErr w:type="spellEnd"/>
            <w:r w:rsidRPr="00872D7E">
              <w:rPr>
                <w:rFonts w:ascii="Times New Roman" w:hAnsi="Times New Roman" w:cs="Times New Roman"/>
                <w:sz w:val="15"/>
                <w:szCs w:val="15"/>
              </w:rPr>
              <w:t xml:space="preserve"> ile A-m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31F8F4"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286DDF"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0BFDEC"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r>
      <w:tr w:rsidR="00DB273F" w:rsidRPr="00872D7E" w14:paraId="1E426F58"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51981D"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456189"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BB85CF"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3</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092326" w14:textId="77777777" w:rsidR="00DB273F" w:rsidRPr="00872D7E" w:rsidRDefault="00DB273F" w:rsidP="00394E48">
            <w:pPr>
              <w:ind w:left="14" w:right="14"/>
              <w:jc w:val="center"/>
              <w:rPr>
                <w:rFonts w:ascii="Times New Roman" w:hAnsi="Times New Roman" w:cs="Times New Roman"/>
                <w:sz w:val="15"/>
                <w:szCs w:val="15"/>
              </w:rPr>
            </w:pPr>
            <w:r w:rsidRPr="00872D7E">
              <w:rPr>
                <w:rFonts w:ascii="Times New Roman" w:hAnsi="Times New Roman" w:cs="Times New Roman"/>
                <w:sz w:val="15"/>
                <w:szCs w:val="15"/>
              </w:rPr>
              <w:t xml:space="preserve">BBB+ ile BBB-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96578D" w14:textId="77777777" w:rsidR="00DB273F" w:rsidRPr="00872D7E" w:rsidRDefault="00DB273F" w:rsidP="00394E48">
            <w:pPr>
              <w:ind w:right="42"/>
              <w:jc w:val="center"/>
              <w:rPr>
                <w:rFonts w:ascii="Times New Roman" w:hAnsi="Times New Roman" w:cs="Times New Roman"/>
                <w:sz w:val="15"/>
                <w:szCs w:val="15"/>
              </w:rPr>
            </w:pPr>
            <w:r w:rsidRPr="00872D7E">
              <w:rPr>
                <w:rFonts w:ascii="Times New Roman" w:hAnsi="Times New Roman" w:cs="Times New Roman"/>
                <w:sz w:val="15"/>
                <w:szCs w:val="15"/>
              </w:rPr>
              <w:t xml:space="preserve">Baa1 ile Baa3 </w:t>
            </w:r>
          </w:p>
        </w:tc>
        <w:tc>
          <w:tcPr>
            <w:tcW w:w="925" w:type="pct"/>
            <w:tcBorders>
              <w:top w:val="single" w:sz="4" w:space="0" w:color="000000"/>
              <w:left w:val="single" w:sz="4" w:space="0" w:color="000000"/>
              <w:bottom w:val="single" w:sz="4" w:space="0" w:color="000000"/>
              <w:right w:val="single" w:sz="4" w:space="0" w:color="000000"/>
            </w:tcBorders>
            <w:shd w:val="clear" w:color="auto" w:fill="auto"/>
            <w:hideMark/>
          </w:tcPr>
          <w:p w14:paraId="42A98188" w14:textId="77777777" w:rsidR="00DB273F" w:rsidRPr="00872D7E" w:rsidRDefault="00DB273F" w:rsidP="00394E48">
            <w:pPr>
              <w:spacing w:after="18" w:line="264" w:lineRule="auto"/>
              <w:ind w:left="16" w:right="14"/>
              <w:jc w:val="center"/>
              <w:rPr>
                <w:rFonts w:ascii="Times New Roman" w:hAnsi="Times New Roman" w:cs="Times New Roman"/>
                <w:sz w:val="15"/>
                <w:szCs w:val="15"/>
              </w:rPr>
            </w:pPr>
            <w:r w:rsidRPr="00872D7E">
              <w:rPr>
                <w:rFonts w:ascii="Times New Roman" w:hAnsi="Times New Roman" w:cs="Times New Roman"/>
                <w:sz w:val="15"/>
                <w:szCs w:val="15"/>
              </w:rPr>
              <w:t xml:space="preserve">FCQR: </w:t>
            </w:r>
            <w:proofErr w:type="spellStart"/>
            <w:r w:rsidRPr="00872D7E">
              <w:rPr>
                <w:rFonts w:ascii="Times New Roman" w:hAnsi="Times New Roman" w:cs="Times New Roman"/>
                <w:sz w:val="15"/>
                <w:szCs w:val="15"/>
              </w:rPr>
              <w:t>BBB+f</w:t>
            </w:r>
            <w:proofErr w:type="spellEnd"/>
            <w:r w:rsidRPr="00872D7E">
              <w:rPr>
                <w:rFonts w:ascii="Times New Roman" w:hAnsi="Times New Roman" w:cs="Times New Roman"/>
                <w:sz w:val="15"/>
                <w:szCs w:val="15"/>
              </w:rPr>
              <w:t xml:space="preserve"> ile BBB-f; </w:t>
            </w:r>
          </w:p>
          <w:p w14:paraId="7BDB18EB" w14:textId="77777777" w:rsidR="00DB273F" w:rsidRPr="00872D7E" w:rsidRDefault="00DB273F" w:rsidP="00394E48">
            <w:pPr>
              <w:ind w:left="2" w:right="2"/>
              <w:jc w:val="center"/>
              <w:rPr>
                <w:rFonts w:ascii="Times New Roman" w:hAnsi="Times New Roman" w:cs="Times New Roman"/>
                <w:sz w:val="15"/>
                <w:szCs w:val="15"/>
              </w:rPr>
            </w:pPr>
            <w:r w:rsidRPr="00872D7E">
              <w:rPr>
                <w:rFonts w:ascii="Times New Roman" w:hAnsi="Times New Roman" w:cs="Times New Roman"/>
                <w:sz w:val="15"/>
                <w:szCs w:val="15"/>
              </w:rPr>
              <w:t xml:space="preserve">PSFR: </w:t>
            </w:r>
            <w:proofErr w:type="spellStart"/>
            <w:r w:rsidRPr="00872D7E">
              <w:rPr>
                <w:rFonts w:ascii="Times New Roman" w:hAnsi="Times New Roman" w:cs="Times New Roman"/>
                <w:sz w:val="15"/>
                <w:szCs w:val="15"/>
              </w:rPr>
              <w:t>BBB+m</w:t>
            </w:r>
            <w:proofErr w:type="spellEnd"/>
            <w:r w:rsidRPr="00872D7E">
              <w:rPr>
                <w:rFonts w:ascii="Times New Roman" w:hAnsi="Times New Roman" w:cs="Times New Roman"/>
                <w:sz w:val="15"/>
                <w:szCs w:val="15"/>
              </w:rPr>
              <w:t xml:space="preserve"> ile BBB-m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57D966"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3BD26F"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049E86"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r>
      <w:tr w:rsidR="00DB273F" w:rsidRPr="00872D7E" w14:paraId="38A4D729"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B655C3"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050F06"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E5CAE"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4</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D650A9" w14:textId="77777777" w:rsidR="00DB273F" w:rsidRPr="00872D7E" w:rsidRDefault="00DB273F" w:rsidP="00394E48">
            <w:pPr>
              <w:ind w:right="41"/>
              <w:jc w:val="center"/>
              <w:rPr>
                <w:rFonts w:ascii="Times New Roman" w:hAnsi="Times New Roman" w:cs="Times New Roman"/>
                <w:sz w:val="15"/>
                <w:szCs w:val="15"/>
              </w:rPr>
            </w:pPr>
            <w:r w:rsidRPr="00872D7E">
              <w:rPr>
                <w:rFonts w:ascii="Times New Roman" w:hAnsi="Times New Roman" w:cs="Times New Roman"/>
                <w:sz w:val="15"/>
                <w:szCs w:val="15"/>
              </w:rPr>
              <w:t xml:space="preserve">BB+ ile BB-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E127E2" w14:textId="77777777" w:rsidR="00DB273F" w:rsidRPr="00872D7E" w:rsidRDefault="00DB273F" w:rsidP="00394E48">
            <w:pPr>
              <w:ind w:right="44"/>
              <w:jc w:val="center"/>
              <w:rPr>
                <w:rFonts w:ascii="Times New Roman" w:hAnsi="Times New Roman" w:cs="Times New Roman"/>
                <w:sz w:val="15"/>
                <w:szCs w:val="15"/>
              </w:rPr>
            </w:pPr>
            <w:r w:rsidRPr="00872D7E">
              <w:rPr>
                <w:rFonts w:ascii="Times New Roman" w:hAnsi="Times New Roman" w:cs="Times New Roman"/>
                <w:sz w:val="15"/>
                <w:szCs w:val="15"/>
              </w:rPr>
              <w:t xml:space="preserve">Ba1 ile Ba3 </w:t>
            </w:r>
          </w:p>
        </w:tc>
        <w:tc>
          <w:tcPr>
            <w:tcW w:w="925" w:type="pct"/>
            <w:tcBorders>
              <w:top w:val="single" w:sz="4" w:space="0" w:color="000000"/>
              <w:left w:val="single" w:sz="4" w:space="0" w:color="000000"/>
              <w:bottom w:val="single" w:sz="4" w:space="0" w:color="000000"/>
              <w:right w:val="single" w:sz="4" w:space="0" w:color="000000"/>
            </w:tcBorders>
            <w:shd w:val="clear" w:color="auto" w:fill="auto"/>
            <w:hideMark/>
          </w:tcPr>
          <w:p w14:paraId="3FC3BD54" w14:textId="77777777" w:rsidR="00DB273F" w:rsidRPr="00872D7E" w:rsidRDefault="00DB273F" w:rsidP="00394E48">
            <w:pPr>
              <w:spacing w:after="38" w:line="237" w:lineRule="auto"/>
              <w:jc w:val="center"/>
              <w:rPr>
                <w:rFonts w:ascii="Times New Roman" w:hAnsi="Times New Roman" w:cs="Times New Roman"/>
                <w:sz w:val="15"/>
                <w:szCs w:val="15"/>
              </w:rPr>
            </w:pPr>
            <w:r w:rsidRPr="00872D7E">
              <w:rPr>
                <w:rFonts w:ascii="Times New Roman" w:hAnsi="Times New Roman" w:cs="Times New Roman"/>
                <w:sz w:val="15"/>
                <w:szCs w:val="15"/>
              </w:rPr>
              <w:t xml:space="preserve">FCQR: </w:t>
            </w:r>
            <w:proofErr w:type="spellStart"/>
            <w:r w:rsidRPr="00872D7E">
              <w:rPr>
                <w:rFonts w:ascii="Times New Roman" w:hAnsi="Times New Roman" w:cs="Times New Roman"/>
                <w:sz w:val="15"/>
                <w:szCs w:val="15"/>
              </w:rPr>
              <w:t>BB+f</w:t>
            </w:r>
            <w:proofErr w:type="spellEnd"/>
            <w:r w:rsidRPr="00872D7E">
              <w:rPr>
                <w:rFonts w:ascii="Times New Roman" w:hAnsi="Times New Roman" w:cs="Times New Roman"/>
                <w:sz w:val="15"/>
                <w:szCs w:val="15"/>
              </w:rPr>
              <w:t xml:space="preserve"> ile BB-f; </w:t>
            </w:r>
          </w:p>
          <w:p w14:paraId="53430A25"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PSFR: </w:t>
            </w:r>
            <w:proofErr w:type="spellStart"/>
            <w:r w:rsidRPr="00872D7E">
              <w:rPr>
                <w:rFonts w:ascii="Times New Roman" w:hAnsi="Times New Roman" w:cs="Times New Roman"/>
                <w:sz w:val="15"/>
                <w:szCs w:val="15"/>
              </w:rPr>
              <w:t>BB+m</w:t>
            </w:r>
            <w:proofErr w:type="spellEnd"/>
            <w:r w:rsidRPr="00872D7E">
              <w:rPr>
                <w:rFonts w:ascii="Times New Roman" w:hAnsi="Times New Roman" w:cs="Times New Roman"/>
                <w:sz w:val="15"/>
                <w:szCs w:val="15"/>
              </w:rPr>
              <w:t xml:space="preserve"> ile BB-m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E903FC"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AC84"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C93937"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r>
      <w:tr w:rsidR="00DB273F" w:rsidRPr="00872D7E" w14:paraId="79CE989F" w14:textId="77777777" w:rsidTr="00394E48">
        <w:trPr>
          <w:cantSplit/>
          <w:trHeight w:val="20"/>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DF1431"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165C8A"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E8F194"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5</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886D44" w14:textId="77777777" w:rsidR="00DB273F" w:rsidRPr="00872D7E" w:rsidRDefault="00DB273F" w:rsidP="00394E48">
            <w:pPr>
              <w:ind w:right="36"/>
              <w:jc w:val="center"/>
              <w:rPr>
                <w:rFonts w:ascii="Times New Roman" w:hAnsi="Times New Roman" w:cs="Times New Roman"/>
                <w:sz w:val="15"/>
                <w:szCs w:val="15"/>
              </w:rPr>
            </w:pPr>
            <w:r w:rsidRPr="00872D7E">
              <w:rPr>
                <w:rFonts w:ascii="Times New Roman" w:hAnsi="Times New Roman" w:cs="Times New Roman"/>
                <w:sz w:val="15"/>
                <w:szCs w:val="15"/>
              </w:rPr>
              <w:t xml:space="preserve">B+ ile B-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D4B3E0" w14:textId="77777777" w:rsidR="00DB273F" w:rsidRPr="00872D7E" w:rsidRDefault="00DB273F" w:rsidP="00394E48">
            <w:pPr>
              <w:ind w:right="41"/>
              <w:jc w:val="center"/>
              <w:rPr>
                <w:rFonts w:ascii="Times New Roman" w:hAnsi="Times New Roman" w:cs="Times New Roman"/>
                <w:sz w:val="15"/>
                <w:szCs w:val="15"/>
              </w:rPr>
            </w:pPr>
            <w:r w:rsidRPr="00872D7E">
              <w:rPr>
                <w:rFonts w:ascii="Times New Roman" w:hAnsi="Times New Roman" w:cs="Times New Roman"/>
                <w:sz w:val="15"/>
                <w:szCs w:val="15"/>
              </w:rPr>
              <w:t xml:space="preserve">B1 ile B3 </w:t>
            </w:r>
          </w:p>
        </w:tc>
        <w:tc>
          <w:tcPr>
            <w:tcW w:w="925" w:type="pct"/>
            <w:tcBorders>
              <w:top w:val="single" w:sz="4" w:space="0" w:color="000000"/>
              <w:left w:val="single" w:sz="4" w:space="0" w:color="000000"/>
              <w:bottom w:val="single" w:sz="4" w:space="0" w:color="000000"/>
              <w:right w:val="single" w:sz="4" w:space="0" w:color="000000"/>
            </w:tcBorders>
            <w:shd w:val="clear" w:color="auto" w:fill="auto"/>
            <w:hideMark/>
          </w:tcPr>
          <w:p w14:paraId="7D05810C" w14:textId="77777777" w:rsidR="00DB273F" w:rsidRPr="00872D7E" w:rsidRDefault="00DB273F" w:rsidP="00394E48">
            <w:pPr>
              <w:spacing w:line="256" w:lineRule="auto"/>
              <w:ind w:left="2"/>
              <w:rPr>
                <w:rFonts w:ascii="Times New Roman" w:hAnsi="Times New Roman" w:cs="Times New Roman"/>
                <w:sz w:val="15"/>
                <w:szCs w:val="15"/>
              </w:rPr>
            </w:pPr>
            <w:r w:rsidRPr="00872D7E">
              <w:rPr>
                <w:rFonts w:ascii="Times New Roman" w:hAnsi="Times New Roman" w:cs="Times New Roman"/>
                <w:sz w:val="15"/>
                <w:szCs w:val="15"/>
              </w:rPr>
              <w:t xml:space="preserve">FCQR: </w:t>
            </w:r>
            <w:proofErr w:type="spellStart"/>
            <w:r w:rsidRPr="00872D7E">
              <w:rPr>
                <w:rFonts w:ascii="Times New Roman" w:hAnsi="Times New Roman" w:cs="Times New Roman"/>
                <w:sz w:val="15"/>
                <w:szCs w:val="15"/>
              </w:rPr>
              <w:t>B+f</w:t>
            </w:r>
            <w:proofErr w:type="spellEnd"/>
            <w:r w:rsidRPr="00872D7E">
              <w:rPr>
                <w:rFonts w:ascii="Times New Roman" w:hAnsi="Times New Roman" w:cs="Times New Roman"/>
                <w:sz w:val="15"/>
                <w:szCs w:val="15"/>
              </w:rPr>
              <w:t xml:space="preserve"> ile B-</w:t>
            </w:r>
          </w:p>
          <w:p w14:paraId="5734A01F" w14:textId="77777777" w:rsidR="00DB273F" w:rsidRPr="00872D7E" w:rsidRDefault="00DB273F" w:rsidP="00394E48">
            <w:pPr>
              <w:spacing w:after="22" w:line="256" w:lineRule="auto"/>
              <w:ind w:right="38"/>
              <w:jc w:val="center"/>
              <w:rPr>
                <w:rFonts w:ascii="Times New Roman" w:hAnsi="Times New Roman" w:cs="Times New Roman"/>
                <w:sz w:val="15"/>
                <w:szCs w:val="15"/>
              </w:rPr>
            </w:pPr>
            <w:proofErr w:type="gramStart"/>
            <w:r w:rsidRPr="00872D7E">
              <w:rPr>
                <w:rFonts w:ascii="Times New Roman" w:hAnsi="Times New Roman" w:cs="Times New Roman"/>
                <w:sz w:val="15"/>
                <w:szCs w:val="15"/>
              </w:rPr>
              <w:t>f</w:t>
            </w:r>
            <w:proofErr w:type="gramEnd"/>
            <w:r w:rsidRPr="00872D7E">
              <w:rPr>
                <w:rFonts w:ascii="Times New Roman" w:hAnsi="Times New Roman" w:cs="Times New Roman"/>
                <w:sz w:val="15"/>
                <w:szCs w:val="15"/>
              </w:rPr>
              <w:t xml:space="preserve">;  </w:t>
            </w:r>
          </w:p>
          <w:p w14:paraId="18EF9B5B"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PSFR: </w:t>
            </w:r>
            <w:proofErr w:type="spellStart"/>
            <w:r w:rsidRPr="00872D7E">
              <w:rPr>
                <w:rFonts w:ascii="Times New Roman" w:hAnsi="Times New Roman" w:cs="Times New Roman"/>
                <w:sz w:val="15"/>
                <w:szCs w:val="15"/>
              </w:rPr>
              <w:t>B+m</w:t>
            </w:r>
            <w:proofErr w:type="spellEnd"/>
            <w:r w:rsidRPr="00872D7E">
              <w:rPr>
                <w:rFonts w:ascii="Times New Roman" w:hAnsi="Times New Roman" w:cs="Times New Roman"/>
                <w:sz w:val="15"/>
                <w:szCs w:val="15"/>
              </w:rPr>
              <w:t xml:space="preserve"> ile B-m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27C096"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13FBC0"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ADFCF8"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r>
      <w:tr w:rsidR="00DB273F" w:rsidRPr="00872D7E" w14:paraId="66721463" w14:textId="77777777" w:rsidTr="00394E48">
        <w:trPr>
          <w:cantSplit/>
          <w:trHeight w:val="415"/>
        </w:trPr>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C20680" w14:textId="77777777" w:rsidR="00DB273F" w:rsidRPr="00872D7E" w:rsidRDefault="00DB273F" w:rsidP="00394E48">
            <w:pPr>
              <w:rPr>
                <w:rFonts w:ascii="Times New Roman" w:hAnsi="Times New Roman" w:cs="Times New Roman"/>
                <w:b/>
                <w:sz w:val="15"/>
                <w:szCs w:val="15"/>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7FFDFD" w14:textId="77777777" w:rsidR="00DB273F" w:rsidRPr="00872D7E" w:rsidRDefault="00DB273F" w:rsidP="00394E48">
            <w:pPr>
              <w:rPr>
                <w:rFonts w:ascii="Times New Roman" w:hAnsi="Times New Roman" w:cs="Times New Roman"/>
                <w:b/>
                <w:sz w:val="15"/>
                <w:szCs w:val="15"/>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3FDA87" w14:textId="77777777" w:rsidR="00DB273F" w:rsidRPr="00872D7E" w:rsidRDefault="00DB273F" w:rsidP="00394E48">
            <w:pPr>
              <w:ind w:right="39"/>
              <w:jc w:val="center"/>
              <w:rPr>
                <w:rFonts w:ascii="Times New Roman" w:hAnsi="Times New Roman" w:cs="Times New Roman"/>
                <w:sz w:val="15"/>
                <w:szCs w:val="15"/>
              </w:rPr>
            </w:pPr>
            <w:r w:rsidRPr="00872D7E">
              <w:rPr>
                <w:rFonts w:ascii="Times New Roman" w:hAnsi="Times New Roman" w:cs="Times New Roman"/>
                <w:sz w:val="15"/>
                <w:szCs w:val="15"/>
              </w:rPr>
              <w:t>6</w:t>
            </w:r>
          </w:p>
        </w:tc>
        <w:tc>
          <w:tcPr>
            <w:tcW w:w="49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AF648D" w14:textId="77777777" w:rsidR="00DB273F" w:rsidRPr="00872D7E" w:rsidRDefault="00DB273F" w:rsidP="00394E48">
            <w:pPr>
              <w:jc w:val="center"/>
              <w:rPr>
                <w:rFonts w:ascii="Times New Roman" w:hAnsi="Times New Roman" w:cs="Times New Roman"/>
                <w:sz w:val="15"/>
                <w:szCs w:val="15"/>
              </w:rPr>
            </w:pPr>
            <w:r w:rsidRPr="00872D7E">
              <w:rPr>
                <w:rFonts w:ascii="Times New Roman" w:hAnsi="Times New Roman" w:cs="Times New Roman"/>
                <w:sz w:val="15"/>
                <w:szCs w:val="15"/>
              </w:rPr>
              <w:t xml:space="preserve">CCC+ ve aşağısı </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B16AA3" w14:textId="77777777" w:rsidR="00DB273F" w:rsidRPr="00872D7E" w:rsidRDefault="00DB273F" w:rsidP="00394E48">
            <w:pPr>
              <w:ind w:right="44"/>
              <w:jc w:val="center"/>
              <w:rPr>
                <w:rFonts w:ascii="Times New Roman" w:hAnsi="Times New Roman" w:cs="Times New Roman"/>
                <w:sz w:val="15"/>
                <w:szCs w:val="15"/>
              </w:rPr>
            </w:pPr>
            <w:r w:rsidRPr="00872D7E">
              <w:rPr>
                <w:rFonts w:ascii="Times New Roman" w:hAnsi="Times New Roman" w:cs="Times New Roman"/>
                <w:sz w:val="15"/>
                <w:szCs w:val="15"/>
              </w:rPr>
              <w:t xml:space="preserve">Caa1 ve aşağısı </w:t>
            </w:r>
          </w:p>
        </w:tc>
        <w:tc>
          <w:tcPr>
            <w:tcW w:w="925" w:type="pct"/>
            <w:tcBorders>
              <w:top w:val="single" w:sz="4" w:space="0" w:color="000000"/>
              <w:left w:val="single" w:sz="4" w:space="0" w:color="000000"/>
              <w:bottom w:val="single" w:sz="4" w:space="0" w:color="000000"/>
              <w:right w:val="single" w:sz="4" w:space="0" w:color="000000"/>
            </w:tcBorders>
            <w:shd w:val="clear" w:color="auto" w:fill="auto"/>
            <w:hideMark/>
          </w:tcPr>
          <w:p w14:paraId="5054BAE4" w14:textId="77777777" w:rsidR="00DB273F" w:rsidRPr="00872D7E" w:rsidRDefault="00DB273F" w:rsidP="00394E48">
            <w:pPr>
              <w:ind w:left="18" w:hanging="18"/>
              <w:jc w:val="center"/>
              <w:rPr>
                <w:rFonts w:ascii="Times New Roman" w:hAnsi="Times New Roman" w:cs="Times New Roman"/>
                <w:sz w:val="15"/>
                <w:szCs w:val="15"/>
              </w:rPr>
            </w:pPr>
            <w:r w:rsidRPr="00872D7E">
              <w:rPr>
                <w:rFonts w:ascii="Times New Roman" w:hAnsi="Times New Roman" w:cs="Times New Roman"/>
                <w:sz w:val="15"/>
                <w:szCs w:val="15"/>
              </w:rPr>
              <w:t xml:space="preserve">FCQR: </w:t>
            </w:r>
            <w:proofErr w:type="spellStart"/>
            <w:r w:rsidRPr="00872D7E">
              <w:rPr>
                <w:rFonts w:ascii="Times New Roman" w:hAnsi="Times New Roman" w:cs="Times New Roman"/>
                <w:sz w:val="15"/>
                <w:szCs w:val="15"/>
              </w:rPr>
              <w:t>CCC+f</w:t>
            </w:r>
            <w:proofErr w:type="spellEnd"/>
            <w:r w:rsidRPr="00872D7E">
              <w:rPr>
                <w:rFonts w:ascii="Times New Roman" w:hAnsi="Times New Roman" w:cs="Times New Roman"/>
                <w:sz w:val="15"/>
                <w:szCs w:val="15"/>
              </w:rPr>
              <w:t xml:space="preserve"> ve aşağısı; PSFR: </w:t>
            </w:r>
            <w:proofErr w:type="spellStart"/>
            <w:r w:rsidRPr="00872D7E">
              <w:rPr>
                <w:rFonts w:ascii="Times New Roman" w:hAnsi="Times New Roman" w:cs="Times New Roman"/>
                <w:sz w:val="15"/>
                <w:szCs w:val="15"/>
              </w:rPr>
              <w:t>CCC+m</w:t>
            </w:r>
            <w:proofErr w:type="spellEnd"/>
            <w:r w:rsidRPr="00872D7E">
              <w:rPr>
                <w:rFonts w:ascii="Times New Roman" w:hAnsi="Times New Roman" w:cs="Times New Roman"/>
                <w:sz w:val="15"/>
                <w:szCs w:val="15"/>
              </w:rPr>
              <w:t xml:space="preserve"> ve aşağısı </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92A833" w14:textId="77777777" w:rsidR="00DB273F" w:rsidRPr="00872D7E" w:rsidRDefault="00DB273F" w:rsidP="00394E48">
            <w:pPr>
              <w:ind w:right="38"/>
              <w:jc w:val="center"/>
              <w:rPr>
                <w:rFonts w:ascii="Times New Roman" w:hAnsi="Times New Roman" w:cs="Times New Roman"/>
                <w:sz w:val="15"/>
                <w:szCs w:val="15"/>
              </w:rPr>
            </w:pPr>
            <w:r w:rsidRPr="00872D7E">
              <w:rPr>
                <w:rFonts w:ascii="Times New Roman" w:hAnsi="Times New Roman" w:cs="Times New Roman"/>
                <w:sz w:val="15"/>
                <w:szCs w:val="15"/>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B9187"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1AE28E" w14:textId="77777777" w:rsidR="00DB273F" w:rsidRPr="00872D7E" w:rsidRDefault="00DB273F" w:rsidP="00394E48">
            <w:pPr>
              <w:ind w:right="43"/>
              <w:jc w:val="center"/>
              <w:rPr>
                <w:rFonts w:ascii="Times New Roman" w:hAnsi="Times New Roman" w:cs="Times New Roman"/>
                <w:sz w:val="15"/>
                <w:szCs w:val="15"/>
              </w:rPr>
            </w:pPr>
            <w:r w:rsidRPr="00872D7E">
              <w:rPr>
                <w:rFonts w:ascii="Times New Roman" w:eastAsia="Calibri" w:hAnsi="Times New Roman" w:cs="Times New Roman"/>
                <w:sz w:val="15"/>
                <w:szCs w:val="15"/>
              </w:rPr>
              <w:t xml:space="preserve">- </w:t>
            </w:r>
          </w:p>
        </w:tc>
      </w:tr>
    </w:tbl>
    <w:p w14:paraId="27C6B3AB" w14:textId="77777777" w:rsidR="00DB273F" w:rsidRPr="00872D7E" w:rsidRDefault="00DB273F" w:rsidP="0075771F">
      <w:r w:rsidRPr="00872D7E">
        <w:br w:type="page"/>
      </w:r>
    </w:p>
    <w:p w14:paraId="66EEF8E1" w14:textId="77777777" w:rsidR="00706ECA" w:rsidRPr="00872D7E" w:rsidRDefault="00706ECA" w:rsidP="00706ECA">
      <w:pPr>
        <w:rPr>
          <w:b/>
          <w:szCs w:val="20"/>
        </w:rPr>
      </w:pPr>
      <w:r w:rsidRPr="00872D7E">
        <w:rPr>
          <w:b/>
          <w:szCs w:val="20"/>
        </w:rPr>
        <w:lastRenderedPageBreak/>
        <w:t>MALİ BÜNYEYE VE RİSK YÖNETİMİNE İLİŞKİN BİLGİLER (Devamı)</w:t>
      </w:r>
    </w:p>
    <w:p w14:paraId="78CED02A" w14:textId="77777777" w:rsidR="00706ECA" w:rsidRPr="00872D7E" w:rsidRDefault="00706ECA" w:rsidP="002C66A8">
      <w:pPr>
        <w:autoSpaceDE w:val="0"/>
        <w:autoSpaceDN w:val="0"/>
        <w:adjustRightInd w:val="0"/>
        <w:spacing w:before="120" w:after="120"/>
        <w:ind w:left="851" w:hanging="851"/>
        <w:jc w:val="both"/>
        <w:rPr>
          <w:b/>
          <w:szCs w:val="20"/>
        </w:rPr>
      </w:pPr>
      <w:r w:rsidRPr="00872D7E">
        <w:rPr>
          <w:b/>
          <w:szCs w:val="20"/>
        </w:rPr>
        <w:t>II.</w:t>
      </w:r>
      <w:r w:rsidRPr="00872D7E">
        <w:rPr>
          <w:b/>
          <w:szCs w:val="20"/>
        </w:rPr>
        <w:tab/>
        <w:t>KREDİ RİSKİNE İLİŞKİN AÇIKLAMALAR (Devamı)</w:t>
      </w:r>
    </w:p>
    <w:p w14:paraId="795917BF" w14:textId="77777777" w:rsidR="00DB273F" w:rsidRPr="00872D7E" w:rsidRDefault="00DB273F" w:rsidP="002C66A8">
      <w:pPr>
        <w:spacing w:before="120" w:after="120"/>
        <w:ind w:left="851" w:right="-182"/>
        <w:jc w:val="both"/>
        <w:rPr>
          <w:szCs w:val="20"/>
        </w:rPr>
      </w:pPr>
      <w:r w:rsidRPr="00872D7E">
        <w:rPr>
          <w:szCs w:val="20"/>
        </w:rPr>
        <w:t>Bankaların Sermaye Yeterliliğinin Ölçülmesine ve Değerlendirilmesine İlişkin Yönetmeliğin Ek-1’inde tanımlanan her bir risk ağırlığına tekabül eden kredi riski azaltımı öncesi ve sonrası toplam risk tutarı ve özkaynaklardan indirilen tutarlara ilişkin bilgiler:</w:t>
      </w:r>
    </w:p>
    <w:tbl>
      <w:tblPr>
        <w:tblW w:w="5000" w:type="pct"/>
        <w:tblCellMar>
          <w:left w:w="30" w:type="dxa"/>
          <w:right w:w="30" w:type="dxa"/>
        </w:tblCellMar>
        <w:tblLook w:val="04A0" w:firstRow="1" w:lastRow="0" w:firstColumn="1" w:lastColumn="0" w:noHBand="0" w:noVBand="1"/>
      </w:tblPr>
      <w:tblGrid>
        <w:gridCol w:w="150"/>
        <w:gridCol w:w="1388"/>
        <w:gridCol w:w="839"/>
        <w:gridCol w:w="420"/>
        <w:gridCol w:w="840"/>
        <w:gridCol w:w="687"/>
        <w:gridCol w:w="695"/>
        <w:gridCol w:w="803"/>
        <w:gridCol w:w="942"/>
        <w:gridCol w:w="624"/>
        <w:gridCol w:w="890"/>
        <w:gridCol w:w="1361"/>
      </w:tblGrid>
      <w:tr w:rsidR="00DB273F" w:rsidRPr="00872D7E" w14:paraId="5E197721" w14:textId="77777777" w:rsidTr="005D5176">
        <w:trPr>
          <w:trHeight w:val="453"/>
        </w:trPr>
        <w:tc>
          <w:tcPr>
            <w:tcW w:w="74" w:type="pct"/>
            <w:tcBorders>
              <w:top w:val="single" w:sz="4" w:space="0" w:color="auto"/>
              <w:left w:val="nil"/>
              <w:bottom w:val="single" w:sz="4" w:space="0" w:color="auto"/>
              <w:right w:val="nil"/>
            </w:tcBorders>
            <w:shd w:val="clear" w:color="auto" w:fill="auto"/>
            <w:vAlign w:val="bottom"/>
          </w:tcPr>
          <w:p w14:paraId="7846B7ED" w14:textId="77777777" w:rsidR="00DB273F" w:rsidRPr="00872D7E" w:rsidRDefault="00DB273F" w:rsidP="00594D1F">
            <w:pPr>
              <w:autoSpaceDE w:val="0"/>
              <w:autoSpaceDN w:val="0"/>
              <w:adjustRightInd w:val="0"/>
              <w:ind w:left="180" w:hanging="180"/>
              <w:rPr>
                <w:rFonts w:eastAsia="Arial Unicode MS"/>
                <w:b/>
                <w:sz w:val="18"/>
                <w:szCs w:val="18"/>
              </w:rPr>
            </w:pPr>
            <w:bookmarkStart w:id="32" w:name="_Hlk127257166"/>
          </w:p>
        </w:tc>
        <w:tc>
          <w:tcPr>
            <w:tcW w:w="735" w:type="pct"/>
            <w:tcBorders>
              <w:top w:val="single" w:sz="4" w:space="0" w:color="auto"/>
              <w:left w:val="nil"/>
              <w:bottom w:val="single" w:sz="4" w:space="0" w:color="auto"/>
              <w:right w:val="nil"/>
            </w:tcBorders>
            <w:shd w:val="clear" w:color="auto" w:fill="auto"/>
            <w:vAlign w:val="bottom"/>
            <w:hideMark/>
          </w:tcPr>
          <w:p w14:paraId="4C0AE8F9" w14:textId="77777777" w:rsidR="00DB273F" w:rsidRPr="00872D7E" w:rsidRDefault="00DB273F" w:rsidP="00594D1F">
            <w:pPr>
              <w:autoSpaceDE w:val="0"/>
              <w:autoSpaceDN w:val="0"/>
              <w:adjustRightInd w:val="0"/>
              <w:rPr>
                <w:rFonts w:eastAsia="Arial Unicode MS"/>
                <w:b/>
                <w:sz w:val="18"/>
                <w:szCs w:val="18"/>
              </w:rPr>
            </w:pPr>
            <w:r w:rsidRPr="00872D7E">
              <w:rPr>
                <w:rFonts w:eastAsia="Arial Unicode MS"/>
                <w:b/>
                <w:sz w:val="18"/>
                <w:szCs w:val="18"/>
              </w:rPr>
              <w:t>Risk Ağırlığı</w:t>
            </w:r>
          </w:p>
        </w:tc>
        <w:tc>
          <w:tcPr>
            <w:tcW w:w="450" w:type="pct"/>
            <w:tcBorders>
              <w:top w:val="single" w:sz="4" w:space="0" w:color="auto"/>
              <w:left w:val="nil"/>
              <w:bottom w:val="single" w:sz="4" w:space="0" w:color="auto"/>
              <w:right w:val="nil"/>
            </w:tcBorders>
            <w:shd w:val="clear" w:color="auto" w:fill="auto"/>
            <w:vAlign w:val="bottom"/>
            <w:hideMark/>
          </w:tcPr>
          <w:p w14:paraId="59986542" w14:textId="77777777" w:rsidR="00DB273F" w:rsidRPr="00872D7E" w:rsidRDefault="00DB273F" w:rsidP="000565A5">
            <w:pPr>
              <w:autoSpaceDE w:val="0"/>
              <w:autoSpaceDN w:val="0"/>
              <w:adjustRightInd w:val="0"/>
              <w:jc w:val="center"/>
              <w:rPr>
                <w:rFonts w:eastAsia="Arial Unicode MS"/>
                <w:b/>
                <w:sz w:val="18"/>
                <w:szCs w:val="18"/>
              </w:rPr>
            </w:pPr>
            <w:r w:rsidRPr="00872D7E">
              <w:rPr>
                <w:rFonts w:eastAsia="Arial Unicode MS"/>
                <w:b/>
                <w:sz w:val="18"/>
                <w:szCs w:val="18"/>
              </w:rPr>
              <w:t>%0</w:t>
            </w:r>
          </w:p>
        </w:tc>
        <w:tc>
          <w:tcPr>
            <w:tcW w:w="200" w:type="pct"/>
            <w:tcBorders>
              <w:top w:val="single" w:sz="4" w:space="0" w:color="auto"/>
              <w:left w:val="nil"/>
              <w:bottom w:val="single" w:sz="4" w:space="0" w:color="auto"/>
              <w:right w:val="nil"/>
            </w:tcBorders>
            <w:shd w:val="clear" w:color="auto" w:fill="auto"/>
            <w:vAlign w:val="bottom"/>
            <w:hideMark/>
          </w:tcPr>
          <w:p w14:paraId="467175C9" w14:textId="77777777" w:rsidR="00DB273F" w:rsidRPr="00872D7E" w:rsidRDefault="00DB273F" w:rsidP="000565A5">
            <w:pPr>
              <w:autoSpaceDE w:val="0"/>
              <w:autoSpaceDN w:val="0"/>
              <w:adjustRightInd w:val="0"/>
              <w:jc w:val="center"/>
              <w:rPr>
                <w:rFonts w:eastAsia="Arial Unicode MS"/>
                <w:b/>
                <w:sz w:val="18"/>
                <w:szCs w:val="18"/>
              </w:rPr>
            </w:pPr>
            <w:r w:rsidRPr="00872D7E">
              <w:rPr>
                <w:rFonts w:eastAsia="Arial Unicode MS"/>
                <w:b/>
                <w:sz w:val="18"/>
                <w:szCs w:val="18"/>
              </w:rPr>
              <w:t>%10</w:t>
            </w:r>
          </w:p>
        </w:tc>
        <w:tc>
          <w:tcPr>
            <w:tcW w:w="450" w:type="pct"/>
            <w:tcBorders>
              <w:top w:val="single" w:sz="4" w:space="0" w:color="auto"/>
              <w:left w:val="nil"/>
              <w:bottom w:val="single" w:sz="4" w:space="0" w:color="auto"/>
              <w:right w:val="nil"/>
            </w:tcBorders>
            <w:shd w:val="clear" w:color="auto" w:fill="auto"/>
            <w:vAlign w:val="bottom"/>
            <w:hideMark/>
          </w:tcPr>
          <w:p w14:paraId="09C06D93" w14:textId="77777777" w:rsidR="00DB273F" w:rsidRPr="00872D7E" w:rsidRDefault="00DB273F" w:rsidP="000565A5">
            <w:pPr>
              <w:autoSpaceDE w:val="0"/>
              <w:autoSpaceDN w:val="0"/>
              <w:adjustRightInd w:val="0"/>
              <w:jc w:val="center"/>
              <w:rPr>
                <w:rFonts w:eastAsia="Arial Unicode MS"/>
                <w:b/>
                <w:sz w:val="18"/>
                <w:szCs w:val="18"/>
              </w:rPr>
            </w:pPr>
            <w:r w:rsidRPr="00872D7E">
              <w:rPr>
                <w:rFonts w:eastAsia="Arial Unicode MS"/>
                <w:b/>
                <w:sz w:val="18"/>
                <w:szCs w:val="18"/>
              </w:rPr>
              <w:t>%20</w:t>
            </w:r>
          </w:p>
        </w:tc>
        <w:tc>
          <w:tcPr>
            <w:tcW w:w="371" w:type="pct"/>
            <w:tcBorders>
              <w:top w:val="single" w:sz="4" w:space="0" w:color="auto"/>
              <w:left w:val="nil"/>
              <w:bottom w:val="single" w:sz="4" w:space="0" w:color="auto"/>
              <w:right w:val="nil"/>
            </w:tcBorders>
            <w:shd w:val="clear" w:color="auto" w:fill="auto"/>
            <w:vAlign w:val="bottom"/>
            <w:hideMark/>
          </w:tcPr>
          <w:p w14:paraId="363853CE" w14:textId="77777777" w:rsidR="00DB273F" w:rsidRPr="00872D7E" w:rsidRDefault="00DB273F" w:rsidP="000565A5">
            <w:pPr>
              <w:autoSpaceDE w:val="0"/>
              <w:autoSpaceDN w:val="0"/>
              <w:adjustRightInd w:val="0"/>
              <w:jc w:val="center"/>
              <w:rPr>
                <w:rFonts w:eastAsia="Arial Unicode MS"/>
                <w:b/>
                <w:sz w:val="18"/>
                <w:szCs w:val="18"/>
              </w:rPr>
            </w:pPr>
            <w:r w:rsidRPr="00872D7E">
              <w:rPr>
                <w:rFonts w:eastAsia="Arial Unicode MS"/>
                <w:b/>
                <w:sz w:val="18"/>
                <w:szCs w:val="18"/>
              </w:rPr>
              <w:t>%35</w:t>
            </w:r>
          </w:p>
        </w:tc>
        <w:tc>
          <w:tcPr>
            <w:tcW w:w="375" w:type="pct"/>
            <w:tcBorders>
              <w:top w:val="single" w:sz="4" w:space="0" w:color="auto"/>
              <w:left w:val="nil"/>
              <w:bottom w:val="single" w:sz="4" w:space="0" w:color="auto"/>
              <w:right w:val="nil"/>
            </w:tcBorders>
            <w:shd w:val="clear" w:color="auto" w:fill="auto"/>
            <w:vAlign w:val="bottom"/>
            <w:hideMark/>
          </w:tcPr>
          <w:p w14:paraId="29F3D08B" w14:textId="77777777" w:rsidR="00DB273F" w:rsidRPr="00872D7E" w:rsidRDefault="00DB273F" w:rsidP="000565A5">
            <w:pPr>
              <w:autoSpaceDE w:val="0"/>
              <w:autoSpaceDN w:val="0"/>
              <w:adjustRightInd w:val="0"/>
              <w:jc w:val="center"/>
              <w:rPr>
                <w:rFonts w:eastAsia="Arial Unicode MS"/>
                <w:b/>
                <w:sz w:val="18"/>
                <w:szCs w:val="18"/>
              </w:rPr>
            </w:pPr>
            <w:r w:rsidRPr="00872D7E">
              <w:rPr>
                <w:rFonts w:eastAsia="Arial Unicode MS"/>
                <w:b/>
                <w:sz w:val="18"/>
                <w:szCs w:val="18"/>
              </w:rPr>
              <w:t>%50</w:t>
            </w:r>
          </w:p>
        </w:tc>
        <w:tc>
          <w:tcPr>
            <w:tcW w:w="431" w:type="pct"/>
            <w:tcBorders>
              <w:top w:val="single" w:sz="4" w:space="0" w:color="auto"/>
              <w:left w:val="nil"/>
              <w:bottom w:val="single" w:sz="4" w:space="0" w:color="auto"/>
              <w:right w:val="nil"/>
            </w:tcBorders>
            <w:shd w:val="clear" w:color="auto" w:fill="auto"/>
            <w:vAlign w:val="bottom"/>
            <w:hideMark/>
          </w:tcPr>
          <w:p w14:paraId="09941BA6" w14:textId="77777777" w:rsidR="00DB273F" w:rsidRPr="00872D7E" w:rsidRDefault="00DB273F" w:rsidP="000565A5">
            <w:pPr>
              <w:autoSpaceDE w:val="0"/>
              <w:autoSpaceDN w:val="0"/>
              <w:adjustRightInd w:val="0"/>
              <w:jc w:val="center"/>
              <w:rPr>
                <w:rFonts w:eastAsia="Arial Unicode MS"/>
                <w:b/>
                <w:sz w:val="18"/>
                <w:szCs w:val="18"/>
              </w:rPr>
            </w:pPr>
            <w:r w:rsidRPr="00872D7E">
              <w:rPr>
                <w:rFonts w:eastAsia="Arial Unicode MS"/>
                <w:b/>
                <w:sz w:val="18"/>
                <w:szCs w:val="18"/>
              </w:rPr>
              <w:t>%75</w:t>
            </w:r>
          </w:p>
        </w:tc>
        <w:tc>
          <w:tcPr>
            <w:tcW w:w="503" w:type="pct"/>
            <w:tcBorders>
              <w:top w:val="single" w:sz="4" w:space="0" w:color="auto"/>
              <w:left w:val="nil"/>
              <w:bottom w:val="single" w:sz="4" w:space="0" w:color="auto"/>
              <w:right w:val="nil"/>
            </w:tcBorders>
            <w:shd w:val="clear" w:color="auto" w:fill="auto"/>
            <w:vAlign w:val="bottom"/>
            <w:hideMark/>
          </w:tcPr>
          <w:p w14:paraId="11F556CC" w14:textId="77777777" w:rsidR="00DB273F" w:rsidRPr="00872D7E" w:rsidRDefault="00DB273F" w:rsidP="000565A5">
            <w:pPr>
              <w:autoSpaceDE w:val="0"/>
              <w:autoSpaceDN w:val="0"/>
              <w:adjustRightInd w:val="0"/>
              <w:jc w:val="center"/>
              <w:rPr>
                <w:rFonts w:eastAsia="Arial Unicode MS"/>
                <w:b/>
                <w:sz w:val="18"/>
                <w:szCs w:val="18"/>
              </w:rPr>
            </w:pPr>
            <w:r w:rsidRPr="00872D7E">
              <w:rPr>
                <w:rFonts w:eastAsia="Arial Unicode MS"/>
                <w:b/>
                <w:sz w:val="18"/>
                <w:szCs w:val="18"/>
              </w:rPr>
              <w:t>%100</w:t>
            </w:r>
          </w:p>
        </w:tc>
        <w:tc>
          <w:tcPr>
            <w:tcW w:w="338" w:type="pct"/>
            <w:tcBorders>
              <w:top w:val="single" w:sz="4" w:space="0" w:color="auto"/>
              <w:left w:val="nil"/>
              <w:bottom w:val="single" w:sz="4" w:space="0" w:color="auto"/>
              <w:right w:val="nil"/>
            </w:tcBorders>
            <w:shd w:val="clear" w:color="auto" w:fill="auto"/>
            <w:vAlign w:val="bottom"/>
            <w:hideMark/>
          </w:tcPr>
          <w:p w14:paraId="0C0F7906" w14:textId="77777777" w:rsidR="00DB273F" w:rsidRPr="00872D7E" w:rsidRDefault="00DB273F" w:rsidP="000565A5">
            <w:pPr>
              <w:autoSpaceDE w:val="0"/>
              <w:autoSpaceDN w:val="0"/>
              <w:adjustRightInd w:val="0"/>
              <w:jc w:val="center"/>
              <w:rPr>
                <w:rFonts w:eastAsia="Arial Unicode MS"/>
                <w:b/>
                <w:sz w:val="18"/>
                <w:szCs w:val="18"/>
              </w:rPr>
            </w:pPr>
            <w:r w:rsidRPr="00872D7E">
              <w:rPr>
                <w:rFonts w:eastAsia="Arial Unicode MS"/>
                <w:b/>
                <w:sz w:val="18"/>
                <w:szCs w:val="18"/>
              </w:rPr>
              <w:t>%150</w:t>
            </w:r>
          </w:p>
        </w:tc>
        <w:tc>
          <w:tcPr>
            <w:tcW w:w="414" w:type="pct"/>
            <w:tcBorders>
              <w:top w:val="single" w:sz="4" w:space="0" w:color="auto"/>
              <w:left w:val="nil"/>
              <w:bottom w:val="single" w:sz="4" w:space="0" w:color="auto"/>
              <w:right w:val="nil"/>
            </w:tcBorders>
            <w:shd w:val="clear" w:color="auto" w:fill="auto"/>
            <w:vAlign w:val="bottom"/>
            <w:hideMark/>
          </w:tcPr>
          <w:p w14:paraId="48A29566" w14:textId="77777777" w:rsidR="00DB273F" w:rsidRPr="00872D7E" w:rsidRDefault="00DB273F" w:rsidP="000565A5">
            <w:pPr>
              <w:autoSpaceDE w:val="0"/>
              <w:autoSpaceDN w:val="0"/>
              <w:adjustRightInd w:val="0"/>
              <w:jc w:val="center"/>
              <w:rPr>
                <w:rFonts w:eastAsia="Arial Unicode MS"/>
                <w:b/>
                <w:sz w:val="18"/>
                <w:szCs w:val="18"/>
              </w:rPr>
            </w:pPr>
            <w:proofErr w:type="gramStart"/>
            <w:r w:rsidRPr="00872D7E">
              <w:rPr>
                <w:rFonts w:eastAsia="Arial Unicode MS"/>
                <w:b/>
                <w:sz w:val="18"/>
                <w:szCs w:val="18"/>
              </w:rPr>
              <w:t>Diğerleri</w:t>
            </w:r>
            <w:r w:rsidRPr="00872D7E">
              <w:rPr>
                <w:rFonts w:eastAsia="Arial Unicode MS"/>
                <w:b/>
                <w:sz w:val="18"/>
                <w:szCs w:val="18"/>
                <w:vertAlign w:val="superscript"/>
              </w:rPr>
              <w:t>(</w:t>
            </w:r>
            <w:proofErr w:type="gramEnd"/>
            <w:r w:rsidRPr="00872D7E">
              <w:rPr>
                <w:rFonts w:eastAsia="Arial Unicode MS"/>
                <w:b/>
                <w:sz w:val="18"/>
                <w:szCs w:val="18"/>
                <w:vertAlign w:val="superscript"/>
              </w:rPr>
              <w:t>*)</w:t>
            </w:r>
          </w:p>
        </w:tc>
        <w:tc>
          <w:tcPr>
            <w:tcW w:w="658" w:type="pct"/>
            <w:tcBorders>
              <w:top w:val="single" w:sz="4" w:space="0" w:color="auto"/>
              <w:left w:val="nil"/>
              <w:bottom w:val="single" w:sz="4" w:space="0" w:color="auto"/>
              <w:right w:val="nil"/>
            </w:tcBorders>
            <w:shd w:val="clear" w:color="auto" w:fill="auto"/>
            <w:vAlign w:val="bottom"/>
            <w:hideMark/>
          </w:tcPr>
          <w:p w14:paraId="204A4911" w14:textId="77777777" w:rsidR="00DB273F" w:rsidRPr="00872D7E" w:rsidRDefault="00DB273F" w:rsidP="001A327E">
            <w:pPr>
              <w:autoSpaceDE w:val="0"/>
              <w:autoSpaceDN w:val="0"/>
              <w:adjustRightInd w:val="0"/>
              <w:jc w:val="right"/>
              <w:rPr>
                <w:rFonts w:eastAsia="Arial Unicode MS"/>
                <w:b/>
                <w:sz w:val="18"/>
                <w:szCs w:val="18"/>
              </w:rPr>
            </w:pPr>
            <w:r w:rsidRPr="00872D7E">
              <w:rPr>
                <w:rFonts w:eastAsia="Arial Unicode MS"/>
                <w:b/>
                <w:sz w:val="18"/>
                <w:szCs w:val="18"/>
              </w:rPr>
              <w:t>Özkaynaklardan</w:t>
            </w:r>
          </w:p>
          <w:p w14:paraId="5CE1D0F0" w14:textId="77777777" w:rsidR="00DB273F" w:rsidRPr="00872D7E" w:rsidRDefault="00DB273F" w:rsidP="001A327E">
            <w:pPr>
              <w:autoSpaceDE w:val="0"/>
              <w:autoSpaceDN w:val="0"/>
              <w:adjustRightInd w:val="0"/>
              <w:jc w:val="right"/>
              <w:rPr>
                <w:rFonts w:eastAsia="Arial Unicode MS"/>
                <w:b/>
                <w:sz w:val="18"/>
                <w:szCs w:val="18"/>
              </w:rPr>
            </w:pPr>
            <w:r w:rsidRPr="00872D7E">
              <w:rPr>
                <w:rFonts w:eastAsia="Arial Unicode MS"/>
                <w:b/>
                <w:sz w:val="18"/>
                <w:szCs w:val="18"/>
              </w:rPr>
              <w:t>İndirilenler</w:t>
            </w:r>
          </w:p>
        </w:tc>
      </w:tr>
      <w:bookmarkEnd w:id="32"/>
      <w:tr w:rsidR="001A327E" w:rsidRPr="00872D7E" w14:paraId="33FE6D23" w14:textId="77777777" w:rsidTr="00750764">
        <w:trPr>
          <w:trHeight w:val="403"/>
        </w:trPr>
        <w:tc>
          <w:tcPr>
            <w:tcW w:w="74" w:type="pct"/>
            <w:tcBorders>
              <w:top w:val="single" w:sz="4" w:space="0" w:color="auto"/>
              <w:left w:val="nil"/>
              <w:bottom w:val="nil"/>
              <w:right w:val="nil"/>
            </w:tcBorders>
            <w:shd w:val="clear" w:color="auto" w:fill="auto"/>
            <w:hideMark/>
          </w:tcPr>
          <w:p w14:paraId="11FC1511" w14:textId="77777777" w:rsidR="001A327E" w:rsidRPr="00872D7E" w:rsidRDefault="001A327E" w:rsidP="001A327E">
            <w:pPr>
              <w:autoSpaceDE w:val="0"/>
              <w:autoSpaceDN w:val="0"/>
              <w:adjustRightInd w:val="0"/>
              <w:ind w:left="180" w:hanging="180"/>
              <w:rPr>
                <w:rFonts w:eastAsia="Arial Unicode MS"/>
                <w:sz w:val="18"/>
                <w:szCs w:val="18"/>
              </w:rPr>
            </w:pPr>
            <w:r w:rsidRPr="00872D7E">
              <w:rPr>
                <w:rFonts w:eastAsia="Arial Unicode MS"/>
                <w:sz w:val="18"/>
                <w:szCs w:val="18"/>
              </w:rPr>
              <w:t>1</w:t>
            </w:r>
          </w:p>
        </w:tc>
        <w:tc>
          <w:tcPr>
            <w:tcW w:w="735" w:type="pct"/>
            <w:tcBorders>
              <w:top w:val="single" w:sz="4" w:space="0" w:color="auto"/>
              <w:left w:val="nil"/>
              <w:bottom w:val="nil"/>
              <w:right w:val="nil"/>
            </w:tcBorders>
            <w:shd w:val="clear" w:color="auto" w:fill="auto"/>
            <w:hideMark/>
          </w:tcPr>
          <w:p w14:paraId="0EC0EC1E" w14:textId="77777777" w:rsidR="001A327E" w:rsidRPr="00872D7E" w:rsidRDefault="001A327E" w:rsidP="001A327E">
            <w:pPr>
              <w:autoSpaceDE w:val="0"/>
              <w:autoSpaceDN w:val="0"/>
              <w:adjustRightInd w:val="0"/>
              <w:rPr>
                <w:rFonts w:eastAsia="Arial Unicode MS"/>
                <w:sz w:val="18"/>
                <w:szCs w:val="18"/>
              </w:rPr>
            </w:pPr>
            <w:r w:rsidRPr="00872D7E">
              <w:rPr>
                <w:rFonts w:eastAsia="Arial Unicode MS"/>
                <w:sz w:val="18"/>
                <w:szCs w:val="18"/>
              </w:rPr>
              <w:t xml:space="preserve">Kredi Riski Azaltımı </w:t>
            </w:r>
          </w:p>
          <w:p w14:paraId="1A2F048E" w14:textId="77777777" w:rsidR="001A327E" w:rsidRPr="00872D7E" w:rsidRDefault="001A327E" w:rsidP="001A327E">
            <w:pPr>
              <w:autoSpaceDE w:val="0"/>
              <w:autoSpaceDN w:val="0"/>
              <w:adjustRightInd w:val="0"/>
              <w:ind w:left="180" w:hanging="180"/>
              <w:rPr>
                <w:rFonts w:eastAsia="Arial Unicode MS"/>
                <w:sz w:val="18"/>
                <w:szCs w:val="18"/>
              </w:rPr>
            </w:pPr>
            <w:r w:rsidRPr="00872D7E">
              <w:rPr>
                <w:rFonts w:eastAsia="Arial Unicode MS"/>
                <w:sz w:val="18"/>
                <w:szCs w:val="18"/>
              </w:rPr>
              <w:t>Öncesi Tutar</w:t>
            </w:r>
          </w:p>
        </w:tc>
        <w:tc>
          <w:tcPr>
            <w:tcW w:w="450" w:type="pct"/>
            <w:tcBorders>
              <w:top w:val="single" w:sz="4" w:space="0" w:color="auto"/>
              <w:left w:val="nil"/>
              <w:bottom w:val="nil"/>
              <w:right w:val="nil"/>
            </w:tcBorders>
            <w:shd w:val="clear" w:color="auto" w:fill="auto"/>
            <w:vAlign w:val="bottom"/>
          </w:tcPr>
          <w:p w14:paraId="18CE8445" w14:textId="196985A5" w:rsidR="001A327E" w:rsidRPr="00872D7E" w:rsidRDefault="001A327E" w:rsidP="00750764">
            <w:pPr>
              <w:jc w:val="center"/>
              <w:rPr>
                <w:sz w:val="18"/>
                <w:szCs w:val="18"/>
              </w:rPr>
            </w:pPr>
            <w:r w:rsidRPr="00872D7E">
              <w:rPr>
                <w:sz w:val="18"/>
                <w:szCs w:val="18"/>
              </w:rPr>
              <w:t>5.252.628</w:t>
            </w:r>
          </w:p>
        </w:tc>
        <w:tc>
          <w:tcPr>
            <w:tcW w:w="200" w:type="pct"/>
            <w:tcBorders>
              <w:top w:val="single" w:sz="4" w:space="0" w:color="auto"/>
              <w:left w:val="nil"/>
              <w:bottom w:val="nil"/>
              <w:right w:val="nil"/>
            </w:tcBorders>
            <w:shd w:val="clear" w:color="auto" w:fill="auto"/>
            <w:vAlign w:val="bottom"/>
          </w:tcPr>
          <w:p w14:paraId="45B505E3" w14:textId="0038D20D" w:rsidR="001A327E" w:rsidRPr="00872D7E" w:rsidRDefault="001A327E" w:rsidP="00750764">
            <w:pPr>
              <w:jc w:val="center"/>
              <w:rPr>
                <w:sz w:val="18"/>
                <w:szCs w:val="18"/>
              </w:rPr>
            </w:pPr>
            <w:r w:rsidRPr="00872D7E">
              <w:rPr>
                <w:sz w:val="18"/>
                <w:szCs w:val="18"/>
              </w:rPr>
              <w:t>-</w:t>
            </w:r>
          </w:p>
        </w:tc>
        <w:tc>
          <w:tcPr>
            <w:tcW w:w="450" w:type="pct"/>
            <w:tcBorders>
              <w:top w:val="single" w:sz="4" w:space="0" w:color="auto"/>
              <w:left w:val="nil"/>
              <w:bottom w:val="nil"/>
              <w:right w:val="nil"/>
            </w:tcBorders>
            <w:shd w:val="clear" w:color="auto" w:fill="auto"/>
            <w:vAlign w:val="bottom"/>
          </w:tcPr>
          <w:p w14:paraId="4CAF9F7E" w14:textId="1EDEFEA9" w:rsidR="001A327E" w:rsidRPr="00872D7E" w:rsidRDefault="001A327E" w:rsidP="00750764">
            <w:pPr>
              <w:jc w:val="center"/>
              <w:rPr>
                <w:sz w:val="18"/>
                <w:szCs w:val="18"/>
              </w:rPr>
            </w:pPr>
            <w:r w:rsidRPr="00872D7E">
              <w:rPr>
                <w:sz w:val="18"/>
                <w:szCs w:val="18"/>
              </w:rPr>
              <w:t>5.222.627</w:t>
            </w:r>
          </w:p>
        </w:tc>
        <w:tc>
          <w:tcPr>
            <w:tcW w:w="371" w:type="pct"/>
            <w:tcBorders>
              <w:top w:val="single" w:sz="4" w:space="0" w:color="auto"/>
              <w:left w:val="nil"/>
              <w:bottom w:val="nil"/>
              <w:right w:val="nil"/>
            </w:tcBorders>
            <w:shd w:val="clear" w:color="auto" w:fill="auto"/>
            <w:vAlign w:val="bottom"/>
          </w:tcPr>
          <w:p w14:paraId="0886904D" w14:textId="6BDC6D3D" w:rsidR="001A327E" w:rsidRPr="00872D7E" w:rsidRDefault="001A327E" w:rsidP="00750764">
            <w:pPr>
              <w:jc w:val="center"/>
              <w:rPr>
                <w:sz w:val="18"/>
                <w:szCs w:val="18"/>
              </w:rPr>
            </w:pPr>
            <w:r w:rsidRPr="00872D7E">
              <w:rPr>
                <w:sz w:val="18"/>
                <w:szCs w:val="18"/>
              </w:rPr>
              <w:t>349.381</w:t>
            </w:r>
          </w:p>
        </w:tc>
        <w:tc>
          <w:tcPr>
            <w:tcW w:w="375" w:type="pct"/>
            <w:tcBorders>
              <w:top w:val="single" w:sz="4" w:space="0" w:color="auto"/>
              <w:left w:val="nil"/>
              <w:bottom w:val="nil"/>
              <w:right w:val="nil"/>
            </w:tcBorders>
            <w:shd w:val="clear" w:color="auto" w:fill="auto"/>
            <w:vAlign w:val="bottom"/>
          </w:tcPr>
          <w:p w14:paraId="2D5A8030" w14:textId="0257AF35" w:rsidR="001A327E" w:rsidRPr="00872D7E" w:rsidRDefault="001A327E" w:rsidP="00750764">
            <w:pPr>
              <w:jc w:val="center"/>
              <w:rPr>
                <w:sz w:val="18"/>
                <w:szCs w:val="18"/>
              </w:rPr>
            </w:pPr>
            <w:r w:rsidRPr="00872D7E">
              <w:rPr>
                <w:sz w:val="18"/>
                <w:szCs w:val="18"/>
              </w:rPr>
              <w:t>563.239</w:t>
            </w:r>
          </w:p>
        </w:tc>
        <w:tc>
          <w:tcPr>
            <w:tcW w:w="431" w:type="pct"/>
            <w:tcBorders>
              <w:top w:val="single" w:sz="4" w:space="0" w:color="auto"/>
              <w:left w:val="nil"/>
              <w:bottom w:val="nil"/>
              <w:right w:val="nil"/>
            </w:tcBorders>
            <w:shd w:val="clear" w:color="auto" w:fill="auto"/>
            <w:vAlign w:val="bottom"/>
          </w:tcPr>
          <w:p w14:paraId="03F47D58" w14:textId="78E9230C" w:rsidR="001A327E" w:rsidRPr="00872D7E" w:rsidRDefault="001A327E" w:rsidP="00750764">
            <w:pPr>
              <w:jc w:val="center"/>
              <w:rPr>
                <w:sz w:val="18"/>
                <w:szCs w:val="18"/>
              </w:rPr>
            </w:pPr>
            <w:r w:rsidRPr="00872D7E">
              <w:rPr>
                <w:sz w:val="18"/>
                <w:szCs w:val="18"/>
              </w:rPr>
              <w:t>-</w:t>
            </w:r>
          </w:p>
        </w:tc>
        <w:tc>
          <w:tcPr>
            <w:tcW w:w="503" w:type="pct"/>
            <w:tcBorders>
              <w:top w:val="single" w:sz="4" w:space="0" w:color="auto"/>
              <w:left w:val="nil"/>
              <w:bottom w:val="nil"/>
              <w:right w:val="nil"/>
            </w:tcBorders>
            <w:shd w:val="clear" w:color="auto" w:fill="auto"/>
            <w:vAlign w:val="bottom"/>
          </w:tcPr>
          <w:p w14:paraId="55794C85" w14:textId="22F2764E" w:rsidR="001A327E" w:rsidRPr="00872D7E" w:rsidRDefault="001A327E" w:rsidP="00750764">
            <w:pPr>
              <w:jc w:val="center"/>
              <w:rPr>
                <w:sz w:val="18"/>
                <w:szCs w:val="18"/>
              </w:rPr>
            </w:pPr>
            <w:r w:rsidRPr="00872D7E">
              <w:rPr>
                <w:sz w:val="18"/>
                <w:szCs w:val="18"/>
              </w:rPr>
              <w:t>13.791.195</w:t>
            </w:r>
          </w:p>
        </w:tc>
        <w:tc>
          <w:tcPr>
            <w:tcW w:w="338" w:type="pct"/>
            <w:tcBorders>
              <w:top w:val="single" w:sz="4" w:space="0" w:color="auto"/>
              <w:left w:val="nil"/>
              <w:bottom w:val="nil"/>
              <w:right w:val="nil"/>
            </w:tcBorders>
            <w:shd w:val="clear" w:color="auto" w:fill="auto"/>
            <w:vAlign w:val="bottom"/>
          </w:tcPr>
          <w:p w14:paraId="297962F5" w14:textId="4AB14AF4" w:rsidR="001A327E" w:rsidRPr="00872D7E" w:rsidRDefault="001A327E" w:rsidP="00750764">
            <w:pPr>
              <w:jc w:val="center"/>
              <w:rPr>
                <w:sz w:val="18"/>
                <w:szCs w:val="18"/>
              </w:rPr>
            </w:pPr>
            <w:r w:rsidRPr="00872D7E">
              <w:rPr>
                <w:sz w:val="18"/>
                <w:szCs w:val="18"/>
              </w:rPr>
              <w:t>-</w:t>
            </w:r>
          </w:p>
        </w:tc>
        <w:tc>
          <w:tcPr>
            <w:tcW w:w="414" w:type="pct"/>
            <w:tcBorders>
              <w:top w:val="single" w:sz="4" w:space="0" w:color="auto"/>
              <w:left w:val="nil"/>
              <w:bottom w:val="nil"/>
              <w:right w:val="nil"/>
            </w:tcBorders>
            <w:shd w:val="clear" w:color="auto" w:fill="auto"/>
            <w:vAlign w:val="bottom"/>
          </w:tcPr>
          <w:p w14:paraId="30D62646" w14:textId="0E954A76" w:rsidR="001A327E" w:rsidRPr="00872D7E" w:rsidRDefault="001A327E" w:rsidP="00750764">
            <w:pPr>
              <w:jc w:val="center"/>
              <w:rPr>
                <w:sz w:val="18"/>
                <w:szCs w:val="18"/>
              </w:rPr>
            </w:pPr>
            <w:r w:rsidRPr="00872D7E">
              <w:rPr>
                <w:sz w:val="18"/>
                <w:szCs w:val="18"/>
              </w:rPr>
              <w:t>27.648</w:t>
            </w:r>
          </w:p>
        </w:tc>
        <w:tc>
          <w:tcPr>
            <w:tcW w:w="658" w:type="pct"/>
            <w:tcBorders>
              <w:top w:val="single" w:sz="4" w:space="0" w:color="auto"/>
              <w:left w:val="nil"/>
              <w:bottom w:val="nil"/>
              <w:right w:val="nil"/>
            </w:tcBorders>
            <w:shd w:val="clear" w:color="auto" w:fill="auto"/>
            <w:vAlign w:val="bottom"/>
          </w:tcPr>
          <w:p w14:paraId="22871A08" w14:textId="10563FDA" w:rsidR="001A327E" w:rsidRPr="00872D7E" w:rsidRDefault="001A327E" w:rsidP="00750764">
            <w:pPr>
              <w:jc w:val="center"/>
              <w:rPr>
                <w:sz w:val="18"/>
                <w:szCs w:val="18"/>
              </w:rPr>
            </w:pPr>
            <w:r w:rsidRPr="00872D7E">
              <w:rPr>
                <w:sz w:val="18"/>
                <w:szCs w:val="18"/>
              </w:rPr>
              <w:t>359.940</w:t>
            </w:r>
          </w:p>
        </w:tc>
      </w:tr>
      <w:tr w:rsidR="001A327E" w:rsidRPr="00872D7E" w14:paraId="4718BE14" w14:textId="77777777" w:rsidTr="00750764">
        <w:trPr>
          <w:trHeight w:val="413"/>
        </w:trPr>
        <w:tc>
          <w:tcPr>
            <w:tcW w:w="74" w:type="pct"/>
            <w:tcBorders>
              <w:top w:val="nil"/>
              <w:left w:val="nil"/>
              <w:bottom w:val="single" w:sz="4" w:space="0" w:color="auto"/>
              <w:right w:val="nil"/>
            </w:tcBorders>
            <w:shd w:val="clear" w:color="auto" w:fill="auto"/>
            <w:hideMark/>
          </w:tcPr>
          <w:p w14:paraId="42ADB573" w14:textId="77777777" w:rsidR="001A327E" w:rsidRPr="00872D7E" w:rsidRDefault="001A327E" w:rsidP="001A327E">
            <w:pPr>
              <w:autoSpaceDE w:val="0"/>
              <w:autoSpaceDN w:val="0"/>
              <w:adjustRightInd w:val="0"/>
              <w:ind w:left="180" w:hanging="180"/>
              <w:rPr>
                <w:rFonts w:eastAsia="Arial Unicode MS"/>
                <w:sz w:val="18"/>
                <w:szCs w:val="18"/>
              </w:rPr>
            </w:pPr>
            <w:r w:rsidRPr="00872D7E">
              <w:rPr>
                <w:rFonts w:eastAsia="Arial Unicode MS"/>
                <w:sz w:val="18"/>
                <w:szCs w:val="18"/>
              </w:rPr>
              <w:t>2</w:t>
            </w:r>
          </w:p>
        </w:tc>
        <w:tc>
          <w:tcPr>
            <w:tcW w:w="735" w:type="pct"/>
            <w:tcBorders>
              <w:top w:val="nil"/>
              <w:left w:val="nil"/>
              <w:bottom w:val="single" w:sz="4" w:space="0" w:color="auto"/>
              <w:right w:val="nil"/>
            </w:tcBorders>
            <w:shd w:val="clear" w:color="auto" w:fill="auto"/>
            <w:hideMark/>
          </w:tcPr>
          <w:p w14:paraId="1D16DF89" w14:textId="77777777" w:rsidR="001A327E" w:rsidRPr="00872D7E" w:rsidRDefault="001A327E" w:rsidP="00B9272B">
            <w:pPr>
              <w:autoSpaceDE w:val="0"/>
              <w:autoSpaceDN w:val="0"/>
              <w:adjustRightInd w:val="0"/>
              <w:rPr>
                <w:rFonts w:eastAsia="Arial Unicode MS"/>
                <w:sz w:val="18"/>
                <w:szCs w:val="18"/>
              </w:rPr>
            </w:pPr>
            <w:r w:rsidRPr="00872D7E">
              <w:rPr>
                <w:rFonts w:eastAsia="Arial Unicode MS"/>
                <w:sz w:val="18"/>
                <w:szCs w:val="18"/>
              </w:rPr>
              <w:t xml:space="preserve">Kredi Riski Azaltımı </w:t>
            </w:r>
          </w:p>
          <w:p w14:paraId="118A4DAF" w14:textId="77777777" w:rsidR="001A327E" w:rsidRPr="00872D7E" w:rsidRDefault="001A327E" w:rsidP="00B9272B">
            <w:pPr>
              <w:autoSpaceDE w:val="0"/>
              <w:autoSpaceDN w:val="0"/>
              <w:adjustRightInd w:val="0"/>
              <w:rPr>
                <w:rFonts w:eastAsia="Arial Unicode MS"/>
                <w:sz w:val="18"/>
                <w:szCs w:val="18"/>
              </w:rPr>
            </w:pPr>
            <w:r w:rsidRPr="00872D7E">
              <w:rPr>
                <w:rFonts w:eastAsia="Arial Unicode MS"/>
                <w:sz w:val="18"/>
                <w:szCs w:val="18"/>
              </w:rPr>
              <w:t>Sonrası Tutar</w:t>
            </w:r>
          </w:p>
        </w:tc>
        <w:tc>
          <w:tcPr>
            <w:tcW w:w="450" w:type="pct"/>
            <w:tcBorders>
              <w:top w:val="nil"/>
              <w:left w:val="nil"/>
              <w:bottom w:val="single" w:sz="4" w:space="0" w:color="auto"/>
              <w:right w:val="nil"/>
            </w:tcBorders>
            <w:shd w:val="clear" w:color="auto" w:fill="auto"/>
            <w:vAlign w:val="bottom"/>
          </w:tcPr>
          <w:p w14:paraId="01D2EDEC" w14:textId="57DC3D66" w:rsidR="001A327E" w:rsidRPr="00872D7E" w:rsidRDefault="001A327E" w:rsidP="00750764">
            <w:pPr>
              <w:jc w:val="center"/>
              <w:rPr>
                <w:sz w:val="18"/>
                <w:szCs w:val="18"/>
              </w:rPr>
            </w:pPr>
            <w:r w:rsidRPr="00872D7E">
              <w:rPr>
                <w:sz w:val="18"/>
                <w:szCs w:val="18"/>
              </w:rPr>
              <w:t>5.904.002</w:t>
            </w:r>
          </w:p>
        </w:tc>
        <w:tc>
          <w:tcPr>
            <w:tcW w:w="200" w:type="pct"/>
            <w:tcBorders>
              <w:top w:val="nil"/>
              <w:left w:val="nil"/>
              <w:bottom w:val="single" w:sz="4" w:space="0" w:color="auto"/>
              <w:right w:val="nil"/>
            </w:tcBorders>
            <w:shd w:val="clear" w:color="auto" w:fill="auto"/>
            <w:vAlign w:val="bottom"/>
          </w:tcPr>
          <w:p w14:paraId="13FE24D1" w14:textId="372C5C87" w:rsidR="001A327E" w:rsidRPr="00872D7E" w:rsidRDefault="001A327E" w:rsidP="00750764">
            <w:pPr>
              <w:jc w:val="center"/>
              <w:rPr>
                <w:sz w:val="18"/>
                <w:szCs w:val="18"/>
              </w:rPr>
            </w:pPr>
            <w:r w:rsidRPr="00872D7E">
              <w:rPr>
                <w:sz w:val="18"/>
                <w:szCs w:val="18"/>
              </w:rPr>
              <w:t>-</w:t>
            </w:r>
          </w:p>
        </w:tc>
        <w:tc>
          <w:tcPr>
            <w:tcW w:w="450" w:type="pct"/>
            <w:tcBorders>
              <w:top w:val="nil"/>
              <w:left w:val="nil"/>
              <w:bottom w:val="single" w:sz="4" w:space="0" w:color="auto"/>
              <w:right w:val="nil"/>
            </w:tcBorders>
            <w:shd w:val="clear" w:color="auto" w:fill="auto"/>
            <w:vAlign w:val="bottom"/>
          </w:tcPr>
          <w:p w14:paraId="17D7349B" w14:textId="3BE68527" w:rsidR="001A327E" w:rsidRPr="00872D7E" w:rsidRDefault="001A327E" w:rsidP="00750764">
            <w:pPr>
              <w:jc w:val="center"/>
              <w:rPr>
                <w:sz w:val="18"/>
                <w:szCs w:val="18"/>
              </w:rPr>
            </w:pPr>
            <w:r w:rsidRPr="00872D7E">
              <w:rPr>
                <w:sz w:val="18"/>
                <w:szCs w:val="18"/>
              </w:rPr>
              <w:t>5.372.368</w:t>
            </w:r>
          </w:p>
        </w:tc>
        <w:tc>
          <w:tcPr>
            <w:tcW w:w="371" w:type="pct"/>
            <w:tcBorders>
              <w:top w:val="nil"/>
              <w:left w:val="nil"/>
              <w:bottom w:val="single" w:sz="4" w:space="0" w:color="auto"/>
              <w:right w:val="nil"/>
            </w:tcBorders>
            <w:shd w:val="clear" w:color="auto" w:fill="auto"/>
            <w:vAlign w:val="bottom"/>
          </w:tcPr>
          <w:p w14:paraId="3609DE26" w14:textId="158F0868" w:rsidR="001A327E" w:rsidRPr="00872D7E" w:rsidRDefault="001A327E" w:rsidP="00750764">
            <w:pPr>
              <w:jc w:val="center"/>
              <w:rPr>
                <w:sz w:val="18"/>
                <w:szCs w:val="18"/>
              </w:rPr>
            </w:pPr>
            <w:r w:rsidRPr="00872D7E">
              <w:rPr>
                <w:sz w:val="18"/>
                <w:szCs w:val="18"/>
              </w:rPr>
              <w:t>348.627</w:t>
            </w:r>
          </w:p>
        </w:tc>
        <w:tc>
          <w:tcPr>
            <w:tcW w:w="375" w:type="pct"/>
            <w:tcBorders>
              <w:top w:val="nil"/>
              <w:left w:val="nil"/>
              <w:bottom w:val="single" w:sz="4" w:space="0" w:color="auto"/>
              <w:right w:val="nil"/>
            </w:tcBorders>
            <w:shd w:val="clear" w:color="auto" w:fill="auto"/>
            <w:vAlign w:val="bottom"/>
          </w:tcPr>
          <w:p w14:paraId="339C285B" w14:textId="2B422C17" w:rsidR="001A327E" w:rsidRPr="00872D7E" w:rsidRDefault="001A327E" w:rsidP="00750764">
            <w:pPr>
              <w:jc w:val="center"/>
              <w:rPr>
                <w:sz w:val="18"/>
                <w:szCs w:val="18"/>
              </w:rPr>
            </w:pPr>
            <w:r w:rsidRPr="00872D7E">
              <w:rPr>
                <w:sz w:val="18"/>
                <w:szCs w:val="18"/>
              </w:rPr>
              <w:t>563.239</w:t>
            </w:r>
          </w:p>
        </w:tc>
        <w:tc>
          <w:tcPr>
            <w:tcW w:w="431" w:type="pct"/>
            <w:tcBorders>
              <w:top w:val="nil"/>
              <w:left w:val="nil"/>
              <w:bottom w:val="single" w:sz="4" w:space="0" w:color="auto"/>
              <w:right w:val="nil"/>
            </w:tcBorders>
            <w:shd w:val="clear" w:color="auto" w:fill="auto"/>
            <w:vAlign w:val="bottom"/>
          </w:tcPr>
          <w:p w14:paraId="08C4E8A7" w14:textId="24A22B93" w:rsidR="001A327E" w:rsidRPr="00872D7E" w:rsidRDefault="001A327E" w:rsidP="00750764">
            <w:pPr>
              <w:jc w:val="center"/>
              <w:rPr>
                <w:sz w:val="18"/>
                <w:szCs w:val="18"/>
              </w:rPr>
            </w:pPr>
            <w:r w:rsidRPr="00872D7E">
              <w:rPr>
                <w:sz w:val="18"/>
                <w:szCs w:val="18"/>
              </w:rPr>
              <w:t>-</w:t>
            </w:r>
          </w:p>
        </w:tc>
        <w:tc>
          <w:tcPr>
            <w:tcW w:w="503" w:type="pct"/>
            <w:tcBorders>
              <w:top w:val="nil"/>
              <w:left w:val="nil"/>
              <w:bottom w:val="single" w:sz="4" w:space="0" w:color="auto"/>
              <w:right w:val="nil"/>
            </w:tcBorders>
            <w:shd w:val="clear" w:color="auto" w:fill="auto"/>
            <w:vAlign w:val="bottom"/>
          </w:tcPr>
          <w:p w14:paraId="051E0DFC" w14:textId="7C6E693C" w:rsidR="001A327E" w:rsidRPr="00872D7E" w:rsidRDefault="001A327E" w:rsidP="00750764">
            <w:pPr>
              <w:jc w:val="center"/>
              <w:rPr>
                <w:sz w:val="18"/>
                <w:szCs w:val="18"/>
              </w:rPr>
            </w:pPr>
            <w:r w:rsidRPr="00872D7E">
              <w:rPr>
                <w:sz w:val="18"/>
                <w:szCs w:val="18"/>
              </w:rPr>
              <w:t>12.990.834</w:t>
            </w:r>
          </w:p>
        </w:tc>
        <w:tc>
          <w:tcPr>
            <w:tcW w:w="338" w:type="pct"/>
            <w:tcBorders>
              <w:top w:val="nil"/>
              <w:left w:val="nil"/>
              <w:bottom w:val="single" w:sz="4" w:space="0" w:color="auto"/>
              <w:right w:val="nil"/>
            </w:tcBorders>
            <w:shd w:val="clear" w:color="auto" w:fill="auto"/>
            <w:vAlign w:val="bottom"/>
          </w:tcPr>
          <w:p w14:paraId="6D0B42AD" w14:textId="32C823E6" w:rsidR="001A327E" w:rsidRPr="00872D7E" w:rsidRDefault="001A327E" w:rsidP="00750764">
            <w:pPr>
              <w:jc w:val="center"/>
              <w:rPr>
                <w:sz w:val="18"/>
                <w:szCs w:val="18"/>
              </w:rPr>
            </w:pPr>
            <w:r w:rsidRPr="00872D7E">
              <w:rPr>
                <w:sz w:val="18"/>
                <w:szCs w:val="18"/>
              </w:rPr>
              <w:t>-</w:t>
            </w:r>
          </w:p>
        </w:tc>
        <w:tc>
          <w:tcPr>
            <w:tcW w:w="414" w:type="pct"/>
            <w:tcBorders>
              <w:top w:val="nil"/>
              <w:left w:val="nil"/>
              <w:bottom w:val="single" w:sz="4" w:space="0" w:color="auto"/>
              <w:right w:val="nil"/>
            </w:tcBorders>
            <w:shd w:val="clear" w:color="auto" w:fill="auto"/>
            <w:vAlign w:val="bottom"/>
          </w:tcPr>
          <w:p w14:paraId="6409E7A6" w14:textId="43160732" w:rsidR="001A327E" w:rsidRPr="00872D7E" w:rsidRDefault="001A327E" w:rsidP="00750764">
            <w:pPr>
              <w:jc w:val="center"/>
              <w:rPr>
                <w:sz w:val="18"/>
                <w:szCs w:val="18"/>
              </w:rPr>
            </w:pPr>
            <w:r w:rsidRPr="00872D7E">
              <w:rPr>
                <w:sz w:val="18"/>
                <w:szCs w:val="18"/>
              </w:rPr>
              <w:t>27.648</w:t>
            </w:r>
          </w:p>
        </w:tc>
        <w:tc>
          <w:tcPr>
            <w:tcW w:w="658" w:type="pct"/>
            <w:tcBorders>
              <w:top w:val="nil"/>
              <w:left w:val="nil"/>
              <w:bottom w:val="single" w:sz="4" w:space="0" w:color="auto"/>
              <w:right w:val="nil"/>
            </w:tcBorders>
            <w:shd w:val="clear" w:color="auto" w:fill="auto"/>
            <w:vAlign w:val="bottom"/>
          </w:tcPr>
          <w:p w14:paraId="6B08AE6F" w14:textId="3F1EDE6F" w:rsidR="001A327E" w:rsidRPr="00872D7E" w:rsidRDefault="001A327E" w:rsidP="00750764">
            <w:pPr>
              <w:jc w:val="center"/>
              <w:rPr>
                <w:sz w:val="18"/>
                <w:szCs w:val="18"/>
              </w:rPr>
            </w:pPr>
            <w:r w:rsidRPr="00872D7E">
              <w:rPr>
                <w:sz w:val="18"/>
                <w:szCs w:val="18"/>
              </w:rPr>
              <w:t>-</w:t>
            </w:r>
          </w:p>
        </w:tc>
      </w:tr>
    </w:tbl>
    <w:p w14:paraId="17C7A2CA" w14:textId="000643DC" w:rsidR="00DB273F" w:rsidRPr="00872D7E" w:rsidRDefault="00DB273F" w:rsidP="002C66A8">
      <w:pPr>
        <w:spacing w:before="120"/>
        <w:ind w:left="851" w:right="-182"/>
        <w:jc w:val="both"/>
        <w:rPr>
          <w:szCs w:val="20"/>
        </w:rPr>
      </w:pPr>
      <w:r w:rsidRPr="00872D7E">
        <w:rPr>
          <w:szCs w:val="20"/>
          <w:vertAlign w:val="superscript"/>
        </w:rPr>
        <w:t>(*)</w:t>
      </w:r>
      <w:r w:rsidRPr="00872D7E">
        <w:rPr>
          <w:szCs w:val="20"/>
        </w:rPr>
        <w:t xml:space="preserve"> %500 risk ağırlığını ifade eder.</w:t>
      </w:r>
    </w:p>
    <w:p w14:paraId="4C0F077A" w14:textId="0E0B8B22" w:rsidR="00DB273F" w:rsidRPr="00872D7E" w:rsidRDefault="00DB273F" w:rsidP="002C66A8">
      <w:pPr>
        <w:spacing w:before="120"/>
        <w:ind w:left="851" w:right="-182"/>
        <w:jc w:val="both"/>
        <w:rPr>
          <w:b/>
          <w:szCs w:val="20"/>
        </w:rPr>
      </w:pPr>
      <w:r w:rsidRPr="00872D7E">
        <w:rPr>
          <w:b/>
          <w:szCs w:val="20"/>
        </w:rPr>
        <w:t>(</w:t>
      </w:r>
      <w:r w:rsidR="00C17B76" w:rsidRPr="00872D7E">
        <w:rPr>
          <w:b/>
          <w:szCs w:val="20"/>
        </w:rPr>
        <w:t>10</w:t>
      </w:r>
      <w:r w:rsidRPr="00872D7E">
        <w:rPr>
          <w:b/>
          <w:szCs w:val="20"/>
        </w:rPr>
        <w:t xml:space="preserve">) </w:t>
      </w:r>
      <w:r w:rsidRPr="00872D7E">
        <w:rPr>
          <w:b/>
          <w:szCs w:val="20"/>
        </w:rPr>
        <w:tab/>
        <w:t>Sektörlere veya karşı taraf türüne göre; ayrı ayrı, değer kaybına uğramış kredi ve tahsili gecikmiş kredi tutarları, değer ayarlamaları ve karşılıklar, dönem içinde değer ayarlamaları ve karşılıklara ilişkin tutarlar:</w:t>
      </w:r>
    </w:p>
    <w:p w14:paraId="1B87D855" w14:textId="07A3ED3D" w:rsidR="00220C40" w:rsidRPr="00872D7E" w:rsidRDefault="00220C40" w:rsidP="002C66A8">
      <w:pPr>
        <w:spacing w:before="120"/>
        <w:ind w:left="851" w:right="-182"/>
        <w:jc w:val="both"/>
        <w:rPr>
          <w:bCs/>
          <w:szCs w:val="20"/>
        </w:rPr>
      </w:pPr>
      <w:r w:rsidRPr="00872D7E">
        <w:rPr>
          <w:bCs/>
          <w:szCs w:val="20"/>
        </w:rPr>
        <w:t xml:space="preserve">TMS ve TFRS uyarınca, Değer Kaybına Uğramış Krediler: Raporlama dönemi sonu itibarıyla 90 günden fazla gecikmiş olması veya kredibilitesi nedeniyle değer düşüklüğüne uğradığına kanaat getirilmiş kredilerdir. Bu krediler için Karşılıklar Yönetmeliği kapsamında “Özel Karşılık” hesaplaması yapılmaktadır.  </w:t>
      </w:r>
    </w:p>
    <w:p w14:paraId="427FCF79" w14:textId="4582FD7C" w:rsidR="00DB273F" w:rsidRPr="00872D7E" w:rsidRDefault="00220C40" w:rsidP="002C66A8">
      <w:pPr>
        <w:spacing w:before="120"/>
        <w:ind w:left="851" w:right="-182"/>
        <w:jc w:val="both"/>
        <w:rPr>
          <w:szCs w:val="20"/>
        </w:rPr>
      </w:pPr>
      <w:r w:rsidRPr="00872D7E">
        <w:rPr>
          <w:bCs/>
          <w:szCs w:val="20"/>
        </w:rPr>
        <w:t>Tahsili Gecikmiş Krediler: Raporlama dönemi sonu itibarıyla vadesi 90 güne kadar gecikmiş ancak değer düşüklüğüne uğramamış kredilerdir. Bu krediler için Karşılıklar Yönetmeliği kapsamında “Genel Karşılık” hesaplaması yapılmaktadır.</w:t>
      </w:r>
    </w:p>
    <w:p w14:paraId="6085B69C" w14:textId="0CCE1B8E" w:rsidR="00220C40" w:rsidRPr="00872D7E" w:rsidRDefault="009A4B8B" w:rsidP="002C66A8">
      <w:pPr>
        <w:spacing w:before="120"/>
        <w:ind w:left="851" w:right="-182"/>
        <w:jc w:val="both"/>
        <w:rPr>
          <w:szCs w:val="20"/>
        </w:rPr>
      </w:pPr>
      <w:r w:rsidRPr="00872D7E">
        <w:rPr>
          <w:szCs w:val="20"/>
        </w:rPr>
        <w:t xml:space="preserve">31 Aralık 2024 tarihi itibarıyla donuk alacak olarak sınıflandırılan tutar bulunmamaktadır </w:t>
      </w:r>
      <w:r w:rsidRPr="00872D7E">
        <w:rPr>
          <w:bCs/>
          <w:szCs w:val="20"/>
        </w:rPr>
        <w:t>(1 Ocak 2024: Bulunmamaktadır).</w:t>
      </w:r>
    </w:p>
    <w:p w14:paraId="2251304F" w14:textId="5DDD130D" w:rsidR="004D49E0" w:rsidRPr="00872D7E" w:rsidRDefault="004D49E0" w:rsidP="002C66A8">
      <w:pPr>
        <w:spacing w:before="120" w:after="120"/>
        <w:ind w:left="851"/>
        <w:rPr>
          <w:b/>
          <w:szCs w:val="20"/>
        </w:rPr>
      </w:pPr>
      <w:r w:rsidRPr="00872D7E">
        <w:rPr>
          <w:b/>
          <w:szCs w:val="20"/>
        </w:rPr>
        <w:t>(</w:t>
      </w:r>
      <w:r w:rsidR="00C17B76" w:rsidRPr="00872D7E">
        <w:rPr>
          <w:b/>
          <w:szCs w:val="20"/>
        </w:rPr>
        <w:t>11</w:t>
      </w:r>
      <w:r w:rsidRPr="00872D7E">
        <w:rPr>
          <w:b/>
          <w:szCs w:val="20"/>
        </w:rPr>
        <w:t xml:space="preserve">) </w:t>
      </w:r>
      <w:r w:rsidRPr="00872D7E">
        <w:rPr>
          <w:b/>
          <w:szCs w:val="20"/>
        </w:rPr>
        <w:tab/>
        <w:t>Değer Ayarlamaları ve Kredi Karşılıkları Değişimine İlişkin Bilgiler:</w:t>
      </w:r>
    </w:p>
    <w:tbl>
      <w:tblPr>
        <w:tblW w:w="5000" w:type="pct"/>
        <w:tblCellMar>
          <w:left w:w="30" w:type="dxa"/>
          <w:right w:w="30" w:type="dxa"/>
        </w:tblCellMar>
        <w:tblLook w:val="04A0" w:firstRow="1" w:lastRow="0" w:firstColumn="1" w:lastColumn="0" w:noHBand="0" w:noVBand="1"/>
      </w:tblPr>
      <w:tblGrid>
        <w:gridCol w:w="2023"/>
        <w:gridCol w:w="1224"/>
        <w:gridCol w:w="1993"/>
        <w:gridCol w:w="1577"/>
        <w:gridCol w:w="1590"/>
        <w:gridCol w:w="1232"/>
      </w:tblGrid>
      <w:tr w:rsidR="001F0622" w:rsidRPr="00872D7E" w14:paraId="1272C52D" w14:textId="77777777" w:rsidTr="001F0622">
        <w:trPr>
          <w:trHeight w:val="170"/>
        </w:trPr>
        <w:tc>
          <w:tcPr>
            <w:tcW w:w="1049" w:type="pct"/>
            <w:tcBorders>
              <w:top w:val="single" w:sz="4" w:space="0" w:color="auto"/>
              <w:left w:val="nil"/>
              <w:bottom w:val="single" w:sz="4" w:space="0" w:color="auto"/>
              <w:right w:val="nil"/>
            </w:tcBorders>
            <w:vAlign w:val="bottom"/>
          </w:tcPr>
          <w:p w14:paraId="723BF6C9" w14:textId="77777777" w:rsidR="001F0622" w:rsidRPr="00872D7E" w:rsidRDefault="001F0622" w:rsidP="00701863">
            <w:pPr>
              <w:autoSpaceDE w:val="0"/>
              <w:autoSpaceDN w:val="0"/>
              <w:adjustRightInd w:val="0"/>
              <w:ind w:left="180" w:hanging="180"/>
              <w:rPr>
                <w:rFonts w:eastAsia="Arial Unicode MS"/>
                <w:b/>
                <w:sz w:val="18"/>
                <w:szCs w:val="18"/>
              </w:rPr>
            </w:pPr>
          </w:p>
        </w:tc>
        <w:tc>
          <w:tcPr>
            <w:tcW w:w="635" w:type="pct"/>
            <w:tcBorders>
              <w:top w:val="single" w:sz="4" w:space="0" w:color="auto"/>
              <w:left w:val="nil"/>
              <w:bottom w:val="single" w:sz="4" w:space="0" w:color="auto"/>
              <w:right w:val="nil"/>
            </w:tcBorders>
            <w:vAlign w:val="bottom"/>
          </w:tcPr>
          <w:p w14:paraId="017774E9" w14:textId="77777777" w:rsidR="001F0622" w:rsidRPr="00872D7E" w:rsidRDefault="001F0622" w:rsidP="00701863">
            <w:pPr>
              <w:autoSpaceDE w:val="0"/>
              <w:autoSpaceDN w:val="0"/>
              <w:adjustRightInd w:val="0"/>
              <w:ind w:right="111"/>
              <w:jc w:val="right"/>
              <w:rPr>
                <w:rFonts w:eastAsia="Arial Unicode MS"/>
                <w:b/>
                <w:sz w:val="18"/>
                <w:szCs w:val="18"/>
              </w:rPr>
            </w:pPr>
          </w:p>
        </w:tc>
        <w:tc>
          <w:tcPr>
            <w:tcW w:w="1034" w:type="pct"/>
            <w:tcBorders>
              <w:top w:val="single" w:sz="4" w:space="0" w:color="auto"/>
              <w:left w:val="nil"/>
              <w:bottom w:val="single" w:sz="4" w:space="0" w:color="auto"/>
              <w:right w:val="nil"/>
            </w:tcBorders>
            <w:vAlign w:val="bottom"/>
          </w:tcPr>
          <w:p w14:paraId="5ECCB3BC" w14:textId="77777777" w:rsidR="001F0622" w:rsidRPr="00872D7E" w:rsidRDefault="001F0622" w:rsidP="00701863">
            <w:pPr>
              <w:autoSpaceDE w:val="0"/>
              <w:autoSpaceDN w:val="0"/>
              <w:adjustRightInd w:val="0"/>
              <w:ind w:right="111"/>
              <w:jc w:val="right"/>
              <w:rPr>
                <w:rFonts w:eastAsia="Arial Unicode MS"/>
                <w:b/>
                <w:sz w:val="18"/>
                <w:szCs w:val="18"/>
              </w:rPr>
            </w:pPr>
          </w:p>
        </w:tc>
        <w:tc>
          <w:tcPr>
            <w:tcW w:w="818" w:type="pct"/>
            <w:tcBorders>
              <w:top w:val="single" w:sz="4" w:space="0" w:color="auto"/>
              <w:left w:val="nil"/>
              <w:bottom w:val="single" w:sz="4" w:space="0" w:color="auto"/>
              <w:right w:val="nil"/>
            </w:tcBorders>
            <w:vAlign w:val="bottom"/>
          </w:tcPr>
          <w:p w14:paraId="6E1809C3" w14:textId="77777777" w:rsidR="001F0622" w:rsidRPr="00872D7E" w:rsidRDefault="001F0622" w:rsidP="00701863">
            <w:pPr>
              <w:autoSpaceDE w:val="0"/>
              <w:autoSpaceDN w:val="0"/>
              <w:adjustRightInd w:val="0"/>
              <w:ind w:right="111"/>
              <w:jc w:val="right"/>
              <w:rPr>
                <w:rFonts w:eastAsia="Arial Unicode MS"/>
                <w:b/>
                <w:sz w:val="18"/>
                <w:szCs w:val="18"/>
              </w:rPr>
            </w:pPr>
          </w:p>
        </w:tc>
        <w:tc>
          <w:tcPr>
            <w:tcW w:w="825" w:type="pct"/>
            <w:tcBorders>
              <w:top w:val="single" w:sz="4" w:space="0" w:color="auto"/>
              <w:left w:val="nil"/>
              <w:bottom w:val="single" w:sz="4" w:space="0" w:color="auto"/>
              <w:right w:val="nil"/>
            </w:tcBorders>
            <w:vAlign w:val="bottom"/>
          </w:tcPr>
          <w:p w14:paraId="2B3B7AAC" w14:textId="77777777" w:rsidR="001F0622" w:rsidRPr="00872D7E" w:rsidRDefault="001F0622" w:rsidP="00701863">
            <w:pPr>
              <w:autoSpaceDE w:val="0"/>
              <w:autoSpaceDN w:val="0"/>
              <w:adjustRightInd w:val="0"/>
              <w:ind w:right="111"/>
              <w:jc w:val="right"/>
              <w:rPr>
                <w:rFonts w:eastAsia="Arial Unicode MS"/>
                <w:b/>
                <w:sz w:val="18"/>
                <w:szCs w:val="18"/>
              </w:rPr>
            </w:pPr>
          </w:p>
        </w:tc>
        <w:tc>
          <w:tcPr>
            <w:tcW w:w="639" w:type="pct"/>
            <w:tcBorders>
              <w:top w:val="single" w:sz="4" w:space="0" w:color="auto"/>
              <w:left w:val="nil"/>
              <w:bottom w:val="single" w:sz="4" w:space="0" w:color="auto"/>
              <w:right w:val="nil"/>
            </w:tcBorders>
            <w:vAlign w:val="bottom"/>
          </w:tcPr>
          <w:p w14:paraId="23DDE3A4" w14:textId="77777777" w:rsidR="001F0622" w:rsidRPr="00872D7E" w:rsidRDefault="001F0622" w:rsidP="00701863">
            <w:pPr>
              <w:autoSpaceDE w:val="0"/>
              <w:autoSpaceDN w:val="0"/>
              <w:adjustRightInd w:val="0"/>
              <w:ind w:right="111"/>
              <w:jc w:val="right"/>
              <w:rPr>
                <w:rFonts w:eastAsia="Arial Unicode MS"/>
                <w:b/>
                <w:sz w:val="18"/>
                <w:szCs w:val="18"/>
              </w:rPr>
            </w:pPr>
          </w:p>
        </w:tc>
      </w:tr>
      <w:tr w:rsidR="001F0622" w:rsidRPr="00872D7E" w14:paraId="49CEB6BB" w14:textId="77777777" w:rsidTr="001F0622">
        <w:trPr>
          <w:trHeight w:val="170"/>
        </w:trPr>
        <w:tc>
          <w:tcPr>
            <w:tcW w:w="1049" w:type="pct"/>
            <w:tcBorders>
              <w:top w:val="single" w:sz="4" w:space="0" w:color="auto"/>
              <w:left w:val="nil"/>
              <w:bottom w:val="single" w:sz="4" w:space="0" w:color="auto"/>
              <w:right w:val="nil"/>
            </w:tcBorders>
            <w:vAlign w:val="bottom"/>
            <w:hideMark/>
          </w:tcPr>
          <w:p w14:paraId="127D3022" w14:textId="5E6EA93F" w:rsidR="001F0622" w:rsidRPr="00872D7E" w:rsidRDefault="001F0622" w:rsidP="00701863">
            <w:pPr>
              <w:autoSpaceDE w:val="0"/>
              <w:autoSpaceDN w:val="0"/>
              <w:adjustRightInd w:val="0"/>
              <w:ind w:left="180" w:hanging="180"/>
              <w:rPr>
                <w:rFonts w:eastAsia="Arial Unicode MS"/>
                <w:b/>
                <w:sz w:val="18"/>
                <w:szCs w:val="18"/>
              </w:rPr>
            </w:pPr>
            <w:r w:rsidRPr="00872D7E">
              <w:rPr>
                <w:rFonts w:eastAsia="Arial Unicode MS"/>
                <w:b/>
                <w:sz w:val="18"/>
                <w:szCs w:val="18"/>
              </w:rPr>
              <w:t>Risk Ağırlığı</w:t>
            </w:r>
          </w:p>
        </w:tc>
        <w:tc>
          <w:tcPr>
            <w:tcW w:w="635" w:type="pct"/>
            <w:tcBorders>
              <w:top w:val="single" w:sz="4" w:space="0" w:color="auto"/>
              <w:left w:val="nil"/>
              <w:bottom w:val="single" w:sz="4" w:space="0" w:color="auto"/>
              <w:right w:val="nil"/>
            </w:tcBorders>
            <w:vAlign w:val="bottom"/>
            <w:hideMark/>
          </w:tcPr>
          <w:p w14:paraId="67AC4052" w14:textId="77777777" w:rsidR="001F0622" w:rsidRPr="00872D7E" w:rsidRDefault="001F0622" w:rsidP="00701863">
            <w:pPr>
              <w:autoSpaceDE w:val="0"/>
              <w:autoSpaceDN w:val="0"/>
              <w:adjustRightInd w:val="0"/>
              <w:ind w:right="111"/>
              <w:jc w:val="right"/>
              <w:rPr>
                <w:rFonts w:eastAsia="Arial Unicode MS"/>
                <w:b/>
                <w:sz w:val="18"/>
                <w:szCs w:val="18"/>
              </w:rPr>
            </w:pPr>
            <w:r w:rsidRPr="00872D7E">
              <w:rPr>
                <w:rFonts w:eastAsia="Arial Unicode MS"/>
                <w:b/>
                <w:sz w:val="18"/>
                <w:szCs w:val="18"/>
              </w:rPr>
              <w:t>Açılış Bakiyesi</w:t>
            </w:r>
          </w:p>
        </w:tc>
        <w:tc>
          <w:tcPr>
            <w:tcW w:w="1034" w:type="pct"/>
            <w:tcBorders>
              <w:top w:val="single" w:sz="4" w:space="0" w:color="auto"/>
              <w:left w:val="nil"/>
              <w:bottom w:val="single" w:sz="4" w:space="0" w:color="auto"/>
              <w:right w:val="nil"/>
            </w:tcBorders>
            <w:vAlign w:val="bottom"/>
            <w:hideMark/>
          </w:tcPr>
          <w:p w14:paraId="562C7DED" w14:textId="77777777" w:rsidR="001F0622" w:rsidRPr="00872D7E" w:rsidRDefault="001F0622" w:rsidP="00701863">
            <w:pPr>
              <w:autoSpaceDE w:val="0"/>
              <w:autoSpaceDN w:val="0"/>
              <w:adjustRightInd w:val="0"/>
              <w:ind w:right="111"/>
              <w:jc w:val="right"/>
              <w:rPr>
                <w:rFonts w:eastAsia="Arial Unicode MS"/>
                <w:b/>
                <w:sz w:val="18"/>
                <w:szCs w:val="18"/>
              </w:rPr>
            </w:pPr>
            <w:r w:rsidRPr="00872D7E">
              <w:rPr>
                <w:rFonts w:eastAsia="Arial Unicode MS"/>
                <w:b/>
                <w:sz w:val="18"/>
                <w:szCs w:val="18"/>
              </w:rPr>
              <w:t>Dönem İçinde Ayrılan karşılık Tutarları</w:t>
            </w:r>
          </w:p>
        </w:tc>
        <w:tc>
          <w:tcPr>
            <w:tcW w:w="818" w:type="pct"/>
            <w:tcBorders>
              <w:top w:val="single" w:sz="4" w:space="0" w:color="auto"/>
              <w:left w:val="nil"/>
              <w:bottom w:val="single" w:sz="4" w:space="0" w:color="auto"/>
              <w:right w:val="nil"/>
            </w:tcBorders>
            <w:vAlign w:val="bottom"/>
            <w:hideMark/>
          </w:tcPr>
          <w:p w14:paraId="03E7DBC5" w14:textId="77777777" w:rsidR="001F0622" w:rsidRPr="00872D7E" w:rsidRDefault="001F0622" w:rsidP="00701863">
            <w:pPr>
              <w:autoSpaceDE w:val="0"/>
              <w:autoSpaceDN w:val="0"/>
              <w:adjustRightInd w:val="0"/>
              <w:ind w:right="111"/>
              <w:jc w:val="right"/>
              <w:rPr>
                <w:rFonts w:eastAsia="Arial Unicode MS"/>
                <w:b/>
                <w:sz w:val="18"/>
                <w:szCs w:val="18"/>
              </w:rPr>
            </w:pPr>
            <w:r w:rsidRPr="00872D7E">
              <w:rPr>
                <w:rFonts w:eastAsia="Arial Unicode MS"/>
                <w:b/>
                <w:sz w:val="18"/>
                <w:szCs w:val="18"/>
              </w:rPr>
              <w:t>Karşılık İptalleri</w:t>
            </w:r>
          </w:p>
        </w:tc>
        <w:tc>
          <w:tcPr>
            <w:tcW w:w="825" w:type="pct"/>
            <w:tcBorders>
              <w:top w:val="single" w:sz="4" w:space="0" w:color="auto"/>
              <w:left w:val="nil"/>
              <w:bottom w:val="single" w:sz="4" w:space="0" w:color="auto"/>
              <w:right w:val="nil"/>
            </w:tcBorders>
            <w:vAlign w:val="bottom"/>
            <w:hideMark/>
          </w:tcPr>
          <w:p w14:paraId="70E6D2E7" w14:textId="589606A7" w:rsidR="001F0622" w:rsidRPr="00872D7E" w:rsidRDefault="001F0622" w:rsidP="00701863">
            <w:pPr>
              <w:autoSpaceDE w:val="0"/>
              <w:autoSpaceDN w:val="0"/>
              <w:adjustRightInd w:val="0"/>
              <w:ind w:right="111"/>
              <w:jc w:val="right"/>
              <w:rPr>
                <w:rFonts w:eastAsia="Arial Unicode MS"/>
                <w:b/>
                <w:sz w:val="18"/>
                <w:szCs w:val="18"/>
              </w:rPr>
            </w:pPr>
            <w:r w:rsidRPr="00872D7E">
              <w:rPr>
                <w:rFonts w:eastAsia="Arial Unicode MS"/>
                <w:b/>
                <w:sz w:val="18"/>
                <w:szCs w:val="18"/>
              </w:rPr>
              <w:t>Diğer Ayarlamalar</w:t>
            </w:r>
          </w:p>
        </w:tc>
        <w:tc>
          <w:tcPr>
            <w:tcW w:w="639" w:type="pct"/>
            <w:tcBorders>
              <w:top w:val="single" w:sz="4" w:space="0" w:color="auto"/>
              <w:left w:val="nil"/>
              <w:bottom w:val="single" w:sz="4" w:space="0" w:color="auto"/>
              <w:right w:val="nil"/>
            </w:tcBorders>
            <w:vAlign w:val="bottom"/>
            <w:hideMark/>
          </w:tcPr>
          <w:p w14:paraId="6235ECEA" w14:textId="77777777" w:rsidR="001F0622" w:rsidRPr="00872D7E" w:rsidRDefault="001F0622" w:rsidP="00701863">
            <w:pPr>
              <w:autoSpaceDE w:val="0"/>
              <w:autoSpaceDN w:val="0"/>
              <w:adjustRightInd w:val="0"/>
              <w:ind w:right="111"/>
              <w:jc w:val="right"/>
              <w:rPr>
                <w:rFonts w:eastAsia="Arial Unicode MS"/>
                <w:b/>
                <w:sz w:val="18"/>
                <w:szCs w:val="18"/>
              </w:rPr>
            </w:pPr>
            <w:r w:rsidRPr="00872D7E">
              <w:rPr>
                <w:rFonts w:eastAsia="Arial Unicode MS"/>
                <w:b/>
                <w:sz w:val="18"/>
                <w:szCs w:val="18"/>
              </w:rPr>
              <w:t>Kapanış Bakiyesi</w:t>
            </w:r>
          </w:p>
        </w:tc>
      </w:tr>
      <w:tr w:rsidR="001F0622" w:rsidRPr="00872D7E" w14:paraId="2B28180A" w14:textId="77777777" w:rsidTr="0029774E">
        <w:trPr>
          <w:trHeight w:val="170"/>
        </w:trPr>
        <w:tc>
          <w:tcPr>
            <w:tcW w:w="1049" w:type="pct"/>
            <w:tcBorders>
              <w:top w:val="single" w:sz="4" w:space="0" w:color="auto"/>
              <w:left w:val="nil"/>
              <w:right w:val="nil"/>
            </w:tcBorders>
            <w:vAlign w:val="bottom"/>
          </w:tcPr>
          <w:p w14:paraId="657A7312" w14:textId="30527F54" w:rsidR="001F0622" w:rsidRPr="00872D7E" w:rsidRDefault="001F0622" w:rsidP="00701863">
            <w:pPr>
              <w:autoSpaceDE w:val="0"/>
              <w:autoSpaceDN w:val="0"/>
              <w:adjustRightInd w:val="0"/>
              <w:ind w:left="180" w:hanging="180"/>
              <w:rPr>
                <w:rFonts w:eastAsia="Arial Unicode MS"/>
                <w:b/>
                <w:sz w:val="18"/>
                <w:szCs w:val="18"/>
              </w:rPr>
            </w:pPr>
          </w:p>
        </w:tc>
        <w:tc>
          <w:tcPr>
            <w:tcW w:w="635" w:type="pct"/>
            <w:tcBorders>
              <w:top w:val="single" w:sz="4" w:space="0" w:color="auto"/>
              <w:left w:val="nil"/>
              <w:right w:val="nil"/>
            </w:tcBorders>
            <w:vAlign w:val="bottom"/>
          </w:tcPr>
          <w:p w14:paraId="259D70D4" w14:textId="77777777" w:rsidR="001F0622" w:rsidRPr="00872D7E" w:rsidRDefault="001F0622" w:rsidP="00701863">
            <w:pPr>
              <w:autoSpaceDE w:val="0"/>
              <w:autoSpaceDN w:val="0"/>
              <w:adjustRightInd w:val="0"/>
              <w:ind w:right="111"/>
              <w:jc w:val="right"/>
              <w:rPr>
                <w:rFonts w:eastAsia="Arial Unicode MS"/>
                <w:b/>
                <w:sz w:val="18"/>
                <w:szCs w:val="18"/>
              </w:rPr>
            </w:pPr>
          </w:p>
        </w:tc>
        <w:tc>
          <w:tcPr>
            <w:tcW w:w="1034" w:type="pct"/>
            <w:tcBorders>
              <w:top w:val="single" w:sz="4" w:space="0" w:color="auto"/>
              <w:left w:val="nil"/>
              <w:right w:val="nil"/>
            </w:tcBorders>
            <w:vAlign w:val="bottom"/>
          </w:tcPr>
          <w:p w14:paraId="23FE2F16" w14:textId="77777777" w:rsidR="001F0622" w:rsidRPr="00872D7E" w:rsidRDefault="001F0622" w:rsidP="00701863">
            <w:pPr>
              <w:autoSpaceDE w:val="0"/>
              <w:autoSpaceDN w:val="0"/>
              <w:adjustRightInd w:val="0"/>
              <w:ind w:right="111"/>
              <w:jc w:val="right"/>
              <w:rPr>
                <w:rFonts w:eastAsia="Arial Unicode MS"/>
                <w:b/>
                <w:sz w:val="18"/>
                <w:szCs w:val="18"/>
              </w:rPr>
            </w:pPr>
          </w:p>
        </w:tc>
        <w:tc>
          <w:tcPr>
            <w:tcW w:w="818" w:type="pct"/>
            <w:tcBorders>
              <w:top w:val="single" w:sz="4" w:space="0" w:color="auto"/>
              <w:left w:val="nil"/>
              <w:right w:val="nil"/>
            </w:tcBorders>
            <w:vAlign w:val="bottom"/>
          </w:tcPr>
          <w:p w14:paraId="69613010" w14:textId="77777777" w:rsidR="001F0622" w:rsidRPr="00872D7E" w:rsidRDefault="001F0622" w:rsidP="00701863">
            <w:pPr>
              <w:autoSpaceDE w:val="0"/>
              <w:autoSpaceDN w:val="0"/>
              <w:adjustRightInd w:val="0"/>
              <w:ind w:right="111"/>
              <w:jc w:val="right"/>
              <w:rPr>
                <w:rFonts w:eastAsia="Arial Unicode MS"/>
                <w:b/>
                <w:sz w:val="18"/>
                <w:szCs w:val="18"/>
              </w:rPr>
            </w:pPr>
          </w:p>
        </w:tc>
        <w:tc>
          <w:tcPr>
            <w:tcW w:w="825" w:type="pct"/>
            <w:tcBorders>
              <w:top w:val="single" w:sz="4" w:space="0" w:color="auto"/>
              <w:left w:val="nil"/>
              <w:right w:val="nil"/>
            </w:tcBorders>
            <w:vAlign w:val="bottom"/>
          </w:tcPr>
          <w:p w14:paraId="507DC42E" w14:textId="77777777" w:rsidR="001F0622" w:rsidRPr="00872D7E" w:rsidRDefault="001F0622" w:rsidP="00701863">
            <w:pPr>
              <w:autoSpaceDE w:val="0"/>
              <w:autoSpaceDN w:val="0"/>
              <w:adjustRightInd w:val="0"/>
              <w:ind w:right="111"/>
              <w:jc w:val="right"/>
              <w:rPr>
                <w:rFonts w:eastAsia="Arial Unicode MS"/>
                <w:b/>
                <w:sz w:val="18"/>
                <w:szCs w:val="18"/>
              </w:rPr>
            </w:pPr>
          </w:p>
        </w:tc>
        <w:tc>
          <w:tcPr>
            <w:tcW w:w="639" w:type="pct"/>
            <w:tcBorders>
              <w:top w:val="single" w:sz="4" w:space="0" w:color="auto"/>
              <w:left w:val="nil"/>
              <w:right w:val="nil"/>
            </w:tcBorders>
            <w:vAlign w:val="bottom"/>
          </w:tcPr>
          <w:p w14:paraId="03DC07E9" w14:textId="77777777" w:rsidR="001F0622" w:rsidRPr="00872D7E" w:rsidRDefault="001F0622" w:rsidP="00701863">
            <w:pPr>
              <w:autoSpaceDE w:val="0"/>
              <w:autoSpaceDN w:val="0"/>
              <w:adjustRightInd w:val="0"/>
              <w:ind w:right="111"/>
              <w:jc w:val="right"/>
              <w:rPr>
                <w:rFonts w:eastAsia="Arial Unicode MS"/>
                <w:b/>
                <w:sz w:val="18"/>
                <w:szCs w:val="18"/>
              </w:rPr>
            </w:pPr>
          </w:p>
        </w:tc>
      </w:tr>
      <w:tr w:rsidR="001F0622" w:rsidRPr="00872D7E" w14:paraId="52556F4B" w14:textId="77777777" w:rsidTr="0029774E">
        <w:trPr>
          <w:trHeight w:val="170"/>
        </w:trPr>
        <w:tc>
          <w:tcPr>
            <w:tcW w:w="1049" w:type="pct"/>
            <w:tcBorders>
              <w:bottom w:val="single" w:sz="4" w:space="0" w:color="auto"/>
            </w:tcBorders>
            <w:vAlign w:val="bottom"/>
            <w:hideMark/>
          </w:tcPr>
          <w:p w14:paraId="71236A24" w14:textId="50D5848B" w:rsidR="001F0622" w:rsidRPr="00872D7E" w:rsidRDefault="001F0622" w:rsidP="001F0622">
            <w:pPr>
              <w:autoSpaceDE w:val="0"/>
              <w:autoSpaceDN w:val="0"/>
              <w:adjustRightInd w:val="0"/>
              <w:ind w:left="180" w:hanging="180"/>
              <w:rPr>
                <w:rFonts w:eastAsia="Arial Unicode MS"/>
                <w:sz w:val="18"/>
                <w:szCs w:val="18"/>
              </w:rPr>
            </w:pPr>
            <w:r w:rsidRPr="00872D7E">
              <w:rPr>
                <w:rFonts w:eastAsia="Arial Unicode MS"/>
                <w:sz w:val="18"/>
                <w:szCs w:val="18"/>
              </w:rPr>
              <w:t>Genel Karşılıklar</w:t>
            </w:r>
          </w:p>
        </w:tc>
        <w:tc>
          <w:tcPr>
            <w:tcW w:w="635" w:type="pct"/>
            <w:tcBorders>
              <w:bottom w:val="single" w:sz="4" w:space="0" w:color="auto"/>
            </w:tcBorders>
            <w:vAlign w:val="center"/>
          </w:tcPr>
          <w:p w14:paraId="76ABD2F9" w14:textId="4B948006" w:rsidR="001F0622" w:rsidRPr="00872D7E" w:rsidRDefault="001F0622" w:rsidP="001F0622">
            <w:pPr>
              <w:autoSpaceDE w:val="0"/>
              <w:autoSpaceDN w:val="0"/>
              <w:adjustRightInd w:val="0"/>
              <w:ind w:right="111"/>
              <w:jc w:val="right"/>
              <w:rPr>
                <w:color w:val="000000"/>
                <w:sz w:val="18"/>
                <w:szCs w:val="18"/>
              </w:rPr>
            </w:pPr>
            <w:r w:rsidRPr="00872D7E">
              <w:rPr>
                <w:color w:val="000000"/>
                <w:sz w:val="18"/>
                <w:szCs w:val="18"/>
              </w:rPr>
              <w:t>88</w:t>
            </w:r>
          </w:p>
        </w:tc>
        <w:tc>
          <w:tcPr>
            <w:tcW w:w="1034" w:type="pct"/>
            <w:tcBorders>
              <w:bottom w:val="single" w:sz="4" w:space="0" w:color="auto"/>
            </w:tcBorders>
            <w:vAlign w:val="center"/>
          </w:tcPr>
          <w:p w14:paraId="38C989E0" w14:textId="1B004C29" w:rsidR="001F0622" w:rsidRPr="00872D7E" w:rsidRDefault="001F0622" w:rsidP="001F0622">
            <w:pPr>
              <w:autoSpaceDE w:val="0"/>
              <w:autoSpaceDN w:val="0"/>
              <w:adjustRightInd w:val="0"/>
              <w:ind w:right="111"/>
              <w:jc w:val="right"/>
              <w:rPr>
                <w:color w:val="000000"/>
                <w:sz w:val="18"/>
                <w:szCs w:val="18"/>
              </w:rPr>
            </w:pPr>
            <w:r w:rsidRPr="00872D7E">
              <w:rPr>
                <w:color w:val="000000"/>
                <w:sz w:val="18"/>
                <w:szCs w:val="18"/>
              </w:rPr>
              <w:t>369.847</w:t>
            </w:r>
          </w:p>
        </w:tc>
        <w:tc>
          <w:tcPr>
            <w:tcW w:w="818" w:type="pct"/>
            <w:tcBorders>
              <w:bottom w:val="single" w:sz="4" w:space="0" w:color="auto"/>
            </w:tcBorders>
            <w:vAlign w:val="center"/>
          </w:tcPr>
          <w:p w14:paraId="26BB341D" w14:textId="140C5196" w:rsidR="001F0622" w:rsidRPr="00872D7E" w:rsidRDefault="001F0622" w:rsidP="001F0622">
            <w:pPr>
              <w:autoSpaceDE w:val="0"/>
              <w:autoSpaceDN w:val="0"/>
              <w:adjustRightInd w:val="0"/>
              <w:ind w:right="111"/>
              <w:jc w:val="right"/>
              <w:rPr>
                <w:color w:val="000000"/>
                <w:sz w:val="18"/>
                <w:szCs w:val="18"/>
              </w:rPr>
            </w:pPr>
            <w:r w:rsidRPr="00872D7E">
              <w:rPr>
                <w:color w:val="000000"/>
                <w:sz w:val="18"/>
                <w:szCs w:val="18"/>
              </w:rPr>
              <w:t>-</w:t>
            </w:r>
          </w:p>
        </w:tc>
        <w:tc>
          <w:tcPr>
            <w:tcW w:w="825" w:type="pct"/>
            <w:tcBorders>
              <w:bottom w:val="single" w:sz="4" w:space="0" w:color="auto"/>
            </w:tcBorders>
            <w:vAlign w:val="center"/>
          </w:tcPr>
          <w:p w14:paraId="76CAF8ED" w14:textId="37A2A4B6" w:rsidR="001F0622" w:rsidRPr="00872D7E" w:rsidRDefault="001F0622" w:rsidP="001F0622">
            <w:pPr>
              <w:autoSpaceDE w:val="0"/>
              <w:autoSpaceDN w:val="0"/>
              <w:adjustRightInd w:val="0"/>
              <w:ind w:right="111"/>
              <w:jc w:val="right"/>
              <w:rPr>
                <w:color w:val="000000"/>
                <w:sz w:val="18"/>
                <w:szCs w:val="18"/>
              </w:rPr>
            </w:pPr>
            <w:r w:rsidRPr="00872D7E">
              <w:rPr>
                <w:color w:val="000000"/>
                <w:sz w:val="18"/>
                <w:szCs w:val="18"/>
              </w:rPr>
              <w:t>-</w:t>
            </w:r>
          </w:p>
        </w:tc>
        <w:tc>
          <w:tcPr>
            <w:tcW w:w="639" w:type="pct"/>
            <w:tcBorders>
              <w:bottom w:val="single" w:sz="4" w:space="0" w:color="auto"/>
            </w:tcBorders>
            <w:vAlign w:val="center"/>
          </w:tcPr>
          <w:p w14:paraId="63BC855F" w14:textId="75767C89" w:rsidR="001F0622" w:rsidRPr="00872D7E" w:rsidRDefault="001F0622" w:rsidP="001F0622">
            <w:pPr>
              <w:autoSpaceDE w:val="0"/>
              <w:autoSpaceDN w:val="0"/>
              <w:adjustRightInd w:val="0"/>
              <w:ind w:right="111"/>
              <w:jc w:val="right"/>
              <w:rPr>
                <w:color w:val="000000"/>
                <w:sz w:val="18"/>
                <w:szCs w:val="18"/>
              </w:rPr>
            </w:pPr>
            <w:r w:rsidRPr="00872D7E">
              <w:rPr>
                <w:color w:val="000000"/>
                <w:sz w:val="18"/>
                <w:szCs w:val="18"/>
              </w:rPr>
              <w:t>369.935</w:t>
            </w:r>
          </w:p>
        </w:tc>
      </w:tr>
    </w:tbl>
    <w:p w14:paraId="0AB54EDE" w14:textId="77777777" w:rsidR="001F7A52" w:rsidRPr="00872D7E" w:rsidRDefault="001F7A52" w:rsidP="001F7A52">
      <w:pPr>
        <w:rPr>
          <w:b/>
          <w:szCs w:val="20"/>
        </w:rPr>
      </w:pPr>
    </w:p>
    <w:p w14:paraId="67004245" w14:textId="736EDE93" w:rsidR="001F7A52" w:rsidRPr="00872D7E" w:rsidRDefault="001F7A52" w:rsidP="002C66A8">
      <w:pPr>
        <w:spacing w:after="120"/>
        <w:ind w:left="851"/>
        <w:rPr>
          <w:b/>
          <w:szCs w:val="20"/>
        </w:rPr>
      </w:pPr>
      <w:r w:rsidRPr="00872D7E">
        <w:rPr>
          <w:b/>
          <w:szCs w:val="20"/>
        </w:rPr>
        <w:t>Döngüsel Sermaye Tamponu Hesaplamasına Dâhil Riskler</w:t>
      </w:r>
    </w:p>
    <w:p w14:paraId="27089655" w14:textId="614D742D" w:rsidR="00C17B76" w:rsidRPr="00872D7E" w:rsidRDefault="00C17B76" w:rsidP="002C66A8">
      <w:pPr>
        <w:spacing w:after="120"/>
        <w:ind w:left="851"/>
        <w:rPr>
          <w:b/>
          <w:szCs w:val="20"/>
        </w:rPr>
      </w:pPr>
      <w:r w:rsidRPr="00872D7E">
        <w:rPr>
          <w:b/>
          <w:szCs w:val="20"/>
        </w:rPr>
        <w:t>Konsolide özel sektörden alacaklara ilişkin bilgiler:</w:t>
      </w:r>
    </w:p>
    <w:tbl>
      <w:tblPr>
        <w:tblW w:w="0" w:type="auto"/>
        <w:tblInd w:w="28" w:type="dxa"/>
        <w:tblLayout w:type="fixed"/>
        <w:tblCellMar>
          <w:left w:w="0" w:type="dxa"/>
          <w:right w:w="0" w:type="dxa"/>
        </w:tblCellMar>
        <w:tblLook w:val="04A0" w:firstRow="1" w:lastRow="0" w:firstColumn="1" w:lastColumn="0" w:noHBand="0" w:noVBand="1"/>
      </w:tblPr>
      <w:tblGrid>
        <w:gridCol w:w="2898"/>
        <w:gridCol w:w="2268"/>
        <w:gridCol w:w="2976"/>
        <w:gridCol w:w="1349"/>
      </w:tblGrid>
      <w:tr w:rsidR="004D49E0" w:rsidRPr="00872D7E" w14:paraId="258F33C8" w14:textId="77777777" w:rsidTr="00B9272B">
        <w:trPr>
          <w:cantSplit/>
          <w:trHeight w:val="113"/>
        </w:trPr>
        <w:tc>
          <w:tcPr>
            <w:tcW w:w="2898" w:type="dxa"/>
            <w:tcBorders>
              <w:top w:val="single" w:sz="4" w:space="0" w:color="auto"/>
              <w:left w:val="nil"/>
              <w:bottom w:val="single" w:sz="4" w:space="0" w:color="auto"/>
              <w:right w:val="nil"/>
            </w:tcBorders>
            <w:vAlign w:val="bottom"/>
            <w:hideMark/>
          </w:tcPr>
          <w:p w14:paraId="0F9D5C90" w14:textId="77777777" w:rsidR="004D49E0" w:rsidRPr="00872D7E" w:rsidRDefault="004D49E0" w:rsidP="00246A10">
            <w:pPr>
              <w:rPr>
                <w:b/>
                <w:szCs w:val="18"/>
              </w:rPr>
            </w:pPr>
            <w:r w:rsidRPr="00872D7E">
              <w:rPr>
                <w:b/>
                <w:szCs w:val="18"/>
              </w:rPr>
              <w:t xml:space="preserve">Nihai olarak risk </w:t>
            </w:r>
            <w:r w:rsidRPr="00872D7E">
              <w:rPr>
                <w:b/>
                <w:szCs w:val="18"/>
              </w:rPr>
              <w:br/>
              <w:t>alınan ülke</w:t>
            </w:r>
          </w:p>
        </w:tc>
        <w:tc>
          <w:tcPr>
            <w:tcW w:w="2268" w:type="dxa"/>
            <w:tcBorders>
              <w:top w:val="single" w:sz="4" w:space="0" w:color="auto"/>
              <w:left w:val="nil"/>
              <w:bottom w:val="single" w:sz="4" w:space="0" w:color="auto"/>
              <w:right w:val="nil"/>
            </w:tcBorders>
            <w:vAlign w:val="bottom"/>
            <w:hideMark/>
          </w:tcPr>
          <w:p w14:paraId="22F4A9E6" w14:textId="77777777" w:rsidR="004D49E0" w:rsidRPr="00872D7E" w:rsidRDefault="004D49E0" w:rsidP="00B9272B">
            <w:pPr>
              <w:ind w:right="55"/>
              <w:jc w:val="right"/>
              <w:rPr>
                <w:b/>
                <w:szCs w:val="18"/>
              </w:rPr>
            </w:pPr>
            <w:r w:rsidRPr="00872D7E">
              <w:rPr>
                <w:b/>
                <w:szCs w:val="18"/>
              </w:rPr>
              <w:t xml:space="preserve">Bankacılık hesaplarındaki </w:t>
            </w:r>
            <w:r w:rsidRPr="00872D7E">
              <w:rPr>
                <w:b/>
                <w:szCs w:val="18"/>
              </w:rPr>
              <w:br/>
              <w:t>özel sektör kredileri</w:t>
            </w:r>
          </w:p>
        </w:tc>
        <w:tc>
          <w:tcPr>
            <w:tcW w:w="2976"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1F26AF21" w14:textId="77777777" w:rsidR="004D49E0" w:rsidRPr="00872D7E" w:rsidRDefault="004D49E0" w:rsidP="00B9272B">
            <w:pPr>
              <w:ind w:right="55"/>
              <w:jc w:val="right"/>
              <w:rPr>
                <w:b/>
                <w:szCs w:val="18"/>
              </w:rPr>
            </w:pPr>
            <w:r w:rsidRPr="00872D7E">
              <w:rPr>
                <w:b/>
                <w:szCs w:val="18"/>
              </w:rPr>
              <w:t xml:space="preserve">Alım satım hesapları kapsamında </w:t>
            </w:r>
            <w:r w:rsidRPr="00872D7E">
              <w:rPr>
                <w:b/>
                <w:szCs w:val="18"/>
              </w:rPr>
              <w:br/>
              <w:t>hesaplanan risk ağırlıklı tutar</w:t>
            </w:r>
          </w:p>
        </w:tc>
        <w:tc>
          <w:tcPr>
            <w:tcW w:w="1349" w:type="dxa"/>
            <w:tcBorders>
              <w:top w:val="single" w:sz="4" w:space="0" w:color="auto"/>
              <w:left w:val="nil"/>
              <w:bottom w:val="single" w:sz="4" w:space="0" w:color="auto"/>
              <w:right w:val="nil"/>
            </w:tcBorders>
            <w:vAlign w:val="bottom"/>
            <w:hideMark/>
          </w:tcPr>
          <w:p w14:paraId="2A193EE9" w14:textId="77777777" w:rsidR="004D49E0" w:rsidRPr="00872D7E" w:rsidRDefault="004D49E0" w:rsidP="00B9272B">
            <w:pPr>
              <w:ind w:right="55"/>
              <w:jc w:val="right"/>
              <w:rPr>
                <w:b/>
                <w:szCs w:val="18"/>
              </w:rPr>
            </w:pPr>
            <w:r w:rsidRPr="00872D7E">
              <w:rPr>
                <w:b/>
                <w:szCs w:val="18"/>
              </w:rPr>
              <w:t>Toplam</w:t>
            </w:r>
          </w:p>
        </w:tc>
      </w:tr>
      <w:tr w:rsidR="004D49E0" w:rsidRPr="00872D7E" w14:paraId="4C684172" w14:textId="77777777" w:rsidTr="005A0808">
        <w:trPr>
          <w:cantSplit/>
          <w:trHeight w:val="113"/>
        </w:trPr>
        <w:tc>
          <w:tcPr>
            <w:tcW w:w="2898" w:type="dxa"/>
            <w:tcBorders>
              <w:top w:val="single" w:sz="4" w:space="0" w:color="auto"/>
              <w:left w:val="nil"/>
              <w:bottom w:val="nil"/>
              <w:right w:val="nil"/>
            </w:tcBorders>
            <w:vAlign w:val="bottom"/>
          </w:tcPr>
          <w:p w14:paraId="01C24FE9" w14:textId="77777777" w:rsidR="004D49E0" w:rsidRPr="00872D7E" w:rsidRDefault="004D49E0" w:rsidP="00701863">
            <w:pPr>
              <w:ind w:left="98"/>
              <w:rPr>
                <w:b/>
                <w:szCs w:val="18"/>
              </w:rPr>
            </w:pPr>
          </w:p>
        </w:tc>
        <w:tc>
          <w:tcPr>
            <w:tcW w:w="2268" w:type="dxa"/>
            <w:tcBorders>
              <w:top w:val="single" w:sz="4" w:space="0" w:color="auto"/>
              <w:left w:val="nil"/>
              <w:bottom w:val="nil"/>
              <w:right w:val="nil"/>
            </w:tcBorders>
            <w:vAlign w:val="bottom"/>
          </w:tcPr>
          <w:p w14:paraId="16803F5D" w14:textId="77777777" w:rsidR="004D49E0" w:rsidRPr="00872D7E" w:rsidRDefault="004D49E0" w:rsidP="00701863">
            <w:pPr>
              <w:ind w:right="55"/>
              <w:jc w:val="right"/>
              <w:rPr>
                <w:b/>
                <w:szCs w:val="18"/>
              </w:rPr>
            </w:pPr>
          </w:p>
        </w:tc>
        <w:tc>
          <w:tcPr>
            <w:tcW w:w="2976" w:type="dxa"/>
            <w:tcBorders>
              <w:top w:val="single" w:sz="4" w:space="0" w:color="auto"/>
              <w:left w:val="nil"/>
              <w:bottom w:val="nil"/>
              <w:right w:val="nil"/>
            </w:tcBorders>
            <w:noWrap/>
            <w:tcMar>
              <w:top w:w="15" w:type="dxa"/>
              <w:left w:w="15" w:type="dxa"/>
              <w:bottom w:w="0" w:type="dxa"/>
              <w:right w:w="15" w:type="dxa"/>
            </w:tcMar>
            <w:vAlign w:val="bottom"/>
          </w:tcPr>
          <w:p w14:paraId="510BA296" w14:textId="77777777" w:rsidR="004D49E0" w:rsidRPr="00872D7E" w:rsidRDefault="004D49E0" w:rsidP="00701863">
            <w:pPr>
              <w:ind w:right="55"/>
              <w:jc w:val="right"/>
              <w:rPr>
                <w:b/>
                <w:szCs w:val="18"/>
              </w:rPr>
            </w:pPr>
          </w:p>
        </w:tc>
        <w:tc>
          <w:tcPr>
            <w:tcW w:w="1349" w:type="dxa"/>
            <w:tcBorders>
              <w:top w:val="single" w:sz="4" w:space="0" w:color="auto"/>
              <w:left w:val="nil"/>
              <w:bottom w:val="nil"/>
              <w:right w:val="nil"/>
            </w:tcBorders>
            <w:vAlign w:val="bottom"/>
          </w:tcPr>
          <w:p w14:paraId="46693021" w14:textId="77777777" w:rsidR="004D49E0" w:rsidRPr="00872D7E" w:rsidRDefault="004D49E0" w:rsidP="00701863">
            <w:pPr>
              <w:ind w:right="55"/>
              <w:jc w:val="right"/>
              <w:rPr>
                <w:b/>
                <w:szCs w:val="18"/>
              </w:rPr>
            </w:pPr>
          </w:p>
        </w:tc>
      </w:tr>
      <w:tr w:rsidR="001A327E" w:rsidRPr="00872D7E" w14:paraId="59D8A267" w14:textId="77777777" w:rsidTr="001A327E">
        <w:trPr>
          <w:cantSplit/>
          <w:trHeight w:val="113"/>
        </w:trPr>
        <w:tc>
          <w:tcPr>
            <w:tcW w:w="2898" w:type="dxa"/>
          </w:tcPr>
          <w:p w14:paraId="56A39BFD" w14:textId="583D9344" w:rsidR="001A327E" w:rsidRPr="00872D7E" w:rsidRDefault="001A327E" w:rsidP="001A327E">
            <w:pPr>
              <w:ind w:right="112"/>
              <w:rPr>
                <w:color w:val="000000"/>
                <w:szCs w:val="18"/>
              </w:rPr>
            </w:pPr>
            <w:r w:rsidRPr="00872D7E">
              <w:t>Türkiye</w:t>
            </w:r>
          </w:p>
        </w:tc>
        <w:tc>
          <w:tcPr>
            <w:tcW w:w="2268" w:type="dxa"/>
            <w:vAlign w:val="bottom"/>
          </w:tcPr>
          <w:p w14:paraId="5DA41020" w14:textId="4D478300" w:rsidR="001A327E" w:rsidRPr="00872D7E" w:rsidRDefault="001A327E" w:rsidP="001A327E">
            <w:pPr>
              <w:ind w:right="112"/>
              <w:jc w:val="right"/>
              <w:rPr>
                <w:color w:val="000000"/>
                <w:szCs w:val="18"/>
              </w:rPr>
            </w:pPr>
            <w:r w:rsidRPr="00872D7E">
              <w:t>12.474.117</w:t>
            </w:r>
          </w:p>
        </w:tc>
        <w:tc>
          <w:tcPr>
            <w:tcW w:w="2976" w:type="dxa"/>
            <w:noWrap/>
            <w:tcMar>
              <w:top w:w="15" w:type="dxa"/>
              <w:left w:w="15" w:type="dxa"/>
              <w:bottom w:w="0" w:type="dxa"/>
              <w:right w:w="15" w:type="dxa"/>
            </w:tcMar>
            <w:vAlign w:val="bottom"/>
          </w:tcPr>
          <w:p w14:paraId="7A0B85F2" w14:textId="4B797509" w:rsidR="001A327E" w:rsidRPr="00872D7E" w:rsidRDefault="001A327E" w:rsidP="001A327E">
            <w:pPr>
              <w:ind w:right="112"/>
              <w:jc w:val="right"/>
              <w:rPr>
                <w:color w:val="000000"/>
                <w:szCs w:val="18"/>
              </w:rPr>
            </w:pPr>
            <w:r w:rsidRPr="00872D7E">
              <w:t>60.007</w:t>
            </w:r>
          </w:p>
        </w:tc>
        <w:tc>
          <w:tcPr>
            <w:tcW w:w="1349" w:type="dxa"/>
            <w:vAlign w:val="bottom"/>
          </w:tcPr>
          <w:p w14:paraId="271E8B74" w14:textId="0D8BB28A" w:rsidR="001A327E" w:rsidRPr="00872D7E" w:rsidRDefault="001A327E" w:rsidP="001A327E">
            <w:pPr>
              <w:ind w:right="112"/>
              <w:jc w:val="right"/>
              <w:rPr>
                <w:color w:val="000000"/>
                <w:szCs w:val="18"/>
              </w:rPr>
            </w:pPr>
            <w:r w:rsidRPr="00872D7E">
              <w:t>12.534.124</w:t>
            </w:r>
          </w:p>
        </w:tc>
      </w:tr>
      <w:tr w:rsidR="001A327E" w:rsidRPr="00872D7E" w14:paraId="42E5B591" w14:textId="77777777" w:rsidTr="001A327E">
        <w:trPr>
          <w:cantSplit/>
          <w:trHeight w:val="113"/>
        </w:trPr>
        <w:tc>
          <w:tcPr>
            <w:tcW w:w="2898" w:type="dxa"/>
          </w:tcPr>
          <w:p w14:paraId="66DB2B46" w14:textId="434D0A8F" w:rsidR="001A327E" w:rsidRPr="00872D7E" w:rsidRDefault="001A327E" w:rsidP="001A327E">
            <w:pPr>
              <w:ind w:right="112"/>
              <w:rPr>
                <w:color w:val="000000"/>
                <w:szCs w:val="18"/>
              </w:rPr>
            </w:pPr>
            <w:r w:rsidRPr="00872D7E">
              <w:t>İngiltere</w:t>
            </w:r>
          </w:p>
        </w:tc>
        <w:tc>
          <w:tcPr>
            <w:tcW w:w="2268" w:type="dxa"/>
            <w:vAlign w:val="bottom"/>
          </w:tcPr>
          <w:p w14:paraId="0117FED1" w14:textId="7D9AF327" w:rsidR="001A327E" w:rsidRPr="00872D7E" w:rsidRDefault="001A327E" w:rsidP="001A327E">
            <w:pPr>
              <w:ind w:right="112"/>
              <w:jc w:val="right"/>
              <w:rPr>
                <w:color w:val="000000"/>
                <w:szCs w:val="18"/>
              </w:rPr>
            </w:pPr>
            <w:r w:rsidRPr="00872D7E">
              <w:t>427.169</w:t>
            </w:r>
          </w:p>
        </w:tc>
        <w:tc>
          <w:tcPr>
            <w:tcW w:w="2976" w:type="dxa"/>
            <w:noWrap/>
            <w:tcMar>
              <w:top w:w="15" w:type="dxa"/>
              <w:left w:w="15" w:type="dxa"/>
              <w:bottom w:w="0" w:type="dxa"/>
              <w:right w:w="15" w:type="dxa"/>
            </w:tcMar>
            <w:vAlign w:val="bottom"/>
          </w:tcPr>
          <w:p w14:paraId="10973800" w14:textId="3C6F0BE4" w:rsidR="001A327E" w:rsidRPr="00872D7E" w:rsidRDefault="001A327E" w:rsidP="001A327E">
            <w:pPr>
              <w:ind w:right="112"/>
              <w:jc w:val="right"/>
              <w:rPr>
                <w:color w:val="000000"/>
                <w:szCs w:val="18"/>
              </w:rPr>
            </w:pPr>
            <w:r w:rsidRPr="00872D7E">
              <w:t>-</w:t>
            </w:r>
          </w:p>
        </w:tc>
        <w:tc>
          <w:tcPr>
            <w:tcW w:w="1349" w:type="dxa"/>
            <w:vAlign w:val="bottom"/>
          </w:tcPr>
          <w:p w14:paraId="144C0197" w14:textId="0B27F2E3" w:rsidR="001A327E" w:rsidRPr="00872D7E" w:rsidRDefault="001A327E" w:rsidP="001A327E">
            <w:pPr>
              <w:ind w:right="112"/>
              <w:jc w:val="right"/>
              <w:rPr>
                <w:color w:val="000000"/>
                <w:szCs w:val="18"/>
              </w:rPr>
            </w:pPr>
            <w:r w:rsidRPr="00872D7E">
              <w:t>427.169</w:t>
            </w:r>
          </w:p>
        </w:tc>
      </w:tr>
      <w:tr w:rsidR="001A327E" w:rsidRPr="00872D7E" w14:paraId="54F14539" w14:textId="77777777" w:rsidTr="0029774E">
        <w:trPr>
          <w:cantSplit/>
          <w:trHeight w:val="113"/>
        </w:trPr>
        <w:tc>
          <w:tcPr>
            <w:tcW w:w="2898" w:type="dxa"/>
          </w:tcPr>
          <w:p w14:paraId="0173443F" w14:textId="169DA5C4" w:rsidR="001A327E" w:rsidRPr="00872D7E" w:rsidRDefault="001A327E" w:rsidP="001A327E">
            <w:pPr>
              <w:ind w:right="112"/>
              <w:rPr>
                <w:color w:val="000000"/>
                <w:szCs w:val="18"/>
              </w:rPr>
            </w:pPr>
            <w:r w:rsidRPr="00872D7E">
              <w:t>Malezya</w:t>
            </w:r>
          </w:p>
        </w:tc>
        <w:tc>
          <w:tcPr>
            <w:tcW w:w="2268" w:type="dxa"/>
            <w:vAlign w:val="bottom"/>
          </w:tcPr>
          <w:p w14:paraId="3E0DE879" w14:textId="38ED05A1" w:rsidR="001A327E" w:rsidRPr="00872D7E" w:rsidRDefault="001A327E" w:rsidP="001A327E">
            <w:pPr>
              <w:ind w:right="112"/>
              <w:jc w:val="right"/>
              <w:rPr>
                <w:color w:val="000000"/>
                <w:szCs w:val="18"/>
              </w:rPr>
            </w:pPr>
            <w:r w:rsidRPr="00872D7E">
              <w:t>-</w:t>
            </w:r>
          </w:p>
        </w:tc>
        <w:tc>
          <w:tcPr>
            <w:tcW w:w="2976" w:type="dxa"/>
            <w:noWrap/>
            <w:tcMar>
              <w:top w:w="15" w:type="dxa"/>
              <w:left w:w="15" w:type="dxa"/>
              <w:bottom w:w="0" w:type="dxa"/>
              <w:right w:w="15" w:type="dxa"/>
            </w:tcMar>
            <w:vAlign w:val="bottom"/>
          </w:tcPr>
          <w:p w14:paraId="369C3DA7" w14:textId="77FDB884" w:rsidR="001A327E" w:rsidRPr="00872D7E" w:rsidRDefault="001A327E" w:rsidP="001A327E">
            <w:pPr>
              <w:ind w:right="112"/>
              <w:jc w:val="right"/>
              <w:rPr>
                <w:color w:val="000000"/>
                <w:szCs w:val="18"/>
              </w:rPr>
            </w:pPr>
            <w:r w:rsidRPr="00872D7E">
              <w:t>96.862</w:t>
            </w:r>
          </w:p>
        </w:tc>
        <w:tc>
          <w:tcPr>
            <w:tcW w:w="1349" w:type="dxa"/>
            <w:vAlign w:val="bottom"/>
          </w:tcPr>
          <w:p w14:paraId="22F610DA" w14:textId="5B9CA7A6" w:rsidR="001A327E" w:rsidRPr="00872D7E" w:rsidRDefault="001A327E" w:rsidP="001A327E">
            <w:pPr>
              <w:ind w:right="112"/>
              <w:jc w:val="right"/>
              <w:rPr>
                <w:color w:val="000000"/>
                <w:szCs w:val="18"/>
              </w:rPr>
            </w:pPr>
            <w:r w:rsidRPr="00872D7E">
              <w:t>96.862</w:t>
            </w:r>
          </w:p>
        </w:tc>
      </w:tr>
      <w:tr w:rsidR="001A327E" w:rsidRPr="00872D7E" w14:paraId="241204F3" w14:textId="77777777" w:rsidTr="0029774E">
        <w:trPr>
          <w:cantSplit/>
          <w:trHeight w:val="113"/>
        </w:trPr>
        <w:tc>
          <w:tcPr>
            <w:tcW w:w="2898" w:type="dxa"/>
            <w:tcBorders>
              <w:bottom w:val="single" w:sz="4" w:space="0" w:color="auto"/>
            </w:tcBorders>
          </w:tcPr>
          <w:p w14:paraId="46F9873B" w14:textId="23D86359" w:rsidR="001A327E" w:rsidRPr="00872D7E" w:rsidRDefault="001A327E" w:rsidP="001A327E">
            <w:pPr>
              <w:ind w:right="112"/>
              <w:rPr>
                <w:color w:val="000000"/>
                <w:szCs w:val="18"/>
              </w:rPr>
            </w:pPr>
            <w:r w:rsidRPr="00872D7E">
              <w:t>Hollanda</w:t>
            </w:r>
          </w:p>
        </w:tc>
        <w:tc>
          <w:tcPr>
            <w:tcW w:w="2268" w:type="dxa"/>
            <w:tcBorders>
              <w:bottom w:val="single" w:sz="4" w:space="0" w:color="auto"/>
            </w:tcBorders>
            <w:vAlign w:val="bottom"/>
          </w:tcPr>
          <w:p w14:paraId="6DC5AF02" w14:textId="3F681138" w:rsidR="001A327E" w:rsidRPr="00872D7E" w:rsidRDefault="001A327E" w:rsidP="001A327E">
            <w:pPr>
              <w:ind w:right="112"/>
              <w:jc w:val="right"/>
              <w:rPr>
                <w:color w:val="000000"/>
                <w:szCs w:val="18"/>
              </w:rPr>
            </w:pPr>
            <w:r w:rsidRPr="00872D7E">
              <w:t>30.006</w:t>
            </w:r>
          </w:p>
        </w:tc>
        <w:tc>
          <w:tcPr>
            <w:tcW w:w="2976" w:type="dxa"/>
            <w:tcBorders>
              <w:bottom w:val="single" w:sz="4" w:space="0" w:color="auto"/>
            </w:tcBorders>
            <w:noWrap/>
            <w:tcMar>
              <w:top w:w="15" w:type="dxa"/>
              <w:left w:w="15" w:type="dxa"/>
              <w:bottom w:w="0" w:type="dxa"/>
              <w:right w:w="15" w:type="dxa"/>
            </w:tcMar>
            <w:vAlign w:val="bottom"/>
          </w:tcPr>
          <w:p w14:paraId="53D7D1FE" w14:textId="16695A8D" w:rsidR="001A327E" w:rsidRPr="00872D7E" w:rsidRDefault="001A327E" w:rsidP="001A327E">
            <w:pPr>
              <w:ind w:right="112"/>
              <w:jc w:val="right"/>
              <w:rPr>
                <w:color w:val="000000"/>
                <w:szCs w:val="18"/>
              </w:rPr>
            </w:pPr>
            <w:r w:rsidRPr="00872D7E">
              <w:t>-</w:t>
            </w:r>
          </w:p>
        </w:tc>
        <w:tc>
          <w:tcPr>
            <w:tcW w:w="1349" w:type="dxa"/>
            <w:tcBorders>
              <w:bottom w:val="single" w:sz="4" w:space="0" w:color="auto"/>
            </w:tcBorders>
            <w:vAlign w:val="bottom"/>
          </w:tcPr>
          <w:p w14:paraId="199FD744" w14:textId="62C39874" w:rsidR="001A327E" w:rsidRPr="00872D7E" w:rsidRDefault="001A327E" w:rsidP="001A327E">
            <w:pPr>
              <w:ind w:right="112"/>
              <w:jc w:val="right"/>
              <w:rPr>
                <w:color w:val="000000"/>
                <w:szCs w:val="18"/>
              </w:rPr>
            </w:pPr>
            <w:r w:rsidRPr="00872D7E">
              <w:t>30.006</w:t>
            </w:r>
          </w:p>
        </w:tc>
      </w:tr>
    </w:tbl>
    <w:p w14:paraId="3E9523EF" w14:textId="77777777" w:rsidR="006D346D" w:rsidRPr="00872D7E" w:rsidRDefault="006D346D" w:rsidP="005843F5"/>
    <w:p w14:paraId="1D891C74" w14:textId="77777777" w:rsidR="005E2D92" w:rsidRPr="00872D7E" w:rsidRDefault="005E2D92" w:rsidP="005843F5">
      <w:bookmarkStart w:id="33" w:name="_Hlk99378919"/>
      <w:r w:rsidRPr="00872D7E">
        <w:br w:type="page"/>
      </w:r>
    </w:p>
    <w:p w14:paraId="045CFBD9" w14:textId="77777777" w:rsidR="00706ECA" w:rsidRPr="00872D7E" w:rsidRDefault="00706ECA" w:rsidP="00706ECA">
      <w:pPr>
        <w:rPr>
          <w:b/>
          <w:szCs w:val="20"/>
        </w:rPr>
      </w:pPr>
      <w:r w:rsidRPr="00872D7E">
        <w:rPr>
          <w:b/>
          <w:szCs w:val="20"/>
        </w:rPr>
        <w:lastRenderedPageBreak/>
        <w:t>MALİ BÜNYEYE VE RİSK YÖNETİMİNE İLİŞKİN BİLGİLER (Devamı)</w:t>
      </w:r>
    </w:p>
    <w:p w14:paraId="079EF974" w14:textId="77777777" w:rsidR="00706ECA" w:rsidRPr="00872D7E" w:rsidRDefault="00706ECA" w:rsidP="009F6E11">
      <w:pPr>
        <w:widowControl w:val="0"/>
        <w:autoSpaceDE w:val="0"/>
        <w:autoSpaceDN w:val="0"/>
        <w:adjustRightInd w:val="0"/>
        <w:ind w:left="851" w:right="-1" w:hanging="851"/>
        <w:jc w:val="both"/>
        <w:rPr>
          <w:b/>
          <w:szCs w:val="20"/>
        </w:rPr>
      </w:pPr>
    </w:p>
    <w:p w14:paraId="0761C31D" w14:textId="21CFC54B" w:rsidR="002C6E36" w:rsidRPr="00872D7E" w:rsidRDefault="00AA12B1" w:rsidP="009F6E11">
      <w:pPr>
        <w:widowControl w:val="0"/>
        <w:autoSpaceDE w:val="0"/>
        <w:autoSpaceDN w:val="0"/>
        <w:adjustRightInd w:val="0"/>
        <w:ind w:left="851" w:right="-1" w:hanging="851"/>
        <w:jc w:val="both"/>
        <w:rPr>
          <w:b/>
          <w:szCs w:val="20"/>
        </w:rPr>
      </w:pPr>
      <w:r w:rsidRPr="00872D7E">
        <w:rPr>
          <w:b/>
          <w:szCs w:val="20"/>
        </w:rPr>
        <w:t>I</w:t>
      </w:r>
      <w:r w:rsidR="00C25A1D" w:rsidRPr="00872D7E">
        <w:rPr>
          <w:b/>
          <w:szCs w:val="20"/>
        </w:rPr>
        <w:t>II</w:t>
      </w:r>
      <w:r w:rsidR="0029638A" w:rsidRPr="00872D7E">
        <w:rPr>
          <w:b/>
          <w:szCs w:val="20"/>
        </w:rPr>
        <w:t>.</w:t>
      </w:r>
      <w:r w:rsidR="0029638A" w:rsidRPr="00872D7E">
        <w:rPr>
          <w:b/>
          <w:szCs w:val="20"/>
        </w:rPr>
        <w:tab/>
      </w:r>
      <w:r w:rsidR="006218A8" w:rsidRPr="00872D7E">
        <w:rPr>
          <w:b/>
          <w:szCs w:val="20"/>
        </w:rPr>
        <w:t>KUR RİSKİNE İLİŞKİN AÇIKLAMALAR</w:t>
      </w:r>
    </w:p>
    <w:bookmarkEnd w:id="33"/>
    <w:p w14:paraId="0F644F6B" w14:textId="77777777" w:rsidR="006D346D" w:rsidRPr="00872D7E" w:rsidRDefault="006D346D" w:rsidP="006D346D">
      <w:pPr>
        <w:widowControl w:val="0"/>
        <w:autoSpaceDE w:val="0"/>
        <w:autoSpaceDN w:val="0"/>
        <w:adjustRightInd w:val="0"/>
        <w:ind w:right="-1"/>
        <w:jc w:val="both"/>
        <w:rPr>
          <w:szCs w:val="20"/>
        </w:rPr>
      </w:pPr>
    </w:p>
    <w:p w14:paraId="4C86DCDE" w14:textId="7A905D9D" w:rsidR="002C6E36" w:rsidRPr="00872D7E" w:rsidRDefault="002C6E36" w:rsidP="006D346D">
      <w:pPr>
        <w:widowControl w:val="0"/>
        <w:autoSpaceDE w:val="0"/>
        <w:autoSpaceDN w:val="0"/>
        <w:adjustRightInd w:val="0"/>
        <w:ind w:left="851" w:right="-1"/>
        <w:jc w:val="both"/>
        <w:rPr>
          <w:szCs w:val="20"/>
        </w:rPr>
      </w:pPr>
      <w:r w:rsidRPr="00872D7E">
        <w:rPr>
          <w:szCs w:val="20"/>
        </w:rPr>
        <w:t xml:space="preserve">Kur riski, döviz kurlarında meydana gelebilecek değişiklikler nedeniyle </w:t>
      </w:r>
      <w:r w:rsidR="006F0CD1" w:rsidRPr="00872D7E">
        <w:rPr>
          <w:szCs w:val="20"/>
        </w:rPr>
        <w:t>Banka’nın maruz</w:t>
      </w:r>
      <w:r w:rsidRPr="00872D7E">
        <w:rPr>
          <w:szCs w:val="20"/>
        </w:rPr>
        <w:t xml:space="preserve"> kalabileceği zarar olasılığını ifade etmektir.</w:t>
      </w:r>
    </w:p>
    <w:p w14:paraId="4C5108F8" w14:textId="77777777" w:rsidR="006D346D" w:rsidRPr="00872D7E" w:rsidRDefault="006D346D" w:rsidP="006D346D">
      <w:pPr>
        <w:widowControl w:val="0"/>
        <w:autoSpaceDE w:val="0"/>
        <w:autoSpaceDN w:val="0"/>
        <w:adjustRightInd w:val="0"/>
        <w:ind w:right="-1"/>
        <w:jc w:val="both"/>
        <w:rPr>
          <w:szCs w:val="20"/>
        </w:rPr>
      </w:pPr>
    </w:p>
    <w:p w14:paraId="6CD4065D" w14:textId="4AC6101F" w:rsidR="002C6E36" w:rsidRPr="00872D7E" w:rsidRDefault="002C6E36" w:rsidP="00212E4A">
      <w:pPr>
        <w:pStyle w:val="ListParagraph"/>
        <w:widowControl w:val="0"/>
        <w:numPr>
          <w:ilvl w:val="0"/>
          <w:numId w:val="29"/>
        </w:numPr>
        <w:ind w:left="1276" w:right="-1" w:hanging="425"/>
        <w:jc w:val="both"/>
        <w:rPr>
          <w:szCs w:val="20"/>
        </w:rPr>
      </w:pPr>
      <w:r w:rsidRPr="00872D7E">
        <w:rPr>
          <w:szCs w:val="20"/>
        </w:rPr>
        <w:t>Piyasa riski olarak kur riskine maruz kalan Banka, açık ya da fazla pozisyon oluşmamasına dikkat ederek kur riskini dengede tutmaktadır. Banka kur riskini günlük olarak takip etmektedir. Yabancı para net genel pozisyonu/</w:t>
      </w:r>
      <w:r w:rsidR="00883560" w:rsidRPr="00872D7E">
        <w:rPr>
          <w:szCs w:val="20"/>
        </w:rPr>
        <w:t>Öz</w:t>
      </w:r>
      <w:r w:rsidR="008F25B4" w:rsidRPr="00872D7E">
        <w:rPr>
          <w:szCs w:val="20"/>
        </w:rPr>
        <w:t>kaynak</w:t>
      </w:r>
      <w:r w:rsidRPr="00872D7E">
        <w:rPr>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872D7E">
        <w:rPr>
          <w:szCs w:val="20"/>
        </w:rPr>
        <w:t>metot</w:t>
      </w:r>
      <w:r w:rsidRPr="00872D7E">
        <w:rPr>
          <w:szCs w:val="20"/>
        </w:rPr>
        <w:t xml:space="preserve"> ile riske maruz değer aylık olarak hesaplanmaktadır</w:t>
      </w:r>
      <w:r w:rsidRPr="00872D7E">
        <w:rPr>
          <w:color w:val="0000FF"/>
          <w:szCs w:val="20"/>
        </w:rPr>
        <w:t>.</w:t>
      </w:r>
    </w:p>
    <w:p w14:paraId="09768CCE" w14:textId="77777777" w:rsidR="00E26866" w:rsidRPr="00872D7E" w:rsidRDefault="00E26866" w:rsidP="00E26866">
      <w:pPr>
        <w:pStyle w:val="ListParagraph"/>
        <w:widowControl w:val="0"/>
        <w:ind w:left="1276" w:right="-1"/>
        <w:jc w:val="both"/>
        <w:rPr>
          <w:szCs w:val="20"/>
        </w:rPr>
      </w:pPr>
    </w:p>
    <w:p w14:paraId="1D051633" w14:textId="4689FD72" w:rsidR="002C6E36" w:rsidRPr="00872D7E" w:rsidRDefault="002C6E36" w:rsidP="00212E4A">
      <w:pPr>
        <w:pStyle w:val="ListParagraph"/>
        <w:widowControl w:val="0"/>
        <w:numPr>
          <w:ilvl w:val="0"/>
          <w:numId w:val="29"/>
        </w:numPr>
        <w:ind w:left="1276" w:right="-1" w:hanging="425"/>
        <w:jc w:val="both"/>
        <w:rPr>
          <w:szCs w:val="20"/>
        </w:rPr>
      </w:pPr>
      <w:r w:rsidRPr="00872D7E">
        <w:rPr>
          <w:szCs w:val="20"/>
        </w:rPr>
        <w:t>Banka’nın riskten korunma amaçlı türev finansal aracı bulunmamaktadır.</w:t>
      </w:r>
    </w:p>
    <w:p w14:paraId="6898FA5B" w14:textId="77777777" w:rsidR="00E26866" w:rsidRPr="00872D7E" w:rsidRDefault="00E26866" w:rsidP="00E26866">
      <w:pPr>
        <w:widowControl w:val="0"/>
        <w:ind w:right="-1"/>
        <w:jc w:val="both"/>
        <w:rPr>
          <w:szCs w:val="20"/>
        </w:rPr>
      </w:pPr>
    </w:p>
    <w:p w14:paraId="6731521B" w14:textId="36CCEAC3" w:rsidR="002C6E36" w:rsidRPr="00872D7E" w:rsidRDefault="002C6E36" w:rsidP="00212E4A">
      <w:pPr>
        <w:pStyle w:val="ListParagraph"/>
        <w:widowControl w:val="0"/>
        <w:numPr>
          <w:ilvl w:val="0"/>
          <w:numId w:val="29"/>
        </w:numPr>
        <w:ind w:left="1276" w:right="-1" w:hanging="425"/>
        <w:jc w:val="both"/>
        <w:rPr>
          <w:szCs w:val="20"/>
        </w:rPr>
      </w:pPr>
      <w:r w:rsidRPr="00872D7E">
        <w:rPr>
          <w:szCs w:val="20"/>
        </w:rPr>
        <w:t>Piyasalarda yaşanan belirsizlikler ve dalgalanmalar nedeniyle döviz pozisyonu dengede tutulmakta, dolayısıyla kur riski taşınmaması öngörülmektedir. Banka</w:t>
      </w:r>
      <w:r w:rsidR="00D21F8A" w:rsidRPr="00872D7E">
        <w:rPr>
          <w:szCs w:val="20"/>
        </w:rPr>
        <w:t xml:space="preserve">, </w:t>
      </w:r>
      <w:r w:rsidRPr="00872D7E">
        <w:rPr>
          <w:szCs w:val="20"/>
        </w:rPr>
        <w:t xml:space="preserve">kur riskini minimum seviyede tutmak için gerekli tedbirleri almaktadır. </w:t>
      </w:r>
    </w:p>
    <w:p w14:paraId="41F17AF7" w14:textId="77777777" w:rsidR="00E26866" w:rsidRPr="00872D7E" w:rsidRDefault="00E26866" w:rsidP="00E26866">
      <w:pPr>
        <w:widowControl w:val="0"/>
        <w:ind w:right="-1"/>
        <w:jc w:val="both"/>
        <w:rPr>
          <w:szCs w:val="20"/>
        </w:rPr>
      </w:pPr>
    </w:p>
    <w:p w14:paraId="6A27BCC2" w14:textId="42BCAD63" w:rsidR="002C6E36" w:rsidRPr="00872D7E" w:rsidRDefault="002C6E36" w:rsidP="00212E4A">
      <w:pPr>
        <w:pStyle w:val="ListParagraph"/>
        <w:widowControl w:val="0"/>
        <w:numPr>
          <w:ilvl w:val="0"/>
          <w:numId w:val="29"/>
        </w:numPr>
        <w:ind w:left="1276" w:right="-1" w:hanging="425"/>
        <w:jc w:val="both"/>
        <w:rPr>
          <w:szCs w:val="20"/>
        </w:rPr>
      </w:pPr>
      <w:r w:rsidRPr="00872D7E">
        <w:rPr>
          <w:szCs w:val="20"/>
        </w:rPr>
        <w:t>Banka’nın finansal tablo tarihi ile bu tarihten geriye doğru son beş iş günü</w:t>
      </w:r>
      <w:r w:rsidR="00203C04" w:rsidRPr="00872D7E">
        <w:rPr>
          <w:szCs w:val="20"/>
        </w:rPr>
        <w:t xml:space="preserve"> boyunca TCMB tarafından</w:t>
      </w:r>
      <w:r w:rsidRPr="00872D7E">
        <w:rPr>
          <w:szCs w:val="20"/>
        </w:rPr>
        <w:t xml:space="preserve"> kamuya duyurulan cari döviz alış kurları aşağıdaki gibidir:</w:t>
      </w:r>
    </w:p>
    <w:p w14:paraId="77594873" w14:textId="77777777" w:rsidR="006D346D" w:rsidRPr="00872D7E" w:rsidRDefault="006D346D" w:rsidP="006D346D">
      <w:pPr>
        <w:pStyle w:val="BodyTextIndent"/>
        <w:widowControl w:val="0"/>
        <w:ind w:left="-56" w:right="-1" w:hanging="504"/>
        <w:rPr>
          <w:szCs w:val="20"/>
        </w:rPr>
      </w:pPr>
    </w:p>
    <w:tbl>
      <w:tblPr>
        <w:tblW w:w="5000" w:type="pct"/>
        <w:tblLook w:val="0000" w:firstRow="0" w:lastRow="0" w:firstColumn="0" w:lastColumn="0" w:noHBand="0" w:noVBand="0"/>
      </w:tblPr>
      <w:tblGrid>
        <w:gridCol w:w="6159"/>
        <w:gridCol w:w="1739"/>
        <w:gridCol w:w="1741"/>
      </w:tblGrid>
      <w:tr w:rsidR="002C6E36" w:rsidRPr="00872D7E" w14:paraId="2219B8CC" w14:textId="77777777" w:rsidTr="007B041F">
        <w:trPr>
          <w:trHeight w:val="221"/>
        </w:trPr>
        <w:tc>
          <w:tcPr>
            <w:tcW w:w="3195" w:type="pct"/>
            <w:vAlign w:val="bottom"/>
          </w:tcPr>
          <w:p w14:paraId="11814E59" w14:textId="77777777" w:rsidR="002C6E36" w:rsidRPr="00872D7E" w:rsidRDefault="002C6E36" w:rsidP="009F6E11">
            <w:pPr>
              <w:widowControl w:val="0"/>
              <w:ind w:left="-43"/>
              <w:jc w:val="both"/>
              <w:rPr>
                <w:szCs w:val="20"/>
              </w:rPr>
            </w:pPr>
          </w:p>
        </w:tc>
        <w:tc>
          <w:tcPr>
            <w:tcW w:w="902" w:type="pct"/>
            <w:tcBorders>
              <w:bottom w:val="single" w:sz="4" w:space="0" w:color="auto"/>
            </w:tcBorders>
            <w:vAlign w:val="bottom"/>
          </w:tcPr>
          <w:p w14:paraId="28A76714" w14:textId="77777777" w:rsidR="002C6E36" w:rsidRPr="00872D7E" w:rsidRDefault="002C6E36" w:rsidP="00C67CCF">
            <w:pPr>
              <w:widowControl w:val="0"/>
              <w:ind w:right="-83"/>
              <w:jc w:val="right"/>
              <w:rPr>
                <w:b/>
                <w:szCs w:val="20"/>
              </w:rPr>
            </w:pPr>
            <w:r w:rsidRPr="00872D7E">
              <w:rPr>
                <w:b/>
                <w:szCs w:val="20"/>
              </w:rPr>
              <w:t>ABD Doları</w:t>
            </w:r>
          </w:p>
        </w:tc>
        <w:tc>
          <w:tcPr>
            <w:tcW w:w="903" w:type="pct"/>
            <w:tcBorders>
              <w:bottom w:val="single" w:sz="4" w:space="0" w:color="auto"/>
            </w:tcBorders>
            <w:vAlign w:val="bottom"/>
          </w:tcPr>
          <w:p w14:paraId="392A2D54" w14:textId="77777777" w:rsidR="002C6E36" w:rsidRPr="00872D7E" w:rsidRDefault="002C6E36" w:rsidP="00C67CCF">
            <w:pPr>
              <w:widowControl w:val="0"/>
              <w:ind w:right="-83"/>
              <w:jc w:val="right"/>
              <w:rPr>
                <w:b/>
                <w:szCs w:val="20"/>
              </w:rPr>
            </w:pPr>
            <w:r w:rsidRPr="00872D7E">
              <w:rPr>
                <w:b/>
                <w:szCs w:val="20"/>
              </w:rPr>
              <w:t>EUR</w:t>
            </w:r>
            <w:r w:rsidR="00C003D1" w:rsidRPr="00872D7E">
              <w:rPr>
                <w:b/>
                <w:szCs w:val="20"/>
              </w:rPr>
              <w:t>O</w:t>
            </w:r>
          </w:p>
        </w:tc>
      </w:tr>
      <w:tr w:rsidR="009E3A26" w:rsidRPr="00872D7E" w14:paraId="61746A7C" w14:textId="77777777" w:rsidTr="007B041F">
        <w:trPr>
          <w:trHeight w:val="73"/>
        </w:trPr>
        <w:tc>
          <w:tcPr>
            <w:tcW w:w="3195" w:type="pct"/>
            <w:vAlign w:val="bottom"/>
          </w:tcPr>
          <w:p w14:paraId="4FCA8DE3" w14:textId="77777777" w:rsidR="009E3A26" w:rsidRPr="00872D7E" w:rsidRDefault="009E3A26" w:rsidP="009F6E11">
            <w:pPr>
              <w:widowControl w:val="0"/>
              <w:ind w:left="-43"/>
              <w:rPr>
                <w:szCs w:val="20"/>
              </w:rPr>
            </w:pPr>
          </w:p>
        </w:tc>
        <w:tc>
          <w:tcPr>
            <w:tcW w:w="902" w:type="pct"/>
            <w:tcBorders>
              <w:top w:val="single" w:sz="4" w:space="0" w:color="auto"/>
              <w:left w:val="nil"/>
              <w:right w:val="nil"/>
            </w:tcBorders>
            <w:shd w:val="clear" w:color="auto" w:fill="auto"/>
            <w:vAlign w:val="bottom"/>
          </w:tcPr>
          <w:p w14:paraId="28B20F83" w14:textId="77777777" w:rsidR="009E3A26" w:rsidRPr="00872D7E" w:rsidRDefault="009E3A26" w:rsidP="00C67CCF">
            <w:pPr>
              <w:widowControl w:val="0"/>
              <w:ind w:right="-83"/>
              <w:jc w:val="right"/>
              <w:rPr>
                <w:szCs w:val="20"/>
              </w:rPr>
            </w:pPr>
          </w:p>
        </w:tc>
        <w:tc>
          <w:tcPr>
            <w:tcW w:w="903" w:type="pct"/>
            <w:tcBorders>
              <w:top w:val="single" w:sz="4" w:space="0" w:color="auto"/>
              <w:left w:val="nil"/>
              <w:right w:val="nil"/>
            </w:tcBorders>
            <w:shd w:val="clear" w:color="auto" w:fill="auto"/>
            <w:vAlign w:val="bottom"/>
          </w:tcPr>
          <w:p w14:paraId="5209EA75" w14:textId="77777777" w:rsidR="009E3A26" w:rsidRPr="00872D7E" w:rsidRDefault="009E3A26" w:rsidP="00C67CCF">
            <w:pPr>
              <w:widowControl w:val="0"/>
              <w:ind w:right="-83"/>
              <w:jc w:val="right"/>
              <w:rPr>
                <w:szCs w:val="20"/>
              </w:rPr>
            </w:pPr>
          </w:p>
        </w:tc>
      </w:tr>
      <w:tr w:rsidR="00AA07AC" w:rsidRPr="00872D7E" w14:paraId="02C5787D" w14:textId="77777777" w:rsidTr="007B041F">
        <w:trPr>
          <w:trHeight w:val="73"/>
        </w:trPr>
        <w:tc>
          <w:tcPr>
            <w:tcW w:w="3195" w:type="pct"/>
            <w:tcBorders>
              <w:bottom w:val="single" w:sz="4" w:space="0" w:color="auto"/>
            </w:tcBorders>
            <w:vAlign w:val="bottom"/>
          </w:tcPr>
          <w:p w14:paraId="55AF4FCC" w14:textId="565F15EC" w:rsidR="00AA07AC" w:rsidRPr="00872D7E" w:rsidRDefault="00AA07AC" w:rsidP="00AA07AC">
            <w:pPr>
              <w:widowControl w:val="0"/>
              <w:ind w:left="-43"/>
              <w:rPr>
                <w:b/>
                <w:bCs/>
                <w:szCs w:val="20"/>
              </w:rPr>
            </w:pPr>
            <w:r w:rsidRPr="00872D7E">
              <w:rPr>
                <w:b/>
                <w:bCs/>
                <w:szCs w:val="20"/>
              </w:rPr>
              <w:t>31 Aralık 2024 Bilanço Değerleme Kuru</w:t>
            </w:r>
          </w:p>
        </w:tc>
        <w:tc>
          <w:tcPr>
            <w:tcW w:w="902" w:type="pct"/>
            <w:tcBorders>
              <w:left w:val="nil"/>
              <w:bottom w:val="single" w:sz="4" w:space="0" w:color="auto"/>
              <w:right w:val="nil"/>
            </w:tcBorders>
            <w:shd w:val="clear" w:color="auto" w:fill="auto"/>
          </w:tcPr>
          <w:p w14:paraId="41952A0A" w14:textId="1AD95D24" w:rsidR="00AA07AC" w:rsidRPr="00872D7E" w:rsidRDefault="00AA07AC" w:rsidP="00AA07AC">
            <w:pPr>
              <w:widowControl w:val="0"/>
              <w:ind w:right="-83"/>
              <w:jc w:val="right"/>
              <w:rPr>
                <w:b/>
                <w:bCs/>
                <w:szCs w:val="20"/>
              </w:rPr>
            </w:pPr>
            <w:r w:rsidRPr="00872D7E">
              <w:rPr>
                <w:b/>
                <w:bCs/>
              </w:rPr>
              <w:t>35,2803</w:t>
            </w:r>
          </w:p>
        </w:tc>
        <w:tc>
          <w:tcPr>
            <w:tcW w:w="903" w:type="pct"/>
            <w:tcBorders>
              <w:left w:val="nil"/>
              <w:bottom w:val="single" w:sz="4" w:space="0" w:color="auto"/>
              <w:right w:val="nil"/>
            </w:tcBorders>
            <w:shd w:val="clear" w:color="auto" w:fill="auto"/>
          </w:tcPr>
          <w:p w14:paraId="127A8ED0" w14:textId="11D9F349" w:rsidR="00AA07AC" w:rsidRPr="00872D7E" w:rsidRDefault="00AA07AC" w:rsidP="00AA07AC">
            <w:pPr>
              <w:widowControl w:val="0"/>
              <w:ind w:right="-83"/>
              <w:jc w:val="right"/>
              <w:rPr>
                <w:b/>
                <w:bCs/>
                <w:szCs w:val="20"/>
              </w:rPr>
            </w:pPr>
            <w:r w:rsidRPr="00872D7E">
              <w:rPr>
                <w:b/>
                <w:bCs/>
              </w:rPr>
              <w:t>36,7362</w:t>
            </w:r>
          </w:p>
        </w:tc>
      </w:tr>
      <w:tr w:rsidR="00650BBC" w:rsidRPr="00872D7E" w14:paraId="5CF40D2A" w14:textId="77777777" w:rsidTr="007B041F">
        <w:trPr>
          <w:trHeight w:val="73"/>
        </w:trPr>
        <w:tc>
          <w:tcPr>
            <w:tcW w:w="3195" w:type="pct"/>
            <w:tcBorders>
              <w:top w:val="single" w:sz="4" w:space="0" w:color="auto"/>
            </w:tcBorders>
            <w:vAlign w:val="bottom"/>
          </w:tcPr>
          <w:p w14:paraId="5703F599" w14:textId="77777777" w:rsidR="00650BBC" w:rsidRPr="00872D7E" w:rsidRDefault="00650BBC" w:rsidP="00F61513">
            <w:pPr>
              <w:widowControl w:val="0"/>
              <w:ind w:left="-43"/>
              <w:rPr>
                <w:b/>
                <w:bCs/>
                <w:szCs w:val="20"/>
              </w:rPr>
            </w:pPr>
          </w:p>
        </w:tc>
        <w:tc>
          <w:tcPr>
            <w:tcW w:w="902" w:type="pct"/>
            <w:tcBorders>
              <w:top w:val="single" w:sz="4" w:space="0" w:color="auto"/>
              <w:left w:val="nil"/>
              <w:bottom w:val="nil"/>
              <w:right w:val="nil"/>
            </w:tcBorders>
            <w:shd w:val="clear" w:color="auto" w:fill="auto"/>
            <w:vAlign w:val="bottom"/>
          </w:tcPr>
          <w:p w14:paraId="4DF1DD53" w14:textId="77777777" w:rsidR="00650BBC" w:rsidRPr="00872D7E" w:rsidRDefault="00650BBC" w:rsidP="00C67CCF">
            <w:pPr>
              <w:widowControl w:val="0"/>
              <w:ind w:right="-83"/>
              <w:jc w:val="right"/>
              <w:rPr>
                <w:b/>
                <w:bCs/>
                <w:color w:val="000000"/>
                <w:szCs w:val="20"/>
              </w:rPr>
            </w:pPr>
          </w:p>
        </w:tc>
        <w:tc>
          <w:tcPr>
            <w:tcW w:w="903" w:type="pct"/>
            <w:tcBorders>
              <w:top w:val="single" w:sz="4" w:space="0" w:color="auto"/>
              <w:left w:val="nil"/>
              <w:bottom w:val="nil"/>
              <w:right w:val="nil"/>
            </w:tcBorders>
            <w:shd w:val="clear" w:color="auto" w:fill="auto"/>
            <w:vAlign w:val="bottom"/>
          </w:tcPr>
          <w:p w14:paraId="52C4A4D3" w14:textId="77777777" w:rsidR="00650BBC" w:rsidRPr="00872D7E" w:rsidRDefault="00650BBC" w:rsidP="00C67CCF">
            <w:pPr>
              <w:widowControl w:val="0"/>
              <w:ind w:right="-83"/>
              <w:jc w:val="right"/>
              <w:rPr>
                <w:b/>
                <w:bCs/>
                <w:color w:val="000000"/>
                <w:szCs w:val="20"/>
              </w:rPr>
            </w:pPr>
          </w:p>
        </w:tc>
      </w:tr>
      <w:tr w:rsidR="00AA07AC" w:rsidRPr="00872D7E" w14:paraId="04948E5F" w14:textId="77777777" w:rsidTr="007B041F">
        <w:trPr>
          <w:trHeight w:val="73"/>
        </w:trPr>
        <w:tc>
          <w:tcPr>
            <w:tcW w:w="3195" w:type="pct"/>
            <w:vAlign w:val="bottom"/>
          </w:tcPr>
          <w:p w14:paraId="40E88DDB" w14:textId="03AD99CE" w:rsidR="00AA07AC" w:rsidRPr="00872D7E" w:rsidRDefault="00AA07AC" w:rsidP="00AA07AC">
            <w:pPr>
              <w:widowControl w:val="0"/>
              <w:ind w:left="-43"/>
              <w:rPr>
                <w:szCs w:val="20"/>
              </w:rPr>
            </w:pPr>
            <w:r w:rsidRPr="00872D7E">
              <w:rPr>
                <w:szCs w:val="20"/>
              </w:rPr>
              <w:t>24 Aralık 2024 tarihi itibarıyla</w:t>
            </w:r>
          </w:p>
        </w:tc>
        <w:tc>
          <w:tcPr>
            <w:tcW w:w="902" w:type="pct"/>
            <w:tcBorders>
              <w:top w:val="nil"/>
              <w:left w:val="nil"/>
              <w:bottom w:val="nil"/>
              <w:right w:val="nil"/>
            </w:tcBorders>
            <w:shd w:val="clear" w:color="auto" w:fill="auto"/>
          </w:tcPr>
          <w:p w14:paraId="3496E78C" w14:textId="766C5EF9" w:rsidR="00AA07AC" w:rsidRPr="00872D7E" w:rsidRDefault="00AA07AC" w:rsidP="00AA07AC">
            <w:pPr>
              <w:widowControl w:val="0"/>
              <w:ind w:right="-83"/>
              <w:jc w:val="right"/>
            </w:pPr>
            <w:r w:rsidRPr="00872D7E">
              <w:t>35,1814</w:t>
            </w:r>
          </w:p>
        </w:tc>
        <w:tc>
          <w:tcPr>
            <w:tcW w:w="903" w:type="pct"/>
            <w:tcBorders>
              <w:top w:val="nil"/>
              <w:left w:val="nil"/>
              <w:bottom w:val="nil"/>
              <w:right w:val="nil"/>
            </w:tcBorders>
            <w:shd w:val="clear" w:color="auto" w:fill="auto"/>
          </w:tcPr>
          <w:p w14:paraId="1C3DA94C" w14:textId="368464E7" w:rsidR="00AA07AC" w:rsidRPr="00872D7E" w:rsidRDefault="00AA07AC" w:rsidP="00AA07AC">
            <w:pPr>
              <w:widowControl w:val="0"/>
              <w:ind w:right="-83"/>
              <w:jc w:val="right"/>
            </w:pPr>
            <w:r w:rsidRPr="00872D7E">
              <w:t>36,5693</w:t>
            </w:r>
          </w:p>
        </w:tc>
      </w:tr>
      <w:tr w:rsidR="00AA07AC" w:rsidRPr="00872D7E" w14:paraId="7A25AA9D" w14:textId="77777777" w:rsidTr="007B041F">
        <w:trPr>
          <w:trHeight w:val="73"/>
        </w:trPr>
        <w:tc>
          <w:tcPr>
            <w:tcW w:w="3195" w:type="pct"/>
            <w:vAlign w:val="bottom"/>
          </w:tcPr>
          <w:p w14:paraId="5932507B" w14:textId="2E6A8F68" w:rsidR="00AA07AC" w:rsidRPr="00872D7E" w:rsidRDefault="00AA07AC" w:rsidP="00AA07AC">
            <w:pPr>
              <w:widowControl w:val="0"/>
              <w:ind w:left="-43"/>
              <w:rPr>
                <w:szCs w:val="20"/>
              </w:rPr>
            </w:pPr>
            <w:r w:rsidRPr="00872D7E">
              <w:rPr>
                <w:szCs w:val="20"/>
              </w:rPr>
              <w:t>25 Aralık 2024 tarihi itibarıyla</w:t>
            </w:r>
          </w:p>
        </w:tc>
        <w:tc>
          <w:tcPr>
            <w:tcW w:w="902" w:type="pct"/>
            <w:tcBorders>
              <w:top w:val="nil"/>
              <w:left w:val="nil"/>
              <w:bottom w:val="nil"/>
              <w:right w:val="nil"/>
            </w:tcBorders>
            <w:shd w:val="clear" w:color="auto" w:fill="auto"/>
          </w:tcPr>
          <w:p w14:paraId="7A465C44" w14:textId="2D5D3439" w:rsidR="00AA07AC" w:rsidRPr="00872D7E" w:rsidRDefault="00AA07AC" w:rsidP="00AA07AC">
            <w:pPr>
              <w:widowControl w:val="0"/>
              <w:ind w:right="-83"/>
              <w:jc w:val="right"/>
              <w:rPr>
                <w:szCs w:val="20"/>
              </w:rPr>
            </w:pPr>
            <w:r w:rsidRPr="00872D7E">
              <w:t>35,2162</w:t>
            </w:r>
          </w:p>
        </w:tc>
        <w:tc>
          <w:tcPr>
            <w:tcW w:w="903" w:type="pct"/>
            <w:tcBorders>
              <w:top w:val="nil"/>
              <w:left w:val="nil"/>
              <w:bottom w:val="nil"/>
              <w:right w:val="nil"/>
            </w:tcBorders>
            <w:shd w:val="clear" w:color="auto" w:fill="auto"/>
          </w:tcPr>
          <w:p w14:paraId="784E97E2" w14:textId="53886BA0" w:rsidR="00AA07AC" w:rsidRPr="00872D7E" w:rsidRDefault="00AA07AC" w:rsidP="00AA07AC">
            <w:pPr>
              <w:widowControl w:val="0"/>
              <w:ind w:right="-83"/>
              <w:jc w:val="right"/>
              <w:rPr>
                <w:szCs w:val="20"/>
              </w:rPr>
            </w:pPr>
            <w:r w:rsidRPr="00872D7E">
              <w:t>36,6592</w:t>
            </w:r>
          </w:p>
        </w:tc>
      </w:tr>
      <w:tr w:rsidR="00AA07AC" w:rsidRPr="00872D7E" w14:paraId="20390D23" w14:textId="77777777" w:rsidTr="007B041F">
        <w:trPr>
          <w:trHeight w:val="73"/>
        </w:trPr>
        <w:tc>
          <w:tcPr>
            <w:tcW w:w="3195" w:type="pct"/>
            <w:vAlign w:val="bottom"/>
          </w:tcPr>
          <w:p w14:paraId="6CAC0C5A" w14:textId="5E6AC351" w:rsidR="00AA07AC" w:rsidRPr="00872D7E" w:rsidRDefault="00AA07AC" w:rsidP="00AA07AC">
            <w:pPr>
              <w:widowControl w:val="0"/>
              <w:ind w:left="-43"/>
              <w:rPr>
                <w:szCs w:val="20"/>
              </w:rPr>
            </w:pPr>
            <w:r w:rsidRPr="00872D7E">
              <w:rPr>
                <w:szCs w:val="20"/>
              </w:rPr>
              <w:t>26 Aralık 2024 tarihi itibarıyla</w:t>
            </w:r>
          </w:p>
        </w:tc>
        <w:tc>
          <w:tcPr>
            <w:tcW w:w="902" w:type="pct"/>
            <w:tcBorders>
              <w:top w:val="nil"/>
              <w:left w:val="nil"/>
              <w:bottom w:val="nil"/>
              <w:right w:val="nil"/>
            </w:tcBorders>
            <w:shd w:val="clear" w:color="auto" w:fill="auto"/>
          </w:tcPr>
          <w:p w14:paraId="1F62DAB3" w14:textId="0F8F8FF6" w:rsidR="00AA07AC" w:rsidRPr="00872D7E" w:rsidRDefault="00AA07AC" w:rsidP="00AA07AC">
            <w:pPr>
              <w:widowControl w:val="0"/>
              <w:ind w:right="-83"/>
              <w:jc w:val="right"/>
              <w:rPr>
                <w:szCs w:val="20"/>
              </w:rPr>
            </w:pPr>
            <w:r w:rsidRPr="00872D7E">
              <w:t>35,2033</w:t>
            </w:r>
          </w:p>
        </w:tc>
        <w:tc>
          <w:tcPr>
            <w:tcW w:w="903" w:type="pct"/>
            <w:tcBorders>
              <w:top w:val="nil"/>
              <w:left w:val="nil"/>
              <w:bottom w:val="nil"/>
              <w:right w:val="nil"/>
            </w:tcBorders>
            <w:shd w:val="clear" w:color="auto" w:fill="auto"/>
          </w:tcPr>
          <w:p w14:paraId="2E6CD521" w14:textId="3B579879" w:rsidR="00AA07AC" w:rsidRPr="00872D7E" w:rsidRDefault="00AA07AC" w:rsidP="00AA07AC">
            <w:pPr>
              <w:widowControl w:val="0"/>
              <w:ind w:right="-83"/>
              <w:jc w:val="right"/>
              <w:rPr>
                <w:szCs w:val="20"/>
              </w:rPr>
            </w:pPr>
            <w:r w:rsidRPr="00872D7E">
              <w:t>36,6076</w:t>
            </w:r>
          </w:p>
        </w:tc>
      </w:tr>
      <w:tr w:rsidR="00AA07AC" w:rsidRPr="00872D7E" w14:paraId="60C756B0" w14:textId="77777777" w:rsidTr="007B041F">
        <w:trPr>
          <w:trHeight w:val="73"/>
        </w:trPr>
        <w:tc>
          <w:tcPr>
            <w:tcW w:w="3195" w:type="pct"/>
            <w:vAlign w:val="bottom"/>
          </w:tcPr>
          <w:p w14:paraId="47B9A964" w14:textId="40392999" w:rsidR="00AA07AC" w:rsidRPr="00872D7E" w:rsidRDefault="00AA07AC" w:rsidP="00AA07AC">
            <w:pPr>
              <w:widowControl w:val="0"/>
              <w:ind w:left="-43"/>
              <w:rPr>
                <w:szCs w:val="20"/>
              </w:rPr>
            </w:pPr>
            <w:r w:rsidRPr="00872D7E">
              <w:rPr>
                <w:szCs w:val="20"/>
              </w:rPr>
              <w:t>27 Aralık 2024 tarihi itibarıyla</w:t>
            </w:r>
          </w:p>
        </w:tc>
        <w:tc>
          <w:tcPr>
            <w:tcW w:w="902" w:type="pct"/>
            <w:tcBorders>
              <w:top w:val="nil"/>
              <w:left w:val="nil"/>
              <w:bottom w:val="nil"/>
              <w:right w:val="nil"/>
            </w:tcBorders>
            <w:shd w:val="clear" w:color="auto" w:fill="auto"/>
          </w:tcPr>
          <w:p w14:paraId="38A44B94" w14:textId="362093A6" w:rsidR="00AA07AC" w:rsidRPr="00872D7E" w:rsidRDefault="00AA07AC" w:rsidP="00AA07AC">
            <w:pPr>
              <w:widowControl w:val="0"/>
              <w:ind w:right="-83"/>
              <w:jc w:val="right"/>
              <w:rPr>
                <w:szCs w:val="20"/>
              </w:rPr>
            </w:pPr>
            <w:r w:rsidRPr="00872D7E">
              <w:t>35,1368</w:t>
            </w:r>
          </w:p>
        </w:tc>
        <w:tc>
          <w:tcPr>
            <w:tcW w:w="903" w:type="pct"/>
            <w:tcBorders>
              <w:top w:val="nil"/>
              <w:left w:val="nil"/>
              <w:bottom w:val="nil"/>
              <w:right w:val="nil"/>
            </w:tcBorders>
            <w:shd w:val="clear" w:color="auto" w:fill="auto"/>
          </w:tcPr>
          <w:p w14:paraId="11F435F9" w14:textId="4A1B9E83" w:rsidR="00AA07AC" w:rsidRPr="00872D7E" w:rsidRDefault="00AA07AC" w:rsidP="00AA07AC">
            <w:pPr>
              <w:widowControl w:val="0"/>
              <w:ind w:right="-83"/>
              <w:jc w:val="right"/>
              <w:rPr>
                <w:szCs w:val="20"/>
              </w:rPr>
            </w:pPr>
            <w:r w:rsidRPr="00872D7E">
              <w:t>36,6134</w:t>
            </w:r>
          </w:p>
        </w:tc>
      </w:tr>
      <w:tr w:rsidR="00AA07AC" w:rsidRPr="00872D7E" w14:paraId="70072145" w14:textId="77777777" w:rsidTr="007B041F">
        <w:trPr>
          <w:trHeight w:val="73"/>
        </w:trPr>
        <w:tc>
          <w:tcPr>
            <w:tcW w:w="3195" w:type="pct"/>
            <w:vAlign w:val="bottom"/>
          </w:tcPr>
          <w:p w14:paraId="5A5597D8" w14:textId="1DE4DA03" w:rsidR="00AA07AC" w:rsidRPr="00872D7E" w:rsidRDefault="00AA07AC" w:rsidP="00AA07AC">
            <w:pPr>
              <w:widowControl w:val="0"/>
              <w:ind w:left="-43"/>
              <w:rPr>
                <w:szCs w:val="20"/>
              </w:rPr>
            </w:pPr>
            <w:r w:rsidRPr="00872D7E">
              <w:rPr>
                <w:szCs w:val="20"/>
              </w:rPr>
              <w:t>30 Aralık 2024 tarihi itibarıyla</w:t>
            </w:r>
          </w:p>
        </w:tc>
        <w:tc>
          <w:tcPr>
            <w:tcW w:w="902" w:type="pct"/>
            <w:tcBorders>
              <w:top w:val="nil"/>
              <w:left w:val="nil"/>
              <w:right w:val="nil"/>
            </w:tcBorders>
            <w:shd w:val="clear" w:color="auto" w:fill="auto"/>
          </w:tcPr>
          <w:p w14:paraId="20AF279E" w14:textId="3B70226E" w:rsidR="00AA07AC" w:rsidRPr="00872D7E" w:rsidRDefault="00AA07AC" w:rsidP="00AA07AC">
            <w:pPr>
              <w:widowControl w:val="0"/>
              <w:ind w:right="-83"/>
              <w:jc w:val="right"/>
              <w:rPr>
                <w:szCs w:val="20"/>
              </w:rPr>
            </w:pPr>
            <w:r w:rsidRPr="00872D7E">
              <w:t>35,2233</w:t>
            </w:r>
          </w:p>
        </w:tc>
        <w:tc>
          <w:tcPr>
            <w:tcW w:w="903" w:type="pct"/>
            <w:tcBorders>
              <w:top w:val="nil"/>
              <w:left w:val="nil"/>
              <w:right w:val="nil"/>
            </w:tcBorders>
            <w:shd w:val="clear" w:color="auto" w:fill="auto"/>
          </w:tcPr>
          <w:p w14:paraId="7A8F8C52" w14:textId="202BED71" w:rsidR="00AA07AC" w:rsidRPr="00872D7E" w:rsidRDefault="00AA07AC" w:rsidP="00AA07AC">
            <w:pPr>
              <w:widowControl w:val="0"/>
              <w:ind w:right="-83"/>
              <w:jc w:val="right"/>
              <w:rPr>
                <w:szCs w:val="20"/>
              </w:rPr>
            </w:pPr>
            <w:r w:rsidRPr="00872D7E">
              <w:t>36,7429</w:t>
            </w:r>
          </w:p>
        </w:tc>
      </w:tr>
      <w:tr w:rsidR="00AA07AC" w:rsidRPr="00872D7E" w14:paraId="51E4EEB5" w14:textId="77777777" w:rsidTr="007B041F">
        <w:trPr>
          <w:trHeight w:val="158"/>
        </w:trPr>
        <w:tc>
          <w:tcPr>
            <w:tcW w:w="3195" w:type="pct"/>
            <w:tcBorders>
              <w:bottom w:val="single" w:sz="4" w:space="0" w:color="auto"/>
            </w:tcBorders>
            <w:vAlign w:val="bottom"/>
          </w:tcPr>
          <w:p w14:paraId="5C943B17" w14:textId="4A9626F3" w:rsidR="00AA07AC" w:rsidRPr="00872D7E" w:rsidRDefault="00AA07AC" w:rsidP="00AA07AC">
            <w:pPr>
              <w:widowControl w:val="0"/>
              <w:ind w:left="-43"/>
              <w:rPr>
                <w:szCs w:val="20"/>
              </w:rPr>
            </w:pPr>
            <w:r w:rsidRPr="00872D7E">
              <w:rPr>
                <w:szCs w:val="20"/>
              </w:rPr>
              <w:t>31 Aralık 2024 tarihi itibarıyla</w:t>
            </w:r>
          </w:p>
        </w:tc>
        <w:tc>
          <w:tcPr>
            <w:tcW w:w="902" w:type="pct"/>
            <w:tcBorders>
              <w:top w:val="nil"/>
              <w:left w:val="nil"/>
              <w:bottom w:val="single" w:sz="4" w:space="0" w:color="auto"/>
              <w:right w:val="nil"/>
            </w:tcBorders>
            <w:shd w:val="clear" w:color="auto" w:fill="auto"/>
          </w:tcPr>
          <w:p w14:paraId="3DABD844" w14:textId="6169590E" w:rsidR="00AA07AC" w:rsidRPr="00872D7E" w:rsidRDefault="00AA07AC" w:rsidP="00AA07AC">
            <w:pPr>
              <w:widowControl w:val="0"/>
              <w:ind w:right="-83"/>
              <w:jc w:val="right"/>
              <w:rPr>
                <w:szCs w:val="20"/>
              </w:rPr>
            </w:pPr>
            <w:r w:rsidRPr="00872D7E">
              <w:t>35,2803</w:t>
            </w:r>
          </w:p>
        </w:tc>
        <w:tc>
          <w:tcPr>
            <w:tcW w:w="903" w:type="pct"/>
            <w:tcBorders>
              <w:top w:val="nil"/>
              <w:left w:val="nil"/>
              <w:bottom w:val="single" w:sz="4" w:space="0" w:color="auto"/>
              <w:right w:val="nil"/>
            </w:tcBorders>
            <w:shd w:val="clear" w:color="auto" w:fill="auto"/>
          </w:tcPr>
          <w:p w14:paraId="04948CA9" w14:textId="521B5394" w:rsidR="00AA07AC" w:rsidRPr="00872D7E" w:rsidRDefault="00AA07AC" w:rsidP="00AA07AC">
            <w:pPr>
              <w:widowControl w:val="0"/>
              <w:ind w:right="-83"/>
              <w:jc w:val="right"/>
              <w:rPr>
                <w:szCs w:val="20"/>
              </w:rPr>
            </w:pPr>
            <w:r w:rsidRPr="00872D7E">
              <w:t>36,7362</w:t>
            </w:r>
          </w:p>
        </w:tc>
      </w:tr>
      <w:tr w:rsidR="00363EA0" w:rsidRPr="00872D7E" w14:paraId="5A5D2A0C" w14:textId="77777777" w:rsidTr="007B041F">
        <w:trPr>
          <w:trHeight w:val="158"/>
        </w:trPr>
        <w:tc>
          <w:tcPr>
            <w:tcW w:w="3195" w:type="pct"/>
            <w:tcBorders>
              <w:top w:val="single" w:sz="4" w:space="0" w:color="auto"/>
            </w:tcBorders>
            <w:vAlign w:val="bottom"/>
          </w:tcPr>
          <w:p w14:paraId="0F00C5E4" w14:textId="77777777" w:rsidR="00363EA0" w:rsidRPr="00872D7E" w:rsidRDefault="00363EA0" w:rsidP="00363EA0">
            <w:pPr>
              <w:widowControl w:val="0"/>
              <w:ind w:left="-43"/>
              <w:rPr>
                <w:szCs w:val="20"/>
              </w:rPr>
            </w:pPr>
          </w:p>
        </w:tc>
        <w:tc>
          <w:tcPr>
            <w:tcW w:w="902" w:type="pct"/>
            <w:tcBorders>
              <w:top w:val="single" w:sz="4" w:space="0" w:color="auto"/>
              <w:left w:val="nil"/>
              <w:bottom w:val="nil"/>
              <w:right w:val="nil"/>
            </w:tcBorders>
            <w:shd w:val="clear" w:color="auto" w:fill="auto"/>
            <w:vAlign w:val="bottom"/>
          </w:tcPr>
          <w:p w14:paraId="2BB467D0" w14:textId="77777777" w:rsidR="00363EA0" w:rsidRPr="00872D7E" w:rsidRDefault="00363EA0" w:rsidP="00363EA0">
            <w:pPr>
              <w:widowControl w:val="0"/>
              <w:ind w:right="-83"/>
              <w:jc w:val="right"/>
              <w:rPr>
                <w:color w:val="000000"/>
                <w:szCs w:val="20"/>
              </w:rPr>
            </w:pPr>
          </w:p>
        </w:tc>
        <w:tc>
          <w:tcPr>
            <w:tcW w:w="903" w:type="pct"/>
            <w:tcBorders>
              <w:top w:val="single" w:sz="4" w:space="0" w:color="auto"/>
              <w:left w:val="nil"/>
              <w:bottom w:val="nil"/>
              <w:right w:val="nil"/>
            </w:tcBorders>
            <w:shd w:val="clear" w:color="auto" w:fill="auto"/>
            <w:vAlign w:val="bottom"/>
          </w:tcPr>
          <w:p w14:paraId="42FF61F1" w14:textId="77777777" w:rsidR="00363EA0" w:rsidRPr="00872D7E" w:rsidRDefault="00363EA0" w:rsidP="00363EA0">
            <w:pPr>
              <w:widowControl w:val="0"/>
              <w:ind w:right="-83"/>
              <w:jc w:val="right"/>
              <w:rPr>
                <w:color w:val="000000"/>
                <w:szCs w:val="20"/>
              </w:rPr>
            </w:pPr>
          </w:p>
        </w:tc>
      </w:tr>
      <w:tr w:rsidR="00363EA0" w:rsidRPr="00872D7E" w14:paraId="44F16620" w14:textId="77777777" w:rsidTr="007B041F">
        <w:trPr>
          <w:trHeight w:val="158"/>
        </w:trPr>
        <w:tc>
          <w:tcPr>
            <w:tcW w:w="3195" w:type="pct"/>
            <w:tcBorders>
              <w:bottom w:val="single" w:sz="4" w:space="0" w:color="auto"/>
            </w:tcBorders>
            <w:vAlign w:val="bottom"/>
          </w:tcPr>
          <w:p w14:paraId="6D3DF5A8" w14:textId="618BF0AB" w:rsidR="00363EA0" w:rsidRPr="00872D7E" w:rsidRDefault="00363EA0" w:rsidP="00363EA0">
            <w:pPr>
              <w:widowControl w:val="0"/>
              <w:ind w:left="-43"/>
              <w:rPr>
                <w:b/>
                <w:bCs/>
                <w:szCs w:val="20"/>
              </w:rPr>
            </w:pPr>
            <w:r w:rsidRPr="00872D7E">
              <w:rPr>
                <w:b/>
                <w:bCs/>
                <w:szCs w:val="20"/>
              </w:rPr>
              <w:t>30 günün basit aritmetik ortalaması</w:t>
            </w:r>
          </w:p>
        </w:tc>
        <w:tc>
          <w:tcPr>
            <w:tcW w:w="902" w:type="pct"/>
            <w:tcBorders>
              <w:top w:val="nil"/>
              <w:left w:val="nil"/>
              <w:bottom w:val="single" w:sz="4" w:space="0" w:color="auto"/>
              <w:right w:val="nil"/>
            </w:tcBorders>
            <w:shd w:val="clear" w:color="auto" w:fill="auto"/>
            <w:vAlign w:val="bottom"/>
          </w:tcPr>
          <w:p w14:paraId="7D0619A0" w14:textId="66F7B37D" w:rsidR="00363EA0" w:rsidRPr="00872D7E" w:rsidRDefault="00AA07AC" w:rsidP="00363EA0">
            <w:pPr>
              <w:widowControl w:val="0"/>
              <w:ind w:right="-83"/>
              <w:jc w:val="right"/>
              <w:rPr>
                <w:b/>
                <w:bCs/>
                <w:szCs w:val="20"/>
              </w:rPr>
            </w:pPr>
            <w:r w:rsidRPr="00872D7E">
              <w:rPr>
                <w:b/>
                <w:bCs/>
                <w:color w:val="000000"/>
                <w:szCs w:val="20"/>
              </w:rPr>
              <w:t>34,9212</w:t>
            </w:r>
          </w:p>
        </w:tc>
        <w:tc>
          <w:tcPr>
            <w:tcW w:w="903" w:type="pct"/>
            <w:tcBorders>
              <w:top w:val="nil"/>
              <w:left w:val="nil"/>
              <w:bottom w:val="single" w:sz="4" w:space="0" w:color="auto"/>
              <w:right w:val="nil"/>
            </w:tcBorders>
            <w:shd w:val="clear" w:color="auto" w:fill="auto"/>
            <w:vAlign w:val="bottom"/>
          </w:tcPr>
          <w:p w14:paraId="6E120908" w14:textId="205E7E77" w:rsidR="00363EA0" w:rsidRPr="00872D7E" w:rsidRDefault="00AA07AC" w:rsidP="00363EA0">
            <w:pPr>
              <w:widowControl w:val="0"/>
              <w:ind w:right="-83"/>
              <w:jc w:val="right"/>
              <w:rPr>
                <w:b/>
                <w:bCs/>
                <w:szCs w:val="20"/>
              </w:rPr>
            </w:pPr>
            <w:r w:rsidRPr="00872D7E">
              <w:rPr>
                <w:b/>
                <w:bCs/>
                <w:color w:val="000000"/>
                <w:szCs w:val="20"/>
              </w:rPr>
              <w:t>36,5808</w:t>
            </w:r>
          </w:p>
        </w:tc>
      </w:tr>
    </w:tbl>
    <w:p w14:paraId="6BE9C27D" w14:textId="77777777" w:rsidR="00393907" w:rsidRPr="00872D7E" w:rsidRDefault="00393907" w:rsidP="00393907">
      <w:pPr>
        <w:widowControl w:val="0"/>
        <w:ind w:right="46" w:hanging="567"/>
        <w:jc w:val="both"/>
        <w:rPr>
          <w:b/>
          <w:snapToGrid w:val="0"/>
          <w:szCs w:val="20"/>
        </w:rPr>
      </w:pPr>
    </w:p>
    <w:p w14:paraId="05F6F447" w14:textId="509CA936" w:rsidR="00393907" w:rsidRPr="00872D7E" w:rsidRDefault="00393907" w:rsidP="00212E4A">
      <w:pPr>
        <w:pStyle w:val="ListParagraph"/>
        <w:widowControl w:val="0"/>
        <w:numPr>
          <w:ilvl w:val="0"/>
          <w:numId w:val="30"/>
        </w:numPr>
        <w:ind w:left="851" w:right="46" w:hanging="851"/>
        <w:jc w:val="both"/>
        <w:rPr>
          <w:bCs/>
          <w:szCs w:val="20"/>
        </w:rPr>
      </w:pPr>
      <w:r w:rsidRPr="00872D7E">
        <w:rPr>
          <w:bCs/>
          <w:szCs w:val="20"/>
        </w:rPr>
        <w:br w:type="page"/>
      </w:r>
    </w:p>
    <w:p w14:paraId="35254B1F" w14:textId="4E0BECB3" w:rsidR="00393907" w:rsidRPr="00872D7E" w:rsidRDefault="006218A8" w:rsidP="00E91DEA">
      <w:pPr>
        <w:pStyle w:val="BodyTextIndent"/>
        <w:widowControl w:val="0"/>
        <w:spacing w:line="235" w:lineRule="auto"/>
        <w:ind w:firstLine="0"/>
        <w:jc w:val="left"/>
        <w:rPr>
          <w:b/>
          <w:szCs w:val="20"/>
        </w:rPr>
      </w:pPr>
      <w:r w:rsidRPr="00872D7E">
        <w:rPr>
          <w:b/>
          <w:szCs w:val="20"/>
        </w:rPr>
        <w:lastRenderedPageBreak/>
        <w:t xml:space="preserve">MALİ BÜNYEYE VE RİSK YÖNETİMİNE İLİŞKİN BİLGİLER </w:t>
      </w:r>
      <w:r w:rsidR="00393907" w:rsidRPr="00872D7E">
        <w:rPr>
          <w:b/>
          <w:szCs w:val="20"/>
        </w:rPr>
        <w:t>(Devamı)</w:t>
      </w:r>
    </w:p>
    <w:p w14:paraId="1184489B" w14:textId="77777777" w:rsidR="002C6E36" w:rsidRPr="00872D7E" w:rsidRDefault="002C6E36" w:rsidP="009F6E11">
      <w:pPr>
        <w:widowControl w:val="0"/>
        <w:ind w:right="46" w:hanging="567"/>
        <w:jc w:val="both"/>
        <w:rPr>
          <w:bCs/>
          <w:szCs w:val="20"/>
        </w:rPr>
      </w:pPr>
    </w:p>
    <w:p w14:paraId="6E05EAB5" w14:textId="62B118B5" w:rsidR="002C6E36" w:rsidRPr="00872D7E" w:rsidRDefault="00AA12B1" w:rsidP="009F6E11">
      <w:pPr>
        <w:widowControl w:val="0"/>
        <w:ind w:left="851" w:hanging="851"/>
        <w:jc w:val="both"/>
        <w:rPr>
          <w:b/>
          <w:snapToGrid w:val="0"/>
          <w:szCs w:val="20"/>
        </w:rPr>
      </w:pPr>
      <w:r w:rsidRPr="00872D7E">
        <w:rPr>
          <w:b/>
          <w:szCs w:val="20"/>
        </w:rPr>
        <w:t>I</w:t>
      </w:r>
      <w:r w:rsidR="00C25A1D" w:rsidRPr="00872D7E">
        <w:rPr>
          <w:b/>
          <w:szCs w:val="20"/>
        </w:rPr>
        <w:t>II</w:t>
      </w:r>
      <w:r w:rsidR="001F5A0E" w:rsidRPr="00872D7E">
        <w:rPr>
          <w:szCs w:val="20"/>
        </w:rPr>
        <w:t>.</w:t>
      </w:r>
      <w:r w:rsidR="001F5A0E" w:rsidRPr="00872D7E">
        <w:rPr>
          <w:szCs w:val="20"/>
        </w:rPr>
        <w:tab/>
      </w:r>
      <w:r w:rsidR="006218A8" w:rsidRPr="00872D7E">
        <w:rPr>
          <w:b/>
          <w:szCs w:val="20"/>
        </w:rPr>
        <w:t>KUR RİSKİNE İLİŞKİN AÇIKLAMALAR</w:t>
      </w:r>
      <w:r w:rsidR="001F5A0E" w:rsidRPr="00872D7E">
        <w:rPr>
          <w:b/>
          <w:szCs w:val="20"/>
        </w:rPr>
        <w:t xml:space="preserve"> (</w:t>
      </w:r>
      <w:r w:rsidR="00393907" w:rsidRPr="00872D7E">
        <w:rPr>
          <w:b/>
          <w:szCs w:val="20"/>
        </w:rPr>
        <w:t>Devamı</w:t>
      </w:r>
      <w:r w:rsidR="001F5A0E" w:rsidRPr="00872D7E">
        <w:rPr>
          <w:b/>
          <w:szCs w:val="20"/>
        </w:rPr>
        <w:t>)</w:t>
      </w:r>
    </w:p>
    <w:p w14:paraId="50A61DEA" w14:textId="77777777" w:rsidR="00393907" w:rsidRPr="00872D7E" w:rsidRDefault="00393907" w:rsidP="00393907">
      <w:pPr>
        <w:widowControl w:val="0"/>
        <w:tabs>
          <w:tab w:val="left" w:pos="720"/>
        </w:tabs>
        <w:jc w:val="both"/>
        <w:rPr>
          <w:b/>
          <w:snapToGrid w:val="0"/>
          <w:szCs w:val="20"/>
        </w:rPr>
      </w:pPr>
      <w:bookmarkStart w:id="34" w:name="_Hlk96528977"/>
    </w:p>
    <w:p w14:paraId="740A1451" w14:textId="6246C951" w:rsidR="002C6E36" w:rsidRPr="00872D7E" w:rsidRDefault="001F5A0E">
      <w:pPr>
        <w:widowControl w:val="0"/>
        <w:tabs>
          <w:tab w:val="left" w:pos="720"/>
        </w:tabs>
        <w:jc w:val="both"/>
        <w:rPr>
          <w:b/>
          <w:szCs w:val="20"/>
        </w:rPr>
      </w:pPr>
      <w:r w:rsidRPr="00872D7E">
        <w:rPr>
          <w:b/>
          <w:snapToGrid w:val="0"/>
          <w:szCs w:val="20"/>
        </w:rPr>
        <w:t>B</w:t>
      </w:r>
      <w:r w:rsidR="002C6E36" w:rsidRPr="00872D7E">
        <w:rPr>
          <w:b/>
          <w:snapToGrid w:val="0"/>
          <w:szCs w:val="20"/>
        </w:rPr>
        <w:t>anka’nın</w:t>
      </w:r>
      <w:r w:rsidR="002C6E36" w:rsidRPr="00872D7E">
        <w:rPr>
          <w:b/>
          <w:szCs w:val="20"/>
        </w:rPr>
        <w:t xml:space="preserve"> kur riskine ilişkin bilgiler:</w:t>
      </w:r>
    </w:p>
    <w:bookmarkEnd w:id="34"/>
    <w:p w14:paraId="4AE80C66" w14:textId="72415348" w:rsidR="00862A01" w:rsidRPr="00872D7E" w:rsidRDefault="00862A01" w:rsidP="00862A01">
      <w:pPr>
        <w:pStyle w:val="BodyText2"/>
        <w:widowControl w:val="0"/>
        <w:tabs>
          <w:tab w:val="left" w:pos="406"/>
        </w:tabs>
        <w:ind w:left="567" w:right="-40" w:hanging="563"/>
        <w:rPr>
          <w:b w:val="0"/>
        </w:rPr>
      </w:pPr>
    </w:p>
    <w:tbl>
      <w:tblPr>
        <w:tblW w:w="9753" w:type="dxa"/>
        <w:tblCellMar>
          <w:left w:w="70" w:type="dxa"/>
          <w:right w:w="70" w:type="dxa"/>
        </w:tblCellMar>
        <w:tblLook w:val="04A0" w:firstRow="1" w:lastRow="0" w:firstColumn="1" w:lastColumn="0" w:noHBand="0" w:noVBand="1"/>
      </w:tblPr>
      <w:tblGrid>
        <w:gridCol w:w="4678"/>
        <w:gridCol w:w="1275"/>
        <w:gridCol w:w="1560"/>
        <w:gridCol w:w="1120"/>
        <w:gridCol w:w="1120"/>
      </w:tblGrid>
      <w:tr w:rsidR="00862A01" w:rsidRPr="00872D7E" w14:paraId="3AF9BE77" w14:textId="77777777" w:rsidTr="00862A01">
        <w:trPr>
          <w:divId w:val="455682201"/>
          <w:trHeight w:val="170"/>
        </w:trPr>
        <w:tc>
          <w:tcPr>
            <w:tcW w:w="4678" w:type="dxa"/>
            <w:tcBorders>
              <w:top w:val="nil"/>
              <w:left w:val="nil"/>
              <w:bottom w:val="single" w:sz="4" w:space="0" w:color="auto"/>
              <w:right w:val="nil"/>
            </w:tcBorders>
            <w:shd w:val="clear" w:color="auto" w:fill="auto"/>
            <w:hideMark/>
          </w:tcPr>
          <w:p w14:paraId="0D60F16A" w14:textId="0F0B988D" w:rsidR="00862A01" w:rsidRPr="00872D7E" w:rsidRDefault="00862A01" w:rsidP="00862A01">
            <w:pPr>
              <w:jc w:val="both"/>
              <w:rPr>
                <w:b/>
                <w:bCs/>
                <w:color w:val="000000"/>
                <w:sz w:val="16"/>
                <w:szCs w:val="16"/>
              </w:rPr>
            </w:pPr>
            <w:r w:rsidRPr="00872D7E">
              <w:rPr>
                <w:b/>
                <w:bCs/>
                <w:color w:val="000000"/>
                <w:sz w:val="16"/>
                <w:szCs w:val="16"/>
              </w:rPr>
              <w:t> </w:t>
            </w:r>
          </w:p>
        </w:tc>
        <w:tc>
          <w:tcPr>
            <w:tcW w:w="1275" w:type="dxa"/>
            <w:tcBorders>
              <w:top w:val="nil"/>
              <w:left w:val="nil"/>
              <w:bottom w:val="single" w:sz="4" w:space="0" w:color="auto"/>
              <w:right w:val="nil"/>
            </w:tcBorders>
            <w:shd w:val="clear" w:color="auto" w:fill="auto"/>
            <w:vAlign w:val="bottom"/>
            <w:hideMark/>
          </w:tcPr>
          <w:p w14:paraId="5B1A2724" w14:textId="77777777" w:rsidR="00862A01" w:rsidRPr="00872D7E" w:rsidRDefault="00862A01" w:rsidP="00862A01">
            <w:pPr>
              <w:jc w:val="right"/>
              <w:rPr>
                <w:b/>
                <w:bCs/>
                <w:color w:val="000000"/>
                <w:sz w:val="16"/>
                <w:szCs w:val="16"/>
              </w:rPr>
            </w:pPr>
            <w:r w:rsidRPr="00872D7E">
              <w:rPr>
                <w:b/>
                <w:bCs/>
                <w:snapToGrid w:val="0"/>
                <w:color w:val="000000"/>
                <w:sz w:val="16"/>
                <w:szCs w:val="16"/>
              </w:rPr>
              <w:t>EURO</w:t>
            </w:r>
          </w:p>
        </w:tc>
        <w:tc>
          <w:tcPr>
            <w:tcW w:w="1560" w:type="dxa"/>
            <w:tcBorders>
              <w:top w:val="nil"/>
              <w:left w:val="nil"/>
              <w:bottom w:val="single" w:sz="4" w:space="0" w:color="auto"/>
              <w:right w:val="nil"/>
            </w:tcBorders>
            <w:shd w:val="clear" w:color="auto" w:fill="auto"/>
            <w:vAlign w:val="bottom"/>
            <w:hideMark/>
          </w:tcPr>
          <w:p w14:paraId="155C780B" w14:textId="77777777" w:rsidR="00862A01" w:rsidRPr="00872D7E" w:rsidRDefault="00862A01" w:rsidP="00862A01">
            <w:pPr>
              <w:jc w:val="right"/>
              <w:rPr>
                <w:b/>
                <w:bCs/>
                <w:color w:val="000000"/>
                <w:sz w:val="16"/>
                <w:szCs w:val="16"/>
              </w:rPr>
            </w:pPr>
            <w:r w:rsidRPr="00872D7E">
              <w:rPr>
                <w:b/>
                <w:bCs/>
                <w:color w:val="000000"/>
                <w:sz w:val="16"/>
                <w:szCs w:val="16"/>
              </w:rPr>
              <w:t>ABD Doları</w:t>
            </w:r>
          </w:p>
        </w:tc>
        <w:tc>
          <w:tcPr>
            <w:tcW w:w="1120" w:type="dxa"/>
            <w:tcBorders>
              <w:top w:val="nil"/>
              <w:left w:val="nil"/>
              <w:bottom w:val="single" w:sz="4" w:space="0" w:color="auto"/>
              <w:right w:val="nil"/>
            </w:tcBorders>
            <w:shd w:val="clear" w:color="auto" w:fill="auto"/>
            <w:vAlign w:val="bottom"/>
            <w:hideMark/>
          </w:tcPr>
          <w:p w14:paraId="177605A1" w14:textId="77777777" w:rsidR="00862A01" w:rsidRPr="00872D7E" w:rsidRDefault="00862A01" w:rsidP="00862A01">
            <w:pPr>
              <w:jc w:val="right"/>
              <w:rPr>
                <w:b/>
                <w:bCs/>
                <w:color w:val="000000"/>
                <w:sz w:val="16"/>
                <w:szCs w:val="16"/>
                <w:lang w:eastAsia="tr-TR"/>
              </w:rPr>
            </w:pPr>
            <w:r w:rsidRPr="00872D7E">
              <w:rPr>
                <w:b/>
                <w:bCs/>
                <w:snapToGrid w:val="0"/>
                <w:color w:val="000000"/>
                <w:sz w:val="16"/>
                <w:szCs w:val="16"/>
              </w:rPr>
              <w:t>Diğer YP</w:t>
            </w:r>
            <w:r w:rsidRPr="00872D7E">
              <w:rPr>
                <w:b/>
                <w:bCs/>
                <w:color w:val="000000"/>
                <w:sz w:val="16"/>
                <w:szCs w:val="16"/>
              </w:rPr>
              <w:t xml:space="preserve"> </w:t>
            </w:r>
            <w:r w:rsidRPr="00872D7E">
              <w:rPr>
                <w:b/>
                <w:bCs/>
                <w:color w:val="000000"/>
                <w:sz w:val="16"/>
                <w:szCs w:val="16"/>
                <w:vertAlign w:val="superscript"/>
                <w:lang w:eastAsia="tr-TR"/>
              </w:rPr>
              <w:t>(*)</w:t>
            </w:r>
          </w:p>
        </w:tc>
        <w:tc>
          <w:tcPr>
            <w:tcW w:w="1120" w:type="dxa"/>
            <w:tcBorders>
              <w:top w:val="nil"/>
              <w:left w:val="nil"/>
              <w:bottom w:val="single" w:sz="4" w:space="0" w:color="auto"/>
              <w:right w:val="nil"/>
            </w:tcBorders>
            <w:shd w:val="clear" w:color="auto" w:fill="auto"/>
            <w:vAlign w:val="bottom"/>
            <w:hideMark/>
          </w:tcPr>
          <w:p w14:paraId="25C2BDD8" w14:textId="77777777" w:rsidR="00862A01" w:rsidRPr="00872D7E" w:rsidRDefault="00862A01" w:rsidP="00862A01">
            <w:pPr>
              <w:jc w:val="right"/>
              <w:rPr>
                <w:b/>
                <w:bCs/>
                <w:color w:val="000000"/>
                <w:sz w:val="16"/>
                <w:szCs w:val="16"/>
              </w:rPr>
            </w:pPr>
            <w:r w:rsidRPr="00872D7E">
              <w:rPr>
                <w:b/>
                <w:bCs/>
                <w:snapToGrid w:val="0"/>
                <w:color w:val="000000"/>
                <w:sz w:val="16"/>
                <w:szCs w:val="16"/>
              </w:rPr>
              <w:t>Toplam</w:t>
            </w:r>
          </w:p>
        </w:tc>
      </w:tr>
      <w:tr w:rsidR="00862A01" w:rsidRPr="00872D7E" w14:paraId="54EA9B2D" w14:textId="77777777" w:rsidTr="00862A01">
        <w:trPr>
          <w:divId w:val="455682201"/>
          <w:trHeight w:val="170"/>
        </w:trPr>
        <w:tc>
          <w:tcPr>
            <w:tcW w:w="4678" w:type="dxa"/>
            <w:tcBorders>
              <w:top w:val="nil"/>
              <w:left w:val="nil"/>
              <w:bottom w:val="nil"/>
              <w:right w:val="nil"/>
            </w:tcBorders>
            <w:shd w:val="clear" w:color="auto" w:fill="auto"/>
            <w:noWrap/>
            <w:vAlign w:val="center"/>
            <w:hideMark/>
          </w:tcPr>
          <w:p w14:paraId="1A0CC183" w14:textId="77777777" w:rsidR="00862A01" w:rsidRPr="00872D7E" w:rsidRDefault="00862A01" w:rsidP="00862A01">
            <w:pPr>
              <w:rPr>
                <w:b/>
                <w:bCs/>
                <w:color w:val="000000"/>
                <w:sz w:val="16"/>
                <w:szCs w:val="16"/>
              </w:rPr>
            </w:pPr>
            <w:r w:rsidRPr="00872D7E">
              <w:rPr>
                <w:b/>
                <w:bCs/>
                <w:color w:val="000000"/>
                <w:sz w:val="16"/>
                <w:szCs w:val="16"/>
              </w:rPr>
              <w:t>31 Aralık 2024</w:t>
            </w:r>
          </w:p>
        </w:tc>
        <w:tc>
          <w:tcPr>
            <w:tcW w:w="1275" w:type="dxa"/>
            <w:tcBorders>
              <w:top w:val="nil"/>
              <w:left w:val="nil"/>
              <w:bottom w:val="nil"/>
              <w:right w:val="nil"/>
            </w:tcBorders>
            <w:shd w:val="clear" w:color="auto" w:fill="auto"/>
            <w:hideMark/>
          </w:tcPr>
          <w:p w14:paraId="76686FBD" w14:textId="77777777" w:rsidR="00862A01" w:rsidRPr="00872D7E" w:rsidRDefault="00862A01" w:rsidP="00862A01">
            <w:pPr>
              <w:rPr>
                <w:b/>
                <w:bCs/>
                <w:color w:val="000000"/>
                <w:sz w:val="16"/>
                <w:szCs w:val="16"/>
              </w:rPr>
            </w:pPr>
          </w:p>
        </w:tc>
        <w:tc>
          <w:tcPr>
            <w:tcW w:w="1560" w:type="dxa"/>
            <w:tcBorders>
              <w:top w:val="nil"/>
              <w:left w:val="nil"/>
              <w:bottom w:val="nil"/>
              <w:right w:val="nil"/>
            </w:tcBorders>
            <w:shd w:val="clear" w:color="auto" w:fill="auto"/>
            <w:hideMark/>
          </w:tcPr>
          <w:p w14:paraId="1F93ABDC"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hideMark/>
          </w:tcPr>
          <w:p w14:paraId="7F34D6AF"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hideMark/>
          </w:tcPr>
          <w:p w14:paraId="291CE785" w14:textId="77777777" w:rsidR="00862A01" w:rsidRPr="00872D7E" w:rsidRDefault="00862A01" w:rsidP="00862A01">
            <w:pPr>
              <w:jc w:val="right"/>
              <w:rPr>
                <w:sz w:val="16"/>
                <w:szCs w:val="16"/>
              </w:rPr>
            </w:pPr>
          </w:p>
        </w:tc>
      </w:tr>
      <w:tr w:rsidR="00862A01" w:rsidRPr="00872D7E" w14:paraId="4226D5BA"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47500096" w14:textId="77777777" w:rsidR="00862A01" w:rsidRPr="00872D7E" w:rsidRDefault="00862A01" w:rsidP="00862A01">
            <w:pPr>
              <w:rPr>
                <w:b/>
                <w:bCs/>
                <w:color w:val="000000"/>
                <w:sz w:val="16"/>
                <w:szCs w:val="16"/>
              </w:rPr>
            </w:pPr>
            <w:r w:rsidRPr="00872D7E">
              <w:rPr>
                <w:b/>
                <w:bCs/>
                <w:snapToGrid w:val="0"/>
                <w:color w:val="000000"/>
                <w:sz w:val="16"/>
                <w:szCs w:val="16"/>
              </w:rPr>
              <w:t>Varlıklar</w:t>
            </w:r>
          </w:p>
        </w:tc>
        <w:tc>
          <w:tcPr>
            <w:tcW w:w="1275" w:type="dxa"/>
            <w:tcBorders>
              <w:top w:val="nil"/>
              <w:left w:val="nil"/>
              <w:bottom w:val="nil"/>
              <w:right w:val="nil"/>
            </w:tcBorders>
            <w:shd w:val="clear" w:color="auto" w:fill="auto"/>
            <w:noWrap/>
            <w:vAlign w:val="bottom"/>
            <w:hideMark/>
          </w:tcPr>
          <w:p w14:paraId="63336244" w14:textId="77777777" w:rsidR="00862A01" w:rsidRPr="00872D7E" w:rsidRDefault="00862A01" w:rsidP="00862A01">
            <w:pPr>
              <w:rPr>
                <w:b/>
                <w:bCs/>
                <w:color w:val="000000"/>
                <w:sz w:val="16"/>
                <w:szCs w:val="16"/>
              </w:rPr>
            </w:pPr>
          </w:p>
        </w:tc>
        <w:tc>
          <w:tcPr>
            <w:tcW w:w="1560" w:type="dxa"/>
            <w:tcBorders>
              <w:top w:val="nil"/>
              <w:left w:val="nil"/>
              <w:bottom w:val="nil"/>
              <w:right w:val="nil"/>
            </w:tcBorders>
            <w:shd w:val="clear" w:color="auto" w:fill="auto"/>
            <w:noWrap/>
            <w:vAlign w:val="bottom"/>
            <w:hideMark/>
          </w:tcPr>
          <w:p w14:paraId="454DBA7F" w14:textId="77777777" w:rsidR="00862A01" w:rsidRPr="00872D7E" w:rsidRDefault="00862A01" w:rsidP="00862A01">
            <w:pPr>
              <w:rPr>
                <w:sz w:val="16"/>
                <w:szCs w:val="16"/>
              </w:rPr>
            </w:pPr>
          </w:p>
        </w:tc>
        <w:tc>
          <w:tcPr>
            <w:tcW w:w="1120" w:type="dxa"/>
            <w:tcBorders>
              <w:top w:val="nil"/>
              <w:left w:val="nil"/>
              <w:bottom w:val="nil"/>
              <w:right w:val="nil"/>
            </w:tcBorders>
            <w:shd w:val="clear" w:color="auto" w:fill="auto"/>
            <w:noWrap/>
            <w:vAlign w:val="bottom"/>
            <w:hideMark/>
          </w:tcPr>
          <w:p w14:paraId="51F87446" w14:textId="77777777" w:rsidR="00862A01" w:rsidRPr="00872D7E" w:rsidRDefault="00862A01" w:rsidP="00862A01">
            <w:pPr>
              <w:rPr>
                <w:sz w:val="16"/>
                <w:szCs w:val="16"/>
              </w:rPr>
            </w:pPr>
          </w:p>
        </w:tc>
        <w:tc>
          <w:tcPr>
            <w:tcW w:w="1120" w:type="dxa"/>
            <w:tcBorders>
              <w:top w:val="nil"/>
              <w:left w:val="nil"/>
              <w:bottom w:val="nil"/>
              <w:right w:val="nil"/>
            </w:tcBorders>
            <w:shd w:val="clear" w:color="auto" w:fill="auto"/>
            <w:noWrap/>
            <w:vAlign w:val="bottom"/>
            <w:hideMark/>
          </w:tcPr>
          <w:p w14:paraId="43918EFA" w14:textId="77777777" w:rsidR="00862A01" w:rsidRPr="00872D7E" w:rsidRDefault="00862A01" w:rsidP="00862A01">
            <w:pPr>
              <w:rPr>
                <w:sz w:val="16"/>
                <w:szCs w:val="16"/>
              </w:rPr>
            </w:pPr>
          </w:p>
        </w:tc>
      </w:tr>
      <w:tr w:rsidR="00862A01" w:rsidRPr="00872D7E" w14:paraId="16843BD8"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66E2104B" w14:textId="77777777" w:rsidR="00862A01" w:rsidRPr="00872D7E" w:rsidRDefault="00862A01" w:rsidP="00862A01">
            <w:pPr>
              <w:rPr>
                <w:color w:val="000000"/>
                <w:sz w:val="16"/>
                <w:szCs w:val="16"/>
              </w:rPr>
            </w:pPr>
            <w:r w:rsidRPr="00872D7E">
              <w:rPr>
                <w:snapToGrid w:val="0"/>
                <w:color w:val="000000"/>
                <w:sz w:val="16"/>
                <w:szCs w:val="16"/>
              </w:rPr>
              <w:t>Nakit Değerler (Kasa, Efektif Deposu, Yoldaki Paralar, Satın Alınan Çekler) ve T.C. Merkez Bnk.</w:t>
            </w:r>
          </w:p>
        </w:tc>
        <w:tc>
          <w:tcPr>
            <w:tcW w:w="1275" w:type="dxa"/>
            <w:tcBorders>
              <w:top w:val="nil"/>
              <w:left w:val="nil"/>
              <w:bottom w:val="nil"/>
              <w:right w:val="nil"/>
            </w:tcBorders>
            <w:shd w:val="clear" w:color="auto" w:fill="auto"/>
            <w:vAlign w:val="bottom"/>
            <w:hideMark/>
          </w:tcPr>
          <w:p w14:paraId="0997F147" w14:textId="77777777" w:rsidR="00862A01" w:rsidRPr="00872D7E" w:rsidRDefault="00862A01" w:rsidP="00862A01">
            <w:pPr>
              <w:jc w:val="right"/>
              <w:rPr>
                <w:color w:val="000000"/>
                <w:sz w:val="16"/>
                <w:szCs w:val="16"/>
              </w:rPr>
            </w:pPr>
            <w:r w:rsidRPr="00872D7E">
              <w:rPr>
                <w:color w:val="000000"/>
                <w:sz w:val="16"/>
                <w:szCs w:val="16"/>
              </w:rPr>
              <w:t>2.875.823</w:t>
            </w:r>
          </w:p>
        </w:tc>
        <w:tc>
          <w:tcPr>
            <w:tcW w:w="1560" w:type="dxa"/>
            <w:tcBorders>
              <w:top w:val="nil"/>
              <w:left w:val="nil"/>
              <w:bottom w:val="nil"/>
              <w:right w:val="nil"/>
            </w:tcBorders>
            <w:shd w:val="clear" w:color="auto" w:fill="auto"/>
            <w:vAlign w:val="bottom"/>
            <w:hideMark/>
          </w:tcPr>
          <w:p w14:paraId="250FF714" w14:textId="77777777" w:rsidR="00862A01" w:rsidRPr="00872D7E" w:rsidRDefault="00862A01" w:rsidP="00862A01">
            <w:pPr>
              <w:jc w:val="right"/>
              <w:rPr>
                <w:color w:val="000000"/>
                <w:sz w:val="16"/>
                <w:szCs w:val="16"/>
              </w:rPr>
            </w:pPr>
            <w:r w:rsidRPr="00872D7E">
              <w:rPr>
                <w:color w:val="000000"/>
                <w:sz w:val="16"/>
                <w:szCs w:val="16"/>
              </w:rPr>
              <w:t>1.133.700</w:t>
            </w:r>
          </w:p>
        </w:tc>
        <w:tc>
          <w:tcPr>
            <w:tcW w:w="1120" w:type="dxa"/>
            <w:tcBorders>
              <w:top w:val="nil"/>
              <w:left w:val="nil"/>
              <w:bottom w:val="nil"/>
              <w:right w:val="nil"/>
            </w:tcBorders>
            <w:shd w:val="clear" w:color="auto" w:fill="auto"/>
            <w:vAlign w:val="bottom"/>
            <w:hideMark/>
          </w:tcPr>
          <w:p w14:paraId="70867C46" w14:textId="77777777" w:rsidR="00862A01" w:rsidRPr="00872D7E" w:rsidRDefault="00862A01" w:rsidP="00862A01">
            <w:pPr>
              <w:jc w:val="right"/>
              <w:rPr>
                <w:color w:val="000000"/>
                <w:sz w:val="16"/>
                <w:szCs w:val="16"/>
              </w:rPr>
            </w:pPr>
            <w:r w:rsidRPr="00872D7E">
              <w:rPr>
                <w:color w:val="000000"/>
                <w:sz w:val="16"/>
                <w:szCs w:val="16"/>
              </w:rPr>
              <w:t>24.003</w:t>
            </w:r>
          </w:p>
        </w:tc>
        <w:tc>
          <w:tcPr>
            <w:tcW w:w="1120" w:type="dxa"/>
            <w:tcBorders>
              <w:top w:val="nil"/>
              <w:left w:val="nil"/>
              <w:bottom w:val="nil"/>
              <w:right w:val="nil"/>
            </w:tcBorders>
            <w:shd w:val="clear" w:color="auto" w:fill="auto"/>
            <w:vAlign w:val="bottom"/>
            <w:hideMark/>
          </w:tcPr>
          <w:p w14:paraId="725A8A9A" w14:textId="77777777" w:rsidR="00862A01" w:rsidRPr="00872D7E" w:rsidRDefault="00862A01" w:rsidP="00862A01">
            <w:pPr>
              <w:jc w:val="right"/>
              <w:rPr>
                <w:color w:val="000000"/>
                <w:sz w:val="16"/>
                <w:szCs w:val="16"/>
              </w:rPr>
            </w:pPr>
            <w:r w:rsidRPr="00872D7E">
              <w:rPr>
                <w:color w:val="000000"/>
                <w:sz w:val="16"/>
                <w:szCs w:val="16"/>
              </w:rPr>
              <w:t>4.033.526</w:t>
            </w:r>
          </w:p>
        </w:tc>
      </w:tr>
      <w:tr w:rsidR="00862A01" w:rsidRPr="00872D7E" w14:paraId="08C04CD2"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69F897B8" w14:textId="77777777" w:rsidR="00862A01" w:rsidRPr="00872D7E" w:rsidRDefault="00862A01" w:rsidP="00862A01">
            <w:pPr>
              <w:rPr>
                <w:color w:val="000000"/>
                <w:sz w:val="16"/>
                <w:szCs w:val="16"/>
              </w:rPr>
            </w:pPr>
            <w:r w:rsidRPr="00872D7E">
              <w:rPr>
                <w:snapToGrid w:val="0"/>
                <w:color w:val="000000"/>
                <w:sz w:val="16"/>
                <w:szCs w:val="16"/>
              </w:rPr>
              <w:t>Bankalar</w:t>
            </w:r>
          </w:p>
        </w:tc>
        <w:tc>
          <w:tcPr>
            <w:tcW w:w="1275" w:type="dxa"/>
            <w:tcBorders>
              <w:top w:val="nil"/>
              <w:left w:val="nil"/>
              <w:bottom w:val="nil"/>
              <w:right w:val="nil"/>
            </w:tcBorders>
            <w:shd w:val="clear" w:color="auto" w:fill="auto"/>
            <w:vAlign w:val="bottom"/>
            <w:hideMark/>
          </w:tcPr>
          <w:p w14:paraId="00E16E46" w14:textId="77777777" w:rsidR="00862A01" w:rsidRPr="00872D7E" w:rsidRDefault="00862A01" w:rsidP="00862A01">
            <w:pPr>
              <w:jc w:val="right"/>
              <w:rPr>
                <w:color w:val="000000"/>
                <w:sz w:val="16"/>
                <w:szCs w:val="16"/>
              </w:rPr>
            </w:pPr>
            <w:r w:rsidRPr="00872D7E">
              <w:rPr>
                <w:color w:val="000000"/>
                <w:sz w:val="16"/>
                <w:szCs w:val="16"/>
              </w:rPr>
              <w:t>1.188.196</w:t>
            </w:r>
          </w:p>
        </w:tc>
        <w:tc>
          <w:tcPr>
            <w:tcW w:w="1560" w:type="dxa"/>
            <w:tcBorders>
              <w:top w:val="nil"/>
              <w:left w:val="nil"/>
              <w:bottom w:val="nil"/>
              <w:right w:val="nil"/>
            </w:tcBorders>
            <w:shd w:val="clear" w:color="auto" w:fill="auto"/>
            <w:vAlign w:val="bottom"/>
            <w:hideMark/>
          </w:tcPr>
          <w:p w14:paraId="635033A4" w14:textId="77777777" w:rsidR="00862A01" w:rsidRPr="00872D7E" w:rsidRDefault="00862A01" w:rsidP="00862A01">
            <w:pPr>
              <w:jc w:val="right"/>
              <w:rPr>
                <w:color w:val="000000"/>
                <w:sz w:val="16"/>
                <w:szCs w:val="16"/>
              </w:rPr>
            </w:pPr>
            <w:r w:rsidRPr="00872D7E">
              <w:rPr>
                <w:color w:val="000000"/>
                <w:sz w:val="16"/>
                <w:szCs w:val="16"/>
              </w:rPr>
              <w:t>762.806</w:t>
            </w:r>
          </w:p>
        </w:tc>
        <w:tc>
          <w:tcPr>
            <w:tcW w:w="1120" w:type="dxa"/>
            <w:tcBorders>
              <w:top w:val="nil"/>
              <w:left w:val="nil"/>
              <w:bottom w:val="nil"/>
              <w:right w:val="nil"/>
            </w:tcBorders>
            <w:shd w:val="clear" w:color="auto" w:fill="auto"/>
            <w:vAlign w:val="bottom"/>
            <w:hideMark/>
          </w:tcPr>
          <w:p w14:paraId="16DA0DF9" w14:textId="77777777" w:rsidR="00862A01" w:rsidRPr="00872D7E" w:rsidRDefault="00862A01" w:rsidP="00862A01">
            <w:pPr>
              <w:jc w:val="right"/>
              <w:rPr>
                <w:color w:val="000000"/>
                <w:sz w:val="16"/>
                <w:szCs w:val="16"/>
              </w:rPr>
            </w:pPr>
            <w:r w:rsidRPr="00872D7E">
              <w:rPr>
                <w:color w:val="000000"/>
                <w:sz w:val="16"/>
                <w:szCs w:val="16"/>
              </w:rPr>
              <w:t>861.592</w:t>
            </w:r>
          </w:p>
        </w:tc>
        <w:tc>
          <w:tcPr>
            <w:tcW w:w="1120" w:type="dxa"/>
            <w:tcBorders>
              <w:top w:val="nil"/>
              <w:left w:val="nil"/>
              <w:bottom w:val="nil"/>
              <w:right w:val="nil"/>
            </w:tcBorders>
            <w:shd w:val="clear" w:color="auto" w:fill="auto"/>
            <w:vAlign w:val="bottom"/>
            <w:hideMark/>
          </w:tcPr>
          <w:p w14:paraId="4656BDE8" w14:textId="77777777" w:rsidR="00862A01" w:rsidRPr="00872D7E" w:rsidRDefault="00862A01" w:rsidP="00862A01">
            <w:pPr>
              <w:jc w:val="right"/>
              <w:rPr>
                <w:color w:val="000000"/>
                <w:sz w:val="16"/>
                <w:szCs w:val="16"/>
              </w:rPr>
            </w:pPr>
            <w:r w:rsidRPr="00872D7E">
              <w:rPr>
                <w:color w:val="000000"/>
                <w:sz w:val="16"/>
                <w:szCs w:val="16"/>
              </w:rPr>
              <w:t>2.812.594</w:t>
            </w:r>
          </w:p>
        </w:tc>
      </w:tr>
      <w:tr w:rsidR="00862A01" w:rsidRPr="00872D7E" w14:paraId="71A73629"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544FB81B" w14:textId="0F7CAFB8" w:rsidR="00862A01" w:rsidRPr="00872D7E" w:rsidRDefault="00862A01" w:rsidP="00862A01">
            <w:pPr>
              <w:rPr>
                <w:snapToGrid w:val="0"/>
                <w:color w:val="000000"/>
                <w:sz w:val="16"/>
                <w:szCs w:val="16"/>
              </w:rPr>
            </w:pPr>
            <w:r w:rsidRPr="00872D7E">
              <w:rPr>
                <w:snapToGrid w:val="0"/>
                <w:color w:val="000000"/>
                <w:sz w:val="16"/>
                <w:szCs w:val="16"/>
              </w:rPr>
              <w:t>Gerçeğe Uygun Değer Farkı Kâr veya Zarara Yansıtılan Finansal Varlıklar</w:t>
            </w:r>
            <w:r w:rsidR="00AB415C" w:rsidRPr="00872D7E">
              <w:rPr>
                <w:snapToGrid w:val="0"/>
                <w:color w:val="000000"/>
                <w:sz w:val="16"/>
                <w:szCs w:val="16"/>
              </w:rPr>
              <w:t xml:space="preserve"> </w:t>
            </w:r>
            <w:r w:rsidR="009974FE" w:rsidRPr="00872D7E">
              <w:rPr>
                <w:snapToGrid w:val="0"/>
                <w:color w:val="000000"/>
                <w:sz w:val="16"/>
                <w:szCs w:val="16"/>
              </w:rPr>
              <w:t>(****</w:t>
            </w:r>
          </w:p>
        </w:tc>
        <w:tc>
          <w:tcPr>
            <w:tcW w:w="1275" w:type="dxa"/>
            <w:tcBorders>
              <w:top w:val="nil"/>
              <w:left w:val="nil"/>
              <w:bottom w:val="nil"/>
              <w:right w:val="nil"/>
            </w:tcBorders>
            <w:shd w:val="clear" w:color="auto" w:fill="auto"/>
            <w:vAlign w:val="bottom"/>
            <w:hideMark/>
          </w:tcPr>
          <w:p w14:paraId="1156B6E8"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46B3A69E" w14:textId="77777777" w:rsidR="00862A01" w:rsidRPr="00872D7E" w:rsidRDefault="00862A01" w:rsidP="00862A01">
            <w:pPr>
              <w:jc w:val="right"/>
              <w:rPr>
                <w:color w:val="000000"/>
                <w:sz w:val="16"/>
                <w:szCs w:val="16"/>
              </w:rPr>
            </w:pPr>
            <w:r w:rsidRPr="00872D7E">
              <w:rPr>
                <w:color w:val="000000"/>
                <w:sz w:val="16"/>
                <w:szCs w:val="16"/>
              </w:rPr>
              <w:t>148.871</w:t>
            </w:r>
          </w:p>
        </w:tc>
        <w:tc>
          <w:tcPr>
            <w:tcW w:w="1120" w:type="dxa"/>
            <w:tcBorders>
              <w:top w:val="nil"/>
              <w:left w:val="nil"/>
              <w:bottom w:val="nil"/>
              <w:right w:val="nil"/>
            </w:tcBorders>
            <w:shd w:val="clear" w:color="auto" w:fill="auto"/>
            <w:vAlign w:val="bottom"/>
            <w:hideMark/>
          </w:tcPr>
          <w:p w14:paraId="750BC80C"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60066D97" w14:textId="77777777" w:rsidR="00862A01" w:rsidRPr="00872D7E" w:rsidRDefault="00862A01" w:rsidP="00862A01">
            <w:pPr>
              <w:jc w:val="right"/>
              <w:rPr>
                <w:color w:val="000000"/>
                <w:sz w:val="16"/>
                <w:szCs w:val="16"/>
              </w:rPr>
            </w:pPr>
            <w:r w:rsidRPr="00872D7E">
              <w:rPr>
                <w:color w:val="000000"/>
                <w:sz w:val="16"/>
                <w:szCs w:val="16"/>
              </w:rPr>
              <w:t>148.871</w:t>
            </w:r>
          </w:p>
        </w:tc>
      </w:tr>
      <w:tr w:rsidR="00862A01" w:rsidRPr="00872D7E" w14:paraId="4F298A6B"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36D5A9D9" w14:textId="77777777" w:rsidR="00862A01" w:rsidRPr="00872D7E" w:rsidRDefault="00862A01" w:rsidP="00862A01">
            <w:pPr>
              <w:rPr>
                <w:color w:val="000000"/>
                <w:sz w:val="16"/>
                <w:szCs w:val="16"/>
              </w:rPr>
            </w:pPr>
            <w:r w:rsidRPr="00872D7E">
              <w:rPr>
                <w:snapToGrid w:val="0"/>
                <w:color w:val="000000"/>
                <w:sz w:val="16"/>
                <w:szCs w:val="16"/>
              </w:rPr>
              <w:t>Para Piyasalarından Alacaklar</w:t>
            </w:r>
          </w:p>
        </w:tc>
        <w:tc>
          <w:tcPr>
            <w:tcW w:w="1275" w:type="dxa"/>
            <w:tcBorders>
              <w:top w:val="nil"/>
              <w:left w:val="nil"/>
              <w:bottom w:val="nil"/>
              <w:right w:val="nil"/>
            </w:tcBorders>
            <w:shd w:val="clear" w:color="auto" w:fill="auto"/>
            <w:vAlign w:val="bottom"/>
            <w:hideMark/>
          </w:tcPr>
          <w:p w14:paraId="3DE1B37D"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16AF8B18"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6777D289"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7AD4C229"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622BF9F6"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07AFF787" w14:textId="77777777" w:rsidR="00862A01" w:rsidRPr="00872D7E" w:rsidRDefault="00862A01" w:rsidP="00862A01">
            <w:pPr>
              <w:rPr>
                <w:color w:val="000000"/>
                <w:sz w:val="16"/>
                <w:szCs w:val="16"/>
              </w:rPr>
            </w:pPr>
            <w:r w:rsidRPr="00872D7E">
              <w:rPr>
                <w:snapToGrid w:val="0"/>
                <w:color w:val="000000"/>
                <w:sz w:val="16"/>
                <w:szCs w:val="16"/>
              </w:rPr>
              <w:t>Gerçeğe Uygun Değer Farkı Diğer Kapsamlı Gelire Yansıtılan Finansal V.</w:t>
            </w:r>
          </w:p>
        </w:tc>
        <w:tc>
          <w:tcPr>
            <w:tcW w:w="1275" w:type="dxa"/>
            <w:tcBorders>
              <w:top w:val="nil"/>
              <w:left w:val="nil"/>
              <w:bottom w:val="nil"/>
              <w:right w:val="nil"/>
            </w:tcBorders>
            <w:shd w:val="clear" w:color="auto" w:fill="auto"/>
            <w:vAlign w:val="bottom"/>
            <w:hideMark/>
          </w:tcPr>
          <w:p w14:paraId="04B7A28E"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13E3D105"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25D65F78"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2C195058"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1E31BBD2"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4C2142D6" w14:textId="77777777" w:rsidR="00862A01" w:rsidRPr="00872D7E" w:rsidRDefault="00862A01" w:rsidP="00862A01">
            <w:pPr>
              <w:rPr>
                <w:color w:val="000000"/>
                <w:sz w:val="16"/>
                <w:szCs w:val="16"/>
              </w:rPr>
            </w:pPr>
            <w:r w:rsidRPr="00872D7E">
              <w:rPr>
                <w:snapToGrid w:val="0"/>
                <w:color w:val="000000"/>
                <w:sz w:val="16"/>
                <w:szCs w:val="16"/>
              </w:rPr>
              <w:t>Krediler</w:t>
            </w:r>
          </w:p>
        </w:tc>
        <w:tc>
          <w:tcPr>
            <w:tcW w:w="1275" w:type="dxa"/>
            <w:tcBorders>
              <w:top w:val="nil"/>
              <w:left w:val="nil"/>
              <w:bottom w:val="nil"/>
              <w:right w:val="nil"/>
            </w:tcBorders>
            <w:shd w:val="clear" w:color="auto" w:fill="auto"/>
            <w:vAlign w:val="bottom"/>
            <w:hideMark/>
          </w:tcPr>
          <w:p w14:paraId="330DD7DF" w14:textId="77777777" w:rsidR="00862A01" w:rsidRPr="00872D7E" w:rsidRDefault="00862A01" w:rsidP="00862A01">
            <w:pPr>
              <w:jc w:val="right"/>
              <w:rPr>
                <w:color w:val="000000"/>
                <w:sz w:val="16"/>
                <w:szCs w:val="16"/>
              </w:rPr>
            </w:pPr>
            <w:r w:rsidRPr="00872D7E">
              <w:rPr>
                <w:color w:val="000000"/>
                <w:sz w:val="16"/>
                <w:szCs w:val="16"/>
              </w:rPr>
              <w:t>2.151.741</w:t>
            </w:r>
          </w:p>
        </w:tc>
        <w:tc>
          <w:tcPr>
            <w:tcW w:w="1560" w:type="dxa"/>
            <w:tcBorders>
              <w:top w:val="nil"/>
              <w:left w:val="nil"/>
              <w:bottom w:val="nil"/>
              <w:right w:val="nil"/>
            </w:tcBorders>
            <w:shd w:val="clear" w:color="auto" w:fill="auto"/>
            <w:vAlign w:val="bottom"/>
            <w:hideMark/>
          </w:tcPr>
          <w:p w14:paraId="351F4E78" w14:textId="77777777" w:rsidR="00862A01" w:rsidRPr="00872D7E" w:rsidRDefault="00862A01" w:rsidP="00862A01">
            <w:pPr>
              <w:jc w:val="right"/>
              <w:rPr>
                <w:color w:val="000000"/>
                <w:sz w:val="16"/>
                <w:szCs w:val="16"/>
              </w:rPr>
            </w:pPr>
            <w:r w:rsidRPr="00872D7E">
              <w:rPr>
                <w:color w:val="000000"/>
                <w:sz w:val="16"/>
                <w:szCs w:val="16"/>
              </w:rPr>
              <w:t>4.254.605</w:t>
            </w:r>
          </w:p>
        </w:tc>
        <w:tc>
          <w:tcPr>
            <w:tcW w:w="1120" w:type="dxa"/>
            <w:tcBorders>
              <w:top w:val="nil"/>
              <w:left w:val="nil"/>
              <w:bottom w:val="nil"/>
              <w:right w:val="nil"/>
            </w:tcBorders>
            <w:shd w:val="clear" w:color="auto" w:fill="auto"/>
            <w:vAlign w:val="bottom"/>
            <w:hideMark/>
          </w:tcPr>
          <w:p w14:paraId="0D121DE0" w14:textId="77777777" w:rsidR="00862A01" w:rsidRPr="00872D7E" w:rsidRDefault="00862A01" w:rsidP="00862A01">
            <w:pPr>
              <w:jc w:val="right"/>
              <w:rPr>
                <w:color w:val="000000"/>
                <w:sz w:val="16"/>
                <w:szCs w:val="16"/>
              </w:rPr>
            </w:pPr>
            <w:r w:rsidRPr="00872D7E">
              <w:rPr>
                <w:color w:val="000000"/>
                <w:sz w:val="16"/>
                <w:szCs w:val="16"/>
              </w:rPr>
              <w:t>707.547</w:t>
            </w:r>
          </w:p>
        </w:tc>
        <w:tc>
          <w:tcPr>
            <w:tcW w:w="1120" w:type="dxa"/>
            <w:tcBorders>
              <w:top w:val="nil"/>
              <w:left w:val="nil"/>
              <w:bottom w:val="nil"/>
              <w:right w:val="nil"/>
            </w:tcBorders>
            <w:shd w:val="clear" w:color="auto" w:fill="auto"/>
            <w:vAlign w:val="bottom"/>
            <w:hideMark/>
          </w:tcPr>
          <w:p w14:paraId="0B10CA68" w14:textId="77777777" w:rsidR="00862A01" w:rsidRPr="00872D7E" w:rsidRDefault="00862A01" w:rsidP="00862A01">
            <w:pPr>
              <w:jc w:val="right"/>
              <w:rPr>
                <w:color w:val="000000"/>
                <w:sz w:val="16"/>
                <w:szCs w:val="16"/>
              </w:rPr>
            </w:pPr>
            <w:r w:rsidRPr="00872D7E">
              <w:rPr>
                <w:color w:val="000000"/>
                <w:sz w:val="16"/>
                <w:szCs w:val="16"/>
              </w:rPr>
              <w:t>7.113.893</w:t>
            </w:r>
          </w:p>
        </w:tc>
      </w:tr>
      <w:tr w:rsidR="00862A01" w:rsidRPr="00872D7E" w14:paraId="40E54E1F"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74FF1811" w14:textId="77777777" w:rsidR="00862A01" w:rsidRPr="00872D7E" w:rsidRDefault="00862A01" w:rsidP="00862A01">
            <w:pPr>
              <w:rPr>
                <w:color w:val="000000"/>
                <w:sz w:val="16"/>
                <w:szCs w:val="16"/>
              </w:rPr>
            </w:pPr>
            <w:r w:rsidRPr="00872D7E">
              <w:rPr>
                <w:snapToGrid w:val="0"/>
                <w:color w:val="000000"/>
                <w:sz w:val="16"/>
                <w:szCs w:val="16"/>
              </w:rPr>
              <w:t>İştirak, Bağlı Ortaklık ve Birlikte Kontrol Edilen Ortaklıklar (İş Ortaklıkları)</w:t>
            </w:r>
          </w:p>
        </w:tc>
        <w:tc>
          <w:tcPr>
            <w:tcW w:w="1275" w:type="dxa"/>
            <w:tcBorders>
              <w:top w:val="nil"/>
              <w:left w:val="nil"/>
              <w:bottom w:val="nil"/>
              <w:right w:val="nil"/>
            </w:tcBorders>
            <w:shd w:val="clear" w:color="auto" w:fill="auto"/>
            <w:vAlign w:val="bottom"/>
            <w:hideMark/>
          </w:tcPr>
          <w:p w14:paraId="794B2787"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533860D9"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34E859F2"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50CF6F15"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476AE0C9"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37F2DEC4" w14:textId="77777777" w:rsidR="00862A01" w:rsidRPr="00872D7E" w:rsidRDefault="00862A01" w:rsidP="00862A01">
            <w:pPr>
              <w:rPr>
                <w:color w:val="000000"/>
                <w:sz w:val="16"/>
                <w:szCs w:val="16"/>
              </w:rPr>
            </w:pPr>
            <w:r w:rsidRPr="00872D7E">
              <w:rPr>
                <w:snapToGrid w:val="0"/>
                <w:color w:val="000000"/>
                <w:sz w:val="16"/>
                <w:szCs w:val="16"/>
              </w:rPr>
              <w:t xml:space="preserve">İtfa Edilmiş Maliyet Üzerinden Değerlenen Finansal Varlıklar </w:t>
            </w:r>
          </w:p>
        </w:tc>
        <w:tc>
          <w:tcPr>
            <w:tcW w:w="1275" w:type="dxa"/>
            <w:tcBorders>
              <w:top w:val="nil"/>
              <w:left w:val="nil"/>
              <w:bottom w:val="nil"/>
              <w:right w:val="nil"/>
            </w:tcBorders>
            <w:shd w:val="clear" w:color="auto" w:fill="auto"/>
            <w:vAlign w:val="bottom"/>
            <w:hideMark/>
          </w:tcPr>
          <w:p w14:paraId="7B58E76E"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1CB36C30"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2A4A1F6B"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78A40543"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2933A095"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6A3E6C30" w14:textId="77777777" w:rsidR="00862A01" w:rsidRPr="00872D7E" w:rsidRDefault="00862A01" w:rsidP="00862A01">
            <w:pPr>
              <w:rPr>
                <w:color w:val="000000"/>
                <w:sz w:val="16"/>
                <w:szCs w:val="16"/>
              </w:rPr>
            </w:pPr>
            <w:r w:rsidRPr="00872D7E">
              <w:rPr>
                <w:snapToGrid w:val="0"/>
                <w:color w:val="000000"/>
                <w:sz w:val="16"/>
                <w:szCs w:val="16"/>
              </w:rPr>
              <w:t>Riskten Korunma Amaçlı Türev Finansal Varlıklar</w:t>
            </w:r>
          </w:p>
        </w:tc>
        <w:tc>
          <w:tcPr>
            <w:tcW w:w="1275" w:type="dxa"/>
            <w:tcBorders>
              <w:top w:val="nil"/>
              <w:left w:val="nil"/>
              <w:bottom w:val="nil"/>
              <w:right w:val="nil"/>
            </w:tcBorders>
            <w:shd w:val="clear" w:color="auto" w:fill="auto"/>
            <w:vAlign w:val="bottom"/>
            <w:hideMark/>
          </w:tcPr>
          <w:p w14:paraId="77C96039"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037D7567"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7F0DAC48"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4A974B61"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2E0AE553"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3CA42D86" w14:textId="77777777" w:rsidR="00862A01" w:rsidRPr="00872D7E" w:rsidRDefault="00862A01" w:rsidP="00862A01">
            <w:pPr>
              <w:rPr>
                <w:color w:val="000000"/>
                <w:sz w:val="16"/>
                <w:szCs w:val="16"/>
              </w:rPr>
            </w:pPr>
            <w:r w:rsidRPr="00872D7E">
              <w:rPr>
                <w:snapToGrid w:val="0"/>
                <w:color w:val="000000"/>
                <w:sz w:val="16"/>
                <w:szCs w:val="16"/>
              </w:rPr>
              <w:t>Maddi Duran Varlıklar</w:t>
            </w:r>
          </w:p>
        </w:tc>
        <w:tc>
          <w:tcPr>
            <w:tcW w:w="1275" w:type="dxa"/>
            <w:tcBorders>
              <w:top w:val="nil"/>
              <w:left w:val="nil"/>
              <w:bottom w:val="nil"/>
              <w:right w:val="nil"/>
            </w:tcBorders>
            <w:shd w:val="clear" w:color="auto" w:fill="auto"/>
            <w:vAlign w:val="bottom"/>
            <w:hideMark/>
          </w:tcPr>
          <w:p w14:paraId="01734CC5"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3F54C1F0"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31A0D9A6"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02CA82DC"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765E2589"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730C6BDB" w14:textId="77777777" w:rsidR="00862A01" w:rsidRPr="00872D7E" w:rsidRDefault="00862A01" w:rsidP="00862A01">
            <w:pPr>
              <w:rPr>
                <w:color w:val="000000"/>
                <w:sz w:val="16"/>
                <w:szCs w:val="16"/>
              </w:rPr>
            </w:pPr>
            <w:r w:rsidRPr="00872D7E">
              <w:rPr>
                <w:snapToGrid w:val="0"/>
                <w:color w:val="000000"/>
                <w:sz w:val="16"/>
                <w:szCs w:val="16"/>
              </w:rPr>
              <w:t>Maddi Olmayan Duran Varlıklar</w:t>
            </w:r>
          </w:p>
        </w:tc>
        <w:tc>
          <w:tcPr>
            <w:tcW w:w="1275" w:type="dxa"/>
            <w:tcBorders>
              <w:top w:val="nil"/>
              <w:left w:val="nil"/>
              <w:bottom w:val="nil"/>
              <w:right w:val="nil"/>
            </w:tcBorders>
            <w:shd w:val="clear" w:color="auto" w:fill="auto"/>
            <w:vAlign w:val="bottom"/>
            <w:hideMark/>
          </w:tcPr>
          <w:p w14:paraId="3E92A513"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1AD38EC4"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4118A5E8"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69A191AA"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411E1EA2" w14:textId="77777777" w:rsidTr="00862A01">
        <w:trPr>
          <w:divId w:val="455682201"/>
          <w:trHeight w:val="170"/>
        </w:trPr>
        <w:tc>
          <w:tcPr>
            <w:tcW w:w="4678" w:type="dxa"/>
            <w:tcBorders>
              <w:top w:val="nil"/>
              <w:left w:val="nil"/>
              <w:bottom w:val="single" w:sz="4" w:space="0" w:color="auto"/>
              <w:right w:val="nil"/>
            </w:tcBorders>
            <w:shd w:val="clear" w:color="auto" w:fill="auto"/>
            <w:noWrap/>
            <w:vAlign w:val="bottom"/>
            <w:hideMark/>
          </w:tcPr>
          <w:p w14:paraId="14D2DF80" w14:textId="77777777" w:rsidR="00862A01" w:rsidRPr="00872D7E" w:rsidRDefault="00862A01" w:rsidP="00862A01">
            <w:pPr>
              <w:rPr>
                <w:color w:val="000000"/>
                <w:sz w:val="16"/>
                <w:szCs w:val="16"/>
              </w:rPr>
            </w:pPr>
            <w:r w:rsidRPr="00872D7E">
              <w:rPr>
                <w:snapToGrid w:val="0"/>
                <w:color w:val="000000"/>
                <w:sz w:val="16"/>
                <w:szCs w:val="16"/>
              </w:rPr>
              <w:t>Diğer Varlıklar</w:t>
            </w:r>
          </w:p>
        </w:tc>
        <w:tc>
          <w:tcPr>
            <w:tcW w:w="1275" w:type="dxa"/>
            <w:tcBorders>
              <w:top w:val="nil"/>
              <w:left w:val="nil"/>
              <w:bottom w:val="single" w:sz="4" w:space="0" w:color="auto"/>
              <w:right w:val="nil"/>
            </w:tcBorders>
            <w:shd w:val="clear" w:color="auto" w:fill="auto"/>
            <w:vAlign w:val="bottom"/>
            <w:hideMark/>
          </w:tcPr>
          <w:p w14:paraId="78D4E62C"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single" w:sz="4" w:space="0" w:color="auto"/>
              <w:right w:val="nil"/>
            </w:tcBorders>
            <w:shd w:val="clear" w:color="auto" w:fill="auto"/>
            <w:vAlign w:val="bottom"/>
            <w:hideMark/>
          </w:tcPr>
          <w:p w14:paraId="1A8F1A6D"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single" w:sz="4" w:space="0" w:color="auto"/>
              <w:right w:val="nil"/>
            </w:tcBorders>
            <w:shd w:val="clear" w:color="auto" w:fill="auto"/>
            <w:vAlign w:val="bottom"/>
            <w:hideMark/>
          </w:tcPr>
          <w:p w14:paraId="7EF5858F"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single" w:sz="4" w:space="0" w:color="auto"/>
              <w:right w:val="nil"/>
            </w:tcBorders>
            <w:shd w:val="clear" w:color="auto" w:fill="auto"/>
            <w:vAlign w:val="bottom"/>
            <w:hideMark/>
          </w:tcPr>
          <w:p w14:paraId="2C11C778"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45D75F87" w14:textId="77777777" w:rsidTr="00862A01">
        <w:trPr>
          <w:divId w:val="455682201"/>
          <w:trHeight w:val="170"/>
        </w:trPr>
        <w:tc>
          <w:tcPr>
            <w:tcW w:w="4678" w:type="dxa"/>
            <w:tcBorders>
              <w:top w:val="nil"/>
              <w:left w:val="nil"/>
              <w:bottom w:val="single" w:sz="4" w:space="0" w:color="auto"/>
              <w:right w:val="nil"/>
            </w:tcBorders>
            <w:shd w:val="clear" w:color="auto" w:fill="auto"/>
            <w:noWrap/>
            <w:vAlign w:val="bottom"/>
            <w:hideMark/>
          </w:tcPr>
          <w:p w14:paraId="3B8A171A" w14:textId="77777777" w:rsidR="00862A01" w:rsidRPr="00872D7E" w:rsidRDefault="00862A01" w:rsidP="00862A01">
            <w:pPr>
              <w:rPr>
                <w:b/>
                <w:bCs/>
                <w:color w:val="000000"/>
                <w:sz w:val="16"/>
                <w:szCs w:val="16"/>
              </w:rPr>
            </w:pPr>
            <w:r w:rsidRPr="00872D7E">
              <w:rPr>
                <w:b/>
                <w:bCs/>
                <w:snapToGrid w:val="0"/>
                <w:color w:val="000000"/>
                <w:sz w:val="16"/>
                <w:szCs w:val="16"/>
              </w:rPr>
              <w:t>Toplam Varlıklar</w:t>
            </w:r>
          </w:p>
        </w:tc>
        <w:tc>
          <w:tcPr>
            <w:tcW w:w="1275" w:type="dxa"/>
            <w:tcBorders>
              <w:top w:val="nil"/>
              <w:left w:val="nil"/>
              <w:bottom w:val="single" w:sz="4" w:space="0" w:color="auto"/>
              <w:right w:val="nil"/>
            </w:tcBorders>
            <w:shd w:val="clear" w:color="auto" w:fill="auto"/>
            <w:vAlign w:val="bottom"/>
            <w:hideMark/>
          </w:tcPr>
          <w:p w14:paraId="3BA509A7" w14:textId="77777777" w:rsidR="00862A01" w:rsidRPr="00872D7E" w:rsidRDefault="00862A01" w:rsidP="00862A01">
            <w:pPr>
              <w:jc w:val="right"/>
              <w:rPr>
                <w:b/>
                <w:bCs/>
                <w:color w:val="000000"/>
                <w:sz w:val="16"/>
                <w:szCs w:val="16"/>
              </w:rPr>
            </w:pPr>
            <w:r w:rsidRPr="00872D7E">
              <w:rPr>
                <w:b/>
                <w:bCs/>
                <w:color w:val="000000"/>
                <w:sz w:val="16"/>
                <w:szCs w:val="16"/>
              </w:rPr>
              <w:t>6.215.760</w:t>
            </w:r>
          </w:p>
        </w:tc>
        <w:tc>
          <w:tcPr>
            <w:tcW w:w="1560" w:type="dxa"/>
            <w:tcBorders>
              <w:top w:val="nil"/>
              <w:left w:val="nil"/>
              <w:bottom w:val="single" w:sz="4" w:space="0" w:color="auto"/>
              <w:right w:val="nil"/>
            </w:tcBorders>
            <w:shd w:val="clear" w:color="auto" w:fill="auto"/>
            <w:vAlign w:val="bottom"/>
            <w:hideMark/>
          </w:tcPr>
          <w:p w14:paraId="457010E7" w14:textId="77777777" w:rsidR="00862A01" w:rsidRPr="00872D7E" w:rsidRDefault="00862A01" w:rsidP="00862A01">
            <w:pPr>
              <w:jc w:val="right"/>
              <w:rPr>
                <w:b/>
                <w:bCs/>
                <w:color w:val="000000"/>
                <w:sz w:val="16"/>
                <w:szCs w:val="16"/>
              </w:rPr>
            </w:pPr>
            <w:r w:rsidRPr="00872D7E">
              <w:rPr>
                <w:b/>
                <w:bCs/>
                <w:color w:val="000000"/>
                <w:sz w:val="16"/>
                <w:szCs w:val="16"/>
              </w:rPr>
              <w:t>6.299.982</w:t>
            </w:r>
          </w:p>
        </w:tc>
        <w:tc>
          <w:tcPr>
            <w:tcW w:w="1120" w:type="dxa"/>
            <w:tcBorders>
              <w:top w:val="nil"/>
              <w:left w:val="nil"/>
              <w:bottom w:val="single" w:sz="4" w:space="0" w:color="auto"/>
              <w:right w:val="nil"/>
            </w:tcBorders>
            <w:shd w:val="clear" w:color="auto" w:fill="auto"/>
            <w:vAlign w:val="bottom"/>
            <w:hideMark/>
          </w:tcPr>
          <w:p w14:paraId="77454176" w14:textId="77777777" w:rsidR="00862A01" w:rsidRPr="00872D7E" w:rsidRDefault="00862A01" w:rsidP="00862A01">
            <w:pPr>
              <w:jc w:val="right"/>
              <w:rPr>
                <w:b/>
                <w:bCs/>
                <w:color w:val="000000"/>
                <w:sz w:val="16"/>
                <w:szCs w:val="16"/>
              </w:rPr>
            </w:pPr>
            <w:r w:rsidRPr="00872D7E">
              <w:rPr>
                <w:b/>
                <w:bCs/>
                <w:color w:val="000000"/>
                <w:sz w:val="16"/>
                <w:szCs w:val="16"/>
              </w:rPr>
              <w:t>1.593.142</w:t>
            </w:r>
          </w:p>
        </w:tc>
        <w:tc>
          <w:tcPr>
            <w:tcW w:w="1120" w:type="dxa"/>
            <w:tcBorders>
              <w:top w:val="nil"/>
              <w:left w:val="nil"/>
              <w:bottom w:val="single" w:sz="4" w:space="0" w:color="auto"/>
              <w:right w:val="nil"/>
            </w:tcBorders>
            <w:shd w:val="clear" w:color="auto" w:fill="auto"/>
            <w:vAlign w:val="bottom"/>
            <w:hideMark/>
          </w:tcPr>
          <w:p w14:paraId="36ED3A03" w14:textId="77777777" w:rsidR="00862A01" w:rsidRPr="00872D7E" w:rsidRDefault="00862A01" w:rsidP="00862A01">
            <w:pPr>
              <w:jc w:val="right"/>
              <w:rPr>
                <w:b/>
                <w:bCs/>
                <w:color w:val="000000"/>
                <w:sz w:val="16"/>
                <w:szCs w:val="16"/>
              </w:rPr>
            </w:pPr>
            <w:r w:rsidRPr="00872D7E">
              <w:rPr>
                <w:b/>
                <w:bCs/>
                <w:color w:val="000000"/>
                <w:sz w:val="16"/>
                <w:szCs w:val="16"/>
              </w:rPr>
              <w:t>14.108.884</w:t>
            </w:r>
          </w:p>
        </w:tc>
      </w:tr>
      <w:tr w:rsidR="00862A01" w:rsidRPr="00872D7E" w14:paraId="5094FEED" w14:textId="77777777" w:rsidTr="00862A01">
        <w:trPr>
          <w:divId w:val="455682201"/>
          <w:trHeight w:val="170"/>
        </w:trPr>
        <w:tc>
          <w:tcPr>
            <w:tcW w:w="4678" w:type="dxa"/>
            <w:tcBorders>
              <w:top w:val="nil"/>
              <w:left w:val="nil"/>
              <w:bottom w:val="nil"/>
              <w:right w:val="nil"/>
            </w:tcBorders>
            <w:shd w:val="clear" w:color="auto" w:fill="auto"/>
            <w:noWrap/>
            <w:hideMark/>
          </w:tcPr>
          <w:p w14:paraId="7278A118" w14:textId="77777777" w:rsidR="00862A01" w:rsidRPr="00872D7E" w:rsidRDefault="00862A01" w:rsidP="00862A01">
            <w:pPr>
              <w:rPr>
                <w:b/>
                <w:bCs/>
                <w:color w:val="000000"/>
                <w:sz w:val="16"/>
                <w:szCs w:val="16"/>
              </w:rPr>
            </w:pPr>
          </w:p>
        </w:tc>
        <w:tc>
          <w:tcPr>
            <w:tcW w:w="1275" w:type="dxa"/>
            <w:tcBorders>
              <w:top w:val="nil"/>
              <w:left w:val="nil"/>
              <w:bottom w:val="nil"/>
              <w:right w:val="nil"/>
            </w:tcBorders>
            <w:shd w:val="clear" w:color="auto" w:fill="auto"/>
            <w:vAlign w:val="bottom"/>
            <w:hideMark/>
          </w:tcPr>
          <w:p w14:paraId="18C91ADE" w14:textId="77777777" w:rsidR="00862A01" w:rsidRPr="00872D7E" w:rsidRDefault="00862A01" w:rsidP="00862A01">
            <w:pPr>
              <w:jc w:val="right"/>
              <w:rPr>
                <w:sz w:val="16"/>
                <w:szCs w:val="16"/>
              </w:rPr>
            </w:pPr>
          </w:p>
        </w:tc>
        <w:tc>
          <w:tcPr>
            <w:tcW w:w="1560" w:type="dxa"/>
            <w:tcBorders>
              <w:top w:val="nil"/>
              <w:left w:val="nil"/>
              <w:bottom w:val="nil"/>
              <w:right w:val="nil"/>
            </w:tcBorders>
            <w:shd w:val="clear" w:color="auto" w:fill="auto"/>
            <w:vAlign w:val="bottom"/>
            <w:hideMark/>
          </w:tcPr>
          <w:p w14:paraId="761887F1"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bottom"/>
            <w:hideMark/>
          </w:tcPr>
          <w:p w14:paraId="26242BD4"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bottom"/>
            <w:hideMark/>
          </w:tcPr>
          <w:p w14:paraId="54B2207B" w14:textId="77777777" w:rsidR="00862A01" w:rsidRPr="00872D7E" w:rsidRDefault="00862A01" w:rsidP="00862A01">
            <w:pPr>
              <w:jc w:val="right"/>
              <w:rPr>
                <w:sz w:val="16"/>
                <w:szCs w:val="16"/>
              </w:rPr>
            </w:pPr>
          </w:p>
        </w:tc>
      </w:tr>
      <w:tr w:rsidR="00862A01" w:rsidRPr="00872D7E" w14:paraId="4C6B758E"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7F04A7AE" w14:textId="77777777" w:rsidR="00862A01" w:rsidRPr="00872D7E" w:rsidRDefault="00862A01" w:rsidP="00862A01">
            <w:pPr>
              <w:rPr>
                <w:b/>
                <w:bCs/>
                <w:color w:val="000000"/>
                <w:sz w:val="16"/>
                <w:szCs w:val="16"/>
              </w:rPr>
            </w:pPr>
            <w:r w:rsidRPr="00872D7E">
              <w:rPr>
                <w:b/>
                <w:bCs/>
                <w:snapToGrid w:val="0"/>
                <w:color w:val="000000"/>
                <w:sz w:val="16"/>
                <w:szCs w:val="16"/>
              </w:rPr>
              <w:t>Yükümlülükler</w:t>
            </w:r>
          </w:p>
        </w:tc>
        <w:tc>
          <w:tcPr>
            <w:tcW w:w="1275" w:type="dxa"/>
            <w:tcBorders>
              <w:top w:val="nil"/>
              <w:left w:val="nil"/>
              <w:bottom w:val="nil"/>
              <w:right w:val="nil"/>
            </w:tcBorders>
            <w:shd w:val="clear" w:color="auto" w:fill="auto"/>
            <w:noWrap/>
            <w:vAlign w:val="bottom"/>
            <w:hideMark/>
          </w:tcPr>
          <w:p w14:paraId="70A1B964" w14:textId="77777777" w:rsidR="00862A01" w:rsidRPr="00872D7E" w:rsidRDefault="00862A01" w:rsidP="00862A01">
            <w:pPr>
              <w:jc w:val="right"/>
              <w:rPr>
                <w:b/>
                <w:bCs/>
                <w:color w:val="000000"/>
                <w:sz w:val="16"/>
                <w:szCs w:val="16"/>
              </w:rPr>
            </w:pPr>
          </w:p>
        </w:tc>
        <w:tc>
          <w:tcPr>
            <w:tcW w:w="1560" w:type="dxa"/>
            <w:tcBorders>
              <w:top w:val="nil"/>
              <w:left w:val="nil"/>
              <w:bottom w:val="nil"/>
              <w:right w:val="nil"/>
            </w:tcBorders>
            <w:shd w:val="clear" w:color="auto" w:fill="auto"/>
            <w:noWrap/>
            <w:vAlign w:val="bottom"/>
            <w:hideMark/>
          </w:tcPr>
          <w:p w14:paraId="075222D9"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noWrap/>
            <w:vAlign w:val="bottom"/>
            <w:hideMark/>
          </w:tcPr>
          <w:p w14:paraId="750F997F"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noWrap/>
            <w:vAlign w:val="bottom"/>
            <w:hideMark/>
          </w:tcPr>
          <w:p w14:paraId="7280A5F4" w14:textId="77777777" w:rsidR="00862A01" w:rsidRPr="00872D7E" w:rsidRDefault="00862A01" w:rsidP="00862A01">
            <w:pPr>
              <w:jc w:val="right"/>
              <w:rPr>
                <w:sz w:val="16"/>
                <w:szCs w:val="16"/>
              </w:rPr>
            </w:pPr>
          </w:p>
        </w:tc>
      </w:tr>
      <w:tr w:rsidR="00862A01" w:rsidRPr="00872D7E" w14:paraId="00255FFE"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5189A26D" w14:textId="77777777" w:rsidR="00862A01" w:rsidRPr="00872D7E" w:rsidRDefault="00862A01" w:rsidP="00862A01">
            <w:pPr>
              <w:rPr>
                <w:color w:val="000000"/>
                <w:sz w:val="16"/>
                <w:szCs w:val="16"/>
              </w:rPr>
            </w:pPr>
            <w:r w:rsidRPr="00872D7E">
              <w:rPr>
                <w:color w:val="000000"/>
                <w:sz w:val="16"/>
                <w:szCs w:val="16"/>
              </w:rPr>
              <w:t>Özel Cari Hesap ve Katılma Hesapları Aracılığı ile Bankalardan Toplanan Fonlar</w:t>
            </w:r>
          </w:p>
        </w:tc>
        <w:tc>
          <w:tcPr>
            <w:tcW w:w="1275" w:type="dxa"/>
            <w:tcBorders>
              <w:top w:val="nil"/>
              <w:left w:val="nil"/>
              <w:bottom w:val="nil"/>
              <w:right w:val="nil"/>
            </w:tcBorders>
            <w:shd w:val="clear" w:color="auto" w:fill="auto"/>
            <w:vAlign w:val="bottom"/>
            <w:hideMark/>
          </w:tcPr>
          <w:p w14:paraId="28290145"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48228D75"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70998FBA" w14:textId="77777777" w:rsidR="00862A01" w:rsidRPr="00872D7E" w:rsidRDefault="00862A01" w:rsidP="00862A01">
            <w:pPr>
              <w:jc w:val="right"/>
              <w:rPr>
                <w:color w:val="000000"/>
                <w:sz w:val="16"/>
                <w:szCs w:val="16"/>
              </w:rPr>
            </w:pPr>
            <w:r w:rsidRPr="00872D7E">
              <w:rPr>
                <w:color w:val="000000"/>
                <w:sz w:val="16"/>
                <w:szCs w:val="16"/>
              </w:rPr>
              <w:t>2.136</w:t>
            </w:r>
          </w:p>
        </w:tc>
        <w:tc>
          <w:tcPr>
            <w:tcW w:w="1120" w:type="dxa"/>
            <w:tcBorders>
              <w:top w:val="nil"/>
              <w:left w:val="nil"/>
              <w:bottom w:val="nil"/>
              <w:right w:val="nil"/>
            </w:tcBorders>
            <w:shd w:val="clear" w:color="auto" w:fill="auto"/>
            <w:vAlign w:val="bottom"/>
            <w:hideMark/>
          </w:tcPr>
          <w:p w14:paraId="4E2BC4B0" w14:textId="77777777" w:rsidR="00862A01" w:rsidRPr="00872D7E" w:rsidRDefault="00862A01" w:rsidP="00862A01">
            <w:pPr>
              <w:jc w:val="right"/>
              <w:rPr>
                <w:color w:val="000000"/>
                <w:sz w:val="16"/>
                <w:szCs w:val="16"/>
              </w:rPr>
            </w:pPr>
            <w:r w:rsidRPr="00872D7E">
              <w:rPr>
                <w:color w:val="000000"/>
                <w:sz w:val="16"/>
                <w:szCs w:val="16"/>
              </w:rPr>
              <w:t>2.136</w:t>
            </w:r>
          </w:p>
        </w:tc>
      </w:tr>
      <w:tr w:rsidR="00862A01" w:rsidRPr="00872D7E" w14:paraId="37617B31"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34E054C3" w14:textId="77777777" w:rsidR="00862A01" w:rsidRPr="00872D7E" w:rsidRDefault="00862A01" w:rsidP="00862A01">
            <w:pPr>
              <w:rPr>
                <w:color w:val="000000"/>
                <w:sz w:val="16"/>
                <w:szCs w:val="16"/>
              </w:rPr>
            </w:pPr>
            <w:r w:rsidRPr="00872D7E">
              <w:rPr>
                <w:color w:val="000000"/>
                <w:sz w:val="16"/>
                <w:szCs w:val="16"/>
              </w:rPr>
              <w:t>Diğer Özel Cari Hesap ve Katılma Hesapları</w:t>
            </w:r>
          </w:p>
        </w:tc>
        <w:tc>
          <w:tcPr>
            <w:tcW w:w="1275" w:type="dxa"/>
            <w:tcBorders>
              <w:top w:val="nil"/>
              <w:left w:val="nil"/>
              <w:bottom w:val="nil"/>
              <w:right w:val="nil"/>
            </w:tcBorders>
            <w:shd w:val="clear" w:color="auto" w:fill="auto"/>
            <w:vAlign w:val="bottom"/>
            <w:hideMark/>
          </w:tcPr>
          <w:p w14:paraId="1D208D3E" w14:textId="77777777" w:rsidR="00862A01" w:rsidRPr="00872D7E" w:rsidRDefault="00862A01" w:rsidP="00862A01">
            <w:pPr>
              <w:jc w:val="right"/>
              <w:rPr>
                <w:color w:val="000000"/>
                <w:sz w:val="16"/>
                <w:szCs w:val="16"/>
              </w:rPr>
            </w:pPr>
            <w:r w:rsidRPr="00872D7E">
              <w:rPr>
                <w:color w:val="000000"/>
                <w:sz w:val="16"/>
                <w:szCs w:val="16"/>
              </w:rPr>
              <w:t>3.254.549</w:t>
            </w:r>
          </w:p>
        </w:tc>
        <w:tc>
          <w:tcPr>
            <w:tcW w:w="1560" w:type="dxa"/>
            <w:tcBorders>
              <w:top w:val="nil"/>
              <w:left w:val="nil"/>
              <w:bottom w:val="nil"/>
              <w:right w:val="nil"/>
            </w:tcBorders>
            <w:shd w:val="clear" w:color="auto" w:fill="auto"/>
            <w:vAlign w:val="bottom"/>
            <w:hideMark/>
          </w:tcPr>
          <w:p w14:paraId="04D74191" w14:textId="77777777" w:rsidR="00862A01" w:rsidRPr="00872D7E" w:rsidRDefault="00862A01" w:rsidP="00862A01">
            <w:pPr>
              <w:jc w:val="right"/>
              <w:rPr>
                <w:color w:val="000000"/>
                <w:sz w:val="16"/>
                <w:szCs w:val="16"/>
              </w:rPr>
            </w:pPr>
            <w:r w:rsidRPr="00872D7E">
              <w:rPr>
                <w:color w:val="000000"/>
                <w:sz w:val="16"/>
                <w:szCs w:val="16"/>
              </w:rPr>
              <w:t>5.511.689</w:t>
            </w:r>
          </w:p>
        </w:tc>
        <w:tc>
          <w:tcPr>
            <w:tcW w:w="1120" w:type="dxa"/>
            <w:tcBorders>
              <w:top w:val="nil"/>
              <w:left w:val="nil"/>
              <w:bottom w:val="nil"/>
              <w:right w:val="nil"/>
            </w:tcBorders>
            <w:shd w:val="clear" w:color="auto" w:fill="auto"/>
            <w:vAlign w:val="bottom"/>
            <w:hideMark/>
          </w:tcPr>
          <w:p w14:paraId="50FB1A70" w14:textId="77777777" w:rsidR="00862A01" w:rsidRPr="00872D7E" w:rsidRDefault="00862A01" w:rsidP="00862A01">
            <w:pPr>
              <w:jc w:val="right"/>
              <w:rPr>
                <w:color w:val="000000"/>
                <w:sz w:val="16"/>
                <w:szCs w:val="16"/>
              </w:rPr>
            </w:pPr>
            <w:r w:rsidRPr="00872D7E">
              <w:rPr>
                <w:color w:val="000000"/>
                <w:sz w:val="16"/>
                <w:szCs w:val="16"/>
              </w:rPr>
              <w:t>1.634.183</w:t>
            </w:r>
          </w:p>
        </w:tc>
        <w:tc>
          <w:tcPr>
            <w:tcW w:w="1120" w:type="dxa"/>
            <w:tcBorders>
              <w:top w:val="nil"/>
              <w:left w:val="nil"/>
              <w:bottom w:val="nil"/>
              <w:right w:val="nil"/>
            </w:tcBorders>
            <w:shd w:val="clear" w:color="auto" w:fill="auto"/>
            <w:vAlign w:val="bottom"/>
            <w:hideMark/>
          </w:tcPr>
          <w:p w14:paraId="4C320E75" w14:textId="77777777" w:rsidR="00862A01" w:rsidRPr="00872D7E" w:rsidRDefault="00862A01" w:rsidP="00862A01">
            <w:pPr>
              <w:jc w:val="right"/>
              <w:rPr>
                <w:color w:val="000000"/>
                <w:sz w:val="16"/>
                <w:szCs w:val="16"/>
              </w:rPr>
            </w:pPr>
            <w:r w:rsidRPr="00872D7E">
              <w:rPr>
                <w:color w:val="000000"/>
                <w:sz w:val="16"/>
                <w:szCs w:val="16"/>
              </w:rPr>
              <w:t>10.400.421</w:t>
            </w:r>
          </w:p>
        </w:tc>
      </w:tr>
      <w:tr w:rsidR="00862A01" w:rsidRPr="00872D7E" w14:paraId="30EBCEB6"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31BFD4BA" w14:textId="77777777" w:rsidR="00862A01" w:rsidRPr="00872D7E" w:rsidRDefault="00862A01" w:rsidP="00862A01">
            <w:pPr>
              <w:rPr>
                <w:color w:val="000000"/>
                <w:sz w:val="16"/>
                <w:szCs w:val="16"/>
              </w:rPr>
            </w:pPr>
            <w:r w:rsidRPr="00872D7E">
              <w:rPr>
                <w:snapToGrid w:val="0"/>
                <w:color w:val="000000"/>
                <w:sz w:val="16"/>
                <w:szCs w:val="16"/>
              </w:rPr>
              <w:t>Para Piyasalarına Borçlar</w:t>
            </w:r>
          </w:p>
        </w:tc>
        <w:tc>
          <w:tcPr>
            <w:tcW w:w="1275" w:type="dxa"/>
            <w:tcBorders>
              <w:top w:val="nil"/>
              <w:left w:val="nil"/>
              <w:bottom w:val="nil"/>
              <w:right w:val="nil"/>
            </w:tcBorders>
            <w:shd w:val="clear" w:color="auto" w:fill="auto"/>
            <w:vAlign w:val="bottom"/>
            <w:hideMark/>
          </w:tcPr>
          <w:p w14:paraId="2750B9D1"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5EF53D06"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0132EE91"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19F6ECEC"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773A3BD9"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6165EB34" w14:textId="77777777" w:rsidR="00862A01" w:rsidRPr="00872D7E" w:rsidRDefault="00862A01" w:rsidP="00862A01">
            <w:pPr>
              <w:rPr>
                <w:color w:val="000000"/>
                <w:sz w:val="16"/>
                <w:szCs w:val="16"/>
              </w:rPr>
            </w:pPr>
            <w:r w:rsidRPr="00872D7E">
              <w:rPr>
                <w:snapToGrid w:val="0"/>
                <w:color w:val="000000"/>
                <w:sz w:val="16"/>
                <w:szCs w:val="16"/>
              </w:rPr>
              <w:t>Diğer Mali Kuruluşlardan Sağlanan Fonlar ve Sermaye Benzeri Krediler</w:t>
            </w:r>
          </w:p>
        </w:tc>
        <w:tc>
          <w:tcPr>
            <w:tcW w:w="1275" w:type="dxa"/>
            <w:tcBorders>
              <w:top w:val="nil"/>
              <w:left w:val="nil"/>
              <w:bottom w:val="nil"/>
              <w:right w:val="nil"/>
            </w:tcBorders>
            <w:shd w:val="clear" w:color="auto" w:fill="auto"/>
            <w:vAlign w:val="bottom"/>
            <w:hideMark/>
          </w:tcPr>
          <w:p w14:paraId="1DFD0C3D" w14:textId="77777777" w:rsidR="00862A01" w:rsidRPr="00872D7E" w:rsidRDefault="00862A01" w:rsidP="00862A01">
            <w:pPr>
              <w:jc w:val="right"/>
              <w:rPr>
                <w:color w:val="000000"/>
                <w:sz w:val="16"/>
                <w:szCs w:val="16"/>
              </w:rPr>
            </w:pPr>
            <w:r w:rsidRPr="00872D7E">
              <w:rPr>
                <w:color w:val="000000"/>
                <w:sz w:val="16"/>
                <w:szCs w:val="16"/>
              </w:rPr>
              <w:t>1.837.130</w:t>
            </w:r>
          </w:p>
        </w:tc>
        <w:tc>
          <w:tcPr>
            <w:tcW w:w="1560" w:type="dxa"/>
            <w:tcBorders>
              <w:top w:val="nil"/>
              <w:left w:val="nil"/>
              <w:bottom w:val="nil"/>
              <w:right w:val="nil"/>
            </w:tcBorders>
            <w:shd w:val="clear" w:color="auto" w:fill="auto"/>
            <w:vAlign w:val="bottom"/>
            <w:hideMark/>
          </w:tcPr>
          <w:p w14:paraId="0FCB2FF8"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00FBEC3A"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5BA22A36" w14:textId="77777777" w:rsidR="00862A01" w:rsidRPr="00872D7E" w:rsidRDefault="00862A01" w:rsidP="00862A01">
            <w:pPr>
              <w:jc w:val="right"/>
              <w:rPr>
                <w:color w:val="000000"/>
                <w:sz w:val="16"/>
                <w:szCs w:val="16"/>
              </w:rPr>
            </w:pPr>
            <w:r w:rsidRPr="00872D7E">
              <w:rPr>
                <w:color w:val="000000"/>
                <w:sz w:val="16"/>
                <w:szCs w:val="16"/>
              </w:rPr>
              <w:t>1.837.130</w:t>
            </w:r>
          </w:p>
        </w:tc>
      </w:tr>
      <w:tr w:rsidR="00862A01" w:rsidRPr="00872D7E" w14:paraId="36ED0407"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1016DE29" w14:textId="77777777" w:rsidR="00862A01" w:rsidRPr="00872D7E" w:rsidRDefault="00862A01" w:rsidP="00862A01">
            <w:pPr>
              <w:rPr>
                <w:color w:val="000000"/>
                <w:sz w:val="16"/>
                <w:szCs w:val="16"/>
              </w:rPr>
            </w:pPr>
            <w:r w:rsidRPr="00872D7E">
              <w:rPr>
                <w:snapToGrid w:val="0"/>
                <w:color w:val="000000"/>
                <w:sz w:val="16"/>
                <w:szCs w:val="16"/>
              </w:rPr>
              <w:t>İhraç Edilen Menkul Değerler</w:t>
            </w:r>
          </w:p>
        </w:tc>
        <w:tc>
          <w:tcPr>
            <w:tcW w:w="1275" w:type="dxa"/>
            <w:tcBorders>
              <w:top w:val="nil"/>
              <w:left w:val="nil"/>
              <w:bottom w:val="nil"/>
              <w:right w:val="nil"/>
            </w:tcBorders>
            <w:shd w:val="clear" w:color="auto" w:fill="auto"/>
            <w:vAlign w:val="bottom"/>
            <w:hideMark/>
          </w:tcPr>
          <w:p w14:paraId="585574C7"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616DE4BC"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4FECF675"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50B7D180"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1663CC05"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3DC042EE" w14:textId="77777777" w:rsidR="00862A01" w:rsidRPr="00872D7E" w:rsidRDefault="00862A01" w:rsidP="00862A01">
            <w:pPr>
              <w:rPr>
                <w:color w:val="000000"/>
                <w:sz w:val="16"/>
                <w:szCs w:val="16"/>
              </w:rPr>
            </w:pPr>
            <w:r w:rsidRPr="00872D7E">
              <w:rPr>
                <w:snapToGrid w:val="0"/>
                <w:color w:val="000000"/>
                <w:sz w:val="16"/>
                <w:szCs w:val="16"/>
              </w:rPr>
              <w:t>Muhtelif Borçlar</w:t>
            </w:r>
          </w:p>
        </w:tc>
        <w:tc>
          <w:tcPr>
            <w:tcW w:w="1275" w:type="dxa"/>
            <w:tcBorders>
              <w:top w:val="nil"/>
              <w:left w:val="nil"/>
              <w:bottom w:val="nil"/>
              <w:right w:val="nil"/>
            </w:tcBorders>
            <w:shd w:val="clear" w:color="auto" w:fill="auto"/>
            <w:vAlign w:val="bottom"/>
            <w:hideMark/>
          </w:tcPr>
          <w:p w14:paraId="13D47BC1" w14:textId="77777777" w:rsidR="00862A01" w:rsidRPr="00872D7E" w:rsidRDefault="00862A01" w:rsidP="00862A01">
            <w:pPr>
              <w:jc w:val="right"/>
              <w:rPr>
                <w:color w:val="000000"/>
                <w:sz w:val="16"/>
                <w:szCs w:val="16"/>
              </w:rPr>
            </w:pPr>
            <w:r w:rsidRPr="00872D7E">
              <w:rPr>
                <w:color w:val="000000"/>
                <w:sz w:val="16"/>
                <w:szCs w:val="16"/>
              </w:rPr>
              <w:t>50</w:t>
            </w:r>
          </w:p>
        </w:tc>
        <w:tc>
          <w:tcPr>
            <w:tcW w:w="1560" w:type="dxa"/>
            <w:tcBorders>
              <w:top w:val="nil"/>
              <w:left w:val="nil"/>
              <w:bottom w:val="nil"/>
              <w:right w:val="nil"/>
            </w:tcBorders>
            <w:shd w:val="clear" w:color="auto" w:fill="auto"/>
            <w:vAlign w:val="bottom"/>
            <w:hideMark/>
          </w:tcPr>
          <w:p w14:paraId="599C660A" w14:textId="77777777" w:rsidR="00862A01" w:rsidRPr="00872D7E" w:rsidRDefault="00862A01" w:rsidP="00862A01">
            <w:pPr>
              <w:jc w:val="right"/>
              <w:rPr>
                <w:color w:val="000000"/>
                <w:sz w:val="16"/>
                <w:szCs w:val="16"/>
              </w:rPr>
            </w:pPr>
            <w:r w:rsidRPr="00872D7E">
              <w:rPr>
                <w:color w:val="000000"/>
                <w:sz w:val="16"/>
                <w:szCs w:val="16"/>
              </w:rPr>
              <w:t>14.204</w:t>
            </w:r>
          </w:p>
        </w:tc>
        <w:tc>
          <w:tcPr>
            <w:tcW w:w="1120" w:type="dxa"/>
            <w:tcBorders>
              <w:top w:val="nil"/>
              <w:left w:val="nil"/>
              <w:bottom w:val="nil"/>
              <w:right w:val="nil"/>
            </w:tcBorders>
            <w:shd w:val="clear" w:color="auto" w:fill="auto"/>
            <w:vAlign w:val="bottom"/>
            <w:hideMark/>
          </w:tcPr>
          <w:p w14:paraId="6003800C"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01543437" w14:textId="77777777" w:rsidR="00862A01" w:rsidRPr="00872D7E" w:rsidRDefault="00862A01" w:rsidP="00862A01">
            <w:pPr>
              <w:jc w:val="right"/>
              <w:rPr>
                <w:color w:val="000000"/>
                <w:sz w:val="16"/>
                <w:szCs w:val="16"/>
              </w:rPr>
            </w:pPr>
            <w:r w:rsidRPr="00872D7E">
              <w:rPr>
                <w:color w:val="000000"/>
                <w:sz w:val="16"/>
                <w:szCs w:val="16"/>
              </w:rPr>
              <w:t>14.254</w:t>
            </w:r>
          </w:p>
        </w:tc>
      </w:tr>
      <w:tr w:rsidR="00862A01" w:rsidRPr="00872D7E" w14:paraId="48E24B68"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0D968B7A" w14:textId="77777777" w:rsidR="00862A01" w:rsidRPr="00872D7E" w:rsidRDefault="00862A01" w:rsidP="00862A01">
            <w:pPr>
              <w:rPr>
                <w:color w:val="000000"/>
                <w:sz w:val="16"/>
                <w:szCs w:val="16"/>
              </w:rPr>
            </w:pPr>
            <w:r w:rsidRPr="00872D7E">
              <w:rPr>
                <w:snapToGrid w:val="0"/>
                <w:color w:val="000000"/>
                <w:sz w:val="16"/>
                <w:szCs w:val="16"/>
              </w:rPr>
              <w:t>Riskten Korunma Amaçlı Türev Finansal Borçlar</w:t>
            </w:r>
          </w:p>
        </w:tc>
        <w:tc>
          <w:tcPr>
            <w:tcW w:w="1275" w:type="dxa"/>
            <w:tcBorders>
              <w:top w:val="nil"/>
              <w:left w:val="nil"/>
              <w:bottom w:val="nil"/>
              <w:right w:val="nil"/>
            </w:tcBorders>
            <w:shd w:val="clear" w:color="auto" w:fill="auto"/>
            <w:vAlign w:val="bottom"/>
            <w:hideMark/>
          </w:tcPr>
          <w:p w14:paraId="63717403"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bottom"/>
            <w:hideMark/>
          </w:tcPr>
          <w:p w14:paraId="127C917D"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4FE623E7"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bottom"/>
            <w:hideMark/>
          </w:tcPr>
          <w:p w14:paraId="4AFC374C"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214F4C72"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2C73A4BB" w14:textId="3E2DCAEC" w:rsidR="00862A01" w:rsidRPr="00872D7E" w:rsidRDefault="00862A01" w:rsidP="00862A01">
            <w:pPr>
              <w:rPr>
                <w:color w:val="000000"/>
                <w:sz w:val="16"/>
                <w:szCs w:val="16"/>
              </w:rPr>
            </w:pPr>
            <w:r w:rsidRPr="00872D7E">
              <w:rPr>
                <w:snapToGrid w:val="0"/>
                <w:color w:val="000000"/>
                <w:sz w:val="16"/>
                <w:szCs w:val="16"/>
              </w:rPr>
              <w:t>Diğer Yükümlülükler</w:t>
            </w:r>
            <w:r w:rsidR="009974FE" w:rsidRPr="00872D7E">
              <w:rPr>
                <w:snapToGrid w:val="0"/>
                <w:color w:val="000000"/>
                <w:sz w:val="16"/>
                <w:szCs w:val="16"/>
              </w:rPr>
              <w:t xml:space="preserve"> </w:t>
            </w:r>
            <w:r w:rsidR="009974FE" w:rsidRPr="00872D7E">
              <w:rPr>
                <w:snapToGrid w:val="0"/>
                <w:color w:val="000000"/>
                <w:sz w:val="16"/>
                <w:szCs w:val="16"/>
                <w:vertAlign w:val="superscript"/>
              </w:rPr>
              <w:t>(*****)</w:t>
            </w:r>
          </w:p>
        </w:tc>
        <w:tc>
          <w:tcPr>
            <w:tcW w:w="1275" w:type="dxa"/>
            <w:tcBorders>
              <w:top w:val="nil"/>
              <w:left w:val="nil"/>
              <w:bottom w:val="nil"/>
              <w:right w:val="nil"/>
            </w:tcBorders>
            <w:shd w:val="clear" w:color="auto" w:fill="auto"/>
            <w:vAlign w:val="bottom"/>
            <w:hideMark/>
          </w:tcPr>
          <w:p w14:paraId="6B836C81" w14:textId="77777777" w:rsidR="00862A01" w:rsidRPr="00872D7E" w:rsidRDefault="00862A01" w:rsidP="00862A01">
            <w:pPr>
              <w:jc w:val="right"/>
              <w:rPr>
                <w:color w:val="000000"/>
                <w:sz w:val="16"/>
                <w:szCs w:val="16"/>
              </w:rPr>
            </w:pPr>
            <w:r w:rsidRPr="00872D7E">
              <w:rPr>
                <w:color w:val="000000"/>
                <w:sz w:val="16"/>
                <w:szCs w:val="16"/>
              </w:rPr>
              <w:t>39.327</w:t>
            </w:r>
          </w:p>
        </w:tc>
        <w:tc>
          <w:tcPr>
            <w:tcW w:w="1560" w:type="dxa"/>
            <w:tcBorders>
              <w:top w:val="nil"/>
              <w:left w:val="nil"/>
              <w:bottom w:val="nil"/>
              <w:right w:val="nil"/>
            </w:tcBorders>
            <w:shd w:val="clear" w:color="auto" w:fill="auto"/>
            <w:vAlign w:val="bottom"/>
            <w:hideMark/>
          </w:tcPr>
          <w:p w14:paraId="2BE67126" w14:textId="77777777" w:rsidR="00862A01" w:rsidRPr="00872D7E" w:rsidRDefault="00862A01" w:rsidP="00862A01">
            <w:pPr>
              <w:jc w:val="right"/>
              <w:rPr>
                <w:color w:val="000000"/>
                <w:sz w:val="16"/>
                <w:szCs w:val="16"/>
              </w:rPr>
            </w:pPr>
            <w:r w:rsidRPr="00872D7E">
              <w:rPr>
                <w:color w:val="000000"/>
                <w:sz w:val="16"/>
                <w:szCs w:val="16"/>
              </w:rPr>
              <w:t>92.648</w:t>
            </w:r>
          </w:p>
        </w:tc>
        <w:tc>
          <w:tcPr>
            <w:tcW w:w="1120" w:type="dxa"/>
            <w:tcBorders>
              <w:top w:val="nil"/>
              <w:left w:val="nil"/>
              <w:bottom w:val="nil"/>
              <w:right w:val="nil"/>
            </w:tcBorders>
            <w:shd w:val="clear" w:color="auto" w:fill="auto"/>
            <w:vAlign w:val="bottom"/>
            <w:hideMark/>
          </w:tcPr>
          <w:p w14:paraId="428F8204" w14:textId="77777777" w:rsidR="00862A01" w:rsidRPr="00872D7E" w:rsidRDefault="00862A01" w:rsidP="00862A01">
            <w:pPr>
              <w:jc w:val="right"/>
              <w:rPr>
                <w:color w:val="000000"/>
                <w:sz w:val="16"/>
                <w:szCs w:val="16"/>
              </w:rPr>
            </w:pPr>
            <w:r w:rsidRPr="00872D7E">
              <w:rPr>
                <w:color w:val="000000"/>
                <w:sz w:val="16"/>
                <w:szCs w:val="16"/>
              </w:rPr>
              <w:t>10.111</w:t>
            </w:r>
          </w:p>
        </w:tc>
        <w:tc>
          <w:tcPr>
            <w:tcW w:w="1120" w:type="dxa"/>
            <w:tcBorders>
              <w:top w:val="nil"/>
              <w:left w:val="nil"/>
              <w:bottom w:val="nil"/>
              <w:right w:val="nil"/>
            </w:tcBorders>
            <w:shd w:val="clear" w:color="auto" w:fill="auto"/>
            <w:vAlign w:val="bottom"/>
            <w:hideMark/>
          </w:tcPr>
          <w:p w14:paraId="167BAAAC" w14:textId="77777777" w:rsidR="00862A01" w:rsidRPr="00872D7E" w:rsidRDefault="00862A01" w:rsidP="00862A01">
            <w:pPr>
              <w:jc w:val="right"/>
              <w:rPr>
                <w:color w:val="000000"/>
                <w:sz w:val="16"/>
                <w:szCs w:val="16"/>
              </w:rPr>
            </w:pPr>
            <w:r w:rsidRPr="00872D7E">
              <w:rPr>
                <w:color w:val="000000"/>
                <w:sz w:val="16"/>
                <w:szCs w:val="16"/>
              </w:rPr>
              <w:t>142.086</w:t>
            </w:r>
          </w:p>
        </w:tc>
      </w:tr>
      <w:tr w:rsidR="00862A01" w:rsidRPr="00872D7E" w14:paraId="45373587" w14:textId="77777777" w:rsidTr="00862A01">
        <w:trPr>
          <w:divId w:val="455682201"/>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7A348196" w14:textId="77777777" w:rsidR="00862A01" w:rsidRPr="00872D7E" w:rsidRDefault="00862A01" w:rsidP="00862A01">
            <w:pPr>
              <w:rPr>
                <w:b/>
                <w:bCs/>
                <w:color w:val="000000"/>
                <w:sz w:val="16"/>
                <w:szCs w:val="16"/>
              </w:rPr>
            </w:pPr>
            <w:r w:rsidRPr="00872D7E">
              <w:rPr>
                <w:b/>
                <w:bCs/>
                <w:snapToGrid w:val="0"/>
                <w:color w:val="000000"/>
                <w:sz w:val="16"/>
                <w:szCs w:val="16"/>
              </w:rPr>
              <w:t>Toplam Yükümlülükler</w:t>
            </w:r>
          </w:p>
        </w:tc>
        <w:tc>
          <w:tcPr>
            <w:tcW w:w="1275" w:type="dxa"/>
            <w:tcBorders>
              <w:top w:val="single" w:sz="4" w:space="0" w:color="auto"/>
              <w:left w:val="nil"/>
              <w:bottom w:val="single" w:sz="4" w:space="0" w:color="auto"/>
              <w:right w:val="nil"/>
            </w:tcBorders>
            <w:shd w:val="clear" w:color="auto" w:fill="auto"/>
            <w:vAlign w:val="bottom"/>
            <w:hideMark/>
          </w:tcPr>
          <w:p w14:paraId="4B5C3EF8" w14:textId="77777777" w:rsidR="00862A01" w:rsidRPr="00872D7E" w:rsidRDefault="00862A01" w:rsidP="00862A01">
            <w:pPr>
              <w:jc w:val="right"/>
              <w:rPr>
                <w:b/>
                <w:bCs/>
                <w:color w:val="000000"/>
                <w:sz w:val="16"/>
                <w:szCs w:val="16"/>
              </w:rPr>
            </w:pPr>
            <w:r w:rsidRPr="00872D7E">
              <w:rPr>
                <w:b/>
                <w:bCs/>
                <w:color w:val="000000"/>
                <w:sz w:val="16"/>
                <w:szCs w:val="16"/>
              </w:rPr>
              <w:t>5.131.056</w:t>
            </w:r>
          </w:p>
        </w:tc>
        <w:tc>
          <w:tcPr>
            <w:tcW w:w="1560" w:type="dxa"/>
            <w:tcBorders>
              <w:top w:val="single" w:sz="4" w:space="0" w:color="auto"/>
              <w:left w:val="nil"/>
              <w:bottom w:val="single" w:sz="4" w:space="0" w:color="auto"/>
              <w:right w:val="nil"/>
            </w:tcBorders>
            <w:shd w:val="clear" w:color="auto" w:fill="auto"/>
            <w:vAlign w:val="bottom"/>
            <w:hideMark/>
          </w:tcPr>
          <w:p w14:paraId="2CE88417" w14:textId="77777777" w:rsidR="00862A01" w:rsidRPr="00872D7E" w:rsidRDefault="00862A01" w:rsidP="00862A01">
            <w:pPr>
              <w:jc w:val="right"/>
              <w:rPr>
                <w:b/>
                <w:bCs/>
                <w:color w:val="000000"/>
                <w:sz w:val="16"/>
                <w:szCs w:val="16"/>
              </w:rPr>
            </w:pPr>
            <w:r w:rsidRPr="00872D7E">
              <w:rPr>
                <w:b/>
                <w:bCs/>
                <w:color w:val="000000"/>
                <w:sz w:val="16"/>
                <w:szCs w:val="16"/>
              </w:rPr>
              <w:t>5.618.541</w:t>
            </w:r>
          </w:p>
        </w:tc>
        <w:tc>
          <w:tcPr>
            <w:tcW w:w="1120" w:type="dxa"/>
            <w:tcBorders>
              <w:top w:val="single" w:sz="4" w:space="0" w:color="auto"/>
              <w:left w:val="nil"/>
              <w:bottom w:val="single" w:sz="4" w:space="0" w:color="auto"/>
              <w:right w:val="nil"/>
            </w:tcBorders>
            <w:shd w:val="clear" w:color="auto" w:fill="auto"/>
            <w:vAlign w:val="bottom"/>
            <w:hideMark/>
          </w:tcPr>
          <w:p w14:paraId="6F203195" w14:textId="77777777" w:rsidR="00862A01" w:rsidRPr="00872D7E" w:rsidRDefault="00862A01" w:rsidP="00862A01">
            <w:pPr>
              <w:jc w:val="right"/>
              <w:rPr>
                <w:b/>
                <w:bCs/>
                <w:color w:val="000000"/>
                <w:sz w:val="16"/>
                <w:szCs w:val="16"/>
              </w:rPr>
            </w:pPr>
            <w:r w:rsidRPr="00872D7E">
              <w:rPr>
                <w:b/>
                <w:bCs/>
                <w:color w:val="000000"/>
                <w:sz w:val="16"/>
                <w:szCs w:val="16"/>
              </w:rPr>
              <w:t>1.646.430</w:t>
            </w:r>
          </w:p>
        </w:tc>
        <w:tc>
          <w:tcPr>
            <w:tcW w:w="1120" w:type="dxa"/>
            <w:tcBorders>
              <w:top w:val="single" w:sz="4" w:space="0" w:color="auto"/>
              <w:left w:val="nil"/>
              <w:bottom w:val="single" w:sz="4" w:space="0" w:color="auto"/>
              <w:right w:val="nil"/>
            </w:tcBorders>
            <w:shd w:val="clear" w:color="auto" w:fill="auto"/>
            <w:vAlign w:val="bottom"/>
            <w:hideMark/>
          </w:tcPr>
          <w:p w14:paraId="411B090E" w14:textId="77777777" w:rsidR="00862A01" w:rsidRPr="00872D7E" w:rsidRDefault="00862A01" w:rsidP="00862A01">
            <w:pPr>
              <w:jc w:val="right"/>
              <w:rPr>
                <w:b/>
                <w:bCs/>
                <w:color w:val="000000"/>
                <w:sz w:val="16"/>
                <w:szCs w:val="16"/>
              </w:rPr>
            </w:pPr>
            <w:r w:rsidRPr="00872D7E">
              <w:rPr>
                <w:b/>
                <w:bCs/>
                <w:color w:val="000000"/>
                <w:sz w:val="16"/>
                <w:szCs w:val="16"/>
              </w:rPr>
              <w:t>12.396.027</w:t>
            </w:r>
          </w:p>
        </w:tc>
      </w:tr>
      <w:tr w:rsidR="00862A01" w:rsidRPr="00872D7E" w14:paraId="567D59A6" w14:textId="77777777" w:rsidTr="00862A01">
        <w:trPr>
          <w:divId w:val="455682201"/>
          <w:trHeight w:val="170"/>
        </w:trPr>
        <w:tc>
          <w:tcPr>
            <w:tcW w:w="4678" w:type="dxa"/>
            <w:tcBorders>
              <w:top w:val="nil"/>
              <w:left w:val="nil"/>
              <w:bottom w:val="nil"/>
              <w:right w:val="nil"/>
            </w:tcBorders>
            <w:shd w:val="clear" w:color="auto" w:fill="auto"/>
            <w:noWrap/>
            <w:vAlign w:val="center"/>
            <w:hideMark/>
          </w:tcPr>
          <w:p w14:paraId="720D54E8" w14:textId="77777777" w:rsidR="00862A01" w:rsidRPr="00872D7E" w:rsidRDefault="00862A01" w:rsidP="00862A01">
            <w:pPr>
              <w:rPr>
                <w:b/>
                <w:bCs/>
                <w:color w:val="000000"/>
                <w:sz w:val="16"/>
                <w:szCs w:val="16"/>
              </w:rPr>
            </w:pPr>
          </w:p>
        </w:tc>
        <w:tc>
          <w:tcPr>
            <w:tcW w:w="1275" w:type="dxa"/>
            <w:tcBorders>
              <w:top w:val="nil"/>
              <w:left w:val="nil"/>
              <w:bottom w:val="nil"/>
              <w:right w:val="nil"/>
            </w:tcBorders>
            <w:shd w:val="clear" w:color="auto" w:fill="auto"/>
            <w:vAlign w:val="bottom"/>
            <w:hideMark/>
          </w:tcPr>
          <w:p w14:paraId="047F3275" w14:textId="77777777" w:rsidR="00862A01" w:rsidRPr="00872D7E" w:rsidRDefault="00862A01" w:rsidP="00862A01">
            <w:pPr>
              <w:jc w:val="right"/>
              <w:rPr>
                <w:sz w:val="16"/>
                <w:szCs w:val="16"/>
              </w:rPr>
            </w:pPr>
          </w:p>
        </w:tc>
        <w:tc>
          <w:tcPr>
            <w:tcW w:w="1560" w:type="dxa"/>
            <w:tcBorders>
              <w:top w:val="nil"/>
              <w:left w:val="nil"/>
              <w:bottom w:val="nil"/>
              <w:right w:val="nil"/>
            </w:tcBorders>
            <w:shd w:val="clear" w:color="auto" w:fill="auto"/>
            <w:vAlign w:val="bottom"/>
            <w:hideMark/>
          </w:tcPr>
          <w:p w14:paraId="1EBF74D1"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bottom"/>
            <w:hideMark/>
          </w:tcPr>
          <w:p w14:paraId="31F14640"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bottom"/>
            <w:hideMark/>
          </w:tcPr>
          <w:p w14:paraId="1020D44D" w14:textId="77777777" w:rsidR="00862A01" w:rsidRPr="00872D7E" w:rsidRDefault="00862A01" w:rsidP="00862A01">
            <w:pPr>
              <w:jc w:val="right"/>
              <w:rPr>
                <w:sz w:val="16"/>
                <w:szCs w:val="16"/>
              </w:rPr>
            </w:pPr>
          </w:p>
        </w:tc>
      </w:tr>
      <w:tr w:rsidR="00862A01" w:rsidRPr="00872D7E" w14:paraId="416FB842" w14:textId="77777777" w:rsidTr="00862A01">
        <w:trPr>
          <w:divId w:val="455682201"/>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21E520AE" w14:textId="77777777" w:rsidR="00862A01" w:rsidRPr="00872D7E" w:rsidRDefault="00862A01" w:rsidP="00862A01">
            <w:pPr>
              <w:rPr>
                <w:b/>
                <w:bCs/>
                <w:color w:val="000000"/>
                <w:sz w:val="16"/>
                <w:szCs w:val="16"/>
              </w:rPr>
            </w:pPr>
            <w:r w:rsidRPr="00872D7E">
              <w:rPr>
                <w:b/>
                <w:bCs/>
                <w:snapToGrid w:val="0"/>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bottom"/>
            <w:hideMark/>
          </w:tcPr>
          <w:p w14:paraId="6E2371D9" w14:textId="77777777" w:rsidR="00862A01" w:rsidRPr="00872D7E" w:rsidRDefault="00862A01" w:rsidP="00862A01">
            <w:pPr>
              <w:jc w:val="right"/>
              <w:rPr>
                <w:b/>
                <w:bCs/>
                <w:color w:val="000000"/>
                <w:sz w:val="16"/>
                <w:szCs w:val="16"/>
              </w:rPr>
            </w:pPr>
            <w:r w:rsidRPr="00872D7E">
              <w:rPr>
                <w:b/>
                <w:bCs/>
                <w:color w:val="000000"/>
                <w:sz w:val="16"/>
                <w:szCs w:val="16"/>
              </w:rPr>
              <w:t>1.084.704</w:t>
            </w:r>
          </w:p>
        </w:tc>
        <w:tc>
          <w:tcPr>
            <w:tcW w:w="1560" w:type="dxa"/>
            <w:tcBorders>
              <w:top w:val="single" w:sz="4" w:space="0" w:color="auto"/>
              <w:left w:val="nil"/>
              <w:bottom w:val="single" w:sz="4" w:space="0" w:color="auto"/>
              <w:right w:val="nil"/>
            </w:tcBorders>
            <w:shd w:val="clear" w:color="auto" w:fill="auto"/>
            <w:vAlign w:val="bottom"/>
            <w:hideMark/>
          </w:tcPr>
          <w:p w14:paraId="60D38C57" w14:textId="77777777" w:rsidR="00862A01" w:rsidRPr="00872D7E" w:rsidRDefault="00862A01" w:rsidP="00862A01">
            <w:pPr>
              <w:jc w:val="right"/>
              <w:rPr>
                <w:b/>
                <w:bCs/>
                <w:color w:val="000000"/>
                <w:sz w:val="16"/>
                <w:szCs w:val="16"/>
              </w:rPr>
            </w:pPr>
            <w:r w:rsidRPr="00872D7E">
              <w:rPr>
                <w:b/>
                <w:bCs/>
                <w:color w:val="000000"/>
                <w:sz w:val="16"/>
                <w:szCs w:val="16"/>
              </w:rPr>
              <w:t>681.441</w:t>
            </w:r>
          </w:p>
        </w:tc>
        <w:tc>
          <w:tcPr>
            <w:tcW w:w="1120" w:type="dxa"/>
            <w:tcBorders>
              <w:top w:val="single" w:sz="4" w:space="0" w:color="auto"/>
              <w:left w:val="nil"/>
              <w:bottom w:val="single" w:sz="4" w:space="0" w:color="auto"/>
              <w:right w:val="nil"/>
            </w:tcBorders>
            <w:shd w:val="clear" w:color="auto" w:fill="auto"/>
            <w:vAlign w:val="bottom"/>
            <w:hideMark/>
          </w:tcPr>
          <w:p w14:paraId="2EBBBED9" w14:textId="77777777" w:rsidR="00862A01" w:rsidRPr="00872D7E" w:rsidRDefault="00862A01" w:rsidP="00862A01">
            <w:pPr>
              <w:jc w:val="right"/>
              <w:rPr>
                <w:b/>
                <w:bCs/>
                <w:color w:val="000000"/>
                <w:sz w:val="16"/>
                <w:szCs w:val="16"/>
                <w:lang w:eastAsia="tr-TR"/>
              </w:rPr>
            </w:pPr>
            <w:r w:rsidRPr="00872D7E">
              <w:rPr>
                <w:b/>
                <w:bCs/>
                <w:color w:val="000000"/>
                <w:sz w:val="16"/>
                <w:szCs w:val="16"/>
              </w:rPr>
              <w:t>(53.288</w:t>
            </w:r>
            <w:r w:rsidRPr="00872D7E">
              <w:rPr>
                <w:b/>
                <w:bCs/>
                <w:color w:val="000000"/>
                <w:sz w:val="16"/>
                <w:szCs w:val="16"/>
                <w:lang w:eastAsia="tr-TR"/>
              </w:rPr>
              <w:t>)</w:t>
            </w:r>
          </w:p>
        </w:tc>
        <w:tc>
          <w:tcPr>
            <w:tcW w:w="1120" w:type="dxa"/>
            <w:tcBorders>
              <w:top w:val="single" w:sz="4" w:space="0" w:color="auto"/>
              <w:left w:val="nil"/>
              <w:bottom w:val="single" w:sz="4" w:space="0" w:color="auto"/>
              <w:right w:val="nil"/>
            </w:tcBorders>
            <w:shd w:val="clear" w:color="auto" w:fill="auto"/>
            <w:vAlign w:val="bottom"/>
            <w:hideMark/>
          </w:tcPr>
          <w:p w14:paraId="73954B1E" w14:textId="77777777" w:rsidR="00862A01" w:rsidRPr="00872D7E" w:rsidRDefault="00862A01" w:rsidP="00862A01">
            <w:pPr>
              <w:jc w:val="right"/>
              <w:rPr>
                <w:b/>
                <w:bCs/>
                <w:color w:val="000000"/>
                <w:sz w:val="16"/>
                <w:szCs w:val="16"/>
              </w:rPr>
            </w:pPr>
            <w:r w:rsidRPr="00872D7E">
              <w:rPr>
                <w:b/>
                <w:bCs/>
                <w:color w:val="000000"/>
                <w:sz w:val="16"/>
                <w:szCs w:val="16"/>
              </w:rPr>
              <w:t>1.712.857</w:t>
            </w:r>
          </w:p>
        </w:tc>
      </w:tr>
      <w:tr w:rsidR="00862A01" w:rsidRPr="00872D7E" w14:paraId="0C0DD98A" w14:textId="77777777" w:rsidTr="00862A01">
        <w:trPr>
          <w:divId w:val="455682201"/>
          <w:trHeight w:val="170"/>
        </w:trPr>
        <w:tc>
          <w:tcPr>
            <w:tcW w:w="4678" w:type="dxa"/>
            <w:tcBorders>
              <w:top w:val="nil"/>
              <w:left w:val="nil"/>
              <w:bottom w:val="nil"/>
              <w:right w:val="nil"/>
            </w:tcBorders>
            <w:shd w:val="clear" w:color="auto" w:fill="auto"/>
            <w:noWrap/>
            <w:vAlign w:val="center"/>
            <w:hideMark/>
          </w:tcPr>
          <w:p w14:paraId="75FC8747" w14:textId="77777777" w:rsidR="00862A01" w:rsidRPr="00872D7E" w:rsidRDefault="00862A01" w:rsidP="00862A01">
            <w:pPr>
              <w:rPr>
                <w:b/>
                <w:bCs/>
                <w:color w:val="000000"/>
                <w:sz w:val="16"/>
                <w:szCs w:val="16"/>
              </w:rPr>
            </w:pPr>
          </w:p>
        </w:tc>
        <w:tc>
          <w:tcPr>
            <w:tcW w:w="1275" w:type="dxa"/>
            <w:tcBorders>
              <w:top w:val="nil"/>
              <w:left w:val="nil"/>
              <w:bottom w:val="nil"/>
              <w:right w:val="nil"/>
            </w:tcBorders>
            <w:shd w:val="clear" w:color="auto" w:fill="auto"/>
            <w:vAlign w:val="bottom"/>
            <w:hideMark/>
          </w:tcPr>
          <w:p w14:paraId="73DE9DAF" w14:textId="77777777" w:rsidR="00862A01" w:rsidRPr="00872D7E" w:rsidRDefault="00862A01" w:rsidP="00862A01">
            <w:pPr>
              <w:jc w:val="right"/>
              <w:rPr>
                <w:sz w:val="16"/>
                <w:szCs w:val="16"/>
              </w:rPr>
            </w:pPr>
          </w:p>
        </w:tc>
        <w:tc>
          <w:tcPr>
            <w:tcW w:w="1560" w:type="dxa"/>
            <w:tcBorders>
              <w:top w:val="nil"/>
              <w:left w:val="nil"/>
              <w:bottom w:val="nil"/>
              <w:right w:val="nil"/>
            </w:tcBorders>
            <w:shd w:val="clear" w:color="auto" w:fill="auto"/>
            <w:vAlign w:val="bottom"/>
            <w:hideMark/>
          </w:tcPr>
          <w:p w14:paraId="3E543C2F"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bottom"/>
            <w:hideMark/>
          </w:tcPr>
          <w:p w14:paraId="4095A96C"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bottom"/>
            <w:hideMark/>
          </w:tcPr>
          <w:p w14:paraId="48915F9D" w14:textId="77777777" w:rsidR="00862A01" w:rsidRPr="00872D7E" w:rsidRDefault="00862A01" w:rsidP="00862A01">
            <w:pPr>
              <w:jc w:val="right"/>
              <w:rPr>
                <w:sz w:val="16"/>
                <w:szCs w:val="16"/>
              </w:rPr>
            </w:pPr>
          </w:p>
        </w:tc>
      </w:tr>
      <w:tr w:rsidR="00862A01" w:rsidRPr="00872D7E" w14:paraId="2EAF7AD9" w14:textId="77777777" w:rsidTr="00862A01">
        <w:trPr>
          <w:divId w:val="455682201"/>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0A5F2BE6" w14:textId="77777777" w:rsidR="00862A01" w:rsidRPr="00872D7E" w:rsidRDefault="00862A01" w:rsidP="00862A01">
            <w:pPr>
              <w:rPr>
                <w:b/>
                <w:bCs/>
                <w:color w:val="000000"/>
                <w:sz w:val="16"/>
                <w:szCs w:val="16"/>
              </w:rPr>
            </w:pPr>
            <w:r w:rsidRPr="00872D7E">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bottom"/>
            <w:hideMark/>
          </w:tcPr>
          <w:p w14:paraId="0023C2D7" w14:textId="77777777" w:rsidR="00862A01" w:rsidRPr="00872D7E" w:rsidRDefault="00862A01" w:rsidP="00862A01">
            <w:pPr>
              <w:jc w:val="right"/>
              <w:rPr>
                <w:b/>
                <w:bCs/>
                <w:color w:val="000000"/>
                <w:sz w:val="16"/>
                <w:szCs w:val="16"/>
              </w:rPr>
            </w:pPr>
            <w:r w:rsidRPr="00872D7E">
              <w:rPr>
                <w:b/>
                <w:bCs/>
                <w:color w:val="000000"/>
                <w:sz w:val="16"/>
                <w:szCs w:val="16"/>
              </w:rPr>
              <w:t>(1.085.003)</w:t>
            </w:r>
          </w:p>
        </w:tc>
        <w:tc>
          <w:tcPr>
            <w:tcW w:w="1560" w:type="dxa"/>
            <w:tcBorders>
              <w:top w:val="single" w:sz="4" w:space="0" w:color="auto"/>
              <w:left w:val="nil"/>
              <w:bottom w:val="single" w:sz="4" w:space="0" w:color="auto"/>
              <w:right w:val="nil"/>
            </w:tcBorders>
            <w:shd w:val="clear" w:color="auto" w:fill="auto"/>
            <w:vAlign w:val="bottom"/>
            <w:hideMark/>
          </w:tcPr>
          <w:p w14:paraId="76F672FE" w14:textId="77777777" w:rsidR="00862A01" w:rsidRPr="00872D7E" w:rsidRDefault="00862A01" w:rsidP="00862A01">
            <w:pPr>
              <w:jc w:val="right"/>
              <w:rPr>
                <w:b/>
                <w:bCs/>
                <w:color w:val="000000"/>
                <w:sz w:val="16"/>
                <w:szCs w:val="16"/>
              </w:rPr>
            </w:pPr>
            <w:r w:rsidRPr="00872D7E">
              <w:rPr>
                <w:b/>
                <w:bCs/>
                <w:color w:val="000000"/>
                <w:sz w:val="16"/>
                <w:szCs w:val="16"/>
              </w:rPr>
              <w:t>(900.571)</w:t>
            </w:r>
          </w:p>
        </w:tc>
        <w:tc>
          <w:tcPr>
            <w:tcW w:w="1120" w:type="dxa"/>
            <w:tcBorders>
              <w:top w:val="single" w:sz="4" w:space="0" w:color="auto"/>
              <w:left w:val="nil"/>
              <w:bottom w:val="single" w:sz="4" w:space="0" w:color="auto"/>
              <w:right w:val="nil"/>
            </w:tcBorders>
            <w:shd w:val="clear" w:color="auto" w:fill="auto"/>
            <w:vAlign w:val="bottom"/>
            <w:hideMark/>
          </w:tcPr>
          <w:p w14:paraId="67A65FA7" w14:textId="77777777" w:rsidR="00862A01" w:rsidRPr="00872D7E" w:rsidRDefault="00862A01" w:rsidP="00862A01">
            <w:pPr>
              <w:jc w:val="right"/>
              <w:rPr>
                <w:b/>
                <w:bCs/>
                <w:color w:val="000000"/>
                <w:sz w:val="16"/>
                <w:szCs w:val="16"/>
              </w:rPr>
            </w:pPr>
            <w:r w:rsidRPr="00872D7E">
              <w:rPr>
                <w:b/>
                <w:bCs/>
                <w:color w:val="000000"/>
                <w:sz w:val="16"/>
                <w:szCs w:val="16"/>
              </w:rPr>
              <w:t>50.204</w:t>
            </w:r>
          </w:p>
        </w:tc>
        <w:tc>
          <w:tcPr>
            <w:tcW w:w="1120" w:type="dxa"/>
            <w:tcBorders>
              <w:top w:val="single" w:sz="4" w:space="0" w:color="auto"/>
              <w:left w:val="nil"/>
              <w:bottom w:val="single" w:sz="4" w:space="0" w:color="auto"/>
              <w:right w:val="nil"/>
            </w:tcBorders>
            <w:shd w:val="clear" w:color="auto" w:fill="auto"/>
            <w:vAlign w:val="bottom"/>
            <w:hideMark/>
          </w:tcPr>
          <w:p w14:paraId="74B068C0" w14:textId="77777777" w:rsidR="00862A01" w:rsidRPr="00872D7E" w:rsidRDefault="00862A01" w:rsidP="00862A01">
            <w:pPr>
              <w:jc w:val="right"/>
              <w:rPr>
                <w:b/>
                <w:bCs/>
                <w:color w:val="000000"/>
                <w:sz w:val="16"/>
                <w:szCs w:val="16"/>
              </w:rPr>
            </w:pPr>
            <w:r w:rsidRPr="00872D7E">
              <w:rPr>
                <w:b/>
                <w:bCs/>
                <w:color w:val="000000"/>
                <w:sz w:val="16"/>
                <w:szCs w:val="16"/>
              </w:rPr>
              <w:t>(1.935.370)</w:t>
            </w:r>
          </w:p>
        </w:tc>
      </w:tr>
      <w:tr w:rsidR="00862A01" w:rsidRPr="00872D7E" w14:paraId="62AD2793"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1D089C4B" w14:textId="77777777" w:rsidR="00862A01" w:rsidRPr="00872D7E" w:rsidRDefault="00862A01" w:rsidP="00862A01">
            <w:pPr>
              <w:rPr>
                <w:color w:val="000000"/>
                <w:sz w:val="16"/>
                <w:szCs w:val="16"/>
                <w:vertAlign w:val="superscript"/>
                <w:lang w:eastAsia="tr-TR"/>
              </w:rPr>
            </w:pPr>
            <w:r w:rsidRPr="00872D7E">
              <w:rPr>
                <w:snapToGrid w:val="0"/>
                <w:color w:val="000000"/>
                <w:sz w:val="16"/>
                <w:szCs w:val="16"/>
              </w:rPr>
              <w:t>Türev Finansal Araçlardan Alacaklar</w:t>
            </w:r>
            <w:r w:rsidRPr="00872D7E">
              <w:rPr>
                <w:color w:val="000000"/>
                <w:sz w:val="16"/>
                <w:szCs w:val="16"/>
              </w:rPr>
              <w:t xml:space="preserve"> </w:t>
            </w:r>
            <w:r w:rsidRPr="00872D7E">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6E60AB55" w14:textId="77777777" w:rsidR="00862A01" w:rsidRPr="00872D7E" w:rsidRDefault="00862A01" w:rsidP="00862A01">
            <w:pPr>
              <w:jc w:val="right"/>
              <w:rPr>
                <w:color w:val="000000"/>
                <w:sz w:val="16"/>
                <w:szCs w:val="16"/>
              </w:rPr>
            </w:pPr>
            <w:r w:rsidRPr="00872D7E">
              <w:rPr>
                <w:color w:val="000000"/>
                <w:sz w:val="16"/>
                <w:szCs w:val="16"/>
              </w:rPr>
              <w:t>1.840.484</w:t>
            </w:r>
          </w:p>
        </w:tc>
        <w:tc>
          <w:tcPr>
            <w:tcW w:w="1560" w:type="dxa"/>
            <w:tcBorders>
              <w:top w:val="nil"/>
              <w:left w:val="nil"/>
              <w:bottom w:val="nil"/>
              <w:right w:val="nil"/>
            </w:tcBorders>
            <w:shd w:val="clear" w:color="auto" w:fill="auto"/>
            <w:vAlign w:val="bottom"/>
            <w:hideMark/>
          </w:tcPr>
          <w:p w14:paraId="0D99BDAA" w14:textId="77777777" w:rsidR="00862A01" w:rsidRPr="00872D7E" w:rsidRDefault="00862A01" w:rsidP="00862A01">
            <w:pPr>
              <w:jc w:val="right"/>
              <w:rPr>
                <w:color w:val="000000"/>
                <w:sz w:val="16"/>
                <w:szCs w:val="16"/>
              </w:rPr>
            </w:pPr>
            <w:r w:rsidRPr="00872D7E">
              <w:rPr>
                <w:color w:val="000000"/>
                <w:sz w:val="16"/>
                <w:szCs w:val="16"/>
              </w:rPr>
              <w:t>5.240.477</w:t>
            </w:r>
          </w:p>
        </w:tc>
        <w:tc>
          <w:tcPr>
            <w:tcW w:w="1120" w:type="dxa"/>
            <w:tcBorders>
              <w:top w:val="nil"/>
              <w:left w:val="nil"/>
              <w:bottom w:val="nil"/>
              <w:right w:val="nil"/>
            </w:tcBorders>
            <w:shd w:val="clear" w:color="auto" w:fill="auto"/>
            <w:vAlign w:val="bottom"/>
            <w:hideMark/>
          </w:tcPr>
          <w:p w14:paraId="5E0DD7E1" w14:textId="77777777" w:rsidR="00862A01" w:rsidRPr="00872D7E" w:rsidRDefault="00862A01" w:rsidP="00862A01">
            <w:pPr>
              <w:jc w:val="right"/>
              <w:rPr>
                <w:color w:val="000000"/>
                <w:sz w:val="16"/>
                <w:szCs w:val="16"/>
              </w:rPr>
            </w:pPr>
            <w:r w:rsidRPr="00872D7E">
              <w:rPr>
                <w:color w:val="000000"/>
                <w:sz w:val="16"/>
                <w:szCs w:val="16"/>
              </w:rPr>
              <w:t>2.441.729</w:t>
            </w:r>
          </w:p>
        </w:tc>
        <w:tc>
          <w:tcPr>
            <w:tcW w:w="1120" w:type="dxa"/>
            <w:tcBorders>
              <w:top w:val="nil"/>
              <w:left w:val="nil"/>
              <w:bottom w:val="nil"/>
              <w:right w:val="nil"/>
            </w:tcBorders>
            <w:shd w:val="clear" w:color="auto" w:fill="auto"/>
            <w:vAlign w:val="bottom"/>
            <w:hideMark/>
          </w:tcPr>
          <w:p w14:paraId="541FCA9F" w14:textId="77777777" w:rsidR="00862A01" w:rsidRPr="00872D7E" w:rsidRDefault="00862A01" w:rsidP="00862A01">
            <w:pPr>
              <w:jc w:val="right"/>
              <w:rPr>
                <w:color w:val="000000"/>
                <w:sz w:val="16"/>
                <w:szCs w:val="16"/>
              </w:rPr>
            </w:pPr>
            <w:r w:rsidRPr="00872D7E">
              <w:rPr>
                <w:color w:val="000000"/>
                <w:sz w:val="16"/>
                <w:szCs w:val="16"/>
              </w:rPr>
              <w:t>9.522.690</w:t>
            </w:r>
          </w:p>
        </w:tc>
      </w:tr>
      <w:tr w:rsidR="00862A01" w:rsidRPr="00872D7E" w14:paraId="1858DFB7"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27D42F3C" w14:textId="77777777" w:rsidR="00862A01" w:rsidRPr="00872D7E" w:rsidRDefault="00862A01" w:rsidP="00862A01">
            <w:pPr>
              <w:rPr>
                <w:color w:val="000000"/>
                <w:sz w:val="16"/>
                <w:szCs w:val="16"/>
                <w:vertAlign w:val="superscript"/>
                <w:lang w:eastAsia="tr-TR"/>
              </w:rPr>
            </w:pPr>
            <w:r w:rsidRPr="00872D7E">
              <w:rPr>
                <w:snapToGrid w:val="0"/>
                <w:color w:val="000000"/>
                <w:sz w:val="16"/>
                <w:szCs w:val="16"/>
              </w:rPr>
              <w:t>Türev Finansal Araçlardan Borçlar</w:t>
            </w:r>
            <w:r w:rsidRPr="00872D7E">
              <w:rPr>
                <w:color w:val="000000"/>
                <w:sz w:val="16"/>
                <w:szCs w:val="16"/>
              </w:rPr>
              <w:t xml:space="preserve"> </w:t>
            </w:r>
            <w:r w:rsidRPr="00872D7E">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1224DBCE" w14:textId="77777777" w:rsidR="00862A01" w:rsidRPr="00872D7E" w:rsidRDefault="00862A01" w:rsidP="00862A01">
            <w:pPr>
              <w:jc w:val="right"/>
              <w:rPr>
                <w:color w:val="000000"/>
                <w:sz w:val="16"/>
                <w:szCs w:val="16"/>
              </w:rPr>
            </w:pPr>
            <w:r w:rsidRPr="00872D7E">
              <w:rPr>
                <w:color w:val="000000"/>
                <w:sz w:val="16"/>
                <w:szCs w:val="16"/>
              </w:rPr>
              <w:t>2.925.487</w:t>
            </w:r>
          </w:p>
        </w:tc>
        <w:tc>
          <w:tcPr>
            <w:tcW w:w="1560" w:type="dxa"/>
            <w:tcBorders>
              <w:top w:val="nil"/>
              <w:left w:val="nil"/>
              <w:bottom w:val="nil"/>
              <w:right w:val="nil"/>
            </w:tcBorders>
            <w:shd w:val="clear" w:color="auto" w:fill="auto"/>
            <w:vAlign w:val="bottom"/>
            <w:hideMark/>
          </w:tcPr>
          <w:p w14:paraId="2B111A7F" w14:textId="77777777" w:rsidR="00862A01" w:rsidRPr="00872D7E" w:rsidRDefault="00862A01" w:rsidP="00862A01">
            <w:pPr>
              <w:jc w:val="right"/>
              <w:rPr>
                <w:color w:val="000000"/>
                <w:sz w:val="16"/>
                <w:szCs w:val="16"/>
              </w:rPr>
            </w:pPr>
            <w:r w:rsidRPr="00872D7E">
              <w:rPr>
                <w:color w:val="000000"/>
                <w:sz w:val="16"/>
                <w:szCs w:val="16"/>
              </w:rPr>
              <w:t>6.141.048</w:t>
            </w:r>
          </w:p>
        </w:tc>
        <w:tc>
          <w:tcPr>
            <w:tcW w:w="1120" w:type="dxa"/>
            <w:tcBorders>
              <w:top w:val="nil"/>
              <w:left w:val="nil"/>
              <w:bottom w:val="nil"/>
              <w:right w:val="nil"/>
            </w:tcBorders>
            <w:shd w:val="clear" w:color="auto" w:fill="auto"/>
            <w:vAlign w:val="bottom"/>
            <w:hideMark/>
          </w:tcPr>
          <w:p w14:paraId="4A323781" w14:textId="77777777" w:rsidR="00862A01" w:rsidRPr="00872D7E" w:rsidRDefault="00862A01" w:rsidP="00862A01">
            <w:pPr>
              <w:jc w:val="right"/>
              <w:rPr>
                <w:color w:val="000000"/>
                <w:sz w:val="16"/>
                <w:szCs w:val="16"/>
              </w:rPr>
            </w:pPr>
            <w:r w:rsidRPr="00872D7E">
              <w:rPr>
                <w:color w:val="000000"/>
                <w:sz w:val="16"/>
                <w:szCs w:val="16"/>
              </w:rPr>
              <w:t>2.391.525</w:t>
            </w:r>
          </w:p>
        </w:tc>
        <w:tc>
          <w:tcPr>
            <w:tcW w:w="1120" w:type="dxa"/>
            <w:tcBorders>
              <w:top w:val="nil"/>
              <w:left w:val="nil"/>
              <w:bottom w:val="nil"/>
              <w:right w:val="nil"/>
            </w:tcBorders>
            <w:shd w:val="clear" w:color="auto" w:fill="auto"/>
            <w:vAlign w:val="bottom"/>
            <w:hideMark/>
          </w:tcPr>
          <w:p w14:paraId="038820A4" w14:textId="77777777" w:rsidR="00862A01" w:rsidRPr="00872D7E" w:rsidRDefault="00862A01" w:rsidP="00862A01">
            <w:pPr>
              <w:jc w:val="right"/>
              <w:rPr>
                <w:color w:val="000000"/>
                <w:sz w:val="16"/>
                <w:szCs w:val="16"/>
              </w:rPr>
            </w:pPr>
            <w:r w:rsidRPr="00872D7E">
              <w:rPr>
                <w:color w:val="000000"/>
                <w:sz w:val="16"/>
                <w:szCs w:val="16"/>
              </w:rPr>
              <w:t>11.458.060</w:t>
            </w:r>
          </w:p>
        </w:tc>
      </w:tr>
      <w:tr w:rsidR="00862A01" w:rsidRPr="00872D7E" w14:paraId="5C916979" w14:textId="77777777" w:rsidTr="00862A01">
        <w:trPr>
          <w:divId w:val="455682201"/>
          <w:trHeight w:val="170"/>
        </w:trPr>
        <w:tc>
          <w:tcPr>
            <w:tcW w:w="4678" w:type="dxa"/>
            <w:tcBorders>
              <w:top w:val="nil"/>
              <w:left w:val="nil"/>
              <w:bottom w:val="single" w:sz="4" w:space="0" w:color="auto"/>
              <w:right w:val="nil"/>
            </w:tcBorders>
            <w:shd w:val="clear" w:color="auto" w:fill="auto"/>
            <w:noWrap/>
            <w:vAlign w:val="bottom"/>
            <w:hideMark/>
          </w:tcPr>
          <w:p w14:paraId="248B226F" w14:textId="77777777" w:rsidR="00862A01" w:rsidRPr="00872D7E" w:rsidRDefault="00862A01" w:rsidP="00862A01">
            <w:pPr>
              <w:rPr>
                <w:color w:val="000000"/>
                <w:sz w:val="16"/>
                <w:szCs w:val="16"/>
                <w:lang w:eastAsia="tr-TR"/>
              </w:rPr>
            </w:pPr>
            <w:proofErr w:type="spellStart"/>
            <w:r w:rsidRPr="00872D7E">
              <w:rPr>
                <w:color w:val="000000"/>
                <w:sz w:val="16"/>
                <w:szCs w:val="16"/>
              </w:rPr>
              <w:t>Gayrinakdi</w:t>
            </w:r>
            <w:proofErr w:type="spellEnd"/>
            <w:r w:rsidRPr="00872D7E">
              <w:rPr>
                <w:color w:val="000000"/>
                <w:sz w:val="16"/>
                <w:szCs w:val="16"/>
              </w:rPr>
              <w:t xml:space="preserve"> Krediler </w:t>
            </w:r>
            <w:r w:rsidRPr="00872D7E">
              <w:rPr>
                <w:color w:val="000000"/>
                <w:sz w:val="16"/>
                <w:szCs w:val="16"/>
                <w:vertAlign w:val="superscript"/>
                <w:lang w:eastAsia="tr-TR"/>
              </w:rPr>
              <w:t>(***)</w:t>
            </w:r>
          </w:p>
        </w:tc>
        <w:tc>
          <w:tcPr>
            <w:tcW w:w="1275" w:type="dxa"/>
            <w:tcBorders>
              <w:top w:val="nil"/>
              <w:left w:val="nil"/>
              <w:bottom w:val="single" w:sz="4" w:space="0" w:color="auto"/>
              <w:right w:val="nil"/>
            </w:tcBorders>
            <w:shd w:val="clear" w:color="auto" w:fill="auto"/>
            <w:vAlign w:val="bottom"/>
            <w:hideMark/>
          </w:tcPr>
          <w:p w14:paraId="08B4C396" w14:textId="77777777" w:rsidR="00862A01" w:rsidRPr="00872D7E" w:rsidRDefault="00862A01" w:rsidP="00862A01">
            <w:pPr>
              <w:jc w:val="right"/>
              <w:rPr>
                <w:color w:val="000000"/>
                <w:sz w:val="16"/>
                <w:szCs w:val="16"/>
              </w:rPr>
            </w:pPr>
            <w:r w:rsidRPr="00872D7E">
              <w:rPr>
                <w:color w:val="000000"/>
                <w:sz w:val="16"/>
                <w:szCs w:val="16"/>
              </w:rPr>
              <w:t>991.284</w:t>
            </w:r>
          </w:p>
        </w:tc>
        <w:tc>
          <w:tcPr>
            <w:tcW w:w="1560" w:type="dxa"/>
            <w:tcBorders>
              <w:top w:val="nil"/>
              <w:left w:val="nil"/>
              <w:bottom w:val="single" w:sz="4" w:space="0" w:color="auto"/>
              <w:right w:val="nil"/>
            </w:tcBorders>
            <w:shd w:val="clear" w:color="auto" w:fill="auto"/>
            <w:vAlign w:val="bottom"/>
            <w:hideMark/>
          </w:tcPr>
          <w:p w14:paraId="19BFFB01" w14:textId="77777777" w:rsidR="00862A01" w:rsidRPr="00872D7E" w:rsidRDefault="00862A01" w:rsidP="00862A01">
            <w:pPr>
              <w:jc w:val="right"/>
              <w:rPr>
                <w:color w:val="000000"/>
                <w:sz w:val="16"/>
                <w:szCs w:val="16"/>
              </w:rPr>
            </w:pPr>
            <w:r w:rsidRPr="00872D7E">
              <w:rPr>
                <w:color w:val="000000"/>
                <w:sz w:val="16"/>
                <w:szCs w:val="16"/>
              </w:rPr>
              <w:t>1.064.700</w:t>
            </w:r>
          </w:p>
        </w:tc>
        <w:tc>
          <w:tcPr>
            <w:tcW w:w="1120" w:type="dxa"/>
            <w:tcBorders>
              <w:top w:val="nil"/>
              <w:left w:val="nil"/>
              <w:bottom w:val="single" w:sz="4" w:space="0" w:color="auto"/>
              <w:right w:val="nil"/>
            </w:tcBorders>
            <w:shd w:val="clear" w:color="auto" w:fill="auto"/>
            <w:vAlign w:val="bottom"/>
            <w:hideMark/>
          </w:tcPr>
          <w:p w14:paraId="750D20F7"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single" w:sz="4" w:space="0" w:color="auto"/>
              <w:right w:val="nil"/>
            </w:tcBorders>
            <w:shd w:val="clear" w:color="auto" w:fill="auto"/>
            <w:vAlign w:val="bottom"/>
            <w:hideMark/>
          </w:tcPr>
          <w:p w14:paraId="13B68823" w14:textId="77777777" w:rsidR="00862A01" w:rsidRPr="00872D7E" w:rsidRDefault="00862A01" w:rsidP="00862A01">
            <w:pPr>
              <w:jc w:val="right"/>
              <w:rPr>
                <w:color w:val="000000"/>
                <w:sz w:val="16"/>
                <w:szCs w:val="16"/>
              </w:rPr>
            </w:pPr>
            <w:r w:rsidRPr="00872D7E">
              <w:rPr>
                <w:color w:val="000000"/>
                <w:sz w:val="16"/>
                <w:szCs w:val="16"/>
              </w:rPr>
              <w:t>2.055.984</w:t>
            </w:r>
          </w:p>
        </w:tc>
      </w:tr>
      <w:tr w:rsidR="00862A01" w:rsidRPr="00872D7E" w14:paraId="4B4DA67C"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51884117" w14:textId="77777777" w:rsidR="00862A01" w:rsidRPr="00872D7E" w:rsidRDefault="00862A01" w:rsidP="00862A01">
            <w:pPr>
              <w:rPr>
                <w:color w:val="000000"/>
                <w:sz w:val="16"/>
                <w:szCs w:val="16"/>
              </w:rPr>
            </w:pPr>
          </w:p>
        </w:tc>
        <w:tc>
          <w:tcPr>
            <w:tcW w:w="1275" w:type="dxa"/>
            <w:tcBorders>
              <w:top w:val="nil"/>
              <w:left w:val="nil"/>
              <w:bottom w:val="nil"/>
              <w:right w:val="nil"/>
            </w:tcBorders>
            <w:shd w:val="clear" w:color="auto" w:fill="auto"/>
            <w:vAlign w:val="center"/>
            <w:hideMark/>
          </w:tcPr>
          <w:p w14:paraId="7335EC0A" w14:textId="77777777" w:rsidR="00862A01" w:rsidRPr="00872D7E" w:rsidRDefault="00862A01" w:rsidP="00862A01">
            <w:pPr>
              <w:jc w:val="right"/>
              <w:rPr>
                <w:sz w:val="16"/>
                <w:szCs w:val="16"/>
              </w:rPr>
            </w:pPr>
          </w:p>
        </w:tc>
        <w:tc>
          <w:tcPr>
            <w:tcW w:w="1560" w:type="dxa"/>
            <w:tcBorders>
              <w:top w:val="nil"/>
              <w:left w:val="nil"/>
              <w:bottom w:val="nil"/>
              <w:right w:val="nil"/>
            </w:tcBorders>
            <w:shd w:val="clear" w:color="auto" w:fill="auto"/>
            <w:vAlign w:val="center"/>
            <w:hideMark/>
          </w:tcPr>
          <w:p w14:paraId="76AD2FEB"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center"/>
            <w:hideMark/>
          </w:tcPr>
          <w:p w14:paraId="6D1446F9"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center"/>
            <w:hideMark/>
          </w:tcPr>
          <w:p w14:paraId="3DF3C15B" w14:textId="77777777" w:rsidR="00862A01" w:rsidRPr="00872D7E" w:rsidRDefault="00862A01" w:rsidP="00862A01">
            <w:pPr>
              <w:jc w:val="right"/>
              <w:rPr>
                <w:sz w:val="16"/>
                <w:szCs w:val="16"/>
              </w:rPr>
            </w:pPr>
          </w:p>
        </w:tc>
      </w:tr>
      <w:tr w:rsidR="00862A01" w:rsidRPr="00872D7E" w14:paraId="0720C3C1" w14:textId="77777777" w:rsidTr="00862A01">
        <w:trPr>
          <w:divId w:val="455682201"/>
          <w:trHeight w:val="170"/>
        </w:trPr>
        <w:tc>
          <w:tcPr>
            <w:tcW w:w="4678" w:type="dxa"/>
            <w:tcBorders>
              <w:top w:val="nil"/>
              <w:left w:val="nil"/>
              <w:bottom w:val="single" w:sz="4" w:space="0" w:color="auto"/>
              <w:right w:val="nil"/>
            </w:tcBorders>
            <w:shd w:val="clear" w:color="auto" w:fill="auto"/>
            <w:noWrap/>
            <w:vAlign w:val="center"/>
            <w:hideMark/>
          </w:tcPr>
          <w:p w14:paraId="7CF8C87F" w14:textId="77777777" w:rsidR="00862A01" w:rsidRPr="00872D7E" w:rsidRDefault="00862A01" w:rsidP="00862A01">
            <w:pPr>
              <w:jc w:val="both"/>
              <w:rPr>
                <w:b/>
                <w:bCs/>
                <w:color w:val="000000"/>
                <w:sz w:val="16"/>
                <w:szCs w:val="16"/>
              </w:rPr>
            </w:pPr>
            <w:r w:rsidRPr="00872D7E">
              <w:rPr>
                <w:b/>
                <w:bCs/>
                <w:color w:val="000000"/>
                <w:sz w:val="16"/>
                <w:szCs w:val="16"/>
              </w:rPr>
              <w:t>1 Ocak 2024</w:t>
            </w:r>
          </w:p>
        </w:tc>
        <w:tc>
          <w:tcPr>
            <w:tcW w:w="1275" w:type="dxa"/>
            <w:tcBorders>
              <w:top w:val="nil"/>
              <w:left w:val="nil"/>
              <w:bottom w:val="single" w:sz="4" w:space="0" w:color="auto"/>
              <w:right w:val="nil"/>
            </w:tcBorders>
            <w:shd w:val="clear" w:color="auto" w:fill="auto"/>
            <w:noWrap/>
            <w:vAlign w:val="bottom"/>
            <w:hideMark/>
          </w:tcPr>
          <w:p w14:paraId="6F30AE17" w14:textId="77777777" w:rsidR="00862A01" w:rsidRPr="00872D7E" w:rsidRDefault="00862A01" w:rsidP="00862A01">
            <w:pPr>
              <w:jc w:val="right"/>
              <w:rPr>
                <w:color w:val="000000"/>
                <w:sz w:val="16"/>
                <w:szCs w:val="16"/>
              </w:rPr>
            </w:pPr>
            <w:r w:rsidRPr="00872D7E">
              <w:rPr>
                <w:color w:val="000000"/>
                <w:sz w:val="16"/>
                <w:szCs w:val="16"/>
              </w:rPr>
              <w:t> </w:t>
            </w:r>
          </w:p>
        </w:tc>
        <w:tc>
          <w:tcPr>
            <w:tcW w:w="1560" w:type="dxa"/>
            <w:tcBorders>
              <w:top w:val="nil"/>
              <w:left w:val="nil"/>
              <w:bottom w:val="single" w:sz="4" w:space="0" w:color="auto"/>
              <w:right w:val="nil"/>
            </w:tcBorders>
            <w:shd w:val="clear" w:color="auto" w:fill="auto"/>
            <w:noWrap/>
            <w:vAlign w:val="bottom"/>
            <w:hideMark/>
          </w:tcPr>
          <w:p w14:paraId="39938F3C" w14:textId="77777777" w:rsidR="00862A01" w:rsidRPr="00872D7E" w:rsidRDefault="00862A01" w:rsidP="00862A01">
            <w:pPr>
              <w:jc w:val="right"/>
              <w:rPr>
                <w:color w:val="000000"/>
                <w:sz w:val="16"/>
                <w:szCs w:val="16"/>
              </w:rPr>
            </w:pPr>
            <w:r w:rsidRPr="00872D7E">
              <w:rPr>
                <w:color w:val="000000"/>
                <w:sz w:val="16"/>
                <w:szCs w:val="16"/>
              </w:rPr>
              <w:t> </w:t>
            </w:r>
          </w:p>
        </w:tc>
        <w:tc>
          <w:tcPr>
            <w:tcW w:w="1120" w:type="dxa"/>
            <w:tcBorders>
              <w:top w:val="nil"/>
              <w:left w:val="nil"/>
              <w:bottom w:val="single" w:sz="4" w:space="0" w:color="auto"/>
              <w:right w:val="nil"/>
            </w:tcBorders>
            <w:shd w:val="clear" w:color="auto" w:fill="auto"/>
            <w:noWrap/>
            <w:vAlign w:val="bottom"/>
            <w:hideMark/>
          </w:tcPr>
          <w:p w14:paraId="6CEAB368" w14:textId="77777777" w:rsidR="00862A01" w:rsidRPr="00872D7E" w:rsidRDefault="00862A01" w:rsidP="00862A01">
            <w:pPr>
              <w:jc w:val="right"/>
              <w:rPr>
                <w:color w:val="000000"/>
                <w:sz w:val="16"/>
                <w:szCs w:val="16"/>
              </w:rPr>
            </w:pPr>
            <w:r w:rsidRPr="00872D7E">
              <w:rPr>
                <w:color w:val="000000"/>
                <w:sz w:val="16"/>
                <w:szCs w:val="16"/>
              </w:rPr>
              <w:t> </w:t>
            </w:r>
          </w:p>
        </w:tc>
        <w:tc>
          <w:tcPr>
            <w:tcW w:w="1120" w:type="dxa"/>
            <w:tcBorders>
              <w:top w:val="nil"/>
              <w:left w:val="nil"/>
              <w:bottom w:val="single" w:sz="4" w:space="0" w:color="auto"/>
              <w:right w:val="nil"/>
            </w:tcBorders>
            <w:shd w:val="clear" w:color="auto" w:fill="auto"/>
            <w:noWrap/>
            <w:vAlign w:val="bottom"/>
            <w:hideMark/>
          </w:tcPr>
          <w:p w14:paraId="02F188FB" w14:textId="77777777" w:rsidR="00862A01" w:rsidRPr="00872D7E" w:rsidRDefault="00862A01" w:rsidP="00862A01">
            <w:pPr>
              <w:jc w:val="right"/>
              <w:rPr>
                <w:color w:val="000000"/>
                <w:sz w:val="16"/>
                <w:szCs w:val="16"/>
              </w:rPr>
            </w:pPr>
            <w:r w:rsidRPr="00872D7E">
              <w:rPr>
                <w:color w:val="000000"/>
                <w:sz w:val="16"/>
                <w:szCs w:val="16"/>
              </w:rPr>
              <w:t> </w:t>
            </w:r>
          </w:p>
        </w:tc>
      </w:tr>
      <w:tr w:rsidR="00862A01" w:rsidRPr="00872D7E" w14:paraId="632EF80C"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0F0269EF" w14:textId="77777777" w:rsidR="00862A01" w:rsidRPr="00872D7E" w:rsidRDefault="00862A01" w:rsidP="00862A01">
            <w:pPr>
              <w:rPr>
                <w:color w:val="000000"/>
                <w:sz w:val="16"/>
                <w:szCs w:val="16"/>
              </w:rPr>
            </w:pPr>
            <w:r w:rsidRPr="00872D7E">
              <w:rPr>
                <w:snapToGrid w:val="0"/>
                <w:color w:val="000000"/>
                <w:sz w:val="16"/>
                <w:szCs w:val="16"/>
              </w:rPr>
              <w:t xml:space="preserve">Toplam Varlıklar </w:t>
            </w:r>
          </w:p>
        </w:tc>
        <w:tc>
          <w:tcPr>
            <w:tcW w:w="1275" w:type="dxa"/>
            <w:tcBorders>
              <w:top w:val="nil"/>
              <w:left w:val="nil"/>
              <w:bottom w:val="nil"/>
              <w:right w:val="nil"/>
            </w:tcBorders>
            <w:shd w:val="clear" w:color="auto" w:fill="auto"/>
            <w:vAlign w:val="center"/>
            <w:hideMark/>
          </w:tcPr>
          <w:p w14:paraId="6AA69D60" w14:textId="77777777" w:rsidR="00862A01" w:rsidRPr="00872D7E" w:rsidRDefault="00862A01" w:rsidP="00862A01">
            <w:pPr>
              <w:jc w:val="right"/>
              <w:rPr>
                <w:color w:val="000000"/>
                <w:sz w:val="16"/>
                <w:szCs w:val="16"/>
              </w:rPr>
            </w:pPr>
            <w:r w:rsidRPr="00872D7E">
              <w:rPr>
                <w:color w:val="000000"/>
                <w:sz w:val="16"/>
                <w:szCs w:val="16"/>
              </w:rPr>
              <w:t>414</w:t>
            </w:r>
          </w:p>
        </w:tc>
        <w:tc>
          <w:tcPr>
            <w:tcW w:w="1560" w:type="dxa"/>
            <w:tcBorders>
              <w:top w:val="nil"/>
              <w:left w:val="nil"/>
              <w:bottom w:val="nil"/>
              <w:right w:val="nil"/>
            </w:tcBorders>
            <w:shd w:val="clear" w:color="auto" w:fill="auto"/>
            <w:vAlign w:val="center"/>
            <w:hideMark/>
          </w:tcPr>
          <w:p w14:paraId="14F0593C" w14:textId="77777777" w:rsidR="00862A01" w:rsidRPr="00872D7E" w:rsidRDefault="00862A01" w:rsidP="00862A01">
            <w:pPr>
              <w:jc w:val="right"/>
              <w:rPr>
                <w:color w:val="000000"/>
                <w:sz w:val="16"/>
                <w:szCs w:val="16"/>
              </w:rPr>
            </w:pPr>
            <w:r w:rsidRPr="00872D7E">
              <w:rPr>
                <w:color w:val="000000"/>
                <w:sz w:val="16"/>
                <w:szCs w:val="16"/>
              </w:rPr>
              <w:t>214</w:t>
            </w:r>
          </w:p>
        </w:tc>
        <w:tc>
          <w:tcPr>
            <w:tcW w:w="1120" w:type="dxa"/>
            <w:tcBorders>
              <w:top w:val="nil"/>
              <w:left w:val="nil"/>
              <w:bottom w:val="nil"/>
              <w:right w:val="nil"/>
            </w:tcBorders>
            <w:shd w:val="clear" w:color="auto" w:fill="auto"/>
            <w:vAlign w:val="center"/>
            <w:hideMark/>
          </w:tcPr>
          <w:p w14:paraId="639C1D6C"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center"/>
            <w:hideMark/>
          </w:tcPr>
          <w:p w14:paraId="7721B523" w14:textId="77777777" w:rsidR="00862A01" w:rsidRPr="00872D7E" w:rsidRDefault="00862A01" w:rsidP="00862A01">
            <w:pPr>
              <w:jc w:val="right"/>
              <w:rPr>
                <w:color w:val="000000"/>
                <w:sz w:val="16"/>
                <w:szCs w:val="16"/>
              </w:rPr>
            </w:pPr>
            <w:r w:rsidRPr="00872D7E">
              <w:rPr>
                <w:color w:val="000000"/>
                <w:sz w:val="16"/>
                <w:szCs w:val="16"/>
              </w:rPr>
              <w:t>628</w:t>
            </w:r>
          </w:p>
        </w:tc>
      </w:tr>
      <w:tr w:rsidR="00862A01" w:rsidRPr="00872D7E" w14:paraId="59B9ABCA" w14:textId="77777777" w:rsidTr="00862A01">
        <w:trPr>
          <w:divId w:val="455682201"/>
          <w:trHeight w:val="170"/>
        </w:trPr>
        <w:tc>
          <w:tcPr>
            <w:tcW w:w="4678" w:type="dxa"/>
            <w:tcBorders>
              <w:top w:val="nil"/>
              <w:left w:val="nil"/>
              <w:bottom w:val="single" w:sz="4" w:space="0" w:color="auto"/>
              <w:right w:val="nil"/>
            </w:tcBorders>
            <w:shd w:val="clear" w:color="auto" w:fill="auto"/>
            <w:noWrap/>
            <w:vAlign w:val="bottom"/>
            <w:hideMark/>
          </w:tcPr>
          <w:p w14:paraId="1BEED9C6" w14:textId="77777777" w:rsidR="00862A01" w:rsidRPr="00872D7E" w:rsidRDefault="00862A01" w:rsidP="00862A01">
            <w:pPr>
              <w:rPr>
                <w:color w:val="000000"/>
                <w:sz w:val="16"/>
                <w:szCs w:val="16"/>
              </w:rPr>
            </w:pPr>
            <w:r w:rsidRPr="00872D7E">
              <w:rPr>
                <w:color w:val="000000"/>
                <w:sz w:val="16"/>
                <w:szCs w:val="16"/>
              </w:rPr>
              <w:t xml:space="preserve">Toplam Yükümlülükler </w:t>
            </w:r>
          </w:p>
        </w:tc>
        <w:tc>
          <w:tcPr>
            <w:tcW w:w="1275" w:type="dxa"/>
            <w:tcBorders>
              <w:top w:val="nil"/>
              <w:left w:val="nil"/>
              <w:bottom w:val="single" w:sz="4" w:space="0" w:color="auto"/>
              <w:right w:val="nil"/>
            </w:tcBorders>
            <w:shd w:val="clear" w:color="auto" w:fill="auto"/>
            <w:vAlign w:val="center"/>
            <w:hideMark/>
          </w:tcPr>
          <w:p w14:paraId="35254C9C" w14:textId="77777777" w:rsidR="00862A01" w:rsidRPr="00872D7E" w:rsidRDefault="00862A01" w:rsidP="00862A01">
            <w:pPr>
              <w:jc w:val="right"/>
              <w:rPr>
                <w:color w:val="000000"/>
                <w:sz w:val="16"/>
                <w:szCs w:val="16"/>
              </w:rPr>
            </w:pPr>
            <w:r w:rsidRPr="00872D7E">
              <w:rPr>
                <w:color w:val="000000"/>
                <w:sz w:val="16"/>
                <w:szCs w:val="16"/>
              </w:rPr>
              <w:t>744</w:t>
            </w:r>
          </w:p>
        </w:tc>
        <w:tc>
          <w:tcPr>
            <w:tcW w:w="1560" w:type="dxa"/>
            <w:tcBorders>
              <w:top w:val="nil"/>
              <w:left w:val="nil"/>
              <w:bottom w:val="single" w:sz="4" w:space="0" w:color="auto"/>
              <w:right w:val="nil"/>
            </w:tcBorders>
            <w:shd w:val="clear" w:color="auto" w:fill="auto"/>
            <w:vAlign w:val="center"/>
            <w:hideMark/>
          </w:tcPr>
          <w:p w14:paraId="72F8C1AE"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single" w:sz="4" w:space="0" w:color="auto"/>
              <w:right w:val="nil"/>
            </w:tcBorders>
            <w:shd w:val="clear" w:color="auto" w:fill="auto"/>
            <w:vAlign w:val="center"/>
            <w:hideMark/>
          </w:tcPr>
          <w:p w14:paraId="4C2B1537"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single" w:sz="4" w:space="0" w:color="auto"/>
              <w:right w:val="nil"/>
            </w:tcBorders>
            <w:shd w:val="clear" w:color="auto" w:fill="auto"/>
            <w:vAlign w:val="center"/>
            <w:hideMark/>
          </w:tcPr>
          <w:p w14:paraId="2BD9B320" w14:textId="77777777" w:rsidR="00862A01" w:rsidRPr="00872D7E" w:rsidRDefault="00862A01" w:rsidP="00862A01">
            <w:pPr>
              <w:jc w:val="right"/>
              <w:rPr>
                <w:color w:val="000000"/>
                <w:sz w:val="16"/>
                <w:szCs w:val="16"/>
              </w:rPr>
            </w:pPr>
            <w:r w:rsidRPr="00872D7E">
              <w:rPr>
                <w:color w:val="000000"/>
                <w:sz w:val="16"/>
                <w:szCs w:val="16"/>
              </w:rPr>
              <w:t>744</w:t>
            </w:r>
          </w:p>
        </w:tc>
      </w:tr>
      <w:tr w:rsidR="00862A01" w:rsidRPr="00872D7E" w14:paraId="5374385E"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43004411" w14:textId="77777777" w:rsidR="00862A01" w:rsidRPr="00872D7E" w:rsidRDefault="00862A01" w:rsidP="00862A01">
            <w:pPr>
              <w:jc w:val="right"/>
              <w:rPr>
                <w:color w:val="000000"/>
                <w:sz w:val="16"/>
                <w:szCs w:val="16"/>
              </w:rPr>
            </w:pPr>
          </w:p>
        </w:tc>
        <w:tc>
          <w:tcPr>
            <w:tcW w:w="1275" w:type="dxa"/>
            <w:tcBorders>
              <w:top w:val="nil"/>
              <w:left w:val="nil"/>
              <w:bottom w:val="nil"/>
              <w:right w:val="nil"/>
            </w:tcBorders>
            <w:shd w:val="clear" w:color="auto" w:fill="auto"/>
            <w:noWrap/>
            <w:vAlign w:val="bottom"/>
            <w:hideMark/>
          </w:tcPr>
          <w:p w14:paraId="7C40184A" w14:textId="77777777" w:rsidR="00862A01" w:rsidRPr="00872D7E" w:rsidRDefault="00862A01" w:rsidP="00862A01">
            <w:pPr>
              <w:jc w:val="right"/>
              <w:rPr>
                <w:sz w:val="16"/>
                <w:szCs w:val="16"/>
              </w:rPr>
            </w:pPr>
          </w:p>
        </w:tc>
        <w:tc>
          <w:tcPr>
            <w:tcW w:w="1560" w:type="dxa"/>
            <w:tcBorders>
              <w:top w:val="nil"/>
              <w:left w:val="nil"/>
              <w:bottom w:val="nil"/>
              <w:right w:val="nil"/>
            </w:tcBorders>
            <w:shd w:val="clear" w:color="auto" w:fill="auto"/>
            <w:noWrap/>
            <w:vAlign w:val="bottom"/>
            <w:hideMark/>
          </w:tcPr>
          <w:p w14:paraId="41F0C01A"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noWrap/>
            <w:vAlign w:val="bottom"/>
            <w:hideMark/>
          </w:tcPr>
          <w:p w14:paraId="4C066A9B"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noWrap/>
            <w:vAlign w:val="bottom"/>
            <w:hideMark/>
          </w:tcPr>
          <w:p w14:paraId="2D3488E3" w14:textId="77777777" w:rsidR="00862A01" w:rsidRPr="00872D7E" w:rsidRDefault="00862A01" w:rsidP="00862A01">
            <w:pPr>
              <w:jc w:val="right"/>
              <w:rPr>
                <w:sz w:val="16"/>
                <w:szCs w:val="16"/>
              </w:rPr>
            </w:pPr>
          </w:p>
        </w:tc>
      </w:tr>
      <w:tr w:rsidR="00862A01" w:rsidRPr="00872D7E" w14:paraId="0CBFC037" w14:textId="77777777" w:rsidTr="00862A01">
        <w:trPr>
          <w:divId w:val="455682201"/>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2CA34810" w14:textId="77777777" w:rsidR="00862A01" w:rsidRPr="00872D7E" w:rsidRDefault="00862A01" w:rsidP="00862A01">
            <w:pPr>
              <w:rPr>
                <w:b/>
                <w:bCs/>
                <w:color w:val="000000"/>
                <w:sz w:val="16"/>
                <w:szCs w:val="16"/>
              </w:rPr>
            </w:pPr>
            <w:r w:rsidRPr="00872D7E">
              <w:rPr>
                <w:b/>
                <w:bCs/>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center"/>
            <w:hideMark/>
          </w:tcPr>
          <w:p w14:paraId="0F106675" w14:textId="77777777" w:rsidR="00862A01" w:rsidRPr="00872D7E" w:rsidRDefault="00862A01" w:rsidP="00862A01">
            <w:pPr>
              <w:jc w:val="right"/>
              <w:rPr>
                <w:b/>
                <w:bCs/>
                <w:color w:val="000000"/>
                <w:sz w:val="16"/>
                <w:szCs w:val="16"/>
              </w:rPr>
            </w:pPr>
            <w:r w:rsidRPr="00872D7E">
              <w:rPr>
                <w:b/>
                <w:bCs/>
                <w:color w:val="000000"/>
                <w:sz w:val="16"/>
                <w:szCs w:val="16"/>
              </w:rPr>
              <w:t>(330)</w:t>
            </w:r>
          </w:p>
        </w:tc>
        <w:tc>
          <w:tcPr>
            <w:tcW w:w="1560" w:type="dxa"/>
            <w:tcBorders>
              <w:top w:val="single" w:sz="4" w:space="0" w:color="auto"/>
              <w:left w:val="nil"/>
              <w:bottom w:val="single" w:sz="4" w:space="0" w:color="auto"/>
              <w:right w:val="nil"/>
            </w:tcBorders>
            <w:shd w:val="clear" w:color="auto" w:fill="auto"/>
            <w:vAlign w:val="center"/>
            <w:hideMark/>
          </w:tcPr>
          <w:p w14:paraId="0337456A" w14:textId="77777777" w:rsidR="00862A01" w:rsidRPr="00872D7E" w:rsidRDefault="00862A01" w:rsidP="00862A01">
            <w:pPr>
              <w:jc w:val="right"/>
              <w:rPr>
                <w:b/>
                <w:bCs/>
                <w:color w:val="000000"/>
                <w:sz w:val="16"/>
                <w:szCs w:val="16"/>
              </w:rPr>
            </w:pPr>
            <w:r w:rsidRPr="00872D7E">
              <w:rPr>
                <w:b/>
                <w:bCs/>
                <w:color w:val="000000"/>
                <w:sz w:val="16"/>
                <w:szCs w:val="16"/>
              </w:rPr>
              <w:t>214</w:t>
            </w:r>
          </w:p>
        </w:tc>
        <w:tc>
          <w:tcPr>
            <w:tcW w:w="1120" w:type="dxa"/>
            <w:tcBorders>
              <w:top w:val="single" w:sz="4" w:space="0" w:color="auto"/>
              <w:left w:val="nil"/>
              <w:bottom w:val="single" w:sz="4" w:space="0" w:color="auto"/>
              <w:right w:val="nil"/>
            </w:tcBorders>
            <w:shd w:val="clear" w:color="auto" w:fill="auto"/>
            <w:vAlign w:val="center"/>
            <w:hideMark/>
          </w:tcPr>
          <w:p w14:paraId="7A6E9BBE" w14:textId="77777777" w:rsidR="00862A01" w:rsidRPr="00872D7E" w:rsidRDefault="00862A01" w:rsidP="00862A01">
            <w:pPr>
              <w:jc w:val="right"/>
              <w:rPr>
                <w:b/>
                <w:bCs/>
                <w:color w:val="000000"/>
                <w:sz w:val="16"/>
                <w:szCs w:val="16"/>
              </w:rPr>
            </w:pPr>
            <w:r w:rsidRPr="00872D7E">
              <w:rPr>
                <w:b/>
                <w:bCs/>
                <w:color w:val="000000"/>
                <w:sz w:val="16"/>
                <w:szCs w:val="16"/>
              </w:rPr>
              <w:t>-</w:t>
            </w:r>
          </w:p>
        </w:tc>
        <w:tc>
          <w:tcPr>
            <w:tcW w:w="1120" w:type="dxa"/>
            <w:tcBorders>
              <w:top w:val="single" w:sz="4" w:space="0" w:color="auto"/>
              <w:left w:val="nil"/>
              <w:bottom w:val="single" w:sz="4" w:space="0" w:color="auto"/>
              <w:right w:val="nil"/>
            </w:tcBorders>
            <w:shd w:val="clear" w:color="auto" w:fill="auto"/>
            <w:vAlign w:val="center"/>
            <w:hideMark/>
          </w:tcPr>
          <w:p w14:paraId="0059B6A0" w14:textId="77777777" w:rsidR="00862A01" w:rsidRPr="00872D7E" w:rsidRDefault="00862A01" w:rsidP="00862A01">
            <w:pPr>
              <w:jc w:val="right"/>
              <w:rPr>
                <w:b/>
                <w:bCs/>
                <w:color w:val="000000"/>
                <w:sz w:val="16"/>
                <w:szCs w:val="16"/>
              </w:rPr>
            </w:pPr>
            <w:r w:rsidRPr="00872D7E">
              <w:rPr>
                <w:b/>
                <w:bCs/>
                <w:color w:val="000000"/>
                <w:sz w:val="16"/>
                <w:szCs w:val="16"/>
              </w:rPr>
              <w:t>(116)</w:t>
            </w:r>
          </w:p>
        </w:tc>
      </w:tr>
      <w:tr w:rsidR="00862A01" w:rsidRPr="00872D7E" w14:paraId="4A0534B5"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333DB847" w14:textId="77777777" w:rsidR="00862A01" w:rsidRPr="00872D7E" w:rsidRDefault="00862A01" w:rsidP="00862A01">
            <w:pPr>
              <w:jc w:val="right"/>
              <w:rPr>
                <w:b/>
                <w:bCs/>
                <w:color w:val="000000"/>
                <w:sz w:val="16"/>
                <w:szCs w:val="16"/>
              </w:rPr>
            </w:pPr>
          </w:p>
        </w:tc>
        <w:tc>
          <w:tcPr>
            <w:tcW w:w="1275" w:type="dxa"/>
            <w:tcBorders>
              <w:top w:val="nil"/>
              <w:left w:val="nil"/>
              <w:bottom w:val="nil"/>
              <w:right w:val="nil"/>
            </w:tcBorders>
            <w:shd w:val="clear" w:color="auto" w:fill="auto"/>
            <w:vAlign w:val="center"/>
            <w:hideMark/>
          </w:tcPr>
          <w:p w14:paraId="61D349C8" w14:textId="77777777" w:rsidR="00862A01" w:rsidRPr="00872D7E" w:rsidRDefault="00862A01" w:rsidP="00862A01">
            <w:pPr>
              <w:jc w:val="right"/>
              <w:rPr>
                <w:sz w:val="16"/>
                <w:szCs w:val="16"/>
              </w:rPr>
            </w:pPr>
          </w:p>
        </w:tc>
        <w:tc>
          <w:tcPr>
            <w:tcW w:w="1560" w:type="dxa"/>
            <w:tcBorders>
              <w:top w:val="nil"/>
              <w:left w:val="nil"/>
              <w:bottom w:val="nil"/>
              <w:right w:val="nil"/>
            </w:tcBorders>
            <w:shd w:val="clear" w:color="auto" w:fill="auto"/>
            <w:vAlign w:val="center"/>
            <w:hideMark/>
          </w:tcPr>
          <w:p w14:paraId="01C271FD"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center"/>
            <w:hideMark/>
          </w:tcPr>
          <w:p w14:paraId="1B9B9722" w14:textId="77777777" w:rsidR="00862A01" w:rsidRPr="00872D7E" w:rsidRDefault="00862A01" w:rsidP="00862A01">
            <w:pPr>
              <w:jc w:val="right"/>
              <w:rPr>
                <w:sz w:val="16"/>
                <w:szCs w:val="16"/>
              </w:rPr>
            </w:pPr>
          </w:p>
        </w:tc>
        <w:tc>
          <w:tcPr>
            <w:tcW w:w="1120" w:type="dxa"/>
            <w:tcBorders>
              <w:top w:val="nil"/>
              <w:left w:val="nil"/>
              <w:bottom w:val="nil"/>
              <w:right w:val="nil"/>
            </w:tcBorders>
            <w:shd w:val="clear" w:color="auto" w:fill="auto"/>
            <w:vAlign w:val="center"/>
            <w:hideMark/>
          </w:tcPr>
          <w:p w14:paraId="3B01AAE0" w14:textId="77777777" w:rsidR="00862A01" w:rsidRPr="00872D7E" w:rsidRDefault="00862A01" w:rsidP="00862A01">
            <w:pPr>
              <w:jc w:val="right"/>
              <w:rPr>
                <w:sz w:val="16"/>
                <w:szCs w:val="16"/>
              </w:rPr>
            </w:pPr>
          </w:p>
        </w:tc>
      </w:tr>
      <w:tr w:rsidR="00862A01" w:rsidRPr="00872D7E" w14:paraId="00C211F0" w14:textId="77777777" w:rsidTr="00862A01">
        <w:trPr>
          <w:divId w:val="455682201"/>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44C3DBB8" w14:textId="77777777" w:rsidR="00862A01" w:rsidRPr="00872D7E" w:rsidRDefault="00862A01" w:rsidP="00862A01">
            <w:pPr>
              <w:rPr>
                <w:b/>
                <w:bCs/>
                <w:color w:val="000000"/>
                <w:sz w:val="16"/>
                <w:szCs w:val="16"/>
              </w:rPr>
            </w:pPr>
            <w:r w:rsidRPr="00872D7E">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center"/>
            <w:hideMark/>
          </w:tcPr>
          <w:p w14:paraId="28D10520" w14:textId="77777777" w:rsidR="00862A01" w:rsidRPr="00872D7E" w:rsidRDefault="00862A01" w:rsidP="00862A01">
            <w:pPr>
              <w:jc w:val="right"/>
              <w:rPr>
                <w:b/>
                <w:bCs/>
                <w:color w:val="000000"/>
                <w:sz w:val="16"/>
                <w:szCs w:val="16"/>
              </w:rPr>
            </w:pPr>
            <w:r w:rsidRPr="00872D7E">
              <w:rPr>
                <w:b/>
                <w:bCs/>
                <w:color w:val="000000"/>
                <w:sz w:val="16"/>
                <w:szCs w:val="16"/>
              </w:rPr>
              <w:t>-</w:t>
            </w:r>
          </w:p>
        </w:tc>
        <w:tc>
          <w:tcPr>
            <w:tcW w:w="1560" w:type="dxa"/>
            <w:tcBorders>
              <w:top w:val="single" w:sz="4" w:space="0" w:color="auto"/>
              <w:left w:val="nil"/>
              <w:bottom w:val="single" w:sz="4" w:space="0" w:color="auto"/>
              <w:right w:val="nil"/>
            </w:tcBorders>
            <w:shd w:val="clear" w:color="auto" w:fill="auto"/>
            <w:vAlign w:val="center"/>
            <w:hideMark/>
          </w:tcPr>
          <w:p w14:paraId="75BE69F3" w14:textId="77777777" w:rsidR="00862A01" w:rsidRPr="00872D7E" w:rsidRDefault="00862A01" w:rsidP="00862A01">
            <w:pPr>
              <w:jc w:val="right"/>
              <w:rPr>
                <w:b/>
                <w:bCs/>
                <w:color w:val="000000"/>
                <w:sz w:val="16"/>
                <w:szCs w:val="16"/>
              </w:rPr>
            </w:pPr>
            <w:r w:rsidRPr="00872D7E">
              <w:rPr>
                <w:b/>
                <w:bCs/>
                <w:color w:val="000000"/>
                <w:sz w:val="16"/>
                <w:szCs w:val="16"/>
              </w:rPr>
              <w:t>-</w:t>
            </w:r>
          </w:p>
        </w:tc>
        <w:tc>
          <w:tcPr>
            <w:tcW w:w="1120" w:type="dxa"/>
            <w:tcBorders>
              <w:top w:val="single" w:sz="4" w:space="0" w:color="auto"/>
              <w:left w:val="nil"/>
              <w:bottom w:val="single" w:sz="4" w:space="0" w:color="auto"/>
              <w:right w:val="nil"/>
            </w:tcBorders>
            <w:shd w:val="clear" w:color="auto" w:fill="auto"/>
            <w:vAlign w:val="center"/>
            <w:hideMark/>
          </w:tcPr>
          <w:p w14:paraId="24F37A80" w14:textId="77777777" w:rsidR="00862A01" w:rsidRPr="00872D7E" w:rsidRDefault="00862A01" w:rsidP="00862A01">
            <w:pPr>
              <w:jc w:val="right"/>
              <w:rPr>
                <w:b/>
                <w:bCs/>
                <w:color w:val="000000"/>
                <w:sz w:val="16"/>
                <w:szCs w:val="16"/>
              </w:rPr>
            </w:pPr>
            <w:r w:rsidRPr="00872D7E">
              <w:rPr>
                <w:b/>
                <w:bCs/>
                <w:color w:val="000000"/>
                <w:sz w:val="16"/>
                <w:szCs w:val="16"/>
              </w:rPr>
              <w:t>-</w:t>
            </w:r>
          </w:p>
        </w:tc>
        <w:tc>
          <w:tcPr>
            <w:tcW w:w="1120" w:type="dxa"/>
            <w:tcBorders>
              <w:top w:val="single" w:sz="4" w:space="0" w:color="auto"/>
              <w:left w:val="nil"/>
              <w:bottom w:val="single" w:sz="4" w:space="0" w:color="auto"/>
              <w:right w:val="nil"/>
            </w:tcBorders>
            <w:shd w:val="clear" w:color="auto" w:fill="auto"/>
            <w:vAlign w:val="center"/>
            <w:hideMark/>
          </w:tcPr>
          <w:p w14:paraId="2BAF57A5" w14:textId="77777777" w:rsidR="00862A01" w:rsidRPr="00872D7E" w:rsidRDefault="00862A01" w:rsidP="00862A01">
            <w:pPr>
              <w:jc w:val="right"/>
              <w:rPr>
                <w:b/>
                <w:bCs/>
                <w:color w:val="000000"/>
                <w:sz w:val="16"/>
                <w:szCs w:val="16"/>
              </w:rPr>
            </w:pPr>
            <w:r w:rsidRPr="00872D7E">
              <w:rPr>
                <w:b/>
                <w:bCs/>
                <w:color w:val="000000"/>
                <w:sz w:val="16"/>
                <w:szCs w:val="16"/>
              </w:rPr>
              <w:t>-</w:t>
            </w:r>
          </w:p>
        </w:tc>
      </w:tr>
      <w:tr w:rsidR="00862A01" w:rsidRPr="00872D7E" w14:paraId="09E46A62"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3036D21F" w14:textId="77777777" w:rsidR="00862A01" w:rsidRPr="00872D7E" w:rsidRDefault="00862A01" w:rsidP="00862A01">
            <w:pPr>
              <w:rPr>
                <w:color w:val="000000"/>
                <w:sz w:val="16"/>
                <w:szCs w:val="16"/>
              </w:rPr>
            </w:pPr>
            <w:r w:rsidRPr="00872D7E">
              <w:rPr>
                <w:snapToGrid w:val="0"/>
                <w:color w:val="000000"/>
                <w:sz w:val="16"/>
                <w:szCs w:val="16"/>
              </w:rPr>
              <w:t>Türev Finansal Araçlardan Alacak</w:t>
            </w:r>
          </w:p>
        </w:tc>
        <w:tc>
          <w:tcPr>
            <w:tcW w:w="1275" w:type="dxa"/>
            <w:tcBorders>
              <w:top w:val="nil"/>
              <w:left w:val="nil"/>
              <w:bottom w:val="nil"/>
              <w:right w:val="nil"/>
            </w:tcBorders>
            <w:shd w:val="clear" w:color="auto" w:fill="auto"/>
            <w:vAlign w:val="center"/>
            <w:hideMark/>
          </w:tcPr>
          <w:p w14:paraId="4227B000"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center"/>
            <w:hideMark/>
          </w:tcPr>
          <w:p w14:paraId="0797D2F2"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center"/>
            <w:hideMark/>
          </w:tcPr>
          <w:p w14:paraId="66844F1A"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center"/>
            <w:hideMark/>
          </w:tcPr>
          <w:p w14:paraId="7CDB7354"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40908951" w14:textId="77777777" w:rsidTr="00862A01">
        <w:trPr>
          <w:divId w:val="455682201"/>
          <w:trHeight w:val="170"/>
        </w:trPr>
        <w:tc>
          <w:tcPr>
            <w:tcW w:w="4678" w:type="dxa"/>
            <w:tcBorders>
              <w:top w:val="nil"/>
              <w:left w:val="nil"/>
              <w:bottom w:val="nil"/>
              <w:right w:val="nil"/>
            </w:tcBorders>
            <w:shd w:val="clear" w:color="auto" w:fill="auto"/>
            <w:noWrap/>
            <w:vAlign w:val="bottom"/>
            <w:hideMark/>
          </w:tcPr>
          <w:p w14:paraId="1AD1F7AA" w14:textId="77777777" w:rsidR="00862A01" w:rsidRPr="00872D7E" w:rsidRDefault="00862A01" w:rsidP="00862A01">
            <w:pPr>
              <w:rPr>
                <w:color w:val="000000"/>
                <w:sz w:val="16"/>
                <w:szCs w:val="16"/>
              </w:rPr>
            </w:pPr>
            <w:r w:rsidRPr="00872D7E">
              <w:rPr>
                <w:snapToGrid w:val="0"/>
                <w:color w:val="000000"/>
                <w:sz w:val="16"/>
                <w:szCs w:val="16"/>
              </w:rPr>
              <w:t>Türev Finansal Araçlardan Borçlar</w:t>
            </w:r>
          </w:p>
        </w:tc>
        <w:tc>
          <w:tcPr>
            <w:tcW w:w="1275" w:type="dxa"/>
            <w:tcBorders>
              <w:top w:val="nil"/>
              <w:left w:val="nil"/>
              <w:bottom w:val="nil"/>
              <w:right w:val="nil"/>
            </w:tcBorders>
            <w:shd w:val="clear" w:color="auto" w:fill="auto"/>
            <w:vAlign w:val="center"/>
            <w:hideMark/>
          </w:tcPr>
          <w:p w14:paraId="0416E1DE" w14:textId="77777777" w:rsidR="00862A01" w:rsidRPr="00872D7E" w:rsidRDefault="00862A01" w:rsidP="00862A01">
            <w:pPr>
              <w:jc w:val="right"/>
              <w:rPr>
                <w:color w:val="000000"/>
                <w:sz w:val="16"/>
                <w:szCs w:val="16"/>
              </w:rPr>
            </w:pPr>
            <w:r w:rsidRPr="00872D7E">
              <w:rPr>
                <w:color w:val="000000"/>
                <w:sz w:val="16"/>
                <w:szCs w:val="16"/>
              </w:rPr>
              <w:t>-</w:t>
            </w:r>
          </w:p>
        </w:tc>
        <w:tc>
          <w:tcPr>
            <w:tcW w:w="1560" w:type="dxa"/>
            <w:tcBorders>
              <w:top w:val="nil"/>
              <w:left w:val="nil"/>
              <w:bottom w:val="nil"/>
              <w:right w:val="nil"/>
            </w:tcBorders>
            <w:shd w:val="clear" w:color="auto" w:fill="auto"/>
            <w:vAlign w:val="center"/>
            <w:hideMark/>
          </w:tcPr>
          <w:p w14:paraId="7CE3C275"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center"/>
            <w:hideMark/>
          </w:tcPr>
          <w:p w14:paraId="48A80747" w14:textId="77777777" w:rsidR="00862A01" w:rsidRPr="00872D7E" w:rsidRDefault="00862A01" w:rsidP="00862A01">
            <w:pPr>
              <w:jc w:val="right"/>
              <w:rPr>
                <w:color w:val="000000"/>
                <w:sz w:val="16"/>
                <w:szCs w:val="16"/>
              </w:rPr>
            </w:pPr>
            <w:r w:rsidRPr="00872D7E">
              <w:rPr>
                <w:color w:val="000000"/>
                <w:sz w:val="16"/>
                <w:szCs w:val="16"/>
              </w:rPr>
              <w:t>-</w:t>
            </w:r>
          </w:p>
        </w:tc>
        <w:tc>
          <w:tcPr>
            <w:tcW w:w="1120" w:type="dxa"/>
            <w:tcBorders>
              <w:top w:val="nil"/>
              <w:left w:val="nil"/>
              <w:bottom w:val="nil"/>
              <w:right w:val="nil"/>
            </w:tcBorders>
            <w:shd w:val="clear" w:color="auto" w:fill="auto"/>
            <w:vAlign w:val="center"/>
            <w:hideMark/>
          </w:tcPr>
          <w:p w14:paraId="712C0389"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1CD977BD" w14:textId="77777777" w:rsidTr="00862A01">
        <w:trPr>
          <w:divId w:val="455682201"/>
          <w:trHeight w:val="170"/>
        </w:trPr>
        <w:tc>
          <w:tcPr>
            <w:tcW w:w="4678" w:type="dxa"/>
            <w:tcBorders>
              <w:top w:val="nil"/>
              <w:left w:val="nil"/>
              <w:bottom w:val="single" w:sz="4" w:space="0" w:color="auto"/>
              <w:right w:val="nil"/>
            </w:tcBorders>
            <w:shd w:val="clear" w:color="auto" w:fill="auto"/>
            <w:noWrap/>
            <w:vAlign w:val="bottom"/>
            <w:hideMark/>
          </w:tcPr>
          <w:p w14:paraId="03F0CDA8" w14:textId="77777777" w:rsidR="00862A01" w:rsidRPr="00872D7E" w:rsidRDefault="00862A01" w:rsidP="00862A01">
            <w:pPr>
              <w:rPr>
                <w:b/>
                <w:bCs/>
                <w:color w:val="000000"/>
                <w:sz w:val="16"/>
                <w:szCs w:val="16"/>
              </w:rPr>
            </w:pPr>
            <w:proofErr w:type="spellStart"/>
            <w:r w:rsidRPr="00872D7E">
              <w:rPr>
                <w:b/>
                <w:bCs/>
                <w:snapToGrid w:val="0"/>
                <w:color w:val="000000"/>
                <w:sz w:val="16"/>
                <w:szCs w:val="16"/>
              </w:rPr>
              <w:t>Gayrinakdi</w:t>
            </w:r>
            <w:proofErr w:type="spellEnd"/>
            <w:r w:rsidRPr="00872D7E">
              <w:rPr>
                <w:b/>
                <w:bCs/>
                <w:snapToGrid w:val="0"/>
                <w:color w:val="000000"/>
                <w:sz w:val="16"/>
                <w:szCs w:val="16"/>
              </w:rPr>
              <w:t xml:space="preserve"> Krediler</w:t>
            </w:r>
          </w:p>
        </w:tc>
        <w:tc>
          <w:tcPr>
            <w:tcW w:w="1275" w:type="dxa"/>
            <w:tcBorders>
              <w:top w:val="nil"/>
              <w:left w:val="nil"/>
              <w:bottom w:val="single" w:sz="4" w:space="0" w:color="auto"/>
              <w:right w:val="nil"/>
            </w:tcBorders>
            <w:shd w:val="clear" w:color="auto" w:fill="auto"/>
            <w:vAlign w:val="center"/>
            <w:hideMark/>
          </w:tcPr>
          <w:p w14:paraId="480E68B8" w14:textId="77777777" w:rsidR="00862A01" w:rsidRPr="00872D7E" w:rsidRDefault="00862A01" w:rsidP="00862A01">
            <w:pPr>
              <w:jc w:val="right"/>
              <w:rPr>
                <w:b/>
                <w:bCs/>
                <w:color w:val="000000"/>
                <w:sz w:val="16"/>
                <w:szCs w:val="16"/>
              </w:rPr>
            </w:pPr>
            <w:r w:rsidRPr="00872D7E">
              <w:rPr>
                <w:b/>
                <w:bCs/>
                <w:color w:val="000000"/>
                <w:sz w:val="16"/>
                <w:szCs w:val="16"/>
              </w:rPr>
              <w:t>-</w:t>
            </w:r>
          </w:p>
        </w:tc>
        <w:tc>
          <w:tcPr>
            <w:tcW w:w="1560" w:type="dxa"/>
            <w:tcBorders>
              <w:top w:val="nil"/>
              <w:left w:val="nil"/>
              <w:bottom w:val="single" w:sz="4" w:space="0" w:color="auto"/>
              <w:right w:val="nil"/>
            </w:tcBorders>
            <w:shd w:val="clear" w:color="auto" w:fill="auto"/>
            <w:vAlign w:val="center"/>
            <w:hideMark/>
          </w:tcPr>
          <w:p w14:paraId="6BD427A5" w14:textId="77777777" w:rsidR="00862A01" w:rsidRPr="00872D7E" w:rsidRDefault="00862A01" w:rsidP="00862A01">
            <w:pPr>
              <w:jc w:val="right"/>
              <w:rPr>
                <w:b/>
                <w:bCs/>
                <w:color w:val="000000"/>
                <w:sz w:val="16"/>
                <w:szCs w:val="16"/>
              </w:rPr>
            </w:pPr>
            <w:r w:rsidRPr="00872D7E">
              <w:rPr>
                <w:b/>
                <w:bCs/>
                <w:color w:val="000000"/>
                <w:sz w:val="16"/>
                <w:szCs w:val="16"/>
              </w:rPr>
              <w:t>5.338</w:t>
            </w:r>
          </w:p>
        </w:tc>
        <w:tc>
          <w:tcPr>
            <w:tcW w:w="1120" w:type="dxa"/>
            <w:tcBorders>
              <w:top w:val="nil"/>
              <w:left w:val="nil"/>
              <w:bottom w:val="single" w:sz="4" w:space="0" w:color="auto"/>
              <w:right w:val="nil"/>
            </w:tcBorders>
            <w:shd w:val="clear" w:color="auto" w:fill="auto"/>
            <w:vAlign w:val="center"/>
            <w:hideMark/>
          </w:tcPr>
          <w:p w14:paraId="4501C5C0" w14:textId="77777777" w:rsidR="00862A01" w:rsidRPr="00872D7E" w:rsidRDefault="00862A01" w:rsidP="00862A01">
            <w:pPr>
              <w:jc w:val="right"/>
              <w:rPr>
                <w:b/>
                <w:bCs/>
                <w:color w:val="000000"/>
                <w:sz w:val="16"/>
                <w:szCs w:val="16"/>
              </w:rPr>
            </w:pPr>
            <w:r w:rsidRPr="00872D7E">
              <w:rPr>
                <w:b/>
                <w:bCs/>
                <w:color w:val="000000"/>
                <w:sz w:val="16"/>
                <w:szCs w:val="16"/>
              </w:rPr>
              <w:t>-</w:t>
            </w:r>
          </w:p>
        </w:tc>
        <w:tc>
          <w:tcPr>
            <w:tcW w:w="1120" w:type="dxa"/>
            <w:tcBorders>
              <w:top w:val="nil"/>
              <w:left w:val="nil"/>
              <w:bottom w:val="single" w:sz="4" w:space="0" w:color="auto"/>
              <w:right w:val="nil"/>
            </w:tcBorders>
            <w:shd w:val="clear" w:color="auto" w:fill="auto"/>
            <w:vAlign w:val="center"/>
            <w:hideMark/>
          </w:tcPr>
          <w:p w14:paraId="700C244C" w14:textId="77777777" w:rsidR="00862A01" w:rsidRPr="00872D7E" w:rsidRDefault="00862A01" w:rsidP="00862A01">
            <w:pPr>
              <w:jc w:val="right"/>
              <w:rPr>
                <w:b/>
                <w:bCs/>
                <w:color w:val="000000"/>
                <w:sz w:val="16"/>
                <w:szCs w:val="16"/>
              </w:rPr>
            </w:pPr>
            <w:r w:rsidRPr="00872D7E">
              <w:rPr>
                <w:b/>
                <w:bCs/>
                <w:color w:val="000000"/>
                <w:sz w:val="16"/>
                <w:szCs w:val="16"/>
              </w:rPr>
              <w:t>5.338</w:t>
            </w:r>
          </w:p>
        </w:tc>
      </w:tr>
    </w:tbl>
    <w:p w14:paraId="32D280EE" w14:textId="01E967D7" w:rsidR="00DF7AFD" w:rsidRPr="00872D7E" w:rsidRDefault="00DF7AFD" w:rsidP="00D86E8B"/>
    <w:p w14:paraId="1315A37F" w14:textId="4B26D818" w:rsidR="000E62E2" w:rsidRPr="00872D7E" w:rsidRDefault="000E62E2" w:rsidP="00A81901">
      <w:pPr>
        <w:rPr>
          <w:sz w:val="16"/>
          <w:szCs w:val="20"/>
        </w:rPr>
      </w:pPr>
      <w:r w:rsidRPr="00872D7E">
        <w:rPr>
          <w:sz w:val="16"/>
          <w:szCs w:val="20"/>
          <w:vertAlign w:val="superscript"/>
        </w:rPr>
        <w:t>(*)</w:t>
      </w:r>
      <w:r w:rsidR="00A81901" w:rsidRPr="00872D7E">
        <w:rPr>
          <w:sz w:val="16"/>
          <w:szCs w:val="20"/>
        </w:rPr>
        <w:tab/>
      </w:r>
      <w:r w:rsidR="00D745AF" w:rsidRPr="00872D7E">
        <w:rPr>
          <w:sz w:val="16"/>
          <w:szCs w:val="20"/>
        </w:rPr>
        <w:t>Kıymetli madenler de “Diğer YP” sütununda gösterilmektedir.</w:t>
      </w:r>
    </w:p>
    <w:p w14:paraId="6488BD12" w14:textId="621A47E6" w:rsidR="00A81901" w:rsidRPr="00872D7E" w:rsidRDefault="00A81901" w:rsidP="00010412">
      <w:pPr>
        <w:ind w:left="560" w:hanging="560"/>
        <w:rPr>
          <w:sz w:val="16"/>
          <w:szCs w:val="20"/>
        </w:rPr>
      </w:pPr>
      <w:r w:rsidRPr="00872D7E">
        <w:rPr>
          <w:sz w:val="16"/>
          <w:szCs w:val="20"/>
          <w:vertAlign w:val="superscript"/>
        </w:rPr>
        <w:t>(**)</w:t>
      </w:r>
      <w:r w:rsidRPr="00872D7E">
        <w:rPr>
          <w:sz w:val="16"/>
          <w:szCs w:val="20"/>
        </w:rPr>
        <w:tab/>
      </w:r>
      <w:r w:rsidR="006B7AF7" w:rsidRPr="00872D7E">
        <w:rPr>
          <w:sz w:val="16"/>
          <w:szCs w:val="20"/>
        </w:rPr>
        <w:t>31 Aralık 2024 tarihi itibarıyla</w:t>
      </w:r>
      <w:r w:rsidRPr="00872D7E">
        <w:rPr>
          <w:sz w:val="16"/>
          <w:szCs w:val="20"/>
        </w:rPr>
        <w:t xml:space="preserve"> türev finansal araçlar içerisinde 4.634.521</w:t>
      </w:r>
      <w:r w:rsidR="006B7AF7" w:rsidRPr="00872D7E">
        <w:rPr>
          <w:sz w:val="16"/>
          <w:szCs w:val="20"/>
        </w:rPr>
        <w:t xml:space="preserve"> </w:t>
      </w:r>
      <w:r w:rsidRPr="00872D7E">
        <w:rPr>
          <w:sz w:val="16"/>
          <w:szCs w:val="20"/>
        </w:rPr>
        <w:t>TL</w:t>
      </w:r>
      <w:r w:rsidR="006B7AF7" w:rsidRPr="00872D7E">
        <w:rPr>
          <w:sz w:val="16"/>
          <w:szCs w:val="20"/>
        </w:rPr>
        <w:t xml:space="preserve"> (1 Ocak 2024: Bulunmamaktadır)</w:t>
      </w:r>
      <w:r w:rsidRPr="00872D7E">
        <w:rPr>
          <w:sz w:val="16"/>
          <w:szCs w:val="20"/>
        </w:rPr>
        <w:t xml:space="preserve"> döviz alım taahhüdü, türev finansal borçlar içerisinde 3.818.130 TL</w:t>
      </w:r>
      <w:r w:rsidR="006B7AF7" w:rsidRPr="00872D7E">
        <w:rPr>
          <w:sz w:val="16"/>
          <w:szCs w:val="20"/>
        </w:rPr>
        <w:t xml:space="preserve"> (1 Ocak 2024: Bulunmamaktadır)</w:t>
      </w:r>
      <w:r w:rsidRPr="00872D7E">
        <w:rPr>
          <w:sz w:val="16"/>
          <w:szCs w:val="20"/>
        </w:rPr>
        <w:t xml:space="preserve"> döviz satım taahhüdü yer almaktadır.</w:t>
      </w:r>
    </w:p>
    <w:p w14:paraId="73E34540" w14:textId="5192C817" w:rsidR="00AD5CE1" w:rsidRPr="00872D7E" w:rsidRDefault="00AD5CE1" w:rsidP="00AD5CE1">
      <w:pPr>
        <w:rPr>
          <w:sz w:val="16"/>
          <w:szCs w:val="20"/>
        </w:rPr>
      </w:pPr>
      <w:r w:rsidRPr="00872D7E">
        <w:rPr>
          <w:sz w:val="16"/>
          <w:szCs w:val="20"/>
          <w:vertAlign w:val="superscript"/>
        </w:rPr>
        <w:t>(***)</w:t>
      </w:r>
      <w:r w:rsidRPr="00872D7E">
        <w:rPr>
          <w:sz w:val="16"/>
          <w:szCs w:val="20"/>
        </w:rPr>
        <w:tab/>
        <w:t>Net bilanço dışı pozisyona etkisi bulunmamaktadır.</w:t>
      </w:r>
    </w:p>
    <w:p w14:paraId="58FBE4CC" w14:textId="354CE372" w:rsidR="00AB415C" w:rsidRPr="00872D7E" w:rsidRDefault="009974FE" w:rsidP="00AD5CE1">
      <w:pPr>
        <w:rPr>
          <w:sz w:val="16"/>
          <w:szCs w:val="20"/>
        </w:rPr>
      </w:pPr>
      <w:r w:rsidRPr="00872D7E">
        <w:rPr>
          <w:sz w:val="16"/>
          <w:szCs w:val="20"/>
          <w:vertAlign w:val="superscript"/>
        </w:rPr>
        <w:t>(****)</w:t>
      </w:r>
      <w:r w:rsidRPr="00872D7E">
        <w:rPr>
          <w:sz w:val="16"/>
          <w:szCs w:val="20"/>
        </w:rPr>
        <w:tab/>
        <w:t>Türev finansal araçlar dahil edilmiştir.</w:t>
      </w:r>
    </w:p>
    <w:p w14:paraId="61348DEF" w14:textId="5A6D2D6F" w:rsidR="00AB415C" w:rsidRPr="00872D7E" w:rsidRDefault="009974FE" w:rsidP="00AD5CE1">
      <w:pPr>
        <w:rPr>
          <w:sz w:val="16"/>
          <w:szCs w:val="20"/>
        </w:rPr>
      </w:pPr>
      <w:r w:rsidRPr="00872D7E">
        <w:rPr>
          <w:sz w:val="16"/>
          <w:szCs w:val="20"/>
          <w:vertAlign w:val="superscript"/>
        </w:rPr>
        <w:t>(*****)</w:t>
      </w:r>
      <w:r w:rsidRPr="00872D7E">
        <w:rPr>
          <w:sz w:val="16"/>
          <w:szCs w:val="20"/>
          <w:vertAlign w:val="superscript"/>
        </w:rPr>
        <w:tab/>
      </w:r>
      <w:r w:rsidRPr="00872D7E">
        <w:rPr>
          <w:sz w:val="16"/>
          <w:szCs w:val="20"/>
        </w:rPr>
        <w:t>Genel karşılıklar ve Türev finansal yükümlülükler gösterilmektedir.</w:t>
      </w:r>
    </w:p>
    <w:p w14:paraId="65836CA2" w14:textId="7A5661C1" w:rsidR="00E2561C" w:rsidRPr="00872D7E" w:rsidRDefault="00E2561C" w:rsidP="00A81901">
      <w:r w:rsidRPr="00872D7E">
        <w:br w:type="page"/>
      </w:r>
    </w:p>
    <w:p w14:paraId="06A68315" w14:textId="74E9336C" w:rsidR="00263A00" w:rsidRPr="00872D7E" w:rsidRDefault="006218A8" w:rsidP="00263A00">
      <w:pPr>
        <w:pStyle w:val="BodyTextIndent"/>
        <w:widowControl w:val="0"/>
        <w:spacing w:line="235" w:lineRule="auto"/>
        <w:ind w:firstLine="0"/>
        <w:jc w:val="left"/>
        <w:rPr>
          <w:b/>
          <w:szCs w:val="20"/>
        </w:rPr>
      </w:pPr>
      <w:r w:rsidRPr="00872D7E">
        <w:rPr>
          <w:b/>
          <w:szCs w:val="20"/>
        </w:rPr>
        <w:lastRenderedPageBreak/>
        <w:t>MALİ BÜNYEYE VE RİSK YÖNETİMİNE İLİŞKİN BİLGİLER</w:t>
      </w:r>
      <w:r w:rsidR="00263A00" w:rsidRPr="00872D7E">
        <w:rPr>
          <w:b/>
          <w:szCs w:val="20"/>
        </w:rPr>
        <w:t xml:space="preserve"> (Devamı)</w:t>
      </w:r>
    </w:p>
    <w:p w14:paraId="27E0DC0A" w14:textId="77777777" w:rsidR="00263A00" w:rsidRPr="00872D7E" w:rsidRDefault="00263A00" w:rsidP="00263A00">
      <w:pPr>
        <w:widowControl w:val="0"/>
        <w:tabs>
          <w:tab w:val="left" w:pos="720"/>
        </w:tabs>
        <w:ind w:hanging="567"/>
        <w:jc w:val="both"/>
        <w:rPr>
          <w:b/>
          <w:szCs w:val="20"/>
        </w:rPr>
      </w:pPr>
    </w:p>
    <w:p w14:paraId="5A512CAC" w14:textId="2C7215B7" w:rsidR="000E604F" w:rsidRPr="00872D7E" w:rsidRDefault="00C25A1D" w:rsidP="009F6E11">
      <w:pPr>
        <w:widowControl w:val="0"/>
        <w:autoSpaceDE w:val="0"/>
        <w:autoSpaceDN w:val="0"/>
        <w:adjustRightInd w:val="0"/>
        <w:ind w:left="851" w:hanging="851"/>
        <w:rPr>
          <w:b/>
          <w:szCs w:val="20"/>
        </w:rPr>
      </w:pPr>
      <w:bookmarkStart w:id="35" w:name="_Hlk85101661"/>
      <w:r w:rsidRPr="00872D7E">
        <w:rPr>
          <w:b/>
          <w:szCs w:val="20"/>
        </w:rPr>
        <w:t>I</w:t>
      </w:r>
      <w:r w:rsidR="0004114F" w:rsidRPr="00872D7E">
        <w:rPr>
          <w:b/>
          <w:szCs w:val="20"/>
        </w:rPr>
        <w:t>V</w:t>
      </w:r>
      <w:r w:rsidR="000E604F" w:rsidRPr="00872D7E">
        <w:rPr>
          <w:b/>
          <w:szCs w:val="20"/>
        </w:rPr>
        <w:t>.</w:t>
      </w:r>
      <w:r w:rsidR="000E604F" w:rsidRPr="00872D7E">
        <w:rPr>
          <w:szCs w:val="20"/>
        </w:rPr>
        <w:tab/>
      </w:r>
      <w:r w:rsidR="006218A8" w:rsidRPr="00872D7E">
        <w:rPr>
          <w:b/>
          <w:szCs w:val="20"/>
        </w:rPr>
        <w:t>BANKACILIK HESAPLARINDAN KAYNAKLANAN HİSSE SENEDİ POZİSYON RİSKİNE İLİŞKİN AÇIKLAMALAR</w:t>
      </w:r>
    </w:p>
    <w:p w14:paraId="4CEB9550" w14:textId="77777777" w:rsidR="0093278A" w:rsidRPr="00872D7E" w:rsidRDefault="0093278A" w:rsidP="0093278A"/>
    <w:p w14:paraId="784E6062" w14:textId="427C8F1E" w:rsidR="000633F7" w:rsidRPr="00872D7E" w:rsidRDefault="007F6642" w:rsidP="009245E5">
      <w:pPr>
        <w:widowControl w:val="0"/>
        <w:ind w:left="851"/>
        <w:jc w:val="both"/>
        <w:rPr>
          <w:bCs/>
          <w:szCs w:val="20"/>
        </w:rPr>
      </w:pPr>
      <w:r w:rsidRPr="00872D7E">
        <w:rPr>
          <w:szCs w:val="20"/>
        </w:rPr>
        <w:t>Banka’nın hisse senedi pozisyonu bulunmamaktadır</w:t>
      </w:r>
      <w:r w:rsidR="009245E5" w:rsidRPr="00872D7E">
        <w:rPr>
          <w:szCs w:val="20"/>
        </w:rPr>
        <w:t>.</w:t>
      </w:r>
    </w:p>
    <w:p w14:paraId="0014A0D9" w14:textId="77777777" w:rsidR="007F6642" w:rsidRPr="00872D7E" w:rsidRDefault="007F6642" w:rsidP="000633F7">
      <w:pPr>
        <w:widowControl w:val="0"/>
        <w:jc w:val="both"/>
        <w:rPr>
          <w:bCs/>
          <w:szCs w:val="20"/>
        </w:rPr>
      </w:pPr>
    </w:p>
    <w:bookmarkEnd w:id="35"/>
    <w:p w14:paraId="636E7BE7" w14:textId="2FB7E91E" w:rsidR="002C6E36" w:rsidRPr="00872D7E" w:rsidRDefault="0004114F" w:rsidP="009F6E11">
      <w:pPr>
        <w:widowControl w:val="0"/>
        <w:autoSpaceDE w:val="0"/>
        <w:autoSpaceDN w:val="0"/>
        <w:adjustRightInd w:val="0"/>
        <w:ind w:left="851" w:hanging="851"/>
        <w:rPr>
          <w:b/>
          <w:szCs w:val="20"/>
        </w:rPr>
      </w:pPr>
      <w:r w:rsidRPr="00872D7E">
        <w:rPr>
          <w:b/>
          <w:szCs w:val="20"/>
        </w:rPr>
        <w:t>V</w:t>
      </w:r>
      <w:r w:rsidR="002C6E36" w:rsidRPr="00872D7E">
        <w:rPr>
          <w:b/>
          <w:szCs w:val="20"/>
        </w:rPr>
        <w:t>.</w:t>
      </w:r>
      <w:r w:rsidR="002C6E36" w:rsidRPr="00872D7E">
        <w:rPr>
          <w:b/>
          <w:szCs w:val="20"/>
        </w:rPr>
        <w:tab/>
      </w:r>
      <w:r w:rsidR="006218A8" w:rsidRPr="00872D7E">
        <w:rPr>
          <w:b/>
          <w:szCs w:val="20"/>
        </w:rPr>
        <w:t>LİKİDİTE RİSKİNE İLİŞKİN AÇIKLAMALAR</w:t>
      </w:r>
    </w:p>
    <w:p w14:paraId="50B55E44" w14:textId="77777777" w:rsidR="000633F7" w:rsidRPr="00872D7E" w:rsidRDefault="000633F7" w:rsidP="000633F7">
      <w:pPr>
        <w:widowControl w:val="0"/>
        <w:autoSpaceDE w:val="0"/>
        <w:autoSpaceDN w:val="0"/>
        <w:jc w:val="both"/>
        <w:rPr>
          <w:szCs w:val="20"/>
        </w:rPr>
      </w:pPr>
    </w:p>
    <w:p w14:paraId="20943AD7" w14:textId="78E3A81D" w:rsidR="006F4231" w:rsidRPr="00872D7E" w:rsidRDefault="006F4231" w:rsidP="00701863">
      <w:pPr>
        <w:widowControl w:val="0"/>
        <w:autoSpaceDE w:val="0"/>
        <w:autoSpaceDN w:val="0"/>
        <w:ind w:left="840"/>
        <w:jc w:val="both"/>
        <w:rPr>
          <w:szCs w:val="20"/>
        </w:rPr>
      </w:pPr>
      <w:r w:rsidRPr="00872D7E">
        <w:rPr>
          <w:szCs w:val="20"/>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45530FF6" w14:textId="77777777" w:rsidR="000633F7" w:rsidRPr="00872D7E" w:rsidRDefault="000633F7" w:rsidP="00701863">
      <w:pPr>
        <w:widowControl w:val="0"/>
        <w:autoSpaceDE w:val="0"/>
        <w:autoSpaceDN w:val="0"/>
        <w:ind w:left="840"/>
        <w:jc w:val="both"/>
        <w:rPr>
          <w:szCs w:val="20"/>
        </w:rPr>
      </w:pPr>
    </w:p>
    <w:p w14:paraId="71A20F7D" w14:textId="3AC29A1A" w:rsidR="006F4231" w:rsidRPr="00872D7E" w:rsidRDefault="006F4231" w:rsidP="00701863">
      <w:pPr>
        <w:widowControl w:val="0"/>
        <w:autoSpaceDE w:val="0"/>
        <w:autoSpaceDN w:val="0"/>
        <w:ind w:left="840"/>
        <w:jc w:val="both"/>
        <w:rPr>
          <w:szCs w:val="20"/>
        </w:rPr>
      </w:pPr>
      <w:r w:rsidRPr="00872D7E">
        <w:rPr>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4DA0D00C" w14:textId="77777777" w:rsidR="000633F7" w:rsidRPr="00872D7E" w:rsidRDefault="000633F7" w:rsidP="00701863">
      <w:pPr>
        <w:widowControl w:val="0"/>
        <w:autoSpaceDE w:val="0"/>
        <w:autoSpaceDN w:val="0"/>
        <w:ind w:left="840"/>
        <w:jc w:val="both"/>
        <w:rPr>
          <w:szCs w:val="20"/>
        </w:rPr>
      </w:pPr>
    </w:p>
    <w:p w14:paraId="71390FE4" w14:textId="77777777" w:rsidR="006F4231" w:rsidRPr="00872D7E" w:rsidRDefault="006F4231" w:rsidP="00701863">
      <w:pPr>
        <w:widowControl w:val="0"/>
        <w:autoSpaceDE w:val="0"/>
        <w:autoSpaceDN w:val="0"/>
        <w:ind w:left="840"/>
        <w:jc w:val="both"/>
        <w:rPr>
          <w:szCs w:val="20"/>
        </w:rPr>
      </w:pPr>
      <w:r w:rsidRPr="00872D7E">
        <w:rPr>
          <w:szCs w:val="20"/>
        </w:rPr>
        <w:t>APKO, Banka’nın maruz kaldığı likidite riskini değerlendirerek banka stratejilerini ve rekabet koşullarını da dikkate alarak banka bilançosunun yönetilmesi için ilgili birimlerce icra edilecek kararları almakta ve uygulamaları izlemektedir.</w:t>
      </w:r>
    </w:p>
    <w:p w14:paraId="7A2B8532" w14:textId="77777777" w:rsidR="000633F7" w:rsidRPr="00872D7E" w:rsidRDefault="000633F7" w:rsidP="00701863">
      <w:pPr>
        <w:widowControl w:val="0"/>
        <w:autoSpaceDE w:val="0"/>
        <w:autoSpaceDN w:val="0"/>
        <w:ind w:left="840"/>
        <w:jc w:val="both"/>
        <w:rPr>
          <w:szCs w:val="20"/>
        </w:rPr>
      </w:pPr>
    </w:p>
    <w:p w14:paraId="2E8457EB" w14:textId="0C9A2DC4" w:rsidR="006F4231" w:rsidRPr="00872D7E" w:rsidRDefault="006F4231" w:rsidP="00701863">
      <w:pPr>
        <w:widowControl w:val="0"/>
        <w:autoSpaceDE w:val="0"/>
        <w:autoSpaceDN w:val="0"/>
        <w:ind w:left="840"/>
        <w:jc w:val="both"/>
        <w:rPr>
          <w:szCs w:val="20"/>
        </w:rPr>
      </w:pPr>
      <w:r w:rsidRPr="00872D7E">
        <w:rPr>
          <w:szCs w:val="20"/>
        </w:rPr>
        <w:t>Risk Yönetim Başkanlığı, Banka likidite riskini tanımlayıp,</w:t>
      </w:r>
      <w:r w:rsidRPr="00872D7E">
        <w:rPr>
          <w:color w:val="1F497D"/>
          <w:szCs w:val="20"/>
        </w:rPr>
        <w:t xml:space="preserve"> </w:t>
      </w:r>
      <w:r w:rsidRPr="00872D7E">
        <w:rPr>
          <w:szCs w:val="20"/>
        </w:rPr>
        <w:t>yasal mevzuata uygun likidite riski ölçümleme yöntemleri ile riskleri ölçmekte, izlemekte ve periyodik olarak ilgili birim, kom</w:t>
      </w:r>
      <w:r w:rsidR="005561C7" w:rsidRPr="00872D7E">
        <w:rPr>
          <w:szCs w:val="20"/>
        </w:rPr>
        <w:t>ite ve üst yönetime sunmaktadır, ayrıca</w:t>
      </w:r>
      <w:r w:rsidRPr="00872D7E">
        <w:rPr>
          <w:szCs w:val="20"/>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41E57A31" w14:textId="77777777" w:rsidR="000633F7" w:rsidRPr="00872D7E" w:rsidRDefault="000633F7" w:rsidP="00701863">
      <w:pPr>
        <w:widowControl w:val="0"/>
        <w:autoSpaceDE w:val="0"/>
        <w:autoSpaceDN w:val="0"/>
        <w:ind w:left="840"/>
        <w:jc w:val="both"/>
        <w:rPr>
          <w:szCs w:val="20"/>
        </w:rPr>
      </w:pPr>
    </w:p>
    <w:p w14:paraId="7A1625EE" w14:textId="5833F403" w:rsidR="007F6642" w:rsidRPr="00872D7E" w:rsidRDefault="007F6642" w:rsidP="00701863">
      <w:pPr>
        <w:ind w:left="840"/>
        <w:jc w:val="both"/>
        <w:rPr>
          <w:szCs w:val="20"/>
        </w:rPr>
      </w:pPr>
      <w:r w:rsidRPr="00872D7E">
        <w:rPr>
          <w:szCs w:val="20"/>
        </w:rPr>
        <w:t>Banka üst düzey yönetimi, likidite riskine ilişkin yönetim stratejilerini belirlemek için;</w:t>
      </w:r>
    </w:p>
    <w:p w14:paraId="0373C9B7" w14:textId="77777777" w:rsidR="007F6642" w:rsidRPr="00872D7E" w:rsidRDefault="007F6642" w:rsidP="00701863">
      <w:pPr>
        <w:ind w:left="840"/>
        <w:jc w:val="both"/>
        <w:rPr>
          <w:szCs w:val="20"/>
        </w:rPr>
      </w:pPr>
    </w:p>
    <w:p w14:paraId="5B9E9FB3" w14:textId="3C4A87E7" w:rsidR="007F6642" w:rsidRPr="00872D7E" w:rsidRDefault="007F6642" w:rsidP="00394E48">
      <w:pPr>
        <w:ind w:left="1276" w:hanging="436"/>
        <w:jc w:val="both"/>
        <w:rPr>
          <w:szCs w:val="20"/>
        </w:rPr>
      </w:pPr>
      <w:r w:rsidRPr="00872D7E">
        <w:rPr>
          <w:szCs w:val="20"/>
        </w:rPr>
        <w:t>-</w:t>
      </w:r>
      <w:r w:rsidR="00394E48" w:rsidRPr="00872D7E">
        <w:rPr>
          <w:szCs w:val="20"/>
        </w:rPr>
        <w:tab/>
      </w:r>
      <w:r w:rsidRPr="00872D7E">
        <w:rPr>
          <w:szCs w:val="20"/>
        </w:rPr>
        <w:t xml:space="preserve">Yerli ve yabancı para birimlerinden oluşan yükümlülüklerini izler. </w:t>
      </w:r>
    </w:p>
    <w:p w14:paraId="64465BAF" w14:textId="124C89CE" w:rsidR="007F6642" w:rsidRPr="00872D7E" w:rsidRDefault="007F6642" w:rsidP="00394E48">
      <w:pPr>
        <w:ind w:left="1276" w:hanging="436"/>
        <w:jc w:val="both"/>
        <w:rPr>
          <w:szCs w:val="20"/>
        </w:rPr>
      </w:pPr>
      <w:r w:rsidRPr="00872D7E">
        <w:rPr>
          <w:szCs w:val="20"/>
        </w:rPr>
        <w:t>-</w:t>
      </w:r>
      <w:r w:rsidR="00394E48" w:rsidRPr="00872D7E">
        <w:rPr>
          <w:szCs w:val="20"/>
        </w:rPr>
        <w:tab/>
      </w:r>
      <w:r w:rsidRPr="00872D7E">
        <w:rPr>
          <w:szCs w:val="20"/>
        </w:rPr>
        <w:t>Plasmana ilişkin yoğunlaşma risklerini tespit eder.</w:t>
      </w:r>
    </w:p>
    <w:p w14:paraId="58E2F347" w14:textId="1D4F51FF" w:rsidR="007F6642" w:rsidRPr="00872D7E" w:rsidRDefault="007F6642" w:rsidP="00394E48">
      <w:pPr>
        <w:ind w:left="1276" w:hanging="436"/>
        <w:jc w:val="both"/>
        <w:rPr>
          <w:szCs w:val="20"/>
        </w:rPr>
      </w:pPr>
      <w:r w:rsidRPr="00872D7E">
        <w:rPr>
          <w:szCs w:val="20"/>
        </w:rPr>
        <w:t>-</w:t>
      </w:r>
      <w:r w:rsidR="00394E48" w:rsidRPr="00872D7E">
        <w:rPr>
          <w:szCs w:val="20"/>
        </w:rPr>
        <w:tab/>
      </w:r>
      <w:r w:rsidRPr="00872D7E">
        <w:rPr>
          <w:szCs w:val="20"/>
        </w:rPr>
        <w:t xml:space="preserve">Fon kaynaklarını aktif olarak takip eder. </w:t>
      </w:r>
    </w:p>
    <w:p w14:paraId="178DA197" w14:textId="070952EC" w:rsidR="007F6642" w:rsidRPr="00872D7E" w:rsidRDefault="007F6642" w:rsidP="00394E48">
      <w:pPr>
        <w:ind w:left="1276" w:hanging="436"/>
        <w:jc w:val="both"/>
        <w:rPr>
          <w:szCs w:val="20"/>
        </w:rPr>
      </w:pPr>
      <w:r w:rsidRPr="00872D7E">
        <w:rPr>
          <w:szCs w:val="20"/>
        </w:rPr>
        <w:t>-</w:t>
      </w:r>
      <w:r w:rsidR="00394E48" w:rsidRPr="00872D7E">
        <w:rPr>
          <w:szCs w:val="20"/>
        </w:rPr>
        <w:tab/>
      </w:r>
      <w:r w:rsidRPr="00872D7E">
        <w:rPr>
          <w:szCs w:val="20"/>
        </w:rPr>
        <w:t>Portföy çeşitliliğini dikkate alır.</w:t>
      </w:r>
    </w:p>
    <w:p w14:paraId="744D5796" w14:textId="0BBECC74" w:rsidR="007F6642" w:rsidRPr="00872D7E" w:rsidRDefault="007F6642" w:rsidP="00394E48">
      <w:pPr>
        <w:ind w:left="1276" w:hanging="436"/>
        <w:jc w:val="both"/>
        <w:rPr>
          <w:szCs w:val="20"/>
        </w:rPr>
      </w:pPr>
      <w:r w:rsidRPr="00872D7E">
        <w:rPr>
          <w:szCs w:val="20"/>
        </w:rPr>
        <w:t>-</w:t>
      </w:r>
      <w:r w:rsidR="00394E48" w:rsidRPr="00872D7E">
        <w:rPr>
          <w:szCs w:val="20"/>
        </w:rPr>
        <w:tab/>
      </w:r>
      <w:r w:rsidRPr="00872D7E">
        <w:rPr>
          <w:szCs w:val="20"/>
        </w:rPr>
        <w:t>Varlık ve yükümlülüklere ilişkin fon akışlarını vadelere bağlı olarak izler</w:t>
      </w:r>
    </w:p>
    <w:p w14:paraId="0E321E61" w14:textId="77777777" w:rsidR="007F6642" w:rsidRPr="00872D7E" w:rsidRDefault="007F6642" w:rsidP="00701863">
      <w:pPr>
        <w:ind w:left="840"/>
        <w:jc w:val="both"/>
        <w:rPr>
          <w:szCs w:val="20"/>
        </w:rPr>
      </w:pPr>
    </w:p>
    <w:p w14:paraId="1FF73121" w14:textId="13274890" w:rsidR="006218A8" w:rsidRPr="00872D7E" w:rsidRDefault="007F6642" w:rsidP="00701863">
      <w:pPr>
        <w:ind w:left="840"/>
        <w:jc w:val="both"/>
        <w:rPr>
          <w:szCs w:val="20"/>
        </w:rPr>
      </w:pPr>
      <w:r w:rsidRPr="00872D7E">
        <w:rPr>
          <w:szCs w:val="20"/>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 Banka’nın maruz kalabileceği likidite riskinin azaltılması amacıyla yürütülen stratejilere uyum, yasal ve ihtiyati limitler gözetilerek Banka üst düzey yönetimi tarafından etkin bir biçimde izlenir.</w:t>
      </w:r>
      <w:r w:rsidR="006218A8" w:rsidRPr="00872D7E">
        <w:rPr>
          <w:szCs w:val="20"/>
        </w:rPr>
        <w:br w:type="page"/>
      </w:r>
    </w:p>
    <w:p w14:paraId="1F3FCDB3" w14:textId="50EC340E" w:rsidR="00263A00" w:rsidRPr="00872D7E" w:rsidRDefault="006218A8" w:rsidP="00263A00">
      <w:pPr>
        <w:pStyle w:val="BodyTextIndent"/>
        <w:widowControl w:val="0"/>
        <w:spacing w:line="235" w:lineRule="auto"/>
        <w:ind w:firstLine="0"/>
        <w:jc w:val="left"/>
        <w:rPr>
          <w:b/>
          <w:szCs w:val="20"/>
        </w:rPr>
      </w:pPr>
      <w:r w:rsidRPr="00872D7E">
        <w:rPr>
          <w:b/>
          <w:szCs w:val="20"/>
        </w:rPr>
        <w:lastRenderedPageBreak/>
        <w:t xml:space="preserve">MALİ BÜNYEYE VE RİSK YÖNETİMİNE İLİŞKİN BİLGİLER </w:t>
      </w:r>
      <w:r w:rsidR="00263A00" w:rsidRPr="00872D7E">
        <w:rPr>
          <w:b/>
          <w:szCs w:val="20"/>
        </w:rPr>
        <w:t>(Devamı)</w:t>
      </w:r>
    </w:p>
    <w:p w14:paraId="46EA5207" w14:textId="77777777" w:rsidR="000633F7" w:rsidRPr="00872D7E" w:rsidRDefault="000633F7" w:rsidP="00263A00">
      <w:pPr>
        <w:widowControl w:val="0"/>
        <w:autoSpaceDE w:val="0"/>
        <w:autoSpaceDN w:val="0"/>
        <w:ind w:left="851"/>
        <w:jc w:val="both"/>
        <w:rPr>
          <w:szCs w:val="20"/>
        </w:rPr>
      </w:pPr>
    </w:p>
    <w:p w14:paraId="30F33385" w14:textId="3D77035C" w:rsidR="00263A00" w:rsidRPr="00872D7E" w:rsidRDefault="00263A00" w:rsidP="009F6E11">
      <w:pPr>
        <w:widowControl w:val="0"/>
        <w:autoSpaceDE w:val="0"/>
        <w:autoSpaceDN w:val="0"/>
        <w:adjustRightInd w:val="0"/>
        <w:ind w:left="851" w:hanging="851"/>
        <w:rPr>
          <w:b/>
          <w:szCs w:val="20"/>
        </w:rPr>
      </w:pPr>
      <w:r w:rsidRPr="00872D7E">
        <w:rPr>
          <w:b/>
          <w:szCs w:val="20"/>
        </w:rPr>
        <w:t>V.</w:t>
      </w:r>
      <w:r w:rsidRPr="00872D7E">
        <w:rPr>
          <w:b/>
          <w:szCs w:val="20"/>
        </w:rPr>
        <w:tab/>
      </w:r>
      <w:r w:rsidR="006218A8" w:rsidRPr="00872D7E">
        <w:rPr>
          <w:b/>
          <w:szCs w:val="20"/>
        </w:rPr>
        <w:t xml:space="preserve">LİKİDİTE RİSKİNE İLİŞKİN AÇIKLAMALAR </w:t>
      </w:r>
      <w:r w:rsidRPr="00872D7E">
        <w:rPr>
          <w:b/>
          <w:szCs w:val="20"/>
        </w:rPr>
        <w:t>(Devamı)</w:t>
      </w:r>
    </w:p>
    <w:p w14:paraId="047C55C6" w14:textId="77777777" w:rsidR="00263A00" w:rsidRPr="00872D7E" w:rsidRDefault="00263A00" w:rsidP="00263A00">
      <w:pPr>
        <w:widowControl w:val="0"/>
        <w:autoSpaceDE w:val="0"/>
        <w:autoSpaceDN w:val="0"/>
        <w:ind w:left="851"/>
        <w:jc w:val="both"/>
        <w:rPr>
          <w:szCs w:val="20"/>
        </w:rPr>
      </w:pPr>
    </w:p>
    <w:p w14:paraId="0FA8D072" w14:textId="632C77DC" w:rsidR="00840285" w:rsidRPr="00872D7E" w:rsidRDefault="008A3BB5" w:rsidP="00263A00">
      <w:pPr>
        <w:widowControl w:val="0"/>
        <w:autoSpaceDE w:val="0"/>
        <w:autoSpaceDN w:val="0"/>
        <w:adjustRightInd w:val="0"/>
        <w:ind w:left="851"/>
        <w:jc w:val="both"/>
        <w:rPr>
          <w:b/>
          <w:szCs w:val="20"/>
        </w:rPr>
      </w:pPr>
      <w:r w:rsidRPr="00872D7E">
        <w:rPr>
          <w:b/>
          <w:szCs w:val="20"/>
        </w:rPr>
        <w:t xml:space="preserve">Likidite karşılama </w:t>
      </w:r>
      <w:r w:rsidR="00EC6888" w:rsidRPr="00872D7E">
        <w:rPr>
          <w:b/>
          <w:szCs w:val="20"/>
        </w:rPr>
        <w:t>o</w:t>
      </w:r>
      <w:r w:rsidRPr="00872D7E">
        <w:rPr>
          <w:b/>
          <w:szCs w:val="20"/>
        </w:rPr>
        <w:t>ranı</w:t>
      </w:r>
      <w:r w:rsidR="00334B23" w:rsidRPr="00872D7E">
        <w:rPr>
          <w:b/>
          <w:szCs w:val="20"/>
        </w:rPr>
        <w:t xml:space="preserve"> </w:t>
      </w:r>
    </w:p>
    <w:p w14:paraId="57926772" w14:textId="791A52DA" w:rsidR="00862A01" w:rsidRPr="00872D7E" w:rsidRDefault="00862A01" w:rsidP="00862A01">
      <w:pPr>
        <w:widowControl w:val="0"/>
        <w:autoSpaceDE w:val="0"/>
        <w:autoSpaceDN w:val="0"/>
        <w:adjustRightInd w:val="0"/>
        <w:ind w:left="851"/>
        <w:jc w:val="both"/>
      </w:pPr>
    </w:p>
    <w:tbl>
      <w:tblPr>
        <w:tblW w:w="9626" w:type="dxa"/>
        <w:tblCellMar>
          <w:left w:w="70" w:type="dxa"/>
          <w:right w:w="70" w:type="dxa"/>
        </w:tblCellMar>
        <w:tblLook w:val="04A0" w:firstRow="1" w:lastRow="0" w:firstColumn="1" w:lastColumn="0" w:noHBand="0" w:noVBand="1"/>
      </w:tblPr>
      <w:tblGrid>
        <w:gridCol w:w="331"/>
        <w:gridCol w:w="5180"/>
        <w:gridCol w:w="1035"/>
        <w:gridCol w:w="896"/>
        <w:gridCol w:w="1092"/>
        <w:gridCol w:w="1092"/>
      </w:tblGrid>
      <w:tr w:rsidR="00862A01" w:rsidRPr="00872D7E" w14:paraId="55C20C61"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64AB5B25" w14:textId="57C5BA8C" w:rsidR="00862A01" w:rsidRPr="00872D7E" w:rsidRDefault="00862A01" w:rsidP="00862A01">
            <w:pPr>
              <w:rPr>
                <w:color w:val="000000"/>
                <w:sz w:val="16"/>
                <w:szCs w:val="16"/>
                <w:lang w:eastAsia="tr-TR"/>
              </w:rPr>
            </w:pPr>
            <w:r w:rsidRPr="00872D7E">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vAlign w:val="center"/>
            <w:hideMark/>
          </w:tcPr>
          <w:p w14:paraId="1CD47E66"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 </w:t>
            </w:r>
          </w:p>
        </w:tc>
        <w:tc>
          <w:tcPr>
            <w:tcW w:w="1931" w:type="dxa"/>
            <w:gridSpan w:val="2"/>
            <w:tcBorders>
              <w:top w:val="single" w:sz="4" w:space="0" w:color="auto"/>
              <w:left w:val="nil"/>
              <w:bottom w:val="single" w:sz="4" w:space="0" w:color="auto"/>
              <w:right w:val="single" w:sz="4" w:space="0" w:color="auto"/>
            </w:tcBorders>
            <w:shd w:val="clear" w:color="auto" w:fill="auto"/>
            <w:vAlign w:val="center"/>
            <w:hideMark/>
          </w:tcPr>
          <w:p w14:paraId="1F01CE5F"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 xml:space="preserve">Dikkate Alınma Oranı Uygulanmamış Toplam </w:t>
            </w:r>
            <w:proofErr w:type="gramStart"/>
            <w:r w:rsidRPr="00872D7E">
              <w:rPr>
                <w:b/>
                <w:bCs/>
                <w:color w:val="000000"/>
                <w:sz w:val="16"/>
                <w:szCs w:val="16"/>
                <w:lang w:eastAsia="tr-TR"/>
              </w:rPr>
              <w:t>Değer</w:t>
            </w:r>
            <w:r w:rsidRPr="00872D7E">
              <w:rPr>
                <w:b/>
                <w:bCs/>
                <w:color w:val="000000"/>
                <w:sz w:val="16"/>
                <w:szCs w:val="16"/>
                <w:vertAlign w:val="superscript"/>
                <w:lang w:eastAsia="tr-TR"/>
              </w:rPr>
              <w:t>(</w:t>
            </w:r>
            <w:proofErr w:type="gramEnd"/>
            <w:r w:rsidRPr="00872D7E">
              <w:rPr>
                <w:b/>
                <w:bCs/>
                <w:color w:val="000000"/>
                <w:sz w:val="16"/>
                <w:szCs w:val="16"/>
                <w:vertAlign w:val="superscript"/>
                <w:lang w:eastAsia="tr-TR"/>
              </w:rPr>
              <w:t>*)</w:t>
            </w:r>
          </w:p>
        </w:tc>
        <w:tc>
          <w:tcPr>
            <w:tcW w:w="2184" w:type="dxa"/>
            <w:gridSpan w:val="2"/>
            <w:tcBorders>
              <w:top w:val="single" w:sz="4" w:space="0" w:color="auto"/>
              <w:left w:val="nil"/>
              <w:bottom w:val="single" w:sz="4" w:space="0" w:color="auto"/>
              <w:right w:val="single" w:sz="4" w:space="0" w:color="auto"/>
            </w:tcBorders>
            <w:shd w:val="clear" w:color="auto" w:fill="auto"/>
            <w:vAlign w:val="center"/>
            <w:hideMark/>
          </w:tcPr>
          <w:p w14:paraId="2356D8A6"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 xml:space="preserve">Dikkate Alınma Oranı Uygulanmış Toplam </w:t>
            </w:r>
            <w:proofErr w:type="gramStart"/>
            <w:r w:rsidRPr="00872D7E">
              <w:rPr>
                <w:b/>
                <w:bCs/>
                <w:color w:val="000000"/>
                <w:sz w:val="16"/>
                <w:szCs w:val="16"/>
                <w:lang w:eastAsia="tr-TR"/>
              </w:rPr>
              <w:t>Değer</w:t>
            </w:r>
            <w:r w:rsidRPr="00872D7E">
              <w:rPr>
                <w:b/>
                <w:bCs/>
                <w:color w:val="000000"/>
                <w:sz w:val="16"/>
                <w:szCs w:val="16"/>
                <w:vertAlign w:val="superscript"/>
                <w:lang w:eastAsia="tr-TR"/>
              </w:rPr>
              <w:t>(</w:t>
            </w:r>
            <w:proofErr w:type="gramEnd"/>
            <w:r w:rsidRPr="00872D7E">
              <w:rPr>
                <w:b/>
                <w:bCs/>
                <w:color w:val="000000"/>
                <w:sz w:val="16"/>
                <w:szCs w:val="16"/>
                <w:vertAlign w:val="superscript"/>
                <w:lang w:eastAsia="tr-TR"/>
              </w:rPr>
              <w:t>*)</w:t>
            </w:r>
          </w:p>
        </w:tc>
      </w:tr>
      <w:tr w:rsidR="00862A01" w:rsidRPr="00872D7E" w14:paraId="08FB4433"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1061C84C"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vAlign w:val="center"/>
            <w:hideMark/>
          </w:tcPr>
          <w:p w14:paraId="124DC409"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31 Aralık 2024</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4C663821"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TP+YP</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08841FEF"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YP</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4FC9D469"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TP+YP</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0CE6B004"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YP</w:t>
            </w:r>
          </w:p>
        </w:tc>
      </w:tr>
      <w:tr w:rsidR="00862A01" w:rsidRPr="00872D7E" w14:paraId="244D046B"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2A741B97"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43533923"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YÜKSEK KALİTELİ LİKİT VARLIKLAR (YKLV)</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6AC3BFEA"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72A669CB"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75357F43"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20602A8C"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r>
      <w:tr w:rsidR="00862A01" w:rsidRPr="00872D7E" w14:paraId="17D935AC"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9AF4241"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w:t>
            </w:r>
          </w:p>
        </w:tc>
        <w:tc>
          <w:tcPr>
            <w:tcW w:w="5180" w:type="dxa"/>
            <w:tcBorders>
              <w:top w:val="single" w:sz="4" w:space="0" w:color="auto"/>
              <w:left w:val="nil"/>
              <w:bottom w:val="single" w:sz="4" w:space="0" w:color="auto"/>
              <w:right w:val="single" w:sz="4" w:space="0" w:color="auto"/>
            </w:tcBorders>
            <w:shd w:val="clear" w:color="auto" w:fill="auto"/>
            <w:noWrap/>
            <w:hideMark/>
          </w:tcPr>
          <w:p w14:paraId="138D9919" w14:textId="77777777" w:rsidR="00862A01" w:rsidRPr="00872D7E" w:rsidRDefault="00862A01" w:rsidP="00862A01">
            <w:pPr>
              <w:rPr>
                <w:color w:val="000000"/>
                <w:sz w:val="16"/>
                <w:szCs w:val="16"/>
                <w:lang w:eastAsia="tr-TR"/>
              </w:rPr>
            </w:pPr>
            <w:r w:rsidRPr="00872D7E">
              <w:rPr>
                <w:color w:val="000000"/>
                <w:sz w:val="16"/>
                <w:szCs w:val="16"/>
                <w:lang w:eastAsia="tr-TR"/>
              </w:rPr>
              <w:t>YÜKSEK KALİTELİ LİKİT VARLIKLAR</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3A37139F"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6DF895CC"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7497A78C" w14:textId="77777777" w:rsidR="00862A01" w:rsidRPr="00872D7E" w:rsidRDefault="00862A01" w:rsidP="00862A01">
            <w:pPr>
              <w:jc w:val="right"/>
              <w:rPr>
                <w:color w:val="000000"/>
                <w:sz w:val="16"/>
                <w:szCs w:val="16"/>
                <w:lang w:eastAsia="tr-TR"/>
              </w:rPr>
            </w:pPr>
            <w:r w:rsidRPr="00872D7E">
              <w:rPr>
                <w:color w:val="000000"/>
                <w:sz w:val="16"/>
                <w:szCs w:val="16"/>
                <w:lang w:eastAsia="tr-TR"/>
              </w:rPr>
              <w:t>4.301.413</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79038A2F" w14:textId="77777777" w:rsidR="00862A01" w:rsidRPr="00872D7E" w:rsidRDefault="00862A01" w:rsidP="00862A01">
            <w:pPr>
              <w:jc w:val="right"/>
              <w:rPr>
                <w:color w:val="000000"/>
                <w:sz w:val="16"/>
                <w:szCs w:val="16"/>
                <w:lang w:eastAsia="tr-TR"/>
              </w:rPr>
            </w:pPr>
            <w:r w:rsidRPr="00872D7E">
              <w:rPr>
                <w:color w:val="000000"/>
                <w:sz w:val="16"/>
                <w:szCs w:val="16"/>
                <w:lang w:eastAsia="tr-TR"/>
              </w:rPr>
              <w:t>2.631.654</w:t>
            </w:r>
          </w:p>
        </w:tc>
      </w:tr>
      <w:tr w:rsidR="00862A01" w:rsidRPr="00872D7E" w14:paraId="0AF4CD11"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02ECC00F"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4F90B83F"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NAKİT ÇIKIŞLARI</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7DF91696"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57E47732"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72BD98FF"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6EA354B0"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r>
      <w:tr w:rsidR="00862A01" w:rsidRPr="00872D7E" w14:paraId="6534B323"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6C6BB2A8" w14:textId="77777777" w:rsidR="00862A01" w:rsidRPr="00872D7E" w:rsidRDefault="00862A01" w:rsidP="00862A01">
            <w:pPr>
              <w:jc w:val="center"/>
              <w:rPr>
                <w:color w:val="000000"/>
                <w:sz w:val="16"/>
                <w:szCs w:val="16"/>
                <w:lang w:eastAsia="tr-TR"/>
              </w:rPr>
            </w:pPr>
            <w:r w:rsidRPr="00872D7E">
              <w:rPr>
                <w:color w:val="000000"/>
                <w:sz w:val="16"/>
                <w:szCs w:val="16"/>
                <w:lang w:eastAsia="tr-TR"/>
              </w:rPr>
              <w:t>2</w:t>
            </w:r>
          </w:p>
        </w:tc>
        <w:tc>
          <w:tcPr>
            <w:tcW w:w="5180" w:type="dxa"/>
            <w:tcBorders>
              <w:top w:val="nil"/>
              <w:left w:val="nil"/>
              <w:bottom w:val="nil"/>
              <w:right w:val="single" w:sz="4" w:space="0" w:color="auto"/>
            </w:tcBorders>
            <w:shd w:val="clear" w:color="auto" w:fill="auto"/>
            <w:noWrap/>
            <w:hideMark/>
          </w:tcPr>
          <w:p w14:paraId="7AB1BAAF" w14:textId="77777777" w:rsidR="00862A01" w:rsidRPr="00872D7E" w:rsidRDefault="00862A01" w:rsidP="00862A01">
            <w:pPr>
              <w:rPr>
                <w:color w:val="000000"/>
                <w:sz w:val="16"/>
                <w:szCs w:val="16"/>
                <w:lang w:eastAsia="tr-TR"/>
              </w:rPr>
            </w:pPr>
            <w:r w:rsidRPr="00872D7E">
              <w:rPr>
                <w:color w:val="000000"/>
                <w:sz w:val="16"/>
                <w:szCs w:val="16"/>
                <w:lang w:eastAsia="tr-TR"/>
              </w:rPr>
              <w:t>Gerçek kişi toplanan fon ve perakende toplanan fon</w:t>
            </w:r>
          </w:p>
        </w:tc>
        <w:tc>
          <w:tcPr>
            <w:tcW w:w="1035" w:type="dxa"/>
            <w:tcBorders>
              <w:top w:val="nil"/>
              <w:left w:val="nil"/>
              <w:bottom w:val="nil"/>
              <w:right w:val="single" w:sz="4" w:space="0" w:color="auto"/>
            </w:tcBorders>
            <w:shd w:val="clear" w:color="auto" w:fill="auto"/>
            <w:vAlign w:val="center"/>
            <w:hideMark/>
          </w:tcPr>
          <w:p w14:paraId="0F53BBE5" w14:textId="77777777" w:rsidR="00862A01" w:rsidRPr="00872D7E" w:rsidRDefault="00862A01" w:rsidP="00862A01">
            <w:pPr>
              <w:jc w:val="right"/>
              <w:rPr>
                <w:color w:val="000000"/>
                <w:sz w:val="16"/>
                <w:szCs w:val="16"/>
                <w:lang w:eastAsia="tr-TR"/>
              </w:rPr>
            </w:pPr>
            <w:r w:rsidRPr="00872D7E">
              <w:rPr>
                <w:color w:val="000000"/>
                <w:sz w:val="16"/>
                <w:szCs w:val="16"/>
                <w:lang w:eastAsia="tr-TR"/>
              </w:rPr>
              <w:t>920.565</w:t>
            </w:r>
          </w:p>
        </w:tc>
        <w:tc>
          <w:tcPr>
            <w:tcW w:w="896" w:type="dxa"/>
            <w:tcBorders>
              <w:top w:val="nil"/>
              <w:left w:val="nil"/>
              <w:bottom w:val="nil"/>
              <w:right w:val="single" w:sz="4" w:space="0" w:color="auto"/>
            </w:tcBorders>
            <w:shd w:val="clear" w:color="auto" w:fill="auto"/>
            <w:vAlign w:val="center"/>
            <w:hideMark/>
          </w:tcPr>
          <w:p w14:paraId="1A5BFE76" w14:textId="77777777" w:rsidR="00862A01" w:rsidRPr="00872D7E" w:rsidRDefault="00862A01" w:rsidP="00862A01">
            <w:pPr>
              <w:jc w:val="right"/>
              <w:rPr>
                <w:color w:val="000000"/>
                <w:sz w:val="16"/>
                <w:szCs w:val="16"/>
                <w:lang w:eastAsia="tr-TR"/>
              </w:rPr>
            </w:pPr>
            <w:r w:rsidRPr="00872D7E">
              <w:rPr>
                <w:color w:val="000000"/>
                <w:sz w:val="16"/>
                <w:szCs w:val="16"/>
                <w:lang w:eastAsia="tr-TR"/>
              </w:rPr>
              <w:t>586.825</w:t>
            </w:r>
          </w:p>
        </w:tc>
        <w:tc>
          <w:tcPr>
            <w:tcW w:w="1092" w:type="dxa"/>
            <w:tcBorders>
              <w:top w:val="nil"/>
              <w:left w:val="nil"/>
              <w:bottom w:val="nil"/>
              <w:right w:val="single" w:sz="4" w:space="0" w:color="auto"/>
            </w:tcBorders>
            <w:shd w:val="clear" w:color="auto" w:fill="auto"/>
            <w:vAlign w:val="center"/>
            <w:hideMark/>
          </w:tcPr>
          <w:p w14:paraId="563DA62B" w14:textId="77777777" w:rsidR="00862A01" w:rsidRPr="00872D7E" w:rsidRDefault="00862A01" w:rsidP="00862A01">
            <w:pPr>
              <w:jc w:val="right"/>
              <w:rPr>
                <w:color w:val="000000"/>
                <w:sz w:val="16"/>
                <w:szCs w:val="16"/>
                <w:lang w:eastAsia="tr-TR"/>
              </w:rPr>
            </w:pPr>
            <w:r w:rsidRPr="00872D7E">
              <w:rPr>
                <w:color w:val="000000"/>
                <w:sz w:val="16"/>
                <w:szCs w:val="16"/>
                <w:lang w:eastAsia="tr-TR"/>
              </w:rPr>
              <w:t>92.057</w:t>
            </w:r>
          </w:p>
        </w:tc>
        <w:tc>
          <w:tcPr>
            <w:tcW w:w="1092" w:type="dxa"/>
            <w:tcBorders>
              <w:top w:val="nil"/>
              <w:left w:val="nil"/>
              <w:bottom w:val="nil"/>
              <w:right w:val="single" w:sz="4" w:space="0" w:color="auto"/>
            </w:tcBorders>
            <w:shd w:val="clear" w:color="auto" w:fill="auto"/>
            <w:vAlign w:val="center"/>
            <w:hideMark/>
          </w:tcPr>
          <w:p w14:paraId="161CAD65" w14:textId="77777777" w:rsidR="00862A01" w:rsidRPr="00872D7E" w:rsidRDefault="00862A01" w:rsidP="00862A01">
            <w:pPr>
              <w:jc w:val="right"/>
              <w:rPr>
                <w:color w:val="000000"/>
                <w:sz w:val="16"/>
                <w:szCs w:val="16"/>
                <w:lang w:eastAsia="tr-TR"/>
              </w:rPr>
            </w:pPr>
            <w:r w:rsidRPr="00872D7E">
              <w:rPr>
                <w:color w:val="000000"/>
                <w:sz w:val="16"/>
                <w:szCs w:val="16"/>
                <w:lang w:eastAsia="tr-TR"/>
              </w:rPr>
              <w:t>58.683</w:t>
            </w:r>
          </w:p>
        </w:tc>
      </w:tr>
      <w:tr w:rsidR="00862A01" w:rsidRPr="00872D7E" w14:paraId="6C0F9DDB"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31C92F71" w14:textId="77777777" w:rsidR="00862A01" w:rsidRPr="00872D7E" w:rsidRDefault="00862A01" w:rsidP="00862A01">
            <w:pPr>
              <w:jc w:val="center"/>
              <w:rPr>
                <w:color w:val="000000"/>
                <w:sz w:val="16"/>
                <w:szCs w:val="16"/>
                <w:lang w:eastAsia="tr-TR"/>
              </w:rPr>
            </w:pPr>
            <w:r w:rsidRPr="00872D7E">
              <w:rPr>
                <w:color w:val="000000"/>
                <w:sz w:val="16"/>
                <w:szCs w:val="16"/>
                <w:lang w:eastAsia="tr-TR"/>
              </w:rPr>
              <w:t>3</w:t>
            </w:r>
          </w:p>
        </w:tc>
        <w:tc>
          <w:tcPr>
            <w:tcW w:w="5180" w:type="dxa"/>
            <w:tcBorders>
              <w:top w:val="nil"/>
              <w:left w:val="nil"/>
              <w:bottom w:val="nil"/>
              <w:right w:val="single" w:sz="4" w:space="0" w:color="auto"/>
            </w:tcBorders>
            <w:shd w:val="clear" w:color="auto" w:fill="auto"/>
            <w:noWrap/>
            <w:hideMark/>
          </w:tcPr>
          <w:p w14:paraId="0E2DC0D8" w14:textId="77777777" w:rsidR="00862A01" w:rsidRPr="00872D7E" w:rsidRDefault="00862A01" w:rsidP="00862A01">
            <w:pPr>
              <w:widowControl w:val="0"/>
              <w:ind w:left="227"/>
              <w:rPr>
                <w:color w:val="000000"/>
                <w:sz w:val="16"/>
                <w:szCs w:val="16"/>
              </w:rPr>
            </w:pPr>
            <w:r w:rsidRPr="00872D7E">
              <w:rPr>
                <w:color w:val="000000"/>
                <w:sz w:val="16"/>
                <w:szCs w:val="16"/>
              </w:rPr>
              <w:t>İstikrarlı toplanan fon</w:t>
            </w:r>
          </w:p>
        </w:tc>
        <w:tc>
          <w:tcPr>
            <w:tcW w:w="1035" w:type="dxa"/>
            <w:tcBorders>
              <w:top w:val="nil"/>
              <w:left w:val="nil"/>
              <w:bottom w:val="nil"/>
              <w:right w:val="single" w:sz="4" w:space="0" w:color="auto"/>
            </w:tcBorders>
            <w:shd w:val="clear" w:color="auto" w:fill="auto"/>
            <w:vAlign w:val="center"/>
            <w:hideMark/>
          </w:tcPr>
          <w:p w14:paraId="0C4BDA31"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54FE345C"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372B8DDB"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1CEDDBA2"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775E724C"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2E27C9C1" w14:textId="77777777" w:rsidR="00862A01" w:rsidRPr="00872D7E" w:rsidRDefault="00862A01" w:rsidP="00862A01">
            <w:pPr>
              <w:jc w:val="center"/>
              <w:rPr>
                <w:color w:val="000000"/>
                <w:sz w:val="16"/>
                <w:szCs w:val="16"/>
                <w:lang w:eastAsia="tr-TR"/>
              </w:rPr>
            </w:pPr>
            <w:r w:rsidRPr="00872D7E">
              <w:rPr>
                <w:color w:val="000000"/>
                <w:sz w:val="16"/>
                <w:szCs w:val="16"/>
                <w:lang w:eastAsia="tr-TR"/>
              </w:rPr>
              <w:t>4</w:t>
            </w:r>
          </w:p>
        </w:tc>
        <w:tc>
          <w:tcPr>
            <w:tcW w:w="5180" w:type="dxa"/>
            <w:tcBorders>
              <w:top w:val="nil"/>
              <w:left w:val="nil"/>
              <w:bottom w:val="nil"/>
              <w:right w:val="single" w:sz="4" w:space="0" w:color="auto"/>
            </w:tcBorders>
            <w:shd w:val="clear" w:color="auto" w:fill="auto"/>
            <w:noWrap/>
            <w:hideMark/>
          </w:tcPr>
          <w:p w14:paraId="4773B9DE" w14:textId="77777777" w:rsidR="00862A01" w:rsidRPr="00872D7E" w:rsidRDefault="00862A01" w:rsidP="00862A01">
            <w:pPr>
              <w:widowControl w:val="0"/>
              <w:ind w:left="227"/>
              <w:rPr>
                <w:color w:val="000000"/>
                <w:sz w:val="16"/>
                <w:szCs w:val="16"/>
              </w:rPr>
            </w:pPr>
            <w:r w:rsidRPr="00872D7E">
              <w:rPr>
                <w:color w:val="000000"/>
                <w:sz w:val="16"/>
                <w:szCs w:val="16"/>
              </w:rPr>
              <w:t>Düşük istikrarlı toplanan fon</w:t>
            </w:r>
          </w:p>
        </w:tc>
        <w:tc>
          <w:tcPr>
            <w:tcW w:w="1035" w:type="dxa"/>
            <w:tcBorders>
              <w:top w:val="nil"/>
              <w:left w:val="nil"/>
              <w:bottom w:val="nil"/>
              <w:right w:val="single" w:sz="4" w:space="0" w:color="auto"/>
            </w:tcBorders>
            <w:shd w:val="clear" w:color="auto" w:fill="auto"/>
            <w:vAlign w:val="center"/>
            <w:hideMark/>
          </w:tcPr>
          <w:p w14:paraId="3DAE61CD" w14:textId="77777777" w:rsidR="00862A01" w:rsidRPr="00872D7E" w:rsidRDefault="00862A01" w:rsidP="00862A01">
            <w:pPr>
              <w:jc w:val="right"/>
              <w:rPr>
                <w:color w:val="000000"/>
                <w:sz w:val="16"/>
                <w:szCs w:val="16"/>
                <w:lang w:eastAsia="tr-TR"/>
              </w:rPr>
            </w:pPr>
            <w:r w:rsidRPr="00872D7E">
              <w:rPr>
                <w:color w:val="000000"/>
                <w:sz w:val="16"/>
                <w:szCs w:val="16"/>
                <w:lang w:eastAsia="tr-TR"/>
              </w:rPr>
              <w:t>920.565</w:t>
            </w:r>
          </w:p>
        </w:tc>
        <w:tc>
          <w:tcPr>
            <w:tcW w:w="896" w:type="dxa"/>
            <w:tcBorders>
              <w:top w:val="nil"/>
              <w:left w:val="nil"/>
              <w:bottom w:val="nil"/>
              <w:right w:val="single" w:sz="4" w:space="0" w:color="auto"/>
            </w:tcBorders>
            <w:shd w:val="clear" w:color="auto" w:fill="auto"/>
            <w:vAlign w:val="center"/>
            <w:hideMark/>
          </w:tcPr>
          <w:p w14:paraId="65EABB61" w14:textId="77777777" w:rsidR="00862A01" w:rsidRPr="00872D7E" w:rsidRDefault="00862A01" w:rsidP="00862A01">
            <w:pPr>
              <w:jc w:val="right"/>
              <w:rPr>
                <w:color w:val="000000"/>
                <w:sz w:val="16"/>
                <w:szCs w:val="16"/>
                <w:lang w:eastAsia="tr-TR"/>
              </w:rPr>
            </w:pPr>
            <w:r w:rsidRPr="00872D7E">
              <w:rPr>
                <w:color w:val="000000"/>
                <w:sz w:val="16"/>
                <w:szCs w:val="16"/>
                <w:lang w:eastAsia="tr-TR"/>
              </w:rPr>
              <w:t>586.825</w:t>
            </w:r>
          </w:p>
        </w:tc>
        <w:tc>
          <w:tcPr>
            <w:tcW w:w="1092" w:type="dxa"/>
            <w:tcBorders>
              <w:top w:val="nil"/>
              <w:left w:val="nil"/>
              <w:bottom w:val="nil"/>
              <w:right w:val="single" w:sz="4" w:space="0" w:color="auto"/>
            </w:tcBorders>
            <w:shd w:val="clear" w:color="auto" w:fill="auto"/>
            <w:vAlign w:val="center"/>
            <w:hideMark/>
          </w:tcPr>
          <w:p w14:paraId="79236422" w14:textId="77777777" w:rsidR="00862A01" w:rsidRPr="00872D7E" w:rsidRDefault="00862A01" w:rsidP="00862A01">
            <w:pPr>
              <w:jc w:val="right"/>
              <w:rPr>
                <w:color w:val="000000"/>
                <w:sz w:val="16"/>
                <w:szCs w:val="16"/>
                <w:lang w:eastAsia="tr-TR"/>
              </w:rPr>
            </w:pPr>
            <w:r w:rsidRPr="00872D7E">
              <w:rPr>
                <w:color w:val="000000"/>
                <w:sz w:val="16"/>
                <w:szCs w:val="16"/>
                <w:lang w:eastAsia="tr-TR"/>
              </w:rPr>
              <w:t>92.057</w:t>
            </w:r>
          </w:p>
        </w:tc>
        <w:tc>
          <w:tcPr>
            <w:tcW w:w="1092" w:type="dxa"/>
            <w:tcBorders>
              <w:top w:val="nil"/>
              <w:left w:val="nil"/>
              <w:bottom w:val="nil"/>
              <w:right w:val="single" w:sz="4" w:space="0" w:color="auto"/>
            </w:tcBorders>
            <w:shd w:val="clear" w:color="auto" w:fill="auto"/>
            <w:vAlign w:val="center"/>
            <w:hideMark/>
          </w:tcPr>
          <w:p w14:paraId="5DC55BC5" w14:textId="77777777" w:rsidR="00862A01" w:rsidRPr="00872D7E" w:rsidRDefault="00862A01" w:rsidP="00862A01">
            <w:pPr>
              <w:jc w:val="right"/>
              <w:rPr>
                <w:color w:val="000000"/>
                <w:sz w:val="16"/>
                <w:szCs w:val="16"/>
                <w:lang w:eastAsia="tr-TR"/>
              </w:rPr>
            </w:pPr>
            <w:r w:rsidRPr="00872D7E">
              <w:rPr>
                <w:color w:val="000000"/>
                <w:sz w:val="16"/>
                <w:szCs w:val="16"/>
                <w:lang w:eastAsia="tr-TR"/>
              </w:rPr>
              <w:t>58.683</w:t>
            </w:r>
          </w:p>
        </w:tc>
      </w:tr>
      <w:tr w:rsidR="00862A01" w:rsidRPr="00872D7E" w14:paraId="57EAA4E7"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7D53D6BA" w14:textId="77777777" w:rsidR="00862A01" w:rsidRPr="00872D7E" w:rsidRDefault="00862A01" w:rsidP="00862A01">
            <w:pPr>
              <w:jc w:val="center"/>
              <w:rPr>
                <w:color w:val="000000"/>
                <w:sz w:val="16"/>
                <w:szCs w:val="16"/>
                <w:lang w:eastAsia="tr-TR"/>
              </w:rPr>
            </w:pPr>
            <w:r w:rsidRPr="00872D7E">
              <w:rPr>
                <w:color w:val="000000"/>
                <w:sz w:val="16"/>
                <w:szCs w:val="16"/>
                <w:lang w:eastAsia="tr-TR"/>
              </w:rPr>
              <w:t>5</w:t>
            </w:r>
          </w:p>
        </w:tc>
        <w:tc>
          <w:tcPr>
            <w:tcW w:w="5180" w:type="dxa"/>
            <w:tcBorders>
              <w:top w:val="nil"/>
              <w:left w:val="nil"/>
              <w:bottom w:val="nil"/>
              <w:right w:val="single" w:sz="4" w:space="0" w:color="auto"/>
            </w:tcBorders>
            <w:shd w:val="clear" w:color="auto" w:fill="auto"/>
            <w:hideMark/>
          </w:tcPr>
          <w:p w14:paraId="146186FF" w14:textId="77777777" w:rsidR="00862A01" w:rsidRPr="00872D7E" w:rsidRDefault="00862A01" w:rsidP="00862A01">
            <w:pPr>
              <w:rPr>
                <w:color w:val="000000"/>
                <w:sz w:val="16"/>
                <w:szCs w:val="16"/>
                <w:lang w:eastAsia="tr-TR"/>
              </w:rPr>
            </w:pPr>
            <w:r w:rsidRPr="00872D7E">
              <w:rPr>
                <w:color w:val="000000"/>
                <w:sz w:val="16"/>
                <w:szCs w:val="16"/>
                <w:lang w:eastAsia="tr-TR"/>
              </w:rPr>
              <w:t>Gerçek kişi toplanan fon ve perakende toplanan fon dışında kalan teminatsız borçlar</w:t>
            </w:r>
          </w:p>
        </w:tc>
        <w:tc>
          <w:tcPr>
            <w:tcW w:w="1035" w:type="dxa"/>
            <w:tcBorders>
              <w:top w:val="nil"/>
              <w:left w:val="nil"/>
              <w:bottom w:val="nil"/>
              <w:right w:val="single" w:sz="4" w:space="0" w:color="auto"/>
            </w:tcBorders>
            <w:shd w:val="clear" w:color="auto" w:fill="auto"/>
            <w:vAlign w:val="center"/>
            <w:hideMark/>
          </w:tcPr>
          <w:p w14:paraId="7C84ADFD" w14:textId="77777777" w:rsidR="00862A01" w:rsidRPr="00872D7E" w:rsidRDefault="00862A01" w:rsidP="00862A01">
            <w:pPr>
              <w:jc w:val="right"/>
              <w:rPr>
                <w:color w:val="000000"/>
                <w:sz w:val="16"/>
                <w:szCs w:val="16"/>
                <w:lang w:eastAsia="tr-TR"/>
              </w:rPr>
            </w:pPr>
            <w:r w:rsidRPr="00872D7E">
              <w:rPr>
                <w:color w:val="000000"/>
                <w:sz w:val="16"/>
                <w:szCs w:val="16"/>
                <w:lang w:eastAsia="tr-TR"/>
              </w:rPr>
              <w:t>10.568.062</w:t>
            </w:r>
          </w:p>
        </w:tc>
        <w:tc>
          <w:tcPr>
            <w:tcW w:w="896" w:type="dxa"/>
            <w:tcBorders>
              <w:top w:val="nil"/>
              <w:left w:val="nil"/>
              <w:bottom w:val="nil"/>
              <w:right w:val="single" w:sz="4" w:space="0" w:color="auto"/>
            </w:tcBorders>
            <w:shd w:val="clear" w:color="auto" w:fill="auto"/>
            <w:vAlign w:val="center"/>
            <w:hideMark/>
          </w:tcPr>
          <w:p w14:paraId="0913BC73" w14:textId="77777777" w:rsidR="00862A01" w:rsidRPr="00872D7E" w:rsidRDefault="00862A01" w:rsidP="00862A01">
            <w:pPr>
              <w:jc w:val="right"/>
              <w:rPr>
                <w:color w:val="000000"/>
                <w:sz w:val="16"/>
                <w:szCs w:val="16"/>
                <w:lang w:eastAsia="tr-TR"/>
              </w:rPr>
            </w:pPr>
            <w:r w:rsidRPr="00872D7E">
              <w:rPr>
                <w:color w:val="000000"/>
                <w:sz w:val="16"/>
                <w:szCs w:val="16"/>
                <w:lang w:eastAsia="tr-TR"/>
              </w:rPr>
              <w:t>5.152.822</w:t>
            </w:r>
          </w:p>
        </w:tc>
        <w:tc>
          <w:tcPr>
            <w:tcW w:w="1092" w:type="dxa"/>
            <w:tcBorders>
              <w:top w:val="nil"/>
              <w:left w:val="nil"/>
              <w:bottom w:val="nil"/>
              <w:right w:val="single" w:sz="4" w:space="0" w:color="auto"/>
            </w:tcBorders>
            <w:shd w:val="clear" w:color="auto" w:fill="auto"/>
            <w:vAlign w:val="center"/>
            <w:hideMark/>
          </w:tcPr>
          <w:p w14:paraId="55312CDE" w14:textId="77777777" w:rsidR="00862A01" w:rsidRPr="00872D7E" w:rsidRDefault="00862A01" w:rsidP="00862A01">
            <w:pPr>
              <w:jc w:val="right"/>
              <w:rPr>
                <w:color w:val="000000"/>
                <w:sz w:val="16"/>
                <w:szCs w:val="16"/>
                <w:lang w:eastAsia="tr-TR"/>
              </w:rPr>
            </w:pPr>
            <w:r w:rsidRPr="00872D7E">
              <w:rPr>
                <w:color w:val="000000"/>
                <w:sz w:val="16"/>
                <w:szCs w:val="16"/>
                <w:lang w:eastAsia="tr-TR"/>
              </w:rPr>
              <w:t>5.956.242</w:t>
            </w:r>
          </w:p>
        </w:tc>
        <w:tc>
          <w:tcPr>
            <w:tcW w:w="1092" w:type="dxa"/>
            <w:tcBorders>
              <w:top w:val="nil"/>
              <w:left w:val="nil"/>
              <w:bottom w:val="nil"/>
              <w:right w:val="single" w:sz="4" w:space="0" w:color="auto"/>
            </w:tcBorders>
            <w:shd w:val="clear" w:color="auto" w:fill="auto"/>
            <w:vAlign w:val="center"/>
            <w:hideMark/>
          </w:tcPr>
          <w:p w14:paraId="5A93171D" w14:textId="77777777" w:rsidR="00862A01" w:rsidRPr="00872D7E" w:rsidRDefault="00862A01" w:rsidP="00862A01">
            <w:pPr>
              <w:jc w:val="right"/>
              <w:rPr>
                <w:color w:val="000000"/>
                <w:sz w:val="16"/>
                <w:szCs w:val="16"/>
                <w:lang w:eastAsia="tr-TR"/>
              </w:rPr>
            </w:pPr>
            <w:r w:rsidRPr="00872D7E">
              <w:rPr>
                <w:color w:val="000000"/>
                <w:sz w:val="16"/>
                <w:szCs w:val="16"/>
                <w:lang w:eastAsia="tr-TR"/>
              </w:rPr>
              <w:t>2.779.449</w:t>
            </w:r>
          </w:p>
        </w:tc>
      </w:tr>
      <w:tr w:rsidR="00862A01" w:rsidRPr="00872D7E" w14:paraId="13088023"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5FC504F0" w14:textId="77777777" w:rsidR="00862A01" w:rsidRPr="00872D7E" w:rsidRDefault="00862A01" w:rsidP="00862A01">
            <w:pPr>
              <w:jc w:val="center"/>
              <w:rPr>
                <w:color w:val="000000"/>
                <w:sz w:val="16"/>
                <w:szCs w:val="16"/>
                <w:lang w:eastAsia="tr-TR"/>
              </w:rPr>
            </w:pPr>
            <w:r w:rsidRPr="00872D7E">
              <w:rPr>
                <w:color w:val="000000"/>
                <w:sz w:val="16"/>
                <w:szCs w:val="16"/>
                <w:lang w:eastAsia="tr-TR"/>
              </w:rPr>
              <w:t>6</w:t>
            </w:r>
          </w:p>
        </w:tc>
        <w:tc>
          <w:tcPr>
            <w:tcW w:w="5180" w:type="dxa"/>
            <w:tcBorders>
              <w:top w:val="nil"/>
              <w:left w:val="nil"/>
              <w:bottom w:val="nil"/>
              <w:right w:val="single" w:sz="4" w:space="0" w:color="auto"/>
            </w:tcBorders>
            <w:shd w:val="clear" w:color="auto" w:fill="auto"/>
            <w:noWrap/>
            <w:hideMark/>
          </w:tcPr>
          <w:p w14:paraId="245B4EEB" w14:textId="77777777" w:rsidR="00862A01" w:rsidRPr="00872D7E" w:rsidRDefault="00862A01" w:rsidP="00862A01">
            <w:pPr>
              <w:widowControl w:val="0"/>
              <w:ind w:left="227"/>
              <w:rPr>
                <w:color w:val="000000"/>
                <w:sz w:val="16"/>
                <w:szCs w:val="16"/>
              </w:rPr>
            </w:pPr>
            <w:r w:rsidRPr="00872D7E">
              <w:rPr>
                <w:color w:val="000000"/>
                <w:sz w:val="16"/>
                <w:szCs w:val="16"/>
              </w:rPr>
              <w:t>Operasyonel toplanan fon</w:t>
            </w:r>
          </w:p>
        </w:tc>
        <w:tc>
          <w:tcPr>
            <w:tcW w:w="1035" w:type="dxa"/>
            <w:tcBorders>
              <w:top w:val="nil"/>
              <w:left w:val="nil"/>
              <w:bottom w:val="nil"/>
              <w:right w:val="single" w:sz="4" w:space="0" w:color="auto"/>
            </w:tcBorders>
            <w:shd w:val="clear" w:color="auto" w:fill="auto"/>
            <w:vAlign w:val="center"/>
            <w:hideMark/>
          </w:tcPr>
          <w:p w14:paraId="5DEF5E24"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42FB83F0"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46016781"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3EEC871F"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441CB0C4"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48288A51" w14:textId="77777777" w:rsidR="00862A01" w:rsidRPr="00872D7E" w:rsidRDefault="00862A01" w:rsidP="00862A01">
            <w:pPr>
              <w:jc w:val="center"/>
              <w:rPr>
                <w:color w:val="000000"/>
                <w:sz w:val="16"/>
                <w:szCs w:val="16"/>
                <w:lang w:eastAsia="tr-TR"/>
              </w:rPr>
            </w:pPr>
            <w:r w:rsidRPr="00872D7E">
              <w:rPr>
                <w:color w:val="000000"/>
                <w:sz w:val="16"/>
                <w:szCs w:val="16"/>
                <w:lang w:eastAsia="tr-TR"/>
              </w:rPr>
              <w:t>7</w:t>
            </w:r>
          </w:p>
        </w:tc>
        <w:tc>
          <w:tcPr>
            <w:tcW w:w="5180" w:type="dxa"/>
            <w:tcBorders>
              <w:top w:val="nil"/>
              <w:left w:val="nil"/>
              <w:bottom w:val="nil"/>
              <w:right w:val="single" w:sz="4" w:space="0" w:color="auto"/>
            </w:tcBorders>
            <w:shd w:val="clear" w:color="auto" w:fill="auto"/>
            <w:noWrap/>
            <w:hideMark/>
          </w:tcPr>
          <w:p w14:paraId="564F29D4" w14:textId="77777777" w:rsidR="00862A01" w:rsidRPr="00872D7E" w:rsidRDefault="00862A01" w:rsidP="00862A01">
            <w:pPr>
              <w:widowControl w:val="0"/>
              <w:ind w:left="227"/>
              <w:rPr>
                <w:color w:val="000000"/>
                <w:sz w:val="16"/>
                <w:szCs w:val="16"/>
              </w:rPr>
            </w:pPr>
            <w:r w:rsidRPr="00872D7E">
              <w:rPr>
                <w:color w:val="000000"/>
                <w:sz w:val="16"/>
                <w:szCs w:val="16"/>
              </w:rPr>
              <w:t>Operasyonel olmayan toplanan fon</w:t>
            </w:r>
          </w:p>
        </w:tc>
        <w:tc>
          <w:tcPr>
            <w:tcW w:w="1035" w:type="dxa"/>
            <w:tcBorders>
              <w:top w:val="nil"/>
              <w:left w:val="nil"/>
              <w:bottom w:val="nil"/>
              <w:right w:val="single" w:sz="4" w:space="0" w:color="auto"/>
            </w:tcBorders>
            <w:shd w:val="clear" w:color="auto" w:fill="auto"/>
            <w:vAlign w:val="center"/>
            <w:hideMark/>
          </w:tcPr>
          <w:p w14:paraId="36049324" w14:textId="77777777" w:rsidR="00862A01" w:rsidRPr="00872D7E" w:rsidRDefault="00862A01" w:rsidP="00862A01">
            <w:pPr>
              <w:jc w:val="right"/>
              <w:rPr>
                <w:color w:val="000000"/>
                <w:sz w:val="16"/>
                <w:szCs w:val="16"/>
                <w:lang w:eastAsia="tr-TR"/>
              </w:rPr>
            </w:pPr>
            <w:r w:rsidRPr="00872D7E">
              <w:rPr>
                <w:color w:val="000000"/>
                <w:sz w:val="16"/>
                <w:szCs w:val="16"/>
                <w:lang w:eastAsia="tr-TR"/>
              </w:rPr>
              <w:t>9.499.519</w:t>
            </w:r>
          </w:p>
        </w:tc>
        <w:tc>
          <w:tcPr>
            <w:tcW w:w="896" w:type="dxa"/>
            <w:tcBorders>
              <w:top w:val="nil"/>
              <w:left w:val="nil"/>
              <w:bottom w:val="nil"/>
              <w:right w:val="single" w:sz="4" w:space="0" w:color="auto"/>
            </w:tcBorders>
            <w:shd w:val="clear" w:color="auto" w:fill="auto"/>
            <w:vAlign w:val="center"/>
            <w:hideMark/>
          </w:tcPr>
          <w:p w14:paraId="688D9FD9" w14:textId="77777777" w:rsidR="00862A01" w:rsidRPr="00872D7E" w:rsidRDefault="00862A01" w:rsidP="00862A01">
            <w:pPr>
              <w:jc w:val="right"/>
              <w:rPr>
                <w:color w:val="000000"/>
                <w:sz w:val="16"/>
                <w:szCs w:val="16"/>
                <w:lang w:eastAsia="tr-TR"/>
              </w:rPr>
            </w:pPr>
            <w:r w:rsidRPr="00872D7E">
              <w:rPr>
                <w:color w:val="000000"/>
                <w:sz w:val="16"/>
                <w:szCs w:val="16"/>
                <w:lang w:eastAsia="tr-TR"/>
              </w:rPr>
              <w:t>4.565.768</w:t>
            </w:r>
          </w:p>
        </w:tc>
        <w:tc>
          <w:tcPr>
            <w:tcW w:w="1092" w:type="dxa"/>
            <w:tcBorders>
              <w:top w:val="nil"/>
              <w:left w:val="nil"/>
              <w:bottom w:val="nil"/>
              <w:right w:val="single" w:sz="4" w:space="0" w:color="auto"/>
            </w:tcBorders>
            <w:shd w:val="clear" w:color="auto" w:fill="auto"/>
            <w:vAlign w:val="center"/>
            <w:hideMark/>
          </w:tcPr>
          <w:p w14:paraId="1C3A2485" w14:textId="77777777" w:rsidR="00862A01" w:rsidRPr="00872D7E" w:rsidRDefault="00862A01" w:rsidP="00862A01">
            <w:pPr>
              <w:jc w:val="right"/>
              <w:rPr>
                <w:color w:val="000000"/>
                <w:sz w:val="16"/>
                <w:szCs w:val="16"/>
                <w:lang w:eastAsia="tr-TR"/>
              </w:rPr>
            </w:pPr>
            <w:r w:rsidRPr="00872D7E">
              <w:rPr>
                <w:color w:val="000000"/>
                <w:sz w:val="16"/>
                <w:szCs w:val="16"/>
                <w:lang w:eastAsia="tr-TR"/>
              </w:rPr>
              <w:t>4.887.699</w:t>
            </w:r>
          </w:p>
        </w:tc>
        <w:tc>
          <w:tcPr>
            <w:tcW w:w="1092" w:type="dxa"/>
            <w:tcBorders>
              <w:top w:val="nil"/>
              <w:left w:val="nil"/>
              <w:bottom w:val="nil"/>
              <w:right w:val="single" w:sz="4" w:space="0" w:color="auto"/>
            </w:tcBorders>
            <w:shd w:val="clear" w:color="auto" w:fill="auto"/>
            <w:vAlign w:val="center"/>
            <w:hideMark/>
          </w:tcPr>
          <w:p w14:paraId="7D97D03D" w14:textId="77777777" w:rsidR="00862A01" w:rsidRPr="00872D7E" w:rsidRDefault="00862A01" w:rsidP="00862A01">
            <w:pPr>
              <w:jc w:val="right"/>
              <w:rPr>
                <w:color w:val="000000"/>
                <w:sz w:val="16"/>
                <w:szCs w:val="16"/>
                <w:lang w:eastAsia="tr-TR"/>
              </w:rPr>
            </w:pPr>
            <w:r w:rsidRPr="00872D7E">
              <w:rPr>
                <w:color w:val="000000"/>
                <w:sz w:val="16"/>
                <w:szCs w:val="16"/>
                <w:lang w:eastAsia="tr-TR"/>
              </w:rPr>
              <w:t>2.192.395</w:t>
            </w:r>
          </w:p>
        </w:tc>
      </w:tr>
      <w:tr w:rsidR="00862A01" w:rsidRPr="00872D7E" w14:paraId="479ADFC0"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1BB62BBE" w14:textId="77777777" w:rsidR="00862A01" w:rsidRPr="00872D7E" w:rsidRDefault="00862A01" w:rsidP="00862A01">
            <w:pPr>
              <w:jc w:val="center"/>
              <w:rPr>
                <w:color w:val="000000"/>
                <w:sz w:val="16"/>
                <w:szCs w:val="16"/>
                <w:lang w:eastAsia="tr-TR"/>
              </w:rPr>
            </w:pPr>
            <w:r w:rsidRPr="00872D7E">
              <w:rPr>
                <w:color w:val="000000"/>
                <w:sz w:val="16"/>
                <w:szCs w:val="16"/>
                <w:lang w:eastAsia="tr-TR"/>
              </w:rPr>
              <w:t>8</w:t>
            </w:r>
          </w:p>
        </w:tc>
        <w:tc>
          <w:tcPr>
            <w:tcW w:w="5180" w:type="dxa"/>
            <w:tcBorders>
              <w:top w:val="nil"/>
              <w:left w:val="nil"/>
              <w:bottom w:val="nil"/>
              <w:right w:val="single" w:sz="4" w:space="0" w:color="auto"/>
            </w:tcBorders>
            <w:shd w:val="clear" w:color="auto" w:fill="auto"/>
            <w:noWrap/>
            <w:hideMark/>
          </w:tcPr>
          <w:p w14:paraId="36B8D803" w14:textId="77777777" w:rsidR="00862A01" w:rsidRPr="00872D7E" w:rsidRDefault="00862A01" w:rsidP="00862A01">
            <w:pPr>
              <w:widowControl w:val="0"/>
              <w:ind w:left="227"/>
              <w:rPr>
                <w:color w:val="000000"/>
                <w:sz w:val="16"/>
                <w:szCs w:val="16"/>
              </w:rPr>
            </w:pPr>
            <w:r w:rsidRPr="00872D7E">
              <w:rPr>
                <w:color w:val="000000"/>
                <w:sz w:val="16"/>
                <w:szCs w:val="16"/>
              </w:rPr>
              <w:t>Diğer teminatsız borçlar</w:t>
            </w:r>
          </w:p>
        </w:tc>
        <w:tc>
          <w:tcPr>
            <w:tcW w:w="1035" w:type="dxa"/>
            <w:tcBorders>
              <w:top w:val="nil"/>
              <w:left w:val="nil"/>
              <w:bottom w:val="nil"/>
              <w:right w:val="single" w:sz="4" w:space="0" w:color="auto"/>
            </w:tcBorders>
            <w:shd w:val="clear" w:color="auto" w:fill="auto"/>
            <w:vAlign w:val="center"/>
            <w:hideMark/>
          </w:tcPr>
          <w:p w14:paraId="6C43C992" w14:textId="77777777" w:rsidR="00862A01" w:rsidRPr="00872D7E" w:rsidRDefault="00862A01" w:rsidP="00862A01">
            <w:pPr>
              <w:jc w:val="right"/>
              <w:rPr>
                <w:color w:val="000000"/>
                <w:sz w:val="16"/>
                <w:szCs w:val="16"/>
                <w:lang w:eastAsia="tr-TR"/>
              </w:rPr>
            </w:pPr>
            <w:r w:rsidRPr="00872D7E">
              <w:rPr>
                <w:color w:val="000000"/>
                <w:sz w:val="16"/>
                <w:szCs w:val="16"/>
                <w:lang w:eastAsia="tr-TR"/>
              </w:rPr>
              <w:t>1.068.543</w:t>
            </w:r>
          </w:p>
        </w:tc>
        <w:tc>
          <w:tcPr>
            <w:tcW w:w="896" w:type="dxa"/>
            <w:tcBorders>
              <w:top w:val="nil"/>
              <w:left w:val="nil"/>
              <w:bottom w:val="nil"/>
              <w:right w:val="single" w:sz="4" w:space="0" w:color="auto"/>
            </w:tcBorders>
            <w:shd w:val="clear" w:color="auto" w:fill="auto"/>
            <w:vAlign w:val="center"/>
            <w:hideMark/>
          </w:tcPr>
          <w:p w14:paraId="7F98E81C" w14:textId="77777777" w:rsidR="00862A01" w:rsidRPr="00872D7E" w:rsidRDefault="00862A01" w:rsidP="00862A01">
            <w:pPr>
              <w:jc w:val="right"/>
              <w:rPr>
                <w:color w:val="000000"/>
                <w:sz w:val="16"/>
                <w:szCs w:val="16"/>
                <w:lang w:eastAsia="tr-TR"/>
              </w:rPr>
            </w:pPr>
            <w:r w:rsidRPr="00872D7E">
              <w:rPr>
                <w:color w:val="000000"/>
                <w:sz w:val="16"/>
                <w:szCs w:val="16"/>
                <w:lang w:eastAsia="tr-TR"/>
              </w:rPr>
              <w:t>587.054</w:t>
            </w:r>
          </w:p>
        </w:tc>
        <w:tc>
          <w:tcPr>
            <w:tcW w:w="1092" w:type="dxa"/>
            <w:tcBorders>
              <w:top w:val="nil"/>
              <w:left w:val="nil"/>
              <w:bottom w:val="nil"/>
              <w:right w:val="single" w:sz="4" w:space="0" w:color="auto"/>
            </w:tcBorders>
            <w:shd w:val="clear" w:color="auto" w:fill="auto"/>
            <w:vAlign w:val="center"/>
            <w:hideMark/>
          </w:tcPr>
          <w:p w14:paraId="280D86F7" w14:textId="77777777" w:rsidR="00862A01" w:rsidRPr="00872D7E" w:rsidRDefault="00862A01" w:rsidP="00862A01">
            <w:pPr>
              <w:jc w:val="right"/>
              <w:rPr>
                <w:color w:val="000000"/>
                <w:sz w:val="16"/>
                <w:szCs w:val="16"/>
                <w:lang w:eastAsia="tr-TR"/>
              </w:rPr>
            </w:pPr>
            <w:r w:rsidRPr="00872D7E">
              <w:rPr>
                <w:color w:val="000000"/>
                <w:sz w:val="16"/>
                <w:szCs w:val="16"/>
                <w:lang w:eastAsia="tr-TR"/>
              </w:rPr>
              <w:t>1.068.543</w:t>
            </w:r>
          </w:p>
        </w:tc>
        <w:tc>
          <w:tcPr>
            <w:tcW w:w="1092" w:type="dxa"/>
            <w:tcBorders>
              <w:top w:val="nil"/>
              <w:left w:val="nil"/>
              <w:bottom w:val="nil"/>
              <w:right w:val="single" w:sz="4" w:space="0" w:color="auto"/>
            </w:tcBorders>
            <w:shd w:val="clear" w:color="auto" w:fill="auto"/>
            <w:vAlign w:val="center"/>
            <w:hideMark/>
          </w:tcPr>
          <w:p w14:paraId="29FF70E6" w14:textId="77777777" w:rsidR="00862A01" w:rsidRPr="00872D7E" w:rsidRDefault="00862A01" w:rsidP="00862A01">
            <w:pPr>
              <w:jc w:val="right"/>
              <w:rPr>
                <w:color w:val="000000"/>
                <w:sz w:val="16"/>
                <w:szCs w:val="16"/>
                <w:lang w:eastAsia="tr-TR"/>
              </w:rPr>
            </w:pPr>
            <w:r w:rsidRPr="00872D7E">
              <w:rPr>
                <w:color w:val="000000"/>
                <w:sz w:val="16"/>
                <w:szCs w:val="16"/>
                <w:lang w:eastAsia="tr-TR"/>
              </w:rPr>
              <w:t>587.054</w:t>
            </w:r>
          </w:p>
        </w:tc>
      </w:tr>
      <w:tr w:rsidR="00862A01" w:rsidRPr="00872D7E" w14:paraId="24A3FF00"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1B86AB6F" w14:textId="77777777" w:rsidR="00862A01" w:rsidRPr="00872D7E" w:rsidRDefault="00862A01" w:rsidP="00862A01">
            <w:pPr>
              <w:jc w:val="center"/>
              <w:rPr>
                <w:color w:val="000000"/>
                <w:sz w:val="16"/>
                <w:szCs w:val="16"/>
                <w:lang w:eastAsia="tr-TR"/>
              </w:rPr>
            </w:pPr>
            <w:r w:rsidRPr="00872D7E">
              <w:rPr>
                <w:color w:val="000000"/>
                <w:sz w:val="16"/>
                <w:szCs w:val="16"/>
                <w:lang w:eastAsia="tr-TR"/>
              </w:rPr>
              <w:t>9</w:t>
            </w:r>
          </w:p>
        </w:tc>
        <w:tc>
          <w:tcPr>
            <w:tcW w:w="5180" w:type="dxa"/>
            <w:tcBorders>
              <w:top w:val="nil"/>
              <w:left w:val="nil"/>
              <w:bottom w:val="nil"/>
              <w:right w:val="single" w:sz="4" w:space="0" w:color="auto"/>
            </w:tcBorders>
            <w:shd w:val="clear" w:color="auto" w:fill="auto"/>
            <w:noWrap/>
            <w:hideMark/>
          </w:tcPr>
          <w:p w14:paraId="186B7D45" w14:textId="77777777" w:rsidR="00862A01" w:rsidRPr="00872D7E" w:rsidRDefault="00862A01" w:rsidP="00862A01">
            <w:pPr>
              <w:rPr>
                <w:color w:val="000000"/>
                <w:sz w:val="16"/>
                <w:szCs w:val="16"/>
                <w:lang w:eastAsia="tr-TR"/>
              </w:rPr>
            </w:pPr>
            <w:r w:rsidRPr="00872D7E">
              <w:rPr>
                <w:color w:val="000000"/>
                <w:sz w:val="16"/>
                <w:szCs w:val="16"/>
                <w:lang w:eastAsia="tr-TR"/>
              </w:rPr>
              <w:t>Teminatlı borçlar</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6EB17F87"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2A76587A"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192D12AB" w14:textId="77777777" w:rsidR="00862A01" w:rsidRPr="00872D7E" w:rsidRDefault="00862A01" w:rsidP="00862A01">
            <w:pPr>
              <w:jc w:val="right"/>
              <w:rPr>
                <w:b/>
                <w:bCs/>
                <w:sz w:val="16"/>
                <w:szCs w:val="16"/>
                <w:lang w:eastAsia="tr-TR"/>
              </w:rPr>
            </w:pPr>
            <w:r w:rsidRPr="00872D7E">
              <w:rPr>
                <w:b/>
                <w:bCs/>
                <w:sz w:val="16"/>
                <w:szCs w:val="16"/>
                <w:lang w:eastAsia="tr-TR"/>
              </w:rPr>
              <w:t>-</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7131F57F" w14:textId="77777777" w:rsidR="00862A01" w:rsidRPr="00872D7E" w:rsidRDefault="00862A01" w:rsidP="00862A01">
            <w:pPr>
              <w:jc w:val="right"/>
              <w:rPr>
                <w:b/>
                <w:bCs/>
                <w:sz w:val="16"/>
                <w:szCs w:val="16"/>
                <w:lang w:eastAsia="tr-TR"/>
              </w:rPr>
            </w:pPr>
            <w:r w:rsidRPr="00872D7E">
              <w:rPr>
                <w:b/>
                <w:bCs/>
                <w:sz w:val="16"/>
                <w:szCs w:val="16"/>
                <w:lang w:eastAsia="tr-TR"/>
              </w:rPr>
              <w:t>-</w:t>
            </w:r>
          </w:p>
        </w:tc>
      </w:tr>
      <w:tr w:rsidR="00862A01" w:rsidRPr="00872D7E" w14:paraId="1CBA6341"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427A7233"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10</w:t>
            </w:r>
          </w:p>
        </w:tc>
        <w:tc>
          <w:tcPr>
            <w:tcW w:w="5180" w:type="dxa"/>
            <w:tcBorders>
              <w:top w:val="nil"/>
              <w:left w:val="nil"/>
              <w:bottom w:val="nil"/>
              <w:right w:val="single" w:sz="4" w:space="0" w:color="auto"/>
            </w:tcBorders>
            <w:shd w:val="clear" w:color="auto" w:fill="auto"/>
            <w:noWrap/>
            <w:hideMark/>
          </w:tcPr>
          <w:p w14:paraId="6E7BE824" w14:textId="77777777" w:rsidR="00862A01" w:rsidRPr="00872D7E" w:rsidRDefault="00862A01" w:rsidP="00862A01">
            <w:pPr>
              <w:rPr>
                <w:color w:val="000000"/>
                <w:sz w:val="16"/>
                <w:szCs w:val="16"/>
                <w:lang w:eastAsia="tr-TR"/>
              </w:rPr>
            </w:pPr>
            <w:r w:rsidRPr="00872D7E">
              <w:rPr>
                <w:color w:val="000000"/>
                <w:sz w:val="16"/>
                <w:szCs w:val="16"/>
                <w:lang w:eastAsia="tr-TR"/>
              </w:rPr>
              <w:t>Diğer nakit çıkışları</w:t>
            </w:r>
          </w:p>
        </w:tc>
        <w:tc>
          <w:tcPr>
            <w:tcW w:w="1035" w:type="dxa"/>
            <w:tcBorders>
              <w:top w:val="nil"/>
              <w:left w:val="nil"/>
              <w:bottom w:val="nil"/>
              <w:right w:val="single" w:sz="4" w:space="0" w:color="auto"/>
            </w:tcBorders>
            <w:shd w:val="clear" w:color="auto" w:fill="auto"/>
            <w:vAlign w:val="center"/>
            <w:hideMark/>
          </w:tcPr>
          <w:p w14:paraId="22859036" w14:textId="77777777" w:rsidR="00862A01" w:rsidRPr="00872D7E" w:rsidRDefault="00862A01" w:rsidP="00862A01">
            <w:pPr>
              <w:jc w:val="right"/>
              <w:rPr>
                <w:color w:val="000000"/>
                <w:sz w:val="16"/>
                <w:szCs w:val="16"/>
                <w:lang w:eastAsia="tr-TR"/>
              </w:rPr>
            </w:pPr>
            <w:r w:rsidRPr="00872D7E">
              <w:rPr>
                <w:color w:val="000000"/>
                <w:sz w:val="16"/>
                <w:szCs w:val="16"/>
                <w:lang w:eastAsia="tr-TR"/>
              </w:rPr>
              <w:t>16.793</w:t>
            </w:r>
          </w:p>
        </w:tc>
        <w:tc>
          <w:tcPr>
            <w:tcW w:w="896" w:type="dxa"/>
            <w:tcBorders>
              <w:top w:val="nil"/>
              <w:left w:val="nil"/>
              <w:bottom w:val="nil"/>
              <w:right w:val="single" w:sz="4" w:space="0" w:color="auto"/>
            </w:tcBorders>
            <w:shd w:val="clear" w:color="auto" w:fill="auto"/>
            <w:vAlign w:val="center"/>
            <w:hideMark/>
          </w:tcPr>
          <w:p w14:paraId="78FA2714" w14:textId="77777777" w:rsidR="00862A01" w:rsidRPr="00872D7E" w:rsidRDefault="00862A01" w:rsidP="00862A01">
            <w:pPr>
              <w:jc w:val="right"/>
              <w:rPr>
                <w:color w:val="000000"/>
                <w:sz w:val="16"/>
                <w:szCs w:val="16"/>
                <w:lang w:eastAsia="tr-TR"/>
              </w:rPr>
            </w:pPr>
            <w:r w:rsidRPr="00872D7E">
              <w:rPr>
                <w:color w:val="000000"/>
                <w:sz w:val="16"/>
                <w:szCs w:val="16"/>
                <w:lang w:eastAsia="tr-TR"/>
              </w:rPr>
              <w:t>11.526</w:t>
            </w:r>
          </w:p>
        </w:tc>
        <w:tc>
          <w:tcPr>
            <w:tcW w:w="1092" w:type="dxa"/>
            <w:tcBorders>
              <w:top w:val="nil"/>
              <w:left w:val="nil"/>
              <w:bottom w:val="nil"/>
              <w:right w:val="single" w:sz="4" w:space="0" w:color="auto"/>
            </w:tcBorders>
            <w:shd w:val="clear" w:color="auto" w:fill="auto"/>
            <w:vAlign w:val="center"/>
            <w:hideMark/>
          </w:tcPr>
          <w:p w14:paraId="2FBA24B3" w14:textId="77777777" w:rsidR="00862A01" w:rsidRPr="00872D7E" w:rsidRDefault="00862A01" w:rsidP="00862A01">
            <w:pPr>
              <w:jc w:val="right"/>
              <w:rPr>
                <w:color w:val="000000"/>
                <w:sz w:val="16"/>
                <w:szCs w:val="16"/>
                <w:lang w:eastAsia="tr-TR"/>
              </w:rPr>
            </w:pPr>
            <w:r w:rsidRPr="00872D7E">
              <w:rPr>
                <w:color w:val="000000"/>
                <w:sz w:val="16"/>
                <w:szCs w:val="16"/>
                <w:lang w:eastAsia="tr-TR"/>
              </w:rPr>
              <w:t>12.876</w:t>
            </w:r>
          </w:p>
        </w:tc>
        <w:tc>
          <w:tcPr>
            <w:tcW w:w="1092" w:type="dxa"/>
            <w:tcBorders>
              <w:top w:val="nil"/>
              <w:left w:val="nil"/>
              <w:bottom w:val="nil"/>
              <w:right w:val="single" w:sz="4" w:space="0" w:color="auto"/>
            </w:tcBorders>
            <w:shd w:val="clear" w:color="auto" w:fill="auto"/>
            <w:vAlign w:val="center"/>
            <w:hideMark/>
          </w:tcPr>
          <w:p w14:paraId="131EB960" w14:textId="77777777" w:rsidR="00862A01" w:rsidRPr="00872D7E" w:rsidRDefault="00862A01" w:rsidP="00862A01">
            <w:pPr>
              <w:jc w:val="right"/>
              <w:rPr>
                <w:color w:val="000000"/>
                <w:sz w:val="16"/>
                <w:szCs w:val="16"/>
                <w:lang w:eastAsia="tr-TR"/>
              </w:rPr>
            </w:pPr>
            <w:r w:rsidRPr="00872D7E">
              <w:rPr>
                <w:color w:val="000000"/>
                <w:sz w:val="16"/>
                <w:szCs w:val="16"/>
                <w:lang w:eastAsia="tr-TR"/>
              </w:rPr>
              <w:t>11.108</w:t>
            </w:r>
          </w:p>
        </w:tc>
      </w:tr>
      <w:tr w:rsidR="00862A01" w:rsidRPr="00872D7E" w14:paraId="52019C42"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357E841D"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11</w:t>
            </w:r>
          </w:p>
        </w:tc>
        <w:tc>
          <w:tcPr>
            <w:tcW w:w="5180" w:type="dxa"/>
            <w:tcBorders>
              <w:top w:val="nil"/>
              <w:left w:val="nil"/>
              <w:bottom w:val="nil"/>
              <w:right w:val="single" w:sz="4" w:space="0" w:color="auto"/>
            </w:tcBorders>
            <w:shd w:val="clear" w:color="auto" w:fill="auto"/>
            <w:noWrap/>
            <w:hideMark/>
          </w:tcPr>
          <w:p w14:paraId="519F1BA9" w14:textId="77777777" w:rsidR="00862A01" w:rsidRPr="00872D7E" w:rsidRDefault="00862A01" w:rsidP="00862A01">
            <w:pPr>
              <w:widowControl w:val="0"/>
              <w:ind w:left="227"/>
              <w:rPr>
                <w:color w:val="000000"/>
                <w:sz w:val="16"/>
                <w:szCs w:val="16"/>
              </w:rPr>
            </w:pPr>
            <w:r w:rsidRPr="00872D7E">
              <w:rPr>
                <w:color w:val="000000"/>
                <w:sz w:val="16"/>
                <w:szCs w:val="16"/>
              </w:rPr>
              <w:t>Türev yükümlülükler ve teminat tamamlama yükümlülükleri</w:t>
            </w:r>
          </w:p>
        </w:tc>
        <w:tc>
          <w:tcPr>
            <w:tcW w:w="1035" w:type="dxa"/>
            <w:tcBorders>
              <w:top w:val="nil"/>
              <w:left w:val="nil"/>
              <w:bottom w:val="nil"/>
              <w:right w:val="single" w:sz="4" w:space="0" w:color="auto"/>
            </w:tcBorders>
            <w:shd w:val="clear" w:color="auto" w:fill="auto"/>
            <w:vAlign w:val="center"/>
            <w:hideMark/>
          </w:tcPr>
          <w:p w14:paraId="5FF4F50A" w14:textId="77777777" w:rsidR="00862A01" w:rsidRPr="00872D7E" w:rsidRDefault="00862A01" w:rsidP="00862A01">
            <w:pPr>
              <w:jc w:val="right"/>
              <w:rPr>
                <w:color w:val="000000"/>
                <w:sz w:val="16"/>
                <w:szCs w:val="16"/>
                <w:lang w:eastAsia="tr-TR"/>
              </w:rPr>
            </w:pPr>
            <w:r w:rsidRPr="00872D7E">
              <w:rPr>
                <w:color w:val="000000"/>
                <w:sz w:val="16"/>
                <w:szCs w:val="16"/>
                <w:lang w:eastAsia="tr-TR"/>
              </w:rPr>
              <w:t>12.441</w:t>
            </w:r>
          </w:p>
        </w:tc>
        <w:tc>
          <w:tcPr>
            <w:tcW w:w="896" w:type="dxa"/>
            <w:tcBorders>
              <w:top w:val="nil"/>
              <w:left w:val="nil"/>
              <w:bottom w:val="nil"/>
              <w:right w:val="single" w:sz="4" w:space="0" w:color="auto"/>
            </w:tcBorders>
            <w:shd w:val="clear" w:color="auto" w:fill="auto"/>
            <w:vAlign w:val="center"/>
            <w:hideMark/>
          </w:tcPr>
          <w:p w14:paraId="536967E2" w14:textId="77777777" w:rsidR="00862A01" w:rsidRPr="00872D7E" w:rsidRDefault="00862A01" w:rsidP="00862A01">
            <w:pPr>
              <w:jc w:val="right"/>
              <w:rPr>
                <w:color w:val="000000"/>
                <w:sz w:val="16"/>
                <w:szCs w:val="16"/>
                <w:lang w:eastAsia="tr-TR"/>
              </w:rPr>
            </w:pPr>
            <w:r w:rsidRPr="00872D7E">
              <w:rPr>
                <w:color w:val="000000"/>
                <w:sz w:val="16"/>
                <w:szCs w:val="16"/>
                <w:lang w:eastAsia="tr-TR"/>
              </w:rPr>
              <w:t>11.062</w:t>
            </w:r>
          </w:p>
        </w:tc>
        <w:tc>
          <w:tcPr>
            <w:tcW w:w="1092" w:type="dxa"/>
            <w:tcBorders>
              <w:top w:val="nil"/>
              <w:left w:val="nil"/>
              <w:bottom w:val="nil"/>
              <w:right w:val="single" w:sz="4" w:space="0" w:color="auto"/>
            </w:tcBorders>
            <w:shd w:val="clear" w:color="auto" w:fill="auto"/>
            <w:vAlign w:val="center"/>
            <w:hideMark/>
          </w:tcPr>
          <w:p w14:paraId="0DC32E7C" w14:textId="77777777" w:rsidR="00862A01" w:rsidRPr="00872D7E" w:rsidRDefault="00862A01" w:rsidP="00862A01">
            <w:pPr>
              <w:jc w:val="right"/>
              <w:rPr>
                <w:color w:val="000000"/>
                <w:sz w:val="16"/>
                <w:szCs w:val="16"/>
                <w:lang w:eastAsia="tr-TR"/>
              </w:rPr>
            </w:pPr>
            <w:r w:rsidRPr="00872D7E">
              <w:rPr>
                <w:color w:val="000000"/>
                <w:sz w:val="16"/>
                <w:szCs w:val="16"/>
                <w:lang w:eastAsia="tr-TR"/>
              </w:rPr>
              <w:t>12.441</w:t>
            </w:r>
          </w:p>
        </w:tc>
        <w:tc>
          <w:tcPr>
            <w:tcW w:w="1092" w:type="dxa"/>
            <w:tcBorders>
              <w:top w:val="nil"/>
              <w:left w:val="nil"/>
              <w:bottom w:val="nil"/>
              <w:right w:val="single" w:sz="4" w:space="0" w:color="auto"/>
            </w:tcBorders>
            <w:shd w:val="clear" w:color="auto" w:fill="auto"/>
            <w:vAlign w:val="center"/>
            <w:hideMark/>
          </w:tcPr>
          <w:p w14:paraId="13DAF54F" w14:textId="77777777" w:rsidR="00862A01" w:rsidRPr="00872D7E" w:rsidRDefault="00862A01" w:rsidP="00862A01">
            <w:pPr>
              <w:jc w:val="right"/>
              <w:rPr>
                <w:color w:val="000000"/>
                <w:sz w:val="16"/>
                <w:szCs w:val="16"/>
                <w:lang w:eastAsia="tr-TR"/>
              </w:rPr>
            </w:pPr>
            <w:r w:rsidRPr="00872D7E">
              <w:rPr>
                <w:color w:val="000000"/>
                <w:sz w:val="16"/>
                <w:szCs w:val="16"/>
                <w:lang w:eastAsia="tr-TR"/>
              </w:rPr>
              <w:t>11.062</w:t>
            </w:r>
          </w:p>
        </w:tc>
      </w:tr>
      <w:tr w:rsidR="00862A01" w:rsidRPr="00872D7E" w14:paraId="33797DA4"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22D47189"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12</w:t>
            </w:r>
          </w:p>
        </w:tc>
        <w:tc>
          <w:tcPr>
            <w:tcW w:w="5180" w:type="dxa"/>
            <w:tcBorders>
              <w:top w:val="nil"/>
              <w:left w:val="nil"/>
              <w:bottom w:val="nil"/>
              <w:right w:val="single" w:sz="4" w:space="0" w:color="auto"/>
            </w:tcBorders>
            <w:shd w:val="clear" w:color="auto" w:fill="auto"/>
            <w:noWrap/>
            <w:hideMark/>
          </w:tcPr>
          <w:p w14:paraId="4B145B47" w14:textId="77777777" w:rsidR="00862A01" w:rsidRPr="00872D7E" w:rsidRDefault="00862A01" w:rsidP="00862A01">
            <w:pPr>
              <w:widowControl w:val="0"/>
              <w:ind w:left="227"/>
              <w:rPr>
                <w:color w:val="000000"/>
                <w:sz w:val="16"/>
                <w:szCs w:val="16"/>
              </w:rPr>
            </w:pPr>
            <w:r w:rsidRPr="00872D7E">
              <w:rPr>
                <w:color w:val="000000"/>
                <w:sz w:val="16"/>
                <w:szCs w:val="16"/>
              </w:rPr>
              <w:t>Yapılandırılmış finansal araçlardan borçlar</w:t>
            </w:r>
          </w:p>
        </w:tc>
        <w:tc>
          <w:tcPr>
            <w:tcW w:w="1035" w:type="dxa"/>
            <w:tcBorders>
              <w:top w:val="nil"/>
              <w:left w:val="nil"/>
              <w:bottom w:val="nil"/>
              <w:right w:val="single" w:sz="4" w:space="0" w:color="auto"/>
            </w:tcBorders>
            <w:shd w:val="clear" w:color="auto" w:fill="auto"/>
            <w:vAlign w:val="center"/>
            <w:hideMark/>
          </w:tcPr>
          <w:p w14:paraId="66FE89B5"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4DF5D991"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6BA87055"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37EA52DB"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57DD9650"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56D5CD80"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13</w:t>
            </w:r>
          </w:p>
        </w:tc>
        <w:tc>
          <w:tcPr>
            <w:tcW w:w="5180" w:type="dxa"/>
            <w:tcBorders>
              <w:top w:val="nil"/>
              <w:left w:val="nil"/>
              <w:bottom w:val="nil"/>
              <w:right w:val="single" w:sz="4" w:space="0" w:color="auto"/>
            </w:tcBorders>
            <w:shd w:val="clear" w:color="auto" w:fill="auto"/>
            <w:hideMark/>
          </w:tcPr>
          <w:p w14:paraId="633987EE" w14:textId="77777777" w:rsidR="00862A01" w:rsidRPr="00872D7E" w:rsidRDefault="00862A01" w:rsidP="00862A01">
            <w:pPr>
              <w:widowControl w:val="0"/>
              <w:ind w:left="227"/>
              <w:rPr>
                <w:color w:val="000000"/>
                <w:sz w:val="16"/>
                <w:szCs w:val="16"/>
              </w:rPr>
            </w:pPr>
            <w:r w:rsidRPr="00872D7E">
              <w:rPr>
                <w:color w:val="000000"/>
                <w:sz w:val="16"/>
                <w:szCs w:val="16"/>
              </w:rPr>
              <w:t>Finansal piyasalara olan borçlar için verilen ödeme taahhütleri ile diğer bilanço dışı yükümlülükler</w:t>
            </w:r>
          </w:p>
        </w:tc>
        <w:tc>
          <w:tcPr>
            <w:tcW w:w="1035" w:type="dxa"/>
            <w:tcBorders>
              <w:top w:val="nil"/>
              <w:left w:val="nil"/>
              <w:bottom w:val="nil"/>
              <w:right w:val="single" w:sz="4" w:space="0" w:color="auto"/>
            </w:tcBorders>
            <w:shd w:val="clear" w:color="auto" w:fill="auto"/>
            <w:vAlign w:val="center"/>
            <w:hideMark/>
          </w:tcPr>
          <w:p w14:paraId="3120ACE6" w14:textId="77777777" w:rsidR="00862A01" w:rsidRPr="00872D7E" w:rsidRDefault="00862A01" w:rsidP="00862A01">
            <w:pPr>
              <w:jc w:val="right"/>
              <w:rPr>
                <w:color w:val="000000"/>
                <w:sz w:val="16"/>
                <w:szCs w:val="16"/>
                <w:lang w:eastAsia="tr-TR"/>
              </w:rPr>
            </w:pPr>
            <w:r w:rsidRPr="00872D7E">
              <w:rPr>
                <w:color w:val="000000"/>
                <w:sz w:val="16"/>
                <w:szCs w:val="16"/>
                <w:lang w:eastAsia="tr-TR"/>
              </w:rPr>
              <w:t>4.352</w:t>
            </w:r>
          </w:p>
        </w:tc>
        <w:tc>
          <w:tcPr>
            <w:tcW w:w="896" w:type="dxa"/>
            <w:tcBorders>
              <w:top w:val="nil"/>
              <w:left w:val="nil"/>
              <w:bottom w:val="nil"/>
              <w:right w:val="single" w:sz="4" w:space="0" w:color="auto"/>
            </w:tcBorders>
            <w:shd w:val="clear" w:color="auto" w:fill="auto"/>
            <w:vAlign w:val="center"/>
            <w:hideMark/>
          </w:tcPr>
          <w:p w14:paraId="4D95BB8F" w14:textId="77777777" w:rsidR="00862A01" w:rsidRPr="00872D7E" w:rsidRDefault="00862A01" w:rsidP="00862A01">
            <w:pPr>
              <w:jc w:val="right"/>
              <w:rPr>
                <w:color w:val="000000"/>
                <w:sz w:val="16"/>
                <w:szCs w:val="16"/>
                <w:lang w:eastAsia="tr-TR"/>
              </w:rPr>
            </w:pPr>
            <w:r w:rsidRPr="00872D7E">
              <w:rPr>
                <w:color w:val="000000"/>
                <w:sz w:val="16"/>
                <w:szCs w:val="16"/>
                <w:lang w:eastAsia="tr-TR"/>
              </w:rPr>
              <w:t>464</w:t>
            </w:r>
          </w:p>
        </w:tc>
        <w:tc>
          <w:tcPr>
            <w:tcW w:w="1092" w:type="dxa"/>
            <w:tcBorders>
              <w:top w:val="nil"/>
              <w:left w:val="nil"/>
              <w:bottom w:val="nil"/>
              <w:right w:val="single" w:sz="4" w:space="0" w:color="auto"/>
            </w:tcBorders>
            <w:shd w:val="clear" w:color="auto" w:fill="auto"/>
            <w:vAlign w:val="center"/>
            <w:hideMark/>
          </w:tcPr>
          <w:p w14:paraId="04494C26" w14:textId="77777777" w:rsidR="00862A01" w:rsidRPr="00872D7E" w:rsidRDefault="00862A01" w:rsidP="00862A01">
            <w:pPr>
              <w:jc w:val="right"/>
              <w:rPr>
                <w:color w:val="000000"/>
                <w:sz w:val="16"/>
                <w:szCs w:val="16"/>
                <w:lang w:eastAsia="tr-TR"/>
              </w:rPr>
            </w:pPr>
            <w:r w:rsidRPr="00872D7E">
              <w:rPr>
                <w:color w:val="000000"/>
                <w:sz w:val="16"/>
                <w:szCs w:val="16"/>
                <w:lang w:eastAsia="tr-TR"/>
              </w:rPr>
              <w:t>435</w:t>
            </w:r>
          </w:p>
        </w:tc>
        <w:tc>
          <w:tcPr>
            <w:tcW w:w="1092" w:type="dxa"/>
            <w:tcBorders>
              <w:top w:val="nil"/>
              <w:left w:val="nil"/>
              <w:bottom w:val="nil"/>
              <w:right w:val="single" w:sz="4" w:space="0" w:color="auto"/>
            </w:tcBorders>
            <w:shd w:val="clear" w:color="auto" w:fill="auto"/>
            <w:vAlign w:val="center"/>
            <w:hideMark/>
          </w:tcPr>
          <w:p w14:paraId="0AFAF033" w14:textId="77777777" w:rsidR="00862A01" w:rsidRPr="00872D7E" w:rsidRDefault="00862A01" w:rsidP="00862A01">
            <w:pPr>
              <w:jc w:val="right"/>
              <w:rPr>
                <w:color w:val="000000"/>
                <w:sz w:val="16"/>
                <w:szCs w:val="16"/>
                <w:lang w:eastAsia="tr-TR"/>
              </w:rPr>
            </w:pPr>
            <w:r w:rsidRPr="00872D7E">
              <w:rPr>
                <w:color w:val="000000"/>
                <w:sz w:val="16"/>
                <w:szCs w:val="16"/>
                <w:lang w:eastAsia="tr-TR"/>
              </w:rPr>
              <w:t>46</w:t>
            </w:r>
          </w:p>
        </w:tc>
      </w:tr>
      <w:tr w:rsidR="00862A01" w:rsidRPr="00872D7E" w14:paraId="1646A8CE"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6ADC6755"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14</w:t>
            </w:r>
          </w:p>
        </w:tc>
        <w:tc>
          <w:tcPr>
            <w:tcW w:w="5180" w:type="dxa"/>
            <w:tcBorders>
              <w:top w:val="nil"/>
              <w:left w:val="nil"/>
              <w:bottom w:val="nil"/>
              <w:right w:val="single" w:sz="4" w:space="0" w:color="auto"/>
            </w:tcBorders>
            <w:shd w:val="clear" w:color="auto" w:fill="auto"/>
            <w:hideMark/>
          </w:tcPr>
          <w:p w14:paraId="247513C7" w14:textId="77777777" w:rsidR="00862A01" w:rsidRPr="00872D7E" w:rsidRDefault="00862A01" w:rsidP="00862A01">
            <w:pPr>
              <w:rPr>
                <w:color w:val="000000"/>
                <w:sz w:val="16"/>
                <w:szCs w:val="16"/>
                <w:lang w:eastAsia="tr-TR"/>
              </w:rPr>
            </w:pPr>
            <w:r w:rsidRPr="00872D7E">
              <w:rPr>
                <w:color w:val="000000"/>
                <w:sz w:val="16"/>
                <w:szCs w:val="16"/>
                <w:lang w:eastAsia="tr-TR"/>
              </w:rPr>
              <w:t>Herhangi bir şarta bağlı olmaksızın cayılabilir bilanço dışı diğer yükümlülükler ile sözleşmeye dayalı diğer yükümlülükler</w:t>
            </w:r>
          </w:p>
        </w:tc>
        <w:tc>
          <w:tcPr>
            <w:tcW w:w="1035" w:type="dxa"/>
            <w:tcBorders>
              <w:top w:val="nil"/>
              <w:left w:val="nil"/>
              <w:bottom w:val="nil"/>
              <w:right w:val="single" w:sz="4" w:space="0" w:color="auto"/>
            </w:tcBorders>
            <w:shd w:val="clear" w:color="auto" w:fill="auto"/>
            <w:vAlign w:val="center"/>
            <w:hideMark/>
          </w:tcPr>
          <w:p w14:paraId="3A84825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08896DFF"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1B4D8510"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07F67DD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1A225633"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2FC69871"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15</w:t>
            </w:r>
          </w:p>
        </w:tc>
        <w:tc>
          <w:tcPr>
            <w:tcW w:w="5180" w:type="dxa"/>
            <w:tcBorders>
              <w:top w:val="nil"/>
              <w:left w:val="nil"/>
              <w:bottom w:val="nil"/>
              <w:right w:val="single" w:sz="4" w:space="0" w:color="auto"/>
            </w:tcBorders>
            <w:shd w:val="clear" w:color="auto" w:fill="auto"/>
            <w:noWrap/>
            <w:hideMark/>
          </w:tcPr>
          <w:p w14:paraId="70D2E3F7" w14:textId="77777777" w:rsidR="00862A01" w:rsidRPr="00872D7E" w:rsidRDefault="00862A01" w:rsidP="00862A01">
            <w:pPr>
              <w:rPr>
                <w:color w:val="000000"/>
                <w:sz w:val="16"/>
                <w:szCs w:val="16"/>
                <w:lang w:eastAsia="tr-TR"/>
              </w:rPr>
            </w:pPr>
            <w:r w:rsidRPr="00872D7E">
              <w:rPr>
                <w:color w:val="000000"/>
                <w:sz w:val="16"/>
                <w:szCs w:val="16"/>
                <w:lang w:eastAsia="tr-TR"/>
              </w:rPr>
              <w:t>Diğer cayılamaz veya şartı bağlı olarak cayılabilir bilanço dışı borçlar</w:t>
            </w:r>
          </w:p>
        </w:tc>
        <w:tc>
          <w:tcPr>
            <w:tcW w:w="1035" w:type="dxa"/>
            <w:tcBorders>
              <w:top w:val="nil"/>
              <w:left w:val="nil"/>
              <w:bottom w:val="nil"/>
              <w:right w:val="single" w:sz="4" w:space="0" w:color="auto"/>
            </w:tcBorders>
            <w:shd w:val="clear" w:color="auto" w:fill="auto"/>
            <w:vAlign w:val="center"/>
            <w:hideMark/>
          </w:tcPr>
          <w:p w14:paraId="65806E6B"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0B18EA1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55D971C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11EF086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6B5E66EE"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251A2E4"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16</w:t>
            </w:r>
          </w:p>
        </w:tc>
        <w:tc>
          <w:tcPr>
            <w:tcW w:w="5180" w:type="dxa"/>
            <w:tcBorders>
              <w:top w:val="single" w:sz="4" w:space="0" w:color="auto"/>
              <w:left w:val="nil"/>
              <w:bottom w:val="single" w:sz="4" w:space="0" w:color="auto"/>
              <w:right w:val="single" w:sz="4" w:space="0" w:color="auto"/>
            </w:tcBorders>
            <w:shd w:val="clear" w:color="auto" w:fill="auto"/>
            <w:noWrap/>
            <w:hideMark/>
          </w:tcPr>
          <w:p w14:paraId="00E2DFCC"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TOPLAM NAKİT ÇIKIŞLARI</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1AB035DB"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750ED47E"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54FAEB7B" w14:textId="77777777" w:rsidR="00862A01" w:rsidRPr="00872D7E" w:rsidRDefault="00862A01" w:rsidP="00862A01">
            <w:pPr>
              <w:jc w:val="right"/>
              <w:rPr>
                <w:b/>
                <w:bCs/>
                <w:color w:val="000000"/>
                <w:sz w:val="16"/>
                <w:szCs w:val="16"/>
                <w:lang w:eastAsia="tr-TR"/>
              </w:rPr>
            </w:pPr>
            <w:r w:rsidRPr="00872D7E">
              <w:rPr>
                <w:b/>
                <w:bCs/>
                <w:color w:val="000000"/>
                <w:sz w:val="16"/>
                <w:szCs w:val="16"/>
                <w:lang w:eastAsia="tr-TR"/>
              </w:rPr>
              <w:t>6.061.175</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3928C01A" w14:textId="77777777" w:rsidR="00862A01" w:rsidRPr="00872D7E" w:rsidRDefault="00862A01" w:rsidP="00862A01">
            <w:pPr>
              <w:jc w:val="right"/>
              <w:rPr>
                <w:b/>
                <w:bCs/>
                <w:color w:val="000000"/>
                <w:sz w:val="16"/>
                <w:szCs w:val="16"/>
                <w:lang w:eastAsia="tr-TR"/>
              </w:rPr>
            </w:pPr>
            <w:r w:rsidRPr="00872D7E">
              <w:rPr>
                <w:b/>
                <w:bCs/>
                <w:color w:val="000000"/>
                <w:sz w:val="16"/>
                <w:szCs w:val="16"/>
                <w:lang w:eastAsia="tr-TR"/>
              </w:rPr>
              <w:t>2.849.240</w:t>
            </w:r>
          </w:p>
        </w:tc>
      </w:tr>
      <w:tr w:rsidR="00862A01" w:rsidRPr="00872D7E" w14:paraId="24F7E04B"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1F9FAF39"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4C11F3CD"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NAKİT GİRİŞLERİ</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67C2CDFF"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37659743"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4F68C732"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01AEAB8D"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r>
      <w:tr w:rsidR="00862A01" w:rsidRPr="00872D7E" w14:paraId="4CC1B15C"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54646D32"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17</w:t>
            </w:r>
          </w:p>
        </w:tc>
        <w:tc>
          <w:tcPr>
            <w:tcW w:w="5180" w:type="dxa"/>
            <w:tcBorders>
              <w:top w:val="nil"/>
              <w:left w:val="nil"/>
              <w:bottom w:val="nil"/>
              <w:right w:val="single" w:sz="4" w:space="0" w:color="auto"/>
            </w:tcBorders>
            <w:shd w:val="clear" w:color="auto" w:fill="auto"/>
            <w:noWrap/>
            <w:hideMark/>
          </w:tcPr>
          <w:p w14:paraId="2BBE00BD" w14:textId="77777777" w:rsidR="00862A01" w:rsidRPr="00872D7E" w:rsidRDefault="00862A01" w:rsidP="00862A01">
            <w:pPr>
              <w:rPr>
                <w:color w:val="000000"/>
                <w:sz w:val="16"/>
                <w:szCs w:val="16"/>
                <w:lang w:eastAsia="tr-TR"/>
              </w:rPr>
            </w:pPr>
            <w:r w:rsidRPr="00872D7E">
              <w:rPr>
                <w:color w:val="000000"/>
                <w:sz w:val="16"/>
                <w:szCs w:val="16"/>
                <w:lang w:eastAsia="tr-TR"/>
              </w:rPr>
              <w:t>Teminatlı alacaklar</w:t>
            </w:r>
          </w:p>
        </w:tc>
        <w:tc>
          <w:tcPr>
            <w:tcW w:w="1035" w:type="dxa"/>
            <w:tcBorders>
              <w:top w:val="nil"/>
              <w:left w:val="nil"/>
              <w:bottom w:val="nil"/>
              <w:right w:val="single" w:sz="4" w:space="0" w:color="auto"/>
            </w:tcBorders>
            <w:shd w:val="clear" w:color="auto" w:fill="auto"/>
            <w:vAlign w:val="center"/>
            <w:hideMark/>
          </w:tcPr>
          <w:p w14:paraId="332F29E1"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336660B3"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79988333"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6AEE2300"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77AB50D2"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3DBDE1BA"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18</w:t>
            </w:r>
          </w:p>
        </w:tc>
        <w:tc>
          <w:tcPr>
            <w:tcW w:w="5180" w:type="dxa"/>
            <w:tcBorders>
              <w:top w:val="nil"/>
              <w:left w:val="nil"/>
              <w:bottom w:val="nil"/>
              <w:right w:val="single" w:sz="4" w:space="0" w:color="auto"/>
            </w:tcBorders>
            <w:shd w:val="clear" w:color="auto" w:fill="auto"/>
            <w:noWrap/>
            <w:hideMark/>
          </w:tcPr>
          <w:p w14:paraId="3889651A" w14:textId="77777777" w:rsidR="00862A01" w:rsidRPr="00872D7E" w:rsidRDefault="00862A01" w:rsidP="00862A01">
            <w:pPr>
              <w:rPr>
                <w:color w:val="000000"/>
                <w:sz w:val="16"/>
                <w:szCs w:val="16"/>
                <w:lang w:eastAsia="tr-TR"/>
              </w:rPr>
            </w:pPr>
            <w:r w:rsidRPr="00872D7E">
              <w:rPr>
                <w:color w:val="000000"/>
                <w:sz w:val="16"/>
                <w:szCs w:val="16"/>
                <w:lang w:eastAsia="tr-TR"/>
              </w:rPr>
              <w:t>Teminatsız alacaklar</w:t>
            </w:r>
          </w:p>
        </w:tc>
        <w:tc>
          <w:tcPr>
            <w:tcW w:w="1035" w:type="dxa"/>
            <w:tcBorders>
              <w:top w:val="nil"/>
              <w:left w:val="nil"/>
              <w:bottom w:val="nil"/>
              <w:right w:val="single" w:sz="4" w:space="0" w:color="auto"/>
            </w:tcBorders>
            <w:shd w:val="clear" w:color="auto" w:fill="auto"/>
            <w:vAlign w:val="center"/>
            <w:hideMark/>
          </w:tcPr>
          <w:p w14:paraId="09F869B2" w14:textId="77777777" w:rsidR="00862A01" w:rsidRPr="00872D7E" w:rsidRDefault="00862A01" w:rsidP="00862A01">
            <w:pPr>
              <w:jc w:val="right"/>
              <w:rPr>
                <w:color w:val="000000"/>
                <w:sz w:val="16"/>
                <w:szCs w:val="16"/>
                <w:lang w:eastAsia="tr-TR"/>
              </w:rPr>
            </w:pPr>
            <w:r w:rsidRPr="00872D7E">
              <w:rPr>
                <w:color w:val="000000"/>
                <w:sz w:val="16"/>
                <w:szCs w:val="16"/>
                <w:lang w:eastAsia="tr-TR"/>
              </w:rPr>
              <w:t>4.529.801</w:t>
            </w:r>
          </w:p>
        </w:tc>
        <w:tc>
          <w:tcPr>
            <w:tcW w:w="896" w:type="dxa"/>
            <w:tcBorders>
              <w:top w:val="nil"/>
              <w:left w:val="nil"/>
              <w:bottom w:val="nil"/>
              <w:right w:val="single" w:sz="4" w:space="0" w:color="auto"/>
            </w:tcBorders>
            <w:shd w:val="clear" w:color="auto" w:fill="auto"/>
            <w:vAlign w:val="center"/>
            <w:hideMark/>
          </w:tcPr>
          <w:p w14:paraId="19FB7D93" w14:textId="77777777" w:rsidR="00862A01" w:rsidRPr="00872D7E" w:rsidRDefault="00862A01" w:rsidP="00862A01">
            <w:pPr>
              <w:jc w:val="right"/>
              <w:rPr>
                <w:color w:val="000000"/>
                <w:sz w:val="16"/>
                <w:szCs w:val="16"/>
                <w:lang w:eastAsia="tr-TR"/>
              </w:rPr>
            </w:pPr>
            <w:r w:rsidRPr="00872D7E">
              <w:rPr>
                <w:color w:val="000000"/>
                <w:sz w:val="16"/>
                <w:szCs w:val="16"/>
                <w:lang w:eastAsia="tr-TR"/>
              </w:rPr>
              <w:t>2.445.422</w:t>
            </w:r>
          </w:p>
        </w:tc>
        <w:tc>
          <w:tcPr>
            <w:tcW w:w="1092" w:type="dxa"/>
            <w:tcBorders>
              <w:top w:val="nil"/>
              <w:left w:val="nil"/>
              <w:bottom w:val="nil"/>
              <w:right w:val="single" w:sz="4" w:space="0" w:color="auto"/>
            </w:tcBorders>
            <w:shd w:val="clear" w:color="auto" w:fill="auto"/>
            <w:vAlign w:val="center"/>
            <w:hideMark/>
          </w:tcPr>
          <w:p w14:paraId="600D34CF" w14:textId="77777777" w:rsidR="00862A01" w:rsidRPr="00872D7E" w:rsidRDefault="00862A01" w:rsidP="00862A01">
            <w:pPr>
              <w:jc w:val="right"/>
              <w:rPr>
                <w:color w:val="000000"/>
                <w:sz w:val="16"/>
                <w:szCs w:val="16"/>
                <w:lang w:eastAsia="tr-TR"/>
              </w:rPr>
            </w:pPr>
            <w:r w:rsidRPr="00872D7E">
              <w:rPr>
                <w:color w:val="000000"/>
                <w:sz w:val="16"/>
                <w:szCs w:val="16"/>
                <w:lang w:eastAsia="tr-TR"/>
              </w:rPr>
              <w:t>3.511.387</w:t>
            </w:r>
          </w:p>
        </w:tc>
        <w:tc>
          <w:tcPr>
            <w:tcW w:w="1092" w:type="dxa"/>
            <w:tcBorders>
              <w:top w:val="nil"/>
              <w:left w:val="nil"/>
              <w:bottom w:val="nil"/>
              <w:right w:val="single" w:sz="4" w:space="0" w:color="auto"/>
            </w:tcBorders>
            <w:shd w:val="clear" w:color="auto" w:fill="auto"/>
            <w:vAlign w:val="center"/>
            <w:hideMark/>
          </w:tcPr>
          <w:p w14:paraId="75AFE32E" w14:textId="77777777" w:rsidR="00862A01" w:rsidRPr="00872D7E" w:rsidRDefault="00862A01" w:rsidP="00862A01">
            <w:pPr>
              <w:jc w:val="right"/>
              <w:rPr>
                <w:color w:val="000000"/>
                <w:sz w:val="16"/>
                <w:szCs w:val="16"/>
                <w:lang w:eastAsia="tr-TR"/>
              </w:rPr>
            </w:pPr>
            <w:r w:rsidRPr="00872D7E">
              <w:rPr>
                <w:color w:val="000000"/>
                <w:sz w:val="16"/>
                <w:szCs w:val="16"/>
                <w:lang w:eastAsia="tr-TR"/>
              </w:rPr>
              <w:t>2.131.474</w:t>
            </w:r>
          </w:p>
        </w:tc>
      </w:tr>
      <w:tr w:rsidR="00862A01" w:rsidRPr="00872D7E" w14:paraId="4E4B264B" w14:textId="77777777" w:rsidTr="00862A01">
        <w:trPr>
          <w:divId w:val="1081490906"/>
          <w:trHeight w:val="20"/>
        </w:trPr>
        <w:tc>
          <w:tcPr>
            <w:tcW w:w="331" w:type="dxa"/>
            <w:tcBorders>
              <w:top w:val="nil"/>
              <w:left w:val="single" w:sz="4" w:space="0" w:color="auto"/>
              <w:bottom w:val="nil"/>
              <w:right w:val="single" w:sz="4" w:space="0" w:color="auto"/>
            </w:tcBorders>
            <w:shd w:val="clear" w:color="auto" w:fill="auto"/>
            <w:noWrap/>
            <w:hideMark/>
          </w:tcPr>
          <w:p w14:paraId="024884E6"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19</w:t>
            </w:r>
          </w:p>
        </w:tc>
        <w:tc>
          <w:tcPr>
            <w:tcW w:w="5180" w:type="dxa"/>
            <w:tcBorders>
              <w:top w:val="nil"/>
              <w:left w:val="nil"/>
              <w:bottom w:val="nil"/>
              <w:right w:val="single" w:sz="4" w:space="0" w:color="auto"/>
            </w:tcBorders>
            <w:shd w:val="clear" w:color="auto" w:fill="auto"/>
            <w:noWrap/>
            <w:hideMark/>
          </w:tcPr>
          <w:p w14:paraId="331F21BB" w14:textId="77777777" w:rsidR="00862A01" w:rsidRPr="00872D7E" w:rsidRDefault="00862A01" w:rsidP="00862A01">
            <w:pPr>
              <w:rPr>
                <w:color w:val="000000"/>
                <w:sz w:val="16"/>
                <w:szCs w:val="16"/>
                <w:lang w:eastAsia="tr-TR"/>
              </w:rPr>
            </w:pPr>
            <w:r w:rsidRPr="00872D7E">
              <w:rPr>
                <w:color w:val="000000"/>
                <w:sz w:val="16"/>
                <w:szCs w:val="16"/>
                <w:lang w:eastAsia="tr-TR"/>
              </w:rPr>
              <w:t>Diğer nakit girişleri</w:t>
            </w:r>
          </w:p>
        </w:tc>
        <w:tc>
          <w:tcPr>
            <w:tcW w:w="1035" w:type="dxa"/>
            <w:tcBorders>
              <w:top w:val="nil"/>
              <w:left w:val="nil"/>
              <w:bottom w:val="nil"/>
              <w:right w:val="single" w:sz="4" w:space="0" w:color="auto"/>
            </w:tcBorders>
            <w:shd w:val="clear" w:color="auto" w:fill="auto"/>
            <w:vAlign w:val="center"/>
            <w:hideMark/>
          </w:tcPr>
          <w:p w14:paraId="4C5DC2ED" w14:textId="77777777" w:rsidR="00862A01" w:rsidRPr="00872D7E" w:rsidRDefault="00862A01" w:rsidP="00862A01">
            <w:pPr>
              <w:jc w:val="right"/>
              <w:rPr>
                <w:color w:val="000000"/>
                <w:sz w:val="16"/>
                <w:szCs w:val="16"/>
                <w:lang w:eastAsia="tr-TR"/>
              </w:rPr>
            </w:pPr>
            <w:r w:rsidRPr="00872D7E">
              <w:rPr>
                <w:color w:val="000000"/>
                <w:sz w:val="16"/>
                <w:szCs w:val="16"/>
                <w:lang w:eastAsia="tr-TR"/>
              </w:rPr>
              <w:t>51.413</w:t>
            </w:r>
          </w:p>
        </w:tc>
        <w:tc>
          <w:tcPr>
            <w:tcW w:w="896" w:type="dxa"/>
            <w:tcBorders>
              <w:top w:val="nil"/>
              <w:left w:val="nil"/>
              <w:bottom w:val="nil"/>
              <w:right w:val="single" w:sz="4" w:space="0" w:color="auto"/>
            </w:tcBorders>
            <w:shd w:val="clear" w:color="auto" w:fill="auto"/>
            <w:vAlign w:val="center"/>
            <w:hideMark/>
          </w:tcPr>
          <w:p w14:paraId="440BCD39" w14:textId="77777777" w:rsidR="00862A01" w:rsidRPr="00872D7E" w:rsidRDefault="00862A01" w:rsidP="00862A01">
            <w:pPr>
              <w:jc w:val="right"/>
              <w:rPr>
                <w:color w:val="000000"/>
                <w:sz w:val="16"/>
                <w:szCs w:val="16"/>
                <w:lang w:eastAsia="tr-TR"/>
              </w:rPr>
            </w:pPr>
            <w:r w:rsidRPr="00872D7E">
              <w:rPr>
                <w:color w:val="000000"/>
                <w:sz w:val="16"/>
                <w:szCs w:val="16"/>
                <w:lang w:eastAsia="tr-TR"/>
              </w:rPr>
              <w:t>17.794</w:t>
            </w:r>
          </w:p>
        </w:tc>
        <w:tc>
          <w:tcPr>
            <w:tcW w:w="1092" w:type="dxa"/>
            <w:tcBorders>
              <w:top w:val="nil"/>
              <w:left w:val="nil"/>
              <w:bottom w:val="nil"/>
              <w:right w:val="single" w:sz="4" w:space="0" w:color="auto"/>
            </w:tcBorders>
            <w:shd w:val="clear" w:color="auto" w:fill="auto"/>
            <w:vAlign w:val="center"/>
            <w:hideMark/>
          </w:tcPr>
          <w:p w14:paraId="13CCD65B" w14:textId="77777777" w:rsidR="00862A01" w:rsidRPr="00872D7E" w:rsidRDefault="00862A01" w:rsidP="00862A01">
            <w:pPr>
              <w:jc w:val="right"/>
              <w:rPr>
                <w:color w:val="000000"/>
                <w:sz w:val="16"/>
                <w:szCs w:val="16"/>
                <w:lang w:eastAsia="tr-TR"/>
              </w:rPr>
            </w:pPr>
            <w:r w:rsidRPr="00872D7E">
              <w:rPr>
                <w:color w:val="000000"/>
                <w:sz w:val="16"/>
                <w:szCs w:val="16"/>
                <w:lang w:eastAsia="tr-TR"/>
              </w:rPr>
              <w:t>51.413</w:t>
            </w:r>
          </w:p>
        </w:tc>
        <w:tc>
          <w:tcPr>
            <w:tcW w:w="1092" w:type="dxa"/>
            <w:tcBorders>
              <w:top w:val="nil"/>
              <w:left w:val="nil"/>
              <w:bottom w:val="nil"/>
              <w:right w:val="single" w:sz="4" w:space="0" w:color="auto"/>
            </w:tcBorders>
            <w:shd w:val="clear" w:color="auto" w:fill="auto"/>
            <w:vAlign w:val="center"/>
            <w:hideMark/>
          </w:tcPr>
          <w:p w14:paraId="344821F3" w14:textId="77777777" w:rsidR="00862A01" w:rsidRPr="00872D7E" w:rsidRDefault="00862A01" w:rsidP="00862A01">
            <w:pPr>
              <w:jc w:val="right"/>
              <w:rPr>
                <w:color w:val="000000"/>
                <w:sz w:val="16"/>
                <w:szCs w:val="16"/>
                <w:lang w:eastAsia="tr-TR"/>
              </w:rPr>
            </w:pPr>
            <w:r w:rsidRPr="00872D7E">
              <w:rPr>
                <w:color w:val="000000"/>
                <w:sz w:val="16"/>
                <w:szCs w:val="16"/>
                <w:lang w:eastAsia="tr-TR"/>
              </w:rPr>
              <w:t>17.794</w:t>
            </w:r>
          </w:p>
        </w:tc>
      </w:tr>
      <w:tr w:rsidR="00862A01" w:rsidRPr="00872D7E" w14:paraId="6448F465"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408DBDF"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20</w:t>
            </w:r>
          </w:p>
        </w:tc>
        <w:tc>
          <w:tcPr>
            <w:tcW w:w="5180" w:type="dxa"/>
            <w:tcBorders>
              <w:top w:val="single" w:sz="4" w:space="0" w:color="auto"/>
              <w:left w:val="nil"/>
              <w:bottom w:val="single" w:sz="4" w:space="0" w:color="auto"/>
              <w:right w:val="single" w:sz="4" w:space="0" w:color="auto"/>
            </w:tcBorders>
            <w:shd w:val="clear" w:color="auto" w:fill="auto"/>
            <w:noWrap/>
            <w:hideMark/>
          </w:tcPr>
          <w:p w14:paraId="52E7BE92"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TOPLAM NAKİT GİRİŞLERİ</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1F86C899" w14:textId="77777777" w:rsidR="00862A01" w:rsidRPr="00872D7E" w:rsidRDefault="00862A01" w:rsidP="00862A01">
            <w:pPr>
              <w:jc w:val="right"/>
              <w:rPr>
                <w:color w:val="000000"/>
                <w:sz w:val="16"/>
                <w:szCs w:val="16"/>
                <w:lang w:eastAsia="tr-TR"/>
              </w:rPr>
            </w:pPr>
            <w:r w:rsidRPr="00872D7E">
              <w:rPr>
                <w:color w:val="000000"/>
                <w:sz w:val="16"/>
                <w:szCs w:val="16"/>
                <w:lang w:eastAsia="tr-TR"/>
              </w:rPr>
              <w:t>4.581.214</w:t>
            </w:r>
          </w:p>
        </w:tc>
        <w:tc>
          <w:tcPr>
            <w:tcW w:w="896" w:type="dxa"/>
            <w:tcBorders>
              <w:top w:val="single" w:sz="4" w:space="0" w:color="auto"/>
              <w:left w:val="nil"/>
              <w:bottom w:val="single" w:sz="4" w:space="0" w:color="auto"/>
              <w:right w:val="single" w:sz="4" w:space="0" w:color="auto"/>
            </w:tcBorders>
            <w:shd w:val="clear" w:color="auto" w:fill="auto"/>
            <w:vAlign w:val="center"/>
            <w:hideMark/>
          </w:tcPr>
          <w:p w14:paraId="10CA5C18" w14:textId="77777777" w:rsidR="00862A01" w:rsidRPr="00872D7E" w:rsidRDefault="00862A01" w:rsidP="00862A01">
            <w:pPr>
              <w:jc w:val="right"/>
              <w:rPr>
                <w:color w:val="000000"/>
                <w:sz w:val="16"/>
                <w:szCs w:val="16"/>
                <w:lang w:eastAsia="tr-TR"/>
              </w:rPr>
            </w:pPr>
            <w:r w:rsidRPr="00872D7E">
              <w:rPr>
                <w:color w:val="000000"/>
                <w:sz w:val="16"/>
                <w:szCs w:val="16"/>
                <w:lang w:eastAsia="tr-TR"/>
              </w:rPr>
              <w:t>2.463.216</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3E3BB546" w14:textId="77777777" w:rsidR="00862A01" w:rsidRPr="00872D7E" w:rsidRDefault="00862A01" w:rsidP="00862A01">
            <w:pPr>
              <w:jc w:val="right"/>
              <w:rPr>
                <w:color w:val="000000"/>
                <w:sz w:val="16"/>
                <w:szCs w:val="16"/>
                <w:lang w:eastAsia="tr-TR"/>
              </w:rPr>
            </w:pPr>
            <w:r w:rsidRPr="00872D7E">
              <w:rPr>
                <w:color w:val="000000"/>
                <w:sz w:val="16"/>
                <w:szCs w:val="16"/>
                <w:lang w:eastAsia="tr-TR"/>
              </w:rPr>
              <w:t>3.562.800</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3A60CE2" w14:textId="77777777" w:rsidR="00862A01" w:rsidRPr="00872D7E" w:rsidRDefault="00862A01" w:rsidP="00862A01">
            <w:pPr>
              <w:jc w:val="right"/>
              <w:rPr>
                <w:color w:val="000000"/>
                <w:sz w:val="16"/>
                <w:szCs w:val="16"/>
                <w:lang w:eastAsia="tr-TR"/>
              </w:rPr>
            </w:pPr>
            <w:r w:rsidRPr="00872D7E">
              <w:rPr>
                <w:color w:val="000000"/>
                <w:sz w:val="16"/>
                <w:szCs w:val="16"/>
                <w:lang w:eastAsia="tr-TR"/>
              </w:rPr>
              <w:t>2.149.268</w:t>
            </w:r>
          </w:p>
        </w:tc>
      </w:tr>
      <w:tr w:rsidR="00862A01" w:rsidRPr="00872D7E" w14:paraId="563EC9C1"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5DD4ACAB"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42F0FE21"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325201F2"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0F215F1C" w14:textId="77777777" w:rsidR="00862A01" w:rsidRPr="00872D7E" w:rsidRDefault="00862A01" w:rsidP="00862A01">
            <w:pPr>
              <w:jc w:val="right"/>
              <w:rPr>
                <w:b/>
                <w:bCs/>
                <w:color w:val="000000"/>
                <w:sz w:val="16"/>
                <w:szCs w:val="16"/>
                <w:lang w:eastAsia="tr-TR"/>
              </w:rPr>
            </w:pPr>
            <w:r w:rsidRPr="00872D7E">
              <w:rPr>
                <w:b/>
                <w:bCs/>
                <w:color w:val="000000"/>
                <w:sz w:val="16"/>
                <w:szCs w:val="16"/>
                <w:lang w:eastAsia="tr-TR"/>
              </w:rPr>
              <w:t> </w:t>
            </w:r>
          </w:p>
        </w:tc>
        <w:tc>
          <w:tcPr>
            <w:tcW w:w="21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4A5F82"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Üst Sınır Uygulanmış değerler</w:t>
            </w:r>
          </w:p>
        </w:tc>
      </w:tr>
      <w:tr w:rsidR="00862A01" w:rsidRPr="00872D7E" w14:paraId="1293387C"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41CECE8D"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21</w:t>
            </w:r>
          </w:p>
        </w:tc>
        <w:tc>
          <w:tcPr>
            <w:tcW w:w="5180" w:type="dxa"/>
            <w:tcBorders>
              <w:top w:val="single" w:sz="4" w:space="0" w:color="auto"/>
              <w:left w:val="nil"/>
              <w:bottom w:val="single" w:sz="4" w:space="0" w:color="auto"/>
              <w:right w:val="single" w:sz="4" w:space="0" w:color="auto"/>
            </w:tcBorders>
            <w:shd w:val="clear" w:color="auto" w:fill="auto"/>
            <w:noWrap/>
            <w:hideMark/>
          </w:tcPr>
          <w:p w14:paraId="35D6BE1B"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TOPLAM YKLV STOKU</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0A47E535"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0330DC1A"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04788D9E" w14:textId="77777777" w:rsidR="00862A01" w:rsidRPr="00872D7E" w:rsidRDefault="00862A01" w:rsidP="00862A01">
            <w:pPr>
              <w:jc w:val="right"/>
              <w:rPr>
                <w:color w:val="000000"/>
                <w:sz w:val="16"/>
                <w:szCs w:val="16"/>
                <w:lang w:eastAsia="tr-TR"/>
              </w:rPr>
            </w:pPr>
            <w:r w:rsidRPr="00872D7E">
              <w:rPr>
                <w:color w:val="000000"/>
                <w:sz w:val="16"/>
                <w:szCs w:val="16"/>
                <w:lang w:eastAsia="tr-TR"/>
              </w:rPr>
              <w:t>4.301.413</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FDD9469" w14:textId="77777777" w:rsidR="00862A01" w:rsidRPr="00872D7E" w:rsidRDefault="00862A01" w:rsidP="00862A01">
            <w:pPr>
              <w:jc w:val="right"/>
              <w:rPr>
                <w:color w:val="000000"/>
                <w:sz w:val="16"/>
                <w:szCs w:val="16"/>
                <w:lang w:eastAsia="tr-TR"/>
              </w:rPr>
            </w:pPr>
            <w:r w:rsidRPr="00872D7E">
              <w:rPr>
                <w:color w:val="000000"/>
                <w:sz w:val="16"/>
                <w:szCs w:val="16"/>
                <w:lang w:eastAsia="tr-TR"/>
              </w:rPr>
              <w:t>2.631.654</w:t>
            </w:r>
          </w:p>
        </w:tc>
      </w:tr>
      <w:tr w:rsidR="00862A01" w:rsidRPr="00872D7E" w14:paraId="2F9039CD"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4EAA80E"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22</w:t>
            </w:r>
          </w:p>
        </w:tc>
        <w:tc>
          <w:tcPr>
            <w:tcW w:w="5180" w:type="dxa"/>
            <w:tcBorders>
              <w:top w:val="single" w:sz="4" w:space="0" w:color="auto"/>
              <w:left w:val="nil"/>
              <w:bottom w:val="single" w:sz="4" w:space="0" w:color="auto"/>
              <w:right w:val="single" w:sz="4" w:space="0" w:color="auto"/>
            </w:tcBorders>
            <w:shd w:val="clear" w:color="auto" w:fill="auto"/>
            <w:noWrap/>
            <w:hideMark/>
          </w:tcPr>
          <w:p w14:paraId="293DE95B"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TOPLAM NET NAKİT ÇIKIŞLARI</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472E1619"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4E128A98"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385BD2B8" w14:textId="77777777" w:rsidR="00862A01" w:rsidRPr="00872D7E" w:rsidRDefault="00862A01" w:rsidP="00862A01">
            <w:pPr>
              <w:jc w:val="right"/>
              <w:rPr>
                <w:color w:val="000000"/>
                <w:sz w:val="16"/>
                <w:szCs w:val="16"/>
                <w:lang w:eastAsia="tr-TR"/>
              </w:rPr>
            </w:pPr>
            <w:r w:rsidRPr="00872D7E">
              <w:rPr>
                <w:color w:val="000000"/>
                <w:sz w:val="16"/>
                <w:szCs w:val="16"/>
                <w:lang w:eastAsia="tr-TR"/>
              </w:rPr>
              <w:t>2.498.375</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35AFAD18" w14:textId="77777777" w:rsidR="00862A01" w:rsidRPr="00872D7E" w:rsidRDefault="00862A01" w:rsidP="00862A01">
            <w:pPr>
              <w:jc w:val="right"/>
              <w:rPr>
                <w:color w:val="000000"/>
                <w:sz w:val="16"/>
                <w:szCs w:val="16"/>
                <w:lang w:eastAsia="tr-TR"/>
              </w:rPr>
            </w:pPr>
            <w:r w:rsidRPr="00872D7E">
              <w:rPr>
                <w:color w:val="000000"/>
                <w:sz w:val="16"/>
                <w:szCs w:val="16"/>
                <w:lang w:eastAsia="tr-TR"/>
              </w:rPr>
              <w:t>712.310</w:t>
            </w:r>
          </w:p>
        </w:tc>
      </w:tr>
      <w:tr w:rsidR="00862A01" w:rsidRPr="00872D7E" w14:paraId="55A15523" w14:textId="77777777" w:rsidTr="00862A01">
        <w:trPr>
          <w:divId w:val="1081490906"/>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4B063D45"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23</w:t>
            </w:r>
          </w:p>
        </w:tc>
        <w:tc>
          <w:tcPr>
            <w:tcW w:w="5180" w:type="dxa"/>
            <w:tcBorders>
              <w:top w:val="single" w:sz="4" w:space="0" w:color="auto"/>
              <w:left w:val="nil"/>
              <w:bottom w:val="single" w:sz="4" w:space="0" w:color="auto"/>
              <w:right w:val="single" w:sz="4" w:space="0" w:color="auto"/>
            </w:tcBorders>
            <w:shd w:val="clear" w:color="auto" w:fill="auto"/>
            <w:noWrap/>
            <w:hideMark/>
          </w:tcPr>
          <w:p w14:paraId="49696B10"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LİKİDİTE KARŞILAMA ORANI (%)</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6C3D2D56"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020124FF"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00F4FBB8" w14:textId="77777777" w:rsidR="00862A01" w:rsidRPr="00872D7E" w:rsidRDefault="00862A01" w:rsidP="00862A01">
            <w:pPr>
              <w:jc w:val="right"/>
              <w:rPr>
                <w:color w:val="000000"/>
                <w:sz w:val="16"/>
                <w:szCs w:val="16"/>
                <w:lang w:eastAsia="tr-TR"/>
              </w:rPr>
            </w:pPr>
            <w:r w:rsidRPr="00872D7E">
              <w:rPr>
                <w:color w:val="000000"/>
                <w:sz w:val="16"/>
                <w:szCs w:val="16"/>
                <w:lang w:eastAsia="tr-TR"/>
              </w:rPr>
              <w:t>172,17</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51697459" w14:textId="77777777" w:rsidR="00862A01" w:rsidRPr="00872D7E" w:rsidRDefault="00862A01" w:rsidP="00862A01">
            <w:pPr>
              <w:jc w:val="right"/>
              <w:rPr>
                <w:color w:val="000000"/>
                <w:sz w:val="16"/>
                <w:szCs w:val="16"/>
                <w:lang w:eastAsia="tr-TR"/>
              </w:rPr>
            </w:pPr>
            <w:r w:rsidRPr="00872D7E">
              <w:rPr>
                <w:color w:val="000000"/>
                <w:sz w:val="16"/>
                <w:szCs w:val="16"/>
                <w:lang w:eastAsia="tr-TR"/>
              </w:rPr>
              <w:t>369,45</w:t>
            </w:r>
          </w:p>
        </w:tc>
      </w:tr>
    </w:tbl>
    <w:p w14:paraId="65472737" w14:textId="6915819D" w:rsidR="00A865D5" w:rsidRPr="00872D7E" w:rsidRDefault="00A865D5" w:rsidP="00A52E9D">
      <w:pPr>
        <w:widowControl w:val="0"/>
        <w:autoSpaceDE w:val="0"/>
        <w:autoSpaceDN w:val="0"/>
        <w:adjustRightInd w:val="0"/>
        <w:spacing w:before="120"/>
        <w:ind w:left="851"/>
        <w:jc w:val="both"/>
        <w:rPr>
          <w:sz w:val="16"/>
          <w:szCs w:val="16"/>
        </w:rPr>
      </w:pPr>
      <w:r w:rsidRPr="00872D7E">
        <w:rPr>
          <w:sz w:val="16"/>
          <w:szCs w:val="16"/>
          <w:vertAlign w:val="superscript"/>
        </w:rPr>
        <w:t>(*)</w:t>
      </w:r>
      <w:r w:rsidR="00263A00" w:rsidRPr="00872D7E">
        <w:rPr>
          <w:sz w:val="16"/>
          <w:szCs w:val="16"/>
        </w:rPr>
        <w:tab/>
      </w:r>
      <w:r w:rsidR="00143336" w:rsidRPr="00872D7E">
        <w:rPr>
          <w:sz w:val="16"/>
          <w:szCs w:val="16"/>
        </w:rPr>
        <w:t>Haftalık basit aritmetik ortalama alınmak suretiyle hesaplanan likidite karşılama oranının son üç ay için hesaplanan ortalamasıdır.</w:t>
      </w:r>
    </w:p>
    <w:p w14:paraId="033B6AD4" w14:textId="77777777" w:rsidR="007F6642" w:rsidRPr="00872D7E" w:rsidRDefault="007F6642" w:rsidP="00A52E9D">
      <w:pPr>
        <w:widowControl w:val="0"/>
        <w:ind w:left="851" w:right="-166" w:hanging="425"/>
        <w:jc w:val="both"/>
        <w:rPr>
          <w:szCs w:val="20"/>
        </w:rPr>
      </w:pPr>
    </w:p>
    <w:p w14:paraId="115906C7" w14:textId="2DDBFCFA" w:rsidR="007F6642" w:rsidRPr="00872D7E" w:rsidRDefault="007F6642" w:rsidP="00A52E9D">
      <w:pPr>
        <w:widowControl w:val="0"/>
        <w:ind w:left="851"/>
        <w:jc w:val="both"/>
        <w:rPr>
          <w:szCs w:val="20"/>
        </w:rPr>
      </w:pPr>
      <w:r w:rsidRPr="00872D7E">
        <w:rPr>
          <w:szCs w:val="20"/>
        </w:rPr>
        <w:t xml:space="preserve">21 Mart 2014 tarih ve 28948 sayılı </w:t>
      </w:r>
      <w:r w:rsidR="00AE2AF0" w:rsidRPr="00872D7E">
        <w:rPr>
          <w:szCs w:val="20"/>
        </w:rPr>
        <w:t>Resmî</w:t>
      </w:r>
      <w:r w:rsidRPr="00872D7E">
        <w:rPr>
          <w:szCs w:val="20"/>
        </w:rPr>
        <w:t xml:space="preserve"> </w:t>
      </w:r>
      <w:proofErr w:type="spellStart"/>
      <w:r w:rsidRPr="00872D7E">
        <w:rPr>
          <w:szCs w:val="20"/>
        </w:rPr>
        <w:t>Gazete’de</w:t>
      </w:r>
      <w:proofErr w:type="spellEnd"/>
      <w:r w:rsidRPr="00872D7E">
        <w:rPr>
          <w:szCs w:val="20"/>
        </w:rPr>
        <w:t xml:space="preserve"> yayımlanan “Bankaların Likidite Karşılama Oranı Hesaplamasına İlişkin Yönetmelik” uyarınca son üç ay için hesaplanan likidite karşılama oranlarının en yüksek ve en düşük olduğu tarihler aşağıda verilmiştir.</w:t>
      </w:r>
    </w:p>
    <w:p w14:paraId="4956EA3F" w14:textId="3CDF99A1" w:rsidR="00862A01" w:rsidRPr="00872D7E" w:rsidRDefault="00862A01" w:rsidP="009F6E11">
      <w:pPr>
        <w:widowControl w:val="0"/>
        <w:ind w:left="1276" w:right="-166" w:hanging="425"/>
        <w:jc w:val="both"/>
      </w:pPr>
    </w:p>
    <w:tbl>
      <w:tblPr>
        <w:tblW w:w="5000" w:type="pct"/>
        <w:tblCellMar>
          <w:left w:w="70" w:type="dxa"/>
          <w:right w:w="70" w:type="dxa"/>
        </w:tblCellMar>
        <w:tblLook w:val="04A0" w:firstRow="1" w:lastRow="0" w:firstColumn="1" w:lastColumn="0" w:noHBand="0" w:noVBand="1"/>
      </w:tblPr>
      <w:tblGrid>
        <w:gridCol w:w="5211"/>
        <w:gridCol w:w="2298"/>
        <w:gridCol w:w="2130"/>
      </w:tblGrid>
      <w:tr w:rsidR="00862A01" w:rsidRPr="00872D7E" w14:paraId="700C9950" w14:textId="77777777" w:rsidTr="00862A01">
        <w:trPr>
          <w:divId w:val="1087724898"/>
          <w:trHeight w:val="227"/>
        </w:trPr>
        <w:tc>
          <w:tcPr>
            <w:tcW w:w="2703" w:type="pct"/>
            <w:tcBorders>
              <w:top w:val="nil"/>
              <w:left w:val="nil"/>
              <w:bottom w:val="nil"/>
              <w:right w:val="nil"/>
            </w:tcBorders>
            <w:shd w:val="clear" w:color="auto" w:fill="auto"/>
            <w:noWrap/>
            <w:vAlign w:val="center"/>
            <w:hideMark/>
          </w:tcPr>
          <w:p w14:paraId="12371AA6" w14:textId="7E1A12FA" w:rsidR="00862A01" w:rsidRPr="00872D7E" w:rsidRDefault="00862A01" w:rsidP="00862A01">
            <w:pPr>
              <w:rPr>
                <w:b/>
                <w:bCs/>
                <w:color w:val="000000"/>
                <w:szCs w:val="20"/>
                <w:lang w:eastAsia="tr-TR"/>
              </w:rPr>
            </w:pPr>
            <w:r w:rsidRPr="00872D7E">
              <w:rPr>
                <w:b/>
                <w:bCs/>
                <w:color w:val="000000"/>
                <w:szCs w:val="20"/>
                <w:lang w:eastAsia="tr-TR"/>
              </w:rPr>
              <w:t>Likidite Karşılama Oranı (%)</w:t>
            </w:r>
          </w:p>
        </w:tc>
        <w:tc>
          <w:tcPr>
            <w:tcW w:w="2297" w:type="pct"/>
            <w:gridSpan w:val="2"/>
            <w:tcBorders>
              <w:top w:val="nil"/>
              <w:left w:val="nil"/>
              <w:bottom w:val="single" w:sz="4" w:space="0" w:color="auto"/>
              <w:right w:val="nil"/>
            </w:tcBorders>
            <w:shd w:val="clear" w:color="auto" w:fill="auto"/>
            <w:noWrap/>
            <w:vAlign w:val="center"/>
            <w:hideMark/>
          </w:tcPr>
          <w:p w14:paraId="6706197C" w14:textId="77777777" w:rsidR="00862A01" w:rsidRPr="00872D7E" w:rsidRDefault="00862A01" w:rsidP="00862A01">
            <w:pPr>
              <w:jc w:val="center"/>
              <w:rPr>
                <w:b/>
                <w:bCs/>
                <w:color w:val="000000"/>
                <w:szCs w:val="20"/>
                <w:lang w:eastAsia="tr-TR"/>
              </w:rPr>
            </w:pPr>
            <w:r w:rsidRPr="00872D7E">
              <w:rPr>
                <w:b/>
                <w:bCs/>
                <w:color w:val="000000"/>
                <w:szCs w:val="20"/>
                <w:lang w:eastAsia="tr-TR"/>
              </w:rPr>
              <w:t>31 Aralık 2024</w:t>
            </w:r>
          </w:p>
        </w:tc>
      </w:tr>
      <w:tr w:rsidR="00862A01" w:rsidRPr="00872D7E" w14:paraId="412CEB8E" w14:textId="77777777" w:rsidTr="00862A01">
        <w:trPr>
          <w:divId w:val="1087724898"/>
          <w:trHeight w:val="227"/>
        </w:trPr>
        <w:tc>
          <w:tcPr>
            <w:tcW w:w="2703" w:type="pct"/>
            <w:tcBorders>
              <w:top w:val="nil"/>
              <w:left w:val="nil"/>
              <w:bottom w:val="single" w:sz="4" w:space="0" w:color="auto"/>
              <w:right w:val="nil"/>
            </w:tcBorders>
            <w:shd w:val="clear" w:color="auto" w:fill="auto"/>
            <w:noWrap/>
            <w:vAlign w:val="bottom"/>
            <w:hideMark/>
          </w:tcPr>
          <w:p w14:paraId="2E628827" w14:textId="77777777" w:rsidR="00862A01" w:rsidRPr="00872D7E" w:rsidRDefault="00862A01" w:rsidP="00862A01">
            <w:pPr>
              <w:rPr>
                <w:color w:val="000000"/>
                <w:szCs w:val="20"/>
                <w:lang w:eastAsia="tr-TR"/>
              </w:rPr>
            </w:pPr>
            <w:r w:rsidRPr="00872D7E">
              <w:rPr>
                <w:color w:val="000000"/>
                <w:szCs w:val="20"/>
                <w:lang w:eastAsia="tr-TR"/>
              </w:rPr>
              <w:t> </w:t>
            </w:r>
          </w:p>
        </w:tc>
        <w:tc>
          <w:tcPr>
            <w:tcW w:w="1192" w:type="pct"/>
            <w:tcBorders>
              <w:top w:val="nil"/>
              <w:left w:val="nil"/>
              <w:bottom w:val="single" w:sz="4" w:space="0" w:color="auto"/>
              <w:right w:val="nil"/>
            </w:tcBorders>
            <w:shd w:val="clear" w:color="auto" w:fill="auto"/>
            <w:noWrap/>
            <w:vAlign w:val="center"/>
            <w:hideMark/>
          </w:tcPr>
          <w:p w14:paraId="150DFDD6" w14:textId="77777777" w:rsidR="00862A01" w:rsidRPr="00872D7E" w:rsidRDefault="00862A01" w:rsidP="00862A01">
            <w:pPr>
              <w:jc w:val="right"/>
              <w:rPr>
                <w:b/>
                <w:bCs/>
                <w:color w:val="000000"/>
                <w:szCs w:val="20"/>
                <w:lang w:eastAsia="tr-TR"/>
              </w:rPr>
            </w:pPr>
            <w:r w:rsidRPr="00872D7E">
              <w:rPr>
                <w:b/>
                <w:bCs/>
                <w:color w:val="000000"/>
                <w:szCs w:val="20"/>
                <w:lang w:eastAsia="tr-TR"/>
              </w:rPr>
              <w:t>TP+YP</w:t>
            </w:r>
          </w:p>
        </w:tc>
        <w:tc>
          <w:tcPr>
            <w:tcW w:w="1105" w:type="pct"/>
            <w:tcBorders>
              <w:top w:val="nil"/>
              <w:left w:val="nil"/>
              <w:bottom w:val="single" w:sz="4" w:space="0" w:color="auto"/>
              <w:right w:val="nil"/>
            </w:tcBorders>
            <w:shd w:val="clear" w:color="auto" w:fill="auto"/>
            <w:noWrap/>
            <w:vAlign w:val="center"/>
            <w:hideMark/>
          </w:tcPr>
          <w:p w14:paraId="54CFC106" w14:textId="77777777" w:rsidR="00862A01" w:rsidRPr="00872D7E" w:rsidRDefault="00862A01" w:rsidP="00862A01">
            <w:pPr>
              <w:jc w:val="right"/>
              <w:rPr>
                <w:b/>
                <w:bCs/>
                <w:color w:val="000000"/>
                <w:szCs w:val="20"/>
                <w:lang w:eastAsia="tr-TR"/>
              </w:rPr>
            </w:pPr>
            <w:r w:rsidRPr="00872D7E">
              <w:rPr>
                <w:b/>
                <w:bCs/>
                <w:color w:val="000000"/>
                <w:szCs w:val="20"/>
                <w:lang w:eastAsia="tr-TR"/>
              </w:rPr>
              <w:t>YP</w:t>
            </w:r>
          </w:p>
        </w:tc>
      </w:tr>
      <w:tr w:rsidR="00862A01" w:rsidRPr="00872D7E" w14:paraId="03E7D83D" w14:textId="77777777" w:rsidTr="00862A01">
        <w:trPr>
          <w:divId w:val="1087724898"/>
          <w:trHeight w:val="227"/>
        </w:trPr>
        <w:tc>
          <w:tcPr>
            <w:tcW w:w="2703" w:type="pct"/>
            <w:tcBorders>
              <w:top w:val="nil"/>
              <w:left w:val="nil"/>
              <w:bottom w:val="nil"/>
              <w:right w:val="nil"/>
            </w:tcBorders>
            <w:shd w:val="clear" w:color="auto" w:fill="auto"/>
            <w:noWrap/>
            <w:vAlign w:val="center"/>
            <w:hideMark/>
          </w:tcPr>
          <w:p w14:paraId="73558165" w14:textId="77777777" w:rsidR="00862A01" w:rsidRPr="00872D7E" w:rsidRDefault="00862A01" w:rsidP="00862A01">
            <w:pPr>
              <w:rPr>
                <w:color w:val="000000"/>
                <w:szCs w:val="20"/>
                <w:lang w:eastAsia="tr-TR"/>
              </w:rPr>
            </w:pPr>
            <w:r w:rsidRPr="00872D7E">
              <w:rPr>
                <w:color w:val="000000"/>
                <w:szCs w:val="20"/>
                <w:lang w:eastAsia="tr-TR"/>
              </w:rPr>
              <w:t>En Düşük</w:t>
            </w:r>
          </w:p>
        </w:tc>
        <w:tc>
          <w:tcPr>
            <w:tcW w:w="1192" w:type="pct"/>
            <w:tcBorders>
              <w:top w:val="nil"/>
              <w:left w:val="nil"/>
              <w:bottom w:val="nil"/>
              <w:right w:val="nil"/>
            </w:tcBorders>
            <w:shd w:val="clear" w:color="auto" w:fill="auto"/>
            <w:vAlign w:val="center"/>
            <w:hideMark/>
          </w:tcPr>
          <w:p w14:paraId="32520597" w14:textId="77777777" w:rsidR="00862A01" w:rsidRPr="00872D7E" w:rsidRDefault="00862A01" w:rsidP="00862A01">
            <w:pPr>
              <w:jc w:val="right"/>
              <w:rPr>
                <w:color w:val="000000"/>
                <w:szCs w:val="20"/>
                <w:lang w:eastAsia="tr-TR"/>
              </w:rPr>
            </w:pPr>
            <w:r w:rsidRPr="00872D7E">
              <w:rPr>
                <w:color w:val="000000"/>
                <w:szCs w:val="20"/>
                <w:lang w:eastAsia="tr-TR"/>
              </w:rPr>
              <w:t>54,48</w:t>
            </w:r>
          </w:p>
        </w:tc>
        <w:tc>
          <w:tcPr>
            <w:tcW w:w="1105" w:type="pct"/>
            <w:tcBorders>
              <w:top w:val="nil"/>
              <w:left w:val="nil"/>
              <w:bottom w:val="nil"/>
              <w:right w:val="nil"/>
            </w:tcBorders>
            <w:shd w:val="clear" w:color="auto" w:fill="auto"/>
            <w:vAlign w:val="center"/>
            <w:hideMark/>
          </w:tcPr>
          <w:p w14:paraId="0FAD3C1D" w14:textId="77777777" w:rsidR="00862A01" w:rsidRPr="00872D7E" w:rsidRDefault="00862A01" w:rsidP="00862A01">
            <w:pPr>
              <w:jc w:val="right"/>
              <w:rPr>
                <w:color w:val="000000"/>
                <w:szCs w:val="20"/>
                <w:lang w:eastAsia="tr-TR"/>
              </w:rPr>
            </w:pPr>
            <w:r w:rsidRPr="00872D7E">
              <w:rPr>
                <w:color w:val="000000"/>
                <w:szCs w:val="20"/>
                <w:lang w:eastAsia="tr-TR"/>
              </w:rPr>
              <w:t>119,09</w:t>
            </w:r>
          </w:p>
        </w:tc>
      </w:tr>
      <w:tr w:rsidR="00862A01" w:rsidRPr="00872D7E" w14:paraId="76476440" w14:textId="77777777" w:rsidTr="00862A01">
        <w:trPr>
          <w:divId w:val="1087724898"/>
          <w:trHeight w:val="227"/>
        </w:trPr>
        <w:tc>
          <w:tcPr>
            <w:tcW w:w="2703" w:type="pct"/>
            <w:tcBorders>
              <w:top w:val="nil"/>
              <w:left w:val="nil"/>
              <w:bottom w:val="nil"/>
              <w:right w:val="nil"/>
            </w:tcBorders>
            <w:shd w:val="clear" w:color="auto" w:fill="auto"/>
            <w:noWrap/>
            <w:vAlign w:val="center"/>
            <w:hideMark/>
          </w:tcPr>
          <w:p w14:paraId="705F5C5F" w14:textId="77777777" w:rsidR="00862A01" w:rsidRPr="00872D7E" w:rsidRDefault="00862A01" w:rsidP="00862A01">
            <w:pPr>
              <w:rPr>
                <w:color w:val="000000"/>
                <w:szCs w:val="20"/>
                <w:lang w:eastAsia="tr-TR"/>
              </w:rPr>
            </w:pPr>
            <w:r w:rsidRPr="00872D7E">
              <w:rPr>
                <w:color w:val="000000"/>
                <w:szCs w:val="20"/>
                <w:lang w:eastAsia="tr-TR"/>
              </w:rPr>
              <w:t>Tarih</w:t>
            </w:r>
          </w:p>
        </w:tc>
        <w:tc>
          <w:tcPr>
            <w:tcW w:w="1192" w:type="pct"/>
            <w:tcBorders>
              <w:top w:val="nil"/>
              <w:left w:val="nil"/>
              <w:bottom w:val="nil"/>
              <w:right w:val="nil"/>
            </w:tcBorders>
            <w:shd w:val="clear" w:color="auto" w:fill="auto"/>
            <w:noWrap/>
            <w:vAlign w:val="center"/>
            <w:hideMark/>
          </w:tcPr>
          <w:p w14:paraId="15679BE7" w14:textId="77777777" w:rsidR="00862A01" w:rsidRPr="00872D7E" w:rsidRDefault="00862A01" w:rsidP="00862A01">
            <w:pPr>
              <w:jc w:val="right"/>
              <w:rPr>
                <w:color w:val="000000"/>
                <w:szCs w:val="20"/>
                <w:lang w:eastAsia="tr-TR"/>
              </w:rPr>
            </w:pPr>
            <w:r w:rsidRPr="00872D7E">
              <w:rPr>
                <w:color w:val="000000"/>
                <w:szCs w:val="20"/>
                <w:lang w:eastAsia="tr-TR"/>
              </w:rPr>
              <w:t>31 Ekim 2024</w:t>
            </w:r>
          </w:p>
        </w:tc>
        <w:tc>
          <w:tcPr>
            <w:tcW w:w="1105" w:type="pct"/>
            <w:tcBorders>
              <w:top w:val="nil"/>
              <w:left w:val="nil"/>
              <w:bottom w:val="nil"/>
              <w:right w:val="nil"/>
            </w:tcBorders>
            <w:shd w:val="clear" w:color="auto" w:fill="auto"/>
            <w:noWrap/>
            <w:vAlign w:val="center"/>
            <w:hideMark/>
          </w:tcPr>
          <w:p w14:paraId="42D4BC44" w14:textId="77777777" w:rsidR="00862A01" w:rsidRPr="00872D7E" w:rsidRDefault="00862A01" w:rsidP="00862A01">
            <w:pPr>
              <w:jc w:val="right"/>
              <w:rPr>
                <w:color w:val="000000"/>
                <w:szCs w:val="20"/>
                <w:lang w:eastAsia="tr-TR"/>
              </w:rPr>
            </w:pPr>
            <w:r w:rsidRPr="00872D7E">
              <w:rPr>
                <w:color w:val="000000"/>
                <w:szCs w:val="20"/>
                <w:lang w:eastAsia="tr-TR"/>
              </w:rPr>
              <w:t>31 Aralık 2024</w:t>
            </w:r>
          </w:p>
        </w:tc>
      </w:tr>
      <w:tr w:rsidR="00862A01" w:rsidRPr="00872D7E" w14:paraId="2E844199" w14:textId="77777777" w:rsidTr="00862A01">
        <w:trPr>
          <w:divId w:val="1087724898"/>
          <w:trHeight w:val="227"/>
        </w:trPr>
        <w:tc>
          <w:tcPr>
            <w:tcW w:w="2703" w:type="pct"/>
            <w:tcBorders>
              <w:top w:val="nil"/>
              <w:left w:val="nil"/>
              <w:bottom w:val="nil"/>
              <w:right w:val="nil"/>
            </w:tcBorders>
            <w:shd w:val="clear" w:color="auto" w:fill="auto"/>
            <w:noWrap/>
            <w:vAlign w:val="center"/>
            <w:hideMark/>
          </w:tcPr>
          <w:p w14:paraId="2BDDEC81" w14:textId="77777777" w:rsidR="00862A01" w:rsidRPr="00872D7E" w:rsidRDefault="00862A01" w:rsidP="00862A01">
            <w:pPr>
              <w:rPr>
                <w:color w:val="000000"/>
                <w:szCs w:val="20"/>
                <w:lang w:eastAsia="tr-TR"/>
              </w:rPr>
            </w:pPr>
            <w:r w:rsidRPr="00872D7E">
              <w:rPr>
                <w:color w:val="000000"/>
                <w:szCs w:val="20"/>
                <w:lang w:eastAsia="tr-TR"/>
              </w:rPr>
              <w:t>En Yüksek</w:t>
            </w:r>
          </w:p>
        </w:tc>
        <w:tc>
          <w:tcPr>
            <w:tcW w:w="1192" w:type="pct"/>
            <w:tcBorders>
              <w:top w:val="nil"/>
              <w:left w:val="nil"/>
              <w:bottom w:val="nil"/>
              <w:right w:val="nil"/>
            </w:tcBorders>
            <w:shd w:val="clear" w:color="auto" w:fill="auto"/>
            <w:vAlign w:val="center"/>
            <w:hideMark/>
          </w:tcPr>
          <w:p w14:paraId="7BC6D113" w14:textId="77777777" w:rsidR="00862A01" w:rsidRPr="00872D7E" w:rsidRDefault="00862A01" w:rsidP="00862A01">
            <w:pPr>
              <w:jc w:val="right"/>
              <w:rPr>
                <w:color w:val="000000"/>
                <w:szCs w:val="20"/>
                <w:lang w:eastAsia="tr-TR"/>
              </w:rPr>
            </w:pPr>
            <w:r w:rsidRPr="00872D7E">
              <w:rPr>
                <w:color w:val="000000"/>
                <w:szCs w:val="20"/>
                <w:lang w:eastAsia="tr-TR"/>
              </w:rPr>
              <w:t>390,15</w:t>
            </w:r>
          </w:p>
        </w:tc>
        <w:tc>
          <w:tcPr>
            <w:tcW w:w="1105" w:type="pct"/>
            <w:tcBorders>
              <w:top w:val="nil"/>
              <w:left w:val="nil"/>
              <w:bottom w:val="nil"/>
              <w:right w:val="nil"/>
            </w:tcBorders>
            <w:shd w:val="clear" w:color="auto" w:fill="auto"/>
            <w:vAlign w:val="center"/>
            <w:hideMark/>
          </w:tcPr>
          <w:p w14:paraId="154FB94B" w14:textId="77777777" w:rsidR="00862A01" w:rsidRPr="00872D7E" w:rsidRDefault="00862A01" w:rsidP="00862A01">
            <w:pPr>
              <w:jc w:val="right"/>
              <w:rPr>
                <w:color w:val="000000"/>
                <w:szCs w:val="20"/>
                <w:lang w:eastAsia="tr-TR"/>
              </w:rPr>
            </w:pPr>
            <w:r w:rsidRPr="00872D7E">
              <w:rPr>
                <w:color w:val="000000"/>
                <w:szCs w:val="20"/>
                <w:lang w:eastAsia="tr-TR"/>
              </w:rPr>
              <w:t>855,07</w:t>
            </w:r>
          </w:p>
        </w:tc>
      </w:tr>
      <w:tr w:rsidR="00862A01" w:rsidRPr="00872D7E" w14:paraId="52BD7F00" w14:textId="77777777" w:rsidTr="00862A01">
        <w:trPr>
          <w:divId w:val="1087724898"/>
          <w:trHeight w:val="227"/>
        </w:trPr>
        <w:tc>
          <w:tcPr>
            <w:tcW w:w="2703" w:type="pct"/>
            <w:tcBorders>
              <w:top w:val="nil"/>
              <w:left w:val="nil"/>
              <w:bottom w:val="nil"/>
              <w:right w:val="nil"/>
            </w:tcBorders>
            <w:shd w:val="clear" w:color="auto" w:fill="auto"/>
            <w:noWrap/>
            <w:vAlign w:val="center"/>
            <w:hideMark/>
          </w:tcPr>
          <w:p w14:paraId="22D54BC6" w14:textId="77777777" w:rsidR="00862A01" w:rsidRPr="00872D7E" w:rsidRDefault="00862A01" w:rsidP="00862A01">
            <w:pPr>
              <w:rPr>
                <w:color w:val="000000"/>
                <w:szCs w:val="20"/>
                <w:lang w:eastAsia="tr-TR"/>
              </w:rPr>
            </w:pPr>
            <w:r w:rsidRPr="00872D7E">
              <w:rPr>
                <w:color w:val="000000"/>
                <w:szCs w:val="20"/>
                <w:lang w:eastAsia="tr-TR"/>
              </w:rPr>
              <w:t>Tarih</w:t>
            </w:r>
          </w:p>
        </w:tc>
        <w:tc>
          <w:tcPr>
            <w:tcW w:w="1192" w:type="pct"/>
            <w:tcBorders>
              <w:top w:val="nil"/>
              <w:left w:val="nil"/>
              <w:bottom w:val="nil"/>
              <w:right w:val="nil"/>
            </w:tcBorders>
            <w:shd w:val="clear" w:color="auto" w:fill="auto"/>
            <w:noWrap/>
            <w:vAlign w:val="center"/>
            <w:hideMark/>
          </w:tcPr>
          <w:p w14:paraId="6BC89F74" w14:textId="77777777" w:rsidR="00862A01" w:rsidRPr="00872D7E" w:rsidRDefault="00862A01" w:rsidP="00862A01">
            <w:pPr>
              <w:jc w:val="right"/>
              <w:rPr>
                <w:color w:val="000000"/>
                <w:szCs w:val="20"/>
                <w:lang w:eastAsia="tr-TR"/>
              </w:rPr>
            </w:pPr>
            <w:r w:rsidRPr="00872D7E">
              <w:rPr>
                <w:color w:val="000000"/>
                <w:szCs w:val="20"/>
                <w:lang w:eastAsia="tr-TR"/>
              </w:rPr>
              <w:t>7 Ekim 2024</w:t>
            </w:r>
          </w:p>
        </w:tc>
        <w:tc>
          <w:tcPr>
            <w:tcW w:w="1105" w:type="pct"/>
            <w:tcBorders>
              <w:top w:val="nil"/>
              <w:left w:val="nil"/>
              <w:bottom w:val="nil"/>
              <w:right w:val="nil"/>
            </w:tcBorders>
            <w:shd w:val="clear" w:color="auto" w:fill="auto"/>
            <w:noWrap/>
            <w:vAlign w:val="center"/>
            <w:hideMark/>
          </w:tcPr>
          <w:p w14:paraId="0A9A0BA5" w14:textId="77777777" w:rsidR="00862A01" w:rsidRPr="00872D7E" w:rsidRDefault="00862A01" w:rsidP="00862A01">
            <w:pPr>
              <w:jc w:val="right"/>
              <w:rPr>
                <w:color w:val="000000"/>
                <w:szCs w:val="20"/>
                <w:lang w:eastAsia="tr-TR"/>
              </w:rPr>
            </w:pPr>
            <w:r w:rsidRPr="00872D7E">
              <w:rPr>
                <w:color w:val="000000"/>
                <w:szCs w:val="20"/>
                <w:lang w:eastAsia="tr-TR"/>
              </w:rPr>
              <w:t>10 Ekim 2024</w:t>
            </w:r>
          </w:p>
        </w:tc>
      </w:tr>
      <w:tr w:rsidR="00862A01" w:rsidRPr="00872D7E" w14:paraId="1A498291" w14:textId="77777777" w:rsidTr="00862A01">
        <w:trPr>
          <w:divId w:val="1087724898"/>
          <w:trHeight w:val="227"/>
        </w:trPr>
        <w:tc>
          <w:tcPr>
            <w:tcW w:w="2703" w:type="pct"/>
            <w:tcBorders>
              <w:top w:val="nil"/>
              <w:left w:val="nil"/>
              <w:bottom w:val="single" w:sz="4" w:space="0" w:color="auto"/>
              <w:right w:val="nil"/>
            </w:tcBorders>
            <w:shd w:val="clear" w:color="auto" w:fill="auto"/>
            <w:noWrap/>
            <w:vAlign w:val="center"/>
            <w:hideMark/>
          </w:tcPr>
          <w:p w14:paraId="4ABDF678" w14:textId="77777777" w:rsidR="00862A01" w:rsidRPr="00872D7E" w:rsidRDefault="00862A01" w:rsidP="00862A01">
            <w:pPr>
              <w:rPr>
                <w:color w:val="000000"/>
                <w:szCs w:val="20"/>
                <w:lang w:eastAsia="tr-TR"/>
              </w:rPr>
            </w:pPr>
            <w:r w:rsidRPr="00872D7E">
              <w:rPr>
                <w:color w:val="000000"/>
                <w:szCs w:val="20"/>
                <w:lang w:eastAsia="tr-TR"/>
              </w:rPr>
              <w:t>Ortalama</w:t>
            </w:r>
          </w:p>
        </w:tc>
        <w:tc>
          <w:tcPr>
            <w:tcW w:w="1192" w:type="pct"/>
            <w:tcBorders>
              <w:top w:val="nil"/>
              <w:left w:val="nil"/>
              <w:bottom w:val="single" w:sz="4" w:space="0" w:color="auto"/>
              <w:right w:val="nil"/>
            </w:tcBorders>
            <w:shd w:val="clear" w:color="auto" w:fill="auto"/>
            <w:noWrap/>
            <w:vAlign w:val="center"/>
            <w:hideMark/>
          </w:tcPr>
          <w:p w14:paraId="74A540C4" w14:textId="77777777" w:rsidR="00862A01" w:rsidRPr="00872D7E" w:rsidRDefault="00862A01" w:rsidP="00862A01">
            <w:pPr>
              <w:jc w:val="right"/>
              <w:rPr>
                <w:color w:val="000000"/>
                <w:szCs w:val="20"/>
                <w:lang w:eastAsia="tr-TR"/>
              </w:rPr>
            </w:pPr>
            <w:r w:rsidRPr="00872D7E">
              <w:rPr>
                <w:color w:val="000000"/>
                <w:szCs w:val="20"/>
                <w:lang w:eastAsia="tr-TR"/>
              </w:rPr>
              <w:t>172,17</w:t>
            </w:r>
          </w:p>
        </w:tc>
        <w:tc>
          <w:tcPr>
            <w:tcW w:w="1105" w:type="pct"/>
            <w:tcBorders>
              <w:top w:val="nil"/>
              <w:left w:val="nil"/>
              <w:bottom w:val="single" w:sz="4" w:space="0" w:color="auto"/>
              <w:right w:val="nil"/>
            </w:tcBorders>
            <w:shd w:val="clear" w:color="auto" w:fill="auto"/>
            <w:noWrap/>
            <w:vAlign w:val="center"/>
            <w:hideMark/>
          </w:tcPr>
          <w:p w14:paraId="02B2A3FB" w14:textId="77777777" w:rsidR="00862A01" w:rsidRPr="00872D7E" w:rsidRDefault="00862A01" w:rsidP="00862A01">
            <w:pPr>
              <w:jc w:val="right"/>
              <w:rPr>
                <w:color w:val="000000"/>
                <w:szCs w:val="20"/>
                <w:lang w:eastAsia="tr-TR"/>
              </w:rPr>
            </w:pPr>
            <w:r w:rsidRPr="00872D7E">
              <w:rPr>
                <w:color w:val="000000"/>
                <w:szCs w:val="20"/>
                <w:lang w:eastAsia="tr-TR"/>
              </w:rPr>
              <w:t>369,45</w:t>
            </w:r>
          </w:p>
        </w:tc>
      </w:tr>
    </w:tbl>
    <w:p w14:paraId="2BC4F842" w14:textId="32AD493E" w:rsidR="007F6642" w:rsidRPr="00872D7E" w:rsidRDefault="007F6642" w:rsidP="009F6E11">
      <w:pPr>
        <w:widowControl w:val="0"/>
        <w:ind w:left="1276" w:right="-166" w:hanging="425"/>
        <w:jc w:val="both"/>
        <w:rPr>
          <w:szCs w:val="20"/>
        </w:rPr>
      </w:pPr>
    </w:p>
    <w:p w14:paraId="3C339485" w14:textId="52DF9D6E" w:rsidR="00930C92" w:rsidRPr="00872D7E" w:rsidRDefault="007F6642" w:rsidP="00A52E9D">
      <w:pPr>
        <w:widowControl w:val="0"/>
        <w:ind w:left="851"/>
        <w:jc w:val="both"/>
        <w:rPr>
          <w:rFonts w:eastAsia="Calibri"/>
          <w:szCs w:val="20"/>
        </w:rPr>
      </w:pPr>
      <w:r w:rsidRPr="00872D7E">
        <w:rPr>
          <w:rFonts w:eastAsia="Calibri"/>
          <w:szCs w:val="20"/>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r w:rsidR="00930C92" w:rsidRPr="00872D7E">
        <w:rPr>
          <w:b/>
          <w:szCs w:val="20"/>
        </w:rPr>
        <w:br w:type="page"/>
      </w:r>
    </w:p>
    <w:p w14:paraId="41B3DA25" w14:textId="7D90EF27" w:rsidR="00263A00" w:rsidRPr="00872D7E" w:rsidRDefault="006218A8" w:rsidP="00263A00">
      <w:pPr>
        <w:pStyle w:val="BodyTextIndent"/>
        <w:widowControl w:val="0"/>
        <w:spacing w:line="235" w:lineRule="auto"/>
        <w:ind w:firstLine="0"/>
        <w:jc w:val="left"/>
        <w:rPr>
          <w:b/>
          <w:szCs w:val="20"/>
        </w:rPr>
      </w:pPr>
      <w:r w:rsidRPr="00872D7E">
        <w:rPr>
          <w:b/>
          <w:szCs w:val="20"/>
        </w:rPr>
        <w:lastRenderedPageBreak/>
        <w:t xml:space="preserve">MALİ BÜNYEYE VE RİSK YÖNETİMİNE İLİŞKİN BİLGİLER </w:t>
      </w:r>
      <w:r w:rsidR="00263A00" w:rsidRPr="00872D7E">
        <w:rPr>
          <w:b/>
          <w:szCs w:val="20"/>
        </w:rPr>
        <w:t>(Devamı)</w:t>
      </w:r>
    </w:p>
    <w:p w14:paraId="2BC496D5" w14:textId="77777777" w:rsidR="00263A00" w:rsidRPr="00872D7E" w:rsidRDefault="00263A00" w:rsidP="00263A00">
      <w:pPr>
        <w:widowControl w:val="0"/>
        <w:autoSpaceDE w:val="0"/>
        <w:autoSpaceDN w:val="0"/>
        <w:ind w:left="851"/>
        <w:jc w:val="both"/>
        <w:rPr>
          <w:szCs w:val="20"/>
        </w:rPr>
      </w:pPr>
    </w:p>
    <w:p w14:paraId="789B6246" w14:textId="19C8A3A3" w:rsidR="00AA12B1" w:rsidRPr="00872D7E" w:rsidRDefault="00AA12B1" w:rsidP="00AA12B1">
      <w:pPr>
        <w:widowControl w:val="0"/>
        <w:autoSpaceDE w:val="0"/>
        <w:autoSpaceDN w:val="0"/>
        <w:adjustRightInd w:val="0"/>
        <w:ind w:left="851" w:hanging="851"/>
        <w:rPr>
          <w:b/>
          <w:szCs w:val="20"/>
        </w:rPr>
      </w:pPr>
      <w:r w:rsidRPr="00872D7E">
        <w:rPr>
          <w:b/>
          <w:szCs w:val="20"/>
        </w:rPr>
        <w:t>V.</w:t>
      </w:r>
      <w:r w:rsidRPr="00872D7E">
        <w:rPr>
          <w:b/>
          <w:szCs w:val="20"/>
        </w:rPr>
        <w:tab/>
        <w:t>LİKİDİTE RİSKİNE İLİŞKİN AÇIKLAMALAR (Devamı)</w:t>
      </w:r>
    </w:p>
    <w:p w14:paraId="05A5453D" w14:textId="0BB17A4B" w:rsidR="00862A01" w:rsidRPr="00872D7E" w:rsidRDefault="00862A01" w:rsidP="008A0E29">
      <w:pPr>
        <w:widowControl w:val="0"/>
        <w:spacing w:before="120"/>
        <w:ind w:left="426" w:right="188" w:hanging="425"/>
        <w:jc w:val="both"/>
      </w:pPr>
    </w:p>
    <w:tbl>
      <w:tblPr>
        <w:tblW w:w="5000" w:type="pct"/>
        <w:tblCellMar>
          <w:left w:w="70" w:type="dxa"/>
          <w:right w:w="70" w:type="dxa"/>
        </w:tblCellMar>
        <w:tblLook w:val="04A0" w:firstRow="1" w:lastRow="0" w:firstColumn="1" w:lastColumn="0" w:noHBand="0" w:noVBand="1"/>
      </w:tblPr>
      <w:tblGrid>
        <w:gridCol w:w="300"/>
        <w:gridCol w:w="5103"/>
        <w:gridCol w:w="1075"/>
        <w:gridCol w:w="934"/>
        <w:gridCol w:w="1182"/>
        <w:gridCol w:w="1035"/>
      </w:tblGrid>
      <w:tr w:rsidR="00862A01" w:rsidRPr="00872D7E" w14:paraId="2FEFC31B"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0C84D75" w14:textId="4BFB602C" w:rsidR="00862A01" w:rsidRPr="00872D7E" w:rsidRDefault="00862A01" w:rsidP="00862A01">
            <w:pPr>
              <w:rPr>
                <w:color w:val="000000"/>
                <w:sz w:val="16"/>
                <w:szCs w:val="16"/>
                <w:lang w:eastAsia="tr-TR"/>
              </w:rPr>
            </w:pPr>
            <w:r w:rsidRPr="00872D7E">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4F507125"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 </w:t>
            </w:r>
          </w:p>
        </w:tc>
        <w:tc>
          <w:tcPr>
            <w:tcW w:w="1087" w:type="pct"/>
            <w:gridSpan w:val="2"/>
            <w:tcBorders>
              <w:top w:val="single" w:sz="4" w:space="0" w:color="auto"/>
              <w:left w:val="nil"/>
              <w:bottom w:val="single" w:sz="4" w:space="0" w:color="auto"/>
              <w:right w:val="single" w:sz="4" w:space="0" w:color="auto"/>
            </w:tcBorders>
            <w:shd w:val="clear" w:color="auto" w:fill="auto"/>
            <w:vAlign w:val="center"/>
            <w:hideMark/>
          </w:tcPr>
          <w:p w14:paraId="5C118B28"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 xml:space="preserve">Dikkate Alınma Oranı Uygulanmamış Toplam </w:t>
            </w:r>
            <w:proofErr w:type="gramStart"/>
            <w:r w:rsidRPr="00872D7E">
              <w:rPr>
                <w:b/>
                <w:bCs/>
                <w:color w:val="000000"/>
                <w:sz w:val="16"/>
                <w:szCs w:val="16"/>
                <w:lang w:eastAsia="tr-TR"/>
              </w:rPr>
              <w:t>Değer</w:t>
            </w:r>
            <w:r w:rsidRPr="00872D7E">
              <w:rPr>
                <w:b/>
                <w:bCs/>
                <w:color w:val="000000"/>
                <w:sz w:val="16"/>
                <w:szCs w:val="16"/>
                <w:vertAlign w:val="superscript"/>
                <w:lang w:eastAsia="tr-TR"/>
              </w:rPr>
              <w:t>(</w:t>
            </w:r>
            <w:proofErr w:type="gramEnd"/>
            <w:r w:rsidRPr="00872D7E">
              <w:rPr>
                <w:b/>
                <w:bCs/>
                <w:color w:val="000000"/>
                <w:sz w:val="16"/>
                <w:szCs w:val="16"/>
                <w:vertAlign w:val="superscript"/>
                <w:lang w:eastAsia="tr-TR"/>
              </w:rPr>
              <w:t>*)</w:t>
            </w:r>
          </w:p>
        </w:tc>
        <w:tc>
          <w:tcPr>
            <w:tcW w:w="1088" w:type="pct"/>
            <w:gridSpan w:val="2"/>
            <w:tcBorders>
              <w:top w:val="single" w:sz="4" w:space="0" w:color="auto"/>
              <w:left w:val="nil"/>
              <w:bottom w:val="single" w:sz="4" w:space="0" w:color="auto"/>
              <w:right w:val="single" w:sz="4" w:space="0" w:color="auto"/>
            </w:tcBorders>
            <w:shd w:val="clear" w:color="auto" w:fill="auto"/>
            <w:vAlign w:val="center"/>
            <w:hideMark/>
          </w:tcPr>
          <w:p w14:paraId="28145AE5"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 xml:space="preserve">Dikkate Alınma Oranı Uygulanmış Toplam </w:t>
            </w:r>
            <w:proofErr w:type="gramStart"/>
            <w:r w:rsidRPr="00872D7E">
              <w:rPr>
                <w:b/>
                <w:bCs/>
                <w:color w:val="000000"/>
                <w:sz w:val="16"/>
                <w:szCs w:val="16"/>
                <w:lang w:eastAsia="tr-TR"/>
              </w:rPr>
              <w:t>Değer</w:t>
            </w:r>
            <w:r w:rsidRPr="00872D7E">
              <w:rPr>
                <w:b/>
                <w:bCs/>
                <w:color w:val="000000"/>
                <w:sz w:val="16"/>
                <w:szCs w:val="16"/>
                <w:vertAlign w:val="superscript"/>
                <w:lang w:eastAsia="tr-TR"/>
              </w:rPr>
              <w:t>(</w:t>
            </w:r>
            <w:proofErr w:type="gramEnd"/>
            <w:r w:rsidRPr="00872D7E">
              <w:rPr>
                <w:b/>
                <w:bCs/>
                <w:color w:val="000000"/>
                <w:sz w:val="16"/>
                <w:szCs w:val="16"/>
                <w:vertAlign w:val="superscript"/>
                <w:lang w:eastAsia="tr-TR"/>
              </w:rPr>
              <w:t>*)</w:t>
            </w:r>
          </w:p>
        </w:tc>
      </w:tr>
      <w:tr w:rsidR="00862A01" w:rsidRPr="00872D7E" w14:paraId="26A30FAC"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1C1CBA54"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1524E1FD"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1 Ocak 2024</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42FE6699"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TP+YP</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34B2E48F"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YP</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4DF707C8"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TP+YP</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18F26896"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YP</w:t>
            </w:r>
          </w:p>
        </w:tc>
      </w:tr>
      <w:tr w:rsidR="00862A01" w:rsidRPr="00872D7E" w14:paraId="15369361"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89CF068"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17BFA518"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YÜKSEK KALİTELİ LİKİT VARLIKLAR (YKLV)</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E2D3EFF"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18D675BC"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766F7081"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2C3C0272"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r>
      <w:tr w:rsidR="00862A01" w:rsidRPr="00872D7E" w14:paraId="6145E131"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69C09A0C"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w:t>
            </w:r>
          </w:p>
        </w:tc>
        <w:tc>
          <w:tcPr>
            <w:tcW w:w="2672" w:type="pct"/>
            <w:tcBorders>
              <w:top w:val="single" w:sz="4" w:space="0" w:color="auto"/>
              <w:left w:val="nil"/>
              <w:bottom w:val="single" w:sz="4" w:space="0" w:color="auto"/>
              <w:right w:val="single" w:sz="4" w:space="0" w:color="auto"/>
            </w:tcBorders>
            <w:shd w:val="clear" w:color="auto" w:fill="auto"/>
            <w:noWrap/>
            <w:hideMark/>
          </w:tcPr>
          <w:p w14:paraId="1CE2A5D6" w14:textId="77777777" w:rsidR="00862A01" w:rsidRPr="00872D7E" w:rsidRDefault="00862A01" w:rsidP="00862A01">
            <w:pPr>
              <w:rPr>
                <w:color w:val="000000"/>
                <w:sz w:val="16"/>
                <w:szCs w:val="16"/>
                <w:lang w:eastAsia="tr-TR"/>
              </w:rPr>
            </w:pPr>
            <w:r w:rsidRPr="00872D7E">
              <w:rPr>
                <w:color w:val="000000"/>
                <w:sz w:val="16"/>
                <w:szCs w:val="16"/>
                <w:lang w:eastAsia="tr-TR"/>
              </w:rPr>
              <w:t>YÜKSEK KALİTELİ LİKİT VARLIKLAR</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3E00D6AA"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4137FC05"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1BCC1181" w14:textId="77777777" w:rsidR="00862A01" w:rsidRPr="00872D7E" w:rsidRDefault="00862A01" w:rsidP="00862A01">
            <w:pPr>
              <w:jc w:val="right"/>
              <w:rPr>
                <w:color w:val="000000"/>
                <w:sz w:val="16"/>
                <w:szCs w:val="16"/>
                <w:lang w:eastAsia="tr-TR"/>
              </w:rPr>
            </w:pPr>
            <w:r w:rsidRPr="00872D7E">
              <w:rPr>
                <w:color w:val="000000"/>
                <w:sz w:val="16"/>
                <w:szCs w:val="16"/>
                <w:lang w:eastAsia="tr-TR"/>
              </w:rPr>
              <w:t>80.764</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7EC8327D" w14:textId="77777777" w:rsidR="00862A01" w:rsidRPr="00872D7E" w:rsidRDefault="00862A01" w:rsidP="00862A01">
            <w:pPr>
              <w:jc w:val="right"/>
              <w:rPr>
                <w:color w:val="000000"/>
                <w:sz w:val="16"/>
                <w:szCs w:val="16"/>
                <w:lang w:eastAsia="tr-TR"/>
              </w:rPr>
            </w:pPr>
            <w:r w:rsidRPr="00872D7E">
              <w:rPr>
                <w:color w:val="000000"/>
                <w:sz w:val="16"/>
                <w:szCs w:val="16"/>
                <w:lang w:eastAsia="tr-TR"/>
              </w:rPr>
              <w:t>595</w:t>
            </w:r>
          </w:p>
        </w:tc>
      </w:tr>
      <w:tr w:rsidR="00862A01" w:rsidRPr="00872D7E" w14:paraId="0D6A9BFA"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0DCF156"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47235698"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NAKİT ÇIKIŞLARI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31BDE3B4"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5CD54C1A"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7DD567DE"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7EFEBB76"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r>
      <w:tr w:rsidR="00862A01" w:rsidRPr="00872D7E" w14:paraId="0AD48932"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4DEE6DE8" w14:textId="77777777" w:rsidR="00862A01" w:rsidRPr="00872D7E" w:rsidRDefault="00862A01" w:rsidP="00862A01">
            <w:pPr>
              <w:jc w:val="center"/>
              <w:rPr>
                <w:color w:val="000000"/>
                <w:sz w:val="16"/>
                <w:szCs w:val="16"/>
                <w:lang w:eastAsia="tr-TR"/>
              </w:rPr>
            </w:pPr>
            <w:r w:rsidRPr="00872D7E">
              <w:rPr>
                <w:color w:val="000000"/>
                <w:sz w:val="16"/>
                <w:szCs w:val="16"/>
                <w:lang w:eastAsia="tr-TR"/>
              </w:rPr>
              <w:t>2</w:t>
            </w:r>
          </w:p>
        </w:tc>
        <w:tc>
          <w:tcPr>
            <w:tcW w:w="2672" w:type="pct"/>
            <w:tcBorders>
              <w:top w:val="nil"/>
              <w:left w:val="nil"/>
              <w:bottom w:val="nil"/>
              <w:right w:val="single" w:sz="4" w:space="0" w:color="auto"/>
            </w:tcBorders>
            <w:shd w:val="clear" w:color="auto" w:fill="auto"/>
            <w:noWrap/>
            <w:hideMark/>
          </w:tcPr>
          <w:p w14:paraId="4EFB3DF0" w14:textId="77777777" w:rsidR="00862A01" w:rsidRPr="00872D7E" w:rsidRDefault="00862A01" w:rsidP="00862A01">
            <w:pPr>
              <w:rPr>
                <w:color w:val="000000"/>
                <w:sz w:val="16"/>
                <w:szCs w:val="16"/>
                <w:lang w:eastAsia="tr-TR"/>
              </w:rPr>
            </w:pPr>
            <w:r w:rsidRPr="00872D7E">
              <w:rPr>
                <w:color w:val="000000"/>
                <w:sz w:val="16"/>
                <w:szCs w:val="16"/>
                <w:lang w:eastAsia="tr-TR"/>
              </w:rPr>
              <w:t>Gerçek kişi toplanan fon ve perakende toplanan fon</w:t>
            </w:r>
          </w:p>
        </w:tc>
        <w:tc>
          <w:tcPr>
            <w:tcW w:w="580" w:type="pct"/>
            <w:tcBorders>
              <w:top w:val="nil"/>
              <w:left w:val="nil"/>
              <w:bottom w:val="nil"/>
              <w:right w:val="single" w:sz="4" w:space="0" w:color="auto"/>
            </w:tcBorders>
            <w:shd w:val="clear" w:color="auto" w:fill="auto"/>
            <w:vAlign w:val="center"/>
            <w:hideMark/>
          </w:tcPr>
          <w:p w14:paraId="1784062B"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3EED5B44"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32D309A9" w14:textId="77777777" w:rsidR="00862A01" w:rsidRPr="00872D7E" w:rsidRDefault="00862A01" w:rsidP="00862A01">
            <w:pPr>
              <w:jc w:val="right"/>
              <w:rPr>
                <w:color w:val="000000"/>
                <w:sz w:val="16"/>
                <w:szCs w:val="16"/>
                <w:lang w:eastAsia="tr-TR"/>
              </w:rPr>
            </w:pPr>
            <w:r w:rsidRPr="00872D7E">
              <w:rPr>
                <w:color w:val="000000"/>
                <w:sz w:val="16"/>
                <w:szCs w:val="16"/>
                <w:lang w:eastAsia="tr-TR"/>
              </w:rPr>
              <w:t>8</w:t>
            </w:r>
          </w:p>
        </w:tc>
        <w:tc>
          <w:tcPr>
            <w:tcW w:w="508" w:type="pct"/>
            <w:tcBorders>
              <w:top w:val="nil"/>
              <w:left w:val="nil"/>
              <w:bottom w:val="nil"/>
              <w:right w:val="single" w:sz="4" w:space="0" w:color="auto"/>
            </w:tcBorders>
            <w:shd w:val="clear" w:color="auto" w:fill="auto"/>
            <w:vAlign w:val="center"/>
            <w:hideMark/>
          </w:tcPr>
          <w:p w14:paraId="65265695" w14:textId="77777777" w:rsidR="00862A01" w:rsidRPr="00872D7E" w:rsidRDefault="00862A01" w:rsidP="00862A01">
            <w:pPr>
              <w:jc w:val="right"/>
              <w:rPr>
                <w:color w:val="000000"/>
                <w:sz w:val="16"/>
                <w:szCs w:val="16"/>
                <w:lang w:eastAsia="tr-TR"/>
              </w:rPr>
            </w:pPr>
            <w:r w:rsidRPr="00872D7E">
              <w:rPr>
                <w:color w:val="000000"/>
                <w:sz w:val="16"/>
                <w:szCs w:val="16"/>
                <w:lang w:eastAsia="tr-TR"/>
              </w:rPr>
              <w:t>8</w:t>
            </w:r>
          </w:p>
        </w:tc>
      </w:tr>
      <w:tr w:rsidR="00862A01" w:rsidRPr="00872D7E" w14:paraId="589000C2"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169FE855" w14:textId="77777777" w:rsidR="00862A01" w:rsidRPr="00872D7E" w:rsidRDefault="00862A01" w:rsidP="00862A01">
            <w:pPr>
              <w:jc w:val="center"/>
              <w:rPr>
                <w:color w:val="000000"/>
                <w:sz w:val="16"/>
                <w:szCs w:val="16"/>
                <w:lang w:eastAsia="tr-TR"/>
              </w:rPr>
            </w:pPr>
            <w:r w:rsidRPr="00872D7E">
              <w:rPr>
                <w:color w:val="000000"/>
                <w:sz w:val="16"/>
                <w:szCs w:val="16"/>
                <w:lang w:eastAsia="tr-TR"/>
              </w:rPr>
              <w:t>3</w:t>
            </w:r>
          </w:p>
        </w:tc>
        <w:tc>
          <w:tcPr>
            <w:tcW w:w="2672" w:type="pct"/>
            <w:tcBorders>
              <w:top w:val="nil"/>
              <w:left w:val="nil"/>
              <w:bottom w:val="nil"/>
              <w:right w:val="single" w:sz="4" w:space="0" w:color="auto"/>
            </w:tcBorders>
            <w:shd w:val="clear" w:color="auto" w:fill="auto"/>
            <w:noWrap/>
            <w:hideMark/>
          </w:tcPr>
          <w:p w14:paraId="0FA0BBF4" w14:textId="77777777" w:rsidR="00862A01" w:rsidRPr="00872D7E" w:rsidRDefault="00862A01" w:rsidP="00862A01">
            <w:pPr>
              <w:ind w:firstLineChars="100" w:firstLine="160"/>
              <w:rPr>
                <w:color w:val="000000"/>
                <w:sz w:val="16"/>
                <w:szCs w:val="16"/>
                <w:lang w:eastAsia="tr-TR"/>
              </w:rPr>
            </w:pPr>
            <w:r w:rsidRPr="00872D7E">
              <w:rPr>
                <w:color w:val="000000"/>
                <w:sz w:val="16"/>
                <w:szCs w:val="16"/>
                <w:lang w:eastAsia="tr-TR"/>
              </w:rPr>
              <w:t>İstikrarlı toplanan fon</w:t>
            </w:r>
          </w:p>
        </w:tc>
        <w:tc>
          <w:tcPr>
            <w:tcW w:w="580" w:type="pct"/>
            <w:tcBorders>
              <w:top w:val="nil"/>
              <w:left w:val="nil"/>
              <w:bottom w:val="nil"/>
              <w:right w:val="single" w:sz="4" w:space="0" w:color="auto"/>
            </w:tcBorders>
            <w:shd w:val="clear" w:color="auto" w:fill="auto"/>
            <w:vAlign w:val="center"/>
            <w:hideMark/>
          </w:tcPr>
          <w:p w14:paraId="24574686"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43395613"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09A7F71D"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0BBFCFB5"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38B495DC"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277A008C" w14:textId="77777777" w:rsidR="00862A01" w:rsidRPr="00872D7E" w:rsidRDefault="00862A01" w:rsidP="00862A01">
            <w:pPr>
              <w:jc w:val="center"/>
              <w:rPr>
                <w:color w:val="000000"/>
                <w:sz w:val="16"/>
                <w:szCs w:val="16"/>
                <w:lang w:eastAsia="tr-TR"/>
              </w:rPr>
            </w:pPr>
            <w:r w:rsidRPr="00872D7E">
              <w:rPr>
                <w:color w:val="000000"/>
                <w:sz w:val="16"/>
                <w:szCs w:val="16"/>
                <w:lang w:eastAsia="tr-TR"/>
              </w:rPr>
              <w:t>4</w:t>
            </w:r>
          </w:p>
        </w:tc>
        <w:tc>
          <w:tcPr>
            <w:tcW w:w="2672" w:type="pct"/>
            <w:tcBorders>
              <w:top w:val="nil"/>
              <w:left w:val="nil"/>
              <w:bottom w:val="nil"/>
              <w:right w:val="single" w:sz="4" w:space="0" w:color="auto"/>
            </w:tcBorders>
            <w:shd w:val="clear" w:color="auto" w:fill="auto"/>
            <w:noWrap/>
            <w:hideMark/>
          </w:tcPr>
          <w:p w14:paraId="0E73CE2F" w14:textId="77777777" w:rsidR="00862A01" w:rsidRPr="00872D7E" w:rsidRDefault="00862A01" w:rsidP="00862A01">
            <w:pPr>
              <w:ind w:firstLineChars="100" w:firstLine="160"/>
              <w:rPr>
                <w:color w:val="000000"/>
                <w:sz w:val="16"/>
                <w:szCs w:val="16"/>
                <w:lang w:eastAsia="tr-TR"/>
              </w:rPr>
            </w:pPr>
            <w:r w:rsidRPr="00872D7E">
              <w:rPr>
                <w:color w:val="000000"/>
                <w:sz w:val="16"/>
                <w:szCs w:val="16"/>
                <w:lang w:eastAsia="tr-TR"/>
              </w:rPr>
              <w:t>Düşük istikrarlı toplanan fon</w:t>
            </w:r>
          </w:p>
        </w:tc>
        <w:tc>
          <w:tcPr>
            <w:tcW w:w="580" w:type="pct"/>
            <w:tcBorders>
              <w:top w:val="nil"/>
              <w:left w:val="nil"/>
              <w:bottom w:val="nil"/>
              <w:right w:val="single" w:sz="4" w:space="0" w:color="auto"/>
            </w:tcBorders>
            <w:shd w:val="clear" w:color="auto" w:fill="auto"/>
            <w:vAlign w:val="center"/>
            <w:hideMark/>
          </w:tcPr>
          <w:p w14:paraId="0BB993F4"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696DB7ED"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3135F975" w14:textId="77777777" w:rsidR="00862A01" w:rsidRPr="00872D7E" w:rsidRDefault="00862A01" w:rsidP="00862A01">
            <w:pPr>
              <w:jc w:val="right"/>
              <w:rPr>
                <w:color w:val="000000"/>
                <w:sz w:val="16"/>
                <w:szCs w:val="16"/>
                <w:lang w:eastAsia="tr-TR"/>
              </w:rPr>
            </w:pPr>
            <w:r w:rsidRPr="00872D7E">
              <w:rPr>
                <w:color w:val="000000"/>
                <w:sz w:val="16"/>
                <w:szCs w:val="16"/>
                <w:lang w:eastAsia="tr-TR"/>
              </w:rPr>
              <w:t>8</w:t>
            </w:r>
          </w:p>
        </w:tc>
        <w:tc>
          <w:tcPr>
            <w:tcW w:w="508" w:type="pct"/>
            <w:tcBorders>
              <w:top w:val="nil"/>
              <w:left w:val="nil"/>
              <w:bottom w:val="nil"/>
              <w:right w:val="single" w:sz="4" w:space="0" w:color="auto"/>
            </w:tcBorders>
            <w:shd w:val="clear" w:color="auto" w:fill="auto"/>
            <w:vAlign w:val="center"/>
            <w:hideMark/>
          </w:tcPr>
          <w:p w14:paraId="7EAFC8BA" w14:textId="77777777" w:rsidR="00862A01" w:rsidRPr="00872D7E" w:rsidRDefault="00862A01" w:rsidP="00862A01">
            <w:pPr>
              <w:jc w:val="right"/>
              <w:rPr>
                <w:color w:val="000000"/>
                <w:sz w:val="16"/>
                <w:szCs w:val="16"/>
                <w:lang w:eastAsia="tr-TR"/>
              </w:rPr>
            </w:pPr>
            <w:r w:rsidRPr="00872D7E">
              <w:rPr>
                <w:color w:val="000000"/>
                <w:sz w:val="16"/>
                <w:szCs w:val="16"/>
                <w:lang w:eastAsia="tr-TR"/>
              </w:rPr>
              <w:t>8</w:t>
            </w:r>
          </w:p>
        </w:tc>
      </w:tr>
      <w:tr w:rsidR="00862A01" w:rsidRPr="00872D7E" w14:paraId="5EC15698"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02E5F05E" w14:textId="77777777" w:rsidR="00862A01" w:rsidRPr="00872D7E" w:rsidRDefault="00862A01" w:rsidP="00862A01">
            <w:pPr>
              <w:jc w:val="center"/>
              <w:rPr>
                <w:color w:val="000000"/>
                <w:sz w:val="16"/>
                <w:szCs w:val="16"/>
                <w:lang w:eastAsia="tr-TR"/>
              </w:rPr>
            </w:pPr>
            <w:r w:rsidRPr="00872D7E">
              <w:rPr>
                <w:color w:val="000000"/>
                <w:sz w:val="16"/>
                <w:szCs w:val="16"/>
                <w:lang w:eastAsia="tr-TR"/>
              </w:rPr>
              <w:t>5</w:t>
            </w:r>
          </w:p>
        </w:tc>
        <w:tc>
          <w:tcPr>
            <w:tcW w:w="2672" w:type="pct"/>
            <w:tcBorders>
              <w:top w:val="nil"/>
              <w:left w:val="nil"/>
              <w:bottom w:val="nil"/>
              <w:right w:val="single" w:sz="4" w:space="0" w:color="auto"/>
            </w:tcBorders>
            <w:shd w:val="clear" w:color="auto" w:fill="auto"/>
            <w:hideMark/>
          </w:tcPr>
          <w:p w14:paraId="4A42F8A6" w14:textId="77777777" w:rsidR="00862A01" w:rsidRPr="00872D7E" w:rsidRDefault="00862A01" w:rsidP="00862A01">
            <w:pPr>
              <w:rPr>
                <w:color w:val="000000"/>
                <w:sz w:val="16"/>
                <w:szCs w:val="16"/>
                <w:lang w:eastAsia="tr-TR"/>
              </w:rPr>
            </w:pPr>
            <w:r w:rsidRPr="00872D7E">
              <w:rPr>
                <w:color w:val="000000"/>
                <w:sz w:val="16"/>
                <w:szCs w:val="16"/>
                <w:lang w:eastAsia="tr-TR"/>
              </w:rPr>
              <w:t>Gerçek kişi toplanan fon ve perakende toplanan fon dışında kalan teminatsız borçlar</w:t>
            </w:r>
          </w:p>
        </w:tc>
        <w:tc>
          <w:tcPr>
            <w:tcW w:w="580" w:type="pct"/>
            <w:tcBorders>
              <w:top w:val="nil"/>
              <w:left w:val="nil"/>
              <w:bottom w:val="nil"/>
              <w:right w:val="single" w:sz="4" w:space="0" w:color="auto"/>
            </w:tcBorders>
            <w:shd w:val="clear" w:color="auto" w:fill="auto"/>
            <w:vAlign w:val="center"/>
            <w:hideMark/>
          </w:tcPr>
          <w:p w14:paraId="0649E27C"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5B8261EC"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33F38163" w14:textId="77777777" w:rsidR="00862A01" w:rsidRPr="00872D7E" w:rsidRDefault="00862A01" w:rsidP="00862A01">
            <w:pPr>
              <w:jc w:val="right"/>
              <w:rPr>
                <w:color w:val="000000"/>
                <w:sz w:val="16"/>
                <w:szCs w:val="16"/>
                <w:lang w:eastAsia="tr-TR"/>
              </w:rPr>
            </w:pPr>
            <w:r w:rsidRPr="00872D7E">
              <w:rPr>
                <w:color w:val="000000"/>
                <w:sz w:val="16"/>
                <w:szCs w:val="16"/>
                <w:lang w:eastAsia="tr-TR"/>
              </w:rPr>
              <w:t>1.723</w:t>
            </w:r>
          </w:p>
        </w:tc>
        <w:tc>
          <w:tcPr>
            <w:tcW w:w="508" w:type="pct"/>
            <w:tcBorders>
              <w:top w:val="nil"/>
              <w:left w:val="nil"/>
              <w:bottom w:val="nil"/>
              <w:right w:val="single" w:sz="4" w:space="0" w:color="auto"/>
            </w:tcBorders>
            <w:shd w:val="clear" w:color="auto" w:fill="auto"/>
            <w:vAlign w:val="center"/>
            <w:hideMark/>
          </w:tcPr>
          <w:p w14:paraId="1FB786F6"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389AFD9F"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3A23ED25" w14:textId="77777777" w:rsidR="00862A01" w:rsidRPr="00872D7E" w:rsidRDefault="00862A01" w:rsidP="00862A01">
            <w:pPr>
              <w:jc w:val="center"/>
              <w:rPr>
                <w:color w:val="000000"/>
                <w:sz w:val="16"/>
                <w:szCs w:val="16"/>
                <w:lang w:eastAsia="tr-TR"/>
              </w:rPr>
            </w:pPr>
            <w:r w:rsidRPr="00872D7E">
              <w:rPr>
                <w:color w:val="000000"/>
                <w:sz w:val="16"/>
                <w:szCs w:val="16"/>
                <w:lang w:eastAsia="tr-TR"/>
              </w:rPr>
              <w:t>6</w:t>
            </w:r>
          </w:p>
        </w:tc>
        <w:tc>
          <w:tcPr>
            <w:tcW w:w="2672" w:type="pct"/>
            <w:tcBorders>
              <w:top w:val="nil"/>
              <w:left w:val="nil"/>
              <w:bottom w:val="nil"/>
              <w:right w:val="single" w:sz="4" w:space="0" w:color="auto"/>
            </w:tcBorders>
            <w:shd w:val="clear" w:color="auto" w:fill="auto"/>
            <w:noWrap/>
            <w:hideMark/>
          </w:tcPr>
          <w:p w14:paraId="0F4D7BD0" w14:textId="77777777" w:rsidR="00862A01" w:rsidRPr="00872D7E" w:rsidRDefault="00862A01" w:rsidP="00862A01">
            <w:pPr>
              <w:ind w:firstLineChars="100" w:firstLine="160"/>
              <w:rPr>
                <w:color w:val="000000"/>
                <w:sz w:val="16"/>
                <w:szCs w:val="16"/>
                <w:lang w:eastAsia="tr-TR"/>
              </w:rPr>
            </w:pPr>
            <w:r w:rsidRPr="00872D7E">
              <w:rPr>
                <w:color w:val="000000"/>
                <w:sz w:val="16"/>
                <w:szCs w:val="16"/>
                <w:lang w:eastAsia="tr-TR"/>
              </w:rPr>
              <w:t>Operasyonel toplanan fon</w:t>
            </w:r>
          </w:p>
        </w:tc>
        <w:tc>
          <w:tcPr>
            <w:tcW w:w="580" w:type="pct"/>
            <w:tcBorders>
              <w:top w:val="nil"/>
              <w:left w:val="nil"/>
              <w:bottom w:val="nil"/>
              <w:right w:val="single" w:sz="4" w:space="0" w:color="auto"/>
            </w:tcBorders>
            <w:shd w:val="clear" w:color="auto" w:fill="auto"/>
            <w:vAlign w:val="center"/>
            <w:hideMark/>
          </w:tcPr>
          <w:p w14:paraId="2A93861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788C3503"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35DA9C51"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1EAB9C61"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219AE69E"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2D008212" w14:textId="77777777" w:rsidR="00862A01" w:rsidRPr="00872D7E" w:rsidRDefault="00862A01" w:rsidP="00862A01">
            <w:pPr>
              <w:jc w:val="center"/>
              <w:rPr>
                <w:color w:val="000000"/>
                <w:sz w:val="16"/>
                <w:szCs w:val="16"/>
                <w:lang w:eastAsia="tr-TR"/>
              </w:rPr>
            </w:pPr>
            <w:r w:rsidRPr="00872D7E">
              <w:rPr>
                <w:color w:val="000000"/>
                <w:sz w:val="16"/>
                <w:szCs w:val="16"/>
                <w:lang w:eastAsia="tr-TR"/>
              </w:rPr>
              <w:t>7</w:t>
            </w:r>
          </w:p>
        </w:tc>
        <w:tc>
          <w:tcPr>
            <w:tcW w:w="2672" w:type="pct"/>
            <w:tcBorders>
              <w:top w:val="nil"/>
              <w:left w:val="nil"/>
              <w:bottom w:val="nil"/>
              <w:right w:val="single" w:sz="4" w:space="0" w:color="auto"/>
            </w:tcBorders>
            <w:shd w:val="clear" w:color="auto" w:fill="auto"/>
            <w:noWrap/>
            <w:hideMark/>
          </w:tcPr>
          <w:p w14:paraId="078AC70E" w14:textId="77777777" w:rsidR="00862A01" w:rsidRPr="00872D7E" w:rsidRDefault="00862A01" w:rsidP="00862A01">
            <w:pPr>
              <w:ind w:firstLineChars="100" w:firstLine="160"/>
              <w:rPr>
                <w:color w:val="000000"/>
                <w:sz w:val="16"/>
                <w:szCs w:val="16"/>
                <w:lang w:eastAsia="tr-TR"/>
              </w:rPr>
            </w:pPr>
            <w:r w:rsidRPr="00872D7E">
              <w:rPr>
                <w:color w:val="000000"/>
                <w:sz w:val="16"/>
                <w:szCs w:val="16"/>
                <w:lang w:eastAsia="tr-TR"/>
              </w:rPr>
              <w:t>Operasyonel olmayan toplanan fon</w:t>
            </w:r>
          </w:p>
        </w:tc>
        <w:tc>
          <w:tcPr>
            <w:tcW w:w="580" w:type="pct"/>
            <w:tcBorders>
              <w:top w:val="nil"/>
              <w:left w:val="nil"/>
              <w:bottom w:val="nil"/>
              <w:right w:val="single" w:sz="4" w:space="0" w:color="auto"/>
            </w:tcBorders>
            <w:shd w:val="clear" w:color="auto" w:fill="auto"/>
            <w:vAlign w:val="center"/>
            <w:hideMark/>
          </w:tcPr>
          <w:p w14:paraId="720327BE"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7E18A50C"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1280B579" w14:textId="77777777" w:rsidR="00862A01" w:rsidRPr="00872D7E" w:rsidRDefault="00862A01" w:rsidP="00862A01">
            <w:pPr>
              <w:jc w:val="right"/>
              <w:rPr>
                <w:color w:val="000000"/>
                <w:sz w:val="16"/>
                <w:szCs w:val="16"/>
                <w:lang w:eastAsia="tr-TR"/>
              </w:rPr>
            </w:pPr>
            <w:r w:rsidRPr="00872D7E">
              <w:rPr>
                <w:color w:val="000000"/>
                <w:sz w:val="16"/>
                <w:szCs w:val="16"/>
                <w:lang w:eastAsia="tr-TR"/>
              </w:rPr>
              <w:t>12</w:t>
            </w:r>
          </w:p>
        </w:tc>
        <w:tc>
          <w:tcPr>
            <w:tcW w:w="508" w:type="pct"/>
            <w:tcBorders>
              <w:top w:val="nil"/>
              <w:left w:val="nil"/>
              <w:bottom w:val="nil"/>
              <w:right w:val="single" w:sz="4" w:space="0" w:color="auto"/>
            </w:tcBorders>
            <w:shd w:val="clear" w:color="auto" w:fill="auto"/>
            <w:vAlign w:val="center"/>
            <w:hideMark/>
          </w:tcPr>
          <w:p w14:paraId="6EBE9D06"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768486BF"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4E8E038E" w14:textId="77777777" w:rsidR="00862A01" w:rsidRPr="00872D7E" w:rsidRDefault="00862A01" w:rsidP="00862A01">
            <w:pPr>
              <w:jc w:val="center"/>
              <w:rPr>
                <w:color w:val="000000"/>
                <w:sz w:val="16"/>
                <w:szCs w:val="16"/>
                <w:lang w:eastAsia="tr-TR"/>
              </w:rPr>
            </w:pPr>
            <w:r w:rsidRPr="00872D7E">
              <w:rPr>
                <w:color w:val="000000"/>
                <w:sz w:val="16"/>
                <w:szCs w:val="16"/>
                <w:lang w:eastAsia="tr-TR"/>
              </w:rPr>
              <w:t>8</w:t>
            </w:r>
          </w:p>
        </w:tc>
        <w:tc>
          <w:tcPr>
            <w:tcW w:w="2672" w:type="pct"/>
            <w:tcBorders>
              <w:top w:val="nil"/>
              <w:left w:val="nil"/>
              <w:bottom w:val="nil"/>
              <w:right w:val="single" w:sz="4" w:space="0" w:color="auto"/>
            </w:tcBorders>
            <w:shd w:val="clear" w:color="auto" w:fill="auto"/>
            <w:noWrap/>
            <w:hideMark/>
          </w:tcPr>
          <w:p w14:paraId="392B355B" w14:textId="77777777" w:rsidR="00862A01" w:rsidRPr="00872D7E" w:rsidRDefault="00862A01" w:rsidP="00862A01">
            <w:pPr>
              <w:ind w:firstLineChars="100" w:firstLine="160"/>
              <w:rPr>
                <w:color w:val="000000"/>
                <w:sz w:val="16"/>
                <w:szCs w:val="16"/>
                <w:lang w:eastAsia="tr-TR"/>
              </w:rPr>
            </w:pPr>
            <w:r w:rsidRPr="00872D7E">
              <w:rPr>
                <w:color w:val="000000"/>
                <w:sz w:val="16"/>
                <w:szCs w:val="16"/>
                <w:lang w:eastAsia="tr-TR"/>
              </w:rPr>
              <w:t>Diğer teminatsız borçlar</w:t>
            </w:r>
          </w:p>
        </w:tc>
        <w:tc>
          <w:tcPr>
            <w:tcW w:w="580" w:type="pct"/>
            <w:tcBorders>
              <w:top w:val="nil"/>
              <w:left w:val="nil"/>
              <w:bottom w:val="nil"/>
              <w:right w:val="single" w:sz="4" w:space="0" w:color="auto"/>
            </w:tcBorders>
            <w:shd w:val="clear" w:color="auto" w:fill="auto"/>
            <w:vAlign w:val="center"/>
            <w:hideMark/>
          </w:tcPr>
          <w:p w14:paraId="49AAA492"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32785DF1"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4EB8A56A" w14:textId="77777777" w:rsidR="00862A01" w:rsidRPr="00872D7E" w:rsidRDefault="00862A01" w:rsidP="00862A01">
            <w:pPr>
              <w:jc w:val="right"/>
              <w:rPr>
                <w:color w:val="000000"/>
                <w:sz w:val="16"/>
                <w:szCs w:val="16"/>
                <w:lang w:eastAsia="tr-TR"/>
              </w:rPr>
            </w:pPr>
            <w:r w:rsidRPr="00872D7E">
              <w:rPr>
                <w:color w:val="000000"/>
                <w:sz w:val="16"/>
                <w:szCs w:val="16"/>
                <w:lang w:eastAsia="tr-TR"/>
              </w:rPr>
              <w:t>1.711</w:t>
            </w:r>
          </w:p>
        </w:tc>
        <w:tc>
          <w:tcPr>
            <w:tcW w:w="508" w:type="pct"/>
            <w:tcBorders>
              <w:top w:val="nil"/>
              <w:left w:val="nil"/>
              <w:bottom w:val="nil"/>
              <w:right w:val="single" w:sz="4" w:space="0" w:color="auto"/>
            </w:tcBorders>
            <w:shd w:val="clear" w:color="auto" w:fill="auto"/>
            <w:vAlign w:val="center"/>
            <w:hideMark/>
          </w:tcPr>
          <w:p w14:paraId="1CAEBC8F"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36C41A6F"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5532548E" w14:textId="77777777" w:rsidR="00862A01" w:rsidRPr="00872D7E" w:rsidRDefault="00862A01" w:rsidP="00862A01">
            <w:pPr>
              <w:jc w:val="center"/>
              <w:rPr>
                <w:color w:val="000000"/>
                <w:sz w:val="16"/>
                <w:szCs w:val="16"/>
                <w:lang w:eastAsia="tr-TR"/>
              </w:rPr>
            </w:pPr>
            <w:r w:rsidRPr="00872D7E">
              <w:rPr>
                <w:color w:val="000000"/>
                <w:sz w:val="16"/>
                <w:szCs w:val="16"/>
                <w:lang w:eastAsia="tr-TR"/>
              </w:rPr>
              <w:t>9</w:t>
            </w:r>
          </w:p>
        </w:tc>
        <w:tc>
          <w:tcPr>
            <w:tcW w:w="2672" w:type="pct"/>
            <w:tcBorders>
              <w:top w:val="nil"/>
              <w:left w:val="nil"/>
              <w:bottom w:val="nil"/>
              <w:right w:val="single" w:sz="4" w:space="0" w:color="auto"/>
            </w:tcBorders>
            <w:shd w:val="clear" w:color="auto" w:fill="auto"/>
            <w:noWrap/>
            <w:hideMark/>
          </w:tcPr>
          <w:p w14:paraId="06E2BF81" w14:textId="77777777" w:rsidR="00862A01" w:rsidRPr="00872D7E" w:rsidRDefault="00862A01" w:rsidP="00862A01">
            <w:pPr>
              <w:rPr>
                <w:color w:val="000000"/>
                <w:sz w:val="16"/>
                <w:szCs w:val="16"/>
                <w:lang w:eastAsia="tr-TR"/>
              </w:rPr>
            </w:pPr>
            <w:r w:rsidRPr="00872D7E">
              <w:rPr>
                <w:color w:val="000000"/>
                <w:sz w:val="16"/>
                <w:szCs w:val="16"/>
                <w:lang w:eastAsia="tr-TR"/>
              </w:rPr>
              <w:t>Teminatlı borçlar</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43D96B44"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06F4DA69"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7A6BA54A" w14:textId="77777777" w:rsidR="00862A01" w:rsidRPr="00872D7E" w:rsidRDefault="00862A01" w:rsidP="00862A01">
            <w:pPr>
              <w:jc w:val="right"/>
              <w:rPr>
                <w:b/>
                <w:bCs/>
                <w:sz w:val="16"/>
                <w:szCs w:val="16"/>
                <w:lang w:eastAsia="tr-TR"/>
              </w:rPr>
            </w:pPr>
            <w:r w:rsidRPr="00872D7E">
              <w:rPr>
                <w:b/>
                <w:bCs/>
                <w:sz w:val="16"/>
                <w:szCs w:val="16"/>
                <w:lang w:eastAsia="tr-TR"/>
              </w:rPr>
              <w:t>-</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0EB0FC1A" w14:textId="77777777" w:rsidR="00862A01" w:rsidRPr="00872D7E" w:rsidRDefault="00862A01" w:rsidP="00862A01">
            <w:pPr>
              <w:jc w:val="right"/>
              <w:rPr>
                <w:b/>
                <w:bCs/>
                <w:sz w:val="16"/>
                <w:szCs w:val="16"/>
                <w:lang w:eastAsia="tr-TR"/>
              </w:rPr>
            </w:pPr>
            <w:r w:rsidRPr="00872D7E">
              <w:rPr>
                <w:b/>
                <w:bCs/>
                <w:sz w:val="16"/>
                <w:szCs w:val="16"/>
                <w:lang w:eastAsia="tr-TR"/>
              </w:rPr>
              <w:t>-</w:t>
            </w:r>
          </w:p>
        </w:tc>
      </w:tr>
      <w:tr w:rsidR="00862A01" w:rsidRPr="00872D7E" w14:paraId="14D97789"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1C36D584"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10</w:t>
            </w:r>
          </w:p>
        </w:tc>
        <w:tc>
          <w:tcPr>
            <w:tcW w:w="2672" w:type="pct"/>
            <w:tcBorders>
              <w:top w:val="nil"/>
              <w:left w:val="nil"/>
              <w:bottom w:val="nil"/>
              <w:right w:val="single" w:sz="4" w:space="0" w:color="auto"/>
            </w:tcBorders>
            <w:shd w:val="clear" w:color="auto" w:fill="auto"/>
            <w:noWrap/>
            <w:hideMark/>
          </w:tcPr>
          <w:p w14:paraId="7EA9DD79" w14:textId="77777777" w:rsidR="00862A01" w:rsidRPr="00872D7E" w:rsidRDefault="00862A01" w:rsidP="00862A01">
            <w:pPr>
              <w:rPr>
                <w:color w:val="000000"/>
                <w:sz w:val="16"/>
                <w:szCs w:val="16"/>
                <w:lang w:eastAsia="tr-TR"/>
              </w:rPr>
            </w:pPr>
            <w:r w:rsidRPr="00872D7E">
              <w:rPr>
                <w:color w:val="000000"/>
                <w:sz w:val="16"/>
                <w:szCs w:val="16"/>
                <w:lang w:eastAsia="tr-TR"/>
              </w:rPr>
              <w:t>Diğer nakit çıkışları</w:t>
            </w:r>
          </w:p>
        </w:tc>
        <w:tc>
          <w:tcPr>
            <w:tcW w:w="580" w:type="pct"/>
            <w:tcBorders>
              <w:top w:val="nil"/>
              <w:left w:val="nil"/>
              <w:bottom w:val="nil"/>
              <w:right w:val="single" w:sz="4" w:space="0" w:color="auto"/>
            </w:tcBorders>
            <w:shd w:val="clear" w:color="auto" w:fill="auto"/>
            <w:vAlign w:val="center"/>
            <w:hideMark/>
          </w:tcPr>
          <w:p w14:paraId="55A277D2"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54DB9FB6"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088ADC97"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523D4DAB"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7B3E68A1"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75CB7126"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11</w:t>
            </w:r>
          </w:p>
        </w:tc>
        <w:tc>
          <w:tcPr>
            <w:tcW w:w="2672" w:type="pct"/>
            <w:tcBorders>
              <w:top w:val="nil"/>
              <w:left w:val="nil"/>
              <w:bottom w:val="nil"/>
              <w:right w:val="single" w:sz="4" w:space="0" w:color="auto"/>
            </w:tcBorders>
            <w:shd w:val="clear" w:color="auto" w:fill="auto"/>
            <w:noWrap/>
            <w:hideMark/>
          </w:tcPr>
          <w:p w14:paraId="18C0A95B" w14:textId="77777777" w:rsidR="00862A01" w:rsidRPr="00872D7E" w:rsidRDefault="00862A01" w:rsidP="00862A01">
            <w:pPr>
              <w:ind w:firstLineChars="100" w:firstLine="160"/>
              <w:rPr>
                <w:color w:val="000000"/>
                <w:sz w:val="16"/>
                <w:szCs w:val="16"/>
                <w:lang w:eastAsia="tr-TR"/>
              </w:rPr>
            </w:pPr>
            <w:r w:rsidRPr="00872D7E">
              <w:rPr>
                <w:color w:val="000000"/>
                <w:sz w:val="16"/>
                <w:szCs w:val="16"/>
                <w:lang w:eastAsia="tr-TR"/>
              </w:rPr>
              <w:t>Türev yükümlülükler ve teminat tamamlama yükümlülükleri</w:t>
            </w:r>
          </w:p>
        </w:tc>
        <w:tc>
          <w:tcPr>
            <w:tcW w:w="580" w:type="pct"/>
            <w:tcBorders>
              <w:top w:val="nil"/>
              <w:left w:val="nil"/>
              <w:bottom w:val="nil"/>
              <w:right w:val="single" w:sz="4" w:space="0" w:color="auto"/>
            </w:tcBorders>
            <w:shd w:val="clear" w:color="auto" w:fill="auto"/>
            <w:vAlign w:val="center"/>
            <w:hideMark/>
          </w:tcPr>
          <w:p w14:paraId="322DC6ED"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213534C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1136CFD3"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7ECF8C18"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2B94D470"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2440E8B1"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12</w:t>
            </w:r>
          </w:p>
        </w:tc>
        <w:tc>
          <w:tcPr>
            <w:tcW w:w="2672" w:type="pct"/>
            <w:tcBorders>
              <w:top w:val="nil"/>
              <w:left w:val="nil"/>
              <w:bottom w:val="nil"/>
              <w:right w:val="single" w:sz="4" w:space="0" w:color="auto"/>
            </w:tcBorders>
            <w:shd w:val="clear" w:color="auto" w:fill="auto"/>
            <w:noWrap/>
            <w:hideMark/>
          </w:tcPr>
          <w:p w14:paraId="692BA00C" w14:textId="77777777" w:rsidR="00862A01" w:rsidRPr="00872D7E" w:rsidRDefault="00862A01" w:rsidP="00862A01">
            <w:pPr>
              <w:ind w:firstLineChars="100" w:firstLine="160"/>
              <w:rPr>
                <w:color w:val="000000"/>
                <w:sz w:val="16"/>
                <w:szCs w:val="16"/>
                <w:lang w:eastAsia="tr-TR"/>
              </w:rPr>
            </w:pPr>
            <w:r w:rsidRPr="00872D7E">
              <w:rPr>
                <w:color w:val="000000"/>
                <w:sz w:val="16"/>
                <w:szCs w:val="16"/>
                <w:lang w:eastAsia="tr-TR"/>
              </w:rPr>
              <w:t>Yapılandırılmış finansal araçlardan borçlar</w:t>
            </w:r>
          </w:p>
        </w:tc>
        <w:tc>
          <w:tcPr>
            <w:tcW w:w="580" w:type="pct"/>
            <w:tcBorders>
              <w:top w:val="nil"/>
              <w:left w:val="nil"/>
              <w:bottom w:val="nil"/>
              <w:right w:val="single" w:sz="4" w:space="0" w:color="auto"/>
            </w:tcBorders>
            <w:shd w:val="clear" w:color="auto" w:fill="auto"/>
            <w:vAlign w:val="center"/>
            <w:hideMark/>
          </w:tcPr>
          <w:p w14:paraId="49A7CCB8"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456578F3"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60DDCE67"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3844343D"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295C4842"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07A6A315"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13</w:t>
            </w:r>
          </w:p>
        </w:tc>
        <w:tc>
          <w:tcPr>
            <w:tcW w:w="2672" w:type="pct"/>
            <w:tcBorders>
              <w:top w:val="nil"/>
              <w:left w:val="nil"/>
              <w:bottom w:val="nil"/>
              <w:right w:val="single" w:sz="4" w:space="0" w:color="auto"/>
            </w:tcBorders>
            <w:shd w:val="clear" w:color="auto" w:fill="auto"/>
            <w:hideMark/>
          </w:tcPr>
          <w:p w14:paraId="1ECB20AB" w14:textId="77777777" w:rsidR="00862A01" w:rsidRPr="00872D7E" w:rsidRDefault="00862A01" w:rsidP="00862A01">
            <w:pPr>
              <w:ind w:firstLineChars="100" w:firstLine="160"/>
              <w:rPr>
                <w:color w:val="000000"/>
                <w:sz w:val="16"/>
                <w:szCs w:val="16"/>
                <w:lang w:eastAsia="tr-TR"/>
              </w:rPr>
            </w:pPr>
            <w:r w:rsidRPr="00872D7E">
              <w:rPr>
                <w:color w:val="000000"/>
                <w:sz w:val="16"/>
                <w:szCs w:val="16"/>
                <w:lang w:eastAsia="tr-TR"/>
              </w:rPr>
              <w:t>Finansal piyasalara olan borçlar için verilen ödeme taahhütleri ile diğer bilanço dışı yükümlülükler</w:t>
            </w:r>
          </w:p>
        </w:tc>
        <w:tc>
          <w:tcPr>
            <w:tcW w:w="580" w:type="pct"/>
            <w:tcBorders>
              <w:top w:val="nil"/>
              <w:left w:val="nil"/>
              <w:bottom w:val="nil"/>
              <w:right w:val="single" w:sz="4" w:space="0" w:color="auto"/>
            </w:tcBorders>
            <w:shd w:val="clear" w:color="auto" w:fill="auto"/>
            <w:vAlign w:val="center"/>
            <w:hideMark/>
          </w:tcPr>
          <w:p w14:paraId="71B0F0E6"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2C168AE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77DBE116"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4956FE08"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25F956D7"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544CCD2A"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14</w:t>
            </w:r>
          </w:p>
        </w:tc>
        <w:tc>
          <w:tcPr>
            <w:tcW w:w="2672" w:type="pct"/>
            <w:tcBorders>
              <w:top w:val="nil"/>
              <w:left w:val="nil"/>
              <w:bottom w:val="nil"/>
              <w:right w:val="single" w:sz="4" w:space="0" w:color="auto"/>
            </w:tcBorders>
            <w:shd w:val="clear" w:color="auto" w:fill="auto"/>
            <w:hideMark/>
          </w:tcPr>
          <w:p w14:paraId="21679F26" w14:textId="77777777" w:rsidR="00862A01" w:rsidRPr="00872D7E" w:rsidRDefault="00862A01" w:rsidP="00862A01">
            <w:pPr>
              <w:rPr>
                <w:color w:val="000000"/>
                <w:sz w:val="16"/>
                <w:szCs w:val="16"/>
                <w:lang w:eastAsia="tr-TR"/>
              </w:rPr>
            </w:pPr>
            <w:r w:rsidRPr="00872D7E">
              <w:rPr>
                <w:color w:val="000000"/>
                <w:sz w:val="16"/>
                <w:szCs w:val="16"/>
                <w:lang w:eastAsia="tr-TR"/>
              </w:rPr>
              <w:t>Herhangi bir şarta bağlı olmaksızın cayılabilir bilanço dışı diğer yükümlülükler ile sözleşmeye dayalı diğer yükümlülükler</w:t>
            </w:r>
          </w:p>
        </w:tc>
        <w:tc>
          <w:tcPr>
            <w:tcW w:w="580" w:type="pct"/>
            <w:tcBorders>
              <w:top w:val="nil"/>
              <w:left w:val="nil"/>
              <w:bottom w:val="nil"/>
              <w:right w:val="single" w:sz="4" w:space="0" w:color="auto"/>
            </w:tcBorders>
            <w:shd w:val="clear" w:color="auto" w:fill="auto"/>
            <w:vAlign w:val="center"/>
            <w:hideMark/>
          </w:tcPr>
          <w:p w14:paraId="1F5134F2"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0968EDFA"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197E3CEE"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1AF43747"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7A036C5F"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69854AD9"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15</w:t>
            </w:r>
          </w:p>
        </w:tc>
        <w:tc>
          <w:tcPr>
            <w:tcW w:w="2672" w:type="pct"/>
            <w:tcBorders>
              <w:top w:val="nil"/>
              <w:left w:val="nil"/>
              <w:bottom w:val="nil"/>
              <w:right w:val="single" w:sz="4" w:space="0" w:color="auto"/>
            </w:tcBorders>
            <w:shd w:val="clear" w:color="auto" w:fill="auto"/>
            <w:noWrap/>
            <w:hideMark/>
          </w:tcPr>
          <w:p w14:paraId="39955161" w14:textId="77777777" w:rsidR="00862A01" w:rsidRPr="00872D7E" w:rsidRDefault="00862A01" w:rsidP="00862A01">
            <w:pPr>
              <w:rPr>
                <w:color w:val="000000"/>
                <w:sz w:val="16"/>
                <w:szCs w:val="16"/>
                <w:lang w:eastAsia="tr-TR"/>
              </w:rPr>
            </w:pPr>
            <w:r w:rsidRPr="00872D7E">
              <w:rPr>
                <w:color w:val="000000"/>
                <w:sz w:val="16"/>
                <w:szCs w:val="16"/>
                <w:lang w:eastAsia="tr-TR"/>
              </w:rPr>
              <w:t>Diğer cayılamaz veya şartı bağlı olarak cayılabilir bilanço dışı borçlar</w:t>
            </w:r>
          </w:p>
        </w:tc>
        <w:tc>
          <w:tcPr>
            <w:tcW w:w="580" w:type="pct"/>
            <w:tcBorders>
              <w:top w:val="nil"/>
              <w:left w:val="nil"/>
              <w:bottom w:val="nil"/>
              <w:right w:val="single" w:sz="4" w:space="0" w:color="auto"/>
            </w:tcBorders>
            <w:shd w:val="clear" w:color="auto" w:fill="auto"/>
            <w:vAlign w:val="center"/>
            <w:hideMark/>
          </w:tcPr>
          <w:p w14:paraId="305FDB51"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686D8D8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4DDBBC2D"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01CEEA69"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4E289E62"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0617B7C"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16</w:t>
            </w:r>
          </w:p>
        </w:tc>
        <w:tc>
          <w:tcPr>
            <w:tcW w:w="2672" w:type="pct"/>
            <w:tcBorders>
              <w:top w:val="single" w:sz="4" w:space="0" w:color="auto"/>
              <w:left w:val="nil"/>
              <w:bottom w:val="single" w:sz="4" w:space="0" w:color="auto"/>
              <w:right w:val="single" w:sz="4" w:space="0" w:color="auto"/>
            </w:tcBorders>
            <w:shd w:val="clear" w:color="auto" w:fill="auto"/>
            <w:noWrap/>
            <w:hideMark/>
          </w:tcPr>
          <w:p w14:paraId="66CB4871"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TOPLAM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1FA715C2"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67FA6CDF"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0D2F8619" w14:textId="77777777" w:rsidR="00862A01" w:rsidRPr="00872D7E" w:rsidRDefault="00862A01" w:rsidP="00862A01">
            <w:pPr>
              <w:jc w:val="right"/>
              <w:rPr>
                <w:b/>
                <w:bCs/>
                <w:color w:val="000000"/>
                <w:sz w:val="16"/>
                <w:szCs w:val="16"/>
                <w:lang w:eastAsia="tr-TR"/>
              </w:rPr>
            </w:pPr>
            <w:r w:rsidRPr="00872D7E">
              <w:rPr>
                <w:b/>
                <w:bCs/>
                <w:color w:val="000000"/>
                <w:sz w:val="16"/>
                <w:szCs w:val="16"/>
                <w:lang w:eastAsia="tr-TR"/>
              </w:rPr>
              <w:t>1.731</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733833D0" w14:textId="77777777" w:rsidR="00862A01" w:rsidRPr="00872D7E" w:rsidRDefault="00862A01" w:rsidP="00862A01">
            <w:pPr>
              <w:jc w:val="right"/>
              <w:rPr>
                <w:b/>
                <w:bCs/>
                <w:color w:val="000000"/>
                <w:sz w:val="16"/>
                <w:szCs w:val="16"/>
                <w:lang w:eastAsia="tr-TR"/>
              </w:rPr>
            </w:pPr>
            <w:r w:rsidRPr="00872D7E">
              <w:rPr>
                <w:b/>
                <w:bCs/>
                <w:color w:val="000000"/>
                <w:sz w:val="16"/>
                <w:szCs w:val="16"/>
                <w:lang w:eastAsia="tr-TR"/>
              </w:rPr>
              <w:t>8</w:t>
            </w:r>
          </w:p>
        </w:tc>
      </w:tr>
      <w:tr w:rsidR="00862A01" w:rsidRPr="00872D7E" w14:paraId="52DE58B4"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0750FE21"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4931FA60"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NAKİT GİRİŞLERİ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1D5F0C2B"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6262988C"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7B832546"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7139D647"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r>
      <w:tr w:rsidR="00862A01" w:rsidRPr="00872D7E" w14:paraId="3C68E604"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36FDD56C"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17</w:t>
            </w:r>
          </w:p>
        </w:tc>
        <w:tc>
          <w:tcPr>
            <w:tcW w:w="2672" w:type="pct"/>
            <w:tcBorders>
              <w:top w:val="nil"/>
              <w:left w:val="nil"/>
              <w:bottom w:val="nil"/>
              <w:right w:val="single" w:sz="4" w:space="0" w:color="auto"/>
            </w:tcBorders>
            <w:shd w:val="clear" w:color="auto" w:fill="auto"/>
            <w:noWrap/>
            <w:hideMark/>
          </w:tcPr>
          <w:p w14:paraId="42F15684" w14:textId="77777777" w:rsidR="00862A01" w:rsidRPr="00872D7E" w:rsidRDefault="00862A01" w:rsidP="00862A01">
            <w:pPr>
              <w:rPr>
                <w:color w:val="000000"/>
                <w:sz w:val="16"/>
                <w:szCs w:val="16"/>
                <w:lang w:eastAsia="tr-TR"/>
              </w:rPr>
            </w:pPr>
            <w:r w:rsidRPr="00872D7E">
              <w:rPr>
                <w:color w:val="000000"/>
                <w:sz w:val="16"/>
                <w:szCs w:val="16"/>
                <w:lang w:eastAsia="tr-TR"/>
              </w:rPr>
              <w:t>Teminatlı alacaklar</w:t>
            </w:r>
          </w:p>
        </w:tc>
        <w:tc>
          <w:tcPr>
            <w:tcW w:w="580" w:type="pct"/>
            <w:tcBorders>
              <w:top w:val="nil"/>
              <w:left w:val="nil"/>
              <w:bottom w:val="nil"/>
              <w:right w:val="single" w:sz="4" w:space="0" w:color="auto"/>
            </w:tcBorders>
            <w:shd w:val="clear" w:color="auto" w:fill="auto"/>
            <w:vAlign w:val="center"/>
            <w:hideMark/>
          </w:tcPr>
          <w:p w14:paraId="3F90EE54"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3613E754"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349E610D"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3AFDF9E7"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3F18AC3E"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1F4CEBCA"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18</w:t>
            </w:r>
          </w:p>
        </w:tc>
        <w:tc>
          <w:tcPr>
            <w:tcW w:w="2672" w:type="pct"/>
            <w:tcBorders>
              <w:top w:val="nil"/>
              <w:left w:val="nil"/>
              <w:bottom w:val="nil"/>
              <w:right w:val="single" w:sz="4" w:space="0" w:color="auto"/>
            </w:tcBorders>
            <w:shd w:val="clear" w:color="auto" w:fill="auto"/>
            <w:noWrap/>
            <w:hideMark/>
          </w:tcPr>
          <w:p w14:paraId="64FE7108" w14:textId="77777777" w:rsidR="00862A01" w:rsidRPr="00872D7E" w:rsidRDefault="00862A01" w:rsidP="00862A01">
            <w:pPr>
              <w:rPr>
                <w:color w:val="000000"/>
                <w:sz w:val="16"/>
                <w:szCs w:val="16"/>
                <w:lang w:eastAsia="tr-TR"/>
              </w:rPr>
            </w:pPr>
            <w:r w:rsidRPr="00872D7E">
              <w:rPr>
                <w:color w:val="000000"/>
                <w:sz w:val="16"/>
                <w:szCs w:val="16"/>
                <w:lang w:eastAsia="tr-TR"/>
              </w:rPr>
              <w:t>Teminatsız alacaklar</w:t>
            </w:r>
          </w:p>
        </w:tc>
        <w:tc>
          <w:tcPr>
            <w:tcW w:w="580" w:type="pct"/>
            <w:tcBorders>
              <w:top w:val="nil"/>
              <w:left w:val="nil"/>
              <w:bottom w:val="nil"/>
              <w:right w:val="single" w:sz="4" w:space="0" w:color="auto"/>
            </w:tcBorders>
            <w:shd w:val="clear" w:color="auto" w:fill="auto"/>
            <w:vAlign w:val="center"/>
            <w:hideMark/>
          </w:tcPr>
          <w:p w14:paraId="10433925"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7DF3EFDE"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12461708" w14:textId="77777777" w:rsidR="00862A01" w:rsidRPr="00872D7E" w:rsidRDefault="00862A01" w:rsidP="00862A01">
            <w:pPr>
              <w:jc w:val="right"/>
              <w:rPr>
                <w:color w:val="000000"/>
                <w:sz w:val="16"/>
                <w:szCs w:val="16"/>
                <w:lang w:eastAsia="tr-TR"/>
              </w:rPr>
            </w:pPr>
            <w:r w:rsidRPr="00872D7E">
              <w:rPr>
                <w:color w:val="000000"/>
                <w:sz w:val="16"/>
                <w:szCs w:val="16"/>
                <w:lang w:eastAsia="tr-TR"/>
              </w:rPr>
              <w:t>162.441</w:t>
            </w:r>
          </w:p>
        </w:tc>
        <w:tc>
          <w:tcPr>
            <w:tcW w:w="508" w:type="pct"/>
            <w:tcBorders>
              <w:top w:val="nil"/>
              <w:left w:val="nil"/>
              <w:bottom w:val="nil"/>
              <w:right w:val="single" w:sz="4" w:space="0" w:color="auto"/>
            </w:tcBorders>
            <w:shd w:val="clear" w:color="auto" w:fill="auto"/>
            <w:vAlign w:val="center"/>
            <w:hideMark/>
          </w:tcPr>
          <w:p w14:paraId="25EE394B"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21EDA0E5" w14:textId="77777777" w:rsidTr="00862A01">
        <w:trPr>
          <w:divId w:val="1381050524"/>
          <w:trHeight w:val="170"/>
        </w:trPr>
        <w:tc>
          <w:tcPr>
            <w:tcW w:w="153" w:type="pct"/>
            <w:tcBorders>
              <w:top w:val="nil"/>
              <w:left w:val="single" w:sz="4" w:space="0" w:color="auto"/>
              <w:bottom w:val="nil"/>
              <w:right w:val="single" w:sz="4" w:space="0" w:color="auto"/>
            </w:tcBorders>
            <w:shd w:val="clear" w:color="auto" w:fill="auto"/>
            <w:noWrap/>
            <w:hideMark/>
          </w:tcPr>
          <w:p w14:paraId="309490A1" w14:textId="77777777" w:rsidR="00862A01" w:rsidRPr="00872D7E" w:rsidRDefault="00862A01" w:rsidP="00862A01">
            <w:pPr>
              <w:jc w:val="center"/>
              <w:rPr>
                <w:color w:val="000000"/>
                <w:sz w:val="16"/>
                <w:szCs w:val="16"/>
                <w:lang w:eastAsia="tr-TR"/>
              </w:rPr>
            </w:pPr>
            <w:r w:rsidRPr="00872D7E">
              <w:rPr>
                <w:color w:val="000000"/>
                <w:sz w:val="16"/>
                <w:szCs w:val="16"/>
                <w:lang w:eastAsia="tr-TR"/>
              </w:rPr>
              <w:t>19</w:t>
            </w:r>
          </w:p>
        </w:tc>
        <w:tc>
          <w:tcPr>
            <w:tcW w:w="2672" w:type="pct"/>
            <w:tcBorders>
              <w:top w:val="nil"/>
              <w:left w:val="nil"/>
              <w:bottom w:val="nil"/>
              <w:right w:val="single" w:sz="4" w:space="0" w:color="auto"/>
            </w:tcBorders>
            <w:shd w:val="clear" w:color="auto" w:fill="auto"/>
            <w:noWrap/>
            <w:hideMark/>
          </w:tcPr>
          <w:p w14:paraId="4E7D3C9D" w14:textId="77777777" w:rsidR="00862A01" w:rsidRPr="00872D7E" w:rsidRDefault="00862A01" w:rsidP="00862A01">
            <w:pPr>
              <w:rPr>
                <w:color w:val="000000"/>
                <w:sz w:val="16"/>
                <w:szCs w:val="16"/>
                <w:lang w:eastAsia="tr-TR"/>
              </w:rPr>
            </w:pPr>
            <w:r w:rsidRPr="00872D7E">
              <w:rPr>
                <w:color w:val="000000"/>
                <w:sz w:val="16"/>
                <w:szCs w:val="16"/>
                <w:lang w:eastAsia="tr-TR"/>
              </w:rPr>
              <w:t>Diğer nakit girişleri</w:t>
            </w:r>
          </w:p>
        </w:tc>
        <w:tc>
          <w:tcPr>
            <w:tcW w:w="580" w:type="pct"/>
            <w:tcBorders>
              <w:top w:val="nil"/>
              <w:left w:val="nil"/>
              <w:bottom w:val="nil"/>
              <w:right w:val="single" w:sz="4" w:space="0" w:color="auto"/>
            </w:tcBorders>
            <w:shd w:val="clear" w:color="auto" w:fill="auto"/>
            <w:vAlign w:val="center"/>
            <w:hideMark/>
          </w:tcPr>
          <w:p w14:paraId="358B41DB"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3A6A3AD6"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185FFA23"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350BD4C0"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6435E08F"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34422E2F"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20</w:t>
            </w:r>
          </w:p>
        </w:tc>
        <w:tc>
          <w:tcPr>
            <w:tcW w:w="2672" w:type="pct"/>
            <w:tcBorders>
              <w:top w:val="single" w:sz="4" w:space="0" w:color="auto"/>
              <w:left w:val="nil"/>
              <w:bottom w:val="single" w:sz="4" w:space="0" w:color="auto"/>
              <w:right w:val="single" w:sz="4" w:space="0" w:color="auto"/>
            </w:tcBorders>
            <w:shd w:val="clear" w:color="auto" w:fill="auto"/>
            <w:noWrap/>
            <w:hideMark/>
          </w:tcPr>
          <w:p w14:paraId="69F2955E"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TOPLAM NAKİT GİRİŞLERİ</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1A591E41"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67EA54B0"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23BFE32B" w14:textId="77777777" w:rsidR="00862A01" w:rsidRPr="00872D7E" w:rsidRDefault="00862A01" w:rsidP="00862A01">
            <w:pPr>
              <w:jc w:val="right"/>
              <w:rPr>
                <w:color w:val="000000"/>
                <w:sz w:val="16"/>
                <w:szCs w:val="16"/>
                <w:lang w:eastAsia="tr-TR"/>
              </w:rPr>
            </w:pPr>
            <w:r w:rsidRPr="00872D7E">
              <w:rPr>
                <w:color w:val="000000"/>
                <w:sz w:val="16"/>
                <w:szCs w:val="16"/>
                <w:lang w:eastAsia="tr-TR"/>
              </w:rPr>
              <w:t>162.441</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137AAC6F" w14:textId="77777777" w:rsidR="00862A01" w:rsidRPr="00872D7E" w:rsidRDefault="00862A01" w:rsidP="00862A01">
            <w:pPr>
              <w:jc w:val="right"/>
              <w:rPr>
                <w:color w:val="000000"/>
                <w:sz w:val="16"/>
                <w:szCs w:val="16"/>
                <w:lang w:eastAsia="tr-TR"/>
              </w:rPr>
            </w:pPr>
            <w:r w:rsidRPr="00872D7E">
              <w:rPr>
                <w:color w:val="000000"/>
                <w:sz w:val="16"/>
                <w:szCs w:val="16"/>
                <w:lang w:eastAsia="tr-TR"/>
              </w:rPr>
              <w:t>-</w:t>
            </w:r>
          </w:p>
        </w:tc>
      </w:tr>
      <w:tr w:rsidR="00862A01" w:rsidRPr="00872D7E" w14:paraId="0074F022"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01F4BDAC"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251D1C4B" w14:textId="77777777" w:rsidR="00862A01" w:rsidRPr="00872D7E" w:rsidRDefault="00862A01" w:rsidP="00862A01">
            <w:pPr>
              <w:rPr>
                <w:color w:val="000000"/>
                <w:sz w:val="16"/>
                <w:szCs w:val="16"/>
                <w:lang w:eastAsia="tr-TR"/>
              </w:rPr>
            </w:pPr>
            <w:r w:rsidRPr="00872D7E">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68D3348D" w14:textId="77777777" w:rsidR="00862A01" w:rsidRPr="00872D7E" w:rsidRDefault="00862A01" w:rsidP="00862A01">
            <w:pPr>
              <w:jc w:val="right"/>
              <w:rPr>
                <w:color w:val="000000"/>
                <w:sz w:val="16"/>
                <w:szCs w:val="16"/>
                <w:lang w:eastAsia="tr-TR"/>
              </w:rPr>
            </w:pPr>
            <w:r w:rsidRPr="00872D7E">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0993E4C3" w14:textId="77777777" w:rsidR="00862A01" w:rsidRPr="00872D7E" w:rsidRDefault="00862A01" w:rsidP="00862A01">
            <w:pPr>
              <w:jc w:val="right"/>
              <w:rPr>
                <w:b/>
                <w:bCs/>
                <w:color w:val="000000"/>
                <w:sz w:val="16"/>
                <w:szCs w:val="16"/>
                <w:lang w:eastAsia="tr-TR"/>
              </w:rPr>
            </w:pPr>
            <w:r w:rsidRPr="00872D7E">
              <w:rPr>
                <w:b/>
                <w:bCs/>
                <w:color w:val="000000"/>
                <w:sz w:val="16"/>
                <w:szCs w:val="16"/>
                <w:lang w:eastAsia="tr-TR"/>
              </w:rPr>
              <w:t> </w:t>
            </w:r>
          </w:p>
        </w:tc>
        <w:tc>
          <w:tcPr>
            <w:tcW w:w="1088" w:type="pct"/>
            <w:gridSpan w:val="2"/>
            <w:tcBorders>
              <w:top w:val="single" w:sz="4" w:space="0" w:color="auto"/>
              <w:left w:val="nil"/>
              <w:bottom w:val="single" w:sz="4" w:space="0" w:color="auto"/>
              <w:right w:val="single" w:sz="4" w:space="0" w:color="auto"/>
            </w:tcBorders>
            <w:shd w:val="clear" w:color="auto" w:fill="auto"/>
            <w:noWrap/>
            <w:vAlign w:val="center"/>
            <w:hideMark/>
          </w:tcPr>
          <w:p w14:paraId="09BBB0A9"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Üst Sınır Uygulanmış değerler</w:t>
            </w:r>
          </w:p>
        </w:tc>
      </w:tr>
      <w:tr w:rsidR="00862A01" w:rsidRPr="00872D7E" w14:paraId="76824E87"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212CE653"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21</w:t>
            </w:r>
          </w:p>
        </w:tc>
        <w:tc>
          <w:tcPr>
            <w:tcW w:w="2672" w:type="pct"/>
            <w:tcBorders>
              <w:top w:val="single" w:sz="4" w:space="0" w:color="auto"/>
              <w:left w:val="nil"/>
              <w:bottom w:val="single" w:sz="4" w:space="0" w:color="auto"/>
              <w:right w:val="single" w:sz="4" w:space="0" w:color="auto"/>
            </w:tcBorders>
            <w:shd w:val="clear" w:color="auto" w:fill="auto"/>
            <w:noWrap/>
            <w:hideMark/>
          </w:tcPr>
          <w:p w14:paraId="528CCACE"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TOPLAM YKLV STOKU</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7E4D1F34"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6FB318A8"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44C5CE28" w14:textId="77777777" w:rsidR="00862A01" w:rsidRPr="00872D7E" w:rsidRDefault="00862A01" w:rsidP="00862A01">
            <w:pPr>
              <w:jc w:val="right"/>
              <w:rPr>
                <w:color w:val="000000"/>
                <w:sz w:val="16"/>
                <w:szCs w:val="16"/>
                <w:lang w:eastAsia="tr-TR"/>
              </w:rPr>
            </w:pPr>
            <w:r w:rsidRPr="00872D7E">
              <w:rPr>
                <w:color w:val="000000"/>
                <w:sz w:val="16"/>
                <w:szCs w:val="16"/>
                <w:lang w:eastAsia="tr-TR"/>
              </w:rPr>
              <w:t>80.764</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7382A860" w14:textId="77777777" w:rsidR="00862A01" w:rsidRPr="00872D7E" w:rsidRDefault="00862A01" w:rsidP="00862A01">
            <w:pPr>
              <w:jc w:val="right"/>
              <w:rPr>
                <w:color w:val="000000"/>
                <w:sz w:val="16"/>
                <w:szCs w:val="16"/>
                <w:lang w:eastAsia="tr-TR"/>
              </w:rPr>
            </w:pPr>
            <w:r w:rsidRPr="00872D7E">
              <w:rPr>
                <w:color w:val="000000"/>
                <w:sz w:val="16"/>
                <w:szCs w:val="16"/>
                <w:lang w:eastAsia="tr-TR"/>
              </w:rPr>
              <w:t>595</w:t>
            </w:r>
          </w:p>
        </w:tc>
      </w:tr>
      <w:tr w:rsidR="00862A01" w:rsidRPr="00872D7E" w14:paraId="702A8E76"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000B815D"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22</w:t>
            </w:r>
          </w:p>
        </w:tc>
        <w:tc>
          <w:tcPr>
            <w:tcW w:w="2672" w:type="pct"/>
            <w:tcBorders>
              <w:top w:val="single" w:sz="4" w:space="0" w:color="auto"/>
              <w:left w:val="nil"/>
              <w:bottom w:val="single" w:sz="4" w:space="0" w:color="auto"/>
              <w:right w:val="single" w:sz="4" w:space="0" w:color="auto"/>
            </w:tcBorders>
            <w:shd w:val="clear" w:color="auto" w:fill="auto"/>
            <w:noWrap/>
            <w:hideMark/>
          </w:tcPr>
          <w:p w14:paraId="546E8B0D"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TOPLAM NET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2FD94964"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3DE1565F"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08BB5A93" w14:textId="77777777" w:rsidR="00862A01" w:rsidRPr="00872D7E" w:rsidRDefault="00862A01" w:rsidP="00862A01">
            <w:pPr>
              <w:jc w:val="right"/>
              <w:rPr>
                <w:color w:val="000000"/>
                <w:sz w:val="16"/>
                <w:szCs w:val="16"/>
                <w:lang w:eastAsia="tr-TR"/>
              </w:rPr>
            </w:pPr>
            <w:r w:rsidRPr="00872D7E">
              <w:rPr>
                <w:color w:val="000000"/>
                <w:sz w:val="16"/>
                <w:szCs w:val="16"/>
                <w:lang w:eastAsia="tr-TR"/>
              </w:rPr>
              <w:t>452</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168E67A3" w14:textId="77777777" w:rsidR="00862A01" w:rsidRPr="00872D7E" w:rsidRDefault="00862A01" w:rsidP="00862A01">
            <w:pPr>
              <w:jc w:val="right"/>
              <w:rPr>
                <w:color w:val="000000"/>
                <w:sz w:val="16"/>
                <w:szCs w:val="16"/>
                <w:lang w:eastAsia="tr-TR"/>
              </w:rPr>
            </w:pPr>
            <w:r w:rsidRPr="00872D7E">
              <w:rPr>
                <w:color w:val="000000"/>
                <w:sz w:val="16"/>
                <w:szCs w:val="16"/>
                <w:lang w:eastAsia="tr-TR"/>
              </w:rPr>
              <w:t>8</w:t>
            </w:r>
          </w:p>
        </w:tc>
      </w:tr>
      <w:tr w:rsidR="00862A01" w:rsidRPr="00872D7E" w14:paraId="084C2365" w14:textId="77777777" w:rsidTr="00862A01">
        <w:trPr>
          <w:divId w:val="1381050524"/>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2BA83230" w14:textId="77777777" w:rsidR="00862A01" w:rsidRPr="00872D7E" w:rsidRDefault="00862A01" w:rsidP="00862A01">
            <w:pPr>
              <w:jc w:val="center"/>
              <w:rPr>
                <w:b/>
                <w:bCs/>
                <w:color w:val="000000"/>
                <w:sz w:val="16"/>
                <w:szCs w:val="16"/>
                <w:lang w:eastAsia="tr-TR"/>
              </w:rPr>
            </w:pPr>
            <w:r w:rsidRPr="00872D7E">
              <w:rPr>
                <w:b/>
                <w:bCs/>
                <w:color w:val="000000"/>
                <w:sz w:val="16"/>
                <w:szCs w:val="16"/>
                <w:lang w:eastAsia="tr-TR"/>
              </w:rPr>
              <w:t>23</w:t>
            </w:r>
          </w:p>
        </w:tc>
        <w:tc>
          <w:tcPr>
            <w:tcW w:w="2672" w:type="pct"/>
            <w:tcBorders>
              <w:top w:val="single" w:sz="4" w:space="0" w:color="auto"/>
              <w:left w:val="nil"/>
              <w:bottom w:val="single" w:sz="4" w:space="0" w:color="auto"/>
              <w:right w:val="single" w:sz="4" w:space="0" w:color="auto"/>
            </w:tcBorders>
            <w:shd w:val="clear" w:color="auto" w:fill="auto"/>
            <w:noWrap/>
            <w:hideMark/>
          </w:tcPr>
          <w:p w14:paraId="6E9A35E0" w14:textId="77777777" w:rsidR="00862A01" w:rsidRPr="00872D7E" w:rsidRDefault="00862A01" w:rsidP="00862A01">
            <w:pPr>
              <w:rPr>
                <w:b/>
                <w:bCs/>
                <w:color w:val="000000"/>
                <w:sz w:val="16"/>
                <w:szCs w:val="16"/>
                <w:lang w:eastAsia="tr-TR"/>
              </w:rPr>
            </w:pPr>
            <w:r w:rsidRPr="00872D7E">
              <w:rPr>
                <w:b/>
                <w:bCs/>
                <w:color w:val="000000"/>
                <w:sz w:val="16"/>
                <w:szCs w:val="16"/>
                <w:lang w:eastAsia="tr-TR"/>
              </w:rPr>
              <w:t>LİKİDİTE KARŞILAMA ORANI (%)</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2D11B56F"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1B6A1BE6" w14:textId="77777777" w:rsidR="00862A01" w:rsidRPr="00872D7E" w:rsidRDefault="00862A01" w:rsidP="00862A01">
            <w:pPr>
              <w:jc w:val="right"/>
              <w:rPr>
                <w:b/>
                <w:bCs/>
                <w:color w:val="FFFFFF"/>
                <w:sz w:val="16"/>
                <w:szCs w:val="16"/>
                <w:lang w:eastAsia="tr-TR"/>
              </w:rPr>
            </w:pPr>
            <w:r w:rsidRPr="00872D7E">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50BCFF5A" w14:textId="77777777" w:rsidR="00862A01" w:rsidRPr="00872D7E" w:rsidRDefault="00862A01" w:rsidP="00862A01">
            <w:pPr>
              <w:jc w:val="right"/>
              <w:rPr>
                <w:color w:val="000000"/>
                <w:sz w:val="16"/>
                <w:szCs w:val="16"/>
                <w:lang w:eastAsia="tr-TR"/>
              </w:rPr>
            </w:pPr>
            <w:r w:rsidRPr="00872D7E">
              <w:rPr>
                <w:color w:val="000000"/>
                <w:sz w:val="16"/>
                <w:szCs w:val="16"/>
                <w:lang w:eastAsia="tr-TR"/>
              </w:rPr>
              <w:t>17.858,73</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7D9CED64" w14:textId="77777777" w:rsidR="00862A01" w:rsidRPr="00872D7E" w:rsidRDefault="00862A01" w:rsidP="00862A01">
            <w:pPr>
              <w:jc w:val="right"/>
              <w:rPr>
                <w:color w:val="000000"/>
                <w:sz w:val="16"/>
                <w:szCs w:val="16"/>
                <w:lang w:eastAsia="tr-TR"/>
              </w:rPr>
            </w:pPr>
            <w:r w:rsidRPr="00872D7E">
              <w:rPr>
                <w:color w:val="000000"/>
                <w:sz w:val="16"/>
                <w:szCs w:val="16"/>
                <w:lang w:eastAsia="tr-TR"/>
              </w:rPr>
              <w:t>7.234,51</w:t>
            </w:r>
          </w:p>
        </w:tc>
      </w:tr>
    </w:tbl>
    <w:p w14:paraId="41F01836" w14:textId="26404C07" w:rsidR="00A42F68" w:rsidRPr="00872D7E" w:rsidRDefault="00A42F68" w:rsidP="00A52E9D">
      <w:pPr>
        <w:widowControl w:val="0"/>
        <w:spacing w:before="120"/>
        <w:ind w:left="1276" w:right="188" w:hanging="425"/>
        <w:jc w:val="both"/>
        <w:rPr>
          <w:sz w:val="16"/>
          <w:szCs w:val="16"/>
        </w:rPr>
      </w:pPr>
      <w:r w:rsidRPr="00872D7E">
        <w:rPr>
          <w:sz w:val="16"/>
          <w:szCs w:val="16"/>
          <w:vertAlign w:val="superscript"/>
        </w:rPr>
        <w:t>(*)</w:t>
      </w:r>
      <w:r w:rsidR="00263A00" w:rsidRPr="00872D7E">
        <w:rPr>
          <w:sz w:val="16"/>
          <w:szCs w:val="16"/>
        </w:rPr>
        <w:tab/>
      </w:r>
      <w:r w:rsidR="00F42967" w:rsidRPr="00872D7E">
        <w:rPr>
          <w:sz w:val="16"/>
          <w:szCs w:val="16"/>
        </w:rPr>
        <w:t>Haftalık basit aritmetik ortalama alınmak suretiyle hesaplanan likidite karşılama oranının son üç ay için hesaplanan ortalamasıdır.</w:t>
      </w:r>
    </w:p>
    <w:p w14:paraId="740E24F5" w14:textId="77777777" w:rsidR="00263A00" w:rsidRPr="00872D7E" w:rsidRDefault="00263A00" w:rsidP="00263A00">
      <w:pPr>
        <w:widowControl w:val="0"/>
        <w:ind w:left="-14" w:right="188"/>
        <w:jc w:val="both"/>
        <w:rPr>
          <w:szCs w:val="20"/>
          <w:vertAlign w:val="superscript"/>
        </w:rPr>
      </w:pPr>
    </w:p>
    <w:p w14:paraId="32DDB1C6" w14:textId="430563E5" w:rsidR="007769C3" w:rsidRPr="00872D7E" w:rsidRDefault="007769C3" w:rsidP="00A52E9D">
      <w:pPr>
        <w:widowControl w:val="0"/>
        <w:tabs>
          <w:tab w:val="left" w:pos="851"/>
        </w:tabs>
        <w:ind w:left="851" w:right="-166"/>
        <w:jc w:val="both"/>
        <w:rPr>
          <w:szCs w:val="20"/>
        </w:rPr>
      </w:pPr>
      <w:r w:rsidRPr="00872D7E">
        <w:rPr>
          <w:szCs w:val="20"/>
        </w:rPr>
        <w:t xml:space="preserve">21 Mart 2014 tarih ve 28948 sayılı </w:t>
      </w:r>
      <w:proofErr w:type="gramStart"/>
      <w:r w:rsidRPr="00872D7E">
        <w:rPr>
          <w:szCs w:val="20"/>
        </w:rPr>
        <w:t>Resmi</w:t>
      </w:r>
      <w:proofErr w:type="gramEnd"/>
      <w:r w:rsidRPr="00872D7E">
        <w:rPr>
          <w:szCs w:val="20"/>
        </w:rPr>
        <w:t xml:space="preserve"> </w:t>
      </w:r>
      <w:proofErr w:type="spellStart"/>
      <w:r w:rsidR="00F040BE" w:rsidRPr="00872D7E">
        <w:rPr>
          <w:szCs w:val="20"/>
        </w:rPr>
        <w:t>Gazete’de</w:t>
      </w:r>
      <w:proofErr w:type="spellEnd"/>
      <w:r w:rsidR="00F040BE" w:rsidRPr="00872D7E">
        <w:rPr>
          <w:szCs w:val="20"/>
        </w:rPr>
        <w:t xml:space="preserve"> </w:t>
      </w:r>
      <w:r w:rsidRPr="00872D7E">
        <w:rPr>
          <w:szCs w:val="20"/>
        </w:rPr>
        <w:t>yayımlanan “Bankaların Likidite Karşılama Oranı Hesaplamasına İlişki</w:t>
      </w:r>
      <w:r w:rsidR="00E832E2" w:rsidRPr="00872D7E">
        <w:rPr>
          <w:szCs w:val="20"/>
        </w:rPr>
        <w:t xml:space="preserve">n Yönetmelik” uyarınca </w:t>
      </w:r>
      <w:r w:rsidR="004A1B21" w:rsidRPr="00872D7E">
        <w:rPr>
          <w:szCs w:val="20"/>
        </w:rPr>
        <w:t>20</w:t>
      </w:r>
      <w:r w:rsidR="00396D37" w:rsidRPr="00872D7E">
        <w:rPr>
          <w:szCs w:val="20"/>
        </w:rPr>
        <w:t>2</w:t>
      </w:r>
      <w:r w:rsidR="0079358D" w:rsidRPr="00872D7E">
        <w:rPr>
          <w:szCs w:val="20"/>
        </w:rPr>
        <w:t>3</w:t>
      </w:r>
      <w:r w:rsidR="00651CDC" w:rsidRPr="00872D7E">
        <w:rPr>
          <w:szCs w:val="20"/>
        </w:rPr>
        <w:t>’</w:t>
      </w:r>
      <w:r w:rsidR="00396D37" w:rsidRPr="00872D7E">
        <w:rPr>
          <w:szCs w:val="20"/>
        </w:rPr>
        <w:t>nin</w:t>
      </w:r>
      <w:r w:rsidR="00651CDC" w:rsidRPr="00872D7E">
        <w:rPr>
          <w:szCs w:val="20"/>
        </w:rPr>
        <w:t xml:space="preserve"> </w:t>
      </w:r>
      <w:r w:rsidRPr="00872D7E">
        <w:rPr>
          <w:szCs w:val="20"/>
        </w:rPr>
        <w:t xml:space="preserve">son üç ayı için hesaplanan likidite karşılama oranlarının en yüksek ve en düşük olduğu </w:t>
      </w:r>
      <w:r w:rsidR="008E6022" w:rsidRPr="00872D7E">
        <w:rPr>
          <w:szCs w:val="20"/>
        </w:rPr>
        <w:t>tarihler</w:t>
      </w:r>
      <w:r w:rsidRPr="00872D7E">
        <w:rPr>
          <w:szCs w:val="20"/>
        </w:rPr>
        <w:t xml:space="preserve"> aşağıda verilmiştir.</w:t>
      </w:r>
    </w:p>
    <w:p w14:paraId="60F9A7BC" w14:textId="3129A8DF" w:rsidR="00862A01" w:rsidRPr="00872D7E" w:rsidRDefault="00862A01"/>
    <w:tbl>
      <w:tblPr>
        <w:tblW w:w="5000" w:type="pct"/>
        <w:tblCellMar>
          <w:left w:w="70" w:type="dxa"/>
          <w:right w:w="70" w:type="dxa"/>
        </w:tblCellMar>
        <w:tblLook w:val="04A0" w:firstRow="1" w:lastRow="0" w:firstColumn="1" w:lastColumn="0" w:noHBand="0" w:noVBand="1"/>
      </w:tblPr>
      <w:tblGrid>
        <w:gridCol w:w="5328"/>
        <w:gridCol w:w="2167"/>
        <w:gridCol w:w="2144"/>
      </w:tblGrid>
      <w:tr w:rsidR="00862A01" w:rsidRPr="00872D7E" w14:paraId="203ACBD3" w14:textId="77777777" w:rsidTr="00862A01">
        <w:trPr>
          <w:divId w:val="1031806958"/>
          <w:trHeight w:val="255"/>
        </w:trPr>
        <w:tc>
          <w:tcPr>
            <w:tcW w:w="2764" w:type="pct"/>
            <w:tcBorders>
              <w:top w:val="nil"/>
              <w:left w:val="nil"/>
              <w:bottom w:val="nil"/>
              <w:right w:val="nil"/>
            </w:tcBorders>
            <w:shd w:val="clear" w:color="auto" w:fill="auto"/>
            <w:noWrap/>
            <w:vAlign w:val="center"/>
            <w:hideMark/>
          </w:tcPr>
          <w:p w14:paraId="08D1D624" w14:textId="36DD4054" w:rsidR="00862A01" w:rsidRPr="00872D7E" w:rsidRDefault="00862A01" w:rsidP="00862A01">
            <w:pPr>
              <w:rPr>
                <w:b/>
                <w:bCs/>
                <w:color w:val="000000"/>
                <w:szCs w:val="20"/>
                <w:lang w:eastAsia="tr-TR"/>
              </w:rPr>
            </w:pPr>
            <w:r w:rsidRPr="00872D7E">
              <w:rPr>
                <w:b/>
                <w:bCs/>
                <w:color w:val="000000"/>
                <w:szCs w:val="20"/>
                <w:lang w:eastAsia="tr-TR"/>
              </w:rPr>
              <w:t>Likidite Karşılama Oranı (%)</w:t>
            </w:r>
          </w:p>
        </w:tc>
        <w:tc>
          <w:tcPr>
            <w:tcW w:w="2236" w:type="pct"/>
            <w:gridSpan w:val="2"/>
            <w:tcBorders>
              <w:top w:val="nil"/>
              <w:left w:val="nil"/>
              <w:bottom w:val="single" w:sz="4" w:space="0" w:color="auto"/>
              <w:right w:val="nil"/>
            </w:tcBorders>
            <w:shd w:val="clear" w:color="auto" w:fill="auto"/>
            <w:noWrap/>
            <w:vAlign w:val="center"/>
            <w:hideMark/>
          </w:tcPr>
          <w:p w14:paraId="7510CAA3" w14:textId="77777777" w:rsidR="00862A01" w:rsidRPr="00872D7E" w:rsidRDefault="00862A01" w:rsidP="00862A01">
            <w:pPr>
              <w:jc w:val="center"/>
              <w:rPr>
                <w:b/>
                <w:bCs/>
                <w:color w:val="000000"/>
                <w:szCs w:val="20"/>
                <w:lang w:eastAsia="tr-TR"/>
              </w:rPr>
            </w:pPr>
            <w:r w:rsidRPr="00872D7E">
              <w:rPr>
                <w:b/>
                <w:bCs/>
                <w:color w:val="000000"/>
                <w:szCs w:val="20"/>
                <w:lang w:eastAsia="tr-TR"/>
              </w:rPr>
              <w:t>1 Ocak 2024</w:t>
            </w:r>
          </w:p>
        </w:tc>
      </w:tr>
      <w:tr w:rsidR="00862A01" w:rsidRPr="00872D7E" w14:paraId="09CFA08C" w14:textId="77777777" w:rsidTr="00862A01">
        <w:trPr>
          <w:divId w:val="1031806958"/>
          <w:trHeight w:val="255"/>
        </w:trPr>
        <w:tc>
          <w:tcPr>
            <w:tcW w:w="2764" w:type="pct"/>
            <w:tcBorders>
              <w:top w:val="nil"/>
              <w:left w:val="nil"/>
              <w:bottom w:val="single" w:sz="4" w:space="0" w:color="auto"/>
              <w:right w:val="nil"/>
            </w:tcBorders>
            <w:shd w:val="clear" w:color="auto" w:fill="auto"/>
            <w:noWrap/>
            <w:vAlign w:val="bottom"/>
            <w:hideMark/>
          </w:tcPr>
          <w:p w14:paraId="0AAA13D4" w14:textId="77777777" w:rsidR="00862A01" w:rsidRPr="00872D7E" w:rsidRDefault="00862A01" w:rsidP="00862A01">
            <w:pPr>
              <w:rPr>
                <w:color w:val="000000"/>
                <w:szCs w:val="20"/>
                <w:lang w:eastAsia="tr-TR"/>
              </w:rPr>
            </w:pPr>
            <w:r w:rsidRPr="00872D7E">
              <w:rPr>
                <w:color w:val="000000"/>
                <w:szCs w:val="20"/>
                <w:lang w:eastAsia="tr-TR"/>
              </w:rPr>
              <w:t> </w:t>
            </w:r>
          </w:p>
        </w:tc>
        <w:tc>
          <w:tcPr>
            <w:tcW w:w="1124" w:type="pct"/>
            <w:tcBorders>
              <w:top w:val="nil"/>
              <w:left w:val="nil"/>
              <w:bottom w:val="single" w:sz="4" w:space="0" w:color="auto"/>
              <w:right w:val="nil"/>
            </w:tcBorders>
            <w:shd w:val="clear" w:color="auto" w:fill="auto"/>
            <w:noWrap/>
            <w:vAlign w:val="center"/>
            <w:hideMark/>
          </w:tcPr>
          <w:p w14:paraId="39C76C01" w14:textId="77777777" w:rsidR="00862A01" w:rsidRPr="00872D7E" w:rsidRDefault="00862A01" w:rsidP="00862A01">
            <w:pPr>
              <w:jc w:val="right"/>
              <w:rPr>
                <w:b/>
                <w:bCs/>
                <w:color w:val="000000"/>
                <w:szCs w:val="20"/>
                <w:lang w:eastAsia="tr-TR"/>
              </w:rPr>
            </w:pPr>
            <w:r w:rsidRPr="00872D7E">
              <w:rPr>
                <w:b/>
                <w:bCs/>
                <w:color w:val="000000"/>
                <w:szCs w:val="20"/>
                <w:lang w:eastAsia="tr-TR"/>
              </w:rPr>
              <w:t>TP+YP</w:t>
            </w:r>
          </w:p>
        </w:tc>
        <w:tc>
          <w:tcPr>
            <w:tcW w:w="1112" w:type="pct"/>
            <w:tcBorders>
              <w:top w:val="nil"/>
              <w:left w:val="nil"/>
              <w:bottom w:val="single" w:sz="4" w:space="0" w:color="auto"/>
              <w:right w:val="nil"/>
            </w:tcBorders>
            <w:shd w:val="clear" w:color="auto" w:fill="auto"/>
            <w:noWrap/>
            <w:vAlign w:val="center"/>
            <w:hideMark/>
          </w:tcPr>
          <w:p w14:paraId="328740D9" w14:textId="77777777" w:rsidR="00862A01" w:rsidRPr="00872D7E" w:rsidRDefault="00862A01" w:rsidP="00862A01">
            <w:pPr>
              <w:jc w:val="right"/>
              <w:rPr>
                <w:b/>
                <w:bCs/>
                <w:color w:val="000000"/>
                <w:szCs w:val="20"/>
                <w:lang w:eastAsia="tr-TR"/>
              </w:rPr>
            </w:pPr>
            <w:r w:rsidRPr="00872D7E">
              <w:rPr>
                <w:b/>
                <w:bCs/>
                <w:color w:val="000000"/>
                <w:szCs w:val="20"/>
                <w:lang w:eastAsia="tr-TR"/>
              </w:rPr>
              <w:t>YP</w:t>
            </w:r>
          </w:p>
        </w:tc>
      </w:tr>
      <w:tr w:rsidR="00862A01" w:rsidRPr="00872D7E" w14:paraId="1CE6D517" w14:textId="77777777" w:rsidTr="00862A01">
        <w:trPr>
          <w:divId w:val="1031806958"/>
          <w:trHeight w:val="255"/>
        </w:trPr>
        <w:tc>
          <w:tcPr>
            <w:tcW w:w="2764" w:type="pct"/>
            <w:tcBorders>
              <w:top w:val="nil"/>
              <w:left w:val="nil"/>
              <w:bottom w:val="nil"/>
              <w:right w:val="nil"/>
            </w:tcBorders>
            <w:shd w:val="clear" w:color="auto" w:fill="auto"/>
            <w:noWrap/>
            <w:vAlign w:val="center"/>
            <w:hideMark/>
          </w:tcPr>
          <w:p w14:paraId="7D4EDAEB" w14:textId="77777777" w:rsidR="00862A01" w:rsidRPr="00872D7E" w:rsidRDefault="00862A01" w:rsidP="00862A01">
            <w:pPr>
              <w:rPr>
                <w:color w:val="000000"/>
                <w:szCs w:val="20"/>
                <w:lang w:eastAsia="tr-TR"/>
              </w:rPr>
            </w:pPr>
            <w:r w:rsidRPr="00872D7E">
              <w:rPr>
                <w:color w:val="000000"/>
                <w:szCs w:val="20"/>
                <w:lang w:eastAsia="tr-TR"/>
              </w:rPr>
              <w:t>En Düşük</w:t>
            </w:r>
          </w:p>
        </w:tc>
        <w:tc>
          <w:tcPr>
            <w:tcW w:w="1124" w:type="pct"/>
            <w:tcBorders>
              <w:top w:val="nil"/>
              <w:left w:val="nil"/>
              <w:bottom w:val="nil"/>
              <w:right w:val="nil"/>
            </w:tcBorders>
            <w:shd w:val="clear" w:color="auto" w:fill="auto"/>
            <w:vAlign w:val="center"/>
            <w:hideMark/>
          </w:tcPr>
          <w:p w14:paraId="55317530" w14:textId="77777777" w:rsidR="00862A01" w:rsidRPr="00872D7E" w:rsidRDefault="00862A01" w:rsidP="00862A01">
            <w:pPr>
              <w:jc w:val="right"/>
              <w:rPr>
                <w:color w:val="000000"/>
                <w:szCs w:val="20"/>
                <w:lang w:eastAsia="tr-TR"/>
              </w:rPr>
            </w:pPr>
            <w:r w:rsidRPr="00872D7E">
              <w:rPr>
                <w:color w:val="000000"/>
                <w:szCs w:val="20"/>
                <w:lang w:eastAsia="tr-TR"/>
              </w:rPr>
              <w:t>8.361,50</w:t>
            </w:r>
          </w:p>
        </w:tc>
        <w:tc>
          <w:tcPr>
            <w:tcW w:w="1112" w:type="pct"/>
            <w:tcBorders>
              <w:top w:val="nil"/>
              <w:left w:val="nil"/>
              <w:bottom w:val="nil"/>
              <w:right w:val="nil"/>
            </w:tcBorders>
            <w:shd w:val="clear" w:color="auto" w:fill="auto"/>
            <w:vAlign w:val="center"/>
            <w:hideMark/>
          </w:tcPr>
          <w:p w14:paraId="65698A2D" w14:textId="77777777" w:rsidR="00862A01" w:rsidRPr="00872D7E" w:rsidRDefault="00862A01" w:rsidP="00862A01">
            <w:pPr>
              <w:jc w:val="right"/>
              <w:rPr>
                <w:color w:val="000000"/>
                <w:szCs w:val="20"/>
                <w:lang w:eastAsia="tr-TR"/>
              </w:rPr>
            </w:pPr>
            <w:r w:rsidRPr="00872D7E">
              <w:rPr>
                <w:color w:val="000000"/>
                <w:szCs w:val="20"/>
                <w:lang w:eastAsia="tr-TR"/>
              </w:rPr>
              <w:t>1.883,87</w:t>
            </w:r>
          </w:p>
        </w:tc>
      </w:tr>
      <w:tr w:rsidR="00862A01" w:rsidRPr="00872D7E" w14:paraId="3729A55B" w14:textId="77777777" w:rsidTr="00862A01">
        <w:trPr>
          <w:divId w:val="1031806958"/>
          <w:trHeight w:val="255"/>
        </w:trPr>
        <w:tc>
          <w:tcPr>
            <w:tcW w:w="2764" w:type="pct"/>
            <w:tcBorders>
              <w:top w:val="nil"/>
              <w:left w:val="nil"/>
              <w:bottom w:val="nil"/>
              <w:right w:val="nil"/>
            </w:tcBorders>
            <w:shd w:val="clear" w:color="auto" w:fill="auto"/>
            <w:noWrap/>
            <w:vAlign w:val="center"/>
            <w:hideMark/>
          </w:tcPr>
          <w:p w14:paraId="5E8986AE" w14:textId="77777777" w:rsidR="00862A01" w:rsidRPr="00872D7E" w:rsidRDefault="00862A01" w:rsidP="00862A01">
            <w:pPr>
              <w:rPr>
                <w:color w:val="000000"/>
                <w:szCs w:val="20"/>
                <w:lang w:eastAsia="tr-TR"/>
              </w:rPr>
            </w:pPr>
            <w:r w:rsidRPr="00872D7E">
              <w:rPr>
                <w:color w:val="000000"/>
                <w:szCs w:val="20"/>
                <w:lang w:eastAsia="tr-TR"/>
              </w:rPr>
              <w:t>Tarih</w:t>
            </w:r>
          </w:p>
        </w:tc>
        <w:tc>
          <w:tcPr>
            <w:tcW w:w="1124" w:type="pct"/>
            <w:tcBorders>
              <w:top w:val="nil"/>
              <w:left w:val="nil"/>
              <w:bottom w:val="nil"/>
              <w:right w:val="nil"/>
            </w:tcBorders>
            <w:shd w:val="clear" w:color="auto" w:fill="auto"/>
            <w:noWrap/>
            <w:vAlign w:val="center"/>
            <w:hideMark/>
          </w:tcPr>
          <w:p w14:paraId="5D00AB4F" w14:textId="77777777" w:rsidR="00862A01" w:rsidRPr="00872D7E" w:rsidRDefault="00862A01" w:rsidP="00862A01">
            <w:pPr>
              <w:jc w:val="right"/>
              <w:rPr>
                <w:color w:val="000000"/>
                <w:szCs w:val="20"/>
                <w:lang w:eastAsia="tr-TR"/>
              </w:rPr>
            </w:pPr>
            <w:r w:rsidRPr="00872D7E">
              <w:rPr>
                <w:color w:val="000000"/>
                <w:szCs w:val="20"/>
                <w:lang w:eastAsia="tr-TR"/>
              </w:rPr>
              <w:t>4 Aralık 2023</w:t>
            </w:r>
          </w:p>
        </w:tc>
        <w:tc>
          <w:tcPr>
            <w:tcW w:w="1112" w:type="pct"/>
            <w:tcBorders>
              <w:top w:val="nil"/>
              <w:left w:val="nil"/>
              <w:bottom w:val="nil"/>
              <w:right w:val="nil"/>
            </w:tcBorders>
            <w:shd w:val="clear" w:color="auto" w:fill="auto"/>
            <w:noWrap/>
            <w:vAlign w:val="center"/>
            <w:hideMark/>
          </w:tcPr>
          <w:p w14:paraId="7DB8D754" w14:textId="77777777" w:rsidR="00862A01" w:rsidRPr="00872D7E" w:rsidRDefault="00862A01" w:rsidP="00862A01">
            <w:pPr>
              <w:jc w:val="right"/>
              <w:rPr>
                <w:color w:val="000000"/>
                <w:szCs w:val="20"/>
                <w:lang w:eastAsia="tr-TR"/>
              </w:rPr>
            </w:pPr>
            <w:r w:rsidRPr="00872D7E">
              <w:rPr>
                <w:color w:val="000000"/>
                <w:szCs w:val="20"/>
                <w:lang w:eastAsia="tr-TR"/>
              </w:rPr>
              <w:t>2 Kasım 2023</w:t>
            </w:r>
          </w:p>
        </w:tc>
      </w:tr>
      <w:tr w:rsidR="00862A01" w:rsidRPr="00872D7E" w14:paraId="03CD3E71" w14:textId="77777777" w:rsidTr="00862A01">
        <w:trPr>
          <w:divId w:val="1031806958"/>
          <w:trHeight w:val="255"/>
        </w:trPr>
        <w:tc>
          <w:tcPr>
            <w:tcW w:w="2764" w:type="pct"/>
            <w:tcBorders>
              <w:top w:val="nil"/>
              <w:left w:val="nil"/>
              <w:bottom w:val="nil"/>
              <w:right w:val="nil"/>
            </w:tcBorders>
            <w:shd w:val="clear" w:color="auto" w:fill="auto"/>
            <w:noWrap/>
            <w:vAlign w:val="center"/>
            <w:hideMark/>
          </w:tcPr>
          <w:p w14:paraId="53B96701" w14:textId="77777777" w:rsidR="00862A01" w:rsidRPr="00872D7E" w:rsidRDefault="00862A01" w:rsidP="00862A01">
            <w:pPr>
              <w:rPr>
                <w:color w:val="000000"/>
                <w:szCs w:val="20"/>
                <w:lang w:eastAsia="tr-TR"/>
              </w:rPr>
            </w:pPr>
            <w:r w:rsidRPr="00872D7E">
              <w:rPr>
                <w:color w:val="000000"/>
                <w:szCs w:val="20"/>
                <w:lang w:eastAsia="tr-TR"/>
              </w:rPr>
              <w:t>En Yüksek</w:t>
            </w:r>
          </w:p>
        </w:tc>
        <w:tc>
          <w:tcPr>
            <w:tcW w:w="1124" w:type="pct"/>
            <w:tcBorders>
              <w:top w:val="nil"/>
              <w:left w:val="nil"/>
              <w:bottom w:val="nil"/>
              <w:right w:val="nil"/>
            </w:tcBorders>
            <w:shd w:val="clear" w:color="auto" w:fill="auto"/>
            <w:vAlign w:val="center"/>
            <w:hideMark/>
          </w:tcPr>
          <w:p w14:paraId="0AB16E21" w14:textId="77777777" w:rsidR="00862A01" w:rsidRPr="00872D7E" w:rsidRDefault="00862A01" w:rsidP="00862A01">
            <w:pPr>
              <w:jc w:val="right"/>
              <w:rPr>
                <w:color w:val="000000"/>
                <w:szCs w:val="20"/>
                <w:lang w:eastAsia="tr-TR"/>
              </w:rPr>
            </w:pPr>
            <w:r w:rsidRPr="00872D7E">
              <w:rPr>
                <w:color w:val="000000"/>
                <w:szCs w:val="20"/>
                <w:lang w:eastAsia="tr-TR"/>
              </w:rPr>
              <w:t>50.333,98</w:t>
            </w:r>
          </w:p>
        </w:tc>
        <w:tc>
          <w:tcPr>
            <w:tcW w:w="1112" w:type="pct"/>
            <w:tcBorders>
              <w:top w:val="nil"/>
              <w:left w:val="nil"/>
              <w:bottom w:val="nil"/>
              <w:right w:val="nil"/>
            </w:tcBorders>
            <w:shd w:val="clear" w:color="auto" w:fill="auto"/>
            <w:vAlign w:val="center"/>
            <w:hideMark/>
          </w:tcPr>
          <w:p w14:paraId="53DA9685" w14:textId="77777777" w:rsidR="00862A01" w:rsidRPr="00872D7E" w:rsidRDefault="00862A01" w:rsidP="00862A01">
            <w:pPr>
              <w:jc w:val="right"/>
              <w:rPr>
                <w:color w:val="000000"/>
                <w:szCs w:val="20"/>
                <w:lang w:eastAsia="tr-TR"/>
              </w:rPr>
            </w:pPr>
            <w:r w:rsidRPr="00872D7E">
              <w:rPr>
                <w:color w:val="000000"/>
                <w:szCs w:val="20"/>
                <w:lang w:eastAsia="tr-TR"/>
              </w:rPr>
              <w:t>29.800,00</w:t>
            </w:r>
          </w:p>
        </w:tc>
      </w:tr>
      <w:tr w:rsidR="00862A01" w:rsidRPr="00872D7E" w14:paraId="4073C617" w14:textId="77777777" w:rsidTr="00862A01">
        <w:trPr>
          <w:divId w:val="1031806958"/>
          <w:trHeight w:val="255"/>
        </w:trPr>
        <w:tc>
          <w:tcPr>
            <w:tcW w:w="2764" w:type="pct"/>
            <w:tcBorders>
              <w:top w:val="nil"/>
              <w:left w:val="nil"/>
              <w:bottom w:val="nil"/>
              <w:right w:val="nil"/>
            </w:tcBorders>
            <w:shd w:val="clear" w:color="auto" w:fill="auto"/>
            <w:noWrap/>
            <w:vAlign w:val="center"/>
            <w:hideMark/>
          </w:tcPr>
          <w:p w14:paraId="73E12B85" w14:textId="77777777" w:rsidR="00862A01" w:rsidRPr="00872D7E" w:rsidRDefault="00862A01" w:rsidP="00862A01">
            <w:pPr>
              <w:rPr>
                <w:color w:val="000000"/>
                <w:szCs w:val="20"/>
                <w:lang w:eastAsia="tr-TR"/>
              </w:rPr>
            </w:pPr>
            <w:r w:rsidRPr="00872D7E">
              <w:rPr>
                <w:color w:val="000000"/>
                <w:szCs w:val="20"/>
                <w:lang w:eastAsia="tr-TR"/>
              </w:rPr>
              <w:t>Tarih</w:t>
            </w:r>
          </w:p>
        </w:tc>
        <w:tc>
          <w:tcPr>
            <w:tcW w:w="1124" w:type="pct"/>
            <w:tcBorders>
              <w:top w:val="nil"/>
              <w:left w:val="nil"/>
              <w:bottom w:val="nil"/>
              <w:right w:val="nil"/>
            </w:tcBorders>
            <w:shd w:val="clear" w:color="auto" w:fill="auto"/>
            <w:noWrap/>
            <w:vAlign w:val="center"/>
            <w:hideMark/>
          </w:tcPr>
          <w:p w14:paraId="204F8F8B" w14:textId="77777777" w:rsidR="00862A01" w:rsidRPr="00872D7E" w:rsidRDefault="00862A01" w:rsidP="00862A01">
            <w:pPr>
              <w:jc w:val="right"/>
              <w:rPr>
                <w:color w:val="000000"/>
                <w:szCs w:val="20"/>
                <w:lang w:eastAsia="tr-TR"/>
              </w:rPr>
            </w:pPr>
            <w:r w:rsidRPr="00872D7E">
              <w:rPr>
                <w:color w:val="000000"/>
                <w:szCs w:val="20"/>
                <w:lang w:eastAsia="tr-TR"/>
              </w:rPr>
              <w:t>27 Aralık 2023</w:t>
            </w:r>
          </w:p>
        </w:tc>
        <w:tc>
          <w:tcPr>
            <w:tcW w:w="1112" w:type="pct"/>
            <w:tcBorders>
              <w:top w:val="nil"/>
              <w:left w:val="nil"/>
              <w:bottom w:val="nil"/>
              <w:right w:val="nil"/>
            </w:tcBorders>
            <w:shd w:val="clear" w:color="auto" w:fill="auto"/>
            <w:noWrap/>
            <w:vAlign w:val="center"/>
            <w:hideMark/>
          </w:tcPr>
          <w:p w14:paraId="274295A6" w14:textId="77777777" w:rsidR="00862A01" w:rsidRPr="00872D7E" w:rsidRDefault="00862A01" w:rsidP="00862A01">
            <w:pPr>
              <w:jc w:val="right"/>
              <w:rPr>
                <w:color w:val="000000"/>
                <w:szCs w:val="20"/>
                <w:lang w:eastAsia="tr-TR"/>
              </w:rPr>
            </w:pPr>
            <w:r w:rsidRPr="00872D7E">
              <w:rPr>
                <w:color w:val="000000"/>
                <w:szCs w:val="20"/>
                <w:lang w:eastAsia="tr-TR"/>
              </w:rPr>
              <w:t>15 Kasım 2023</w:t>
            </w:r>
          </w:p>
        </w:tc>
      </w:tr>
      <w:tr w:rsidR="00862A01" w:rsidRPr="00872D7E" w14:paraId="04A9B439" w14:textId="77777777" w:rsidTr="00862A01">
        <w:trPr>
          <w:divId w:val="1031806958"/>
          <w:trHeight w:val="255"/>
        </w:trPr>
        <w:tc>
          <w:tcPr>
            <w:tcW w:w="2764" w:type="pct"/>
            <w:tcBorders>
              <w:top w:val="nil"/>
              <w:left w:val="nil"/>
              <w:bottom w:val="single" w:sz="4" w:space="0" w:color="auto"/>
              <w:right w:val="nil"/>
            </w:tcBorders>
            <w:shd w:val="clear" w:color="auto" w:fill="auto"/>
            <w:noWrap/>
            <w:vAlign w:val="center"/>
            <w:hideMark/>
          </w:tcPr>
          <w:p w14:paraId="34833074" w14:textId="77777777" w:rsidR="00862A01" w:rsidRPr="00872D7E" w:rsidRDefault="00862A01" w:rsidP="00862A01">
            <w:pPr>
              <w:rPr>
                <w:color w:val="000000"/>
                <w:szCs w:val="20"/>
                <w:lang w:eastAsia="tr-TR"/>
              </w:rPr>
            </w:pPr>
            <w:r w:rsidRPr="00872D7E">
              <w:rPr>
                <w:color w:val="000000"/>
                <w:szCs w:val="20"/>
                <w:lang w:eastAsia="tr-TR"/>
              </w:rPr>
              <w:t>Ortalama</w:t>
            </w:r>
          </w:p>
        </w:tc>
        <w:tc>
          <w:tcPr>
            <w:tcW w:w="1124" w:type="pct"/>
            <w:tcBorders>
              <w:top w:val="nil"/>
              <w:left w:val="nil"/>
              <w:bottom w:val="single" w:sz="4" w:space="0" w:color="auto"/>
              <w:right w:val="nil"/>
            </w:tcBorders>
            <w:shd w:val="clear" w:color="auto" w:fill="auto"/>
            <w:noWrap/>
            <w:vAlign w:val="center"/>
            <w:hideMark/>
          </w:tcPr>
          <w:p w14:paraId="27E6B2A6" w14:textId="77777777" w:rsidR="00862A01" w:rsidRPr="00872D7E" w:rsidRDefault="00862A01" w:rsidP="00862A01">
            <w:pPr>
              <w:jc w:val="right"/>
              <w:rPr>
                <w:color w:val="000000"/>
                <w:szCs w:val="20"/>
                <w:lang w:eastAsia="tr-TR"/>
              </w:rPr>
            </w:pPr>
            <w:r w:rsidRPr="00872D7E">
              <w:rPr>
                <w:color w:val="000000"/>
                <w:szCs w:val="20"/>
                <w:lang w:eastAsia="tr-TR"/>
              </w:rPr>
              <w:t>17.858,73</w:t>
            </w:r>
          </w:p>
        </w:tc>
        <w:tc>
          <w:tcPr>
            <w:tcW w:w="1112" w:type="pct"/>
            <w:tcBorders>
              <w:top w:val="nil"/>
              <w:left w:val="nil"/>
              <w:bottom w:val="single" w:sz="4" w:space="0" w:color="auto"/>
              <w:right w:val="nil"/>
            </w:tcBorders>
            <w:shd w:val="clear" w:color="auto" w:fill="auto"/>
            <w:noWrap/>
            <w:vAlign w:val="center"/>
            <w:hideMark/>
          </w:tcPr>
          <w:p w14:paraId="58606258" w14:textId="77777777" w:rsidR="00862A01" w:rsidRPr="00872D7E" w:rsidRDefault="00862A01" w:rsidP="00862A01">
            <w:pPr>
              <w:jc w:val="right"/>
              <w:rPr>
                <w:color w:val="000000"/>
                <w:szCs w:val="20"/>
                <w:lang w:eastAsia="tr-TR"/>
              </w:rPr>
            </w:pPr>
            <w:r w:rsidRPr="00872D7E">
              <w:rPr>
                <w:color w:val="000000"/>
                <w:szCs w:val="20"/>
                <w:lang w:eastAsia="tr-TR"/>
              </w:rPr>
              <w:t>7.234,51</w:t>
            </w:r>
          </w:p>
        </w:tc>
      </w:tr>
    </w:tbl>
    <w:p w14:paraId="45AFD34A" w14:textId="0C624625" w:rsidR="00263A00" w:rsidRPr="00872D7E" w:rsidRDefault="00263A00">
      <w:pPr>
        <w:rPr>
          <w:rFonts w:eastAsia="Calibri"/>
          <w:szCs w:val="20"/>
        </w:rPr>
      </w:pPr>
      <w:r w:rsidRPr="00872D7E">
        <w:rPr>
          <w:rFonts w:eastAsia="Calibri"/>
          <w:szCs w:val="20"/>
        </w:rPr>
        <w:br w:type="page"/>
      </w:r>
    </w:p>
    <w:p w14:paraId="46C99033" w14:textId="1C96A620" w:rsidR="006218A8" w:rsidRPr="00872D7E" w:rsidRDefault="006218A8" w:rsidP="00577525">
      <w:pPr>
        <w:pStyle w:val="BodyTextIndent"/>
        <w:widowControl w:val="0"/>
        <w:spacing w:after="120" w:line="235" w:lineRule="auto"/>
        <w:ind w:firstLine="0"/>
        <w:jc w:val="left"/>
        <w:rPr>
          <w:b/>
          <w:szCs w:val="20"/>
        </w:rPr>
      </w:pPr>
      <w:r w:rsidRPr="00872D7E">
        <w:rPr>
          <w:b/>
          <w:szCs w:val="20"/>
        </w:rPr>
        <w:lastRenderedPageBreak/>
        <w:t>MALİ BÜNYEYE VE RİSK YÖNETİMİNE İLİŞKİN BİLGİLER (Devamı)</w:t>
      </w:r>
    </w:p>
    <w:p w14:paraId="7C161E5F" w14:textId="413A5511" w:rsidR="00AA12B1" w:rsidRPr="00872D7E" w:rsidRDefault="00AA12B1" w:rsidP="00AA12B1">
      <w:pPr>
        <w:widowControl w:val="0"/>
        <w:autoSpaceDE w:val="0"/>
        <w:autoSpaceDN w:val="0"/>
        <w:adjustRightInd w:val="0"/>
        <w:ind w:left="851" w:hanging="851"/>
        <w:rPr>
          <w:b/>
          <w:szCs w:val="20"/>
        </w:rPr>
      </w:pPr>
      <w:r w:rsidRPr="00872D7E">
        <w:rPr>
          <w:b/>
          <w:szCs w:val="20"/>
        </w:rPr>
        <w:t>V.</w:t>
      </w:r>
      <w:r w:rsidRPr="00872D7E">
        <w:rPr>
          <w:b/>
          <w:szCs w:val="20"/>
        </w:rPr>
        <w:tab/>
        <w:t>LİKİDİTE RİSKİNE İLİŞKİN AÇIKLAMALAR (Devamı)</w:t>
      </w:r>
    </w:p>
    <w:p w14:paraId="2341CF2D" w14:textId="77777777" w:rsidR="00AA12B1" w:rsidRPr="00872D7E" w:rsidRDefault="00AA12B1" w:rsidP="00706ECA">
      <w:pPr>
        <w:pStyle w:val="BodyTextIndent"/>
        <w:widowControl w:val="0"/>
        <w:ind w:firstLine="0"/>
        <w:rPr>
          <w:b/>
          <w:sz w:val="16"/>
          <w:szCs w:val="16"/>
        </w:rPr>
      </w:pPr>
    </w:p>
    <w:p w14:paraId="556A624B" w14:textId="779827F5" w:rsidR="008E4144" w:rsidRPr="00872D7E" w:rsidRDefault="002C6E36" w:rsidP="00706ECA">
      <w:pPr>
        <w:pStyle w:val="BodyTextIndent"/>
        <w:widowControl w:val="0"/>
        <w:ind w:firstLine="0"/>
        <w:rPr>
          <w:b/>
          <w:szCs w:val="20"/>
        </w:rPr>
      </w:pPr>
      <w:r w:rsidRPr="00872D7E">
        <w:rPr>
          <w:b/>
          <w:szCs w:val="20"/>
        </w:rPr>
        <w:t>Aktif ve pasif kalemlerin kalan vadelerine göre gösterimi</w:t>
      </w:r>
    </w:p>
    <w:p w14:paraId="5339C00A" w14:textId="69EEE208" w:rsidR="00862A01" w:rsidRPr="00872D7E" w:rsidRDefault="00862A01" w:rsidP="009F6E11">
      <w:pPr>
        <w:widowControl w:val="0"/>
        <w:tabs>
          <w:tab w:val="left" w:pos="224"/>
          <w:tab w:val="left" w:pos="284"/>
        </w:tabs>
        <w:ind w:left="238" w:right="-194" w:hanging="238"/>
        <w:jc w:val="both"/>
        <w:rPr>
          <w:sz w:val="14"/>
          <w:szCs w:val="14"/>
        </w:rPr>
      </w:pPr>
    </w:p>
    <w:tbl>
      <w:tblPr>
        <w:tblW w:w="5098" w:type="pct"/>
        <w:tblLayout w:type="fixed"/>
        <w:tblCellMar>
          <w:left w:w="70" w:type="dxa"/>
          <w:right w:w="70" w:type="dxa"/>
        </w:tblCellMar>
        <w:tblLook w:val="04A0" w:firstRow="1" w:lastRow="0" w:firstColumn="1" w:lastColumn="0" w:noHBand="0" w:noVBand="1"/>
      </w:tblPr>
      <w:tblGrid>
        <w:gridCol w:w="2267"/>
        <w:gridCol w:w="946"/>
        <w:gridCol w:w="946"/>
        <w:gridCol w:w="946"/>
        <w:gridCol w:w="945"/>
        <w:gridCol w:w="945"/>
        <w:gridCol w:w="945"/>
        <w:gridCol w:w="945"/>
        <w:gridCol w:w="943"/>
      </w:tblGrid>
      <w:tr w:rsidR="00862A01" w:rsidRPr="00872D7E" w14:paraId="64C3A8CB" w14:textId="77777777" w:rsidTr="00394E48">
        <w:trPr>
          <w:divId w:val="1183666511"/>
          <w:trHeight w:val="170"/>
        </w:trPr>
        <w:tc>
          <w:tcPr>
            <w:tcW w:w="1153" w:type="pct"/>
            <w:tcBorders>
              <w:top w:val="single" w:sz="2" w:space="0" w:color="auto"/>
              <w:left w:val="nil"/>
              <w:bottom w:val="single" w:sz="4" w:space="0" w:color="auto"/>
              <w:right w:val="nil"/>
            </w:tcBorders>
            <w:shd w:val="clear" w:color="auto" w:fill="auto"/>
            <w:vAlign w:val="center"/>
            <w:hideMark/>
          </w:tcPr>
          <w:p w14:paraId="6A6E9754" w14:textId="38A9554A" w:rsidR="00862A01" w:rsidRPr="00872D7E" w:rsidRDefault="00862A01" w:rsidP="00862A01">
            <w:pPr>
              <w:rPr>
                <w:b/>
                <w:bCs/>
                <w:color w:val="000000"/>
                <w:sz w:val="16"/>
                <w:szCs w:val="16"/>
              </w:rPr>
            </w:pPr>
            <w:r w:rsidRPr="00872D7E">
              <w:rPr>
                <w:b/>
                <w:bCs/>
                <w:color w:val="000000"/>
                <w:sz w:val="16"/>
                <w:szCs w:val="16"/>
              </w:rPr>
              <w:t>31 Aralık 2024</w:t>
            </w:r>
          </w:p>
        </w:tc>
        <w:tc>
          <w:tcPr>
            <w:tcW w:w="481" w:type="pct"/>
            <w:tcBorders>
              <w:top w:val="single" w:sz="2" w:space="0" w:color="auto"/>
              <w:left w:val="nil"/>
              <w:bottom w:val="single" w:sz="4" w:space="0" w:color="auto"/>
              <w:right w:val="nil"/>
            </w:tcBorders>
            <w:shd w:val="clear" w:color="auto" w:fill="auto"/>
            <w:vAlign w:val="bottom"/>
            <w:hideMark/>
          </w:tcPr>
          <w:p w14:paraId="2FB05DDD" w14:textId="77777777" w:rsidR="00862A01" w:rsidRPr="00872D7E" w:rsidRDefault="00862A01" w:rsidP="00394E48">
            <w:pPr>
              <w:jc w:val="right"/>
              <w:rPr>
                <w:b/>
                <w:bCs/>
                <w:snapToGrid w:val="0"/>
                <w:color w:val="000000"/>
                <w:sz w:val="16"/>
                <w:szCs w:val="16"/>
                <w:vertAlign w:val="superscript"/>
              </w:rPr>
            </w:pPr>
            <w:r w:rsidRPr="00872D7E">
              <w:rPr>
                <w:b/>
                <w:bCs/>
                <w:snapToGrid w:val="0"/>
                <w:color w:val="000000"/>
                <w:sz w:val="16"/>
                <w:szCs w:val="16"/>
              </w:rPr>
              <w:t>Vadesiz</w:t>
            </w:r>
          </w:p>
        </w:tc>
        <w:tc>
          <w:tcPr>
            <w:tcW w:w="481" w:type="pct"/>
            <w:tcBorders>
              <w:top w:val="single" w:sz="2" w:space="0" w:color="auto"/>
              <w:left w:val="nil"/>
              <w:bottom w:val="single" w:sz="4" w:space="0" w:color="auto"/>
              <w:right w:val="nil"/>
            </w:tcBorders>
            <w:shd w:val="clear" w:color="auto" w:fill="auto"/>
            <w:vAlign w:val="bottom"/>
            <w:hideMark/>
          </w:tcPr>
          <w:p w14:paraId="1C0DB3CA" w14:textId="77777777" w:rsidR="00862A01" w:rsidRPr="00872D7E" w:rsidRDefault="00862A01" w:rsidP="00394E48">
            <w:pPr>
              <w:jc w:val="right"/>
              <w:rPr>
                <w:b/>
                <w:bCs/>
                <w:color w:val="000000"/>
                <w:sz w:val="16"/>
                <w:szCs w:val="16"/>
              </w:rPr>
            </w:pPr>
            <w:r w:rsidRPr="00872D7E">
              <w:rPr>
                <w:b/>
                <w:bCs/>
                <w:color w:val="000000"/>
                <w:sz w:val="16"/>
                <w:szCs w:val="16"/>
              </w:rPr>
              <w:t>1 Aya Kadar</w:t>
            </w:r>
          </w:p>
        </w:tc>
        <w:tc>
          <w:tcPr>
            <w:tcW w:w="481" w:type="pct"/>
            <w:tcBorders>
              <w:top w:val="single" w:sz="2" w:space="0" w:color="auto"/>
              <w:left w:val="nil"/>
              <w:bottom w:val="single" w:sz="4" w:space="0" w:color="auto"/>
              <w:right w:val="nil"/>
            </w:tcBorders>
            <w:shd w:val="clear" w:color="auto" w:fill="auto"/>
            <w:vAlign w:val="bottom"/>
            <w:hideMark/>
          </w:tcPr>
          <w:p w14:paraId="54B71151" w14:textId="77777777" w:rsidR="00862A01" w:rsidRPr="00872D7E" w:rsidRDefault="00862A01" w:rsidP="00394E48">
            <w:pPr>
              <w:jc w:val="right"/>
              <w:rPr>
                <w:b/>
                <w:bCs/>
                <w:color w:val="000000"/>
                <w:sz w:val="16"/>
                <w:szCs w:val="16"/>
              </w:rPr>
            </w:pPr>
            <w:r w:rsidRPr="00872D7E">
              <w:rPr>
                <w:b/>
                <w:bCs/>
                <w:snapToGrid w:val="0"/>
                <w:color w:val="000000"/>
                <w:sz w:val="16"/>
                <w:szCs w:val="16"/>
              </w:rPr>
              <w:t>1-3 Ay</w:t>
            </w:r>
          </w:p>
        </w:tc>
        <w:tc>
          <w:tcPr>
            <w:tcW w:w="481" w:type="pct"/>
            <w:tcBorders>
              <w:top w:val="single" w:sz="2" w:space="0" w:color="auto"/>
              <w:left w:val="nil"/>
              <w:bottom w:val="single" w:sz="4" w:space="0" w:color="auto"/>
              <w:right w:val="nil"/>
            </w:tcBorders>
            <w:shd w:val="clear" w:color="auto" w:fill="auto"/>
            <w:vAlign w:val="bottom"/>
            <w:hideMark/>
          </w:tcPr>
          <w:p w14:paraId="0E202E77" w14:textId="77777777" w:rsidR="00862A01" w:rsidRPr="00872D7E" w:rsidRDefault="00862A01" w:rsidP="00394E48">
            <w:pPr>
              <w:jc w:val="right"/>
              <w:rPr>
                <w:b/>
                <w:bCs/>
                <w:color w:val="000000"/>
                <w:sz w:val="16"/>
                <w:szCs w:val="16"/>
              </w:rPr>
            </w:pPr>
            <w:r w:rsidRPr="00872D7E">
              <w:rPr>
                <w:b/>
                <w:bCs/>
                <w:snapToGrid w:val="0"/>
                <w:color w:val="000000"/>
                <w:sz w:val="16"/>
                <w:szCs w:val="16"/>
              </w:rPr>
              <w:t>3-12 Ay</w:t>
            </w:r>
          </w:p>
        </w:tc>
        <w:tc>
          <w:tcPr>
            <w:tcW w:w="481" w:type="pct"/>
            <w:tcBorders>
              <w:top w:val="single" w:sz="2" w:space="0" w:color="auto"/>
              <w:left w:val="nil"/>
              <w:bottom w:val="single" w:sz="4" w:space="0" w:color="auto"/>
              <w:right w:val="nil"/>
            </w:tcBorders>
            <w:shd w:val="clear" w:color="auto" w:fill="auto"/>
            <w:vAlign w:val="bottom"/>
            <w:hideMark/>
          </w:tcPr>
          <w:p w14:paraId="03A33D23" w14:textId="77777777" w:rsidR="00862A01" w:rsidRPr="00872D7E" w:rsidRDefault="00862A01" w:rsidP="00394E48">
            <w:pPr>
              <w:jc w:val="right"/>
              <w:rPr>
                <w:b/>
                <w:bCs/>
                <w:color w:val="000000"/>
                <w:sz w:val="16"/>
                <w:szCs w:val="16"/>
              </w:rPr>
            </w:pPr>
            <w:r w:rsidRPr="00872D7E">
              <w:rPr>
                <w:b/>
                <w:bCs/>
                <w:snapToGrid w:val="0"/>
                <w:color w:val="000000"/>
                <w:sz w:val="16"/>
                <w:szCs w:val="16"/>
              </w:rPr>
              <w:t>1-5 Yıl</w:t>
            </w:r>
          </w:p>
        </w:tc>
        <w:tc>
          <w:tcPr>
            <w:tcW w:w="481" w:type="pct"/>
            <w:tcBorders>
              <w:top w:val="single" w:sz="2" w:space="0" w:color="auto"/>
              <w:left w:val="nil"/>
              <w:bottom w:val="single" w:sz="4" w:space="0" w:color="auto"/>
              <w:right w:val="nil"/>
            </w:tcBorders>
            <w:shd w:val="clear" w:color="auto" w:fill="auto"/>
            <w:vAlign w:val="bottom"/>
            <w:hideMark/>
          </w:tcPr>
          <w:p w14:paraId="286D1A25" w14:textId="77777777" w:rsidR="00862A01" w:rsidRPr="00872D7E" w:rsidRDefault="00862A01" w:rsidP="00394E48">
            <w:pPr>
              <w:jc w:val="right"/>
              <w:rPr>
                <w:b/>
                <w:bCs/>
                <w:color w:val="000000"/>
                <w:sz w:val="16"/>
                <w:szCs w:val="16"/>
              </w:rPr>
            </w:pPr>
            <w:r w:rsidRPr="00872D7E">
              <w:rPr>
                <w:b/>
                <w:bCs/>
                <w:snapToGrid w:val="0"/>
                <w:color w:val="000000"/>
                <w:sz w:val="16"/>
                <w:szCs w:val="16"/>
              </w:rPr>
              <w:t>5 Yıl ve Üzeri</w:t>
            </w:r>
          </w:p>
        </w:tc>
        <w:tc>
          <w:tcPr>
            <w:tcW w:w="481" w:type="pct"/>
            <w:tcBorders>
              <w:top w:val="single" w:sz="2" w:space="0" w:color="auto"/>
              <w:left w:val="nil"/>
              <w:bottom w:val="single" w:sz="4" w:space="0" w:color="auto"/>
              <w:right w:val="nil"/>
            </w:tcBorders>
            <w:shd w:val="clear" w:color="auto" w:fill="auto"/>
            <w:vAlign w:val="bottom"/>
            <w:hideMark/>
          </w:tcPr>
          <w:p w14:paraId="7C90BA48" w14:textId="77777777" w:rsidR="00862A01" w:rsidRPr="00872D7E" w:rsidRDefault="00862A01" w:rsidP="00394E48">
            <w:pPr>
              <w:jc w:val="right"/>
              <w:rPr>
                <w:b/>
                <w:bCs/>
                <w:color w:val="000000"/>
                <w:sz w:val="16"/>
                <w:szCs w:val="16"/>
              </w:rPr>
            </w:pPr>
            <w:r w:rsidRPr="00872D7E">
              <w:rPr>
                <w:b/>
                <w:bCs/>
                <w:snapToGrid w:val="0"/>
                <w:color w:val="000000"/>
                <w:sz w:val="16"/>
                <w:szCs w:val="16"/>
              </w:rPr>
              <w:t>Dağıtılamayan</w:t>
            </w:r>
          </w:p>
        </w:tc>
        <w:tc>
          <w:tcPr>
            <w:tcW w:w="481" w:type="pct"/>
            <w:tcBorders>
              <w:top w:val="single" w:sz="2" w:space="0" w:color="auto"/>
              <w:left w:val="nil"/>
              <w:bottom w:val="single" w:sz="4" w:space="0" w:color="auto"/>
              <w:right w:val="nil"/>
            </w:tcBorders>
            <w:shd w:val="clear" w:color="auto" w:fill="auto"/>
            <w:vAlign w:val="bottom"/>
            <w:hideMark/>
          </w:tcPr>
          <w:p w14:paraId="574748E0" w14:textId="77777777" w:rsidR="00862A01" w:rsidRPr="00872D7E" w:rsidRDefault="00862A01" w:rsidP="00394E48">
            <w:pPr>
              <w:jc w:val="right"/>
              <w:rPr>
                <w:b/>
                <w:bCs/>
                <w:color w:val="000000"/>
                <w:sz w:val="16"/>
                <w:szCs w:val="16"/>
              </w:rPr>
            </w:pPr>
            <w:r w:rsidRPr="00872D7E">
              <w:rPr>
                <w:b/>
                <w:bCs/>
                <w:snapToGrid w:val="0"/>
                <w:color w:val="000000"/>
                <w:sz w:val="16"/>
                <w:szCs w:val="16"/>
              </w:rPr>
              <w:t>Toplam</w:t>
            </w:r>
          </w:p>
        </w:tc>
      </w:tr>
      <w:tr w:rsidR="00862A01" w:rsidRPr="00872D7E" w14:paraId="2904032A" w14:textId="77777777" w:rsidTr="00394E48">
        <w:trPr>
          <w:divId w:val="1183666511"/>
          <w:trHeight w:val="170"/>
        </w:trPr>
        <w:tc>
          <w:tcPr>
            <w:tcW w:w="1153" w:type="pct"/>
            <w:tcBorders>
              <w:top w:val="nil"/>
              <w:left w:val="nil"/>
              <w:bottom w:val="nil"/>
              <w:right w:val="nil"/>
            </w:tcBorders>
            <w:shd w:val="clear" w:color="auto" w:fill="auto"/>
            <w:hideMark/>
          </w:tcPr>
          <w:p w14:paraId="412F5168" w14:textId="77777777" w:rsidR="00862A01" w:rsidRPr="00872D7E" w:rsidRDefault="00862A01" w:rsidP="00862A01">
            <w:pPr>
              <w:jc w:val="center"/>
              <w:rPr>
                <w:b/>
                <w:bCs/>
                <w:color w:val="000000"/>
                <w:sz w:val="16"/>
                <w:szCs w:val="16"/>
              </w:rPr>
            </w:pPr>
          </w:p>
        </w:tc>
        <w:tc>
          <w:tcPr>
            <w:tcW w:w="481" w:type="pct"/>
            <w:tcBorders>
              <w:top w:val="nil"/>
              <w:left w:val="nil"/>
              <w:bottom w:val="nil"/>
              <w:right w:val="nil"/>
            </w:tcBorders>
            <w:shd w:val="clear" w:color="auto" w:fill="auto"/>
            <w:noWrap/>
            <w:vAlign w:val="bottom"/>
            <w:hideMark/>
          </w:tcPr>
          <w:p w14:paraId="4F52DE91"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39314E12"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338CE9DF"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3FF4E7F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3174451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548BC3C5"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10E247CB"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53E8E773" w14:textId="77777777" w:rsidR="00862A01" w:rsidRPr="00872D7E" w:rsidRDefault="00862A01" w:rsidP="00394E48">
            <w:pPr>
              <w:jc w:val="right"/>
              <w:rPr>
                <w:sz w:val="16"/>
                <w:szCs w:val="16"/>
              </w:rPr>
            </w:pPr>
          </w:p>
        </w:tc>
      </w:tr>
      <w:tr w:rsidR="00862A01" w:rsidRPr="00872D7E" w14:paraId="0584E435"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19FA3AAD" w14:textId="77777777" w:rsidR="00862A01" w:rsidRPr="00872D7E" w:rsidRDefault="00862A01" w:rsidP="00862A01">
            <w:pPr>
              <w:rPr>
                <w:b/>
                <w:bCs/>
                <w:color w:val="000000"/>
                <w:sz w:val="16"/>
                <w:szCs w:val="16"/>
              </w:rPr>
            </w:pPr>
            <w:r w:rsidRPr="00872D7E">
              <w:rPr>
                <w:b/>
                <w:bCs/>
                <w:color w:val="000000"/>
                <w:sz w:val="16"/>
                <w:szCs w:val="16"/>
              </w:rPr>
              <w:t>Varlıklar</w:t>
            </w:r>
          </w:p>
        </w:tc>
        <w:tc>
          <w:tcPr>
            <w:tcW w:w="481" w:type="pct"/>
            <w:tcBorders>
              <w:top w:val="nil"/>
              <w:left w:val="nil"/>
              <w:bottom w:val="nil"/>
              <w:right w:val="nil"/>
            </w:tcBorders>
            <w:shd w:val="clear" w:color="auto" w:fill="auto"/>
            <w:noWrap/>
            <w:vAlign w:val="bottom"/>
            <w:hideMark/>
          </w:tcPr>
          <w:p w14:paraId="2FA9BF36" w14:textId="77777777" w:rsidR="00862A01" w:rsidRPr="00872D7E" w:rsidRDefault="00862A01" w:rsidP="00394E48">
            <w:pPr>
              <w:jc w:val="right"/>
              <w:rPr>
                <w:b/>
                <w:bCs/>
                <w:color w:val="000000"/>
                <w:sz w:val="16"/>
                <w:szCs w:val="16"/>
              </w:rPr>
            </w:pPr>
          </w:p>
        </w:tc>
        <w:tc>
          <w:tcPr>
            <w:tcW w:w="481" w:type="pct"/>
            <w:tcBorders>
              <w:top w:val="nil"/>
              <w:left w:val="nil"/>
              <w:bottom w:val="nil"/>
              <w:right w:val="nil"/>
            </w:tcBorders>
            <w:shd w:val="clear" w:color="auto" w:fill="auto"/>
            <w:noWrap/>
            <w:vAlign w:val="bottom"/>
            <w:hideMark/>
          </w:tcPr>
          <w:p w14:paraId="1E195595"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4CF4FC3C"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6D7D7218"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008EFCEE"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0889F3D5"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2F5BDCC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noWrap/>
            <w:vAlign w:val="bottom"/>
            <w:hideMark/>
          </w:tcPr>
          <w:p w14:paraId="72320F61" w14:textId="77777777" w:rsidR="00862A01" w:rsidRPr="00872D7E" w:rsidRDefault="00862A01" w:rsidP="00394E48">
            <w:pPr>
              <w:jc w:val="right"/>
              <w:rPr>
                <w:sz w:val="16"/>
                <w:szCs w:val="16"/>
              </w:rPr>
            </w:pPr>
          </w:p>
        </w:tc>
      </w:tr>
      <w:tr w:rsidR="00862A01" w:rsidRPr="00872D7E" w14:paraId="47128BC8"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56336699" w14:textId="77777777" w:rsidR="00862A01" w:rsidRPr="00872D7E" w:rsidRDefault="00862A01" w:rsidP="00862A01">
            <w:pPr>
              <w:rPr>
                <w:color w:val="000000"/>
                <w:sz w:val="16"/>
                <w:szCs w:val="16"/>
              </w:rPr>
            </w:pPr>
            <w:r w:rsidRPr="00872D7E">
              <w:rPr>
                <w:snapToGrid w:val="0"/>
                <w:color w:val="000000"/>
                <w:sz w:val="16"/>
                <w:szCs w:val="16"/>
              </w:rPr>
              <w:t>Nakit Değerler (Kasa, Efektif Deposu, Yoldaki Paralar, Satın Alınan Çekler) ve TCMB</w:t>
            </w:r>
          </w:p>
        </w:tc>
        <w:tc>
          <w:tcPr>
            <w:tcW w:w="481" w:type="pct"/>
            <w:tcBorders>
              <w:top w:val="nil"/>
              <w:left w:val="nil"/>
              <w:bottom w:val="nil"/>
              <w:right w:val="nil"/>
            </w:tcBorders>
            <w:shd w:val="clear" w:color="auto" w:fill="auto"/>
            <w:vAlign w:val="bottom"/>
            <w:hideMark/>
          </w:tcPr>
          <w:p w14:paraId="0CF3CEE8" w14:textId="77777777" w:rsidR="00862A01" w:rsidRPr="00872D7E" w:rsidRDefault="00862A01" w:rsidP="00394E48">
            <w:pPr>
              <w:jc w:val="right"/>
              <w:rPr>
                <w:color w:val="000000"/>
                <w:sz w:val="16"/>
                <w:szCs w:val="16"/>
              </w:rPr>
            </w:pPr>
            <w:r w:rsidRPr="00872D7E">
              <w:rPr>
                <w:color w:val="000000"/>
                <w:sz w:val="16"/>
                <w:szCs w:val="16"/>
              </w:rPr>
              <w:t>2.638.804</w:t>
            </w:r>
          </w:p>
        </w:tc>
        <w:tc>
          <w:tcPr>
            <w:tcW w:w="481" w:type="pct"/>
            <w:tcBorders>
              <w:top w:val="nil"/>
              <w:left w:val="nil"/>
              <w:bottom w:val="nil"/>
              <w:right w:val="nil"/>
            </w:tcBorders>
            <w:shd w:val="clear" w:color="auto" w:fill="auto"/>
            <w:vAlign w:val="bottom"/>
            <w:hideMark/>
          </w:tcPr>
          <w:p w14:paraId="00554D29" w14:textId="77777777" w:rsidR="00862A01" w:rsidRPr="00872D7E" w:rsidRDefault="00862A01" w:rsidP="00394E48">
            <w:pPr>
              <w:jc w:val="right"/>
              <w:rPr>
                <w:color w:val="000000"/>
                <w:sz w:val="16"/>
                <w:szCs w:val="16"/>
              </w:rPr>
            </w:pPr>
            <w:r w:rsidRPr="00872D7E">
              <w:rPr>
                <w:color w:val="000000"/>
                <w:sz w:val="16"/>
                <w:szCs w:val="16"/>
              </w:rPr>
              <w:t>2.005.201</w:t>
            </w:r>
          </w:p>
        </w:tc>
        <w:tc>
          <w:tcPr>
            <w:tcW w:w="481" w:type="pct"/>
            <w:tcBorders>
              <w:top w:val="nil"/>
              <w:left w:val="nil"/>
              <w:bottom w:val="nil"/>
              <w:right w:val="nil"/>
            </w:tcBorders>
            <w:shd w:val="clear" w:color="auto" w:fill="auto"/>
            <w:vAlign w:val="bottom"/>
            <w:hideMark/>
          </w:tcPr>
          <w:p w14:paraId="637DDE2E"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EC18511"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11ADD28"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4EA3044C"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EE8BD5C"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21B565E3" w14:textId="77777777" w:rsidR="00862A01" w:rsidRPr="00872D7E" w:rsidRDefault="00862A01" w:rsidP="00394E48">
            <w:pPr>
              <w:jc w:val="right"/>
              <w:rPr>
                <w:color w:val="000000"/>
                <w:sz w:val="16"/>
                <w:szCs w:val="16"/>
              </w:rPr>
            </w:pPr>
            <w:r w:rsidRPr="00872D7E">
              <w:rPr>
                <w:color w:val="000000"/>
                <w:sz w:val="16"/>
                <w:szCs w:val="16"/>
              </w:rPr>
              <w:t>4.644.005</w:t>
            </w:r>
          </w:p>
        </w:tc>
      </w:tr>
      <w:tr w:rsidR="00862A01" w:rsidRPr="00872D7E" w14:paraId="4729C48A"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2D895B16" w14:textId="77777777" w:rsidR="00862A01" w:rsidRPr="00872D7E" w:rsidRDefault="00862A01" w:rsidP="00862A01">
            <w:pPr>
              <w:rPr>
                <w:color w:val="000000"/>
                <w:sz w:val="16"/>
                <w:szCs w:val="16"/>
              </w:rPr>
            </w:pPr>
            <w:r w:rsidRPr="00872D7E">
              <w:rPr>
                <w:snapToGrid w:val="0"/>
                <w:color w:val="000000"/>
                <w:sz w:val="16"/>
                <w:szCs w:val="16"/>
              </w:rPr>
              <w:t>Bankalar</w:t>
            </w:r>
          </w:p>
        </w:tc>
        <w:tc>
          <w:tcPr>
            <w:tcW w:w="481" w:type="pct"/>
            <w:tcBorders>
              <w:top w:val="nil"/>
              <w:left w:val="nil"/>
              <w:bottom w:val="nil"/>
              <w:right w:val="nil"/>
            </w:tcBorders>
            <w:shd w:val="clear" w:color="auto" w:fill="auto"/>
            <w:vAlign w:val="bottom"/>
            <w:hideMark/>
          </w:tcPr>
          <w:p w14:paraId="09783642" w14:textId="77777777" w:rsidR="00862A01" w:rsidRPr="00872D7E" w:rsidRDefault="00862A01" w:rsidP="00394E48">
            <w:pPr>
              <w:jc w:val="right"/>
              <w:rPr>
                <w:color w:val="000000"/>
                <w:sz w:val="16"/>
                <w:szCs w:val="16"/>
              </w:rPr>
            </w:pPr>
            <w:r w:rsidRPr="00872D7E">
              <w:rPr>
                <w:color w:val="000000"/>
                <w:sz w:val="16"/>
                <w:szCs w:val="16"/>
              </w:rPr>
              <w:t>2.837.621</w:t>
            </w:r>
          </w:p>
        </w:tc>
        <w:tc>
          <w:tcPr>
            <w:tcW w:w="481" w:type="pct"/>
            <w:tcBorders>
              <w:top w:val="nil"/>
              <w:left w:val="nil"/>
              <w:bottom w:val="nil"/>
              <w:right w:val="nil"/>
            </w:tcBorders>
            <w:shd w:val="clear" w:color="auto" w:fill="auto"/>
            <w:vAlign w:val="bottom"/>
            <w:hideMark/>
          </w:tcPr>
          <w:p w14:paraId="63C63E97" w14:textId="77777777" w:rsidR="00862A01" w:rsidRPr="00872D7E" w:rsidRDefault="00862A01" w:rsidP="00394E48">
            <w:pPr>
              <w:jc w:val="right"/>
              <w:rPr>
                <w:color w:val="000000"/>
                <w:sz w:val="16"/>
                <w:szCs w:val="16"/>
              </w:rPr>
            </w:pPr>
            <w:r w:rsidRPr="00872D7E">
              <w:rPr>
                <w:color w:val="000000"/>
                <w:sz w:val="16"/>
                <w:szCs w:val="16"/>
              </w:rPr>
              <w:t>1.600.000</w:t>
            </w:r>
          </w:p>
        </w:tc>
        <w:tc>
          <w:tcPr>
            <w:tcW w:w="481" w:type="pct"/>
            <w:tcBorders>
              <w:top w:val="nil"/>
              <w:left w:val="nil"/>
              <w:bottom w:val="nil"/>
              <w:right w:val="nil"/>
            </w:tcBorders>
            <w:shd w:val="clear" w:color="auto" w:fill="auto"/>
            <w:vAlign w:val="bottom"/>
            <w:hideMark/>
          </w:tcPr>
          <w:p w14:paraId="475C2509"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5059F9D"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3C91F9B"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45CE416B"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4B083FC"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2C4136B" w14:textId="77777777" w:rsidR="00862A01" w:rsidRPr="00872D7E" w:rsidRDefault="00862A01" w:rsidP="00394E48">
            <w:pPr>
              <w:jc w:val="right"/>
              <w:rPr>
                <w:color w:val="000000"/>
                <w:sz w:val="16"/>
                <w:szCs w:val="16"/>
              </w:rPr>
            </w:pPr>
            <w:r w:rsidRPr="00872D7E">
              <w:rPr>
                <w:color w:val="000000"/>
                <w:sz w:val="16"/>
                <w:szCs w:val="16"/>
              </w:rPr>
              <w:t>4.437.621</w:t>
            </w:r>
          </w:p>
        </w:tc>
      </w:tr>
      <w:tr w:rsidR="00862A01" w:rsidRPr="00872D7E" w14:paraId="0477CB11"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2865C5B7" w14:textId="475305D1" w:rsidR="00862A01" w:rsidRPr="00872D7E" w:rsidRDefault="00862A01" w:rsidP="00862A01">
            <w:pPr>
              <w:rPr>
                <w:snapToGrid w:val="0"/>
                <w:color w:val="000000"/>
                <w:sz w:val="16"/>
                <w:szCs w:val="16"/>
              </w:rPr>
            </w:pPr>
            <w:r w:rsidRPr="00872D7E">
              <w:rPr>
                <w:snapToGrid w:val="0"/>
                <w:color w:val="000000"/>
                <w:sz w:val="16"/>
                <w:szCs w:val="16"/>
              </w:rPr>
              <w:t>Gerçeğe Uygun Değer Farkı Kâr veya Zarara Yansıtılan Finansal Varlıklar</w:t>
            </w:r>
            <w:r w:rsidR="00B27294" w:rsidRPr="00872D7E">
              <w:rPr>
                <w:snapToGrid w:val="0"/>
                <w:color w:val="000000"/>
                <w:sz w:val="16"/>
                <w:szCs w:val="16"/>
              </w:rPr>
              <w:t xml:space="preserve"> </w:t>
            </w:r>
            <w:r w:rsidR="00B27294" w:rsidRPr="00872D7E">
              <w:rPr>
                <w:snapToGrid w:val="0"/>
                <w:color w:val="000000"/>
                <w:sz w:val="16"/>
                <w:szCs w:val="16"/>
                <w:vertAlign w:val="superscript"/>
              </w:rPr>
              <w:t>(**)</w:t>
            </w:r>
          </w:p>
        </w:tc>
        <w:tc>
          <w:tcPr>
            <w:tcW w:w="481" w:type="pct"/>
            <w:tcBorders>
              <w:top w:val="nil"/>
              <w:left w:val="nil"/>
              <w:bottom w:val="nil"/>
              <w:right w:val="nil"/>
            </w:tcBorders>
            <w:shd w:val="clear" w:color="auto" w:fill="auto"/>
            <w:vAlign w:val="bottom"/>
            <w:hideMark/>
          </w:tcPr>
          <w:p w14:paraId="635EC051" w14:textId="77777777" w:rsidR="00862A01" w:rsidRPr="00872D7E" w:rsidRDefault="00862A01" w:rsidP="00394E48">
            <w:pPr>
              <w:jc w:val="right"/>
              <w:rPr>
                <w:color w:val="000000"/>
                <w:sz w:val="16"/>
                <w:szCs w:val="16"/>
              </w:rPr>
            </w:pPr>
            <w:r w:rsidRPr="00872D7E">
              <w:rPr>
                <w:color w:val="000000"/>
                <w:sz w:val="16"/>
                <w:szCs w:val="16"/>
              </w:rPr>
              <w:t>962</w:t>
            </w:r>
          </w:p>
        </w:tc>
        <w:tc>
          <w:tcPr>
            <w:tcW w:w="481" w:type="pct"/>
            <w:tcBorders>
              <w:top w:val="nil"/>
              <w:left w:val="nil"/>
              <w:bottom w:val="nil"/>
              <w:right w:val="nil"/>
            </w:tcBorders>
            <w:shd w:val="clear" w:color="auto" w:fill="auto"/>
            <w:vAlign w:val="bottom"/>
            <w:hideMark/>
          </w:tcPr>
          <w:p w14:paraId="4504BE2A" w14:textId="77777777" w:rsidR="00862A01" w:rsidRPr="00872D7E" w:rsidRDefault="00862A01" w:rsidP="00394E48">
            <w:pPr>
              <w:jc w:val="right"/>
              <w:rPr>
                <w:color w:val="000000"/>
                <w:sz w:val="16"/>
                <w:szCs w:val="16"/>
              </w:rPr>
            </w:pPr>
            <w:r w:rsidRPr="00872D7E">
              <w:rPr>
                <w:color w:val="000000"/>
                <w:sz w:val="16"/>
                <w:szCs w:val="16"/>
              </w:rPr>
              <w:t>22.279</w:t>
            </w:r>
          </w:p>
        </w:tc>
        <w:tc>
          <w:tcPr>
            <w:tcW w:w="481" w:type="pct"/>
            <w:tcBorders>
              <w:top w:val="nil"/>
              <w:left w:val="nil"/>
              <w:bottom w:val="nil"/>
              <w:right w:val="nil"/>
            </w:tcBorders>
            <w:shd w:val="clear" w:color="auto" w:fill="auto"/>
            <w:vAlign w:val="bottom"/>
            <w:hideMark/>
          </w:tcPr>
          <w:p w14:paraId="620029D2" w14:textId="77777777" w:rsidR="00862A01" w:rsidRPr="00872D7E" w:rsidRDefault="00862A01" w:rsidP="00394E48">
            <w:pPr>
              <w:jc w:val="right"/>
              <w:rPr>
                <w:color w:val="000000"/>
                <w:sz w:val="16"/>
                <w:szCs w:val="16"/>
              </w:rPr>
            </w:pPr>
            <w:r w:rsidRPr="00872D7E">
              <w:rPr>
                <w:color w:val="000000"/>
                <w:sz w:val="16"/>
                <w:szCs w:val="16"/>
              </w:rPr>
              <w:t>132.331</w:t>
            </w:r>
          </w:p>
        </w:tc>
        <w:tc>
          <w:tcPr>
            <w:tcW w:w="481" w:type="pct"/>
            <w:tcBorders>
              <w:top w:val="nil"/>
              <w:left w:val="nil"/>
              <w:bottom w:val="nil"/>
              <w:right w:val="nil"/>
            </w:tcBorders>
            <w:shd w:val="clear" w:color="auto" w:fill="auto"/>
            <w:vAlign w:val="bottom"/>
            <w:hideMark/>
          </w:tcPr>
          <w:p w14:paraId="3B5151F4"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9C1D05D"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B6347A4"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AC03FD7"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C5DC5BE" w14:textId="77777777" w:rsidR="00862A01" w:rsidRPr="00872D7E" w:rsidRDefault="00862A01" w:rsidP="00394E48">
            <w:pPr>
              <w:jc w:val="right"/>
              <w:rPr>
                <w:color w:val="000000"/>
                <w:sz w:val="16"/>
                <w:szCs w:val="16"/>
              </w:rPr>
            </w:pPr>
            <w:r w:rsidRPr="00872D7E">
              <w:rPr>
                <w:color w:val="000000"/>
                <w:sz w:val="16"/>
                <w:szCs w:val="16"/>
              </w:rPr>
              <w:t>155.572</w:t>
            </w:r>
          </w:p>
        </w:tc>
      </w:tr>
      <w:tr w:rsidR="00862A01" w:rsidRPr="00872D7E" w14:paraId="7ECFC52D"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02B5F1C5" w14:textId="77777777" w:rsidR="00862A01" w:rsidRPr="00872D7E" w:rsidRDefault="00862A01" w:rsidP="00862A01">
            <w:pPr>
              <w:rPr>
                <w:color w:val="000000"/>
                <w:sz w:val="16"/>
                <w:szCs w:val="16"/>
              </w:rPr>
            </w:pPr>
            <w:r w:rsidRPr="00872D7E">
              <w:rPr>
                <w:snapToGrid w:val="0"/>
                <w:color w:val="000000"/>
                <w:sz w:val="16"/>
                <w:szCs w:val="16"/>
              </w:rPr>
              <w:t>Para Piyasalarından Alacaklar</w:t>
            </w:r>
          </w:p>
        </w:tc>
        <w:tc>
          <w:tcPr>
            <w:tcW w:w="481" w:type="pct"/>
            <w:tcBorders>
              <w:top w:val="nil"/>
              <w:left w:val="nil"/>
              <w:bottom w:val="nil"/>
              <w:right w:val="nil"/>
            </w:tcBorders>
            <w:shd w:val="clear" w:color="auto" w:fill="auto"/>
            <w:vAlign w:val="bottom"/>
            <w:hideMark/>
          </w:tcPr>
          <w:p w14:paraId="1908B496"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E04A3CD"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30CE0FE"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0202AF1"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D1C4202"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01D1447"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69FC18E"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49D155A7" w14:textId="77777777" w:rsidR="00862A01" w:rsidRPr="00872D7E" w:rsidRDefault="00862A01" w:rsidP="00394E48">
            <w:pPr>
              <w:jc w:val="right"/>
              <w:rPr>
                <w:color w:val="000000"/>
                <w:sz w:val="16"/>
                <w:szCs w:val="16"/>
              </w:rPr>
            </w:pPr>
            <w:r w:rsidRPr="00872D7E">
              <w:rPr>
                <w:color w:val="000000"/>
                <w:sz w:val="16"/>
                <w:szCs w:val="16"/>
              </w:rPr>
              <w:t>-</w:t>
            </w:r>
          </w:p>
        </w:tc>
      </w:tr>
      <w:tr w:rsidR="00862A01" w:rsidRPr="00872D7E" w14:paraId="00E8FE43"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03CC4391" w14:textId="77777777" w:rsidR="00862A01" w:rsidRPr="00872D7E" w:rsidRDefault="00862A01" w:rsidP="00862A01">
            <w:pPr>
              <w:rPr>
                <w:color w:val="000000"/>
                <w:sz w:val="16"/>
                <w:szCs w:val="16"/>
              </w:rPr>
            </w:pPr>
            <w:r w:rsidRPr="00872D7E">
              <w:rPr>
                <w:snapToGrid w:val="0"/>
                <w:color w:val="000000"/>
                <w:sz w:val="16"/>
                <w:szCs w:val="16"/>
              </w:rPr>
              <w:t>Gerçeğe Uygun Değer Farkı Diğer Kapsamlı Gelire Yansıtılan Finansal Varlıklar</w:t>
            </w:r>
          </w:p>
        </w:tc>
        <w:tc>
          <w:tcPr>
            <w:tcW w:w="481" w:type="pct"/>
            <w:tcBorders>
              <w:top w:val="nil"/>
              <w:left w:val="nil"/>
              <w:bottom w:val="nil"/>
              <w:right w:val="nil"/>
            </w:tcBorders>
            <w:shd w:val="clear" w:color="auto" w:fill="auto"/>
            <w:vAlign w:val="bottom"/>
            <w:hideMark/>
          </w:tcPr>
          <w:p w14:paraId="4E48BAA9"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72DCCF2"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31C3ACE"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D08B0FA"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17A2CE2" w14:textId="77777777" w:rsidR="00862A01" w:rsidRPr="00872D7E" w:rsidRDefault="00862A01" w:rsidP="00394E48">
            <w:pPr>
              <w:jc w:val="right"/>
              <w:rPr>
                <w:color w:val="000000"/>
                <w:sz w:val="16"/>
                <w:szCs w:val="16"/>
              </w:rPr>
            </w:pPr>
            <w:r w:rsidRPr="00872D7E">
              <w:rPr>
                <w:color w:val="000000"/>
                <w:sz w:val="16"/>
                <w:szCs w:val="16"/>
              </w:rPr>
              <w:t>964.443</w:t>
            </w:r>
          </w:p>
        </w:tc>
        <w:tc>
          <w:tcPr>
            <w:tcW w:w="481" w:type="pct"/>
            <w:tcBorders>
              <w:top w:val="nil"/>
              <w:left w:val="nil"/>
              <w:bottom w:val="nil"/>
              <w:right w:val="nil"/>
            </w:tcBorders>
            <w:shd w:val="clear" w:color="auto" w:fill="auto"/>
            <w:vAlign w:val="bottom"/>
            <w:hideMark/>
          </w:tcPr>
          <w:p w14:paraId="17188736"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2307E36F"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0ACD160" w14:textId="77777777" w:rsidR="00862A01" w:rsidRPr="00872D7E" w:rsidRDefault="00862A01" w:rsidP="00394E48">
            <w:pPr>
              <w:jc w:val="right"/>
              <w:rPr>
                <w:color w:val="000000"/>
                <w:sz w:val="16"/>
                <w:szCs w:val="16"/>
              </w:rPr>
            </w:pPr>
            <w:r w:rsidRPr="00872D7E">
              <w:rPr>
                <w:color w:val="000000"/>
                <w:sz w:val="16"/>
                <w:szCs w:val="16"/>
              </w:rPr>
              <w:t>964.443</w:t>
            </w:r>
          </w:p>
        </w:tc>
      </w:tr>
      <w:tr w:rsidR="00862A01" w:rsidRPr="00872D7E" w14:paraId="65485510"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056EEE2B" w14:textId="77777777" w:rsidR="00862A01" w:rsidRPr="00872D7E" w:rsidRDefault="00862A01" w:rsidP="00862A01">
            <w:pPr>
              <w:rPr>
                <w:color w:val="000000"/>
                <w:sz w:val="16"/>
                <w:szCs w:val="16"/>
              </w:rPr>
            </w:pPr>
            <w:r w:rsidRPr="00872D7E">
              <w:rPr>
                <w:snapToGrid w:val="0"/>
                <w:color w:val="000000"/>
                <w:sz w:val="16"/>
                <w:szCs w:val="16"/>
              </w:rPr>
              <w:t>Verilen Krediler</w:t>
            </w:r>
          </w:p>
        </w:tc>
        <w:tc>
          <w:tcPr>
            <w:tcW w:w="481" w:type="pct"/>
            <w:tcBorders>
              <w:top w:val="nil"/>
              <w:left w:val="nil"/>
              <w:bottom w:val="nil"/>
              <w:right w:val="nil"/>
            </w:tcBorders>
            <w:shd w:val="clear" w:color="auto" w:fill="auto"/>
            <w:vAlign w:val="bottom"/>
            <w:hideMark/>
          </w:tcPr>
          <w:p w14:paraId="0BB38B7A"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1FA73BB" w14:textId="77777777" w:rsidR="00862A01" w:rsidRPr="00872D7E" w:rsidRDefault="00862A01" w:rsidP="00394E48">
            <w:pPr>
              <w:jc w:val="right"/>
              <w:rPr>
                <w:color w:val="000000"/>
                <w:sz w:val="16"/>
                <w:szCs w:val="16"/>
              </w:rPr>
            </w:pPr>
            <w:r w:rsidRPr="00872D7E">
              <w:rPr>
                <w:color w:val="000000"/>
                <w:sz w:val="16"/>
                <w:szCs w:val="16"/>
              </w:rPr>
              <w:t>4.551.489</w:t>
            </w:r>
          </w:p>
        </w:tc>
        <w:tc>
          <w:tcPr>
            <w:tcW w:w="481" w:type="pct"/>
            <w:tcBorders>
              <w:top w:val="nil"/>
              <w:left w:val="nil"/>
              <w:bottom w:val="nil"/>
              <w:right w:val="nil"/>
            </w:tcBorders>
            <w:shd w:val="clear" w:color="auto" w:fill="auto"/>
            <w:vAlign w:val="bottom"/>
            <w:hideMark/>
          </w:tcPr>
          <w:p w14:paraId="00366DFE" w14:textId="77777777" w:rsidR="00862A01" w:rsidRPr="00872D7E" w:rsidRDefault="00862A01" w:rsidP="00394E48">
            <w:pPr>
              <w:jc w:val="right"/>
              <w:rPr>
                <w:color w:val="000000"/>
                <w:sz w:val="16"/>
                <w:szCs w:val="16"/>
              </w:rPr>
            </w:pPr>
            <w:r w:rsidRPr="00872D7E">
              <w:rPr>
                <w:color w:val="000000"/>
                <w:sz w:val="16"/>
                <w:szCs w:val="16"/>
              </w:rPr>
              <w:t>5.783.571</w:t>
            </w:r>
          </w:p>
        </w:tc>
        <w:tc>
          <w:tcPr>
            <w:tcW w:w="481" w:type="pct"/>
            <w:tcBorders>
              <w:top w:val="nil"/>
              <w:left w:val="nil"/>
              <w:bottom w:val="nil"/>
              <w:right w:val="nil"/>
            </w:tcBorders>
            <w:shd w:val="clear" w:color="auto" w:fill="auto"/>
            <w:vAlign w:val="bottom"/>
            <w:hideMark/>
          </w:tcPr>
          <w:p w14:paraId="4326499E" w14:textId="77777777" w:rsidR="00862A01" w:rsidRPr="00872D7E" w:rsidRDefault="00862A01" w:rsidP="00394E48">
            <w:pPr>
              <w:jc w:val="right"/>
              <w:rPr>
                <w:color w:val="000000"/>
                <w:sz w:val="16"/>
                <w:szCs w:val="16"/>
              </w:rPr>
            </w:pPr>
            <w:r w:rsidRPr="00872D7E">
              <w:rPr>
                <w:color w:val="000000"/>
                <w:sz w:val="16"/>
                <w:szCs w:val="16"/>
              </w:rPr>
              <w:t>8.549.637</w:t>
            </w:r>
          </w:p>
        </w:tc>
        <w:tc>
          <w:tcPr>
            <w:tcW w:w="481" w:type="pct"/>
            <w:tcBorders>
              <w:top w:val="nil"/>
              <w:left w:val="nil"/>
              <w:bottom w:val="nil"/>
              <w:right w:val="nil"/>
            </w:tcBorders>
            <w:shd w:val="clear" w:color="auto" w:fill="auto"/>
            <w:vAlign w:val="bottom"/>
            <w:hideMark/>
          </w:tcPr>
          <w:p w14:paraId="2EE30772" w14:textId="77777777" w:rsidR="00862A01" w:rsidRPr="00872D7E" w:rsidRDefault="00862A01" w:rsidP="00394E48">
            <w:pPr>
              <w:jc w:val="right"/>
              <w:rPr>
                <w:color w:val="000000"/>
                <w:sz w:val="16"/>
                <w:szCs w:val="16"/>
              </w:rPr>
            </w:pPr>
            <w:r w:rsidRPr="00872D7E">
              <w:rPr>
                <w:color w:val="000000"/>
                <w:sz w:val="16"/>
                <w:szCs w:val="16"/>
              </w:rPr>
              <w:t>4.149.125</w:t>
            </w:r>
          </w:p>
        </w:tc>
        <w:tc>
          <w:tcPr>
            <w:tcW w:w="481" w:type="pct"/>
            <w:tcBorders>
              <w:top w:val="nil"/>
              <w:left w:val="nil"/>
              <w:bottom w:val="nil"/>
              <w:right w:val="nil"/>
            </w:tcBorders>
            <w:shd w:val="clear" w:color="auto" w:fill="auto"/>
            <w:vAlign w:val="bottom"/>
            <w:hideMark/>
          </w:tcPr>
          <w:p w14:paraId="56A17F7F"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CA5183C"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49F7B42" w14:textId="77777777" w:rsidR="00862A01" w:rsidRPr="00872D7E" w:rsidRDefault="00862A01" w:rsidP="00394E48">
            <w:pPr>
              <w:jc w:val="right"/>
              <w:rPr>
                <w:color w:val="000000"/>
                <w:sz w:val="16"/>
                <w:szCs w:val="16"/>
              </w:rPr>
            </w:pPr>
            <w:r w:rsidRPr="00872D7E">
              <w:rPr>
                <w:color w:val="000000"/>
                <w:sz w:val="16"/>
                <w:szCs w:val="16"/>
              </w:rPr>
              <w:t>23.033.822</w:t>
            </w:r>
          </w:p>
        </w:tc>
      </w:tr>
      <w:tr w:rsidR="00862A01" w:rsidRPr="00872D7E" w14:paraId="1F2AD85B"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22F42899" w14:textId="77777777" w:rsidR="00862A01" w:rsidRPr="00872D7E" w:rsidRDefault="00862A01" w:rsidP="00862A01">
            <w:pPr>
              <w:rPr>
                <w:color w:val="000000"/>
                <w:sz w:val="16"/>
                <w:szCs w:val="16"/>
              </w:rPr>
            </w:pPr>
            <w:r w:rsidRPr="00872D7E">
              <w:rPr>
                <w:snapToGrid w:val="0"/>
                <w:color w:val="000000"/>
                <w:sz w:val="16"/>
                <w:szCs w:val="16"/>
              </w:rPr>
              <w:t>İtfa Edilmiş Maliyeti Üzerinden Değerlenen Finansal Varlıklar</w:t>
            </w:r>
          </w:p>
        </w:tc>
        <w:tc>
          <w:tcPr>
            <w:tcW w:w="481" w:type="pct"/>
            <w:tcBorders>
              <w:top w:val="nil"/>
              <w:left w:val="nil"/>
              <w:bottom w:val="nil"/>
              <w:right w:val="nil"/>
            </w:tcBorders>
            <w:shd w:val="clear" w:color="auto" w:fill="auto"/>
            <w:vAlign w:val="bottom"/>
            <w:hideMark/>
          </w:tcPr>
          <w:p w14:paraId="0BC62AA3"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4C5E5368"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9B28C5B"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1BF5527"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43287B2" w14:textId="77777777" w:rsidR="00862A01" w:rsidRPr="00872D7E" w:rsidRDefault="00862A01" w:rsidP="00394E48">
            <w:pPr>
              <w:jc w:val="right"/>
              <w:rPr>
                <w:color w:val="000000"/>
                <w:sz w:val="16"/>
                <w:szCs w:val="16"/>
              </w:rPr>
            </w:pPr>
            <w:r w:rsidRPr="00872D7E">
              <w:rPr>
                <w:color w:val="000000"/>
                <w:sz w:val="16"/>
                <w:szCs w:val="16"/>
              </w:rPr>
              <w:t>391.310</w:t>
            </w:r>
          </w:p>
        </w:tc>
        <w:tc>
          <w:tcPr>
            <w:tcW w:w="481" w:type="pct"/>
            <w:tcBorders>
              <w:top w:val="nil"/>
              <w:left w:val="nil"/>
              <w:bottom w:val="nil"/>
              <w:right w:val="nil"/>
            </w:tcBorders>
            <w:shd w:val="clear" w:color="auto" w:fill="auto"/>
            <w:vAlign w:val="bottom"/>
            <w:hideMark/>
          </w:tcPr>
          <w:p w14:paraId="718C78ED"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507FDF4"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EA65C2D" w14:textId="77777777" w:rsidR="00862A01" w:rsidRPr="00872D7E" w:rsidRDefault="00862A01" w:rsidP="00394E48">
            <w:pPr>
              <w:jc w:val="right"/>
              <w:rPr>
                <w:color w:val="000000"/>
                <w:sz w:val="16"/>
                <w:szCs w:val="16"/>
              </w:rPr>
            </w:pPr>
            <w:r w:rsidRPr="00872D7E">
              <w:rPr>
                <w:color w:val="000000"/>
                <w:sz w:val="16"/>
                <w:szCs w:val="16"/>
              </w:rPr>
              <w:t>391.310</w:t>
            </w:r>
          </w:p>
        </w:tc>
      </w:tr>
      <w:tr w:rsidR="00862A01" w:rsidRPr="00872D7E" w14:paraId="3270EDC0"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49BAE2C4" w14:textId="77777777" w:rsidR="00862A01" w:rsidRPr="00872D7E" w:rsidRDefault="00862A01" w:rsidP="00862A01">
            <w:pPr>
              <w:rPr>
                <w:color w:val="000000"/>
                <w:sz w:val="16"/>
                <w:szCs w:val="16"/>
              </w:rPr>
            </w:pPr>
            <w:r w:rsidRPr="00872D7E">
              <w:rPr>
                <w:snapToGrid w:val="0"/>
                <w:color w:val="000000"/>
                <w:sz w:val="16"/>
                <w:szCs w:val="16"/>
              </w:rPr>
              <w:t>Diğer Varlıklar</w:t>
            </w:r>
          </w:p>
        </w:tc>
        <w:tc>
          <w:tcPr>
            <w:tcW w:w="481" w:type="pct"/>
            <w:tcBorders>
              <w:top w:val="nil"/>
              <w:left w:val="nil"/>
              <w:bottom w:val="nil"/>
              <w:right w:val="nil"/>
            </w:tcBorders>
            <w:shd w:val="clear" w:color="auto" w:fill="auto"/>
            <w:vAlign w:val="bottom"/>
            <w:hideMark/>
          </w:tcPr>
          <w:p w14:paraId="219A4C87"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77689EC"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995E306"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633312C"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4F25693"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FF02D53"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C07C6E1" w14:textId="77777777" w:rsidR="00862A01" w:rsidRPr="00872D7E" w:rsidRDefault="00862A01" w:rsidP="00394E48">
            <w:pPr>
              <w:jc w:val="right"/>
              <w:rPr>
                <w:color w:val="000000"/>
                <w:sz w:val="16"/>
                <w:szCs w:val="16"/>
              </w:rPr>
            </w:pPr>
            <w:r w:rsidRPr="00872D7E">
              <w:rPr>
                <w:color w:val="000000"/>
                <w:sz w:val="16"/>
                <w:szCs w:val="16"/>
              </w:rPr>
              <w:t>1.008.384</w:t>
            </w:r>
          </w:p>
        </w:tc>
        <w:tc>
          <w:tcPr>
            <w:tcW w:w="481" w:type="pct"/>
            <w:tcBorders>
              <w:top w:val="nil"/>
              <w:left w:val="nil"/>
              <w:bottom w:val="nil"/>
              <w:right w:val="nil"/>
            </w:tcBorders>
            <w:shd w:val="clear" w:color="auto" w:fill="auto"/>
            <w:vAlign w:val="bottom"/>
            <w:hideMark/>
          </w:tcPr>
          <w:p w14:paraId="01659E27" w14:textId="77777777" w:rsidR="00862A01" w:rsidRPr="00872D7E" w:rsidRDefault="00862A01" w:rsidP="00394E48">
            <w:pPr>
              <w:jc w:val="right"/>
              <w:rPr>
                <w:color w:val="000000"/>
                <w:sz w:val="16"/>
                <w:szCs w:val="16"/>
              </w:rPr>
            </w:pPr>
            <w:r w:rsidRPr="00872D7E">
              <w:rPr>
                <w:color w:val="000000"/>
                <w:sz w:val="16"/>
                <w:szCs w:val="16"/>
              </w:rPr>
              <w:t>1.008.384</w:t>
            </w:r>
          </w:p>
        </w:tc>
      </w:tr>
      <w:tr w:rsidR="00862A01" w:rsidRPr="00872D7E" w14:paraId="121E333E"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315D9F57" w14:textId="77777777" w:rsidR="00862A01" w:rsidRPr="00872D7E" w:rsidRDefault="00862A01" w:rsidP="00862A01">
            <w:pPr>
              <w:jc w:val="right"/>
              <w:rPr>
                <w:color w:val="000000"/>
                <w:sz w:val="16"/>
                <w:szCs w:val="16"/>
              </w:rPr>
            </w:pPr>
          </w:p>
        </w:tc>
        <w:tc>
          <w:tcPr>
            <w:tcW w:w="481" w:type="pct"/>
            <w:tcBorders>
              <w:top w:val="nil"/>
              <w:left w:val="nil"/>
              <w:bottom w:val="nil"/>
              <w:right w:val="nil"/>
            </w:tcBorders>
            <w:shd w:val="clear" w:color="auto" w:fill="auto"/>
            <w:vAlign w:val="bottom"/>
            <w:hideMark/>
          </w:tcPr>
          <w:p w14:paraId="6FB6A19C"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4C62CD6D"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056FB87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2A04C6AF"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1447016B"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030E112F"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4DB5EB1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570912AC" w14:textId="77777777" w:rsidR="00862A01" w:rsidRPr="00872D7E" w:rsidRDefault="00862A01" w:rsidP="00394E48">
            <w:pPr>
              <w:jc w:val="right"/>
              <w:rPr>
                <w:sz w:val="16"/>
                <w:szCs w:val="16"/>
              </w:rPr>
            </w:pPr>
          </w:p>
        </w:tc>
      </w:tr>
      <w:tr w:rsidR="00862A01" w:rsidRPr="00872D7E" w14:paraId="1C5B8F5B" w14:textId="77777777" w:rsidTr="00394E48">
        <w:trPr>
          <w:divId w:val="1183666511"/>
          <w:trHeight w:val="170"/>
        </w:trPr>
        <w:tc>
          <w:tcPr>
            <w:tcW w:w="1153" w:type="pct"/>
            <w:tcBorders>
              <w:top w:val="single" w:sz="4" w:space="0" w:color="auto"/>
              <w:left w:val="nil"/>
              <w:bottom w:val="single" w:sz="4" w:space="0" w:color="auto"/>
              <w:right w:val="nil"/>
            </w:tcBorders>
            <w:shd w:val="clear" w:color="auto" w:fill="auto"/>
            <w:vAlign w:val="center"/>
            <w:hideMark/>
          </w:tcPr>
          <w:p w14:paraId="2BA09470" w14:textId="77777777" w:rsidR="00862A01" w:rsidRPr="00872D7E" w:rsidRDefault="00862A01" w:rsidP="00862A01">
            <w:pPr>
              <w:rPr>
                <w:b/>
                <w:bCs/>
                <w:color w:val="000000"/>
                <w:sz w:val="16"/>
                <w:szCs w:val="16"/>
              </w:rPr>
            </w:pPr>
            <w:r w:rsidRPr="00872D7E">
              <w:rPr>
                <w:b/>
                <w:bCs/>
                <w:color w:val="000000"/>
                <w:sz w:val="16"/>
                <w:szCs w:val="16"/>
              </w:rPr>
              <w:t>Toplam Varlıklar</w:t>
            </w:r>
          </w:p>
        </w:tc>
        <w:tc>
          <w:tcPr>
            <w:tcW w:w="481" w:type="pct"/>
            <w:tcBorders>
              <w:top w:val="single" w:sz="4" w:space="0" w:color="auto"/>
              <w:left w:val="nil"/>
              <w:bottom w:val="single" w:sz="4" w:space="0" w:color="auto"/>
              <w:right w:val="nil"/>
            </w:tcBorders>
            <w:shd w:val="clear" w:color="auto" w:fill="auto"/>
            <w:vAlign w:val="bottom"/>
            <w:hideMark/>
          </w:tcPr>
          <w:p w14:paraId="4A6B4808" w14:textId="77777777" w:rsidR="00862A01" w:rsidRPr="00872D7E" w:rsidRDefault="00862A01" w:rsidP="00394E48">
            <w:pPr>
              <w:jc w:val="right"/>
              <w:rPr>
                <w:b/>
                <w:bCs/>
                <w:color w:val="000000"/>
                <w:sz w:val="16"/>
                <w:szCs w:val="16"/>
              </w:rPr>
            </w:pPr>
            <w:r w:rsidRPr="00872D7E">
              <w:rPr>
                <w:b/>
                <w:bCs/>
                <w:color w:val="000000"/>
                <w:sz w:val="16"/>
                <w:szCs w:val="16"/>
              </w:rPr>
              <w:t>5.477.387</w:t>
            </w:r>
          </w:p>
        </w:tc>
        <w:tc>
          <w:tcPr>
            <w:tcW w:w="481" w:type="pct"/>
            <w:tcBorders>
              <w:top w:val="single" w:sz="4" w:space="0" w:color="auto"/>
              <w:left w:val="nil"/>
              <w:bottom w:val="single" w:sz="4" w:space="0" w:color="auto"/>
              <w:right w:val="nil"/>
            </w:tcBorders>
            <w:shd w:val="clear" w:color="auto" w:fill="auto"/>
            <w:vAlign w:val="bottom"/>
            <w:hideMark/>
          </w:tcPr>
          <w:p w14:paraId="10B72F5B" w14:textId="77777777" w:rsidR="00862A01" w:rsidRPr="00872D7E" w:rsidRDefault="00862A01" w:rsidP="00394E48">
            <w:pPr>
              <w:jc w:val="right"/>
              <w:rPr>
                <w:b/>
                <w:bCs/>
                <w:color w:val="000000"/>
                <w:sz w:val="16"/>
                <w:szCs w:val="16"/>
              </w:rPr>
            </w:pPr>
            <w:r w:rsidRPr="00872D7E">
              <w:rPr>
                <w:b/>
                <w:bCs/>
                <w:color w:val="000000"/>
                <w:sz w:val="16"/>
                <w:szCs w:val="16"/>
              </w:rPr>
              <w:t>8.178.969</w:t>
            </w:r>
          </w:p>
        </w:tc>
        <w:tc>
          <w:tcPr>
            <w:tcW w:w="481" w:type="pct"/>
            <w:tcBorders>
              <w:top w:val="single" w:sz="4" w:space="0" w:color="auto"/>
              <w:left w:val="nil"/>
              <w:bottom w:val="single" w:sz="4" w:space="0" w:color="auto"/>
              <w:right w:val="nil"/>
            </w:tcBorders>
            <w:shd w:val="clear" w:color="auto" w:fill="auto"/>
            <w:vAlign w:val="bottom"/>
            <w:hideMark/>
          </w:tcPr>
          <w:p w14:paraId="5EA05E5E" w14:textId="77777777" w:rsidR="00862A01" w:rsidRPr="00872D7E" w:rsidRDefault="00862A01" w:rsidP="00394E48">
            <w:pPr>
              <w:jc w:val="right"/>
              <w:rPr>
                <w:b/>
                <w:bCs/>
                <w:color w:val="000000"/>
                <w:sz w:val="16"/>
                <w:szCs w:val="16"/>
              </w:rPr>
            </w:pPr>
            <w:r w:rsidRPr="00872D7E">
              <w:rPr>
                <w:b/>
                <w:bCs/>
                <w:color w:val="000000"/>
                <w:sz w:val="16"/>
                <w:szCs w:val="16"/>
              </w:rPr>
              <w:t>5.915.902</w:t>
            </w:r>
          </w:p>
        </w:tc>
        <w:tc>
          <w:tcPr>
            <w:tcW w:w="481" w:type="pct"/>
            <w:tcBorders>
              <w:top w:val="single" w:sz="4" w:space="0" w:color="auto"/>
              <w:left w:val="nil"/>
              <w:bottom w:val="single" w:sz="4" w:space="0" w:color="auto"/>
              <w:right w:val="nil"/>
            </w:tcBorders>
            <w:shd w:val="clear" w:color="auto" w:fill="auto"/>
            <w:vAlign w:val="bottom"/>
            <w:hideMark/>
          </w:tcPr>
          <w:p w14:paraId="495131B6" w14:textId="77777777" w:rsidR="00862A01" w:rsidRPr="00872D7E" w:rsidRDefault="00862A01" w:rsidP="00394E48">
            <w:pPr>
              <w:jc w:val="right"/>
              <w:rPr>
                <w:b/>
                <w:bCs/>
                <w:color w:val="000000"/>
                <w:sz w:val="16"/>
                <w:szCs w:val="16"/>
              </w:rPr>
            </w:pPr>
            <w:r w:rsidRPr="00872D7E">
              <w:rPr>
                <w:b/>
                <w:bCs/>
                <w:color w:val="000000"/>
                <w:sz w:val="16"/>
                <w:szCs w:val="16"/>
              </w:rPr>
              <w:t>8.549.637</w:t>
            </w:r>
          </w:p>
        </w:tc>
        <w:tc>
          <w:tcPr>
            <w:tcW w:w="481" w:type="pct"/>
            <w:tcBorders>
              <w:top w:val="single" w:sz="4" w:space="0" w:color="auto"/>
              <w:left w:val="nil"/>
              <w:bottom w:val="single" w:sz="4" w:space="0" w:color="auto"/>
              <w:right w:val="nil"/>
            </w:tcBorders>
            <w:shd w:val="clear" w:color="auto" w:fill="auto"/>
            <w:vAlign w:val="bottom"/>
            <w:hideMark/>
          </w:tcPr>
          <w:p w14:paraId="4AECECBB" w14:textId="77777777" w:rsidR="00862A01" w:rsidRPr="00872D7E" w:rsidRDefault="00862A01" w:rsidP="00394E48">
            <w:pPr>
              <w:jc w:val="right"/>
              <w:rPr>
                <w:b/>
                <w:bCs/>
                <w:color w:val="000000"/>
                <w:sz w:val="16"/>
                <w:szCs w:val="16"/>
              </w:rPr>
            </w:pPr>
            <w:r w:rsidRPr="00872D7E">
              <w:rPr>
                <w:b/>
                <w:bCs/>
                <w:color w:val="000000"/>
                <w:sz w:val="16"/>
                <w:szCs w:val="16"/>
              </w:rPr>
              <w:t>5.504.878</w:t>
            </w:r>
          </w:p>
        </w:tc>
        <w:tc>
          <w:tcPr>
            <w:tcW w:w="481" w:type="pct"/>
            <w:tcBorders>
              <w:top w:val="single" w:sz="4" w:space="0" w:color="auto"/>
              <w:left w:val="nil"/>
              <w:bottom w:val="single" w:sz="4" w:space="0" w:color="auto"/>
              <w:right w:val="nil"/>
            </w:tcBorders>
            <w:shd w:val="clear" w:color="auto" w:fill="auto"/>
            <w:vAlign w:val="bottom"/>
            <w:hideMark/>
          </w:tcPr>
          <w:p w14:paraId="7E42A50F"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5DC33C90" w14:textId="77777777" w:rsidR="00862A01" w:rsidRPr="00872D7E" w:rsidRDefault="00862A01" w:rsidP="00394E48">
            <w:pPr>
              <w:jc w:val="right"/>
              <w:rPr>
                <w:b/>
                <w:bCs/>
                <w:color w:val="000000"/>
                <w:sz w:val="16"/>
                <w:szCs w:val="16"/>
              </w:rPr>
            </w:pPr>
            <w:r w:rsidRPr="00872D7E">
              <w:rPr>
                <w:b/>
                <w:bCs/>
                <w:color w:val="000000"/>
                <w:sz w:val="16"/>
                <w:szCs w:val="16"/>
              </w:rPr>
              <w:t>1.008.384</w:t>
            </w:r>
          </w:p>
        </w:tc>
        <w:tc>
          <w:tcPr>
            <w:tcW w:w="481" w:type="pct"/>
            <w:tcBorders>
              <w:top w:val="single" w:sz="4" w:space="0" w:color="auto"/>
              <w:left w:val="nil"/>
              <w:bottom w:val="single" w:sz="4" w:space="0" w:color="auto"/>
              <w:right w:val="nil"/>
            </w:tcBorders>
            <w:shd w:val="clear" w:color="auto" w:fill="auto"/>
            <w:vAlign w:val="bottom"/>
            <w:hideMark/>
          </w:tcPr>
          <w:p w14:paraId="25F753EE" w14:textId="77777777" w:rsidR="00862A01" w:rsidRPr="00872D7E" w:rsidRDefault="00862A01" w:rsidP="00394E48">
            <w:pPr>
              <w:jc w:val="right"/>
              <w:rPr>
                <w:b/>
                <w:bCs/>
                <w:color w:val="000000"/>
                <w:sz w:val="16"/>
                <w:szCs w:val="16"/>
              </w:rPr>
            </w:pPr>
            <w:r w:rsidRPr="00872D7E">
              <w:rPr>
                <w:b/>
                <w:bCs/>
                <w:color w:val="000000"/>
                <w:sz w:val="16"/>
                <w:szCs w:val="16"/>
              </w:rPr>
              <w:t>34.635.157</w:t>
            </w:r>
          </w:p>
        </w:tc>
      </w:tr>
      <w:tr w:rsidR="00862A01" w:rsidRPr="00872D7E" w14:paraId="4FF61C95"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7F974AE1" w14:textId="77777777" w:rsidR="00862A01" w:rsidRPr="00872D7E" w:rsidRDefault="00862A01" w:rsidP="00862A01">
            <w:pPr>
              <w:jc w:val="right"/>
              <w:rPr>
                <w:b/>
                <w:bCs/>
                <w:color w:val="000000"/>
                <w:sz w:val="16"/>
                <w:szCs w:val="16"/>
              </w:rPr>
            </w:pPr>
          </w:p>
        </w:tc>
        <w:tc>
          <w:tcPr>
            <w:tcW w:w="481" w:type="pct"/>
            <w:tcBorders>
              <w:top w:val="nil"/>
              <w:left w:val="nil"/>
              <w:bottom w:val="nil"/>
              <w:right w:val="nil"/>
            </w:tcBorders>
            <w:shd w:val="clear" w:color="auto" w:fill="auto"/>
            <w:vAlign w:val="bottom"/>
            <w:hideMark/>
          </w:tcPr>
          <w:p w14:paraId="6A209C1C"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0011E07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48DD56ED"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E5C9B30"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71BA66C9"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17063205"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3B9AD2D"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5357C80" w14:textId="77777777" w:rsidR="00862A01" w:rsidRPr="00872D7E" w:rsidRDefault="00862A01" w:rsidP="00394E48">
            <w:pPr>
              <w:jc w:val="right"/>
              <w:rPr>
                <w:sz w:val="16"/>
                <w:szCs w:val="16"/>
              </w:rPr>
            </w:pPr>
          </w:p>
        </w:tc>
      </w:tr>
      <w:tr w:rsidR="00862A01" w:rsidRPr="00872D7E" w14:paraId="5A987632"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2FB3510E" w14:textId="77777777" w:rsidR="00862A01" w:rsidRPr="00872D7E" w:rsidRDefault="00862A01" w:rsidP="00862A01">
            <w:pPr>
              <w:jc w:val="both"/>
              <w:rPr>
                <w:b/>
                <w:bCs/>
                <w:color w:val="000000"/>
                <w:sz w:val="16"/>
                <w:szCs w:val="16"/>
              </w:rPr>
            </w:pPr>
            <w:r w:rsidRPr="00872D7E">
              <w:rPr>
                <w:b/>
                <w:bCs/>
                <w:color w:val="000000"/>
                <w:sz w:val="16"/>
                <w:szCs w:val="16"/>
              </w:rPr>
              <w:t>Yükümlülükler</w:t>
            </w:r>
          </w:p>
        </w:tc>
        <w:tc>
          <w:tcPr>
            <w:tcW w:w="481" w:type="pct"/>
            <w:tcBorders>
              <w:top w:val="nil"/>
              <w:left w:val="nil"/>
              <w:bottom w:val="nil"/>
              <w:right w:val="nil"/>
            </w:tcBorders>
            <w:shd w:val="clear" w:color="auto" w:fill="auto"/>
            <w:vAlign w:val="bottom"/>
            <w:hideMark/>
          </w:tcPr>
          <w:p w14:paraId="0D394029" w14:textId="77777777" w:rsidR="00862A01" w:rsidRPr="00872D7E" w:rsidRDefault="00862A01" w:rsidP="00394E48">
            <w:pPr>
              <w:jc w:val="right"/>
              <w:rPr>
                <w:b/>
                <w:bCs/>
                <w:color w:val="000000"/>
                <w:sz w:val="16"/>
                <w:szCs w:val="16"/>
              </w:rPr>
            </w:pPr>
          </w:p>
        </w:tc>
        <w:tc>
          <w:tcPr>
            <w:tcW w:w="481" w:type="pct"/>
            <w:tcBorders>
              <w:top w:val="nil"/>
              <w:left w:val="nil"/>
              <w:bottom w:val="nil"/>
              <w:right w:val="nil"/>
            </w:tcBorders>
            <w:shd w:val="clear" w:color="auto" w:fill="auto"/>
            <w:vAlign w:val="bottom"/>
            <w:hideMark/>
          </w:tcPr>
          <w:p w14:paraId="685F0F9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21E67551"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212F6D42"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337F45BC"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34A2FF16"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C20B4E6"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3DC8C774" w14:textId="77777777" w:rsidR="00862A01" w:rsidRPr="00872D7E" w:rsidRDefault="00862A01" w:rsidP="00394E48">
            <w:pPr>
              <w:jc w:val="right"/>
              <w:rPr>
                <w:sz w:val="16"/>
                <w:szCs w:val="16"/>
              </w:rPr>
            </w:pPr>
          </w:p>
        </w:tc>
      </w:tr>
      <w:tr w:rsidR="00862A01" w:rsidRPr="00872D7E" w14:paraId="126D076A"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25FB39D4" w14:textId="77777777" w:rsidR="00862A01" w:rsidRPr="00872D7E" w:rsidRDefault="00862A01" w:rsidP="00862A01">
            <w:pPr>
              <w:rPr>
                <w:color w:val="000000"/>
                <w:sz w:val="16"/>
                <w:szCs w:val="16"/>
              </w:rPr>
            </w:pPr>
            <w:r w:rsidRPr="00872D7E">
              <w:rPr>
                <w:snapToGrid w:val="0"/>
                <w:color w:val="000000"/>
                <w:sz w:val="16"/>
                <w:szCs w:val="16"/>
              </w:rPr>
              <w:t>Özel Cari Hesap ve Katılma Hesapları Aracılığı ile Bankalardan Toplanan Fonlar</w:t>
            </w:r>
          </w:p>
        </w:tc>
        <w:tc>
          <w:tcPr>
            <w:tcW w:w="481" w:type="pct"/>
            <w:tcBorders>
              <w:top w:val="nil"/>
              <w:left w:val="nil"/>
              <w:bottom w:val="nil"/>
              <w:right w:val="nil"/>
            </w:tcBorders>
            <w:shd w:val="clear" w:color="auto" w:fill="auto"/>
            <w:vAlign w:val="bottom"/>
            <w:hideMark/>
          </w:tcPr>
          <w:p w14:paraId="31E62F71" w14:textId="77777777" w:rsidR="00862A01" w:rsidRPr="00872D7E" w:rsidRDefault="00862A01" w:rsidP="00394E48">
            <w:pPr>
              <w:jc w:val="right"/>
              <w:rPr>
                <w:color w:val="000000"/>
                <w:sz w:val="16"/>
                <w:szCs w:val="16"/>
              </w:rPr>
            </w:pPr>
            <w:r w:rsidRPr="00872D7E">
              <w:rPr>
                <w:color w:val="000000"/>
                <w:sz w:val="16"/>
                <w:szCs w:val="16"/>
              </w:rPr>
              <w:t>2.136</w:t>
            </w:r>
          </w:p>
        </w:tc>
        <w:tc>
          <w:tcPr>
            <w:tcW w:w="481" w:type="pct"/>
            <w:tcBorders>
              <w:top w:val="nil"/>
              <w:left w:val="nil"/>
              <w:bottom w:val="nil"/>
              <w:right w:val="nil"/>
            </w:tcBorders>
            <w:shd w:val="clear" w:color="auto" w:fill="auto"/>
            <w:vAlign w:val="bottom"/>
            <w:hideMark/>
          </w:tcPr>
          <w:p w14:paraId="66B6C915"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D4D0BF7"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FD0B455"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4A30428"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CE36638"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AD55D92"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6735ABF" w14:textId="77777777" w:rsidR="00862A01" w:rsidRPr="00872D7E" w:rsidRDefault="00862A01" w:rsidP="00394E48">
            <w:pPr>
              <w:jc w:val="right"/>
              <w:rPr>
                <w:color w:val="000000"/>
                <w:sz w:val="16"/>
                <w:szCs w:val="16"/>
              </w:rPr>
            </w:pPr>
            <w:r w:rsidRPr="00872D7E">
              <w:rPr>
                <w:color w:val="000000"/>
                <w:sz w:val="16"/>
                <w:szCs w:val="16"/>
              </w:rPr>
              <w:t>2.136</w:t>
            </w:r>
          </w:p>
        </w:tc>
      </w:tr>
      <w:tr w:rsidR="00862A01" w:rsidRPr="00872D7E" w14:paraId="45118FB0"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7BC21F8E" w14:textId="77777777" w:rsidR="00862A01" w:rsidRPr="00872D7E" w:rsidRDefault="00862A01" w:rsidP="00862A01">
            <w:pPr>
              <w:rPr>
                <w:color w:val="000000"/>
                <w:sz w:val="16"/>
                <w:szCs w:val="16"/>
              </w:rPr>
            </w:pPr>
            <w:r w:rsidRPr="00872D7E">
              <w:rPr>
                <w:color w:val="000000"/>
                <w:sz w:val="16"/>
                <w:szCs w:val="16"/>
              </w:rPr>
              <w:t>Diğer Özel Cari Hesap ve Katılma Hesapları</w:t>
            </w:r>
          </w:p>
        </w:tc>
        <w:tc>
          <w:tcPr>
            <w:tcW w:w="481" w:type="pct"/>
            <w:tcBorders>
              <w:top w:val="nil"/>
              <w:left w:val="nil"/>
              <w:bottom w:val="nil"/>
              <w:right w:val="nil"/>
            </w:tcBorders>
            <w:shd w:val="clear" w:color="auto" w:fill="auto"/>
            <w:vAlign w:val="bottom"/>
            <w:hideMark/>
          </w:tcPr>
          <w:p w14:paraId="614197AD" w14:textId="77777777" w:rsidR="00862A01" w:rsidRPr="00872D7E" w:rsidRDefault="00862A01" w:rsidP="00394E48">
            <w:pPr>
              <w:jc w:val="right"/>
              <w:rPr>
                <w:color w:val="000000"/>
                <w:sz w:val="16"/>
                <w:szCs w:val="16"/>
              </w:rPr>
            </w:pPr>
            <w:r w:rsidRPr="00872D7E">
              <w:rPr>
                <w:color w:val="000000"/>
                <w:sz w:val="16"/>
                <w:szCs w:val="16"/>
              </w:rPr>
              <w:t>2.408.425</w:t>
            </w:r>
          </w:p>
        </w:tc>
        <w:tc>
          <w:tcPr>
            <w:tcW w:w="481" w:type="pct"/>
            <w:tcBorders>
              <w:top w:val="nil"/>
              <w:left w:val="nil"/>
              <w:bottom w:val="nil"/>
              <w:right w:val="nil"/>
            </w:tcBorders>
            <w:shd w:val="clear" w:color="auto" w:fill="auto"/>
            <w:vAlign w:val="bottom"/>
            <w:hideMark/>
          </w:tcPr>
          <w:p w14:paraId="2C64A2E3" w14:textId="77777777" w:rsidR="00862A01" w:rsidRPr="00872D7E" w:rsidRDefault="00862A01" w:rsidP="00394E48">
            <w:pPr>
              <w:jc w:val="right"/>
              <w:rPr>
                <w:color w:val="000000"/>
                <w:sz w:val="16"/>
                <w:szCs w:val="16"/>
              </w:rPr>
            </w:pPr>
            <w:r w:rsidRPr="00872D7E">
              <w:rPr>
                <w:color w:val="000000"/>
                <w:sz w:val="16"/>
                <w:szCs w:val="16"/>
              </w:rPr>
              <w:t>12.071.448</w:t>
            </w:r>
          </w:p>
        </w:tc>
        <w:tc>
          <w:tcPr>
            <w:tcW w:w="481" w:type="pct"/>
            <w:tcBorders>
              <w:top w:val="nil"/>
              <w:left w:val="nil"/>
              <w:bottom w:val="nil"/>
              <w:right w:val="nil"/>
            </w:tcBorders>
            <w:shd w:val="clear" w:color="auto" w:fill="auto"/>
            <w:vAlign w:val="bottom"/>
            <w:hideMark/>
          </w:tcPr>
          <w:p w14:paraId="2BC9AC8B" w14:textId="77777777" w:rsidR="00862A01" w:rsidRPr="00872D7E" w:rsidRDefault="00862A01" w:rsidP="00394E48">
            <w:pPr>
              <w:jc w:val="right"/>
              <w:rPr>
                <w:color w:val="000000"/>
                <w:sz w:val="16"/>
                <w:szCs w:val="16"/>
              </w:rPr>
            </w:pPr>
            <w:r w:rsidRPr="00872D7E">
              <w:rPr>
                <w:color w:val="000000"/>
                <w:sz w:val="16"/>
                <w:szCs w:val="16"/>
              </w:rPr>
              <w:t>7.760.661</w:t>
            </w:r>
          </w:p>
        </w:tc>
        <w:tc>
          <w:tcPr>
            <w:tcW w:w="481" w:type="pct"/>
            <w:tcBorders>
              <w:top w:val="nil"/>
              <w:left w:val="nil"/>
              <w:bottom w:val="nil"/>
              <w:right w:val="nil"/>
            </w:tcBorders>
            <w:shd w:val="clear" w:color="auto" w:fill="auto"/>
            <w:vAlign w:val="bottom"/>
            <w:hideMark/>
          </w:tcPr>
          <w:p w14:paraId="72ED0E4F" w14:textId="77777777" w:rsidR="00862A01" w:rsidRPr="00872D7E" w:rsidRDefault="00862A01" w:rsidP="00394E48">
            <w:pPr>
              <w:jc w:val="right"/>
              <w:rPr>
                <w:color w:val="000000"/>
                <w:sz w:val="16"/>
                <w:szCs w:val="16"/>
              </w:rPr>
            </w:pPr>
            <w:r w:rsidRPr="00872D7E">
              <w:rPr>
                <w:color w:val="000000"/>
                <w:sz w:val="16"/>
                <w:szCs w:val="16"/>
              </w:rPr>
              <w:t>1.582.039</w:t>
            </w:r>
          </w:p>
        </w:tc>
        <w:tc>
          <w:tcPr>
            <w:tcW w:w="481" w:type="pct"/>
            <w:tcBorders>
              <w:top w:val="nil"/>
              <w:left w:val="nil"/>
              <w:bottom w:val="nil"/>
              <w:right w:val="nil"/>
            </w:tcBorders>
            <w:shd w:val="clear" w:color="auto" w:fill="auto"/>
            <w:vAlign w:val="bottom"/>
            <w:hideMark/>
          </w:tcPr>
          <w:p w14:paraId="0B4AE749"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397954A"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9471371"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6C1D4E8" w14:textId="77777777" w:rsidR="00862A01" w:rsidRPr="00872D7E" w:rsidRDefault="00862A01" w:rsidP="00394E48">
            <w:pPr>
              <w:jc w:val="right"/>
              <w:rPr>
                <w:color w:val="000000"/>
                <w:sz w:val="16"/>
                <w:szCs w:val="16"/>
              </w:rPr>
            </w:pPr>
            <w:r w:rsidRPr="00872D7E">
              <w:rPr>
                <w:color w:val="000000"/>
                <w:sz w:val="16"/>
                <w:szCs w:val="16"/>
              </w:rPr>
              <w:t>23.822.573</w:t>
            </w:r>
          </w:p>
        </w:tc>
      </w:tr>
      <w:tr w:rsidR="00862A01" w:rsidRPr="00872D7E" w14:paraId="2DD2AF0B"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4DC230BF" w14:textId="77777777" w:rsidR="00862A01" w:rsidRPr="00872D7E" w:rsidRDefault="00862A01" w:rsidP="00862A01">
            <w:pPr>
              <w:rPr>
                <w:color w:val="000000"/>
                <w:sz w:val="16"/>
                <w:szCs w:val="16"/>
              </w:rPr>
            </w:pPr>
            <w:r w:rsidRPr="00872D7E">
              <w:rPr>
                <w:snapToGrid w:val="0"/>
                <w:color w:val="000000"/>
                <w:sz w:val="16"/>
                <w:szCs w:val="16"/>
              </w:rPr>
              <w:t>Diğer Mali Kuruluşlar. Sağlanan. Fonlar ve Sermaye Benzeri Krediler</w:t>
            </w:r>
          </w:p>
        </w:tc>
        <w:tc>
          <w:tcPr>
            <w:tcW w:w="481" w:type="pct"/>
            <w:tcBorders>
              <w:top w:val="nil"/>
              <w:left w:val="nil"/>
              <w:bottom w:val="nil"/>
              <w:right w:val="nil"/>
            </w:tcBorders>
            <w:shd w:val="clear" w:color="auto" w:fill="auto"/>
            <w:vAlign w:val="bottom"/>
            <w:hideMark/>
          </w:tcPr>
          <w:p w14:paraId="2DD4F91D"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E658C53" w14:textId="77777777" w:rsidR="00862A01" w:rsidRPr="00872D7E" w:rsidRDefault="00862A01" w:rsidP="00394E48">
            <w:pPr>
              <w:jc w:val="right"/>
              <w:rPr>
                <w:color w:val="000000"/>
                <w:sz w:val="16"/>
                <w:szCs w:val="16"/>
              </w:rPr>
            </w:pPr>
            <w:r w:rsidRPr="00872D7E">
              <w:rPr>
                <w:color w:val="000000"/>
                <w:sz w:val="16"/>
                <w:szCs w:val="16"/>
              </w:rPr>
              <w:t>1.922.240</w:t>
            </w:r>
          </w:p>
        </w:tc>
        <w:tc>
          <w:tcPr>
            <w:tcW w:w="481" w:type="pct"/>
            <w:tcBorders>
              <w:top w:val="nil"/>
              <w:left w:val="nil"/>
              <w:bottom w:val="nil"/>
              <w:right w:val="nil"/>
            </w:tcBorders>
            <w:shd w:val="clear" w:color="auto" w:fill="auto"/>
            <w:vAlign w:val="bottom"/>
            <w:hideMark/>
          </w:tcPr>
          <w:p w14:paraId="78C52E3B"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F8B84B8"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66F6746"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AD9DFDD"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36E0FA7"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05B68DC" w14:textId="77777777" w:rsidR="00862A01" w:rsidRPr="00872D7E" w:rsidRDefault="00862A01" w:rsidP="00394E48">
            <w:pPr>
              <w:jc w:val="right"/>
              <w:rPr>
                <w:color w:val="000000"/>
                <w:sz w:val="16"/>
                <w:szCs w:val="16"/>
              </w:rPr>
            </w:pPr>
            <w:r w:rsidRPr="00872D7E">
              <w:rPr>
                <w:color w:val="000000"/>
                <w:sz w:val="16"/>
                <w:szCs w:val="16"/>
              </w:rPr>
              <w:t>1.922.240</w:t>
            </w:r>
          </w:p>
        </w:tc>
      </w:tr>
      <w:tr w:rsidR="00862A01" w:rsidRPr="00872D7E" w14:paraId="36532196"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0691FAC9" w14:textId="62B14D22" w:rsidR="00862A01" w:rsidRPr="00872D7E" w:rsidRDefault="00862A01" w:rsidP="00862A01">
            <w:pPr>
              <w:rPr>
                <w:color w:val="000000"/>
                <w:sz w:val="16"/>
                <w:szCs w:val="16"/>
              </w:rPr>
            </w:pPr>
            <w:r w:rsidRPr="00872D7E">
              <w:rPr>
                <w:snapToGrid w:val="0"/>
                <w:color w:val="000000"/>
                <w:sz w:val="16"/>
                <w:szCs w:val="16"/>
              </w:rPr>
              <w:t>Para Piyasalarına Borç</w:t>
            </w:r>
            <w:r w:rsidR="00AB415C" w:rsidRPr="00872D7E">
              <w:rPr>
                <w:snapToGrid w:val="0"/>
                <w:color w:val="000000"/>
                <w:sz w:val="16"/>
                <w:szCs w:val="16"/>
              </w:rPr>
              <w:t>lar</w:t>
            </w:r>
          </w:p>
        </w:tc>
        <w:tc>
          <w:tcPr>
            <w:tcW w:w="481" w:type="pct"/>
            <w:tcBorders>
              <w:top w:val="nil"/>
              <w:left w:val="nil"/>
              <w:bottom w:val="nil"/>
              <w:right w:val="nil"/>
            </w:tcBorders>
            <w:shd w:val="clear" w:color="auto" w:fill="auto"/>
            <w:vAlign w:val="bottom"/>
            <w:hideMark/>
          </w:tcPr>
          <w:p w14:paraId="294EB6EE"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4BCC8DFE" w14:textId="77777777" w:rsidR="00862A01" w:rsidRPr="00872D7E" w:rsidRDefault="00862A01" w:rsidP="00394E48">
            <w:pPr>
              <w:jc w:val="right"/>
              <w:rPr>
                <w:color w:val="000000"/>
                <w:sz w:val="16"/>
                <w:szCs w:val="16"/>
              </w:rPr>
            </w:pPr>
            <w:r w:rsidRPr="00872D7E">
              <w:rPr>
                <w:color w:val="000000"/>
                <w:sz w:val="16"/>
                <w:szCs w:val="16"/>
              </w:rPr>
              <w:t>480.631</w:t>
            </w:r>
          </w:p>
        </w:tc>
        <w:tc>
          <w:tcPr>
            <w:tcW w:w="481" w:type="pct"/>
            <w:tcBorders>
              <w:top w:val="nil"/>
              <w:left w:val="nil"/>
              <w:bottom w:val="nil"/>
              <w:right w:val="nil"/>
            </w:tcBorders>
            <w:shd w:val="clear" w:color="auto" w:fill="auto"/>
            <w:vAlign w:val="bottom"/>
            <w:hideMark/>
          </w:tcPr>
          <w:p w14:paraId="017038B2"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493BBBF6"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3A6A829"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B8DD906"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BCBBADC"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21CC512E" w14:textId="77777777" w:rsidR="00862A01" w:rsidRPr="00872D7E" w:rsidRDefault="00862A01" w:rsidP="00394E48">
            <w:pPr>
              <w:jc w:val="right"/>
              <w:rPr>
                <w:color w:val="000000"/>
                <w:sz w:val="16"/>
                <w:szCs w:val="16"/>
              </w:rPr>
            </w:pPr>
            <w:r w:rsidRPr="00872D7E">
              <w:rPr>
                <w:color w:val="000000"/>
                <w:sz w:val="16"/>
                <w:szCs w:val="16"/>
              </w:rPr>
              <w:t>480.631</w:t>
            </w:r>
          </w:p>
        </w:tc>
      </w:tr>
      <w:tr w:rsidR="00862A01" w:rsidRPr="00872D7E" w14:paraId="66C29838"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2E3C4319" w14:textId="77777777" w:rsidR="00862A01" w:rsidRPr="00872D7E" w:rsidRDefault="00862A01" w:rsidP="00862A01">
            <w:pPr>
              <w:rPr>
                <w:color w:val="000000"/>
                <w:sz w:val="16"/>
                <w:szCs w:val="16"/>
              </w:rPr>
            </w:pPr>
            <w:r w:rsidRPr="00872D7E">
              <w:rPr>
                <w:snapToGrid w:val="0"/>
                <w:color w:val="000000"/>
                <w:sz w:val="16"/>
                <w:szCs w:val="16"/>
              </w:rPr>
              <w:t>İhraç Edilen Menkul Kıymetler</w:t>
            </w:r>
          </w:p>
        </w:tc>
        <w:tc>
          <w:tcPr>
            <w:tcW w:w="481" w:type="pct"/>
            <w:tcBorders>
              <w:top w:val="nil"/>
              <w:left w:val="nil"/>
              <w:bottom w:val="nil"/>
              <w:right w:val="nil"/>
            </w:tcBorders>
            <w:shd w:val="clear" w:color="auto" w:fill="auto"/>
            <w:vAlign w:val="bottom"/>
            <w:hideMark/>
          </w:tcPr>
          <w:p w14:paraId="58E6D41F"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2A649263"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F50B3BB"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60C0FFD"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7CE048D"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5914C12"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422026E1"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680657F" w14:textId="77777777" w:rsidR="00862A01" w:rsidRPr="00872D7E" w:rsidRDefault="00862A01" w:rsidP="00394E48">
            <w:pPr>
              <w:jc w:val="right"/>
              <w:rPr>
                <w:color w:val="000000"/>
                <w:sz w:val="16"/>
                <w:szCs w:val="16"/>
              </w:rPr>
            </w:pPr>
            <w:r w:rsidRPr="00872D7E">
              <w:rPr>
                <w:color w:val="000000"/>
                <w:sz w:val="16"/>
                <w:szCs w:val="16"/>
              </w:rPr>
              <w:t>-</w:t>
            </w:r>
          </w:p>
        </w:tc>
      </w:tr>
      <w:tr w:rsidR="00862A01" w:rsidRPr="00872D7E" w14:paraId="666F37CE"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52568970" w14:textId="77777777" w:rsidR="00862A01" w:rsidRPr="00872D7E" w:rsidRDefault="00862A01" w:rsidP="00862A01">
            <w:pPr>
              <w:rPr>
                <w:color w:val="000000"/>
                <w:sz w:val="16"/>
                <w:szCs w:val="16"/>
              </w:rPr>
            </w:pPr>
            <w:r w:rsidRPr="00872D7E">
              <w:rPr>
                <w:snapToGrid w:val="0"/>
                <w:color w:val="000000"/>
                <w:sz w:val="16"/>
                <w:szCs w:val="16"/>
              </w:rPr>
              <w:t>Muhtelif Borçlar</w:t>
            </w:r>
          </w:p>
        </w:tc>
        <w:tc>
          <w:tcPr>
            <w:tcW w:w="481" w:type="pct"/>
            <w:tcBorders>
              <w:top w:val="nil"/>
              <w:left w:val="nil"/>
              <w:bottom w:val="nil"/>
              <w:right w:val="nil"/>
            </w:tcBorders>
            <w:shd w:val="clear" w:color="auto" w:fill="auto"/>
            <w:vAlign w:val="bottom"/>
            <w:hideMark/>
          </w:tcPr>
          <w:p w14:paraId="5CE37982"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DB958AE"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A8BC6A0"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F4FE9E7"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7CD0D7A"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08AAA87"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42BCF980" w14:textId="77777777" w:rsidR="00862A01" w:rsidRPr="00872D7E" w:rsidRDefault="00862A01" w:rsidP="00394E48">
            <w:pPr>
              <w:jc w:val="right"/>
              <w:rPr>
                <w:color w:val="000000"/>
                <w:sz w:val="16"/>
                <w:szCs w:val="16"/>
              </w:rPr>
            </w:pPr>
            <w:r w:rsidRPr="00872D7E">
              <w:rPr>
                <w:color w:val="000000"/>
                <w:sz w:val="16"/>
                <w:szCs w:val="16"/>
              </w:rPr>
              <w:t>222.639</w:t>
            </w:r>
          </w:p>
        </w:tc>
        <w:tc>
          <w:tcPr>
            <w:tcW w:w="481" w:type="pct"/>
            <w:tcBorders>
              <w:top w:val="nil"/>
              <w:left w:val="nil"/>
              <w:bottom w:val="nil"/>
              <w:right w:val="nil"/>
            </w:tcBorders>
            <w:shd w:val="clear" w:color="auto" w:fill="auto"/>
            <w:vAlign w:val="bottom"/>
            <w:hideMark/>
          </w:tcPr>
          <w:p w14:paraId="66BC7206" w14:textId="77777777" w:rsidR="00862A01" w:rsidRPr="00872D7E" w:rsidRDefault="00862A01" w:rsidP="00394E48">
            <w:pPr>
              <w:jc w:val="right"/>
              <w:rPr>
                <w:color w:val="000000"/>
                <w:sz w:val="16"/>
                <w:szCs w:val="16"/>
              </w:rPr>
            </w:pPr>
            <w:r w:rsidRPr="00872D7E">
              <w:rPr>
                <w:color w:val="000000"/>
                <w:sz w:val="16"/>
                <w:szCs w:val="16"/>
              </w:rPr>
              <w:t>222.639</w:t>
            </w:r>
          </w:p>
        </w:tc>
      </w:tr>
      <w:tr w:rsidR="00862A01" w:rsidRPr="00872D7E" w14:paraId="6705594A"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53BCBBB1" w14:textId="77777777" w:rsidR="00862A01" w:rsidRPr="00872D7E" w:rsidRDefault="00862A01" w:rsidP="00862A01">
            <w:pPr>
              <w:rPr>
                <w:color w:val="000000"/>
                <w:sz w:val="16"/>
                <w:szCs w:val="16"/>
                <w:lang w:eastAsia="tr-TR"/>
              </w:rPr>
            </w:pPr>
            <w:r w:rsidRPr="00872D7E">
              <w:rPr>
                <w:snapToGrid w:val="0"/>
                <w:color w:val="000000"/>
                <w:sz w:val="16"/>
                <w:szCs w:val="16"/>
              </w:rPr>
              <w:t>Diğer Yükümlülükler</w:t>
            </w:r>
            <w:r w:rsidRPr="00872D7E">
              <w:rPr>
                <w:color w:val="000000"/>
                <w:sz w:val="16"/>
                <w:szCs w:val="16"/>
              </w:rPr>
              <w:t xml:space="preserve"> </w:t>
            </w:r>
            <w:r w:rsidRPr="00872D7E">
              <w:rPr>
                <w:color w:val="000000"/>
                <w:sz w:val="16"/>
                <w:szCs w:val="16"/>
                <w:vertAlign w:val="superscript"/>
                <w:lang w:eastAsia="tr-TR"/>
              </w:rPr>
              <w:t>(*)</w:t>
            </w:r>
          </w:p>
        </w:tc>
        <w:tc>
          <w:tcPr>
            <w:tcW w:w="481" w:type="pct"/>
            <w:tcBorders>
              <w:top w:val="nil"/>
              <w:left w:val="nil"/>
              <w:bottom w:val="nil"/>
              <w:right w:val="nil"/>
            </w:tcBorders>
            <w:shd w:val="clear" w:color="auto" w:fill="auto"/>
            <w:vAlign w:val="bottom"/>
            <w:hideMark/>
          </w:tcPr>
          <w:p w14:paraId="0A7957AF"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6C259B01" w14:textId="77777777" w:rsidR="00862A01" w:rsidRPr="00872D7E" w:rsidRDefault="00862A01" w:rsidP="00394E48">
            <w:pPr>
              <w:jc w:val="right"/>
              <w:rPr>
                <w:color w:val="000000"/>
                <w:sz w:val="16"/>
                <w:szCs w:val="16"/>
              </w:rPr>
            </w:pPr>
            <w:r w:rsidRPr="00872D7E">
              <w:rPr>
                <w:color w:val="000000"/>
                <w:sz w:val="16"/>
                <w:szCs w:val="16"/>
              </w:rPr>
              <w:t>27.231</w:t>
            </w:r>
          </w:p>
        </w:tc>
        <w:tc>
          <w:tcPr>
            <w:tcW w:w="481" w:type="pct"/>
            <w:tcBorders>
              <w:top w:val="nil"/>
              <w:left w:val="nil"/>
              <w:bottom w:val="nil"/>
              <w:right w:val="nil"/>
            </w:tcBorders>
            <w:shd w:val="clear" w:color="auto" w:fill="auto"/>
            <w:vAlign w:val="bottom"/>
            <w:hideMark/>
          </w:tcPr>
          <w:p w14:paraId="79B86BAC" w14:textId="77777777" w:rsidR="00862A01" w:rsidRPr="00872D7E" w:rsidRDefault="00862A01" w:rsidP="00394E48">
            <w:pPr>
              <w:jc w:val="right"/>
              <w:rPr>
                <w:color w:val="000000"/>
                <w:sz w:val="16"/>
                <w:szCs w:val="16"/>
              </w:rPr>
            </w:pPr>
            <w:r w:rsidRPr="00872D7E">
              <w:rPr>
                <w:color w:val="000000"/>
                <w:sz w:val="16"/>
                <w:szCs w:val="16"/>
              </w:rPr>
              <w:t>2.800</w:t>
            </w:r>
          </w:p>
        </w:tc>
        <w:tc>
          <w:tcPr>
            <w:tcW w:w="481" w:type="pct"/>
            <w:tcBorders>
              <w:top w:val="nil"/>
              <w:left w:val="nil"/>
              <w:bottom w:val="nil"/>
              <w:right w:val="nil"/>
            </w:tcBorders>
            <w:shd w:val="clear" w:color="auto" w:fill="auto"/>
            <w:vAlign w:val="bottom"/>
            <w:hideMark/>
          </w:tcPr>
          <w:p w14:paraId="33079E7F" w14:textId="77777777" w:rsidR="00862A01" w:rsidRPr="00872D7E" w:rsidRDefault="00862A01" w:rsidP="00394E48">
            <w:pPr>
              <w:jc w:val="right"/>
              <w:rPr>
                <w:color w:val="000000"/>
                <w:sz w:val="16"/>
                <w:szCs w:val="16"/>
              </w:rPr>
            </w:pPr>
            <w:r w:rsidRPr="00872D7E">
              <w:rPr>
                <w:color w:val="000000"/>
                <w:sz w:val="16"/>
                <w:szCs w:val="16"/>
              </w:rPr>
              <w:t>8.219</w:t>
            </w:r>
          </w:p>
        </w:tc>
        <w:tc>
          <w:tcPr>
            <w:tcW w:w="481" w:type="pct"/>
            <w:tcBorders>
              <w:top w:val="nil"/>
              <w:left w:val="nil"/>
              <w:bottom w:val="nil"/>
              <w:right w:val="nil"/>
            </w:tcBorders>
            <w:shd w:val="clear" w:color="auto" w:fill="auto"/>
            <w:vAlign w:val="bottom"/>
            <w:hideMark/>
          </w:tcPr>
          <w:p w14:paraId="46582F19" w14:textId="77777777" w:rsidR="00862A01" w:rsidRPr="00872D7E" w:rsidRDefault="00862A01" w:rsidP="00394E48">
            <w:pPr>
              <w:jc w:val="right"/>
              <w:rPr>
                <w:color w:val="000000"/>
                <w:sz w:val="16"/>
                <w:szCs w:val="16"/>
              </w:rPr>
            </w:pPr>
            <w:r w:rsidRPr="00872D7E">
              <w:rPr>
                <w:color w:val="000000"/>
                <w:sz w:val="16"/>
                <w:szCs w:val="16"/>
              </w:rPr>
              <w:t>75.321</w:t>
            </w:r>
          </w:p>
        </w:tc>
        <w:tc>
          <w:tcPr>
            <w:tcW w:w="481" w:type="pct"/>
            <w:tcBorders>
              <w:top w:val="nil"/>
              <w:left w:val="nil"/>
              <w:bottom w:val="nil"/>
              <w:right w:val="nil"/>
            </w:tcBorders>
            <w:shd w:val="clear" w:color="auto" w:fill="auto"/>
            <w:vAlign w:val="bottom"/>
            <w:hideMark/>
          </w:tcPr>
          <w:p w14:paraId="4013BE6E" w14:textId="77777777" w:rsidR="00862A01" w:rsidRPr="00872D7E" w:rsidRDefault="00862A01" w:rsidP="00394E48">
            <w:pPr>
              <w:jc w:val="right"/>
              <w:rPr>
                <w:color w:val="000000"/>
                <w:sz w:val="16"/>
                <w:szCs w:val="16"/>
              </w:rPr>
            </w:pPr>
            <w:r w:rsidRPr="00872D7E">
              <w:rPr>
                <w:color w:val="000000"/>
                <w:sz w:val="16"/>
                <w:szCs w:val="16"/>
              </w:rPr>
              <w:t>30.680</w:t>
            </w:r>
          </w:p>
        </w:tc>
        <w:tc>
          <w:tcPr>
            <w:tcW w:w="481" w:type="pct"/>
            <w:tcBorders>
              <w:top w:val="nil"/>
              <w:left w:val="nil"/>
              <w:bottom w:val="nil"/>
              <w:right w:val="nil"/>
            </w:tcBorders>
            <w:shd w:val="clear" w:color="auto" w:fill="auto"/>
            <w:vAlign w:val="bottom"/>
            <w:hideMark/>
          </w:tcPr>
          <w:p w14:paraId="507D4E76" w14:textId="77777777" w:rsidR="00862A01" w:rsidRPr="00872D7E" w:rsidRDefault="00862A01" w:rsidP="00394E48">
            <w:pPr>
              <w:jc w:val="right"/>
              <w:rPr>
                <w:color w:val="000000"/>
                <w:sz w:val="16"/>
                <w:szCs w:val="16"/>
              </w:rPr>
            </w:pPr>
            <w:r w:rsidRPr="00872D7E">
              <w:rPr>
                <w:color w:val="000000"/>
                <w:sz w:val="16"/>
                <w:szCs w:val="16"/>
              </w:rPr>
              <w:t>8.040.687</w:t>
            </w:r>
          </w:p>
        </w:tc>
        <w:tc>
          <w:tcPr>
            <w:tcW w:w="481" w:type="pct"/>
            <w:tcBorders>
              <w:top w:val="nil"/>
              <w:left w:val="nil"/>
              <w:bottom w:val="nil"/>
              <w:right w:val="nil"/>
            </w:tcBorders>
            <w:shd w:val="clear" w:color="auto" w:fill="auto"/>
            <w:vAlign w:val="bottom"/>
            <w:hideMark/>
          </w:tcPr>
          <w:p w14:paraId="7237F029" w14:textId="77777777" w:rsidR="00862A01" w:rsidRPr="00872D7E" w:rsidRDefault="00862A01" w:rsidP="00394E48">
            <w:pPr>
              <w:jc w:val="right"/>
              <w:rPr>
                <w:color w:val="000000"/>
                <w:sz w:val="16"/>
                <w:szCs w:val="16"/>
              </w:rPr>
            </w:pPr>
            <w:r w:rsidRPr="00872D7E">
              <w:rPr>
                <w:color w:val="000000"/>
                <w:sz w:val="16"/>
                <w:szCs w:val="16"/>
              </w:rPr>
              <w:t>8.184.938</w:t>
            </w:r>
          </w:p>
        </w:tc>
      </w:tr>
      <w:tr w:rsidR="00862A01" w:rsidRPr="00872D7E" w14:paraId="4A8931FC"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533F6A96" w14:textId="77777777" w:rsidR="00862A01" w:rsidRPr="00872D7E" w:rsidRDefault="00862A01" w:rsidP="00862A01">
            <w:pPr>
              <w:jc w:val="right"/>
              <w:rPr>
                <w:color w:val="000000"/>
                <w:sz w:val="16"/>
                <w:szCs w:val="16"/>
              </w:rPr>
            </w:pPr>
          </w:p>
        </w:tc>
        <w:tc>
          <w:tcPr>
            <w:tcW w:w="481" w:type="pct"/>
            <w:tcBorders>
              <w:top w:val="nil"/>
              <w:left w:val="nil"/>
              <w:bottom w:val="nil"/>
              <w:right w:val="nil"/>
            </w:tcBorders>
            <w:shd w:val="clear" w:color="auto" w:fill="auto"/>
            <w:vAlign w:val="bottom"/>
            <w:hideMark/>
          </w:tcPr>
          <w:p w14:paraId="42E8DC40"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7A566255"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5F0743F9"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34C79348"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769F33E"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6A5734E"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744552BF"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22845A4E" w14:textId="77777777" w:rsidR="00862A01" w:rsidRPr="00872D7E" w:rsidRDefault="00862A01" w:rsidP="00394E48">
            <w:pPr>
              <w:jc w:val="right"/>
              <w:rPr>
                <w:sz w:val="16"/>
                <w:szCs w:val="16"/>
              </w:rPr>
            </w:pPr>
          </w:p>
        </w:tc>
      </w:tr>
      <w:tr w:rsidR="00862A01" w:rsidRPr="00872D7E" w14:paraId="479C1BA4" w14:textId="77777777" w:rsidTr="00394E48">
        <w:trPr>
          <w:divId w:val="1183666511"/>
          <w:trHeight w:val="170"/>
        </w:trPr>
        <w:tc>
          <w:tcPr>
            <w:tcW w:w="1153" w:type="pct"/>
            <w:tcBorders>
              <w:top w:val="single" w:sz="4" w:space="0" w:color="auto"/>
              <w:left w:val="nil"/>
              <w:bottom w:val="single" w:sz="4" w:space="0" w:color="auto"/>
              <w:right w:val="nil"/>
            </w:tcBorders>
            <w:shd w:val="clear" w:color="auto" w:fill="auto"/>
            <w:vAlign w:val="center"/>
            <w:hideMark/>
          </w:tcPr>
          <w:p w14:paraId="0C4F6D9C" w14:textId="77777777" w:rsidR="00862A01" w:rsidRPr="00872D7E" w:rsidRDefault="00862A01" w:rsidP="00862A01">
            <w:pPr>
              <w:rPr>
                <w:b/>
                <w:bCs/>
                <w:color w:val="000000"/>
                <w:sz w:val="16"/>
                <w:szCs w:val="16"/>
              </w:rPr>
            </w:pPr>
            <w:r w:rsidRPr="00872D7E">
              <w:rPr>
                <w:b/>
                <w:bCs/>
                <w:color w:val="000000"/>
                <w:sz w:val="16"/>
                <w:szCs w:val="16"/>
              </w:rPr>
              <w:t>Toplam Yükümlülükler</w:t>
            </w:r>
          </w:p>
        </w:tc>
        <w:tc>
          <w:tcPr>
            <w:tcW w:w="481" w:type="pct"/>
            <w:tcBorders>
              <w:top w:val="single" w:sz="4" w:space="0" w:color="auto"/>
              <w:left w:val="nil"/>
              <w:bottom w:val="single" w:sz="4" w:space="0" w:color="auto"/>
              <w:right w:val="nil"/>
            </w:tcBorders>
            <w:shd w:val="clear" w:color="auto" w:fill="auto"/>
            <w:vAlign w:val="bottom"/>
            <w:hideMark/>
          </w:tcPr>
          <w:p w14:paraId="5E2CC413" w14:textId="77777777" w:rsidR="00862A01" w:rsidRPr="00872D7E" w:rsidRDefault="00862A01" w:rsidP="00394E48">
            <w:pPr>
              <w:jc w:val="right"/>
              <w:rPr>
                <w:b/>
                <w:bCs/>
                <w:color w:val="000000"/>
                <w:sz w:val="16"/>
                <w:szCs w:val="16"/>
              </w:rPr>
            </w:pPr>
            <w:r w:rsidRPr="00872D7E">
              <w:rPr>
                <w:b/>
                <w:bCs/>
                <w:color w:val="000000"/>
                <w:sz w:val="16"/>
                <w:szCs w:val="16"/>
              </w:rPr>
              <w:t>2.410.561</w:t>
            </w:r>
          </w:p>
        </w:tc>
        <w:tc>
          <w:tcPr>
            <w:tcW w:w="481" w:type="pct"/>
            <w:tcBorders>
              <w:top w:val="single" w:sz="4" w:space="0" w:color="auto"/>
              <w:left w:val="nil"/>
              <w:bottom w:val="single" w:sz="4" w:space="0" w:color="auto"/>
              <w:right w:val="nil"/>
            </w:tcBorders>
            <w:shd w:val="clear" w:color="auto" w:fill="auto"/>
            <w:vAlign w:val="bottom"/>
            <w:hideMark/>
          </w:tcPr>
          <w:p w14:paraId="766AF4E6" w14:textId="77777777" w:rsidR="00862A01" w:rsidRPr="00872D7E" w:rsidRDefault="00862A01" w:rsidP="00394E48">
            <w:pPr>
              <w:jc w:val="right"/>
              <w:rPr>
                <w:b/>
                <w:bCs/>
                <w:color w:val="000000"/>
                <w:sz w:val="16"/>
                <w:szCs w:val="16"/>
              </w:rPr>
            </w:pPr>
            <w:r w:rsidRPr="00872D7E">
              <w:rPr>
                <w:b/>
                <w:bCs/>
                <w:color w:val="000000"/>
                <w:sz w:val="16"/>
                <w:szCs w:val="16"/>
              </w:rPr>
              <w:t>14.501.550</w:t>
            </w:r>
          </w:p>
        </w:tc>
        <w:tc>
          <w:tcPr>
            <w:tcW w:w="481" w:type="pct"/>
            <w:tcBorders>
              <w:top w:val="single" w:sz="4" w:space="0" w:color="auto"/>
              <w:left w:val="nil"/>
              <w:bottom w:val="single" w:sz="4" w:space="0" w:color="auto"/>
              <w:right w:val="nil"/>
            </w:tcBorders>
            <w:shd w:val="clear" w:color="auto" w:fill="auto"/>
            <w:vAlign w:val="bottom"/>
            <w:hideMark/>
          </w:tcPr>
          <w:p w14:paraId="00422042" w14:textId="77777777" w:rsidR="00862A01" w:rsidRPr="00872D7E" w:rsidRDefault="00862A01" w:rsidP="00394E48">
            <w:pPr>
              <w:jc w:val="right"/>
              <w:rPr>
                <w:b/>
                <w:bCs/>
                <w:color w:val="000000"/>
                <w:sz w:val="16"/>
                <w:szCs w:val="16"/>
              </w:rPr>
            </w:pPr>
            <w:r w:rsidRPr="00872D7E">
              <w:rPr>
                <w:b/>
                <w:bCs/>
                <w:color w:val="000000"/>
                <w:sz w:val="16"/>
                <w:szCs w:val="16"/>
              </w:rPr>
              <w:t>7.763.461</w:t>
            </w:r>
          </w:p>
        </w:tc>
        <w:tc>
          <w:tcPr>
            <w:tcW w:w="481" w:type="pct"/>
            <w:tcBorders>
              <w:top w:val="single" w:sz="4" w:space="0" w:color="auto"/>
              <w:left w:val="nil"/>
              <w:bottom w:val="single" w:sz="4" w:space="0" w:color="auto"/>
              <w:right w:val="nil"/>
            </w:tcBorders>
            <w:shd w:val="clear" w:color="auto" w:fill="auto"/>
            <w:vAlign w:val="bottom"/>
            <w:hideMark/>
          </w:tcPr>
          <w:p w14:paraId="03DC2B78" w14:textId="77777777" w:rsidR="00862A01" w:rsidRPr="00872D7E" w:rsidRDefault="00862A01" w:rsidP="00394E48">
            <w:pPr>
              <w:jc w:val="right"/>
              <w:rPr>
                <w:b/>
                <w:bCs/>
                <w:color w:val="000000"/>
                <w:sz w:val="16"/>
                <w:szCs w:val="16"/>
              </w:rPr>
            </w:pPr>
            <w:r w:rsidRPr="00872D7E">
              <w:rPr>
                <w:b/>
                <w:bCs/>
                <w:color w:val="000000"/>
                <w:sz w:val="16"/>
                <w:szCs w:val="16"/>
              </w:rPr>
              <w:t>1.590.258</w:t>
            </w:r>
          </w:p>
        </w:tc>
        <w:tc>
          <w:tcPr>
            <w:tcW w:w="481" w:type="pct"/>
            <w:tcBorders>
              <w:top w:val="single" w:sz="4" w:space="0" w:color="auto"/>
              <w:left w:val="nil"/>
              <w:bottom w:val="single" w:sz="4" w:space="0" w:color="auto"/>
              <w:right w:val="nil"/>
            </w:tcBorders>
            <w:shd w:val="clear" w:color="auto" w:fill="auto"/>
            <w:vAlign w:val="bottom"/>
            <w:hideMark/>
          </w:tcPr>
          <w:p w14:paraId="307C4382" w14:textId="77777777" w:rsidR="00862A01" w:rsidRPr="00872D7E" w:rsidRDefault="00862A01" w:rsidP="00394E48">
            <w:pPr>
              <w:jc w:val="right"/>
              <w:rPr>
                <w:b/>
                <w:bCs/>
                <w:color w:val="000000"/>
                <w:sz w:val="16"/>
                <w:szCs w:val="16"/>
              </w:rPr>
            </w:pPr>
            <w:r w:rsidRPr="00872D7E">
              <w:rPr>
                <w:b/>
                <w:bCs/>
                <w:color w:val="000000"/>
                <w:sz w:val="16"/>
                <w:szCs w:val="16"/>
              </w:rPr>
              <w:t>75.321</w:t>
            </w:r>
          </w:p>
        </w:tc>
        <w:tc>
          <w:tcPr>
            <w:tcW w:w="481" w:type="pct"/>
            <w:tcBorders>
              <w:top w:val="single" w:sz="4" w:space="0" w:color="auto"/>
              <w:left w:val="nil"/>
              <w:bottom w:val="single" w:sz="4" w:space="0" w:color="auto"/>
              <w:right w:val="nil"/>
            </w:tcBorders>
            <w:shd w:val="clear" w:color="auto" w:fill="auto"/>
            <w:vAlign w:val="bottom"/>
            <w:hideMark/>
          </w:tcPr>
          <w:p w14:paraId="2A369AD2" w14:textId="77777777" w:rsidR="00862A01" w:rsidRPr="00872D7E" w:rsidRDefault="00862A01" w:rsidP="00394E48">
            <w:pPr>
              <w:jc w:val="right"/>
              <w:rPr>
                <w:b/>
                <w:bCs/>
                <w:color w:val="000000"/>
                <w:sz w:val="16"/>
                <w:szCs w:val="16"/>
              </w:rPr>
            </w:pPr>
            <w:r w:rsidRPr="00872D7E">
              <w:rPr>
                <w:b/>
                <w:bCs/>
                <w:color w:val="000000"/>
                <w:sz w:val="16"/>
                <w:szCs w:val="16"/>
              </w:rPr>
              <w:t>30.680</w:t>
            </w:r>
          </w:p>
        </w:tc>
        <w:tc>
          <w:tcPr>
            <w:tcW w:w="481" w:type="pct"/>
            <w:tcBorders>
              <w:top w:val="single" w:sz="4" w:space="0" w:color="auto"/>
              <w:left w:val="nil"/>
              <w:bottom w:val="single" w:sz="4" w:space="0" w:color="auto"/>
              <w:right w:val="nil"/>
            </w:tcBorders>
            <w:shd w:val="clear" w:color="auto" w:fill="auto"/>
            <w:vAlign w:val="bottom"/>
            <w:hideMark/>
          </w:tcPr>
          <w:p w14:paraId="0BDE2D9E" w14:textId="77777777" w:rsidR="00862A01" w:rsidRPr="00872D7E" w:rsidRDefault="00862A01" w:rsidP="00394E48">
            <w:pPr>
              <w:jc w:val="right"/>
              <w:rPr>
                <w:b/>
                <w:bCs/>
                <w:color w:val="000000"/>
                <w:sz w:val="16"/>
                <w:szCs w:val="16"/>
              </w:rPr>
            </w:pPr>
            <w:r w:rsidRPr="00872D7E">
              <w:rPr>
                <w:b/>
                <w:bCs/>
                <w:color w:val="000000"/>
                <w:sz w:val="16"/>
                <w:szCs w:val="16"/>
              </w:rPr>
              <w:t>8.263.326</w:t>
            </w:r>
          </w:p>
        </w:tc>
        <w:tc>
          <w:tcPr>
            <w:tcW w:w="481" w:type="pct"/>
            <w:tcBorders>
              <w:top w:val="single" w:sz="4" w:space="0" w:color="auto"/>
              <w:left w:val="nil"/>
              <w:bottom w:val="single" w:sz="4" w:space="0" w:color="auto"/>
              <w:right w:val="nil"/>
            </w:tcBorders>
            <w:shd w:val="clear" w:color="auto" w:fill="auto"/>
            <w:vAlign w:val="bottom"/>
            <w:hideMark/>
          </w:tcPr>
          <w:p w14:paraId="6588AE85" w14:textId="77777777" w:rsidR="00862A01" w:rsidRPr="00872D7E" w:rsidRDefault="00862A01" w:rsidP="00394E48">
            <w:pPr>
              <w:jc w:val="right"/>
              <w:rPr>
                <w:b/>
                <w:bCs/>
                <w:color w:val="000000"/>
                <w:sz w:val="16"/>
                <w:szCs w:val="16"/>
              </w:rPr>
            </w:pPr>
            <w:r w:rsidRPr="00872D7E">
              <w:rPr>
                <w:b/>
                <w:bCs/>
                <w:color w:val="000000"/>
                <w:sz w:val="16"/>
                <w:szCs w:val="16"/>
              </w:rPr>
              <w:t>34.635.157</w:t>
            </w:r>
          </w:p>
        </w:tc>
      </w:tr>
      <w:tr w:rsidR="00862A01" w:rsidRPr="00872D7E" w14:paraId="2FF89AB6"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4ADD335A" w14:textId="77777777" w:rsidR="00862A01" w:rsidRPr="00872D7E" w:rsidRDefault="00862A01" w:rsidP="00862A01">
            <w:pPr>
              <w:jc w:val="right"/>
              <w:rPr>
                <w:b/>
                <w:bCs/>
                <w:color w:val="000000"/>
                <w:sz w:val="16"/>
                <w:szCs w:val="16"/>
              </w:rPr>
            </w:pPr>
          </w:p>
        </w:tc>
        <w:tc>
          <w:tcPr>
            <w:tcW w:w="481" w:type="pct"/>
            <w:tcBorders>
              <w:top w:val="nil"/>
              <w:left w:val="nil"/>
              <w:bottom w:val="nil"/>
              <w:right w:val="nil"/>
            </w:tcBorders>
            <w:shd w:val="clear" w:color="auto" w:fill="auto"/>
            <w:vAlign w:val="bottom"/>
            <w:hideMark/>
          </w:tcPr>
          <w:p w14:paraId="2307D632"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7EB0EF1D"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4D21927"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B1BE37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27F2B842"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2593760C"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25247B6F"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03A01956" w14:textId="77777777" w:rsidR="00862A01" w:rsidRPr="00872D7E" w:rsidRDefault="00862A01" w:rsidP="00394E48">
            <w:pPr>
              <w:jc w:val="right"/>
              <w:rPr>
                <w:sz w:val="16"/>
                <w:szCs w:val="16"/>
              </w:rPr>
            </w:pPr>
          </w:p>
        </w:tc>
      </w:tr>
      <w:tr w:rsidR="00862A01" w:rsidRPr="00872D7E" w14:paraId="6578CEC1" w14:textId="77777777" w:rsidTr="00394E48">
        <w:trPr>
          <w:divId w:val="1183666511"/>
          <w:trHeight w:val="170"/>
        </w:trPr>
        <w:tc>
          <w:tcPr>
            <w:tcW w:w="1153" w:type="pct"/>
            <w:tcBorders>
              <w:top w:val="single" w:sz="4" w:space="0" w:color="auto"/>
              <w:left w:val="nil"/>
              <w:bottom w:val="single" w:sz="4" w:space="0" w:color="auto"/>
              <w:right w:val="nil"/>
            </w:tcBorders>
            <w:shd w:val="clear" w:color="auto" w:fill="auto"/>
            <w:vAlign w:val="center"/>
            <w:hideMark/>
          </w:tcPr>
          <w:p w14:paraId="6F5400DF" w14:textId="77777777" w:rsidR="00862A01" w:rsidRPr="00872D7E" w:rsidRDefault="00862A01" w:rsidP="00862A01">
            <w:pPr>
              <w:rPr>
                <w:b/>
                <w:bCs/>
                <w:color w:val="000000"/>
                <w:sz w:val="16"/>
                <w:szCs w:val="16"/>
              </w:rPr>
            </w:pPr>
            <w:r w:rsidRPr="00872D7E">
              <w:rPr>
                <w:b/>
                <w:bCs/>
                <w:color w:val="000000"/>
                <w:sz w:val="16"/>
                <w:szCs w:val="16"/>
              </w:rPr>
              <w:t>Likidite (Açığı)/Fazlası</w:t>
            </w:r>
          </w:p>
        </w:tc>
        <w:tc>
          <w:tcPr>
            <w:tcW w:w="481" w:type="pct"/>
            <w:tcBorders>
              <w:top w:val="single" w:sz="4" w:space="0" w:color="auto"/>
              <w:left w:val="nil"/>
              <w:bottom w:val="single" w:sz="4" w:space="0" w:color="auto"/>
              <w:right w:val="nil"/>
            </w:tcBorders>
            <w:shd w:val="clear" w:color="auto" w:fill="auto"/>
            <w:vAlign w:val="bottom"/>
            <w:hideMark/>
          </w:tcPr>
          <w:p w14:paraId="04B2532A" w14:textId="77777777" w:rsidR="00862A01" w:rsidRPr="00872D7E" w:rsidRDefault="00862A01" w:rsidP="00394E48">
            <w:pPr>
              <w:jc w:val="right"/>
              <w:rPr>
                <w:b/>
                <w:bCs/>
                <w:color w:val="000000"/>
                <w:sz w:val="16"/>
                <w:szCs w:val="16"/>
              </w:rPr>
            </w:pPr>
            <w:r w:rsidRPr="00872D7E">
              <w:rPr>
                <w:b/>
                <w:bCs/>
                <w:color w:val="000000"/>
                <w:sz w:val="16"/>
                <w:szCs w:val="16"/>
              </w:rPr>
              <w:t>3.066.826</w:t>
            </w:r>
          </w:p>
        </w:tc>
        <w:tc>
          <w:tcPr>
            <w:tcW w:w="481" w:type="pct"/>
            <w:tcBorders>
              <w:top w:val="single" w:sz="4" w:space="0" w:color="auto"/>
              <w:left w:val="nil"/>
              <w:bottom w:val="single" w:sz="4" w:space="0" w:color="auto"/>
              <w:right w:val="nil"/>
            </w:tcBorders>
            <w:shd w:val="clear" w:color="auto" w:fill="auto"/>
            <w:vAlign w:val="bottom"/>
            <w:hideMark/>
          </w:tcPr>
          <w:p w14:paraId="482D3851" w14:textId="77777777" w:rsidR="00862A01" w:rsidRPr="00872D7E" w:rsidRDefault="00862A01" w:rsidP="00394E48">
            <w:pPr>
              <w:jc w:val="right"/>
              <w:rPr>
                <w:b/>
                <w:bCs/>
                <w:color w:val="000000"/>
                <w:sz w:val="16"/>
                <w:szCs w:val="16"/>
              </w:rPr>
            </w:pPr>
            <w:r w:rsidRPr="00872D7E">
              <w:rPr>
                <w:b/>
                <w:bCs/>
                <w:color w:val="000000"/>
                <w:sz w:val="16"/>
                <w:szCs w:val="16"/>
              </w:rPr>
              <w:t>(6.322.581)</w:t>
            </w:r>
          </w:p>
        </w:tc>
        <w:tc>
          <w:tcPr>
            <w:tcW w:w="481" w:type="pct"/>
            <w:tcBorders>
              <w:top w:val="single" w:sz="4" w:space="0" w:color="auto"/>
              <w:left w:val="nil"/>
              <w:bottom w:val="single" w:sz="4" w:space="0" w:color="auto"/>
              <w:right w:val="nil"/>
            </w:tcBorders>
            <w:shd w:val="clear" w:color="auto" w:fill="auto"/>
            <w:vAlign w:val="bottom"/>
            <w:hideMark/>
          </w:tcPr>
          <w:p w14:paraId="09D64EE6" w14:textId="77777777" w:rsidR="00862A01" w:rsidRPr="00872D7E" w:rsidRDefault="00862A01" w:rsidP="00394E48">
            <w:pPr>
              <w:jc w:val="right"/>
              <w:rPr>
                <w:b/>
                <w:bCs/>
                <w:color w:val="000000"/>
                <w:sz w:val="16"/>
                <w:szCs w:val="16"/>
                <w:lang w:eastAsia="tr-TR"/>
              </w:rPr>
            </w:pPr>
            <w:r w:rsidRPr="00872D7E">
              <w:rPr>
                <w:b/>
                <w:bCs/>
                <w:color w:val="000000"/>
                <w:sz w:val="16"/>
                <w:szCs w:val="16"/>
              </w:rPr>
              <w:t>(1.847.559</w:t>
            </w:r>
            <w:r w:rsidRPr="00872D7E">
              <w:rPr>
                <w:b/>
                <w:bCs/>
                <w:color w:val="000000"/>
                <w:sz w:val="16"/>
                <w:szCs w:val="16"/>
                <w:lang w:eastAsia="tr-TR"/>
              </w:rPr>
              <w:t>)</w:t>
            </w:r>
          </w:p>
        </w:tc>
        <w:tc>
          <w:tcPr>
            <w:tcW w:w="481" w:type="pct"/>
            <w:tcBorders>
              <w:top w:val="single" w:sz="4" w:space="0" w:color="auto"/>
              <w:left w:val="nil"/>
              <w:bottom w:val="single" w:sz="4" w:space="0" w:color="auto"/>
              <w:right w:val="nil"/>
            </w:tcBorders>
            <w:shd w:val="clear" w:color="auto" w:fill="auto"/>
            <w:vAlign w:val="bottom"/>
            <w:hideMark/>
          </w:tcPr>
          <w:p w14:paraId="7D9D8E5D" w14:textId="77777777" w:rsidR="00862A01" w:rsidRPr="00872D7E" w:rsidRDefault="00862A01" w:rsidP="00394E48">
            <w:pPr>
              <w:jc w:val="right"/>
              <w:rPr>
                <w:b/>
                <w:bCs/>
                <w:color w:val="000000"/>
                <w:sz w:val="16"/>
                <w:szCs w:val="16"/>
              </w:rPr>
            </w:pPr>
            <w:r w:rsidRPr="00872D7E">
              <w:rPr>
                <w:b/>
                <w:bCs/>
                <w:color w:val="000000"/>
                <w:sz w:val="16"/>
                <w:szCs w:val="16"/>
              </w:rPr>
              <w:t>6.959.379</w:t>
            </w:r>
          </w:p>
        </w:tc>
        <w:tc>
          <w:tcPr>
            <w:tcW w:w="481" w:type="pct"/>
            <w:tcBorders>
              <w:top w:val="single" w:sz="4" w:space="0" w:color="auto"/>
              <w:left w:val="nil"/>
              <w:bottom w:val="single" w:sz="4" w:space="0" w:color="auto"/>
              <w:right w:val="nil"/>
            </w:tcBorders>
            <w:shd w:val="clear" w:color="auto" w:fill="auto"/>
            <w:vAlign w:val="bottom"/>
            <w:hideMark/>
          </w:tcPr>
          <w:p w14:paraId="206B8A8F" w14:textId="77777777" w:rsidR="00862A01" w:rsidRPr="00872D7E" w:rsidRDefault="00862A01" w:rsidP="00394E48">
            <w:pPr>
              <w:jc w:val="right"/>
              <w:rPr>
                <w:b/>
                <w:bCs/>
                <w:color w:val="000000"/>
                <w:sz w:val="16"/>
                <w:szCs w:val="16"/>
              </w:rPr>
            </w:pPr>
            <w:r w:rsidRPr="00872D7E">
              <w:rPr>
                <w:b/>
                <w:bCs/>
                <w:color w:val="000000"/>
                <w:sz w:val="16"/>
                <w:szCs w:val="16"/>
              </w:rPr>
              <w:t>5.429.557</w:t>
            </w:r>
          </w:p>
        </w:tc>
        <w:tc>
          <w:tcPr>
            <w:tcW w:w="481" w:type="pct"/>
            <w:tcBorders>
              <w:top w:val="single" w:sz="4" w:space="0" w:color="auto"/>
              <w:left w:val="nil"/>
              <w:bottom w:val="single" w:sz="4" w:space="0" w:color="auto"/>
              <w:right w:val="nil"/>
            </w:tcBorders>
            <w:shd w:val="clear" w:color="auto" w:fill="auto"/>
            <w:vAlign w:val="bottom"/>
            <w:hideMark/>
          </w:tcPr>
          <w:p w14:paraId="58AF64B1" w14:textId="77777777" w:rsidR="00862A01" w:rsidRPr="00872D7E" w:rsidRDefault="00862A01" w:rsidP="00394E48">
            <w:pPr>
              <w:jc w:val="right"/>
              <w:rPr>
                <w:b/>
                <w:bCs/>
                <w:color w:val="000000"/>
                <w:sz w:val="16"/>
                <w:szCs w:val="16"/>
                <w:lang w:eastAsia="tr-TR"/>
              </w:rPr>
            </w:pPr>
            <w:r w:rsidRPr="00872D7E">
              <w:rPr>
                <w:b/>
                <w:bCs/>
                <w:color w:val="000000"/>
                <w:sz w:val="16"/>
                <w:szCs w:val="16"/>
              </w:rPr>
              <w:t>(30.680</w:t>
            </w:r>
            <w:r w:rsidRPr="00872D7E">
              <w:rPr>
                <w:b/>
                <w:bCs/>
                <w:color w:val="000000"/>
                <w:sz w:val="16"/>
                <w:szCs w:val="16"/>
                <w:lang w:eastAsia="tr-TR"/>
              </w:rPr>
              <w:t>)</w:t>
            </w:r>
          </w:p>
        </w:tc>
        <w:tc>
          <w:tcPr>
            <w:tcW w:w="481" w:type="pct"/>
            <w:tcBorders>
              <w:top w:val="single" w:sz="4" w:space="0" w:color="auto"/>
              <w:left w:val="nil"/>
              <w:bottom w:val="single" w:sz="4" w:space="0" w:color="auto"/>
              <w:right w:val="nil"/>
            </w:tcBorders>
            <w:shd w:val="clear" w:color="auto" w:fill="auto"/>
            <w:vAlign w:val="bottom"/>
            <w:hideMark/>
          </w:tcPr>
          <w:p w14:paraId="5BB6C4D9" w14:textId="77777777" w:rsidR="00862A01" w:rsidRPr="00872D7E" w:rsidRDefault="00862A01" w:rsidP="00394E48">
            <w:pPr>
              <w:jc w:val="right"/>
              <w:rPr>
                <w:b/>
                <w:bCs/>
                <w:color w:val="000000"/>
                <w:sz w:val="16"/>
                <w:szCs w:val="16"/>
              </w:rPr>
            </w:pPr>
            <w:r w:rsidRPr="00872D7E">
              <w:rPr>
                <w:b/>
                <w:bCs/>
                <w:color w:val="000000"/>
                <w:sz w:val="16"/>
                <w:szCs w:val="16"/>
              </w:rPr>
              <w:t>(7.254.942)</w:t>
            </w:r>
          </w:p>
        </w:tc>
        <w:tc>
          <w:tcPr>
            <w:tcW w:w="481" w:type="pct"/>
            <w:tcBorders>
              <w:top w:val="single" w:sz="4" w:space="0" w:color="auto"/>
              <w:left w:val="nil"/>
              <w:bottom w:val="single" w:sz="4" w:space="0" w:color="auto"/>
              <w:right w:val="nil"/>
            </w:tcBorders>
            <w:shd w:val="clear" w:color="auto" w:fill="auto"/>
            <w:vAlign w:val="bottom"/>
            <w:hideMark/>
          </w:tcPr>
          <w:p w14:paraId="0DAA9DEA" w14:textId="77777777" w:rsidR="00862A01" w:rsidRPr="00872D7E" w:rsidRDefault="00862A01" w:rsidP="00394E48">
            <w:pPr>
              <w:jc w:val="right"/>
              <w:rPr>
                <w:b/>
                <w:bCs/>
                <w:color w:val="000000"/>
                <w:sz w:val="16"/>
                <w:szCs w:val="16"/>
              </w:rPr>
            </w:pPr>
            <w:r w:rsidRPr="00872D7E">
              <w:rPr>
                <w:b/>
                <w:bCs/>
                <w:color w:val="000000"/>
                <w:sz w:val="16"/>
                <w:szCs w:val="16"/>
              </w:rPr>
              <w:t>-</w:t>
            </w:r>
          </w:p>
        </w:tc>
      </w:tr>
      <w:tr w:rsidR="00862A01" w:rsidRPr="00872D7E" w14:paraId="5B243A18"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66A0BD85" w14:textId="77777777" w:rsidR="00862A01" w:rsidRPr="00872D7E" w:rsidRDefault="00862A01" w:rsidP="00862A01">
            <w:pPr>
              <w:jc w:val="right"/>
              <w:rPr>
                <w:b/>
                <w:bCs/>
                <w:color w:val="000000"/>
                <w:sz w:val="16"/>
                <w:szCs w:val="16"/>
              </w:rPr>
            </w:pPr>
          </w:p>
        </w:tc>
        <w:tc>
          <w:tcPr>
            <w:tcW w:w="481" w:type="pct"/>
            <w:tcBorders>
              <w:top w:val="nil"/>
              <w:left w:val="nil"/>
              <w:bottom w:val="nil"/>
              <w:right w:val="nil"/>
            </w:tcBorders>
            <w:shd w:val="clear" w:color="auto" w:fill="auto"/>
            <w:vAlign w:val="bottom"/>
            <w:hideMark/>
          </w:tcPr>
          <w:p w14:paraId="3F937760"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17577279"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10CF4235"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7A2BB235"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79609BF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0A4CC86D"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3EB1A1CA"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3F9891F5" w14:textId="77777777" w:rsidR="00862A01" w:rsidRPr="00872D7E" w:rsidRDefault="00862A01" w:rsidP="00394E48">
            <w:pPr>
              <w:jc w:val="right"/>
              <w:rPr>
                <w:sz w:val="16"/>
                <w:szCs w:val="16"/>
              </w:rPr>
            </w:pPr>
          </w:p>
        </w:tc>
      </w:tr>
      <w:tr w:rsidR="00862A01" w:rsidRPr="00872D7E" w14:paraId="1396CE6F" w14:textId="77777777" w:rsidTr="00394E48">
        <w:trPr>
          <w:divId w:val="1183666511"/>
          <w:trHeight w:val="170"/>
        </w:trPr>
        <w:tc>
          <w:tcPr>
            <w:tcW w:w="1153" w:type="pct"/>
            <w:tcBorders>
              <w:top w:val="single" w:sz="4" w:space="0" w:color="auto"/>
              <w:left w:val="nil"/>
              <w:bottom w:val="single" w:sz="4" w:space="0" w:color="auto"/>
              <w:right w:val="nil"/>
            </w:tcBorders>
            <w:shd w:val="clear" w:color="auto" w:fill="auto"/>
            <w:vAlign w:val="center"/>
            <w:hideMark/>
          </w:tcPr>
          <w:p w14:paraId="17D59F9C" w14:textId="77777777" w:rsidR="00862A01" w:rsidRPr="00872D7E" w:rsidRDefault="00862A01" w:rsidP="00862A01">
            <w:pPr>
              <w:rPr>
                <w:b/>
                <w:bCs/>
                <w:color w:val="000000"/>
                <w:sz w:val="16"/>
                <w:szCs w:val="16"/>
              </w:rPr>
            </w:pPr>
            <w:r w:rsidRPr="00872D7E">
              <w:rPr>
                <w:b/>
                <w:bCs/>
                <w:color w:val="000000"/>
                <w:sz w:val="16"/>
                <w:szCs w:val="16"/>
              </w:rPr>
              <w:t>Net Bilanço Dışı Pozisyonu</w:t>
            </w:r>
          </w:p>
        </w:tc>
        <w:tc>
          <w:tcPr>
            <w:tcW w:w="481" w:type="pct"/>
            <w:tcBorders>
              <w:top w:val="single" w:sz="4" w:space="0" w:color="auto"/>
              <w:left w:val="nil"/>
              <w:bottom w:val="single" w:sz="4" w:space="0" w:color="auto"/>
              <w:right w:val="nil"/>
            </w:tcBorders>
            <w:shd w:val="clear" w:color="auto" w:fill="auto"/>
            <w:vAlign w:val="bottom"/>
            <w:hideMark/>
          </w:tcPr>
          <w:p w14:paraId="7958E4EE"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625386AE" w14:textId="77777777" w:rsidR="00862A01" w:rsidRPr="00872D7E" w:rsidRDefault="00862A01" w:rsidP="00394E48">
            <w:pPr>
              <w:jc w:val="right"/>
              <w:rPr>
                <w:b/>
                <w:bCs/>
                <w:color w:val="000000"/>
                <w:sz w:val="16"/>
                <w:szCs w:val="16"/>
                <w:lang w:eastAsia="tr-TR"/>
              </w:rPr>
            </w:pPr>
            <w:r w:rsidRPr="00872D7E">
              <w:rPr>
                <w:b/>
                <w:bCs/>
                <w:color w:val="000000"/>
                <w:sz w:val="16"/>
                <w:szCs w:val="16"/>
              </w:rPr>
              <w:t>(7.449</w:t>
            </w:r>
            <w:r w:rsidRPr="00872D7E">
              <w:rPr>
                <w:b/>
                <w:bCs/>
                <w:color w:val="000000"/>
                <w:sz w:val="16"/>
                <w:szCs w:val="16"/>
                <w:lang w:eastAsia="tr-TR"/>
              </w:rPr>
              <w:t>)</w:t>
            </w:r>
          </w:p>
        </w:tc>
        <w:tc>
          <w:tcPr>
            <w:tcW w:w="481" w:type="pct"/>
            <w:tcBorders>
              <w:top w:val="single" w:sz="4" w:space="0" w:color="auto"/>
              <w:left w:val="nil"/>
              <w:bottom w:val="single" w:sz="4" w:space="0" w:color="auto"/>
              <w:right w:val="nil"/>
            </w:tcBorders>
            <w:shd w:val="clear" w:color="auto" w:fill="auto"/>
            <w:vAlign w:val="bottom"/>
            <w:hideMark/>
          </w:tcPr>
          <w:p w14:paraId="3962A3BE"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18308465"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1853DE67"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6487C25F"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4738B61D"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65AF5D2F" w14:textId="77777777" w:rsidR="00862A01" w:rsidRPr="00872D7E" w:rsidRDefault="00862A01" w:rsidP="00394E48">
            <w:pPr>
              <w:jc w:val="right"/>
              <w:rPr>
                <w:b/>
                <w:bCs/>
                <w:color w:val="000000"/>
                <w:sz w:val="16"/>
                <w:szCs w:val="16"/>
                <w:lang w:eastAsia="tr-TR"/>
              </w:rPr>
            </w:pPr>
            <w:r w:rsidRPr="00872D7E">
              <w:rPr>
                <w:b/>
                <w:bCs/>
                <w:color w:val="000000"/>
                <w:sz w:val="16"/>
                <w:szCs w:val="16"/>
              </w:rPr>
              <w:t>(7.449</w:t>
            </w:r>
            <w:r w:rsidRPr="00872D7E">
              <w:rPr>
                <w:b/>
                <w:bCs/>
                <w:color w:val="000000"/>
                <w:sz w:val="16"/>
                <w:szCs w:val="16"/>
                <w:lang w:eastAsia="tr-TR"/>
              </w:rPr>
              <w:t>)</w:t>
            </w:r>
          </w:p>
        </w:tc>
      </w:tr>
      <w:tr w:rsidR="00862A01" w:rsidRPr="00872D7E" w14:paraId="470F7669"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1B7A438E" w14:textId="77777777" w:rsidR="00862A01" w:rsidRPr="00872D7E" w:rsidRDefault="00862A01" w:rsidP="00862A01">
            <w:pPr>
              <w:rPr>
                <w:color w:val="000000"/>
                <w:sz w:val="16"/>
                <w:szCs w:val="16"/>
              </w:rPr>
            </w:pPr>
            <w:r w:rsidRPr="00872D7E">
              <w:rPr>
                <w:snapToGrid w:val="0"/>
                <w:color w:val="000000"/>
                <w:sz w:val="16"/>
                <w:szCs w:val="16"/>
              </w:rPr>
              <w:t>Türev Finansal Araçlardan Alacaklar</w:t>
            </w:r>
          </w:p>
        </w:tc>
        <w:tc>
          <w:tcPr>
            <w:tcW w:w="481" w:type="pct"/>
            <w:tcBorders>
              <w:top w:val="nil"/>
              <w:left w:val="nil"/>
              <w:bottom w:val="nil"/>
              <w:right w:val="nil"/>
            </w:tcBorders>
            <w:shd w:val="clear" w:color="auto" w:fill="auto"/>
            <w:vAlign w:val="bottom"/>
            <w:hideMark/>
          </w:tcPr>
          <w:p w14:paraId="3C7E6026"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573B692C" w14:textId="77777777" w:rsidR="00862A01" w:rsidRPr="00872D7E" w:rsidRDefault="00862A01" w:rsidP="00394E48">
            <w:pPr>
              <w:jc w:val="right"/>
              <w:rPr>
                <w:color w:val="000000"/>
                <w:sz w:val="16"/>
                <w:szCs w:val="16"/>
              </w:rPr>
            </w:pPr>
            <w:r w:rsidRPr="00872D7E">
              <w:rPr>
                <w:color w:val="000000"/>
                <w:sz w:val="16"/>
                <w:szCs w:val="16"/>
              </w:rPr>
              <w:t>7.680.314</w:t>
            </w:r>
          </w:p>
        </w:tc>
        <w:tc>
          <w:tcPr>
            <w:tcW w:w="481" w:type="pct"/>
            <w:tcBorders>
              <w:top w:val="nil"/>
              <w:left w:val="nil"/>
              <w:bottom w:val="nil"/>
              <w:right w:val="nil"/>
            </w:tcBorders>
            <w:shd w:val="clear" w:color="auto" w:fill="auto"/>
            <w:vAlign w:val="bottom"/>
            <w:hideMark/>
          </w:tcPr>
          <w:p w14:paraId="1D3E8EE2"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3FC3C09"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E97E721"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248AD03B"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C6328FE"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3289602" w14:textId="77777777" w:rsidR="00862A01" w:rsidRPr="00872D7E" w:rsidRDefault="00862A01" w:rsidP="00394E48">
            <w:pPr>
              <w:jc w:val="right"/>
              <w:rPr>
                <w:color w:val="000000"/>
                <w:sz w:val="16"/>
                <w:szCs w:val="16"/>
              </w:rPr>
            </w:pPr>
            <w:r w:rsidRPr="00872D7E">
              <w:rPr>
                <w:color w:val="000000"/>
                <w:sz w:val="16"/>
                <w:szCs w:val="16"/>
              </w:rPr>
              <w:t>7.680.314</w:t>
            </w:r>
          </w:p>
        </w:tc>
      </w:tr>
      <w:tr w:rsidR="00862A01" w:rsidRPr="00872D7E" w14:paraId="5FAFD885"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373E7004" w14:textId="77777777" w:rsidR="00862A01" w:rsidRPr="00872D7E" w:rsidRDefault="00862A01" w:rsidP="00862A01">
            <w:pPr>
              <w:rPr>
                <w:color w:val="000000"/>
                <w:sz w:val="16"/>
                <w:szCs w:val="16"/>
              </w:rPr>
            </w:pPr>
            <w:r w:rsidRPr="00872D7E">
              <w:rPr>
                <w:snapToGrid w:val="0"/>
                <w:color w:val="000000"/>
                <w:sz w:val="16"/>
                <w:szCs w:val="16"/>
              </w:rPr>
              <w:t>Türev Finansal Araçlardan Borçlar</w:t>
            </w:r>
          </w:p>
        </w:tc>
        <w:tc>
          <w:tcPr>
            <w:tcW w:w="481" w:type="pct"/>
            <w:tcBorders>
              <w:top w:val="nil"/>
              <w:left w:val="nil"/>
              <w:bottom w:val="nil"/>
              <w:right w:val="nil"/>
            </w:tcBorders>
            <w:shd w:val="clear" w:color="auto" w:fill="auto"/>
            <w:vAlign w:val="bottom"/>
            <w:hideMark/>
          </w:tcPr>
          <w:p w14:paraId="715C1A13"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56135D2" w14:textId="77777777" w:rsidR="00862A01" w:rsidRPr="00872D7E" w:rsidRDefault="00862A01" w:rsidP="00394E48">
            <w:pPr>
              <w:jc w:val="right"/>
              <w:rPr>
                <w:color w:val="000000"/>
                <w:sz w:val="16"/>
                <w:szCs w:val="16"/>
              </w:rPr>
            </w:pPr>
            <w:r w:rsidRPr="00872D7E">
              <w:rPr>
                <w:color w:val="000000"/>
                <w:sz w:val="16"/>
                <w:szCs w:val="16"/>
              </w:rPr>
              <w:t>7.687.763</w:t>
            </w:r>
          </w:p>
        </w:tc>
        <w:tc>
          <w:tcPr>
            <w:tcW w:w="481" w:type="pct"/>
            <w:tcBorders>
              <w:top w:val="nil"/>
              <w:left w:val="nil"/>
              <w:bottom w:val="nil"/>
              <w:right w:val="nil"/>
            </w:tcBorders>
            <w:shd w:val="clear" w:color="auto" w:fill="auto"/>
            <w:vAlign w:val="bottom"/>
            <w:hideMark/>
          </w:tcPr>
          <w:p w14:paraId="2D5AC149"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DB5DB13"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4A21B4E"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29FE4A0B"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1B6B3F25"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C623C4A" w14:textId="77777777" w:rsidR="00862A01" w:rsidRPr="00872D7E" w:rsidRDefault="00862A01" w:rsidP="00394E48">
            <w:pPr>
              <w:jc w:val="right"/>
              <w:rPr>
                <w:color w:val="000000"/>
                <w:sz w:val="16"/>
                <w:szCs w:val="16"/>
              </w:rPr>
            </w:pPr>
            <w:r w:rsidRPr="00872D7E">
              <w:rPr>
                <w:color w:val="000000"/>
                <w:sz w:val="16"/>
                <w:szCs w:val="16"/>
              </w:rPr>
              <w:t>7.687.763</w:t>
            </w:r>
          </w:p>
        </w:tc>
      </w:tr>
      <w:tr w:rsidR="00862A01" w:rsidRPr="00872D7E" w14:paraId="6108FDF2" w14:textId="77777777" w:rsidTr="00394E48">
        <w:trPr>
          <w:divId w:val="1183666511"/>
          <w:trHeight w:val="170"/>
        </w:trPr>
        <w:tc>
          <w:tcPr>
            <w:tcW w:w="1153" w:type="pct"/>
            <w:tcBorders>
              <w:top w:val="single" w:sz="4" w:space="0" w:color="auto"/>
              <w:left w:val="nil"/>
              <w:bottom w:val="single" w:sz="4" w:space="0" w:color="auto"/>
              <w:right w:val="nil"/>
            </w:tcBorders>
            <w:shd w:val="clear" w:color="auto" w:fill="auto"/>
            <w:vAlign w:val="center"/>
            <w:hideMark/>
          </w:tcPr>
          <w:p w14:paraId="7812470C" w14:textId="77777777" w:rsidR="00862A01" w:rsidRPr="00872D7E" w:rsidRDefault="00862A01" w:rsidP="00862A01">
            <w:pPr>
              <w:rPr>
                <w:b/>
                <w:bCs/>
                <w:color w:val="000000"/>
                <w:sz w:val="16"/>
                <w:szCs w:val="16"/>
              </w:rPr>
            </w:pPr>
            <w:proofErr w:type="spellStart"/>
            <w:r w:rsidRPr="00872D7E">
              <w:rPr>
                <w:b/>
                <w:bCs/>
                <w:color w:val="000000"/>
                <w:sz w:val="16"/>
                <w:szCs w:val="16"/>
              </w:rPr>
              <w:t>Gayrinakdi</w:t>
            </w:r>
            <w:proofErr w:type="spellEnd"/>
            <w:r w:rsidRPr="00872D7E">
              <w:rPr>
                <w:b/>
                <w:bCs/>
                <w:color w:val="000000"/>
                <w:sz w:val="16"/>
                <w:szCs w:val="16"/>
              </w:rPr>
              <w:t xml:space="preserve"> Krediler</w:t>
            </w:r>
          </w:p>
        </w:tc>
        <w:tc>
          <w:tcPr>
            <w:tcW w:w="481" w:type="pct"/>
            <w:tcBorders>
              <w:top w:val="single" w:sz="4" w:space="0" w:color="auto"/>
              <w:left w:val="nil"/>
              <w:bottom w:val="single" w:sz="4" w:space="0" w:color="auto"/>
              <w:right w:val="nil"/>
            </w:tcBorders>
            <w:shd w:val="clear" w:color="auto" w:fill="auto"/>
            <w:vAlign w:val="bottom"/>
            <w:hideMark/>
          </w:tcPr>
          <w:p w14:paraId="703C844D"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5CAC825F" w14:textId="77777777" w:rsidR="00862A01" w:rsidRPr="00872D7E" w:rsidRDefault="00862A01" w:rsidP="00394E48">
            <w:pPr>
              <w:jc w:val="right"/>
              <w:rPr>
                <w:b/>
                <w:bCs/>
                <w:color w:val="000000"/>
                <w:sz w:val="16"/>
                <w:szCs w:val="16"/>
              </w:rPr>
            </w:pPr>
            <w:r w:rsidRPr="00872D7E">
              <w:rPr>
                <w:b/>
                <w:bCs/>
                <w:color w:val="000000"/>
                <w:sz w:val="16"/>
                <w:szCs w:val="16"/>
              </w:rPr>
              <w:t>45.408</w:t>
            </w:r>
          </w:p>
        </w:tc>
        <w:tc>
          <w:tcPr>
            <w:tcW w:w="481" w:type="pct"/>
            <w:tcBorders>
              <w:top w:val="single" w:sz="4" w:space="0" w:color="auto"/>
              <w:left w:val="nil"/>
              <w:bottom w:val="single" w:sz="4" w:space="0" w:color="auto"/>
              <w:right w:val="nil"/>
            </w:tcBorders>
            <w:shd w:val="clear" w:color="auto" w:fill="auto"/>
            <w:vAlign w:val="bottom"/>
            <w:hideMark/>
          </w:tcPr>
          <w:p w14:paraId="61124EDA" w14:textId="77777777" w:rsidR="00862A01" w:rsidRPr="00872D7E" w:rsidRDefault="00862A01" w:rsidP="00394E48">
            <w:pPr>
              <w:jc w:val="right"/>
              <w:rPr>
                <w:b/>
                <w:bCs/>
                <w:color w:val="000000"/>
                <w:sz w:val="16"/>
                <w:szCs w:val="16"/>
              </w:rPr>
            </w:pPr>
            <w:r w:rsidRPr="00872D7E">
              <w:rPr>
                <w:b/>
                <w:bCs/>
                <w:color w:val="000000"/>
                <w:sz w:val="16"/>
                <w:szCs w:val="16"/>
              </w:rPr>
              <w:t>251.719</w:t>
            </w:r>
          </w:p>
        </w:tc>
        <w:tc>
          <w:tcPr>
            <w:tcW w:w="481" w:type="pct"/>
            <w:tcBorders>
              <w:top w:val="single" w:sz="4" w:space="0" w:color="auto"/>
              <w:left w:val="nil"/>
              <w:bottom w:val="single" w:sz="4" w:space="0" w:color="auto"/>
              <w:right w:val="nil"/>
            </w:tcBorders>
            <w:shd w:val="clear" w:color="auto" w:fill="auto"/>
            <w:vAlign w:val="bottom"/>
            <w:hideMark/>
          </w:tcPr>
          <w:p w14:paraId="1667E0F5" w14:textId="77777777" w:rsidR="00862A01" w:rsidRPr="00872D7E" w:rsidRDefault="00862A01" w:rsidP="00394E48">
            <w:pPr>
              <w:jc w:val="right"/>
              <w:rPr>
                <w:b/>
                <w:bCs/>
                <w:color w:val="000000"/>
                <w:sz w:val="16"/>
                <w:szCs w:val="16"/>
              </w:rPr>
            </w:pPr>
            <w:r w:rsidRPr="00872D7E">
              <w:rPr>
                <w:b/>
                <w:bCs/>
                <w:color w:val="000000"/>
                <w:sz w:val="16"/>
                <w:szCs w:val="16"/>
              </w:rPr>
              <w:t>3.820.710</w:t>
            </w:r>
          </w:p>
        </w:tc>
        <w:tc>
          <w:tcPr>
            <w:tcW w:w="481" w:type="pct"/>
            <w:tcBorders>
              <w:top w:val="single" w:sz="4" w:space="0" w:color="auto"/>
              <w:left w:val="nil"/>
              <w:bottom w:val="single" w:sz="4" w:space="0" w:color="auto"/>
              <w:right w:val="nil"/>
            </w:tcBorders>
            <w:shd w:val="clear" w:color="auto" w:fill="auto"/>
            <w:vAlign w:val="bottom"/>
            <w:hideMark/>
          </w:tcPr>
          <w:p w14:paraId="2A2DCFBA" w14:textId="77777777" w:rsidR="00862A01" w:rsidRPr="00872D7E" w:rsidRDefault="00862A01" w:rsidP="00394E48">
            <w:pPr>
              <w:jc w:val="right"/>
              <w:rPr>
                <w:b/>
                <w:bCs/>
                <w:color w:val="000000"/>
                <w:sz w:val="16"/>
                <w:szCs w:val="16"/>
              </w:rPr>
            </w:pPr>
            <w:r w:rsidRPr="00872D7E">
              <w:rPr>
                <w:b/>
                <w:bCs/>
                <w:color w:val="000000"/>
                <w:sz w:val="16"/>
                <w:szCs w:val="16"/>
              </w:rPr>
              <w:t>1.614.136</w:t>
            </w:r>
          </w:p>
        </w:tc>
        <w:tc>
          <w:tcPr>
            <w:tcW w:w="481" w:type="pct"/>
            <w:tcBorders>
              <w:top w:val="single" w:sz="4" w:space="0" w:color="auto"/>
              <w:left w:val="nil"/>
              <w:bottom w:val="single" w:sz="4" w:space="0" w:color="auto"/>
              <w:right w:val="nil"/>
            </w:tcBorders>
            <w:shd w:val="clear" w:color="auto" w:fill="auto"/>
            <w:vAlign w:val="bottom"/>
            <w:hideMark/>
          </w:tcPr>
          <w:p w14:paraId="3A86D94E" w14:textId="77777777" w:rsidR="00862A01" w:rsidRPr="00872D7E" w:rsidRDefault="00862A01" w:rsidP="00394E48">
            <w:pPr>
              <w:jc w:val="right"/>
              <w:rPr>
                <w:b/>
                <w:bCs/>
                <w:color w:val="000000"/>
                <w:sz w:val="16"/>
                <w:szCs w:val="16"/>
              </w:rPr>
            </w:pPr>
            <w:r w:rsidRPr="00872D7E">
              <w:rPr>
                <w:b/>
                <w:bCs/>
                <w:color w:val="000000"/>
                <w:sz w:val="16"/>
                <w:szCs w:val="16"/>
              </w:rPr>
              <w:t>1.603.741</w:t>
            </w:r>
          </w:p>
        </w:tc>
        <w:tc>
          <w:tcPr>
            <w:tcW w:w="481" w:type="pct"/>
            <w:tcBorders>
              <w:top w:val="single" w:sz="4" w:space="0" w:color="auto"/>
              <w:left w:val="nil"/>
              <w:bottom w:val="single" w:sz="4" w:space="0" w:color="auto"/>
              <w:right w:val="nil"/>
            </w:tcBorders>
            <w:shd w:val="clear" w:color="auto" w:fill="auto"/>
            <w:vAlign w:val="bottom"/>
            <w:hideMark/>
          </w:tcPr>
          <w:p w14:paraId="624B4ACB"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7D813631" w14:textId="77777777" w:rsidR="00862A01" w:rsidRPr="00872D7E" w:rsidRDefault="00862A01" w:rsidP="00394E48">
            <w:pPr>
              <w:jc w:val="right"/>
              <w:rPr>
                <w:b/>
                <w:bCs/>
                <w:color w:val="000000"/>
                <w:sz w:val="16"/>
                <w:szCs w:val="16"/>
              </w:rPr>
            </w:pPr>
            <w:r w:rsidRPr="00872D7E">
              <w:rPr>
                <w:b/>
                <w:bCs/>
                <w:color w:val="000000"/>
                <w:sz w:val="16"/>
                <w:szCs w:val="16"/>
              </w:rPr>
              <w:t>7.335.714</w:t>
            </w:r>
          </w:p>
        </w:tc>
      </w:tr>
      <w:tr w:rsidR="00862A01" w:rsidRPr="00872D7E" w14:paraId="5189CB5F"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31030867" w14:textId="77777777" w:rsidR="00862A01" w:rsidRPr="00872D7E" w:rsidRDefault="00862A01" w:rsidP="00862A01">
            <w:pPr>
              <w:jc w:val="right"/>
              <w:rPr>
                <w:b/>
                <w:bCs/>
                <w:color w:val="000000"/>
                <w:sz w:val="16"/>
                <w:szCs w:val="16"/>
              </w:rPr>
            </w:pPr>
          </w:p>
        </w:tc>
        <w:tc>
          <w:tcPr>
            <w:tcW w:w="481" w:type="pct"/>
            <w:tcBorders>
              <w:top w:val="nil"/>
              <w:left w:val="nil"/>
              <w:bottom w:val="nil"/>
              <w:right w:val="nil"/>
            </w:tcBorders>
            <w:shd w:val="clear" w:color="auto" w:fill="auto"/>
            <w:vAlign w:val="bottom"/>
            <w:hideMark/>
          </w:tcPr>
          <w:p w14:paraId="5C6628F0"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563D7101"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0E2509D5"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3DF6FB62"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4716B19F"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4CA9047E"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0B1E268D"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1EB99B5C" w14:textId="77777777" w:rsidR="00862A01" w:rsidRPr="00872D7E" w:rsidRDefault="00862A01" w:rsidP="00394E48">
            <w:pPr>
              <w:jc w:val="right"/>
              <w:rPr>
                <w:sz w:val="16"/>
                <w:szCs w:val="16"/>
              </w:rPr>
            </w:pPr>
          </w:p>
        </w:tc>
      </w:tr>
      <w:tr w:rsidR="00862A01" w:rsidRPr="00872D7E" w14:paraId="66097A6D" w14:textId="77777777" w:rsidTr="00394E48">
        <w:trPr>
          <w:divId w:val="1183666511"/>
          <w:trHeight w:val="170"/>
        </w:trPr>
        <w:tc>
          <w:tcPr>
            <w:tcW w:w="1153" w:type="pct"/>
            <w:tcBorders>
              <w:top w:val="nil"/>
              <w:left w:val="nil"/>
              <w:bottom w:val="single" w:sz="4" w:space="0" w:color="auto"/>
              <w:right w:val="nil"/>
            </w:tcBorders>
            <w:shd w:val="clear" w:color="auto" w:fill="auto"/>
            <w:vAlign w:val="center"/>
            <w:hideMark/>
          </w:tcPr>
          <w:p w14:paraId="2E4BE922" w14:textId="77777777" w:rsidR="00862A01" w:rsidRPr="00872D7E" w:rsidRDefault="00862A01" w:rsidP="00862A01">
            <w:pPr>
              <w:jc w:val="both"/>
              <w:rPr>
                <w:b/>
                <w:bCs/>
                <w:color w:val="000000"/>
                <w:sz w:val="16"/>
                <w:szCs w:val="16"/>
              </w:rPr>
            </w:pPr>
            <w:r w:rsidRPr="00872D7E">
              <w:rPr>
                <w:b/>
                <w:bCs/>
                <w:color w:val="000000"/>
                <w:sz w:val="16"/>
                <w:szCs w:val="16"/>
              </w:rPr>
              <w:t>1 Ocak 2024</w:t>
            </w:r>
          </w:p>
        </w:tc>
        <w:tc>
          <w:tcPr>
            <w:tcW w:w="481" w:type="pct"/>
            <w:tcBorders>
              <w:top w:val="nil"/>
              <w:left w:val="nil"/>
              <w:bottom w:val="single" w:sz="4" w:space="0" w:color="auto"/>
              <w:right w:val="nil"/>
            </w:tcBorders>
            <w:shd w:val="clear" w:color="auto" w:fill="auto"/>
            <w:vAlign w:val="bottom"/>
            <w:hideMark/>
          </w:tcPr>
          <w:p w14:paraId="313B8D3A" w14:textId="31B631C4" w:rsidR="00862A01" w:rsidRPr="00872D7E" w:rsidRDefault="00862A01" w:rsidP="00394E48">
            <w:pPr>
              <w:jc w:val="right"/>
              <w:rPr>
                <w:color w:val="000000"/>
                <w:sz w:val="16"/>
                <w:szCs w:val="16"/>
              </w:rPr>
            </w:pPr>
          </w:p>
        </w:tc>
        <w:tc>
          <w:tcPr>
            <w:tcW w:w="481" w:type="pct"/>
            <w:tcBorders>
              <w:top w:val="nil"/>
              <w:left w:val="nil"/>
              <w:bottom w:val="single" w:sz="4" w:space="0" w:color="auto"/>
              <w:right w:val="nil"/>
            </w:tcBorders>
            <w:shd w:val="clear" w:color="auto" w:fill="auto"/>
            <w:vAlign w:val="bottom"/>
            <w:hideMark/>
          </w:tcPr>
          <w:p w14:paraId="54A5B5AC" w14:textId="35A00BD0" w:rsidR="00862A01" w:rsidRPr="00872D7E" w:rsidRDefault="00862A01" w:rsidP="00394E48">
            <w:pPr>
              <w:jc w:val="right"/>
              <w:rPr>
                <w:color w:val="000000"/>
                <w:sz w:val="16"/>
                <w:szCs w:val="16"/>
              </w:rPr>
            </w:pPr>
          </w:p>
        </w:tc>
        <w:tc>
          <w:tcPr>
            <w:tcW w:w="481" w:type="pct"/>
            <w:tcBorders>
              <w:top w:val="nil"/>
              <w:left w:val="nil"/>
              <w:bottom w:val="single" w:sz="4" w:space="0" w:color="auto"/>
              <w:right w:val="nil"/>
            </w:tcBorders>
            <w:shd w:val="clear" w:color="auto" w:fill="auto"/>
            <w:vAlign w:val="bottom"/>
            <w:hideMark/>
          </w:tcPr>
          <w:p w14:paraId="74376BE3" w14:textId="57F1FBB5" w:rsidR="00862A01" w:rsidRPr="00872D7E" w:rsidRDefault="00862A01" w:rsidP="00394E48">
            <w:pPr>
              <w:jc w:val="right"/>
              <w:rPr>
                <w:color w:val="000000"/>
                <w:sz w:val="16"/>
                <w:szCs w:val="16"/>
              </w:rPr>
            </w:pPr>
          </w:p>
        </w:tc>
        <w:tc>
          <w:tcPr>
            <w:tcW w:w="481" w:type="pct"/>
            <w:tcBorders>
              <w:top w:val="nil"/>
              <w:left w:val="nil"/>
              <w:bottom w:val="single" w:sz="4" w:space="0" w:color="auto"/>
              <w:right w:val="nil"/>
            </w:tcBorders>
            <w:shd w:val="clear" w:color="auto" w:fill="auto"/>
            <w:vAlign w:val="bottom"/>
            <w:hideMark/>
          </w:tcPr>
          <w:p w14:paraId="0D32CC98" w14:textId="79524417" w:rsidR="00862A01" w:rsidRPr="00872D7E" w:rsidRDefault="00862A01" w:rsidP="00394E48">
            <w:pPr>
              <w:jc w:val="right"/>
              <w:rPr>
                <w:color w:val="000000"/>
                <w:sz w:val="16"/>
                <w:szCs w:val="16"/>
              </w:rPr>
            </w:pPr>
          </w:p>
        </w:tc>
        <w:tc>
          <w:tcPr>
            <w:tcW w:w="481" w:type="pct"/>
            <w:tcBorders>
              <w:top w:val="nil"/>
              <w:left w:val="nil"/>
              <w:bottom w:val="single" w:sz="4" w:space="0" w:color="auto"/>
              <w:right w:val="nil"/>
            </w:tcBorders>
            <w:shd w:val="clear" w:color="auto" w:fill="auto"/>
            <w:vAlign w:val="bottom"/>
            <w:hideMark/>
          </w:tcPr>
          <w:p w14:paraId="70DF90B3" w14:textId="640B116D" w:rsidR="00862A01" w:rsidRPr="00872D7E" w:rsidRDefault="00862A01" w:rsidP="00394E48">
            <w:pPr>
              <w:jc w:val="right"/>
              <w:rPr>
                <w:color w:val="000000"/>
                <w:sz w:val="16"/>
                <w:szCs w:val="16"/>
              </w:rPr>
            </w:pPr>
          </w:p>
        </w:tc>
        <w:tc>
          <w:tcPr>
            <w:tcW w:w="481" w:type="pct"/>
            <w:tcBorders>
              <w:top w:val="nil"/>
              <w:left w:val="nil"/>
              <w:bottom w:val="single" w:sz="4" w:space="0" w:color="auto"/>
              <w:right w:val="nil"/>
            </w:tcBorders>
            <w:shd w:val="clear" w:color="auto" w:fill="auto"/>
            <w:vAlign w:val="bottom"/>
            <w:hideMark/>
          </w:tcPr>
          <w:p w14:paraId="4BBF06AE" w14:textId="17A8722B" w:rsidR="00862A01" w:rsidRPr="00872D7E" w:rsidRDefault="00862A01" w:rsidP="00394E48">
            <w:pPr>
              <w:jc w:val="right"/>
              <w:rPr>
                <w:color w:val="000000"/>
                <w:sz w:val="16"/>
                <w:szCs w:val="16"/>
              </w:rPr>
            </w:pPr>
          </w:p>
        </w:tc>
        <w:tc>
          <w:tcPr>
            <w:tcW w:w="481" w:type="pct"/>
            <w:tcBorders>
              <w:top w:val="nil"/>
              <w:left w:val="nil"/>
              <w:bottom w:val="single" w:sz="4" w:space="0" w:color="auto"/>
              <w:right w:val="nil"/>
            </w:tcBorders>
            <w:shd w:val="clear" w:color="auto" w:fill="auto"/>
            <w:vAlign w:val="bottom"/>
            <w:hideMark/>
          </w:tcPr>
          <w:p w14:paraId="7A703186" w14:textId="3430A0DB" w:rsidR="00862A01" w:rsidRPr="00872D7E" w:rsidRDefault="00862A01" w:rsidP="00394E48">
            <w:pPr>
              <w:jc w:val="right"/>
              <w:rPr>
                <w:color w:val="000000"/>
                <w:sz w:val="16"/>
                <w:szCs w:val="16"/>
              </w:rPr>
            </w:pPr>
          </w:p>
        </w:tc>
        <w:tc>
          <w:tcPr>
            <w:tcW w:w="481" w:type="pct"/>
            <w:tcBorders>
              <w:top w:val="nil"/>
              <w:left w:val="nil"/>
              <w:bottom w:val="single" w:sz="4" w:space="0" w:color="auto"/>
              <w:right w:val="nil"/>
            </w:tcBorders>
            <w:shd w:val="clear" w:color="auto" w:fill="auto"/>
            <w:vAlign w:val="bottom"/>
            <w:hideMark/>
          </w:tcPr>
          <w:p w14:paraId="3D28EC99" w14:textId="4897C51A" w:rsidR="00862A01" w:rsidRPr="00872D7E" w:rsidRDefault="00862A01" w:rsidP="00394E48">
            <w:pPr>
              <w:jc w:val="right"/>
              <w:rPr>
                <w:color w:val="000000"/>
                <w:sz w:val="16"/>
                <w:szCs w:val="16"/>
              </w:rPr>
            </w:pPr>
          </w:p>
        </w:tc>
      </w:tr>
      <w:tr w:rsidR="00862A01" w:rsidRPr="00872D7E" w14:paraId="1DCA75C5"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14AAA76E" w14:textId="77777777" w:rsidR="00862A01" w:rsidRPr="00872D7E" w:rsidRDefault="00862A01" w:rsidP="00862A01">
            <w:pPr>
              <w:ind w:firstLineChars="100" w:firstLine="160"/>
              <w:rPr>
                <w:color w:val="000000"/>
                <w:sz w:val="16"/>
                <w:szCs w:val="16"/>
              </w:rPr>
            </w:pPr>
            <w:r w:rsidRPr="00872D7E">
              <w:rPr>
                <w:snapToGrid w:val="0"/>
                <w:color w:val="000000"/>
                <w:sz w:val="16"/>
                <w:szCs w:val="16"/>
              </w:rPr>
              <w:t>Toplam Varlıklar</w:t>
            </w:r>
          </w:p>
        </w:tc>
        <w:tc>
          <w:tcPr>
            <w:tcW w:w="481" w:type="pct"/>
            <w:tcBorders>
              <w:top w:val="nil"/>
              <w:left w:val="nil"/>
              <w:bottom w:val="nil"/>
              <w:right w:val="nil"/>
            </w:tcBorders>
            <w:shd w:val="clear" w:color="auto" w:fill="auto"/>
            <w:vAlign w:val="bottom"/>
            <w:hideMark/>
          </w:tcPr>
          <w:p w14:paraId="71E5D5CA" w14:textId="77777777" w:rsidR="00862A01" w:rsidRPr="00872D7E" w:rsidRDefault="00862A01" w:rsidP="00394E48">
            <w:pPr>
              <w:jc w:val="right"/>
              <w:rPr>
                <w:color w:val="000000"/>
                <w:sz w:val="16"/>
                <w:szCs w:val="16"/>
              </w:rPr>
            </w:pPr>
            <w:r w:rsidRPr="00872D7E">
              <w:rPr>
                <w:color w:val="000000"/>
                <w:sz w:val="16"/>
                <w:szCs w:val="16"/>
              </w:rPr>
              <w:t>112.670</w:t>
            </w:r>
          </w:p>
        </w:tc>
        <w:tc>
          <w:tcPr>
            <w:tcW w:w="481" w:type="pct"/>
            <w:tcBorders>
              <w:top w:val="nil"/>
              <w:left w:val="nil"/>
              <w:bottom w:val="nil"/>
              <w:right w:val="nil"/>
            </w:tcBorders>
            <w:shd w:val="clear" w:color="auto" w:fill="auto"/>
            <w:vAlign w:val="bottom"/>
            <w:hideMark/>
          </w:tcPr>
          <w:p w14:paraId="19479461" w14:textId="77777777" w:rsidR="00862A01" w:rsidRPr="00872D7E" w:rsidRDefault="00862A01" w:rsidP="00394E48">
            <w:pPr>
              <w:jc w:val="right"/>
              <w:rPr>
                <w:color w:val="000000"/>
                <w:sz w:val="16"/>
                <w:szCs w:val="16"/>
              </w:rPr>
            </w:pPr>
            <w:r w:rsidRPr="00872D7E">
              <w:rPr>
                <w:color w:val="000000"/>
                <w:sz w:val="16"/>
                <w:szCs w:val="16"/>
              </w:rPr>
              <w:t>441.276</w:t>
            </w:r>
          </w:p>
        </w:tc>
        <w:tc>
          <w:tcPr>
            <w:tcW w:w="481" w:type="pct"/>
            <w:tcBorders>
              <w:top w:val="nil"/>
              <w:left w:val="nil"/>
              <w:bottom w:val="nil"/>
              <w:right w:val="nil"/>
            </w:tcBorders>
            <w:shd w:val="clear" w:color="auto" w:fill="auto"/>
            <w:vAlign w:val="bottom"/>
            <w:hideMark/>
          </w:tcPr>
          <w:p w14:paraId="6A141997"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20269338"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02EA8B43"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AED3A7D"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9E9D39B" w14:textId="77777777" w:rsidR="00862A01" w:rsidRPr="00872D7E" w:rsidRDefault="00862A01" w:rsidP="00394E48">
            <w:pPr>
              <w:jc w:val="right"/>
              <w:rPr>
                <w:color w:val="000000"/>
                <w:sz w:val="16"/>
                <w:szCs w:val="16"/>
              </w:rPr>
            </w:pPr>
            <w:r w:rsidRPr="00872D7E">
              <w:rPr>
                <w:color w:val="000000"/>
                <w:sz w:val="16"/>
                <w:szCs w:val="16"/>
              </w:rPr>
              <w:t>100.355</w:t>
            </w:r>
          </w:p>
        </w:tc>
        <w:tc>
          <w:tcPr>
            <w:tcW w:w="481" w:type="pct"/>
            <w:tcBorders>
              <w:top w:val="nil"/>
              <w:left w:val="nil"/>
              <w:bottom w:val="nil"/>
              <w:right w:val="nil"/>
            </w:tcBorders>
            <w:shd w:val="clear" w:color="auto" w:fill="auto"/>
            <w:vAlign w:val="bottom"/>
            <w:hideMark/>
          </w:tcPr>
          <w:p w14:paraId="1A67DE5E" w14:textId="77777777" w:rsidR="00862A01" w:rsidRPr="00872D7E" w:rsidRDefault="00862A01" w:rsidP="00394E48">
            <w:pPr>
              <w:jc w:val="right"/>
              <w:rPr>
                <w:color w:val="000000"/>
                <w:sz w:val="16"/>
                <w:szCs w:val="16"/>
              </w:rPr>
            </w:pPr>
            <w:r w:rsidRPr="00872D7E">
              <w:rPr>
                <w:color w:val="000000"/>
                <w:sz w:val="16"/>
                <w:szCs w:val="16"/>
              </w:rPr>
              <w:t>654.301</w:t>
            </w:r>
          </w:p>
        </w:tc>
      </w:tr>
      <w:tr w:rsidR="00862A01" w:rsidRPr="00872D7E" w14:paraId="2B688CC8"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7B14D430" w14:textId="77777777" w:rsidR="00862A01" w:rsidRPr="00872D7E" w:rsidRDefault="00862A01" w:rsidP="00862A01">
            <w:pPr>
              <w:ind w:firstLineChars="100" w:firstLine="160"/>
              <w:rPr>
                <w:color w:val="000000"/>
                <w:sz w:val="16"/>
                <w:szCs w:val="16"/>
              </w:rPr>
            </w:pPr>
            <w:r w:rsidRPr="00872D7E">
              <w:rPr>
                <w:snapToGrid w:val="0"/>
                <w:color w:val="000000"/>
                <w:sz w:val="16"/>
                <w:szCs w:val="16"/>
              </w:rPr>
              <w:t>Toplam Yükümlülükler</w:t>
            </w:r>
          </w:p>
        </w:tc>
        <w:tc>
          <w:tcPr>
            <w:tcW w:w="481" w:type="pct"/>
            <w:tcBorders>
              <w:top w:val="nil"/>
              <w:left w:val="nil"/>
              <w:bottom w:val="nil"/>
              <w:right w:val="nil"/>
            </w:tcBorders>
            <w:shd w:val="clear" w:color="auto" w:fill="auto"/>
            <w:vAlign w:val="bottom"/>
            <w:hideMark/>
          </w:tcPr>
          <w:p w14:paraId="691D3C88" w14:textId="77777777" w:rsidR="00862A01" w:rsidRPr="00872D7E" w:rsidRDefault="00862A01" w:rsidP="00394E48">
            <w:pPr>
              <w:jc w:val="right"/>
              <w:rPr>
                <w:color w:val="000000"/>
                <w:sz w:val="16"/>
                <w:szCs w:val="16"/>
              </w:rPr>
            </w:pPr>
            <w:r w:rsidRPr="00872D7E">
              <w:rPr>
                <w:color w:val="000000"/>
                <w:sz w:val="16"/>
                <w:szCs w:val="16"/>
              </w:rPr>
              <w:t>57</w:t>
            </w:r>
          </w:p>
        </w:tc>
        <w:tc>
          <w:tcPr>
            <w:tcW w:w="481" w:type="pct"/>
            <w:tcBorders>
              <w:top w:val="nil"/>
              <w:left w:val="nil"/>
              <w:bottom w:val="nil"/>
              <w:right w:val="nil"/>
            </w:tcBorders>
            <w:shd w:val="clear" w:color="auto" w:fill="auto"/>
            <w:vAlign w:val="bottom"/>
            <w:hideMark/>
          </w:tcPr>
          <w:p w14:paraId="21A81A6E" w14:textId="77777777" w:rsidR="00862A01" w:rsidRPr="00872D7E" w:rsidRDefault="00862A01" w:rsidP="00394E48">
            <w:pPr>
              <w:jc w:val="right"/>
              <w:rPr>
                <w:color w:val="000000"/>
                <w:sz w:val="16"/>
                <w:szCs w:val="16"/>
              </w:rPr>
            </w:pPr>
            <w:r w:rsidRPr="00872D7E">
              <w:rPr>
                <w:color w:val="000000"/>
                <w:sz w:val="16"/>
                <w:szCs w:val="16"/>
              </w:rPr>
              <w:t>24.756</w:t>
            </w:r>
          </w:p>
        </w:tc>
        <w:tc>
          <w:tcPr>
            <w:tcW w:w="481" w:type="pct"/>
            <w:tcBorders>
              <w:top w:val="nil"/>
              <w:left w:val="nil"/>
              <w:bottom w:val="nil"/>
              <w:right w:val="nil"/>
            </w:tcBorders>
            <w:shd w:val="clear" w:color="auto" w:fill="auto"/>
            <w:vAlign w:val="bottom"/>
            <w:hideMark/>
          </w:tcPr>
          <w:p w14:paraId="490AAC73"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986A459"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7D5BCBBC"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45A3F098" w14:textId="77777777" w:rsidR="00862A01" w:rsidRPr="00872D7E" w:rsidRDefault="00862A01" w:rsidP="00394E48">
            <w:pPr>
              <w:jc w:val="right"/>
              <w:rPr>
                <w:color w:val="000000"/>
                <w:sz w:val="16"/>
                <w:szCs w:val="16"/>
              </w:rPr>
            </w:pPr>
            <w:r w:rsidRPr="00872D7E">
              <w:rPr>
                <w:color w:val="000000"/>
                <w:sz w:val="16"/>
                <w:szCs w:val="16"/>
              </w:rPr>
              <w:t>-</w:t>
            </w:r>
          </w:p>
        </w:tc>
        <w:tc>
          <w:tcPr>
            <w:tcW w:w="481" w:type="pct"/>
            <w:tcBorders>
              <w:top w:val="nil"/>
              <w:left w:val="nil"/>
              <w:bottom w:val="nil"/>
              <w:right w:val="nil"/>
            </w:tcBorders>
            <w:shd w:val="clear" w:color="auto" w:fill="auto"/>
            <w:vAlign w:val="bottom"/>
            <w:hideMark/>
          </w:tcPr>
          <w:p w14:paraId="3D51D674" w14:textId="77777777" w:rsidR="00862A01" w:rsidRPr="00872D7E" w:rsidRDefault="00862A01" w:rsidP="00394E48">
            <w:pPr>
              <w:jc w:val="right"/>
              <w:rPr>
                <w:color w:val="000000"/>
                <w:sz w:val="16"/>
                <w:szCs w:val="16"/>
              </w:rPr>
            </w:pPr>
            <w:r w:rsidRPr="00872D7E">
              <w:rPr>
                <w:color w:val="000000"/>
                <w:sz w:val="16"/>
                <w:szCs w:val="16"/>
              </w:rPr>
              <w:t>629.488</w:t>
            </w:r>
          </w:p>
        </w:tc>
        <w:tc>
          <w:tcPr>
            <w:tcW w:w="481" w:type="pct"/>
            <w:tcBorders>
              <w:top w:val="nil"/>
              <w:left w:val="nil"/>
              <w:bottom w:val="nil"/>
              <w:right w:val="nil"/>
            </w:tcBorders>
            <w:shd w:val="clear" w:color="auto" w:fill="auto"/>
            <w:vAlign w:val="bottom"/>
            <w:hideMark/>
          </w:tcPr>
          <w:p w14:paraId="079CF4D0" w14:textId="77777777" w:rsidR="00862A01" w:rsidRPr="00872D7E" w:rsidRDefault="00862A01" w:rsidP="00394E48">
            <w:pPr>
              <w:jc w:val="right"/>
              <w:rPr>
                <w:color w:val="000000"/>
                <w:sz w:val="16"/>
                <w:szCs w:val="16"/>
              </w:rPr>
            </w:pPr>
            <w:r w:rsidRPr="00872D7E">
              <w:rPr>
                <w:color w:val="000000"/>
                <w:sz w:val="16"/>
                <w:szCs w:val="16"/>
              </w:rPr>
              <w:t>654.301</w:t>
            </w:r>
          </w:p>
        </w:tc>
      </w:tr>
      <w:tr w:rsidR="00862A01" w:rsidRPr="00872D7E" w14:paraId="034CFDA6"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64ED977E" w14:textId="77777777" w:rsidR="00862A01" w:rsidRPr="00872D7E" w:rsidRDefault="00862A01" w:rsidP="00862A01">
            <w:pPr>
              <w:jc w:val="right"/>
              <w:rPr>
                <w:color w:val="000000"/>
                <w:sz w:val="16"/>
                <w:szCs w:val="16"/>
              </w:rPr>
            </w:pPr>
          </w:p>
        </w:tc>
        <w:tc>
          <w:tcPr>
            <w:tcW w:w="481" w:type="pct"/>
            <w:tcBorders>
              <w:top w:val="nil"/>
              <w:left w:val="nil"/>
              <w:bottom w:val="nil"/>
              <w:right w:val="nil"/>
            </w:tcBorders>
            <w:shd w:val="clear" w:color="auto" w:fill="auto"/>
            <w:vAlign w:val="bottom"/>
            <w:hideMark/>
          </w:tcPr>
          <w:p w14:paraId="09D99784" w14:textId="77777777" w:rsidR="00862A01" w:rsidRPr="00872D7E" w:rsidRDefault="00862A01" w:rsidP="00394E48">
            <w:pPr>
              <w:ind w:firstLineChars="200" w:firstLine="320"/>
              <w:jc w:val="right"/>
              <w:rPr>
                <w:sz w:val="16"/>
                <w:szCs w:val="16"/>
              </w:rPr>
            </w:pPr>
          </w:p>
        </w:tc>
        <w:tc>
          <w:tcPr>
            <w:tcW w:w="481" w:type="pct"/>
            <w:tcBorders>
              <w:top w:val="nil"/>
              <w:left w:val="nil"/>
              <w:bottom w:val="nil"/>
              <w:right w:val="nil"/>
            </w:tcBorders>
            <w:shd w:val="clear" w:color="auto" w:fill="auto"/>
            <w:vAlign w:val="bottom"/>
            <w:hideMark/>
          </w:tcPr>
          <w:p w14:paraId="7B965527"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514DADD5"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2C12972D"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03E682C"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552F3D1F"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10489FA3"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4D20EDBB" w14:textId="77777777" w:rsidR="00862A01" w:rsidRPr="00872D7E" w:rsidRDefault="00862A01" w:rsidP="00394E48">
            <w:pPr>
              <w:jc w:val="right"/>
              <w:rPr>
                <w:sz w:val="16"/>
                <w:szCs w:val="16"/>
              </w:rPr>
            </w:pPr>
          </w:p>
        </w:tc>
      </w:tr>
      <w:tr w:rsidR="00862A01" w:rsidRPr="00872D7E" w14:paraId="020B8F1F" w14:textId="77777777" w:rsidTr="00394E48">
        <w:trPr>
          <w:divId w:val="1183666511"/>
          <w:trHeight w:val="170"/>
        </w:trPr>
        <w:tc>
          <w:tcPr>
            <w:tcW w:w="1153" w:type="pct"/>
            <w:tcBorders>
              <w:top w:val="single" w:sz="4" w:space="0" w:color="auto"/>
              <w:left w:val="nil"/>
              <w:bottom w:val="single" w:sz="4" w:space="0" w:color="auto"/>
              <w:right w:val="nil"/>
            </w:tcBorders>
            <w:shd w:val="clear" w:color="auto" w:fill="auto"/>
            <w:vAlign w:val="center"/>
            <w:hideMark/>
          </w:tcPr>
          <w:p w14:paraId="3BAB6D32" w14:textId="77777777" w:rsidR="00862A01" w:rsidRPr="00872D7E" w:rsidRDefault="00862A01" w:rsidP="00862A01">
            <w:pPr>
              <w:rPr>
                <w:b/>
                <w:bCs/>
                <w:color w:val="000000"/>
                <w:sz w:val="16"/>
                <w:szCs w:val="16"/>
              </w:rPr>
            </w:pPr>
            <w:r w:rsidRPr="00872D7E">
              <w:rPr>
                <w:b/>
                <w:bCs/>
                <w:color w:val="000000"/>
                <w:sz w:val="16"/>
                <w:szCs w:val="16"/>
              </w:rPr>
              <w:t>Likidite (Açığı)/Fazlası</w:t>
            </w:r>
          </w:p>
        </w:tc>
        <w:tc>
          <w:tcPr>
            <w:tcW w:w="481" w:type="pct"/>
            <w:tcBorders>
              <w:top w:val="single" w:sz="4" w:space="0" w:color="auto"/>
              <w:left w:val="nil"/>
              <w:bottom w:val="single" w:sz="4" w:space="0" w:color="auto"/>
              <w:right w:val="nil"/>
            </w:tcBorders>
            <w:shd w:val="clear" w:color="auto" w:fill="auto"/>
            <w:vAlign w:val="bottom"/>
            <w:hideMark/>
          </w:tcPr>
          <w:p w14:paraId="3A88F13B" w14:textId="77777777" w:rsidR="00862A01" w:rsidRPr="00872D7E" w:rsidRDefault="00862A01" w:rsidP="00394E48">
            <w:pPr>
              <w:jc w:val="right"/>
              <w:rPr>
                <w:b/>
                <w:bCs/>
                <w:color w:val="000000"/>
                <w:sz w:val="16"/>
                <w:szCs w:val="16"/>
              </w:rPr>
            </w:pPr>
            <w:r w:rsidRPr="00872D7E">
              <w:rPr>
                <w:b/>
                <w:bCs/>
                <w:color w:val="000000"/>
                <w:sz w:val="16"/>
                <w:szCs w:val="16"/>
              </w:rPr>
              <w:t>112.613</w:t>
            </w:r>
          </w:p>
        </w:tc>
        <w:tc>
          <w:tcPr>
            <w:tcW w:w="481" w:type="pct"/>
            <w:tcBorders>
              <w:top w:val="single" w:sz="4" w:space="0" w:color="auto"/>
              <w:left w:val="nil"/>
              <w:bottom w:val="single" w:sz="4" w:space="0" w:color="auto"/>
              <w:right w:val="nil"/>
            </w:tcBorders>
            <w:shd w:val="clear" w:color="auto" w:fill="auto"/>
            <w:vAlign w:val="bottom"/>
            <w:hideMark/>
          </w:tcPr>
          <w:p w14:paraId="329B3BA7" w14:textId="77777777" w:rsidR="00862A01" w:rsidRPr="00872D7E" w:rsidRDefault="00862A01" w:rsidP="00394E48">
            <w:pPr>
              <w:jc w:val="right"/>
              <w:rPr>
                <w:b/>
                <w:bCs/>
                <w:color w:val="000000"/>
                <w:sz w:val="16"/>
                <w:szCs w:val="16"/>
              </w:rPr>
            </w:pPr>
            <w:r w:rsidRPr="00872D7E">
              <w:rPr>
                <w:b/>
                <w:bCs/>
                <w:color w:val="000000"/>
                <w:sz w:val="16"/>
                <w:szCs w:val="16"/>
              </w:rPr>
              <w:t>416.520</w:t>
            </w:r>
          </w:p>
        </w:tc>
        <w:tc>
          <w:tcPr>
            <w:tcW w:w="481" w:type="pct"/>
            <w:tcBorders>
              <w:top w:val="single" w:sz="4" w:space="0" w:color="auto"/>
              <w:left w:val="nil"/>
              <w:bottom w:val="single" w:sz="4" w:space="0" w:color="auto"/>
              <w:right w:val="nil"/>
            </w:tcBorders>
            <w:shd w:val="clear" w:color="auto" w:fill="auto"/>
            <w:vAlign w:val="bottom"/>
            <w:hideMark/>
          </w:tcPr>
          <w:p w14:paraId="084C39A2"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6F4BA5A9"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441F2BDF"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7AE2DE01"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6C6BBDF4" w14:textId="77777777" w:rsidR="00862A01" w:rsidRPr="00872D7E" w:rsidRDefault="00862A01" w:rsidP="00394E48">
            <w:pPr>
              <w:jc w:val="right"/>
              <w:rPr>
                <w:b/>
                <w:bCs/>
                <w:color w:val="000000"/>
                <w:sz w:val="16"/>
                <w:szCs w:val="16"/>
              </w:rPr>
            </w:pPr>
            <w:r w:rsidRPr="00872D7E">
              <w:rPr>
                <w:b/>
                <w:bCs/>
                <w:color w:val="000000"/>
                <w:sz w:val="16"/>
                <w:szCs w:val="16"/>
              </w:rPr>
              <w:t>(529.133)</w:t>
            </w:r>
          </w:p>
        </w:tc>
        <w:tc>
          <w:tcPr>
            <w:tcW w:w="481" w:type="pct"/>
            <w:tcBorders>
              <w:top w:val="single" w:sz="4" w:space="0" w:color="auto"/>
              <w:left w:val="nil"/>
              <w:bottom w:val="single" w:sz="4" w:space="0" w:color="auto"/>
              <w:right w:val="nil"/>
            </w:tcBorders>
            <w:shd w:val="clear" w:color="auto" w:fill="auto"/>
            <w:vAlign w:val="bottom"/>
            <w:hideMark/>
          </w:tcPr>
          <w:p w14:paraId="7C632190" w14:textId="77777777" w:rsidR="00862A01" w:rsidRPr="00872D7E" w:rsidRDefault="00862A01" w:rsidP="00394E48">
            <w:pPr>
              <w:jc w:val="right"/>
              <w:rPr>
                <w:b/>
                <w:bCs/>
                <w:color w:val="000000"/>
                <w:sz w:val="16"/>
                <w:szCs w:val="16"/>
              </w:rPr>
            </w:pPr>
            <w:r w:rsidRPr="00872D7E">
              <w:rPr>
                <w:b/>
                <w:bCs/>
                <w:color w:val="000000"/>
                <w:sz w:val="16"/>
                <w:szCs w:val="16"/>
              </w:rPr>
              <w:t>-</w:t>
            </w:r>
          </w:p>
        </w:tc>
      </w:tr>
      <w:tr w:rsidR="00862A01" w:rsidRPr="00872D7E" w14:paraId="3F610063"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107E4AD7" w14:textId="77777777" w:rsidR="00862A01" w:rsidRPr="00872D7E" w:rsidRDefault="00862A01" w:rsidP="00862A01">
            <w:pPr>
              <w:jc w:val="right"/>
              <w:rPr>
                <w:b/>
                <w:bCs/>
                <w:color w:val="000000"/>
                <w:sz w:val="16"/>
                <w:szCs w:val="16"/>
              </w:rPr>
            </w:pPr>
          </w:p>
        </w:tc>
        <w:tc>
          <w:tcPr>
            <w:tcW w:w="481" w:type="pct"/>
            <w:tcBorders>
              <w:top w:val="nil"/>
              <w:left w:val="nil"/>
              <w:bottom w:val="nil"/>
              <w:right w:val="nil"/>
            </w:tcBorders>
            <w:shd w:val="clear" w:color="auto" w:fill="auto"/>
            <w:vAlign w:val="bottom"/>
            <w:hideMark/>
          </w:tcPr>
          <w:p w14:paraId="5809E4E3"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0E9EAD96"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78761427"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4F01301"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6915EA7F"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08D201E0"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7B9EABE3" w14:textId="77777777" w:rsidR="00862A01" w:rsidRPr="00872D7E" w:rsidRDefault="00862A01" w:rsidP="00394E48">
            <w:pPr>
              <w:jc w:val="right"/>
              <w:rPr>
                <w:sz w:val="16"/>
                <w:szCs w:val="16"/>
              </w:rPr>
            </w:pPr>
          </w:p>
        </w:tc>
        <w:tc>
          <w:tcPr>
            <w:tcW w:w="481" w:type="pct"/>
            <w:tcBorders>
              <w:top w:val="nil"/>
              <w:left w:val="nil"/>
              <w:bottom w:val="nil"/>
              <w:right w:val="nil"/>
            </w:tcBorders>
            <w:shd w:val="clear" w:color="auto" w:fill="auto"/>
            <w:vAlign w:val="bottom"/>
            <w:hideMark/>
          </w:tcPr>
          <w:p w14:paraId="1135288A" w14:textId="77777777" w:rsidR="00862A01" w:rsidRPr="00872D7E" w:rsidRDefault="00862A01" w:rsidP="00394E48">
            <w:pPr>
              <w:jc w:val="right"/>
              <w:rPr>
                <w:sz w:val="16"/>
                <w:szCs w:val="16"/>
              </w:rPr>
            </w:pPr>
          </w:p>
        </w:tc>
      </w:tr>
      <w:tr w:rsidR="00862A01" w:rsidRPr="00872D7E" w14:paraId="1EBBE1B1" w14:textId="77777777" w:rsidTr="00394E48">
        <w:trPr>
          <w:divId w:val="1183666511"/>
          <w:trHeight w:val="170"/>
        </w:trPr>
        <w:tc>
          <w:tcPr>
            <w:tcW w:w="1153" w:type="pct"/>
            <w:tcBorders>
              <w:top w:val="single" w:sz="4" w:space="0" w:color="auto"/>
              <w:left w:val="nil"/>
              <w:bottom w:val="single" w:sz="4" w:space="0" w:color="auto"/>
              <w:right w:val="nil"/>
            </w:tcBorders>
            <w:shd w:val="clear" w:color="auto" w:fill="auto"/>
            <w:vAlign w:val="center"/>
            <w:hideMark/>
          </w:tcPr>
          <w:p w14:paraId="0758B008" w14:textId="77777777" w:rsidR="00862A01" w:rsidRPr="00872D7E" w:rsidRDefault="00862A01" w:rsidP="00862A01">
            <w:pPr>
              <w:rPr>
                <w:b/>
                <w:bCs/>
                <w:color w:val="000000"/>
                <w:sz w:val="16"/>
                <w:szCs w:val="16"/>
              </w:rPr>
            </w:pPr>
            <w:r w:rsidRPr="00872D7E">
              <w:rPr>
                <w:b/>
                <w:bCs/>
                <w:color w:val="000000"/>
                <w:sz w:val="16"/>
                <w:szCs w:val="16"/>
              </w:rPr>
              <w:t>Net Bilanço Dışı Pozisyonu</w:t>
            </w:r>
          </w:p>
        </w:tc>
        <w:tc>
          <w:tcPr>
            <w:tcW w:w="481" w:type="pct"/>
            <w:tcBorders>
              <w:top w:val="single" w:sz="4" w:space="0" w:color="auto"/>
              <w:left w:val="nil"/>
              <w:bottom w:val="single" w:sz="4" w:space="0" w:color="auto"/>
              <w:right w:val="nil"/>
            </w:tcBorders>
            <w:shd w:val="clear" w:color="auto" w:fill="auto"/>
            <w:vAlign w:val="bottom"/>
            <w:hideMark/>
          </w:tcPr>
          <w:p w14:paraId="7065E31E"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0FC6E94B"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5CF08B3B"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131A3DFD"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70C8C76F"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6197D3D3"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18A63214"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3ADBD660" w14:textId="77777777" w:rsidR="00862A01" w:rsidRPr="00872D7E" w:rsidRDefault="00862A01" w:rsidP="00394E48">
            <w:pPr>
              <w:jc w:val="right"/>
              <w:rPr>
                <w:b/>
                <w:bCs/>
                <w:color w:val="000000"/>
                <w:sz w:val="16"/>
                <w:szCs w:val="16"/>
              </w:rPr>
            </w:pPr>
            <w:r w:rsidRPr="00872D7E">
              <w:rPr>
                <w:b/>
                <w:bCs/>
                <w:color w:val="000000"/>
                <w:sz w:val="16"/>
                <w:szCs w:val="16"/>
              </w:rPr>
              <w:t>-</w:t>
            </w:r>
          </w:p>
        </w:tc>
      </w:tr>
      <w:tr w:rsidR="00862A01" w:rsidRPr="00872D7E" w14:paraId="3480B188"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28CDFB59" w14:textId="77777777" w:rsidR="00862A01" w:rsidRPr="00872D7E" w:rsidRDefault="00862A01" w:rsidP="00862A01">
            <w:pPr>
              <w:rPr>
                <w:color w:val="000000"/>
                <w:sz w:val="16"/>
                <w:szCs w:val="16"/>
              </w:rPr>
            </w:pPr>
            <w:r w:rsidRPr="00872D7E">
              <w:rPr>
                <w:snapToGrid w:val="0"/>
                <w:color w:val="000000"/>
                <w:sz w:val="16"/>
                <w:szCs w:val="16"/>
              </w:rPr>
              <w:t>Türev Finansal Araçlardan Alacaklar</w:t>
            </w:r>
          </w:p>
        </w:tc>
        <w:tc>
          <w:tcPr>
            <w:tcW w:w="481" w:type="pct"/>
            <w:tcBorders>
              <w:top w:val="nil"/>
              <w:left w:val="nil"/>
              <w:bottom w:val="nil"/>
              <w:right w:val="nil"/>
            </w:tcBorders>
            <w:shd w:val="clear" w:color="auto" w:fill="auto"/>
            <w:vAlign w:val="bottom"/>
            <w:hideMark/>
          </w:tcPr>
          <w:p w14:paraId="01305A15"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36FC7574"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0E32A1DC"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47783523"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699B4CBD"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05DBE460"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5FD4F810"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083D58B4" w14:textId="77777777" w:rsidR="00862A01" w:rsidRPr="00872D7E" w:rsidRDefault="00862A01" w:rsidP="00394E48">
            <w:pPr>
              <w:jc w:val="right"/>
              <w:rPr>
                <w:color w:val="000000"/>
                <w:sz w:val="16"/>
                <w:szCs w:val="16"/>
              </w:rPr>
            </w:pPr>
            <w:r w:rsidRPr="00872D7E">
              <w:rPr>
                <w:bCs/>
                <w:color w:val="000000"/>
                <w:sz w:val="16"/>
                <w:szCs w:val="16"/>
              </w:rPr>
              <w:t>-</w:t>
            </w:r>
          </w:p>
        </w:tc>
      </w:tr>
      <w:tr w:rsidR="00862A01" w:rsidRPr="00872D7E" w14:paraId="7F3C3D4B" w14:textId="77777777" w:rsidTr="00394E48">
        <w:trPr>
          <w:divId w:val="1183666511"/>
          <w:trHeight w:val="170"/>
        </w:trPr>
        <w:tc>
          <w:tcPr>
            <w:tcW w:w="1153" w:type="pct"/>
            <w:tcBorders>
              <w:top w:val="nil"/>
              <w:left w:val="nil"/>
              <w:bottom w:val="nil"/>
              <w:right w:val="nil"/>
            </w:tcBorders>
            <w:shd w:val="clear" w:color="auto" w:fill="auto"/>
            <w:vAlign w:val="center"/>
            <w:hideMark/>
          </w:tcPr>
          <w:p w14:paraId="48277477" w14:textId="77777777" w:rsidR="00862A01" w:rsidRPr="00872D7E" w:rsidRDefault="00862A01" w:rsidP="00862A01">
            <w:pPr>
              <w:rPr>
                <w:color w:val="000000"/>
                <w:sz w:val="16"/>
                <w:szCs w:val="16"/>
              </w:rPr>
            </w:pPr>
            <w:r w:rsidRPr="00872D7E">
              <w:rPr>
                <w:snapToGrid w:val="0"/>
                <w:color w:val="000000"/>
                <w:sz w:val="16"/>
                <w:szCs w:val="16"/>
              </w:rPr>
              <w:t>Türev Finansal Araçlardan Borçlar</w:t>
            </w:r>
          </w:p>
        </w:tc>
        <w:tc>
          <w:tcPr>
            <w:tcW w:w="481" w:type="pct"/>
            <w:tcBorders>
              <w:top w:val="nil"/>
              <w:left w:val="nil"/>
              <w:bottom w:val="nil"/>
              <w:right w:val="nil"/>
            </w:tcBorders>
            <w:shd w:val="clear" w:color="auto" w:fill="auto"/>
            <w:vAlign w:val="bottom"/>
            <w:hideMark/>
          </w:tcPr>
          <w:p w14:paraId="2CABCCB4"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55D8D634"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7A9E674C"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29EDC9B8"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22605C1B"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65BA3D7D"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34D5E1C4" w14:textId="77777777" w:rsidR="00862A01" w:rsidRPr="00872D7E" w:rsidRDefault="00862A01" w:rsidP="00394E48">
            <w:pPr>
              <w:jc w:val="right"/>
              <w:rPr>
                <w:color w:val="000000"/>
                <w:sz w:val="16"/>
                <w:szCs w:val="16"/>
              </w:rPr>
            </w:pPr>
            <w:r w:rsidRPr="00872D7E">
              <w:rPr>
                <w:bCs/>
                <w:color w:val="000000"/>
                <w:sz w:val="16"/>
                <w:szCs w:val="16"/>
              </w:rPr>
              <w:t>-</w:t>
            </w:r>
          </w:p>
        </w:tc>
        <w:tc>
          <w:tcPr>
            <w:tcW w:w="481" w:type="pct"/>
            <w:tcBorders>
              <w:top w:val="nil"/>
              <w:left w:val="nil"/>
              <w:bottom w:val="nil"/>
              <w:right w:val="nil"/>
            </w:tcBorders>
            <w:shd w:val="clear" w:color="auto" w:fill="auto"/>
            <w:vAlign w:val="bottom"/>
            <w:hideMark/>
          </w:tcPr>
          <w:p w14:paraId="0C42F1A0" w14:textId="77777777" w:rsidR="00862A01" w:rsidRPr="00872D7E" w:rsidRDefault="00862A01" w:rsidP="00394E48">
            <w:pPr>
              <w:jc w:val="right"/>
              <w:rPr>
                <w:color w:val="000000"/>
                <w:sz w:val="16"/>
                <w:szCs w:val="16"/>
              </w:rPr>
            </w:pPr>
            <w:r w:rsidRPr="00872D7E">
              <w:rPr>
                <w:bCs/>
                <w:color w:val="000000"/>
                <w:sz w:val="16"/>
                <w:szCs w:val="16"/>
              </w:rPr>
              <w:t>-</w:t>
            </w:r>
          </w:p>
        </w:tc>
      </w:tr>
      <w:tr w:rsidR="00862A01" w:rsidRPr="00872D7E" w14:paraId="438631FF" w14:textId="77777777" w:rsidTr="00394E48">
        <w:trPr>
          <w:divId w:val="1183666511"/>
          <w:trHeight w:val="170"/>
        </w:trPr>
        <w:tc>
          <w:tcPr>
            <w:tcW w:w="1153" w:type="pct"/>
            <w:tcBorders>
              <w:top w:val="single" w:sz="4" w:space="0" w:color="auto"/>
              <w:left w:val="nil"/>
              <w:bottom w:val="single" w:sz="4" w:space="0" w:color="auto"/>
              <w:right w:val="nil"/>
            </w:tcBorders>
            <w:shd w:val="clear" w:color="auto" w:fill="auto"/>
            <w:vAlign w:val="center"/>
            <w:hideMark/>
          </w:tcPr>
          <w:p w14:paraId="450872F6" w14:textId="77777777" w:rsidR="00862A01" w:rsidRPr="00872D7E" w:rsidRDefault="00862A01" w:rsidP="00862A01">
            <w:pPr>
              <w:rPr>
                <w:b/>
                <w:bCs/>
                <w:color w:val="000000"/>
                <w:sz w:val="16"/>
                <w:szCs w:val="16"/>
              </w:rPr>
            </w:pPr>
            <w:proofErr w:type="spellStart"/>
            <w:r w:rsidRPr="00872D7E">
              <w:rPr>
                <w:b/>
                <w:bCs/>
                <w:color w:val="000000"/>
                <w:sz w:val="16"/>
                <w:szCs w:val="16"/>
              </w:rPr>
              <w:t>Gayrinakdi</w:t>
            </w:r>
            <w:proofErr w:type="spellEnd"/>
            <w:r w:rsidRPr="00872D7E">
              <w:rPr>
                <w:b/>
                <w:bCs/>
                <w:color w:val="000000"/>
                <w:sz w:val="16"/>
                <w:szCs w:val="16"/>
              </w:rPr>
              <w:t xml:space="preserve"> Krediler</w:t>
            </w:r>
          </w:p>
        </w:tc>
        <w:tc>
          <w:tcPr>
            <w:tcW w:w="481" w:type="pct"/>
            <w:tcBorders>
              <w:top w:val="single" w:sz="4" w:space="0" w:color="auto"/>
              <w:left w:val="nil"/>
              <w:bottom w:val="single" w:sz="4" w:space="0" w:color="auto"/>
              <w:right w:val="nil"/>
            </w:tcBorders>
            <w:shd w:val="clear" w:color="auto" w:fill="auto"/>
            <w:vAlign w:val="bottom"/>
            <w:hideMark/>
          </w:tcPr>
          <w:p w14:paraId="702F2600" w14:textId="77777777" w:rsidR="00862A01" w:rsidRPr="00872D7E" w:rsidRDefault="00862A01" w:rsidP="00394E48">
            <w:pPr>
              <w:jc w:val="right"/>
              <w:rPr>
                <w:b/>
                <w:bCs/>
                <w:color w:val="000000"/>
                <w:sz w:val="16"/>
                <w:szCs w:val="16"/>
              </w:rPr>
            </w:pPr>
            <w:r w:rsidRPr="00872D7E">
              <w:rPr>
                <w:b/>
                <w:bCs/>
                <w:color w:val="000000"/>
                <w:sz w:val="16"/>
                <w:szCs w:val="16"/>
              </w:rPr>
              <w:t>5.447</w:t>
            </w:r>
          </w:p>
        </w:tc>
        <w:tc>
          <w:tcPr>
            <w:tcW w:w="481" w:type="pct"/>
            <w:tcBorders>
              <w:top w:val="single" w:sz="4" w:space="0" w:color="auto"/>
              <w:left w:val="nil"/>
              <w:bottom w:val="single" w:sz="4" w:space="0" w:color="auto"/>
              <w:right w:val="nil"/>
            </w:tcBorders>
            <w:shd w:val="clear" w:color="auto" w:fill="auto"/>
            <w:vAlign w:val="bottom"/>
            <w:hideMark/>
          </w:tcPr>
          <w:p w14:paraId="5BD1B7A6"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177F39A4"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06D3165C"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6B0D695D"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7C8FF97C"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3A630F0C" w14:textId="77777777" w:rsidR="00862A01" w:rsidRPr="00872D7E" w:rsidRDefault="00862A01" w:rsidP="00394E48">
            <w:pPr>
              <w:jc w:val="right"/>
              <w:rPr>
                <w:b/>
                <w:bCs/>
                <w:color w:val="000000"/>
                <w:sz w:val="16"/>
                <w:szCs w:val="16"/>
              </w:rPr>
            </w:pPr>
            <w:r w:rsidRPr="00872D7E">
              <w:rPr>
                <w:b/>
                <w:bCs/>
                <w:color w:val="000000"/>
                <w:sz w:val="16"/>
                <w:szCs w:val="16"/>
              </w:rPr>
              <w:t>-</w:t>
            </w:r>
          </w:p>
        </w:tc>
        <w:tc>
          <w:tcPr>
            <w:tcW w:w="481" w:type="pct"/>
            <w:tcBorders>
              <w:top w:val="single" w:sz="4" w:space="0" w:color="auto"/>
              <w:left w:val="nil"/>
              <w:bottom w:val="single" w:sz="4" w:space="0" w:color="auto"/>
              <w:right w:val="nil"/>
            </w:tcBorders>
            <w:shd w:val="clear" w:color="auto" w:fill="auto"/>
            <w:vAlign w:val="bottom"/>
            <w:hideMark/>
          </w:tcPr>
          <w:p w14:paraId="054502B9" w14:textId="77777777" w:rsidR="00862A01" w:rsidRPr="00872D7E" w:rsidRDefault="00862A01" w:rsidP="00394E48">
            <w:pPr>
              <w:jc w:val="right"/>
              <w:rPr>
                <w:b/>
                <w:bCs/>
                <w:color w:val="000000"/>
                <w:sz w:val="16"/>
                <w:szCs w:val="16"/>
              </w:rPr>
            </w:pPr>
            <w:r w:rsidRPr="00872D7E">
              <w:rPr>
                <w:b/>
                <w:bCs/>
                <w:color w:val="000000"/>
                <w:sz w:val="16"/>
                <w:szCs w:val="16"/>
              </w:rPr>
              <w:t>5.447</w:t>
            </w:r>
          </w:p>
        </w:tc>
      </w:tr>
    </w:tbl>
    <w:p w14:paraId="2A70CFB6" w14:textId="3BF610CA" w:rsidR="00763443" w:rsidRPr="00872D7E" w:rsidRDefault="00763443" w:rsidP="00394E48">
      <w:pPr>
        <w:widowControl w:val="0"/>
        <w:ind w:left="567" w:right="-194" w:hanging="567"/>
        <w:jc w:val="both"/>
        <w:rPr>
          <w:snapToGrid w:val="0"/>
          <w:sz w:val="14"/>
          <w:szCs w:val="14"/>
        </w:rPr>
      </w:pPr>
    </w:p>
    <w:p w14:paraId="198FAD7D" w14:textId="51776944" w:rsidR="00AB415C" w:rsidRPr="00872D7E" w:rsidRDefault="00D82BEB" w:rsidP="00394E48">
      <w:pPr>
        <w:ind w:left="567" w:hanging="567"/>
        <w:jc w:val="both"/>
        <w:rPr>
          <w:sz w:val="18"/>
          <w:szCs w:val="22"/>
        </w:rPr>
      </w:pPr>
      <w:r w:rsidRPr="00872D7E">
        <w:rPr>
          <w:sz w:val="18"/>
          <w:szCs w:val="22"/>
          <w:vertAlign w:val="superscript"/>
        </w:rPr>
        <w:t>(*)</w:t>
      </w:r>
      <w:r w:rsidRPr="00872D7E">
        <w:rPr>
          <w:sz w:val="18"/>
          <w:szCs w:val="22"/>
        </w:rPr>
        <w:t xml:space="preserve"> </w:t>
      </w:r>
      <w:r w:rsidR="00394E48" w:rsidRPr="00872D7E">
        <w:rPr>
          <w:sz w:val="18"/>
          <w:szCs w:val="22"/>
        </w:rPr>
        <w:tab/>
      </w:r>
      <w:r w:rsidR="00EB08B9" w:rsidRPr="00872D7E">
        <w:rPr>
          <w:sz w:val="18"/>
          <w:szCs w:val="22"/>
        </w:rPr>
        <w:t>Bilançoyu oluşturan pasif hesaplardan kiralama işlemi yükümlülükleri, karşılıklar, cari vergi borcu ve özkaynaklar gibi bankacılık faaliyetinin sürdürülmesi için gereksinim duyulan, diğer yükümlülük nitelikli hesaplar buraya kaydedilir.</w:t>
      </w:r>
    </w:p>
    <w:p w14:paraId="7F8E94CC" w14:textId="16EE58E6" w:rsidR="00394E48" w:rsidRPr="00872D7E" w:rsidRDefault="00B27294" w:rsidP="00394E48">
      <w:pPr>
        <w:ind w:left="567" w:hanging="567"/>
        <w:jc w:val="both"/>
        <w:rPr>
          <w:sz w:val="16"/>
          <w:szCs w:val="20"/>
        </w:rPr>
      </w:pPr>
      <w:r w:rsidRPr="00872D7E">
        <w:rPr>
          <w:sz w:val="16"/>
          <w:szCs w:val="20"/>
          <w:vertAlign w:val="superscript"/>
        </w:rPr>
        <w:t>(**)</w:t>
      </w:r>
      <w:r w:rsidRPr="00872D7E">
        <w:rPr>
          <w:sz w:val="16"/>
          <w:szCs w:val="20"/>
        </w:rPr>
        <w:tab/>
        <w:t>Türev finansal araçlar dahil edilmiştir.</w:t>
      </w:r>
      <w:r w:rsidR="00394E48" w:rsidRPr="00872D7E">
        <w:rPr>
          <w:sz w:val="16"/>
          <w:szCs w:val="20"/>
        </w:rPr>
        <w:br w:type="page"/>
      </w:r>
    </w:p>
    <w:p w14:paraId="6F85F486" w14:textId="781DE4B9" w:rsidR="009B482B" w:rsidRPr="00872D7E" w:rsidRDefault="006218A8" w:rsidP="00B252B3">
      <w:pPr>
        <w:pStyle w:val="BodyTextIndent"/>
        <w:widowControl w:val="0"/>
        <w:spacing w:after="120" w:line="233" w:lineRule="auto"/>
        <w:ind w:firstLine="0"/>
        <w:jc w:val="left"/>
        <w:rPr>
          <w:b/>
          <w:szCs w:val="20"/>
        </w:rPr>
      </w:pPr>
      <w:r w:rsidRPr="00872D7E">
        <w:rPr>
          <w:b/>
          <w:szCs w:val="20"/>
        </w:rPr>
        <w:lastRenderedPageBreak/>
        <w:t xml:space="preserve">MALİ BÜNYEYE VE RİSK YÖNETİMİNE İLİŞKİN BİLGİLER </w:t>
      </w:r>
      <w:r w:rsidR="009B482B" w:rsidRPr="00872D7E">
        <w:rPr>
          <w:b/>
          <w:szCs w:val="20"/>
        </w:rPr>
        <w:t>(Devamı)</w:t>
      </w:r>
    </w:p>
    <w:p w14:paraId="2EB5BDDA" w14:textId="75DE577F" w:rsidR="00AA12B1" w:rsidRPr="00872D7E" w:rsidRDefault="00AA12B1" w:rsidP="00AA12B1">
      <w:pPr>
        <w:widowControl w:val="0"/>
        <w:autoSpaceDE w:val="0"/>
        <w:autoSpaceDN w:val="0"/>
        <w:adjustRightInd w:val="0"/>
        <w:ind w:left="851" w:hanging="851"/>
        <w:rPr>
          <w:b/>
          <w:szCs w:val="20"/>
        </w:rPr>
      </w:pPr>
      <w:r w:rsidRPr="00872D7E">
        <w:rPr>
          <w:b/>
          <w:szCs w:val="20"/>
        </w:rPr>
        <w:t>V.</w:t>
      </w:r>
      <w:r w:rsidRPr="00872D7E">
        <w:rPr>
          <w:b/>
          <w:szCs w:val="20"/>
        </w:rPr>
        <w:tab/>
        <w:t>LİKİDİTE RİSKİNE İLİŞKİN AÇIKLAMALAR (Devamı)</w:t>
      </w:r>
    </w:p>
    <w:p w14:paraId="156DE507" w14:textId="77777777" w:rsidR="00AA12B1" w:rsidRPr="00872D7E" w:rsidRDefault="00AA12B1" w:rsidP="00F95068">
      <w:pPr>
        <w:widowControl w:val="0"/>
        <w:autoSpaceDE w:val="0"/>
        <w:autoSpaceDN w:val="0"/>
        <w:adjustRightInd w:val="0"/>
        <w:spacing w:line="233" w:lineRule="auto"/>
        <w:ind w:right="102"/>
        <w:jc w:val="both"/>
        <w:rPr>
          <w:rFonts w:eastAsia="Calibri"/>
          <w:b/>
          <w:sz w:val="12"/>
          <w:szCs w:val="12"/>
        </w:rPr>
      </w:pPr>
    </w:p>
    <w:p w14:paraId="410CA7F4" w14:textId="0D411922" w:rsidR="001C2EA0" w:rsidRPr="00872D7E" w:rsidRDefault="001C2EA0" w:rsidP="002D31A9">
      <w:pPr>
        <w:widowControl w:val="0"/>
        <w:autoSpaceDE w:val="0"/>
        <w:autoSpaceDN w:val="0"/>
        <w:adjustRightInd w:val="0"/>
        <w:spacing w:line="233" w:lineRule="auto"/>
        <w:ind w:left="851" w:right="102"/>
        <w:jc w:val="both"/>
        <w:rPr>
          <w:b/>
          <w:szCs w:val="20"/>
        </w:rPr>
      </w:pPr>
      <w:r w:rsidRPr="00872D7E">
        <w:rPr>
          <w:rFonts w:eastAsia="Calibri"/>
          <w:b/>
          <w:szCs w:val="20"/>
        </w:rPr>
        <w:t>Net İstikrarlı Fonlama Oranı</w:t>
      </w:r>
    </w:p>
    <w:p w14:paraId="7939354B" w14:textId="77777777" w:rsidR="006277E3" w:rsidRPr="00872D7E" w:rsidRDefault="006277E3" w:rsidP="002D31A9">
      <w:pPr>
        <w:widowControl w:val="0"/>
        <w:autoSpaceDE w:val="0"/>
        <w:autoSpaceDN w:val="0"/>
        <w:adjustRightInd w:val="0"/>
        <w:spacing w:line="233" w:lineRule="auto"/>
        <w:ind w:left="851" w:right="102"/>
        <w:jc w:val="both"/>
        <w:rPr>
          <w:b/>
          <w:sz w:val="16"/>
          <w:szCs w:val="16"/>
        </w:rPr>
      </w:pPr>
    </w:p>
    <w:p w14:paraId="499525E1" w14:textId="77777777" w:rsidR="006277E3" w:rsidRPr="00872D7E" w:rsidRDefault="006277E3" w:rsidP="002D31A9">
      <w:pPr>
        <w:widowControl w:val="0"/>
        <w:autoSpaceDE w:val="0"/>
        <w:autoSpaceDN w:val="0"/>
        <w:adjustRightInd w:val="0"/>
        <w:spacing w:line="233" w:lineRule="auto"/>
        <w:ind w:left="851" w:right="102"/>
        <w:jc w:val="both"/>
        <w:rPr>
          <w:bCs/>
          <w:szCs w:val="20"/>
        </w:rPr>
      </w:pPr>
      <w:r w:rsidRPr="00872D7E">
        <w:rPr>
          <w:bCs/>
          <w:szCs w:val="20"/>
        </w:rPr>
        <w:t xml:space="preserve">Net istikrarlı fonlama oranı, mevcut istikrarlı fon tutarının gerekli istikrarlı fon tutarına bölünmesi suretiyle hesaplanır. Mevcut istikrarlı fon, bankaların yükümlülük ve özkaynaklarının kalıcı olması beklenen kısmını ifade eder. </w:t>
      </w:r>
    </w:p>
    <w:p w14:paraId="1471A2A6" w14:textId="77777777" w:rsidR="004B1A98" w:rsidRPr="00872D7E" w:rsidRDefault="004B1A98" w:rsidP="002D31A9">
      <w:pPr>
        <w:widowControl w:val="0"/>
        <w:autoSpaceDE w:val="0"/>
        <w:autoSpaceDN w:val="0"/>
        <w:adjustRightInd w:val="0"/>
        <w:spacing w:line="233" w:lineRule="auto"/>
        <w:ind w:left="851" w:right="102"/>
        <w:jc w:val="both"/>
        <w:rPr>
          <w:bCs/>
          <w:sz w:val="16"/>
          <w:szCs w:val="16"/>
        </w:rPr>
      </w:pPr>
    </w:p>
    <w:p w14:paraId="53B0A672" w14:textId="36D75E67" w:rsidR="006277E3" w:rsidRPr="00872D7E" w:rsidRDefault="006277E3" w:rsidP="002D31A9">
      <w:pPr>
        <w:widowControl w:val="0"/>
        <w:autoSpaceDE w:val="0"/>
        <w:autoSpaceDN w:val="0"/>
        <w:adjustRightInd w:val="0"/>
        <w:spacing w:line="233" w:lineRule="auto"/>
        <w:ind w:left="851" w:right="102"/>
        <w:jc w:val="both"/>
        <w:rPr>
          <w:bCs/>
          <w:szCs w:val="20"/>
        </w:rPr>
      </w:pPr>
      <w:r w:rsidRPr="00872D7E">
        <w:rPr>
          <w:bCs/>
          <w:szCs w:val="20"/>
        </w:rPr>
        <w:t>Gerekli istikrarlı fon ise bankaların bilanço içi varlıklarının ve bilanço dışı borçlarının yeniden fonlanması beklenen kısmını ifade eder. Bankanın istikrarlı fonlama sağlama kabiliyeti maruz kalabilecekleri fonlama riskini azaltmakta etkilidir. Bu formda başlıklar en likit olandan en az likit olana göre farklılaşan dikkate alma oranları uygulanarak net istikrarlı fonlama oranını oluşturmaktadır. Bir bankanın mevcut istikrarlı fonlama tutarının, ihtiyaç duyulan istikrarlı fonlama tutarına oranı yüzde 100'den büyük olmalıdır.</w:t>
      </w:r>
    </w:p>
    <w:p w14:paraId="21CF7326" w14:textId="6DE66D25" w:rsidR="001C2229" w:rsidRPr="00872D7E" w:rsidRDefault="001C2229" w:rsidP="009F6E11">
      <w:pPr>
        <w:widowControl w:val="0"/>
      </w:pPr>
    </w:p>
    <w:tbl>
      <w:tblPr>
        <w:tblW w:w="5004" w:type="pct"/>
        <w:tblCellMar>
          <w:left w:w="70" w:type="dxa"/>
          <w:right w:w="70" w:type="dxa"/>
        </w:tblCellMar>
        <w:tblLook w:val="04A0" w:firstRow="1" w:lastRow="0" w:firstColumn="1" w:lastColumn="0" w:noHBand="0" w:noVBand="1"/>
      </w:tblPr>
      <w:tblGrid>
        <w:gridCol w:w="291"/>
        <w:gridCol w:w="3194"/>
        <w:gridCol w:w="1162"/>
        <w:gridCol w:w="1074"/>
        <w:gridCol w:w="1116"/>
        <w:gridCol w:w="1397"/>
        <w:gridCol w:w="1403"/>
      </w:tblGrid>
      <w:tr w:rsidR="001C2229" w:rsidRPr="00872D7E" w14:paraId="616F3DB5" w14:textId="77777777" w:rsidTr="001C2229">
        <w:trPr>
          <w:divId w:val="1907257389"/>
          <w:trHeight w:val="113"/>
        </w:trPr>
        <w:tc>
          <w:tcPr>
            <w:tcW w:w="18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20AED4" w14:textId="66172ABD" w:rsidR="001C2229" w:rsidRPr="00872D7E" w:rsidRDefault="001C2229" w:rsidP="001C2229">
            <w:pPr>
              <w:rPr>
                <w:b/>
                <w:bCs/>
                <w:color w:val="000000"/>
                <w:sz w:val="14"/>
                <w:szCs w:val="14"/>
                <w:lang w:eastAsia="tr-TR"/>
              </w:rPr>
            </w:pPr>
            <w:r w:rsidRPr="00872D7E">
              <w:rPr>
                <w:b/>
                <w:bCs/>
                <w:color w:val="000000"/>
                <w:sz w:val="14"/>
                <w:szCs w:val="14"/>
                <w:lang w:eastAsia="tr-TR"/>
              </w:rPr>
              <w:t>31 Aralık 2024</w:t>
            </w:r>
          </w:p>
        </w:tc>
        <w:tc>
          <w:tcPr>
            <w:tcW w:w="2464" w:type="pct"/>
            <w:gridSpan w:val="4"/>
            <w:tcBorders>
              <w:top w:val="single" w:sz="4" w:space="0" w:color="auto"/>
              <w:left w:val="nil"/>
              <w:right w:val="single" w:sz="4" w:space="0" w:color="auto"/>
            </w:tcBorders>
            <w:shd w:val="clear" w:color="auto" w:fill="auto"/>
            <w:vAlign w:val="center"/>
            <w:hideMark/>
          </w:tcPr>
          <w:p w14:paraId="2DDFAA72" w14:textId="77777777" w:rsidR="001C2229" w:rsidRPr="00872D7E" w:rsidRDefault="001C2229" w:rsidP="001C2229">
            <w:pPr>
              <w:jc w:val="center"/>
              <w:rPr>
                <w:b/>
                <w:bCs/>
                <w:color w:val="000000"/>
                <w:sz w:val="14"/>
                <w:szCs w:val="14"/>
                <w:lang w:eastAsia="tr-TR"/>
              </w:rPr>
            </w:pPr>
            <w:r w:rsidRPr="00872D7E">
              <w:rPr>
                <w:b/>
                <w:bCs/>
                <w:color w:val="000000"/>
                <w:sz w:val="14"/>
                <w:szCs w:val="14"/>
                <w:lang w:eastAsia="tr-TR"/>
              </w:rPr>
              <w:t>Kalan Vadesine Göre, Dikkate Alma Oranı</w:t>
            </w:r>
          </w:p>
        </w:tc>
        <w:tc>
          <w:tcPr>
            <w:tcW w:w="7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9AB06D" w14:textId="77777777" w:rsidR="001C2229" w:rsidRPr="00872D7E" w:rsidRDefault="001C2229" w:rsidP="001C2229">
            <w:pPr>
              <w:jc w:val="right"/>
              <w:rPr>
                <w:b/>
                <w:bCs/>
                <w:color w:val="000000"/>
                <w:sz w:val="14"/>
                <w:szCs w:val="14"/>
                <w:lang w:eastAsia="tr-TR"/>
              </w:rPr>
            </w:pPr>
            <w:r w:rsidRPr="00872D7E">
              <w:rPr>
                <w:b/>
                <w:bCs/>
                <w:color w:val="000000"/>
                <w:sz w:val="14"/>
                <w:szCs w:val="14"/>
                <w:lang w:eastAsia="tr-TR"/>
              </w:rPr>
              <w:t>Dikkate Alma Oranı Uygulanmış Toplam Tutar</w:t>
            </w:r>
          </w:p>
        </w:tc>
      </w:tr>
      <w:tr w:rsidR="001C2229" w:rsidRPr="00872D7E" w14:paraId="00D33A6B" w14:textId="77777777" w:rsidTr="001C2229">
        <w:trPr>
          <w:divId w:val="1907257389"/>
          <w:trHeight w:val="113"/>
        </w:trPr>
        <w:tc>
          <w:tcPr>
            <w:tcW w:w="1808" w:type="pct"/>
            <w:gridSpan w:val="2"/>
            <w:vMerge/>
            <w:tcBorders>
              <w:top w:val="single" w:sz="4" w:space="0" w:color="auto"/>
              <w:left w:val="single" w:sz="4" w:space="0" w:color="auto"/>
              <w:bottom w:val="single" w:sz="4" w:space="0" w:color="auto"/>
              <w:right w:val="single" w:sz="4" w:space="0" w:color="auto"/>
            </w:tcBorders>
            <w:vAlign w:val="center"/>
            <w:hideMark/>
          </w:tcPr>
          <w:p w14:paraId="039F2931" w14:textId="77777777" w:rsidR="001C2229" w:rsidRPr="00872D7E" w:rsidRDefault="001C2229" w:rsidP="001C2229">
            <w:pPr>
              <w:rPr>
                <w:b/>
                <w:bCs/>
                <w:color w:val="000000"/>
                <w:sz w:val="14"/>
                <w:szCs w:val="14"/>
                <w:lang w:eastAsia="tr-TR"/>
              </w:rPr>
            </w:pPr>
          </w:p>
        </w:tc>
        <w:tc>
          <w:tcPr>
            <w:tcW w:w="2464" w:type="pct"/>
            <w:gridSpan w:val="4"/>
            <w:tcBorders>
              <w:left w:val="nil"/>
              <w:bottom w:val="single" w:sz="4" w:space="0" w:color="auto"/>
              <w:right w:val="single" w:sz="4" w:space="0" w:color="auto"/>
            </w:tcBorders>
            <w:shd w:val="clear" w:color="auto" w:fill="auto"/>
            <w:vAlign w:val="center"/>
            <w:hideMark/>
          </w:tcPr>
          <w:p w14:paraId="0BFBE783" w14:textId="77777777" w:rsidR="001C2229" w:rsidRPr="00872D7E" w:rsidRDefault="001C2229" w:rsidP="001C2229">
            <w:pPr>
              <w:jc w:val="center"/>
              <w:rPr>
                <w:b/>
                <w:bCs/>
                <w:color w:val="000000"/>
                <w:sz w:val="14"/>
                <w:szCs w:val="14"/>
                <w:lang w:eastAsia="tr-TR"/>
              </w:rPr>
            </w:pPr>
            <w:r w:rsidRPr="00872D7E">
              <w:rPr>
                <w:b/>
                <w:bCs/>
                <w:color w:val="000000"/>
                <w:sz w:val="14"/>
                <w:szCs w:val="14"/>
                <w:lang w:eastAsia="tr-TR"/>
              </w:rPr>
              <w:t>Uygulanmamış Tutar</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59ED5498" w14:textId="77777777" w:rsidR="001C2229" w:rsidRPr="00872D7E" w:rsidRDefault="001C2229" w:rsidP="001C2229">
            <w:pPr>
              <w:jc w:val="right"/>
              <w:rPr>
                <w:b/>
                <w:bCs/>
                <w:color w:val="000000"/>
                <w:sz w:val="14"/>
                <w:szCs w:val="14"/>
                <w:lang w:eastAsia="tr-TR"/>
              </w:rPr>
            </w:pPr>
          </w:p>
        </w:tc>
      </w:tr>
      <w:tr w:rsidR="001C2229" w:rsidRPr="00872D7E" w14:paraId="08C6132E" w14:textId="77777777" w:rsidTr="001C2229">
        <w:trPr>
          <w:divId w:val="1907257389"/>
          <w:trHeight w:val="113"/>
        </w:trPr>
        <w:tc>
          <w:tcPr>
            <w:tcW w:w="1808"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74BD43" w14:textId="77777777" w:rsidR="001C2229" w:rsidRPr="00872D7E" w:rsidRDefault="001C2229" w:rsidP="001C2229">
            <w:pPr>
              <w:rPr>
                <w:b/>
                <w:bCs/>
                <w:color w:val="000000"/>
                <w:sz w:val="14"/>
                <w:szCs w:val="14"/>
                <w:lang w:eastAsia="tr-TR"/>
              </w:rPr>
            </w:pPr>
          </w:p>
        </w:tc>
        <w:tc>
          <w:tcPr>
            <w:tcW w:w="603" w:type="pct"/>
            <w:tcBorders>
              <w:top w:val="single" w:sz="4" w:space="0" w:color="auto"/>
              <w:left w:val="nil"/>
              <w:bottom w:val="single" w:sz="4" w:space="0" w:color="auto"/>
              <w:right w:val="single" w:sz="4" w:space="0" w:color="auto"/>
            </w:tcBorders>
            <w:shd w:val="clear" w:color="auto" w:fill="auto"/>
            <w:vAlign w:val="center"/>
            <w:hideMark/>
          </w:tcPr>
          <w:p w14:paraId="138D9B7F" w14:textId="77777777" w:rsidR="001C2229" w:rsidRPr="00872D7E" w:rsidRDefault="001C2229" w:rsidP="001C2229">
            <w:pPr>
              <w:jc w:val="right"/>
              <w:rPr>
                <w:b/>
                <w:bCs/>
                <w:color w:val="000000"/>
                <w:sz w:val="14"/>
                <w:szCs w:val="14"/>
                <w:lang w:eastAsia="tr-TR"/>
              </w:rPr>
            </w:pPr>
            <w:r w:rsidRPr="00872D7E">
              <w:rPr>
                <w:b/>
                <w:bCs/>
                <w:color w:val="000000"/>
                <w:sz w:val="14"/>
                <w:szCs w:val="14"/>
                <w:lang w:eastAsia="tr-TR"/>
              </w:rPr>
              <w:t>Vadesiz</w:t>
            </w:r>
          </w:p>
        </w:tc>
        <w:tc>
          <w:tcPr>
            <w:tcW w:w="557" w:type="pct"/>
            <w:tcBorders>
              <w:top w:val="single" w:sz="4" w:space="0" w:color="auto"/>
              <w:left w:val="nil"/>
              <w:bottom w:val="single" w:sz="4" w:space="0" w:color="auto"/>
              <w:right w:val="single" w:sz="4" w:space="0" w:color="auto"/>
            </w:tcBorders>
            <w:shd w:val="clear" w:color="auto" w:fill="auto"/>
            <w:vAlign w:val="center"/>
            <w:hideMark/>
          </w:tcPr>
          <w:p w14:paraId="3A930225" w14:textId="77777777" w:rsidR="001C2229" w:rsidRPr="00872D7E" w:rsidRDefault="001C2229" w:rsidP="001C2229">
            <w:pPr>
              <w:jc w:val="right"/>
              <w:rPr>
                <w:b/>
                <w:bCs/>
                <w:color w:val="000000"/>
                <w:sz w:val="14"/>
                <w:szCs w:val="14"/>
                <w:lang w:eastAsia="tr-TR"/>
              </w:rPr>
            </w:pPr>
            <w:r w:rsidRPr="00872D7E">
              <w:rPr>
                <w:b/>
                <w:bCs/>
                <w:color w:val="000000"/>
                <w:sz w:val="14"/>
                <w:szCs w:val="14"/>
                <w:lang w:eastAsia="tr-TR"/>
              </w:rPr>
              <w:t>6 Aydan Kısa Vadeli</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34C62952" w14:textId="77777777" w:rsidR="001C2229" w:rsidRPr="00872D7E" w:rsidRDefault="001C2229" w:rsidP="001C2229">
            <w:pPr>
              <w:jc w:val="right"/>
              <w:rPr>
                <w:b/>
                <w:bCs/>
                <w:color w:val="000000"/>
                <w:sz w:val="14"/>
                <w:szCs w:val="14"/>
                <w:lang w:eastAsia="tr-TR"/>
              </w:rPr>
            </w:pPr>
            <w:r w:rsidRPr="00872D7E">
              <w:rPr>
                <w:b/>
                <w:bCs/>
                <w:color w:val="000000"/>
                <w:sz w:val="14"/>
                <w:szCs w:val="14"/>
                <w:lang w:eastAsia="tr-TR"/>
              </w:rPr>
              <w:t>6 Ay ile 6 Aydan Uzun 1 Yıldan Kısa Vadeli</w:t>
            </w:r>
          </w:p>
        </w:tc>
        <w:tc>
          <w:tcPr>
            <w:tcW w:w="725" w:type="pct"/>
            <w:tcBorders>
              <w:top w:val="single" w:sz="4" w:space="0" w:color="auto"/>
              <w:left w:val="nil"/>
              <w:bottom w:val="single" w:sz="4" w:space="0" w:color="auto"/>
              <w:right w:val="single" w:sz="4" w:space="0" w:color="auto"/>
            </w:tcBorders>
            <w:shd w:val="clear" w:color="auto" w:fill="auto"/>
            <w:vAlign w:val="center"/>
            <w:hideMark/>
          </w:tcPr>
          <w:p w14:paraId="312C0D80" w14:textId="77777777" w:rsidR="001C2229" w:rsidRPr="00872D7E" w:rsidRDefault="001C2229" w:rsidP="001C2229">
            <w:pPr>
              <w:jc w:val="right"/>
              <w:rPr>
                <w:b/>
                <w:bCs/>
                <w:color w:val="000000"/>
                <w:sz w:val="14"/>
                <w:szCs w:val="14"/>
                <w:lang w:eastAsia="tr-TR"/>
              </w:rPr>
            </w:pPr>
            <w:r w:rsidRPr="00872D7E">
              <w:rPr>
                <w:b/>
                <w:bCs/>
                <w:color w:val="000000"/>
                <w:sz w:val="14"/>
                <w:szCs w:val="14"/>
                <w:lang w:eastAsia="tr-TR"/>
              </w:rPr>
              <w:t>1 Yıl ve 1 Yıldan Uzun Vadeli</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020EB1C2" w14:textId="77777777" w:rsidR="001C2229" w:rsidRPr="00872D7E" w:rsidRDefault="001C2229" w:rsidP="001C2229">
            <w:pPr>
              <w:jc w:val="right"/>
              <w:rPr>
                <w:b/>
                <w:bCs/>
                <w:color w:val="000000"/>
                <w:sz w:val="14"/>
                <w:szCs w:val="14"/>
                <w:lang w:eastAsia="tr-TR"/>
              </w:rPr>
            </w:pPr>
          </w:p>
        </w:tc>
      </w:tr>
      <w:tr w:rsidR="001C2229" w:rsidRPr="00872D7E" w14:paraId="5D4D474C" w14:textId="77777777" w:rsidTr="001C2229">
        <w:trPr>
          <w:divId w:val="1907257389"/>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DA8BEE" w14:textId="77777777" w:rsidR="001C2229" w:rsidRPr="00872D7E" w:rsidRDefault="001C2229" w:rsidP="001C2229">
            <w:pPr>
              <w:rPr>
                <w:b/>
                <w:bCs/>
                <w:color w:val="000000"/>
                <w:sz w:val="14"/>
                <w:szCs w:val="14"/>
                <w:lang w:eastAsia="tr-TR"/>
              </w:rPr>
            </w:pPr>
            <w:r w:rsidRPr="00872D7E">
              <w:rPr>
                <w:b/>
                <w:bCs/>
                <w:color w:val="000000"/>
                <w:sz w:val="14"/>
                <w:szCs w:val="14"/>
                <w:lang w:eastAsia="tr-TR"/>
              </w:rPr>
              <w:t>Mevcut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2836E71F" w14:textId="77777777" w:rsidR="001C2229" w:rsidRPr="00872D7E" w:rsidRDefault="001C2229" w:rsidP="001C2229">
            <w:pPr>
              <w:rPr>
                <w:color w:val="000000"/>
                <w:sz w:val="14"/>
                <w:szCs w:val="14"/>
                <w:lang w:eastAsia="tr-TR"/>
              </w:rPr>
            </w:pPr>
            <w:r w:rsidRPr="00872D7E">
              <w:rPr>
                <w:color w:val="000000"/>
                <w:sz w:val="14"/>
                <w:szCs w:val="14"/>
                <w:lang w:eastAsia="tr-TR"/>
              </w:rPr>
              <w:t> </w:t>
            </w:r>
          </w:p>
        </w:tc>
      </w:tr>
      <w:tr w:rsidR="001C2229" w:rsidRPr="00872D7E" w14:paraId="7277837F"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B50530" w14:textId="77777777" w:rsidR="001C2229" w:rsidRPr="00872D7E" w:rsidRDefault="001C2229" w:rsidP="001C2229">
            <w:pPr>
              <w:rPr>
                <w:color w:val="000000"/>
                <w:sz w:val="14"/>
                <w:szCs w:val="14"/>
                <w:lang w:eastAsia="tr-TR"/>
              </w:rPr>
            </w:pPr>
            <w:r w:rsidRPr="00872D7E">
              <w:rPr>
                <w:color w:val="000000"/>
                <w:sz w:val="14"/>
                <w:szCs w:val="14"/>
                <w:lang w:eastAsia="tr-TR"/>
              </w:rPr>
              <w:t>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394EB09" w14:textId="77777777" w:rsidR="001C2229" w:rsidRPr="00872D7E" w:rsidRDefault="001C2229" w:rsidP="001C2229">
            <w:pPr>
              <w:rPr>
                <w:color w:val="000000"/>
                <w:sz w:val="14"/>
                <w:szCs w:val="14"/>
                <w:lang w:eastAsia="tr-TR"/>
              </w:rPr>
            </w:pPr>
            <w:r w:rsidRPr="00872D7E">
              <w:rPr>
                <w:color w:val="000000"/>
                <w:sz w:val="14"/>
                <w:szCs w:val="14"/>
                <w:lang w:eastAsia="tr-TR"/>
              </w:rPr>
              <w:t>Özkaynak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309A7FE" w14:textId="77777777" w:rsidR="001C2229" w:rsidRPr="00872D7E" w:rsidRDefault="001C2229" w:rsidP="001C2229">
            <w:pPr>
              <w:jc w:val="right"/>
              <w:rPr>
                <w:color w:val="000000"/>
                <w:sz w:val="14"/>
                <w:szCs w:val="14"/>
                <w:lang w:eastAsia="tr-TR"/>
              </w:rPr>
            </w:pPr>
            <w:r w:rsidRPr="00872D7E">
              <w:rPr>
                <w:color w:val="000000"/>
                <w:sz w:val="14"/>
                <w:szCs w:val="14"/>
                <w:lang w:eastAsia="tr-TR"/>
              </w:rPr>
              <w:t>7.068.728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47E6814"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306BB8EF"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FA2716E"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5E6632E" w14:textId="77777777" w:rsidR="001C2229" w:rsidRPr="00872D7E" w:rsidRDefault="001C2229" w:rsidP="001C2229">
            <w:pPr>
              <w:jc w:val="right"/>
              <w:rPr>
                <w:color w:val="000000"/>
                <w:sz w:val="14"/>
                <w:szCs w:val="14"/>
                <w:lang w:eastAsia="tr-TR"/>
              </w:rPr>
            </w:pPr>
            <w:r w:rsidRPr="00872D7E">
              <w:rPr>
                <w:color w:val="000000"/>
                <w:sz w:val="14"/>
                <w:szCs w:val="14"/>
                <w:lang w:eastAsia="tr-TR"/>
              </w:rPr>
              <w:t>7.068.728</w:t>
            </w:r>
          </w:p>
        </w:tc>
      </w:tr>
      <w:tr w:rsidR="001C2229" w:rsidRPr="00872D7E" w14:paraId="37F95621"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FC8A48" w14:textId="77777777" w:rsidR="001C2229" w:rsidRPr="00872D7E" w:rsidRDefault="001C2229" w:rsidP="001C2229">
            <w:pPr>
              <w:rPr>
                <w:color w:val="000000"/>
                <w:sz w:val="14"/>
                <w:szCs w:val="14"/>
                <w:lang w:eastAsia="tr-TR"/>
              </w:rPr>
            </w:pPr>
            <w:r w:rsidRPr="00872D7E">
              <w:rPr>
                <w:color w:val="000000"/>
                <w:sz w:val="14"/>
                <w:szCs w:val="14"/>
                <w:lang w:eastAsia="tr-TR"/>
              </w:rPr>
              <w:t>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C51E2C5" w14:textId="77777777" w:rsidR="001C2229" w:rsidRPr="00872D7E" w:rsidRDefault="001C2229" w:rsidP="001C2229">
            <w:pPr>
              <w:rPr>
                <w:color w:val="000000"/>
                <w:sz w:val="14"/>
                <w:szCs w:val="14"/>
                <w:lang w:eastAsia="tr-TR"/>
              </w:rPr>
            </w:pPr>
            <w:r w:rsidRPr="00872D7E">
              <w:rPr>
                <w:color w:val="000000"/>
                <w:sz w:val="14"/>
                <w:szCs w:val="14"/>
                <w:lang w:eastAsia="tr-TR"/>
              </w:rPr>
              <w:t>Ana sermaye ve katkı sermaye</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C7567B9" w14:textId="77777777" w:rsidR="001C2229" w:rsidRPr="00872D7E" w:rsidRDefault="001C2229" w:rsidP="001C2229">
            <w:pPr>
              <w:jc w:val="right"/>
              <w:rPr>
                <w:color w:val="000000"/>
                <w:sz w:val="14"/>
                <w:szCs w:val="14"/>
                <w:lang w:eastAsia="tr-TR"/>
              </w:rPr>
            </w:pPr>
            <w:r w:rsidRPr="00872D7E">
              <w:rPr>
                <w:color w:val="000000"/>
                <w:sz w:val="14"/>
                <w:szCs w:val="14"/>
                <w:lang w:eastAsia="tr-TR"/>
              </w:rPr>
              <w:t>7.068.728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F18FAF8"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C610955"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1AFEADB"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4D19977" w14:textId="77777777" w:rsidR="001C2229" w:rsidRPr="00872D7E" w:rsidRDefault="001C2229" w:rsidP="001C2229">
            <w:pPr>
              <w:jc w:val="right"/>
              <w:rPr>
                <w:color w:val="000000"/>
                <w:sz w:val="14"/>
                <w:szCs w:val="14"/>
                <w:lang w:eastAsia="tr-TR"/>
              </w:rPr>
            </w:pPr>
            <w:r w:rsidRPr="00872D7E">
              <w:rPr>
                <w:color w:val="000000"/>
                <w:sz w:val="14"/>
                <w:szCs w:val="14"/>
                <w:lang w:eastAsia="tr-TR"/>
              </w:rPr>
              <w:t>7.068.728</w:t>
            </w:r>
          </w:p>
        </w:tc>
      </w:tr>
      <w:tr w:rsidR="001C2229" w:rsidRPr="00872D7E" w14:paraId="4BC09ED5"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69F90A" w14:textId="77777777" w:rsidR="001C2229" w:rsidRPr="00872D7E" w:rsidRDefault="001C2229" w:rsidP="001C2229">
            <w:pPr>
              <w:rPr>
                <w:color w:val="000000"/>
                <w:sz w:val="14"/>
                <w:szCs w:val="14"/>
                <w:lang w:eastAsia="tr-TR"/>
              </w:rPr>
            </w:pPr>
            <w:r w:rsidRPr="00872D7E">
              <w:rPr>
                <w:color w:val="000000"/>
                <w:sz w:val="14"/>
                <w:szCs w:val="14"/>
                <w:lang w:eastAsia="tr-TR"/>
              </w:rPr>
              <w:t>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383F8A8" w14:textId="77777777" w:rsidR="001C2229" w:rsidRPr="00872D7E" w:rsidRDefault="001C2229" w:rsidP="001C2229">
            <w:pPr>
              <w:rPr>
                <w:color w:val="000000"/>
                <w:sz w:val="14"/>
                <w:szCs w:val="14"/>
                <w:lang w:eastAsia="tr-TR"/>
              </w:rPr>
            </w:pPr>
            <w:r w:rsidRPr="00872D7E">
              <w:rPr>
                <w:color w:val="000000"/>
                <w:sz w:val="14"/>
                <w:szCs w:val="14"/>
                <w:lang w:eastAsia="tr-TR"/>
              </w:rPr>
              <w:t>Diğer özkaynak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8E720F8"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15E89F11"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82B01E8"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4F4D3A2"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F67CA16"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564FD73C"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9A4080" w14:textId="77777777" w:rsidR="001C2229" w:rsidRPr="00872D7E" w:rsidRDefault="001C2229" w:rsidP="001C2229">
            <w:pPr>
              <w:rPr>
                <w:color w:val="000000"/>
                <w:sz w:val="14"/>
                <w:szCs w:val="14"/>
                <w:lang w:eastAsia="tr-TR"/>
              </w:rPr>
            </w:pPr>
            <w:r w:rsidRPr="00872D7E">
              <w:rPr>
                <w:color w:val="000000"/>
                <w:sz w:val="14"/>
                <w:szCs w:val="14"/>
                <w:lang w:eastAsia="tr-TR"/>
              </w:rPr>
              <w:t>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3A9304A" w14:textId="77777777" w:rsidR="001C2229" w:rsidRPr="00872D7E" w:rsidRDefault="001C2229" w:rsidP="001C2229">
            <w:pPr>
              <w:rPr>
                <w:color w:val="000000"/>
                <w:sz w:val="14"/>
                <w:szCs w:val="14"/>
                <w:lang w:eastAsia="tr-TR"/>
              </w:rPr>
            </w:pPr>
            <w:r w:rsidRPr="00872D7E">
              <w:rPr>
                <w:color w:val="000000"/>
                <w:sz w:val="14"/>
                <w:szCs w:val="14"/>
                <w:lang w:eastAsia="tr-TR"/>
              </w:rPr>
              <w:t>Gerçek kişi ve perakende müşteri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CAE4CCA" w14:textId="77777777" w:rsidR="001C2229" w:rsidRPr="00872D7E" w:rsidRDefault="001C2229" w:rsidP="001C2229">
            <w:pPr>
              <w:jc w:val="right"/>
              <w:rPr>
                <w:color w:val="000000"/>
                <w:sz w:val="14"/>
                <w:szCs w:val="14"/>
                <w:lang w:eastAsia="tr-TR"/>
              </w:rPr>
            </w:pPr>
            <w:r w:rsidRPr="00872D7E">
              <w:rPr>
                <w:color w:val="000000"/>
                <w:sz w:val="14"/>
                <w:szCs w:val="14"/>
                <w:lang w:eastAsia="tr-TR"/>
              </w:rPr>
              <w:t>574.728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5C4CD48" w14:textId="77777777" w:rsidR="001C2229" w:rsidRPr="00872D7E" w:rsidRDefault="001C2229" w:rsidP="001C2229">
            <w:pPr>
              <w:jc w:val="right"/>
              <w:rPr>
                <w:color w:val="000000"/>
                <w:sz w:val="14"/>
                <w:szCs w:val="14"/>
                <w:lang w:eastAsia="tr-TR"/>
              </w:rPr>
            </w:pPr>
            <w:r w:rsidRPr="00872D7E">
              <w:rPr>
                <w:color w:val="000000"/>
                <w:sz w:val="14"/>
                <w:szCs w:val="14"/>
                <w:lang w:eastAsia="tr-TR"/>
              </w:rPr>
              <w:t>3.974.677</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A040C37" w14:textId="77777777" w:rsidR="001C2229" w:rsidRPr="00872D7E" w:rsidRDefault="001C2229" w:rsidP="001C2229">
            <w:pPr>
              <w:jc w:val="right"/>
              <w:rPr>
                <w:color w:val="000000"/>
                <w:sz w:val="14"/>
                <w:szCs w:val="14"/>
                <w:lang w:eastAsia="tr-TR"/>
              </w:rPr>
            </w:pPr>
            <w:r w:rsidRPr="00872D7E">
              <w:rPr>
                <w:color w:val="000000"/>
                <w:sz w:val="14"/>
                <w:szCs w:val="14"/>
                <w:lang w:eastAsia="tr-TR"/>
              </w:rPr>
              <w:t>53.849</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8555146"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C1BEC94" w14:textId="77777777" w:rsidR="001C2229" w:rsidRPr="00872D7E" w:rsidRDefault="001C2229" w:rsidP="001C2229">
            <w:pPr>
              <w:jc w:val="right"/>
              <w:rPr>
                <w:color w:val="000000"/>
                <w:sz w:val="14"/>
                <w:szCs w:val="14"/>
                <w:lang w:eastAsia="tr-TR"/>
              </w:rPr>
            </w:pPr>
            <w:r w:rsidRPr="00872D7E">
              <w:rPr>
                <w:color w:val="000000"/>
                <w:sz w:val="14"/>
                <w:szCs w:val="14"/>
                <w:lang w:eastAsia="tr-TR"/>
              </w:rPr>
              <w:t>4.142.928</w:t>
            </w:r>
          </w:p>
        </w:tc>
      </w:tr>
      <w:tr w:rsidR="001C2229" w:rsidRPr="00872D7E" w14:paraId="03456CDD"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01012C" w14:textId="77777777" w:rsidR="001C2229" w:rsidRPr="00872D7E" w:rsidRDefault="001C2229" w:rsidP="001C2229">
            <w:pPr>
              <w:rPr>
                <w:color w:val="000000"/>
                <w:sz w:val="14"/>
                <w:szCs w:val="14"/>
                <w:lang w:eastAsia="tr-TR"/>
              </w:rPr>
            </w:pPr>
            <w:r w:rsidRPr="00872D7E">
              <w:rPr>
                <w:color w:val="000000"/>
                <w:sz w:val="14"/>
                <w:szCs w:val="14"/>
                <w:lang w:eastAsia="tr-TR"/>
              </w:rPr>
              <w:t>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196CFCC" w14:textId="77777777" w:rsidR="001C2229" w:rsidRPr="00872D7E" w:rsidRDefault="001C2229" w:rsidP="001C2229">
            <w:pPr>
              <w:rPr>
                <w:color w:val="000000"/>
                <w:sz w:val="14"/>
                <w:szCs w:val="14"/>
                <w:lang w:eastAsia="tr-TR"/>
              </w:rPr>
            </w:pPr>
            <w:r w:rsidRPr="00872D7E">
              <w:rPr>
                <w:color w:val="000000"/>
                <w:sz w:val="14"/>
                <w:szCs w:val="14"/>
                <w:lang w:eastAsia="tr-TR"/>
              </w:rPr>
              <w:t>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1AEA4A5"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3EF181F"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67D305B"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BB4FDC2"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977C820"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162C778D"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E09DE" w14:textId="77777777" w:rsidR="001C2229" w:rsidRPr="00872D7E" w:rsidRDefault="001C2229" w:rsidP="001C2229">
            <w:pPr>
              <w:rPr>
                <w:color w:val="000000"/>
                <w:sz w:val="14"/>
                <w:szCs w:val="14"/>
                <w:lang w:eastAsia="tr-TR"/>
              </w:rPr>
            </w:pPr>
            <w:r w:rsidRPr="00872D7E">
              <w:rPr>
                <w:color w:val="000000"/>
                <w:sz w:val="14"/>
                <w:szCs w:val="14"/>
                <w:lang w:eastAsia="tr-TR"/>
              </w:rPr>
              <w:t>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D7D4A3E" w14:textId="77777777" w:rsidR="001C2229" w:rsidRPr="00872D7E" w:rsidRDefault="001C2229" w:rsidP="001C2229">
            <w:pPr>
              <w:rPr>
                <w:color w:val="000000"/>
                <w:sz w:val="14"/>
                <w:szCs w:val="14"/>
                <w:lang w:eastAsia="tr-TR"/>
              </w:rPr>
            </w:pPr>
            <w:r w:rsidRPr="00872D7E">
              <w:rPr>
                <w:color w:val="000000"/>
                <w:sz w:val="14"/>
                <w:szCs w:val="14"/>
                <w:lang w:eastAsia="tr-TR"/>
              </w:rPr>
              <w:t>Düşük 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A95E6AB" w14:textId="77777777" w:rsidR="001C2229" w:rsidRPr="00872D7E" w:rsidRDefault="001C2229" w:rsidP="001C2229">
            <w:pPr>
              <w:jc w:val="right"/>
              <w:rPr>
                <w:color w:val="000000"/>
                <w:sz w:val="14"/>
                <w:szCs w:val="14"/>
                <w:lang w:eastAsia="tr-TR"/>
              </w:rPr>
            </w:pPr>
            <w:r w:rsidRPr="00872D7E">
              <w:rPr>
                <w:color w:val="000000"/>
                <w:sz w:val="14"/>
                <w:szCs w:val="14"/>
                <w:lang w:eastAsia="tr-TR"/>
              </w:rPr>
              <w:t>574.728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3BF062A" w14:textId="77777777" w:rsidR="001C2229" w:rsidRPr="00872D7E" w:rsidRDefault="001C2229" w:rsidP="001C2229">
            <w:pPr>
              <w:jc w:val="right"/>
              <w:rPr>
                <w:color w:val="000000"/>
                <w:sz w:val="14"/>
                <w:szCs w:val="14"/>
                <w:lang w:eastAsia="tr-TR"/>
              </w:rPr>
            </w:pPr>
            <w:r w:rsidRPr="00872D7E">
              <w:rPr>
                <w:color w:val="000000"/>
                <w:sz w:val="14"/>
                <w:szCs w:val="14"/>
                <w:lang w:eastAsia="tr-TR"/>
              </w:rPr>
              <w:t>3.974.677</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25C3D24" w14:textId="77777777" w:rsidR="001C2229" w:rsidRPr="00872D7E" w:rsidRDefault="001C2229" w:rsidP="001C2229">
            <w:pPr>
              <w:jc w:val="right"/>
              <w:rPr>
                <w:color w:val="000000"/>
                <w:sz w:val="14"/>
                <w:szCs w:val="14"/>
                <w:lang w:eastAsia="tr-TR"/>
              </w:rPr>
            </w:pPr>
            <w:r w:rsidRPr="00872D7E">
              <w:rPr>
                <w:color w:val="000000"/>
                <w:sz w:val="14"/>
                <w:szCs w:val="14"/>
                <w:lang w:eastAsia="tr-TR"/>
              </w:rPr>
              <w:t>53.849</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7A27DA5"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FBB0E9E" w14:textId="77777777" w:rsidR="001C2229" w:rsidRPr="00872D7E" w:rsidRDefault="001C2229" w:rsidP="001C2229">
            <w:pPr>
              <w:jc w:val="right"/>
              <w:rPr>
                <w:color w:val="000000"/>
                <w:sz w:val="14"/>
                <w:szCs w:val="14"/>
                <w:lang w:eastAsia="tr-TR"/>
              </w:rPr>
            </w:pPr>
            <w:r w:rsidRPr="00872D7E">
              <w:rPr>
                <w:color w:val="000000"/>
                <w:sz w:val="14"/>
                <w:szCs w:val="14"/>
                <w:lang w:eastAsia="tr-TR"/>
              </w:rPr>
              <w:t>4.142.928</w:t>
            </w:r>
          </w:p>
        </w:tc>
      </w:tr>
      <w:tr w:rsidR="001C2229" w:rsidRPr="00872D7E" w14:paraId="33729B7B"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F31FE2" w14:textId="77777777" w:rsidR="001C2229" w:rsidRPr="00872D7E" w:rsidRDefault="001C2229" w:rsidP="001C2229">
            <w:pPr>
              <w:rPr>
                <w:color w:val="000000"/>
                <w:sz w:val="14"/>
                <w:szCs w:val="14"/>
                <w:lang w:eastAsia="tr-TR"/>
              </w:rPr>
            </w:pPr>
            <w:r w:rsidRPr="00872D7E">
              <w:rPr>
                <w:color w:val="000000"/>
                <w:sz w:val="14"/>
                <w:szCs w:val="14"/>
                <w:lang w:eastAsia="tr-TR"/>
              </w:rPr>
              <w:t>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41AFBC5" w14:textId="77777777" w:rsidR="001C2229" w:rsidRPr="00872D7E" w:rsidRDefault="001C2229" w:rsidP="001C2229">
            <w:pPr>
              <w:rPr>
                <w:color w:val="000000"/>
                <w:sz w:val="14"/>
                <w:szCs w:val="14"/>
                <w:lang w:eastAsia="tr-TR"/>
              </w:rPr>
            </w:pPr>
            <w:r w:rsidRPr="00872D7E">
              <w:rPr>
                <w:color w:val="000000"/>
                <w:sz w:val="14"/>
                <w:szCs w:val="14"/>
                <w:lang w:eastAsia="tr-TR"/>
              </w:rPr>
              <w:t xml:space="preserve">Diğer kişilere borçlar </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A395FCD" w14:textId="77777777" w:rsidR="001C2229" w:rsidRPr="00872D7E" w:rsidRDefault="001C2229" w:rsidP="001C2229">
            <w:pPr>
              <w:jc w:val="right"/>
              <w:rPr>
                <w:color w:val="000000"/>
                <w:sz w:val="14"/>
                <w:szCs w:val="14"/>
                <w:lang w:eastAsia="tr-TR"/>
              </w:rPr>
            </w:pPr>
            <w:r w:rsidRPr="00872D7E">
              <w:rPr>
                <w:color w:val="000000"/>
                <w:sz w:val="14"/>
                <w:szCs w:val="14"/>
                <w:lang w:eastAsia="tr-TR"/>
              </w:rPr>
              <w:t>1.825.401</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61D0DE5" w14:textId="77777777" w:rsidR="001C2229" w:rsidRPr="00872D7E" w:rsidRDefault="001C2229" w:rsidP="001C2229">
            <w:pPr>
              <w:jc w:val="right"/>
              <w:rPr>
                <w:color w:val="000000"/>
                <w:sz w:val="14"/>
                <w:szCs w:val="14"/>
                <w:lang w:eastAsia="tr-TR"/>
              </w:rPr>
            </w:pPr>
            <w:r w:rsidRPr="00872D7E">
              <w:rPr>
                <w:color w:val="000000"/>
                <w:sz w:val="14"/>
                <w:szCs w:val="14"/>
                <w:lang w:eastAsia="tr-TR"/>
              </w:rPr>
              <w:t>12.330.831</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3AADC8A" w14:textId="77777777" w:rsidR="001C2229" w:rsidRPr="00872D7E" w:rsidRDefault="001C2229" w:rsidP="001C2229">
            <w:pPr>
              <w:jc w:val="right"/>
              <w:rPr>
                <w:color w:val="000000"/>
                <w:sz w:val="14"/>
                <w:szCs w:val="14"/>
                <w:lang w:eastAsia="tr-TR"/>
              </w:rPr>
            </w:pPr>
            <w:r w:rsidRPr="00872D7E">
              <w:rPr>
                <w:color w:val="000000"/>
                <w:sz w:val="14"/>
                <w:szCs w:val="14"/>
                <w:lang w:eastAsia="tr-TR"/>
              </w:rPr>
              <w:t>740.253</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CDB6584"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7D22216" w14:textId="77777777" w:rsidR="001C2229" w:rsidRPr="00872D7E" w:rsidRDefault="001C2229" w:rsidP="001C2229">
            <w:pPr>
              <w:jc w:val="right"/>
              <w:rPr>
                <w:color w:val="000000"/>
                <w:sz w:val="14"/>
                <w:szCs w:val="14"/>
                <w:lang w:eastAsia="tr-TR"/>
              </w:rPr>
            </w:pPr>
            <w:r w:rsidRPr="00872D7E">
              <w:rPr>
                <w:color w:val="000000"/>
                <w:sz w:val="14"/>
                <w:szCs w:val="14"/>
                <w:lang w:eastAsia="tr-TR"/>
              </w:rPr>
              <w:t>7.448.242</w:t>
            </w:r>
          </w:p>
        </w:tc>
      </w:tr>
      <w:tr w:rsidR="001C2229" w:rsidRPr="00872D7E" w14:paraId="3EDD1CC8"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C39054" w14:textId="77777777" w:rsidR="001C2229" w:rsidRPr="00872D7E" w:rsidRDefault="001C2229" w:rsidP="001C2229">
            <w:pPr>
              <w:rPr>
                <w:color w:val="000000"/>
                <w:sz w:val="14"/>
                <w:szCs w:val="14"/>
                <w:lang w:eastAsia="tr-TR"/>
              </w:rPr>
            </w:pPr>
            <w:r w:rsidRPr="00872D7E">
              <w:rPr>
                <w:color w:val="000000"/>
                <w:sz w:val="14"/>
                <w:szCs w:val="14"/>
                <w:lang w:eastAsia="tr-TR"/>
              </w:rPr>
              <w:t>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F84CDC4" w14:textId="77777777" w:rsidR="001C2229" w:rsidRPr="00872D7E" w:rsidRDefault="001C2229" w:rsidP="001C2229">
            <w:pPr>
              <w:rPr>
                <w:color w:val="000000"/>
                <w:sz w:val="14"/>
                <w:szCs w:val="14"/>
                <w:lang w:eastAsia="tr-TR"/>
              </w:rPr>
            </w:pPr>
            <w:r w:rsidRPr="00872D7E">
              <w:rPr>
                <w:color w:val="000000"/>
                <w:sz w:val="14"/>
                <w:szCs w:val="14"/>
                <w:lang w:eastAsia="tr-TR"/>
              </w:rPr>
              <w:t>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4D6BD94"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1D33CDC1"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76929AC"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8708D0A"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0DFA581"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25489284"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A5F31B" w14:textId="77777777" w:rsidR="001C2229" w:rsidRPr="00872D7E" w:rsidRDefault="001C2229" w:rsidP="001C2229">
            <w:pPr>
              <w:rPr>
                <w:color w:val="000000"/>
                <w:sz w:val="14"/>
                <w:szCs w:val="14"/>
                <w:lang w:eastAsia="tr-TR"/>
              </w:rPr>
            </w:pPr>
            <w:r w:rsidRPr="00872D7E">
              <w:rPr>
                <w:color w:val="000000"/>
                <w:sz w:val="14"/>
                <w:szCs w:val="14"/>
                <w:lang w:eastAsia="tr-TR"/>
              </w:rPr>
              <w:t>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06C3377" w14:textId="77777777" w:rsidR="001C2229" w:rsidRPr="00872D7E" w:rsidRDefault="001C2229" w:rsidP="001C2229">
            <w:pPr>
              <w:rPr>
                <w:color w:val="000000"/>
                <w:sz w:val="14"/>
                <w:szCs w:val="14"/>
                <w:lang w:eastAsia="tr-TR"/>
              </w:rPr>
            </w:pPr>
            <w:r w:rsidRPr="00872D7E">
              <w:rPr>
                <w:color w:val="000000"/>
                <w:sz w:val="14"/>
                <w:szCs w:val="14"/>
                <w:lang w:eastAsia="tr-TR"/>
              </w:rPr>
              <w:t>Diğer borçlar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1FF4235" w14:textId="77777777" w:rsidR="001C2229" w:rsidRPr="00872D7E" w:rsidRDefault="001C2229" w:rsidP="001C2229">
            <w:pPr>
              <w:jc w:val="right"/>
              <w:rPr>
                <w:color w:val="000000"/>
                <w:sz w:val="14"/>
                <w:szCs w:val="14"/>
                <w:lang w:eastAsia="tr-TR"/>
              </w:rPr>
            </w:pPr>
            <w:r w:rsidRPr="00872D7E">
              <w:rPr>
                <w:color w:val="000000"/>
                <w:sz w:val="14"/>
                <w:szCs w:val="14"/>
                <w:lang w:eastAsia="tr-TR"/>
              </w:rPr>
              <w:t>1.825.401</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189BCD43" w14:textId="77777777" w:rsidR="001C2229" w:rsidRPr="00872D7E" w:rsidRDefault="001C2229" w:rsidP="001C2229">
            <w:pPr>
              <w:jc w:val="right"/>
              <w:rPr>
                <w:color w:val="000000"/>
                <w:sz w:val="14"/>
                <w:szCs w:val="14"/>
                <w:lang w:eastAsia="tr-TR"/>
              </w:rPr>
            </w:pPr>
            <w:r w:rsidRPr="00872D7E">
              <w:rPr>
                <w:color w:val="000000"/>
                <w:sz w:val="14"/>
                <w:szCs w:val="14"/>
                <w:lang w:eastAsia="tr-TR"/>
              </w:rPr>
              <w:t>12.330.831</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C1E4D4C" w14:textId="77777777" w:rsidR="001C2229" w:rsidRPr="00872D7E" w:rsidRDefault="001C2229" w:rsidP="001C2229">
            <w:pPr>
              <w:jc w:val="right"/>
              <w:rPr>
                <w:color w:val="000000"/>
                <w:sz w:val="14"/>
                <w:szCs w:val="14"/>
                <w:lang w:eastAsia="tr-TR"/>
              </w:rPr>
            </w:pPr>
            <w:r w:rsidRPr="00872D7E">
              <w:rPr>
                <w:color w:val="000000"/>
                <w:sz w:val="14"/>
                <w:szCs w:val="14"/>
                <w:lang w:eastAsia="tr-TR"/>
              </w:rPr>
              <w:t>740.253</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1881ACD"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D78FB2B" w14:textId="77777777" w:rsidR="001C2229" w:rsidRPr="00872D7E" w:rsidRDefault="001C2229" w:rsidP="001C2229">
            <w:pPr>
              <w:jc w:val="right"/>
              <w:rPr>
                <w:color w:val="000000"/>
                <w:sz w:val="14"/>
                <w:szCs w:val="14"/>
                <w:lang w:eastAsia="tr-TR"/>
              </w:rPr>
            </w:pPr>
            <w:r w:rsidRPr="00872D7E">
              <w:rPr>
                <w:color w:val="000000"/>
                <w:sz w:val="14"/>
                <w:szCs w:val="14"/>
                <w:lang w:eastAsia="tr-TR"/>
              </w:rPr>
              <w:t>7.448.242</w:t>
            </w:r>
          </w:p>
        </w:tc>
      </w:tr>
      <w:tr w:rsidR="001C2229" w:rsidRPr="00872D7E" w14:paraId="0242038E"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298906" w14:textId="77777777" w:rsidR="001C2229" w:rsidRPr="00872D7E" w:rsidRDefault="001C2229" w:rsidP="001C2229">
            <w:pPr>
              <w:rPr>
                <w:color w:val="000000"/>
                <w:sz w:val="14"/>
                <w:szCs w:val="14"/>
                <w:lang w:eastAsia="tr-TR"/>
              </w:rPr>
            </w:pPr>
            <w:r w:rsidRPr="00872D7E">
              <w:rPr>
                <w:color w:val="000000"/>
                <w:sz w:val="14"/>
                <w:szCs w:val="14"/>
                <w:lang w:eastAsia="tr-TR"/>
              </w:rPr>
              <w:t>10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07A986E" w14:textId="77777777" w:rsidR="001C2229" w:rsidRPr="00872D7E" w:rsidRDefault="001C2229" w:rsidP="001C2229">
            <w:pPr>
              <w:rPr>
                <w:color w:val="000000"/>
                <w:sz w:val="14"/>
                <w:szCs w:val="14"/>
                <w:lang w:eastAsia="tr-TR"/>
              </w:rPr>
            </w:pPr>
            <w:r w:rsidRPr="00872D7E">
              <w:rPr>
                <w:color w:val="000000"/>
                <w:sz w:val="14"/>
                <w:szCs w:val="14"/>
                <w:lang w:eastAsia="tr-TR"/>
              </w:rPr>
              <w:t xml:space="preserve">Birbirlerine bağlı varlıklara eşdeğer yükümlülükler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A366124"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2339903A"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725EB4FE"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36526FC2"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13962625"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r>
      <w:tr w:rsidR="001C2229" w:rsidRPr="00872D7E" w14:paraId="747433C3"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8F1536" w14:textId="77777777" w:rsidR="001C2229" w:rsidRPr="00872D7E" w:rsidRDefault="001C2229" w:rsidP="001C2229">
            <w:pPr>
              <w:rPr>
                <w:color w:val="000000"/>
                <w:sz w:val="14"/>
                <w:szCs w:val="14"/>
                <w:lang w:eastAsia="tr-TR"/>
              </w:rPr>
            </w:pPr>
            <w:r w:rsidRPr="00872D7E">
              <w:rPr>
                <w:color w:val="000000"/>
                <w:sz w:val="14"/>
                <w:szCs w:val="14"/>
                <w:lang w:eastAsia="tr-TR"/>
              </w:rPr>
              <w:t>11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12D7C0E" w14:textId="77777777" w:rsidR="001C2229" w:rsidRPr="00872D7E" w:rsidRDefault="001C2229" w:rsidP="001C2229">
            <w:pPr>
              <w:rPr>
                <w:color w:val="000000"/>
                <w:sz w:val="14"/>
                <w:szCs w:val="14"/>
                <w:lang w:eastAsia="tr-TR"/>
              </w:rPr>
            </w:pPr>
            <w:r w:rsidRPr="00872D7E">
              <w:rPr>
                <w:color w:val="000000"/>
                <w:sz w:val="14"/>
                <w:szCs w:val="14"/>
                <w:lang w:eastAsia="tr-TR"/>
              </w:rPr>
              <w:t>Diğer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08FD01DA" w14:textId="77777777" w:rsidR="001C2229" w:rsidRPr="00872D7E" w:rsidRDefault="001C2229" w:rsidP="001C2229">
            <w:pPr>
              <w:jc w:val="right"/>
              <w:rPr>
                <w:color w:val="000000"/>
                <w:sz w:val="14"/>
                <w:szCs w:val="14"/>
                <w:lang w:eastAsia="tr-TR"/>
              </w:rPr>
            </w:pPr>
            <w:r w:rsidRPr="00872D7E">
              <w:rPr>
                <w:color w:val="000000"/>
                <w:sz w:val="14"/>
                <w:szCs w:val="14"/>
                <w:lang w:eastAsia="tr-TR"/>
              </w:rPr>
              <w:t>212.532</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D3CB6B9" w14:textId="77777777" w:rsidR="001C2229" w:rsidRPr="00872D7E" w:rsidRDefault="001C2229" w:rsidP="001C2229">
            <w:pPr>
              <w:jc w:val="right"/>
              <w:rPr>
                <w:color w:val="000000"/>
                <w:sz w:val="14"/>
                <w:szCs w:val="14"/>
                <w:lang w:eastAsia="tr-TR"/>
              </w:rPr>
            </w:pPr>
            <w:r w:rsidRPr="00872D7E">
              <w:rPr>
                <w:color w:val="000000"/>
                <w:sz w:val="14"/>
                <w:szCs w:val="14"/>
                <w:lang w:eastAsia="tr-TR"/>
              </w:rPr>
              <w:t>7.489.209</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D3ACFB1"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43E9623" w14:textId="77777777" w:rsidR="001C2229" w:rsidRPr="00872D7E" w:rsidRDefault="001C2229" w:rsidP="001C2229">
            <w:pPr>
              <w:jc w:val="right"/>
              <w:rPr>
                <w:color w:val="000000"/>
                <w:sz w:val="14"/>
                <w:szCs w:val="14"/>
                <w:lang w:eastAsia="tr-TR"/>
              </w:rPr>
            </w:pPr>
            <w:r w:rsidRPr="00872D7E">
              <w:rPr>
                <w:color w:val="000000"/>
                <w:sz w:val="14"/>
                <w:szCs w:val="14"/>
                <w:lang w:eastAsia="tr-TR"/>
              </w:rPr>
              <w:t>53.447</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0129894"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179395FB"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F2C36A" w14:textId="77777777" w:rsidR="001C2229" w:rsidRPr="00872D7E" w:rsidRDefault="001C2229" w:rsidP="001C2229">
            <w:pPr>
              <w:rPr>
                <w:color w:val="000000"/>
                <w:sz w:val="14"/>
                <w:szCs w:val="14"/>
                <w:lang w:eastAsia="tr-TR"/>
              </w:rPr>
            </w:pPr>
            <w:r w:rsidRPr="00872D7E">
              <w:rPr>
                <w:color w:val="000000"/>
                <w:sz w:val="14"/>
                <w:szCs w:val="14"/>
                <w:lang w:eastAsia="tr-TR"/>
              </w:rPr>
              <w:t>12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43F91DA" w14:textId="77777777" w:rsidR="001C2229" w:rsidRPr="00872D7E" w:rsidRDefault="001C2229" w:rsidP="001C2229">
            <w:pPr>
              <w:rPr>
                <w:color w:val="000000"/>
                <w:sz w:val="14"/>
                <w:szCs w:val="14"/>
                <w:lang w:eastAsia="tr-TR"/>
              </w:rPr>
            </w:pPr>
            <w:r w:rsidRPr="00872D7E">
              <w:rPr>
                <w:color w:val="000000"/>
                <w:sz w:val="14"/>
                <w:szCs w:val="14"/>
                <w:lang w:eastAsia="tr-TR"/>
              </w:rPr>
              <w:t>Türev yükümlülükler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5CB1198"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2A6EACF1" w14:textId="77777777" w:rsidR="001C2229" w:rsidRPr="00872D7E" w:rsidRDefault="001C2229" w:rsidP="001C2229">
            <w:pPr>
              <w:jc w:val="center"/>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72ED6048"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r>
      <w:tr w:rsidR="001C2229" w:rsidRPr="00872D7E" w14:paraId="1FFE0C33"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ED8059" w14:textId="77777777" w:rsidR="001C2229" w:rsidRPr="00872D7E" w:rsidRDefault="001C2229" w:rsidP="001C2229">
            <w:pPr>
              <w:rPr>
                <w:color w:val="000000"/>
                <w:sz w:val="14"/>
                <w:szCs w:val="14"/>
                <w:lang w:eastAsia="tr-TR"/>
              </w:rPr>
            </w:pPr>
            <w:r w:rsidRPr="00872D7E">
              <w:rPr>
                <w:color w:val="000000"/>
                <w:sz w:val="14"/>
                <w:szCs w:val="14"/>
                <w:lang w:eastAsia="tr-TR"/>
              </w:rPr>
              <w:t>13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96198B9" w14:textId="77777777" w:rsidR="001C2229" w:rsidRPr="00872D7E" w:rsidRDefault="001C2229" w:rsidP="001C2229">
            <w:pPr>
              <w:rPr>
                <w:color w:val="000000"/>
                <w:sz w:val="14"/>
                <w:szCs w:val="14"/>
                <w:lang w:eastAsia="tr-TR"/>
              </w:rPr>
            </w:pPr>
            <w:r w:rsidRPr="00872D7E">
              <w:rPr>
                <w:color w:val="000000"/>
                <w:sz w:val="14"/>
                <w:szCs w:val="14"/>
                <w:lang w:eastAsia="tr-TR"/>
              </w:rPr>
              <w:t>Yukarıda yer almayan diğer özkaynak unsurları ve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02CA222"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B54E3A4"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2ADFCFE"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7CF8420"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F0C9005"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4D5ECDB1"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26C815" w14:textId="77777777" w:rsidR="001C2229" w:rsidRPr="00872D7E" w:rsidRDefault="001C2229" w:rsidP="001C2229">
            <w:pPr>
              <w:rPr>
                <w:color w:val="000000"/>
                <w:sz w:val="14"/>
                <w:szCs w:val="14"/>
                <w:lang w:eastAsia="tr-TR"/>
              </w:rPr>
            </w:pPr>
            <w:r w:rsidRPr="00872D7E">
              <w:rPr>
                <w:color w:val="000000"/>
                <w:sz w:val="14"/>
                <w:szCs w:val="14"/>
                <w:lang w:eastAsia="tr-TR"/>
              </w:rPr>
              <w:t>14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AD6B961" w14:textId="77777777" w:rsidR="001C2229" w:rsidRPr="00872D7E" w:rsidRDefault="001C2229" w:rsidP="001C2229">
            <w:pPr>
              <w:rPr>
                <w:b/>
                <w:bCs/>
                <w:color w:val="000000"/>
                <w:sz w:val="14"/>
                <w:szCs w:val="14"/>
                <w:lang w:eastAsia="tr-TR"/>
              </w:rPr>
            </w:pPr>
            <w:r w:rsidRPr="00872D7E">
              <w:rPr>
                <w:b/>
                <w:bCs/>
                <w:color w:val="000000"/>
                <w:sz w:val="14"/>
                <w:szCs w:val="14"/>
                <w:lang w:eastAsia="tr-TR"/>
              </w:rPr>
              <w:t>Mevcut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A927982"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204C3DB4"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27E7F530"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08B60144"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95B447A" w14:textId="77777777" w:rsidR="001C2229" w:rsidRPr="00872D7E" w:rsidRDefault="001C2229" w:rsidP="001C2229">
            <w:pPr>
              <w:jc w:val="right"/>
              <w:rPr>
                <w:color w:val="000000"/>
                <w:sz w:val="14"/>
                <w:szCs w:val="14"/>
                <w:lang w:eastAsia="tr-TR"/>
              </w:rPr>
            </w:pPr>
            <w:r w:rsidRPr="00872D7E">
              <w:rPr>
                <w:color w:val="000000"/>
                <w:sz w:val="14"/>
                <w:szCs w:val="14"/>
                <w:lang w:eastAsia="tr-TR"/>
              </w:rPr>
              <w:t>18.659.898</w:t>
            </w:r>
          </w:p>
        </w:tc>
      </w:tr>
      <w:tr w:rsidR="001C2229" w:rsidRPr="00872D7E" w14:paraId="6B730B7C" w14:textId="77777777" w:rsidTr="001C2229">
        <w:trPr>
          <w:divId w:val="1907257389"/>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05E32E" w14:textId="77777777" w:rsidR="001C2229" w:rsidRPr="00872D7E" w:rsidRDefault="001C2229" w:rsidP="001C2229">
            <w:pPr>
              <w:rPr>
                <w:b/>
                <w:bCs/>
                <w:color w:val="000000"/>
                <w:sz w:val="14"/>
                <w:szCs w:val="14"/>
                <w:lang w:eastAsia="tr-TR"/>
              </w:rPr>
            </w:pPr>
            <w:r w:rsidRPr="00872D7E">
              <w:rPr>
                <w:b/>
                <w:bCs/>
                <w:color w:val="000000"/>
                <w:sz w:val="14"/>
                <w:szCs w:val="14"/>
                <w:lang w:eastAsia="tr-TR"/>
              </w:rPr>
              <w:t>Gerekli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01E93A6D"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r>
      <w:tr w:rsidR="001C2229" w:rsidRPr="00872D7E" w14:paraId="205E4D00"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8C947A" w14:textId="77777777" w:rsidR="001C2229" w:rsidRPr="00872D7E" w:rsidRDefault="001C2229" w:rsidP="001C2229">
            <w:pPr>
              <w:rPr>
                <w:color w:val="000000"/>
                <w:sz w:val="14"/>
                <w:szCs w:val="14"/>
                <w:lang w:eastAsia="tr-TR"/>
              </w:rPr>
            </w:pPr>
            <w:r w:rsidRPr="00872D7E">
              <w:rPr>
                <w:color w:val="000000"/>
                <w:sz w:val="14"/>
                <w:szCs w:val="14"/>
                <w:lang w:eastAsia="tr-TR"/>
              </w:rPr>
              <w:t>15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728E39D" w14:textId="77777777" w:rsidR="001C2229" w:rsidRPr="00872D7E" w:rsidRDefault="001C2229" w:rsidP="001C2229">
            <w:pPr>
              <w:rPr>
                <w:color w:val="000000"/>
                <w:sz w:val="14"/>
                <w:szCs w:val="14"/>
                <w:lang w:eastAsia="tr-TR"/>
              </w:rPr>
            </w:pPr>
            <w:r w:rsidRPr="00872D7E">
              <w:rPr>
                <w:color w:val="000000"/>
                <w:sz w:val="14"/>
                <w:szCs w:val="14"/>
                <w:lang w:eastAsia="tr-TR"/>
              </w:rPr>
              <w:t xml:space="preserve">Yüksek kaliteli likit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66B0C8F6"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271A77C9"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3D721B82"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5D961AA0"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2884224" w14:textId="77777777" w:rsidR="001C2229" w:rsidRPr="00872D7E" w:rsidRDefault="001C2229" w:rsidP="001C2229">
            <w:pPr>
              <w:jc w:val="right"/>
              <w:rPr>
                <w:color w:val="000000"/>
                <w:sz w:val="14"/>
                <w:szCs w:val="14"/>
                <w:lang w:eastAsia="tr-TR"/>
              </w:rPr>
            </w:pPr>
            <w:r w:rsidRPr="00872D7E">
              <w:rPr>
                <w:color w:val="000000"/>
                <w:sz w:val="14"/>
                <w:szCs w:val="14"/>
                <w:lang w:eastAsia="tr-TR"/>
              </w:rPr>
              <w:t>4.644.005</w:t>
            </w:r>
          </w:p>
        </w:tc>
      </w:tr>
      <w:tr w:rsidR="001C2229" w:rsidRPr="00872D7E" w14:paraId="0E4BF664"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BCBE62" w14:textId="77777777" w:rsidR="001C2229" w:rsidRPr="00872D7E" w:rsidRDefault="001C2229" w:rsidP="001C2229">
            <w:pPr>
              <w:rPr>
                <w:color w:val="000000"/>
                <w:sz w:val="14"/>
                <w:szCs w:val="14"/>
                <w:lang w:eastAsia="tr-TR"/>
              </w:rPr>
            </w:pPr>
            <w:r w:rsidRPr="00872D7E">
              <w:rPr>
                <w:color w:val="000000"/>
                <w:sz w:val="14"/>
                <w:szCs w:val="14"/>
                <w:lang w:eastAsia="tr-TR"/>
              </w:rPr>
              <w:t>16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FE09715" w14:textId="77777777" w:rsidR="001C2229" w:rsidRPr="00872D7E" w:rsidRDefault="001C2229" w:rsidP="001C2229">
            <w:pPr>
              <w:rPr>
                <w:color w:val="000000"/>
                <w:sz w:val="14"/>
                <w:szCs w:val="14"/>
                <w:lang w:eastAsia="tr-TR"/>
              </w:rPr>
            </w:pPr>
            <w:r w:rsidRPr="00872D7E">
              <w:rPr>
                <w:color w:val="000000"/>
                <w:sz w:val="14"/>
                <w:szCs w:val="14"/>
                <w:lang w:eastAsia="tr-TR"/>
              </w:rPr>
              <w:t>Kredi kuruluşları veya finansal kuruluşlara depo edilen 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610E687"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0168CA73"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C2B4591"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3189077"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06ADA78"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757A4DFC"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380C6C" w14:textId="77777777" w:rsidR="001C2229" w:rsidRPr="00872D7E" w:rsidRDefault="001C2229" w:rsidP="001C2229">
            <w:pPr>
              <w:rPr>
                <w:color w:val="000000"/>
                <w:sz w:val="14"/>
                <w:szCs w:val="14"/>
                <w:lang w:eastAsia="tr-TR"/>
              </w:rPr>
            </w:pPr>
            <w:r w:rsidRPr="00872D7E">
              <w:rPr>
                <w:color w:val="000000"/>
                <w:sz w:val="14"/>
                <w:szCs w:val="14"/>
                <w:lang w:eastAsia="tr-TR"/>
              </w:rPr>
              <w:t>17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8413BE6" w14:textId="77777777" w:rsidR="001C2229" w:rsidRPr="00872D7E" w:rsidRDefault="001C2229" w:rsidP="001C2229">
            <w:pPr>
              <w:rPr>
                <w:color w:val="000000"/>
                <w:sz w:val="14"/>
                <w:szCs w:val="14"/>
                <w:lang w:eastAsia="tr-TR"/>
              </w:rPr>
            </w:pPr>
            <w:r w:rsidRPr="00872D7E">
              <w:rPr>
                <w:color w:val="000000"/>
                <w:sz w:val="14"/>
                <w:szCs w:val="14"/>
                <w:lang w:eastAsia="tr-TR"/>
              </w:rPr>
              <w:t>Canlı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9A3D2A4" w14:textId="77777777" w:rsidR="001C2229" w:rsidRPr="00872D7E" w:rsidRDefault="001C2229" w:rsidP="001C2229">
            <w:pPr>
              <w:jc w:val="right"/>
              <w:rPr>
                <w:color w:val="000000"/>
                <w:sz w:val="14"/>
                <w:szCs w:val="14"/>
                <w:lang w:eastAsia="tr-TR"/>
              </w:rPr>
            </w:pPr>
            <w:r w:rsidRPr="00872D7E">
              <w:rPr>
                <w:color w:val="000000"/>
                <w:sz w:val="14"/>
                <w:szCs w:val="14"/>
                <w:lang w:eastAsia="tr-TR"/>
              </w:rPr>
              <w:t>2.800.048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0CD4A4EA" w14:textId="77777777" w:rsidR="001C2229" w:rsidRPr="00872D7E" w:rsidRDefault="001C2229" w:rsidP="001C2229">
            <w:pPr>
              <w:jc w:val="right"/>
              <w:rPr>
                <w:color w:val="000000"/>
                <w:sz w:val="14"/>
                <w:szCs w:val="14"/>
                <w:lang w:eastAsia="tr-TR"/>
              </w:rPr>
            </w:pPr>
            <w:r w:rsidRPr="00872D7E">
              <w:rPr>
                <w:color w:val="000000"/>
                <w:sz w:val="14"/>
                <w:szCs w:val="14"/>
                <w:lang w:eastAsia="tr-TR"/>
              </w:rPr>
              <w:t>22.305.619</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4C7557C" w14:textId="77777777" w:rsidR="001C2229" w:rsidRPr="00872D7E" w:rsidRDefault="001C2229" w:rsidP="001C2229">
            <w:pPr>
              <w:jc w:val="right"/>
              <w:rPr>
                <w:color w:val="000000"/>
                <w:sz w:val="14"/>
                <w:szCs w:val="14"/>
                <w:lang w:eastAsia="tr-TR"/>
              </w:rPr>
            </w:pPr>
            <w:r w:rsidRPr="00872D7E">
              <w:rPr>
                <w:color w:val="000000"/>
                <w:sz w:val="14"/>
                <w:szCs w:val="14"/>
                <w:lang w:eastAsia="tr-TR"/>
              </w:rPr>
              <w:t>3.221.304</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E2763E3" w14:textId="77777777" w:rsidR="001C2229" w:rsidRPr="00872D7E" w:rsidRDefault="001C2229" w:rsidP="001C2229">
            <w:pPr>
              <w:jc w:val="right"/>
              <w:rPr>
                <w:color w:val="000000"/>
                <w:sz w:val="14"/>
                <w:szCs w:val="14"/>
                <w:lang w:eastAsia="tr-TR"/>
              </w:rPr>
            </w:pPr>
            <w:r w:rsidRPr="00872D7E">
              <w:rPr>
                <w:color w:val="000000"/>
                <w:sz w:val="14"/>
                <w:szCs w:val="14"/>
                <w:lang w:eastAsia="tr-TR"/>
              </w:rPr>
              <w:t>987.262</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830069B" w14:textId="77777777" w:rsidR="001C2229" w:rsidRPr="00872D7E" w:rsidRDefault="001C2229" w:rsidP="001C2229">
            <w:pPr>
              <w:jc w:val="right"/>
              <w:rPr>
                <w:color w:val="000000"/>
                <w:sz w:val="14"/>
                <w:szCs w:val="14"/>
                <w:lang w:eastAsia="tr-TR"/>
              </w:rPr>
            </w:pPr>
            <w:r w:rsidRPr="00872D7E">
              <w:rPr>
                <w:color w:val="000000"/>
                <w:sz w:val="14"/>
                <w:szCs w:val="14"/>
                <w:lang w:eastAsia="tr-TR"/>
              </w:rPr>
              <w:t>10.872.533</w:t>
            </w:r>
          </w:p>
        </w:tc>
      </w:tr>
      <w:tr w:rsidR="001C2229" w:rsidRPr="00872D7E" w14:paraId="6C9DACDB"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0EA90A" w14:textId="77777777" w:rsidR="001C2229" w:rsidRPr="00872D7E" w:rsidRDefault="001C2229" w:rsidP="001C2229">
            <w:pPr>
              <w:rPr>
                <w:color w:val="000000"/>
                <w:sz w:val="14"/>
                <w:szCs w:val="14"/>
                <w:lang w:eastAsia="tr-TR"/>
              </w:rPr>
            </w:pPr>
            <w:r w:rsidRPr="00872D7E">
              <w:rPr>
                <w:color w:val="000000"/>
                <w:sz w:val="14"/>
                <w:szCs w:val="14"/>
                <w:lang w:eastAsia="tr-TR"/>
              </w:rPr>
              <w:t>18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D77E56E" w14:textId="77777777" w:rsidR="001C2229" w:rsidRPr="00872D7E" w:rsidRDefault="001C2229" w:rsidP="001C2229">
            <w:pPr>
              <w:rPr>
                <w:color w:val="000000"/>
                <w:sz w:val="14"/>
                <w:szCs w:val="14"/>
                <w:lang w:eastAsia="tr-TR"/>
              </w:rPr>
            </w:pPr>
            <w:r w:rsidRPr="00872D7E">
              <w:rPr>
                <w:color w:val="000000"/>
                <w:sz w:val="14"/>
                <w:szCs w:val="14"/>
                <w:lang w:eastAsia="tr-TR"/>
              </w:rPr>
              <w:t>Teminatı birinci kalite likit varlık olan, kredi kuruluşları veya finansal kuruluşlardan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BA9B673"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38C965F8" w14:textId="77777777" w:rsidR="001C2229" w:rsidRPr="00872D7E" w:rsidRDefault="001C2229" w:rsidP="001C2229">
            <w:pPr>
              <w:jc w:val="right"/>
              <w:rPr>
                <w:color w:val="000000"/>
                <w:sz w:val="14"/>
                <w:szCs w:val="14"/>
                <w:lang w:eastAsia="tr-TR"/>
              </w:rPr>
            </w:pPr>
            <w:r w:rsidRPr="00872D7E">
              <w:rPr>
                <w:color w:val="000000"/>
                <w:sz w:val="14"/>
                <w:szCs w:val="14"/>
                <w:lang w:eastAsia="tr-TR"/>
              </w:rPr>
              <w:t>475.539</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159AF3E"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8A49054" w14:textId="77777777" w:rsidR="001C2229" w:rsidRPr="00872D7E" w:rsidRDefault="001C2229" w:rsidP="001C2229">
            <w:pPr>
              <w:jc w:val="right"/>
              <w:rPr>
                <w:color w:val="000000"/>
                <w:sz w:val="14"/>
                <w:szCs w:val="14"/>
                <w:lang w:eastAsia="tr-TR"/>
              </w:rPr>
            </w:pPr>
            <w:r w:rsidRPr="00872D7E">
              <w:rPr>
                <w:color w:val="000000"/>
                <w:sz w:val="14"/>
                <w:szCs w:val="14"/>
                <w:lang w:eastAsia="tr-TR"/>
              </w:rPr>
              <w:t>880.215</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C419FD6" w14:textId="77777777" w:rsidR="001C2229" w:rsidRPr="00872D7E" w:rsidRDefault="001C2229" w:rsidP="001C2229">
            <w:pPr>
              <w:jc w:val="right"/>
              <w:rPr>
                <w:color w:val="000000"/>
                <w:sz w:val="14"/>
                <w:szCs w:val="14"/>
                <w:lang w:eastAsia="tr-TR"/>
              </w:rPr>
            </w:pPr>
            <w:r w:rsidRPr="00872D7E">
              <w:rPr>
                <w:color w:val="000000"/>
                <w:sz w:val="14"/>
                <w:szCs w:val="14"/>
                <w:lang w:eastAsia="tr-TR"/>
              </w:rPr>
              <w:t>67.788</w:t>
            </w:r>
          </w:p>
        </w:tc>
      </w:tr>
      <w:tr w:rsidR="001C2229" w:rsidRPr="00872D7E" w14:paraId="1872A5D8"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FD3EC6" w14:textId="77777777" w:rsidR="001C2229" w:rsidRPr="00872D7E" w:rsidRDefault="001C2229" w:rsidP="001C2229">
            <w:pPr>
              <w:rPr>
                <w:color w:val="000000"/>
                <w:sz w:val="14"/>
                <w:szCs w:val="14"/>
                <w:lang w:eastAsia="tr-TR"/>
              </w:rPr>
            </w:pPr>
            <w:r w:rsidRPr="00872D7E">
              <w:rPr>
                <w:color w:val="000000"/>
                <w:sz w:val="14"/>
                <w:szCs w:val="14"/>
                <w:lang w:eastAsia="tr-TR"/>
              </w:rPr>
              <w:t>19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95E1D74" w14:textId="77777777" w:rsidR="001C2229" w:rsidRPr="00872D7E" w:rsidRDefault="001C2229" w:rsidP="001C2229">
            <w:pPr>
              <w:rPr>
                <w:color w:val="000000"/>
                <w:sz w:val="14"/>
                <w:szCs w:val="14"/>
                <w:lang w:eastAsia="tr-TR"/>
              </w:rPr>
            </w:pPr>
            <w:r w:rsidRPr="00872D7E">
              <w:rPr>
                <w:color w:val="000000"/>
                <w:sz w:val="14"/>
                <w:szCs w:val="14"/>
                <w:lang w:eastAsia="tr-TR"/>
              </w:rPr>
              <w:t>Kredi kuruluşları veya finansal kuruluşlardan teminatsız veya teminatı birinci kalite likit varlık olmayan teminatlı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A9CB7CB" w14:textId="77777777" w:rsidR="001C2229" w:rsidRPr="00872D7E" w:rsidRDefault="001C2229" w:rsidP="001C2229">
            <w:pPr>
              <w:jc w:val="right"/>
              <w:rPr>
                <w:color w:val="000000"/>
                <w:sz w:val="14"/>
                <w:szCs w:val="14"/>
                <w:lang w:eastAsia="tr-TR"/>
              </w:rPr>
            </w:pPr>
            <w:r w:rsidRPr="00872D7E">
              <w:rPr>
                <w:color w:val="000000"/>
                <w:sz w:val="14"/>
                <w:szCs w:val="14"/>
                <w:lang w:eastAsia="tr-TR"/>
              </w:rPr>
              <w:t>2.800.048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943B99E" w14:textId="77777777" w:rsidR="001C2229" w:rsidRPr="00872D7E" w:rsidRDefault="001C2229" w:rsidP="001C2229">
            <w:pPr>
              <w:jc w:val="right"/>
              <w:rPr>
                <w:color w:val="000000"/>
                <w:sz w:val="14"/>
                <w:szCs w:val="14"/>
                <w:lang w:eastAsia="tr-TR"/>
              </w:rPr>
            </w:pPr>
            <w:r w:rsidRPr="00872D7E">
              <w:rPr>
                <w:color w:val="000000"/>
                <w:sz w:val="14"/>
                <w:szCs w:val="14"/>
                <w:lang w:eastAsia="tr-TR"/>
              </w:rPr>
              <w:t>6.316.137</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634B831"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F8B08D1"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3DE0BAD" w14:textId="77777777" w:rsidR="001C2229" w:rsidRPr="00872D7E" w:rsidRDefault="001C2229" w:rsidP="001C2229">
            <w:pPr>
              <w:jc w:val="right"/>
              <w:rPr>
                <w:color w:val="000000"/>
                <w:sz w:val="14"/>
                <w:szCs w:val="14"/>
                <w:lang w:eastAsia="tr-TR"/>
              </w:rPr>
            </w:pPr>
            <w:r w:rsidRPr="00872D7E">
              <w:rPr>
                <w:color w:val="000000"/>
                <w:sz w:val="14"/>
                <w:szCs w:val="14"/>
                <w:lang w:eastAsia="tr-TR"/>
              </w:rPr>
              <w:t>1.367.428</w:t>
            </w:r>
          </w:p>
        </w:tc>
      </w:tr>
      <w:tr w:rsidR="001C2229" w:rsidRPr="00872D7E" w14:paraId="6D90701E"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11994" w14:textId="77777777" w:rsidR="001C2229" w:rsidRPr="00872D7E" w:rsidRDefault="001C2229" w:rsidP="001C2229">
            <w:pPr>
              <w:rPr>
                <w:color w:val="000000"/>
                <w:sz w:val="14"/>
                <w:szCs w:val="14"/>
                <w:lang w:eastAsia="tr-TR"/>
              </w:rPr>
            </w:pPr>
            <w:r w:rsidRPr="00872D7E">
              <w:rPr>
                <w:color w:val="000000"/>
                <w:sz w:val="14"/>
                <w:szCs w:val="14"/>
                <w:lang w:eastAsia="tr-TR"/>
              </w:rPr>
              <w:t>20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F4EE888" w14:textId="77777777" w:rsidR="001C2229" w:rsidRPr="00872D7E" w:rsidRDefault="001C2229" w:rsidP="001C2229">
            <w:pPr>
              <w:rPr>
                <w:color w:val="000000"/>
                <w:sz w:val="14"/>
                <w:szCs w:val="14"/>
                <w:lang w:eastAsia="tr-TR"/>
              </w:rPr>
            </w:pPr>
            <w:r w:rsidRPr="00872D7E">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13B71DD"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08C0310" w14:textId="77777777" w:rsidR="001C2229" w:rsidRPr="00872D7E" w:rsidRDefault="001C2229" w:rsidP="001C2229">
            <w:pPr>
              <w:jc w:val="right"/>
              <w:rPr>
                <w:color w:val="000000"/>
                <w:sz w:val="14"/>
                <w:szCs w:val="14"/>
                <w:lang w:eastAsia="tr-TR"/>
              </w:rPr>
            </w:pPr>
            <w:r w:rsidRPr="00872D7E">
              <w:rPr>
                <w:color w:val="000000"/>
                <w:sz w:val="14"/>
                <w:szCs w:val="14"/>
                <w:lang w:eastAsia="tr-TR"/>
              </w:rPr>
              <w:t>15.513.943</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65E61DB" w14:textId="77777777" w:rsidR="001C2229" w:rsidRPr="00872D7E" w:rsidRDefault="001C2229" w:rsidP="001C2229">
            <w:pPr>
              <w:jc w:val="right"/>
              <w:rPr>
                <w:color w:val="000000"/>
                <w:sz w:val="14"/>
                <w:szCs w:val="14"/>
                <w:lang w:eastAsia="tr-TR"/>
              </w:rPr>
            </w:pPr>
            <w:r w:rsidRPr="00872D7E">
              <w:rPr>
                <w:color w:val="000000"/>
                <w:sz w:val="14"/>
                <w:szCs w:val="14"/>
                <w:lang w:eastAsia="tr-TR"/>
              </w:rPr>
              <w:t>3.220.547</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DDCD30C"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B992795" w14:textId="77777777" w:rsidR="001C2229" w:rsidRPr="00872D7E" w:rsidRDefault="001C2229" w:rsidP="001C2229">
            <w:pPr>
              <w:jc w:val="right"/>
              <w:rPr>
                <w:color w:val="000000"/>
                <w:sz w:val="14"/>
                <w:szCs w:val="14"/>
                <w:lang w:eastAsia="tr-TR"/>
              </w:rPr>
            </w:pPr>
            <w:r w:rsidRPr="00872D7E">
              <w:rPr>
                <w:color w:val="000000"/>
                <w:sz w:val="14"/>
                <w:szCs w:val="14"/>
                <w:lang w:eastAsia="tr-TR"/>
              </w:rPr>
              <w:t>9.367.245</w:t>
            </w:r>
          </w:p>
        </w:tc>
      </w:tr>
      <w:tr w:rsidR="001C2229" w:rsidRPr="00872D7E" w14:paraId="7A521813"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2A2BCD" w14:textId="77777777" w:rsidR="001C2229" w:rsidRPr="00872D7E" w:rsidRDefault="001C2229" w:rsidP="001C2229">
            <w:pPr>
              <w:rPr>
                <w:color w:val="000000"/>
                <w:sz w:val="14"/>
                <w:szCs w:val="14"/>
                <w:lang w:eastAsia="tr-TR"/>
              </w:rPr>
            </w:pPr>
            <w:r w:rsidRPr="00872D7E">
              <w:rPr>
                <w:color w:val="000000"/>
                <w:sz w:val="14"/>
                <w:szCs w:val="14"/>
                <w:lang w:eastAsia="tr-TR"/>
              </w:rPr>
              <w:t>21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1DF4FE2" w14:textId="77777777" w:rsidR="001C2229" w:rsidRPr="00872D7E" w:rsidRDefault="001C2229" w:rsidP="001C2229">
            <w:pPr>
              <w:rPr>
                <w:i/>
                <w:iCs/>
                <w:color w:val="000000"/>
                <w:sz w:val="14"/>
                <w:szCs w:val="14"/>
                <w:lang w:eastAsia="tr-TR"/>
              </w:rPr>
            </w:pPr>
            <w:r w:rsidRPr="00872D7E">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F0866F9"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0631813"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49F84E5"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6B9FF90"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88DFDE4"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7515039D"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7281AC" w14:textId="77777777" w:rsidR="001C2229" w:rsidRPr="00872D7E" w:rsidRDefault="001C2229" w:rsidP="001C2229">
            <w:pPr>
              <w:rPr>
                <w:color w:val="000000"/>
                <w:sz w:val="14"/>
                <w:szCs w:val="14"/>
                <w:lang w:eastAsia="tr-TR"/>
              </w:rPr>
            </w:pPr>
            <w:r w:rsidRPr="00872D7E">
              <w:rPr>
                <w:color w:val="000000"/>
                <w:sz w:val="14"/>
                <w:szCs w:val="14"/>
                <w:lang w:eastAsia="tr-TR"/>
              </w:rPr>
              <w:t>22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5E56532" w14:textId="77777777" w:rsidR="001C2229" w:rsidRPr="00872D7E" w:rsidRDefault="001C2229" w:rsidP="001C2229">
            <w:pPr>
              <w:rPr>
                <w:color w:val="000000"/>
                <w:sz w:val="14"/>
                <w:szCs w:val="14"/>
                <w:lang w:eastAsia="tr-TR"/>
              </w:rPr>
            </w:pPr>
            <w:r w:rsidRPr="00872D7E">
              <w:rPr>
                <w:color w:val="000000"/>
                <w:sz w:val="14"/>
                <w:szCs w:val="14"/>
                <w:lang w:eastAsia="tr-TR"/>
              </w:rPr>
              <w:t>İkamet amaçlı gayrimenkul ipoteği ile teminatlandırılan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C681477"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1FE60940"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6FDA4EE" w14:textId="77777777" w:rsidR="001C2229" w:rsidRPr="00872D7E" w:rsidRDefault="001C2229" w:rsidP="001C2229">
            <w:pPr>
              <w:jc w:val="right"/>
              <w:rPr>
                <w:color w:val="000000"/>
                <w:sz w:val="14"/>
                <w:szCs w:val="14"/>
                <w:lang w:eastAsia="tr-TR"/>
              </w:rPr>
            </w:pPr>
            <w:r w:rsidRPr="00872D7E">
              <w:rPr>
                <w:color w:val="000000"/>
                <w:sz w:val="14"/>
                <w:szCs w:val="14"/>
                <w:lang w:eastAsia="tr-TR"/>
              </w:rPr>
              <w:t>757</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BAD1FA4" w14:textId="77777777" w:rsidR="001C2229" w:rsidRPr="00872D7E" w:rsidRDefault="001C2229" w:rsidP="001C2229">
            <w:pPr>
              <w:jc w:val="right"/>
              <w:rPr>
                <w:color w:val="000000"/>
                <w:sz w:val="14"/>
                <w:szCs w:val="14"/>
                <w:lang w:eastAsia="tr-TR"/>
              </w:rPr>
            </w:pPr>
            <w:r w:rsidRPr="00872D7E">
              <w:rPr>
                <w:color w:val="000000"/>
                <w:sz w:val="14"/>
                <w:szCs w:val="14"/>
                <w:lang w:eastAsia="tr-TR"/>
              </w:rPr>
              <w:t>107.047</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BA3C6F9" w14:textId="77777777" w:rsidR="001C2229" w:rsidRPr="00872D7E" w:rsidRDefault="001C2229" w:rsidP="001C2229">
            <w:pPr>
              <w:jc w:val="right"/>
              <w:rPr>
                <w:color w:val="000000"/>
                <w:sz w:val="14"/>
                <w:szCs w:val="14"/>
                <w:lang w:eastAsia="tr-TR"/>
              </w:rPr>
            </w:pPr>
            <w:r w:rsidRPr="00872D7E">
              <w:rPr>
                <w:color w:val="000000"/>
                <w:sz w:val="14"/>
                <w:szCs w:val="14"/>
                <w:lang w:eastAsia="tr-TR"/>
              </w:rPr>
              <w:t>70.073</w:t>
            </w:r>
          </w:p>
        </w:tc>
      </w:tr>
      <w:tr w:rsidR="001C2229" w:rsidRPr="00872D7E" w14:paraId="353CEC55"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3890FA" w14:textId="77777777" w:rsidR="001C2229" w:rsidRPr="00872D7E" w:rsidRDefault="001C2229" w:rsidP="001C2229">
            <w:pPr>
              <w:rPr>
                <w:color w:val="000000"/>
                <w:sz w:val="14"/>
                <w:szCs w:val="14"/>
                <w:lang w:eastAsia="tr-TR"/>
              </w:rPr>
            </w:pPr>
            <w:r w:rsidRPr="00872D7E">
              <w:rPr>
                <w:color w:val="000000"/>
                <w:sz w:val="14"/>
                <w:szCs w:val="14"/>
                <w:lang w:eastAsia="tr-TR"/>
              </w:rPr>
              <w:t>23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F1E92E0" w14:textId="77777777" w:rsidR="001C2229" w:rsidRPr="00872D7E" w:rsidRDefault="001C2229" w:rsidP="001C2229">
            <w:pPr>
              <w:rPr>
                <w:i/>
                <w:iCs/>
                <w:color w:val="000000"/>
                <w:sz w:val="14"/>
                <w:szCs w:val="14"/>
                <w:lang w:eastAsia="tr-TR"/>
              </w:rPr>
            </w:pPr>
            <w:r w:rsidRPr="00872D7E">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2F55CDD"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39F85AAF"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7BBC198" w14:textId="77777777" w:rsidR="001C2229" w:rsidRPr="00872D7E" w:rsidRDefault="001C2229" w:rsidP="001C2229">
            <w:pPr>
              <w:jc w:val="right"/>
              <w:rPr>
                <w:color w:val="000000"/>
                <w:sz w:val="14"/>
                <w:szCs w:val="14"/>
                <w:lang w:eastAsia="tr-TR"/>
              </w:rPr>
            </w:pPr>
            <w:r w:rsidRPr="00872D7E">
              <w:rPr>
                <w:color w:val="000000"/>
                <w:sz w:val="14"/>
                <w:szCs w:val="14"/>
                <w:lang w:eastAsia="tr-TR"/>
              </w:rPr>
              <w:t>757</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8FEABC6" w14:textId="77777777" w:rsidR="001C2229" w:rsidRPr="00872D7E" w:rsidRDefault="001C2229" w:rsidP="001C2229">
            <w:pPr>
              <w:jc w:val="right"/>
              <w:rPr>
                <w:color w:val="000000"/>
                <w:sz w:val="14"/>
                <w:szCs w:val="14"/>
                <w:lang w:eastAsia="tr-TR"/>
              </w:rPr>
            </w:pPr>
            <w:r w:rsidRPr="00872D7E">
              <w:rPr>
                <w:color w:val="000000"/>
                <w:sz w:val="14"/>
                <w:szCs w:val="14"/>
                <w:lang w:eastAsia="tr-TR"/>
              </w:rPr>
              <w:t>107.047</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D10B6AD" w14:textId="77777777" w:rsidR="001C2229" w:rsidRPr="00872D7E" w:rsidRDefault="001C2229" w:rsidP="001C2229">
            <w:pPr>
              <w:jc w:val="right"/>
              <w:rPr>
                <w:color w:val="000000"/>
                <w:sz w:val="14"/>
                <w:szCs w:val="14"/>
                <w:lang w:eastAsia="tr-TR"/>
              </w:rPr>
            </w:pPr>
            <w:r w:rsidRPr="00872D7E">
              <w:rPr>
                <w:color w:val="000000"/>
                <w:sz w:val="14"/>
                <w:szCs w:val="14"/>
                <w:lang w:eastAsia="tr-TR"/>
              </w:rPr>
              <w:t>70.073</w:t>
            </w:r>
          </w:p>
        </w:tc>
      </w:tr>
      <w:tr w:rsidR="001C2229" w:rsidRPr="00872D7E" w14:paraId="2226F3D2"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43387D" w14:textId="77777777" w:rsidR="001C2229" w:rsidRPr="00872D7E" w:rsidRDefault="001C2229" w:rsidP="001C2229">
            <w:pPr>
              <w:rPr>
                <w:color w:val="000000"/>
                <w:sz w:val="14"/>
                <w:szCs w:val="14"/>
                <w:lang w:eastAsia="tr-TR"/>
              </w:rPr>
            </w:pPr>
            <w:r w:rsidRPr="00872D7E">
              <w:rPr>
                <w:color w:val="000000"/>
                <w:sz w:val="14"/>
                <w:szCs w:val="14"/>
                <w:lang w:eastAsia="tr-TR"/>
              </w:rPr>
              <w:t>24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6DB1BC8" w14:textId="77777777" w:rsidR="001C2229" w:rsidRPr="00872D7E" w:rsidRDefault="001C2229" w:rsidP="001C2229">
            <w:pPr>
              <w:rPr>
                <w:color w:val="000000"/>
                <w:sz w:val="14"/>
                <w:szCs w:val="14"/>
                <w:lang w:eastAsia="tr-TR"/>
              </w:rPr>
            </w:pPr>
            <w:r w:rsidRPr="00872D7E">
              <w:rPr>
                <w:color w:val="000000"/>
                <w:sz w:val="14"/>
                <w:szCs w:val="14"/>
                <w:lang w:eastAsia="tr-TR"/>
              </w:rPr>
              <w:t>Yüksek kaliteli likit varlık niteliğini haiz olmayan, borsada işlem gören hisse senetleri ile borçlanma araçları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EC5919C"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C6FF23A"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DAC6BEB"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AB4EFD6"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A61B9EF"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2D8D2D53"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648BA4" w14:textId="77777777" w:rsidR="001C2229" w:rsidRPr="00872D7E" w:rsidRDefault="001C2229" w:rsidP="001C2229">
            <w:pPr>
              <w:rPr>
                <w:color w:val="000000"/>
                <w:sz w:val="14"/>
                <w:szCs w:val="14"/>
                <w:lang w:eastAsia="tr-TR"/>
              </w:rPr>
            </w:pPr>
            <w:r w:rsidRPr="00872D7E">
              <w:rPr>
                <w:color w:val="000000"/>
                <w:sz w:val="14"/>
                <w:szCs w:val="14"/>
                <w:lang w:eastAsia="tr-TR"/>
              </w:rPr>
              <w:t>25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B4DEFF0" w14:textId="77777777" w:rsidR="001C2229" w:rsidRPr="00872D7E" w:rsidRDefault="001C2229" w:rsidP="001C2229">
            <w:pPr>
              <w:rPr>
                <w:color w:val="000000"/>
                <w:sz w:val="14"/>
                <w:szCs w:val="14"/>
                <w:lang w:eastAsia="tr-TR"/>
              </w:rPr>
            </w:pPr>
            <w:r w:rsidRPr="00872D7E">
              <w:rPr>
                <w:color w:val="000000"/>
                <w:sz w:val="14"/>
                <w:szCs w:val="14"/>
                <w:lang w:eastAsia="tr-TR"/>
              </w:rPr>
              <w:t xml:space="preserve">Birbirlerine bağlı yükümlülüklere eşdeğer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27FAB077"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57509CD2"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A9D0B17"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05BF534A"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17EB00DF"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r>
      <w:tr w:rsidR="001C2229" w:rsidRPr="00872D7E" w14:paraId="39D32529"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10997A" w14:textId="77777777" w:rsidR="001C2229" w:rsidRPr="00872D7E" w:rsidRDefault="001C2229" w:rsidP="001C2229">
            <w:pPr>
              <w:rPr>
                <w:color w:val="000000"/>
                <w:sz w:val="14"/>
                <w:szCs w:val="14"/>
                <w:lang w:eastAsia="tr-TR"/>
              </w:rPr>
            </w:pPr>
            <w:r w:rsidRPr="00872D7E">
              <w:rPr>
                <w:color w:val="000000"/>
                <w:sz w:val="14"/>
                <w:szCs w:val="14"/>
                <w:lang w:eastAsia="tr-TR"/>
              </w:rPr>
              <w:t>26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3DCAC5F" w14:textId="77777777" w:rsidR="001C2229" w:rsidRPr="00872D7E" w:rsidRDefault="001C2229" w:rsidP="001C2229">
            <w:pPr>
              <w:rPr>
                <w:color w:val="000000"/>
                <w:sz w:val="14"/>
                <w:szCs w:val="14"/>
                <w:lang w:eastAsia="tr-TR"/>
              </w:rPr>
            </w:pPr>
            <w:r w:rsidRPr="00872D7E">
              <w:rPr>
                <w:color w:val="000000"/>
                <w:sz w:val="14"/>
                <w:szCs w:val="14"/>
                <w:lang w:eastAsia="tr-TR"/>
              </w:rPr>
              <w:t>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03CD8431"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E5510CE"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072BA34"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C5E3108"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48BFF6E" w14:textId="77777777" w:rsidR="001C2229" w:rsidRPr="00872D7E" w:rsidRDefault="001C2229" w:rsidP="001C2229">
            <w:pPr>
              <w:jc w:val="right"/>
              <w:rPr>
                <w:color w:val="000000"/>
                <w:sz w:val="14"/>
                <w:szCs w:val="14"/>
                <w:lang w:eastAsia="tr-TR"/>
              </w:rPr>
            </w:pPr>
            <w:r w:rsidRPr="00872D7E">
              <w:rPr>
                <w:color w:val="000000"/>
                <w:sz w:val="14"/>
                <w:szCs w:val="14"/>
                <w:lang w:eastAsia="tr-TR"/>
              </w:rPr>
              <w:t>3.408.153</w:t>
            </w:r>
          </w:p>
        </w:tc>
      </w:tr>
      <w:tr w:rsidR="001C2229" w:rsidRPr="00872D7E" w14:paraId="529AD066"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4555A8" w14:textId="77777777" w:rsidR="001C2229" w:rsidRPr="00872D7E" w:rsidRDefault="001C2229" w:rsidP="001C2229">
            <w:pPr>
              <w:rPr>
                <w:color w:val="000000"/>
                <w:sz w:val="14"/>
                <w:szCs w:val="14"/>
                <w:lang w:eastAsia="tr-TR"/>
              </w:rPr>
            </w:pPr>
            <w:r w:rsidRPr="00872D7E">
              <w:rPr>
                <w:color w:val="000000"/>
                <w:sz w:val="14"/>
                <w:szCs w:val="14"/>
                <w:lang w:eastAsia="tr-TR"/>
              </w:rPr>
              <w:t>27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2F3FDFA" w14:textId="77777777" w:rsidR="001C2229" w:rsidRPr="00872D7E" w:rsidRDefault="001C2229" w:rsidP="001C2229">
            <w:pPr>
              <w:rPr>
                <w:color w:val="000000"/>
                <w:sz w:val="14"/>
                <w:szCs w:val="14"/>
                <w:lang w:eastAsia="tr-TR"/>
              </w:rPr>
            </w:pPr>
            <w:r w:rsidRPr="00872D7E">
              <w:rPr>
                <w:color w:val="000000"/>
                <w:sz w:val="14"/>
                <w:szCs w:val="14"/>
                <w:lang w:eastAsia="tr-TR"/>
              </w:rPr>
              <w:t>Altın dahil fiziki teslimatlı emtia</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056321B0"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47100373"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C613A8D"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49102304"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B1C2A98"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3751E824"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39C853" w14:textId="77777777" w:rsidR="001C2229" w:rsidRPr="00872D7E" w:rsidRDefault="001C2229" w:rsidP="001C2229">
            <w:pPr>
              <w:rPr>
                <w:color w:val="000000"/>
                <w:sz w:val="14"/>
                <w:szCs w:val="14"/>
                <w:lang w:eastAsia="tr-TR"/>
              </w:rPr>
            </w:pPr>
            <w:r w:rsidRPr="00872D7E">
              <w:rPr>
                <w:color w:val="000000"/>
                <w:sz w:val="14"/>
                <w:szCs w:val="14"/>
                <w:lang w:eastAsia="tr-TR"/>
              </w:rPr>
              <w:t>28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BC6E7DF" w14:textId="77777777" w:rsidR="001C2229" w:rsidRPr="00872D7E" w:rsidRDefault="001C2229" w:rsidP="001C2229">
            <w:pPr>
              <w:rPr>
                <w:color w:val="000000"/>
                <w:sz w:val="14"/>
                <w:szCs w:val="14"/>
                <w:lang w:eastAsia="tr-TR"/>
              </w:rPr>
            </w:pPr>
            <w:r w:rsidRPr="00872D7E">
              <w:rPr>
                <w:color w:val="000000"/>
                <w:sz w:val="14"/>
                <w:szCs w:val="14"/>
                <w:lang w:eastAsia="tr-TR"/>
              </w:rPr>
              <w:t>Türev sözleşmelerin başlangıç teminatı veya merkezi karşı tarafa verilen garanti fonu</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8BA6068"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41113C24" w14:textId="77777777" w:rsidR="001C2229" w:rsidRPr="00872D7E" w:rsidRDefault="001C2229" w:rsidP="001C2229">
            <w:pPr>
              <w:jc w:val="center"/>
              <w:rPr>
                <w:color w:val="000000"/>
                <w:sz w:val="14"/>
                <w:szCs w:val="14"/>
                <w:lang w:eastAsia="tr-TR"/>
              </w:rPr>
            </w:pPr>
            <w:r w:rsidRPr="00872D7E">
              <w:rPr>
                <w:color w:val="000000"/>
                <w:sz w:val="14"/>
                <w:szCs w:val="14"/>
                <w:lang w:eastAsia="tr-TR"/>
              </w:rPr>
              <w:t>2.519.205</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D3CFA0F" w14:textId="77777777" w:rsidR="001C2229" w:rsidRPr="00872D7E" w:rsidRDefault="001C2229" w:rsidP="001C2229">
            <w:pPr>
              <w:jc w:val="right"/>
              <w:rPr>
                <w:color w:val="000000"/>
                <w:sz w:val="14"/>
                <w:szCs w:val="14"/>
                <w:lang w:eastAsia="tr-TR"/>
              </w:rPr>
            </w:pPr>
            <w:r w:rsidRPr="00872D7E">
              <w:rPr>
                <w:color w:val="000000"/>
                <w:sz w:val="14"/>
                <w:szCs w:val="14"/>
                <w:lang w:eastAsia="tr-TR"/>
              </w:rPr>
              <w:t>2.141.324</w:t>
            </w:r>
          </w:p>
        </w:tc>
      </w:tr>
      <w:tr w:rsidR="001C2229" w:rsidRPr="00872D7E" w14:paraId="26099BFD"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438CFC" w14:textId="77777777" w:rsidR="001C2229" w:rsidRPr="00872D7E" w:rsidRDefault="001C2229" w:rsidP="001C2229">
            <w:pPr>
              <w:rPr>
                <w:color w:val="000000"/>
                <w:sz w:val="14"/>
                <w:szCs w:val="14"/>
                <w:lang w:eastAsia="tr-TR"/>
              </w:rPr>
            </w:pPr>
            <w:r w:rsidRPr="00872D7E">
              <w:rPr>
                <w:color w:val="000000"/>
                <w:sz w:val="14"/>
                <w:szCs w:val="14"/>
                <w:lang w:eastAsia="tr-TR"/>
              </w:rPr>
              <w:t>29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6848C92" w14:textId="77777777" w:rsidR="001C2229" w:rsidRPr="00872D7E" w:rsidRDefault="001C2229" w:rsidP="001C2229">
            <w:pPr>
              <w:rPr>
                <w:color w:val="000000"/>
                <w:sz w:val="14"/>
                <w:szCs w:val="14"/>
                <w:lang w:eastAsia="tr-TR"/>
              </w:rPr>
            </w:pPr>
            <w:r w:rsidRPr="00872D7E">
              <w:rPr>
                <w:color w:val="000000"/>
                <w:sz w:val="14"/>
                <w:szCs w:val="14"/>
                <w:lang w:eastAsia="tr-TR"/>
              </w:rPr>
              <w:t>Türev varlıklar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6117B87"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27BCD69E" w14:textId="77777777" w:rsidR="001C2229" w:rsidRPr="00872D7E" w:rsidRDefault="001C2229" w:rsidP="001C2229">
            <w:pPr>
              <w:jc w:val="center"/>
              <w:rPr>
                <w:color w:val="000000"/>
                <w:sz w:val="14"/>
                <w:szCs w:val="14"/>
                <w:lang w:eastAsia="tr-TR"/>
              </w:rPr>
            </w:pPr>
            <w:r w:rsidRPr="00872D7E">
              <w:rPr>
                <w:color w:val="000000"/>
                <w:sz w:val="14"/>
                <w:szCs w:val="14"/>
                <w:lang w:eastAsia="tr-TR"/>
              </w:rPr>
              <w:t>22.273</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2822672" w14:textId="77777777" w:rsidR="001C2229" w:rsidRPr="00872D7E" w:rsidRDefault="001C2229" w:rsidP="001C2229">
            <w:pPr>
              <w:jc w:val="right"/>
              <w:rPr>
                <w:color w:val="000000"/>
                <w:sz w:val="14"/>
                <w:szCs w:val="14"/>
                <w:lang w:eastAsia="tr-TR"/>
              </w:rPr>
            </w:pPr>
            <w:r w:rsidRPr="00872D7E">
              <w:rPr>
                <w:color w:val="000000"/>
                <w:sz w:val="14"/>
                <w:szCs w:val="14"/>
                <w:lang w:eastAsia="tr-TR"/>
              </w:rPr>
              <w:t>22.273</w:t>
            </w:r>
          </w:p>
        </w:tc>
      </w:tr>
      <w:tr w:rsidR="001C2229" w:rsidRPr="00872D7E" w14:paraId="73531A8D"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B1F1B4" w14:textId="77777777" w:rsidR="001C2229" w:rsidRPr="00872D7E" w:rsidRDefault="001C2229" w:rsidP="001C2229">
            <w:pPr>
              <w:rPr>
                <w:color w:val="000000"/>
                <w:sz w:val="14"/>
                <w:szCs w:val="14"/>
                <w:lang w:eastAsia="tr-TR"/>
              </w:rPr>
            </w:pPr>
            <w:r w:rsidRPr="00872D7E">
              <w:rPr>
                <w:color w:val="000000"/>
                <w:sz w:val="14"/>
                <w:szCs w:val="14"/>
                <w:lang w:eastAsia="tr-TR"/>
              </w:rPr>
              <w:t>30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A927A75" w14:textId="77777777" w:rsidR="001C2229" w:rsidRPr="00872D7E" w:rsidRDefault="001C2229" w:rsidP="001C2229">
            <w:pPr>
              <w:rPr>
                <w:color w:val="000000"/>
                <w:sz w:val="14"/>
                <w:szCs w:val="14"/>
                <w:lang w:eastAsia="tr-TR"/>
              </w:rPr>
            </w:pPr>
            <w:r w:rsidRPr="00872D7E">
              <w:rPr>
                <w:color w:val="000000"/>
                <w:sz w:val="14"/>
                <w:szCs w:val="14"/>
                <w:lang w:eastAsia="tr-TR"/>
              </w:rPr>
              <w:t>Türev yükümlülüklerin değişim teminatı düşülmeden önceki tutarı</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00709BD8"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7B176FED" w14:textId="77777777" w:rsidR="001C2229" w:rsidRPr="00872D7E" w:rsidRDefault="001C2229" w:rsidP="001C2229">
            <w:pPr>
              <w:jc w:val="center"/>
              <w:rPr>
                <w:color w:val="000000"/>
                <w:sz w:val="14"/>
                <w:szCs w:val="14"/>
                <w:lang w:eastAsia="tr-TR"/>
              </w:rPr>
            </w:pPr>
            <w:r w:rsidRPr="00872D7E">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D2DDBB9"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r>
      <w:tr w:rsidR="001C2229" w:rsidRPr="00872D7E" w14:paraId="56190A7F"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E84F6" w14:textId="77777777" w:rsidR="001C2229" w:rsidRPr="00872D7E" w:rsidRDefault="001C2229" w:rsidP="001C2229">
            <w:pPr>
              <w:rPr>
                <w:color w:val="000000"/>
                <w:sz w:val="14"/>
                <w:szCs w:val="14"/>
                <w:lang w:eastAsia="tr-TR"/>
              </w:rPr>
            </w:pPr>
            <w:r w:rsidRPr="00872D7E">
              <w:rPr>
                <w:color w:val="000000"/>
                <w:sz w:val="14"/>
                <w:szCs w:val="14"/>
                <w:lang w:eastAsia="tr-TR"/>
              </w:rPr>
              <w:t>31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1AFC761" w14:textId="77777777" w:rsidR="001C2229" w:rsidRPr="00872D7E" w:rsidRDefault="001C2229" w:rsidP="001C2229">
            <w:pPr>
              <w:rPr>
                <w:color w:val="000000"/>
                <w:sz w:val="14"/>
                <w:szCs w:val="14"/>
                <w:lang w:eastAsia="tr-TR"/>
              </w:rPr>
            </w:pPr>
            <w:r w:rsidRPr="00872D7E">
              <w:rPr>
                <w:color w:val="000000"/>
                <w:sz w:val="14"/>
                <w:szCs w:val="14"/>
                <w:lang w:eastAsia="tr-TR"/>
              </w:rPr>
              <w:t>Yukarıda yer almayan 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F80B14C" w14:textId="77777777" w:rsidR="001C2229" w:rsidRPr="00872D7E" w:rsidRDefault="001C2229" w:rsidP="001C2229">
            <w:pPr>
              <w:jc w:val="right"/>
              <w:rPr>
                <w:color w:val="000000"/>
                <w:sz w:val="14"/>
                <w:szCs w:val="14"/>
                <w:lang w:eastAsia="tr-TR"/>
              </w:rPr>
            </w:pPr>
            <w:r w:rsidRPr="00872D7E">
              <w:rPr>
                <w:color w:val="000000"/>
                <w:sz w:val="14"/>
                <w:szCs w:val="14"/>
                <w:lang w:eastAsia="tr-TR"/>
              </w:rPr>
              <w:t>380.008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71EA160"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D21C7E1" w14:textId="77777777" w:rsidR="001C2229" w:rsidRPr="00872D7E" w:rsidRDefault="001C2229" w:rsidP="001C2229">
            <w:pPr>
              <w:jc w:val="right"/>
              <w:rPr>
                <w:color w:val="000000"/>
                <w:sz w:val="14"/>
                <w:szCs w:val="14"/>
                <w:lang w:eastAsia="tr-TR"/>
              </w:rPr>
            </w:pPr>
            <w:r w:rsidRPr="00872D7E">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3FDBAB6" w14:textId="77777777" w:rsidR="001C2229" w:rsidRPr="00872D7E" w:rsidRDefault="001C2229" w:rsidP="001C2229">
            <w:pPr>
              <w:jc w:val="right"/>
              <w:rPr>
                <w:color w:val="000000"/>
                <w:sz w:val="14"/>
                <w:szCs w:val="14"/>
                <w:lang w:eastAsia="tr-TR"/>
              </w:rPr>
            </w:pPr>
            <w:r w:rsidRPr="00872D7E">
              <w:rPr>
                <w:color w:val="000000"/>
                <w:sz w:val="14"/>
                <w:szCs w:val="14"/>
                <w:lang w:eastAsia="tr-TR"/>
              </w:rPr>
              <w:t>864.547</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7F0A5E5" w14:textId="77777777" w:rsidR="001C2229" w:rsidRPr="00872D7E" w:rsidRDefault="001C2229" w:rsidP="001C2229">
            <w:pPr>
              <w:jc w:val="right"/>
              <w:rPr>
                <w:color w:val="000000"/>
                <w:sz w:val="14"/>
                <w:szCs w:val="14"/>
                <w:lang w:eastAsia="tr-TR"/>
              </w:rPr>
            </w:pPr>
            <w:r w:rsidRPr="00872D7E">
              <w:rPr>
                <w:color w:val="000000"/>
                <w:sz w:val="14"/>
                <w:szCs w:val="14"/>
                <w:lang w:eastAsia="tr-TR"/>
              </w:rPr>
              <w:t>1.244.555</w:t>
            </w:r>
          </w:p>
        </w:tc>
      </w:tr>
      <w:tr w:rsidR="001C2229" w:rsidRPr="00872D7E" w14:paraId="355CF8A3"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B48ED8" w14:textId="77777777" w:rsidR="001C2229" w:rsidRPr="00872D7E" w:rsidRDefault="001C2229" w:rsidP="001C2229">
            <w:pPr>
              <w:rPr>
                <w:color w:val="000000"/>
                <w:sz w:val="14"/>
                <w:szCs w:val="14"/>
                <w:lang w:eastAsia="tr-TR"/>
              </w:rPr>
            </w:pPr>
            <w:r w:rsidRPr="00872D7E">
              <w:rPr>
                <w:color w:val="000000"/>
                <w:sz w:val="14"/>
                <w:szCs w:val="14"/>
                <w:lang w:eastAsia="tr-TR"/>
              </w:rPr>
              <w:t>32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ED8ACBE" w14:textId="77777777" w:rsidR="001C2229" w:rsidRPr="00872D7E" w:rsidRDefault="001C2229" w:rsidP="001C2229">
            <w:pPr>
              <w:rPr>
                <w:color w:val="000000"/>
                <w:sz w:val="14"/>
                <w:szCs w:val="14"/>
                <w:lang w:eastAsia="tr-TR"/>
              </w:rPr>
            </w:pPr>
            <w:r w:rsidRPr="00872D7E">
              <w:rPr>
                <w:color w:val="000000"/>
                <w:sz w:val="14"/>
                <w:szCs w:val="14"/>
                <w:lang w:eastAsia="tr-TR"/>
              </w:rPr>
              <w:t>Bilanço dışı borçlar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967B850"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3B168CE2" w14:textId="77777777" w:rsidR="001C2229" w:rsidRPr="00872D7E" w:rsidRDefault="001C2229" w:rsidP="001C2229">
            <w:pPr>
              <w:jc w:val="right"/>
              <w:rPr>
                <w:color w:val="000000"/>
                <w:sz w:val="14"/>
                <w:szCs w:val="14"/>
                <w:lang w:eastAsia="tr-TR"/>
              </w:rPr>
            </w:pPr>
            <w:r w:rsidRPr="00872D7E">
              <w:rPr>
                <w:color w:val="000000"/>
                <w:sz w:val="14"/>
                <w:szCs w:val="14"/>
                <w:lang w:eastAsia="tr-TR"/>
              </w:rPr>
              <w:t>1.045.860</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B27A04D" w14:textId="77777777" w:rsidR="001C2229" w:rsidRPr="00872D7E" w:rsidRDefault="001C2229" w:rsidP="001C2229">
            <w:pPr>
              <w:jc w:val="right"/>
              <w:rPr>
                <w:color w:val="000000"/>
                <w:sz w:val="14"/>
                <w:szCs w:val="14"/>
                <w:lang w:eastAsia="tr-TR"/>
              </w:rPr>
            </w:pPr>
            <w:r w:rsidRPr="00872D7E">
              <w:rPr>
                <w:color w:val="000000"/>
                <w:sz w:val="14"/>
                <w:szCs w:val="14"/>
                <w:lang w:eastAsia="tr-TR"/>
              </w:rPr>
              <w:t>3.083.441</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A3DA0E2" w14:textId="77777777" w:rsidR="001C2229" w:rsidRPr="00872D7E" w:rsidRDefault="001C2229" w:rsidP="001C2229">
            <w:pPr>
              <w:jc w:val="right"/>
              <w:rPr>
                <w:color w:val="000000"/>
                <w:sz w:val="14"/>
                <w:szCs w:val="14"/>
                <w:lang w:eastAsia="tr-TR"/>
              </w:rPr>
            </w:pPr>
            <w:r w:rsidRPr="00872D7E">
              <w:rPr>
                <w:color w:val="000000"/>
                <w:sz w:val="14"/>
                <w:szCs w:val="14"/>
                <w:lang w:eastAsia="tr-TR"/>
              </w:rPr>
              <w:t>3.206.413</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951E221" w14:textId="77777777" w:rsidR="001C2229" w:rsidRPr="00872D7E" w:rsidRDefault="001C2229" w:rsidP="001C2229">
            <w:pPr>
              <w:jc w:val="right"/>
              <w:rPr>
                <w:color w:val="000000"/>
                <w:sz w:val="14"/>
                <w:szCs w:val="14"/>
                <w:lang w:eastAsia="tr-TR"/>
              </w:rPr>
            </w:pPr>
            <w:r w:rsidRPr="00872D7E">
              <w:rPr>
                <w:color w:val="000000"/>
                <w:sz w:val="14"/>
                <w:szCs w:val="14"/>
                <w:lang w:eastAsia="tr-TR"/>
              </w:rPr>
              <w:t>366.786</w:t>
            </w:r>
          </w:p>
        </w:tc>
      </w:tr>
      <w:tr w:rsidR="001C2229" w:rsidRPr="00872D7E" w14:paraId="552B7E02"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BB473A" w14:textId="77777777" w:rsidR="001C2229" w:rsidRPr="00872D7E" w:rsidRDefault="001C2229" w:rsidP="001C2229">
            <w:pPr>
              <w:rPr>
                <w:color w:val="000000"/>
                <w:sz w:val="14"/>
                <w:szCs w:val="14"/>
                <w:lang w:eastAsia="tr-TR"/>
              </w:rPr>
            </w:pPr>
            <w:r w:rsidRPr="00872D7E">
              <w:rPr>
                <w:color w:val="000000"/>
                <w:sz w:val="14"/>
                <w:szCs w:val="14"/>
                <w:lang w:eastAsia="tr-TR"/>
              </w:rPr>
              <w:t>33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DA856E3" w14:textId="77777777" w:rsidR="001C2229" w:rsidRPr="00872D7E" w:rsidRDefault="001C2229" w:rsidP="001C2229">
            <w:pPr>
              <w:rPr>
                <w:b/>
                <w:bCs/>
                <w:color w:val="000000"/>
                <w:sz w:val="14"/>
                <w:szCs w:val="14"/>
                <w:lang w:eastAsia="tr-TR"/>
              </w:rPr>
            </w:pPr>
            <w:r w:rsidRPr="00872D7E">
              <w:rPr>
                <w:b/>
                <w:bCs/>
                <w:color w:val="000000"/>
                <w:sz w:val="14"/>
                <w:szCs w:val="14"/>
                <w:lang w:eastAsia="tr-TR"/>
              </w:rPr>
              <w:t>Gerekli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0E19FBA3"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15D76666"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038003CA"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611E20B7"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BD9FF7E" w14:textId="77777777" w:rsidR="001C2229" w:rsidRPr="00872D7E" w:rsidRDefault="001C2229" w:rsidP="001C2229">
            <w:pPr>
              <w:jc w:val="right"/>
              <w:rPr>
                <w:b/>
                <w:bCs/>
                <w:color w:val="000000"/>
                <w:sz w:val="14"/>
                <w:szCs w:val="14"/>
                <w:lang w:eastAsia="tr-TR"/>
              </w:rPr>
            </w:pPr>
            <w:r w:rsidRPr="00872D7E">
              <w:rPr>
                <w:b/>
                <w:bCs/>
                <w:color w:val="000000"/>
                <w:sz w:val="14"/>
                <w:szCs w:val="14"/>
                <w:lang w:eastAsia="tr-TR"/>
              </w:rPr>
              <w:t>14.647.472</w:t>
            </w:r>
          </w:p>
        </w:tc>
      </w:tr>
      <w:tr w:rsidR="001C2229" w:rsidRPr="00872D7E" w14:paraId="53E791E9" w14:textId="77777777" w:rsidTr="001C2229">
        <w:trPr>
          <w:divId w:val="190725738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8DE886" w14:textId="77777777" w:rsidR="001C2229" w:rsidRPr="00872D7E" w:rsidRDefault="001C2229" w:rsidP="001C2229">
            <w:pPr>
              <w:rPr>
                <w:color w:val="000000"/>
                <w:sz w:val="14"/>
                <w:szCs w:val="14"/>
                <w:lang w:eastAsia="tr-TR"/>
              </w:rPr>
            </w:pPr>
            <w:r w:rsidRPr="00872D7E">
              <w:rPr>
                <w:color w:val="000000"/>
                <w:sz w:val="14"/>
                <w:szCs w:val="14"/>
                <w:lang w:eastAsia="tr-TR"/>
              </w:rPr>
              <w:t>34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F1E0F54" w14:textId="77777777" w:rsidR="001C2229" w:rsidRPr="00872D7E" w:rsidRDefault="001C2229" w:rsidP="001C2229">
            <w:pPr>
              <w:rPr>
                <w:b/>
                <w:bCs/>
                <w:color w:val="000000"/>
                <w:sz w:val="14"/>
                <w:szCs w:val="14"/>
                <w:vertAlign w:val="superscript"/>
                <w:lang w:eastAsia="tr-TR"/>
              </w:rPr>
            </w:pPr>
            <w:r w:rsidRPr="00872D7E">
              <w:rPr>
                <w:b/>
                <w:bCs/>
                <w:color w:val="000000"/>
                <w:sz w:val="14"/>
                <w:szCs w:val="14"/>
                <w:lang w:eastAsia="tr-TR"/>
              </w:rPr>
              <w:t>Net İstikrarlı Fonlama Oranı (%)</w:t>
            </w:r>
          </w:p>
        </w:tc>
        <w:tc>
          <w:tcPr>
            <w:tcW w:w="603" w:type="pct"/>
            <w:tcBorders>
              <w:top w:val="single" w:sz="4" w:space="0" w:color="auto"/>
              <w:left w:val="nil"/>
              <w:bottom w:val="single" w:sz="4" w:space="0" w:color="auto"/>
              <w:right w:val="single" w:sz="4" w:space="0" w:color="auto"/>
            </w:tcBorders>
            <w:shd w:val="clear" w:color="000000" w:fill="000000"/>
            <w:vAlign w:val="center"/>
            <w:hideMark/>
          </w:tcPr>
          <w:p w14:paraId="1F3F01A1"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center"/>
            <w:hideMark/>
          </w:tcPr>
          <w:p w14:paraId="4F2E42F2"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center"/>
            <w:hideMark/>
          </w:tcPr>
          <w:p w14:paraId="3CCB265D"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center"/>
            <w:hideMark/>
          </w:tcPr>
          <w:p w14:paraId="588B9F91" w14:textId="77777777" w:rsidR="001C2229" w:rsidRPr="00872D7E" w:rsidRDefault="001C2229" w:rsidP="001C2229">
            <w:pPr>
              <w:jc w:val="right"/>
              <w:rPr>
                <w:color w:val="000000"/>
                <w:sz w:val="14"/>
                <w:szCs w:val="14"/>
                <w:lang w:eastAsia="tr-TR"/>
              </w:rPr>
            </w:pPr>
            <w:r w:rsidRPr="00872D7E">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7F755916" w14:textId="77777777" w:rsidR="001C2229" w:rsidRPr="00872D7E" w:rsidRDefault="001C2229" w:rsidP="001C2229">
            <w:pPr>
              <w:jc w:val="right"/>
              <w:rPr>
                <w:b/>
                <w:bCs/>
                <w:color w:val="000000"/>
                <w:sz w:val="14"/>
                <w:szCs w:val="14"/>
                <w:lang w:eastAsia="tr-TR"/>
              </w:rPr>
            </w:pPr>
            <w:r w:rsidRPr="00872D7E">
              <w:rPr>
                <w:b/>
                <w:bCs/>
                <w:color w:val="000000"/>
                <w:sz w:val="14"/>
                <w:szCs w:val="14"/>
                <w:lang w:eastAsia="tr-TR"/>
              </w:rPr>
              <w:t>127,39</w:t>
            </w:r>
          </w:p>
        </w:tc>
      </w:tr>
    </w:tbl>
    <w:p w14:paraId="29ADE6D9" w14:textId="46455BFA" w:rsidR="00193487" w:rsidRPr="00872D7E" w:rsidRDefault="0059723F" w:rsidP="009F6E11">
      <w:pPr>
        <w:widowControl w:val="0"/>
        <w:rPr>
          <w:b/>
          <w:sz w:val="6"/>
          <w:szCs w:val="6"/>
        </w:rPr>
      </w:pPr>
      <w:r w:rsidRPr="00872D7E">
        <w:rPr>
          <w:b/>
          <w:sz w:val="6"/>
          <w:szCs w:val="6"/>
        </w:rPr>
        <w:tab/>
      </w:r>
      <w:r w:rsidR="00193487" w:rsidRPr="00872D7E">
        <w:rPr>
          <w:b/>
          <w:sz w:val="6"/>
          <w:szCs w:val="6"/>
        </w:rPr>
        <w:br w:type="page"/>
      </w:r>
    </w:p>
    <w:p w14:paraId="31F6768D" w14:textId="77777777" w:rsidR="00193487" w:rsidRPr="00872D7E" w:rsidRDefault="00193487" w:rsidP="00B252B3">
      <w:pPr>
        <w:pStyle w:val="BodyTextIndent"/>
        <w:widowControl w:val="0"/>
        <w:spacing w:after="120"/>
        <w:ind w:firstLine="0"/>
        <w:jc w:val="left"/>
        <w:rPr>
          <w:b/>
          <w:szCs w:val="20"/>
        </w:rPr>
      </w:pPr>
      <w:r w:rsidRPr="00872D7E">
        <w:rPr>
          <w:b/>
          <w:szCs w:val="20"/>
        </w:rPr>
        <w:lastRenderedPageBreak/>
        <w:t>MALİ BÜNYEYE VE RİSK YÖNETİMİNE İLİŞKİN BİLGİLER (Devamı)</w:t>
      </w:r>
    </w:p>
    <w:p w14:paraId="33F7EF72" w14:textId="6DCF99AC" w:rsidR="00AA12B1" w:rsidRPr="00872D7E" w:rsidRDefault="00AA12B1" w:rsidP="00AA12B1">
      <w:pPr>
        <w:widowControl w:val="0"/>
        <w:autoSpaceDE w:val="0"/>
        <w:autoSpaceDN w:val="0"/>
        <w:adjustRightInd w:val="0"/>
        <w:ind w:left="851" w:hanging="851"/>
        <w:rPr>
          <w:b/>
          <w:szCs w:val="20"/>
        </w:rPr>
      </w:pPr>
      <w:r w:rsidRPr="00872D7E">
        <w:rPr>
          <w:b/>
          <w:szCs w:val="20"/>
        </w:rPr>
        <w:t>V.</w:t>
      </w:r>
      <w:r w:rsidRPr="00872D7E">
        <w:rPr>
          <w:b/>
          <w:szCs w:val="20"/>
        </w:rPr>
        <w:tab/>
        <w:t>LİKİDİTE RİSKİNE İLİŞKİN AÇIKLAMALAR (Devamı)</w:t>
      </w:r>
    </w:p>
    <w:p w14:paraId="1065CB19" w14:textId="77777777" w:rsidR="00AA12B1" w:rsidRPr="00872D7E" w:rsidRDefault="00AA12B1" w:rsidP="00F95068">
      <w:pPr>
        <w:widowControl w:val="0"/>
        <w:jc w:val="both"/>
        <w:rPr>
          <w:szCs w:val="20"/>
        </w:rPr>
      </w:pPr>
    </w:p>
    <w:p w14:paraId="3A257102" w14:textId="49A9C134" w:rsidR="001C2EA0" w:rsidRPr="00872D7E" w:rsidRDefault="00112A14" w:rsidP="002D31A9">
      <w:pPr>
        <w:widowControl w:val="0"/>
        <w:ind w:left="851"/>
        <w:jc w:val="both"/>
        <w:rPr>
          <w:szCs w:val="20"/>
        </w:rPr>
      </w:pPr>
      <w:r w:rsidRPr="00872D7E">
        <w:rPr>
          <w:szCs w:val="20"/>
        </w:rPr>
        <w:t xml:space="preserve">2024 yılı </w:t>
      </w:r>
      <w:r w:rsidR="00794F92" w:rsidRPr="00872D7E">
        <w:rPr>
          <w:szCs w:val="20"/>
        </w:rPr>
        <w:t>son</w:t>
      </w:r>
      <w:r w:rsidRPr="00872D7E">
        <w:rPr>
          <w:szCs w:val="20"/>
        </w:rPr>
        <w:t xml:space="preserve"> 3 aylık dönemde NİFO gelişimi aşağıdaki tabloda yer almaktadır:</w:t>
      </w:r>
    </w:p>
    <w:p w14:paraId="247E32F4" w14:textId="6E5ECF58" w:rsidR="00EA04CD" w:rsidRPr="00872D7E" w:rsidRDefault="00EA04CD" w:rsidP="009F6E11">
      <w:pPr>
        <w:widowControl w:val="0"/>
      </w:pPr>
    </w:p>
    <w:tbl>
      <w:tblPr>
        <w:tblW w:w="5000" w:type="pct"/>
        <w:tblCellMar>
          <w:left w:w="70" w:type="dxa"/>
          <w:right w:w="70" w:type="dxa"/>
        </w:tblCellMar>
        <w:tblLook w:val="04A0" w:firstRow="1" w:lastRow="0" w:firstColumn="1" w:lastColumn="0" w:noHBand="0" w:noVBand="1"/>
      </w:tblPr>
      <w:tblGrid>
        <w:gridCol w:w="7966"/>
        <w:gridCol w:w="1673"/>
      </w:tblGrid>
      <w:tr w:rsidR="00EA04CD" w:rsidRPr="00872D7E" w14:paraId="60F7103C" w14:textId="77777777" w:rsidTr="00EA04CD">
        <w:trPr>
          <w:divId w:val="2102480558"/>
          <w:trHeight w:val="227"/>
        </w:trPr>
        <w:tc>
          <w:tcPr>
            <w:tcW w:w="4132" w:type="pct"/>
            <w:tcBorders>
              <w:top w:val="nil"/>
              <w:left w:val="nil"/>
              <w:bottom w:val="single" w:sz="8" w:space="0" w:color="auto"/>
              <w:right w:val="nil"/>
            </w:tcBorders>
            <w:shd w:val="clear" w:color="auto" w:fill="auto"/>
            <w:noWrap/>
            <w:vAlign w:val="center"/>
            <w:hideMark/>
          </w:tcPr>
          <w:p w14:paraId="7715FDE0" w14:textId="2AE81519" w:rsidR="00EA04CD" w:rsidRPr="00872D7E" w:rsidRDefault="00EA04CD" w:rsidP="00EA04CD">
            <w:pPr>
              <w:rPr>
                <w:b/>
                <w:bCs/>
                <w:color w:val="000000"/>
                <w:szCs w:val="20"/>
                <w:lang w:eastAsia="tr-TR"/>
              </w:rPr>
            </w:pPr>
            <w:r w:rsidRPr="00872D7E">
              <w:rPr>
                <w:b/>
                <w:bCs/>
                <w:color w:val="000000"/>
                <w:szCs w:val="20"/>
                <w:lang w:eastAsia="tr-TR"/>
              </w:rPr>
              <w:t>31 Aralık 2024 Dönemi</w:t>
            </w:r>
          </w:p>
        </w:tc>
        <w:tc>
          <w:tcPr>
            <w:tcW w:w="868" w:type="pct"/>
            <w:tcBorders>
              <w:top w:val="nil"/>
              <w:left w:val="nil"/>
              <w:bottom w:val="single" w:sz="8" w:space="0" w:color="auto"/>
              <w:right w:val="nil"/>
            </w:tcBorders>
            <w:shd w:val="clear" w:color="auto" w:fill="auto"/>
            <w:noWrap/>
            <w:vAlign w:val="center"/>
            <w:hideMark/>
          </w:tcPr>
          <w:p w14:paraId="21B968D2" w14:textId="77777777" w:rsidR="00EA04CD" w:rsidRPr="00872D7E" w:rsidRDefault="00EA04CD" w:rsidP="00EA04CD">
            <w:pPr>
              <w:jc w:val="right"/>
              <w:rPr>
                <w:b/>
                <w:bCs/>
                <w:color w:val="000000"/>
                <w:szCs w:val="20"/>
                <w:lang w:eastAsia="tr-TR"/>
              </w:rPr>
            </w:pPr>
            <w:r w:rsidRPr="00872D7E">
              <w:rPr>
                <w:b/>
                <w:bCs/>
                <w:color w:val="000000"/>
                <w:szCs w:val="20"/>
                <w:lang w:eastAsia="tr-TR"/>
              </w:rPr>
              <w:t>Oran</w:t>
            </w:r>
          </w:p>
        </w:tc>
      </w:tr>
      <w:tr w:rsidR="00EA04CD" w:rsidRPr="00872D7E" w14:paraId="29442B7B" w14:textId="77777777" w:rsidTr="00EA04CD">
        <w:trPr>
          <w:divId w:val="2102480558"/>
          <w:trHeight w:val="227"/>
        </w:trPr>
        <w:tc>
          <w:tcPr>
            <w:tcW w:w="4132" w:type="pct"/>
            <w:tcBorders>
              <w:top w:val="nil"/>
              <w:left w:val="nil"/>
              <w:bottom w:val="nil"/>
              <w:right w:val="nil"/>
            </w:tcBorders>
            <w:shd w:val="clear" w:color="auto" w:fill="auto"/>
            <w:noWrap/>
            <w:vAlign w:val="center"/>
            <w:hideMark/>
          </w:tcPr>
          <w:p w14:paraId="0136C6BC" w14:textId="77777777" w:rsidR="00EA04CD" w:rsidRPr="00872D7E" w:rsidRDefault="00EA04CD" w:rsidP="00EA04CD">
            <w:pPr>
              <w:rPr>
                <w:b/>
                <w:bCs/>
                <w:color w:val="000000"/>
                <w:szCs w:val="20"/>
                <w:lang w:eastAsia="tr-TR"/>
              </w:rPr>
            </w:pPr>
          </w:p>
        </w:tc>
        <w:tc>
          <w:tcPr>
            <w:tcW w:w="868" w:type="pct"/>
            <w:tcBorders>
              <w:top w:val="nil"/>
              <w:left w:val="nil"/>
              <w:bottom w:val="nil"/>
              <w:right w:val="nil"/>
            </w:tcBorders>
            <w:shd w:val="clear" w:color="auto" w:fill="auto"/>
            <w:noWrap/>
            <w:vAlign w:val="center"/>
            <w:hideMark/>
          </w:tcPr>
          <w:p w14:paraId="2D72D438" w14:textId="77777777" w:rsidR="00EA04CD" w:rsidRPr="00872D7E" w:rsidRDefault="00EA04CD" w:rsidP="00EA04CD">
            <w:pPr>
              <w:jc w:val="right"/>
              <w:rPr>
                <w:szCs w:val="20"/>
                <w:lang w:eastAsia="tr-TR"/>
              </w:rPr>
            </w:pPr>
          </w:p>
        </w:tc>
      </w:tr>
      <w:tr w:rsidR="00EA04CD" w:rsidRPr="00872D7E" w14:paraId="70D9CF42" w14:textId="77777777" w:rsidTr="00EA04CD">
        <w:trPr>
          <w:divId w:val="2102480558"/>
          <w:trHeight w:val="227"/>
        </w:trPr>
        <w:tc>
          <w:tcPr>
            <w:tcW w:w="4132" w:type="pct"/>
            <w:tcBorders>
              <w:top w:val="nil"/>
              <w:left w:val="nil"/>
              <w:bottom w:val="nil"/>
              <w:right w:val="nil"/>
            </w:tcBorders>
            <w:shd w:val="clear" w:color="auto" w:fill="auto"/>
            <w:noWrap/>
            <w:vAlign w:val="center"/>
            <w:hideMark/>
          </w:tcPr>
          <w:p w14:paraId="3744E96F" w14:textId="77777777" w:rsidR="00EA04CD" w:rsidRPr="00872D7E" w:rsidRDefault="00EA04CD" w:rsidP="00EA04CD">
            <w:pPr>
              <w:rPr>
                <w:color w:val="000000"/>
                <w:szCs w:val="20"/>
                <w:lang w:eastAsia="tr-TR"/>
              </w:rPr>
            </w:pPr>
            <w:r w:rsidRPr="00872D7E">
              <w:rPr>
                <w:color w:val="000000"/>
                <w:szCs w:val="20"/>
                <w:lang w:eastAsia="tr-TR"/>
              </w:rPr>
              <w:t>31 Ekim 2024</w:t>
            </w:r>
          </w:p>
        </w:tc>
        <w:tc>
          <w:tcPr>
            <w:tcW w:w="868" w:type="pct"/>
            <w:tcBorders>
              <w:top w:val="nil"/>
              <w:left w:val="nil"/>
              <w:bottom w:val="nil"/>
              <w:right w:val="nil"/>
            </w:tcBorders>
            <w:shd w:val="clear" w:color="auto" w:fill="auto"/>
            <w:vAlign w:val="bottom"/>
            <w:hideMark/>
          </w:tcPr>
          <w:p w14:paraId="69BC1E0D" w14:textId="77777777" w:rsidR="00EA04CD" w:rsidRPr="00872D7E" w:rsidRDefault="00EA04CD" w:rsidP="00EA04CD">
            <w:pPr>
              <w:jc w:val="right"/>
              <w:rPr>
                <w:color w:val="000000"/>
                <w:szCs w:val="20"/>
                <w:lang w:eastAsia="tr-TR"/>
              </w:rPr>
            </w:pPr>
            <w:r w:rsidRPr="00872D7E">
              <w:rPr>
                <w:color w:val="000000"/>
                <w:szCs w:val="20"/>
                <w:lang w:eastAsia="tr-TR"/>
              </w:rPr>
              <w:t>110,58</w:t>
            </w:r>
          </w:p>
        </w:tc>
      </w:tr>
      <w:tr w:rsidR="00EA04CD" w:rsidRPr="00872D7E" w14:paraId="79CD1604" w14:textId="77777777" w:rsidTr="00EA04CD">
        <w:trPr>
          <w:divId w:val="2102480558"/>
          <w:trHeight w:val="227"/>
        </w:trPr>
        <w:tc>
          <w:tcPr>
            <w:tcW w:w="4132" w:type="pct"/>
            <w:tcBorders>
              <w:top w:val="nil"/>
              <w:left w:val="nil"/>
              <w:bottom w:val="nil"/>
              <w:right w:val="nil"/>
            </w:tcBorders>
            <w:shd w:val="clear" w:color="auto" w:fill="auto"/>
            <w:noWrap/>
            <w:vAlign w:val="center"/>
            <w:hideMark/>
          </w:tcPr>
          <w:p w14:paraId="6EF0FE73" w14:textId="77777777" w:rsidR="00EA04CD" w:rsidRPr="00872D7E" w:rsidRDefault="00EA04CD" w:rsidP="00EA04CD">
            <w:pPr>
              <w:rPr>
                <w:color w:val="000000"/>
                <w:szCs w:val="20"/>
                <w:lang w:eastAsia="tr-TR"/>
              </w:rPr>
            </w:pPr>
            <w:r w:rsidRPr="00872D7E">
              <w:rPr>
                <w:color w:val="000000"/>
                <w:szCs w:val="20"/>
                <w:lang w:eastAsia="tr-TR"/>
              </w:rPr>
              <w:t>30 Kasım 2024</w:t>
            </w:r>
          </w:p>
        </w:tc>
        <w:tc>
          <w:tcPr>
            <w:tcW w:w="868" w:type="pct"/>
            <w:tcBorders>
              <w:top w:val="nil"/>
              <w:left w:val="nil"/>
              <w:bottom w:val="nil"/>
              <w:right w:val="nil"/>
            </w:tcBorders>
            <w:shd w:val="clear" w:color="auto" w:fill="auto"/>
            <w:vAlign w:val="bottom"/>
            <w:hideMark/>
          </w:tcPr>
          <w:p w14:paraId="2E5E7C23" w14:textId="77777777" w:rsidR="00EA04CD" w:rsidRPr="00872D7E" w:rsidRDefault="00EA04CD" w:rsidP="00EA04CD">
            <w:pPr>
              <w:jc w:val="right"/>
              <w:rPr>
                <w:color w:val="000000"/>
                <w:szCs w:val="20"/>
                <w:lang w:eastAsia="tr-TR"/>
              </w:rPr>
            </w:pPr>
            <w:r w:rsidRPr="00872D7E">
              <w:rPr>
                <w:color w:val="000000"/>
                <w:szCs w:val="20"/>
                <w:lang w:eastAsia="tr-TR"/>
              </w:rPr>
              <w:t>109,68</w:t>
            </w:r>
          </w:p>
        </w:tc>
      </w:tr>
      <w:tr w:rsidR="00EA04CD" w:rsidRPr="00872D7E" w14:paraId="44F31B09" w14:textId="77777777" w:rsidTr="00EA04CD">
        <w:trPr>
          <w:divId w:val="2102480558"/>
          <w:trHeight w:val="227"/>
        </w:trPr>
        <w:tc>
          <w:tcPr>
            <w:tcW w:w="4132" w:type="pct"/>
            <w:tcBorders>
              <w:top w:val="nil"/>
              <w:left w:val="nil"/>
              <w:bottom w:val="single" w:sz="4" w:space="0" w:color="auto"/>
              <w:right w:val="nil"/>
            </w:tcBorders>
            <w:shd w:val="clear" w:color="auto" w:fill="auto"/>
            <w:noWrap/>
            <w:vAlign w:val="center"/>
            <w:hideMark/>
          </w:tcPr>
          <w:p w14:paraId="4BD28659" w14:textId="77777777" w:rsidR="00EA04CD" w:rsidRPr="00872D7E" w:rsidRDefault="00EA04CD" w:rsidP="00EA04CD">
            <w:pPr>
              <w:rPr>
                <w:color w:val="000000"/>
                <w:szCs w:val="20"/>
                <w:lang w:eastAsia="tr-TR"/>
              </w:rPr>
            </w:pPr>
            <w:r w:rsidRPr="00872D7E">
              <w:rPr>
                <w:color w:val="000000"/>
                <w:szCs w:val="20"/>
                <w:lang w:eastAsia="tr-TR"/>
              </w:rPr>
              <w:t>31 Aralık 2024</w:t>
            </w:r>
          </w:p>
        </w:tc>
        <w:tc>
          <w:tcPr>
            <w:tcW w:w="868" w:type="pct"/>
            <w:tcBorders>
              <w:top w:val="nil"/>
              <w:left w:val="nil"/>
              <w:bottom w:val="single" w:sz="4" w:space="0" w:color="auto"/>
              <w:right w:val="nil"/>
            </w:tcBorders>
            <w:shd w:val="clear" w:color="auto" w:fill="auto"/>
            <w:vAlign w:val="bottom"/>
            <w:hideMark/>
          </w:tcPr>
          <w:p w14:paraId="6678D793" w14:textId="77777777" w:rsidR="00EA04CD" w:rsidRPr="00872D7E" w:rsidRDefault="00EA04CD" w:rsidP="00EA04CD">
            <w:pPr>
              <w:jc w:val="right"/>
              <w:rPr>
                <w:color w:val="000000"/>
                <w:szCs w:val="20"/>
                <w:lang w:eastAsia="tr-TR"/>
              </w:rPr>
            </w:pPr>
            <w:r w:rsidRPr="00872D7E">
              <w:rPr>
                <w:color w:val="000000"/>
                <w:szCs w:val="20"/>
                <w:lang w:eastAsia="tr-TR"/>
              </w:rPr>
              <w:t>127,39</w:t>
            </w:r>
          </w:p>
        </w:tc>
      </w:tr>
      <w:tr w:rsidR="00EA04CD" w:rsidRPr="00872D7E" w14:paraId="1E9B5C27" w14:textId="77777777" w:rsidTr="00EA04CD">
        <w:trPr>
          <w:divId w:val="2102480558"/>
          <w:trHeight w:val="227"/>
        </w:trPr>
        <w:tc>
          <w:tcPr>
            <w:tcW w:w="4132" w:type="pct"/>
            <w:tcBorders>
              <w:top w:val="nil"/>
              <w:left w:val="nil"/>
              <w:bottom w:val="nil"/>
              <w:right w:val="nil"/>
            </w:tcBorders>
            <w:shd w:val="clear" w:color="auto" w:fill="auto"/>
            <w:noWrap/>
            <w:vAlign w:val="center"/>
            <w:hideMark/>
          </w:tcPr>
          <w:p w14:paraId="3D61130B" w14:textId="77777777" w:rsidR="00EA04CD" w:rsidRPr="00872D7E" w:rsidRDefault="00EA04CD" w:rsidP="00EA04CD">
            <w:pPr>
              <w:rPr>
                <w:color w:val="000000"/>
                <w:szCs w:val="20"/>
                <w:lang w:eastAsia="tr-TR"/>
              </w:rPr>
            </w:pPr>
          </w:p>
        </w:tc>
        <w:tc>
          <w:tcPr>
            <w:tcW w:w="868" w:type="pct"/>
            <w:tcBorders>
              <w:top w:val="nil"/>
              <w:left w:val="nil"/>
              <w:bottom w:val="nil"/>
              <w:right w:val="nil"/>
            </w:tcBorders>
            <w:shd w:val="clear" w:color="auto" w:fill="auto"/>
            <w:noWrap/>
            <w:vAlign w:val="center"/>
            <w:hideMark/>
          </w:tcPr>
          <w:p w14:paraId="5024609E" w14:textId="77777777" w:rsidR="00EA04CD" w:rsidRPr="00872D7E" w:rsidRDefault="00EA04CD" w:rsidP="00EA04CD">
            <w:pPr>
              <w:jc w:val="right"/>
              <w:rPr>
                <w:szCs w:val="20"/>
                <w:lang w:eastAsia="tr-TR"/>
              </w:rPr>
            </w:pPr>
          </w:p>
        </w:tc>
      </w:tr>
      <w:tr w:rsidR="00EA04CD" w:rsidRPr="00872D7E" w14:paraId="630689C8" w14:textId="77777777" w:rsidTr="00EA04CD">
        <w:trPr>
          <w:divId w:val="2102480558"/>
          <w:trHeight w:val="227"/>
        </w:trPr>
        <w:tc>
          <w:tcPr>
            <w:tcW w:w="4132" w:type="pct"/>
            <w:tcBorders>
              <w:top w:val="nil"/>
              <w:left w:val="nil"/>
              <w:bottom w:val="single" w:sz="4" w:space="0" w:color="auto"/>
              <w:right w:val="nil"/>
            </w:tcBorders>
            <w:shd w:val="clear" w:color="auto" w:fill="auto"/>
            <w:noWrap/>
            <w:vAlign w:val="center"/>
            <w:hideMark/>
          </w:tcPr>
          <w:p w14:paraId="492AF3F9" w14:textId="77777777" w:rsidR="00EA04CD" w:rsidRPr="00872D7E" w:rsidRDefault="00EA04CD" w:rsidP="00EA04CD">
            <w:pPr>
              <w:rPr>
                <w:b/>
                <w:bCs/>
                <w:color w:val="000000"/>
                <w:szCs w:val="20"/>
                <w:lang w:eastAsia="tr-TR"/>
              </w:rPr>
            </w:pPr>
            <w:r w:rsidRPr="00872D7E">
              <w:rPr>
                <w:b/>
                <w:bCs/>
                <w:color w:val="000000"/>
                <w:szCs w:val="20"/>
                <w:lang w:eastAsia="tr-TR"/>
              </w:rPr>
              <w:t xml:space="preserve">3 Aylık Ortalama </w:t>
            </w:r>
          </w:p>
        </w:tc>
        <w:tc>
          <w:tcPr>
            <w:tcW w:w="868" w:type="pct"/>
            <w:tcBorders>
              <w:top w:val="nil"/>
              <w:left w:val="nil"/>
              <w:bottom w:val="single" w:sz="4" w:space="0" w:color="auto"/>
              <w:right w:val="nil"/>
            </w:tcBorders>
            <w:shd w:val="clear" w:color="auto" w:fill="auto"/>
            <w:vAlign w:val="bottom"/>
            <w:hideMark/>
          </w:tcPr>
          <w:p w14:paraId="0FDE6CF4" w14:textId="77777777" w:rsidR="00EA04CD" w:rsidRPr="00872D7E" w:rsidRDefault="00EA04CD" w:rsidP="00EA04CD">
            <w:pPr>
              <w:jc w:val="right"/>
              <w:rPr>
                <w:b/>
                <w:bCs/>
                <w:color w:val="000000"/>
                <w:szCs w:val="20"/>
                <w:lang w:eastAsia="tr-TR"/>
              </w:rPr>
            </w:pPr>
            <w:r w:rsidRPr="00872D7E">
              <w:rPr>
                <w:b/>
                <w:bCs/>
                <w:color w:val="000000"/>
                <w:szCs w:val="20"/>
                <w:lang w:eastAsia="tr-TR"/>
              </w:rPr>
              <w:t>115,88</w:t>
            </w:r>
          </w:p>
        </w:tc>
      </w:tr>
    </w:tbl>
    <w:p w14:paraId="010A0B43" w14:textId="6E7089AE" w:rsidR="001C2229" w:rsidRPr="00872D7E" w:rsidRDefault="001C2229" w:rsidP="009F6E11">
      <w:pPr>
        <w:widowControl w:val="0"/>
      </w:pPr>
    </w:p>
    <w:tbl>
      <w:tblPr>
        <w:tblW w:w="5000" w:type="pct"/>
        <w:tblCellMar>
          <w:left w:w="70" w:type="dxa"/>
          <w:right w:w="70" w:type="dxa"/>
        </w:tblCellMar>
        <w:tblLook w:val="04A0" w:firstRow="1" w:lastRow="0" w:firstColumn="1" w:lastColumn="0" w:noHBand="0" w:noVBand="1"/>
      </w:tblPr>
      <w:tblGrid>
        <w:gridCol w:w="280"/>
        <w:gridCol w:w="3261"/>
        <w:gridCol w:w="1147"/>
        <w:gridCol w:w="1205"/>
        <w:gridCol w:w="1245"/>
        <w:gridCol w:w="1289"/>
        <w:gridCol w:w="1202"/>
      </w:tblGrid>
      <w:tr w:rsidR="001C2229" w:rsidRPr="00872D7E" w14:paraId="79C36DAC" w14:textId="77777777" w:rsidTr="001460FF">
        <w:trPr>
          <w:divId w:val="166291831"/>
          <w:trHeight w:val="113"/>
        </w:trPr>
        <w:tc>
          <w:tcPr>
            <w:tcW w:w="18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69D8D6" w14:textId="0A232333" w:rsidR="001C2229" w:rsidRPr="00872D7E" w:rsidRDefault="001C2229" w:rsidP="001C2229">
            <w:pPr>
              <w:rPr>
                <w:b/>
                <w:bCs/>
                <w:color w:val="000000"/>
                <w:sz w:val="14"/>
                <w:szCs w:val="14"/>
                <w:lang w:eastAsia="tr-TR"/>
              </w:rPr>
            </w:pPr>
            <w:r w:rsidRPr="00872D7E">
              <w:rPr>
                <w:b/>
                <w:bCs/>
                <w:color w:val="000000"/>
                <w:sz w:val="14"/>
                <w:szCs w:val="14"/>
                <w:lang w:eastAsia="tr-TR"/>
              </w:rPr>
              <w:t>1 Ocak 2024</w:t>
            </w:r>
          </w:p>
        </w:tc>
        <w:tc>
          <w:tcPr>
            <w:tcW w:w="2539" w:type="pct"/>
            <w:gridSpan w:val="4"/>
            <w:tcBorders>
              <w:top w:val="single" w:sz="4" w:space="0" w:color="auto"/>
              <w:left w:val="nil"/>
              <w:bottom w:val="single" w:sz="4" w:space="0" w:color="auto"/>
              <w:right w:val="single" w:sz="4" w:space="0" w:color="auto"/>
            </w:tcBorders>
            <w:shd w:val="clear" w:color="auto" w:fill="auto"/>
            <w:vAlign w:val="bottom"/>
            <w:hideMark/>
          </w:tcPr>
          <w:p w14:paraId="68B0442F" w14:textId="77777777" w:rsidR="001C2229" w:rsidRPr="00872D7E" w:rsidRDefault="001C2229" w:rsidP="001460FF">
            <w:pPr>
              <w:jc w:val="center"/>
              <w:rPr>
                <w:b/>
                <w:bCs/>
                <w:color w:val="000000"/>
                <w:sz w:val="14"/>
                <w:szCs w:val="14"/>
                <w:lang w:eastAsia="tr-TR"/>
              </w:rPr>
            </w:pPr>
            <w:r w:rsidRPr="00872D7E">
              <w:rPr>
                <w:b/>
                <w:bCs/>
                <w:color w:val="000000"/>
                <w:sz w:val="14"/>
                <w:szCs w:val="14"/>
                <w:lang w:eastAsia="tr-TR"/>
              </w:rPr>
              <w:t>Kalan Vadesine Göre, Dikkate Alma Oranı</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D34B2FD" w14:textId="77777777" w:rsidR="001C2229" w:rsidRPr="00872D7E" w:rsidRDefault="001C2229" w:rsidP="001460FF">
            <w:pPr>
              <w:jc w:val="right"/>
              <w:rPr>
                <w:b/>
                <w:bCs/>
                <w:color w:val="000000"/>
                <w:sz w:val="14"/>
                <w:szCs w:val="14"/>
                <w:lang w:eastAsia="tr-TR"/>
              </w:rPr>
            </w:pPr>
            <w:r w:rsidRPr="00872D7E">
              <w:rPr>
                <w:b/>
                <w:bCs/>
                <w:color w:val="000000"/>
                <w:sz w:val="14"/>
                <w:szCs w:val="14"/>
                <w:lang w:eastAsia="tr-TR"/>
              </w:rPr>
              <w:t>Dikkate Alma Oranı Uygulanmış Toplam Tutar</w:t>
            </w:r>
          </w:p>
        </w:tc>
      </w:tr>
      <w:tr w:rsidR="001C2229" w:rsidRPr="00872D7E" w14:paraId="29AEBAF9" w14:textId="77777777" w:rsidTr="001460FF">
        <w:trPr>
          <w:divId w:val="166291831"/>
          <w:trHeight w:val="113"/>
        </w:trPr>
        <w:tc>
          <w:tcPr>
            <w:tcW w:w="1837" w:type="pct"/>
            <w:gridSpan w:val="2"/>
            <w:vMerge/>
            <w:tcBorders>
              <w:top w:val="single" w:sz="4" w:space="0" w:color="auto"/>
              <w:left w:val="single" w:sz="4" w:space="0" w:color="auto"/>
              <w:bottom w:val="single" w:sz="4" w:space="0" w:color="auto"/>
              <w:right w:val="single" w:sz="4" w:space="0" w:color="auto"/>
            </w:tcBorders>
            <w:vAlign w:val="center"/>
            <w:hideMark/>
          </w:tcPr>
          <w:p w14:paraId="5953508D" w14:textId="77777777" w:rsidR="001C2229" w:rsidRPr="00872D7E" w:rsidRDefault="001C2229" w:rsidP="001C2229">
            <w:pPr>
              <w:rPr>
                <w:b/>
                <w:bCs/>
                <w:color w:val="000000"/>
                <w:sz w:val="14"/>
                <w:szCs w:val="14"/>
                <w:lang w:eastAsia="tr-TR"/>
              </w:rPr>
            </w:pPr>
          </w:p>
        </w:tc>
        <w:tc>
          <w:tcPr>
            <w:tcW w:w="2539" w:type="pct"/>
            <w:gridSpan w:val="4"/>
            <w:tcBorders>
              <w:top w:val="single" w:sz="4" w:space="0" w:color="auto"/>
              <w:left w:val="nil"/>
              <w:bottom w:val="single" w:sz="4" w:space="0" w:color="auto"/>
              <w:right w:val="single" w:sz="4" w:space="0" w:color="auto"/>
            </w:tcBorders>
            <w:shd w:val="clear" w:color="auto" w:fill="auto"/>
            <w:vAlign w:val="bottom"/>
            <w:hideMark/>
          </w:tcPr>
          <w:p w14:paraId="6C460ECE" w14:textId="77777777" w:rsidR="001C2229" w:rsidRPr="00872D7E" w:rsidRDefault="001C2229" w:rsidP="001460FF">
            <w:pPr>
              <w:jc w:val="center"/>
              <w:rPr>
                <w:b/>
                <w:bCs/>
                <w:color w:val="000000"/>
                <w:sz w:val="14"/>
                <w:szCs w:val="14"/>
                <w:lang w:eastAsia="tr-TR"/>
              </w:rPr>
            </w:pPr>
            <w:r w:rsidRPr="00872D7E">
              <w:rPr>
                <w:b/>
                <w:bCs/>
                <w:color w:val="000000"/>
                <w:sz w:val="14"/>
                <w:szCs w:val="14"/>
                <w:lang w:eastAsia="tr-TR"/>
              </w:rPr>
              <w:t>Uygulanmamış Tutar</w:t>
            </w:r>
          </w:p>
        </w:tc>
        <w:tc>
          <w:tcPr>
            <w:tcW w:w="625" w:type="pct"/>
            <w:vMerge/>
            <w:tcBorders>
              <w:top w:val="single" w:sz="4" w:space="0" w:color="auto"/>
              <w:left w:val="single" w:sz="4" w:space="0" w:color="auto"/>
              <w:bottom w:val="single" w:sz="4" w:space="0" w:color="auto"/>
              <w:right w:val="single" w:sz="4" w:space="0" w:color="auto"/>
            </w:tcBorders>
            <w:vAlign w:val="bottom"/>
            <w:hideMark/>
          </w:tcPr>
          <w:p w14:paraId="56B2F004" w14:textId="77777777" w:rsidR="001C2229" w:rsidRPr="00872D7E" w:rsidRDefault="001C2229" w:rsidP="001460FF">
            <w:pPr>
              <w:jc w:val="right"/>
              <w:rPr>
                <w:b/>
                <w:bCs/>
                <w:color w:val="000000"/>
                <w:sz w:val="14"/>
                <w:szCs w:val="14"/>
                <w:lang w:eastAsia="tr-TR"/>
              </w:rPr>
            </w:pPr>
          </w:p>
        </w:tc>
      </w:tr>
      <w:tr w:rsidR="001C2229" w:rsidRPr="00872D7E" w14:paraId="79812B41" w14:textId="77777777" w:rsidTr="001460FF">
        <w:trPr>
          <w:divId w:val="166291831"/>
          <w:trHeight w:val="113"/>
        </w:trPr>
        <w:tc>
          <w:tcPr>
            <w:tcW w:w="183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479D0D" w14:textId="77777777" w:rsidR="001C2229" w:rsidRPr="00872D7E" w:rsidRDefault="001C2229" w:rsidP="001C2229">
            <w:pPr>
              <w:rPr>
                <w:b/>
                <w:bCs/>
                <w:color w:val="000000"/>
                <w:sz w:val="14"/>
                <w:szCs w:val="14"/>
                <w:lang w:eastAsia="tr-TR"/>
              </w:rPr>
            </w:pP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960D735" w14:textId="77777777" w:rsidR="001C2229" w:rsidRPr="00872D7E" w:rsidRDefault="001C2229" w:rsidP="001460FF">
            <w:pPr>
              <w:jc w:val="right"/>
              <w:rPr>
                <w:b/>
                <w:bCs/>
                <w:color w:val="000000"/>
                <w:sz w:val="14"/>
                <w:szCs w:val="14"/>
                <w:lang w:eastAsia="tr-TR"/>
              </w:rPr>
            </w:pPr>
            <w:r w:rsidRPr="00872D7E">
              <w:rPr>
                <w:b/>
                <w:bCs/>
                <w:color w:val="000000"/>
                <w:sz w:val="14"/>
                <w:szCs w:val="14"/>
                <w:lang w:eastAsia="tr-TR"/>
              </w:rPr>
              <w:t>Vadesiz</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32D0424" w14:textId="77777777" w:rsidR="001C2229" w:rsidRPr="00872D7E" w:rsidRDefault="001C2229" w:rsidP="001460FF">
            <w:pPr>
              <w:jc w:val="right"/>
              <w:rPr>
                <w:b/>
                <w:bCs/>
                <w:color w:val="000000"/>
                <w:sz w:val="14"/>
                <w:szCs w:val="14"/>
                <w:lang w:eastAsia="tr-TR"/>
              </w:rPr>
            </w:pPr>
            <w:r w:rsidRPr="00872D7E">
              <w:rPr>
                <w:b/>
                <w:bCs/>
                <w:color w:val="000000"/>
                <w:sz w:val="14"/>
                <w:szCs w:val="14"/>
                <w:lang w:eastAsia="tr-TR"/>
              </w:rPr>
              <w:t>6 Aydan Kısa Vadeli</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3104A488" w14:textId="77777777" w:rsidR="001C2229" w:rsidRPr="00872D7E" w:rsidRDefault="001C2229" w:rsidP="001460FF">
            <w:pPr>
              <w:jc w:val="right"/>
              <w:rPr>
                <w:b/>
                <w:bCs/>
                <w:color w:val="000000"/>
                <w:sz w:val="14"/>
                <w:szCs w:val="14"/>
                <w:lang w:eastAsia="tr-TR"/>
              </w:rPr>
            </w:pPr>
            <w:r w:rsidRPr="00872D7E">
              <w:rPr>
                <w:b/>
                <w:bCs/>
                <w:color w:val="000000"/>
                <w:sz w:val="14"/>
                <w:szCs w:val="14"/>
                <w:lang w:eastAsia="tr-TR"/>
              </w:rPr>
              <w:t>6 Ay ile 6 Aydan Uzun 1 Yıldan Kısa Vadeli</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A28CBE0" w14:textId="77777777" w:rsidR="001C2229" w:rsidRPr="00872D7E" w:rsidRDefault="001C2229" w:rsidP="001460FF">
            <w:pPr>
              <w:jc w:val="right"/>
              <w:rPr>
                <w:b/>
                <w:bCs/>
                <w:color w:val="000000"/>
                <w:sz w:val="14"/>
                <w:szCs w:val="14"/>
                <w:lang w:eastAsia="tr-TR"/>
              </w:rPr>
            </w:pPr>
            <w:r w:rsidRPr="00872D7E">
              <w:rPr>
                <w:b/>
                <w:bCs/>
                <w:color w:val="000000"/>
                <w:sz w:val="14"/>
                <w:szCs w:val="14"/>
                <w:lang w:eastAsia="tr-TR"/>
              </w:rPr>
              <w:t>1 Yıl ve 1 Yıldan Uzun Vadeli</w:t>
            </w:r>
          </w:p>
        </w:tc>
        <w:tc>
          <w:tcPr>
            <w:tcW w:w="625" w:type="pct"/>
            <w:vMerge/>
            <w:tcBorders>
              <w:top w:val="single" w:sz="4" w:space="0" w:color="auto"/>
              <w:left w:val="single" w:sz="4" w:space="0" w:color="auto"/>
              <w:bottom w:val="single" w:sz="4" w:space="0" w:color="auto"/>
              <w:right w:val="single" w:sz="4" w:space="0" w:color="auto"/>
            </w:tcBorders>
            <w:vAlign w:val="bottom"/>
            <w:hideMark/>
          </w:tcPr>
          <w:p w14:paraId="2A221B61" w14:textId="77777777" w:rsidR="001C2229" w:rsidRPr="00872D7E" w:rsidRDefault="001C2229" w:rsidP="001460FF">
            <w:pPr>
              <w:jc w:val="right"/>
              <w:rPr>
                <w:b/>
                <w:bCs/>
                <w:color w:val="000000"/>
                <w:sz w:val="14"/>
                <w:szCs w:val="14"/>
                <w:lang w:eastAsia="tr-TR"/>
              </w:rPr>
            </w:pPr>
          </w:p>
        </w:tc>
      </w:tr>
      <w:tr w:rsidR="001C2229" w:rsidRPr="00872D7E" w14:paraId="2F31337C" w14:textId="77777777" w:rsidTr="001460FF">
        <w:trPr>
          <w:divId w:val="166291831"/>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6566B4" w14:textId="77777777" w:rsidR="001C2229" w:rsidRPr="00872D7E" w:rsidRDefault="001C2229" w:rsidP="001C2229">
            <w:pPr>
              <w:rPr>
                <w:b/>
                <w:bCs/>
                <w:color w:val="000000"/>
                <w:sz w:val="14"/>
                <w:szCs w:val="14"/>
                <w:lang w:eastAsia="tr-TR"/>
              </w:rPr>
            </w:pPr>
            <w:r w:rsidRPr="00872D7E">
              <w:rPr>
                <w:b/>
                <w:bCs/>
                <w:color w:val="000000"/>
                <w:sz w:val="14"/>
                <w:szCs w:val="14"/>
                <w:lang w:eastAsia="tr-TR"/>
              </w:rPr>
              <w:t>Mevcut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2C21FE9A" w14:textId="4E44A509" w:rsidR="001C2229" w:rsidRPr="00872D7E" w:rsidRDefault="001C2229" w:rsidP="001460FF">
            <w:pPr>
              <w:jc w:val="right"/>
              <w:rPr>
                <w:color w:val="000000"/>
                <w:sz w:val="14"/>
                <w:szCs w:val="14"/>
                <w:lang w:eastAsia="tr-TR"/>
              </w:rPr>
            </w:pPr>
          </w:p>
        </w:tc>
      </w:tr>
      <w:tr w:rsidR="001C2229" w:rsidRPr="00872D7E" w14:paraId="161B56A5"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90F836" w14:textId="77777777" w:rsidR="001C2229" w:rsidRPr="00872D7E" w:rsidRDefault="001C2229" w:rsidP="001C2229">
            <w:pPr>
              <w:rPr>
                <w:color w:val="000000"/>
                <w:sz w:val="14"/>
                <w:szCs w:val="14"/>
                <w:lang w:eastAsia="tr-TR"/>
              </w:rPr>
            </w:pPr>
            <w:r w:rsidRPr="00872D7E">
              <w:rPr>
                <w:color w:val="000000"/>
                <w:sz w:val="14"/>
                <w:szCs w:val="14"/>
                <w:lang w:eastAsia="tr-TR"/>
              </w:rPr>
              <w:t>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D8EF322" w14:textId="77777777" w:rsidR="001C2229" w:rsidRPr="00872D7E" w:rsidRDefault="001C2229" w:rsidP="001C2229">
            <w:pPr>
              <w:rPr>
                <w:color w:val="000000"/>
                <w:sz w:val="14"/>
                <w:szCs w:val="14"/>
                <w:lang w:eastAsia="tr-TR"/>
              </w:rPr>
            </w:pPr>
            <w:r w:rsidRPr="00872D7E">
              <w:rPr>
                <w:color w:val="000000"/>
                <w:sz w:val="14"/>
                <w:szCs w:val="14"/>
                <w:lang w:eastAsia="tr-TR"/>
              </w:rPr>
              <w:t>Özkaynak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01205B7" w14:textId="77777777" w:rsidR="001C2229" w:rsidRPr="00872D7E" w:rsidRDefault="001C2229" w:rsidP="001460FF">
            <w:pPr>
              <w:jc w:val="right"/>
              <w:rPr>
                <w:color w:val="000000"/>
                <w:sz w:val="14"/>
                <w:szCs w:val="14"/>
                <w:lang w:eastAsia="tr-TR"/>
              </w:rPr>
            </w:pPr>
            <w:r w:rsidRPr="00872D7E">
              <w:rPr>
                <w:color w:val="000000"/>
                <w:sz w:val="14"/>
                <w:szCs w:val="14"/>
                <w:lang w:eastAsia="tr-TR"/>
              </w:rPr>
              <w:t>694.736</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E721753"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9F57676"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8CE6641"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135C033" w14:textId="77777777" w:rsidR="001C2229" w:rsidRPr="00872D7E" w:rsidRDefault="001C2229" w:rsidP="001460FF">
            <w:pPr>
              <w:jc w:val="right"/>
              <w:rPr>
                <w:color w:val="000000"/>
                <w:sz w:val="14"/>
                <w:szCs w:val="14"/>
                <w:lang w:eastAsia="tr-TR"/>
              </w:rPr>
            </w:pPr>
            <w:r w:rsidRPr="00872D7E">
              <w:rPr>
                <w:color w:val="000000"/>
                <w:sz w:val="14"/>
                <w:szCs w:val="14"/>
                <w:lang w:eastAsia="tr-TR"/>
              </w:rPr>
              <w:t>694.736</w:t>
            </w:r>
          </w:p>
        </w:tc>
      </w:tr>
      <w:tr w:rsidR="001C2229" w:rsidRPr="00872D7E" w14:paraId="380D240A"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D7C3EB" w14:textId="77777777" w:rsidR="001C2229" w:rsidRPr="00872D7E" w:rsidRDefault="001C2229" w:rsidP="001C2229">
            <w:pPr>
              <w:rPr>
                <w:color w:val="000000"/>
                <w:sz w:val="14"/>
                <w:szCs w:val="14"/>
                <w:lang w:eastAsia="tr-TR"/>
              </w:rPr>
            </w:pPr>
            <w:r w:rsidRPr="00872D7E">
              <w:rPr>
                <w:color w:val="000000"/>
                <w:sz w:val="14"/>
                <w:szCs w:val="14"/>
                <w:lang w:eastAsia="tr-TR"/>
              </w:rPr>
              <w:t>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D83EF41" w14:textId="77777777" w:rsidR="001C2229" w:rsidRPr="00872D7E" w:rsidRDefault="001C2229" w:rsidP="001C2229">
            <w:pPr>
              <w:rPr>
                <w:color w:val="000000"/>
                <w:sz w:val="14"/>
                <w:szCs w:val="14"/>
                <w:lang w:eastAsia="tr-TR"/>
              </w:rPr>
            </w:pPr>
            <w:r w:rsidRPr="00872D7E">
              <w:rPr>
                <w:color w:val="000000"/>
                <w:sz w:val="14"/>
                <w:szCs w:val="14"/>
                <w:lang w:eastAsia="tr-TR"/>
              </w:rPr>
              <w:t>Ana sermaye ve katkı sermaye</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97E6523" w14:textId="77777777" w:rsidR="001C2229" w:rsidRPr="00872D7E" w:rsidRDefault="001C2229" w:rsidP="001460FF">
            <w:pPr>
              <w:jc w:val="right"/>
              <w:rPr>
                <w:color w:val="000000"/>
                <w:sz w:val="14"/>
                <w:szCs w:val="14"/>
                <w:lang w:eastAsia="tr-TR"/>
              </w:rPr>
            </w:pPr>
            <w:r w:rsidRPr="00872D7E">
              <w:rPr>
                <w:color w:val="000000"/>
                <w:sz w:val="14"/>
                <w:szCs w:val="14"/>
                <w:lang w:eastAsia="tr-TR"/>
              </w:rPr>
              <w:t>572.014</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50FA9EF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39B267B7"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C41B179"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F422834" w14:textId="77777777" w:rsidR="001C2229" w:rsidRPr="00872D7E" w:rsidRDefault="001C2229" w:rsidP="001460FF">
            <w:pPr>
              <w:jc w:val="right"/>
              <w:rPr>
                <w:color w:val="000000"/>
                <w:sz w:val="14"/>
                <w:szCs w:val="14"/>
                <w:lang w:eastAsia="tr-TR"/>
              </w:rPr>
            </w:pPr>
            <w:r w:rsidRPr="00872D7E">
              <w:rPr>
                <w:color w:val="000000"/>
                <w:sz w:val="14"/>
                <w:szCs w:val="14"/>
                <w:lang w:eastAsia="tr-TR"/>
              </w:rPr>
              <w:t>572.014</w:t>
            </w:r>
          </w:p>
        </w:tc>
      </w:tr>
      <w:tr w:rsidR="001C2229" w:rsidRPr="00872D7E" w14:paraId="3C689021"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2C629B" w14:textId="77777777" w:rsidR="001C2229" w:rsidRPr="00872D7E" w:rsidRDefault="001C2229" w:rsidP="001C2229">
            <w:pPr>
              <w:rPr>
                <w:color w:val="000000"/>
                <w:sz w:val="14"/>
                <w:szCs w:val="14"/>
                <w:lang w:eastAsia="tr-TR"/>
              </w:rPr>
            </w:pPr>
            <w:r w:rsidRPr="00872D7E">
              <w:rPr>
                <w:color w:val="000000"/>
                <w:sz w:val="14"/>
                <w:szCs w:val="14"/>
                <w:lang w:eastAsia="tr-TR"/>
              </w:rPr>
              <w:t>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0CFBF62" w14:textId="77777777" w:rsidR="001C2229" w:rsidRPr="00872D7E" w:rsidRDefault="001C2229" w:rsidP="001C2229">
            <w:pPr>
              <w:rPr>
                <w:color w:val="000000"/>
                <w:sz w:val="14"/>
                <w:szCs w:val="14"/>
                <w:lang w:eastAsia="tr-TR"/>
              </w:rPr>
            </w:pPr>
            <w:r w:rsidRPr="00872D7E">
              <w:rPr>
                <w:color w:val="000000"/>
                <w:sz w:val="14"/>
                <w:szCs w:val="14"/>
                <w:lang w:eastAsia="tr-TR"/>
              </w:rPr>
              <w:t>Diğer özkaynak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CEDDBCE" w14:textId="77777777" w:rsidR="001C2229" w:rsidRPr="00872D7E" w:rsidRDefault="001C2229" w:rsidP="001460FF">
            <w:pPr>
              <w:jc w:val="right"/>
              <w:rPr>
                <w:color w:val="000000"/>
                <w:sz w:val="14"/>
                <w:szCs w:val="14"/>
                <w:lang w:eastAsia="tr-TR"/>
              </w:rPr>
            </w:pPr>
            <w:r w:rsidRPr="00872D7E">
              <w:rPr>
                <w:color w:val="000000"/>
                <w:sz w:val="14"/>
                <w:szCs w:val="14"/>
                <w:lang w:eastAsia="tr-TR"/>
              </w:rPr>
              <w:t>122.722</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C16596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071CAD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88094CB"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7D90A2F" w14:textId="77777777" w:rsidR="001C2229" w:rsidRPr="00872D7E" w:rsidRDefault="001C2229" w:rsidP="001460FF">
            <w:pPr>
              <w:jc w:val="right"/>
              <w:rPr>
                <w:color w:val="000000"/>
                <w:sz w:val="14"/>
                <w:szCs w:val="14"/>
                <w:lang w:eastAsia="tr-TR"/>
              </w:rPr>
            </w:pPr>
            <w:r w:rsidRPr="00872D7E">
              <w:rPr>
                <w:color w:val="000000"/>
                <w:sz w:val="14"/>
                <w:szCs w:val="14"/>
                <w:lang w:eastAsia="tr-TR"/>
              </w:rPr>
              <w:t>122.722</w:t>
            </w:r>
          </w:p>
        </w:tc>
      </w:tr>
      <w:tr w:rsidR="001C2229" w:rsidRPr="00872D7E" w14:paraId="047B60E4"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6E20C7" w14:textId="77777777" w:rsidR="001C2229" w:rsidRPr="00872D7E" w:rsidRDefault="001C2229" w:rsidP="001C2229">
            <w:pPr>
              <w:rPr>
                <w:color w:val="000000"/>
                <w:sz w:val="14"/>
                <w:szCs w:val="14"/>
                <w:lang w:eastAsia="tr-TR"/>
              </w:rPr>
            </w:pPr>
            <w:r w:rsidRPr="00872D7E">
              <w:rPr>
                <w:color w:val="000000"/>
                <w:sz w:val="14"/>
                <w:szCs w:val="14"/>
                <w:lang w:eastAsia="tr-TR"/>
              </w:rPr>
              <w:t>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5EC1D27" w14:textId="77777777" w:rsidR="001C2229" w:rsidRPr="00872D7E" w:rsidRDefault="001C2229" w:rsidP="001C2229">
            <w:pPr>
              <w:rPr>
                <w:color w:val="000000"/>
                <w:sz w:val="14"/>
                <w:szCs w:val="14"/>
                <w:lang w:eastAsia="tr-TR"/>
              </w:rPr>
            </w:pPr>
            <w:r w:rsidRPr="00872D7E">
              <w:rPr>
                <w:color w:val="000000"/>
                <w:sz w:val="14"/>
                <w:szCs w:val="14"/>
                <w:lang w:eastAsia="tr-TR"/>
              </w:rPr>
              <w:t>Gerçek kişi ve perakende müşteri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E27371C"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17A141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362D947"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23667EA"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C3D3DD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1A7CD95A"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40CC65" w14:textId="77777777" w:rsidR="001C2229" w:rsidRPr="00872D7E" w:rsidRDefault="001C2229" w:rsidP="001C2229">
            <w:pPr>
              <w:rPr>
                <w:color w:val="000000"/>
                <w:sz w:val="14"/>
                <w:szCs w:val="14"/>
                <w:lang w:eastAsia="tr-TR"/>
              </w:rPr>
            </w:pPr>
            <w:r w:rsidRPr="00872D7E">
              <w:rPr>
                <w:color w:val="000000"/>
                <w:sz w:val="14"/>
                <w:szCs w:val="14"/>
                <w:lang w:eastAsia="tr-TR"/>
              </w:rPr>
              <w:t>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CEDEFB2" w14:textId="77777777" w:rsidR="001C2229" w:rsidRPr="00872D7E" w:rsidRDefault="001C2229" w:rsidP="001C2229">
            <w:pPr>
              <w:rPr>
                <w:color w:val="000000"/>
                <w:sz w:val="14"/>
                <w:szCs w:val="14"/>
                <w:lang w:eastAsia="tr-TR"/>
              </w:rPr>
            </w:pPr>
            <w:r w:rsidRPr="00872D7E">
              <w:rPr>
                <w:color w:val="000000"/>
                <w:sz w:val="14"/>
                <w:szCs w:val="14"/>
                <w:lang w:eastAsia="tr-TR"/>
              </w:rPr>
              <w:t>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F115190"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672C93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C9F37C0"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32A8DA1"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2881AE6"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66CEE1C8"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AB0579" w14:textId="77777777" w:rsidR="001C2229" w:rsidRPr="00872D7E" w:rsidRDefault="001C2229" w:rsidP="001C2229">
            <w:pPr>
              <w:rPr>
                <w:color w:val="000000"/>
                <w:sz w:val="14"/>
                <w:szCs w:val="14"/>
                <w:lang w:eastAsia="tr-TR"/>
              </w:rPr>
            </w:pPr>
            <w:r w:rsidRPr="00872D7E">
              <w:rPr>
                <w:color w:val="000000"/>
                <w:sz w:val="14"/>
                <w:szCs w:val="14"/>
                <w:lang w:eastAsia="tr-TR"/>
              </w:rPr>
              <w:t>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5FDBA24" w14:textId="77777777" w:rsidR="001C2229" w:rsidRPr="00872D7E" w:rsidRDefault="001C2229" w:rsidP="001C2229">
            <w:pPr>
              <w:rPr>
                <w:color w:val="000000"/>
                <w:sz w:val="14"/>
                <w:szCs w:val="14"/>
                <w:lang w:eastAsia="tr-TR"/>
              </w:rPr>
            </w:pPr>
            <w:r w:rsidRPr="00872D7E">
              <w:rPr>
                <w:color w:val="000000"/>
                <w:sz w:val="14"/>
                <w:szCs w:val="14"/>
                <w:lang w:eastAsia="tr-TR"/>
              </w:rPr>
              <w:t>Düşük 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1DABFFB"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003F646"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30B9918"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EFD1A5C"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EE94A29"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5E354BD4"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B89C29" w14:textId="77777777" w:rsidR="001C2229" w:rsidRPr="00872D7E" w:rsidRDefault="001C2229" w:rsidP="001C2229">
            <w:pPr>
              <w:rPr>
                <w:color w:val="000000"/>
                <w:sz w:val="14"/>
                <w:szCs w:val="14"/>
                <w:lang w:eastAsia="tr-TR"/>
              </w:rPr>
            </w:pPr>
            <w:r w:rsidRPr="00872D7E">
              <w:rPr>
                <w:color w:val="000000"/>
                <w:sz w:val="14"/>
                <w:szCs w:val="14"/>
                <w:lang w:eastAsia="tr-TR"/>
              </w:rPr>
              <w:t>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A4B96F4" w14:textId="77777777" w:rsidR="001C2229" w:rsidRPr="00872D7E" w:rsidRDefault="001C2229" w:rsidP="001C2229">
            <w:pPr>
              <w:rPr>
                <w:color w:val="000000"/>
                <w:sz w:val="14"/>
                <w:szCs w:val="14"/>
                <w:lang w:eastAsia="tr-TR"/>
              </w:rPr>
            </w:pPr>
            <w:r w:rsidRPr="00872D7E">
              <w:rPr>
                <w:color w:val="000000"/>
                <w:sz w:val="14"/>
                <w:szCs w:val="14"/>
                <w:lang w:eastAsia="tr-TR"/>
              </w:rPr>
              <w:t xml:space="preserve">Diğer kişilere borçlar </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0EAE21D"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DF13359"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94BBBBD"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96E3CC5"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51E15C1"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1FF57111"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ADF21" w14:textId="77777777" w:rsidR="001C2229" w:rsidRPr="00872D7E" w:rsidRDefault="001C2229" w:rsidP="001C2229">
            <w:pPr>
              <w:rPr>
                <w:color w:val="000000"/>
                <w:sz w:val="14"/>
                <w:szCs w:val="14"/>
                <w:lang w:eastAsia="tr-TR"/>
              </w:rPr>
            </w:pPr>
            <w:r w:rsidRPr="00872D7E">
              <w:rPr>
                <w:color w:val="000000"/>
                <w:sz w:val="14"/>
                <w:szCs w:val="14"/>
                <w:lang w:eastAsia="tr-TR"/>
              </w:rPr>
              <w:t>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F3ECA08" w14:textId="77777777" w:rsidR="001C2229" w:rsidRPr="00872D7E" w:rsidRDefault="001C2229" w:rsidP="001C2229">
            <w:pPr>
              <w:rPr>
                <w:color w:val="000000"/>
                <w:sz w:val="14"/>
                <w:szCs w:val="14"/>
                <w:lang w:eastAsia="tr-TR"/>
              </w:rPr>
            </w:pPr>
            <w:r w:rsidRPr="00872D7E">
              <w:rPr>
                <w:color w:val="000000"/>
                <w:sz w:val="14"/>
                <w:szCs w:val="14"/>
                <w:lang w:eastAsia="tr-TR"/>
              </w:rPr>
              <w:t>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6D974F8"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5F68FC53"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9A4D8C3"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41C9E2A"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8EC6541"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188168BA"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FF55CB" w14:textId="77777777" w:rsidR="001C2229" w:rsidRPr="00872D7E" w:rsidRDefault="001C2229" w:rsidP="001C2229">
            <w:pPr>
              <w:rPr>
                <w:color w:val="000000"/>
                <w:sz w:val="14"/>
                <w:szCs w:val="14"/>
                <w:lang w:eastAsia="tr-TR"/>
              </w:rPr>
            </w:pPr>
            <w:r w:rsidRPr="00872D7E">
              <w:rPr>
                <w:color w:val="000000"/>
                <w:sz w:val="14"/>
                <w:szCs w:val="14"/>
                <w:lang w:eastAsia="tr-TR"/>
              </w:rPr>
              <w:t>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F8B2490" w14:textId="77777777" w:rsidR="001C2229" w:rsidRPr="00872D7E" w:rsidRDefault="001C2229" w:rsidP="001C2229">
            <w:pPr>
              <w:rPr>
                <w:color w:val="000000"/>
                <w:sz w:val="14"/>
                <w:szCs w:val="14"/>
                <w:lang w:eastAsia="tr-TR"/>
              </w:rPr>
            </w:pPr>
            <w:r w:rsidRPr="00872D7E">
              <w:rPr>
                <w:color w:val="000000"/>
                <w:sz w:val="14"/>
                <w:szCs w:val="14"/>
                <w:lang w:eastAsia="tr-TR"/>
              </w:rPr>
              <w:t>Diğer borçlar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8067DA8"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C0F6B9A"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69FB70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83E7233"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EAFC765"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6ABD2964"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9B64CA" w14:textId="77777777" w:rsidR="001C2229" w:rsidRPr="00872D7E" w:rsidRDefault="001C2229" w:rsidP="001C2229">
            <w:pPr>
              <w:rPr>
                <w:color w:val="000000"/>
                <w:sz w:val="14"/>
                <w:szCs w:val="14"/>
                <w:lang w:eastAsia="tr-TR"/>
              </w:rPr>
            </w:pPr>
            <w:r w:rsidRPr="00872D7E">
              <w:rPr>
                <w:color w:val="000000"/>
                <w:sz w:val="14"/>
                <w:szCs w:val="14"/>
                <w:lang w:eastAsia="tr-TR"/>
              </w:rPr>
              <w:t>10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F765C38" w14:textId="77777777" w:rsidR="001C2229" w:rsidRPr="00872D7E" w:rsidRDefault="001C2229" w:rsidP="001C2229">
            <w:pPr>
              <w:rPr>
                <w:color w:val="000000"/>
                <w:sz w:val="14"/>
                <w:szCs w:val="14"/>
                <w:lang w:eastAsia="tr-TR"/>
              </w:rPr>
            </w:pPr>
            <w:r w:rsidRPr="00872D7E">
              <w:rPr>
                <w:color w:val="000000"/>
                <w:sz w:val="14"/>
                <w:szCs w:val="14"/>
                <w:lang w:eastAsia="tr-TR"/>
              </w:rPr>
              <w:t xml:space="preserve">Birbirlerine bağlı varlıklara eşdeğer yükümlülükler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5ABCAB15" w14:textId="3A7C2A54" w:rsidR="001C2229" w:rsidRPr="00872D7E" w:rsidRDefault="001C2229" w:rsidP="001460FF">
            <w:pPr>
              <w:jc w:val="right"/>
              <w:rPr>
                <w:color w:val="000000"/>
                <w:sz w:val="14"/>
                <w:szCs w:val="14"/>
                <w:lang w:eastAsia="tr-TR"/>
              </w:rPr>
            </w:pP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12FC1D32" w14:textId="4870AD1C" w:rsidR="001C2229" w:rsidRPr="00872D7E" w:rsidRDefault="001C2229" w:rsidP="001460FF">
            <w:pPr>
              <w:jc w:val="right"/>
              <w:rPr>
                <w:color w:val="000000"/>
                <w:sz w:val="14"/>
                <w:szCs w:val="14"/>
                <w:lang w:eastAsia="tr-TR"/>
              </w:rPr>
            </w:pP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6CF8D576" w14:textId="25ADE7C9" w:rsidR="001C2229" w:rsidRPr="00872D7E" w:rsidRDefault="001C2229" w:rsidP="001460FF">
            <w:pPr>
              <w:jc w:val="right"/>
              <w:rPr>
                <w:color w:val="000000"/>
                <w:sz w:val="14"/>
                <w:szCs w:val="14"/>
                <w:lang w:eastAsia="tr-TR"/>
              </w:rPr>
            </w:pP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212208F4" w14:textId="1BA1D0FB" w:rsidR="001C2229" w:rsidRPr="00872D7E" w:rsidRDefault="001C2229" w:rsidP="001460FF">
            <w:pPr>
              <w:jc w:val="right"/>
              <w:rPr>
                <w:color w:val="000000"/>
                <w:sz w:val="14"/>
                <w:szCs w:val="14"/>
                <w:lang w:eastAsia="tr-TR"/>
              </w:rPr>
            </w:pP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31BE4080" w14:textId="29DAE12F" w:rsidR="001C2229" w:rsidRPr="00872D7E" w:rsidRDefault="001C2229" w:rsidP="001460FF">
            <w:pPr>
              <w:jc w:val="right"/>
              <w:rPr>
                <w:color w:val="000000"/>
                <w:sz w:val="14"/>
                <w:szCs w:val="14"/>
                <w:lang w:eastAsia="tr-TR"/>
              </w:rPr>
            </w:pPr>
          </w:p>
        </w:tc>
      </w:tr>
      <w:tr w:rsidR="001C2229" w:rsidRPr="00872D7E" w14:paraId="257EF0A3"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E9D8B0" w14:textId="77777777" w:rsidR="001C2229" w:rsidRPr="00872D7E" w:rsidRDefault="001C2229" w:rsidP="001C2229">
            <w:pPr>
              <w:rPr>
                <w:color w:val="000000"/>
                <w:sz w:val="14"/>
                <w:szCs w:val="14"/>
                <w:lang w:eastAsia="tr-TR"/>
              </w:rPr>
            </w:pPr>
            <w:r w:rsidRPr="00872D7E">
              <w:rPr>
                <w:color w:val="000000"/>
                <w:sz w:val="14"/>
                <w:szCs w:val="14"/>
                <w:lang w:eastAsia="tr-TR"/>
              </w:rPr>
              <w:t>11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72ABF57" w14:textId="77777777" w:rsidR="001C2229" w:rsidRPr="00872D7E" w:rsidRDefault="001C2229" w:rsidP="001C2229">
            <w:pPr>
              <w:rPr>
                <w:color w:val="000000"/>
                <w:sz w:val="14"/>
                <w:szCs w:val="14"/>
                <w:lang w:eastAsia="tr-TR"/>
              </w:rPr>
            </w:pPr>
            <w:r w:rsidRPr="00872D7E">
              <w:rPr>
                <w:color w:val="000000"/>
                <w:sz w:val="14"/>
                <w:szCs w:val="14"/>
                <w:lang w:eastAsia="tr-TR"/>
              </w:rPr>
              <w:t>Diğer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DFB398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9DBEB55"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4DFE131"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BCEC8F4"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6FFFC4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1905B556"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E26ED1" w14:textId="77777777" w:rsidR="001C2229" w:rsidRPr="00872D7E" w:rsidRDefault="001C2229" w:rsidP="001C2229">
            <w:pPr>
              <w:rPr>
                <w:color w:val="000000"/>
                <w:sz w:val="14"/>
                <w:szCs w:val="14"/>
                <w:lang w:eastAsia="tr-TR"/>
              </w:rPr>
            </w:pPr>
            <w:r w:rsidRPr="00872D7E">
              <w:rPr>
                <w:color w:val="000000"/>
                <w:sz w:val="14"/>
                <w:szCs w:val="14"/>
                <w:lang w:eastAsia="tr-TR"/>
              </w:rPr>
              <w:t>12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6C1F3FC" w14:textId="77777777" w:rsidR="001C2229" w:rsidRPr="00872D7E" w:rsidRDefault="001C2229" w:rsidP="001C2229">
            <w:pPr>
              <w:rPr>
                <w:color w:val="000000"/>
                <w:sz w:val="14"/>
                <w:szCs w:val="14"/>
                <w:lang w:eastAsia="tr-TR"/>
              </w:rPr>
            </w:pPr>
            <w:r w:rsidRPr="00872D7E">
              <w:rPr>
                <w:color w:val="000000"/>
                <w:sz w:val="14"/>
                <w:szCs w:val="14"/>
                <w:lang w:eastAsia="tr-TR"/>
              </w:rPr>
              <w:t>Türev yükümlülükler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9B9DCE5" w14:textId="4CFDA429" w:rsidR="001C2229" w:rsidRPr="00872D7E" w:rsidRDefault="001C2229" w:rsidP="001460FF">
            <w:pPr>
              <w:jc w:val="right"/>
              <w:rPr>
                <w:color w:val="000000"/>
                <w:sz w:val="14"/>
                <w:szCs w:val="14"/>
                <w:lang w:eastAsia="tr-TR"/>
              </w:rPr>
            </w:pP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7A5C0891"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37C1988A" w14:textId="398F9BCD" w:rsidR="001C2229" w:rsidRPr="00872D7E" w:rsidRDefault="001C2229" w:rsidP="001460FF">
            <w:pPr>
              <w:jc w:val="right"/>
              <w:rPr>
                <w:color w:val="000000"/>
                <w:sz w:val="14"/>
                <w:szCs w:val="14"/>
                <w:lang w:eastAsia="tr-TR"/>
              </w:rPr>
            </w:pPr>
          </w:p>
        </w:tc>
      </w:tr>
      <w:tr w:rsidR="001C2229" w:rsidRPr="00872D7E" w14:paraId="65AC20BA"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0A577F" w14:textId="77777777" w:rsidR="001C2229" w:rsidRPr="00872D7E" w:rsidRDefault="001C2229" w:rsidP="001C2229">
            <w:pPr>
              <w:rPr>
                <w:color w:val="000000"/>
                <w:sz w:val="14"/>
                <w:szCs w:val="14"/>
                <w:lang w:eastAsia="tr-TR"/>
              </w:rPr>
            </w:pPr>
            <w:r w:rsidRPr="00872D7E">
              <w:rPr>
                <w:color w:val="000000"/>
                <w:sz w:val="14"/>
                <w:szCs w:val="14"/>
                <w:lang w:eastAsia="tr-TR"/>
              </w:rPr>
              <w:t>13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6CB5FE8" w14:textId="77777777" w:rsidR="001C2229" w:rsidRPr="00872D7E" w:rsidRDefault="001C2229" w:rsidP="001C2229">
            <w:pPr>
              <w:rPr>
                <w:color w:val="000000"/>
                <w:sz w:val="14"/>
                <w:szCs w:val="14"/>
                <w:lang w:eastAsia="tr-TR"/>
              </w:rPr>
            </w:pPr>
            <w:r w:rsidRPr="00872D7E">
              <w:rPr>
                <w:color w:val="000000"/>
                <w:sz w:val="14"/>
                <w:szCs w:val="14"/>
                <w:lang w:eastAsia="tr-TR"/>
              </w:rPr>
              <w:t>Yukarıda yer almayan diğer özkaynak unsurları ve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32B06AB" w14:textId="77777777" w:rsidR="001C2229" w:rsidRPr="00872D7E" w:rsidRDefault="001C2229" w:rsidP="001460FF">
            <w:pPr>
              <w:jc w:val="right"/>
              <w:rPr>
                <w:color w:val="000000"/>
                <w:sz w:val="14"/>
                <w:szCs w:val="14"/>
                <w:lang w:eastAsia="tr-TR"/>
              </w:rPr>
            </w:pPr>
            <w:bookmarkStart w:id="36" w:name="RANGE!O20:S20"/>
            <w:r w:rsidRPr="00872D7E">
              <w:rPr>
                <w:color w:val="000000"/>
                <w:sz w:val="14"/>
                <w:szCs w:val="14"/>
                <w:lang w:eastAsia="tr-TR"/>
              </w:rPr>
              <w:t>-</w:t>
            </w:r>
            <w:bookmarkEnd w:id="36"/>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4ABC197"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C2E6DC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C3781A1"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874D8C0"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2BF185BA"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707DC1" w14:textId="77777777" w:rsidR="001C2229" w:rsidRPr="00872D7E" w:rsidRDefault="001C2229" w:rsidP="001C2229">
            <w:pPr>
              <w:rPr>
                <w:b/>
                <w:bCs/>
                <w:color w:val="000000"/>
                <w:sz w:val="14"/>
                <w:szCs w:val="14"/>
                <w:lang w:eastAsia="tr-TR"/>
              </w:rPr>
            </w:pPr>
            <w:r w:rsidRPr="00872D7E">
              <w:rPr>
                <w:b/>
                <w:bCs/>
                <w:color w:val="000000"/>
                <w:sz w:val="14"/>
                <w:szCs w:val="14"/>
                <w:lang w:eastAsia="tr-TR"/>
              </w:rPr>
              <w:t>14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1950418" w14:textId="77777777" w:rsidR="001C2229" w:rsidRPr="00872D7E" w:rsidRDefault="001C2229" w:rsidP="001C2229">
            <w:pPr>
              <w:rPr>
                <w:b/>
                <w:bCs/>
                <w:color w:val="000000"/>
                <w:sz w:val="14"/>
                <w:szCs w:val="14"/>
                <w:lang w:eastAsia="tr-TR"/>
              </w:rPr>
            </w:pPr>
            <w:r w:rsidRPr="00872D7E">
              <w:rPr>
                <w:b/>
                <w:bCs/>
                <w:color w:val="000000"/>
                <w:sz w:val="14"/>
                <w:szCs w:val="14"/>
                <w:lang w:eastAsia="tr-TR"/>
              </w:rPr>
              <w:t>Mevcut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5CCAE249" w14:textId="5558D852" w:rsidR="001C2229" w:rsidRPr="00872D7E" w:rsidRDefault="001C2229" w:rsidP="001460FF">
            <w:pPr>
              <w:jc w:val="right"/>
              <w:rPr>
                <w:b/>
                <w:bCs/>
                <w:color w:val="000000"/>
                <w:sz w:val="14"/>
                <w:szCs w:val="14"/>
                <w:lang w:eastAsia="tr-TR"/>
              </w:rPr>
            </w:pP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6E57F4FD" w14:textId="4C6F9B41" w:rsidR="001C2229" w:rsidRPr="00872D7E" w:rsidRDefault="001C2229" w:rsidP="001460FF">
            <w:pPr>
              <w:jc w:val="right"/>
              <w:rPr>
                <w:b/>
                <w:bCs/>
                <w:color w:val="000000"/>
                <w:sz w:val="14"/>
                <w:szCs w:val="14"/>
                <w:lang w:eastAsia="tr-TR"/>
              </w:rPr>
            </w:pP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3F5E9262" w14:textId="70A3E1CE" w:rsidR="001C2229" w:rsidRPr="00872D7E" w:rsidRDefault="001C2229" w:rsidP="001460FF">
            <w:pPr>
              <w:jc w:val="right"/>
              <w:rPr>
                <w:b/>
                <w:bCs/>
                <w:color w:val="000000"/>
                <w:sz w:val="14"/>
                <w:szCs w:val="14"/>
                <w:lang w:eastAsia="tr-TR"/>
              </w:rPr>
            </w:pP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2A2298D6" w14:textId="5A1A89D4" w:rsidR="001C2229" w:rsidRPr="00872D7E" w:rsidRDefault="001C2229" w:rsidP="001460FF">
            <w:pPr>
              <w:jc w:val="right"/>
              <w:rPr>
                <w:b/>
                <w:bCs/>
                <w:color w:val="000000"/>
                <w:sz w:val="14"/>
                <w:szCs w:val="14"/>
                <w:lang w:eastAsia="tr-TR"/>
              </w:rPr>
            </w:pP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C4E1E6A" w14:textId="77777777" w:rsidR="001C2229" w:rsidRPr="00872D7E" w:rsidRDefault="001C2229" w:rsidP="001460FF">
            <w:pPr>
              <w:jc w:val="right"/>
              <w:rPr>
                <w:b/>
                <w:bCs/>
                <w:color w:val="000000"/>
                <w:sz w:val="14"/>
                <w:szCs w:val="14"/>
                <w:lang w:eastAsia="tr-TR"/>
              </w:rPr>
            </w:pPr>
            <w:r w:rsidRPr="00872D7E">
              <w:rPr>
                <w:b/>
                <w:bCs/>
                <w:color w:val="000000"/>
                <w:sz w:val="14"/>
                <w:szCs w:val="14"/>
                <w:lang w:eastAsia="tr-TR"/>
              </w:rPr>
              <w:t>694.736</w:t>
            </w:r>
          </w:p>
        </w:tc>
      </w:tr>
      <w:tr w:rsidR="001C2229" w:rsidRPr="00872D7E" w14:paraId="083641F6" w14:textId="77777777" w:rsidTr="001460FF">
        <w:trPr>
          <w:divId w:val="166291831"/>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A3F367" w14:textId="77777777" w:rsidR="001C2229" w:rsidRPr="00872D7E" w:rsidRDefault="001C2229" w:rsidP="001C2229">
            <w:pPr>
              <w:rPr>
                <w:b/>
                <w:bCs/>
                <w:color w:val="000000"/>
                <w:sz w:val="14"/>
                <w:szCs w:val="14"/>
                <w:lang w:eastAsia="tr-TR"/>
              </w:rPr>
            </w:pPr>
            <w:r w:rsidRPr="00872D7E">
              <w:rPr>
                <w:b/>
                <w:bCs/>
                <w:color w:val="000000"/>
                <w:sz w:val="14"/>
                <w:szCs w:val="14"/>
                <w:lang w:eastAsia="tr-TR"/>
              </w:rPr>
              <w:t>Gerekli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0BBDB786" w14:textId="47267CBB" w:rsidR="001C2229" w:rsidRPr="00872D7E" w:rsidRDefault="001C2229" w:rsidP="001460FF">
            <w:pPr>
              <w:jc w:val="right"/>
              <w:rPr>
                <w:color w:val="000000"/>
                <w:sz w:val="14"/>
                <w:szCs w:val="14"/>
                <w:lang w:eastAsia="tr-TR"/>
              </w:rPr>
            </w:pPr>
          </w:p>
        </w:tc>
      </w:tr>
      <w:tr w:rsidR="001C2229" w:rsidRPr="00872D7E" w14:paraId="687B3798"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8D2946" w14:textId="77777777" w:rsidR="001C2229" w:rsidRPr="00872D7E" w:rsidRDefault="001C2229" w:rsidP="001C2229">
            <w:pPr>
              <w:rPr>
                <w:color w:val="000000"/>
                <w:sz w:val="14"/>
                <w:szCs w:val="14"/>
                <w:lang w:eastAsia="tr-TR"/>
              </w:rPr>
            </w:pPr>
            <w:r w:rsidRPr="00872D7E">
              <w:rPr>
                <w:color w:val="000000"/>
                <w:sz w:val="14"/>
                <w:szCs w:val="14"/>
                <w:lang w:eastAsia="tr-TR"/>
              </w:rPr>
              <w:t>15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6753107" w14:textId="77777777" w:rsidR="001C2229" w:rsidRPr="00872D7E" w:rsidRDefault="001C2229" w:rsidP="001C2229">
            <w:pPr>
              <w:rPr>
                <w:color w:val="000000"/>
                <w:sz w:val="14"/>
                <w:szCs w:val="14"/>
                <w:lang w:eastAsia="tr-TR"/>
              </w:rPr>
            </w:pPr>
            <w:r w:rsidRPr="00872D7E">
              <w:rPr>
                <w:color w:val="000000"/>
                <w:sz w:val="14"/>
                <w:szCs w:val="14"/>
                <w:lang w:eastAsia="tr-TR"/>
              </w:rPr>
              <w:t xml:space="preserve">Yüksek kaliteli likit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68E6C823" w14:textId="2A8BEF4C" w:rsidR="001C2229" w:rsidRPr="00872D7E" w:rsidRDefault="001C2229" w:rsidP="001460FF">
            <w:pPr>
              <w:jc w:val="right"/>
              <w:rPr>
                <w:color w:val="000000"/>
                <w:sz w:val="14"/>
                <w:szCs w:val="14"/>
                <w:lang w:eastAsia="tr-TR"/>
              </w:rPr>
            </w:pP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7898C472" w14:textId="5567F686" w:rsidR="001C2229" w:rsidRPr="00872D7E" w:rsidRDefault="001C2229" w:rsidP="001460FF">
            <w:pPr>
              <w:jc w:val="right"/>
              <w:rPr>
                <w:color w:val="000000"/>
                <w:sz w:val="14"/>
                <w:szCs w:val="14"/>
                <w:lang w:eastAsia="tr-TR"/>
              </w:rPr>
            </w:pP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17B55289" w14:textId="10694A33" w:rsidR="001C2229" w:rsidRPr="00872D7E" w:rsidRDefault="001C2229" w:rsidP="001460FF">
            <w:pPr>
              <w:jc w:val="right"/>
              <w:rPr>
                <w:color w:val="000000"/>
                <w:sz w:val="14"/>
                <w:szCs w:val="14"/>
                <w:lang w:eastAsia="tr-TR"/>
              </w:rPr>
            </w:pP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222C14D5" w14:textId="32504000" w:rsidR="001C2229" w:rsidRPr="00872D7E" w:rsidRDefault="001C2229" w:rsidP="001460FF">
            <w:pPr>
              <w:jc w:val="right"/>
              <w:rPr>
                <w:color w:val="000000"/>
                <w:sz w:val="14"/>
                <w:szCs w:val="14"/>
                <w:lang w:eastAsia="tr-TR"/>
              </w:rPr>
            </w:pP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027F8A9"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29CF6FD4"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10B801" w14:textId="77777777" w:rsidR="001C2229" w:rsidRPr="00872D7E" w:rsidRDefault="001C2229" w:rsidP="001C2229">
            <w:pPr>
              <w:rPr>
                <w:color w:val="000000"/>
                <w:sz w:val="14"/>
                <w:szCs w:val="14"/>
                <w:lang w:eastAsia="tr-TR"/>
              </w:rPr>
            </w:pPr>
            <w:r w:rsidRPr="00872D7E">
              <w:rPr>
                <w:color w:val="000000"/>
                <w:sz w:val="14"/>
                <w:szCs w:val="14"/>
                <w:lang w:eastAsia="tr-TR"/>
              </w:rPr>
              <w:t>16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E6FECE2" w14:textId="77777777" w:rsidR="001C2229" w:rsidRPr="00872D7E" w:rsidRDefault="001C2229" w:rsidP="001C2229">
            <w:pPr>
              <w:rPr>
                <w:color w:val="000000"/>
                <w:sz w:val="14"/>
                <w:szCs w:val="14"/>
                <w:lang w:eastAsia="tr-TR"/>
              </w:rPr>
            </w:pPr>
            <w:r w:rsidRPr="00872D7E">
              <w:rPr>
                <w:color w:val="000000"/>
                <w:sz w:val="14"/>
                <w:szCs w:val="14"/>
                <w:lang w:eastAsia="tr-TR"/>
              </w:rPr>
              <w:t>Kredi kuruluşları veya finansal kuruluşlara depo edilen 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6DF70D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4F9DB87"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0678C94"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F88EEF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3456F66"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47356BD2"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01CE57" w14:textId="77777777" w:rsidR="001C2229" w:rsidRPr="00872D7E" w:rsidRDefault="001C2229" w:rsidP="001C2229">
            <w:pPr>
              <w:rPr>
                <w:color w:val="000000"/>
                <w:sz w:val="14"/>
                <w:szCs w:val="14"/>
                <w:lang w:eastAsia="tr-TR"/>
              </w:rPr>
            </w:pPr>
            <w:r w:rsidRPr="00872D7E">
              <w:rPr>
                <w:color w:val="000000"/>
                <w:sz w:val="14"/>
                <w:szCs w:val="14"/>
                <w:lang w:eastAsia="tr-TR"/>
              </w:rPr>
              <w:t>17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E55AD88" w14:textId="77777777" w:rsidR="001C2229" w:rsidRPr="00872D7E" w:rsidRDefault="001C2229" w:rsidP="001C2229">
            <w:pPr>
              <w:rPr>
                <w:color w:val="000000"/>
                <w:sz w:val="14"/>
                <w:szCs w:val="14"/>
                <w:lang w:eastAsia="tr-TR"/>
              </w:rPr>
            </w:pPr>
            <w:r w:rsidRPr="00872D7E">
              <w:rPr>
                <w:color w:val="000000"/>
                <w:sz w:val="14"/>
                <w:szCs w:val="14"/>
                <w:lang w:eastAsia="tr-TR"/>
              </w:rPr>
              <w:t>Canlı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7EF10A7" w14:textId="77777777" w:rsidR="001C2229" w:rsidRPr="00872D7E" w:rsidRDefault="001C2229" w:rsidP="001460FF">
            <w:pPr>
              <w:jc w:val="right"/>
              <w:rPr>
                <w:color w:val="000000"/>
                <w:sz w:val="14"/>
                <w:szCs w:val="14"/>
                <w:lang w:eastAsia="tr-TR"/>
              </w:rPr>
            </w:pPr>
            <w:r w:rsidRPr="00872D7E">
              <w:rPr>
                <w:color w:val="000000"/>
                <w:sz w:val="14"/>
                <w:szCs w:val="14"/>
                <w:lang w:eastAsia="tr-TR"/>
              </w:rPr>
              <w:t>2.226.860</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95E8CC4"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B4B1A96"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B47CF1A"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CE0CD6C" w14:textId="77777777" w:rsidR="001C2229" w:rsidRPr="00872D7E" w:rsidRDefault="001C2229" w:rsidP="001460FF">
            <w:pPr>
              <w:jc w:val="right"/>
              <w:rPr>
                <w:color w:val="000000"/>
                <w:sz w:val="14"/>
                <w:szCs w:val="14"/>
                <w:lang w:eastAsia="tr-TR"/>
              </w:rPr>
            </w:pPr>
            <w:r w:rsidRPr="00872D7E">
              <w:rPr>
                <w:color w:val="000000"/>
                <w:sz w:val="14"/>
                <w:szCs w:val="14"/>
                <w:lang w:eastAsia="tr-TR"/>
              </w:rPr>
              <w:t>5.567</w:t>
            </w:r>
          </w:p>
        </w:tc>
      </w:tr>
      <w:tr w:rsidR="001C2229" w:rsidRPr="00872D7E" w14:paraId="1E46006C"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762AFB" w14:textId="77777777" w:rsidR="001C2229" w:rsidRPr="00872D7E" w:rsidRDefault="001C2229" w:rsidP="001C2229">
            <w:pPr>
              <w:rPr>
                <w:color w:val="000000"/>
                <w:sz w:val="14"/>
                <w:szCs w:val="14"/>
                <w:lang w:eastAsia="tr-TR"/>
              </w:rPr>
            </w:pPr>
            <w:r w:rsidRPr="00872D7E">
              <w:rPr>
                <w:color w:val="000000"/>
                <w:sz w:val="14"/>
                <w:szCs w:val="14"/>
                <w:lang w:eastAsia="tr-TR"/>
              </w:rPr>
              <w:t>18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B5BDB44" w14:textId="77777777" w:rsidR="001C2229" w:rsidRPr="00872D7E" w:rsidRDefault="001C2229" w:rsidP="001C2229">
            <w:pPr>
              <w:rPr>
                <w:color w:val="000000"/>
                <w:sz w:val="14"/>
                <w:szCs w:val="14"/>
                <w:lang w:eastAsia="tr-TR"/>
              </w:rPr>
            </w:pPr>
            <w:r w:rsidRPr="00872D7E">
              <w:rPr>
                <w:color w:val="000000"/>
                <w:sz w:val="14"/>
                <w:szCs w:val="14"/>
                <w:lang w:eastAsia="tr-TR"/>
              </w:rPr>
              <w:t>Teminatı birinci kalite likit varlık olan, kredi kuruluşları veya finansal kuruluşlardan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DF791C0"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D9F489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2B1B561"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6883E3B"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3C817C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6D996A2E"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AE6C1" w14:textId="77777777" w:rsidR="001C2229" w:rsidRPr="00872D7E" w:rsidRDefault="001C2229" w:rsidP="001C2229">
            <w:pPr>
              <w:rPr>
                <w:color w:val="000000"/>
                <w:sz w:val="14"/>
                <w:szCs w:val="14"/>
                <w:lang w:eastAsia="tr-TR"/>
              </w:rPr>
            </w:pPr>
            <w:r w:rsidRPr="00872D7E">
              <w:rPr>
                <w:color w:val="000000"/>
                <w:sz w:val="14"/>
                <w:szCs w:val="14"/>
                <w:lang w:eastAsia="tr-TR"/>
              </w:rPr>
              <w:t>19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1C36ACE" w14:textId="77777777" w:rsidR="001C2229" w:rsidRPr="00872D7E" w:rsidRDefault="001C2229" w:rsidP="001C2229">
            <w:pPr>
              <w:rPr>
                <w:color w:val="000000"/>
                <w:sz w:val="14"/>
                <w:szCs w:val="14"/>
                <w:lang w:eastAsia="tr-TR"/>
              </w:rPr>
            </w:pPr>
            <w:r w:rsidRPr="00872D7E">
              <w:rPr>
                <w:color w:val="000000"/>
                <w:sz w:val="14"/>
                <w:szCs w:val="14"/>
                <w:lang w:eastAsia="tr-TR"/>
              </w:rPr>
              <w:t>Kredi kuruluşları veya finansal kuruluşlardan teminatsız veya teminatı birinci kalite likit varlık olmayan teminatlı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0E541DF" w14:textId="77777777" w:rsidR="001C2229" w:rsidRPr="00872D7E" w:rsidRDefault="001C2229" w:rsidP="001460FF">
            <w:pPr>
              <w:jc w:val="right"/>
              <w:rPr>
                <w:color w:val="000000"/>
                <w:sz w:val="14"/>
                <w:szCs w:val="14"/>
                <w:lang w:eastAsia="tr-TR"/>
              </w:rPr>
            </w:pPr>
            <w:r w:rsidRPr="00872D7E">
              <w:rPr>
                <w:color w:val="000000"/>
                <w:sz w:val="14"/>
                <w:szCs w:val="14"/>
                <w:lang w:eastAsia="tr-TR"/>
              </w:rPr>
              <w:t>2.226.860</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661CC41A"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89C0D35"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5B39C73"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685945D" w14:textId="77777777" w:rsidR="001C2229" w:rsidRPr="00872D7E" w:rsidRDefault="001C2229" w:rsidP="001460FF">
            <w:pPr>
              <w:jc w:val="right"/>
              <w:rPr>
                <w:color w:val="000000"/>
                <w:sz w:val="14"/>
                <w:szCs w:val="14"/>
                <w:lang w:eastAsia="tr-TR"/>
              </w:rPr>
            </w:pPr>
            <w:r w:rsidRPr="00872D7E">
              <w:rPr>
                <w:color w:val="000000"/>
                <w:sz w:val="14"/>
                <w:szCs w:val="14"/>
                <w:lang w:eastAsia="tr-TR"/>
              </w:rPr>
              <w:t>5.567</w:t>
            </w:r>
          </w:p>
        </w:tc>
      </w:tr>
      <w:tr w:rsidR="001C2229" w:rsidRPr="00872D7E" w14:paraId="7F2BFFD4"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8B61F8" w14:textId="77777777" w:rsidR="001C2229" w:rsidRPr="00872D7E" w:rsidRDefault="001C2229" w:rsidP="001C2229">
            <w:pPr>
              <w:rPr>
                <w:color w:val="000000"/>
                <w:sz w:val="14"/>
                <w:szCs w:val="14"/>
                <w:lang w:eastAsia="tr-TR"/>
              </w:rPr>
            </w:pPr>
            <w:r w:rsidRPr="00872D7E">
              <w:rPr>
                <w:color w:val="000000"/>
                <w:sz w:val="14"/>
                <w:szCs w:val="14"/>
                <w:lang w:eastAsia="tr-TR"/>
              </w:rPr>
              <w:t>20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B3A394A" w14:textId="77777777" w:rsidR="001C2229" w:rsidRPr="00872D7E" w:rsidRDefault="001C2229" w:rsidP="001C2229">
            <w:pPr>
              <w:rPr>
                <w:color w:val="000000"/>
                <w:sz w:val="14"/>
                <w:szCs w:val="14"/>
                <w:lang w:eastAsia="tr-TR"/>
              </w:rPr>
            </w:pPr>
            <w:r w:rsidRPr="00872D7E">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3B4AFB1"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5C4CAA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39A04396"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44DAB2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2ACEDC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52A75E33"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025BDB" w14:textId="77777777" w:rsidR="001C2229" w:rsidRPr="00872D7E" w:rsidRDefault="001C2229" w:rsidP="001C2229">
            <w:pPr>
              <w:rPr>
                <w:color w:val="000000"/>
                <w:sz w:val="14"/>
                <w:szCs w:val="14"/>
                <w:lang w:eastAsia="tr-TR"/>
              </w:rPr>
            </w:pPr>
            <w:r w:rsidRPr="00872D7E">
              <w:rPr>
                <w:color w:val="000000"/>
                <w:sz w:val="14"/>
                <w:szCs w:val="14"/>
                <w:lang w:eastAsia="tr-TR"/>
              </w:rPr>
              <w:t>21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38AB381" w14:textId="77777777" w:rsidR="001C2229" w:rsidRPr="00872D7E" w:rsidRDefault="001C2229" w:rsidP="001C2229">
            <w:pPr>
              <w:rPr>
                <w:i/>
                <w:iCs/>
                <w:color w:val="000000"/>
                <w:sz w:val="14"/>
                <w:szCs w:val="14"/>
                <w:lang w:eastAsia="tr-TR"/>
              </w:rPr>
            </w:pPr>
            <w:r w:rsidRPr="00872D7E">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B15389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82A2705"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427BD03"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38AFFE5"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687CBE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15B6DD04"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D5A45D" w14:textId="77777777" w:rsidR="001C2229" w:rsidRPr="00872D7E" w:rsidRDefault="001C2229" w:rsidP="001C2229">
            <w:pPr>
              <w:rPr>
                <w:color w:val="000000"/>
                <w:sz w:val="14"/>
                <w:szCs w:val="14"/>
                <w:lang w:eastAsia="tr-TR"/>
              </w:rPr>
            </w:pPr>
            <w:r w:rsidRPr="00872D7E">
              <w:rPr>
                <w:color w:val="000000"/>
                <w:sz w:val="14"/>
                <w:szCs w:val="14"/>
                <w:lang w:eastAsia="tr-TR"/>
              </w:rPr>
              <w:t>22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40F7BD3" w14:textId="77777777" w:rsidR="001C2229" w:rsidRPr="00872D7E" w:rsidRDefault="001C2229" w:rsidP="001C2229">
            <w:pPr>
              <w:rPr>
                <w:color w:val="000000"/>
                <w:sz w:val="14"/>
                <w:szCs w:val="14"/>
                <w:lang w:eastAsia="tr-TR"/>
              </w:rPr>
            </w:pPr>
            <w:r w:rsidRPr="00872D7E">
              <w:rPr>
                <w:color w:val="000000"/>
                <w:sz w:val="14"/>
                <w:szCs w:val="14"/>
                <w:lang w:eastAsia="tr-TR"/>
              </w:rPr>
              <w:t>İkamet amaçlı gayrimenkul ipoteği ile teminatlandırılan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10E00D4"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142A12E"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42E2538"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956C870"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1542FB5"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337591CB"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49A704" w14:textId="77777777" w:rsidR="001C2229" w:rsidRPr="00872D7E" w:rsidRDefault="001C2229" w:rsidP="001C2229">
            <w:pPr>
              <w:rPr>
                <w:color w:val="000000"/>
                <w:sz w:val="14"/>
                <w:szCs w:val="14"/>
                <w:lang w:eastAsia="tr-TR"/>
              </w:rPr>
            </w:pPr>
            <w:r w:rsidRPr="00872D7E">
              <w:rPr>
                <w:color w:val="000000"/>
                <w:sz w:val="14"/>
                <w:szCs w:val="14"/>
                <w:lang w:eastAsia="tr-TR"/>
              </w:rPr>
              <w:t>23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B990B26" w14:textId="77777777" w:rsidR="001C2229" w:rsidRPr="00872D7E" w:rsidRDefault="001C2229" w:rsidP="001C2229">
            <w:pPr>
              <w:rPr>
                <w:i/>
                <w:iCs/>
                <w:color w:val="000000"/>
                <w:sz w:val="14"/>
                <w:szCs w:val="14"/>
                <w:lang w:eastAsia="tr-TR"/>
              </w:rPr>
            </w:pPr>
            <w:r w:rsidRPr="00872D7E">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94D85F7"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E1905BC"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30FDCF32"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4027919"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DEC75F2"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224828C8"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6DA29" w14:textId="77777777" w:rsidR="001C2229" w:rsidRPr="00872D7E" w:rsidRDefault="001C2229" w:rsidP="001C2229">
            <w:pPr>
              <w:rPr>
                <w:color w:val="000000"/>
                <w:sz w:val="14"/>
                <w:szCs w:val="14"/>
                <w:lang w:eastAsia="tr-TR"/>
              </w:rPr>
            </w:pPr>
            <w:r w:rsidRPr="00872D7E">
              <w:rPr>
                <w:color w:val="000000"/>
                <w:sz w:val="14"/>
                <w:szCs w:val="14"/>
                <w:lang w:eastAsia="tr-TR"/>
              </w:rPr>
              <w:t>24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4CC2053" w14:textId="77777777" w:rsidR="001C2229" w:rsidRPr="00872D7E" w:rsidRDefault="001C2229" w:rsidP="001C2229">
            <w:pPr>
              <w:rPr>
                <w:color w:val="000000"/>
                <w:sz w:val="14"/>
                <w:szCs w:val="14"/>
                <w:lang w:eastAsia="tr-TR"/>
              </w:rPr>
            </w:pPr>
            <w:r w:rsidRPr="00872D7E">
              <w:rPr>
                <w:color w:val="000000"/>
                <w:sz w:val="14"/>
                <w:szCs w:val="14"/>
                <w:lang w:eastAsia="tr-TR"/>
              </w:rPr>
              <w:t>Yüksek kaliteli likit varlık niteliğini haiz olmayan, borsada işlem gören hisse senetleri ile borçlanma araçları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600EA4A"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C29066D"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CE872DD"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C8B7E5F"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E7BE68A"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13B05720"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5142D1" w14:textId="77777777" w:rsidR="001C2229" w:rsidRPr="00872D7E" w:rsidRDefault="001C2229" w:rsidP="001C2229">
            <w:pPr>
              <w:rPr>
                <w:color w:val="000000"/>
                <w:sz w:val="14"/>
                <w:szCs w:val="14"/>
                <w:lang w:eastAsia="tr-TR"/>
              </w:rPr>
            </w:pPr>
            <w:r w:rsidRPr="00872D7E">
              <w:rPr>
                <w:color w:val="000000"/>
                <w:sz w:val="14"/>
                <w:szCs w:val="14"/>
                <w:lang w:eastAsia="tr-TR"/>
              </w:rPr>
              <w:t>25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97D34AD" w14:textId="77777777" w:rsidR="001C2229" w:rsidRPr="00872D7E" w:rsidRDefault="001C2229" w:rsidP="001C2229">
            <w:pPr>
              <w:rPr>
                <w:color w:val="000000"/>
                <w:sz w:val="14"/>
                <w:szCs w:val="14"/>
                <w:lang w:eastAsia="tr-TR"/>
              </w:rPr>
            </w:pPr>
            <w:r w:rsidRPr="00872D7E">
              <w:rPr>
                <w:color w:val="000000"/>
                <w:sz w:val="14"/>
                <w:szCs w:val="14"/>
                <w:lang w:eastAsia="tr-TR"/>
              </w:rPr>
              <w:t xml:space="preserve">Birbirlerine bağlı yükümlülüklere eşdeğer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35AA824" w14:textId="4BB3FFB0" w:rsidR="001C2229" w:rsidRPr="00872D7E" w:rsidRDefault="001C2229" w:rsidP="001460FF">
            <w:pPr>
              <w:jc w:val="right"/>
              <w:rPr>
                <w:color w:val="000000"/>
                <w:sz w:val="14"/>
                <w:szCs w:val="14"/>
                <w:lang w:eastAsia="tr-TR"/>
              </w:rPr>
            </w:pP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37F13802" w14:textId="5364EBE9" w:rsidR="001C2229" w:rsidRPr="00872D7E" w:rsidRDefault="001C2229" w:rsidP="001460FF">
            <w:pPr>
              <w:jc w:val="right"/>
              <w:rPr>
                <w:color w:val="000000"/>
                <w:sz w:val="14"/>
                <w:szCs w:val="14"/>
                <w:lang w:eastAsia="tr-TR"/>
              </w:rPr>
            </w:pP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3BFE70C8" w14:textId="61BB35D7" w:rsidR="001C2229" w:rsidRPr="00872D7E" w:rsidRDefault="001C2229" w:rsidP="001460FF">
            <w:pPr>
              <w:jc w:val="right"/>
              <w:rPr>
                <w:color w:val="000000"/>
                <w:sz w:val="14"/>
                <w:szCs w:val="14"/>
                <w:lang w:eastAsia="tr-TR"/>
              </w:rPr>
            </w:pP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2B396A25" w14:textId="660D5E08" w:rsidR="001C2229" w:rsidRPr="00872D7E" w:rsidRDefault="001C2229" w:rsidP="001460FF">
            <w:pPr>
              <w:jc w:val="right"/>
              <w:rPr>
                <w:color w:val="000000"/>
                <w:sz w:val="14"/>
                <w:szCs w:val="14"/>
                <w:lang w:eastAsia="tr-TR"/>
              </w:rPr>
            </w:pP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54A9DDD7" w14:textId="29DD4C73" w:rsidR="001C2229" w:rsidRPr="00872D7E" w:rsidRDefault="001C2229" w:rsidP="001460FF">
            <w:pPr>
              <w:jc w:val="right"/>
              <w:rPr>
                <w:color w:val="000000"/>
                <w:sz w:val="14"/>
                <w:szCs w:val="14"/>
                <w:lang w:eastAsia="tr-TR"/>
              </w:rPr>
            </w:pPr>
          </w:p>
        </w:tc>
      </w:tr>
      <w:tr w:rsidR="001C2229" w:rsidRPr="00872D7E" w14:paraId="3F1CE4D2"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0B2E2E" w14:textId="77777777" w:rsidR="001C2229" w:rsidRPr="00872D7E" w:rsidRDefault="001C2229" w:rsidP="001C2229">
            <w:pPr>
              <w:rPr>
                <w:color w:val="000000"/>
                <w:sz w:val="14"/>
                <w:szCs w:val="14"/>
                <w:lang w:eastAsia="tr-TR"/>
              </w:rPr>
            </w:pPr>
            <w:r w:rsidRPr="00872D7E">
              <w:rPr>
                <w:color w:val="000000"/>
                <w:sz w:val="14"/>
                <w:szCs w:val="14"/>
                <w:lang w:eastAsia="tr-TR"/>
              </w:rPr>
              <w:t>26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AF78676" w14:textId="77777777" w:rsidR="001C2229" w:rsidRPr="00872D7E" w:rsidRDefault="001C2229" w:rsidP="001C2229">
            <w:pPr>
              <w:rPr>
                <w:color w:val="000000"/>
                <w:sz w:val="14"/>
                <w:szCs w:val="14"/>
                <w:lang w:eastAsia="tr-TR"/>
              </w:rPr>
            </w:pPr>
            <w:r w:rsidRPr="00872D7E">
              <w:rPr>
                <w:color w:val="000000"/>
                <w:sz w:val="14"/>
                <w:szCs w:val="14"/>
                <w:lang w:eastAsia="tr-TR"/>
              </w:rPr>
              <w:t>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4EE1823" w14:textId="77777777" w:rsidR="001C2229" w:rsidRPr="00872D7E" w:rsidRDefault="001C2229" w:rsidP="001460FF">
            <w:pPr>
              <w:jc w:val="right"/>
              <w:rPr>
                <w:color w:val="000000"/>
                <w:sz w:val="14"/>
                <w:szCs w:val="14"/>
                <w:lang w:eastAsia="tr-TR"/>
              </w:rPr>
            </w:pPr>
            <w:r w:rsidRPr="00872D7E">
              <w:rPr>
                <w:color w:val="000000"/>
                <w:sz w:val="14"/>
                <w:szCs w:val="14"/>
                <w:lang w:eastAsia="tr-TR"/>
              </w:rPr>
              <w:t>3.099.287</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5D20C430"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D135E99"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B20E267" w14:textId="77777777" w:rsidR="001C2229" w:rsidRPr="00872D7E" w:rsidRDefault="001C2229" w:rsidP="001460FF">
            <w:pPr>
              <w:jc w:val="right"/>
              <w:rPr>
                <w:color w:val="000000"/>
                <w:sz w:val="14"/>
                <w:szCs w:val="14"/>
                <w:lang w:eastAsia="tr-TR"/>
              </w:rPr>
            </w:pPr>
            <w:r w:rsidRPr="00872D7E">
              <w:rPr>
                <w:color w:val="000000"/>
                <w:sz w:val="14"/>
                <w:szCs w:val="14"/>
                <w:lang w:eastAsia="tr-TR"/>
              </w:rPr>
              <w:t>108.940</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79A8CEB" w14:textId="77777777" w:rsidR="001C2229" w:rsidRPr="00872D7E" w:rsidRDefault="001C2229" w:rsidP="001460FF">
            <w:pPr>
              <w:jc w:val="right"/>
              <w:rPr>
                <w:color w:val="000000"/>
                <w:sz w:val="14"/>
                <w:szCs w:val="14"/>
                <w:lang w:eastAsia="tr-TR"/>
              </w:rPr>
            </w:pPr>
            <w:r w:rsidRPr="00872D7E">
              <w:rPr>
                <w:color w:val="000000"/>
                <w:sz w:val="14"/>
                <w:szCs w:val="14"/>
                <w:lang w:eastAsia="tr-TR"/>
              </w:rPr>
              <w:t>197.657</w:t>
            </w:r>
          </w:p>
        </w:tc>
      </w:tr>
      <w:tr w:rsidR="001C2229" w:rsidRPr="00872D7E" w14:paraId="6082FA07"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8310C6" w14:textId="77777777" w:rsidR="001C2229" w:rsidRPr="00872D7E" w:rsidRDefault="001C2229" w:rsidP="001C2229">
            <w:pPr>
              <w:rPr>
                <w:color w:val="000000"/>
                <w:sz w:val="14"/>
                <w:szCs w:val="14"/>
                <w:lang w:eastAsia="tr-TR"/>
              </w:rPr>
            </w:pPr>
            <w:r w:rsidRPr="00872D7E">
              <w:rPr>
                <w:color w:val="000000"/>
                <w:sz w:val="14"/>
                <w:szCs w:val="14"/>
                <w:lang w:eastAsia="tr-TR"/>
              </w:rPr>
              <w:t>27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9275686" w14:textId="77777777" w:rsidR="001C2229" w:rsidRPr="00872D7E" w:rsidRDefault="001C2229" w:rsidP="001C2229">
            <w:pPr>
              <w:rPr>
                <w:color w:val="000000"/>
                <w:sz w:val="14"/>
                <w:szCs w:val="14"/>
                <w:lang w:eastAsia="tr-TR"/>
              </w:rPr>
            </w:pPr>
            <w:r w:rsidRPr="00872D7E">
              <w:rPr>
                <w:color w:val="000000"/>
                <w:sz w:val="14"/>
                <w:szCs w:val="14"/>
                <w:lang w:eastAsia="tr-TR"/>
              </w:rPr>
              <w:t>Altın dahil fiziki teslimatlı emtia</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52EF6F2"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35C47875" w14:textId="29CA8EB4" w:rsidR="001C2229" w:rsidRPr="00872D7E" w:rsidRDefault="001C2229" w:rsidP="001460FF">
            <w:pPr>
              <w:jc w:val="right"/>
              <w:rPr>
                <w:color w:val="000000"/>
                <w:sz w:val="14"/>
                <w:szCs w:val="14"/>
                <w:lang w:eastAsia="tr-TR"/>
              </w:rPr>
            </w:pP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4D4DF27A" w14:textId="5AD14856" w:rsidR="001C2229" w:rsidRPr="00872D7E" w:rsidRDefault="001C2229" w:rsidP="001460FF">
            <w:pPr>
              <w:jc w:val="right"/>
              <w:rPr>
                <w:color w:val="000000"/>
                <w:sz w:val="14"/>
                <w:szCs w:val="14"/>
                <w:lang w:eastAsia="tr-TR"/>
              </w:rPr>
            </w:pP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425C0138" w14:textId="29D0E6E2" w:rsidR="001C2229" w:rsidRPr="00872D7E" w:rsidRDefault="001C2229" w:rsidP="001460FF">
            <w:pPr>
              <w:jc w:val="right"/>
              <w:rPr>
                <w:color w:val="000000"/>
                <w:sz w:val="14"/>
                <w:szCs w:val="14"/>
                <w:lang w:eastAsia="tr-TR"/>
              </w:rPr>
            </w:pP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EA7A572"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229EDAE6"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BEC2CD" w14:textId="77777777" w:rsidR="001C2229" w:rsidRPr="00872D7E" w:rsidRDefault="001C2229" w:rsidP="001C2229">
            <w:pPr>
              <w:rPr>
                <w:color w:val="000000"/>
                <w:sz w:val="14"/>
                <w:szCs w:val="14"/>
                <w:lang w:eastAsia="tr-TR"/>
              </w:rPr>
            </w:pPr>
            <w:r w:rsidRPr="00872D7E">
              <w:rPr>
                <w:color w:val="000000"/>
                <w:sz w:val="14"/>
                <w:szCs w:val="14"/>
                <w:lang w:eastAsia="tr-TR"/>
              </w:rPr>
              <w:t>28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043E74D" w14:textId="77777777" w:rsidR="001C2229" w:rsidRPr="00872D7E" w:rsidRDefault="001C2229" w:rsidP="001C2229">
            <w:pPr>
              <w:rPr>
                <w:color w:val="000000"/>
                <w:sz w:val="14"/>
                <w:szCs w:val="14"/>
                <w:lang w:eastAsia="tr-TR"/>
              </w:rPr>
            </w:pPr>
            <w:r w:rsidRPr="00872D7E">
              <w:rPr>
                <w:color w:val="000000"/>
                <w:sz w:val="14"/>
                <w:szCs w:val="14"/>
                <w:lang w:eastAsia="tr-TR"/>
              </w:rPr>
              <w:t>Türev sözleşmelerin başlangıç teminatı veya merkezi karşı tarafa verilen garanti fonu</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80D2A9F" w14:textId="4E362532" w:rsidR="001C2229" w:rsidRPr="00872D7E" w:rsidRDefault="001C2229" w:rsidP="001460FF">
            <w:pPr>
              <w:jc w:val="right"/>
              <w:rPr>
                <w:color w:val="000000"/>
                <w:sz w:val="14"/>
                <w:szCs w:val="14"/>
                <w:lang w:eastAsia="tr-TR"/>
              </w:rPr>
            </w:pP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3C28F1B3"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9CD4363"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366B17B9"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406A4B" w14:textId="77777777" w:rsidR="001C2229" w:rsidRPr="00872D7E" w:rsidRDefault="001C2229" w:rsidP="001C2229">
            <w:pPr>
              <w:rPr>
                <w:color w:val="000000"/>
                <w:sz w:val="14"/>
                <w:szCs w:val="14"/>
                <w:lang w:eastAsia="tr-TR"/>
              </w:rPr>
            </w:pPr>
            <w:r w:rsidRPr="00872D7E">
              <w:rPr>
                <w:color w:val="000000"/>
                <w:sz w:val="14"/>
                <w:szCs w:val="14"/>
                <w:lang w:eastAsia="tr-TR"/>
              </w:rPr>
              <w:t>29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93A96B1" w14:textId="77777777" w:rsidR="001C2229" w:rsidRPr="00872D7E" w:rsidRDefault="001C2229" w:rsidP="001C2229">
            <w:pPr>
              <w:rPr>
                <w:color w:val="000000"/>
                <w:sz w:val="14"/>
                <w:szCs w:val="14"/>
                <w:lang w:eastAsia="tr-TR"/>
              </w:rPr>
            </w:pPr>
            <w:r w:rsidRPr="00872D7E">
              <w:rPr>
                <w:color w:val="000000"/>
                <w:sz w:val="14"/>
                <w:szCs w:val="14"/>
                <w:lang w:eastAsia="tr-TR"/>
              </w:rPr>
              <w:t>Türev varlıklar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77B3B6CD" w14:textId="0E3DD8BE" w:rsidR="001C2229" w:rsidRPr="00872D7E" w:rsidRDefault="001C2229" w:rsidP="001460FF">
            <w:pPr>
              <w:jc w:val="right"/>
              <w:rPr>
                <w:color w:val="000000"/>
                <w:sz w:val="14"/>
                <w:szCs w:val="14"/>
                <w:lang w:eastAsia="tr-TR"/>
              </w:rPr>
            </w:pP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4478C0A5"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783629D"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46F6ED7A"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79E342" w14:textId="77777777" w:rsidR="001C2229" w:rsidRPr="00872D7E" w:rsidRDefault="001C2229" w:rsidP="001C2229">
            <w:pPr>
              <w:rPr>
                <w:color w:val="000000"/>
                <w:sz w:val="14"/>
                <w:szCs w:val="14"/>
                <w:lang w:eastAsia="tr-TR"/>
              </w:rPr>
            </w:pPr>
            <w:r w:rsidRPr="00872D7E">
              <w:rPr>
                <w:color w:val="000000"/>
                <w:sz w:val="14"/>
                <w:szCs w:val="14"/>
                <w:lang w:eastAsia="tr-TR"/>
              </w:rPr>
              <w:t>30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01026A7" w14:textId="77777777" w:rsidR="001C2229" w:rsidRPr="00872D7E" w:rsidRDefault="001C2229" w:rsidP="001C2229">
            <w:pPr>
              <w:rPr>
                <w:color w:val="000000"/>
                <w:sz w:val="14"/>
                <w:szCs w:val="14"/>
                <w:lang w:eastAsia="tr-TR"/>
              </w:rPr>
            </w:pPr>
            <w:r w:rsidRPr="00872D7E">
              <w:rPr>
                <w:color w:val="000000"/>
                <w:sz w:val="14"/>
                <w:szCs w:val="14"/>
                <w:lang w:eastAsia="tr-TR"/>
              </w:rPr>
              <w:t>Türev yükümlülüklerin değişim teminatı düşülmeden önceki tutarı</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6A7C00B" w14:textId="75B0A1E0" w:rsidR="001C2229" w:rsidRPr="00872D7E" w:rsidRDefault="001C2229" w:rsidP="001460FF">
            <w:pPr>
              <w:jc w:val="right"/>
              <w:rPr>
                <w:color w:val="000000"/>
                <w:sz w:val="14"/>
                <w:szCs w:val="14"/>
                <w:lang w:eastAsia="tr-TR"/>
              </w:rPr>
            </w:pP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5C7F24B6"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4B0353C"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r>
      <w:tr w:rsidR="001C2229" w:rsidRPr="00872D7E" w14:paraId="08E0BF64"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014162" w14:textId="77777777" w:rsidR="001C2229" w:rsidRPr="00872D7E" w:rsidRDefault="001C2229" w:rsidP="001C2229">
            <w:pPr>
              <w:rPr>
                <w:color w:val="000000"/>
                <w:sz w:val="14"/>
                <w:szCs w:val="14"/>
                <w:lang w:eastAsia="tr-TR"/>
              </w:rPr>
            </w:pPr>
            <w:r w:rsidRPr="00872D7E">
              <w:rPr>
                <w:color w:val="000000"/>
                <w:sz w:val="14"/>
                <w:szCs w:val="14"/>
                <w:lang w:eastAsia="tr-TR"/>
              </w:rPr>
              <w:t>31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D35FAD4" w14:textId="77777777" w:rsidR="001C2229" w:rsidRPr="00872D7E" w:rsidRDefault="001C2229" w:rsidP="001C2229">
            <w:pPr>
              <w:rPr>
                <w:color w:val="000000"/>
                <w:sz w:val="14"/>
                <w:szCs w:val="14"/>
                <w:lang w:eastAsia="tr-TR"/>
              </w:rPr>
            </w:pPr>
            <w:r w:rsidRPr="00872D7E">
              <w:rPr>
                <w:color w:val="000000"/>
                <w:sz w:val="14"/>
                <w:szCs w:val="14"/>
                <w:lang w:eastAsia="tr-TR"/>
              </w:rPr>
              <w:t>Yukarıda yer almayan 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AE499FD" w14:textId="77777777" w:rsidR="001C2229" w:rsidRPr="00872D7E" w:rsidRDefault="001C2229" w:rsidP="001460FF">
            <w:pPr>
              <w:jc w:val="right"/>
              <w:rPr>
                <w:color w:val="000000"/>
                <w:sz w:val="14"/>
                <w:szCs w:val="14"/>
                <w:lang w:eastAsia="tr-TR"/>
              </w:rPr>
            </w:pPr>
            <w:r w:rsidRPr="00872D7E">
              <w:rPr>
                <w:color w:val="000000"/>
                <w:sz w:val="14"/>
                <w:szCs w:val="14"/>
                <w:lang w:eastAsia="tr-TR"/>
              </w:rPr>
              <w:t>3.099.287</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EF46C3B"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1E8EDCC"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FF78733"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60A6C11" w14:textId="77777777" w:rsidR="001C2229" w:rsidRPr="00872D7E" w:rsidRDefault="001C2229" w:rsidP="001460FF">
            <w:pPr>
              <w:jc w:val="right"/>
              <w:rPr>
                <w:color w:val="000000"/>
                <w:sz w:val="14"/>
                <w:szCs w:val="14"/>
                <w:lang w:eastAsia="tr-TR"/>
              </w:rPr>
            </w:pPr>
            <w:r w:rsidRPr="00872D7E">
              <w:rPr>
                <w:color w:val="000000"/>
                <w:sz w:val="14"/>
                <w:szCs w:val="14"/>
                <w:lang w:eastAsia="tr-TR"/>
              </w:rPr>
              <w:t>197.657</w:t>
            </w:r>
          </w:p>
        </w:tc>
      </w:tr>
      <w:tr w:rsidR="001C2229" w:rsidRPr="00872D7E" w14:paraId="7B586DFA"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1B1281" w14:textId="77777777" w:rsidR="001C2229" w:rsidRPr="00872D7E" w:rsidRDefault="001C2229" w:rsidP="001C2229">
            <w:pPr>
              <w:rPr>
                <w:color w:val="000000"/>
                <w:sz w:val="14"/>
                <w:szCs w:val="14"/>
                <w:lang w:eastAsia="tr-TR"/>
              </w:rPr>
            </w:pPr>
            <w:r w:rsidRPr="00872D7E">
              <w:rPr>
                <w:color w:val="000000"/>
                <w:sz w:val="14"/>
                <w:szCs w:val="14"/>
                <w:lang w:eastAsia="tr-TR"/>
              </w:rPr>
              <w:t>32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6A1BB06" w14:textId="77777777" w:rsidR="001C2229" w:rsidRPr="00872D7E" w:rsidRDefault="001C2229" w:rsidP="001C2229">
            <w:pPr>
              <w:rPr>
                <w:color w:val="000000"/>
                <w:sz w:val="14"/>
                <w:szCs w:val="14"/>
                <w:lang w:eastAsia="tr-TR"/>
              </w:rPr>
            </w:pPr>
            <w:r w:rsidRPr="00872D7E">
              <w:rPr>
                <w:color w:val="000000"/>
                <w:sz w:val="14"/>
                <w:szCs w:val="14"/>
                <w:lang w:eastAsia="tr-TR"/>
              </w:rPr>
              <w:t>Bilanço dışı borçlar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590BF0E" w14:textId="143EF8B4" w:rsidR="001C2229" w:rsidRPr="00872D7E" w:rsidRDefault="001C2229" w:rsidP="001460FF">
            <w:pPr>
              <w:jc w:val="right"/>
              <w:rPr>
                <w:color w:val="000000"/>
                <w:sz w:val="14"/>
                <w:szCs w:val="14"/>
                <w:lang w:eastAsia="tr-TR"/>
              </w:rPr>
            </w:pP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CFE48E4"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23F0D46" w14:textId="77777777" w:rsidR="001C2229" w:rsidRPr="00872D7E" w:rsidRDefault="001C2229" w:rsidP="001460FF">
            <w:pPr>
              <w:jc w:val="right"/>
              <w:rPr>
                <w:color w:val="000000"/>
                <w:sz w:val="14"/>
                <w:szCs w:val="14"/>
                <w:lang w:eastAsia="tr-TR"/>
              </w:rPr>
            </w:pPr>
            <w:r w:rsidRPr="00872D7E">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7ED03FC" w14:textId="77777777" w:rsidR="001C2229" w:rsidRPr="00872D7E" w:rsidRDefault="001C2229" w:rsidP="001460FF">
            <w:pPr>
              <w:jc w:val="right"/>
              <w:rPr>
                <w:color w:val="000000"/>
                <w:sz w:val="14"/>
                <w:szCs w:val="14"/>
                <w:lang w:eastAsia="tr-TR"/>
              </w:rPr>
            </w:pPr>
            <w:r w:rsidRPr="00872D7E">
              <w:rPr>
                <w:color w:val="000000"/>
                <w:sz w:val="14"/>
                <w:szCs w:val="14"/>
                <w:lang w:eastAsia="tr-TR"/>
              </w:rPr>
              <w:t>108.940</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ABE8DF2" w14:textId="77777777" w:rsidR="001C2229" w:rsidRPr="00872D7E" w:rsidRDefault="001C2229" w:rsidP="001460FF">
            <w:pPr>
              <w:jc w:val="right"/>
              <w:rPr>
                <w:color w:val="000000"/>
                <w:sz w:val="14"/>
                <w:szCs w:val="14"/>
                <w:lang w:eastAsia="tr-TR"/>
              </w:rPr>
            </w:pPr>
            <w:r w:rsidRPr="00872D7E">
              <w:rPr>
                <w:color w:val="000000"/>
                <w:sz w:val="14"/>
                <w:szCs w:val="14"/>
                <w:lang w:eastAsia="tr-TR"/>
              </w:rPr>
              <w:t>12.272</w:t>
            </w:r>
          </w:p>
        </w:tc>
      </w:tr>
      <w:tr w:rsidR="001C2229" w:rsidRPr="00872D7E" w14:paraId="5887DE35"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8013C6" w14:textId="77777777" w:rsidR="001C2229" w:rsidRPr="00872D7E" w:rsidRDefault="001C2229" w:rsidP="001C2229">
            <w:pPr>
              <w:rPr>
                <w:color w:val="000000"/>
                <w:sz w:val="14"/>
                <w:szCs w:val="14"/>
                <w:lang w:eastAsia="tr-TR"/>
              </w:rPr>
            </w:pPr>
            <w:r w:rsidRPr="00872D7E">
              <w:rPr>
                <w:color w:val="000000"/>
                <w:sz w:val="14"/>
                <w:szCs w:val="14"/>
                <w:lang w:eastAsia="tr-TR"/>
              </w:rPr>
              <w:t>33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E834175" w14:textId="77777777" w:rsidR="001C2229" w:rsidRPr="00872D7E" w:rsidRDefault="001C2229" w:rsidP="001C2229">
            <w:pPr>
              <w:rPr>
                <w:b/>
                <w:bCs/>
                <w:color w:val="000000"/>
                <w:sz w:val="14"/>
                <w:szCs w:val="14"/>
                <w:lang w:eastAsia="tr-TR"/>
              </w:rPr>
            </w:pPr>
            <w:r w:rsidRPr="00872D7E">
              <w:rPr>
                <w:b/>
                <w:bCs/>
                <w:color w:val="000000"/>
                <w:sz w:val="14"/>
                <w:szCs w:val="14"/>
                <w:lang w:eastAsia="tr-TR"/>
              </w:rPr>
              <w:t>Gerekli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C731DFD" w14:textId="4ED7BB46" w:rsidR="001C2229" w:rsidRPr="00872D7E" w:rsidRDefault="001C2229" w:rsidP="001460FF">
            <w:pPr>
              <w:jc w:val="right"/>
              <w:rPr>
                <w:color w:val="000000"/>
                <w:sz w:val="14"/>
                <w:szCs w:val="14"/>
                <w:lang w:eastAsia="tr-TR"/>
              </w:rPr>
            </w:pP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27524FC0" w14:textId="45385AE0" w:rsidR="001C2229" w:rsidRPr="00872D7E" w:rsidRDefault="001C2229" w:rsidP="001460FF">
            <w:pPr>
              <w:jc w:val="right"/>
              <w:rPr>
                <w:color w:val="000000"/>
                <w:sz w:val="14"/>
                <w:szCs w:val="14"/>
                <w:lang w:eastAsia="tr-TR"/>
              </w:rPr>
            </w:pP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1BCA2E40" w14:textId="1E03132D" w:rsidR="001C2229" w:rsidRPr="00872D7E" w:rsidRDefault="001C2229" w:rsidP="001460FF">
            <w:pPr>
              <w:jc w:val="right"/>
              <w:rPr>
                <w:color w:val="000000"/>
                <w:sz w:val="14"/>
                <w:szCs w:val="14"/>
                <w:lang w:eastAsia="tr-TR"/>
              </w:rPr>
            </w:pP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365D1B40" w14:textId="770369FB" w:rsidR="001C2229" w:rsidRPr="00872D7E" w:rsidRDefault="001C2229" w:rsidP="001460FF">
            <w:pPr>
              <w:jc w:val="right"/>
              <w:rPr>
                <w:color w:val="000000"/>
                <w:sz w:val="14"/>
                <w:szCs w:val="14"/>
                <w:lang w:eastAsia="tr-TR"/>
              </w:rPr>
            </w:pP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CEB4376" w14:textId="77777777" w:rsidR="001C2229" w:rsidRPr="00872D7E" w:rsidRDefault="001C2229" w:rsidP="001460FF">
            <w:pPr>
              <w:jc w:val="right"/>
              <w:rPr>
                <w:b/>
                <w:bCs/>
                <w:color w:val="000000"/>
                <w:sz w:val="14"/>
                <w:szCs w:val="14"/>
                <w:lang w:eastAsia="tr-TR"/>
              </w:rPr>
            </w:pPr>
            <w:r w:rsidRPr="00872D7E">
              <w:rPr>
                <w:b/>
                <w:bCs/>
                <w:color w:val="000000"/>
                <w:sz w:val="14"/>
                <w:szCs w:val="14"/>
                <w:lang w:eastAsia="tr-TR"/>
              </w:rPr>
              <w:t>215.496</w:t>
            </w:r>
          </w:p>
        </w:tc>
      </w:tr>
      <w:tr w:rsidR="001C2229" w:rsidRPr="00872D7E" w14:paraId="58F153B9" w14:textId="77777777" w:rsidTr="001460FF">
        <w:trPr>
          <w:divId w:val="166291831"/>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647702" w14:textId="77777777" w:rsidR="001C2229" w:rsidRPr="00872D7E" w:rsidRDefault="001C2229" w:rsidP="001C2229">
            <w:pPr>
              <w:rPr>
                <w:color w:val="000000"/>
                <w:sz w:val="14"/>
                <w:szCs w:val="14"/>
                <w:lang w:eastAsia="tr-TR"/>
              </w:rPr>
            </w:pPr>
            <w:r w:rsidRPr="00872D7E">
              <w:rPr>
                <w:color w:val="000000"/>
                <w:sz w:val="14"/>
                <w:szCs w:val="14"/>
                <w:lang w:eastAsia="tr-TR"/>
              </w:rPr>
              <w:t>34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C368D2C" w14:textId="77777777" w:rsidR="001C2229" w:rsidRPr="00872D7E" w:rsidRDefault="001C2229" w:rsidP="001C2229">
            <w:pPr>
              <w:rPr>
                <w:b/>
                <w:bCs/>
                <w:color w:val="000000"/>
                <w:sz w:val="14"/>
                <w:szCs w:val="14"/>
                <w:vertAlign w:val="superscript"/>
                <w:lang w:eastAsia="tr-TR"/>
              </w:rPr>
            </w:pPr>
            <w:r w:rsidRPr="00872D7E">
              <w:rPr>
                <w:b/>
                <w:bCs/>
                <w:color w:val="000000"/>
                <w:sz w:val="14"/>
                <w:szCs w:val="14"/>
                <w:lang w:eastAsia="tr-TR"/>
              </w:rPr>
              <w:t>Net İstikrarlı Fonlama Oranı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53D2BE27" w14:textId="5905AAB5" w:rsidR="001C2229" w:rsidRPr="00872D7E" w:rsidRDefault="001C2229" w:rsidP="001460FF">
            <w:pPr>
              <w:jc w:val="right"/>
              <w:rPr>
                <w:color w:val="000000"/>
                <w:sz w:val="14"/>
                <w:szCs w:val="14"/>
                <w:lang w:eastAsia="tr-TR"/>
              </w:rPr>
            </w:pP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56D5D108" w14:textId="4972CA94" w:rsidR="001C2229" w:rsidRPr="00872D7E" w:rsidRDefault="001C2229" w:rsidP="001460FF">
            <w:pPr>
              <w:jc w:val="right"/>
              <w:rPr>
                <w:color w:val="000000"/>
                <w:sz w:val="14"/>
                <w:szCs w:val="14"/>
                <w:lang w:eastAsia="tr-TR"/>
              </w:rPr>
            </w:pP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63C10B34" w14:textId="53D26E06" w:rsidR="001C2229" w:rsidRPr="00872D7E" w:rsidRDefault="001C2229" w:rsidP="001460FF">
            <w:pPr>
              <w:jc w:val="right"/>
              <w:rPr>
                <w:color w:val="000000"/>
                <w:sz w:val="14"/>
                <w:szCs w:val="14"/>
                <w:lang w:eastAsia="tr-TR"/>
              </w:rPr>
            </w:pP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7FD7A7EC" w14:textId="4AD3C95A" w:rsidR="001C2229" w:rsidRPr="00872D7E" w:rsidRDefault="001C2229" w:rsidP="001460FF">
            <w:pPr>
              <w:jc w:val="right"/>
              <w:rPr>
                <w:color w:val="000000"/>
                <w:sz w:val="14"/>
                <w:szCs w:val="14"/>
                <w:lang w:eastAsia="tr-TR"/>
              </w:rPr>
            </w:pP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F52075E" w14:textId="77777777" w:rsidR="001C2229" w:rsidRPr="00872D7E" w:rsidRDefault="001C2229" w:rsidP="001460FF">
            <w:pPr>
              <w:jc w:val="right"/>
              <w:rPr>
                <w:b/>
                <w:bCs/>
                <w:color w:val="000000"/>
                <w:sz w:val="14"/>
                <w:szCs w:val="14"/>
                <w:lang w:eastAsia="tr-TR"/>
              </w:rPr>
            </w:pPr>
            <w:r w:rsidRPr="00872D7E">
              <w:rPr>
                <w:b/>
                <w:bCs/>
                <w:color w:val="000000"/>
                <w:sz w:val="14"/>
                <w:szCs w:val="14"/>
                <w:lang w:eastAsia="tr-TR"/>
              </w:rPr>
              <w:t>322,39</w:t>
            </w:r>
          </w:p>
        </w:tc>
      </w:tr>
    </w:tbl>
    <w:p w14:paraId="55ED68B5" w14:textId="02A576C1" w:rsidR="001827F7" w:rsidRPr="00872D7E" w:rsidRDefault="001827F7" w:rsidP="009F6E11">
      <w:pPr>
        <w:widowControl w:val="0"/>
        <w:rPr>
          <w:b/>
          <w:szCs w:val="20"/>
        </w:rPr>
      </w:pPr>
      <w:r w:rsidRPr="00872D7E">
        <w:rPr>
          <w:b/>
          <w:szCs w:val="20"/>
        </w:rPr>
        <w:br w:type="page"/>
      </w:r>
    </w:p>
    <w:p w14:paraId="6AB7470B" w14:textId="77777777" w:rsidR="001827F7" w:rsidRPr="00872D7E" w:rsidRDefault="001827F7" w:rsidP="00B252B3">
      <w:pPr>
        <w:pStyle w:val="BodyTextIndent"/>
        <w:widowControl w:val="0"/>
        <w:spacing w:after="120"/>
        <w:ind w:firstLine="0"/>
        <w:jc w:val="left"/>
        <w:rPr>
          <w:b/>
          <w:szCs w:val="20"/>
        </w:rPr>
      </w:pPr>
      <w:r w:rsidRPr="00872D7E">
        <w:rPr>
          <w:b/>
          <w:szCs w:val="20"/>
        </w:rPr>
        <w:lastRenderedPageBreak/>
        <w:t>MALİ BÜNYEYE VE RİSK YÖNETİMİNE İLİŞKİN BİLGİLER (Devamı)</w:t>
      </w:r>
    </w:p>
    <w:p w14:paraId="2C2D4471" w14:textId="5047431C" w:rsidR="00AA12B1" w:rsidRPr="00872D7E" w:rsidRDefault="00AA12B1" w:rsidP="00AA12B1">
      <w:pPr>
        <w:widowControl w:val="0"/>
        <w:autoSpaceDE w:val="0"/>
        <w:autoSpaceDN w:val="0"/>
        <w:adjustRightInd w:val="0"/>
        <w:ind w:left="851" w:hanging="851"/>
        <w:rPr>
          <w:b/>
          <w:szCs w:val="20"/>
        </w:rPr>
      </w:pPr>
      <w:r w:rsidRPr="00872D7E">
        <w:rPr>
          <w:b/>
          <w:szCs w:val="20"/>
        </w:rPr>
        <w:t>V.</w:t>
      </w:r>
      <w:r w:rsidRPr="00872D7E">
        <w:rPr>
          <w:b/>
          <w:szCs w:val="20"/>
        </w:rPr>
        <w:tab/>
        <w:t>LİKİDİTE RİSKİNE İLİŞKİN AÇIKLAMALAR (Devamı)</w:t>
      </w:r>
    </w:p>
    <w:p w14:paraId="34E84599" w14:textId="77777777" w:rsidR="00AA12B1" w:rsidRPr="00872D7E" w:rsidRDefault="00AA12B1" w:rsidP="00F95068">
      <w:pPr>
        <w:widowControl w:val="0"/>
        <w:rPr>
          <w:szCs w:val="20"/>
        </w:rPr>
      </w:pPr>
    </w:p>
    <w:p w14:paraId="6D8C6A09" w14:textId="5FA76C08" w:rsidR="007D5428" w:rsidRPr="00872D7E" w:rsidRDefault="007D5428" w:rsidP="002D31A9">
      <w:pPr>
        <w:widowControl w:val="0"/>
        <w:ind w:left="851"/>
        <w:rPr>
          <w:b/>
          <w:szCs w:val="20"/>
        </w:rPr>
      </w:pPr>
      <w:r w:rsidRPr="00872D7E">
        <w:rPr>
          <w:szCs w:val="20"/>
        </w:rPr>
        <w:t>2023 yılı son 3 aylık dönemde NİFO gelişimi aşağıdaki tabloda yer almaktadır.</w:t>
      </w:r>
    </w:p>
    <w:p w14:paraId="39FBEF07" w14:textId="45C3C691" w:rsidR="00862A01" w:rsidRPr="00872D7E" w:rsidRDefault="00862A01" w:rsidP="009F6E11">
      <w:pPr>
        <w:widowControl w:val="0"/>
      </w:pPr>
    </w:p>
    <w:tbl>
      <w:tblPr>
        <w:tblW w:w="5000" w:type="pct"/>
        <w:tblCellMar>
          <w:left w:w="70" w:type="dxa"/>
          <w:right w:w="70" w:type="dxa"/>
        </w:tblCellMar>
        <w:tblLook w:val="04A0" w:firstRow="1" w:lastRow="0" w:firstColumn="1" w:lastColumn="0" w:noHBand="0" w:noVBand="1"/>
      </w:tblPr>
      <w:tblGrid>
        <w:gridCol w:w="7966"/>
        <w:gridCol w:w="1673"/>
      </w:tblGrid>
      <w:tr w:rsidR="00862A01" w:rsidRPr="00872D7E" w14:paraId="2592F341" w14:textId="77777777" w:rsidTr="00862A01">
        <w:trPr>
          <w:divId w:val="993530416"/>
          <w:trHeight w:val="227"/>
        </w:trPr>
        <w:tc>
          <w:tcPr>
            <w:tcW w:w="4132" w:type="pct"/>
            <w:tcBorders>
              <w:top w:val="nil"/>
              <w:left w:val="nil"/>
              <w:bottom w:val="single" w:sz="8" w:space="0" w:color="auto"/>
              <w:right w:val="nil"/>
            </w:tcBorders>
            <w:shd w:val="clear" w:color="auto" w:fill="auto"/>
            <w:noWrap/>
            <w:vAlign w:val="center"/>
            <w:hideMark/>
          </w:tcPr>
          <w:p w14:paraId="40F2C974" w14:textId="6754C44F" w:rsidR="00862A01" w:rsidRPr="00872D7E" w:rsidRDefault="00862A01" w:rsidP="00862A01">
            <w:pPr>
              <w:rPr>
                <w:b/>
                <w:bCs/>
                <w:color w:val="000000"/>
                <w:szCs w:val="20"/>
                <w:lang w:eastAsia="tr-TR"/>
              </w:rPr>
            </w:pPr>
            <w:r w:rsidRPr="00872D7E">
              <w:rPr>
                <w:b/>
                <w:bCs/>
                <w:color w:val="000000"/>
                <w:szCs w:val="20"/>
                <w:lang w:eastAsia="tr-TR"/>
              </w:rPr>
              <w:t>1 Ocak 2024 Dönemi</w:t>
            </w:r>
          </w:p>
        </w:tc>
        <w:tc>
          <w:tcPr>
            <w:tcW w:w="868" w:type="pct"/>
            <w:tcBorders>
              <w:top w:val="nil"/>
              <w:left w:val="nil"/>
              <w:bottom w:val="single" w:sz="8" w:space="0" w:color="auto"/>
              <w:right w:val="nil"/>
            </w:tcBorders>
            <w:shd w:val="clear" w:color="auto" w:fill="auto"/>
            <w:noWrap/>
            <w:vAlign w:val="center"/>
            <w:hideMark/>
          </w:tcPr>
          <w:p w14:paraId="3D273E6F" w14:textId="77777777" w:rsidR="00862A01" w:rsidRPr="00872D7E" w:rsidRDefault="00862A01" w:rsidP="00862A01">
            <w:pPr>
              <w:jc w:val="right"/>
              <w:rPr>
                <w:b/>
                <w:bCs/>
                <w:color w:val="000000"/>
                <w:szCs w:val="20"/>
                <w:lang w:eastAsia="tr-TR"/>
              </w:rPr>
            </w:pPr>
            <w:r w:rsidRPr="00872D7E">
              <w:rPr>
                <w:b/>
                <w:bCs/>
                <w:color w:val="000000"/>
                <w:szCs w:val="20"/>
                <w:lang w:eastAsia="tr-TR"/>
              </w:rPr>
              <w:t>Oran</w:t>
            </w:r>
          </w:p>
        </w:tc>
      </w:tr>
      <w:tr w:rsidR="00862A01" w:rsidRPr="00872D7E" w14:paraId="1C08BE13" w14:textId="77777777" w:rsidTr="00862A01">
        <w:trPr>
          <w:divId w:val="993530416"/>
          <w:trHeight w:val="227"/>
        </w:trPr>
        <w:tc>
          <w:tcPr>
            <w:tcW w:w="4132" w:type="pct"/>
            <w:tcBorders>
              <w:top w:val="nil"/>
              <w:left w:val="nil"/>
              <w:bottom w:val="nil"/>
              <w:right w:val="nil"/>
            </w:tcBorders>
            <w:shd w:val="clear" w:color="auto" w:fill="auto"/>
            <w:noWrap/>
            <w:vAlign w:val="center"/>
            <w:hideMark/>
          </w:tcPr>
          <w:p w14:paraId="118AD0AB" w14:textId="77777777" w:rsidR="00862A01" w:rsidRPr="00872D7E" w:rsidRDefault="00862A01" w:rsidP="00862A01">
            <w:pPr>
              <w:rPr>
                <w:b/>
                <w:bCs/>
                <w:color w:val="000000"/>
                <w:szCs w:val="20"/>
                <w:lang w:eastAsia="tr-TR"/>
              </w:rPr>
            </w:pPr>
          </w:p>
        </w:tc>
        <w:tc>
          <w:tcPr>
            <w:tcW w:w="868" w:type="pct"/>
            <w:tcBorders>
              <w:top w:val="nil"/>
              <w:left w:val="nil"/>
              <w:bottom w:val="nil"/>
              <w:right w:val="nil"/>
            </w:tcBorders>
            <w:shd w:val="clear" w:color="auto" w:fill="auto"/>
            <w:noWrap/>
            <w:vAlign w:val="center"/>
            <w:hideMark/>
          </w:tcPr>
          <w:p w14:paraId="1573F19D" w14:textId="77777777" w:rsidR="00862A01" w:rsidRPr="00872D7E" w:rsidRDefault="00862A01" w:rsidP="00862A01">
            <w:pPr>
              <w:jc w:val="right"/>
              <w:rPr>
                <w:szCs w:val="20"/>
                <w:lang w:eastAsia="tr-TR"/>
              </w:rPr>
            </w:pPr>
          </w:p>
        </w:tc>
      </w:tr>
      <w:tr w:rsidR="00862A01" w:rsidRPr="00872D7E" w14:paraId="33A0FF9C" w14:textId="77777777" w:rsidTr="00862A01">
        <w:trPr>
          <w:divId w:val="993530416"/>
          <w:trHeight w:val="227"/>
        </w:trPr>
        <w:tc>
          <w:tcPr>
            <w:tcW w:w="4132" w:type="pct"/>
            <w:tcBorders>
              <w:top w:val="nil"/>
              <w:left w:val="nil"/>
              <w:bottom w:val="nil"/>
              <w:right w:val="nil"/>
            </w:tcBorders>
            <w:shd w:val="clear" w:color="auto" w:fill="auto"/>
            <w:noWrap/>
            <w:vAlign w:val="center"/>
            <w:hideMark/>
          </w:tcPr>
          <w:p w14:paraId="16708E8F" w14:textId="77777777" w:rsidR="00862A01" w:rsidRPr="00872D7E" w:rsidRDefault="00862A01" w:rsidP="00862A01">
            <w:pPr>
              <w:rPr>
                <w:color w:val="000000"/>
                <w:szCs w:val="20"/>
                <w:lang w:eastAsia="tr-TR"/>
              </w:rPr>
            </w:pPr>
            <w:r w:rsidRPr="00872D7E">
              <w:rPr>
                <w:color w:val="000000"/>
                <w:szCs w:val="20"/>
                <w:lang w:eastAsia="tr-TR"/>
              </w:rPr>
              <w:t>31 Ekim 2023</w:t>
            </w:r>
          </w:p>
        </w:tc>
        <w:tc>
          <w:tcPr>
            <w:tcW w:w="868" w:type="pct"/>
            <w:tcBorders>
              <w:top w:val="nil"/>
              <w:left w:val="nil"/>
              <w:bottom w:val="nil"/>
              <w:right w:val="nil"/>
            </w:tcBorders>
            <w:shd w:val="clear" w:color="auto" w:fill="auto"/>
            <w:vAlign w:val="bottom"/>
            <w:hideMark/>
          </w:tcPr>
          <w:p w14:paraId="7719CB81" w14:textId="77777777" w:rsidR="00862A01" w:rsidRPr="00872D7E" w:rsidRDefault="00862A01" w:rsidP="00862A01">
            <w:pPr>
              <w:jc w:val="right"/>
              <w:rPr>
                <w:color w:val="000000"/>
                <w:szCs w:val="20"/>
                <w:lang w:eastAsia="tr-TR"/>
              </w:rPr>
            </w:pPr>
            <w:r w:rsidRPr="00872D7E">
              <w:rPr>
                <w:color w:val="000000"/>
                <w:szCs w:val="20"/>
                <w:lang w:eastAsia="tr-TR"/>
              </w:rPr>
              <w:t>531,25</w:t>
            </w:r>
          </w:p>
        </w:tc>
      </w:tr>
      <w:tr w:rsidR="00862A01" w:rsidRPr="00872D7E" w14:paraId="5E2E345B" w14:textId="77777777" w:rsidTr="00862A01">
        <w:trPr>
          <w:divId w:val="993530416"/>
          <w:trHeight w:val="227"/>
        </w:trPr>
        <w:tc>
          <w:tcPr>
            <w:tcW w:w="4132" w:type="pct"/>
            <w:tcBorders>
              <w:top w:val="nil"/>
              <w:left w:val="nil"/>
              <w:bottom w:val="nil"/>
              <w:right w:val="nil"/>
            </w:tcBorders>
            <w:shd w:val="clear" w:color="auto" w:fill="auto"/>
            <w:noWrap/>
            <w:vAlign w:val="center"/>
            <w:hideMark/>
          </w:tcPr>
          <w:p w14:paraId="427AE54E" w14:textId="77777777" w:rsidR="00862A01" w:rsidRPr="00872D7E" w:rsidRDefault="00862A01" w:rsidP="00862A01">
            <w:pPr>
              <w:rPr>
                <w:color w:val="000000"/>
                <w:szCs w:val="20"/>
                <w:lang w:eastAsia="tr-TR"/>
              </w:rPr>
            </w:pPr>
            <w:r w:rsidRPr="00872D7E">
              <w:rPr>
                <w:color w:val="000000"/>
                <w:szCs w:val="20"/>
                <w:lang w:eastAsia="tr-TR"/>
              </w:rPr>
              <w:t>30 Kasım 2023</w:t>
            </w:r>
          </w:p>
        </w:tc>
        <w:tc>
          <w:tcPr>
            <w:tcW w:w="868" w:type="pct"/>
            <w:tcBorders>
              <w:top w:val="nil"/>
              <w:left w:val="nil"/>
              <w:bottom w:val="nil"/>
              <w:right w:val="nil"/>
            </w:tcBorders>
            <w:shd w:val="clear" w:color="auto" w:fill="auto"/>
            <w:vAlign w:val="bottom"/>
            <w:hideMark/>
          </w:tcPr>
          <w:p w14:paraId="7FBBAECF" w14:textId="77777777" w:rsidR="00862A01" w:rsidRPr="00872D7E" w:rsidRDefault="00862A01" w:rsidP="00862A01">
            <w:pPr>
              <w:jc w:val="right"/>
              <w:rPr>
                <w:color w:val="000000"/>
                <w:szCs w:val="20"/>
                <w:lang w:eastAsia="tr-TR"/>
              </w:rPr>
            </w:pPr>
            <w:r w:rsidRPr="00872D7E">
              <w:rPr>
                <w:color w:val="000000"/>
                <w:szCs w:val="20"/>
                <w:lang w:eastAsia="tr-TR"/>
              </w:rPr>
              <w:t>337,11</w:t>
            </w:r>
          </w:p>
        </w:tc>
      </w:tr>
      <w:tr w:rsidR="00862A01" w:rsidRPr="00872D7E" w14:paraId="4DA2D371" w14:textId="77777777" w:rsidTr="00862A01">
        <w:trPr>
          <w:divId w:val="993530416"/>
          <w:trHeight w:val="227"/>
        </w:trPr>
        <w:tc>
          <w:tcPr>
            <w:tcW w:w="4132" w:type="pct"/>
            <w:tcBorders>
              <w:top w:val="nil"/>
              <w:left w:val="nil"/>
              <w:bottom w:val="single" w:sz="4" w:space="0" w:color="auto"/>
              <w:right w:val="nil"/>
            </w:tcBorders>
            <w:shd w:val="clear" w:color="auto" w:fill="auto"/>
            <w:noWrap/>
            <w:vAlign w:val="center"/>
            <w:hideMark/>
          </w:tcPr>
          <w:p w14:paraId="2D9B7C53" w14:textId="77777777" w:rsidR="00862A01" w:rsidRPr="00872D7E" w:rsidRDefault="00862A01" w:rsidP="00862A01">
            <w:pPr>
              <w:rPr>
                <w:color w:val="000000"/>
                <w:szCs w:val="20"/>
                <w:lang w:eastAsia="tr-TR"/>
              </w:rPr>
            </w:pPr>
            <w:r w:rsidRPr="00872D7E">
              <w:rPr>
                <w:color w:val="000000"/>
                <w:szCs w:val="20"/>
                <w:lang w:eastAsia="tr-TR"/>
              </w:rPr>
              <w:t>31 Aralık 2023</w:t>
            </w:r>
          </w:p>
        </w:tc>
        <w:tc>
          <w:tcPr>
            <w:tcW w:w="868" w:type="pct"/>
            <w:tcBorders>
              <w:top w:val="nil"/>
              <w:left w:val="nil"/>
              <w:bottom w:val="single" w:sz="4" w:space="0" w:color="auto"/>
              <w:right w:val="nil"/>
            </w:tcBorders>
            <w:shd w:val="clear" w:color="auto" w:fill="auto"/>
            <w:vAlign w:val="bottom"/>
            <w:hideMark/>
          </w:tcPr>
          <w:p w14:paraId="40FD39E5" w14:textId="77777777" w:rsidR="00862A01" w:rsidRPr="00872D7E" w:rsidRDefault="00862A01" w:rsidP="00862A01">
            <w:pPr>
              <w:jc w:val="right"/>
              <w:rPr>
                <w:color w:val="000000"/>
                <w:szCs w:val="20"/>
                <w:lang w:eastAsia="tr-TR"/>
              </w:rPr>
            </w:pPr>
            <w:r w:rsidRPr="00872D7E">
              <w:rPr>
                <w:color w:val="000000"/>
                <w:szCs w:val="20"/>
                <w:lang w:eastAsia="tr-TR"/>
              </w:rPr>
              <w:t>322,40</w:t>
            </w:r>
          </w:p>
        </w:tc>
      </w:tr>
      <w:tr w:rsidR="00862A01" w:rsidRPr="00872D7E" w14:paraId="75E539C3" w14:textId="77777777" w:rsidTr="00862A01">
        <w:trPr>
          <w:divId w:val="993530416"/>
          <w:trHeight w:val="227"/>
        </w:trPr>
        <w:tc>
          <w:tcPr>
            <w:tcW w:w="4132" w:type="pct"/>
            <w:tcBorders>
              <w:top w:val="nil"/>
              <w:left w:val="nil"/>
              <w:bottom w:val="nil"/>
              <w:right w:val="nil"/>
            </w:tcBorders>
            <w:shd w:val="clear" w:color="auto" w:fill="auto"/>
            <w:noWrap/>
            <w:vAlign w:val="center"/>
            <w:hideMark/>
          </w:tcPr>
          <w:p w14:paraId="7A967A4D" w14:textId="77777777" w:rsidR="00862A01" w:rsidRPr="00872D7E" w:rsidRDefault="00862A01" w:rsidP="00862A01">
            <w:pPr>
              <w:rPr>
                <w:color w:val="000000"/>
                <w:szCs w:val="20"/>
                <w:lang w:eastAsia="tr-TR"/>
              </w:rPr>
            </w:pPr>
          </w:p>
        </w:tc>
        <w:tc>
          <w:tcPr>
            <w:tcW w:w="868" w:type="pct"/>
            <w:tcBorders>
              <w:top w:val="nil"/>
              <w:left w:val="nil"/>
              <w:bottom w:val="nil"/>
              <w:right w:val="nil"/>
            </w:tcBorders>
            <w:shd w:val="clear" w:color="auto" w:fill="auto"/>
            <w:noWrap/>
            <w:vAlign w:val="center"/>
            <w:hideMark/>
          </w:tcPr>
          <w:p w14:paraId="79DEDD85" w14:textId="77777777" w:rsidR="00862A01" w:rsidRPr="00872D7E" w:rsidRDefault="00862A01" w:rsidP="00862A01">
            <w:pPr>
              <w:jc w:val="right"/>
              <w:rPr>
                <w:szCs w:val="20"/>
                <w:lang w:eastAsia="tr-TR"/>
              </w:rPr>
            </w:pPr>
          </w:p>
        </w:tc>
      </w:tr>
      <w:tr w:rsidR="00862A01" w:rsidRPr="00872D7E" w14:paraId="06E0E91F" w14:textId="77777777" w:rsidTr="00862A01">
        <w:trPr>
          <w:divId w:val="993530416"/>
          <w:trHeight w:val="227"/>
        </w:trPr>
        <w:tc>
          <w:tcPr>
            <w:tcW w:w="4132" w:type="pct"/>
            <w:tcBorders>
              <w:top w:val="nil"/>
              <w:left w:val="nil"/>
              <w:bottom w:val="single" w:sz="4" w:space="0" w:color="auto"/>
              <w:right w:val="nil"/>
            </w:tcBorders>
            <w:shd w:val="clear" w:color="auto" w:fill="auto"/>
            <w:noWrap/>
            <w:vAlign w:val="center"/>
            <w:hideMark/>
          </w:tcPr>
          <w:p w14:paraId="75E5F72E" w14:textId="77777777" w:rsidR="00862A01" w:rsidRPr="00872D7E" w:rsidRDefault="00862A01" w:rsidP="00862A01">
            <w:pPr>
              <w:rPr>
                <w:b/>
                <w:bCs/>
                <w:color w:val="000000"/>
                <w:szCs w:val="20"/>
                <w:lang w:eastAsia="tr-TR"/>
              </w:rPr>
            </w:pPr>
            <w:r w:rsidRPr="00872D7E">
              <w:rPr>
                <w:b/>
                <w:bCs/>
                <w:color w:val="000000"/>
                <w:szCs w:val="20"/>
                <w:lang w:eastAsia="tr-TR"/>
              </w:rPr>
              <w:t>3 Aylık Ortalama</w:t>
            </w:r>
          </w:p>
        </w:tc>
        <w:tc>
          <w:tcPr>
            <w:tcW w:w="868" w:type="pct"/>
            <w:tcBorders>
              <w:top w:val="nil"/>
              <w:left w:val="nil"/>
              <w:bottom w:val="single" w:sz="4" w:space="0" w:color="auto"/>
              <w:right w:val="nil"/>
            </w:tcBorders>
            <w:shd w:val="clear" w:color="auto" w:fill="auto"/>
            <w:vAlign w:val="bottom"/>
            <w:hideMark/>
          </w:tcPr>
          <w:p w14:paraId="12489DF8" w14:textId="77777777" w:rsidR="00862A01" w:rsidRPr="00872D7E" w:rsidRDefault="00862A01" w:rsidP="00862A01">
            <w:pPr>
              <w:jc w:val="right"/>
              <w:rPr>
                <w:b/>
                <w:bCs/>
                <w:color w:val="000000"/>
                <w:szCs w:val="20"/>
                <w:lang w:eastAsia="tr-TR"/>
              </w:rPr>
            </w:pPr>
            <w:r w:rsidRPr="00872D7E">
              <w:rPr>
                <w:b/>
                <w:bCs/>
                <w:color w:val="000000"/>
                <w:szCs w:val="20"/>
                <w:lang w:eastAsia="tr-TR"/>
              </w:rPr>
              <w:t>396,92</w:t>
            </w:r>
          </w:p>
        </w:tc>
      </w:tr>
    </w:tbl>
    <w:p w14:paraId="6A23E680" w14:textId="1109F334" w:rsidR="007D5428" w:rsidRPr="00872D7E" w:rsidRDefault="007D5428" w:rsidP="009F6E11">
      <w:pPr>
        <w:widowControl w:val="0"/>
        <w:rPr>
          <w:b/>
          <w:szCs w:val="20"/>
        </w:rPr>
      </w:pPr>
    </w:p>
    <w:p w14:paraId="592EBD3B" w14:textId="58E66B1A" w:rsidR="0081485D" w:rsidRPr="00872D7E" w:rsidRDefault="00AA12B1" w:rsidP="002D31A9">
      <w:pPr>
        <w:widowControl w:val="0"/>
        <w:autoSpaceDE w:val="0"/>
        <w:autoSpaceDN w:val="0"/>
        <w:adjustRightInd w:val="0"/>
        <w:ind w:left="851" w:hanging="851"/>
        <w:jc w:val="both"/>
        <w:rPr>
          <w:b/>
          <w:szCs w:val="20"/>
        </w:rPr>
      </w:pPr>
      <w:r w:rsidRPr="00872D7E">
        <w:rPr>
          <w:b/>
          <w:szCs w:val="20"/>
        </w:rPr>
        <w:t>VI.</w:t>
      </w:r>
      <w:r w:rsidRPr="00872D7E">
        <w:rPr>
          <w:b/>
          <w:szCs w:val="20"/>
        </w:rPr>
        <w:tab/>
      </w:r>
      <w:r w:rsidR="00F37168" w:rsidRPr="00872D7E">
        <w:rPr>
          <w:b/>
          <w:szCs w:val="20"/>
        </w:rPr>
        <w:t>KALDIRAÇ ORANINA İLİŞKİN AÇIKLAMALAR</w:t>
      </w:r>
    </w:p>
    <w:p w14:paraId="489BB418" w14:textId="77777777" w:rsidR="009B482B" w:rsidRPr="00872D7E" w:rsidRDefault="009B482B" w:rsidP="009B482B">
      <w:pPr>
        <w:widowControl w:val="0"/>
        <w:autoSpaceDE w:val="0"/>
        <w:autoSpaceDN w:val="0"/>
        <w:adjustRightInd w:val="0"/>
        <w:ind w:right="117"/>
        <w:jc w:val="both"/>
        <w:rPr>
          <w:szCs w:val="20"/>
        </w:rPr>
      </w:pPr>
    </w:p>
    <w:p w14:paraId="28B49C9B" w14:textId="3F28B7A8" w:rsidR="00CD39E0" w:rsidRPr="00872D7E" w:rsidRDefault="00357F5D" w:rsidP="002D31A9">
      <w:pPr>
        <w:widowControl w:val="0"/>
        <w:autoSpaceDE w:val="0"/>
        <w:autoSpaceDN w:val="0"/>
        <w:adjustRightInd w:val="0"/>
        <w:ind w:left="851"/>
        <w:jc w:val="both"/>
        <w:rPr>
          <w:szCs w:val="20"/>
        </w:rPr>
      </w:pPr>
      <w:r w:rsidRPr="00872D7E">
        <w:rPr>
          <w:szCs w:val="20"/>
        </w:rPr>
        <w:t xml:space="preserve">Banka’nın </w:t>
      </w:r>
      <w:r w:rsidR="00AE0B9A" w:rsidRPr="00872D7E">
        <w:rPr>
          <w:szCs w:val="20"/>
        </w:rPr>
        <w:t>31 Aralık</w:t>
      </w:r>
      <w:r w:rsidR="007301E4" w:rsidRPr="00872D7E">
        <w:rPr>
          <w:szCs w:val="20"/>
        </w:rPr>
        <w:t xml:space="preserve"> </w:t>
      </w:r>
      <w:r w:rsidR="002A3579" w:rsidRPr="00872D7E">
        <w:rPr>
          <w:szCs w:val="20"/>
        </w:rPr>
        <w:t xml:space="preserve">2024 </w:t>
      </w:r>
      <w:r w:rsidRPr="00872D7E">
        <w:rPr>
          <w:szCs w:val="20"/>
        </w:rPr>
        <w:t>itibarıyla son üç aylık ortalama tutarlardan hesaplanan kaldıraç oranı %</w:t>
      </w:r>
      <w:bookmarkStart w:id="37" w:name="_Hlk189561182"/>
      <w:r w:rsidR="006A18DF" w:rsidRPr="00872D7E">
        <w:rPr>
          <w:szCs w:val="20"/>
        </w:rPr>
        <w:t>15,68</w:t>
      </w:r>
      <w:bookmarkEnd w:id="37"/>
      <w:r w:rsidRPr="00872D7E">
        <w:rPr>
          <w:szCs w:val="20"/>
        </w:rPr>
        <w:t>’d</w:t>
      </w:r>
      <w:r w:rsidR="007D4059" w:rsidRPr="00872D7E">
        <w:rPr>
          <w:szCs w:val="20"/>
        </w:rPr>
        <w:t>i</w:t>
      </w:r>
      <w:r w:rsidRPr="00872D7E">
        <w:rPr>
          <w:szCs w:val="20"/>
        </w:rPr>
        <w:t xml:space="preserve">r </w:t>
      </w:r>
      <w:r w:rsidR="002D31A9" w:rsidRPr="00872D7E">
        <w:rPr>
          <w:szCs w:val="20"/>
        </w:rPr>
        <w:br/>
      </w:r>
      <w:r w:rsidRPr="00872D7E">
        <w:rPr>
          <w:szCs w:val="20"/>
        </w:rPr>
        <w:t xml:space="preserve">(1 </w:t>
      </w:r>
      <w:r w:rsidR="00F61513" w:rsidRPr="00872D7E">
        <w:rPr>
          <w:szCs w:val="20"/>
        </w:rPr>
        <w:t xml:space="preserve">Ocak </w:t>
      </w:r>
      <w:r w:rsidRPr="00872D7E">
        <w:rPr>
          <w:szCs w:val="20"/>
        </w:rPr>
        <w:t>202</w:t>
      </w:r>
      <w:r w:rsidR="00F61513" w:rsidRPr="00872D7E">
        <w:rPr>
          <w:szCs w:val="20"/>
        </w:rPr>
        <w:t>4</w:t>
      </w:r>
      <w:r w:rsidRPr="00872D7E">
        <w:rPr>
          <w:szCs w:val="20"/>
        </w:rPr>
        <w:t>: %</w:t>
      </w:r>
      <w:bookmarkStart w:id="38" w:name="_Hlk189561189"/>
      <w:r w:rsidR="006A18DF" w:rsidRPr="00872D7E">
        <w:rPr>
          <w:szCs w:val="20"/>
        </w:rPr>
        <w:t>30,26</w:t>
      </w:r>
      <w:bookmarkEnd w:id="38"/>
      <w:r w:rsidRPr="00872D7E">
        <w:rPr>
          <w:szCs w:val="20"/>
        </w:rPr>
        <w:t xml:space="preserve">). Asgari Kaldıraç Oranının “Bankaların Kaldıraç Düzeyinin Ölçülmesine ve Değerlendirilmesine İlişkin Yönetmelik” gereğince minimum %3 olarak idame ettirilmesi gerekmektedir. </w:t>
      </w:r>
      <w:r w:rsidR="00302982" w:rsidRPr="00872D7E">
        <w:rPr>
          <w:szCs w:val="20"/>
        </w:rPr>
        <w:t>Cari dönemde bilanço içi ve bilanço dışı kalemlerdeki artış nedeniyle toplam risk tutarı artmıştır. Kaldıraç oranı geçen döneme oranla artış göstererek yasal sınır olan %3 seviyesinin üzerindeki güçlü seyrini korumaktadır.</w:t>
      </w:r>
    </w:p>
    <w:p w14:paraId="47888847" w14:textId="337455BD" w:rsidR="00862A01" w:rsidRPr="00872D7E" w:rsidRDefault="00862A01" w:rsidP="00CE7194"/>
    <w:tbl>
      <w:tblPr>
        <w:tblW w:w="5019" w:type="pct"/>
        <w:tblCellMar>
          <w:left w:w="70" w:type="dxa"/>
          <w:right w:w="70" w:type="dxa"/>
        </w:tblCellMar>
        <w:tblLook w:val="04A0" w:firstRow="1" w:lastRow="0" w:firstColumn="1" w:lastColumn="0" w:noHBand="0" w:noVBand="1"/>
      </w:tblPr>
      <w:tblGrid>
        <w:gridCol w:w="320"/>
        <w:gridCol w:w="6554"/>
        <w:gridCol w:w="1488"/>
        <w:gridCol w:w="1304"/>
      </w:tblGrid>
      <w:tr w:rsidR="00862A01" w:rsidRPr="00872D7E" w14:paraId="2E8A8C12" w14:textId="77777777" w:rsidTr="00862A01">
        <w:trPr>
          <w:divId w:val="80831233"/>
          <w:trHeight w:val="227"/>
        </w:trPr>
        <w:tc>
          <w:tcPr>
            <w:tcW w:w="218" w:type="pct"/>
            <w:tcBorders>
              <w:top w:val="single" w:sz="4" w:space="0" w:color="auto"/>
              <w:left w:val="single" w:sz="4" w:space="0" w:color="auto"/>
              <w:bottom w:val="single" w:sz="4" w:space="0" w:color="auto"/>
              <w:right w:val="nil"/>
            </w:tcBorders>
            <w:shd w:val="clear" w:color="auto" w:fill="auto"/>
            <w:noWrap/>
            <w:vAlign w:val="bottom"/>
            <w:hideMark/>
          </w:tcPr>
          <w:p w14:paraId="4D7ABFA3" w14:textId="3ECFDE1B" w:rsidR="00862A01" w:rsidRPr="00872D7E" w:rsidRDefault="00862A01" w:rsidP="00862A01">
            <w:pPr>
              <w:rPr>
                <w:b/>
                <w:bCs/>
                <w:sz w:val="18"/>
                <w:szCs w:val="18"/>
                <w:lang w:eastAsia="tr-TR"/>
              </w:rPr>
            </w:pPr>
            <w:r w:rsidRPr="00872D7E">
              <w:rPr>
                <w:b/>
                <w:bCs/>
                <w:sz w:val="18"/>
                <w:szCs w:val="18"/>
                <w:lang w:eastAsia="tr-TR"/>
              </w:rPr>
              <w:t> </w:t>
            </w:r>
          </w:p>
        </w:tc>
        <w:tc>
          <w:tcPr>
            <w:tcW w:w="3153" w:type="pct"/>
            <w:tcBorders>
              <w:top w:val="single" w:sz="4" w:space="0" w:color="auto"/>
              <w:left w:val="nil"/>
              <w:bottom w:val="single" w:sz="4" w:space="0" w:color="auto"/>
              <w:right w:val="single" w:sz="4" w:space="0" w:color="auto"/>
            </w:tcBorders>
            <w:shd w:val="clear" w:color="auto" w:fill="auto"/>
            <w:noWrap/>
            <w:vAlign w:val="bottom"/>
            <w:hideMark/>
          </w:tcPr>
          <w:p w14:paraId="7916C10E" w14:textId="77777777" w:rsidR="00862A01" w:rsidRPr="00872D7E" w:rsidRDefault="00862A01" w:rsidP="00862A01">
            <w:pPr>
              <w:rPr>
                <w:b/>
                <w:bCs/>
                <w:sz w:val="18"/>
                <w:szCs w:val="18"/>
                <w:lang w:eastAsia="tr-TR"/>
              </w:rPr>
            </w:pPr>
            <w:r w:rsidRPr="00872D7E">
              <w:rPr>
                <w:b/>
                <w:bCs/>
                <w:sz w:val="18"/>
                <w:szCs w:val="18"/>
                <w:lang w:eastAsia="tr-TR"/>
              </w:rPr>
              <w:t> </w:t>
            </w:r>
          </w:p>
        </w:tc>
        <w:tc>
          <w:tcPr>
            <w:tcW w:w="876" w:type="pct"/>
            <w:tcBorders>
              <w:top w:val="single" w:sz="4" w:space="0" w:color="auto"/>
              <w:left w:val="nil"/>
              <w:bottom w:val="single" w:sz="4" w:space="0" w:color="auto"/>
              <w:right w:val="single" w:sz="4" w:space="0" w:color="auto"/>
            </w:tcBorders>
            <w:shd w:val="clear" w:color="auto" w:fill="auto"/>
            <w:noWrap/>
            <w:vAlign w:val="center"/>
            <w:hideMark/>
          </w:tcPr>
          <w:p w14:paraId="78F9250D" w14:textId="77777777" w:rsidR="00862A01" w:rsidRPr="00872D7E" w:rsidRDefault="00862A01" w:rsidP="00862A01">
            <w:pPr>
              <w:jc w:val="center"/>
              <w:rPr>
                <w:b/>
                <w:bCs/>
                <w:sz w:val="18"/>
                <w:szCs w:val="18"/>
                <w:lang w:eastAsia="tr-TR"/>
              </w:rPr>
            </w:pPr>
            <w:r w:rsidRPr="00872D7E">
              <w:rPr>
                <w:b/>
                <w:bCs/>
                <w:sz w:val="18"/>
                <w:szCs w:val="18"/>
                <w:lang w:eastAsia="tr-TR"/>
              </w:rPr>
              <w:t xml:space="preserve">31 Aralık 2024 </w:t>
            </w:r>
            <w:r w:rsidRPr="00872D7E">
              <w:rPr>
                <w:b/>
                <w:bCs/>
                <w:sz w:val="18"/>
                <w:szCs w:val="18"/>
                <w:vertAlign w:val="superscript"/>
                <w:lang w:eastAsia="tr-TR"/>
              </w:rPr>
              <w:t>(*)</w:t>
            </w:r>
          </w:p>
        </w:tc>
        <w:tc>
          <w:tcPr>
            <w:tcW w:w="753" w:type="pct"/>
            <w:tcBorders>
              <w:top w:val="single" w:sz="4" w:space="0" w:color="auto"/>
              <w:left w:val="nil"/>
              <w:bottom w:val="single" w:sz="4" w:space="0" w:color="auto"/>
              <w:right w:val="single" w:sz="4" w:space="0" w:color="auto"/>
            </w:tcBorders>
            <w:shd w:val="clear" w:color="auto" w:fill="auto"/>
            <w:noWrap/>
            <w:vAlign w:val="center"/>
            <w:hideMark/>
          </w:tcPr>
          <w:p w14:paraId="090F6461" w14:textId="77777777" w:rsidR="00862A01" w:rsidRPr="00872D7E" w:rsidRDefault="00862A01" w:rsidP="00862A01">
            <w:pPr>
              <w:jc w:val="center"/>
              <w:rPr>
                <w:b/>
                <w:bCs/>
                <w:sz w:val="18"/>
                <w:szCs w:val="18"/>
                <w:lang w:eastAsia="tr-TR"/>
              </w:rPr>
            </w:pPr>
            <w:r w:rsidRPr="00872D7E">
              <w:rPr>
                <w:b/>
                <w:bCs/>
                <w:sz w:val="18"/>
                <w:szCs w:val="18"/>
                <w:lang w:eastAsia="tr-TR"/>
              </w:rPr>
              <w:t xml:space="preserve">1 Ocak 2024 </w:t>
            </w:r>
            <w:r w:rsidRPr="00872D7E">
              <w:rPr>
                <w:b/>
                <w:bCs/>
                <w:sz w:val="18"/>
                <w:szCs w:val="18"/>
                <w:vertAlign w:val="superscript"/>
                <w:lang w:eastAsia="tr-TR"/>
              </w:rPr>
              <w:t>(*)</w:t>
            </w:r>
          </w:p>
        </w:tc>
      </w:tr>
      <w:tr w:rsidR="00862A01" w:rsidRPr="00872D7E" w14:paraId="00881E3A" w14:textId="77777777" w:rsidTr="00862A01">
        <w:trPr>
          <w:divId w:val="80831233"/>
          <w:trHeight w:val="227"/>
        </w:trPr>
        <w:tc>
          <w:tcPr>
            <w:tcW w:w="218" w:type="pct"/>
            <w:tcBorders>
              <w:top w:val="single" w:sz="4" w:space="0" w:color="auto"/>
              <w:left w:val="single" w:sz="4" w:space="0" w:color="auto"/>
              <w:bottom w:val="single" w:sz="4" w:space="0" w:color="auto"/>
              <w:right w:val="single" w:sz="4" w:space="0" w:color="auto"/>
            </w:tcBorders>
            <w:shd w:val="clear" w:color="auto" w:fill="auto"/>
            <w:noWrap/>
            <w:hideMark/>
          </w:tcPr>
          <w:p w14:paraId="142C562C" w14:textId="77777777" w:rsidR="00862A01" w:rsidRPr="00872D7E" w:rsidRDefault="00862A01" w:rsidP="00862A01">
            <w:pPr>
              <w:jc w:val="center"/>
              <w:rPr>
                <w:sz w:val="18"/>
                <w:szCs w:val="18"/>
                <w:lang w:eastAsia="tr-TR"/>
              </w:rPr>
            </w:pPr>
            <w:r w:rsidRPr="00872D7E">
              <w:rPr>
                <w:sz w:val="18"/>
                <w:szCs w:val="18"/>
                <w:lang w:eastAsia="tr-TR"/>
              </w:rPr>
              <w:t> </w:t>
            </w:r>
          </w:p>
        </w:tc>
        <w:tc>
          <w:tcPr>
            <w:tcW w:w="3153" w:type="pct"/>
            <w:tcBorders>
              <w:top w:val="single" w:sz="4" w:space="0" w:color="auto"/>
              <w:left w:val="nil"/>
              <w:bottom w:val="single" w:sz="4" w:space="0" w:color="auto"/>
              <w:right w:val="single" w:sz="4" w:space="0" w:color="auto"/>
            </w:tcBorders>
            <w:shd w:val="clear" w:color="auto" w:fill="auto"/>
            <w:noWrap/>
            <w:hideMark/>
          </w:tcPr>
          <w:p w14:paraId="03F2A257" w14:textId="77777777" w:rsidR="00862A01" w:rsidRPr="00872D7E" w:rsidRDefault="00862A01" w:rsidP="00862A01">
            <w:pPr>
              <w:rPr>
                <w:b/>
                <w:bCs/>
                <w:sz w:val="18"/>
                <w:szCs w:val="18"/>
                <w:lang w:eastAsia="tr-TR"/>
              </w:rPr>
            </w:pPr>
            <w:r w:rsidRPr="00872D7E">
              <w:rPr>
                <w:b/>
                <w:bCs/>
                <w:sz w:val="18"/>
                <w:szCs w:val="18"/>
                <w:lang w:eastAsia="tr-TR"/>
              </w:rPr>
              <w:t>Bilanço içi varlıklar</w:t>
            </w:r>
          </w:p>
        </w:tc>
        <w:tc>
          <w:tcPr>
            <w:tcW w:w="876" w:type="pct"/>
            <w:tcBorders>
              <w:top w:val="single" w:sz="4" w:space="0" w:color="auto"/>
              <w:left w:val="nil"/>
              <w:bottom w:val="single" w:sz="4" w:space="0" w:color="auto"/>
              <w:right w:val="single" w:sz="4" w:space="0" w:color="auto"/>
            </w:tcBorders>
            <w:shd w:val="clear" w:color="auto" w:fill="auto"/>
            <w:noWrap/>
            <w:vAlign w:val="center"/>
            <w:hideMark/>
          </w:tcPr>
          <w:p w14:paraId="0E4A9A9B" w14:textId="77777777" w:rsidR="00862A01" w:rsidRPr="00872D7E" w:rsidRDefault="00862A01" w:rsidP="00862A01">
            <w:pPr>
              <w:jc w:val="right"/>
              <w:rPr>
                <w:sz w:val="18"/>
                <w:szCs w:val="18"/>
                <w:lang w:eastAsia="tr-TR"/>
              </w:rPr>
            </w:pPr>
            <w:r w:rsidRPr="00872D7E">
              <w:rPr>
                <w:sz w:val="18"/>
                <w:szCs w:val="18"/>
                <w:lang w:eastAsia="tr-TR"/>
              </w:rPr>
              <w:t> </w:t>
            </w:r>
          </w:p>
        </w:tc>
        <w:tc>
          <w:tcPr>
            <w:tcW w:w="753" w:type="pct"/>
            <w:tcBorders>
              <w:top w:val="single" w:sz="4" w:space="0" w:color="auto"/>
              <w:left w:val="nil"/>
              <w:bottom w:val="single" w:sz="4" w:space="0" w:color="auto"/>
              <w:right w:val="single" w:sz="4" w:space="0" w:color="auto"/>
            </w:tcBorders>
            <w:shd w:val="clear" w:color="auto" w:fill="auto"/>
            <w:noWrap/>
            <w:vAlign w:val="center"/>
            <w:hideMark/>
          </w:tcPr>
          <w:p w14:paraId="5F19EC39" w14:textId="77777777" w:rsidR="00862A01" w:rsidRPr="00872D7E" w:rsidRDefault="00862A01" w:rsidP="00862A01">
            <w:pPr>
              <w:jc w:val="right"/>
              <w:rPr>
                <w:sz w:val="18"/>
                <w:szCs w:val="18"/>
                <w:lang w:eastAsia="tr-TR"/>
              </w:rPr>
            </w:pPr>
            <w:r w:rsidRPr="00872D7E">
              <w:rPr>
                <w:sz w:val="18"/>
                <w:szCs w:val="18"/>
                <w:lang w:eastAsia="tr-TR"/>
              </w:rPr>
              <w:t> </w:t>
            </w:r>
          </w:p>
        </w:tc>
      </w:tr>
      <w:tr w:rsidR="00862A01" w:rsidRPr="00872D7E" w14:paraId="55D6425E" w14:textId="77777777" w:rsidTr="00862A01">
        <w:trPr>
          <w:divId w:val="80831233"/>
          <w:trHeight w:val="227"/>
        </w:trPr>
        <w:tc>
          <w:tcPr>
            <w:tcW w:w="218" w:type="pct"/>
            <w:tcBorders>
              <w:top w:val="single" w:sz="4" w:space="0" w:color="auto"/>
              <w:left w:val="single" w:sz="4" w:space="0" w:color="auto"/>
              <w:bottom w:val="nil"/>
              <w:right w:val="single" w:sz="4" w:space="0" w:color="auto"/>
            </w:tcBorders>
            <w:shd w:val="clear" w:color="auto" w:fill="auto"/>
            <w:noWrap/>
            <w:hideMark/>
          </w:tcPr>
          <w:p w14:paraId="00FC508B" w14:textId="77777777" w:rsidR="00862A01" w:rsidRPr="00872D7E" w:rsidRDefault="00862A01" w:rsidP="00862A01">
            <w:pPr>
              <w:jc w:val="center"/>
              <w:rPr>
                <w:sz w:val="18"/>
                <w:szCs w:val="18"/>
                <w:lang w:eastAsia="tr-TR"/>
              </w:rPr>
            </w:pPr>
            <w:r w:rsidRPr="00872D7E">
              <w:rPr>
                <w:sz w:val="18"/>
                <w:szCs w:val="18"/>
                <w:lang w:eastAsia="tr-TR"/>
              </w:rPr>
              <w:t>1</w:t>
            </w:r>
          </w:p>
        </w:tc>
        <w:tc>
          <w:tcPr>
            <w:tcW w:w="3153" w:type="pct"/>
            <w:tcBorders>
              <w:top w:val="single" w:sz="4" w:space="0" w:color="auto"/>
              <w:left w:val="nil"/>
              <w:bottom w:val="nil"/>
              <w:right w:val="single" w:sz="4" w:space="0" w:color="auto"/>
            </w:tcBorders>
            <w:shd w:val="clear" w:color="auto" w:fill="auto"/>
            <w:noWrap/>
            <w:hideMark/>
          </w:tcPr>
          <w:p w14:paraId="6AAAA42F" w14:textId="77777777" w:rsidR="00862A01" w:rsidRPr="00872D7E" w:rsidRDefault="00862A01" w:rsidP="00862A01">
            <w:pPr>
              <w:rPr>
                <w:sz w:val="18"/>
                <w:szCs w:val="18"/>
                <w:lang w:eastAsia="tr-TR"/>
              </w:rPr>
            </w:pPr>
            <w:r w:rsidRPr="00872D7E">
              <w:rPr>
                <w:sz w:val="18"/>
                <w:szCs w:val="18"/>
                <w:lang w:eastAsia="tr-TR"/>
              </w:rPr>
              <w:t>Bilanço içi varlıklar (Türev finansal araçlar ile kredi türevleri hariç, teminatlar dahil)</w:t>
            </w:r>
          </w:p>
        </w:tc>
        <w:tc>
          <w:tcPr>
            <w:tcW w:w="876" w:type="pct"/>
            <w:tcBorders>
              <w:top w:val="single" w:sz="4" w:space="0" w:color="auto"/>
              <w:left w:val="nil"/>
              <w:bottom w:val="nil"/>
              <w:right w:val="single" w:sz="4" w:space="0" w:color="auto"/>
            </w:tcBorders>
            <w:shd w:val="clear" w:color="auto" w:fill="auto"/>
            <w:vAlign w:val="bottom"/>
            <w:hideMark/>
          </w:tcPr>
          <w:p w14:paraId="2F69938D" w14:textId="77777777" w:rsidR="00862A01" w:rsidRPr="00872D7E" w:rsidRDefault="00862A01" w:rsidP="00862A01">
            <w:pPr>
              <w:jc w:val="right"/>
              <w:rPr>
                <w:sz w:val="18"/>
                <w:szCs w:val="18"/>
                <w:lang w:eastAsia="tr-TR"/>
              </w:rPr>
            </w:pPr>
            <w:r w:rsidRPr="00872D7E">
              <w:rPr>
                <w:sz w:val="18"/>
                <w:szCs w:val="18"/>
                <w:lang w:eastAsia="tr-TR"/>
              </w:rPr>
              <w:t>29.135.001</w:t>
            </w:r>
          </w:p>
        </w:tc>
        <w:tc>
          <w:tcPr>
            <w:tcW w:w="753" w:type="pct"/>
            <w:tcBorders>
              <w:top w:val="single" w:sz="4" w:space="0" w:color="auto"/>
              <w:left w:val="nil"/>
              <w:bottom w:val="nil"/>
              <w:right w:val="single" w:sz="4" w:space="0" w:color="auto"/>
            </w:tcBorders>
            <w:shd w:val="clear" w:color="auto" w:fill="auto"/>
            <w:vAlign w:val="bottom"/>
            <w:hideMark/>
          </w:tcPr>
          <w:p w14:paraId="004E45BE" w14:textId="77777777" w:rsidR="00862A01" w:rsidRPr="00872D7E" w:rsidRDefault="00862A01" w:rsidP="00862A01">
            <w:pPr>
              <w:jc w:val="right"/>
              <w:rPr>
                <w:sz w:val="18"/>
                <w:szCs w:val="18"/>
                <w:lang w:eastAsia="tr-TR"/>
              </w:rPr>
            </w:pPr>
            <w:r w:rsidRPr="00872D7E">
              <w:rPr>
                <w:sz w:val="18"/>
                <w:szCs w:val="18"/>
                <w:lang w:eastAsia="tr-TR"/>
              </w:rPr>
              <w:t>314</w:t>
            </w:r>
          </w:p>
        </w:tc>
      </w:tr>
      <w:tr w:rsidR="00862A01" w:rsidRPr="00872D7E" w14:paraId="5210085B" w14:textId="77777777" w:rsidTr="00862A01">
        <w:trPr>
          <w:divId w:val="80831233"/>
          <w:trHeight w:val="227"/>
        </w:trPr>
        <w:tc>
          <w:tcPr>
            <w:tcW w:w="218" w:type="pct"/>
            <w:tcBorders>
              <w:top w:val="nil"/>
              <w:left w:val="single" w:sz="4" w:space="0" w:color="auto"/>
              <w:bottom w:val="nil"/>
              <w:right w:val="single" w:sz="4" w:space="0" w:color="auto"/>
            </w:tcBorders>
            <w:shd w:val="clear" w:color="auto" w:fill="auto"/>
            <w:noWrap/>
            <w:hideMark/>
          </w:tcPr>
          <w:p w14:paraId="17BD00C5" w14:textId="77777777" w:rsidR="00862A01" w:rsidRPr="00872D7E" w:rsidRDefault="00862A01" w:rsidP="00862A01">
            <w:pPr>
              <w:jc w:val="center"/>
              <w:rPr>
                <w:sz w:val="18"/>
                <w:szCs w:val="18"/>
                <w:lang w:eastAsia="tr-TR"/>
              </w:rPr>
            </w:pPr>
            <w:r w:rsidRPr="00872D7E">
              <w:rPr>
                <w:sz w:val="18"/>
                <w:szCs w:val="18"/>
                <w:lang w:eastAsia="tr-TR"/>
              </w:rPr>
              <w:t>2</w:t>
            </w:r>
          </w:p>
        </w:tc>
        <w:tc>
          <w:tcPr>
            <w:tcW w:w="3153" w:type="pct"/>
            <w:tcBorders>
              <w:top w:val="nil"/>
              <w:left w:val="nil"/>
              <w:bottom w:val="nil"/>
              <w:right w:val="single" w:sz="4" w:space="0" w:color="auto"/>
            </w:tcBorders>
            <w:shd w:val="clear" w:color="auto" w:fill="auto"/>
            <w:noWrap/>
            <w:hideMark/>
          </w:tcPr>
          <w:p w14:paraId="48D347A7" w14:textId="77777777" w:rsidR="00862A01" w:rsidRPr="00872D7E" w:rsidRDefault="00862A01" w:rsidP="00862A01">
            <w:pPr>
              <w:rPr>
                <w:sz w:val="18"/>
                <w:szCs w:val="18"/>
                <w:lang w:eastAsia="tr-TR"/>
              </w:rPr>
            </w:pPr>
            <w:r w:rsidRPr="00872D7E">
              <w:rPr>
                <w:sz w:val="18"/>
                <w:szCs w:val="18"/>
                <w:lang w:eastAsia="tr-TR"/>
              </w:rPr>
              <w:t>(Ana sermayeden indirilen varlıklar)</w:t>
            </w:r>
          </w:p>
        </w:tc>
        <w:tc>
          <w:tcPr>
            <w:tcW w:w="876" w:type="pct"/>
            <w:tcBorders>
              <w:top w:val="nil"/>
              <w:left w:val="nil"/>
              <w:bottom w:val="nil"/>
              <w:right w:val="single" w:sz="4" w:space="0" w:color="auto"/>
            </w:tcBorders>
            <w:shd w:val="clear" w:color="auto" w:fill="auto"/>
            <w:vAlign w:val="bottom"/>
            <w:hideMark/>
          </w:tcPr>
          <w:p w14:paraId="6C70B372" w14:textId="77777777" w:rsidR="00862A01" w:rsidRPr="00872D7E" w:rsidRDefault="00862A01" w:rsidP="00862A01">
            <w:pPr>
              <w:jc w:val="right"/>
              <w:rPr>
                <w:sz w:val="18"/>
                <w:szCs w:val="18"/>
                <w:lang w:eastAsia="tr-TR"/>
              </w:rPr>
            </w:pPr>
            <w:r w:rsidRPr="00872D7E">
              <w:rPr>
                <w:sz w:val="18"/>
                <w:szCs w:val="18"/>
                <w:lang w:eastAsia="tr-TR"/>
              </w:rPr>
              <w:t>(296.084)</w:t>
            </w:r>
          </w:p>
        </w:tc>
        <w:tc>
          <w:tcPr>
            <w:tcW w:w="753" w:type="pct"/>
            <w:tcBorders>
              <w:top w:val="nil"/>
              <w:left w:val="nil"/>
              <w:bottom w:val="nil"/>
              <w:right w:val="single" w:sz="4" w:space="0" w:color="auto"/>
            </w:tcBorders>
            <w:shd w:val="clear" w:color="auto" w:fill="auto"/>
            <w:vAlign w:val="bottom"/>
            <w:hideMark/>
          </w:tcPr>
          <w:p w14:paraId="3AA11E31" w14:textId="77777777" w:rsidR="00862A01" w:rsidRPr="00872D7E" w:rsidRDefault="00862A01" w:rsidP="00862A01">
            <w:pPr>
              <w:jc w:val="right"/>
              <w:rPr>
                <w:sz w:val="18"/>
                <w:szCs w:val="18"/>
                <w:lang w:eastAsia="tr-TR"/>
              </w:rPr>
            </w:pPr>
            <w:r w:rsidRPr="00872D7E">
              <w:rPr>
                <w:sz w:val="18"/>
                <w:szCs w:val="18"/>
                <w:lang w:eastAsia="tr-TR"/>
              </w:rPr>
              <w:t>(15)</w:t>
            </w:r>
          </w:p>
        </w:tc>
      </w:tr>
      <w:tr w:rsidR="00862A01" w:rsidRPr="00872D7E" w14:paraId="2B98F6EC" w14:textId="77777777" w:rsidTr="00862A01">
        <w:trPr>
          <w:divId w:val="80831233"/>
          <w:trHeight w:val="227"/>
        </w:trPr>
        <w:tc>
          <w:tcPr>
            <w:tcW w:w="218" w:type="pct"/>
            <w:tcBorders>
              <w:top w:val="nil"/>
              <w:left w:val="single" w:sz="4" w:space="0" w:color="auto"/>
              <w:bottom w:val="single" w:sz="4" w:space="0" w:color="auto"/>
              <w:right w:val="single" w:sz="4" w:space="0" w:color="auto"/>
            </w:tcBorders>
            <w:shd w:val="clear" w:color="auto" w:fill="auto"/>
            <w:noWrap/>
            <w:hideMark/>
          </w:tcPr>
          <w:p w14:paraId="4C1D5AA2" w14:textId="77777777" w:rsidR="00862A01" w:rsidRPr="00872D7E" w:rsidRDefault="00862A01" w:rsidP="00862A01">
            <w:pPr>
              <w:jc w:val="center"/>
              <w:rPr>
                <w:sz w:val="18"/>
                <w:szCs w:val="18"/>
                <w:lang w:eastAsia="tr-TR"/>
              </w:rPr>
            </w:pPr>
            <w:r w:rsidRPr="00872D7E">
              <w:rPr>
                <w:sz w:val="18"/>
                <w:szCs w:val="18"/>
                <w:lang w:eastAsia="tr-TR"/>
              </w:rPr>
              <w:t>3</w:t>
            </w:r>
          </w:p>
        </w:tc>
        <w:tc>
          <w:tcPr>
            <w:tcW w:w="3153" w:type="pct"/>
            <w:tcBorders>
              <w:top w:val="nil"/>
              <w:left w:val="nil"/>
              <w:bottom w:val="single" w:sz="4" w:space="0" w:color="auto"/>
              <w:right w:val="single" w:sz="4" w:space="0" w:color="auto"/>
            </w:tcBorders>
            <w:shd w:val="clear" w:color="auto" w:fill="auto"/>
            <w:noWrap/>
            <w:hideMark/>
          </w:tcPr>
          <w:p w14:paraId="1D2ACEF2" w14:textId="77777777" w:rsidR="00862A01" w:rsidRPr="00872D7E" w:rsidRDefault="00862A01" w:rsidP="00862A01">
            <w:pPr>
              <w:rPr>
                <w:sz w:val="18"/>
                <w:szCs w:val="18"/>
                <w:lang w:eastAsia="tr-TR"/>
              </w:rPr>
            </w:pPr>
            <w:r w:rsidRPr="00872D7E">
              <w:rPr>
                <w:sz w:val="18"/>
                <w:szCs w:val="18"/>
                <w:lang w:eastAsia="tr-TR"/>
              </w:rPr>
              <w:t>Bilanço içi varlıklara ilişkin toplam risk tutarı (1 ve 2’nci satırların toplamı)</w:t>
            </w:r>
          </w:p>
        </w:tc>
        <w:tc>
          <w:tcPr>
            <w:tcW w:w="876" w:type="pct"/>
            <w:tcBorders>
              <w:top w:val="nil"/>
              <w:left w:val="nil"/>
              <w:bottom w:val="single" w:sz="4" w:space="0" w:color="auto"/>
              <w:right w:val="single" w:sz="4" w:space="0" w:color="auto"/>
            </w:tcBorders>
            <w:shd w:val="clear" w:color="auto" w:fill="auto"/>
            <w:vAlign w:val="bottom"/>
            <w:hideMark/>
          </w:tcPr>
          <w:p w14:paraId="0E51E871" w14:textId="77777777" w:rsidR="00862A01" w:rsidRPr="00872D7E" w:rsidRDefault="00862A01" w:rsidP="00862A01">
            <w:pPr>
              <w:jc w:val="right"/>
              <w:rPr>
                <w:sz w:val="18"/>
                <w:szCs w:val="18"/>
                <w:lang w:eastAsia="tr-TR"/>
              </w:rPr>
            </w:pPr>
            <w:r w:rsidRPr="00872D7E">
              <w:rPr>
                <w:sz w:val="18"/>
                <w:szCs w:val="18"/>
                <w:lang w:eastAsia="tr-TR"/>
              </w:rPr>
              <w:t>28.838.917</w:t>
            </w:r>
          </w:p>
        </w:tc>
        <w:tc>
          <w:tcPr>
            <w:tcW w:w="753" w:type="pct"/>
            <w:tcBorders>
              <w:top w:val="nil"/>
              <w:left w:val="nil"/>
              <w:bottom w:val="single" w:sz="4" w:space="0" w:color="auto"/>
              <w:right w:val="single" w:sz="4" w:space="0" w:color="auto"/>
            </w:tcBorders>
            <w:shd w:val="clear" w:color="auto" w:fill="auto"/>
            <w:vAlign w:val="bottom"/>
            <w:hideMark/>
          </w:tcPr>
          <w:p w14:paraId="774EF84F" w14:textId="77777777" w:rsidR="00862A01" w:rsidRPr="00872D7E" w:rsidRDefault="00862A01" w:rsidP="00862A01">
            <w:pPr>
              <w:jc w:val="right"/>
              <w:rPr>
                <w:sz w:val="18"/>
                <w:szCs w:val="18"/>
                <w:lang w:eastAsia="tr-TR"/>
              </w:rPr>
            </w:pPr>
            <w:r w:rsidRPr="00872D7E">
              <w:rPr>
                <w:sz w:val="18"/>
                <w:szCs w:val="18"/>
                <w:lang w:eastAsia="tr-TR"/>
              </w:rPr>
              <w:t>299</w:t>
            </w:r>
          </w:p>
        </w:tc>
      </w:tr>
      <w:tr w:rsidR="00862A01" w:rsidRPr="00872D7E" w14:paraId="61646A96" w14:textId="77777777" w:rsidTr="00862A01">
        <w:trPr>
          <w:divId w:val="80831233"/>
          <w:trHeight w:val="227"/>
        </w:trPr>
        <w:tc>
          <w:tcPr>
            <w:tcW w:w="218" w:type="pct"/>
            <w:tcBorders>
              <w:top w:val="single" w:sz="4" w:space="0" w:color="auto"/>
              <w:left w:val="single" w:sz="4" w:space="0" w:color="auto"/>
              <w:bottom w:val="single" w:sz="4" w:space="0" w:color="auto"/>
              <w:right w:val="single" w:sz="4" w:space="0" w:color="auto"/>
            </w:tcBorders>
            <w:shd w:val="clear" w:color="auto" w:fill="auto"/>
            <w:noWrap/>
            <w:hideMark/>
          </w:tcPr>
          <w:p w14:paraId="264577E7" w14:textId="77777777" w:rsidR="00862A01" w:rsidRPr="00872D7E" w:rsidRDefault="00862A01" w:rsidP="00862A01">
            <w:pPr>
              <w:jc w:val="center"/>
              <w:rPr>
                <w:sz w:val="18"/>
                <w:szCs w:val="18"/>
                <w:lang w:eastAsia="tr-TR"/>
              </w:rPr>
            </w:pPr>
            <w:r w:rsidRPr="00872D7E">
              <w:rPr>
                <w:sz w:val="18"/>
                <w:szCs w:val="18"/>
                <w:lang w:eastAsia="tr-TR"/>
              </w:rPr>
              <w:t> </w:t>
            </w:r>
          </w:p>
        </w:tc>
        <w:tc>
          <w:tcPr>
            <w:tcW w:w="3153" w:type="pct"/>
            <w:tcBorders>
              <w:top w:val="single" w:sz="4" w:space="0" w:color="auto"/>
              <w:left w:val="nil"/>
              <w:bottom w:val="single" w:sz="4" w:space="0" w:color="auto"/>
              <w:right w:val="single" w:sz="4" w:space="0" w:color="auto"/>
            </w:tcBorders>
            <w:shd w:val="clear" w:color="auto" w:fill="auto"/>
            <w:noWrap/>
            <w:hideMark/>
          </w:tcPr>
          <w:p w14:paraId="5215AD49" w14:textId="77777777" w:rsidR="00862A01" w:rsidRPr="00872D7E" w:rsidRDefault="00862A01" w:rsidP="00862A01">
            <w:pPr>
              <w:rPr>
                <w:b/>
                <w:bCs/>
                <w:sz w:val="18"/>
                <w:szCs w:val="18"/>
                <w:lang w:eastAsia="tr-TR"/>
              </w:rPr>
            </w:pPr>
            <w:r w:rsidRPr="00872D7E">
              <w:rPr>
                <w:b/>
                <w:bCs/>
                <w:sz w:val="18"/>
                <w:szCs w:val="18"/>
                <w:lang w:eastAsia="tr-TR"/>
              </w:rPr>
              <w:t>Türev finansal araçlar ile kredi türevleri</w:t>
            </w:r>
          </w:p>
        </w:tc>
        <w:tc>
          <w:tcPr>
            <w:tcW w:w="876" w:type="pct"/>
            <w:tcBorders>
              <w:top w:val="single" w:sz="4" w:space="0" w:color="auto"/>
              <w:left w:val="nil"/>
              <w:bottom w:val="single" w:sz="4" w:space="0" w:color="auto"/>
              <w:right w:val="single" w:sz="4" w:space="0" w:color="auto"/>
            </w:tcBorders>
            <w:shd w:val="clear" w:color="auto" w:fill="auto"/>
            <w:noWrap/>
            <w:vAlign w:val="bottom"/>
            <w:hideMark/>
          </w:tcPr>
          <w:p w14:paraId="24A5B797" w14:textId="77777777" w:rsidR="00862A01" w:rsidRPr="00872D7E" w:rsidRDefault="00862A01" w:rsidP="00862A01">
            <w:pPr>
              <w:jc w:val="right"/>
              <w:rPr>
                <w:sz w:val="18"/>
                <w:szCs w:val="18"/>
                <w:lang w:eastAsia="tr-TR"/>
              </w:rPr>
            </w:pPr>
            <w:r w:rsidRPr="00872D7E">
              <w:rPr>
                <w:sz w:val="18"/>
                <w:szCs w:val="18"/>
                <w:lang w:eastAsia="tr-TR"/>
              </w:rPr>
              <w:t> </w:t>
            </w:r>
          </w:p>
        </w:tc>
        <w:tc>
          <w:tcPr>
            <w:tcW w:w="753" w:type="pct"/>
            <w:tcBorders>
              <w:top w:val="single" w:sz="4" w:space="0" w:color="auto"/>
              <w:left w:val="nil"/>
              <w:bottom w:val="single" w:sz="4" w:space="0" w:color="auto"/>
              <w:right w:val="single" w:sz="4" w:space="0" w:color="auto"/>
            </w:tcBorders>
            <w:shd w:val="clear" w:color="auto" w:fill="auto"/>
            <w:noWrap/>
            <w:vAlign w:val="bottom"/>
            <w:hideMark/>
          </w:tcPr>
          <w:p w14:paraId="0480EF2E" w14:textId="77777777" w:rsidR="00862A01" w:rsidRPr="00872D7E" w:rsidRDefault="00862A01" w:rsidP="00862A01">
            <w:pPr>
              <w:jc w:val="right"/>
              <w:rPr>
                <w:sz w:val="18"/>
                <w:szCs w:val="18"/>
                <w:lang w:eastAsia="tr-TR"/>
              </w:rPr>
            </w:pPr>
            <w:r w:rsidRPr="00872D7E">
              <w:rPr>
                <w:sz w:val="18"/>
                <w:szCs w:val="18"/>
                <w:lang w:eastAsia="tr-TR"/>
              </w:rPr>
              <w:t> </w:t>
            </w:r>
          </w:p>
        </w:tc>
      </w:tr>
      <w:tr w:rsidR="00862A01" w:rsidRPr="00872D7E" w14:paraId="0D785932" w14:textId="77777777" w:rsidTr="00862A01">
        <w:trPr>
          <w:divId w:val="80831233"/>
          <w:trHeight w:val="227"/>
        </w:trPr>
        <w:tc>
          <w:tcPr>
            <w:tcW w:w="218" w:type="pct"/>
            <w:tcBorders>
              <w:top w:val="single" w:sz="4" w:space="0" w:color="auto"/>
              <w:left w:val="single" w:sz="4" w:space="0" w:color="auto"/>
              <w:bottom w:val="nil"/>
              <w:right w:val="single" w:sz="4" w:space="0" w:color="auto"/>
            </w:tcBorders>
            <w:shd w:val="clear" w:color="auto" w:fill="auto"/>
            <w:noWrap/>
            <w:hideMark/>
          </w:tcPr>
          <w:p w14:paraId="6459E324" w14:textId="77777777" w:rsidR="00862A01" w:rsidRPr="00872D7E" w:rsidRDefault="00862A01" w:rsidP="00862A01">
            <w:pPr>
              <w:jc w:val="center"/>
              <w:rPr>
                <w:sz w:val="18"/>
                <w:szCs w:val="18"/>
                <w:lang w:eastAsia="tr-TR"/>
              </w:rPr>
            </w:pPr>
            <w:r w:rsidRPr="00872D7E">
              <w:rPr>
                <w:sz w:val="18"/>
                <w:szCs w:val="18"/>
                <w:lang w:eastAsia="tr-TR"/>
              </w:rPr>
              <w:t>4</w:t>
            </w:r>
          </w:p>
        </w:tc>
        <w:tc>
          <w:tcPr>
            <w:tcW w:w="3153" w:type="pct"/>
            <w:tcBorders>
              <w:top w:val="single" w:sz="4" w:space="0" w:color="auto"/>
              <w:left w:val="nil"/>
              <w:bottom w:val="nil"/>
              <w:right w:val="single" w:sz="4" w:space="0" w:color="auto"/>
            </w:tcBorders>
            <w:shd w:val="clear" w:color="auto" w:fill="auto"/>
            <w:noWrap/>
            <w:hideMark/>
          </w:tcPr>
          <w:p w14:paraId="676BD66F" w14:textId="77777777" w:rsidR="00862A01" w:rsidRPr="00872D7E" w:rsidRDefault="00862A01" w:rsidP="00862A01">
            <w:pPr>
              <w:rPr>
                <w:sz w:val="18"/>
                <w:szCs w:val="18"/>
                <w:lang w:eastAsia="tr-TR"/>
              </w:rPr>
            </w:pPr>
            <w:r w:rsidRPr="00872D7E">
              <w:rPr>
                <w:sz w:val="18"/>
                <w:szCs w:val="18"/>
                <w:lang w:eastAsia="tr-TR"/>
              </w:rPr>
              <w:t>Türev finansal araçlar ile kredi türevlerinin yenileme maliyeti</w:t>
            </w:r>
          </w:p>
        </w:tc>
        <w:tc>
          <w:tcPr>
            <w:tcW w:w="876" w:type="pct"/>
            <w:tcBorders>
              <w:top w:val="single" w:sz="4" w:space="0" w:color="auto"/>
              <w:left w:val="nil"/>
              <w:bottom w:val="nil"/>
              <w:right w:val="single" w:sz="4" w:space="0" w:color="auto"/>
            </w:tcBorders>
            <w:shd w:val="clear" w:color="auto" w:fill="auto"/>
            <w:vAlign w:val="bottom"/>
            <w:hideMark/>
          </w:tcPr>
          <w:p w14:paraId="2F0E51EB" w14:textId="77777777" w:rsidR="00862A01" w:rsidRPr="00872D7E" w:rsidRDefault="00862A01" w:rsidP="00862A01">
            <w:pPr>
              <w:jc w:val="right"/>
              <w:rPr>
                <w:sz w:val="18"/>
                <w:szCs w:val="18"/>
                <w:lang w:eastAsia="tr-TR"/>
              </w:rPr>
            </w:pPr>
            <w:r w:rsidRPr="00872D7E">
              <w:rPr>
                <w:sz w:val="18"/>
                <w:szCs w:val="18"/>
                <w:lang w:eastAsia="tr-TR"/>
              </w:rPr>
              <w:t>128.094</w:t>
            </w:r>
          </w:p>
        </w:tc>
        <w:tc>
          <w:tcPr>
            <w:tcW w:w="753" w:type="pct"/>
            <w:tcBorders>
              <w:top w:val="single" w:sz="4" w:space="0" w:color="auto"/>
              <w:left w:val="nil"/>
              <w:bottom w:val="nil"/>
              <w:right w:val="single" w:sz="4" w:space="0" w:color="auto"/>
            </w:tcBorders>
            <w:shd w:val="clear" w:color="auto" w:fill="auto"/>
            <w:vAlign w:val="bottom"/>
            <w:hideMark/>
          </w:tcPr>
          <w:p w14:paraId="536965EF" w14:textId="77777777" w:rsidR="00862A01" w:rsidRPr="00872D7E" w:rsidRDefault="00862A01" w:rsidP="00862A01">
            <w:pPr>
              <w:jc w:val="right"/>
              <w:rPr>
                <w:sz w:val="18"/>
                <w:szCs w:val="18"/>
                <w:lang w:eastAsia="tr-TR"/>
              </w:rPr>
            </w:pPr>
            <w:r w:rsidRPr="00872D7E">
              <w:rPr>
                <w:sz w:val="18"/>
                <w:szCs w:val="18"/>
                <w:lang w:eastAsia="tr-TR"/>
              </w:rPr>
              <w:t>-</w:t>
            </w:r>
          </w:p>
        </w:tc>
      </w:tr>
      <w:tr w:rsidR="00862A01" w:rsidRPr="00872D7E" w14:paraId="5B770979" w14:textId="77777777" w:rsidTr="00862A01">
        <w:trPr>
          <w:divId w:val="80831233"/>
          <w:trHeight w:val="227"/>
        </w:trPr>
        <w:tc>
          <w:tcPr>
            <w:tcW w:w="218" w:type="pct"/>
            <w:tcBorders>
              <w:top w:val="nil"/>
              <w:left w:val="single" w:sz="4" w:space="0" w:color="auto"/>
              <w:bottom w:val="nil"/>
              <w:right w:val="single" w:sz="4" w:space="0" w:color="auto"/>
            </w:tcBorders>
            <w:shd w:val="clear" w:color="auto" w:fill="auto"/>
            <w:noWrap/>
            <w:hideMark/>
          </w:tcPr>
          <w:p w14:paraId="5D027EB2" w14:textId="77777777" w:rsidR="00862A01" w:rsidRPr="00872D7E" w:rsidRDefault="00862A01" w:rsidP="00862A01">
            <w:pPr>
              <w:jc w:val="center"/>
              <w:rPr>
                <w:sz w:val="18"/>
                <w:szCs w:val="18"/>
                <w:lang w:eastAsia="tr-TR"/>
              </w:rPr>
            </w:pPr>
            <w:r w:rsidRPr="00872D7E">
              <w:rPr>
                <w:sz w:val="18"/>
                <w:szCs w:val="18"/>
                <w:lang w:eastAsia="tr-TR"/>
              </w:rPr>
              <w:t>5</w:t>
            </w:r>
          </w:p>
        </w:tc>
        <w:tc>
          <w:tcPr>
            <w:tcW w:w="3153" w:type="pct"/>
            <w:tcBorders>
              <w:top w:val="nil"/>
              <w:left w:val="nil"/>
              <w:bottom w:val="nil"/>
              <w:right w:val="single" w:sz="4" w:space="0" w:color="auto"/>
            </w:tcBorders>
            <w:shd w:val="clear" w:color="auto" w:fill="auto"/>
            <w:noWrap/>
            <w:hideMark/>
          </w:tcPr>
          <w:p w14:paraId="43C360F5" w14:textId="77777777" w:rsidR="00862A01" w:rsidRPr="00872D7E" w:rsidRDefault="00862A01" w:rsidP="00862A01">
            <w:pPr>
              <w:rPr>
                <w:sz w:val="18"/>
                <w:szCs w:val="18"/>
                <w:lang w:eastAsia="tr-TR"/>
              </w:rPr>
            </w:pPr>
            <w:r w:rsidRPr="00872D7E">
              <w:rPr>
                <w:sz w:val="18"/>
                <w:szCs w:val="18"/>
                <w:lang w:eastAsia="tr-TR"/>
              </w:rPr>
              <w:t>Türev finansal araçlar ile kredi türevlerinin potansiyel kredi risk tutar</w:t>
            </w:r>
          </w:p>
        </w:tc>
        <w:tc>
          <w:tcPr>
            <w:tcW w:w="876" w:type="pct"/>
            <w:tcBorders>
              <w:top w:val="nil"/>
              <w:left w:val="nil"/>
              <w:bottom w:val="nil"/>
              <w:right w:val="single" w:sz="4" w:space="0" w:color="auto"/>
            </w:tcBorders>
            <w:shd w:val="clear" w:color="auto" w:fill="auto"/>
            <w:vAlign w:val="bottom"/>
            <w:hideMark/>
          </w:tcPr>
          <w:p w14:paraId="396B7F3B" w14:textId="77777777" w:rsidR="00862A01" w:rsidRPr="00872D7E" w:rsidRDefault="00862A01" w:rsidP="00862A01">
            <w:pPr>
              <w:jc w:val="right"/>
              <w:rPr>
                <w:sz w:val="18"/>
                <w:szCs w:val="18"/>
                <w:lang w:eastAsia="tr-TR"/>
              </w:rPr>
            </w:pPr>
            <w:r w:rsidRPr="00872D7E">
              <w:rPr>
                <w:sz w:val="18"/>
                <w:szCs w:val="18"/>
                <w:lang w:eastAsia="tr-TR"/>
              </w:rPr>
              <w:t>53.237</w:t>
            </w:r>
          </w:p>
        </w:tc>
        <w:tc>
          <w:tcPr>
            <w:tcW w:w="753" w:type="pct"/>
            <w:tcBorders>
              <w:top w:val="nil"/>
              <w:left w:val="nil"/>
              <w:bottom w:val="nil"/>
              <w:right w:val="single" w:sz="4" w:space="0" w:color="auto"/>
            </w:tcBorders>
            <w:shd w:val="clear" w:color="auto" w:fill="auto"/>
            <w:vAlign w:val="bottom"/>
            <w:hideMark/>
          </w:tcPr>
          <w:p w14:paraId="6BFCC74F" w14:textId="77777777" w:rsidR="00862A01" w:rsidRPr="00872D7E" w:rsidRDefault="00862A01" w:rsidP="00862A01">
            <w:pPr>
              <w:jc w:val="right"/>
              <w:rPr>
                <w:sz w:val="18"/>
                <w:szCs w:val="18"/>
                <w:lang w:eastAsia="tr-TR"/>
              </w:rPr>
            </w:pPr>
            <w:r w:rsidRPr="00872D7E">
              <w:rPr>
                <w:sz w:val="18"/>
                <w:szCs w:val="18"/>
                <w:lang w:eastAsia="tr-TR"/>
              </w:rPr>
              <w:t>-</w:t>
            </w:r>
          </w:p>
        </w:tc>
      </w:tr>
      <w:tr w:rsidR="00862A01" w:rsidRPr="00872D7E" w14:paraId="0FB32BB0" w14:textId="77777777" w:rsidTr="00862A01">
        <w:trPr>
          <w:divId w:val="80831233"/>
          <w:trHeight w:val="227"/>
        </w:trPr>
        <w:tc>
          <w:tcPr>
            <w:tcW w:w="218" w:type="pct"/>
            <w:tcBorders>
              <w:top w:val="nil"/>
              <w:left w:val="single" w:sz="4" w:space="0" w:color="auto"/>
              <w:bottom w:val="single" w:sz="4" w:space="0" w:color="auto"/>
              <w:right w:val="single" w:sz="4" w:space="0" w:color="auto"/>
            </w:tcBorders>
            <w:shd w:val="clear" w:color="auto" w:fill="auto"/>
            <w:noWrap/>
            <w:hideMark/>
          </w:tcPr>
          <w:p w14:paraId="00B356D4" w14:textId="77777777" w:rsidR="00862A01" w:rsidRPr="00872D7E" w:rsidRDefault="00862A01" w:rsidP="00862A01">
            <w:pPr>
              <w:jc w:val="center"/>
              <w:rPr>
                <w:sz w:val="18"/>
                <w:szCs w:val="18"/>
                <w:lang w:eastAsia="tr-TR"/>
              </w:rPr>
            </w:pPr>
            <w:r w:rsidRPr="00872D7E">
              <w:rPr>
                <w:sz w:val="18"/>
                <w:szCs w:val="18"/>
                <w:lang w:eastAsia="tr-TR"/>
              </w:rPr>
              <w:t>6</w:t>
            </w:r>
          </w:p>
        </w:tc>
        <w:tc>
          <w:tcPr>
            <w:tcW w:w="3153" w:type="pct"/>
            <w:tcBorders>
              <w:top w:val="nil"/>
              <w:left w:val="nil"/>
              <w:bottom w:val="single" w:sz="4" w:space="0" w:color="auto"/>
              <w:right w:val="single" w:sz="4" w:space="0" w:color="auto"/>
            </w:tcBorders>
            <w:shd w:val="clear" w:color="auto" w:fill="auto"/>
            <w:hideMark/>
          </w:tcPr>
          <w:p w14:paraId="7B16BDC2" w14:textId="77777777" w:rsidR="00862A01" w:rsidRPr="00872D7E" w:rsidRDefault="00862A01" w:rsidP="00862A01">
            <w:pPr>
              <w:rPr>
                <w:sz w:val="18"/>
                <w:szCs w:val="18"/>
                <w:lang w:eastAsia="tr-TR"/>
              </w:rPr>
            </w:pPr>
            <w:r w:rsidRPr="00872D7E">
              <w:rPr>
                <w:sz w:val="18"/>
                <w:szCs w:val="18"/>
                <w:lang w:eastAsia="tr-TR"/>
              </w:rPr>
              <w:t>Türev finansal araçlar ile kredi türevlerine ilişkin toplam risk tutarı (4 ve 5’ inci satırların toplamı)</w:t>
            </w:r>
          </w:p>
        </w:tc>
        <w:tc>
          <w:tcPr>
            <w:tcW w:w="876" w:type="pct"/>
            <w:tcBorders>
              <w:top w:val="nil"/>
              <w:left w:val="nil"/>
              <w:bottom w:val="single" w:sz="4" w:space="0" w:color="auto"/>
              <w:right w:val="single" w:sz="4" w:space="0" w:color="auto"/>
            </w:tcBorders>
            <w:shd w:val="clear" w:color="auto" w:fill="auto"/>
            <w:vAlign w:val="bottom"/>
            <w:hideMark/>
          </w:tcPr>
          <w:p w14:paraId="327AA4E7" w14:textId="77777777" w:rsidR="00862A01" w:rsidRPr="00872D7E" w:rsidRDefault="00862A01" w:rsidP="00862A01">
            <w:pPr>
              <w:jc w:val="right"/>
              <w:rPr>
                <w:sz w:val="18"/>
                <w:szCs w:val="18"/>
                <w:lang w:eastAsia="tr-TR"/>
              </w:rPr>
            </w:pPr>
            <w:r w:rsidRPr="00872D7E">
              <w:rPr>
                <w:sz w:val="18"/>
                <w:szCs w:val="18"/>
                <w:lang w:eastAsia="tr-TR"/>
              </w:rPr>
              <w:t>181.331</w:t>
            </w:r>
          </w:p>
        </w:tc>
        <w:tc>
          <w:tcPr>
            <w:tcW w:w="753" w:type="pct"/>
            <w:tcBorders>
              <w:top w:val="nil"/>
              <w:left w:val="nil"/>
              <w:bottom w:val="single" w:sz="4" w:space="0" w:color="auto"/>
              <w:right w:val="single" w:sz="4" w:space="0" w:color="auto"/>
            </w:tcBorders>
            <w:shd w:val="clear" w:color="auto" w:fill="auto"/>
            <w:vAlign w:val="bottom"/>
            <w:hideMark/>
          </w:tcPr>
          <w:p w14:paraId="261506D0" w14:textId="77777777" w:rsidR="00862A01" w:rsidRPr="00872D7E" w:rsidRDefault="00862A01" w:rsidP="00862A01">
            <w:pPr>
              <w:jc w:val="right"/>
              <w:rPr>
                <w:sz w:val="18"/>
                <w:szCs w:val="18"/>
                <w:lang w:eastAsia="tr-TR"/>
              </w:rPr>
            </w:pPr>
            <w:r w:rsidRPr="00872D7E">
              <w:rPr>
                <w:sz w:val="18"/>
                <w:szCs w:val="18"/>
                <w:lang w:eastAsia="tr-TR"/>
              </w:rPr>
              <w:t>-</w:t>
            </w:r>
          </w:p>
        </w:tc>
      </w:tr>
      <w:tr w:rsidR="00862A01" w:rsidRPr="00872D7E" w14:paraId="75E223DE" w14:textId="77777777" w:rsidTr="00862A01">
        <w:trPr>
          <w:divId w:val="80831233"/>
          <w:trHeight w:val="227"/>
        </w:trPr>
        <w:tc>
          <w:tcPr>
            <w:tcW w:w="218" w:type="pct"/>
            <w:tcBorders>
              <w:top w:val="single" w:sz="4" w:space="0" w:color="auto"/>
              <w:left w:val="single" w:sz="4" w:space="0" w:color="auto"/>
              <w:bottom w:val="single" w:sz="4" w:space="0" w:color="auto"/>
              <w:right w:val="single" w:sz="4" w:space="0" w:color="auto"/>
            </w:tcBorders>
            <w:shd w:val="clear" w:color="auto" w:fill="auto"/>
            <w:noWrap/>
            <w:hideMark/>
          </w:tcPr>
          <w:p w14:paraId="679FB569" w14:textId="77777777" w:rsidR="00862A01" w:rsidRPr="00872D7E" w:rsidRDefault="00862A01" w:rsidP="00862A01">
            <w:pPr>
              <w:jc w:val="center"/>
              <w:rPr>
                <w:sz w:val="18"/>
                <w:szCs w:val="18"/>
                <w:lang w:eastAsia="tr-TR"/>
              </w:rPr>
            </w:pPr>
            <w:r w:rsidRPr="00872D7E">
              <w:rPr>
                <w:sz w:val="18"/>
                <w:szCs w:val="18"/>
                <w:lang w:eastAsia="tr-TR"/>
              </w:rPr>
              <w:t> </w:t>
            </w:r>
          </w:p>
        </w:tc>
        <w:tc>
          <w:tcPr>
            <w:tcW w:w="3153" w:type="pct"/>
            <w:tcBorders>
              <w:top w:val="single" w:sz="4" w:space="0" w:color="auto"/>
              <w:left w:val="nil"/>
              <w:bottom w:val="single" w:sz="4" w:space="0" w:color="auto"/>
              <w:right w:val="single" w:sz="4" w:space="0" w:color="auto"/>
            </w:tcBorders>
            <w:shd w:val="clear" w:color="auto" w:fill="auto"/>
            <w:noWrap/>
            <w:hideMark/>
          </w:tcPr>
          <w:p w14:paraId="74FF5901" w14:textId="77777777" w:rsidR="00862A01" w:rsidRPr="00872D7E" w:rsidRDefault="00862A01" w:rsidP="00862A01">
            <w:pPr>
              <w:rPr>
                <w:b/>
                <w:bCs/>
                <w:sz w:val="18"/>
                <w:szCs w:val="18"/>
                <w:lang w:eastAsia="tr-TR"/>
              </w:rPr>
            </w:pPr>
            <w:r w:rsidRPr="00872D7E">
              <w:rPr>
                <w:b/>
                <w:bCs/>
                <w:sz w:val="18"/>
                <w:szCs w:val="18"/>
                <w:lang w:eastAsia="tr-TR"/>
              </w:rPr>
              <w:t>Menkul kıymet veya emtia teminatlı finansman işlemleri</w:t>
            </w:r>
          </w:p>
        </w:tc>
        <w:tc>
          <w:tcPr>
            <w:tcW w:w="876" w:type="pct"/>
            <w:tcBorders>
              <w:top w:val="single" w:sz="4" w:space="0" w:color="auto"/>
              <w:left w:val="nil"/>
              <w:bottom w:val="single" w:sz="4" w:space="0" w:color="auto"/>
              <w:right w:val="single" w:sz="4" w:space="0" w:color="auto"/>
            </w:tcBorders>
            <w:shd w:val="clear" w:color="auto" w:fill="auto"/>
            <w:noWrap/>
            <w:vAlign w:val="bottom"/>
            <w:hideMark/>
          </w:tcPr>
          <w:p w14:paraId="03066FBB" w14:textId="77777777" w:rsidR="00862A01" w:rsidRPr="00872D7E" w:rsidRDefault="00862A01" w:rsidP="00862A01">
            <w:pPr>
              <w:jc w:val="right"/>
              <w:rPr>
                <w:sz w:val="18"/>
                <w:szCs w:val="18"/>
                <w:lang w:eastAsia="tr-TR"/>
              </w:rPr>
            </w:pPr>
            <w:r w:rsidRPr="00872D7E">
              <w:rPr>
                <w:sz w:val="18"/>
                <w:szCs w:val="18"/>
                <w:lang w:eastAsia="tr-TR"/>
              </w:rPr>
              <w:t> </w:t>
            </w:r>
          </w:p>
        </w:tc>
        <w:tc>
          <w:tcPr>
            <w:tcW w:w="753" w:type="pct"/>
            <w:tcBorders>
              <w:top w:val="single" w:sz="4" w:space="0" w:color="auto"/>
              <w:left w:val="nil"/>
              <w:bottom w:val="single" w:sz="4" w:space="0" w:color="auto"/>
              <w:right w:val="single" w:sz="4" w:space="0" w:color="auto"/>
            </w:tcBorders>
            <w:shd w:val="clear" w:color="auto" w:fill="auto"/>
            <w:noWrap/>
            <w:vAlign w:val="bottom"/>
            <w:hideMark/>
          </w:tcPr>
          <w:p w14:paraId="28F90FDC" w14:textId="77777777" w:rsidR="00862A01" w:rsidRPr="00872D7E" w:rsidRDefault="00862A01" w:rsidP="00862A01">
            <w:pPr>
              <w:jc w:val="right"/>
              <w:rPr>
                <w:sz w:val="18"/>
                <w:szCs w:val="18"/>
                <w:lang w:eastAsia="tr-TR"/>
              </w:rPr>
            </w:pPr>
            <w:r w:rsidRPr="00872D7E">
              <w:rPr>
                <w:sz w:val="18"/>
                <w:szCs w:val="18"/>
                <w:lang w:eastAsia="tr-TR"/>
              </w:rPr>
              <w:t> </w:t>
            </w:r>
          </w:p>
        </w:tc>
      </w:tr>
      <w:tr w:rsidR="00862A01" w:rsidRPr="00872D7E" w14:paraId="2A46460E" w14:textId="77777777" w:rsidTr="00862A01">
        <w:trPr>
          <w:divId w:val="80831233"/>
          <w:trHeight w:val="227"/>
        </w:trPr>
        <w:tc>
          <w:tcPr>
            <w:tcW w:w="218" w:type="pct"/>
            <w:tcBorders>
              <w:top w:val="single" w:sz="4" w:space="0" w:color="auto"/>
              <w:left w:val="single" w:sz="4" w:space="0" w:color="auto"/>
              <w:bottom w:val="nil"/>
              <w:right w:val="single" w:sz="4" w:space="0" w:color="auto"/>
            </w:tcBorders>
            <w:shd w:val="clear" w:color="auto" w:fill="auto"/>
            <w:noWrap/>
            <w:hideMark/>
          </w:tcPr>
          <w:p w14:paraId="7F86EE49" w14:textId="77777777" w:rsidR="00862A01" w:rsidRPr="00872D7E" w:rsidRDefault="00862A01" w:rsidP="00862A01">
            <w:pPr>
              <w:jc w:val="center"/>
              <w:rPr>
                <w:sz w:val="18"/>
                <w:szCs w:val="18"/>
                <w:lang w:eastAsia="tr-TR"/>
              </w:rPr>
            </w:pPr>
            <w:r w:rsidRPr="00872D7E">
              <w:rPr>
                <w:sz w:val="18"/>
                <w:szCs w:val="18"/>
                <w:lang w:eastAsia="tr-TR"/>
              </w:rPr>
              <w:t>7</w:t>
            </w:r>
          </w:p>
        </w:tc>
        <w:tc>
          <w:tcPr>
            <w:tcW w:w="3153" w:type="pct"/>
            <w:tcBorders>
              <w:top w:val="single" w:sz="4" w:space="0" w:color="auto"/>
              <w:left w:val="nil"/>
              <w:bottom w:val="nil"/>
              <w:right w:val="single" w:sz="4" w:space="0" w:color="auto"/>
            </w:tcBorders>
            <w:shd w:val="clear" w:color="auto" w:fill="auto"/>
            <w:noWrap/>
            <w:hideMark/>
          </w:tcPr>
          <w:p w14:paraId="7670636C" w14:textId="77777777" w:rsidR="00862A01" w:rsidRPr="00872D7E" w:rsidRDefault="00862A01" w:rsidP="00862A01">
            <w:pPr>
              <w:rPr>
                <w:sz w:val="18"/>
                <w:szCs w:val="18"/>
                <w:lang w:eastAsia="tr-TR"/>
              </w:rPr>
            </w:pPr>
            <w:r w:rsidRPr="00872D7E">
              <w:rPr>
                <w:sz w:val="18"/>
                <w:szCs w:val="18"/>
                <w:lang w:eastAsia="tr-TR"/>
              </w:rPr>
              <w:t>Menkul kıymet veya emtia teminatlı finansman işlemlerinin risk tutarı (Bilanço içi hariç)</w:t>
            </w:r>
          </w:p>
        </w:tc>
        <w:tc>
          <w:tcPr>
            <w:tcW w:w="876" w:type="pct"/>
            <w:tcBorders>
              <w:top w:val="single" w:sz="4" w:space="0" w:color="auto"/>
              <w:left w:val="nil"/>
              <w:bottom w:val="nil"/>
              <w:right w:val="single" w:sz="4" w:space="0" w:color="auto"/>
            </w:tcBorders>
            <w:shd w:val="clear" w:color="auto" w:fill="auto"/>
            <w:noWrap/>
            <w:vAlign w:val="bottom"/>
            <w:hideMark/>
          </w:tcPr>
          <w:p w14:paraId="50A31EA5" w14:textId="77777777" w:rsidR="00862A01" w:rsidRPr="00872D7E" w:rsidRDefault="00862A01" w:rsidP="00862A01">
            <w:pPr>
              <w:jc w:val="right"/>
              <w:rPr>
                <w:sz w:val="18"/>
                <w:szCs w:val="18"/>
                <w:lang w:eastAsia="tr-TR"/>
              </w:rPr>
            </w:pPr>
            <w:r w:rsidRPr="00872D7E">
              <w:rPr>
                <w:sz w:val="18"/>
                <w:szCs w:val="18"/>
                <w:lang w:eastAsia="tr-TR"/>
              </w:rPr>
              <w:t>-</w:t>
            </w:r>
          </w:p>
        </w:tc>
        <w:tc>
          <w:tcPr>
            <w:tcW w:w="753" w:type="pct"/>
            <w:tcBorders>
              <w:top w:val="single" w:sz="4" w:space="0" w:color="auto"/>
              <w:left w:val="nil"/>
              <w:bottom w:val="nil"/>
              <w:right w:val="single" w:sz="4" w:space="0" w:color="auto"/>
            </w:tcBorders>
            <w:shd w:val="clear" w:color="auto" w:fill="auto"/>
            <w:noWrap/>
            <w:vAlign w:val="bottom"/>
            <w:hideMark/>
          </w:tcPr>
          <w:p w14:paraId="1CDB75E3" w14:textId="77777777" w:rsidR="00862A01" w:rsidRPr="00872D7E" w:rsidRDefault="00862A01" w:rsidP="00862A01">
            <w:pPr>
              <w:jc w:val="right"/>
              <w:rPr>
                <w:sz w:val="18"/>
                <w:szCs w:val="18"/>
                <w:lang w:eastAsia="tr-TR"/>
              </w:rPr>
            </w:pPr>
            <w:r w:rsidRPr="00872D7E">
              <w:rPr>
                <w:sz w:val="18"/>
                <w:szCs w:val="18"/>
                <w:lang w:eastAsia="tr-TR"/>
              </w:rPr>
              <w:t>-</w:t>
            </w:r>
          </w:p>
        </w:tc>
      </w:tr>
      <w:tr w:rsidR="00862A01" w:rsidRPr="00872D7E" w14:paraId="74E8449D" w14:textId="77777777" w:rsidTr="00862A01">
        <w:trPr>
          <w:divId w:val="80831233"/>
          <w:trHeight w:val="227"/>
        </w:trPr>
        <w:tc>
          <w:tcPr>
            <w:tcW w:w="218" w:type="pct"/>
            <w:tcBorders>
              <w:top w:val="nil"/>
              <w:left w:val="single" w:sz="4" w:space="0" w:color="auto"/>
              <w:bottom w:val="nil"/>
              <w:right w:val="single" w:sz="4" w:space="0" w:color="auto"/>
            </w:tcBorders>
            <w:shd w:val="clear" w:color="auto" w:fill="auto"/>
            <w:noWrap/>
            <w:hideMark/>
          </w:tcPr>
          <w:p w14:paraId="64FA5097" w14:textId="77777777" w:rsidR="00862A01" w:rsidRPr="00872D7E" w:rsidRDefault="00862A01" w:rsidP="00862A01">
            <w:pPr>
              <w:jc w:val="center"/>
              <w:rPr>
                <w:sz w:val="18"/>
                <w:szCs w:val="18"/>
                <w:lang w:eastAsia="tr-TR"/>
              </w:rPr>
            </w:pPr>
            <w:r w:rsidRPr="00872D7E">
              <w:rPr>
                <w:sz w:val="18"/>
                <w:szCs w:val="18"/>
                <w:lang w:eastAsia="tr-TR"/>
              </w:rPr>
              <w:t>8</w:t>
            </w:r>
          </w:p>
        </w:tc>
        <w:tc>
          <w:tcPr>
            <w:tcW w:w="3153" w:type="pct"/>
            <w:tcBorders>
              <w:top w:val="nil"/>
              <w:left w:val="nil"/>
              <w:bottom w:val="nil"/>
              <w:right w:val="single" w:sz="4" w:space="0" w:color="auto"/>
            </w:tcBorders>
            <w:shd w:val="clear" w:color="auto" w:fill="auto"/>
            <w:noWrap/>
            <w:hideMark/>
          </w:tcPr>
          <w:p w14:paraId="71F291F6" w14:textId="77777777" w:rsidR="00862A01" w:rsidRPr="00872D7E" w:rsidRDefault="00862A01" w:rsidP="00862A01">
            <w:pPr>
              <w:rPr>
                <w:sz w:val="18"/>
                <w:szCs w:val="18"/>
                <w:lang w:eastAsia="tr-TR"/>
              </w:rPr>
            </w:pPr>
            <w:r w:rsidRPr="00872D7E">
              <w:rPr>
                <w:sz w:val="18"/>
                <w:szCs w:val="18"/>
                <w:lang w:eastAsia="tr-TR"/>
              </w:rPr>
              <w:t>Aracılık edilen işlemlerden kaynaklanan risk tutarı</w:t>
            </w:r>
          </w:p>
        </w:tc>
        <w:tc>
          <w:tcPr>
            <w:tcW w:w="876" w:type="pct"/>
            <w:tcBorders>
              <w:top w:val="nil"/>
              <w:left w:val="nil"/>
              <w:bottom w:val="nil"/>
              <w:right w:val="single" w:sz="4" w:space="0" w:color="auto"/>
            </w:tcBorders>
            <w:shd w:val="clear" w:color="auto" w:fill="auto"/>
            <w:vAlign w:val="bottom"/>
            <w:hideMark/>
          </w:tcPr>
          <w:p w14:paraId="01D673CC" w14:textId="77777777" w:rsidR="00862A01" w:rsidRPr="00872D7E" w:rsidRDefault="00862A01" w:rsidP="00862A01">
            <w:pPr>
              <w:jc w:val="right"/>
              <w:rPr>
                <w:sz w:val="18"/>
                <w:szCs w:val="18"/>
                <w:lang w:eastAsia="tr-TR"/>
              </w:rPr>
            </w:pPr>
            <w:r w:rsidRPr="00872D7E">
              <w:rPr>
                <w:sz w:val="18"/>
                <w:szCs w:val="18"/>
                <w:lang w:eastAsia="tr-TR"/>
              </w:rPr>
              <w:t>-</w:t>
            </w:r>
          </w:p>
        </w:tc>
        <w:tc>
          <w:tcPr>
            <w:tcW w:w="753" w:type="pct"/>
            <w:tcBorders>
              <w:top w:val="nil"/>
              <w:left w:val="nil"/>
              <w:bottom w:val="nil"/>
              <w:right w:val="single" w:sz="4" w:space="0" w:color="auto"/>
            </w:tcBorders>
            <w:shd w:val="clear" w:color="auto" w:fill="auto"/>
            <w:vAlign w:val="bottom"/>
            <w:hideMark/>
          </w:tcPr>
          <w:p w14:paraId="1B24FC1A" w14:textId="77777777" w:rsidR="00862A01" w:rsidRPr="00872D7E" w:rsidRDefault="00862A01" w:rsidP="00862A01">
            <w:pPr>
              <w:jc w:val="right"/>
              <w:rPr>
                <w:sz w:val="18"/>
                <w:szCs w:val="18"/>
                <w:lang w:eastAsia="tr-TR"/>
              </w:rPr>
            </w:pPr>
            <w:r w:rsidRPr="00872D7E">
              <w:rPr>
                <w:sz w:val="18"/>
                <w:szCs w:val="18"/>
                <w:lang w:eastAsia="tr-TR"/>
              </w:rPr>
              <w:t>-</w:t>
            </w:r>
          </w:p>
        </w:tc>
      </w:tr>
      <w:tr w:rsidR="00862A01" w:rsidRPr="00872D7E" w14:paraId="2BA64732" w14:textId="77777777" w:rsidTr="00862A01">
        <w:trPr>
          <w:divId w:val="80831233"/>
          <w:trHeight w:val="227"/>
        </w:trPr>
        <w:tc>
          <w:tcPr>
            <w:tcW w:w="218" w:type="pct"/>
            <w:tcBorders>
              <w:top w:val="nil"/>
              <w:left w:val="single" w:sz="4" w:space="0" w:color="auto"/>
              <w:bottom w:val="single" w:sz="4" w:space="0" w:color="auto"/>
              <w:right w:val="single" w:sz="4" w:space="0" w:color="auto"/>
            </w:tcBorders>
            <w:shd w:val="clear" w:color="auto" w:fill="auto"/>
            <w:noWrap/>
            <w:hideMark/>
          </w:tcPr>
          <w:p w14:paraId="0D9D43B5" w14:textId="77777777" w:rsidR="00862A01" w:rsidRPr="00872D7E" w:rsidRDefault="00862A01" w:rsidP="00862A01">
            <w:pPr>
              <w:jc w:val="center"/>
              <w:rPr>
                <w:sz w:val="18"/>
                <w:szCs w:val="18"/>
                <w:lang w:eastAsia="tr-TR"/>
              </w:rPr>
            </w:pPr>
            <w:r w:rsidRPr="00872D7E">
              <w:rPr>
                <w:sz w:val="18"/>
                <w:szCs w:val="18"/>
                <w:lang w:eastAsia="tr-TR"/>
              </w:rPr>
              <w:t>9</w:t>
            </w:r>
          </w:p>
        </w:tc>
        <w:tc>
          <w:tcPr>
            <w:tcW w:w="3153" w:type="pct"/>
            <w:tcBorders>
              <w:top w:val="nil"/>
              <w:left w:val="nil"/>
              <w:bottom w:val="single" w:sz="4" w:space="0" w:color="auto"/>
              <w:right w:val="single" w:sz="4" w:space="0" w:color="auto"/>
            </w:tcBorders>
            <w:shd w:val="clear" w:color="auto" w:fill="auto"/>
            <w:hideMark/>
          </w:tcPr>
          <w:p w14:paraId="653B3637" w14:textId="77777777" w:rsidR="00862A01" w:rsidRPr="00872D7E" w:rsidRDefault="00862A01" w:rsidP="00862A01">
            <w:pPr>
              <w:rPr>
                <w:sz w:val="18"/>
                <w:szCs w:val="18"/>
                <w:lang w:eastAsia="tr-TR"/>
              </w:rPr>
            </w:pPr>
            <w:r w:rsidRPr="00872D7E">
              <w:rPr>
                <w:sz w:val="18"/>
                <w:szCs w:val="18"/>
                <w:lang w:eastAsia="tr-TR"/>
              </w:rPr>
              <w:t>Menkul kıymet veya emtia teminatlı finansman işlemlerine ilişkin toplam risk tutarı (7 ve 8’inci satırların toplamı)</w:t>
            </w:r>
          </w:p>
        </w:tc>
        <w:tc>
          <w:tcPr>
            <w:tcW w:w="876" w:type="pct"/>
            <w:tcBorders>
              <w:top w:val="nil"/>
              <w:left w:val="nil"/>
              <w:bottom w:val="single" w:sz="4" w:space="0" w:color="auto"/>
              <w:right w:val="single" w:sz="4" w:space="0" w:color="auto"/>
            </w:tcBorders>
            <w:shd w:val="clear" w:color="auto" w:fill="auto"/>
            <w:vAlign w:val="bottom"/>
            <w:hideMark/>
          </w:tcPr>
          <w:p w14:paraId="2B9BD66A" w14:textId="77777777" w:rsidR="00862A01" w:rsidRPr="00872D7E" w:rsidRDefault="00862A01" w:rsidP="00862A01">
            <w:pPr>
              <w:jc w:val="right"/>
              <w:rPr>
                <w:sz w:val="18"/>
                <w:szCs w:val="18"/>
                <w:lang w:eastAsia="tr-TR"/>
              </w:rPr>
            </w:pPr>
            <w:r w:rsidRPr="00872D7E">
              <w:rPr>
                <w:sz w:val="18"/>
                <w:szCs w:val="18"/>
                <w:lang w:eastAsia="tr-TR"/>
              </w:rPr>
              <w:t>-</w:t>
            </w:r>
          </w:p>
        </w:tc>
        <w:tc>
          <w:tcPr>
            <w:tcW w:w="753" w:type="pct"/>
            <w:tcBorders>
              <w:top w:val="nil"/>
              <w:left w:val="nil"/>
              <w:bottom w:val="single" w:sz="4" w:space="0" w:color="auto"/>
              <w:right w:val="single" w:sz="4" w:space="0" w:color="auto"/>
            </w:tcBorders>
            <w:shd w:val="clear" w:color="auto" w:fill="auto"/>
            <w:vAlign w:val="bottom"/>
            <w:hideMark/>
          </w:tcPr>
          <w:p w14:paraId="147D72B5" w14:textId="77777777" w:rsidR="00862A01" w:rsidRPr="00872D7E" w:rsidRDefault="00862A01" w:rsidP="00862A01">
            <w:pPr>
              <w:jc w:val="right"/>
              <w:rPr>
                <w:sz w:val="18"/>
                <w:szCs w:val="18"/>
                <w:lang w:eastAsia="tr-TR"/>
              </w:rPr>
            </w:pPr>
            <w:r w:rsidRPr="00872D7E">
              <w:rPr>
                <w:sz w:val="18"/>
                <w:szCs w:val="18"/>
                <w:lang w:eastAsia="tr-TR"/>
              </w:rPr>
              <w:t>-</w:t>
            </w:r>
          </w:p>
        </w:tc>
      </w:tr>
      <w:tr w:rsidR="00862A01" w:rsidRPr="00872D7E" w14:paraId="11779B0F" w14:textId="77777777" w:rsidTr="00862A01">
        <w:trPr>
          <w:divId w:val="80831233"/>
          <w:trHeight w:val="227"/>
        </w:trPr>
        <w:tc>
          <w:tcPr>
            <w:tcW w:w="218" w:type="pct"/>
            <w:tcBorders>
              <w:top w:val="single" w:sz="4" w:space="0" w:color="auto"/>
              <w:left w:val="single" w:sz="4" w:space="0" w:color="auto"/>
              <w:bottom w:val="single" w:sz="4" w:space="0" w:color="auto"/>
              <w:right w:val="single" w:sz="4" w:space="0" w:color="auto"/>
            </w:tcBorders>
            <w:shd w:val="clear" w:color="auto" w:fill="auto"/>
            <w:noWrap/>
            <w:hideMark/>
          </w:tcPr>
          <w:p w14:paraId="250620E8" w14:textId="77777777" w:rsidR="00862A01" w:rsidRPr="00872D7E" w:rsidRDefault="00862A01" w:rsidP="00862A01">
            <w:pPr>
              <w:jc w:val="center"/>
              <w:rPr>
                <w:sz w:val="18"/>
                <w:szCs w:val="18"/>
                <w:lang w:eastAsia="tr-TR"/>
              </w:rPr>
            </w:pPr>
            <w:r w:rsidRPr="00872D7E">
              <w:rPr>
                <w:sz w:val="18"/>
                <w:szCs w:val="18"/>
                <w:lang w:eastAsia="tr-TR"/>
              </w:rPr>
              <w:t> </w:t>
            </w:r>
          </w:p>
        </w:tc>
        <w:tc>
          <w:tcPr>
            <w:tcW w:w="3153" w:type="pct"/>
            <w:tcBorders>
              <w:top w:val="single" w:sz="4" w:space="0" w:color="auto"/>
              <w:left w:val="nil"/>
              <w:bottom w:val="single" w:sz="4" w:space="0" w:color="auto"/>
              <w:right w:val="single" w:sz="4" w:space="0" w:color="auto"/>
            </w:tcBorders>
            <w:shd w:val="clear" w:color="auto" w:fill="auto"/>
            <w:noWrap/>
            <w:hideMark/>
          </w:tcPr>
          <w:p w14:paraId="772932A7" w14:textId="77777777" w:rsidR="00862A01" w:rsidRPr="00872D7E" w:rsidRDefault="00862A01" w:rsidP="00862A01">
            <w:pPr>
              <w:rPr>
                <w:b/>
                <w:bCs/>
                <w:sz w:val="18"/>
                <w:szCs w:val="18"/>
                <w:lang w:eastAsia="tr-TR"/>
              </w:rPr>
            </w:pPr>
            <w:r w:rsidRPr="00872D7E">
              <w:rPr>
                <w:b/>
                <w:bCs/>
                <w:sz w:val="18"/>
                <w:szCs w:val="18"/>
                <w:lang w:eastAsia="tr-TR"/>
              </w:rPr>
              <w:t>Bilanço dışı işlemler</w:t>
            </w:r>
          </w:p>
        </w:tc>
        <w:tc>
          <w:tcPr>
            <w:tcW w:w="876" w:type="pct"/>
            <w:tcBorders>
              <w:top w:val="single" w:sz="4" w:space="0" w:color="auto"/>
              <w:left w:val="nil"/>
              <w:bottom w:val="single" w:sz="4" w:space="0" w:color="auto"/>
              <w:right w:val="single" w:sz="4" w:space="0" w:color="auto"/>
            </w:tcBorders>
            <w:shd w:val="clear" w:color="auto" w:fill="auto"/>
            <w:noWrap/>
            <w:vAlign w:val="bottom"/>
            <w:hideMark/>
          </w:tcPr>
          <w:p w14:paraId="028930B9" w14:textId="77777777" w:rsidR="00862A01" w:rsidRPr="00872D7E" w:rsidRDefault="00862A01" w:rsidP="00862A01">
            <w:pPr>
              <w:jc w:val="right"/>
              <w:rPr>
                <w:sz w:val="18"/>
                <w:szCs w:val="18"/>
                <w:lang w:eastAsia="tr-TR"/>
              </w:rPr>
            </w:pPr>
            <w:r w:rsidRPr="00872D7E">
              <w:rPr>
                <w:sz w:val="18"/>
                <w:szCs w:val="18"/>
                <w:lang w:eastAsia="tr-TR"/>
              </w:rPr>
              <w:t> </w:t>
            </w:r>
          </w:p>
        </w:tc>
        <w:tc>
          <w:tcPr>
            <w:tcW w:w="753" w:type="pct"/>
            <w:tcBorders>
              <w:top w:val="single" w:sz="4" w:space="0" w:color="auto"/>
              <w:left w:val="nil"/>
              <w:bottom w:val="single" w:sz="4" w:space="0" w:color="auto"/>
              <w:right w:val="single" w:sz="4" w:space="0" w:color="auto"/>
            </w:tcBorders>
            <w:shd w:val="clear" w:color="auto" w:fill="auto"/>
            <w:noWrap/>
            <w:vAlign w:val="bottom"/>
            <w:hideMark/>
          </w:tcPr>
          <w:p w14:paraId="641EED04" w14:textId="77777777" w:rsidR="00862A01" w:rsidRPr="00872D7E" w:rsidRDefault="00862A01" w:rsidP="00862A01">
            <w:pPr>
              <w:jc w:val="right"/>
              <w:rPr>
                <w:sz w:val="18"/>
                <w:szCs w:val="18"/>
                <w:lang w:eastAsia="tr-TR"/>
              </w:rPr>
            </w:pPr>
            <w:r w:rsidRPr="00872D7E">
              <w:rPr>
                <w:sz w:val="18"/>
                <w:szCs w:val="18"/>
                <w:lang w:eastAsia="tr-TR"/>
              </w:rPr>
              <w:t> </w:t>
            </w:r>
          </w:p>
        </w:tc>
      </w:tr>
      <w:tr w:rsidR="00862A01" w:rsidRPr="00872D7E" w14:paraId="639DAD4A" w14:textId="77777777" w:rsidTr="00862A01">
        <w:trPr>
          <w:divId w:val="80831233"/>
          <w:trHeight w:val="227"/>
        </w:trPr>
        <w:tc>
          <w:tcPr>
            <w:tcW w:w="218" w:type="pct"/>
            <w:tcBorders>
              <w:top w:val="single" w:sz="4" w:space="0" w:color="auto"/>
              <w:left w:val="single" w:sz="4" w:space="0" w:color="auto"/>
              <w:bottom w:val="nil"/>
              <w:right w:val="single" w:sz="4" w:space="0" w:color="auto"/>
            </w:tcBorders>
            <w:shd w:val="clear" w:color="auto" w:fill="auto"/>
            <w:noWrap/>
            <w:hideMark/>
          </w:tcPr>
          <w:p w14:paraId="34844872" w14:textId="77777777" w:rsidR="00862A01" w:rsidRPr="00872D7E" w:rsidRDefault="00862A01" w:rsidP="00862A01">
            <w:pPr>
              <w:jc w:val="center"/>
              <w:rPr>
                <w:sz w:val="18"/>
                <w:szCs w:val="18"/>
                <w:lang w:eastAsia="tr-TR"/>
              </w:rPr>
            </w:pPr>
            <w:r w:rsidRPr="00872D7E">
              <w:rPr>
                <w:sz w:val="18"/>
                <w:szCs w:val="18"/>
                <w:lang w:eastAsia="tr-TR"/>
              </w:rPr>
              <w:t>10</w:t>
            </w:r>
          </w:p>
        </w:tc>
        <w:tc>
          <w:tcPr>
            <w:tcW w:w="3153" w:type="pct"/>
            <w:tcBorders>
              <w:top w:val="single" w:sz="4" w:space="0" w:color="auto"/>
              <w:left w:val="nil"/>
              <w:bottom w:val="nil"/>
              <w:right w:val="single" w:sz="4" w:space="0" w:color="auto"/>
            </w:tcBorders>
            <w:shd w:val="clear" w:color="auto" w:fill="auto"/>
            <w:hideMark/>
          </w:tcPr>
          <w:p w14:paraId="51DC0784" w14:textId="77777777" w:rsidR="00862A01" w:rsidRPr="00872D7E" w:rsidRDefault="00862A01" w:rsidP="00862A01">
            <w:pPr>
              <w:rPr>
                <w:sz w:val="18"/>
                <w:szCs w:val="18"/>
                <w:lang w:eastAsia="tr-TR"/>
              </w:rPr>
            </w:pPr>
            <w:r w:rsidRPr="00872D7E">
              <w:rPr>
                <w:sz w:val="18"/>
                <w:szCs w:val="18"/>
                <w:lang w:eastAsia="tr-TR"/>
              </w:rPr>
              <w:t>Bilanço dışı işlemlerin brüt nominal tutarı</w:t>
            </w:r>
          </w:p>
        </w:tc>
        <w:tc>
          <w:tcPr>
            <w:tcW w:w="876" w:type="pct"/>
            <w:tcBorders>
              <w:top w:val="single" w:sz="4" w:space="0" w:color="auto"/>
              <w:left w:val="nil"/>
              <w:bottom w:val="nil"/>
              <w:right w:val="single" w:sz="4" w:space="0" w:color="auto"/>
            </w:tcBorders>
            <w:shd w:val="clear" w:color="auto" w:fill="auto"/>
            <w:noWrap/>
            <w:vAlign w:val="bottom"/>
            <w:hideMark/>
          </w:tcPr>
          <w:p w14:paraId="01194573" w14:textId="77777777" w:rsidR="00862A01" w:rsidRPr="00872D7E" w:rsidRDefault="00862A01" w:rsidP="00862A01">
            <w:pPr>
              <w:jc w:val="right"/>
              <w:rPr>
                <w:sz w:val="18"/>
                <w:szCs w:val="18"/>
                <w:lang w:eastAsia="tr-TR"/>
              </w:rPr>
            </w:pPr>
            <w:r w:rsidRPr="00872D7E">
              <w:rPr>
                <w:sz w:val="18"/>
                <w:szCs w:val="18"/>
                <w:lang w:eastAsia="tr-TR"/>
              </w:rPr>
              <w:t>15.091.191</w:t>
            </w:r>
          </w:p>
        </w:tc>
        <w:tc>
          <w:tcPr>
            <w:tcW w:w="753" w:type="pct"/>
            <w:tcBorders>
              <w:top w:val="single" w:sz="4" w:space="0" w:color="auto"/>
              <w:left w:val="nil"/>
              <w:bottom w:val="nil"/>
              <w:right w:val="single" w:sz="4" w:space="0" w:color="auto"/>
            </w:tcBorders>
            <w:shd w:val="clear" w:color="auto" w:fill="auto"/>
            <w:noWrap/>
            <w:vAlign w:val="bottom"/>
            <w:hideMark/>
          </w:tcPr>
          <w:p w14:paraId="4189EEDF" w14:textId="77777777" w:rsidR="00862A01" w:rsidRPr="00872D7E" w:rsidRDefault="00862A01" w:rsidP="00862A01">
            <w:pPr>
              <w:jc w:val="right"/>
              <w:rPr>
                <w:sz w:val="18"/>
                <w:szCs w:val="18"/>
                <w:lang w:eastAsia="tr-TR"/>
              </w:rPr>
            </w:pPr>
            <w:r w:rsidRPr="00872D7E">
              <w:rPr>
                <w:sz w:val="18"/>
                <w:szCs w:val="18"/>
                <w:lang w:eastAsia="tr-TR"/>
              </w:rPr>
              <w:t>5</w:t>
            </w:r>
          </w:p>
        </w:tc>
      </w:tr>
      <w:tr w:rsidR="00862A01" w:rsidRPr="00872D7E" w14:paraId="0B997238" w14:textId="77777777" w:rsidTr="00862A01">
        <w:trPr>
          <w:divId w:val="80831233"/>
          <w:trHeight w:val="227"/>
        </w:trPr>
        <w:tc>
          <w:tcPr>
            <w:tcW w:w="218" w:type="pct"/>
            <w:tcBorders>
              <w:top w:val="nil"/>
              <w:left w:val="single" w:sz="4" w:space="0" w:color="auto"/>
              <w:bottom w:val="nil"/>
              <w:right w:val="single" w:sz="4" w:space="0" w:color="auto"/>
            </w:tcBorders>
            <w:shd w:val="clear" w:color="auto" w:fill="auto"/>
            <w:noWrap/>
            <w:hideMark/>
          </w:tcPr>
          <w:p w14:paraId="330DD1BE" w14:textId="77777777" w:rsidR="00862A01" w:rsidRPr="00872D7E" w:rsidRDefault="00862A01" w:rsidP="00862A01">
            <w:pPr>
              <w:jc w:val="center"/>
              <w:rPr>
                <w:sz w:val="18"/>
                <w:szCs w:val="18"/>
                <w:lang w:eastAsia="tr-TR"/>
              </w:rPr>
            </w:pPr>
            <w:r w:rsidRPr="00872D7E">
              <w:rPr>
                <w:sz w:val="18"/>
                <w:szCs w:val="18"/>
                <w:lang w:eastAsia="tr-TR"/>
              </w:rPr>
              <w:t>11</w:t>
            </w:r>
          </w:p>
        </w:tc>
        <w:tc>
          <w:tcPr>
            <w:tcW w:w="3153" w:type="pct"/>
            <w:tcBorders>
              <w:top w:val="nil"/>
              <w:left w:val="nil"/>
              <w:bottom w:val="nil"/>
              <w:right w:val="single" w:sz="4" w:space="0" w:color="auto"/>
            </w:tcBorders>
            <w:shd w:val="clear" w:color="auto" w:fill="auto"/>
            <w:noWrap/>
            <w:hideMark/>
          </w:tcPr>
          <w:p w14:paraId="3434220B" w14:textId="77777777" w:rsidR="00862A01" w:rsidRPr="00872D7E" w:rsidRDefault="00862A01" w:rsidP="00862A01">
            <w:pPr>
              <w:rPr>
                <w:sz w:val="18"/>
                <w:szCs w:val="18"/>
                <w:lang w:eastAsia="tr-TR"/>
              </w:rPr>
            </w:pPr>
            <w:r w:rsidRPr="00872D7E">
              <w:rPr>
                <w:sz w:val="18"/>
                <w:szCs w:val="18"/>
                <w:lang w:eastAsia="tr-TR"/>
              </w:rPr>
              <w:t>(Krediye dönüştürme oranları ile çarpımdan kaynaklanan düzeltme tutarı)</w:t>
            </w:r>
          </w:p>
        </w:tc>
        <w:tc>
          <w:tcPr>
            <w:tcW w:w="876" w:type="pct"/>
            <w:tcBorders>
              <w:top w:val="nil"/>
              <w:left w:val="nil"/>
              <w:bottom w:val="nil"/>
              <w:right w:val="single" w:sz="4" w:space="0" w:color="auto"/>
            </w:tcBorders>
            <w:shd w:val="clear" w:color="auto" w:fill="auto"/>
            <w:vAlign w:val="bottom"/>
            <w:hideMark/>
          </w:tcPr>
          <w:p w14:paraId="4F0AC66E" w14:textId="77777777" w:rsidR="00862A01" w:rsidRPr="00872D7E" w:rsidRDefault="00862A01" w:rsidP="00862A01">
            <w:pPr>
              <w:jc w:val="right"/>
              <w:rPr>
                <w:sz w:val="18"/>
                <w:szCs w:val="18"/>
                <w:lang w:eastAsia="tr-TR"/>
              </w:rPr>
            </w:pPr>
            <w:r w:rsidRPr="00872D7E">
              <w:rPr>
                <w:sz w:val="18"/>
                <w:szCs w:val="18"/>
                <w:lang w:eastAsia="tr-TR"/>
              </w:rPr>
              <w:t>-</w:t>
            </w:r>
          </w:p>
        </w:tc>
        <w:tc>
          <w:tcPr>
            <w:tcW w:w="753" w:type="pct"/>
            <w:tcBorders>
              <w:top w:val="nil"/>
              <w:left w:val="nil"/>
              <w:bottom w:val="nil"/>
              <w:right w:val="single" w:sz="4" w:space="0" w:color="auto"/>
            </w:tcBorders>
            <w:shd w:val="clear" w:color="auto" w:fill="auto"/>
            <w:vAlign w:val="bottom"/>
            <w:hideMark/>
          </w:tcPr>
          <w:p w14:paraId="6B6B39E8" w14:textId="77777777" w:rsidR="00862A01" w:rsidRPr="00872D7E" w:rsidRDefault="00862A01" w:rsidP="00862A01">
            <w:pPr>
              <w:jc w:val="right"/>
              <w:rPr>
                <w:sz w:val="18"/>
                <w:szCs w:val="18"/>
                <w:lang w:eastAsia="tr-TR"/>
              </w:rPr>
            </w:pPr>
            <w:r w:rsidRPr="00872D7E">
              <w:rPr>
                <w:sz w:val="18"/>
                <w:szCs w:val="18"/>
                <w:lang w:eastAsia="tr-TR"/>
              </w:rPr>
              <w:t>-</w:t>
            </w:r>
          </w:p>
        </w:tc>
      </w:tr>
      <w:tr w:rsidR="00862A01" w:rsidRPr="00872D7E" w14:paraId="7C72D19D" w14:textId="77777777" w:rsidTr="00862A01">
        <w:trPr>
          <w:divId w:val="80831233"/>
          <w:trHeight w:val="227"/>
        </w:trPr>
        <w:tc>
          <w:tcPr>
            <w:tcW w:w="218" w:type="pct"/>
            <w:tcBorders>
              <w:top w:val="nil"/>
              <w:left w:val="single" w:sz="4" w:space="0" w:color="auto"/>
              <w:bottom w:val="single" w:sz="4" w:space="0" w:color="auto"/>
              <w:right w:val="single" w:sz="4" w:space="0" w:color="auto"/>
            </w:tcBorders>
            <w:shd w:val="clear" w:color="auto" w:fill="auto"/>
            <w:noWrap/>
            <w:hideMark/>
          </w:tcPr>
          <w:p w14:paraId="18BF886A" w14:textId="77777777" w:rsidR="00862A01" w:rsidRPr="00872D7E" w:rsidRDefault="00862A01" w:rsidP="00862A01">
            <w:pPr>
              <w:jc w:val="center"/>
              <w:rPr>
                <w:sz w:val="18"/>
                <w:szCs w:val="18"/>
                <w:lang w:eastAsia="tr-TR"/>
              </w:rPr>
            </w:pPr>
            <w:r w:rsidRPr="00872D7E">
              <w:rPr>
                <w:sz w:val="18"/>
                <w:szCs w:val="18"/>
                <w:lang w:eastAsia="tr-TR"/>
              </w:rPr>
              <w:t>12</w:t>
            </w:r>
          </w:p>
        </w:tc>
        <w:tc>
          <w:tcPr>
            <w:tcW w:w="3153" w:type="pct"/>
            <w:tcBorders>
              <w:top w:val="nil"/>
              <w:left w:val="nil"/>
              <w:bottom w:val="single" w:sz="4" w:space="0" w:color="auto"/>
              <w:right w:val="single" w:sz="4" w:space="0" w:color="auto"/>
            </w:tcBorders>
            <w:shd w:val="clear" w:color="auto" w:fill="auto"/>
            <w:hideMark/>
          </w:tcPr>
          <w:p w14:paraId="06E11B96" w14:textId="77777777" w:rsidR="00862A01" w:rsidRPr="00872D7E" w:rsidRDefault="00862A01" w:rsidP="00862A01">
            <w:pPr>
              <w:rPr>
                <w:sz w:val="18"/>
                <w:szCs w:val="18"/>
                <w:lang w:eastAsia="tr-TR"/>
              </w:rPr>
            </w:pPr>
            <w:r w:rsidRPr="00872D7E">
              <w:rPr>
                <w:sz w:val="18"/>
                <w:szCs w:val="18"/>
                <w:lang w:eastAsia="tr-TR"/>
              </w:rPr>
              <w:t>Bilanço dışı işlemlere ilişkin toplam risk tutarı (10 ve 11’inci satırların toplamı)</w:t>
            </w:r>
          </w:p>
        </w:tc>
        <w:tc>
          <w:tcPr>
            <w:tcW w:w="876" w:type="pct"/>
            <w:tcBorders>
              <w:top w:val="nil"/>
              <w:left w:val="nil"/>
              <w:bottom w:val="single" w:sz="4" w:space="0" w:color="auto"/>
              <w:right w:val="single" w:sz="4" w:space="0" w:color="auto"/>
            </w:tcBorders>
            <w:shd w:val="clear" w:color="auto" w:fill="auto"/>
            <w:vAlign w:val="bottom"/>
            <w:hideMark/>
          </w:tcPr>
          <w:p w14:paraId="04EBEB24" w14:textId="77777777" w:rsidR="00862A01" w:rsidRPr="00872D7E" w:rsidRDefault="00862A01" w:rsidP="00862A01">
            <w:pPr>
              <w:jc w:val="right"/>
              <w:rPr>
                <w:sz w:val="18"/>
                <w:szCs w:val="18"/>
                <w:lang w:eastAsia="tr-TR"/>
              </w:rPr>
            </w:pPr>
            <w:r w:rsidRPr="00872D7E">
              <w:rPr>
                <w:sz w:val="18"/>
                <w:szCs w:val="18"/>
                <w:lang w:eastAsia="tr-TR"/>
              </w:rPr>
              <w:t>15.091.191</w:t>
            </w:r>
          </w:p>
        </w:tc>
        <w:tc>
          <w:tcPr>
            <w:tcW w:w="753" w:type="pct"/>
            <w:tcBorders>
              <w:top w:val="nil"/>
              <w:left w:val="nil"/>
              <w:bottom w:val="single" w:sz="4" w:space="0" w:color="auto"/>
              <w:right w:val="single" w:sz="4" w:space="0" w:color="auto"/>
            </w:tcBorders>
            <w:shd w:val="clear" w:color="auto" w:fill="auto"/>
            <w:vAlign w:val="bottom"/>
            <w:hideMark/>
          </w:tcPr>
          <w:p w14:paraId="69A8668B" w14:textId="77777777" w:rsidR="00862A01" w:rsidRPr="00872D7E" w:rsidRDefault="00862A01" w:rsidP="00862A01">
            <w:pPr>
              <w:jc w:val="right"/>
              <w:rPr>
                <w:sz w:val="18"/>
                <w:szCs w:val="18"/>
                <w:lang w:eastAsia="tr-TR"/>
              </w:rPr>
            </w:pPr>
            <w:r w:rsidRPr="00872D7E">
              <w:rPr>
                <w:sz w:val="18"/>
                <w:szCs w:val="18"/>
                <w:lang w:eastAsia="tr-TR"/>
              </w:rPr>
              <w:t>5</w:t>
            </w:r>
          </w:p>
        </w:tc>
      </w:tr>
      <w:tr w:rsidR="00862A01" w:rsidRPr="00872D7E" w14:paraId="06625276" w14:textId="77777777" w:rsidTr="00862A01">
        <w:trPr>
          <w:divId w:val="80831233"/>
          <w:trHeight w:val="227"/>
        </w:trPr>
        <w:tc>
          <w:tcPr>
            <w:tcW w:w="218" w:type="pct"/>
            <w:tcBorders>
              <w:top w:val="single" w:sz="4" w:space="0" w:color="auto"/>
              <w:left w:val="single" w:sz="4" w:space="0" w:color="auto"/>
              <w:bottom w:val="single" w:sz="4" w:space="0" w:color="auto"/>
              <w:right w:val="single" w:sz="4" w:space="0" w:color="auto"/>
            </w:tcBorders>
            <w:shd w:val="clear" w:color="auto" w:fill="auto"/>
            <w:noWrap/>
            <w:hideMark/>
          </w:tcPr>
          <w:p w14:paraId="5BE05C2F" w14:textId="77777777" w:rsidR="00862A01" w:rsidRPr="00872D7E" w:rsidRDefault="00862A01" w:rsidP="00862A01">
            <w:pPr>
              <w:jc w:val="center"/>
              <w:rPr>
                <w:sz w:val="18"/>
                <w:szCs w:val="18"/>
                <w:lang w:eastAsia="tr-TR"/>
              </w:rPr>
            </w:pPr>
            <w:r w:rsidRPr="00872D7E">
              <w:rPr>
                <w:sz w:val="18"/>
                <w:szCs w:val="18"/>
                <w:lang w:eastAsia="tr-TR"/>
              </w:rPr>
              <w:t> </w:t>
            </w:r>
          </w:p>
        </w:tc>
        <w:tc>
          <w:tcPr>
            <w:tcW w:w="3153" w:type="pct"/>
            <w:tcBorders>
              <w:top w:val="single" w:sz="4" w:space="0" w:color="auto"/>
              <w:left w:val="nil"/>
              <w:bottom w:val="single" w:sz="4" w:space="0" w:color="auto"/>
              <w:right w:val="single" w:sz="4" w:space="0" w:color="auto"/>
            </w:tcBorders>
            <w:shd w:val="clear" w:color="auto" w:fill="auto"/>
            <w:noWrap/>
            <w:hideMark/>
          </w:tcPr>
          <w:p w14:paraId="493D637F" w14:textId="77777777" w:rsidR="00862A01" w:rsidRPr="00872D7E" w:rsidRDefault="00862A01" w:rsidP="00862A01">
            <w:pPr>
              <w:rPr>
                <w:b/>
                <w:bCs/>
                <w:sz w:val="18"/>
                <w:szCs w:val="18"/>
                <w:lang w:eastAsia="tr-TR"/>
              </w:rPr>
            </w:pPr>
            <w:r w:rsidRPr="00872D7E">
              <w:rPr>
                <w:b/>
                <w:bCs/>
                <w:sz w:val="18"/>
                <w:szCs w:val="18"/>
                <w:lang w:eastAsia="tr-TR"/>
              </w:rPr>
              <w:t>Sermaye ve toplam risk</w:t>
            </w:r>
          </w:p>
        </w:tc>
        <w:tc>
          <w:tcPr>
            <w:tcW w:w="876" w:type="pct"/>
            <w:tcBorders>
              <w:top w:val="single" w:sz="4" w:space="0" w:color="auto"/>
              <w:left w:val="nil"/>
              <w:bottom w:val="single" w:sz="4" w:space="0" w:color="auto"/>
              <w:right w:val="single" w:sz="4" w:space="0" w:color="auto"/>
            </w:tcBorders>
            <w:shd w:val="clear" w:color="auto" w:fill="auto"/>
            <w:noWrap/>
            <w:vAlign w:val="bottom"/>
            <w:hideMark/>
          </w:tcPr>
          <w:p w14:paraId="531ED29B" w14:textId="77777777" w:rsidR="00862A01" w:rsidRPr="00872D7E" w:rsidRDefault="00862A01" w:rsidP="00862A01">
            <w:pPr>
              <w:jc w:val="right"/>
              <w:rPr>
                <w:sz w:val="18"/>
                <w:szCs w:val="18"/>
                <w:lang w:eastAsia="tr-TR"/>
              </w:rPr>
            </w:pPr>
            <w:r w:rsidRPr="00872D7E">
              <w:rPr>
                <w:sz w:val="18"/>
                <w:szCs w:val="18"/>
                <w:lang w:eastAsia="tr-TR"/>
              </w:rPr>
              <w:t> </w:t>
            </w:r>
          </w:p>
        </w:tc>
        <w:tc>
          <w:tcPr>
            <w:tcW w:w="753" w:type="pct"/>
            <w:tcBorders>
              <w:top w:val="single" w:sz="4" w:space="0" w:color="auto"/>
              <w:left w:val="nil"/>
              <w:bottom w:val="single" w:sz="4" w:space="0" w:color="auto"/>
              <w:right w:val="single" w:sz="4" w:space="0" w:color="auto"/>
            </w:tcBorders>
            <w:shd w:val="clear" w:color="auto" w:fill="auto"/>
            <w:noWrap/>
            <w:vAlign w:val="bottom"/>
            <w:hideMark/>
          </w:tcPr>
          <w:p w14:paraId="60826B7C" w14:textId="77777777" w:rsidR="00862A01" w:rsidRPr="00872D7E" w:rsidRDefault="00862A01" w:rsidP="00862A01">
            <w:pPr>
              <w:jc w:val="right"/>
              <w:rPr>
                <w:sz w:val="18"/>
                <w:szCs w:val="18"/>
                <w:lang w:eastAsia="tr-TR"/>
              </w:rPr>
            </w:pPr>
            <w:r w:rsidRPr="00872D7E">
              <w:rPr>
                <w:sz w:val="18"/>
                <w:szCs w:val="18"/>
                <w:lang w:eastAsia="tr-TR"/>
              </w:rPr>
              <w:t> </w:t>
            </w:r>
          </w:p>
        </w:tc>
      </w:tr>
      <w:tr w:rsidR="00862A01" w:rsidRPr="00872D7E" w14:paraId="4B38B573" w14:textId="77777777" w:rsidTr="00862A01">
        <w:trPr>
          <w:divId w:val="80831233"/>
          <w:trHeight w:val="227"/>
        </w:trPr>
        <w:tc>
          <w:tcPr>
            <w:tcW w:w="218" w:type="pct"/>
            <w:tcBorders>
              <w:top w:val="single" w:sz="4" w:space="0" w:color="auto"/>
              <w:left w:val="single" w:sz="4" w:space="0" w:color="auto"/>
              <w:bottom w:val="nil"/>
              <w:right w:val="single" w:sz="4" w:space="0" w:color="auto"/>
            </w:tcBorders>
            <w:shd w:val="clear" w:color="auto" w:fill="auto"/>
            <w:noWrap/>
            <w:hideMark/>
          </w:tcPr>
          <w:p w14:paraId="05022740" w14:textId="77777777" w:rsidR="00862A01" w:rsidRPr="00872D7E" w:rsidRDefault="00862A01" w:rsidP="00862A01">
            <w:pPr>
              <w:jc w:val="center"/>
              <w:rPr>
                <w:sz w:val="18"/>
                <w:szCs w:val="18"/>
                <w:lang w:eastAsia="tr-TR"/>
              </w:rPr>
            </w:pPr>
            <w:r w:rsidRPr="00872D7E">
              <w:rPr>
                <w:sz w:val="18"/>
                <w:szCs w:val="18"/>
                <w:lang w:eastAsia="tr-TR"/>
              </w:rPr>
              <w:t>13</w:t>
            </w:r>
          </w:p>
        </w:tc>
        <w:tc>
          <w:tcPr>
            <w:tcW w:w="3153" w:type="pct"/>
            <w:tcBorders>
              <w:top w:val="single" w:sz="4" w:space="0" w:color="auto"/>
              <w:left w:val="nil"/>
              <w:bottom w:val="nil"/>
              <w:right w:val="single" w:sz="4" w:space="0" w:color="auto"/>
            </w:tcBorders>
            <w:shd w:val="clear" w:color="auto" w:fill="auto"/>
            <w:hideMark/>
          </w:tcPr>
          <w:p w14:paraId="3EA8866F" w14:textId="77777777" w:rsidR="00862A01" w:rsidRPr="00872D7E" w:rsidRDefault="00862A01" w:rsidP="00862A01">
            <w:pPr>
              <w:rPr>
                <w:sz w:val="18"/>
                <w:szCs w:val="18"/>
                <w:lang w:eastAsia="tr-TR"/>
              </w:rPr>
            </w:pPr>
            <w:r w:rsidRPr="00872D7E">
              <w:rPr>
                <w:sz w:val="18"/>
                <w:szCs w:val="18"/>
                <w:lang w:eastAsia="tr-TR"/>
              </w:rPr>
              <w:t>Ana sermaye</w:t>
            </w:r>
          </w:p>
        </w:tc>
        <w:tc>
          <w:tcPr>
            <w:tcW w:w="876" w:type="pct"/>
            <w:tcBorders>
              <w:top w:val="single" w:sz="4" w:space="0" w:color="auto"/>
              <w:left w:val="nil"/>
              <w:bottom w:val="nil"/>
              <w:right w:val="single" w:sz="4" w:space="0" w:color="auto"/>
            </w:tcBorders>
            <w:shd w:val="clear" w:color="auto" w:fill="auto"/>
            <w:vAlign w:val="bottom"/>
            <w:hideMark/>
          </w:tcPr>
          <w:p w14:paraId="623A3567" w14:textId="77777777" w:rsidR="00862A01" w:rsidRPr="00872D7E" w:rsidRDefault="00862A01" w:rsidP="00862A01">
            <w:pPr>
              <w:jc w:val="right"/>
              <w:rPr>
                <w:sz w:val="18"/>
                <w:szCs w:val="18"/>
                <w:lang w:eastAsia="tr-TR"/>
              </w:rPr>
            </w:pPr>
            <w:r w:rsidRPr="00872D7E">
              <w:rPr>
                <w:sz w:val="18"/>
                <w:szCs w:val="18"/>
                <w:lang w:eastAsia="tr-TR"/>
              </w:rPr>
              <w:t>6.917.686</w:t>
            </w:r>
          </w:p>
        </w:tc>
        <w:tc>
          <w:tcPr>
            <w:tcW w:w="753" w:type="pct"/>
            <w:tcBorders>
              <w:top w:val="single" w:sz="4" w:space="0" w:color="auto"/>
              <w:left w:val="nil"/>
              <w:bottom w:val="nil"/>
              <w:right w:val="single" w:sz="4" w:space="0" w:color="auto"/>
            </w:tcBorders>
            <w:shd w:val="clear" w:color="auto" w:fill="auto"/>
            <w:vAlign w:val="bottom"/>
            <w:hideMark/>
          </w:tcPr>
          <w:p w14:paraId="6E1F8B87" w14:textId="77777777" w:rsidR="00862A01" w:rsidRPr="00872D7E" w:rsidRDefault="00862A01" w:rsidP="00862A01">
            <w:pPr>
              <w:jc w:val="right"/>
              <w:rPr>
                <w:sz w:val="18"/>
                <w:szCs w:val="18"/>
                <w:lang w:eastAsia="tr-TR"/>
              </w:rPr>
            </w:pPr>
            <w:r w:rsidRPr="00872D7E">
              <w:rPr>
                <w:sz w:val="18"/>
                <w:szCs w:val="18"/>
                <w:lang w:eastAsia="tr-TR"/>
              </w:rPr>
              <w:t>92</w:t>
            </w:r>
          </w:p>
        </w:tc>
      </w:tr>
      <w:tr w:rsidR="00862A01" w:rsidRPr="00872D7E" w14:paraId="2C88C2B0" w14:textId="77777777" w:rsidTr="00862A01">
        <w:trPr>
          <w:divId w:val="80831233"/>
          <w:trHeight w:val="227"/>
        </w:trPr>
        <w:tc>
          <w:tcPr>
            <w:tcW w:w="218" w:type="pct"/>
            <w:tcBorders>
              <w:top w:val="nil"/>
              <w:left w:val="single" w:sz="4" w:space="0" w:color="auto"/>
              <w:bottom w:val="single" w:sz="4" w:space="0" w:color="auto"/>
              <w:right w:val="single" w:sz="4" w:space="0" w:color="auto"/>
            </w:tcBorders>
            <w:shd w:val="clear" w:color="auto" w:fill="auto"/>
            <w:noWrap/>
            <w:hideMark/>
          </w:tcPr>
          <w:p w14:paraId="5995DCE9" w14:textId="77777777" w:rsidR="00862A01" w:rsidRPr="00872D7E" w:rsidRDefault="00862A01" w:rsidP="00862A01">
            <w:pPr>
              <w:jc w:val="center"/>
              <w:rPr>
                <w:sz w:val="18"/>
                <w:szCs w:val="18"/>
                <w:lang w:eastAsia="tr-TR"/>
              </w:rPr>
            </w:pPr>
            <w:r w:rsidRPr="00872D7E">
              <w:rPr>
                <w:sz w:val="18"/>
                <w:szCs w:val="18"/>
                <w:lang w:eastAsia="tr-TR"/>
              </w:rPr>
              <w:t>14</w:t>
            </w:r>
          </w:p>
        </w:tc>
        <w:tc>
          <w:tcPr>
            <w:tcW w:w="3153" w:type="pct"/>
            <w:tcBorders>
              <w:top w:val="nil"/>
              <w:left w:val="nil"/>
              <w:bottom w:val="single" w:sz="4" w:space="0" w:color="auto"/>
              <w:right w:val="single" w:sz="4" w:space="0" w:color="auto"/>
            </w:tcBorders>
            <w:shd w:val="clear" w:color="auto" w:fill="auto"/>
            <w:noWrap/>
            <w:hideMark/>
          </w:tcPr>
          <w:p w14:paraId="6548B234" w14:textId="77777777" w:rsidR="00862A01" w:rsidRPr="00872D7E" w:rsidRDefault="00862A01" w:rsidP="00862A01">
            <w:pPr>
              <w:rPr>
                <w:sz w:val="18"/>
                <w:szCs w:val="18"/>
                <w:lang w:eastAsia="tr-TR"/>
              </w:rPr>
            </w:pPr>
            <w:r w:rsidRPr="00872D7E">
              <w:rPr>
                <w:sz w:val="18"/>
                <w:szCs w:val="18"/>
                <w:lang w:eastAsia="tr-TR"/>
              </w:rPr>
              <w:t>Toplam risk tutarı (3, 6, 9 ve 12’nci satırların toplamı)</w:t>
            </w:r>
          </w:p>
        </w:tc>
        <w:tc>
          <w:tcPr>
            <w:tcW w:w="876" w:type="pct"/>
            <w:tcBorders>
              <w:top w:val="nil"/>
              <w:left w:val="nil"/>
              <w:bottom w:val="single" w:sz="4" w:space="0" w:color="auto"/>
              <w:right w:val="single" w:sz="4" w:space="0" w:color="auto"/>
            </w:tcBorders>
            <w:shd w:val="clear" w:color="auto" w:fill="auto"/>
            <w:vAlign w:val="bottom"/>
            <w:hideMark/>
          </w:tcPr>
          <w:p w14:paraId="30E973BF" w14:textId="77777777" w:rsidR="00862A01" w:rsidRPr="00872D7E" w:rsidRDefault="00862A01" w:rsidP="00862A01">
            <w:pPr>
              <w:jc w:val="right"/>
              <w:rPr>
                <w:sz w:val="18"/>
                <w:szCs w:val="18"/>
                <w:lang w:eastAsia="tr-TR"/>
              </w:rPr>
            </w:pPr>
            <w:r w:rsidRPr="00872D7E">
              <w:rPr>
                <w:sz w:val="18"/>
                <w:szCs w:val="18"/>
                <w:lang w:eastAsia="tr-TR"/>
              </w:rPr>
              <w:t>44.111.439</w:t>
            </w:r>
          </w:p>
        </w:tc>
        <w:tc>
          <w:tcPr>
            <w:tcW w:w="753" w:type="pct"/>
            <w:tcBorders>
              <w:top w:val="nil"/>
              <w:left w:val="nil"/>
              <w:bottom w:val="single" w:sz="4" w:space="0" w:color="auto"/>
              <w:right w:val="single" w:sz="4" w:space="0" w:color="auto"/>
            </w:tcBorders>
            <w:shd w:val="clear" w:color="auto" w:fill="auto"/>
            <w:vAlign w:val="bottom"/>
            <w:hideMark/>
          </w:tcPr>
          <w:p w14:paraId="070A2DB9" w14:textId="77777777" w:rsidR="00862A01" w:rsidRPr="00872D7E" w:rsidRDefault="00862A01" w:rsidP="00862A01">
            <w:pPr>
              <w:jc w:val="right"/>
              <w:rPr>
                <w:sz w:val="18"/>
                <w:szCs w:val="18"/>
                <w:lang w:eastAsia="tr-TR"/>
              </w:rPr>
            </w:pPr>
            <w:r w:rsidRPr="00872D7E">
              <w:rPr>
                <w:sz w:val="18"/>
                <w:szCs w:val="18"/>
                <w:lang w:eastAsia="tr-TR"/>
              </w:rPr>
              <w:t>304</w:t>
            </w:r>
          </w:p>
        </w:tc>
      </w:tr>
      <w:tr w:rsidR="00862A01" w:rsidRPr="00872D7E" w14:paraId="051F07C3" w14:textId="77777777" w:rsidTr="00862A01">
        <w:trPr>
          <w:divId w:val="80831233"/>
          <w:trHeight w:val="227"/>
        </w:trPr>
        <w:tc>
          <w:tcPr>
            <w:tcW w:w="218" w:type="pct"/>
            <w:tcBorders>
              <w:top w:val="single" w:sz="4" w:space="0" w:color="auto"/>
              <w:left w:val="single" w:sz="4" w:space="0" w:color="auto"/>
              <w:bottom w:val="single" w:sz="4" w:space="0" w:color="auto"/>
              <w:right w:val="single" w:sz="4" w:space="0" w:color="auto"/>
            </w:tcBorders>
            <w:shd w:val="clear" w:color="auto" w:fill="auto"/>
            <w:noWrap/>
            <w:hideMark/>
          </w:tcPr>
          <w:p w14:paraId="15A1A16C" w14:textId="77777777" w:rsidR="00862A01" w:rsidRPr="00872D7E" w:rsidRDefault="00862A01" w:rsidP="00862A01">
            <w:pPr>
              <w:jc w:val="center"/>
              <w:rPr>
                <w:sz w:val="18"/>
                <w:szCs w:val="18"/>
                <w:lang w:eastAsia="tr-TR"/>
              </w:rPr>
            </w:pPr>
            <w:r w:rsidRPr="00872D7E">
              <w:rPr>
                <w:sz w:val="18"/>
                <w:szCs w:val="18"/>
                <w:lang w:eastAsia="tr-TR"/>
              </w:rPr>
              <w:t> </w:t>
            </w:r>
          </w:p>
        </w:tc>
        <w:tc>
          <w:tcPr>
            <w:tcW w:w="3153" w:type="pct"/>
            <w:tcBorders>
              <w:top w:val="single" w:sz="4" w:space="0" w:color="auto"/>
              <w:left w:val="nil"/>
              <w:bottom w:val="single" w:sz="4" w:space="0" w:color="auto"/>
              <w:right w:val="single" w:sz="4" w:space="0" w:color="auto"/>
            </w:tcBorders>
            <w:shd w:val="clear" w:color="auto" w:fill="auto"/>
            <w:hideMark/>
          </w:tcPr>
          <w:p w14:paraId="74BA6AA6" w14:textId="77777777" w:rsidR="00862A01" w:rsidRPr="00872D7E" w:rsidRDefault="00862A01" w:rsidP="00862A01">
            <w:pPr>
              <w:rPr>
                <w:b/>
                <w:bCs/>
                <w:sz w:val="18"/>
                <w:szCs w:val="18"/>
                <w:lang w:eastAsia="tr-TR"/>
              </w:rPr>
            </w:pPr>
            <w:r w:rsidRPr="00872D7E">
              <w:rPr>
                <w:b/>
                <w:bCs/>
                <w:sz w:val="18"/>
                <w:szCs w:val="18"/>
                <w:lang w:eastAsia="tr-TR"/>
              </w:rPr>
              <w:t>Kaldıraç oranı</w:t>
            </w:r>
          </w:p>
        </w:tc>
        <w:tc>
          <w:tcPr>
            <w:tcW w:w="876" w:type="pct"/>
            <w:tcBorders>
              <w:top w:val="single" w:sz="4" w:space="0" w:color="auto"/>
              <w:left w:val="nil"/>
              <w:bottom w:val="single" w:sz="4" w:space="0" w:color="auto"/>
              <w:right w:val="single" w:sz="4" w:space="0" w:color="auto"/>
            </w:tcBorders>
            <w:shd w:val="clear" w:color="auto" w:fill="auto"/>
            <w:noWrap/>
            <w:vAlign w:val="bottom"/>
            <w:hideMark/>
          </w:tcPr>
          <w:p w14:paraId="2E9A47E9" w14:textId="77777777" w:rsidR="00862A01" w:rsidRPr="00872D7E" w:rsidRDefault="00862A01" w:rsidP="00862A01">
            <w:pPr>
              <w:jc w:val="right"/>
              <w:rPr>
                <w:sz w:val="18"/>
                <w:szCs w:val="18"/>
                <w:lang w:eastAsia="tr-TR"/>
              </w:rPr>
            </w:pPr>
            <w:r w:rsidRPr="00872D7E">
              <w:rPr>
                <w:sz w:val="18"/>
                <w:szCs w:val="18"/>
                <w:lang w:eastAsia="tr-TR"/>
              </w:rPr>
              <w:t> </w:t>
            </w:r>
          </w:p>
        </w:tc>
        <w:tc>
          <w:tcPr>
            <w:tcW w:w="753" w:type="pct"/>
            <w:tcBorders>
              <w:top w:val="single" w:sz="4" w:space="0" w:color="auto"/>
              <w:left w:val="nil"/>
              <w:bottom w:val="single" w:sz="4" w:space="0" w:color="auto"/>
              <w:right w:val="single" w:sz="4" w:space="0" w:color="auto"/>
            </w:tcBorders>
            <w:shd w:val="clear" w:color="auto" w:fill="auto"/>
            <w:noWrap/>
            <w:vAlign w:val="bottom"/>
            <w:hideMark/>
          </w:tcPr>
          <w:p w14:paraId="6FC574CE" w14:textId="77777777" w:rsidR="00862A01" w:rsidRPr="00872D7E" w:rsidRDefault="00862A01" w:rsidP="00862A01">
            <w:pPr>
              <w:jc w:val="right"/>
              <w:rPr>
                <w:sz w:val="18"/>
                <w:szCs w:val="18"/>
                <w:lang w:eastAsia="tr-TR"/>
              </w:rPr>
            </w:pPr>
            <w:r w:rsidRPr="00872D7E">
              <w:rPr>
                <w:sz w:val="18"/>
                <w:szCs w:val="18"/>
                <w:lang w:eastAsia="tr-TR"/>
              </w:rPr>
              <w:t> </w:t>
            </w:r>
          </w:p>
        </w:tc>
      </w:tr>
      <w:tr w:rsidR="00862A01" w:rsidRPr="00872D7E" w14:paraId="5A85431B" w14:textId="77777777" w:rsidTr="00862A01">
        <w:trPr>
          <w:divId w:val="80831233"/>
          <w:trHeight w:val="227"/>
        </w:trPr>
        <w:tc>
          <w:tcPr>
            <w:tcW w:w="218" w:type="pct"/>
            <w:tcBorders>
              <w:top w:val="single" w:sz="4" w:space="0" w:color="auto"/>
              <w:left w:val="single" w:sz="4" w:space="0" w:color="auto"/>
              <w:bottom w:val="single" w:sz="4" w:space="0" w:color="auto"/>
              <w:right w:val="single" w:sz="4" w:space="0" w:color="auto"/>
            </w:tcBorders>
            <w:shd w:val="clear" w:color="auto" w:fill="auto"/>
            <w:noWrap/>
            <w:hideMark/>
          </w:tcPr>
          <w:p w14:paraId="1279804F" w14:textId="77777777" w:rsidR="00862A01" w:rsidRPr="00872D7E" w:rsidRDefault="00862A01" w:rsidP="00862A01">
            <w:pPr>
              <w:jc w:val="center"/>
              <w:rPr>
                <w:sz w:val="18"/>
                <w:szCs w:val="18"/>
                <w:lang w:eastAsia="tr-TR"/>
              </w:rPr>
            </w:pPr>
            <w:r w:rsidRPr="00872D7E">
              <w:rPr>
                <w:sz w:val="18"/>
                <w:szCs w:val="18"/>
                <w:lang w:eastAsia="tr-TR"/>
              </w:rPr>
              <w:t>15</w:t>
            </w:r>
          </w:p>
        </w:tc>
        <w:tc>
          <w:tcPr>
            <w:tcW w:w="3153" w:type="pct"/>
            <w:tcBorders>
              <w:top w:val="single" w:sz="4" w:space="0" w:color="auto"/>
              <w:left w:val="nil"/>
              <w:bottom w:val="single" w:sz="4" w:space="0" w:color="auto"/>
              <w:right w:val="single" w:sz="4" w:space="0" w:color="auto"/>
            </w:tcBorders>
            <w:shd w:val="clear" w:color="auto" w:fill="auto"/>
            <w:noWrap/>
            <w:hideMark/>
          </w:tcPr>
          <w:p w14:paraId="5A3C2094" w14:textId="77777777" w:rsidR="00862A01" w:rsidRPr="00872D7E" w:rsidRDefault="00862A01" w:rsidP="00862A01">
            <w:pPr>
              <w:rPr>
                <w:sz w:val="18"/>
                <w:szCs w:val="18"/>
                <w:lang w:eastAsia="tr-TR"/>
              </w:rPr>
            </w:pPr>
            <w:r w:rsidRPr="00872D7E">
              <w:rPr>
                <w:sz w:val="18"/>
                <w:szCs w:val="18"/>
                <w:lang w:eastAsia="tr-TR"/>
              </w:rPr>
              <w:t>Kaldıraç oranı (%)</w:t>
            </w:r>
          </w:p>
        </w:tc>
        <w:tc>
          <w:tcPr>
            <w:tcW w:w="876" w:type="pct"/>
            <w:tcBorders>
              <w:top w:val="single" w:sz="4" w:space="0" w:color="auto"/>
              <w:left w:val="nil"/>
              <w:bottom w:val="single" w:sz="4" w:space="0" w:color="auto"/>
              <w:right w:val="single" w:sz="4" w:space="0" w:color="auto"/>
            </w:tcBorders>
            <w:shd w:val="clear" w:color="auto" w:fill="auto"/>
            <w:vAlign w:val="bottom"/>
            <w:hideMark/>
          </w:tcPr>
          <w:p w14:paraId="4FBAAB5A" w14:textId="77777777" w:rsidR="00862A01" w:rsidRPr="00872D7E" w:rsidRDefault="00862A01" w:rsidP="00862A01">
            <w:pPr>
              <w:jc w:val="right"/>
              <w:rPr>
                <w:sz w:val="18"/>
                <w:szCs w:val="18"/>
                <w:lang w:eastAsia="tr-TR"/>
              </w:rPr>
            </w:pPr>
            <w:r w:rsidRPr="00872D7E">
              <w:rPr>
                <w:sz w:val="18"/>
                <w:szCs w:val="18"/>
                <w:lang w:eastAsia="tr-TR"/>
              </w:rPr>
              <w:t>15,68</w:t>
            </w:r>
          </w:p>
        </w:tc>
        <w:tc>
          <w:tcPr>
            <w:tcW w:w="753" w:type="pct"/>
            <w:tcBorders>
              <w:top w:val="single" w:sz="4" w:space="0" w:color="auto"/>
              <w:left w:val="nil"/>
              <w:bottom w:val="single" w:sz="4" w:space="0" w:color="auto"/>
              <w:right w:val="single" w:sz="4" w:space="0" w:color="auto"/>
            </w:tcBorders>
            <w:shd w:val="clear" w:color="auto" w:fill="auto"/>
            <w:vAlign w:val="bottom"/>
            <w:hideMark/>
          </w:tcPr>
          <w:p w14:paraId="474C7084" w14:textId="77777777" w:rsidR="00862A01" w:rsidRPr="00872D7E" w:rsidRDefault="00862A01" w:rsidP="00862A01">
            <w:pPr>
              <w:jc w:val="right"/>
              <w:rPr>
                <w:sz w:val="18"/>
                <w:szCs w:val="18"/>
                <w:lang w:eastAsia="tr-TR"/>
              </w:rPr>
            </w:pPr>
            <w:r w:rsidRPr="00872D7E">
              <w:rPr>
                <w:sz w:val="18"/>
                <w:szCs w:val="18"/>
                <w:lang w:eastAsia="tr-TR"/>
              </w:rPr>
              <w:t>30,26</w:t>
            </w:r>
          </w:p>
        </w:tc>
      </w:tr>
    </w:tbl>
    <w:p w14:paraId="1E0BD1C2" w14:textId="6A7F5F35" w:rsidR="006A5354" w:rsidRPr="00872D7E" w:rsidRDefault="006A5354" w:rsidP="00CE7194"/>
    <w:p w14:paraId="232CECB2" w14:textId="7D0E0612" w:rsidR="0081485D" w:rsidRPr="00872D7E" w:rsidRDefault="0081485D" w:rsidP="00F95068">
      <w:pPr>
        <w:widowControl w:val="0"/>
        <w:ind w:left="426" w:hanging="425"/>
        <w:rPr>
          <w:color w:val="000000"/>
          <w:sz w:val="18"/>
          <w:szCs w:val="18"/>
        </w:rPr>
      </w:pPr>
      <w:r w:rsidRPr="00872D7E">
        <w:rPr>
          <w:color w:val="000000"/>
          <w:sz w:val="18"/>
          <w:szCs w:val="18"/>
          <w:vertAlign w:val="superscript"/>
        </w:rPr>
        <w:t>(*)</w:t>
      </w:r>
      <w:r w:rsidR="009B482B" w:rsidRPr="00872D7E">
        <w:rPr>
          <w:color w:val="000000"/>
          <w:sz w:val="18"/>
          <w:szCs w:val="18"/>
        </w:rPr>
        <w:tab/>
      </w:r>
      <w:r w:rsidR="00DB0EAB" w:rsidRPr="00872D7E">
        <w:rPr>
          <w:color w:val="000000"/>
          <w:sz w:val="18"/>
          <w:szCs w:val="18"/>
        </w:rPr>
        <w:t>Üç aylık</w:t>
      </w:r>
      <w:r w:rsidRPr="00872D7E">
        <w:rPr>
          <w:color w:val="000000"/>
          <w:sz w:val="18"/>
          <w:szCs w:val="18"/>
        </w:rPr>
        <w:t xml:space="preserve"> ortalama tutarlardır.</w:t>
      </w:r>
    </w:p>
    <w:p w14:paraId="04B1BA70" w14:textId="11321F5E" w:rsidR="00DD1C5A" w:rsidRPr="00872D7E" w:rsidRDefault="00DD1C5A">
      <w:pPr>
        <w:widowControl w:val="0"/>
        <w:ind w:right="6921"/>
        <w:rPr>
          <w:color w:val="000000"/>
          <w:szCs w:val="20"/>
        </w:rPr>
      </w:pPr>
      <w:r w:rsidRPr="00872D7E">
        <w:rPr>
          <w:color w:val="000000"/>
          <w:szCs w:val="20"/>
        </w:rPr>
        <w:br w:type="page"/>
      </w:r>
    </w:p>
    <w:p w14:paraId="317157A8" w14:textId="77777777" w:rsidR="00DD1C5A" w:rsidRPr="00872D7E" w:rsidRDefault="00DD1C5A" w:rsidP="00D817BD">
      <w:pPr>
        <w:pStyle w:val="BodyTextIndent"/>
        <w:widowControl w:val="0"/>
        <w:ind w:firstLine="0"/>
        <w:jc w:val="left"/>
        <w:rPr>
          <w:b/>
          <w:szCs w:val="20"/>
        </w:rPr>
      </w:pPr>
      <w:r w:rsidRPr="00872D7E">
        <w:rPr>
          <w:b/>
          <w:szCs w:val="20"/>
        </w:rPr>
        <w:lastRenderedPageBreak/>
        <w:t>MALİ BÜNYEYE VE RİSK YÖNETİMİNE İLİŞKİN BİLGİLER (Devamı)</w:t>
      </w:r>
    </w:p>
    <w:p w14:paraId="4AEA0E92" w14:textId="77777777" w:rsidR="009B482B" w:rsidRPr="00872D7E" w:rsidRDefault="009B482B" w:rsidP="00D817BD">
      <w:pPr>
        <w:widowControl w:val="0"/>
        <w:ind w:right="6921"/>
        <w:rPr>
          <w:color w:val="000000"/>
          <w:sz w:val="14"/>
          <w:szCs w:val="14"/>
        </w:rPr>
      </w:pPr>
    </w:p>
    <w:p w14:paraId="21C21169" w14:textId="1AA7ADCC" w:rsidR="00A660C7" w:rsidRPr="00872D7E" w:rsidRDefault="00AA12B1" w:rsidP="00D817BD">
      <w:pPr>
        <w:widowControl w:val="0"/>
        <w:autoSpaceDE w:val="0"/>
        <w:autoSpaceDN w:val="0"/>
        <w:adjustRightInd w:val="0"/>
        <w:ind w:left="851" w:hanging="851"/>
        <w:jc w:val="both"/>
        <w:rPr>
          <w:b/>
          <w:szCs w:val="20"/>
        </w:rPr>
      </w:pPr>
      <w:bookmarkStart w:id="39" w:name="_Hlk190422215"/>
      <w:r w:rsidRPr="00872D7E">
        <w:rPr>
          <w:b/>
          <w:szCs w:val="20"/>
        </w:rPr>
        <w:t xml:space="preserve">VII. </w:t>
      </w:r>
      <w:r w:rsidRPr="00872D7E">
        <w:rPr>
          <w:b/>
          <w:szCs w:val="20"/>
        </w:rPr>
        <w:tab/>
      </w:r>
      <w:r w:rsidR="00F37168" w:rsidRPr="00872D7E">
        <w:rPr>
          <w:b/>
          <w:szCs w:val="20"/>
        </w:rPr>
        <w:t>FİNANSAL VARLIK VE BORÇLARIN GERÇEĞE UYGUN DEĞERİ İLE GÖSTERİLMESİNE İLİŞKİN AÇIKLAMALAR</w:t>
      </w:r>
    </w:p>
    <w:bookmarkEnd w:id="39"/>
    <w:p w14:paraId="2D22B03F" w14:textId="77777777" w:rsidR="00A660C7" w:rsidRPr="00872D7E" w:rsidRDefault="00A660C7" w:rsidP="00D817BD">
      <w:pPr>
        <w:widowControl w:val="0"/>
        <w:ind w:right="117"/>
        <w:jc w:val="both"/>
        <w:rPr>
          <w:sz w:val="16"/>
          <w:szCs w:val="16"/>
        </w:rPr>
      </w:pPr>
    </w:p>
    <w:p w14:paraId="39B1A071" w14:textId="77777777" w:rsidR="005E2D92" w:rsidRPr="00872D7E" w:rsidRDefault="005E2D92" w:rsidP="002D31A9">
      <w:pPr>
        <w:pStyle w:val="ListParagraph"/>
        <w:numPr>
          <w:ilvl w:val="0"/>
          <w:numId w:val="76"/>
        </w:numPr>
        <w:ind w:left="851" w:right="117" w:hanging="851"/>
        <w:rPr>
          <w:szCs w:val="20"/>
        </w:rPr>
      </w:pPr>
      <w:r w:rsidRPr="00872D7E">
        <w:rPr>
          <w:rFonts w:eastAsia="Arial Unicode MS"/>
          <w:b/>
        </w:rPr>
        <w:t>Finansal varlık ve yükümlülüklerin gerçeğe uygun değerine ilişkin bilgiler:</w:t>
      </w:r>
    </w:p>
    <w:p w14:paraId="1BA23F10" w14:textId="77777777" w:rsidR="00D817BD" w:rsidRPr="00872D7E" w:rsidRDefault="00D817BD" w:rsidP="00D817BD">
      <w:pPr>
        <w:autoSpaceDE w:val="0"/>
        <w:autoSpaceDN w:val="0"/>
        <w:adjustRightInd w:val="0"/>
        <w:ind w:left="567" w:right="117" w:hanging="14"/>
        <w:jc w:val="both"/>
        <w:rPr>
          <w:rFonts w:eastAsia="Arial Unicode MS"/>
          <w:sz w:val="14"/>
          <w:szCs w:val="18"/>
        </w:rPr>
      </w:pPr>
    </w:p>
    <w:p w14:paraId="6E64D2EF" w14:textId="1F9B15DB" w:rsidR="005E2D92" w:rsidRPr="00872D7E" w:rsidRDefault="005E2D92" w:rsidP="002D31A9">
      <w:pPr>
        <w:autoSpaceDE w:val="0"/>
        <w:autoSpaceDN w:val="0"/>
        <w:adjustRightInd w:val="0"/>
        <w:ind w:left="851" w:right="117"/>
        <w:jc w:val="both"/>
        <w:rPr>
          <w:rFonts w:eastAsia="Arial Unicode MS"/>
        </w:rPr>
      </w:pPr>
      <w:r w:rsidRPr="00872D7E">
        <w:rPr>
          <w:rFonts w:eastAsia="Arial Unicode MS"/>
        </w:rPr>
        <w:t xml:space="preserve">Aşağıdaki tablo, bazı finansal varlık ve yükümlülüklerin defter değeri ile gerçeğe uygun değerini göstermektedir. Defter değeri ilgili varlık ve yükümlülüklerin elde etme bedeli ve birikmiş </w:t>
      </w:r>
      <w:proofErr w:type="gramStart"/>
      <w:r w:rsidRPr="00872D7E">
        <w:rPr>
          <w:rFonts w:eastAsia="Arial Unicode MS"/>
        </w:rPr>
        <w:t>kar</w:t>
      </w:r>
      <w:proofErr w:type="gramEnd"/>
      <w:r w:rsidRPr="00872D7E">
        <w:rPr>
          <w:rFonts w:eastAsia="Arial Unicode MS"/>
        </w:rPr>
        <w:t xml:space="preserve"> payı reeskontlarının toplamını ifade etmektedir. </w:t>
      </w:r>
    </w:p>
    <w:p w14:paraId="2BCE366C" w14:textId="77777777" w:rsidR="00D817BD" w:rsidRPr="00872D7E" w:rsidRDefault="00D817BD" w:rsidP="002D31A9">
      <w:pPr>
        <w:autoSpaceDE w:val="0"/>
        <w:autoSpaceDN w:val="0"/>
        <w:adjustRightInd w:val="0"/>
        <w:ind w:left="851" w:right="117"/>
        <w:jc w:val="both"/>
        <w:rPr>
          <w:rFonts w:eastAsia="Arial Unicode MS"/>
          <w:sz w:val="14"/>
          <w:szCs w:val="18"/>
        </w:rPr>
      </w:pPr>
    </w:p>
    <w:p w14:paraId="2CFD0A65" w14:textId="77777777" w:rsidR="005E2D92" w:rsidRPr="00872D7E" w:rsidRDefault="005E2D92" w:rsidP="002D31A9">
      <w:pPr>
        <w:autoSpaceDE w:val="0"/>
        <w:autoSpaceDN w:val="0"/>
        <w:adjustRightInd w:val="0"/>
        <w:ind w:left="851" w:right="117"/>
        <w:jc w:val="both"/>
        <w:rPr>
          <w:rFonts w:eastAsia="Arial Unicode MS"/>
        </w:rPr>
      </w:pPr>
      <w:r w:rsidRPr="00872D7E">
        <w:rPr>
          <w:rFonts w:eastAsia="Arial Unicode MS"/>
        </w:rPr>
        <w:t>Cari ve önceki dönemde finansal varlıklar ve yükümlülükler aşağıdaki esaslara göre hesaplanmıştır:</w:t>
      </w:r>
    </w:p>
    <w:p w14:paraId="307BF84B" w14:textId="77777777" w:rsidR="00D817BD" w:rsidRPr="00872D7E" w:rsidRDefault="00D817BD" w:rsidP="002D31A9">
      <w:pPr>
        <w:autoSpaceDE w:val="0"/>
        <w:autoSpaceDN w:val="0"/>
        <w:adjustRightInd w:val="0"/>
        <w:ind w:left="851" w:right="117"/>
        <w:jc w:val="both"/>
        <w:rPr>
          <w:rFonts w:eastAsia="Arial Unicode MS"/>
          <w:sz w:val="14"/>
          <w:szCs w:val="18"/>
        </w:rPr>
      </w:pPr>
    </w:p>
    <w:p w14:paraId="02848A01" w14:textId="77777777" w:rsidR="005E2D92" w:rsidRPr="00872D7E" w:rsidRDefault="005E2D92" w:rsidP="002D31A9">
      <w:pPr>
        <w:autoSpaceDE w:val="0"/>
        <w:autoSpaceDN w:val="0"/>
        <w:ind w:left="851" w:right="117"/>
        <w:jc w:val="both"/>
        <w:rPr>
          <w:rFonts w:eastAsia="Arial Unicode MS"/>
        </w:rPr>
      </w:pPr>
      <w:r w:rsidRPr="00872D7E">
        <w:rPr>
          <w:rFonts w:eastAsia="Arial Unicode MS"/>
        </w:rPr>
        <w:t>İtfa edilmiş maliyet üzerinden değerlenen finansal yatırımların gerçeğe uygun değeri piyasa fiyatı esas alınarak belirlenmiştir.</w:t>
      </w:r>
    </w:p>
    <w:p w14:paraId="214FC2B7" w14:textId="77777777" w:rsidR="00D817BD" w:rsidRPr="00872D7E" w:rsidRDefault="00D817BD" w:rsidP="002D31A9">
      <w:pPr>
        <w:autoSpaceDE w:val="0"/>
        <w:autoSpaceDN w:val="0"/>
        <w:ind w:left="851" w:right="117"/>
        <w:jc w:val="both"/>
        <w:rPr>
          <w:sz w:val="16"/>
          <w:szCs w:val="16"/>
        </w:rPr>
      </w:pPr>
    </w:p>
    <w:p w14:paraId="31AEFC84" w14:textId="77777777" w:rsidR="005E2D92" w:rsidRPr="00872D7E" w:rsidRDefault="005E2D92" w:rsidP="002D31A9">
      <w:pPr>
        <w:autoSpaceDE w:val="0"/>
        <w:autoSpaceDN w:val="0"/>
        <w:adjustRightInd w:val="0"/>
        <w:ind w:left="851" w:right="117"/>
        <w:jc w:val="both"/>
        <w:rPr>
          <w:rFonts w:eastAsia="Arial Unicode MS"/>
        </w:rPr>
      </w:pPr>
      <w:r w:rsidRPr="00872D7E">
        <w:rPr>
          <w:rFonts w:eastAsia="Arial Unicode MS"/>
        </w:rPr>
        <w:t xml:space="preserve">Kredilerin gerçeğe uygun değeri, piyasa </w:t>
      </w:r>
      <w:proofErr w:type="gramStart"/>
      <w:r w:rsidRPr="00872D7E">
        <w:rPr>
          <w:rFonts w:eastAsia="Arial Unicode MS"/>
        </w:rPr>
        <w:t>kar</w:t>
      </w:r>
      <w:proofErr w:type="gramEnd"/>
      <w:r w:rsidRPr="00872D7E">
        <w:rPr>
          <w:rFonts w:eastAsia="Arial Unicode MS"/>
        </w:rPr>
        <w:t xml:space="preserve"> payı oranları kullanılarak iskonto edilmiş nakit akımlarının bulunmasıyla hesaplanmıştır. </w:t>
      </w:r>
    </w:p>
    <w:p w14:paraId="21C6F3B4" w14:textId="77777777" w:rsidR="00D817BD" w:rsidRPr="00872D7E" w:rsidRDefault="00D817BD" w:rsidP="002D31A9">
      <w:pPr>
        <w:autoSpaceDE w:val="0"/>
        <w:autoSpaceDN w:val="0"/>
        <w:adjustRightInd w:val="0"/>
        <w:ind w:left="851" w:right="117"/>
        <w:jc w:val="both"/>
        <w:rPr>
          <w:rFonts w:eastAsia="Arial Unicode MS"/>
          <w:sz w:val="14"/>
          <w:szCs w:val="18"/>
        </w:rPr>
      </w:pPr>
    </w:p>
    <w:p w14:paraId="211A179E" w14:textId="5698436A" w:rsidR="005E2D92" w:rsidRPr="00872D7E" w:rsidRDefault="005E2D92" w:rsidP="002D31A9">
      <w:pPr>
        <w:autoSpaceDE w:val="0"/>
        <w:autoSpaceDN w:val="0"/>
        <w:adjustRightInd w:val="0"/>
        <w:ind w:left="851" w:right="117"/>
        <w:jc w:val="both"/>
        <w:rPr>
          <w:rFonts w:eastAsia="Arial Unicode MS"/>
        </w:rPr>
      </w:pPr>
      <w:r w:rsidRPr="00872D7E">
        <w:rPr>
          <w:rFonts w:eastAsia="Arial Unicode MS"/>
        </w:rPr>
        <w:t>Özel cari hesap ve katılma hesapları yıl sonu birim değeri ile değerlendiği için defter değerinin rayiç değerine yakın olduğu varsayılmıştır.</w:t>
      </w:r>
    </w:p>
    <w:p w14:paraId="1E3009BD" w14:textId="77777777" w:rsidR="00F405AE" w:rsidRPr="00872D7E" w:rsidRDefault="00F405AE" w:rsidP="002D31A9">
      <w:pPr>
        <w:widowControl w:val="0"/>
        <w:ind w:left="851" w:right="117"/>
        <w:jc w:val="both"/>
        <w:rPr>
          <w:rFonts w:eastAsia="Arial Unicode MS"/>
          <w:sz w:val="16"/>
          <w:szCs w:val="20"/>
        </w:rPr>
      </w:pPr>
    </w:p>
    <w:p w14:paraId="6DB8E0E5" w14:textId="350865A4" w:rsidR="007F6642" w:rsidRPr="00872D7E" w:rsidRDefault="005E2D92" w:rsidP="002D31A9">
      <w:pPr>
        <w:widowControl w:val="0"/>
        <w:ind w:left="851" w:right="117"/>
        <w:jc w:val="both"/>
        <w:rPr>
          <w:rFonts w:eastAsia="Arial Unicode MS"/>
        </w:rPr>
      </w:pPr>
      <w:r w:rsidRPr="00872D7E">
        <w:rPr>
          <w:rFonts w:eastAsia="Arial Unicode MS"/>
        </w:rPr>
        <w:t xml:space="preserve">Diğer mali kuruluşlardan sağlanan fonların tahmini gerçeğe uygun değeri, piyasa </w:t>
      </w:r>
      <w:proofErr w:type="gramStart"/>
      <w:r w:rsidRPr="00872D7E">
        <w:rPr>
          <w:rFonts w:eastAsia="Arial Unicode MS"/>
        </w:rPr>
        <w:t>kar</w:t>
      </w:r>
      <w:proofErr w:type="gramEnd"/>
      <w:r w:rsidRPr="00872D7E">
        <w:rPr>
          <w:rFonts w:eastAsia="Arial Unicode MS"/>
        </w:rPr>
        <w:t xml:space="preserve"> payı oranları kullanılarak iskonto edilmiş nakit akımlarının bulunmasıyla hesaplanmıştır.</w:t>
      </w:r>
    </w:p>
    <w:p w14:paraId="2646457F" w14:textId="62CD4C69" w:rsidR="005E2D92" w:rsidRPr="00872D7E" w:rsidRDefault="005E2D92" w:rsidP="00D817BD">
      <w:pPr>
        <w:rPr>
          <w:sz w:val="16"/>
          <w:szCs w:val="20"/>
        </w:rPr>
      </w:pPr>
    </w:p>
    <w:tbl>
      <w:tblPr>
        <w:tblW w:w="5000" w:type="pct"/>
        <w:tblCellMar>
          <w:left w:w="0" w:type="dxa"/>
          <w:right w:w="0" w:type="dxa"/>
        </w:tblCellMar>
        <w:tblLook w:val="04A0" w:firstRow="1" w:lastRow="0" w:firstColumn="1" w:lastColumn="0" w:noHBand="0" w:noVBand="1"/>
      </w:tblPr>
      <w:tblGrid>
        <w:gridCol w:w="4620"/>
        <w:gridCol w:w="1282"/>
        <w:gridCol w:w="1205"/>
        <w:gridCol w:w="1265"/>
        <w:gridCol w:w="1267"/>
      </w:tblGrid>
      <w:tr w:rsidR="005E2D92" w:rsidRPr="00872D7E" w14:paraId="1475C721" w14:textId="77777777" w:rsidTr="00F2132A">
        <w:trPr>
          <w:trHeight w:val="121"/>
        </w:trPr>
        <w:tc>
          <w:tcPr>
            <w:tcW w:w="2397" w:type="pct"/>
            <w:vMerge w:val="restart"/>
            <w:tcBorders>
              <w:top w:val="single" w:sz="4" w:space="0" w:color="auto"/>
              <w:left w:val="nil"/>
              <w:bottom w:val="single" w:sz="4" w:space="0" w:color="auto"/>
              <w:right w:val="nil"/>
            </w:tcBorders>
            <w:shd w:val="clear" w:color="auto" w:fill="auto"/>
            <w:vAlign w:val="bottom"/>
          </w:tcPr>
          <w:p w14:paraId="70E4CE42" w14:textId="77777777" w:rsidR="005E2D92" w:rsidRPr="00872D7E" w:rsidRDefault="005E2D92" w:rsidP="00D817BD">
            <w:pPr>
              <w:rPr>
                <w:rFonts w:eastAsia="Arial Unicode MS"/>
                <w:sz w:val="18"/>
                <w:szCs w:val="18"/>
              </w:rPr>
            </w:pPr>
          </w:p>
        </w:tc>
        <w:tc>
          <w:tcPr>
            <w:tcW w:w="1290" w:type="pct"/>
            <w:gridSpan w:val="2"/>
            <w:tcBorders>
              <w:top w:val="single" w:sz="4" w:space="0" w:color="auto"/>
              <w:left w:val="nil"/>
              <w:bottom w:val="single" w:sz="4" w:space="0" w:color="auto"/>
              <w:right w:val="nil"/>
            </w:tcBorders>
            <w:shd w:val="clear" w:color="auto" w:fill="auto"/>
            <w:vAlign w:val="center"/>
            <w:hideMark/>
          </w:tcPr>
          <w:p w14:paraId="14C9B1DD" w14:textId="77777777" w:rsidR="005E2D92" w:rsidRPr="00872D7E" w:rsidRDefault="005E2D92" w:rsidP="00D817BD">
            <w:pPr>
              <w:jc w:val="center"/>
              <w:rPr>
                <w:rFonts w:eastAsia="Arial Unicode MS"/>
                <w:b/>
                <w:sz w:val="18"/>
                <w:szCs w:val="18"/>
              </w:rPr>
            </w:pPr>
            <w:r w:rsidRPr="00872D7E">
              <w:rPr>
                <w:b/>
                <w:sz w:val="18"/>
                <w:szCs w:val="18"/>
              </w:rPr>
              <w:t>Defter değeri</w:t>
            </w:r>
          </w:p>
        </w:tc>
        <w:tc>
          <w:tcPr>
            <w:tcW w:w="1313" w:type="pct"/>
            <w:gridSpan w:val="2"/>
            <w:tcBorders>
              <w:top w:val="single" w:sz="4" w:space="0" w:color="auto"/>
              <w:left w:val="nil"/>
              <w:bottom w:val="single" w:sz="4" w:space="0" w:color="auto"/>
              <w:right w:val="nil"/>
            </w:tcBorders>
            <w:shd w:val="clear" w:color="auto" w:fill="auto"/>
            <w:vAlign w:val="center"/>
            <w:hideMark/>
          </w:tcPr>
          <w:p w14:paraId="18B936BE" w14:textId="77777777" w:rsidR="005E2D92" w:rsidRPr="00872D7E" w:rsidRDefault="005E2D92" w:rsidP="00D817BD">
            <w:pPr>
              <w:jc w:val="center"/>
              <w:rPr>
                <w:b/>
                <w:sz w:val="18"/>
                <w:szCs w:val="18"/>
              </w:rPr>
            </w:pPr>
            <w:r w:rsidRPr="00872D7E">
              <w:rPr>
                <w:b/>
                <w:sz w:val="18"/>
                <w:szCs w:val="18"/>
              </w:rPr>
              <w:t>Gerçeğe uygun değer</w:t>
            </w:r>
          </w:p>
        </w:tc>
      </w:tr>
      <w:tr w:rsidR="005E2D92" w:rsidRPr="00872D7E" w14:paraId="71B607CB" w14:textId="77777777" w:rsidTr="00F2132A">
        <w:trPr>
          <w:trHeight w:val="121"/>
        </w:trPr>
        <w:tc>
          <w:tcPr>
            <w:tcW w:w="2397" w:type="pct"/>
            <w:vMerge/>
            <w:tcBorders>
              <w:top w:val="single" w:sz="4" w:space="0" w:color="auto"/>
              <w:left w:val="nil"/>
              <w:bottom w:val="single" w:sz="4" w:space="0" w:color="auto"/>
              <w:right w:val="nil"/>
            </w:tcBorders>
            <w:shd w:val="clear" w:color="auto" w:fill="auto"/>
            <w:vAlign w:val="center"/>
            <w:hideMark/>
          </w:tcPr>
          <w:p w14:paraId="056507FF" w14:textId="77777777" w:rsidR="005E2D92" w:rsidRPr="00872D7E" w:rsidRDefault="005E2D92" w:rsidP="00D817BD">
            <w:pPr>
              <w:rPr>
                <w:rFonts w:eastAsia="Arial Unicode MS"/>
                <w:sz w:val="18"/>
                <w:szCs w:val="18"/>
              </w:rPr>
            </w:pPr>
          </w:p>
        </w:tc>
        <w:tc>
          <w:tcPr>
            <w:tcW w:w="665" w:type="pct"/>
            <w:tcBorders>
              <w:top w:val="single" w:sz="4" w:space="0" w:color="auto"/>
              <w:left w:val="nil"/>
              <w:bottom w:val="single" w:sz="4" w:space="0" w:color="auto"/>
              <w:right w:val="nil"/>
            </w:tcBorders>
            <w:shd w:val="clear" w:color="auto" w:fill="auto"/>
            <w:vAlign w:val="center"/>
            <w:hideMark/>
          </w:tcPr>
          <w:p w14:paraId="0FF06E4C" w14:textId="3E8DF8E9" w:rsidR="005E2D92" w:rsidRPr="00872D7E" w:rsidRDefault="005E2D92" w:rsidP="00D817BD">
            <w:pPr>
              <w:jc w:val="center"/>
              <w:rPr>
                <w:b/>
                <w:snapToGrid w:val="0"/>
                <w:sz w:val="18"/>
                <w:szCs w:val="18"/>
              </w:rPr>
            </w:pPr>
            <w:r w:rsidRPr="00872D7E">
              <w:rPr>
                <w:b/>
                <w:snapToGrid w:val="0"/>
                <w:sz w:val="18"/>
                <w:szCs w:val="18"/>
              </w:rPr>
              <w:t>31 Aralık 202</w:t>
            </w:r>
            <w:r w:rsidR="00EA66B4" w:rsidRPr="00872D7E">
              <w:rPr>
                <w:b/>
                <w:snapToGrid w:val="0"/>
                <w:sz w:val="18"/>
                <w:szCs w:val="18"/>
              </w:rPr>
              <w:t>4</w:t>
            </w:r>
          </w:p>
        </w:tc>
        <w:tc>
          <w:tcPr>
            <w:tcW w:w="625" w:type="pct"/>
            <w:tcBorders>
              <w:top w:val="single" w:sz="4" w:space="0" w:color="auto"/>
              <w:left w:val="nil"/>
              <w:bottom w:val="single" w:sz="4" w:space="0" w:color="auto"/>
              <w:right w:val="nil"/>
            </w:tcBorders>
            <w:shd w:val="clear" w:color="auto" w:fill="auto"/>
            <w:vAlign w:val="center"/>
            <w:hideMark/>
          </w:tcPr>
          <w:p w14:paraId="15C416FB" w14:textId="26C64B08" w:rsidR="00EA66B4" w:rsidRPr="00872D7E" w:rsidRDefault="00EA66B4" w:rsidP="00D817BD">
            <w:pPr>
              <w:rPr>
                <w:b/>
                <w:snapToGrid w:val="0"/>
                <w:sz w:val="18"/>
                <w:szCs w:val="18"/>
              </w:rPr>
            </w:pPr>
            <w:r w:rsidRPr="00872D7E">
              <w:rPr>
                <w:b/>
                <w:snapToGrid w:val="0"/>
                <w:sz w:val="18"/>
                <w:szCs w:val="18"/>
              </w:rPr>
              <w:t xml:space="preserve"> 1 Ocak 2024</w:t>
            </w:r>
          </w:p>
        </w:tc>
        <w:tc>
          <w:tcPr>
            <w:tcW w:w="656" w:type="pct"/>
            <w:tcBorders>
              <w:top w:val="single" w:sz="4" w:space="0" w:color="auto"/>
              <w:left w:val="nil"/>
              <w:bottom w:val="single" w:sz="4" w:space="0" w:color="auto"/>
              <w:right w:val="nil"/>
            </w:tcBorders>
            <w:shd w:val="clear" w:color="auto" w:fill="auto"/>
            <w:vAlign w:val="center"/>
            <w:hideMark/>
          </w:tcPr>
          <w:p w14:paraId="1EB24598" w14:textId="0C11AE72" w:rsidR="005E2D92" w:rsidRPr="00872D7E" w:rsidRDefault="005E2D92" w:rsidP="00D817BD">
            <w:pPr>
              <w:jc w:val="center"/>
              <w:rPr>
                <w:b/>
                <w:snapToGrid w:val="0"/>
                <w:sz w:val="18"/>
                <w:szCs w:val="18"/>
              </w:rPr>
            </w:pPr>
            <w:r w:rsidRPr="00872D7E">
              <w:rPr>
                <w:b/>
                <w:snapToGrid w:val="0"/>
                <w:sz w:val="18"/>
                <w:szCs w:val="18"/>
              </w:rPr>
              <w:t>31 Aralık 202</w:t>
            </w:r>
            <w:r w:rsidR="000D6081" w:rsidRPr="00872D7E">
              <w:rPr>
                <w:b/>
                <w:snapToGrid w:val="0"/>
                <w:sz w:val="18"/>
                <w:szCs w:val="18"/>
              </w:rPr>
              <w:t>4</w:t>
            </w:r>
          </w:p>
        </w:tc>
        <w:tc>
          <w:tcPr>
            <w:tcW w:w="657" w:type="pct"/>
            <w:tcBorders>
              <w:top w:val="single" w:sz="4" w:space="0" w:color="auto"/>
              <w:left w:val="nil"/>
              <w:bottom w:val="single" w:sz="4" w:space="0" w:color="auto"/>
              <w:right w:val="nil"/>
            </w:tcBorders>
            <w:shd w:val="clear" w:color="auto" w:fill="auto"/>
            <w:vAlign w:val="center"/>
            <w:hideMark/>
          </w:tcPr>
          <w:p w14:paraId="3824AAB7" w14:textId="6D35763F" w:rsidR="005E2D92" w:rsidRPr="00872D7E" w:rsidRDefault="00EA66B4" w:rsidP="00D817BD">
            <w:pPr>
              <w:jc w:val="center"/>
              <w:rPr>
                <w:b/>
                <w:snapToGrid w:val="0"/>
                <w:sz w:val="18"/>
                <w:szCs w:val="18"/>
              </w:rPr>
            </w:pPr>
            <w:r w:rsidRPr="00872D7E">
              <w:rPr>
                <w:b/>
                <w:snapToGrid w:val="0"/>
                <w:sz w:val="18"/>
                <w:szCs w:val="18"/>
              </w:rPr>
              <w:t>1 Ocak 2024</w:t>
            </w:r>
          </w:p>
        </w:tc>
      </w:tr>
      <w:tr w:rsidR="005E2D92" w:rsidRPr="00872D7E" w14:paraId="04525EBF" w14:textId="77777777" w:rsidTr="00F2132A">
        <w:trPr>
          <w:trHeight w:val="121"/>
        </w:trPr>
        <w:tc>
          <w:tcPr>
            <w:tcW w:w="2397" w:type="pct"/>
            <w:tcBorders>
              <w:top w:val="single" w:sz="4" w:space="0" w:color="auto"/>
              <w:left w:val="nil"/>
              <w:bottom w:val="nil"/>
              <w:right w:val="nil"/>
            </w:tcBorders>
            <w:shd w:val="clear" w:color="auto" w:fill="auto"/>
            <w:vAlign w:val="center"/>
          </w:tcPr>
          <w:p w14:paraId="6F55E45D" w14:textId="77777777" w:rsidR="005E2D92" w:rsidRPr="00872D7E" w:rsidRDefault="005E2D92" w:rsidP="00D817BD">
            <w:pPr>
              <w:rPr>
                <w:sz w:val="18"/>
                <w:szCs w:val="18"/>
              </w:rPr>
            </w:pPr>
          </w:p>
        </w:tc>
        <w:tc>
          <w:tcPr>
            <w:tcW w:w="665" w:type="pct"/>
            <w:tcBorders>
              <w:top w:val="single" w:sz="4" w:space="0" w:color="auto"/>
              <w:left w:val="nil"/>
              <w:bottom w:val="nil"/>
              <w:right w:val="nil"/>
            </w:tcBorders>
            <w:shd w:val="clear" w:color="auto" w:fill="auto"/>
            <w:vAlign w:val="bottom"/>
          </w:tcPr>
          <w:p w14:paraId="4D26BA19" w14:textId="77777777" w:rsidR="005E2D92" w:rsidRPr="00872D7E" w:rsidRDefault="005E2D92" w:rsidP="00D817BD">
            <w:pPr>
              <w:jc w:val="right"/>
              <w:rPr>
                <w:rFonts w:eastAsia="Arial Unicode MS"/>
                <w:b/>
                <w:sz w:val="18"/>
                <w:szCs w:val="18"/>
              </w:rPr>
            </w:pPr>
          </w:p>
        </w:tc>
        <w:tc>
          <w:tcPr>
            <w:tcW w:w="625" w:type="pct"/>
            <w:tcBorders>
              <w:top w:val="single" w:sz="4" w:space="0" w:color="auto"/>
              <w:left w:val="nil"/>
              <w:bottom w:val="nil"/>
              <w:right w:val="nil"/>
            </w:tcBorders>
            <w:shd w:val="clear" w:color="auto" w:fill="auto"/>
            <w:vAlign w:val="bottom"/>
          </w:tcPr>
          <w:p w14:paraId="61BE23BA" w14:textId="77777777" w:rsidR="005E2D92" w:rsidRPr="00872D7E" w:rsidRDefault="005E2D92" w:rsidP="00D817BD">
            <w:pPr>
              <w:jc w:val="right"/>
              <w:rPr>
                <w:rFonts w:eastAsia="Arial Unicode MS"/>
                <w:b/>
                <w:sz w:val="18"/>
                <w:szCs w:val="18"/>
              </w:rPr>
            </w:pPr>
          </w:p>
        </w:tc>
        <w:tc>
          <w:tcPr>
            <w:tcW w:w="656" w:type="pct"/>
            <w:tcBorders>
              <w:top w:val="single" w:sz="4" w:space="0" w:color="auto"/>
              <w:left w:val="nil"/>
              <w:bottom w:val="nil"/>
              <w:right w:val="nil"/>
            </w:tcBorders>
            <w:shd w:val="clear" w:color="auto" w:fill="auto"/>
            <w:vAlign w:val="bottom"/>
          </w:tcPr>
          <w:p w14:paraId="566D7DD2" w14:textId="77777777" w:rsidR="005E2D92" w:rsidRPr="00872D7E" w:rsidRDefault="005E2D92" w:rsidP="00D817BD">
            <w:pPr>
              <w:jc w:val="right"/>
              <w:rPr>
                <w:rFonts w:eastAsia="Arial Unicode MS"/>
                <w:b/>
                <w:sz w:val="18"/>
                <w:szCs w:val="18"/>
              </w:rPr>
            </w:pPr>
          </w:p>
        </w:tc>
        <w:tc>
          <w:tcPr>
            <w:tcW w:w="657" w:type="pct"/>
            <w:tcBorders>
              <w:top w:val="single" w:sz="4" w:space="0" w:color="auto"/>
              <w:left w:val="nil"/>
              <w:bottom w:val="nil"/>
              <w:right w:val="nil"/>
            </w:tcBorders>
            <w:shd w:val="clear" w:color="auto" w:fill="auto"/>
            <w:vAlign w:val="bottom"/>
          </w:tcPr>
          <w:p w14:paraId="4180C6AB" w14:textId="77777777" w:rsidR="005E2D92" w:rsidRPr="00872D7E" w:rsidRDefault="005E2D92" w:rsidP="00D817BD">
            <w:pPr>
              <w:jc w:val="right"/>
              <w:rPr>
                <w:rFonts w:eastAsia="Arial Unicode MS"/>
                <w:b/>
                <w:sz w:val="18"/>
                <w:szCs w:val="18"/>
              </w:rPr>
            </w:pPr>
          </w:p>
        </w:tc>
      </w:tr>
      <w:tr w:rsidR="005E2D92" w:rsidRPr="00872D7E" w14:paraId="62760608" w14:textId="77777777" w:rsidTr="00F2132A">
        <w:trPr>
          <w:trHeight w:val="79"/>
        </w:trPr>
        <w:tc>
          <w:tcPr>
            <w:tcW w:w="2397" w:type="pct"/>
            <w:shd w:val="clear" w:color="auto" w:fill="auto"/>
            <w:vAlign w:val="center"/>
            <w:hideMark/>
          </w:tcPr>
          <w:p w14:paraId="670989F2" w14:textId="77777777" w:rsidR="005E2D92" w:rsidRPr="00872D7E" w:rsidRDefault="005E2D92" w:rsidP="00D817BD">
            <w:pPr>
              <w:rPr>
                <w:rFonts w:eastAsia="Arial Unicode MS"/>
                <w:b/>
                <w:sz w:val="18"/>
                <w:szCs w:val="18"/>
              </w:rPr>
            </w:pPr>
            <w:r w:rsidRPr="00872D7E">
              <w:rPr>
                <w:b/>
                <w:sz w:val="18"/>
                <w:szCs w:val="18"/>
              </w:rPr>
              <w:t>Finansal varlıklar</w:t>
            </w:r>
          </w:p>
        </w:tc>
        <w:tc>
          <w:tcPr>
            <w:tcW w:w="665" w:type="pct"/>
            <w:shd w:val="clear" w:color="auto" w:fill="auto"/>
            <w:vAlign w:val="bottom"/>
          </w:tcPr>
          <w:p w14:paraId="73FDEA78" w14:textId="77777777" w:rsidR="005E2D92" w:rsidRPr="00872D7E" w:rsidRDefault="005E2D92" w:rsidP="00D817BD">
            <w:pPr>
              <w:jc w:val="right"/>
              <w:rPr>
                <w:rFonts w:eastAsia="Arial Unicode MS"/>
                <w:b/>
                <w:sz w:val="18"/>
                <w:szCs w:val="18"/>
              </w:rPr>
            </w:pPr>
          </w:p>
        </w:tc>
        <w:tc>
          <w:tcPr>
            <w:tcW w:w="625" w:type="pct"/>
            <w:shd w:val="clear" w:color="auto" w:fill="auto"/>
            <w:vAlign w:val="bottom"/>
          </w:tcPr>
          <w:p w14:paraId="6F18EA76" w14:textId="77777777" w:rsidR="005E2D92" w:rsidRPr="00872D7E" w:rsidRDefault="005E2D92" w:rsidP="00D817BD">
            <w:pPr>
              <w:jc w:val="right"/>
              <w:rPr>
                <w:rFonts w:eastAsia="Arial Unicode MS"/>
                <w:b/>
                <w:sz w:val="18"/>
                <w:szCs w:val="18"/>
              </w:rPr>
            </w:pPr>
          </w:p>
        </w:tc>
        <w:tc>
          <w:tcPr>
            <w:tcW w:w="656" w:type="pct"/>
            <w:shd w:val="clear" w:color="auto" w:fill="auto"/>
            <w:vAlign w:val="bottom"/>
          </w:tcPr>
          <w:p w14:paraId="29E7AE39" w14:textId="77777777" w:rsidR="005E2D92" w:rsidRPr="00872D7E" w:rsidRDefault="005E2D92" w:rsidP="00D817BD">
            <w:pPr>
              <w:jc w:val="right"/>
              <w:rPr>
                <w:rFonts w:eastAsia="Arial Unicode MS"/>
                <w:b/>
                <w:sz w:val="18"/>
                <w:szCs w:val="18"/>
              </w:rPr>
            </w:pPr>
          </w:p>
        </w:tc>
        <w:tc>
          <w:tcPr>
            <w:tcW w:w="657" w:type="pct"/>
            <w:shd w:val="clear" w:color="auto" w:fill="auto"/>
            <w:vAlign w:val="bottom"/>
          </w:tcPr>
          <w:p w14:paraId="38139633" w14:textId="77777777" w:rsidR="005E2D92" w:rsidRPr="00872D7E" w:rsidRDefault="005E2D92" w:rsidP="00D817BD">
            <w:pPr>
              <w:jc w:val="right"/>
              <w:rPr>
                <w:rFonts w:eastAsia="Arial Unicode MS"/>
                <w:b/>
                <w:sz w:val="18"/>
                <w:szCs w:val="18"/>
              </w:rPr>
            </w:pPr>
          </w:p>
        </w:tc>
      </w:tr>
      <w:tr w:rsidR="00F2132A" w:rsidRPr="00872D7E" w14:paraId="7AA3134D" w14:textId="77777777" w:rsidTr="00F2132A">
        <w:trPr>
          <w:trHeight w:val="79"/>
        </w:trPr>
        <w:tc>
          <w:tcPr>
            <w:tcW w:w="2397" w:type="pct"/>
            <w:shd w:val="clear" w:color="auto" w:fill="auto"/>
            <w:vAlign w:val="center"/>
          </w:tcPr>
          <w:p w14:paraId="357B5B26" w14:textId="77777777" w:rsidR="00F2132A" w:rsidRPr="00872D7E" w:rsidRDefault="00F2132A" w:rsidP="00D817BD">
            <w:pPr>
              <w:rPr>
                <w:b/>
                <w:sz w:val="18"/>
                <w:szCs w:val="18"/>
              </w:rPr>
            </w:pPr>
          </w:p>
        </w:tc>
        <w:tc>
          <w:tcPr>
            <w:tcW w:w="665" w:type="pct"/>
            <w:shd w:val="clear" w:color="auto" w:fill="auto"/>
            <w:vAlign w:val="bottom"/>
          </w:tcPr>
          <w:p w14:paraId="5864A223" w14:textId="77777777" w:rsidR="00F2132A" w:rsidRPr="00872D7E" w:rsidRDefault="00F2132A" w:rsidP="00D817BD">
            <w:pPr>
              <w:jc w:val="right"/>
              <w:rPr>
                <w:rFonts w:eastAsia="Arial Unicode MS"/>
                <w:b/>
                <w:sz w:val="18"/>
                <w:szCs w:val="18"/>
              </w:rPr>
            </w:pPr>
          </w:p>
        </w:tc>
        <w:tc>
          <w:tcPr>
            <w:tcW w:w="625" w:type="pct"/>
            <w:shd w:val="clear" w:color="auto" w:fill="auto"/>
            <w:vAlign w:val="bottom"/>
          </w:tcPr>
          <w:p w14:paraId="27ACF0AF" w14:textId="77777777" w:rsidR="00F2132A" w:rsidRPr="00872D7E" w:rsidRDefault="00F2132A" w:rsidP="00D817BD">
            <w:pPr>
              <w:jc w:val="right"/>
              <w:rPr>
                <w:rFonts w:eastAsia="Arial Unicode MS"/>
                <w:b/>
                <w:sz w:val="18"/>
                <w:szCs w:val="18"/>
              </w:rPr>
            </w:pPr>
          </w:p>
        </w:tc>
        <w:tc>
          <w:tcPr>
            <w:tcW w:w="656" w:type="pct"/>
            <w:shd w:val="clear" w:color="auto" w:fill="auto"/>
            <w:vAlign w:val="bottom"/>
          </w:tcPr>
          <w:p w14:paraId="309A267E" w14:textId="77777777" w:rsidR="00F2132A" w:rsidRPr="00872D7E" w:rsidRDefault="00F2132A" w:rsidP="00D817BD">
            <w:pPr>
              <w:jc w:val="right"/>
              <w:rPr>
                <w:rFonts w:eastAsia="Arial Unicode MS"/>
                <w:b/>
                <w:sz w:val="18"/>
                <w:szCs w:val="18"/>
              </w:rPr>
            </w:pPr>
          </w:p>
        </w:tc>
        <w:tc>
          <w:tcPr>
            <w:tcW w:w="657" w:type="pct"/>
            <w:shd w:val="clear" w:color="auto" w:fill="auto"/>
            <w:vAlign w:val="bottom"/>
          </w:tcPr>
          <w:p w14:paraId="24C37D1A" w14:textId="77777777" w:rsidR="00F2132A" w:rsidRPr="00872D7E" w:rsidRDefault="00F2132A" w:rsidP="00D817BD">
            <w:pPr>
              <w:jc w:val="right"/>
              <w:rPr>
                <w:rFonts w:eastAsia="Arial Unicode MS"/>
                <w:b/>
                <w:sz w:val="18"/>
                <w:szCs w:val="18"/>
              </w:rPr>
            </w:pPr>
          </w:p>
        </w:tc>
      </w:tr>
      <w:tr w:rsidR="002C05C1" w:rsidRPr="00872D7E" w14:paraId="1EF6623F" w14:textId="77777777" w:rsidTr="002C05C1">
        <w:trPr>
          <w:trHeight w:val="121"/>
        </w:trPr>
        <w:tc>
          <w:tcPr>
            <w:tcW w:w="2397" w:type="pct"/>
            <w:shd w:val="clear" w:color="auto" w:fill="auto"/>
            <w:vAlign w:val="center"/>
            <w:hideMark/>
          </w:tcPr>
          <w:p w14:paraId="64D24323" w14:textId="77777777" w:rsidR="002C05C1" w:rsidRPr="00872D7E" w:rsidRDefault="002C05C1" w:rsidP="00D817BD">
            <w:pPr>
              <w:ind w:left="382"/>
              <w:jc w:val="both"/>
              <w:rPr>
                <w:snapToGrid w:val="0"/>
                <w:sz w:val="18"/>
                <w:szCs w:val="18"/>
              </w:rPr>
            </w:pPr>
            <w:r w:rsidRPr="00872D7E">
              <w:rPr>
                <w:snapToGrid w:val="0"/>
                <w:sz w:val="18"/>
                <w:szCs w:val="18"/>
              </w:rPr>
              <w:t>Para piyasalarından alacaklar</w:t>
            </w:r>
          </w:p>
        </w:tc>
        <w:tc>
          <w:tcPr>
            <w:tcW w:w="665" w:type="pct"/>
            <w:shd w:val="clear" w:color="auto" w:fill="auto"/>
            <w:vAlign w:val="bottom"/>
          </w:tcPr>
          <w:p w14:paraId="71667492" w14:textId="4045FE94" w:rsidR="002C05C1" w:rsidRPr="00872D7E" w:rsidRDefault="002C05C1" w:rsidP="00D817BD">
            <w:pPr>
              <w:ind w:left="213" w:right="83" w:hanging="141"/>
              <w:jc w:val="right"/>
              <w:rPr>
                <w:sz w:val="18"/>
                <w:szCs w:val="18"/>
              </w:rPr>
            </w:pPr>
            <w:r w:rsidRPr="00872D7E">
              <w:rPr>
                <w:sz w:val="18"/>
                <w:szCs w:val="18"/>
              </w:rPr>
              <w:t>-</w:t>
            </w:r>
          </w:p>
        </w:tc>
        <w:tc>
          <w:tcPr>
            <w:tcW w:w="625" w:type="pct"/>
            <w:shd w:val="clear" w:color="auto" w:fill="auto"/>
            <w:vAlign w:val="bottom"/>
          </w:tcPr>
          <w:p w14:paraId="02930399" w14:textId="4CC1633E" w:rsidR="002C05C1" w:rsidRPr="00872D7E" w:rsidRDefault="002C05C1" w:rsidP="00D817BD">
            <w:pPr>
              <w:ind w:left="213" w:right="83" w:hanging="141"/>
              <w:jc w:val="right"/>
              <w:rPr>
                <w:sz w:val="18"/>
                <w:szCs w:val="18"/>
              </w:rPr>
            </w:pPr>
            <w:r w:rsidRPr="00872D7E">
              <w:rPr>
                <w:sz w:val="18"/>
                <w:szCs w:val="18"/>
              </w:rPr>
              <w:t>-</w:t>
            </w:r>
          </w:p>
        </w:tc>
        <w:tc>
          <w:tcPr>
            <w:tcW w:w="656" w:type="pct"/>
            <w:shd w:val="clear" w:color="auto" w:fill="auto"/>
            <w:vAlign w:val="bottom"/>
          </w:tcPr>
          <w:p w14:paraId="5CFDB01D" w14:textId="2323882F" w:rsidR="002C05C1" w:rsidRPr="00872D7E" w:rsidRDefault="002C05C1" w:rsidP="00D817BD">
            <w:pPr>
              <w:ind w:left="213" w:right="83" w:hanging="141"/>
              <w:jc w:val="right"/>
              <w:rPr>
                <w:sz w:val="18"/>
                <w:szCs w:val="18"/>
              </w:rPr>
            </w:pPr>
            <w:r w:rsidRPr="00872D7E">
              <w:rPr>
                <w:sz w:val="18"/>
                <w:szCs w:val="18"/>
              </w:rPr>
              <w:t>-</w:t>
            </w:r>
          </w:p>
        </w:tc>
        <w:tc>
          <w:tcPr>
            <w:tcW w:w="657" w:type="pct"/>
            <w:shd w:val="clear" w:color="auto" w:fill="auto"/>
            <w:vAlign w:val="bottom"/>
          </w:tcPr>
          <w:p w14:paraId="0B5A36D6" w14:textId="2A767965" w:rsidR="002C05C1" w:rsidRPr="00872D7E" w:rsidRDefault="002C05C1" w:rsidP="00D817BD">
            <w:pPr>
              <w:ind w:left="213" w:right="83" w:hanging="141"/>
              <w:jc w:val="right"/>
              <w:rPr>
                <w:sz w:val="18"/>
                <w:szCs w:val="18"/>
              </w:rPr>
            </w:pPr>
            <w:r w:rsidRPr="00872D7E">
              <w:rPr>
                <w:sz w:val="18"/>
                <w:szCs w:val="18"/>
              </w:rPr>
              <w:t>-</w:t>
            </w:r>
          </w:p>
        </w:tc>
      </w:tr>
      <w:tr w:rsidR="002C05C1" w:rsidRPr="00872D7E" w14:paraId="4E8A76C8" w14:textId="77777777" w:rsidTr="002C05C1">
        <w:trPr>
          <w:trHeight w:val="121"/>
        </w:trPr>
        <w:tc>
          <w:tcPr>
            <w:tcW w:w="2397" w:type="pct"/>
            <w:shd w:val="clear" w:color="auto" w:fill="auto"/>
            <w:vAlign w:val="center"/>
            <w:hideMark/>
          </w:tcPr>
          <w:p w14:paraId="6D23CEB2" w14:textId="77777777" w:rsidR="002C05C1" w:rsidRPr="00872D7E" w:rsidRDefault="002C05C1" w:rsidP="00D817BD">
            <w:pPr>
              <w:ind w:left="382"/>
              <w:jc w:val="both"/>
              <w:rPr>
                <w:rFonts w:eastAsia="Arial Unicode MS"/>
                <w:sz w:val="18"/>
                <w:szCs w:val="18"/>
              </w:rPr>
            </w:pPr>
            <w:r w:rsidRPr="00872D7E">
              <w:rPr>
                <w:snapToGrid w:val="0"/>
                <w:sz w:val="18"/>
                <w:szCs w:val="18"/>
              </w:rPr>
              <w:t>Bankalar</w:t>
            </w:r>
          </w:p>
        </w:tc>
        <w:tc>
          <w:tcPr>
            <w:tcW w:w="665" w:type="pct"/>
            <w:shd w:val="clear" w:color="auto" w:fill="auto"/>
            <w:vAlign w:val="bottom"/>
          </w:tcPr>
          <w:p w14:paraId="11BD6B44" w14:textId="2FA9501E" w:rsidR="002C05C1" w:rsidRPr="00872D7E" w:rsidRDefault="002C05C1" w:rsidP="00D817BD">
            <w:pPr>
              <w:ind w:left="213" w:right="83" w:hanging="141"/>
              <w:jc w:val="right"/>
              <w:rPr>
                <w:sz w:val="18"/>
                <w:szCs w:val="18"/>
              </w:rPr>
            </w:pPr>
            <w:r w:rsidRPr="00872D7E">
              <w:rPr>
                <w:sz w:val="18"/>
                <w:szCs w:val="18"/>
              </w:rPr>
              <w:t>4.437.621</w:t>
            </w:r>
          </w:p>
        </w:tc>
        <w:tc>
          <w:tcPr>
            <w:tcW w:w="625" w:type="pct"/>
            <w:shd w:val="clear" w:color="auto" w:fill="auto"/>
            <w:vAlign w:val="bottom"/>
          </w:tcPr>
          <w:p w14:paraId="2AC8D90F" w14:textId="1B8C5A1E" w:rsidR="002C05C1" w:rsidRPr="00872D7E" w:rsidRDefault="002C05C1" w:rsidP="00D817BD">
            <w:pPr>
              <w:ind w:left="213" w:right="83" w:hanging="141"/>
              <w:jc w:val="right"/>
              <w:rPr>
                <w:sz w:val="18"/>
                <w:szCs w:val="18"/>
              </w:rPr>
            </w:pPr>
            <w:r w:rsidRPr="00872D7E">
              <w:rPr>
                <w:sz w:val="18"/>
                <w:szCs w:val="18"/>
              </w:rPr>
              <w:t>441.437</w:t>
            </w:r>
          </w:p>
        </w:tc>
        <w:tc>
          <w:tcPr>
            <w:tcW w:w="656" w:type="pct"/>
            <w:shd w:val="clear" w:color="auto" w:fill="auto"/>
            <w:vAlign w:val="bottom"/>
          </w:tcPr>
          <w:p w14:paraId="763BE79E" w14:textId="63820783" w:rsidR="002C05C1" w:rsidRPr="00872D7E" w:rsidRDefault="002C05C1" w:rsidP="00D817BD">
            <w:pPr>
              <w:ind w:left="213" w:right="83" w:hanging="141"/>
              <w:jc w:val="right"/>
              <w:rPr>
                <w:sz w:val="18"/>
                <w:szCs w:val="18"/>
              </w:rPr>
            </w:pPr>
            <w:r w:rsidRPr="00872D7E">
              <w:rPr>
                <w:sz w:val="18"/>
                <w:szCs w:val="18"/>
              </w:rPr>
              <w:t>4.437.621</w:t>
            </w:r>
          </w:p>
        </w:tc>
        <w:tc>
          <w:tcPr>
            <w:tcW w:w="657" w:type="pct"/>
            <w:shd w:val="clear" w:color="auto" w:fill="auto"/>
            <w:vAlign w:val="bottom"/>
          </w:tcPr>
          <w:p w14:paraId="73318A10" w14:textId="2231F2D7" w:rsidR="002C05C1" w:rsidRPr="00872D7E" w:rsidRDefault="002C05C1" w:rsidP="00D817BD">
            <w:pPr>
              <w:ind w:left="213" w:right="83" w:hanging="141"/>
              <w:jc w:val="right"/>
              <w:rPr>
                <w:sz w:val="18"/>
                <w:szCs w:val="18"/>
              </w:rPr>
            </w:pPr>
            <w:r w:rsidRPr="00872D7E">
              <w:rPr>
                <w:sz w:val="18"/>
                <w:szCs w:val="18"/>
              </w:rPr>
              <w:t>441.437</w:t>
            </w:r>
          </w:p>
        </w:tc>
      </w:tr>
      <w:tr w:rsidR="002C05C1" w:rsidRPr="00872D7E" w14:paraId="73B33017" w14:textId="77777777" w:rsidTr="002C05C1">
        <w:trPr>
          <w:trHeight w:val="121"/>
        </w:trPr>
        <w:tc>
          <w:tcPr>
            <w:tcW w:w="2397" w:type="pct"/>
            <w:shd w:val="clear" w:color="auto" w:fill="auto"/>
            <w:vAlign w:val="center"/>
            <w:hideMark/>
          </w:tcPr>
          <w:p w14:paraId="30FBB0F2" w14:textId="77777777" w:rsidR="002C05C1" w:rsidRPr="00872D7E" w:rsidRDefault="002C05C1" w:rsidP="00D817BD">
            <w:pPr>
              <w:ind w:left="382" w:right="121"/>
              <w:jc w:val="both"/>
              <w:rPr>
                <w:snapToGrid w:val="0"/>
                <w:sz w:val="18"/>
                <w:szCs w:val="18"/>
              </w:rPr>
            </w:pPr>
            <w:r w:rsidRPr="00872D7E">
              <w:rPr>
                <w:sz w:val="18"/>
                <w:szCs w:val="18"/>
              </w:rPr>
              <w:t>Gerçeğe Uygun Değer Farkı Kâr veya Zarara Yansıtılan Finansal Varlıklar</w:t>
            </w:r>
          </w:p>
        </w:tc>
        <w:tc>
          <w:tcPr>
            <w:tcW w:w="665" w:type="pct"/>
            <w:shd w:val="clear" w:color="auto" w:fill="auto"/>
            <w:vAlign w:val="bottom"/>
          </w:tcPr>
          <w:p w14:paraId="42C00908" w14:textId="70259989" w:rsidR="002C05C1" w:rsidRPr="00872D7E" w:rsidRDefault="002C05C1" w:rsidP="00D817BD">
            <w:pPr>
              <w:ind w:left="213" w:right="83" w:hanging="141"/>
              <w:jc w:val="right"/>
              <w:rPr>
                <w:sz w:val="18"/>
                <w:szCs w:val="18"/>
              </w:rPr>
            </w:pPr>
            <w:r w:rsidRPr="00872D7E">
              <w:rPr>
                <w:sz w:val="18"/>
                <w:szCs w:val="18"/>
              </w:rPr>
              <w:t>133.298</w:t>
            </w:r>
          </w:p>
        </w:tc>
        <w:tc>
          <w:tcPr>
            <w:tcW w:w="625" w:type="pct"/>
            <w:shd w:val="clear" w:color="auto" w:fill="auto"/>
            <w:vAlign w:val="bottom"/>
          </w:tcPr>
          <w:p w14:paraId="5C275EEE" w14:textId="6363768D" w:rsidR="002C05C1" w:rsidRPr="00872D7E" w:rsidRDefault="002C05C1" w:rsidP="00D817BD">
            <w:pPr>
              <w:ind w:left="213" w:right="83" w:hanging="141"/>
              <w:jc w:val="right"/>
              <w:rPr>
                <w:sz w:val="18"/>
                <w:szCs w:val="18"/>
              </w:rPr>
            </w:pPr>
            <w:r w:rsidRPr="00872D7E">
              <w:rPr>
                <w:sz w:val="18"/>
                <w:szCs w:val="18"/>
              </w:rPr>
              <w:t>111.358</w:t>
            </w:r>
          </w:p>
        </w:tc>
        <w:tc>
          <w:tcPr>
            <w:tcW w:w="656" w:type="pct"/>
            <w:shd w:val="clear" w:color="auto" w:fill="auto"/>
            <w:vAlign w:val="bottom"/>
          </w:tcPr>
          <w:p w14:paraId="6D71C74B" w14:textId="06D2DEF7" w:rsidR="002C05C1" w:rsidRPr="00872D7E" w:rsidRDefault="002C05C1" w:rsidP="00D817BD">
            <w:pPr>
              <w:ind w:left="213" w:right="83" w:hanging="141"/>
              <w:jc w:val="right"/>
              <w:rPr>
                <w:sz w:val="18"/>
                <w:szCs w:val="18"/>
              </w:rPr>
            </w:pPr>
            <w:r w:rsidRPr="00872D7E">
              <w:rPr>
                <w:sz w:val="18"/>
                <w:szCs w:val="18"/>
              </w:rPr>
              <w:t>133.298</w:t>
            </w:r>
          </w:p>
        </w:tc>
        <w:tc>
          <w:tcPr>
            <w:tcW w:w="657" w:type="pct"/>
            <w:shd w:val="clear" w:color="auto" w:fill="auto"/>
            <w:vAlign w:val="bottom"/>
          </w:tcPr>
          <w:p w14:paraId="40F78B98" w14:textId="09CD0008" w:rsidR="002C05C1" w:rsidRPr="00872D7E" w:rsidRDefault="002C05C1" w:rsidP="00D817BD">
            <w:pPr>
              <w:ind w:left="213" w:right="83" w:hanging="141"/>
              <w:jc w:val="right"/>
              <w:rPr>
                <w:sz w:val="18"/>
                <w:szCs w:val="18"/>
              </w:rPr>
            </w:pPr>
            <w:r w:rsidRPr="00872D7E">
              <w:rPr>
                <w:sz w:val="18"/>
                <w:szCs w:val="18"/>
              </w:rPr>
              <w:t>111.358</w:t>
            </w:r>
          </w:p>
        </w:tc>
      </w:tr>
      <w:tr w:rsidR="002C05C1" w:rsidRPr="00872D7E" w14:paraId="0183DAA4" w14:textId="77777777" w:rsidTr="002C05C1">
        <w:trPr>
          <w:trHeight w:val="121"/>
        </w:trPr>
        <w:tc>
          <w:tcPr>
            <w:tcW w:w="2397" w:type="pct"/>
            <w:shd w:val="clear" w:color="auto" w:fill="auto"/>
            <w:vAlign w:val="center"/>
            <w:hideMark/>
          </w:tcPr>
          <w:p w14:paraId="3C48D572" w14:textId="77777777" w:rsidR="002C05C1" w:rsidRPr="00872D7E" w:rsidRDefault="002C05C1" w:rsidP="00D817BD">
            <w:pPr>
              <w:ind w:left="382" w:right="121"/>
              <w:jc w:val="both"/>
              <w:rPr>
                <w:rFonts w:eastAsia="Arial Unicode MS"/>
                <w:sz w:val="18"/>
                <w:szCs w:val="18"/>
              </w:rPr>
            </w:pPr>
            <w:r w:rsidRPr="00872D7E">
              <w:rPr>
                <w:snapToGrid w:val="0"/>
                <w:sz w:val="18"/>
                <w:szCs w:val="18"/>
              </w:rPr>
              <w:t xml:space="preserve">Gerçeğe Uygun Değer Farkı Diğer Kapsamlı Gelire Yansıtılan Finansal </w:t>
            </w:r>
            <w:r w:rsidRPr="00872D7E">
              <w:rPr>
                <w:sz w:val="18"/>
                <w:szCs w:val="18"/>
              </w:rPr>
              <w:t>Varlıklar</w:t>
            </w:r>
          </w:p>
        </w:tc>
        <w:tc>
          <w:tcPr>
            <w:tcW w:w="665" w:type="pct"/>
            <w:shd w:val="clear" w:color="auto" w:fill="auto"/>
            <w:vAlign w:val="bottom"/>
          </w:tcPr>
          <w:p w14:paraId="51315041" w14:textId="0ADC484B" w:rsidR="002C05C1" w:rsidRPr="00872D7E" w:rsidRDefault="002C05C1" w:rsidP="00D817BD">
            <w:pPr>
              <w:ind w:left="213" w:right="83" w:hanging="141"/>
              <w:jc w:val="right"/>
              <w:rPr>
                <w:sz w:val="18"/>
                <w:szCs w:val="18"/>
              </w:rPr>
            </w:pPr>
            <w:r w:rsidRPr="00872D7E">
              <w:rPr>
                <w:sz w:val="18"/>
                <w:szCs w:val="18"/>
              </w:rPr>
              <w:t>964.443</w:t>
            </w:r>
          </w:p>
        </w:tc>
        <w:tc>
          <w:tcPr>
            <w:tcW w:w="625" w:type="pct"/>
            <w:shd w:val="clear" w:color="auto" w:fill="auto"/>
            <w:vAlign w:val="bottom"/>
          </w:tcPr>
          <w:p w14:paraId="6BE09F48" w14:textId="61AB3676" w:rsidR="002C05C1" w:rsidRPr="00872D7E" w:rsidRDefault="002C05C1" w:rsidP="00D817BD">
            <w:pPr>
              <w:ind w:left="213" w:right="83" w:hanging="141"/>
              <w:jc w:val="right"/>
              <w:rPr>
                <w:sz w:val="18"/>
                <w:szCs w:val="18"/>
              </w:rPr>
            </w:pPr>
            <w:r w:rsidRPr="00872D7E">
              <w:rPr>
                <w:sz w:val="18"/>
                <w:szCs w:val="18"/>
              </w:rPr>
              <w:t>-</w:t>
            </w:r>
          </w:p>
        </w:tc>
        <w:tc>
          <w:tcPr>
            <w:tcW w:w="656" w:type="pct"/>
            <w:shd w:val="clear" w:color="auto" w:fill="auto"/>
            <w:vAlign w:val="bottom"/>
          </w:tcPr>
          <w:p w14:paraId="234B8CE9" w14:textId="619D52AD" w:rsidR="002C05C1" w:rsidRPr="00872D7E" w:rsidRDefault="002C05C1" w:rsidP="00D817BD">
            <w:pPr>
              <w:ind w:left="213" w:right="83" w:hanging="141"/>
              <w:jc w:val="right"/>
              <w:rPr>
                <w:sz w:val="18"/>
                <w:szCs w:val="18"/>
              </w:rPr>
            </w:pPr>
            <w:r w:rsidRPr="00872D7E">
              <w:rPr>
                <w:sz w:val="18"/>
                <w:szCs w:val="18"/>
              </w:rPr>
              <w:t>964.443</w:t>
            </w:r>
          </w:p>
        </w:tc>
        <w:tc>
          <w:tcPr>
            <w:tcW w:w="657" w:type="pct"/>
            <w:shd w:val="clear" w:color="auto" w:fill="auto"/>
            <w:vAlign w:val="bottom"/>
          </w:tcPr>
          <w:p w14:paraId="246994F2" w14:textId="3667D9AE" w:rsidR="002C05C1" w:rsidRPr="00872D7E" w:rsidRDefault="002C05C1" w:rsidP="00D817BD">
            <w:pPr>
              <w:ind w:left="213" w:right="83" w:hanging="141"/>
              <w:jc w:val="right"/>
              <w:rPr>
                <w:sz w:val="18"/>
                <w:szCs w:val="18"/>
              </w:rPr>
            </w:pPr>
            <w:r w:rsidRPr="00872D7E">
              <w:rPr>
                <w:sz w:val="18"/>
                <w:szCs w:val="18"/>
              </w:rPr>
              <w:t>-</w:t>
            </w:r>
          </w:p>
        </w:tc>
      </w:tr>
      <w:tr w:rsidR="002C05C1" w:rsidRPr="00872D7E" w14:paraId="5A4E8471" w14:textId="77777777" w:rsidTr="002C05C1">
        <w:trPr>
          <w:trHeight w:val="121"/>
        </w:trPr>
        <w:tc>
          <w:tcPr>
            <w:tcW w:w="2397" w:type="pct"/>
            <w:shd w:val="clear" w:color="auto" w:fill="auto"/>
            <w:vAlign w:val="center"/>
            <w:hideMark/>
          </w:tcPr>
          <w:p w14:paraId="3A676712" w14:textId="77777777" w:rsidR="002C05C1" w:rsidRPr="00872D7E" w:rsidRDefault="002C05C1" w:rsidP="00D817BD">
            <w:pPr>
              <w:ind w:left="382" w:right="121"/>
              <w:jc w:val="both"/>
              <w:rPr>
                <w:snapToGrid w:val="0"/>
                <w:sz w:val="18"/>
                <w:szCs w:val="18"/>
              </w:rPr>
            </w:pPr>
            <w:r w:rsidRPr="00872D7E">
              <w:rPr>
                <w:snapToGrid w:val="0"/>
                <w:sz w:val="18"/>
                <w:szCs w:val="18"/>
              </w:rPr>
              <w:t>İtfa Edilmiş Maliyet Üzerinden Değerlenen Finansal Varlıklar</w:t>
            </w:r>
          </w:p>
        </w:tc>
        <w:tc>
          <w:tcPr>
            <w:tcW w:w="665" w:type="pct"/>
            <w:shd w:val="clear" w:color="auto" w:fill="auto"/>
            <w:vAlign w:val="bottom"/>
          </w:tcPr>
          <w:p w14:paraId="2BE9FECC" w14:textId="07AF4EF4" w:rsidR="002C05C1" w:rsidRPr="00872D7E" w:rsidRDefault="002C05C1" w:rsidP="00D817BD">
            <w:pPr>
              <w:ind w:left="213" w:right="83" w:hanging="141"/>
              <w:jc w:val="right"/>
              <w:rPr>
                <w:sz w:val="18"/>
                <w:szCs w:val="18"/>
              </w:rPr>
            </w:pPr>
            <w:r w:rsidRPr="00872D7E">
              <w:rPr>
                <w:sz w:val="18"/>
                <w:szCs w:val="18"/>
              </w:rPr>
              <w:t>391.310</w:t>
            </w:r>
          </w:p>
        </w:tc>
        <w:tc>
          <w:tcPr>
            <w:tcW w:w="625" w:type="pct"/>
            <w:shd w:val="clear" w:color="auto" w:fill="auto"/>
            <w:vAlign w:val="bottom"/>
          </w:tcPr>
          <w:p w14:paraId="4AE0B492" w14:textId="71C813E6" w:rsidR="002C05C1" w:rsidRPr="00872D7E" w:rsidRDefault="002C05C1" w:rsidP="00D817BD">
            <w:pPr>
              <w:ind w:left="213" w:right="83" w:hanging="141"/>
              <w:jc w:val="right"/>
              <w:rPr>
                <w:sz w:val="18"/>
                <w:szCs w:val="18"/>
              </w:rPr>
            </w:pPr>
            <w:r w:rsidRPr="00872D7E">
              <w:rPr>
                <w:sz w:val="18"/>
                <w:szCs w:val="18"/>
              </w:rPr>
              <w:t>-</w:t>
            </w:r>
          </w:p>
        </w:tc>
        <w:tc>
          <w:tcPr>
            <w:tcW w:w="656" w:type="pct"/>
            <w:shd w:val="clear" w:color="auto" w:fill="auto"/>
            <w:vAlign w:val="bottom"/>
          </w:tcPr>
          <w:p w14:paraId="297C246D" w14:textId="3CA3B317" w:rsidR="002C05C1" w:rsidRPr="00872D7E" w:rsidRDefault="002C05C1" w:rsidP="00D817BD">
            <w:pPr>
              <w:ind w:left="213" w:right="83" w:hanging="141"/>
              <w:jc w:val="right"/>
              <w:rPr>
                <w:sz w:val="18"/>
                <w:szCs w:val="18"/>
              </w:rPr>
            </w:pPr>
            <w:r w:rsidRPr="00872D7E">
              <w:rPr>
                <w:sz w:val="18"/>
                <w:szCs w:val="18"/>
              </w:rPr>
              <w:t>224.336</w:t>
            </w:r>
          </w:p>
        </w:tc>
        <w:tc>
          <w:tcPr>
            <w:tcW w:w="657" w:type="pct"/>
            <w:shd w:val="clear" w:color="auto" w:fill="auto"/>
            <w:vAlign w:val="bottom"/>
          </w:tcPr>
          <w:p w14:paraId="1A8E25D8" w14:textId="60A00F34" w:rsidR="002C05C1" w:rsidRPr="00872D7E" w:rsidRDefault="002C05C1" w:rsidP="00D817BD">
            <w:pPr>
              <w:ind w:left="213" w:right="83" w:hanging="141"/>
              <w:jc w:val="right"/>
              <w:rPr>
                <w:sz w:val="18"/>
                <w:szCs w:val="18"/>
              </w:rPr>
            </w:pPr>
            <w:r w:rsidRPr="00872D7E">
              <w:rPr>
                <w:sz w:val="18"/>
                <w:szCs w:val="18"/>
              </w:rPr>
              <w:t>-</w:t>
            </w:r>
          </w:p>
        </w:tc>
      </w:tr>
      <w:tr w:rsidR="002C05C1" w:rsidRPr="00872D7E" w14:paraId="453E54EA" w14:textId="77777777" w:rsidTr="002C05C1">
        <w:trPr>
          <w:trHeight w:val="121"/>
        </w:trPr>
        <w:tc>
          <w:tcPr>
            <w:tcW w:w="2397" w:type="pct"/>
            <w:shd w:val="clear" w:color="auto" w:fill="auto"/>
            <w:vAlign w:val="center"/>
            <w:hideMark/>
          </w:tcPr>
          <w:p w14:paraId="113BCD01" w14:textId="77777777" w:rsidR="002C05C1" w:rsidRPr="00872D7E" w:rsidRDefault="002C05C1" w:rsidP="00D817BD">
            <w:pPr>
              <w:ind w:left="382" w:right="121"/>
              <w:jc w:val="both"/>
              <w:rPr>
                <w:snapToGrid w:val="0"/>
                <w:sz w:val="18"/>
                <w:szCs w:val="18"/>
              </w:rPr>
            </w:pPr>
            <w:r w:rsidRPr="00872D7E">
              <w:rPr>
                <w:snapToGrid w:val="0"/>
                <w:sz w:val="18"/>
                <w:szCs w:val="18"/>
              </w:rPr>
              <w:t>Verilen krediler ve finansal kiralama alacakları</w:t>
            </w:r>
          </w:p>
        </w:tc>
        <w:tc>
          <w:tcPr>
            <w:tcW w:w="665" w:type="pct"/>
            <w:shd w:val="clear" w:color="auto" w:fill="auto"/>
            <w:vAlign w:val="bottom"/>
          </w:tcPr>
          <w:p w14:paraId="3E344CB2" w14:textId="3F7F4769" w:rsidR="002C05C1" w:rsidRPr="00872D7E" w:rsidRDefault="002C05C1" w:rsidP="00D817BD">
            <w:pPr>
              <w:ind w:left="213" w:right="83" w:hanging="141"/>
              <w:jc w:val="right"/>
              <w:rPr>
                <w:sz w:val="18"/>
                <w:szCs w:val="18"/>
              </w:rPr>
            </w:pPr>
            <w:r w:rsidRPr="00872D7E">
              <w:rPr>
                <w:sz w:val="18"/>
                <w:szCs w:val="18"/>
              </w:rPr>
              <w:t>23.033.822</w:t>
            </w:r>
          </w:p>
        </w:tc>
        <w:tc>
          <w:tcPr>
            <w:tcW w:w="625" w:type="pct"/>
            <w:shd w:val="clear" w:color="auto" w:fill="auto"/>
            <w:vAlign w:val="bottom"/>
          </w:tcPr>
          <w:p w14:paraId="776F1E61" w14:textId="7EAD6DF9" w:rsidR="002C05C1" w:rsidRPr="00872D7E" w:rsidRDefault="002C05C1" w:rsidP="00D817BD">
            <w:pPr>
              <w:ind w:left="213" w:right="83" w:hanging="141"/>
              <w:jc w:val="right"/>
              <w:rPr>
                <w:sz w:val="18"/>
                <w:szCs w:val="18"/>
              </w:rPr>
            </w:pPr>
            <w:r w:rsidRPr="00872D7E">
              <w:rPr>
                <w:sz w:val="18"/>
                <w:szCs w:val="18"/>
              </w:rPr>
              <w:t>-</w:t>
            </w:r>
          </w:p>
        </w:tc>
        <w:tc>
          <w:tcPr>
            <w:tcW w:w="656" w:type="pct"/>
            <w:shd w:val="clear" w:color="auto" w:fill="auto"/>
            <w:vAlign w:val="bottom"/>
          </w:tcPr>
          <w:p w14:paraId="7CED67A5" w14:textId="46C88BF4" w:rsidR="002C05C1" w:rsidRPr="00872D7E" w:rsidRDefault="002C05C1" w:rsidP="00D817BD">
            <w:pPr>
              <w:ind w:left="213" w:right="83" w:hanging="141"/>
              <w:jc w:val="right"/>
              <w:rPr>
                <w:sz w:val="18"/>
                <w:szCs w:val="18"/>
              </w:rPr>
            </w:pPr>
            <w:r w:rsidRPr="00872D7E">
              <w:rPr>
                <w:sz w:val="18"/>
                <w:szCs w:val="18"/>
              </w:rPr>
              <w:t>19.640.307</w:t>
            </w:r>
          </w:p>
        </w:tc>
        <w:tc>
          <w:tcPr>
            <w:tcW w:w="657" w:type="pct"/>
            <w:shd w:val="clear" w:color="auto" w:fill="auto"/>
            <w:vAlign w:val="bottom"/>
          </w:tcPr>
          <w:p w14:paraId="3AAE2140" w14:textId="2702DAF4" w:rsidR="002C05C1" w:rsidRPr="00872D7E" w:rsidRDefault="002C05C1" w:rsidP="00D817BD">
            <w:pPr>
              <w:ind w:left="213" w:right="83" w:hanging="141"/>
              <w:jc w:val="right"/>
              <w:rPr>
                <w:sz w:val="18"/>
                <w:szCs w:val="18"/>
              </w:rPr>
            </w:pPr>
            <w:r w:rsidRPr="00872D7E">
              <w:rPr>
                <w:sz w:val="18"/>
                <w:szCs w:val="18"/>
              </w:rPr>
              <w:t>-</w:t>
            </w:r>
          </w:p>
        </w:tc>
      </w:tr>
      <w:tr w:rsidR="002C05C1" w:rsidRPr="00872D7E" w14:paraId="51F39B3B" w14:textId="77777777" w:rsidTr="002C05C1">
        <w:trPr>
          <w:trHeight w:val="121"/>
        </w:trPr>
        <w:tc>
          <w:tcPr>
            <w:tcW w:w="2397" w:type="pct"/>
            <w:shd w:val="clear" w:color="auto" w:fill="auto"/>
            <w:vAlign w:val="center"/>
          </w:tcPr>
          <w:p w14:paraId="607FD74F" w14:textId="77777777" w:rsidR="002C05C1" w:rsidRPr="00872D7E" w:rsidRDefault="002C05C1" w:rsidP="00D817BD">
            <w:pPr>
              <w:ind w:left="382" w:right="121"/>
              <w:jc w:val="both"/>
              <w:rPr>
                <w:snapToGrid w:val="0"/>
                <w:sz w:val="18"/>
                <w:szCs w:val="18"/>
              </w:rPr>
            </w:pPr>
          </w:p>
        </w:tc>
        <w:tc>
          <w:tcPr>
            <w:tcW w:w="665" w:type="pct"/>
            <w:shd w:val="clear" w:color="auto" w:fill="auto"/>
            <w:vAlign w:val="bottom"/>
          </w:tcPr>
          <w:p w14:paraId="2373D2CF" w14:textId="77777777" w:rsidR="002C05C1" w:rsidRPr="00872D7E" w:rsidRDefault="002C05C1" w:rsidP="00D817BD">
            <w:pPr>
              <w:ind w:left="213" w:right="83" w:hanging="141"/>
              <w:jc w:val="right"/>
              <w:rPr>
                <w:sz w:val="18"/>
                <w:szCs w:val="18"/>
              </w:rPr>
            </w:pPr>
          </w:p>
        </w:tc>
        <w:tc>
          <w:tcPr>
            <w:tcW w:w="625" w:type="pct"/>
            <w:shd w:val="clear" w:color="auto" w:fill="auto"/>
            <w:vAlign w:val="bottom"/>
          </w:tcPr>
          <w:p w14:paraId="2D6B1243" w14:textId="77777777" w:rsidR="002C05C1" w:rsidRPr="00872D7E" w:rsidRDefault="002C05C1" w:rsidP="00D817BD">
            <w:pPr>
              <w:ind w:left="213" w:right="83" w:hanging="141"/>
              <w:jc w:val="right"/>
              <w:rPr>
                <w:sz w:val="18"/>
                <w:szCs w:val="18"/>
              </w:rPr>
            </w:pPr>
          </w:p>
        </w:tc>
        <w:tc>
          <w:tcPr>
            <w:tcW w:w="656" w:type="pct"/>
            <w:shd w:val="clear" w:color="auto" w:fill="auto"/>
            <w:vAlign w:val="bottom"/>
          </w:tcPr>
          <w:p w14:paraId="7FA85D9E" w14:textId="77777777" w:rsidR="002C05C1" w:rsidRPr="00872D7E" w:rsidRDefault="002C05C1" w:rsidP="00D817BD">
            <w:pPr>
              <w:ind w:left="213" w:right="83" w:hanging="141"/>
              <w:jc w:val="right"/>
              <w:rPr>
                <w:sz w:val="18"/>
                <w:szCs w:val="18"/>
              </w:rPr>
            </w:pPr>
          </w:p>
        </w:tc>
        <w:tc>
          <w:tcPr>
            <w:tcW w:w="657" w:type="pct"/>
            <w:shd w:val="clear" w:color="auto" w:fill="auto"/>
            <w:vAlign w:val="bottom"/>
          </w:tcPr>
          <w:p w14:paraId="791C68F6" w14:textId="77777777" w:rsidR="002C05C1" w:rsidRPr="00872D7E" w:rsidRDefault="002C05C1" w:rsidP="00D817BD">
            <w:pPr>
              <w:ind w:left="213" w:right="83" w:hanging="141"/>
              <w:jc w:val="right"/>
              <w:rPr>
                <w:sz w:val="18"/>
                <w:szCs w:val="18"/>
              </w:rPr>
            </w:pPr>
          </w:p>
        </w:tc>
      </w:tr>
      <w:tr w:rsidR="002C05C1" w:rsidRPr="00872D7E" w14:paraId="618C00C4" w14:textId="77777777" w:rsidTr="002C05C1">
        <w:trPr>
          <w:trHeight w:val="121"/>
        </w:trPr>
        <w:tc>
          <w:tcPr>
            <w:tcW w:w="2397" w:type="pct"/>
            <w:shd w:val="clear" w:color="auto" w:fill="auto"/>
            <w:vAlign w:val="center"/>
            <w:hideMark/>
          </w:tcPr>
          <w:p w14:paraId="034C657C" w14:textId="77777777" w:rsidR="002C05C1" w:rsidRPr="00872D7E" w:rsidRDefault="002C05C1" w:rsidP="00D817BD">
            <w:pPr>
              <w:pStyle w:val="Heading8"/>
              <w:ind w:left="0" w:right="121"/>
              <w:jc w:val="both"/>
              <w:rPr>
                <w:rFonts w:ascii="Times New Roman" w:hAnsi="Times New Roman"/>
                <w:b/>
                <w:i w:val="0"/>
                <w:sz w:val="18"/>
                <w:szCs w:val="18"/>
              </w:rPr>
            </w:pPr>
            <w:r w:rsidRPr="00872D7E">
              <w:rPr>
                <w:rFonts w:ascii="Times New Roman" w:hAnsi="Times New Roman"/>
                <w:b/>
                <w:i w:val="0"/>
                <w:sz w:val="18"/>
                <w:szCs w:val="18"/>
              </w:rPr>
              <w:t>Finansal yükümlülükler</w:t>
            </w:r>
          </w:p>
        </w:tc>
        <w:tc>
          <w:tcPr>
            <w:tcW w:w="665" w:type="pct"/>
            <w:shd w:val="clear" w:color="auto" w:fill="auto"/>
            <w:vAlign w:val="bottom"/>
          </w:tcPr>
          <w:p w14:paraId="24DDFCAC" w14:textId="339699B5" w:rsidR="002C05C1" w:rsidRPr="00872D7E" w:rsidRDefault="002C05C1" w:rsidP="00D817BD">
            <w:pPr>
              <w:ind w:left="213" w:right="83" w:hanging="141"/>
              <w:jc w:val="right"/>
              <w:rPr>
                <w:sz w:val="18"/>
                <w:szCs w:val="18"/>
              </w:rPr>
            </w:pPr>
          </w:p>
        </w:tc>
        <w:tc>
          <w:tcPr>
            <w:tcW w:w="625" w:type="pct"/>
            <w:shd w:val="clear" w:color="auto" w:fill="auto"/>
            <w:vAlign w:val="bottom"/>
          </w:tcPr>
          <w:p w14:paraId="733315EB" w14:textId="33939124" w:rsidR="002C05C1" w:rsidRPr="00872D7E" w:rsidRDefault="002C05C1" w:rsidP="00D817BD">
            <w:pPr>
              <w:ind w:left="213" w:right="83" w:hanging="141"/>
              <w:jc w:val="right"/>
              <w:rPr>
                <w:sz w:val="18"/>
                <w:szCs w:val="18"/>
              </w:rPr>
            </w:pPr>
          </w:p>
        </w:tc>
        <w:tc>
          <w:tcPr>
            <w:tcW w:w="656" w:type="pct"/>
            <w:shd w:val="clear" w:color="auto" w:fill="auto"/>
            <w:vAlign w:val="bottom"/>
          </w:tcPr>
          <w:p w14:paraId="09DCDB80" w14:textId="3F33EA7E" w:rsidR="002C05C1" w:rsidRPr="00872D7E" w:rsidRDefault="002C05C1" w:rsidP="00D817BD">
            <w:pPr>
              <w:ind w:left="213" w:right="83" w:hanging="141"/>
              <w:jc w:val="right"/>
              <w:rPr>
                <w:sz w:val="18"/>
                <w:szCs w:val="18"/>
              </w:rPr>
            </w:pPr>
          </w:p>
        </w:tc>
        <w:tc>
          <w:tcPr>
            <w:tcW w:w="657" w:type="pct"/>
            <w:shd w:val="clear" w:color="auto" w:fill="auto"/>
            <w:vAlign w:val="bottom"/>
          </w:tcPr>
          <w:p w14:paraId="78DD6C2D" w14:textId="45B7CA80" w:rsidR="002C05C1" w:rsidRPr="00872D7E" w:rsidRDefault="002C05C1" w:rsidP="00D817BD">
            <w:pPr>
              <w:ind w:left="213" w:right="83" w:hanging="141"/>
              <w:jc w:val="right"/>
              <w:rPr>
                <w:sz w:val="18"/>
                <w:szCs w:val="18"/>
              </w:rPr>
            </w:pPr>
          </w:p>
        </w:tc>
      </w:tr>
      <w:tr w:rsidR="002C05C1" w:rsidRPr="00872D7E" w14:paraId="4F42715C" w14:textId="77777777" w:rsidTr="002C05C1">
        <w:trPr>
          <w:trHeight w:val="121"/>
        </w:trPr>
        <w:tc>
          <w:tcPr>
            <w:tcW w:w="2397" w:type="pct"/>
            <w:shd w:val="clear" w:color="auto" w:fill="auto"/>
            <w:vAlign w:val="center"/>
          </w:tcPr>
          <w:p w14:paraId="5D7BEAFC" w14:textId="77777777" w:rsidR="002C05C1" w:rsidRPr="00872D7E" w:rsidRDefault="002C05C1" w:rsidP="00D817BD">
            <w:pPr>
              <w:pStyle w:val="Heading8"/>
              <w:ind w:left="0" w:right="121"/>
              <w:jc w:val="both"/>
              <w:rPr>
                <w:rFonts w:ascii="Times New Roman" w:hAnsi="Times New Roman"/>
                <w:b/>
                <w:i w:val="0"/>
                <w:sz w:val="18"/>
                <w:szCs w:val="18"/>
              </w:rPr>
            </w:pPr>
          </w:p>
        </w:tc>
        <w:tc>
          <w:tcPr>
            <w:tcW w:w="665" w:type="pct"/>
            <w:shd w:val="clear" w:color="auto" w:fill="auto"/>
            <w:vAlign w:val="bottom"/>
          </w:tcPr>
          <w:p w14:paraId="75F2A959" w14:textId="77777777" w:rsidR="002C05C1" w:rsidRPr="00872D7E" w:rsidRDefault="002C05C1" w:rsidP="00D817BD">
            <w:pPr>
              <w:ind w:left="213" w:right="83" w:hanging="141"/>
              <w:jc w:val="right"/>
              <w:rPr>
                <w:sz w:val="18"/>
                <w:szCs w:val="18"/>
              </w:rPr>
            </w:pPr>
          </w:p>
        </w:tc>
        <w:tc>
          <w:tcPr>
            <w:tcW w:w="625" w:type="pct"/>
            <w:shd w:val="clear" w:color="auto" w:fill="auto"/>
            <w:vAlign w:val="bottom"/>
          </w:tcPr>
          <w:p w14:paraId="7957B96F" w14:textId="77777777" w:rsidR="002C05C1" w:rsidRPr="00872D7E" w:rsidRDefault="002C05C1" w:rsidP="00D817BD">
            <w:pPr>
              <w:ind w:left="213" w:right="83" w:hanging="141"/>
              <w:jc w:val="right"/>
              <w:rPr>
                <w:sz w:val="18"/>
                <w:szCs w:val="18"/>
              </w:rPr>
            </w:pPr>
          </w:p>
        </w:tc>
        <w:tc>
          <w:tcPr>
            <w:tcW w:w="656" w:type="pct"/>
            <w:shd w:val="clear" w:color="auto" w:fill="auto"/>
            <w:vAlign w:val="bottom"/>
          </w:tcPr>
          <w:p w14:paraId="3571CC23" w14:textId="77777777" w:rsidR="002C05C1" w:rsidRPr="00872D7E" w:rsidRDefault="002C05C1" w:rsidP="00D817BD">
            <w:pPr>
              <w:ind w:left="213" w:right="83" w:hanging="141"/>
              <w:jc w:val="right"/>
              <w:rPr>
                <w:sz w:val="18"/>
                <w:szCs w:val="18"/>
              </w:rPr>
            </w:pPr>
          </w:p>
        </w:tc>
        <w:tc>
          <w:tcPr>
            <w:tcW w:w="657" w:type="pct"/>
            <w:shd w:val="clear" w:color="auto" w:fill="auto"/>
            <w:vAlign w:val="bottom"/>
          </w:tcPr>
          <w:p w14:paraId="69B13B72" w14:textId="77777777" w:rsidR="002C05C1" w:rsidRPr="00872D7E" w:rsidRDefault="002C05C1" w:rsidP="00D817BD">
            <w:pPr>
              <w:ind w:left="213" w:right="83" w:hanging="141"/>
              <w:jc w:val="right"/>
              <w:rPr>
                <w:sz w:val="18"/>
                <w:szCs w:val="18"/>
              </w:rPr>
            </w:pPr>
          </w:p>
        </w:tc>
      </w:tr>
      <w:tr w:rsidR="002C05C1" w:rsidRPr="00872D7E" w14:paraId="6DD8E2A5" w14:textId="77777777" w:rsidTr="002C05C1">
        <w:trPr>
          <w:trHeight w:val="121"/>
        </w:trPr>
        <w:tc>
          <w:tcPr>
            <w:tcW w:w="2397" w:type="pct"/>
            <w:shd w:val="clear" w:color="auto" w:fill="auto"/>
            <w:vAlign w:val="center"/>
            <w:hideMark/>
          </w:tcPr>
          <w:p w14:paraId="53065A4F" w14:textId="77777777" w:rsidR="002C05C1" w:rsidRPr="00872D7E" w:rsidRDefault="002C05C1" w:rsidP="00D817BD">
            <w:pPr>
              <w:ind w:left="382" w:right="121"/>
              <w:jc w:val="both"/>
              <w:rPr>
                <w:rFonts w:eastAsia="Arial Unicode MS"/>
                <w:sz w:val="18"/>
                <w:szCs w:val="18"/>
              </w:rPr>
            </w:pPr>
            <w:r w:rsidRPr="00872D7E">
              <w:rPr>
                <w:snapToGrid w:val="0"/>
                <w:sz w:val="18"/>
                <w:szCs w:val="18"/>
              </w:rPr>
              <w:t>Özel cari hesap ve katılma hesapları aracılığı ile bankalardan toplanan fonlar</w:t>
            </w:r>
          </w:p>
        </w:tc>
        <w:tc>
          <w:tcPr>
            <w:tcW w:w="665" w:type="pct"/>
            <w:shd w:val="clear" w:color="auto" w:fill="auto"/>
            <w:vAlign w:val="bottom"/>
          </w:tcPr>
          <w:p w14:paraId="35C37340" w14:textId="5A877B56" w:rsidR="002C05C1" w:rsidRPr="00872D7E" w:rsidRDefault="002C05C1" w:rsidP="00D817BD">
            <w:pPr>
              <w:ind w:left="213" w:right="83" w:hanging="141"/>
              <w:jc w:val="right"/>
              <w:rPr>
                <w:sz w:val="18"/>
                <w:szCs w:val="18"/>
              </w:rPr>
            </w:pPr>
            <w:r w:rsidRPr="00872D7E">
              <w:rPr>
                <w:sz w:val="18"/>
                <w:szCs w:val="18"/>
              </w:rPr>
              <w:t>2.136</w:t>
            </w:r>
          </w:p>
        </w:tc>
        <w:tc>
          <w:tcPr>
            <w:tcW w:w="625" w:type="pct"/>
            <w:shd w:val="clear" w:color="auto" w:fill="auto"/>
            <w:vAlign w:val="bottom"/>
          </w:tcPr>
          <w:p w14:paraId="26291CF8" w14:textId="26D0FA58" w:rsidR="002C05C1" w:rsidRPr="00872D7E" w:rsidRDefault="002C05C1" w:rsidP="00D817BD">
            <w:pPr>
              <w:ind w:left="213" w:right="83" w:hanging="141"/>
              <w:jc w:val="right"/>
              <w:rPr>
                <w:sz w:val="18"/>
                <w:szCs w:val="18"/>
              </w:rPr>
            </w:pPr>
            <w:r w:rsidRPr="00872D7E">
              <w:rPr>
                <w:sz w:val="18"/>
                <w:szCs w:val="18"/>
              </w:rPr>
              <w:t>-</w:t>
            </w:r>
          </w:p>
        </w:tc>
        <w:tc>
          <w:tcPr>
            <w:tcW w:w="656" w:type="pct"/>
            <w:shd w:val="clear" w:color="auto" w:fill="auto"/>
            <w:vAlign w:val="bottom"/>
          </w:tcPr>
          <w:p w14:paraId="12490AD9" w14:textId="15563726" w:rsidR="002C05C1" w:rsidRPr="00872D7E" w:rsidRDefault="002C05C1" w:rsidP="00D817BD">
            <w:pPr>
              <w:ind w:left="213" w:right="83" w:hanging="141"/>
              <w:jc w:val="right"/>
              <w:rPr>
                <w:sz w:val="18"/>
                <w:szCs w:val="18"/>
              </w:rPr>
            </w:pPr>
            <w:r w:rsidRPr="00872D7E">
              <w:rPr>
                <w:sz w:val="18"/>
                <w:szCs w:val="18"/>
              </w:rPr>
              <w:t>2.136</w:t>
            </w:r>
          </w:p>
        </w:tc>
        <w:tc>
          <w:tcPr>
            <w:tcW w:w="657" w:type="pct"/>
            <w:shd w:val="clear" w:color="auto" w:fill="auto"/>
            <w:vAlign w:val="bottom"/>
          </w:tcPr>
          <w:p w14:paraId="1731D584" w14:textId="1B94E164" w:rsidR="002C05C1" w:rsidRPr="00872D7E" w:rsidRDefault="002C05C1" w:rsidP="00D817BD">
            <w:pPr>
              <w:ind w:left="213" w:right="83" w:hanging="141"/>
              <w:jc w:val="right"/>
              <w:rPr>
                <w:sz w:val="18"/>
                <w:szCs w:val="18"/>
              </w:rPr>
            </w:pPr>
            <w:r w:rsidRPr="00872D7E">
              <w:rPr>
                <w:sz w:val="18"/>
                <w:szCs w:val="18"/>
              </w:rPr>
              <w:t>-</w:t>
            </w:r>
          </w:p>
        </w:tc>
      </w:tr>
      <w:tr w:rsidR="002C05C1" w:rsidRPr="00872D7E" w14:paraId="349B132D" w14:textId="77777777" w:rsidTr="002C05C1">
        <w:trPr>
          <w:trHeight w:val="121"/>
        </w:trPr>
        <w:tc>
          <w:tcPr>
            <w:tcW w:w="2397" w:type="pct"/>
            <w:shd w:val="clear" w:color="auto" w:fill="auto"/>
            <w:vAlign w:val="center"/>
            <w:hideMark/>
          </w:tcPr>
          <w:p w14:paraId="347BCEE6" w14:textId="77777777" w:rsidR="002C05C1" w:rsidRPr="00872D7E" w:rsidRDefault="002C05C1" w:rsidP="00D817BD">
            <w:pPr>
              <w:ind w:left="382" w:right="121"/>
              <w:jc w:val="both"/>
              <w:rPr>
                <w:rFonts w:eastAsia="Arial Unicode MS"/>
                <w:sz w:val="18"/>
                <w:szCs w:val="18"/>
              </w:rPr>
            </w:pPr>
            <w:r w:rsidRPr="00872D7E">
              <w:rPr>
                <w:snapToGrid w:val="0"/>
                <w:sz w:val="18"/>
                <w:szCs w:val="18"/>
              </w:rPr>
              <w:t>Diğer özel cari hesap ve katılma hesapları</w:t>
            </w:r>
          </w:p>
        </w:tc>
        <w:tc>
          <w:tcPr>
            <w:tcW w:w="665" w:type="pct"/>
            <w:shd w:val="clear" w:color="auto" w:fill="auto"/>
            <w:vAlign w:val="bottom"/>
          </w:tcPr>
          <w:p w14:paraId="0CBD2A3F" w14:textId="04B3E44B" w:rsidR="002C05C1" w:rsidRPr="00872D7E" w:rsidRDefault="002C05C1" w:rsidP="00D817BD">
            <w:pPr>
              <w:ind w:left="213" w:right="83" w:hanging="141"/>
              <w:jc w:val="right"/>
              <w:rPr>
                <w:sz w:val="18"/>
                <w:szCs w:val="18"/>
              </w:rPr>
            </w:pPr>
            <w:r w:rsidRPr="00872D7E">
              <w:rPr>
                <w:sz w:val="18"/>
                <w:szCs w:val="18"/>
              </w:rPr>
              <w:t>23.822.573</w:t>
            </w:r>
          </w:p>
        </w:tc>
        <w:tc>
          <w:tcPr>
            <w:tcW w:w="625" w:type="pct"/>
            <w:shd w:val="clear" w:color="auto" w:fill="auto"/>
            <w:vAlign w:val="bottom"/>
          </w:tcPr>
          <w:p w14:paraId="500A5A73" w14:textId="1AA2BAB0" w:rsidR="002C05C1" w:rsidRPr="00872D7E" w:rsidRDefault="002C05C1" w:rsidP="00D817BD">
            <w:pPr>
              <w:ind w:left="213" w:right="83" w:hanging="141"/>
              <w:jc w:val="right"/>
              <w:rPr>
                <w:sz w:val="18"/>
                <w:szCs w:val="18"/>
              </w:rPr>
            </w:pPr>
            <w:r w:rsidRPr="00872D7E">
              <w:rPr>
                <w:sz w:val="18"/>
                <w:szCs w:val="18"/>
              </w:rPr>
              <w:t>55</w:t>
            </w:r>
          </w:p>
        </w:tc>
        <w:tc>
          <w:tcPr>
            <w:tcW w:w="656" w:type="pct"/>
            <w:shd w:val="clear" w:color="auto" w:fill="auto"/>
            <w:vAlign w:val="bottom"/>
          </w:tcPr>
          <w:p w14:paraId="383CC405" w14:textId="18B23F9F" w:rsidR="002C05C1" w:rsidRPr="00872D7E" w:rsidRDefault="002C05C1" w:rsidP="00D817BD">
            <w:pPr>
              <w:ind w:left="213" w:right="83" w:hanging="141"/>
              <w:jc w:val="right"/>
              <w:rPr>
                <w:sz w:val="18"/>
                <w:szCs w:val="18"/>
              </w:rPr>
            </w:pPr>
            <w:r w:rsidRPr="00872D7E">
              <w:rPr>
                <w:sz w:val="18"/>
                <w:szCs w:val="18"/>
              </w:rPr>
              <w:t>23.822.573</w:t>
            </w:r>
          </w:p>
        </w:tc>
        <w:tc>
          <w:tcPr>
            <w:tcW w:w="657" w:type="pct"/>
            <w:shd w:val="clear" w:color="auto" w:fill="auto"/>
            <w:vAlign w:val="bottom"/>
          </w:tcPr>
          <w:p w14:paraId="0E38D048" w14:textId="62FD9F42" w:rsidR="002C05C1" w:rsidRPr="00872D7E" w:rsidRDefault="002C05C1" w:rsidP="00D817BD">
            <w:pPr>
              <w:ind w:left="213" w:right="83" w:hanging="141"/>
              <w:jc w:val="right"/>
              <w:rPr>
                <w:sz w:val="18"/>
                <w:szCs w:val="18"/>
              </w:rPr>
            </w:pPr>
            <w:r w:rsidRPr="00872D7E">
              <w:rPr>
                <w:sz w:val="18"/>
                <w:szCs w:val="18"/>
              </w:rPr>
              <w:t>55</w:t>
            </w:r>
          </w:p>
        </w:tc>
      </w:tr>
      <w:tr w:rsidR="002C05C1" w:rsidRPr="00872D7E" w14:paraId="0B348880" w14:textId="77777777" w:rsidTr="002C05C1">
        <w:trPr>
          <w:trHeight w:val="121"/>
        </w:trPr>
        <w:tc>
          <w:tcPr>
            <w:tcW w:w="2397" w:type="pct"/>
            <w:shd w:val="clear" w:color="auto" w:fill="auto"/>
            <w:vAlign w:val="center"/>
            <w:hideMark/>
          </w:tcPr>
          <w:p w14:paraId="3C3B87F4" w14:textId="77777777" w:rsidR="002C05C1" w:rsidRPr="00872D7E" w:rsidRDefault="002C05C1" w:rsidP="00D817BD">
            <w:pPr>
              <w:ind w:left="382"/>
              <w:jc w:val="both"/>
              <w:rPr>
                <w:rFonts w:eastAsia="Arial Unicode MS"/>
                <w:sz w:val="18"/>
                <w:szCs w:val="18"/>
              </w:rPr>
            </w:pPr>
            <w:r w:rsidRPr="00872D7E">
              <w:rPr>
                <w:snapToGrid w:val="0"/>
                <w:sz w:val="18"/>
                <w:szCs w:val="18"/>
              </w:rPr>
              <w:t>Diğer mali kuruluşlardan sağlanan fonlar</w:t>
            </w:r>
          </w:p>
        </w:tc>
        <w:tc>
          <w:tcPr>
            <w:tcW w:w="665" w:type="pct"/>
            <w:shd w:val="clear" w:color="auto" w:fill="auto"/>
            <w:vAlign w:val="bottom"/>
          </w:tcPr>
          <w:p w14:paraId="52DB76FA" w14:textId="6E547D51" w:rsidR="002C05C1" w:rsidRPr="00872D7E" w:rsidRDefault="002C05C1" w:rsidP="00D817BD">
            <w:pPr>
              <w:ind w:left="213" w:right="83" w:hanging="141"/>
              <w:jc w:val="right"/>
              <w:rPr>
                <w:sz w:val="18"/>
                <w:szCs w:val="18"/>
              </w:rPr>
            </w:pPr>
            <w:r w:rsidRPr="00872D7E">
              <w:rPr>
                <w:sz w:val="18"/>
                <w:szCs w:val="18"/>
              </w:rPr>
              <w:t>1.922.240</w:t>
            </w:r>
          </w:p>
        </w:tc>
        <w:tc>
          <w:tcPr>
            <w:tcW w:w="625" w:type="pct"/>
            <w:shd w:val="clear" w:color="auto" w:fill="auto"/>
            <w:vAlign w:val="bottom"/>
          </w:tcPr>
          <w:p w14:paraId="48703EC5" w14:textId="6D71C3C6" w:rsidR="002C05C1" w:rsidRPr="00872D7E" w:rsidRDefault="002C05C1" w:rsidP="00D817BD">
            <w:pPr>
              <w:ind w:left="213" w:right="83" w:hanging="141"/>
              <w:jc w:val="right"/>
              <w:rPr>
                <w:sz w:val="18"/>
                <w:szCs w:val="18"/>
              </w:rPr>
            </w:pPr>
            <w:r w:rsidRPr="00872D7E">
              <w:rPr>
                <w:sz w:val="18"/>
                <w:szCs w:val="18"/>
              </w:rPr>
              <w:t>-</w:t>
            </w:r>
          </w:p>
        </w:tc>
        <w:tc>
          <w:tcPr>
            <w:tcW w:w="656" w:type="pct"/>
            <w:shd w:val="clear" w:color="auto" w:fill="auto"/>
            <w:vAlign w:val="bottom"/>
          </w:tcPr>
          <w:p w14:paraId="1524DF44" w14:textId="355578B1" w:rsidR="002C05C1" w:rsidRPr="00872D7E" w:rsidRDefault="002C05C1" w:rsidP="00D817BD">
            <w:pPr>
              <w:ind w:left="213" w:right="83" w:hanging="141"/>
              <w:jc w:val="right"/>
              <w:rPr>
                <w:sz w:val="18"/>
                <w:szCs w:val="18"/>
              </w:rPr>
            </w:pPr>
            <w:r w:rsidRPr="00872D7E">
              <w:rPr>
                <w:sz w:val="18"/>
                <w:szCs w:val="18"/>
              </w:rPr>
              <w:t>1.922.240</w:t>
            </w:r>
          </w:p>
        </w:tc>
        <w:tc>
          <w:tcPr>
            <w:tcW w:w="657" w:type="pct"/>
            <w:shd w:val="clear" w:color="auto" w:fill="auto"/>
            <w:vAlign w:val="bottom"/>
          </w:tcPr>
          <w:p w14:paraId="4295E30F" w14:textId="504B0628" w:rsidR="002C05C1" w:rsidRPr="00872D7E" w:rsidRDefault="002C05C1" w:rsidP="00D817BD">
            <w:pPr>
              <w:ind w:left="213" w:right="83" w:hanging="141"/>
              <w:jc w:val="right"/>
              <w:rPr>
                <w:sz w:val="18"/>
                <w:szCs w:val="18"/>
              </w:rPr>
            </w:pPr>
            <w:r w:rsidRPr="00872D7E">
              <w:rPr>
                <w:sz w:val="18"/>
                <w:szCs w:val="18"/>
              </w:rPr>
              <w:t>-</w:t>
            </w:r>
          </w:p>
        </w:tc>
      </w:tr>
      <w:tr w:rsidR="002C05C1" w:rsidRPr="00872D7E" w14:paraId="6A817F9C" w14:textId="77777777" w:rsidTr="00D817BD">
        <w:trPr>
          <w:trHeight w:val="121"/>
        </w:trPr>
        <w:tc>
          <w:tcPr>
            <w:tcW w:w="2397" w:type="pct"/>
            <w:shd w:val="clear" w:color="auto" w:fill="auto"/>
            <w:vAlign w:val="center"/>
            <w:hideMark/>
          </w:tcPr>
          <w:p w14:paraId="79654600" w14:textId="77777777" w:rsidR="002C05C1" w:rsidRPr="00872D7E" w:rsidRDefault="002C05C1" w:rsidP="00D817BD">
            <w:pPr>
              <w:ind w:left="382"/>
              <w:jc w:val="both"/>
              <w:rPr>
                <w:snapToGrid w:val="0"/>
                <w:sz w:val="18"/>
                <w:szCs w:val="18"/>
              </w:rPr>
            </w:pPr>
            <w:r w:rsidRPr="00872D7E">
              <w:rPr>
                <w:snapToGrid w:val="0"/>
                <w:sz w:val="18"/>
                <w:szCs w:val="18"/>
              </w:rPr>
              <w:t>Para Piyasalarına Borçlar</w:t>
            </w:r>
          </w:p>
        </w:tc>
        <w:tc>
          <w:tcPr>
            <w:tcW w:w="665" w:type="pct"/>
            <w:shd w:val="clear" w:color="auto" w:fill="auto"/>
            <w:vAlign w:val="bottom"/>
          </w:tcPr>
          <w:p w14:paraId="3D3B7459" w14:textId="27D47F9B" w:rsidR="002C05C1" w:rsidRPr="00872D7E" w:rsidRDefault="002C05C1" w:rsidP="00D817BD">
            <w:pPr>
              <w:ind w:left="213" w:right="83" w:hanging="141"/>
              <w:jc w:val="right"/>
              <w:rPr>
                <w:sz w:val="18"/>
                <w:szCs w:val="18"/>
              </w:rPr>
            </w:pPr>
            <w:r w:rsidRPr="00872D7E">
              <w:rPr>
                <w:sz w:val="18"/>
                <w:szCs w:val="18"/>
              </w:rPr>
              <w:t>480.631</w:t>
            </w:r>
          </w:p>
        </w:tc>
        <w:tc>
          <w:tcPr>
            <w:tcW w:w="625" w:type="pct"/>
            <w:shd w:val="clear" w:color="auto" w:fill="auto"/>
            <w:vAlign w:val="bottom"/>
          </w:tcPr>
          <w:p w14:paraId="2CEB4809" w14:textId="366DD045" w:rsidR="002C05C1" w:rsidRPr="00872D7E" w:rsidRDefault="002C05C1" w:rsidP="00D817BD">
            <w:pPr>
              <w:ind w:left="213" w:right="83" w:hanging="141"/>
              <w:jc w:val="right"/>
              <w:rPr>
                <w:sz w:val="18"/>
                <w:szCs w:val="18"/>
              </w:rPr>
            </w:pPr>
            <w:r w:rsidRPr="00872D7E">
              <w:rPr>
                <w:sz w:val="18"/>
                <w:szCs w:val="18"/>
              </w:rPr>
              <w:t>-</w:t>
            </w:r>
          </w:p>
        </w:tc>
        <w:tc>
          <w:tcPr>
            <w:tcW w:w="656" w:type="pct"/>
            <w:shd w:val="clear" w:color="auto" w:fill="auto"/>
            <w:vAlign w:val="bottom"/>
          </w:tcPr>
          <w:p w14:paraId="5937429B" w14:textId="5EC16147" w:rsidR="002C05C1" w:rsidRPr="00872D7E" w:rsidRDefault="002C05C1" w:rsidP="00D817BD">
            <w:pPr>
              <w:ind w:left="213" w:right="83" w:hanging="141"/>
              <w:jc w:val="right"/>
              <w:rPr>
                <w:sz w:val="18"/>
                <w:szCs w:val="18"/>
              </w:rPr>
            </w:pPr>
            <w:r w:rsidRPr="00872D7E">
              <w:rPr>
                <w:sz w:val="18"/>
                <w:szCs w:val="18"/>
              </w:rPr>
              <w:t>478.935</w:t>
            </w:r>
          </w:p>
        </w:tc>
        <w:tc>
          <w:tcPr>
            <w:tcW w:w="657" w:type="pct"/>
            <w:shd w:val="clear" w:color="auto" w:fill="auto"/>
            <w:vAlign w:val="bottom"/>
          </w:tcPr>
          <w:p w14:paraId="38031D22" w14:textId="78884C34" w:rsidR="002C05C1" w:rsidRPr="00872D7E" w:rsidRDefault="002C05C1" w:rsidP="00D817BD">
            <w:pPr>
              <w:ind w:left="213" w:right="83" w:hanging="141"/>
              <w:jc w:val="right"/>
              <w:rPr>
                <w:sz w:val="18"/>
                <w:szCs w:val="18"/>
              </w:rPr>
            </w:pPr>
            <w:r w:rsidRPr="00872D7E">
              <w:rPr>
                <w:sz w:val="18"/>
                <w:szCs w:val="18"/>
              </w:rPr>
              <w:t>-</w:t>
            </w:r>
          </w:p>
        </w:tc>
      </w:tr>
      <w:tr w:rsidR="002C05C1" w:rsidRPr="00872D7E" w14:paraId="30CD2925" w14:textId="77777777" w:rsidTr="00D817BD">
        <w:trPr>
          <w:trHeight w:val="121"/>
        </w:trPr>
        <w:tc>
          <w:tcPr>
            <w:tcW w:w="2397" w:type="pct"/>
            <w:tcBorders>
              <w:bottom w:val="single" w:sz="4" w:space="0" w:color="auto"/>
            </w:tcBorders>
            <w:shd w:val="clear" w:color="auto" w:fill="auto"/>
            <w:vAlign w:val="center"/>
            <w:hideMark/>
          </w:tcPr>
          <w:p w14:paraId="050970D9" w14:textId="77777777" w:rsidR="002C05C1" w:rsidRPr="00872D7E" w:rsidRDefault="002C05C1" w:rsidP="00D817BD">
            <w:pPr>
              <w:ind w:left="382"/>
              <w:jc w:val="both"/>
              <w:rPr>
                <w:snapToGrid w:val="0"/>
                <w:sz w:val="18"/>
                <w:szCs w:val="18"/>
              </w:rPr>
            </w:pPr>
            <w:r w:rsidRPr="00872D7E">
              <w:rPr>
                <w:snapToGrid w:val="0"/>
                <w:sz w:val="18"/>
                <w:szCs w:val="18"/>
              </w:rPr>
              <w:t>Diğer Yükümlülükler</w:t>
            </w:r>
          </w:p>
        </w:tc>
        <w:tc>
          <w:tcPr>
            <w:tcW w:w="665" w:type="pct"/>
            <w:tcBorders>
              <w:bottom w:val="single" w:sz="4" w:space="0" w:color="auto"/>
            </w:tcBorders>
            <w:shd w:val="clear" w:color="auto" w:fill="auto"/>
            <w:vAlign w:val="bottom"/>
          </w:tcPr>
          <w:p w14:paraId="563ADAE5" w14:textId="7B565E20" w:rsidR="002C05C1" w:rsidRPr="00872D7E" w:rsidRDefault="002C05C1" w:rsidP="00D817BD">
            <w:pPr>
              <w:ind w:left="213" w:right="83" w:hanging="141"/>
              <w:jc w:val="right"/>
              <w:rPr>
                <w:sz w:val="18"/>
                <w:szCs w:val="18"/>
              </w:rPr>
            </w:pPr>
            <w:r w:rsidRPr="00872D7E">
              <w:rPr>
                <w:sz w:val="18"/>
                <w:szCs w:val="18"/>
              </w:rPr>
              <w:t>222.639</w:t>
            </w:r>
          </w:p>
        </w:tc>
        <w:tc>
          <w:tcPr>
            <w:tcW w:w="625" w:type="pct"/>
            <w:tcBorders>
              <w:bottom w:val="single" w:sz="4" w:space="0" w:color="auto"/>
            </w:tcBorders>
            <w:shd w:val="clear" w:color="auto" w:fill="auto"/>
            <w:vAlign w:val="bottom"/>
          </w:tcPr>
          <w:p w14:paraId="2AEC6786" w14:textId="4FFB4F59" w:rsidR="002C05C1" w:rsidRPr="00872D7E" w:rsidRDefault="002C05C1" w:rsidP="00D817BD">
            <w:pPr>
              <w:ind w:left="213" w:right="83" w:hanging="141"/>
              <w:jc w:val="right"/>
              <w:rPr>
                <w:sz w:val="18"/>
                <w:szCs w:val="18"/>
              </w:rPr>
            </w:pPr>
            <w:r w:rsidRPr="00872D7E">
              <w:rPr>
                <w:sz w:val="18"/>
                <w:szCs w:val="18"/>
              </w:rPr>
              <w:t>16.686</w:t>
            </w:r>
          </w:p>
        </w:tc>
        <w:tc>
          <w:tcPr>
            <w:tcW w:w="656" w:type="pct"/>
            <w:tcBorders>
              <w:bottom w:val="single" w:sz="4" w:space="0" w:color="auto"/>
            </w:tcBorders>
            <w:shd w:val="clear" w:color="auto" w:fill="auto"/>
            <w:vAlign w:val="bottom"/>
          </w:tcPr>
          <w:p w14:paraId="4A4C3B79" w14:textId="1CD9867A" w:rsidR="002C05C1" w:rsidRPr="00872D7E" w:rsidRDefault="002C05C1" w:rsidP="00D817BD">
            <w:pPr>
              <w:ind w:left="213" w:right="83" w:hanging="141"/>
              <w:jc w:val="right"/>
              <w:rPr>
                <w:sz w:val="18"/>
                <w:szCs w:val="18"/>
              </w:rPr>
            </w:pPr>
            <w:r w:rsidRPr="00872D7E">
              <w:rPr>
                <w:sz w:val="18"/>
                <w:szCs w:val="18"/>
              </w:rPr>
              <w:t>222.639</w:t>
            </w:r>
          </w:p>
        </w:tc>
        <w:tc>
          <w:tcPr>
            <w:tcW w:w="657" w:type="pct"/>
            <w:tcBorders>
              <w:bottom w:val="single" w:sz="4" w:space="0" w:color="auto"/>
            </w:tcBorders>
            <w:shd w:val="clear" w:color="auto" w:fill="auto"/>
            <w:vAlign w:val="bottom"/>
          </w:tcPr>
          <w:p w14:paraId="699268D9" w14:textId="4C23D235" w:rsidR="002C05C1" w:rsidRPr="00872D7E" w:rsidRDefault="002C05C1" w:rsidP="00D817BD">
            <w:pPr>
              <w:ind w:left="213" w:right="83" w:hanging="141"/>
              <w:jc w:val="right"/>
              <w:rPr>
                <w:sz w:val="18"/>
                <w:szCs w:val="18"/>
              </w:rPr>
            </w:pPr>
            <w:r w:rsidRPr="00872D7E">
              <w:rPr>
                <w:sz w:val="18"/>
                <w:szCs w:val="18"/>
              </w:rPr>
              <w:t>16.686</w:t>
            </w:r>
          </w:p>
        </w:tc>
      </w:tr>
    </w:tbl>
    <w:p w14:paraId="56489619" w14:textId="59877120" w:rsidR="00D817BD" w:rsidRPr="00872D7E" w:rsidRDefault="00D817BD" w:rsidP="00D817BD">
      <w:pPr>
        <w:tabs>
          <w:tab w:val="left" w:pos="4620"/>
          <w:tab w:val="left" w:pos="5902"/>
          <w:tab w:val="left" w:pos="7107"/>
          <w:tab w:val="left" w:pos="8372"/>
        </w:tabs>
        <w:ind w:right="80" w:hanging="141"/>
        <w:rPr>
          <w:sz w:val="12"/>
          <w:szCs w:val="12"/>
        </w:rPr>
      </w:pPr>
    </w:p>
    <w:p w14:paraId="38B8B821" w14:textId="77777777" w:rsidR="005E2D92" w:rsidRPr="00872D7E" w:rsidRDefault="005E2D92" w:rsidP="002D31A9">
      <w:pPr>
        <w:pStyle w:val="ListParagraph"/>
        <w:numPr>
          <w:ilvl w:val="0"/>
          <w:numId w:val="76"/>
        </w:numPr>
        <w:ind w:left="851" w:right="-1" w:hanging="851"/>
        <w:jc w:val="both"/>
        <w:rPr>
          <w:b/>
          <w:szCs w:val="20"/>
        </w:rPr>
      </w:pPr>
      <w:r w:rsidRPr="00872D7E">
        <w:rPr>
          <w:b/>
          <w:szCs w:val="20"/>
        </w:rPr>
        <w:t>Finansal tablolarda muhasebeleştirilen gerçeğe uygun değer ölçümlerine ilişkin bilgiler:</w:t>
      </w:r>
    </w:p>
    <w:p w14:paraId="28BBC60A" w14:textId="77777777" w:rsidR="00D817BD" w:rsidRPr="00872D7E" w:rsidRDefault="005E2D92" w:rsidP="00D817BD">
      <w:pPr>
        <w:ind w:left="567" w:right="140"/>
        <w:jc w:val="both"/>
        <w:rPr>
          <w:sz w:val="12"/>
          <w:szCs w:val="12"/>
        </w:rPr>
      </w:pPr>
      <w:r w:rsidRPr="00872D7E">
        <w:rPr>
          <w:szCs w:val="20"/>
        </w:rPr>
        <w:t>“</w:t>
      </w:r>
    </w:p>
    <w:p w14:paraId="217C95AB" w14:textId="3C0BB8C2" w:rsidR="005E2D92" w:rsidRPr="00872D7E" w:rsidRDefault="005E2D92" w:rsidP="002D31A9">
      <w:pPr>
        <w:ind w:left="851" w:right="140"/>
        <w:jc w:val="both"/>
        <w:rPr>
          <w:szCs w:val="20"/>
        </w:rPr>
      </w:pPr>
      <w:r w:rsidRPr="00872D7E">
        <w:rPr>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66F400F4" w14:textId="77777777" w:rsidR="00D817BD" w:rsidRPr="00872D7E" w:rsidRDefault="00D817BD" w:rsidP="00D817BD">
      <w:pPr>
        <w:ind w:left="567" w:right="140"/>
        <w:jc w:val="both"/>
        <w:rPr>
          <w:sz w:val="16"/>
          <w:szCs w:val="16"/>
        </w:rPr>
      </w:pPr>
    </w:p>
    <w:p w14:paraId="43868621" w14:textId="77777777" w:rsidR="005E2D92" w:rsidRPr="00872D7E" w:rsidRDefault="005E2D92" w:rsidP="002D31A9">
      <w:pPr>
        <w:numPr>
          <w:ilvl w:val="0"/>
          <w:numId w:val="77"/>
        </w:numPr>
        <w:tabs>
          <w:tab w:val="num" w:pos="284"/>
        </w:tabs>
        <w:ind w:left="1276" w:right="140" w:hanging="425"/>
        <w:jc w:val="both"/>
        <w:rPr>
          <w:szCs w:val="20"/>
        </w:rPr>
      </w:pPr>
      <w:r w:rsidRPr="00872D7E">
        <w:rPr>
          <w:szCs w:val="20"/>
        </w:rPr>
        <w:t>Özdeş varlıklar ya da borçlar için aktif piyasalardaki kayıtlı (düzeltilmemiş) fiyatlar (1 inci seviye);</w:t>
      </w:r>
    </w:p>
    <w:p w14:paraId="1AD484FF" w14:textId="38C9AD4F" w:rsidR="005E2D92" w:rsidRPr="00872D7E" w:rsidRDefault="005E2D92" w:rsidP="002D31A9">
      <w:pPr>
        <w:pStyle w:val="ListParagraph"/>
        <w:numPr>
          <w:ilvl w:val="0"/>
          <w:numId w:val="77"/>
        </w:numPr>
        <w:tabs>
          <w:tab w:val="clear" w:pos="360"/>
        </w:tabs>
        <w:ind w:left="1276" w:right="140" w:hanging="425"/>
        <w:jc w:val="both"/>
        <w:rPr>
          <w:b/>
          <w:szCs w:val="20"/>
        </w:rPr>
      </w:pPr>
      <w:r w:rsidRPr="00872D7E">
        <w:rPr>
          <w:szCs w:val="20"/>
        </w:rPr>
        <w:t>1 inci seviyede yer alan kayıtlı fiyatlar dışında kalan ve varlıklar ya da borçlar açısından doğrudan (fiyatlar aracılığıyla) ya da dolaylı olarak (fiyatlardan türetilmek suretiyle) gözlemlenebilir nitelikteki veriler (</w:t>
      </w:r>
      <w:proofErr w:type="gramStart"/>
      <w:r w:rsidRPr="00872D7E">
        <w:rPr>
          <w:szCs w:val="20"/>
        </w:rPr>
        <w:t>2 nci</w:t>
      </w:r>
      <w:proofErr w:type="gramEnd"/>
      <w:r w:rsidRPr="00872D7E">
        <w:rPr>
          <w:szCs w:val="20"/>
        </w:rPr>
        <w:t xml:space="preserve"> seviye);</w:t>
      </w:r>
    </w:p>
    <w:p w14:paraId="06B5345C" w14:textId="0C359408" w:rsidR="00F405AE" w:rsidRPr="00872D7E" w:rsidRDefault="005E2D92" w:rsidP="002D31A9">
      <w:pPr>
        <w:pStyle w:val="ListParagraph"/>
        <w:numPr>
          <w:ilvl w:val="0"/>
          <w:numId w:val="77"/>
        </w:numPr>
        <w:tabs>
          <w:tab w:val="clear" w:pos="360"/>
        </w:tabs>
        <w:ind w:left="1276" w:right="140" w:hanging="425"/>
        <w:jc w:val="both"/>
        <w:rPr>
          <w:b/>
          <w:szCs w:val="20"/>
        </w:rPr>
      </w:pPr>
      <w:r w:rsidRPr="00872D7E">
        <w:rPr>
          <w:szCs w:val="20"/>
        </w:rPr>
        <w:t xml:space="preserve">Varlık ya da borçlara ilişkin olarak gözlemlenebilir piyasa verilerine dayanmayan veriler (gözlemlenebilir nitelikte olmayan veriler – </w:t>
      </w:r>
      <w:proofErr w:type="gramStart"/>
      <w:r w:rsidRPr="00872D7E">
        <w:rPr>
          <w:szCs w:val="20"/>
        </w:rPr>
        <w:t>3 üncü</w:t>
      </w:r>
      <w:proofErr w:type="gramEnd"/>
      <w:r w:rsidRPr="00872D7E">
        <w:rPr>
          <w:szCs w:val="20"/>
        </w:rPr>
        <w:t xml:space="preserve"> seviye).</w:t>
      </w:r>
      <w:r w:rsidR="00F405AE" w:rsidRPr="00872D7E">
        <w:rPr>
          <w:b/>
          <w:szCs w:val="20"/>
        </w:rPr>
        <w:br w:type="page"/>
      </w:r>
    </w:p>
    <w:p w14:paraId="1C41D915" w14:textId="77777777" w:rsidR="00EA04CD" w:rsidRPr="00872D7E" w:rsidRDefault="00EA04CD" w:rsidP="00EA04CD">
      <w:pPr>
        <w:pStyle w:val="BodyTextIndent"/>
        <w:widowControl w:val="0"/>
        <w:ind w:firstLine="0"/>
        <w:jc w:val="left"/>
        <w:rPr>
          <w:b/>
          <w:szCs w:val="20"/>
        </w:rPr>
      </w:pPr>
      <w:r w:rsidRPr="00872D7E">
        <w:rPr>
          <w:b/>
          <w:szCs w:val="20"/>
        </w:rPr>
        <w:lastRenderedPageBreak/>
        <w:t>MALİ BÜNYEYE VE RİSK YÖNETİMİNE İLİŞKİN BİLGİLER (Devamı)</w:t>
      </w:r>
    </w:p>
    <w:p w14:paraId="44AF9A5A" w14:textId="77777777" w:rsidR="00EA04CD" w:rsidRPr="00872D7E" w:rsidRDefault="00EA04CD" w:rsidP="00A308EB">
      <w:pPr>
        <w:tabs>
          <w:tab w:val="num" w:pos="284"/>
        </w:tabs>
        <w:ind w:right="527"/>
        <w:jc w:val="both"/>
        <w:rPr>
          <w:b/>
          <w:szCs w:val="20"/>
        </w:rPr>
      </w:pPr>
    </w:p>
    <w:p w14:paraId="4BB38AE9" w14:textId="7132CB56" w:rsidR="005E2D92" w:rsidRPr="00872D7E" w:rsidRDefault="00723331" w:rsidP="00D817BD">
      <w:pPr>
        <w:ind w:left="851" w:right="527" w:hanging="851"/>
        <w:jc w:val="both"/>
        <w:rPr>
          <w:szCs w:val="20"/>
        </w:rPr>
      </w:pPr>
      <w:r w:rsidRPr="00872D7E">
        <w:rPr>
          <w:b/>
          <w:szCs w:val="20"/>
        </w:rPr>
        <w:t xml:space="preserve">VII. </w:t>
      </w:r>
      <w:r w:rsidRPr="00872D7E">
        <w:rPr>
          <w:b/>
          <w:szCs w:val="20"/>
        </w:rPr>
        <w:tab/>
        <w:t>FİNANSAL VARLIK VE BORÇLARIN GERÇEĞE UYGUN DEĞERİ İLE GÖSTERİLMESİNE İLİŞKİN AÇIKLAMALAR</w:t>
      </w:r>
      <w:r w:rsidR="005E2D92" w:rsidRPr="00872D7E">
        <w:rPr>
          <w:b/>
          <w:szCs w:val="20"/>
        </w:rPr>
        <w:t xml:space="preserve"> (</w:t>
      </w:r>
      <w:r w:rsidR="000C66B1" w:rsidRPr="00872D7E">
        <w:rPr>
          <w:b/>
          <w:szCs w:val="20"/>
        </w:rPr>
        <w:t>D</w:t>
      </w:r>
      <w:r w:rsidR="005E2D92" w:rsidRPr="00872D7E">
        <w:rPr>
          <w:b/>
          <w:szCs w:val="20"/>
        </w:rPr>
        <w:t>evamı):</w:t>
      </w:r>
    </w:p>
    <w:p w14:paraId="41E4E908" w14:textId="77777777" w:rsidR="005E2D92" w:rsidRPr="00872D7E" w:rsidRDefault="005E2D92" w:rsidP="00D817BD">
      <w:pPr>
        <w:spacing w:before="120" w:after="120"/>
        <w:ind w:left="851" w:right="527"/>
        <w:jc w:val="both"/>
        <w:rPr>
          <w:szCs w:val="20"/>
        </w:rPr>
      </w:pPr>
      <w:r w:rsidRPr="00872D7E">
        <w:rPr>
          <w:szCs w:val="20"/>
        </w:rPr>
        <w:t>Söz konusu sınıflama ilkelerine göre Banka’nın gerçeğe uygun değerinden taşımakta olduğu finansal varlık ve yükümlülüklerinin gerçeğe uygun değer sınıflandırması aşağıdaki gibidir:</w:t>
      </w:r>
    </w:p>
    <w:tbl>
      <w:tblPr>
        <w:tblW w:w="5000" w:type="pct"/>
        <w:tblCellMar>
          <w:left w:w="70" w:type="dxa"/>
          <w:right w:w="70" w:type="dxa"/>
        </w:tblCellMar>
        <w:tblLook w:val="04A0" w:firstRow="1" w:lastRow="0" w:firstColumn="1" w:lastColumn="0" w:noHBand="0" w:noVBand="1"/>
      </w:tblPr>
      <w:tblGrid>
        <w:gridCol w:w="4822"/>
        <w:gridCol w:w="1190"/>
        <w:gridCol w:w="1189"/>
        <w:gridCol w:w="1189"/>
        <w:gridCol w:w="1249"/>
      </w:tblGrid>
      <w:tr w:rsidR="005E2D92" w:rsidRPr="00872D7E" w14:paraId="7D9FCF9A" w14:textId="77777777" w:rsidTr="00B673FB">
        <w:trPr>
          <w:trHeight w:val="113"/>
        </w:trPr>
        <w:tc>
          <w:tcPr>
            <w:tcW w:w="2501" w:type="pct"/>
            <w:tcBorders>
              <w:top w:val="single" w:sz="4" w:space="0" w:color="auto"/>
              <w:left w:val="nil"/>
              <w:bottom w:val="single" w:sz="4" w:space="0" w:color="auto"/>
              <w:right w:val="nil"/>
            </w:tcBorders>
            <w:vAlign w:val="bottom"/>
            <w:hideMark/>
          </w:tcPr>
          <w:p w14:paraId="05CCB053" w14:textId="76307B49" w:rsidR="005E2D92" w:rsidRPr="00872D7E" w:rsidRDefault="00B673FB" w:rsidP="00A308EB">
            <w:pPr>
              <w:jc w:val="both"/>
              <w:rPr>
                <w:b/>
                <w:bCs/>
                <w:sz w:val="18"/>
                <w:szCs w:val="18"/>
              </w:rPr>
            </w:pPr>
            <w:r w:rsidRPr="00872D7E">
              <w:rPr>
                <w:b/>
                <w:bCs/>
                <w:sz w:val="18"/>
                <w:szCs w:val="18"/>
              </w:rPr>
              <w:t>31 Aralık 2024</w:t>
            </w:r>
            <w:r w:rsidR="005E2D92" w:rsidRPr="00872D7E">
              <w:rPr>
                <w:b/>
                <w:bCs/>
                <w:sz w:val="18"/>
                <w:szCs w:val="18"/>
              </w:rPr>
              <w:t xml:space="preserve"> </w:t>
            </w:r>
            <w:r w:rsidR="005E2D92" w:rsidRPr="00872D7E">
              <w:rPr>
                <w:b/>
                <w:bCs/>
                <w:sz w:val="18"/>
                <w:szCs w:val="18"/>
                <w:vertAlign w:val="superscript"/>
              </w:rPr>
              <w:t>(*)</w:t>
            </w:r>
          </w:p>
        </w:tc>
        <w:tc>
          <w:tcPr>
            <w:tcW w:w="617" w:type="pct"/>
            <w:tcBorders>
              <w:top w:val="single" w:sz="4" w:space="0" w:color="auto"/>
              <w:left w:val="nil"/>
              <w:bottom w:val="single" w:sz="4" w:space="0" w:color="auto"/>
              <w:right w:val="nil"/>
            </w:tcBorders>
            <w:vAlign w:val="bottom"/>
            <w:hideMark/>
          </w:tcPr>
          <w:p w14:paraId="18952085" w14:textId="5E45633F" w:rsidR="005E2D92" w:rsidRPr="00872D7E" w:rsidRDefault="005E2D92" w:rsidP="00A308EB">
            <w:pPr>
              <w:ind w:left="213"/>
              <w:jc w:val="center"/>
              <w:rPr>
                <w:b/>
                <w:sz w:val="18"/>
                <w:szCs w:val="18"/>
              </w:rPr>
            </w:pPr>
            <w:r w:rsidRPr="00872D7E">
              <w:rPr>
                <w:b/>
                <w:sz w:val="18"/>
                <w:szCs w:val="18"/>
              </w:rPr>
              <w:t>1.</w:t>
            </w:r>
            <w:r w:rsidR="000C66B1" w:rsidRPr="00872D7E">
              <w:rPr>
                <w:b/>
                <w:sz w:val="18"/>
                <w:szCs w:val="18"/>
              </w:rPr>
              <w:t xml:space="preserve"> </w:t>
            </w:r>
            <w:r w:rsidRPr="00872D7E">
              <w:rPr>
                <w:b/>
                <w:sz w:val="18"/>
                <w:szCs w:val="18"/>
              </w:rPr>
              <w:t>seviye</w:t>
            </w:r>
          </w:p>
        </w:tc>
        <w:tc>
          <w:tcPr>
            <w:tcW w:w="617" w:type="pct"/>
            <w:tcBorders>
              <w:top w:val="single" w:sz="4" w:space="0" w:color="auto"/>
              <w:left w:val="nil"/>
              <w:bottom w:val="single" w:sz="4" w:space="0" w:color="auto"/>
              <w:right w:val="nil"/>
            </w:tcBorders>
            <w:vAlign w:val="bottom"/>
            <w:hideMark/>
          </w:tcPr>
          <w:p w14:paraId="2C0D42EB" w14:textId="26FD4267" w:rsidR="005E2D92" w:rsidRPr="00872D7E" w:rsidRDefault="005E2D92" w:rsidP="00A308EB">
            <w:pPr>
              <w:ind w:left="213"/>
              <w:jc w:val="center"/>
              <w:rPr>
                <w:b/>
                <w:sz w:val="18"/>
                <w:szCs w:val="18"/>
              </w:rPr>
            </w:pPr>
            <w:r w:rsidRPr="00872D7E">
              <w:rPr>
                <w:b/>
                <w:sz w:val="18"/>
                <w:szCs w:val="18"/>
              </w:rPr>
              <w:t>2.</w:t>
            </w:r>
            <w:r w:rsidR="000C66B1" w:rsidRPr="00872D7E">
              <w:rPr>
                <w:b/>
                <w:sz w:val="18"/>
                <w:szCs w:val="18"/>
              </w:rPr>
              <w:t xml:space="preserve"> </w:t>
            </w:r>
            <w:r w:rsidRPr="00872D7E">
              <w:rPr>
                <w:b/>
                <w:sz w:val="18"/>
                <w:szCs w:val="18"/>
              </w:rPr>
              <w:t>seviye</w:t>
            </w:r>
          </w:p>
        </w:tc>
        <w:tc>
          <w:tcPr>
            <w:tcW w:w="617" w:type="pct"/>
            <w:tcBorders>
              <w:top w:val="single" w:sz="4" w:space="0" w:color="auto"/>
              <w:left w:val="nil"/>
              <w:bottom w:val="single" w:sz="4" w:space="0" w:color="auto"/>
              <w:right w:val="nil"/>
            </w:tcBorders>
            <w:vAlign w:val="bottom"/>
            <w:hideMark/>
          </w:tcPr>
          <w:p w14:paraId="13CCF87B" w14:textId="5CE92D14" w:rsidR="005E2D92" w:rsidRPr="00872D7E" w:rsidRDefault="005E2D92" w:rsidP="00A308EB">
            <w:pPr>
              <w:ind w:left="213"/>
              <w:jc w:val="center"/>
              <w:rPr>
                <w:b/>
                <w:sz w:val="18"/>
                <w:szCs w:val="18"/>
              </w:rPr>
            </w:pPr>
            <w:r w:rsidRPr="00872D7E">
              <w:rPr>
                <w:b/>
                <w:sz w:val="18"/>
                <w:szCs w:val="18"/>
              </w:rPr>
              <w:t>3.</w:t>
            </w:r>
            <w:r w:rsidR="000C66B1" w:rsidRPr="00872D7E">
              <w:rPr>
                <w:b/>
                <w:sz w:val="18"/>
                <w:szCs w:val="18"/>
              </w:rPr>
              <w:t xml:space="preserve"> </w:t>
            </w:r>
            <w:r w:rsidRPr="00872D7E">
              <w:rPr>
                <w:b/>
                <w:sz w:val="18"/>
                <w:szCs w:val="18"/>
              </w:rPr>
              <w:t>seviye</w:t>
            </w:r>
          </w:p>
        </w:tc>
        <w:tc>
          <w:tcPr>
            <w:tcW w:w="649" w:type="pct"/>
            <w:tcBorders>
              <w:top w:val="single" w:sz="4" w:space="0" w:color="auto"/>
              <w:left w:val="nil"/>
              <w:bottom w:val="single" w:sz="4" w:space="0" w:color="auto"/>
              <w:right w:val="nil"/>
            </w:tcBorders>
            <w:vAlign w:val="bottom"/>
            <w:hideMark/>
          </w:tcPr>
          <w:p w14:paraId="3965489F" w14:textId="77777777" w:rsidR="005E2D92" w:rsidRPr="00872D7E" w:rsidRDefault="005E2D92" w:rsidP="00A308EB">
            <w:pPr>
              <w:ind w:left="213"/>
              <w:jc w:val="right"/>
              <w:rPr>
                <w:b/>
                <w:sz w:val="18"/>
                <w:szCs w:val="18"/>
              </w:rPr>
            </w:pPr>
            <w:r w:rsidRPr="00872D7E">
              <w:rPr>
                <w:b/>
                <w:sz w:val="18"/>
                <w:szCs w:val="18"/>
              </w:rPr>
              <w:t>Toplam</w:t>
            </w:r>
          </w:p>
        </w:tc>
      </w:tr>
      <w:tr w:rsidR="005E2D92" w:rsidRPr="00872D7E" w14:paraId="190FF6DF" w14:textId="77777777" w:rsidTr="00B673FB">
        <w:trPr>
          <w:trHeight w:val="113"/>
        </w:trPr>
        <w:tc>
          <w:tcPr>
            <w:tcW w:w="2501" w:type="pct"/>
            <w:tcBorders>
              <w:top w:val="single" w:sz="4" w:space="0" w:color="auto"/>
              <w:left w:val="nil"/>
              <w:bottom w:val="nil"/>
              <w:right w:val="nil"/>
            </w:tcBorders>
            <w:vAlign w:val="bottom"/>
          </w:tcPr>
          <w:p w14:paraId="76EC50F6" w14:textId="77777777" w:rsidR="005E2D92" w:rsidRPr="00872D7E" w:rsidRDefault="005E2D92" w:rsidP="00A308EB">
            <w:pPr>
              <w:rPr>
                <w:sz w:val="18"/>
                <w:szCs w:val="18"/>
              </w:rPr>
            </w:pPr>
          </w:p>
        </w:tc>
        <w:tc>
          <w:tcPr>
            <w:tcW w:w="617" w:type="pct"/>
            <w:tcBorders>
              <w:top w:val="single" w:sz="4" w:space="0" w:color="auto"/>
              <w:left w:val="nil"/>
              <w:bottom w:val="nil"/>
              <w:right w:val="nil"/>
            </w:tcBorders>
            <w:vAlign w:val="bottom"/>
          </w:tcPr>
          <w:p w14:paraId="62EADDAF" w14:textId="77777777" w:rsidR="005E2D92" w:rsidRPr="00872D7E" w:rsidRDefault="005E2D92" w:rsidP="00A308EB">
            <w:pPr>
              <w:ind w:left="213" w:hanging="141"/>
              <w:jc w:val="right"/>
              <w:rPr>
                <w:sz w:val="18"/>
                <w:szCs w:val="18"/>
              </w:rPr>
            </w:pPr>
          </w:p>
        </w:tc>
        <w:tc>
          <w:tcPr>
            <w:tcW w:w="617" w:type="pct"/>
            <w:tcBorders>
              <w:top w:val="single" w:sz="4" w:space="0" w:color="auto"/>
              <w:left w:val="nil"/>
              <w:bottom w:val="nil"/>
              <w:right w:val="nil"/>
            </w:tcBorders>
            <w:vAlign w:val="bottom"/>
          </w:tcPr>
          <w:p w14:paraId="67476733" w14:textId="77777777" w:rsidR="005E2D92" w:rsidRPr="00872D7E" w:rsidRDefault="005E2D92" w:rsidP="00A308EB">
            <w:pPr>
              <w:ind w:left="213" w:hanging="141"/>
              <w:jc w:val="right"/>
              <w:rPr>
                <w:sz w:val="18"/>
                <w:szCs w:val="18"/>
              </w:rPr>
            </w:pPr>
          </w:p>
        </w:tc>
        <w:tc>
          <w:tcPr>
            <w:tcW w:w="617" w:type="pct"/>
            <w:tcBorders>
              <w:top w:val="single" w:sz="4" w:space="0" w:color="auto"/>
              <w:left w:val="nil"/>
              <w:bottom w:val="nil"/>
              <w:right w:val="nil"/>
            </w:tcBorders>
            <w:vAlign w:val="bottom"/>
          </w:tcPr>
          <w:p w14:paraId="394F0D8F" w14:textId="77777777" w:rsidR="005E2D92" w:rsidRPr="00872D7E" w:rsidRDefault="005E2D92" w:rsidP="00A308EB">
            <w:pPr>
              <w:ind w:left="213" w:hanging="141"/>
              <w:jc w:val="right"/>
              <w:rPr>
                <w:sz w:val="18"/>
                <w:szCs w:val="18"/>
              </w:rPr>
            </w:pPr>
          </w:p>
        </w:tc>
        <w:tc>
          <w:tcPr>
            <w:tcW w:w="649" w:type="pct"/>
            <w:tcBorders>
              <w:top w:val="single" w:sz="4" w:space="0" w:color="auto"/>
              <w:left w:val="nil"/>
              <w:bottom w:val="nil"/>
              <w:right w:val="nil"/>
            </w:tcBorders>
            <w:vAlign w:val="bottom"/>
          </w:tcPr>
          <w:p w14:paraId="28C7EE5C" w14:textId="77777777" w:rsidR="005E2D92" w:rsidRPr="00872D7E" w:rsidRDefault="005E2D92" w:rsidP="00A308EB">
            <w:pPr>
              <w:ind w:left="213" w:hanging="141"/>
              <w:jc w:val="right"/>
              <w:rPr>
                <w:sz w:val="18"/>
                <w:szCs w:val="18"/>
              </w:rPr>
            </w:pPr>
          </w:p>
        </w:tc>
      </w:tr>
      <w:tr w:rsidR="00B673FB" w:rsidRPr="00872D7E" w14:paraId="088668E5" w14:textId="77777777" w:rsidTr="00B673FB">
        <w:trPr>
          <w:trHeight w:val="113"/>
        </w:trPr>
        <w:tc>
          <w:tcPr>
            <w:tcW w:w="2501" w:type="pct"/>
            <w:vAlign w:val="bottom"/>
            <w:hideMark/>
          </w:tcPr>
          <w:p w14:paraId="147E8C60" w14:textId="77777777" w:rsidR="00B673FB" w:rsidRPr="00872D7E" w:rsidRDefault="00B673FB" w:rsidP="00B673FB">
            <w:pPr>
              <w:rPr>
                <w:b/>
                <w:sz w:val="18"/>
                <w:szCs w:val="18"/>
              </w:rPr>
            </w:pPr>
            <w:r w:rsidRPr="00872D7E">
              <w:rPr>
                <w:b/>
                <w:sz w:val="18"/>
                <w:szCs w:val="18"/>
              </w:rPr>
              <w:t>Finansal varlıklar</w:t>
            </w:r>
          </w:p>
        </w:tc>
        <w:tc>
          <w:tcPr>
            <w:tcW w:w="617" w:type="pct"/>
            <w:vAlign w:val="center"/>
          </w:tcPr>
          <w:p w14:paraId="55DBFDAA" w14:textId="6437879F" w:rsidR="00B673FB" w:rsidRPr="00872D7E" w:rsidRDefault="00B673FB" w:rsidP="00B673FB">
            <w:pPr>
              <w:ind w:left="213" w:hanging="141"/>
              <w:jc w:val="right"/>
              <w:rPr>
                <w:b/>
                <w:sz w:val="18"/>
                <w:szCs w:val="18"/>
              </w:rPr>
            </w:pPr>
          </w:p>
        </w:tc>
        <w:tc>
          <w:tcPr>
            <w:tcW w:w="617" w:type="pct"/>
            <w:vAlign w:val="center"/>
          </w:tcPr>
          <w:p w14:paraId="739F44D6" w14:textId="1F1E3081" w:rsidR="00B673FB" w:rsidRPr="00872D7E" w:rsidRDefault="00B673FB" w:rsidP="00B673FB">
            <w:pPr>
              <w:ind w:left="213" w:hanging="141"/>
              <w:jc w:val="right"/>
              <w:rPr>
                <w:b/>
                <w:sz w:val="18"/>
                <w:szCs w:val="18"/>
              </w:rPr>
            </w:pPr>
          </w:p>
        </w:tc>
        <w:tc>
          <w:tcPr>
            <w:tcW w:w="617" w:type="pct"/>
            <w:vAlign w:val="center"/>
          </w:tcPr>
          <w:p w14:paraId="4020BD07" w14:textId="503868ED" w:rsidR="00B673FB" w:rsidRPr="00872D7E" w:rsidRDefault="00B673FB" w:rsidP="00B673FB">
            <w:pPr>
              <w:ind w:left="213" w:hanging="141"/>
              <w:jc w:val="right"/>
              <w:rPr>
                <w:b/>
                <w:sz w:val="18"/>
                <w:szCs w:val="18"/>
              </w:rPr>
            </w:pPr>
          </w:p>
        </w:tc>
        <w:tc>
          <w:tcPr>
            <w:tcW w:w="649" w:type="pct"/>
            <w:vAlign w:val="center"/>
          </w:tcPr>
          <w:p w14:paraId="430095FA" w14:textId="3881376F" w:rsidR="00B673FB" w:rsidRPr="00872D7E" w:rsidRDefault="00B673FB" w:rsidP="00B673FB">
            <w:pPr>
              <w:ind w:left="213" w:hanging="141"/>
              <w:jc w:val="right"/>
              <w:rPr>
                <w:b/>
                <w:sz w:val="18"/>
                <w:szCs w:val="18"/>
              </w:rPr>
            </w:pPr>
          </w:p>
        </w:tc>
      </w:tr>
      <w:tr w:rsidR="00B673FB" w:rsidRPr="00872D7E" w14:paraId="23E50992" w14:textId="77777777" w:rsidTr="00B673FB">
        <w:trPr>
          <w:trHeight w:val="74"/>
        </w:trPr>
        <w:tc>
          <w:tcPr>
            <w:tcW w:w="2501" w:type="pct"/>
            <w:vAlign w:val="bottom"/>
          </w:tcPr>
          <w:p w14:paraId="2772E133" w14:textId="77777777" w:rsidR="00B673FB" w:rsidRPr="00872D7E" w:rsidRDefault="00B673FB" w:rsidP="00B673FB">
            <w:pPr>
              <w:rPr>
                <w:sz w:val="18"/>
                <w:szCs w:val="18"/>
              </w:rPr>
            </w:pPr>
          </w:p>
        </w:tc>
        <w:tc>
          <w:tcPr>
            <w:tcW w:w="617" w:type="pct"/>
            <w:vAlign w:val="center"/>
          </w:tcPr>
          <w:p w14:paraId="7D362A5B" w14:textId="69942E00" w:rsidR="00B673FB" w:rsidRPr="00872D7E" w:rsidRDefault="00B673FB" w:rsidP="00B673FB">
            <w:pPr>
              <w:ind w:left="213" w:hanging="141"/>
              <w:jc w:val="right"/>
              <w:rPr>
                <w:sz w:val="18"/>
                <w:szCs w:val="18"/>
              </w:rPr>
            </w:pPr>
          </w:p>
        </w:tc>
        <w:tc>
          <w:tcPr>
            <w:tcW w:w="617" w:type="pct"/>
            <w:vAlign w:val="center"/>
          </w:tcPr>
          <w:p w14:paraId="2203D42E" w14:textId="05CB76AB" w:rsidR="00B673FB" w:rsidRPr="00872D7E" w:rsidRDefault="00B673FB" w:rsidP="00B673FB">
            <w:pPr>
              <w:ind w:left="213" w:hanging="141"/>
              <w:jc w:val="right"/>
              <w:rPr>
                <w:sz w:val="18"/>
                <w:szCs w:val="18"/>
              </w:rPr>
            </w:pPr>
          </w:p>
        </w:tc>
        <w:tc>
          <w:tcPr>
            <w:tcW w:w="617" w:type="pct"/>
            <w:vAlign w:val="center"/>
          </w:tcPr>
          <w:p w14:paraId="07EFAA94" w14:textId="553FA5E0" w:rsidR="00B673FB" w:rsidRPr="00872D7E" w:rsidRDefault="00B673FB" w:rsidP="00B673FB">
            <w:pPr>
              <w:ind w:left="213" w:hanging="141"/>
              <w:jc w:val="right"/>
              <w:rPr>
                <w:sz w:val="18"/>
                <w:szCs w:val="18"/>
              </w:rPr>
            </w:pPr>
          </w:p>
        </w:tc>
        <w:tc>
          <w:tcPr>
            <w:tcW w:w="649" w:type="pct"/>
            <w:vAlign w:val="center"/>
          </w:tcPr>
          <w:p w14:paraId="106F9648" w14:textId="415AD8E5" w:rsidR="00B673FB" w:rsidRPr="00872D7E" w:rsidRDefault="00B673FB" w:rsidP="00B673FB">
            <w:pPr>
              <w:ind w:left="213" w:hanging="141"/>
              <w:jc w:val="right"/>
              <w:rPr>
                <w:sz w:val="18"/>
                <w:szCs w:val="18"/>
              </w:rPr>
            </w:pPr>
          </w:p>
        </w:tc>
      </w:tr>
      <w:tr w:rsidR="00B673FB" w:rsidRPr="00872D7E" w14:paraId="79E0D7CB" w14:textId="77777777" w:rsidTr="000C66B1">
        <w:trPr>
          <w:trHeight w:val="113"/>
        </w:trPr>
        <w:tc>
          <w:tcPr>
            <w:tcW w:w="2501" w:type="pct"/>
            <w:vAlign w:val="bottom"/>
            <w:hideMark/>
          </w:tcPr>
          <w:p w14:paraId="24ACEF79" w14:textId="77777777" w:rsidR="00B673FB" w:rsidRPr="00872D7E" w:rsidRDefault="00B673FB" w:rsidP="00B673FB">
            <w:pPr>
              <w:rPr>
                <w:b/>
                <w:sz w:val="18"/>
                <w:szCs w:val="18"/>
              </w:rPr>
            </w:pPr>
            <w:r w:rsidRPr="00872D7E">
              <w:rPr>
                <w:b/>
                <w:sz w:val="18"/>
                <w:szCs w:val="18"/>
              </w:rPr>
              <w:t>Gerçeğe Uygun Değer Farkı Kâr Zarara Yansıtılan Finansal Varlıklar</w:t>
            </w:r>
          </w:p>
        </w:tc>
        <w:tc>
          <w:tcPr>
            <w:tcW w:w="617" w:type="pct"/>
            <w:vAlign w:val="bottom"/>
          </w:tcPr>
          <w:p w14:paraId="196BA8BC" w14:textId="154452A2" w:rsidR="00B673FB" w:rsidRPr="00872D7E" w:rsidRDefault="00B673FB" w:rsidP="000C66B1">
            <w:pPr>
              <w:ind w:left="213" w:hanging="141"/>
              <w:jc w:val="right"/>
              <w:rPr>
                <w:b/>
                <w:sz w:val="18"/>
                <w:szCs w:val="18"/>
              </w:rPr>
            </w:pPr>
            <w:r w:rsidRPr="00872D7E">
              <w:rPr>
                <w:b/>
                <w:bCs/>
                <w:color w:val="000000"/>
                <w:sz w:val="18"/>
                <w:szCs w:val="18"/>
              </w:rPr>
              <w:t>133.298</w:t>
            </w:r>
          </w:p>
        </w:tc>
        <w:tc>
          <w:tcPr>
            <w:tcW w:w="617" w:type="pct"/>
            <w:vAlign w:val="bottom"/>
          </w:tcPr>
          <w:p w14:paraId="5234FB7A" w14:textId="7922C4EC" w:rsidR="00B673FB" w:rsidRPr="00872D7E" w:rsidRDefault="00B673FB" w:rsidP="000C66B1">
            <w:pPr>
              <w:ind w:left="213" w:hanging="141"/>
              <w:jc w:val="right"/>
              <w:rPr>
                <w:b/>
                <w:sz w:val="18"/>
                <w:szCs w:val="18"/>
              </w:rPr>
            </w:pPr>
            <w:r w:rsidRPr="00872D7E">
              <w:rPr>
                <w:b/>
                <w:bCs/>
                <w:color w:val="000000"/>
                <w:sz w:val="18"/>
                <w:szCs w:val="18"/>
              </w:rPr>
              <w:t>-</w:t>
            </w:r>
          </w:p>
        </w:tc>
        <w:tc>
          <w:tcPr>
            <w:tcW w:w="617" w:type="pct"/>
            <w:vAlign w:val="bottom"/>
          </w:tcPr>
          <w:p w14:paraId="55A06696" w14:textId="45E99B27" w:rsidR="00B673FB" w:rsidRPr="00872D7E" w:rsidRDefault="00B673FB" w:rsidP="000C66B1">
            <w:pPr>
              <w:ind w:left="213" w:hanging="141"/>
              <w:jc w:val="right"/>
              <w:rPr>
                <w:b/>
                <w:sz w:val="18"/>
                <w:szCs w:val="18"/>
              </w:rPr>
            </w:pPr>
            <w:r w:rsidRPr="00872D7E">
              <w:rPr>
                <w:b/>
                <w:bCs/>
                <w:color w:val="000000"/>
                <w:sz w:val="18"/>
                <w:szCs w:val="18"/>
              </w:rPr>
              <w:t>-</w:t>
            </w:r>
          </w:p>
        </w:tc>
        <w:tc>
          <w:tcPr>
            <w:tcW w:w="649" w:type="pct"/>
            <w:vAlign w:val="bottom"/>
          </w:tcPr>
          <w:p w14:paraId="058C7E95" w14:textId="2DF2061B" w:rsidR="00B673FB" w:rsidRPr="00872D7E" w:rsidRDefault="00B673FB" w:rsidP="000C66B1">
            <w:pPr>
              <w:ind w:left="213" w:hanging="141"/>
              <w:jc w:val="right"/>
              <w:rPr>
                <w:b/>
                <w:sz w:val="18"/>
                <w:szCs w:val="18"/>
              </w:rPr>
            </w:pPr>
            <w:r w:rsidRPr="00872D7E">
              <w:rPr>
                <w:b/>
                <w:bCs/>
                <w:color w:val="000000"/>
                <w:sz w:val="18"/>
                <w:szCs w:val="18"/>
              </w:rPr>
              <w:t>133.298</w:t>
            </w:r>
          </w:p>
        </w:tc>
      </w:tr>
      <w:tr w:rsidR="00B673FB" w:rsidRPr="00872D7E" w14:paraId="03164881" w14:textId="77777777" w:rsidTr="000C66B1">
        <w:trPr>
          <w:trHeight w:val="113"/>
        </w:trPr>
        <w:tc>
          <w:tcPr>
            <w:tcW w:w="2501" w:type="pct"/>
            <w:vAlign w:val="bottom"/>
            <w:hideMark/>
          </w:tcPr>
          <w:p w14:paraId="41C37364" w14:textId="77777777" w:rsidR="00B673FB" w:rsidRPr="00872D7E" w:rsidRDefault="00B673FB" w:rsidP="00B673FB">
            <w:pPr>
              <w:ind w:firstLineChars="200" w:firstLine="360"/>
              <w:rPr>
                <w:sz w:val="18"/>
                <w:szCs w:val="18"/>
              </w:rPr>
            </w:pPr>
            <w:r w:rsidRPr="00872D7E">
              <w:rPr>
                <w:sz w:val="18"/>
                <w:szCs w:val="18"/>
              </w:rPr>
              <w:t>Devlet borçlanma senetleri</w:t>
            </w:r>
          </w:p>
        </w:tc>
        <w:tc>
          <w:tcPr>
            <w:tcW w:w="617" w:type="pct"/>
            <w:vAlign w:val="bottom"/>
          </w:tcPr>
          <w:p w14:paraId="022EABDB" w14:textId="38E0F29B"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5383B2F2" w14:textId="28C7F203"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7E74C534" w14:textId="199C1E6E" w:rsidR="00B673FB" w:rsidRPr="00872D7E" w:rsidRDefault="00B673FB" w:rsidP="000C66B1">
            <w:pPr>
              <w:ind w:left="213" w:hanging="141"/>
              <w:jc w:val="right"/>
              <w:rPr>
                <w:sz w:val="18"/>
                <w:szCs w:val="18"/>
              </w:rPr>
            </w:pPr>
            <w:r w:rsidRPr="00872D7E">
              <w:rPr>
                <w:color w:val="000000"/>
                <w:sz w:val="18"/>
                <w:szCs w:val="18"/>
              </w:rPr>
              <w:t>-</w:t>
            </w:r>
          </w:p>
        </w:tc>
        <w:tc>
          <w:tcPr>
            <w:tcW w:w="649" w:type="pct"/>
            <w:vAlign w:val="bottom"/>
          </w:tcPr>
          <w:p w14:paraId="60BE642F" w14:textId="1548246D" w:rsidR="00B673FB" w:rsidRPr="00872D7E" w:rsidRDefault="00B673FB" w:rsidP="000C66B1">
            <w:pPr>
              <w:ind w:left="213" w:hanging="141"/>
              <w:jc w:val="right"/>
              <w:rPr>
                <w:sz w:val="18"/>
                <w:szCs w:val="18"/>
              </w:rPr>
            </w:pPr>
            <w:r w:rsidRPr="00872D7E">
              <w:rPr>
                <w:color w:val="000000"/>
                <w:sz w:val="18"/>
                <w:szCs w:val="18"/>
              </w:rPr>
              <w:t>-</w:t>
            </w:r>
          </w:p>
        </w:tc>
      </w:tr>
      <w:tr w:rsidR="00B673FB" w:rsidRPr="00872D7E" w14:paraId="0C6B13D1" w14:textId="77777777" w:rsidTr="000C66B1">
        <w:trPr>
          <w:trHeight w:val="113"/>
        </w:trPr>
        <w:tc>
          <w:tcPr>
            <w:tcW w:w="2501" w:type="pct"/>
            <w:vAlign w:val="bottom"/>
            <w:hideMark/>
          </w:tcPr>
          <w:p w14:paraId="08E81FC9" w14:textId="77777777" w:rsidR="00B673FB" w:rsidRPr="00872D7E" w:rsidRDefault="00B673FB" w:rsidP="00B673FB">
            <w:pPr>
              <w:ind w:firstLineChars="200" w:firstLine="360"/>
              <w:rPr>
                <w:sz w:val="18"/>
                <w:szCs w:val="18"/>
              </w:rPr>
            </w:pPr>
            <w:r w:rsidRPr="00872D7E">
              <w:rPr>
                <w:sz w:val="18"/>
                <w:szCs w:val="18"/>
              </w:rPr>
              <w:t xml:space="preserve">Sermayede payı temsil eden menkul değerler </w:t>
            </w:r>
          </w:p>
        </w:tc>
        <w:tc>
          <w:tcPr>
            <w:tcW w:w="617" w:type="pct"/>
            <w:vAlign w:val="bottom"/>
          </w:tcPr>
          <w:p w14:paraId="4C1807DC" w14:textId="6D246960" w:rsidR="00B673FB" w:rsidRPr="00872D7E" w:rsidRDefault="005209F1" w:rsidP="000C66B1">
            <w:pPr>
              <w:ind w:left="213" w:hanging="141"/>
              <w:jc w:val="right"/>
              <w:rPr>
                <w:sz w:val="18"/>
                <w:szCs w:val="18"/>
              </w:rPr>
            </w:pPr>
            <w:r w:rsidRPr="00872D7E">
              <w:rPr>
                <w:sz w:val="18"/>
                <w:szCs w:val="18"/>
              </w:rPr>
              <w:t>-</w:t>
            </w:r>
          </w:p>
        </w:tc>
        <w:tc>
          <w:tcPr>
            <w:tcW w:w="617" w:type="pct"/>
            <w:vAlign w:val="bottom"/>
          </w:tcPr>
          <w:p w14:paraId="50F26957" w14:textId="18D3CBF2"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7EC004C5" w14:textId="3B9563DA" w:rsidR="00B673FB" w:rsidRPr="00872D7E" w:rsidRDefault="005209F1" w:rsidP="000C66B1">
            <w:pPr>
              <w:ind w:left="213" w:hanging="141"/>
              <w:jc w:val="right"/>
              <w:rPr>
                <w:sz w:val="18"/>
                <w:szCs w:val="18"/>
              </w:rPr>
            </w:pPr>
            <w:r w:rsidRPr="00872D7E">
              <w:rPr>
                <w:color w:val="000000"/>
                <w:sz w:val="18"/>
                <w:szCs w:val="18"/>
              </w:rPr>
              <w:t>15</w:t>
            </w:r>
          </w:p>
        </w:tc>
        <w:tc>
          <w:tcPr>
            <w:tcW w:w="649" w:type="pct"/>
            <w:vAlign w:val="bottom"/>
          </w:tcPr>
          <w:p w14:paraId="2783F56D" w14:textId="147620F0" w:rsidR="00B673FB" w:rsidRPr="00872D7E" w:rsidRDefault="00B673FB" w:rsidP="000C66B1">
            <w:pPr>
              <w:ind w:left="213" w:hanging="141"/>
              <w:jc w:val="right"/>
              <w:rPr>
                <w:sz w:val="18"/>
                <w:szCs w:val="18"/>
              </w:rPr>
            </w:pPr>
            <w:r w:rsidRPr="00872D7E">
              <w:rPr>
                <w:color w:val="000000"/>
                <w:sz w:val="18"/>
                <w:szCs w:val="18"/>
              </w:rPr>
              <w:t>15</w:t>
            </w:r>
          </w:p>
        </w:tc>
      </w:tr>
      <w:tr w:rsidR="00B673FB" w:rsidRPr="00872D7E" w14:paraId="67966E81" w14:textId="77777777" w:rsidTr="000C66B1">
        <w:trPr>
          <w:trHeight w:val="113"/>
        </w:trPr>
        <w:tc>
          <w:tcPr>
            <w:tcW w:w="2501" w:type="pct"/>
            <w:vAlign w:val="bottom"/>
            <w:hideMark/>
          </w:tcPr>
          <w:p w14:paraId="02E3FBC4" w14:textId="77777777" w:rsidR="00B673FB" w:rsidRPr="00872D7E" w:rsidRDefault="00B673FB" w:rsidP="00B673FB">
            <w:pPr>
              <w:ind w:firstLineChars="200" w:firstLine="360"/>
              <w:rPr>
                <w:sz w:val="18"/>
                <w:szCs w:val="18"/>
              </w:rPr>
            </w:pPr>
            <w:r w:rsidRPr="00872D7E">
              <w:rPr>
                <w:sz w:val="18"/>
                <w:szCs w:val="18"/>
              </w:rPr>
              <w:t>Diğer finansal varlıklara ilişkin bilgiler</w:t>
            </w:r>
          </w:p>
        </w:tc>
        <w:tc>
          <w:tcPr>
            <w:tcW w:w="617" w:type="pct"/>
            <w:vAlign w:val="bottom"/>
          </w:tcPr>
          <w:p w14:paraId="7F3E4293" w14:textId="48E0375D" w:rsidR="00B673FB" w:rsidRPr="00872D7E" w:rsidRDefault="005209F1" w:rsidP="000C66B1">
            <w:pPr>
              <w:ind w:left="213" w:hanging="141"/>
              <w:jc w:val="right"/>
              <w:rPr>
                <w:sz w:val="18"/>
                <w:szCs w:val="18"/>
              </w:rPr>
            </w:pPr>
            <w:r w:rsidRPr="00872D7E">
              <w:rPr>
                <w:sz w:val="18"/>
                <w:szCs w:val="18"/>
              </w:rPr>
              <w:t>-</w:t>
            </w:r>
          </w:p>
        </w:tc>
        <w:tc>
          <w:tcPr>
            <w:tcW w:w="617" w:type="pct"/>
            <w:vAlign w:val="bottom"/>
          </w:tcPr>
          <w:p w14:paraId="128D0056" w14:textId="10EC009D" w:rsidR="00B673FB" w:rsidRPr="00872D7E" w:rsidRDefault="005209F1" w:rsidP="000C66B1">
            <w:pPr>
              <w:ind w:left="213" w:hanging="141"/>
              <w:jc w:val="right"/>
              <w:rPr>
                <w:sz w:val="18"/>
                <w:szCs w:val="18"/>
              </w:rPr>
            </w:pPr>
            <w:r w:rsidRPr="00872D7E">
              <w:rPr>
                <w:color w:val="000000"/>
                <w:sz w:val="18"/>
                <w:szCs w:val="18"/>
              </w:rPr>
              <w:t>133.283</w:t>
            </w:r>
          </w:p>
        </w:tc>
        <w:tc>
          <w:tcPr>
            <w:tcW w:w="617" w:type="pct"/>
            <w:vAlign w:val="bottom"/>
          </w:tcPr>
          <w:p w14:paraId="4652A242" w14:textId="23B69837" w:rsidR="00B673FB" w:rsidRPr="00872D7E" w:rsidRDefault="00B673FB" w:rsidP="000C66B1">
            <w:pPr>
              <w:ind w:left="213" w:hanging="141"/>
              <w:jc w:val="right"/>
              <w:rPr>
                <w:sz w:val="18"/>
                <w:szCs w:val="18"/>
              </w:rPr>
            </w:pPr>
            <w:r w:rsidRPr="00872D7E">
              <w:rPr>
                <w:color w:val="000000"/>
                <w:sz w:val="18"/>
                <w:szCs w:val="18"/>
              </w:rPr>
              <w:t>-</w:t>
            </w:r>
          </w:p>
        </w:tc>
        <w:tc>
          <w:tcPr>
            <w:tcW w:w="649" w:type="pct"/>
            <w:vAlign w:val="bottom"/>
          </w:tcPr>
          <w:p w14:paraId="6B278E99" w14:textId="2EFA476E" w:rsidR="00B673FB" w:rsidRPr="00872D7E" w:rsidRDefault="00B673FB" w:rsidP="000C66B1">
            <w:pPr>
              <w:ind w:left="213" w:hanging="141"/>
              <w:jc w:val="right"/>
              <w:rPr>
                <w:sz w:val="18"/>
                <w:szCs w:val="18"/>
              </w:rPr>
            </w:pPr>
            <w:r w:rsidRPr="00872D7E">
              <w:rPr>
                <w:color w:val="000000"/>
                <w:sz w:val="18"/>
                <w:szCs w:val="18"/>
              </w:rPr>
              <w:t>133.283</w:t>
            </w:r>
          </w:p>
        </w:tc>
      </w:tr>
      <w:tr w:rsidR="00B673FB" w:rsidRPr="00872D7E" w14:paraId="75674DEA" w14:textId="77777777" w:rsidTr="000C66B1">
        <w:trPr>
          <w:trHeight w:val="113"/>
        </w:trPr>
        <w:tc>
          <w:tcPr>
            <w:tcW w:w="2501" w:type="pct"/>
            <w:vAlign w:val="bottom"/>
            <w:hideMark/>
          </w:tcPr>
          <w:p w14:paraId="111A2C7F" w14:textId="77777777" w:rsidR="00B673FB" w:rsidRPr="00872D7E" w:rsidRDefault="00B673FB" w:rsidP="00B673FB">
            <w:pPr>
              <w:rPr>
                <w:b/>
                <w:sz w:val="18"/>
                <w:szCs w:val="18"/>
              </w:rPr>
            </w:pPr>
            <w:r w:rsidRPr="00872D7E">
              <w:rPr>
                <w:b/>
                <w:sz w:val="18"/>
                <w:szCs w:val="18"/>
              </w:rPr>
              <w:t>Gerçeğe Uygun Değer Farkı Diğer Kapsamlı Gelire Yansıtılan Finansal Varlıklar</w:t>
            </w:r>
          </w:p>
        </w:tc>
        <w:tc>
          <w:tcPr>
            <w:tcW w:w="617" w:type="pct"/>
            <w:vAlign w:val="bottom"/>
          </w:tcPr>
          <w:p w14:paraId="3429D19D" w14:textId="52930B72" w:rsidR="00B673FB" w:rsidRPr="00872D7E" w:rsidRDefault="00B673FB" w:rsidP="000C66B1">
            <w:pPr>
              <w:ind w:left="213" w:hanging="141"/>
              <w:jc w:val="right"/>
              <w:rPr>
                <w:b/>
                <w:sz w:val="18"/>
                <w:szCs w:val="18"/>
              </w:rPr>
            </w:pPr>
            <w:r w:rsidRPr="00872D7E">
              <w:rPr>
                <w:b/>
                <w:bCs/>
                <w:color w:val="000000"/>
                <w:sz w:val="18"/>
                <w:szCs w:val="18"/>
              </w:rPr>
              <w:t>964.443</w:t>
            </w:r>
          </w:p>
        </w:tc>
        <w:tc>
          <w:tcPr>
            <w:tcW w:w="617" w:type="pct"/>
            <w:vAlign w:val="bottom"/>
          </w:tcPr>
          <w:p w14:paraId="435B46D5" w14:textId="6E2AEF00" w:rsidR="00B673FB" w:rsidRPr="00872D7E" w:rsidRDefault="00B673FB" w:rsidP="000C66B1">
            <w:pPr>
              <w:ind w:left="213" w:hanging="141"/>
              <w:jc w:val="right"/>
              <w:rPr>
                <w:b/>
                <w:sz w:val="18"/>
                <w:szCs w:val="18"/>
              </w:rPr>
            </w:pPr>
            <w:r w:rsidRPr="00872D7E">
              <w:rPr>
                <w:b/>
                <w:bCs/>
                <w:color w:val="000000"/>
                <w:sz w:val="18"/>
                <w:szCs w:val="18"/>
              </w:rPr>
              <w:t>-</w:t>
            </w:r>
          </w:p>
        </w:tc>
        <w:tc>
          <w:tcPr>
            <w:tcW w:w="617" w:type="pct"/>
            <w:vAlign w:val="bottom"/>
          </w:tcPr>
          <w:p w14:paraId="1FB92835" w14:textId="001FC3FF" w:rsidR="00B673FB" w:rsidRPr="00872D7E" w:rsidRDefault="00B673FB" w:rsidP="000C66B1">
            <w:pPr>
              <w:ind w:left="213" w:hanging="141"/>
              <w:jc w:val="right"/>
              <w:rPr>
                <w:b/>
                <w:sz w:val="18"/>
                <w:szCs w:val="18"/>
              </w:rPr>
            </w:pPr>
            <w:r w:rsidRPr="00872D7E">
              <w:rPr>
                <w:b/>
                <w:bCs/>
                <w:color w:val="000000"/>
                <w:sz w:val="18"/>
                <w:szCs w:val="18"/>
              </w:rPr>
              <w:t>-</w:t>
            </w:r>
          </w:p>
        </w:tc>
        <w:tc>
          <w:tcPr>
            <w:tcW w:w="649" w:type="pct"/>
            <w:vAlign w:val="bottom"/>
          </w:tcPr>
          <w:p w14:paraId="1D483007" w14:textId="5DAEBDD0" w:rsidR="00B673FB" w:rsidRPr="00872D7E" w:rsidRDefault="00B673FB" w:rsidP="000C66B1">
            <w:pPr>
              <w:ind w:left="213" w:hanging="141"/>
              <w:jc w:val="right"/>
              <w:rPr>
                <w:b/>
                <w:sz w:val="18"/>
                <w:szCs w:val="18"/>
              </w:rPr>
            </w:pPr>
            <w:r w:rsidRPr="00872D7E">
              <w:rPr>
                <w:b/>
                <w:bCs/>
                <w:color w:val="000000"/>
                <w:sz w:val="18"/>
                <w:szCs w:val="18"/>
              </w:rPr>
              <w:t>964.443</w:t>
            </w:r>
          </w:p>
        </w:tc>
      </w:tr>
      <w:tr w:rsidR="00B673FB" w:rsidRPr="00872D7E" w14:paraId="447C1DBB" w14:textId="77777777" w:rsidTr="000C66B1">
        <w:trPr>
          <w:trHeight w:val="113"/>
        </w:trPr>
        <w:tc>
          <w:tcPr>
            <w:tcW w:w="2501" w:type="pct"/>
            <w:vAlign w:val="bottom"/>
            <w:hideMark/>
          </w:tcPr>
          <w:p w14:paraId="1724EDE4" w14:textId="58E45EB8" w:rsidR="00B673FB" w:rsidRPr="00872D7E" w:rsidRDefault="00B673FB" w:rsidP="00B673FB">
            <w:pPr>
              <w:ind w:firstLineChars="200" w:firstLine="360"/>
              <w:rPr>
                <w:sz w:val="18"/>
                <w:szCs w:val="18"/>
              </w:rPr>
            </w:pPr>
            <w:r w:rsidRPr="00872D7E">
              <w:rPr>
                <w:sz w:val="18"/>
                <w:szCs w:val="18"/>
              </w:rPr>
              <w:t>Sermayede payı temsil eden menkul değerler</w:t>
            </w:r>
          </w:p>
        </w:tc>
        <w:tc>
          <w:tcPr>
            <w:tcW w:w="617" w:type="pct"/>
            <w:vAlign w:val="bottom"/>
          </w:tcPr>
          <w:p w14:paraId="7EC6FC3F" w14:textId="13B4CCE7"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32C7F479" w14:textId="1A2570D8"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3BFA9BE6" w14:textId="2966C76A" w:rsidR="00B673FB" w:rsidRPr="00872D7E" w:rsidRDefault="00B673FB" w:rsidP="000C66B1">
            <w:pPr>
              <w:ind w:left="213" w:hanging="141"/>
              <w:jc w:val="right"/>
              <w:rPr>
                <w:sz w:val="18"/>
                <w:szCs w:val="18"/>
              </w:rPr>
            </w:pPr>
            <w:r w:rsidRPr="00872D7E">
              <w:rPr>
                <w:color w:val="000000"/>
                <w:sz w:val="18"/>
                <w:szCs w:val="18"/>
              </w:rPr>
              <w:t>-</w:t>
            </w:r>
          </w:p>
        </w:tc>
        <w:tc>
          <w:tcPr>
            <w:tcW w:w="649" w:type="pct"/>
            <w:vAlign w:val="bottom"/>
          </w:tcPr>
          <w:p w14:paraId="183BAD82" w14:textId="66FD0925" w:rsidR="00B673FB" w:rsidRPr="00872D7E" w:rsidRDefault="00B673FB" w:rsidP="000C66B1">
            <w:pPr>
              <w:ind w:left="213" w:hanging="141"/>
              <w:jc w:val="right"/>
              <w:rPr>
                <w:sz w:val="18"/>
                <w:szCs w:val="18"/>
              </w:rPr>
            </w:pPr>
            <w:r w:rsidRPr="00872D7E">
              <w:rPr>
                <w:color w:val="000000"/>
                <w:sz w:val="18"/>
                <w:szCs w:val="18"/>
              </w:rPr>
              <w:t>-</w:t>
            </w:r>
          </w:p>
        </w:tc>
      </w:tr>
      <w:tr w:rsidR="00B673FB" w:rsidRPr="00872D7E" w14:paraId="6C8AB63B" w14:textId="77777777" w:rsidTr="000C66B1">
        <w:trPr>
          <w:trHeight w:val="113"/>
        </w:trPr>
        <w:tc>
          <w:tcPr>
            <w:tcW w:w="2501" w:type="pct"/>
            <w:vAlign w:val="bottom"/>
            <w:hideMark/>
          </w:tcPr>
          <w:p w14:paraId="688D700A" w14:textId="77777777" w:rsidR="00B673FB" w:rsidRPr="00872D7E" w:rsidRDefault="00B673FB" w:rsidP="00B673FB">
            <w:pPr>
              <w:ind w:firstLineChars="200" w:firstLine="360"/>
              <w:rPr>
                <w:sz w:val="18"/>
                <w:szCs w:val="18"/>
              </w:rPr>
            </w:pPr>
            <w:r w:rsidRPr="00872D7E">
              <w:rPr>
                <w:sz w:val="18"/>
                <w:szCs w:val="18"/>
              </w:rPr>
              <w:t>Devlet borçlanma senetleri</w:t>
            </w:r>
          </w:p>
        </w:tc>
        <w:tc>
          <w:tcPr>
            <w:tcW w:w="617" w:type="pct"/>
            <w:vAlign w:val="bottom"/>
          </w:tcPr>
          <w:p w14:paraId="1510190F" w14:textId="1454AFE7" w:rsidR="00B673FB" w:rsidRPr="00872D7E" w:rsidRDefault="00B673FB" w:rsidP="000C66B1">
            <w:pPr>
              <w:ind w:left="213" w:hanging="141"/>
              <w:jc w:val="right"/>
              <w:rPr>
                <w:sz w:val="18"/>
                <w:szCs w:val="18"/>
              </w:rPr>
            </w:pPr>
            <w:r w:rsidRPr="00872D7E">
              <w:rPr>
                <w:color w:val="000000"/>
                <w:sz w:val="18"/>
                <w:szCs w:val="18"/>
              </w:rPr>
              <w:t>964.443</w:t>
            </w:r>
          </w:p>
        </w:tc>
        <w:tc>
          <w:tcPr>
            <w:tcW w:w="617" w:type="pct"/>
            <w:vAlign w:val="bottom"/>
          </w:tcPr>
          <w:p w14:paraId="259E1DBB" w14:textId="0FECF422"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3DE75B23" w14:textId="105E6D35" w:rsidR="00B673FB" w:rsidRPr="00872D7E" w:rsidRDefault="00B673FB" w:rsidP="000C66B1">
            <w:pPr>
              <w:ind w:left="213" w:hanging="141"/>
              <w:jc w:val="right"/>
              <w:rPr>
                <w:sz w:val="18"/>
                <w:szCs w:val="18"/>
              </w:rPr>
            </w:pPr>
            <w:r w:rsidRPr="00872D7E">
              <w:rPr>
                <w:color w:val="000000"/>
                <w:sz w:val="18"/>
                <w:szCs w:val="18"/>
              </w:rPr>
              <w:t>-</w:t>
            </w:r>
          </w:p>
        </w:tc>
        <w:tc>
          <w:tcPr>
            <w:tcW w:w="649" w:type="pct"/>
            <w:vAlign w:val="bottom"/>
          </w:tcPr>
          <w:p w14:paraId="6FA01D23" w14:textId="11904E38" w:rsidR="00B673FB" w:rsidRPr="00872D7E" w:rsidRDefault="00B673FB" w:rsidP="000C66B1">
            <w:pPr>
              <w:ind w:left="213" w:hanging="141"/>
              <w:jc w:val="right"/>
              <w:rPr>
                <w:sz w:val="18"/>
                <w:szCs w:val="18"/>
              </w:rPr>
            </w:pPr>
            <w:r w:rsidRPr="00872D7E">
              <w:rPr>
                <w:color w:val="000000"/>
                <w:sz w:val="18"/>
                <w:szCs w:val="18"/>
              </w:rPr>
              <w:t>964.443</w:t>
            </w:r>
          </w:p>
        </w:tc>
      </w:tr>
      <w:tr w:rsidR="00B673FB" w:rsidRPr="00872D7E" w14:paraId="00CC7406" w14:textId="77777777" w:rsidTr="000C66B1">
        <w:trPr>
          <w:trHeight w:val="113"/>
        </w:trPr>
        <w:tc>
          <w:tcPr>
            <w:tcW w:w="2501" w:type="pct"/>
            <w:vAlign w:val="bottom"/>
            <w:hideMark/>
          </w:tcPr>
          <w:p w14:paraId="207DF2A4" w14:textId="77777777" w:rsidR="00B673FB" w:rsidRPr="00872D7E" w:rsidRDefault="00B673FB" w:rsidP="00B673FB">
            <w:pPr>
              <w:ind w:firstLineChars="200" w:firstLine="360"/>
              <w:rPr>
                <w:sz w:val="18"/>
                <w:szCs w:val="18"/>
              </w:rPr>
            </w:pPr>
            <w:r w:rsidRPr="00872D7E">
              <w:rPr>
                <w:sz w:val="18"/>
                <w:szCs w:val="18"/>
              </w:rPr>
              <w:t>Diğer Finansal Varlıklar</w:t>
            </w:r>
          </w:p>
        </w:tc>
        <w:tc>
          <w:tcPr>
            <w:tcW w:w="617" w:type="pct"/>
            <w:vAlign w:val="bottom"/>
          </w:tcPr>
          <w:p w14:paraId="1AD24523" w14:textId="68156427"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0FB3151A" w14:textId="17B013A6"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643D4190" w14:textId="58EE74DC" w:rsidR="00B673FB" w:rsidRPr="00872D7E" w:rsidRDefault="00B673FB" w:rsidP="000C66B1">
            <w:pPr>
              <w:ind w:left="213" w:hanging="141"/>
              <w:jc w:val="right"/>
              <w:rPr>
                <w:sz w:val="18"/>
                <w:szCs w:val="18"/>
              </w:rPr>
            </w:pPr>
            <w:r w:rsidRPr="00872D7E">
              <w:rPr>
                <w:color w:val="000000"/>
                <w:sz w:val="18"/>
                <w:szCs w:val="18"/>
              </w:rPr>
              <w:t>-</w:t>
            </w:r>
          </w:p>
        </w:tc>
        <w:tc>
          <w:tcPr>
            <w:tcW w:w="649" w:type="pct"/>
            <w:vAlign w:val="bottom"/>
          </w:tcPr>
          <w:p w14:paraId="1D091738" w14:textId="4F06068B" w:rsidR="00B673FB" w:rsidRPr="00872D7E" w:rsidRDefault="00B673FB" w:rsidP="000C66B1">
            <w:pPr>
              <w:ind w:left="213" w:hanging="141"/>
              <w:jc w:val="right"/>
              <w:rPr>
                <w:sz w:val="18"/>
                <w:szCs w:val="18"/>
              </w:rPr>
            </w:pPr>
            <w:r w:rsidRPr="00872D7E">
              <w:rPr>
                <w:color w:val="000000"/>
                <w:sz w:val="18"/>
                <w:szCs w:val="18"/>
              </w:rPr>
              <w:t>-</w:t>
            </w:r>
          </w:p>
        </w:tc>
      </w:tr>
      <w:tr w:rsidR="00B673FB" w:rsidRPr="00872D7E" w14:paraId="0616D040" w14:textId="77777777" w:rsidTr="000C66B1">
        <w:trPr>
          <w:trHeight w:val="113"/>
        </w:trPr>
        <w:tc>
          <w:tcPr>
            <w:tcW w:w="2501" w:type="pct"/>
            <w:vAlign w:val="bottom"/>
          </w:tcPr>
          <w:p w14:paraId="3E8BB1E4" w14:textId="77777777" w:rsidR="00B673FB" w:rsidRPr="00872D7E" w:rsidRDefault="00B673FB" w:rsidP="00B673FB">
            <w:pPr>
              <w:rPr>
                <w:sz w:val="18"/>
                <w:szCs w:val="18"/>
              </w:rPr>
            </w:pPr>
          </w:p>
        </w:tc>
        <w:tc>
          <w:tcPr>
            <w:tcW w:w="617" w:type="pct"/>
            <w:vAlign w:val="bottom"/>
          </w:tcPr>
          <w:p w14:paraId="10345C03" w14:textId="77777777" w:rsidR="00B673FB" w:rsidRPr="00872D7E" w:rsidRDefault="00B673FB" w:rsidP="000C66B1">
            <w:pPr>
              <w:ind w:left="213" w:hanging="141"/>
              <w:jc w:val="right"/>
              <w:rPr>
                <w:sz w:val="18"/>
                <w:szCs w:val="18"/>
              </w:rPr>
            </w:pPr>
          </w:p>
        </w:tc>
        <w:tc>
          <w:tcPr>
            <w:tcW w:w="617" w:type="pct"/>
            <w:vAlign w:val="bottom"/>
          </w:tcPr>
          <w:p w14:paraId="43BA9869" w14:textId="77777777" w:rsidR="00B673FB" w:rsidRPr="00872D7E" w:rsidRDefault="00B673FB" w:rsidP="000C66B1">
            <w:pPr>
              <w:ind w:left="213" w:hanging="141"/>
              <w:jc w:val="right"/>
              <w:rPr>
                <w:sz w:val="18"/>
                <w:szCs w:val="18"/>
              </w:rPr>
            </w:pPr>
          </w:p>
        </w:tc>
        <w:tc>
          <w:tcPr>
            <w:tcW w:w="617" w:type="pct"/>
            <w:vAlign w:val="bottom"/>
          </w:tcPr>
          <w:p w14:paraId="6875CC42" w14:textId="77777777" w:rsidR="00B673FB" w:rsidRPr="00872D7E" w:rsidRDefault="00B673FB" w:rsidP="000C66B1">
            <w:pPr>
              <w:ind w:left="213" w:hanging="141"/>
              <w:jc w:val="right"/>
              <w:rPr>
                <w:sz w:val="18"/>
                <w:szCs w:val="18"/>
              </w:rPr>
            </w:pPr>
          </w:p>
        </w:tc>
        <w:tc>
          <w:tcPr>
            <w:tcW w:w="649" w:type="pct"/>
            <w:vAlign w:val="bottom"/>
          </w:tcPr>
          <w:p w14:paraId="0A29F132" w14:textId="77777777" w:rsidR="00B673FB" w:rsidRPr="00872D7E" w:rsidRDefault="00B673FB" w:rsidP="000C66B1">
            <w:pPr>
              <w:ind w:left="213" w:hanging="141"/>
              <w:jc w:val="right"/>
              <w:rPr>
                <w:sz w:val="18"/>
                <w:szCs w:val="18"/>
              </w:rPr>
            </w:pPr>
          </w:p>
        </w:tc>
      </w:tr>
      <w:tr w:rsidR="00B673FB" w:rsidRPr="00872D7E" w14:paraId="76314A8E" w14:textId="77777777" w:rsidTr="000C66B1">
        <w:trPr>
          <w:trHeight w:val="113"/>
        </w:trPr>
        <w:tc>
          <w:tcPr>
            <w:tcW w:w="2501" w:type="pct"/>
            <w:vAlign w:val="bottom"/>
            <w:hideMark/>
          </w:tcPr>
          <w:p w14:paraId="343FECDC" w14:textId="77777777" w:rsidR="00B673FB" w:rsidRPr="00872D7E" w:rsidRDefault="00B673FB" w:rsidP="00B673FB">
            <w:pPr>
              <w:rPr>
                <w:b/>
                <w:sz w:val="18"/>
                <w:szCs w:val="18"/>
              </w:rPr>
            </w:pPr>
            <w:r w:rsidRPr="00872D7E">
              <w:rPr>
                <w:b/>
                <w:sz w:val="18"/>
                <w:szCs w:val="18"/>
              </w:rPr>
              <w:t>Türev Finansal Varlıklar</w:t>
            </w:r>
          </w:p>
        </w:tc>
        <w:tc>
          <w:tcPr>
            <w:tcW w:w="617" w:type="pct"/>
            <w:vAlign w:val="bottom"/>
          </w:tcPr>
          <w:p w14:paraId="136E83F3" w14:textId="3535EE8B" w:rsidR="00B673FB" w:rsidRPr="00872D7E" w:rsidRDefault="00B673FB" w:rsidP="000C66B1">
            <w:pPr>
              <w:ind w:left="213" w:hanging="141"/>
              <w:jc w:val="right"/>
              <w:rPr>
                <w:b/>
                <w:sz w:val="18"/>
                <w:szCs w:val="18"/>
              </w:rPr>
            </w:pPr>
            <w:r w:rsidRPr="00872D7E">
              <w:rPr>
                <w:b/>
                <w:bCs/>
                <w:color w:val="000000"/>
                <w:sz w:val="18"/>
                <w:szCs w:val="18"/>
              </w:rPr>
              <w:t>22.274</w:t>
            </w:r>
          </w:p>
        </w:tc>
        <w:tc>
          <w:tcPr>
            <w:tcW w:w="617" w:type="pct"/>
            <w:vAlign w:val="bottom"/>
          </w:tcPr>
          <w:p w14:paraId="11C8B475" w14:textId="710D217C" w:rsidR="00B673FB" w:rsidRPr="00872D7E" w:rsidRDefault="00B673FB" w:rsidP="000C66B1">
            <w:pPr>
              <w:ind w:left="213" w:hanging="141"/>
              <w:jc w:val="right"/>
              <w:rPr>
                <w:b/>
                <w:sz w:val="18"/>
                <w:szCs w:val="18"/>
              </w:rPr>
            </w:pPr>
            <w:r w:rsidRPr="00872D7E">
              <w:rPr>
                <w:b/>
                <w:bCs/>
                <w:color w:val="000000"/>
                <w:sz w:val="18"/>
                <w:szCs w:val="18"/>
              </w:rPr>
              <w:t>-</w:t>
            </w:r>
          </w:p>
        </w:tc>
        <w:tc>
          <w:tcPr>
            <w:tcW w:w="617" w:type="pct"/>
            <w:vAlign w:val="bottom"/>
          </w:tcPr>
          <w:p w14:paraId="5BBFA24D" w14:textId="1FCA8DD5" w:rsidR="00B673FB" w:rsidRPr="00872D7E" w:rsidRDefault="00B673FB" w:rsidP="000C66B1">
            <w:pPr>
              <w:ind w:left="213" w:hanging="141"/>
              <w:jc w:val="right"/>
              <w:rPr>
                <w:b/>
                <w:sz w:val="18"/>
                <w:szCs w:val="18"/>
              </w:rPr>
            </w:pPr>
            <w:r w:rsidRPr="00872D7E">
              <w:rPr>
                <w:b/>
                <w:bCs/>
                <w:color w:val="000000"/>
                <w:sz w:val="18"/>
                <w:szCs w:val="18"/>
              </w:rPr>
              <w:t>-</w:t>
            </w:r>
          </w:p>
        </w:tc>
        <w:tc>
          <w:tcPr>
            <w:tcW w:w="649" w:type="pct"/>
            <w:vAlign w:val="bottom"/>
          </w:tcPr>
          <w:p w14:paraId="61C24DD8" w14:textId="38AFDA8E" w:rsidR="00B673FB" w:rsidRPr="00872D7E" w:rsidRDefault="00B673FB" w:rsidP="000C66B1">
            <w:pPr>
              <w:ind w:left="213" w:hanging="141"/>
              <w:jc w:val="right"/>
              <w:rPr>
                <w:b/>
                <w:sz w:val="18"/>
                <w:szCs w:val="18"/>
              </w:rPr>
            </w:pPr>
            <w:r w:rsidRPr="00872D7E">
              <w:rPr>
                <w:b/>
                <w:bCs/>
                <w:color w:val="000000"/>
                <w:sz w:val="18"/>
                <w:szCs w:val="18"/>
              </w:rPr>
              <w:t>22.274</w:t>
            </w:r>
          </w:p>
        </w:tc>
      </w:tr>
      <w:tr w:rsidR="00B673FB" w:rsidRPr="00872D7E" w14:paraId="2A3AA82A" w14:textId="77777777" w:rsidTr="000C66B1">
        <w:trPr>
          <w:trHeight w:val="113"/>
        </w:trPr>
        <w:tc>
          <w:tcPr>
            <w:tcW w:w="2501" w:type="pct"/>
            <w:vAlign w:val="bottom"/>
          </w:tcPr>
          <w:p w14:paraId="5C0629C9" w14:textId="77777777" w:rsidR="00B673FB" w:rsidRPr="00872D7E" w:rsidRDefault="00B673FB" w:rsidP="00B673FB">
            <w:pPr>
              <w:rPr>
                <w:sz w:val="18"/>
                <w:szCs w:val="18"/>
              </w:rPr>
            </w:pPr>
          </w:p>
        </w:tc>
        <w:tc>
          <w:tcPr>
            <w:tcW w:w="617" w:type="pct"/>
            <w:vAlign w:val="bottom"/>
          </w:tcPr>
          <w:p w14:paraId="737DFC20" w14:textId="77777777" w:rsidR="00B673FB" w:rsidRPr="00872D7E" w:rsidRDefault="00B673FB" w:rsidP="000C66B1">
            <w:pPr>
              <w:ind w:left="213" w:hanging="141"/>
              <w:jc w:val="right"/>
              <w:rPr>
                <w:sz w:val="18"/>
                <w:szCs w:val="18"/>
              </w:rPr>
            </w:pPr>
          </w:p>
        </w:tc>
        <w:tc>
          <w:tcPr>
            <w:tcW w:w="617" w:type="pct"/>
            <w:vAlign w:val="bottom"/>
          </w:tcPr>
          <w:p w14:paraId="433E5E59" w14:textId="77777777" w:rsidR="00B673FB" w:rsidRPr="00872D7E" w:rsidRDefault="00B673FB" w:rsidP="000C66B1">
            <w:pPr>
              <w:ind w:left="213" w:hanging="141"/>
              <w:jc w:val="right"/>
              <w:rPr>
                <w:sz w:val="18"/>
                <w:szCs w:val="18"/>
              </w:rPr>
            </w:pPr>
          </w:p>
        </w:tc>
        <w:tc>
          <w:tcPr>
            <w:tcW w:w="617" w:type="pct"/>
            <w:vAlign w:val="bottom"/>
          </w:tcPr>
          <w:p w14:paraId="4AB64696" w14:textId="77777777" w:rsidR="00B673FB" w:rsidRPr="00872D7E" w:rsidRDefault="00B673FB" w:rsidP="000C66B1">
            <w:pPr>
              <w:ind w:left="213" w:hanging="141"/>
              <w:jc w:val="right"/>
              <w:rPr>
                <w:sz w:val="18"/>
                <w:szCs w:val="18"/>
              </w:rPr>
            </w:pPr>
          </w:p>
        </w:tc>
        <w:tc>
          <w:tcPr>
            <w:tcW w:w="649" w:type="pct"/>
            <w:vAlign w:val="bottom"/>
          </w:tcPr>
          <w:p w14:paraId="4DBEC28E" w14:textId="77777777" w:rsidR="00B673FB" w:rsidRPr="00872D7E" w:rsidRDefault="00B673FB" w:rsidP="000C66B1">
            <w:pPr>
              <w:ind w:left="213" w:hanging="141"/>
              <w:jc w:val="right"/>
              <w:rPr>
                <w:sz w:val="18"/>
                <w:szCs w:val="18"/>
              </w:rPr>
            </w:pPr>
          </w:p>
        </w:tc>
      </w:tr>
      <w:tr w:rsidR="00B673FB" w:rsidRPr="00872D7E" w14:paraId="413D6026" w14:textId="77777777" w:rsidTr="000C66B1">
        <w:trPr>
          <w:trHeight w:val="113"/>
        </w:trPr>
        <w:tc>
          <w:tcPr>
            <w:tcW w:w="2501" w:type="pct"/>
            <w:vAlign w:val="bottom"/>
            <w:hideMark/>
          </w:tcPr>
          <w:p w14:paraId="27522049" w14:textId="77777777" w:rsidR="00B673FB" w:rsidRPr="00872D7E" w:rsidRDefault="00B673FB" w:rsidP="00B673FB">
            <w:pPr>
              <w:rPr>
                <w:sz w:val="18"/>
                <w:szCs w:val="18"/>
              </w:rPr>
            </w:pPr>
            <w:r w:rsidRPr="00872D7E">
              <w:rPr>
                <w:b/>
                <w:sz w:val="18"/>
                <w:szCs w:val="18"/>
              </w:rPr>
              <w:t>Finansal Yükümlülükler</w:t>
            </w:r>
          </w:p>
        </w:tc>
        <w:tc>
          <w:tcPr>
            <w:tcW w:w="617" w:type="pct"/>
            <w:vAlign w:val="bottom"/>
          </w:tcPr>
          <w:p w14:paraId="14AD5FDF" w14:textId="4A70B2FC" w:rsidR="00B673FB" w:rsidRPr="00872D7E" w:rsidRDefault="00B673FB" w:rsidP="000C66B1">
            <w:pPr>
              <w:ind w:left="213" w:hanging="141"/>
              <w:jc w:val="right"/>
              <w:rPr>
                <w:sz w:val="18"/>
                <w:szCs w:val="18"/>
              </w:rPr>
            </w:pPr>
          </w:p>
        </w:tc>
        <w:tc>
          <w:tcPr>
            <w:tcW w:w="617" w:type="pct"/>
            <w:vAlign w:val="bottom"/>
          </w:tcPr>
          <w:p w14:paraId="5A43AF33" w14:textId="762A28EB" w:rsidR="00B673FB" w:rsidRPr="00872D7E" w:rsidRDefault="00B673FB" w:rsidP="000C66B1">
            <w:pPr>
              <w:ind w:left="213" w:hanging="141"/>
              <w:jc w:val="right"/>
              <w:rPr>
                <w:sz w:val="18"/>
                <w:szCs w:val="18"/>
              </w:rPr>
            </w:pPr>
          </w:p>
        </w:tc>
        <w:tc>
          <w:tcPr>
            <w:tcW w:w="617" w:type="pct"/>
            <w:vAlign w:val="bottom"/>
          </w:tcPr>
          <w:p w14:paraId="71A5126A" w14:textId="361C4906" w:rsidR="00B673FB" w:rsidRPr="00872D7E" w:rsidRDefault="00B673FB" w:rsidP="000C66B1">
            <w:pPr>
              <w:ind w:left="213" w:hanging="141"/>
              <w:jc w:val="right"/>
              <w:rPr>
                <w:sz w:val="18"/>
                <w:szCs w:val="18"/>
              </w:rPr>
            </w:pPr>
          </w:p>
        </w:tc>
        <w:tc>
          <w:tcPr>
            <w:tcW w:w="649" w:type="pct"/>
            <w:vAlign w:val="bottom"/>
          </w:tcPr>
          <w:p w14:paraId="64C05302" w14:textId="247BA2AB" w:rsidR="00B673FB" w:rsidRPr="00872D7E" w:rsidRDefault="00B673FB" w:rsidP="000C66B1">
            <w:pPr>
              <w:ind w:left="213" w:hanging="141"/>
              <w:jc w:val="right"/>
              <w:rPr>
                <w:sz w:val="18"/>
                <w:szCs w:val="18"/>
              </w:rPr>
            </w:pPr>
          </w:p>
        </w:tc>
      </w:tr>
      <w:tr w:rsidR="00B673FB" w:rsidRPr="00872D7E" w14:paraId="6E477194" w14:textId="77777777" w:rsidTr="000C66B1">
        <w:trPr>
          <w:trHeight w:val="113"/>
        </w:trPr>
        <w:tc>
          <w:tcPr>
            <w:tcW w:w="2501" w:type="pct"/>
            <w:vAlign w:val="bottom"/>
          </w:tcPr>
          <w:p w14:paraId="6A9E6546" w14:textId="77777777" w:rsidR="00B673FB" w:rsidRPr="00872D7E" w:rsidRDefault="00B673FB" w:rsidP="00B673FB">
            <w:pPr>
              <w:rPr>
                <w:sz w:val="18"/>
                <w:szCs w:val="18"/>
              </w:rPr>
            </w:pPr>
          </w:p>
        </w:tc>
        <w:tc>
          <w:tcPr>
            <w:tcW w:w="617" w:type="pct"/>
            <w:vAlign w:val="bottom"/>
          </w:tcPr>
          <w:p w14:paraId="59A0159B" w14:textId="7113D4FE" w:rsidR="00B673FB" w:rsidRPr="00872D7E" w:rsidRDefault="00B673FB" w:rsidP="000C66B1">
            <w:pPr>
              <w:ind w:left="213" w:hanging="141"/>
              <w:jc w:val="right"/>
              <w:rPr>
                <w:sz w:val="18"/>
                <w:szCs w:val="18"/>
              </w:rPr>
            </w:pPr>
          </w:p>
        </w:tc>
        <w:tc>
          <w:tcPr>
            <w:tcW w:w="617" w:type="pct"/>
            <w:vAlign w:val="bottom"/>
          </w:tcPr>
          <w:p w14:paraId="6D69B9B7" w14:textId="6E66994B" w:rsidR="00B673FB" w:rsidRPr="00872D7E" w:rsidRDefault="00B673FB" w:rsidP="000C66B1">
            <w:pPr>
              <w:ind w:left="213" w:hanging="141"/>
              <w:jc w:val="right"/>
              <w:rPr>
                <w:sz w:val="18"/>
                <w:szCs w:val="18"/>
              </w:rPr>
            </w:pPr>
          </w:p>
        </w:tc>
        <w:tc>
          <w:tcPr>
            <w:tcW w:w="617" w:type="pct"/>
            <w:vAlign w:val="bottom"/>
          </w:tcPr>
          <w:p w14:paraId="0C069C97" w14:textId="7544E087" w:rsidR="00B673FB" w:rsidRPr="00872D7E" w:rsidRDefault="00B673FB" w:rsidP="000C66B1">
            <w:pPr>
              <w:ind w:left="213" w:hanging="141"/>
              <w:jc w:val="right"/>
              <w:rPr>
                <w:sz w:val="18"/>
                <w:szCs w:val="18"/>
              </w:rPr>
            </w:pPr>
          </w:p>
        </w:tc>
        <w:tc>
          <w:tcPr>
            <w:tcW w:w="649" w:type="pct"/>
            <w:vAlign w:val="bottom"/>
          </w:tcPr>
          <w:p w14:paraId="74B2111D" w14:textId="608F51E0" w:rsidR="00B673FB" w:rsidRPr="00872D7E" w:rsidRDefault="00B673FB" w:rsidP="000C66B1">
            <w:pPr>
              <w:ind w:left="213" w:hanging="141"/>
              <w:jc w:val="right"/>
              <w:rPr>
                <w:sz w:val="18"/>
                <w:szCs w:val="18"/>
              </w:rPr>
            </w:pPr>
          </w:p>
        </w:tc>
      </w:tr>
      <w:tr w:rsidR="00B673FB" w:rsidRPr="00872D7E" w14:paraId="67491B55" w14:textId="77777777" w:rsidTr="000C66B1">
        <w:trPr>
          <w:trHeight w:val="113"/>
        </w:trPr>
        <w:tc>
          <w:tcPr>
            <w:tcW w:w="2501" w:type="pct"/>
            <w:vAlign w:val="bottom"/>
            <w:hideMark/>
          </w:tcPr>
          <w:p w14:paraId="45DD3845" w14:textId="77777777" w:rsidR="00B673FB" w:rsidRPr="00872D7E" w:rsidRDefault="00B673FB" w:rsidP="00B673FB">
            <w:pPr>
              <w:rPr>
                <w:b/>
                <w:sz w:val="18"/>
                <w:szCs w:val="18"/>
              </w:rPr>
            </w:pPr>
            <w:r w:rsidRPr="00872D7E">
              <w:rPr>
                <w:b/>
                <w:sz w:val="18"/>
                <w:szCs w:val="18"/>
              </w:rPr>
              <w:t>Türev Finansal Yükümlülükler</w:t>
            </w:r>
          </w:p>
        </w:tc>
        <w:tc>
          <w:tcPr>
            <w:tcW w:w="617" w:type="pct"/>
            <w:vAlign w:val="bottom"/>
          </w:tcPr>
          <w:p w14:paraId="52C4927F" w14:textId="4D603993" w:rsidR="00B673FB" w:rsidRPr="00872D7E" w:rsidRDefault="00B673FB" w:rsidP="000C66B1">
            <w:pPr>
              <w:ind w:left="213" w:hanging="141"/>
              <w:jc w:val="right"/>
              <w:rPr>
                <w:b/>
                <w:sz w:val="18"/>
                <w:szCs w:val="18"/>
              </w:rPr>
            </w:pPr>
            <w:r w:rsidRPr="00872D7E">
              <w:rPr>
                <w:b/>
                <w:bCs/>
                <w:color w:val="000000"/>
                <w:sz w:val="18"/>
                <w:szCs w:val="18"/>
              </w:rPr>
              <w:t>26.146</w:t>
            </w:r>
          </w:p>
        </w:tc>
        <w:tc>
          <w:tcPr>
            <w:tcW w:w="617" w:type="pct"/>
            <w:vAlign w:val="bottom"/>
          </w:tcPr>
          <w:p w14:paraId="5A34ED66" w14:textId="7F8D9AE2" w:rsidR="00B673FB" w:rsidRPr="00872D7E" w:rsidRDefault="00B673FB" w:rsidP="000C66B1">
            <w:pPr>
              <w:ind w:left="213" w:hanging="141"/>
              <w:jc w:val="right"/>
              <w:rPr>
                <w:b/>
                <w:sz w:val="18"/>
                <w:szCs w:val="18"/>
              </w:rPr>
            </w:pPr>
            <w:r w:rsidRPr="00872D7E">
              <w:rPr>
                <w:b/>
                <w:bCs/>
                <w:color w:val="000000"/>
                <w:sz w:val="18"/>
                <w:szCs w:val="18"/>
              </w:rPr>
              <w:t>-</w:t>
            </w:r>
          </w:p>
        </w:tc>
        <w:tc>
          <w:tcPr>
            <w:tcW w:w="617" w:type="pct"/>
            <w:vAlign w:val="bottom"/>
          </w:tcPr>
          <w:p w14:paraId="3B844509" w14:textId="767BD22D" w:rsidR="00B673FB" w:rsidRPr="00872D7E" w:rsidRDefault="00B673FB" w:rsidP="000C66B1">
            <w:pPr>
              <w:ind w:left="213" w:hanging="141"/>
              <w:jc w:val="right"/>
              <w:rPr>
                <w:b/>
                <w:sz w:val="18"/>
                <w:szCs w:val="18"/>
              </w:rPr>
            </w:pPr>
            <w:r w:rsidRPr="00872D7E">
              <w:rPr>
                <w:b/>
                <w:bCs/>
                <w:color w:val="000000"/>
                <w:sz w:val="18"/>
                <w:szCs w:val="18"/>
              </w:rPr>
              <w:t>-</w:t>
            </w:r>
          </w:p>
        </w:tc>
        <w:tc>
          <w:tcPr>
            <w:tcW w:w="649" w:type="pct"/>
            <w:vAlign w:val="bottom"/>
          </w:tcPr>
          <w:p w14:paraId="5C594216" w14:textId="073AEEC7" w:rsidR="00B673FB" w:rsidRPr="00872D7E" w:rsidRDefault="00B673FB" w:rsidP="000C66B1">
            <w:pPr>
              <w:ind w:left="213" w:hanging="141"/>
              <w:jc w:val="right"/>
              <w:rPr>
                <w:b/>
                <w:sz w:val="18"/>
                <w:szCs w:val="18"/>
              </w:rPr>
            </w:pPr>
            <w:r w:rsidRPr="00872D7E">
              <w:rPr>
                <w:b/>
                <w:bCs/>
                <w:color w:val="000000"/>
                <w:sz w:val="18"/>
                <w:szCs w:val="18"/>
              </w:rPr>
              <w:t>26.146</w:t>
            </w:r>
          </w:p>
        </w:tc>
      </w:tr>
      <w:tr w:rsidR="005E2D92" w:rsidRPr="00872D7E" w14:paraId="0A35C4BF" w14:textId="77777777" w:rsidTr="00B673FB">
        <w:trPr>
          <w:trHeight w:val="113"/>
        </w:trPr>
        <w:tc>
          <w:tcPr>
            <w:tcW w:w="2501" w:type="pct"/>
            <w:tcBorders>
              <w:top w:val="nil"/>
              <w:left w:val="nil"/>
              <w:bottom w:val="single" w:sz="4" w:space="0" w:color="auto"/>
              <w:right w:val="nil"/>
            </w:tcBorders>
            <w:vAlign w:val="bottom"/>
          </w:tcPr>
          <w:p w14:paraId="7AAA87CF" w14:textId="77777777" w:rsidR="005E2D92" w:rsidRPr="00872D7E" w:rsidRDefault="005E2D92" w:rsidP="00A308EB">
            <w:pPr>
              <w:rPr>
                <w:sz w:val="18"/>
                <w:szCs w:val="18"/>
              </w:rPr>
            </w:pPr>
          </w:p>
        </w:tc>
        <w:tc>
          <w:tcPr>
            <w:tcW w:w="617" w:type="pct"/>
            <w:tcBorders>
              <w:top w:val="nil"/>
              <w:left w:val="nil"/>
              <w:bottom w:val="single" w:sz="4" w:space="0" w:color="auto"/>
              <w:right w:val="nil"/>
            </w:tcBorders>
            <w:vAlign w:val="bottom"/>
          </w:tcPr>
          <w:p w14:paraId="7B28FAAB" w14:textId="77777777" w:rsidR="005E2D92" w:rsidRPr="00872D7E" w:rsidRDefault="005E2D92" w:rsidP="00A308EB">
            <w:pPr>
              <w:ind w:left="213" w:hanging="141"/>
              <w:jc w:val="right"/>
              <w:rPr>
                <w:sz w:val="18"/>
                <w:szCs w:val="18"/>
              </w:rPr>
            </w:pPr>
          </w:p>
        </w:tc>
        <w:tc>
          <w:tcPr>
            <w:tcW w:w="617" w:type="pct"/>
            <w:tcBorders>
              <w:top w:val="nil"/>
              <w:left w:val="nil"/>
              <w:bottom w:val="single" w:sz="4" w:space="0" w:color="auto"/>
              <w:right w:val="nil"/>
            </w:tcBorders>
            <w:vAlign w:val="bottom"/>
          </w:tcPr>
          <w:p w14:paraId="6E2576AB" w14:textId="77777777" w:rsidR="005E2D92" w:rsidRPr="00872D7E" w:rsidRDefault="005E2D92" w:rsidP="00A308EB">
            <w:pPr>
              <w:ind w:left="213" w:hanging="141"/>
              <w:jc w:val="right"/>
              <w:rPr>
                <w:sz w:val="18"/>
                <w:szCs w:val="18"/>
              </w:rPr>
            </w:pPr>
          </w:p>
        </w:tc>
        <w:tc>
          <w:tcPr>
            <w:tcW w:w="617" w:type="pct"/>
            <w:tcBorders>
              <w:top w:val="nil"/>
              <w:left w:val="nil"/>
              <w:bottom w:val="single" w:sz="4" w:space="0" w:color="auto"/>
              <w:right w:val="nil"/>
            </w:tcBorders>
            <w:vAlign w:val="bottom"/>
          </w:tcPr>
          <w:p w14:paraId="2E466466" w14:textId="77777777" w:rsidR="005E2D92" w:rsidRPr="00872D7E" w:rsidRDefault="005E2D92" w:rsidP="00A308EB">
            <w:pPr>
              <w:ind w:left="213" w:hanging="141"/>
              <w:jc w:val="right"/>
              <w:rPr>
                <w:sz w:val="18"/>
                <w:szCs w:val="18"/>
              </w:rPr>
            </w:pPr>
          </w:p>
        </w:tc>
        <w:tc>
          <w:tcPr>
            <w:tcW w:w="649" w:type="pct"/>
            <w:tcBorders>
              <w:top w:val="nil"/>
              <w:left w:val="nil"/>
              <w:bottom w:val="single" w:sz="4" w:space="0" w:color="auto"/>
              <w:right w:val="nil"/>
            </w:tcBorders>
            <w:vAlign w:val="bottom"/>
          </w:tcPr>
          <w:p w14:paraId="5D8674A5" w14:textId="77777777" w:rsidR="005E2D92" w:rsidRPr="00872D7E" w:rsidRDefault="005E2D92" w:rsidP="00A308EB">
            <w:pPr>
              <w:ind w:left="213" w:hanging="141"/>
              <w:jc w:val="right"/>
              <w:rPr>
                <w:sz w:val="18"/>
                <w:szCs w:val="18"/>
              </w:rPr>
            </w:pPr>
          </w:p>
        </w:tc>
      </w:tr>
    </w:tbl>
    <w:p w14:paraId="4BC98EF4" w14:textId="77777777" w:rsidR="005E2D92" w:rsidRPr="00872D7E" w:rsidRDefault="005E2D92" w:rsidP="00A308EB">
      <w:pPr>
        <w:spacing w:before="60" w:after="60"/>
        <w:ind w:left="252" w:hanging="252"/>
        <w:jc w:val="both"/>
        <w:rPr>
          <w:sz w:val="16"/>
          <w:szCs w:val="16"/>
        </w:rPr>
      </w:pPr>
      <w:r w:rsidRPr="00872D7E">
        <w:rPr>
          <w:sz w:val="16"/>
          <w:szCs w:val="16"/>
          <w:vertAlign w:val="superscript"/>
        </w:rPr>
        <w:t xml:space="preserve">(*) </w:t>
      </w:r>
      <w:r w:rsidRPr="00872D7E">
        <w:rPr>
          <w:sz w:val="16"/>
          <w:szCs w:val="16"/>
        </w:rPr>
        <w:t xml:space="preserve">Cari dönem içerisinde birinci ve ikinci seviye arasında yapılmış bir sınıflama bulunmamaktadır. </w:t>
      </w:r>
    </w:p>
    <w:p w14:paraId="15384597" w14:textId="77777777" w:rsidR="005E2D92" w:rsidRPr="00872D7E" w:rsidRDefault="005E2D92" w:rsidP="00A308EB"/>
    <w:tbl>
      <w:tblPr>
        <w:tblW w:w="5000" w:type="pct"/>
        <w:tblCellMar>
          <w:left w:w="70" w:type="dxa"/>
          <w:right w:w="70" w:type="dxa"/>
        </w:tblCellMar>
        <w:tblLook w:val="04A0" w:firstRow="1" w:lastRow="0" w:firstColumn="1" w:lastColumn="0" w:noHBand="0" w:noVBand="1"/>
      </w:tblPr>
      <w:tblGrid>
        <w:gridCol w:w="4963"/>
        <w:gridCol w:w="1189"/>
        <w:gridCol w:w="1189"/>
        <w:gridCol w:w="1147"/>
        <w:gridCol w:w="1151"/>
      </w:tblGrid>
      <w:tr w:rsidR="005E2D92" w:rsidRPr="00872D7E" w14:paraId="0E98FF95" w14:textId="77777777" w:rsidTr="00B673FB">
        <w:trPr>
          <w:trHeight w:val="113"/>
        </w:trPr>
        <w:tc>
          <w:tcPr>
            <w:tcW w:w="2574" w:type="pct"/>
            <w:tcBorders>
              <w:top w:val="single" w:sz="4" w:space="0" w:color="auto"/>
              <w:left w:val="nil"/>
              <w:bottom w:val="single" w:sz="4" w:space="0" w:color="auto"/>
              <w:right w:val="nil"/>
            </w:tcBorders>
            <w:vAlign w:val="bottom"/>
            <w:hideMark/>
          </w:tcPr>
          <w:p w14:paraId="2AD25BD1" w14:textId="3543EEB6" w:rsidR="005E2D92" w:rsidRPr="00872D7E" w:rsidRDefault="00B673FB" w:rsidP="00A308EB">
            <w:pPr>
              <w:jc w:val="both"/>
              <w:rPr>
                <w:b/>
                <w:bCs/>
                <w:sz w:val="18"/>
                <w:szCs w:val="18"/>
              </w:rPr>
            </w:pPr>
            <w:r w:rsidRPr="00872D7E">
              <w:rPr>
                <w:b/>
                <w:snapToGrid w:val="0"/>
                <w:sz w:val="18"/>
                <w:szCs w:val="18"/>
              </w:rPr>
              <w:t>1 Ocak 2024</w:t>
            </w:r>
            <w:r w:rsidR="005E2D92" w:rsidRPr="00872D7E">
              <w:rPr>
                <w:b/>
                <w:bCs/>
                <w:sz w:val="18"/>
                <w:szCs w:val="18"/>
              </w:rPr>
              <w:t xml:space="preserve"> </w:t>
            </w:r>
            <w:r w:rsidR="005E2D92" w:rsidRPr="00872D7E">
              <w:rPr>
                <w:b/>
                <w:bCs/>
                <w:sz w:val="18"/>
                <w:szCs w:val="18"/>
                <w:vertAlign w:val="superscript"/>
              </w:rPr>
              <w:t>(*)</w:t>
            </w:r>
          </w:p>
        </w:tc>
        <w:tc>
          <w:tcPr>
            <w:tcW w:w="617" w:type="pct"/>
            <w:tcBorders>
              <w:top w:val="single" w:sz="4" w:space="0" w:color="auto"/>
              <w:left w:val="nil"/>
              <w:bottom w:val="single" w:sz="4" w:space="0" w:color="auto"/>
              <w:right w:val="nil"/>
            </w:tcBorders>
            <w:vAlign w:val="bottom"/>
            <w:hideMark/>
          </w:tcPr>
          <w:p w14:paraId="63192FF9" w14:textId="787332ED" w:rsidR="005E2D92" w:rsidRPr="00872D7E" w:rsidRDefault="005E2D92" w:rsidP="00A308EB">
            <w:pPr>
              <w:ind w:left="213"/>
              <w:jc w:val="center"/>
              <w:rPr>
                <w:b/>
                <w:sz w:val="18"/>
                <w:szCs w:val="18"/>
              </w:rPr>
            </w:pPr>
            <w:r w:rsidRPr="00872D7E">
              <w:rPr>
                <w:b/>
                <w:sz w:val="18"/>
                <w:szCs w:val="18"/>
              </w:rPr>
              <w:t>1.</w:t>
            </w:r>
            <w:r w:rsidR="000C66B1" w:rsidRPr="00872D7E">
              <w:rPr>
                <w:b/>
                <w:sz w:val="18"/>
                <w:szCs w:val="18"/>
              </w:rPr>
              <w:t xml:space="preserve"> </w:t>
            </w:r>
            <w:r w:rsidRPr="00872D7E">
              <w:rPr>
                <w:b/>
                <w:sz w:val="18"/>
                <w:szCs w:val="18"/>
              </w:rPr>
              <w:t>seviye</w:t>
            </w:r>
          </w:p>
        </w:tc>
        <w:tc>
          <w:tcPr>
            <w:tcW w:w="617" w:type="pct"/>
            <w:tcBorders>
              <w:top w:val="single" w:sz="4" w:space="0" w:color="auto"/>
              <w:left w:val="nil"/>
              <w:bottom w:val="single" w:sz="4" w:space="0" w:color="auto"/>
              <w:right w:val="nil"/>
            </w:tcBorders>
            <w:vAlign w:val="bottom"/>
            <w:hideMark/>
          </w:tcPr>
          <w:p w14:paraId="5852557F" w14:textId="7675A60E" w:rsidR="005E2D92" w:rsidRPr="00872D7E" w:rsidRDefault="005E2D92" w:rsidP="00A308EB">
            <w:pPr>
              <w:ind w:left="213"/>
              <w:jc w:val="center"/>
              <w:rPr>
                <w:b/>
                <w:sz w:val="18"/>
                <w:szCs w:val="18"/>
              </w:rPr>
            </w:pPr>
            <w:r w:rsidRPr="00872D7E">
              <w:rPr>
                <w:b/>
                <w:sz w:val="18"/>
                <w:szCs w:val="18"/>
              </w:rPr>
              <w:t>2.</w:t>
            </w:r>
            <w:r w:rsidR="000C66B1" w:rsidRPr="00872D7E">
              <w:rPr>
                <w:b/>
                <w:sz w:val="18"/>
                <w:szCs w:val="18"/>
              </w:rPr>
              <w:t xml:space="preserve"> </w:t>
            </w:r>
            <w:r w:rsidRPr="00872D7E">
              <w:rPr>
                <w:b/>
                <w:sz w:val="18"/>
                <w:szCs w:val="18"/>
              </w:rPr>
              <w:t>seviye</w:t>
            </w:r>
          </w:p>
        </w:tc>
        <w:tc>
          <w:tcPr>
            <w:tcW w:w="595" w:type="pct"/>
            <w:tcBorders>
              <w:top w:val="single" w:sz="4" w:space="0" w:color="auto"/>
              <w:left w:val="nil"/>
              <w:bottom w:val="single" w:sz="4" w:space="0" w:color="auto"/>
              <w:right w:val="nil"/>
            </w:tcBorders>
            <w:vAlign w:val="bottom"/>
            <w:hideMark/>
          </w:tcPr>
          <w:p w14:paraId="69A6D482" w14:textId="1A705FF3" w:rsidR="005E2D92" w:rsidRPr="00872D7E" w:rsidRDefault="005E2D92" w:rsidP="00A308EB">
            <w:pPr>
              <w:ind w:left="213"/>
              <w:jc w:val="center"/>
              <w:rPr>
                <w:b/>
                <w:sz w:val="18"/>
                <w:szCs w:val="18"/>
              </w:rPr>
            </w:pPr>
            <w:r w:rsidRPr="00872D7E">
              <w:rPr>
                <w:b/>
                <w:sz w:val="18"/>
                <w:szCs w:val="18"/>
              </w:rPr>
              <w:t>3.</w:t>
            </w:r>
            <w:r w:rsidR="000C66B1" w:rsidRPr="00872D7E">
              <w:rPr>
                <w:b/>
                <w:sz w:val="18"/>
                <w:szCs w:val="18"/>
              </w:rPr>
              <w:t xml:space="preserve"> </w:t>
            </w:r>
            <w:r w:rsidRPr="00872D7E">
              <w:rPr>
                <w:b/>
                <w:sz w:val="18"/>
                <w:szCs w:val="18"/>
              </w:rPr>
              <w:t>seviye</w:t>
            </w:r>
          </w:p>
        </w:tc>
        <w:tc>
          <w:tcPr>
            <w:tcW w:w="597" w:type="pct"/>
            <w:tcBorders>
              <w:top w:val="single" w:sz="4" w:space="0" w:color="auto"/>
              <w:left w:val="nil"/>
              <w:bottom w:val="single" w:sz="4" w:space="0" w:color="auto"/>
              <w:right w:val="nil"/>
            </w:tcBorders>
            <w:vAlign w:val="bottom"/>
            <w:hideMark/>
          </w:tcPr>
          <w:p w14:paraId="4033643B" w14:textId="77777777" w:rsidR="005E2D92" w:rsidRPr="00872D7E" w:rsidRDefault="005E2D92" w:rsidP="00A308EB">
            <w:pPr>
              <w:ind w:left="213"/>
              <w:jc w:val="right"/>
              <w:rPr>
                <w:b/>
                <w:sz w:val="18"/>
                <w:szCs w:val="18"/>
              </w:rPr>
            </w:pPr>
            <w:r w:rsidRPr="00872D7E">
              <w:rPr>
                <w:b/>
                <w:sz w:val="18"/>
                <w:szCs w:val="18"/>
              </w:rPr>
              <w:t>Toplam</w:t>
            </w:r>
          </w:p>
        </w:tc>
      </w:tr>
      <w:tr w:rsidR="005E2D92" w:rsidRPr="00872D7E" w14:paraId="68426058" w14:textId="77777777" w:rsidTr="00B673FB">
        <w:trPr>
          <w:trHeight w:val="113"/>
        </w:trPr>
        <w:tc>
          <w:tcPr>
            <w:tcW w:w="2574" w:type="pct"/>
            <w:tcBorders>
              <w:top w:val="single" w:sz="4" w:space="0" w:color="auto"/>
              <w:left w:val="nil"/>
              <w:bottom w:val="nil"/>
              <w:right w:val="nil"/>
            </w:tcBorders>
            <w:vAlign w:val="bottom"/>
          </w:tcPr>
          <w:p w14:paraId="1E91A9EF" w14:textId="77777777" w:rsidR="005E2D92" w:rsidRPr="00872D7E" w:rsidRDefault="005E2D92" w:rsidP="00A308EB">
            <w:pPr>
              <w:rPr>
                <w:sz w:val="18"/>
                <w:szCs w:val="18"/>
              </w:rPr>
            </w:pPr>
          </w:p>
        </w:tc>
        <w:tc>
          <w:tcPr>
            <w:tcW w:w="617" w:type="pct"/>
            <w:tcBorders>
              <w:top w:val="single" w:sz="4" w:space="0" w:color="auto"/>
              <w:left w:val="nil"/>
              <w:bottom w:val="nil"/>
              <w:right w:val="nil"/>
            </w:tcBorders>
            <w:vAlign w:val="bottom"/>
          </w:tcPr>
          <w:p w14:paraId="5530EF25" w14:textId="77777777" w:rsidR="005E2D92" w:rsidRPr="00872D7E" w:rsidRDefault="005E2D92" w:rsidP="00A308EB">
            <w:pPr>
              <w:ind w:left="213" w:hanging="141"/>
              <w:jc w:val="right"/>
              <w:rPr>
                <w:sz w:val="18"/>
                <w:szCs w:val="18"/>
              </w:rPr>
            </w:pPr>
          </w:p>
        </w:tc>
        <w:tc>
          <w:tcPr>
            <w:tcW w:w="617" w:type="pct"/>
            <w:tcBorders>
              <w:top w:val="single" w:sz="4" w:space="0" w:color="auto"/>
              <w:left w:val="nil"/>
              <w:bottom w:val="nil"/>
              <w:right w:val="nil"/>
            </w:tcBorders>
            <w:vAlign w:val="bottom"/>
          </w:tcPr>
          <w:p w14:paraId="5153368E" w14:textId="77777777" w:rsidR="005E2D92" w:rsidRPr="00872D7E" w:rsidRDefault="005E2D92" w:rsidP="00A308EB">
            <w:pPr>
              <w:ind w:left="213" w:hanging="141"/>
              <w:jc w:val="right"/>
              <w:rPr>
                <w:sz w:val="18"/>
                <w:szCs w:val="18"/>
              </w:rPr>
            </w:pPr>
          </w:p>
        </w:tc>
        <w:tc>
          <w:tcPr>
            <w:tcW w:w="595" w:type="pct"/>
            <w:tcBorders>
              <w:top w:val="single" w:sz="4" w:space="0" w:color="auto"/>
              <w:left w:val="nil"/>
              <w:bottom w:val="nil"/>
              <w:right w:val="nil"/>
            </w:tcBorders>
            <w:vAlign w:val="bottom"/>
          </w:tcPr>
          <w:p w14:paraId="0060D6CF" w14:textId="77777777" w:rsidR="005E2D92" w:rsidRPr="00872D7E" w:rsidRDefault="005E2D92" w:rsidP="00A308EB">
            <w:pPr>
              <w:ind w:left="213" w:hanging="141"/>
              <w:jc w:val="right"/>
              <w:rPr>
                <w:sz w:val="18"/>
                <w:szCs w:val="18"/>
              </w:rPr>
            </w:pPr>
          </w:p>
        </w:tc>
        <w:tc>
          <w:tcPr>
            <w:tcW w:w="597" w:type="pct"/>
            <w:tcBorders>
              <w:top w:val="single" w:sz="4" w:space="0" w:color="auto"/>
              <w:left w:val="nil"/>
              <w:bottom w:val="nil"/>
              <w:right w:val="nil"/>
            </w:tcBorders>
            <w:vAlign w:val="bottom"/>
          </w:tcPr>
          <w:p w14:paraId="1E1D61EC" w14:textId="77777777" w:rsidR="005E2D92" w:rsidRPr="00872D7E" w:rsidRDefault="005E2D92" w:rsidP="00A308EB">
            <w:pPr>
              <w:ind w:left="213" w:hanging="141"/>
              <w:jc w:val="right"/>
              <w:rPr>
                <w:sz w:val="18"/>
                <w:szCs w:val="18"/>
              </w:rPr>
            </w:pPr>
          </w:p>
        </w:tc>
      </w:tr>
      <w:tr w:rsidR="005E2D92" w:rsidRPr="00872D7E" w14:paraId="0A393ECF" w14:textId="77777777" w:rsidTr="00B673FB">
        <w:trPr>
          <w:trHeight w:val="113"/>
        </w:trPr>
        <w:tc>
          <w:tcPr>
            <w:tcW w:w="2574" w:type="pct"/>
            <w:vAlign w:val="bottom"/>
            <w:hideMark/>
          </w:tcPr>
          <w:p w14:paraId="5576EE61" w14:textId="77777777" w:rsidR="005E2D92" w:rsidRPr="00872D7E" w:rsidRDefault="005E2D92" w:rsidP="00A308EB">
            <w:pPr>
              <w:rPr>
                <w:b/>
                <w:sz w:val="18"/>
                <w:szCs w:val="18"/>
              </w:rPr>
            </w:pPr>
            <w:r w:rsidRPr="00872D7E">
              <w:rPr>
                <w:b/>
                <w:sz w:val="18"/>
                <w:szCs w:val="18"/>
              </w:rPr>
              <w:t>Finansal varlıklar</w:t>
            </w:r>
          </w:p>
        </w:tc>
        <w:tc>
          <w:tcPr>
            <w:tcW w:w="617" w:type="pct"/>
            <w:vAlign w:val="bottom"/>
          </w:tcPr>
          <w:p w14:paraId="4EA3D3FB" w14:textId="77777777" w:rsidR="005E2D92" w:rsidRPr="00872D7E" w:rsidRDefault="005E2D92" w:rsidP="00A308EB">
            <w:pPr>
              <w:ind w:left="213" w:hanging="141"/>
              <w:jc w:val="right"/>
              <w:rPr>
                <w:b/>
                <w:sz w:val="18"/>
                <w:szCs w:val="18"/>
              </w:rPr>
            </w:pPr>
          </w:p>
        </w:tc>
        <w:tc>
          <w:tcPr>
            <w:tcW w:w="617" w:type="pct"/>
            <w:vAlign w:val="bottom"/>
          </w:tcPr>
          <w:p w14:paraId="7E082EBA" w14:textId="77777777" w:rsidR="005E2D92" w:rsidRPr="00872D7E" w:rsidRDefault="005E2D92" w:rsidP="00A308EB">
            <w:pPr>
              <w:ind w:left="213" w:hanging="141"/>
              <w:jc w:val="right"/>
              <w:rPr>
                <w:b/>
                <w:sz w:val="18"/>
                <w:szCs w:val="18"/>
              </w:rPr>
            </w:pPr>
          </w:p>
        </w:tc>
        <w:tc>
          <w:tcPr>
            <w:tcW w:w="595" w:type="pct"/>
            <w:vAlign w:val="bottom"/>
          </w:tcPr>
          <w:p w14:paraId="1AF5A104" w14:textId="77777777" w:rsidR="005E2D92" w:rsidRPr="00872D7E" w:rsidRDefault="005E2D92" w:rsidP="00A308EB">
            <w:pPr>
              <w:ind w:left="213" w:hanging="141"/>
              <w:jc w:val="right"/>
              <w:rPr>
                <w:b/>
                <w:sz w:val="18"/>
                <w:szCs w:val="18"/>
              </w:rPr>
            </w:pPr>
          </w:p>
        </w:tc>
        <w:tc>
          <w:tcPr>
            <w:tcW w:w="597" w:type="pct"/>
            <w:vAlign w:val="bottom"/>
          </w:tcPr>
          <w:p w14:paraId="5C2ECB47" w14:textId="77777777" w:rsidR="005E2D92" w:rsidRPr="00872D7E" w:rsidRDefault="005E2D92" w:rsidP="00A308EB">
            <w:pPr>
              <w:ind w:left="213" w:hanging="141"/>
              <w:jc w:val="right"/>
              <w:rPr>
                <w:b/>
                <w:sz w:val="18"/>
                <w:szCs w:val="18"/>
              </w:rPr>
            </w:pPr>
          </w:p>
        </w:tc>
      </w:tr>
      <w:tr w:rsidR="005E2D92" w:rsidRPr="00872D7E" w14:paraId="3631588C" w14:textId="77777777" w:rsidTr="00B673FB">
        <w:trPr>
          <w:trHeight w:val="80"/>
        </w:trPr>
        <w:tc>
          <w:tcPr>
            <w:tcW w:w="2574" w:type="pct"/>
            <w:vAlign w:val="bottom"/>
          </w:tcPr>
          <w:p w14:paraId="512B40C6" w14:textId="77777777" w:rsidR="005E2D92" w:rsidRPr="00872D7E" w:rsidRDefault="005E2D92" w:rsidP="00A308EB">
            <w:pPr>
              <w:rPr>
                <w:sz w:val="18"/>
                <w:szCs w:val="18"/>
              </w:rPr>
            </w:pPr>
          </w:p>
        </w:tc>
        <w:tc>
          <w:tcPr>
            <w:tcW w:w="617" w:type="pct"/>
            <w:vAlign w:val="bottom"/>
          </w:tcPr>
          <w:p w14:paraId="0360C0E7" w14:textId="77777777" w:rsidR="005E2D92" w:rsidRPr="00872D7E" w:rsidRDefault="005E2D92" w:rsidP="00A308EB">
            <w:pPr>
              <w:ind w:left="213" w:hanging="141"/>
              <w:jc w:val="right"/>
              <w:rPr>
                <w:sz w:val="18"/>
                <w:szCs w:val="18"/>
              </w:rPr>
            </w:pPr>
          </w:p>
        </w:tc>
        <w:tc>
          <w:tcPr>
            <w:tcW w:w="617" w:type="pct"/>
            <w:vAlign w:val="bottom"/>
          </w:tcPr>
          <w:p w14:paraId="31D510A5" w14:textId="77777777" w:rsidR="005E2D92" w:rsidRPr="00872D7E" w:rsidRDefault="005E2D92" w:rsidP="00A308EB">
            <w:pPr>
              <w:ind w:left="213" w:hanging="141"/>
              <w:jc w:val="right"/>
              <w:rPr>
                <w:sz w:val="18"/>
                <w:szCs w:val="18"/>
              </w:rPr>
            </w:pPr>
          </w:p>
        </w:tc>
        <w:tc>
          <w:tcPr>
            <w:tcW w:w="595" w:type="pct"/>
            <w:vAlign w:val="bottom"/>
          </w:tcPr>
          <w:p w14:paraId="55EC62A8" w14:textId="77777777" w:rsidR="005E2D92" w:rsidRPr="00872D7E" w:rsidRDefault="005E2D92" w:rsidP="00A308EB">
            <w:pPr>
              <w:ind w:left="213" w:hanging="141"/>
              <w:jc w:val="right"/>
              <w:rPr>
                <w:sz w:val="18"/>
                <w:szCs w:val="18"/>
              </w:rPr>
            </w:pPr>
          </w:p>
        </w:tc>
        <w:tc>
          <w:tcPr>
            <w:tcW w:w="597" w:type="pct"/>
            <w:vAlign w:val="bottom"/>
          </w:tcPr>
          <w:p w14:paraId="6891A344" w14:textId="77777777" w:rsidR="005E2D92" w:rsidRPr="00872D7E" w:rsidRDefault="005E2D92" w:rsidP="00A308EB">
            <w:pPr>
              <w:ind w:left="213" w:hanging="141"/>
              <w:jc w:val="right"/>
              <w:rPr>
                <w:sz w:val="18"/>
                <w:szCs w:val="18"/>
              </w:rPr>
            </w:pPr>
          </w:p>
        </w:tc>
      </w:tr>
      <w:tr w:rsidR="00B673FB" w:rsidRPr="00872D7E" w14:paraId="66FCCE3C" w14:textId="77777777" w:rsidTr="000C66B1">
        <w:trPr>
          <w:trHeight w:val="113"/>
        </w:trPr>
        <w:tc>
          <w:tcPr>
            <w:tcW w:w="2574" w:type="pct"/>
            <w:vAlign w:val="bottom"/>
            <w:hideMark/>
          </w:tcPr>
          <w:p w14:paraId="1E1EBB78" w14:textId="77777777" w:rsidR="00B673FB" w:rsidRPr="00872D7E" w:rsidRDefault="00B673FB" w:rsidP="00B673FB">
            <w:pPr>
              <w:rPr>
                <w:b/>
                <w:sz w:val="18"/>
                <w:szCs w:val="18"/>
              </w:rPr>
            </w:pPr>
            <w:r w:rsidRPr="00872D7E">
              <w:rPr>
                <w:b/>
                <w:sz w:val="18"/>
                <w:szCs w:val="18"/>
              </w:rPr>
              <w:t>Gerçeğe Uygun Değer Farkı Kâr Zarara Yansıtılan Finansal Varlıklar</w:t>
            </w:r>
          </w:p>
        </w:tc>
        <w:tc>
          <w:tcPr>
            <w:tcW w:w="617" w:type="pct"/>
            <w:vAlign w:val="bottom"/>
          </w:tcPr>
          <w:p w14:paraId="1C0A9E72" w14:textId="299C216D" w:rsidR="00B673FB" w:rsidRPr="00872D7E" w:rsidRDefault="00B673FB" w:rsidP="000C66B1">
            <w:pPr>
              <w:ind w:left="213" w:hanging="141"/>
              <w:jc w:val="right"/>
              <w:rPr>
                <w:b/>
                <w:sz w:val="18"/>
                <w:szCs w:val="18"/>
              </w:rPr>
            </w:pPr>
            <w:r w:rsidRPr="00872D7E">
              <w:rPr>
                <w:color w:val="000000"/>
                <w:sz w:val="18"/>
                <w:szCs w:val="18"/>
              </w:rPr>
              <w:t>111.358</w:t>
            </w:r>
          </w:p>
        </w:tc>
        <w:tc>
          <w:tcPr>
            <w:tcW w:w="617" w:type="pct"/>
            <w:vAlign w:val="bottom"/>
          </w:tcPr>
          <w:p w14:paraId="5E6D4990" w14:textId="65BB294A" w:rsidR="00B673FB" w:rsidRPr="00872D7E" w:rsidRDefault="00B673FB" w:rsidP="000C66B1">
            <w:pPr>
              <w:ind w:left="213" w:hanging="141"/>
              <w:jc w:val="right"/>
              <w:rPr>
                <w:b/>
                <w:sz w:val="18"/>
                <w:szCs w:val="18"/>
              </w:rPr>
            </w:pPr>
            <w:r w:rsidRPr="00872D7E">
              <w:rPr>
                <w:color w:val="000000"/>
                <w:sz w:val="18"/>
                <w:szCs w:val="18"/>
              </w:rPr>
              <w:t>-</w:t>
            </w:r>
          </w:p>
        </w:tc>
        <w:tc>
          <w:tcPr>
            <w:tcW w:w="595" w:type="pct"/>
            <w:vAlign w:val="bottom"/>
          </w:tcPr>
          <w:p w14:paraId="21AC0476" w14:textId="582BDBCA" w:rsidR="00B673FB" w:rsidRPr="00872D7E" w:rsidRDefault="00B673FB" w:rsidP="000C66B1">
            <w:pPr>
              <w:ind w:left="213" w:hanging="141"/>
              <w:jc w:val="right"/>
              <w:rPr>
                <w:b/>
                <w:sz w:val="18"/>
                <w:szCs w:val="18"/>
              </w:rPr>
            </w:pPr>
            <w:r w:rsidRPr="00872D7E">
              <w:rPr>
                <w:color w:val="000000"/>
                <w:sz w:val="18"/>
                <w:szCs w:val="18"/>
              </w:rPr>
              <w:t>-</w:t>
            </w:r>
          </w:p>
        </w:tc>
        <w:tc>
          <w:tcPr>
            <w:tcW w:w="597" w:type="pct"/>
            <w:vAlign w:val="bottom"/>
          </w:tcPr>
          <w:p w14:paraId="5F33F2F7" w14:textId="259BC168" w:rsidR="00B673FB" w:rsidRPr="00872D7E" w:rsidRDefault="00B673FB" w:rsidP="000C66B1">
            <w:pPr>
              <w:ind w:left="213" w:hanging="141"/>
              <w:jc w:val="right"/>
              <w:rPr>
                <w:b/>
                <w:sz w:val="18"/>
                <w:szCs w:val="18"/>
              </w:rPr>
            </w:pPr>
            <w:r w:rsidRPr="00872D7E">
              <w:rPr>
                <w:color w:val="000000"/>
                <w:sz w:val="18"/>
                <w:szCs w:val="18"/>
              </w:rPr>
              <w:t>111.358</w:t>
            </w:r>
          </w:p>
        </w:tc>
      </w:tr>
      <w:tr w:rsidR="00B673FB" w:rsidRPr="00872D7E" w14:paraId="6DB9F33F" w14:textId="77777777" w:rsidTr="000C66B1">
        <w:trPr>
          <w:trHeight w:val="113"/>
        </w:trPr>
        <w:tc>
          <w:tcPr>
            <w:tcW w:w="2574" w:type="pct"/>
            <w:vAlign w:val="bottom"/>
            <w:hideMark/>
          </w:tcPr>
          <w:p w14:paraId="0B80D234" w14:textId="77777777" w:rsidR="00B673FB" w:rsidRPr="00872D7E" w:rsidRDefault="00B673FB" w:rsidP="00B673FB">
            <w:pPr>
              <w:ind w:firstLineChars="200" w:firstLine="360"/>
              <w:rPr>
                <w:sz w:val="18"/>
                <w:szCs w:val="18"/>
              </w:rPr>
            </w:pPr>
            <w:r w:rsidRPr="00872D7E">
              <w:rPr>
                <w:sz w:val="18"/>
                <w:szCs w:val="18"/>
              </w:rPr>
              <w:t>Devlet borçlanma senetleri</w:t>
            </w:r>
          </w:p>
        </w:tc>
        <w:tc>
          <w:tcPr>
            <w:tcW w:w="617" w:type="pct"/>
            <w:vAlign w:val="bottom"/>
          </w:tcPr>
          <w:p w14:paraId="680CD8C6" w14:textId="63577145"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4FE5137F" w14:textId="2CA150A4" w:rsidR="00B673FB" w:rsidRPr="00872D7E" w:rsidRDefault="00B673FB" w:rsidP="000C66B1">
            <w:pPr>
              <w:ind w:left="213" w:hanging="141"/>
              <w:jc w:val="right"/>
              <w:rPr>
                <w:sz w:val="18"/>
                <w:szCs w:val="18"/>
              </w:rPr>
            </w:pPr>
            <w:r w:rsidRPr="00872D7E">
              <w:rPr>
                <w:color w:val="000000"/>
                <w:sz w:val="18"/>
                <w:szCs w:val="18"/>
              </w:rPr>
              <w:t>-</w:t>
            </w:r>
          </w:p>
        </w:tc>
        <w:tc>
          <w:tcPr>
            <w:tcW w:w="595" w:type="pct"/>
            <w:vAlign w:val="bottom"/>
          </w:tcPr>
          <w:p w14:paraId="2229DABC" w14:textId="439F5E9F" w:rsidR="00B673FB" w:rsidRPr="00872D7E" w:rsidRDefault="00B673FB" w:rsidP="000C66B1">
            <w:pPr>
              <w:ind w:left="213" w:hanging="141"/>
              <w:jc w:val="right"/>
              <w:rPr>
                <w:sz w:val="18"/>
                <w:szCs w:val="18"/>
              </w:rPr>
            </w:pPr>
            <w:r w:rsidRPr="00872D7E">
              <w:rPr>
                <w:color w:val="000000"/>
                <w:sz w:val="18"/>
                <w:szCs w:val="18"/>
              </w:rPr>
              <w:t>-</w:t>
            </w:r>
          </w:p>
        </w:tc>
        <w:tc>
          <w:tcPr>
            <w:tcW w:w="597" w:type="pct"/>
            <w:vAlign w:val="bottom"/>
          </w:tcPr>
          <w:p w14:paraId="3AB931D8" w14:textId="53FDD8B2" w:rsidR="00B673FB" w:rsidRPr="00872D7E" w:rsidRDefault="00B673FB" w:rsidP="000C66B1">
            <w:pPr>
              <w:ind w:left="213" w:hanging="141"/>
              <w:jc w:val="right"/>
              <w:rPr>
                <w:sz w:val="18"/>
                <w:szCs w:val="18"/>
              </w:rPr>
            </w:pPr>
            <w:r w:rsidRPr="00872D7E">
              <w:rPr>
                <w:color w:val="000000"/>
                <w:sz w:val="18"/>
                <w:szCs w:val="18"/>
              </w:rPr>
              <w:t>-</w:t>
            </w:r>
          </w:p>
        </w:tc>
      </w:tr>
      <w:tr w:rsidR="00B673FB" w:rsidRPr="00872D7E" w14:paraId="6570AF41" w14:textId="77777777" w:rsidTr="000C66B1">
        <w:trPr>
          <w:trHeight w:val="113"/>
        </w:trPr>
        <w:tc>
          <w:tcPr>
            <w:tcW w:w="2574" w:type="pct"/>
            <w:vAlign w:val="bottom"/>
            <w:hideMark/>
          </w:tcPr>
          <w:p w14:paraId="11B5B88B" w14:textId="77777777" w:rsidR="00B673FB" w:rsidRPr="00872D7E" w:rsidRDefault="00B673FB" w:rsidP="00B673FB">
            <w:pPr>
              <w:ind w:firstLineChars="200" w:firstLine="360"/>
              <w:rPr>
                <w:sz w:val="18"/>
                <w:szCs w:val="18"/>
              </w:rPr>
            </w:pPr>
            <w:r w:rsidRPr="00872D7E">
              <w:rPr>
                <w:sz w:val="18"/>
                <w:szCs w:val="18"/>
              </w:rPr>
              <w:t xml:space="preserve">Sermayede payı temsil eden menkul değerler </w:t>
            </w:r>
          </w:p>
        </w:tc>
        <w:tc>
          <w:tcPr>
            <w:tcW w:w="617" w:type="pct"/>
            <w:vAlign w:val="bottom"/>
          </w:tcPr>
          <w:p w14:paraId="03755B55" w14:textId="4C6F03D3" w:rsidR="00B673FB" w:rsidRPr="00872D7E" w:rsidRDefault="00B673FB" w:rsidP="000C66B1">
            <w:pPr>
              <w:ind w:left="213" w:hanging="141"/>
              <w:jc w:val="right"/>
              <w:rPr>
                <w:sz w:val="18"/>
                <w:szCs w:val="18"/>
              </w:rPr>
            </w:pPr>
            <w:r w:rsidRPr="00872D7E">
              <w:rPr>
                <w:color w:val="000000"/>
                <w:sz w:val="18"/>
                <w:szCs w:val="18"/>
              </w:rPr>
              <w:t>15</w:t>
            </w:r>
          </w:p>
        </w:tc>
        <w:tc>
          <w:tcPr>
            <w:tcW w:w="617" w:type="pct"/>
            <w:vAlign w:val="bottom"/>
          </w:tcPr>
          <w:p w14:paraId="483D6D26" w14:textId="59F2835A" w:rsidR="00B673FB" w:rsidRPr="00872D7E" w:rsidRDefault="00B673FB" w:rsidP="000C66B1">
            <w:pPr>
              <w:ind w:left="213" w:hanging="141"/>
              <w:jc w:val="right"/>
              <w:rPr>
                <w:sz w:val="18"/>
                <w:szCs w:val="18"/>
              </w:rPr>
            </w:pPr>
            <w:r w:rsidRPr="00872D7E">
              <w:rPr>
                <w:color w:val="000000"/>
                <w:sz w:val="18"/>
                <w:szCs w:val="18"/>
              </w:rPr>
              <w:t>-</w:t>
            </w:r>
          </w:p>
        </w:tc>
        <w:tc>
          <w:tcPr>
            <w:tcW w:w="595" w:type="pct"/>
            <w:vAlign w:val="bottom"/>
          </w:tcPr>
          <w:p w14:paraId="77911727" w14:textId="47A5FB65" w:rsidR="00B673FB" w:rsidRPr="00872D7E" w:rsidRDefault="00B673FB" w:rsidP="000C66B1">
            <w:pPr>
              <w:ind w:left="213" w:hanging="141"/>
              <w:jc w:val="right"/>
              <w:rPr>
                <w:sz w:val="18"/>
                <w:szCs w:val="18"/>
              </w:rPr>
            </w:pPr>
            <w:r w:rsidRPr="00872D7E">
              <w:rPr>
                <w:color w:val="000000"/>
                <w:sz w:val="18"/>
                <w:szCs w:val="18"/>
              </w:rPr>
              <w:t>-</w:t>
            </w:r>
          </w:p>
        </w:tc>
        <w:tc>
          <w:tcPr>
            <w:tcW w:w="597" w:type="pct"/>
            <w:vAlign w:val="bottom"/>
          </w:tcPr>
          <w:p w14:paraId="143236E5" w14:textId="45AA3A84" w:rsidR="00B673FB" w:rsidRPr="00872D7E" w:rsidRDefault="00B673FB" w:rsidP="000C66B1">
            <w:pPr>
              <w:ind w:left="213" w:hanging="141"/>
              <w:jc w:val="right"/>
              <w:rPr>
                <w:sz w:val="18"/>
                <w:szCs w:val="18"/>
              </w:rPr>
            </w:pPr>
            <w:r w:rsidRPr="00872D7E">
              <w:rPr>
                <w:color w:val="000000"/>
                <w:sz w:val="18"/>
                <w:szCs w:val="18"/>
              </w:rPr>
              <w:t>15</w:t>
            </w:r>
          </w:p>
        </w:tc>
      </w:tr>
      <w:tr w:rsidR="00B673FB" w:rsidRPr="00872D7E" w14:paraId="2472F4E5" w14:textId="77777777" w:rsidTr="000C66B1">
        <w:trPr>
          <w:trHeight w:val="113"/>
        </w:trPr>
        <w:tc>
          <w:tcPr>
            <w:tcW w:w="2574" w:type="pct"/>
            <w:vAlign w:val="bottom"/>
            <w:hideMark/>
          </w:tcPr>
          <w:p w14:paraId="2F003611" w14:textId="77777777" w:rsidR="00B673FB" w:rsidRPr="00872D7E" w:rsidRDefault="00B673FB" w:rsidP="00B673FB">
            <w:pPr>
              <w:ind w:firstLineChars="200" w:firstLine="360"/>
              <w:rPr>
                <w:sz w:val="18"/>
                <w:szCs w:val="18"/>
              </w:rPr>
            </w:pPr>
            <w:r w:rsidRPr="00872D7E">
              <w:rPr>
                <w:sz w:val="18"/>
                <w:szCs w:val="18"/>
              </w:rPr>
              <w:t>Diğer finansal varlıklara ilişkin bilgiler</w:t>
            </w:r>
          </w:p>
        </w:tc>
        <w:tc>
          <w:tcPr>
            <w:tcW w:w="617" w:type="pct"/>
            <w:vAlign w:val="bottom"/>
          </w:tcPr>
          <w:p w14:paraId="362701C5" w14:textId="2E93B837" w:rsidR="00B673FB" w:rsidRPr="00872D7E" w:rsidRDefault="00B673FB" w:rsidP="000C66B1">
            <w:pPr>
              <w:ind w:left="213" w:hanging="141"/>
              <w:jc w:val="right"/>
              <w:rPr>
                <w:sz w:val="18"/>
                <w:szCs w:val="18"/>
              </w:rPr>
            </w:pPr>
            <w:r w:rsidRPr="00872D7E">
              <w:rPr>
                <w:color w:val="000000"/>
                <w:sz w:val="18"/>
                <w:szCs w:val="18"/>
              </w:rPr>
              <w:t>111.343</w:t>
            </w:r>
          </w:p>
        </w:tc>
        <w:tc>
          <w:tcPr>
            <w:tcW w:w="617" w:type="pct"/>
            <w:vAlign w:val="bottom"/>
          </w:tcPr>
          <w:p w14:paraId="117BA302" w14:textId="740EDCC9" w:rsidR="00B673FB" w:rsidRPr="00872D7E" w:rsidRDefault="00B673FB" w:rsidP="000C66B1">
            <w:pPr>
              <w:ind w:left="213" w:hanging="141"/>
              <w:jc w:val="right"/>
              <w:rPr>
                <w:sz w:val="18"/>
                <w:szCs w:val="18"/>
              </w:rPr>
            </w:pPr>
            <w:r w:rsidRPr="00872D7E">
              <w:rPr>
                <w:color w:val="000000"/>
                <w:sz w:val="18"/>
                <w:szCs w:val="18"/>
              </w:rPr>
              <w:t>-</w:t>
            </w:r>
          </w:p>
        </w:tc>
        <w:tc>
          <w:tcPr>
            <w:tcW w:w="595" w:type="pct"/>
            <w:vAlign w:val="bottom"/>
          </w:tcPr>
          <w:p w14:paraId="4F293F4B" w14:textId="7938FDCE" w:rsidR="00B673FB" w:rsidRPr="00872D7E" w:rsidRDefault="00B673FB" w:rsidP="000C66B1">
            <w:pPr>
              <w:ind w:left="213" w:hanging="141"/>
              <w:jc w:val="right"/>
              <w:rPr>
                <w:sz w:val="18"/>
                <w:szCs w:val="18"/>
              </w:rPr>
            </w:pPr>
            <w:r w:rsidRPr="00872D7E">
              <w:rPr>
                <w:color w:val="000000"/>
                <w:sz w:val="18"/>
                <w:szCs w:val="18"/>
              </w:rPr>
              <w:t>-</w:t>
            </w:r>
          </w:p>
        </w:tc>
        <w:tc>
          <w:tcPr>
            <w:tcW w:w="597" w:type="pct"/>
            <w:vAlign w:val="bottom"/>
          </w:tcPr>
          <w:p w14:paraId="7C6E0998" w14:textId="1A6DD288" w:rsidR="00B673FB" w:rsidRPr="00872D7E" w:rsidRDefault="00B673FB" w:rsidP="000C66B1">
            <w:pPr>
              <w:ind w:left="213" w:hanging="141"/>
              <w:jc w:val="right"/>
              <w:rPr>
                <w:sz w:val="18"/>
                <w:szCs w:val="18"/>
              </w:rPr>
            </w:pPr>
            <w:r w:rsidRPr="00872D7E">
              <w:rPr>
                <w:color w:val="000000"/>
                <w:sz w:val="18"/>
                <w:szCs w:val="18"/>
              </w:rPr>
              <w:t>111.343</w:t>
            </w:r>
          </w:p>
        </w:tc>
      </w:tr>
      <w:tr w:rsidR="00B673FB" w:rsidRPr="00872D7E" w14:paraId="0DA80980" w14:textId="77777777" w:rsidTr="000C66B1">
        <w:trPr>
          <w:trHeight w:val="113"/>
        </w:trPr>
        <w:tc>
          <w:tcPr>
            <w:tcW w:w="2574" w:type="pct"/>
            <w:vAlign w:val="bottom"/>
            <w:hideMark/>
          </w:tcPr>
          <w:p w14:paraId="6929C596" w14:textId="77777777" w:rsidR="00B673FB" w:rsidRPr="00872D7E" w:rsidRDefault="00B673FB" w:rsidP="00B673FB">
            <w:pPr>
              <w:rPr>
                <w:b/>
                <w:sz w:val="18"/>
                <w:szCs w:val="18"/>
              </w:rPr>
            </w:pPr>
            <w:r w:rsidRPr="00872D7E">
              <w:rPr>
                <w:b/>
                <w:sz w:val="18"/>
                <w:szCs w:val="18"/>
              </w:rPr>
              <w:t>Gerçeğe Uygun Değer Farkı Diğer Kapsamlı Gelire Yansıtılan Finansal Varlıklar</w:t>
            </w:r>
          </w:p>
        </w:tc>
        <w:tc>
          <w:tcPr>
            <w:tcW w:w="617" w:type="pct"/>
            <w:vAlign w:val="bottom"/>
          </w:tcPr>
          <w:p w14:paraId="028E07E1" w14:textId="02326747" w:rsidR="00B673FB" w:rsidRPr="00872D7E" w:rsidRDefault="00B673FB" w:rsidP="000C66B1">
            <w:pPr>
              <w:ind w:left="213" w:hanging="141"/>
              <w:jc w:val="right"/>
              <w:rPr>
                <w:b/>
                <w:sz w:val="18"/>
                <w:szCs w:val="18"/>
              </w:rPr>
            </w:pPr>
            <w:r w:rsidRPr="00872D7E">
              <w:rPr>
                <w:color w:val="000000"/>
                <w:sz w:val="18"/>
                <w:szCs w:val="18"/>
              </w:rPr>
              <w:t>-</w:t>
            </w:r>
          </w:p>
        </w:tc>
        <w:tc>
          <w:tcPr>
            <w:tcW w:w="617" w:type="pct"/>
            <w:vAlign w:val="bottom"/>
          </w:tcPr>
          <w:p w14:paraId="1DD0E3EF" w14:textId="62B0C74A" w:rsidR="00B673FB" w:rsidRPr="00872D7E" w:rsidRDefault="00B673FB" w:rsidP="000C66B1">
            <w:pPr>
              <w:ind w:left="213" w:hanging="141"/>
              <w:jc w:val="right"/>
              <w:rPr>
                <w:b/>
                <w:sz w:val="18"/>
                <w:szCs w:val="18"/>
              </w:rPr>
            </w:pPr>
            <w:r w:rsidRPr="00872D7E">
              <w:rPr>
                <w:color w:val="000000"/>
                <w:sz w:val="18"/>
                <w:szCs w:val="18"/>
              </w:rPr>
              <w:t>-</w:t>
            </w:r>
          </w:p>
        </w:tc>
        <w:tc>
          <w:tcPr>
            <w:tcW w:w="595" w:type="pct"/>
            <w:vAlign w:val="bottom"/>
          </w:tcPr>
          <w:p w14:paraId="71C50D35" w14:textId="32DA3A14" w:rsidR="00B673FB" w:rsidRPr="00872D7E" w:rsidRDefault="00B673FB" w:rsidP="000C66B1">
            <w:pPr>
              <w:ind w:left="213" w:hanging="141"/>
              <w:jc w:val="right"/>
              <w:rPr>
                <w:b/>
                <w:sz w:val="18"/>
                <w:szCs w:val="18"/>
              </w:rPr>
            </w:pPr>
            <w:r w:rsidRPr="00872D7E">
              <w:rPr>
                <w:color w:val="000000"/>
                <w:sz w:val="18"/>
                <w:szCs w:val="18"/>
              </w:rPr>
              <w:t>-</w:t>
            </w:r>
          </w:p>
        </w:tc>
        <w:tc>
          <w:tcPr>
            <w:tcW w:w="597" w:type="pct"/>
            <w:vAlign w:val="bottom"/>
          </w:tcPr>
          <w:p w14:paraId="2F98A2BD" w14:textId="78F2D3B9" w:rsidR="00B673FB" w:rsidRPr="00872D7E" w:rsidRDefault="00B673FB" w:rsidP="000C66B1">
            <w:pPr>
              <w:ind w:left="213" w:hanging="141"/>
              <w:jc w:val="right"/>
              <w:rPr>
                <w:b/>
                <w:sz w:val="18"/>
                <w:szCs w:val="18"/>
              </w:rPr>
            </w:pPr>
            <w:r w:rsidRPr="00872D7E">
              <w:rPr>
                <w:color w:val="000000"/>
                <w:sz w:val="18"/>
                <w:szCs w:val="18"/>
              </w:rPr>
              <w:t>-</w:t>
            </w:r>
          </w:p>
        </w:tc>
      </w:tr>
      <w:tr w:rsidR="00B673FB" w:rsidRPr="00872D7E" w14:paraId="60B2AD6E" w14:textId="77777777" w:rsidTr="000C66B1">
        <w:trPr>
          <w:trHeight w:val="113"/>
        </w:trPr>
        <w:tc>
          <w:tcPr>
            <w:tcW w:w="2574" w:type="pct"/>
            <w:vAlign w:val="bottom"/>
            <w:hideMark/>
          </w:tcPr>
          <w:p w14:paraId="02812901" w14:textId="777088B6" w:rsidR="00B673FB" w:rsidRPr="00872D7E" w:rsidRDefault="00B673FB" w:rsidP="00B673FB">
            <w:pPr>
              <w:ind w:firstLineChars="200" w:firstLine="360"/>
              <w:rPr>
                <w:sz w:val="18"/>
                <w:szCs w:val="18"/>
              </w:rPr>
            </w:pPr>
            <w:r w:rsidRPr="00872D7E">
              <w:rPr>
                <w:sz w:val="18"/>
                <w:szCs w:val="18"/>
              </w:rPr>
              <w:t>Sermayede payı temsil eden menkul değerler</w:t>
            </w:r>
          </w:p>
        </w:tc>
        <w:tc>
          <w:tcPr>
            <w:tcW w:w="617" w:type="pct"/>
            <w:vAlign w:val="bottom"/>
          </w:tcPr>
          <w:p w14:paraId="300EB300" w14:textId="16B164D5"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3EF5E437" w14:textId="2E760656" w:rsidR="00B673FB" w:rsidRPr="00872D7E" w:rsidRDefault="00B673FB" w:rsidP="000C66B1">
            <w:pPr>
              <w:ind w:left="213" w:hanging="141"/>
              <w:jc w:val="right"/>
              <w:rPr>
                <w:sz w:val="18"/>
                <w:szCs w:val="18"/>
              </w:rPr>
            </w:pPr>
            <w:r w:rsidRPr="00872D7E">
              <w:rPr>
                <w:color w:val="000000"/>
                <w:sz w:val="18"/>
                <w:szCs w:val="18"/>
              </w:rPr>
              <w:t>-</w:t>
            </w:r>
          </w:p>
        </w:tc>
        <w:tc>
          <w:tcPr>
            <w:tcW w:w="595" w:type="pct"/>
            <w:vAlign w:val="bottom"/>
          </w:tcPr>
          <w:p w14:paraId="7A40DAF5" w14:textId="00DDEB9C" w:rsidR="00B673FB" w:rsidRPr="00872D7E" w:rsidRDefault="00B673FB" w:rsidP="000C66B1">
            <w:pPr>
              <w:ind w:left="213" w:hanging="141"/>
              <w:jc w:val="right"/>
              <w:rPr>
                <w:sz w:val="18"/>
                <w:szCs w:val="18"/>
              </w:rPr>
            </w:pPr>
            <w:r w:rsidRPr="00872D7E">
              <w:rPr>
                <w:color w:val="000000"/>
                <w:sz w:val="18"/>
                <w:szCs w:val="18"/>
              </w:rPr>
              <w:t>-</w:t>
            </w:r>
          </w:p>
        </w:tc>
        <w:tc>
          <w:tcPr>
            <w:tcW w:w="597" w:type="pct"/>
            <w:vAlign w:val="bottom"/>
          </w:tcPr>
          <w:p w14:paraId="251CE610" w14:textId="5CA47565" w:rsidR="00B673FB" w:rsidRPr="00872D7E" w:rsidRDefault="00B673FB" w:rsidP="000C66B1">
            <w:pPr>
              <w:ind w:left="213" w:hanging="141"/>
              <w:jc w:val="right"/>
              <w:rPr>
                <w:sz w:val="18"/>
                <w:szCs w:val="18"/>
              </w:rPr>
            </w:pPr>
            <w:r w:rsidRPr="00872D7E">
              <w:rPr>
                <w:color w:val="000000"/>
                <w:sz w:val="18"/>
                <w:szCs w:val="18"/>
              </w:rPr>
              <w:t>-</w:t>
            </w:r>
          </w:p>
        </w:tc>
      </w:tr>
      <w:tr w:rsidR="00B673FB" w:rsidRPr="00872D7E" w14:paraId="13490B24" w14:textId="77777777" w:rsidTr="000C66B1">
        <w:trPr>
          <w:trHeight w:val="113"/>
        </w:trPr>
        <w:tc>
          <w:tcPr>
            <w:tcW w:w="2574" w:type="pct"/>
            <w:vAlign w:val="bottom"/>
            <w:hideMark/>
          </w:tcPr>
          <w:p w14:paraId="41B448F3" w14:textId="77777777" w:rsidR="00B673FB" w:rsidRPr="00872D7E" w:rsidRDefault="00B673FB" w:rsidP="00B673FB">
            <w:pPr>
              <w:ind w:firstLineChars="200" w:firstLine="360"/>
              <w:rPr>
                <w:sz w:val="18"/>
                <w:szCs w:val="18"/>
              </w:rPr>
            </w:pPr>
            <w:r w:rsidRPr="00872D7E">
              <w:rPr>
                <w:sz w:val="18"/>
                <w:szCs w:val="18"/>
              </w:rPr>
              <w:t>Devlet borçlanma senetleri</w:t>
            </w:r>
          </w:p>
        </w:tc>
        <w:tc>
          <w:tcPr>
            <w:tcW w:w="617" w:type="pct"/>
            <w:vAlign w:val="bottom"/>
          </w:tcPr>
          <w:p w14:paraId="3C5F7303" w14:textId="2C388699"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34CC00AC" w14:textId="0F9077E6" w:rsidR="00B673FB" w:rsidRPr="00872D7E" w:rsidRDefault="00B673FB" w:rsidP="000C66B1">
            <w:pPr>
              <w:ind w:left="213" w:hanging="141"/>
              <w:jc w:val="right"/>
              <w:rPr>
                <w:sz w:val="18"/>
                <w:szCs w:val="18"/>
              </w:rPr>
            </w:pPr>
            <w:r w:rsidRPr="00872D7E">
              <w:rPr>
                <w:color w:val="000000"/>
                <w:sz w:val="18"/>
                <w:szCs w:val="18"/>
              </w:rPr>
              <w:t>-</w:t>
            </w:r>
          </w:p>
        </w:tc>
        <w:tc>
          <w:tcPr>
            <w:tcW w:w="595" w:type="pct"/>
            <w:vAlign w:val="bottom"/>
          </w:tcPr>
          <w:p w14:paraId="1142A45F" w14:textId="34545DA4" w:rsidR="00B673FB" w:rsidRPr="00872D7E" w:rsidRDefault="00B673FB" w:rsidP="000C66B1">
            <w:pPr>
              <w:ind w:left="213" w:hanging="141"/>
              <w:jc w:val="right"/>
              <w:rPr>
                <w:sz w:val="18"/>
                <w:szCs w:val="18"/>
              </w:rPr>
            </w:pPr>
            <w:r w:rsidRPr="00872D7E">
              <w:rPr>
                <w:color w:val="000000"/>
                <w:sz w:val="18"/>
                <w:szCs w:val="18"/>
              </w:rPr>
              <w:t>-</w:t>
            </w:r>
          </w:p>
        </w:tc>
        <w:tc>
          <w:tcPr>
            <w:tcW w:w="597" w:type="pct"/>
            <w:vAlign w:val="bottom"/>
          </w:tcPr>
          <w:p w14:paraId="44A89AD7" w14:textId="23992111" w:rsidR="00B673FB" w:rsidRPr="00872D7E" w:rsidRDefault="00B673FB" w:rsidP="000C66B1">
            <w:pPr>
              <w:ind w:left="213" w:hanging="141"/>
              <w:jc w:val="right"/>
              <w:rPr>
                <w:sz w:val="18"/>
                <w:szCs w:val="18"/>
              </w:rPr>
            </w:pPr>
            <w:r w:rsidRPr="00872D7E">
              <w:rPr>
                <w:color w:val="000000"/>
                <w:sz w:val="18"/>
                <w:szCs w:val="18"/>
              </w:rPr>
              <w:t>-</w:t>
            </w:r>
          </w:p>
        </w:tc>
      </w:tr>
      <w:tr w:rsidR="00B673FB" w:rsidRPr="00872D7E" w14:paraId="70F769E8" w14:textId="77777777" w:rsidTr="000C66B1">
        <w:trPr>
          <w:trHeight w:val="113"/>
        </w:trPr>
        <w:tc>
          <w:tcPr>
            <w:tcW w:w="2574" w:type="pct"/>
            <w:vAlign w:val="bottom"/>
            <w:hideMark/>
          </w:tcPr>
          <w:p w14:paraId="743D202B" w14:textId="77777777" w:rsidR="00B673FB" w:rsidRPr="00872D7E" w:rsidRDefault="00B673FB" w:rsidP="00B673FB">
            <w:pPr>
              <w:ind w:firstLineChars="200" w:firstLine="360"/>
              <w:rPr>
                <w:sz w:val="18"/>
                <w:szCs w:val="18"/>
              </w:rPr>
            </w:pPr>
            <w:r w:rsidRPr="00872D7E">
              <w:rPr>
                <w:sz w:val="18"/>
                <w:szCs w:val="18"/>
              </w:rPr>
              <w:t>Diğer Finansal Varlıklar</w:t>
            </w:r>
          </w:p>
        </w:tc>
        <w:tc>
          <w:tcPr>
            <w:tcW w:w="617" w:type="pct"/>
            <w:vAlign w:val="bottom"/>
          </w:tcPr>
          <w:p w14:paraId="68080562" w14:textId="44963D67"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16C372DF" w14:textId="52BE630C" w:rsidR="00B673FB" w:rsidRPr="00872D7E" w:rsidRDefault="00B673FB" w:rsidP="000C66B1">
            <w:pPr>
              <w:ind w:left="213" w:hanging="141"/>
              <w:jc w:val="right"/>
              <w:rPr>
                <w:sz w:val="18"/>
                <w:szCs w:val="18"/>
              </w:rPr>
            </w:pPr>
            <w:r w:rsidRPr="00872D7E">
              <w:rPr>
                <w:color w:val="000000"/>
                <w:sz w:val="18"/>
                <w:szCs w:val="18"/>
              </w:rPr>
              <w:t>-</w:t>
            </w:r>
          </w:p>
        </w:tc>
        <w:tc>
          <w:tcPr>
            <w:tcW w:w="595" w:type="pct"/>
            <w:vAlign w:val="bottom"/>
          </w:tcPr>
          <w:p w14:paraId="631A8890" w14:textId="6CEA99E6" w:rsidR="00B673FB" w:rsidRPr="00872D7E" w:rsidRDefault="00B673FB" w:rsidP="000C66B1">
            <w:pPr>
              <w:ind w:left="213" w:hanging="141"/>
              <w:jc w:val="right"/>
              <w:rPr>
                <w:sz w:val="18"/>
                <w:szCs w:val="18"/>
              </w:rPr>
            </w:pPr>
            <w:r w:rsidRPr="00872D7E">
              <w:rPr>
                <w:color w:val="000000"/>
                <w:sz w:val="18"/>
                <w:szCs w:val="18"/>
              </w:rPr>
              <w:t>-</w:t>
            </w:r>
          </w:p>
        </w:tc>
        <w:tc>
          <w:tcPr>
            <w:tcW w:w="597" w:type="pct"/>
            <w:vAlign w:val="bottom"/>
          </w:tcPr>
          <w:p w14:paraId="0BF5D4F5" w14:textId="7F1F04E3" w:rsidR="00B673FB" w:rsidRPr="00872D7E" w:rsidRDefault="00B673FB" w:rsidP="000C66B1">
            <w:pPr>
              <w:ind w:left="213" w:hanging="141"/>
              <w:jc w:val="right"/>
              <w:rPr>
                <w:sz w:val="18"/>
                <w:szCs w:val="18"/>
              </w:rPr>
            </w:pPr>
            <w:r w:rsidRPr="00872D7E">
              <w:rPr>
                <w:color w:val="000000"/>
                <w:sz w:val="18"/>
                <w:szCs w:val="18"/>
              </w:rPr>
              <w:t>-</w:t>
            </w:r>
          </w:p>
        </w:tc>
      </w:tr>
      <w:tr w:rsidR="00B673FB" w:rsidRPr="00872D7E" w14:paraId="5A56D034" w14:textId="77777777" w:rsidTr="000C66B1">
        <w:trPr>
          <w:trHeight w:val="113"/>
        </w:trPr>
        <w:tc>
          <w:tcPr>
            <w:tcW w:w="2574" w:type="pct"/>
            <w:vAlign w:val="bottom"/>
          </w:tcPr>
          <w:p w14:paraId="5EA6DE3E" w14:textId="77777777" w:rsidR="00B673FB" w:rsidRPr="00872D7E" w:rsidRDefault="00B673FB" w:rsidP="00B673FB">
            <w:pPr>
              <w:rPr>
                <w:sz w:val="18"/>
                <w:szCs w:val="18"/>
              </w:rPr>
            </w:pPr>
          </w:p>
        </w:tc>
        <w:tc>
          <w:tcPr>
            <w:tcW w:w="617" w:type="pct"/>
            <w:vAlign w:val="bottom"/>
          </w:tcPr>
          <w:p w14:paraId="42A8DF31" w14:textId="77777777" w:rsidR="00B673FB" w:rsidRPr="00872D7E" w:rsidRDefault="00B673FB" w:rsidP="000C66B1">
            <w:pPr>
              <w:ind w:left="213" w:hanging="141"/>
              <w:jc w:val="right"/>
              <w:rPr>
                <w:sz w:val="18"/>
                <w:szCs w:val="18"/>
              </w:rPr>
            </w:pPr>
          </w:p>
        </w:tc>
        <w:tc>
          <w:tcPr>
            <w:tcW w:w="617" w:type="pct"/>
            <w:vAlign w:val="bottom"/>
          </w:tcPr>
          <w:p w14:paraId="63873F81" w14:textId="77777777" w:rsidR="00B673FB" w:rsidRPr="00872D7E" w:rsidRDefault="00B673FB" w:rsidP="000C66B1">
            <w:pPr>
              <w:ind w:left="213" w:hanging="141"/>
              <w:jc w:val="right"/>
              <w:rPr>
                <w:sz w:val="18"/>
                <w:szCs w:val="18"/>
              </w:rPr>
            </w:pPr>
          </w:p>
        </w:tc>
        <w:tc>
          <w:tcPr>
            <w:tcW w:w="595" w:type="pct"/>
            <w:vAlign w:val="bottom"/>
          </w:tcPr>
          <w:p w14:paraId="569C167F" w14:textId="77777777" w:rsidR="00B673FB" w:rsidRPr="00872D7E" w:rsidRDefault="00B673FB" w:rsidP="000C66B1">
            <w:pPr>
              <w:ind w:left="213" w:hanging="141"/>
              <w:jc w:val="right"/>
              <w:rPr>
                <w:sz w:val="18"/>
                <w:szCs w:val="18"/>
              </w:rPr>
            </w:pPr>
          </w:p>
        </w:tc>
        <w:tc>
          <w:tcPr>
            <w:tcW w:w="597" w:type="pct"/>
            <w:vAlign w:val="bottom"/>
          </w:tcPr>
          <w:p w14:paraId="3D17EFC9" w14:textId="77777777" w:rsidR="00B673FB" w:rsidRPr="00872D7E" w:rsidRDefault="00B673FB" w:rsidP="000C66B1">
            <w:pPr>
              <w:ind w:left="213" w:hanging="141"/>
              <w:jc w:val="right"/>
              <w:rPr>
                <w:sz w:val="18"/>
                <w:szCs w:val="18"/>
              </w:rPr>
            </w:pPr>
          </w:p>
        </w:tc>
      </w:tr>
      <w:tr w:rsidR="00B673FB" w:rsidRPr="00872D7E" w14:paraId="1FF21990" w14:textId="77777777" w:rsidTr="000C66B1">
        <w:trPr>
          <w:trHeight w:val="113"/>
        </w:trPr>
        <w:tc>
          <w:tcPr>
            <w:tcW w:w="2574" w:type="pct"/>
            <w:vAlign w:val="bottom"/>
            <w:hideMark/>
          </w:tcPr>
          <w:p w14:paraId="4F7E4118" w14:textId="77777777" w:rsidR="00B673FB" w:rsidRPr="00872D7E" w:rsidRDefault="00B673FB" w:rsidP="00B673FB">
            <w:pPr>
              <w:rPr>
                <w:b/>
                <w:sz w:val="18"/>
                <w:szCs w:val="18"/>
              </w:rPr>
            </w:pPr>
            <w:r w:rsidRPr="00872D7E">
              <w:rPr>
                <w:b/>
                <w:sz w:val="18"/>
                <w:szCs w:val="18"/>
              </w:rPr>
              <w:t>Türev Finansal Varlıklar</w:t>
            </w:r>
          </w:p>
        </w:tc>
        <w:tc>
          <w:tcPr>
            <w:tcW w:w="617" w:type="pct"/>
            <w:vAlign w:val="bottom"/>
          </w:tcPr>
          <w:p w14:paraId="39940644" w14:textId="640B6DE0" w:rsidR="00B673FB" w:rsidRPr="00872D7E" w:rsidRDefault="00B673FB" w:rsidP="000C66B1">
            <w:pPr>
              <w:ind w:left="213" w:hanging="141"/>
              <w:jc w:val="right"/>
              <w:rPr>
                <w:sz w:val="18"/>
                <w:szCs w:val="18"/>
              </w:rPr>
            </w:pPr>
            <w:r w:rsidRPr="00872D7E">
              <w:rPr>
                <w:color w:val="000000"/>
                <w:sz w:val="18"/>
                <w:szCs w:val="18"/>
              </w:rPr>
              <w:t>-</w:t>
            </w:r>
          </w:p>
        </w:tc>
        <w:tc>
          <w:tcPr>
            <w:tcW w:w="617" w:type="pct"/>
            <w:vAlign w:val="bottom"/>
          </w:tcPr>
          <w:p w14:paraId="7EC142A7" w14:textId="25831C7E" w:rsidR="00B673FB" w:rsidRPr="00872D7E" w:rsidRDefault="00B673FB" w:rsidP="000C66B1">
            <w:pPr>
              <w:ind w:left="213" w:hanging="141"/>
              <w:jc w:val="right"/>
              <w:rPr>
                <w:sz w:val="18"/>
                <w:szCs w:val="18"/>
              </w:rPr>
            </w:pPr>
            <w:r w:rsidRPr="00872D7E">
              <w:rPr>
                <w:color w:val="000000"/>
                <w:sz w:val="18"/>
                <w:szCs w:val="18"/>
              </w:rPr>
              <w:t>-</w:t>
            </w:r>
          </w:p>
        </w:tc>
        <w:tc>
          <w:tcPr>
            <w:tcW w:w="595" w:type="pct"/>
            <w:vAlign w:val="bottom"/>
          </w:tcPr>
          <w:p w14:paraId="57270CB5" w14:textId="31E8D9C0" w:rsidR="00B673FB" w:rsidRPr="00872D7E" w:rsidRDefault="00B673FB" w:rsidP="000C66B1">
            <w:pPr>
              <w:ind w:left="213" w:hanging="141"/>
              <w:jc w:val="right"/>
              <w:rPr>
                <w:sz w:val="18"/>
                <w:szCs w:val="18"/>
              </w:rPr>
            </w:pPr>
            <w:r w:rsidRPr="00872D7E">
              <w:rPr>
                <w:color w:val="000000"/>
                <w:sz w:val="18"/>
                <w:szCs w:val="18"/>
              </w:rPr>
              <w:t>-</w:t>
            </w:r>
          </w:p>
        </w:tc>
        <w:tc>
          <w:tcPr>
            <w:tcW w:w="597" w:type="pct"/>
            <w:vAlign w:val="bottom"/>
          </w:tcPr>
          <w:p w14:paraId="101F6854" w14:textId="4CF67BA2" w:rsidR="00B673FB" w:rsidRPr="00872D7E" w:rsidRDefault="00B673FB" w:rsidP="000C66B1">
            <w:pPr>
              <w:ind w:left="213" w:hanging="141"/>
              <w:jc w:val="right"/>
              <w:rPr>
                <w:sz w:val="18"/>
                <w:szCs w:val="18"/>
              </w:rPr>
            </w:pPr>
            <w:r w:rsidRPr="00872D7E">
              <w:rPr>
                <w:color w:val="000000"/>
                <w:sz w:val="18"/>
                <w:szCs w:val="18"/>
              </w:rPr>
              <w:t>-</w:t>
            </w:r>
          </w:p>
        </w:tc>
      </w:tr>
      <w:tr w:rsidR="00B673FB" w:rsidRPr="00872D7E" w14:paraId="493AF9A6" w14:textId="77777777" w:rsidTr="000C66B1">
        <w:trPr>
          <w:trHeight w:val="113"/>
        </w:trPr>
        <w:tc>
          <w:tcPr>
            <w:tcW w:w="2574" w:type="pct"/>
            <w:vAlign w:val="bottom"/>
          </w:tcPr>
          <w:p w14:paraId="25CB61E3" w14:textId="77777777" w:rsidR="00B673FB" w:rsidRPr="00872D7E" w:rsidRDefault="00B673FB" w:rsidP="00B673FB">
            <w:pPr>
              <w:rPr>
                <w:sz w:val="18"/>
                <w:szCs w:val="18"/>
              </w:rPr>
            </w:pPr>
          </w:p>
        </w:tc>
        <w:tc>
          <w:tcPr>
            <w:tcW w:w="617" w:type="pct"/>
            <w:vAlign w:val="bottom"/>
          </w:tcPr>
          <w:p w14:paraId="0676FA44" w14:textId="77777777" w:rsidR="00B673FB" w:rsidRPr="00872D7E" w:rsidRDefault="00B673FB" w:rsidP="000C66B1">
            <w:pPr>
              <w:ind w:left="213" w:hanging="141"/>
              <w:jc w:val="right"/>
              <w:rPr>
                <w:sz w:val="18"/>
                <w:szCs w:val="18"/>
              </w:rPr>
            </w:pPr>
          </w:p>
        </w:tc>
        <w:tc>
          <w:tcPr>
            <w:tcW w:w="617" w:type="pct"/>
            <w:vAlign w:val="bottom"/>
          </w:tcPr>
          <w:p w14:paraId="1D6BAA0B" w14:textId="77777777" w:rsidR="00B673FB" w:rsidRPr="00872D7E" w:rsidRDefault="00B673FB" w:rsidP="000C66B1">
            <w:pPr>
              <w:ind w:left="213" w:hanging="141"/>
              <w:jc w:val="right"/>
              <w:rPr>
                <w:sz w:val="18"/>
                <w:szCs w:val="18"/>
              </w:rPr>
            </w:pPr>
          </w:p>
        </w:tc>
        <w:tc>
          <w:tcPr>
            <w:tcW w:w="595" w:type="pct"/>
            <w:vAlign w:val="bottom"/>
          </w:tcPr>
          <w:p w14:paraId="46672955" w14:textId="77777777" w:rsidR="00B673FB" w:rsidRPr="00872D7E" w:rsidRDefault="00B673FB" w:rsidP="000C66B1">
            <w:pPr>
              <w:ind w:left="213" w:hanging="141"/>
              <w:jc w:val="right"/>
              <w:rPr>
                <w:sz w:val="18"/>
                <w:szCs w:val="18"/>
              </w:rPr>
            </w:pPr>
          </w:p>
        </w:tc>
        <w:tc>
          <w:tcPr>
            <w:tcW w:w="597" w:type="pct"/>
            <w:vAlign w:val="bottom"/>
          </w:tcPr>
          <w:p w14:paraId="7EA98AB3" w14:textId="77777777" w:rsidR="00B673FB" w:rsidRPr="00872D7E" w:rsidRDefault="00B673FB" w:rsidP="000C66B1">
            <w:pPr>
              <w:ind w:left="213" w:hanging="141"/>
              <w:jc w:val="right"/>
              <w:rPr>
                <w:sz w:val="18"/>
                <w:szCs w:val="18"/>
              </w:rPr>
            </w:pPr>
          </w:p>
        </w:tc>
      </w:tr>
      <w:tr w:rsidR="00B673FB" w:rsidRPr="00872D7E" w14:paraId="1AA95A6B" w14:textId="77777777" w:rsidTr="000C66B1">
        <w:trPr>
          <w:trHeight w:val="113"/>
        </w:trPr>
        <w:tc>
          <w:tcPr>
            <w:tcW w:w="2574" w:type="pct"/>
            <w:vAlign w:val="bottom"/>
            <w:hideMark/>
          </w:tcPr>
          <w:p w14:paraId="7688429F" w14:textId="77777777" w:rsidR="00B673FB" w:rsidRPr="00872D7E" w:rsidRDefault="00B673FB" w:rsidP="00B673FB">
            <w:pPr>
              <w:rPr>
                <w:sz w:val="18"/>
                <w:szCs w:val="18"/>
              </w:rPr>
            </w:pPr>
            <w:r w:rsidRPr="00872D7E">
              <w:rPr>
                <w:b/>
                <w:sz w:val="18"/>
                <w:szCs w:val="18"/>
              </w:rPr>
              <w:t>Finansal Yükümlülükler</w:t>
            </w:r>
          </w:p>
        </w:tc>
        <w:tc>
          <w:tcPr>
            <w:tcW w:w="617" w:type="pct"/>
            <w:vAlign w:val="bottom"/>
          </w:tcPr>
          <w:p w14:paraId="6470CE7D" w14:textId="77777777" w:rsidR="00B673FB" w:rsidRPr="00872D7E" w:rsidRDefault="00B673FB" w:rsidP="000C66B1">
            <w:pPr>
              <w:ind w:left="213" w:hanging="141"/>
              <w:jc w:val="right"/>
              <w:rPr>
                <w:sz w:val="18"/>
                <w:szCs w:val="18"/>
              </w:rPr>
            </w:pPr>
          </w:p>
        </w:tc>
        <w:tc>
          <w:tcPr>
            <w:tcW w:w="617" w:type="pct"/>
            <w:vAlign w:val="bottom"/>
          </w:tcPr>
          <w:p w14:paraId="56AE6DA5" w14:textId="77777777" w:rsidR="00B673FB" w:rsidRPr="00872D7E" w:rsidRDefault="00B673FB" w:rsidP="000C66B1">
            <w:pPr>
              <w:ind w:left="213" w:hanging="141"/>
              <w:jc w:val="right"/>
              <w:rPr>
                <w:sz w:val="18"/>
                <w:szCs w:val="18"/>
              </w:rPr>
            </w:pPr>
          </w:p>
        </w:tc>
        <w:tc>
          <w:tcPr>
            <w:tcW w:w="595" w:type="pct"/>
            <w:vAlign w:val="bottom"/>
          </w:tcPr>
          <w:p w14:paraId="7CB143C8" w14:textId="77777777" w:rsidR="00B673FB" w:rsidRPr="00872D7E" w:rsidRDefault="00B673FB" w:rsidP="000C66B1">
            <w:pPr>
              <w:ind w:left="213" w:hanging="141"/>
              <w:jc w:val="right"/>
              <w:rPr>
                <w:sz w:val="18"/>
                <w:szCs w:val="18"/>
              </w:rPr>
            </w:pPr>
          </w:p>
        </w:tc>
        <w:tc>
          <w:tcPr>
            <w:tcW w:w="597" w:type="pct"/>
            <w:vAlign w:val="bottom"/>
          </w:tcPr>
          <w:p w14:paraId="37823EA0" w14:textId="77777777" w:rsidR="00B673FB" w:rsidRPr="00872D7E" w:rsidRDefault="00B673FB" w:rsidP="000C66B1">
            <w:pPr>
              <w:ind w:left="213" w:hanging="141"/>
              <w:jc w:val="right"/>
              <w:rPr>
                <w:sz w:val="18"/>
                <w:szCs w:val="18"/>
              </w:rPr>
            </w:pPr>
          </w:p>
        </w:tc>
      </w:tr>
      <w:tr w:rsidR="00B673FB" w:rsidRPr="00872D7E" w14:paraId="5697123D" w14:textId="77777777" w:rsidTr="000C66B1">
        <w:trPr>
          <w:trHeight w:val="113"/>
        </w:trPr>
        <w:tc>
          <w:tcPr>
            <w:tcW w:w="2574" w:type="pct"/>
            <w:vAlign w:val="bottom"/>
          </w:tcPr>
          <w:p w14:paraId="6DFE69A0" w14:textId="77777777" w:rsidR="00B673FB" w:rsidRPr="00872D7E" w:rsidRDefault="00B673FB" w:rsidP="00B673FB">
            <w:pPr>
              <w:rPr>
                <w:sz w:val="18"/>
                <w:szCs w:val="18"/>
              </w:rPr>
            </w:pPr>
          </w:p>
        </w:tc>
        <w:tc>
          <w:tcPr>
            <w:tcW w:w="617" w:type="pct"/>
            <w:vAlign w:val="bottom"/>
          </w:tcPr>
          <w:p w14:paraId="54270627" w14:textId="77777777" w:rsidR="00B673FB" w:rsidRPr="00872D7E" w:rsidRDefault="00B673FB" w:rsidP="000C66B1">
            <w:pPr>
              <w:ind w:left="213" w:hanging="141"/>
              <w:jc w:val="right"/>
              <w:rPr>
                <w:sz w:val="18"/>
                <w:szCs w:val="18"/>
              </w:rPr>
            </w:pPr>
          </w:p>
        </w:tc>
        <w:tc>
          <w:tcPr>
            <w:tcW w:w="617" w:type="pct"/>
            <w:vAlign w:val="bottom"/>
          </w:tcPr>
          <w:p w14:paraId="7823D6B6" w14:textId="77777777" w:rsidR="00B673FB" w:rsidRPr="00872D7E" w:rsidRDefault="00B673FB" w:rsidP="000C66B1">
            <w:pPr>
              <w:ind w:left="213" w:hanging="141"/>
              <w:jc w:val="right"/>
              <w:rPr>
                <w:sz w:val="18"/>
                <w:szCs w:val="18"/>
              </w:rPr>
            </w:pPr>
          </w:p>
        </w:tc>
        <w:tc>
          <w:tcPr>
            <w:tcW w:w="595" w:type="pct"/>
            <w:vAlign w:val="bottom"/>
          </w:tcPr>
          <w:p w14:paraId="11F10E70" w14:textId="77777777" w:rsidR="00B673FB" w:rsidRPr="00872D7E" w:rsidRDefault="00B673FB" w:rsidP="000C66B1">
            <w:pPr>
              <w:ind w:left="213" w:hanging="141"/>
              <w:jc w:val="right"/>
              <w:rPr>
                <w:sz w:val="18"/>
                <w:szCs w:val="18"/>
              </w:rPr>
            </w:pPr>
          </w:p>
        </w:tc>
        <w:tc>
          <w:tcPr>
            <w:tcW w:w="597" w:type="pct"/>
            <w:vAlign w:val="bottom"/>
          </w:tcPr>
          <w:p w14:paraId="67C39E26" w14:textId="77777777" w:rsidR="00B673FB" w:rsidRPr="00872D7E" w:rsidRDefault="00B673FB" w:rsidP="000C66B1">
            <w:pPr>
              <w:ind w:left="213" w:hanging="141"/>
              <w:jc w:val="right"/>
              <w:rPr>
                <w:sz w:val="18"/>
                <w:szCs w:val="18"/>
              </w:rPr>
            </w:pPr>
          </w:p>
        </w:tc>
      </w:tr>
      <w:tr w:rsidR="00B673FB" w:rsidRPr="00872D7E" w14:paraId="6FE7F449" w14:textId="77777777" w:rsidTr="000C66B1">
        <w:trPr>
          <w:trHeight w:val="113"/>
        </w:trPr>
        <w:tc>
          <w:tcPr>
            <w:tcW w:w="2574" w:type="pct"/>
            <w:vAlign w:val="bottom"/>
            <w:hideMark/>
          </w:tcPr>
          <w:p w14:paraId="7CA3805A" w14:textId="77777777" w:rsidR="00B673FB" w:rsidRPr="00872D7E" w:rsidRDefault="00B673FB" w:rsidP="00B673FB">
            <w:pPr>
              <w:rPr>
                <w:b/>
                <w:sz w:val="18"/>
                <w:szCs w:val="18"/>
              </w:rPr>
            </w:pPr>
            <w:r w:rsidRPr="00872D7E">
              <w:rPr>
                <w:b/>
                <w:sz w:val="18"/>
                <w:szCs w:val="18"/>
              </w:rPr>
              <w:t>Türev Finansal Yükümlülükler</w:t>
            </w:r>
          </w:p>
        </w:tc>
        <w:tc>
          <w:tcPr>
            <w:tcW w:w="617" w:type="pct"/>
            <w:vAlign w:val="bottom"/>
          </w:tcPr>
          <w:p w14:paraId="278006DD" w14:textId="26F1CA5F" w:rsidR="00B673FB" w:rsidRPr="00872D7E" w:rsidRDefault="00B673FB" w:rsidP="000C66B1">
            <w:pPr>
              <w:ind w:left="213" w:hanging="141"/>
              <w:jc w:val="right"/>
              <w:rPr>
                <w:b/>
                <w:sz w:val="18"/>
                <w:szCs w:val="18"/>
              </w:rPr>
            </w:pPr>
            <w:r w:rsidRPr="00872D7E">
              <w:rPr>
                <w:color w:val="000000"/>
                <w:sz w:val="18"/>
                <w:szCs w:val="18"/>
              </w:rPr>
              <w:t>-</w:t>
            </w:r>
          </w:p>
        </w:tc>
        <w:tc>
          <w:tcPr>
            <w:tcW w:w="617" w:type="pct"/>
            <w:vAlign w:val="bottom"/>
          </w:tcPr>
          <w:p w14:paraId="75942406" w14:textId="24ED7428" w:rsidR="00B673FB" w:rsidRPr="00872D7E" w:rsidRDefault="00B673FB" w:rsidP="000C66B1">
            <w:pPr>
              <w:ind w:left="213" w:hanging="141"/>
              <w:jc w:val="right"/>
              <w:rPr>
                <w:b/>
                <w:sz w:val="18"/>
                <w:szCs w:val="18"/>
              </w:rPr>
            </w:pPr>
            <w:r w:rsidRPr="00872D7E">
              <w:rPr>
                <w:color w:val="000000"/>
                <w:sz w:val="18"/>
                <w:szCs w:val="18"/>
              </w:rPr>
              <w:t>-</w:t>
            </w:r>
          </w:p>
        </w:tc>
        <w:tc>
          <w:tcPr>
            <w:tcW w:w="595" w:type="pct"/>
            <w:vAlign w:val="bottom"/>
          </w:tcPr>
          <w:p w14:paraId="4F36EEEB" w14:textId="448DED9C" w:rsidR="00B673FB" w:rsidRPr="00872D7E" w:rsidRDefault="00B673FB" w:rsidP="000C66B1">
            <w:pPr>
              <w:ind w:left="213" w:hanging="141"/>
              <w:jc w:val="right"/>
              <w:rPr>
                <w:b/>
                <w:sz w:val="18"/>
                <w:szCs w:val="18"/>
              </w:rPr>
            </w:pPr>
            <w:r w:rsidRPr="00872D7E">
              <w:rPr>
                <w:color w:val="000000"/>
                <w:sz w:val="18"/>
                <w:szCs w:val="18"/>
              </w:rPr>
              <w:t>-</w:t>
            </w:r>
          </w:p>
        </w:tc>
        <w:tc>
          <w:tcPr>
            <w:tcW w:w="597" w:type="pct"/>
            <w:vAlign w:val="bottom"/>
          </w:tcPr>
          <w:p w14:paraId="09788737" w14:textId="13E153AA" w:rsidR="00B673FB" w:rsidRPr="00872D7E" w:rsidRDefault="00B673FB" w:rsidP="000C66B1">
            <w:pPr>
              <w:ind w:left="213" w:hanging="141"/>
              <w:jc w:val="right"/>
              <w:rPr>
                <w:b/>
                <w:sz w:val="18"/>
                <w:szCs w:val="18"/>
              </w:rPr>
            </w:pPr>
            <w:r w:rsidRPr="00872D7E">
              <w:rPr>
                <w:color w:val="000000"/>
                <w:sz w:val="18"/>
                <w:szCs w:val="18"/>
              </w:rPr>
              <w:t>-</w:t>
            </w:r>
          </w:p>
        </w:tc>
      </w:tr>
      <w:tr w:rsidR="005E2D92" w:rsidRPr="00872D7E" w14:paraId="1A30A614" w14:textId="77777777" w:rsidTr="00B673FB">
        <w:trPr>
          <w:trHeight w:val="113"/>
        </w:trPr>
        <w:tc>
          <w:tcPr>
            <w:tcW w:w="2574" w:type="pct"/>
            <w:tcBorders>
              <w:top w:val="nil"/>
              <w:left w:val="nil"/>
              <w:bottom w:val="single" w:sz="4" w:space="0" w:color="auto"/>
              <w:right w:val="nil"/>
            </w:tcBorders>
            <w:vAlign w:val="bottom"/>
          </w:tcPr>
          <w:p w14:paraId="30939446" w14:textId="77777777" w:rsidR="005E2D92" w:rsidRPr="00872D7E" w:rsidRDefault="005E2D92" w:rsidP="00A308EB">
            <w:pPr>
              <w:rPr>
                <w:sz w:val="18"/>
                <w:szCs w:val="18"/>
              </w:rPr>
            </w:pPr>
          </w:p>
        </w:tc>
        <w:tc>
          <w:tcPr>
            <w:tcW w:w="617" w:type="pct"/>
            <w:tcBorders>
              <w:top w:val="nil"/>
              <w:left w:val="nil"/>
              <w:bottom w:val="single" w:sz="4" w:space="0" w:color="auto"/>
              <w:right w:val="nil"/>
            </w:tcBorders>
            <w:vAlign w:val="bottom"/>
          </w:tcPr>
          <w:p w14:paraId="28AC0FBB" w14:textId="77777777" w:rsidR="005E2D92" w:rsidRPr="00872D7E" w:rsidRDefault="005E2D92" w:rsidP="00A308EB">
            <w:pPr>
              <w:ind w:left="213" w:hanging="141"/>
              <w:jc w:val="right"/>
              <w:rPr>
                <w:sz w:val="18"/>
                <w:szCs w:val="18"/>
              </w:rPr>
            </w:pPr>
          </w:p>
        </w:tc>
        <w:tc>
          <w:tcPr>
            <w:tcW w:w="617" w:type="pct"/>
            <w:tcBorders>
              <w:top w:val="nil"/>
              <w:left w:val="nil"/>
              <w:bottom w:val="single" w:sz="4" w:space="0" w:color="auto"/>
              <w:right w:val="nil"/>
            </w:tcBorders>
            <w:vAlign w:val="bottom"/>
          </w:tcPr>
          <w:p w14:paraId="6BE44BA7" w14:textId="77777777" w:rsidR="005E2D92" w:rsidRPr="00872D7E" w:rsidRDefault="005E2D92" w:rsidP="00A308EB">
            <w:pPr>
              <w:ind w:left="213" w:hanging="141"/>
              <w:jc w:val="right"/>
              <w:rPr>
                <w:sz w:val="18"/>
                <w:szCs w:val="18"/>
              </w:rPr>
            </w:pPr>
          </w:p>
        </w:tc>
        <w:tc>
          <w:tcPr>
            <w:tcW w:w="595" w:type="pct"/>
            <w:tcBorders>
              <w:top w:val="nil"/>
              <w:left w:val="nil"/>
              <w:bottom w:val="single" w:sz="4" w:space="0" w:color="auto"/>
              <w:right w:val="nil"/>
            </w:tcBorders>
            <w:vAlign w:val="bottom"/>
          </w:tcPr>
          <w:p w14:paraId="303733E4" w14:textId="77777777" w:rsidR="005E2D92" w:rsidRPr="00872D7E" w:rsidRDefault="005E2D92" w:rsidP="00A308EB">
            <w:pPr>
              <w:ind w:left="213" w:hanging="141"/>
              <w:jc w:val="right"/>
              <w:rPr>
                <w:sz w:val="18"/>
                <w:szCs w:val="18"/>
              </w:rPr>
            </w:pPr>
          </w:p>
        </w:tc>
        <w:tc>
          <w:tcPr>
            <w:tcW w:w="597" w:type="pct"/>
            <w:tcBorders>
              <w:top w:val="nil"/>
              <w:left w:val="nil"/>
              <w:bottom w:val="single" w:sz="4" w:space="0" w:color="auto"/>
              <w:right w:val="nil"/>
            </w:tcBorders>
            <w:vAlign w:val="bottom"/>
          </w:tcPr>
          <w:p w14:paraId="50CE6CCC" w14:textId="77777777" w:rsidR="005E2D92" w:rsidRPr="00872D7E" w:rsidRDefault="005E2D92" w:rsidP="00A308EB">
            <w:pPr>
              <w:ind w:left="213" w:hanging="141"/>
              <w:jc w:val="right"/>
              <w:rPr>
                <w:sz w:val="18"/>
                <w:szCs w:val="18"/>
              </w:rPr>
            </w:pPr>
          </w:p>
        </w:tc>
      </w:tr>
    </w:tbl>
    <w:p w14:paraId="57600A2E" w14:textId="77777777" w:rsidR="005E2D92" w:rsidRPr="00872D7E" w:rsidRDefault="005E2D92" w:rsidP="00A308EB">
      <w:pPr>
        <w:spacing w:before="60" w:after="60"/>
        <w:ind w:left="252" w:hanging="252"/>
        <w:jc w:val="both"/>
        <w:rPr>
          <w:sz w:val="16"/>
          <w:szCs w:val="16"/>
        </w:rPr>
      </w:pPr>
      <w:r w:rsidRPr="00872D7E">
        <w:rPr>
          <w:sz w:val="16"/>
          <w:szCs w:val="16"/>
          <w:vertAlign w:val="superscript"/>
        </w:rPr>
        <w:t xml:space="preserve">(*) </w:t>
      </w:r>
      <w:r w:rsidRPr="00872D7E">
        <w:rPr>
          <w:sz w:val="16"/>
          <w:szCs w:val="16"/>
        </w:rPr>
        <w:t xml:space="preserve">Önceki dönem içerisinde birinci ve ikinci seviye arasında yapılmış bir sınıflama bulunmamaktadır. </w:t>
      </w:r>
    </w:p>
    <w:p w14:paraId="68989239" w14:textId="74061C25" w:rsidR="007F6642" w:rsidRPr="00872D7E" w:rsidRDefault="00F37168" w:rsidP="00D817BD">
      <w:pPr>
        <w:pStyle w:val="ListParagraph"/>
        <w:widowControl w:val="0"/>
        <w:numPr>
          <w:ilvl w:val="0"/>
          <w:numId w:val="39"/>
        </w:numPr>
        <w:autoSpaceDE w:val="0"/>
        <w:autoSpaceDN w:val="0"/>
        <w:adjustRightInd w:val="0"/>
        <w:spacing w:before="120"/>
        <w:ind w:hanging="861"/>
        <w:jc w:val="both"/>
        <w:rPr>
          <w:b/>
          <w:szCs w:val="20"/>
        </w:rPr>
      </w:pPr>
      <w:r w:rsidRPr="00872D7E">
        <w:rPr>
          <w:b/>
          <w:szCs w:val="20"/>
        </w:rPr>
        <w:t>BAŞKALARININ NAM VE HESABINA YAPILAN İŞLEMLER, İNANCA DAYALI İŞLEMLERE İLİŞKİN AÇIKLAMALAR</w:t>
      </w:r>
    </w:p>
    <w:p w14:paraId="402E773D" w14:textId="77777777" w:rsidR="007F6642" w:rsidRPr="00872D7E" w:rsidRDefault="007F6642" w:rsidP="00A308EB"/>
    <w:p w14:paraId="3042B01D" w14:textId="3E046359" w:rsidR="007F6642" w:rsidRPr="00872D7E" w:rsidRDefault="005E2D92" w:rsidP="00D817BD">
      <w:pPr>
        <w:widowControl w:val="0"/>
        <w:ind w:left="851"/>
        <w:rPr>
          <w:szCs w:val="20"/>
        </w:rPr>
      </w:pPr>
      <w:r w:rsidRPr="00872D7E">
        <w:rPr>
          <w:szCs w:val="20"/>
        </w:rPr>
        <w:t>Banka müşterilerinin nam ve hesabına alım, satım, saklama, fon yönetimi hizmetleri vermemektedir. Banka inanca dayalı işlem sözleşmeleri yapmamaktadır.</w:t>
      </w:r>
    </w:p>
    <w:p w14:paraId="43F96B4D" w14:textId="77777777" w:rsidR="00F50274" w:rsidRPr="00872D7E" w:rsidRDefault="00F50274">
      <w:pPr>
        <w:rPr>
          <w:b/>
          <w:szCs w:val="20"/>
        </w:rPr>
      </w:pPr>
      <w:r w:rsidRPr="00872D7E">
        <w:rPr>
          <w:b/>
          <w:szCs w:val="20"/>
        </w:rPr>
        <w:br w:type="page"/>
      </w:r>
    </w:p>
    <w:p w14:paraId="20B2E681" w14:textId="5F7FC6C5" w:rsidR="0094685D" w:rsidRPr="00872D7E" w:rsidRDefault="0094685D" w:rsidP="00535A42">
      <w:pPr>
        <w:pStyle w:val="BodyTextIndent"/>
        <w:widowControl w:val="0"/>
        <w:spacing w:line="216" w:lineRule="auto"/>
        <w:ind w:firstLine="0"/>
        <w:jc w:val="left"/>
        <w:rPr>
          <w:b/>
          <w:szCs w:val="20"/>
        </w:rPr>
      </w:pPr>
      <w:r w:rsidRPr="00872D7E">
        <w:rPr>
          <w:b/>
          <w:szCs w:val="20"/>
        </w:rPr>
        <w:lastRenderedPageBreak/>
        <w:t>MALİ BÜNYEYE VE RİSK YÖNETİMİNE İLİŞKİN BİLGİLER (Devamı)</w:t>
      </w:r>
    </w:p>
    <w:p w14:paraId="49641CD5" w14:textId="77777777" w:rsidR="0094685D" w:rsidRPr="00872D7E" w:rsidRDefault="0094685D" w:rsidP="00535A42">
      <w:pPr>
        <w:widowControl w:val="0"/>
        <w:spacing w:line="216" w:lineRule="auto"/>
        <w:rPr>
          <w:sz w:val="16"/>
          <w:szCs w:val="16"/>
        </w:rPr>
      </w:pPr>
    </w:p>
    <w:p w14:paraId="096B1BDC" w14:textId="3EF0A038" w:rsidR="007F6642" w:rsidRPr="00872D7E" w:rsidRDefault="00F37168" w:rsidP="00535A42">
      <w:pPr>
        <w:pStyle w:val="ListParagraph"/>
        <w:widowControl w:val="0"/>
        <w:numPr>
          <w:ilvl w:val="0"/>
          <w:numId w:val="39"/>
        </w:numPr>
        <w:autoSpaceDE w:val="0"/>
        <w:autoSpaceDN w:val="0"/>
        <w:adjustRightInd w:val="0"/>
        <w:spacing w:line="216" w:lineRule="auto"/>
        <w:ind w:hanging="861"/>
        <w:jc w:val="both"/>
        <w:rPr>
          <w:b/>
          <w:szCs w:val="20"/>
        </w:rPr>
      </w:pPr>
      <w:r w:rsidRPr="00872D7E">
        <w:rPr>
          <w:b/>
          <w:szCs w:val="20"/>
        </w:rPr>
        <w:t>RİSK YÖNETİMİNE İLİŞKİN AÇIKLAMALAR</w:t>
      </w:r>
    </w:p>
    <w:p w14:paraId="6D1879CC" w14:textId="77777777" w:rsidR="007F6642" w:rsidRPr="00872D7E" w:rsidRDefault="007F6642" w:rsidP="00535A42">
      <w:pPr>
        <w:spacing w:line="216" w:lineRule="auto"/>
        <w:jc w:val="both"/>
        <w:rPr>
          <w:sz w:val="18"/>
          <w:szCs w:val="22"/>
        </w:rPr>
      </w:pPr>
    </w:p>
    <w:p w14:paraId="13C97CC1" w14:textId="77777777" w:rsidR="00A308EB" w:rsidRPr="00872D7E" w:rsidRDefault="00A308EB" w:rsidP="00535A42">
      <w:pPr>
        <w:spacing w:line="216" w:lineRule="auto"/>
        <w:ind w:left="851"/>
        <w:jc w:val="both"/>
        <w:rPr>
          <w:szCs w:val="20"/>
        </w:rPr>
      </w:pPr>
      <w:bookmarkStart w:id="40" w:name="_Hlk189561456"/>
      <w:bookmarkStart w:id="41" w:name="_Hlk67665095"/>
      <w:r w:rsidRPr="00872D7E">
        <w:rPr>
          <w:szCs w:val="20"/>
        </w:rPr>
        <w:t>Banka, faaliyetlerini en verimli şekilde sürdürebilmek ve bütçe hedeflerine ulaşabilmek için bütçeyle uyumlu, aynı zamanda yönetim açısından stratejik önem taşıyan bir risk iştahı çerçevesi geliştirmiştir. Bu çerçeve, bütçe planlama ve yönetim süreçleriyle bütünleşik bir şekilde çalışmaktadır. Bankanın risk iştahı, faaliyet alanları, risk profili, İSEDES sonuçları, uzun vadeli stratejiler ve sermaye planlama süreçleri göz önünde bulundurularak şekillendirilir. Risk iştahının oluşturulmasında makroekonomik göstergeler, Sektörel eğilimler, bölgesel ve ulusal ekonomik-siyasi koşullar, rekabet analizi, yasal düzenlemeler, müşteri ve hissedar beklentileri, özkaynak durumu, İSEDES sonuçları, Banka’nın risk kapasitesi ile büyüme hedefleri önemli bir rol oynar. Süreç boyunca Bankanın tüm birimleri, ihtiyaç duyulan bilgi ve belgeleri temin ederek bu yapının oluşturulmasına katkıda bulunur.</w:t>
      </w:r>
    </w:p>
    <w:p w14:paraId="3EF4A165" w14:textId="77777777" w:rsidR="00535A42" w:rsidRPr="00872D7E" w:rsidRDefault="00535A42" w:rsidP="00535A42">
      <w:pPr>
        <w:spacing w:line="216" w:lineRule="auto"/>
        <w:ind w:left="851"/>
        <w:jc w:val="both"/>
        <w:rPr>
          <w:sz w:val="14"/>
          <w:szCs w:val="14"/>
        </w:rPr>
      </w:pPr>
    </w:p>
    <w:p w14:paraId="33C3A12D" w14:textId="77777777" w:rsidR="00A308EB" w:rsidRPr="00872D7E" w:rsidRDefault="00A308EB" w:rsidP="00535A42">
      <w:pPr>
        <w:spacing w:line="216" w:lineRule="auto"/>
        <w:ind w:left="851"/>
        <w:jc w:val="both"/>
        <w:rPr>
          <w:szCs w:val="20"/>
        </w:rPr>
      </w:pPr>
      <w:r w:rsidRPr="00872D7E">
        <w:rPr>
          <w:szCs w:val="20"/>
        </w:rPr>
        <w:t>Risk iştahı, risk türleri kapsamında risk kapasitesi, risk limitleri ve erken uyarı seviyelerini kapsayan bir çerçevede yapılandırılmıştır. Bu yapı, Yönetim Kurulu tarafından onaylanarak stratejik planlama, faaliyet süreçleri ve bütçe çalışmaları ile ilişkilendirilir.</w:t>
      </w:r>
    </w:p>
    <w:p w14:paraId="43FF23F1" w14:textId="77777777" w:rsidR="00535A42" w:rsidRPr="00872D7E" w:rsidRDefault="00535A42" w:rsidP="00535A42">
      <w:pPr>
        <w:spacing w:line="216" w:lineRule="auto"/>
        <w:ind w:left="851"/>
        <w:jc w:val="both"/>
        <w:rPr>
          <w:sz w:val="14"/>
          <w:szCs w:val="14"/>
        </w:rPr>
      </w:pPr>
    </w:p>
    <w:p w14:paraId="730B1128" w14:textId="77777777" w:rsidR="00A308EB" w:rsidRPr="00872D7E" w:rsidRDefault="00A308EB" w:rsidP="00535A42">
      <w:pPr>
        <w:spacing w:line="216" w:lineRule="auto"/>
        <w:ind w:left="851"/>
        <w:jc w:val="both"/>
        <w:rPr>
          <w:szCs w:val="20"/>
        </w:rPr>
      </w:pPr>
      <w:r w:rsidRPr="00872D7E">
        <w:rPr>
          <w:szCs w:val="20"/>
        </w:rPr>
        <w:t>İSEDES sonuçlarının risk iştahı ile karşılaştırılması, Banka Üst Yönetimi tarafından gerçekleştirilir ve gerekli görülen durumlarda önleyici adımlar atılır. Yılda en az bir kez veya Banka’nın faaliyetlerinde ya da risk profiliyle ilgili değişiklikler ile birlikte ihtiyaç duyulduğunda güncellenir.</w:t>
      </w:r>
    </w:p>
    <w:p w14:paraId="1B23E1BF" w14:textId="77777777" w:rsidR="00535A42" w:rsidRPr="00872D7E" w:rsidRDefault="00535A42" w:rsidP="00535A42">
      <w:pPr>
        <w:spacing w:line="216" w:lineRule="auto"/>
        <w:ind w:left="851"/>
        <w:jc w:val="both"/>
        <w:rPr>
          <w:sz w:val="12"/>
          <w:szCs w:val="12"/>
        </w:rPr>
      </w:pPr>
    </w:p>
    <w:p w14:paraId="0A9E230C" w14:textId="77777777" w:rsidR="00A308EB" w:rsidRPr="00872D7E" w:rsidRDefault="00A308EB" w:rsidP="00535A42">
      <w:pPr>
        <w:spacing w:line="216" w:lineRule="auto"/>
        <w:ind w:left="851"/>
        <w:jc w:val="both"/>
        <w:rPr>
          <w:szCs w:val="20"/>
        </w:rPr>
      </w:pPr>
      <w:r w:rsidRPr="00872D7E">
        <w:rPr>
          <w:szCs w:val="20"/>
        </w:rPr>
        <w:t>Ayrıca, risk iştahı ile uyumlu olacak şekilde aktif-pasif yönetimine dair ilke ve uygulamalarda da gerekli değişiklikler yapılır ve bu süreçte risk matrisi kriterleri esas alınır. Belirlenen risk iştahı sınırlarının aşılması hâlinde, ilgili birimler durum hakkında bilgilendirilir. Bu aşımların değerlendirilmesi ve çözüm önerilerinin geliştirilmesi iş birimleri tarafından yürütülür. Hazırlanan eylem planları, Denetim Komitesi ve Yönetim Kurulu’na sunularak değerlendirmeye alınır. Risk iştahının tüm organizasyonda uygulanabilirliğini ve risk iştahına uyumu sağlamak, Banka Üst Yönetimi’nin hedeflerinden biridir. Yönetim, bu hedefe ulaşmak için gerekli yetki ve kaynakların yeterli düzeyde tahsis edilmesini gözetir.</w:t>
      </w:r>
    </w:p>
    <w:p w14:paraId="4AA4B4EB" w14:textId="77777777" w:rsidR="00535A42" w:rsidRPr="00872D7E" w:rsidRDefault="00535A42" w:rsidP="00535A42">
      <w:pPr>
        <w:spacing w:line="216" w:lineRule="auto"/>
        <w:ind w:left="851"/>
        <w:jc w:val="both"/>
        <w:rPr>
          <w:sz w:val="16"/>
          <w:szCs w:val="16"/>
        </w:rPr>
      </w:pPr>
    </w:p>
    <w:p w14:paraId="6FB32C0B" w14:textId="77777777" w:rsidR="00A308EB" w:rsidRPr="00872D7E" w:rsidRDefault="00A308EB" w:rsidP="00535A42">
      <w:pPr>
        <w:spacing w:line="216" w:lineRule="auto"/>
        <w:ind w:left="851"/>
        <w:jc w:val="both"/>
        <w:rPr>
          <w:szCs w:val="20"/>
        </w:rPr>
      </w:pPr>
      <w:r w:rsidRPr="00872D7E">
        <w:rPr>
          <w:szCs w:val="20"/>
        </w:rPr>
        <w:t xml:space="preserve">Bankanın organizasyon yapısında yer alan iç sistem birimleri, doğrudan Yönetim Kurulu’na bağlı olarak yapılandırılmıştır. İç sistemlerin genel sorumluluğu, bankada icrai bir görev üstlenmeyen Denetim Komitesi tarafından yürütülmektedir. </w:t>
      </w:r>
    </w:p>
    <w:p w14:paraId="1CD0BB1B" w14:textId="77777777" w:rsidR="00535A42" w:rsidRPr="00872D7E" w:rsidRDefault="00535A42" w:rsidP="00535A42">
      <w:pPr>
        <w:spacing w:line="216" w:lineRule="auto"/>
        <w:ind w:left="851"/>
        <w:jc w:val="both"/>
        <w:rPr>
          <w:sz w:val="16"/>
          <w:szCs w:val="16"/>
        </w:rPr>
      </w:pPr>
    </w:p>
    <w:p w14:paraId="47AD9409" w14:textId="77777777" w:rsidR="00A308EB" w:rsidRPr="00872D7E" w:rsidRDefault="00A308EB" w:rsidP="00535A42">
      <w:pPr>
        <w:spacing w:line="216" w:lineRule="auto"/>
        <w:ind w:left="851"/>
        <w:jc w:val="both"/>
        <w:rPr>
          <w:szCs w:val="20"/>
        </w:rPr>
      </w:pPr>
      <w:r w:rsidRPr="00872D7E">
        <w:rPr>
          <w:szCs w:val="20"/>
        </w:rPr>
        <w:t>Denetim Komitesi, Bankacılık Kanunu ve ilgili Bankacılık Mevzuatı hükümleri doğrultusunda faaliyet göstermesi amacıyla Yönetim Kurulu tarafından oluşturulmuş olup, Yönetim Kurulu’nun gözetim ve denetim süreçlerinin etkin bir şekilde yerine getirilmesine katkı sağlamaktadır. Bu komite, risk yönetimi sisteminin yeterliliğini ve işleyişini izler, kendisine sunulan risk raporlarını, risk değerlendirmelerini ve belgelerini inceleyerek uygunluk kontrolü yapar. Ayrıca, Teftiş Kurulu Başkanlığı, İç Kontrol ve Uyum Başkanlığı ile Risk Yönetim Başkanlığı arasındaki koordinasyonun sağlanmasını gözetir ve bu birimler arasındaki iş birliğini destekler. Denetim Komitesi, Yönetim Kurulu’na düzenli bilgi aktarımı sağlayarak ilgili konularda politikalar, prosedürler ve esasların oluşturulmasına öncülük eder ve bunları Yönetim Kurulu’nun onayına sunar.</w:t>
      </w:r>
    </w:p>
    <w:p w14:paraId="2B33FB4C" w14:textId="77777777" w:rsidR="00535A42" w:rsidRPr="00872D7E" w:rsidRDefault="00535A42" w:rsidP="00535A42">
      <w:pPr>
        <w:spacing w:line="216" w:lineRule="auto"/>
        <w:ind w:left="851"/>
        <w:jc w:val="both"/>
        <w:rPr>
          <w:sz w:val="14"/>
          <w:szCs w:val="14"/>
        </w:rPr>
      </w:pPr>
    </w:p>
    <w:p w14:paraId="7719A551" w14:textId="77777777" w:rsidR="00A308EB" w:rsidRPr="00872D7E" w:rsidRDefault="00A308EB" w:rsidP="00535A42">
      <w:pPr>
        <w:spacing w:line="216" w:lineRule="auto"/>
        <w:ind w:left="851"/>
        <w:jc w:val="both"/>
        <w:rPr>
          <w:b/>
          <w:bCs/>
          <w:szCs w:val="20"/>
        </w:rPr>
      </w:pPr>
      <w:r w:rsidRPr="00872D7E">
        <w:rPr>
          <w:b/>
          <w:bCs/>
          <w:szCs w:val="20"/>
        </w:rPr>
        <w:t>Risk Yönetim Başkanlığı:</w:t>
      </w:r>
    </w:p>
    <w:p w14:paraId="1A9B262A" w14:textId="77777777" w:rsidR="00535A42" w:rsidRPr="00872D7E" w:rsidRDefault="00535A42" w:rsidP="00535A42">
      <w:pPr>
        <w:spacing w:line="216" w:lineRule="auto"/>
        <w:ind w:left="851"/>
        <w:jc w:val="both"/>
        <w:rPr>
          <w:b/>
          <w:bCs/>
          <w:sz w:val="16"/>
          <w:szCs w:val="16"/>
        </w:rPr>
      </w:pPr>
    </w:p>
    <w:p w14:paraId="2DE81D8C" w14:textId="77777777" w:rsidR="00A308EB" w:rsidRPr="00872D7E" w:rsidRDefault="00A308EB" w:rsidP="00535A42">
      <w:pPr>
        <w:spacing w:line="216" w:lineRule="auto"/>
        <w:ind w:left="851"/>
        <w:jc w:val="both"/>
        <w:rPr>
          <w:szCs w:val="20"/>
        </w:rPr>
      </w:pPr>
      <w:r w:rsidRPr="00872D7E">
        <w:rPr>
          <w:szCs w:val="20"/>
        </w:rPr>
        <w:t>Bankanın risk yönetimi sistemi, kredi, piyasa ve operasyonel risk yapılarını ve bu risklere bağlı olarak bankanın faaliyetlerinin niteliğini ve kapsamını izlemeyi, kontrol altında tutmayı ve gerektiğinde düzenlemeyi amaçlar. Bu süreçte, belirlenen politikalar, uygulama prosedürleri ve limitler kullanılarak risklerin tanımlanması, ölçülmesi, raporlanması, izlenmesi ve kontrol edilmesi sağlanır. Ayrıca, risk profilleriyle uyumlu bir şekilde bankanın içsel sermaye gereksiniminin belirlenmesine yönelik çalışmalar gerçekleştirilir.</w:t>
      </w:r>
    </w:p>
    <w:p w14:paraId="0AB0A4D6" w14:textId="77777777" w:rsidR="00535A42" w:rsidRPr="00872D7E" w:rsidRDefault="00535A42" w:rsidP="00535A42">
      <w:pPr>
        <w:spacing w:line="216" w:lineRule="auto"/>
        <w:ind w:left="851"/>
        <w:jc w:val="both"/>
        <w:rPr>
          <w:sz w:val="14"/>
          <w:szCs w:val="14"/>
        </w:rPr>
      </w:pPr>
    </w:p>
    <w:p w14:paraId="3CC246EC" w14:textId="77777777" w:rsidR="00A308EB" w:rsidRPr="00872D7E" w:rsidRDefault="00A308EB" w:rsidP="00535A42">
      <w:pPr>
        <w:spacing w:line="216" w:lineRule="auto"/>
        <w:ind w:left="851"/>
        <w:jc w:val="both"/>
        <w:rPr>
          <w:szCs w:val="20"/>
        </w:rPr>
      </w:pPr>
      <w:r w:rsidRPr="00872D7E">
        <w:rPr>
          <w:szCs w:val="20"/>
        </w:rPr>
        <w:t>Risk Yönetim Başkanlığı, Denetim Komitesi’ne bağlı olarak faaliyetlerini yürütmekte olup, risklerin tanımlanması, ölçülmesi, izlenmesi, kontrol edilmesi ve raporlanması süreçlerini tesis eder. Başkanlık bünyesinde; “Kredi Riski, Risk Analiz ve Modelleme”, “Validasyon”, “Piyasa Riski, Operasyonel Risk ve Raporlama” birimleri yer alır.</w:t>
      </w:r>
    </w:p>
    <w:p w14:paraId="45D046D7" w14:textId="77777777" w:rsidR="00535A42" w:rsidRPr="00872D7E" w:rsidRDefault="00535A42" w:rsidP="00535A42">
      <w:pPr>
        <w:spacing w:line="216" w:lineRule="auto"/>
        <w:ind w:left="851"/>
        <w:jc w:val="both"/>
        <w:rPr>
          <w:sz w:val="14"/>
          <w:szCs w:val="14"/>
        </w:rPr>
      </w:pPr>
    </w:p>
    <w:p w14:paraId="04279505" w14:textId="77777777" w:rsidR="00A308EB" w:rsidRPr="00872D7E" w:rsidRDefault="00A308EB" w:rsidP="00535A42">
      <w:pPr>
        <w:spacing w:line="216" w:lineRule="auto"/>
        <w:ind w:left="851"/>
        <w:jc w:val="both"/>
        <w:rPr>
          <w:szCs w:val="20"/>
        </w:rPr>
      </w:pPr>
      <w:r w:rsidRPr="00872D7E">
        <w:rPr>
          <w:szCs w:val="20"/>
        </w:rPr>
        <w:t>Banka bünyesinde güçlü, bağımsız ve etkin bir risk yönetim sisteminin, kurumsal risk kültürüne tam uyumlu bir şekilde hayata geçirilmesi ve sürdürülebilirliğinin sağlanması amacıyla:</w:t>
      </w:r>
    </w:p>
    <w:p w14:paraId="62C19A1F" w14:textId="77777777" w:rsidR="00535A42" w:rsidRPr="00872D7E" w:rsidRDefault="00535A42" w:rsidP="00535A42">
      <w:pPr>
        <w:spacing w:line="216" w:lineRule="auto"/>
        <w:ind w:left="851"/>
        <w:jc w:val="both"/>
        <w:rPr>
          <w:sz w:val="18"/>
          <w:szCs w:val="18"/>
        </w:rPr>
      </w:pPr>
    </w:p>
    <w:p w14:paraId="7D8C86A7" w14:textId="77777777" w:rsidR="00A308EB" w:rsidRPr="00872D7E" w:rsidRDefault="00A308EB" w:rsidP="00535A42">
      <w:pPr>
        <w:numPr>
          <w:ilvl w:val="0"/>
          <w:numId w:val="80"/>
        </w:numPr>
        <w:tabs>
          <w:tab w:val="clear" w:pos="720"/>
        </w:tabs>
        <w:spacing w:line="216" w:lineRule="auto"/>
        <w:ind w:left="1276" w:hanging="425"/>
        <w:jc w:val="both"/>
        <w:rPr>
          <w:szCs w:val="20"/>
          <w:lang w:eastAsia="tr-TR"/>
        </w:rPr>
      </w:pPr>
      <w:r w:rsidRPr="00872D7E">
        <w:rPr>
          <w:szCs w:val="20"/>
          <w:lang w:eastAsia="tr-TR"/>
        </w:rPr>
        <w:t>Bankanın bilgi sistemi riskleri dahil tüm riskleri kapsayan entegre bir risk yönetimi yapısının oluşturulması,</w:t>
      </w:r>
    </w:p>
    <w:p w14:paraId="1316AA75" w14:textId="77777777" w:rsidR="00A308EB" w:rsidRPr="00872D7E" w:rsidRDefault="00A308EB" w:rsidP="00535A42">
      <w:pPr>
        <w:numPr>
          <w:ilvl w:val="0"/>
          <w:numId w:val="80"/>
        </w:numPr>
        <w:tabs>
          <w:tab w:val="clear" w:pos="720"/>
        </w:tabs>
        <w:spacing w:line="216" w:lineRule="auto"/>
        <w:ind w:left="1276" w:hanging="425"/>
        <w:jc w:val="both"/>
        <w:rPr>
          <w:szCs w:val="20"/>
          <w:lang w:eastAsia="tr-TR"/>
        </w:rPr>
      </w:pPr>
      <w:r w:rsidRPr="00872D7E">
        <w:rPr>
          <w:szCs w:val="20"/>
          <w:lang w:eastAsia="tr-TR"/>
        </w:rPr>
        <w:t>Yönetim Kurulu tarafından risk yönetim süreçlerinin ve ilgili faaliyetlerin belirlenmesi, bunların düzenli olarak izlenip denetlenmesi,</w:t>
      </w:r>
    </w:p>
    <w:p w14:paraId="6D0E7BC1" w14:textId="77777777" w:rsidR="00535A42" w:rsidRPr="00872D7E" w:rsidRDefault="00535A42">
      <w:pPr>
        <w:rPr>
          <w:b/>
          <w:szCs w:val="20"/>
        </w:rPr>
      </w:pPr>
      <w:r w:rsidRPr="00872D7E">
        <w:rPr>
          <w:b/>
          <w:szCs w:val="20"/>
        </w:rPr>
        <w:br w:type="page"/>
      </w:r>
    </w:p>
    <w:p w14:paraId="6F599686" w14:textId="24585DAD" w:rsidR="00D106F3" w:rsidRPr="00872D7E" w:rsidRDefault="00D106F3" w:rsidP="00535A42">
      <w:pPr>
        <w:pStyle w:val="BodyTextIndent"/>
        <w:widowControl w:val="0"/>
        <w:ind w:firstLine="0"/>
        <w:rPr>
          <w:b/>
          <w:szCs w:val="20"/>
        </w:rPr>
      </w:pPr>
      <w:r w:rsidRPr="00872D7E">
        <w:rPr>
          <w:b/>
          <w:szCs w:val="20"/>
        </w:rPr>
        <w:lastRenderedPageBreak/>
        <w:t>MALİ BÜNYEYE VE RİSK YÖNETİMİNE İLİŞKİN BİLGİLER (Devamı)</w:t>
      </w:r>
    </w:p>
    <w:p w14:paraId="66B9575E" w14:textId="77777777" w:rsidR="00D106F3" w:rsidRPr="00872D7E" w:rsidRDefault="00D106F3" w:rsidP="00535A42">
      <w:pPr>
        <w:jc w:val="both"/>
        <w:rPr>
          <w:b/>
          <w:bCs/>
        </w:rPr>
      </w:pPr>
    </w:p>
    <w:p w14:paraId="276011B4" w14:textId="4097921B" w:rsidR="00D106F3" w:rsidRPr="00872D7E" w:rsidRDefault="00CB58D3" w:rsidP="00535A42">
      <w:pPr>
        <w:ind w:left="851" w:hanging="851"/>
        <w:jc w:val="both"/>
        <w:rPr>
          <w:b/>
          <w:bCs/>
        </w:rPr>
      </w:pPr>
      <w:r w:rsidRPr="00872D7E">
        <w:rPr>
          <w:b/>
          <w:bCs/>
        </w:rPr>
        <w:t>I</w:t>
      </w:r>
      <w:r w:rsidR="00D106F3" w:rsidRPr="00872D7E">
        <w:rPr>
          <w:b/>
          <w:bCs/>
        </w:rPr>
        <w:t>X.</w:t>
      </w:r>
      <w:r w:rsidR="00D106F3" w:rsidRPr="00872D7E">
        <w:rPr>
          <w:b/>
          <w:bCs/>
        </w:rPr>
        <w:tab/>
        <w:t>RİSK YÖNETİMİNE İLİŞKİN AÇIKLAMALAR (Devamı)</w:t>
      </w:r>
    </w:p>
    <w:p w14:paraId="5BBAD0E5" w14:textId="77777777" w:rsidR="00535A42" w:rsidRPr="00872D7E" w:rsidRDefault="00535A42" w:rsidP="00535A42">
      <w:pPr>
        <w:ind w:left="851" w:hanging="851"/>
        <w:jc w:val="both"/>
        <w:rPr>
          <w:b/>
          <w:bCs/>
        </w:rPr>
      </w:pPr>
    </w:p>
    <w:p w14:paraId="679612A8" w14:textId="42ADF662" w:rsidR="00A308EB" w:rsidRPr="00872D7E" w:rsidRDefault="00A308EB" w:rsidP="00535A42">
      <w:pPr>
        <w:numPr>
          <w:ilvl w:val="0"/>
          <w:numId w:val="80"/>
        </w:numPr>
        <w:tabs>
          <w:tab w:val="clear" w:pos="720"/>
        </w:tabs>
        <w:ind w:left="1276" w:hanging="425"/>
        <w:jc w:val="both"/>
        <w:rPr>
          <w:szCs w:val="20"/>
          <w:lang w:eastAsia="tr-TR"/>
        </w:rPr>
      </w:pPr>
      <w:r w:rsidRPr="00872D7E">
        <w:rPr>
          <w:szCs w:val="20"/>
          <w:lang w:eastAsia="tr-TR"/>
        </w:rPr>
        <w:t>Bankanın faaliyetlerinden kaynaklanan risklerin çeşitli boyutlarının etkin bir şekilde yönetilmesine imkân sağlayacak politika, uygulama prosedürleri ve limitlerin tesis edilmesi,</w:t>
      </w:r>
    </w:p>
    <w:p w14:paraId="0356B42A" w14:textId="57C4362C" w:rsidR="00A308EB" w:rsidRPr="00872D7E" w:rsidRDefault="00A308EB" w:rsidP="00535A42">
      <w:pPr>
        <w:numPr>
          <w:ilvl w:val="0"/>
          <w:numId w:val="80"/>
        </w:numPr>
        <w:tabs>
          <w:tab w:val="clear" w:pos="720"/>
        </w:tabs>
        <w:ind w:left="1276" w:hanging="425"/>
        <w:jc w:val="both"/>
        <w:rPr>
          <w:szCs w:val="20"/>
          <w:lang w:eastAsia="tr-TR"/>
        </w:rPr>
      </w:pPr>
      <w:r w:rsidRPr="00872D7E">
        <w:rPr>
          <w:szCs w:val="20"/>
        </w:rPr>
        <w:t>Bankanın risk profili, stratejik planı, sermaye stratejileri ve İSEDES analizleriyle uyumlu bir risk iştahı yapısının tasarlanması; buna paralel olarak risk iştahı sınırlarının belirlenip sürekli gözden geçirilmesi,</w:t>
      </w:r>
    </w:p>
    <w:p w14:paraId="304A6FC6" w14:textId="77777777" w:rsidR="00A308EB" w:rsidRPr="00872D7E" w:rsidRDefault="00A308EB" w:rsidP="00535A42">
      <w:pPr>
        <w:numPr>
          <w:ilvl w:val="0"/>
          <w:numId w:val="80"/>
        </w:numPr>
        <w:tabs>
          <w:tab w:val="clear" w:pos="720"/>
        </w:tabs>
        <w:ind w:left="1276" w:hanging="425"/>
        <w:jc w:val="both"/>
        <w:rPr>
          <w:szCs w:val="20"/>
          <w:lang w:eastAsia="tr-TR"/>
        </w:rPr>
      </w:pPr>
      <w:r w:rsidRPr="00872D7E">
        <w:rPr>
          <w:szCs w:val="20"/>
          <w:lang w:eastAsia="tr-TR"/>
        </w:rPr>
        <w:t>Risk Yönetim Başkanlığı bünyesinde nitelikli ve yeterli sayıda personelin istihdam edilmesiyle, tutarlı ve kapsamlı risk ölçümü, analizi ve izleme çalışmalarının gerçekleştirilmesi,</w:t>
      </w:r>
    </w:p>
    <w:p w14:paraId="32AEC178" w14:textId="77777777" w:rsidR="00A308EB" w:rsidRPr="00872D7E" w:rsidRDefault="00A308EB" w:rsidP="00535A42">
      <w:pPr>
        <w:numPr>
          <w:ilvl w:val="0"/>
          <w:numId w:val="80"/>
        </w:numPr>
        <w:tabs>
          <w:tab w:val="clear" w:pos="720"/>
        </w:tabs>
        <w:ind w:left="1276" w:hanging="425"/>
        <w:jc w:val="both"/>
        <w:rPr>
          <w:szCs w:val="20"/>
          <w:lang w:eastAsia="tr-TR"/>
        </w:rPr>
      </w:pPr>
      <w:r w:rsidRPr="00872D7E">
        <w:rPr>
          <w:szCs w:val="20"/>
          <w:lang w:eastAsia="tr-TR"/>
        </w:rPr>
        <w:t>Güvenilir bir yönetim bilgi sistemine ve gelişmiş teknolojiye erişimin sağlanması,</w:t>
      </w:r>
    </w:p>
    <w:p w14:paraId="7540D775" w14:textId="77777777" w:rsidR="00A308EB" w:rsidRPr="00872D7E" w:rsidRDefault="00A308EB" w:rsidP="00535A42">
      <w:pPr>
        <w:numPr>
          <w:ilvl w:val="0"/>
          <w:numId w:val="80"/>
        </w:numPr>
        <w:tabs>
          <w:tab w:val="clear" w:pos="720"/>
        </w:tabs>
        <w:ind w:left="1276" w:hanging="425"/>
        <w:jc w:val="both"/>
        <w:rPr>
          <w:szCs w:val="20"/>
          <w:lang w:eastAsia="tr-TR"/>
        </w:rPr>
      </w:pPr>
      <w:r w:rsidRPr="00872D7E">
        <w:rPr>
          <w:szCs w:val="20"/>
          <w:lang w:eastAsia="tr-TR"/>
        </w:rPr>
        <w:t>Kullanılacak risk modellerinin doğruluğunun test edilip onaylanmış olması,</w:t>
      </w:r>
    </w:p>
    <w:p w14:paraId="53968C8D" w14:textId="77777777" w:rsidR="00A308EB" w:rsidRPr="00872D7E" w:rsidRDefault="00A308EB" w:rsidP="00535A42">
      <w:pPr>
        <w:numPr>
          <w:ilvl w:val="0"/>
          <w:numId w:val="80"/>
        </w:numPr>
        <w:tabs>
          <w:tab w:val="clear" w:pos="720"/>
        </w:tabs>
        <w:ind w:left="1276" w:hanging="425"/>
        <w:jc w:val="both"/>
        <w:rPr>
          <w:szCs w:val="20"/>
          <w:lang w:eastAsia="tr-TR"/>
        </w:rPr>
      </w:pPr>
      <w:r w:rsidRPr="00872D7E">
        <w:rPr>
          <w:szCs w:val="20"/>
          <w:lang w:eastAsia="tr-TR"/>
        </w:rPr>
        <w:t>Verilerin doğruluk ve bütünlüğünün korunması,</w:t>
      </w:r>
    </w:p>
    <w:p w14:paraId="519AF089" w14:textId="77777777" w:rsidR="00A308EB" w:rsidRPr="00872D7E" w:rsidRDefault="00A308EB" w:rsidP="00535A42">
      <w:pPr>
        <w:ind w:left="1276"/>
        <w:jc w:val="both"/>
        <w:rPr>
          <w:szCs w:val="20"/>
          <w:lang w:eastAsia="tr-TR"/>
        </w:rPr>
      </w:pPr>
      <w:proofErr w:type="gramStart"/>
      <w:r w:rsidRPr="00872D7E">
        <w:rPr>
          <w:szCs w:val="20"/>
          <w:lang w:eastAsia="tr-TR"/>
        </w:rPr>
        <w:t>temel</w:t>
      </w:r>
      <w:proofErr w:type="gramEnd"/>
      <w:r w:rsidRPr="00872D7E">
        <w:rPr>
          <w:szCs w:val="20"/>
          <w:lang w:eastAsia="tr-TR"/>
        </w:rPr>
        <w:t xml:space="preserve"> hedefler arasında yer almaktadır.</w:t>
      </w:r>
    </w:p>
    <w:p w14:paraId="0C5ECF2D" w14:textId="77777777" w:rsidR="00535A42" w:rsidRPr="00872D7E" w:rsidRDefault="00535A42" w:rsidP="00535A42">
      <w:pPr>
        <w:pStyle w:val="NormalWeb"/>
        <w:spacing w:before="0" w:beforeAutospacing="0" w:after="0" w:afterAutospacing="0"/>
        <w:jc w:val="both"/>
        <w:rPr>
          <w:rFonts w:ascii="Times New Roman" w:hAnsi="Times New Roman" w:cs="Times New Roman"/>
          <w:szCs w:val="20"/>
        </w:rPr>
      </w:pPr>
    </w:p>
    <w:p w14:paraId="400AA684" w14:textId="5E696544" w:rsidR="00A308EB" w:rsidRPr="00872D7E" w:rsidRDefault="00A308EB" w:rsidP="00535A42">
      <w:pPr>
        <w:pStyle w:val="NormalWeb"/>
        <w:spacing w:before="0" w:beforeAutospacing="0" w:after="0" w:afterAutospacing="0"/>
        <w:ind w:left="851"/>
        <w:jc w:val="both"/>
        <w:rPr>
          <w:rFonts w:ascii="Times New Roman" w:hAnsi="Times New Roman" w:cs="Times New Roman"/>
          <w:szCs w:val="20"/>
        </w:rPr>
      </w:pPr>
      <w:r w:rsidRPr="00872D7E">
        <w:rPr>
          <w:rFonts w:ascii="Times New Roman" w:hAnsi="Times New Roman" w:cs="Times New Roman"/>
          <w:szCs w:val="20"/>
        </w:rPr>
        <w:t>Piyasa riski, kredi riski, operasyonel risk ve diğer kritik riskler, her ne kadar farklı ölçüm yöntemleriyle değerlendiriliyor olsa da Banka genelinde entegre bir risk yönetimi yaklaşımı doğrultusunda birbiriyle bütünleşik şekilde ele alınır. Banka, risklerin tamamını bir bütünlük içinde değerlendirir ve bu risklerin meydana getirdiği sermaye gereksinimlerini tespit eder.</w:t>
      </w:r>
    </w:p>
    <w:p w14:paraId="7C70CB5C" w14:textId="77777777" w:rsidR="00535A42" w:rsidRPr="00872D7E" w:rsidRDefault="00535A42" w:rsidP="00535A42">
      <w:pPr>
        <w:pStyle w:val="NormalWeb"/>
        <w:spacing w:before="0" w:beforeAutospacing="0" w:after="0" w:afterAutospacing="0"/>
        <w:ind w:left="851"/>
        <w:jc w:val="both"/>
        <w:rPr>
          <w:rFonts w:ascii="Times New Roman" w:hAnsi="Times New Roman" w:cs="Times New Roman"/>
          <w:szCs w:val="20"/>
        </w:rPr>
      </w:pPr>
    </w:p>
    <w:p w14:paraId="73A2DB42" w14:textId="77777777" w:rsidR="00A308EB" w:rsidRPr="00872D7E" w:rsidRDefault="00A308EB" w:rsidP="00535A42">
      <w:pPr>
        <w:pStyle w:val="NormalWeb"/>
        <w:spacing w:before="0" w:beforeAutospacing="0" w:after="0" w:afterAutospacing="0"/>
        <w:ind w:left="851"/>
        <w:jc w:val="both"/>
        <w:rPr>
          <w:rFonts w:ascii="Times New Roman" w:hAnsi="Times New Roman" w:cs="Times New Roman"/>
          <w:szCs w:val="20"/>
        </w:rPr>
      </w:pPr>
      <w:r w:rsidRPr="00872D7E">
        <w:rPr>
          <w:rFonts w:ascii="Times New Roman" w:hAnsi="Times New Roman" w:cs="Times New Roman"/>
          <w:szCs w:val="20"/>
        </w:rPr>
        <w:t>Denetim Komitesi’nin yönlendirmesiyle hazırlanan risk politikaları ve uygulama yöntemleri, Yönetim Kurulu’nun onayının ardından hayata geçirilir. Risk Yönetim Başkanlığı, bu prosedürlerin ve dokümanların güncel kalmasını sağlamakla birlikte, ihtiyaç duyuldukça revizyonlarını gerçekleştirir. Ayrıca, Risk Yönetim Başkanlığı, Banka genelindeki çalışanlara, Üst Yönetim tarafından belirlenen yazılı standartları içeren risk politikalarını ve ilgili uygulama detaylarını iletir. Diğer iş birimlerine ise gerektiğinde risk odaklı görüş ve öneriler sunar.</w:t>
      </w:r>
    </w:p>
    <w:p w14:paraId="5E9CC301" w14:textId="77777777" w:rsidR="00535A42" w:rsidRPr="00872D7E" w:rsidRDefault="00535A42" w:rsidP="00535A42">
      <w:pPr>
        <w:pStyle w:val="NormalWeb"/>
        <w:spacing w:before="0" w:beforeAutospacing="0" w:after="0" w:afterAutospacing="0"/>
        <w:ind w:left="851"/>
        <w:jc w:val="both"/>
        <w:rPr>
          <w:rFonts w:ascii="Times New Roman" w:hAnsi="Times New Roman" w:cs="Times New Roman"/>
          <w:szCs w:val="20"/>
        </w:rPr>
      </w:pPr>
    </w:p>
    <w:p w14:paraId="49C273DA" w14:textId="77777777" w:rsidR="00A308EB" w:rsidRPr="00872D7E" w:rsidRDefault="00A308EB" w:rsidP="00535A42">
      <w:pPr>
        <w:pStyle w:val="NormalWeb"/>
        <w:spacing w:before="0" w:beforeAutospacing="0" w:after="0" w:afterAutospacing="0"/>
        <w:ind w:left="851"/>
        <w:jc w:val="both"/>
        <w:rPr>
          <w:rFonts w:ascii="Times New Roman" w:hAnsi="Times New Roman" w:cs="Times New Roman"/>
          <w:szCs w:val="20"/>
        </w:rPr>
      </w:pPr>
      <w:r w:rsidRPr="00872D7E">
        <w:rPr>
          <w:rFonts w:ascii="Times New Roman" w:hAnsi="Times New Roman" w:cs="Times New Roman"/>
          <w:szCs w:val="20"/>
        </w:rPr>
        <w:t>Risk iştahı kapsamında belirlenen limitlerde meydana gelen aşım durumlarında, ilgili birimlere bilgi verilir ve bu ihlallerle ilgili gerekli adımlar atılması sağlanır. Basel prensipleri doğrultusunda yapılan raporlamalara ek olarak, Yönetim Kurulu, Denetim Komitesi, Operasyonel Risk Komitesi ve Aktif Pasif Komitesi için düzenli raporlamalar yapılır.</w:t>
      </w:r>
    </w:p>
    <w:p w14:paraId="6074C511" w14:textId="77777777" w:rsidR="00535A42" w:rsidRPr="00872D7E" w:rsidRDefault="00535A42" w:rsidP="00535A42">
      <w:pPr>
        <w:pStyle w:val="NormalWeb"/>
        <w:spacing w:before="0" w:beforeAutospacing="0" w:after="0" w:afterAutospacing="0"/>
        <w:ind w:left="851"/>
        <w:jc w:val="both"/>
        <w:rPr>
          <w:rFonts w:ascii="Times New Roman" w:hAnsi="Times New Roman" w:cs="Times New Roman"/>
          <w:szCs w:val="20"/>
        </w:rPr>
      </w:pPr>
    </w:p>
    <w:p w14:paraId="43E35C38" w14:textId="77777777" w:rsidR="00A308EB" w:rsidRPr="00872D7E" w:rsidRDefault="00A308EB" w:rsidP="00535A42">
      <w:pPr>
        <w:pStyle w:val="NormalWeb"/>
        <w:spacing w:before="0" w:beforeAutospacing="0" w:after="0" w:afterAutospacing="0"/>
        <w:ind w:left="851"/>
        <w:jc w:val="both"/>
        <w:rPr>
          <w:rFonts w:ascii="Times New Roman" w:hAnsi="Times New Roman" w:cs="Times New Roman"/>
          <w:szCs w:val="20"/>
        </w:rPr>
      </w:pPr>
      <w:r w:rsidRPr="00872D7E">
        <w:rPr>
          <w:rFonts w:ascii="Times New Roman" w:hAnsi="Times New Roman" w:cs="Times New Roman"/>
          <w:szCs w:val="20"/>
        </w:rPr>
        <w:t xml:space="preserve">En az üç ayda bir, İç Sistem fonksiyonlarına ilişkin raporlar Denetim Komitesi’ne sunulur. Denetim Komitesi, faaliyet sonuçlarına, gerçekleştirilmesi gerekli olan politika değişikliklerine, Banka’da uygulanması gereken önlemlere ve Banka'nın güvenli işleyişi açısından kritik bulduğu konulara ilişkin değerlendirmelerini Yönetim Kurulu’na aktarır. </w:t>
      </w:r>
    </w:p>
    <w:p w14:paraId="2883DC9D" w14:textId="77777777" w:rsidR="00535A42" w:rsidRPr="00872D7E" w:rsidRDefault="00535A42" w:rsidP="00535A42">
      <w:pPr>
        <w:pStyle w:val="NormalWeb"/>
        <w:spacing w:before="0" w:beforeAutospacing="0" w:after="0" w:afterAutospacing="0"/>
        <w:ind w:left="851"/>
        <w:jc w:val="both"/>
        <w:rPr>
          <w:rFonts w:ascii="Times New Roman" w:hAnsi="Times New Roman" w:cs="Times New Roman"/>
          <w:szCs w:val="20"/>
        </w:rPr>
      </w:pPr>
    </w:p>
    <w:p w14:paraId="0455AB03" w14:textId="77777777" w:rsidR="00A308EB" w:rsidRPr="00872D7E" w:rsidRDefault="00A308EB" w:rsidP="00535A42">
      <w:pPr>
        <w:pStyle w:val="NormalWeb"/>
        <w:spacing w:before="0" w:beforeAutospacing="0" w:after="0" w:afterAutospacing="0"/>
        <w:ind w:left="851"/>
        <w:jc w:val="both"/>
        <w:rPr>
          <w:rFonts w:ascii="Times New Roman" w:hAnsi="Times New Roman" w:cs="Times New Roman"/>
          <w:szCs w:val="20"/>
        </w:rPr>
      </w:pPr>
      <w:r w:rsidRPr="00872D7E">
        <w:rPr>
          <w:rFonts w:ascii="Times New Roman" w:hAnsi="Times New Roman" w:cs="Times New Roman"/>
          <w:szCs w:val="20"/>
        </w:rPr>
        <w:t>Banka’nın iç denetim birimlerinden gelen bulgular ve bağımsız denetim kuruluşlarının ya da BDDK denetim ekiplerinin gündeme getirdiği konular, Komite tarafından ele alınır ve önemli görülen hususlar Yönetim Kurulu’nun gündemine taşınır.</w:t>
      </w:r>
    </w:p>
    <w:p w14:paraId="27C49FA4" w14:textId="77777777" w:rsidR="00535A42" w:rsidRPr="00872D7E" w:rsidRDefault="00535A42" w:rsidP="00535A42">
      <w:pPr>
        <w:pStyle w:val="NormalWeb"/>
        <w:spacing w:before="0" w:beforeAutospacing="0" w:after="0" w:afterAutospacing="0"/>
        <w:ind w:left="851"/>
        <w:jc w:val="both"/>
        <w:rPr>
          <w:rFonts w:ascii="Times New Roman" w:hAnsi="Times New Roman" w:cs="Times New Roman"/>
          <w:szCs w:val="20"/>
        </w:rPr>
      </w:pPr>
    </w:p>
    <w:p w14:paraId="658E3D52" w14:textId="77777777" w:rsidR="00A308EB" w:rsidRPr="00872D7E" w:rsidRDefault="00A308EB" w:rsidP="00535A42">
      <w:pPr>
        <w:pStyle w:val="NormalWeb"/>
        <w:spacing w:before="0" w:beforeAutospacing="0" w:after="0" w:afterAutospacing="0"/>
        <w:ind w:left="851"/>
        <w:jc w:val="both"/>
        <w:rPr>
          <w:rFonts w:ascii="Times New Roman" w:hAnsi="Times New Roman" w:cs="Times New Roman"/>
          <w:szCs w:val="20"/>
        </w:rPr>
      </w:pPr>
      <w:r w:rsidRPr="00872D7E">
        <w:rPr>
          <w:rFonts w:ascii="Times New Roman" w:hAnsi="Times New Roman" w:cs="Times New Roman"/>
          <w:szCs w:val="20"/>
        </w:rPr>
        <w:t>Aylık Risk İştahı Raporları, bankanın risk iştahı sonuçları ile kredi performansına dair değerlendirmelerin yanı sıra sektörle yapılan karşılaştırmalar da içermektedir. Bu değerlendirmeler arasında takipteki krediler, gecikme oranları, yapılandırma işlemleri ve portföy büyümesi gibi kriterler yer alır. Aktif Pasif Komitesi’ne (APKO) sunulan raporlar kapsamında, bankanın likidite durumuna ilişkin değerlendirmeler yapılmaktadır. Bu çerçevede, likidite riski kapsamında belirlenen erken uyarı göstergelerinin limit uyumu ve likidite tamponu hesaplama sonuçları raporlanır. Operasyonel Risk Komitesi’ne, kritik öneme sahip operasyonel risklerin yer aldığı gündem maddeleri aktarılır ve bu risklerin önlenmesine yönelik hazırlanan aksiyon planlarının durumu hakkında bilgilendirme yapılır.</w:t>
      </w:r>
    </w:p>
    <w:p w14:paraId="043DC8E2" w14:textId="77777777" w:rsidR="00535A42" w:rsidRPr="00872D7E" w:rsidRDefault="00535A42" w:rsidP="00535A42">
      <w:pPr>
        <w:pStyle w:val="NormalWeb"/>
        <w:spacing w:before="0" w:beforeAutospacing="0" w:after="0" w:afterAutospacing="0"/>
        <w:ind w:left="851"/>
        <w:jc w:val="both"/>
        <w:rPr>
          <w:rFonts w:ascii="Times New Roman" w:hAnsi="Times New Roman" w:cs="Times New Roman"/>
          <w:szCs w:val="20"/>
        </w:rPr>
      </w:pPr>
    </w:p>
    <w:p w14:paraId="0C64C3F6" w14:textId="42C9134C" w:rsidR="00535A42" w:rsidRPr="00872D7E" w:rsidRDefault="00A308EB" w:rsidP="00535A42">
      <w:pPr>
        <w:pStyle w:val="NormalWeb"/>
        <w:spacing w:before="0" w:beforeAutospacing="0" w:after="0" w:afterAutospacing="0"/>
        <w:ind w:left="851"/>
        <w:jc w:val="both"/>
        <w:rPr>
          <w:rFonts w:ascii="Times New Roman" w:hAnsi="Times New Roman" w:cs="Times New Roman"/>
          <w:szCs w:val="20"/>
        </w:rPr>
      </w:pPr>
      <w:r w:rsidRPr="00872D7E">
        <w:rPr>
          <w:rFonts w:ascii="Times New Roman" w:hAnsi="Times New Roman" w:cs="Times New Roman"/>
          <w:szCs w:val="20"/>
        </w:rPr>
        <w:t>Bankada, risk ölçümlerini desteklemek amacıyla İSEDES kapsamında stres testleri ve senaryo analizleri uygulanır. Bu çalışmalar, risk faktörlerindeki değişimlerin etkisini ölçmeyi ve beklenmeyen piyasa koşullarının ana faaliyetlere olası etkilerini değerlendirmeyi amaçlar. Banka genelinde yapılan stres testlerinin temelinde, Banka’nın genelini etkileyecek makroekonomik ve piyasa kaynaklı stres senaryolarının belirlenmesi yer alır. Senaryo oluşturulurken ilgili müdürlüklerin görüşleri doğrultusunda güncel, stresli ve en olumsuz koşulları temel alan olaylar seçilir.</w:t>
      </w:r>
      <w:r w:rsidR="00535A42" w:rsidRPr="00872D7E">
        <w:rPr>
          <w:b/>
          <w:szCs w:val="20"/>
        </w:rPr>
        <w:br w:type="page"/>
      </w:r>
    </w:p>
    <w:p w14:paraId="07EAE953" w14:textId="51503096" w:rsidR="00D106F3" w:rsidRPr="00872D7E" w:rsidRDefault="00D106F3" w:rsidP="000646E0">
      <w:pPr>
        <w:pStyle w:val="BodyTextIndent"/>
        <w:widowControl w:val="0"/>
        <w:ind w:firstLine="0"/>
        <w:jc w:val="left"/>
        <w:rPr>
          <w:b/>
          <w:szCs w:val="20"/>
        </w:rPr>
      </w:pPr>
      <w:r w:rsidRPr="00872D7E">
        <w:rPr>
          <w:b/>
          <w:szCs w:val="20"/>
        </w:rPr>
        <w:lastRenderedPageBreak/>
        <w:t>MALİ BÜNYEYE VE RİSK YÖNETİMİNE İLİŞKİN BİLGİLER (Devamı)</w:t>
      </w:r>
    </w:p>
    <w:p w14:paraId="7C567976" w14:textId="3B60B41F" w:rsidR="000E463B" w:rsidRPr="00872D7E" w:rsidRDefault="000E463B" w:rsidP="000646E0">
      <w:pPr>
        <w:rPr>
          <w:b/>
          <w:bCs/>
        </w:rPr>
      </w:pPr>
    </w:p>
    <w:p w14:paraId="622F3CC4" w14:textId="328C251B" w:rsidR="000E463B" w:rsidRPr="00872D7E" w:rsidRDefault="00CB58D3" w:rsidP="000646E0">
      <w:pPr>
        <w:ind w:left="851" w:hanging="851"/>
        <w:rPr>
          <w:b/>
          <w:bCs/>
        </w:rPr>
      </w:pPr>
      <w:r w:rsidRPr="00872D7E">
        <w:rPr>
          <w:b/>
          <w:bCs/>
        </w:rPr>
        <w:t>I</w:t>
      </w:r>
      <w:r w:rsidR="000E463B" w:rsidRPr="00872D7E">
        <w:rPr>
          <w:b/>
          <w:bCs/>
        </w:rPr>
        <w:t>X.</w:t>
      </w:r>
      <w:r w:rsidR="000E463B" w:rsidRPr="00872D7E">
        <w:rPr>
          <w:b/>
          <w:bCs/>
        </w:rPr>
        <w:tab/>
        <w:t>RİSK YÖNETİMİNE İLİŞKİN AÇIKLAMALAR (Devamı)</w:t>
      </w:r>
    </w:p>
    <w:p w14:paraId="7AFF36C6" w14:textId="77777777" w:rsidR="000646E0" w:rsidRPr="00872D7E" w:rsidRDefault="000646E0" w:rsidP="000646E0">
      <w:pPr>
        <w:pStyle w:val="NormalWeb"/>
        <w:spacing w:before="0" w:beforeAutospacing="0" w:after="0" w:afterAutospacing="0"/>
        <w:jc w:val="both"/>
        <w:rPr>
          <w:rFonts w:ascii="Times New Roman" w:hAnsi="Times New Roman" w:cs="Times New Roman"/>
          <w:szCs w:val="20"/>
        </w:rPr>
      </w:pPr>
    </w:p>
    <w:p w14:paraId="75D2B8BF" w14:textId="5C63C812"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Fonts w:ascii="Times New Roman" w:hAnsi="Times New Roman" w:cs="Times New Roman"/>
          <w:szCs w:val="20"/>
        </w:rPr>
        <w:t>Stres testleri, başlıca sermaye ve likidite yeterlilik rasyolarının hesaplanmasında dikkate alınan risklere, II. yapısal blok risklerine ve yasal sermayenin alt bileşenlerine şok uygulanması yöntemiyle yapılır. Bunun yanı sıra, riskler ana kategorilere ayrılarak duyarlılık analizleri ve ters stres testleri yapılır. Ayrıca, belirlenen senaryoların gerçekleşmesi durumunda özkaynak üzerinde oluşabilecek değişimler de hesaplanmaktadır.</w:t>
      </w:r>
    </w:p>
    <w:p w14:paraId="779F0655"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30066921" w14:textId="62F88C88"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Fonts w:ascii="Times New Roman" w:hAnsi="Times New Roman" w:cs="Times New Roman"/>
          <w:szCs w:val="20"/>
        </w:rPr>
        <w:t>Banka bünyesinde oluşturulan komiteler, aşağıda belirtilen faaliyetleri yerine getirmektedir:</w:t>
      </w:r>
    </w:p>
    <w:p w14:paraId="1034D3A9"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00FBE6A4" w14:textId="77777777"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Style w:val="Strong"/>
          <w:szCs w:val="20"/>
        </w:rPr>
        <w:t>Genel Müdürlük Kredi Komitesi:</w:t>
      </w:r>
      <w:r w:rsidRPr="00872D7E">
        <w:rPr>
          <w:rFonts w:ascii="Times New Roman" w:hAnsi="Times New Roman" w:cs="Times New Roman"/>
          <w:szCs w:val="20"/>
        </w:rPr>
        <w:t xml:space="preserve"> Kredi Riski Komitesi’nin temel görevi, kredi portföyünü, kredi riski taşıyan işlemleri ve bunlara ilişkin süreçleri kapsamlı bir şekilde izlemektir. Ayrıca, yetki alanı dahilinde, komitenin takdirine bağlı olarak risk azaltıcı ve iyileştirici adımların karara bağlanması, önerilmesi ve takip edilmesi yönünde değerlendirmelerde bulunur.</w:t>
      </w:r>
    </w:p>
    <w:p w14:paraId="45481CFB"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5ACBD846" w14:textId="77777777"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Style w:val="Strong"/>
          <w:szCs w:val="20"/>
        </w:rPr>
        <w:t>Operasyonel Risk Komitesi:</w:t>
      </w:r>
      <w:r w:rsidRPr="00872D7E">
        <w:rPr>
          <w:rFonts w:ascii="Times New Roman" w:hAnsi="Times New Roman" w:cs="Times New Roman"/>
          <w:szCs w:val="20"/>
        </w:rPr>
        <w:t xml:space="preserve"> Üst düzey yönetim, iç sistemler birimleri, diğer birimler, dış denetim ve düzenleyici denetim otoriteleri tarafından gündeme getirilen önemli veya yüksek risk taşıyan bulgu ve sorunların ele alındığı bir komitedir. Bu komite, bankanın operasyonel risk oluşturabilecek konuları etkin bir şekilde tartışmak, değerlendirmek ve çözüm planları ile takvimlerini oluşturmak amacıyla faaliyet göstermektedir.</w:t>
      </w:r>
    </w:p>
    <w:p w14:paraId="030BAFB0"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5934E632" w14:textId="77777777"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Style w:val="Strong"/>
          <w:szCs w:val="20"/>
        </w:rPr>
        <w:t>Aktif / Pasif Yönetimi Komitesi:</w:t>
      </w:r>
      <w:r w:rsidRPr="00872D7E">
        <w:rPr>
          <w:rFonts w:ascii="Times New Roman" w:hAnsi="Times New Roman" w:cs="Times New Roman"/>
          <w:szCs w:val="20"/>
        </w:rPr>
        <w:t xml:space="preserve"> Bankanın varlık ve yükümlülüklerini yönetmek, kâr payı, likidite ve piyasa risklerini değerlendirmekle görevlidir. Komite, banka stratejileri ve rekabet koşullarını göz önünde bulundurarak bilanço yönetimiyle ilgili kararlar alır ve bu kararların uygulanmasını izler.</w:t>
      </w:r>
    </w:p>
    <w:p w14:paraId="5B157B75"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5D6FFFA1" w14:textId="77777777"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Style w:val="Strong"/>
          <w:szCs w:val="20"/>
        </w:rPr>
        <w:t>Üst Yönetim Komitesi:</w:t>
      </w:r>
      <w:r w:rsidRPr="00872D7E">
        <w:rPr>
          <w:rFonts w:ascii="Times New Roman" w:hAnsi="Times New Roman" w:cs="Times New Roman"/>
          <w:szCs w:val="20"/>
        </w:rPr>
        <w:t xml:space="preserve"> Bu komite, bankanın mali performansını izlemek, stratejik önceliklerin yürütülmesini denetlemek, müşteri deneyimini geliştirmek ve Genel Müdürlük Komitelerinden gelen konuların çözümünü sağlamak üzere üst yönetim için bir forum oluşturur.</w:t>
      </w:r>
    </w:p>
    <w:p w14:paraId="1C61EE62"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2CAE99CF" w14:textId="77777777"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Style w:val="Strong"/>
          <w:szCs w:val="20"/>
        </w:rPr>
        <w:t>Bilgi Güvenliği Komitesi:</w:t>
      </w:r>
      <w:r w:rsidRPr="00872D7E">
        <w:rPr>
          <w:rFonts w:ascii="Times New Roman" w:hAnsi="Times New Roman" w:cs="Times New Roman"/>
          <w:szCs w:val="20"/>
        </w:rPr>
        <w:t xml:space="preserve"> Bankanın tüm iş süreçlerini kapsayacak şekilde bilgi güvenliği faaliyetlerini yönlendirmek amacıyla kurulmuştur.</w:t>
      </w:r>
    </w:p>
    <w:p w14:paraId="30C0F2BA"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414F5744" w14:textId="77777777"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Style w:val="Strong"/>
          <w:szCs w:val="20"/>
        </w:rPr>
        <w:t>İş Sağlığı ve Güvenliği Komitesi:</w:t>
      </w:r>
      <w:r w:rsidRPr="00872D7E">
        <w:rPr>
          <w:rFonts w:ascii="Times New Roman" w:hAnsi="Times New Roman" w:cs="Times New Roman"/>
          <w:szCs w:val="20"/>
        </w:rPr>
        <w:t xml:space="preserve"> İş Sağlığı ve Güvenliği Kanunu ve ilgili yönetmeliklerde belirtilen yükümlülüklerin yerine getirilmesini sağlamak için faaliyet gösterir.</w:t>
      </w:r>
    </w:p>
    <w:p w14:paraId="4960E907"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1BD3A6F8" w14:textId="77777777"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Style w:val="Strong"/>
          <w:szCs w:val="20"/>
        </w:rPr>
        <w:t>Bilgi Paylaşım Komitesi:</w:t>
      </w:r>
      <w:r w:rsidRPr="00872D7E">
        <w:rPr>
          <w:rFonts w:ascii="Times New Roman" w:hAnsi="Times New Roman" w:cs="Times New Roman"/>
          <w:szCs w:val="20"/>
        </w:rPr>
        <w:t xml:space="preserve"> Banka ve müşteri sırlarını koruma ilkesi doğrultusunda bilgi paylaşımı süreçlerini koordine etmek, gelen taleplerin uygunluğunu değerlendirerek kayıt altına almak üzere oluşturulmuştur.</w:t>
      </w:r>
    </w:p>
    <w:p w14:paraId="7FCF7B9D"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21B934B7" w14:textId="77777777" w:rsidR="00A308EB" w:rsidRPr="00872D7E" w:rsidRDefault="00A308EB" w:rsidP="000646E0">
      <w:pPr>
        <w:pStyle w:val="NormalWeb"/>
        <w:spacing w:before="0" w:beforeAutospacing="0" w:after="0" w:afterAutospacing="0"/>
        <w:ind w:left="851"/>
        <w:jc w:val="both"/>
        <w:rPr>
          <w:rFonts w:ascii="Times New Roman" w:hAnsi="Times New Roman" w:cs="Times New Roman"/>
          <w:szCs w:val="20"/>
        </w:rPr>
      </w:pPr>
      <w:r w:rsidRPr="00872D7E">
        <w:rPr>
          <w:rStyle w:val="Strong"/>
          <w:szCs w:val="20"/>
        </w:rPr>
        <w:t>BT Strateji ve Yönlendirme Komitesi:</w:t>
      </w:r>
      <w:r w:rsidRPr="00872D7E">
        <w:rPr>
          <w:rFonts w:ascii="Times New Roman" w:hAnsi="Times New Roman" w:cs="Times New Roman"/>
          <w:szCs w:val="20"/>
        </w:rPr>
        <w:t xml:space="preserve"> Yönetim Kurulu adına, bilgi sistemleri stratejik planı çerçevesinde BS yatırımlarının uygun şekilde kullanılmasını ve iş hedefleri ile bilgi sistemleri hedeflerinin uyumunu sağlamak için faaliyet gösterir.</w:t>
      </w:r>
    </w:p>
    <w:p w14:paraId="30CDCBE4" w14:textId="77777777" w:rsidR="000646E0" w:rsidRPr="00872D7E" w:rsidRDefault="000646E0" w:rsidP="000646E0">
      <w:pPr>
        <w:pStyle w:val="NormalWeb"/>
        <w:spacing w:before="0" w:beforeAutospacing="0" w:after="0" w:afterAutospacing="0"/>
        <w:ind w:left="851"/>
        <w:jc w:val="both"/>
        <w:rPr>
          <w:rFonts w:ascii="Times New Roman" w:hAnsi="Times New Roman" w:cs="Times New Roman"/>
          <w:szCs w:val="20"/>
        </w:rPr>
      </w:pPr>
    </w:p>
    <w:p w14:paraId="77222A36" w14:textId="592801EF" w:rsidR="006F1CF2" w:rsidRPr="00872D7E" w:rsidRDefault="00A308EB" w:rsidP="000646E0">
      <w:pPr>
        <w:ind w:left="851"/>
        <w:jc w:val="both"/>
      </w:pPr>
      <w:r w:rsidRPr="00872D7E">
        <w:rPr>
          <w:szCs w:val="20"/>
        </w:rPr>
        <w:t xml:space="preserve">Ayrıca, bankada satın alma süreçlerinin yürütüldüğü </w:t>
      </w:r>
      <w:r w:rsidRPr="00872D7E">
        <w:rPr>
          <w:rStyle w:val="Strong"/>
          <w:szCs w:val="20"/>
        </w:rPr>
        <w:t>Satın Alma Komitesi</w:t>
      </w:r>
      <w:r w:rsidRPr="00872D7E">
        <w:rPr>
          <w:szCs w:val="20"/>
        </w:rPr>
        <w:t xml:space="preserve">, insan kaynakları ve işe alım süreçlerinin yönetildiği </w:t>
      </w:r>
      <w:r w:rsidRPr="00872D7E">
        <w:rPr>
          <w:rStyle w:val="Strong"/>
          <w:szCs w:val="20"/>
        </w:rPr>
        <w:t>Personel Komitesi</w:t>
      </w:r>
      <w:r w:rsidRPr="00872D7E">
        <w:rPr>
          <w:szCs w:val="20"/>
        </w:rPr>
        <w:t xml:space="preserve">, disiplin işlemlerinin değerlendirildiği </w:t>
      </w:r>
      <w:r w:rsidRPr="00872D7E">
        <w:rPr>
          <w:rStyle w:val="Strong"/>
          <w:szCs w:val="20"/>
        </w:rPr>
        <w:t>Disiplin Komitesi</w:t>
      </w:r>
      <w:r w:rsidRPr="00872D7E">
        <w:rPr>
          <w:szCs w:val="20"/>
        </w:rPr>
        <w:t xml:space="preserve"> ve bilgi teknolojileri ile iş sürekliliğinin sağlanmasını hedefleyen </w:t>
      </w:r>
      <w:r w:rsidRPr="00872D7E">
        <w:rPr>
          <w:rStyle w:val="Strong"/>
          <w:szCs w:val="20"/>
        </w:rPr>
        <w:t>İş ve BT Sürekliliği Komitesi</w:t>
      </w:r>
      <w:r w:rsidRPr="00872D7E">
        <w:rPr>
          <w:szCs w:val="20"/>
        </w:rPr>
        <w:t xml:space="preserve"> bulunmaktadır.</w:t>
      </w:r>
      <w:bookmarkEnd w:id="40"/>
      <w:r w:rsidR="006F1CF2" w:rsidRPr="00872D7E">
        <w:br w:type="page"/>
      </w:r>
    </w:p>
    <w:p w14:paraId="47F53725" w14:textId="77777777" w:rsidR="006F1CF2" w:rsidRPr="00872D7E" w:rsidRDefault="006F1CF2" w:rsidP="00802ACE">
      <w:pPr>
        <w:pStyle w:val="BodyTextIndent"/>
        <w:widowControl w:val="0"/>
        <w:ind w:firstLine="0"/>
        <w:rPr>
          <w:b/>
          <w:szCs w:val="20"/>
        </w:rPr>
      </w:pPr>
      <w:r w:rsidRPr="00872D7E">
        <w:rPr>
          <w:b/>
          <w:szCs w:val="20"/>
        </w:rPr>
        <w:lastRenderedPageBreak/>
        <w:t>MALİ BÜNYEYE VE RİSK YÖNETİMİNE İLİŞKİN BİLGİLER (Devamı)</w:t>
      </w:r>
    </w:p>
    <w:p w14:paraId="4669C47E" w14:textId="77777777" w:rsidR="00F37168" w:rsidRPr="00872D7E" w:rsidRDefault="00F37168" w:rsidP="00802ACE">
      <w:pPr>
        <w:widowControl w:val="0"/>
        <w:autoSpaceDE w:val="0"/>
        <w:autoSpaceDN w:val="0"/>
        <w:adjustRightInd w:val="0"/>
        <w:jc w:val="both"/>
        <w:rPr>
          <w:szCs w:val="20"/>
        </w:rPr>
      </w:pPr>
    </w:p>
    <w:p w14:paraId="4F87ECD2" w14:textId="457840C5" w:rsidR="000E463B" w:rsidRPr="00872D7E" w:rsidRDefault="00CB58D3" w:rsidP="0077272C">
      <w:pPr>
        <w:ind w:left="851" w:hanging="851"/>
        <w:rPr>
          <w:b/>
          <w:bCs/>
        </w:rPr>
      </w:pPr>
      <w:r w:rsidRPr="00872D7E">
        <w:rPr>
          <w:b/>
          <w:bCs/>
        </w:rPr>
        <w:t>I</w:t>
      </w:r>
      <w:r w:rsidR="000E463B" w:rsidRPr="00872D7E">
        <w:rPr>
          <w:b/>
          <w:bCs/>
        </w:rPr>
        <w:t>X.</w:t>
      </w:r>
      <w:r w:rsidR="000E463B" w:rsidRPr="00872D7E">
        <w:rPr>
          <w:b/>
          <w:bCs/>
        </w:rPr>
        <w:tab/>
        <w:t>RİSK YÖNETİMİNE İLİŞKİN AÇIKLAMALAR (Devamı)</w:t>
      </w:r>
    </w:p>
    <w:p w14:paraId="3598DC8B" w14:textId="77777777" w:rsidR="006F1CF2" w:rsidRPr="00872D7E" w:rsidRDefault="006F1CF2" w:rsidP="00802ACE">
      <w:pPr>
        <w:widowControl w:val="0"/>
        <w:autoSpaceDE w:val="0"/>
        <w:autoSpaceDN w:val="0"/>
        <w:adjustRightInd w:val="0"/>
        <w:jc w:val="both"/>
        <w:rPr>
          <w:szCs w:val="20"/>
        </w:rPr>
      </w:pPr>
    </w:p>
    <w:p w14:paraId="77ADE7D7" w14:textId="2DCB311D" w:rsidR="00F37168" w:rsidRPr="00872D7E" w:rsidRDefault="00F37168" w:rsidP="0077272C">
      <w:pPr>
        <w:pStyle w:val="ListParagraph"/>
        <w:numPr>
          <w:ilvl w:val="0"/>
          <w:numId w:val="62"/>
        </w:numPr>
        <w:ind w:left="851" w:hanging="851"/>
        <w:jc w:val="both"/>
        <w:rPr>
          <w:b/>
          <w:bCs/>
        </w:rPr>
      </w:pPr>
      <w:r w:rsidRPr="00872D7E">
        <w:rPr>
          <w:b/>
          <w:bCs/>
        </w:rPr>
        <w:t>Risk Yönetimi ve Risk Ağırlıklı Tutarlara İlişkin Genel Açıklamalar</w:t>
      </w:r>
    </w:p>
    <w:p w14:paraId="741B0159" w14:textId="77777777" w:rsidR="00F37168" w:rsidRPr="00872D7E" w:rsidRDefault="00F37168" w:rsidP="00802ACE">
      <w:pPr>
        <w:widowControl w:val="0"/>
        <w:autoSpaceDE w:val="0"/>
        <w:autoSpaceDN w:val="0"/>
        <w:adjustRightInd w:val="0"/>
        <w:jc w:val="both"/>
        <w:rPr>
          <w:szCs w:val="20"/>
        </w:rPr>
      </w:pPr>
    </w:p>
    <w:p w14:paraId="6B90671F" w14:textId="2EDC3D5B" w:rsidR="00A660C7" w:rsidRPr="00872D7E" w:rsidRDefault="00362B0C" w:rsidP="004602AB">
      <w:pPr>
        <w:ind w:left="851"/>
        <w:jc w:val="both"/>
      </w:pPr>
      <w:bookmarkStart w:id="42" w:name="_Hlk181948822"/>
      <w:r w:rsidRPr="00872D7E">
        <w:rPr>
          <w:b/>
          <w:bCs/>
          <w:szCs w:val="20"/>
        </w:rPr>
        <w:t>Risk ağırlıklı tutarlara genel bakış</w:t>
      </w:r>
    </w:p>
    <w:p w14:paraId="3E42BC9D" w14:textId="12EB5DEF" w:rsidR="00862A01" w:rsidRPr="00872D7E" w:rsidRDefault="00862A01" w:rsidP="006C66D3">
      <w:bookmarkStart w:id="43" w:name="_Hlk172562992"/>
      <w:bookmarkEnd w:id="42"/>
    </w:p>
    <w:tbl>
      <w:tblPr>
        <w:tblW w:w="9910" w:type="dxa"/>
        <w:tblLayout w:type="fixed"/>
        <w:tblCellMar>
          <w:left w:w="70" w:type="dxa"/>
          <w:right w:w="70" w:type="dxa"/>
        </w:tblCellMar>
        <w:tblLook w:val="04A0" w:firstRow="1" w:lastRow="0" w:firstColumn="1" w:lastColumn="0" w:noHBand="0" w:noVBand="1"/>
      </w:tblPr>
      <w:tblGrid>
        <w:gridCol w:w="362"/>
        <w:gridCol w:w="5724"/>
        <w:gridCol w:w="1249"/>
        <w:gridCol w:w="1092"/>
        <w:gridCol w:w="1483"/>
      </w:tblGrid>
      <w:tr w:rsidR="00862A01" w:rsidRPr="00872D7E" w14:paraId="490F9399" w14:textId="77777777" w:rsidTr="0077272C">
        <w:trPr>
          <w:divId w:val="305356990"/>
          <w:trHeight w:val="170"/>
        </w:trPr>
        <w:tc>
          <w:tcPr>
            <w:tcW w:w="362" w:type="dxa"/>
            <w:tcBorders>
              <w:top w:val="nil"/>
              <w:left w:val="nil"/>
              <w:bottom w:val="nil"/>
              <w:right w:val="nil"/>
            </w:tcBorders>
            <w:shd w:val="clear" w:color="auto" w:fill="auto"/>
            <w:vAlign w:val="center"/>
            <w:hideMark/>
          </w:tcPr>
          <w:p w14:paraId="10BF4BB1" w14:textId="7E3E7CB2" w:rsidR="00862A01" w:rsidRPr="00872D7E" w:rsidRDefault="00862A01" w:rsidP="00862A01">
            <w:pPr>
              <w:rPr>
                <w:sz w:val="15"/>
                <w:szCs w:val="15"/>
                <w:lang w:eastAsia="tr-TR"/>
              </w:rPr>
            </w:pPr>
          </w:p>
        </w:tc>
        <w:tc>
          <w:tcPr>
            <w:tcW w:w="5724" w:type="dxa"/>
            <w:tcBorders>
              <w:top w:val="nil"/>
              <w:left w:val="nil"/>
              <w:bottom w:val="nil"/>
              <w:right w:val="nil"/>
            </w:tcBorders>
            <w:shd w:val="clear" w:color="auto" w:fill="auto"/>
            <w:noWrap/>
            <w:vAlign w:val="center"/>
            <w:hideMark/>
          </w:tcPr>
          <w:p w14:paraId="15C78C09" w14:textId="77777777" w:rsidR="00862A01" w:rsidRPr="00872D7E" w:rsidRDefault="00862A01" w:rsidP="00862A01">
            <w:pPr>
              <w:rPr>
                <w:sz w:val="15"/>
                <w:szCs w:val="15"/>
                <w:lang w:eastAsia="tr-TR"/>
              </w:rPr>
            </w:pPr>
          </w:p>
        </w:tc>
        <w:tc>
          <w:tcPr>
            <w:tcW w:w="2341" w:type="dxa"/>
            <w:gridSpan w:val="2"/>
            <w:tcBorders>
              <w:top w:val="nil"/>
              <w:left w:val="nil"/>
              <w:bottom w:val="single" w:sz="4" w:space="0" w:color="auto"/>
              <w:right w:val="nil"/>
            </w:tcBorders>
            <w:shd w:val="clear" w:color="auto" w:fill="auto"/>
            <w:vAlign w:val="bottom"/>
            <w:hideMark/>
          </w:tcPr>
          <w:p w14:paraId="2353FABB" w14:textId="77777777" w:rsidR="00862A01" w:rsidRPr="00872D7E" w:rsidRDefault="00862A01" w:rsidP="0077272C">
            <w:pPr>
              <w:jc w:val="center"/>
              <w:rPr>
                <w:b/>
                <w:bCs/>
                <w:color w:val="000000"/>
                <w:sz w:val="15"/>
                <w:szCs w:val="15"/>
                <w:lang w:eastAsia="tr-TR"/>
              </w:rPr>
            </w:pPr>
            <w:r w:rsidRPr="00872D7E">
              <w:rPr>
                <w:b/>
                <w:bCs/>
                <w:color w:val="000000"/>
                <w:sz w:val="15"/>
                <w:szCs w:val="15"/>
                <w:lang w:eastAsia="tr-TR"/>
              </w:rPr>
              <w:t>Risk Ağırlıklı Tutarlar</w:t>
            </w:r>
          </w:p>
        </w:tc>
        <w:tc>
          <w:tcPr>
            <w:tcW w:w="1483" w:type="dxa"/>
            <w:tcBorders>
              <w:top w:val="nil"/>
              <w:left w:val="nil"/>
              <w:bottom w:val="nil"/>
              <w:right w:val="nil"/>
            </w:tcBorders>
            <w:shd w:val="clear" w:color="auto" w:fill="auto"/>
            <w:vAlign w:val="bottom"/>
            <w:hideMark/>
          </w:tcPr>
          <w:p w14:paraId="67C69A05" w14:textId="77777777" w:rsidR="00862A01" w:rsidRPr="00872D7E" w:rsidRDefault="00862A01" w:rsidP="0077272C">
            <w:pPr>
              <w:jc w:val="right"/>
              <w:rPr>
                <w:b/>
                <w:bCs/>
                <w:color w:val="000000"/>
                <w:sz w:val="15"/>
                <w:szCs w:val="15"/>
                <w:lang w:eastAsia="tr-TR"/>
              </w:rPr>
            </w:pPr>
            <w:r w:rsidRPr="00872D7E">
              <w:rPr>
                <w:b/>
                <w:bCs/>
                <w:color w:val="000000"/>
                <w:sz w:val="15"/>
                <w:szCs w:val="15"/>
                <w:lang w:eastAsia="tr-TR"/>
              </w:rPr>
              <w:t>Asgari sermaye yükümlülüğü</w:t>
            </w:r>
          </w:p>
        </w:tc>
      </w:tr>
      <w:tr w:rsidR="00862A01" w:rsidRPr="00872D7E" w14:paraId="57FC0C3A" w14:textId="77777777" w:rsidTr="0077272C">
        <w:trPr>
          <w:divId w:val="305356990"/>
          <w:trHeight w:val="170"/>
        </w:trPr>
        <w:tc>
          <w:tcPr>
            <w:tcW w:w="362" w:type="dxa"/>
            <w:tcBorders>
              <w:top w:val="nil"/>
              <w:left w:val="nil"/>
              <w:bottom w:val="single" w:sz="4" w:space="0" w:color="auto"/>
              <w:right w:val="nil"/>
            </w:tcBorders>
            <w:shd w:val="clear" w:color="auto" w:fill="auto"/>
            <w:vAlign w:val="center"/>
            <w:hideMark/>
          </w:tcPr>
          <w:p w14:paraId="759E2FFE" w14:textId="77777777" w:rsidR="00862A01" w:rsidRPr="00872D7E" w:rsidRDefault="00862A01" w:rsidP="00862A01">
            <w:pPr>
              <w:jc w:val="both"/>
              <w:rPr>
                <w:color w:val="000000"/>
                <w:sz w:val="15"/>
                <w:szCs w:val="15"/>
                <w:lang w:eastAsia="tr-TR"/>
              </w:rPr>
            </w:pPr>
            <w:r w:rsidRPr="00872D7E">
              <w:rPr>
                <w:color w:val="000000"/>
                <w:sz w:val="15"/>
                <w:szCs w:val="15"/>
                <w:lang w:eastAsia="tr-TR"/>
              </w:rPr>
              <w:t> </w:t>
            </w:r>
          </w:p>
        </w:tc>
        <w:tc>
          <w:tcPr>
            <w:tcW w:w="5724" w:type="dxa"/>
            <w:tcBorders>
              <w:top w:val="nil"/>
              <w:left w:val="nil"/>
              <w:bottom w:val="single" w:sz="4" w:space="0" w:color="auto"/>
              <w:right w:val="nil"/>
            </w:tcBorders>
            <w:shd w:val="clear" w:color="auto" w:fill="auto"/>
            <w:noWrap/>
            <w:vAlign w:val="center"/>
            <w:hideMark/>
          </w:tcPr>
          <w:p w14:paraId="50A41431" w14:textId="77777777" w:rsidR="00862A01" w:rsidRPr="00872D7E" w:rsidRDefault="00862A01" w:rsidP="00862A01">
            <w:pPr>
              <w:jc w:val="both"/>
              <w:rPr>
                <w:color w:val="000000"/>
                <w:sz w:val="15"/>
                <w:szCs w:val="15"/>
                <w:lang w:eastAsia="tr-TR"/>
              </w:rPr>
            </w:pPr>
            <w:r w:rsidRPr="00872D7E">
              <w:rPr>
                <w:color w:val="000000"/>
                <w:sz w:val="15"/>
                <w:szCs w:val="15"/>
                <w:lang w:eastAsia="tr-TR"/>
              </w:rPr>
              <w:t> </w:t>
            </w:r>
          </w:p>
        </w:tc>
        <w:tc>
          <w:tcPr>
            <w:tcW w:w="1249" w:type="dxa"/>
            <w:tcBorders>
              <w:top w:val="single" w:sz="4" w:space="0" w:color="auto"/>
              <w:left w:val="nil"/>
              <w:bottom w:val="single" w:sz="4" w:space="0" w:color="auto"/>
              <w:right w:val="nil"/>
            </w:tcBorders>
            <w:shd w:val="clear" w:color="auto" w:fill="auto"/>
            <w:vAlign w:val="bottom"/>
            <w:hideMark/>
          </w:tcPr>
          <w:p w14:paraId="41A76B73" w14:textId="77777777" w:rsidR="00862A01" w:rsidRPr="00872D7E" w:rsidRDefault="00862A01" w:rsidP="0077272C">
            <w:pPr>
              <w:jc w:val="right"/>
              <w:rPr>
                <w:b/>
                <w:bCs/>
                <w:color w:val="000000"/>
                <w:sz w:val="15"/>
                <w:szCs w:val="15"/>
                <w:lang w:eastAsia="tr-TR"/>
              </w:rPr>
            </w:pPr>
            <w:r w:rsidRPr="00872D7E">
              <w:rPr>
                <w:b/>
                <w:bCs/>
                <w:color w:val="000000"/>
                <w:sz w:val="15"/>
                <w:szCs w:val="15"/>
                <w:lang w:eastAsia="tr-TR"/>
              </w:rPr>
              <w:t>31 Aralık 2024</w:t>
            </w:r>
          </w:p>
        </w:tc>
        <w:tc>
          <w:tcPr>
            <w:tcW w:w="1092" w:type="dxa"/>
            <w:tcBorders>
              <w:top w:val="single" w:sz="4" w:space="0" w:color="auto"/>
              <w:left w:val="nil"/>
              <w:bottom w:val="single" w:sz="4" w:space="0" w:color="auto"/>
              <w:right w:val="nil"/>
            </w:tcBorders>
            <w:shd w:val="clear" w:color="auto" w:fill="auto"/>
            <w:vAlign w:val="bottom"/>
            <w:hideMark/>
          </w:tcPr>
          <w:p w14:paraId="4ED1F7D6" w14:textId="77777777" w:rsidR="00862A01" w:rsidRPr="00872D7E" w:rsidRDefault="00862A01" w:rsidP="0077272C">
            <w:pPr>
              <w:jc w:val="right"/>
              <w:rPr>
                <w:b/>
                <w:bCs/>
                <w:color w:val="000000"/>
                <w:sz w:val="15"/>
                <w:szCs w:val="15"/>
                <w:lang w:eastAsia="tr-TR"/>
              </w:rPr>
            </w:pPr>
            <w:r w:rsidRPr="00872D7E">
              <w:rPr>
                <w:b/>
                <w:bCs/>
                <w:color w:val="000000"/>
                <w:sz w:val="15"/>
                <w:szCs w:val="15"/>
                <w:lang w:eastAsia="tr-TR"/>
              </w:rPr>
              <w:t>1 Ocak 2024</w:t>
            </w:r>
          </w:p>
        </w:tc>
        <w:tc>
          <w:tcPr>
            <w:tcW w:w="1483" w:type="dxa"/>
            <w:tcBorders>
              <w:top w:val="single" w:sz="4" w:space="0" w:color="auto"/>
              <w:left w:val="nil"/>
              <w:bottom w:val="single" w:sz="4" w:space="0" w:color="auto"/>
              <w:right w:val="nil"/>
            </w:tcBorders>
            <w:shd w:val="clear" w:color="auto" w:fill="auto"/>
            <w:vAlign w:val="bottom"/>
            <w:hideMark/>
          </w:tcPr>
          <w:p w14:paraId="681DBD82" w14:textId="77777777" w:rsidR="00862A01" w:rsidRPr="00872D7E" w:rsidRDefault="00862A01" w:rsidP="0077272C">
            <w:pPr>
              <w:jc w:val="right"/>
              <w:rPr>
                <w:b/>
                <w:bCs/>
                <w:color w:val="000000"/>
                <w:sz w:val="15"/>
                <w:szCs w:val="15"/>
                <w:lang w:eastAsia="tr-TR"/>
              </w:rPr>
            </w:pPr>
            <w:r w:rsidRPr="00872D7E">
              <w:rPr>
                <w:b/>
                <w:bCs/>
                <w:color w:val="000000"/>
                <w:sz w:val="15"/>
                <w:szCs w:val="15"/>
                <w:lang w:eastAsia="tr-TR"/>
              </w:rPr>
              <w:t>31 Aralık 2024</w:t>
            </w:r>
          </w:p>
        </w:tc>
      </w:tr>
      <w:tr w:rsidR="00862A01" w:rsidRPr="00872D7E" w14:paraId="719C2580" w14:textId="77777777" w:rsidTr="0077272C">
        <w:trPr>
          <w:divId w:val="305356990"/>
          <w:trHeight w:val="170"/>
        </w:trPr>
        <w:tc>
          <w:tcPr>
            <w:tcW w:w="362" w:type="dxa"/>
            <w:tcBorders>
              <w:top w:val="nil"/>
              <w:left w:val="nil"/>
              <w:bottom w:val="nil"/>
              <w:right w:val="nil"/>
            </w:tcBorders>
            <w:shd w:val="clear" w:color="auto" w:fill="auto"/>
            <w:hideMark/>
          </w:tcPr>
          <w:p w14:paraId="7B6DEB67" w14:textId="77777777" w:rsidR="00862A01" w:rsidRPr="00872D7E" w:rsidRDefault="00862A01" w:rsidP="00862A01">
            <w:pPr>
              <w:rPr>
                <w:color w:val="000000"/>
                <w:sz w:val="15"/>
                <w:szCs w:val="15"/>
                <w:lang w:eastAsia="tr-TR"/>
              </w:rPr>
            </w:pPr>
            <w:r w:rsidRPr="00872D7E">
              <w:rPr>
                <w:color w:val="000000"/>
                <w:sz w:val="15"/>
                <w:szCs w:val="15"/>
                <w:lang w:eastAsia="tr-TR"/>
              </w:rPr>
              <w:t>1</w:t>
            </w:r>
          </w:p>
        </w:tc>
        <w:tc>
          <w:tcPr>
            <w:tcW w:w="5724" w:type="dxa"/>
            <w:tcBorders>
              <w:top w:val="nil"/>
              <w:left w:val="nil"/>
              <w:bottom w:val="nil"/>
              <w:right w:val="nil"/>
            </w:tcBorders>
            <w:shd w:val="clear" w:color="auto" w:fill="auto"/>
            <w:noWrap/>
            <w:hideMark/>
          </w:tcPr>
          <w:p w14:paraId="42ECC28F"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Kredi riski (karşı taraf kredi riski hariç)</w:t>
            </w:r>
          </w:p>
        </w:tc>
        <w:tc>
          <w:tcPr>
            <w:tcW w:w="1249" w:type="dxa"/>
            <w:tcBorders>
              <w:top w:val="nil"/>
              <w:left w:val="nil"/>
              <w:bottom w:val="nil"/>
              <w:right w:val="nil"/>
            </w:tcBorders>
            <w:shd w:val="clear" w:color="auto" w:fill="auto"/>
            <w:vAlign w:val="bottom"/>
            <w:hideMark/>
          </w:tcPr>
          <w:p w14:paraId="0FF0B068" w14:textId="77777777" w:rsidR="00862A01" w:rsidRPr="00872D7E" w:rsidRDefault="00862A01" w:rsidP="0077272C">
            <w:pPr>
              <w:jc w:val="right"/>
              <w:rPr>
                <w:color w:val="000000"/>
                <w:sz w:val="15"/>
                <w:szCs w:val="15"/>
                <w:lang w:eastAsia="tr-TR"/>
              </w:rPr>
            </w:pPr>
            <w:r w:rsidRPr="00872D7E">
              <w:rPr>
                <w:color w:val="000000"/>
                <w:sz w:val="15"/>
                <w:szCs w:val="15"/>
                <w:lang w:eastAsia="tr-TR"/>
              </w:rPr>
              <w:t>14.541.780</w:t>
            </w:r>
          </w:p>
        </w:tc>
        <w:tc>
          <w:tcPr>
            <w:tcW w:w="1092" w:type="dxa"/>
            <w:tcBorders>
              <w:top w:val="nil"/>
              <w:left w:val="nil"/>
              <w:bottom w:val="nil"/>
              <w:right w:val="nil"/>
            </w:tcBorders>
            <w:shd w:val="clear" w:color="auto" w:fill="auto"/>
            <w:vAlign w:val="bottom"/>
            <w:hideMark/>
          </w:tcPr>
          <w:p w14:paraId="1FAC5210" w14:textId="77777777" w:rsidR="00862A01" w:rsidRPr="00872D7E" w:rsidRDefault="00862A01" w:rsidP="0077272C">
            <w:pPr>
              <w:jc w:val="right"/>
              <w:rPr>
                <w:color w:val="000000"/>
                <w:sz w:val="15"/>
                <w:szCs w:val="15"/>
                <w:lang w:eastAsia="tr-TR"/>
              </w:rPr>
            </w:pPr>
            <w:r w:rsidRPr="00872D7E">
              <w:rPr>
                <w:color w:val="000000"/>
                <w:sz w:val="15"/>
                <w:szCs w:val="15"/>
                <w:lang w:eastAsia="tr-TR"/>
              </w:rPr>
              <w:t>198.168</w:t>
            </w:r>
          </w:p>
        </w:tc>
        <w:tc>
          <w:tcPr>
            <w:tcW w:w="1483" w:type="dxa"/>
            <w:tcBorders>
              <w:top w:val="nil"/>
              <w:left w:val="nil"/>
              <w:bottom w:val="nil"/>
              <w:right w:val="nil"/>
            </w:tcBorders>
            <w:shd w:val="clear" w:color="auto" w:fill="auto"/>
            <w:vAlign w:val="bottom"/>
            <w:hideMark/>
          </w:tcPr>
          <w:p w14:paraId="30D4DFD8" w14:textId="77777777" w:rsidR="00862A01" w:rsidRPr="00872D7E" w:rsidRDefault="00862A01" w:rsidP="0077272C">
            <w:pPr>
              <w:jc w:val="right"/>
              <w:rPr>
                <w:color w:val="000000"/>
                <w:sz w:val="15"/>
                <w:szCs w:val="15"/>
                <w:lang w:eastAsia="tr-TR"/>
              </w:rPr>
            </w:pPr>
            <w:r w:rsidRPr="00872D7E">
              <w:rPr>
                <w:color w:val="000000"/>
                <w:sz w:val="15"/>
                <w:szCs w:val="15"/>
                <w:lang w:eastAsia="tr-TR"/>
              </w:rPr>
              <w:t>1.163.342</w:t>
            </w:r>
          </w:p>
        </w:tc>
      </w:tr>
      <w:tr w:rsidR="00862A01" w:rsidRPr="00872D7E" w14:paraId="165D4D42" w14:textId="77777777" w:rsidTr="0077272C">
        <w:trPr>
          <w:divId w:val="305356990"/>
          <w:trHeight w:val="170"/>
        </w:trPr>
        <w:tc>
          <w:tcPr>
            <w:tcW w:w="362" w:type="dxa"/>
            <w:tcBorders>
              <w:top w:val="nil"/>
              <w:left w:val="nil"/>
              <w:bottom w:val="nil"/>
              <w:right w:val="nil"/>
            </w:tcBorders>
            <w:shd w:val="clear" w:color="auto" w:fill="auto"/>
            <w:hideMark/>
          </w:tcPr>
          <w:p w14:paraId="0E579D02" w14:textId="77777777" w:rsidR="00862A01" w:rsidRPr="00872D7E" w:rsidRDefault="00862A01" w:rsidP="00862A01">
            <w:pPr>
              <w:rPr>
                <w:color w:val="000000"/>
                <w:sz w:val="15"/>
                <w:szCs w:val="15"/>
                <w:lang w:eastAsia="tr-TR"/>
              </w:rPr>
            </w:pPr>
            <w:r w:rsidRPr="00872D7E">
              <w:rPr>
                <w:color w:val="000000"/>
                <w:sz w:val="15"/>
                <w:szCs w:val="15"/>
                <w:lang w:eastAsia="tr-TR"/>
              </w:rPr>
              <w:t>2</w:t>
            </w:r>
          </w:p>
        </w:tc>
        <w:tc>
          <w:tcPr>
            <w:tcW w:w="5724" w:type="dxa"/>
            <w:tcBorders>
              <w:top w:val="nil"/>
              <w:left w:val="nil"/>
              <w:bottom w:val="nil"/>
              <w:right w:val="nil"/>
            </w:tcBorders>
            <w:shd w:val="clear" w:color="auto" w:fill="auto"/>
            <w:noWrap/>
            <w:hideMark/>
          </w:tcPr>
          <w:p w14:paraId="522F12CB"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Standart yaklaşım</w:t>
            </w:r>
            <w:r w:rsidRPr="00872D7E">
              <w:rPr>
                <w:rFonts w:ascii="Arial" w:hAnsi="Arial" w:cs="Arial"/>
                <w:color w:val="000000"/>
                <w:sz w:val="15"/>
                <w:szCs w:val="15"/>
                <w:lang w:eastAsia="tr-TR"/>
              </w:rPr>
              <w:t xml:space="preserve"> </w:t>
            </w:r>
          </w:p>
        </w:tc>
        <w:tc>
          <w:tcPr>
            <w:tcW w:w="1249" w:type="dxa"/>
            <w:tcBorders>
              <w:top w:val="nil"/>
              <w:left w:val="nil"/>
              <w:bottom w:val="nil"/>
              <w:right w:val="nil"/>
            </w:tcBorders>
            <w:shd w:val="clear" w:color="auto" w:fill="auto"/>
            <w:vAlign w:val="bottom"/>
            <w:hideMark/>
          </w:tcPr>
          <w:p w14:paraId="72F0D102" w14:textId="77777777" w:rsidR="00862A01" w:rsidRPr="00872D7E" w:rsidRDefault="00862A01" w:rsidP="0077272C">
            <w:pPr>
              <w:jc w:val="right"/>
              <w:rPr>
                <w:color w:val="000000"/>
                <w:sz w:val="15"/>
                <w:szCs w:val="15"/>
                <w:lang w:eastAsia="tr-TR"/>
              </w:rPr>
            </w:pPr>
            <w:r w:rsidRPr="00872D7E">
              <w:rPr>
                <w:color w:val="000000"/>
                <w:sz w:val="15"/>
                <w:szCs w:val="15"/>
                <w:lang w:eastAsia="tr-TR"/>
              </w:rPr>
              <w:t>14.541.780</w:t>
            </w:r>
          </w:p>
        </w:tc>
        <w:tc>
          <w:tcPr>
            <w:tcW w:w="1092" w:type="dxa"/>
            <w:tcBorders>
              <w:top w:val="nil"/>
              <w:left w:val="nil"/>
              <w:bottom w:val="nil"/>
              <w:right w:val="nil"/>
            </w:tcBorders>
            <w:shd w:val="clear" w:color="auto" w:fill="auto"/>
            <w:vAlign w:val="bottom"/>
            <w:hideMark/>
          </w:tcPr>
          <w:p w14:paraId="1B8F1CB6" w14:textId="77777777" w:rsidR="00862A01" w:rsidRPr="00872D7E" w:rsidRDefault="00862A01" w:rsidP="0077272C">
            <w:pPr>
              <w:jc w:val="right"/>
              <w:rPr>
                <w:color w:val="000000"/>
                <w:sz w:val="15"/>
                <w:szCs w:val="15"/>
                <w:lang w:eastAsia="tr-TR"/>
              </w:rPr>
            </w:pPr>
            <w:r w:rsidRPr="00872D7E">
              <w:rPr>
                <w:color w:val="000000"/>
                <w:sz w:val="15"/>
                <w:szCs w:val="15"/>
                <w:lang w:eastAsia="tr-TR"/>
              </w:rPr>
              <w:t>198.168</w:t>
            </w:r>
          </w:p>
        </w:tc>
        <w:tc>
          <w:tcPr>
            <w:tcW w:w="1483" w:type="dxa"/>
            <w:tcBorders>
              <w:top w:val="nil"/>
              <w:left w:val="nil"/>
              <w:bottom w:val="nil"/>
              <w:right w:val="nil"/>
            </w:tcBorders>
            <w:shd w:val="clear" w:color="auto" w:fill="auto"/>
            <w:vAlign w:val="bottom"/>
            <w:hideMark/>
          </w:tcPr>
          <w:p w14:paraId="5C4D23A5" w14:textId="77777777" w:rsidR="00862A01" w:rsidRPr="00872D7E" w:rsidRDefault="00862A01" w:rsidP="0077272C">
            <w:pPr>
              <w:jc w:val="right"/>
              <w:rPr>
                <w:color w:val="000000"/>
                <w:sz w:val="15"/>
                <w:szCs w:val="15"/>
                <w:lang w:eastAsia="tr-TR"/>
              </w:rPr>
            </w:pPr>
            <w:r w:rsidRPr="00872D7E">
              <w:rPr>
                <w:color w:val="000000"/>
                <w:sz w:val="15"/>
                <w:szCs w:val="15"/>
                <w:lang w:eastAsia="tr-TR"/>
              </w:rPr>
              <w:t>1.163.342</w:t>
            </w:r>
          </w:p>
        </w:tc>
      </w:tr>
      <w:tr w:rsidR="00862A01" w:rsidRPr="00872D7E" w14:paraId="3F469AE0" w14:textId="77777777" w:rsidTr="0077272C">
        <w:trPr>
          <w:divId w:val="305356990"/>
          <w:trHeight w:val="170"/>
        </w:trPr>
        <w:tc>
          <w:tcPr>
            <w:tcW w:w="362" w:type="dxa"/>
            <w:tcBorders>
              <w:top w:val="nil"/>
              <w:left w:val="nil"/>
              <w:bottom w:val="nil"/>
              <w:right w:val="nil"/>
            </w:tcBorders>
            <w:shd w:val="clear" w:color="auto" w:fill="auto"/>
            <w:hideMark/>
          </w:tcPr>
          <w:p w14:paraId="14698810" w14:textId="77777777" w:rsidR="00862A01" w:rsidRPr="00872D7E" w:rsidRDefault="00862A01" w:rsidP="00862A01">
            <w:pPr>
              <w:rPr>
                <w:color w:val="000000"/>
                <w:sz w:val="15"/>
                <w:szCs w:val="15"/>
                <w:lang w:eastAsia="tr-TR"/>
              </w:rPr>
            </w:pPr>
            <w:r w:rsidRPr="00872D7E">
              <w:rPr>
                <w:color w:val="000000"/>
                <w:sz w:val="15"/>
                <w:szCs w:val="15"/>
                <w:lang w:eastAsia="tr-TR"/>
              </w:rPr>
              <w:t>3</w:t>
            </w:r>
          </w:p>
        </w:tc>
        <w:tc>
          <w:tcPr>
            <w:tcW w:w="5724" w:type="dxa"/>
            <w:tcBorders>
              <w:top w:val="nil"/>
              <w:left w:val="nil"/>
              <w:bottom w:val="nil"/>
              <w:right w:val="nil"/>
            </w:tcBorders>
            <w:shd w:val="clear" w:color="auto" w:fill="auto"/>
            <w:noWrap/>
            <w:hideMark/>
          </w:tcPr>
          <w:p w14:paraId="2F95924C"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İçsel derecelendirmeye dayalı yaklaşım</w:t>
            </w:r>
          </w:p>
        </w:tc>
        <w:tc>
          <w:tcPr>
            <w:tcW w:w="1249" w:type="dxa"/>
            <w:tcBorders>
              <w:top w:val="nil"/>
              <w:left w:val="nil"/>
              <w:bottom w:val="nil"/>
              <w:right w:val="nil"/>
            </w:tcBorders>
            <w:shd w:val="clear" w:color="auto" w:fill="auto"/>
            <w:vAlign w:val="bottom"/>
            <w:hideMark/>
          </w:tcPr>
          <w:p w14:paraId="181A4833"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43509728"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05C3B014"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372C3C54" w14:textId="77777777" w:rsidTr="0077272C">
        <w:trPr>
          <w:divId w:val="305356990"/>
          <w:trHeight w:val="170"/>
        </w:trPr>
        <w:tc>
          <w:tcPr>
            <w:tcW w:w="362" w:type="dxa"/>
            <w:tcBorders>
              <w:top w:val="nil"/>
              <w:left w:val="nil"/>
              <w:bottom w:val="nil"/>
              <w:right w:val="nil"/>
            </w:tcBorders>
            <w:shd w:val="clear" w:color="auto" w:fill="auto"/>
            <w:hideMark/>
          </w:tcPr>
          <w:p w14:paraId="12B05247" w14:textId="77777777" w:rsidR="00862A01" w:rsidRPr="00872D7E" w:rsidRDefault="00862A01" w:rsidP="00862A01">
            <w:pPr>
              <w:rPr>
                <w:color w:val="000000"/>
                <w:sz w:val="15"/>
                <w:szCs w:val="15"/>
                <w:lang w:eastAsia="tr-TR"/>
              </w:rPr>
            </w:pPr>
            <w:r w:rsidRPr="00872D7E">
              <w:rPr>
                <w:color w:val="000000"/>
                <w:sz w:val="15"/>
                <w:szCs w:val="15"/>
                <w:lang w:eastAsia="tr-TR"/>
              </w:rPr>
              <w:t>4</w:t>
            </w:r>
          </w:p>
        </w:tc>
        <w:tc>
          <w:tcPr>
            <w:tcW w:w="5724" w:type="dxa"/>
            <w:tcBorders>
              <w:top w:val="nil"/>
              <w:left w:val="nil"/>
              <w:bottom w:val="nil"/>
              <w:right w:val="nil"/>
            </w:tcBorders>
            <w:shd w:val="clear" w:color="auto" w:fill="auto"/>
            <w:noWrap/>
            <w:hideMark/>
          </w:tcPr>
          <w:p w14:paraId="11512B89" w14:textId="77777777" w:rsidR="00862A01" w:rsidRPr="00872D7E" w:rsidRDefault="00862A01" w:rsidP="00862A01">
            <w:pPr>
              <w:rPr>
                <w:color w:val="000000"/>
                <w:sz w:val="15"/>
                <w:szCs w:val="15"/>
                <w:lang w:eastAsia="tr-TR"/>
              </w:rPr>
            </w:pPr>
            <w:r w:rsidRPr="00872D7E">
              <w:rPr>
                <w:color w:val="000000"/>
                <w:sz w:val="15"/>
                <w:szCs w:val="15"/>
                <w:lang w:eastAsia="tr-TR"/>
              </w:rPr>
              <w:t>Karşı taraf kredi riski</w:t>
            </w:r>
          </w:p>
        </w:tc>
        <w:tc>
          <w:tcPr>
            <w:tcW w:w="1249" w:type="dxa"/>
            <w:tcBorders>
              <w:top w:val="nil"/>
              <w:left w:val="nil"/>
              <w:bottom w:val="nil"/>
              <w:right w:val="nil"/>
            </w:tcBorders>
            <w:shd w:val="clear" w:color="auto" w:fill="auto"/>
            <w:vAlign w:val="bottom"/>
            <w:hideMark/>
          </w:tcPr>
          <w:p w14:paraId="71FFF405" w14:textId="77777777" w:rsidR="00862A01" w:rsidRPr="00872D7E" w:rsidRDefault="00862A01" w:rsidP="0077272C">
            <w:pPr>
              <w:jc w:val="right"/>
              <w:rPr>
                <w:color w:val="000000"/>
                <w:sz w:val="15"/>
                <w:szCs w:val="15"/>
                <w:lang w:eastAsia="tr-TR"/>
              </w:rPr>
            </w:pPr>
            <w:r w:rsidRPr="00872D7E">
              <w:rPr>
                <w:color w:val="000000"/>
                <w:sz w:val="15"/>
                <w:szCs w:val="15"/>
                <w:lang w:eastAsia="tr-TR"/>
              </w:rPr>
              <w:t>64.897</w:t>
            </w:r>
          </w:p>
        </w:tc>
        <w:tc>
          <w:tcPr>
            <w:tcW w:w="1092" w:type="dxa"/>
            <w:tcBorders>
              <w:top w:val="nil"/>
              <w:left w:val="nil"/>
              <w:bottom w:val="nil"/>
              <w:right w:val="nil"/>
            </w:tcBorders>
            <w:shd w:val="clear" w:color="auto" w:fill="auto"/>
            <w:vAlign w:val="bottom"/>
            <w:hideMark/>
          </w:tcPr>
          <w:p w14:paraId="03414813"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7A76B5E0" w14:textId="77777777" w:rsidR="00862A01" w:rsidRPr="00872D7E" w:rsidRDefault="00862A01" w:rsidP="0077272C">
            <w:pPr>
              <w:jc w:val="right"/>
              <w:rPr>
                <w:color w:val="000000"/>
                <w:sz w:val="15"/>
                <w:szCs w:val="15"/>
                <w:lang w:eastAsia="tr-TR"/>
              </w:rPr>
            </w:pPr>
            <w:r w:rsidRPr="00872D7E">
              <w:rPr>
                <w:color w:val="000000"/>
                <w:sz w:val="15"/>
                <w:szCs w:val="15"/>
                <w:lang w:eastAsia="tr-TR"/>
              </w:rPr>
              <w:t>5.192</w:t>
            </w:r>
          </w:p>
        </w:tc>
      </w:tr>
      <w:tr w:rsidR="00862A01" w:rsidRPr="00872D7E" w14:paraId="275F53E7" w14:textId="77777777" w:rsidTr="0077272C">
        <w:trPr>
          <w:divId w:val="305356990"/>
          <w:trHeight w:val="170"/>
        </w:trPr>
        <w:tc>
          <w:tcPr>
            <w:tcW w:w="362" w:type="dxa"/>
            <w:tcBorders>
              <w:top w:val="nil"/>
              <w:left w:val="nil"/>
              <w:bottom w:val="nil"/>
              <w:right w:val="nil"/>
            </w:tcBorders>
            <w:shd w:val="clear" w:color="auto" w:fill="auto"/>
            <w:hideMark/>
          </w:tcPr>
          <w:p w14:paraId="371326ED" w14:textId="77777777" w:rsidR="00862A01" w:rsidRPr="00872D7E" w:rsidRDefault="00862A01" w:rsidP="00862A01">
            <w:pPr>
              <w:rPr>
                <w:color w:val="000000"/>
                <w:sz w:val="15"/>
                <w:szCs w:val="15"/>
                <w:lang w:eastAsia="tr-TR"/>
              </w:rPr>
            </w:pPr>
            <w:r w:rsidRPr="00872D7E">
              <w:rPr>
                <w:color w:val="000000"/>
                <w:sz w:val="15"/>
                <w:szCs w:val="15"/>
                <w:lang w:eastAsia="tr-TR"/>
              </w:rPr>
              <w:t>5</w:t>
            </w:r>
          </w:p>
        </w:tc>
        <w:tc>
          <w:tcPr>
            <w:tcW w:w="5724" w:type="dxa"/>
            <w:tcBorders>
              <w:top w:val="nil"/>
              <w:left w:val="nil"/>
              <w:bottom w:val="nil"/>
              <w:right w:val="nil"/>
            </w:tcBorders>
            <w:shd w:val="clear" w:color="auto" w:fill="auto"/>
            <w:noWrap/>
            <w:hideMark/>
          </w:tcPr>
          <w:p w14:paraId="74C925B7"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Karşı taraf kredi riski için standart yaklaşım</w:t>
            </w:r>
          </w:p>
        </w:tc>
        <w:tc>
          <w:tcPr>
            <w:tcW w:w="1249" w:type="dxa"/>
            <w:tcBorders>
              <w:top w:val="nil"/>
              <w:left w:val="nil"/>
              <w:bottom w:val="nil"/>
              <w:right w:val="nil"/>
            </w:tcBorders>
            <w:shd w:val="clear" w:color="auto" w:fill="auto"/>
            <w:vAlign w:val="bottom"/>
            <w:hideMark/>
          </w:tcPr>
          <w:p w14:paraId="63B8D297" w14:textId="77777777" w:rsidR="00862A01" w:rsidRPr="00872D7E" w:rsidRDefault="00862A01" w:rsidP="0077272C">
            <w:pPr>
              <w:jc w:val="right"/>
              <w:rPr>
                <w:color w:val="000000"/>
                <w:sz w:val="15"/>
                <w:szCs w:val="15"/>
                <w:lang w:eastAsia="tr-TR"/>
              </w:rPr>
            </w:pPr>
            <w:r w:rsidRPr="00872D7E">
              <w:rPr>
                <w:color w:val="000000"/>
                <w:sz w:val="15"/>
                <w:szCs w:val="15"/>
                <w:lang w:eastAsia="tr-TR"/>
              </w:rPr>
              <w:t>64.897</w:t>
            </w:r>
          </w:p>
        </w:tc>
        <w:tc>
          <w:tcPr>
            <w:tcW w:w="1092" w:type="dxa"/>
            <w:tcBorders>
              <w:top w:val="nil"/>
              <w:left w:val="nil"/>
              <w:bottom w:val="nil"/>
              <w:right w:val="nil"/>
            </w:tcBorders>
            <w:shd w:val="clear" w:color="auto" w:fill="auto"/>
            <w:vAlign w:val="bottom"/>
            <w:hideMark/>
          </w:tcPr>
          <w:p w14:paraId="4473E776"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2D837655" w14:textId="77777777" w:rsidR="00862A01" w:rsidRPr="00872D7E" w:rsidRDefault="00862A01" w:rsidP="0077272C">
            <w:pPr>
              <w:jc w:val="right"/>
              <w:rPr>
                <w:color w:val="000000"/>
                <w:sz w:val="15"/>
                <w:szCs w:val="15"/>
                <w:lang w:eastAsia="tr-TR"/>
              </w:rPr>
            </w:pPr>
            <w:r w:rsidRPr="00872D7E">
              <w:rPr>
                <w:color w:val="000000"/>
                <w:sz w:val="15"/>
                <w:szCs w:val="15"/>
                <w:lang w:eastAsia="tr-TR"/>
              </w:rPr>
              <w:t>5.192</w:t>
            </w:r>
          </w:p>
        </w:tc>
      </w:tr>
      <w:tr w:rsidR="00862A01" w:rsidRPr="00872D7E" w14:paraId="41122A90" w14:textId="77777777" w:rsidTr="0077272C">
        <w:trPr>
          <w:divId w:val="305356990"/>
          <w:trHeight w:val="170"/>
        </w:trPr>
        <w:tc>
          <w:tcPr>
            <w:tcW w:w="362" w:type="dxa"/>
            <w:tcBorders>
              <w:top w:val="nil"/>
              <w:left w:val="nil"/>
              <w:bottom w:val="nil"/>
              <w:right w:val="nil"/>
            </w:tcBorders>
            <w:shd w:val="clear" w:color="auto" w:fill="auto"/>
            <w:hideMark/>
          </w:tcPr>
          <w:p w14:paraId="0F22812A" w14:textId="77777777" w:rsidR="00862A01" w:rsidRPr="00872D7E" w:rsidRDefault="00862A01" w:rsidP="00862A01">
            <w:pPr>
              <w:rPr>
                <w:color w:val="000000"/>
                <w:sz w:val="15"/>
                <w:szCs w:val="15"/>
                <w:lang w:eastAsia="tr-TR"/>
              </w:rPr>
            </w:pPr>
            <w:r w:rsidRPr="00872D7E">
              <w:rPr>
                <w:color w:val="000000"/>
                <w:sz w:val="15"/>
                <w:szCs w:val="15"/>
                <w:lang w:eastAsia="tr-TR"/>
              </w:rPr>
              <w:t>6</w:t>
            </w:r>
          </w:p>
        </w:tc>
        <w:tc>
          <w:tcPr>
            <w:tcW w:w="5724" w:type="dxa"/>
            <w:tcBorders>
              <w:top w:val="nil"/>
              <w:left w:val="nil"/>
              <w:bottom w:val="nil"/>
              <w:right w:val="nil"/>
            </w:tcBorders>
            <w:shd w:val="clear" w:color="auto" w:fill="auto"/>
            <w:noWrap/>
            <w:hideMark/>
          </w:tcPr>
          <w:p w14:paraId="39C1DD3C"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İçsel model yöntemi</w:t>
            </w:r>
          </w:p>
        </w:tc>
        <w:tc>
          <w:tcPr>
            <w:tcW w:w="1249" w:type="dxa"/>
            <w:tcBorders>
              <w:top w:val="nil"/>
              <w:left w:val="nil"/>
              <w:bottom w:val="nil"/>
              <w:right w:val="nil"/>
            </w:tcBorders>
            <w:shd w:val="clear" w:color="auto" w:fill="auto"/>
            <w:vAlign w:val="bottom"/>
            <w:hideMark/>
          </w:tcPr>
          <w:p w14:paraId="5D510A61"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0908254D"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188BAA54"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7FA92345" w14:textId="77777777" w:rsidTr="0077272C">
        <w:trPr>
          <w:divId w:val="305356990"/>
          <w:trHeight w:val="170"/>
        </w:trPr>
        <w:tc>
          <w:tcPr>
            <w:tcW w:w="362" w:type="dxa"/>
            <w:tcBorders>
              <w:top w:val="nil"/>
              <w:left w:val="nil"/>
              <w:bottom w:val="nil"/>
              <w:right w:val="nil"/>
            </w:tcBorders>
            <w:shd w:val="clear" w:color="auto" w:fill="auto"/>
            <w:hideMark/>
          </w:tcPr>
          <w:p w14:paraId="70F7AC2D" w14:textId="77777777" w:rsidR="00862A01" w:rsidRPr="00872D7E" w:rsidRDefault="00862A01" w:rsidP="00862A01">
            <w:pPr>
              <w:rPr>
                <w:color w:val="000000"/>
                <w:sz w:val="15"/>
                <w:szCs w:val="15"/>
                <w:lang w:eastAsia="tr-TR"/>
              </w:rPr>
            </w:pPr>
            <w:r w:rsidRPr="00872D7E">
              <w:rPr>
                <w:color w:val="000000"/>
                <w:sz w:val="15"/>
                <w:szCs w:val="15"/>
                <w:lang w:eastAsia="tr-TR"/>
              </w:rPr>
              <w:t>7</w:t>
            </w:r>
          </w:p>
        </w:tc>
        <w:tc>
          <w:tcPr>
            <w:tcW w:w="5724" w:type="dxa"/>
            <w:tcBorders>
              <w:top w:val="nil"/>
              <w:left w:val="nil"/>
              <w:bottom w:val="nil"/>
              <w:right w:val="nil"/>
            </w:tcBorders>
            <w:shd w:val="clear" w:color="auto" w:fill="auto"/>
            <w:noWrap/>
            <w:hideMark/>
          </w:tcPr>
          <w:p w14:paraId="689540B1" w14:textId="77777777" w:rsidR="00862A01" w:rsidRPr="00872D7E" w:rsidRDefault="00862A01" w:rsidP="00862A01">
            <w:pPr>
              <w:rPr>
                <w:color w:val="000000"/>
                <w:sz w:val="15"/>
                <w:szCs w:val="15"/>
                <w:lang w:eastAsia="tr-TR"/>
              </w:rPr>
            </w:pPr>
            <w:r w:rsidRPr="00872D7E">
              <w:rPr>
                <w:color w:val="000000"/>
                <w:sz w:val="15"/>
                <w:szCs w:val="15"/>
                <w:lang w:eastAsia="tr-TR"/>
              </w:rPr>
              <w:t>Basit risk ağırlığı yaklaşımı veya içsel modeller yaklaşımında bankacılık hesabındaki hisse senedi pozisyonları</w:t>
            </w:r>
          </w:p>
        </w:tc>
        <w:tc>
          <w:tcPr>
            <w:tcW w:w="1249" w:type="dxa"/>
            <w:tcBorders>
              <w:top w:val="nil"/>
              <w:left w:val="nil"/>
              <w:bottom w:val="nil"/>
              <w:right w:val="nil"/>
            </w:tcBorders>
            <w:shd w:val="clear" w:color="auto" w:fill="auto"/>
            <w:vAlign w:val="bottom"/>
            <w:hideMark/>
          </w:tcPr>
          <w:p w14:paraId="40DFBA5D"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61FD697C"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51C4A2DF"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30134C05" w14:textId="77777777" w:rsidTr="0077272C">
        <w:trPr>
          <w:divId w:val="305356990"/>
          <w:trHeight w:val="170"/>
        </w:trPr>
        <w:tc>
          <w:tcPr>
            <w:tcW w:w="362" w:type="dxa"/>
            <w:tcBorders>
              <w:top w:val="nil"/>
              <w:left w:val="nil"/>
              <w:bottom w:val="nil"/>
              <w:right w:val="nil"/>
            </w:tcBorders>
            <w:shd w:val="clear" w:color="auto" w:fill="auto"/>
            <w:hideMark/>
          </w:tcPr>
          <w:p w14:paraId="16BAFB3D" w14:textId="77777777" w:rsidR="00862A01" w:rsidRPr="00872D7E" w:rsidRDefault="00862A01" w:rsidP="00862A01">
            <w:pPr>
              <w:rPr>
                <w:color w:val="000000"/>
                <w:sz w:val="15"/>
                <w:szCs w:val="15"/>
                <w:lang w:eastAsia="tr-TR"/>
              </w:rPr>
            </w:pPr>
            <w:r w:rsidRPr="00872D7E">
              <w:rPr>
                <w:color w:val="000000"/>
                <w:sz w:val="15"/>
                <w:szCs w:val="15"/>
                <w:lang w:eastAsia="tr-TR"/>
              </w:rPr>
              <w:t>8</w:t>
            </w:r>
          </w:p>
        </w:tc>
        <w:tc>
          <w:tcPr>
            <w:tcW w:w="5724" w:type="dxa"/>
            <w:tcBorders>
              <w:top w:val="nil"/>
              <w:left w:val="nil"/>
              <w:bottom w:val="nil"/>
              <w:right w:val="nil"/>
            </w:tcBorders>
            <w:shd w:val="clear" w:color="auto" w:fill="auto"/>
            <w:noWrap/>
            <w:hideMark/>
          </w:tcPr>
          <w:p w14:paraId="1E451FAA" w14:textId="77777777" w:rsidR="00862A01" w:rsidRPr="00872D7E" w:rsidRDefault="00862A01" w:rsidP="00862A01">
            <w:pPr>
              <w:rPr>
                <w:color w:val="000000"/>
                <w:sz w:val="15"/>
                <w:szCs w:val="15"/>
                <w:lang w:eastAsia="tr-TR"/>
              </w:rPr>
            </w:pPr>
            <w:r w:rsidRPr="00872D7E">
              <w:rPr>
                <w:color w:val="000000"/>
                <w:sz w:val="15"/>
                <w:szCs w:val="15"/>
                <w:lang w:eastAsia="tr-TR"/>
              </w:rPr>
              <w:t>KYK’ya yapılan yatırımlar-içerik yöntemi</w:t>
            </w:r>
          </w:p>
        </w:tc>
        <w:tc>
          <w:tcPr>
            <w:tcW w:w="1249" w:type="dxa"/>
            <w:tcBorders>
              <w:top w:val="nil"/>
              <w:left w:val="nil"/>
              <w:bottom w:val="nil"/>
              <w:right w:val="nil"/>
            </w:tcBorders>
            <w:shd w:val="clear" w:color="auto" w:fill="auto"/>
            <w:vAlign w:val="bottom"/>
            <w:hideMark/>
          </w:tcPr>
          <w:p w14:paraId="5CDC81B1" w14:textId="77777777" w:rsidR="00862A01" w:rsidRPr="00872D7E" w:rsidRDefault="00862A01" w:rsidP="0077272C">
            <w:pPr>
              <w:jc w:val="right"/>
              <w:rPr>
                <w:color w:val="000000"/>
                <w:sz w:val="15"/>
                <w:szCs w:val="15"/>
                <w:lang w:eastAsia="tr-TR"/>
              </w:rPr>
            </w:pPr>
            <w:r w:rsidRPr="00872D7E">
              <w:rPr>
                <w:color w:val="000000"/>
                <w:sz w:val="15"/>
                <w:szCs w:val="15"/>
                <w:lang w:eastAsia="tr-TR"/>
              </w:rPr>
              <w:t>948</w:t>
            </w:r>
          </w:p>
        </w:tc>
        <w:tc>
          <w:tcPr>
            <w:tcW w:w="1092" w:type="dxa"/>
            <w:tcBorders>
              <w:top w:val="nil"/>
              <w:left w:val="nil"/>
              <w:bottom w:val="nil"/>
              <w:right w:val="nil"/>
            </w:tcBorders>
            <w:shd w:val="clear" w:color="auto" w:fill="auto"/>
            <w:vAlign w:val="bottom"/>
            <w:hideMark/>
          </w:tcPr>
          <w:p w14:paraId="12684157"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449F5882" w14:textId="77777777" w:rsidR="00862A01" w:rsidRPr="00872D7E" w:rsidRDefault="00862A01" w:rsidP="0077272C">
            <w:pPr>
              <w:jc w:val="right"/>
              <w:rPr>
                <w:color w:val="000000"/>
                <w:sz w:val="15"/>
                <w:szCs w:val="15"/>
                <w:lang w:eastAsia="tr-TR"/>
              </w:rPr>
            </w:pPr>
            <w:r w:rsidRPr="00872D7E">
              <w:rPr>
                <w:color w:val="000000"/>
                <w:sz w:val="15"/>
                <w:szCs w:val="15"/>
                <w:lang w:eastAsia="tr-TR"/>
              </w:rPr>
              <w:t>76</w:t>
            </w:r>
          </w:p>
        </w:tc>
      </w:tr>
      <w:tr w:rsidR="00862A01" w:rsidRPr="00872D7E" w14:paraId="6A57ECAF" w14:textId="77777777" w:rsidTr="0077272C">
        <w:trPr>
          <w:divId w:val="305356990"/>
          <w:trHeight w:val="170"/>
        </w:trPr>
        <w:tc>
          <w:tcPr>
            <w:tcW w:w="362" w:type="dxa"/>
            <w:tcBorders>
              <w:top w:val="nil"/>
              <w:left w:val="nil"/>
              <w:bottom w:val="nil"/>
              <w:right w:val="nil"/>
            </w:tcBorders>
            <w:shd w:val="clear" w:color="auto" w:fill="auto"/>
            <w:hideMark/>
          </w:tcPr>
          <w:p w14:paraId="6F5818A8" w14:textId="77777777" w:rsidR="00862A01" w:rsidRPr="00872D7E" w:rsidRDefault="00862A01" w:rsidP="00862A01">
            <w:pPr>
              <w:rPr>
                <w:color w:val="000000"/>
                <w:sz w:val="15"/>
                <w:szCs w:val="15"/>
                <w:lang w:eastAsia="tr-TR"/>
              </w:rPr>
            </w:pPr>
            <w:r w:rsidRPr="00872D7E">
              <w:rPr>
                <w:color w:val="000000"/>
                <w:sz w:val="15"/>
                <w:szCs w:val="15"/>
                <w:lang w:eastAsia="tr-TR"/>
              </w:rPr>
              <w:t>9</w:t>
            </w:r>
          </w:p>
        </w:tc>
        <w:tc>
          <w:tcPr>
            <w:tcW w:w="5724" w:type="dxa"/>
            <w:tcBorders>
              <w:top w:val="nil"/>
              <w:left w:val="nil"/>
              <w:bottom w:val="nil"/>
              <w:right w:val="nil"/>
            </w:tcBorders>
            <w:shd w:val="clear" w:color="auto" w:fill="auto"/>
            <w:noWrap/>
            <w:hideMark/>
          </w:tcPr>
          <w:p w14:paraId="21B6D1C1" w14:textId="77777777" w:rsidR="00862A01" w:rsidRPr="00872D7E" w:rsidRDefault="00862A01" w:rsidP="00862A01">
            <w:pPr>
              <w:rPr>
                <w:color w:val="000000"/>
                <w:sz w:val="15"/>
                <w:szCs w:val="15"/>
                <w:lang w:eastAsia="tr-TR"/>
              </w:rPr>
            </w:pPr>
            <w:r w:rsidRPr="00872D7E">
              <w:rPr>
                <w:color w:val="000000"/>
                <w:sz w:val="15"/>
                <w:szCs w:val="15"/>
                <w:lang w:eastAsia="tr-TR"/>
              </w:rPr>
              <w:t>KYK’ya yapılan yatırımlar-izahname yöntemi</w:t>
            </w:r>
          </w:p>
        </w:tc>
        <w:tc>
          <w:tcPr>
            <w:tcW w:w="1249" w:type="dxa"/>
            <w:tcBorders>
              <w:top w:val="nil"/>
              <w:left w:val="nil"/>
              <w:bottom w:val="nil"/>
              <w:right w:val="nil"/>
            </w:tcBorders>
            <w:shd w:val="clear" w:color="auto" w:fill="auto"/>
            <w:vAlign w:val="bottom"/>
            <w:hideMark/>
          </w:tcPr>
          <w:p w14:paraId="7D99A22A"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09EF2949"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370F8B18"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35B4052C" w14:textId="77777777" w:rsidTr="0077272C">
        <w:trPr>
          <w:divId w:val="305356990"/>
          <w:trHeight w:val="170"/>
        </w:trPr>
        <w:tc>
          <w:tcPr>
            <w:tcW w:w="362" w:type="dxa"/>
            <w:tcBorders>
              <w:top w:val="nil"/>
              <w:left w:val="nil"/>
              <w:bottom w:val="nil"/>
              <w:right w:val="nil"/>
            </w:tcBorders>
            <w:shd w:val="clear" w:color="auto" w:fill="auto"/>
            <w:hideMark/>
          </w:tcPr>
          <w:p w14:paraId="4A1FF507" w14:textId="77777777" w:rsidR="00862A01" w:rsidRPr="00872D7E" w:rsidRDefault="00862A01" w:rsidP="00862A01">
            <w:pPr>
              <w:rPr>
                <w:color w:val="000000"/>
                <w:sz w:val="15"/>
                <w:szCs w:val="15"/>
                <w:lang w:eastAsia="tr-TR"/>
              </w:rPr>
            </w:pPr>
            <w:r w:rsidRPr="00872D7E">
              <w:rPr>
                <w:color w:val="000000"/>
                <w:sz w:val="15"/>
                <w:szCs w:val="15"/>
                <w:lang w:eastAsia="tr-TR"/>
              </w:rPr>
              <w:t>10</w:t>
            </w:r>
          </w:p>
        </w:tc>
        <w:tc>
          <w:tcPr>
            <w:tcW w:w="5724" w:type="dxa"/>
            <w:tcBorders>
              <w:top w:val="nil"/>
              <w:left w:val="nil"/>
              <w:bottom w:val="nil"/>
              <w:right w:val="nil"/>
            </w:tcBorders>
            <w:shd w:val="clear" w:color="auto" w:fill="auto"/>
            <w:noWrap/>
            <w:hideMark/>
          </w:tcPr>
          <w:p w14:paraId="4707E642" w14:textId="77777777" w:rsidR="00862A01" w:rsidRPr="00872D7E" w:rsidRDefault="00862A01" w:rsidP="00862A01">
            <w:pPr>
              <w:rPr>
                <w:color w:val="000000"/>
                <w:sz w:val="15"/>
                <w:szCs w:val="15"/>
                <w:lang w:eastAsia="tr-TR"/>
              </w:rPr>
            </w:pPr>
            <w:r w:rsidRPr="00872D7E">
              <w:rPr>
                <w:color w:val="000000"/>
                <w:sz w:val="15"/>
                <w:szCs w:val="15"/>
                <w:lang w:eastAsia="tr-TR"/>
              </w:rPr>
              <w:t>KYK’ya yapılan yatırımlar-%1250 risk ağırlığı yöntemi</w:t>
            </w:r>
          </w:p>
        </w:tc>
        <w:tc>
          <w:tcPr>
            <w:tcW w:w="1249" w:type="dxa"/>
            <w:tcBorders>
              <w:top w:val="nil"/>
              <w:left w:val="nil"/>
              <w:bottom w:val="nil"/>
              <w:right w:val="nil"/>
            </w:tcBorders>
            <w:shd w:val="clear" w:color="auto" w:fill="auto"/>
            <w:vAlign w:val="bottom"/>
            <w:hideMark/>
          </w:tcPr>
          <w:p w14:paraId="15194E37"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06DA5E77"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02669D7A"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16934739" w14:textId="77777777" w:rsidTr="0077272C">
        <w:trPr>
          <w:divId w:val="305356990"/>
          <w:trHeight w:val="170"/>
        </w:trPr>
        <w:tc>
          <w:tcPr>
            <w:tcW w:w="362" w:type="dxa"/>
            <w:tcBorders>
              <w:top w:val="nil"/>
              <w:left w:val="nil"/>
              <w:bottom w:val="nil"/>
              <w:right w:val="nil"/>
            </w:tcBorders>
            <w:shd w:val="clear" w:color="auto" w:fill="auto"/>
            <w:hideMark/>
          </w:tcPr>
          <w:p w14:paraId="56373723" w14:textId="77777777" w:rsidR="00862A01" w:rsidRPr="00872D7E" w:rsidRDefault="00862A01" w:rsidP="00862A01">
            <w:pPr>
              <w:rPr>
                <w:color w:val="000000"/>
                <w:sz w:val="15"/>
                <w:szCs w:val="15"/>
                <w:lang w:eastAsia="tr-TR"/>
              </w:rPr>
            </w:pPr>
            <w:r w:rsidRPr="00872D7E">
              <w:rPr>
                <w:color w:val="000000"/>
                <w:sz w:val="15"/>
                <w:szCs w:val="15"/>
                <w:lang w:eastAsia="tr-TR"/>
              </w:rPr>
              <w:t>11</w:t>
            </w:r>
          </w:p>
        </w:tc>
        <w:tc>
          <w:tcPr>
            <w:tcW w:w="5724" w:type="dxa"/>
            <w:tcBorders>
              <w:top w:val="nil"/>
              <w:left w:val="nil"/>
              <w:bottom w:val="nil"/>
              <w:right w:val="nil"/>
            </w:tcBorders>
            <w:shd w:val="clear" w:color="auto" w:fill="auto"/>
            <w:noWrap/>
            <w:hideMark/>
          </w:tcPr>
          <w:p w14:paraId="1F4B1581" w14:textId="77777777" w:rsidR="00862A01" w:rsidRPr="00872D7E" w:rsidRDefault="00862A01" w:rsidP="00862A01">
            <w:pPr>
              <w:rPr>
                <w:color w:val="000000"/>
                <w:sz w:val="15"/>
                <w:szCs w:val="15"/>
                <w:lang w:eastAsia="tr-TR"/>
              </w:rPr>
            </w:pPr>
            <w:r w:rsidRPr="00872D7E">
              <w:rPr>
                <w:color w:val="000000"/>
                <w:sz w:val="15"/>
                <w:szCs w:val="15"/>
                <w:lang w:eastAsia="tr-TR"/>
              </w:rPr>
              <w:t>Takas riski</w:t>
            </w:r>
          </w:p>
        </w:tc>
        <w:tc>
          <w:tcPr>
            <w:tcW w:w="1249" w:type="dxa"/>
            <w:tcBorders>
              <w:top w:val="nil"/>
              <w:left w:val="nil"/>
              <w:bottom w:val="nil"/>
              <w:right w:val="nil"/>
            </w:tcBorders>
            <w:shd w:val="clear" w:color="auto" w:fill="auto"/>
            <w:vAlign w:val="bottom"/>
            <w:hideMark/>
          </w:tcPr>
          <w:p w14:paraId="1E84BCE6"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654F7E85"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35B5B2A5"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0F85243E" w14:textId="77777777" w:rsidTr="0077272C">
        <w:trPr>
          <w:divId w:val="305356990"/>
          <w:trHeight w:val="170"/>
        </w:trPr>
        <w:tc>
          <w:tcPr>
            <w:tcW w:w="362" w:type="dxa"/>
            <w:tcBorders>
              <w:top w:val="nil"/>
              <w:left w:val="nil"/>
              <w:bottom w:val="nil"/>
              <w:right w:val="nil"/>
            </w:tcBorders>
            <w:shd w:val="clear" w:color="auto" w:fill="auto"/>
            <w:hideMark/>
          </w:tcPr>
          <w:p w14:paraId="2B202309" w14:textId="77777777" w:rsidR="00862A01" w:rsidRPr="00872D7E" w:rsidRDefault="00862A01" w:rsidP="00862A01">
            <w:pPr>
              <w:rPr>
                <w:color w:val="000000"/>
                <w:sz w:val="15"/>
                <w:szCs w:val="15"/>
                <w:lang w:eastAsia="tr-TR"/>
              </w:rPr>
            </w:pPr>
            <w:r w:rsidRPr="00872D7E">
              <w:rPr>
                <w:color w:val="000000"/>
                <w:sz w:val="15"/>
                <w:szCs w:val="15"/>
                <w:lang w:eastAsia="tr-TR"/>
              </w:rPr>
              <w:t>12</w:t>
            </w:r>
          </w:p>
        </w:tc>
        <w:tc>
          <w:tcPr>
            <w:tcW w:w="5724" w:type="dxa"/>
            <w:tcBorders>
              <w:top w:val="nil"/>
              <w:left w:val="nil"/>
              <w:bottom w:val="nil"/>
              <w:right w:val="nil"/>
            </w:tcBorders>
            <w:shd w:val="clear" w:color="auto" w:fill="auto"/>
            <w:noWrap/>
            <w:hideMark/>
          </w:tcPr>
          <w:p w14:paraId="0AECD522" w14:textId="77777777" w:rsidR="00862A01" w:rsidRPr="00872D7E" w:rsidRDefault="00862A01" w:rsidP="00862A01">
            <w:pPr>
              <w:rPr>
                <w:color w:val="000000"/>
                <w:sz w:val="15"/>
                <w:szCs w:val="15"/>
                <w:lang w:eastAsia="tr-TR"/>
              </w:rPr>
            </w:pPr>
            <w:r w:rsidRPr="00872D7E">
              <w:rPr>
                <w:color w:val="000000"/>
                <w:sz w:val="15"/>
                <w:szCs w:val="15"/>
                <w:lang w:eastAsia="tr-TR"/>
              </w:rPr>
              <w:t>Bankacılık hesaplarındaki menkul kıymetleştirme pozisyonları</w:t>
            </w:r>
          </w:p>
        </w:tc>
        <w:tc>
          <w:tcPr>
            <w:tcW w:w="1249" w:type="dxa"/>
            <w:tcBorders>
              <w:top w:val="nil"/>
              <w:left w:val="nil"/>
              <w:bottom w:val="nil"/>
              <w:right w:val="nil"/>
            </w:tcBorders>
            <w:shd w:val="clear" w:color="auto" w:fill="auto"/>
            <w:vAlign w:val="bottom"/>
            <w:hideMark/>
          </w:tcPr>
          <w:p w14:paraId="3AB92A0E"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6C8F3778"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4D4FF55F"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0F25A5DA" w14:textId="77777777" w:rsidTr="0077272C">
        <w:trPr>
          <w:divId w:val="305356990"/>
          <w:trHeight w:val="170"/>
        </w:trPr>
        <w:tc>
          <w:tcPr>
            <w:tcW w:w="362" w:type="dxa"/>
            <w:tcBorders>
              <w:top w:val="nil"/>
              <w:left w:val="nil"/>
              <w:bottom w:val="nil"/>
              <w:right w:val="nil"/>
            </w:tcBorders>
            <w:shd w:val="clear" w:color="auto" w:fill="auto"/>
            <w:hideMark/>
          </w:tcPr>
          <w:p w14:paraId="01CC1321" w14:textId="77777777" w:rsidR="00862A01" w:rsidRPr="00872D7E" w:rsidRDefault="00862A01" w:rsidP="00862A01">
            <w:pPr>
              <w:rPr>
                <w:color w:val="000000"/>
                <w:sz w:val="15"/>
                <w:szCs w:val="15"/>
                <w:lang w:eastAsia="tr-TR"/>
              </w:rPr>
            </w:pPr>
            <w:r w:rsidRPr="00872D7E">
              <w:rPr>
                <w:color w:val="000000"/>
                <w:sz w:val="15"/>
                <w:szCs w:val="15"/>
                <w:lang w:eastAsia="tr-TR"/>
              </w:rPr>
              <w:t>13</w:t>
            </w:r>
          </w:p>
        </w:tc>
        <w:tc>
          <w:tcPr>
            <w:tcW w:w="5724" w:type="dxa"/>
            <w:tcBorders>
              <w:top w:val="nil"/>
              <w:left w:val="nil"/>
              <w:bottom w:val="nil"/>
              <w:right w:val="nil"/>
            </w:tcBorders>
            <w:shd w:val="clear" w:color="auto" w:fill="auto"/>
            <w:noWrap/>
            <w:hideMark/>
          </w:tcPr>
          <w:p w14:paraId="0D0679BC"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İDD derecelendirmeye dayalı yaklaşım</w:t>
            </w:r>
          </w:p>
        </w:tc>
        <w:tc>
          <w:tcPr>
            <w:tcW w:w="1249" w:type="dxa"/>
            <w:tcBorders>
              <w:top w:val="nil"/>
              <w:left w:val="nil"/>
              <w:bottom w:val="nil"/>
              <w:right w:val="nil"/>
            </w:tcBorders>
            <w:shd w:val="clear" w:color="auto" w:fill="auto"/>
            <w:vAlign w:val="bottom"/>
            <w:hideMark/>
          </w:tcPr>
          <w:p w14:paraId="4C78E33C"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54B25FA2"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5A0BBB84"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31AA513C" w14:textId="77777777" w:rsidTr="0077272C">
        <w:trPr>
          <w:divId w:val="305356990"/>
          <w:trHeight w:val="170"/>
        </w:trPr>
        <w:tc>
          <w:tcPr>
            <w:tcW w:w="362" w:type="dxa"/>
            <w:tcBorders>
              <w:top w:val="nil"/>
              <w:left w:val="nil"/>
              <w:bottom w:val="nil"/>
              <w:right w:val="nil"/>
            </w:tcBorders>
            <w:shd w:val="clear" w:color="auto" w:fill="auto"/>
            <w:hideMark/>
          </w:tcPr>
          <w:p w14:paraId="32584914" w14:textId="77777777" w:rsidR="00862A01" w:rsidRPr="00872D7E" w:rsidRDefault="00862A01" w:rsidP="00862A01">
            <w:pPr>
              <w:rPr>
                <w:color w:val="000000"/>
                <w:sz w:val="15"/>
                <w:szCs w:val="15"/>
                <w:lang w:eastAsia="tr-TR"/>
              </w:rPr>
            </w:pPr>
            <w:r w:rsidRPr="00872D7E">
              <w:rPr>
                <w:color w:val="000000"/>
                <w:sz w:val="15"/>
                <w:szCs w:val="15"/>
                <w:lang w:eastAsia="tr-TR"/>
              </w:rPr>
              <w:t>14</w:t>
            </w:r>
          </w:p>
        </w:tc>
        <w:tc>
          <w:tcPr>
            <w:tcW w:w="5724" w:type="dxa"/>
            <w:tcBorders>
              <w:top w:val="nil"/>
              <w:left w:val="nil"/>
              <w:bottom w:val="nil"/>
              <w:right w:val="nil"/>
            </w:tcBorders>
            <w:shd w:val="clear" w:color="auto" w:fill="auto"/>
            <w:noWrap/>
            <w:hideMark/>
          </w:tcPr>
          <w:p w14:paraId="7FF85689"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İDD denetim otoritesi formülü yaklaşımı</w:t>
            </w:r>
          </w:p>
        </w:tc>
        <w:tc>
          <w:tcPr>
            <w:tcW w:w="1249" w:type="dxa"/>
            <w:tcBorders>
              <w:top w:val="nil"/>
              <w:left w:val="nil"/>
              <w:bottom w:val="nil"/>
              <w:right w:val="nil"/>
            </w:tcBorders>
            <w:shd w:val="clear" w:color="auto" w:fill="auto"/>
            <w:vAlign w:val="bottom"/>
            <w:hideMark/>
          </w:tcPr>
          <w:p w14:paraId="751CB08A"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68AD9830"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66B46597"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3AA09A6B" w14:textId="77777777" w:rsidTr="0077272C">
        <w:trPr>
          <w:divId w:val="305356990"/>
          <w:trHeight w:val="170"/>
        </w:trPr>
        <w:tc>
          <w:tcPr>
            <w:tcW w:w="362" w:type="dxa"/>
            <w:tcBorders>
              <w:top w:val="nil"/>
              <w:left w:val="nil"/>
              <w:bottom w:val="nil"/>
              <w:right w:val="nil"/>
            </w:tcBorders>
            <w:shd w:val="clear" w:color="auto" w:fill="auto"/>
            <w:hideMark/>
          </w:tcPr>
          <w:p w14:paraId="6DFB3C8B" w14:textId="77777777" w:rsidR="00862A01" w:rsidRPr="00872D7E" w:rsidRDefault="00862A01" w:rsidP="00862A01">
            <w:pPr>
              <w:rPr>
                <w:color w:val="000000"/>
                <w:sz w:val="15"/>
                <w:szCs w:val="15"/>
                <w:lang w:eastAsia="tr-TR"/>
              </w:rPr>
            </w:pPr>
            <w:r w:rsidRPr="00872D7E">
              <w:rPr>
                <w:color w:val="000000"/>
                <w:sz w:val="15"/>
                <w:szCs w:val="15"/>
                <w:lang w:eastAsia="tr-TR"/>
              </w:rPr>
              <w:t>15</w:t>
            </w:r>
          </w:p>
        </w:tc>
        <w:tc>
          <w:tcPr>
            <w:tcW w:w="5724" w:type="dxa"/>
            <w:tcBorders>
              <w:top w:val="nil"/>
              <w:left w:val="nil"/>
              <w:bottom w:val="nil"/>
              <w:right w:val="nil"/>
            </w:tcBorders>
            <w:shd w:val="clear" w:color="auto" w:fill="auto"/>
            <w:noWrap/>
            <w:hideMark/>
          </w:tcPr>
          <w:p w14:paraId="5A4E80DA"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Standart basitleştirilmiş denetim otoritesi formülü yaklaşımı</w:t>
            </w:r>
          </w:p>
        </w:tc>
        <w:tc>
          <w:tcPr>
            <w:tcW w:w="1249" w:type="dxa"/>
            <w:tcBorders>
              <w:top w:val="nil"/>
              <w:left w:val="nil"/>
              <w:bottom w:val="nil"/>
              <w:right w:val="nil"/>
            </w:tcBorders>
            <w:shd w:val="clear" w:color="auto" w:fill="auto"/>
            <w:vAlign w:val="bottom"/>
            <w:hideMark/>
          </w:tcPr>
          <w:p w14:paraId="10B21BD1"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1BE1D4A1"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41A6E4B4"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1C2DF299" w14:textId="77777777" w:rsidTr="0077272C">
        <w:trPr>
          <w:divId w:val="305356990"/>
          <w:trHeight w:val="170"/>
        </w:trPr>
        <w:tc>
          <w:tcPr>
            <w:tcW w:w="362" w:type="dxa"/>
            <w:tcBorders>
              <w:top w:val="nil"/>
              <w:left w:val="nil"/>
              <w:bottom w:val="nil"/>
              <w:right w:val="nil"/>
            </w:tcBorders>
            <w:shd w:val="clear" w:color="auto" w:fill="auto"/>
            <w:hideMark/>
          </w:tcPr>
          <w:p w14:paraId="3E50CA38" w14:textId="77777777" w:rsidR="00862A01" w:rsidRPr="00872D7E" w:rsidRDefault="00862A01" w:rsidP="00862A01">
            <w:pPr>
              <w:rPr>
                <w:color w:val="000000"/>
                <w:sz w:val="15"/>
                <w:szCs w:val="15"/>
                <w:lang w:eastAsia="tr-TR"/>
              </w:rPr>
            </w:pPr>
            <w:r w:rsidRPr="00872D7E">
              <w:rPr>
                <w:color w:val="000000"/>
                <w:sz w:val="15"/>
                <w:szCs w:val="15"/>
                <w:lang w:eastAsia="tr-TR"/>
              </w:rPr>
              <w:t>16</w:t>
            </w:r>
          </w:p>
        </w:tc>
        <w:tc>
          <w:tcPr>
            <w:tcW w:w="5724" w:type="dxa"/>
            <w:tcBorders>
              <w:top w:val="nil"/>
              <w:left w:val="nil"/>
              <w:bottom w:val="nil"/>
              <w:right w:val="nil"/>
            </w:tcBorders>
            <w:shd w:val="clear" w:color="auto" w:fill="auto"/>
            <w:noWrap/>
            <w:hideMark/>
          </w:tcPr>
          <w:p w14:paraId="3C6AADE5" w14:textId="77777777" w:rsidR="00862A01" w:rsidRPr="00872D7E" w:rsidRDefault="00862A01" w:rsidP="00862A01">
            <w:pPr>
              <w:rPr>
                <w:color w:val="000000"/>
                <w:sz w:val="15"/>
                <w:szCs w:val="15"/>
                <w:lang w:eastAsia="tr-TR"/>
              </w:rPr>
            </w:pPr>
            <w:r w:rsidRPr="00872D7E">
              <w:rPr>
                <w:color w:val="000000"/>
                <w:sz w:val="15"/>
                <w:szCs w:val="15"/>
                <w:lang w:eastAsia="tr-TR"/>
              </w:rPr>
              <w:t>Piyasa riski</w:t>
            </w:r>
          </w:p>
        </w:tc>
        <w:tc>
          <w:tcPr>
            <w:tcW w:w="1249" w:type="dxa"/>
            <w:tcBorders>
              <w:top w:val="nil"/>
              <w:left w:val="nil"/>
              <w:bottom w:val="nil"/>
              <w:right w:val="nil"/>
            </w:tcBorders>
            <w:shd w:val="clear" w:color="auto" w:fill="auto"/>
            <w:vAlign w:val="bottom"/>
            <w:hideMark/>
          </w:tcPr>
          <w:p w14:paraId="639E0514" w14:textId="77777777" w:rsidR="00862A01" w:rsidRPr="00872D7E" w:rsidRDefault="00862A01" w:rsidP="0077272C">
            <w:pPr>
              <w:jc w:val="right"/>
              <w:rPr>
                <w:color w:val="000000"/>
                <w:sz w:val="15"/>
                <w:szCs w:val="15"/>
                <w:lang w:eastAsia="tr-TR"/>
              </w:rPr>
            </w:pPr>
            <w:r w:rsidRPr="00872D7E">
              <w:rPr>
                <w:color w:val="000000"/>
                <w:sz w:val="15"/>
                <w:szCs w:val="15"/>
                <w:lang w:eastAsia="tr-TR"/>
              </w:rPr>
              <w:t>378.763</w:t>
            </w:r>
          </w:p>
        </w:tc>
        <w:tc>
          <w:tcPr>
            <w:tcW w:w="1092" w:type="dxa"/>
            <w:tcBorders>
              <w:top w:val="nil"/>
              <w:left w:val="nil"/>
              <w:bottom w:val="nil"/>
              <w:right w:val="nil"/>
            </w:tcBorders>
            <w:shd w:val="clear" w:color="auto" w:fill="auto"/>
            <w:vAlign w:val="bottom"/>
            <w:hideMark/>
          </w:tcPr>
          <w:p w14:paraId="4035B6C5"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67B1699F" w14:textId="77777777" w:rsidR="00862A01" w:rsidRPr="00872D7E" w:rsidRDefault="00862A01" w:rsidP="0077272C">
            <w:pPr>
              <w:jc w:val="right"/>
              <w:rPr>
                <w:color w:val="000000"/>
                <w:sz w:val="15"/>
                <w:szCs w:val="15"/>
                <w:lang w:eastAsia="tr-TR"/>
              </w:rPr>
            </w:pPr>
            <w:r w:rsidRPr="00872D7E">
              <w:rPr>
                <w:color w:val="000000"/>
                <w:sz w:val="15"/>
                <w:szCs w:val="15"/>
                <w:lang w:eastAsia="tr-TR"/>
              </w:rPr>
              <w:t>30.301</w:t>
            </w:r>
          </w:p>
        </w:tc>
      </w:tr>
      <w:tr w:rsidR="00862A01" w:rsidRPr="00872D7E" w14:paraId="150DFAFB" w14:textId="77777777" w:rsidTr="0077272C">
        <w:trPr>
          <w:divId w:val="305356990"/>
          <w:trHeight w:val="170"/>
        </w:trPr>
        <w:tc>
          <w:tcPr>
            <w:tcW w:w="362" w:type="dxa"/>
            <w:tcBorders>
              <w:top w:val="nil"/>
              <w:left w:val="nil"/>
              <w:bottom w:val="nil"/>
              <w:right w:val="nil"/>
            </w:tcBorders>
            <w:shd w:val="clear" w:color="auto" w:fill="auto"/>
            <w:hideMark/>
          </w:tcPr>
          <w:p w14:paraId="29C09866" w14:textId="77777777" w:rsidR="00862A01" w:rsidRPr="00872D7E" w:rsidRDefault="00862A01" w:rsidP="00862A01">
            <w:pPr>
              <w:rPr>
                <w:color w:val="000000"/>
                <w:sz w:val="15"/>
                <w:szCs w:val="15"/>
                <w:lang w:eastAsia="tr-TR"/>
              </w:rPr>
            </w:pPr>
            <w:r w:rsidRPr="00872D7E">
              <w:rPr>
                <w:color w:val="000000"/>
                <w:sz w:val="15"/>
                <w:szCs w:val="15"/>
                <w:lang w:eastAsia="tr-TR"/>
              </w:rPr>
              <w:t>17</w:t>
            </w:r>
          </w:p>
        </w:tc>
        <w:tc>
          <w:tcPr>
            <w:tcW w:w="5724" w:type="dxa"/>
            <w:tcBorders>
              <w:top w:val="nil"/>
              <w:left w:val="nil"/>
              <w:bottom w:val="nil"/>
              <w:right w:val="nil"/>
            </w:tcBorders>
            <w:shd w:val="clear" w:color="auto" w:fill="auto"/>
            <w:noWrap/>
            <w:hideMark/>
          </w:tcPr>
          <w:p w14:paraId="5CA3391A"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Standart yaklaşım</w:t>
            </w:r>
          </w:p>
        </w:tc>
        <w:tc>
          <w:tcPr>
            <w:tcW w:w="1249" w:type="dxa"/>
            <w:tcBorders>
              <w:top w:val="nil"/>
              <w:left w:val="nil"/>
              <w:bottom w:val="nil"/>
              <w:right w:val="nil"/>
            </w:tcBorders>
            <w:shd w:val="clear" w:color="auto" w:fill="auto"/>
            <w:vAlign w:val="bottom"/>
            <w:hideMark/>
          </w:tcPr>
          <w:p w14:paraId="7CD26F30" w14:textId="77777777" w:rsidR="00862A01" w:rsidRPr="00872D7E" w:rsidRDefault="00862A01" w:rsidP="0077272C">
            <w:pPr>
              <w:jc w:val="right"/>
              <w:rPr>
                <w:color w:val="000000"/>
                <w:sz w:val="15"/>
                <w:szCs w:val="15"/>
                <w:lang w:eastAsia="tr-TR"/>
              </w:rPr>
            </w:pPr>
            <w:r w:rsidRPr="00872D7E">
              <w:rPr>
                <w:color w:val="000000"/>
                <w:sz w:val="15"/>
                <w:szCs w:val="15"/>
                <w:lang w:eastAsia="tr-TR"/>
              </w:rPr>
              <w:t>378.763</w:t>
            </w:r>
          </w:p>
        </w:tc>
        <w:tc>
          <w:tcPr>
            <w:tcW w:w="1092" w:type="dxa"/>
            <w:tcBorders>
              <w:top w:val="nil"/>
              <w:left w:val="nil"/>
              <w:bottom w:val="nil"/>
              <w:right w:val="nil"/>
            </w:tcBorders>
            <w:shd w:val="clear" w:color="auto" w:fill="auto"/>
            <w:vAlign w:val="bottom"/>
            <w:hideMark/>
          </w:tcPr>
          <w:p w14:paraId="30006EFD"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1BAE9EC7" w14:textId="77777777" w:rsidR="00862A01" w:rsidRPr="00872D7E" w:rsidRDefault="00862A01" w:rsidP="0077272C">
            <w:pPr>
              <w:jc w:val="right"/>
              <w:rPr>
                <w:color w:val="000000"/>
                <w:sz w:val="15"/>
                <w:szCs w:val="15"/>
                <w:lang w:eastAsia="tr-TR"/>
              </w:rPr>
            </w:pPr>
            <w:r w:rsidRPr="00872D7E">
              <w:rPr>
                <w:color w:val="000000"/>
                <w:sz w:val="15"/>
                <w:szCs w:val="15"/>
                <w:lang w:eastAsia="tr-TR"/>
              </w:rPr>
              <w:t>30.301</w:t>
            </w:r>
          </w:p>
        </w:tc>
      </w:tr>
      <w:tr w:rsidR="00862A01" w:rsidRPr="00872D7E" w14:paraId="1C8C7DEB" w14:textId="77777777" w:rsidTr="0077272C">
        <w:trPr>
          <w:divId w:val="305356990"/>
          <w:trHeight w:val="170"/>
        </w:trPr>
        <w:tc>
          <w:tcPr>
            <w:tcW w:w="362" w:type="dxa"/>
            <w:tcBorders>
              <w:top w:val="nil"/>
              <w:left w:val="nil"/>
              <w:bottom w:val="nil"/>
              <w:right w:val="nil"/>
            </w:tcBorders>
            <w:shd w:val="clear" w:color="auto" w:fill="auto"/>
            <w:hideMark/>
          </w:tcPr>
          <w:p w14:paraId="54623BFC" w14:textId="77777777" w:rsidR="00862A01" w:rsidRPr="00872D7E" w:rsidRDefault="00862A01" w:rsidP="00862A01">
            <w:pPr>
              <w:rPr>
                <w:color w:val="000000"/>
                <w:sz w:val="15"/>
                <w:szCs w:val="15"/>
                <w:lang w:eastAsia="tr-TR"/>
              </w:rPr>
            </w:pPr>
            <w:r w:rsidRPr="00872D7E">
              <w:rPr>
                <w:color w:val="000000"/>
                <w:sz w:val="15"/>
                <w:szCs w:val="15"/>
                <w:lang w:eastAsia="tr-TR"/>
              </w:rPr>
              <w:t>18</w:t>
            </w:r>
          </w:p>
        </w:tc>
        <w:tc>
          <w:tcPr>
            <w:tcW w:w="5724" w:type="dxa"/>
            <w:tcBorders>
              <w:top w:val="nil"/>
              <w:left w:val="nil"/>
              <w:bottom w:val="nil"/>
              <w:right w:val="nil"/>
            </w:tcBorders>
            <w:shd w:val="clear" w:color="auto" w:fill="auto"/>
            <w:noWrap/>
            <w:hideMark/>
          </w:tcPr>
          <w:p w14:paraId="57A4135A"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İçsel model yaklaşımları</w:t>
            </w:r>
          </w:p>
        </w:tc>
        <w:tc>
          <w:tcPr>
            <w:tcW w:w="1249" w:type="dxa"/>
            <w:tcBorders>
              <w:top w:val="nil"/>
              <w:left w:val="nil"/>
              <w:bottom w:val="nil"/>
              <w:right w:val="nil"/>
            </w:tcBorders>
            <w:shd w:val="clear" w:color="auto" w:fill="auto"/>
            <w:vAlign w:val="bottom"/>
            <w:hideMark/>
          </w:tcPr>
          <w:p w14:paraId="4C87579C"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7F38D56F"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4260F464"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3BC221D2" w14:textId="77777777" w:rsidTr="0077272C">
        <w:trPr>
          <w:divId w:val="305356990"/>
          <w:trHeight w:val="170"/>
        </w:trPr>
        <w:tc>
          <w:tcPr>
            <w:tcW w:w="362" w:type="dxa"/>
            <w:tcBorders>
              <w:top w:val="nil"/>
              <w:left w:val="nil"/>
              <w:bottom w:val="nil"/>
              <w:right w:val="nil"/>
            </w:tcBorders>
            <w:shd w:val="clear" w:color="auto" w:fill="auto"/>
            <w:hideMark/>
          </w:tcPr>
          <w:p w14:paraId="54C74ED3" w14:textId="77777777" w:rsidR="00862A01" w:rsidRPr="00872D7E" w:rsidRDefault="00862A01" w:rsidP="00862A01">
            <w:pPr>
              <w:rPr>
                <w:color w:val="000000"/>
                <w:sz w:val="15"/>
                <w:szCs w:val="15"/>
                <w:lang w:eastAsia="tr-TR"/>
              </w:rPr>
            </w:pPr>
            <w:proofErr w:type="gramStart"/>
            <w:r w:rsidRPr="00872D7E">
              <w:rPr>
                <w:color w:val="000000"/>
                <w:sz w:val="15"/>
                <w:szCs w:val="15"/>
                <w:lang w:eastAsia="tr-TR"/>
              </w:rPr>
              <w:t>iş</w:t>
            </w:r>
            <w:proofErr w:type="gramEnd"/>
          </w:p>
        </w:tc>
        <w:tc>
          <w:tcPr>
            <w:tcW w:w="5724" w:type="dxa"/>
            <w:tcBorders>
              <w:top w:val="nil"/>
              <w:left w:val="nil"/>
              <w:bottom w:val="nil"/>
              <w:right w:val="nil"/>
            </w:tcBorders>
            <w:shd w:val="clear" w:color="auto" w:fill="auto"/>
            <w:noWrap/>
            <w:hideMark/>
          </w:tcPr>
          <w:p w14:paraId="7D27E62A" w14:textId="77777777" w:rsidR="00862A01" w:rsidRPr="00872D7E" w:rsidRDefault="00862A01" w:rsidP="00862A01">
            <w:pPr>
              <w:rPr>
                <w:color w:val="000000"/>
                <w:sz w:val="15"/>
                <w:szCs w:val="15"/>
                <w:lang w:eastAsia="tr-TR"/>
              </w:rPr>
            </w:pPr>
            <w:r w:rsidRPr="00872D7E">
              <w:rPr>
                <w:color w:val="000000"/>
                <w:sz w:val="15"/>
                <w:szCs w:val="15"/>
                <w:lang w:eastAsia="tr-TR"/>
              </w:rPr>
              <w:t>Operasyonel risk</w:t>
            </w:r>
          </w:p>
        </w:tc>
        <w:tc>
          <w:tcPr>
            <w:tcW w:w="1249" w:type="dxa"/>
            <w:tcBorders>
              <w:top w:val="nil"/>
              <w:left w:val="nil"/>
              <w:bottom w:val="nil"/>
              <w:right w:val="nil"/>
            </w:tcBorders>
            <w:shd w:val="clear" w:color="auto" w:fill="auto"/>
            <w:vAlign w:val="bottom"/>
            <w:hideMark/>
          </w:tcPr>
          <w:p w14:paraId="7EB5E093" w14:textId="77777777" w:rsidR="00862A01" w:rsidRPr="00872D7E" w:rsidRDefault="00862A01" w:rsidP="0077272C">
            <w:pPr>
              <w:jc w:val="right"/>
              <w:rPr>
                <w:color w:val="000000"/>
                <w:sz w:val="15"/>
                <w:szCs w:val="15"/>
                <w:lang w:eastAsia="tr-TR"/>
              </w:rPr>
            </w:pPr>
            <w:r w:rsidRPr="00872D7E">
              <w:rPr>
                <w:color w:val="000000"/>
                <w:sz w:val="15"/>
                <w:szCs w:val="15"/>
                <w:lang w:eastAsia="tr-TR"/>
              </w:rPr>
              <w:t>71.588</w:t>
            </w:r>
          </w:p>
        </w:tc>
        <w:tc>
          <w:tcPr>
            <w:tcW w:w="1092" w:type="dxa"/>
            <w:tcBorders>
              <w:top w:val="nil"/>
              <w:left w:val="nil"/>
              <w:bottom w:val="nil"/>
              <w:right w:val="nil"/>
            </w:tcBorders>
            <w:shd w:val="clear" w:color="auto" w:fill="auto"/>
            <w:vAlign w:val="bottom"/>
            <w:hideMark/>
          </w:tcPr>
          <w:p w14:paraId="22756968" w14:textId="77777777" w:rsidR="00862A01" w:rsidRPr="00872D7E" w:rsidRDefault="00862A01" w:rsidP="0077272C">
            <w:pPr>
              <w:jc w:val="right"/>
              <w:rPr>
                <w:color w:val="000000"/>
                <w:sz w:val="15"/>
                <w:szCs w:val="15"/>
                <w:lang w:eastAsia="tr-TR"/>
              </w:rPr>
            </w:pPr>
            <w:r w:rsidRPr="00872D7E">
              <w:rPr>
                <w:color w:val="000000"/>
                <w:sz w:val="15"/>
                <w:szCs w:val="15"/>
                <w:lang w:eastAsia="tr-TR"/>
              </w:rPr>
              <w:t>18.713</w:t>
            </w:r>
          </w:p>
        </w:tc>
        <w:tc>
          <w:tcPr>
            <w:tcW w:w="1483" w:type="dxa"/>
            <w:tcBorders>
              <w:top w:val="nil"/>
              <w:left w:val="nil"/>
              <w:bottom w:val="nil"/>
              <w:right w:val="nil"/>
            </w:tcBorders>
            <w:shd w:val="clear" w:color="auto" w:fill="auto"/>
            <w:vAlign w:val="bottom"/>
            <w:hideMark/>
          </w:tcPr>
          <w:p w14:paraId="0D5973F4" w14:textId="77777777" w:rsidR="00862A01" w:rsidRPr="00872D7E" w:rsidRDefault="00862A01" w:rsidP="0077272C">
            <w:pPr>
              <w:jc w:val="right"/>
              <w:rPr>
                <w:color w:val="000000"/>
                <w:sz w:val="15"/>
                <w:szCs w:val="15"/>
                <w:lang w:eastAsia="tr-TR"/>
              </w:rPr>
            </w:pPr>
            <w:r w:rsidRPr="00872D7E">
              <w:rPr>
                <w:color w:val="000000"/>
                <w:sz w:val="15"/>
                <w:szCs w:val="15"/>
                <w:lang w:eastAsia="tr-TR"/>
              </w:rPr>
              <w:t>5.727</w:t>
            </w:r>
          </w:p>
        </w:tc>
      </w:tr>
      <w:tr w:rsidR="00862A01" w:rsidRPr="00872D7E" w14:paraId="06F3ECFB" w14:textId="77777777" w:rsidTr="0077272C">
        <w:trPr>
          <w:divId w:val="305356990"/>
          <w:trHeight w:val="170"/>
        </w:trPr>
        <w:tc>
          <w:tcPr>
            <w:tcW w:w="362" w:type="dxa"/>
            <w:tcBorders>
              <w:top w:val="nil"/>
              <w:left w:val="nil"/>
              <w:bottom w:val="nil"/>
              <w:right w:val="nil"/>
            </w:tcBorders>
            <w:shd w:val="clear" w:color="auto" w:fill="auto"/>
            <w:hideMark/>
          </w:tcPr>
          <w:p w14:paraId="21984863" w14:textId="77777777" w:rsidR="00862A01" w:rsidRPr="00872D7E" w:rsidRDefault="00862A01" w:rsidP="00862A01">
            <w:pPr>
              <w:rPr>
                <w:color w:val="000000"/>
                <w:sz w:val="15"/>
                <w:szCs w:val="15"/>
                <w:lang w:eastAsia="tr-TR"/>
              </w:rPr>
            </w:pPr>
            <w:r w:rsidRPr="00872D7E">
              <w:rPr>
                <w:color w:val="000000"/>
                <w:sz w:val="15"/>
                <w:szCs w:val="15"/>
                <w:lang w:eastAsia="tr-TR"/>
              </w:rPr>
              <w:t>20</w:t>
            </w:r>
          </w:p>
        </w:tc>
        <w:tc>
          <w:tcPr>
            <w:tcW w:w="5724" w:type="dxa"/>
            <w:tcBorders>
              <w:top w:val="nil"/>
              <w:left w:val="nil"/>
              <w:bottom w:val="nil"/>
              <w:right w:val="nil"/>
            </w:tcBorders>
            <w:shd w:val="clear" w:color="auto" w:fill="auto"/>
            <w:noWrap/>
            <w:hideMark/>
          </w:tcPr>
          <w:p w14:paraId="6A1DC24C"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Temel gösterge yaklaşımı</w:t>
            </w:r>
          </w:p>
        </w:tc>
        <w:tc>
          <w:tcPr>
            <w:tcW w:w="1249" w:type="dxa"/>
            <w:tcBorders>
              <w:top w:val="nil"/>
              <w:left w:val="nil"/>
              <w:bottom w:val="nil"/>
              <w:right w:val="nil"/>
            </w:tcBorders>
            <w:shd w:val="clear" w:color="auto" w:fill="auto"/>
            <w:vAlign w:val="bottom"/>
            <w:hideMark/>
          </w:tcPr>
          <w:p w14:paraId="12B3D0A1" w14:textId="77777777" w:rsidR="00862A01" w:rsidRPr="00872D7E" w:rsidRDefault="00862A01" w:rsidP="0077272C">
            <w:pPr>
              <w:jc w:val="right"/>
              <w:rPr>
                <w:color w:val="000000"/>
                <w:sz w:val="15"/>
                <w:szCs w:val="15"/>
                <w:lang w:eastAsia="tr-TR"/>
              </w:rPr>
            </w:pPr>
            <w:r w:rsidRPr="00872D7E">
              <w:rPr>
                <w:color w:val="000000"/>
                <w:sz w:val="15"/>
                <w:szCs w:val="15"/>
                <w:lang w:eastAsia="tr-TR"/>
              </w:rPr>
              <w:t>71.588</w:t>
            </w:r>
          </w:p>
        </w:tc>
        <w:tc>
          <w:tcPr>
            <w:tcW w:w="1092" w:type="dxa"/>
            <w:tcBorders>
              <w:top w:val="nil"/>
              <w:left w:val="nil"/>
              <w:bottom w:val="nil"/>
              <w:right w:val="nil"/>
            </w:tcBorders>
            <w:shd w:val="clear" w:color="auto" w:fill="auto"/>
            <w:vAlign w:val="bottom"/>
            <w:hideMark/>
          </w:tcPr>
          <w:p w14:paraId="17575D00" w14:textId="77777777" w:rsidR="00862A01" w:rsidRPr="00872D7E" w:rsidRDefault="00862A01" w:rsidP="0077272C">
            <w:pPr>
              <w:jc w:val="right"/>
              <w:rPr>
                <w:color w:val="000000"/>
                <w:sz w:val="15"/>
                <w:szCs w:val="15"/>
                <w:lang w:eastAsia="tr-TR"/>
              </w:rPr>
            </w:pPr>
            <w:r w:rsidRPr="00872D7E">
              <w:rPr>
                <w:color w:val="000000"/>
                <w:sz w:val="15"/>
                <w:szCs w:val="15"/>
                <w:lang w:eastAsia="tr-TR"/>
              </w:rPr>
              <w:t>18.713</w:t>
            </w:r>
          </w:p>
        </w:tc>
        <w:tc>
          <w:tcPr>
            <w:tcW w:w="1483" w:type="dxa"/>
            <w:tcBorders>
              <w:top w:val="nil"/>
              <w:left w:val="nil"/>
              <w:bottom w:val="nil"/>
              <w:right w:val="nil"/>
            </w:tcBorders>
            <w:shd w:val="clear" w:color="auto" w:fill="auto"/>
            <w:vAlign w:val="bottom"/>
            <w:hideMark/>
          </w:tcPr>
          <w:p w14:paraId="0D97786F" w14:textId="77777777" w:rsidR="00862A01" w:rsidRPr="00872D7E" w:rsidRDefault="00862A01" w:rsidP="0077272C">
            <w:pPr>
              <w:jc w:val="right"/>
              <w:rPr>
                <w:color w:val="000000"/>
                <w:sz w:val="15"/>
                <w:szCs w:val="15"/>
                <w:lang w:eastAsia="tr-TR"/>
              </w:rPr>
            </w:pPr>
            <w:r w:rsidRPr="00872D7E">
              <w:rPr>
                <w:color w:val="000000"/>
                <w:sz w:val="15"/>
                <w:szCs w:val="15"/>
                <w:lang w:eastAsia="tr-TR"/>
              </w:rPr>
              <w:t>5.727</w:t>
            </w:r>
          </w:p>
        </w:tc>
      </w:tr>
      <w:tr w:rsidR="00862A01" w:rsidRPr="00872D7E" w14:paraId="2878A691" w14:textId="77777777" w:rsidTr="0077272C">
        <w:trPr>
          <w:divId w:val="305356990"/>
          <w:trHeight w:val="170"/>
        </w:trPr>
        <w:tc>
          <w:tcPr>
            <w:tcW w:w="362" w:type="dxa"/>
            <w:tcBorders>
              <w:top w:val="nil"/>
              <w:left w:val="nil"/>
              <w:bottom w:val="nil"/>
              <w:right w:val="nil"/>
            </w:tcBorders>
            <w:shd w:val="clear" w:color="auto" w:fill="auto"/>
            <w:hideMark/>
          </w:tcPr>
          <w:p w14:paraId="56D70491" w14:textId="77777777" w:rsidR="00862A01" w:rsidRPr="00872D7E" w:rsidRDefault="00862A01" w:rsidP="00862A01">
            <w:pPr>
              <w:rPr>
                <w:color w:val="000000"/>
                <w:sz w:val="15"/>
                <w:szCs w:val="15"/>
                <w:lang w:eastAsia="tr-TR"/>
              </w:rPr>
            </w:pPr>
            <w:r w:rsidRPr="00872D7E">
              <w:rPr>
                <w:color w:val="000000"/>
                <w:sz w:val="15"/>
                <w:szCs w:val="15"/>
                <w:lang w:eastAsia="tr-TR"/>
              </w:rPr>
              <w:t>21</w:t>
            </w:r>
          </w:p>
        </w:tc>
        <w:tc>
          <w:tcPr>
            <w:tcW w:w="5724" w:type="dxa"/>
            <w:tcBorders>
              <w:top w:val="nil"/>
              <w:left w:val="nil"/>
              <w:bottom w:val="nil"/>
              <w:right w:val="nil"/>
            </w:tcBorders>
            <w:shd w:val="clear" w:color="auto" w:fill="auto"/>
            <w:noWrap/>
            <w:hideMark/>
          </w:tcPr>
          <w:p w14:paraId="11D70F09"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Standart yaklaşım</w:t>
            </w:r>
          </w:p>
        </w:tc>
        <w:tc>
          <w:tcPr>
            <w:tcW w:w="1249" w:type="dxa"/>
            <w:tcBorders>
              <w:top w:val="nil"/>
              <w:left w:val="nil"/>
              <w:bottom w:val="nil"/>
              <w:right w:val="nil"/>
            </w:tcBorders>
            <w:shd w:val="clear" w:color="auto" w:fill="auto"/>
            <w:vAlign w:val="bottom"/>
            <w:hideMark/>
          </w:tcPr>
          <w:p w14:paraId="02689661"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015DAD02"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01C2C7D3"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54B8A64D" w14:textId="77777777" w:rsidTr="0077272C">
        <w:trPr>
          <w:divId w:val="305356990"/>
          <w:trHeight w:val="170"/>
        </w:trPr>
        <w:tc>
          <w:tcPr>
            <w:tcW w:w="362" w:type="dxa"/>
            <w:tcBorders>
              <w:top w:val="nil"/>
              <w:left w:val="nil"/>
              <w:bottom w:val="nil"/>
              <w:right w:val="nil"/>
            </w:tcBorders>
            <w:shd w:val="clear" w:color="auto" w:fill="auto"/>
            <w:hideMark/>
          </w:tcPr>
          <w:p w14:paraId="379AC2E1" w14:textId="77777777" w:rsidR="00862A01" w:rsidRPr="00872D7E" w:rsidRDefault="00862A01" w:rsidP="00862A01">
            <w:pPr>
              <w:rPr>
                <w:color w:val="000000"/>
                <w:sz w:val="15"/>
                <w:szCs w:val="15"/>
                <w:lang w:eastAsia="tr-TR"/>
              </w:rPr>
            </w:pPr>
            <w:r w:rsidRPr="00872D7E">
              <w:rPr>
                <w:color w:val="000000"/>
                <w:sz w:val="15"/>
                <w:szCs w:val="15"/>
                <w:lang w:eastAsia="tr-TR"/>
              </w:rPr>
              <w:t>22</w:t>
            </w:r>
          </w:p>
        </w:tc>
        <w:tc>
          <w:tcPr>
            <w:tcW w:w="5724" w:type="dxa"/>
            <w:tcBorders>
              <w:top w:val="nil"/>
              <w:left w:val="nil"/>
              <w:bottom w:val="nil"/>
              <w:right w:val="nil"/>
            </w:tcBorders>
            <w:shd w:val="clear" w:color="auto" w:fill="auto"/>
            <w:noWrap/>
            <w:hideMark/>
          </w:tcPr>
          <w:p w14:paraId="47330938" w14:textId="77777777" w:rsidR="00862A01" w:rsidRPr="00872D7E" w:rsidRDefault="00862A01" w:rsidP="00862A01">
            <w:pPr>
              <w:rPr>
                <w:rFonts w:ascii="Arial" w:hAnsi="Arial" w:cs="Arial"/>
                <w:color w:val="000000"/>
                <w:sz w:val="15"/>
                <w:szCs w:val="15"/>
                <w:lang w:eastAsia="tr-TR"/>
              </w:rPr>
            </w:pPr>
            <w:r w:rsidRPr="00872D7E">
              <w:rPr>
                <w:color w:val="000000"/>
                <w:sz w:val="15"/>
                <w:szCs w:val="15"/>
                <w:lang w:eastAsia="tr-TR"/>
              </w:rPr>
              <w:t xml:space="preserve">  İleri ölçüm yaklaşımı</w:t>
            </w:r>
          </w:p>
        </w:tc>
        <w:tc>
          <w:tcPr>
            <w:tcW w:w="1249" w:type="dxa"/>
            <w:tcBorders>
              <w:top w:val="nil"/>
              <w:left w:val="nil"/>
              <w:bottom w:val="nil"/>
              <w:right w:val="nil"/>
            </w:tcBorders>
            <w:shd w:val="clear" w:color="auto" w:fill="auto"/>
            <w:vAlign w:val="bottom"/>
            <w:hideMark/>
          </w:tcPr>
          <w:p w14:paraId="0BF5727A"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62357095"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372D0229"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0BB12C9D" w14:textId="77777777" w:rsidTr="0077272C">
        <w:trPr>
          <w:divId w:val="305356990"/>
          <w:trHeight w:val="170"/>
        </w:trPr>
        <w:tc>
          <w:tcPr>
            <w:tcW w:w="362" w:type="dxa"/>
            <w:tcBorders>
              <w:top w:val="nil"/>
              <w:left w:val="nil"/>
              <w:bottom w:val="nil"/>
              <w:right w:val="nil"/>
            </w:tcBorders>
            <w:shd w:val="clear" w:color="auto" w:fill="auto"/>
            <w:hideMark/>
          </w:tcPr>
          <w:p w14:paraId="4AD0B5C8" w14:textId="77777777" w:rsidR="00862A01" w:rsidRPr="00872D7E" w:rsidRDefault="00862A01" w:rsidP="00862A01">
            <w:pPr>
              <w:rPr>
                <w:color w:val="000000"/>
                <w:sz w:val="15"/>
                <w:szCs w:val="15"/>
                <w:lang w:eastAsia="tr-TR"/>
              </w:rPr>
            </w:pPr>
            <w:r w:rsidRPr="00872D7E">
              <w:rPr>
                <w:color w:val="000000"/>
                <w:sz w:val="15"/>
                <w:szCs w:val="15"/>
                <w:lang w:eastAsia="tr-TR"/>
              </w:rPr>
              <w:t>23</w:t>
            </w:r>
          </w:p>
        </w:tc>
        <w:tc>
          <w:tcPr>
            <w:tcW w:w="5724" w:type="dxa"/>
            <w:tcBorders>
              <w:top w:val="nil"/>
              <w:left w:val="nil"/>
              <w:bottom w:val="nil"/>
              <w:right w:val="nil"/>
            </w:tcBorders>
            <w:shd w:val="clear" w:color="auto" w:fill="auto"/>
            <w:noWrap/>
            <w:hideMark/>
          </w:tcPr>
          <w:p w14:paraId="43DAA361" w14:textId="77777777" w:rsidR="00862A01" w:rsidRPr="00872D7E" w:rsidRDefault="00862A01" w:rsidP="00862A01">
            <w:pPr>
              <w:rPr>
                <w:color w:val="000000"/>
                <w:sz w:val="15"/>
                <w:szCs w:val="15"/>
                <w:lang w:eastAsia="tr-TR"/>
              </w:rPr>
            </w:pPr>
            <w:r w:rsidRPr="00872D7E">
              <w:rPr>
                <w:color w:val="000000"/>
                <w:sz w:val="15"/>
                <w:szCs w:val="15"/>
                <w:lang w:eastAsia="tr-TR"/>
              </w:rPr>
              <w:t>Özkaynaklardan indirim eşiklerinin altındaki tutarlar (%250 risk ağırlığına tabi)</w:t>
            </w:r>
          </w:p>
        </w:tc>
        <w:tc>
          <w:tcPr>
            <w:tcW w:w="1249" w:type="dxa"/>
            <w:tcBorders>
              <w:top w:val="nil"/>
              <w:left w:val="nil"/>
              <w:bottom w:val="nil"/>
              <w:right w:val="nil"/>
            </w:tcBorders>
            <w:shd w:val="clear" w:color="auto" w:fill="auto"/>
            <w:vAlign w:val="bottom"/>
            <w:hideMark/>
          </w:tcPr>
          <w:p w14:paraId="35BAA564"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nil"/>
              <w:right w:val="nil"/>
            </w:tcBorders>
            <w:shd w:val="clear" w:color="auto" w:fill="auto"/>
            <w:vAlign w:val="bottom"/>
            <w:hideMark/>
          </w:tcPr>
          <w:p w14:paraId="5467CF69"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nil"/>
              <w:right w:val="nil"/>
            </w:tcBorders>
            <w:shd w:val="clear" w:color="auto" w:fill="auto"/>
            <w:vAlign w:val="bottom"/>
            <w:hideMark/>
          </w:tcPr>
          <w:p w14:paraId="2D8CC012"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7E390C3A" w14:textId="77777777" w:rsidTr="0077272C">
        <w:trPr>
          <w:divId w:val="305356990"/>
          <w:trHeight w:val="170"/>
        </w:trPr>
        <w:tc>
          <w:tcPr>
            <w:tcW w:w="362" w:type="dxa"/>
            <w:tcBorders>
              <w:top w:val="nil"/>
              <w:left w:val="nil"/>
              <w:bottom w:val="single" w:sz="4" w:space="0" w:color="auto"/>
              <w:right w:val="nil"/>
            </w:tcBorders>
            <w:shd w:val="clear" w:color="auto" w:fill="auto"/>
            <w:hideMark/>
          </w:tcPr>
          <w:p w14:paraId="27092DBF" w14:textId="77777777" w:rsidR="00862A01" w:rsidRPr="00872D7E" w:rsidRDefault="00862A01" w:rsidP="00862A01">
            <w:pPr>
              <w:rPr>
                <w:color w:val="000000"/>
                <w:sz w:val="15"/>
                <w:szCs w:val="15"/>
                <w:lang w:eastAsia="tr-TR"/>
              </w:rPr>
            </w:pPr>
            <w:r w:rsidRPr="00872D7E">
              <w:rPr>
                <w:color w:val="000000"/>
                <w:sz w:val="15"/>
                <w:szCs w:val="15"/>
                <w:lang w:eastAsia="tr-TR"/>
              </w:rPr>
              <w:t>24</w:t>
            </w:r>
          </w:p>
        </w:tc>
        <w:tc>
          <w:tcPr>
            <w:tcW w:w="5724" w:type="dxa"/>
            <w:tcBorders>
              <w:top w:val="nil"/>
              <w:left w:val="nil"/>
              <w:bottom w:val="single" w:sz="4" w:space="0" w:color="auto"/>
              <w:right w:val="nil"/>
            </w:tcBorders>
            <w:shd w:val="clear" w:color="auto" w:fill="auto"/>
            <w:noWrap/>
            <w:hideMark/>
          </w:tcPr>
          <w:p w14:paraId="262CC065" w14:textId="77777777" w:rsidR="00862A01" w:rsidRPr="00872D7E" w:rsidRDefault="00862A01" w:rsidP="00862A01">
            <w:pPr>
              <w:rPr>
                <w:color w:val="000000"/>
                <w:sz w:val="15"/>
                <w:szCs w:val="15"/>
                <w:lang w:eastAsia="tr-TR"/>
              </w:rPr>
            </w:pPr>
            <w:r w:rsidRPr="00872D7E">
              <w:rPr>
                <w:color w:val="000000"/>
                <w:sz w:val="15"/>
                <w:szCs w:val="15"/>
                <w:lang w:eastAsia="tr-TR"/>
              </w:rPr>
              <w:t>En düşük değer ayarlamaları</w:t>
            </w:r>
          </w:p>
        </w:tc>
        <w:tc>
          <w:tcPr>
            <w:tcW w:w="1249" w:type="dxa"/>
            <w:tcBorders>
              <w:top w:val="nil"/>
              <w:left w:val="nil"/>
              <w:bottom w:val="single" w:sz="4" w:space="0" w:color="auto"/>
              <w:right w:val="nil"/>
            </w:tcBorders>
            <w:shd w:val="clear" w:color="auto" w:fill="auto"/>
            <w:vAlign w:val="bottom"/>
            <w:hideMark/>
          </w:tcPr>
          <w:p w14:paraId="1DDDAB86"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092" w:type="dxa"/>
            <w:tcBorders>
              <w:top w:val="nil"/>
              <w:left w:val="nil"/>
              <w:bottom w:val="single" w:sz="4" w:space="0" w:color="auto"/>
              <w:right w:val="nil"/>
            </w:tcBorders>
            <w:shd w:val="clear" w:color="auto" w:fill="auto"/>
            <w:vAlign w:val="bottom"/>
            <w:hideMark/>
          </w:tcPr>
          <w:p w14:paraId="5C09FC6F"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c>
          <w:tcPr>
            <w:tcW w:w="1483" w:type="dxa"/>
            <w:tcBorders>
              <w:top w:val="nil"/>
              <w:left w:val="nil"/>
              <w:bottom w:val="single" w:sz="4" w:space="0" w:color="auto"/>
              <w:right w:val="nil"/>
            </w:tcBorders>
            <w:shd w:val="clear" w:color="auto" w:fill="auto"/>
            <w:vAlign w:val="bottom"/>
            <w:hideMark/>
          </w:tcPr>
          <w:p w14:paraId="0626167A" w14:textId="77777777" w:rsidR="00862A01" w:rsidRPr="00872D7E" w:rsidRDefault="00862A01" w:rsidP="0077272C">
            <w:pPr>
              <w:jc w:val="right"/>
              <w:rPr>
                <w:color w:val="000000"/>
                <w:sz w:val="15"/>
                <w:szCs w:val="15"/>
                <w:lang w:eastAsia="tr-TR"/>
              </w:rPr>
            </w:pPr>
            <w:r w:rsidRPr="00872D7E">
              <w:rPr>
                <w:color w:val="000000"/>
                <w:sz w:val="15"/>
                <w:szCs w:val="15"/>
                <w:lang w:eastAsia="tr-TR"/>
              </w:rPr>
              <w:t>-</w:t>
            </w:r>
          </w:p>
        </w:tc>
      </w:tr>
      <w:tr w:rsidR="00862A01" w:rsidRPr="00872D7E" w14:paraId="6A97E31B" w14:textId="77777777" w:rsidTr="0077272C">
        <w:trPr>
          <w:divId w:val="305356990"/>
          <w:trHeight w:val="170"/>
        </w:trPr>
        <w:tc>
          <w:tcPr>
            <w:tcW w:w="362" w:type="dxa"/>
            <w:tcBorders>
              <w:top w:val="nil"/>
              <w:left w:val="nil"/>
              <w:right w:val="nil"/>
            </w:tcBorders>
            <w:shd w:val="clear" w:color="auto" w:fill="auto"/>
            <w:hideMark/>
          </w:tcPr>
          <w:p w14:paraId="6D96F8F7" w14:textId="77777777" w:rsidR="00862A01" w:rsidRPr="00872D7E" w:rsidRDefault="00862A01" w:rsidP="00862A01">
            <w:pPr>
              <w:rPr>
                <w:color w:val="000000"/>
                <w:sz w:val="15"/>
                <w:szCs w:val="15"/>
                <w:lang w:eastAsia="tr-TR"/>
              </w:rPr>
            </w:pPr>
          </w:p>
        </w:tc>
        <w:tc>
          <w:tcPr>
            <w:tcW w:w="5724" w:type="dxa"/>
            <w:tcBorders>
              <w:top w:val="nil"/>
              <w:left w:val="nil"/>
              <w:right w:val="nil"/>
            </w:tcBorders>
            <w:shd w:val="clear" w:color="auto" w:fill="auto"/>
            <w:noWrap/>
            <w:hideMark/>
          </w:tcPr>
          <w:p w14:paraId="53DA0B26" w14:textId="77777777" w:rsidR="00862A01" w:rsidRPr="00872D7E" w:rsidRDefault="00862A01" w:rsidP="00862A01">
            <w:pPr>
              <w:rPr>
                <w:sz w:val="15"/>
                <w:szCs w:val="15"/>
                <w:lang w:eastAsia="tr-TR"/>
              </w:rPr>
            </w:pPr>
          </w:p>
        </w:tc>
        <w:tc>
          <w:tcPr>
            <w:tcW w:w="1249" w:type="dxa"/>
            <w:tcBorders>
              <w:top w:val="nil"/>
              <w:left w:val="nil"/>
              <w:right w:val="nil"/>
            </w:tcBorders>
            <w:shd w:val="clear" w:color="auto" w:fill="auto"/>
            <w:noWrap/>
            <w:vAlign w:val="bottom"/>
            <w:hideMark/>
          </w:tcPr>
          <w:p w14:paraId="6EEA8E8A" w14:textId="77777777" w:rsidR="00862A01" w:rsidRPr="00872D7E" w:rsidRDefault="00862A01" w:rsidP="0077272C">
            <w:pPr>
              <w:jc w:val="right"/>
              <w:rPr>
                <w:sz w:val="15"/>
                <w:szCs w:val="15"/>
                <w:lang w:eastAsia="tr-TR"/>
              </w:rPr>
            </w:pPr>
          </w:p>
        </w:tc>
        <w:tc>
          <w:tcPr>
            <w:tcW w:w="1092" w:type="dxa"/>
            <w:tcBorders>
              <w:top w:val="nil"/>
              <w:left w:val="nil"/>
              <w:right w:val="nil"/>
            </w:tcBorders>
            <w:shd w:val="clear" w:color="auto" w:fill="auto"/>
            <w:noWrap/>
            <w:vAlign w:val="bottom"/>
            <w:hideMark/>
          </w:tcPr>
          <w:p w14:paraId="376B26E4" w14:textId="77777777" w:rsidR="00862A01" w:rsidRPr="00872D7E" w:rsidRDefault="00862A01" w:rsidP="0077272C">
            <w:pPr>
              <w:jc w:val="right"/>
              <w:rPr>
                <w:sz w:val="15"/>
                <w:szCs w:val="15"/>
                <w:lang w:eastAsia="tr-TR"/>
              </w:rPr>
            </w:pPr>
          </w:p>
        </w:tc>
        <w:tc>
          <w:tcPr>
            <w:tcW w:w="1483" w:type="dxa"/>
            <w:tcBorders>
              <w:top w:val="nil"/>
              <w:left w:val="nil"/>
              <w:right w:val="nil"/>
            </w:tcBorders>
            <w:shd w:val="clear" w:color="auto" w:fill="auto"/>
            <w:noWrap/>
            <w:vAlign w:val="bottom"/>
            <w:hideMark/>
          </w:tcPr>
          <w:p w14:paraId="24BFBBE4" w14:textId="77777777" w:rsidR="00862A01" w:rsidRPr="00872D7E" w:rsidRDefault="00862A01" w:rsidP="0077272C">
            <w:pPr>
              <w:jc w:val="right"/>
              <w:rPr>
                <w:sz w:val="15"/>
                <w:szCs w:val="15"/>
                <w:lang w:eastAsia="tr-TR"/>
              </w:rPr>
            </w:pPr>
          </w:p>
        </w:tc>
      </w:tr>
      <w:tr w:rsidR="00862A01" w:rsidRPr="00872D7E" w14:paraId="2591E1D0" w14:textId="77777777" w:rsidTr="0077272C">
        <w:trPr>
          <w:divId w:val="305356990"/>
          <w:trHeight w:val="170"/>
        </w:trPr>
        <w:tc>
          <w:tcPr>
            <w:tcW w:w="362" w:type="dxa"/>
            <w:tcBorders>
              <w:top w:val="nil"/>
              <w:left w:val="nil"/>
              <w:bottom w:val="single" w:sz="12" w:space="0" w:color="auto"/>
              <w:right w:val="nil"/>
            </w:tcBorders>
            <w:shd w:val="clear" w:color="auto" w:fill="auto"/>
            <w:hideMark/>
          </w:tcPr>
          <w:p w14:paraId="5FF0755F" w14:textId="77777777" w:rsidR="00862A01" w:rsidRPr="00872D7E" w:rsidRDefault="00862A01" w:rsidP="00862A01">
            <w:pPr>
              <w:rPr>
                <w:b/>
                <w:bCs/>
                <w:color w:val="000000"/>
                <w:sz w:val="15"/>
                <w:szCs w:val="15"/>
                <w:lang w:eastAsia="tr-TR"/>
              </w:rPr>
            </w:pPr>
            <w:r w:rsidRPr="00872D7E">
              <w:rPr>
                <w:b/>
                <w:bCs/>
                <w:color w:val="000000"/>
                <w:sz w:val="15"/>
                <w:szCs w:val="15"/>
                <w:lang w:eastAsia="tr-TR"/>
              </w:rPr>
              <w:t>25</w:t>
            </w:r>
          </w:p>
        </w:tc>
        <w:tc>
          <w:tcPr>
            <w:tcW w:w="5724" w:type="dxa"/>
            <w:tcBorders>
              <w:top w:val="nil"/>
              <w:left w:val="nil"/>
              <w:bottom w:val="single" w:sz="12" w:space="0" w:color="auto"/>
              <w:right w:val="nil"/>
            </w:tcBorders>
            <w:shd w:val="clear" w:color="auto" w:fill="auto"/>
            <w:noWrap/>
            <w:hideMark/>
          </w:tcPr>
          <w:p w14:paraId="26D3B34D" w14:textId="77777777" w:rsidR="00862A01" w:rsidRPr="00872D7E" w:rsidRDefault="00862A01" w:rsidP="00862A01">
            <w:pPr>
              <w:rPr>
                <w:b/>
                <w:bCs/>
                <w:color w:val="000000"/>
                <w:sz w:val="15"/>
                <w:szCs w:val="15"/>
                <w:lang w:eastAsia="tr-TR"/>
              </w:rPr>
            </w:pPr>
            <w:r w:rsidRPr="00872D7E">
              <w:rPr>
                <w:b/>
                <w:bCs/>
                <w:color w:val="000000"/>
                <w:sz w:val="15"/>
                <w:szCs w:val="15"/>
                <w:lang w:eastAsia="tr-TR"/>
              </w:rPr>
              <w:t>Toplam (1+4+7+8+9+10+11+12+16+19+23+24)</w:t>
            </w:r>
          </w:p>
        </w:tc>
        <w:tc>
          <w:tcPr>
            <w:tcW w:w="1249" w:type="dxa"/>
            <w:tcBorders>
              <w:top w:val="nil"/>
              <w:left w:val="nil"/>
              <w:bottom w:val="single" w:sz="12" w:space="0" w:color="auto"/>
              <w:right w:val="nil"/>
            </w:tcBorders>
            <w:shd w:val="clear" w:color="auto" w:fill="auto"/>
            <w:vAlign w:val="bottom"/>
            <w:hideMark/>
          </w:tcPr>
          <w:p w14:paraId="22925921" w14:textId="77777777" w:rsidR="00862A01" w:rsidRPr="00872D7E" w:rsidRDefault="00862A01" w:rsidP="0077272C">
            <w:pPr>
              <w:jc w:val="right"/>
              <w:rPr>
                <w:b/>
                <w:bCs/>
                <w:color w:val="000000"/>
                <w:sz w:val="15"/>
                <w:szCs w:val="15"/>
                <w:lang w:eastAsia="tr-TR"/>
              </w:rPr>
            </w:pPr>
            <w:r w:rsidRPr="00872D7E">
              <w:rPr>
                <w:b/>
                <w:bCs/>
                <w:color w:val="000000"/>
                <w:sz w:val="15"/>
                <w:szCs w:val="15"/>
                <w:lang w:eastAsia="tr-TR"/>
              </w:rPr>
              <w:t>15.057.976</w:t>
            </w:r>
          </w:p>
        </w:tc>
        <w:tc>
          <w:tcPr>
            <w:tcW w:w="1092" w:type="dxa"/>
            <w:tcBorders>
              <w:top w:val="nil"/>
              <w:left w:val="nil"/>
              <w:bottom w:val="single" w:sz="12" w:space="0" w:color="auto"/>
              <w:right w:val="nil"/>
            </w:tcBorders>
            <w:shd w:val="clear" w:color="auto" w:fill="auto"/>
            <w:vAlign w:val="bottom"/>
            <w:hideMark/>
          </w:tcPr>
          <w:p w14:paraId="63721DC1" w14:textId="77777777" w:rsidR="00862A01" w:rsidRPr="00872D7E" w:rsidRDefault="00862A01" w:rsidP="0077272C">
            <w:pPr>
              <w:jc w:val="right"/>
              <w:rPr>
                <w:b/>
                <w:bCs/>
                <w:color w:val="000000"/>
                <w:sz w:val="15"/>
                <w:szCs w:val="15"/>
                <w:lang w:eastAsia="tr-TR"/>
              </w:rPr>
            </w:pPr>
            <w:r w:rsidRPr="00872D7E">
              <w:rPr>
                <w:b/>
                <w:bCs/>
                <w:color w:val="000000"/>
                <w:sz w:val="15"/>
                <w:szCs w:val="15"/>
                <w:lang w:eastAsia="tr-TR"/>
              </w:rPr>
              <w:t>216.881</w:t>
            </w:r>
          </w:p>
        </w:tc>
        <w:tc>
          <w:tcPr>
            <w:tcW w:w="1483" w:type="dxa"/>
            <w:tcBorders>
              <w:top w:val="nil"/>
              <w:left w:val="nil"/>
              <w:bottom w:val="single" w:sz="12" w:space="0" w:color="auto"/>
              <w:right w:val="nil"/>
            </w:tcBorders>
            <w:shd w:val="clear" w:color="auto" w:fill="auto"/>
            <w:vAlign w:val="bottom"/>
            <w:hideMark/>
          </w:tcPr>
          <w:p w14:paraId="2BEC5BFE" w14:textId="77777777" w:rsidR="00862A01" w:rsidRPr="00872D7E" w:rsidRDefault="00862A01" w:rsidP="0077272C">
            <w:pPr>
              <w:jc w:val="right"/>
              <w:rPr>
                <w:b/>
                <w:bCs/>
                <w:color w:val="000000"/>
                <w:sz w:val="15"/>
                <w:szCs w:val="15"/>
                <w:lang w:eastAsia="tr-TR"/>
              </w:rPr>
            </w:pPr>
            <w:r w:rsidRPr="00872D7E">
              <w:rPr>
                <w:b/>
                <w:bCs/>
                <w:color w:val="000000"/>
                <w:sz w:val="15"/>
                <w:szCs w:val="15"/>
                <w:lang w:eastAsia="tr-TR"/>
              </w:rPr>
              <w:t>1.204.638</w:t>
            </w:r>
          </w:p>
        </w:tc>
      </w:tr>
    </w:tbl>
    <w:p w14:paraId="5576750D" w14:textId="2A36C9E0" w:rsidR="006C66D3" w:rsidRPr="00872D7E" w:rsidRDefault="006C66D3" w:rsidP="006C66D3"/>
    <w:p w14:paraId="03E81907" w14:textId="4CB10526" w:rsidR="005E2D92" w:rsidRPr="00872D7E" w:rsidRDefault="005E2D92" w:rsidP="006C66D3"/>
    <w:p w14:paraId="3E1F5ED1" w14:textId="548553DD" w:rsidR="005E2D92" w:rsidRPr="00872D7E" w:rsidRDefault="005E2D92" w:rsidP="006C66D3"/>
    <w:p w14:paraId="19EF1A42" w14:textId="6DC866B1" w:rsidR="001E6F85" w:rsidRPr="00872D7E" w:rsidRDefault="001E6F85">
      <w:r w:rsidRPr="00872D7E">
        <w:br w:type="page"/>
      </w:r>
    </w:p>
    <w:p w14:paraId="2C950F1B" w14:textId="315995BE" w:rsidR="000E463B" w:rsidRPr="00872D7E" w:rsidRDefault="00CB58D3" w:rsidP="00C14F58">
      <w:pPr>
        <w:ind w:left="851" w:hanging="851"/>
        <w:rPr>
          <w:b/>
          <w:bCs/>
        </w:rPr>
      </w:pPr>
      <w:r w:rsidRPr="00872D7E">
        <w:rPr>
          <w:b/>
          <w:bCs/>
        </w:rPr>
        <w:lastRenderedPageBreak/>
        <w:t>I</w:t>
      </w:r>
      <w:r w:rsidR="000E463B" w:rsidRPr="00872D7E">
        <w:rPr>
          <w:b/>
          <w:bCs/>
        </w:rPr>
        <w:t>X.</w:t>
      </w:r>
      <w:r w:rsidR="000E463B" w:rsidRPr="00872D7E">
        <w:rPr>
          <w:b/>
          <w:bCs/>
        </w:rPr>
        <w:tab/>
        <w:t>RİSK YÖNETİMİNE İLİŞKİN AÇIKLAMALAR (Devamı)</w:t>
      </w:r>
    </w:p>
    <w:p w14:paraId="08D29F1A" w14:textId="47DAABC3" w:rsidR="005E2D92" w:rsidRPr="00872D7E" w:rsidRDefault="005E2D92" w:rsidP="00C14F58">
      <w:pPr>
        <w:pStyle w:val="ListParagraph"/>
        <w:numPr>
          <w:ilvl w:val="0"/>
          <w:numId w:val="62"/>
        </w:numPr>
        <w:spacing w:before="120"/>
        <w:ind w:left="851" w:hanging="851"/>
        <w:jc w:val="both"/>
        <w:rPr>
          <w:b/>
          <w:bCs/>
        </w:rPr>
      </w:pPr>
      <w:r w:rsidRPr="00872D7E">
        <w:rPr>
          <w:b/>
          <w:bCs/>
        </w:rPr>
        <w:t>Finansal Tablolar ve Risk Tutarları Arasındaki Bağlantılar:</w:t>
      </w:r>
    </w:p>
    <w:p w14:paraId="132E4B24" w14:textId="243D6835" w:rsidR="005E2D92" w:rsidRPr="00872D7E" w:rsidRDefault="005E2D92" w:rsidP="00C14F58">
      <w:pPr>
        <w:spacing w:before="120" w:after="120"/>
        <w:ind w:left="851" w:right="-568" w:hanging="851"/>
        <w:rPr>
          <w:b/>
          <w:szCs w:val="20"/>
        </w:rPr>
      </w:pPr>
      <w:r w:rsidRPr="00872D7E">
        <w:rPr>
          <w:b/>
          <w:szCs w:val="20"/>
        </w:rPr>
        <w:t>b.1.</w:t>
      </w:r>
      <w:r w:rsidR="00C14F58" w:rsidRPr="00872D7E">
        <w:rPr>
          <w:b/>
          <w:szCs w:val="20"/>
        </w:rPr>
        <w:tab/>
      </w:r>
      <w:r w:rsidRPr="00872D7E">
        <w:rPr>
          <w:b/>
          <w:szCs w:val="20"/>
        </w:rPr>
        <w:t>Muhasebesel Konsolidasyon ve Yasal Konsolidasyon Kapsamı Arasındaki Farklar ve Eşleştirme:</w:t>
      </w:r>
    </w:p>
    <w:p w14:paraId="158DBA1C" w14:textId="18D79F31" w:rsidR="005E2D92" w:rsidRPr="00872D7E" w:rsidRDefault="005E2D92" w:rsidP="004602AB"/>
    <w:tbl>
      <w:tblPr>
        <w:tblW w:w="9660" w:type="dxa"/>
        <w:tblInd w:w="14" w:type="dxa"/>
        <w:tblLayout w:type="fixed"/>
        <w:tblLook w:val="04A0" w:firstRow="1" w:lastRow="0" w:firstColumn="1" w:lastColumn="0" w:noHBand="0" w:noVBand="1"/>
      </w:tblPr>
      <w:tblGrid>
        <w:gridCol w:w="2407"/>
        <w:gridCol w:w="1264"/>
        <w:gridCol w:w="1105"/>
        <w:gridCol w:w="1134"/>
        <w:gridCol w:w="1276"/>
        <w:gridCol w:w="1048"/>
        <w:gridCol w:w="1426"/>
      </w:tblGrid>
      <w:tr w:rsidR="005E2D92" w:rsidRPr="00872D7E" w14:paraId="32659D89" w14:textId="77777777" w:rsidTr="005A0808">
        <w:trPr>
          <w:trHeight w:val="113"/>
        </w:trPr>
        <w:tc>
          <w:tcPr>
            <w:tcW w:w="2407" w:type="dxa"/>
            <w:tcBorders>
              <w:top w:val="single" w:sz="4" w:space="0" w:color="auto"/>
              <w:left w:val="nil"/>
              <w:bottom w:val="nil"/>
              <w:right w:val="nil"/>
            </w:tcBorders>
            <w:vAlign w:val="bottom"/>
          </w:tcPr>
          <w:p w14:paraId="18EF4E2F" w14:textId="77777777" w:rsidR="005E2D92" w:rsidRPr="00872D7E" w:rsidRDefault="005E2D92" w:rsidP="004602AB">
            <w:pPr>
              <w:rPr>
                <w:sz w:val="15"/>
                <w:szCs w:val="15"/>
              </w:rPr>
            </w:pPr>
          </w:p>
        </w:tc>
        <w:tc>
          <w:tcPr>
            <w:tcW w:w="1264" w:type="dxa"/>
            <w:vMerge w:val="restart"/>
            <w:tcBorders>
              <w:top w:val="single" w:sz="4" w:space="0" w:color="auto"/>
              <w:left w:val="nil"/>
              <w:bottom w:val="single" w:sz="4" w:space="0" w:color="auto"/>
              <w:right w:val="nil"/>
            </w:tcBorders>
            <w:vAlign w:val="bottom"/>
            <w:hideMark/>
          </w:tcPr>
          <w:p w14:paraId="2F971287" w14:textId="77777777" w:rsidR="005E2D92" w:rsidRPr="00872D7E" w:rsidRDefault="005E2D92" w:rsidP="004602AB">
            <w:pPr>
              <w:jc w:val="right"/>
              <w:rPr>
                <w:b/>
                <w:sz w:val="15"/>
                <w:szCs w:val="15"/>
              </w:rPr>
            </w:pPr>
            <w:r w:rsidRPr="00872D7E">
              <w:rPr>
                <w:b/>
                <w:sz w:val="15"/>
                <w:szCs w:val="15"/>
              </w:rPr>
              <w:t xml:space="preserve">Finansal tablolarda raporlanan TMS uyarınca değerlenmiş </w:t>
            </w:r>
            <w:proofErr w:type="gramStart"/>
            <w:r w:rsidRPr="00872D7E">
              <w:rPr>
                <w:b/>
                <w:sz w:val="15"/>
                <w:szCs w:val="15"/>
              </w:rPr>
              <w:t>tutar</w:t>
            </w:r>
            <w:r w:rsidRPr="00872D7E">
              <w:rPr>
                <w:b/>
                <w:sz w:val="15"/>
                <w:szCs w:val="15"/>
                <w:vertAlign w:val="superscript"/>
              </w:rPr>
              <w:t>(</w:t>
            </w:r>
            <w:proofErr w:type="gramEnd"/>
            <w:r w:rsidRPr="00872D7E">
              <w:rPr>
                <w:b/>
                <w:sz w:val="15"/>
                <w:szCs w:val="15"/>
                <w:vertAlign w:val="superscript"/>
              </w:rPr>
              <w:t>*)</w:t>
            </w:r>
          </w:p>
        </w:tc>
        <w:tc>
          <w:tcPr>
            <w:tcW w:w="5989" w:type="dxa"/>
            <w:gridSpan w:val="5"/>
            <w:tcBorders>
              <w:top w:val="single" w:sz="4" w:space="0" w:color="auto"/>
              <w:left w:val="nil"/>
              <w:bottom w:val="nil"/>
              <w:right w:val="nil"/>
            </w:tcBorders>
            <w:vAlign w:val="bottom"/>
            <w:hideMark/>
          </w:tcPr>
          <w:p w14:paraId="51AE9A63" w14:textId="77777777" w:rsidR="005E2D92" w:rsidRPr="00872D7E" w:rsidRDefault="005E2D92" w:rsidP="004602AB">
            <w:pPr>
              <w:jc w:val="center"/>
              <w:rPr>
                <w:b/>
                <w:sz w:val="15"/>
                <w:szCs w:val="15"/>
              </w:rPr>
            </w:pPr>
            <w:r w:rsidRPr="00872D7E">
              <w:rPr>
                <w:b/>
                <w:sz w:val="15"/>
                <w:szCs w:val="15"/>
              </w:rPr>
              <w:t>Kalemlerin TMS uyarınca değerlenmiş tutarı</w:t>
            </w:r>
          </w:p>
        </w:tc>
      </w:tr>
      <w:tr w:rsidR="005E2D92" w:rsidRPr="00872D7E" w14:paraId="45A13AEF" w14:textId="77777777" w:rsidTr="005A0808">
        <w:trPr>
          <w:trHeight w:val="113"/>
        </w:trPr>
        <w:tc>
          <w:tcPr>
            <w:tcW w:w="2407" w:type="dxa"/>
            <w:tcBorders>
              <w:top w:val="nil"/>
              <w:left w:val="nil"/>
              <w:bottom w:val="single" w:sz="4" w:space="0" w:color="auto"/>
              <w:right w:val="nil"/>
            </w:tcBorders>
            <w:vAlign w:val="center"/>
            <w:hideMark/>
          </w:tcPr>
          <w:p w14:paraId="7F5954E0" w14:textId="2FF464C7" w:rsidR="005E2D92" w:rsidRPr="00872D7E" w:rsidRDefault="00827BED" w:rsidP="004602AB">
            <w:pPr>
              <w:rPr>
                <w:b/>
                <w:sz w:val="15"/>
                <w:szCs w:val="15"/>
              </w:rPr>
            </w:pPr>
            <w:r w:rsidRPr="00872D7E">
              <w:rPr>
                <w:b/>
                <w:sz w:val="15"/>
                <w:szCs w:val="15"/>
              </w:rPr>
              <w:t>31 Aralık 2024</w:t>
            </w:r>
          </w:p>
        </w:tc>
        <w:tc>
          <w:tcPr>
            <w:tcW w:w="1264" w:type="dxa"/>
            <w:vMerge/>
            <w:tcBorders>
              <w:top w:val="single" w:sz="4" w:space="0" w:color="auto"/>
              <w:left w:val="nil"/>
              <w:bottom w:val="single" w:sz="4" w:space="0" w:color="auto"/>
              <w:right w:val="nil"/>
            </w:tcBorders>
            <w:vAlign w:val="center"/>
            <w:hideMark/>
          </w:tcPr>
          <w:p w14:paraId="211A19DA" w14:textId="77777777" w:rsidR="005E2D92" w:rsidRPr="00872D7E" w:rsidRDefault="005E2D92" w:rsidP="004602AB">
            <w:pPr>
              <w:rPr>
                <w:b/>
                <w:sz w:val="15"/>
                <w:szCs w:val="15"/>
              </w:rPr>
            </w:pPr>
          </w:p>
        </w:tc>
        <w:tc>
          <w:tcPr>
            <w:tcW w:w="1105" w:type="dxa"/>
            <w:tcBorders>
              <w:top w:val="single" w:sz="4" w:space="0" w:color="auto"/>
              <w:left w:val="nil"/>
              <w:bottom w:val="single" w:sz="4" w:space="0" w:color="auto"/>
              <w:right w:val="nil"/>
            </w:tcBorders>
            <w:vAlign w:val="bottom"/>
            <w:hideMark/>
          </w:tcPr>
          <w:p w14:paraId="015E7912" w14:textId="77777777" w:rsidR="005E2D92" w:rsidRPr="00872D7E" w:rsidRDefault="005E2D92" w:rsidP="004602AB">
            <w:pPr>
              <w:jc w:val="right"/>
              <w:rPr>
                <w:b/>
                <w:sz w:val="15"/>
                <w:szCs w:val="15"/>
              </w:rPr>
            </w:pPr>
            <w:r w:rsidRPr="00872D7E">
              <w:rPr>
                <w:b/>
                <w:sz w:val="15"/>
                <w:szCs w:val="15"/>
              </w:rPr>
              <w:t>Kredi riskine tabi</w:t>
            </w:r>
          </w:p>
        </w:tc>
        <w:tc>
          <w:tcPr>
            <w:tcW w:w="1134" w:type="dxa"/>
            <w:tcBorders>
              <w:top w:val="single" w:sz="4" w:space="0" w:color="auto"/>
              <w:left w:val="nil"/>
              <w:bottom w:val="single" w:sz="4" w:space="0" w:color="auto"/>
              <w:right w:val="nil"/>
            </w:tcBorders>
            <w:vAlign w:val="bottom"/>
            <w:hideMark/>
          </w:tcPr>
          <w:p w14:paraId="205755D9" w14:textId="77777777" w:rsidR="005E2D92" w:rsidRPr="00872D7E" w:rsidRDefault="005E2D92" w:rsidP="004602AB">
            <w:pPr>
              <w:jc w:val="right"/>
              <w:rPr>
                <w:b/>
                <w:sz w:val="15"/>
                <w:szCs w:val="15"/>
              </w:rPr>
            </w:pPr>
            <w:r w:rsidRPr="00872D7E">
              <w:rPr>
                <w:b/>
                <w:sz w:val="15"/>
                <w:szCs w:val="15"/>
              </w:rPr>
              <w:t>Karşı taraf kredi riskine tabi</w:t>
            </w:r>
          </w:p>
        </w:tc>
        <w:tc>
          <w:tcPr>
            <w:tcW w:w="1276" w:type="dxa"/>
            <w:tcBorders>
              <w:top w:val="single" w:sz="4" w:space="0" w:color="auto"/>
              <w:left w:val="nil"/>
              <w:bottom w:val="single" w:sz="4" w:space="0" w:color="auto"/>
              <w:right w:val="nil"/>
            </w:tcBorders>
            <w:vAlign w:val="bottom"/>
            <w:hideMark/>
          </w:tcPr>
          <w:p w14:paraId="5185230D" w14:textId="77777777" w:rsidR="005E2D92" w:rsidRPr="00872D7E" w:rsidRDefault="005E2D92" w:rsidP="004602AB">
            <w:pPr>
              <w:ind w:left="-98" w:firstLine="98"/>
              <w:jc w:val="right"/>
              <w:rPr>
                <w:b/>
                <w:sz w:val="15"/>
                <w:szCs w:val="15"/>
              </w:rPr>
            </w:pPr>
            <w:r w:rsidRPr="00872D7E">
              <w:rPr>
                <w:b/>
                <w:sz w:val="15"/>
                <w:szCs w:val="15"/>
              </w:rPr>
              <w:t>Menkul kıymetleştirme pozisyonları</w:t>
            </w:r>
          </w:p>
        </w:tc>
        <w:tc>
          <w:tcPr>
            <w:tcW w:w="1048" w:type="dxa"/>
            <w:tcBorders>
              <w:top w:val="single" w:sz="4" w:space="0" w:color="auto"/>
              <w:left w:val="nil"/>
              <w:bottom w:val="single" w:sz="4" w:space="0" w:color="auto"/>
              <w:right w:val="nil"/>
            </w:tcBorders>
            <w:vAlign w:val="bottom"/>
            <w:hideMark/>
          </w:tcPr>
          <w:p w14:paraId="7B9E780F" w14:textId="77777777" w:rsidR="005E2D92" w:rsidRPr="00872D7E" w:rsidRDefault="005E2D92" w:rsidP="004602AB">
            <w:pPr>
              <w:jc w:val="right"/>
              <w:rPr>
                <w:b/>
                <w:sz w:val="15"/>
                <w:szCs w:val="15"/>
              </w:rPr>
            </w:pPr>
            <w:r w:rsidRPr="00872D7E">
              <w:rPr>
                <w:b/>
                <w:sz w:val="15"/>
                <w:szCs w:val="15"/>
              </w:rPr>
              <w:t xml:space="preserve">Piyasa riskine tabi </w:t>
            </w:r>
            <w:r w:rsidRPr="00872D7E">
              <w:rPr>
                <w:rFonts w:eastAsiaTheme="minorHAnsi"/>
                <w:b/>
                <w:iCs/>
                <w:sz w:val="15"/>
                <w:szCs w:val="15"/>
                <w:vertAlign w:val="superscript"/>
              </w:rPr>
              <w:t>(**)</w:t>
            </w:r>
          </w:p>
        </w:tc>
        <w:tc>
          <w:tcPr>
            <w:tcW w:w="1426" w:type="dxa"/>
            <w:tcBorders>
              <w:top w:val="single" w:sz="4" w:space="0" w:color="auto"/>
              <w:left w:val="nil"/>
              <w:bottom w:val="single" w:sz="4" w:space="0" w:color="auto"/>
              <w:right w:val="nil"/>
            </w:tcBorders>
            <w:vAlign w:val="bottom"/>
            <w:hideMark/>
          </w:tcPr>
          <w:p w14:paraId="0970C0CD" w14:textId="77777777" w:rsidR="005E2D92" w:rsidRPr="00872D7E" w:rsidRDefault="005E2D92" w:rsidP="004602AB">
            <w:pPr>
              <w:jc w:val="right"/>
              <w:rPr>
                <w:b/>
                <w:sz w:val="15"/>
                <w:szCs w:val="15"/>
              </w:rPr>
            </w:pPr>
            <w:r w:rsidRPr="00872D7E">
              <w:rPr>
                <w:b/>
                <w:sz w:val="15"/>
                <w:szCs w:val="15"/>
              </w:rPr>
              <w:t>Sermaye yükümlülüğüne tabi olmayan veya sermayeden indirilen</w:t>
            </w:r>
          </w:p>
        </w:tc>
      </w:tr>
      <w:tr w:rsidR="005E2D92" w:rsidRPr="00872D7E" w14:paraId="728AF7D0" w14:textId="77777777" w:rsidTr="005A0808">
        <w:trPr>
          <w:trHeight w:val="64"/>
        </w:trPr>
        <w:tc>
          <w:tcPr>
            <w:tcW w:w="2407" w:type="dxa"/>
            <w:tcBorders>
              <w:top w:val="single" w:sz="4" w:space="0" w:color="auto"/>
              <w:left w:val="nil"/>
              <w:bottom w:val="nil"/>
              <w:right w:val="nil"/>
            </w:tcBorders>
            <w:vAlign w:val="bottom"/>
            <w:hideMark/>
          </w:tcPr>
          <w:p w14:paraId="555EC115" w14:textId="77777777" w:rsidR="005E2D92" w:rsidRPr="00872D7E" w:rsidRDefault="005E2D92" w:rsidP="004602AB">
            <w:pPr>
              <w:rPr>
                <w:b/>
                <w:sz w:val="15"/>
                <w:szCs w:val="15"/>
              </w:rPr>
            </w:pPr>
            <w:r w:rsidRPr="00872D7E">
              <w:rPr>
                <w:b/>
                <w:sz w:val="15"/>
                <w:szCs w:val="15"/>
              </w:rPr>
              <w:t>Varlıklar</w:t>
            </w:r>
          </w:p>
        </w:tc>
        <w:tc>
          <w:tcPr>
            <w:tcW w:w="1264" w:type="dxa"/>
            <w:tcBorders>
              <w:top w:val="single" w:sz="4" w:space="0" w:color="auto"/>
              <w:left w:val="nil"/>
              <w:bottom w:val="nil"/>
              <w:right w:val="nil"/>
            </w:tcBorders>
            <w:vAlign w:val="bottom"/>
          </w:tcPr>
          <w:p w14:paraId="2F222FCD" w14:textId="77777777" w:rsidR="005E2D92" w:rsidRPr="00872D7E" w:rsidRDefault="005E2D92" w:rsidP="004602AB">
            <w:pPr>
              <w:jc w:val="right"/>
              <w:rPr>
                <w:sz w:val="15"/>
                <w:szCs w:val="15"/>
              </w:rPr>
            </w:pPr>
          </w:p>
        </w:tc>
        <w:tc>
          <w:tcPr>
            <w:tcW w:w="1105" w:type="dxa"/>
            <w:tcBorders>
              <w:top w:val="single" w:sz="4" w:space="0" w:color="auto"/>
              <w:left w:val="nil"/>
              <w:bottom w:val="nil"/>
              <w:right w:val="nil"/>
            </w:tcBorders>
            <w:vAlign w:val="bottom"/>
          </w:tcPr>
          <w:p w14:paraId="4D9097E6" w14:textId="77777777" w:rsidR="005E2D92" w:rsidRPr="00872D7E" w:rsidRDefault="005E2D92" w:rsidP="004602AB">
            <w:pPr>
              <w:jc w:val="right"/>
              <w:rPr>
                <w:sz w:val="15"/>
                <w:szCs w:val="15"/>
              </w:rPr>
            </w:pPr>
          </w:p>
        </w:tc>
        <w:tc>
          <w:tcPr>
            <w:tcW w:w="1134" w:type="dxa"/>
            <w:tcBorders>
              <w:top w:val="single" w:sz="4" w:space="0" w:color="auto"/>
              <w:left w:val="nil"/>
              <w:bottom w:val="nil"/>
              <w:right w:val="nil"/>
            </w:tcBorders>
            <w:vAlign w:val="bottom"/>
          </w:tcPr>
          <w:p w14:paraId="3F2036E2" w14:textId="77777777" w:rsidR="005E2D92" w:rsidRPr="00872D7E" w:rsidRDefault="005E2D92" w:rsidP="004602AB">
            <w:pPr>
              <w:jc w:val="right"/>
              <w:rPr>
                <w:sz w:val="15"/>
                <w:szCs w:val="15"/>
              </w:rPr>
            </w:pPr>
          </w:p>
        </w:tc>
        <w:tc>
          <w:tcPr>
            <w:tcW w:w="1276" w:type="dxa"/>
            <w:tcBorders>
              <w:top w:val="single" w:sz="4" w:space="0" w:color="auto"/>
              <w:left w:val="nil"/>
              <w:bottom w:val="nil"/>
              <w:right w:val="nil"/>
            </w:tcBorders>
            <w:vAlign w:val="bottom"/>
          </w:tcPr>
          <w:p w14:paraId="51E65E42" w14:textId="77777777" w:rsidR="005E2D92" w:rsidRPr="00872D7E" w:rsidRDefault="005E2D92" w:rsidP="004602AB">
            <w:pPr>
              <w:jc w:val="right"/>
              <w:rPr>
                <w:sz w:val="15"/>
                <w:szCs w:val="15"/>
              </w:rPr>
            </w:pPr>
          </w:p>
        </w:tc>
        <w:tc>
          <w:tcPr>
            <w:tcW w:w="1048" w:type="dxa"/>
            <w:tcBorders>
              <w:top w:val="single" w:sz="4" w:space="0" w:color="auto"/>
              <w:left w:val="nil"/>
              <w:bottom w:val="nil"/>
              <w:right w:val="nil"/>
            </w:tcBorders>
            <w:vAlign w:val="bottom"/>
          </w:tcPr>
          <w:p w14:paraId="0DBAE1DF" w14:textId="77777777" w:rsidR="005E2D92" w:rsidRPr="00872D7E" w:rsidRDefault="005E2D92" w:rsidP="004602AB">
            <w:pPr>
              <w:jc w:val="right"/>
              <w:rPr>
                <w:sz w:val="15"/>
                <w:szCs w:val="15"/>
              </w:rPr>
            </w:pPr>
          </w:p>
        </w:tc>
        <w:tc>
          <w:tcPr>
            <w:tcW w:w="1426" w:type="dxa"/>
            <w:tcBorders>
              <w:top w:val="single" w:sz="4" w:space="0" w:color="auto"/>
              <w:left w:val="nil"/>
              <w:bottom w:val="nil"/>
              <w:right w:val="nil"/>
            </w:tcBorders>
            <w:vAlign w:val="bottom"/>
          </w:tcPr>
          <w:p w14:paraId="5577DDF6" w14:textId="77777777" w:rsidR="005E2D92" w:rsidRPr="00872D7E" w:rsidRDefault="005E2D92" w:rsidP="004602AB">
            <w:pPr>
              <w:jc w:val="right"/>
              <w:rPr>
                <w:sz w:val="15"/>
                <w:szCs w:val="15"/>
              </w:rPr>
            </w:pPr>
          </w:p>
        </w:tc>
      </w:tr>
      <w:tr w:rsidR="00630C39" w:rsidRPr="00872D7E" w14:paraId="0A977495" w14:textId="77777777" w:rsidTr="00630C39">
        <w:trPr>
          <w:trHeight w:val="113"/>
        </w:trPr>
        <w:tc>
          <w:tcPr>
            <w:tcW w:w="2407" w:type="dxa"/>
            <w:vAlign w:val="bottom"/>
            <w:hideMark/>
          </w:tcPr>
          <w:p w14:paraId="5851D169" w14:textId="77777777" w:rsidR="00630C39" w:rsidRPr="00872D7E" w:rsidRDefault="00630C39" w:rsidP="00630C39">
            <w:pPr>
              <w:rPr>
                <w:color w:val="000000"/>
                <w:sz w:val="15"/>
                <w:szCs w:val="15"/>
              </w:rPr>
            </w:pPr>
            <w:r w:rsidRPr="00872D7E">
              <w:rPr>
                <w:color w:val="000000"/>
                <w:sz w:val="15"/>
                <w:szCs w:val="15"/>
              </w:rPr>
              <w:t>Nakit ve Nakit Benzerleri</w:t>
            </w:r>
          </w:p>
        </w:tc>
        <w:tc>
          <w:tcPr>
            <w:tcW w:w="1264" w:type="dxa"/>
            <w:vAlign w:val="bottom"/>
          </w:tcPr>
          <w:p w14:paraId="55DB83E2" w14:textId="6D97989D" w:rsidR="00630C39" w:rsidRPr="00872D7E" w:rsidRDefault="00630C39" w:rsidP="00630C39">
            <w:pPr>
              <w:jc w:val="right"/>
              <w:rPr>
                <w:color w:val="000000"/>
                <w:sz w:val="15"/>
                <w:szCs w:val="15"/>
              </w:rPr>
            </w:pPr>
            <w:r w:rsidRPr="00872D7E">
              <w:rPr>
                <w:sz w:val="15"/>
                <w:szCs w:val="15"/>
              </w:rPr>
              <w:t>9.081.626</w:t>
            </w:r>
          </w:p>
        </w:tc>
        <w:tc>
          <w:tcPr>
            <w:tcW w:w="1105" w:type="dxa"/>
            <w:vAlign w:val="bottom"/>
          </w:tcPr>
          <w:p w14:paraId="615F4DAA" w14:textId="4178665B" w:rsidR="00630C39" w:rsidRPr="00872D7E" w:rsidRDefault="00630C39" w:rsidP="00630C39">
            <w:pPr>
              <w:jc w:val="right"/>
              <w:rPr>
                <w:color w:val="000000"/>
                <w:sz w:val="15"/>
                <w:szCs w:val="15"/>
              </w:rPr>
            </w:pPr>
            <w:r w:rsidRPr="00872D7E">
              <w:rPr>
                <w:sz w:val="15"/>
                <w:szCs w:val="15"/>
              </w:rPr>
              <w:t>9.081.626</w:t>
            </w:r>
          </w:p>
        </w:tc>
        <w:tc>
          <w:tcPr>
            <w:tcW w:w="1134" w:type="dxa"/>
            <w:vAlign w:val="bottom"/>
          </w:tcPr>
          <w:p w14:paraId="2033676C" w14:textId="49065477"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6F136CF4" w14:textId="31A3C5C8"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5747BADC" w14:textId="2EDE7378"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75D86B40" w14:textId="5C3C2E7B" w:rsidR="00630C39" w:rsidRPr="00872D7E" w:rsidRDefault="00630C39" w:rsidP="00630C39">
            <w:pPr>
              <w:jc w:val="right"/>
              <w:rPr>
                <w:color w:val="000000"/>
                <w:sz w:val="15"/>
                <w:szCs w:val="15"/>
              </w:rPr>
            </w:pPr>
            <w:r w:rsidRPr="00872D7E">
              <w:rPr>
                <w:sz w:val="15"/>
                <w:szCs w:val="15"/>
              </w:rPr>
              <w:t>-</w:t>
            </w:r>
          </w:p>
        </w:tc>
      </w:tr>
      <w:tr w:rsidR="00630C39" w:rsidRPr="00872D7E" w14:paraId="6C0F5AF5" w14:textId="77777777" w:rsidTr="00630C39">
        <w:trPr>
          <w:trHeight w:val="113"/>
        </w:trPr>
        <w:tc>
          <w:tcPr>
            <w:tcW w:w="2407" w:type="dxa"/>
            <w:vAlign w:val="bottom"/>
            <w:hideMark/>
          </w:tcPr>
          <w:p w14:paraId="6F603531" w14:textId="77777777" w:rsidR="00630C39" w:rsidRPr="00872D7E" w:rsidRDefault="00630C39" w:rsidP="00630C39">
            <w:pPr>
              <w:rPr>
                <w:color w:val="000000"/>
                <w:sz w:val="15"/>
                <w:szCs w:val="15"/>
              </w:rPr>
            </w:pPr>
            <w:r w:rsidRPr="00872D7E">
              <w:rPr>
                <w:color w:val="000000"/>
                <w:sz w:val="15"/>
                <w:szCs w:val="15"/>
              </w:rPr>
              <w:t xml:space="preserve">Gerçeğe Uygun Değer Farkı Kâr Zarara Yansıtılan Finansal Varlıklar </w:t>
            </w:r>
          </w:p>
        </w:tc>
        <w:tc>
          <w:tcPr>
            <w:tcW w:w="1264" w:type="dxa"/>
            <w:vAlign w:val="bottom"/>
          </w:tcPr>
          <w:p w14:paraId="58E59A6D" w14:textId="4580EB0F" w:rsidR="00630C39" w:rsidRPr="00872D7E" w:rsidRDefault="00630C39" w:rsidP="00630C39">
            <w:pPr>
              <w:jc w:val="right"/>
              <w:rPr>
                <w:color w:val="000000"/>
                <w:sz w:val="15"/>
                <w:szCs w:val="15"/>
              </w:rPr>
            </w:pPr>
            <w:r w:rsidRPr="00872D7E">
              <w:rPr>
                <w:sz w:val="15"/>
                <w:szCs w:val="15"/>
              </w:rPr>
              <w:t>133.298</w:t>
            </w:r>
          </w:p>
        </w:tc>
        <w:tc>
          <w:tcPr>
            <w:tcW w:w="1105" w:type="dxa"/>
            <w:vAlign w:val="bottom"/>
          </w:tcPr>
          <w:p w14:paraId="7B622AB9" w14:textId="4183063F" w:rsidR="00630C39" w:rsidRPr="00872D7E" w:rsidRDefault="00630C39" w:rsidP="00630C39">
            <w:pPr>
              <w:jc w:val="right"/>
              <w:rPr>
                <w:color w:val="000000"/>
                <w:sz w:val="15"/>
                <w:szCs w:val="15"/>
              </w:rPr>
            </w:pPr>
            <w:r w:rsidRPr="00872D7E">
              <w:rPr>
                <w:sz w:val="15"/>
                <w:szCs w:val="15"/>
              </w:rPr>
              <w:t>15</w:t>
            </w:r>
          </w:p>
        </w:tc>
        <w:tc>
          <w:tcPr>
            <w:tcW w:w="1134" w:type="dxa"/>
            <w:vAlign w:val="bottom"/>
          </w:tcPr>
          <w:p w14:paraId="000E0754" w14:textId="64ED5BDD"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353BC868" w14:textId="2FC0CA09"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5183FBAC" w14:textId="1371BA2D" w:rsidR="00630C39" w:rsidRPr="00872D7E" w:rsidRDefault="00630C39" w:rsidP="00630C39">
            <w:pPr>
              <w:jc w:val="right"/>
              <w:rPr>
                <w:color w:val="000000"/>
                <w:sz w:val="15"/>
                <w:szCs w:val="15"/>
              </w:rPr>
            </w:pPr>
            <w:r w:rsidRPr="00872D7E">
              <w:rPr>
                <w:sz w:val="15"/>
                <w:szCs w:val="15"/>
              </w:rPr>
              <w:t>133.283</w:t>
            </w:r>
          </w:p>
        </w:tc>
        <w:tc>
          <w:tcPr>
            <w:tcW w:w="1426" w:type="dxa"/>
            <w:vAlign w:val="bottom"/>
          </w:tcPr>
          <w:p w14:paraId="4F5ADE4F" w14:textId="57B1B3F4" w:rsidR="00630C39" w:rsidRPr="00872D7E" w:rsidRDefault="00630C39" w:rsidP="00630C39">
            <w:pPr>
              <w:jc w:val="right"/>
              <w:rPr>
                <w:color w:val="000000"/>
                <w:sz w:val="15"/>
                <w:szCs w:val="15"/>
              </w:rPr>
            </w:pPr>
            <w:r w:rsidRPr="00872D7E">
              <w:rPr>
                <w:sz w:val="15"/>
                <w:szCs w:val="15"/>
              </w:rPr>
              <w:t>-</w:t>
            </w:r>
          </w:p>
        </w:tc>
      </w:tr>
      <w:tr w:rsidR="00630C39" w:rsidRPr="00872D7E" w14:paraId="3EA08ED1" w14:textId="77777777" w:rsidTr="00630C39">
        <w:trPr>
          <w:trHeight w:val="113"/>
        </w:trPr>
        <w:tc>
          <w:tcPr>
            <w:tcW w:w="2407" w:type="dxa"/>
            <w:vAlign w:val="bottom"/>
            <w:hideMark/>
          </w:tcPr>
          <w:p w14:paraId="2421562D" w14:textId="77777777" w:rsidR="00630C39" w:rsidRPr="00872D7E" w:rsidRDefault="00630C39" w:rsidP="00630C39">
            <w:pPr>
              <w:rPr>
                <w:color w:val="000000"/>
                <w:sz w:val="15"/>
                <w:szCs w:val="15"/>
              </w:rPr>
            </w:pPr>
            <w:r w:rsidRPr="00872D7E">
              <w:rPr>
                <w:color w:val="000000"/>
                <w:sz w:val="15"/>
                <w:szCs w:val="15"/>
              </w:rPr>
              <w:t>Gerçeğe Uygun Değer Farkı Diğer Kapsamlı Gelire Yansıtılan Finansal Varlıklar</w:t>
            </w:r>
          </w:p>
        </w:tc>
        <w:tc>
          <w:tcPr>
            <w:tcW w:w="1264" w:type="dxa"/>
            <w:vAlign w:val="bottom"/>
          </w:tcPr>
          <w:p w14:paraId="2DF3C8DA" w14:textId="6B1AD637" w:rsidR="00630C39" w:rsidRPr="00872D7E" w:rsidRDefault="00630C39" w:rsidP="00630C39">
            <w:pPr>
              <w:jc w:val="right"/>
              <w:rPr>
                <w:color w:val="000000"/>
                <w:sz w:val="15"/>
                <w:szCs w:val="15"/>
              </w:rPr>
            </w:pPr>
            <w:r w:rsidRPr="00872D7E">
              <w:rPr>
                <w:sz w:val="15"/>
                <w:szCs w:val="15"/>
              </w:rPr>
              <w:t>964.443</w:t>
            </w:r>
          </w:p>
        </w:tc>
        <w:tc>
          <w:tcPr>
            <w:tcW w:w="1105" w:type="dxa"/>
            <w:vAlign w:val="bottom"/>
          </w:tcPr>
          <w:p w14:paraId="7C6D1820" w14:textId="25FC2347" w:rsidR="00630C39" w:rsidRPr="00872D7E" w:rsidRDefault="00630C39" w:rsidP="00630C39">
            <w:pPr>
              <w:jc w:val="right"/>
              <w:rPr>
                <w:color w:val="000000"/>
                <w:sz w:val="15"/>
                <w:szCs w:val="15"/>
              </w:rPr>
            </w:pPr>
            <w:r w:rsidRPr="00872D7E">
              <w:rPr>
                <w:sz w:val="15"/>
                <w:szCs w:val="15"/>
              </w:rPr>
              <w:t>964.443</w:t>
            </w:r>
          </w:p>
        </w:tc>
        <w:tc>
          <w:tcPr>
            <w:tcW w:w="1134" w:type="dxa"/>
            <w:vAlign w:val="bottom"/>
          </w:tcPr>
          <w:p w14:paraId="00438807" w14:textId="03778EA2"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39C62685" w14:textId="6380F660"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01C09C15" w14:textId="619D1014"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5530725F" w14:textId="5529EB76" w:rsidR="00630C39" w:rsidRPr="00872D7E" w:rsidRDefault="00630C39" w:rsidP="00630C39">
            <w:pPr>
              <w:jc w:val="right"/>
              <w:rPr>
                <w:color w:val="000000"/>
                <w:sz w:val="15"/>
                <w:szCs w:val="15"/>
              </w:rPr>
            </w:pPr>
            <w:r w:rsidRPr="00872D7E">
              <w:rPr>
                <w:sz w:val="15"/>
                <w:szCs w:val="15"/>
              </w:rPr>
              <w:t>-</w:t>
            </w:r>
          </w:p>
        </w:tc>
      </w:tr>
      <w:tr w:rsidR="00630C39" w:rsidRPr="00872D7E" w14:paraId="00F3DF2F" w14:textId="77777777" w:rsidTr="00630C39">
        <w:trPr>
          <w:trHeight w:val="113"/>
        </w:trPr>
        <w:tc>
          <w:tcPr>
            <w:tcW w:w="2407" w:type="dxa"/>
            <w:vAlign w:val="bottom"/>
            <w:hideMark/>
          </w:tcPr>
          <w:p w14:paraId="3093AC69" w14:textId="77777777" w:rsidR="00630C39" w:rsidRPr="00872D7E" w:rsidRDefault="00630C39" w:rsidP="00630C39">
            <w:pPr>
              <w:rPr>
                <w:color w:val="000000"/>
                <w:sz w:val="15"/>
                <w:szCs w:val="15"/>
              </w:rPr>
            </w:pPr>
            <w:r w:rsidRPr="00872D7E">
              <w:rPr>
                <w:color w:val="000000"/>
                <w:sz w:val="15"/>
                <w:szCs w:val="15"/>
              </w:rPr>
              <w:t>İtfa Edilmiş Maliyeti ile Ölçülen Finansal Varlıklar</w:t>
            </w:r>
          </w:p>
        </w:tc>
        <w:tc>
          <w:tcPr>
            <w:tcW w:w="1264" w:type="dxa"/>
            <w:vAlign w:val="bottom"/>
          </w:tcPr>
          <w:p w14:paraId="2C4A12BC" w14:textId="22146539" w:rsidR="00630C39" w:rsidRPr="00872D7E" w:rsidRDefault="00630C39" w:rsidP="00630C39">
            <w:pPr>
              <w:jc w:val="right"/>
              <w:rPr>
                <w:color w:val="000000"/>
                <w:sz w:val="15"/>
                <w:szCs w:val="15"/>
              </w:rPr>
            </w:pPr>
            <w:r w:rsidRPr="00872D7E">
              <w:rPr>
                <w:sz w:val="15"/>
                <w:szCs w:val="15"/>
              </w:rPr>
              <w:t>391.310</w:t>
            </w:r>
          </w:p>
        </w:tc>
        <w:tc>
          <w:tcPr>
            <w:tcW w:w="1105" w:type="dxa"/>
            <w:vAlign w:val="bottom"/>
          </w:tcPr>
          <w:p w14:paraId="30BD80ED" w14:textId="4642DC59" w:rsidR="00630C39" w:rsidRPr="00872D7E" w:rsidRDefault="00630C39" w:rsidP="00630C39">
            <w:pPr>
              <w:jc w:val="right"/>
              <w:rPr>
                <w:color w:val="000000"/>
                <w:sz w:val="15"/>
                <w:szCs w:val="15"/>
              </w:rPr>
            </w:pPr>
            <w:r w:rsidRPr="00872D7E">
              <w:rPr>
                <w:sz w:val="15"/>
                <w:szCs w:val="15"/>
              </w:rPr>
              <w:t>391.310</w:t>
            </w:r>
          </w:p>
        </w:tc>
        <w:tc>
          <w:tcPr>
            <w:tcW w:w="1134" w:type="dxa"/>
            <w:vAlign w:val="bottom"/>
          </w:tcPr>
          <w:p w14:paraId="7107DAA3" w14:textId="00E99DF0"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555B978C" w14:textId="079C1B7D"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35D1CB46" w14:textId="7D52DBDF"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4C70081B" w14:textId="55F6ED2C" w:rsidR="00630C39" w:rsidRPr="00872D7E" w:rsidRDefault="00630C39" w:rsidP="00630C39">
            <w:pPr>
              <w:jc w:val="right"/>
              <w:rPr>
                <w:color w:val="000000"/>
                <w:sz w:val="15"/>
                <w:szCs w:val="15"/>
              </w:rPr>
            </w:pPr>
            <w:r w:rsidRPr="00872D7E">
              <w:rPr>
                <w:sz w:val="15"/>
                <w:szCs w:val="15"/>
              </w:rPr>
              <w:t>-</w:t>
            </w:r>
          </w:p>
        </w:tc>
      </w:tr>
      <w:tr w:rsidR="00630C39" w:rsidRPr="00872D7E" w14:paraId="03D454A8" w14:textId="77777777" w:rsidTr="00630C39">
        <w:trPr>
          <w:trHeight w:val="113"/>
        </w:trPr>
        <w:tc>
          <w:tcPr>
            <w:tcW w:w="2407" w:type="dxa"/>
            <w:vAlign w:val="bottom"/>
            <w:hideMark/>
          </w:tcPr>
          <w:p w14:paraId="26C5CCB7" w14:textId="77777777" w:rsidR="00630C39" w:rsidRPr="00872D7E" w:rsidRDefault="00630C39" w:rsidP="00630C39">
            <w:pPr>
              <w:rPr>
                <w:color w:val="000000"/>
                <w:sz w:val="15"/>
                <w:szCs w:val="15"/>
              </w:rPr>
            </w:pPr>
            <w:r w:rsidRPr="00872D7E">
              <w:rPr>
                <w:color w:val="000000"/>
                <w:sz w:val="15"/>
                <w:szCs w:val="15"/>
              </w:rPr>
              <w:t>Türev Finansal Varlıklar</w:t>
            </w:r>
          </w:p>
        </w:tc>
        <w:tc>
          <w:tcPr>
            <w:tcW w:w="1264" w:type="dxa"/>
            <w:vAlign w:val="bottom"/>
          </w:tcPr>
          <w:p w14:paraId="0D4B5CA1" w14:textId="7570B494" w:rsidR="00630C39" w:rsidRPr="00872D7E" w:rsidRDefault="00630C39" w:rsidP="00630C39">
            <w:pPr>
              <w:jc w:val="right"/>
              <w:rPr>
                <w:color w:val="000000"/>
                <w:sz w:val="15"/>
                <w:szCs w:val="15"/>
              </w:rPr>
            </w:pPr>
            <w:r w:rsidRPr="00872D7E">
              <w:rPr>
                <w:sz w:val="15"/>
                <w:szCs w:val="15"/>
              </w:rPr>
              <w:t>22.274</w:t>
            </w:r>
          </w:p>
        </w:tc>
        <w:tc>
          <w:tcPr>
            <w:tcW w:w="1105" w:type="dxa"/>
            <w:vAlign w:val="bottom"/>
          </w:tcPr>
          <w:p w14:paraId="1F2D4ACB" w14:textId="16804BB5" w:rsidR="00630C39" w:rsidRPr="00872D7E" w:rsidRDefault="005209F1" w:rsidP="00630C39">
            <w:pPr>
              <w:jc w:val="right"/>
              <w:rPr>
                <w:color w:val="000000"/>
                <w:sz w:val="15"/>
                <w:szCs w:val="15"/>
              </w:rPr>
            </w:pPr>
            <w:r w:rsidRPr="00872D7E">
              <w:rPr>
                <w:sz w:val="15"/>
                <w:szCs w:val="15"/>
              </w:rPr>
              <w:t>22.274</w:t>
            </w:r>
          </w:p>
        </w:tc>
        <w:tc>
          <w:tcPr>
            <w:tcW w:w="1134" w:type="dxa"/>
            <w:vAlign w:val="bottom"/>
          </w:tcPr>
          <w:p w14:paraId="279B15B7" w14:textId="4733D496" w:rsidR="00630C39" w:rsidRPr="00872D7E" w:rsidRDefault="00630C39" w:rsidP="00630C39">
            <w:pPr>
              <w:jc w:val="right"/>
              <w:rPr>
                <w:color w:val="000000"/>
                <w:sz w:val="15"/>
                <w:szCs w:val="15"/>
              </w:rPr>
            </w:pPr>
            <w:r w:rsidRPr="00872D7E">
              <w:rPr>
                <w:sz w:val="15"/>
                <w:szCs w:val="15"/>
              </w:rPr>
              <w:t>22.274</w:t>
            </w:r>
          </w:p>
        </w:tc>
        <w:tc>
          <w:tcPr>
            <w:tcW w:w="1276" w:type="dxa"/>
            <w:vAlign w:val="bottom"/>
          </w:tcPr>
          <w:p w14:paraId="039CE603" w14:textId="0E73F158"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3530B8BA" w14:textId="0E4EBE84"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292B792C" w14:textId="6B98045A" w:rsidR="00630C39" w:rsidRPr="00872D7E" w:rsidRDefault="00630C39" w:rsidP="00630C39">
            <w:pPr>
              <w:jc w:val="right"/>
              <w:rPr>
                <w:color w:val="000000"/>
                <w:sz w:val="15"/>
                <w:szCs w:val="15"/>
              </w:rPr>
            </w:pPr>
            <w:r w:rsidRPr="00872D7E">
              <w:rPr>
                <w:sz w:val="15"/>
                <w:szCs w:val="15"/>
              </w:rPr>
              <w:t>-</w:t>
            </w:r>
          </w:p>
        </w:tc>
      </w:tr>
      <w:tr w:rsidR="00630C39" w:rsidRPr="00872D7E" w14:paraId="7CDFFE18" w14:textId="77777777" w:rsidTr="00630C39">
        <w:trPr>
          <w:trHeight w:val="113"/>
        </w:trPr>
        <w:tc>
          <w:tcPr>
            <w:tcW w:w="2407" w:type="dxa"/>
            <w:vAlign w:val="bottom"/>
            <w:hideMark/>
          </w:tcPr>
          <w:p w14:paraId="03C06DB1" w14:textId="77777777" w:rsidR="00630C39" w:rsidRPr="00872D7E" w:rsidRDefault="00630C39" w:rsidP="00630C39">
            <w:pPr>
              <w:rPr>
                <w:color w:val="000000"/>
                <w:sz w:val="15"/>
                <w:szCs w:val="15"/>
              </w:rPr>
            </w:pPr>
            <w:r w:rsidRPr="00872D7E">
              <w:rPr>
                <w:color w:val="000000"/>
                <w:sz w:val="15"/>
                <w:szCs w:val="15"/>
              </w:rPr>
              <w:t>Donuk Finansal Varlıklar</w:t>
            </w:r>
          </w:p>
        </w:tc>
        <w:tc>
          <w:tcPr>
            <w:tcW w:w="1264" w:type="dxa"/>
            <w:vAlign w:val="bottom"/>
          </w:tcPr>
          <w:p w14:paraId="083CC10F" w14:textId="0EE52E96"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1DC71C8E" w14:textId="6903F671"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7A9F22FA" w14:textId="4E140BD9"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460DB988" w14:textId="087C5E1D"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17937D6F" w14:textId="146036C8"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103FDBCD" w14:textId="243D2117" w:rsidR="00630C39" w:rsidRPr="00872D7E" w:rsidRDefault="00630C39" w:rsidP="00630C39">
            <w:pPr>
              <w:jc w:val="right"/>
              <w:rPr>
                <w:color w:val="000000"/>
                <w:sz w:val="15"/>
                <w:szCs w:val="15"/>
              </w:rPr>
            </w:pPr>
            <w:r w:rsidRPr="00872D7E">
              <w:rPr>
                <w:sz w:val="15"/>
                <w:szCs w:val="15"/>
              </w:rPr>
              <w:t>-</w:t>
            </w:r>
          </w:p>
        </w:tc>
      </w:tr>
      <w:tr w:rsidR="00630C39" w:rsidRPr="00872D7E" w14:paraId="1D5D52C2" w14:textId="77777777" w:rsidTr="00630C39">
        <w:trPr>
          <w:trHeight w:val="113"/>
        </w:trPr>
        <w:tc>
          <w:tcPr>
            <w:tcW w:w="2407" w:type="dxa"/>
            <w:vAlign w:val="bottom"/>
            <w:hideMark/>
          </w:tcPr>
          <w:p w14:paraId="3823C885" w14:textId="77777777" w:rsidR="00630C39" w:rsidRPr="00872D7E" w:rsidRDefault="00630C39" w:rsidP="00630C39">
            <w:pPr>
              <w:rPr>
                <w:color w:val="000000"/>
                <w:sz w:val="15"/>
                <w:szCs w:val="15"/>
              </w:rPr>
            </w:pPr>
            <w:r w:rsidRPr="00872D7E">
              <w:rPr>
                <w:color w:val="000000"/>
                <w:sz w:val="15"/>
                <w:szCs w:val="15"/>
              </w:rPr>
              <w:t>Beklenen Zarar Karşılıkları (-)</w:t>
            </w:r>
          </w:p>
        </w:tc>
        <w:tc>
          <w:tcPr>
            <w:tcW w:w="1264" w:type="dxa"/>
            <w:vAlign w:val="bottom"/>
          </w:tcPr>
          <w:p w14:paraId="4FD05C13" w14:textId="0BC14196"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076922DE" w14:textId="1746536C"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676B4995" w14:textId="5EF502AA"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19F2B60B" w14:textId="18E3E51E"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0F3E8077" w14:textId="24502557"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6BD31F1B" w14:textId="1383F5F4" w:rsidR="00630C39" w:rsidRPr="00872D7E" w:rsidRDefault="00630C39" w:rsidP="00630C39">
            <w:pPr>
              <w:jc w:val="right"/>
              <w:rPr>
                <w:color w:val="000000"/>
                <w:sz w:val="15"/>
                <w:szCs w:val="15"/>
              </w:rPr>
            </w:pPr>
            <w:r w:rsidRPr="00872D7E">
              <w:rPr>
                <w:sz w:val="15"/>
                <w:szCs w:val="15"/>
              </w:rPr>
              <w:t>-</w:t>
            </w:r>
          </w:p>
        </w:tc>
      </w:tr>
      <w:tr w:rsidR="00630C39" w:rsidRPr="00872D7E" w14:paraId="02A38C21" w14:textId="77777777" w:rsidTr="00630C39">
        <w:trPr>
          <w:trHeight w:val="113"/>
        </w:trPr>
        <w:tc>
          <w:tcPr>
            <w:tcW w:w="2407" w:type="dxa"/>
            <w:vAlign w:val="bottom"/>
            <w:hideMark/>
          </w:tcPr>
          <w:p w14:paraId="203CB15F" w14:textId="77777777" w:rsidR="00630C39" w:rsidRPr="00872D7E" w:rsidRDefault="00630C39" w:rsidP="00630C39">
            <w:pPr>
              <w:rPr>
                <w:b/>
                <w:bCs/>
                <w:color w:val="000000"/>
                <w:sz w:val="15"/>
                <w:szCs w:val="15"/>
              </w:rPr>
            </w:pPr>
            <w:r w:rsidRPr="00872D7E">
              <w:rPr>
                <w:b/>
                <w:bCs/>
                <w:color w:val="000000"/>
                <w:sz w:val="15"/>
                <w:szCs w:val="15"/>
              </w:rPr>
              <w:t>KREDİLER (Net)</w:t>
            </w:r>
          </w:p>
        </w:tc>
        <w:tc>
          <w:tcPr>
            <w:tcW w:w="1264" w:type="dxa"/>
            <w:vAlign w:val="bottom"/>
          </w:tcPr>
          <w:p w14:paraId="536D5BA2" w14:textId="559CA0CB" w:rsidR="00630C39" w:rsidRPr="00872D7E" w:rsidRDefault="00630C39" w:rsidP="00630C39">
            <w:pPr>
              <w:jc w:val="right"/>
              <w:rPr>
                <w:color w:val="000000"/>
                <w:sz w:val="15"/>
                <w:szCs w:val="15"/>
              </w:rPr>
            </w:pPr>
            <w:r w:rsidRPr="00872D7E">
              <w:rPr>
                <w:sz w:val="15"/>
                <w:szCs w:val="15"/>
              </w:rPr>
              <w:t>23.033.822</w:t>
            </w:r>
          </w:p>
        </w:tc>
        <w:tc>
          <w:tcPr>
            <w:tcW w:w="1105" w:type="dxa"/>
            <w:vAlign w:val="bottom"/>
          </w:tcPr>
          <w:p w14:paraId="256132B1" w14:textId="222CE668" w:rsidR="00630C39" w:rsidRPr="00872D7E" w:rsidRDefault="00630C39" w:rsidP="00630C39">
            <w:pPr>
              <w:jc w:val="right"/>
              <w:rPr>
                <w:color w:val="000000"/>
                <w:sz w:val="15"/>
                <w:szCs w:val="15"/>
              </w:rPr>
            </w:pPr>
            <w:r w:rsidRPr="00872D7E">
              <w:rPr>
                <w:sz w:val="15"/>
                <w:szCs w:val="15"/>
              </w:rPr>
              <w:t>23.033.822</w:t>
            </w:r>
          </w:p>
        </w:tc>
        <w:tc>
          <w:tcPr>
            <w:tcW w:w="1134" w:type="dxa"/>
            <w:vAlign w:val="bottom"/>
          </w:tcPr>
          <w:p w14:paraId="1CE265CD" w14:textId="3CC04AF5"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34683779" w14:textId="38ABC8D0"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1D24FA2C" w14:textId="0A0A34FE"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2E9E1BF7" w14:textId="3DDBEC70" w:rsidR="00630C39" w:rsidRPr="00872D7E" w:rsidRDefault="00630C39" w:rsidP="00630C39">
            <w:pPr>
              <w:jc w:val="right"/>
              <w:rPr>
                <w:color w:val="000000"/>
                <w:sz w:val="15"/>
                <w:szCs w:val="15"/>
              </w:rPr>
            </w:pPr>
            <w:r w:rsidRPr="00872D7E">
              <w:rPr>
                <w:sz w:val="15"/>
                <w:szCs w:val="15"/>
              </w:rPr>
              <w:t>-</w:t>
            </w:r>
          </w:p>
        </w:tc>
      </w:tr>
      <w:tr w:rsidR="00630C39" w:rsidRPr="00872D7E" w14:paraId="7AD90A0F" w14:textId="77777777" w:rsidTr="00630C39">
        <w:trPr>
          <w:trHeight w:val="113"/>
        </w:trPr>
        <w:tc>
          <w:tcPr>
            <w:tcW w:w="2407" w:type="dxa"/>
            <w:vAlign w:val="bottom"/>
            <w:hideMark/>
          </w:tcPr>
          <w:p w14:paraId="574386B5" w14:textId="77777777" w:rsidR="00630C39" w:rsidRPr="00872D7E" w:rsidRDefault="00630C39" w:rsidP="00630C39">
            <w:pPr>
              <w:rPr>
                <w:color w:val="000000"/>
                <w:sz w:val="15"/>
                <w:szCs w:val="15"/>
              </w:rPr>
            </w:pPr>
            <w:r w:rsidRPr="00872D7E">
              <w:rPr>
                <w:color w:val="000000"/>
                <w:sz w:val="15"/>
                <w:szCs w:val="15"/>
              </w:rPr>
              <w:t xml:space="preserve">Krediler </w:t>
            </w:r>
          </w:p>
        </w:tc>
        <w:tc>
          <w:tcPr>
            <w:tcW w:w="1264" w:type="dxa"/>
            <w:vAlign w:val="bottom"/>
          </w:tcPr>
          <w:p w14:paraId="5493BADA" w14:textId="5C46C4D2" w:rsidR="00630C39" w:rsidRPr="00872D7E" w:rsidRDefault="00630C39" w:rsidP="00630C39">
            <w:pPr>
              <w:jc w:val="right"/>
              <w:rPr>
                <w:color w:val="000000"/>
                <w:sz w:val="15"/>
                <w:szCs w:val="15"/>
              </w:rPr>
            </w:pPr>
            <w:r w:rsidRPr="00872D7E">
              <w:rPr>
                <w:sz w:val="15"/>
                <w:szCs w:val="15"/>
              </w:rPr>
              <w:t>23.029.459</w:t>
            </w:r>
          </w:p>
        </w:tc>
        <w:tc>
          <w:tcPr>
            <w:tcW w:w="1105" w:type="dxa"/>
            <w:vAlign w:val="bottom"/>
          </w:tcPr>
          <w:p w14:paraId="427419A8" w14:textId="7CC3AFD9" w:rsidR="00630C39" w:rsidRPr="00872D7E" w:rsidRDefault="00630C39" w:rsidP="00630C39">
            <w:pPr>
              <w:jc w:val="right"/>
              <w:rPr>
                <w:color w:val="000000"/>
                <w:sz w:val="15"/>
                <w:szCs w:val="15"/>
              </w:rPr>
            </w:pPr>
            <w:r w:rsidRPr="00872D7E">
              <w:rPr>
                <w:sz w:val="15"/>
                <w:szCs w:val="15"/>
              </w:rPr>
              <w:t>23.029.459</w:t>
            </w:r>
          </w:p>
        </w:tc>
        <w:tc>
          <w:tcPr>
            <w:tcW w:w="1134" w:type="dxa"/>
            <w:vAlign w:val="bottom"/>
          </w:tcPr>
          <w:p w14:paraId="7B092169" w14:textId="38360529"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2853C21D" w14:textId="7F2C5001"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304AADE0" w14:textId="2214F9AF"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3BFD2DF6" w14:textId="498A0665" w:rsidR="00630C39" w:rsidRPr="00872D7E" w:rsidRDefault="00630C39" w:rsidP="00630C39">
            <w:pPr>
              <w:jc w:val="right"/>
              <w:rPr>
                <w:color w:val="000000"/>
                <w:sz w:val="15"/>
                <w:szCs w:val="15"/>
              </w:rPr>
            </w:pPr>
            <w:r w:rsidRPr="00872D7E">
              <w:rPr>
                <w:sz w:val="15"/>
                <w:szCs w:val="15"/>
              </w:rPr>
              <w:t>-</w:t>
            </w:r>
          </w:p>
        </w:tc>
      </w:tr>
      <w:tr w:rsidR="00630C39" w:rsidRPr="00872D7E" w14:paraId="5E4C553D" w14:textId="77777777" w:rsidTr="00630C39">
        <w:trPr>
          <w:trHeight w:val="113"/>
        </w:trPr>
        <w:tc>
          <w:tcPr>
            <w:tcW w:w="2407" w:type="dxa"/>
            <w:vAlign w:val="bottom"/>
            <w:hideMark/>
          </w:tcPr>
          <w:p w14:paraId="7363DD87" w14:textId="77777777" w:rsidR="00630C39" w:rsidRPr="00872D7E" w:rsidRDefault="00630C39" w:rsidP="00630C39">
            <w:pPr>
              <w:rPr>
                <w:color w:val="000000"/>
                <w:sz w:val="15"/>
                <w:szCs w:val="15"/>
              </w:rPr>
            </w:pPr>
            <w:r w:rsidRPr="00872D7E">
              <w:rPr>
                <w:color w:val="000000"/>
                <w:sz w:val="15"/>
                <w:szCs w:val="15"/>
              </w:rPr>
              <w:t>Kiralama İşlemlerinden Alacaklar</w:t>
            </w:r>
          </w:p>
        </w:tc>
        <w:tc>
          <w:tcPr>
            <w:tcW w:w="1264" w:type="dxa"/>
            <w:vAlign w:val="bottom"/>
          </w:tcPr>
          <w:p w14:paraId="59367C74" w14:textId="3C3AF5A7" w:rsidR="00630C39" w:rsidRPr="00872D7E" w:rsidRDefault="00630C39" w:rsidP="00630C39">
            <w:pPr>
              <w:jc w:val="right"/>
              <w:rPr>
                <w:color w:val="000000"/>
                <w:sz w:val="15"/>
                <w:szCs w:val="15"/>
              </w:rPr>
            </w:pPr>
            <w:r w:rsidRPr="00872D7E">
              <w:rPr>
                <w:sz w:val="15"/>
                <w:szCs w:val="15"/>
              </w:rPr>
              <w:t>4.363</w:t>
            </w:r>
          </w:p>
        </w:tc>
        <w:tc>
          <w:tcPr>
            <w:tcW w:w="1105" w:type="dxa"/>
            <w:vAlign w:val="bottom"/>
          </w:tcPr>
          <w:p w14:paraId="1A514416" w14:textId="32A47188" w:rsidR="00630C39" w:rsidRPr="00872D7E" w:rsidRDefault="00630C39" w:rsidP="00630C39">
            <w:pPr>
              <w:jc w:val="right"/>
              <w:rPr>
                <w:color w:val="000000"/>
                <w:sz w:val="15"/>
                <w:szCs w:val="15"/>
              </w:rPr>
            </w:pPr>
            <w:r w:rsidRPr="00872D7E">
              <w:rPr>
                <w:sz w:val="15"/>
                <w:szCs w:val="15"/>
              </w:rPr>
              <w:t>4.363</w:t>
            </w:r>
          </w:p>
        </w:tc>
        <w:tc>
          <w:tcPr>
            <w:tcW w:w="1134" w:type="dxa"/>
            <w:vAlign w:val="bottom"/>
          </w:tcPr>
          <w:p w14:paraId="3AADC095" w14:textId="5A94B72D"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36C1DDA2" w14:textId="4CE8C6E0"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466070F5" w14:textId="5782F09B"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7CDA506D" w14:textId="4515811A" w:rsidR="00630C39" w:rsidRPr="00872D7E" w:rsidRDefault="00630C39" w:rsidP="00630C39">
            <w:pPr>
              <w:jc w:val="right"/>
              <w:rPr>
                <w:color w:val="000000"/>
                <w:sz w:val="15"/>
                <w:szCs w:val="15"/>
              </w:rPr>
            </w:pPr>
            <w:r w:rsidRPr="00872D7E">
              <w:rPr>
                <w:sz w:val="15"/>
                <w:szCs w:val="15"/>
              </w:rPr>
              <w:t>-</w:t>
            </w:r>
          </w:p>
        </w:tc>
      </w:tr>
      <w:tr w:rsidR="00630C39" w:rsidRPr="00872D7E" w14:paraId="657424C4" w14:textId="77777777" w:rsidTr="00630C39">
        <w:trPr>
          <w:trHeight w:val="113"/>
        </w:trPr>
        <w:tc>
          <w:tcPr>
            <w:tcW w:w="2407" w:type="dxa"/>
            <w:vAlign w:val="bottom"/>
            <w:hideMark/>
          </w:tcPr>
          <w:p w14:paraId="316EF7E0" w14:textId="77777777" w:rsidR="00630C39" w:rsidRPr="00872D7E" w:rsidRDefault="00630C39" w:rsidP="00630C39">
            <w:pPr>
              <w:rPr>
                <w:color w:val="000000"/>
                <w:sz w:val="15"/>
                <w:szCs w:val="15"/>
              </w:rPr>
            </w:pPr>
            <w:proofErr w:type="spellStart"/>
            <w:r w:rsidRPr="00872D7E">
              <w:rPr>
                <w:color w:val="000000"/>
                <w:sz w:val="15"/>
                <w:szCs w:val="15"/>
              </w:rPr>
              <w:t>Faktoring</w:t>
            </w:r>
            <w:proofErr w:type="spellEnd"/>
            <w:r w:rsidRPr="00872D7E">
              <w:rPr>
                <w:color w:val="000000"/>
                <w:sz w:val="15"/>
                <w:szCs w:val="15"/>
              </w:rPr>
              <w:t xml:space="preserve"> Alacakları</w:t>
            </w:r>
          </w:p>
        </w:tc>
        <w:tc>
          <w:tcPr>
            <w:tcW w:w="1264" w:type="dxa"/>
            <w:vAlign w:val="bottom"/>
          </w:tcPr>
          <w:p w14:paraId="092829BD" w14:textId="4BF9736C"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64D5F792" w14:textId="60472AFF"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7F8799EA" w14:textId="0C8E5A39"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1028AC35" w14:textId="34E2597A"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03632D06" w14:textId="1CC152BC"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0EC2E266" w14:textId="052EC594" w:rsidR="00630C39" w:rsidRPr="00872D7E" w:rsidRDefault="00630C39" w:rsidP="00630C39">
            <w:pPr>
              <w:jc w:val="right"/>
              <w:rPr>
                <w:color w:val="000000"/>
                <w:sz w:val="15"/>
                <w:szCs w:val="15"/>
              </w:rPr>
            </w:pPr>
            <w:r w:rsidRPr="00872D7E">
              <w:rPr>
                <w:sz w:val="15"/>
                <w:szCs w:val="15"/>
              </w:rPr>
              <w:t>-</w:t>
            </w:r>
          </w:p>
        </w:tc>
      </w:tr>
      <w:tr w:rsidR="00630C39" w:rsidRPr="00872D7E" w14:paraId="05CE6BCC" w14:textId="77777777" w:rsidTr="00630C39">
        <w:trPr>
          <w:trHeight w:val="113"/>
        </w:trPr>
        <w:tc>
          <w:tcPr>
            <w:tcW w:w="2407" w:type="dxa"/>
            <w:vAlign w:val="bottom"/>
            <w:hideMark/>
          </w:tcPr>
          <w:p w14:paraId="33B35882" w14:textId="77777777" w:rsidR="00630C39" w:rsidRPr="00872D7E" w:rsidRDefault="00630C39" w:rsidP="00630C39">
            <w:pPr>
              <w:rPr>
                <w:color w:val="000000"/>
                <w:sz w:val="15"/>
                <w:szCs w:val="15"/>
              </w:rPr>
            </w:pPr>
            <w:r w:rsidRPr="00872D7E">
              <w:rPr>
                <w:color w:val="000000"/>
                <w:sz w:val="15"/>
                <w:szCs w:val="15"/>
              </w:rPr>
              <w:t>Donuk Alacaklar</w:t>
            </w:r>
          </w:p>
        </w:tc>
        <w:tc>
          <w:tcPr>
            <w:tcW w:w="1264" w:type="dxa"/>
            <w:vAlign w:val="bottom"/>
          </w:tcPr>
          <w:p w14:paraId="02573CE3" w14:textId="3AF507CE"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67C772C8" w14:textId="5F706655"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698B43D7" w14:textId="4400FB9F"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1EB67024" w14:textId="49C06E12"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57F8D12B" w14:textId="47ADADBE"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7F7D5262" w14:textId="2C3F284E" w:rsidR="00630C39" w:rsidRPr="00872D7E" w:rsidRDefault="00630C39" w:rsidP="00630C39">
            <w:pPr>
              <w:jc w:val="right"/>
              <w:rPr>
                <w:color w:val="000000"/>
                <w:sz w:val="15"/>
                <w:szCs w:val="15"/>
              </w:rPr>
            </w:pPr>
            <w:r w:rsidRPr="00872D7E">
              <w:rPr>
                <w:sz w:val="15"/>
                <w:szCs w:val="15"/>
              </w:rPr>
              <w:t>-</w:t>
            </w:r>
          </w:p>
        </w:tc>
      </w:tr>
      <w:tr w:rsidR="00630C39" w:rsidRPr="00872D7E" w14:paraId="4A6D52C9" w14:textId="77777777" w:rsidTr="00630C39">
        <w:trPr>
          <w:trHeight w:val="113"/>
        </w:trPr>
        <w:tc>
          <w:tcPr>
            <w:tcW w:w="2407" w:type="dxa"/>
            <w:vAlign w:val="bottom"/>
            <w:hideMark/>
          </w:tcPr>
          <w:p w14:paraId="5B0A1DB1" w14:textId="77777777" w:rsidR="00630C39" w:rsidRPr="00872D7E" w:rsidRDefault="00630C39" w:rsidP="00630C39">
            <w:pPr>
              <w:rPr>
                <w:color w:val="000000"/>
                <w:sz w:val="15"/>
                <w:szCs w:val="15"/>
              </w:rPr>
            </w:pPr>
            <w:r w:rsidRPr="00872D7E">
              <w:rPr>
                <w:color w:val="000000"/>
                <w:sz w:val="15"/>
                <w:szCs w:val="15"/>
              </w:rPr>
              <w:t>Beklenen Zarar Karşılıkları (-)</w:t>
            </w:r>
          </w:p>
        </w:tc>
        <w:tc>
          <w:tcPr>
            <w:tcW w:w="1264" w:type="dxa"/>
            <w:vAlign w:val="bottom"/>
          </w:tcPr>
          <w:p w14:paraId="2E21EC10" w14:textId="4DDD16EA"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6669F6B4" w14:textId="60814358"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0A2A4FE1" w14:textId="04641A6C"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14472137" w14:textId="0007C442"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07D1F07C" w14:textId="474E180F"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1C036CB0" w14:textId="3AF0C2EF" w:rsidR="00630C39" w:rsidRPr="00872D7E" w:rsidRDefault="00630C39" w:rsidP="00630C39">
            <w:pPr>
              <w:jc w:val="right"/>
              <w:rPr>
                <w:color w:val="000000"/>
                <w:sz w:val="15"/>
                <w:szCs w:val="15"/>
              </w:rPr>
            </w:pPr>
            <w:r w:rsidRPr="00872D7E">
              <w:rPr>
                <w:sz w:val="15"/>
                <w:szCs w:val="15"/>
              </w:rPr>
              <w:t>-</w:t>
            </w:r>
          </w:p>
        </w:tc>
      </w:tr>
      <w:tr w:rsidR="00630C39" w:rsidRPr="00872D7E" w14:paraId="31F98AFE" w14:textId="77777777" w:rsidTr="00630C39">
        <w:trPr>
          <w:trHeight w:val="113"/>
        </w:trPr>
        <w:tc>
          <w:tcPr>
            <w:tcW w:w="2407" w:type="dxa"/>
            <w:vAlign w:val="bottom"/>
            <w:hideMark/>
          </w:tcPr>
          <w:p w14:paraId="5F0DC15C" w14:textId="77777777" w:rsidR="00630C39" w:rsidRPr="00872D7E" w:rsidRDefault="00630C39" w:rsidP="00630C39">
            <w:pPr>
              <w:rPr>
                <w:color w:val="000000"/>
                <w:sz w:val="15"/>
                <w:szCs w:val="15"/>
              </w:rPr>
            </w:pPr>
            <w:r w:rsidRPr="00872D7E">
              <w:rPr>
                <w:color w:val="000000"/>
                <w:sz w:val="15"/>
                <w:szCs w:val="15"/>
              </w:rPr>
              <w:t>Satış Amaçlı Elde Tutulan ve Durdurulan Faaliyetlere İlişkin Duran Varlıklar (Net)</w:t>
            </w:r>
          </w:p>
        </w:tc>
        <w:tc>
          <w:tcPr>
            <w:tcW w:w="1264" w:type="dxa"/>
            <w:vAlign w:val="bottom"/>
          </w:tcPr>
          <w:p w14:paraId="2DBFC62F" w14:textId="768F3F3E"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3122B1CC" w14:textId="16DAB11E"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1B0BA5D8" w14:textId="7572BD29"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28E614EE" w14:textId="388FA1EA"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1DBDB08D" w14:textId="2A751BB0"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112ACCA5" w14:textId="35E7C3D6" w:rsidR="00630C39" w:rsidRPr="00872D7E" w:rsidRDefault="00630C39" w:rsidP="00630C39">
            <w:pPr>
              <w:jc w:val="right"/>
              <w:rPr>
                <w:color w:val="000000"/>
                <w:sz w:val="15"/>
                <w:szCs w:val="15"/>
              </w:rPr>
            </w:pPr>
            <w:r w:rsidRPr="00872D7E">
              <w:rPr>
                <w:sz w:val="15"/>
                <w:szCs w:val="15"/>
              </w:rPr>
              <w:t>-</w:t>
            </w:r>
          </w:p>
        </w:tc>
      </w:tr>
      <w:tr w:rsidR="00630C39" w:rsidRPr="00872D7E" w14:paraId="295F29FE" w14:textId="77777777" w:rsidTr="00630C39">
        <w:trPr>
          <w:trHeight w:val="113"/>
        </w:trPr>
        <w:tc>
          <w:tcPr>
            <w:tcW w:w="2407" w:type="dxa"/>
            <w:vAlign w:val="bottom"/>
            <w:hideMark/>
          </w:tcPr>
          <w:p w14:paraId="4D55FCD4" w14:textId="77777777" w:rsidR="00630C39" w:rsidRPr="00872D7E" w:rsidRDefault="00630C39" w:rsidP="00630C39">
            <w:pPr>
              <w:rPr>
                <w:color w:val="000000"/>
                <w:sz w:val="15"/>
                <w:szCs w:val="15"/>
              </w:rPr>
            </w:pPr>
            <w:r w:rsidRPr="00872D7E">
              <w:rPr>
                <w:color w:val="000000"/>
                <w:sz w:val="15"/>
                <w:szCs w:val="15"/>
              </w:rPr>
              <w:t>Ortaklık Yatırımları</w:t>
            </w:r>
          </w:p>
        </w:tc>
        <w:tc>
          <w:tcPr>
            <w:tcW w:w="1264" w:type="dxa"/>
            <w:vAlign w:val="bottom"/>
          </w:tcPr>
          <w:p w14:paraId="76D12096" w14:textId="0CCA87E5" w:rsidR="00630C39" w:rsidRPr="00872D7E" w:rsidRDefault="00630C39" w:rsidP="00630C39">
            <w:pPr>
              <w:jc w:val="right"/>
              <w:rPr>
                <w:color w:val="000000"/>
                <w:sz w:val="15"/>
                <w:szCs w:val="15"/>
              </w:rPr>
            </w:pPr>
            <w:r w:rsidRPr="00872D7E">
              <w:rPr>
                <w:sz w:val="15"/>
                <w:szCs w:val="15"/>
              </w:rPr>
              <w:t>1.250</w:t>
            </w:r>
          </w:p>
        </w:tc>
        <w:tc>
          <w:tcPr>
            <w:tcW w:w="1105" w:type="dxa"/>
            <w:vAlign w:val="bottom"/>
          </w:tcPr>
          <w:p w14:paraId="4FDC16F3" w14:textId="412B51A7" w:rsidR="00630C39" w:rsidRPr="00872D7E" w:rsidRDefault="00630C39" w:rsidP="00630C39">
            <w:pPr>
              <w:jc w:val="right"/>
              <w:rPr>
                <w:color w:val="000000"/>
                <w:sz w:val="15"/>
                <w:szCs w:val="15"/>
              </w:rPr>
            </w:pPr>
            <w:r w:rsidRPr="00872D7E">
              <w:rPr>
                <w:sz w:val="15"/>
                <w:szCs w:val="15"/>
              </w:rPr>
              <w:t>1.250</w:t>
            </w:r>
          </w:p>
        </w:tc>
        <w:tc>
          <w:tcPr>
            <w:tcW w:w="1134" w:type="dxa"/>
            <w:vAlign w:val="bottom"/>
          </w:tcPr>
          <w:p w14:paraId="496936E0" w14:textId="2C767FF3"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646B1DF8" w14:textId="7220B877"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7C6990D3" w14:textId="11133421"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78E5F7C5" w14:textId="7404034B" w:rsidR="00630C39" w:rsidRPr="00872D7E" w:rsidRDefault="00630C39" w:rsidP="00630C39">
            <w:pPr>
              <w:jc w:val="right"/>
              <w:rPr>
                <w:color w:val="000000"/>
                <w:sz w:val="15"/>
                <w:szCs w:val="15"/>
              </w:rPr>
            </w:pPr>
            <w:r w:rsidRPr="00872D7E">
              <w:rPr>
                <w:sz w:val="15"/>
                <w:szCs w:val="15"/>
              </w:rPr>
              <w:t>-</w:t>
            </w:r>
          </w:p>
        </w:tc>
      </w:tr>
      <w:tr w:rsidR="00630C39" w:rsidRPr="00872D7E" w14:paraId="0DD482B5" w14:textId="77777777" w:rsidTr="00630C39">
        <w:trPr>
          <w:trHeight w:val="113"/>
        </w:trPr>
        <w:tc>
          <w:tcPr>
            <w:tcW w:w="2407" w:type="dxa"/>
            <w:vAlign w:val="bottom"/>
            <w:hideMark/>
          </w:tcPr>
          <w:p w14:paraId="42DABEA1" w14:textId="77777777" w:rsidR="00630C39" w:rsidRPr="00872D7E" w:rsidRDefault="00630C39" w:rsidP="00630C39">
            <w:pPr>
              <w:rPr>
                <w:color w:val="000000"/>
                <w:sz w:val="15"/>
                <w:szCs w:val="15"/>
              </w:rPr>
            </w:pPr>
            <w:r w:rsidRPr="00872D7E">
              <w:rPr>
                <w:color w:val="000000"/>
                <w:sz w:val="15"/>
                <w:szCs w:val="15"/>
              </w:rPr>
              <w:t xml:space="preserve">Maddi Duran Varlıklar (Net) </w:t>
            </w:r>
          </w:p>
        </w:tc>
        <w:tc>
          <w:tcPr>
            <w:tcW w:w="1264" w:type="dxa"/>
            <w:vAlign w:val="bottom"/>
          </w:tcPr>
          <w:p w14:paraId="5CCFF9A8" w14:textId="521342AB" w:rsidR="00630C39" w:rsidRPr="00872D7E" w:rsidRDefault="00630C39" w:rsidP="00630C39">
            <w:pPr>
              <w:jc w:val="right"/>
              <w:rPr>
                <w:color w:val="000000"/>
                <w:sz w:val="15"/>
                <w:szCs w:val="15"/>
              </w:rPr>
            </w:pPr>
            <w:r w:rsidRPr="00872D7E">
              <w:rPr>
                <w:sz w:val="15"/>
                <w:szCs w:val="15"/>
              </w:rPr>
              <w:t>490.907</w:t>
            </w:r>
          </w:p>
        </w:tc>
        <w:tc>
          <w:tcPr>
            <w:tcW w:w="1105" w:type="dxa"/>
            <w:vAlign w:val="bottom"/>
          </w:tcPr>
          <w:p w14:paraId="31A993B3" w14:textId="14EC16B0" w:rsidR="00630C39" w:rsidRPr="00872D7E" w:rsidRDefault="00630C39" w:rsidP="00630C39">
            <w:pPr>
              <w:jc w:val="right"/>
              <w:rPr>
                <w:color w:val="000000"/>
                <w:sz w:val="15"/>
                <w:szCs w:val="15"/>
              </w:rPr>
            </w:pPr>
            <w:r w:rsidRPr="00872D7E">
              <w:rPr>
                <w:sz w:val="15"/>
                <w:szCs w:val="15"/>
              </w:rPr>
              <w:t>490.907</w:t>
            </w:r>
          </w:p>
        </w:tc>
        <w:tc>
          <w:tcPr>
            <w:tcW w:w="1134" w:type="dxa"/>
            <w:vAlign w:val="bottom"/>
          </w:tcPr>
          <w:p w14:paraId="5194028F" w14:textId="6BC11E63"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3632FB32" w14:textId="2641A95E"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5CDB7F6F" w14:textId="09C60DC1"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6BB4B018" w14:textId="3FE6B427" w:rsidR="00630C39" w:rsidRPr="00872D7E" w:rsidRDefault="00630C39" w:rsidP="00630C39">
            <w:pPr>
              <w:jc w:val="right"/>
              <w:rPr>
                <w:color w:val="000000"/>
                <w:sz w:val="15"/>
                <w:szCs w:val="15"/>
              </w:rPr>
            </w:pPr>
            <w:r w:rsidRPr="00872D7E">
              <w:rPr>
                <w:sz w:val="15"/>
                <w:szCs w:val="15"/>
              </w:rPr>
              <w:t>147.382</w:t>
            </w:r>
          </w:p>
        </w:tc>
      </w:tr>
      <w:tr w:rsidR="00630C39" w:rsidRPr="00872D7E" w14:paraId="2A6FE9AB" w14:textId="77777777" w:rsidTr="00630C39">
        <w:trPr>
          <w:trHeight w:val="113"/>
        </w:trPr>
        <w:tc>
          <w:tcPr>
            <w:tcW w:w="2407" w:type="dxa"/>
            <w:vAlign w:val="bottom"/>
            <w:hideMark/>
          </w:tcPr>
          <w:p w14:paraId="2CA70224" w14:textId="77777777" w:rsidR="00630C39" w:rsidRPr="00872D7E" w:rsidRDefault="00630C39" w:rsidP="00630C39">
            <w:pPr>
              <w:rPr>
                <w:color w:val="000000"/>
                <w:sz w:val="15"/>
                <w:szCs w:val="15"/>
              </w:rPr>
            </w:pPr>
            <w:r w:rsidRPr="00872D7E">
              <w:rPr>
                <w:color w:val="000000"/>
                <w:sz w:val="15"/>
                <w:szCs w:val="15"/>
              </w:rPr>
              <w:t>Maddi Olmayan Duran Varlıklar (Net)</w:t>
            </w:r>
          </w:p>
        </w:tc>
        <w:tc>
          <w:tcPr>
            <w:tcW w:w="1264" w:type="dxa"/>
            <w:vAlign w:val="bottom"/>
          </w:tcPr>
          <w:p w14:paraId="1E09F540" w14:textId="049E21A2" w:rsidR="00630C39" w:rsidRPr="00872D7E" w:rsidRDefault="00630C39" w:rsidP="00630C39">
            <w:pPr>
              <w:jc w:val="right"/>
              <w:rPr>
                <w:color w:val="000000"/>
                <w:sz w:val="15"/>
                <w:szCs w:val="15"/>
              </w:rPr>
            </w:pPr>
            <w:r w:rsidRPr="00872D7E">
              <w:rPr>
                <w:sz w:val="15"/>
                <w:szCs w:val="15"/>
              </w:rPr>
              <w:t>212.558</w:t>
            </w:r>
          </w:p>
        </w:tc>
        <w:tc>
          <w:tcPr>
            <w:tcW w:w="1105" w:type="dxa"/>
            <w:vAlign w:val="bottom"/>
          </w:tcPr>
          <w:p w14:paraId="7F124760" w14:textId="70BC139C" w:rsidR="00630C39" w:rsidRPr="00872D7E" w:rsidRDefault="00630C39" w:rsidP="00630C39">
            <w:pPr>
              <w:jc w:val="right"/>
              <w:rPr>
                <w:color w:val="000000"/>
                <w:sz w:val="15"/>
                <w:szCs w:val="15"/>
              </w:rPr>
            </w:pPr>
            <w:r w:rsidRPr="00872D7E">
              <w:rPr>
                <w:sz w:val="15"/>
                <w:szCs w:val="15"/>
              </w:rPr>
              <w:t>212.558</w:t>
            </w:r>
          </w:p>
        </w:tc>
        <w:tc>
          <w:tcPr>
            <w:tcW w:w="1134" w:type="dxa"/>
            <w:vAlign w:val="bottom"/>
          </w:tcPr>
          <w:p w14:paraId="7B4937BD" w14:textId="6637E6A3"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42EC5641" w14:textId="249B204E"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7FB5DA8B" w14:textId="3B4A9901"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7E8E0C04" w14:textId="231E4B88" w:rsidR="00630C39" w:rsidRPr="00872D7E" w:rsidRDefault="00630C39" w:rsidP="00630C39">
            <w:pPr>
              <w:jc w:val="right"/>
              <w:rPr>
                <w:color w:val="000000"/>
                <w:sz w:val="15"/>
                <w:szCs w:val="15"/>
              </w:rPr>
            </w:pPr>
            <w:r w:rsidRPr="00872D7E">
              <w:rPr>
                <w:sz w:val="15"/>
                <w:szCs w:val="15"/>
              </w:rPr>
              <w:t>212.558</w:t>
            </w:r>
          </w:p>
        </w:tc>
      </w:tr>
      <w:tr w:rsidR="00630C39" w:rsidRPr="00872D7E" w14:paraId="6CC2E7B8" w14:textId="77777777" w:rsidTr="00630C39">
        <w:trPr>
          <w:trHeight w:val="113"/>
        </w:trPr>
        <w:tc>
          <w:tcPr>
            <w:tcW w:w="2407" w:type="dxa"/>
            <w:vAlign w:val="bottom"/>
            <w:hideMark/>
          </w:tcPr>
          <w:p w14:paraId="22641479" w14:textId="77777777" w:rsidR="00630C39" w:rsidRPr="00872D7E" w:rsidRDefault="00630C39" w:rsidP="00630C39">
            <w:pPr>
              <w:rPr>
                <w:color w:val="000000"/>
                <w:sz w:val="15"/>
                <w:szCs w:val="15"/>
              </w:rPr>
            </w:pPr>
            <w:r w:rsidRPr="00872D7E">
              <w:rPr>
                <w:color w:val="000000"/>
                <w:sz w:val="15"/>
                <w:szCs w:val="15"/>
              </w:rPr>
              <w:t>Yatırım Amaçlı Gayrimenkuller (Net)</w:t>
            </w:r>
          </w:p>
        </w:tc>
        <w:tc>
          <w:tcPr>
            <w:tcW w:w="1264" w:type="dxa"/>
            <w:vAlign w:val="bottom"/>
          </w:tcPr>
          <w:p w14:paraId="74722724" w14:textId="47B6EFB8"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5A549154" w14:textId="24580C40"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79582A17" w14:textId="447682FA"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4653A7BF" w14:textId="30EBCBB9"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125719BD" w14:textId="70CAB199"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328328D9" w14:textId="0EDC06E8" w:rsidR="00630C39" w:rsidRPr="00872D7E" w:rsidRDefault="00630C39" w:rsidP="00630C39">
            <w:pPr>
              <w:jc w:val="right"/>
              <w:rPr>
                <w:color w:val="000000"/>
                <w:sz w:val="15"/>
                <w:szCs w:val="15"/>
              </w:rPr>
            </w:pPr>
            <w:r w:rsidRPr="00872D7E">
              <w:rPr>
                <w:sz w:val="15"/>
                <w:szCs w:val="15"/>
              </w:rPr>
              <w:t>359.940</w:t>
            </w:r>
          </w:p>
        </w:tc>
      </w:tr>
      <w:tr w:rsidR="00630C39" w:rsidRPr="00872D7E" w14:paraId="221F87C5" w14:textId="77777777" w:rsidTr="00630C39">
        <w:trPr>
          <w:trHeight w:val="113"/>
        </w:trPr>
        <w:tc>
          <w:tcPr>
            <w:tcW w:w="2407" w:type="dxa"/>
            <w:vAlign w:val="bottom"/>
            <w:hideMark/>
          </w:tcPr>
          <w:p w14:paraId="0C406459" w14:textId="77777777" w:rsidR="00630C39" w:rsidRPr="00872D7E" w:rsidRDefault="00630C39" w:rsidP="00630C39">
            <w:pPr>
              <w:rPr>
                <w:color w:val="000000"/>
                <w:sz w:val="15"/>
                <w:szCs w:val="15"/>
              </w:rPr>
            </w:pPr>
            <w:r w:rsidRPr="00872D7E">
              <w:rPr>
                <w:color w:val="000000"/>
                <w:sz w:val="15"/>
                <w:szCs w:val="15"/>
              </w:rPr>
              <w:t>Cari Vergi Varlığı</w:t>
            </w:r>
          </w:p>
        </w:tc>
        <w:tc>
          <w:tcPr>
            <w:tcW w:w="1264" w:type="dxa"/>
            <w:vAlign w:val="bottom"/>
          </w:tcPr>
          <w:p w14:paraId="1D567064" w14:textId="1FBECCEE" w:rsidR="00630C39" w:rsidRPr="00872D7E" w:rsidRDefault="00630C39" w:rsidP="00630C39">
            <w:pPr>
              <w:jc w:val="right"/>
              <w:rPr>
                <w:color w:val="000000"/>
                <w:sz w:val="15"/>
                <w:szCs w:val="15"/>
              </w:rPr>
            </w:pPr>
            <w:r w:rsidRPr="00872D7E">
              <w:rPr>
                <w:sz w:val="15"/>
                <w:szCs w:val="15"/>
              </w:rPr>
              <w:t>34</w:t>
            </w:r>
          </w:p>
        </w:tc>
        <w:tc>
          <w:tcPr>
            <w:tcW w:w="1105" w:type="dxa"/>
            <w:vAlign w:val="bottom"/>
          </w:tcPr>
          <w:p w14:paraId="18227FCD" w14:textId="2A507774" w:rsidR="00630C39" w:rsidRPr="00872D7E" w:rsidRDefault="00630C39" w:rsidP="00630C39">
            <w:pPr>
              <w:jc w:val="right"/>
              <w:rPr>
                <w:color w:val="000000"/>
                <w:sz w:val="15"/>
                <w:szCs w:val="15"/>
              </w:rPr>
            </w:pPr>
            <w:r w:rsidRPr="00872D7E">
              <w:rPr>
                <w:sz w:val="15"/>
                <w:szCs w:val="15"/>
              </w:rPr>
              <w:t>34</w:t>
            </w:r>
          </w:p>
        </w:tc>
        <w:tc>
          <w:tcPr>
            <w:tcW w:w="1134" w:type="dxa"/>
            <w:vAlign w:val="bottom"/>
          </w:tcPr>
          <w:p w14:paraId="7E8D9C48" w14:textId="56B70961"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19B17AEF" w14:textId="7496C759"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48C5D134" w14:textId="2D31BFA5"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67F7A270" w14:textId="3EDB34B0" w:rsidR="00630C39" w:rsidRPr="00872D7E" w:rsidRDefault="00630C39" w:rsidP="00630C39">
            <w:pPr>
              <w:jc w:val="right"/>
              <w:rPr>
                <w:color w:val="000000"/>
                <w:sz w:val="15"/>
                <w:szCs w:val="15"/>
              </w:rPr>
            </w:pPr>
            <w:r w:rsidRPr="00872D7E">
              <w:rPr>
                <w:sz w:val="15"/>
                <w:szCs w:val="15"/>
              </w:rPr>
              <w:t>-</w:t>
            </w:r>
          </w:p>
        </w:tc>
      </w:tr>
      <w:tr w:rsidR="00630C39" w:rsidRPr="00872D7E" w14:paraId="60E7CDAE" w14:textId="77777777" w:rsidTr="00630C39">
        <w:trPr>
          <w:trHeight w:val="113"/>
        </w:trPr>
        <w:tc>
          <w:tcPr>
            <w:tcW w:w="2407" w:type="dxa"/>
            <w:vAlign w:val="bottom"/>
            <w:hideMark/>
          </w:tcPr>
          <w:p w14:paraId="2EA84551" w14:textId="77777777" w:rsidR="00630C39" w:rsidRPr="00872D7E" w:rsidRDefault="00630C39" w:rsidP="00630C39">
            <w:pPr>
              <w:rPr>
                <w:color w:val="000000"/>
                <w:sz w:val="15"/>
                <w:szCs w:val="15"/>
              </w:rPr>
            </w:pPr>
            <w:r w:rsidRPr="00872D7E">
              <w:rPr>
                <w:color w:val="000000"/>
                <w:sz w:val="15"/>
                <w:szCs w:val="15"/>
              </w:rPr>
              <w:t xml:space="preserve">Ertelenmiş Vergi Varlığı </w:t>
            </w:r>
          </w:p>
        </w:tc>
        <w:tc>
          <w:tcPr>
            <w:tcW w:w="1264" w:type="dxa"/>
            <w:vAlign w:val="bottom"/>
          </w:tcPr>
          <w:p w14:paraId="08780979" w14:textId="456BD7F5" w:rsidR="00630C39" w:rsidRPr="00872D7E" w:rsidRDefault="00630C39" w:rsidP="00630C39">
            <w:pPr>
              <w:jc w:val="right"/>
              <w:rPr>
                <w:color w:val="000000"/>
                <w:sz w:val="15"/>
                <w:szCs w:val="15"/>
              </w:rPr>
            </w:pPr>
            <w:r w:rsidRPr="00872D7E">
              <w:rPr>
                <w:sz w:val="15"/>
                <w:szCs w:val="15"/>
              </w:rPr>
              <w:t>77.838</w:t>
            </w:r>
          </w:p>
        </w:tc>
        <w:tc>
          <w:tcPr>
            <w:tcW w:w="1105" w:type="dxa"/>
            <w:vAlign w:val="bottom"/>
          </w:tcPr>
          <w:p w14:paraId="001020A8" w14:textId="60A7871F" w:rsidR="00630C39" w:rsidRPr="00872D7E" w:rsidRDefault="00630C39" w:rsidP="00630C39">
            <w:pPr>
              <w:jc w:val="right"/>
              <w:rPr>
                <w:color w:val="000000"/>
                <w:sz w:val="15"/>
                <w:szCs w:val="15"/>
              </w:rPr>
            </w:pPr>
            <w:r w:rsidRPr="00872D7E">
              <w:rPr>
                <w:sz w:val="15"/>
                <w:szCs w:val="15"/>
              </w:rPr>
              <w:t>77.838</w:t>
            </w:r>
          </w:p>
        </w:tc>
        <w:tc>
          <w:tcPr>
            <w:tcW w:w="1134" w:type="dxa"/>
            <w:vAlign w:val="bottom"/>
          </w:tcPr>
          <w:p w14:paraId="05C17B44" w14:textId="565CC364"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6AA295F3" w14:textId="5D69E02C"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7A5F8640" w14:textId="77B9CF5B"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3DAE405C" w14:textId="042602B3" w:rsidR="00630C39" w:rsidRPr="00872D7E" w:rsidRDefault="00630C39" w:rsidP="00630C39">
            <w:pPr>
              <w:jc w:val="right"/>
              <w:rPr>
                <w:color w:val="000000"/>
                <w:sz w:val="15"/>
                <w:szCs w:val="15"/>
              </w:rPr>
            </w:pPr>
            <w:r w:rsidRPr="00872D7E">
              <w:rPr>
                <w:sz w:val="15"/>
                <w:szCs w:val="15"/>
              </w:rPr>
              <w:t>-</w:t>
            </w:r>
          </w:p>
        </w:tc>
      </w:tr>
      <w:tr w:rsidR="00630C39" w:rsidRPr="00872D7E" w14:paraId="3E69B3C9" w14:textId="77777777" w:rsidTr="00987E11">
        <w:trPr>
          <w:trHeight w:val="113"/>
        </w:trPr>
        <w:tc>
          <w:tcPr>
            <w:tcW w:w="2407" w:type="dxa"/>
            <w:tcBorders>
              <w:top w:val="nil"/>
              <w:left w:val="nil"/>
              <w:bottom w:val="single" w:sz="4" w:space="0" w:color="auto"/>
              <w:right w:val="nil"/>
            </w:tcBorders>
            <w:vAlign w:val="bottom"/>
            <w:hideMark/>
          </w:tcPr>
          <w:p w14:paraId="37CA7842" w14:textId="77777777" w:rsidR="00630C39" w:rsidRPr="00872D7E" w:rsidRDefault="00630C39" w:rsidP="00630C39">
            <w:pPr>
              <w:rPr>
                <w:color w:val="000000"/>
                <w:sz w:val="15"/>
                <w:szCs w:val="15"/>
              </w:rPr>
            </w:pPr>
            <w:r w:rsidRPr="00872D7E">
              <w:rPr>
                <w:color w:val="000000"/>
                <w:sz w:val="15"/>
                <w:szCs w:val="15"/>
              </w:rPr>
              <w:t xml:space="preserve">Diğer Aktifler  </w:t>
            </w:r>
          </w:p>
        </w:tc>
        <w:tc>
          <w:tcPr>
            <w:tcW w:w="1264" w:type="dxa"/>
            <w:tcBorders>
              <w:bottom w:val="single" w:sz="4" w:space="0" w:color="auto"/>
            </w:tcBorders>
            <w:vAlign w:val="bottom"/>
          </w:tcPr>
          <w:p w14:paraId="6D7452F7" w14:textId="251ECD22" w:rsidR="00630C39" w:rsidRPr="00872D7E" w:rsidRDefault="00630C39" w:rsidP="00630C39">
            <w:pPr>
              <w:jc w:val="right"/>
              <w:rPr>
                <w:color w:val="000000"/>
                <w:sz w:val="15"/>
                <w:szCs w:val="15"/>
              </w:rPr>
            </w:pPr>
            <w:r w:rsidRPr="00872D7E">
              <w:rPr>
                <w:sz w:val="15"/>
                <w:szCs w:val="15"/>
              </w:rPr>
              <w:t>225.797</w:t>
            </w:r>
          </w:p>
        </w:tc>
        <w:tc>
          <w:tcPr>
            <w:tcW w:w="1105" w:type="dxa"/>
            <w:tcBorders>
              <w:bottom w:val="single" w:sz="4" w:space="0" w:color="auto"/>
            </w:tcBorders>
            <w:vAlign w:val="bottom"/>
          </w:tcPr>
          <w:p w14:paraId="229FC984" w14:textId="6CFC4BC7" w:rsidR="00630C39" w:rsidRPr="00872D7E" w:rsidRDefault="00630C39" w:rsidP="00630C39">
            <w:pPr>
              <w:jc w:val="right"/>
              <w:rPr>
                <w:color w:val="000000"/>
                <w:sz w:val="15"/>
                <w:szCs w:val="15"/>
              </w:rPr>
            </w:pPr>
            <w:r w:rsidRPr="00872D7E">
              <w:rPr>
                <w:sz w:val="15"/>
                <w:szCs w:val="15"/>
              </w:rPr>
              <w:t>225.797</w:t>
            </w:r>
          </w:p>
        </w:tc>
        <w:tc>
          <w:tcPr>
            <w:tcW w:w="1134" w:type="dxa"/>
            <w:tcBorders>
              <w:bottom w:val="single" w:sz="4" w:space="0" w:color="auto"/>
            </w:tcBorders>
            <w:vAlign w:val="bottom"/>
          </w:tcPr>
          <w:p w14:paraId="67028320" w14:textId="1B5F1434" w:rsidR="00630C39" w:rsidRPr="00872D7E" w:rsidRDefault="00630C39" w:rsidP="00630C39">
            <w:pPr>
              <w:jc w:val="right"/>
              <w:rPr>
                <w:color w:val="000000"/>
                <w:sz w:val="15"/>
                <w:szCs w:val="15"/>
              </w:rPr>
            </w:pPr>
            <w:r w:rsidRPr="00872D7E">
              <w:rPr>
                <w:sz w:val="15"/>
                <w:szCs w:val="15"/>
              </w:rPr>
              <w:t>-</w:t>
            </w:r>
          </w:p>
        </w:tc>
        <w:tc>
          <w:tcPr>
            <w:tcW w:w="1276" w:type="dxa"/>
            <w:tcBorders>
              <w:bottom w:val="single" w:sz="4" w:space="0" w:color="auto"/>
            </w:tcBorders>
            <w:vAlign w:val="bottom"/>
          </w:tcPr>
          <w:p w14:paraId="666D48FA" w14:textId="1BA7D3EA" w:rsidR="00630C39" w:rsidRPr="00872D7E" w:rsidRDefault="00630C39" w:rsidP="00630C39">
            <w:pPr>
              <w:jc w:val="right"/>
              <w:rPr>
                <w:color w:val="000000"/>
                <w:sz w:val="15"/>
                <w:szCs w:val="15"/>
              </w:rPr>
            </w:pPr>
            <w:r w:rsidRPr="00872D7E">
              <w:rPr>
                <w:sz w:val="15"/>
                <w:szCs w:val="15"/>
              </w:rPr>
              <w:t>-</w:t>
            </w:r>
          </w:p>
        </w:tc>
        <w:tc>
          <w:tcPr>
            <w:tcW w:w="1048" w:type="dxa"/>
            <w:tcBorders>
              <w:bottom w:val="single" w:sz="4" w:space="0" w:color="auto"/>
            </w:tcBorders>
            <w:vAlign w:val="bottom"/>
          </w:tcPr>
          <w:p w14:paraId="09957D4F" w14:textId="1C45AF6C" w:rsidR="00630C39" w:rsidRPr="00872D7E" w:rsidRDefault="00630C39" w:rsidP="00630C39">
            <w:pPr>
              <w:jc w:val="right"/>
              <w:rPr>
                <w:color w:val="000000"/>
                <w:sz w:val="15"/>
                <w:szCs w:val="15"/>
              </w:rPr>
            </w:pPr>
            <w:r w:rsidRPr="00872D7E">
              <w:rPr>
                <w:sz w:val="15"/>
                <w:szCs w:val="15"/>
              </w:rPr>
              <w:t>-</w:t>
            </w:r>
          </w:p>
        </w:tc>
        <w:tc>
          <w:tcPr>
            <w:tcW w:w="1426" w:type="dxa"/>
            <w:tcBorders>
              <w:bottom w:val="single" w:sz="4" w:space="0" w:color="auto"/>
            </w:tcBorders>
            <w:vAlign w:val="bottom"/>
          </w:tcPr>
          <w:p w14:paraId="46F4F50C" w14:textId="745DB5D0" w:rsidR="00630C39" w:rsidRPr="00872D7E" w:rsidRDefault="00630C39" w:rsidP="00630C39">
            <w:pPr>
              <w:jc w:val="right"/>
              <w:rPr>
                <w:color w:val="000000"/>
                <w:sz w:val="15"/>
                <w:szCs w:val="15"/>
              </w:rPr>
            </w:pPr>
            <w:r w:rsidRPr="00872D7E">
              <w:rPr>
                <w:sz w:val="15"/>
                <w:szCs w:val="15"/>
              </w:rPr>
              <w:t>-</w:t>
            </w:r>
          </w:p>
        </w:tc>
      </w:tr>
      <w:tr w:rsidR="00630C39" w:rsidRPr="00872D7E" w14:paraId="70952C02" w14:textId="77777777" w:rsidTr="00987E11">
        <w:trPr>
          <w:trHeight w:val="113"/>
        </w:trPr>
        <w:tc>
          <w:tcPr>
            <w:tcW w:w="2407" w:type="dxa"/>
            <w:tcBorders>
              <w:top w:val="single" w:sz="4" w:space="0" w:color="auto"/>
              <w:left w:val="nil"/>
              <w:bottom w:val="single" w:sz="12" w:space="0" w:color="auto"/>
              <w:right w:val="nil"/>
            </w:tcBorders>
            <w:vAlign w:val="bottom"/>
            <w:hideMark/>
          </w:tcPr>
          <w:p w14:paraId="78230B78" w14:textId="77777777" w:rsidR="00630C39" w:rsidRPr="00872D7E" w:rsidRDefault="00630C39" w:rsidP="00630C39">
            <w:pPr>
              <w:rPr>
                <w:b/>
                <w:sz w:val="15"/>
                <w:szCs w:val="15"/>
              </w:rPr>
            </w:pPr>
            <w:r w:rsidRPr="00872D7E">
              <w:rPr>
                <w:b/>
                <w:sz w:val="15"/>
                <w:szCs w:val="15"/>
              </w:rPr>
              <w:t>Toplam Varlıklar</w:t>
            </w:r>
          </w:p>
        </w:tc>
        <w:tc>
          <w:tcPr>
            <w:tcW w:w="1264" w:type="dxa"/>
            <w:tcBorders>
              <w:top w:val="single" w:sz="4" w:space="0" w:color="auto"/>
              <w:left w:val="nil"/>
              <w:bottom w:val="single" w:sz="12" w:space="0" w:color="auto"/>
              <w:right w:val="nil"/>
            </w:tcBorders>
            <w:vAlign w:val="bottom"/>
          </w:tcPr>
          <w:p w14:paraId="737BF88C" w14:textId="1D05ECD2" w:rsidR="00630C39" w:rsidRPr="00872D7E" w:rsidRDefault="00630C39" w:rsidP="00630C39">
            <w:pPr>
              <w:jc w:val="right"/>
              <w:rPr>
                <w:b/>
                <w:bCs/>
                <w:color w:val="000000"/>
                <w:sz w:val="15"/>
                <w:szCs w:val="15"/>
              </w:rPr>
            </w:pPr>
            <w:r w:rsidRPr="00872D7E">
              <w:rPr>
                <w:b/>
                <w:bCs/>
                <w:sz w:val="15"/>
                <w:szCs w:val="15"/>
              </w:rPr>
              <w:t>34.635.157</w:t>
            </w:r>
          </w:p>
        </w:tc>
        <w:tc>
          <w:tcPr>
            <w:tcW w:w="1105" w:type="dxa"/>
            <w:tcBorders>
              <w:top w:val="single" w:sz="4" w:space="0" w:color="auto"/>
              <w:left w:val="nil"/>
              <w:bottom w:val="single" w:sz="12" w:space="0" w:color="auto"/>
              <w:right w:val="nil"/>
            </w:tcBorders>
            <w:vAlign w:val="bottom"/>
          </w:tcPr>
          <w:p w14:paraId="75FAF9BC" w14:textId="48799958" w:rsidR="00630C39" w:rsidRPr="00872D7E" w:rsidRDefault="00630C39" w:rsidP="00630C39">
            <w:pPr>
              <w:jc w:val="right"/>
              <w:rPr>
                <w:b/>
                <w:bCs/>
                <w:color w:val="000000"/>
                <w:sz w:val="15"/>
                <w:szCs w:val="15"/>
              </w:rPr>
            </w:pPr>
            <w:r w:rsidRPr="00872D7E">
              <w:rPr>
                <w:b/>
                <w:bCs/>
                <w:sz w:val="15"/>
                <w:szCs w:val="15"/>
              </w:rPr>
              <w:t>34.479.600</w:t>
            </w:r>
          </w:p>
        </w:tc>
        <w:tc>
          <w:tcPr>
            <w:tcW w:w="1134" w:type="dxa"/>
            <w:tcBorders>
              <w:top w:val="single" w:sz="4" w:space="0" w:color="auto"/>
              <w:left w:val="nil"/>
              <w:bottom w:val="single" w:sz="12" w:space="0" w:color="auto"/>
              <w:right w:val="nil"/>
            </w:tcBorders>
            <w:vAlign w:val="bottom"/>
          </w:tcPr>
          <w:p w14:paraId="384B8A46" w14:textId="27288892" w:rsidR="00630C39" w:rsidRPr="00872D7E" w:rsidRDefault="00630C39" w:rsidP="00630C39">
            <w:pPr>
              <w:jc w:val="right"/>
              <w:rPr>
                <w:b/>
                <w:bCs/>
                <w:color w:val="000000"/>
                <w:sz w:val="15"/>
                <w:szCs w:val="15"/>
              </w:rPr>
            </w:pPr>
            <w:r w:rsidRPr="00872D7E">
              <w:rPr>
                <w:b/>
                <w:bCs/>
                <w:sz w:val="15"/>
                <w:szCs w:val="15"/>
              </w:rPr>
              <w:t>22.274</w:t>
            </w:r>
          </w:p>
        </w:tc>
        <w:tc>
          <w:tcPr>
            <w:tcW w:w="1276" w:type="dxa"/>
            <w:tcBorders>
              <w:top w:val="single" w:sz="4" w:space="0" w:color="auto"/>
              <w:left w:val="nil"/>
              <w:bottom w:val="single" w:sz="12" w:space="0" w:color="auto"/>
              <w:right w:val="nil"/>
            </w:tcBorders>
            <w:vAlign w:val="bottom"/>
          </w:tcPr>
          <w:p w14:paraId="45046556" w14:textId="3C9B1D59" w:rsidR="00630C39" w:rsidRPr="00872D7E" w:rsidRDefault="00630C39" w:rsidP="00630C39">
            <w:pPr>
              <w:jc w:val="right"/>
              <w:rPr>
                <w:b/>
                <w:bCs/>
                <w:color w:val="000000"/>
                <w:sz w:val="15"/>
                <w:szCs w:val="15"/>
              </w:rPr>
            </w:pPr>
            <w:r w:rsidRPr="00872D7E">
              <w:rPr>
                <w:b/>
                <w:bCs/>
                <w:sz w:val="15"/>
                <w:szCs w:val="15"/>
              </w:rPr>
              <w:t>-</w:t>
            </w:r>
          </w:p>
        </w:tc>
        <w:tc>
          <w:tcPr>
            <w:tcW w:w="1048" w:type="dxa"/>
            <w:tcBorders>
              <w:top w:val="single" w:sz="4" w:space="0" w:color="auto"/>
              <w:left w:val="nil"/>
              <w:bottom w:val="single" w:sz="12" w:space="0" w:color="auto"/>
              <w:right w:val="nil"/>
            </w:tcBorders>
            <w:vAlign w:val="bottom"/>
          </w:tcPr>
          <w:p w14:paraId="54B08023" w14:textId="14905729" w:rsidR="00630C39" w:rsidRPr="00872D7E" w:rsidRDefault="00630C39" w:rsidP="00630C39">
            <w:pPr>
              <w:jc w:val="right"/>
              <w:rPr>
                <w:b/>
                <w:bCs/>
                <w:color w:val="000000"/>
                <w:sz w:val="15"/>
                <w:szCs w:val="15"/>
              </w:rPr>
            </w:pPr>
            <w:r w:rsidRPr="00872D7E">
              <w:rPr>
                <w:b/>
                <w:bCs/>
                <w:sz w:val="15"/>
                <w:szCs w:val="15"/>
              </w:rPr>
              <w:t>133.283</w:t>
            </w:r>
          </w:p>
        </w:tc>
        <w:tc>
          <w:tcPr>
            <w:tcW w:w="1426" w:type="dxa"/>
            <w:tcBorders>
              <w:top w:val="single" w:sz="4" w:space="0" w:color="auto"/>
              <w:left w:val="nil"/>
              <w:bottom w:val="single" w:sz="12" w:space="0" w:color="auto"/>
              <w:right w:val="nil"/>
            </w:tcBorders>
            <w:vAlign w:val="bottom"/>
          </w:tcPr>
          <w:p w14:paraId="1230AE23" w14:textId="5A2E6538" w:rsidR="00630C39" w:rsidRPr="00872D7E" w:rsidRDefault="00630C39" w:rsidP="00630C39">
            <w:pPr>
              <w:jc w:val="right"/>
              <w:rPr>
                <w:b/>
                <w:bCs/>
                <w:color w:val="000000"/>
                <w:sz w:val="15"/>
                <w:szCs w:val="15"/>
              </w:rPr>
            </w:pPr>
            <w:r w:rsidRPr="00872D7E">
              <w:rPr>
                <w:b/>
                <w:bCs/>
                <w:sz w:val="15"/>
                <w:szCs w:val="15"/>
              </w:rPr>
              <w:t>719.880</w:t>
            </w:r>
          </w:p>
        </w:tc>
      </w:tr>
      <w:tr w:rsidR="00630C39" w:rsidRPr="00872D7E" w14:paraId="5361EB15" w14:textId="77777777" w:rsidTr="00987E11">
        <w:trPr>
          <w:trHeight w:val="113"/>
        </w:trPr>
        <w:tc>
          <w:tcPr>
            <w:tcW w:w="2407" w:type="dxa"/>
            <w:tcBorders>
              <w:top w:val="single" w:sz="12" w:space="0" w:color="auto"/>
              <w:left w:val="nil"/>
              <w:bottom w:val="nil"/>
              <w:right w:val="nil"/>
            </w:tcBorders>
            <w:vAlign w:val="bottom"/>
            <w:hideMark/>
          </w:tcPr>
          <w:p w14:paraId="25C64AE1" w14:textId="77777777" w:rsidR="00630C39" w:rsidRPr="00872D7E" w:rsidRDefault="00630C39" w:rsidP="00630C39">
            <w:pPr>
              <w:rPr>
                <w:b/>
                <w:sz w:val="15"/>
                <w:szCs w:val="15"/>
              </w:rPr>
            </w:pPr>
            <w:r w:rsidRPr="00872D7E">
              <w:rPr>
                <w:b/>
                <w:sz w:val="15"/>
                <w:szCs w:val="15"/>
              </w:rPr>
              <w:t>Yükümlülükler</w:t>
            </w:r>
          </w:p>
        </w:tc>
        <w:tc>
          <w:tcPr>
            <w:tcW w:w="1264" w:type="dxa"/>
            <w:tcBorders>
              <w:top w:val="single" w:sz="12" w:space="0" w:color="auto"/>
              <w:left w:val="nil"/>
              <w:bottom w:val="nil"/>
              <w:right w:val="nil"/>
            </w:tcBorders>
            <w:vAlign w:val="bottom"/>
          </w:tcPr>
          <w:p w14:paraId="433360D8" w14:textId="54AA9307" w:rsidR="00630C39" w:rsidRPr="00872D7E" w:rsidRDefault="00630C39" w:rsidP="00630C39">
            <w:pPr>
              <w:jc w:val="right"/>
              <w:rPr>
                <w:color w:val="000000"/>
                <w:sz w:val="15"/>
                <w:szCs w:val="15"/>
              </w:rPr>
            </w:pPr>
          </w:p>
        </w:tc>
        <w:tc>
          <w:tcPr>
            <w:tcW w:w="1105" w:type="dxa"/>
            <w:tcBorders>
              <w:top w:val="single" w:sz="12" w:space="0" w:color="auto"/>
              <w:left w:val="nil"/>
              <w:bottom w:val="nil"/>
              <w:right w:val="nil"/>
            </w:tcBorders>
            <w:vAlign w:val="bottom"/>
          </w:tcPr>
          <w:p w14:paraId="251726C5" w14:textId="6073C71D" w:rsidR="00630C39" w:rsidRPr="00872D7E" w:rsidRDefault="00630C39" w:rsidP="00630C39">
            <w:pPr>
              <w:jc w:val="right"/>
              <w:rPr>
                <w:color w:val="000000"/>
                <w:sz w:val="15"/>
                <w:szCs w:val="15"/>
              </w:rPr>
            </w:pPr>
          </w:p>
        </w:tc>
        <w:tc>
          <w:tcPr>
            <w:tcW w:w="1134" w:type="dxa"/>
            <w:tcBorders>
              <w:top w:val="single" w:sz="12" w:space="0" w:color="auto"/>
              <w:left w:val="nil"/>
              <w:bottom w:val="nil"/>
              <w:right w:val="nil"/>
            </w:tcBorders>
            <w:vAlign w:val="bottom"/>
          </w:tcPr>
          <w:p w14:paraId="0437276A" w14:textId="3FA60DFF" w:rsidR="00630C39" w:rsidRPr="00872D7E" w:rsidRDefault="00630C39" w:rsidP="00630C39">
            <w:pPr>
              <w:jc w:val="right"/>
              <w:rPr>
                <w:color w:val="000000"/>
                <w:sz w:val="15"/>
                <w:szCs w:val="15"/>
              </w:rPr>
            </w:pPr>
          </w:p>
        </w:tc>
        <w:tc>
          <w:tcPr>
            <w:tcW w:w="1276" w:type="dxa"/>
            <w:tcBorders>
              <w:top w:val="single" w:sz="12" w:space="0" w:color="auto"/>
              <w:left w:val="nil"/>
              <w:bottom w:val="nil"/>
              <w:right w:val="nil"/>
            </w:tcBorders>
            <w:vAlign w:val="bottom"/>
          </w:tcPr>
          <w:p w14:paraId="52EFCACC" w14:textId="2759EB56" w:rsidR="00630C39" w:rsidRPr="00872D7E" w:rsidRDefault="00630C39" w:rsidP="00630C39">
            <w:pPr>
              <w:jc w:val="right"/>
              <w:rPr>
                <w:color w:val="000000"/>
                <w:sz w:val="15"/>
                <w:szCs w:val="15"/>
              </w:rPr>
            </w:pPr>
          </w:p>
        </w:tc>
        <w:tc>
          <w:tcPr>
            <w:tcW w:w="1048" w:type="dxa"/>
            <w:tcBorders>
              <w:top w:val="single" w:sz="12" w:space="0" w:color="auto"/>
              <w:left w:val="nil"/>
              <w:bottom w:val="nil"/>
              <w:right w:val="nil"/>
            </w:tcBorders>
            <w:vAlign w:val="bottom"/>
          </w:tcPr>
          <w:p w14:paraId="5443E447" w14:textId="018A07CD" w:rsidR="00630C39" w:rsidRPr="00872D7E" w:rsidRDefault="00630C39" w:rsidP="00630C39">
            <w:pPr>
              <w:jc w:val="right"/>
              <w:rPr>
                <w:color w:val="000000"/>
                <w:sz w:val="15"/>
                <w:szCs w:val="15"/>
              </w:rPr>
            </w:pPr>
          </w:p>
        </w:tc>
        <w:tc>
          <w:tcPr>
            <w:tcW w:w="1426" w:type="dxa"/>
            <w:tcBorders>
              <w:top w:val="single" w:sz="12" w:space="0" w:color="auto"/>
              <w:left w:val="nil"/>
              <w:bottom w:val="nil"/>
              <w:right w:val="nil"/>
            </w:tcBorders>
            <w:vAlign w:val="bottom"/>
          </w:tcPr>
          <w:p w14:paraId="4B994E69" w14:textId="28453188" w:rsidR="00630C39" w:rsidRPr="00872D7E" w:rsidRDefault="00630C39" w:rsidP="00630C39">
            <w:pPr>
              <w:jc w:val="right"/>
              <w:rPr>
                <w:color w:val="000000"/>
                <w:sz w:val="15"/>
                <w:szCs w:val="15"/>
              </w:rPr>
            </w:pPr>
          </w:p>
        </w:tc>
      </w:tr>
      <w:tr w:rsidR="00630C39" w:rsidRPr="00872D7E" w14:paraId="30644B3E" w14:textId="77777777" w:rsidTr="00630C39">
        <w:trPr>
          <w:trHeight w:val="113"/>
        </w:trPr>
        <w:tc>
          <w:tcPr>
            <w:tcW w:w="2407" w:type="dxa"/>
            <w:vAlign w:val="bottom"/>
            <w:hideMark/>
          </w:tcPr>
          <w:p w14:paraId="6E8475C5" w14:textId="77777777" w:rsidR="00630C39" w:rsidRPr="00872D7E" w:rsidRDefault="00630C39" w:rsidP="00630C39">
            <w:pPr>
              <w:rPr>
                <w:color w:val="000000"/>
                <w:sz w:val="15"/>
                <w:szCs w:val="15"/>
              </w:rPr>
            </w:pPr>
            <w:r w:rsidRPr="00872D7E">
              <w:rPr>
                <w:color w:val="000000"/>
                <w:sz w:val="15"/>
                <w:szCs w:val="15"/>
              </w:rPr>
              <w:t xml:space="preserve">Toplanan Fonlar </w:t>
            </w:r>
          </w:p>
        </w:tc>
        <w:tc>
          <w:tcPr>
            <w:tcW w:w="1264" w:type="dxa"/>
            <w:vAlign w:val="bottom"/>
          </w:tcPr>
          <w:p w14:paraId="6AA6EB0B" w14:textId="04C3E6C8" w:rsidR="00630C39" w:rsidRPr="00872D7E" w:rsidRDefault="00630C39" w:rsidP="00630C39">
            <w:pPr>
              <w:jc w:val="right"/>
              <w:rPr>
                <w:color w:val="000000"/>
                <w:sz w:val="15"/>
                <w:szCs w:val="15"/>
              </w:rPr>
            </w:pPr>
            <w:r w:rsidRPr="00872D7E">
              <w:rPr>
                <w:sz w:val="15"/>
                <w:szCs w:val="15"/>
              </w:rPr>
              <w:t>23.824.709</w:t>
            </w:r>
          </w:p>
        </w:tc>
        <w:tc>
          <w:tcPr>
            <w:tcW w:w="1105" w:type="dxa"/>
            <w:vAlign w:val="bottom"/>
          </w:tcPr>
          <w:p w14:paraId="2093F52A" w14:textId="469B68D4"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673122DF" w14:textId="5B78EA30"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6313C450" w14:textId="1BD7DEBF"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085F2235" w14:textId="7AC290CE"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44B0095F" w14:textId="72C9D435" w:rsidR="00630C39" w:rsidRPr="00872D7E" w:rsidRDefault="00630C39" w:rsidP="00630C39">
            <w:pPr>
              <w:jc w:val="right"/>
              <w:rPr>
                <w:color w:val="000000"/>
                <w:sz w:val="15"/>
                <w:szCs w:val="15"/>
              </w:rPr>
            </w:pPr>
            <w:r w:rsidRPr="00872D7E">
              <w:rPr>
                <w:sz w:val="15"/>
                <w:szCs w:val="15"/>
              </w:rPr>
              <w:t>23.824.709</w:t>
            </w:r>
          </w:p>
        </w:tc>
      </w:tr>
      <w:tr w:rsidR="00630C39" w:rsidRPr="00872D7E" w14:paraId="2AC79ED9" w14:textId="77777777" w:rsidTr="00630C39">
        <w:trPr>
          <w:trHeight w:val="113"/>
        </w:trPr>
        <w:tc>
          <w:tcPr>
            <w:tcW w:w="2407" w:type="dxa"/>
            <w:vAlign w:val="bottom"/>
            <w:hideMark/>
          </w:tcPr>
          <w:p w14:paraId="12A7592D" w14:textId="77777777" w:rsidR="00630C39" w:rsidRPr="00872D7E" w:rsidRDefault="00630C39" w:rsidP="00630C39">
            <w:pPr>
              <w:rPr>
                <w:color w:val="000000"/>
                <w:sz w:val="15"/>
                <w:szCs w:val="15"/>
              </w:rPr>
            </w:pPr>
            <w:r w:rsidRPr="00872D7E">
              <w:rPr>
                <w:color w:val="000000"/>
                <w:sz w:val="15"/>
                <w:szCs w:val="15"/>
              </w:rPr>
              <w:t>Alınan Krediler</w:t>
            </w:r>
          </w:p>
        </w:tc>
        <w:tc>
          <w:tcPr>
            <w:tcW w:w="1264" w:type="dxa"/>
            <w:vAlign w:val="bottom"/>
          </w:tcPr>
          <w:p w14:paraId="3914CA0C" w14:textId="5CA36E01" w:rsidR="00630C39" w:rsidRPr="00872D7E" w:rsidRDefault="00630C39" w:rsidP="00630C39">
            <w:pPr>
              <w:jc w:val="right"/>
              <w:rPr>
                <w:color w:val="000000"/>
                <w:sz w:val="15"/>
                <w:szCs w:val="15"/>
              </w:rPr>
            </w:pPr>
            <w:r w:rsidRPr="00872D7E">
              <w:rPr>
                <w:sz w:val="15"/>
                <w:szCs w:val="15"/>
              </w:rPr>
              <w:t>1.922.240</w:t>
            </w:r>
          </w:p>
        </w:tc>
        <w:tc>
          <w:tcPr>
            <w:tcW w:w="1105" w:type="dxa"/>
            <w:vAlign w:val="bottom"/>
          </w:tcPr>
          <w:p w14:paraId="6D97F8C3" w14:textId="54FB878D"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7A2F38D6" w14:textId="27F3B86D"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00A46E72" w14:textId="59F17E64"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3F2DB2E7" w14:textId="02A9B75F"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57351731" w14:textId="607AD5F4" w:rsidR="00630C39" w:rsidRPr="00872D7E" w:rsidRDefault="00630C39" w:rsidP="00630C39">
            <w:pPr>
              <w:jc w:val="right"/>
              <w:rPr>
                <w:color w:val="000000"/>
                <w:sz w:val="15"/>
                <w:szCs w:val="15"/>
              </w:rPr>
            </w:pPr>
            <w:r w:rsidRPr="00872D7E">
              <w:rPr>
                <w:sz w:val="15"/>
                <w:szCs w:val="15"/>
              </w:rPr>
              <w:t>1.922.240</w:t>
            </w:r>
          </w:p>
        </w:tc>
      </w:tr>
      <w:tr w:rsidR="00630C39" w:rsidRPr="00872D7E" w14:paraId="1566B871" w14:textId="77777777" w:rsidTr="00630C39">
        <w:trPr>
          <w:trHeight w:val="113"/>
        </w:trPr>
        <w:tc>
          <w:tcPr>
            <w:tcW w:w="2407" w:type="dxa"/>
            <w:vAlign w:val="bottom"/>
            <w:hideMark/>
          </w:tcPr>
          <w:p w14:paraId="4725C1D3" w14:textId="77777777" w:rsidR="00630C39" w:rsidRPr="00872D7E" w:rsidRDefault="00630C39" w:rsidP="00630C39">
            <w:pPr>
              <w:rPr>
                <w:color w:val="000000"/>
                <w:sz w:val="15"/>
                <w:szCs w:val="15"/>
              </w:rPr>
            </w:pPr>
            <w:r w:rsidRPr="00872D7E">
              <w:rPr>
                <w:color w:val="000000"/>
                <w:sz w:val="15"/>
                <w:szCs w:val="15"/>
              </w:rPr>
              <w:t>Para Piyasalarına Borçlar</w:t>
            </w:r>
          </w:p>
        </w:tc>
        <w:tc>
          <w:tcPr>
            <w:tcW w:w="1264" w:type="dxa"/>
            <w:vAlign w:val="bottom"/>
          </w:tcPr>
          <w:p w14:paraId="0E899113" w14:textId="2DF0EECE" w:rsidR="00630C39" w:rsidRPr="00872D7E" w:rsidRDefault="00630C39" w:rsidP="00630C39">
            <w:pPr>
              <w:jc w:val="right"/>
              <w:rPr>
                <w:color w:val="000000"/>
                <w:sz w:val="15"/>
                <w:szCs w:val="15"/>
              </w:rPr>
            </w:pPr>
            <w:r w:rsidRPr="00872D7E">
              <w:rPr>
                <w:sz w:val="15"/>
                <w:szCs w:val="15"/>
              </w:rPr>
              <w:t>480.631</w:t>
            </w:r>
          </w:p>
        </w:tc>
        <w:tc>
          <w:tcPr>
            <w:tcW w:w="1105" w:type="dxa"/>
            <w:vAlign w:val="bottom"/>
          </w:tcPr>
          <w:p w14:paraId="4E8F3C13" w14:textId="76D866F4"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68008B41" w14:textId="04181DFB" w:rsidR="00630C39" w:rsidRPr="00872D7E" w:rsidRDefault="00630C39" w:rsidP="00630C39">
            <w:pPr>
              <w:jc w:val="right"/>
              <w:rPr>
                <w:color w:val="000000"/>
                <w:sz w:val="15"/>
                <w:szCs w:val="15"/>
              </w:rPr>
            </w:pPr>
            <w:r w:rsidRPr="00872D7E">
              <w:rPr>
                <w:sz w:val="15"/>
                <w:szCs w:val="15"/>
              </w:rPr>
              <w:t>480.631</w:t>
            </w:r>
          </w:p>
        </w:tc>
        <w:tc>
          <w:tcPr>
            <w:tcW w:w="1276" w:type="dxa"/>
            <w:vAlign w:val="bottom"/>
          </w:tcPr>
          <w:p w14:paraId="77EB1B18" w14:textId="196EB38C"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117B69CC" w14:textId="3618CBF5"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4696772C" w14:textId="124415E5" w:rsidR="00630C39" w:rsidRPr="00872D7E" w:rsidRDefault="00630C39" w:rsidP="00630C39">
            <w:pPr>
              <w:jc w:val="right"/>
              <w:rPr>
                <w:color w:val="000000"/>
                <w:sz w:val="15"/>
                <w:szCs w:val="15"/>
              </w:rPr>
            </w:pPr>
            <w:r w:rsidRPr="00872D7E">
              <w:rPr>
                <w:sz w:val="15"/>
                <w:szCs w:val="15"/>
              </w:rPr>
              <w:t>-</w:t>
            </w:r>
          </w:p>
        </w:tc>
      </w:tr>
      <w:tr w:rsidR="00630C39" w:rsidRPr="00872D7E" w14:paraId="68099FC9" w14:textId="77777777" w:rsidTr="00630C39">
        <w:trPr>
          <w:trHeight w:val="113"/>
        </w:trPr>
        <w:tc>
          <w:tcPr>
            <w:tcW w:w="2407" w:type="dxa"/>
            <w:vAlign w:val="bottom"/>
            <w:hideMark/>
          </w:tcPr>
          <w:p w14:paraId="20BE7848" w14:textId="77777777" w:rsidR="00630C39" w:rsidRPr="00872D7E" w:rsidRDefault="00630C39" w:rsidP="00630C39">
            <w:pPr>
              <w:rPr>
                <w:color w:val="000000"/>
                <w:sz w:val="15"/>
                <w:szCs w:val="15"/>
              </w:rPr>
            </w:pPr>
            <w:r w:rsidRPr="00872D7E">
              <w:rPr>
                <w:color w:val="000000"/>
                <w:sz w:val="15"/>
                <w:szCs w:val="15"/>
              </w:rPr>
              <w:t>İhraç Edilen Menkul Kıymetler (Net)</w:t>
            </w:r>
          </w:p>
        </w:tc>
        <w:tc>
          <w:tcPr>
            <w:tcW w:w="1264" w:type="dxa"/>
            <w:vAlign w:val="bottom"/>
          </w:tcPr>
          <w:p w14:paraId="46192298" w14:textId="3F09FD4A"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4D510326" w14:textId="2129EABF"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37F2B228" w14:textId="2D1E72ED"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74A96AD7" w14:textId="19A00D8B"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2274B0CB" w14:textId="6B17E8DA"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71AF2ACB" w14:textId="13AFBDFF" w:rsidR="00630C39" w:rsidRPr="00872D7E" w:rsidRDefault="00630C39" w:rsidP="00630C39">
            <w:pPr>
              <w:jc w:val="right"/>
              <w:rPr>
                <w:color w:val="000000"/>
                <w:sz w:val="15"/>
                <w:szCs w:val="15"/>
              </w:rPr>
            </w:pPr>
            <w:r w:rsidRPr="00872D7E">
              <w:rPr>
                <w:sz w:val="15"/>
                <w:szCs w:val="15"/>
              </w:rPr>
              <w:t>-</w:t>
            </w:r>
          </w:p>
        </w:tc>
      </w:tr>
      <w:tr w:rsidR="00630C39" w:rsidRPr="00872D7E" w14:paraId="06EAE44F" w14:textId="77777777" w:rsidTr="00630C39">
        <w:trPr>
          <w:trHeight w:val="113"/>
        </w:trPr>
        <w:tc>
          <w:tcPr>
            <w:tcW w:w="2407" w:type="dxa"/>
            <w:vAlign w:val="bottom"/>
            <w:hideMark/>
          </w:tcPr>
          <w:p w14:paraId="5443CD8A" w14:textId="77777777" w:rsidR="00630C39" w:rsidRPr="00872D7E" w:rsidRDefault="00630C39" w:rsidP="00630C39">
            <w:pPr>
              <w:rPr>
                <w:color w:val="000000"/>
                <w:sz w:val="15"/>
                <w:szCs w:val="15"/>
              </w:rPr>
            </w:pPr>
            <w:r w:rsidRPr="00872D7E">
              <w:rPr>
                <w:color w:val="000000"/>
                <w:sz w:val="15"/>
                <w:szCs w:val="15"/>
              </w:rPr>
              <w:t>Gerçeğe Uygun Değer Farkı Kar Zarara Yansıtılan Finansal Yükümlülükler</w:t>
            </w:r>
          </w:p>
        </w:tc>
        <w:tc>
          <w:tcPr>
            <w:tcW w:w="1264" w:type="dxa"/>
            <w:vAlign w:val="bottom"/>
          </w:tcPr>
          <w:p w14:paraId="48311A13" w14:textId="4531CA48"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1EC216CF" w14:textId="3F381033"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16F1B6C1" w14:textId="73181DB0"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51FCBC64" w14:textId="1E4883CB"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67D41D98" w14:textId="6C758096"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4F80452E" w14:textId="1DFD490F" w:rsidR="00630C39" w:rsidRPr="00872D7E" w:rsidRDefault="00630C39" w:rsidP="00630C39">
            <w:pPr>
              <w:jc w:val="right"/>
              <w:rPr>
                <w:color w:val="000000"/>
                <w:sz w:val="15"/>
                <w:szCs w:val="15"/>
              </w:rPr>
            </w:pPr>
            <w:r w:rsidRPr="00872D7E">
              <w:rPr>
                <w:sz w:val="15"/>
                <w:szCs w:val="15"/>
              </w:rPr>
              <w:t>-</w:t>
            </w:r>
          </w:p>
        </w:tc>
      </w:tr>
      <w:tr w:rsidR="00630C39" w:rsidRPr="00872D7E" w14:paraId="0F2C6FEA" w14:textId="77777777" w:rsidTr="00630C39">
        <w:trPr>
          <w:trHeight w:val="113"/>
        </w:trPr>
        <w:tc>
          <w:tcPr>
            <w:tcW w:w="2407" w:type="dxa"/>
            <w:vAlign w:val="bottom"/>
            <w:hideMark/>
          </w:tcPr>
          <w:p w14:paraId="7C456211" w14:textId="77777777" w:rsidR="00630C39" w:rsidRPr="00872D7E" w:rsidRDefault="00630C39" w:rsidP="00630C39">
            <w:pPr>
              <w:rPr>
                <w:color w:val="000000"/>
                <w:sz w:val="15"/>
                <w:szCs w:val="15"/>
              </w:rPr>
            </w:pPr>
            <w:r w:rsidRPr="00872D7E">
              <w:rPr>
                <w:color w:val="000000"/>
                <w:sz w:val="15"/>
                <w:szCs w:val="15"/>
              </w:rPr>
              <w:t>Türev Finansal Yükümlülükler</w:t>
            </w:r>
          </w:p>
        </w:tc>
        <w:tc>
          <w:tcPr>
            <w:tcW w:w="1264" w:type="dxa"/>
            <w:vAlign w:val="bottom"/>
          </w:tcPr>
          <w:p w14:paraId="0CD02F4C" w14:textId="2A954207" w:rsidR="00630C39" w:rsidRPr="00872D7E" w:rsidRDefault="00630C39" w:rsidP="00630C39">
            <w:pPr>
              <w:jc w:val="right"/>
              <w:rPr>
                <w:color w:val="000000"/>
                <w:sz w:val="15"/>
                <w:szCs w:val="15"/>
              </w:rPr>
            </w:pPr>
            <w:r w:rsidRPr="00872D7E">
              <w:rPr>
                <w:sz w:val="15"/>
                <w:szCs w:val="15"/>
              </w:rPr>
              <w:t>26.146</w:t>
            </w:r>
          </w:p>
        </w:tc>
        <w:tc>
          <w:tcPr>
            <w:tcW w:w="1105" w:type="dxa"/>
            <w:vAlign w:val="bottom"/>
          </w:tcPr>
          <w:p w14:paraId="29B339AC" w14:textId="5CBB7258"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5BB844C3" w14:textId="1244D2C1"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4732DF68" w14:textId="7A7F2814"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05B16836" w14:textId="34AB696A"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01F7816A" w14:textId="72D28FF0" w:rsidR="00630C39" w:rsidRPr="00872D7E" w:rsidRDefault="00630C39" w:rsidP="00630C39">
            <w:pPr>
              <w:jc w:val="right"/>
              <w:rPr>
                <w:color w:val="000000"/>
                <w:sz w:val="15"/>
                <w:szCs w:val="15"/>
              </w:rPr>
            </w:pPr>
            <w:r w:rsidRPr="00872D7E">
              <w:rPr>
                <w:sz w:val="15"/>
                <w:szCs w:val="15"/>
              </w:rPr>
              <w:t>26.146</w:t>
            </w:r>
          </w:p>
        </w:tc>
      </w:tr>
      <w:tr w:rsidR="00630C39" w:rsidRPr="00872D7E" w14:paraId="2DEDA6D2" w14:textId="77777777" w:rsidTr="00630C39">
        <w:trPr>
          <w:trHeight w:val="113"/>
        </w:trPr>
        <w:tc>
          <w:tcPr>
            <w:tcW w:w="2407" w:type="dxa"/>
            <w:vAlign w:val="bottom"/>
            <w:hideMark/>
          </w:tcPr>
          <w:p w14:paraId="36CE2486" w14:textId="77777777" w:rsidR="00630C39" w:rsidRPr="00872D7E" w:rsidRDefault="00630C39" w:rsidP="00630C39">
            <w:pPr>
              <w:rPr>
                <w:color w:val="000000"/>
                <w:sz w:val="15"/>
                <w:szCs w:val="15"/>
              </w:rPr>
            </w:pPr>
            <w:r w:rsidRPr="00872D7E">
              <w:rPr>
                <w:color w:val="000000"/>
                <w:sz w:val="15"/>
                <w:szCs w:val="15"/>
              </w:rPr>
              <w:t>Kiralama İşlemlerinden Yükümlülükler</w:t>
            </w:r>
          </w:p>
        </w:tc>
        <w:tc>
          <w:tcPr>
            <w:tcW w:w="1264" w:type="dxa"/>
            <w:vAlign w:val="bottom"/>
          </w:tcPr>
          <w:p w14:paraId="1D5C0239" w14:textId="0A752719" w:rsidR="00630C39" w:rsidRPr="00872D7E" w:rsidRDefault="00630C39" w:rsidP="00630C39">
            <w:pPr>
              <w:jc w:val="right"/>
              <w:rPr>
                <w:color w:val="000000"/>
                <w:sz w:val="15"/>
                <w:szCs w:val="15"/>
              </w:rPr>
            </w:pPr>
            <w:r w:rsidRPr="00872D7E">
              <w:rPr>
                <w:sz w:val="15"/>
                <w:szCs w:val="15"/>
              </w:rPr>
              <w:t>118.104</w:t>
            </w:r>
          </w:p>
        </w:tc>
        <w:tc>
          <w:tcPr>
            <w:tcW w:w="1105" w:type="dxa"/>
            <w:vAlign w:val="bottom"/>
          </w:tcPr>
          <w:p w14:paraId="6DCDFA81" w14:textId="2F7A955A"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121010BD" w14:textId="4E9CB59B"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0D5EEF77" w14:textId="478EC773"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0E1562AE" w14:textId="7FDBC08C"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65775465" w14:textId="5FDC7E9D" w:rsidR="00630C39" w:rsidRPr="00872D7E" w:rsidRDefault="00630C39" w:rsidP="00630C39">
            <w:pPr>
              <w:jc w:val="right"/>
              <w:rPr>
                <w:color w:val="000000"/>
                <w:sz w:val="15"/>
                <w:szCs w:val="15"/>
              </w:rPr>
            </w:pPr>
            <w:r w:rsidRPr="00872D7E">
              <w:rPr>
                <w:sz w:val="15"/>
                <w:szCs w:val="15"/>
              </w:rPr>
              <w:t>118.104</w:t>
            </w:r>
          </w:p>
        </w:tc>
      </w:tr>
      <w:tr w:rsidR="00630C39" w:rsidRPr="00872D7E" w14:paraId="6BD87689" w14:textId="77777777" w:rsidTr="00630C39">
        <w:trPr>
          <w:trHeight w:val="113"/>
        </w:trPr>
        <w:tc>
          <w:tcPr>
            <w:tcW w:w="2407" w:type="dxa"/>
            <w:vAlign w:val="bottom"/>
            <w:hideMark/>
          </w:tcPr>
          <w:p w14:paraId="112590FF" w14:textId="77777777" w:rsidR="00630C39" w:rsidRPr="00872D7E" w:rsidRDefault="00630C39" w:rsidP="00630C39">
            <w:pPr>
              <w:rPr>
                <w:color w:val="000000"/>
                <w:sz w:val="15"/>
                <w:szCs w:val="15"/>
              </w:rPr>
            </w:pPr>
            <w:r w:rsidRPr="00872D7E">
              <w:rPr>
                <w:color w:val="000000"/>
                <w:sz w:val="15"/>
                <w:szCs w:val="15"/>
              </w:rPr>
              <w:t>Karşılıklar</w:t>
            </w:r>
          </w:p>
        </w:tc>
        <w:tc>
          <w:tcPr>
            <w:tcW w:w="1264" w:type="dxa"/>
            <w:vAlign w:val="bottom"/>
          </w:tcPr>
          <w:p w14:paraId="69383DC8" w14:textId="6DA78716" w:rsidR="00630C39" w:rsidRPr="00872D7E" w:rsidRDefault="00630C39" w:rsidP="00630C39">
            <w:pPr>
              <w:jc w:val="right"/>
              <w:rPr>
                <w:color w:val="000000"/>
                <w:sz w:val="15"/>
                <w:szCs w:val="15"/>
              </w:rPr>
            </w:pPr>
            <w:r w:rsidRPr="00872D7E">
              <w:rPr>
                <w:sz w:val="15"/>
                <w:szCs w:val="15"/>
              </w:rPr>
              <w:t>399.071</w:t>
            </w:r>
          </w:p>
        </w:tc>
        <w:tc>
          <w:tcPr>
            <w:tcW w:w="1105" w:type="dxa"/>
            <w:vAlign w:val="bottom"/>
          </w:tcPr>
          <w:p w14:paraId="2DA715DF" w14:textId="59DB1DBD"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7DFEDB48" w14:textId="09A565F6"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352F601A" w14:textId="60C52F99"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7586A487" w14:textId="665650F7"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4962BC23" w14:textId="280D92C1" w:rsidR="00630C39" w:rsidRPr="00872D7E" w:rsidRDefault="00630C39" w:rsidP="00630C39">
            <w:pPr>
              <w:jc w:val="right"/>
              <w:rPr>
                <w:color w:val="000000"/>
                <w:sz w:val="15"/>
                <w:szCs w:val="15"/>
              </w:rPr>
            </w:pPr>
            <w:r w:rsidRPr="00872D7E">
              <w:rPr>
                <w:sz w:val="15"/>
                <w:szCs w:val="15"/>
              </w:rPr>
              <w:t>399.071</w:t>
            </w:r>
          </w:p>
        </w:tc>
      </w:tr>
      <w:tr w:rsidR="00630C39" w:rsidRPr="00872D7E" w14:paraId="346A23E8" w14:textId="77777777" w:rsidTr="00630C39">
        <w:trPr>
          <w:trHeight w:val="113"/>
        </w:trPr>
        <w:tc>
          <w:tcPr>
            <w:tcW w:w="2407" w:type="dxa"/>
            <w:vAlign w:val="bottom"/>
            <w:hideMark/>
          </w:tcPr>
          <w:p w14:paraId="6A484E38" w14:textId="77777777" w:rsidR="00630C39" w:rsidRPr="00872D7E" w:rsidRDefault="00630C39" w:rsidP="00630C39">
            <w:pPr>
              <w:rPr>
                <w:color w:val="000000"/>
                <w:sz w:val="15"/>
                <w:szCs w:val="15"/>
              </w:rPr>
            </w:pPr>
            <w:r w:rsidRPr="00872D7E">
              <w:rPr>
                <w:color w:val="000000"/>
                <w:sz w:val="15"/>
                <w:szCs w:val="15"/>
              </w:rPr>
              <w:t>Cari Vergi Borcu</w:t>
            </w:r>
          </w:p>
        </w:tc>
        <w:tc>
          <w:tcPr>
            <w:tcW w:w="1264" w:type="dxa"/>
            <w:vAlign w:val="bottom"/>
          </w:tcPr>
          <w:p w14:paraId="72ED9C46" w14:textId="0DC66697" w:rsidR="00630C39" w:rsidRPr="00872D7E" w:rsidRDefault="00630C39" w:rsidP="00630C39">
            <w:pPr>
              <w:jc w:val="right"/>
              <w:rPr>
                <w:color w:val="000000"/>
                <w:sz w:val="15"/>
                <w:szCs w:val="15"/>
              </w:rPr>
            </w:pPr>
            <w:r w:rsidRPr="00872D7E">
              <w:rPr>
                <w:sz w:val="15"/>
                <w:szCs w:val="15"/>
              </w:rPr>
              <w:t>299.527</w:t>
            </w:r>
          </w:p>
        </w:tc>
        <w:tc>
          <w:tcPr>
            <w:tcW w:w="1105" w:type="dxa"/>
            <w:vAlign w:val="bottom"/>
          </w:tcPr>
          <w:p w14:paraId="209112C8" w14:textId="18FF8E1D"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788A451D" w14:textId="3A01168B"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6B8A6E28" w14:textId="35D82CB8"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38B0E1DA" w14:textId="2C906DB0"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74D542A2" w14:textId="381E77BD" w:rsidR="00630C39" w:rsidRPr="00872D7E" w:rsidRDefault="00630C39" w:rsidP="00630C39">
            <w:pPr>
              <w:jc w:val="right"/>
              <w:rPr>
                <w:color w:val="000000"/>
                <w:sz w:val="15"/>
                <w:szCs w:val="15"/>
              </w:rPr>
            </w:pPr>
            <w:r w:rsidRPr="00872D7E">
              <w:rPr>
                <w:sz w:val="15"/>
                <w:szCs w:val="15"/>
              </w:rPr>
              <w:t>299.527</w:t>
            </w:r>
          </w:p>
        </w:tc>
      </w:tr>
      <w:tr w:rsidR="00630C39" w:rsidRPr="00872D7E" w14:paraId="6C95A8B8" w14:textId="77777777" w:rsidTr="00630C39">
        <w:trPr>
          <w:trHeight w:val="113"/>
        </w:trPr>
        <w:tc>
          <w:tcPr>
            <w:tcW w:w="2407" w:type="dxa"/>
            <w:vAlign w:val="bottom"/>
            <w:hideMark/>
          </w:tcPr>
          <w:p w14:paraId="66F05A37" w14:textId="77777777" w:rsidR="00630C39" w:rsidRPr="00872D7E" w:rsidRDefault="00630C39" w:rsidP="00630C39">
            <w:pPr>
              <w:rPr>
                <w:color w:val="000000"/>
                <w:sz w:val="15"/>
                <w:szCs w:val="15"/>
              </w:rPr>
            </w:pPr>
            <w:r w:rsidRPr="00872D7E">
              <w:rPr>
                <w:color w:val="000000"/>
                <w:sz w:val="15"/>
                <w:szCs w:val="15"/>
              </w:rPr>
              <w:t>Ertelenmiş Vergi Borcu</w:t>
            </w:r>
          </w:p>
        </w:tc>
        <w:tc>
          <w:tcPr>
            <w:tcW w:w="1264" w:type="dxa"/>
            <w:vAlign w:val="bottom"/>
          </w:tcPr>
          <w:p w14:paraId="2DC1CF24" w14:textId="6A949FFE"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7F3465C6" w14:textId="1600D075"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18316AFF" w14:textId="0481B292"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3AE27B19" w14:textId="32C16A4A"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1D994C58" w14:textId="37602582"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1D1292C7" w14:textId="4FA834F9" w:rsidR="00630C39" w:rsidRPr="00872D7E" w:rsidRDefault="00630C39" w:rsidP="00630C39">
            <w:pPr>
              <w:jc w:val="right"/>
              <w:rPr>
                <w:color w:val="000000"/>
                <w:sz w:val="15"/>
                <w:szCs w:val="15"/>
              </w:rPr>
            </w:pPr>
            <w:r w:rsidRPr="00872D7E">
              <w:rPr>
                <w:sz w:val="15"/>
                <w:szCs w:val="15"/>
              </w:rPr>
              <w:t>-</w:t>
            </w:r>
          </w:p>
        </w:tc>
      </w:tr>
      <w:tr w:rsidR="00630C39" w:rsidRPr="00872D7E" w14:paraId="6BD11226" w14:textId="77777777" w:rsidTr="00630C39">
        <w:trPr>
          <w:trHeight w:val="113"/>
        </w:trPr>
        <w:tc>
          <w:tcPr>
            <w:tcW w:w="2407" w:type="dxa"/>
            <w:vAlign w:val="bottom"/>
            <w:hideMark/>
          </w:tcPr>
          <w:p w14:paraId="44767F2C" w14:textId="77777777" w:rsidR="00630C39" w:rsidRPr="00872D7E" w:rsidRDefault="00630C39" w:rsidP="00630C39">
            <w:pPr>
              <w:rPr>
                <w:color w:val="000000"/>
                <w:sz w:val="15"/>
                <w:szCs w:val="15"/>
              </w:rPr>
            </w:pPr>
            <w:r w:rsidRPr="00872D7E">
              <w:rPr>
                <w:color w:val="000000"/>
                <w:sz w:val="15"/>
                <w:szCs w:val="15"/>
              </w:rPr>
              <w:t>Satış Amaçlı Elde Tutulan ve Durdurulan Faaliyetlere İlişkin Duran Varlık Borçları (Net)</w:t>
            </w:r>
          </w:p>
        </w:tc>
        <w:tc>
          <w:tcPr>
            <w:tcW w:w="1264" w:type="dxa"/>
            <w:vAlign w:val="bottom"/>
          </w:tcPr>
          <w:p w14:paraId="10F99D38" w14:textId="74DCC173"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531125D7" w14:textId="2BBDC980"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53E5814C" w14:textId="1FFEDAB0"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269E126F" w14:textId="364D6A14"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1935ED4A" w14:textId="297A9356"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44DCF5DE" w14:textId="00678063" w:rsidR="00630C39" w:rsidRPr="00872D7E" w:rsidRDefault="00630C39" w:rsidP="00630C39">
            <w:pPr>
              <w:jc w:val="right"/>
              <w:rPr>
                <w:color w:val="000000"/>
                <w:sz w:val="15"/>
                <w:szCs w:val="15"/>
              </w:rPr>
            </w:pPr>
            <w:r w:rsidRPr="00872D7E">
              <w:rPr>
                <w:sz w:val="15"/>
                <w:szCs w:val="15"/>
              </w:rPr>
              <w:t>-</w:t>
            </w:r>
          </w:p>
        </w:tc>
      </w:tr>
      <w:tr w:rsidR="00630C39" w:rsidRPr="00872D7E" w14:paraId="53FE4206" w14:textId="77777777" w:rsidTr="00630C39">
        <w:trPr>
          <w:trHeight w:val="113"/>
        </w:trPr>
        <w:tc>
          <w:tcPr>
            <w:tcW w:w="2407" w:type="dxa"/>
            <w:vAlign w:val="bottom"/>
            <w:hideMark/>
          </w:tcPr>
          <w:p w14:paraId="4EB2271A" w14:textId="77777777" w:rsidR="00630C39" w:rsidRPr="00872D7E" w:rsidRDefault="00630C39" w:rsidP="00630C39">
            <w:pPr>
              <w:rPr>
                <w:color w:val="000000"/>
                <w:sz w:val="15"/>
                <w:szCs w:val="15"/>
              </w:rPr>
            </w:pPr>
            <w:r w:rsidRPr="00872D7E">
              <w:rPr>
                <w:color w:val="000000"/>
                <w:sz w:val="15"/>
                <w:szCs w:val="15"/>
              </w:rPr>
              <w:t>Sermaye Benzeri Borçlanma Araçları</w:t>
            </w:r>
          </w:p>
        </w:tc>
        <w:tc>
          <w:tcPr>
            <w:tcW w:w="1264" w:type="dxa"/>
            <w:vAlign w:val="bottom"/>
          </w:tcPr>
          <w:p w14:paraId="2392EE7B" w14:textId="425546F6" w:rsidR="00630C39" w:rsidRPr="00872D7E" w:rsidRDefault="00630C39" w:rsidP="00630C39">
            <w:pPr>
              <w:jc w:val="right"/>
              <w:rPr>
                <w:color w:val="000000"/>
                <w:sz w:val="15"/>
                <w:szCs w:val="15"/>
              </w:rPr>
            </w:pPr>
            <w:r w:rsidRPr="00872D7E">
              <w:rPr>
                <w:sz w:val="15"/>
                <w:szCs w:val="15"/>
              </w:rPr>
              <w:t>-</w:t>
            </w:r>
          </w:p>
        </w:tc>
        <w:tc>
          <w:tcPr>
            <w:tcW w:w="1105" w:type="dxa"/>
            <w:vAlign w:val="bottom"/>
          </w:tcPr>
          <w:p w14:paraId="56D3BCF3" w14:textId="20C515DE" w:rsidR="00630C39" w:rsidRPr="00872D7E" w:rsidRDefault="00630C39" w:rsidP="00630C39">
            <w:pPr>
              <w:jc w:val="right"/>
              <w:rPr>
                <w:color w:val="000000"/>
                <w:sz w:val="15"/>
                <w:szCs w:val="15"/>
              </w:rPr>
            </w:pPr>
            <w:r w:rsidRPr="00872D7E">
              <w:rPr>
                <w:sz w:val="15"/>
                <w:szCs w:val="15"/>
              </w:rPr>
              <w:t>-</w:t>
            </w:r>
          </w:p>
        </w:tc>
        <w:tc>
          <w:tcPr>
            <w:tcW w:w="1134" w:type="dxa"/>
            <w:vAlign w:val="bottom"/>
          </w:tcPr>
          <w:p w14:paraId="14048F12" w14:textId="3745AA98" w:rsidR="00630C39" w:rsidRPr="00872D7E" w:rsidRDefault="00630C39" w:rsidP="00630C39">
            <w:pPr>
              <w:jc w:val="right"/>
              <w:rPr>
                <w:color w:val="000000"/>
                <w:sz w:val="15"/>
                <w:szCs w:val="15"/>
              </w:rPr>
            </w:pPr>
            <w:r w:rsidRPr="00872D7E">
              <w:rPr>
                <w:sz w:val="15"/>
                <w:szCs w:val="15"/>
              </w:rPr>
              <w:t>-</w:t>
            </w:r>
          </w:p>
        </w:tc>
        <w:tc>
          <w:tcPr>
            <w:tcW w:w="1276" w:type="dxa"/>
            <w:vAlign w:val="bottom"/>
          </w:tcPr>
          <w:p w14:paraId="0DF16262" w14:textId="6B296779" w:rsidR="00630C39" w:rsidRPr="00872D7E" w:rsidRDefault="00630C39" w:rsidP="00630C39">
            <w:pPr>
              <w:jc w:val="right"/>
              <w:rPr>
                <w:color w:val="000000"/>
                <w:sz w:val="15"/>
                <w:szCs w:val="15"/>
              </w:rPr>
            </w:pPr>
            <w:r w:rsidRPr="00872D7E">
              <w:rPr>
                <w:sz w:val="15"/>
                <w:szCs w:val="15"/>
              </w:rPr>
              <w:t>-</w:t>
            </w:r>
          </w:p>
        </w:tc>
        <w:tc>
          <w:tcPr>
            <w:tcW w:w="1048" w:type="dxa"/>
            <w:vAlign w:val="bottom"/>
          </w:tcPr>
          <w:p w14:paraId="00580FF7" w14:textId="1ED3740F" w:rsidR="00630C39" w:rsidRPr="00872D7E" w:rsidRDefault="00630C39" w:rsidP="00630C39">
            <w:pPr>
              <w:jc w:val="right"/>
              <w:rPr>
                <w:color w:val="000000"/>
                <w:sz w:val="15"/>
                <w:szCs w:val="15"/>
              </w:rPr>
            </w:pPr>
            <w:r w:rsidRPr="00872D7E">
              <w:rPr>
                <w:sz w:val="15"/>
                <w:szCs w:val="15"/>
              </w:rPr>
              <w:t>-</w:t>
            </w:r>
          </w:p>
        </w:tc>
        <w:tc>
          <w:tcPr>
            <w:tcW w:w="1426" w:type="dxa"/>
            <w:vAlign w:val="bottom"/>
          </w:tcPr>
          <w:p w14:paraId="4D691959" w14:textId="074AD035" w:rsidR="00630C39" w:rsidRPr="00872D7E" w:rsidRDefault="00630C39" w:rsidP="00630C39">
            <w:pPr>
              <w:jc w:val="right"/>
              <w:rPr>
                <w:color w:val="000000"/>
                <w:sz w:val="15"/>
                <w:szCs w:val="15"/>
              </w:rPr>
            </w:pPr>
            <w:r w:rsidRPr="00872D7E">
              <w:rPr>
                <w:sz w:val="15"/>
                <w:szCs w:val="15"/>
              </w:rPr>
              <w:t>-</w:t>
            </w:r>
          </w:p>
        </w:tc>
      </w:tr>
      <w:tr w:rsidR="00630C39" w:rsidRPr="00872D7E" w14:paraId="782162D2" w14:textId="77777777" w:rsidTr="00630C39">
        <w:trPr>
          <w:trHeight w:val="113"/>
        </w:trPr>
        <w:tc>
          <w:tcPr>
            <w:tcW w:w="2407" w:type="dxa"/>
            <w:vAlign w:val="bottom"/>
            <w:hideMark/>
          </w:tcPr>
          <w:p w14:paraId="5C37CE79" w14:textId="77777777" w:rsidR="00630C39" w:rsidRPr="00872D7E" w:rsidRDefault="00630C39" w:rsidP="00C14F58">
            <w:pPr>
              <w:rPr>
                <w:color w:val="000000"/>
                <w:sz w:val="15"/>
                <w:szCs w:val="15"/>
              </w:rPr>
            </w:pPr>
            <w:r w:rsidRPr="00872D7E">
              <w:rPr>
                <w:color w:val="000000"/>
                <w:sz w:val="15"/>
                <w:szCs w:val="15"/>
              </w:rPr>
              <w:t>Diğer Yükümlülükler</w:t>
            </w:r>
          </w:p>
        </w:tc>
        <w:tc>
          <w:tcPr>
            <w:tcW w:w="1264" w:type="dxa"/>
            <w:vAlign w:val="bottom"/>
          </w:tcPr>
          <w:p w14:paraId="63F8E02E" w14:textId="29DFFDFE" w:rsidR="00630C39" w:rsidRPr="00872D7E" w:rsidRDefault="00630C39" w:rsidP="00C14F58">
            <w:pPr>
              <w:jc w:val="right"/>
              <w:rPr>
                <w:color w:val="000000"/>
                <w:sz w:val="15"/>
                <w:szCs w:val="15"/>
              </w:rPr>
            </w:pPr>
            <w:r w:rsidRPr="00872D7E">
              <w:rPr>
                <w:sz w:val="15"/>
                <w:szCs w:val="15"/>
              </w:rPr>
              <w:t>222.639</w:t>
            </w:r>
          </w:p>
        </w:tc>
        <w:tc>
          <w:tcPr>
            <w:tcW w:w="1105" w:type="dxa"/>
            <w:vAlign w:val="bottom"/>
          </w:tcPr>
          <w:p w14:paraId="5DBD37F3" w14:textId="096F19B1" w:rsidR="00630C39" w:rsidRPr="00872D7E" w:rsidRDefault="00630C39" w:rsidP="00C14F58">
            <w:pPr>
              <w:jc w:val="right"/>
              <w:rPr>
                <w:color w:val="000000"/>
                <w:sz w:val="15"/>
                <w:szCs w:val="15"/>
              </w:rPr>
            </w:pPr>
            <w:r w:rsidRPr="00872D7E">
              <w:rPr>
                <w:sz w:val="15"/>
                <w:szCs w:val="15"/>
              </w:rPr>
              <w:t>-</w:t>
            </w:r>
          </w:p>
        </w:tc>
        <w:tc>
          <w:tcPr>
            <w:tcW w:w="1134" w:type="dxa"/>
            <w:vAlign w:val="bottom"/>
          </w:tcPr>
          <w:p w14:paraId="3F184D0E" w14:textId="5D53F3B3" w:rsidR="00630C39" w:rsidRPr="00872D7E" w:rsidRDefault="00630C39" w:rsidP="00C14F58">
            <w:pPr>
              <w:jc w:val="right"/>
              <w:rPr>
                <w:color w:val="000000"/>
                <w:sz w:val="15"/>
                <w:szCs w:val="15"/>
              </w:rPr>
            </w:pPr>
            <w:r w:rsidRPr="00872D7E">
              <w:rPr>
                <w:sz w:val="15"/>
                <w:szCs w:val="15"/>
              </w:rPr>
              <w:t>-</w:t>
            </w:r>
          </w:p>
        </w:tc>
        <w:tc>
          <w:tcPr>
            <w:tcW w:w="1276" w:type="dxa"/>
            <w:vAlign w:val="bottom"/>
          </w:tcPr>
          <w:p w14:paraId="2250DB85" w14:textId="6C89E522" w:rsidR="00630C39" w:rsidRPr="00872D7E" w:rsidRDefault="00630C39" w:rsidP="00C14F58">
            <w:pPr>
              <w:jc w:val="right"/>
              <w:rPr>
                <w:color w:val="000000"/>
                <w:sz w:val="15"/>
                <w:szCs w:val="15"/>
              </w:rPr>
            </w:pPr>
            <w:r w:rsidRPr="00872D7E">
              <w:rPr>
                <w:sz w:val="15"/>
                <w:szCs w:val="15"/>
              </w:rPr>
              <w:t>-</w:t>
            </w:r>
          </w:p>
        </w:tc>
        <w:tc>
          <w:tcPr>
            <w:tcW w:w="1048" w:type="dxa"/>
            <w:vAlign w:val="bottom"/>
          </w:tcPr>
          <w:p w14:paraId="13023118" w14:textId="010AE4CE" w:rsidR="00630C39" w:rsidRPr="00872D7E" w:rsidRDefault="00630C39" w:rsidP="00C14F58">
            <w:pPr>
              <w:jc w:val="right"/>
              <w:rPr>
                <w:color w:val="000000"/>
                <w:sz w:val="15"/>
                <w:szCs w:val="15"/>
              </w:rPr>
            </w:pPr>
            <w:r w:rsidRPr="00872D7E">
              <w:rPr>
                <w:sz w:val="15"/>
                <w:szCs w:val="15"/>
              </w:rPr>
              <w:t>-</w:t>
            </w:r>
          </w:p>
        </w:tc>
        <w:tc>
          <w:tcPr>
            <w:tcW w:w="1426" w:type="dxa"/>
            <w:vAlign w:val="bottom"/>
          </w:tcPr>
          <w:p w14:paraId="56222CE6" w14:textId="66D6669F" w:rsidR="00630C39" w:rsidRPr="00872D7E" w:rsidRDefault="00630C39" w:rsidP="00C14F58">
            <w:pPr>
              <w:jc w:val="right"/>
              <w:rPr>
                <w:color w:val="000000"/>
                <w:sz w:val="15"/>
                <w:szCs w:val="15"/>
              </w:rPr>
            </w:pPr>
            <w:r w:rsidRPr="00872D7E">
              <w:rPr>
                <w:sz w:val="15"/>
                <w:szCs w:val="15"/>
              </w:rPr>
              <w:t>222.639</w:t>
            </w:r>
          </w:p>
        </w:tc>
      </w:tr>
      <w:tr w:rsidR="00630C39" w:rsidRPr="00872D7E" w14:paraId="6F2F631F" w14:textId="77777777" w:rsidTr="00987E11">
        <w:trPr>
          <w:trHeight w:val="113"/>
        </w:trPr>
        <w:tc>
          <w:tcPr>
            <w:tcW w:w="2407" w:type="dxa"/>
            <w:tcBorders>
              <w:top w:val="nil"/>
              <w:left w:val="nil"/>
              <w:bottom w:val="single" w:sz="4" w:space="0" w:color="auto"/>
              <w:right w:val="nil"/>
            </w:tcBorders>
            <w:vAlign w:val="bottom"/>
            <w:hideMark/>
          </w:tcPr>
          <w:p w14:paraId="33D90861" w14:textId="77777777" w:rsidR="00630C39" w:rsidRPr="00872D7E" w:rsidRDefault="00630C39" w:rsidP="00C14F58">
            <w:pPr>
              <w:rPr>
                <w:sz w:val="15"/>
                <w:szCs w:val="15"/>
              </w:rPr>
            </w:pPr>
            <w:r w:rsidRPr="00872D7E">
              <w:rPr>
                <w:sz w:val="15"/>
                <w:szCs w:val="15"/>
              </w:rPr>
              <w:t>Özkaynaklar</w:t>
            </w:r>
          </w:p>
        </w:tc>
        <w:tc>
          <w:tcPr>
            <w:tcW w:w="1264" w:type="dxa"/>
            <w:tcBorders>
              <w:top w:val="nil"/>
              <w:left w:val="nil"/>
              <w:bottom w:val="single" w:sz="4" w:space="0" w:color="auto"/>
              <w:right w:val="nil"/>
            </w:tcBorders>
            <w:vAlign w:val="bottom"/>
          </w:tcPr>
          <w:p w14:paraId="28232EE8" w14:textId="109E2179" w:rsidR="00630C39" w:rsidRPr="00872D7E" w:rsidRDefault="00630C39" w:rsidP="00C14F58">
            <w:pPr>
              <w:jc w:val="right"/>
              <w:rPr>
                <w:color w:val="000000"/>
                <w:sz w:val="15"/>
                <w:szCs w:val="15"/>
              </w:rPr>
            </w:pPr>
            <w:r w:rsidRPr="00872D7E">
              <w:rPr>
                <w:sz w:val="15"/>
                <w:szCs w:val="15"/>
              </w:rPr>
              <w:t>7.342.090</w:t>
            </w:r>
          </w:p>
        </w:tc>
        <w:tc>
          <w:tcPr>
            <w:tcW w:w="1105" w:type="dxa"/>
            <w:tcBorders>
              <w:top w:val="nil"/>
              <w:left w:val="nil"/>
              <w:bottom w:val="single" w:sz="4" w:space="0" w:color="auto"/>
              <w:right w:val="nil"/>
            </w:tcBorders>
            <w:vAlign w:val="bottom"/>
          </w:tcPr>
          <w:p w14:paraId="68CB4090" w14:textId="74062BE3" w:rsidR="00630C39" w:rsidRPr="00872D7E" w:rsidRDefault="00630C39" w:rsidP="00C14F58">
            <w:pPr>
              <w:jc w:val="right"/>
              <w:rPr>
                <w:color w:val="000000"/>
                <w:sz w:val="15"/>
                <w:szCs w:val="15"/>
              </w:rPr>
            </w:pPr>
            <w:r w:rsidRPr="00872D7E">
              <w:rPr>
                <w:sz w:val="15"/>
                <w:szCs w:val="15"/>
              </w:rPr>
              <w:t>-</w:t>
            </w:r>
          </w:p>
        </w:tc>
        <w:tc>
          <w:tcPr>
            <w:tcW w:w="1134" w:type="dxa"/>
            <w:tcBorders>
              <w:top w:val="nil"/>
              <w:left w:val="nil"/>
              <w:bottom w:val="single" w:sz="4" w:space="0" w:color="auto"/>
              <w:right w:val="nil"/>
            </w:tcBorders>
            <w:vAlign w:val="bottom"/>
          </w:tcPr>
          <w:p w14:paraId="5878BCB0" w14:textId="311EEC3B" w:rsidR="00630C39" w:rsidRPr="00872D7E" w:rsidRDefault="00630C39" w:rsidP="00C14F58">
            <w:pPr>
              <w:jc w:val="right"/>
              <w:rPr>
                <w:color w:val="000000"/>
                <w:sz w:val="15"/>
                <w:szCs w:val="15"/>
              </w:rPr>
            </w:pPr>
            <w:r w:rsidRPr="00872D7E">
              <w:rPr>
                <w:sz w:val="15"/>
                <w:szCs w:val="15"/>
              </w:rPr>
              <w:t>-</w:t>
            </w:r>
          </w:p>
        </w:tc>
        <w:tc>
          <w:tcPr>
            <w:tcW w:w="1276" w:type="dxa"/>
            <w:tcBorders>
              <w:top w:val="nil"/>
              <w:left w:val="nil"/>
              <w:bottom w:val="single" w:sz="4" w:space="0" w:color="auto"/>
              <w:right w:val="nil"/>
            </w:tcBorders>
            <w:vAlign w:val="bottom"/>
          </w:tcPr>
          <w:p w14:paraId="2AEB86C1" w14:textId="238B4A90" w:rsidR="00630C39" w:rsidRPr="00872D7E" w:rsidRDefault="00630C39" w:rsidP="00C14F58">
            <w:pPr>
              <w:jc w:val="right"/>
              <w:rPr>
                <w:color w:val="000000"/>
                <w:sz w:val="15"/>
                <w:szCs w:val="15"/>
              </w:rPr>
            </w:pPr>
            <w:r w:rsidRPr="00872D7E">
              <w:rPr>
                <w:sz w:val="15"/>
                <w:szCs w:val="15"/>
              </w:rPr>
              <w:t>-</w:t>
            </w:r>
          </w:p>
        </w:tc>
        <w:tc>
          <w:tcPr>
            <w:tcW w:w="1048" w:type="dxa"/>
            <w:tcBorders>
              <w:top w:val="nil"/>
              <w:left w:val="nil"/>
              <w:bottom w:val="single" w:sz="4" w:space="0" w:color="auto"/>
              <w:right w:val="nil"/>
            </w:tcBorders>
            <w:vAlign w:val="bottom"/>
          </w:tcPr>
          <w:p w14:paraId="289D5349" w14:textId="01531A1E" w:rsidR="00630C39" w:rsidRPr="00872D7E" w:rsidRDefault="00630C39" w:rsidP="00C14F58">
            <w:pPr>
              <w:jc w:val="right"/>
              <w:rPr>
                <w:color w:val="000000"/>
                <w:sz w:val="15"/>
                <w:szCs w:val="15"/>
              </w:rPr>
            </w:pPr>
            <w:r w:rsidRPr="00872D7E">
              <w:rPr>
                <w:sz w:val="15"/>
                <w:szCs w:val="15"/>
              </w:rPr>
              <w:t>-</w:t>
            </w:r>
          </w:p>
        </w:tc>
        <w:tc>
          <w:tcPr>
            <w:tcW w:w="1426" w:type="dxa"/>
            <w:tcBorders>
              <w:top w:val="nil"/>
              <w:left w:val="nil"/>
              <w:bottom w:val="single" w:sz="4" w:space="0" w:color="auto"/>
              <w:right w:val="nil"/>
            </w:tcBorders>
            <w:vAlign w:val="bottom"/>
          </w:tcPr>
          <w:p w14:paraId="3690E1B3" w14:textId="4A628F96" w:rsidR="00630C39" w:rsidRPr="00872D7E" w:rsidRDefault="00630C39" w:rsidP="00C14F58">
            <w:pPr>
              <w:jc w:val="right"/>
              <w:rPr>
                <w:color w:val="000000"/>
                <w:sz w:val="15"/>
                <w:szCs w:val="15"/>
              </w:rPr>
            </w:pPr>
            <w:r w:rsidRPr="00872D7E">
              <w:rPr>
                <w:sz w:val="15"/>
                <w:szCs w:val="15"/>
              </w:rPr>
              <w:t>7.342.090</w:t>
            </w:r>
          </w:p>
        </w:tc>
      </w:tr>
      <w:tr w:rsidR="00630C39" w:rsidRPr="00872D7E" w14:paraId="7BB7BF1B" w14:textId="77777777" w:rsidTr="00987E11">
        <w:trPr>
          <w:trHeight w:val="113"/>
        </w:trPr>
        <w:tc>
          <w:tcPr>
            <w:tcW w:w="2407" w:type="dxa"/>
            <w:tcBorders>
              <w:top w:val="single" w:sz="4" w:space="0" w:color="auto"/>
              <w:left w:val="nil"/>
              <w:bottom w:val="single" w:sz="12" w:space="0" w:color="auto"/>
              <w:right w:val="nil"/>
            </w:tcBorders>
            <w:vAlign w:val="bottom"/>
            <w:hideMark/>
          </w:tcPr>
          <w:p w14:paraId="07FA86F7" w14:textId="77777777" w:rsidR="00630C39" w:rsidRPr="00872D7E" w:rsidRDefault="00630C39" w:rsidP="00C14F58">
            <w:pPr>
              <w:rPr>
                <w:b/>
                <w:sz w:val="15"/>
                <w:szCs w:val="15"/>
              </w:rPr>
            </w:pPr>
            <w:r w:rsidRPr="00872D7E">
              <w:rPr>
                <w:b/>
                <w:sz w:val="15"/>
                <w:szCs w:val="15"/>
              </w:rPr>
              <w:t>Toplam yükümlülükler</w:t>
            </w:r>
          </w:p>
        </w:tc>
        <w:tc>
          <w:tcPr>
            <w:tcW w:w="1264" w:type="dxa"/>
            <w:tcBorders>
              <w:top w:val="single" w:sz="4" w:space="0" w:color="auto"/>
              <w:left w:val="nil"/>
              <w:bottom w:val="single" w:sz="12" w:space="0" w:color="auto"/>
              <w:right w:val="nil"/>
            </w:tcBorders>
            <w:vAlign w:val="bottom"/>
          </w:tcPr>
          <w:p w14:paraId="31185805" w14:textId="14927491" w:rsidR="00630C39" w:rsidRPr="00872D7E" w:rsidRDefault="00630C39" w:rsidP="00C14F58">
            <w:pPr>
              <w:jc w:val="right"/>
              <w:rPr>
                <w:b/>
                <w:bCs/>
                <w:color w:val="000000"/>
                <w:sz w:val="15"/>
                <w:szCs w:val="15"/>
              </w:rPr>
            </w:pPr>
            <w:r w:rsidRPr="00872D7E">
              <w:rPr>
                <w:b/>
                <w:bCs/>
                <w:sz w:val="15"/>
                <w:szCs w:val="15"/>
              </w:rPr>
              <w:t>34.635.157</w:t>
            </w:r>
          </w:p>
        </w:tc>
        <w:tc>
          <w:tcPr>
            <w:tcW w:w="1105" w:type="dxa"/>
            <w:tcBorders>
              <w:top w:val="single" w:sz="4" w:space="0" w:color="auto"/>
              <w:left w:val="nil"/>
              <w:bottom w:val="single" w:sz="12" w:space="0" w:color="auto"/>
              <w:right w:val="nil"/>
            </w:tcBorders>
            <w:vAlign w:val="bottom"/>
          </w:tcPr>
          <w:p w14:paraId="0DF58AB1" w14:textId="6710A240" w:rsidR="00630C39" w:rsidRPr="00872D7E" w:rsidRDefault="00630C39" w:rsidP="00C14F58">
            <w:pPr>
              <w:jc w:val="right"/>
              <w:rPr>
                <w:b/>
                <w:bCs/>
                <w:color w:val="000000"/>
                <w:sz w:val="15"/>
                <w:szCs w:val="15"/>
              </w:rPr>
            </w:pPr>
            <w:r w:rsidRPr="00872D7E">
              <w:rPr>
                <w:b/>
                <w:bCs/>
                <w:sz w:val="15"/>
                <w:szCs w:val="15"/>
              </w:rPr>
              <w:t>-</w:t>
            </w:r>
          </w:p>
        </w:tc>
        <w:tc>
          <w:tcPr>
            <w:tcW w:w="1134" w:type="dxa"/>
            <w:tcBorders>
              <w:top w:val="single" w:sz="4" w:space="0" w:color="auto"/>
              <w:left w:val="nil"/>
              <w:bottom w:val="single" w:sz="12" w:space="0" w:color="auto"/>
              <w:right w:val="nil"/>
            </w:tcBorders>
            <w:vAlign w:val="bottom"/>
          </w:tcPr>
          <w:p w14:paraId="1FD657BC" w14:textId="5AD429F0" w:rsidR="00630C39" w:rsidRPr="00872D7E" w:rsidRDefault="00630C39" w:rsidP="00C14F58">
            <w:pPr>
              <w:jc w:val="right"/>
              <w:rPr>
                <w:b/>
                <w:bCs/>
                <w:color w:val="000000"/>
                <w:sz w:val="15"/>
                <w:szCs w:val="15"/>
              </w:rPr>
            </w:pPr>
            <w:r w:rsidRPr="00872D7E">
              <w:rPr>
                <w:b/>
                <w:bCs/>
                <w:sz w:val="15"/>
                <w:szCs w:val="15"/>
              </w:rPr>
              <w:t>480.631</w:t>
            </w:r>
          </w:p>
        </w:tc>
        <w:tc>
          <w:tcPr>
            <w:tcW w:w="1276" w:type="dxa"/>
            <w:tcBorders>
              <w:top w:val="single" w:sz="4" w:space="0" w:color="auto"/>
              <w:left w:val="nil"/>
              <w:bottom w:val="single" w:sz="12" w:space="0" w:color="auto"/>
              <w:right w:val="nil"/>
            </w:tcBorders>
            <w:vAlign w:val="bottom"/>
          </w:tcPr>
          <w:p w14:paraId="7CF079F2" w14:textId="45837263" w:rsidR="00630C39" w:rsidRPr="00872D7E" w:rsidRDefault="00630C39" w:rsidP="00C14F58">
            <w:pPr>
              <w:jc w:val="right"/>
              <w:rPr>
                <w:b/>
                <w:bCs/>
                <w:color w:val="000000"/>
                <w:sz w:val="15"/>
                <w:szCs w:val="15"/>
              </w:rPr>
            </w:pPr>
            <w:r w:rsidRPr="00872D7E">
              <w:rPr>
                <w:b/>
                <w:bCs/>
                <w:sz w:val="15"/>
                <w:szCs w:val="15"/>
              </w:rPr>
              <w:t>-</w:t>
            </w:r>
          </w:p>
        </w:tc>
        <w:tc>
          <w:tcPr>
            <w:tcW w:w="1048" w:type="dxa"/>
            <w:tcBorders>
              <w:top w:val="single" w:sz="4" w:space="0" w:color="auto"/>
              <w:left w:val="nil"/>
              <w:bottom w:val="single" w:sz="12" w:space="0" w:color="auto"/>
              <w:right w:val="nil"/>
            </w:tcBorders>
            <w:vAlign w:val="bottom"/>
          </w:tcPr>
          <w:p w14:paraId="30833106" w14:textId="3C901126" w:rsidR="00630C39" w:rsidRPr="00872D7E" w:rsidRDefault="00630C39" w:rsidP="00C14F58">
            <w:pPr>
              <w:jc w:val="right"/>
              <w:rPr>
                <w:b/>
                <w:bCs/>
                <w:color w:val="000000"/>
                <w:sz w:val="15"/>
                <w:szCs w:val="15"/>
              </w:rPr>
            </w:pPr>
            <w:r w:rsidRPr="00872D7E">
              <w:rPr>
                <w:b/>
                <w:bCs/>
                <w:sz w:val="15"/>
                <w:szCs w:val="15"/>
              </w:rPr>
              <w:t>-</w:t>
            </w:r>
          </w:p>
        </w:tc>
        <w:tc>
          <w:tcPr>
            <w:tcW w:w="1426" w:type="dxa"/>
            <w:tcBorders>
              <w:top w:val="single" w:sz="4" w:space="0" w:color="auto"/>
              <w:left w:val="nil"/>
              <w:bottom w:val="single" w:sz="12" w:space="0" w:color="auto"/>
              <w:right w:val="nil"/>
            </w:tcBorders>
            <w:vAlign w:val="bottom"/>
          </w:tcPr>
          <w:p w14:paraId="33FC939D" w14:textId="48347A60" w:rsidR="00630C39" w:rsidRPr="00872D7E" w:rsidRDefault="00630C39" w:rsidP="00C14F58">
            <w:pPr>
              <w:jc w:val="right"/>
              <w:rPr>
                <w:b/>
                <w:bCs/>
                <w:color w:val="000000"/>
                <w:sz w:val="15"/>
                <w:szCs w:val="15"/>
              </w:rPr>
            </w:pPr>
            <w:r w:rsidRPr="00872D7E">
              <w:rPr>
                <w:b/>
                <w:bCs/>
                <w:sz w:val="15"/>
                <w:szCs w:val="15"/>
              </w:rPr>
              <w:t>34.154.526</w:t>
            </w:r>
          </w:p>
        </w:tc>
      </w:tr>
    </w:tbl>
    <w:p w14:paraId="357ED3F9" w14:textId="77777777" w:rsidR="00C14F58" w:rsidRPr="00872D7E" w:rsidRDefault="00C14F58" w:rsidP="00C14F58">
      <w:pPr>
        <w:ind w:left="567" w:hanging="581"/>
        <w:jc w:val="both"/>
        <w:rPr>
          <w:rFonts w:eastAsiaTheme="minorHAnsi"/>
          <w:iCs/>
          <w:sz w:val="16"/>
          <w:szCs w:val="20"/>
          <w:vertAlign w:val="superscript"/>
        </w:rPr>
      </w:pPr>
      <w:bookmarkStart w:id="44" w:name="_Hlk128666207"/>
    </w:p>
    <w:p w14:paraId="7F68D69D" w14:textId="1E76253A" w:rsidR="005E2D92" w:rsidRPr="00872D7E" w:rsidRDefault="005E2D92" w:rsidP="00C14F58">
      <w:pPr>
        <w:ind w:left="567" w:hanging="581"/>
        <w:jc w:val="both"/>
        <w:rPr>
          <w:rFonts w:eastAsiaTheme="minorHAnsi"/>
          <w:iCs/>
          <w:sz w:val="16"/>
          <w:szCs w:val="20"/>
        </w:rPr>
      </w:pPr>
      <w:r w:rsidRPr="00872D7E">
        <w:rPr>
          <w:rFonts w:eastAsiaTheme="minorHAnsi"/>
          <w:iCs/>
          <w:sz w:val="16"/>
          <w:szCs w:val="20"/>
          <w:vertAlign w:val="superscript"/>
        </w:rPr>
        <w:t xml:space="preserve">(*) </w:t>
      </w:r>
      <w:r w:rsidR="00C14F58" w:rsidRPr="00872D7E">
        <w:rPr>
          <w:rFonts w:eastAsiaTheme="minorHAnsi"/>
          <w:iCs/>
          <w:sz w:val="16"/>
          <w:szCs w:val="20"/>
          <w:vertAlign w:val="superscript"/>
        </w:rPr>
        <w:tab/>
      </w:r>
      <w:r w:rsidRPr="00872D7E">
        <w:rPr>
          <w:rFonts w:eastAsiaTheme="minorHAnsi"/>
          <w:iCs/>
          <w:sz w:val="16"/>
          <w:szCs w:val="20"/>
        </w:rPr>
        <w:t>Banka’nın muhasebesel ve yasal konsolidasyon kapsamı aynı olduğundan mali tablo bilgileri tek sütunda gösterilmiştir.</w:t>
      </w:r>
      <w:bookmarkEnd w:id="44"/>
    </w:p>
    <w:p w14:paraId="73FE4D07" w14:textId="1C373D99" w:rsidR="001E6F85" w:rsidRPr="00872D7E" w:rsidRDefault="005E2D92" w:rsidP="00C14F58">
      <w:pPr>
        <w:ind w:left="567" w:hanging="581"/>
        <w:jc w:val="both"/>
        <w:rPr>
          <w:sz w:val="16"/>
          <w:szCs w:val="20"/>
        </w:rPr>
      </w:pPr>
      <w:r w:rsidRPr="00872D7E">
        <w:rPr>
          <w:rFonts w:eastAsiaTheme="minorHAnsi"/>
          <w:iCs/>
          <w:sz w:val="16"/>
          <w:szCs w:val="20"/>
          <w:vertAlign w:val="superscript"/>
        </w:rPr>
        <w:t>(**)</w:t>
      </w:r>
      <w:r w:rsidRPr="00872D7E">
        <w:rPr>
          <w:rFonts w:eastAsiaTheme="minorHAnsi"/>
          <w:b/>
          <w:iCs/>
          <w:sz w:val="16"/>
          <w:szCs w:val="20"/>
          <w:vertAlign w:val="superscript"/>
        </w:rPr>
        <w:tab/>
      </w:r>
      <w:r w:rsidRPr="00872D7E">
        <w:rPr>
          <w:sz w:val="16"/>
          <w:szCs w:val="20"/>
        </w:rPr>
        <w:t>Piyasa riski kapsamındaki genel piyasa riski ve spesifik riske konu kalemlerin TMS uyarınca değerlenmiş tutarlarını içermektedir.</w:t>
      </w:r>
    </w:p>
    <w:p w14:paraId="0E42D0F4" w14:textId="77777777" w:rsidR="001E6F85" w:rsidRPr="00872D7E" w:rsidRDefault="001E6F85" w:rsidP="004602AB">
      <w:pPr>
        <w:rPr>
          <w:sz w:val="16"/>
          <w:szCs w:val="20"/>
        </w:rPr>
      </w:pPr>
      <w:r w:rsidRPr="00872D7E">
        <w:rPr>
          <w:sz w:val="16"/>
          <w:szCs w:val="20"/>
        </w:rPr>
        <w:br w:type="page"/>
      </w:r>
    </w:p>
    <w:p w14:paraId="6D7137FA" w14:textId="54D25B23" w:rsidR="000E463B" w:rsidRPr="00872D7E" w:rsidRDefault="00CB58D3" w:rsidP="00CF5D29">
      <w:pPr>
        <w:ind w:left="851" w:hanging="851"/>
        <w:rPr>
          <w:b/>
          <w:bCs/>
        </w:rPr>
      </w:pPr>
      <w:r w:rsidRPr="00872D7E">
        <w:rPr>
          <w:b/>
          <w:bCs/>
        </w:rPr>
        <w:lastRenderedPageBreak/>
        <w:t>I</w:t>
      </w:r>
      <w:r w:rsidR="000E463B" w:rsidRPr="00872D7E">
        <w:rPr>
          <w:b/>
          <w:bCs/>
        </w:rPr>
        <w:t>X.</w:t>
      </w:r>
      <w:r w:rsidR="000E463B" w:rsidRPr="00872D7E">
        <w:rPr>
          <w:b/>
          <w:bCs/>
        </w:rPr>
        <w:tab/>
        <w:t>RİSK YÖNETİMİNE İLİŞKİN AÇIKLAMALAR (Devamı)</w:t>
      </w:r>
    </w:p>
    <w:p w14:paraId="55C0B138" w14:textId="4CCE1E0A" w:rsidR="005E2D92" w:rsidRPr="00872D7E" w:rsidRDefault="005E2D92" w:rsidP="00CF5D29">
      <w:pPr>
        <w:spacing w:before="120"/>
        <w:ind w:left="851" w:hanging="851"/>
        <w:rPr>
          <w:b/>
          <w:szCs w:val="20"/>
        </w:rPr>
      </w:pPr>
      <w:r w:rsidRPr="00872D7E">
        <w:rPr>
          <w:b/>
          <w:szCs w:val="20"/>
        </w:rPr>
        <w:t>b.</w:t>
      </w:r>
      <w:r w:rsidR="00CF5D29" w:rsidRPr="00872D7E">
        <w:rPr>
          <w:b/>
          <w:szCs w:val="20"/>
        </w:rPr>
        <w:tab/>
      </w:r>
      <w:r w:rsidRPr="00872D7E">
        <w:rPr>
          <w:b/>
          <w:szCs w:val="20"/>
        </w:rPr>
        <w:t>Finansal Tablolar ve Risk Tutarları Arasındaki Bağlantılar (</w:t>
      </w:r>
      <w:r w:rsidR="00CB0C7B" w:rsidRPr="00872D7E">
        <w:rPr>
          <w:b/>
          <w:szCs w:val="20"/>
        </w:rPr>
        <w:t>D</w:t>
      </w:r>
      <w:r w:rsidRPr="00872D7E">
        <w:rPr>
          <w:b/>
          <w:szCs w:val="20"/>
        </w:rPr>
        <w:t>evamı):</w:t>
      </w:r>
    </w:p>
    <w:p w14:paraId="5C5B9BBE" w14:textId="6CE8923B" w:rsidR="005E2D92" w:rsidRPr="00872D7E" w:rsidRDefault="005E2D92" w:rsidP="00CB0C7B">
      <w:pPr>
        <w:spacing w:before="120" w:after="120"/>
        <w:ind w:left="851" w:hanging="851"/>
        <w:rPr>
          <w:b/>
          <w:szCs w:val="20"/>
        </w:rPr>
      </w:pPr>
      <w:r w:rsidRPr="00872D7E">
        <w:rPr>
          <w:b/>
          <w:szCs w:val="20"/>
        </w:rPr>
        <w:t>b.1.</w:t>
      </w:r>
      <w:r w:rsidR="00CF5D29" w:rsidRPr="00872D7E">
        <w:rPr>
          <w:b/>
          <w:szCs w:val="20"/>
        </w:rPr>
        <w:tab/>
      </w:r>
      <w:r w:rsidRPr="00872D7E">
        <w:rPr>
          <w:b/>
          <w:szCs w:val="20"/>
        </w:rPr>
        <w:t>Muhasebesel Konsolidasyon ve Yasal Konsolidasyon Kapsamı Arasındaki Farklar ve Eşleştirme (</w:t>
      </w:r>
      <w:r w:rsidR="00CB0C7B" w:rsidRPr="00872D7E">
        <w:rPr>
          <w:b/>
          <w:szCs w:val="20"/>
        </w:rPr>
        <w:t>D</w:t>
      </w:r>
      <w:r w:rsidRPr="00872D7E">
        <w:rPr>
          <w:b/>
          <w:szCs w:val="20"/>
        </w:rPr>
        <w:t>evamı):</w:t>
      </w:r>
    </w:p>
    <w:tbl>
      <w:tblPr>
        <w:tblW w:w="9660" w:type="dxa"/>
        <w:tblInd w:w="14" w:type="dxa"/>
        <w:tblLayout w:type="fixed"/>
        <w:tblLook w:val="04A0" w:firstRow="1" w:lastRow="0" w:firstColumn="1" w:lastColumn="0" w:noHBand="0" w:noVBand="1"/>
      </w:tblPr>
      <w:tblGrid>
        <w:gridCol w:w="2407"/>
        <w:gridCol w:w="1264"/>
        <w:gridCol w:w="1105"/>
        <w:gridCol w:w="1134"/>
        <w:gridCol w:w="1276"/>
        <w:gridCol w:w="1048"/>
        <w:gridCol w:w="1426"/>
      </w:tblGrid>
      <w:tr w:rsidR="005E2D92" w:rsidRPr="00872D7E" w14:paraId="220DD98C" w14:textId="77777777" w:rsidTr="001E6F85">
        <w:trPr>
          <w:trHeight w:val="20"/>
        </w:trPr>
        <w:tc>
          <w:tcPr>
            <w:tcW w:w="2407" w:type="dxa"/>
            <w:tcBorders>
              <w:top w:val="single" w:sz="4" w:space="0" w:color="auto"/>
              <w:left w:val="nil"/>
              <w:bottom w:val="nil"/>
              <w:right w:val="nil"/>
            </w:tcBorders>
            <w:vAlign w:val="bottom"/>
          </w:tcPr>
          <w:p w14:paraId="1E4EADF6" w14:textId="77777777" w:rsidR="005E2D92" w:rsidRPr="00872D7E" w:rsidRDefault="005E2D92" w:rsidP="004602AB">
            <w:pPr>
              <w:rPr>
                <w:sz w:val="15"/>
                <w:szCs w:val="15"/>
              </w:rPr>
            </w:pPr>
          </w:p>
        </w:tc>
        <w:tc>
          <w:tcPr>
            <w:tcW w:w="1264" w:type="dxa"/>
            <w:vMerge w:val="restart"/>
            <w:tcBorders>
              <w:top w:val="single" w:sz="4" w:space="0" w:color="auto"/>
              <w:left w:val="nil"/>
              <w:bottom w:val="single" w:sz="4" w:space="0" w:color="auto"/>
              <w:right w:val="nil"/>
            </w:tcBorders>
            <w:vAlign w:val="bottom"/>
            <w:hideMark/>
          </w:tcPr>
          <w:p w14:paraId="4B748950" w14:textId="77777777" w:rsidR="005E2D92" w:rsidRPr="00872D7E" w:rsidRDefault="005E2D92" w:rsidP="004602AB">
            <w:pPr>
              <w:jc w:val="right"/>
              <w:rPr>
                <w:b/>
                <w:sz w:val="15"/>
                <w:szCs w:val="15"/>
              </w:rPr>
            </w:pPr>
            <w:r w:rsidRPr="00872D7E">
              <w:rPr>
                <w:b/>
                <w:sz w:val="15"/>
                <w:szCs w:val="15"/>
              </w:rPr>
              <w:t xml:space="preserve">Finansal tablolarda raporlanan TMS uyarınca değerlenmiş </w:t>
            </w:r>
            <w:proofErr w:type="gramStart"/>
            <w:r w:rsidRPr="00872D7E">
              <w:rPr>
                <w:b/>
                <w:sz w:val="15"/>
                <w:szCs w:val="15"/>
              </w:rPr>
              <w:t>tutar</w:t>
            </w:r>
            <w:r w:rsidRPr="00872D7E">
              <w:rPr>
                <w:b/>
                <w:sz w:val="15"/>
                <w:szCs w:val="15"/>
                <w:vertAlign w:val="superscript"/>
              </w:rPr>
              <w:t>(</w:t>
            </w:r>
            <w:proofErr w:type="gramEnd"/>
            <w:r w:rsidRPr="00872D7E">
              <w:rPr>
                <w:b/>
                <w:sz w:val="15"/>
                <w:szCs w:val="15"/>
                <w:vertAlign w:val="superscript"/>
              </w:rPr>
              <w:t>*)</w:t>
            </w:r>
          </w:p>
        </w:tc>
        <w:tc>
          <w:tcPr>
            <w:tcW w:w="5989" w:type="dxa"/>
            <w:gridSpan w:val="5"/>
            <w:tcBorders>
              <w:top w:val="single" w:sz="4" w:space="0" w:color="auto"/>
              <w:left w:val="nil"/>
              <w:bottom w:val="nil"/>
              <w:right w:val="nil"/>
            </w:tcBorders>
            <w:vAlign w:val="bottom"/>
            <w:hideMark/>
          </w:tcPr>
          <w:p w14:paraId="50C49ED3" w14:textId="77777777" w:rsidR="005E2D92" w:rsidRPr="00872D7E" w:rsidRDefault="005E2D92" w:rsidP="004602AB">
            <w:pPr>
              <w:jc w:val="center"/>
              <w:rPr>
                <w:b/>
                <w:sz w:val="15"/>
                <w:szCs w:val="15"/>
              </w:rPr>
            </w:pPr>
            <w:r w:rsidRPr="00872D7E">
              <w:rPr>
                <w:b/>
                <w:sz w:val="15"/>
                <w:szCs w:val="15"/>
              </w:rPr>
              <w:t>Kalemlerin TMS uyarınca değerlenmiş tutarı</w:t>
            </w:r>
          </w:p>
        </w:tc>
      </w:tr>
      <w:tr w:rsidR="005E2D92" w:rsidRPr="00872D7E" w14:paraId="6058C302" w14:textId="77777777" w:rsidTr="001E6F85">
        <w:trPr>
          <w:trHeight w:val="20"/>
        </w:trPr>
        <w:tc>
          <w:tcPr>
            <w:tcW w:w="2407" w:type="dxa"/>
            <w:tcBorders>
              <w:top w:val="nil"/>
              <w:left w:val="nil"/>
              <w:bottom w:val="single" w:sz="4" w:space="0" w:color="auto"/>
              <w:right w:val="nil"/>
            </w:tcBorders>
            <w:vAlign w:val="center"/>
            <w:hideMark/>
          </w:tcPr>
          <w:p w14:paraId="085FA1FC" w14:textId="73BCF4BC" w:rsidR="005E2D92" w:rsidRPr="00872D7E" w:rsidRDefault="00827BED" w:rsidP="004602AB">
            <w:pPr>
              <w:rPr>
                <w:b/>
                <w:sz w:val="15"/>
                <w:szCs w:val="15"/>
              </w:rPr>
            </w:pPr>
            <w:r w:rsidRPr="00872D7E">
              <w:rPr>
                <w:b/>
                <w:sz w:val="15"/>
                <w:szCs w:val="15"/>
              </w:rPr>
              <w:t>1 Ocak 2024</w:t>
            </w:r>
          </w:p>
        </w:tc>
        <w:tc>
          <w:tcPr>
            <w:tcW w:w="1264" w:type="dxa"/>
            <w:vMerge/>
            <w:tcBorders>
              <w:top w:val="single" w:sz="4" w:space="0" w:color="auto"/>
              <w:left w:val="nil"/>
              <w:bottom w:val="single" w:sz="4" w:space="0" w:color="auto"/>
              <w:right w:val="nil"/>
            </w:tcBorders>
            <w:vAlign w:val="center"/>
            <w:hideMark/>
          </w:tcPr>
          <w:p w14:paraId="57D5F705" w14:textId="77777777" w:rsidR="005E2D92" w:rsidRPr="00872D7E" w:rsidRDefault="005E2D92" w:rsidP="004602AB">
            <w:pPr>
              <w:rPr>
                <w:b/>
                <w:sz w:val="15"/>
                <w:szCs w:val="15"/>
              </w:rPr>
            </w:pPr>
          </w:p>
        </w:tc>
        <w:tc>
          <w:tcPr>
            <w:tcW w:w="1105" w:type="dxa"/>
            <w:tcBorders>
              <w:top w:val="single" w:sz="4" w:space="0" w:color="auto"/>
              <w:left w:val="nil"/>
              <w:bottom w:val="single" w:sz="4" w:space="0" w:color="auto"/>
              <w:right w:val="nil"/>
            </w:tcBorders>
            <w:vAlign w:val="bottom"/>
            <w:hideMark/>
          </w:tcPr>
          <w:p w14:paraId="467256AE" w14:textId="77777777" w:rsidR="005E2D92" w:rsidRPr="00872D7E" w:rsidRDefault="005E2D92" w:rsidP="004602AB">
            <w:pPr>
              <w:jc w:val="right"/>
              <w:rPr>
                <w:b/>
                <w:sz w:val="15"/>
                <w:szCs w:val="15"/>
              </w:rPr>
            </w:pPr>
            <w:r w:rsidRPr="00872D7E">
              <w:rPr>
                <w:b/>
                <w:sz w:val="15"/>
                <w:szCs w:val="15"/>
              </w:rPr>
              <w:t>Kredi riskine tabi</w:t>
            </w:r>
          </w:p>
        </w:tc>
        <w:tc>
          <w:tcPr>
            <w:tcW w:w="1134" w:type="dxa"/>
            <w:tcBorders>
              <w:top w:val="single" w:sz="4" w:space="0" w:color="auto"/>
              <w:left w:val="nil"/>
              <w:bottom w:val="single" w:sz="4" w:space="0" w:color="auto"/>
              <w:right w:val="nil"/>
            </w:tcBorders>
            <w:vAlign w:val="bottom"/>
            <w:hideMark/>
          </w:tcPr>
          <w:p w14:paraId="2B741F36" w14:textId="77777777" w:rsidR="005E2D92" w:rsidRPr="00872D7E" w:rsidRDefault="005E2D92" w:rsidP="004602AB">
            <w:pPr>
              <w:jc w:val="right"/>
              <w:rPr>
                <w:b/>
                <w:sz w:val="15"/>
                <w:szCs w:val="15"/>
              </w:rPr>
            </w:pPr>
            <w:r w:rsidRPr="00872D7E">
              <w:rPr>
                <w:b/>
                <w:sz w:val="15"/>
                <w:szCs w:val="15"/>
              </w:rPr>
              <w:t>Karşı taraf kredi riskine tabi</w:t>
            </w:r>
          </w:p>
        </w:tc>
        <w:tc>
          <w:tcPr>
            <w:tcW w:w="1276" w:type="dxa"/>
            <w:tcBorders>
              <w:top w:val="single" w:sz="4" w:space="0" w:color="auto"/>
              <w:left w:val="nil"/>
              <w:bottom w:val="single" w:sz="4" w:space="0" w:color="auto"/>
              <w:right w:val="nil"/>
            </w:tcBorders>
            <w:vAlign w:val="bottom"/>
            <w:hideMark/>
          </w:tcPr>
          <w:p w14:paraId="20DE37D5" w14:textId="77777777" w:rsidR="005E2D92" w:rsidRPr="00872D7E" w:rsidRDefault="005E2D92" w:rsidP="004602AB">
            <w:pPr>
              <w:ind w:left="-98" w:firstLine="98"/>
              <w:jc w:val="right"/>
              <w:rPr>
                <w:b/>
                <w:sz w:val="15"/>
                <w:szCs w:val="15"/>
              </w:rPr>
            </w:pPr>
            <w:r w:rsidRPr="00872D7E">
              <w:rPr>
                <w:b/>
                <w:sz w:val="15"/>
                <w:szCs w:val="15"/>
              </w:rPr>
              <w:t>Menkul kıymetleştirme pozisyonları</w:t>
            </w:r>
          </w:p>
        </w:tc>
        <w:tc>
          <w:tcPr>
            <w:tcW w:w="1048" w:type="dxa"/>
            <w:tcBorders>
              <w:top w:val="single" w:sz="4" w:space="0" w:color="auto"/>
              <w:left w:val="nil"/>
              <w:bottom w:val="single" w:sz="4" w:space="0" w:color="auto"/>
              <w:right w:val="nil"/>
            </w:tcBorders>
            <w:vAlign w:val="bottom"/>
            <w:hideMark/>
          </w:tcPr>
          <w:p w14:paraId="0810985C" w14:textId="77777777" w:rsidR="005E2D92" w:rsidRPr="00872D7E" w:rsidRDefault="005E2D92" w:rsidP="004602AB">
            <w:pPr>
              <w:jc w:val="right"/>
              <w:rPr>
                <w:b/>
                <w:sz w:val="15"/>
                <w:szCs w:val="15"/>
              </w:rPr>
            </w:pPr>
            <w:r w:rsidRPr="00872D7E">
              <w:rPr>
                <w:b/>
                <w:sz w:val="15"/>
                <w:szCs w:val="15"/>
              </w:rPr>
              <w:t xml:space="preserve">Piyasa riskine </w:t>
            </w:r>
            <w:proofErr w:type="gramStart"/>
            <w:r w:rsidRPr="00872D7E">
              <w:rPr>
                <w:b/>
                <w:sz w:val="15"/>
                <w:szCs w:val="15"/>
              </w:rPr>
              <w:t>tabi</w:t>
            </w:r>
            <w:r w:rsidRPr="00872D7E">
              <w:rPr>
                <w:b/>
                <w:sz w:val="15"/>
                <w:szCs w:val="15"/>
                <w:vertAlign w:val="superscript"/>
              </w:rPr>
              <w:t>(</w:t>
            </w:r>
            <w:proofErr w:type="gramEnd"/>
            <w:r w:rsidRPr="00872D7E">
              <w:rPr>
                <w:b/>
                <w:sz w:val="15"/>
                <w:szCs w:val="15"/>
                <w:vertAlign w:val="superscript"/>
              </w:rPr>
              <w:t>**)</w:t>
            </w:r>
          </w:p>
        </w:tc>
        <w:tc>
          <w:tcPr>
            <w:tcW w:w="1426" w:type="dxa"/>
            <w:tcBorders>
              <w:top w:val="single" w:sz="4" w:space="0" w:color="auto"/>
              <w:left w:val="nil"/>
              <w:bottom w:val="single" w:sz="4" w:space="0" w:color="auto"/>
              <w:right w:val="nil"/>
            </w:tcBorders>
            <w:vAlign w:val="bottom"/>
            <w:hideMark/>
          </w:tcPr>
          <w:p w14:paraId="7FB1BAD0" w14:textId="77777777" w:rsidR="005E2D92" w:rsidRPr="00872D7E" w:rsidRDefault="005E2D92" w:rsidP="004602AB">
            <w:pPr>
              <w:jc w:val="right"/>
              <w:rPr>
                <w:b/>
                <w:sz w:val="15"/>
                <w:szCs w:val="15"/>
              </w:rPr>
            </w:pPr>
            <w:r w:rsidRPr="00872D7E">
              <w:rPr>
                <w:b/>
                <w:sz w:val="15"/>
                <w:szCs w:val="15"/>
              </w:rPr>
              <w:t>Sermaye yükümlülüğüne tabi olmayan veya sermayeden indirilen</w:t>
            </w:r>
          </w:p>
        </w:tc>
      </w:tr>
      <w:tr w:rsidR="005E2D92" w:rsidRPr="00872D7E" w14:paraId="162A9FDF" w14:textId="77777777" w:rsidTr="001E6F85">
        <w:trPr>
          <w:trHeight w:val="20"/>
        </w:trPr>
        <w:tc>
          <w:tcPr>
            <w:tcW w:w="2407" w:type="dxa"/>
            <w:tcBorders>
              <w:top w:val="single" w:sz="4" w:space="0" w:color="auto"/>
              <w:left w:val="nil"/>
              <w:bottom w:val="nil"/>
              <w:right w:val="nil"/>
            </w:tcBorders>
            <w:vAlign w:val="bottom"/>
            <w:hideMark/>
          </w:tcPr>
          <w:p w14:paraId="483E10E6" w14:textId="77777777" w:rsidR="005E2D92" w:rsidRPr="00872D7E" w:rsidRDefault="005E2D92" w:rsidP="004602AB">
            <w:pPr>
              <w:rPr>
                <w:b/>
                <w:sz w:val="15"/>
                <w:szCs w:val="15"/>
              </w:rPr>
            </w:pPr>
            <w:r w:rsidRPr="00872D7E">
              <w:rPr>
                <w:b/>
                <w:sz w:val="15"/>
                <w:szCs w:val="15"/>
              </w:rPr>
              <w:t>Varlıklar</w:t>
            </w:r>
          </w:p>
        </w:tc>
        <w:tc>
          <w:tcPr>
            <w:tcW w:w="1264" w:type="dxa"/>
            <w:tcBorders>
              <w:top w:val="single" w:sz="4" w:space="0" w:color="auto"/>
              <w:left w:val="nil"/>
              <w:bottom w:val="nil"/>
              <w:right w:val="nil"/>
            </w:tcBorders>
            <w:vAlign w:val="bottom"/>
          </w:tcPr>
          <w:p w14:paraId="101B13FC" w14:textId="77777777" w:rsidR="005E2D92" w:rsidRPr="00872D7E" w:rsidRDefault="005E2D92" w:rsidP="004602AB">
            <w:pPr>
              <w:jc w:val="right"/>
              <w:rPr>
                <w:sz w:val="15"/>
                <w:szCs w:val="15"/>
              </w:rPr>
            </w:pPr>
          </w:p>
        </w:tc>
        <w:tc>
          <w:tcPr>
            <w:tcW w:w="1105" w:type="dxa"/>
            <w:tcBorders>
              <w:top w:val="single" w:sz="4" w:space="0" w:color="auto"/>
              <w:left w:val="nil"/>
              <w:bottom w:val="nil"/>
              <w:right w:val="nil"/>
            </w:tcBorders>
            <w:vAlign w:val="bottom"/>
          </w:tcPr>
          <w:p w14:paraId="79DA6882" w14:textId="77777777" w:rsidR="005E2D92" w:rsidRPr="00872D7E" w:rsidRDefault="005E2D92" w:rsidP="004602AB">
            <w:pPr>
              <w:jc w:val="right"/>
              <w:rPr>
                <w:sz w:val="15"/>
                <w:szCs w:val="15"/>
              </w:rPr>
            </w:pPr>
          </w:p>
        </w:tc>
        <w:tc>
          <w:tcPr>
            <w:tcW w:w="1134" w:type="dxa"/>
            <w:tcBorders>
              <w:top w:val="single" w:sz="4" w:space="0" w:color="auto"/>
              <w:left w:val="nil"/>
              <w:bottom w:val="nil"/>
              <w:right w:val="nil"/>
            </w:tcBorders>
            <w:vAlign w:val="bottom"/>
          </w:tcPr>
          <w:p w14:paraId="4AE84BBF" w14:textId="77777777" w:rsidR="005E2D92" w:rsidRPr="00872D7E" w:rsidRDefault="005E2D92" w:rsidP="004602AB">
            <w:pPr>
              <w:jc w:val="right"/>
              <w:rPr>
                <w:sz w:val="15"/>
                <w:szCs w:val="15"/>
              </w:rPr>
            </w:pPr>
          </w:p>
        </w:tc>
        <w:tc>
          <w:tcPr>
            <w:tcW w:w="1276" w:type="dxa"/>
            <w:tcBorders>
              <w:top w:val="single" w:sz="4" w:space="0" w:color="auto"/>
              <w:left w:val="nil"/>
              <w:bottom w:val="nil"/>
              <w:right w:val="nil"/>
            </w:tcBorders>
            <w:vAlign w:val="bottom"/>
          </w:tcPr>
          <w:p w14:paraId="4CAEB66D" w14:textId="77777777" w:rsidR="005E2D92" w:rsidRPr="00872D7E" w:rsidRDefault="005E2D92" w:rsidP="004602AB">
            <w:pPr>
              <w:jc w:val="right"/>
              <w:rPr>
                <w:sz w:val="15"/>
                <w:szCs w:val="15"/>
              </w:rPr>
            </w:pPr>
          </w:p>
        </w:tc>
        <w:tc>
          <w:tcPr>
            <w:tcW w:w="1048" w:type="dxa"/>
            <w:tcBorders>
              <w:top w:val="single" w:sz="4" w:space="0" w:color="auto"/>
              <w:left w:val="nil"/>
              <w:bottom w:val="nil"/>
              <w:right w:val="nil"/>
            </w:tcBorders>
            <w:vAlign w:val="bottom"/>
          </w:tcPr>
          <w:p w14:paraId="65995DD8" w14:textId="77777777" w:rsidR="005E2D92" w:rsidRPr="00872D7E" w:rsidRDefault="005E2D92" w:rsidP="004602AB">
            <w:pPr>
              <w:jc w:val="right"/>
              <w:rPr>
                <w:sz w:val="15"/>
                <w:szCs w:val="15"/>
              </w:rPr>
            </w:pPr>
          </w:p>
        </w:tc>
        <w:tc>
          <w:tcPr>
            <w:tcW w:w="1426" w:type="dxa"/>
            <w:tcBorders>
              <w:top w:val="single" w:sz="4" w:space="0" w:color="auto"/>
              <w:left w:val="nil"/>
              <w:bottom w:val="nil"/>
              <w:right w:val="nil"/>
            </w:tcBorders>
            <w:vAlign w:val="bottom"/>
          </w:tcPr>
          <w:p w14:paraId="47B21709" w14:textId="77777777" w:rsidR="005E2D92" w:rsidRPr="00872D7E" w:rsidRDefault="005E2D92" w:rsidP="004602AB">
            <w:pPr>
              <w:jc w:val="right"/>
              <w:rPr>
                <w:sz w:val="15"/>
                <w:szCs w:val="15"/>
              </w:rPr>
            </w:pPr>
          </w:p>
        </w:tc>
      </w:tr>
      <w:tr w:rsidR="00630C39" w:rsidRPr="00872D7E" w14:paraId="6FB0045D" w14:textId="77777777" w:rsidTr="00630C39">
        <w:trPr>
          <w:trHeight w:val="20"/>
        </w:trPr>
        <w:tc>
          <w:tcPr>
            <w:tcW w:w="2407" w:type="dxa"/>
            <w:vAlign w:val="bottom"/>
            <w:hideMark/>
          </w:tcPr>
          <w:p w14:paraId="7C43DB31" w14:textId="77777777" w:rsidR="00630C39" w:rsidRPr="00872D7E" w:rsidRDefault="00630C39" w:rsidP="00630C39">
            <w:pPr>
              <w:rPr>
                <w:color w:val="000000"/>
                <w:sz w:val="15"/>
                <w:szCs w:val="15"/>
              </w:rPr>
            </w:pPr>
            <w:r w:rsidRPr="00872D7E">
              <w:rPr>
                <w:color w:val="000000"/>
                <w:sz w:val="15"/>
                <w:szCs w:val="15"/>
              </w:rPr>
              <w:t>Nakit ve Nakit Benzerleri</w:t>
            </w:r>
          </w:p>
        </w:tc>
        <w:tc>
          <w:tcPr>
            <w:tcW w:w="1264" w:type="dxa"/>
            <w:vAlign w:val="bottom"/>
          </w:tcPr>
          <w:p w14:paraId="523CD4F2" w14:textId="0D9F0037" w:rsidR="00630C39" w:rsidRPr="00872D7E" w:rsidRDefault="00630C39" w:rsidP="00630C39">
            <w:pPr>
              <w:jc w:val="right"/>
              <w:rPr>
                <w:color w:val="000000"/>
                <w:sz w:val="16"/>
                <w:szCs w:val="16"/>
              </w:rPr>
            </w:pPr>
            <w:r w:rsidRPr="00872D7E">
              <w:rPr>
                <w:color w:val="000000"/>
                <w:sz w:val="16"/>
                <w:szCs w:val="16"/>
              </w:rPr>
              <w:t>442.603</w:t>
            </w:r>
          </w:p>
        </w:tc>
        <w:tc>
          <w:tcPr>
            <w:tcW w:w="1105" w:type="dxa"/>
            <w:vAlign w:val="bottom"/>
          </w:tcPr>
          <w:p w14:paraId="02C2225B" w14:textId="27D7F953" w:rsidR="00630C39" w:rsidRPr="00872D7E" w:rsidRDefault="00630C39" w:rsidP="00630C39">
            <w:pPr>
              <w:jc w:val="right"/>
              <w:rPr>
                <w:color w:val="000000"/>
                <w:sz w:val="16"/>
                <w:szCs w:val="16"/>
              </w:rPr>
            </w:pPr>
            <w:r w:rsidRPr="00872D7E">
              <w:rPr>
                <w:color w:val="000000"/>
                <w:sz w:val="16"/>
                <w:szCs w:val="16"/>
              </w:rPr>
              <w:t>442.603</w:t>
            </w:r>
          </w:p>
        </w:tc>
        <w:tc>
          <w:tcPr>
            <w:tcW w:w="1134" w:type="dxa"/>
            <w:vAlign w:val="bottom"/>
          </w:tcPr>
          <w:p w14:paraId="6CACB9C0" w14:textId="2384B999"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395ED98A" w14:textId="35D0F142"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06CC4500" w14:textId="2BC4402D"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657FB783" w14:textId="22DED7F7" w:rsidR="00630C39" w:rsidRPr="00872D7E" w:rsidRDefault="00630C39" w:rsidP="00630C39">
            <w:pPr>
              <w:jc w:val="right"/>
              <w:rPr>
                <w:sz w:val="16"/>
                <w:szCs w:val="16"/>
              </w:rPr>
            </w:pPr>
            <w:r w:rsidRPr="00872D7E">
              <w:rPr>
                <w:color w:val="000000"/>
                <w:sz w:val="16"/>
                <w:szCs w:val="16"/>
              </w:rPr>
              <w:t>-</w:t>
            </w:r>
          </w:p>
        </w:tc>
      </w:tr>
      <w:tr w:rsidR="00630C39" w:rsidRPr="00872D7E" w14:paraId="555E9D01" w14:textId="77777777" w:rsidTr="00630C39">
        <w:trPr>
          <w:trHeight w:val="20"/>
        </w:trPr>
        <w:tc>
          <w:tcPr>
            <w:tcW w:w="2407" w:type="dxa"/>
            <w:vAlign w:val="bottom"/>
            <w:hideMark/>
          </w:tcPr>
          <w:p w14:paraId="4EA45394" w14:textId="77777777" w:rsidR="00630C39" w:rsidRPr="00872D7E" w:rsidRDefault="00630C39" w:rsidP="00630C39">
            <w:pPr>
              <w:rPr>
                <w:color w:val="000000"/>
                <w:sz w:val="15"/>
                <w:szCs w:val="15"/>
              </w:rPr>
            </w:pPr>
            <w:r w:rsidRPr="00872D7E">
              <w:rPr>
                <w:color w:val="000000"/>
                <w:sz w:val="15"/>
                <w:szCs w:val="15"/>
              </w:rPr>
              <w:t xml:space="preserve">Gerçeğe Uygun Değer Farkı Kâr Zarara Yansıtılan Finansal Varlıklar </w:t>
            </w:r>
          </w:p>
        </w:tc>
        <w:tc>
          <w:tcPr>
            <w:tcW w:w="1264" w:type="dxa"/>
            <w:vAlign w:val="bottom"/>
          </w:tcPr>
          <w:p w14:paraId="11272EE8" w14:textId="5A0FDB7F" w:rsidR="00630C39" w:rsidRPr="00872D7E" w:rsidRDefault="00630C39" w:rsidP="00630C39">
            <w:pPr>
              <w:jc w:val="right"/>
              <w:rPr>
                <w:color w:val="000000"/>
                <w:sz w:val="16"/>
                <w:szCs w:val="16"/>
              </w:rPr>
            </w:pPr>
            <w:r w:rsidRPr="00872D7E">
              <w:rPr>
                <w:color w:val="000000"/>
                <w:sz w:val="16"/>
                <w:szCs w:val="16"/>
              </w:rPr>
              <w:t>111.358</w:t>
            </w:r>
          </w:p>
        </w:tc>
        <w:tc>
          <w:tcPr>
            <w:tcW w:w="1105" w:type="dxa"/>
            <w:vAlign w:val="bottom"/>
          </w:tcPr>
          <w:p w14:paraId="273F4177" w14:textId="2D647CE4"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40BF3B23" w14:textId="031803EF" w:rsidR="00630C39" w:rsidRPr="00872D7E" w:rsidRDefault="00630C39" w:rsidP="00630C39">
            <w:pPr>
              <w:jc w:val="right"/>
              <w:rPr>
                <w:color w:val="000000"/>
                <w:sz w:val="16"/>
                <w:szCs w:val="16"/>
              </w:rPr>
            </w:pPr>
            <w:r w:rsidRPr="00872D7E">
              <w:rPr>
                <w:color w:val="000000"/>
                <w:sz w:val="16"/>
                <w:szCs w:val="16"/>
              </w:rPr>
              <w:t>-</w:t>
            </w:r>
          </w:p>
        </w:tc>
        <w:tc>
          <w:tcPr>
            <w:tcW w:w="1276" w:type="dxa"/>
            <w:vAlign w:val="bottom"/>
          </w:tcPr>
          <w:p w14:paraId="034C7D71" w14:textId="4B5B97C7" w:rsidR="00630C39" w:rsidRPr="00872D7E" w:rsidRDefault="00630C39" w:rsidP="00630C39">
            <w:pPr>
              <w:jc w:val="right"/>
              <w:rPr>
                <w:color w:val="000000"/>
                <w:sz w:val="16"/>
                <w:szCs w:val="16"/>
              </w:rPr>
            </w:pPr>
            <w:r w:rsidRPr="00872D7E">
              <w:rPr>
                <w:color w:val="000000"/>
                <w:sz w:val="16"/>
                <w:szCs w:val="16"/>
              </w:rPr>
              <w:t>-</w:t>
            </w:r>
          </w:p>
        </w:tc>
        <w:tc>
          <w:tcPr>
            <w:tcW w:w="1048" w:type="dxa"/>
            <w:vAlign w:val="bottom"/>
          </w:tcPr>
          <w:p w14:paraId="287515B8" w14:textId="13DA90BA" w:rsidR="00630C39" w:rsidRPr="00872D7E" w:rsidRDefault="00630C39" w:rsidP="00630C39">
            <w:pPr>
              <w:jc w:val="right"/>
              <w:rPr>
                <w:color w:val="000000"/>
                <w:sz w:val="16"/>
                <w:szCs w:val="16"/>
              </w:rPr>
            </w:pPr>
            <w:r w:rsidRPr="00872D7E">
              <w:rPr>
                <w:color w:val="000000"/>
                <w:sz w:val="16"/>
                <w:szCs w:val="16"/>
              </w:rPr>
              <w:t>111.358</w:t>
            </w:r>
          </w:p>
        </w:tc>
        <w:tc>
          <w:tcPr>
            <w:tcW w:w="1426" w:type="dxa"/>
            <w:vAlign w:val="bottom"/>
          </w:tcPr>
          <w:p w14:paraId="2ECEFA21" w14:textId="42EEFB79"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726D06F9" w14:textId="77777777" w:rsidTr="00630C39">
        <w:trPr>
          <w:trHeight w:val="20"/>
        </w:trPr>
        <w:tc>
          <w:tcPr>
            <w:tcW w:w="2407" w:type="dxa"/>
            <w:vAlign w:val="bottom"/>
            <w:hideMark/>
          </w:tcPr>
          <w:p w14:paraId="29BA011D" w14:textId="77777777" w:rsidR="00630C39" w:rsidRPr="00872D7E" w:rsidRDefault="00630C39" w:rsidP="00630C39">
            <w:pPr>
              <w:rPr>
                <w:color w:val="000000"/>
                <w:sz w:val="15"/>
                <w:szCs w:val="15"/>
              </w:rPr>
            </w:pPr>
            <w:r w:rsidRPr="00872D7E">
              <w:rPr>
                <w:color w:val="000000"/>
                <w:sz w:val="15"/>
                <w:szCs w:val="15"/>
              </w:rPr>
              <w:t>Gerçeğe Uygun Değer Farkı Diğer Kapsamlı Gelire Yansıtılan Finansal Varlıklar</w:t>
            </w:r>
          </w:p>
        </w:tc>
        <w:tc>
          <w:tcPr>
            <w:tcW w:w="1264" w:type="dxa"/>
            <w:vAlign w:val="bottom"/>
          </w:tcPr>
          <w:p w14:paraId="5FC96F87" w14:textId="65322ADE"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4DC87E83" w14:textId="50A385A7"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1FAA33B8" w14:textId="2C4B2CF0"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5F8EE24C" w14:textId="5B07C1C9"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078C7041" w14:textId="53A22A9D"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31BB1DA5" w14:textId="0F49A6C6" w:rsidR="00630C39" w:rsidRPr="00872D7E" w:rsidRDefault="00630C39" w:rsidP="00630C39">
            <w:pPr>
              <w:jc w:val="right"/>
              <w:rPr>
                <w:sz w:val="16"/>
                <w:szCs w:val="16"/>
              </w:rPr>
            </w:pPr>
            <w:r w:rsidRPr="00872D7E">
              <w:rPr>
                <w:color w:val="000000"/>
                <w:sz w:val="16"/>
                <w:szCs w:val="16"/>
              </w:rPr>
              <w:t>-</w:t>
            </w:r>
          </w:p>
        </w:tc>
      </w:tr>
      <w:tr w:rsidR="00630C39" w:rsidRPr="00872D7E" w14:paraId="77F90722" w14:textId="77777777" w:rsidTr="00630C39">
        <w:trPr>
          <w:trHeight w:val="20"/>
        </w:trPr>
        <w:tc>
          <w:tcPr>
            <w:tcW w:w="2407" w:type="dxa"/>
            <w:vAlign w:val="bottom"/>
            <w:hideMark/>
          </w:tcPr>
          <w:p w14:paraId="5BB17BF6" w14:textId="77777777" w:rsidR="00630C39" w:rsidRPr="00872D7E" w:rsidRDefault="00630C39" w:rsidP="00630C39">
            <w:pPr>
              <w:rPr>
                <w:color w:val="000000"/>
                <w:sz w:val="15"/>
                <w:szCs w:val="15"/>
              </w:rPr>
            </w:pPr>
            <w:r w:rsidRPr="00872D7E">
              <w:rPr>
                <w:color w:val="000000"/>
                <w:sz w:val="15"/>
                <w:szCs w:val="15"/>
              </w:rPr>
              <w:t>İtfa Edilmiş Maliyeti ile Ölçülen Finansal Varlıklar</w:t>
            </w:r>
          </w:p>
        </w:tc>
        <w:tc>
          <w:tcPr>
            <w:tcW w:w="1264" w:type="dxa"/>
            <w:vAlign w:val="bottom"/>
          </w:tcPr>
          <w:p w14:paraId="42ED6FCC" w14:textId="178FB653"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29E6C060" w14:textId="7F52510F"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146EDF7F" w14:textId="13FCB486"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7C80BC96" w14:textId="60A626C2"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71CFC232" w14:textId="6129D583"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4A59F42C" w14:textId="1CF0F828" w:rsidR="00630C39" w:rsidRPr="00872D7E" w:rsidRDefault="00630C39" w:rsidP="00630C39">
            <w:pPr>
              <w:jc w:val="right"/>
              <w:rPr>
                <w:sz w:val="16"/>
                <w:szCs w:val="16"/>
              </w:rPr>
            </w:pPr>
            <w:r w:rsidRPr="00872D7E">
              <w:rPr>
                <w:color w:val="000000"/>
                <w:sz w:val="16"/>
                <w:szCs w:val="16"/>
              </w:rPr>
              <w:t>-</w:t>
            </w:r>
          </w:p>
        </w:tc>
      </w:tr>
      <w:tr w:rsidR="00630C39" w:rsidRPr="00872D7E" w14:paraId="7E80160E" w14:textId="77777777" w:rsidTr="00630C39">
        <w:trPr>
          <w:trHeight w:val="20"/>
        </w:trPr>
        <w:tc>
          <w:tcPr>
            <w:tcW w:w="2407" w:type="dxa"/>
            <w:vAlign w:val="bottom"/>
            <w:hideMark/>
          </w:tcPr>
          <w:p w14:paraId="2793AAAD" w14:textId="77777777" w:rsidR="00630C39" w:rsidRPr="00872D7E" w:rsidRDefault="00630C39" w:rsidP="00630C39">
            <w:pPr>
              <w:rPr>
                <w:color w:val="000000"/>
                <w:sz w:val="15"/>
                <w:szCs w:val="15"/>
              </w:rPr>
            </w:pPr>
            <w:r w:rsidRPr="00872D7E">
              <w:rPr>
                <w:color w:val="000000"/>
                <w:sz w:val="15"/>
                <w:szCs w:val="15"/>
              </w:rPr>
              <w:t>Türev Finansal Varlıklar</w:t>
            </w:r>
          </w:p>
        </w:tc>
        <w:tc>
          <w:tcPr>
            <w:tcW w:w="1264" w:type="dxa"/>
            <w:vAlign w:val="bottom"/>
          </w:tcPr>
          <w:p w14:paraId="6707641F" w14:textId="636CC9C8"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2198D8B9" w14:textId="5F85E0C9"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7FBEF46A" w14:textId="2E0D64C6" w:rsidR="00630C39" w:rsidRPr="00872D7E" w:rsidRDefault="00630C39" w:rsidP="00630C39">
            <w:pPr>
              <w:jc w:val="right"/>
              <w:rPr>
                <w:color w:val="000000"/>
                <w:sz w:val="16"/>
                <w:szCs w:val="16"/>
              </w:rPr>
            </w:pPr>
            <w:r w:rsidRPr="00872D7E">
              <w:rPr>
                <w:color w:val="000000"/>
                <w:sz w:val="16"/>
                <w:szCs w:val="16"/>
              </w:rPr>
              <w:t>-</w:t>
            </w:r>
          </w:p>
        </w:tc>
        <w:tc>
          <w:tcPr>
            <w:tcW w:w="1276" w:type="dxa"/>
            <w:vAlign w:val="bottom"/>
          </w:tcPr>
          <w:p w14:paraId="5BB38416" w14:textId="52DFCD08" w:rsidR="00630C39" w:rsidRPr="00872D7E" w:rsidRDefault="00630C39" w:rsidP="00630C39">
            <w:pPr>
              <w:jc w:val="right"/>
              <w:rPr>
                <w:color w:val="000000"/>
                <w:sz w:val="16"/>
                <w:szCs w:val="16"/>
              </w:rPr>
            </w:pPr>
            <w:r w:rsidRPr="00872D7E">
              <w:rPr>
                <w:color w:val="000000"/>
                <w:sz w:val="16"/>
                <w:szCs w:val="16"/>
              </w:rPr>
              <w:t>-</w:t>
            </w:r>
          </w:p>
        </w:tc>
        <w:tc>
          <w:tcPr>
            <w:tcW w:w="1048" w:type="dxa"/>
            <w:vAlign w:val="bottom"/>
          </w:tcPr>
          <w:p w14:paraId="10DF2A52" w14:textId="6EC98239" w:rsidR="00630C39" w:rsidRPr="00872D7E" w:rsidRDefault="00630C39" w:rsidP="00630C39">
            <w:pPr>
              <w:jc w:val="right"/>
              <w:rPr>
                <w:color w:val="000000"/>
                <w:sz w:val="16"/>
                <w:szCs w:val="16"/>
              </w:rPr>
            </w:pPr>
            <w:r w:rsidRPr="00872D7E">
              <w:rPr>
                <w:color w:val="000000"/>
                <w:sz w:val="16"/>
                <w:szCs w:val="16"/>
              </w:rPr>
              <w:t>-</w:t>
            </w:r>
          </w:p>
        </w:tc>
        <w:tc>
          <w:tcPr>
            <w:tcW w:w="1426" w:type="dxa"/>
            <w:vAlign w:val="bottom"/>
          </w:tcPr>
          <w:p w14:paraId="5C673599" w14:textId="4395A823"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64843E49" w14:textId="77777777" w:rsidTr="00630C39">
        <w:trPr>
          <w:trHeight w:val="20"/>
        </w:trPr>
        <w:tc>
          <w:tcPr>
            <w:tcW w:w="2407" w:type="dxa"/>
            <w:vAlign w:val="bottom"/>
            <w:hideMark/>
          </w:tcPr>
          <w:p w14:paraId="12DB115F" w14:textId="77777777" w:rsidR="00630C39" w:rsidRPr="00872D7E" w:rsidRDefault="00630C39" w:rsidP="00630C39">
            <w:pPr>
              <w:rPr>
                <w:color w:val="000000"/>
                <w:sz w:val="15"/>
                <w:szCs w:val="15"/>
              </w:rPr>
            </w:pPr>
            <w:r w:rsidRPr="00872D7E">
              <w:rPr>
                <w:color w:val="000000"/>
                <w:sz w:val="15"/>
                <w:szCs w:val="15"/>
              </w:rPr>
              <w:t>Donuk Finansal Varlıklar</w:t>
            </w:r>
          </w:p>
        </w:tc>
        <w:tc>
          <w:tcPr>
            <w:tcW w:w="1264" w:type="dxa"/>
            <w:vAlign w:val="bottom"/>
          </w:tcPr>
          <w:p w14:paraId="79362DC5" w14:textId="5F60220D"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2E86CA9D" w14:textId="060736AD"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0417C02E" w14:textId="5DC9382E"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1E3461B4" w14:textId="0B7D126F"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5A950AAF" w14:textId="5838D802"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22C7C2AD" w14:textId="17C39A99"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7F8720BF" w14:textId="77777777" w:rsidTr="00630C39">
        <w:trPr>
          <w:trHeight w:val="20"/>
        </w:trPr>
        <w:tc>
          <w:tcPr>
            <w:tcW w:w="2407" w:type="dxa"/>
            <w:vAlign w:val="bottom"/>
            <w:hideMark/>
          </w:tcPr>
          <w:p w14:paraId="405675C0" w14:textId="77777777" w:rsidR="00630C39" w:rsidRPr="00872D7E" w:rsidRDefault="00630C39" w:rsidP="00630C39">
            <w:pPr>
              <w:rPr>
                <w:color w:val="000000"/>
                <w:sz w:val="15"/>
                <w:szCs w:val="15"/>
              </w:rPr>
            </w:pPr>
            <w:r w:rsidRPr="00872D7E">
              <w:rPr>
                <w:color w:val="000000"/>
                <w:sz w:val="15"/>
                <w:szCs w:val="15"/>
              </w:rPr>
              <w:t>Beklenen Zarar Karşılıkları (-)</w:t>
            </w:r>
          </w:p>
        </w:tc>
        <w:tc>
          <w:tcPr>
            <w:tcW w:w="1264" w:type="dxa"/>
            <w:vAlign w:val="bottom"/>
          </w:tcPr>
          <w:p w14:paraId="4FF00A8F" w14:textId="460E9934"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46D1F88D" w14:textId="39182D84"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00390295" w14:textId="6F9701AF"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2624BAF0" w14:textId="0F288386"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6A24547D" w14:textId="204A635B"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0ECA3CB2" w14:textId="60D24BF6"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31D81061" w14:textId="77777777" w:rsidTr="00630C39">
        <w:trPr>
          <w:trHeight w:val="20"/>
        </w:trPr>
        <w:tc>
          <w:tcPr>
            <w:tcW w:w="2407" w:type="dxa"/>
            <w:vAlign w:val="bottom"/>
            <w:hideMark/>
          </w:tcPr>
          <w:p w14:paraId="7E004667" w14:textId="77777777" w:rsidR="00630C39" w:rsidRPr="00872D7E" w:rsidRDefault="00630C39" w:rsidP="00630C39">
            <w:pPr>
              <w:rPr>
                <w:b/>
                <w:bCs/>
                <w:color w:val="000000"/>
                <w:sz w:val="15"/>
                <w:szCs w:val="15"/>
              </w:rPr>
            </w:pPr>
            <w:r w:rsidRPr="00872D7E">
              <w:rPr>
                <w:b/>
                <w:bCs/>
                <w:color w:val="000000"/>
                <w:sz w:val="15"/>
                <w:szCs w:val="15"/>
              </w:rPr>
              <w:t>KREDİLER (Net)</w:t>
            </w:r>
          </w:p>
        </w:tc>
        <w:tc>
          <w:tcPr>
            <w:tcW w:w="1264" w:type="dxa"/>
            <w:vAlign w:val="bottom"/>
          </w:tcPr>
          <w:p w14:paraId="6B99E9E8" w14:textId="7EB8F527" w:rsidR="00630C39" w:rsidRPr="00872D7E" w:rsidRDefault="00630C39" w:rsidP="00630C39">
            <w:pPr>
              <w:jc w:val="right"/>
              <w:rPr>
                <w:b/>
                <w:color w:val="000000"/>
                <w:sz w:val="16"/>
                <w:szCs w:val="16"/>
              </w:rPr>
            </w:pPr>
            <w:r w:rsidRPr="00872D7E">
              <w:rPr>
                <w:color w:val="000000"/>
                <w:sz w:val="16"/>
                <w:szCs w:val="16"/>
              </w:rPr>
              <w:t>-</w:t>
            </w:r>
          </w:p>
        </w:tc>
        <w:tc>
          <w:tcPr>
            <w:tcW w:w="1105" w:type="dxa"/>
            <w:vAlign w:val="bottom"/>
          </w:tcPr>
          <w:p w14:paraId="0AAF594D" w14:textId="18A1E2BD" w:rsidR="00630C39" w:rsidRPr="00872D7E" w:rsidRDefault="00630C39" w:rsidP="00630C39">
            <w:pPr>
              <w:jc w:val="right"/>
              <w:rPr>
                <w:b/>
                <w:color w:val="000000"/>
                <w:sz w:val="16"/>
                <w:szCs w:val="16"/>
              </w:rPr>
            </w:pPr>
            <w:r w:rsidRPr="00872D7E">
              <w:rPr>
                <w:color w:val="000000"/>
                <w:sz w:val="16"/>
                <w:szCs w:val="16"/>
              </w:rPr>
              <w:t>-</w:t>
            </w:r>
          </w:p>
        </w:tc>
        <w:tc>
          <w:tcPr>
            <w:tcW w:w="1134" w:type="dxa"/>
            <w:vAlign w:val="bottom"/>
          </w:tcPr>
          <w:p w14:paraId="0401A7BB" w14:textId="15843305" w:rsidR="00630C39" w:rsidRPr="00872D7E" w:rsidRDefault="00630C39" w:rsidP="00630C39">
            <w:pPr>
              <w:jc w:val="right"/>
              <w:rPr>
                <w:b/>
                <w:sz w:val="16"/>
                <w:szCs w:val="16"/>
              </w:rPr>
            </w:pPr>
            <w:r w:rsidRPr="00872D7E">
              <w:rPr>
                <w:color w:val="000000"/>
                <w:sz w:val="16"/>
                <w:szCs w:val="16"/>
              </w:rPr>
              <w:t>-</w:t>
            </w:r>
          </w:p>
        </w:tc>
        <w:tc>
          <w:tcPr>
            <w:tcW w:w="1276" w:type="dxa"/>
            <w:vAlign w:val="bottom"/>
          </w:tcPr>
          <w:p w14:paraId="4E8C72B8" w14:textId="0BA60FCD" w:rsidR="00630C39" w:rsidRPr="00872D7E" w:rsidRDefault="00630C39" w:rsidP="00630C39">
            <w:pPr>
              <w:jc w:val="right"/>
              <w:rPr>
                <w:b/>
                <w:sz w:val="16"/>
                <w:szCs w:val="16"/>
              </w:rPr>
            </w:pPr>
            <w:r w:rsidRPr="00872D7E">
              <w:rPr>
                <w:color w:val="000000"/>
                <w:sz w:val="16"/>
                <w:szCs w:val="16"/>
              </w:rPr>
              <w:t>-</w:t>
            </w:r>
          </w:p>
        </w:tc>
        <w:tc>
          <w:tcPr>
            <w:tcW w:w="1048" w:type="dxa"/>
            <w:vAlign w:val="bottom"/>
          </w:tcPr>
          <w:p w14:paraId="7D19E91D" w14:textId="7CB8DBCC" w:rsidR="00630C39" w:rsidRPr="00872D7E" w:rsidRDefault="00630C39" w:rsidP="00630C39">
            <w:pPr>
              <w:jc w:val="right"/>
              <w:rPr>
                <w:b/>
                <w:sz w:val="16"/>
                <w:szCs w:val="16"/>
              </w:rPr>
            </w:pPr>
            <w:r w:rsidRPr="00872D7E">
              <w:rPr>
                <w:color w:val="000000"/>
                <w:sz w:val="16"/>
                <w:szCs w:val="16"/>
              </w:rPr>
              <w:t>-</w:t>
            </w:r>
          </w:p>
        </w:tc>
        <w:tc>
          <w:tcPr>
            <w:tcW w:w="1426" w:type="dxa"/>
            <w:vAlign w:val="bottom"/>
          </w:tcPr>
          <w:p w14:paraId="6610E96E" w14:textId="5AD52761" w:rsidR="00630C39" w:rsidRPr="00872D7E" w:rsidRDefault="00630C39" w:rsidP="00630C39">
            <w:pPr>
              <w:jc w:val="right"/>
              <w:rPr>
                <w:b/>
                <w:color w:val="000000"/>
                <w:sz w:val="16"/>
                <w:szCs w:val="16"/>
              </w:rPr>
            </w:pPr>
            <w:r w:rsidRPr="00872D7E">
              <w:rPr>
                <w:color w:val="000000"/>
                <w:sz w:val="16"/>
                <w:szCs w:val="16"/>
              </w:rPr>
              <w:t>-</w:t>
            </w:r>
          </w:p>
        </w:tc>
      </w:tr>
      <w:tr w:rsidR="00630C39" w:rsidRPr="00872D7E" w14:paraId="6F43FD1F" w14:textId="77777777" w:rsidTr="00630C39">
        <w:trPr>
          <w:trHeight w:val="20"/>
        </w:trPr>
        <w:tc>
          <w:tcPr>
            <w:tcW w:w="2407" w:type="dxa"/>
            <w:vAlign w:val="bottom"/>
            <w:hideMark/>
          </w:tcPr>
          <w:p w14:paraId="48F936E6" w14:textId="77777777" w:rsidR="00630C39" w:rsidRPr="00872D7E" w:rsidRDefault="00630C39" w:rsidP="00630C39">
            <w:pPr>
              <w:rPr>
                <w:color w:val="000000"/>
                <w:sz w:val="15"/>
                <w:szCs w:val="15"/>
              </w:rPr>
            </w:pPr>
            <w:r w:rsidRPr="00872D7E">
              <w:rPr>
                <w:color w:val="000000"/>
                <w:sz w:val="15"/>
                <w:szCs w:val="15"/>
              </w:rPr>
              <w:t xml:space="preserve">Krediler </w:t>
            </w:r>
          </w:p>
        </w:tc>
        <w:tc>
          <w:tcPr>
            <w:tcW w:w="1264" w:type="dxa"/>
            <w:vAlign w:val="bottom"/>
          </w:tcPr>
          <w:p w14:paraId="1BBBF158" w14:textId="3E54A142"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14268401" w14:textId="4FBB45D4"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24A2D555" w14:textId="5E72C296"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15DEF5D9" w14:textId="739FD5E5"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258A42C0" w14:textId="55DDB77D"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442F8D13" w14:textId="35D515A5"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38121853" w14:textId="77777777" w:rsidTr="00630C39">
        <w:trPr>
          <w:trHeight w:val="20"/>
        </w:trPr>
        <w:tc>
          <w:tcPr>
            <w:tcW w:w="2407" w:type="dxa"/>
            <w:vAlign w:val="bottom"/>
            <w:hideMark/>
          </w:tcPr>
          <w:p w14:paraId="1E528BB2" w14:textId="77777777" w:rsidR="00630C39" w:rsidRPr="00872D7E" w:rsidRDefault="00630C39" w:rsidP="00630C39">
            <w:pPr>
              <w:rPr>
                <w:color w:val="000000"/>
                <w:sz w:val="15"/>
                <w:szCs w:val="15"/>
              </w:rPr>
            </w:pPr>
            <w:r w:rsidRPr="00872D7E">
              <w:rPr>
                <w:color w:val="000000"/>
                <w:sz w:val="15"/>
                <w:szCs w:val="15"/>
              </w:rPr>
              <w:t>Kiralama İşlemlerinden Alacaklar</w:t>
            </w:r>
          </w:p>
        </w:tc>
        <w:tc>
          <w:tcPr>
            <w:tcW w:w="1264" w:type="dxa"/>
            <w:vAlign w:val="bottom"/>
          </w:tcPr>
          <w:p w14:paraId="5FC5E1D6" w14:textId="4AAC2F9C"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4575B518" w14:textId="4AAB5740"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4FB13834" w14:textId="2A3F1B73"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5CC5FE9A" w14:textId="520CE584"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32C54060" w14:textId="53CDD184"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544361F7" w14:textId="19EBA99E" w:rsidR="00630C39" w:rsidRPr="00872D7E" w:rsidRDefault="00630C39" w:rsidP="00630C39">
            <w:pPr>
              <w:jc w:val="right"/>
              <w:rPr>
                <w:sz w:val="16"/>
                <w:szCs w:val="16"/>
              </w:rPr>
            </w:pPr>
            <w:r w:rsidRPr="00872D7E">
              <w:rPr>
                <w:color w:val="000000"/>
                <w:sz w:val="16"/>
                <w:szCs w:val="16"/>
              </w:rPr>
              <w:t>-</w:t>
            </w:r>
          </w:p>
        </w:tc>
      </w:tr>
      <w:tr w:rsidR="00630C39" w:rsidRPr="00872D7E" w14:paraId="1845BB54" w14:textId="77777777" w:rsidTr="00630C39">
        <w:trPr>
          <w:trHeight w:val="20"/>
        </w:trPr>
        <w:tc>
          <w:tcPr>
            <w:tcW w:w="2407" w:type="dxa"/>
            <w:vAlign w:val="bottom"/>
            <w:hideMark/>
          </w:tcPr>
          <w:p w14:paraId="293BE898" w14:textId="77777777" w:rsidR="00630C39" w:rsidRPr="00872D7E" w:rsidRDefault="00630C39" w:rsidP="00630C39">
            <w:pPr>
              <w:rPr>
                <w:color w:val="000000"/>
                <w:sz w:val="15"/>
                <w:szCs w:val="15"/>
              </w:rPr>
            </w:pPr>
            <w:proofErr w:type="spellStart"/>
            <w:r w:rsidRPr="00872D7E">
              <w:rPr>
                <w:color w:val="000000"/>
                <w:sz w:val="15"/>
                <w:szCs w:val="15"/>
              </w:rPr>
              <w:t>Faktoring</w:t>
            </w:r>
            <w:proofErr w:type="spellEnd"/>
            <w:r w:rsidRPr="00872D7E">
              <w:rPr>
                <w:color w:val="000000"/>
                <w:sz w:val="15"/>
                <w:szCs w:val="15"/>
              </w:rPr>
              <w:t xml:space="preserve"> Alacakları</w:t>
            </w:r>
          </w:p>
        </w:tc>
        <w:tc>
          <w:tcPr>
            <w:tcW w:w="1264" w:type="dxa"/>
            <w:vAlign w:val="bottom"/>
          </w:tcPr>
          <w:p w14:paraId="7A56CAC9" w14:textId="00D6E520"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6EAE6A5E" w14:textId="4F209E1E"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343380F9" w14:textId="315EC628"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36E7AECB" w14:textId="1BE4C8FF"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71296F85" w14:textId="32FF97A9"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5DA82FFC" w14:textId="1269EAA4" w:rsidR="00630C39" w:rsidRPr="00872D7E" w:rsidRDefault="00630C39" w:rsidP="00630C39">
            <w:pPr>
              <w:jc w:val="right"/>
              <w:rPr>
                <w:sz w:val="16"/>
                <w:szCs w:val="16"/>
              </w:rPr>
            </w:pPr>
            <w:r w:rsidRPr="00872D7E">
              <w:rPr>
                <w:color w:val="000000"/>
                <w:sz w:val="16"/>
                <w:szCs w:val="16"/>
              </w:rPr>
              <w:t>-</w:t>
            </w:r>
          </w:p>
        </w:tc>
      </w:tr>
      <w:tr w:rsidR="00630C39" w:rsidRPr="00872D7E" w14:paraId="3318492C" w14:textId="77777777" w:rsidTr="00630C39">
        <w:trPr>
          <w:trHeight w:val="20"/>
        </w:trPr>
        <w:tc>
          <w:tcPr>
            <w:tcW w:w="2407" w:type="dxa"/>
            <w:vAlign w:val="bottom"/>
            <w:hideMark/>
          </w:tcPr>
          <w:p w14:paraId="463044C1" w14:textId="77777777" w:rsidR="00630C39" w:rsidRPr="00872D7E" w:rsidRDefault="00630C39" w:rsidP="00630C39">
            <w:pPr>
              <w:rPr>
                <w:color w:val="000000"/>
                <w:sz w:val="15"/>
                <w:szCs w:val="15"/>
              </w:rPr>
            </w:pPr>
            <w:r w:rsidRPr="00872D7E">
              <w:rPr>
                <w:color w:val="000000"/>
                <w:sz w:val="15"/>
                <w:szCs w:val="15"/>
              </w:rPr>
              <w:t>Donuk Alacaklar</w:t>
            </w:r>
          </w:p>
        </w:tc>
        <w:tc>
          <w:tcPr>
            <w:tcW w:w="1264" w:type="dxa"/>
            <w:vAlign w:val="bottom"/>
          </w:tcPr>
          <w:p w14:paraId="44CA85A4" w14:textId="045B4A8E"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2875C324" w14:textId="3D47ED2C"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48CBF865" w14:textId="0B6284AF"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54051CFF" w14:textId="5D88DCED"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63364876" w14:textId="66906881"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3486D14D" w14:textId="4D061918" w:rsidR="00630C39" w:rsidRPr="00872D7E" w:rsidRDefault="00630C39" w:rsidP="00630C39">
            <w:pPr>
              <w:jc w:val="right"/>
              <w:rPr>
                <w:sz w:val="16"/>
                <w:szCs w:val="16"/>
              </w:rPr>
            </w:pPr>
            <w:r w:rsidRPr="00872D7E">
              <w:rPr>
                <w:color w:val="000000"/>
                <w:sz w:val="16"/>
                <w:szCs w:val="16"/>
              </w:rPr>
              <w:t>-</w:t>
            </w:r>
          </w:p>
        </w:tc>
      </w:tr>
      <w:tr w:rsidR="00630C39" w:rsidRPr="00872D7E" w14:paraId="27D467BB" w14:textId="77777777" w:rsidTr="00630C39">
        <w:trPr>
          <w:trHeight w:val="20"/>
        </w:trPr>
        <w:tc>
          <w:tcPr>
            <w:tcW w:w="2407" w:type="dxa"/>
            <w:vAlign w:val="bottom"/>
            <w:hideMark/>
          </w:tcPr>
          <w:p w14:paraId="45BBDA6D" w14:textId="77777777" w:rsidR="00630C39" w:rsidRPr="00872D7E" w:rsidRDefault="00630C39" w:rsidP="00630C39">
            <w:pPr>
              <w:rPr>
                <w:color w:val="000000"/>
                <w:sz w:val="15"/>
                <w:szCs w:val="15"/>
              </w:rPr>
            </w:pPr>
            <w:r w:rsidRPr="00872D7E">
              <w:rPr>
                <w:color w:val="000000"/>
                <w:sz w:val="15"/>
                <w:szCs w:val="15"/>
              </w:rPr>
              <w:t>Beklenen Zarar Karşılıkları (-)</w:t>
            </w:r>
          </w:p>
        </w:tc>
        <w:tc>
          <w:tcPr>
            <w:tcW w:w="1264" w:type="dxa"/>
            <w:vAlign w:val="bottom"/>
          </w:tcPr>
          <w:p w14:paraId="52B75F56" w14:textId="7DFD8DB3"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5FD15AFB" w14:textId="03320005"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7D9C28DF" w14:textId="30377A30"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6AD8DD1C" w14:textId="5B574A05"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1CA75CCE" w14:textId="3EBF96B4"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5BA01863" w14:textId="57055F04"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2917CE8D" w14:textId="77777777" w:rsidTr="00630C39">
        <w:trPr>
          <w:trHeight w:val="20"/>
        </w:trPr>
        <w:tc>
          <w:tcPr>
            <w:tcW w:w="2407" w:type="dxa"/>
            <w:vAlign w:val="bottom"/>
            <w:hideMark/>
          </w:tcPr>
          <w:p w14:paraId="1A9C3BA4" w14:textId="77777777" w:rsidR="00630C39" w:rsidRPr="00872D7E" w:rsidRDefault="00630C39" w:rsidP="00630C39">
            <w:pPr>
              <w:rPr>
                <w:color w:val="000000"/>
                <w:sz w:val="15"/>
                <w:szCs w:val="15"/>
              </w:rPr>
            </w:pPr>
            <w:r w:rsidRPr="00872D7E">
              <w:rPr>
                <w:color w:val="000000"/>
                <w:sz w:val="15"/>
                <w:szCs w:val="15"/>
              </w:rPr>
              <w:t>Satış Amaçlı Elde Tutulan ve Durdurulan Faaliyetlere İlişkin Duran Varlıklar (Net)</w:t>
            </w:r>
          </w:p>
        </w:tc>
        <w:tc>
          <w:tcPr>
            <w:tcW w:w="1264" w:type="dxa"/>
            <w:vAlign w:val="bottom"/>
          </w:tcPr>
          <w:p w14:paraId="76A8B9B9" w14:textId="041AFE50"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41E9E26C" w14:textId="1A9AFF15"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44A01895" w14:textId="47388F10"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4CDBF3AE" w14:textId="5FD528C2"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2D20351A" w14:textId="0F89936A"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47A1E695" w14:textId="2BE9036E"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4B142988" w14:textId="77777777" w:rsidTr="00630C39">
        <w:trPr>
          <w:trHeight w:val="20"/>
        </w:trPr>
        <w:tc>
          <w:tcPr>
            <w:tcW w:w="2407" w:type="dxa"/>
            <w:vAlign w:val="bottom"/>
            <w:hideMark/>
          </w:tcPr>
          <w:p w14:paraId="115BCAB2" w14:textId="77777777" w:rsidR="00630C39" w:rsidRPr="00872D7E" w:rsidRDefault="00630C39" w:rsidP="00630C39">
            <w:pPr>
              <w:rPr>
                <w:color w:val="000000"/>
                <w:sz w:val="15"/>
                <w:szCs w:val="15"/>
              </w:rPr>
            </w:pPr>
            <w:r w:rsidRPr="00872D7E">
              <w:rPr>
                <w:color w:val="000000"/>
                <w:sz w:val="15"/>
                <w:szCs w:val="15"/>
              </w:rPr>
              <w:t>Ortaklık Yatırımları</w:t>
            </w:r>
          </w:p>
        </w:tc>
        <w:tc>
          <w:tcPr>
            <w:tcW w:w="1264" w:type="dxa"/>
            <w:vAlign w:val="bottom"/>
          </w:tcPr>
          <w:p w14:paraId="097BCF7B" w14:textId="25355619"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6DD359BA" w14:textId="0A34CD55"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60262FAD" w14:textId="26B5FDF6"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33FFEA79" w14:textId="2EDC962B"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7BD2E9A3" w14:textId="5F79B441"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655A0F91" w14:textId="5B050A23"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599E66A7" w14:textId="77777777" w:rsidTr="00630C39">
        <w:trPr>
          <w:trHeight w:val="20"/>
        </w:trPr>
        <w:tc>
          <w:tcPr>
            <w:tcW w:w="2407" w:type="dxa"/>
            <w:vAlign w:val="bottom"/>
            <w:hideMark/>
          </w:tcPr>
          <w:p w14:paraId="5F8A29E9" w14:textId="77777777" w:rsidR="00630C39" w:rsidRPr="00872D7E" w:rsidRDefault="00630C39" w:rsidP="00630C39">
            <w:pPr>
              <w:rPr>
                <w:color w:val="000000"/>
                <w:sz w:val="15"/>
                <w:szCs w:val="15"/>
              </w:rPr>
            </w:pPr>
            <w:r w:rsidRPr="00872D7E">
              <w:rPr>
                <w:color w:val="000000"/>
                <w:sz w:val="15"/>
                <w:szCs w:val="15"/>
              </w:rPr>
              <w:t xml:space="preserve">Maddi Duran Varlıklar (Net) </w:t>
            </w:r>
          </w:p>
        </w:tc>
        <w:tc>
          <w:tcPr>
            <w:tcW w:w="1264" w:type="dxa"/>
            <w:vAlign w:val="bottom"/>
          </w:tcPr>
          <w:p w14:paraId="5276B1E0" w14:textId="6B62C976" w:rsidR="00630C39" w:rsidRPr="00872D7E" w:rsidRDefault="00630C39" w:rsidP="00630C39">
            <w:pPr>
              <w:jc w:val="right"/>
              <w:rPr>
                <w:color w:val="000000"/>
                <w:sz w:val="16"/>
                <w:szCs w:val="16"/>
              </w:rPr>
            </w:pPr>
            <w:r w:rsidRPr="00872D7E">
              <w:rPr>
                <w:color w:val="000000"/>
                <w:sz w:val="16"/>
                <w:szCs w:val="16"/>
              </w:rPr>
              <w:t>83.528</w:t>
            </w:r>
          </w:p>
        </w:tc>
        <w:tc>
          <w:tcPr>
            <w:tcW w:w="1105" w:type="dxa"/>
            <w:vAlign w:val="bottom"/>
          </w:tcPr>
          <w:p w14:paraId="2E92BD3C" w14:textId="47D7B186" w:rsidR="00630C39" w:rsidRPr="00872D7E" w:rsidRDefault="00630C39" w:rsidP="00630C39">
            <w:pPr>
              <w:jc w:val="right"/>
              <w:rPr>
                <w:color w:val="000000"/>
                <w:sz w:val="16"/>
                <w:szCs w:val="16"/>
              </w:rPr>
            </w:pPr>
            <w:r w:rsidRPr="00872D7E">
              <w:rPr>
                <w:color w:val="000000"/>
                <w:sz w:val="16"/>
                <w:szCs w:val="16"/>
              </w:rPr>
              <w:t>83.528</w:t>
            </w:r>
          </w:p>
        </w:tc>
        <w:tc>
          <w:tcPr>
            <w:tcW w:w="1134" w:type="dxa"/>
            <w:vAlign w:val="bottom"/>
          </w:tcPr>
          <w:p w14:paraId="4E727EFD" w14:textId="38C22CAF"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197E81BC" w14:textId="0C390899"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2543CA43" w14:textId="030B92F4"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34B33253" w14:textId="6E11450C" w:rsidR="00630C39" w:rsidRPr="00872D7E" w:rsidRDefault="00630C39" w:rsidP="00630C39">
            <w:pPr>
              <w:jc w:val="right"/>
              <w:rPr>
                <w:color w:val="000000"/>
                <w:sz w:val="16"/>
                <w:szCs w:val="16"/>
              </w:rPr>
            </w:pPr>
            <w:r w:rsidRPr="00872D7E">
              <w:rPr>
                <w:color w:val="000000"/>
                <w:sz w:val="16"/>
                <w:szCs w:val="16"/>
              </w:rPr>
              <w:t>23.385</w:t>
            </w:r>
          </w:p>
        </w:tc>
      </w:tr>
      <w:tr w:rsidR="00630C39" w:rsidRPr="00872D7E" w14:paraId="15CA6D68" w14:textId="77777777" w:rsidTr="00630C39">
        <w:trPr>
          <w:trHeight w:val="20"/>
        </w:trPr>
        <w:tc>
          <w:tcPr>
            <w:tcW w:w="2407" w:type="dxa"/>
            <w:vAlign w:val="bottom"/>
            <w:hideMark/>
          </w:tcPr>
          <w:p w14:paraId="2CD4FFF7" w14:textId="77777777" w:rsidR="00630C39" w:rsidRPr="00872D7E" w:rsidRDefault="00630C39" w:rsidP="00630C39">
            <w:pPr>
              <w:rPr>
                <w:color w:val="000000"/>
                <w:sz w:val="15"/>
                <w:szCs w:val="15"/>
              </w:rPr>
            </w:pPr>
            <w:r w:rsidRPr="00872D7E">
              <w:rPr>
                <w:color w:val="000000"/>
                <w:sz w:val="15"/>
                <w:szCs w:val="15"/>
              </w:rPr>
              <w:t>Maddi Olmayan Duran Varlıklar (Net)</w:t>
            </w:r>
          </w:p>
        </w:tc>
        <w:tc>
          <w:tcPr>
            <w:tcW w:w="1264" w:type="dxa"/>
            <w:vAlign w:val="bottom"/>
          </w:tcPr>
          <w:p w14:paraId="026C84C5" w14:textId="2792D639" w:rsidR="00630C39" w:rsidRPr="00872D7E" w:rsidRDefault="00630C39" w:rsidP="00630C39">
            <w:pPr>
              <w:jc w:val="right"/>
              <w:rPr>
                <w:color w:val="000000"/>
                <w:sz w:val="16"/>
                <w:szCs w:val="16"/>
              </w:rPr>
            </w:pPr>
            <w:r w:rsidRPr="00872D7E">
              <w:rPr>
                <w:color w:val="000000"/>
                <w:sz w:val="16"/>
                <w:szCs w:val="16"/>
              </w:rPr>
              <w:t>5.575</w:t>
            </w:r>
          </w:p>
        </w:tc>
        <w:tc>
          <w:tcPr>
            <w:tcW w:w="1105" w:type="dxa"/>
            <w:vAlign w:val="bottom"/>
          </w:tcPr>
          <w:p w14:paraId="182E2B79" w14:textId="473112A9" w:rsidR="00630C39" w:rsidRPr="00872D7E" w:rsidRDefault="00630C39" w:rsidP="00630C39">
            <w:pPr>
              <w:jc w:val="right"/>
              <w:rPr>
                <w:color w:val="000000"/>
                <w:sz w:val="16"/>
                <w:szCs w:val="16"/>
              </w:rPr>
            </w:pPr>
            <w:r w:rsidRPr="00872D7E">
              <w:rPr>
                <w:color w:val="000000"/>
                <w:sz w:val="16"/>
                <w:szCs w:val="16"/>
              </w:rPr>
              <w:t>5.575</w:t>
            </w:r>
          </w:p>
        </w:tc>
        <w:tc>
          <w:tcPr>
            <w:tcW w:w="1134" w:type="dxa"/>
            <w:vAlign w:val="bottom"/>
          </w:tcPr>
          <w:p w14:paraId="3E467363" w14:textId="40A5C1F3"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2FC570D0" w14:textId="320E57FA"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448598DB" w14:textId="6B51DD59"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5445D35D" w14:textId="3EA57CC5"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6167FFBE" w14:textId="77777777" w:rsidTr="00630C39">
        <w:trPr>
          <w:trHeight w:val="20"/>
        </w:trPr>
        <w:tc>
          <w:tcPr>
            <w:tcW w:w="2407" w:type="dxa"/>
            <w:vAlign w:val="bottom"/>
            <w:hideMark/>
          </w:tcPr>
          <w:p w14:paraId="11D3E15C" w14:textId="77777777" w:rsidR="00630C39" w:rsidRPr="00872D7E" w:rsidRDefault="00630C39" w:rsidP="00630C39">
            <w:pPr>
              <w:rPr>
                <w:color w:val="000000"/>
                <w:sz w:val="15"/>
                <w:szCs w:val="15"/>
              </w:rPr>
            </w:pPr>
            <w:r w:rsidRPr="00872D7E">
              <w:rPr>
                <w:color w:val="000000"/>
                <w:sz w:val="15"/>
                <w:szCs w:val="15"/>
              </w:rPr>
              <w:t>Yatırım Amaçlı Gayrimenkuller (Net)</w:t>
            </w:r>
          </w:p>
        </w:tc>
        <w:tc>
          <w:tcPr>
            <w:tcW w:w="1264" w:type="dxa"/>
            <w:vAlign w:val="bottom"/>
          </w:tcPr>
          <w:p w14:paraId="08795134" w14:textId="6DB05885" w:rsidR="00630C39" w:rsidRPr="00872D7E" w:rsidRDefault="00630C39" w:rsidP="00630C39">
            <w:pPr>
              <w:jc w:val="right"/>
              <w:rPr>
                <w:color w:val="000000"/>
                <w:sz w:val="16"/>
                <w:szCs w:val="16"/>
              </w:rPr>
            </w:pPr>
            <w:r w:rsidRPr="00872D7E">
              <w:rPr>
                <w:color w:val="000000"/>
                <w:sz w:val="16"/>
                <w:szCs w:val="16"/>
              </w:rPr>
              <w:t>1.486</w:t>
            </w:r>
          </w:p>
        </w:tc>
        <w:tc>
          <w:tcPr>
            <w:tcW w:w="1105" w:type="dxa"/>
            <w:vAlign w:val="bottom"/>
          </w:tcPr>
          <w:p w14:paraId="312CF602" w14:textId="2140E70C" w:rsidR="00630C39" w:rsidRPr="00872D7E" w:rsidRDefault="00630C39" w:rsidP="00630C39">
            <w:pPr>
              <w:jc w:val="right"/>
              <w:rPr>
                <w:color w:val="000000"/>
                <w:sz w:val="16"/>
                <w:szCs w:val="16"/>
              </w:rPr>
            </w:pPr>
            <w:r w:rsidRPr="00872D7E">
              <w:rPr>
                <w:color w:val="000000"/>
                <w:sz w:val="16"/>
                <w:szCs w:val="16"/>
              </w:rPr>
              <w:t>1.486</w:t>
            </w:r>
          </w:p>
        </w:tc>
        <w:tc>
          <w:tcPr>
            <w:tcW w:w="1134" w:type="dxa"/>
            <w:vAlign w:val="bottom"/>
          </w:tcPr>
          <w:p w14:paraId="24E67475" w14:textId="51EC6D3B"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380E7C27" w14:textId="76276146"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1EBDC13B" w14:textId="5FCBA966"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70AABED6" w14:textId="232E8858" w:rsidR="00630C39" w:rsidRPr="00872D7E" w:rsidRDefault="00630C39" w:rsidP="00630C39">
            <w:pPr>
              <w:jc w:val="right"/>
              <w:rPr>
                <w:sz w:val="16"/>
                <w:szCs w:val="16"/>
              </w:rPr>
            </w:pPr>
            <w:r w:rsidRPr="00872D7E">
              <w:rPr>
                <w:color w:val="000000"/>
                <w:sz w:val="16"/>
                <w:szCs w:val="16"/>
              </w:rPr>
              <w:t>-</w:t>
            </w:r>
          </w:p>
        </w:tc>
      </w:tr>
      <w:tr w:rsidR="00630C39" w:rsidRPr="00872D7E" w14:paraId="00073925" w14:textId="77777777" w:rsidTr="00630C39">
        <w:trPr>
          <w:trHeight w:val="20"/>
        </w:trPr>
        <w:tc>
          <w:tcPr>
            <w:tcW w:w="2407" w:type="dxa"/>
            <w:vAlign w:val="bottom"/>
            <w:hideMark/>
          </w:tcPr>
          <w:p w14:paraId="6DCAFA5B" w14:textId="77777777" w:rsidR="00630C39" w:rsidRPr="00872D7E" w:rsidRDefault="00630C39" w:rsidP="00630C39">
            <w:pPr>
              <w:rPr>
                <w:color w:val="000000"/>
                <w:sz w:val="15"/>
                <w:szCs w:val="15"/>
              </w:rPr>
            </w:pPr>
            <w:r w:rsidRPr="00872D7E">
              <w:rPr>
                <w:color w:val="000000"/>
                <w:sz w:val="15"/>
                <w:szCs w:val="15"/>
              </w:rPr>
              <w:t>Cari Vergi Varlığı</w:t>
            </w:r>
          </w:p>
        </w:tc>
        <w:tc>
          <w:tcPr>
            <w:tcW w:w="1264" w:type="dxa"/>
            <w:vAlign w:val="bottom"/>
          </w:tcPr>
          <w:p w14:paraId="1EF36933" w14:textId="4B316D16"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7B1791FB" w14:textId="4232CC05"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52483CD3" w14:textId="31C9AC4A"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38524132" w14:textId="20E36FDF"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469BED23" w14:textId="50478172"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66E5269D" w14:textId="623DDE89" w:rsidR="00630C39" w:rsidRPr="00872D7E" w:rsidRDefault="00630C39" w:rsidP="00630C39">
            <w:pPr>
              <w:jc w:val="right"/>
              <w:rPr>
                <w:sz w:val="16"/>
                <w:szCs w:val="16"/>
              </w:rPr>
            </w:pPr>
            <w:r w:rsidRPr="00872D7E">
              <w:rPr>
                <w:color w:val="000000"/>
                <w:sz w:val="16"/>
                <w:szCs w:val="16"/>
              </w:rPr>
              <w:t>-</w:t>
            </w:r>
          </w:p>
        </w:tc>
      </w:tr>
      <w:tr w:rsidR="00630C39" w:rsidRPr="00872D7E" w14:paraId="7066CA92" w14:textId="77777777" w:rsidTr="00630C39">
        <w:trPr>
          <w:trHeight w:val="20"/>
        </w:trPr>
        <w:tc>
          <w:tcPr>
            <w:tcW w:w="2407" w:type="dxa"/>
            <w:vAlign w:val="bottom"/>
            <w:hideMark/>
          </w:tcPr>
          <w:p w14:paraId="3027E755" w14:textId="77777777" w:rsidR="00630C39" w:rsidRPr="00872D7E" w:rsidRDefault="00630C39" w:rsidP="00630C39">
            <w:pPr>
              <w:rPr>
                <w:color w:val="000000"/>
                <w:sz w:val="15"/>
                <w:szCs w:val="15"/>
              </w:rPr>
            </w:pPr>
            <w:r w:rsidRPr="00872D7E">
              <w:rPr>
                <w:color w:val="000000"/>
                <w:sz w:val="15"/>
                <w:szCs w:val="15"/>
              </w:rPr>
              <w:t xml:space="preserve">Ertelenmiş Vergi Varlığı </w:t>
            </w:r>
          </w:p>
        </w:tc>
        <w:tc>
          <w:tcPr>
            <w:tcW w:w="1264" w:type="dxa"/>
            <w:vAlign w:val="bottom"/>
          </w:tcPr>
          <w:p w14:paraId="05E265C6" w14:textId="7A8F0BBA" w:rsidR="00630C39" w:rsidRPr="00872D7E" w:rsidRDefault="00630C39" w:rsidP="00630C39">
            <w:pPr>
              <w:jc w:val="right"/>
              <w:rPr>
                <w:color w:val="000000"/>
                <w:sz w:val="16"/>
                <w:szCs w:val="16"/>
              </w:rPr>
            </w:pPr>
            <w:r w:rsidRPr="00872D7E">
              <w:rPr>
                <w:color w:val="000000"/>
                <w:sz w:val="16"/>
                <w:szCs w:val="16"/>
              </w:rPr>
              <w:t>9.275</w:t>
            </w:r>
          </w:p>
        </w:tc>
        <w:tc>
          <w:tcPr>
            <w:tcW w:w="1105" w:type="dxa"/>
            <w:vAlign w:val="bottom"/>
          </w:tcPr>
          <w:p w14:paraId="59671F64" w14:textId="5CC1D63B" w:rsidR="00630C39" w:rsidRPr="00872D7E" w:rsidRDefault="00630C39" w:rsidP="00630C39">
            <w:pPr>
              <w:jc w:val="right"/>
              <w:rPr>
                <w:color w:val="000000"/>
                <w:sz w:val="16"/>
                <w:szCs w:val="16"/>
              </w:rPr>
            </w:pPr>
            <w:r w:rsidRPr="00872D7E">
              <w:rPr>
                <w:color w:val="000000"/>
                <w:sz w:val="16"/>
                <w:szCs w:val="16"/>
              </w:rPr>
              <w:t>9.275</w:t>
            </w:r>
          </w:p>
        </w:tc>
        <w:tc>
          <w:tcPr>
            <w:tcW w:w="1134" w:type="dxa"/>
            <w:vAlign w:val="bottom"/>
          </w:tcPr>
          <w:p w14:paraId="642C1D96" w14:textId="1344726C"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0B77F0AB" w14:textId="43E65CAC"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13587630" w14:textId="777DF83D"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43BACD67" w14:textId="36A9407C" w:rsidR="00630C39" w:rsidRPr="00872D7E" w:rsidRDefault="00630C39" w:rsidP="00630C39">
            <w:pPr>
              <w:jc w:val="right"/>
              <w:rPr>
                <w:sz w:val="16"/>
                <w:szCs w:val="16"/>
              </w:rPr>
            </w:pPr>
            <w:r w:rsidRPr="00872D7E">
              <w:rPr>
                <w:color w:val="000000"/>
                <w:sz w:val="16"/>
                <w:szCs w:val="16"/>
              </w:rPr>
              <w:t>-</w:t>
            </w:r>
          </w:p>
        </w:tc>
      </w:tr>
      <w:tr w:rsidR="00630C39" w:rsidRPr="00872D7E" w14:paraId="682D53D9" w14:textId="77777777" w:rsidTr="00987E11">
        <w:trPr>
          <w:trHeight w:val="20"/>
        </w:trPr>
        <w:tc>
          <w:tcPr>
            <w:tcW w:w="2407" w:type="dxa"/>
            <w:tcBorders>
              <w:top w:val="nil"/>
              <w:left w:val="nil"/>
              <w:bottom w:val="single" w:sz="4" w:space="0" w:color="auto"/>
              <w:right w:val="nil"/>
            </w:tcBorders>
            <w:vAlign w:val="bottom"/>
            <w:hideMark/>
          </w:tcPr>
          <w:p w14:paraId="3276414B" w14:textId="77777777" w:rsidR="00630C39" w:rsidRPr="00872D7E" w:rsidRDefault="00630C39" w:rsidP="00630C39">
            <w:pPr>
              <w:rPr>
                <w:color w:val="000000"/>
                <w:sz w:val="15"/>
                <w:szCs w:val="15"/>
              </w:rPr>
            </w:pPr>
            <w:r w:rsidRPr="00872D7E">
              <w:rPr>
                <w:color w:val="000000"/>
                <w:sz w:val="15"/>
                <w:szCs w:val="15"/>
              </w:rPr>
              <w:t xml:space="preserve">Diğer Aktifler  </w:t>
            </w:r>
          </w:p>
        </w:tc>
        <w:tc>
          <w:tcPr>
            <w:tcW w:w="1264" w:type="dxa"/>
            <w:tcBorders>
              <w:top w:val="nil"/>
              <w:left w:val="nil"/>
              <w:bottom w:val="single" w:sz="4" w:space="0" w:color="auto"/>
              <w:right w:val="nil"/>
            </w:tcBorders>
            <w:vAlign w:val="bottom"/>
          </w:tcPr>
          <w:p w14:paraId="7DB3B6A1" w14:textId="161BA67F" w:rsidR="00630C39" w:rsidRPr="00872D7E" w:rsidRDefault="00630C39" w:rsidP="00630C39">
            <w:pPr>
              <w:jc w:val="right"/>
              <w:rPr>
                <w:color w:val="000000"/>
                <w:sz w:val="16"/>
                <w:szCs w:val="16"/>
              </w:rPr>
            </w:pPr>
            <w:r w:rsidRPr="00872D7E">
              <w:rPr>
                <w:color w:val="000000"/>
                <w:sz w:val="16"/>
                <w:szCs w:val="16"/>
              </w:rPr>
              <w:t>476</w:t>
            </w:r>
          </w:p>
        </w:tc>
        <w:tc>
          <w:tcPr>
            <w:tcW w:w="1105" w:type="dxa"/>
            <w:tcBorders>
              <w:top w:val="nil"/>
              <w:left w:val="nil"/>
              <w:bottom w:val="single" w:sz="4" w:space="0" w:color="auto"/>
              <w:right w:val="nil"/>
            </w:tcBorders>
            <w:vAlign w:val="bottom"/>
          </w:tcPr>
          <w:p w14:paraId="72723D44" w14:textId="3DCF1A9F" w:rsidR="00630C39" w:rsidRPr="00872D7E" w:rsidRDefault="00630C39" w:rsidP="00630C39">
            <w:pPr>
              <w:jc w:val="right"/>
              <w:rPr>
                <w:color w:val="000000"/>
                <w:sz w:val="16"/>
                <w:szCs w:val="16"/>
              </w:rPr>
            </w:pPr>
            <w:r w:rsidRPr="00872D7E">
              <w:rPr>
                <w:color w:val="000000"/>
                <w:sz w:val="16"/>
                <w:szCs w:val="16"/>
              </w:rPr>
              <w:t>476</w:t>
            </w:r>
          </w:p>
        </w:tc>
        <w:tc>
          <w:tcPr>
            <w:tcW w:w="1134" w:type="dxa"/>
            <w:tcBorders>
              <w:top w:val="nil"/>
              <w:left w:val="nil"/>
              <w:bottom w:val="single" w:sz="4" w:space="0" w:color="auto"/>
              <w:right w:val="nil"/>
            </w:tcBorders>
            <w:vAlign w:val="bottom"/>
          </w:tcPr>
          <w:p w14:paraId="23A5406F" w14:textId="4D3D2059" w:rsidR="00630C39" w:rsidRPr="00872D7E" w:rsidRDefault="00630C39" w:rsidP="00630C39">
            <w:pPr>
              <w:jc w:val="right"/>
              <w:rPr>
                <w:sz w:val="16"/>
                <w:szCs w:val="16"/>
              </w:rPr>
            </w:pPr>
            <w:r w:rsidRPr="00872D7E">
              <w:rPr>
                <w:color w:val="000000"/>
                <w:sz w:val="16"/>
                <w:szCs w:val="16"/>
              </w:rPr>
              <w:t>-</w:t>
            </w:r>
          </w:p>
        </w:tc>
        <w:tc>
          <w:tcPr>
            <w:tcW w:w="1276" w:type="dxa"/>
            <w:tcBorders>
              <w:top w:val="nil"/>
              <w:left w:val="nil"/>
              <w:bottom w:val="single" w:sz="4" w:space="0" w:color="auto"/>
              <w:right w:val="nil"/>
            </w:tcBorders>
            <w:vAlign w:val="bottom"/>
          </w:tcPr>
          <w:p w14:paraId="15A59700" w14:textId="3D0EE753" w:rsidR="00630C39" w:rsidRPr="00872D7E" w:rsidRDefault="00630C39" w:rsidP="00630C39">
            <w:pPr>
              <w:jc w:val="right"/>
              <w:rPr>
                <w:sz w:val="16"/>
                <w:szCs w:val="16"/>
              </w:rPr>
            </w:pPr>
            <w:r w:rsidRPr="00872D7E">
              <w:rPr>
                <w:color w:val="000000"/>
                <w:sz w:val="16"/>
                <w:szCs w:val="16"/>
              </w:rPr>
              <w:t>-</w:t>
            </w:r>
          </w:p>
        </w:tc>
        <w:tc>
          <w:tcPr>
            <w:tcW w:w="1048" w:type="dxa"/>
            <w:tcBorders>
              <w:top w:val="nil"/>
              <w:left w:val="nil"/>
              <w:bottom w:val="single" w:sz="4" w:space="0" w:color="auto"/>
              <w:right w:val="nil"/>
            </w:tcBorders>
            <w:vAlign w:val="bottom"/>
          </w:tcPr>
          <w:p w14:paraId="0C9EA914" w14:textId="7FCD31B1" w:rsidR="00630C39" w:rsidRPr="00872D7E" w:rsidRDefault="00630C39" w:rsidP="00630C39">
            <w:pPr>
              <w:jc w:val="right"/>
              <w:rPr>
                <w:sz w:val="16"/>
                <w:szCs w:val="16"/>
              </w:rPr>
            </w:pPr>
            <w:r w:rsidRPr="00872D7E">
              <w:rPr>
                <w:color w:val="000000"/>
                <w:sz w:val="16"/>
                <w:szCs w:val="16"/>
              </w:rPr>
              <w:t>-</w:t>
            </w:r>
          </w:p>
        </w:tc>
        <w:tc>
          <w:tcPr>
            <w:tcW w:w="1426" w:type="dxa"/>
            <w:tcBorders>
              <w:top w:val="nil"/>
              <w:left w:val="nil"/>
              <w:bottom w:val="single" w:sz="4" w:space="0" w:color="auto"/>
              <w:right w:val="nil"/>
            </w:tcBorders>
            <w:vAlign w:val="bottom"/>
          </w:tcPr>
          <w:p w14:paraId="3DC92215" w14:textId="7DF84BA2" w:rsidR="00630C39" w:rsidRPr="00872D7E" w:rsidRDefault="00630C39" w:rsidP="00630C39">
            <w:pPr>
              <w:jc w:val="right"/>
              <w:rPr>
                <w:sz w:val="16"/>
                <w:szCs w:val="16"/>
              </w:rPr>
            </w:pPr>
            <w:r w:rsidRPr="00872D7E">
              <w:rPr>
                <w:color w:val="000000"/>
                <w:sz w:val="16"/>
                <w:szCs w:val="16"/>
              </w:rPr>
              <w:t>-</w:t>
            </w:r>
          </w:p>
        </w:tc>
      </w:tr>
      <w:tr w:rsidR="00630C39" w:rsidRPr="00872D7E" w14:paraId="358DF60F" w14:textId="77777777" w:rsidTr="00987E11">
        <w:trPr>
          <w:trHeight w:val="20"/>
        </w:trPr>
        <w:tc>
          <w:tcPr>
            <w:tcW w:w="2407" w:type="dxa"/>
            <w:tcBorders>
              <w:top w:val="single" w:sz="4" w:space="0" w:color="auto"/>
              <w:left w:val="nil"/>
              <w:bottom w:val="single" w:sz="12" w:space="0" w:color="auto"/>
              <w:right w:val="nil"/>
            </w:tcBorders>
            <w:vAlign w:val="bottom"/>
            <w:hideMark/>
          </w:tcPr>
          <w:p w14:paraId="2DF68BF7" w14:textId="77777777" w:rsidR="00630C39" w:rsidRPr="00872D7E" w:rsidRDefault="00630C39" w:rsidP="00630C39">
            <w:pPr>
              <w:rPr>
                <w:b/>
                <w:sz w:val="15"/>
                <w:szCs w:val="15"/>
              </w:rPr>
            </w:pPr>
            <w:r w:rsidRPr="00872D7E">
              <w:rPr>
                <w:b/>
                <w:sz w:val="15"/>
                <w:szCs w:val="15"/>
              </w:rPr>
              <w:t>Toplam Varlıklar</w:t>
            </w:r>
          </w:p>
        </w:tc>
        <w:tc>
          <w:tcPr>
            <w:tcW w:w="1264" w:type="dxa"/>
            <w:tcBorders>
              <w:top w:val="single" w:sz="4" w:space="0" w:color="auto"/>
              <w:left w:val="nil"/>
              <w:bottom w:val="single" w:sz="12" w:space="0" w:color="auto"/>
              <w:right w:val="nil"/>
            </w:tcBorders>
            <w:vAlign w:val="bottom"/>
          </w:tcPr>
          <w:p w14:paraId="66645E4A" w14:textId="397A7B44" w:rsidR="00630C39" w:rsidRPr="00872D7E" w:rsidRDefault="00630C39" w:rsidP="00630C39">
            <w:pPr>
              <w:jc w:val="right"/>
              <w:rPr>
                <w:b/>
                <w:bCs/>
                <w:color w:val="000000"/>
                <w:sz w:val="16"/>
                <w:szCs w:val="16"/>
              </w:rPr>
            </w:pPr>
            <w:r w:rsidRPr="00872D7E">
              <w:rPr>
                <w:b/>
                <w:bCs/>
                <w:color w:val="000000"/>
                <w:sz w:val="16"/>
                <w:szCs w:val="16"/>
              </w:rPr>
              <w:t>654.301</w:t>
            </w:r>
          </w:p>
        </w:tc>
        <w:tc>
          <w:tcPr>
            <w:tcW w:w="1105" w:type="dxa"/>
            <w:tcBorders>
              <w:top w:val="single" w:sz="4" w:space="0" w:color="auto"/>
              <w:left w:val="nil"/>
              <w:bottom w:val="single" w:sz="12" w:space="0" w:color="auto"/>
              <w:right w:val="nil"/>
            </w:tcBorders>
            <w:vAlign w:val="bottom"/>
          </w:tcPr>
          <w:p w14:paraId="33823BBD" w14:textId="2AD7AB75" w:rsidR="00630C39" w:rsidRPr="00872D7E" w:rsidRDefault="00630C39" w:rsidP="00630C39">
            <w:pPr>
              <w:jc w:val="right"/>
              <w:rPr>
                <w:b/>
                <w:bCs/>
                <w:color w:val="000000"/>
                <w:sz w:val="16"/>
                <w:szCs w:val="16"/>
              </w:rPr>
            </w:pPr>
            <w:r w:rsidRPr="00872D7E">
              <w:rPr>
                <w:b/>
                <w:bCs/>
                <w:color w:val="000000"/>
                <w:sz w:val="16"/>
                <w:szCs w:val="16"/>
              </w:rPr>
              <w:t>542.943</w:t>
            </w:r>
          </w:p>
        </w:tc>
        <w:tc>
          <w:tcPr>
            <w:tcW w:w="1134" w:type="dxa"/>
            <w:tcBorders>
              <w:top w:val="single" w:sz="4" w:space="0" w:color="auto"/>
              <w:left w:val="nil"/>
              <w:bottom w:val="single" w:sz="12" w:space="0" w:color="auto"/>
              <w:right w:val="nil"/>
            </w:tcBorders>
            <w:vAlign w:val="bottom"/>
          </w:tcPr>
          <w:p w14:paraId="263A88FE" w14:textId="2ED9737C" w:rsidR="00630C39" w:rsidRPr="00872D7E" w:rsidRDefault="00630C39" w:rsidP="00630C39">
            <w:pPr>
              <w:jc w:val="right"/>
              <w:rPr>
                <w:b/>
                <w:bCs/>
                <w:color w:val="000000"/>
                <w:sz w:val="16"/>
                <w:szCs w:val="16"/>
              </w:rPr>
            </w:pPr>
            <w:r w:rsidRPr="00872D7E">
              <w:rPr>
                <w:b/>
                <w:bCs/>
                <w:color w:val="000000"/>
                <w:sz w:val="16"/>
                <w:szCs w:val="16"/>
              </w:rPr>
              <w:t>-</w:t>
            </w:r>
          </w:p>
        </w:tc>
        <w:tc>
          <w:tcPr>
            <w:tcW w:w="1276" w:type="dxa"/>
            <w:tcBorders>
              <w:top w:val="single" w:sz="4" w:space="0" w:color="auto"/>
              <w:left w:val="nil"/>
              <w:bottom w:val="single" w:sz="12" w:space="0" w:color="auto"/>
              <w:right w:val="nil"/>
            </w:tcBorders>
            <w:vAlign w:val="bottom"/>
          </w:tcPr>
          <w:p w14:paraId="2EA64F1E" w14:textId="67301690" w:rsidR="00630C39" w:rsidRPr="00872D7E" w:rsidRDefault="00630C39" w:rsidP="00630C39">
            <w:pPr>
              <w:jc w:val="right"/>
              <w:rPr>
                <w:b/>
                <w:bCs/>
                <w:color w:val="000000"/>
                <w:sz w:val="16"/>
                <w:szCs w:val="16"/>
              </w:rPr>
            </w:pPr>
            <w:r w:rsidRPr="00872D7E">
              <w:rPr>
                <w:b/>
                <w:bCs/>
                <w:color w:val="000000"/>
                <w:sz w:val="16"/>
                <w:szCs w:val="16"/>
              </w:rPr>
              <w:t>-</w:t>
            </w:r>
          </w:p>
        </w:tc>
        <w:tc>
          <w:tcPr>
            <w:tcW w:w="1048" w:type="dxa"/>
            <w:tcBorders>
              <w:top w:val="single" w:sz="4" w:space="0" w:color="auto"/>
              <w:left w:val="nil"/>
              <w:bottom w:val="single" w:sz="12" w:space="0" w:color="auto"/>
              <w:right w:val="nil"/>
            </w:tcBorders>
            <w:vAlign w:val="bottom"/>
          </w:tcPr>
          <w:p w14:paraId="3D35F961" w14:textId="3ADE8D32" w:rsidR="00630C39" w:rsidRPr="00872D7E" w:rsidRDefault="00630C39" w:rsidP="00630C39">
            <w:pPr>
              <w:jc w:val="right"/>
              <w:rPr>
                <w:b/>
                <w:bCs/>
                <w:color w:val="000000"/>
                <w:sz w:val="16"/>
                <w:szCs w:val="16"/>
              </w:rPr>
            </w:pPr>
            <w:r w:rsidRPr="00872D7E">
              <w:rPr>
                <w:b/>
                <w:bCs/>
                <w:color w:val="000000"/>
                <w:sz w:val="16"/>
                <w:szCs w:val="16"/>
              </w:rPr>
              <w:t>111.358</w:t>
            </w:r>
          </w:p>
        </w:tc>
        <w:tc>
          <w:tcPr>
            <w:tcW w:w="1426" w:type="dxa"/>
            <w:tcBorders>
              <w:top w:val="single" w:sz="4" w:space="0" w:color="auto"/>
              <w:left w:val="nil"/>
              <w:bottom w:val="single" w:sz="12" w:space="0" w:color="auto"/>
              <w:right w:val="nil"/>
            </w:tcBorders>
            <w:vAlign w:val="bottom"/>
          </w:tcPr>
          <w:p w14:paraId="5AACE304" w14:textId="06DB8CD0" w:rsidR="00630C39" w:rsidRPr="00872D7E" w:rsidRDefault="00630C39" w:rsidP="00630C39">
            <w:pPr>
              <w:jc w:val="right"/>
              <w:rPr>
                <w:b/>
                <w:bCs/>
                <w:color w:val="000000"/>
                <w:sz w:val="16"/>
                <w:szCs w:val="16"/>
              </w:rPr>
            </w:pPr>
            <w:r w:rsidRPr="00872D7E">
              <w:rPr>
                <w:b/>
                <w:bCs/>
                <w:color w:val="000000"/>
                <w:sz w:val="16"/>
                <w:szCs w:val="16"/>
              </w:rPr>
              <w:t>23.385</w:t>
            </w:r>
          </w:p>
        </w:tc>
      </w:tr>
      <w:tr w:rsidR="00630C39" w:rsidRPr="00872D7E" w14:paraId="424CBDBE" w14:textId="77777777" w:rsidTr="00987E11">
        <w:trPr>
          <w:trHeight w:val="20"/>
        </w:trPr>
        <w:tc>
          <w:tcPr>
            <w:tcW w:w="2407" w:type="dxa"/>
            <w:tcBorders>
              <w:top w:val="single" w:sz="12" w:space="0" w:color="auto"/>
              <w:left w:val="nil"/>
              <w:bottom w:val="nil"/>
              <w:right w:val="nil"/>
            </w:tcBorders>
            <w:vAlign w:val="bottom"/>
            <w:hideMark/>
          </w:tcPr>
          <w:p w14:paraId="22255C9E" w14:textId="77777777" w:rsidR="00630C39" w:rsidRPr="00872D7E" w:rsidRDefault="00630C39" w:rsidP="00630C39">
            <w:pPr>
              <w:rPr>
                <w:b/>
                <w:sz w:val="15"/>
                <w:szCs w:val="15"/>
              </w:rPr>
            </w:pPr>
            <w:r w:rsidRPr="00872D7E">
              <w:rPr>
                <w:b/>
                <w:sz w:val="15"/>
                <w:szCs w:val="15"/>
              </w:rPr>
              <w:t>Yükümlülükler</w:t>
            </w:r>
          </w:p>
        </w:tc>
        <w:tc>
          <w:tcPr>
            <w:tcW w:w="1264" w:type="dxa"/>
            <w:tcBorders>
              <w:top w:val="single" w:sz="12" w:space="0" w:color="auto"/>
              <w:left w:val="nil"/>
              <w:bottom w:val="nil"/>
              <w:right w:val="nil"/>
            </w:tcBorders>
            <w:vAlign w:val="bottom"/>
          </w:tcPr>
          <w:p w14:paraId="0E5ED199" w14:textId="2FB5AC47" w:rsidR="00630C39" w:rsidRPr="00872D7E" w:rsidRDefault="00630C39" w:rsidP="00630C39">
            <w:pPr>
              <w:jc w:val="right"/>
              <w:rPr>
                <w:color w:val="000000"/>
                <w:sz w:val="16"/>
                <w:szCs w:val="16"/>
              </w:rPr>
            </w:pPr>
            <w:r w:rsidRPr="00872D7E">
              <w:rPr>
                <w:color w:val="000000"/>
                <w:sz w:val="16"/>
                <w:szCs w:val="16"/>
              </w:rPr>
              <w:t> </w:t>
            </w:r>
          </w:p>
        </w:tc>
        <w:tc>
          <w:tcPr>
            <w:tcW w:w="1105" w:type="dxa"/>
            <w:tcBorders>
              <w:top w:val="single" w:sz="12" w:space="0" w:color="auto"/>
              <w:left w:val="nil"/>
              <w:bottom w:val="nil"/>
              <w:right w:val="nil"/>
            </w:tcBorders>
            <w:vAlign w:val="bottom"/>
          </w:tcPr>
          <w:p w14:paraId="669B96E6" w14:textId="679EF9C8" w:rsidR="00630C39" w:rsidRPr="00872D7E" w:rsidRDefault="00630C39" w:rsidP="00630C39">
            <w:pPr>
              <w:jc w:val="right"/>
              <w:rPr>
                <w:color w:val="000000"/>
                <w:sz w:val="16"/>
                <w:szCs w:val="16"/>
              </w:rPr>
            </w:pPr>
            <w:r w:rsidRPr="00872D7E">
              <w:rPr>
                <w:color w:val="000000"/>
                <w:sz w:val="16"/>
                <w:szCs w:val="16"/>
              </w:rPr>
              <w:t> </w:t>
            </w:r>
          </w:p>
        </w:tc>
        <w:tc>
          <w:tcPr>
            <w:tcW w:w="1134" w:type="dxa"/>
            <w:tcBorders>
              <w:top w:val="single" w:sz="12" w:space="0" w:color="auto"/>
              <w:left w:val="nil"/>
              <w:bottom w:val="nil"/>
              <w:right w:val="nil"/>
            </w:tcBorders>
            <w:vAlign w:val="bottom"/>
          </w:tcPr>
          <w:p w14:paraId="79F8D7DB" w14:textId="58E14D43" w:rsidR="00630C39" w:rsidRPr="00872D7E" w:rsidRDefault="00630C39" w:rsidP="00630C39">
            <w:pPr>
              <w:jc w:val="right"/>
              <w:rPr>
                <w:color w:val="000000"/>
                <w:sz w:val="16"/>
                <w:szCs w:val="16"/>
              </w:rPr>
            </w:pPr>
            <w:r w:rsidRPr="00872D7E">
              <w:rPr>
                <w:color w:val="000000"/>
                <w:sz w:val="16"/>
                <w:szCs w:val="16"/>
              </w:rPr>
              <w:t> </w:t>
            </w:r>
          </w:p>
        </w:tc>
        <w:tc>
          <w:tcPr>
            <w:tcW w:w="1276" w:type="dxa"/>
            <w:tcBorders>
              <w:top w:val="single" w:sz="12" w:space="0" w:color="auto"/>
              <w:left w:val="nil"/>
              <w:bottom w:val="nil"/>
              <w:right w:val="nil"/>
            </w:tcBorders>
            <w:vAlign w:val="bottom"/>
          </w:tcPr>
          <w:p w14:paraId="5A7DF8C0" w14:textId="565DFAD9" w:rsidR="00630C39" w:rsidRPr="00872D7E" w:rsidRDefault="00630C39" w:rsidP="00630C39">
            <w:pPr>
              <w:jc w:val="right"/>
              <w:rPr>
                <w:color w:val="000000"/>
                <w:sz w:val="16"/>
                <w:szCs w:val="16"/>
              </w:rPr>
            </w:pPr>
            <w:r w:rsidRPr="00872D7E">
              <w:rPr>
                <w:color w:val="000000"/>
                <w:sz w:val="16"/>
                <w:szCs w:val="16"/>
              </w:rPr>
              <w:t> </w:t>
            </w:r>
          </w:p>
        </w:tc>
        <w:tc>
          <w:tcPr>
            <w:tcW w:w="1048" w:type="dxa"/>
            <w:tcBorders>
              <w:top w:val="single" w:sz="12" w:space="0" w:color="auto"/>
              <w:left w:val="nil"/>
              <w:bottom w:val="nil"/>
              <w:right w:val="nil"/>
            </w:tcBorders>
            <w:vAlign w:val="bottom"/>
          </w:tcPr>
          <w:p w14:paraId="2DBCB1E5" w14:textId="6E6D4C2B" w:rsidR="00630C39" w:rsidRPr="00872D7E" w:rsidRDefault="00630C39" w:rsidP="00630C39">
            <w:pPr>
              <w:jc w:val="right"/>
              <w:rPr>
                <w:color w:val="000000"/>
                <w:sz w:val="16"/>
                <w:szCs w:val="16"/>
              </w:rPr>
            </w:pPr>
            <w:r w:rsidRPr="00872D7E">
              <w:rPr>
                <w:color w:val="000000"/>
                <w:sz w:val="16"/>
                <w:szCs w:val="16"/>
              </w:rPr>
              <w:t> </w:t>
            </w:r>
          </w:p>
        </w:tc>
        <w:tc>
          <w:tcPr>
            <w:tcW w:w="1426" w:type="dxa"/>
            <w:tcBorders>
              <w:top w:val="single" w:sz="12" w:space="0" w:color="auto"/>
              <w:left w:val="nil"/>
              <w:bottom w:val="nil"/>
              <w:right w:val="nil"/>
            </w:tcBorders>
            <w:vAlign w:val="bottom"/>
          </w:tcPr>
          <w:p w14:paraId="3B01775B" w14:textId="720FF8B1" w:rsidR="00630C39" w:rsidRPr="00872D7E" w:rsidRDefault="00630C39" w:rsidP="00630C39">
            <w:pPr>
              <w:jc w:val="right"/>
              <w:rPr>
                <w:color w:val="000000"/>
                <w:sz w:val="16"/>
                <w:szCs w:val="16"/>
              </w:rPr>
            </w:pPr>
            <w:r w:rsidRPr="00872D7E">
              <w:rPr>
                <w:color w:val="000000"/>
                <w:sz w:val="16"/>
                <w:szCs w:val="16"/>
              </w:rPr>
              <w:t> </w:t>
            </w:r>
          </w:p>
        </w:tc>
      </w:tr>
      <w:tr w:rsidR="00630C39" w:rsidRPr="00872D7E" w14:paraId="1404D082" w14:textId="77777777" w:rsidTr="00630C39">
        <w:trPr>
          <w:trHeight w:val="20"/>
        </w:trPr>
        <w:tc>
          <w:tcPr>
            <w:tcW w:w="2407" w:type="dxa"/>
            <w:vAlign w:val="bottom"/>
            <w:hideMark/>
          </w:tcPr>
          <w:p w14:paraId="1517FA24" w14:textId="77777777" w:rsidR="00630C39" w:rsidRPr="00872D7E" w:rsidRDefault="00630C39" w:rsidP="00630C39">
            <w:pPr>
              <w:rPr>
                <w:color w:val="000000"/>
                <w:sz w:val="15"/>
                <w:szCs w:val="15"/>
              </w:rPr>
            </w:pPr>
            <w:r w:rsidRPr="00872D7E">
              <w:rPr>
                <w:color w:val="000000"/>
                <w:sz w:val="15"/>
                <w:szCs w:val="15"/>
              </w:rPr>
              <w:t xml:space="preserve">Toplanan Fonlar </w:t>
            </w:r>
          </w:p>
        </w:tc>
        <w:tc>
          <w:tcPr>
            <w:tcW w:w="1264" w:type="dxa"/>
            <w:vAlign w:val="bottom"/>
          </w:tcPr>
          <w:p w14:paraId="53E401EE" w14:textId="69C48DDE" w:rsidR="00630C39" w:rsidRPr="00872D7E" w:rsidRDefault="00630C39" w:rsidP="00630C39">
            <w:pPr>
              <w:jc w:val="right"/>
              <w:rPr>
                <w:color w:val="000000"/>
                <w:sz w:val="16"/>
                <w:szCs w:val="16"/>
              </w:rPr>
            </w:pPr>
            <w:r w:rsidRPr="00872D7E">
              <w:rPr>
                <w:color w:val="000000"/>
                <w:sz w:val="16"/>
                <w:szCs w:val="16"/>
              </w:rPr>
              <w:t>55</w:t>
            </w:r>
          </w:p>
        </w:tc>
        <w:tc>
          <w:tcPr>
            <w:tcW w:w="1105" w:type="dxa"/>
            <w:vAlign w:val="bottom"/>
          </w:tcPr>
          <w:p w14:paraId="6D2AF2E8" w14:textId="34836952"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23B59A41" w14:textId="306C494E"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08EB7FB7" w14:textId="4544F8FF"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4D8F49A0" w14:textId="0211294E"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0D08572B" w14:textId="676A4091" w:rsidR="00630C39" w:rsidRPr="00872D7E" w:rsidRDefault="00630C39" w:rsidP="00630C39">
            <w:pPr>
              <w:jc w:val="right"/>
              <w:rPr>
                <w:color w:val="000000"/>
                <w:sz w:val="16"/>
                <w:szCs w:val="16"/>
              </w:rPr>
            </w:pPr>
            <w:r w:rsidRPr="00872D7E">
              <w:rPr>
                <w:color w:val="000000"/>
                <w:sz w:val="16"/>
                <w:szCs w:val="16"/>
              </w:rPr>
              <w:t>55</w:t>
            </w:r>
          </w:p>
        </w:tc>
      </w:tr>
      <w:tr w:rsidR="00630C39" w:rsidRPr="00872D7E" w14:paraId="1C8CABC4" w14:textId="77777777" w:rsidTr="00630C39">
        <w:trPr>
          <w:trHeight w:val="20"/>
        </w:trPr>
        <w:tc>
          <w:tcPr>
            <w:tcW w:w="2407" w:type="dxa"/>
            <w:vAlign w:val="bottom"/>
            <w:hideMark/>
          </w:tcPr>
          <w:p w14:paraId="17BFD46F" w14:textId="77777777" w:rsidR="00630C39" w:rsidRPr="00872D7E" w:rsidRDefault="00630C39" w:rsidP="00630C39">
            <w:pPr>
              <w:rPr>
                <w:color w:val="000000"/>
                <w:sz w:val="15"/>
                <w:szCs w:val="15"/>
              </w:rPr>
            </w:pPr>
            <w:r w:rsidRPr="00872D7E">
              <w:rPr>
                <w:color w:val="000000"/>
                <w:sz w:val="15"/>
                <w:szCs w:val="15"/>
              </w:rPr>
              <w:t>Alınan Krediler</w:t>
            </w:r>
          </w:p>
        </w:tc>
        <w:tc>
          <w:tcPr>
            <w:tcW w:w="1264" w:type="dxa"/>
            <w:vAlign w:val="bottom"/>
          </w:tcPr>
          <w:p w14:paraId="35456B8F" w14:textId="723BF376"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433C207F" w14:textId="00F7DF38"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74B76FEA" w14:textId="403B29CE"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3C4D64A9" w14:textId="38BFA219"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001B7C98" w14:textId="2ABA6B5B"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3987747D" w14:textId="4CB54678"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7089634C" w14:textId="77777777" w:rsidTr="00630C39">
        <w:trPr>
          <w:trHeight w:val="20"/>
        </w:trPr>
        <w:tc>
          <w:tcPr>
            <w:tcW w:w="2407" w:type="dxa"/>
            <w:vAlign w:val="bottom"/>
            <w:hideMark/>
          </w:tcPr>
          <w:p w14:paraId="5BA64396" w14:textId="77777777" w:rsidR="00630C39" w:rsidRPr="00872D7E" w:rsidRDefault="00630C39" w:rsidP="00630C39">
            <w:pPr>
              <w:rPr>
                <w:color w:val="000000"/>
                <w:sz w:val="15"/>
                <w:szCs w:val="15"/>
              </w:rPr>
            </w:pPr>
            <w:r w:rsidRPr="00872D7E">
              <w:rPr>
                <w:color w:val="000000"/>
                <w:sz w:val="15"/>
                <w:szCs w:val="15"/>
              </w:rPr>
              <w:t>Para Piyasalarına Borçlar</w:t>
            </w:r>
          </w:p>
        </w:tc>
        <w:tc>
          <w:tcPr>
            <w:tcW w:w="1264" w:type="dxa"/>
            <w:vAlign w:val="bottom"/>
          </w:tcPr>
          <w:p w14:paraId="147BB2FA" w14:textId="615D3D36"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688DE05B" w14:textId="510235BB"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25E50476" w14:textId="5CD41D1A"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5DE8F0F1" w14:textId="506D43F0"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4C7031BB" w14:textId="0AD431B2"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0730A728" w14:textId="09833589"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2341B9E2" w14:textId="77777777" w:rsidTr="00630C39">
        <w:trPr>
          <w:trHeight w:val="20"/>
        </w:trPr>
        <w:tc>
          <w:tcPr>
            <w:tcW w:w="2407" w:type="dxa"/>
            <w:vAlign w:val="bottom"/>
            <w:hideMark/>
          </w:tcPr>
          <w:p w14:paraId="61B35C89" w14:textId="77777777" w:rsidR="00630C39" w:rsidRPr="00872D7E" w:rsidRDefault="00630C39" w:rsidP="00630C39">
            <w:pPr>
              <w:rPr>
                <w:color w:val="000000"/>
                <w:sz w:val="15"/>
                <w:szCs w:val="15"/>
              </w:rPr>
            </w:pPr>
            <w:r w:rsidRPr="00872D7E">
              <w:rPr>
                <w:color w:val="000000"/>
                <w:sz w:val="15"/>
                <w:szCs w:val="15"/>
              </w:rPr>
              <w:t>İhraç Edilen Menkul Kıymetler (Net)</w:t>
            </w:r>
          </w:p>
        </w:tc>
        <w:tc>
          <w:tcPr>
            <w:tcW w:w="1264" w:type="dxa"/>
            <w:vAlign w:val="bottom"/>
          </w:tcPr>
          <w:p w14:paraId="38F1CC69" w14:textId="09A98145"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2F3BAD6A" w14:textId="46D0E5E5"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1F788A1C" w14:textId="57105403"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6E571C66" w14:textId="2873DE6B"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1EE97928" w14:textId="002874DC"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7DD9AFFF" w14:textId="2B17C210"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224B438D" w14:textId="77777777" w:rsidTr="00630C39">
        <w:trPr>
          <w:trHeight w:val="20"/>
        </w:trPr>
        <w:tc>
          <w:tcPr>
            <w:tcW w:w="2407" w:type="dxa"/>
            <w:vAlign w:val="bottom"/>
            <w:hideMark/>
          </w:tcPr>
          <w:p w14:paraId="2B84CA7A" w14:textId="77777777" w:rsidR="00630C39" w:rsidRPr="00872D7E" w:rsidRDefault="00630C39" w:rsidP="00630C39">
            <w:pPr>
              <w:rPr>
                <w:color w:val="000000"/>
                <w:sz w:val="15"/>
                <w:szCs w:val="15"/>
              </w:rPr>
            </w:pPr>
            <w:r w:rsidRPr="00872D7E">
              <w:rPr>
                <w:color w:val="000000"/>
                <w:sz w:val="15"/>
                <w:szCs w:val="15"/>
              </w:rPr>
              <w:t>Gerçeğe Uygun Değer Farkı Kar Zarara Yansıtılan Finansal Yükümlülükler</w:t>
            </w:r>
          </w:p>
        </w:tc>
        <w:tc>
          <w:tcPr>
            <w:tcW w:w="1264" w:type="dxa"/>
            <w:vAlign w:val="bottom"/>
          </w:tcPr>
          <w:p w14:paraId="205866B7" w14:textId="497CA4BF"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7A693D63" w14:textId="4DC91FCF"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32650709" w14:textId="37D61BAC"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68CBB8B6" w14:textId="2BF0564D"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6A7A1327" w14:textId="3E2B8005"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683DB4BA" w14:textId="25DB1490"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47EF99EC" w14:textId="77777777" w:rsidTr="00630C39">
        <w:trPr>
          <w:trHeight w:val="20"/>
        </w:trPr>
        <w:tc>
          <w:tcPr>
            <w:tcW w:w="2407" w:type="dxa"/>
            <w:vAlign w:val="bottom"/>
            <w:hideMark/>
          </w:tcPr>
          <w:p w14:paraId="3C6B34FD" w14:textId="77777777" w:rsidR="00630C39" w:rsidRPr="00872D7E" w:rsidRDefault="00630C39" w:rsidP="00630C39">
            <w:pPr>
              <w:rPr>
                <w:color w:val="000000"/>
                <w:sz w:val="15"/>
                <w:szCs w:val="15"/>
              </w:rPr>
            </w:pPr>
            <w:r w:rsidRPr="00872D7E">
              <w:rPr>
                <w:color w:val="000000"/>
                <w:sz w:val="15"/>
                <w:szCs w:val="15"/>
              </w:rPr>
              <w:t>Türev Finansal Yükümlülükler</w:t>
            </w:r>
          </w:p>
        </w:tc>
        <w:tc>
          <w:tcPr>
            <w:tcW w:w="1264" w:type="dxa"/>
            <w:vAlign w:val="bottom"/>
          </w:tcPr>
          <w:p w14:paraId="77DCB3A9" w14:textId="60B09C7F"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68E54DDB" w14:textId="72709936"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3FE8C751" w14:textId="64B2AE17"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60333276" w14:textId="35CDA3C3"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2723B003" w14:textId="2D104FE6"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1F242015" w14:textId="65D5FF26"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4828E1DB" w14:textId="77777777" w:rsidTr="00630C39">
        <w:trPr>
          <w:trHeight w:val="20"/>
        </w:trPr>
        <w:tc>
          <w:tcPr>
            <w:tcW w:w="2407" w:type="dxa"/>
            <w:vAlign w:val="bottom"/>
            <w:hideMark/>
          </w:tcPr>
          <w:p w14:paraId="4DF0D9D6" w14:textId="77777777" w:rsidR="00630C39" w:rsidRPr="00872D7E" w:rsidRDefault="00630C39" w:rsidP="00630C39">
            <w:pPr>
              <w:rPr>
                <w:color w:val="000000"/>
                <w:sz w:val="15"/>
                <w:szCs w:val="15"/>
              </w:rPr>
            </w:pPr>
            <w:r w:rsidRPr="00872D7E">
              <w:rPr>
                <w:color w:val="000000"/>
                <w:sz w:val="15"/>
                <w:szCs w:val="15"/>
              </w:rPr>
              <w:t>Kiralama İşlemlerinden Yükümlülükler</w:t>
            </w:r>
          </w:p>
        </w:tc>
        <w:tc>
          <w:tcPr>
            <w:tcW w:w="1264" w:type="dxa"/>
            <w:vAlign w:val="bottom"/>
          </w:tcPr>
          <w:p w14:paraId="2BE1BE2F" w14:textId="5DAA316A" w:rsidR="00630C39" w:rsidRPr="00872D7E" w:rsidRDefault="00630C39" w:rsidP="00630C39">
            <w:pPr>
              <w:jc w:val="right"/>
              <w:rPr>
                <w:color w:val="000000"/>
                <w:sz w:val="16"/>
                <w:szCs w:val="16"/>
              </w:rPr>
            </w:pPr>
            <w:r w:rsidRPr="00872D7E">
              <w:rPr>
                <w:color w:val="000000"/>
                <w:sz w:val="16"/>
                <w:szCs w:val="16"/>
              </w:rPr>
              <w:t>5.745</w:t>
            </w:r>
          </w:p>
        </w:tc>
        <w:tc>
          <w:tcPr>
            <w:tcW w:w="1105" w:type="dxa"/>
            <w:vAlign w:val="bottom"/>
          </w:tcPr>
          <w:p w14:paraId="0E49E9F1" w14:textId="65369CD4"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44A0865C" w14:textId="7B2B4B60"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5D4F6005" w14:textId="46F7A453"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49238F89" w14:textId="2567E722"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74464DF0" w14:textId="1E1ADB2B" w:rsidR="00630C39" w:rsidRPr="00872D7E" w:rsidRDefault="00630C39" w:rsidP="00630C39">
            <w:pPr>
              <w:jc w:val="right"/>
              <w:rPr>
                <w:color w:val="000000"/>
                <w:sz w:val="16"/>
                <w:szCs w:val="16"/>
              </w:rPr>
            </w:pPr>
            <w:r w:rsidRPr="00872D7E">
              <w:rPr>
                <w:color w:val="000000"/>
                <w:sz w:val="16"/>
                <w:szCs w:val="16"/>
              </w:rPr>
              <w:t>5.745</w:t>
            </w:r>
          </w:p>
        </w:tc>
      </w:tr>
      <w:tr w:rsidR="00630C39" w:rsidRPr="00872D7E" w14:paraId="67F90308" w14:textId="77777777" w:rsidTr="00630C39">
        <w:trPr>
          <w:trHeight w:val="20"/>
        </w:trPr>
        <w:tc>
          <w:tcPr>
            <w:tcW w:w="2407" w:type="dxa"/>
            <w:vAlign w:val="bottom"/>
            <w:hideMark/>
          </w:tcPr>
          <w:p w14:paraId="636D572A" w14:textId="77777777" w:rsidR="00630C39" w:rsidRPr="00872D7E" w:rsidRDefault="00630C39" w:rsidP="00630C39">
            <w:pPr>
              <w:rPr>
                <w:color w:val="000000"/>
                <w:sz w:val="15"/>
                <w:szCs w:val="15"/>
              </w:rPr>
            </w:pPr>
            <w:r w:rsidRPr="00872D7E">
              <w:rPr>
                <w:color w:val="000000"/>
                <w:sz w:val="15"/>
                <w:szCs w:val="15"/>
              </w:rPr>
              <w:t>Karşılıklar</w:t>
            </w:r>
          </w:p>
        </w:tc>
        <w:tc>
          <w:tcPr>
            <w:tcW w:w="1264" w:type="dxa"/>
            <w:vAlign w:val="bottom"/>
          </w:tcPr>
          <w:p w14:paraId="74B5C078" w14:textId="0756D5F8" w:rsidR="00630C39" w:rsidRPr="00872D7E" w:rsidRDefault="00630C39" w:rsidP="00630C39">
            <w:pPr>
              <w:jc w:val="right"/>
              <w:rPr>
                <w:color w:val="000000"/>
                <w:sz w:val="16"/>
                <w:szCs w:val="16"/>
              </w:rPr>
            </w:pPr>
            <w:r w:rsidRPr="00872D7E">
              <w:rPr>
                <w:color w:val="000000"/>
                <w:sz w:val="16"/>
                <w:szCs w:val="16"/>
              </w:rPr>
              <w:t>39.699</w:t>
            </w:r>
          </w:p>
        </w:tc>
        <w:tc>
          <w:tcPr>
            <w:tcW w:w="1105" w:type="dxa"/>
            <w:vAlign w:val="bottom"/>
          </w:tcPr>
          <w:p w14:paraId="7BA5B01B" w14:textId="295B3A4D"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1E61E709" w14:textId="2BD86016"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2CE8F50D" w14:textId="26EAE3BE"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000DB0B8" w14:textId="1C2FA8E6"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284130C7" w14:textId="6B6F2DDC" w:rsidR="00630C39" w:rsidRPr="00872D7E" w:rsidRDefault="00630C39" w:rsidP="00630C39">
            <w:pPr>
              <w:jc w:val="right"/>
              <w:rPr>
                <w:color w:val="000000"/>
                <w:sz w:val="16"/>
                <w:szCs w:val="16"/>
              </w:rPr>
            </w:pPr>
            <w:r w:rsidRPr="00872D7E">
              <w:rPr>
                <w:color w:val="000000"/>
                <w:sz w:val="16"/>
                <w:szCs w:val="16"/>
              </w:rPr>
              <w:t>39.699</w:t>
            </w:r>
          </w:p>
        </w:tc>
      </w:tr>
      <w:tr w:rsidR="00630C39" w:rsidRPr="00872D7E" w14:paraId="62D85F8A" w14:textId="77777777" w:rsidTr="00630C39">
        <w:trPr>
          <w:trHeight w:val="20"/>
        </w:trPr>
        <w:tc>
          <w:tcPr>
            <w:tcW w:w="2407" w:type="dxa"/>
            <w:vAlign w:val="bottom"/>
            <w:hideMark/>
          </w:tcPr>
          <w:p w14:paraId="56F62EFC" w14:textId="77777777" w:rsidR="00630C39" w:rsidRPr="00872D7E" w:rsidRDefault="00630C39" w:rsidP="00630C39">
            <w:pPr>
              <w:rPr>
                <w:color w:val="000000"/>
                <w:sz w:val="15"/>
                <w:szCs w:val="15"/>
              </w:rPr>
            </w:pPr>
            <w:r w:rsidRPr="00872D7E">
              <w:rPr>
                <w:color w:val="000000"/>
                <w:sz w:val="15"/>
                <w:szCs w:val="15"/>
              </w:rPr>
              <w:t>Cari Vergi Borcu</w:t>
            </w:r>
          </w:p>
        </w:tc>
        <w:tc>
          <w:tcPr>
            <w:tcW w:w="1264" w:type="dxa"/>
            <w:vAlign w:val="bottom"/>
          </w:tcPr>
          <w:p w14:paraId="3D7554A9" w14:textId="233F3481" w:rsidR="00630C39" w:rsidRPr="00872D7E" w:rsidRDefault="00630C39" w:rsidP="00630C39">
            <w:pPr>
              <w:jc w:val="right"/>
              <w:rPr>
                <w:color w:val="000000"/>
                <w:sz w:val="16"/>
                <w:szCs w:val="16"/>
              </w:rPr>
            </w:pPr>
            <w:r w:rsidRPr="00872D7E">
              <w:rPr>
                <w:color w:val="000000"/>
                <w:sz w:val="16"/>
                <w:szCs w:val="16"/>
              </w:rPr>
              <w:t>8.072</w:t>
            </w:r>
          </w:p>
        </w:tc>
        <w:tc>
          <w:tcPr>
            <w:tcW w:w="1105" w:type="dxa"/>
            <w:vAlign w:val="bottom"/>
          </w:tcPr>
          <w:p w14:paraId="593DAC70" w14:textId="4ACDFBC6"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2E0D24BF" w14:textId="5B40BCA3"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494787FB" w14:textId="5D918DA8"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583884CB" w14:textId="33F45B12"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0B4B4D12" w14:textId="405690BD" w:rsidR="00630C39" w:rsidRPr="00872D7E" w:rsidRDefault="00630C39" w:rsidP="00630C39">
            <w:pPr>
              <w:jc w:val="right"/>
              <w:rPr>
                <w:color w:val="000000"/>
                <w:sz w:val="16"/>
                <w:szCs w:val="16"/>
              </w:rPr>
            </w:pPr>
            <w:r w:rsidRPr="00872D7E">
              <w:rPr>
                <w:color w:val="000000"/>
                <w:sz w:val="16"/>
                <w:szCs w:val="16"/>
              </w:rPr>
              <w:t>8.072</w:t>
            </w:r>
          </w:p>
        </w:tc>
      </w:tr>
      <w:tr w:rsidR="00630C39" w:rsidRPr="00872D7E" w14:paraId="57382E86" w14:textId="77777777" w:rsidTr="00630C39">
        <w:trPr>
          <w:trHeight w:val="20"/>
        </w:trPr>
        <w:tc>
          <w:tcPr>
            <w:tcW w:w="2407" w:type="dxa"/>
            <w:vAlign w:val="bottom"/>
            <w:hideMark/>
          </w:tcPr>
          <w:p w14:paraId="21D60D39" w14:textId="77777777" w:rsidR="00630C39" w:rsidRPr="00872D7E" w:rsidRDefault="00630C39" w:rsidP="00630C39">
            <w:pPr>
              <w:rPr>
                <w:color w:val="000000"/>
                <w:sz w:val="15"/>
                <w:szCs w:val="15"/>
              </w:rPr>
            </w:pPr>
            <w:r w:rsidRPr="00872D7E">
              <w:rPr>
                <w:color w:val="000000"/>
                <w:sz w:val="15"/>
                <w:szCs w:val="15"/>
              </w:rPr>
              <w:t>Ertelenmiş Vergi Borcu</w:t>
            </w:r>
          </w:p>
        </w:tc>
        <w:tc>
          <w:tcPr>
            <w:tcW w:w="1264" w:type="dxa"/>
            <w:vAlign w:val="bottom"/>
          </w:tcPr>
          <w:p w14:paraId="2BC60040" w14:textId="53FB7C46"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66046818" w14:textId="71DB6C8F" w:rsidR="00630C39" w:rsidRPr="00872D7E" w:rsidRDefault="00630C39" w:rsidP="00630C39">
            <w:pPr>
              <w:jc w:val="right"/>
              <w:rPr>
                <w:color w:val="000000"/>
                <w:sz w:val="16"/>
                <w:szCs w:val="16"/>
              </w:rPr>
            </w:pPr>
            <w:r w:rsidRPr="00872D7E">
              <w:rPr>
                <w:color w:val="000000"/>
                <w:sz w:val="16"/>
                <w:szCs w:val="16"/>
              </w:rPr>
              <w:t>-</w:t>
            </w:r>
          </w:p>
        </w:tc>
        <w:tc>
          <w:tcPr>
            <w:tcW w:w="1134" w:type="dxa"/>
            <w:vAlign w:val="bottom"/>
          </w:tcPr>
          <w:p w14:paraId="521A608C" w14:textId="09E08FB5"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58F6B00D" w14:textId="06F5B9A5"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0ACCD0B9" w14:textId="1BDFACD6"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6E6FEF31" w14:textId="6EF64290" w:rsidR="00630C39" w:rsidRPr="00872D7E" w:rsidRDefault="00630C39" w:rsidP="00630C39">
            <w:pPr>
              <w:jc w:val="right"/>
              <w:rPr>
                <w:color w:val="000000"/>
                <w:sz w:val="16"/>
                <w:szCs w:val="16"/>
              </w:rPr>
            </w:pPr>
            <w:r w:rsidRPr="00872D7E">
              <w:rPr>
                <w:color w:val="000000"/>
                <w:sz w:val="16"/>
                <w:szCs w:val="16"/>
              </w:rPr>
              <w:t>-</w:t>
            </w:r>
          </w:p>
        </w:tc>
      </w:tr>
      <w:tr w:rsidR="00630C39" w:rsidRPr="00872D7E" w14:paraId="4E2D3266" w14:textId="77777777" w:rsidTr="00630C39">
        <w:trPr>
          <w:trHeight w:val="20"/>
        </w:trPr>
        <w:tc>
          <w:tcPr>
            <w:tcW w:w="2407" w:type="dxa"/>
            <w:vAlign w:val="bottom"/>
            <w:hideMark/>
          </w:tcPr>
          <w:p w14:paraId="215DB11C" w14:textId="77777777" w:rsidR="00630C39" w:rsidRPr="00872D7E" w:rsidRDefault="00630C39" w:rsidP="00630C39">
            <w:pPr>
              <w:rPr>
                <w:color w:val="000000"/>
                <w:sz w:val="15"/>
                <w:szCs w:val="15"/>
              </w:rPr>
            </w:pPr>
            <w:r w:rsidRPr="00872D7E">
              <w:rPr>
                <w:color w:val="000000"/>
                <w:sz w:val="15"/>
                <w:szCs w:val="15"/>
              </w:rPr>
              <w:t>Satış Amaçlı Elde Tutulan ve Durdurulan Faaliyetlere İlişkin Duran Varlık Borçları (Net)</w:t>
            </w:r>
          </w:p>
        </w:tc>
        <w:tc>
          <w:tcPr>
            <w:tcW w:w="1264" w:type="dxa"/>
            <w:vAlign w:val="bottom"/>
          </w:tcPr>
          <w:p w14:paraId="22603E43" w14:textId="786490AF" w:rsidR="00630C39" w:rsidRPr="00872D7E" w:rsidRDefault="00630C39" w:rsidP="00630C39">
            <w:pPr>
              <w:jc w:val="right"/>
              <w:rPr>
                <w:color w:val="000000"/>
                <w:sz w:val="16"/>
                <w:szCs w:val="16"/>
              </w:rPr>
            </w:pPr>
            <w:r w:rsidRPr="00872D7E">
              <w:rPr>
                <w:color w:val="000000"/>
                <w:sz w:val="16"/>
                <w:szCs w:val="16"/>
              </w:rPr>
              <w:t>-</w:t>
            </w:r>
          </w:p>
        </w:tc>
        <w:tc>
          <w:tcPr>
            <w:tcW w:w="1105" w:type="dxa"/>
            <w:vAlign w:val="bottom"/>
          </w:tcPr>
          <w:p w14:paraId="614167EE" w14:textId="450F8BE0"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253CFC44" w14:textId="0075E56C"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2FA67846" w14:textId="45EF19EE"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2060D86B" w14:textId="00C2940F"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3E5B432F" w14:textId="43B6C529" w:rsidR="00630C39" w:rsidRPr="00872D7E" w:rsidRDefault="00630C39" w:rsidP="00630C39">
            <w:pPr>
              <w:jc w:val="right"/>
              <w:rPr>
                <w:sz w:val="16"/>
                <w:szCs w:val="16"/>
              </w:rPr>
            </w:pPr>
            <w:r w:rsidRPr="00872D7E">
              <w:rPr>
                <w:color w:val="000000"/>
                <w:sz w:val="16"/>
                <w:szCs w:val="16"/>
              </w:rPr>
              <w:t>-</w:t>
            </w:r>
          </w:p>
        </w:tc>
      </w:tr>
      <w:tr w:rsidR="00630C39" w:rsidRPr="00872D7E" w14:paraId="574EE243" w14:textId="77777777" w:rsidTr="00630C39">
        <w:trPr>
          <w:trHeight w:val="20"/>
        </w:trPr>
        <w:tc>
          <w:tcPr>
            <w:tcW w:w="2407" w:type="dxa"/>
            <w:vAlign w:val="bottom"/>
            <w:hideMark/>
          </w:tcPr>
          <w:p w14:paraId="36F3421B" w14:textId="77777777" w:rsidR="00630C39" w:rsidRPr="00872D7E" w:rsidRDefault="00630C39" w:rsidP="00630C39">
            <w:pPr>
              <w:rPr>
                <w:color w:val="000000"/>
                <w:sz w:val="15"/>
                <w:szCs w:val="15"/>
              </w:rPr>
            </w:pPr>
            <w:r w:rsidRPr="00872D7E">
              <w:rPr>
                <w:color w:val="000000"/>
                <w:sz w:val="15"/>
                <w:szCs w:val="15"/>
              </w:rPr>
              <w:t>Sermaye Benzeri Borçlanma Araçları</w:t>
            </w:r>
          </w:p>
        </w:tc>
        <w:tc>
          <w:tcPr>
            <w:tcW w:w="1264" w:type="dxa"/>
            <w:vAlign w:val="bottom"/>
          </w:tcPr>
          <w:p w14:paraId="2D3BD17D" w14:textId="55B69B33" w:rsidR="00630C39" w:rsidRPr="00872D7E" w:rsidRDefault="00630C39" w:rsidP="00630C39">
            <w:pPr>
              <w:jc w:val="right"/>
              <w:rPr>
                <w:color w:val="000000"/>
                <w:sz w:val="16"/>
                <w:szCs w:val="16"/>
              </w:rPr>
            </w:pPr>
            <w:r w:rsidRPr="00872D7E">
              <w:rPr>
                <w:color w:val="000000"/>
                <w:sz w:val="16"/>
                <w:szCs w:val="16"/>
              </w:rPr>
              <w:t>500.000</w:t>
            </w:r>
          </w:p>
        </w:tc>
        <w:tc>
          <w:tcPr>
            <w:tcW w:w="1105" w:type="dxa"/>
            <w:vAlign w:val="bottom"/>
          </w:tcPr>
          <w:p w14:paraId="6AE06D6B" w14:textId="596CC8A5"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3ED286E0" w14:textId="3D5A48F8"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2D8D1385" w14:textId="4BAE2291"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1832AE7C" w14:textId="7270F1A9"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6B5C845D" w14:textId="71F3CA31" w:rsidR="00630C39" w:rsidRPr="00872D7E" w:rsidRDefault="00630C39" w:rsidP="00630C39">
            <w:pPr>
              <w:jc w:val="right"/>
              <w:rPr>
                <w:color w:val="000000"/>
                <w:sz w:val="16"/>
                <w:szCs w:val="16"/>
              </w:rPr>
            </w:pPr>
            <w:r w:rsidRPr="00872D7E">
              <w:rPr>
                <w:color w:val="000000"/>
                <w:sz w:val="16"/>
                <w:szCs w:val="16"/>
              </w:rPr>
              <w:t>500.000</w:t>
            </w:r>
          </w:p>
        </w:tc>
      </w:tr>
      <w:tr w:rsidR="00630C39" w:rsidRPr="00872D7E" w14:paraId="1CA1F931" w14:textId="77777777" w:rsidTr="00630C39">
        <w:trPr>
          <w:trHeight w:val="20"/>
        </w:trPr>
        <w:tc>
          <w:tcPr>
            <w:tcW w:w="2407" w:type="dxa"/>
            <w:vAlign w:val="bottom"/>
            <w:hideMark/>
          </w:tcPr>
          <w:p w14:paraId="084B158F" w14:textId="77777777" w:rsidR="00630C39" w:rsidRPr="00872D7E" w:rsidRDefault="00630C39" w:rsidP="00630C39">
            <w:pPr>
              <w:rPr>
                <w:color w:val="000000"/>
                <w:sz w:val="15"/>
                <w:szCs w:val="15"/>
              </w:rPr>
            </w:pPr>
            <w:r w:rsidRPr="00872D7E">
              <w:rPr>
                <w:color w:val="000000"/>
                <w:sz w:val="15"/>
                <w:szCs w:val="15"/>
              </w:rPr>
              <w:t>Diğer Yükümlülükler</w:t>
            </w:r>
          </w:p>
        </w:tc>
        <w:tc>
          <w:tcPr>
            <w:tcW w:w="1264" w:type="dxa"/>
            <w:vAlign w:val="bottom"/>
          </w:tcPr>
          <w:p w14:paraId="4386D409" w14:textId="30A0A5EC" w:rsidR="00630C39" w:rsidRPr="00872D7E" w:rsidRDefault="00630C39" w:rsidP="00630C39">
            <w:pPr>
              <w:jc w:val="right"/>
              <w:rPr>
                <w:color w:val="000000"/>
                <w:sz w:val="16"/>
                <w:szCs w:val="16"/>
              </w:rPr>
            </w:pPr>
            <w:r w:rsidRPr="00872D7E">
              <w:rPr>
                <w:color w:val="000000"/>
                <w:sz w:val="16"/>
                <w:szCs w:val="16"/>
              </w:rPr>
              <w:t>16.686</w:t>
            </w:r>
          </w:p>
        </w:tc>
        <w:tc>
          <w:tcPr>
            <w:tcW w:w="1105" w:type="dxa"/>
            <w:vAlign w:val="bottom"/>
          </w:tcPr>
          <w:p w14:paraId="268122E1" w14:textId="1E0A2CC6" w:rsidR="00630C39" w:rsidRPr="00872D7E" w:rsidRDefault="00630C39" w:rsidP="00630C39">
            <w:pPr>
              <w:jc w:val="right"/>
              <w:rPr>
                <w:sz w:val="16"/>
                <w:szCs w:val="16"/>
              </w:rPr>
            </w:pPr>
            <w:r w:rsidRPr="00872D7E">
              <w:rPr>
                <w:color w:val="000000"/>
                <w:sz w:val="16"/>
                <w:szCs w:val="16"/>
              </w:rPr>
              <w:t>-</w:t>
            </w:r>
          </w:p>
        </w:tc>
        <w:tc>
          <w:tcPr>
            <w:tcW w:w="1134" w:type="dxa"/>
            <w:vAlign w:val="bottom"/>
          </w:tcPr>
          <w:p w14:paraId="4323E1C3" w14:textId="076459D6" w:rsidR="00630C39" w:rsidRPr="00872D7E" w:rsidRDefault="00630C39" w:rsidP="00630C39">
            <w:pPr>
              <w:jc w:val="right"/>
              <w:rPr>
                <w:sz w:val="16"/>
                <w:szCs w:val="16"/>
              </w:rPr>
            </w:pPr>
            <w:r w:rsidRPr="00872D7E">
              <w:rPr>
                <w:color w:val="000000"/>
                <w:sz w:val="16"/>
                <w:szCs w:val="16"/>
              </w:rPr>
              <w:t>-</w:t>
            </w:r>
          </w:p>
        </w:tc>
        <w:tc>
          <w:tcPr>
            <w:tcW w:w="1276" w:type="dxa"/>
            <w:vAlign w:val="bottom"/>
          </w:tcPr>
          <w:p w14:paraId="5298CF61" w14:textId="2FD7192C" w:rsidR="00630C39" w:rsidRPr="00872D7E" w:rsidRDefault="00630C39" w:rsidP="00630C39">
            <w:pPr>
              <w:jc w:val="right"/>
              <w:rPr>
                <w:sz w:val="16"/>
                <w:szCs w:val="16"/>
              </w:rPr>
            </w:pPr>
            <w:r w:rsidRPr="00872D7E">
              <w:rPr>
                <w:color w:val="000000"/>
                <w:sz w:val="16"/>
                <w:szCs w:val="16"/>
              </w:rPr>
              <w:t>-</w:t>
            </w:r>
          </w:p>
        </w:tc>
        <w:tc>
          <w:tcPr>
            <w:tcW w:w="1048" w:type="dxa"/>
            <w:vAlign w:val="bottom"/>
          </w:tcPr>
          <w:p w14:paraId="4B589866" w14:textId="69ED69D3" w:rsidR="00630C39" w:rsidRPr="00872D7E" w:rsidRDefault="00630C39" w:rsidP="00630C39">
            <w:pPr>
              <w:jc w:val="right"/>
              <w:rPr>
                <w:sz w:val="16"/>
                <w:szCs w:val="16"/>
              </w:rPr>
            </w:pPr>
            <w:r w:rsidRPr="00872D7E">
              <w:rPr>
                <w:color w:val="000000"/>
                <w:sz w:val="16"/>
                <w:szCs w:val="16"/>
              </w:rPr>
              <w:t>-</w:t>
            </w:r>
          </w:p>
        </w:tc>
        <w:tc>
          <w:tcPr>
            <w:tcW w:w="1426" w:type="dxa"/>
            <w:vAlign w:val="bottom"/>
          </w:tcPr>
          <w:p w14:paraId="20DB6AEE" w14:textId="5401B05F" w:rsidR="00630C39" w:rsidRPr="00872D7E" w:rsidRDefault="00630C39" w:rsidP="00630C39">
            <w:pPr>
              <w:jc w:val="right"/>
              <w:rPr>
                <w:color w:val="000000"/>
                <w:sz w:val="16"/>
                <w:szCs w:val="16"/>
              </w:rPr>
            </w:pPr>
            <w:r w:rsidRPr="00872D7E">
              <w:rPr>
                <w:color w:val="000000"/>
                <w:sz w:val="16"/>
                <w:szCs w:val="16"/>
              </w:rPr>
              <w:t>16.686</w:t>
            </w:r>
          </w:p>
        </w:tc>
      </w:tr>
      <w:tr w:rsidR="00630C39" w:rsidRPr="00872D7E" w14:paraId="01859C3C" w14:textId="77777777" w:rsidTr="00987E11">
        <w:trPr>
          <w:trHeight w:val="20"/>
        </w:trPr>
        <w:tc>
          <w:tcPr>
            <w:tcW w:w="2407" w:type="dxa"/>
            <w:tcBorders>
              <w:top w:val="nil"/>
              <w:left w:val="nil"/>
              <w:bottom w:val="single" w:sz="4" w:space="0" w:color="auto"/>
              <w:right w:val="nil"/>
            </w:tcBorders>
            <w:vAlign w:val="bottom"/>
            <w:hideMark/>
          </w:tcPr>
          <w:p w14:paraId="0CE18048" w14:textId="77777777" w:rsidR="00630C39" w:rsidRPr="00872D7E" w:rsidRDefault="00630C39" w:rsidP="00630C39">
            <w:pPr>
              <w:rPr>
                <w:sz w:val="15"/>
                <w:szCs w:val="15"/>
              </w:rPr>
            </w:pPr>
            <w:r w:rsidRPr="00872D7E">
              <w:rPr>
                <w:sz w:val="15"/>
                <w:szCs w:val="15"/>
              </w:rPr>
              <w:t>Özkaynaklar</w:t>
            </w:r>
          </w:p>
        </w:tc>
        <w:tc>
          <w:tcPr>
            <w:tcW w:w="1264" w:type="dxa"/>
            <w:tcBorders>
              <w:top w:val="nil"/>
              <w:left w:val="nil"/>
              <w:bottom w:val="single" w:sz="4" w:space="0" w:color="auto"/>
              <w:right w:val="nil"/>
            </w:tcBorders>
            <w:vAlign w:val="bottom"/>
          </w:tcPr>
          <w:p w14:paraId="4202F577" w14:textId="5FD81BDB" w:rsidR="00630C39" w:rsidRPr="00872D7E" w:rsidRDefault="00630C39" w:rsidP="00630C39">
            <w:pPr>
              <w:jc w:val="right"/>
              <w:rPr>
                <w:color w:val="000000"/>
                <w:sz w:val="16"/>
                <w:szCs w:val="16"/>
              </w:rPr>
            </w:pPr>
            <w:r w:rsidRPr="00872D7E">
              <w:rPr>
                <w:color w:val="000000"/>
                <w:sz w:val="16"/>
                <w:szCs w:val="16"/>
              </w:rPr>
              <w:t>84.044</w:t>
            </w:r>
          </w:p>
        </w:tc>
        <w:tc>
          <w:tcPr>
            <w:tcW w:w="1105" w:type="dxa"/>
            <w:tcBorders>
              <w:top w:val="nil"/>
              <w:left w:val="nil"/>
              <w:bottom w:val="single" w:sz="4" w:space="0" w:color="auto"/>
              <w:right w:val="nil"/>
            </w:tcBorders>
            <w:vAlign w:val="bottom"/>
          </w:tcPr>
          <w:p w14:paraId="068FAFA0" w14:textId="00B17741" w:rsidR="00630C39" w:rsidRPr="00872D7E" w:rsidRDefault="00630C39" w:rsidP="00630C39">
            <w:pPr>
              <w:jc w:val="right"/>
              <w:rPr>
                <w:sz w:val="16"/>
                <w:szCs w:val="16"/>
              </w:rPr>
            </w:pPr>
            <w:r w:rsidRPr="00872D7E">
              <w:rPr>
                <w:color w:val="000000"/>
                <w:sz w:val="16"/>
                <w:szCs w:val="16"/>
              </w:rPr>
              <w:t>-</w:t>
            </w:r>
          </w:p>
        </w:tc>
        <w:tc>
          <w:tcPr>
            <w:tcW w:w="1134" w:type="dxa"/>
            <w:tcBorders>
              <w:top w:val="nil"/>
              <w:left w:val="nil"/>
              <w:bottom w:val="single" w:sz="4" w:space="0" w:color="auto"/>
              <w:right w:val="nil"/>
            </w:tcBorders>
            <w:vAlign w:val="bottom"/>
          </w:tcPr>
          <w:p w14:paraId="515134FC" w14:textId="3338B229" w:rsidR="00630C39" w:rsidRPr="00872D7E" w:rsidRDefault="00630C39" w:rsidP="00630C39">
            <w:pPr>
              <w:jc w:val="right"/>
              <w:rPr>
                <w:sz w:val="16"/>
                <w:szCs w:val="16"/>
              </w:rPr>
            </w:pPr>
            <w:r w:rsidRPr="00872D7E">
              <w:rPr>
                <w:color w:val="000000"/>
                <w:sz w:val="16"/>
                <w:szCs w:val="16"/>
              </w:rPr>
              <w:t>-</w:t>
            </w:r>
          </w:p>
        </w:tc>
        <w:tc>
          <w:tcPr>
            <w:tcW w:w="1276" w:type="dxa"/>
            <w:tcBorders>
              <w:top w:val="nil"/>
              <w:left w:val="nil"/>
              <w:bottom w:val="single" w:sz="4" w:space="0" w:color="auto"/>
              <w:right w:val="nil"/>
            </w:tcBorders>
            <w:vAlign w:val="bottom"/>
          </w:tcPr>
          <w:p w14:paraId="336A99AA" w14:textId="2117958E" w:rsidR="00630C39" w:rsidRPr="00872D7E" w:rsidRDefault="00630C39" w:rsidP="00630C39">
            <w:pPr>
              <w:jc w:val="right"/>
              <w:rPr>
                <w:sz w:val="16"/>
                <w:szCs w:val="16"/>
              </w:rPr>
            </w:pPr>
            <w:r w:rsidRPr="00872D7E">
              <w:rPr>
                <w:color w:val="000000"/>
                <w:sz w:val="16"/>
                <w:szCs w:val="16"/>
              </w:rPr>
              <w:t>-</w:t>
            </w:r>
          </w:p>
        </w:tc>
        <w:tc>
          <w:tcPr>
            <w:tcW w:w="1048" w:type="dxa"/>
            <w:tcBorders>
              <w:top w:val="nil"/>
              <w:left w:val="nil"/>
              <w:bottom w:val="single" w:sz="4" w:space="0" w:color="auto"/>
              <w:right w:val="nil"/>
            </w:tcBorders>
            <w:vAlign w:val="bottom"/>
          </w:tcPr>
          <w:p w14:paraId="1B95DABD" w14:textId="20D13294" w:rsidR="00630C39" w:rsidRPr="00872D7E" w:rsidRDefault="00630C39" w:rsidP="00630C39">
            <w:pPr>
              <w:jc w:val="right"/>
              <w:rPr>
                <w:sz w:val="16"/>
                <w:szCs w:val="16"/>
              </w:rPr>
            </w:pPr>
            <w:r w:rsidRPr="00872D7E">
              <w:rPr>
                <w:color w:val="000000"/>
                <w:sz w:val="16"/>
                <w:szCs w:val="16"/>
              </w:rPr>
              <w:t>-</w:t>
            </w:r>
          </w:p>
        </w:tc>
        <w:tc>
          <w:tcPr>
            <w:tcW w:w="1426" w:type="dxa"/>
            <w:tcBorders>
              <w:top w:val="nil"/>
              <w:left w:val="nil"/>
              <w:bottom w:val="single" w:sz="4" w:space="0" w:color="auto"/>
              <w:right w:val="nil"/>
            </w:tcBorders>
            <w:vAlign w:val="bottom"/>
          </w:tcPr>
          <w:p w14:paraId="5EF53F2D" w14:textId="148E2CA0" w:rsidR="00630C39" w:rsidRPr="00872D7E" w:rsidRDefault="00630C39" w:rsidP="00630C39">
            <w:pPr>
              <w:jc w:val="right"/>
              <w:rPr>
                <w:color w:val="000000"/>
                <w:sz w:val="16"/>
                <w:szCs w:val="16"/>
              </w:rPr>
            </w:pPr>
            <w:r w:rsidRPr="00872D7E">
              <w:rPr>
                <w:color w:val="000000"/>
                <w:sz w:val="16"/>
                <w:szCs w:val="16"/>
              </w:rPr>
              <w:t>84.044</w:t>
            </w:r>
          </w:p>
        </w:tc>
      </w:tr>
      <w:tr w:rsidR="00630C39" w:rsidRPr="00872D7E" w14:paraId="1A7043F0" w14:textId="77777777" w:rsidTr="00987E11">
        <w:trPr>
          <w:trHeight w:val="20"/>
        </w:trPr>
        <w:tc>
          <w:tcPr>
            <w:tcW w:w="2407" w:type="dxa"/>
            <w:tcBorders>
              <w:top w:val="single" w:sz="4" w:space="0" w:color="auto"/>
              <w:left w:val="nil"/>
              <w:bottom w:val="single" w:sz="12" w:space="0" w:color="auto"/>
              <w:right w:val="nil"/>
            </w:tcBorders>
            <w:vAlign w:val="bottom"/>
            <w:hideMark/>
          </w:tcPr>
          <w:p w14:paraId="7DC75913" w14:textId="77777777" w:rsidR="00630C39" w:rsidRPr="00872D7E" w:rsidRDefault="00630C39" w:rsidP="00630C39">
            <w:pPr>
              <w:rPr>
                <w:b/>
                <w:sz w:val="15"/>
                <w:szCs w:val="15"/>
              </w:rPr>
            </w:pPr>
            <w:r w:rsidRPr="00872D7E">
              <w:rPr>
                <w:b/>
                <w:sz w:val="15"/>
                <w:szCs w:val="15"/>
              </w:rPr>
              <w:t>Toplam yükümlülükler</w:t>
            </w:r>
          </w:p>
        </w:tc>
        <w:tc>
          <w:tcPr>
            <w:tcW w:w="1264" w:type="dxa"/>
            <w:tcBorders>
              <w:top w:val="single" w:sz="4" w:space="0" w:color="auto"/>
              <w:left w:val="nil"/>
              <w:bottom w:val="single" w:sz="12" w:space="0" w:color="auto"/>
              <w:right w:val="nil"/>
            </w:tcBorders>
            <w:vAlign w:val="bottom"/>
          </w:tcPr>
          <w:p w14:paraId="63B11F58" w14:textId="2D52B195" w:rsidR="00630C39" w:rsidRPr="00872D7E" w:rsidRDefault="00630C39" w:rsidP="00630C39">
            <w:pPr>
              <w:jc w:val="right"/>
              <w:rPr>
                <w:b/>
                <w:bCs/>
                <w:color w:val="000000"/>
                <w:sz w:val="16"/>
                <w:szCs w:val="16"/>
              </w:rPr>
            </w:pPr>
            <w:r w:rsidRPr="00872D7E">
              <w:rPr>
                <w:b/>
                <w:bCs/>
                <w:color w:val="000000"/>
                <w:sz w:val="16"/>
                <w:szCs w:val="16"/>
              </w:rPr>
              <w:t>654.301</w:t>
            </w:r>
          </w:p>
        </w:tc>
        <w:tc>
          <w:tcPr>
            <w:tcW w:w="1105" w:type="dxa"/>
            <w:tcBorders>
              <w:top w:val="single" w:sz="4" w:space="0" w:color="auto"/>
              <w:left w:val="nil"/>
              <w:bottom w:val="single" w:sz="12" w:space="0" w:color="auto"/>
              <w:right w:val="nil"/>
            </w:tcBorders>
            <w:vAlign w:val="bottom"/>
          </w:tcPr>
          <w:p w14:paraId="1D0C5880" w14:textId="58736CD8" w:rsidR="00630C39" w:rsidRPr="00872D7E" w:rsidRDefault="00630C39" w:rsidP="00630C39">
            <w:pPr>
              <w:jc w:val="right"/>
              <w:rPr>
                <w:b/>
                <w:bCs/>
                <w:color w:val="000000"/>
                <w:sz w:val="16"/>
                <w:szCs w:val="16"/>
              </w:rPr>
            </w:pPr>
            <w:r w:rsidRPr="00872D7E">
              <w:rPr>
                <w:b/>
                <w:bCs/>
                <w:color w:val="000000"/>
                <w:sz w:val="16"/>
                <w:szCs w:val="16"/>
              </w:rPr>
              <w:t>-</w:t>
            </w:r>
          </w:p>
        </w:tc>
        <w:tc>
          <w:tcPr>
            <w:tcW w:w="1134" w:type="dxa"/>
            <w:tcBorders>
              <w:top w:val="single" w:sz="4" w:space="0" w:color="auto"/>
              <w:left w:val="nil"/>
              <w:bottom w:val="single" w:sz="12" w:space="0" w:color="auto"/>
              <w:right w:val="nil"/>
            </w:tcBorders>
            <w:vAlign w:val="bottom"/>
          </w:tcPr>
          <w:p w14:paraId="7DABDEB1" w14:textId="5F237624" w:rsidR="00630C39" w:rsidRPr="00872D7E" w:rsidRDefault="00630C39" w:rsidP="00630C39">
            <w:pPr>
              <w:jc w:val="right"/>
              <w:rPr>
                <w:b/>
                <w:bCs/>
                <w:sz w:val="16"/>
                <w:szCs w:val="16"/>
              </w:rPr>
            </w:pPr>
            <w:r w:rsidRPr="00872D7E">
              <w:rPr>
                <w:b/>
                <w:bCs/>
                <w:color w:val="000000"/>
                <w:sz w:val="16"/>
                <w:szCs w:val="16"/>
              </w:rPr>
              <w:t>-</w:t>
            </w:r>
          </w:p>
        </w:tc>
        <w:tc>
          <w:tcPr>
            <w:tcW w:w="1276" w:type="dxa"/>
            <w:tcBorders>
              <w:top w:val="single" w:sz="4" w:space="0" w:color="auto"/>
              <w:left w:val="nil"/>
              <w:bottom w:val="single" w:sz="12" w:space="0" w:color="auto"/>
              <w:right w:val="nil"/>
            </w:tcBorders>
            <w:vAlign w:val="bottom"/>
          </w:tcPr>
          <w:p w14:paraId="458B3558" w14:textId="6E78392A" w:rsidR="00630C39" w:rsidRPr="00872D7E" w:rsidRDefault="00630C39" w:rsidP="00630C39">
            <w:pPr>
              <w:jc w:val="right"/>
              <w:rPr>
                <w:b/>
                <w:bCs/>
                <w:sz w:val="16"/>
                <w:szCs w:val="16"/>
              </w:rPr>
            </w:pPr>
            <w:r w:rsidRPr="00872D7E">
              <w:rPr>
                <w:b/>
                <w:bCs/>
                <w:color w:val="000000"/>
                <w:sz w:val="16"/>
                <w:szCs w:val="16"/>
              </w:rPr>
              <w:t>-</w:t>
            </w:r>
          </w:p>
        </w:tc>
        <w:tc>
          <w:tcPr>
            <w:tcW w:w="1048" w:type="dxa"/>
            <w:tcBorders>
              <w:top w:val="single" w:sz="4" w:space="0" w:color="auto"/>
              <w:left w:val="nil"/>
              <w:bottom w:val="single" w:sz="12" w:space="0" w:color="auto"/>
              <w:right w:val="nil"/>
            </w:tcBorders>
            <w:vAlign w:val="bottom"/>
          </w:tcPr>
          <w:p w14:paraId="088A535A" w14:textId="1535E44A" w:rsidR="00630C39" w:rsidRPr="00872D7E" w:rsidRDefault="00630C39" w:rsidP="00630C39">
            <w:pPr>
              <w:jc w:val="right"/>
              <w:rPr>
                <w:b/>
                <w:bCs/>
                <w:sz w:val="16"/>
                <w:szCs w:val="16"/>
              </w:rPr>
            </w:pPr>
            <w:r w:rsidRPr="00872D7E">
              <w:rPr>
                <w:b/>
                <w:bCs/>
                <w:color w:val="000000"/>
                <w:sz w:val="16"/>
                <w:szCs w:val="16"/>
              </w:rPr>
              <w:t>-</w:t>
            </w:r>
          </w:p>
        </w:tc>
        <w:tc>
          <w:tcPr>
            <w:tcW w:w="1426" w:type="dxa"/>
            <w:tcBorders>
              <w:top w:val="single" w:sz="4" w:space="0" w:color="auto"/>
              <w:left w:val="nil"/>
              <w:bottom w:val="single" w:sz="12" w:space="0" w:color="auto"/>
              <w:right w:val="nil"/>
            </w:tcBorders>
            <w:vAlign w:val="bottom"/>
          </w:tcPr>
          <w:p w14:paraId="3DAC6A21" w14:textId="4F83B13D" w:rsidR="00630C39" w:rsidRPr="00872D7E" w:rsidRDefault="00630C39" w:rsidP="00630C39">
            <w:pPr>
              <w:jc w:val="right"/>
              <w:rPr>
                <w:b/>
                <w:bCs/>
                <w:color w:val="000000"/>
                <w:sz w:val="16"/>
                <w:szCs w:val="16"/>
              </w:rPr>
            </w:pPr>
            <w:r w:rsidRPr="00872D7E">
              <w:rPr>
                <w:b/>
                <w:bCs/>
                <w:color w:val="000000"/>
                <w:sz w:val="16"/>
                <w:szCs w:val="16"/>
              </w:rPr>
              <w:t>654.301</w:t>
            </w:r>
          </w:p>
        </w:tc>
      </w:tr>
    </w:tbl>
    <w:p w14:paraId="35D932B2" w14:textId="77777777" w:rsidR="005E2D92" w:rsidRPr="00872D7E" w:rsidRDefault="005E2D92" w:rsidP="004602AB">
      <w:pPr>
        <w:tabs>
          <w:tab w:val="left" w:pos="284"/>
        </w:tabs>
        <w:spacing w:before="60"/>
        <w:ind w:left="-14"/>
        <w:rPr>
          <w:rFonts w:eastAsiaTheme="minorHAnsi"/>
          <w:iCs/>
          <w:sz w:val="16"/>
          <w:szCs w:val="20"/>
        </w:rPr>
      </w:pPr>
      <w:r w:rsidRPr="00872D7E">
        <w:rPr>
          <w:rFonts w:eastAsiaTheme="minorHAnsi"/>
          <w:iCs/>
          <w:sz w:val="16"/>
          <w:szCs w:val="20"/>
          <w:vertAlign w:val="superscript"/>
        </w:rPr>
        <w:t xml:space="preserve">(*)    </w:t>
      </w:r>
      <w:r w:rsidRPr="00872D7E">
        <w:rPr>
          <w:rFonts w:eastAsiaTheme="minorHAnsi"/>
          <w:iCs/>
          <w:sz w:val="16"/>
          <w:szCs w:val="20"/>
        </w:rPr>
        <w:t>Banka’nın muhasebesel ve yasal konsolidasyon kapsamı aynı olduğundan mali tablo bilgileri tek sütunda gösterilmiştir.</w:t>
      </w:r>
    </w:p>
    <w:p w14:paraId="687AAD81" w14:textId="17725A02" w:rsidR="001E6F85" w:rsidRPr="00872D7E" w:rsidRDefault="005E2D92" w:rsidP="004602AB">
      <w:pPr>
        <w:tabs>
          <w:tab w:val="left" w:pos="284"/>
        </w:tabs>
        <w:spacing w:before="60"/>
        <w:ind w:left="-14"/>
        <w:rPr>
          <w:sz w:val="16"/>
          <w:szCs w:val="20"/>
        </w:rPr>
      </w:pPr>
      <w:r w:rsidRPr="00872D7E">
        <w:rPr>
          <w:rFonts w:eastAsiaTheme="minorHAnsi"/>
          <w:iCs/>
          <w:sz w:val="16"/>
          <w:szCs w:val="20"/>
          <w:vertAlign w:val="superscript"/>
        </w:rPr>
        <w:t>(**)</w:t>
      </w:r>
      <w:r w:rsidRPr="00872D7E">
        <w:rPr>
          <w:rFonts w:eastAsiaTheme="minorHAnsi"/>
          <w:b/>
          <w:iCs/>
          <w:sz w:val="16"/>
          <w:szCs w:val="20"/>
          <w:vertAlign w:val="superscript"/>
        </w:rPr>
        <w:tab/>
      </w:r>
      <w:r w:rsidRPr="00872D7E">
        <w:rPr>
          <w:sz w:val="16"/>
          <w:szCs w:val="20"/>
        </w:rPr>
        <w:t>Piyasa riski kapsamındaki genel piyasa riski ve spesifik riske konu kalemlerin TMS uyarınca değerlenmiş tutarlarını içermektedir.</w:t>
      </w:r>
    </w:p>
    <w:p w14:paraId="18F3B2A8" w14:textId="77777777" w:rsidR="001E6F85" w:rsidRPr="00872D7E" w:rsidRDefault="001E6F85" w:rsidP="004602AB">
      <w:pPr>
        <w:rPr>
          <w:sz w:val="16"/>
          <w:szCs w:val="20"/>
        </w:rPr>
      </w:pPr>
      <w:r w:rsidRPr="00872D7E">
        <w:rPr>
          <w:sz w:val="16"/>
          <w:szCs w:val="20"/>
        </w:rPr>
        <w:br w:type="page"/>
      </w:r>
    </w:p>
    <w:p w14:paraId="2B7D625D" w14:textId="24FF21A3" w:rsidR="000E463B" w:rsidRPr="00872D7E" w:rsidRDefault="00CB58D3" w:rsidP="009A4CF3">
      <w:pPr>
        <w:ind w:left="851" w:hanging="851"/>
        <w:rPr>
          <w:b/>
          <w:bCs/>
        </w:rPr>
      </w:pPr>
      <w:r w:rsidRPr="00872D7E">
        <w:rPr>
          <w:b/>
          <w:bCs/>
        </w:rPr>
        <w:lastRenderedPageBreak/>
        <w:t>I</w:t>
      </w:r>
      <w:r w:rsidR="000E463B" w:rsidRPr="00872D7E">
        <w:rPr>
          <w:b/>
          <w:bCs/>
        </w:rPr>
        <w:t>X.</w:t>
      </w:r>
      <w:r w:rsidR="000E463B" w:rsidRPr="00872D7E">
        <w:rPr>
          <w:b/>
          <w:bCs/>
        </w:rPr>
        <w:tab/>
        <w:t>RİSK YÖNETİMİNE İLİŞKİN AÇIKLAMALAR (Devamı)</w:t>
      </w:r>
    </w:p>
    <w:p w14:paraId="2BE7D769" w14:textId="333578A1" w:rsidR="009B43C1" w:rsidRPr="00872D7E" w:rsidRDefault="009B43C1" w:rsidP="009A4CF3">
      <w:pPr>
        <w:spacing w:before="120"/>
        <w:ind w:left="851" w:hanging="851"/>
        <w:rPr>
          <w:b/>
          <w:szCs w:val="20"/>
        </w:rPr>
      </w:pPr>
      <w:r w:rsidRPr="00872D7E">
        <w:rPr>
          <w:b/>
          <w:szCs w:val="20"/>
        </w:rPr>
        <w:t>b.</w:t>
      </w:r>
      <w:r w:rsidR="009A4CF3" w:rsidRPr="00872D7E">
        <w:rPr>
          <w:b/>
          <w:szCs w:val="20"/>
        </w:rPr>
        <w:tab/>
      </w:r>
      <w:r w:rsidRPr="00872D7E">
        <w:rPr>
          <w:b/>
          <w:szCs w:val="20"/>
        </w:rPr>
        <w:t>Finansal Tablolar ve Risk Tutarları Arasındaki Bağlantılar (</w:t>
      </w:r>
      <w:r w:rsidR="00CB0C7B" w:rsidRPr="00872D7E">
        <w:rPr>
          <w:b/>
          <w:szCs w:val="20"/>
        </w:rPr>
        <w:t>D</w:t>
      </w:r>
      <w:r w:rsidRPr="00872D7E">
        <w:rPr>
          <w:b/>
          <w:szCs w:val="20"/>
        </w:rPr>
        <w:t>evamı):</w:t>
      </w:r>
    </w:p>
    <w:p w14:paraId="52FE0EAA" w14:textId="294DF319" w:rsidR="005E2D92" w:rsidRPr="00872D7E" w:rsidRDefault="005E2D92" w:rsidP="009A4CF3">
      <w:pPr>
        <w:spacing w:before="120" w:after="120"/>
        <w:ind w:left="851" w:hanging="851"/>
        <w:rPr>
          <w:b/>
          <w:szCs w:val="20"/>
        </w:rPr>
      </w:pPr>
      <w:r w:rsidRPr="00872D7E">
        <w:rPr>
          <w:b/>
          <w:szCs w:val="20"/>
        </w:rPr>
        <w:t>b.2.</w:t>
      </w:r>
      <w:r w:rsidR="009A4CF3" w:rsidRPr="00872D7E">
        <w:tab/>
      </w:r>
      <w:r w:rsidRPr="00872D7E">
        <w:rPr>
          <w:b/>
          <w:szCs w:val="20"/>
        </w:rPr>
        <w:t>Risk tutarları ile finansal tablolardaki TMS uyarınca değerlenmiş tutarlar arasındaki farkların ana kaynakları:</w:t>
      </w:r>
    </w:p>
    <w:tbl>
      <w:tblPr>
        <w:tblW w:w="5000" w:type="pct"/>
        <w:tblLook w:val="04A0" w:firstRow="1" w:lastRow="0" w:firstColumn="1" w:lastColumn="0" w:noHBand="0" w:noVBand="1"/>
      </w:tblPr>
      <w:tblGrid>
        <w:gridCol w:w="403"/>
        <w:gridCol w:w="3370"/>
        <w:gridCol w:w="1118"/>
        <w:gridCol w:w="1116"/>
        <w:gridCol w:w="1359"/>
        <w:gridCol w:w="1049"/>
        <w:gridCol w:w="1224"/>
      </w:tblGrid>
      <w:tr w:rsidR="005E2D92" w:rsidRPr="00872D7E" w14:paraId="2E34FF99" w14:textId="77777777" w:rsidTr="00827BED">
        <w:trPr>
          <w:trHeight w:val="227"/>
        </w:trPr>
        <w:tc>
          <w:tcPr>
            <w:tcW w:w="209" w:type="pct"/>
            <w:tcBorders>
              <w:top w:val="single" w:sz="4" w:space="0" w:color="auto"/>
              <w:left w:val="nil"/>
              <w:bottom w:val="single" w:sz="4" w:space="0" w:color="auto"/>
              <w:right w:val="nil"/>
            </w:tcBorders>
          </w:tcPr>
          <w:p w14:paraId="10E15CA3" w14:textId="77777777" w:rsidR="005E2D92" w:rsidRPr="00872D7E" w:rsidRDefault="005E2D92" w:rsidP="004602AB">
            <w:pPr>
              <w:rPr>
                <w:sz w:val="16"/>
                <w:szCs w:val="16"/>
              </w:rPr>
            </w:pPr>
          </w:p>
        </w:tc>
        <w:tc>
          <w:tcPr>
            <w:tcW w:w="1748" w:type="pct"/>
            <w:tcBorders>
              <w:top w:val="single" w:sz="4" w:space="0" w:color="auto"/>
              <w:left w:val="nil"/>
              <w:bottom w:val="single" w:sz="4" w:space="0" w:color="auto"/>
              <w:right w:val="nil"/>
            </w:tcBorders>
            <w:vAlign w:val="center"/>
            <w:hideMark/>
          </w:tcPr>
          <w:p w14:paraId="30AB91A3" w14:textId="775E10E5" w:rsidR="005E2D92" w:rsidRPr="00872D7E" w:rsidRDefault="00827BED" w:rsidP="00827BED">
            <w:pPr>
              <w:rPr>
                <w:b/>
                <w:sz w:val="16"/>
                <w:szCs w:val="16"/>
              </w:rPr>
            </w:pPr>
            <w:r w:rsidRPr="00872D7E">
              <w:rPr>
                <w:b/>
                <w:sz w:val="16"/>
                <w:szCs w:val="16"/>
              </w:rPr>
              <w:t>31 Aralık 2024</w:t>
            </w:r>
          </w:p>
        </w:tc>
        <w:tc>
          <w:tcPr>
            <w:tcW w:w="580" w:type="pct"/>
            <w:tcBorders>
              <w:top w:val="single" w:sz="4" w:space="0" w:color="auto"/>
              <w:left w:val="nil"/>
              <w:bottom w:val="single" w:sz="4" w:space="0" w:color="auto"/>
              <w:right w:val="nil"/>
            </w:tcBorders>
            <w:vAlign w:val="bottom"/>
            <w:hideMark/>
          </w:tcPr>
          <w:p w14:paraId="40FEEB70" w14:textId="77777777" w:rsidR="005E2D92" w:rsidRPr="00872D7E" w:rsidRDefault="005E2D92" w:rsidP="004602AB">
            <w:pPr>
              <w:jc w:val="right"/>
              <w:rPr>
                <w:b/>
                <w:sz w:val="16"/>
                <w:szCs w:val="16"/>
              </w:rPr>
            </w:pPr>
            <w:r w:rsidRPr="00872D7E">
              <w:rPr>
                <w:b/>
                <w:sz w:val="16"/>
                <w:szCs w:val="16"/>
              </w:rPr>
              <w:t>Toplam</w:t>
            </w:r>
          </w:p>
        </w:tc>
        <w:tc>
          <w:tcPr>
            <w:tcW w:w="579" w:type="pct"/>
            <w:tcBorders>
              <w:top w:val="single" w:sz="4" w:space="0" w:color="auto"/>
              <w:left w:val="nil"/>
              <w:bottom w:val="single" w:sz="4" w:space="0" w:color="auto"/>
              <w:right w:val="nil"/>
            </w:tcBorders>
            <w:vAlign w:val="bottom"/>
            <w:hideMark/>
          </w:tcPr>
          <w:p w14:paraId="0E9AFDA2" w14:textId="77777777" w:rsidR="005E2D92" w:rsidRPr="00872D7E" w:rsidRDefault="005E2D92" w:rsidP="004602AB">
            <w:pPr>
              <w:jc w:val="right"/>
              <w:rPr>
                <w:b/>
                <w:sz w:val="16"/>
                <w:szCs w:val="16"/>
              </w:rPr>
            </w:pPr>
            <w:r w:rsidRPr="00872D7E">
              <w:rPr>
                <w:b/>
                <w:sz w:val="16"/>
                <w:szCs w:val="16"/>
              </w:rPr>
              <w:t>Kredi riskine tabi</w:t>
            </w:r>
          </w:p>
        </w:tc>
        <w:tc>
          <w:tcPr>
            <w:tcW w:w="705" w:type="pct"/>
            <w:tcBorders>
              <w:top w:val="single" w:sz="4" w:space="0" w:color="auto"/>
              <w:left w:val="nil"/>
              <w:bottom w:val="single" w:sz="4" w:space="0" w:color="auto"/>
              <w:right w:val="nil"/>
            </w:tcBorders>
            <w:vAlign w:val="bottom"/>
            <w:hideMark/>
          </w:tcPr>
          <w:p w14:paraId="6B00F070" w14:textId="77777777" w:rsidR="005E2D92" w:rsidRPr="00872D7E" w:rsidRDefault="005E2D92" w:rsidP="004602AB">
            <w:pPr>
              <w:jc w:val="right"/>
              <w:rPr>
                <w:b/>
                <w:sz w:val="16"/>
                <w:szCs w:val="16"/>
              </w:rPr>
            </w:pPr>
            <w:r w:rsidRPr="00872D7E">
              <w:rPr>
                <w:b/>
                <w:sz w:val="16"/>
                <w:szCs w:val="16"/>
              </w:rPr>
              <w:t>Menkul kıymetleştirme pozisyonları</w:t>
            </w:r>
          </w:p>
        </w:tc>
        <w:tc>
          <w:tcPr>
            <w:tcW w:w="544" w:type="pct"/>
            <w:tcBorders>
              <w:top w:val="single" w:sz="4" w:space="0" w:color="auto"/>
              <w:left w:val="nil"/>
              <w:bottom w:val="single" w:sz="4" w:space="0" w:color="auto"/>
              <w:right w:val="nil"/>
            </w:tcBorders>
            <w:vAlign w:val="bottom"/>
            <w:hideMark/>
          </w:tcPr>
          <w:p w14:paraId="1E14E88F" w14:textId="77777777" w:rsidR="005E2D92" w:rsidRPr="00872D7E" w:rsidRDefault="005E2D92" w:rsidP="004602AB">
            <w:pPr>
              <w:jc w:val="right"/>
              <w:rPr>
                <w:b/>
                <w:sz w:val="16"/>
                <w:szCs w:val="16"/>
              </w:rPr>
            </w:pPr>
            <w:r w:rsidRPr="00872D7E">
              <w:rPr>
                <w:b/>
                <w:sz w:val="16"/>
                <w:szCs w:val="16"/>
              </w:rPr>
              <w:t>Karşı taraf kredi riskine tabi</w:t>
            </w:r>
          </w:p>
        </w:tc>
        <w:tc>
          <w:tcPr>
            <w:tcW w:w="635" w:type="pct"/>
            <w:tcBorders>
              <w:top w:val="single" w:sz="4" w:space="0" w:color="auto"/>
              <w:left w:val="nil"/>
              <w:bottom w:val="single" w:sz="4" w:space="0" w:color="auto"/>
              <w:right w:val="nil"/>
            </w:tcBorders>
            <w:vAlign w:val="bottom"/>
            <w:hideMark/>
          </w:tcPr>
          <w:p w14:paraId="232A70C5" w14:textId="77777777" w:rsidR="005E2D92" w:rsidRPr="00872D7E" w:rsidRDefault="005E2D92" w:rsidP="004602AB">
            <w:pPr>
              <w:jc w:val="right"/>
              <w:rPr>
                <w:b/>
                <w:sz w:val="16"/>
                <w:szCs w:val="16"/>
              </w:rPr>
            </w:pPr>
            <w:r w:rsidRPr="00872D7E">
              <w:rPr>
                <w:b/>
                <w:sz w:val="16"/>
                <w:szCs w:val="16"/>
              </w:rPr>
              <w:t xml:space="preserve">Piyasa riskine tabi </w:t>
            </w:r>
            <w:r w:rsidRPr="00872D7E">
              <w:rPr>
                <w:rFonts w:eastAsiaTheme="minorHAnsi"/>
                <w:b/>
                <w:iCs/>
                <w:sz w:val="16"/>
                <w:szCs w:val="16"/>
                <w:vertAlign w:val="superscript"/>
              </w:rPr>
              <w:t>(*)</w:t>
            </w:r>
          </w:p>
        </w:tc>
      </w:tr>
      <w:tr w:rsidR="00D4647F" w:rsidRPr="00872D7E" w14:paraId="27A0A4DC" w14:textId="77777777" w:rsidTr="00D4647F">
        <w:trPr>
          <w:trHeight w:val="227"/>
        </w:trPr>
        <w:tc>
          <w:tcPr>
            <w:tcW w:w="209" w:type="pct"/>
            <w:tcBorders>
              <w:top w:val="single" w:sz="4" w:space="0" w:color="auto"/>
              <w:left w:val="nil"/>
              <w:bottom w:val="nil"/>
              <w:right w:val="nil"/>
            </w:tcBorders>
            <w:hideMark/>
          </w:tcPr>
          <w:p w14:paraId="423E55BE" w14:textId="77777777" w:rsidR="00D4647F" w:rsidRPr="00872D7E" w:rsidRDefault="00D4647F" w:rsidP="00D4647F">
            <w:pPr>
              <w:rPr>
                <w:sz w:val="16"/>
                <w:szCs w:val="16"/>
              </w:rPr>
            </w:pPr>
            <w:r w:rsidRPr="00872D7E">
              <w:rPr>
                <w:sz w:val="16"/>
                <w:szCs w:val="16"/>
              </w:rPr>
              <w:t>1</w:t>
            </w:r>
          </w:p>
        </w:tc>
        <w:tc>
          <w:tcPr>
            <w:tcW w:w="1748" w:type="pct"/>
            <w:tcBorders>
              <w:top w:val="single" w:sz="4" w:space="0" w:color="auto"/>
              <w:left w:val="nil"/>
              <w:bottom w:val="nil"/>
              <w:right w:val="nil"/>
            </w:tcBorders>
            <w:vAlign w:val="bottom"/>
            <w:hideMark/>
          </w:tcPr>
          <w:p w14:paraId="6C6C2699" w14:textId="77777777" w:rsidR="00D4647F" w:rsidRPr="00872D7E" w:rsidRDefault="00D4647F" w:rsidP="00D4647F">
            <w:pPr>
              <w:rPr>
                <w:sz w:val="16"/>
                <w:szCs w:val="16"/>
              </w:rPr>
            </w:pPr>
            <w:r w:rsidRPr="00872D7E">
              <w:rPr>
                <w:sz w:val="16"/>
                <w:szCs w:val="16"/>
              </w:rPr>
              <w:t>Yasal konsolidasyon kapsamındaki varlıkların TMS uyarınca değerlenmiş tutarları (şablon B1 deki gibi)</w:t>
            </w:r>
          </w:p>
        </w:tc>
        <w:tc>
          <w:tcPr>
            <w:tcW w:w="580" w:type="pct"/>
            <w:vAlign w:val="bottom"/>
          </w:tcPr>
          <w:p w14:paraId="0C11ADDA" w14:textId="36E73F51" w:rsidR="00D4647F" w:rsidRPr="00872D7E" w:rsidRDefault="00D4647F" w:rsidP="00D4647F">
            <w:pPr>
              <w:jc w:val="right"/>
              <w:rPr>
                <w:color w:val="000000"/>
                <w:sz w:val="16"/>
                <w:szCs w:val="16"/>
              </w:rPr>
            </w:pPr>
            <w:r w:rsidRPr="00872D7E">
              <w:rPr>
                <w:sz w:val="16"/>
                <w:szCs w:val="16"/>
              </w:rPr>
              <w:t>34.635.157</w:t>
            </w:r>
          </w:p>
        </w:tc>
        <w:tc>
          <w:tcPr>
            <w:tcW w:w="579" w:type="pct"/>
            <w:vAlign w:val="bottom"/>
          </w:tcPr>
          <w:p w14:paraId="1D4737D3" w14:textId="6074E97B" w:rsidR="00D4647F" w:rsidRPr="00872D7E" w:rsidRDefault="00D4647F" w:rsidP="00D4647F">
            <w:pPr>
              <w:jc w:val="right"/>
              <w:rPr>
                <w:color w:val="000000"/>
                <w:sz w:val="16"/>
                <w:szCs w:val="16"/>
              </w:rPr>
            </w:pPr>
            <w:r w:rsidRPr="00872D7E">
              <w:rPr>
                <w:sz w:val="16"/>
                <w:szCs w:val="16"/>
              </w:rPr>
              <w:t>34.479.600</w:t>
            </w:r>
          </w:p>
        </w:tc>
        <w:tc>
          <w:tcPr>
            <w:tcW w:w="705" w:type="pct"/>
            <w:tcBorders>
              <w:top w:val="single" w:sz="4" w:space="0" w:color="auto"/>
              <w:left w:val="nil"/>
              <w:bottom w:val="nil"/>
              <w:right w:val="nil"/>
            </w:tcBorders>
            <w:vAlign w:val="bottom"/>
          </w:tcPr>
          <w:p w14:paraId="503552E6" w14:textId="002DF279" w:rsidR="00D4647F" w:rsidRPr="00872D7E" w:rsidRDefault="00D4647F" w:rsidP="00D4647F">
            <w:pPr>
              <w:jc w:val="right"/>
              <w:rPr>
                <w:color w:val="000000"/>
                <w:sz w:val="16"/>
                <w:szCs w:val="16"/>
              </w:rPr>
            </w:pPr>
            <w:r w:rsidRPr="00872D7E">
              <w:rPr>
                <w:sz w:val="16"/>
                <w:szCs w:val="16"/>
              </w:rPr>
              <w:t>-</w:t>
            </w:r>
          </w:p>
        </w:tc>
        <w:tc>
          <w:tcPr>
            <w:tcW w:w="544" w:type="pct"/>
            <w:tcBorders>
              <w:top w:val="single" w:sz="4" w:space="0" w:color="auto"/>
              <w:left w:val="nil"/>
              <w:bottom w:val="nil"/>
              <w:right w:val="nil"/>
            </w:tcBorders>
            <w:vAlign w:val="bottom"/>
          </w:tcPr>
          <w:p w14:paraId="28BA12B4" w14:textId="7DBBB6D0" w:rsidR="00D4647F" w:rsidRPr="00872D7E" w:rsidRDefault="00D4647F" w:rsidP="00D4647F">
            <w:pPr>
              <w:jc w:val="right"/>
              <w:rPr>
                <w:color w:val="000000"/>
                <w:sz w:val="16"/>
                <w:szCs w:val="16"/>
              </w:rPr>
            </w:pPr>
            <w:r w:rsidRPr="00872D7E">
              <w:rPr>
                <w:sz w:val="16"/>
                <w:szCs w:val="16"/>
              </w:rPr>
              <w:t>22.274</w:t>
            </w:r>
          </w:p>
        </w:tc>
        <w:tc>
          <w:tcPr>
            <w:tcW w:w="635" w:type="pct"/>
            <w:tcBorders>
              <w:top w:val="single" w:sz="4" w:space="0" w:color="auto"/>
              <w:left w:val="nil"/>
              <w:bottom w:val="nil"/>
              <w:right w:val="nil"/>
            </w:tcBorders>
            <w:vAlign w:val="bottom"/>
          </w:tcPr>
          <w:p w14:paraId="056C525E" w14:textId="256145DF" w:rsidR="00D4647F" w:rsidRPr="00872D7E" w:rsidRDefault="00D4647F" w:rsidP="00D4647F">
            <w:pPr>
              <w:jc w:val="right"/>
              <w:rPr>
                <w:color w:val="000000"/>
                <w:sz w:val="16"/>
                <w:szCs w:val="16"/>
              </w:rPr>
            </w:pPr>
            <w:r w:rsidRPr="00872D7E">
              <w:rPr>
                <w:sz w:val="16"/>
                <w:szCs w:val="16"/>
              </w:rPr>
              <w:t>133.283</w:t>
            </w:r>
          </w:p>
        </w:tc>
      </w:tr>
      <w:tr w:rsidR="00D4647F" w:rsidRPr="00872D7E" w14:paraId="6CAFF16B" w14:textId="77777777" w:rsidTr="00D4647F">
        <w:trPr>
          <w:trHeight w:val="227"/>
        </w:trPr>
        <w:tc>
          <w:tcPr>
            <w:tcW w:w="209" w:type="pct"/>
            <w:hideMark/>
          </w:tcPr>
          <w:p w14:paraId="58E1550D" w14:textId="77777777" w:rsidR="00D4647F" w:rsidRPr="00872D7E" w:rsidRDefault="00D4647F" w:rsidP="00D4647F">
            <w:pPr>
              <w:rPr>
                <w:sz w:val="16"/>
                <w:szCs w:val="16"/>
              </w:rPr>
            </w:pPr>
            <w:r w:rsidRPr="00872D7E">
              <w:rPr>
                <w:sz w:val="16"/>
                <w:szCs w:val="16"/>
              </w:rPr>
              <w:t>2</w:t>
            </w:r>
          </w:p>
        </w:tc>
        <w:tc>
          <w:tcPr>
            <w:tcW w:w="1748" w:type="pct"/>
            <w:vAlign w:val="bottom"/>
            <w:hideMark/>
          </w:tcPr>
          <w:p w14:paraId="5788B85A" w14:textId="77777777" w:rsidR="00D4647F" w:rsidRPr="00872D7E" w:rsidRDefault="00D4647F" w:rsidP="00D4647F">
            <w:pPr>
              <w:rPr>
                <w:sz w:val="16"/>
                <w:szCs w:val="16"/>
              </w:rPr>
            </w:pPr>
            <w:r w:rsidRPr="00872D7E">
              <w:rPr>
                <w:sz w:val="16"/>
                <w:szCs w:val="16"/>
              </w:rPr>
              <w:t>Yasal</w:t>
            </w:r>
            <w:r w:rsidRPr="00872D7E">
              <w:rPr>
                <w:b/>
                <w:sz w:val="16"/>
                <w:szCs w:val="16"/>
              </w:rPr>
              <w:t xml:space="preserve"> </w:t>
            </w:r>
            <w:r w:rsidRPr="00872D7E">
              <w:rPr>
                <w:sz w:val="16"/>
                <w:szCs w:val="16"/>
              </w:rPr>
              <w:t>konsolidasyon kapsamındaki yükümlülüklerin TMS uyarınca değerlenmiş tutarları (şablon B1’deki gibi)</w:t>
            </w:r>
          </w:p>
        </w:tc>
        <w:tc>
          <w:tcPr>
            <w:tcW w:w="580" w:type="pct"/>
            <w:vAlign w:val="bottom"/>
          </w:tcPr>
          <w:p w14:paraId="33152C5D" w14:textId="1FC24B10" w:rsidR="00D4647F" w:rsidRPr="00872D7E" w:rsidRDefault="00D4647F" w:rsidP="00D4647F">
            <w:pPr>
              <w:jc w:val="right"/>
              <w:rPr>
                <w:color w:val="000000"/>
                <w:sz w:val="16"/>
                <w:szCs w:val="16"/>
              </w:rPr>
            </w:pPr>
            <w:r w:rsidRPr="00872D7E">
              <w:rPr>
                <w:sz w:val="16"/>
                <w:szCs w:val="16"/>
              </w:rPr>
              <w:t>480.631</w:t>
            </w:r>
          </w:p>
        </w:tc>
        <w:tc>
          <w:tcPr>
            <w:tcW w:w="579" w:type="pct"/>
            <w:vAlign w:val="bottom"/>
          </w:tcPr>
          <w:p w14:paraId="4E53B331" w14:textId="7BC6707D" w:rsidR="00D4647F" w:rsidRPr="00872D7E" w:rsidRDefault="00D4647F" w:rsidP="00D4647F">
            <w:pPr>
              <w:jc w:val="right"/>
              <w:rPr>
                <w:color w:val="000000"/>
                <w:sz w:val="16"/>
                <w:szCs w:val="16"/>
              </w:rPr>
            </w:pPr>
            <w:r w:rsidRPr="00872D7E">
              <w:rPr>
                <w:sz w:val="16"/>
                <w:szCs w:val="16"/>
              </w:rPr>
              <w:t>-</w:t>
            </w:r>
          </w:p>
        </w:tc>
        <w:tc>
          <w:tcPr>
            <w:tcW w:w="705" w:type="pct"/>
            <w:vAlign w:val="bottom"/>
          </w:tcPr>
          <w:p w14:paraId="7C0E3C9C" w14:textId="06D656C9" w:rsidR="00D4647F" w:rsidRPr="00872D7E" w:rsidRDefault="00D4647F" w:rsidP="00D4647F">
            <w:pPr>
              <w:jc w:val="right"/>
              <w:rPr>
                <w:color w:val="000000"/>
                <w:sz w:val="16"/>
                <w:szCs w:val="16"/>
              </w:rPr>
            </w:pPr>
            <w:r w:rsidRPr="00872D7E">
              <w:rPr>
                <w:sz w:val="16"/>
                <w:szCs w:val="16"/>
              </w:rPr>
              <w:t>-</w:t>
            </w:r>
          </w:p>
        </w:tc>
        <w:tc>
          <w:tcPr>
            <w:tcW w:w="544" w:type="pct"/>
            <w:vAlign w:val="bottom"/>
          </w:tcPr>
          <w:p w14:paraId="49381665" w14:textId="67CC1BBB" w:rsidR="00D4647F" w:rsidRPr="00872D7E" w:rsidRDefault="00D4647F" w:rsidP="00D4647F">
            <w:pPr>
              <w:jc w:val="right"/>
              <w:rPr>
                <w:color w:val="000000"/>
                <w:sz w:val="16"/>
                <w:szCs w:val="16"/>
              </w:rPr>
            </w:pPr>
            <w:r w:rsidRPr="00872D7E">
              <w:rPr>
                <w:sz w:val="16"/>
                <w:szCs w:val="16"/>
              </w:rPr>
              <w:t>480.631</w:t>
            </w:r>
          </w:p>
        </w:tc>
        <w:tc>
          <w:tcPr>
            <w:tcW w:w="635" w:type="pct"/>
            <w:vAlign w:val="bottom"/>
          </w:tcPr>
          <w:p w14:paraId="07C005EC" w14:textId="1C50D66A" w:rsidR="00D4647F" w:rsidRPr="00872D7E" w:rsidRDefault="00D4647F" w:rsidP="00D4647F">
            <w:pPr>
              <w:jc w:val="right"/>
              <w:rPr>
                <w:color w:val="000000"/>
                <w:sz w:val="16"/>
                <w:szCs w:val="16"/>
              </w:rPr>
            </w:pPr>
            <w:r w:rsidRPr="00872D7E">
              <w:rPr>
                <w:sz w:val="16"/>
                <w:szCs w:val="16"/>
              </w:rPr>
              <w:t>-</w:t>
            </w:r>
          </w:p>
        </w:tc>
      </w:tr>
      <w:tr w:rsidR="00D4647F" w:rsidRPr="00872D7E" w14:paraId="2E56E1B4" w14:textId="77777777" w:rsidTr="00D4647F">
        <w:trPr>
          <w:trHeight w:val="227"/>
        </w:trPr>
        <w:tc>
          <w:tcPr>
            <w:tcW w:w="209" w:type="pct"/>
            <w:hideMark/>
          </w:tcPr>
          <w:p w14:paraId="34CD8909" w14:textId="77777777" w:rsidR="00D4647F" w:rsidRPr="00872D7E" w:rsidRDefault="00D4647F" w:rsidP="00D4647F">
            <w:pPr>
              <w:rPr>
                <w:sz w:val="16"/>
                <w:szCs w:val="16"/>
              </w:rPr>
            </w:pPr>
            <w:r w:rsidRPr="00872D7E">
              <w:rPr>
                <w:sz w:val="16"/>
                <w:szCs w:val="16"/>
              </w:rPr>
              <w:t>3</w:t>
            </w:r>
          </w:p>
        </w:tc>
        <w:tc>
          <w:tcPr>
            <w:tcW w:w="1748" w:type="pct"/>
            <w:vAlign w:val="bottom"/>
            <w:hideMark/>
          </w:tcPr>
          <w:p w14:paraId="4C0EFF27" w14:textId="77777777" w:rsidR="00D4647F" w:rsidRPr="00872D7E" w:rsidRDefault="00D4647F" w:rsidP="00D4647F">
            <w:pPr>
              <w:rPr>
                <w:b/>
                <w:sz w:val="16"/>
                <w:szCs w:val="16"/>
              </w:rPr>
            </w:pPr>
            <w:r w:rsidRPr="00872D7E">
              <w:rPr>
                <w:b/>
                <w:sz w:val="16"/>
                <w:szCs w:val="16"/>
              </w:rPr>
              <w:t>Yasal konsolidasyon kapsamındaki toplam net tutar</w:t>
            </w:r>
          </w:p>
        </w:tc>
        <w:tc>
          <w:tcPr>
            <w:tcW w:w="580" w:type="pct"/>
            <w:vAlign w:val="bottom"/>
          </w:tcPr>
          <w:p w14:paraId="765F4FAF" w14:textId="643E4F30" w:rsidR="00D4647F" w:rsidRPr="00872D7E" w:rsidRDefault="00D4647F" w:rsidP="00D4647F">
            <w:pPr>
              <w:jc w:val="right"/>
              <w:rPr>
                <w:color w:val="000000"/>
                <w:sz w:val="16"/>
                <w:szCs w:val="16"/>
              </w:rPr>
            </w:pPr>
            <w:r w:rsidRPr="00872D7E">
              <w:rPr>
                <w:sz w:val="16"/>
                <w:szCs w:val="16"/>
              </w:rPr>
              <w:t>34.154.526</w:t>
            </w:r>
          </w:p>
        </w:tc>
        <w:tc>
          <w:tcPr>
            <w:tcW w:w="579" w:type="pct"/>
            <w:vAlign w:val="bottom"/>
          </w:tcPr>
          <w:p w14:paraId="4180E895" w14:textId="4570C47F" w:rsidR="00D4647F" w:rsidRPr="00872D7E" w:rsidRDefault="00D4647F" w:rsidP="00D4647F">
            <w:pPr>
              <w:jc w:val="right"/>
              <w:rPr>
                <w:color w:val="000000"/>
                <w:sz w:val="16"/>
                <w:szCs w:val="16"/>
              </w:rPr>
            </w:pPr>
            <w:r w:rsidRPr="00872D7E">
              <w:rPr>
                <w:sz w:val="16"/>
                <w:szCs w:val="16"/>
              </w:rPr>
              <w:t>34.479.600</w:t>
            </w:r>
          </w:p>
        </w:tc>
        <w:tc>
          <w:tcPr>
            <w:tcW w:w="705" w:type="pct"/>
            <w:vAlign w:val="bottom"/>
          </w:tcPr>
          <w:p w14:paraId="09676749" w14:textId="122F10BC" w:rsidR="00D4647F" w:rsidRPr="00872D7E" w:rsidRDefault="00D4647F" w:rsidP="00D4647F">
            <w:pPr>
              <w:jc w:val="right"/>
              <w:rPr>
                <w:color w:val="000000"/>
                <w:sz w:val="16"/>
                <w:szCs w:val="16"/>
              </w:rPr>
            </w:pPr>
            <w:r w:rsidRPr="00872D7E">
              <w:rPr>
                <w:sz w:val="16"/>
                <w:szCs w:val="16"/>
              </w:rPr>
              <w:t>-</w:t>
            </w:r>
          </w:p>
        </w:tc>
        <w:tc>
          <w:tcPr>
            <w:tcW w:w="544" w:type="pct"/>
            <w:vAlign w:val="bottom"/>
          </w:tcPr>
          <w:p w14:paraId="5EF2161D" w14:textId="32A1B28C" w:rsidR="00D4647F" w:rsidRPr="00872D7E" w:rsidRDefault="00D4647F" w:rsidP="00D4647F">
            <w:pPr>
              <w:jc w:val="right"/>
              <w:rPr>
                <w:color w:val="000000"/>
                <w:sz w:val="16"/>
                <w:szCs w:val="16"/>
              </w:rPr>
            </w:pPr>
            <w:r w:rsidRPr="00872D7E">
              <w:rPr>
                <w:sz w:val="16"/>
                <w:szCs w:val="16"/>
              </w:rPr>
              <w:t>(458.357)</w:t>
            </w:r>
          </w:p>
        </w:tc>
        <w:tc>
          <w:tcPr>
            <w:tcW w:w="635" w:type="pct"/>
            <w:vAlign w:val="bottom"/>
          </w:tcPr>
          <w:p w14:paraId="08473207" w14:textId="004B6BD2" w:rsidR="00D4647F" w:rsidRPr="00872D7E" w:rsidRDefault="00D4647F" w:rsidP="00D4647F">
            <w:pPr>
              <w:jc w:val="right"/>
              <w:rPr>
                <w:color w:val="000000"/>
                <w:sz w:val="16"/>
                <w:szCs w:val="16"/>
              </w:rPr>
            </w:pPr>
            <w:r w:rsidRPr="00872D7E">
              <w:rPr>
                <w:sz w:val="16"/>
                <w:szCs w:val="16"/>
              </w:rPr>
              <w:t>133.283</w:t>
            </w:r>
          </w:p>
        </w:tc>
      </w:tr>
      <w:tr w:rsidR="00D4647F" w:rsidRPr="00872D7E" w14:paraId="4E9D8603" w14:textId="77777777" w:rsidTr="00D4647F">
        <w:trPr>
          <w:trHeight w:val="227"/>
        </w:trPr>
        <w:tc>
          <w:tcPr>
            <w:tcW w:w="209" w:type="pct"/>
            <w:hideMark/>
          </w:tcPr>
          <w:p w14:paraId="561D81D8" w14:textId="77777777" w:rsidR="00D4647F" w:rsidRPr="00872D7E" w:rsidRDefault="00D4647F" w:rsidP="00D4647F">
            <w:pPr>
              <w:rPr>
                <w:sz w:val="16"/>
                <w:szCs w:val="16"/>
              </w:rPr>
            </w:pPr>
            <w:r w:rsidRPr="00872D7E">
              <w:rPr>
                <w:sz w:val="16"/>
                <w:szCs w:val="16"/>
              </w:rPr>
              <w:t>4</w:t>
            </w:r>
          </w:p>
        </w:tc>
        <w:tc>
          <w:tcPr>
            <w:tcW w:w="1748" w:type="pct"/>
            <w:vAlign w:val="bottom"/>
            <w:hideMark/>
          </w:tcPr>
          <w:p w14:paraId="450B11F0" w14:textId="77777777" w:rsidR="00D4647F" w:rsidRPr="00872D7E" w:rsidRDefault="00D4647F" w:rsidP="00D4647F">
            <w:pPr>
              <w:rPr>
                <w:sz w:val="16"/>
                <w:szCs w:val="16"/>
              </w:rPr>
            </w:pPr>
            <w:r w:rsidRPr="00872D7E">
              <w:rPr>
                <w:sz w:val="16"/>
                <w:szCs w:val="16"/>
              </w:rPr>
              <w:t>Bilanço dışı tutarlar</w:t>
            </w:r>
          </w:p>
        </w:tc>
        <w:tc>
          <w:tcPr>
            <w:tcW w:w="580" w:type="pct"/>
            <w:vAlign w:val="bottom"/>
          </w:tcPr>
          <w:p w14:paraId="54BBEF31" w14:textId="68740B4A" w:rsidR="00D4647F" w:rsidRPr="00872D7E" w:rsidRDefault="00D4647F" w:rsidP="00D4647F">
            <w:pPr>
              <w:jc w:val="right"/>
              <w:rPr>
                <w:color w:val="000000"/>
                <w:sz w:val="16"/>
                <w:szCs w:val="16"/>
              </w:rPr>
            </w:pPr>
            <w:r w:rsidRPr="00872D7E">
              <w:rPr>
                <w:sz w:val="16"/>
                <w:szCs w:val="16"/>
              </w:rPr>
              <w:t>34.643.074</w:t>
            </w:r>
          </w:p>
        </w:tc>
        <w:tc>
          <w:tcPr>
            <w:tcW w:w="579" w:type="pct"/>
            <w:vAlign w:val="bottom"/>
          </w:tcPr>
          <w:p w14:paraId="48D3FDD2" w14:textId="46E1F1F9" w:rsidR="00D4647F" w:rsidRPr="00872D7E" w:rsidRDefault="00D4647F" w:rsidP="00D4647F">
            <w:pPr>
              <w:jc w:val="right"/>
              <w:rPr>
                <w:color w:val="000000"/>
                <w:sz w:val="16"/>
                <w:szCs w:val="16"/>
              </w:rPr>
            </w:pPr>
            <w:r w:rsidRPr="00872D7E">
              <w:rPr>
                <w:sz w:val="16"/>
                <w:szCs w:val="16"/>
              </w:rPr>
              <w:t>3.493.828</w:t>
            </w:r>
          </w:p>
        </w:tc>
        <w:tc>
          <w:tcPr>
            <w:tcW w:w="705" w:type="pct"/>
            <w:vAlign w:val="bottom"/>
          </w:tcPr>
          <w:p w14:paraId="07BD4506" w14:textId="650CA862" w:rsidR="00D4647F" w:rsidRPr="00872D7E" w:rsidRDefault="00D4647F" w:rsidP="00D4647F">
            <w:pPr>
              <w:jc w:val="right"/>
              <w:rPr>
                <w:color w:val="000000"/>
                <w:sz w:val="16"/>
                <w:szCs w:val="16"/>
              </w:rPr>
            </w:pPr>
            <w:r w:rsidRPr="00872D7E">
              <w:rPr>
                <w:sz w:val="16"/>
                <w:szCs w:val="16"/>
              </w:rPr>
              <w:t>-</w:t>
            </w:r>
          </w:p>
        </w:tc>
        <w:tc>
          <w:tcPr>
            <w:tcW w:w="544" w:type="pct"/>
            <w:vAlign w:val="bottom"/>
          </w:tcPr>
          <w:p w14:paraId="030DA198" w14:textId="31A4AA05" w:rsidR="00D4647F" w:rsidRPr="00872D7E" w:rsidRDefault="00D4647F" w:rsidP="00D4647F">
            <w:pPr>
              <w:jc w:val="right"/>
              <w:rPr>
                <w:color w:val="000000"/>
                <w:sz w:val="16"/>
                <w:szCs w:val="16"/>
              </w:rPr>
            </w:pPr>
            <w:r w:rsidRPr="00872D7E">
              <w:rPr>
                <w:sz w:val="16"/>
                <w:szCs w:val="16"/>
              </w:rPr>
              <w:t>62.188</w:t>
            </w:r>
          </w:p>
        </w:tc>
        <w:tc>
          <w:tcPr>
            <w:tcW w:w="635" w:type="pct"/>
            <w:vAlign w:val="bottom"/>
          </w:tcPr>
          <w:p w14:paraId="3CFCF05A" w14:textId="151B434F" w:rsidR="00D4647F" w:rsidRPr="00872D7E" w:rsidRDefault="00D4647F" w:rsidP="00D4647F">
            <w:pPr>
              <w:jc w:val="right"/>
              <w:rPr>
                <w:color w:val="000000"/>
                <w:sz w:val="16"/>
                <w:szCs w:val="16"/>
              </w:rPr>
            </w:pPr>
            <w:r w:rsidRPr="00872D7E">
              <w:rPr>
                <w:sz w:val="16"/>
                <w:szCs w:val="16"/>
              </w:rPr>
              <w:t>-</w:t>
            </w:r>
          </w:p>
        </w:tc>
      </w:tr>
      <w:tr w:rsidR="00D4647F" w:rsidRPr="00872D7E" w14:paraId="7E830F64" w14:textId="77777777" w:rsidTr="00D4647F">
        <w:trPr>
          <w:trHeight w:val="227"/>
        </w:trPr>
        <w:tc>
          <w:tcPr>
            <w:tcW w:w="209" w:type="pct"/>
            <w:hideMark/>
          </w:tcPr>
          <w:p w14:paraId="0C2AFF5A" w14:textId="77777777" w:rsidR="00D4647F" w:rsidRPr="00872D7E" w:rsidRDefault="00D4647F" w:rsidP="00D4647F">
            <w:pPr>
              <w:rPr>
                <w:sz w:val="16"/>
                <w:szCs w:val="16"/>
              </w:rPr>
            </w:pPr>
            <w:r w:rsidRPr="00872D7E">
              <w:rPr>
                <w:sz w:val="16"/>
                <w:szCs w:val="16"/>
              </w:rPr>
              <w:t>5</w:t>
            </w:r>
          </w:p>
        </w:tc>
        <w:tc>
          <w:tcPr>
            <w:tcW w:w="1748" w:type="pct"/>
            <w:vAlign w:val="bottom"/>
            <w:hideMark/>
          </w:tcPr>
          <w:p w14:paraId="6892E680" w14:textId="77777777" w:rsidR="00D4647F" w:rsidRPr="00872D7E" w:rsidRDefault="00D4647F" w:rsidP="00D4647F">
            <w:pPr>
              <w:rPr>
                <w:sz w:val="16"/>
                <w:szCs w:val="16"/>
              </w:rPr>
            </w:pPr>
            <w:r w:rsidRPr="00872D7E">
              <w:rPr>
                <w:sz w:val="16"/>
                <w:szCs w:val="16"/>
              </w:rPr>
              <w:t xml:space="preserve">Repo ve benzeri işlemler </w:t>
            </w:r>
            <w:r w:rsidRPr="00872D7E">
              <w:rPr>
                <w:sz w:val="16"/>
                <w:szCs w:val="16"/>
                <w:vertAlign w:val="superscript"/>
              </w:rPr>
              <w:t>(**)</w:t>
            </w:r>
          </w:p>
        </w:tc>
        <w:tc>
          <w:tcPr>
            <w:tcW w:w="580" w:type="pct"/>
            <w:vAlign w:val="bottom"/>
          </w:tcPr>
          <w:p w14:paraId="66A1AF4A" w14:textId="51F1D7BC" w:rsidR="00D4647F" w:rsidRPr="00872D7E" w:rsidRDefault="00D4647F" w:rsidP="00D4647F">
            <w:pPr>
              <w:jc w:val="right"/>
              <w:rPr>
                <w:color w:val="000000"/>
                <w:sz w:val="16"/>
                <w:szCs w:val="16"/>
              </w:rPr>
            </w:pPr>
            <w:r w:rsidRPr="00872D7E">
              <w:rPr>
                <w:sz w:val="16"/>
                <w:szCs w:val="16"/>
              </w:rPr>
              <w:t>-</w:t>
            </w:r>
          </w:p>
        </w:tc>
        <w:tc>
          <w:tcPr>
            <w:tcW w:w="579" w:type="pct"/>
            <w:vAlign w:val="bottom"/>
          </w:tcPr>
          <w:p w14:paraId="63CE8E36" w14:textId="45EE1D51" w:rsidR="00D4647F" w:rsidRPr="00872D7E" w:rsidRDefault="00D4647F" w:rsidP="00D4647F">
            <w:pPr>
              <w:jc w:val="right"/>
              <w:rPr>
                <w:color w:val="000000"/>
                <w:sz w:val="16"/>
                <w:szCs w:val="16"/>
              </w:rPr>
            </w:pPr>
            <w:r w:rsidRPr="00872D7E">
              <w:rPr>
                <w:sz w:val="16"/>
                <w:szCs w:val="16"/>
              </w:rPr>
              <w:t>-</w:t>
            </w:r>
          </w:p>
        </w:tc>
        <w:tc>
          <w:tcPr>
            <w:tcW w:w="705" w:type="pct"/>
            <w:vAlign w:val="bottom"/>
          </w:tcPr>
          <w:p w14:paraId="06328FC7" w14:textId="5AE773FB" w:rsidR="00D4647F" w:rsidRPr="00872D7E" w:rsidRDefault="00D4647F" w:rsidP="00D4647F">
            <w:pPr>
              <w:jc w:val="right"/>
              <w:rPr>
                <w:color w:val="000000"/>
                <w:sz w:val="16"/>
                <w:szCs w:val="16"/>
              </w:rPr>
            </w:pPr>
            <w:r w:rsidRPr="00872D7E">
              <w:rPr>
                <w:sz w:val="16"/>
                <w:szCs w:val="16"/>
              </w:rPr>
              <w:t>-</w:t>
            </w:r>
          </w:p>
        </w:tc>
        <w:tc>
          <w:tcPr>
            <w:tcW w:w="544" w:type="pct"/>
            <w:vAlign w:val="bottom"/>
          </w:tcPr>
          <w:p w14:paraId="5CC276D2" w14:textId="7C594FED" w:rsidR="00D4647F" w:rsidRPr="00872D7E" w:rsidRDefault="00D4647F" w:rsidP="00D4647F">
            <w:pPr>
              <w:jc w:val="right"/>
              <w:rPr>
                <w:color w:val="000000"/>
                <w:sz w:val="16"/>
                <w:szCs w:val="16"/>
              </w:rPr>
            </w:pPr>
            <w:r w:rsidRPr="00872D7E">
              <w:rPr>
                <w:sz w:val="16"/>
                <w:szCs w:val="16"/>
              </w:rPr>
              <w:t>-</w:t>
            </w:r>
          </w:p>
        </w:tc>
        <w:tc>
          <w:tcPr>
            <w:tcW w:w="635" w:type="pct"/>
            <w:vAlign w:val="bottom"/>
          </w:tcPr>
          <w:p w14:paraId="2B55329A" w14:textId="095C3EF2" w:rsidR="00D4647F" w:rsidRPr="00872D7E" w:rsidRDefault="00D4647F" w:rsidP="00D4647F">
            <w:pPr>
              <w:jc w:val="right"/>
              <w:rPr>
                <w:color w:val="000000"/>
                <w:sz w:val="16"/>
                <w:szCs w:val="16"/>
              </w:rPr>
            </w:pPr>
            <w:r w:rsidRPr="00872D7E">
              <w:rPr>
                <w:sz w:val="16"/>
                <w:szCs w:val="16"/>
              </w:rPr>
              <w:t>-</w:t>
            </w:r>
          </w:p>
        </w:tc>
      </w:tr>
      <w:tr w:rsidR="00D4647F" w:rsidRPr="00872D7E" w14:paraId="03F448CA" w14:textId="77777777" w:rsidTr="00D4647F">
        <w:trPr>
          <w:trHeight w:val="227"/>
        </w:trPr>
        <w:tc>
          <w:tcPr>
            <w:tcW w:w="209" w:type="pct"/>
            <w:hideMark/>
          </w:tcPr>
          <w:p w14:paraId="04F25A2E" w14:textId="77777777" w:rsidR="00D4647F" w:rsidRPr="00872D7E" w:rsidRDefault="00D4647F" w:rsidP="00D4647F">
            <w:pPr>
              <w:rPr>
                <w:sz w:val="16"/>
                <w:szCs w:val="16"/>
              </w:rPr>
            </w:pPr>
            <w:r w:rsidRPr="00872D7E">
              <w:rPr>
                <w:sz w:val="16"/>
                <w:szCs w:val="16"/>
              </w:rPr>
              <w:t>6</w:t>
            </w:r>
          </w:p>
        </w:tc>
        <w:tc>
          <w:tcPr>
            <w:tcW w:w="1748" w:type="pct"/>
            <w:vAlign w:val="bottom"/>
            <w:hideMark/>
          </w:tcPr>
          <w:p w14:paraId="607A4B16" w14:textId="77777777" w:rsidR="00D4647F" w:rsidRPr="00872D7E" w:rsidRDefault="00D4647F" w:rsidP="00D4647F">
            <w:pPr>
              <w:rPr>
                <w:sz w:val="16"/>
                <w:szCs w:val="16"/>
              </w:rPr>
            </w:pPr>
            <w:r w:rsidRPr="00872D7E">
              <w:rPr>
                <w:sz w:val="16"/>
                <w:szCs w:val="16"/>
              </w:rPr>
              <w:t xml:space="preserve">Değerleme farkları </w:t>
            </w:r>
          </w:p>
        </w:tc>
        <w:tc>
          <w:tcPr>
            <w:tcW w:w="580" w:type="pct"/>
            <w:vAlign w:val="bottom"/>
          </w:tcPr>
          <w:p w14:paraId="4E9F638F" w14:textId="32E78988" w:rsidR="00D4647F" w:rsidRPr="00872D7E" w:rsidRDefault="00D4647F" w:rsidP="00D4647F">
            <w:pPr>
              <w:jc w:val="right"/>
              <w:rPr>
                <w:color w:val="000000"/>
                <w:sz w:val="16"/>
                <w:szCs w:val="16"/>
              </w:rPr>
            </w:pPr>
            <w:r w:rsidRPr="00872D7E">
              <w:rPr>
                <w:sz w:val="16"/>
                <w:szCs w:val="16"/>
              </w:rPr>
              <w:t>-</w:t>
            </w:r>
          </w:p>
        </w:tc>
        <w:tc>
          <w:tcPr>
            <w:tcW w:w="579" w:type="pct"/>
            <w:vAlign w:val="bottom"/>
          </w:tcPr>
          <w:p w14:paraId="53BB3340" w14:textId="7793E20C" w:rsidR="00D4647F" w:rsidRPr="00872D7E" w:rsidRDefault="00D4647F" w:rsidP="00D4647F">
            <w:pPr>
              <w:jc w:val="right"/>
              <w:rPr>
                <w:color w:val="000000"/>
                <w:sz w:val="16"/>
                <w:szCs w:val="16"/>
              </w:rPr>
            </w:pPr>
            <w:r w:rsidRPr="00872D7E">
              <w:rPr>
                <w:sz w:val="16"/>
                <w:szCs w:val="16"/>
              </w:rPr>
              <w:t>-</w:t>
            </w:r>
          </w:p>
        </w:tc>
        <w:tc>
          <w:tcPr>
            <w:tcW w:w="705" w:type="pct"/>
            <w:vAlign w:val="bottom"/>
          </w:tcPr>
          <w:p w14:paraId="4FA9F0F8" w14:textId="7F53D6AC" w:rsidR="00D4647F" w:rsidRPr="00872D7E" w:rsidRDefault="00D4647F" w:rsidP="00D4647F">
            <w:pPr>
              <w:jc w:val="right"/>
              <w:rPr>
                <w:color w:val="000000"/>
                <w:sz w:val="16"/>
                <w:szCs w:val="16"/>
              </w:rPr>
            </w:pPr>
            <w:r w:rsidRPr="00872D7E">
              <w:rPr>
                <w:sz w:val="16"/>
                <w:szCs w:val="16"/>
              </w:rPr>
              <w:t>-</w:t>
            </w:r>
          </w:p>
        </w:tc>
        <w:tc>
          <w:tcPr>
            <w:tcW w:w="544" w:type="pct"/>
            <w:vAlign w:val="bottom"/>
          </w:tcPr>
          <w:p w14:paraId="458E4850" w14:textId="4E5F8F7A" w:rsidR="00D4647F" w:rsidRPr="00872D7E" w:rsidRDefault="00D4647F" w:rsidP="00D4647F">
            <w:pPr>
              <w:jc w:val="right"/>
              <w:rPr>
                <w:color w:val="000000"/>
                <w:sz w:val="16"/>
                <w:szCs w:val="16"/>
              </w:rPr>
            </w:pPr>
            <w:r w:rsidRPr="00872D7E">
              <w:rPr>
                <w:sz w:val="16"/>
                <w:szCs w:val="16"/>
              </w:rPr>
              <w:t>-</w:t>
            </w:r>
          </w:p>
        </w:tc>
        <w:tc>
          <w:tcPr>
            <w:tcW w:w="635" w:type="pct"/>
            <w:vAlign w:val="bottom"/>
          </w:tcPr>
          <w:p w14:paraId="7E790651" w14:textId="43101310" w:rsidR="00D4647F" w:rsidRPr="00872D7E" w:rsidRDefault="00D4647F" w:rsidP="00D4647F">
            <w:pPr>
              <w:jc w:val="right"/>
              <w:rPr>
                <w:color w:val="000000"/>
                <w:sz w:val="16"/>
                <w:szCs w:val="16"/>
              </w:rPr>
            </w:pPr>
            <w:r w:rsidRPr="00872D7E">
              <w:rPr>
                <w:sz w:val="16"/>
                <w:szCs w:val="16"/>
              </w:rPr>
              <w:t>-</w:t>
            </w:r>
          </w:p>
        </w:tc>
      </w:tr>
      <w:tr w:rsidR="00D4647F" w:rsidRPr="00872D7E" w14:paraId="7FC8B374" w14:textId="77777777" w:rsidTr="00D4647F">
        <w:trPr>
          <w:trHeight w:val="227"/>
        </w:trPr>
        <w:tc>
          <w:tcPr>
            <w:tcW w:w="209" w:type="pct"/>
            <w:hideMark/>
          </w:tcPr>
          <w:p w14:paraId="4D992E7F" w14:textId="77777777" w:rsidR="00D4647F" w:rsidRPr="00872D7E" w:rsidRDefault="00D4647F" w:rsidP="00D4647F">
            <w:pPr>
              <w:rPr>
                <w:sz w:val="16"/>
                <w:szCs w:val="16"/>
              </w:rPr>
            </w:pPr>
            <w:r w:rsidRPr="00872D7E">
              <w:rPr>
                <w:sz w:val="16"/>
                <w:szCs w:val="16"/>
              </w:rPr>
              <w:t>7</w:t>
            </w:r>
          </w:p>
        </w:tc>
        <w:tc>
          <w:tcPr>
            <w:tcW w:w="1748" w:type="pct"/>
            <w:vAlign w:val="bottom"/>
            <w:hideMark/>
          </w:tcPr>
          <w:p w14:paraId="0899920F" w14:textId="77777777" w:rsidR="00D4647F" w:rsidRPr="00872D7E" w:rsidRDefault="00D4647F" w:rsidP="00D4647F">
            <w:pPr>
              <w:rPr>
                <w:sz w:val="16"/>
                <w:szCs w:val="16"/>
              </w:rPr>
            </w:pPr>
            <w:r w:rsidRPr="00872D7E">
              <w:rPr>
                <w:sz w:val="16"/>
                <w:szCs w:val="16"/>
              </w:rPr>
              <w:t>Farklı netleştirme kurallarından kaynaklanan farklar (satır 2’ye konulanlar dışındaki)</w:t>
            </w:r>
          </w:p>
        </w:tc>
        <w:tc>
          <w:tcPr>
            <w:tcW w:w="580" w:type="pct"/>
            <w:vAlign w:val="bottom"/>
          </w:tcPr>
          <w:p w14:paraId="06850DB6" w14:textId="5AB81B30" w:rsidR="00D4647F" w:rsidRPr="00872D7E" w:rsidRDefault="00D4647F" w:rsidP="00D4647F">
            <w:pPr>
              <w:jc w:val="right"/>
              <w:rPr>
                <w:color w:val="000000"/>
                <w:sz w:val="16"/>
                <w:szCs w:val="16"/>
              </w:rPr>
            </w:pPr>
            <w:r w:rsidRPr="00872D7E">
              <w:rPr>
                <w:sz w:val="16"/>
                <w:szCs w:val="16"/>
              </w:rPr>
              <w:t>-</w:t>
            </w:r>
          </w:p>
        </w:tc>
        <w:tc>
          <w:tcPr>
            <w:tcW w:w="579" w:type="pct"/>
            <w:vAlign w:val="bottom"/>
          </w:tcPr>
          <w:p w14:paraId="396BC4CD" w14:textId="63F7DA20" w:rsidR="00D4647F" w:rsidRPr="00872D7E" w:rsidRDefault="00D4647F" w:rsidP="00D4647F">
            <w:pPr>
              <w:jc w:val="right"/>
              <w:rPr>
                <w:color w:val="000000"/>
                <w:sz w:val="16"/>
                <w:szCs w:val="16"/>
              </w:rPr>
            </w:pPr>
            <w:r w:rsidRPr="00872D7E">
              <w:rPr>
                <w:sz w:val="16"/>
                <w:szCs w:val="16"/>
              </w:rPr>
              <w:t>-</w:t>
            </w:r>
          </w:p>
        </w:tc>
        <w:tc>
          <w:tcPr>
            <w:tcW w:w="705" w:type="pct"/>
            <w:vAlign w:val="bottom"/>
          </w:tcPr>
          <w:p w14:paraId="7669C376" w14:textId="3677E7B9" w:rsidR="00D4647F" w:rsidRPr="00872D7E" w:rsidRDefault="00D4647F" w:rsidP="00D4647F">
            <w:pPr>
              <w:jc w:val="right"/>
              <w:rPr>
                <w:color w:val="000000"/>
                <w:sz w:val="16"/>
                <w:szCs w:val="16"/>
              </w:rPr>
            </w:pPr>
            <w:r w:rsidRPr="00872D7E">
              <w:rPr>
                <w:sz w:val="16"/>
                <w:szCs w:val="16"/>
              </w:rPr>
              <w:t>-</w:t>
            </w:r>
          </w:p>
        </w:tc>
        <w:tc>
          <w:tcPr>
            <w:tcW w:w="544" w:type="pct"/>
            <w:vAlign w:val="bottom"/>
          </w:tcPr>
          <w:p w14:paraId="527C81A6" w14:textId="310185D7" w:rsidR="00D4647F" w:rsidRPr="00872D7E" w:rsidRDefault="00D4647F" w:rsidP="00D4647F">
            <w:pPr>
              <w:jc w:val="right"/>
              <w:rPr>
                <w:color w:val="000000"/>
                <w:sz w:val="16"/>
                <w:szCs w:val="16"/>
              </w:rPr>
            </w:pPr>
            <w:r w:rsidRPr="00872D7E">
              <w:rPr>
                <w:sz w:val="16"/>
                <w:szCs w:val="16"/>
              </w:rPr>
              <w:t>-</w:t>
            </w:r>
          </w:p>
        </w:tc>
        <w:tc>
          <w:tcPr>
            <w:tcW w:w="635" w:type="pct"/>
            <w:vAlign w:val="bottom"/>
          </w:tcPr>
          <w:p w14:paraId="0D8699D8" w14:textId="22785695" w:rsidR="00D4647F" w:rsidRPr="00872D7E" w:rsidRDefault="00D4647F" w:rsidP="00D4647F">
            <w:pPr>
              <w:jc w:val="right"/>
              <w:rPr>
                <w:color w:val="000000"/>
                <w:sz w:val="16"/>
                <w:szCs w:val="16"/>
              </w:rPr>
            </w:pPr>
            <w:r w:rsidRPr="00872D7E">
              <w:rPr>
                <w:sz w:val="16"/>
                <w:szCs w:val="16"/>
              </w:rPr>
              <w:t>-</w:t>
            </w:r>
          </w:p>
        </w:tc>
      </w:tr>
      <w:tr w:rsidR="00D4647F" w:rsidRPr="00872D7E" w14:paraId="2C756ECB" w14:textId="77777777" w:rsidTr="00D4647F">
        <w:trPr>
          <w:trHeight w:val="227"/>
        </w:trPr>
        <w:tc>
          <w:tcPr>
            <w:tcW w:w="209" w:type="pct"/>
            <w:hideMark/>
          </w:tcPr>
          <w:p w14:paraId="51996DFD" w14:textId="77777777" w:rsidR="00D4647F" w:rsidRPr="00872D7E" w:rsidRDefault="00D4647F" w:rsidP="00D4647F">
            <w:pPr>
              <w:rPr>
                <w:sz w:val="16"/>
                <w:szCs w:val="16"/>
              </w:rPr>
            </w:pPr>
            <w:r w:rsidRPr="00872D7E">
              <w:rPr>
                <w:sz w:val="16"/>
                <w:szCs w:val="16"/>
              </w:rPr>
              <w:t>8</w:t>
            </w:r>
          </w:p>
        </w:tc>
        <w:tc>
          <w:tcPr>
            <w:tcW w:w="1748" w:type="pct"/>
            <w:vAlign w:val="bottom"/>
            <w:hideMark/>
          </w:tcPr>
          <w:p w14:paraId="061D5EB4" w14:textId="77777777" w:rsidR="00D4647F" w:rsidRPr="00872D7E" w:rsidRDefault="00D4647F" w:rsidP="00D4647F">
            <w:pPr>
              <w:rPr>
                <w:sz w:val="16"/>
                <w:szCs w:val="16"/>
              </w:rPr>
            </w:pPr>
            <w:r w:rsidRPr="00872D7E">
              <w:rPr>
                <w:sz w:val="16"/>
                <w:szCs w:val="16"/>
              </w:rPr>
              <w:t>Karşılıkların dikkate alınmasından kaynaklanan farklar</w:t>
            </w:r>
          </w:p>
        </w:tc>
        <w:tc>
          <w:tcPr>
            <w:tcW w:w="580" w:type="pct"/>
            <w:vAlign w:val="bottom"/>
          </w:tcPr>
          <w:p w14:paraId="2FC6C010" w14:textId="7D9E64EC" w:rsidR="00D4647F" w:rsidRPr="00872D7E" w:rsidRDefault="00D4647F" w:rsidP="00D4647F">
            <w:pPr>
              <w:jc w:val="right"/>
              <w:rPr>
                <w:color w:val="000000"/>
                <w:sz w:val="16"/>
                <w:szCs w:val="16"/>
              </w:rPr>
            </w:pPr>
            <w:r w:rsidRPr="00872D7E">
              <w:rPr>
                <w:sz w:val="16"/>
                <w:szCs w:val="16"/>
              </w:rPr>
              <w:t>-</w:t>
            </w:r>
          </w:p>
        </w:tc>
        <w:tc>
          <w:tcPr>
            <w:tcW w:w="579" w:type="pct"/>
            <w:vAlign w:val="bottom"/>
          </w:tcPr>
          <w:p w14:paraId="76C2E0C7" w14:textId="4092A6EC" w:rsidR="00D4647F" w:rsidRPr="00872D7E" w:rsidRDefault="00D4647F" w:rsidP="00D4647F">
            <w:pPr>
              <w:jc w:val="right"/>
              <w:rPr>
                <w:color w:val="000000"/>
                <w:sz w:val="16"/>
                <w:szCs w:val="16"/>
              </w:rPr>
            </w:pPr>
            <w:r w:rsidRPr="00872D7E">
              <w:rPr>
                <w:sz w:val="16"/>
                <w:szCs w:val="16"/>
              </w:rPr>
              <w:t>-</w:t>
            </w:r>
          </w:p>
        </w:tc>
        <w:tc>
          <w:tcPr>
            <w:tcW w:w="705" w:type="pct"/>
            <w:vAlign w:val="bottom"/>
          </w:tcPr>
          <w:p w14:paraId="2D3630A0" w14:textId="551A88DF" w:rsidR="00D4647F" w:rsidRPr="00872D7E" w:rsidRDefault="00D4647F" w:rsidP="00D4647F">
            <w:pPr>
              <w:jc w:val="right"/>
              <w:rPr>
                <w:color w:val="000000"/>
                <w:sz w:val="16"/>
                <w:szCs w:val="16"/>
              </w:rPr>
            </w:pPr>
            <w:r w:rsidRPr="00872D7E">
              <w:rPr>
                <w:sz w:val="16"/>
                <w:szCs w:val="16"/>
              </w:rPr>
              <w:t>-</w:t>
            </w:r>
          </w:p>
        </w:tc>
        <w:tc>
          <w:tcPr>
            <w:tcW w:w="544" w:type="pct"/>
            <w:vAlign w:val="bottom"/>
          </w:tcPr>
          <w:p w14:paraId="12F42732" w14:textId="7601A462" w:rsidR="00D4647F" w:rsidRPr="00872D7E" w:rsidRDefault="00D4647F" w:rsidP="00D4647F">
            <w:pPr>
              <w:jc w:val="right"/>
              <w:rPr>
                <w:color w:val="000000"/>
                <w:sz w:val="16"/>
                <w:szCs w:val="16"/>
              </w:rPr>
            </w:pPr>
            <w:r w:rsidRPr="00872D7E">
              <w:rPr>
                <w:sz w:val="16"/>
                <w:szCs w:val="16"/>
              </w:rPr>
              <w:t>-</w:t>
            </w:r>
          </w:p>
        </w:tc>
        <w:tc>
          <w:tcPr>
            <w:tcW w:w="635" w:type="pct"/>
            <w:vAlign w:val="bottom"/>
          </w:tcPr>
          <w:p w14:paraId="3B905E10" w14:textId="380C277B" w:rsidR="00D4647F" w:rsidRPr="00872D7E" w:rsidRDefault="00D4647F" w:rsidP="00D4647F">
            <w:pPr>
              <w:jc w:val="right"/>
              <w:rPr>
                <w:color w:val="000000"/>
                <w:sz w:val="16"/>
                <w:szCs w:val="16"/>
              </w:rPr>
            </w:pPr>
            <w:r w:rsidRPr="00872D7E">
              <w:rPr>
                <w:sz w:val="16"/>
                <w:szCs w:val="16"/>
              </w:rPr>
              <w:t>-</w:t>
            </w:r>
          </w:p>
        </w:tc>
      </w:tr>
      <w:tr w:rsidR="00D4647F" w:rsidRPr="00872D7E" w14:paraId="1FB0EA14" w14:textId="77777777" w:rsidTr="007B041F">
        <w:trPr>
          <w:trHeight w:val="227"/>
        </w:trPr>
        <w:tc>
          <w:tcPr>
            <w:tcW w:w="209" w:type="pct"/>
            <w:tcBorders>
              <w:top w:val="nil"/>
              <w:left w:val="nil"/>
              <w:bottom w:val="single" w:sz="4" w:space="0" w:color="auto"/>
              <w:right w:val="nil"/>
            </w:tcBorders>
            <w:hideMark/>
          </w:tcPr>
          <w:p w14:paraId="30283990" w14:textId="77777777" w:rsidR="00D4647F" w:rsidRPr="00872D7E" w:rsidRDefault="00D4647F" w:rsidP="00D4647F">
            <w:pPr>
              <w:rPr>
                <w:sz w:val="16"/>
                <w:szCs w:val="16"/>
              </w:rPr>
            </w:pPr>
            <w:r w:rsidRPr="00872D7E">
              <w:rPr>
                <w:sz w:val="16"/>
                <w:szCs w:val="16"/>
              </w:rPr>
              <w:t>9</w:t>
            </w:r>
          </w:p>
        </w:tc>
        <w:tc>
          <w:tcPr>
            <w:tcW w:w="1748" w:type="pct"/>
            <w:tcBorders>
              <w:top w:val="nil"/>
              <w:left w:val="nil"/>
              <w:bottom w:val="single" w:sz="4" w:space="0" w:color="auto"/>
              <w:right w:val="nil"/>
            </w:tcBorders>
            <w:vAlign w:val="bottom"/>
            <w:hideMark/>
          </w:tcPr>
          <w:p w14:paraId="12351EA9" w14:textId="77777777" w:rsidR="00D4647F" w:rsidRPr="00872D7E" w:rsidRDefault="00D4647F" w:rsidP="00D4647F">
            <w:pPr>
              <w:rPr>
                <w:sz w:val="16"/>
                <w:szCs w:val="16"/>
              </w:rPr>
            </w:pPr>
            <w:r w:rsidRPr="00872D7E">
              <w:rPr>
                <w:sz w:val="16"/>
                <w:szCs w:val="16"/>
              </w:rPr>
              <w:t>Kurum’un uygulamalarından kaynaklanan farklar</w:t>
            </w:r>
          </w:p>
        </w:tc>
        <w:tc>
          <w:tcPr>
            <w:tcW w:w="580" w:type="pct"/>
            <w:tcBorders>
              <w:top w:val="nil"/>
              <w:left w:val="nil"/>
              <w:bottom w:val="single" w:sz="4" w:space="0" w:color="auto"/>
              <w:right w:val="nil"/>
            </w:tcBorders>
            <w:vAlign w:val="bottom"/>
          </w:tcPr>
          <w:p w14:paraId="1AE5E89A" w14:textId="45537878" w:rsidR="00D4647F" w:rsidRPr="00872D7E" w:rsidRDefault="00D4647F" w:rsidP="00D4647F">
            <w:pPr>
              <w:jc w:val="right"/>
              <w:rPr>
                <w:color w:val="000000"/>
                <w:sz w:val="16"/>
                <w:szCs w:val="16"/>
              </w:rPr>
            </w:pPr>
            <w:r w:rsidRPr="00872D7E">
              <w:rPr>
                <w:sz w:val="16"/>
                <w:szCs w:val="16"/>
              </w:rPr>
              <w:t>-</w:t>
            </w:r>
          </w:p>
        </w:tc>
        <w:tc>
          <w:tcPr>
            <w:tcW w:w="579" w:type="pct"/>
            <w:tcBorders>
              <w:top w:val="nil"/>
              <w:left w:val="nil"/>
              <w:bottom w:val="single" w:sz="4" w:space="0" w:color="auto"/>
              <w:right w:val="nil"/>
            </w:tcBorders>
            <w:vAlign w:val="bottom"/>
          </w:tcPr>
          <w:p w14:paraId="0119200F" w14:textId="2E4164D1" w:rsidR="00D4647F" w:rsidRPr="00872D7E" w:rsidRDefault="00D4647F" w:rsidP="00D4647F">
            <w:pPr>
              <w:jc w:val="right"/>
              <w:rPr>
                <w:color w:val="000000"/>
                <w:sz w:val="16"/>
                <w:szCs w:val="16"/>
              </w:rPr>
            </w:pPr>
            <w:r w:rsidRPr="00872D7E">
              <w:rPr>
                <w:sz w:val="16"/>
                <w:szCs w:val="16"/>
              </w:rPr>
              <w:t>(12.766.710)</w:t>
            </w:r>
          </w:p>
        </w:tc>
        <w:tc>
          <w:tcPr>
            <w:tcW w:w="705" w:type="pct"/>
            <w:tcBorders>
              <w:top w:val="nil"/>
              <w:left w:val="nil"/>
              <w:bottom w:val="single" w:sz="4" w:space="0" w:color="auto"/>
              <w:right w:val="nil"/>
            </w:tcBorders>
            <w:vAlign w:val="bottom"/>
          </w:tcPr>
          <w:p w14:paraId="3BEF9732" w14:textId="1DC57BDF" w:rsidR="00D4647F" w:rsidRPr="00872D7E" w:rsidRDefault="00D4647F" w:rsidP="00D4647F">
            <w:pPr>
              <w:jc w:val="right"/>
              <w:rPr>
                <w:color w:val="000000"/>
                <w:sz w:val="16"/>
                <w:szCs w:val="16"/>
              </w:rPr>
            </w:pPr>
            <w:r w:rsidRPr="00872D7E">
              <w:rPr>
                <w:sz w:val="16"/>
                <w:szCs w:val="16"/>
              </w:rPr>
              <w:t>-</w:t>
            </w:r>
          </w:p>
        </w:tc>
        <w:tc>
          <w:tcPr>
            <w:tcW w:w="544" w:type="pct"/>
            <w:tcBorders>
              <w:top w:val="nil"/>
              <w:left w:val="nil"/>
              <w:bottom w:val="single" w:sz="4" w:space="0" w:color="auto"/>
              <w:right w:val="nil"/>
            </w:tcBorders>
            <w:vAlign w:val="bottom"/>
          </w:tcPr>
          <w:p w14:paraId="71883865" w14:textId="3C2DDA9A"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single" w:sz="4" w:space="0" w:color="auto"/>
              <w:right w:val="nil"/>
            </w:tcBorders>
            <w:vAlign w:val="bottom"/>
          </w:tcPr>
          <w:p w14:paraId="11E88131" w14:textId="46280F73" w:rsidR="00D4647F" w:rsidRPr="00872D7E" w:rsidRDefault="00D4647F" w:rsidP="00D4647F">
            <w:pPr>
              <w:jc w:val="right"/>
              <w:rPr>
                <w:color w:val="000000"/>
                <w:sz w:val="16"/>
                <w:szCs w:val="16"/>
              </w:rPr>
            </w:pPr>
            <w:r w:rsidRPr="00872D7E">
              <w:rPr>
                <w:sz w:val="16"/>
                <w:szCs w:val="16"/>
              </w:rPr>
              <w:t>-</w:t>
            </w:r>
          </w:p>
        </w:tc>
      </w:tr>
      <w:tr w:rsidR="00D4647F" w:rsidRPr="00872D7E" w14:paraId="42AD4C3A" w14:textId="77777777" w:rsidTr="007B041F">
        <w:trPr>
          <w:trHeight w:val="227"/>
        </w:trPr>
        <w:tc>
          <w:tcPr>
            <w:tcW w:w="209" w:type="pct"/>
            <w:tcBorders>
              <w:top w:val="single" w:sz="4" w:space="0" w:color="auto"/>
              <w:left w:val="nil"/>
              <w:bottom w:val="single" w:sz="4" w:space="0" w:color="auto"/>
              <w:right w:val="nil"/>
            </w:tcBorders>
            <w:vAlign w:val="bottom"/>
            <w:hideMark/>
          </w:tcPr>
          <w:p w14:paraId="6110BA5C" w14:textId="77777777" w:rsidR="00D4647F" w:rsidRPr="00872D7E" w:rsidRDefault="00D4647F" w:rsidP="00D4647F">
            <w:pPr>
              <w:rPr>
                <w:b/>
                <w:sz w:val="16"/>
                <w:szCs w:val="16"/>
              </w:rPr>
            </w:pPr>
            <w:r w:rsidRPr="00872D7E">
              <w:rPr>
                <w:b/>
                <w:sz w:val="16"/>
                <w:szCs w:val="16"/>
              </w:rPr>
              <w:t>10</w:t>
            </w:r>
          </w:p>
        </w:tc>
        <w:tc>
          <w:tcPr>
            <w:tcW w:w="1748" w:type="pct"/>
            <w:tcBorders>
              <w:top w:val="single" w:sz="4" w:space="0" w:color="auto"/>
              <w:left w:val="nil"/>
              <w:bottom w:val="single" w:sz="4" w:space="0" w:color="auto"/>
              <w:right w:val="nil"/>
            </w:tcBorders>
            <w:vAlign w:val="bottom"/>
            <w:hideMark/>
          </w:tcPr>
          <w:p w14:paraId="59CA44FF" w14:textId="77777777" w:rsidR="00D4647F" w:rsidRPr="00872D7E" w:rsidRDefault="00D4647F" w:rsidP="00D4647F">
            <w:pPr>
              <w:rPr>
                <w:b/>
                <w:sz w:val="16"/>
                <w:szCs w:val="16"/>
              </w:rPr>
            </w:pPr>
            <w:r w:rsidRPr="00872D7E">
              <w:rPr>
                <w:b/>
                <w:sz w:val="16"/>
                <w:szCs w:val="16"/>
              </w:rPr>
              <w:t>Risk tutarları</w:t>
            </w:r>
          </w:p>
        </w:tc>
        <w:tc>
          <w:tcPr>
            <w:tcW w:w="580" w:type="pct"/>
            <w:tcBorders>
              <w:top w:val="single" w:sz="4" w:space="0" w:color="auto"/>
              <w:left w:val="nil"/>
              <w:bottom w:val="single" w:sz="4" w:space="0" w:color="auto"/>
              <w:right w:val="nil"/>
            </w:tcBorders>
            <w:vAlign w:val="bottom"/>
          </w:tcPr>
          <w:p w14:paraId="3FC5C1DB" w14:textId="09E58FE3" w:rsidR="00D4647F" w:rsidRPr="00872D7E" w:rsidRDefault="00D4647F" w:rsidP="00D4647F">
            <w:pPr>
              <w:jc w:val="right"/>
              <w:rPr>
                <w:b/>
                <w:color w:val="000000"/>
                <w:sz w:val="16"/>
                <w:szCs w:val="16"/>
              </w:rPr>
            </w:pPr>
            <w:r w:rsidRPr="00872D7E">
              <w:rPr>
                <w:b/>
                <w:sz w:val="16"/>
                <w:szCs w:val="16"/>
              </w:rPr>
              <w:t>68.797.600</w:t>
            </w:r>
          </w:p>
        </w:tc>
        <w:tc>
          <w:tcPr>
            <w:tcW w:w="579" w:type="pct"/>
            <w:tcBorders>
              <w:top w:val="single" w:sz="4" w:space="0" w:color="auto"/>
              <w:left w:val="nil"/>
              <w:bottom w:val="single" w:sz="4" w:space="0" w:color="auto"/>
              <w:right w:val="nil"/>
            </w:tcBorders>
            <w:vAlign w:val="bottom"/>
          </w:tcPr>
          <w:p w14:paraId="20AAB285" w14:textId="46CDBA87" w:rsidR="00D4647F" w:rsidRPr="00872D7E" w:rsidRDefault="00D4647F" w:rsidP="00D4647F">
            <w:pPr>
              <w:jc w:val="right"/>
              <w:rPr>
                <w:b/>
                <w:color w:val="000000"/>
                <w:sz w:val="16"/>
                <w:szCs w:val="16"/>
              </w:rPr>
            </w:pPr>
            <w:r w:rsidRPr="00872D7E">
              <w:rPr>
                <w:b/>
                <w:sz w:val="16"/>
                <w:szCs w:val="16"/>
              </w:rPr>
              <w:t>25.206.718</w:t>
            </w:r>
          </w:p>
        </w:tc>
        <w:tc>
          <w:tcPr>
            <w:tcW w:w="705" w:type="pct"/>
            <w:tcBorders>
              <w:top w:val="single" w:sz="4" w:space="0" w:color="auto"/>
              <w:left w:val="nil"/>
              <w:bottom w:val="single" w:sz="4" w:space="0" w:color="auto"/>
              <w:right w:val="nil"/>
            </w:tcBorders>
            <w:vAlign w:val="bottom"/>
          </w:tcPr>
          <w:p w14:paraId="4F8F687D" w14:textId="5D799652" w:rsidR="00D4647F" w:rsidRPr="00872D7E" w:rsidRDefault="00D4647F" w:rsidP="00D4647F">
            <w:pPr>
              <w:jc w:val="right"/>
              <w:rPr>
                <w:b/>
                <w:color w:val="000000"/>
                <w:sz w:val="16"/>
                <w:szCs w:val="16"/>
              </w:rPr>
            </w:pPr>
            <w:r w:rsidRPr="00872D7E">
              <w:rPr>
                <w:b/>
                <w:sz w:val="16"/>
                <w:szCs w:val="16"/>
              </w:rPr>
              <w:t>-</w:t>
            </w:r>
          </w:p>
        </w:tc>
        <w:tc>
          <w:tcPr>
            <w:tcW w:w="544" w:type="pct"/>
            <w:tcBorders>
              <w:top w:val="single" w:sz="4" w:space="0" w:color="auto"/>
              <w:left w:val="nil"/>
              <w:bottom w:val="single" w:sz="4" w:space="0" w:color="auto"/>
              <w:right w:val="nil"/>
            </w:tcBorders>
            <w:vAlign w:val="bottom"/>
          </w:tcPr>
          <w:p w14:paraId="4BA86AE3" w14:textId="1C88BA5B" w:rsidR="00D4647F" w:rsidRPr="00872D7E" w:rsidRDefault="00D4647F" w:rsidP="00D4647F">
            <w:pPr>
              <w:jc w:val="right"/>
              <w:rPr>
                <w:b/>
                <w:color w:val="000000"/>
                <w:sz w:val="16"/>
                <w:szCs w:val="16"/>
              </w:rPr>
            </w:pPr>
            <w:r w:rsidRPr="00872D7E">
              <w:rPr>
                <w:b/>
                <w:sz w:val="16"/>
                <w:szCs w:val="16"/>
              </w:rPr>
              <w:t>(396.169)</w:t>
            </w:r>
          </w:p>
        </w:tc>
        <w:tc>
          <w:tcPr>
            <w:tcW w:w="635" w:type="pct"/>
            <w:tcBorders>
              <w:top w:val="single" w:sz="4" w:space="0" w:color="auto"/>
              <w:left w:val="nil"/>
              <w:bottom w:val="single" w:sz="4" w:space="0" w:color="auto"/>
              <w:right w:val="nil"/>
            </w:tcBorders>
            <w:vAlign w:val="bottom"/>
          </w:tcPr>
          <w:p w14:paraId="17195A63" w14:textId="4462047C" w:rsidR="00D4647F" w:rsidRPr="00872D7E" w:rsidRDefault="00D4647F" w:rsidP="00D4647F">
            <w:pPr>
              <w:jc w:val="right"/>
              <w:rPr>
                <w:b/>
                <w:color w:val="000000"/>
                <w:sz w:val="16"/>
                <w:szCs w:val="16"/>
              </w:rPr>
            </w:pPr>
            <w:r w:rsidRPr="00872D7E">
              <w:rPr>
                <w:b/>
                <w:sz w:val="16"/>
                <w:szCs w:val="16"/>
              </w:rPr>
              <w:t>133.283</w:t>
            </w:r>
          </w:p>
        </w:tc>
      </w:tr>
    </w:tbl>
    <w:p w14:paraId="40AB83A9" w14:textId="77777777" w:rsidR="005E2D92" w:rsidRPr="00872D7E" w:rsidRDefault="005E2D92" w:rsidP="004602AB">
      <w:pPr>
        <w:spacing w:before="60"/>
        <w:ind w:left="284" w:right="158" w:hanging="284"/>
        <w:jc w:val="both"/>
        <w:rPr>
          <w:sz w:val="16"/>
          <w:szCs w:val="18"/>
        </w:rPr>
      </w:pPr>
      <w:r w:rsidRPr="00872D7E">
        <w:rPr>
          <w:sz w:val="16"/>
          <w:szCs w:val="18"/>
          <w:vertAlign w:val="superscript"/>
        </w:rPr>
        <w:t>(*)</w:t>
      </w:r>
      <w:r w:rsidRPr="00872D7E">
        <w:rPr>
          <w:sz w:val="16"/>
          <w:szCs w:val="18"/>
        </w:rPr>
        <w:t xml:space="preserve">   Piyasa riski kapsamındaki genel piyasa riski ve spesifik riske konu kalemlerin TMS uyarınca değerlenmiş tutarlarını içermektedir.</w:t>
      </w:r>
    </w:p>
    <w:p w14:paraId="0EE6C8E2" w14:textId="77777777" w:rsidR="005E2D92" w:rsidRPr="00872D7E" w:rsidRDefault="005E2D92" w:rsidP="004602AB">
      <w:pPr>
        <w:autoSpaceDE w:val="0"/>
        <w:autoSpaceDN w:val="0"/>
        <w:adjustRightInd w:val="0"/>
        <w:spacing w:before="60" w:after="120"/>
        <w:ind w:left="284" w:right="141" w:hanging="284"/>
        <w:jc w:val="both"/>
        <w:rPr>
          <w:sz w:val="16"/>
          <w:szCs w:val="18"/>
        </w:rPr>
      </w:pPr>
      <w:r w:rsidRPr="00872D7E">
        <w:rPr>
          <w:sz w:val="16"/>
          <w:szCs w:val="18"/>
          <w:vertAlign w:val="superscript"/>
        </w:rPr>
        <w:t>(**)</w:t>
      </w:r>
      <w:r w:rsidRPr="00872D7E">
        <w:rPr>
          <w:sz w:val="16"/>
          <w:szCs w:val="18"/>
        </w:rPr>
        <w:t xml:space="preserve"> Bankaların Sermaye Yeterliliğinin Ölçülmesine ve Değerlendirilmesine İlişkin Yönetmelik” hükümleri gereği, repo ve benzeri işlemler için hesaplanan karşı taraf kredi riski tutarıdır.</w:t>
      </w:r>
    </w:p>
    <w:tbl>
      <w:tblPr>
        <w:tblW w:w="5000" w:type="pct"/>
        <w:tblLook w:val="04A0" w:firstRow="1" w:lastRow="0" w:firstColumn="1" w:lastColumn="0" w:noHBand="0" w:noVBand="1"/>
      </w:tblPr>
      <w:tblGrid>
        <w:gridCol w:w="400"/>
        <w:gridCol w:w="3457"/>
        <w:gridCol w:w="1076"/>
        <w:gridCol w:w="1091"/>
        <w:gridCol w:w="1369"/>
        <w:gridCol w:w="1105"/>
        <w:gridCol w:w="1141"/>
      </w:tblGrid>
      <w:tr w:rsidR="005E2D92" w:rsidRPr="00872D7E" w14:paraId="51082608" w14:textId="77777777" w:rsidTr="00F405AE">
        <w:trPr>
          <w:trHeight w:val="227"/>
        </w:trPr>
        <w:tc>
          <w:tcPr>
            <w:tcW w:w="207" w:type="pct"/>
            <w:tcBorders>
              <w:top w:val="single" w:sz="4" w:space="0" w:color="auto"/>
              <w:left w:val="nil"/>
              <w:bottom w:val="single" w:sz="4" w:space="0" w:color="auto"/>
              <w:right w:val="nil"/>
            </w:tcBorders>
          </w:tcPr>
          <w:p w14:paraId="20ED27AF" w14:textId="77777777" w:rsidR="005E2D92" w:rsidRPr="00872D7E" w:rsidRDefault="005E2D92" w:rsidP="004602AB">
            <w:pPr>
              <w:rPr>
                <w:sz w:val="16"/>
                <w:szCs w:val="16"/>
              </w:rPr>
            </w:pPr>
          </w:p>
        </w:tc>
        <w:tc>
          <w:tcPr>
            <w:tcW w:w="1793" w:type="pct"/>
            <w:tcBorders>
              <w:top w:val="single" w:sz="4" w:space="0" w:color="auto"/>
              <w:left w:val="nil"/>
              <w:bottom w:val="single" w:sz="4" w:space="0" w:color="auto"/>
              <w:right w:val="nil"/>
            </w:tcBorders>
            <w:vAlign w:val="center"/>
            <w:hideMark/>
          </w:tcPr>
          <w:p w14:paraId="45183187" w14:textId="528F07E9" w:rsidR="005E2D92" w:rsidRPr="00872D7E" w:rsidRDefault="00827BED" w:rsidP="004602AB">
            <w:pPr>
              <w:rPr>
                <w:b/>
                <w:sz w:val="16"/>
                <w:szCs w:val="16"/>
              </w:rPr>
            </w:pPr>
            <w:r w:rsidRPr="00872D7E">
              <w:rPr>
                <w:b/>
                <w:sz w:val="16"/>
                <w:szCs w:val="16"/>
              </w:rPr>
              <w:t>1 Ocak 2024</w:t>
            </w:r>
          </w:p>
        </w:tc>
        <w:tc>
          <w:tcPr>
            <w:tcW w:w="558" w:type="pct"/>
            <w:tcBorders>
              <w:top w:val="single" w:sz="4" w:space="0" w:color="auto"/>
              <w:left w:val="nil"/>
              <w:bottom w:val="single" w:sz="4" w:space="0" w:color="auto"/>
              <w:right w:val="nil"/>
            </w:tcBorders>
            <w:vAlign w:val="bottom"/>
            <w:hideMark/>
          </w:tcPr>
          <w:p w14:paraId="4C30D06C" w14:textId="77777777" w:rsidR="005E2D92" w:rsidRPr="00872D7E" w:rsidRDefault="005E2D92" w:rsidP="004602AB">
            <w:pPr>
              <w:jc w:val="right"/>
              <w:rPr>
                <w:b/>
                <w:sz w:val="16"/>
                <w:szCs w:val="16"/>
              </w:rPr>
            </w:pPr>
            <w:r w:rsidRPr="00872D7E">
              <w:rPr>
                <w:b/>
                <w:sz w:val="16"/>
                <w:szCs w:val="16"/>
              </w:rPr>
              <w:t>Toplam</w:t>
            </w:r>
          </w:p>
        </w:tc>
        <w:tc>
          <w:tcPr>
            <w:tcW w:w="566" w:type="pct"/>
            <w:tcBorders>
              <w:top w:val="single" w:sz="4" w:space="0" w:color="auto"/>
              <w:left w:val="nil"/>
              <w:bottom w:val="single" w:sz="4" w:space="0" w:color="auto"/>
              <w:right w:val="nil"/>
            </w:tcBorders>
            <w:vAlign w:val="bottom"/>
            <w:hideMark/>
          </w:tcPr>
          <w:p w14:paraId="07B8AAE9" w14:textId="77777777" w:rsidR="005E2D92" w:rsidRPr="00872D7E" w:rsidRDefault="005E2D92" w:rsidP="004602AB">
            <w:pPr>
              <w:jc w:val="right"/>
              <w:rPr>
                <w:b/>
                <w:sz w:val="16"/>
                <w:szCs w:val="16"/>
              </w:rPr>
            </w:pPr>
            <w:r w:rsidRPr="00872D7E">
              <w:rPr>
                <w:b/>
                <w:sz w:val="16"/>
                <w:szCs w:val="16"/>
              </w:rPr>
              <w:t>Kredi riskine tabi</w:t>
            </w:r>
          </w:p>
        </w:tc>
        <w:tc>
          <w:tcPr>
            <w:tcW w:w="710" w:type="pct"/>
            <w:tcBorders>
              <w:top w:val="single" w:sz="4" w:space="0" w:color="auto"/>
              <w:left w:val="nil"/>
              <w:bottom w:val="single" w:sz="4" w:space="0" w:color="auto"/>
              <w:right w:val="nil"/>
            </w:tcBorders>
            <w:vAlign w:val="bottom"/>
            <w:hideMark/>
          </w:tcPr>
          <w:p w14:paraId="528160CB" w14:textId="77777777" w:rsidR="005E2D92" w:rsidRPr="00872D7E" w:rsidRDefault="005E2D92" w:rsidP="004602AB">
            <w:pPr>
              <w:jc w:val="right"/>
              <w:rPr>
                <w:b/>
                <w:sz w:val="16"/>
                <w:szCs w:val="16"/>
              </w:rPr>
            </w:pPr>
            <w:r w:rsidRPr="00872D7E">
              <w:rPr>
                <w:b/>
                <w:sz w:val="16"/>
                <w:szCs w:val="16"/>
              </w:rPr>
              <w:t>Menkul kıymetleştirme pozisyonları</w:t>
            </w:r>
          </w:p>
        </w:tc>
        <w:tc>
          <w:tcPr>
            <w:tcW w:w="573" w:type="pct"/>
            <w:tcBorders>
              <w:top w:val="single" w:sz="4" w:space="0" w:color="auto"/>
              <w:left w:val="nil"/>
              <w:bottom w:val="single" w:sz="4" w:space="0" w:color="auto"/>
              <w:right w:val="nil"/>
            </w:tcBorders>
            <w:vAlign w:val="bottom"/>
            <w:hideMark/>
          </w:tcPr>
          <w:p w14:paraId="486B35C5" w14:textId="77777777" w:rsidR="005E2D92" w:rsidRPr="00872D7E" w:rsidRDefault="005E2D92" w:rsidP="004602AB">
            <w:pPr>
              <w:jc w:val="right"/>
              <w:rPr>
                <w:b/>
                <w:sz w:val="16"/>
                <w:szCs w:val="16"/>
              </w:rPr>
            </w:pPr>
            <w:r w:rsidRPr="00872D7E">
              <w:rPr>
                <w:b/>
                <w:sz w:val="16"/>
                <w:szCs w:val="16"/>
              </w:rPr>
              <w:t>Karşı taraf kredi riskine tabi</w:t>
            </w:r>
          </w:p>
        </w:tc>
        <w:tc>
          <w:tcPr>
            <w:tcW w:w="592" w:type="pct"/>
            <w:tcBorders>
              <w:top w:val="single" w:sz="4" w:space="0" w:color="auto"/>
              <w:left w:val="nil"/>
              <w:bottom w:val="single" w:sz="4" w:space="0" w:color="auto"/>
              <w:right w:val="nil"/>
            </w:tcBorders>
            <w:vAlign w:val="bottom"/>
            <w:hideMark/>
          </w:tcPr>
          <w:p w14:paraId="53FAA13B" w14:textId="77777777" w:rsidR="005E2D92" w:rsidRPr="00872D7E" w:rsidRDefault="005E2D92" w:rsidP="004602AB">
            <w:pPr>
              <w:jc w:val="right"/>
              <w:rPr>
                <w:b/>
                <w:sz w:val="16"/>
                <w:szCs w:val="16"/>
              </w:rPr>
            </w:pPr>
            <w:r w:rsidRPr="00872D7E">
              <w:rPr>
                <w:b/>
                <w:sz w:val="16"/>
                <w:szCs w:val="16"/>
              </w:rPr>
              <w:t xml:space="preserve">Piyasa riskine tabi </w:t>
            </w:r>
            <w:r w:rsidRPr="00872D7E">
              <w:rPr>
                <w:rFonts w:eastAsiaTheme="minorHAnsi"/>
                <w:b/>
                <w:iCs/>
                <w:sz w:val="16"/>
                <w:szCs w:val="16"/>
                <w:vertAlign w:val="superscript"/>
              </w:rPr>
              <w:t>(*)</w:t>
            </w:r>
          </w:p>
        </w:tc>
      </w:tr>
      <w:tr w:rsidR="00D4647F" w:rsidRPr="00872D7E" w14:paraId="5C422B36" w14:textId="77777777" w:rsidTr="00D4647F">
        <w:trPr>
          <w:trHeight w:val="227"/>
        </w:trPr>
        <w:tc>
          <w:tcPr>
            <w:tcW w:w="207" w:type="pct"/>
            <w:tcBorders>
              <w:top w:val="single" w:sz="4" w:space="0" w:color="auto"/>
              <w:left w:val="nil"/>
              <w:bottom w:val="nil"/>
              <w:right w:val="nil"/>
            </w:tcBorders>
            <w:hideMark/>
          </w:tcPr>
          <w:p w14:paraId="40A7D354" w14:textId="77777777" w:rsidR="00D4647F" w:rsidRPr="00872D7E" w:rsidRDefault="00D4647F" w:rsidP="00D4647F">
            <w:pPr>
              <w:rPr>
                <w:sz w:val="16"/>
                <w:szCs w:val="16"/>
              </w:rPr>
            </w:pPr>
            <w:r w:rsidRPr="00872D7E">
              <w:rPr>
                <w:sz w:val="16"/>
                <w:szCs w:val="16"/>
              </w:rPr>
              <w:t>1</w:t>
            </w:r>
          </w:p>
        </w:tc>
        <w:tc>
          <w:tcPr>
            <w:tcW w:w="1793" w:type="pct"/>
            <w:tcBorders>
              <w:top w:val="single" w:sz="4" w:space="0" w:color="auto"/>
              <w:left w:val="nil"/>
              <w:bottom w:val="nil"/>
              <w:right w:val="nil"/>
            </w:tcBorders>
            <w:vAlign w:val="bottom"/>
            <w:hideMark/>
          </w:tcPr>
          <w:p w14:paraId="01630FDE" w14:textId="77777777" w:rsidR="00D4647F" w:rsidRPr="00872D7E" w:rsidRDefault="00D4647F" w:rsidP="00D4647F">
            <w:pPr>
              <w:rPr>
                <w:sz w:val="16"/>
                <w:szCs w:val="16"/>
              </w:rPr>
            </w:pPr>
            <w:r w:rsidRPr="00872D7E">
              <w:rPr>
                <w:sz w:val="16"/>
                <w:szCs w:val="16"/>
              </w:rPr>
              <w:t>Yasal konsolidasyon kapsamındaki varlıkların TMS uyarınca değerlenmiş tutarları (şablon B1 deki gibi)</w:t>
            </w:r>
          </w:p>
        </w:tc>
        <w:tc>
          <w:tcPr>
            <w:tcW w:w="558" w:type="pct"/>
            <w:vAlign w:val="bottom"/>
          </w:tcPr>
          <w:p w14:paraId="50645CAA" w14:textId="7BD22F4A" w:rsidR="00D4647F" w:rsidRPr="00872D7E" w:rsidRDefault="00D4647F" w:rsidP="00D4647F">
            <w:pPr>
              <w:jc w:val="right"/>
              <w:rPr>
                <w:color w:val="000000"/>
                <w:sz w:val="16"/>
                <w:szCs w:val="16"/>
              </w:rPr>
            </w:pPr>
            <w:r w:rsidRPr="00872D7E">
              <w:rPr>
                <w:color w:val="000000"/>
                <w:sz w:val="16"/>
                <w:szCs w:val="16"/>
              </w:rPr>
              <w:t>654.301</w:t>
            </w:r>
          </w:p>
        </w:tc>
        <w:tc>
          <w:tcPr>
            <w:tcW w:w="566" w:type="pct"/>
            <w:vAlign w:val="bottom"/>
          </w:tcPr>
          <w:p w14:paraId="3543B542" w14:textId="496D187A" w:rsidR="00D4647F" w:rsidRPr="00872D7E" w:rsidRDefault="00D4647F" w:rsidP="00D4647F">
            <w:pPr>
              <w:jc w:val="right"/>
              <w:rPr>
                <w:color w:val="000000"/>
                <w:sz w:val="16"/>
                <w:szCs w:val="16"/>
              </w:rPr>
            </w:pPr>
            <w:r w:rsidRPr="00872D7E">
              <w:rPr>
                <w:color w:val="000000"/>
                <w:sz w:val="16"/>
                <w:szCs w:val="16"/>
              </w:rPr>
              <w:t>542.943</w:t>
            </w:r>
          </w:p>
        </w:tc>
        <w:tc>
          <w:tcPr>
            <w:tcW w:w="710" w:type="pct"/>
            <w:tcBorders>
              <w:top w:val="single" w:sz="4" w:space="0" w:color="auto"/>
              <w:left w:val="nil"/>
              <w:bottom w:val="nil"/>
              <w:right w:val="nil"/>
            </w:tcBorders>
            <w:vAlign w:val="bottom"/>
          </w:tcPr>
          <w:p w14:paraId="018D7F92" w14:textId="7950DE0D" w:rsidR="00D4647F" w:rsidRPr="00872D7E" w:rsidRDefault="00D4647F" w:rsidP="00D4647F">
            <w:pPr>
              <w:jc w:val="right"/>
              <w:rPr>
                <w:color w:val="000000"/>
                <w:sz w:val="16"/>
                <w:szCs w:val="16"/>
              </w:rPr>
            </w:pPr>
            <w:r w:rsidRPr="00872D7E">
              <w:rPr>
                <w:color w:val="000000"/>
                <w:sz w:val="16"/>
                <w:szCs w:val="16"/>
              </w:rPr>
              <w:t>-</w:t>
            </w:r>
          </w:p>
        </w:tc>
        <w:tc>
          <w:tcPr>
            <w:tcW w:w="573" w:type="pct"/>
            <w:tcBorders>
              <w:top w:val="single" w:sz="4" w:space="0" w:color="auto"/>
              <w:left w:val="nil"/>
              <w:bottom w:val="nil"/>
              <w:right w:val="nil"/>
            </w:tcBorders>
            <w:vAlign w:val="bottom"/>
          </w:tcPr>
          <w:p w14:paraId="2C63A84E" w14:textId="2E63A1D8" w:rsidR="00D4647F" w:rsidRPr="00872D7E" w:rsidRDefault="00D4647F" w:rsidP="00D4647F">
            <w:pPr>
              <w:jc w:val="right"/>
              <w:rPr>
                <w:color w:val="000000"/>
                <w:sz w:val="16"/>
                <w:szCs w:val="16"/>
              </w:rPr>
            </w:pPr>
            <w:r w:rsidRPr="00872D7E">
              <w:rPr>
                <w:color w:val="000000"/>
                <w:sz w:val="16"/>
                <w:szCs w:val="16"/>
              </w:rPr>
              <w:t>-</w:t>
            </w:r>
          </w:p>
        </w:tc>
        <w:tc>
          <w:tcPr>
            <w:tcW w:w="592" w:type="pct"/>
            <w:tcBorders>
              <w:top w:val="single" w:sz="4" w:space="0" w:color="auto"/>
              <w:left w:val="nil"/>
              <w:bottom w:val="nil"/>
              <w:right w:val="nil"/>
            </w:tcBorders>
            <w:vAlign w:val="bottom"/>
          </w:tcPr>
          <w:p w14:paraId="063C8EE2" w14:textId="3F449E88" w:rsidR="00D4647F" w:rsidRPr="00872D7E" w:rsidRDefault="00D4647F" w:rsidP="00D4647F">
            <w:pPr>
              <w:jc w:val="right"/>
              <w:rPr>
                <w:color w:val="000000"/>
                <w:sz w:val="16"/>
                <w:szCs w:val="16"/>
              </w:rPr>
            </w:pPr>
            <w:r w:rsidRPr="00872D7E">
              <w:rPr>
                <w:color w:val="000000"/>
                <w:sz w:val="16"/>
                <w:szCs w:val="16"/>
              </w:rPr>
              <w:t>111.358</w:t>
            </w:r>
          </w:p>
        </w:tc>
      </w:tr>
      <w:tr w:rsidR="00D4647F" w:rsidRPr="00872D7E" w14:paraId="660FCEF4" w14:textId="77777777" w:rsidTr="00D4647F">
        <w:trPr>
          <w:trHeight w:val="227"/>
        </w:trPr>
        <w:tc>
          <w:tcPr>
            <w:tcW w:w="207" w:type="pct"/>
            <w:hideMark/>
          </w:tcPr>
          <w:p w14:paraId="7180942A" w14:textId="77777777" w:rsidR="00D4647F" w:rsidRPr="00872D7E" w:rsidRDefault="00D4647F" w:rsidP="00D4647F">
            <w:pPr>
              <w:rPr>
                <w:sz w:val="16"/>
                <w:szCs w:val="16"/>
              </w:rPr>
            </w:pPr>
            <w:r w:rsidRPr="00872D7E">
              <w:rPr>
                <w:sz w:val="16"/>
                <w:szCs w:val="16"/>
              </w:rPr>
              <w:t>2</w:t>
            </w:r>
          </w:p>
        </w:tc>
        <w:tc>
          <w:tcPr>
            <w:tcW w:w="1793" w:type="pct"/>
            <w:vAlign w:val="bottom"/>
            <w:hideMark/>
          </w:tcPr>
          <w:p w14:paraId="6CC0F3CF" w14:textId="77777777" w:rsidR="00D4647F" w:rsidRPr="00872D7E" w:rsidRDefault="00D4647F" w:rsidP="00D4647F">
            <w:pPr>
              <w:rPr>
                <w:sz w:val="16"/>
                <w:szCs w:val="16"/>
              </w:rPr>
            </w:pPr>
            <w:r w:rsidRPr="00872D7E">
              <w:rPr>
                <w:sz w:val="16"/>
                <w:szCs w:val="16"/>
              </w:rPr>
              <w:t>Yasal</w:t>
            </w:r>
            <w:r w:rsidRPr="00872D7E">
              <w:rPr>
                <w:b/>
                <w:sz w:val="16"/>
                <w:szCs w:val="16"/>
              </w:rPr>
              <w:t xml:space="preserve"> </w:t>
            </w:r>
            <w:r w:rsidRPr="00872D7E">
              <w:rPr>
                <w:sz w:val="16"/>
                <w:szCs w:val="16"/>
              </w:rPr>
              <w:t>konsolidasyon kapsamındaki yükümlülüklerin TMS uyarınca değerlenmiş tutarları (şablon B1’deki gibi)</w:t>
            </w:r>
          </w:p>
        </w:tc>
        <w:tc>
          <w:tcPr>
            <w:tcW w:w="558" w:type="pct"/>
            <w:vAlign w:val="bottom"/>
          </w:tcPr>
          <w:p w14:paraId="41564369" w14:textId="468290B0" w:rsidR="00D4647F" w:rsidRPr="00872D7E" w:rsidRDefault="00D4647F" w:rsidP="00D4647F">
            <w:pPr>
              <w:jc w:val="right"/>
              <w:rPr>
                <w:sz w:val="16"/>
                <w:szCs w:val="16"/>
              </w:rPr>
            </w:pPr>
            <w:r w:rsidRPr="00872D7E">
              <w:rPr>
                <w:color w:val="000000"/>
                <w:sz w:val="16"/>
                <w:szCs w:val="16"/>
              </w:rPr>
              <w:t>-</w:t>
            </w:r>
          </w:p>
        </w:tc>
        <w:tc>
          <w:tcPr>
            <w:tcW w:w="566" w:type="pct"/>
            <w:vAlign w:val="bottom"/>
          </w:tcPr>
          <w:p w14:paraId="2564ECB0" w14:textId="19F57C24" w:rsidR="00D4647F" w:rsidRPr="00872D7E" w:rsidRDefault="00D4647F" w:rsidP="00D4647F">
            <w:pPr>
              <w:jc w:val="right"/>
              <w:rPr>
                <w:sz w:val="16"/>
                <w:szCs w:val="16"/>
              </w:rPr>
            </w:pPr>
            <w:r w:rsidRPr="00872D7E">
              <w:rPr>
                <w:color w:val="000000"/>
                <w:sz w:val="16"/>
                <w:szCs w:val="16"/>
              </w:rPr>
              <w:t>-</w:t>
            </w:r>
          </w:p>
        </w:tc>
        <w:tc>
          <w:tcPr>
            <w:tcW w:w="710" w:type="pct"/>
            <w:vAlign w:val="bottom"/>
          </w:tcPr>
          <w:p w14:paraId="2BD8D1BD" w14:textId="79A84080" w:rsidR="00D4647F" w:rsidRPr="00872D7E" w:rsidRDefault="00D4647F" w:rsidP="00D4647F">
            <w:pPr>
              <w:jc w:val="right"/>
              <w:rPr>
                <w:sz w:val="16"/>
                <w:szCs w:val="16"/>
              </w:rPr>
            </w:pPr>
            <w:r w:rsidRPr="00872D7E">
              <w:rPr>
                <w:color w:val="000000"/>
                <w:sz w:val="16"/>
                <w:szCs w:val="16"/>
              </w:rPr>
              <w:t>-</w:t>
            </w:r>
          </w:p>
        </w:tc>
        <w:tc>
          <w:tcPr>
            <w:tcW w:w="573" w:type="pct"/>
            <w:vAlign w:val="bottom"/>
          </w:tcPr>
          <w:p w14:paraId="37F3032C" w14:textId="46BF5D05" w:rsidR="00D4647F" w:rsidRPr="00872D7E" w:rsidRDefault="00D4647F" w:rsidP="00D4647F">
            <w:pPr>
              <w:jc w:val="right"/>
              <w:rPr>
                <w:color w:val="000000"/>
                <w:sz w:val="16"/>
                <w:szCs w:val="16"/>
              </w:rPr>
            </w:pPr>
            <w:r w:rsidRPr="00872D7E">
              <w:rPr>
                <w:color w:val="000000"/>
                <w:sz w:val="16"/>
                <w:szCs w:val="16"/>
              </w:rPr>
              <w:t>-</w:t>
            </w:r>
          </w:p>
        </w:tc>
        <w:tc>
          <w:tcPr>
            <w:tcW w:w="592" w:type="pct"/>
            <w:vAlign w:val="bottom"/>
          </w:tcPr>
          <w:p w14:paraId="00CD7BB7" w14:textId="36605FA9" w:rsidR="00D4647F" w:rsidRPr="00872D7E" w:rsidRDefault="00D4647F" w:rsidP="00D4647F">
            <w:pPr>
              <w:jc w:val="right"/>
              <w:rPr>
                <w:color w:val="000000"/>
                <w:sz w:val="16"/>
                <w:szCs w:val="16"/>
              </w:rPr>
            </w:pPr>
            <w:r w:rsidRPr="00872D7E">
              <w:rPr>
                <w:color w:val="000000"/>
                <w:sz w:val="16"/>
                <w:szCs w:val="16"/>
              </w:rPr>
              <w:t>-</w:t>
            </w:r>
          </w:p>
        </w:tc>
      </w:tr>
      <w:tr w:rsidR="00D4647F" w:rsidRPr="00872D7E" w14:paraId="222E7C24" w14:textId="77777777" w:rsidTr="00D4647F">
        <w:trPr>
          <w:trHeight w:val="227"/>
        </w:trPr>
        <w:tc>
          <w:tcPr>
            <w:tcW w:w="207" w:type="pct"/>
            <w:hideMark/>
          </w:tcPr>
          <w:p w14:paraId="07835EAE" w14:textId="77777777" w:rsidR="00D4647F" w:rsidRPr="00872D7E" w:rsidRDefault="00D4647F" w:rsidP="00D4647F">
            <w:pPr>
              <w:rPr>
                <w:sz w:val="16"/>
                <w:szCs w:val="16"/>
              </w:rPr>
            </w:pPr>
            <w:r w:rsidRPr="00872D7E">
              <w:rPr>
                <w:sz w:val="16"/>
                <w:szCs w:val="16"/>
              </w:rPr>
              <w:t>3</w:t>
            </w:r>
          </w:p>
        </w:tc>
        <w:tc>
          <w:tcPr>
            <w:tcW w:w="1793" w:type="pct"/>
            <w:vAlign w:val="bottom"/>
            <w:hideMark/>
          </w:tcPr>
          <w:p w14:paraId="55D3F7B3" w14:textId="77777777" w:rsidR="00D4647F" w:rsidRPr="00872D7E" w:rsidRDefault="00D4647F" w:rsidP="00D4647F">
            <w:pPr>
              <w:rPr>
                <w:b/>
                <w:sz w:val="16"/>
                <w:szCs w:val="16"/>
              </w:rPr>
            </w:pPr>
            <w:r w:rsidRPr="00872D7E">
              <w:rPr>
                <w:b/>
                <w:sz w:val="16"/>
                <w:szCs w:val="16"/>
              </w:rPr>
              <w:t>Yasal konsolidasyon kapsamındaki toplam net tutar</w:t>
            </w:r>
          </w:p>
        </w:tc>
        <w:tc>
          <w:tcPr>
            <w:tcW w:w="558" w:type="pct"/>
            <w:vAlign w:val="bottom"/>
          </w:tcPr>
          <w:p w14:paraId="3FD27A99" w14:textId="2A429DE1" w:rsidR="00D4647F" w:rsidRPr="00872D7E" w:rsidRDefault="00D4647F" w:rsidP="00D4647F">
            <w:pPr>
              <w:jc w:val="right"/>
              <w:rPr>
                <w:b/>
                <w:color w:val="000000"/>
                <w:sz w:val="16"/>
                <w:szCs w:val="16"/>
              </w:rPr>
            </w:pPr>
            <w:r w:rsidRPr="00872D7E">
              <w:rPr>
                <w:b/>
                <w:bCs/>
                <w:color w:val="000000"/>
                <w:sz w:val="16"/>
                <w:szCs w:val="16"/>
              </w:rPr>
              <w:t>654.301</w:t>
            </w:r>
          </w:p>
        </w:tc>
        <w:tc>
          <w:tcPr>
            <w:tcW w:w="566" w:type="pct"/>
            <w:vAlign w:val="bottom"/>
          </w:tcPr>
          <w:p w14:paraId="08B620FE" w14:textId="58AF7F27" w:rsidR="00D4647F" w:rsidRPr="00872D7E" w:rsidRDefault="00D4647F" w:rsidP="00D4647F">
            <w:pPr>
              <w:jc w:val="right"/>
              <w:rPr>
                <w:b/>
                <w:color w:val="000000"/>
                <w:sz w:val="16"/>
                <w:szCs w:val="16"/>
              </w:rPr>
            </w:pPr>
            <w:r w:rsidRPr="00872D7E">
              <w:rPr>
                <w:b/>
                <w:bCs/>
                <w:color w:val="000000"/>
                <w:sz w:val="16"/>
                <w:szCs w:val="16"/>
              </w:rPr>
              <w:t>542.943</w:t>
            </w:r>
          </w:p>
        </w:tc>
        <w:tc>
          <w:tcPr>
            <w:tcW w:w="710" w:type="pct"/>
            <w:vAlign w:val="bottom"/>
          </w:tcPr>
          <w:p w14:paraId="4E1C68D8" w14:textId="5FADE0C5" w:rsidR="00D4647F" w:rsidRPr="00872D7E" w:rsidRDefault="00D4647F" w:rsidP="00D4647F">
            <w:pPr>
              <w:jc w:val="right"/>
              <w:rPr>
                <w:b/>
                <w:color w:val="000000"/>
                <w:sz w:val="16"/>
                <w:szCs w:val="16"/>
              </w:rPr>
            </w:pPr>
            <w:r w:rsidRPr="00872D7E">
              <w:rPr>
                <w:b/>
                <w:bCs/>
                <w:color w:val="000000"/>
                <w:sz w:val="16"/>
                <w:szCs w:val="16"/>
              </w:rPr>
              <w:t>-</w:t>
            </w:r>
          </w:p>
        </w:tc>
        <w:tc>
          <w:tcPr>
            <w:tcW w:w="573" w:type="pct"/>
            <w:vAlign w:val="bottom"/>
          </w:tcPr>
          <w:p w14:paraId="32EF05A1" w14:textId="2C94CB19" w:rsidR="00D4647F" w:rsidRPr="00872D7E" w:rsidRDefault="00D4647F" w:rsidP="00D4647F">
            <w:pPr>
              <w:jc w:val="right"/>
              <w:rPr>
                <w:b/>
                <w:color w:val="000000"/>
                <w:sz w:val="16"/>
                <w:szCs w:val="16"/>
              </w:rPr>
            </w:pPr>
            <w:r w:rsidRPr="00872D7E">
              <w:rPr>
                <w:b/>
                <w:bCs/>
                <w:color w:val="000000"/>
                <w:sz w:val="16"/>
                <w:szCs w:val="16"/>
              </w:rPr>
              <w:t>-</w:t>
            </w:r>
          </w:p>
        </w:tc>
        <w:tc>
          <w:tcPr>
            <w:tcW w:w="592" w:type="pct"/>
            <w:vAlign w:val="bottom"/>
          </w:tcPr>
          <w:p w14:paraId="16B7BF31" w14:textId="63403647" w:rsidR="00D4647F" w:rsidRPr="00872D7E" w:rsidRDefault="00D4647F" w:rsidP="00D4647F">
            <w:pPr>
              <w:jc w:val="right"/>
              <w:rPr>
                <w:b/>
                <w:color w:val="000000"/>
                <w:sz w:val="16"/>
                <w:szCs w:val="16"/>
              </w:rPr>
            </w:pPr>
            <w:r w:rsidRPr="00872D7E">
              <w:rPr>
                <w:b/>
                <w:bCs/>
                <w:color w:val="000000"/>
                <w:sz w:val="16"/>
                <w:szCs w:val="16"/>
              </w:rPr>
              <w:t>111.358</w:t>
            </w:r>
          </w:p>
        </w:tc>
      </w:tr>
      <w:tr w:rsidR="00D4647F" w:rsidRPr="00872D7E" w14:paraId="35E79D7D" w14:textId="77777777" w:rsidTr="00D4647F">
        <w:trPr>
          <w:trHeight w:val="227"/>
        </w:trPr>
        <w:tc>
          <w:tcPr>
            <w:tcW w:w="207" w:type="pct"/>
            <w:hideMark/>
          </w:tcPr>
          <w:p w14:paraId="6C5D338A" w14:textId="77777777" w:rsidR="00D4647F" w:rsidRPr="00872D7E" w:rsidRDefault="00D4647F" w:rsidP="00D4647F">
            <w:pPr>
              <w:rPr>
                <w:sz w:val="16"/>
                <w:szCs w:val="16"/>
              </w:rPr>
            </w:pPr>
            <w:r w:rsidRPr="00872D7E">
              <w:rPr>
                <w:sz w:val="16"/>
                <w:szCs w:val="16"/>
              </w:rPr>
              <w:t>4</w:t>
            </w:r>
          </w:p>
        </w:tc>
        <w:tc>
          <w:tcPr>
            <w:tcW w:w="1793" w:type="pct"/>
            <w:vAlign w:val="bottom"/>
            <w:hideMark/>
          </w:tcPr>
          <w:p w14:paraId="4E8F1364" w14:textId="77777777" w:rsidR="00D4647F" w:rsidRPr="00872D7E" w:rsidRDefault="00D4647F" w:rsidP="00D4647F">
            <w:pPr>
              <w:rPr>
                <w:sz w:val="16"/>
                <w:szCs w:val="16"/>
              </w:rPr>
            </w:pPr>
            <w:r w:rsidRPr="00872D7E">
              <w:rPr>
                <w:sz w:val="16"/>
                <w:szCs w:val="16"/>
              </w:rPr>
              <w:t>Bilanço dışı tutarlar</w:t>
            </w:r>
          </w:p>
        </w:tc>
        <w:tc>
          <w:tcPr>
            <w:tcW w:w="558" w:type="pct"/>
            <w:vAlign w:val="bottom"/>
          </w:tcPr>
          <w:p w14:paraId="61E7D0A6" w14:textId="316F247A" w:rsidR="00D4647F" w:rsidRPr="00872D7E" w:rsidRDefault="00D4647F" w:rsidP="00D4647F">
            <w:pPr>
              <w:jc w:val="right"/>
              <w:rPr>
                <w:color w:val="000000"/>
                <w:sz w:val="16"/>
                <w:szCs w:val="16"/>
              </w:rPr>
            </w:pPr>
            <w:r w:rsidRPr="00872D7E">
              <w:rPr>
                <w:color w:val="000000"/>
                <w:sz w:val="16"/>
                <w:szCs w:val="16"/>
              </w:rPr>
              <w:t>5.447</w:t>
            </w:r>
          </w:p>
        </w:tc>
        <w:tc>
          <w:tcPr>
            <w:tcW w:w="566" w:type="pct"/>
            <w:vAlign w:val="bottom"/>
          </w:tcPr>
          <w:p w14:paraId="153C4AAC" w14:textId="0FD71844" w:rsidR="00D4647F" w:rsidRPr="00872D7E" w:rsidRDefault="00D4647F" w:rsidP="00D4647F">
            <w:pPr>
              <w:jc w:val="right"/>
              <w:rPr>
                <w:color w:val="000000"/>
                <w:sz w:val="16"/>
                <w:szCs w:val="16"/>
              </w:rPr>
            </w:pPr>
            <w:r w:rsidRPr="00872D7E">
              <w:rPr>
                <w:color w:val="000000"/>
                <w:sz w:val="16"/>
                <w:szCs w:val="16"/>
              </w:rPr>
              <w:t>87.593</w:t>
            </w:r>
          </w:p>
        </w:tc>
        <w:tc>
          <w:tcPr>
            <w:tcW w:w="710" w:type="pct"/>
            <w:vAlign w:val="bottom"/>
          </w:tcPr>
          <w:p w14:paraId="45095E35" w14:textId="49CAA82B" w:rsidR="00D4647F" w:rsidRPr="00872D7E" w:rsidRDefault="00D4647F" w:rsidP="00D4647F">
            <w:pPr>
              <w:jc w:val="right"/>
              <w:rPr>
                <w:color w:val="000000"/>
                <w:sz w:val="16"/>
                <w:szCs w:val="16"/>
              </w:rPr>
            </w:pPr>
            <w:r w:rsidRPr="00872D7E">
              <w:rPr>
                <w:color w:val="000000"/>
                <w:sz w:val="16"/>
                <w:szCs w:val="16"/>
              </w:rPr>
              <w:t>-</w:t>
            </w:r>
          </w:p>
        </w:tc>
        <w:tc>
          <w:tcPr>
            <w:tcW w:w="573" w:type="pct"/>
            <w:vAlign w:val="bottom"/>
          </w:tcPr>
          <w:p w14:paraId="136FFA2A" w14:textId="7EA24DB0" w:rsidR="00D4647F" w:rsidRPr="00872D7E" w:rsidRDefault="00D4647F" w:rsidP="00D4647F">
            <w:pPr>
              <w:jc w:val="right"/>
              <w:rPr>
                <w:color w:val="000000"/>
                <w:sz w:val="16"/>
                <w:szCs w:val="16"/>
              </w:rPr>
            </w:pPr>
            <w:r w:rsidRPr="00872D7E">
              <w:rPr>
                <w:color w:val="000000"/>
                <w:sz w:val="16"/>
                <w:szCs w:val="16"/>
              </w:rPr>
              <w:t>-</w:t>
            </w:r>
          </w:p>
        </w:tc>
        <w:tc>
          <w:tcPr>
            <w:tcW w:w="592" w:type="pct"/>
            <w:vAlign w:val="bottom"/>
          </w:tcPr>
          <w:p w14:paraId="49DCC7BE" w14:textId="338B5180" w:rsidR="00D4647F" w:rsidRPr="00872D7E" w:rsidRDefault="00D4647F" w:rsidP="00D4647F">
            <w:pPr>
              <w:jc w:val="right"/>
              <w:rPr>
                <w:color w:val="000000"/>
                <w:sz w:val="16"/>
                <w:szCs w:val="16"/>
              </w:rPr>
            </w:pPr>
            <w:r w:rsidRPr="00872D7E">
              <w:rPr>
                <w:color w:val="000000"/>
                <w:sz w:val="16"/>
                <w:szCs w:val="16"/>
              </w:rPr>
              <w:t>-</w:t>
            </w:r>
          </w:p>
        </w:tc>
      </w:tr>
      <w:tr w:rsidR="00D4647F" w:rsidRPr="00872D7E" w14:paraId="6CEC076C" w14:textId="77777777" w:rsidTr="00D4647F">
        <w:trPr>
          <w:trHeight w:val="227"/>
        </w:trPr>
        <w:tc>
          <w:tcPr>
            <w:tcW w:w="207" w:type="pct"/>
            <w:hideMark/>
          </w:tcPr>
          <w:p w14:paraId="1191999B" w14:textId="77777777" w:rsidR="00D4647F" w:rsidRPr="00872D7E" w:rsidRDefault="00D4647F" w:rsidP="00D4647F">
            <w:pPr>
              <w:rPr>
                <w:sz w:val="16"/>
                <w:szCs w:val="16"/>
              </w:rPr>
            </w:pPr>
            <w:r w:rsidRPr="00872D7E">
              <w:rPr>
                <w:sz w:val="16"/>
                <w:szCs w:val="16"/>
              </w:rPr>
              <w:t>5</w:t>
            </w:r>
          </w:p>
        </w:tc>
        <w:tc>
          <w:tcPr>
            <w:tcW w:w="1793" w:type="pct"/>
            <w:vAlign w:val="bottom"/>
            <w:hideMark/>
          </w:tcPr>
          <w:p w14:paraId="19BE96F1" w14:textId="77777777" w:rsidR="00D4647F" w:rsidRPr="00872D7E" w:rsidRDefault="00D4647F" w:rsidP="00D4647F">
            <w:pPr>
              <w:rPr>
                <w:sz w:val="16"/>
                <w:szCs w:val="16"/>
              </w:rPr>
            </w:pPr>
            <w:r w:rsidRPr="00872D7E">
              <w:rPr>
                <w:sz w:val="16"/>
                <w:szCs w:val="16"/>
              </w:rPr>
              <w:t>Repo ve benzeri işlemler</w:t>
            </w:r>
            <w:r w:rsidRPr="00872D7E">
              <w:rPr>
                <w:sz w:val="16"/>
                <w:szCs w:val="16"/>
                <w:vertAlign w:val="superscript"/>
              </w:rPr>
              <w:t xml:space="preserve"> (**)</w:t>
            </w:r>
          </w:p>
        </w:tc>
        <w:tc>
          <w:tcPr>
            <w:tcW w:w="558" w:type="pct"/>
            <w:vAlign w:val="bottom"/>
          </w:tcPr>
          <w:p w14:paraId="3FB167E7" w14:textId="02C25905" w:rsidR="00D4647F" w:rsidRPr="00872D7E" w:rsidRDefault="00D4647F" w:rsidP="00D4647F">
            <w:pPr>
              <w:jc w:val="right"/>
              <w:rPr>
                <w:sz w:val="16"/>
                <w:szCs w:val="16"/>
              </w:rPr>
            </w:pPr>
            <w:r w:rsidRPr="00872D7E">
              <w:rPr>
                <w:color w:val="000000"/>
                <w:sz w:val="16"/>
                <w:szCs w:val="16"/>
              </w:rPr>
              <w:t>-</w:t>
            </w:r>
          </w:p>
        </w:tc>
        <w:tc>
          <w:tcPr>
            <w:tcW w:w="566" w:type="pct"/>
            <w:vAlign w:val="bottom"/>
          </w:tcPr>
          <w:p w14:paraId="13EBE648" w14:textId="74DDCD29" w:rsidR="00D4647F" w:rsidRPr="00872D7E" w:rsidRDefault="00D4647F" w:rsidP="00D4647F">
            <w:pPr>
              <w:jc w:val="right"/>
              <w:rPr>
                <w:sz w:val="16"/>
                <w:szCs w:val="16"/>
              </w:rPr>
            </w:pPr>
            <w:r w:rsidRPr="00872D7E">
              <w:rPr>
                <w:color w:val="000000"/>
                <w:sz w:val="16"/>
                <w:szCs w:val="16"/>
              </w:rPr>
              <w:t>-</w:t>
            </w:r>
          </w:p>
        </w:tc>
        <w:tc>
          <w:tcPr>
            <w:tcW w:w="710" w:type="pct"/>
            <w:vAlign w:val="bottom"/>
          </w:tcPr>
          <w:p w14:paraId="5BEE1812" w14:textId="7C148E83" w:rsidR="00D4647F" w:rsidRPr="00872D7E" w:rsidRDefault="00D4647F" w:rsidP="00D4647F">
            <w:pPr>
              <w:jc w:val="right"/>
              <w:rPr>
                <w:sz w:val="16"/>
                <w:szCs w:val="16"/>
              </w:rPr>
            </w:pPr>
            <w:r w:rsidRPr="00872D7E">
              <w:rPr>
                <w:color w:val="000000"/>
                <w:sz w:val="16"/>
                <w:szCs w:val="16"/>
              </w:rPr>
              <w:t>-</w:t>
            </w:r>
          </w:p>
        </w:tc>
        <w:tc>
          <w:tcPr>
            <w:tcW w:w="573" w:type="pct"/>
            <w:vAlign w:val="bottom"/>
          </w:tcPr>
          <w:p w14:paraId="581E420E" w14:textId="3BAC28A8" w:rsidR="00D4647F" w:rsidRPr="00872D7E" w:rsidRDefault="00D4647F" w:rsidP="00D4647F">
            <w:pPr>
              <w:jc w:val="right"/>
              <w:rPr>
                <w:color w:val="000000"/>
                <w:sz w:val="16"/>
                <w:szCs w:val="16"/>
              </w:rPr>
            </w:pPr>
            <w:r w:rsidRPr="00872D7E">
              <w:rPr>
                <w:color w:val="000000"/>
                <w:sz w:val="16"/>
                <w:szCs w:val="16"/>
              </w:rPr>
              <w:t>-</w:t>
            </w:r>
          </w:p>
        </w:tc>
        <w:tc>
          <w:tcPr>
            <w:tcW w:w="592" w:type="pct"/>
            <w:vAlign w:val="bottom"/>
          </w:tcPr>
          <w:p w14:paraId="1BD8F2EC" w14:textId="56A0929E" w:rsidR="00D4647F" w:rsidRPr="00872D7E" w:rsidRDefault="00D4647F" w:rsidP="00D4647F">
            <w:pPr>
              <w:jc w:val="right"/>
              <w:rPr>
                <w:color w:val="000000"/>
                <w:sz w:val="16"/>
                <w:szCs w:val="16"/>
              </w:rPr>
            </w:pPr>
            <w:r w:rsidRPr="00872D7E">
              <w:rPr>
                <w:color w:val="000000"/>
                <w:sz w:val="16"/>
                <w:szCs w:val="16"/>
              </w:rPr>
              <w:t>-</w:t>
            </w:r>
          </w:p>
        </w:tc>
      </w:tr>
      <w:tr w:rsidR="00D4647F" w:rsidRPr="00872D7E" w14:paraId="26DB5F19" w14:textId="77777777" w:rsidTr="00D4647F">
        <w:trPr>
          <w:trHeight w:val="227"/>
        </w:trPr>
        <w:tc>
          <w:tcPr>
            <w:tcW w:w="207" w:type="pct"/>
            <w:hideMark/>
          </w:tcPr>
          <w:p w14:paraId="35E5A336" w14:textId="77777777" w:rsidR="00D4647F" w:rsidRPr="00872D7E" w:rsidRDefault="00D4647F" w:rsidP="00D4647F">
            <w:pPr>
              <w:rPr>
                <w:sz w:val="16"/>
                <w:szCs w:val="16"/>
              </w:rPr>
            </w:pPr>
            <w:r w:rsidRPr="00872D7E">
              <w:rPr>
                <w:sz w:val="16"/>
                <w:szCs w:val="16"/>
              </w:rPr>
              <w:t>6</w:t>
            </w:r>
          </w:p>
        </w:tc>
        <w:tc>
          <w:tcPr>
            <w:tcW w:w="1793" w:type="pct"/>
            <w:vAlign w:val="bottom"/>
            <w:hideMark/>
          </w:tcPr>
          <w:p w14:paraId="45B31486" w14:textId="77777777" w:rsidR="00D4647F" w:rsidRPr="00872D7E" w:rsidRDefault="00D4647F" w:rsidP="00D4647F">
            <w:pPr>
              <w:rPr>
                <w:sz w:val="16"/>
                <w:szCs w:val="16"/>
              </w:rPr>
            </w:pPr>
            <w:r w:rsidRPr="00872D7E">
              <w:rPr>
                <w:sz w:val="16"/>
                <w:szCs w:val="16"/>
              </w:rPr>
              <w:t xml:space="preserve">Değerleme farkları </w:t>
            </w:r>
          </w:p>
        </w:tc>
        <w:tc>
          <w:tcPr>
            <w:tcW w:w="558" w:type="pct"/>
            <w:vAlign w:val="bottom"/>
          </w:tcPr>
          <w:p w14:paraId="02274495" w14:textId="69258C37" w:rsidR="00D4647F" w:rsidRPr="00872D7E" w:rsidRDefault="00D4647F" w:rsidP="00D4647F">
            <w:pPr>
              <w:jc w:val="right"/>
              <w:rPr>
                <w:sz w:val="16"/>
                <w:szCs w:val="16"/>
              </w:rPr>
            </w:pPr>
            <w:r w:rsidRPr="00872D7E">
              <w:rPr>
                <w:color w:val="000000"/>
                <w:sz w:val="16"/>
                <w:szCs w:val="16"/>
              </w:rPr>
              <w:t>-</w:t>
            </w:r>
          </w:p>
        </w:tc>
        <w:tc>
          <w:tcPr>
            <w:tcW w:w="566" w:type="pct"/>
            <w:vAlign w:val="bottom"/>
          </w:tcPr>
          <w:p w14:paraId="377EAAD2" w14:textId="60810B7F" w:rsidR="00D4647F" w:rsidRPr="00872D7E" w:rsidRDefault="00D4647F" w:rsidP="00D4647F">
            <w:pPr>
              <w:jc w:val="right"/>
              <w:rPr>
                <w:sz w:val="16"/>
                <w:szCs w:val="16"/>
              </w:rPr>
            </w:pPr>
            <w:r w:rsidRPr="00872D7E">
              <w:rPr>
                <w:color w:val="000000"/>
                <w:sz w:val="16"/>
                <w:szCs w:val="16"/>
              </w:rPr>
              <w:t>-</w:t>
            </w:r>
          </w:p>
        </w:tc>
        <w:tc>
          <w:tcPr>
            <w:tcW w:w="710" w:type="pct"/>
            <w:vAlign w:val="bottom"/>
          </w:tcPr>
          <w:p w14:paraId="116C17F4" w14:textId="51A2E818" w:rsidR="00D4647F" w:rsidRPr="00872D7E" w:rsidRDefault="00D4647F" w:rsidP="00D4647F">
            <w:pPr>
              <w:jc w:val="right"/>
              <w:rPr>
                <w:sz w:val="16"/>
                <w:szCs w:val="16"/>
              </w:rPr>
            </w:pPr>
            <w:r w:rsidRPr="00872D7E">
              <w:rPr>
                <w:color w:val="000000"/>
                <w:sz w:val="16"/>
                <w:szCs w:val="16"/>
              </w:rPr>
              <w:t>-</w:t>
            </w:r>
          </w:p>
        </w:tc>
        <w:tc>
          <w:tcPr>
            <w:tcW w:w="573" w:type="pct"/>
            <w:vAlign w:val="bottom"/>
          </w:tcPr>
          <w:p w14:paraId="7ADFB810" w14:textId="71AEBC34" w:rsidR="00D4647F" w:rsidRPr="00872D7E" w:rsidRDefault="00D4647F" w:rsidP="00D4647F">
            <w:pPr>
              <w:jc w:val="right"/>
              <w:rPr>
                <w:sz w:val="16"/>
                <w:szCs w:val="16"/>
              </w:rPr>
            </w:pPr>
            <w:r w:rsidRPr="00872D7E">
              <w:rPr>
                <w:color w:val="000000"/>
                <w:sz w:val="16"/>
                <w:szCs w:val="16"/>
              </w:rPr>
              <w:t>-</w:t>
            </w:r>
          </w:p>
        </w:tc>
        <w:tc>
          <w:tcPr>
            <w:tcW w:w="592" w:type="pct"/>
            <w:vAlign w:val="bottom"/>
          </w:tcPr>
          <w:p w14:paraId="73A54880" w14:textId="57770EC6" w:rsidR="00D4647F" w:rsidRPr="00872D7E" w:rsidRDefault="00D4647F" w:rsidP="00D4647F">
            <w:pPr>
              <w:jc w:val="right"/>
              <w:rPr>
                <w:sz w:val="16"/>
                <w:szCs w:val="16"/>
              </w:rPr>
            </w:pPr>
            <w:r w:rsidRPr="00872D7E">
              <w:rPr>
                <w:color w:val="000000"/>
                <w:sz w:val="16"/>
                <w:szCs w:val="16"/>
              </w:rPr>
              <w:t>-</w:t>
            </w:r>
          </w:p>
        </w:tc>
      </w:tr>
      <w:tr w:rsidR="00D4647F" w:rsidRPr="00872D7E" w14:paraId="536C61E8" w14:textId="77777777" w:rsidTr="00D4647F">
        <w:trPr>
          <w:trHeight w:val="227"/>
        </w:trPr>
        <w:tc>
          <w:tcPr>
            <w:tcW w:w="207" w:type="pct"/>
            <w:hideMark/>
          </w:tcPr>
          <w:p w14:paraId="48DBFAA7" w14:textId="77777777" w:rsidR="00D4647F" w:rsidRPr="00872D7E" w:rsidRDefault="00D4647F" w:rsidP="00D4647F">
            <w:pPr>
              <w:rPr>
                <w:sz w:val="16"/>
                <w:szCs w:val="16"/>
              </w:rPr>
            </w:pPr>
            <w:r w:rsidRPr="00872D7E">
              <w:rPr>
                <w:sz w:val="16"/>
                <w:szCs w:val="16"/>
              </w:rPr>
              <w:t>7</w:t>
            </w:r>
          </w:p>
        </w:tc>
        <w:tc>
          <w:tcPr>
            <w:tcW w:w="1793" w:type="pct"/>
            <w:vAlign w:val="bottom"/>
            <w:hideMark/>
          </w:tcPr>
          <w:p w14:paraId="3A2BB7D4" w14:textId="77777777" w:rsidR="00D4647F" w:rsidRPr="00872D7E" w:rsidRDefault="00D4647F" w:rsidP="00D4647F">
            <w:pPr>
              <w:rPr>
                <w:sz w:val="16"/>
                <w:szCs w:val="16"/>
              </w:rPr>
            </w:pPr>
            <w:r w:rsidRPr="00872D7E">
              <w:rPr>
                <w:sz w:val="16"/>
                <w:szCs w:val="16"/>
              </w:rPr>
              <w:t>Farklı netleştirme kurallarından kaynaklanan farklar (satır 2’ye konulanlar dışındaki)</w:t>
            </w:r>
          </w:p>
        </w:tc>
        <w:tc>
          <w:tcPr>
            <w:tcW w:w="558" w:type="pct"/>
            <w:vAlign w:val="bottom"/>
          </w:tcPr>
          <w:p w14:paraId="3A380DB8" w14:textId="0D7EB3C0" w:rsidR="00D4647F" w:rsidRPr="00872D7E" w:rsidRDefault="00D4647F" w:rsidP="00D4647F">
            <w:pPr>
              <w:jc w:val="right"/>
              <w:rPr>
                <w:sz w:val="16"/>
                <w:szCs w:val="16"/>
              </w:rPr>
            </w:pPr>
            <w:r w:rsidRPr="00872D7E">
              <w:rPr>
                <w:color w:val="000000"/>
                <w:sz w:val="16"/>
                <w:szCs w:val="16"/>
              </w:rPr>
              <w:t>-</w:t>
            </w:r>
          </w:p>
        </w:tc>
        <w:tc>
          <w:tcPr>
            <w:tcW w:w="566" w:type="pct"/>
            <w:vAlign w:val="bottom"/>
          </w:tcPr>
          <w:p w14:paraId="13730D2F" w14:textId="50C27CDA" w:rsidR="00D4647F" w:rsidRPr="00872D7E" w:rsidRDefault="00D4647F" w:rsidP="00D4647F">
            <w:pPr>
              <w:jc w:val="right"/>
              <w:rPr>
                <w:sz w:val="16"/>
                <w:szCs w:val="16"/>
              </w:rPr>
            </w:pPr>
            <w:r w:rsidRPr="00872D7E">
              <w:rPr>
                <w:color w:val="000000"/>
                <w:sz w:val="16"/>
                <w:szCs w:val="16"/>
              </w:rPr>
              <w:t>-</w:t>
            </w:r>
          </w:p>
        </w:tc>
        <w:tc>
          <w:tcPr>
            <w:tcW w:w="710" w:type="pct"/>
            <w:vAlign w:val="bottom"/>
          </w:tcPr>
          <w:p w14:paraId="3FCD8689" w14:textId="503CA890" w:rsidR="00D4647F" w:rsidRPr="00872D7E" w:rsidRDefault="00D4647F" w:rsidP="00D4647F">
            <w:pPr>
              <w:jc w:val="right"/>
              <w:rPr>
                <w:sz w:val="16"/>
                <w:szCs w:val="16"/>
              </w:rPr>
            </w:pPr>
            <w:r w:rsidRPr="00872D7E">
              <w:rPr>
                <w:color w:val="000000"/>
                <w:sz w:val="16"/>
                <w:szCs w:val="16"/>
              </w:rPr>
              <w:t>-</w:t>
            </w:r>
          </w:p>
        </w:tc>
        <w:tc>
          <w:tcPr>
            <w:tcW w:w="573" w:type="pct"/>
            <w:vAlign w:val="bottom"/>
          </w:tcPr>
          <w:p w14:paraId="4AAF1407" w14:textId="421B6F55" w:rsidR="00D4647F" w:rsidRPr="00872D7E" w:rsidRDefault="00D4647F" w:rsidP="00D4647F">
            <w:pPr>
              <w:jc w:val="right"/>
              <w:rPr>
                <w:sz w:val="16"/>
                <w:szCs w:val="16"/>
              </w:rPr>
            </w:pPr>
            <w:r w:rsidRPr="00872D7E">
              <w:rPr>
                <w:color w:val="000000"/>
                <w:sz w:val="16"/>
                <w:szCs w:val="16"/>
              </w:rPr>
              <w:t>-</w:t>
            </w:r>
          </w:p>
        </w:tc>
        <w:tc>
          <w:tcPr>
            <w:tcW w:w="592" w:type="pct"/>
            <w:vAlign w:val="bottom"/>
          </w:tcPr>
          <w:p w14:paraId="39A03DB7" w14:textId="318AF39C" w:rsidR="00D4647F" w:rsidRPr="00872D7E" w:rsidRDefault="00D4647F" w:rsidP="00D4647F">
            <w:pPr>
              <w:jc w:val="right"/>
              <w:rPr>
                <w:sz w:val="16"/>
                <w:szCs w:val="16"/>
              </w:rPr>
            </w:pPr>
            <w:r w:rsidRPr="00872D7E">
              <w:rPr>
                <w:color w:val="000000"/>
                <w:sz w:val="16"/>
                <w:szCs w:val="16"/>
              </w:rPr>
              <w:t>-</w:t>
            </w:r>
          </w:p>
        </w:tc>
      </w:tr>
      <w:tr w:rsidR="00D4647F" w:rsidRPr="00872D7E" w14:paraId="04BA4068" w14:textId="77777777" w:rsidTr="00D4647F">
        <w:trPr>
          <w:trHeight w:val="227"/>
        </w:trPr>
        <w:tc>
          <w:tcPr>
            <w:tcW w:w="207" w:type="pct"/>
            <w:hideMark/>
          </w:tcPr>
          <w:p w14:paraId="7FF4E59B" w14:textId="77777777" w:rsidR="00D4647F" w:rsidRPr="00872D7E" w:rsidRDefault="00D4647F" w:rsidP="00D4647F">
            <w:pPr>
              <w:rPr>
                <w:sz w:val="16"/>
                <w:szCs w:val="16"/>
              </w:rPr>
            </w:pPr>
            <w:r w:rsidRPr="00872D7E">
              <w:rPr>
                <w:sz w:val="16"/>
                <w:szCs w:val="16"/>
              </w:rPr>
              <w:t>8</w:t>
            </w:r>
          </w:p>
        </w:tc>
        <w:tc>
          <w:tcPr>
            <w:tcW w:w="1793" w:type="pct"/>
            <w:vAlign w:val="bottom"/>
            <w:hideMark/>
          </w:tcPr>
          <w:p w14:paraId="711973D3" w14:textId="77777777" w:rsidR="00D4647F" w:rsidRPr="00872D7E" w:rsidRDefault="00D4647F" w:rsidP="00D4647F">
            <w:pPr>
              <w:rPr>
                <w:sz w:val="16"/>
                <w:szCs w:val="16"/>
              </w:rPr>
            </w:pPr>
            <w:r w:rsidRPr="00872D7E">
              <w:rPr>
                <w:sz w:val="16"/>
                <w:szCs w:val="16"/>
              </w:rPr>
              <w:t>Karşılıkların dikkate alınmasından kaynaklanan farklar</w:t>
            </w:r>
          </w:p>
        </w:tc>
        <w:tc>
          <w:tcPr>
            <w:tcW w:w="558" w:type="pct"/>
            <w:vAlign w:val="bottom"/>
          </w:tcPr>
          <w:p w14:paraId="787D640E" w14:textId="3AB07872" w:rsidR="00D4647F" w:rsidRPr="00872D7E" w:rsidRDefault="00D4647F" w:rsidP="00D4647F">
            <w:pPr>
              <w:jc w:val="right"/>
              <w:rPr>
                <w:sz w:val="16"/>
                <w:szCs w:val="16"/>
              </w:rPr>
            </w:pPr>
            <w:r w:rsidRPr="00872D7E">
              <w:rPr>
                <w:color w:val="000000"/>
                <w:sz w:val="16"/>
                <w:szCs w:val="16"/>
              </w:rPr>
              <w:t>-</w:t>
            </w:r>
          </w:p>
        </w:tc>
        <w:tc>
          <w:tcPr>
            <w:tcW w:w="566" w:type="pct"/>
            <w:vAlign w:val="bottom"/>
          </w:tcPr>
          <w:p w14:paraId="7D745768" w14:textId="1F097FEA" w:rsidR="00D4647F" w:rsidRPr="00872D7E" w:rsidRDefault="00D4647F" w:rsidP="00D4647F">
            <w:pPr>
              <w:jc w:val="right"/>
              <w:rPr>
                <w:sz w:val="16"/>
                <w:szCs w:val="16"/>
              </w:rPr>
            </w:pPr>
            <w:r w:rsidRPr="00872D7E">
              <w:rPr>
                <w:color w:val="000000"/>
                <w:sz w:val="16"/>
                <w:szCs w:val="16"/>
              </w:rPr>
              <w:t>-</w:t>
            </w:r>
          </w:p>
        </w:tc>
        <w:tc>
          <w:tcPr>
            <w:tcW w:w="710" w:type="pct"/>
            <w:vAlign w:val="bottom"/>
          </w:tcPr>
          <w:p w14:paraId="734A2764" w14:textId="4A7CE6F5" w:rsidR="00D4647F" w:rsidRPr="00872D7E" w:rsidRDefault="00D4647F" w:rsidP="00D4647F">
            <w:pPr>
              <w:jc w:val="right"/>
              <w:rPr>
                <w:sz w:val="16"/>
                <w:szCs w:val="16"/>
              </w:rPr>
            </w:pPr>
            <w:r w:rsidRPr="00872D7E">
              <w:rPr>
                <w:color w:val="000000"/>
                <w:sz w:val="16"/>
                <w:szCs w:val="16"/>
              </w:rPr>
              <w:t>-</w:t>
            </w:r>
          </w:p>
        </w:tc>
        <w:tc>
          <w:tcPr>
            <w:tcW w:w="573" w:type="pct"/>
            <w:vAlign w:val="bottom"/>
          </w:tcPr>
          <w:p w14:paraId="7ED615D8" w14:textId="34B532A0" w:rsidR="00D4647F" w:rsidRPr="00872D7E" w:rsidRDefault="00D4647F" w:rsidP="00D4647F">
            <w:pPr>
              <w:jc w:val="right"/>
              <w:rPr>
                <w:sz w:val="16"/>
                <w:szCs w:val="16"/>
              </w:rPr>
            </w:pPr>
            <w:r w:rsidRPr="00872D7E">
              <w:rPr>
                <w:color w:val="000000"/>
                <w:sz w:val="16"/>
                <w:szCs w:val="16"/>
              </w:rPr>
              <w:t>-</w:t>
            </w:r>
          </w:p>
        </w:tc>
        <w:tc>
          <w:tcPr>
            <w:tcW w:w="592" w:type="pct"/>
            <w:vAlign w:val="bottom"/>
          </w:tcPr>
          <w:p w14:paraId="7610FCAC" w14:textId="2663F400" w:rsidR="00D4647F" w:rsidRPr="00872D7E" w:rsidRDefault="00D4647F" w:rsidP="00D4647F">
            <w:pPr>
              <w:jc w:val="right"/>
              <w:rPr>
                <w:sz w:val="16"/>
                <w:szCs w:val="16"/>
              </w:rPr>
            </w:pPr>
            <w:r w:rsidRPr="00872D7E">
              <w:rPr>
                <w:color w:val="000000"/>
                <w:sz w:val="16"/>
                <w:szCs w:val="16"/>
              </w:rPr>
              <w:t>-</w:t>
            </w:r>
          </w:p>
        </w:tc>
      </w:tr>
      <w:tr w:rsidR="00D4647F" w:rsidRPr="00872D7E" w14:paraId="4F7E712D" w14:textId="77777777" w:rsidTr="007B041F">
        <w:trPr>
          <w:trHeight w:val="227"/>
        </w:trPr>
        <w:tc>
          <w:tcPr>
            <w:tcW w:w="207" w:type="pct"/>
            <w:tcBorders>
              <w:top w:val="nil"/>
              <w:left w:val="nil"/>
              <w:bottom w:val="single" w:sz="4" w:space="0" w:color="auto"/>
              <w:right w:val="nil"/>
            </w:tcBorders>
            <w:hideMark/>
          </w:tcPr>
          <w:p w14:paraId="78459B3D" w14:textId="77777777" w:rsidR="00D4647F" w:rsidRPr="00872D7E" w:rsidRDefault="00D4647F" w:rsidP="00D4647F">
            <w:pPr>
              <w:rPr>
                <w:sz w:val="16"/>
                <w:szCs w:val="16"/>
              </w:rPr>
            </w:pPr>
            <w:r w:rsidRPr="00872D7E">
              <w:rPr>
                <w:sz w:val="16"/>
                <w:szCs w:val="16"/>
              </w:rPr>
              <w:t>9</w:t>
            </w:r>
          </w:p>
        </w:tc>
        <w:tc>
          <w:tcPr>
            <w:tcW w:w="1793" w:type="pct"/>
            <w:tcBorders>
              <w:top w:val="nil"/>
              <w:left w:val="nil"/>
              <w:bottom w:val="single" w:sz="4" w:space="0" w:color="auto"/>
              <w:right w:val="nil"/>
            </w:tcBorders>
            <w:vAlign w:val="bottom"/>
            <w:hideMark/>
          </w:tcPr>
          <w:p w14:paraId="21615B9D" w14:textId="77777777" w:rsidR="00D4647F" w:rsidRPr="00872D7E" w:rsidRDefault="00D4647F" w:rsidP="00D4647F">
            <w:pPr>
              <w:rPr>
                <w:sz w:val="16"/>
                <w:szCs w:val="16"/>
              </w:rPr>
            </w:pPr>
            <w:r w:rsidRPr="00872D7E">
              <w:rPr>
                <w:sz w:val="16"/>
                <w:szCs w:val="16"/>
              </w:rPr>
              <w:t>Kurum’un uygulamalarından kaynaklanan farklar</w:t>
            </w:r>
          </w:p>
        </w:tc>
        <w:tc>
          <w:tcPr>
            <w:tcW w:w="558" w:type="pct"/>
            <w:tcBorders>
              <w:top w:val="nil"/>
              <w:left w:val="nil"/>
              <w:bottom w:val="single" w:sz="4" w:space="0" w:color="auto"/>
              <w:right w:val="nil"/>
            </w:tcBorders>
            <w:vAlign w:val="bottom"/>
          </w:tcPr>
          <w:p w14:paraId="2F04519B" w14:textId="63946F9A" w:rsidR="00D4647F" w:rsidRPr="00872D7E" w:rsidRDefault="00D4647F" w:rsidP="00D4647F">
            <w:pPr>
              <w:jc w:val="right"/>
              <w:rPr>
                <w:sz w:val="16"/>
                <w:szCs w:val="16"/>
              </w:rPr>
            </w:pPr>
            <w:r w:rsidRPr="00872D7E">
              <w:rPr>
                <w:color w:val="000000"/>
                <w:sz w:val="16"/>
                <w:szCs w:val="16"/>
              </w:rPr>
              <w:t>-</w:t>
            </w:r>
          </w:p>
        </w:tc>
        <w:tc>
          <w:tcPr>
            <w:tcW w:w="566" w:type="pct"/>
            <w:tcBorders>
              <w:top w:val="nil"/>
              <w:left w:val="nil"/>
              <w:bottom w:val="single" w:sz="4" w:space="0" w:color="auto"/>
              <w:right w:val="nil"/>
            </w:tcBorders>
            <w:vAlign w:val="bottom"/>
          </w:tcPr>
          <w:p w14:paraId="53BB6A4B" w14:textId="508A4B59" w:rsidR="00D4647F" w:rsidRPr="00872D7E" w:rsidRDefault="00D4647F" w:rsidP="00D4647F">
            <w:pPr>
              <w:jc w:val="right"/>
              <w:rPr>
                <w:sz w:val="16"/>
                <w:szCs w:val="16"/>
              </w:rPr>
            </w:pPr>
            <w:r w:rsidRPr="00872D7E">
              <w:rPr>
                <w:color w:val="000000"/>
                <w:sz w:val="16"/>
                <w:szCs w:val="16"/>
              </w:rPr>
              <w:t>(19.315)</w:t>
            </w:r>
          </w:p>
        </w:tc>
        <w:tc>
          <w:tcPr>
            <w:tcW w:w="710" w:type="pct"/>
            <w:tcBorders>
              <w:top w:val="nil"/>
              <w:left w:val="nil"/>
              <w:bottom w:val="single" w:sz="4" w:space="0" w:color="auto"/>
              <w:right w:val="nil"/>
            </w:tcBorders>
            <w:vAlign w:val="bottom"/>
          </w:tcPr>
          <w:p w14:paraId="57E9A7EB" w14:textId="64797E74" w:rsidR="00D4647F" w:rsidRPr="00872D7E" w:rsidRDefault="00D4647F" w:rsidP="00D4647F">
            <w:pPr>
              <w:jc w:val="right"/>
              <w:rPr>
                <w:sz w:val="16"/>
                <w:szCs w:val="16"/>
              </w:rPr>
            </w:pPr>
            <w:r w:rsidRPr="00872D7E">
              <w:rPr>
                <w:color w:val="000000"/>
                <w:sz w:val="16"/>
                <w:szCs w:val="16"/>
              </w:rPr>
              <w:t>-</w:t>
            </w:r>
          </w:p>
        </w:tc>
        <w:tc>
          <w:tcPr>
            <w:tcW w:w="573" w:type="pct"/>
            <w:tcBorders>
              <w:top w:val="nil"/>
              <w:left w:val="nil"/>
              <w:bottom w:val="single" w:sz="4" w:space="0" w:color="auto"/>
              <w:right w:val="nil"/>
            </w:tcBorders>
            <w:vAlign w:val="bottom"/>
          </w:tcPr>
          <w:p w14:paraId="39DBD90F" w14:textId="23F52247" w:rsidR="00D4647F" w:rsidRPr="00872D7E" w:rsidRDefault="00D4647F" w:rsidP="00D4647F">
            <w:pPr>
              <w:jc w:val="right"/>
              <w:rPr>
                <w:sz w:val="16"/>
                <w:szCs w:val="16"/>
              </w:rPr>
            </w:pPr>
            <w:r w:rsidRPr="00872D7E">
              <w:rPr>
                <w:color w:val="000000"/>
                <w:sz w:val="16"/>
                <w:szCs w:val="16"/>
              </w:rPr>
              <w:t>-</w:t>
            </w:r>
          </w:p>
        </w:tc>
        <w:tc>
          <w:tcPr>
            <w:tcW w:w="592" w:type="pct"/>
            <w:tcBorders>
              <w:top w:val="nil"/>
              <w:left w:val="nil"/>
              <w:bottom w:val="single" w:sz="4" w:space="0" w:color="auto"/>
              <w:right w:val="nil"/>
            </w:tcBorders>
            <w:vAlign w:val="bottom"/>
          </w:tcPr>
          <w:p w14:paraId="4222E380" w14:textId="0E30B41F" w:rsidR="00D4647F" w:rsidRPr="00872D7E" w:rsidRDefault="00D4647F" w:rsidP="00D4647F">
            <w:pPr>
              <w:jc w:val="right"/>
              <w:rPr>
                <w:sz w:val="16"/>
                <w:szCs w:val="16"/>
              </w:rPr>
            </w:pPr>
            <w:r w:rsidRPr="00872D7E">
              <w:rPr>
                <w:color w:val="000000"/>
                <w:sz w:val="16"/>
                <w:szCs w:val="16"/>
              </w:rPr>
              <w:t>-</w:t>
            </w:r>
          </w:p>
        </w:tc>
      </w:tr>
      <w:tr w:rsidR="00D4647F" w:rsidRPr="00872D7E" w14:paraId="005471B9" w14:textId="77777777" w:rsidTr="007B041F">
        <w:trPr>
          <w:trHeight w:val="227"/>
        </w:trPr>
        <w:tc>
          <w:tcPr>
            <w:tcW w:w="207" w:type="pct"/>
            <w:tcBorders>
              <w:top w:val="single" w:sz="4" w:space="0" w:color="auto"/>
              <w:left w:val="nil"/>
              <w:bottom w:val="single" w:sz="4" w:space="0" w:color="auto"/>
              <w:right w:val="nil"/>
            </w:tcBorders>
            <w:vAlign w:val="bottom"/>
            <w:hideMark/>
          </w:tcPr>
          <w:p w14:paraId="40C8B6B8" w14:textId="77777777" w:rsidR="00D4647F" w:rsidRPr="00872D7E" w:rsidRDefault="00D4647F" w:rsidP="00D4647F">
            <w:pPr>
              <w:rPr>
                <w:b/>
                <w:sz w:val="16"/>
                <w:szCs w:val="16"/>
              </w:rPr>
            </w:pPr>
            <w:r w:rsidRPr="00872D7E">
              <w:rPr>
                <w:b/>
                <w:sz w:val="16"/>
                <w:szCs w:val="16"/>
              </w:rPr>
              <w:t>10</w:t>
            </w:r>
          </w:p>
        </w:tc>
        <w:tc>
          <w:tcPr>
            <w:tcW w:w="1793" w:type="pct"/>
            <w:tcBorders>
              <w:top w:val="single" w:sz="4" w:space="0" w:color="auto"/>
              <w:left w:val="nil"/>
              <w:bottom w:val="single" w:sz="4" w:space="0" w:color="auto"/>
              <w:right w:val="nil"/>
            </w:tcBorders>
            <w:vAlign w:val="bottom"/>
            <w:hideMark/>
          </w:tcPr>
          <w:p w14:paraId="6F1695D8" w14:textId="77777777" w:rsidR="00D4647F" w:rsidRPr="00872D7E" w:rsidRDefault="00D4647F" w:rsidP="00D4647F">
            <w:pPr>
              <w:rPr>
                <w:b/>
                <w:sz w:val="16"/>
                <w:szCs w:val="16"/>
              </w:rPr>
            </w:pPr>
            <w:r w:rsidRPr="00872D7E">
              <w:rPr>
                <w:b/>
                <w:sz w:val="16"/>
                <w:szCs w:val="16"/>
              </w:rPr>
              <w:t>Risk tutarları</w:t>
            </w:r>
          </w:p>
        </w:tc>
        <w:tc>
          <w:tcPr>
            <w:tcW w:w="558" w:type="pct"/>
            <w:tcBorders>
              <w:top w:val="single" w:sz="4" w:space="0" w:color="auto"/>
              <w:left w:val="nil"/>
              <w:bottom w:val="single" w:sz="4" w:space="0" w:color="auto"/>
              <w:right w:val="nil"/>
            </w:tcBorders>
            <w:vAlign w:val="bottom"/>
          </w:tcPr>
          <w:p w14:paraId="507F79FA" w14:textId="7D7AB0D2" w:rsidR="00D4647F" w:rsidRPr="00872D7E" w:rsidRDefault="00D4647F" w:rsidP="00D4647F">
            <w:pPr>
              <w:jc w:val="right"/>
              <w:rPr>
                <w:b/>
                <w:color w:val="000000"/>
                <w:sz w:val="16"/>
                <w:szCs w:val="16"/>
              </w:rPr>
            </w:pPr>
            <w:r w:rsidRPr="00872D7E">
              <w:rPr>
                <w:b/>
                <w:bCs/>
                <w:color w:val="000000"/>
                <w:sz w:val="16"/>
                <w:szCs w:val="16"/>
              </w:rPr>
              <w:t>659.748</w:t>
            </w:r>
          </w:p>
        </w:tc>
        <w:tc>
          <w:tcPr>
            <w:tcW w:w="566" w:type="pct"/>
            <w:tcBorders>
              <w:top w:val="single" w:sz="4" w:space="0" w:color="auto"/>
              <w:left w:val="nil"/>
              <w:bottom w:val="single" w:sz="4" w:space="0" w:color="auto"/>
              <w:right w:val="nil"/>
            </w:tcBorders>
            <w:vAlign w:val="bottom"/>
          </w:tcPr>
          <w:p w14:paraId="4577450F" w14:textId="66DE64E5" w:rsidR="00D4647F" w:rsidRPr="00872D7E" w:rsidRDefault="00D4647F" w:rsidP="00D4647F">
            <w:pPr>
              <w:jc w:val="right"/>
              <w:rPr>
                <w:b/>
                <w:color w:val="000000"/>
                <w:sz w:val="16"/>
                <w:szCs w:val="16"/>
              </w:rPr>
            </w:pPr>
            <w:r w:rsidRPr="00872D7E">
              <w:rPr>
                <w:b/>
                <w:bCs/>
                <w:color w:val="000000"/>
                <w:sz w:val="16"/>
                <w:szCs w:val="16"/>
              </w:rPr>
              <w:t>611.221</w:t>
            </w:r>
          </w:p>
        </w:tc>
        <w:tc>
          <w:tcPr>
            <w:tcW w:w="710" w:type="pct"/>
            <w:tcBorders>
              <w:top w:val="single" w:sz="4" w:space="0" w:color="auto"/>
              <w:left w:val="nil"/>
              <w:bottom w:val="single" w:sz="4" w:space="0" w:color="auto"/>
              <w:right w:val="nil"/>
            </w:tcBorders>
            <w:vAlign w:val="bottom"/>
          </w:tcPr>
          <w:p w14:paraId="0BA1371B" w14:textId="7CD181B9" w:rsidR="00D4647F" w:rsidRPr="00872D7E" w:rsidRDefault="00D4647F" w:rsidP="00D4647F">
            <w:pPr>
              <w:jc w:val="right"/>
              <w:rPr>
                <w:b/>
                <w:color w:val="000000"/>
                <w:sz w:val="16"/>
                <w:szCs w:val="16"/>
              </w:rPr>
            </w:pPr>
            <w:r w:rsidRPr="00872D7E">
              <w:rPr>
                <w:b/>
                <w:bCs/>
                <w:color w:val="000000"/>
                <w:sz w:val="16"/>
                <w:szCs w:val="16"/>
              </w:rPr>
              <w:t>-</w:t>
            </w:r>
          </w:p>
        </w:tc>
        <w:tc>
          <w:tcPr>
            <w:tcW w:w="573" w:type="pct"/>
            <w:tcBorders>
              <w:top w:val="single" w:sz="4" w:space="0" w:color="auto"/>
              <w:left w:val="nil"/>
              <w:bottom w:val="single" w:sz="4" w:space="0" w:color="auto"/>
              <w:right w:val="nil"/>
            </w:tcBorders>
            <w:vAlign w:val="bottom"/>
          </w:tcPr>
          <w:p w14:paraId="42CBB471" w14:textId="0C6AA2ED" w:rsidR="00D4647F" w:rsidRPr="00872D7E" w:rsidRDefault="00D4647F" w:rsidP="00D4647F">
            <w:pPr>
              <w:jc w:val="right"/>
              <w:rPr>
                <w:b/>
                <w:color w:val="000000"/>
                <w:sz w:val="16"/>
                <w:szCs w:val="16"/>
              </w:rPr>
            </w:pPr>
            <w:r w:rsidRPr="00872D7E">
              <w:rPr>
                <w:b/>
                <w:bCs/>
                <w:color w:val="000000"/>
                <w:sz w:val="16"/>
                <w:szCs w:val="16"/>
              </w:rPr>
              <w:t>-</w:t>
            </w:r>
          </w:p>
        </w:tc>
        <w:tc>
          <w:tcPr>
            <w:tcW w:w="592" w:type="pct"/>
            <w:tcBorders>
              <w:top w:val="single" w:sz="4" w:space="0" w:color="auto"/>
              <w:left w:val="nil"/>
              <w:bottom w:val="single" w:sz="4" w:space="0" w:color="auto"/>
              <w:right w:val="nil"/>
            </w:tcBorders>
            <w:vAlign w:val="bottom"/>
          </w:tcPr>
          <w:p w14:paraId="1BD61E48" w14:textId="71F9165E" w:rsidR="00D4647F" w:rsidRPr="00872D7E" w:rsidRDefault="00D4647F" w:rsidP="00D4647F">
            <w:pPr>
              <w:jc w:val="right"/>
              <w:rPr>
                <w:b/>
                <w:color w:val="000000"/>
                <w:sz w:val="16"/>
                <w:szCs w:val="16"/>
              </w:rPr>
            </w:pPr>
            <w:r w:rsidRPr="00872D7E">
              <w:rPr>
                <w:b/>
                <w:bCs/>
                <w:color w:val="000000"/>
                <w:sz w:val="16"/>
                <w:szCs w:val="16"/>
              </w:rPr>
              <w:t>111.358</w:t>
            </w:r>
          </w:p>
        </w:tc>
      </w:tr>
    </w:tbl>
    <w:p w14:paraId="46BFDC16" w14:textId="77777777" w:rsidR="005E2D92" w:rsidRPr="00872D7E" w:rsidRDefault="005E2D92" w:rsidP="004602AB">
      <w:pPr>
        <w:spacing w:before="60"/>
        <w:ind w:left="284" w:right="144" w:hanging="280"/>
        <w:jc w:val="both"/>
        <w:rPr>
          <w:sz w:val="16"/>
          <w:szCs w:val="18"/>
        </w:rPr>
      </w:pPr>
      <w:r w:rsidRPr="00872D7E">
        <w:rPr>
          <w:sz w:val="16"/>
          <w:szCs w:val="18"/>
          <w:vertAlign w:val="superscript"/>
        </w:rPr>
        <w:t>(*)</w:t>
      </w:r>
      <w:r w:rsidRPr="00872D7E">
        <w:rPr>
          <w:sz w:val="16"/>
          <w:szCs w:val="18"/>
        </w:rPr>
        <w:t xml:space="preserve">   Piyasa riski kapsamındaki genel piyasa riski ve spesifik riske konu kalemlerin TMS uyarınca değerlenmiş tutarlarını içermektedir.</w:t>
      </w:r>
    </w:p>
    <w:p w14:paraId="496B0D56" w14:textId="77777777" w:rsidR="005E2D92" w:rsidRPr="00872D7E" w:rsidRDefault="005E2D92" w:rsidP="004602AB">
      <w:pPr>
        <w:spacing w:before="60"/>
        <w:ind w:left="224" w:right="116" w:hanging="196"/>
        <w:jc w:val="both"/>
        <w:rPr>
          <w:sz w:val="16"/>
          <w:szCs w:val="18"/>
        </w:rPr>
      </w:pPr>
      <w:r w:rsidRPr="00872D7E">
        <w:rPr>
          <w:sz w:val="16"/>
          <w:szCs w:val="18"/>
          <w:vertAlign w:val="superscript"/>
        </w:rPr>
        <w:t>(**)</w:t>
      </w:r>
      <w:r w:rsidRPr="00872D7E">
        <w:rPr>
          <w:sz w:val="16"/>
          <w:szCs w:val="18"/>
        </w:rPr>
        <w:t xml:space="preserve"> Bankaların Sermaye Yeterliliğinin Ölçülmesine ve Değerlendirilmesine İlişkin Yönetmelik” hükümleri gereği, repo ve benzeri işlemler için hesaplanan karşı taraf kredi riski tutarıdır.</w:t>
      </w:r>
    </w:p>
    <w:p w14:paraId="2302E489" w14:textId="41061C0F" w:rsidR="005E2D92" w:rsidRPr="00872D7E" w:rsidRDefault="005E2D92" w:rsidP="004602AB"/>
    <w:p w14:paraId="226F3F72" w14:textId="20E1C3A5" w:rsidR="005E2D92" w:rsidRPr="00872D7E" w:rsidRDefault="005E2D92" w:rsidP="004602AB"/>
    <w:p w14:paraId="101B5282" w14:textId="0338F63C" w:rsidR="005E2D92" w:rsidRPr="00872D7E" w:rsidRDefault="005E2D92" w:rsidP="006C66D3"/>
    <w:p w14:paraId="3B4B0755" w14:textId="48650FD0" w:rsidR="005E2D92" w:rsidRPr="00872D7E" w:rsidRDefault="005E2D92" w:rsidP="006C66D3"/>
    <w:p w14:paraId="681C776D" w14:textId="777C735D" w:rsidR="001E6F85" w:rsidRPr="00872D7E" w:rsidRDefault="001E6F85">
      <w:r w:rsidRPr="00872D7E">
        <w:br w:type="page"/>
      </w:r>
    </w:p>
    <w:p w14:paraId="7074EC47" w14:textId="2AFC2FA8" w:rsidR="008B559D" w:rsidRPr="00872D7E" w:rsidRDefault="008B559D" w:rsidP="009C63F0">
      <w:pPr>
        <w:pStyle w:val="BodyTextIndent"/>
        <w:widowControl w:val="0"/>
        <w:ind w:left="851" w:hanging="851"/>
        <w:rPr>
          <w:b/>
          <w:szCs w:val="20"/>
        </w:rPr>
      </w:pPr>
      <w:r w:rsidRPr="00872D7E">
        <w:rPr>
          <w:b/>
          <w:szCs w:val="20"/>
        </w:rPr>
        <w:lastRenderedPageBreak/>
        <w:t>MALİ BÜNYEYE VE RİSK YÖNETİMİNE İLİŞKİN BİLGİLER (Devamı)</w:t>
      </w:r>
    </w:p>
    <w:p w14:paraId="27BD1560" w14:textId="77777777" w:rsidR="00D106F3" w:rsidRPr="00872D7E" w:rsidRDefault="00D106F3" w:rsidP="009C63F0">
      <w:pPr>
        <w:pStyle w:val="BodyTextIndent"/>
        <w:widowControl w:val="0"/>
        <w:ind w:left="851" w:hanging="851"/>
        <w:rPr>
          <w:b/>
          <w:szCs w:val="20"/>
        </w:rPr>
      </w:pPr>
    </w:p>
    <w:p w14:paraId="12A9816C" w14:textId="6ABA2E79" w:rsidR="000E463B" w:rsidRPr="00872D7E" w:rsidRDefault="00CB58D3" w:rsidP="009C63F0">
      <w:pPr>
        <w:ind w:left="851" w:hanging="851"/>
        <w:rPr>
          <w:b/>
          <w:bCs/>
        </w:rPr>
      </w:pPr>
      <w:r w:rsidRPr="00872D7E">
        <w:rPr>
          <w:b/>
          <w:bCs/>
        </w:rPr>
        <w:t>I</w:t>
      </w:r>
      <w:r w:rsidR="000E463B" w:rsidRPr="00872D7E">
        <w:rPr>
          <w:b/>
          <w:bCs/>
        </w:rPr>
        <w:t>X.</w:t>
      </w:r>
      <w:r w:rsidR="000E463B" w:rsidRPr="00872D7E">
        <w:rPr>
          <w:b/>
          <w:bCs/>
        </w:rPr>
        <w:tab/>
        <w:t>RİSK YÖNETİMİNE İLİŞKİN AÇIKLAMALAR (Devamı)</w:t>
      </w:r>
    </w:p>
    <w:p w14:paraId="7C62AC32" w14:textId="77777777" w:rsidR="008B559D" w:rsidRPr="00872D7E" w:rsidRDefault="008B559D" w:rsidP="009C63F0">
      <w:pPr>
        <w:ind w:left="851" w:hanging="851"/>
      </w:pPr>
    </w:p>
    <w:p w14:paraId="18F28699" w14:textId="447D103E" w:rsidR="00DC64F5" w:rsidRPr="00872D7E" w:rsidRDefault="003E2207" w:rsidP="009C63F0">
      <w:pPr>
        <w:spacing w:after="120"/>
        <w:ind w:left="851" w:hanging="851"/>
        <w:rPr>
          <w:b/>
          <w:bCs/>
          <w:szCs w:val="20"/>
        </w:rPr>
      </w:pPr>
      <w:r w:rsidRPr="00872D7E">
        <w:rPr>
          <w:b/>
          <w:bCs/>
          <w:szCs w:val="20"/>
        </w:rPr>
        <w:t>c.</w:t>
      </w:r>
      <w:r w:rsidRPr="00872D7E">
        <w:rPr>
          <w:b/>
          <w:bCs/>
          <w:szCs w:val="20"/>
        </w:rPr>
        <w:tab/>
      </w:r>
      <w:r w:rsidR="00DC64F5" w:rsidRPr="00872D7E">
        <w:rPr>
          <w:b/>
          <w:bCs/>
          <w:szCs w:val="20"/>
        </w:rPr>
        <w:t>Kredi Riskine İlişkin Kamuya Açıklanacak Hususlar</w:t>
      </w:r>
    </w:p>
    <w:p w14:paraId="2B224B50" w14:textId="46F0EFFE" w:rsidR="00DC64F5" w:rsidRPr="00872D7E" w:rsidRDefault="003E2207" w:rsidP="009C63F0">
      <w:pPr>
        <w:spacing w:after="120"/>
        <w:ind w:left="851" w:hanging="851"/>
        <w:rPr>
          <w:b/>
          <w:bCs/>
          <w:szCs w:val="20"/>
        </w:rPr>
      </w:pPr>
      <w:r w:rsidRPr="00872D7E">
        <w:rPr>
          <w:b/>
          <w:bCs/>
          <w:szCs w:val="20"/>
        </w:rPr>
        <w:t>c</w:t>
      </w:r>
      <w:r w:rsidR="00DC64F5" w:rsidRPr="00872D7E">
        <w:rPr>
          <w:b/>
          <w:bCs/>
          <w:szCs w:val="20"/>
        </w:rPr>
        <w:t>.1.</w:t>
      </w:r>
      <w:r w:rsidRPr="00872D7E">
        <w:rPr>
          <w:b/>
          <w:bCs/>
          <w:szCs w:val="20"/>
        </w:rPr>
        <w:tab/>
      </w:r>
      <w:r w:rsidR="00881430" w:rsidRPr="00872D7E">
        <w:rPr>
          <w:b/>
          <w:bCs/>
          <w:szCs w:val="20"/>
        </w:rPr>
        <w:t xml:space="preserve">Kredi Riski </w:t>
      </w:r>
      <w:r w:rsidRPr="00872D7E">
        <w:rPr>
          <w:b/>
          <w:bCs/>
          <w:szCs w:val="20"/>
        </w:rPr>
        <w:t>i</w:t>
      </w:r>
      <w:r w:rsidR="00881430" w:rsidRPr="00872D7E">
        <w:rPr>
          <w:b/>
          <w:bCs/>
          <w:szCs w:val="20"/>
        </w:rPr>
        <w:t>le İlgili Genel Bilgiler</w:t>
      </w:r>
    </w:p>
    <w:p w14:paraId="0F115061" w14:textId="56E3AC23" w:rsidR="005E2D92" w:rsidRPr="00872D7E" w:rsidRDefault="005E2D92" w:rsidP="009C63F0">
      <w:pPr>
        <w:spacing w:after="120"/>
        <w:ind w:left="851" w:hanging="851"/>
        <w:rPr>
          <w:b/>
          <w:bCs/>
          <w:szCs w:val="20"/>
        </w:rPr>
      </w:pPr>
      <w:r w:rsidRPr="00872D7E">
        <w:rPr>
          <w:b/>
          <w:bCs/>
          <w:szCs w:val="20"/>
        </w:rPr>
        <w:t>c.1.1.</w:t>
      </w:r>
      <w:r w:rsidR="003E2207" w:rsidRPr="00872D7E">
        <w:rPr>
          <w:b/>
          <w:bCs/>
          <w:szCs w:val="20"/>
        </w:rPr>
        <w:tab/>
      </w:r>
      <w:r w:rsidR="00881430" w:rsidRPr="00872D7E">
        <w:rPr>
          <w:b/>
          <w:bCs/>
          <w:szCs w:val="20"/>
        </w:rPr>
        <w:t>Kredi riski</w:t>
      </w:r>
      <w:r w:rsidR="003E2207" w:rsidRPr="00872D7E">
        <w:rPr>
          <w:b/>
          <w:bCs/>
          <w:szCs w:val="20"/>
        </w:rPr>
        <w:t xml:space="preserve"> i</w:t>
      </w:r>
      <w:r w:rsidR="00881430" w:rsidRPr="00872D7E">
        <w:rPr>
          <w:b/>
          <w:bCs/>
          <w:szCs w:val="20"/>
        </w:rPr>
        <w:t>le ilgili genel niteliksel bilgiler</w:t>
      </w:r>
      <w:r w:rsidRPr="00872D7E">
        <w:rPr>
          <w:b/>
          <w:bCs/>
          <w:szCs w:val="20"/>
        </w:rPr>
        <w:t>:</w:t>
      </w:r>
    </w:p>
    <w:p w14:paraId="3E09D482" w14:textId="381F1FE9" w:rsidR="005E2D92" w:rsidRPr="00872D7E" w:rsidRDefault="005E2D92" w:rsidP="0038693C">
      <w:pPr>
        <w:spacing w:after="120"/>
        <w:ind w:left="851"/>
        <w:jc w:val="both"/>
        <w:rPr>
          <w:szCs w:val="20"/>
        </w:rPr>
      </w:pPr>
      <w:r w:rsidRPr="00872D7E">
        <w:rPr>
          <w:szCs w:val="20"/>
        </w:rPr>
        <w:t>Söz konusu bilgilere</w:t>
      </w:r>
      <w:r w:rsidR="00DE60B7" w:rsidRPr="00872D7E">
        <w:rPr>
          <w:szCs w:val="20"/>
        </w:rPr>
        <w:t xml:space="preserve"> </w:t>
      </w:r>
      <w:r w:rsidRPr="00872D7E">
        <w:rPr>
          <w:szCs w:val="20"/>
        </w:rPr>
        <w:t>“Kredi riskine ilişkin açıklamalar” ile “Bankanın risk yönetimi</w:t>
      </w:r>
      <w:r w:rsidR="00DE60B7" w:rsidRPr="00872D7E">
        <w:rPr>
          <w:szCs w:val="20"/>
        </w:rPr>
        <w:t>ne ilişkin açıklamalar”</w:t>
      </w:r>
      <w:r w:rsidRPr="00872D7E">
        <w:rPr>
          <w:szCs w:val="20"/>
        </w:rPr>
        <w:t xml:space="preserve"> bölümleri altında yer verilmiştir.</w:t>
      </w:r>
    </w:p>
    <w:p w14:paraId="5DB00A96" w14:textId="172501C2" w:rsidR="00DC64F5" w:rsidRPr="00872D7E" w:rsidRDefault="003E2207" w:rsidP="009C63F0">
      <w:pPr>
        <w:ind w:left="851" w:hanging="851"/>
        <w:rPr>
          <w:b/>
          <w:bCs/>
        </w:rPr>
      </w:pPr>
      <w:r w:rsidRPr="00872D7E">
        <w:rPr>
          <w:b/>
          <w:bCs/>
        </w:rPr>
        <w:t>c</w:t>
      </w:r>
      <w:r w:rsidR="00DC64F5" w:rsidRPr="00872D7E">
        <w:rPr>
          <w:b/>
          <w:bCs/>
        </w:rPr>
        <w:t>.1.</w:t>
      </w:r>
      <w:r w:rsidRPr="00872D7E">
        <w:rPr>
          <w:b/>
          <w:bCs/>
        </w:rPr>
        <w:t>2</w:t>
      </w:r>
      <w:r w:rsidR="00DC64F5" w:rsidRPr="00872D7E">
        <w:rPr>
          <w:b/>
          <w:bCs/>
        </w:rPr>
        <w:t>.</w:t>
      </w:r>
      <w:r w:rsidR="00DC64F5" w:rsidRPr="00872D7E">
        <w:rPr>
          <w:b/>
          <w:bCs/>
        </w:rPr>
        <w:tab/>
        <w:t>Varlıkların Kredi Kalitesi</w:t>
      </w:r>
    </w:p>
    <w:p w14:paraId="64FECDB6" w14:textId="0F256F98" w:rsidR="00862A01" w:rsidRPr="00872D7E" w:rsidRDefault="00862A01" w:rsidP="00DC64F5"/>
    <w:tbl>
      <w:tblPr>
        <w:tblW w:w="5000" w:type="pct"/>
        <w:tblCellMar>
          <w:left w:w="70" w:type="dxa"/>
          <w:right w:w="70" w:type="dxa"/>
        </w:tblCellMar>
        <w:tblLook w:val="04A0" w:firstRow="1" w:lastRow="0" w:firstColumn="1" w:lastColumn="0" w:noHBand="0" w:noVBand="1"/>
      </w:tblPr>
      <w:tblGrid>
        <w:gridCol w:w="237"/>
        <w:gridCol w:w="1999"/>
        <w:gridCol w:w="2304"/>
        <w:gridCol w:w="1710"/>
        <w:gridCol w:w="1808"/>
        <w:gridCol w:w="1581"/>
      </w:tblGrid>
      <w:tr w:rsidR="00862A01" w:rsidRPr="00872D7E" w14:paraId="5002ED9F" w14:textId="77777777" w:rsidTr="00862A01">
        <w:trPr>
          <w:divId w:val="643658300"/>
          <w:trHeight w:val="170"/>
        </w:trPr>
        <w:tc>
          <w:tcPr>
            <w:tcW w:w="1160" w:type="pct"/>
            <w:gridSpan w:val="2"/>
            <w:vMerge w:val="restart"/>
            <w:tcBorders>
              <w:top w:val="single" w:sz="4" w:space="0" w:color="auto"/>
              <w:left w:val="nil"/>
              <w:bottom w:val="single" w:sz="4" w:space="0" w:color="000000"/>
              <w:right w:val="nil"/>
            </w:tcBorders>
            <w:shd w:val="clear" w:color="auto" w:fill="auto"/>
            <w:noWrap/>
            <w:vAlign w:val="center"/>
            <w:hideMark/>
          </w:tcPr>
          <w:p w14:paraId="117B0875" w14:textId="06FE4DE4" w:rsidR="00862A01" w:rsidRPr="00872D7E" w:rsidRDefault="00862A01" w:rsidP="00862A01">
            <w:pPr>
              <w:jc w:val="center"/>
              <w:rPr>
                <w:b/>
                <w:bCs/>
                <w:color w:val="000000"/>
                <w:sz w:val="18"/>
                <w:szCs w:val="18"/>
                <w:lang w:eastAsia="tr-TR"/>
              </w:rPr>
            </w:pPr>
            <w:r w:rsidRPr="00872D7E">
              <w:rPr>
                <w:b/>
                <w:bCs/>
                <w:color w:val="000000"/>
                <w:sz w:val="18"/>
                <w:szCs w:val="18"/>
                <w:lang w:eastAsia="tr-TR"/>
              </w:rPr>
              <w:t>31 Aralık 2024</w:t>
            </w:r>
          </w:p>
        </w:tc>
        <w:tc>
          <w:tcPr>
            <w:tcW w:w="2082" w:type="pct"/>
            <w:gridSpan w:val="2"/>
            <w:tcBorders>
              <w:top w:val="single" w:sz="4" w:space="0" w:color="auto"/>
              <w:left w:val="nil"/>
              <w:bottom w:val="single" w:sz="4" w:space="0" w:color="auto"/>
              <w:right w:val="nil"/>
            </w:tcBorders>
            <w:shd w:val="clear" w:color="auto" w:fill="auto"/>
            <w:vAlign w:val="center"/>
            <w:hideMark/>
          </w:tcPr>
          <w:p w14:paraId="38001A64"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Yasal konsolidasyona göre hazırlanan finansal tablolarda yer alan TMS uyarınca değerlenmiş brüt tutarı</w:t>
            </w:r>
          </w:p>
        </w:tc>
        <w:tc>
          <w:tcPr>
            <w:tcW w:w="938" w:type="pct"/>
            <w:vMerge w:val="restart"/>
            <w:tcBorders>
              <w:top w:val="single" w:sz="4" w:space="0" w:color="auto"/>
              <w:left w:val="nil"/>
              <w:bottom w:val="single" w:sz="4" w:space="0" w:color="000000"/>
              <w:right w:val="nil"/>
            </w:tcBorders>
            <w:shd w:val="clear" w:color="auto" w:fill="auto"/>
            <w:vAlign w:val="center"/>
            <w:hideMark/>
          </w:tcPr>
          <w:p w14:paraId="77013668" w14:textId="77777777" w:rsidR="00862A01" w:rsidRPr="00872D7E" w:rsidRDefault="00862A01" w:rsidP="00862A01">
            <w:pPr>
              <w:jc w:val="right"/>
              <w:rPr>
                <w:b/>
                <w:bCs/>
                <w:color w:val="000000"/>
                <w:sz w:val="18"/>
                <w:szCs w:val="18"/>
                <w:lang w:eastAsia="tr-TR"/>
              </w:rPr>
            </w:pPr>
            <w:r w:rsidRPr="00872D7E">
              <w:rPr>
                <w:b/>
                <w:bCs/>
                <w:color w:val="000000"/>
                <w:sz w:val="18"/>
                <w:szCs w:val="18"/>
                <w:lang w:eastAsia="tr-TR"/>
              </w:rPr>
              <w:t>Karşılıklar/ Amortisman ve değer düşüklüğü</w:t>
            </w:r>
          </w:p>
        </w:tc>
        <w:tc>
          <w:tcPr>
            <w:tcW w:w="820" w:type="pct"/>
            <w:vMerge w:val="restart"/>
            <w:tcBorders>
              <w:top w:val="single" w:sz="4" w:space="0" w:color="auto"/>
              <w:left w:val="nil"/>
              <w:bottom w:val="single" w:sz="4" w:space="0" w:color="000000"/>
              <w:right w:val="nil"/>
            </w:tcBorders>
            <w:shd w:val="clear" w:color="auto" w:fill="auto"/>
            <w:vAlign w:val="center"/>
            <w:hideMark/>
          </w:tcPr>
          <w:p w14:paraId="049129F2" w14:textId="77777777" w:rsidR="00862A01" w:rsidRPr="00872D7E" w:rsidRDefault="00862A01" w:rsidP="00862A01">
            <w:pPr>
              <w:jc w:val="right"/>
              <w:rPr>
                <w:b/>
                <w:bCs/>
                <w:color w:val="000000"/>
                <w:sz w:val="18"/>
                <w:szCs w:val="18"/>
                <w:lang w:eastAsia="tr-TR"/>
              </w:rPr>
            </w:pPr>
            <w:r w:rsidRPr="00872D7E">
              <w:rPr>
                <w:b/>
                <w:bCs/>
                <w:color w:val="000000"/>
                <w:sz w:val="18"/>
                <w:szCs w:val="18"/>
                <w:lang w:eastAsia="tr-TR"/>
              </w:rPr>
              <w:t>Net değer</w:t>
            </w:r>
          </w:p>
        </w:tc>
      </w:tr>
      <w:tr w:rsidR="00862A01" w:rsidRPr="00872D7E" w14:paraId="13C75169" w14:textId="77777777" w:rsidTr="00862A01">
        <w:trPr>
          <w:divId w:val="643658300"/>
          <w:trHeight w:val="170"/>
        </w:trPr>
        <w:tc>
          <w:tcPr>
            <w:tcW w:w="1160" w:type="pct"/>
            <w:gridSpan w:val="2"/>
            <w:vMerge/>
            <w:tcBorders>
              <w:top w:val="single" w:sz="4" w:space="0" w:color="auto"/>
              <w:left w:val="nil"/>
              <w:bottom w:val="single" w:sz="4" w:space="0" w:color="000000"/>
              <w:right w:val="nil"/>
            </w:tcBorders>
            <w:vAlign w:val="center"/>
            <w:hideMark/>
          </w:tcPr>
          <w:p w14:paraId="1B62DC42" w14:textId="77777777" w:rsidR="00862A01" w:rsidRPr="00872D7E" w:rsidRDefault="00862A01" w:rsidP="00862A01">
            <w:pPr>
              <w:rPr>
                <w:color w:val="000000"/>
                <w:sz w:val="18"/>
                <w:szCs w:val="18"/>
                <w:lang w:eastAsia="tr-TR"/>
              </w:rPr>
            </w:pPr>
          </w:p>
        </w:tc>
        <w:tc>
          <w:tcPr>
            <w:tcW w:w="1195" w:type="pct"/>
            <w:tcBorders>
              <w:top w:val="nil"/>
              <w:left w:val="nil"/>
              <w:bottom w:val="single" w:sz="4" w:space="0" w:color="auto"/>
              <w:right w:val="nil"/>
            </w:tcBorders>
            <w:shd w:val="clear" w:color="auto" w:fill="auto"/>
            <w:noWrap/>
            <w:vAlign w:val="center"/>
            <w:hideMark/>
          </w:tcPr>
          <w:p w14:paraId="3AA88E3E"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Temerrüt etmiş</w:t>
            </w:r>
          </w:p>
        </w:tc>
        <w:tc>
          <w:tcPr>
            <w:tcW w:w="887" w:type="pct"/>
            <w:tcBorders>
              <w:top w:val="nil"/>
              <w:left w:val="nil"/>
              <w:bottom w:val="single" w:sz="4" w:space="0" w:color="auto"/>
              <w:right w:val="nil"/>
            </w:tcBorders>
            <w:shd w:val="clear" w:color="auto" w:fill="auto"/>
            <w:noWrap/>
            <w:vAlign w:val="center"/>
            <w:hideMark/>
          </w:tcPr>
          <w:p w14:paraId="6F65B830"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Temerrüt etmemiş</w:t>
            </w:r>
          </w:p>
        </w:tc>
        <w:tc>
          <w:tcPr>
            <w:tcW w:w="938" w:type="pct"/>
            <w:vMerge/>
            <w:tcBorders>
              <w:top w:val="single" w:sz="4" w:space="0" w:color="auto"/>
              <w:left w:val="nil"/>
              <w:bottom w:val="single" w:sz="4" w:space="0" w:color="000000"/>
              <w:right w:val="nil"/>
            </w:tcBorders>
            <w:vAlign w:val="center"/>
            <w:hideMark/>
          </w:tcPr>
          <w:p w14:paraId="2C57F735" w14:textId="77777777" w:rsidR="00862A01" w:rsidRPr="00872D7E" w:rsidRDefault="00862A01" w:rsidP="00862A01">
            <w:pPr>
              <w:rPr>
                <w:color w:val="000000"/>
                <w:sz w:val="18"/>
                <w:szCs w:val="18"/>
                <w:lang w:eastAsia="tr-TR"/>
              </w:rPr>
            </w:pPr>
          </w:p>
        </w:tc>
        <w:tc>
          <w:tcPr>
            <w:tcW w:w="820" w:type="pct"/>
            <w:vMerge/>
            <w:tcBorders>
              <w:top w:val="single" w:sz="4" w:space="0" w:color="auto"/>
              <w:left w:val="nil"/>
              <w:bottom w:val="single" w:sz="4" w:space="0" w:color="000000"/>
              <w:right w:val="nil"/>
            </w:tcBorders>
            <w:vAlign w:val="center"/>
            <w:hideMark/>
          </w:tcPr>
          <w:p w14:paraId="45B38A24" w14:textId="77777777" w:rsidR="00862A01" w:rsidRPr="00872D7E" w:rsidRDefault="00862A01" w:rsidP="00862A01">
            <w:pPr>
              <w:rPr>
                <w:color w:val="000000"/>
                <w:sz w:val="18"/>
                <w:szCs w:val="18"/>
                <w:lang w:eastAsia="tr-TR"/>
              </w:rPr>
            </w:pPr>
          </w:p>
        </w:tc>
      </w:tr>
      <w:tr w:rsidR="00862A01" w:rsidRPr="00872D7E" w14:paraId="6706D299" w14:textId="77777777" w:rsidTr="00862A01">
        <w:trPr>
          <w:divId w:val="643658300"/>
          <w:trHeight w:val="170"/>
        </w:trPr>
        <w:tc>
          <w:tcPr>
            <w:tcW w:w="123" w:type="pct"/>
            <w:tcBorders>
              <w:top w:val="nil"/>
              <w:left w:val="nil"/>
              <w:bottom w:val="nil"/>
              <w:right w:val="nil"/>
            </w:tcBorders>
            <w:shd w:val="clear" w:color="auto" w:fill="auto"/>
            <w:noWrap/>
            <w:vAlign w:val="bottom"/>
            <w:hideMark/>
          </w:tcPr>
          <w:p w14:paraId="608AE3D0" w14:textId="77777777" w:rsidR="00862A01" w:rsidRPr="00872D7E" w:rsidRDefault="00862A01" w:rsidP="00862A01">
            <w:pPr>
              <w:rPr>
                <w:color w:val="000000"/>
                <w:sz w:val="18"/>
                <w:szCs w:val="18"/>
                <w:lang w:eastAsia="tr-TR"/>
              </w:rPr>
            </w:pPr>
            <w:r w:rsidRPr="00872D7E">
              <w:rPr>
                <w:color w:val="000000"/>
                <w:sz w:val="18"/>
                <w:szCs w:val="18"/>
                <w:lang w:eastAsia="tr-TR"/>
              </w:rPr>
              <w:t>1</w:t>
            </w:r>
          </w:p>
        </w:tc>
        <w:tc>
          <w:tcPr>
            <w:tcW w:w="1037" w:type="pct"/>
            <w:tcBorders>
              <w:top w:val="nil"/>
              <w:left w:val="nil"/>
              <w:bottom w:val="nil"/>
              <w:right w:val="nil"/>
            </w:tcBorders>
            <w:shd w:val="clear" w:color="auto" w:fill="auto"/>
            <w:noWrap/>
            <w:vAlign w:val="bottom"/>
            <w:hideMark/>
          </w:tcPr>
          <w:p w14:paraId="4B528505" w14:textId="77777777" w:rsidR="00862A01" w:rsidRPr="00872D7E" w:rsidRDefault="00862A01" w:rsidP="00862A01">
            <w:pPr>
              <w:rPr>
                <w:color w:val="000000"/>
                <w:sz w:val="18"/>
                <w:szCs w:val="18"/>
                <w:lang w:eastAsia="tr-TR"/>
              </w:rPr>
            </w:pPr>
            <w:r w:rsidRPr="00872D7E">
              <w:rPr>
                <w:color w:val="000000"/>
                <w:sz w:val="18"/>
                <w:szCs w:val="18"/>
                <w:lang w:eastAsia="tr-TR"/>
              </w:rPr>
              <w:t>Krediler</w:t>
            </w:r>
          </w:p>
        </w:tc>
        <w:tc>
          <w:tcPr>
            <w:tcW w:w="1195" w:type="pct"/>
            <w:tcBorders>
              <w:top w:val="nil"/>
              <w:left w:val="nil"/>
              <w:bottom w:val="nil"/>
              <w:right w:val="nil"/>
            </w:tcBorders>
            <w:shd w:val="clear" w:color="auto" w:fill="auto"/>
            <w:vAlign w:val="center"/>
            <w:hideMark/>
          </w:tcPr>
          <w:p w14:paraId="37C5DE38"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3CEAD62C"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23.035.345</w:t>
            </w:r>
          </w:p>
        </w:tc>
        <w:tc>
          <w:tcPr>
            <w:tcW w:w="938" w:type="pct"/>
            <w:tcBorders>
              <w:top w:val="nil"/>
              <w:left w:val="nil"/>
              <w:bottom w:val="nil"/>
              <w:right w:val="nil"/>
            </w:tcBorders>
            <w:shd w:val="clear" w:color="auto" w:fill="auto"/>
            <w:vAlign w:val="center"/>
            <w:hideMark/>
          </w:tcPr>
          <w:p w14:paraId="182728EF"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1.523</w:t>
            </w:r>
          </w:p>
        </w:tc>
        <w:tc>
          <w:tcPr>
            <w:tcW w:w="820" w:type="pct"/>
            <w:tcBorders>
              <w:top w:val="nil"/>
              <w:left w:val="nil"/>
              <w:bottom w:val="nil"/>
              <w:right w:val="nil"/>
            </w:tcBorders>
            <w:shd w:val="clear" w:color="auto" w:fill="auto"/>
            <w:vAlign w:val="center"/>
            <w:hideMark/>
          </w:tcPr>
          <w:p w14:paraId="315A0F39"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23.033.822</w:t>
            </w:r>
          </w:p>
        </w:tc>
      </w:tr>
      <w:tr w:rsidR="00862A01" w:rsidRPr="00872D7E" w14:paraId="41F97AF7" w14:textId="77777777" w:rsidTr="00862A01">
        <w:trPr>
          <w:divId w:val="643658300"/>
          <w:trHeight w:val="170"/>
        </w:trPr>
        <w:tc>
          <w:tcPr>
            <w:tcW w:w="123" w:type="pct"/>
            <w:tcBorders>
              <w:top w:val="nil"/>
              <w:left w:val="nil"/>
              <w:bottom w:val="nil"/>
              <w:right w:val="nil"/>
            </w:tcBorders>
            <w:shd w:val="clear" w:color="auto" w:fill="auto"/>
            <w:noWrap/>
            <w:vAlign w:val="bottom"/>
            <w:hideMark/>
          </w:tcPr>
          <w:p w14:paraId="0BCA3012" w14:textId="77777777" w:rsidR="00862A01" w:rsidRPr="00872D7E" w:rsidRDefault="00862A01" w:rsidP="00862A01">
            <w:pPr>
              <w:rPr>
                <w:color w:val="000000"/>
                <w:sz w:val="18"/>
                <w:szCs w:val="18"/>
                <w:lang w:eastAsia="tr-TR"/>
              </w:rPr>
            </w:pPr>
            <w:r w:rsidRPr="00872D7E">
              <w:rPr>
                <w:color w:val="000000"/>
                <w:sz w:val="18"/>
                <w:szCs w:val="18"/>
                <w:lang w:eastAsia="tr-TR"/>
              </w:rPr>
              <w:t>2</w:t>
            </w:r>
          </w:p>
        </w:tc>
        <w:tc>
          <w:tcPr>
            <w:tcW w:w="1037" w:type="pct"/>
            <w:tcBorders>
              <w:top w:val="nil"/>
              <w:left w:val="nil"/>
              <w:bottom w:val="nil"/>
              <w:right w:val="nil"/>
            </w:tcBorders>
            <w:shd w:val="clear" w:color="auto" w:fill="auto"/>
            <w:noWrap/>
            <w:vAlign w:val="bottom"/>
            <w:hideMark/>
          </w:tcPr>
          <w:p w14:paraId="66A2D903" w14:textId="77777777" w:rsidR="00862A01" w:rsidRPr="00872D7E" w:rsidRDefault="00862A01" w:rsidP="00862A01">
            <w:pPr>
              <w:rPr>
                <w:color w:val="000000"/>
                <w:sz w:val="18"/>
                <w:szCs w:val="18"/>
                <w:lang w:eastAsia="tr-TR"/>
              </w:rPr>
            </w:pPr>
            <w:r w:rsidRPr="00872D7E">
              <w:rPr>
                <w:color w:val="000000"/>
                <w:sz w:val="18"/>
                <w:szCs w:val="18"/>
                <w:lang w:eastAsia="tr-TR"/>
              </w:rPr>
              <w:t>Borçlanma araçları</w:t>
            </w:r>
          </w:p>
        </w:tc>
        <w:tc>
          <w:tcPr>
            <w:tcW w:w="1195" w:type="pct"/>
            <w:tcBorders>
              <w:top w:val="nil"/>
              <w:left w:val="nil"/>
              <w:bottom w:val="nil"/>
              <w:right w:val="nil"/>
            </w:tcBorders>
            <w:shd w:val="clear" w:color="auto" w:fill="auto"/>
            <w:vAlign w:val="center"/>
            <w:hideMark/>
          </w:tcPr>
          <w:p w14:paraId="106C23F5"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1FAC15A5"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1.488.089</w:t>
            </w:r>
          </w:p>
        </w:tc>
        <w:tc>
          <w:tcPr>
            <w:tcW w:w="938" w:type="pct"/>
            <w:tcBorders>
              <w:top w:val="nil"/>
              <w:left w:val="nil"/>
              <w:bottom w:val="nil"/>
              <w:right w:val="nil"/>
            </w:tcBorders>
            <w:shd w:val="clear" w:color="auto" w:fill="auto"/>
            <w:vAlign w:val="center"/>
            <w:hideMark/>
          </w:tcPr>
          <w:p w14:paraId="27C711CA"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c>
          <w:tcPr>
            <w:tcW w:w="820" w:type="pct"/>
            <w:tcBorders>
              <w:top w:val="nil"/>
              <w:left w:val="nil"/>
              <w:bottom w:val="nil"/>
              <w:right w:val="nil"/>
            </w:tcBorders>
            <w:shd w:val="clear" w:color="auto" w:fill="auto"/>
            <w:vAlign w:val="center"/>
            <w:hideMark/>
          </w:tcPr>
          <w:p w14:paraId="1B024ABA"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1.488.089</w:t>
            </w:r>
          </w:p>
        </w:tc>
      </w:tr>
      <w:tr w:rsidR="00862A01" w:rsidRPr="00872D7E" w14:paraId="5A5BD850" w14:textId="77777777" w:rsidTr="00987E11">
        <w:trPr>
          <w:divId w:val="643658300"/>
          <w:trHeight w:val="170"/>
        </w:trPr>
        <w:tc>
          <w:tcPr>
            <w:tcW w:w="123" w:type="pct"/>
            <w:tcBorders>
              <w:top w:val="nil"/>
              <w:left w:val="nil"/>
              <w:bottom w:val="single" w:sz="4" w:space="0" w:color="auto"/>
              <w:right w:val="nil"/>
            </w:tcBorders>
            <w:shd w:val="clear" w:color="auto" w:fill="auto"/>
            <w:noWrap/>
            <w:vAlign w:val="bottom"/>
            <w:hideMark/>
          </w:tcPr>
          <w:p w14:paraId="1AEF34D1" w14:textId="77777777" w:rsidR="00862A01" w:rsidRPr="00872D7E" w:rsidRDefault="00862A01" w:rsidP="00862A01">
            <w:pPr>
              <w:rPr>
                <w:color w:val="000000"/>
                <w:sz w:val="18"/>
                <w:szCs w:val="18"/>
                <w:lang w:eastAsia="tr-TR"/>
              </w:rPr>
            </w:pPr>
            <w:r w:rsidRPr="00872D7E">
              <w:rPr>
                <w:color w:val="000000"/>
                <w:sz w:val="18"/>
                <w:szCs w:val="18"/>
                <w:lang w:eastAsia="tr-TR"/>
              </w:rPr>
              <w:t>3</w:t>
            </w:r>
          </w:p>
        </w:tc>
        <w:tc>
          <w:tcPr>
            <w:tcW w:w="1037" w:type="pct"/>
            <w:tcBorders>
              <w:top w:val="nil"/>
              <w:left w:val="nil"/>
              <w:bottom w:val="single" w:sz="4" w:space="0" w:color="auto"/>
              <w:right w:val="nil"/>
            </w:tcBorders>
            <w:shd w:val="clear" w:color="auto" w:fill="auto"/>
            <w:noWrap/>
            <w:vAlign w:val="bottom"/>
            <w:hideMark/>
          </w:tcPr>
          <w:p w14:paraId="65C9FCA8" w14:textId="77777777" w:rsidR="00862A01" w:rsidRPr="00872D7E" w:rsidRDefault="00862A01" w:rsidP="00862A01">
            <w:pPr>
              <w:rPr>
                <w:color w:val="000000"/>
                <w:sz w:val="18"/>
                <w:szCs w:val="18"/>
                <w:lang w:eastAsia="tr-TR"/>
              </w:rPr>
            </w:pPr>
            <w:r w:rsidRPr="00872D7E">
              <w:rPr>
                <w:color w:val="000000"/>
                <w:sz w:val="18"/>
                <w:szCs w:val="18"/>
                <w:lang w:eastAsia="tr-TR"/>
              </w:rPr>
              <w:t>Bilanço dışı alacaklar</w:t>
            </w:r>
          </w:p>
        </w:tc>
        <w:tc>
          <w:tcPr>
            <w:tcW w:w="1195" w:type="pct"/>
            <w:tcBorders>
              <w:top w:val="nil"/>
              <w:left w:val="nil"/>
              <w:bottom w:val="single" w:sz="4" w:space="0" w:color="auto"/>
              <w:right w:val="nil"/>
            </w:tcBorders>
            <w:shd w:val="clear" w:color="auto" w:fill="auto"/>
            <w:vAlign w:val="center"/>
            <w:hideMark/>
          </w:tcPr>
          <w:p w14:paraId="10EEA4DB"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c>
          <w:tcPr>
            <w:tcW w:w="887" w:type="pct"/>
            <w:tcBorders>
              <w:top w:val="nil"/>
              <w:left w:val="nil"/>
              <w:bottom w:val="single" w:sz="4" w:space="0" w:color="auto"/>
              <w:right w:val="nil"/>
            </w:tcBorders>
            <w:shd w:val="clear" w:color="auto" w:fill="auto"/>
            <w:vAlign w:val="center"/>
            <w:hideMark/>
          </w:tcPr>
          <w:p w14:paraId="2E3727A6"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19.310.449</w:t>
            </w:r>
          </w:p>
        </w:tc>
        <w:tc>
          <w:tcPr>
            <w:tcW w:w="938" w:type="pct"/>
            <w:tcBorders>
              <w:top w:val="nil"/>
              <w:left w:val="nil"/>
              <w:bottom w:val="single" w:sz="4" w:space="0" w:color="auto"/>
              <w:right w:val="nil"/>
            </w:tcBorders>
            <w:shd w:val="clear" w:color="auto" w:fill="auto"/>
            <w:vAlign w:val="center"/>
            <w:hideMark/>
          </w:tcPr>
          <w:p w14:paraId="14F8C6BA"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54.674</w:t>
            </w:r>
          </w:p>
        </w:tc>
        <w:tc>
          <w:tcPr>
            <w:tcW w:w="820" w:type="pct"/>
            <w:tcBorders>
              <w:top w:val="nil"/>
              <w:left w:val="nil"/>
              <w:bottom w:val="single" w:sz="4" w:space="0" w:color="auto"/>
              <w:right w:val="nil"/>
            </w:tcBorders>
            <w:shd w:val="clear" w:color="auto" w:fill="auto"/>
            <w:vAlign w:val="center"/>
            <w:hideMark/>
          </w:tcPr>
          <w:p w14:paraId="26EC829F"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19.255.775</w:t>
            </w:r>
          </w:p>
        </w:tc>
      </w:tr>
      <w:tr w:rsidR="00862A01" w:rsidRPr="00872D7E" w14:paraId="4674E6BA" w14:textId="77777777" w:rsidTr="00987E11">
        <w:trPr>
          <w:divId w:val="643658300"/>
          <w:trHeight w:val="170"/>
        </w:trPr>
        <w:tc>
          <w:tcPr>
            <w:tcW w:w="123" w:type="pct"/>
            <w:tcBorders>
              <w:top w:val="single" w:sz="4" w:space="0" w:color="auto"/>
              <w:left w:val="nil"/>
              <w:bottom w:val="single" w:sz="12" w:space="0" w:color="auto"/>
              <w:right w:val="nil"/>
            </w:tcBorders>
            <w:shd w:val="clear" w:color="auto" w:fill="auto"/>
            <w:noWrap/>
            <w:vAlign w:val="bottom"/>
            <w:hideMark/>
          </w:tcPr>
          <w:p w14:paraId="10866B01" w14:textId="77777777" w:rsidR="00862A01" w:rsidRPr="00872D7E" w:rsidRDefault="00862A01" w:rsidP="00862A01">
            <w:pPr>
              <w:rPr>
                <w:b/>
                <w:bCs/>
                <w:color w:val="000000"/>
                <w:sz w:val="18"/>
                <w:szCs w:val="18"/>
                <w:lang w:eastAsia="tr-TR"/>
              </w:rPr>
            </w:pPr>
            <w:r w:rsidRPr="00872D7E">
              <w:rPr>
                <w:b/>
                <w:bCs/>
                <w:color w:val="000000"/>
                <w:sz w:val="18"/>
                <w:szCs w:val="18"/>
                <w:lang w:eastAsia="tr-TR"/>
              </w:rPr>
              <w:t>4</w:t>
            </w:r>
          </w:p>
        </w:tc>
        <w:tc>
          <w:tcPr>
            <w:tcW w:w="1037" w:type="pct"/>
            <w:tcBorders>
              <w:top w:val="single" w:sz="4" w:space="0" w:color="auto"/>
              <w:left w:val="nil"/>
              <w:bottom w:val="single" w:sz="12" w:space="0" w:color="auto"/>
              <w:right w:val="nil"/>
            </w:tcBorders>
            <w:shd w:val="clear" w:color="auto" w:fill="auto"/>
            <w:noWrap/>
            <w:vAlign w:val="bottom"/>
            <w:hideMark/>
          </w:tcPr>
          <w:p w14:paraId="0FC3B519" w14:textId="77777777" w:rsidR="00862A01" w:rsidRPr="00872D7E" w:rsidRDefault="00862A01" w:rsidP="00862A01">
            <w:pPr>
              <w:rPr>
                <w:b/>
                <w:bCs/>
                <w:color w:val="000000"/>
                <w:sz w:val="18"/>
                <w:szCs w:val="18"/>
                <w:lang w:eastAsia="tr-TR"/>
              </w:rPr>
            </w:pPr>
            <w:r w:rsidRPr="00872D7E">
              <w:rPr>
                <w:b/>
                <w:bCs/>
                <w:color w:val="000000"/>
                <w:sz w:val="18"/>
                <w:szCs w:val="18"/>
                <w:lang w:eastAsia="tr-TR"/>
              </w:rPr>
              <w:t>Toplam</w:t>
            </w:r>
          </w:p>
        </w:tc>
        <w:tc>
          <w:tcPr>
            <w:tcW w:w="1195" w:type="pct"/>
            <w:tcBorders>
              <w:top w:val="single" w:sz="4" w:space="0" w:color="auto"/>
              <w:left w:val="nil"/>
              <w:bottom w:val="single" w:sz="12" w:space="0" w:color="auto"/>
              <w:right w:val="nil"/>
            </w:tcBorders>
            <w:shd w:val="clear" w:color="auto" w:fill="auto"/>
            <w:vAlign w:val="center"/>
            <w:hideMark/>
          </w:tcPr>
          <w:p w14:paraId="6207283E" w14:textId="77777777" w:rsidR="00862A01" w:rsidRPr="00872D7E" w:rsidRDefault="00862A01" w:rsidP="00862A01">
            <w:pPr>
              <w:jc w:val="right"/>
              <w:rPr>
                <w:rFonts w:ascii="Arial" w:hAnsi="Arial" w:cs="Arial"/>
                <w:b/>
                <w:bCs/>
                <w:color w:val="000000"/>
                <w:sz w:val="18"/>
                <w:szCs w:val="18"/>
                <w:lang w:eastAsia="tr-TR"/>
              </w:rPr>
            </w:pPr>
            <w:r w:rsidRPr="00872D7E">
              <w:rPr>
                <w:b/>
                <w:bCs/>
                <w:color w:val="000000"/>
                <w:sz w:val="18"/>
                <w:szCs w:val="18"/>
                <w:lang w:eastAsia="tr-TR"/>
              </w:rPr>
              <w:t>-</w:t>
            </w:r>
          </w:p>
        </w:tc>
        <w:tc>
          <w:tcPr>
            <w:tcW w:w="887" w:type="pct"/>
            <w:tcBorders>
              <w:top w:val="single" w:sz="4" w:space="0" w:color="auto"/>
              <w:left w:val="nil"/>
              <w:bottom w:val="single" w:sz="12" w:space="0" w:color="auto"/>
              <w:right w:val="nil"/>
            </w:tcBorders>
            <w:shd w:val="clear" w:color="auto" w:fill="auto"/>
            <w:vAlign w:val="center"/>
            <w:hideMark/>
          </w:tcPr>
          <w:p w14:paraId="479FBA26" w14:textId="77777777" w:rsidR="00862A01" w:rsidRPr="00872D7E" w:rsidRDefault="00862A01" w:rsidP="00862A01">
            <w:pPr>
              <w:jc w:val="right"/>
              <w:rPr>
                <w:rFonts w:ascii="Arial" w:hAnsi="Arial" w:cs="Arial"/>
                <w:b/>
                <w:bCs/>
                <w:color w:val="000000"/>
                <w:sz w:val="18"/>
                <w:szCs w:val="18"/>
                <w:lang w:eastAsia="tr-TR"/>
              </w:rPr>
            </w:pPr>
            <w:r w:rsidRPr="00872D7E">
              <w:rPr>
                <w:b/>
                <w:bCs/>
                <w:color w:val="000000"/>
                <w:sz w:val="18"/>
                <w:szCs w:val="18"/>
                <w:lang w:eastAsia="tr-TR"/>
              </w:rPr>
              <w:t>43.833.883</w:t>
            </w:r>
          </w:p>
        </w:tc>
        <w:tc>
          <w:tcPr>
            <w:tcW w:w="938" w:type="pct"/>
            <w:tcBorders>
              <w:top w:val="single" w:sz="4" w:space="0" w:color="auto"/>
              <w:left w:val="nil"/>
              <w:bottom w:val="single" w:sz="12" w:space="0" w:color="auto"/>
              <w:right w:val="nil"/>
            </w:tcBorders>
            <w:shd w:val="clear" w:color="auto" w:fill="auto"/>
            <w:vAlign w:val="center"/>
            <w:hideMark/>
          </w:tcPr>
          <w:p w14:paraId="55B525A9" w14:textId="77777777" w:rsidR="00862A01" w:rsidRPr="00872D7E" w:rsidRDefault="00862A01" w:rsidP="00862A01">
            <w:pPr>
              <w:jc w:val="right"/>
              <w:rPr>
                <w:rFonts w:ascii="Arial" w:hAnsi="Arial" w:cs="Arial"/>
                <w:b/>
                <w:bCs/>
                <w:color w:val="000000"/>
                <w:sz w:val="18"/>
                <w:szCs w:val="18"/>
                <w:lang w:eastAsia="tr-TR"/>
              </w:rPr>
            </w:pPr>
            <w:r w:rsidRPr="00872D7E">
              <w:rPr>
                <w:b/>
                <w:bCs/>
                <w:color w:val="000000"/>
                <w:sz w:val="18"/>
                <w:szCs w:val="18"/>
                <w:lang w:eastAsia="tr-TR"/>
              </w:rPr>
              <w:t>56.197</w:t>
            </w:r>
          </w:p>
        </w:tc>
        <w:tc>
          <w:tcPr>
            <w:tcW w:w="820" w:type="pct"/>
            <w:tcBorders>
              <w:top w:val="single" w:sz="4" w:space="0" w:color="auto"/>
              <w:left w:val="nil"/>
              <w:bottom w:val="single" w:sz="12" w:space="0" w:color="auto"/>
              <w:right w:val="nil"/>
            </w:tcBorders>
            <w:shd w:val="clear" w:color="auto" w:fill="auto"/>
            <w:vAlign w:val="center"/>
            <w:hideMark/>
          </w:tcPr>
          <w:p w14:paraId="2172A6C7" w14:textId="77777777" w:rsidR="00862A01" w:rsidRPr="00872D7E" w:rsidRDefault="00862A01" w:rsidP="00862A01">
            <w:pPr>
              <w:jc w:val="right"/>
              <w:rPr>
                <w:rFonts w:ascii="Arial" w:hAnsi="Arial" w:cs="Arial"/>
                <w:b/>
                <w:bCs/>
                <w:color w:val="000000"/>
                <w:sz w:val="18"/>
                <w:szCs w:val="18"/>
                <w:lang w:eastAsia="tr-TR"/>
              </w:rPr>
            </w:pPr>
            <w:r w:rsidRPr="00872D7E">
              <w:rPr>
                <w:b/>
                <w:bCs/>
                <w:color w:val="000000"/>
                <w:sz w:val="18"/>
                <w:szCs w:val="18"/>
                <w:lang w:eastAsia="tr-TR"/>
              </w:rPr>
              <w:t>43.777.686</w:t>
            </w:r>
          </w:p>
        </w:tc>
      </w:tr>
    </w:tbl>
    <w:p w14:paraId="44A2E879" w14:textId="2A0EA6E5" w:rsidR="00DC64F5" w:rsidRPr="00872D7E" w:rsidRDefault="00DC64F5" w:rsidP="00DC64F5"/>
    <w:tbl>
      <w:tblPr>
        <w:tblStyle w:val="TableGrid"/>
        <w:tblW w:w="5000"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
        <w:gridCol w:w="1936"/>
        <w:gridCol w:w="2217"/>
        <w:gridCol w:w="1774"/>
        <w:gridCol w:w="1789"/>
        <w:gridCol w:w="1650"/>
      </w:tblGrid>
      <w:tr w:rsidR="00DC64F5" w:rsidRPr="00872D7E" w14:paraId="788702A8" w14:textId="77777777" w:rsidTr="005A0808">
        <w:trPr>
          <w:trHeight w:val="170"/>
        </w:trPr>
        <w:tc>
          <w:tcPr>
            <w:tcW w:w="1146" w:type="pct"/>
            <w:gridSpan w:val="2"/>
            <w:vMerge w:val="restart"/>
            <w:tcBorders>
              <w:top w:val="single" w:sz="4" w:space="0" w:color="auto"/>
              <w:left w:val="nil"/>
              <w:bottom w:val="nil"/>
              <w:right w:val="nil"/>
            </w:tcBorders>
            <w:shd w:val="clear" w:color="auto" w:fill="auto"/>
            <w:noWrap/>
            <w:vAlign w:val="center"/>
            <w:hideMark/>
          </w:tcPr>
          <w:p w14:paraId="38BD50D6" w14:textId="77777777" w:rsidR="00DC64F5" w:rsidRPr="00872D7E" w:rsidRDefault="00DC64F5" w:rsidP="005A0808">
            <w:pPr>
              <w:jc w:val="center"/>
              <w:rPr>
                <w:b/>
                <w:sz w:val="16"/>
                <w:szCs w:val="18"/>
              </w:rPr>
            </w:pPr>
            <w:r w:rsidRPr="00872D7E">
              <w:rPr>
                <w:b/>
                <w:sz w:val="16"/>
                <w:szCs w:val="18"/>
              </w:rPr>
              <w:t>01 Ocak 2024</w:t>
            </w:r>
          </w:p>
        </w:tc>
        <w:tc>
          <w:tcPr>
            <w:tcW w:w="2070" w:type="pct"/>
            <w:gridSpan w:val="2"/>
            <w:tcBorders>
              <w:top w:val="single" w:sz="4" w:space="0" w:color="auto"/>
              <w:left w:val="nil"/>
              <w:bottom w:val="single" w:sz="4" w:space="0" w:color="auto"/>
              <w:right w:val="nil"/>
            </w:tcBorders>
            <w:shd w:val="clear" w:color="auto" w:fill="auto"/>
            <w:noWrap/>
            <w:vAlign w:val="center"/>
            <w:hideMark/>
          </w:tcPr>
          <w:p w14:paraId="51D2E447" w14:textId="77777777" w:rsidR="00DC64F5" w:rsidRPr="00872D7E" w:rsidRDefault="00DC64F5" w:rsidP="005A0808">
            <w:pPr>
              <w:jc w:val="center"/>
              <w:rPr>
                <w:b/>
                <w:sz w:val="18"/>
                <w:szCs w:val="18"/>
              </w:rPr>
            </w:pPr>
            <w:r w:rsidRPr="00872D7E">
              <w:rPr>
                <w:b/>
                <w:sz w:val="18"/>
                <w:szCs w:val="18"/>
              </w:rPr>
              <w:t>Yasal konsolidasyona göre hazırlanan finansal tablolarda yer alan TMS uyarınca değerlenmiş brüt tutarı</w:t>
            </w:r>
          </w:p>
        </w:tc>
        <w:tc>
          <w:tcPr>
            <w:tcW w:w="928" w:type="pct"/>
            <w:vMerge w:val="restart"/>
            <w:tcBorders>
              <w:top w:val="single" w:sz="4" w:space="0" w:color="auto"/>
              <w:left w:val="nil"/>
              <w:bottom w:val="single" w:sz="4" w:space="0" w:color="auto"/>
              <w:right w:val="nil"/>
            </w:tcBorders>
            <w:shd w:val="clear" w:color="auto" w:fill="auto"/>
            <w:noWrap/>
            <w:vAlign w:val="bottom"/>
            <w:hideMark/>
          </w:tcPr>
          <w:p w14:paraId="228C5D06" w14:textId="77777777" w:rsidR="00DC64F5" w:rsidRPr="00872D7E" w:rsidRDefault="00DC64F5" w:rsidP="005A0808">
            <w:pPr>
              <w:jc w:val="right"/>
              <w:rPr>
                <w:b/>
                <w:sz w:val="18"/>
                <w:szCs w:val="18"/>
              </w:rPr>
            </w:pPr>
            <w:r w:rsidRPr="00872D7E">
              <w:rPr>
                <w:b/>
                <w:sz w:val="18"/>
                <w:szCs w:val="18"/>
              </w:rPr>
              <w:t>Karşılıklar/</w:t>
            </w:r>
          </w:p>
          <w:p w14:paraId="7DD971DD" w14:textId="77777777" w:rsidR="00DC64F5" w:rsidRPr="00872D7E" w:rsidRDefault="00DC64F5" w:rsidP="005A0808">
            <w:pPr>
              <w:jc w:val="right"/>
              <w:rPr>
                <w:b/>
                <w:sz w:val="18"/>
                <w:szCs w:val="18"/>
              </w:rPr>
            </w:pPr>
            <w:r w:rsidRPr="00872D7E">
              <w:rPr>
                <w:b/>
                <w:sz w:val="18"/>
                <w:szCs w:val="18"/>
              </w:rPr>
              <w:t>Amortisman ve değer düşüklüğü</w:t>
            </w:r>
          </w:p>
        </w:tc>
        <w:tc>
          <w:tcPr>
            <w:tcW w:w="856" w:type="pct"/>
            <w:vMerge w:val="restart"/>
            <w:tcBorders>
              <w:top w:val="single" w:sz="4" w:space="0" w:color="auto"/>
              <w:left w:val="nil"/>
              <w:bottom w:val="single" w:sz="4" w:space="0" w:color="auto"/>
              <w:right w:val="nil"/>
            </w:tcBorders>
            <w:shd w:val="clear" w:color="auto" w:fill="auto"/>
            <w:noWrap/>
            <w:vAlign w:val="bottom"/>
            <w:hideMark/>
          </w:tcPr>
          <w:p w14:paraId="19F21E74" w14:textId="77777777" w:rsidR="00DC64F5" w:rsidRPr="00872D7E" w:rsidRDefault="00DC64F5" w:rsidP="005A0808">
            <w:pPr>
              <w:jc w:val="right"/>
              <w:rPr>
                <w:b/>
                <w:sz w:val="18"/>
                <w:szCs w:val="18"/>
              </w:rPr>
            </w:pPr>
            <w:r w:rsidRPr="00872D7E">
              <w:rPr>
                <w:b/>
                <w:sz w:val="18"/>
                <w:szCs w:val="18"/>
              </w:rPr>
              <w:t>Net değer</w:t>
            </w:r>
          </w:p>
        </w:tc>
      </w:tr>
      <w:tr w:rsidR="00DC64F5" w:rsidRPr="00872D7E" w14:paraId="61B94349" w14:textId="77777777" w:rsidTr="005A0808">
        <w:trPr>
          <w:trHeight w:val="170"/>
        </w:trPr>
        <w:tc>
          <w:tcPr>
            <w:tcW w:w="1146" w:type="pct"/>
            <w:gridSpan w:val="2"/>
            <w:vMerge/>
            <w:tcBorders>
              <w:top w:val="single" w:sz="4" w:space="0" w:color="auto"/>
              <w:left w:val="nil"/>
              <w:bottom w:val="nil"/>
              <w:right w:val="nil"/>
            </w:tcBorders>
            <w:shd w:val="clear" w:color="auto" w:fill="auto"/>
            <w:vAlign w:val="center"/>
            <w:hideMark/>
          </w:tcPr>
          <w:p w14:paraId="6E7DE1E9" w14:textId="77777777" w:rsidR="00DC64F5" w:rsidRPr="00872D7E" w:rsidRDefault="00DC64F5" w:rsidP="005A0808">
            <w:pPr>
              <w:rPr>
                <w:b/>
                <w:sz w:val="16"/>
                <w:szCs w:val="18"/>
              </w:rPr>
            </w:pPr>
          </w:p>
        </w:tc>
        <w:tc>
          <w:tcPr>
            <w:tcW w:w="1150" w:type="pct"/>
            <w:tcBorders>
              <w:top w:val="single" w:sz="4" w:space="0" w:color="auto"/>
              <w:left w:val="nil"/>
              <w:bottom w:val="single" w:sz="4" w:space="0" w:color="auto"/>
              <w:right w:val="nil"/>
            </w:tcBorders>
            <w:shd w:val="clear" w:color="auto" w:fill="auto"/>
            <w:noWrap/>
            <w:vAlign w:val="bottom"/>
            <w:hideMark/>
          </w:tcPr>
          <w:p w14:paraId="6E50A3A6" w14:textId="77777777" w:rsidR="00DC64F5" w:rsidRPr="00872D7E" w:rsidRDefault="00DC64F5" w:rsidP="005A0808">
            <w:pPr>
              <w:jc w:val="center"/>
              <w:rPr>
                <w:b/>
                <w:sz w:val="18"/>
                <w:szCs w:val="18"/>
              </w:rPr>
            </w:pPr>
            <w:r w:rsidRPr="00872D7E">
              <w:rPr>
                <w:b/>
                <w:sz w:val="18"/>
                <w:szCs w:val="18"/>
              </w:rPr>
              <w:t>Temerrüt etmiş</w:t>
            </w:r>
          </w:p>
        </w:tc>
        <w:tc>
          <w:tcPr>
            <w:tcW w:w="920" w:type="pct"/>
            <w:tcBorders>
              <w:top w:val="single" w:sz="4" w:space="0" w:color="auto"/>
              <w:left w:val="nil"/>
              <w:bottom w:val="single" w:sz="4" w:space="0" w:color="auto"/>
              <w:right w:val="nil"/>
            </w:tcBorders>
            <w:shd w:val="clear" w:color="auto" w:fill="auto"/>
            <w:noWrap/>
            <w:vAlign w:val="bottom"/>
            <w:hideMark/>
          </w:tcPr>
          <w:p w14:paraId="26A308D3" w14:textId="77777777" w:rsidR="00DC64F5" w:rsidRPr="00872D7E" w:rsidRDefault="00DC64F5" w:rsidP="005A0808">
            <w:pPr>
              <w:jc w:val="center"/>
              <w:rPr>
                <w:b/>
                <w:sz w:val="18"/>
                <w:szCs w:val="18"/>
              </w:rPr>
            </w:pPr>
            <w:r w:rsidRPr="00872D7E">
              <w:rPr>
                <w:b/>
                <w:sz w:val="18"/>
                <w:szCs w:val="18"/>
              </w:rPr>
              <w:t>Temerrüt etmemiş</w:t>
            </w:r>
          </w:p>
        </w:tc>
        <w:tc>
          <w:tcPr>
            <w:tcW w:w="928" w:type="pct"/>
            <w:vMerge/>
            <w:tcBorders>
              <w:top w:val="single" w:sz="4" w:space="0" w:color="auto"/>
              <w:left w:val="nil"/>
              <w:bottom w:val="single" w:sz="4" w:space="0" w:color="auto"/>
              <w:right w:val="nil"/>
            </w:tcBorders>
            <w:shd w:val="clear" w:color="auto" w:fill="auto"/>
            <w:vAlign w:val="center"/>
            <w:hideMark/>
          </w:tcPr>
          <w:p w14:paraId="57964152" w14:textId="77777777" w:rsidR="00DC64F5" w:rsidRPr="00872D7E" w:rsidRDefault="00DC64F5" w:rsidP="005A0808">
            <w:pPr>
              <w:rPr>
                <w:b/>
                <w:sz w:val="18"/>
                <w:szCs w:val="18"/>
              </w:rPr>
            </w:pPr>
          </w:p>
        </w:tc>
        <w:tc>
          <w:tcPr>
            <w:tcW w:w="856" w:type="pct"/>
            <w:vMerge/>
            <w:tcBorders>
              <w:top w:val="single" w:sz="4" w:space="0" w:color="auto"/>
              <w:left w:val="nil"/>
              <w:bottom w:val="single" w:sz="4" w:space="0" w:color="auto"/>
              <w:right w:val="nil"/>
            </w:tcBorders>
            <w:shd w:val="clear" w:color="auto" w:fill="auto"/>
            <w:vAlign w:val="center"/>
            <w:hideMark/>
          </w:tcPr>
          <w:p w14:paraId="3A54C93F" w14:textId="77777777" w:rsidR="00DC64F5" w:rsidRPr="00872D7E" w:rsidRDefault="00DC64F5" w:rsidP="005A0808">
            <w:pPr>
              <w:rPr>
                <w:b/>
                <w:sz w:val="18"/>
                <w:szCs w:val="18"/>
              </w:rPr>
            </w:pPr>
          </w:p>
        </w:tc>
      </w:tr>
      <w:tr w:rsidR="00D4647F" w:rsidRPr="00872D7E" w14:paraId="0F325C94" w14:textId="77777777" w:rsidTr="006C22CF">
        <w:trPr>
          <w:trHeight w:val="170"/>
        </w:trPr>
        <w:tc>
          <w:tcPr>
            <w:tcW w:w="142" w:type="pct"/>
            <w:tcBorders>
              <w:top w:val="single" w:sz="4" w:space="0" w:color="auto"/>
              <w:left w:val="nil"/>
              <w:bottom w:val="nil"/>
              <w:right w:val="nil"/>
            </w:tcBorders>
            <w:shd w:val="clear" w:color="auto" w:fill="auto"/>
            <w:noWrap/>
            <w:vAlign w:val="bottom"/>
            <w:hideMark/>
          </w:tcPr>
          <w:p w14:paraId="1B5739B6" w14:textId="77777777" w:rsidR="00D4647F" w:rsidRPr="00872D7E" w:rsidRDefault="00D4647F" w:rsidP="00D4647F">
            <w:pPr>
              <w:rPr>
                <w:sz w:val="18"/>
                <w:szCs w:val="18"/>
              </w:rPr>
            </w:pPr>
            <w:r w:rsidRPr="00872D7E">
              <w:rPr>
                <w:sz w:val="18"/>
                <w:szCs w:val="18"/>
              </w:rPr>
              <w:t>1</w:t>
            </w:r>
          </w:p>
        </w:tc>
        <w:tc>
          <w:tcPr>
            <w:tcW w:w="1004" w:type="pct"/>
            <w:tcBorders>
              <w:top w:val="single" w:sz="4" w:space="0" w:color="auto"/>
              <w:left w:val="nil"/>
              <w:bottom w:val="nil"/>
              <w:right w:val="nil"/>
            </w:tcBorders>
            <w:shd w:val="clear" w:color="auto" w:fill="auto"/>
            <w:noWrap/>
            <w:vAlign w:val="bottom"/>
            <w:hideMark/>
          </w:tcPr>
          <w:p w14:paraId="7C4DCE0F" w14:textId="77777777" w:rsidR="00D4647F" w:rsidRPr="00872D7E" w:rsidRDefault="00D4647F" w:rsidP="00D4647F">
            <w:pPr>
              <w:rPr>
                <w:sz w:val="18"/>
                <w:szCs w:val="18"/>
              </w:rPr>
            </w:pPr>
            <w:r w:rsidRPr="00872D7E">
              <w:rPr>
                <w:sz w:val="18"/>
                <w:szCs w:val="18"/>
              </w:rPr>
              <w:t>Krediler</w:t>
            </w:r>
          </w:p>
        </w:tc>
        <w:tc>
          <w:tcPr>
            <w:tcW w:w="1150" w:type="pct"/>
            <w:shd w:val="clear" w:color="auto" w:fill="auto"/>
            <w:noWrap/>
            <w:vAlign w:val="center"/>
          </w:tcPr>
          <w:p w14:paraId="4FE71893" w14:textId="23CC0E0C" w:rsidR="00D4647F" w:rsidRPr="00872D7E" w:rsidRDefault="00D4647F" w:rsidP="00D4647F">
            <w:pPr>
              <w:jc w:val="right"/>
              <w:rPr>
                <w:sz w:val="18"/>
                <w:szCs w:val="18"/>
              </w:rPr>
            </w:pPr>
            <w:r w:rsidRPr="00872D7E">
              <w:rPr>
                <w:color w:val="000000"/>
                <w:sz w:val="18"/>
                <w:szCs w:val="18"/>
              </w:rPr>
              <w:t>-</w:t>
            </w:r>
          </w:p>
        </w:tc>
        <w:tc>
          <w:tcPr>
            <w:tcW w:w="920" w:type="pct"/>
            <w:shd w:val="clear" w:color="auto" w:fill="auto"/>
            <w:noWrap/>
            <w:vAlign w:val="center"/>
          </w:tcPr>
          <w:p w14:paraId="6FA69472" w14:textId="66439502" w:rsidR="00D4647F" w:rsidRPr="00872D7E" w:rsidRDefault="00D4647F" w:rsidP="00D4647F">
            <w:pPr>
              <w:jc w:val="right"/>
              <w:rPr>
                <w:sz w:val="18"/>
                <w:szCs w:val="18"/>
              </w:rPr>
            </w:pPr>
            <w:r w:rsidRPr="00872D7E">
              <w:rPr>
                <w:color w:val="000000"/>
                <w:sz w:val="18"/>
                <w:szCs w:val="18"/>
              </w:rPr>
              <w:t>-</w:t>
            </w:r>
          </w:p>
        </w:tc>
        <w:tc>
          <w:tcPr>
            <w:tcW w:w="928" w:type="pct"/>
            <w:shd w:val="clear" w:color="auto" w:fill="auto"/>
            <w:noWrap/>
            <w:vAlign w:val="center"/>
          </w:tcPr>
          <w:p w14:paraId="6499B978" w14:textId="49B865D6" w:rsidR="00D4647F" w:rsidRPr="00872D7E" w:rsidRDefault="00D4647F" w:rsidP="00D4647F">
            <w:pPr>
              <w:jc w:val="right"/>
              <w:rPr>
                <w:sz w:val="18"/>
                <w:szCs w:val="18"/>
              </w:rPr>
            </w:pPr>
            <w:r w:rsidRPr="00872D7E">
              <w:rPr>
                <w:color w:val="000000"/>
                <w:sz w:val="18"/>
                <w:szCs w:val="18"/>
              </w:rPr>
              <w:t>-</w:t>
            </w:r>
          </w:p>
        </w:tc>
        <w:tc>
          <w:tcPr>
            <w:tcW w:w="856" w:type="pct"/>
            <w:shd w:val="clear" w:color="auto" w:fill="auto"/>
            <w:noWrap/>
            <w:vAlign w:val="center"/>
          </w:tcPr>
          <w:p w14:paraId="786D2BB3" w14:textId="4227A31A" w:rsidR="00D4647F" w:rsidRPr="00872D7E" w:rsidRDefault="00D4647F" w:rsidP="00D4647F">
            <w:pPr>
              <w:jc w:val="right"/>
              <w:rPr>
                <w:sz w:val="18"/>
                <w:szCs w:val="18"/>
              </w:rPr>
            </w:pPr>
            <w:r w:rsidRPr="00872D7E">
              <w:rPr>
                <w:color w:val="000000"/>
                <w:sz w:val="18"/>
                <w:szCs w:val="18"/>
              </w:rPr>
              <w:t>-</w:t>
            </w:r>
          </w:p>
        </w:tc>
      </w:tr>
      <w:tr w:rsidR="00D4647F" w:rsidRPr="00872D7E" w14:paraId="744B0AED" w14:textId="77777777" w:rsidTr="006C22CF">
        <w:trPr>
          <w:trHeight w:val="170"/>
        </w:trPr>
        <w:tc>
          <w:tcPr>
            <w:tcW w:w="142" w:type="pct"/>
            <w:shd w:val="clear" w:color="auto" w:fill="auto"/>
            <w:noWrap/>
            <w:vAlign w:val="bottom"/>
            <w:hideMark/>
          </w:tcPr>
          <w:p w14:paraId="1A1658A2" w14:textId="77777777" w:rsidR="00D4647F" w:rsidRPr="00872D7E" w:rsidRDefault="00D4647F" w:rsidP="00D4647F">
            <w:pPr>
              <w:rPr>
                <w:sz w:val="18"/>
                <w:szCs w:val="18"/>
              </w:rPr>
            </w:pPr>
            <w:r w:rsidRPr="00872D7E">
              <w:rPr>
                <w:sz w:val="18"/>
                <w:szCs w:val="18"/>
              </w:rPr>
              <w:t>2</w:t>
            </w:r>
          </w:p>
        </w:tc>
        <w:tc>
          <w:tcPr>
            <w:tcW w:w="1004" w:type="pct"/>
            <w:shd w:val="clear" w:color="auto" w:fill="auto"/>
            <w:noWrap/>
            <w:vAlign w:val="bottom"/>
            <w:hideMark/>
          </w:tcPr>
          <w:p w14:paraId="66530189" w14:textId="77777777" w:rsidR="00D4647F" w:rsidRPr="00872D7E" w:rsidRDefault="00D4647F" w:rsidP="00D4647F">
            <w:pPr>
              <w:rPr>
                <w:sz w:val="18"/>
                <w:szCs w:val="18"/>
              </w:rPr>
            </w:pPr>
            <w:r w:rsidRPr="00872D7E">
              <w:rPr>
                <w:sz w:val="18"/>
                <w:szCs w:val="18"/>
              </w:rPr>
              <w:t>Borçlanma araçları</w:t>
            </w:r>
          </w:p>
        </w:tc>
        <w:tc>
          <w:tcPr>
            <w:tcW w:w="1150" w:type="pct"/>
            <w:shd w:val="clear" w:color="auto" w:fill="auto"/>
            <w:noWrap/>
            <w:vAlign w:val="center"/>
          </w:tcPr>
          <w:p w14:paraId="196ED7F0" w14:textId="05A8E68E" w:rsidR="00D4647F" w:rsidRPr="00872D7E" w:rsidRDefault="00D4647F" w:rsidP="00D4647F">
            <w:pPr>
              <w:jc w:val="right"/>
              <w:rPr>
                <w:sz w:val="18"/>
                <w:szCs w:val="18"/>
              </w:rPr>
            </w:pPr>
            <w:r w:rsidRPr="00872D7E">
              <w:rPr>
                <w:color w:val="000000"/>
                <w:sz w:val="18"/>
                <w:szCs w:val="18"/>
              </w:rPr>
              <w:t>-</w:t>
            </w:r>
          </w:p>
        </w:tc>
        <w:tc>
          <w:tcPr>
            <w:tcW w:w="920" w:type="pct"/>
            <w:shd w:val="clear" w:color="auto" w:fill="auto"/>
            <w:noWrap/>
            <w:vAlign w:val="center"/>
          </w:tcPr>
          <w:p w14:paraId="4C5ECCA2" w14:textId="3BA17B5A" w:rsidR="00D4647F" w:rsidRPr="00872D7E" w:rsidRDefault="00D4647F" w:rsidP="00D4647F">
            <w:pPr>
              <w:jc w:val="right"/>
              <w:rPr>
                <w:sz w:val="18"/>
                <w:szCs w:val="18"/>
              </w:rPr>
            </w:pPr>
            <w:r w:rsidRPr="00872D7E">
              <w:rPr>
                <w:color w:val="000000"/>
                <w:sz w:val="18"/>
                <w:szCs w:val="18"/>
              </w:rPr>
              <w:t>111.343</w:t>
            </w:r>
          </w:p>
        </w:tc>
        <w:tc>
          <w:tcPr>
            <w:tcW w:w="928" w:type="pct"/>
            <w:shd w:val="clear" w:color="auto" w:fill="auto"/>
            <w:noWrap/>
            <w:vAlign w:val="center"/>
          </w:tcPr>
          <w:p w14:paraId="6BDD3066" w14:textId="3D05F427" w:rsidR="00D4647F" w:rsidRPr="00872D7E" w:rsidRDefault="00D4647F" w:rsidP="00D4647F">
            <w:pPr>
              <w:jc w:val="right"/>
              <w:rPr>
                <w:sz w:val="18"/>
                <w:szCs w:val="18"/>
              </w:rPr>
            </w:pPr>
            <w:r w:rsidRPr="00872D7E">
              <w:rPr>
                <w:color w:val="000000"/>
                <w:sz w:val="18"/>
                <w:szCs w:val="18"/>
              </w:rPr>
              <w:t>-</w:t>
            </w:r>
          </w:p>
        </w:tc>
        <w:tc>
          <w:tcPr>
            <w:tcW w:w="856" w:type="pct"/>
            <w:shd w:val="clear" w:color="auto" w:fill="auto"/>
            <w:noWrap/>
            <w:vAlign w:val="center"/>
          </w:tcPr>
          <w:p w14:paraId="1F96B92F" w14:textId="28744872" w:rsidR="00D4647F" w:rsidRPr="00872D7E" w:rsidRDefault="00D4647F" w:rsidP="00D4647F">
            <w:pPr>
              <w:jc w:val="right"/>
              <w:rPr>
                <w:sz w:val="18"/>
                <w:szCs w:val="18"/>
              </w:rPr>
            </w:pPr>
            <w:r w:rsidRPr="00872D7E">
              <w:rPr>
                <w:color w:val="000000"/>
                <w:sz w:val="18"/>
                <w:szCs w:val="18"/>
              </w:rPr>
              <w:t>111.343</w:t>
            </w:r>
          </w:p>
        </w:tc>
      </w:tr>
      <w:tr w:rsidR="00D4647F" w:rsidRPr="00872D7E" w14:paraId="7346C829" w14:textId="77777777" w:rsidTr="00987E11">
        <w:trPr>
          <w:trHeight w:val="170"/>
        </w:trPr>
        <w:tc>
          <w:tcPr>
            <w:tcW w:w="142" w:type="pct"/>
            <w:tcBorders>
              <w:top w:val="nil"/>
              <w:left w:val="nil"/>
              <w:bottom w:val="single" w:sz="4" w:space="0" w:color="auto"/>
              <w:right w:val="nil"/>
            </w:tcBorders>
            <w:shd w:val="clear" w:color="auto" w:fill="auto"/>
            <w:noWrap/>
            <w:vAlign w:val="bottom"/>
            <w:hideMark/>
          </w:tcPr>
          <w:p w14:paraId="7DEF118B" w14:textId="77777777" w:rsidR="00D4647F" w:rsidRPr="00872D7E" w:rsidRDefault="00D4647F" w:rsidP="00D4647F">
            <w:pPr>
              <w:rPr>
                <w:sz w:val="18"/>
                <w:szCs w:val="18"/>
              </w:rPr>
            </w:pPr>
            <w:r w:rsidRPr="00872D7E">
              <w:rPr>
                <w:sz w:val="18"/>
                <w:szCs w:val="18"/>
              </w:rPr>
              <w:t>3</w:t>
            </w:r>
          </w:p>
        </w:tc>
        <w:tc>
          <w:tcPr>
            <w:tcW w:w="1004" w:type="pct"/>
            <w:tcBorders>
              <w:top w:val="nil"/>
              <w:left w:val="nil"/>
              <w:bottom w:val="single" w:sz="4" w:space="0" w:color="auto"/>
              <w:right w:val="nil"/>
            </w:tcBorders>
            <w:shd w:val="clear" w:color="auto" w:fill="auto"/>
            <w:noWrap/>
            <w:vAlign w:val="bottom"/>
            <w:hideMark/>
          </w:tcPr>
          <w:p w14:paraId="5780ED9E" w14:textId="77777777" w:rsidR="00D4647F" w:rsidRPr="00872D7E" w:rsidRDefault="00D4647F" w:rsidP="00D4647F">
            <w:pPr>
              <w:rPr>
                <w:sz w:val="18"/>
                <w:szCs w:val="18"/>
              </w:rPr>
            </w:pPr>
            <w:r w:rsidRPr="00872D7E">
              <w:rPr>
                <w:sz w:val="18"/>
                <w:szCs w:val="18"/>
              </w:rPr>
              <w:t>Bilanço dışı alacaklar</w:t>
            </w:r>
          </w:p>
        </w:tc>
        <w:tc>
          <w:tcPr>
            <w:tcW w:w="1150" w:type="pct"/>
            <w:tcBorders>
              <w:top w:val="nil"/>
              <w:left w:val="nil"/>
              <w:bottom w:val="single" w:sz="4" w:space="0" w:color="auto"/>
              <w:right w:val="nil"/>
            </w:tcBorders>
            <w:shd w:val="clear" w:color="auto" w:fill="auto"/>
            <w:noWrap/>
            <w:vAlign w:val="center"/>
          </w:tcPr>
          <w:p w14:paraId="0828A470" w14:textId="100C13CF" w:rsidR="00D4647F" w:rsidRPr="00872D7E" w:rsidRDefault="00D4647F" w:rsidP="00D4647F">
            <w:pPr>
              <w:jc w:val="right"/>
              <w:rPr>
                <w:sz w:val="18"/>
                <w:szCs w:val="18"/>
              </w:rPr>
            </w:pPr>
            <w:r w:rsidRPr="00872D7E">
              <w:rPr>
                <w:color w:val="000000"/>
                <w:sz w:val="18"/>
                <w:szCs w:val="18"/>
              </w:rPr>
              <w:t>-</w:t>
            </w:r>
          </w:p>
        </w:tc>
        <w:tc>
          <w:tcPr>
            <w:tcW w:w="920" w:type="pct"/>
            <w:tcBorders>
              <w:top w:val="nil"/>
              <w:left w:val="nil"/>
              <w:bottom w:val="single" w:sz="4" w:space="0" w:color="auto"/>
              <w:right w:val="nil"/>
            </w:tcBorders>
            <w:shd w:val="clear" w:color="auto" w:fill="auto"/>
            <w:noWrap/>
            <w:vAlign w:val="center"/>
          </w:tcPr>
          <w:p w14:paraId="1A390E98" w14:textId="3A60B03C" w:rsidR="00D4647F" w:rsidRPr="00872D7E" w:rsidRDefault="00D4647F" w:rsidP="00D4647F">
            <w:pPr>
              <w:jc w:val="right"/>
              <w:rPr>
                <w:sz w:val="18"/>
                <w:szCs w:val="18"/>
              </w:rPr>
            </w:pPr>
            <w:r w:rsidRPr="00872D7E">
              <w:rPr>
                <w:color w:val="000000"/>
                <w:sz w:val="18"/>
                <w:szCs w:val="18"/>
              </w:rPr>
              <w:t>5.447</w:t>
            </w:r>
          </w:p>
        </w:tc>
        <w:tc>
          <w:tcPr>
            <w:tcW w:w="928" w:type="pct"/>
            <w:tcBorders>
              <w:top w:val="nil"/>
              <w:left w:val="nil"/>
              <w:bottom w:val="single" w:sz="4" w:space="0" w:color="auto"/>
              <w:right w:val="nil"/>
            </w:tcBorders>
            <w:shd w:val="clear" w:color="auto" w:fill="auto"/>
            <w:noWrap/>
            <w:vAlign w:val="center"/>
          </w:tcPr>
          <w:p w14:paraId="19F18FA6" w14:textId="2A55C4F1" w:rsidR="00D4647F" w:rsidRPr="00872D7E" w:rsidRDefault="00D4647F" w:rsidP="00D4647F">
            <w:pPr>
              <w:jc w:val="right"/>
              <w:rPr>
                <w:sz w:val="18"/>
                <w:szCs w:val="18"/>
              </w:rPr>
            </w:pPr>
            <w:r w:rsidRPr="00872D7E">
              <w:rPr>
                <w:color w:val="000000"/>
                <w:sz w:val="18"/>
                <w:szCs w:val="18"/>
              </w:rPr>
              <w:t>-</w:t>
            </w:r>
          </w:p>
        </w:tc>
        <w:tc>
          <w:tcPr>
            <w:tcW w:w="856" w:type="pct"/>
            <w:tcBorders>
              <w:top w:val="nil"/>
              <w:left w:val="nil"/>
              <w:bottom w:val="single" w:sz="4" w:space="0" w:color="auto"/>
              <w:right w:val="nil"/>
            </w:tcBorders>
            <w:shd w:val="clear" w:color="auto" w:fill="auto"/>
            <w:noWrap/>
            <w:vAlign w:val="center"/>
          </w:tcPr>
          <w:p w14:paraId="63209025" w14:textId="37710E8B" w:rsidR="00D4647F" w:rsidRPr="00872D7E" w:rsidRDefault="00D4647F" w:rsidP="00D4647F">
            <w:pPr>
              <w:jc w:val="right"/>
              <w:rPr>
                <w:sz w:val="18"/>
                <w:szCs w:val="18"/>
              </w:rPr>
            </w:pPr>
            <w:r w:rsidRPr="00872D7E">
              <w:rPr>
                <w:color w:val="000000"/>
                <w:sz w:val="18"/>
                <w:szCs w:val="18"/>
              </w:rPr>
              <w:t>5.447</w:t>
            </w:r>
          </w:p>
        </w:tc>
      </w:tr>
      <w:tr w:rsidR="00D4647F" w:rsidRPr="00872D7E" w14:paraId="4789DA1E" w14:textId="77777777" w:rsidTr="00987E11">
        <w:trPr>
          <w:trHeight w:val="170"/>
        </w:trPr>
        <w:tc>
          <w:tcPr>
            <w:tcW w:w="142" w:type="pct"/>
            <w:tcBorders>
              <w:top w:val="single" w:sz="4" w:space="0" w:color="auto"/>
              <w:left w:val="nil"/>
              <w:bottom w:val="single" w:sz="12" w:space="0" w:color="auto"/>
              <w:right w:val="nil"/>
            </w:tcBorders>
            <w:shd w:val="clear" w:color="auto" w:fill="auto"/>
            <w:noWrap/>
            <w:vAlign w:val="bottom"/>
            <w:hideMark/>
          </w:tcPr>
          <w:p w14:paraId="7D79BC3C" w14:textId="77777777" w:rsidR="00D4647F" w:rsidRPr="00872D7E" w:rsidRDefault="00D4647F" w:rsidP="00D4647F">
            <w:pPr>
              <w:rPr>
                <w:b/>
                <w:sz w:val="18"/>
                <w:szCs w:val="18"/>
              </w:rPr>
            </w:pPr>
            <w:r w:rsidRPr="00872D7E">
              <w:rPr>
                <w:b/>
                <w:sz w:val="18"/>
                <w:szCs w:val="18"/>
              </w:rPr>
              <w:t>4</w:t>
            </w:r>
          </w:p>
        </w:tc>
        <w:tc>
          <w:tcPr>
            <w:tcW w:w="1004" w:type="pct"/>
            <w:tcBorders>
              <w:top w:val="single" w:sz="4" w:space="0" w:color="auto"/>
              <w:left w:val="nil"/>
              <w:bottom w:val="single" w:sz="12" w:space="0" w:color="auto"/>
              <w:right w:val="nil"/>
            </w:tcBorders>
            <w:shd w:val="clear" w:color="auto" w:fill="auto"/>
            <w:noWrap/>
            <w:vAlign w:val="bottom"/>
            <w:hideMark/>
          </w:tcPr>
          <w:p w14:paraId="42374701" w14:textId="77777777" w:rsidR="00D4647F" w:rsidRPr="00872D7E" w:rsidRDefault="00D4647F" w:rsidP="00D4647F">
            <w:pPr>
              <w:rPr>
                <w:b/>
                <w:sz w:val="18"/>
                <w:szCs w:val="18"/>
              </w:rPr>
            </w:pPr>
            <w:r w:rsidRPr="00872D7E">
              <w:rPr>
                <w:b/>
                <w:sz w:val="18"/>
                <w:szCs w:val="18"/>
              </w:rPr>
              <w:t>Toplam</w:t>
            </w:r>
          </w:p>
        </w:tc>
        <w:tc>
          <w:tcPr>
            <w:tcW w:w="1150" w:type="pct"/>
            <w:tcBorders>
              <w:top w:val="single" w:sz="4" w:space="0" w:color="auto"/>
              <w:left w:val="nil"/>
              <w:bottom w:val="single" w:sz="12" w:space="0" w:color="auto"/>
              <w:right w:val="nil"/>
            </w:tcBorders>
            <w:shd w:val="clear" w:color="auto" w:fill="auto"/>
            <w:noWrap/>
            <w:vAlign w:val="center"/>
          </w:tcPr>
          <w:p w14:paraId="5DABB8EB" w14:textId="0747BECB" w:rsidR="00D4647F" w:rsidRPr="00872D7E" w:rsidRDefault="00D4647F" w:rsidP="00D4647F">
            <w:pPr>
              <w:jc w:val="right"/>
              <w:rPr>
                <w:b/>
                <w:bCs/>
                <w:sz w:val="18"/>
                <w:szCs w:val="18"/>
              </w:rPr>
            </w:pPr>
            <w:r w:rsidRPr="00872D7E">
              <w:rPr>
                <w:b/>
                <w:bCs/>
                <w:color w:val="000000"/>
                <w:sz w:val="18"/>
                <w:szCs w:val="18"/>
              </w:rPr>
              <w:t>-</w:t>
            </w:r>
          </w:p>
        </w:tc>
        <w:tc>
          <w:tcPr>
            <w:tcW w:w="920" w:type="pct"/>
            <w:tcBorders>
              <w:top w:val="single" w:sz="4" w:space="0" w:color="auto"/>
              <w:left w:val="nil"/>
              <w:bottom w:val="single" w:sz="12" w:space="0" w:color="auto"/>
              <w:right w:val="nil"/>
            </w:tcBorders>
            <w:shd w:val="clear" w:color="auto" w:fill="auto"/>
            <w:noWrap/>
            <w:vAlign w:val="center"/>
          </w:tcPr>
          <w:p w14:paraId="1FE1FB1F" w14:textId="666F327B" w:rsidR="00D4647F" w:rsidRPr="00872D7E" w:rsidRDefault="00D4647F" w:rsidP="00D4647F">
            <w:pPr>
              <w:jc w:val="right"/>
              <w:rPr>
                <w:b/>
                <w:bCs/>
                <w:sz w:val="18"/>
                <w:szCs w:val="18"/>
              </w:rPr>
            </w:pPr>
            <w:r w:rsidRPr="00872D7E">
              <w:rPr>
                <w:b/>
                <w:bCs/>
                <w:color w:val="000000"/>
                <w:sz w:val="18"/>
                <w:szCs w:val="18"/>
              </w:rPr>
              <w:t>116.790</w:t>
            </w:r>
          </w:p>
        </w:tc>
        <w:tc>
          <w:tcPr>
            <w:tcW w:w="928" w:type="pct"/>
            <w:tcBorders>
              <w:top w:val="single" w:sz="4" w:space="0" w:color="auto"/>
              <w:left w:val="nil"/>
              <w:bottom w:val="single" w:sz="12" w:space="0" w:color="auto"/>
              <w:right w:val="nil"/>
            </w:tcBorders>
            <w:shd w:val="clear" w:color="auto" w:fill="auto"/>
            <w:noWrap/>
            <w:vAlign w:val="center"/>
          </w:tcPr>
          <w:p w14:paraId="3B6B8F61" w14:textId="52F0967D" w:rsidR="00D4647F" w:rsidRPr="00872D7E" w:rsidRDefault="00D4647F" w:rsidP="00D4647F">
            <w:pPr>
              <w:jc w:val="right"/>
              <w:rPr>
                <w:b/>
                <w:bCs/>
                <w:sz w:val="18"/>
                <w:szCs w:val="18"/>
              </w:rPr>
            </w:pPr>
            <w:r w:rsidRPr="00872D7E">
              <w:rPr>
                <w:b/>
                <w:bCs/>
                <w:color w:val="000000"/>
                <w:sz w:val="18"/>
                <w:szCs w:val="18"/>
              </w:rPr>
              <w:t>-</w:t>
            </w:r>
          </w:p>
        </w:tc>
        <w:tc>
          <w:tcPr>
            <w:tcW w:w="856" w:type="pct"/>
            <w:tcBorders>
              <w:top w:val="single" w:sz="4" w:space="0" w:color="auto"/>
              <w:left w:val="nil"/>
              <w:bottom w:val="single" w:sz="12" w:space="0" w:color="auto"/>
              <w:right w:val="nil"/>
            </w:tcBorders>
            <w:shd w:val="clear" w:color="auto" w:fill="auto"/>
            <w:noWrap/>
            <w:vAlign w:val="center"/>
          </w:tcPr>
          <w:p w14:paraId="28686224" w14:textId="72CA1246" w:rsidR="00D4647F" w:rsidRPr="00872D7E" w:rsidRDefault="00D4647F" w:rsidP="00D4647F">
            <w:pPr>
              <w:jc w:val="right"/>
              <w:rPr>
                <w:b/>
                <w:bCs/>
                <w:sz w:val="18"/>
                <w:szCs w:val="18"/>
              </w:rPr>
            </w:pPr>
            <w:r w:rsidRPr="00872D7E">
              <w:rPr>
                <w:b/>
                <w:bCs/>
                <w:color w:val="000000"/>
                <w:sz w:val="18"/>
                <w:szCs w:val="18"/>
              </w:rPr>
              <w:t>116.790</w:t>
            </w:r>
          </w:p>
        </w:tc>
      </w:tr>
    </w:tbl>
    <w:p w14:paraId="648A387A" w14:textId="77777777" w:rsidR="005C130C" w:rsidRPr="00872D7E" w:rsidRDefault="005C130C" w:rsidP="005C130C">
      <w:pPr>
        <w:ind w:left="851" w:hanging="851"/>
        <w:rPr>
          <w:b/>
          <w:szCs w:val="20"/>
        </w:rPr>
      </w:pPr>
    </w:p>
    <w:p w14:paraId="4E277AE2" w14:textId="1B5D476F" w:rsidR="00DC64F5" w:rsidRPr="00872D7E" w:rsidRDefault="000E0DC3" w:rsidP="005C130C">
      <w:pPr>
        <w:ind w:left="851" w:hanging="851"/>
        <w:rPr>
          <w:b/>
          <w:szCs w:val="20"/>
        </w:rPr>
      </w:pPr>
      <w:r w:rsidRPr="00872D7E">
        <w:rPr>
          <w:b/>
          <w:szCs w:val="20"/>
        </w:rPr>
        <w:t>c</w:t>
      </w:r>
      <w:r w:rsidR="00DC64F5" w:rsidRPr="00872D7E">
        <w:rPr>
          <w:b/>
          <w:szCs w:val="20"/>
        </w:rPr>
        <w:t>.1.</w:t>
      </w:r>
      <w:r w:rsidRPr="00872D7E">
        <w:rPr>
          <w:b/>
          <w:szCs w:val="20"/>
        </w:rPr>
        <w:t>3</w:t>
      </w:r>
      <w:r w:rsidR="00DC64F5" w:rsidRPr="00872D7E">
        <w:rPr>
          <w:b/>
          <w:szCs w:val="20"/>
        </w:rPr>
        <w:t>.</w:t>
      </w:r>
      <w:r w:rsidR="00DC64F5" w:rsidRPr="00872D7E">
        <w:rPr>
          <w:b/>
          <w:szCs w:val="20"/>
        </w:rPr>
        <w:tab/>
        <w:t>Temerrüde Düşmüş Alacaklar ve Borçlanma Araçları Stoğundaki Değişimler:</w:t>
      </w:r>
    </w:p>
    <w:p w14:paraId="595D5C47" w14:textId="77777777" w:rsidR="005C130C" w:rsidRPr="00872D7E" w:rsidRDefault="005C130C" w:rsidP="005C130C">
      <w:pPr>
        <w:ind w:left="851"/>
        <w:rPr>
          <w:bCs/>
          <w:szCs w:val="20"/>
        </w:rPr>
      </w:pPr>
    </w:p>
    <w:p w14:paraId="5BA21FF8" w14:textId="25A58148" w:rsidR="00DC64F5" w:rsidRPr="00872D7E" w:rsidRDefault="00DC64F5" w:rsidP="005C130C">
      <w:pPr>
        <w:ind w:left="851"/>
        <w:rPr>
          <w:bCs/>
          <w:szCs w:val="20"/>
        </w:rPr>
      </w:pPr>
      <w:r w:rsidRPr="00872D7E">
        <w:rPr>
          <w:bCs/>
          <w:szCs w:val="20"/>
        </w:rPr>
        <w:t>Bulunmamaktadır (1 Ocak 2024: Bulunmamaktadır).</w:t>
      </w:r>
    </w:p>
    <w:p w14:paraId="2EF569AA" w14:textId="77777777" w:rsidR="005C130C" w:rsidRPr="00872D7E" w:rsidRDefault="005C130C" w:rsidP="005C130C">
      <w:pPr>
        <w:ind w:left="851"/>
        <w:rPr>
          <w:bCs/>
          <w:szCs w:val="20"/>
        </w:rPr>
      </w:pPr>
    </w:p>
    <w:p w14:paraId="34285D22" w14:textId="656CD867" w:rsidR="007A2DE3" w:rsidRPr="00872D7E" w:rsidRDefault="007A2DE3" w:rsidP="005C130C">
      <w:pPr>
        <w:ind w:left="851" w:hanging="851"/>
        <w:rPr>
          <w:b/>
          <w:szCs w:val="20"/>
        </w:rPr>
      </w:pPr>
      <w:r w:rsidRPr="00872D7E">
        <w:rPr>
          <w:b/>
          <w:szCs w:val="20"/>
        </w:rPr>
        <w:t>c.1.4.</w:t>
      </w:r>
      <w:r w:rsidR="005C130C" w:rsidRPr="00872D7E">
        <w:rPr>
          <w:b/>
          <w:szCs w:val="20"/>
        </w:rPr>
        <w:tab/>
      </w:r>
      <w:r w:rsidRPr="00872D7E">
        <w:rPr>
          <w:b/>
          <w:szCs w:val="20"/>
        </w:rPr>
        <w:t xml:space="preserve">Varlıkların Kredi Kalitesi </w:t>
      </w:r>
      <w:proofErr w:type="gramStart"/>
      <w:r w:rsidRPr="00872D7E">
        <w:rPr>
          <w:b/>
          <w:szCs w:val="20"/>
        </w:rPr>
        <w:t>İle</w:t>
      </w:r>
      <w:proofErr w:type="gramEnd"/>
      <w:r w:rsidRPr="00872D7E">
        <w:rPr>
          <w:b/>
          <w:szCs w:val="20"/>
        </w:rPr>
        <w:t xml:space="preserve"> İlgili İlave Açıklamalar:</w:t>
      </w:r>
      <w:r w:rsidRPr="00872D7E">
        <w:rPr>
          <w:b/>
          <w:szCs w:val="20"/>
        </w:rPr>
        <w:tab/>
      </w:r>
    </w:p>
    <w:p w14:paraId="3A8A4E5F" w14:textId="77777777" w:rsidR="005C130C" w:rsidRPr="00872D7E" w:rsidRDefault="005C130C" w:rsidP="005C130C">
      <w:pPr>
        <w:ind w:left="851"/>
        <w:jc w:val="both"/>
      </w:pPr>
    </w:p>
    <w:p w14:paraId="0B89C2FD" w14:textId="04D355AC" w:rsidR="007A2DE3" w:rsidRPr="00872D7E" w:rsidRDefault="007A2DE3" w:rsidP="005C130C">
      <w:pPr>
        <w:ind w:left="851"/>
        <w:jc w:val="both"/>
      </w:pPr>
      <w:r w:rsidRPr="00872D7E">
        <w:t xml:space="preserve">Tahsili gecikmiş ve karşılık ayrılan alacakların kapsam, tanımlarına ve bankanın karşılık tutarı belirlerken kullandığı metotlara </w:t>
      </w:r>
      <w:r w:rsidR="00C2292F" w:rsidRPr="00872D7E">
        <w:t>“</w:t>
      </w:r>
      <w:r w:rsidRPr="00872D7E">
        <w:t>Kredi Riskine İlişkin Açıklamalar</w:t>
      </w:r>
      <w:r w:rsidR="00C2292F" w:rsidRPr="00872D7E">
        <w:t>”</w:t>
      </w:r>
      <w:r w:rsidRPr="00872D7E">
        <w:t xml:space="preserve"> kısmında değinilmektedir.</w:t>
      </w:r>
    </w:p>
    <w:p w14:paraId="3EF21864" w14:textId="77777777" w:rsidR="005C130C" w:rsidRPr="00872D7E" w:rsidRDefault="005C130C" w:rsidP="005C130C">
      <w:pPr>
        <w:ind w:left="851"/>
        <w:jc w:val="both"/>
      </w:pPr>
    </w:p>
    <w:p w14:paraId="3F0A0B06" w14:textId="3AD1E631" w:rsidR="007A2DE3" w:rsidRPr="00872D7E" w:rsidRDefault="007A2DE3" w:rsidP="005C130C">
      <w:pPr>
        <w:ind w:left="851"/>
        <w:jc w:val="both"/>
      </w:pPr>
      <w:r w:rsidRPr="00872D7E">
        <w:t xml:space="preserve">Banka hem birinci ve ikinci </w:t>
      </w:r>
      <w:r w:rsidR="007B5DBB" w:rsidRPr="00872D7E">
        <w:t>grup</w:t>
      </w:r>
      <w:r w:rsidRPr="00872D7E">
        <w:t xml:space="preserve"> kredilerini hem de takipteki kredilerini yapılandırabilmektedir. Birinci ve ikinci </w:t>
      </w:r>
      <w:r w:rsidR="007B5DBB" w:rsidRPr="00872D7E">
        <w:t>grup</w:t>
      </w:r>
      <w:r w:rsidRPr="00872D7E">
        <w:t xml:space="preserve"> kredilerdeki yapılandırmalar müşterinin krediyi geri ödeme kabiliyetinin iyileştirilmesi amacıyla veya müşterinin kredi riskinden bağımsız olarak müşteri talebi ile sözleşme koşullarında yapılan değişiklikleri de kapsamaktadır. Takipteki kredilerdeki yapılandırmalar ise esasen yeni bir ödeme planı oluşturulması suretiyle alacağın tahsil imkanını sağlamaya yöneliktir.</w:t>
      </w:r>
    </w:p>
    <w:p w14:paraId="2614358B" w14:textId="77777777" w:rsidR="005C130C" w:rsidRPr="00872D7E" w:rsidRDefault="005C130C" w:rsidP="005C130C">
      <w:pPr>
        <w:ind w:left="851"/>
        <w:jc w:val="both"/>
      </w:pPr>
    </w:p>
    <w:p w14:paraId="7F55B7F9" w14:textId="446A4BB9" w:rsidR="007A2DE3" w:rsidRPr="00872D7E" w:rsidRDefault="007A2DE3" w:rsidP="005C130C">
      <w:pPr>
        <w:ind w:left="851"/>
        <w:jc w:val="both"/>
      </w:pPr>
      <w:r w:rsidRPr="00872D7E">
        <w:t xml:space="preserve">Alacakların sektörlere göre kırılımlarına </w:t>
      </w:r>
      <w:r w:rsidR="008C5672" w:rsidRPr="00872D7E">
        <w:t>“</w:t>
      </w:r>
      <w:r w:rsidRPr="00872D7E">
        <w:t>II</w:t>
      </w:r>
      <w:r w:rsidR="008C5672" w:rsidRPr="00872D7E">
        <w:t>.</w:t>
      </w:r>
      <w:r w:rsidRPr="00872D7E">
        <w:t xml:space="preserve"> Kredi riskine ilişkin açıklamalar</w:t>
      </w:r>
      <w:r w:rsidR="008C5672" w:rsidRPr="00872D7E">
        <w:t>”</w:t>
      </w:r>
      <w:r w:rsidRPr="00872D7E">
        <w:t xml:space="preserve"> altında yer alan </w:t>
      </w:r>
      <w:r w:rsidR="00C2292F" w:rsidRPr="00872D7E">
        <w:t>(</w:t>
      </w:r>
      <w:r w:rsidRPr="00872D7E">
        <w:t>8</w:t>
      </w:r>
      <w:r w:rsidR="00C2292F" w:rsidRPr="00872D7E">
        <w:t>)</w:t>
      </w:r>
      <w:r w:rsidRPr="00872D7E">
        <w:t xml:space="preserve"> </w:t>
      </w:r>
      <w:r w:rsidR="00C2292F" w:rsidRPr="00872D7E">
        <w:t>numaralı</w:t>
      </w:r>
      <w:r w:rsidRPr="00872D7E">
        <w:t xml:space="preserve"> “Önemli Bölgelerdeki Önemlilik Arz eden Risklere İlişkin Profil” dipnotunda yer verilmiştir.</w:t>
      </w:r>
    </w:p>
    <w:p w14:paraId="516DB052" w14:textId="77777777" w:rsidR="005C130C" w:rsidRPr="00872D7E" w:rsidRDefault="005C130C" w:rsidP="005C130C">
      <w:pPr>
        <w:ind w:left="851"/>
        <w:jc w:val="both"/>
      </w:pPr>
    </w:p>
    <w:p w14:paraId="59581A61" w14:textId="77777777" w:rsidR="00894C14" w:rsidRPr="00872D7E" w:rsidRDefault="00894C14" w:rsidP="005C130C">
      <w:pPr>
        <w:ind w:left="851"/>
        <w:rPr>
          <w:b/>
          <w:szCs w:val="20"/>
        </w:rPr>
      </w:pPr>
      <w:r w:rsidRPr="00872D7E">
        <w:rPr>
          <w:b/>
          <w:szCs w:val="20"/>
        </w:rPr>
        <w:t>Tahsili gecikmiş alacaklar için yaşlandırma analizi:</w:t>
      </w:r>
    </w:p>
    <w:p w14:paraId="685F9AF8" w14:textId="77777777" w:rsidR="005C130C" w:rsidRPr="00872D7E" w:rsidRDefault="005C130C" w:rsidP="005C130C">
      <w:pPr>
        <w:ind w:left="851"/>
        <w:rPr>
          <w:b/>
          <w:szCs w:val="20"/>
        </w:rPr>
      </w:pPr>
    </w:p>
    <w:p w14:paraId="23F8D0E2" w14:textId="77777777" w:rsidR="00894C14" w:rsidRPr="00872D7E" w:rsidRDefault="00894C14" w:rsidP="005C130C">
      <w:pPr>
        <w:pStyle w:val="msobodytextindent0"/>
        <w:ind w:left="851" w:firstLine="0"/>
        <w:rPr>
          <w:bCs/>
          <w:szCs w:val="20"/>
        </w:rPr>
      </w:pPr>
      <w:bookmarkStart w:id="45" w:name="_Hlk189561760"/>
      <w:r w:rsidRPr="00872D7E">
        <w:rPr>
          <w:bCs/>
          <w:szCs w:val="20"/>
        </w:rPr>
        <w:t>Bulunmamaktadır (1 Ocak 2024: Bulunmamaktadır).</w:t>
      </w:r>
    </w:p>
    <w:p w14:paraId="596402E8" w14:textId="77777777" w:rsidR="005C130C" w:rsidRPr="00872D7E" w:rsidRDefault="005C130C" w:rsidP="005C130C">
      <w:pPr>
        <w:pStyle w:val="msobodytextindent0"/>
        <w:ind w:left="851" w:firstLine="0"/>
        <w:rPr>
          <w:szCs w:val="20"/>
        </w:rPr>
      </w:pPr>
    </w:p>
    <w:bookmarkEnd w:id="45"/>
    <w:p w14:paraId="1B72392F" w14:textId="0C2119CD" w:rsidR="00894C14" w:rsidRPr="00872D7E" w:rsidRDefault="00894C14" w:rsidP="005C130C">
      <w:pPr>
        <w:ind w:left="851" w:hanging="851"/>
        <w:rPr>
          <w:b/>
          <w:szCs w:val="20"/>
        </w:rPr>
      </w:pPr>
      <w:r w:rsidRPr="00872D7E">
        <w:rPr>
          <w:b/>
          <w:szCs w:val="20"/>
        </w:rPr>
        <w:t>c.1.5.</w:t>
      </w:r>
      <w:r w:rsidR="005C130C" w:rsidRPr="00872D7E">
        <w:rPr>
          <w:b/>
          <w:szCs w:val="20"/>
        </w:rPr>
        <w:tab/>
      </w:r>
      <w:r w:rsidRPr="00872D7E">
        <w:rPr>
          <w:b/>
          <w:szCs w:val="20"/>
        </w:rPr>
        <w:t>Coğrafi bölge bazında karşılık ayrılan alacak tutarları:</w:t>
      </w:r>
    </w:p>
    <w:p w14:paraId="2EDD6383" w14:textId="77777777" w:rsidR="005C130C" w:rsidRPr="00872D7E" w:rsidRDefault="005C130C" w:rsidP="005C130C">
      <w:pPr>
        <w:ind w:left="851"/>
        <w:jc w:val="both"/>
        <w:rPr>
          <w:bCs/>
          <w:szCs w:val="20"/>
        </w:rPr>
      </w:pPr>
      <w:bookmarkStart w:id="46" w:name="_Hlk189561797"/>
    </w:p>
    <w:p w14:paraId="080873B4" w14:textId="461F03B0" w:rsidR="00894C14" w:rsidRPr="00872D7E" w:rsidRDefault="00894C14" w:rsidP="005C130C">
      <w:pPr>
        <w:ind w:left="851"/>
        <w:jc w:val="both"/>
        <w:rPr>
          <w:bCs/>
          <w:szCs w:val="20"/>
        </w:rPr>
      </w:pPr>
      <w:r w:rsidRPr="00872D7E">
        <w:rPr>
          <w:bCs/>
          <w:szCs w:val="20"/>
        </w:rPr>
        <w:t xml:space="preserve">Bulunmamaktadır </w:t>
      </w:r>
      <w:bookmarkStart w:id="47" w:name="_Hlk189492566"/>
      <w:r w:rsidRPr="00872D7E">
        <w:rPr>
          <w:bCs/>
          <w:szCs w:val="20"/>
        </w:rPr>
        <w:t>(1 Ocak 2024: Bulunmamaktadır)</w:t>
      </w:r>
      <w:bookmarkEnd w:id="47"/>
      <w:r w:rsidRPr="00872D7E">
        <w:rPr>
          <w:bCs/>
          <w:szCs w:val="20"/>
        </w:rPr>
        <w:t>.</w:t>
      </w:r>
    </w:p>
    <w:bookmarkEnd w:id="46"/>
    <w:p w14:paraId="74AFE9FD" w14:textId="77777777" w:rsidR="001E6F85" w:rsidRPr="00872D7E" w:rsidRDefault="001E6F85" w:rsidP="005C130C">
      <w:pPr>
        <w:rPr>
          <w:b/>
          <w:szCs w:val="20"/>
        </w:rPr>
      </w:pPr>
      <w:r w:rsidRPr="00872D7E">
        <w:rPr>
          <w:b/>
          <w:szCs w:val="20"/>
        </w:rPr>
        <w:br w:type="page"/>
      </w:r>
    </w:p>
    <w:p w14:paraId="101FA508" w14:textId="77777777" w:rsidR="00EA04CD" w:rsidRPr="00872D7E" w:rsidRDefault="00EA04CD" w:rsidP="002F0CF7">
      <w:pPr>
        <w:pStyle w:val="BodyTextIndent"/>
        <w:widowControl w:val="0"/>
        <w:ind w:firstLine="0"/>
        <w:rPr>
          <w:b/>
          <w:szCs w:val="20"/>
        </w:rPr>
      </w:pPr>
      <w:bookmarkStart w:id="48" w:name="_Hlk189476683"/>
      <w:r w:rsidRPr="00872D7E">
        <w:rPr>
          <w:b/>
          <w:szCs w:val="20"/>
        </w:rPr>
        <w:lastRenderedPageBreak/>
        <w:t>MALİ BÜNYEYE VE RİSK YÖNETİMİNE İLİŞKİN BİLGİLER (Devamı)</w:t>
      </w:r>
    </w:p>
    <w:p w14:paraId="5B4C1071" w14:textId="77777777" w:rsidR="00EA04CD" w:rsidRPr="00872D7E" w:rsidRDefault="00EA04CD" w:rsidP="002F0CF7">
      <w:pPr>
        <w:rPr>
          <w:b/>
          <w:bCs/>
          <w:sz w:val="14"/>
          <w:szCs w:val="18"/>
        </w:rPr>
      </w:pPr>
    </w:p>
    <w:p w14:paraId="0BD6D2F8" w14:textId="7EA356F6" w:rsidR="000E463B" w:rsidRPr="00872D7E" w:rsidRDefault="00CB58D3" w:rsidP="002F0CF7">
      <w:pPr>
        <w:ind w:left="851" w:hanging="851"/>
        <w:rPr>
          <w:b/>
          <w:bCs/>
        </w:rPr>
      </w:pPr>
      <w:r w:rsidRPr="00872D7E">
        <w:rPr>
          <w:b/>
          <w:bCs/>
        </w:rPr>
        <w:t>I</w:t>
      </w:r>
      <w:r w:rsidR="000E463B" w:rsidRPr="00872D7E">
        <w:rPr>
          <w:b/>
          <w:bCs/>
        </w:rPr>
        <w:t>X.</w:t>
      </w:r>
      <w:r w:rsidR="000E463B" w:rsidRPr="00872D7E">
        <w:rPr>
          <w:b/>
          <w:bCs/>
        </w:rPr>
        <w:tab/>
        <w:t>RİSK YÖNETİMİNE İLİŞKİN AÇIKLAMALAR (Devamı)</w:t>
      </w:r>
    </w:p>
    <w:bookmarkEnd w:id="48"/>
    <w:p w14:paraId="72AE400B" w14:textId="77777777" w:rsidR="00FC197E" w:rsidRPr="00872D7E" w:rsidRDefault="00FC197E" w:rsidP="002F0CF7">
      <w:pPr>
        <w:tabs>
          <w:tab w:val="left" w:pos="693"/>
        </w:tabs>
        <w:ind w:left="851" w:hanging="851"/>
        <w:rPr>
          <w:b/>
          <w:sz w:val="14"/>
          <w:szCs w:val="14"/>
        </w:rPr>
      </w:pPr>
    </w:p>
    <w:p w14:paraId="75B14E33" w14:textId="6DDE8BFD" w:rsidR="00DC64F5" w:rsidRPr="00872D7E" w:rsidRDefault="008C5672" w:rsidP="002F0CF7">
      <w:pPr>
        <w:tabs>
          <w:tab w:val="left" w:pos="693"/>
        </w:tabs>
        <w:ind w:left="851" w:hanging="851"/>
        <w:rPr>
          <w:b/>
          <w:szCs w:val="20"/>
        </w:rPr>
      </w:pPr>
      <w:r w:rsidRPr="00872D7E">
        <w:rPr>
          <w:b/>
          <w:szCs w:val="20"/>
        </w:rPr>
        <w:t>c</w:t>
      </w:r>
      <w:r w:rsidR="00DC64F5" w:rsidRPr="00872D7E">
        <w:rPr>
          <w:b/>
          <w:szCs w:val="20"/>
        </w:rPr>
        <w:t>.2.</w:t>
      </w:r>
      <w:r w:rsidR="002F0CF7" w:rsidRPr="00872D7E">
        <w:rPr>
          <w:b/>
          <w:szCs w:val="20"/>
        </w:rPr>
        <w:tab/>
      </w:r>
      <w:r w:rsidR="00DC64F5" w:rsidRPr="00872D7E">
        <w:rPr>
          <w:b/>
          <w:szCs w:val="20"/>
        </w:rPr>
        <w:t>Kredi Riski Azaltımı</w:t>
      </w:r>
    </w:p>
    <w:p w14:paraId="78F68F25" w14:textId="77777777" w:rsidR="002F0CF7" w:rsidRPr="00872D7E" w:rsidRDefault="002F0CF7" w:rsidP="002F0CF7">
      <w:pPr>
        <w:ind w:left="851" w:hanging="851"/>
        <w:jc w:val="both"/>
        <w:rPr>
          <w:b/>
          <w:sz w:val="14"/>
          <w:szCs w:val="14"/>
        </w:rPr>
      </w:pPr>
    </w:p>
    <w:p w14:paraId="0F870288" w14:textId="4DDED74D" w:rsidR="007A2DE3" w:rsidRPr="00872D7E" w:rsidRDefault="008C5672" w:rsidP="002F0CF7">
      <w:pPr>
        <w:ind w:left="851" w:hanging="851"/>
        <w:jc w:val="both"/>
        <w:rPr>
          <w:b/>
          <w:szCs w:val="20"/>
        </w:rPr>
      </w:pPr>
      <w:r w:rsidRPr="00872D7E">
        <w:rPr>
          <w:b/>
          <w:szCs w:val="20"/>
        </w:rPr>
        <w:t>c</w:t>
      </w:r>
      <w:r w:rsidR="00883B69" w:rsidRPr="00872D7E">
        <w:rPr>
          <w:b/>
          <w:szCs w:val="20"/>
        </w:rPr>
        <w:t>.2.1.</w:t>
      </w:r>
      <w:r w:rsidR="002F0CF7" w:rsidRPr="00872D7E">
        <w:rPr>
          <w:b/>
          <w:szCs w:val="20"/>
        </w:rPr>
        <w:tab/>
      </w:r>
      <w:r w:rsidR="00883B69" w:rsidRPr="00872D7E">
        <w:rPr>
          <w:b/>
          <w:szCs w:val="20"/>
        </w:rPr>
        <w:t xml:space="preserve">Kredi Riski Azaltım Teknikleri </w:t>
      </w:r>
      <w:proofErr w:type="gramStart"/>
      <w:r w:rsidR="00883B69" w:rsidRPr="00872D7E">
        <w:rPr>
          <w:b/>
          <w:szCs w:val="20"/>
        </w:rPr>
        <w:t>İle</w:t>
      </w:r>
      <w:proofErr w:type="gramEnd"/>
      <w:r w:rsidR="00883B69" w:rsidRPr="00872D7E">
        <w:rPr>
          <w:b/>
          <w:szCs w:val="20"/>
        </w:rPr>
        <w:t xml:space="preserve"> İlgili Kamuya Açıklanacak Niteliksel Gereksinimler:</w:t>
      </w:r>
    </w:p>
    <w:p w14:paraId="5D4B223E" w14:textId="77777777" w:rsidR="002F0CF7" w:rsidRPr="00872D7E" w:rsidRDefault="002F0CF7" w:rsidP="002F0CF7">
      <w:pPr>
        <w:autoSpaceDE w:val="0"/>
        <w:autoSpaceDN w:val="0"/>
        <w:ind w:right="102"/>
        <w:jc w:val="both"/>
        <w:rPr>
          <w:color w:val="000000"/>
          <w:sz w:val="14"/>
          <w:szCs w:val="14"/>
        </w:rPr>
      </w:pPr>
    </w:p>
    <w:p w14:paraId="4978E55C" w14:textId="6AC33167" w:rsidR="007A2DE3" w:rsidRPr="00872D7E" w:rsidRDefault="007A2DE3" w:rsidP="002F0CF7">
      <w:pPr>
        <w:autoSpaceDE w:val="0"/>
        <w:autoSpaceDN w:val="0"/>
        <w:ind w:left="851" w:right="102"/>
        <w:jc w:val="both"/>
        <w:rPr>
          <w:color w:val="000000"/>
          <w:szCs w:val="20"/>
        </w:rPr>
      </w:pPr>
      <w:r w:rsidRPr="00872D7E">
        <w:rPr>
          <w:color w:val="000000"/>
          <w:szCs w:val="20"/>
        </w:rPr>
        <w:t xml:space="preserve">Bilanço içi ve bilanço dışı netleştirme sözleşmeleri kullanılmamaktadır. </w:t>
      </w:r>
    </w:p>
    <w:p w14:paraId="5677EF33" w14:textId="77777777" w:rsidR="002F0CF7" w:rsidRPr="00872D7E" w:rsidRDefault="002F0CF7" w:rsidP="002F0CF7">
      <w:pPr>
        <w:autoSpaceDE w:val="0"/>
        <w:autoSpaceDN w:val="0"/>
        <w:ind w:left="851" w:right="102"/>
        <w:jc w:val="both"/>
        <w:rPr>
          <w:color w:val="000000"/>
          <w:sz w:val="14"/>
          <w:szCs w:val="14"/>
        </w:rPr>
      </w:pPr>
    </w:p>
    <w:p w14:paraId="3E03DEFA" w14:textId="77777777" w:rsidR="007A2DE3" w:rsidRPr="00872D7E" w:rsidRDefault="007A2DE3" w:rsidP="002F0CF7">
      <w:pPr>
        <w:autoSpaceDE w:val="0"/>
        <w:autoSpaceDN w:val="0"/>
        <w:ind w:left="851" w:right="102"/>
        <w:jc w:val="both"/>
        <w:rPr>
          <w:color w:val="000000"/>
          <w:szCs w:val="20"/>
        </w:rPr>
      </w:pPr>
      <w:r w:rsidRPr="00872D7E">
        <w:rPr>
          <w:color w:val="000000"/>
          <w:szCs w:val="20"/>
        </w:rPr>
        <w:t xml:space="preserve">Banka, kredilendirme işlemlerinde 6 Eylül 2014 tarihinde yayımlanan “Kredi Riski Azaltım Tekniklerine İlişkin Tebliğ” kapsamında dikkate alınabilecek aşağıdaki risk azaltıcı unsurları teminat olarak kabul etmektedir. </w:t>
      </w:r>
    </w:p>
    <w:p w14:paraId="6023DA59" w14:textId="77777777" w:rsidR="002F0CF7" w:rsidRPr="00872D7E" w:rsidRDefault="002F0CF7" w:rsidP="002F0CF7">
      <w:pPr>
        <w:autoSpaceDE w:val="0"/>
        <w:autoSpaceDN w:val="0"/>
        <w:ind w:left="851" w:right="102"/>
        <w:jc w:val="both"/>
        <w:rPr>
          <w:color w:val="000000"/>
          <w:sz w:val="14"/>
          <w:szCs w:val="14"/>
        </w:rPr>
      </w:pPr>
    </w:p>
    <w:p w14:paraId="358DED85" w14:textId="77777777" w:rsidR="007A2DE3" w:rsidRPr="00872D7E" w:rsidRDefault="007A2DE3" w:rsidP="002F0CF7">
      <w:pPr>
        <w:pStyle w:val="ListParagraph"/>
        <w:numPr>
          <w:ilvl w:val="0"/>
          <w:numId w:val="78"/>
        </w:numPr>
        <w:autoSpaceDE w:val="0"/>
        <w:autoSpaceDN w:val="0"/>
        <w:ind w:left="1276" w:right="102" w:hanging="425"/>
        <w:jc w:val="both"/>
        <w:rPr>
          <w:color w:val="000000"/>
          <w:szCs w:val="20"/>
        </w:rPr>
      </w:pPr>
      <w:r w:rsidRPr="00872D7E">
        <w:rPr>
          <w:color w:val="000000"/>
          <w:szCs w:val="20"/>
        </w:rPr>
        <w:t xml:space="preserve">Finansal Teminatlar (Hazine Bonosu, Devlet Tahvili, Nakit, Mevduat veya Katılım Fonu </w:t>
      </w:r>
      <w:proofErr w:type="spellStart"/>
      <w:r w:rsidRPr="00872D7E">
        <w:rPr>
          <w:color w:val="000000"/>
          <w:szCs w:val="20"/>
        </w:rPr>
        <w:t>Rehni</w:t>
      </w:r>
      <w:proofErr w:type="spellEnd"/>
      <w:r w:rsidRPr="00872D7E">
        <w:rPr>
          <w:color w:val="000000"/>
          <w:szCs w:val="20"/>
        </w:rPr>
        <w:t xml:space="preserve">, Altın, Hisse Senedi </w:t>
      </w:r>
      <w:proofErr w:type="spellStart"/>
      <w:r w:rsidRPr="00872D7E">
        <w:rPr>
          <w:color w:val="000000"/>
          <w:szCs w:val="20"/>
        </w:rPr>
        <w:t>Rehni</w:t>
      </w:r>
      <w:proofErr w:type="spellEnd"/>
      <w:r w:rsidRPr="00872D7E">
        <w:rPr>
          <w:color w:val="000000"/>
          <w:szCs w:val="20"/>
        </w:rPr>
        <w:t xml:space="preserve">) </w:t>
      </w:r>
    </w:p>
    <w:p w14:paraId="20DDD2D9" w14:textId="77777777" w:rsidR="007A2DE3" w:rsidRPr="00872D7E" w:rsidRDefault="007A2DE3" w:rsidP="002F0CF7">
      <w:pPr>
        <w:pStyle w:val="ListParagraph"/>
        <w:numPr>
          <w:ilvl w:val="0"/>
          <w:numId w:val="78"/>
        </w:numPr>
        <w:autoSpaceDE w:val="0"/>
        <w:autoSpaceDN w:val="0"/>
        <w:ind w:left="1276" w:right="102" w:hanging="425"/>
        <w:jc w:val="both"/>
        <w:rPr>
          <w:color w:val="000000"/>
          <w:szCs w:val="20"/>
        </w:rPr>
      </w:pPr>
      <w:r w:rsidRPr="00872D7E">
        <w:rPr>
          <w:color w:val="000000"/>
          <w:szCs w:val="20"/>
        </w:rPr>
        <w:t>Garantiler</w:t>
      </w:r>
    </w:p>
    <w:p w14:paraId="50097F2D" w14:textId="77777777" w:rsidR="002F0CF7" w:rsidRPr="00872D7E" w:rsidRDefault="002F0CF7" w:rsidP="002F0CF7">
      <w:pPr>
        <w:autoSpaceDE w:val="0"/>
        <w:autoSpaceDN w:val="0"/>
        <w:ind w:left="851" w:right="102"/>
        <w:jc w:val="both"/>
        <w:rPr>
          <w:color w:val="000000"/>
          <w:sz w:val="12"/>
          <w:szCs w:val="12"/>
        </w:rPr>
      </w:pPr>
    </w:p>
    <w:p w14:paraId="78EE85E7" w14:textId="762DA46A" w:rsidR="007A2DE3" w:rsidRPr="00872D7E" w:rsidRDefault="007A2DE3" w:rsidP="002F0CF7">
      <w:pPr>
        <w:autoSpaceDE w:val="0"/>
        <w:autoSpaceDN w:val="0"/>
        <w:ind w:left="851" w:right="102"/>
        <w:jc w:val="both"/>
        <w:rPr>
          <w:color w:val="000000"/>
          <w:szCs w:val="20"/>
        </w:rPr>
      </w:pPr>
      <w:r w:rsidRPr="00872D7E">
        <w:rPr>
          <w:color w:val="000000"/>
          <w:szCs w:val="20"/>
        </w:rPr>
        <w:t xml:space="preserve">Garantörlerin kredibiliteleri kredi revizyon vadeleri çerçevesinde izlenmekte ve değerlendirilmektedir. </w:t>
      </w:r>
    </w:p>
    <w:p w14:paraId="758EECF3" w14:textId="77777777" w:rsidR="002F0CF7" w:rsidRPr="00872D7E" w:rsidRDefault="002F0CF7" w:rsidP="002F0CF7">
      <w:pPr>
        <w:autoSpaceDE w:val="0"/>
        <w:autoSpaceDN w:val="0"/>
        <w:ind w:left="851" w:right="102"/>
        <w:jc w:val="both"/>
        <w:rPr>
          <w:color w:val="000000"/>
          <w:sz w:val="14"/>
          <w:szCs w:val="14"/>
        </w:rPr>
      </w:pPr>
    </w:p>
    <w:p w14:paraId="7193DC29" w14:textId="77777777" w:rsidR="007A2DE3" w:rsidRPr="00872D7E" w:rsidRDefault="007A2DE3" w:rsidP="002F0CF7">
      <w:pPr>
        <w:autoSpaceDE w:val="0"/>
        <w:autoSpaceDN w:val="0"/>
        <w:ind w:left="851" w:right="102"/>
        <w:jc w:val="both"/>
        <w:rPr>
          <w:color w:val="000000"/>
          <w:szCs w:val="20"/>
        </w:rPr>
      </w:pPr>
      <w:r w:rsidRPr="00872D7E">
        <w:rPr>
          <w:color w:val="000000"/>
          <w:szCs w:val="20"/>
        </w:rPr>
        <w:t xml:space="preserve">Banka tarafından alınan ipotekler kredi ilişkisi devam ettiği sürece ilgili mevzuat hükümleri uyarınca yeniden gözden geçirme ve ekspertiz işlemlerine konu edilmektedir. </w:t>
      </w:r>
    </w:p>
    <w:p w14:paraId="76C5DD6A" w14:textId="77777777" w:rsidR="002F0CF7" w:rsidRPr="00872D7E" w:rsidRDefault="002F0CF7" w:rsidP="002F0CF7">
      <w:pPr>
        <w:autoSpaceDE w:val="0"/>
        <w:autoSpaceDN w:val="0"/>
        <w:ind w:left="851" w:right="102"/>
        <w:jc w:val="both"/>
        <w:rPr>
          <w:color w:val="000000"/>
          <w:sz w:val="14"/>
          <w:szCs w:val="14"/>
        </w:rPr>
      </w:pPr>
    </w:p>
    <w:p w14:paraId="50720ACD" w14:textId="77777777" w:rsidR="007A2DE3" w:rsidRPr="00872D7E" w:rsidRDefault="007A2DE3" w:rsidP="002F0CF7">
      <w:pPr>
        <w:autoSpaceDE w:val="0"/>
        <w:autoSpaceDN w:val="0"/>
        <w:ind w:left="851" w:right="102"/>
        <w:jc w:val="both"/>
        <w:rPr>
          <w:color w:val="000000"/>
          <w:szCs w:val="20"/>
        </w:rPr>
      </w:pPr>
      <w:r w:rsidRPr="00872D7E">
        <w:rPr>
          <w:color w:val="00000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7590840D" w14:textId="77777777" w:rsidR="002F0CF7" w:rsidRPr="00872D7E" w:rsidRDefault="002F0CF7" w:rsidP="002F0CF7">
      <w:pPr>
        <w:autoSpaceDE w:val="0"/>
        <w:autoSpaceDN w:val="0"/>
        <w:ind w:left="851" w:right="102"/>
        <w:jc w:val="both"/>
        <w:rPr>
          <w:color w:val="000000"/>
          <w:sz w:val="16"/>
          <w:szCs w:val="16"/>
        </w:rPr>
      </w:pPr>
    </w:p>
    <w:p w14:paraId="421548B1" w14:textId="77777777" w:rsidR="007A2DE3" w:rsidRPr="00872D7E" w:rsidRDefault="007A2DE3" w:rsidP="002F0CF7">
      <w:pPr>
        <w:autoSpaceDE w:val="0"/>
        <w:autoSpaceDN w:val="0"/>
        <w:ind w:left="851" w:right="102"/>
        <w:jc w:val="both"/>
        <w:rPr>
          <w:color w:val="000000"/>
          <w:szCs w:val="20"/>
        </w:rPr>
      </w:pPr>
      <w:r w:rsidRPr="00872D7E">
        <w:rPr>
          <w:color w:val="00000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2430BB5E" w14:textId="77777777" w:rsidR="002F0CF7" w:rsidRPr="00872D7E" w:rsidRDefault="002F0CF7" w:rsidP="002F0CF7">
      <w:pPr>
        <w:autoSpaceDE w:val="0"/>
        <w:autoSpaceDN w:val="0"/>
        <w:ind w:left="851" w:right="102"/>
        <w:jc w:val="both"/>
        <w:rPr>
          <w:color w:val="000000"/>
          <w:sz w:val="14"/>
          <w:szCs w:val="14"/>
        </w:rPr>
      </w:pPr>
    </w:p>
    <w:p w14:paraId="45928F8F" w14:textId="77777777" w:rsidR="007A2DE3" w:rsidRPr="00872D7E" w:rsidRDefault="007A2DE3" w:rsidP="002F0CF7">
      <w:pPr>
        <w:ind w:left="851" w:right="102"/>
        <w:jc w:val="both"/>
        <w:outlineLvl w:val="1"/>
        <w:rPr>
          <w:color w:val="000000"/>
          <w:szCs w:val="20"/>
        </w:rPr>
      </w:pPr>
      <w:r w:rsidRPr="00872D7E">
        <w:rPr>
          <w:color w:val="000000"/>
          <w:szCs w:val="20"/>
        </w:rPr>
        <w:t>Gayrimenkul piyasasındaki volatilite Banka tarafından yakinen takip edilmekte olup, anılan risk sınıfına ilişkin piyasa hareketlerine bağlı olarak oluşabilecek dalgalanmalar kredi çalışmalarında dikkate alınmaktadır.</w:t>
      </w:r>
    </w:p>
    <w:p w14:paraId="57104368" w14:textId="77777777" w:rsidR="002F0CF7" w:rsidRPr="00872D7E" w:rsidRDefault="002F0CF7" w:rsidP="002F0CF7">
      <w:pPr>
        <w:ind w:left="851" w:right="102"/>
        <w:jc w:val="both"/>
        <w:outlineLvl w:val="1"/>
        <w:rPr>
          <w:color w:val="000000"/>
          <w:sz w:val="14"/>
          <w:szCs w:val="14"/>
        </w:rPr>
      </w:pPr>
    </w:p>
    <w:p w14:paraId="7F62D0FE" w14:textId="168A0809" w:rsidR="00DC64F5" w:rsidRPr="00872D7E" w:rsidRDefault="008C5672" w:rsidP="002F0CF7">
      <w:pPr>
        <w:ind w:left="851" w:hanging="851"/>
        <w:rPr>
          <w:b/>
          <w:bCs/>
          <w:szCs w:val="20"/>
        </w:rPr>
      </w:pPr>
      <w:r w:rsidRPr="00872D7E">
        <w:rPr>
          <w:b/>
          <w:bCs/>
          <w:szCs w:val="20"/>
        </w:rPr>
        <w:t>c</w:t>
      </w:r>
      <w:r w:rsidR="00DC64F5" w:rsidRPr="00872D7E">
        <w:rPr>
          <w:b/>
          <w:bCs/>
          <w:szCs w:val="20"/>
        </w:rPr>
        <w:t>.2.</w:t>
      </w:r>
      <w:r w:rsidRPr="00872D7E">
        <w:rPr>
          <w:b/>
          <w:bCs/>
          <w:szCs w:val="20"/>
        </w:rPr>
        <w:t>2</w:t>
      </w:r>
      <w:r w:rsidR="00DC64F5" w:rsidRPr="00872D7E">
        <w:rPr>
          <w:b/>
          <w:bCs/>
          <w:szCs w:val="20"/>
        </w:rPr>
        <w:t>.</w:t>
      </w:r>
      <w:r w:rsidR="00DC64F5" w:rsidRPr="00872D7E">
        <w:rPr>
          <w:b/>
          <w:bCs/>
          <w:szCs w:val="20"/>
        </w:rPr>
        <w:tab/>
        <w:t xml:space="preserve">Kredi Riski Azaltım </w:t>
      </w:r>
      <w:proofErr w:type="gramStart"/>
      <w:r w:rsidR="00DC64F5" w:rsidRPr="00872D7E">
        <w:rPr>
          <w:b/>
          <w:bCs/>
          <w:szCs w:val="20"/>
        </w:rPr>
        <w:t>Teknikleri</w:t>
      </w:r>
      <w:r w:rsidR="009D1016" w:rsidRPr="00872D7E">
        <w:rPr>
          <w:b/>
          <w:bCs/>
          <w:szCs w:val="20"/>
        </w:rPr>
        <w:t xml:space="preserve"> </w:t>
      </w:r>
      <w:r w:rsidR="00DC64F5" w:rsidRPr="00872D7E">
        <w:rPr>
          <w:b/>
          <w:bCs/>
          <w:szCs w:val="20"/>
        </w:rPr>
        <w:t>-</w:t>
      </w:r>
      <w:proofErr w:type="gramEnd"/>
      <w:r w:rsidR="00DC64F5" w:rsidRPr="00872D7E">
        <w:rPr>
          <w:b/>
          <w:bCs/>
          <w:szCs w:val="20"/>
        </w:rPr>
        <w:t xml:space="preserve"> Genel Bakış:</w:t>
      </w:r>
    </w:p>
    <w:p w14:paraId="244ABFD9" w14:textId="58435487" w:rsidR="00862A01" w:rsidRPr="00872D7E" w:rsidRDefault="00862A01" w:rsidP="002F0CF7">
      <w:pPr>
        <w:rPr>
          <w:sz w:val="16"/>
          <w:szCs w:val="20"/>
        </w:rPr>
      </w:pPr>
    </w:p>
    <w:tbl>
      <w:tblPr>
        <w:tblW w:w="5007" w:type="pct"/>
        <w:tblCellMar>
          <w:left w:w="70" w:type="dxa"/>
          <w:right w:w="70" w:type="dxa"/>
        </w:tblCellMar>
        <w:tblLook w:val="04A0" w:firstRow="1" w:lastRow="0" w:firstColumn="1" w:lastColumn="0" w:noHBand="0" w:noVBand="1"/>
      </w:tblPr>
      <w:tblGrid>
        <w:gridCol w:w="229"/>
        <w:gridCol w:w="1660"/>
        <w:gridCol w:w="1272"/>
        <w:gridCol w:w="1010"/>
        <w:gridCol w:w="1139"/>
        <w:gridCol w:w="1145"/>
        <w:gridCol w:w="1143"/>
        <w:gridCol w:w="994"/>
        <w:gridCol w:w="1060"/>
      </w:tblGrid>
      <w:tr w:rsidR="00862A01" w:rsidRPr="00872D7E" w14:paraId="2E43F857" w14:textId="77777777" w:rsidTr="002F0CF7">
        <w:trPr>
          <w:divId w:val="122433178"/>
          <w:trHeight w:val="113"/>
        </w:trPr>
        <w:tc>
          <w:tcPr>
            <w:tcW w:w="979" w:type="pct"/>
            <w:gridSpan w:val="2"/>
            <w:tcBorders>
              <w:top w:val="single" w:sz="4" w:space="0" w:color="auto"/>
              <w:bottom w:val="single" w:sz="4" w:space="0" w:color="auto"/>
            </w:tcBorders>
            <w:shd w:val="clear" w:color="auto" w:fill="auto"/>
            <w:noWrap/>
            <w:vAlign w:val="center"/>
            <w:hideMark/>
          </w:tcPr>
          <w:p w14:paraId="6A326426" w14:textId="1C848E10" w:rsidR="00862A01" w:rsidRPr="00872D7E" w:rsidRDefault="00862A01" w:rsidP="002F0CF7">
            <w:pPr>
              <w:jc w:val="center"/>
              <w:rPr>
                <w:b/>
                <w:bCs/>
                <w:color w:val="000000"/>
                <w:sz w:val="16"/>
                <w:szCs w:val="16"/>
                <w:lang w:eastAsia="tr-TR"/>
              </w:rPr>
            </w:pPr>
            <w:r w:rsidRPr="00872D7E">
              <w:rPr>
                <w:b/>
                <w:bCs/>
                <w:color w:val="000000"/>
                <w:sz w:val="16"/>
                <w:szCs w:val="16"/>
                <w:lang w:eastAsia="tr-TR"/>
              </w:rPr>
              <w:t>31 Aralık 2024</w:t>
            </w:r>
          </w:p>
        </w:tc>
        <w:tc>
          <w:tcPr>
            <w:tcW w:w="659" w:type="pct"/>
            <w:tcBorders>
              <w:top w:val="single" w:sz="4" w:space="0" w:color="auto"/>
              <w:bottom w:val="single" w:sz="4" w:space="0" w:color="auto"/>
            </w:tcBorders>
            <w:shd w:val="clear" w:color="auto" w:fill="auto"/>
            <w:vAlign w:val="bottom"/>
            <w:hideMark/>
          </w:tcPr>
          <w:p w14:paraId="2A390350" w14:textId="77777777" w:rsidR="00862A01" w:rsidRPr="00872D7E" w:rsidRDefault="00862A01" w:rsidP="002F0CF7">
            <w:pPr>
              <w:jc w:val="right"/>
              <w:rPr>
                <w:b/>
                <w:bCs/>
                <w:color w:val="000000"/>
                <w:sz w:val="16"/>
                <w:szCs w:val="16"/>
                <w:lang w:eastAsia="tr-TR"/>
              </w:rPr>
            </w:pPr>
            <w:r w:rsidRPr="00872D7E">
              <w:rPr>
                <w:b/>
                <w:bCs/>
                <w:color w:val="000000"/>
                <w:sz w:val="16"/>
                <w:szCs w:val="16"/>
                <w:lang w:eastAsia="tr-TR"/>
              </w:rPr>
              <w:t>Teminatsız alacaklar: TMS uyarınca değerlenmiş tutar</w:t>
            </w:r>
          </w:p>
        </w:tc>
        <w:tc>
          <w:tcPr>
            <w:tcW w:w="523" w:type="pct"/>
            <w:tcBorders>
              <w:top w:val="single" w:sz="4" w:space="0" w:color="auto"/>
              <w:bottom w:val="single" w:sz="4" w:space="0" w:color="auto"/>
            </w:tcBorders>
            <w:shd w:val="clear" w:color="auto" w:fill="auto"/>
            <w:vAlign w:val="bottom"/>
            <w:hideMark/>
          </w:tcPr>
          <w:p w14:paraId="6840D10D" w14:textId="77777777" w:rsidR="00862A01" w:rsidRPr="00872D7E" w:rsidRDefault="00862A01" w:rsidP="002F0CF7">
            <w:pPr>
              <w:jc w:val="right"/>
              <w:rPr>
                <w:b/>
                <w:bCs/>
                <w:color w:val="000000"/>
                <w:sz w:val="16"/>
                <w:szCs w:val="16"/>
                <w:lang w:eastAsia="tr-TR"/>
              </w:rPr>
            </w:pPr>
            <w:r w:rsidRPr="00872D7E">
              <w:rPr>
                <w:b/>
                <w:bCs/>
                <w:color w:val="000000"/>
                <w:sz w:val="16"/>
                <w:szCs w:val="16"/>
                <w:lang w:eastAsia="tr-TR"/>
              </w:rPr>
              <w:t>Teminat ile korunan alacaklar</w:t>
            </w:r>
          </w:p>
        </w:tc>
        <w:tc>
          <w:tcPr>
            <w:tcW w:w="590" w:type="pct"/>
            <w:tcBorders>
              <w:top w:val="single" w:sz="4" w:space="0" w:color="auto"/>
              <w:bottom w:val="single" w:sz="4" w:space="0" w:color="auto"/>
            </w:tcBorders>
            <w:shd w:val="clear" w:color="auto" w:fill="auto"/>
            <w:vAlign w:val="bottom"/>
            <w:hideMark/>
          </w:tcPr>
          <w:p w14:paraId="19A0DA62" w14:textId="77777777" w:rsidR="00862A01" w:rsidRPr="00872D7E" w:rsidRDefault="00862A01" w:rsidP="002F0CF7">
            <w:pPr>
              <w:jc w:val="right"/>
              <w:rPr>
                <w:b/>
                <w:bCs/>
                <w:color w:val="000000"/>
                <w:sz w:val="16"/>
                <w:szCs w:val="16"/>
                <w:lang w:eastAsia="tr-TR"/>
              </w:rPr>
            </w:pPr>
            <w:r w:rsidRPr="00872D7E">
              <w:rPr>
                <w:b/>
                <w:bCs/>
                <w:color w:val="000000"/>
                <w:sz w:val="16"/>
                <w:szCs w:val="16"/>
                <w:lang w:eastAsia="tr-TR"/>
              </w:rPr>
              <w:t>Teminat ile korunan alacakların teminatlı kısımları</w:t>
            </w:r>
          </w:p>
        </w:tc>
        <w:tc>
          <w:tcPr>
            <w:tcW w:w="593" w:type="pct"/>
            <w:tcBorders>
              <w:top w:val="single" w:sz="4" w:space="0" w:color="auto"/>
              <w:bottom w:val="single" w:sz="4" w:space="0" w:color="auto"/>
            </w:tcBorders>
            <w:shd w:val="clear" w:color="auto" w:fill="auto"/>
            <w:vAlign w:val="bottom"/>
            <w:hideMark/>
          </w:tcPr>
          <w:p w14:paraId="4AE6A257" w14:textId="77777777" w:rsidR="00862A01" w:rsidRPr="00872D7E" w:rsidRDefault="00862A01" w:rsidP="002F0CF7">
            <w:pPr>
              <w:jc w:val="right"/>
              <w:rPr>
                <w:b/>
                <w:bCs/>
                <w:color w:val="000000"/>
                <w:sz w:val="16"/>
                <w:szCs w:val="16"/>
                <w:lang w:eastAsia="tr-TR"/>
              </w:rPr>
            </w:pPr>
            <w:r w:rsidRPr="00872D7E">
              <w:rPr>
                <w:b/>
                <w:bCs/>
                <w:color w:val="000000"/>
                <w:sz w:val="16"/>
                <w:szCs w:val="16"/>
                <w:lang w:eastAsia="tr-TR"/>
              </w:rPr>
              <w:t>Finansal garantiler ile korunan alacaklar</w:t>
            </w:r>
          </w:p>
        </w:tc>
        <w:tc>
          <w:tcPr>
            <w:tcW w:w="592" w:type="pct"/>
            <w:tcBorders>
              <w:top w:val="single" w:sz="4" w:space="0" w:color="auto"/>
              <w:bottom w:val="single" w:sz="4" w:space="0" w:color="auto"/>
            </w:tcBorders>
            <w:shd w:val="clear" w:color="auto" w:fill="auto"/>
            <w:vAlign w:val="bottom"/>
            <w:hideMark/>
          </w:tcPr>
          <w:p w14:paraId="0CEEBB0D" w14:textId="77777777" w:rsidR="00862A01" w:rsidRPr="00872D7E" w:rsidRDefault="00862A01" w:rsidP="002F0CF7">
            <w:pPr>
              <w:jc w:val="right"/>
              <w:rPr>
                <w:b/>
                <w:bCs/>
                <w:color w:val="000000"/>
                <w:sz w:val="16"/>
                <w:szCs w:val="16"/>
                <w:lang w:eastAsia="tr-TR"/>
              </w:rPr>
            </w:pPr>
            <w:r w:rsidRPr="00872D7E">
              <w:rPr>
                <w:b/>
                <w:bCs/>
                <w:color w:val="000000"/>
                <w:sz w:val="16"/>
                <w:szCs w:val="16"/>
                <w:lang w:eastAsia="tr-TR"/>
              </w:rPr>
              <w:t>Finansal garantiler ile korunan alacakların teminatlı kısımları</w:t>
            </w:r>
          </w:p>
        </w:tc>
        <w:tc>
          <w:tcPr>
            <w:tcW w:w="515" w:type="pct"/>
            <w:tcBorders>
              <w:top w:val="single" w:sz="4" w:space="0" w:color="auto"/>
              <w:bottom w:val="single" w:sz="4" w:space="0" w:color="auto"/>
            </w:tcBorders>
            <w:shd w:val="clear" w:color="auto" w:fill="auto"/>
            <w:vAlign w:val="bottom"/>
            <w:hideMark/>
          </w:tcPr>
          <w:p w14:paraId="3D8A943A" w14:textId="77777777" w:rsidR="00862A01" w:rsidRPr="00872D7E" w:rsidRDefault="00862A01" w:rsidP="002F0CF7">
            <w:pPr>
              <w:jc w:val="right"/>
              <w:rPr>
                <w:b/>
                <w:bCs/>
                <w:color w:val="000000"/>
                <w:sz w:val="16"/>
                <w:szCs w:val="16"/>
                <w:lang w:eastAsia="tr-TR"/>
              </w:rPr>
            </w:pPr>
            <w:r w:rsidRPr="00872D7E">
              <w:rPr>
                <w:b/>
                <w:bCs/>
                <w:color w:val="000000"/>
                <w:sz w:val="16"/>
                <w:szCs w:val="16"/>
                <w:lang w:eastAsia="tr-TR"/>
              </w:rPr>
              <w:t>Kredi türevleri ile korunan alacaklar</w:t>
            </w:r>
          </w:p>
        </w:tc>
        <w:tc>
          <w:tcPr>
            <w:tcW w:w="550" w:type="pct"/>
            <w:tcBorders>
              <w:top w:val="single" w:sz="4" w:space="0" w:color="auto"/>
              <w:bottom w:val="single" w:sz="4" w:space="0" w:color="auto"/>
            </w:tcBorders>
            <w:shd w:val="clear" w:color="auto" w:fill="auto"/>
            <w:vAlign w:val="bottom"/>
            <w:hideMark/>
          </w:tcPr>
          <w:p w14:paraId="086538E2" w14:textId="77777777" w:rsidR="00862A01" w:rsidRPr="00872D7E" w:rsidRDefault="00862A01" w:rsidP="002F0CF7">
            <w:pPr>
              <w:jc w:val="right"/>
              <w:rPr>
                <w:b/>
                <w:bCs/>
                <w:color w:val="000000"/>
                <w:sz w:val="16"/>
                <w:szCs w:val="16"/>
                <w:lang w:eastAsia="tr-TR"/>
              </w:rPr>
            </w:pPr>
            <w:r w:rsidRPr="00872D7E">
              <w:rPr>
                <w:b/>
                <w:bCs/>
                <w:color w:val="000000"/>
                <w:sz w:val="16"/>
                <w:szCs w:val="16"/>
                <w:lang w:eastAsia="tr-TR"/>
              </w:rPr>
              <w:t>Kredi türevleri ile korunan alacakların teminatlı kısımları</w:t>
            </w:r>
          </w:p>
        </w:tc>
      </w:tr>
      <w:tr w:rsidR="00862A01" w:rsidRPr="00872D7E" w14:paraId="02FFEA63" w14:textId="77777777" w:rsidTr="002F0CF7">
        <w:trPr>
          <w:divId w:val="122433178"/>
          <w:trHeight w:val="113"/>
        </w:trPr>
        <w:tc>
          <w:tcPr>
            <w:tcW w:w="119" w:type="pct"/>
            <w:tcBorders>
              <w:top w:val="single" w:sz="4" w:space="0" w:color="auto"/>
            </w:tcBorders>
            <w:shd w:val="clear" w:color="auto" w:fill="auto"/>
            <w:noWrap/>
            <w:hideMark/>
          </w:tcPr>
          <w:p w14:paraId="009AEAF7" w14:textId="77777777" w:rsidR="00862A01" w:rsidRPr="00872D7E" w:rsidRDefault="00862A01" w:rsidP="002F0CF7">
            <w:pPr>
              <w:jc w:val="right"/>
              <w:rPr>
                <w:color w:val="000000"/>
                <w:sz w:val="16"/>
                <w:szCs w:val="16"/>
                <w:lang w:eastAsia="tr-TR"/>
              </w:rPr>
            </w:pPr>
            <w:r w:rsidRPr="00872D7E">
              <w:rPr>
                <w:color w:val="000000"/>
                <w:sz w:val="16"/>
                <w:szCs w:val="16"/>
                <w:lang w:eastAsia="tr-TR"/>
              </w:rPr>
              <w:t>1</w:t>
            </w:r>
          </w:p>
        </w:tc>
        <w:tc>
          <w:tcPr>
            <w:tcW w:w="859" w:type="pct"/>
            <w:tcBorders>
              <w:top w:val="single" w:sz="4" w:space="0" w:color="auto"/>
            </w:tcBorders>
            <w:shd w:val="clear" w:color="auto" w:fill="auto"/>
            <w:noWrap/>
            <w:vAlign w:val="bottom"/>
            <w:hideMark/>
          </w:tcPr>
          <w:p w14:paraId="5234B289" w14:textId="77777777" w:rsidR="00862A01" w:rsidRPr="00872D7E" w:rsidRDefault="00862A01" w:rsidP="002F0CF7">
            <w:pPr>
              <w:rPr>
                <w:color w:val="000000"/>
                <w:sz w:val="16"/>
                <w:szCs w:val="16"/>
                <w:lang w:eastAsia="tr-TR"/>
              </w:rPr>
            </w:pPr>
            <w:r w:rsidRPr="00872D7E">
              <w:rPr>
                <w:color w:val="000000"/>
                <w:sz w:val="16"/>
                <w:szCs w:val="16"/>
                <w:lang w:eastAsia="tr-TR"/>
              </w:rPr>
              <w:t>Krediler</w:t>
            </w:r>
          </w:p>
        </w:tc>
        <w:tc>
          <w:tcPr>
            <w:tcW w:w="659" w:type="pct"/>
            <w:tcBorders>
              <w:top w:val="single" w:sz="4" w:space="0" w:color="auto"/>
            </w:tcBorders>
            <w:shd w:val="clear" w:color="auto" w:fill="auto"/>
            <w:vAlign w:val="center"/>
            <w:hideMark/>
          </w:tcPr>
          <w:p w14:paraId="4AB22370" w14:textId="77777777" w:rsidR="00862A01" w:rsidRPr="00872D7E" w:rsidRDefault="00862A01" w:rsidP="002F0CF7">
            <w:pPr>
              <w:jc w:val="right"/>
              <w:rPr>
                <w:color w:val="000000"/>
                <w:sz w:val="16"/>
                <w:szCs w:val="16"/>
                <w:lang w:eastAsia="tr-TR"/>
              </w:rPr>
            </w:pPr>
            <w:r w:rsidRPr="00872D7E">
              <w:rPr>
                <w:sz w:val="16"/>
                <w:szCs w:val="16"/>
              </w:rPr>
              <w:t>21.785.865</w:t>
            </w:r>
          </w:p>
        </w:tc>
        <w:tc>
          <w:tcPr>
            <w:tcW w:w="523" w:type="pct"/>
            <w:tcBorders>
              <w:top w:val="single" w:sz="4" w:space="0" w:color="auto"/>
            </w:tcBorders>
            <w:shd w:val="clear" w:color="auto" w:fill="auto"/>
            <w:vAlign w:val="center"/>
            <w:hideMark/>
          </w:tcPr>
          <w:p w14:paraId="2F0653AF" w14:textId="77777777" w:rsidR="00862A01" w:rsidRPr="00872D7E" w:rsidRDefault="00862A01" w:rsidP="002F0CF7">
            <w:pPr>
              <w:jc w:val="right"/>
              <w:rPr>
                <w:color w:val="000000"/>
                <w:sz w:val="16"/>
                <w:szCs w:val="16"/>
                <w:lang w:eastAsia="tr-TR"/>
              </w:rPr>
            </w:pPr>
            <w:r w:rsidRPr="00872D7E">
              <w:rPr>
                <w:sz w:val="16"/>
                <w:szCs w:val="16"/>
              </w:rPr>
              <w:t>1.247.957</w:t>
            </w:r>
          </w:p>
        </w:tc>
        <w:tc>
          <w:tcPr>
            <w:tcW w:w="590" w:type="pct"/>
            <w:tcBorders>
              <w:top w:val="single" w:sz="4" w:space="0" w:color="auto"/>
            </w:tcBorders>
            <w:shd w:val="clear" w:color="auto" w:fill="auto"/>
            <w:vAlign w:val="center"/>
            <w:hideMark/>
          </w:tcPr>
          <w:p w14:paraId="20C52BCE" w14:textId="77777777" w:rsidR="00862A01" w:rsidRPr="00872D7E" w:rsidRDefault="00862A01" w:rsidP="002F0CF7">
            <w:pPr>
              <w:jc w:val="right"/>
              <w:rPr>
                <w:color w:val="000000"/>
                <w:sz w:val="16"/>
                <w:szCs w:val="16"/>
                <w:lang w:eastAsia="tr-TR"/>
              </w:rPr>
            </w:pPr>
            <w:r w:rsidRPr="00872D7E">
              <w:rPr>
                <w:sz w:val="16"/>
                <w:szCs w:val="16"/>
              </w:rPr>
              <w:t>299.577</w:t>
            </w:r>
          </w:p>
        </w:tc>
        <w:tc>
          <w:tcPr>
            <w:tcW w:w="593" w:type="pct"/>
            <w:tcBorders>
              <w:top w:val="single" w:sz="4" w:space="0" w:color="auto"/>
            </w:tcBorders>
            <w:shd w:val="clear" w:color="auto" w:fill="auto"/>
            <w:vAlign w:val="center"/>
            <w:hideMark/>
          </w:tcPr>
          <w:p w14:paraId="472E3F66" w14:textId="77777777" w:rsidR="00862A01" w:rsidRPr="00872D7E" w:rsidRDefault="00862A01" w:rsidP="002F0CF7">
            <w:pPr>
              <w:jc w:val="right"/>
              <w:rPr>
                <w:color w:val="000000"/>
                <w:sz w:val="16"/>
                <w:szCs w:val="16"/>
                <w:lang w:eastAsia="tr-TR"/>
              </w:rPr>
            </w:pPr>
            <w:r w:rsidRPr="00872D7E">
              <w:rPr>
                <w:sz w:val="16"/>
                <w:szCs w:val="16"/>
              </w:rPr>
              <w:t>-</w:t>
            </w:r>
          </w:p>
        </w:tc>
        <w:tc>
          <w:tcPr>
            <w:tcW w:w="592" w:type="pct"/>
            <w:tcBorders>
              <w:top w:val="single" w:sz="4" w:space="0" w:color="auto"/>
            </w:tcBorders>
            <w:shd w:val="clear" w:color="auto" w:fill="auto"/>
            <w:vAlign w:val="center"/>
            <w:hideMark/>
          </w:tcPr>
          <w:p w14:paraId="5443036C" w14:textId="77777777" w:rsidR="00862A01" w:rsidRPr="00872D7E" w:rsidRDefault="00862A01" w:rsidP="002F0CF7">
            <w:pPr>
              <w:jc w:val="right"/>
              <w:rPr>
                <w:color w:val="000000"/>
                <w:sz w:val="16"/>
                <w:szCs w:val="16"/>
                <w:lang w:eastAsia="tr-TR"/>
              </w:rPr>
            </w:pPr>
            <w:r w:rsidRPr="00872D7E">
              <w:rPr>
                <w:sz w:val="16"/>
                <w:szCs w:val="16"/>
              </w:rPr>
              <w:t>-</w:t>
            </w:r>
          </w:p>
        </w:tc>
        <w:tc>
          <w:tcPr>
            <w:tcW w:w="515" w:type="pct"/>
            <w:tcBorders>
              <w:top w:val="single" w:sz="4" w:space="0" w:color="auto"/>
            </w:tcBorders>
            <w:shd w:val="clear" w:color="auto" w:fill="auto"/>
            <w:vAlign w:val="center"/>
            <w:hideMark/>
          </w:tcPr>
          <w:p w14:paraId="29E71822" w14:textId="77777777" w:rsidR="00862A01" w:rsidRPr="00872D7E" w:rsidRDefault="00862A01" w:rsidP="002F0CF7">
            <w:pPr>
              <w:jc w:val="right"/>
              <w:rPr>
                <w:color w:val="000000"/>
                <w:sz w:val="16"/>
                <w:szCs w:val="16"/>
                <w:lang w:eastAsia="tr-TR"/>
              </w:rPr>
            </w:pPr>
            <w:r w:rsidRPr="00872D7E">
              <w:rPr>
                <w:sz w:val="16"/>
                <w:szCs w:val="16"/>
              </w:rPr>
              <w:t>-</w:t>
            </w:r>
          </w:p>
        </w:tc>
        <w:tc>
          <w:tcPr>
            <w:tcW w:w="550" w:type="pct"/>
            <w:tcBorders>
              <w:top w:val="single" w:sz="4" w:space="0" w:color="auto"/>
            </w:tcBorders>
            <w:shd w:val="clear" w:color="auto" w:fill="auto"/>
            <w:vAlign w:val="center"/>
            <w:hideMark/>
          </w:tcPr>
          <w:p w14:paraId="21959849" w14:textId="77777777" w:rsidR="00862A01" w:rsidRPr="00872D7E" w:rsidRDefault="00862A01" w:rsidP="002F0CF7">
            <w:pPr>
              <w:jc w:val="right"/>
              <w:rPr>
                <w:color w:val="000000"/>
                <w:sz w:val="16"/>
                <w:szCs w:val="16"/>
                <w:lang w:eastAsia="tr-TR"/>
              </w:rPr>
            </w:pPr>
            <w:r w:rsidRPr="00872D7E">
              <w:rPr>
                <w:sz w:val="16"/>
                <w:szCs w:val="16"/>
              </w:rPr>
              <w:t>-</w:t>
            </w:r>
          </w:p>
        </w:tc>
      </w:tr>
      <w:tr w:rsidR="00862A01" w:rsidRPr="00872D7E" w14:paraId="481EB400" w14:textId="77777777" w:rsidTr="002F0CF7">
        <w:trPr>
          <w:divId w:val="122433178"/>
          <w:trHeight w:val="113"/>
        </w:trPr>
        <w:tc>
          <w:tcPr>
            <w:tcW w:w="119" w:type="pct"/>
            <w:shd w:val="clear" w:color="auto" w:fill="auto"/>
            <w:noWrap/>
            <w:hideMark/>
          </w:tcPr>
          <w:p w14:paraId="2ECF7E7B" w14:textId="77777777" w:rsidR="00862A01" w:rsidRPr="00872D7E" w:rsidRDefault="00862A01" w:rsidP="002F0CF7">
            <w:pPr>
              <w:rPr>
                <w:color w:val="000000"/>
                <w:sz w:val="16"/>
                <w:szCs w:val="16"/>
                <w:lang w:eastAsia="tr-TR"/>
              </w:rPr>
            </w:pPr>
            <w:r w:rsidRPr="00872D7E">
              <w:rPr>
                <w:color w:val="000000"/>
                <w:sz w:val="16"/>
                <w:szCs w:val="16"/>
                <w:lang w:eastAsia="tr-TR"/>
              </w:rPr>
              <w:t>2</w:t>
            </w:r>
          </w:p>
        </w:tc>
        <w:tc>
          <w:tcPr>
            <w:tcW w:w="859" w:type="pct"/>
            <w:shd w:val="clear" w:color="auto" w:fill="auto"/>
            <w:noWrap/>
            <w:vAlign w:val="bottom"/>
            <w:hideMark/>
          </w:tcPr>
          <w:p w14:paraId="6933F619" w14:textId="77777777" w:rsidR="00862A01" w:rsidRPr="00872D7E" w:rsidRDefault="00862A01" w:rsidP="002F0CF7">
            <w:pPr>
              <w:rPr>
                <w:color w:val="000000"/>
                <w:sz w:val="16"/>
                <w:szCs w:val="16"/>
                <w:lang w:eastAsia="tr-TR"/>
              </w:rPr>
            </w:pPr>
            <w:r w:rsidRPr="00872D7E">
              <w:rPr>
                <w:color w:val="000000"/>
                <w:sz w:val="16"/>
                <w:szCs w:val="16"/>
                <w:lang w:eastAsia="tr-TR"/>
              </w:rPr>
              <w:t>Borçlanma araçları</w:t>
            </w:r>
          </w:p>
        </w:tc>
        <w:tc>
          <w:tcPr>
            <w:tcW w:w="659" w:type="pct"/>
            <w:shd w:val="clear" w:color="auto" w:fill="auto"/>
            <w:vAlign w:val="center"/>
            <w:hideMark/>
          </w:tcPr>
          <w:p w14:paraId="0974FD85" w14:textId="77777777" w:rsidR="00862A01" w:rsidRPr="00872D7E" w:rsidRDefault="00862A01" w:rsidP="002F0CF7">
            <w:pPr>
              <w:jc w:val="right"/>
              <w:rPr>
                <w:color w:val="000000"/>
                <w:sz w:val="16"/>
                <w:szCs w:val="16"/>
                <w:lang w:eastAsia="tr-TR"/>
              </w:rPr>
            </w:pPr>
            <w:r w:rsidRPr="00872D7E">
              <w:rPr>
                <w:sz w:val="16"/>
                <w:szCs w:val="16"/>
              </w:rPr>
              <w:t>1.488.089</w:t>
            </w:r>
          </w:p>
        </w:tc>
        <w:tc>
          <w:tcPr>
            <w:tcW w:w="523" w:type="pct"/>
            <w:shd w:val="clear" w:color="auto" w:fill="auto"/>
            <w:vAlign w:val="center"/>
            <w:hideMark/>
          </w:tcPr>
          <w:p w14:paraId="682E8206" w14:textId="77777777" w:rsidR="00862A01" w:rsidRPr="00872D7E" w:rsidRDefault="00862A01" w:rsidP="002F0CF7">
            <w:pPr>
              <w:jc w:val="right"/>
              <w:rPr>
                <w:color w:val="000000"/>
                <w:sz w:val="16"/>
                <w:szCs w:val="16"/>
                <w:lang w:eastAsia="tr-TR"/>
              </w:rPr>
            </w:pPr>
            <w:r w:rsidRPr="00872D7E">
              <w:rPr>
                <w:sz w:val="16"/>
                <w:szCs w:val="16"/>
              </w:rPr>
              <w:t>-</w:t>
            </w:r>
          </w:p>
        </w:tc>
        <w:tc>
          <w:tcPr>
            <w:tcW w:w="590" w:type="pct"/>
            <w:shd w:val="clear" w:color="auto" w:fill="auto"/>
            <w:vAlign w:val="center"/>
            <w:hideMark/>
          </w:tcPr>
          <w:p w14:paraId="5B3F0E8C" w14:textId="77777777" w:rsidR="00862A01" w:rsidRPr="00872D7E" w:rsidRDefault="00862A01" w:rsidP="002F0CF7">
            <w:pPr>
              <w:jc w:val="right"/>
              <w:rPr>
                <w:color w:val="000000"/>
                <w:sz w:val="16"/>
                <w:szCs w:val="16"/>
                <w:lang w:eastAsia="tr-TR"/>
              </w:rPr>
            </w:pPr>
            <w:r w:rsidRPr="00872D7E">
              <w:rPr>
                <w:sz w:val="16"/>
                <w:szCs w:val="16"/>
              </w:rPr>
              <w:t>-</w:t>
            </w:r>
          </w:p>
        </w:tc>
        <w:tc>
          <w:tcPr>
            <w:tcW w:w="593" w:type="pct"/>
            <w:shd w:val="clear" w:color="auto" w:fill="auto"/>
            <w:vAlign w:val="center"/>
            <w:hideMark/>
          </w:tcPr>
          <w:p w14:paraId="1D1E000E" w14:textId="77777777" w:rsidR="00862A01" w:rsidRPr="00872D7E" w:rsidRDefault="00862A01" w:rsidP="002F0CF7">
            <w:pPr>
              <w:jc w:val="right"/>
              <w:rPr>
                <w:color w:val="000000"/>
                <w:sz w:val="16"/>
                <w:szCs w:val="16"/>
                <w:lang w:eastAsia="tr-TR"/>
              </w:rPr>
            </w:pPr>
            <w:r w:rsidRPr="00872D7E">
              <w:rPr>
                <w:sz w:val="16"/>
                <w:szCs w:val="16"/>
              </w:rPr>
              <w:t>-</w:t>
            </w:r>
          </w:p>
        </w:tc>
        <w:tc>
          <w:tcPr>
            <w:tcW w:w="592" w:type="pct"/>
            <w:shd w:val="clear" w:color="auto" w:fill="auto"/>
            <w:vAlign w:val="center"/>
            <w:hideMark/>
          </w:tcPr>
          <w:p w14:paraId="22F4E1D8" w14:textId="77777777" w:rsidR="00862A01" w:rsidRPr="00872D7E" w:rsidRDefault="00862A01" w:rsidP="002F0CF7">
            <w:pPr>
              <w:jc w:val="right"/>
              <w:rPr>
                <w:color w:val="000000"/>
                <w:sz w:val="16"/>
                <w:szCs w:val="16"/>
                <w:lang w:eastAsia="tr-TR"/>
              </w:rPr>
            </w:pPr>
            <w:r w:rsidRPr="00872D7E">
              <w:rPr>
                <w:sz w:val="16"/>
                <w:szCs w:val="16"/>
              </w:rPr>
              <w:t>-</w:t>
            </w:r>
          </w:p>
        </w:tc>
        <w:tc>
          <w:tcPr>
            <w:tcW w:w="515" w:type="pct"/>
            <w:shd w:val="clear" w:color="auto" w:fill="auto"/>
            <w:vAlign w:val="center"/>
            <w:hideMark/>
          </w:tcPr>
          <w:p w14:paraId="2788DD42" w14:textId="77777777" w:rsidR="00862A01" w:rsidRPr="00872D7E" w:rsidRDefault="00862A01" w:rsidP="002F0CF7">
            <w:pPr>
              <w:jc w:val="right"/>
              <w:rPr>
                <w:color w:val="000000"/>
                <w:sz w:val="16"/>
                <w:szCs w:val="16"/>
                <w:lang w:eastAsia="tr-TR"/>
              </w:rPr>
            </w:pPr>
            <w:r w:rsidRPr="00872D7E">
              <w:rPr>
                <w:sz w:val="16"/>
                <w:szCs w:val="16"/>
              </w:rPr>
              <w:t>-</w:t>
            </w:r>
          </w:p>
        </w:tc>
        <w:tc>
          <w:tcPr>
            <w:tcW w:w="550" w:type="pct"/>
            <w:shd w:val="clear" w:color="auto" w:fill="auto"/>
            <w:vAlign w:val="center"/>
            <w:hideMark/>
          </w:tcPr>
          <w:p w14:paraId="489CF2E2" w14:textId="77777777" w:rsidR="00862A01" w:rsidRPr="00872D7E" w:rsidRDefault="00862A01" w:rsidP="002F0CF7">
            <w:pPr>
              <w:jc w:val="right"/>
              <w:rPr>
                <w:color w:val="000000"/>
                <w:sz w:val="16"/>
                <w:szCs w:val="16"/>
                <w:lang w:eastAsia="tr-TR"/>
              </w:rPr>
            </w:pPr>
            <w:r w:rsidRPr="00872D7E">
              <w:rPr>
                <w:sz w:val="16"/>
                <w:szCs w:val="16"/>
              </w:rPr>
              <w:t>-</w:t>
            </w:r>
          </w:p>
        </w:tc>
      </w:tr>
      <w:tr w:rsidR="00862A01" w:rsidRPr="00872D7E" w14:paraId="5571E430" w14:textId="77777777" w:rsidTr="002F0CF7">
        <w:trPr>
          <w:divId w:val="122433178"/>
          <w:trHeight w:val="113"/>
        </w:trPr>
        <w:tc>
          <w:tcPr>
            <w:tcW w:w="119" w:type="pct"/>
            <w:shd w:val="clear" w:color="auto" w:fill="auto"/>
            <w:noWrap/>
            <w:hideMark/>
          </w:tcPr>
          <w:p w14:paraId="5CEC2D0E" w14:textId="77777777" w:rsidR="00862A01" w:rsidRPr="00872D7E" w:rsidRDefault="00862A01" w:rsidP="002F0CF7">
            <w:pPr>
              <w:rPr>
                <w:b/>
                <w:bCs/>
                <w:color w:val="000000"/>
                <w:sz w:val="16"/>
                <w:szCs w:val="16"/>
                <w:lang w:eastAsia="tr-TR"/>
              </w:rPr>
            </w:pPr>
            <w:r w:rsidRPr="00872D7E">
              <w:rPr>
                <w:b/>
                <w:bCs/>
                <w:color w:val="000000"/>
                <w:sz w:val="16"/>
                <w:szCs w:val="16"/>
                <w:lang w:eastAsia="tr-TR"/>
              </w:rPr>
              <w:t>3</w:t>
            </w:r>
          </w:p>
        </w:tc>
        <w:tc>
          <w:tcPr>
            <w:tcW w:w="859" w:type="pct"/>
            <w:shd w:val="clear" w:color="auto" w:fill="auto"/>
            <w:noWrap/>
            <w:vAlign w:val="bottom"/>
            <w:hideMark/>
          </w:tcPr>
          <w:p w14:paraId="6B894FBE" w14:textId="77777777" w:rsidR="00862A01" w:rsidRPr="00872D7E" w:rsidRDefault="00862A01" w:rsidP="002F0CF7">
            <w:pPr>
              <w:rPr>
                <w:b/>
                <w:bCs/>
                <w:color w:val="000000"/>
                <w:sz w:val="16"/>
                <w:szCs w:val="16"/>
                <w:lang w:eastAsia="tr-TR"/>
              </w:rPr>
            </w:pPr>
            <w:r w:rsidRPr="00872D7E">
              <w:rPr>
                <w:b/>
                <w:bCs/>
                <w:color w:val="000000"/>
                <w:sz w:val="16"/>
                <w:szCs w:val="16"/>
                <w:lang w:eastAsia="tr-TR"/>
              </w:rPr>
              <w:t>Toplam</w:t>
            </w:r>
          </w:p>
        </w:tc>
        <w:tc>
          <w:tcPr>
            <w:tcW w:w="659" w:type="pct"/>
            <w:shd w:val="clear" w:color="auto" w:fill="auto"/>
            <w:vAlign w:val="center"/>
            <w:hideMark/>
          </w:tcPr>
          <w:p w14:paraId="0DC52E2D" w14:textId="77777777" w:rsidR="00862A01" w:rsidRPr="00872D7E" w:rsidRDefault="00862A01" w:rsidP="002F0CF7">
            <w:pPr>
              <w:jc w:val="right"/>
              <w:rPr>
                <w:b/>
                <w:bCs/>
                <w:color w:val="000000"/>
                <w:sz w:val="16"/>
                <w:szCs w:val="16"/>
                <w:lang w:eastAsia="tr-TR"/>
              </w:rPr>
            </w:pPr>
            <w:r w:rsidRPr="00872D7E">
              <w:rPr>
                <w:b/>
                <w:bCs/>
                <w:sz w:val="16"/>
                <w:szCs w:val="16"/>
              </w:rPr>
              <w:t>23.273.954</w:t>
            </w:r>
          </w:p>
        </w:tc>
        <w:tc>
          <w:tcPr>
            <w:tcW w:w="523" w:type="pct"/>
            <w:shd w:val="clear" w:color="auto" w:fill="auto"/>
            <w:vAlign w:val="center"/>
            <w:hideMark/>
          </w:tcPr>
          <w:p w14:paraId="60893B74" w14:textId="77777777" w:rsidR="00862A01" w:rsidRPr="00872D7E" w:rsidRDefault="00862A01" w:rsidP="002F0CF7">
            <w:pPr>
              <w:jc w:val="right"/>
              <w:rPr>
                <w:b/>
                <w:bCs/>
                <w:color w:val="000000"/>
                <w:sz w:val="16"/>
                <w:szCs w:val="16"/>
                <w:lang w:eastAsia="tr-TR"/>
              </w:rPr>
            </w:pPr>
            <w:r w:rsidRPr="00872D7E">
              <w:rPr>
                <w:b/>
                <w:bCs/>
                <w:sz w:val="16"/>
                <w:szCs w:val="16"/>
              </w:rPr>
              <w:t>1.247.957</w:t>
            </w:r>
          </w:p>
        </w:tc>
        <w:tc>
          <w:tcPr>
            <w:tcW w:w="590" w:type="pct"/>
            <w:shd w:val="clear" w:color="auto" w:fill="auto"/>
            <w:vAlign w:val="center"/>
            <w:hideMark/>
          </w:tcPr>
          <w:p w14:paraId="0BBAB972" w14:textId="77777777" w:rsidR="00862A01" w:rsidRPr="00872D7E" w:rsidRDefault="00862A01" w:rsidP="002F0CF7">
            <w:pPr>
              <w:jc w:val="right"/>
              <w:rPr>
                <w:b/>
                <w:bCs/>
                <w:color w:val="000000"/>
                <w:sz w:val="16"/>
                <w:szCs w:val="16"/>
                <w:lang w:eastAsia="tr-TR"/>
              </w:rPr>
            </w:pPr>
            <w:r w:rsidRPr="00872D7E">
              <w:rPr>
                <w:b/>
                <w:bCs/>
                <w:sz w:val="16"/>
                <w:szCs w:val="16"/>
              </w:rPr>
              <w:t>299.577</w:t>
            </w:r>
          </w:p>
        </w:tc>
        <w:tc>
          <w:tcPr>
            <w:tcW w:w="593" w:type="pct"/>
            <w:shd w:val="clear" w:color="auto" w:fill="auto"/>
            <w:vAlign w:val="center"/>
            <w:hideMark/>
          </w:tcPr>
          <w:p w14:paraId="1568F7E6" w14:textId="77777777" w:rsidR="00862A01" w:rsidRPr="00872D7E" w:rsidRDefault="00862A01" w:rsidP="002F0CF7">
            <w:pPr>
              <w:jc w:val="right"/>
              <w:rPr>
                <w:b/>
                <w:bCs/>
                <w:color w:val="000000"/>
                <w:sz w:val="16"/>
                <w:szCs w:val="16"/>
                <w:lang w:eastAsia="tr-TR"/>
              </w:rPr>
            </w:pPr>
            <w:r w:rsidRPr="00872D7E">
              <w:rPr>
                <w:b/>
                <w:bCs/>
                <w:sz w:val="16"/>
                <w:szCs w:val="16"/>
              </w:rPr>
              <w:t>-</w:t>
            </w:r>
          </w:p>
        </w:tc>
        <w:tc>
          <w:tcPr>
            <w:tcW w:w="592" w:type="pct"/>
            <w:shd w:val="clear" w:color="auto" w:fill="auto"/>
            <w:vAlign w:val="center"/>
            <w:hideMark/>
          </w:tcPr>
          <w:p w14:paraId="76FAEFD8" w14:textId="77777777" w:rsidR="00862A01" w:rsidRPr="00872D7E" w:rsidRDefault="00862A01" w:rsidP="002F0CF7">
            <w:pPr>
              <w:jc w:val="right"/>
              <w:rPr>
                <w:b/>
                <w:bCs/>
                <w:color w:val="000000"/>
                <w:sz w:val="16"/>
                <w:szCs w:val="16"/>
                <w:lang w:eastAsia="tr-TR"/>
              </w:rPr>
            </w:pPr>
            <w:r w:rsidRPr="00872D7E">
              <w:rPr>
                <w:b/>
                <w:bCs/>
                <w:sz w:val="16"/>
                <w:szCs w:val="16"/>
              </w:rPr>
              <w:t>-</w:t>
            </w:r>
          </w:p>
        </w:tc>
        <w:tc>
          <w:tcPr>
            <w:tcW w:w="515" w:type="pct"/>
            <w:shd w:val="clear" w:color="auto" w:fill="auto"/>
            <w:vAlign w:val="center"/>
            <w:hideMark/>
          </w:tcPr>
          <w:p w14:paraId="13D021A4" w14:textId="77777777" w:rsidR="00862A01" w:rsidRPr="00872D7E" w:rsidRDefault="00862A01" w:rsidP="002F0CF7">
            <w:pPr>
              <w:jc w:val="right"/>
              <w:rPr>
                <w:b/>
                <w:bCs/>
                <w:color w:val="000000"/>
                <w:sz w:val="16"/>
                <w:szCs w:val="16"/>
                <w:lang w:eastAsia="tr-TR"/>
              </w:rPr>
            </w:pPr>
            <w:r w:rsidRPr="00872D7E">
              <w:rPr>
                <w:b/>
                <w:bCs/>
                <w:sz w:val="16"/>
                <w:szCs w:val="16"/>
              </w:rPr>
              <w:t>-</w:t>
            </w:r>
          </w:p>
        </w:tc>
        <w:tc>
          <w:tcPr>
            <w:tcW w:w="550" w:type="pct"/>
            <w:shd w:val="clear" w:color="auto" w:fill="auto"/>
            <w:vAlign w:val="center"/>
            <w:hideMark/>
          </w:tcPr>
          <w:p w14:paraId="32A740E8" w14:textId="77777777" w:rsidR="00862A01" w:rsidRPr="00872D7E" w:rsidRDefault="00862A01" w:rsidP="002F0CF7">
            <w:pPr>
              <w:jc w:val="right"/>
              <w:rPr>
                <w:b/>
                <w:bCs/>
                <w:color w:val="000000"/>
                <w:sz w:val="16"/>
                <w:szCs w:val="16"/>
                <w:lang w:eastAsia="tr-TR"/>
              </w:rPr>
            </w:pPr>
            <w:r w:rsidRPr="00872D7E">
              <w:rPr>
                <w:b/>
                <w:bCs/>
                <w:sz w:val="16"/>
                <w:szCs w:val="16"/>
              </w:rPr>
              <w:t>-</w:t>
            </w:r>
          </w:p>
        </w:tc>
      </w:tr>
      <w:tr w:rsidR="00862A01" w:rsidRPr="00872D7E" w14:paraId="70D5FC1F" w14:textId="77777777" w:rsidTr="002F0CF7">
        <w:trPr>
          <w:divId w:val="122433178"/>
          <w:trHeight w:val="113"/>
        </w:trPr>
        <w:tc>
          <w:tcPr>
            <w:tcW w:w="119" w:type="pct"/>
            <w:tcBorders>
              <w:bottom w:val="single" w:sz="4" w:space="0" w:color="auto"/>
            </w:tcBorders>
            <w:shd w:val="clear" w:color="auto" w:fill="auto"/>
            <w:noWrap/>
            <w:hideMark/>
          </w:tcPr>
          <w:p w14:paraId="0D4BF276" w14:textId="77777777" w:rsidR="00862A01" w:rsidRPr="00872D7E" w:rsidRDefault="00862A01" w:rsidP="002F0CF7">
            <w:pPr>
              <w:rPr>
                <w:color w:val="000000"/>
                <w:sz w:val="16"/>
                <w:szCs w:val="16"/>
                <w:lang w:eastAsia="tr-TR"/>
              </w:rPr>
            </w:pPr>
            <w:r w:rsidRPr="00872D7E">
              <w:rPr>
                <w:color w:val="000000"/>
                <w:sz w:val="16"/>
                <w:szCs w:val="16"/>
                <w:lang w:eastAsia="tr-TR"/>
              </w:rPr>
              <w:t>4</w:t>
            </w:r>
          </w:p>
        </w:tc>
        <w:tc>
          <w:tcPr>
            <w:tcW w:w="859" w:type="pct"/>
            <w:tcBorders>
              <w:bottom w:val="single" w:sz="4" w:space="0" w:color="auto"/>
            </w:tcBorders>
            <w:shd w:val="clear" w:color="auto" w:fill="auto"/>
            <w:noWrap/>
            <w:vAlign w:val="bottom"/>
            <w:hideMark/>
          </w:tcPr>
          <w:p w14:paraId="35A1575C" w14:textId="77777777" w:rsidR="00862A01" w:rsidRPr="00872D7E" w:rsidRDefault="00862A01" w:rsidP="002F0CF7">
            <w:pPr>
              <w:rPr>
                <w:color w:val="000000"/>
                <w:sz w:val="16"/>
                <w:szCs w:val="16"/>
                <w:lang w:eastAsia="tr-TR"/>
              </w:rPr>
            </w:pPr>
            <w:r w:rsidRPr="00872D7E">
              <w:rPr>
                <w:color w:val="000000"/>
                <w:sz w:val="16"/>
                <w:szCs w:val="16"/>
                <w:lang w:eastAsia="tr-TR"/>
              </w:rPr>
              <w:t>Temerrüde düşmüş</w:t>
            </w:r>
          </w:p>
        </w:tc>
        <w:tc>
          <w:tcPr>
            <w:tcW w:w="659" w:type="pct"/>
            <w:tcBorders>
              <w:bottom w:val="single" w:sz="4" w:space="0" w:color="auto"/>
            </w:tcBorders>
            <w:shd w:val="clear" w:color="auto" w:fill="auto"/>
            <w:vAlign w:val="center"/>
            <w:hideMark/>
          </w:tcPr>
          <w:p w14:paraId="09A12AA2" w14:textId="77777777" w:rsidR="00862A01" w:rsidRPr="00872D7E" w:rsidRDefault="00862A01" w:rsidP="002F0CF7">
            <w:pPr>
              <w:jc w:val="right"/>
              <w:rPr>
                <w:color w:val="000000"/>
                <w:sz w:val="16"/>
                <w:szCs w:val="16"/>
                <w:lang w:eastAsia="tr-TR"/>
              </w:rPr>
            </w:pPr>
            <w:r w:rsidRPr="00872D7E">
              <w:rPr>
                <w:sz w:val="16"/>
                <w:szCs w:val="16"/>
              </w:rPr>
              <w:t>-</w:t>
            </w:r>
          </w:p>
        </w:tc>
        <w:tc>
          <w:tcPr>
            <w:tcW w:w="523" w:type="pct"/>
            <w:tcBorders>
              <w:bottom w:val="single" w:sz="4" w:space="0" w:color="auto"/>
            </w:tcBorders>
            <w:shd w:val="clear" w:color="auto" w:fill="auto"/>
            <w:vAlign w:val="center"/>
            <w:hideMark/>
          </w:tcPr>
          <w:p w14:paraId="06ED43E6" w14:textId="77777777" w:rsidR="00862A01" w:rsidRPr="00872D7E" w:rsidRDefault="00862A01" w:rsidP="002F0CF7">
            <w:pPr>
              <w:jc w:val="right"/>
              <w:rPr>
                <w:color w:val="000000"/>
                <w:sz w:val="16"/>
                <w:szCs w:val="16"/>
                <w:lang w:eastAsia="tr-TR"/>
              </w:rPr>
            </w:pPr>
            <w:r w:rsidRPr="00872D7E">
              <w:rPr>
                <w:sz w:val="16"/>
                <w:szCs w:val="16"/>
              </w:rPr>
              <w:t>-</w:t>
            </w:r>
          </w:p>
        </w:tc>
        <w:tc>
          <w:tcPr>
            <w:tcW w:w="590" w:type="pct"/>
            <w:tcBorders>
              <w:bottom w:val="single" w:sz="4" w:space="0" w:color="auto"/>
            </w:tcBorders>
            <w:shd w:val="clear" w:color="auto" w:fill="auto"/>
            <w:vAlign w:val="center"/>
            <w:hideMark/>
          </w:tcPr>
          <w:p w14:paraId="57528720" w14:textId="77777777" w:rsidR="00862A01" w:rsidRPr="00872D7E" w:rsidRDefault="00862A01" w:rsidP="002F0CF7">
            <w:pPr>
              <w:jc w:val="right"/>
              <w:rPr>
                <w:color w:val="000000"/>
                <w:sz w:val="16"/>
                <w:szCs w:val="16"/>
                <w:lang w:eastAsia="tr-TR"/>
              </w:rPr>
            </w:pPr>
            <w:r w:rsidRPr="00872D7E">
              <w:rPr>
                <w:sz w:val="16"/>
                <w:szCs w:val="16"/>
              </w:rPr>
              <w:t>-</w:t>
            </w:r>
          </w:p>
        </w:tc>
        <w:tc>
          <w:tcPr>
            <w:tcW w:w="593" w:type="pct"/>
            <w:tcBorders>
              <w:bottom w:val="single" w:sz="4" w:space="0" w:color="auto"/>
            </w:tcBorders>
            <w:shd w:val="clear" w:color="auto" w:fill="auto"/>
            <w:vAlign w:val="center"/>
            <w:hideMark/>
          </w:tcPr>
          <w:p w14:paraId="1416B5C9" w14:textId="77777777" w:rsidR="00862A01" w:rsidRPr="00872D7E" w:rsidRDefault="00862A01" w:rsidP="002F0CF7">
            <w:pPr>
              <w:jc w:val="right"/>
              <w:rPr>
                <w:color w:val="000000"/>
                <w:sz w:val="16"/>
                <w:szCs w:val="16"/>
                <w:lang w:eastAsia="tr-TR"/>
              </w:rPr>
            </w:pPr>
            <w:r w:rsidRPr="00872D7E">
              <w:rPr>
                <w:sz w:val="16"/>
                <w:szCs w:val="16"/>
              </w:rPr>
              <w:t>-</w:t>
            </w:r>
          </w:p>
        </w:tc>
        <w:tc>
          <w:tcPr>
            <w:tcW w:w="592" w:type="pct"/>
            <w:tcBorders>
              <w:bottom w:val="single" w:sz="4" w:space="0" w:color="auto"/>
            </w:tcBorders>
            <w:shd w:val="clear" w:color="auto" w:fill="auto"/>
            <w:vAlign w:val="center"/>
            <w:hideMark/>
          </w:tcPr>
          <w:p w14:paraId="4648ADB8" w14:textId="77777777" w:rsidR="00862A01" w:rsidRPr="00872D7E" w:rsidRDefault="00862A01" w:rsidP="002F0CF7">
            <w:pPr>
              <w:jc w:val="right"/>
              <w:rPr>
                <w:color w:val="000000"/>
                <w:sz w:val="16"/>
                <w:szCs w:val="16"/>
                <w:lang w:eastAsia="tr-TR"/>
              </w:rPr>
            </w:pPr>
            <w:r w:rsidRPr="00872D7E">
              <w:rPr>
                <w:sz w:val="16"/>
                <w:szCs w:val="16"/>
              </w:rPr>
              <w:t>-</w:t>
            </w:r>
          </w:p>
        </w:tc>
        <w:tc>
          <w:tcPr>
            <w:tcW w:w="515" w:type="pct"/>
            <w:tcBorders>
              <w:bottom w:val="single" w:sz="4" w:space="0" w:color="auto"/>
            </w:tcBorders>
            <w:shd w:val="clear" w:color="auto" w:fill="auto"/>
            <w:vAlign w:val="center"/>
            <w:hideMark/>
          </w:tcPr>
          <w:p w14:paraId="6D3D538B" w14:textId="77777777" w:rsidR="00862A01" w:rsidRPr="00872D7E" w:rsidRDefault="00862A01" w:rsidP="002F0CF7">
            <w:pPr>
              <w:jc w:val="right"/>
              <w:rPr>
                <w:color w:val="000000"/>
                <w:sz w:val="16"/>
                <w:szCs w:val="16"/>
                <w:lang w:eastAsia="tr-TR"/>
              </w:rPr>
            </w:pPr>
            <w:r w:rsidRPr="00872D7E">
              <w:rPr>
                <w:sz w:val="16"/>
                <w:szCs w:val="16"/>
              </w:rPr>
              <w:t>-</w:t>
            </w:r>
          </w:p>
        </w:tc>
        <w:tc>
          <w:tcPr>
            <w:tcW w:w="550" w:type="pct"/>
            <w:tcBorders>
              <w:bottom w:val="single" w:sz="4" w:space="0" w:color="auto"/>
            </w:tcBorders>
            <w:shd w:val="clear" w:color="auto" w:fill="auto"/>
            <w:vAlign w:val="center"/>
            <w:hideMark/>
          </w:tcPr>
          <w:p w14:paraId="64BAE452" w14:textId="77777777" w:rsidR="00862A01" w:rsidRPr="00872D7E" w:rsidRDefault="00862A01" w:rsidP="002F0CF7">
            <w:pPr>
              <w:jc w:val="right"/>
              <w:rPr>
                <w:color w:val="000000"/>
                <w:sz w:val="16"/>
                <w:szCs w:val="16"/>
                <w:lang w:eastAsia="tr-TR"/>
              </w:rPr>
            </w:pPr>
            <w:r w:rsidRPr="00872D7E">
              <w:rPr>
                <w:sz w:val="16"/>
                <w:szCs w:val="16"/>
              </w:rPr>
              <w:t>-</w:t>
            </w:r>
          </w:p>
        </w:tc>
      </w:tr>
    </w:tbl>
    <w:p w14:paraId="32580032" w14:textId="2A3BEEC2" w:rsidR="00DC64F5" w:rsidRPr="00872D7E" w:rsidRDefault="00DC64F5" w:rsidP="002F0CF7">
      <w:pPr>
        <w:rPr>
          <w:sz w:val="14"/>
          <w:szCs w:val="1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662"/>
        <w:gridCol w:w="1249"/>
        <w:gridCol w:w="999"/>
        <w:gridCol w:w="1124"/>
        <w:gridCol w:w="1116"/>
        <w:gridCol w:w="1107"/>
        <w:gridCol w:w="962"/>
        <w:gridCol w:w="1184"/>
      </w:tblGrid>
      <w:tr w:rsidR="00DC64F5" w:rsidRPr="00872D7E" w14:paraId="4FF52D0F" w14:textId="77777777" w:rsidTr="002F0CF7">
        <w:trPr>
          <w:trHeight w:val="113"/>
        </w:trPr>
        <w:tc>
          <w:tcPr>
            <w:tcW w:w="984" w:type="pct"/>
            <w:gridSpan w:val="2"/>
            <w:tcBorders>
              <w:top w:val="single" w:sz="4" w:space="0" w:color="auto"/>
              <w:left w:val="nil"/>
              <w:bottom w:val="nil"/>
              <w:right w:val="nil"/>
            </w:tcBorders>
            <w:noWrap/>
            <w:vAlign w:val="center"/>
            <w:hideMark/>
          </w:tcPr>
          <w:p w14:paraId="750C3FE0" w14:textId="207418E7" w:rsidR="00DC64F5" w:rsidRPr="00872D7E" w:rsidRDefault="00DC64F5" w:rsidP="002F0CF7">
            <w:pPr>
              <w:jc w:val="center"/>
              <w:rPr>
                <w:b/>
                <w:sz w:val="16"/>
                <w:szCs w:val="16"/>
              </w:rPr>
            </w:pPr>
            <w:r w:rsidRPr="00872D7E">
              <w:rPr>
                <w:b/>
                <w:sz w:val="16"/>
                <w:szCs w:val="16"/>
              </w:rPr>
              <w:t>1 Ocak 2024</w:t>
            </w:r>
          </w:p>
        </w:tc>
        <w:tc>
          <w:tcPr>
            <w:tcW w:w="648" w:type="pct"/>
            <w:tcBorders>
              <w:top w:val="single" w:sz="4" w:space="0" w:color="auto"/>
              <w:left w:val="nil"/>
              <w:bottom w:val="single" w:sz="4" w:space="0" w:color="auto"/>
              <w:right w:val="nil"/>
            </w:tcBorders>
            <w:noWrap/>
            <w:vAlign w:val="bottom"/>
            <w:hideMark/>
          </w:tcPr>
          <w:p w14:paraId="71FB59AD" w14:textId="77777777" w:rsidR="00DC64F5" w:rsidRPr="00872D7E" w:rsidRDefault="00DC64F5" w:rsidP="002F0CF7">
            <w:pPr>
              <w:jc w:val="right"/>
              <w:rPr>
                <w:b/>
                <w:sz w:val="16"/>
                <w:szCs w:val="16"/>
              </w:rPr>
            </w:pPr>
            <w:r w:rsidRPr="00872D7E">
              <w:rPr>
                <w:b/>
                <w:sz w:val="16"/>
                <w:szCs w:val="16"/>
              </w:rPr>
              <w:t>Teminatsız alacaklar: TMS uyarınca değerlenmiş tutar</w:t>
            </w:r>
          </w:p>
        </w:tc>
        <w:tc>
          <w:tcPr>
            <w:tcW w:w="518" w:type="pct"/>
            <w:tcBorders>
              <w:top w:val="single" w:sz="4" w:space="0" w:color="auto"/>
              <w:left w:val="nil"/>
              <w:bottom w:val="single" w:sz="4" w:space="0" w:color="auto"/>
              <w:right w:val="nil"/>
            </w:tcBorders>
            <w:noWrap/>
            <w:vAlign w:val="bottom"/>
            <w:hideMark/>
          </w:tcPr>
          <w:p w14:paraId="52AC31DD" w14:textId="77777777" w:rsidR="00DC64F5" w:rsidRPr="00872D7E" w:rsidRDefault="00DC64F5" w:rsidP="002F0CF7">
            <w:pPr>
              <w:jc w:val="right"/>
              <w:rPr>
                <w:b/>
                <w:sz w:val="16"/>
                <w:szCs w:val="16"/>
              </w:rPr>
            </w:pPr>
            <w:r w:rsidRPr="00872D7E">
              <w:rPr>
                <w:b/>
                <w:sz w:val="16"/>
                <w:szCs w:val="16"/>
              </w:rPr>
              <w:t>Teminat ile korunan alacaklar</w:t>
            </w:r>
          </w:p>
        </w:tc>
        <w:tc>
          <w:tcPr>
            <w:tcW w:w="583" w:type="pct"/>
            <w:tcBorders>
              <w:top w:val="single" w:sz="4" w:space="0" w:color="auto"/>
              <w:left w:val="nil"/>
              <w:bottom w:val="single" w:sz="4" w:space="0" w:color="auto"/>
              <w:right w:val="nil"/>
            </w:tcBorders>
            <w:noWrap/>
            <w:vAlign w:val="bottom"/>
            <w:hideMark/>
          </w:tcPr>
          <w:p w14:paraId="3301DA68" w14:textId="77777777" w:rsidR="00DC64F5" w:rsidRPr="00872D7E" w:rsidRDefault="00DC64F5" w:rsidP="002F0CF7">
            <w:pPr>
              <w:jc w:val="right"/>
              <w:rPr>
                <w:b/>
                <w:sz w:val="16"/>
                <w:szCs w:val="16"/>
              </w:rPr>
            </w:pPr>
            <w:r w:rsidRPr="00872D7E">
              <w:rPr>
                <w:b/>
                <w:sz w:val="16"/>
                <w:szCs w:val="16"/>
              </w:rPr>
              <w:t>Teminat ile korunan alacakların teminatlı kısımları</w:t>
            </w:r>
          </w:p>
        </w:tc>
        <w:tc>
          <w:tcPr>
            <w:tcW w:w="579" w:type="pct"/>
            <w:tcBorders>
              <w:top w:val="single" w:sz="4" w:space="0" w:color="auto"/>
              <w:left w:val="nil"/>
              <w:bottom w:val="single" w:sz="4" w:space="0" w:color="auto"/>
              <w:right w:val="nil"/>
            </w:tcBorders>
            <w:noWrap/>
            <w:vAlign w:val="bottom"/>
            <w:hideMark/>
          </w:tcPr>
          <w:p w14:paraId="69248991" w14:textId="77777777" w:rsidR="00DC64F5" w:rsidRPr="00872D7E" w:rsidRDefault="00DC64F5" w:rsidP="002F0CF7">
            <w:pPr>
              <w:jc w:val="right"/>
              <w:rPr>
                <w:b/>
                <w:sz w:val="16"/>
                <w:szCs w:val="16"/>
              </w:rPr>
            </w:pPr>
            <w:r w:rsidRPr="00872D7E">
              <w:rPr>
                <w:b/>
                <w:sz w:val="16"/>
                <w:szCs w:val="16"/>
              </w:rPr>
              <w:t>Finansal garantiler ile korunan alacaklar</w:t>
            </w:r>
          </w:p>
        </w:tc>
        <w:tc>
          <w:tcPr>
            <w:tcW w:w="574" w:type="pct"/>
            <w:tcBorders>
              <w:top w:val="single" w:sz="4" w:space="0" w:color="auto"/>
              <w:left w:val="nil"/>
              <w:bottom w:val="single" w:sz="4" w:space="0" w:color="auto"/>
              <w:right w:val="nil"/>
            </w:tcBorders>
            <w:noWrap/>
            <w:vAlign w:val="bottom"/>
            <w:hideMark/>
          </w:tcPr>
          <w:p w14:paraId="39BE6BF3" w14:textId="77777777" w:rsidR="00DC64F5" w:rsidRPr="00872D7E" w:rsidRDefault="00DC64F5" w:rsidP="002F0CF7">
            <w:pPr>
              <w:jc w:val="right"/>
              <w:rPr>
                <w:b/>
                <w:sz w:val="16"/>
                <w:szCs w:val="16"/>
              </w:rPr>
            </w:pPr>
            <w:r w:rsidRPr="00872D7E">
              <w:rPr>
                <w:b/>
                <w:sz w:val="16"/>
                <w:szCs w:val="16"/>
              </w:rPr>
              <w:t>Finansal garantiler ile korunan alacakların teminatlı kısımları</w:t>
            </w:r>
          </w:p>
        </w:tc>
        <w:tc>
          <w:tcPr>
            <w:tcW w:w="499" w:type="pct"/>
            <w:tcBorders>
              <w:top w:val="single" w:sz="4" w:space="0" w:color="auto"/>
              <w:left w:val="nil"/>
              <w:bottom w:val="single" w:sz="4" w:space="0" w:color="auto"/>
              <w:right w:val="nil"/>
            </w:tcBorders>
            <w:noWrap/>
            <w:vAlign w:val="bottom"/>
            <w:hideMark/>
          </w:tcPr>
          <w:p w14:paraId="59400ECF" w14:textId="77777777" w:rsidR="00DC64F5" w:rsidRPr="00872D7E" w:rsidRDefault="00DC64F5" w:rsidP="002F0CF7">
            <w:pPr>
              <w:jc w:val="right"/>
              <w:rPr>
                <w:b/>
                <w:sz w:val="16"/>
                <w:szCs w:val="16"/>
              </w:rPr>
            </w:pPr>
            <w:r w:rsidRPr="00872D7E">
              <w:rPr>
                <w:b/>
                <w:sz w:val="16"/>
                <w:szCs w:val="16"/>
              </w:rPr>
              <w:t>Kredi türevleri ile korunan alacaklar</w:t>
            </w:r>
          </w:p>
        </w:tc>
        <w:tc>
          <w:tcPr>
            <w:tcW w:w="614" w:type="pct"/>
            <w:tcBorders>
              <w:top w:val="single" w:sz="4" w:space="0" w:color="auto"/>
              <w:left w:val="nil"/>
              <w:bottom w:val="single" w:sz="4" w:space="0" w:color="auto"/>
              <w:right w:val="nil"/>
            </w:tcBorders>
            <w:noWrap/>
            <w:vAlign w:val="bottom"/>
            <w:hideMark/>
          </w:tcPr>
          <w:p w14:paraId="09850A9F" w14:textId="77777777" w:rsidR="00DC64F5" w:rsidRPr="00872D7E" w:rsidRDefault="00DC64F5" w:rsidP="002F0CF7">
            <w:pPr>
              <w:jc w:val="right"/>
              <w:rPr>
                <w:b/>
                <w:sz w:val="16"/>
                <w:szCs w:val="16"/>
              </w:rPr>
            </w:pPr>
            <w:r w:rsidRPr="00872D7E">
              <w:rPr>
                <w:b/>
                <w:sz w:val="16"/>
                <w:szCs w:val="16"/>
              </w:rPr>
              <w:t>Kredi türevleri ile korunan alacakların teminatlı kısımları</w:t>
            </w:r>
          </w:p>
        </w:tc>
      </w:tr>
      <w:tr w:rsidR="00D4647F" w:rsidRPr="00872D7E" w14:paraId="55955CFB" w14:textId="77777777" w:rsidTr="002F0CF7">
        <w:trPr>
          <w:trHeight w:val="113"/>
        </w:trPr>
        <w:tc>
          <w:tcPr>
            <w:tcW w:w="122" w:type="pct"/>
            <w:tcBorders>
              <w:top w:val="single" w:sz="4" w:space="0" w:color="auto"/>
              <w:left w:val="nil"/>
              <w:bottom w:val="nil"/>
              <w:right w:val="nil"/>
            </w:tcBorders>
            <w:noWrap/>
            <w:hideMark/>
          </w:tcPr>
          <w:p w14:paraId="0BCE743D" w14:textId="77777777" w:rsidR="00D4647F" w:rsidRPr="00872D7E" w:rsidRDefault="00D4647F" w:rsidP="002F0CF7">
            <w:pPr>
              <w:rPr>
                <w:sz w:val="16"/>
                <w:szCs w:val="16"/>
              </w:rPr>
            </w:pPr>
            <w:r w:rsidRPr="00872D7E">
              <w:rPr>
                <w:sz w:val="16"/>
                <w:szCs w:val="16"/>
              </w:rPr>
              <w:t>1</w:t>
            </w:r>
          </w:p>
        </w:tc>
        <w:tc>
          <w:tcPr>
            <w:tcW w:w="862" w:type="pct"/>
            <w:tcBorders>
              <w:top w:val="single" w:sz="4" w:space="0" w:color="auto"/>
              <w:left w:val="nil"/>
              <w:bottom w:val="nil"/>
              <w:right w:val="nil"/>
            </w:tcBorders>
            <w:noWrap/>
            <w:hideMark/>
          </w:tcPr>
          <w:p w14:paraId="0A4E0F32" w14:textId="77777777" w:rsidR="00D4647F" w:rsidRPr="00872D7E" w:rsidRDefault="00D4647F" w:rsidP="002F0CF7">
            <w:pPr>
              <w:rPr>
                <w:sz w:val="16"/>
                <w:szCs w:val="16"/>
              </w:rPr>
            </w:pPr>
            <w:r w:rsidRPr="00872D7E">
              <w:rPr>
                <w:sz w:val="16"/>
                <w:szCs w:val="16"/>
              </w:rPr>
              <w:t>Krediler</w:t>
            </w:r>
          </w:p>
        </w:tc>
        <w:tc>
          <w:tcPr>
            <w:tcW w:w="648" w:type="pct"/>
            <w:tcBorders>
              <w:top w:val="single" w:sz="4" w:space="0" w:color="auto"/>
              <w:left w:val="nil"/>
              <w:bottom w:val="nil"/>
              <w:right w:val="nil"/>
            </w:tcBorders>
            <w:vAlign w:val="center"/>
          </w:tcPr>
          <w:p w14:paraId="6FA9AC21" w14:textId="13CA7001" w:rsidR="00D4647F" w:rsidRPr="00872D7E" w:rsidRDefault="00D4647F" w:rsidP="002F0CF7">
            <w:pPr>
              <w:jc w:val="right"/>
              <w:rPr>
                <w:sz w:val="16"/>
                <w:szCs w:val="16"/>
              </w:rPr>
            </w:pPr>
            <w:r w:rsidRPr="00872D7E">
              <w:rPr>
                <w:color w:val="000000"/>
                <w:sz w:val="16"/>
                <w:szCs w:val="16"/>
              </w:rPr>
              <w:t>-</w:t>
            </w:r>
          </w:p>
        </w:tc>
        <w:tc>
          <w:tcPr>
            <w:tcW w:w="518" w:type="pct"/>
            <w:tcBorders>
              <w:top w:val="single" w:sz="4" w:space="0" w:color="auto"/>
              <w:left w:val="nil"/>
              <w:bottom w:val="nil"/>
              <w:right w:val="nil"/>
            </w:tcBorders>
            <w:vAlign w:val="center"/>
          </w:tcPr>
          <w:p w14:paraId="5B3D6C51" w14:textId="5837A0EA" w:rsidR="00D4647F" w:rsidRPr="00872D7E" w:rsidRDefault="00D4647F" w:rsidP="002F0CF7">
            <w:pPr>
              <w:jc w:val="right"/>
              <w:rPr>
                <w:sz w:val="16"/>
                <w:szCs w:val="16"/>
              </w:rPr>
            </w:pPr>
            <w:r w:rsidRPr="00872D7E">
              <w:rPr>
                <w:color w:val="000000"/>
                <w:sz w:val="16"/>
                <w:szCs w:val="16"/>
              </w:rPr>
              <w:t>-</w:t>
            </w:r>
          </w:p>
        </w:tc>
        <w:tc>
          <w:tcPr>
            <w:tcW w:w="583" w:type="pct"/>
            <w:tcBorders>
              <w:top w:val="single" w:sz="4" w:space="0" w:color="auto"/>
              <w:left w:val="nil"/>
              <w:bottom w:val="nil"/>
              <w:right w:val="nil"/>
            </w:tcBorders>
            <w:vAlign w:val="center"/>
          </w:tcPr>
          <w:p w14:paraId="5E7142DB" w14:textId="692526F1" w:rsidR="00D4647F" w:rsidRPr="00872D7E" w:rsidRDefault="00D4647F" w:rsidP="002F0CF7">
            <w:pPr>
              <w:jc w:val="right"/>
              <w:rPr>
                <w:sz w:val="16"/>
                <w:szCs w:val="16"/>
              </w:rPr>
            </w:pPr>
            <w:r w:rsidRPr="00872D7E">
              <w:rPr>
                <w:color w:val="000000"/>
                <w:sz w:val="16"/>
                <w:szCs w:val="16"/>
              </w:rPr>
              <w:t>-</w:t>
            </w:r>
          </w:p>
        </w:tc>
        <w:tc>
          <w:tcPr>
            <w:tcW w:w="579" w:type="pct"/>
            <w:tcBorders>
              <w:top w:val="single" w:sz="4" w:space="0" w:color="auto"/>
              <w:left w:val="nil"/>
              <w:bottom w:val="nil"/>
              <w:right w:val="nil"/>
            </w:tcBorders>
            <w:vAlign w:val="center"/>
          </w:tcPr>
          <w:p w14:paraId="3A1EA6D2" w14:textId="5153E802" w:rsidR="00D4647F" w:rsidRPr="00872D7E" w:rsidRDefault="00D4647F" w:rsidP="002F0CF7">
            <w:pPr>
              <w:jc w:val="right"/>
              <w:rPr>
                <w:sz w:val="16"/>
                <w:szCs w:val="16"/>
              </w:rPr>
            </w:pPr>
            <w:r w:rsidRPr="00872D7E">
              <w:rPr>
                <w:color w:val="000000"/>
                <w:sz w:val="16"/>
                <w:szCs w:val="16"/>
              </w:rPr>
              <w:t>-</w:t>
            </w:r>
          </w:p>
        </w:tc>
        <w:tc>
          <w:tcPr>
            <w:tcW w:w="574" w:type="pct"/>
            <w:tcBorders>
              <w:top w:val="single" w:sz="4" w:space="0" w:color="auto"/>
              <w:left w:val="nil"/>
              <w:bottom w:val="nil"/>
              <w:right w:val="nil"/>
            </w:tcBorders>
            <w:vAlign w:val="center"/>
          </w:tcPr>
          <w:p w14:paraId="44F2A945" w14:textId="1AF86341" w:rsidR="00D4647F" w:rsidRPr="00872D7E" w:rsidRDefault="00D4647F" w:rsidP="002F0CF7">
            <w:pPr>
              <w:jc w:val="right"/>
              <w:rPr>
                <w:sz w:val="16"/>
                <w:szCs w:val="16"/>
              </w:rPr>
            </w:pPr>
            <w:r w:rsidRPr="00872D7E">
              <w:rPr>
                <w:color w:val="000000"/>
                <w:sz w:val="16"/>
                <w:szCs w:val="16"/>
              </w:rPr>
              <w:t>-</w:t>
            </w:r>
          </w:p>
        </w:tc>
        <w:tc>
          <w:tcPr>
            <w:tcW w:w="499" w:type="pct"/>
            <w:tcBorders>
              <w:top w:val="single" w:sz="4" w:space="0" w:color="auto"/>
              <w:left w:val="nil"/>
              <w:bottom w:val="nil"/>
              <w:right w:val="nil"/>
            </w:tcBorders>
            <w:vAlign w:val="center"/>
          </w:tcPr>
          <w:p w14:paraId="2C5493E2" w14:textId="460475E0" w:rsidR="00D4647F" w:rsidRPr="00872D7E" w:rsidRDefault="00D4647F" w:rsidP="002F0CF7">
            <w:pPr>
              <w:jc w:val="right"/>
              <w:rPr>
                <w:sz w:val="16"/>
                <w:szCs w:val="16"/>
              </w:rPr>
            </w:pPr>
            <w:r w:rsidRPr="00872D7E">
              <w:rPr>
                <w:color w:val="000000"/>
                <w:sz w:val="16"/>
                <w:szCs w:val="16"/>
              </w:rPr>
              <w:t>-</w:t>
            </w:r>
          </w:p>
        </w:tc>
        <w:tc>
          <w:tcPr>
            <w:tcW w:w="614" w:type="pct"/>
            <w:tcBorders>
              <w:top w:val="single" w:sz="4" w:space="0" w:color="auto"/>
              <w:left w:val="nil"/>
              <w:bottom w:val="nil"/>
              <w:right w:val="nil"/>
            </w:tcBorders>
            <w:vAlign w:val="center"/>
          </w:tcPr>
          <w:p w14:paraId="43BA1A72" w14:textId="342AF43B" w:rsidR="00D4647F" w:rsidRPr="00872D7E" w:rsidRDefault="00D4647F" w:rsidP="002F0CF7">
            <w:pPr>
              <w:jc w:val="right"/>
              <w:rPr>
                <w:sz w:val="16"/>
                <w:szCs w:val="16"/>
              </w:rPr>
            </w:pPr>
            <w:r w:rsidRPr="00872D7E">
              <w:rPr>
                <w:color w:val="000000"/>
                <w:sz w:val="16"/>
                <w:szCs w:val="16"/>
              </w:rPr>
              <w:t>-</w:t>
            </w:r>
          </w:p>
        </w:tc>
      </w:tr>
      <w:tr w:rsidR="00D4647F" w:rsidRPr="00872D7E" w14:paraId="369E3714" w14:textId="77777777" w:rsidTr="002F0CF7">
        <w:trPr>
          <w:trHeight w:val="113"/>
        </w:trPr>
        <w:tc>
          <w:tcPr>
            <w:tcW w:w="122" w:type="pct"/>
            <w:noWrap/>
            <w:hideMark/>
          </w:tcPr>
          <w:p w14:paraId="5E1CF3A8" w14:textId="77777777" w:rsidR="00D4647F" w:rsidRPr="00872D7E" w:rsidRDefault="00D4647F" w:rsidP="002F0CF7">
            <w:pPr>
              <w:rPr>
                <w:sz w:val="16"/>
                <w:szCs w:val="16"/>
              </w:rPr>
            </w:pPr>
            <w:r w:rsidRPr="00872D7E">
              <w:rPr>
                <w:sz w:val="16"/>
                <w:szCs w:val="16"/>
              </w:rPr>
              <w:t>2</w:t>
            </w:r>
          </w:p>
        </w:tc>
        <w:tc>
          <w:tcPr>
            <w:tcW w:w="862" w:type="pct"/>
            <w:noWrap/>
            <w:hideMark/>
          </w:tcPr>
          <w:p w14:paraId="17BC5225" w14:textId="77777777" w:rsidR="00D4647F" w:rsidRPr="00872D7E" w:rsidRDefault="00D4647F" w:rsidP="002F0CF7">
            <w:pPr>
              <w:rPr>
                <w:sz w:val="16"/>
                <w:szCs w:val="16"/>
              </w:rPr>
            </w:pPr>
            <w:r w:rsidRPr="00872D7E">
              <w:rPr>
                <w:sz w:val="16"/>
                <w:szCs w:val="16"/>
              </w:rPr>
              <w:t>Borçlanma araçları</w:t>
            </w:r>
          </w:p>
        </w:tc>
        <w:tc>
          <w:tcPr>
            <w:tcW w:w="648" w:type="pct"/>
            <w:vAlign w:val="center"/>
          </w:tcPr>
          <w:p w14:paraId="2EA80E50" w14:textId="6EE85DD0" w:rsidR="00D4647F" w:rsidRPr="00872D7E" w:rsidRDefault="00D4647F" w:rsidP="002F0CF7">
            <w:pPr>
              <w:jc w:val="right"/>
              <w:rPr>
                <w:sz w:val="16"/>
                <w:szCs w:val="16"/>
              </w:rPr>
            </w:pPr>
            <w:r w:rsidRPr="00872D7E">
              <w:rPr>
                <w:color w:val="000000"/>
                <w:sz w:val="16"/>
                <w:szCs w:val="16"/>
              </w:rPr>
              <w:t>111.343</w:t>
            </w:r>
          </w:p>
        </w:tc>
        <w:tc>
          <w:tcPr>
            <w:tcW w:w="518" w:type="pct"/>
            <w:vAlign w:val="center"/>
          </w:tcPr>
          <w:p w14:paraId="0039E7BC" w14:textId="6363E15B" w:rsidR="00D4647F" w:rsidRPr="00872D7E" w:rsidRDefault="00D4647F" w:rsidP="002F0CF7">
            <w:pPr>
              <w:jc w:val="right"/>
              <w:rPr>
                <w:sz w:val="16"/>
                <w:szCs w:val="16"/>
              </w:rPr>
            </w:pPr>
            <w:r w:rsidRPr="00872D7E">
              <w:rPr>
                <w:color w:val="000000"/>
                <w:sz w:val="16"/>
                <w:szCs w:val="16"/>
              </w:rPr>
              <w:t>-</w:t>
            </w:r>
          </w:p>
        </w:tc>
        <w:tc>
          <w:tcPr>
            <w:tcW w:w="583" w:type="pct"/>
            <w:vAlign w:val="center"/>
          </w:tcPr>
          <w:p w14:paraId="487BD483" w14:textId="09C95660" w:rsidR="00D4647F" w:rsidRPr="00872D7E" w:rsidRDefault="00D4647F" w:rsidP="002F0CF7">
            <w:pPr>
              <w:jc w:val="right"/>
              <w:rPr>
                <w:sz w:val="16"/>
                <w:szCs w:val="16"/>
              </w:rPr>
            </w:pPr>
            <w:r w:rsidRPr="00872D7E">
              <w:rPr>
                <w:color w:val="000000"/>
                <w:sz w:val="16"/>
                <w:szCs w:val="16"/>
              </w:rPr>
              <w:t>-</w:t>
            </w:r>
          </w:p>
        </w:tc>
        <w:tc>
          <w:tcPr>
            <w:tcW w:w="579" w:type="pct"/>
            <w:vAlign w:val="center"/>
          </w:tcPr>
          <w:p w14:paraId="51948ECA" w14:textId="0C034D16" w:rsidR="00D4647F" w:rsidRPr="00872D7E" w:rsidRDefault="00D4647F" w:rsidP="002F0CF7">
            <w:pPr>
              <w:jc w:val="right"/>
              <w:rPr>
                <w:sz w:val="16"/>
                <w:szCs w:val="16"/>
              </w:rPr>
            </w:pPr>
            <w:r w:rsidRPr="00872D7E">
              <w:rPr>
                <w:color w:val="000000"/>
                <w:sz w:val="16"/>
                <w:szCs w:val="16"/>
              </w:rPr>
              <w:t>-</w:t>
            </w:r>
          </w:p>
        </w:tc>
        <w:tc>
          <w:tcPr>
            <w:tcW w:w="574" w:type="pct"/>
            <w:vAlign w:val="center"/>
          </w:tcPr>
          <w:p w14:paraId="4B36C482" w14:textId="75B0FEE9" w:rsidR="00D4647F" w:rsidRPr="00872D7E" w:rsidRDefault="00D4647F" w:rsidP="002F0CF7">
            <w:pPr>
              <w:jc w:val="right"/>
              <w:rPr>
                <w:sz w:val="16"/>
                <w:szCs w:val="16"/>
              </w:rPr>
            </w:pPr>
            <w:r w:rsidRPr="00872D7E">
              <w:rPr>
                <w:color w:val="000000"/>
                <w:sz w:val="16"/>
                <w:szCs w:val="16"/>
              </w:rPr>
              <w:t>-</w:t>
            </w:r>
          </w:p>
        </w:tc>
        <w:tc>
          <w:tcPr>
            <w:tcW w:w="499" w:type="pct"/>
            <w:vAlign w:val="center"/>
          </w:tcPr>
          <w:p w14:paraId="0F1D8300" w14:textId="22301A25" w:rsidR="00D4647F" w:rsidRPr="00872D7E" w:rsidRDefault="00D4647F" w:rsidP="002F0CF7">
            <w:pPr>
              <w:jc w:val="right"/>
              <w:rPr>
                <w:sz w:val="16"/>
                <w:szCs w:val="16"/>
              </w:rPr>
            </w:pPr>
            <w:r w:rsidRPr="00872D7E">
              <w:rPr>
                <w:color w:val="000000"/>
                <w:sz w:val="16"/>
                <w:szCs w:val="16"/>
              </w:rPr>
              <w:t>-</w:t>
            </w:r>
          </w:p>
        </w:tc>
        <w:tc>
          <w:tcPr>
            <w:tcW w:w="614" w:type="pct"/>
            <w:vAlign w:val="center"/>
          </w:tcPr>
          <w:p w14:paraId="7A374D52" w14:textId="2A67CDB1" w:rsidR="00D4647F" w:rsidRPr="00872D7E" w:rsidRDefault="00D4647F" w:rsidP="002F0CF7">
            <w:pPr>
              <w:jc w:val="right"/>
              <w:rPr>
                <w:sz w:val="16"/>
                <w:szCs w:val="16"/>
              </w:rPr>
            </w:pPr>
            <w:r w:rsidRPr="00872D7E">
              <w:rPr>
                <w:color w:val="000000"/>
                <w:sz w:val="16"/>
                <w:szCs w:val="16"/>
              </w:rPr>
              <w:t>-</w:t>
            </w:r>
          </w:p>
        </w:tc>
      </w:tr>
      <w:tr w:rsidR="00D4647F" w:rsidRPr="00872D7E" w14:paraId="65D12D29" w14:textId="77777777" w:rsidTr="002F0CF7">
        <w:trPr>
          <w:trHeight w:val="113"/>
        </w:trPr>
        <w:tc>
          <w:tcPr>
            <w:tcW w:w="122" w:type="pct"/>
            <w:noWrap/>
            <w:hideMark/>
          </w:tcPr>
          <w:p w14:paraId="6EB3D081" w14:textId="77777777" w:rsidR="00D4647F" w:rsidRPr="00872D7E" w:rsidRDefault="00D4647F" w:rsidP="002F0CF7">
            <w:pPr>
              <w:rPr>
                <w:b/>
                <w:sz w:val="16"/>
                <w:szCs w:val="16"/>
              </w:rPr>
            </w:pPr>
            <w:r w:rsidRPr="00872D7E">
              <w:rPr>
                <w:b/>
                <w:sz w:val="16"/>
                <w:szCs w:val="16"/>
              </w:rPr>
              <w:t>3</w:t>
            </w:r>
          </w:p>
        </w:tc>
        <w:tc>
          <w:tcPr>
            <w:tcW w:w="862" w:type="pct"/>
            <w:noWrap/>
            <w:hideMark/>
          </w:tcPr>
          <w:p w14:paraId="0352E7B1" w14:textId="77777777" w:rsidR="00D4647F" w:rsidRPr="00872D7E" w:rsidRDefault="00D4647F" w:rsidP="002F0CF7">
            <w:pPr>
              <w:rPr>
                <w:b/>
                <w:sz w:val="16"/>
                <w:szCs w:val="16"/>
              </w:rPr>
            </w:pPr>
            <w:r w:rsidRPr="00872D7E">
              <w:rPr>
                <w:b/>
                <w:sz w:val="16"/>
                <w:szCs w:val="16"/>
              </w:rPr>
              <w:t>Toplam</w:t>
            </w:r>
          </w:p>
        </w:tc>
        <w:tc>
          <w:tcPr>
            <w:tcW w:w="648" w:type="pct"/>
            <w:vAlign w:val="center"/>
          </w:tcPr>
          <w:p w14:paraId="1E8F2A79" w14:textId="6B4AC761" w:rsidR="00D4647F" w:rsidRPr="00872D7E" w:rsidRDefault="00D4647F" w:rsidP="002F0CF7">
            <w:pPr>
              <w:jc w:val="right"/>
              <w:rPr>
                <w:b/>
                <w:sz w:val="16"/>
                <w:szCs w:val="16"/>
              </w:rPr>
            </w:pPr>
            <w:r w:rsidRPr="00872D7E">
              <w:rPr>
                <w:b/>
                <w:bCs/>
                <w:color w:val="000000"/>
                <w:sz w:val="16"/>
                <w:szCs w:val="16"/>
              </w:rPr>
              <w:t>111.343</w:t>
            </w:r>
          </w:p>
        </w:tc>
        <w:tc>
          <w:tcPr>
            <w:tcW w:w="518" w:type="pct"/>
            <w:vAlign w:val="center"/>
          </w:tcPr>
          <w:p w14:paraId="755D2E23" w14:textId="2ECFCA67" w:rsidR="00D4647F" w:rsidRPr="00872D7E" w:rsidRDefault="00D4647F" w:rsidP="002F0CF7">
            <w:pPr>
              <w:jc w:val="right"/>
              <w:rPr>
                <w:b/>
                <w:sz w:val="16"/>
                <w:szCs w:val="16"/>
              </w:rPr>
            </w:pPr>
            <w:r w:rsidRPr="00872D7E">
              <w:rPr>
                <w:b/>
                <w:bCs/>
                <w:color w:val="000000"/>
                <w:sz w:val="16"/>
                <w:szCs w:val="16"/>
              </w:rPr>
              <w:t>-</w:t>
            </w:r>
          </w:p>
        </w:tc>
        <w:tc>
          <w:tcPr>
            <w:tcW w:w="583" w:type="pct"/>
            <w:vAlign w:val="center"/>
          </w:tcPr>
          <w:p w14:paraId="12BFDED1" w14:textId="74949620" w:rsidR="00D4647F" w:rsidRPr="00872D7E" w:rsidRDefault="00D4647F" w:rsidP="002F0CF7">
            <w:pPr>
              <w:jc w:val="right"/>
              <w:rPr>
                <w:b/>
                <w:sz w:val="16"/>
                <w:szCs w:val="16"/>
              </w:rPr>
            </w:pPr>
            <w:r w:rsidRPr="00872D7E">
              <w:rPr>
                <w:b/>
                <w:bCs/>
                <w:color w:val="000000"/>
                <w:sz w:val="16"/>
                <w:szCs w:val="16"/>
              </w:rPr>
              <w:t>-</w:t>
            </w:r>
          </w:p>
        </w:tc>
        <w:tc>
          <w:tcPr>
            <w:tcW w:w="579" w:type="pct"/>
            <w:vAlign w:val="center"/>
          </w:tcPr>
          <w:p w14:paraId="65D3B331" w14:textId="0350391F" w:rsidR="00D4647F" w:rsidRPr="00872D7E" w:rsidRDefault="00D4647F" w:rsidP="002F0CF7">
            <w:pPr>
              <w:jc w:val="right"/>
              <w:rPr>
                <w:b/>
                <w:sz w:val="16"/>
                <w:szCs w:val="16"/>
              </w:rPr>
            </w:pPr>
            <w:r w:rsidRPr="00872D7E">
              <w:rPr>
                <w:b/>
                <w:bCs/>
                <w:color w:val="000000"/>
                <w:sz w:val="16"/>
                <w:szCs w:val="16"/>
              </w:rPr>
              <w:t>-</w:t>
            </w:r>
          </w:p>
        </w:tc>
        <w:tc>
          <w:tcPr>
            <w:tcW w:w="574" w:type="pct"/>
            <w:vAlign w:val="center"/>
          </w:tcPr>
          <w:p w14:paraId="058E52A5" w14:textId="37AC1887" w:rsidR="00D4647F" w:rsidRPr="00872D7E" w:rsidRDefault="00D4647F" w:rsidP="002F0CF7">
            <w:pPr>
              <w:jc w:val="right"/>
              <w:rPr>
                <w:b/>
                <w:sz w:val="16"/>
                <w:szCs w:val="16"/>
              </w:rPr>
            </w:pPr>
            <w:r w:rsidRPr="00872D7E">
              <w:rPr>
                <w:b/>
                <w:bCs/>
                <w:color w:val="000000"/>
                <w:sz w:val="16"/>
                <w:szCs w:val="16"/>
              </w:rPr>
              <w:t>-</w:t>
            </w:r>
          </w:p>
        </w:tc>
        <w:tc>
          <w:tcPr>
            <w:tcW w:w="499" w:type="pct"/>
            <w:vAlign w:val="center"/>
          </w:tcPr>
          <w:p w14:paraId="40053060" w14:textId="6035CAB6" w:rsidR="00D4647F" w:rsidRPr="00872D7E" w:rsidRDefault="00D4647F" w:rsidP="002F0CF7">
            <w:pPr>
              <w:jc w:val="right"/>
              <w:rPr>
                <w:b/>
                <w:sz w:val="16"/>
                <w:szCs w:val="16"/>
              </w:rPr>
            </w:pPr>
            <w:r w:rsidRPr="00872D7E">
              <w:rPr>
                <w:b/>
                <w:bCs/>
                <w:color w:val="000000"/>
                <w:sz w:val="16"/>
                <w:szCs w:val="16"/>
              </w:rPr>
              <w:t>-</w:t>
            </w:r>
          </w:p>
        </w:tc>
        <w:tc>
          <w:tcPr>
            <w:tcW w:w="614" w:type="pct"/>
            <w:vAlign w:val="center"/>
          </w:tcPr>
          <w:p w14:paraId="221DA1B4" w14:textId="0AAE8688" w:rsidR="00D4647F" w:rsidRPr="00872D7E" w:rsidRDefault="00D4647F" w:rsidP="002F0CF7">
            <w:pPr>
              <w:jc w:val="right"/>
              <w:rPr>
                <w:b/>
                <w:sz w:val="16"/>
                <w:szCs w:val="16"/>
              </w:rPr>
            </w:pPr>
            <w:r w:rsidRPr="00872D7E">
              <w:rPr>
                <w:b/>
                <w:bCs/>
                <w:color w:val="000000"/>
                <w:sz w:val="16"/>
                <w:szCs w:val="16"/>
              </w:rPr>
              <w:t>-</w:t>
            </w:r>
          </w:p>
        </w:tc>
      </w:tr>
      <w:tr w:rsidR="00D4647F" w:rsidRPr="00872D7E" w14:paraId="781ACD5C" w14:textId="77777777" w:rsidTr="002F0CF7">
        <w:trPr>
          <w:trHeight w:val="113"/>
        </w:trPr>
        <w:tc>
          <w:tcPr>
            <w:tcW w:w="122" w:type="pct"/>
            <w:tcBorders>
              <w:top w:val="nil"/>
              <w:left w:val="nil"/>
              <w:bottom w:val="single" w:sz="4" w:space="0" w:color="auto"/>
              <w:right w:val="nil"/>
            </w:tcBorders>
            <w:noWrap/>
            <w:hideMark/>
          </w:tcPr>
          <w:p w14:paraId="24BE75A2" w14:textId="77777777" w:rsidR="00D4647F" w:rsidRPr="00872D7E" w:rsidRDefault="00D4647F" w:rsidP="002F0CF7">
            <w:pPr>
              <w:rPr>
                <w:sz w:val="16"/>
                <w:szCs w:val="16"/>
              </w:rPr>
            </w:pPr>
            <w:r w:rsidRPr="00872D7E">
              <w:rPr>
                <w:sz w:val="16"/>
                <w:szCs w:val="16"/>
              </w:rPr>
              <w:t>4</w:t>
            </w:r>
          </w:p>
        </w:tc>
        <w:tc>
          <w:tcPr>
            <w:tcW w:w="862" w:type="pct"/>
            <w:tcBorders>
              <w:top w:val="nil"/>
              <w:left w:val="nil"/>
              <w:bottom w:val="single" w:sz="4" w:space="0" w:color="auto"/>
              <w:right w:val="nil"/>
            </w:tcBorders>
            <w:noWrap/>
            <w:hideMark/>
          </w:tcPr>
          <w:p w14:paraId="39B3855E" w14:textId="77777777" w:rsidR="00D4647F" w:rsidRPr="00872D7E" w:rsidRDefault="00D4647F" w:rsidP="002F0CF7">
            <w:pPr>
              <w:rPr>
                <w:sz w:val="16"/>
                <w:szCs w:val="16"/>
              </w:rPr>
            </w:pPr>
            <w:r w:rsidRPr="00872D7E">
              <w:rPr>
                <w:sz w:val="16"/>
                <w:szCs w:val="16"/>
              </w:rPr>
              <w:t>Temerrüde düşmüş</w:t>
            </w:r>
          </w:p>
        </w:tc>
        <w:tc>
          <w:tcPr>
            <w:tcW w:w="648" w:type="pct"/>
            <w:tcBorders>
              <w:top w:val="nil"/>
              <w:left w:val="nil"/>
              <w:bottom w:val="single" w:sz="4" w:space="0" w:color="auto"/>
              <w:right w:val="nil"/>
            </w:tcBorders>
            <w:vAlign w:val="center"/>
          </w:tcPr>
          <w:p w14:paraId="371045DC" w14:textId="646BBDC9" w:rsidR="00D4647F" w:rsidRPr="00872D7E" w:rsidRDefault="00D4647F" w:rsidP="002F0CF7">
            <w:pPr>
              <w:jc w:val="right"/>
              <w:rPr>
                <w:sz w:val="16"/>
                <w:szCs w:val="16"/>
              </w:rPr>
            </w:pPr>
            <w:r w:rsidRPr="00872D7E">
              <w:rPr>
                <w:color w:val="000000"/>
                <w:sz w:val="16"/>
                <w:szCs w:val="16"/>
              </w:rPr>
              <w:t>-</w:t>
            </w:r>
          </w:p>
        </w:tc>
        <w:tc>
          <w:tcPr>
            <w:tcW w:w="518" w:type="pct"/>
            <w:tcBorders>
              <w:top w:val="nil"/>
              <w:left w:val="nil"/>
              <w:bottom w:val="single" w:sz="4" w:space="0" w:color="auto"/>
              <w:right w:val="nil"/>
            </w:tcBorders>
            <w:vAlign w:val="center"/>
          </w:tcPr>
          <w:p w14:paraId="0654D32E" w14:textId="145CB292" w:rsidR="00D4647F" w:rsidRPr="00872D7E" w:rsidRDefault="00D4647F" w:rsidP="002F0CF7">
            <w:pPr>
              <w:jc w:val="right"/>
              <w:rPr>
                <w:sz w:val="16"/>
                <w:szCs w:val="16"/>
              </w:rPr>
            </w:pPr>
            <w:r w:rsidRPr="00872D7E">
              <w:rPr>
                <w:color w:val="000000"/>
                <w:sz w:val="16"/>
                <w:szCs w:val="16"/>
              </w:rPr>
              <w:t>-</w:t>
            </w:r>
          </w:p>
        </w:tc>
        <w:tc>
          <w:tcPr>
            <w:tcW w:w="583" w:type="pct"/>
            <w:tcBorders>
              <w:top w:val="nil"/>
              <w:left w:val="nil"/>
              <w:bottom w:val="single" w:sz="4" w:space="0" w:color="auto"/>
              <w:right w:val="nil"/>
            </w:tcBorders>
            <w:vAlign w:val="center"/>
          </w:tcPr>
          <w:p w14:paraId="7F363F68" w14:textId="433B49C1" w:rsidR="00D4647F" w:rsidRPr="00872D7E" w:rsidRDefault="00D4647F" w:rsidP="002F0CF7">
            <w:pPr>
              <w:jc w:val="right"/>
              <w:rPr>
                <w:sz w:val="16"/>
                <w:szCs w:val="16"/>
              </w:rPr>
            </w:pPr>
            <w:r w:rsidRPr="00872D7E">
              <w:rPr>
                <w:color w:val="000000"/>
                <w:sz w:val="16"/>
                <w:szCs w:val="16"/>
              </w:rPr>
              <w:t>-</w:t>
            </w:r>
          </w:p>
        </w:tc>
        <w:tc>
          <w:tcPr>
            <w:tcW w:w="579" w:type="pct"/>
            <w:tcBorders>
              <w:top w:val="nil"/>
              <w:left w:val="nil"/>
              <w:bottom w:val="single" w:sz="4" w:space="0" w:color="auto"/>
              <w:right w:val="nil"/>
            </w:tcBorders>
            <w:vAlign w:val="center"/>
          </w:tcPr>
          <w:p w14:paraId="5F2B85B8" w14:textId="54894C3A" w:rsidR="00D4647F" w:rsidRPr="00872D7E" w:rsidRDefault="00D4647F" w:rsidP="002F0CF7">
            <w:pPr>
              <w:jc w:val="right"/>
              <w:rPr>
                <w:sz w:val="16"/>
                <w:szCs w:val="16"/>
              </w:rPr>
            </w:pPr>
            <w:r w:rsidRPr="00872D7E">
              <w:rPr>
                <w:color w:val="000000"/>
                <w:sz w:val="16"/>
                <w:szCs w:val="16"/>
              </w:rPr>
              <w:t>-</w:t>
            </w:r>
          </w:p>
        </w:tc>
        <w:tc>
          <w:tcPr>
            <w:tcW w:w="574" w:type="pct"/>
            <w:tcBorders>
              <w:top w:val="nil"/>
              <w:left w:val="nil"/>
              <w:bottom w:val="single" w:sz="4" w:space="0" w:color="auto"/>
              <w:right w:val="nil"/>
            </w:tcBorders>
            <w:vAlign w:val="center"/>
          </w:tcPr>
          <w:p w14:paraId="23B5D74F" w14:textId="323E221D" w:rsidR="00D4647F" w:rsidRPr="00872D7E" w:rsidRDefault="00D4647F" w:rsidP="002F0CF7">
            <w:pPr>
              <w:jc w:val="right"/>
              <w:rPr>
                <w:sz w:val="16"/>
                <w:szCs w:val="16"/>
              </w:rPr>
            </w:pPr>
            <w:r w:rsidRPr="00872D7E">
              <w:rPr>
                <w:color w:val="000000"/>
                <w:sz w:val="16"/>
                <w:szCs w:val="16"/>
              </w:rPr>
              <w:t>-</w:t>
            </w:r>
          </w:p>
        </w:tc>
        <w:tc>
          <w:tcPr>
            <w:tcW w:w="499" w:type="pct"/>
            <w:tcBorders>
              <w:top w:val="nil"/>
              <w:left w:val="nil"/>
              <w:bottom w:val="single" w:sz="4" w:space="0" w:color="auto"/>
              <w:right w:val="nil"/>
            </w:tcBorders>
            <w:vAlign w:val="center"/>
          </w:tcPr>
          <w:p w14:paraId="1211C805" w14:textId="14AF9299" w:rsidR="00D4647F" w:rsidRPr="00872D7E" w:rsidRDefault="00D4647F" w:rsidP="002F0CF7">
            <w:pPr>
              <w:jc w:val="right"/>
              <w:rPr>
                <w:sz w:val="16"/>
                <w:szCs w:val="16"/>
              </w:rPr>
            </w:pPr>
            <w:r w:rsidRPr="00872D7E">
              <w:rPr>
                <w:color w:val="000000"/>
                <w:sz w:val="16"/>
                <w:szCs w:val="16"/>
              </w:rPr>
              <w:t>-</w:t>
            </w:r>
          </w:p>
        </w:tc>
        <w:tc>
          <w:tcPr>
            <w:tcW w:w="614" w:type="pct"/>
            <w:tcBorders>
              <w:top w:val="nil"/>
              <w:left w:val="nil"/>
              <w:bottom w:val="single" w:sz="4" w:space="0" w:color="auto"/>
              <w:right w:val="nil"/>
            </w:tcBorders>
            <w:vAlign w:val="center"/>
          </w:tcPr>
          <w:p w14:paraId="4F3324E2" w14:textId="2E97A5D0" w:rsidR="00D4647F" w:rsidRPr="00872D7E" w:rsidRDefault="00D4647F" w:rsidP="002F0CF7">
            <w:pPr>
              <w:jc w:val="right"/>
              <w:rPr>
                <w:sz w:val="16"/>
                <w:szCs w:val="16"/>
              </w:rPr>
            </w:pPr>
            <w:r w:rsidRPr="00872D7E">
              <w:rPr>
                <w:color w:val="000000"/>
                <w:sz w:val="16"/>
                <w:szCs w:val="16"/>
              </w:rPr>
              <w:t>-</w:t>
            </w:r>
          </w:p>
        </w:tc>
      </w:tr>
    </w:tbl>
    <w:p w14:paraId="26B6E104" w14:textId="77777777" w:rsidR="00644841" w:rsidRPr="00872D7E" w:rsidRDefault="00644841" w:rsidP="002F0CF7">
      <w:pPr>
        <w:rPr>
          <w:sz w:val="14"/>
          <w:szCs w:val="18"/>
        </w:rPr>
      </w:pPr>
    </w:p>
    <w:p w14:paraId="425E2315" w14:textId="34AA0C3B" w:rsidR="007A2DE3" w:rsidRPr="00872D7E" w:rsidRDefault="007A2DE3" w:rsidP="002F0CF7">
      <w:pPr>
        <w:ind w:left="851" w:hanging="851"/>
        <w:rPr>
          <w:b/>
          <w:szCs w:val="20"/>
        </w:rPr>
      </w:pPr>
      <w:r w:rsidRPr="00872D7E">
        <w:rPr>
          <w:b/>
          <w:szCs w:val="20"/>
        </w:rPr>
        <w:t>c.3.</w:t>
      </w:r>
      <w:r w:rsidR="002F0CF7" w:rsidRPr="00872D7E">
        <w:rPr>
          <w:b/>
          <w:szCs w:val="20"/>
        </w:rPr>
        <w:tab/>
      </w:r>
      <w:r w:rsidRPr="00872D7E">
        <w:rPr>
          <w:b/>
          <w:szCs w:val="20"/>
        </w:rPr>
        <w:t>Standart Yaklaşım Kullanılması Durumunda Kredi Riski:</w:t>
      </w:r>
    </w:p>
    <w:p w14:paraId="3074C65B" w14:textId="6C709C89" w:rsidR="007A2DE3" w:rsidRPr="00872D7E" w:rsidRDefault="007A2DE3" w:rsidP="0038693C">
      <w:pPr>
        <w:ind w:left="851" w:hanging="851"/>
        <w:jc w:val="both"/>
        <w:rPr>
          <w:b/>
          <w:szCs w:val="20"/>
        </w:rPr>
      </w:pPr>
      <w:r w:rsidRPr="00872D7E">
        <w:rPr>
          <w:b/>
          <w:szCs w:val="20"/>
        </w:rPr>
        <w:t>c.3.1.</w:t>
      </w:r>
      <w:r w:rsidR="002F0CF7" w:rsidRPr="00872D7E">
        <w:rPr>
          <w:b/>
          <w:szCs w:val="20"/>
        </w:rPr>
        <w:tab/>
      </w:r>
      <w:r w:rsidRPr="00872D7E">
        <w:rPr>
          <w:b/>
          <w:szCs w:val="20"/>
        </w:rPr>
        <w:t>Bankaların Kredi Riskini Standart Yaklaşım ile Hesaplarken Kullandığı Derecelendirme Notları ile İlgili Yapılacak Nitel Açıklamalar:</w:t>
      </w:r>
    </w:p>
    <w:p w14:paraId="0B05A735" w14:textId="77777777" w:rsidR="002F0CF7" w:rsidRPr="00872D7E" w:rsidRDefault="002F0CF7" w:rsidP="002F0CF7">
      <w:pPr>
        <w:ind w:left="851"/>
        <w:jc w:val="both"/>
        <w:rPr>
          <w:sz w:val="12"/>
          <w:szCs w:val="12"/>
        </w:rPr>
      </w:pPr>
    </w:p>
    <w:p w14:paraId="4BB010FB" w14:textId="25F6E03F" w:rsidR="00F405AE" w:rsidRPr="00872D7E" w:rsidRDefault="007A2DE3" w:rsidP="002F0CF7">
      <w:pPr>
        <w:ind w:left="851"/>
        <w:jc w:val="both"/>
        <w:rPr>
          <w:b/>
          <w:szCs w:val="20"/>
        </w:rPr>
      </w:pPr>
      <w:r w:rsidRPr="00872D7E">
        <w:rPr>
          <w:szCs w:val="20"/>
        </w:rPr>
        <w:t xml:space="preserve">Bankaların kredi riskini standart yaklaşım ile hesaplarken kullandığı derecelendirme notlarına ilişkin açıklamalara </w:t>
      </w:r>
      <w:r w:rsidR="008C5672" w:rsidRPr="00872D7E">
        <w:rPr>
          <w:szCs w:val="20"/>
        </w:rPr>
        <w:t>II</w:t>
      </w:r>
      <w:r w:rsidRPr="00872D7E">
        <w:rPr>
          <w:szCs w:val="20"/>
        </w:rPr>
        <w:t xml:space="preserve"> </w:t>
      </w:r>
      <w:r w:rsidR="008C5672" w:rsidRPr="00872D7E">
        <w:rPr>
          <w:szCs w:val="20"/>
        </w:rPr>
        <w:t>numaralı</w:t>
      </w:r>
      <w:r w:rsidRPr="00872D7E">
        <w:rPr>
          <w:szCs w:val="20"/>
        </w:rPr>
        <w:t xml:space="preserve"> Kredi riskine ilişkin açıklamalar dipnotunda yer verilmiştir.</w:t>
      </w:r>
      <w:r w:rsidR="00F405AE" w:rsidRPr="00872D7E">
        <w:rPr>
          <w:b/>
          <w:szCs w:val="20"/>
        </w:rPr>
        <w:br w:type="page"/>
      </w:r>
    </w:p>
    <w:p w14:paraId="0F691078" w14:textId="1C217C73" w:rsidR="00DC64F5" w:rsidRPr="00872D7E" w:rsidRDefault="00DC64F5" w:rsidP="00DC64F5">
      <w:pPr>
        <w:pStyle w:val="BodyTextIndent"/>
        <w:widowControl w:val="0"/>
        <w:ind w:firstLine="0"/>
        <w:rPr>
          <w:b/>
          <w:szCs w:val="20"/>
        </w:rPr>
      </w:pPr>
      <w:r w:rsidRPr="00872D7E">
        <w:rPr>
          <w:b/>
          <w:szCs w:val="20"/>
        </w:rPr>
        <w:lastRenderedPageBreak/>
        <w:t>MALİ BÜNYEYE VE RİSK YÖNETİMİNE İLİŞKİN BİLGİLER (Devamı)</w:t>
      </w:r>
    </w:p>
    <w:p w14:paraId="4CA986F0" w14:textId="77777777" w:rsidR="00DC64F5" w:rsidRPr="00872D7E" w:rsidRDefault="00DC64F5" w:rsidP="00DC64F5">
      <w:pPr>
        <w:widowControl w:val="0"/>
        <w:autoSpaceDE w:val="0"/>
        <w:autoSpaceDN w:val="0"/>
        <w:adjustRightInd w:val="0"/>
        <w:jc w:val="both"/>
        <w:rPr>
          <w:szCs w:val="20"/>
        </w:rPr>
      </w:pPr>
    </w:p>
    <w:p w14:paraId="0FE0B06B" w14:textId="29257B68" w:rsidR="000E463B" w:rsidRPr="00872D7E" w:rsidRDefault="000E463B" w:rsidP="002F0CF7">
      <w:pPr>
        <w:ind w:left="851" w:hanging="851"/>
        <w:rPr>
          <w:b/>
          <w:bCs/>
        </w:rPr>
      </w:pPr>
      <w:r w:rsidRPr="00872D7E">
        <w:rPr>
          <w:b/>
          <w:bCs/>
        </w:rPr>
        <w:t>X.</w:t>
      </w:r>
      <w:r w:rsidRPr="00872D7E">
        <w:rPr>
          <w:b/>
          <w:bCs/>
        </w:rPr>
        <w:tab/>
        <w:t>RİSK YÖNETİMİNE İLİŞKİN AÇIKLAMALAR (Devamı)</w:t>
      </w:r>
    </w:p>
    <w:p w14:paraId="2EE5AC3E" w14:textId="462622B4" w:rsidR="00DC64F5" w:rsidRPr="00872D7E" w:rsidRDefault="008C5672" w:rsidP="002F0CF7">
      <w:pPr>
        <w:spacing w:before="120" w:after="120"/>
        <w:ind w:left="851" w:hanging="851"/>
        <w:rPr>
          <w:b/>
          <w:szCs w:val="20"/>
        </w:rPr>
      </w:pPr>
      <w:r w:rsidRPr="00872D7E">
        <w:rPr>
          <w:b/>
          <w:szCs w:val="20"/>
        </w:rPr>
        <w:t>c</w:t>
      </w:r>
      <w:r w:rsidR="00DC64F5" w:rsidRPr="00872D7E">
        <w:rPr>
          <w:b/>
          <w:szCs w:val="20"/>
        </w:rPr>
        <w:t>.3.</w:t>
      </w:r>
      <w:r w:rsidRPr="00872D7E">
        <w:rPr>
          <w:b/>
          <w:szCs w:val="20"/>
        </w:rPr>
        <w:t>2</w:t>
      </w:r>
      <w:r w:rsidR="00DC64F5" w:rsidRPr="00872D7E">
        <w:rPr>
          <w:b/>
          <w:szCs w:val="20"/>
        </w:rPr>
        <w:t>.</w:t>
      </w:r>
      <w:r w:rsidR="00DC64F5" w:rsidRPr="00872D7E">
        <w:rPr>
          <w:b/>
          <w:szCs w:val="20"/>
        </w:rPr>
        <w:tab/>
        <w:t>Maruz Kalınan Kredi Riski ve Kredi Riski Azaltım Etkileri:</w:t>
      </w:r>
    </w:p>
    <w:tbl>
      <w:tblPr>
        <w:tblStyle w:val="TableGrid"/>
        <w:tblW w:w="51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4"/>
        <w:gridCol w:w="2173"/>
        <w:gridCol w:w="1224"/>
        <w:gridCol w:w="1234"/>
        <w:gridCol w:w="1121"/>
        <w:gridCol w:w="1097"/>
        <w:gridCol w:w="1254"/>
        <w:gridCol w:w="1385"/>
      </w:tblGrid>
      <w:tr w:rsidR="00DC64F5" w:rsidRPr="00872D7E" w14:paraId="013CDF43" w14:textId="77777777" w:rsidTr="002F0CF7">
        <w:trPr>
          <w:trHeight w:val="113"/>
        </w:trPr>
        <w:tc>
          <w:tcPr>
            <w:tcW w:w="1312" w:type="pct"/>
            <w:gridSpan w:val="2"/>
            <w:tcBorders>
              <w:top w:val="single" w:sz="4" w:space="0" w:color="auto"/>
            </w:tcBorders>
            <w:noWrap/>
            <w:vAlign w:val="center"/>
            <w:hideMark/>
          </w:tcPr>
          <w:p w14:paraId="3C0DA023" w14:textId="2E43E4C8" w:rsidR="00DC64F5" w:rsidRPr="00872D7E" w:rsidRDefault="00D4647F" w:rsidP="005A0808">
            <w:pPr>
              <w:ind w:firstLine="426"/>
              <w:contextualSpacing/>
              <w:rPr>
                <w:b/>
                <w:sz w:val="16"/>
                <w:szCs w:val="16"/>
              </w:rPr>
            </w:pPr>
            <w:r w:rsidRPr="00872D7E">
              <w:rPr>
                <w:b/>
                <w:sz w:val="16"/>
                <w:szCs w:val="16"/>
              </w:rPr>
              <w:t>31 Aralık 2024</w:t>
            </w:r>
          </w:p>
        </w:tc>
        <w:tc>
          <w:tcPr>
            <w:tcW w:w="1239" w:type="pct"/>
            <w:gridSpan w:val="2"/>
            <w:tcBorders>
              <w:top w:val="single" w:sz="4" w:space="0" w:color="auto"/>
              <w:bottom w:val="single" w:sz="4" w:space="0" w:color="auto"/>
            </w:tcBorders>
            <w:noWrap/>
            <w:vAlign w:val="bottom"/>
          </w:tcPr>
          <w:p w14:paraId="71C541D8" w14:textId="77777777" w:rsidR="00DC64F5" w:rsidRPr="00872D7E" w:rsidRDefault="00DC64F5" w:rsidP="005A0808">
            <w:pPr>
              <w:contextualSpacing/>
              <w:jc w:val="center"/>
              <w:rPr>
                <w:b/>
                <w:sz w:val="16"/>
                <w:szCs w:val="16"/>
              </w:rPr>
            </w:pPr>
            <w:r w:rsidRPr="00872D7E">
              <w:rPr>
                <w:b/>
                <w:sz w:val="16"/>
                <w:szCs w:val="16"/>
              </w:rPr>
              <w:t>Kredi dönüşüm oranı ve kredi riski azaltımından önce alacak tutarı</w:t>
            </w:r>
          </w:p>
        </w:tc>
        <w:tc>
          <w:tcPr>
            <w:tcW w:w="1118" w:type="pct"/>
            <w:gridSpan w:val="2"/>
            <w:tcBorders>
              <w:top w:val="single" w:sz="4" w:space="0" w:color="auto"/>
              <w:bottom w:val="single" w:sz="4" w:space="0" w:color="auto"/>
            </w:tcBorders>
            <w:noWrap/>
            <w:vAlign w:val="bottom"/>
          </w:tcPr>
          <w:p w14:paraId="377BE139" w14:textId="77777777" w:rsidR="00DC64F5" w:rsidRPr="00872D7E" w:rsidRDefault="00DC64F5" w:rsidP="005A0808">
            <w:pPr>
              <w:contextualSpacing/>
              <w:jc w:val="center"/>
              <w:rPr>
                <w:b/>
                <w:sz w:val="16"/>
                <w:szCs w:val="16"/>
              </w:rPr>
            </w:pPr>
            <w:r w:rsidRPr="00872D7E">
              <w:rPr>
                <w:b/>
                <w:sz w:val="16"/>
                <w:szCs w:val="16"/>
              </w:rPr>
              <w:t>Kredi dönüşüm oranı ve kredi riski azaltımından sonra alacak tutarı</w:t>
            </w:r>
          </w:p>
        </w:tc>
        <w:tc>
          <w:tcPr>
            <w:tcW w:w="1331" w:type="pct"/>
            <w:gridSpan w:val="2"/>
            <w:tcBorders>
              <w:top w:val="single" w:sz="4" w:space="0" w:color="auto"/>
            </w:tcBorders>
            <w:noWrap/>
            <w:vAlign w:val="bottom"/>
          </w:tcPr>
          <w:p w14:paraId="267C14F6" w14:textId="77777777" w:rsidR="00DC64F5" w:rsidRPr="00872D7E" w:rsidRDefault="00DC64F5" w:rsidP="005A0808">
            <w:pPr>
              <w:contextualSpacing/>
              <w:jc w:val="center"/>
              <w:rPr>
                <w:b/>
                <w:sz w:val="16"/>
                <w:szCs w:val="16"/>
              </w:rPr>
            </w:pPr>
            <w:r w:rsidRPr="00872D7E">
              <w:rPr>
                <w:b/>
                <w:sz w:val="16"/>
                <w:szCs w:val="16"/>
              </w:rPr>
              <w:t>Risk ağırlıklı tutar ve risk ağırlıklı tutar yoğunluğu</w:t>
            </w:r>
          </w:p>
        </w:tc>
      </w:tr>
      <w:tr w:rsidR="00DC64F5" w:rsidRPr="00872D7E" w14:paraId="0F11B467" w14:textId="77777777" w:rsidTr="002F0CF7">
        <w:trPr>
          <w:trHeight w:val="113"/>
        </w:trPr>
        <w:tc>
          <w:tcPr>
            <w:tcW w:w="218" w:type="pct"/>
            <w:tcBorders>
              <w:top w:val="single" w:sz="4" w:space="0" w:color="auto"/>
              <w:bottom w:val="single" w:sz="4" w:space="0" w:color="auto"/>
            </w:tcBorders>
            <w:noWrap/>
            <w:hideMark/>
          </w:tcPr>
          <w:p w14:paraId="174DC22B" w14:textId="77777777" w:rsidR="00DC64F5" w:rsidRPr="00872D7E" w:rsidRDefault="00DC64F5" w:rsidP="005A0808">
            <w:pPr>
              <w:contextualSpacing/>
              <w:rPr>
                <w:sz w:val="16"/>
                <w:szCs w:val="16"/>
              </w:rPr>
            </w:pPr>
            <w:r w:rsidRPr="00872D7E">
              <w:rPr>
                <w:sz w:val="16"/>
                <w:szCs w:val="16"/>
              </w:rPr>
              <w:t> </w:t>
            </w:r>
          </w:p>
        </w:tc>
        <w:tc>
          <w:tcPr>
            <w:tcW w:w="1095" w:type="pct"/>
            <w:tcBorders>
              <w:top w:val="single" w:sz="4" w:space="0" w:color="auto"/>
              <w:bottom w:val="single" w:sz="4" w:space="0" w:color="auto"/>
            </w:tcBorders>
            <w:noWrap/>
            <w:vAlign w:val="bottom"/>
            <w:hideMark/>
          </w:tcPr>
          <w:p w14:paraId="1D1EA146" w14:textId="77777777" w:rsidR="00DC64F5" w:rsidRPr="00872D7E" w:rsidRDefault="00DC64F5" w:rsidP="005A0808">
            <w:pPr>
              <w:contextualSpacing/>
              <w:rPr>
                <w:b/>
                <w:sz w:val="16"/>
                <w:szCs w:val="16"/>
              </w:rPr>
            </w:pPr>
            <w:r w:rsidRPr="00872D7E">
              <w:rPr>
                <w:b/>
                <w:sz w:val="16"/>
                <w:szCs w:val="16"/>
              </w:rPr>
              <w:t>Risk sınıfları</w:t>
            </w:r>
          </w:p>
        </w:tc>
        <w:tc>
          <w:tcPr>
            <w:tcW w:w="617" w:type="pct"/>
            <w:tcBorders>
              <w:top w:val="single" w:sz="4" w:space="0" w:color="auto"/>
              <w:bottom w:val="single" w:sz="4" w:space="0" w:color="auto"/>
            </w:tcBorders>
            <w:vAlign w:val="bottom"/>
            <w:hideMark/>
          </w:tcPr>
          <w:p w14:paraId="3B1DBB81" w14:textId="77777777" w:rsidR="00DC64F5" w:rsidRPr="00872D7E" w:rsidRDefault="00DC64F5" w:rsidP="005A0808">
            <w:pPr>
              <w:contextualSpacing/>
              <w:jc w:val="right"/>
              <w:rPr>
                <w:b/>
                <w:sz w:val="16"/>
                <w:szCs w:val="16"/>
              </w:rPr>
            </w:pPr>
            <w:r w:rsidRPr="00872D7E">
              <w:rPr>
                <w:b/>
                <w:sz w:val="16"/>
                <w:szCs w:val="16"/>
              </w:rPr>
              <w:t>Bilanço içi tutar</w:t>
            </w:r>
          </w:p>
        </w:tc>
        <w:tc>
          <w:tcPr>
            <w:tcW w:w="620" w:type="pct"/>
            <w:tcBorders>
              <w:top w:val="single" w:sz="4" w:space="0" w:color="auto"/>
              <w:bottom w:val="single" w:sz="4" w:space="0" w:color="auto"/>
            </w:tcBorders>
            <w:vAlign w:val="bottom"/>
            <w:hideMark/>
          </w:tcPr>
          <w:p w14:paraId="7EAF277A" w14:textId="77777777" w:rsidR="00DC64F5" w:rsidRPr="00872D7E" w:rsidRDefault="00DC64F5" w:rsidP="005A0808">
            <w:pPr>
              <w:contextualSpacing/>
              <w:jc w:val="right"/>
              <w:rPr>
                <w:b/>
                <w:sz w:val="16"/>
                <w:szCs w:val="16"/>
              </w:rPr>
            </w:pPr>
            <w:r w:rsidRPr="00872D7E">
              <w:rPr>
                <w:b/>
                <w:sz w:val="16"/>
                <w:szCs w:val="16"/>
              </w:rPr>
              <w:t>Bilanço dışı tutar</w:t>
            </w:r>
          </w:p>
        </w:tc>
        <w:tc>
          <w:tcPr>
            <w:tcW w:w="565" w:type="pct"/>
            <w:tcBorders>
              <w:top w:val="single" w:sz="4" w:space="0" w:color="auto"/>
              <w:bottom w:val="single" w:sz="4" w:space="0" w:color="auto"/>
            </w:tcBorders>
            <w:vAlign w:val="bottom"/>
            <w:hideMark/>
          </w:tcPr>
          <w:p w14:paraId="208A7326" w14:textId="77777777" w:rsidR="00DC64F5" w:rsidRPr="00872D7E" w:rsidRDefault="00DC64F5" w:rsidP="005A0808">
            <w:pPr>
              <w:contextualSpacing/>
              <w:jc w:val="right"/>
              <w:rPr>
                <w:b/>
                <w:sz w:val="16"/>
                <w:szCs w:val="16"/>
              </w:rPr>
            </w:pPr>
            <w:r w:rsidRPr="00872D7E">
              <w:rPr>
                <w:b/>
                <w:sz w:val="16"/>
                <w:szCs w:val="16"/>
              </w:rPr>
              <w:t>Bilanço içi tutar</w:t>
            </w:r>
          </w:p>
        </w:tc>
        <w:tc>
          <w:tcPr>
            <w:tcW w:w="553" w:type="pct"/>
            <w:tcBorders>
              <w:top w:val="single" w:sz="4" w:space="0" w:color="auto"/>
              <w:bottom w:val="single" w:sz="4" w:space="0" w:color="auto"/>
            </w:tcBorders>
            <w:vAlign w:val="bottom"/>
            <w:hideMark/>
          </w:tcPr>
          <w:p w14:paraId="7A704E25" w14:textId="77777777" w:rsidR="00DC64F5" w:rsidRPr="00872D7E" w:rsidRDefault="00DC64F5" w:rsidP="005A0808">
            <w:pPr>
              <w:contextualSpacing/>
              <w:jc w:val="right"/>
              <w:rPr>
                <w:b/>
                <w:sz w:val="16"/>
                <w:szCs w:val="16"/>
              </w:rPr>
            </w:pPr>
            <w:r w:rsidRPr="00872D7E">
              <w:rPr>
                <w:b/>
                <w:sz w:val="16"/>
                <w:szCs w:val="16"/>
              </w:rPr>
              <w:t>Bilanço dışı tutar</w:t>
            </w:r>
          </w:p>
        </w:tc>
        <w:tc>
          <w:tcPr>
            <w:tcW w:w="632" w:type="pct"/>
            <w:tcBorders>
              <w:top w:val="single" w:sz="4" w:space="0" w:color="auto"/>
              <w:bottom w:val="single" w:sz="4" w:space="0" w:color="auto"/>
            </w:tcBorders>
            <w:vAlign w:val="bottom"/>
            <w:hideMark/>
          </w:tcPr>
          <w:p w14:paraId="4172DD60" w14:textId="77777777" w:rsidR="00DC64F5" w:rsidRPr="00872D7E" w:rsidRDefault="00DC64F5" w:rsidP="005A0808">
            <w:pPr>
              <w:contextualSpacing/>
              <w:jc w:val="right"/>
              <w:rPr>
                <w:b/>
                <w:sz w:val="16"/>
                <w:szCs w:val="16"/>
              </w:rPr>
            </w:pPr>
            <w:r w:rsidRPr="00872D7E">
              <w:rPr>
                <w:b/>
                <w:sz w:val="16"/>
                <w:szCs w:val="16"/>
              </w:rPr>
              <w:t>Risk ağırlıklı tutar</w:t>
            </w:r>
          </w:p>
        </w:tc>
        <w:tc>
          <w:tcPr>
            <w:tcW w:w="698" w:type="pct"/>
            <w:tcBorders>
              <w:top w:val="single" w:sz="4" w:space="0" w:color="auto"/>
              <w:bottom w:val="single" w:sz="4" w:space="0" w:color="auto"/>
            </w:tcBorders>
            <w:vAlign w:val="bottom"/>
            <w:hideMark/>
          </w:tcPr>
          <w:p w14:paraId="6EA37022" w14:textId="77777777" w:rsidR="00DC64F5" w:rsidRPr="00872D7E" w:rsidRDefault="00DC64F5" w:rsidP="005A0808">
            <w:pPr>
              <w:contextualSpacing/>
              <w:jc w:val="right"/>
              <w:rPr>
                <w:b/>
                <w:sz w:val="16"/>
                <w:szCs w:val="16"/>
              </w:rPr>
            </w:pPr>
            <w:r w:rsidRPr="00872D7E">
              <w:rPr>
                <w:b/>
                <w:sz w:val="16"/>
                <w:szCs w:val="16"/>
              </w:rPr>
              <w:t>Risk ağırlıklı tutar yoğunluğu</w:t>
            </w:r>
          </w:p>
        </w:tc>
      </w:tr>
      <w:tr w:rsidR="00D4647F" w:rsidRPr="00872D7E" w14:paraId="423F81B9" w14:textId="77777777" w:rsidTr="002F0CF7">
        <w:trPr>
          <w:trHeight w:val="113"/>
        </w:trPr>
        <w:tc>
          <w:tcPr>
            <w:tcW w:w="218" w:type="pct"/>
            <w:tcBorders>
              <w:top w:val="single" w:sz="4" w:space="0" w:color="auto"/>
            </w:tcBorders>
            <w:hideMark/>
          </w:tcPr>
          <w:p w14:paraId="35428433" w14:textId="77777777" w:rsidR="00D4647F" w:rsidRPr="00872D7E" w:rsidRDefault="00D4647F" w:rsidP="00D4647F">
            <w:pPr>
              <w:contextualSpacing/>
              <w:rPr>
                <w:sz w:val="16"/>
                <w:szCs w:val="16"/>
              </w:rPr>
            </w:pPr>
            <w:r w:rsidRPr="00872D7E">
              <w:rPr>
                <w:sz w:val="16"/>
                <w:szCs w:val="16"/>
              </w:rPr>
              <w:t>1</w:t>
            </w:r>
          </w:p>
        </w:tc>
        <w:tc>
          <w:tcPr>
            <w:tcW w:w="1095" w:type="pct"/>
            <w:tcBorders>
              <w:top w:val="single" w:sz="4" w:space="0" w:color="auto"/>
            </w:tcBorders>
            <w:hideMark/>
          </w:tcPr>
          <w:p w14:paraId="53D65585" w14:textId="77777777" w:rsidR="00D4647F" w:rsidRPr="00872D7E" w:rsidRDefault="00D4647F" w:rsidP="00D4647F">
            <w:pPr>
              <w:contextualSpacing/>
              <w:rPr>
                <w:sz w:val="16"/>
                <w:szCs w:val="16"/>
              </w:rPr>
            </w:pPr>
            <w:r w:rsidRPr="00872D7E">
              <w:rPr>
                <w:sz w:val="16"/>
                <w:szCs w:val="16"/>
              </w:rPr>
              <w:t>Merkezi yönetimlerden veya merkez bankalarından alacaklar</w:t>
            </w:r>
          </w:p>
        </w:tc>
        <w:tc>
          <w:tcPr>
            <w:tcW w:w="617" w:type="pct"/>
            <w:tcBorders>
              <w:top w:val="nil"/>
              <w:left w:val="nil"/>
              <w:bottom w:val="nil"/>
              <w:right w:val="nil"/>
            </w:tcBorders>
            <w:shd w:val="clear" w:color="auto" w:fill="auto"/>
            <w:vAlign w:val="bottom"/>
          </w:tcPr>
          <w:p w14:paraId="609BA39C" w14:textId="1E9B7D97" w:rsidR="00D4647F" w:rsidRPr="00872D7E" w:rsidRDefault="00D4647F" w:rsidP="00D4647F">
            <w:pPr>
              <w:jc w:val="right"/>
              <w:rPr>
                <w:sz w:val="16"/>
                <w:szCs w:val="16"/>
              </w:rPr>
            </w:pPr>
            <w:r w:rsidRPr="00872D7E">
              <w:rPr>
                <w:sz w:val="16"/>
                <w:szCs w:val="16"/>
              </w:rPr>
              <w:t>4.830.858</w:t>
            </w:r>
          </w:p>
        </w:tc>
        <w:tc>
          <w:tcPr>
            <w:tcW w:w="620" w:type="pct"/>
            <w:tcBorders>
              <w:top w:val="nil"/>
              <w:left w:val="nil"/>
              <w:bottom w:val="nil"/>
              <w:right w:val="nil"/>
            </w:tcBorders>
            <w:shd w:val="clear" w:color="auto" w:fill="auto"/>
            <w:vAlign w:val="bottom"/>
          </w:tcPr>
          <w:p w14:paraId="4DE07EC6" w14:textId="4E2DC725"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386C495F" w14:textId="4D3DC69C" w:rsidR="00D4647F" w:rsidRPr="00872D7E" w:rsidRDefault="00D4647F" w:rsidP="00D4647F">
            <w:pPr>
              <w:jc w:val="right"/>
              <w:rPr>
                <w:sz w:val="16"/>
                <w:szCs w:val="16"/>
              </w:rPr>
            </w:pPr>
            <w:r w:rsidRPr="00872D7E">
              <w:rPr>
                <w:sz w:val="16"/>
                <w:szCs w:val="16"/>
              </w:rPr>
              <w:t>4.830.858</w:t>
            </w:r>
          </w:p>
        </w:tc>
        <w:tc>
          <w:tcPr>
            <w:tcW w:w="553" w:type="pct"/>
            <w:tcBorders>
              <w:top w:val="nil"/>
              <w:left w:val="nil"/>
              <w:bottom w:val="nil"/>
              <w:right w:val="nil"/>
            </w:tcBorders>
            <w:shd w:val="clear" w:color="auto" w:fill="auto"/>
            <w:vAlign w:val="bottom"/>
          </w:tcPr>
          <w:p w14:paraId="2D479A61" w14:textId="55F9254A"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2EFA3F0D" w14:textId="521860D2" w:rsidR="00D4647F" w:rsidRPr="00872D7E" w:rsidRDefault="00D4647F" w:rsidP="00D4647F">
            <w:pPr>
              <w:jc w:val="right"/>
              <w:rPr>
                <w:sz w:val="16"/>
                <w:szCs w:val="16"/>
              </w:rPr>
            </w:pPr>
            <w:r w:rsidRPr="00872D7E">
              <w:rPr>
                <w:sz w:val="16"/>
                <w:szCs w:val="16"/>
              </w:rPr>
              <w:t>-</w:t>
            </w:r>
          </w:p>
        </w:tc>
        <w:tc>
          <w:tcPr>
            <w:tcW w:w="698" w:type="pct"/>
            <w:tcBorders>
              <w:top w:val="nil"/>
              <w:left w:val="nil"/>
              <w:bottom w:val="nil"/>
              <w:right w:val="nil"/>
            </w:tcBorders>
            <w:shd w:val="clear" w:color="auto" w:fill="auto"/>
            <w:vAlign w:val="bottom"/>
          </w:tcPr>
          <w:p w14:paraId="515197F5" w14:textId="0C47496F" w:rsidR="00D4647F" w:rsidRPr="00872D7E" w:rsidRDefault="00D4647F" w:rsidP="00D4647F">
            <w:pPr>
              <w:jc w:val="right"/>
              <w:rPr>
                <w:sz w:val="16"/>
                <w:szCs w:val="16"/>
              </w:rPr>
            </w:pPr>
            <w:r w:rsidRPr="00872D7E">
              <w:rPr>
                <w:sz w:val="16"/>
                <w:szCs w:val="16"/>
              </w:rPr>
              <w:t>%0,00</w:t>
            </w:r>
          </w:p>
        </w:tc>
      </w:tr>
      <w:tr w:rsidR="00D4647F" w:rsidRPr="00872D7E" w14:paraId="2A4F0994" w14:textId="77777777" w:rsidTr="002F0CF7">
        <w:trPr>
          <w:trHeight w:val="113"/>
        </w:trPr>
        <w:tc>
          <w:tcPr>
            <w:tcW w:w="218" w:type="pct"/>
            <w:hideMark/>
          </w:tcPr>
          <w:p w14:paraId="19606961" w14:textId="77777777" w:rsidR="00D4647F" w:rsidRPr="00872D7E" w:rsidRDefault="00D4647F" w:rsidP="00D4647F">
            <w:pPr>
              <w:contextualSpacing/>
              <w:rPr>
                <w:sz w:val="16"/>
                <w:szCs w:val="16"/>
              </w:rPr>
            </w:pPr>
            <w:r w:rsidRPr="00872D7E">
              <w:rPr>
                <w:sz w:val="16"/>
                <w:szCs w:val="16"/>
              </w:rPr>
              <w:t>2</w:t>
            </w:r>
          </w:p>
        </w:tc>
        <w:tc>
          <w:tcPr>
            <w:tcW w:w="1095" w:type="pct"/>
            <w:hideMark/>
          </w:tcPr>
          <w:p w14:paraId="22B7798B" w14:textId="77777777" w:rsidR="00D4647F" w:rsidRPr="00872D7E" w:rsidRDefault="00D4647F" w:rsidP="00D4647F">
            <w:pPr>
              <w:contextualSpacing/>
              <w:rPr>
                <w:sz w:val="16"/>
                <w:szCs w:val="16"/>
              </w:rPr>
            </w:pPr>
            <w:r w:rsidRPr="00872D7E">
              <w:rPr>
                <w:sz w:val="16"/>
                <w:szCs w:val="16"/>
              </w:rPr>
              <w:t>Bölgesel yönetimlerden veya yerel yönetimlerden alacaklar</w:t>
            </w:r>
          </w:p>
        </w:tc>
        <w:tc>
          <w:tcPr>
            <w:tcW w:w="617" w:type="pct"/>
            <w:tcBorders>
              <w:top w:val="nil"/>
              <w:left w:val="nil"/>
              <w:bottom w:val="nil"/>
              <w:right w:val="nil"/>
            </w:tcBorders>
            <w:shd w:val="clear" w:color="auto" w:fill="auto"/>
            <w:vAlign w:val="bottom"/>
          </w:tcPr>
          <w:p w14:paraId="73BE9206" w14:textId="25D8E571" w:rsidR="00D4647F" w:rsidRPr="00872D7E" w:rsidRDefault="00D4647F" w:rsidP="00D4647F">
            <w:pPr>
              <w:jc w:val="right"/>
              <w:rPr>
                <w:sz w:val="16"/>
                <w:szCs w:val="16"/>
              </w:rPr>
            </w:pPr>
            <w:r w:rsidRPr="00872D7E">
              <w:rPr>
                <w:sz w:val="16"/>
                <w:szCs w:val="16"/>
              </w:rPr>
              <w:t>-</w:t>
            </w:r>
          </w:p>
        </w:tc>
        <w:tc>
          <w:tcPr>
            <w:tcW w:w="620" w:type="pct"/>
            <w:tcBorders>
              <w:top w:val="nil"/>
              <w:left w:val="nil"/>
              <w:bottom w:val="nil"/>
              <w:right w:val="nil"/>
            </w:tcBorders>
            <w:shd w:val="clear" w:color="auto" w:fill="auto"/>
            <w:vAlign w:val="bottom"/>
          </w:tcPr>
          <w:p w14:paraId="70F4E9C9" w14:textId="0CE6E9C9"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7EB9BCBA" w14:textId="11A36D4F" w:rsidR="00D4647F" w:rsidRPr="00872D7E" w:rsidRDefault="00D4647F" w:rsidP="00D4647F">
            <w:pPr>
              <w:jc w:val="right"/>
              <w:rPr>
                <w:sz w:val="16"/>
                <w:szCs w:val="16"/>
              </w:rPr>
            </w:pPr>
            <w:r w:rsidRPr="00872D7E">
              <w:rPr>
                <w:sz w:val="16"/>
                <w:szCs w:val="16"/>
              </w:rPr>
              <w:t>-</w:t>
            </w:r>
          </w:p>
        </w:tc>
        <w:tc>
          <w:tcPr>
            <w:tcW w:w="553" w:type="pct"/>
            <w:tcBorders>
              <w:top w:val="nil"/>
              <w:left w:val="nil"/>
              <w:bottom w:val="nil"/>
              <w:right w:val="nil"/>
            </w:tcBorders>
            <w:shd w:val="clear" w:color="auto" w:fill="auto"/>
            <w:vAlign w:val="bottom"/>
          </w:tcPr>
          <w:p w14:paraId="368A1D63" w14:textId="45A52666"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6B963581" w14:textId="6BBEE175" w:rsidR="00D4647F" w:rsidRPr="00872D7E" w:rsidRDefault="00D4647F" w:rsidP="00D4647F">
            <w:pPr>
              <w:jc w:val="right"/>
              <w:rPr>
                <w:sz w:val="16"/>
                <w:szCs w:val="16"/>
              </w:rPr>
            </w:pPr>
            <w:r w:rsidRPr="00872D7E">
              <w:rPr>
                <w:sz w:val="16"/>
                <w:szCs w:val="16"/>
              </w:rPr>
              <w:t>-</w:t>
            </w:r>
          </w:p>
        </w:tc>
        <w:tc>
          <w:tcPr>
            <w:tcW w:w="698" w:type="pct"/>
            <w:tcBorders>
              <w:top w:val="nil"/>
              <w:left w:val="nil"/>
              <w:bottom w:val="nil"/>
              <w:right w:val="nil"/>
            </w:tcBorders>
            <w:shd w:val="clear" w:color="auto" w:fill="auto"/>
            <w:vAlign w:val="bottom"/>
          </w:tcPr>
          <w:p w14:paraId="7C8F8E32" w14:textId="14DC2D82" w:rsidR="00D4647F" w:rsidRPr="00872D7E" w:rsidRDefault="00D4647F" w:rsidP="00D4647F">
            <w:pPr>
              <w:jc w:val="right"/>
              <w:rPr>
                <w:sz w:val="16"/>
                <w:szCs w:val="16"/>
              </w:rPr>
            </w:pPr>
            <w:r w:rsidRPr="00872D7E">
              <w:rPr>
                <w:sz w:val="16"/>
                <w:szCs w:val="16"/>
              </w:rPr>
              <w:t>%0,00</w:t>
            </w:r>
          </w:p>
        </w:tc>
      </w:tr>
      <w:tr w:rsidR="00D4647F" w:rsidRPr="00872D7E" w14:paraId="147D3AD3" w14:textId="77777777" w:rsidTr="002F0CF7">
        <w:trPr>
          <w:trHeight w:val="113"/>
        </w:trPr>
        <w:tc>
          <w:tcPr>
            <w:tcW w:w="218" w:type="pct"/>
            <w:hideMark/>
          </w:tcPr>
          <w:p w14:paraId="352F3E85" w14:textId="77777777" w:rsidR="00D4647F" w:rsidRPr="00872D7E" w:rsidRDefault="00D4647F" w:rsidP="00D4647F">
            <w:pPr>
              <w:contextualSpacing/>
              <w:rPr>
                <w:sz w:val="16"/>
                <w:szCs w:val="16"/>
              </w:rPr>
            </w:pPr>
            <w:r w:rsidRPr="00872D7E">
              <w:rPr>
                <w:sz w:val="16"/>
                <w:szCs w:val="16"/>
              </w:rPr>
              <w:t>3</w:t>
            </w:r>
          </w:p>
        </w:tc>
        <w:tc>
          <w:tcPr>
            <w:tcW w:w="1095" w:type="pct"/>
            <w:hideMark/>
          </w:tcPr>
          <w:p w14:paraId="707E404B" w14:textId="77777777" w:rsidR="00D4647F" w:rsidRPr="00872D7E" w:rsidRDefault="00D4647F" w:rsidP="00D4647F">
            <w:pPr>
              <w:contextualSpacing/>
              <w:rPr>
                <w:sz w:val="16"/>
                <w:szCs w:val="16"/>
              </w:rPr>
            </w:pPr>
            <w:r w:rsidRPr="00872D7E">
              <w:rPr>
                <w:sz w:val="16"/>
                <w:szCs w:val="16"/>
              </w:rPr>
              <w:t>İdari birimlerden ve ticari olmayan girişimlerden alacaklar</w:t>
            </w:r>
          </w:p>
        </w:tc>
        <w:tc>
          <w:tcPr>
            <w:tcW w:w="617" w:type="pct"/>
            <w:tcBorders>
              <w:top w:val="nil"/>
              <w:left w:val="nil"/>
              <w:bottom w:val="nil"/>
              <w:right w:val="nil"/>
            </w:tcBorders>
            <w:shd w:val="clear" w:color="auto" w:fill="auto"/>
            <w:vAlign w:val="bottom"/>
          </w:tcPr>
          <w:p w14:paraId="36755E21" w14:textId="5DCA8C32" w:rsidR="00D4647F" w:rsidRPr="00872D7E" w:rsidRDefault="00D4647F" w:rsidP="00D4647F">
            <w:pPr>
              <w:jc w:val="right"/>
              <w:rPr>
                <w:sz w:val="16"/>
                <w:szCs w:val="16"/>
              </w:rPr>
            </w:pPr>
            <w:r w:rsidRPr="00872D7E">
              <w:rPr>
                <w:sz w:val="16"/>
                <w:szCs w:val="16"/>
              </w:rPr>
              <w:t>-</w:t>
            </w:r>
          </w:p>
        </w:tc>
        <w:tc>
          <w:tcPr>
            <w:tcW w:w="620" w:type="pct"/>
            <w:tcBorders>
              <w:top w:val="nil"/>
              <w:left w:val="nil"/>
              <w:bottom w:val="nil"/>
              <w:right w:val="nil"/>
            </w:tcBorders>
            <w:shd w:val="clear" w:color="auto" w:fill="auto"/>
            <w:vAlign w:val="bottom"/>
          </w:tcPr>
          <w:p w14:paraId="4FA8EC95" w14:textId="3E714E4E"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1E88ECBE" w14:textId="1BD5CEA5" w:rsidR="00D4647F" w:rsidRPr="00872D7E" w:rsidRDefault="00D4647F" w:rsidP="00D4647F">
            <w:pPr>
              <w:jc w:val="right"/>
              <w:rPr>
                <w:sz w:val="16"/>
                <w:szCs w:val="16"/>
              </w:rPr>
            </w:pPr>
            <w:r w:rsidRPr="00872D7E">
              <w:rPr>
                <w:sz w:val="16"/>
                <w:szCs w:val="16"/>
              </w:rPr>
              <w:t>-</w:t>
            </w:r>
          </w:p>
        </w:tc>
        <w:tc>
          <w:tcPr>
            <w:tcW w:w="553" w:type="pct"/>
            <w:tcBorders>
              <w:top w:val="nil"/>
              <w:left w:val="nil"/>
              <w:bottom w:val="nil"/>
              <w:right w:val="nil"/>
            </w:tcBorders>
            <w:shd w:val="clear" w:color="auto" w:fill="auto"/>
            <w:vAlign w:val="bottom"/>
          </w:tcPr>
          <w:p w14:paraId="05EEFBFC" w14:textId="74654E47"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3C45A68C" w14:textId="6D78FECA" w:rsidR="00D4647F" w:rsidRPr="00872D7E" w:rsidRDefault="00D4647F" w:rsidP="00D4647F">
            <w:pPr>
              <w:jc w:val="right"/>
              <w:rPr>
                <w:sz w:val="16"/>
                <w:szCs w:val="16"/>
              </w:rPr>
            </w:pPr>
            <w:r w:rsidRPr="00872D7E">
              <w:rPr>
                <w:sz w:val="16"/>
                <w:szCs w:val="16"/>
              </w:rPr>
              <w:t>-</w:t>
            </w:r>
          </w:p>
        </w:tc>
        <w:tc>
          <w:tcPr>
            <w:tcW w:w="698" w:type="pct"/>
            <w:tcBorders>
              <w:top w:val="nil"/>
              <w:left w:val="nil"/>
              <w:bottom w:val="nil"/>
              <w:right w:val="nil"/>
            </w:tcBorders>
            <w:shd w:val="clear" w:color="auto" w:fill="auto"/>
            <w:vAlign w:val="bottom"/>
          </w:tcPr>
          <w:p w14:paraId="571324F2" w14:textId="55D3751B" w:rsidR="00D4647F" w:rsidRPr="00872D7E" w:rsidRDefault="00D4647F" w:rsidP="00D4647F">
            <w:pPr>
              <w:jc w:val="right"/>
              <w:rPr>
                <w:sz w:val="16"/>
                <w:szCs w:val="16"/>
              </w:rPr>
            </w:pPr>
            <w:r w:rsidRPr="00872D7E">
              <w:rPr>
                <w:sz w:val="16"/>
                <w:szCs w:val="16"/>
              </w:rPr>
              <w:t>%0,00</w:t>
            </w:r>
          </w:p>
        </w:tc>
      </w:tr>
      <w:tr w:rsidR="00D4647F" w:rsidRPr="00872D7E" w14:paraId="64B8DD70" w14:textId="77777777" w:rsidTr="002F0CF7">
        <w:trPr>
          <w:trHeight w:val="113"/>
        </w:trPr>
        <w:tc>
          <w:tcPr>
            <w:tcW w:w="218" w:type="pct"/>
            <w:hideMark/>
          </w:tcPr>
          <w:p w14:paraId="23465B24" w14:textId="77777777" w:rsidR="00D4647F" w:rsidRPr="00872D7E" w:rsidRDefault="00D4647F" w:rsidP="00D4647F">
            <w:pPr>
              <w:contextualSpacing/>
              <w:rPr>
                <w:sz w:val="16"/>
                <w:szCs w:val="16"/>
              </w:rPr>
            </w:pPr>
            <w:r w:rsidRPr="00872D7E">
              <w:rPr>
                <w:sz w:val="16"/>
                <w:szCs w:val="16"/>
              </w:rPr>
              <w:t>4</w:t>
            </w:r>
          </w:p>
        </w:tc>
        <w:tc>
          <w:tcPr>
            <w:tcW w:w="1095" w:type="pct"/>
            <w:hideMark/>
          </w:tcPr>
          <w:p w14:paraId="5D23272E" w14:textId="77777777" w:rsidR="00D4647F" w:rsidRPr="00872D7E" w:rsidRDefault="00D4647F" w:rsidP="00D4647F">
            <w:pPr>
              <w:contextualSpacing/>
              <w:rPr>
                <w:sz w:val="16"/>
                <w:szCs w:val="16"/>
              </w:rPr>
            </w:pPr>
            <w:r w:rsidRPr="00872D7E">
              <w:rPr>
                <w:sz w:val="16"/>
                <w:szCs w:val="16"/>
              </w:rPr>
              <w:t>Çok taraflı kalkınma bankalarından alacaklar</w:t>
            </w:r>
          </w:p>
        </w:tc>
        <w:tc>
          <w:tcPr>
            <w:tcW w:w="617" w:type="pct"/>
            <w:tcBorders>
              <w:top w:val="nil"/>
              <w:left w:val="nil"/>
              <w:bottom w:val="nil"/>
              <w:right w:val="nil"/>
            </w:tcBorders>
            <w:shd w:val="clear" w:color="auto" w:fill="auto"/>
            <w:vAlign w:val="bottom"/>
          </w:tcPr>
          <w:p w14:paraId="28A2E4E8" w14:textId="2C40720A" w:rsidR="00D4647F" w:rsidRPr="00872D7E" w:rsidRDefault="00D4647F" w:rsidP="00D4647F">
            <w:pPr>
              <w:jc w:val="right"/>
              <w:rPr>
                <w:sz w:val="16"/>
                <w:szCs w:val="16"/>
              </w:rPr>
            </w:pPr>
            <w:r w:rsidRPr="00872D7E">
              <w:rPr>
                <w:sz w:val="16"/>
                <w:szCs w:val="16"/>
              </w:rPr>
              <w:t>-</w:t>
            </w:r>
          </w:p>
        </w:tc>
        <w:tc>
          <w:tcPr>
            <w:tcW w:w="620" w:type="pct"/>
            <w:tcBorders>
              <w:top w:val="nil"/>
              <w:left w:val="nil"/>
              <w:bottom w:val="nil"/>
              <w:right w:val="nil"/>
            </w:tcBorders>
            <w:shd w:val="clear" w:color="auto" w:fill="auto"/>
            <w:vAlign w:val="bottom"/>
          </w:tcPr>
          <w:p w14:paraId="0C345FEB" w14:textId="3F63AC52"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5050605C" w14:textId="6DD69297" w:rsidR="00D4647F" w:rsidRPr="00872D7E" w:rsidRDefault="00D4647F" w:rsidP="00D4647F">
            <w:pPr>
              <w:jc w:val="right"/>
              <w:rPr>
                <w:sz w:val="16"/>
                <w:szCs w:val="16"/>
              </w:rPr>
            </w:pPr>
            <w:r w:rsidRPr="00872D7E">
              <w:rPr>
                <w:sz w:val="16"/>
                <w:szCs w:val="16"/>
              </w:rPr>
              <w:t>-</w:t>
            </w:r>
          </w:p>
        </w:tc>
        <w:tc>
          <w:tcPr>
            <w:tcW w:w="553" w:type="pct"/>
            <w:tcBorders>
              <w:top w:val="nil"/>
              <w:left w:val="nil"/>
              <w:bottom w:val="nil"/>
              <w:right w:val="nil"/>
            </w:tcBorders>
            <w:shd w:val="clear" w:color="auto" w:fill="auto"/>
            <w:vAlign w:val="bottom"/>
          </w:tcPr>
          <w:p w14:paraId="368D86C9" w14:textId="5BC28BA9"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6E788CEE" w14:textId="5174C64F" w:rsidR="00D4647F" w:rsidRPr="00872D7E" w:rsidRDefault="00D4647F" w:rsidP="00D4647F">
            <w:pPr>
              <w:jc w:val="right"/>
              <w:rPr>
                <w:sz w:val="16"/>
                <w:szCs w:val="16"/>
              </w:rPr>
            </w:pPr>
            <w:r w:rsidRPr="00872D7E">
              <w:rPr>
                <w:sz w:val="16"/>
                <w:szCs w:val="16"/>
              </w:rPr>
              <w:t>-</w:t>
            </w:r>
          </w:p>
        </w:tc>
        <w:tc>
          <w:tcPr>
            <w:tcW w:w="698" w:type="pct"/>
            <w:tcBorders>
              <w:top w:val="nil"/>
              <w:left w:val="nil"/>
              <w:bottom w:val="nil"/>
              <w:right w:val="nil"/>
            </w:tcBorders>
            <w:shd w:val="clear" w:color="auto" w:fill="auto"/>
            <w:vAlign w:val="bottom"/>
          </w:tcPr>
          <w:p w14:paraId="21C38458" w14:textId="07E89E78" w:rsidR="00D4647F" w:rsidRPr="00872D7E" w:rsidRDefault="00D4647F" w:rsidP="00D4647F">
            <w:pPr>
              <w:jc w:val="right"/>
              <w:rPr>
                <w:sz w:val="16"/>
                <w:szCs w:val="16"/>
              </w:rPr>
            </w:pPr>
            <w:r w:rsidRPr="00872D7E">
              <w:rPr>
                <w:sz w:val="16"/>
                <w:szCs w:val="16"/>
              </w:rPr>
              <w:t>%0,00</w:t>
            </w:r>
          </w:p>
        </w:tc>
      </w:tr>
      <w:tr w:rsidR="00D4647F" w:rsidRPr="00872D7E" w14:paraId="0A611D60" w14:textId="77777777" w:rsidTr="002F0CF7">
        <w:trPr>
          <w:trHeight w:val="113"/>
        </w:trPr>
        <w:tc>
          <w:tcPr>
            <w:tcW w:w="218" w:type="pct"/>
            <w:hideMark/>
          </w:tcPr>
          <w:p w14:paraId="2313F7BE" w14:textId="77777777" w:rsidR="00D4647F" w:rsidRPr="00872D7E" w:rsidRDefault="00D4647F" w:rsidP="00D4647F">
            <w:pPr>
              <w:contextualSpacing/>
              <w:rPr>
                <w:sz w:val="16"/>
                <w:szCs w:val="16"/>
              </w:rPr>
            </w:pPr>
            <w:r w:rsidRPr="00872D7E">
              <w:rPr>
                <w:sz w:val="16"/>
                <w:szCs w:val="16"/>
              </w:rPr>
              <w:t>5</w:t>
            </w:r>
          </w:p>
        </w:tc>
        <w:tc>
          <w:tcPr>
            <w:tcW w:w="1095" w:type="pct"/>
            <w:hideMark/>
          </w:tcPr>
          <w:p w14:paraId="5013F6A2" w14:textId="77777777" w:rsidR="00D4647F" w:rsidRPr="00872D7E" w:rsidRDefault="00D4647F" w:rsidP="00D4647F">
            <w:pPr>
              <w:contextualSpacing/>
              <w:rPr>
                <w:sz w:val="16"/>
                <w:szCs w:val="16"/>
              </w:rPr>
            </w:pPr>
            <w:r w:rsidRPr="00872D7E">
              <w:rPr>
                <w:sz w:val="16"/>
                <w:szCs w:val="16"/>
              </w:rPr>
              <w:t>Uluslararası teşkilatlardan alacaklar</w:t>
            </w:r>
          </w:p>
        </w:tc>
        <w:tc>
          <w:tcPr>
            <w:tcW w:w="617" w:type="pct"/>
            <w:tcBorders>
              <w:top w:val="nil"/>
              <w:left w:val="nil"/>
              <w:bottom w:val="nil"/>
              <w:right w:val="nil"/>
            </w:tcBorders>
            <w:shd w:val="clear" w:color="auto" w:fill="auto"/>
            <w:vAlign w:val="bottom"/>
          </w:tcPr>
          <w:p w14:paraId="28E9910D" w14:textId="021405F0" w:rsidR="00D4647F" w:rsidRPr="00872D7E" w:rsidRDefault="00D4647F" w:rsidP="00D4647F">
            <w:pPr>
              <w:jc w:val="right"/>
              <w:rPr>
                <w:sz w:val="16"/>
                <w:szCs w:val="16"/>
              </w:rPr>
            </w:pPr>
            <w:r w:rsidRPr="00872D7E">
              <w:rPr>
                <w:sz w:val="16"/>
                <w:szCs w:val="16"/>
              </w:rPr>
              <w:t>-</w:t>
            </w:r>
          </w:p>
        </w:tc>
        <w:tc>
          <w:tcPr>
            <w:tcW w:w="620" w:type="pct"/>
            <w:tcBorders>
              <w:top w:val="nil"/>
              <w:left w:val="nil"/>
              <w:bottom w:val="nil"/>
              <w:right w:val="nil"/>
            </w:tcBorders>
            <w:shd w:val="clear" w:color="auto" w:fill="auto"/>
            <w:vAlign w:val="bottom"/>
          </w:tcPr>
          <w:p w14:paraId="236E5E4A" w14:textId="55347F55"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5C240A0F" w14:textId="5A05D418" w:rsidR="00D4647F" w:rsidRPr="00872D7E" w:rsidRDefault="00D4647F" w:rsidP="00D4647F">
            <w:pPr>
              <w:jc w:val="right"/>
              <w:rPr>
                <w:sz w:val="16"/>
                <w:szCs w:val="16"/>
              </w:rPr>
            </w:pPr>
            <w:r w:rsidRPr="00872D7E">
              <w:rPr>
                <w:sz w:val="16"/>
                <w:szCs w:val="16"/>
              </w:rPr>
              <w:t>-</w:t>
            </w:r>
          </w:p>
        </w:tc>
        <w:tc>
          <w:tcPr>
            <w:tcW w:w="553" w:type="pct"/>
            <w:tcBorders>
              <w:top w:val="nil"/>
              <w:left w:val="nil"/>
              <w:bottom w:val="nil"/>
              <w:right w:val="nil"/>
            </w:tcBorders>
            <w:shd w:val="clear" w:color="auto" w:fill="auto"/>
            <w:vAlign w:val="bottom"/>
          </w:tcPr>
          <w:p w14:paraId="6DA2BEBC" w14:textId="2CA682FF"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177C119C" w14:textId="0AFC4828" w:rsidR="00D4647F" w:rsidRPr="00872D7E" w:rsidRDefault="00D4647F" w:rsidP="00D4647F">
            <w:pPr>
              <w:jc w:val="right"/>
              <w:rPr>
                <w:sz w:val="16"/>
                <w:szCs w:val="16"/>
              </w:rPr>
            </w:pPr>
            <w:r w:rsidRPr="00872D7E">
              <w:rPr>
                <w:sz w:val="16"/>
                <w:szCs w:val="16"/>
              </w:rPr>
              <w:t>-</w:t>
            </w:r>
          </w:p>
        </w:tc>
        <w:tc>
          <w:tcPr>
            <w:tcW w:w="698" w:type="pct"/>
            <w:tcBorders>
              <w:top w:val="nil"/>
              <w:left w:val="nil"/>
              <w:bottom w:val="nil"/>
              <w:right w:val="nil"/>
            </w:tcBorders>
            <w:shd w:val="clear" w:color="auto" w:fill="auto"/>
            <w:vAlign w:val="bottom"/>
          </w:tcPr>
          <w:p w14:paraId="0DBC42F3" w14:textId="0B68E001" w:rsidR="00D4647F" w:rsidRPr="00872D7E" w:rsidRDefault="00D4647F" w:rsidP="00D4647F">
            <w:pPr>
              <w:jc w:val="right"/>
              <w:rPr>
                <w:sz w:val="16"/>
                <w:szCs w:val="16"/>
              </w:rPr>
            </w:pPr>
            <w:r w:rsidRPr="00872D7E">
              <w:rPr>
                <w:sz w:val="16"/>
                <w:szCs w:val="16"/>
              </w:rPr>
              <w:t>%0,00</w:t>
            </w:r>
          </w:p>
        </w:tc>
      </w:tr>
      <w:tr w:rsidR="00D4647F" w:rsidRPr="00872D7E" w14:paraId="051887D9" w14:textId="77777777" w:rsidTr="002F0CF7">
        <w:trPr>
          <w:trHeight w:val="113"/>
        </w:trPr>
        <w:tc>
          <w:tcPr>
            <w:tcW w:w="218" w:type="pct"/>
            <w:hideMark/>
          </w:tcPr>
          <w:p w14:paraId="4AB0AF16" w14:textId="77777777" w:rsidR="00D4647F" w:rsidRPr="00872D7E" w:rsidRDefault="00D4647F" w:rsidP="00D4647F">
            <w:pPr>
              <w:contextualSpacing/>
              <w:rPr>
                <w:sz w:val="16"/>
                <w:szCs w:val="16"/>
              </w:rPr>
            </w:pPr>
            <w:r w:rsidRPr="00872D7E">
              <w:rPr>
                <w:sz w:val="16"/>
                <w:szCs w:val="16"/>
              </w:rPr>
              <w:t>6</w:t>
            </w:r>
          </w:p>
        </w:tc>
        <w:tc>
          <w:tcPr>
            <w:tcW w:w="1095" w:type="pct"/>
            <w:hideMark/>
          </w:tcPr>
          <w:p w14:paraId="7739B635" w14:textId="77777777" w:rsidR="00D4647F" w:rsidRPr="00872D7E" w:rsidRDefault="00D4647F" w:rsidP="00D4647F">
            <w:pPr>
              <w:contextualSpacing/>
              <w:rPr>
                <w:sz w:val="16"/>
                <w:szCs w:val="16"/>
              </w:rPr>
            </w:pPr>
            <w:r w:rsidRPr="00872D7E">
              <w:rPr>
                <w:sz w:val="16"/>
                <w:szCs w:val="16"/>
              </w:rPr>
              <w:t>Bankalardan ve aracı kurumlardan alacaklar</w:t>
            </w:r>
          </w:p>
        </w:tc>
        <w:tc>
          <w:tcPr>
            <w:tcW w:w="617" w:type="pct"/>
            <w:tcBorders>
              <w:top w:val="nil"/>
              <w:left w:val="nil"/>
              <w:bottom w:val="nil"/>
              <w:right w:val="nil"/>
            </w:tcBorders>
            <w:shd w:val="clear" w:color="auto" w:fill="auto"/>
            <w:vAlign w:val="bottom"/>
          </w:tcPr>
          <w:p w14:paraId="7C0FF993" w14:textId="5166460D" w:rsidR="00D4647F" w:rsidRPr="00872D7E" w:rsidRDefault="00D4647F" w:rsidP="00D4647F">
            <w:pPr>
              <w:jc w:val="right"/>
              <w:rPr>
                <w:sz w:val="16"/>
                <w:szCs w:val="16"/>
              </w:rPr>
            </w:pPr>
            <w:r w:rsidRPr="00872D7E">
              <w:rPr>
                <w:sz w:val="16"/>
                <w:szCs w:val="16"/>
              </w:rPr>
              <w:t>5.197.267</w:t>
            </w:r>
          </w:p>
        </w:tc>
        <w:tc>
          <w:tcPr>
            <w:tcW w:w="620" w:type="pct"/>
            <w:tcBorders>
              <w:top w:val="nil"/>
              <w:left w:val="nil"/>
              <w:bottom w:val="nil"/>
              <w:right w:val="nil"/>
            </w:tcBorders>
            <w:shd w:val="clear" w:color="auto" w:fill="auto"/>
            <w:vAlign w:val="bottom"/>
          </w:tcPr>
          <w:p w14:paraId="0BE67304" w14:textId="5B9A49B2" w:rsidR="00D4647F" w:rsidRPr="00872D7E" w:rsidRDefault="00D4647F" w:rsidP="00D4647F">
            <w:pPr>
              <w:jc w:val="right"/>
              <w:rPr>
                <w:sz w:val="16"/>
                <w:szCs w:val="16"/>
              </w:rPr>
            </w:pPr>
            <w:r w:rsidRPr="00872D7E">
              <w:rPr>
                <w:sz w:val="16"/>
                <w:szCs w:val="16"/>
              </w:rPr>
              <w:t>6.240.384</w:t>
            </w:r>
          </w:p>
        </w:tc>
        <w:tc>
          <w:tcPr>
            <w:tcW w:w="565" w:type="pct"/>
            <w:tcBorders>
              <w:top w:val="nil"/>
              <w:left w:val="nil"/>
              <w:bottom w:val="nil"/>
              <w:right w:val="nil"/>
            </w:tcBorders>
            <w:shd w:val="clear" w:color="auto" w:fill="auto"/>
            <w:vAlign w:val="bottom"/>
          </w:tcPr>
          <w:p w14:paraId="22D7289C" w14:textId="490A1DDC" w:rsidR="00D4647F" w:rsidRPr="00872D7E" w:rsidRDefault="00D4647F" w:rsidP="00D4647F">
            <w:pPr>
              <w:jc w:val="right"/>
              <w:rPr>
                <w:sz w:val="16"/>
                <w:szCs w:val="16"/>
              </w:rPr>
            </w:pPr>
            <w:r w:rsidRPr="00872D7E">
              <w:rPr>
                <w:sz w:val="16"/>
                <w:szCs w:val="16"/>
              </w:rPr>
              <w:t>5.197.267</w:t>
            </w:r>
          </w:p>
        </w:tc>
        <w:tc>
          <w:tcPr>
            <w:tcW w:w="553" w:type="pct"/>
            <w:tcBorders>
              <w:top w:val="nil"/>
              <w:left w:val="nil"/>
              <w:bottom w:val="nil"/>
              <w:right w:val="nil"/>
            </w:tcBorders>
            <w:shd w:val="clear" w:color="auto" w:fill="auto"/>
            <w:vAlign w:val="bottom"/>
          </w:tcPr>
          <w:p w14:paraId="333DBF71" w14:textId="242865DA" w:rsidR="00D4647F" w:rsidRPr="00872D7E" w:rsidRDefault="00D4647F" w:rsidP="00D4647F">
            <w:pPr>
              <w:jc w:val="right"/>
              <w:rPr>
                <w:sz w:val="16"/>
                <w:szCs w:val="16"/>
              </w:rPr>
            </w:pPr>
            <w:r w:rsidRPr="00872D7E">
              <w:rPr>
                <w:sz w:val="16"/>
                <w:szCs w:val="16"/>
              </w:rPr>
              <w:t>24.456</w:t>
            </w:r>
          </w:p>
        </w:tc>
        <w:tc>
          <w:tcPr>
            <w:tcW w:w="632" w:type="pct"/>
            <w:tcBorders>
              <w:top w:val="nil"/>
              <w:left w:val="nil"/>
              <w:bottom w:val="nil"/>
              <w:right w:val="nil"/>
            </w:tcBorders>
            <w:shd w:val="clear" w:color="auto" w:fill="auto"/>
            <w:vAlign w:val="bottom"/>
          </w:tcPr>
          <w:p w14:paraId="62E61290" w14:textId="3CD8295F" w:rsidR="00D4647F" w:rsidRPr="00872D7E" w:rsidRDefault="00D4647F" w:rsidP="00D4647F">
            <w:pPr>
              <w:jc w:val="right"/>
              <w:rPr>
                <w:sz w:val="16"/>
                <w:szCs w:val="16"/>
              </w:rPr>
            </w:pPr>
            <w:r w:rsidRPr="00872D7E">
              <w:rPr>
                <w:sz w:val="16"/>
                <w:szCs w:val="16"/>
              </w:rPr>
              <w:t>1.044.345</w:t>
            </w:r>
          </w:p>
        </w:tc>
        <w:tc>
          <w:tcPr>
            <w:tcW w:w="698" w:type="pct"/>
            <w:tcBorders>
              <w:top w:val="nil"/>
              <w:left w:val="nil"/>
              <w:bottom w:val="nil"/>
              <w:right w:val="nil"/>
            </w:tcBorders>
            <w:shd w:val="clear" w:color="auto" w:fill="auto"/>
            <w:vAlign w:val="bottom"/>
          </w:tcPr>
          <w:p w14:paraId="2F630737" w14:textId="4BB7FECC" w:rsidR="00D4647F" w:rsidRPr="00872D7E" w:rsidRDefault="00D4647F" w:rsidP="00D4647F">
            <w:pPr>
              <w:jc w:val="right"/>
              <w:rPr>
                <w:sz w:val="16"/>
                <w:szCs w:val="16"/>
              </w:rPr>
            </w:pPr>
            <w:r w:rsidRPr="00872D7E">
              <w:rPr>
                <w:sz w:val="16"/>
                <w:szCs w:val="16"/>
              </w:rPr>
              <w:t>%20,00</w:t>
            </w:r>
          </w:p>
        </w:tc>
      </w:tr>
      <w:tr w:rsidR="00D4647F" w:rsidRPr="00872D7E" w14:paraId="3D40FA11" w14:textId="77777777" w:rsidTr="002F0CF7">
        <w:trPr>
          <w:trHeight w:val="113"/>
        </w:trPr>
        <w:tc>
          <w:tcPr>
            <w:tcW w:w="218" w:type="pct"/>
            <w:hideMark/>
          </w:tcPr>
          <w:p w14:paraId="19205285" w14:textId="77777777" w:rsidR="00D4647F" w:rsidRPr="00872D7E" w:rsidRDefault="00D4647F" w:rsidP="00D4647F">
            <w:pPr>
              <w:contextualSpacing/>
              <w:rPr>
                <w:sz w:val="16"/>
                <w:szCs w:val="16"/>
              </w:rPr>
            </w:pPr>
            <w:r w:rsidRPr="00872D7E">
              <w:rPr>
                <w:sz w:val="16"/>
                <w:szCs w:val="16"/>
              </w:rPr>
              <w:t>7</w:t>
            </w:r>
          </w:p>
        </w:tc>
        <w:tc>
          <w:tcPr>
            <w:tcW w:w="1095" w:type="pct"/>
            <w:hideMark/>
          </w:tcPr>
          <w:p w14:paraId="080A851F" w14:textId="77777777" w:rsidR="00D4647F" w:rsidRPr="00872D7E" w:rsidRDefault="00D4647F" w:rsidP="00D4647F">
            <w:pPr>
              <w:contextualSpacing/>
              <w:rPr>
                <w:sz w:val="16"/>
                <w:szCs w:val="16"/>
              </w:rPr>
            </w:pPr>
            <w:r w:rsidRPr="00872D7E">
              <w:rPr>
                <w:sz w:val="16"/>
                <w:szCs w:val="16"/>
              </w:rPr>
              <w:t>Kurumsal alacaklar</w:t>
            </w:r>
          </w:p>
        </w:tc>
        <w:tc>
          <w:tcPr>
            <w:tcW w:w="617" w:type="pct"/>
            <w:tcBorders>
              <w:top w:val="nil"/>
              <w:left w:val="nil"/>
              <w:bottom w:val="nil"/>
              <w:right w:val="nil"/>
            </w:tcBorders>
            <w:shd w:val="clear" w:color="auto" w:fill="auto"/>
            <w:vAlign w:val="bottom"/>
          </w:tcPr>
          <w:p w14:paraId="16A1B0B5" w14:textId="6CB6B76A" w:rsidR="00D4647F" w:rsidRPr="00872D7E" w:rsidRDefault="00D4647F" w:rsidP="00D4647F">
            <w:pPr>
              <w:jc w:val="right"/>
              <w:rPr>
                <w:sz w:val="16"/>
                <w:szCs w:val="16"/>
              </w:rPr>
            </w:pPr>
            <w:r w:rsidRPr="00872D7E">
              <w:rPr>
                <w:sz w:val="16"/>
                <w:szCs w:val="16"/>
              </w:rPr>
              <w:t>9.996.831</w:t>
            </w:r>
          </w:p>
        </w:tc>
        <w:tc>
          <w:tcPr>
            <w:tcW w:w="620" w:type="pct"/>
            <w:tcBorders>
              <w:top w:val="nil"/>
              <w:left w:val="nil"/>
              <w:bottom w:val="nil"/>
              <w:right w:val="nil"/>
            </w:tcBorders>
            <w:shd w:val="clear" w:color="auto" w:fill="auto"/>
            <w:vAlign w:val="bottom"/>
          </w:tcPr>
          <w:p w14:paraId="5404DD4E" w14:textId="38A75F82" w:rsidR="00D4647F" w:rsidRPr="00872D7E" w:rsidRDefault="00D4647F" w:rsidP="00D4647F">
            <w:pPr>
              <w:jc w:val="right"/>
              <w:rPr>
                <w:sz w:val="16"/>
                <w:szCs w:val="16"/>
              </w:rPr>
            </w:pPr>
            <w:r w:rsidRPr="00872D7E">
              <w:rPr>
                <w:sz w:val="16"/>
                <w:szCs w:val="16"/>
              </w:rPr>
              <w:t>9.829.758</w:t>
            </w:r>
          </w:p>
        </w:tc>
        <w:tc>
          <w:tcPr>
            <w:tcW w:w="565" w:type="pct"/>
            <w:tcBorders>
              <w:top w:val="nil"/>
              <w:left w:val="nil"/>
              <w:bottom w:val="nil"/>
              <w:right w:val="nil"/>
            </w:tcBorders>
            <w:shd w:val="clear" w:color="auto" w:fill="auto"/>
            <w:vAlign w:val="bottom"/>
          </w:tcPr>
          <w:p w14:paraId="59AAD319" w14:textId="0807DDC4" w:rsidR="00D4647F" w:rsidRPr="00872D7E" w:rsidRDefault="00D4647F" w:rsidP="00D4647F">
            <w:pPr>
              <w:jc w:val="right"/>
              <w:rPr>
                <w:sz w:val="16"/>
                <w:szCs w:val="16"/>
              </w:rPr>
            </w:pPr>
            <w:r w:rsidRPr="00872D7E">
              <w:rPr>
                <w:sz w:val="16"/>
                <w:szCs w:val="16"/>
              </w:rPr>
              <w:t>9.996.831</w:t>
            </w:r>
          </w:p>
        </w:tc>
        <w:tc>
          <w:tcPr>
            <w:tcW w:w="553" w:type="pct"/>
            <w:tcBorders>
              <w:top w:val="nil"/>
              <w:left w:val="nil"/>
              <w:bottom w:val="nil"/>
              <w:right w:val="nil"/>
            </w:tcBorders>
            <w:shd w:val="clear" w:color="auto" w:fill="auto"/>
            <w:vAlign w:val="bottom"/>
          </w:tcPr>
          <w:p w14:paraId="09715727" w14:textId="30D34C05" w:rsidR="00D4647F" w:rsidRPr="00872D7E" w:rsidRDefault="00D4647F" w:rsidP="00D4647F">
            <w:pPr>
              <w:jc w:val="right"/>
              <w:rPr>
                <w:sz w:val="16"/>
                <w:szCs w:val="16"/>
              </w:rPr>
            </w:pPr>
            <w:r w:rsidRPr="00872D7E">
              <w:rPr>
                <w:sz w:val="16"/>
                <w:szCs w:val="16"/>
              </w:rPr>
              <w:t>3.426.710</w:t>
            </w:r>
          </w:p>
        </w:tc>
        <w:tc>
          <w:tcPr>
            <w:tcW w:w="632" w:type="pct"/>
            <w:tcBorders>
              <w:top w:val="nil"/>
              <w:left w:val="nil"/>
              <w:bottom w:val="nil"/>
              <w:right w:val="nil"/>
            </w:tcBorders>
            <w:shd w:val="clear" w:color="auto" w:fill="auto"/>
            <w:vAlign w:val="bottom"/>
          </w:tcPr>
          <w:p w14:paraId="5C292A50" w14:textId="35182EEA" w:rsidR="00D4647F" w:rsidRPr="00872D7E" w:rsidRDefault="00D4647F" w:rsidP="00D4647F">
            <w:pPr>
              <w:jc w:val="right"/>
              <w:rPr>
                <w:sz w:val="16"/>
                <w:szCs w:val="16"/>
              </w:rPr>
            </w:pPr>
            <w:r w:rsidRPr="00872D7E">
              <w:rPr>
                <w:sz w:val="16"/>
                <w:szCs w:val="16"/>
              </w:rPr>
              <w:t>12.519.585</w:t>
            </w:r>
          </w:p>
        </w:tc>
        <w:tc>
          <w:tcPr>
            <w:tcW w:w="698" w:type="pct"/>
            <w:tcBorders>
              <w:top w:val="nil"/>
              <w:left w:val="nil"/>
              <w:bottom w:val="nil"/>
              <w:right w:val="nil"/>
            </w:tcBorders>
            <w:shd w:val="clear" w:color="auto" w:fill="auto"/>
            <w:vAlign w:val="bottom"/>
          </w:tcPr>
          <w:p w14:paraId="32493347" w14:textId="7BCC8B57" w:rsidR="00D4647F" w:rsidRPr="00872D7E" w:rsidRDefault="00D4647F" w:rsidP="00D4647F">
            <w:pPr>
              <w:jc w:val="right"/>
              <w:rPr>
                <w:sz w:val="16"/>
                <w:szCs w:val="16"/>
              </w:rPr>
            </w:pPr>
            <w:r w:rsidRPr="00872D7E">
              <w:rPr>
                <w:sz w:val="16"/>
                <w:szCs w:val="16"/>
              </w:rPr>
              <w:t>%93,27</w:t>
            </w:r>
          </w:p>
        </w:tc>
      </w:tr>
      <w:tr w:rsidR="00D4647F" w:rsidRPr="00872D7E" w14:paraId="7BC2FCCC" w14:textId="77777777" w:rsidTr="002F0CF7">
        <w:trPr>
          <w:trHeight w:val="113"/>
        </w:trPr>
        <w:tc>
          <w:tcPr>
            <w:tcW w:w="218" w:type="pct"/>
            <w:hideMark/>
          </w:tcPr>
          <w:p w14:paraId="00C63EC3" w14:textId="77777777" w:rsidR="00D4647F" w:rsidRPr="00872D7E" w:rsidRDefault="00D4647F" w:rsidP="00D4647F">
            <w:pPr>
              <w:contextualSpacing/>
              <w:rPr>
                <w:sz w:val="16"/>
                <w:szCs w:val="16"/>
              </w:rPr>
            </w:pPr>
            <w:r w:rsidRPr="00872D7E">
              <w:rPr>
                <w:sz w:val="16"/>
                <w:szCs w:val="16"/>
              </w:rPr>
              <w:t>8</w:t>
            </w:r>
          </w:p>
        </w:tc>
        <w:tc>
          <w:tcPr>
            <w:tcW w:w="1095" w:type="pct"/>
            <w:hideMark/>
          </w:tcPr>
          <w:p w14:paraId="5062777C" w14:textId="77777777" w:rsidR="00D4647F" w:rsidRPr="00872D7E" w:rsidRDefault="00D4647F" w:rsidP="00D4647F">
            <w:pPr>
              <w:contextualSpacing/>
              <w:rPr>
                <w:sz w:val="16"/>
                <w:szCs w:val="16"/>
              </w:rPr>
            </w:pPr>
            <w:r w:rsidRPr="00872D7E">
              <w:rPr>
                <w:sz w:val="16"/>
                <w:szCs w:val="16"/>
              </w:rPr>
              <w:t>Perakende alacaklar</w:t>
            </w:r>
          </w:p>
        </w:tc>
        <w:tc>
          <w:tcPr>
            <w:tcW w:w="617" w:type="pct"/>
            <w:tcBorders>
              <w:top w:val="nil"/>
              <w:left w:val="nil"/>
              <w:bottom w:val="nil"/>
              <w:right w:val="nil"/>
            </w:tcBorders>
            <w:shd w:val="clear" w:color="auto" w:fill="auto"/>
            <w:vAlign w:val="bottom"/>
          </w:tcPr>
          <w:p w14:paraId="6C8EB62C" w14:textId="710A7B9E" w:rsidR="00D4647F" w:rsidRPr="00872D7E" w:rsidRDefault="00D4647F" w:rsidP="00D4647F">
            <w:pPr>
              <w:jc w:val="right"/>
              <w:rPr>
                <w:sz w:val="16"/>
                <w:szCs w:val="16"/>
              </w:rPr>
            </w:pPr>
            <w:r w:rsidRPr="00872D7E">
              <w:rPr>
                <w:sz w:val="16"/>
                <w:szCs w:val="16"/>
              </w:rPr>
              <w:t>-</w:t>
            </w:r>
          </w:p>
        </w:tc>
        <w:tc>
          <w:tcPr>
            <w:tcW w:w="620" w:type="pct"/>
            <w:tcBorders>
              <w:top w:val="nil"/>
              <w:left w:val="nil"/>
              <w:bottom w:val="nil"/>
              <w:right w:val="nil"/>
            </w:tcBorders>
            <w:shd w:val="clear" w:color="auto" w:fill="auto"/>
            <w:vAlign w:val="bottom"/>
          </w:tcPr>
          <w:p w14:paraId="39EFB164" w14:textId="3A3555B5"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3B752976" w14:textId="2B25DD97" w:rsidR="00D4647F" w:rsidRPr="00872D7E" w:rsidRDefault="00D4647F" w:rsidP="00D4647F">
            <w:pPr>
              <w:jc w:val="right"/>
              <w:rPr>
                <w:sz w:val="16"/>
                <w:szCs w:val="16"/>
              </w:rPr>
            </w:pPr>
            <w:r w:rsidRPr="00872D7E">
              <w:rPr>
                <w:sz w:val="16"/>
                <w:szCs w:val="16"/>
              </w:rPr>
              <w:t>-</w:t>
            </w:r>
          </w:p>
        </w:tc>
        <w:tc>
          <w:tcPr>
            <w:tcW w:w="553" w:type="pct"/>
            <w:tcBorders>
              <w:top w:val="nil"/>
              <w:left w:val="nil"/>
              <w:bottom w:val="nil"/>
              <w:right w:val="nil"/>
            </w:tcBorders>
            <w:shd w:val="clear" w:color="auto" w:fill="auto"/>
            <w:vAlign w:val="bottom"/>
          </w:tcPr>
          <w:p w14:paraId="18C46F6F" w14:textId="66B2C5B7"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42F3A774" w14:textId="7357F1D7" w:rsidR="00D4647F" w:rsidRPr="00872D7E" w:rsidRDefault="00D4647F" w:rsidP="00D4647F">
            <w:pPr>
              <w:jc w:val="right"/>
              <w:rPr>
                <w:sz w:val="16"/>
                <w:szCs w:val="16"/>
              </w:rPr>
            </w:pPr>
            <w:r w:rsidRPr="00872D7E">
              <w:rPr>
                <w:sz w:val="16"/>
                <w:szCs w:val="16"/>
              </w:rPr>
              <w:t>-</w:t>
            </w:r>
          </w:p>
        </w:tc>
        <w:tc>
          <w:tcPr>
            <w:tcW w:w="698" w:type="pct"/>
            <w:tcBorders>
              <w:top w:val="nil"/>
              <w:left w:val="nil"/>
              <w:bottom w:val="nil"/>
              <w:right w:val="nil"/>
            </w:tcBorders>
            <w:shd w:val="clear" w:color="auto" w:fill="auto"/>
            <w:vAlign w:val="bottom"/>
          </w:tcPr>
          <w:p w14:paraId="186BD47A" w14:textId="0FE5C8AF" w:rsidR="00D4647F" w:rsidRPr="00872D7E" w:rsidRDefault="00D4647F" w:rsidP="00D4647F">
            <w:pPr>
              <w:jc w:val="right"/>
              <w:rPr>
                <w:sz w:val="16"/>
                <w:szCs w:val="16"/>
              </w:rPr>
            </w:pPr>
            <w:r w:rsidRPr="00872D7E">
              <w:rPr>
                <w:sz w:val="16"/>
                <w:szCs w:val="16"/>
              </w:rPr>
              <w:t>%0,00</w:t>
            </w:r>
          </w:p>
        </w:tc>
      </w:tr>
      <w:tr w:rsidR="00D4647F" w:rsidRPr="00872D7E" w14:paraId="78B04E98" w14:textId="77777777" w:rsidTr="002F0CF7">
        <w:trPr>
          <w:trHeight w:val="113"/>
        </w:trPr>
        <w:tc>
          <w:tcPr>
            <w:tcW w:w="218" w:type="pct"/>
            <w:hideMark/>
          </w:tcPr>
          <w:p w14:paraId="02690BF5" w14:textId="77777777" w:rsidR="00D4647F" w:rsidRPr="00872D7E" w:rsidRDefault="00D4647F" w:rsidP="00D4647F">
            <w:pPr>
              <w:contextualSpacing/>
              <w:rPr>
                <w:sz w:val="16"/>
                <w:szCs w:val="16"/>
              </w:rPr>
            </w:pPr>
            <w:r w:rsidRPr="00872D7E">
              <w:rPr>
                <w:sz w:val="16"/>
                <w:szCs w:val="16"/>
              </w:rPr>
              <w:t>9</w:t>
            </w:r>
          </w:p>
        </w:tc>
        <w:tc>
          <w:tcPr>
            <w:tcW w:w="1095" w:type="pct"/>
            <w:hideMark/>
          </w:tcPr>
          <w:p w14:paraId="12FC7492" w14:textId="77777777" w:rsidR="00D4647F" w:rsidRPr="00872D7E" w:rsidRDefault="00D4647F" w:rsidP="00D4647F">
            <w:pPr>
              <w:contextualSpacing/>
              <w:rPr>
                <w:sz w:val="16"/>
                <w:szCs w:val="16"/>
              </w:rPr>
            </w:pPr>
            <w:r w:rsidRPr="00872D7E">
              <w:rPr>
                <w:sz w:val="16"/>
                <w:szCs w:val="16"/>
              </w:rPr>
              <w:t>İkamet amaçlı gayrimenkul ipoteği ile teminatlandırılan alacaklar</w:t>
            </w:r>
          </w:p>
        </w:tc>
        <w:tc>
          <w:tcPr>
            <w:tcW w:w="617" w:type="pct"/>
            <w:tcBorders>
              <w:top w:val="nil"/>
              <w:left w:val="nil"/>
              <w:bottom w:val="nil"/>
              <w:right w:val="nil"/>
            </w:tcBorders>
            <w:shd w:val="clear" w:color="auto" w:fill="auto"/>
            <w:vAlign w:val="bottom"/>
          </w:tcPr>
          <w:p w14:paraId="7A10D237" w14:textId="7D50938C" w:rsidR="00D4647F" w:rsidRPr="00872D7E" w:rsidRDefault="00D4647F" w:rsidP="00D4647F">
            <w:pPr>
              <w:jc w:val="right"/>
              <w:rPr>
                <w:sz w:val="16"/>
                <w:szCs w:val="16"/>
              </w:rPr>
            </w:pPr>
            <w:r w:rsidRPr="00872D7E">
              <w:rPr>
                <w:sz w:val="16"/>
                <w:szCs w:val="16"/>
              </w:rPr>
              <w:t>343.131</w:t>
            </w:r>
          </w:p>
        </w:tc>
        <w:tc>
          <w:tcPr>
            <w:tcW w:w="620" w:type="pct"/>
            <w:tcBorders>
              <w:top w:val="nil"/>
              <w:left w:val="nil"/>
              <w:bottom w:val="nil"/>
              <w:right w:val="nil"/>
            </w:tcBorders>
            <w:shd w:val="clear" w:color="auto" w:fill="auto"/>
            <w:vAlign w:val="bottom"/>
          </w:tcPr>
          <w:p w14:paraId="725D7C44" w14:textId="173967FC" w:rsidR="00D4647F" w:rsidRPr="00872D7E" w:rsidRDefault="00D4647F" w:rsidP="00D4647F">
            <w:pPr>
              <w:jc w:val="right"/>
              <w:rPr>
                <w:sz w:val="16"/>
                <w:szCs w:val="16"/>
              </w:rPr>
            </w:pPr>
            <w:r w:rsidRPr="00872D7E">
              <w:rPr>
                <w:sz w:val="16"/>
                <w:szCs w:val="16"/>
              </w:rPr>
              <w:t>12.499</w:t>
            </w:r>
          </w:p>
        </w:tc>
        <w:tc>
          <w:tcPr>
            <w:tcW w:w="565" w:type="pct"/>
            <w:tcBorders>
              <w:top w:val="nil"/>
              <w:left w:val="nil"/>
              <w:bottom w:val="nil"/>
              <w:right w:val="nil"/>
            </w:tcBorders>
            <w:shd w:val="clear" w:color="auto" w:fill="auto"/>
            <w:vAlign w:val="bottom"/>
          </w:tcPr>
          <w:p w14:paraId="07753950" w14:textId="1056E76C" w:rsidR="00D4647F" w:rsidRPr="00872D7E" w:rsidRDefault="00D4647F" w:rsidP="00D4647F">
            <w:pPr>
              <w:jc w:val="right"/>
              <w:rPr>
                <w:sz w:val="16"/>
                <w:szCs w:val="16"/>
              </w:rPr>
            </w:pPr>
            <w:r w:rsidRPr="00872D7E">
              <w:rPr>
                <w:sz w:val="16"/>
                <w:szCs w:val="16"/>
              </w:rPr>
              <w:t>343.131</w:t>
            </w:r>
          </w:p>
        </w:tc>
        <w:tc>
          <w:tcPr>
            <w:tcW w:w="553" w:type="pct"/>
            <w:tcBorders>
              <w:top w:val="nil"/>
              <w:left w:val="nil"/>
              <w:bottom w:val="nil"/>
              <w:right w:val="nil"/>
            </w:tcBorders>
            <w:shd w:val="clear" w:color="auto" w:fill="auto"/>
            <w:vAlign w:val="bottom"/>
          </w:tcPr>
          <w:p w14:paraId="3724683D" w14:textId="70F8C88A" w:rsidR="00D4647F" w:rsidRPr="00872D7E" w:rsidRDefault="00D4647F" w:rsidP="00D4647F">
            <w:pPr>
              <w:jc w:val="right"/>
              <w:rPr>
                <w:sz w:val="16"/>
                <w:szCs w:val="16"/>
              </w:rPr>
            </w:pPr>
            <w:r w:rsidRPr="00872D7E">
              <w:rPr>
                <w:sz w:val="16"/>
                <w:szCs w:val="16"/>
              </w:rPr>
              <w:t>6.250</w:t>
            </w:r>
          </w:p>
        </w:tc>
        <w:tc>
          <w:tcPr>
            <w:tcW w:w="632" w:type="pct"/>
            <w:tcBorders>
              <w:top w:val="nil"/>
              <w:left w:val="nil"/>
              <w:bottom w:val="nil"/>
              <w:right w:val="nil"/>
            </w:tcBorders>
            <w:shd w:val="clear" w:color="auto" w:fill="auto"/>
            <w:vAlign w:val="bottom"/>
          </w:tcPr>
          <w:p w14:paraId="0ABFAC27" w14:textId="133239B7" w:rsidR="00D4647F" w:rsidRPr="00872D7E" w:rsidRDefault="00D4647F" w:rsidP="00D4647F">
            <w:pPr>
              <w:jc w:val="right"/>
              <w:rPr>
                <w:sz w:val="16"/>
                <w:szCs w:val="16"/>
              </w:rPr>
            </w:pPr>
            <w:r w:rsidRPr="00872D7E">
              <w:rPr>
                <w:sz w:val="16"/>
                <w:szCs w:val="16"/>
              </w:rPr>
              <w:t>122.019</w:t>
            </w:r>
          </w:p>
        </w:tc>
        <w:tc>
          <w:tcPr>
            <w:tcW w:w="698" w:type="pct"/>
            <w:tcBorders>
              <w:top w:val="nil"/>
              <w:left w:val="nil"/>
              <w:bottom w:val="nil"/>
              <w:right w:val="nil"/>
            </w:tcBorders>
            <w:shd w:val="clear" w:color="auto" w:fill="auto"/>
            <w:vAlign w:val="bottom"/>
          </w:tcPr>
          <w:p w14:paraId="763C0C49" w14:textId="08DCE465" w:rsidR="00D4647F" w:rsidRPr="00872D7E" w:rsidRDefault="00D4647F" w:rsidP="00D4647F">
            <w:pPr>
              <w:jc w:val="right"/>
              <w:rPr>
                <w:sz w:val="16"/>
                <w:szCs w:val="16"/>
              </w:rPr>
            </w:pPr>
            <w:r w:rsidRPr="00872D7E">
              <w:rPr>
                <w:sz w:val="16"/>
                <w:szCs w:val="16"/>
              </w:rPr>
              <w:t>%34,93</w:t>
            </w:r>
          </w:p>
        </w:tc>
      </w:tr>
      <w:tr w:rsidR="00D4647F" w:rsidRPr="00872D7E" w14:paraId="1CFB47D2" w14:textId="77777777" w:rsidTr="002F0CF7">
        <w:trPr>
          <w:trHeight w:val="113"/>
        </w:trPr>
        <w:tc>
          <w:tcPr>
            <w:tcW w:w="218" w:type="pct"/>
          </w:tcPr>
          <w:p w14:paraId="1EC403A6" w14:textId="77777777" w:rsidR="00D4647F" w:rsidRPr="00872D7E" w:rsidRDefault="00D4647F" w:rsidP="00D4647F">
            <w:pPr>
              <w:contextualSpacing/>
              <w:rPr>
                <w:sz w:val="16"/>
                <w:szCs w:val="16"/>
              </w:rPr>
            </w:pPr>
            <w:r w:rsidRPr="00872D7E">
              <w:rPr>
                <w:sz w:val="16"/>
                <w:szCs w:val="16"/>
              </w:rPr>
              <w:t>10</w:t>
            </w:r>
          </w:p>
        </w:tc>
        <w:tc>
          <w:tcPr>
            <w:tcW w:w="1095" w:type="pct"/>
          </w:tcPr>
          <w:p w14:paraId="60CCB678" w14:textId="77777777" w:rsidR="00D4647F" w:rsidRPr="00872D7E" w:rsidRDefault="00D4647F" w:rsidP="00D4647F">
            <w:pPr>
              <w:contextualSpacing/>
              <w:rPr>
                <w:sz w:val="16"/>
                <w:szCs w:val="16"/>
              </w:rPr>
            </w:pPr>
            <w:r w:rsidRPr="00872D7E">
              <w:rPr>
                <w:sz w:val="16"/>
                <w:szCs w:val="16"/>
              </w:rPr>
              <w:t>Ticari amaçlı gayrimenkul ipoteği ile teminatlandırılan alacaklar</w:t>
            </w:r>
          </w:p>
        </w:tc>
        <w:tc>
          <w:tcPr>
            <w:tcW w:w="617" w:type="pct"/>
            <w:tcBorders>
              <w:top w:val="nil"/>
              <w:left w:val="nil"/>
              <w:bottom w:val="nil"/>
              <w:right w:val="nil"/>
            </w:tcBorders>
            <w:shd w:val="clear" w:color="auto" w:fill="auto"/>
            <w:vAlign w:val="bottom"/>
          </w:tcPr>
          <w:p w14:paraId="2880F828" w14:textId="1D32B209" w:rsidR="00D4647F" w:rsidRPr="00872D7E" w:rsidRDefault="00D4647F" w:rsidP="00D4647F">
            <w:pPr>
              <w:jc w:val="right"/>
              <w:rPr>
                <w:sz w:val="16"/>
                <w:szCs w:val="16"/>
              </w:rPr>
            </w:pPr>
            <w:r w:rsidRPr="00872D7E">
              <w:rPr>
                <w:sz w:val="16"/>
                <w:szCs w:val="16"/>
              </w:rPr>
              <w:t>323.818</w:t>
            </w:r>
          </w:p>
        </w:tc>
        <w:tc>
          <w:tcPr>
            <w:tcW w:w="620" w:type="pct"/>
            <w:tcBorders>
              <w:top w:val="nil"/>
              <w:left w:val="nil"/>
              <w:bottom w:val="nil"/>
              <w:right w:val="nil"/>
            </w:tcBorders>
            <w:shd w:val="clear" w:color="auto" w:fill="auto"/>
            <w:vAlign w:val="bottom"/>
          </w:tcPr>
          <w:p w14:paraId="76BCD2D8" w14:textId="3CE4D7B7" w:rsidR="00D4647F" w:rsidRPr="00872D7E" w:rsidRDefault="00D4647F" w:rsidP="00D4647F">
            <w:pPr>
              <w:jc w:val="right"/>
              <w:rPr>
                <w:sz w:val="16"/>
                <w:szCs w:val="16"/>
              </w:rPr>
            </w:pPr>
            <w:r w:rsidRPr="00872D7E">
              <w:rPr>
                <w:sz w:val="16"/>
                <w:szCs w:val="16"/>
              </w:rPr>
              <w:t>72.825</w:t>
            </w:r>
          </w:p>
        </w:tc>
        <w:tc>
          <w:tcPr>
            <w:tcW w:w="565" w:type="pct"/>
            <w:tcBorders>
              <w:top w:val="nil"/>
              <w:left w:val="nil"/>
              <w:bottom w:val="nil"/>
              <w:right w:val="nil"/>
            </w:tcBorders>
            <w:shd w:val="clear" w:color="auto" w:fill="auto"/>
            <w:vAlign w:val="bottom"/>
          </w:tcPr>
          <w:p w14:paraId="44F1B123" w14:textId="32345628" w:rsidR="00D4647F" w:rsidRPr="00872D7E" w:rsidRDefault="00D4647F" w:rsidP="00D4647F">
            <w:pPr>
              <w:jc w:val="right"/>
              <w:rPr>
                <w:sz w:val="16"/>
                <w:szCs w:val="16"/>
              </w:rPr>
            </w:pPr>
            <w:r w:rsidRPr="00872D7E">
              <w:rPr>
                <w:sz w:val="16"/>
                <w:szCs w:val="16"/>
              </w:rPr>
              <w:t>323.818</w:t>
            </w:r>
          </w:p>
        </w:tc>
        <w:tc>
          <w:tcPr>
            <w:tcW w:w="553" w:type="pct"/>
            <w:tcBorders>
              <w:top w:val="nil"/>
              <w:left w:val="nil"/>
              <w:bottom w:val="nil"/>
              <w:right w:val="nil"/>
            </w:tcBorders>
            <w:shd w:val="clear" w:color="auto" w:fill="auto"/>
            <w:vAlign w:val="bottom"/>
          </w:tcPr>
          <w:p w14:paraId="0725718C" w14:textId="1CDA0BBC" w:rsidR="00D4647F" w:rsidRPr="00872D7E" w:rsidRDefault="00D4647F" w:rsidP="00D4647F">
            <w:pPr>
              <w:jc w:val="right"/>
              <w:rPr>
                <w:sz w:val="16"/>
                <w:szCs w:val="16"/>
              </w:rPr>
            </w:pPr>
            <w:r w:rsidRPr="00872D7E">
              <w:rPr>
                <w:sz w:val="16"/>
                <w:szCs w:val="16"/>
              </w:rPr>
              <w:t>36.412</w:t>
            </w:r>
          </w:p>
        </w:tc>
        <w:tc>
          <w:tcPr>
            <w:tcW w:w="632" w:type="pct"/>
            <w:tcBorders>
              <w:top w:val="nil"/>
              <w:left w:val="nil"/>
              <w:bottom w:val="nil"/>
              <w:right w:val="nil"/>
            </w:tcBorders>
            <w:shd w:val="clear" w:color="auto" w:fill="auto"/>
            <w:vAlign w:val="bottom"/>
          </w:tcPr>
          <w:p w14:paraId="4281B591" w14:textId="7400DE8C" w:rsidR="00D4647F" w:rsidRPr="00872D7E" w:rsidRDefault="00D4647F" w:rsidP="00D4647F">
            <w:pPr>
              <w:jc w:val="right"/>
              <w:rPr>
                <w:sz w:val="16"/>
                <w:szCs w:val="16"/>
              </w:rPr>
            </w:pPr>
            <w:r w:rsidRPr="00872D7E">
              <w:rPr>
                <w:sz w:val="16"/>
                <w:szCs w:val="16"/>
              </w:rPr>
              <w:t>211.457</w:t>
            </w:r>
          </w:p>
        </w:tc>
        <w:tc>
          <w:tcPr>
            <w:tcW w:w="698" w:type="pct"/>
            <w:tcBorders>
              <w:top w:val="nil"/>
              <w:left w:val="nil"/>
              <w:bottom w:val="nil"/>
              <w:right w:val="nil"/>
            </w:tcBorders>
            <w:shd w:val="clear" w:color="auto" w:fill="auto"/>
            <w:vAlign w:val="bottom"/>
          </w:tcPr>
          <w:p w14:paraId="051F4DE0" w14:textId="606683FD" w:rsidR="00D4647F" w:rsidRPr="00872D7E" w:rsidRDefault="00D4647F" w:rsidP="00D4647F">
            <w:pPr>
              <w:jc w:val="right"/>
              <w:rPr>
                <w:sz w:val="16"/>
                <w:szCs w:val="16"/>
              </w:rPr>
            </w:pPr>
            <w:r w:rsidRPr="00872D7E">
              <w:rPr>
                <w:sz w:val="16"/>
                <w:szCs w:val="16"/>
              </w:rPr>
              <w:t>%58,70</w:t>
            </w:r>
          </w:p>
        </w:tc>
      </w:tr>
      <w:tr w:rsidR="00D4647F" w:rsidRPr="00872D7E" w14:paraId="2EC09388" w14:textId="77777777" w:rsidTr="002F0CF7">
        <w:trPr>
          <w:trHeight w:val="113"/>
        </w:trPr>
        <w:tc>
          <w:tcPr>
            <w:tcW w:w="218" w:type="pct"/>
            <w:hideMark/>
          </w:tcPr>
          <w:p w14:paraId="6EFEF4AA" w14:textId="77777777" w:rsidR="00D4647F" w:rsidRPr="00872D7E" w:rsidRDefault="00D4647F" w:rsidP="00D4647F">
            <w:pPr>
              <w:contextualSpacing/>
              <w:rPr>
                <w:sz w:val="16"/>
                <w:szCs w:val="16"/>
              </w:rPr>
            </w:pPr>
            <w:r w:rsidRPr="00872D7E">
              <w:rPr>
                <w:sz w:val="16"/>
                <w:szCs w:val="16"/>
              </w:rPr>
              <w:t>11</w:t>
            </w:r>
          </w:p>
        </w:tc>
        <w:tc>
          <w:tcPr>
            <w:tcW w:w="1095" w:type="pct"/>
            <w:hideMark/>
          </w:tcPr>
          <w:p w14:paraId="45FD127F" w14:textId="77777777" w:rsidR="00D4647F" w:rsidRPr="00872D7E" w:rsidRDefault="00D4647F" w:rsidP="00D4647F">
            <w:pPr>
              <w:contextualSpacing/>
              <w:rPr>
                <w:sz w:val="16"/>
                <w:szCs w:val="16"/>
              </w:rPr>
            </w:pPr>
            <w:r w:rsidRPr="00872D7E">
              <w:rPr>
                <w:sz w:val="16"/>
                <w:szCs w:val="16"/>
              </w:rPr>
              <w:t>Tahsili gecikmiş alacaklar</w:t>
            </w:r>
          </w:p>
        </w:tc>
        <w:tc>
          <w:tcPr>
            <w:tcW w:w="617" w:type="pct"/>
            <w:tcBorders>
              <w:top w:val="nil"/>
              <w:left w:val="nil"/>
              <w:bottom w:val="nil"/>
              <w:right w:val="nil"/>
            </w:tcBorders>
            <w:shd w:val="clear" w:color="auto" w:fill="auto"/>
            <w:vAlign w:val="bottom"/>
          </w:tcPr>
          <w:p w14:paraId="18BB6BFA" w14:textId="57E266BD" w:rsidR="00D4647F" w:rsidRPr="00872D7E" w:rsidRDefault="00D4647F" w:rsidP="00D4647F">
            <w:pPr>
              <w:jc w:val="right"/>
              <w:rPr>
                <w:sz w:val="16"/>
                <w:szCs w:val="16"/>
              </w:rPr>
            </w:pPr>
            <w:r w:rsidRPr="00872D7E">
              <w:rPr>
                <w:sz w:val="16"/>
                <w:szCs w:val="16"/>
              </w:rPr>
              <w:t>-</w:t>
            </w:r>
          </w:p>
        </w:tc>
        <w:tc>
          <w:tcPr>
            <w:tcW w:w="620" w:type="pct"/>
            <w:tcBorders>
              <w:top w:val="nil"/>
              <w:left w:val="nil"/>
              <w:bottom w:val="nil"/>
              <w:right w:val="nil"/>
            </w:tcBorders>
            <w:shd w:val="clear" w:color="auto" w:fill="auto"/>
            <w:vAlign w:val="bottom"/>
          </w:tcPr>
          <w:p w14:paraId="692A277D" w14:textId="238C34BB"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1139E62B" w14:textId="54CFBC21" w:rsidR="00D4647F" w:rsidRPr="00872D7E" w:rsidRDefault="00D4647F" w:rsidP="00D4647F">
            <w:pPr>
              <w:jc w:val="right"/>
              <w:rPr>
                <w:sz w:val="16"/>
                <w:szCs w:val="16"/>
              </w:rPr>
            </w:pPr>
            <w:r w:rsidRPr="00872D7E">
              <w:rPr>
                <w:sz w:val="16"/>
                <w:szCs w:val="16"/>
              </w:rPr>
              <w:t>-</w:t>
            </w:r>
          </w:p>
        </w:tc>
        <w:tc>
          <w:tcPr>
            <w:tcW w:w="553" w:type="pct"/>
            <w:tcBorders>
              <w:top w:val="nil"/>
              <w:left w:val="nil"/>
              <w:bottom w:val="nil"/>
              <w:right w:val="nil"/>
            </w:tcBorders>
            <w:shd w:val="clear" w:color="auto" w:fill="auto"/>
            <w:vAlign w:val="bottom"/>
          </w:tcPr>
          <w:p w14:paraId="753FA77B" w14:textId="407121CB"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26090BCD" w14:textId="4F2A407D" w:rsidR="00D4647F" w:rsidRPr="00872D7E" w:rsidRDefault="00D4647F" w:rsidP="00D4647F">
            <w:pPr>
              <w:jc w:val="right"/>
              <w:rPr>
                <w:sz w:val="16"/>
                <w:szCs w:val="16"/>
              </w:rPr>
            </w:pPr>
            <w:r w:rsidRPr="00872D7E">
              <w:rPr>
                <w:sz w:val="16"/>
                <w:szCs w:val="16"/>
              </w:rPr>
              <w:t>-</w:t>
            </w:r>
          </w:p>
        </w:tc>
        <w:tc>
          <w:tcPr>
            <w:tcW w:w="698" w:type="pct"/>
            <w:tcBorders>
              <w:top w:val="nil"/>
              <w:left w:val="nil"/>
              <w:bottom w:val="nil"/>
              <w:right w:val="nil"/>
            </w:tcBorders>
            <w:shd w:val="clear" w:color="auto" w:fill="auto"/>
            <w:vAlign w:val="bottom"/>
          </w:tcPr>
          <w:p w14:paraId="44168386" w14:textId="22F8C9CA" w:rsidR="00D4647F" w:rsidRPr="00872D7E" w:rsidRDefault="00D4647F" w:rsidP="00D4647F">
            <w:pPr>
              <w:jc w:val="right"/>
              <w:rPr>
                <w:sz w:val="16"/>
                <w:szCs w:val="16"/>
              </w:rPr>
            </w:pPr>
            <w:r w:rsidRPr="00872D7E">
              <w:rPr>
                <w:sz w:val="16"/>
                <w:szCs w:val="16"/>
              </w:rPr>
              <w:t>%0,00</w:t>
            </w:r>
          </w:p>
        </w:tc>
      </w:tr>
      <w:tr w:rsidR="00D4647F" w:rsidRPr="00872D7E" w14:paraId="37188852" w14:textId="77777777" w:rsidTr="002F0CF7">
        <w:trPr>
          <w:trHeight w:val="113"/>
        </w:trPr>
        <w:tc>
          <w:tcPr>
            <w:tcW w:w="218" w:type="pct"/>
            <w:hideMark/>
          </w:tcPr>
          <w:p w14:paraId="2CE898CE" w14:textId="77777777" w:rsidR="00D4647F" w:rsidRPr="00872D7E" w:rsidRDefault="00D4647F" w:rsidP="00D4647F">
            <w:pPr>
              <w:contextualSpacing/>
              <w:rPr>
                <w:sz w:val="16"/>
                <w:szCs w:val="16"/>
              </w:rPr>
            </w:pPr>
            <w:r w:rsidRPr="00872D7E">
              <w:rPr>
                <w:sz w:val="16"/>
                <w:szCs w:val="16"/>
              </w:rPr>
              <w:t>12</w:t>
            </w:r>
          </w:p>
        </w:tc>
        <w:tc>
          <w:tcPr>
            <w:tcW w:w="1095" w:type="pct"/>
            <w:hideMark/>
          </w:tcPr>
          <w:p w14:paraId="723AECDA" w14:textId="77777777" w:rsidR="00D4647F" w:rsidRPr="00872D7E" w:rsidRDefault="00D4647F" w:rsidP="00D4647F">
            <w:pPr>
              <w:contextualSpacing/>
              <w:rPr>
                <w:sz w:val="16"/>
                <w:szCs w:val="16"/>
              </w:rPr>
            </w:pPr>
            <w:r w:rsidRPr="00872D7E">
              <w:rPr>
                <w:sz w:val="16"/>
                <w:szCs w:val="16"/>
              </w:rPr>
              <w:t>Kurulca riski yüksek belirlenmiş alacaklar</w:t>
            </w:r>
          </w:p>
        </w:tc>
        <w:tc>
          <w:tcPr>
            <w:tcW w:w="617" w:type="pct"/>
            <w:tcBorders>
              <w:top w:val="nil"/>
              <w:left w:val="nil"/>
              <w:bottom w:val="nil"/>
              <w:right w:val="nil"/>
            </w:tcBorders>
            <w:shd w:val="clear" w:color="auto" w:fill="auto"/>
            <w:vAlign w:val="bottom"/>
          </w:tcPr>
          <w:p w14:paraId="599D551D" w14:textId="3D61FDB6" w:rsidR="00D4647F" w:rsidRPr="00872D7E" w:rsidRDefault="00D4647F" w:rsidP="00D4647F">
            <w:pPr>
              <w:jc w:val="right"/>
              <w:rPr>
                <w:sz w:val="16"/>
                <w:szCs w:val="16"/>
              </w:rPr>
            </w:pPr>
            <w:r w:rsidRPr="00872D7E">
              <w:rPr>
                <w:sz w:val="16"/>
                <w:szCs w:val="16"/>
              </w:rPr>
              <w:t>27.648</w:t>
            </w:r>
          </w:p>
        </w:tc>
        <w:tc>
          <w:tcPr>
            <w:tcW w:w="620" w:type="pct"/>
            <w:tcBorders>
              <w:top w:val="nil"/>
              <w:left w:val="nil"/>
              <w:bottom w:val="nil"/>
              <w:right w:val="nil"/>
            </w:tcBorders>
            <w:shd w:val="clear" w:color="auto" w:fill="auto"/>
            <w:vAlign w:val="bottom"/>
          </w:tcPr>
          <w:p w14:paraId="03D7255C" w14:textId="734EF2D9"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6FC0FC82" w14:textId="36C776D4" w:rsidR="00D4647F" w:rsidRPr="00872D7E" w:rsidRDefault="00D4647F" w:rsidP="00D4647F">
            <w:pPr>
              <w:jc w:val="right"/>
              <w:rPr>
                <w:sz w:val="16"/>
                <w:szCs w:val="16"/>
              </w:rPr>
            </w:pPr>
            <w:r w:rsidRPr="00872D7E">
              <w:rPr>
                <w:sz w:val="16"/>
                <w:szCs w:val="16"/>
              </w:rPr>
              <w:t>27.648</w:t>
            </w:r>
          </w:p>
        </w:tc>
        <w:tc>
          <w:tcPr>
            <w:tcW w:w="553" w:type="pct"/>
            <w:tcBorders>
              <w:top w:val="nil"/>
              <w:left w:val="nil"/>
              <w:bottom w:val="nil"/>
              <w:right w:val="nil"/>
            </w:tcBorders>
            <w:shd w:val="clear" w:color="auto" w:fill="auto"/>
            <w:vAlign w:val="bottom"/>
          </w:tcPr>
          <w:p w14:paraId="59A3E902" w14:textId="1D267092"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002ECD38" w14:textId="66B94470" w:rsidR="00D4647F" w:rsidRPr="00872D7E" w:rsidRDefault="00D4647F" w:rsidP="00D4647F">
            <w:pPr>
              <w:jc w:val="right"/>
              <w:rPr>
                <w:sz w:val="16"/>
                <w:szCs w:val="16"/>
              </w:rPr>
            </w:pPr>
            <w:r w:rsidRPr="00872D7E">
              <w:rPr>
                <w:sz w:val="16"/>
                <w:szCs w:val="16"/>
              </w:rPr>
              <w:t>138.238</w:t>
            </w:r>
          </w:p>
        </w:tc>
        <w:tc>
          <w:tcPr>
            <w:tcW w:w="698" w:type="pct"/>
            <w:tcBorders>
              <w:top w:val="nil"/>
              <w:left w:val="nil"/>
              <w:bottom w:val="nil"/>
              <w:right w:val="nil"/>
            </w:tcBorders>
            <w:shd w:val="clear" w:color="auto" w:fill="auto"/>
            <w:vAlign w:val="bottom"/>
          </w:tcPr>
          <w:p w14:paraId="1E838881" w14:textId="6C836DC0" w:rsidR="00D4647F" w:rsidRPr="00872D7E" w:rsidRDefault="00D4647F" w:rsidP="00D4647F">
            <w:pPr>
              <w:jc w:val="right"/>
              <w:rPr>
                <w:sz w:val="16"/>
                <w:szCs w:val="16"/>
              </w:rPr>
            </w:pPr>
            <w:r w:rsidRPr="00872D7E">
              <w:rPr>
                <w:sz w:val="16"/>
                <w:szCs w:val="16"/>
              </w:rPr>
              <w:t>%500,00</w:t>
            </w:r>
          </w:p>
        </w:tc>
      </w:tr>
      <w:tr w:rsidR="00D4647F" w:rsidRPr="00872D7E" w14:paraId="71F3886A" w14:textId="77777777" w:rsidTr="002F0CF7">
        <w:trPr>
          <w:trHeight w:val="113"/>
        </w:trPr>
        <w:tc>
          <w:tcPr>
            <w:tcW w:w="218" w:type="pct"/>
            <w:hideMark/>
          </w:tcPr>
          <w:p w14:paraId="43327048" w14:textId="77777777" w:rsidR="00D4647F" w:rsidRPr="00872D7E" w:rsidRDefault="00D4647F" w:rsidP="00D4647F">
            <w:pPr>
              <w:contextualSpacing/>
              <w:rPr>
                <w:sz w:val="16"/>
                <w:szCs w:val="16"/>
              </w:rPr>
            </w:pPr>
            <w:r w:rsidRPr="00872D7E">
              <w:rPr>
                <w:sz w:val="16"/>
                <w:szCs w:val="16"/>
              </w:rPr>
              <w:t>13</w:t>
            </w:r>
          </w:p>
        </w:tc>
        <w:tc>
          <w:tcPr>
            <w:tcW w:w="1095" w:type="pct"/>
            <w:hideMark/>
          </w:tcPr>
          <w:p w14:paraId="010A405E" w14:textId="77777777" w:rsidR="00D4647F" w:rsidRPr="00872D7E" w:rsidRDefault="00D4647F" w:rsidP="00D4647F">
            <w:pPr>
              <w:contextualSpacing/>
              <w:rPr>
                <w:sz w:val="16"/>
                <w:szCs w:val="16"/>
              </w:rPr>
            </w:pPr>
            <w:r w:rsidRPr="00872D7E">
              <w:rPr>
                <w:sz w:val="16"/>
                <w:szCs w:val="16"/>
              </w:rPr>
              <w:t>Teminatlı menkul kıymetler</w:t>
            </w:r>
          </w:p>
        </w:tc>
        <w:tc>
          <w:tcPr>
            <w:tcW w:w="617" w:type="pct"/>
            <w:tcBorders>
              <w:top w:val="nil"/>
              <w:left w:val="nil"/>
              <w:bottom w:val="nil"/>
              <w:right w:val="nil"/>
            </w:tcBorders>
            <w:shd w:val="clear" w:color="auto" w:fill="auto"/>
            <w:vAlign w:val="bottom"/>
          </w:tcPr>
          <w:p w14:paraId="01541132" w14:textId="091662A1" w:rsidR="00D4647F" w:rsidRPr="00872D7E" w:rsidRDefault="00D4647F" w:rsidP="00D4647F">
            <w:pPr>
              <w:jc w:val="right"/>
              <w:rPr>
                <w:sz w:val="16"/>
                <w:szCs w:val="16"/>
              </w:rPr>
            </w:pPr>
            <w:r w:rsidRPr="00872D7E">
              <w:rPr>
                <w:sz w:val="16"/>
                <w:szCs w:val="16"/>
              </w:rPr>
              <w:t>-</w:t>
            </w:r>
          </w:p>
        </w:tc>
        <w:tc>
          <w:tcPr>
            <w:tcW w:w="620" w:type="pct"/>
            <w:tcBorders>
              <w:top w:val="nil"/>
              <w:left w:val="nil"/>
              <w:bottom w:val="nil"/>
              <w:right w:val="nil"/>
            </w:tcBorders>
            <w:shd w:val="clear" w:color="auto" w:fill="auto"/>
            <w:vAlign w:val="bottom"/>
          </w:tcPr>
          <w:p w14:paraId="112463BD" w14:textId="3AD261FA"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3C130DF5" w14:textId="34058318" w:rsidR="00D4647F" w:rsidRPr="00872D7E" w:rsidRDefault="00D4647F" w:rsidP="00D4647F">
            <w:pPr>
              <w:jc w:val="right"/>
              <w:rPr>
                <w:sz w:val="16"/>
                <w:szCs w:val="16"/>
              </w:rPr>
            </w:pPr>
            <w:r w:rsidRPr="00872D7E">
              <w:rPr>
                <w:sz w:val="16"/>
                <w:szCs w:val="16"/>
              </w:rPr>
              <w:t>-</w:t>
            </w:r>
          </w:p>
        </w:tc>
        <w:tc>
          <w:tcPr>
            <w:tcW w:w="553" w:type="pct"/>
            <w:tcBorders>
              <w:top w:val="nil"/>
              <w:left w:val="nil"/>
              <w:bottom w:val="nil"/>
              <w:right w:val="nil"/>
            </w:tcBorders>
            <w:shd w:val="clear" w:color="auto" w:fill="auto"/>
            <w:vAlign w:val="bottom"/>
          </w:tcPr>
          <w:p w14:paraId="420B355A" w14:textId="5283104D"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430A8879" w14:textId="091538FC" w:rsidR="00D4647F" w:rsidRPr="00872D7E" w:rsidRDefault="00D4647F" w:rsidP="00D4647F">
            <w:pPr>
              <w:jc w:val="right"/>
              <w:rPr>
                <w:sz w:val="16"/>
                <w:szCs w:val="16"/>
              </w:rPr>
            </w:pPr>
            <w:r w:rsidRPr="00872D7E">
              <w:rPr>
                <w:sz w:val="16"/>
                <w:szCs w:val="16"/>
              </w:rPr>
              <w:t>-</w:t>
            </w:r>
          </w:p>
        </w:tc>
        <w:tc>
          <w:tcPr>
            <w:tcW w:w="698" w:type="pct"/>
            <w:tcBorders>
              <w:top w:val="nil"/>
              <w:left w:val="nil"/>
              <w:bottom w:val="nil"/>
              <w:right w:val="nil"/>
            </w:tcBorders>
            <w:shd w:val="clear" w:color="auto" w:fill="auto"/>
            <w:vAlign w:val="bottom"/>
          </w:tcPr>
          <w:p w14:paraId="06226E71" w14:textId="0E37DB50" w:rsidR="00D4647F" w:rsidRPr="00872D7E" w:rsidRDefault="00D4647F" w:rsidP="00D4647F">
            <w:pPr>
              <w:jc w:val="right"/>
              <w:rPr>
                <w:sz w:val="16"/>
                <w:szCs w:val="16"/>
              </w:rPr>
            </w:pPr>
            <w:r w:rsidRPr="00872D7E">
              <w:rPr>
                <w:sz w:val="16"/>
                <w:szCs w:val="16"/>
              </w:rPr>
              <w:t>%0,00</w:t>
            </w:r>
          </w:p>
        </w:tc>
      </w:tr>
      <w:tr w:rsidR="00D4647F" w:rsidRPr="00872D7E" w14:paraId="34F06F1E" w14:textId="77777777" w:rsidTr="002F0CF7">
        <w:trPr>
          <w:trHeight w:val="113"/>
        </w:trPr>
        <w:tc>
          <w:tcPr>
            <w:tcW w:w="218" w:type="pct"/>
            <w:hideMark/>
          </w:tcPr>
          <w:p w14:paraId="26C54086" w14:textId="77777777" w:rsidR="00D4647F" w:rsidRPr="00872D7E" w:rsidRDefault="00D4647F" w:rsidP="00D4647F">
            <w:pPr>
              <w:contextualSpacing/>
              <w:rPr>
                <w:sz w:val="16"/>
                <w:szCs w:val="16"/>
              </w:rPr>
            </w:pPr>
            <w:r w:rsidRPr="00872D7E">
              <w:rPr>
                <w:sz w:val="16"/>
                <w:szCs w:val="16"/>
              </w:rPr>
              <w:t>14</w:t>
            </w:r>
          </w:p>
        </w:tc>
        <w:tc>
          <w:tcPr>
            <w:tcW w:w="1095" w:type="pct"/>
            <w:hideMark/>
          </w:tcPr>
          <w:p w14:paraId="78490B73" w14:textId="77777777" w:rsidR="00D4647F" w:rsidRPr="00872D7E" w:rsidRDefault="00D4647F" w:rsidP="00D4647F">
            <w:pPr>
              <w:contextualSpacing/>
              <w:rPr>
                <w:sz w:val="16"/>
                <w:szCs w:val="16"/>
              </w:rPr>
            </w:pPr>
            <w:r w:rsidRPr="00872D7E">
              <w:rPr>
                <w:sz w:val="16"/>
                <w:szCs w:val="16"/>
              </w:rPr>
              <w:t>Bankalardan ve aracı kurumlardan olan kısa vadeli alacaklar ile kısa vadeli kurumsal alacaklar</w:t>
            </w:r>
          </w:p>
        </w:tc>
        <w:tc>
          <w:tcPr>
            <w:tcW w:w="617" w:type="pct"/>
            <w:tcBorders>
              <w:top w:val="nil"/>
              <w:left w:val="nil"/>
              <w:bottom w:val="nil"/>
              <w:right w:val="nil"/>
            </w:tcBorders>
            <w:shd w:val="clear" w:color="auto" w:fill="auto"/>
            <w:vAlign w:val="bottom"/>
          </w:tcPr>
          <w:p w14:paraId="25493284" w14:textId="0FE555A5" w:rsidR="00D4647F" w:rsidRPr="00872D7E" w:rsidRDefault="00D4647F" w:rsidP="00D4647F">
            <w:pPr>
              <w:jc w:val="right"/>
              <w:rPr>
                <w:sz w:val="16"/>
                <w:szCs w:val="16"/>
              </w:rPr>
            </w:pPr>
            <w:r w:rsidRPr="00872D7E">
              <w:rPr>
                <w:sz w:val="16"/>
                <w:szCs w:val="16"/>
              </w:rPr>
              <w:t>-</w:t>
            </w:r>
          </w:p>
        </w:tc>
        <w:tc>
          <w:tcPr>
            <w:tcW w:w="620" w:type="pct"/>
            <w:tcBorders>
              <w:top w:val="nil"/>
              <w:left w:val="nil"/>
              <w:bottom w:val="nil"/>
              <w:right w:val="nil"/>
            </w:tcBorders>
            <w:shd w:val="clear" w:color="auto" w:fill="auto"/>
            <w:vAlign w:val="bottom"/>
          </w:tcPr>
          <w:p w14:paraId="0423AFA0" w14:textId="6C135CA7"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68152D0B" w14:textId="3DD657F9" w:rsidR="00D4647F" w:rsidRPr="00872D7E" w:rsidRDefault="00D4647F" w:rsidP="00D4647F">
            <w:pPr>
              <w:jc w:val="right"/>
              <w:rPr>
                <w:sz w:val="16"/>
                <w:szCs w:val="16"/>
              </w:rPr>
            </w:pPr>
            <w:r w:rsidRPr="00872D7E">
              <w:rPr>
                <w:sz w:val="16"/>
                <w:szCs w:val="16"/>
              </w:rPr>
              <w:t>-</w:t>
            </w:r>
          </w:p>
        </w:tc>
        <w:tc>
          <w:tcPr>
            <w:tcW w:w="553" w:type="pct"/>
            <w:tcBorders>
              <w:top w:val="nil"/>
              <w:left w:val="nil"/>
              <w:bottom w:val="nil"/>
              <w:right w:val="nil"/>
            </w:tcBorders>
            <w:shd w:val="clear" w:color="auto" w:fill="auto"/>
            <w:vAlign w:val="bottom"/>
          </w:tcPr>
          <w:p w14:paraId="0F6DE760" w14:textId="62F9B51C"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06520254" w14:textId="20A5E238" w:rsidR="00D4647F" w:rsidRPr="00872D7E" w:rsidRDefault="00D4647F" w:rsidP="00D4647F">
            <w:pPr>
              <w:jc w:val="right"/>
              <w:rPr>
                <w:sz w:val="16"/>
                <w:szCs w:val="16"/>
              </w:rPr>
            </w:pPr>
            <w:r w:rsidRPr="00872D7E">
              <w:rPr>
                <w:sz w:val="16"/>
                <w:szCs w:val="16"/>
              </w:rPr>
              <w:t>-</w:t>
            </w:r>
          </w:p>
        </w:tc>
        <w:tc>
          <w:tcPr>
            <w:tcW w:w="698" w:type="pct"/>
            <w:tcBorders>
              <w:top w:val="nil"/>
              <w:left w:val="nil"/>
              <w:bottom w:val="nil"/>
              <w:right w:val="nil"/>
            </w:tcBorders>
            <w:shd w:val="clear" w:color="auto" w:fill="auto"/>
            <w:vAlign w:val="bottom"/>
          </w:tcPr>
          <w:p w14:paraId="133009B0" w14:textId="16E4392A" w:rsidR="00D4647F" w:rsidRPr="00872D7E" w:rsidRDefault="00D4647F" w:rsidP="00D4647F">
            <w:pPr>
              <w:jc w:val="right"/>
              <w:rPr>
                <w:sz w:val="16"/>
                <w:szCs w:val="16"/>
              </w:rPr>
            </w:pPr>
            <w:r w:rsidRPr="00872D7E">
              <w:rPr>
                <w:sz w:val="16"/>
                <w:szCs w:val="16"/>
              </w:rPr>
              <w:t>%0,00</w:t>
            </w:r>
          </w:p>
        </w:tc>
      </w:tr>
      <w:tr w:rsidR="00D4647F" w:rsidRPr="00872D7E" w14:paraId="632D747B" w14:textId="77777777" w:rsidTr="002F0CF7">
        <w:trPr>
          <w:trHeight w:val="113"/>
        </w:trPr>
        <w:tc>
          <w:tcPr>
            <w:tcW w:w="218" w:type="pct"/>
            <w:hideMark/>
          </w:tcPr>
          <w:p w14:paraId="06E3A4FF" w14:textId="77777777" w:rsidR="00D4647F" w:rsidRPr="00872D7E" w:rsidRDefault="00D4647F" w:rsidP="00D4647F">
            <w:pPr>
              <w:contextualSpacing/>
              <w:rPr>
                <w:sz w:val="16"/>
                <w:szCs w:val="16"/>
              </w:rPr>
            </w:pPr>
            <w:r w:rsidRPr="00872D7E">
              <w:rPr>
                <w:sz w:val="16"/>
                <w:szCs w:val="16"/>
              </w:rPr>
              <w:t>15</w:t>
            </w:r>
          </w:p>
        </w:tc>
        <w:tc>
          <w:tcPr>
            <w:tcW w:w="1095" w:type="pct"/>
            <w:hideMark/>
          </w:tcPr>
          <w:p w14:paraId="663D8EF8" w14:textId="77777777" w:rsidR="00D4647F" w:rsidRPr="00872D7E" w:rsidRDefault="00D4647F" w:rsidP="00D4647F">
            <w:pPr>
              <w:contextualSpacing/>
              <w:rPr>
                <w:sz w:val="16"/>
                <w:szCs w:val="16"/>
              </w:rPr>
            </w:pPr>
            <w:r w:rsidRPr="00872D7E">
              <w:rPr>
                <w:sz w:val="16"/>
                <w:szCs w:val="16"/>
              </w:rPr>
              <w:t>Kolektif yatırım kuruluşu niteliğindeki yatırımlar</w:t>
            </w:r>
          </w:p>
        </w:tc>
        <w:tc>
          <w:tcPr>
            <w:tcW w:w="617" w:type="pct"/>
            <w:tcBorders>
              <w:top w:val="nil"/>
              <w:left w:val="nil"/>
              <w:bottom w:val="nil"/>
              <w:right w:val="nil"/>
            </w:tcBorders>
            <w:shd w:val="clear" w:color="auto" w:fill="auto"/>
            <w:vAlign w:val="bottom"/>
          </w:tcPr>
          <w:p w14:paraId="62A2B31B" w14:textId="4C71CA49" w:rsidR="00D4647F" w:rsidRPr="00872D7E" w:rsidRDefault="00D4647F" w:rsidP="00D4647F">
            <w:pPr>
              <w:jc w:val="right"/>
              <w:rPr>
                <w:sz w:val="16"/>
                <w:szCs w:val="16"/>
              </w:rPr>
            </w:pPr>
            <w:r w:rsidRPr="00872D7E">
              <w:rPr>
                <w:sz w:val="16"/>
                <w:szCs w:val="16"/>
              </w:rPr>
              <w:t>948</w:t>
            </w:r>
          </w:p>
        </w:tc>
        <w:tc>
          <w:tcPr>
            <w:tcW w:w="620" w:type="pct"/>
            <w:tcBorders>
              <w:top w:val="nil"/>
              <w:left w:val="nil"/>
              <w:bottom w:val="nil"/>
              <w:right w:val="nil"/>
            </w:tcBorders>
            <w:shd w:val="clear" w:color="auto" w:fill="auto"/>
            <w:vAlign w:val="bottom"/>
          </w:tcPr>
          <w:p w14:paraId="16BE0C0C" w14:textId="446A3E0B"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13E0D7CB" w14:textId="3ADAF893" w:rsidR="00D4647F" w:rsidRPr="00872D7E" w:rsidRDefault="00D4647F" w:rsidP="00D4647F">
            <w:pPr>
              <w:jc w:val="right"/>
              <w:rPr>
                <w:sz w:val="16"/>
                <w:szCs w:val="16"/>
              </w:rPr>
            </w:pPr>
            <w:r w:rsidRPr="00872D7E">
              <w:rPr>
                <w:sz w:val="16"/>
                <w:szCs w:val="16"/>
              </w:rPr>
              <w:t>948</w:t>
            </w:r>
          </w:p>
        </w:tc>
        <w:tc>
          <w:tcPr>
            <w:tcW w:w="553" w:type="pct"/>
            <w:tcBorders>
              <w:top w:val="nil"/>
              <w:left w:val="nil"/>
              <w:bottom w:val="nil"/>
              <w:right w:val="nil"/>
            </w:tcBorders>
            <w:shd w:val="clear" w:color="auto" w:fill="auto"/>
            <w:vAlign w:val="bottom"/>
          </w:tcPr>
          <w:p w14:paraId="33C33966" w14:textId="7D7EEB4D"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637DCFCD" w14:textId="0915E941" w:rsidR="00D4647F" w:rsidRPr="00872D7E" w:rsidRDefault="00D4647F" w:rsidP="00D4647F">
            <w:pPr>
              <w:jc w:val="right"/>
              <w:rPr>
                <w:sz w:val="16"/>
                <w:szCs w:val="16"/>
              </w:rPr>
            </w:pPr>
            <w:r w:rsidRPr="00872D7E">
              <w:rPr>
                <w:sz w:val="16"/>
                <w:szCs w:val="16"/>
              </w:rPr>
              <w:t>948</w:t>
            </w:r>
          </w:p>
        </w:tc>
        <w:tc>
          <w:tcPr>
            <w:tcW w:w="698" w:type="pct"/>
            <w:tcBorders>
              <w:top w:val="nil"/>
              <w:left w:val="nil"/>
              <w:bottom w:val="nil"/>
              <w:right w:val="nil"/>
            </w:tcBorders>
            <w:shd w:val="clear" w:color="auto" w:fill="auto"/>
            <w:vAlign w:val="bottom"/>
          </w:tcPr>
          <w:p w14:paraId="6C99CBD4" w14:textId="28A214E4" w:rsidR="00D4647F" w:rsidRPr="00872D7E" w:rsidRDefault="00D4647F" w:rsidP="00D4647F">
            <w:pPr>
              <w:jc w:val="right"/>
              <w:rPr>
                <w:sz w:val="16"/>
                <w:szCs w:val="16"/>
              </w:rPr>
            </w:pPr>
            <w:r w:rsidRPr="00872D7E">
              <w:rPr>
                <w:sz w:val="16"/>
                <w:szCs w:val="16"/>
              </w:rPr>
              <w:t>%100,00</w:t>
            </w:r>
          </w:p>
        </w:tc>
      </w:tr>
      <w:tr w:rsidR="00D4647F" w:rsidRPr="00872D7E" w14:paraId="20532DDB" w14:textId="77777777" w:rsidTr="002F0CF7">
        <w:trPr>
          <w:trHeight w:val="113"/>
        </w:trPr>
        <w:tc>
          <w:tcPr>
            <w:tcW w:w="218" w:type="pct"/>
            <w:hideMark/>
          </w:tcPr>
          <w:p w14:paraId="61DA853F" w14:textId="77777777" w:rsidR="00D4647F" w:rsidRPr="00872D7E" w:rsidRDefault="00D4647F" w:rsidP="00D4647F">
            <w:pPr>
              <w:contextualSpacing/>
              <w:rPr>
                <w:sz w:val="16"/>
                <w:szCs w:val="16"/>
              </w:rPr>
            </w:pPr>
            <w:r w:rsidRPr="00872D7E">
              <w:rPr>
                <w:sz w:val="16"/>
                <w:szCs w:val="16"/>
              </w:rPr>
              <w:t>16</w:t>
            </w:r>
          </w:p>
        </w:tc>
        <w:tc>
          <w:tcPr>
            <w:tcW w:w="1095" w:type="pct"/>
            <w:hideMark/>
          </w:tcPr>
          <w:p w14:paraId="1736B7AD" w14:textId="77777777" w:rsidR="00D4647F" w:rsidRPr="00872D7E" w:rsidRDefault="00D4647F" w:rsidP="00D4647F">
            <w:pPr>
              <w:contextualSpacing/>
              <w:rPr>
                <w:sz w:val="16"/>
                <w:szCs w:val="16"/>
              </w:rPr>
            </w:pPr>
            <w:r w:rsidRPr="00872D7E">
              <w:rPr>
                <w:sz w:val="16"/>
                <w:szCs w:val="16"/>
              </w:rPr>
              <w:t>Diğer alacaklar</w:t>
            </w:r>
          </w:p>
        </w:tc>
        <w:tc>
          <w:tcPr>
            <w:tcW w:w="617" w:type="pct"/>
            <w:tcBorders>
              <w:top w:val="nil"/>
              <w:left w:val="nil"/>
              <w:bottom w:val="nil"/>
              <w:right w:val="nil"/>
            </w:tcBorders>
            <w:shd w:val="clear" w:color="auto" w:fill="auto"/>
            <w:vAlign w:val="bottom"/>
          </w:tcPr>
          <w:p w14:paraId="29313001" w14:textId="6D084418" w:rsidR="00D4647F" w:rsidRPr="00872D7E" w:rsidRDefault="00D4647F" w:rsidP="00D4647F">
            <w:pPr>
              <w:jc w:val="right"/>
              <w:rPr>
                <w:sz w:val="16"/>
                <w:szCs w:val="16"/>
              </w:rPr>
            </w:pPr>
            <w:r w:rsidRPr="00872D7E">
              <w:rPr>
                <w:sz w:val="16"/>
                <w:szCs w:val="16"/>
              </w:rPr>
              <w:t>991.124</w:t>
            </w:r>
          </w:p>
        </w:tc>
        <w:tc>
          <w:tcPr>
            <w:tcW w:w="620" w:type="pct"/>
            <w:tcBorders>
              <w:top w:val="nil"/>
              <w:left w:val="nil"/>
              <w:bottom w:val="nil"/>
              <w:right w:val="nil"/>
            </w:tcBorders>
            <w:shd w:val="clear" w:color="auto" w:fill="auto"/>
            <w:vAlign w:val="bottom"/>
          </w:tcPr>
          <w:p w14:paraId="5F0B6D21" w14:textId="712941AE" w:rsidR="00D4647F" w:rsidRPr="00872D7E" w:rsidRDefault="00D4647F" w:rsidP="00D4647F">
            <w:pPr>
              <w:jc w:val="right"/>
              <w:rPr>
                <w:sz w:val="16"/>
                <w:szCs w:val="16"/>
              </w:rPr>
            </w:pPr>
            <w:r w:rsidRPr="00872D7E">
              <w:rPr>
                <w:sz w:val="16"/>
                <w:szCs w:val="16"/>
              </w:rPr>
              <w:t>-</w:t>
            </w:r>
          </w:p>
        </w:tc>
        <w:tc>
          <w:tcPr>
            <w:tcW w:w="565" w:type="pct"/>
            <w:tcBorders>
              <w:top w:val="nil"/>
              <w:left w:val="nil"/>
              <w:bottom w:val="nil"/>
              <w:right w:val="nil"/>
            </w:tcBorders>
            <w:shd w:val="clear" w:color="auto" w:fill="auto"/>
            <w:vAlign w:val="bottom"/>
          </w:tcPr>
          <w:p w14:paraId="546671DD" w14:textId="56C99EE1" w:rsidR="00D4647F" w:rsidRPr="00872D7E" w:rsidRDefault="00D4647F" w:rsidP="00D4647F">
            <w:pPr>
              <w:jc w:val="right"/>
              <w:rPr>
                <w:sz w:val="16"/>
                <w:szCs w:val="16"/>
              </w:rPr>
            </w:pPr>
            <w:r w:rsidRPr="00872D7E">
              <w:rPr>
                <w:sz w:val="16"/>
                <w:szCs w:val="16"/>
              </w:rPr>
              <w:t>991.124</w:t>
            </w:r>
          </w:p>
        </w:tc>
        <w:tc>
          <w:tcPr>
            <w:tcW w:w="553" w:type="pct"/>
            <w:tcBorders>
              <w:top w:val="nil"/>
              <w:left w:val="nil"/>
              <w:bottom w:val="nil"/>
              <w:right w:val="nil"/>
            </w:tcBorders>
            <w:shd w:val="clear" w:color="auto" w:fill="auto"/>
            <w:vAlign w:val="bottom"/>
          </w:tcPr>
          <w:p w14:paraId="792B142E" w14:textId="0FE10285" w:rsidR="00D4647F" w:rsidRPr="00872D7E" w:rsidRDefault="00D4647F" w:rsidP="00D4647F">
            <w:pPr>
              <w:jc w:val="right"/>
              <w:rPr>
                <w:sz w:val="16"/>
                <w:szCs w:val="16"/>
              </w:rPr>
            </w:pPr>
            <w:r w:rsidRPr="00872D7E">
              <w:rPr>
                <w:sz w:val="16"/>
                <w:szCs w:val="16"/>
              </w:rPr>
              <w:t>-</w:t>
            </w:r>
          </w:p>
        </w:tc>
        <w:tc>
          <w:tcPr>
            <w:tcW w:w="632" w:type="pct"/>
            <w:tcBorders>
              <w:top w:val="nil"/>
              <w:left w:val="nil"/>
              <w:bottom w:val="nil"/>
              <w:right w:val="nil"/>
            </w:tcBorders>
            <w:shd w:val="clear" w:color="auto" w:fill="auto"/>
            <w:vAlign w:val="bottom"/>
          </w:tcPr>
          <w:p w14:paraId="04B2344E" w14:textId="462A678E" w:rsidR="00D4647F" w:rsidRPr="00872D7E" w:rsidRDefault="00D4647F" w:rsidP="00D4647F">
            <w:pPr>
              <w:jc w:val="right"/>
              <w:rPr>
                <w:sz w:val="16"/>
                <w:szCs w:val="16"/>
              </w:rPr>
            </w:pPr>
            <w:r w:rsidRPr="00872D7E">
              <w:rPr>
                <w:sz w:val="16"/>
                <w:szCs w:val="16"/>
              </w:rPr>
              <w:t>569.330</w:t>
            </w:r>
          </w:p>
        </w:tc>
        <w:tc>
          <w:tcPr>
            <w:tcW w:w="698" w:type="pct"/>
            <w:tcBorders>
              <w:top w:val="nil"/>
              <w:left w:val="nil"/>
              <w:bottom w:val="nil"/>
              <w:right w:val="nil"/>
            </w:tcBorders>
            <w:shd w:val="clear" w:color="auto" w:fill="auto"/>
            <w:vAlign w:val="bottom"/>
          </w:tcPr>
          <w:p w14:paraId="438D5719" w14:textId="63D3981D" w:rsidR="00D4647F" w:rsidRPr="00872D7E" w:rsidRDefault="00D4647F" w:rsidP="00D4647F">
            <w:pPr>
              <w:jc w:val="right"/>
              <w:rPr>
                <w:sz w:val="16"/>
                <w:szCs w:val="16"/>
              </w:rPr>
            </w:pPr>
            <w:r w:rsidRPr="00872D7E">
              <w:rPr>
                <w:sz w:val="16"/>
                <w:szCs w:val="16"/>
              </w:rPr>
              <w:t>%57,44</w:t>
            </w:r>
          </w:p>
        </w:tc>
      </w:tr>
      <w:tr w:rsidR="00D4647F" w:rsidRPr="00872D7E" w14:paraId="40776C9B" w14:textId="77777777" w:rsidTr="002F0CF7">
        <w:trPr>
          <w:trHeight w:val="113"/>
        </w:trPr>
        <w:tc>
          <w:tcPr>
            <w:tcW w:w="218" w:type="pct"/>
            <w:tcBorders>
              <w:bottom w:val="single" w:sz="4" w:space="0" w:color="auto"/>
            </w:tcBorders>
            <w:hideMark/>
          </w:tcPr>
          <w:p w14:paraId="3212E0E2" w14:textId="77777777" w:rsidR="00D4647F" w:rsidRPr="00872D7E" w:rsidRDefault="00D4647F" w:rsidP="00D4647F">
            <w:pPr>
              <w:contextualSpacing/>
              <w:rPr>
                <w:sz w:val="16"/>
                <w:szCs w:val="16"/>
              </w:rPr>
            </w:pPr>
            <w:r w:rsidRPr="00872D7E">
              <w:rPr>
                <w:sz w:val="16"/>
                <w:szCs w:val="16"/>
              </w:rPr>
              <w:t>17</w:t>
            </w:r>
          </w:p>
        </w:tc>
        <w:tc>
          <w:tcPr>
            <w:tcW w:w="1095" w:type="pct"/>
            <w:tcBorders>
              <w:bottom w:val="single" w:sz="4" w:space="0" w:color="auto"/>
            </w:tcBorders>
            <w:hideMark/>
          </w:tcPr>
          <w:p w14:paraId="194A0C08" w14:textId="77777777" w:rsidR="00D4647F" w:rsidRPr="00872D7E" w:rsidRDefault="00D4647F" w:rsidP="00D4647F">
            <w:pPr>
              <w:contextualSpacing/>
              <w:rPr>
                <w:sz w:val="16"/>
                <w:szCs w:val="16"/>
              </w:rPr>
            </w:pPr>
            <w:r w:rsidRPr="00872D7E">
              <w:rPr>
                <w:sz w:val="16"/>
                <w:szCs w:val="16"/>
              </w:rPr>
              <w:t>Hisse senedi yatırımları</w:t>
            </w:r>
          </w:p>
        </w:tc>
        <w:tc>
          <w:tcPr>
            <w:tcW w:w="617" w:type="pct"/>
            <w:tcBorders>
              <w:top w:val="nil"/>
              <w:left w:val="nil"/>
              <w:bottom w:val="single" w:sz="4" w:space="0" w:color="auto"/>
              <w:right w:val="nil"/>
            </w:tcBorders>
            <w:shd w:val="clear" w:color="auto" w:fill="auto"/>
            <w:vAlign w:val="bottom"/>
          </w:tcPr>
          <w:p w14:paraId="48BC3EC9" w14:textId="477F6F18" w:rsidR="00D4647F" w:rsidRPr="00872D7E" w:rsidRDefault="00D4647F" w:rsidP="00D4647F">
            <w:pPr>
              <w:jc w:val="right"/>
              <w:rPr>
                <w:sz w:val="16"/>
                <w:szCs w:val="16"/>
              </w:rPr>
            </w:pPr>
            <w:r w:rsidRPr="00872D7E">
              <w:rPr>
                <w:sz w:val="16"/>
                <w:szCs w:val="16"/>
              </w:rPr>
              <w:t>1.265</w:t>
            </w:r>
          </w:p>
        </w:tc>
        <w:tc>
          <w:tcPr>
            <w:tcW w:w="620" w:type="pct"/>
            <w:tcBorders>
              <w:top w:val="nil"/>
              <w:left w:val="nil"/>
              <w:bottom w:val="single" w:sz="4" w:space="0" w:color="auto"/>
              <w:right w:val="nil"/>
            </w:tcBorders>
            <w:shd w:val="clear" w:color="auto" w:fill="auto"/>
            <w:vAlign w:val="bottom"/>
          </w:tcPr>
          <w:p w14:paraId="78C1817A" w14:textId="7ED5CE65" w:rsidR="00D4647F" w:rsidRPr="00872D7E" w:rsidRDefault="00D4647F" w:rsidP="00D4647F">
            <w:pPr>
              <w:jc w:val="right"/>
              <w:rPr>
                <w:sz w:val="16"/>
                <w:szCs w:val="16"/>
              </w:rPr>
            </w:pPr>
            <w:r w:rsidRPr="00872D7E">
              <w:rPr>
                <w:sz w:val="16"/>
                <w:szCs w:val="16"/>
              </w:rPr>
              <w:t>-</w:t>
            </w:r>
          </w:p>
        </w:tc>
        <w:tc>
          <w:tcPr>
            <w:tcW w:w="565" w:type="pct"/>
            <w:tcBorders>
              <w:top w:val="nil"/>
              <w:left w:val="nil"/>
              <w:bottom w:val="single" w:sz="4" w:space="0" w:color="auto"/>
              <w:right w:val="nil"/>
            </w:tcBorders>
            <w:shd w:val="clear" w:color="auto" w:fill="auto"/>
            <w:vAlign w:val="bottom"/>
          </w:tcPr>
          <w:p w14:paraId="32912B12" w14:textId="6B5C015C" w:rsidR="00D4647F" w:rsidRPr="00872D7E" w:rsidRDefault="00D4647F" w:rsidP="00D4647F">
            <w:pPr>
              <w:jc w:val="right"/>
              <w:rPr>
                <w:sz w:val="16"/>
                <w:szCs w:val="16"/>
              </w:rPr>
            </w:pPr>
            <w:r w:rsidRPr="00872D7E">
              <w:rPr>
                <w:sz w:val="16"/>
                <w:szCs w:val="16"/>
              </w:rPr>
              <w:t>1.265</w:t>
            </w:r>
          </w:p>
        </w:tc>
        <w:tc>
          <w:tcPr>
            <w:tcW w:w="553" w:type="pct"/>
            <w:tcBorders>
              <w:top w:val="nil"/>
              <w:left w:val="nil"/>
              <w:bottom w:val="single" w:sz="4" w:space="0" w:color="auto"/>
              <w:right w:val="nil"/>
            </w:tcBorders>
            <w:shd w:val="clear" w:color="auto" w:fill="auto"/>
            <w:vAlign w:val="bottom"/>
          </w:tcPr>
          <w:p w14:paraId="062E0DDC" w14:textId="43AD0C40" w:rsidR="00D4647F" w:rsidRPr="00872D7E" w:rsidRDefault="00D4647F" w:rsidP="00D4647F">
            <w:pPr>
              <w:jc w:val="right"/>
              <w:rPr>
                <w:sz w:val="16"/>
                <w:szCs w:val="16"/>
              </w:rPr>
            </w:pPr>
            <w:r w:rsidRPr="00872D7E">
              <w:rPr>
                <w:sz w:val="16"/>
                <w:szCs w:val="16"/>
              </w:rPr>
              <w:t>-</w:t>
            </w:r>
          </w:p>
        </w:tc>
        <w:tc>
          <w:tcPr>
            <w:tcW w:w="632" w:type="pct"/>
            <w:tcBorders>
              <w:top w:val="nil"/>
              <w:left w:val="nil"/>
              <w:bottom w:val="single" w:sz="4" w:space="0" w:color="auto"/>
              <w:right w:val="nil"/>
            </w:tcBorders>
            <w:shd w:val="clear" w:color="auto" w:fill="auto"/>
            <w:vAlign w:val="bottom"/>
          </w:tcPr>
          <w:p w14:paraId="2FD66CDE" w14:textId="60BBC765" w:rsidR="00D4647F" w:rsidRPr="00872D7E" w:rsidRDefault="00D4647F" w:rsidP="00D4647F">
            <w:pPr>
              <w:jc w:val="right"/>
              <w:rPr>
                <w:sz w:val="16"/>
                <w:szCs w:val="16"/>
              </w:rPr>
            </w:pPr>
            <w:r w:rsidRPr="00872D7E">
              <w:rPr>
                <w:sz w:val="16"/>
                <w:szCs w:val="16"/>
              </w:rPr>
              <w:t>1.265</w:t>
            </w:r>
          </w:p>
        </w:tc>
        <w:tc>
          <w:tcPr>
            <w:tcW w:w="698" w:type="pct"/>
            <w:tcBorders>
              <w:top w:val="nil"/>
              <w:left w:val="nil"/>
              <w:bottom w:val="single" w:sz="4" w:space="0" w:color="auto"/>
              <w:right w:val="nil"/>
            </w:tcBorders>
            <w:shd w:val="clear" w:color="auto" w:fill="auto"/>
            <w:vAlign w:val="bottom"/>
          </w:tcPr>
          <w:p w14:paraId="501B401D" w14:textId="1EDD46DC" w:rsidR="00D4647F" w:rsidRPr="00872D7E" w:rsidRDefault="00D4647F" w:rsidP="00D4647F">
            <w:pPr>
              <w:jc w:val="right"/>
              <w:rPr>
                <w:sz w:val="16"/>
                <w:szCs w:val="16"/>
              </w:rPr>
            </w:pPr>
            <w:r w:rsidRPr="00872D7E">
              <w:rPr>
                <w:sz w:val="16"/>
                <w:szCs w:val="16"/>
              </w:rPr>
              <w:t>%100,00</w:t>
            </w:r>
          </w:p>
        </w:tc>
      </w:tr>
      <w:tr w:rsidR="00D4647F" w:rsidRPr="00872D7E" w14:paraId="5D608CE3" w14:textId="77777777" w:rsidTr="002F0CF7">
        <w:trPr>
          <w:trHeight w:val="113"/>
        </w:trPr>
        <w:tc>
          <w:tcPr>
            <w:tcW w:w="218" w:type="pct"/>
            <w:tcBorders>
              <w:top w:val="single" w:sz="4" w:space="0" w:color="auto"/>
              <w:bottom w:val="single" w:sz="12" w:space="0" w:color="auto"/>
            </w:tcBorders>
            <w:hideMark/>
          </w:tcPr>
          <w:p w14:paraId="408E4881" w14:textId="77777777" w:rsidR="00D4647F" w:rsidRPr="00872D7E" w:rsidRDefault="00D4647F" w:rsidP="00D4647F">
            <w:pPr>
              <w:contextualSpacing/>
              <w:rPr>
                <w:b/>
                <w:sz w:val="16"/>
                <w:szCs w:val="16"/>
              </w:rPr>
            </w:pPr>
            <w:r w:rsidRPr="00872D7E">
              <w:rPr>
                <w:b/>
                <w:sz w:val="16"/>
                <w:szCs w:val="16"/>
              </w:rPr>
              <w:t>18</w:t>
            </w:r>
          </w:p>
        </w:tc>
        <w:tc>
          <w:tcPr>
            <w:tcW w:w="1095" w:type="pct"/>
            <w:tcBorders>
              <w:top w:val="single" w:sz="4" w:space="0" w:color="auto"/>
              <w:bottom w:val="single" w:sz="12" w:space="0" w:color="auto"/>
            </w:tcBorders>
            <w:hideMark/>
          </w:tcPr>
          <w:p w14:paraId="2D8060AB" w14:textId="77777777" w:rsidR="00D4647F" w:rsidRPr="00872D7E" w:rsidRDefault="00D4647F" w:rsidP="00D4647F">
            <w:pPr>
              <w:contextualSpacing/>
              <w:rPr>
                <w:b/>
                <w:sz w:val="16"/>
                <w:szCs w:val="16"/>
              </w:rPr>
            </w:pPr>
            <w:r w:rsidRPr="00872D7E">
              <w:rPr>
                <w:b/>
                <w:sz w:val="16"/>
                <w:szCs w:val="16"/>
              </w:rPr>
              <w:t>Toplam</w:t>
            </w:r>
          </w:p>
        </w:tc>
        <w:tc>
          <w:tcPr>
            <w:tcW w:w="617" w:type="pct"/>
            <w:tcBorders>
              <w:top w:val="single" w:sz="4" w:space="0" w:color="auto"/>
              <w:left w:val="nil"/>
              <w:bottom w:val="single" w:sz="12" w:space="0" w:color="auto"/>
              <w:right w:val="nil"/>
            </w:tcBorders>
            <w:shd w:val="clear" w:color="auto" w:fill="auto"/>
            <w:vAlign w:val="bottom"/>
          </w:tcPr>
          <w:p w14:paraId="310957DD" w14:textId="29F41F3E" w:rsidR="00D4647F" w:rsidRPr="00872D7E" w:rsidRDefault="00D4647F" w:rsidP="00D4647F">
            <w:pPr>
              <w:jc w:val="right"/>
              <w:rPr>
                <w:b/>
                <w:bCs/>
                <w:sz w:val="16"/>
                <w:szCs w:val="16"/>
              </w:rPr>
            </w:pPr>
            <w:r w:rsidRPr="00872D7E">
              <w:rPr>
                <w:b/>
                <w:bCs/>
                <w:sz w:val="16"/>
                <w:szCs w:val="16"/>
              </w:rPr>
              <w:t>21.712.890</w:t>
            </w:r>
          </w:p>
        </w:tc>
        <w:tc>
          <w:tcPr>
            <w:tcW w:w="620" w:type="pct"/>
            <w:tcBorders>
              <w:top w:val="single" w:sz="4" w:space="0" w:color="auto"/>
              <w:left w:val="nil"/>
              <w:bottom w:val="single" w:sz="12" w:space="0" w:color="auto"/>
              <w:right w:val="nil"/>
            </w:tcBorders>
            <w:shd w:val="clear" w:color="auto" w:fill="auto"/>
            <w:vAlign w:val="bottom"/>
          </w:tcPr>
          <w:p w14:paraId="4E7C87A9" w14:textId="155F65A4" w:rsidR="00D4647F" w:rsidRPr="00872D7E" w:rsidRDefault="00D4647F" w:rsidP="00D4647F">
            <w:pPr>
              <w:jc w:val="right"/>
              <w:rPr>
                <w:b/>
                <w:bCs/>
                <w:sz w:val="16"/>
                <w:szCs w:val="16"/>
              </w:rPr>
            </w:pPr>
            <w:r w:rsidRPr="00872D7E">
              <w:rPr>
                <w:b/>
                <w:bCs/>
                <w:sz w:val="16"/>
                <w:szCs w:val="16"/>
              </w:rPr>
              <w:t>16.155.466</w:t>
            </w:r>
          </w:p>
        </w:tc>
        <w:tc>
          <w:tcPr>
            <w:tcW w:w="565" w:type="pct"/>
            <w:tcBorders>
              <w:top w:val="single" w:sz="4" w:space="0" w:color="auto"/>
              <w:left w:val="nil"/>
              <w:bottom w:val="single" w:sz="12" w:space="0" w:color="auto"/>
              <w:right w:val="nil"/>
            </w:tcBorders>
            <w:shd w:val="clear" w:color="auto" w:fill="auto"/>
            <w:vAlign w:val="bottom"/>
          </w:tcPr>
          <w:p w14:paraId="1A6D3816" w14:textId="07CB0F6F" w:rsidR="00D4647F" w:rsidRPr="00872D7E" w:rsidRDefault="00D4647F" w:rsidP="00D4647F">
            <w:pPr>
              <w:jc w:val="right"/>
              <w:rPr>
                <w:b/>
                <w:bCs/>
                <w:sz w:val="16"/>
                <w:szCs w:val="16"/>
              </w:rPr>
            </w:pPr>
            <w:r w:rsidRPr="00872D7E">
              <w:rPr>
                <w:b/>
                <w:bCs/>
                <w:sz w:val="16"/>
                <w:szCs w:val="16"/>
              </w:rPr>
              <w:t>21.712.890</w:t>
            </w:r>
          </w:p>
        </w:tc>
        <w:tc>
          <w:tcPr>
            <w:tcW w:w="553" w:type="pct"/>
            <w:tcBorders>
              <w:top w:val="single" w:sz="4" w:space="0" w:color="auto"/>
              <w:left w:val="nil"/>
              <w:bottom w:val="single" w:sz="12" w:space="0" w:color="auto"/>
              <w:right w:val="nil"/>
            </w:tcBorders>
            <w:shd w:val="clear" w:color="auto" w:fill="auto"/>
            <w:vAlign w:val="bottom"/>
          </w:tcPr>
          <w:p w14:paraId="6B0D67BA" w14:textId="141BDA69" w:rsidR="00D4647F" w:rsidRPr="00872D7E" w:rsidRDefault="00D4647F" w:rsidP="00D4647F">
            <w:pPr>
              <w:jc w:val="right"/>
              <w:rPr>
                <w:b/>
                <w:bCs/>
                <w:sz w:val="16"/>
                <w:szCs w:val="16"/>
              </w:rPr>
            </w:pPr>
            <w:r w:rsidRPr="00872D7E">
              <w:rPr>
                <w:b/>
                <w:bCs/>
                <w:sz w:val="16"/>
                <w:szCs w:val="16"/>
              </w:rPr>
              <w:t>3.493.828</w:t>
            </w:r>
          </w:p>
        </w:tc>
        <w:tc>
          <w:tcPr>
            <w:tcW w:w="632" w:type="pct"/>
            <w:tcBorders>
              <w:top w:val="single" w:sz="4" w:space="0" w:color="auto"/>
              <w:left w:val="nil"/>
              <w:bottom w:val="single" w:sz="12" w:space="0" w:color="auto"/>
              <w:right w:val="nil"/>
            </w:tcBorders>
            <w:shd w:val="clear" w:color="auto" w:fill="auto"/>
            <w:vAlign w:val="bottom"/>
          </w:tcPr>
          <w:p w14:paraId="7C512C33" w14:textId="0B96B3C2" w:rsidR="00D4647F" w:rsidRPr="00872D7E" w:rsidRDefault="00D4647F" w:rsidP="00D4647F">
            <w:pPr>
              <w:jc w:val="right"/>
              <w:rPr>
                <w:b/>
                <w:bCs/>
                <w:sz w:val="16"/>
                <w:szCs w:val="16"/>
              </w:rPr>
            </w:pPr>
            <w:r w:rsidRPr="00872D7E">
              <w:rPr>
                <w:b/>
                <w:bCs/>
                <w:sz w:val="16"/>
                <w:szCs w:val="16"/>
              </w:rPr>
              <w:t>14.607.187</w:t>
            </w:r>
          </w:p>
        </w:tc>
        <w:tc>
          <w:tcPr>
            <w:tcW w:w="698" w:type="pct"/>
            <w:tcBorders>
              <w:top w:val="single" w:sz="4" w:space="0" w:color="auto"/>
              <w:left w:val="nil"/>
              <w:bottom w:val="single" w:sz="12" w:space="0" w:color="auto"/>
              <w:right w:val="nil"/>
            </w:tcBorders>
            <w:shd w:val="clear" w:color="auto" w:fill="auto"/>
            <w:vAlign w:val="bottom"/>
          </w:tcPr>
          <w:p w14:paraId="51199471" w14:textId="77777777" w:rsidR="00D4647F" w:rsidRPr="00872D7E" w:rsidRDefault="00D4647F" w:rsidP="00D4647F">
            <w:pPr>
              <w:jc w:val="right"/>
              <w:rPr>
                <w:b/>
                <w:bCs/>
                <w:sz w:val="16"/>
                <w:szCs w:val="16"/>
              </w:rPr>
            </w:pPr>
          </w:p>
        </w:tc>
      </w:tr>
    </w:tbl>
    <w:p w14:paraId="5C09D880" w14:textId="77777777" w:rsidR="00DC64F5" w:rsidRPr="00872D7E" w:rsidRDefault="00DC64F5" w:rsidP="00DC64F5"/>
    <w:p w14:paraId="55C2C433" w14:textId="77777777" w:rsidR="00F405AE" w:rsidRPr="00872D7E" w:rsidRDefault="00F405AE">
      <w:pPr>
        <w:rPr>
          <w:b/>
          <w:szCs w:val="20"/>
        </w:rPr>
      </w:pPr>
      <w:r w:rsidRPr="00872D7E">
        <w:rPr>
          <w:b/>
          <w:szCs w:val="20"/>
        </w:rPr>
        <w:br w:type="page"/>
      </w:r>
    </w:p>
    <w:p w14:paraId="78CEF500" w14:textId="3C8858C8" w:rsidR="00DC64F5" w:rsidRPr="00872D7E" w:rsidRDefault="00DC64F5" w:rsidP="00DC64F5">
      <w:pPr>
        <w:pStyle w:val="BodyTextIndent"/>
        <w:widowControl w:val="0"/>
        <w:ind w:firstLine="0"/>
        <w:rPr>
          <w:b/>
          <w:szCs w:val="20"/>
        </w:rPr>
      </w:pPr>
      <w:r w:rsidRPr="00872D7E">
        <w:rPr>
          <w:b/>
          <w:szCs w:val="20"/>
        </w:rPr>
        <w:lastRenderedPageBreak/>
        <w:t>MALİ BÜNYEYE VE RİSK YÖNETİMİNE İLİŞKİN BİLGİLER (Devamı)</w:t>
      </w:r>
    </w:p>
    <w:p w14:paraId="3699F537" w14:textId="77777777" w:rsidR="00DC64F5" w:rsidRPr="00872D7E" w:rsidRDefault="00DC64F5" w:rsidP="00DC64F5">
      <w:pPr>
        <w:widowControl w:val="0"/>
        <w:autoSpaceDE w:val="0"/>
        <w:autoSpaceDN w:val="0"/>
        <w:adjustRightInd w:val="0"/>
        <w:jc w:val="both"/>
        <w:rPr>
          <w:szCs w:val="20"/>
        </w:rPr>
      </w:pPr>
    </w:p>
    <w:p w14:paraId="39DCA109" w14:textId="238D315B" w:rsidR="000E463B" w:rsidRPr="00872D7E" w:rsidRDefault="00CB58D3" w:rsidP="002F0CF7">
      <w:pPr>
        <w:ind w:left="851" w:hanging="851"/>
        <w:rPr>
          <w:b/>
          <w:bCs/>
        </w:rPr>
      </w:pPr>
      <w:r w:rsidRPr="00872D7E">
        <w:rPr>
          <w:b/>
          <w:bCs/>
        </w:rPr>
        <w:t>I</w:t>
      </w:r>
      <w:r w:rsidR="000E463B" w:rsidRPr="00872D7E">
        <w:rPr>
          <w:b/>
          <w:bCs/>
        </w:rPr>
        <w:t>X.</w:t>
      </w:r>
      <w:r w:rsidR="000E463B" w:rsidRPr="00872D7E">
        <w:rPr>
          <w:b/>
          <w:bCs/>
        </w:rPr>
        <w:tab/>
        <w:t>RİSK YÖNETİMİNE İLİŞKİN AÇIKLAMALAR (Devamı)</w:t>
      </w:r>
    </w:p>
    <w:p w14:paraId="656F9411" w14:textId="78FB9859" w:rsidR="00DC64F5" w:rsidRPr="00872D7E" w:rsidRDefault="008C5672" w:rsidP="002F0CF7">
      <w:pPr>
        <w:spacing w:before="120" w:after="120"/>
        <w:ind w:left="851" w:hanging="851"/>
        <w:rPr>
          <w:b/>
          <w:szCs w:val="20"/>
        </w:rPr>
      </w:pPr>
      <w:r w:rsidRPr="00872D7E">
        <w:rPr>
          <w:b/>
          <w:szCs w:val="20"/>
        </w:rPr>
        <w:t>c</w:t>
      </w:r>
      <w:r w:rsidR="00DC64F5" w:rsidRPr="00872D7E">
        <w:rPr>
          <w:b/>
          <w:szCs w:val="20"/>
        </w:rPr>
        <w:t>.3.</w:t>
      </w:r>
      <w:r w:rsidRPr="00872D7E">
        <w:rPr>
          <w:b/>
          <w:szCs w:val="20"/>
        </w:rPr>
        <w:t>2</w:t>
      </w:r>
      <w:r w:rsidR="00DC64F5" w:rsidRPr="00872D7E">
        <w:rPr>
          <w:b/>
          <w:szCs w:val="20"/>
        </w:rPr>
        <w:t>.</w:t>
      </w:r>
      <w:r w:rsidR="00DC64F5" w:rsidRPr="00872D7E">
        <w:rPr>
          <w:b/>
          <w:szCs w:val="20"/>
        </w:rPr>
        <w:tab/>
        <w:t>Maruz Kalınan Kredi Riski ve Kredi Riski Azaltım Etkileri (Devamı):</w:t>
      </w:r>
    </w:p>
    <w:tbl>
      <w:tblPr>
        <w:tblStyle w:val="TableGrid"/>
        <w:tblW w:w="509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0"/>
        <w:gridCol w:w="2191"/>
        <w:gridCol w:w="1107"/>
        <w:gridCol w:w="1247"/>
        <w:gridCol w:w="1105"/>
        <w:gridCol w:w="1107"/>
        <w:gridCol w:w="1247"/>
        <w:gridCol w:w="1372"/>
      </w:tblGrid>
      <w:tr w:rsidR="00DC64F5" w:rsidRPr="00872D7E" w14:paraId="5A39FF21" w14:textId="77777777" w:rsidTr="002F0CF7">
        <w:trPr>
          <w:trHeight w:val="113"/>
        </w:trPr>
        <w:tc>
          <w:tcPr>
            <w:tcW w:w="1340" w:type="pct"/>
            <w:gridSpan w:val="2"/>
            <w:tcBorders>
              <w:top w:val="single" w:sz="4" w:space="0" w:color="auto"/>
            </w:tcBorders>
            <w:noWrap/>
            <w:vAlign w:val="center"/>
            <w:hideMark/>
          </w:tcPr>
          <w:p w14:paraId="04902B11" w14:textId="77777777" w:rsidR="00DC64F5" w:rsidRPr="00872D7E" w:rsidRDefault="00DC64F5" w:rsidP="005A0808">
            <w:pPr>
              <w:ind w:firstLine="426"/>
              <w:contextualSpacing/>
              <w:rPr>
                <w:b/>
                <w:sz w:val="16"/>
                <w:szCs w:val="16"/>
              </w:rPr>
            </w:pPr>
            <w:r w:rsidRPr="00872D7E">
              <w:rPr>
                <w:b/>
                <w:sz w:val="16"/>
                <w:szCs w:val="16"/>
              </w:rPr>
              <w:t>1 Ocak 2024</w:t>
            </w:r>
          </w:p>
        </w:tc>
        <w:tc>
          <w:tcPr>
            <w:tcW w:w="1199" w:type="pct"/>
            <w:gridSpan w:val="2"/>
            <w:tcBorders>
              <w:top w:val="single" w:sz="4" w:space="0" w:color="auto"/>
              <w:bottom w:val="single" w:sz="4" w:space="0" w:color="auto"/>
            </w:tcBorders>
            <w:noWrap/>
            <w:vAlign w:val="bottom"/>
          </w:tcPr>
          <w:p w14:paraId="29D0EB51" w14:textId="77777777" w:rsidR="00DC64F5" w:rsidRPr="00872D7E" w:rsidRDefault="00DC64F5" w:rsidP="005A0808">
            <w:pPr>
              <w:contextualSpacing/>
              <w:jc w:val="center"/>
              <w:rPr>
                <w:b/>
                <w:sz w:val="16"/>
                <w:szCs w:val="16"/>
              </w:rPr>
            </w:pPr>
            <w:r w:rsidRPr="00872D7E">
              <w:rPr>
                <w:b/>
                <w:sz w:val="16"/>
                <w:szCs w:val="16"/>
              </w:rPr>
              <w:t>Kredi dönüşüm oranı ve kredi riski azaltımından önce alacak tutarı</w:t>
            </w:r>
          </w:p>
        </w:tc>
        <w:tc>
          <w:tcPr>
            <w:tcW w:w="1127" w:type="pct"/>
            <w:gridSpan w:val="2"/>
            <w:tcBorders>
              <w:top w:val="single" w:sz="4" w:space="0" w:color="auto"/>
              <w:bottom w:val="single" w:sz="4" w:space="0" w:color="auto"/>
            </w:tcBorders>
            <w:noWrap/>
            <w:vAlign w:val="bottom"/>
          </w:tcPr>
          <w:p w14:paraId="4EE0487C" w14:textId="77777777" w:rsidR="00DC64F5" w:rsidRPr="00872D7E" w:rsidRDefault="00DC64F5" w:rsidP="005A0808">
            <w:pPr>
              <w:contextualSpacing/>
              <w:jc w:val="center"/>
              <w:rPr>
                <w:b/>
                <w:sz w:val="16"/>
                <w:szCs w:val="16"/>
              </w:rPr>
            </w:pPr>
            <w:r w:rsidRPr="00872D7E">
              <w:rPr>
                <w:b/>
                <w:sz w:val="16"/>
                <w:szCs w:val="16"/>
              </w:rPr>
              <w:t>Kredi dönüşüm oranı ve kredi riski azaltımından sonra alacak tutarı</w:t>
            </w:r>
          </w:p>
        </w:tc>
        <w:tc>
          <w:tcPr>
            <w:tcW w:w="1334" w:type="pct"/>
            <w:gridSpan w:val="2"/>
            <w:tcBorders>
              <w:top w:val="single" w:sz="4" w:space="0" w:color="auto"/>
            </w:tcBorders>
            <w:noWrap/>
            <w:vAlign w:val="bottom"/>
          </w:tcPr>
          <w:p w14:paraId="0D499085" w14:textId="77777777" w:rsidR="00DC64F5" w:rsidRPr="00872D7E" w:rsidRDefault="00DC64F5" w:rsidP="005A0808">
            <w:pPr>
              <w:contextualSpacing/>
              <w:jc w:val="center"/>
              <w:rPr>
                <w:b/>
                <w:sz w:val="16"/>
                <w:szCs w:val="16"/>
              </w:rPr>
            </w:pPr>
            <w:r w:rsidRPr="00872D7E">
              <w:rPr>
                <w:b/>
                <w:sz w:val="16"/>
                <w:szCs w:val="16"/>
              </w:rPr>
              <w:t>Risk ağırlıklı tutar ve risk ağırlıklı tutar yoğunluğu</w:t>
            </w:r>
          </w:p>
        </w:tc>
      </w:tr>
      <w:tr w:rsidR="00DC64F5" w:rsidRPr="00872D7E" w14:paraId="4BE5D3B8" w14:textId="77777777" w:rsidTr="002F0CF7">
        <w:trPr>
          <w:trHeight w:val="113"/>
        </w:trPr>
        <w:tc>
          <w:tcPr>
            <w:tcW w:w="224" w:type="pct"/>
            <w:tcBorders>
              <w:top w:val="single" w:sz="4" w:space="0" w:color="auto"/>
              <w:bottom w:val="single" w:sz="4" w:space="0" w:color="auto"/>
            </w:tcBorders>
            <w:noWrap/>
            <w:hideMark/>
          </w:tcPr>
          <w:p w14:paraId="7DFD7365" w14:textId="77777777" w:rsidR="00DC64F5" w:rsidRPr="00872D7E" w:rsidRDefault="00DC64F5" w:rsidP="005A0808">
            <w:pPr>
              <w:contextualSpacing/>
              <w:rPr>
                <w:sz w:val="16"/>
                <w:szCs w:val="16"/>
              </w:rPr>
            </w:pPr>
            <w:r w:rsidRPr="00872D7E">
              <w:rPr>
                <w:sz w:val="16"/>
                <w:szCs w:val="16"/>
              </w:rPr>
              <w:t> </w:t>
            </w:r>
          </w:p>
        </w:tc>
        <w:tc>
          <w:tcPr>
            <w:tcW w:w="1116" w:type="pct"/>
            <w:tcBorders>
              <w:top w:val="single" w:sz="4" w:space="0" w:color="auto"/>
              <w:bottom w:val="single" w:sz="4" w:space="0" w:color="auto"/>
            </w:tcBorders>
            <w:noWrap/>
            <w:vAlign w:val="bottom"/>
            <w:hideMark/>
          </w:tcPr>
          <w:p w14:paraId="7F40E4CC" w14:textId="77777777" w:rsidR="00DC64F5" w:rsidRPr="00872D7E" w:rsidRDefault="00DC64F5" w:rsidP="005A0808">
            <w:pPr>
              <w:contextualSpacing/>
              <w:rPr>
                <w:b/>
                <w:sz w:val="16"/>
                <w:szCs w:val="16"/>
              </w:rPr>
            </w:pPr>
            <w:r w:rsidRPr="00872D7E">
              <w:rPr>
                <w:b/>
                <w:sz w:val="16"/>
                <w:szCs w:val="16"/>
              </w:rPr>
              <w:t>Risk sınıfları</w:t>
            </w:r>
          </w:p>
        </w:tc>
        <w:tc>
          <w:tcPr>
            <w:tcW w:w="564" w:type="pct"/>
            <w:tcBorders>
              <w:top w:val="single" w:sz="4" w:space="0" w:color="auto"/>
              <w:bottom w:val="single" w:sz="4" w:space="0" w:color="auto"/>
            </w:tcBorders>
            <w:vAlign w:val="bottom"/>
            <w:hideMark/>
          </w:tcPr>
          <w:p w14:paraId="779650BB" w14:textId="77777777" w:rsidR="00DC64F5" w:rsidRPr="00872D7E" w:rsidRDefault="00DC64F5" w:rsidP="005A0808">
            <w:pPr>
              <w:contextualSpacing/>
              <w:jc w:val="right"/>
              <w:rPr>
                <w:b/>
                <w:sz w:val="16"/>
                <w:szCs w:val="16"/>
              </w:rPr>
            </w:pPr>
            <w:r w:rsidRPr="00872D7E">
              <w:rPr>
                <w:b/>
                <w:sz w:val="16"/>
                <w:szCs w:val="16"/>
              </w:rPr>
              <w:t>Bilanço içi tutar</w:t>
            </w:r>
          </w:p>
        </w:tc>
        <w:tc>
          <w:tcPr>
            <w:tcW w:w="635" w:type="pct"/>
            <w:tcBorders>
              <w:top w:val="single" w:sz="4" w:space="0" w:color="auto"/>
              <w:bottom w:val="single" w:sz="4" w:space="0" w:color="auto"/>
            </w:tcBorders>
            <w:vAlign w:val="bottom"/>
            <w:hideMark/>
          </w:tcPr>
          <w:p w14:paraId="5CA4020E" w14:textId="77777777" w:rsidR="00DC64F5" w:rsidRPr="00872D7E" w:rsidRDefault="00DC64F5" w:rsidP="005A0808">
            <w:pPr>
              <w:contextualSpacing/>
              <w:jc w:val="right"/>
              <w:rPr>
                <w:b/>
                <w:sz w:val="16"/>
                <w:szCs w:val="16"/>
              </w:rPr>
            </w:pPr>
            <w:r w:rsidRPr="00872D7E">
              <w:rPr>
                <w:b/>
                <w:sz w:val="16"/>
                <w:szCs w:val="16"/>
              </w:rPr>
              <w:t>Bilanço dışı tutar</w:t>
            </w:r>
          </w:p>
        </w:tc>
        <w:tc>
          <w:tcPr>
            <w:tcW w:w="563" w:type="pct"/>
            <w:tcBorders>
              <w:top w:val="single" w:sz="4" w:space="0" w:color="auto"/>
              <w:bottom w:val="single" w:sz="4" w:space="0" w:color="auto"/>
            </w:tcBorders>
            <w:vAlign w:val="bottom"/>
            <w:hideMark/>
          </w:tcPr>
          <w:p w14:paraId="1AEFB120" w14:textId="77777777" w:rsidR="00DC64F5" w:rsidRPr="00872D7E" w:rsidRDefault="00DC64F5" w:rsidP="005A0808">
            <w:pPr>
              <w:contextualSpacing/>
              <w:jc w:val="right"/>
              <w:rPr>
                <w:b/>
                <w:sz w:val="16"/>
                <w:szCs w:val="16"/>
              </w:rPr>
            </w:pPr>
            <w:r w:rsidRPr="00872D7E">
              <w:rPr>
                <w:b/>
                <w:sz w:val="16"/>
                <w:szCs w:val="16"/>
              </w:rPr>
              <w:t>Bilanço içi tutar</w:t>
            </w:r>
          </w:p>
        </w:tc>
        <w:tc>
          <w:tcPr>
            <w:tcW w:w="564" w:type="pct"/>
            <w:tcBorders>
              <w:top w:val="single" w:sz="4" w:space="0" w:color="auto"/>
              <w:bottom w:val="single" w:sz="4" w:space="0" w:color="auto"/>
            </w:tcBorders>
            <w:vAlign w:val="bottom"/>
            <w:hideMark/>
          </w:tcPr>
          <w:p w14:paraId="786ACA86" w14:textId="77777777" w:rsidR="00DC64F5" w:rsidRPr="00872D7E" w:rsidRDefault="00DC64F5" w:rsidP="005A0808">
            <w:pPr>
              <w:contextualSpacing/>
              <w:jc w:val="right"/>
              <w:rPr>
                <w:b/>
                <w:sz w:val="16"/>
                <w:szCs w:val="16"/>
              </w:rPr>
            </w:pPr>
            <w:r w:rsidRPr="00872D7E">
              <w:rPr>
                <w:b/>
                <w:sz w:val="16"/>
                <w:szCs w:val="16"/>
              </w:rPr>
              <w:t>Bilanço dışı tutar</w:t>
            </w:r>
          </w:p>
        </w:tc>
        <w:tc>
          <w:tcPr>
            <w:tcW w:w="635" w:type="pct"/>
            <w:tcBorders>
              <w:top w:val="single" w:sz="4" w:space="0" w:color="auto"/>
              <w:bottom w:val="single" w:sz="4" w:space="0" w:color="auto"/>
            </w:tcBorders>
            <w:vAlign w:val="bottom"/>
            <w:hideMark/>
          </w:tcPr>
          <w:p w14:paraId="33E875D6" w14:textId="77777777" w:rsidR="00DC64F5" w:rsidRPr="00872D7E" w:rsidRDefault="00DC64F5" w:rsidP="005A0808">
            <w:pPr>
              <w:contextualSpacing/>
              <w:jc w:val="right"/>
              <w:rPr>
                <w:b/>
                <w:sz w:val="16"/>
                <w:szCs w:val="16"/>
              </w:rPr>
            </w:pPr>
            <w:r w:rsidRPr="00872D7E">
              <w:rPr>
                <w:b/>
                <w:sz w:val="16"/>
                <w:szCs w:val="16"/>
              </w:rPr>
              <w:t>Risk ağırlıklı tutar</w:t>
            </w:r>
          </w:p>
        </w:tc>
        <w:tc>
          <w:tcPr>
            <w:tcW w:w="699" w:type="pct"/>
            <w:tcBorders>
              <w:top w:val="single" w:sz="4" w:space="0" w:color="auto"/>
              <w:bottom w:val="single" w:sz="4" w:space="0" w:color="auto"/>
            </w:tcBorders>
            <w:vAlign w:val="bottom"/>
            <w:hideMark/>
          </w:tcPr>
          <w:p w14:paraId="77FD4FA8" w14:textId="77777777" w:rsidR="00DC64F5" w:rsidRPr="00872D7E" w:rsidRDefault="00DC64F5" w:rsidP="005A0808">
            <w:pPr>
              <w:contextualSpacing/>
              <w:jc w:val="right"/>
              <w:rPr>
                <w:b/>
                <w:sz w:val="16"/>
                <w:szCs w:val="16"/>
              </w:rPr>
            </w:pPr>
            <w:r w:rsidRPr="00872D7E">
              <w:rPr>
                <w:b/>
                <w:sz w:val="16"/>
                <w:szCs w:val="16"/>
              </w:rPr>
              <w:t>Risk ağırlıklı tutar yoğunluğu</w:t>
            </w:r>
          </w:p>
        </w:tc>
      </w:tr>
      <w:tr w:rsidR="00D4647F" w:rsidRPr="00872D7E" w14:paraId="01B20E95" w14:textId="77777777" w:rsidTr="002F0CF7">
        <w:trPr>
          <w:trHeight w:val="113"/>
        </w:trPr>
        <w:tc>
          <w:tcPr>
            <w:tcW w:w="224" w:type="pct"/>
            <w:tcBorders>
              <w:top w:val="single" w:sz="4" w:space="0" w:color="auto"/>
            </w:tcBorders>
            <w:hideMark/>
          </w:tcPr>
          <w:p w14:paraId="4AF82511" w14:textId="77777777" w:rsidR="00D4647F" w:rsidRPr="00872D7E" w:rsidRDefault="00D4647F" w:rsidP="00D4647F">
            <w:pPr>
              <w:contextualSpacing/>
              <w:rPr>
                <w:sz w:val="16"/>
                <w:szCs w:val="16"/>
              </w:rPr>
            </w:pPr>
            <w:r w:rsidRPr="00872D7E">
              <w:rPr>
                <w:sz w:val="16"/>
                <w:szCs w:val="16"/>
              </w:rPr>
              <w:t>1</w:t>
            </w:r>
          </w:p>
        </w:tc>
        <w:tc>
          <w:tcPr>
            <w:tcW w:w="1116" w:type="pct"/>
            <w:tcBorders>
              <w:top w:val="single" w:sz="4" w:space="0" w:color="auto"/>
            </w:tcBorders>
            <w:hideMark/>
          </w:tcPr>
          <w:p w14:paraId="2CB2D43E" w14:textId="77777777" w:rsidR="00D4647F" w:rsidRPr="00872D7E" w:rsidRDefault="00D4647F" w:rsidP="00D4647F">
            <w:pPr>
              <w:contextualSpacing/>
              <w:rPr>
                <w:sz w:val="16"/>
                <w:szCs w:val="16"/>
              </w:rPr>
            </w:pPr>
            <w:r w:rsidRPr="00872D7E">
              <w:rPr>
                <w:sz w:val="16"/>
                <w:szCs w:val="16"/>
              </w:rPr>
              <w:t>Merkezi yönetimlerden veya merkez bankalarından alacaklar</w:t>
            </w:r>
          </w:p>
        </w:tc>
        <w:tc>
          <w:tcPr>
            <w:tcW w:w="564" w:type="pct"/>
            <w:tcBorders>
              <w:top w:val="nil"/>
              <w:left w:val="nil"/>
              <w:bottom w:val="nil"/>
              <w:right w:val="nil"/>
            </w:tcBorders>
            <w:shd w:val="clear" w:color="auto" w:fill="auto"/>
            <w:vAlign w:val="bottom"/>
          </w:tcPr>
          <w:p w14:paraId="63852AE8" w14:textId="61B0EBAF" w:rsidR="00D4647F" w:rsidRPr="00872D7E" w:rsidRDefault="00D4647F" w:rsidP="00D4647F">
            <w:pPr>
              <w:jc w:val="right"/>
              <w:rPr>
                <w:color w:val="000000"/>
                <w:sz w:val="16"/>
                <w:szCs w:val="16"/>
              </w:rPr>
            </w:pPr>
            <w:r w:rsidRPr="00872D7E">
              <w:rPr>
                <w:sz w:val="16"/>
                <w:szCs w:val="16"/>
              </w:rPr>
              <w:t>9.383</w:t>
            </w:r>
          </w:p>
        </w:tc>
        <w:tc>
          <w:tcPr>
            <w:tcW w:w="635" w:type="pct"/>
            <w:tcBorders>
              <w:top w:val="nil"/>
              <w:left w:val="nil"/>
              <w:bottom w:val="nil"/>
              <w:right w:val="nil"/>
            </w:tcBorders>
            <w:shd w:val="clear" w:color="auto" w:fill="auto"/>
            <w:vAlign w:val="bottom"/>
          </w:tcPr>
          <w:p w14:paraId="06CC0510" w14:textId="5B4E7E07"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5BEAF72D" w14:textId="6D45AA22" w:rsidR="00D4647F" w:rsidRPr="00872D7E" w:rsidRDefault="00D4647F" w:rsidP="00D4647F">
            <w:pPr>
              <w:jc w:val="right"/>
              <w:rPr>
                <w:color w:val="000000"/>
                <w:sz w:val="16"/>
                <w:szCs w:val="16"/>
              </w:rPr>
            </w:pPr>
            <w:r w:rsidRPr="00872D7E">
              <w:rPr>
                <w:sz w:val="16"/>
                <w:szCs w:val="16"/>
              </w:rPr>
              <w:t>9.383</w:t>
            </w:r>
          </w:p>
        </w:tc>
        <w:tc>
          <w:tcPr>
            <w:tcW w:w="564" w:type="pct"/>
            <w:tcBorders>
              <w:top w:val="nil"/>
              <w:left w:val="nil"/>
              <w:bottom w:val="nil"/>
              <w:right w:val="nil"/>
            </w:tcBorders>
            <w:shd w:val="clear" w:color="auto" w:fill="auto"/>
            <w:vAlign w:val="bottom"/>
          </w:tcPr>
          <w:p w14:paraId="6019544F" w14:textId="249CC128"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46C4482B" w14:textId="2CAAD71A" w:rsidR="00D4647F" w:rsidRPr="00872D7E" w:rsidRDefault="00D4647F" w:rsidP="00D4647F">
            <w:pPr>
              <w:jc w:val="right"/>
              <w:rPr>
                <w:color w:val="000000"/>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731181EB" w14:textId="310AC36F" w:rsidR="00D4647F" w:rsidRPr="00872D7E" w:rsidRDefault="00D4647F" w:rsidP="00D4647F">
            <w:pPr>
              <w:jc w:val="right"/>
              <w:rPr>
                <w:color w:val="000000"/>
                <w:sz w:val="16"/>
                <w:szCs w:val="16"/>
              </w:rPr>
            </w:pPr>
            <w:r w:rsidRPr="00872D7E">
              <w:rPr>
                <w:sz w:val="16"/>
                <w:szCs w:val="16"/>
              </w:rPr>
              <w:t>%0,00</w:t>
            </w:r>
          </w:p>
        </w:tc>
      </w:tr>
      <w:tr w:rsidR="00D4647F" w:rsidRPr="00872D7E" w14:paraId="476A17A3" w14:textId="77777777" w:rsidTr="002F0CF7">
        <w:trPr>
          <w:trHeight w:val="113"/>
        </w:trPr>
        <w:tc>
          <w:tcPr>
            <w:tcW w:w="224" w:type="pct"/>
            <w:hideMark/>
          </w:tcPr>
          <w:p w14:paraId="26E6277F" w14:textId="77777777" w:rsidR="00D4647F" w:rsidRPr="00872D7E" w:rsidRDefault="00D4647F" w:rsidP="00D4647F">
            <w:pPr>
              <w:contextualSpacing/>
              <w:rPr>
                <w:sz w:val="16"/>
                <w:szCs w:val="16"/>
              </w:rPr>
            </w:pPr>
            <w:r w:rsidRPr="00872D7E">
              <w:rPr>
                <w:sz w:val="16"/>
                <w:szCs w:val="16"/>
              </w:rPr>
              <w:t>2</w:t>
            </w:r>
          </w:p>
        </w:tc>
        <w:tc>
          <w:tcPr>
            <w:tcW w:w="1116" w:type="pct"/>
            <w:hideMark/>
          </w:tcPr>
          <w:p w14:paraId="668603E9" w14:textId="77777777" w:rsidR="00D4647F" w:rsidRPr="00872D7E" w:rsidRDefault="00D4647F" w:rsidP="00D4647F">
            <w:pPr>
              <w:contextualSpacing/>
              <w:rPr>
                <w:sz w:val="16"/>
                <w:szCs w:val="16"/>
              </w:rPr>
            </w:pPr>
            <w:r w:rsidRPr="00872D7E">
              <w:rPr>
                <w:sz w:val="16"/>
                <w:szCs w:val="16"/>
              </w:rPr>
              <w:t>Bölgesel yönetimlerden veya yerel yönetimlerden alacaklar</w:t>
            </w:r>
          </w:p>
        </w:tc>
        <w:tc>
          <w:tcPr>
            <w:tcW w:w="564" w:type="pct"/>
            <w:tcBorders>
              <w:top w:val="nil"/>
              <w:left w:val="nil"/>
              <w:bottom w:val="nil"/>
              <w:right w:val="nil"/>
            </w:tcBorders>
            <w:shd w:val="clear" w:color="auto" w:fill="auto"/>
            <w:vAlign w:val="bottom"/>
          </w:tcPr>
          <w:p w14:paraId="3E50EB25" w14:textId="04F83BA4"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4159BAB1" w14:textId="4214AC8A"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2A5BE062" w14:textId="2E2BF92F" w:rsidR="00D4647F" w:rsidRPr="00872D7E" w:rsidRDefault="00D4647F" w:rsidP="00D4647F">
            <w:pPr>
              <w:jc w:val="right"/>
              <w:rPr>
                <w:color w:val="000000"/>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21BBDF67" w14:textId="68034BC0"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3F76370D" w14:textId="617DF01F" w:rsidR="00D4647F" w:rsidRPr="00872D7E" w:rsidRDefault="00D4647F" w:rsidP="00D4647F">
            <w:pPr>
              <w:jc w:val="right"/>
              <w:rPr>
                <w:color w:val="000000"/>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352AD640" w14:textId="3771BA44" w:rsidR="00D4647F" w:rsidRPr="00872D7E" w:rsidRDefault="00D4647F" w:rsidP="00D4647F">
            <w:pPr>
              <w:jc w:val="right"/>
              <w:rPr>
                <w:color w:val="000000"/>
                <w:sz w:val="16"/>
                <w:szCs w:val="16"/>
              </w:rPr>
            </w:pPr>
            <w:r w:rsidRPr="00872D7E">
              <w:rPr>
                <w:sz w:val="16"/>
                <w:szCs w:val="16"/>
              </w:rPr>
              <w:t>%0,00</w:t>
            </w:r>
          </w:p>
        </w:tc>
      </w:tr>
      <w:tr w:rsidR="00D4647F" w:rsidRPr="00872D7E" w14:paraId="376CFA41" w14:textId="77777777" w:rsidTr="002F0CF7">
        <w:trPr>
          <w:trHeight w:val="113"/>
        </w:trPr>
        <w:tc>
          <w:tcPr>
            <w:tcW w:w="224" w:type="pct"/>
            <w:hideMark/>
          </w:tcPr>
          <w:p w14:paraId="4C199F82" w14:textId="77777777" w:rsidR="00D4647F" w:rsidRPr="00872D7E" w:rsidRDefault="00D4647F" w:rsidP="00D4647F">
            <w:pPr>
              <w:contextualSpacing/>
              <w:rPr>
                <w:sz w:val="16"/>
                <w:szCs w:val="16"/>
              </w:rPr>
            </w:pPr>
            <w:r w:rsidRPr="00872D7E">
              <w:rPr>
                <w:sz w:val="16"/>
                <w:szCs w:val="16"/>
              </w:rPr>
              <w:t>3</w:t>
            </w:r>
          </w:p>
        </w:tc>
        <w:tc>
          <w:tcPr>
            <w:tcW w:w="1116" w:type="pct"/>
            <w:hideMark/>
          </w:tcPr>
          <w:p w14:paraId="0E090929" w14:textId="77777777" w:rsidR="00D4647F" w:rsidRPr="00872D7E" w:rsidRDefault="00D4647F" w:rsidP="00D4647F">
            <w:pPr>
              <w:contextualSpacing/>
              <w:rPr>
                <w:sz w:val="16"/>
                <w:szCs w:val="16"/>
              </w:rPr>
            </w:pPr>
            <w:r w:rsidRPr="00872D7E">
              <w:rPr>
                <w:sz w:val="16"/>
                <w:szCs w:val="16"/>
              </w:rPr>
              <w:t>İdari birimlerden ve ticari olmayan girişimlerden alacaklar</w:t>
            </w:r>
          </w:p>
        </w:tc>
        <w:tc>
          <w:tcPr>
            <w:tcW w:w="564" w:type="pct"/>
            <w:tcBorders>
              <w:top w:val="nil"/>
              <w:left w:val="nil"/>
              <w:bottom w:val="nil"/>
              <w:right w:val="nil"/>
            </w:tcBorders>
            <w:shd w:val="clear" w:color="auto" w:fill="auto"/>
            <w:vAlign w:val="bottom"/>
          </w:tcPr>
          <w:p w14:paraId="0BB10F96" w14:textId="210396DA"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22AFAEFB" w14:textId="21BEDC00"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48D8A395" w14:textId="320AA552" w:rsidR="00D4647F" w:rsidRPr="00872D7E" w:rsidRDefault="00D4647F" w:rsidP="00D4647F">
            <w:pPr>
              <w:jc w:val="right"/>
              <w:rPr>
                <w:color w:val="000000"/>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3A086126" w14:textId="5D7512E7"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6E83B65C" w14:textId="6F631922" w:rsidR="00D4647F" w:rsidRPr="00872D7E" w:rsidRDefault="00D4647F" w:rsidP="00D4647F">
            <w:pPr>
              <w:jc w:val="right"/>
              <w:rPr>
                <w:color w:val="000000"/>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4DF7D32B" w14:textId="47C818CC" w:rsidR="00D4647F" w:rsidRPr="00872D7E" w:rsidRDefault="00D4647F" w:rsidP="00D4647F">
            <w:pPr>
              <w:jc w:val="right"/>
              <w:rPr>
                <w:color w:val="000000"/>
                <w:sz w:val="16"/>
                <w:szCs w:val="16"/>
              </w:rPr>
            </w:pPr>
            <w:r w:rsidRPr="00872D7E">
              <w:rPr>
                <w:sz w:val="16"/>
                <w:szCs w:val="16"/>
              </w:rPr>
              <w:t>%0,00</w:t>
            </w:r>
          </w:p>
        </w:tc>
      </w:tr>
      <w:tr w:rsidR="00D4647F" w:rsidRPr="00872D7E" w14:paraId="6C4DE329" w14:textId="77777777" w:rsidTr="002F0CF7">
        <w:trPr>
          <w:trHeight w:val="113"/>
        </w:trPr>
        <w:tc>
          <w:tcPr>
            <w:tcW w:w="224" w:type="pct"/>
            <w:hideMark/>
          </w:tcPr>
          <w:p w14:paraId="6AC95D16" w14:textId="77777777" w:rsidR="00D4647F" w:rsidRPr="00872D7E" w:rsidRDefault="00D4647F" w:rsidP="00D4647F">
            <w:pPr>
              <w:contextualSpacing/>
              <w:rPr>
                <w:sz w:val="16"/>
                <w:szCs w:val="16"/>
              </w:rPr>
            </w:pPr>
            <w:r w:rsidRPr="00872D7E">
              <w:rPr>
                <w:sz w:val="16"/>
                <w:szCs w:val="16"/>
              </w:rPr>
              <w:t>4</w:t>
            </w:r>
          </w:p>
        </w:tc>
        <w:tc>
          <w:tcPr>
            <w:tcW w:w="1116" w:type="pct"/>
            <w:hideMark/>
          </w:tcPr>
          <w:p w14:paraId="4A050E27" w14:textId="77777777" w:rsidR="00D4647F" w:rsidRPr="00872D7E" w:rsidRDefault="00D4647F" w:rsidP="00D4647F">
            <w:pPr>
              <w:contextualSpacing/>
              <w:rPr>
                <w:sz w:val="16"/>
                <w:szCs w:val="16"/>
              </w:rPr>
            </w:pPr>
            <w:r w:rsidRPr="00872D7E">
              <w:rPr>
                <w:sz w:val="16"/>
                <w:szCs w:val="16"/>
              </w:rPr>
              <w:t>Çok taraflı kalkınma bankalarından alacaklar</w:t>
            </w:r>
          </w:p>
        </w:tc>
        <w:tc>
          <w:tcPr>
            <w:tcW w:w="564" w:type="pct"/>
            <w:tcBorders>
              <w:top w:val="nil"/>
              <w:left w:val="nil"/>
              <w:bottom w:val="nil"/>
              <w:right w:val="nil"/>
            </w:tcBorders>
            <w:shd w:val="clear" w:color="auto" w:fill="auto"/>
            <w:vAlign w:val="bottom"/>
          </w:tcPr>
          <w:p w14:paraId="3EFCBD11" w14:textId="626C363B"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00EE1949" w14:textId="6C695364"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494CAC68" w14:textId="1FB11AFE" w:rsidR="00D4647F" w:rsidRPr="00872D7E" w:rsidRDefault="00D4647F" w:rsidP="00D4647F">
            <w:pPr>
              <w:jc w:val="right"/>
              <w:rPr>
                <w:color w:val="000000"/>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1D7EF60A" w14:textId="686538E5"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2AB19DEC" w14:textId="0E4492FE" w:rsidR="00D4647F" w:rsidRPr="00872D7E" w:rsidRDefault="00D4647F" w:rsidP="00D4647F">
            <w:pPr>
              <w:jc w:val="right"/>
              <w:rPr>
                <w:color w:val="000000"/>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7B043ABA" w14:textId="77C7E007" w:rsidR="00D4647F" w:rsidRPr="00872D7E" w:rsidRDefault="00D4647F" w:rsidP="00D4647F">
            <w:pPr>
              <w:jc w:val="right"/>
              <w:rPr>
                <w:sz w:val="16"/>
                <w:szCs w:val="16"/>
              </w:rPr>
            </w:pPr>
            <w:r w:rsidRPr="00872D7E">
              <w:rPr>
                <w:sz w:val="16"/>
                <w:szCs w:val="16"/>
              </w:rPr>
              <w:t>%0,00</w:t>
            </w:r>
          </w:p>
        </w:tc>
      </w:tr>
      <w:tr w:rsidR="00D4647F" w:rsidRPr="00872D7E" w14:paraId="76542ADE" w14:textId="77777777" w:rsidTr="002F0CF7">
        <w:trPr>
          <w:trHeight w:val="113"/>
        </w:trPr>
        <w:tc>
          <w:tcPr>
            <w:tcW w:w="224" w:type="pct"/>
            <w:hideMark/>
          </w:tcPr>
          <w:p w14:paraId="031083D3" w14:textId="77777777" w:rsidR="00D4647F" w:rsidRPr="00872D7E" w:rsidRDefault="00D4647F" w:rsidP="00D4647F">
            <w:pPr>
              <w:contextualSpacing/>
              <w:rPr>
                <w:sz w:val="16"/>
                <w:szCs w:val="16"/>
              </w:rPr>
            </w:pPr>
            <w:r w:rsidRPr="00872D7E">
              <w:rPr>
                <w:sz w:val="16"/>
                <w:szCs w:val="16"/>
              </w:rPr>
              <w:t>5</w:t>
            </w:r>
          </w:p>
        </w:tc>
        <w:tc>
          <w:tcPr>
            <w:tcW w:w="1116" w:type="pct"/>
            <w:hideMark/>
          </w:tcPr>
          <w:p w14:paraId="2B9DE6BB" w14:textId="77777777" w:rsidR="00D4647F" w:rsidRPr="00872D7E" w:rsidRDefault="00D4647F" w:rsidP="00D4647F">
            <w:pPr>
              <w:contextualSpacing/>
              <w:rPr>
                <w:sz w:val="16"/>
                <w:szCs w:val="16"/>
              </w:rPr>
            </w:pPr>
            <w:r w:rsidRPr="00872D7E">
              <w:rPr>
                <w:sz w:val="16"/>
                <w:szCs w:val="16"/>
              </w:rPr>
              <w:t>Uluslararası teşkilatlardan alacaklar</w:t>
            </w:r>
          </w:p>
        </w:tc>
        <w:tc>
          <w:tcPr>
            <w:tcW w:w="564" w:type="pct"/>
            <w:tcBorders>
              <w:top w:val="nil"/>
              <w:left w:val="nil"/>
              <w:bottom w:val="nil"/>
              <w:right w:val="nil"/>
            </w:tcBorders>
            <w:shd w:val="clear" w:color="auto" w:fill="auto"/>
            <w:vAlign w:val="bottom"/>
          </w:tcPr>
          <w:p w14:paraId="63A96CCD" w14:textId="49EA70DE" w:rsidR="00D4647F" w:rsidRPr="00872D7E" w:rsidRDefault="00D4647F" w:rsidP="00D4647F">
            <w:pPr>
              <w:jc w:val="right"/>
              <w:rPr>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75BFCF48" w14:textId="41F8C618" w:rsidR="00D4647F" w:rsidRPr="00872D7E" w:rsidRDefault="00D4647F" w:rsidP="00D4647F">
            <w:pPr>
              <w:jc w:val="right"/>
              <w:rPr>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5A80030D" w14:textId="7FD47190" w:rsidR="00D4647F" w:rsidRPr="00872D7E" w:rsidRDefault="00D4647F" w:rsidP="00D4647F">
            <w:pPr>
              <w:jc w:val="right"/>
              <w:rPr>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7C01FA56" w14:textId="1415A244" w:rsidR="00D4647F" w:rsidRPr="00872D7E" w:rsidRDefault="00D4647F" w:rsidP="00D4647F">
            <w:pPr>
              <w:jc w:val="right"/>
              <w:rPr>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72EDB5AB" w14:textId="1CFED569" w:rsidR="00D4647F" w:rsidRPr="00872D7E" w:rsidRDefault="00D4647F" w:rsidP="00D4647F">
            <w:pPr>
              <w:jc w:val="right"/>
              <w:rPr>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245F47DA" w14:textId="774DD44A" w:rsidR="00D4647F" w:rsidRPr="00872D7E" w:rsidRDefault="00D4647F" w:rsidP="00D4647F">
            <w:pPr>
              <w:jc w:val="right"/>
              <w:rPr>
                <w:sz w:val="16"/>
                <w:szCs w:val="16"/>
              </w:rPr>
            </w:pPr>
            <w:r w:rsidRPr="00872D7E">
              <w:rPr>
                <w:sz w:val="16"/>
                <w:szCs w:val="16"/>
              </w:rPr>
              <w:t>%0,00</w:t>
            </w:r>
          </w:p>
        </w:tc>
      </w:tr>
      <w:tr w:rsidR="00D4647F" w:rsidRPr="00872D7E" w14:paraId="1934EF1E" w14:textId="77777777" w:rsidTr="002F0CF7">
        <w:trPr>
          <w:trHeight w:val="113"/>
        </w:trPr>
        <w:tc>
          <w:tcPr>
            <w:tcW w:w="224" w:type="pct"/>
            <w:hideMark/>
          </w:tcPr>
          <w:p w14:paraId="15FD7B17" w14:textId="77777777" w:rsidR="00D4647F" w:rsidRPr="00872D7E" w:rsidRDefault="00D4647F" w:rsidP="00D4647F">
            <w:pPr>
              <w:contextualSpacing/>
              <w:rPr>
                <w:sz w:val="16"/>
                <w:szCs w:val="16"/>
              </w:rPr>
            </w:pPr>
            <w:r w:rsidRPr="00872D7E">
              <w:rPr>
                <w:sz w:val="16"/>
                <w:szCs w:val="16"/>
              </w:rPr>
              <w:t>6</w:t>
            </w:r>
          </w:p>
        </w:tc>
        <w:tc>
          <w:tcPr>
            <w:tcW w:w="1116" w:type="pct"/>
            <w:hideMark/>
          </w:tcPr>
          <w:p w14:paraId="3867DF52" w14:textId="77777777" w:rsidR="00D4647F" w:rsidRPr="00872D7E" w:rsidRDefault="00D4647F" w:rsidP="00D4647F">
            <w:pPr>
              <w:contextualSpacing/>
              <w:rPr>
                <w:sz w:val="16"/>
                <w:szCs w:val="16"/>
              </w:rPr>
            </w:pPr>
            <w:r w:rsidRPr="00872D7E">
              <w:rPr>
                <w:sz w:val="16"/>
                <w:szCs w:val="16"/>
              </w:rPr>
              <w:t>Bankalardan ve aracı kurumlardan alacaklar</w:t>
            </w:r>
          </w:p>
        </w:tc>
        <w:tc>
          <w:tcPr>
            <w:tcW w:w="564" w:type="pct"/>
            <w:tcBorders>
              <w:top w:val="nil"/>
              <w:left w:val="nil"/>
              <w:bottom w:val="nil"/>
              <w:right w:val="nil"/>
            </w:tcBorders>
            <w:shd w:val="clear" w:color="auto" w:fill="auto"/>
            <w:vAlign w:val="bottom"/>
          </w:tcPr>
          <w:p w14:paraId="03EF2EF3" w14:textId="7FD60F18" w:rsidR="00D4647F" w:rsidRPr="00872D7E" w:rsidRDefault="00D4647F" w:rsidP="00D4647F">
            <w:pPr>
              <w:jc w:val="right"/>
              <w:rPr>
                <w:color w:val="000000"/>
                <w:sz w:val="16"/>
                <w:szCs w:val="16"/>
              </w:rPr>
            </w:pPr>
            <w:r w:rsidRPr="00872D7E">
              <w:rPr>
                <w:sz w:val="16"/>
                <w:szCs w:val="16"/>
              </w:rPr>
              <w:t>552.875</w:t>
            </w:r>
          </w:p>
        </w:tc>
        <w:tc>
          <w:tcPr>
            <w:tcW w:w="635" w:type="pct"/>
            <w:tcBorders>
              <w:top w:val="nil"/>
              <w:left w:val="nil"/>
              <w:bottom w:val="nil"/>
              <w:right w:val="nil"/>
            </w:tcBorders>
            <w:shd w:val="clear" w:color="auto" w:fill="auto"/>
            <w:vAlign w:val="bottom"/>
          </w:tcPr>
          <w:p w14:paraId="09E8D1CF" w14:textId="520E016E"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43C5A826" w14:textId="7E59C095" w:rsidR="00D4647F" w:rsidRPr="00872D7E" w:rsidRDefault="00D4647F" w:rsidP="00D4647F">
            <w:pPr>
              <w:jc w:val="right"/>
              <w:rPr>
                <w:color w:val="000000"/>
                <w:sz w:val="16"/>
                <w:szCs w:val="16"/>
              </w:rPr>
            </w:pPr>
            <w:r w:rsidRPr="00872D7E">
              <w:rPr>
                <w:sz w:val="16"/>
                <w:szCs w:val="16"/>
              </w:rPr>
              <w:t>552.875</w:t>
            </w:r>
          </w:p>
        </w:tc>
        <w:tc>
          <w:tcPr>
            <w:tcW w:w="564" w:type="pct"/>
            <w:tcBorders>
              <w:top w:val="nil"/>
              <w:left w:val="nil"/>
              <w:bottom w:val="nil"/>
              <w:right w:val="nil"/>
            </w:tcBorders>
            <w:shd w:val="clear" w:color="auto" w:fill="auto"/>
            <w:vAlign w:val="bottom"/>
          </w:tcPr>
          <w:p w14:paraId="10D08B41" w14:textId="543E1C59"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2B7B0119" w14:textId="6DD264DC" w:rsidR="00D4647F" w:rsidRPr="00872D7E" w:rsidRDefault="00D4647F" w:rsidP="00D4647F">
            <w:pPr>
              <w:jc w:val="right"/>
              <w:rPr>
                <w:color w:val="000000"/>
                <w:sz w:val="16"/>
                <w:szCs w:val="16"/>
              </w:rPr>
            </w:pPr>
            <w:r w:rsidRPr="00872D7E">
              <w:rPr>
                <w:sz w:val="16"/>
                <w:szCs w:val="16"/>
              </w:rPr>
              <w:t>110.575</w:t>
            </w:r>
          </w:p>
        </w:tc>
        <w:tc>
          <w:tcPr>
            <w:tcW w:w="699" w:type="pct"/>
            <w:tcBorders>
              <w:top w:val="nil"/>
              <w:left w:val="nil"/>
              <w:bottom w:val="nil"/>
              <w:right w:val="nil"/>
            </w:tcBorders>
            <w:shd w:val="clear" w:color="auto" w:fill="auto"/>
            <w:vAlign w:val="bottom"/>
          </w:tcPr>
          <w:p w14:paraId="28E5F6AC" w14:textId="3B7446A8" w:rsidR="00D4647F" w:rsidRPr="00872D7E" w:rsidRDefault="00D4647F" w:rsidP="00D4647F">
            <w:pPr>
              <w:jc w:val="right"/>
              <w:rPr>
                <w:color w:val="000000"/>
                <w:sz w:val="16"/>
                <w:szCs w:val="16"/>
              </w:rPr>
            </w:pPr>
            <w:r w:rsidRPr="00872D7E">
              <w:rPr>
                <w:sz w:val="16"/>
                <w:szCs w:val="16"/>
              </w:rPr>
              <w:t>%20,00</w:t>
            </w:r>
          </w:p>
        </w:tc>
      </w:tr>
      <w:tr w:rsidR="00D4647F" w:rsidRPr="00872D7E" w14:paraId="4ABF94D9" w14:textId="77777777" w:rsidTr="002F0CF7">
        <w:trPr>
          <w:trHeight w:val="113"/>
        </w:trPr>
        <w:tc>
          <w:tcPr>
            <w:tcW w:w="224" w:type="pct"/>
            <w:hideMark/>
          </w:tcPr>
          <w:p w14:paraId="1EC60214" w14:textId="77777777" w:rsidR="00D4647F" w:rsidRPr="00872D7E" w:rsidRDefault="00D4647F" w:rsidP="00D4647F">
            <w:pPr>
              <w:contextualSpacing/>
              <w:rPr>
                <w:sz w:val="16"/>
                <w:szCs w:val="16"/>
              </w:rPr>
            </w:pPr>
            <w:r w:rsidRPr="00872D7E">
              <w:rPr>
                <w:sz w:val="16"/>
                <w:szCs w:val="16"/>
              </w:rPr>
              <w:t>7</w:t>
            </w:r>
          </w:p>
        </w:tc>
        <w:tc>
          <w:tcPr>
            <w:tcW w:w="1116" w:type="pct"/>
            <w:hideMark/>
          </w:tcPr>
          <w:p w14:paraId="2D4A8B3D" w14:textId="77777777" w:rsidR="00D4647F" w:rsidRPr="00872D7E" w:rsidRDefault="00D4647F" w:rsidP="00D4647F">
            <w:pPr>
              <w:contextualSpacing/>
              <w:rPr>
                <w:sz w:val="16"/>
                <w:szCs w:val="16"/>
              </w:rPr>
            </w:pPr>
            <w:r w:rsidRPr="00872D7E">
              <w:rPr>
                <w:sz w:val="16"/>
                <w:szCs w:val="16"/>
              </w:rPr>
              <w:t>Kurumsal alacaklar</w:t>
            </w:r>
          </w:p>
        </w:tc>
        <w:tc>
          <w:tcPr>
            <w:tcW w:w="564" w:type="pct"/>
            <w:tcBorders>
              <w:top w:val="nil"/>
              <w:left w:val="nil"/>
              <w:bottom w:val="nil"/>
              <w:right w:val="nil"/>
            </w:tcBorders>
            <w:shd w:val="clear" w:color="auto" w:fill="auto"/>
            <w:vAlign w:val="bottom"/>
          </w:tcPr>
          <w:p w14:paraId="1FCC7210" w14:textId="76C762E2"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01408D8F" w14:textId="5A297FB8" w:rsidR="00D4647F" w:rsidRPr="00872D7E" w:rsidRDefault="00D4647F" w:rsidP="00D4647F">
            <w:pPr>
              <w:jc w:val="right"/>
              <w:rPr>
                <w:color w:val="000000"/>
                <w:sz w:val="16"/>
                <w:szCs w:val="16"/>
              </w:rPr>
            </w:pPr>
            <w:r w:rsidRPr="00872D7E">
              <w:rPr>
                <w:sz w:val="16"/>
                <w:szCs w:val="16"/>
              </w:rPr>
              <w:t>87.593</w:t>
            </w:r>
          </w:p>
        </w:tc>
        <w:tc>
          <w:tcPr>
            <w:tcW w:w="563" w:type="pct"/>
            <w:tcBorders>
              <w:top w:val="nil"/>
              <w:left w:val="nil"/>
              <w:bottom w:val="nil"/>
              <w:right w:val="nil"/>
            </w:tcBorders>
            <w:shd w:val="clear" w:color="auto" w:fill="auto"/>
            <w:vAlign w:val="bottom"/>
          </w:tcPr>
          <w:p w14:paraId="24834DD7" w14:textId="0515AD5C" w:rsidR="00D4647F" w:rsidRPr="00872D7E" w:rsidRDefault="00D4647F" w:rsidP="00D4647F">
            <w:pPr>
              <w:jc w:val="right"/>
              <w:rPr>
                <w:color w:val="000000"/>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5C4DEEFF" w14:textId="2BA84B09" w:rsidR="00D4647F" w:rsidRPr="00872D7E" w:rsidRDefault="00D4647F" w:rsidP="00D4647F">
            <w:pPr>
              <w:jc w:val="right"/>
              <w:rPr>
                <w:color w:val="000000"/>
                <w:sz w:val="16"/>
                <w:szCs w:val="16"/>
              </w:rPr>
            </w:pPr>
            <w:r w:rsidRPr="00872D7E">
              <w:rPr>
                <w:sz w:val="16"/>
                <w:szCs w:val="16"/>
              </w:rPr>
              <w:t>87.593</w:t>
            </w:r>
          </w:p>
        </w:tc>
        <w:tc>
          <w:tcPr>
            <w:tcW w:w="635" w:type="pct"/>
            <w:tcBorders>
              <w:top w:val="nil"/>
              <w:left w:val="nil"/>
              <w:bottom w:val="nil"/>
              <w:right w:val="nil"/>
            </w:tcBorders>
            <w:shd w:val="clear" w:color="auto" w:fill="auto"/>
            <w:vAlign w:val="bottom"/>
          </w:tcPr>
          <w:p w14:paraId="34D69354" w14:textId="72535CFA" w:rsidR="00D4647F" w:rsidRPr="00872D7E" w:rsidRDefault="00D4647F" w:rsidP="00D4647F">
            <w:pPr>
              <w:jc w:val="right"/>
              <w:rPr>
                <w:color w:val="000000"/>
                <w:sz w:val="16"/>
                <w:szCs w:val="16"/>
              </w:rPr>
            </w:pPr>
            <w:r w:rsidRPr="00872D7E">
              <w:rPr>
                <w:sz w:val="16"/>
                <w:szCs w:val="16"/>
              </w:rPr>
              <w:t>87.593</w:t>
            </w:r>
          </w:p>
        </w:tc>
        <w:tc>
          <w:tcPr>
            <w:tcW w:w="699" w:type="pct"/>
            <w:tcBorders>
              <w:top w:val="nil"/>
              <w:left w:val="nil"/>
              <w:bottom w:val="nil"/>
              <w:right w:val="nil"/>
            </w:tcBorders>
            <w:shd w:val="clear" w:color="auto" w:fill="auto"/>
            <w:vAlign w:val="bottom"/>
          </w:tcPr>
          <w:p w14:paraId="26DEC1DA" w14:textId="0322D251" w:rsidR="00D4647F" w:rsidRPr="00872D7E" w:rsidRDefault="00D4647F" w:rsidP="00D4647F">
            <w:pPr>
              <w:jc w:val="right"/>
              <w:rPr>
                <w:color w:val="000000"/>
                <w:sz w:val="16"/>
                <w:szCs w:val="16"/>
              </w:rPr>
            </w:pPr>
            <w:r w:rsidRPr="00872D7E">
              <w:rPr>
                <w:sz w:val="16"/>
                <w:szCs w:val="16"/>
              </w:rPr>
              <w:t>%100,00</w:t>
            </w:r>
          </w:p>
        </w:tc>
      </w:tr>
      <w:tr w:rsidR="00D4647F" w:rsidRPr="00872D7E" w14:paraId="3B32A14A" w14:textId="77777777" w:rsidTr="002F0CF7">
        <w:trPr>
          <w:trHeight w:val="113"/>
        </w:trPr>
        <w:tc>
          <w:tcPr>
            <w:tcW w:w="224" w:type="pct"/>
            <w:hideMark/>
          </w:tcPr>
          <w:p w14:paraId="32BE1BB4" w14:textId="77777777" w:rsidR="00D4647F" w:rsidRPr="00872D7E" w:rsidRDefault="00D4647F" w:rsidP="00D4647F">
            <w:pPr>
              <w:contextualSpacing/>
              <w:rPr>
                <w:sz w:val="16"/>
                <w:szCs w:val="16"/>
              </w:rPr>
            </w:pPr>
            <w:r w:rsidRPr="00872D7E">
              <w:rPr>
                <w:sz w:val="16"/>
                <w:szCs w:val="16"/>
              </w:rPr>
              <w:t>8</w:t>
            </w:r>
          </w:p>
        </w:tc>
        <w:tc>
          <w:tcPr>
            <w:tcW w:w="1116" w:type="pct"/>
            <w:hideMark/>
          </w:tcPr>
          <w:p w14:paraId="42399E2F" w14:textId="77777777" w:rsidR="00D4647F" w:rsidRPr="00872D7E" w:rsidRDefault="00D4647F" w:rsidP="00D4647F">
            <w:pPr>
              <w:contextualSpacing/>
              <w:rPr>
                <w:sz w:val="16"/>
                <w:szCs w:val="16"/>
              </w:rPr>
            </w:pPr>
            <w:r w:rsidRPr="00872D7E">
              <w:rPr>
                <w:sz w:val="16"/>
                <w:szCs w:val="16"/>
              </w:rPr>
              <w:t>Perakende alacaklar</w:t>
            </w:r>
          </w:p>
        </w:tc>
        <w:tc>
          <w:tcPr>
            <w:tcW w:w="564" w:type="pct"/>
            <w:tcBorders>
              <w:top w:val="nil"/>
              <w:left w:val="nil"/>
              <w:bottom w:val="nil"/>
              <w:right w:val="nil"/>
            </w:tcBorders>
            <w:shd w:val="clear" w:color="auto" w:fill="auto"/>
            <w:vAlign w:val="bottom"/>
          </w:tcPr>
          <w:p w14:paraId="37764A17" w14:textId="69EB2BB0"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5005261A" w14:textId="7DF7FCF7"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709393CD" w14:textId="2DB09481" w:rsidR="00D4647F" w:rsidRPr="00872D7E" w:rsidRDefault="00D4647F" w:rsidP="00D4647F">
            <w:pPr>
              <w:jc w:val="right"/>
              <w:rPr>
                <w:color w:val="000000"/>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689A0FF0" w14:textId="6A3DED9B"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79625CC0" w14:textId="64D13DDB" w:rsidR="00D4647F" w:rsidRPr="00872D7E" w:rsidRDefault="00D4647F" w:rsidP="00D4647F">
            <w:pPr>
              <w:jc w:val="right"/>
              <w:rPr>
                <w:color w:val="000000"/>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4D8D2789" w14:textId="4A3EDFA3" w:rsidR="00D4647F" w:rsidRPr="00872D7E" w:rsidRDefault="00D4647F" w:rsidP="00D4647F">
            <w:pPr>
              <w:jc w:val="right"/>
              <w:rPr>
                <w:color w:val="000000"/>
                <w:sz w:val="16"/>
                <w:szCs w:val="16"/>
              </w:rPr>
            </w:pPr>
            <w:r w:rsidRPr="00872D7E">
              <w:rPr>
                <w:sz w:val="16"/>
                <w:szCs w:val="16"/>
              </w:rPr>
              <w:t>%0,00</w:t>
            </w:r>
          </w:p>
        </w:tc>
      </w:tr>
      <w:tr w:rsidR="00D4647F" w:rsidRPr="00872D7E" w14:paraId="048EB078" w14:textId="77777777" w:rsidTr="002F0CF7">
        <w:trPr>
          <w:trHeight w:val="113"/>
        </w:trPr>
        <w:tc>
          <w:tcPr>
            <w:tcW w:w="224" w:type="pct"/>
            <w:hideMark/>
          </w:tcPr>
          <w:p w14:paraId="20626AA7" w14:textId="77777777" w:rsidR="00D4647F" w:rsidRPr="00872D7E" w:rsidRDefault="00D4647F" w:rsidP="00D4647F">
            <w:pPr>
              <w:contextualSpacing/>
              <w:rPr>
                <w:sz w:val="16"/>
                <w:szCs w:val="16"/>
              </w:rPr>
            </w:pPr>
            <w:r w:rsidRPr="00872D7E">
              <w:rPr>
                <w:sz w:val="16"/>
                <w:szCs w:val="16"/>
              </w:rPr>
              <w:t>9</w:t>
            </w:r>
          </w:p>
        </w:tc>
        <w:tc>
          <w:tcPr>
            <w:tcW w:w="1116" w:type="pct"/>
            <w:vAlign w:val="bottom"/>
            <w:hideMark/>
          </w:tcPr>
          <w:p w14:paraId="7AA2492E" w14:textId="77777777" w:rsidR="00D4647F" w:rsidRPr="00872D7E" w:rsidRDefault="00D4647F" w:rsidP="00D4647F">
            <w:pPr>
              <w:contextualSpacing/>
              <w:rPr>
                <w:sz w:val="16"/>
                <w:szCs w:val="16"/>
              </w:rPr>
            </w:pPr>
            <w:r w:rsidRPr="00872D7E">
              <w:rPr>
                <w:sz w:val="16"/>
                <w:szCs w:val="16"/>
              </w:rPr>
              <w:t>İkamet amaçlı gayrimenkul ipoteği ile teminatlandırılan alacaklar</w:t>
            </w:r>
          </w:p>
        </w:tc>
        <w:tc>
          <w:tcPr>
            <w:tcW w:w="564" w:type="pct"/>
            <w:tcBorders>
              <w:top w:val="nil"/>
              <w:left w:val="nil"/>
              <w:bottom w:val="nil"/>
              <w:right w:val="nil"/>
            </w:tcBorders>
            <w:shd w:val="clear" w:color="auto" w:fill="auto"/>
            <w:vAlign w:val="bottom"/>
          </w:tcPr>
          <w:p w14:paraId="3EDE529C" w14:textId="69164B53"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72140FE6" w14:textId="1754AA90"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06B2D39C" w14:textId="26201002" w:rsidR="00D4647F" w:rsidRPr="00872D7E" w:rsidRDefault="00D4647F" w:rsidP="00D4647F">
            <w:pPr>
              <w:jc w:val="right"/>
              <w:rPr>
                <w:color w:val="000000"/>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156CAE43" w14:textId="3712F152"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056608B9" w14:textId="6CC0B366" w:rsidR="00D4647F" w:rsidRPr="00872D7E" w:rsidRDefault="00D4647F" w:rsidP="00D4647F">
            <w:pPr>
              <w:jc w:val="right"/>
              <w:rPr>
                <w:color w:val="000000"/>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36696684" w14:textId="37AF3D60" w:rsidR="00D4647F" w:rsidRPr="00872D7E" w:rsidRDefault="00D4647F" w:rsidP="00D4647F">
            <w:pPr>
              <w:jc w:val="right"/>
              <w:rPr>
                <w:color w:val="000000"/>
                <w:sz w:val="16"/>
                <w:szCs w:val="16"/>
              </w:rPr>
            </w:pPr>
            <w:r w:rsidRPr="00872D7E">
              <w:rPr>
                <w:sz w:val="16"/>
                <w:szCs w:val="16"/>
              </w:rPr>
              <w:t>%0,00</w:t>
            </w:r>
          </w:p>
        </w:tc>
      </w:tr>
      <w:tr w:rsidR="00D4647F" w:rsidRPr="00872D7E" w14:paraId="7F4BF1FD" w14:textId="77777777" w:rsidTr="002F0CF7">
        <w:trPr>
          <w:trHeight w:val="113"/>
        </w:trPr>
        <w:tc>
          <w:tcPr>
            <w:tcW w:w="224" w:type="pct"/>
          </w:tcPr>
          <w:p w14:paraId="7114AF40" w14:textId="77777777" w:rsidR="00D4647F" w:rsidRPr="00872D7E" w:rsidRDefault="00D4647F" w:rsidP="00D4647F">
            <w:pPr>
              <w:contextualSpacing/>
              <w:rPr>
                <w:sz w:val="16"/>
                <w:szCs w:val="16"/>
              </w:rPr>
            </w:pPr>
            <w:r w:rsidRPr="00872D7E">
              <w:rPr>
                <w:sz w:val="16"/>
                <w:szCs w:val="16"/>
              </w:rPr>
              <w:t>10</w:t>
            </w:r>
          </w:p>
        </w:tc>
        <w:tc>
          <w:tcPr>
            <w:tcW w:w="1116" w:type="pct"/>
            <w:vAlign w:val="bottom"/>
          </w:tcPr>
          <w:p w14:paraId="41942B47" w14:textId="77777777" w:rsidR="00D4647F" w:rsidRPr="00872D7E" w:rsidRDefault="00D4647F" w:rsidP="00D4647F">
            <w:pPr>
              <w:contextualSpacing/>
              <w:rPr>
                <w:sz w:val="16"/>
                <w:szCs w:val="16"/>
              </w:rPr>
            </w:pPr>
            <w:r w:rsidRPr="00872D7E">
              <w:rPr>
                <w:sz w:val="16"/>
                <w:szCs w:val="16"/>
              </w:rPr>
              <w:t>Ticari amaçlı gayrimenkul ipoteği ile teminatlandırılan alacaklar</w:t>
            </w:r>
          </w:p>
        </w:tc>
        <w:tc>
          <w:tcPr>
            <w:tcW w:w="564" w:type="pct"/>
            <w:tcBorders>
              <w:top w:val="nil"/>
              <w:left w:val="nil"/>
              <w:bottom w:val="nil"/>
              <w:right w:val="nil"/>
            </w:tcBorders>
            <w:shd w:val="clear" w:color="auto" w:fill="auto"/>
            <w:vAlign w:val="bottom"/>
          </w:tcPr>
          <w:p w14:paraId="6C4D148A" w14:textId="58D26650"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6419D27D" w14:textId="1AABEE1F"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4DACF607" w14:textId="50DAD3AF" w:rsidR="00D4647F" w:rsidRPr="00872D7E" w:rsidRDefault="00D4647F" w:rsidP="00D4647F">
            <w:pPr>
              <w:jc w:val="right"/>
              <w:rPr>
                <w:color w:val="000000"/>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7F67449A" w14:textId="75F7B1CB"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37BFD4E3" w14:textId="3A6CB50E" w:rsidR="00D4647F" w:rsidRPr="00872D7E" w:rsidRDefault="00D4647F" w:rsidP="00D4647F">
            <w:pPr>
              <w:jc w:val="right"/>
              <w:rPr>
                <w:color w:val="000000"/>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5556D591" w14:textId="776A9ABF" w:rsidR="00D4647F" w:rsidRPr="00872D7E" w:rsidRDefault="00D4647F" w:rsidP="00D4647F">
            <w:pPr>
              <w:jc w:val="right"/>
              <w:rPr>
                <w:color w:val="000000"/>
                <w:sz w:val="16"/>
                <w:szCs w:val="16"/>
              </w:rPr>
            </w:pPr>
            <w:r w:rsidRPr="00872D7E">
              <w:rPr>
                <w:sz w:val="16"/>
                <w:szCs w:val="16"/>
              </w:rPr>
              <w:t>%0,00</w:t>
            </w:r>
          </w:p>
        </w:tc>
      </w:tr>
      <w:tr w:rsidR="00D4647F" w:rsidRPr="00872D7E" w14:paraId="39627873" w14:textId="77777777" w:rsidTr="002F0CF7">
        <w:trPr>
          <w:trHeight w:val="113"/>
        </w:trPr>
        <w:tc>
          <w:tcPr>
            <w:tcW w:w="224" w:type="pct"/>
            <w:hideMark/>
          </w:tcPr>
          <w:p w14:paraId="1F8F80B5" w14:textId="77777777" w:rsidR="00D4647F" w:rsidRPr="00872D7E" w:rsidRDefault="00D4647F" w:rsidP="00D4647F">
            <w:pPr>
              <w:contextualSpacing/>
              <w:rPr>
                <w:sz w:val="16"/>
                <w:szCs w:val="16"/>
              </w:rPr>
            </w:pPr>
            <w:r w:rsidRPr="00872D7E">
              <w:rPr>
                <w:sz w:val="16"/>
                <w:szCs w:val="16"/>
              </w:rPr>
              <w:t>11</w:t>
            </w:r>
          </w:p>
        </w:tc>
        <w:tc>
          <w:tcPr>
            <w:tcW w:w="1116" w:type="pct"/>
            <w:hideMark/>
          </w:tcPr>
          <w:p w14:paraId="5F4954BA" w14:textId="77777777" w:rsidR="00D4647F" w:rsidRPr="00872D7E" w:rsidRDefault="00D4647F" w:rsidP="00D4647F">
            <w:pPr>
              <w:contextualSpacing/>
              <w:rPr>
                <w:sz w:val="16"/>
                <w:szCs w:val="16"/>
              </w:rPr>
            </w:pPr>
            <w:r w:rsidRPr="00872D7E">
              <w:rPr>
                <w:sz w:val="16"/>
                <w:szCs w:val="16"/>
              </w:rPr>
              <w:t>Tahsili gecikmiş alacaklar</w:t>
            </w:r>
          </w:p>
        </w:tc>
        <w:tc>
          <w:tcPr>
            <w:tcW w:w="564" w:type="pct"/>
            <w:tcBorders>
              <w:top w:val="nil"/>
              <w:left w:val="nil"/>
              <w:bottom w:val="nil"/>
              <w:right w:val="nil"/>
            </w:tcBorders>
            <w:shd w:val="clear" w:color="auto" w:fill="auto"/>
            <w:vAlign w:val="bottom"/>
          </w:tcPr>
          <w:p w14:paraId="1B444D85" w14:textId="4FBF8839"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265EBB03" w14:textId="01D9CFD9"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1B3937CF" w14:textId="1C0762D8" w:rsidR="00D4647F" w:rsidRPr="00872D7E" w:rsidRDefault="00D4647F" w:rsidP="00D4647F">
            <w:pPr>
              <w:jc w:val="right"/>
              <w:rPr>
                <w:color w:val="000000"/>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7D1ED23E" w14:textId="6267B5FC"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227490C2" w14:textId="3FBD7A42" w:rsidR="00D4647F" w:rsidRPr="00872D7E" w:rsidRDefault="00D4647F" w:rsidP="00D4647F">
            <w:pPr>
              <w:jc w:val="right"/>
              <w:rPr>
                <w:color w:val="000000"/>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6CE21C3E" w14:textId="63081D87" w:rsidR="00D4647F" w:rsidRPr="00872D7E" w:rsidRDefault="00D4647F" w:rsidP="00D4647F">
            <w:pPr>
              <w:jc w:val="right"/>
              <w:rPr>
                <w:color w:val="000000"/>
                <w:sz w:val="16"/>
                <w:szCs w:val="16"/>
              </w:rPr>
            </w:pPr>
            <w:r w:rsidRPr="00872D7E">
              <w:rPr>
                <w:sz w:val="16"/>
                <w:szCs w:val="16"/>
              </w:rPr>
              <w:t>%0,00</w:t>
            </w:r>
          </w:p>
        </w:tc>
      </w:tr>
      <w:tr w:rsidR="00D4647F" w:rsidRPr="00872D7E" w14:paraId="22A7E807" w14:textId="77777777" w:rsidTr="002F0CF7">
        <w:trPr>
          <w:trHeight w:val="113"/>
        </w:trPr>
        <w:tc>
          <w:tcPr>
            <w:tcW w:w="224" w:type="pct"/>
            <w:hideMark/>
          </w:tcPr>
          <w:p w14:paraId="11B3AC6C" w14:textId="77777777" w:rsidR="00D4647F" w:rsidRPr="00872D7E" w:rsidRDefault="00D4647F" w:rsidP="00D4647F">
            <w:pPr>
              <w:contextualSpacing/>
              <w:rPr>
                <w:sz w:val="16"/>
                <w:szCs w:val="16"/>
              </w:rPr>
            </w:pPr>
            <w:r w:rsidRPr="00872D7E">
              <w:rPr>
                <w:sz w:val="16"/>
                <w:szCs w:val="16"/>
              </w:rPr>
              <w:t>12</w:t>
            </w:r>
          </w:p>
        </w:tc>
        <w:tc>
          <w:tcPr>
            <w:tcW w:w="1116" w:type="pct"/>
            <w:hideMark/>
          </w:tcPr>
          <w:p w14:paraId="34EA5A24" w14:textId="77777777" w:rsidR="00D4647F" w:rsidRPr="00872D7E" w:rsidRDefault="00D4647F" w:rsidP="00D4647F">
            <w:pPr>
              <w:contextualSpacing/>
              <w:rPr>
                <w:sz w:val="16"/>
                <w:szCs w:val="16"/>
              </w:rPr>
            </w:pPr>
            <w:r w:rsidRPr="00872D7E">
              <w:rPr>
                <w:sz w:val="16"/>
                <w:szCs w:val="16"/>
              </w:rPr>
              <w:t>Kurulca riski yüksek belirlenmiş alacaklar</w:t>
            </w:r>
          </w:p>
        </w:tc>
        <w:tc>
          <w:tcPr>
            <w:tcW w:w="564" w:type="pct"/>
            <w:tcBorders>
              <w:top w:val="nil"/>
              <w:left w:val="nil"/>
              <w:bottom w:val="nil"/>
              <w:right w:val="nil"/>
            </w:tcBorders>
            <w:shd w:val="clear" w:color="auto" w:fill="auto"/>
            <w:vAlign w:val="bottom"/>
          </w:tcPr>
          <w:p w14:paraId="1D90E5AE" w14:textId="49619EEE"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5AC80C71" w14:textId="411AF6F7" w:rsidR="00D4647F" w:rsidRPr="00872D7E" w:rsidRDefault="00D4647F" w:rsidP="00D4647F">
            <w:pPr>
              <w:jc w:val="right"/>
              <w:rPr>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479228C9" w14:textId="428127CA" w:rsidR="00D4647F" w:rsidRPr="00872D7E" w:rsidRDefault="00D4647F" w:rsidP="00D4647F">
            <w:pPr>
              <w:jc w:val="right"/>
              <w:rPr>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4D3389C6" w14:textId="6FE043DA" w:rsidR="00D4647F" w:rsidRPr="00872D7E" w:rsidRDefault="00D4647F" w:rsidP="00D4647F">
            <w:pPr>
              <w:jc w:val="right"/>
              <w:rPr>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4D395A34" w14:textId="0997E960" w:rsidR="00D4647F" w:rsidRPr="00872D7E" w:rsidRDefault="00D4647F" w:rsidP="00D4647F">
            <w:pPr>
              <w:jc w:val="right"/>
              <w:rPr>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2C465E99" w14:textId="23E0C000" w:rsidR="00D4647F" w:rsidRPr="00872D7E" w:rsidRDefault="00D4647F" w:rsidP="00D4647F">
            <w:pPr>
              <w:jc w:val="right"/>
              <w:rPr>
                <w:sz w:val="16"/>
                <w:szCs w:val="16"/>
              </w:rPr>
            </w:pPr>
            <w:r w:rsidRPr="00872D7E">
              <w:rPr>
                <w:sz w:val="16"/>
                <w:szCs w:val="16"/>
              </w:rPr>
              <w:t>%0,00</w:t>
            </w:r>
          </w:p>
        </w:tc>
      </w:tr>
      <w:tr w:rsidR="00D4647F" w:rsidRPr="00872D7E" w14:paraId="09E7E02F" w14:textId="77777777" w:rsidTr="002F0CF7">
        <w:trPr>
          <w:trHeight w:val="113"/>
        </w:trPr>
        <w:tc>
          <w:tcPr>
            <w:tcW w:w="224" w:type="pct"/>
            <w:hideMark/>
          </w:tcPr>
          <w:p w14:paraId="1E7D2338" w14:textId="77777777" w:rsidR="00D4647F" w:rsidRPr="00872D7E" w:rsidRDefault="00D4647F" w:rsidP="00D4647F">
            <w:pPr>
              <w:contextualSpacing/>
              <w:rPr>
                <w:sz w:val="16"/>
                <w:szCs w:val="16"/>
              </w:rPr>
            </w:pPr>
            <w:r w:rsidRPr="00872D7E">
              <w:rPr>
                <w:sz w:val="16"/>
                <w:szCs w:val="16"/>
              </w:rPr>
              <w:t>13</w:t>
            </w:r>
          </w:p>
        </w:tc>
        <w:tc>
          <w:tcPr>
            <w:tcW w:w="1116" w:type="pct"/>
            <w:hideMark/>
          </w:tcPr>
          <w:p w14:paraId="41BCEA8B" w14:textId="77777777" w:rsidR="00D4647F" w:rsidRPr="00872D7E" w:rsidRDefault="00D4647F" w:rsidP="00D4647F">
            <w:pPr>
              <w:contextualSpacing/>
              <w:rPr>
                <w:sz w:val="16"/>
                <w:szCs w:val="16"/>
              </w:rPr>
            </w:pPr>
            <w:r w:rsidRPr="00872D7E">
              <w:rPr>
                <w:sz w:val="16"/>
                <w:szCs w:val="16"/>
              </w:rPr>
              <w:t>İpotek teminatlı menkul kıymetler</w:t>
            </w:r>
          </w:p>
        </w:tc>
        <w:tc>
          <w:tcPr>
            <w:tcW w:w="564" w:type="pct"/>
            <w:tcBorders>
              <w:top w:val="nil"/>
              <w:left w:val="nil"/>
              <w:bottom w:val="nil"/>
              <w:right w:val="nil"/>
            </w:tcBorders>
            <w:shd w:val="clear" w:color="auto" w:fill="auto"/>
            <w:vAlign w:val="bottom"/>
          </w:tcPr>
          <w:p w14:paraId="077EB01D" w14:textId="0032755A" w:rsidR="00D4647F" w:rsidRPr="00872D7E" w:rsidRDefault="00D4647F" w:rsidP="00D4647F">
            <w:pPr>
              <w:jc w:val="right"/>
              <w:rPr>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2237054E" w14:textId="2ACCBDC3" w:rsidR="00D4647F" w:rsidRPr="00872D7E" w:rsidRDefault="00D4647F" w:rsidP="00D4647F">
            <w:pPr>
              <w:jc w:val="right"/>
              <w:rPr>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33D340BA" w14:textId="0B98A0EF" w:rsidR="00D4647F" w:rsidRPr="00872D7E" w:rsidRDefault="00D4647F" w:rsidP="00D4647F">
            <w:pPr>
              <w:jc w:val="right"/>
              <w:rPr>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4A66ECAC" w14:textId="7962B06F" w:rsidR="00D4647F" w:rsidRPr="00872D7E" w:rsidRDefault="00D4647F" w:rsidP="00D4647F">
            <w:pPr>
              <w:jc w:val="right"/>
              <w:rPr>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699258CD" w14:textId="5A179AB1" w:rsidR="00D4647F" w:rsidRPr="00872D7E" w:rsidRDefault="00D4647F" w:rsidP="00D4647F">
            <w:pPr>
              <w:jc w:val="right"/>
              <w:rPr>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2E6593E7" w14:textId="5696689E" w:rsidR="00D4647F" w:rsidRPr="00872D7E" w:rsidRDefault="00D4647F" w:rsidP="00D4647F">
            <w:pPr>
              <w:jc w:val="right"/>
              <w:rPr>
                <w:sz w:val="16"/>
                <w:szCs w:val="16"/>
              </w:rPr>
            </w:pPr>
            <w:r w:rsidRPr="00872D7E">
              <w:rPr>
                <w:sz w:val="16"/>
                <w:szCs w:val="16"/>
              </w:rPr>
              <w:t>%0,00</w:t>
            </w:r>
          </w:p>
        </w:tc>
      </w:tr>
      <w:tr w:rsidR="00D4647F" w:rsidRPr="00872D7E" w14:paraId="7825B957" w14:textId="77777777" w:rsidTr="002F0CF7">
        <w:trPr>
          <w:trHeight w:val="113"/>
        </w:trPr>
        <w:tc>
          <w:tcPr>
            <w:tcW w:w="224" w:type="pct"/>
            <w:hideMark/>
          </w:tcPr>
          <w:p w14:paraId="1F9027B2" w14:textId="77777777" w:rsidR="00D4647F" w:rsidRPr="00872D7E" w:rsidRDefault="00D4647F" w:rsidP="00D4647F">
            <w:pPr>
              <w:contextualSpacing/>
              <w:rPr>
                <w:sz w:val="16"/>
                <w:szCs w:val="16"/>
              </w:rPr>
            </w:pPr>
            <w:r w:rsidRPr="00872D7E">
              <w:rPr>
                <w:sz w:val="16"/>
                <w:szCs w:val="16"/>
              </w:rPr>
              <w:t>14</w:t>
            </w:r>
          </w:p>
        </w:tc>
        <w:tc>
          <w:tcPr>
            <w:tcW w:w="1116" w:type="pct"/>
            <w:hideMark/>
          </w:tcPr>
          <w:p w14:paraId="784F891D" w14:textId="77777777" w:rsidR="00D4647F" w:rsidRPr="00872D7E" w:rsidRDefault="00D4647F" w:rsidP="00D4647F">
            <w:pPr>
              <w:contextualSpacing/>
              <w:rPr>
                <w:sz w:val="16"/>
                <w:szCs w:val="16"/>
              </w:rPr>
            </w:pPr>
            <w:r w:rsidRPr="00872D7E">
              <w:rPr>
                <w:sz w:val="16"/>
                <w:szCs w:val="16"/>
              </w:rPr>
              <w:t>Bankalardan ve aracı kurumlardan olan kısa vadeli alacaklar ile kısa vadeli kurumsal alacaklar</w:t>
            </w:r>
          </w:p>
        </w:tc>
        <w:tc>
          <w:tcPr>
            <w:tcW w:w="564" w:type="pct"/>
            <w:tcBorders>
              <w:top w:val="nil"/>
              <w:left w:val="nil"/>
              <w:bottom w:val="nil"/>
              <w:right w:val="nil"/>
            </w:tcBorders>
            <w:shd w:val="clear" w:color="auto" w:fill="auto"/>
            <w:vAlign w:val="bottom"/>
          </w:tcPr>
          <w:p w14:paraId="1E4C193F" w14:textId="633859F3" w:rsidR="00D4647F" w:rsidRPr="00872D7E" w:rsidRDefault="00D4647F" w:rsidP="00D4647F">
            <w:pPr>
              <w:jc w:val="right"/>
              <w:rPr>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6871352A" w14:textId="03DFB658" w:rsidR="00D4647F" w:rsidRPr="00872D7E" w:rsidRDefault="00D4647F" w:rsidP="00D4647F">
            <w:pPr>
              <w:jc w:val="right"/>
              <w:rPr>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5A117DB3" w14:textId="3862F322" w:rsidR="00D4647F" w:rsidRPr="00872D7E" w:rsidRDefault="00D4647F" w:rsidP="00D4647F">
            <w:pPr>
              <w:jc w:val="right"/>
              <w:rPr>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6C101604" w14:textId="47163CC9" w:rsidR="00D4647F" w:rsidRPr="00872D7E" w:rsidRDefault="00D4647F" w:rsidP="00D4647F">
            <w:pPr>
              <w:jc w:val="right"/>
              <w:rPr>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40297710" w14:textId="3B26D844" w:rsidR="00D4647F" w:rsidRPr="00872D7E" w:rsidRDefault="00D4647F" w:rsidP="00D4647F">
            <w:pPr>
              <w:jc w:val="right"/>
              <w:rPr>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11C971F7" w14:textId="5C437C19" w:rsidR="00D4647F" w:rsidRPr="00872D7E" w:rsidRDefault="00D4647F" w:rsidP="00D4647F">
            <w:pPr>
              <w:jc w:val="right"/>
              <w:rPr>
                <w:sz w:val="16"/>
                <w:szCs w:val="16"/>
              </w:rPr>
            </w:pPr>
            <w:r w:rsidRPr="00872D7E">
              <w:rPr>
                <w:sz w:val="16"/>
                <w:szCs w:val="16"/>
              </w:rPr>
              <w:t>%0,00</w:t>
            </w:r>
          </w:p>
        </w:tc>
      </w:tr>
      <w:tr w:rsidR="00D4647F" w:rsidRPr="00872D7E" w14:paraId="23A6768C" w14:textId="77777777" w:rsidTr="002F0CF7">
        <w:trPr>
          <w:trHeight w:val="113"/>
        </w:trPr>
        <w:tc>
          <w:tcPr>
            <w:tcW w:w="224" w:type="pct"/>
            <w:hideMark/>
          </w:tcPr>
          <w:p w14:paraId="5A4429AD" w14:textId="77777777" w:rsidR="00D4647F" w:rsidRPr="00872D7E" w:rsidRDefault="00D4647F" w:rsidP="00D4647F">
            <w:pPr>
              <w:contextualSpacing/>
              <w:rPr>
                <w:sz w:val="16"/>
                <w:szCs w:val="16"/>
              </w:rPr>
            </w:pPr>
            <w:r w:rsidRPr="00872D7E">
              <w:rPr>
                <w:sz w:val="16"/>
                <w:szCs w:val="16"/>
              </w:rPr>
              <w:t>15</w:t>
            </w:r>
          </w:p>
        </w:tc>
        <w:tc>
          <w:tcPr>
            <w:tcW w:w="1116" w:type="pct"/>
            <w:hideMark/>
          </w:tcPr>
          <w:p w14:paraId="03FFC16B" w14:textId="77777777" w:rsidR="00D4647F" w:rsidRPr="00872D7E" w:rsidRDefault="00D4647F" w:rsidP="00D4647F">
            <w:pPr>
              <w:contextualSpacing/>
              <w:rPr>
                <w:sz w:val="16"/>
                <w:szCs w:val="16"/>
              </w:rPr>
            </w:pPr>
            <w:r w:rsidRPr="00872D7E">
              <w:rPr>
                <w:sz w:val="16"/>
                <w:szCs w:val="16"/>
              </w:rPr>
              <w:t>Kolektif yatırım kuruluşu niteliğindeki yatırımlar</w:t>
            </w:r>
          </w:p>
        </w:tc>
        <w:tc>
          <w:tcPr>
            <w:tcW w:w="564" w:type="pct"/>
            <w:tcBorders>
              <w:top w:val="nil"/>
              <w:left w:val="nil"/>
              <w:bottom w:val="nil"/>
              <w:right w:val="nil"/>
            </w:tcBorders>
            <w:shd w:val="clear" w:color="auto" w:fill="auto"/>
            <w:vAlign w:val="bottom"/>
          </w:tcPr>
          <w:p w14:paraId="05ABEB1C" w14:textId="23FCAB4B" w:rsidR="00D4647F" w:rsidRPr="00872D7E" w:rsidRDefault="00D4647F" w:rsidP="00D4647F">
            <w:pPr>
              <w:jc w:val="right"/>
              <w:rPr>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2F673E5B" w14:textId="2F44186A" w:rsidR="00D4647F" w:rsidRPr="00872D7E" w:rsidRDefault="00D4647F" w:rsidP="00D4647F">
            <w:pPr>
              <w:jc w:val="right"/>
              <w:rPr>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26CFF0D7" w14:textId="62696EE0" w:rsidR="00D4647F" w:rsidRPr="00872D7E" w:rsidRDefault="00D4647F" w:rsidP="00D4647F">
            <w:pPr>
              <w:jc w:val="right"/>
              <w:rPr>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12574266" w14:textId="01CF7573" w:rsidR="00D4647F" w:rsidRPr="00872D7E" w:rsidRDefault="00D4647F" w:rsidP="00D4647F">
            <w:pPr>
              <w:jc w:val="right"/>
              <w:rPr>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389AF1D0" w14:textId="0ED969BD" w:rsidR="00D4647F" w:rsidRPr="00872D7E" w:rsidRDefault="00D4647F" w:rsidP="00D4647F">
            <w:pPr>
              <w:jc w:val="right"/>
              <w:rPr>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2B3B793A" w14:textId="45BA2A8A" w:rsidR="00D4647F" w:rsidRPr="00872D7E" w:rsidRDefault="00D4647F" w:rsidP="00D4647F">
            <w:pPr>
              <w:jc w:val="right"/>
              <w:rPr>
                <w:sz w:val="16"/>
                <w:szCs w:val="16"/>
              </w:rPr>
            </w:pPr>
            <w:r w:rsidRPr="00872D7E">
              <w:rPr>
                <w:sz w:val="16"/>
                <w:szCs w:val="16"/>
              </w:rPr>
              <w:t>%0,00</w:t>
            </w:r>
          </w:p>
        </w:tc>
      </w:tr>
      <w:tr w:rsidR="00D4647F" w:rsidRPr="00872D7E" w14:paraId="3ED029E4" w14:textId="77777777" w:rsidTr="002F0CF7">
        <w:trPr>
          <w:trHeight w:val="113"/>
        </w:trPr>
        <w:tc>
          <w:tcPr>
            <w:tcW w:w="224" w:type="pct"/>
            <w:hideMark/>
          </w:tcPr>
          <w:p w14:paraId="441E8F7B" w14:textId="77777777" w:rsidR="00D4647F" w:rsidRPr="00872D7E" w:rsidRDefault="00D4647F" w:rsidP="00D4647F">
            <w:pPr>
              <w:contextualSpacing/>
              <w:rPr>
                <w:sz w:val="16"/>
                <w:szCs w:val="16"/>
              </w:rPr>
            </w:pPr>
            <w:r w:rsidRPr="00872D7E">
              <w:rPr>
                <w:sz w:val="16"/>
                <w:szCs w:val="16"/>
              </w:rPr>
              <w:t>16</w:t>
            </w:r>
          </w:p>
        </w:tc>
        <w:tc>
          <w:tcPr>
            <w:tcW w:w="1116" w:type="pct"/>
            <w:hideMark/>
          </w:tcPr>
          <w:p w14:paraId="63734B7B" w14:textId="77777777" w:rsidR="00D4647F" w:rsidRPr="00872D7E" w:rsidRDefault="00D4647F" w:rsidP="00D4647F">
            <w:pPr>
              <w:contextualSpacing/>
              <w:rPr>
                <w:sz w:val="16"/>
                <w:szCs w:val="16"/>
              </w:rPr>
            </w:pPr>
            <w:r w:rsidRPr="00872D7E">
              <w:rPr>
                <w:sz w:val="16"/>
                <w:szCs w:val="16"/>
              </w:rPr>
              <w:t>Diğer alacaklar</w:t>
            </w:r>
          </w:p>
        </w:tc>
        <w:tc>
          <w:tcPr>
            <w:tcW w:w="564" w:type="pct"/>
            <w:tcBorders>
              <w:top w:val="nil"/>
              <w:left w:val="nil"/>
              <w:bottom w:val="nil"/>
              <w:right w:val="nil"/>
            </w:tcBorders>
            <w:shd w:val="clear" w:color="auto" w:fill="auto"/>
            <w:vAlign w:val="bottom"/>
          </w:tcPr>
          <w:p w14:paraId="592399CE" w14:textId="11FEC76D"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45D051CC" w14:textId="76356B86" w:rsidR="00D4647F" w:rsidRPr="00872D7E" w:rsidRDefault="00D4647F" w:rsidP="00D4647F">
            <w:pPr>
              <w:jc w:val="right"/>
              <w:rPr>
                <w:color w:val="000000"/>
                <w:sz w:val="16"/>
                <w:szCs w:val="16"/>
              </w:rPr>
            </w:pPr>
            <w:r w:rsidRPr="00872D7E">
              <w:rPr>
                <w:sz w:val="16"/>
                <w:szCs w:val="16"/>
              </w:rPr>
              <w:t>-</w:t>
            </w:r>
          </w:p>
        </w:tc>
        <w:tc>
          <w:tcPr>
            <w:tcW w:w="563" w:type="pct"/>
            <w:tcBorders>
              <w:top w:val="nil"/>
              <w:left w:val="nil"/>
              <w:bottom w:val="nil"/>
              <w:right w:val="nil"/>
            </w:tcBorders>
            <w:shd w:val="clear" w:color="auto" w:fill="auto"/>
            <w:vAlign w:val="bottom"/>
          </w:tcPr>
          <w:p w14:paraId="63DED068" w14:textId="7A6AE618" w:rsidR="00D4647F" w:rsidRPr="00872D7E" w:rsidRDefault="00D4647F" w:rsidP="00D4647F">
            <w:pPr>
              <w:jc w:val="right"/>
              <w:rPr>
                <w:color w:val="000000"/>
                <w:sz w:val="16"/>
                <w:szCs w:val="16"/>
              </w:rPr>
            </w:pPr>
            <w:r w:rsidRPr="00872D7E">
              <w:rPr>
                <w:sz w:val="16"/>
                <w:szCs w:val="16"/>
              </w:rPr>
              <w:t>-</w:t>
            </w:r>
          </w:p>
        </w:tc>
        <w:tc>
          <w:tcPr>
            <w:tcW w:w="564" w:type="pct"/>
            <w:tcBorders>
              <w:top w:val="nil"/>
              <w:left w:val="nil"/>
              <w:bottom w:val="nil"/>
              <w:right w:val="nil"/>
            </w:tcBorders>
            <w:shd w:val="clear" w:color="auto" w:fill="auto"/>
            <w:vAlign w:val="bottom"/>
          </w:tcPr>
          <w:p w14:paraId="75EE02B0" w14:textId="720A0EA4"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nil"/>
              <w:right w:val="nil"/>
            </w:tcBorders>
            <w:shd w:val="clear" w:color="auto" w:fill="auto"/>
            <w:vAlign w:val="bottom"/>
          </w:tcPr>
          <w:p w14:paraId="46EA2322" w14:textId="06E0A763" w:rsidR="00D4647F" w:rsidRPr="00872D7E" w:rsidRDefault="00D4647F" w:rsidP="00D4647F">
            <w:pPr>
              <w:jc w:val="right"/>
              <w:rPr>
                <w:color w:val="000000"/>
                <w:sz w:val="16"/>
                <w:szCs w:val="16"/>
              </w:rPr>
            </w:pPr>
            <w:r w:rsidRPr="00872D7E">
              <w:rPr>
                <w:sz w:val="16"/>
                <w:szCs w:val="16"/>
              </w:rPr>
              <w:t>-</w:t>
            </w:r>
          </w:p>
        </w:tc>
        <w:tc>
          <w:tcPr>
            <w:tcW w:w="699" w:type="pct"/>
            <w:tcBorders>
              <w:top w:val="nil"/>
              <w:left w:val="nil"/>
              <w:bottom w:val="nil"/>
              <w:right w:val="nil"/>
            </w:tcBorders>
            <w:shd w:val="clear" w:color="auto" w:fill="auto"/>
            <w:vAlign w:val="bottom"/>
          </w:tcPr>
          <w:p w14:paraId="1F52994F" w14:textId="7382338A" w:rsidR="00D4647F" w:rsidRPr="00872D7E" w:rsidRDefault="00D4647F" w:rsidP="00D4647F">
            <w:pPr>
              <w:jc w:val="right"/>
              <w:rPr>
                <w:color w:val="000000"/>
                <w:sz w:val="16"/>
                <w:szCs w:val="16"/>
              </w:rPr>
            </w:pPr>
            <w:r w:rsidRPr="00872D7E">
              <w:rPr>
                <w:sz w:val="16"/>
                <w:szCs w:val="16"/>
              </w:rPr>
              <w:t>%0,00</w:t>
            </w:r>
          </w:p>
        </w:tc>
      </w:tr>
      <w:tr w:rsidR="00D4647F" w:rsidRPr="00872D7E" w14:paraId="31B67DC9" w14:textId="77777777" w:rsidTr="002F0CF7">
        <w:trPr>
          <w:trHeight w:val="113"/>
        </w:trPr>
        <w:tc>
          <w:tcPr>
            <w:tcW w:w="224" w:type="pct"/>
            <w:tcBorders>
              <w:bottom w:val="single" w:sz="4" w:space="0" w:color="auto"/>
            </w:tcBorders>
            <w:hideMark/>
          </w:tcPr>
          <w:p w14:paraId="52E3E086" w14:textId="77777777" w:rsidR="00D4647F" w:rsidRPr="00872D7E" w:rsidRDefault="00D4647F" w:rsidP="00D4647F">
            <w:pPr>
              <w:contextualSpacing/>
              <w:rPr>
                <w:sz w:val="16"/>
                <w:szCs w:val="16"/>
              </w:rPr>
            </w:pPr>
            <w:r w:rsidRPr="00872D7E">
              <w:rPr>
                <w:sz w:val="16"/>
                <w:szCs w:val="16"/>
              </w:rPr>
              <w:t>17</w:t>
            </w:r>
          </w:p>
        </w:tc>
        <w:tc>
          <w:tcPr>
            <w:tcW w:w="1116" w:type="pct"/>
            <w:tcBorders>
              <w:bottom w:val="single" w:sz="4" w:space="0" w:color="auto"/>
            </w:tcBorders>
            <w:hideMark/>
          </w:tcPr>
          <w:p w14:paraId="0B296693" w14:textId="77777777" w:rsidR="00D4647F" w:rsidRPr="00872D7E" w:rsidRDefault="00D4647F" w:rsidP="00D4647F">
            <w:pPr>
              <w:contextualSpacing/>
              <w:rPr>
                <w:sz w:val="16"/>
                <w:szCs w:val="16"/>
              </w:rPr>
            </w:pPr>
            <w:r w:rsidRPr="00872D7E">
              <w:rPr>
                <w:sz w:val="16"/>
                <w:szCs w:val="16"/>
              </w:rPr>
              <w:t>Hisse senedi yatırımları</w:t>
            </w:r>
          </w:p>
        </w:tc>
        <w:tc>
          <w:tcPr>
            <w:tcW w:w="564" w:type="pct"/>
            <w:tcBorders>
              <w:top w:val="nil"/>
              <w:left w:val="nil"/>
              <w:bottom w:val="single" w:sz="4" w:space="0" w:color="auto"/>
              <w:right w:val="nil"/>
            </w:tcBorders>
            <w:shd w:val="clear" w:color="auto" w:fill="auto"/>
            <w:vAlign w:val="bottom"/>
          </w:tcPr>
          <w:p w14:paraId="4E50CC79" w14:textId="65002646" w:rsidR="00D4647F" w:rsidRPr="00872D7E" w:rsidRDefault="00D4647F" w:rsidP="00D4647F">
            <w:pPr>
              <w:jc w:val="right"/>
              <w:rPr>
                <w:color w:val="000000"/>
                <w:sz w:val="16"/>
                <w:szCs w:val="16"/>
              </w:rPr>
            </w:pPr>
            <w:r w:rsidRPr="00872D7E">
              <w:rPr>
                <w:sz w:val="16"/>
                <w:szCs w:val="16"/>
              </w:rPr>
              <w:t>-</w:t>
            </w:r>
          </w:p>
        </w:tc>
        <w:tc>
          <w:tcPr>
            <w:tcW w:w="635" w:type="pct"/>
            <w:tcBorders>
              <w:top w:val="nil"/>
              <w:left w:val="nil"/>
              <w:bottom w:val="single" w:sz="4" w:space="0" w:color="auto"/>
              <w:right w:val="nil"/>
            </w:tcBorders>
            <w:shd w:val="clear" w:color="auto" w:fill="auto"/>
            <w:vAlign w:val="bottom"/>
          </w:tcPr>
          <w:p w14:paraId="0CC12B35" w14:textId="51C9300F" w:rsidR="00D4647F" w:rsidRPr="00872D7E" w:rsidRDefault="00D4647F" w:rsidP="00D4647F">
            <w:pPr>
              <w:jc w:val="right"/>
              <w:rPr>
                <w:sz w:val="16"/>
                <w:szCs w:val="16"/>
              </w:rPr>
            </w:pPr>
            <w:r w:rsidRPr="00872D7E">
              <w:rPr>
                <w:sz w:val="16"/>
                <w:szCs w:val="16"/>
              </w:rPr>
              <w:t>-</w:t>
            </w:r>
          </w:p>
        </w:tc>
        <w:tc>
          <w:tcPr>
            <w:tcW w:w="563" w:type="pct"/>
            <w:tcBorders>
              <w:top w:val="nil"/>
              <w:left w:val="nil"/>
              <w:bottom w:val="single" w:sz="4" w:space="0" w:color="auto"/>
              <w:right w:val="nil"/>
            </w:tcBorders>
            <w:shd w:val="clear" w:color="auto" w:fill="auto"/>
            <w:vAlign w:val="bottom"/>
          </w:tcPr>
          <w:p w14:paraId="69A33D49" w14:textId="2E45871E" w:rsidR="00D4647F" w:rsidRPr="00872D7E" w:rsidRDefault="00D4647F" w:rsidP="00D4647F">
            <w:pPr>
              <w:jc w:val="right"/>
              <w:rPr>
                <w:sz w:val="16"/>
                <w:szCs w:val="16"/>
              </w:rPr>
            </w:pPr>
            <w:r w:rsidRPr="00872D7E">
              <w:rPr>
                <w:sz w:val="16"/>
                <w:szCs w:val="16"/>
              </w:rPr>
              <w:t>-</w:t>
            </w:r>
          </w:p>
        </w:tc>
        <w:tc>
          <w:tcPr>
            <w:tcW w:w="564" w:type="pct"/>
            <w:tcBorders>
              <w:top w:val="nil"/>
              <w:left w:val="nil"/>
              <w:bottom w:val="single" w:sz="4" w:space="0" w:color="auto"/>
              <w:right w:val="nil"/>
            </w:tcBorders>
            <w:shd w:val="clear" w:color="auto" w:fill="auto"/>
            <w:vAlign w:val="bottom"/>
          </w:tcPr>
          <w:p w14:paraId="3672F9BA" w14:textId="3C5D514E" w:rsidR="00D4647F" w:rsidRPr="00872D7E" w:rsidRDefault="00D4647F" w:rsidP="00D4647F">
            <w:pPr>
              <w:jc w:val="right"/>
              <w:rPr>
                <w:sz w:val="16"/>
                <w:szCs w:val="16"/>
              </w:rPr>
            </w:pPr>
            <w:r w:rsidRPr="00872D7E">
              <w:rPr>
                <w:sz w:val="16"/>
                <w:szCs w:val="16"/>
              </w:rPr>
              <w:t>-</w:t>
            </w:r>
          </w:p>
        </w:tc>
        <w:tc>
          <w:tcPr>
            <w:tcW w:w="635" w:type="pct"/>
            <w:tcBorders>
              <w:top w:val="nil"/>
              <w:left w:val="nil"/>
              <w:bottom w:val="single" w:sz="4" w:space="0" w:color="auto"/>
              <w:right w:val="nil"/>
            </w:tcBorders>
            <w:shd w:val="clear" w:color="auto" w:fill="auto"/>
            <w:vAlign w:val="bottom"/>
          </w:tcPr>
          <w:p w14:paraId="73E33719" w14:textId="6304FB25" w:rsidR="00D4647F" w:rsidRPr="00872D7E" w:rsidRDefault="00D4647F" w:rsidP="00D4647F">
            <w:pPr>
              <w:jc w:val="right"/>
              <w:rPr>
                <w:sz w:val="16"/>
                <w:szCs w:val="16"/>
              </w:rPr>
            </w:pPr>
            <w:r w:rsidRPr="00872D7E">
              <w:rPr>
                <w:sz w:val="16"/>
                <w:szCs w:val="16"/>
              </w:rPr>
              <w:t>-</w:t>
            </w:r>
          </w:p>
        </w:tc>
        <w:tc>
          <w:tcPr>
            <w:tcW w:w="699" w:type="pct"/>
            <w:tcBorders>
              <w:top w:val="nil"/>
              <w:left w:val="nil"/>
              <w:bottom w:val="single" w:sz="4" w:space="0" w:color="auto"/>
              <w:right w:val="nil"/>
            </w:tcBorders>
            <w:shd w:val="clear" w:color="auto" w:fill="auto"/>
            <w:vAlign w:val="bottom"/>
          </w:tcPr>
          <w:p w14:paraId="6EC5B4D0" w14:textId="5123A42A" w:rsidR="00D4647F" w:rsidRPr="00872D7E" w:rsidRDefault="00D4647F" w:rsidP="00D4647F">
            <w:pPr>
              <w:jc w:val="right"/>
              <w:rPr>
                <w:sz w:val="16"/>
                <w:szCs w:val="16"/>
              </w:rPr>
            </w:pPr>
            <w:r w:rsidRPr="00872D7E">
              <w:rPr>
                <w:sz w:val="16"/>
                <w:szCs w:val="16"/>
              </w:rPr>
              <w:t>%0,00</w:t>
            </w:r>
          </w:p>
        </w:tc>
      </w:tr>
      <w:tr w:rsidR="00D4647F" w:rsidRPr="00872D7E" w14:paraId="78581B13" w14:textId="77777777" w:rsidTr="002F0CF7">
        <w:trPr>
          <w:trHeight w:val="113"/>
        </w:trPr>
        <w:tc>
          <w:tcPr>
            <w:tcW w:w="224" w:type="pct"/>
            <w:tcBorders>
              <w:top w:val="single" w:sz="4" w:space="0" w:color="auto"/>
              <w:bottom w:val="single" w:sz="12" w:space="0" w:color="auto"/>
            </w:tcBorders>
            <w:hideMark/>
          </w:tcPr>
          <w:p w14:paraId="410442FD" w14:textId="77777777" w:rsidR="00D4647F" w:rsidRPr="00872D7E" w:rsidRDefault="00D4647F" w:rsidP="00D4647F">
            <w:pPr>
              <w:contextualSpacing/>
              <w:rPr>
                <w:b/>
                <w:sz w:val="16"/>
                <w:szCs w:val="16"/>
              </w:rPr>
            </w:pPr>
            <w:r w:rsidRPr="00872D7E">
              <w:rPr>
                <w:b/>
                <w:sz w:val="16"/>
                <w:szCs w:val="16"/>
              </w:rPr>
              <w:t>18</w:t>
            </w:r>
          </w:p>
        </w:tc>
        <w:tc>
          <w:tcPr>
            <w:tcW w:w="1116" w:type="pct"/>
            <w:tcBorders>
              <w:top w:val="single" w:sz="4" w:space="0" w:color="auto"/>
              <w:bottom w:val="single" w:sz="12" w:space="0" w:color="auto"/>
            </w:tcBorders>
            <w:hideMark/>
          </w:tcPr>
          <w:p w14:paraId="5B8ABBE0" w14:textId="77777777" w:rsidR="00D4647F" w:rsidRPr="00872D7E" w:rsidRDefault="00D4647F" w:rsidP="00D4647F">
            <w:pPr>
              <w:contextualSpacing/>
              <w:rPr>
                <w:b/>
                <w:sz w:val="16"/>
                <w:szCs w:val="16"/>
              </w:rPr>
            </w:pPr>
            <w:r w:rsidRPr="00872D7E">
              <w:rPr>
                <w:b/>
                <w:sz w:val="16"/>
                <w:szCs w:val="16"/>
              </w:rPr>
              <w:t>Toplam</w:t>
            </w:r>
          </w:p>
        </w:tc>
        <w:tc>
          <w:tcPr>
            <w:tcW w:w="564" w:type="pct"/>
            <w:tcBorders>
              <w:top w:val="single" w:sz="4" w:space="0" w:color="auto"/>
              <w:left w:val="nil"/>
              <w:bottom w:val="single" w:sz="12" w:space="0" w:color="auto"/>
              <w:right w:val="nil"/>
            </w:tcBorders>
            <w:shd w:val="clear" w:color="auto" w:fill="auto"/>
            <w:vAlign w:val="bottom"/>
          </w:tcPr>
          <w:p w14:paraId="745663A7" w14:textId="5F5DC469" w:rsidR="00D4647F" w:rsidRPr="00872D7E" w:rsidRDefault="00D4647F" w:rsidP="00D4647F">
            <w:pPr>
              <w:jc w:val="right"/>
              <w:rPr>
                <w:b/>
                <w:bCs/>
                <w:color w:val="000000"/>
                <w:sz w:val="16"/>
                <w:szCs w:val="16"/>
              </w:rPr>
            </w:pPr>
            <w:r w:rsidRPr="00872D7E">
              <w:rPr>
                <w:b/>
                <w:bCs/>
                <w:sz w:val="16"/>
                <w:szCs w:val="16"/>
              </w:rPr>
              <w:t>562.258</w:t>
            </w:r>
          </w:p>
        </w:tc>
        <w:tc>
          <w:tcPr>
            <w:tcW w:w="635" w:type="pct"/>
            <w:tcBorders>
              <w:top w:val="single" w:sz="4" w:space="0" w:color="auto"/>
              <w:left w:val="nil"/>
              <w:bottom w:val="single" w:sz="12" w:space="0" w:color="auto"/>
              <w:right w:val="nil"/>
            </w:tcBorders>
            <w:shd w:val="clear" w:color="auto" w:fill="auto"/>
            <w:vAlign w:val="bottom"/>
          </w:tcPr>
          <w:p w14:paraId="3139F15C" w14:textId="2B44D23A" w:rsidR="00D4647F" w:rsidRPr="00872D7E" w:rsidRDefault="00D4647F" w:rsidP="00D4647F">
            <w:pPr>
              <w:jc w:val="right"/>
              <w:rPr>
                <w:b/>
                <w:bCs/>
                <w:color w:val="000000"/>
                <w:sz w:val="16"/>
                <w:szCs w:val="16"/>
              </w:rPr>
            </w:pPr>
            <w:r w:rsidRPr="00872D7E">
              <w:rPr>
                <w:b/>
                <w:bCs/>
                <w:sz w:val="16"/>
                <w:szCs w:val="16"/>
              </w:rPr>
              <w:t>87.593</w:t>
            </w:r>
          </w:p>
        </w:tc>
        <w:tc>
          <w:tcPr>
            <w:tcW w:w="563" w:type="pct"/>
            <w:tcBorders>
              <w:top w:val="single" w:sz="4" w:space="0" w:color="auto"/>
              <w:left w:val="nil"/>
              <w:bottom w:val="single" w:sz="12" w:space="0" w:color="auto"/>
              <w:right w:val="nil"/>
            </w:tcBorders>
            <w:shd w:val="clear" w:color="auto" w:fill="auto"/>
            <w:vAlign w:val="bottom"/>
          </w:tcPr>
          <w:p w14:paraId="16ED1B49" w14:textId="0A41CBFF" w:rsidR="00D4647F" w:rsidRPr="00872D7E" w:rsidRDefault="00D4647F" w:rsidP="00D4647F">
            <w:pPr>
              <w:jc w:val="right"/>
              <w:rPr>
                <w:b/>
                <w:bCs/>
                <w:color w:val="000000"/>
                <w:sz w:val="16"/>
                <w:szCs w:val="16"/>
              </w:rPr>
            </w:pPr>
            <w:r w:rsidRPr="00872D7E">
              <w:rPr>
                <w:b/>
                <w:bCs/>
                <w:sz w:val="16"/>
                <w:szCs w:val="16"/>
              </w:rPr>
              <w:t>562.258</w:t>
            </w:r>
          </w:p>
        </w:tc>
        <w:tc>
          <w:tcPr>
            <w:tcW w:w="564" w:type="pct"/>
            <w:tcBorders>
              <w:top w:val="single" w:sz="4" w:space="0" w:color="auto"/>
              <w:left w:val="nil"/>
              <w:bottom w:val="single" w:sz="12" w:space="0" w:color="auto"/>
              <w:right w:val="nil"/>
            </w:tcBorders>
            <w:shd w:val="clear" w:color="auto" w:fill="auto"/>
            <w:vAlign w:val="bottom"/>
          </w:tcPr>
          <w:p w14:paraId="213C703A" w14:textId="193BAFB5" w:rsidR="00D4647F" w:rsidRPr="00872D7E" w:rsidRDefault="00D4647F" w:rsidP="00D4647F">
            <w:pPr>
              <w:jc w:val="right"/>
              <w:rPr>
                <w:b/>
                <w:bCs/>
                <w:color w:val="000000"/>
                <w:sz w:val="16"/>
                <w:szCs w:val="16"/>
              </w:rPr>
            </w:pPr>
            <w:r w:rsidRPr="00872D7E">
              <w:rPr>
                <w:b/>
                <w:bCs/>
                <w:sz w:val="16"/>
                <w:szCs w:val="16"/>
              </w:rPr>
              <w:t>87.593</w:t>
            </w:r>
          </w:p>
        </w:tc>
        <w:tc>
          <w:tcPr>
            <w:tcW w:w="635" w:type="pct"/>
            <w:tcBorders>
              <w:top w:val="single" w:sz="4" w:space="0" w:color="auto"/>
              <w:left w:val="nil"/>
              <w:bottom w:val="single" w:sz="12" w:space="0" w:color="auto"/>
              <w:right w:val="nil"/>
            </w:tcBorders>
            <w:shd w:val="clear" w:color="auto" w:fill="auto"/>
            <w:vAlign w:val="bottom"/>
          </w:tcPr>
          <w:p w14:paraId="26AA1718" w14:textId="21D083D4" w:rsidR="00D4647F" w:rsidRPr="00872D7E" w:rsidRDefault="00D4647F" w:rsidP="00D4647F">
            <w:pPr>
              <w:jc w:val="right"/>
              <w:rPr>
                <w:b/>
                <w:bCs/>
                <w:color w:val="000000"/>
                <w:sz w:val="16"/>
                <w:szCs w:val="16"/>
              </w:rPr>
            </w:pPr>
            <w:r w:rsidRPr="00872D7E">
              <w:rPr>
                <w:b/>
                <w:bCs/>
                <w:sz w:val="16"/>
                <w:szCs w:val="16"/>
              </w:rPr>
              <w:t>198.168</w:t>
            </w:r>
          </w:p>
        </w:tc>
        <w:tc>
          <w:tcPr>
            <w:tcW w:w="699" w:type="pct"/>
            <w:tcBorders>
              <w:top w:val="single" w:sz="4" w:space="0" w:color="auto"/>
              <w:left w:val="nil"/>
              <w:bottom w:val="single" w:sz="12" w:space="0" w:color="auto"/>
              <w:right w:val="nil"/>
            </w:tcBorders>
            <w:shd w:val="clear" w:color="auto" w:fill="auto"/>
            <w:vAlign w:val="bottom"/>
          </w:tcPr>
          <w:p w14:paraId="6644CC22" w14:textId="77777777" w:rsidR="00D4647F" w:rsidRPr="00872D7E" w:rsidRDefault="00D4647F" w:rsidP="00D4647F">
            <w:pPr>
              <w:jc w:val="right"/>
              <w:rPr>
                <w:b/>
                <w:bCs/>
                <w:sz w:val="16"/>
                <w:szCs w:val="16"/>
              </w:rPr>
            </w:pPr>
          </w:p>
        </w:tc>
      </w:tr>
    </w:tbl>
    <w:p w14:paraId="6713A93A" w14:textId="77777777" w:rsidR="00DC64F5" w:rsidRPr="00872D7E" w:rsidRDefault="00DC64F5" w:rsidP="00DC64F5">
      <w:pPr>
        <w:rPr>
          <w:szCs w:val="20"/>
        </w:rPr>
      </w:pPr>
    </w:p>
    <w:p w14:paraId="0E817EFA" w14:textId="77777777" w:rsidR="00DC64F5" w:rsidRPr="00872D7E" w:rsidRDefault="00DC64F5" w:rsidP="00DC64F5">
      <w:pPr>
        <w:spacing w:before="120" w:after="120"/>
        <w:ind w:left="851"/>
        <w:rPr>
          <w:b/>
          <w:szCs w:val="20"/>
        </w:rPr>
      </w:pPr>
    </w:p>
    <w:p w14:paraId="69A78827" w14:textId="77777777" w:rsidR="00344C7A" w:rsidRPr="00872D7E" w:rsidRDefault="00DC64F5">
      <w:pPr>
        <w:rPr>
          <w:b/>
          <w:szCs w:val="20"/>
        </w:rPr>
        <w:sectPr w:rsidR="00344C7A" w:rsidRPr="00872D7E" w:rsidSect="0004729F">
          <w:pgSz w:w="11907" w:h="16840" w:code="9"/>
          <w:pgMar w:top="1134" w:right="1134" w:bottom="1134" w:left="1134" w:header="851" w:footer="851" w:gutter="0"/>
          <w:cols w:space="708"/>
          <w:titlePg/>
          <w:docGrid w:linePitch="360"/>
        </w:sectPr>
      </w:pPr>
      <w:r w:rsidRPr="00872D7E">
        <w:rPr>
          <w:b/>
          <w:szCs w:val="20"/>
        </w:rPr>
        <w:br w:type="page"/>
      </w:r>
    </w:p>
    <w:p w14:paraId="64CB4D1E" w14:textId="77777777" w:rsidR="00344C7A" w:rsidRPr="00872D7E" w:rsidRDefault="00344C7A" w:rsidP="008C5672">
      <w:pPr>
        <w:pStyle w:val="BodyTextIndent"/>
        <w:widowControl w:val="0"/>
        <w:ind w:firstLine="0"/>
        <w:rPr>
          <w:b/>
          <w:szCs w:val="20"/>
        </w:rPr>
      </w:pPr>
      <w:bookmarkStart w:id="49" w:name="_Hlk183770325"/>
      <w:r w:rsidRPr="00872D7E">
        <w:rPr>
          <w:b/>
          <w:szCs w:val="20"/>
        </w:rPr>
        <w:lastRenderedPageBreak/>
        <w:t>MALİ BÜNYEYE VE RİSK YÖNETİMİNE İLİŞKİN BİLGİLER (Devamı)</w:t>
      </w:r>
    </w:p>
    <w:p w14:paraId="665A5243" w14:textId="77777777" w:rsidR="00344C7A" w:rsidRPr="00872D7E" w:rsidRDefault="00344C7A" w:rsidP="00344C7A">
      <w:pPr>
        <w:widowControl w:val="0"/>
        <w:autoSpaceDE w:val="0"/>
        <w:autoSpaceDN w:val="0"/>
        <w:adjustRightInd w:val="0"/>
        <w:ind w:left="851"/>
        <w:jc w:val="both"/>
        <w:rPr>
          <w:szCs w:val="20"/>
        </w:rPr>
      </w:pPr>
    </w:p>
    <w:p w14:paraId="601A9788" w14:textId="7AAB4579" w:rsidR="000E463B" w:rsidRPr="00872D7E" w:rsidRDefault="00CB58D3" w:rsidP="002F0CF7">
      <w:pPr>
        <w:tabs>
          <w:tab w:val="left" w:pos="851"/>
        </w:tabs>
        <w:rPr>
          <w:b/>
          <w:bCs/>
        </w:rPr>
      </w:pPr>
      <w:r w:rsidRPr="00872D7E">
        <w:rPr>
          <w:b/>
          <w:bCs/>
        </w:rPr>
        <w:t>I</w:t>
      </w:r>
      <w:r w:rsidR="000E463B" w:rsidRPr="00872D7E">
        <w:rPr>
          <w:b/>
          <w:bCs/>
        </w:rPr>
        <w:t>X.</w:t>
      </w:r>
      <w:r w:rsidR="000E463B" w:rsidRPr="00872D7E">
        <w:rPr>
          <w:b/>
          <w:bCs/>
        </w:rPr>
        <w:tab/>
        <w:t>RİSK YÖNETİMİNE İLİŞKİN AÇIKLAMALAR (Devamı)</w:t>
      </w:r>
    </w:p>
    <w:p w14:paraId="12072882" w14:textId="77777777" w:rsidR="00344C7A" w:rsidRPr="00872D7E" w:rsidRDefault="00344C7A" w:rsidP="00344C7A">
      <w:pPr>
        <w:ind w:left="851"/>
        <w:rPr>
          <w:b/>
          <w:szCs w:val="20"/>
        </w:rPr>
      </w:pPr>
    </w:p>
    <w:p w14:paraId="37A9ADB6" w14:textId="050336C2" w:rsidR="00344C7A" w:rsidRPr="00872D7E" w:rsidRDefault="008C5672" w:rsidP="002F0CF7">
      <w:pPr>
        <w:ind w:left="851" w:hanging="851"/>
        <w:rPr>
          <w:b/>
          <w:szCs w:val="20"/>
        </w:rPr>
      </w:pPr>
      <w:r w:rsidRPr="00872D7E">
        <w:rPr>
          <w:b/>
          <w:szCs w:val="20"/>
        </w:rPr>
        <w:t>c</w:t>
      </w:r>
      <w:r w:rsidR="00344C7A" w:rsidRPr="00872D7E">
        <w:rPr>
          <w:b/>
          <w:szCs w:val="20"/>
        </w:rPr>
        <w:t>.3.</w:t>
      </w:r>
      <w:r w:rsidRPr="00872D7E">
        <w:rPr>
          <w:b/>
          <w:szCs w:val="20"/>
        </w:rPr>
        <w:t>3</w:t>
      </w:r>
      <w:r w:rsidR="00344C7A" w:rsidRPr="00872D7E">
        <w:rPr>
          <w:b/>
          <w:szCs w:val="20"/>
        </w:rPr>
        <w:t>.</w:t>
      </w:r>
      <w:bookmarkStart w:id="50" w:name="_Hlk127255312"/>
      <w:r w:rsidR="002F0CF7" w:rsidRPr="00872D7E">
        <w:rPr>
          <w:b/>
          <w:szCs w:val="20"/>
        </w:rPr>
        <w:tab/>
      </w:r>
      <w:r w:rsidR="00344C7A" w:rsidRPr="00872D7E">
        <w:rPr>
          <w:b/>
          <w:szCs w:val="20"/>
        </w:rPr>
        <w:t>Risk Sınıflarına ve Risk Ağırlıklarına Göre Alacaklar:</w:t>
      </w:r>
      <w:bookmarkEnd w:id="50"/>
    </w:p>
    <w:p w14:paraId="42C912CA" w14:textId="77777777" w:rsidR="002F0CF7" w:rsidRPr="00872D7E" w:rsidRDefault="002F0CF7" w:rsidP="002F0CF7">
      <w:pPr>
        <w:ind w:left="851" w:hanging="851"/>
        <w:rPr>
          <w:b/>
          <w:szCs w:val="20"/>
        </w:rPr>
      </w:pPr>
    </w:p>
    <w:tbl>
      <w:tblPr>
        <w:tblStyle w:val="TableGrid"/>
        <w:tblW w:w="48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
        <w:gridCol w:w="2708"/>
        <w:gridCol w:w="928"/>
        <w:gridCol w:w="536"/>
        <w:gridCol w:w="928"/>
        <w:gridCol w:w="536"/>
        <w:gridCol w:w="1665"/>
        <w:gridCol w:w="982"/>
        <w:gridCol w:w="867"/>
        <w:gridCol w:w="1028"/>
        <w:gridCol w:w="777"/>
        <w:gridCol w:w="616"/>
        <w:gridCol w:w="946"/>
        <w:gridCol w:w="1268"/>
      </w:tblGrid>
      <w:tr w:rsidR="00EF55AD" w:rsidRPr="00872D7E" w14:paraId="039E4670" w14:textId="77777777" w:rsidTr="006E16D5">
        <w:trPr>
          <w:trHeight w:val="113"/>
        </w:trPr>
        <w:tc>
          <w:tcPr>
            <w:tcW w:w="95" w:type="pct"/>
            <w:tcBorders>
              <w:top w:val="single" w:sz="4" w:space="0" w:color="auto"/>
              <w:bottom w:val="single" w:sz="4" w:space="0" w:color="auto"/>
            </w:tcBorders>
            <w:noWrap/>
            <w:vAlign w:val="bottom"/>
            <w:hideMark/>
          </w:tcPr>
          <w:p w14:paraId="0379F896" w14:textId="77777777" w:rsidR="00344C7A" w:rsidRPr="00872D7E" w:rsidRDefault="00344C7A" w:rsidP="002F0CF7">
            <w:pPr>
              <w:rPr>
                <w:sz w:val="16"/>
                <w:szCs w:val="16"/>
              </w:rPr>
            </w:pPr>
            <w:r w:rsidRPr="00872D7E">
              <w:rPr>
                <w:b/>
                <w:sz w:val="16"/>
                <w:szCs w:val="16"/>
              </w:rPr>
              <w:tab/>
            </w:r>
            <w:r w:rsidRPr="00872D7E">
              <w:rPr>
                <w:sz w:val="16"/>
                <w:szCs w:val="16"/>
              </w:rPr>
              <w:t> </w:t>
            </w:r>
          </w:p>
        </w:tc>
        <w:tc>
          <w:tcPr>
            <w:tcW w:w="950" w:type="pct"/>
            <w:tcBorders>
              <w:top w:val="single" w:sz="4" w:space="0" w:color="auto"/>
              <w:bottom w:val="single" w:sz="4" w:space="0" w:color="auto"/>
            </w:tcBorders>
            <w:vAlign w:val="center"/>
            <w:hideMark/>
          </w:tcPr>
          <w:p w14:paraId="79424152" w14:textId="5DFA94CD" w:rsidR="00344C7A" w:rsidRPr="00872D7E" w:rsidRDefault="00EF55AD" w:rsidP="002F0CF7">
            <w:pPr>
              <w:spacing w:before="120"/>
              <w:contextualSpacing/>
              <w:rPr>
                <w:b/>
                <w:sz w:val="16"/>
                <w:szCs w:val="16"/>
              </w:rPr>
            </w:pPr>
            <w:r w:rsidRPr="00872D7E">
              <w:rPr>
                <w:b/>
                <w:sz w:val="16"/>
                <w:szCs w:val="16"/>
              </w:rPr>
              <w:t>31 Aralık 2024</w:t>
            </w:r>
          </w:p>
          <w:p w14:paraId="7DD0D4C8" w14:textId="77777777" w:rsidR="00344C7A" w:rsidRPr="00872D7E" w:rsidRDefault="00344C7A" w:rsidP="002F0CF7">
            <w:pPr>
              <w:spacing w:before="120"/>
              <w:contextualSpacing/>
              <w:rPr>
                <w:b/>
                <w:sz w:val="16"/>
                <w:szCs w:val="16"/>
              </w:rPr>
            </w:pPr>
          </w:p>
          <w:p w14:paraId="4F7FEF5F" w14:textId="77777777" w:rsidR="00344C7A" w:rsidRPr="00872D7E" w:rsidRDefault="00344C7A" w:rsidP="002F0CF7">
            <w:pPr>
              <w:spacing w:before="120"/>
              <w:contextualSpacing/>
              <w:rPr>
                <w:b/>
                <w:sz w:val="16"/>
                <w:szCs w:val="16"/>
              </w:rPr>
            </w:pPr>
            <w:r w:rsidRPr="00872D7E">
              <w:rPr>
                <w:b/>
                <w:sz w:val="16"/>
                <w:szCs w:val="16"/>
              </w:rPr>
              <w:t>Risk Sınıfları/Risk Ağırlığı</w:t>
            </w:r>
          </w:p>
        </w:tc>
        <w:tc>
          <w:tcPr>
            <w:tcW w:w="341" w:type="pct"/>
            <w:tcBorders>
              <w:top w:val="single" w:sz="4" w:space="0" w:color="auto"/>
              <w:bottom w:val="single" w:sz="4" w:space="0" w:color="auto"/>
            </w:tcBorders>
            <w:vAlign w:val="bottom"/>
            <w:hideMark/>
          </w:tcPr>
          <w:p w14:paraId="7A0EECF2" w14:textId="77777777" w:rsidR="00344C7A" w:rsidRPr="00872D7E" w:rsidRDefault="00344C7A" w:rsidP="006E16D5">
            <w:pPr>
              <w:contextualSpacing/>
              <w:jc w:val="right"/>
              <w:rPr>
                <w:b/>
                <w:sz w:val="16"/>
                <w:szCs w:val="16"/>
              </w:rPr>
            </w:pPr>
            <w:r w:rsidRPr="00872D7E">
              <w:rPr>
                <w:b/>
                <w:sz w:val="16"/>
                <w:szCs w:val="16"/>
              </w:rPr>
              <w:t>%0</w:t>
            </w:r>
          </w:p>
        </w:tc>
        <w:tc>
          <w:tcPr>
            <w:tcW w:w="180" w:type="pct"/>
            <w:tcBorders>
              <w:top w:val="single" w:sz="4" w:space="0" w:color="auto"/>
              <w:bottom w:val="single" w:sz="4" w:space="0" w:color="auto"/>
            </w:tcBorders>
            <w:vAlign w:val="bottom"/>
            <w:hideMark/>
          </w:tcPr>
          <w:p w14:paraId="29A4ED29" w14:textId="77777777" w:rsidR="00344C7A" w:rsidRPr="00872D7E" w:rsidRDefault="00344C7A" w:rsidP="006E16D5">
            <w:pPr>
              <w:contextualSpacing/>
              <w:jc w:val="right"/>
              <w:rPr>
                <w:b/>
                <w:sz w:val="16"/>
                <w:szCs w:val="16"/>
              </w:rPr>
            </w:pPr>
            <w:r w:rsidRPr="00872D7E">
              <w:rPr>
                <w:b/>
                <w:sz w:val="16"/>
                <w:szCs w:val="16"/>
              </w:rPr>
              <w:t>%10</w:t>
            </w:r>
          </w:p>
        </w:tc>
        <w:tc>
          <w:tcPr>
            <w:tcW w:w="341" w:type="pct"/>
            <w:tcBorders>
              <w:top w:val="single" w:sz="4" w:space="0" w:color="auto"/>
              <w:bottom w:val="single" w:sz="4" w:space="0" w:color="auto"/>
            </w:tcBorders>
            <w:vAlign w:val="bottom"/>
            <w:hideMark/>
          </w:tcPr>
          <w:p w14:paraId="372B1171" w14:textId="77777777" w:rsidR="00344C7A" w:rsidRPr="00872D7E" w:rsidRDefault="00344C7A" w:rsidP="006E16D5">
            <w:pPr>
              <w:contextualSpacing/>
              <w:jc w:val="right"/>
              <w:rPr>
                <w:b/>
                <w:sz w:val="16"/>
                <w:szCs w:val="16"/>
              </w:rPr>
            </w:pPr>
            <w:r w:rsidRPr="00872D7E">
              <w:rPr>
                <w:b/>
                <w:sz w:val="16"/>
                <w:szCs w:val="16"/>
              </w:rPr>
              <w:t>%20</w:t>
            </w:r>
          </w:p>
        </w:tc>
        <w:tc>
          <w:tcPr>
            <w:tcW w:w="197" w:type="pct"/>
            <w:tcBorders>
              <w:top w:val="single" w:sz="4" w:space="0" w:color="auto"/>
              <w:bottom w:val="single" w:sz="4" w:space="0" w:color="auto"/>
            </w:tcBorders>
            <w:vAlign w:val="bottom"/>
          </w:tcPr>
          <w:p w14:paraId="0A48E3D6" w14:textId="77777777" w:rsidR="00344C7A" w:rsidRPr="00872D7E" w:rsidRDefault="00344C7A" w:rsidP="006E16D5">
            <w:pPr>
              <w:contextualSpacing/>
              <w:jc w:val="right"/>
              <w:rPr>
                <w:b/>
                <w:sz w:val="16"/>
                <w:szCs w:val="16"/>
              </w:rPr>
            </w:pPr>
            <w:r w:rsidRPr="00872D7E">
              <w:rPr>
                <w:b/>
                <w:sz w:val="16"/>
                <w:szCs w:val="16"/>
              </w:rPr>
              <w:t>%25</w:t>
            </w:r>
          </w:p>
        </w:tc>
        <w:tc>
          <w:tcPr>
            <w:tcW w:w="560" w:type="pct"/>
            <w:tcBorders>
              <w:top w:val="single" w:sz="4" w:space="0" w:color="auto"/>
              <w:bottom w:val="single" w:sz="4" w:space="0" w:color="auto"/>
            </w:tcBorders>
            <w:vAlign w:val="bottom"/>
          </w:tcPr>
          <w:p w14:paraId="29593CAB" w14:textId="77777777" w:rsidR="00344C7A" w:rsidRPr="00872D7E" w:rsidRDefault="00344C7A" w:rsidP="006E16D5">
            <w:pPr>
              <w:contextualSpacing/>
              <w:jc w:val="right"/>
              <w:rPr>
                <w:b/>
                <w:sz w:val="16"/>
                <w:szCs w:val="16"/>
              </w:rPr>
            </w:pPr>
            <w:r w:rsidRPr="00872D7E">
              <w:rPr>
                <w:b/>
                <w:sz w:val="16"/>
                <w:szCs w:val="16"/>
              </w:rPr>
              <w:t>%35 Gayrimenkul İpoteğiyle Teminatlandırılanlar</w:t>
            </w:r>
          </w:p>
        </w:tc>
        <w:tc>
          <w:tcPr>
            <w:tcW w:w="369" w:type="pct"/>
            <w:tcBorders>
              <w:top w:val="single" w:sz="4" w:space="0" w:color="auto"/>
              <w:bottom w:val="single" w:sz="4" w:space="0" w:color="auto"/>
            </w:tcBorders>
            <w:vAlign w:val="bottom"/>
            <w:hideMark/>
          </w:tcPr>
          <w:p w14:paraId="5F79413D" w14:textId="77777777" w:rsidR="00344C7A" w:rsidRPr="00872D7E" w:rsidRDefault="00344C7A" w:rsidP="006E16D5">
            <w:pPr>
              <w:contextualSpacing/>
              <w:jc w:val="right"/>
              <w:rPr>
                <w:b/>
                <w:sz w:val="16"/>
                <w:szCs w:val="16"/>
              </w:rPr>
            </w:pPr>
            <w:r w:rsidRPr="00872D7E">
              <w:rPr>
                <w:b/>
                <w:sz w:val="16"/>
                <w:szCs w:val="16"/>
              </w:rPr>
              <w:t>%50</w:t>
            </w:r>
          </w:p>
        </w:tc>
        <w:tc>
          <w:tcPr>
            <w:tcW w:w="320" w:type="pct"/>
            <w:tcBorders>
              <w:top w:val="single" w:sz="4" w:space="0" w:color="auto"/>
              <w:bottom w:val="single" w:sz="4" w:space="0" w:color="auto"/>
            </w:tcBorders>
            <w:vAlign w:val="bottom"/>
            <w:hideMark/>
          </w:tcPr>
          <w:p w14:paraId="49C8A830" w14:textId="77777777" w:rsidR="00344C7A" w:rsidRPr="00872D7E" w:rsidRDefault="00344C7A" w:rsidP="006E16D5">
            <w:pPr>
              <w:contextualSpacing/>
              <w:jc w:val="right"/>
              <w:rPr>
                <w:b/>
                <w:sz w:val="16"/>
                <w:szCs w:val="16"/>
              </w:rPr>
            </w:pPr>
            <w:r w:rsidRPr="00872D7E">
              <w:rPr>
                <w:b/>
                <w:sz w:val="16"/>
                <w:szCs w:val="16"/>
              </w:rPr>
              <w:t>%75</w:t>
            </w:r>
          </w:p>
        </w:tc>
        <w:tc>
          <w:tcPr>
            <w:tcW w:w="375" w:type="pct"/>
            <w:tcBorders>
              <w:top w:val="single" w:sz="4" w:space="0" w:color="auto"/>
              <w:bottom w:val="single" w:sz="4" w:space="0" w:color="auto"/>
            </w:tcBorders>
            <w:vAlign w:val="bottom"/>
            <w:hideMark/>
          </w:tcPr>
          <w:p w14:paraId="31E909E9" w14:textId="77777777" w:rsidR="00344C7A" w:rsidRPr="00872D7E" w:rsidRDefault="00344C7A" w:rsidP="006E16D5">
            <w:pPr>
              <w:contextualSpacing/>
              <w:jc w:val="right"/>
              <w:rPr>
                <w:b/>
                <w:sz w:val="16"/>
                <w:szCs w:val="16"/>
              </w:rPr>
            </w:pPr>
            <w:r w:rsidRPr="00872D7E">
              <w:rPr>
                <w:b/>
                <w:sz w:val="16"/>
                <w:szCs w:val="16"/>
              </w:rPr>
              <w:t>%100</w:t>
            </w:r>
          </w:p>
        </w:tc>
        <w:tc>
          <w:tcPr>
            <w:tcW w:w="289" w:type="pct"/>
            <w:tcBorders>
              <w:top w:val="single" w:sz="4" w:space="0" w:color="auto"/>
              <w:bottom w:val="single" w:sz="4" w:space="0" w:color="auto"/>
            </w:tcBorders>
            <w:vAlign w:val="bottom"/>
            <w:hideMark/>
          </w:tcPr>
          <w:p w14:paraId="542E0CA1" w14:textId="77777777" w:rsidR="00344C7A" w:rsidRPr="00872D7E" w:rsidRDefault="00344C7A" w:rsidP="006E16D5">
            <w:pPr>
              <w:contextualSpacing/>
              <w:jc w:val="right"/>
              <w:rPr>
                <w:b/>
                <w:sz w:val="16"/>
                <w:szCs w:val="16"/>
              </w:rPr>
            </w:pPr>
            <w:r w:rsidRPr="00872D7E">
              <w:rPr>
                <w:b/>
                <w:sz w:val="16"/>
                <w:szCs w:val="16"/>
              </w:rPr>
              <w:t>%150</w:t>
            </w:r>
          </w:p>
        </w:tc>
        <w:tc>
          <w:tcPr>
            <w:tcW w:w="207" w:type="pct"/>
            <w:tcBorders>
              <w:top w:val="single" w:sz="4" w:space="0" w:color="auto"/>
              <w:bottom w:val="single" w:sz="4" w:space="0" w:color="auto"/>
            </w:tcBorders>
            <w:vAlign w:val="bottom"/>
            <w:hideMark/>
          </w:tcPr>
          <w:p w14:paraId="05A7664A" w14:textId="77777777" w:rsidR="00344C7A" w:rsidRPr="00872D7E" w:rsidRDefault="00344C7A" w:rsidP="006E16D5">
            <w:pPr>
              <w:contextualSpacing/>
              <w:jc w:val="right"/>
              <w:rPr>
                <w:b/>
                <w:sz w:val="16"/>
                <w:szCs w:val="16"/>
              </w:rPr>
            </w:pPr>
            <w:r w:rsidRPr="00872D7E">
              <w:rPr>
                <w:b/>
                <w:sz w:val="16"/>
                <w:szCs w:val="16"/>
              </w:rPr>
              <w:t>%250</w:t>
            </w:r>
          </w:p>
        </w:tc>
        <w:tc>
          <w:tcPr>
            <w:tcW w:w="318" w:type="pct"/>
            <w:tcBorders>
              <w:top w:val="single" w:sz="4" w:space="0" w:color="auto"/>
              <w:bottom w:val="single" w:sz="4" w:space="0" w:color="auto"/>
            </w:tcBorders>
            <w:vAlign w:val="bottom"/>
            <w:hideMark/>
          </w:tcPr>
          <w:p w14:paraId="020BEAA5" w14:textId="77777777" w:rsidR="00344C7A" w:rsidRPr="00872D7E" w:rsidRDefault="00344C7A" w:rsidP="006E16D5">
            <w:pPr>
              <w:contextualSpacing/>
              <w:jc w:val="right"/>
              <w:rPr>
                <w:b/>
                <w:sz w:val="16"/>
                <w:szCs w:val="16"/>
              </w:rPr>
            </w:pPr>
            <w:proofErr w:type="gramStart"/>
            <w:r w:rsidRPr="00872D7E">
              <w:rPr>
                <w:b/>
                <w:sz w:val="16"/>
                <w:szCs w:val="16"/>
              </w:rPr>
              <w:t>Diğerleri</w:t>
            </w:r>
            <w:r w:rsidRPr="00872D7E">
              <w:rPr>
                <w:b/>
                <w:sz w:val="16"/>
                <w:szCs w:val="16"/>
                <w:vertAlign w:val="superscript"/>
              </w:rPr>
              <w:t>(</w:t>
            </w:r>
            <w:proofErr w:type="gramEnd"/>
            <w:r w:rsidRPr="00872D7E">
              <w:rPr>
                <w:b/>
                <w:sz w:val="16"/>
                <w:szCs w:val="16"/>
                <w:vertAlign w:val="superscript"/>
              </w:rPr>
              <w:t>*)</w:t>
            </w:r>
          </w:p>
        </w:tc>
        <w:tc>
          <w:tcPr>
            <w:tcW w:w="457" w:type="pct"/>
            <w:tcBorders>
              <w:top w:val="single" w:sz="4" w:space="0" w:color="auto"/>
              <w:bottom w:val="single" w:sz="4" w:space="0" w:color="auto"/>
            </w:tcBorders>
            <w:vAlign w:val="bottom"/>
            <w:hideMark/>
          </w:tcPr>
          <w:p w14:paraId="1E35738A" w14:textId="77777777" w:rsidR="00344C7A" w:rsidRPr="00872D7E" w:rsidRDefault="00344C7A" w:rsidP="006E16D5">
            <w:pPr>
              <w:contextualSpacing/>
              <w:jc w:val="right"/>
              <w:rPr>
                <w:b/>
                <w:sz w:val="16"/>
                <w:szCs w:val="16"/>
              </w:rPr>
            </w:pPr>
            <w:r w:rsidRPr="00872D7E">
              <w:rPr>
                <w:b/>
                <w:sz w:val="16"/>
                <w:szCs w:val="16"/>
              </w:rPr>
              <w:t>Toplam risk tutarı (KDO ve KRA sonrası)</w:t>
            </w:r>
          </w:p>
        </w:tc>
      </w:tr>
      <w:tr w:rsidR="00EF55AD" w:rsidRPr="00872D7E" w14:paraId="45F9A69E" w14:textId="77777777" w:rsidTr="006E16D5">
        <w:trPr>
          <w:trHeight w:val="113"/>
        </w:trPr>
        <w:tc>
          <w:tcPr>
            <w:tcW w:w="95" w:type="pct"/>
            <w:tcBorders>
              <w:top w:val="single" w:sz="4" w:space="0" w:color="auto"/>
            </w:tcBorders>
            <w:noWrap/>
            <w:hideMark/>
          </w:tcPr>
          <w:p w14:paraId="6A00DDDF" w14:textId="77777777" w:rsidR="00D4647F" w:rsidRPr="00872D7E" w:rsidRDefault="00D4647F" w:rsidP="002F0CF7">
            <w:pPr>
              <w:rPr>
                <w:sz w:val="16"/>
                <w:szCs w:val="16"/>
              </w:rPr>
            </w:pPr>
            <w:r w:rsidRPr="00872D7E">
              <w:rPr>
                <w:sz w:val="16"/>
                <w:szCs w:val="16"/>
              </w:rPr>
              <w:t>1</w:t>
            </w:r>
          </w:p>
        </w:tc>
        <w:tc>
          <w:tcPr>
            <w:tcW w:w="950" w:type="pct"/>
            <w:tcBorders>
              <w:top w:val="single" w:sz="4" w:space="0" w:color="auto"/>
            </w:tcBorders>
            <w:vAlign w:val="bottom"/>
            <w:hideMark/>
          </w:tcPr>
          <w:p w14:paraId="3E4CB424" w14:textId="77777777" w:rsidR="00D4647F" w:rsidRPr="00872D7E" w:rsidRDefault="00D4647F" w:rsidP="002F0CF7">
            <w:pPr>
              <w:contextualSpacing/>
              <w:rPr>
                <w:sz w:val="16"/>
                <w:szCs w:val="16"/>
              </w:rPr>
            </w:pPr>
            <w:r w:rsidRPr="00872D7E">
              <w:rPr>
                <w:sz w:val="16"/>
                <w:szCs w:val="16"/>
              </w:rPr>
              <w:t>Merkezi yönetimlerden veya merkez bankalarından alacaklar</w:t>
            </w:r>
          </w:p>
        </w:tc>
        <w:tc>
          <w:tcPr>
            <w:tcW w:w="341" w:type="pct"/>
            <w:tcBorders>
              <w:top w:val="nil"/>
              <w:left w:val="nil"/>
              <w:bottom w:val="nil"/>
              <w:right w:val="nil"/>
            </w:tcBorders>
            <w:shd w:val="clear" w:color="auto" w:fill="auto"/>
            <w:noWrap/>
            <w:vAlign w:val="bottom"/>
          </w:tcPr>
          <w:p w14:paraId="1FA793C9" w14:textId="2F9BD79E" w:rsidR="00D4647F" w:rsidRPr="00872D7E" w:rsidRDefault="00D4647F" w:rsidP="006E16D5">
            <w:pPr>
              <w:jc w:val="right"/>
              <w:rPr>
                <w:color w:val="000000"/>
                <w:sz w:val="16"/>
                <w:szCs w:val="16"/>
              </w:rPr>
            </w:pPr>
            <w:r w:rsidRPr="00872D7E">
              <w:rPr>
                <w:sz w:val="16"/>
                <w:szCs w:val="16"/>
              </w:rPr>
              <w:t>4.830.858</w:t>
            </w:r>
          </w:p>
        </w:tc>
        <w:tc>
          <w:tcPr>
            <w:tcW w:w="180" w:type="pct"/>
            <w:tcBorders>
              <w:top w:val="nil"/>
              <w:left w:val="nil"/>
              <w:bottom w:val="nil"/>
              <w:right w:val="nil"/>
            </w:tcBorders>
            <w:shd w:val="clear" w:color="auto" w:fill="auto"/>
            <w:noWrap/>
            <w:vAlign w:val="bottom"/>
          </w:tcPr>
          <w:p w14:paraId="7ADD3D2A" w14:textId="08AB8DDC"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14806879" w14:textId="386DF302"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1D34B94F" w14:textId="6D107581"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0AB5CCE4" w14:textId="2B78D7A4"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7B81FB59" w14:textId="55F57921"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44949232" w14:textId="4534DCED"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12B97497" w14:textId="180C4631"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6FBA71F6" w14:textId="29ED9454"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5EB2D18B" w14:textId="1A601BC8"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0D1D9FFC" w14:textId="74168325"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448F3BE5" w14:textId="1EB22B30" w:rsidR="00D4647F" w:rsidRPr="00872D7E" w:rsidRDefault="00D4647F" w:rsidP="006E16D5">
            <w:pPr>
              <w:jc w:val="right"/>
              <w:rPr>
                <w:color w:val="000000"/>
                <w:sz w:val="16"/>
                <w:szCs w:val="16"/>
              </w:rPr>
            </w:pPr>
            <w:r w:rsidRPr="00872D7E">
              <w:rPr>
                <w:sz w:val="16"/>
                <w:szCs w:val="16"/>
              </w:rPr>
              <w:t>4.830.858</w:t>
            </w:r>
          </w:p>
        </w:tc>
      </w:tr>
      <w:tr w:rsidR="00EF55AD" w:rsidRPr="00872D7E" w14:paraId="349C0169" w14:textId="77777777" w:rsidTr="006E16D5">
        <w:trPr>
          <w:trHeight w:val="113"/>
        </w:trPr>
        <w:tc>
          <w:tcPr>
            <w:tcW w:w="95" w:type="pct"/>
            <w:noWrap/>
            <w:hideMark/>
          </w:tcPr>
          <w:p w14:paraId="1579E0DB" w14:textId="77777777" w:rsidR="00D4647F" w:rsidRPr="00872D7E" w:rsidRDefault="00D4647F" w:rsidP="002F0CF7">
            <w:pPr>
              <w:rPr>
                <w:sz w:val="16"/>
                <w:szCs w:val="16"/>
              </w:rPr>
            </w:pPr>
            <w:r w:rsidRPr="00872D7E">
              <w:rPr>
                <w:sz w:val="16"/>
                <w:szCs w:val="16"/>
              </w:rPr>
              <w:t>2</w:t>
            </w:r>
          </w:p>
        </w:tc>
        <w:tc>
          <w:tcPr>
            <w:tcW w:w="950" w:type="pct"/>
            <w:vAlign w:val="bottom"/>
            <w:hideMark/>
          </w:tcPr>
          <w:p w14:paraId="7FB3E2C8" w14:textId="77777777" w:rsidR="00D4647F" w:rsidRPr="00872D7E" w:rsidRDefault="00D4647F" w:rsidP="002F0CF7">
            <w:pPr>
              <w:contextualSpacing/>
              <w:rPr>
                <w:sz w:val="16"/>
                <w:szCs w:val="16"/>
              </w:rPr>
            </w:pPr>
            <w:r w:rsidRPr="00872D7E">
              <w:rPr>
                <w:sz w:val="16"/>
                <w:szCs w:val="16"/>
              </w:rPr>
              <w:t>Bölgesel yönetimlerden veya yerel yönetimlerden alacaklar</w:t>
            </w:r>
          </w:p>
        </w:tc>
        <w:tc>
          <w:tcPr>
            <w:tcW w:w="341" w:type="pct"/>
            <w:tcBorders>
              <w:top w:val="nil"/>
              <w:left w:val="nil"/>
              <w:bottom w:val="nil"/>
              <w:right w:val="nil"/>
            </w:tcBorders>
            <w:shd w:val="clear" w:color="auto" w:fill="auto"/>
            <w:noWrap/>
            <w:vAlign w:val="bottom"/>
          </w:tcPr>
          <w:p w14:paraId="33101FD2" w14:textId="342F96F2"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0CA19D39" w14:textId="20BE98D5"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2F1956B2" w14:textId="4AF9F1D4"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7A1FACF9" w14:textId="71BF32AC"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2C3BC325" w14:textId="4F07D676"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0BBA317F" w14:textId="7ABB4EF2"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01097A75" w14:textId="7ED09132"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63AB7926" w14:textId="225F31F6"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44538BCF" w14:textId="390C7B84"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542763CF" w14:textId="2EEB45EE"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062CCD5A" w14:textId="12E6802C"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7FCE9E4E" w14:textId="2FCFE11E" w:rsidR="00D4647F" w:rsidRPr="00872D7E" w:rsidRDefault="00D4647F" w:rsidP="006E16D5">
            <w:pPr>
              <w:jc w:val="right"/>
              <w:rPr>
                <w:color w:val="000000"/>
                <w:sz w:val="16"/>
                <w:szCs w:val="16"/>
              </w:rPr>
            </w:pPr>
            <w:r w:rsidRPr="00872D7E">
              <w:rPr>
                <w:sz w:val="16"/>
                <w:szCs w:val="16"/>
              </w:rPr>
              <w:t>-</w:t>
            </w:r>
          </w:p>
        </w:tc>
      </w:tr>
      <w:tr w:rsidR="00EF55AD" w:rsidRPr="00872D7E" w14:paraId="4DC28306" w14:textId="77777777" w:rsidTr="006E16D5">
        <w:trPr>
          <w:trHeight w:val="113"/>
        </w:trPr>
        <w:tc>
          <w:tcPr>
            <w:tcW w:w="95" w:type="pct"/>
            <w:noWrap/>
            <w:hideMark/>
          </w:tcPr>
          <w:p w14:paraId="5FEEE259" w14:textId="77777777" w:rsidR="00D4647F" w:rsidRPr="00872D7E" w:rsidRDefault="00D4647F" w:rsidP="002F0CF7">
            <w:pPr>
              <w:rPr>
                <w:sz w:val="16"/>
                <w:szCs w:val="16"/>
              </w:rPr>
            </w:pPr>
            <w:r w:rsidRPr="00872D7E">
              <w:rPr>
                <w:sz w:val="16"/>
                <w:szCs w:val="16"/>
              </w:rPr>
              <w:t>3</w:t>
            </w:r>
          </w:p>
        </w:tc>
        <w:tc>
          <w:tcPr>
            <w:tcW w:w="950" w:type="pct"/>
            <w:vAlign w:val="bottom"/>
            <w:hideMark/>
          </w:tcPr>
          <w:p w14:paraId="6A6E5BED" w14:textId="77777777" w:rsidR="00D4647F" w:rsidRPr="00872D7E" w:rsidRDefault="00D4647F" w:rsidP="002F0CF7">
            <w:pPr>
              <w:contextualSpacing/>
              <w:rPr>
                <w:sz w:val="16"/>
                <w:szCs w:val="16"/>
              </w:rPr>
            </w:pPr>
            <w:r w:rsidRPr="00872D7E">
              <w:rPr>
                <w:sz w:val="16"/>
                <w:szCs w:val="16"/>
              </w:rPr>
              <w:t>İdari birimlerden ve ticari olmayan girişimlerden alacaklar</w:t>
            </w:r>
          </w:p>
        </w:tc>
        <w:tc>
          <w:tcPr>
            <w:tcW w:w="341" w:type="pct"/>
            <w:tcBorders>
              <w:top w:val="nil"/>
              <w:left w:val="nil"/>
              <w:bottom w:val="nil"/>
              <w:right w:val="nil"/>
            </w:tcBorders>
            <w:shd w:val="clear" w:color="auto" w:fill="auto"/>
            <w:noWrap/>
            <w:vAlign w:val="bottom"/>
          </w:tcPr>
          <w:p w14:paraId="26C98D02" w14:textId="54FBFA2A"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1D334D83" w14:textId="61B8F4EC"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54314E84" w14:textId="0F98EF82"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029DF313" w14:textId="792905AC"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0082E092" w14:textId="35CB8136"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37EDEB27" w14:textId="5B28B37B"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3D6304CA" w14:textId="437A5EBC"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1ABB8703" w14:textId="48911F19"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27373876" w14:textId="0262E2E5"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0C7DCD74" w14:textId="26A71261"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513F92A9" w14:textId="7278ED01"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0EEA4E17" w14:textId="24292112" w:rsidR="00D4647F" w:rsidRPr="00872D7E" w:rsidRDefault="00D4647F" w:rsidP="006E16D5">
            <w:pPr>
              <w:jc w:val="right"/>
              <w:rPr>
                <w:color w:val="000000"/>
                <w:sz w:val="16"/>
                <w:szCs w:val="16"/>
              </w:rPr>
            </w:pPr>
            <w:r w:rsidRPr="00872D7E">
              <w:rPr>
                <w:sz w:val="16"/>
                <w:szCs w:val="16"/>
              </w:rPr>
              <w:t>-</w:t>
            </w:r>
          </w:p>
        </w:tc>
      </w:tr>
      <w:tr w:rsidR="00EF55AD" w:rsidRPr="00872D7E" w14:paraId="0D24DA42" w14:textId="77777777" w:rsidTr="006E16D5">
        <w:trPr>
          <w:trHeight w:val="113"/>
        </w:trPr>
        <w:tc>
          <w:tcPr>
            <w:tcW w:w="95" w:type="pct"/>
            <w:noWrap/>
            <w:hideMark/>
          </w:tcPr>
          <w:p w14:paraId="3A295FA3" w14:textId="77777777" w:rsidR="00D4647F" w:rsidRPr="00872D7E" w:rsidRDefault="00D4647F" w:rsidP="002F0CF7">
            <w:pPr>
              <w:rPr>
                <w:sz w:val="16"/>
                <w:szCs w:val="16"/>
              </w:rPr>
            </w:pPr>
            <w:r w:rsidRPr="00872D7E">
              <w:rPr>
                <w:sz w:val="16"/>
                <w:szCs w:val="16"/>
              </w:rPr>
              <w:t>4</w:t>
            </w:r>
          </w:p>
        </w:tc>
        <w:tc>
          <w:tcPr>
            <w:tcW w:w="950" w:type="pct"/>
            <w:vAlign w:val="bottom"/>
            <w:hideMark/>
          </w:tcPr>
          <w:p w14:paraId="6046BD9D" w14:textId="77777777" w:rsidR="00D4647F" w:rsidRPr="00872D7E" w:rsidRDefault="00D4647F" w:rsidP="002F0CF7">
            <w:pPr>
              <w:contextualSpacing/>
              <w:rPr>
                <w:sz w:val="16"/>
                <w:szCs w:val="16"/>
              </w:rPr>
            </w:pPr>
            <w:r w:rsidRPr="00872D7E">
              <w:rPr>
                <w:sz w:val="16"/>
                <w:szCs w:val="16"/>
              </w:rPr>
              <w:t>Çok taraflı kalkınma bankalarından alacaklar</w:t>
            </w:r>
          </w:p>
        </w:tc>
        <w:tc>
          <w:tcPr>
            <w:tcW w:w="341" w:type="pct"/>
            <w:tcBorders>
              <w:top w:val="nil"/>
              <w:left w:val="nil"/>
              <w:bottom w:val="nil"/>
              <w:right w:val="nil"/>
            </w:tcBorders>
            <w:shd w:val="clear" w:color="auto" w:fill="auto"/>
            <w:noWrap/>
            <w:vAlign w:val="bottom"/>
          </w:tcPr>
          <w:p w14:paraId="14E5223B" w14:textId="58E683FB"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355EDE04" w14:textId="1E622939"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13781C38" w14:textId="36D43EE8"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01DF3EE1" w14:textId="077E23E6"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6C7BE97E" w14:textId="0D33EB53"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68B989F9" w14:textId="1BD78E8B"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30EF0853" w14:textId="37843799"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5D1F1D16" w14:textId="6655BEE6"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0DABB308" w14:textId="028960FD"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0EFFEBD0" w14:textId="6B5A7ECF"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0B063CFE" w14:textId="09BFAE2F"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095E991E" w14:textId="198A0988" w:rsidR="00D4647F" w:rsidRPr="00872D7E" w:rsidRDefault="00D4647F" w:rsidP="006E16D5">
            <w:pPr>
              <w:jc w:val="right"/>
              <w:rPr>
                <w:color w:val="000000"/>
                <w:sz w:val="16"/>
                <w:szCs w:val="16"/>
              </w:rPr>
            </w:pPr>
            <w:r w:rsidRPr="00872D7E">
              <w:rPr>
                <w:sz w:val="16"/>
                <w:szCs w:val="16"/>
              </w:rPr>
              <w:t>-</w:t>
            </w:r>
          </w:p>
        </w:tc>
      </w:tr>
      <w:tr w:rsidR="00EF55AD" w:rsidRPr="00872D7E" w14:paraId="73B92D17" w14:textId="77777777" w:rsidTr="006E16D5">
        <w:trPr>
          <w:trHeight w:val="113"/>
        </w:trPr>
        <w:tc>
          <w:tcPr>
            <w:tcW w:w="95" w:type="pct"/>
            <w:noWrap/>
            <w:hideMark/>
          </w:tcPr>
          <w:p w14:paraId="59D5DEF5" w14:textId="77777777" w:rsidR="00D4647F" w:rsidRPr="00872D7E" w:rsidRDefault="00D4647F" w:rsidP="002F0CF7">
            <w:pPr>
              <w:rPr>
                <w:sz w:val="16"/>
                <w:szCs w:val="16"/>
              </w:rPr>
            </w:pPr>
            <w:r w:rsidRPr="00872D7E">
              <w:rPr>
                <w:sz w:val="16"/>
                <w:szCs w:val="16"/>
              </w:rPr>
              <w:t>5</w:t>
            </w:r>
          </w:p>
        </w:tc>
        <w:tc>
          <w:tcPr>
            <w:tcW w:w="950" w:type="pct"/>
            <w:vAlign w:val="bottom"/>
            <w:hideMark/>
          </w:tcPr>
          <w:p w14:paraId="7CD733B1" w14:textId="77777777" w:rsidR="00D4647F" w:rsidRPr="00872D7E" w:rsidRDefault="00D4647F" w:rsidP="002F0CF7">
            <w:pPr>
              <w:contextualSpacing/>
              <w:rPr>
                <w:sz w:val="16"/>
                <w:szCs w:val="16"/>
              </w:rPr>
            </w:pPr>
            <w:r w:rsidRPr="00872D7E">
              <w:rPr>
                <w:sz w:val="16"/>
                <w:szCs w:val="16"/>
              </w:rPr>
              <w:t>Uluslararası teşkilatlardan alacaklar</w:t>
            </w:r>
          </w:p>
        </w:tc>
        <w:tc>
          <w:tcPr>
            <w:tcW w:w="341" w:type="pct"/>
            <w:tcBorders>
              <w:top w:val="nil"/>
              <w:left w:val="nil"/>
              <w:bottom w:val="nil"/>
              <w:right w:val="nil"/>
            </w:tcBorders>
            <w:shd w:val="clear" w:color="auto" w:fill="auto"/>
            <w:noWrap/>
            <w:vAlign w:val="bottom"/>
          </w:tcPr>
          <w:p w14:paraId="66E71392" w14:textId="5F9C72AF"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49E6B50F" w14:textId="0FE879F8"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32BCE54E" w14:textId="649BE320"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13B5A78C" w14:textId="4B654021"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3AE960E7" w14:textId="065A1559"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26375CDB" w14:textId="48F1A543"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34F1F65B" w14:textId="795DE270"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4184CEC2" w14:textId="21C4E07F"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1EFCD02E" w14:textId="18E51AB7"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63CB372C" w14:textId="283EA943"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0610713F" w14:textId="06F02D76"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3FD544B2" w14:textId="470CAB3C" w:rsidR="00D4647F" w:rsidRPr="00872D7E" w:rsidRDefault="00D4647F" w:rsidP="006E16D5">
            <w:pPr>
              <w:jc w:val="right"/>
              <w:rPr>
                <w:color w:val="000000"/>
                <w:sz w:val="16"/>
                <w:szCs w:val="16"/>
              </w:rPr>
            </w:pPr>
            <w:r w:rsidRPr="00872D7E">
              <w:rPr>
                <w:sz w:val="16"/>
                <w:szCs w:val="16"/>
              </w:rPr>
              <w:t>-</w:t>
            </w:r>
          </w:p>
        </w:tc>
      </w:tr>
      <w:tr w:rsidR="00EF55AD" w:rsidRPr="00872D7E" w14:paraId="287D95CF" w14:textId="77777777" w:rsidTr="006E16D5">
        <w:trPr>
          <w:trHeight w:val="113"/>
        </w:trPr>
        <w:tc>
          <w:tcPr>
            <w:tcW w:w="95" w:type="pct"/>
            <w:noWrap/>
            <w:hideMark/>
          </w:tcPr>
          <w:p w14:paraId="2203AFB0" w14:textId="77777777" w:rsidR="00D4647F" w:rsidRPr="00872D7E" w:rsidRDefault="00D4647F" w:rsidP="002F0CF7">
            <w:pPr>
              <w:rPr>
                <w:sz w:val="16"/>
                <w:szCs w:val="16"/>
              </w:rPr>
            </w:pPr>
            <w:r w:rsidRPr="00872D7E">
              <w:rPr>
                <w:sz w:val="16"/>
                <w:szCs w:val="16"/>
              </w:rPr>
              <w:t>6</w:t>
            </w:r>
          </w:p>
        </w:tc>
        <w:tc>
          <w:tcPr>
            <w:tcW w:w="950" w:type="pct"/>
            <w:vAlign w:val="bottom"/>
            <w:hideMark/>
          </w:tcPr>
          <w:p w14:paraId="0277AECF" w14:textId="77777777" w:rsidR="00D4647F" w:rsidRPr="00872D7E" w:rsidRDefault="00D4647F" w:rsidP="002F0CF7">
            <w:pPr>
              <w:contextualSpacing/>
              <w:rPr>
                <w:sz w:val="16"/>
                <w:szCs w:val="16"/>
              </w:rPr>
            </w:pPr>
            <w:r w:rsidRPr="00872D7E">
              <w:rPr>
                <w:sz w:val="16"/>
                <w:szCs w:val="16"/>
              </w:rPr>
              <w:t>Bankalardan ve aracı kurumlardan alacaklar</w:t>
            </w:r>
          </w:p>
        </w:tc>
        <w:tc>
          <w:tcPr>
            <w:tcW w:w="341" w:type="pct"/>
            <w:tcBorders>
              <w:top w:val="nil"/>
              <w:left w:val="nil"/>
              <w:bottom w:val="nil"/>
              <w:right w:val="nil"/>
            </w:tcBorders>
            <w:shd w:val="clear" w:color="auto" w:fill="auto"/>
            <w:noWrap/>
            <w:vAlign w:val="bottom"/>
          </w:tcPr>
          <w:p w14:paraId="4479F3B2" w14:textId="4C11EC72"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1586CBDC" w14:textId="66A8AE79"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6F477961" w14:textId="703A48B9" w:rsidR="00D4647F" w:rsidRPr="00872D7E" w:rsidRDefault="00D4647F" w:rsidP="006E16D5">
            <w:pPr>
              <w:jc w:val="right"/>
              <w:rPr>
                <w:color w:val="000000"/>
                <w:sz w:val="16"/>
                <w:szCs w:val="16"/>
              </w:rPr>
            </w:pPr>
            <w:r w:rsidRPr="00872D7E">
              <w:rPr>
                <w:sz w:val="16"/>
                <w:szCs w:val="16"/>
              </w:rPr>
              <w:t>5.221.722</w:t>
            </w:r>
          </w:p>
        </w:tc>
        <w:tc>
          <w:tcPr>
            <w:tcW w:w="197" w:type="pct"/>
            <w:tcBorders>
              <w:top w:val="nil"/>
              <w:left w:val="nil"/>
              <w:bottom w:val="nil"/>
              <w:right w:val="nil"/>
            </w:tcBorders>
            <w:vAlign w:val="bottom"/>
          </w:tcPr>
          <w:p w14:paraId="240882DD" w14:textId="0704C936"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75911F3D" w14:textId="5DA7D496"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5B6867E3" w14:textId="0A9372A2" w:rsidR="00D4647F" w:rsidRPr="00872D7E" w:rsidRDefault="00D4647F" w:rsidP="006E16D5">
            <w:pPr>
              <w:jc w:val="right"/>
              <w:rPr>
                <w:color w:val="000000"/>
                <w:sz w:val="16"/>
                <w:szCs w:val="16"/>
              </w:rPr>
            </w:pPr>
            <w:r w:rsidRPr="00872D7E">
              <w:rPr>
                <w:sz w:val="16"/>
                <w:szCs w:val="16"/>
              </w:rPr>
              <w:t>1</w:t>
            </w:r>
          </w:p>
        </w:tc>
        <w:tc>
          <w:tcPr>
            <w:tcW w:w="320" w:type="pct"/>
            <w:tcBorders>
              <w:top w:val="nil"/>
              <w:left w:val="nil"/>
              <w:bottom w:val="nil"/>
              <w:right w:val="nil"/>
            </w:tcBorders>
            <w:shd w:val="clear" w:color="auto" w:fill="auto"/>
            <w:noWrap/>
            <w:vAlign w:val="bottom"/>
          </w:tcPr>
          <w:p w14:paraId="4F664BB3" w14:textId="55A17928"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227302DF" w14:textId="2EB1D83C"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3141ED9E" w14:textId="77C1546E"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4945A09D" w14:textId="4ED0E99C"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0F2F7530" w14:textId="3F9EE402"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2AAF7739" w14:textId="4D9DEE80" w:rsidR="00D4647F" w:rsidRPr="00872D7E" w:rsidRDefault="00D4647F" w:rsidP="006E16D5">
            <w:pPr>
              <w:jc w:val="right"/>
              <w:rPr>
                <w:color w:val="000000"/>
                <w:sz w:val="16"/>
                <w:szCs w:val="16"/>
              </w:rPr>
            </w:pPr>
            <w:r w:rsidRPr="00872D7E">
              <w:rPr>
                <w:sz w:val="16"/>
                <w:szCs w:val="16"/>
              </w:rPr>
              <w:t>5.221.723</w:t>
            </w:r>
          </w:p>
        </w:tc>
      </w:tr>
      <w:tr w:rsidR="00EF55AD" w:rsidRPr="00872D7E" w14:paraId="42B23D04" w14:textId="77777777" w:rsidTr="006E16D5">
        <w:trPr>
          <w:trHeight w:val="113"/>
        </w:trPr>
        <w:tc>
          <w:tcPr>
            <w:tcW w:w="95" w:type="pct"/>
            <w:noWrap/>
            <w:hideMark/>
          </w:tcPr>
          <w:p w14:paraId="74E8E057" w14:textId="77777777" w:rsidR="00D4647F" w:rsidRPr="00872D7E" w:rsidRDefault="00D4647F" w:rsidP="002F0CF7">
            <w:pPr>
              <w:rPr>
                <w:sz w:val="16"/>
                <w:szCs w:val="16"/>
              </w:rPr>
            </w:pPr>
            <w:r w:rsidRPr="00872D7E">
              <w:rPr>
                <w:sz w:val="16"/>
                <w:szCs w:val="16"/>
              </w:rPr>
              <w:t>7</w:t>
            </w:r>
          </w:p>
        </w:tc>
        <w:tc>
          <w:tcPr>
            <w:tcW w:w="950" w:type="pct"/>
            <w:vAlign w:val="bottom"/>
            <w:hideMark/>
          </w:tcPr>
          <w:p w14:paraId="24F36803" w14:textId="77777777" w:rsidR="00D4647F" w:rsidRPr="00872D7E" w:rsidRDefault="00D4647F" w:rsidP="002F0CF7">
            <w:pPr>
              <w:contextualSpacing/>
              <w:rPr>
                <w:sz w:val="16"/>
                <w:szCs w:val="16"/>
              </w:rPr>
            </w:pPr>
            <w:r w:rsidRPr="00872D7E">
              <w:rPr>
                <w:sz w:val="16"/>
                <w:szCs w:val="16"/>
              </w:rPr>
              <w:t>Kurumsal alacaklar</w:t>
            </w:r>
          </w:p>
        </w:tc>
        <w:tc>
          <w:tcPr>
            <w:tcW w:w="341" w:type="pct"/>
            <w:tcBorders>
              <w:top w:val="nil"/>
              <w:left w:val="nil"/>
              <w:bottom w:val="nil"/>
              <w:right w:val="nil"/>
            </w:tcBorders>
            <w:shd w:val="clear" w:color="auto" w:fill="auto"/>
            <w:noWrap/>
            <w:vAlign w:val="bottom"/>
          </w:tcPr>
          <w:p w14:paraId="28E9FF0D" w14:textId="3ED3932B" w:rsidR="00D4647F" w:rsidRPr="00872D7E" w:rsidRDefault="00D4647F" w:rsidP="006E16D5">
            <w:pPr>
              <w:jc w:val="right"/>
              <w:rPr>
                <w:color w:val="000000"/>
                <w:sz w:val="16"/>
                <w:szCs w:val="16"/>
              </w:rPr>
            </w:pPr>
            <w:r w:rsidRPr="00872D7E">
              <w:rPr>
                <w:sz w:val="16"/>
                <w:szCs w:val="16"/>
              </w:rPr>
              <w:t>650.620</w:t>
            </w:r>
          </w:p>
        </w:tc>
        <w:tc>
          <w:tcPr>
            <w:tcW w:w="180" w:type="pct"/>
            <w:tcBorders>
              <w:top w:val="nil"/>
              <w:left w:val="nil"/>
              <w:bottom w:val="nil"/>
              <w:right w:val="nil"/>
            </w:tcBorders>
            <w:shd w:val="clear" w:color="auto" w:fill="auto"/>
            <w:noWrap/>
            <w:vAlign w:val="bottom"/>
          </w:tcPr>
          <w:p w14:paraId="33EA65E6" w14:textId="55C1BD53"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4253E9AB" w14:textId="0488F7CA" w:rsidR="00D4647F" w:rsidRPr="00872D7E" w:rsidRDefault="00D4647F" w:rsidP="006E16D5">
            <w:pPr>
              <w:jc w:val="right"/>
              <w:rPr>
                <w:color w:val="000000"/>
                <w:sz w:val="16"/>
                <w:szCs w:val="16"/>
              </w:rPr>
            </w:pPr>
            <w:r w:rsidRPr="00872D7E">
              <w:rPr>
                <w:sz w:val="16"/>
                <w:szCs w:val="16"/>
              </w:rPr>
              <w:t>149.741</w:t>
            </w:r>
          </w:p>
        </w:tc>
        <w:tc>
          <w:tcPr>
            <w:tcW w:w="197" w:type="pct"/>
            <w:tcBorders>
              <w:top w:val="nil"/>
              <w:left w:val="nil"/>
              <w:bottom w:val="nil"/>
              <w:right w:val="nil"/>
            </w:tcBorders>
            <w:vAlign w:val="bottom"/>
          </w:tcPr>
          <w:p w14:paraId="2838190B" w14:textId="1596C3AC"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0B257F42" w14:textId="53DD554E"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388FCCA9" w14:textId="6D1E7789" w:rsidR="00D4647F" w:rsidRPr="00872D7E" w:rsidRDefault="00D4647F" w:rsidP="006E16D5">
            <w:pPr>
              <w:jc w:val="right"/>
              <w:rPr>
                <w:color w:val="000000"/>
                <w:sz w:val="16"/>
                <w:szCs w:val="16"/>
              </w:rPr>
            </w:pPr>
            <w:r w:rsidRPr="00872D7E">
              <w:rPr>
                <w:sz w:val="16"/>
                <w:szCs w:val="16"/>
              </w:rPr>
              <w:t>267.086</w:t>
            </w:r>
          </w:p>
        </w:tc>
        <w:tc>
          <w:tcPr>
            <w:tcW w:w="320" w:type="pct"/>
            <w:tcBorders>
              <w:top w:val="nil"/>
              <w:left w:val="nil"/>
              <w:bottom w:val="nil"/>
              <w:right w:val="nil"/>
            </w:tcBorders>
            <w:shd w:val="clear" w:color="auto" w:fill="auto"/>
            <w:noWrap/>
            <w:vAlign w:val="bottom"/>
          </w:tcPr>
          <w:p w14:paraId="7FAB4662" w14:textId="44DCB9AE"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68B81962" w14:textId="62CC2C3D" w:rsidR="00D4647F" w:rsidRPr="00872D7E" w:rsidRDefault="00D4647F" w:rsidP="006E16D5">
            <w:pPr>
              <w:jc w:val="right"/>
              <w:rPr>
                <w:color w:val="000000"/>
                <w:sz w:val="16"/>
                <w:szCs w:val="16"/>
              </w:rPr>
            </w:pPr>
            <w:r w:rsidRPr="00872D7E">
              <w:rPr>
                <w:sz w:val="16"/>
                <w:szCs w:val="16"/>
              </w:rPr>
              <w:t>12.356.094</w:t>
            </w:r>
          </w:p>
        </w:tc>
        <w:tc>
          <w:tcPr>
            <w:tcW w:w="289" w:type="pct"/>
            <w:tcBorders>
              <w:top w:val="nil"/>
              <w:left w:val="nil"/>
              <w:bottom w:val="nil"/>
              <w:right w:val="nil"/>
            </w:tcBorders>
            <w:shd w:val="clear" w:color="auto" w:fill="auto"/>
            <w:noWrap/>
            <w:vAlign w:val="bottom"/>
          </w:tcPr>
          <w:p w14:paraId="79B2A123" w14:textId="4DCA0CCE"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54DCA211" w14:textId="5B5A2336"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2F4244D0" w14:textId="2C05A96F"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1C56A2DA" w14:textId="7041C07E" w:rsidR="00D4647F" w:rsidRPr="00872D7E" w:rsidRDefault="00D4647F" w:rsidP="006E16D5">
            <w:pPr>
              <w:jc w:val="right"/>
              <w:rPr>
                <w:color w:val="000000"/>
                <w:sz w:val="16"/>
                <w:szCs w:val="16"/>
              </w:rPr>
            </w:pPr>
            <w:r w:rsidRPr="00872D7E">
              <w:rPr>
                <w:sz w:val="16"/>
                <w:szCs w:val="16"/>
              </w:rPr>
              <w:t>13.423.541</w:t>
            </w:r>
          </w:p>
        </w:tc>
      </w:tr>
      <w:tr w:rsidR="00EF55AD" w:rsidRPr="00872D7E" w14:paraId="274ADF25" w14:textId="77777777" w:rsidTr="006E16D5">
        <w:trPr>
          <w:trHeight w:val="113"/>
        </w:trPr>
        <w:tc>
          <w:tcPr>
            <w:tcW w:w="95" w:type="pct"/>
            <w:noWrap/>
            <w:hideMark/>
          </w:tcPr>
          <w:p w14:paraId="4ADBA8A8" w14:textId="77777777" w:rsidR="00D4647F" w:rsidRPr="00872D7E" w:rsidRDefault="00D4647F" w:rsidP="002F0CF7">
            <w:pPr>
              <w:rPr>
                <w:sz w:val="16"/>
                <w:szCs w:val="16"/>
              </w:rPr>
            </w:pPr>
            <w:r w:rsidRPr="00872D7E">
              <w:rPr>
                <w:sz w:val="16"/>
                <w:szCs w:val="16"/>
              </w:rPr>
              <w:t>8</w:t>
            </w:r>
          </w:p>
        </w:tc>
        <w:tc>
          <w:tcPr>
            <w:tcW w:w="950" w:type="pct"/>
            <w:vAlign w:val="bottom"/>
            <w:hideMark/>
          </w:tcPr>
          <w:p w14:paraId="67E20594" w14:textId="77777777" w:rsidR="00D4647F" w:rsidRPr="00872D7E" w:rsidRDefault="00D4647F" w:rsidP="002F0CF7">
            <w:pPr>
              <w:contextualSpacing/>
              <w:rPr>
                <w:sz w:val="16"/>
                <w:szCs w:val="16"/>
              </w:rPr>
            </w:pPr>
            <w:r w:rsidRPr="00872D7E">
              <w:rPr>
                <w:sz w:val="16"/>
                <w:szCs w:val="16"/>
              </w:rPr>
              <w:t>Perakende alacaklar</w:t>
            </w:r>
          </w:p>
        </w:tc>
        <w:tc>
          <w:tcPr>
            <w:tcW w:w="341" w:type="pct"/>
            <w:tcBorders>
              <w:top w:val="nil"/>
              <w:left w:val="nil"/>
              <w:bottom w:val="nil"/>
              <w:right w:val="nil"/>
            </w:tcBorders>
            <w:shd w:val="clear" w:color="auto" w:fill="auto"/>
            <w:noWrap/>
            <w:vAlign w:val="bottom"/>
          </w:tcPr>
          <w:p w14:paraId="64FCE2B8" w14:textId="25829251"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54929285" w14:textId="1D3400AC"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160BE4D1" w14:textId="6F0A98C1"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6155DA00" w14:textId="04930EE4"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3599150E" w14:textId="18AEEE2A"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4CC998DF" w14:textId="09F3709E"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6CFA743B" w14:textId="5B340915"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5F49F7BD" w14:textId="764D407E"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33B1F4B0" w14:textId="0CB02820"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4D04D469" w14:textId="5CFFFAF6"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4D559D21" w14:textId="634B9711"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6879E4C9" w14:textId="65EF5000" w:rsidR="00D4647F" w:rsidRPr="00872D7E" w:rsidRDefault="00D4647F" w:rsidP="006E16D5">
            <w:pPr>
              <w:jc w:val="right"/>
              <w:rPr>
                <w:color w:val="000000"/>
                <w:sz w:val="16"/>
                <w:szCs w:val="16"/>
              </w:rPr>
            </w:pPr>
            <w:r w:rsidRPr="00872D7E">
              <w:rPr>
                <w:sz w:val="16"/>
                <w:szCs w:val="16"/>
              </w:rPr>
              <w:t>-</w:t>
            </w:r>
          </w:p>
        </w:tc>
      </w:tr>
      <w:tr w:rsidR="00EF55AD" w:rsidRPr="00872D7E" w14:paraId="67F23031" w14:textId="77777777" w:rsidTr="006E16D5">
        <w:trPr>
          <w:trHeight w:val="113"/>
        </w:trPr>
        <w:tc>
          <w:tcPr>
            <w:tcW w:w="95" w:type="pct"/>
            <w:noWrap/>
            <w:hideMark/>
          </w:tcPr>
          <w:p w14:paraId="7E5F4609" w14:textId="77777777" w:rsidR="00D4647F" w:rsidRPr="00872D7E" w:rsidRDefault="00D4647F" w:rsidP="002F0CF7">
            <w:pPr>
              <w:contextualSpacing/>
              <w:rPr>
                <w:sz w:val="16"/>
                <w:szCs w:val="16"/>
              </w:rPr>
            </w:pPr>
            <w:r w:rsidRPr="00872D7E">
              <w:rPr>
                <w:sz w:val="16"/>
                <w:szCs w:val="16"/>
              </w:rPr>
              <w:t>9</w:t>
            </w:r>
          </w:p>
        </w:tc>
        <w:tc>
          <w:tcPr>
            <w:tcW w:w="950" w:type="pct"/>
            <w:vAlign w:val="bottom"/>
            <w:hideMark/>
          </w:tcPr>
          <w:p w14:paraId="280EBEEF" w14:textId="77777777" w:rsidR="00D4647F" w:rsidRPr="00872D7E" w:rsidRDefault="00D4647F" w:rsidP="002F0CF7">
            <w:pPr>
              <w:contextualSpacing/>
              <w:rPr>
                <w:sz w:val="16"/>
                <w:szCs w:val="16"/>
              </w:rPr>
            </w:pPr>
            <w:r w:rsidRPr="00872D7E">
              <w:rPr>
                <w:sz w:val="16"/>
                <w:szCs w:val="16"/>
              </w:rPr>
              <w:t>İkamet amaçlı gayrimenkul ipoteği ile teminatlandırılan alacaklar</w:t>
            </w:r>
          </w:p>
        </w:tc>
        <w:tc>
          <w:tcPr>
            <w:tcW w:w="341" w:type="pct"/>
            <w:tcBorders>
              <w:top w:val="nil"/>
              <w:left w:val="nil"/>
              <w:bottom w:val="nil"/>
              <w:right w:val="nil"/>
            </w:tcBorders>
            <w:shd w:val="clear" w:color="auto" w:fill="auto"/>
            <w:noWrap/>
            <w:vAlign w:val="bottom"/>
          </w:tcPr>
          <w:p w14:paraId="58BF8D72" w14:textId="28DCEE43" w:rsidR="00D4647F" w:rsidRPr="00872D7E" w:rsidRDefault="00D4647F" w:rsidP="006E16D5">
            <w:pPr>
              <w:jc w:val="right"/>
              <w:rPr>
                <w:color w:val="000000"/>
                <w:sz w:val="16"/>
                <w:szCs w:val="16"/>
              </w:rPr>
            </w:pPr>
            <w:r w:rsidRPr="00872D7E">
              <w:rPr>
                <w:sz w:val="16"/>
                <w:szCs w:val="16"/>
              </w:rPr>
              <w:t>754</w:t>
            </w:r>
          </w:p>
        </w:tc>
        <w:tc>
          <w:tcPr>
            <w:tcW w:w="180" w:type="pct"/>
            <w:tcBorders>
              <w:top w:val="nil"/>
              <w:left w:val="nil"/>
              <w:bottom w:val="nil"/>
              <w:right w:val="nil"/>
            </w:tcBorders>
            <w:shd w:val="clear" w:color="auto" w:fill="auto"/>
            <w:noWrap/>
            <w:vAlign w:val="bottom"/>
          </w:tcPr>
          <w:p w14:paraId="47A23836" w14:textId="3EAD4726"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35535BBD" w14:textId="188F493C"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59F33F9E" w14:textId="4BF940C3"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63DC880F" w14:textId="34365AFF" w:rsidR="00D4647F" w:rsidRPr="00872D7E" w:rsidRDefault="00D4647F" w:rsidP="006E16D5">
            <w:pPr>
              <w:jc w:val="right"/>
              <w:rPr>
                <w:color w:val="000000"/>
                <w:sz w:val="16"/>
                <w:szCs w:val="16"/>
              </w:rPr>
            </w:pPr>
            <w:r w:rsidRPr="00872D7E">
              <w:rPr>
                <w:sz w:val="16"/>
                <w:szCs w:val="16"/>
              </w:rPr>
              <w:t>348.627</w:t>
            </w:r>
          </w:p>
        </w:tc>
        <w:tc>
          <w:tcPr>
            <w:tcW w:w="369" w:type="pct"/>
            <w:tcBorders>
              <w:top w:val="nil"/>
              <w:left w:val="nil"/>
              <w:bottom w:val="nil"/>
              <w:right w:val="nil"/>
            </w:tcBorders>
            <w:shd w:val="clear" w:color="auto" w:fill="auto"/>
            <w:noWrap/>
            <w:vAlign w:val="bottom"/>
          </w:tcPr>
          <w:p w14:paraId="1E5C845D" w14:textId="244DC088"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5E4EA040" w14:textId="55DFD75B"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0966A77F" w14:textId="07558F82"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42346A5C" w14:textId="786F32B5"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6FE1203D" w14:textId="5CF94AB4"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2A9EB5AE" w14:textId="62B3CC75"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25AC8EE2" w14:textId="26B78204" w:rsidR="00D4647F" w:rsidRPr="00872D7E" w:rsidRDefault="00D4647F" w:rsidP="006E16D5">
            <w:pPr>
              <w:jc w:val="right"/>
              <w:rPr>
                <w:color w:val="000000"/>
                <w:sz w:val="16"/>
                <w:szCs w:val="16"/>
              </w:rPr>
            </w:pPr>
            <w:r w:rsidRPr="00872D7E">
              <w:rPr>
                <w:sz w:val="16"/>
                <w:szCs w:val="16"/>
              </w:rPr>
              <w:t>349.381</w:t>
            </w:r>
          </w:p>
        </w:tc>
      </w:tr>
      <w:tr w:rsidR="00EF55AD" w:rsidRPr="00872D7E" w14:paraId="70A9F2E6" w14:textId="77777777" w:rsidTr="006E16D5">
        <w:trPr>
          <w:trHeight w:val="113"/>
        </w:trPr>
        <w:tc>
          <w:tcPr>
            <w:tcW w:w="95" w:type="pct"/>
            <w:noWrap/>
          </w:tcPr>
          <w:p w14:paraId="512FBB90" w14:textId="77777777" w:rsidR="00D4647F" w:rsidRPr="00872D7E" w:rsidRDefault="00D4647F" w:rsidP="002F0CF7">
            <w:pPr>
              <w:contextualSpacing/>
              <w:rPr>
                <w:sz w:val="16"/>
                <w:szCs w:val="16"/>
              </w:rPr>
            </w:pPr>
            <w:r w:rsidRPr="00872D7E">
              <w:rPr>
                <w:sz w:val="16"/>
                <w:szCs w:val="16"/>
              </w:rPr>
              <w:t>10</w:t>
            </w:r>
          </w:p>
        </w:tc>
        <w:tc>
          <w:tcPr>
            <w:tcW w:w="950" w:type="pct"/>
            <w:vAlign w:val="bottom"/>
          </w:tcPr>
          <w:p w14:paraId="2F3B7581" w14:textId="77777777" w:rsidR="00D4647F" w:rsidRPr="00872D7E" w:rsidRDefault="00D4647F" w:rsidP="002F0CF7">
            <w:pPr>
              <w:contextualSpacing/>
              <w:rPr>
                <w:sz w:val="16"/>
                <w:szCs w:val="16"/>
              </w:rPr>
            </w:pPr>
            <w:r w:rsidRPr="00872D7E">
              <w:rPr>
                <w:sz w:val="16"/>
                <w:szCs w:val="16"/>
              </w:rPr>
              <w:t>Ticari amaçlı gayrimenkul ipoteği ile teminatlandırılan alacaklar</w:t>
            </w:r>
          </w:p>
        </w:tc>
        <w:tc>
          <w:tcPr>
            <w:tcW w:w="341" w:type="pct"/>
            <w:tcBorders>
              <w:top w:val="nil"/>
              <w:left w:val="nil"/>
              <w:bottom w:val="nil"/>
              <w:right w:val="nil"/>
            </w:tcBorders>
            <w:shd w:val="clear" w:color="auto" w:fill="auto"/>
            <w:noWrap/>
            <w:vAlign w:val="bottom"/>
          </w:tcPr>
          <w:p w14:paraId="1717A8D0" w14:textId="6903A14D"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01B3E9F7" w14:textId="4B4FFC9C"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6E235742" w14:textId="569ACD41" w:rsidR="00D4647F" w:rsidRPr="00872D7E" w:rsidRDefault="00D4647F" w:rsidP="006E16D5">
            <w:pPr>
              <w:jc w:val="right"/>
              <w:rPr>
                <w:color w:val="000000"/>
                <w:sz w:val="16"/>
                <w:szCs w:val="16"/>
              </w:rPr>
            </w:pPr>
            <w:r w:rsidRPr="00872D7E">
              <w:rPr>
                <w:sz w:val="16"/>
                <w:szCs w:val="16"/>
              </w:rPr>
              <w:t>872</w:t>
            </w:r>
          </w:p>
        </w:tc>
        <w:tc>
          <w:tcPr>
            <w:tcW w:w="197" w:type="pct"/>
            <w:tcBorders>
              <w:top w:val="nil"/>
              <w:left w:val="nil"/>
              <w:bottom w:val="nil"/>
              <w:right w:val="nil"/>
            </w:tcBorders>
            <w:vAlign w:val="bottom"/>
          </w:tcPr>
          <w:p w14:paraId="5CD77776" w14:textId="0BC115A0"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510EDDC8" w14:textId="09675AE5"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425F1B6C" w14:textId="5D16A668" w:rsidR="00D4647F" w:rsidRPr="00872D7E" w:rsidRDefault="00D4647F" w:rsidP="006E16D5">
            <w:pPr>
              <w:jc w:val="right"/>
              <w:rPr>
                <w:color w:val="000000"/>
                <w:sz w:val="16"/>
                <w:szCs w:val="16"/>
              </w:rPr>
            </w:pPr>
            <w:r w:rsidRPr="00872D7E">
              <w:rPr>
                <w:sz w:val="16"/>
                <w:szCs w:val="16"/>
              </w:rPr>
              <w:t>296.152</w:t>
            </w:r>
          </w:p>
        </w:tc>
        <w:tc>
          <w:tcPr>
            <w:tcW w:w="320" w:type="pct"/>
            <w:tcBorders>
              <w:top w:val="nil"/>
              <w:left w:val="nil"/>
              <w:bottom w:val="nil"/>
              <w:right w:val="nil"/>
            </w:tcBorders>
            <w:shd w:val="clear" w:color="auto" w:fill="auto"/>
            <w:noWrap/>
            <w:vAlign w:val="bottom"/>
          </w:tcPr>
          <w:p w14:paraId="55ABC8F0" w14:textId="48FACBDB"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3A487CB3" w14:textId="586B75DC" w:rsidR="00D4647F" w:rsidRPr="00872D7E" w:rsidRDefault="00D4647F" w:rsidP="006E16D5">
            <w:pPr>
              <w:jc w:val="right"/>
              <w:rPr>
                <w:color w:val="000000"/>
                <w:sz w:val="16"/>
                <w:szCs w:val="16"/>
              </w:rPr>
            </w:pPr>
            <w:r w:rsidRPr="00872D7E">
              <w:rPr>
                <w:sz w:val="16"/>
                <w:szCs w:val="16"/>
              </w:rPr>
              <w:t>63.206</w:t>
            </w:r>
          </w:p>
        </w:tc>
        <w:tc>
          <w:tcPr>
            <w:tcW w:w="289" w:type="pct"/>
            <w:tcBorders>
              <w:top w:val="nil"/>
              <w:left w:val="nil"/>
              <w:bottom w:val="nil"/>
              <w:right w:val="nil"/>
            </w:tcBorders>
            <w:shd w:val="clear" w:color="auto" w:fill="auto"/>
            <w:noWrap/>
            <w:vAlign w:val="bottom"/>
          </w:tcPr>
          <w:p w14:paraId="09E4ACE2" w14:textId="2D9568F1"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24C90304" w14:textId="57E7AE3B"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4E856AAC" w14:textId="6E13EE9D"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6F5A277E" w14:textId="0DB5ED6E" w:rsidR="00D4647F" w:rsidRPr="00872D7E" w:rsidRDefault="00D4647F" w:rsidP="006E16D5">
            <w:pPr>
              <w:jc w:val="right"/>
              <w:rPr>
                <w:color w:val="000000"/>
                <w:sz w:val="16"/>
                <w:szCs w:val="16"/>
              </w:rPr>
            </w:pPr>
            <w:r w:rsidRPr="00872D7E">
              <w:rPr>
                <w:sz w:val="16"/>
                <w:szCs w:val="16"/>
              </w:rPr>
              <w:t>360.230</w:t>
            </w:r>
          </w:p>
        </w:tc>
      </w:tr>
      <w:tr w:rsidR="00EF55AD" w:rsidRPr="00872D7E" w14:paraId="1541C594" w14:textId="77777777" w:rsidTr="006E16D5">
        <w:trPr>
          <w:trHeight w:val="113"/>
        </w:trPr>
        <w:tc>
          <w:tcPr>
            <w:tcW w:w="95" w:type="pct"/>
            <w:noWrap/>
            <w:hideMark/>
          </w:tcPr>
          <w:p w14:paraId="42D85193" w14:textId="77777777" w:rsidR="00D4647F" w:rsidRPr="00872D7E" w:rsidRDefault="00D4647F" w:rsidP="002F0CF7">
            <w:pPr>
              <w:contextualSpacing/>
              <w:rPr>
                <w:sz w:val="16"/>
                <w:szCs w:val="16"/>
              </w:rPr>
            </w:pPr>
            <w:r w:rsidRPr="00872D7E">
              <w:rPr>
                <w:sz w:val="16"/>
                <w:szCs w:val="16"/>
              </w:rPr>
              <w:t>11</w:t>
            </w:r>
          </w:p>
        </w:tc>
        <w:tc>
          <w:tcPr>
            <w:tcW w:w="950" w:type="pct"/>
            <w:vAlign w:val="bottom"/>
            <w:hideMark/>
          </w:tcPr>
          <w:p w14:paraId="7FBE3D27" w14:textId="77777777" w:rsidR="00D4647F" w:rsidRPr="00872D7E" w:rsidRDefault="00D4647F" w:rsidP="002F0CF7">
            <w:pPr>
              <w:contextualSpacing/>
              <w:rPr>
                <w:sz w:val="16"/>
                <w:szCs w:val="16"/>
              </w:rPr>
            </w:pPr>
            <w:r w:rsidRPr="00872D7E">
              <w:rPr>
                <w:sz w:val="16"/>
                <w:szCs w:val="16"/>
              </w:rPr>
              <w:t>Tahsili gecikmiş alacaklar</w:t>
            </w:r>
          </w:p>
        </w:tc>
        <w:tc>
          <w:tcPr>
            <w:tcW w:w="341" w:type="pct"/>
            <w:tcBorders>
              <w:top w:val="nil"/>
              <w:left w:val="nil"/>
              <w:bottom w:val="nil"/>
              <w:right w:val="nil"/>
            </w:tcBorders>
            <w:shd w:val="clear" w:color="auto" w:fill="auto"/>
            <w:noWrap/>
            <w:vAlign w:val="bottom"/>
          </w:tcPr>
          <w:p w14:paraId="403D0FAF" w14:textId="17625A1F"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018F72A3" w14:textId="332823D7"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772D8452" w14:textId="25F3BB02"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283A24F8" w14:textId="125A15A5"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59A901C1" w14:textId="24FD0D38"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43B523C7" w14:textId="1AF0F29D"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172A5AE5" w14:textId="28983FA3"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4EEDAF40" w14:textId="73CE1871"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0F68FC99" w14:textId="448CAB26"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49AF44F6" w14:textId="638EB3A2"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63F560DD" w14:textId="748E3E17"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5791F3C6" w14:textId="0FF0FC4F" w:rsidR="00D4647F" w:rsidRPr="00872D7E" w:rsidRDefault="00D4647F" w:rsidP="006E16D5">
            <w:pPr>
              <w:jc w:val="right"/>
              <w:rPr>
                <w:color w:val="000000"/>
                <w:sz w:val="16"/>
                <w:szCs w:val="16"/>
              </w:rPr>
            </w:pPr>
            <w:r w:rsidRPr="00872D7E">
              <w:rPr>
                <w:sz w:val="16"/>
                <w:szCs w:val="16"/>
              </w:rPr>
              <w:t>-</w:t>
            </w:r>
          </w:p>
        </w:tc>
      </w:tr>
      <w:tr w:rsidR="00EF55AD" w:rsidRPr="00872D7E" w14:paraId="75A17B40" w14:textId="77777777" w:rsidTr="006E16D5">
        <w:trPr>
          <w:trHeight w:val="113"/>
        </w:trPr>
        <w:tc>
          <w:tcPr>
            <w:tcW w:w="95" w:type="pct"/>
            <w:noWrap/>
            <w:hideMark/>
          </w:tcPr>
          <w:p w14:paraId="17457FA8" w14:textId="77777777" w:rsidR="00D4647F" w:rsidRPr="00872D7E" w:rsidRDefault="00D4647F" w:rsidP="002F0CF7">
            <w:pPr>
              <w:contextualSpacing/>
              <w:rPr>
                <w:sz w:val="16"/>
                <w:szCs w:val="16"/>
              </w:rPr>
            </w:pPr>
            <w:r w:rsidRPr="00872D7E">
              <w:rPr>
                <w:sz w:val="16"/>
                <w:szCs w:val="16"/>
              </w:rPr>
              <w:t>12</w:t>
            </w:r>
          </w:p>
        </w:tc>
        <w:tc>
          <w:tcPr>
            <w:tcW w:w="950" w:type="pct"/>
            <w:vAlign w:val="bottom"/>
            <w:hideMark/>
          </w:tcPr>
          <w:p w14:paraId="603F0F0B" w14:textId="77777777" w:rsidR="00D4647F" w:rsidRPr="00872D7E" w:rsidRDefault="00D4647F" w:rsidP="002F0CF7">
            <w:pPr>
              <w:contextualSpacing/>
              <w:rPr>
                <w:sz w:val="16"/>
                <w:szCs w:val="16"/>
              </w:rPr>
            </w:pPr>
            <w:r w:rsidRPr="00872D7E">
              <w:rPr>
                <w:sz w:val="16"/>
                <w:szCs w:val="16"/>
              </w:rPr>
              <w:t>Kurulca riski yüksek belirlenmiş alacaklar</w:t>
            </w:r>
          </w:p>
        </w:tc>
        <w:tc>
          <w:tcPr>
            <w:tcW w:w="341" w:type="pct"/>
            <w:tcBorders>
              <w:top w:val="nil"/>
              <w:left w:val="nil"/>
              <w:bottom w:val="nil"/>
              <w:right w:val="nil"/>
            </w:tcBorders>
            <w:shd w:val="clear" w:color="auto" w:fill="auto"/>
            <w:noWrap/>
            <w:vAlign w:val="bottom"/>
          </w:tcPr>
          <w:p w14:paraId="6E310FFB" w14:textId="2B0C113B"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6B3EFB1B" w14:textId="08FDD68F"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6A341C70" w14:textId="0D1CE26D"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6C33E899" w14:textId="28272519"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1E6F35B6" w14:textId="00C6FE16"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2B6C51F9" w14:textId="6D0E48D6"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7591828A" w14:textId="580D3872"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6A49D41A" w14:textId="0E3B58CA"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2D5ADFE9" w14:textId="15C9FC07"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124CA7CB" w14:textId="00D64654"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21CDC86D" w14:textId="3754B751" w:rsidR="00D4647F" w:rsidRPr="00872D7E" w:rsidRDefault="00D4647F" w:rsidP="006E16D5">
            <w:pPr>
              <w:jc w:val="right"/>
              <w:rPr>
                <w:color w:val="000000"/>
                <w:sz w:val="16"/>
                <w:szCs w:val="16"/>
              </w:rPr>
            </w:pPr>
            <w:r w:rsidRPr="00872D7E">
              <w:rPr>
                <w:sz w:val="16"/>
                <w:szCs w:val="16"/>
              </w:rPr>
              <w:t>27.648</w:t>
            </w:r>
          </w:p>
        </w:tc>
        <w:tc>
          <w:tcPr>
            <w:tcW w:w="457" w:type="pct"/>
            <w:tcBorders>
              <w:top w:val="nil"/>
              <w:left w:val="nil"/>
              <w:bottom w:val="nil"/>
              <w:right w:val="nil"/>
            </w:tcBorders>
            <w:shd w:val="clear" w:color="auto" w:fill="auto"/>
            <w:noWrap/>
            <w:vAlign w:val="bottom"/>
          </w:tcPr>
          <w:p w14:paraId="6E8EC17B" w14:textId="48097E1C" w:rsidR="00D4647F" w:rsidRPr="00872D7E" w:rsidRDefault="00D4647F" w:rsidP="006E16D5">
            <w:pPr>
              <w:jc w:val="right"/>
              <w:rPr>
                <w:color w:val="000000"/>
                <w:sz w:val="16"/>
                <w:szCs w:val="16"/>
              </w:rPr>
            </w:pPr>
            <w:r w:rsidRPr="00872D7E">
              <w:rPr>
                <w:sz w:val="16"/>
                <w:szCs w:val="16"/>
              </w:rPr>
              <w:t>27.648</w:t>
            </w:r>
          </w:p>
        </w:tc>
      </w:tr>
      <w:tr w:rsidR="00EF55AD" w:rsidRPr="00872D7E" w14:paraId="27462390" w14:textId="77777777" w:rsidTr="006E16D5">
        <w:trPr>
          <w:trHeight w:val="113"/>
        </w:trPr>
        <w:tc>
          <w:tcPr>
            <w:tcW w:w="95" w:type="pct"/>
            <w:noWrap/>
            <w:hideMark/>
          </w:tcPr>
          <w:p w14:paraId="4F0231EC" w14:textId="77777777" w:rsidR="00D4647F" w:rsidRPr="00872D7E" w:rsidRDefault="00D4647F" w:rsidP="002F0CF7">
            <w:pPr>
              <w:rPr>
                <w:sz w:val="16"/>
                <w:szCs w:val="16"/>
              </w:rPr>
            </w:pPr>
            <w:r w:rsidRPr="00872D7E">
              <w:rPr>
                <w:sz w:val="16"/>
                <w:szCs w:val="16"/>
              </w:rPr>
              <w:t>13</w:t>
            </w:r>
          </w:p>
        </w:tc>
        <w:tc>
          <w:tcPr>
            <w:tcW w:w="950" w:type="pct"/>
            <w:vAlign w:val="bottom"/>
            <w:hideMark/>
          </w:tcPr>
          <w:p w14:paraId="22420553" w14:textId="77777777" w:rsidR="00D4647F" w:rsidRPr="00872D7E" w:rsidRDefault="00D4647F" w:rsidP="002F0CF7">
            <w:pPr>
              <w:contextualSpacing/>
              <w:rPr>
                <w:sz w:val="16"/>
                <w:szCs w:val="16"/>
              </w:rPr>
            </w:pPr>
            <w:r w:rsidRPr="00872D7E">
              <w:rPr>
                <w:sz w:val="16"/>
                <w:szCs w:val="16"/>
              </w:rPr>
              <w:t>Teminatlı menkul kıymetler</w:t>
            </w:r>
          </w:p>
        </w:tc>
        <w:tc>
          <w:tcPr>
            <w:tcW w:w="341" w:type="pct"/>
            <w:tcBorders>
              <w:top w:val="nil"/>
              <w:left w:val="nil"/>
              <w:bottom w:val="nil"/>
              <w:right w:val="nil"/>
            </w:tcBorders>
            <w:shd w:val="clear" w:color="auto" w:fill="auto"/>
            <w:noWrap/>
            <w:vAlign w:val="bottom"/>
          </w:tcPr>
          <w:p w14:paraId="59D30BC8" w14:textId="2F37DBC1"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1077CE34" w14:textId="0CF63DF4"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5F2E4C7F" w14:textId="5DB36E04"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0E399967" w14:textId="47906805"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52BEC228" w14:textId="09F3561F"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7B2B6C24" w14:textId="573B8F9E"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4BE0ABB2" w14:textId="23018E9F"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0527A701" w14:textId="0DC924A9"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5D3E94F2" w14:textId="78901207"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44E501F9" w14:textId="4A107DF2"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2089832D" w14:textId="75BC79DD"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567A2765" w14:textId="5A9C0207" w:rsidR="00D4647F" w:rsidRPr="00872D7E" w:rsidRDefault="00D4647F" w:rsidP="006E16D5">
            <w:pPr>
              <w:jc w:val="right"/>
              <w:rPr>
                <w:color w:val="000000"/>
                <w:sz w:val="16"/>
                <w:szCs w:val="16"/>
              </w:rPr>
            </w:pPr>
            <w:r w:rsidRPr="00872D7E">
              <w:rPr>
                <w:sz w:val="16"/>
                <w:szCs w:val="16"/>
              </w:rPr>
              <w:t>-</w:t>
            </w:r>
          </w:p>
        </w:tc>
      </w:tr>
      <w:tr w:rsidR="00EF55AD" w:rsidRPr="00872D7E" w14:paraId="55608EEE" w14:textId="77777777" w:rsidTr="006E16D5">
        <w:trPr>
          <w:trHeight w:val="113"/>
        </w:trPr>
        <w:tc>
          <w:tcPr>
            <w:tcW w:w="95" w:type="pct"/>
            <w:noWrap/>
            <w:hideMark/>
          </w:tcPr>
          <w:p w14:paraId="48CF04EF" w14:textId="77777777" w:rsidR="00D4647F" w:rsidRPr="00872D7E" w:rsidRDefault="00D4647F" w:rsidP="002F0CF7">
            <w:pPr>
              <w:rPr>
                <w:sz w:val="16"/>
                <w:szCs w:val="16"/>
              </w:rPr>
            </w:pPr>
            <w:r w:rsidRPr="00872D7E">
              <w:rPr>
                <w:sz w:val="16"/>
                <w:szCs w:val="16"/>
              </w:rPr>
              <w:t>14</w:t>
            </w:r>
          </w:p>
        </w:tc>
        <w:tc>
          <w:tcPr>
            <w:tcW w:w="950" w:type="pct"/>
            <w:vAlign w:val="bottom"/>
            <w:hideMark/>
          </w:tcPr>
          <w:p w14:paraId="48FD1273" w14:textId="77777777" w:rsidR="00D4647F" w:rsidRPr="00872D7E" w:rsidRDefault="00D4647F" w:rsidP="002F0CF7">
            <w:pPr>
              <w:contextualSpacing/>
              <w:rPr>
                <w:sz w:val="16"/>
                <w:szCs w:val="16"/>
              </w:rPr>
            </w:pPr>
            <w:r w:rsidRPr="00872D7E">
              <w:rPr>
                <w:sz w:val="16"/>
                <w:szCs w:val="16"/>
              </w:rPr>
              <w:t>Bankalardan ve aracı kurumlardan olan kısa vadeli alacaklar ile kısa vadeli kurumsal alacaklar</w:t>
            </w:r>
          </w:p>
        </w:tc>
        <w:tc>
          <w:tcPr>
            <w:tcW w:w="341" w:type="pct"/>
            <w:tcBorders>
              <w:top w:val="nil"/>
              <w:left w:val="nil"/>
              <w:bottom w:val="nil"/>
              <w:right w:val="nil"/>
            </w:tcBorders>
            <w:shd w:val="clear" w:color="auto" w:fill="auto"/>
            <w:noWrap/>
            <w:vAlign w:val="bottom"/>
          </w:tcPr>
          <w:p w14:paraId="2FB9A683" w14:textId="2E06B25E"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0035B62D" w14:textId="51F5823C"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279A93DF" w14:textId="52921994"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70279C57" w14:textId="49EC1E2E"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3AA5A506" w14:textId="024E9545"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7FB8B4E9" w14:textId="1BC12148"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6C0157C3" w14:textId="5B2676E3"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0A90BD44" w14:textId="6DABC7FD" w:rsidR="00D4647F" w:rsidRPr="00872D7E" w:rsidRDefault="00D4647F" w:rsidP="006E16D5">
            <w:pPr>
              <w:jc w:val="right"/>
              <w:rPr>
                <w:color w:val="000000"/>
                <w:sz w:val="16"/>
                <w:szCs w:val="16"/>
              </w:rPr>
            </w:pPr>
            <w:r w:rsidRPr="00872D7E">
              <w:rPr>
                <w:sz w:val="16"/>
                <w:szCs w:val="16"/>
              </w:rPr>
              <w:t>-</w:t>
            </w:r>
          </w:p>
        </w:tc>
        <w:tc>
          <w:tcPr>
            <w:tcW w:w="289" w:type="pct"/>
            <w:tcBorders>
              <w:top w:val="nil"/>
              <w:left w:val="nil"/>
              <w:bottom w:val="nil"/>
              <w:right w:val="nil"/>
            </w:tcBorders>
            <w:shd w:val="clear" w:color="auto" w:fill="auto"/>
            <w:noWrap/>
            <w:vAlign w:val="bottom"/>
          </w:tcPr>
          <w:p w14:paraId="6DB9A30E" w14:textId="722439D5"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05B149A0" w14:textId="72CB8335"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7D622436" w14:textId="04757893"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39142873" w14:textId="299F5DAB" w:rsidR="00D4647F" w:rsidRPr="00872D7E" w:rsidRDefault="00D4647F" w:rsidP="006E16D5">
            <w:pPr>
              <w:jc w:val="right"/>
              <w:rPr>
                <w:color w:val="000000"/>
                <w:sz w:val="16"/>
                <w:szCs w:val="16"/>
              </w:rPr>
            </w:pPr>
            <w:r w:rsidRPr="00872D7E">
              <w:rPr>
                <w:sz w:val="16"/>
                <w:szCs w:val="16"/>
              </w:rPr>
              <w:t>-</w:t>
            </w:r>
          </w:p>
        </w:tc>
      </w:tr>
      <w:tr w:rsidR="00EF55AD" w:rsidRPr="00872D7E" w14:paraId="23F986D5" w14:textId="77777777" w:rsidTr="006E16D5">
        <w:trPr>
          <w:trHeight w:val="113"/>
        </w:trPr>
        <w:tc>
          <w:tcPr>
            <w:tcW w:w="95" w:type="pct"/>
            <w:noWrap/>
            <w:hideMark/>
          </w:tcPr>
          <w:p w14:paraId="7458216A" w14:textId="77777777" w:rsidR="00D4647F" w:rsidRPr="00872D7E" w:rsidRDefault="00D4647F" w:rsidP="002F0CF7">
            <w:pPr>
              <w:rPr>
                <w:sz w:val="16"/>
                <w:szCs w:val="16"/>
              </w:rPr>
            </w:pPr>
            <w:r w:rsidRPr="00872D7E">
              <w:rPr>
                <w:sz w:val="16"/>
                <w:szCs w:val="16"/>
              </w:rPr>
              <w:t>15</w:t>
            </w:r>
          </w:p>
        </w:tc>
        <w:tc>
          <w:tcPr>
            <w:tcW w:w="950" w:type="pct"/>
            <w:vAlign w:val="bottom"/>
            <w:hideMark/>
          </w:tcPr>
          <w:p w14:paraId="7406E15B" w14:textId="77777777" w:rsidR="00D4647F" w:rsidRPr="00872D7E" w:rsidRDefault="00D4647F" w:rsidP="002F0CF7">
            <w:pPr>
              <w:contextualSpacing/>
              <w:rPr>
                <w:sz w:val="16"/>
                <w:szCs w:val="16"/>
              </w:rPr>
            </w:pPr>
            <w:r w:rsidRPr="00872D7E">
              <w:rPr>
                <w:sz w:val="16"/>
                <w:szCs w:val="16"/>
              </w:rPr>
              <w:t>Kolektif yatırım kuruluşu niteliğindeki yatırımlar</w:t>
            </w:r>
          </w:p>
        </w:tc>
        <w:tc>
          <w:tcPr>
            <w:tcW w:w="341" w:type="pct"/>
            <w:tcBorders>
              <w:top w:val="nil"/>
              <w:left w:val="nil"/>
              <w:bottom w:val="nil"/>
              <w:right w:val="nil"/>
            </w:tcBorders>
            <w:shd w:val="clear" w:color="auto" w:fill="auto"/>
            <w:noWrap/>
            <w:vAlign w:val="bottom"/>
          </w:tcPr>
          <w:p w14:paraId="47005805" w14:textId="61D940C9"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733D8A4F" w14:textId="66974CCA"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1AEFF861" w14:textId="5569BF31"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03186880" w14:textId="54D8A486"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5A6DA002" w14:textId="162C8DD6"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3AA05EB2" w14:textId="464A0676"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355DA7B5" w14:textId="20E6ADCB"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64F7AACF" w14:textId="4CA5FED1" w:rsidR="00D4647F" w:rsidRPr="00872D7E" w:rsidRDefault="00D4647F" w:rsidP="006E16D5">
            <w:pPr>
              <w:jc w:val="right"/>
              <w:rPr>
                <w:color w:val="000000"/>
                <w:sz w:val="16"/>
                <w:szCs w:val="16"/>
              </w:rPr>
            </w:pPr>
            <w:r w:rsidRPr="00872D7E">
              <w:rPr>
                <w:sz w:val="16"/>
                <w:szCs w:val="16"/>
              </w:rPr>
              <w:t>948</w:t>
            </w:r>
          </w:p>
        </w:tc>
        <w:tc>
          <w:tcPr>
            <w:tcW w:w="289" w:type="pct"/>
            <w:tcBorders>
              <w:top w:val="nil"/>
              <w:left w:val="nil"/>
              <w:bottom w:val="nil"/>
              <w:right w:val="nil"/>
            </w:tcBorders>
            <w:shd w:val="clear" w:color="auto" w:fill="auto"/>
            <w:noWrap/>
            <w:vAlign w:val="bottom"/>
          </w:tcPr>
          <w:p w14:paraId="0C60C229" w14:textId="172D6900"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77055524" w14:textId="4421ED02"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22A03367" w14:textId="648E2E8E"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76E0AA7D" w14:textId="3D9CECB4" w:rsidR="00D4647F" w:rsidRPr="00872D7E" w:rsidRDefault="00D4647F" w:rsidP="006E16D5">
            <w:pPr>
              <w:jc w:val="right"/>
              <w:rPr>
                <w:color w:val="000000"/>
                <w:sz w:val="16"/>
                <w:szCs w:val="16"/>
              </w:rPr>
            </w:pPr>
            <w:r w:rsidRPr="00872D7E">
              <w:rPr>
                <w:sz w:val="16"/>
                <w:szCs w:val="16"/>
              </w:rPr>
              <w:t>948</w:t>
            </w:r>
          </w:p>
        </w:tc>
      </w:tr>
      <w:tr w:rsidR="00EF55AD" w:rsidRPr="00872D7E" w14:paraId="411D426C" w14:textId="77777777" w:rsidTr="006E16D5">
        <w:trPr>
          <w:trHeight w:val="113"/>
        </w:trPr>
        <w:tc>
          <w:tcPr>
            <w:tcW w:w="95" w:type="pct"/>
            <w:noWrap/>
            <w:hideMark/>
          </w:tcPr>
          <w:p w14:paraId="36B651F3" w14:textId="77777777" w:rsidR="00D4647F" w:rsidRPr="00872D7E" w:rsidRDefault="00D4647F" w:rsidP="002F0CF7">
            <w:pPr>
              <w:rPr>
                <w:sz w:val="16"/>
                <w:szCs w:val="16"/>
              </w:rPr>
            </w:pPr>
            <w:r w:rsidRPr="00872D7E">
              <w:rPr>
                <w:sz w:val="16"/>
                <w:szCs w:val="16"/>
              </w:rPr>
              <w:t>16</w:t>
            </w:r>
          </w:p>
        </w:tc>
        <w:tc>
          <w:tcPr>
            <w:tcW w:w="950" w:type="pct"/>
            <w:vAlign w:val="bottom"/>
            <w:hideMark/>
          </w:tcPr>
          <w:p w14:paraId="0B72B671" w14:textId="77777777" w:rsidR="00D4647F" w:rsidRPr="00872D7E" w:rsidRDefault="00D4647F" w:rsidP="002F0CF7">
            <w:pPr>
              <w:contextualSpacing/>
              <w:rPr>
                <w:sz w:val="16"/>
                <w:szCs w:val="16"/>
              </w:rPr>
            </w:pPr>
            <w:r w:rsidRPr="00872D7E">
              <w:rPr>
                <w:sz w:val="16"/>
                <w:szCs w:val="16"/>
              </w:rPr>
              <w:t>Diğer alacaklar</w:t>
            </w:r>
          </w:p>
        </w:tc>
        <w:tc>
          <w:tcPr>
            <w:tcW w:w="341" w:type="pct"/>
            <w:tcBorders>
              <w:top w:val="nil"/>
              <w:left w:val="nil"/>
              <w:bottom w:val="nil"/>
              <w:right w:val="nil"/>
            </w:tcBorders>
            <w:shd w:val="clear" w:color="auto" w:fill="auto"/>
            <w:noWrap/>
            <w:vAlign w:val="bottom"/>
          </w:tcPr>
          <w:p w14:paraId="4ACDB463" w14:textId="48319D8A" w:rsidR="00D4647F" w:rsidRPr="00872D7E" w:rsidRDefault="00D4647F" w:rsidP="006E16D5">
            <w:pPr>
              <w:jc w:val="right"/>
              <w:rPr>
                <w:color w:val="000000"/>
                <w:sz w:val="16"/>
                <w:szCs w:val="16"/>
              </w:rPr>
            </w:pPr>
            <w:r w:rsidRPr="00872D7E">
              <w:rPr>
                <w:sz w:val="16"/>
                <w:szCs w:val="16"/>
              </w:rPr>
              <w:t>-</w:t>
            </w:r>
          </w:p>
        </w:tc>
        <w:tc>
          <w:tcPr>
            <w:tcW w:w="180" w:type="pct"/>
            <w:tcBorders>
              <w:top w:val="nil"/>
              <w:left w:val="nil"/>
              <w:bottom w:val="nil"/>
              <w:right w:val="nil"/>
            </w:tcBorders>
            <w:shd w:val="clear" w:color="auto" w:fill="auto"/>
            <w:noWrap/>
            <w:vAlign w:val="bottom"/>
          </w:tcPr>
          <w:p w14:paraId="508E21AA" w14:textId="3275A368"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nil"/>
              <w:right w:val="nil"/>
            </w:tcBorders>
            <w:shd w:val="clear" w:color="auto" w:fill="auto"/>
            <w:noWrap/>
            <w:vAlign w:val="bottom"/>
          </w:tcPr>
          <w:p w14:paraId="77AE5F94" w14:textId="660A9250" w:rsidR="00D4647F" w:rsidRPr="00872D7E" w:rsidRDefault="00D4647F" w:rsidP="006E16D5">
            <w:pPr>
              <w:jc w:val="right"/>
              <w:rPr>
                <w:color w:val="000000"/>
                <w:sz w:val="16"/>
                <w:szCs w:val="16"/>
              </w:rPr>
            </w:pPr>
            <w:r w:rsidRPr="00872D7E">
              <w:rPr>
                <w:sz w:val="16"/>
                <w:szCs w:val="16"/>
              </w:rPr>
              <w:t>-</w:t>
            </w:r>
          </w:p>
        </w:tc>
        <w:tc>
          <w:tcPr>
            <w:tcW w:w="197" w:type="pct"/>
            <w:tcBorders>
              <w:top w:val="nil"/>
              <w:left w:val="nil"/>
              <w:bottom w:val="nil"/>
              <w:right w:val="nil"/>
            </w:tcBorders>
            <w:vAlign w:val="bottom"/>
          </w:tcPr>
          <w:p w14:paraId="7795B563" w14:textId="3E9BF67B"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nil"/>
              <w:right w:val="nil"/>
            </w:tcBorders>
            <w:shd w:val="clear" w:color="auto" w:fill="auto"/>
            <w:vAlign w:val="bottom"/>
          </w:tcPr>
          <w:p w14:paraId="455C8449" w14:textId="004BAA59"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nil"/>
              <w:right w:val="nil"/>
            </w:tcBorders>
            <w:shd w:val="clear" w:color="auto" w:fill="auto"/>
            <w:noWrap/>
            <w:vAlign w:val="bottom"/>
          </w:tcPr>
          <w:p w14:paraId="094BBEF6" w14:textId="71D2CDC1"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nil"/>
              <w:right w:val="nil"/>
            </w:tcBorders>
            <w:shd w:val="clear" w:color="auto" w:fill="auto"/>
            <w:noWrap/>
            <w:vAlign w:val="bottom"/>
          </w:tcPr>
          <w:p w14:paraId="39E9A00F" w14:textId="3F2C5283"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nil"/>
              <w:right w:val="nil"/>
            </w:tcBorders>
            <w:shd w:val="clear" w:color="auto" w:fill="auto"/>
            <w:noWrap/>
            <w:vAlign w:val="bottom"/>
          </w:tcPr>
          <w:p w14:paraId="52AE3E3C" w14:textId="226634F2" w:rsidR="00D4647F" w:rsidRPr="00872D7E" w:rsidRDefault="00D4647F" w:rsidP="006E16D5">
            <w:pPr>
              <w:jc w:val="right"/>
              <w:rPr>
                <w:color w:val="000000"/>
                <w:sz w:val="16"/>
                <w:szCs w:val="16"/>
              </w:rPr>
            </w:pPr>
            <w:r w:rsidRPr="00872D7E">
              <w:rPr>
                <w:sz w:val="16"/>
                <w:szCs w:val="16"/>
              </w:rPr>
              <w:t>1.265</w:t>
            </w:r>
          </w:p>
        </w:tc>
        <w:tc>
          <w:tcPr>
            <w:tcW w:w="289" w:type="pct"/>
            <w:tcBorders>
              <w:top w:val="nil"/>
              <w:left w:val="nil"/>
              <w:bottom w:val="nil"/>
              <w:right w:val="nil"/>
            </w:tcBorders>
            <w:shd w:val="clear" w:color="auto" w:fill="auto"/>
            <w:noWrap/>
            <w:vAlign w:val="bottom"/>
          </w:tcPr>
          <w:p w14:paraId="01965506" w14:textId="4609FB16"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nil"/>
              <w:right w:val="nil"/>
            </w:tcBorders>
            <w:shd w:val="clear" w:color="auto" w:fill="auto"/>
            <w:noWrap/>
            <w:vAlign w:val="bottom"/>
          </w:tcPr>
          <w:p w14:paraId="7F4876C1" w14:textId="07F2464D"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nil"/>
              <w:right w:val="nil"/>
            </w:tcBorders>
            <w:shd w:val="clear" w:color="auto" w:fill="auto"/>
            <w:noWrap/>
            <w:vAlign w:val="bottom"/>
          </w:tcPr>
          <w:p w14:paraId="1A00D76F" w14:textId="747F9A23"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nil"/>
              <w:right w:val="nil"/>
            </w:tcBorders>
            <w:shd w:val="clear" w:color="auto" w:fill="auto"/>
            <w:noWrap/>
            <w:vAlign w:val="bottom"/>
          </w:tcPr>
          <w:p w14:paraId="2D556C02" w14:textId="5E492A52" w:rsidR="00D4647F" w:rsidRPr="00872D7E" w:rsidRDefault="00D4647F" w:rsidP="006E16D5">
            <w:pPr>
              <w:jc w:val="right"/>
              <w:rPr>
                <w:color w:val="000000"/>
                <w:sz w:val="16"/>
                <w:szCs w:val="16"/>
              </w:rPr>
            </w:pPr>
            <w:r w:rsidRPr="00872D7E">
              <w:rPr>
                <w:sz w:val="16"/>
                <w:szCs w:val="16"/>
              </w:rPr>
              <w:t>1.265</w:t>
            </w:r>
          </w:p>
        </w:tc>
      </w:tr>
      <w:tr w:rsidR="00EF55AD" w:rsidRPr="00872D7E" w14:paraId="534AED7A" w14:textId="77777777" w:rsidTr="006E16D5">
        <w:trPr>
          <w:trHeight w:val="113"/>
        </w:trPr>
        <w:tc>
          <w:tcPr>
            <w:tcW w:w="95" w:type="pct"/>
            <w:tcBorders>
              <w:bottom w:val="single" w:sz="4" w:space="0" w:color="auto"/>
            </w:tcBorders>
            <w:noWrap/>
            <w:hideMark/>
          </w:tcPr>
          <w:p w14:paraId="1A89FDD5" w14:textId="77777777" w:rsidR="00D4647F" w:rsidRPr="00872D7E" w:rsidRDefault="00D4647F" w:rsidP="002F0CF7">
            <w:pPr>
              <w:rPr>
                <w:sz w:val="16"/>
                <w:szCs w:val="16"/>
              </w:rPr>
            </w:pPr>
            <w:r w:rsidRPr="00872D7E">
              <w:rPr>
                <w:sz w:val="16"/>
                <w:szCs w:val="16"/>
              </w:rPr>
              <w:t>17</w:t>
            </w:r>
          </w:p>
        </w:tc>
        <w:tc>
          <w:tcPr>
            <w:tcW w:w="950" w:type="pct"/>
            <w:tcBorders>
              <w:bottom w:val="single" w:sz="4" w:space="0" w:color="auto"/>
            </w:tcBorders>
            <w:vAlign w:val="bottom"/>
            <w:hideMark/>
          </w:tcPr>
          <w:p w14:paraId="3ADB8AA1" w14:textId="77777777" w:rsidR="00D4647F" w:rsidRPr="00872D7E" w:rsidRDefault="00D4647F" w:rsidP="002F0CF7">
            <w:pPr>
              <w:contextualSpacing/>
              <w:rPr>
                <w:sz w:val="16"/>
                <w:szCs w:val="16"/>
              </w:rPr>
            </w:pPr>
            <w:r w:rsidRPr="00872D7E">
              <w:rPr>
                <w:sz w:val="16"/>
                <w:szCs w:val="16"/>
              </w:rPr>
              <w:t>Hisse senedi yatırımları</w:t>
            </w:r>
          </w:p>
        </w:tc>
        <w:tc>
          <w:tcPr>
            <w:tcW w:w="341" w:type="pct"/>
            <w:tcBorders>
              <w:top w:val="nil"/>
              <w:left w:val="nil"/>
              <w:bottom w:val="single" w:sz="4" w:space="0" w:color="auto"/>
              <w:right w:val="nil"/>
            </w:tcBorders>
            <w:shd w:val="clear" w:color="auto" w:fill="auto"/>
            <w:noWrap/>
            <w:vAlign w:val="bottom"/>
          </w:tcPr>
          <w:p w14:paraId="13620973" w14:textId="37E98480" w:rsidR="00D4647F" w:rsidRPr="00872D7E" w:rsidRDefault="00D4647F" w:rsidP="006E16D5">
            <w:pPr>
              <w:jc w:val="right"/>
              <w:rPr>
                <w:color w:val="000000"/>
                <w:sz w:val="16"/>
                <w:szCs w:val="16"/>
              </w:rPr>
            </w:pPr>
            <w:r w:rsidRPr="00872D7E">
              <w:rPr>
                <w:sz w:val="16"/>
                <w:szCs w:val="16"/>
              </w:rPr>
              <w:t>421.770</w:t>
            </w:r>
          </w:p>
        </w:tc>
        <w:tc>
          <w:tcPr>
            <w:tcW w:w="180" w:type="pct"/>
            <w:tcBorders>
              <w:top w:val="nil"/>
              <w:left w:val="nil"/>
              <w:bottom w:val="single" w:sz="4" w:space="0" w:color="auto"/>
              <w:right w:val="nil"/>
            </w:tcBorders>
            <w:shd w:val="clear" w:color="auto" w:fill="auto"/>
            <w:noWrap/>
            <w:vAlign w:val="bottom"/>
          </w:tcPr>
          <w:p w14:paraId="331134C7" w14:textId="148CEDE1" w:rsidR="00D4647F" w:rsidRPr="00872D7E" w:rsidRDefault="00D4647F" w:rsidP="006E16D5">
            <w:pPr>
              <w:jc w:val="right"/>
              <w:rPr>
                <w:color w:val="000000"/>
                <w:sz w:val="16"/>
                <w:szCs w:val="16"/>
              </w:rPr>
            </w:pPr>
            <w:r w:rsidRPr="00872D7E">
              <w:rPr>
                <w:sz w:val="16"/>
                <w:szCs w:val="16"/>
              </w:rPr>
              <w:t>-</w:t>
            </w:r>
          </w:p>
        </w:tc>
        <w:tc>
          <w:tcPr>
            <w:tcW w:w="341" w:type="pct"/>
            <w:tcBorders>
              <w:top w:val="nil"/>
              <w:left w:val="nil"/>
              <w:bottom w:val="single" w:sz="4" w:space="0" w:color="auto"/>
              <w:right w:val="nil"/>
            </w:tcBorders>
            <w:shd w:val="clear" w:color="auto" w:fill="auto"/>
            <w:noWrap/>
            <w:vAlign w:val="bottom"/>
          </w:tcPr>
          <w:p w14:paraId="36229261" w14:textId="7D8EA03C" w:rsidR="00D4647F" w:rsidRPr="00872D7E" w:rsidRDefault="00D4647F" w:rsidP="006E16D5">
            <w:pPr>
              <w:jc w:val="right"/>
              <w:rPr>
                <w:color w:val="000000"/>
                <w:sz w:val="16"/>
                <w:szCs w:val="16"/>
              </w:rPr>
            </w:pPr>
            <w:r w:rsidRPr="00872D7E">
              <w:rPr>
                <w:sz w:val="16"/>
                <w:szCs w:val="16"/>
              </w:rPr>
              <w:t>33</w:t>
            </w:r>
          </w:p>
        </w:tc>
        <w:tc>
          <w:tcPr>
            <w:tcW w:w="197" w:type="pct"/>
            <w:tcBorders>
              <w:top w:val="nil"/>
              <w:left w:val="nil"/>
              <w:bottom w:val="single" w:sz="4" w:space="0" w:color="auto"/>
              <w:right w:val="nil"/>
            </w:tcBorders>
            <w:vAlign w:val="bottom"/>
          </w:tcPr>
          <w:p w14:paraId="67567624" w14:textId="63A61348" w:rsidR="00D4647F" w:rsidRPr="00872D7E" w:rsidRDefault="00D4647F" w:rsidP="006E16D5">
            <w:pPr>
              <w:jc w:val="right"/>
              <w:rPr>
                <w:color w:val="000000"/>
                <w:sz w:val="16"/>
                <w:szCs w:val="16"/>
              </w:rPr>
            </w:pPr>
            <w:r w:rsidRPr="00872D7E">
              <w:rPr>
                <w:sz w:val="16"/>
                <w:szCs w:val="16"/>
              </w:rPr>
              <w:t>-</w:t>
            </w:r>
          </w:p>
        </w:tc>
        <w:tc>
          <w:tcPr>
            <w:tcW w:w="560" w:type="pct"/>
            <w:tcBorders>
              <w:top w:val="nil"/>
              <w:left w:val="nil"/>
              <w:bottom w:val="single" w:sz="4" w:space="0" w:color="auto"/>
              <w:right w:val="nil"/>
            </w:tcBorders>
            <w:shd w:val="clear" w:color="auto" w:fill="auto"/>
            <w:vAlign w:val="bottom"/>
          </w:tcPr>
          <w:p w14:paraId="7AFF3A49" w14:textId="753EAA2A" w:rsidR="00D4647F" w:rsidRPr="00872D7E" w:rsidRDefault="00D4647F" w:rsidP="006E16D5">
            <w:pPr>
              <w:jc w:val="right"/>
              <w:rPr>
                <w:color w:val="000000"/>
                <w:sz w:val="16"/>
                <w:szCs w:val="16"/>
              </w:rPr>
            </w:pPr>
            <w:r w:rsidRPr="00872D7E">
              <w:rPr>
                <w:sz w:val="16"/>
                <w:szCs w:val="16"/>
              </w:rPr>
              <w:t>-</w:t>
            </w:r>
          </w:p>
        </w:tc>
        <w:tc>
          <w:tcPr>
            <w:tcW w:w="369" w:type="pct"/>
            <w:tcBorders>
              <w:top w:val="nil"/>
              <w:left w:val="nil"/>
              <w:bottom w:val="single" w:sz="4" w:space="0" w:color="auto"/>
              <w:right w:val="nil"/>
            </w:tcBorders>
            <w:shd w:val="clear" w:color="auto" w:fill="auto"/>
            <w:noWrap/>
            <w:vAlign w:val="bottom"/>
          </w:tcPr>
          <w:p w14:paraId="2C6C0259" w14:textId="0012F483" w:rsidR="00D4647F" w:rsidRPr="00872D7E" w:rsidRDefault="00D4647F" w:rsidP="006E16D5">
            <w:pPr>
              <w:jc w:val="right"/>
              <w:rPr>
                <w:color w:val="000000"/>
                <w:sz w:val="16"/>
                <w:szCs w:val="16"/>
              </w:rPr>
            </w:pPr>
            <w:r w:rsidRPr="00872D7E">
              <w:rPr>
                <w:sz w:val="16"/>
                <w:szCs w:val="16"/>
              </w:rPr>
              <w:t>-</w:t>
            </w:r>
          </w:p>
        </w:tc>
        <w:tc>
          <w:tcPr>
            <w:tcW w:w="320" w:type="pct"/>
            <w:tcBorders>
              <w:top w:val="nil"/>
              <w:left w:val="nil"/>
              <w:bottom w:val="single" w:sz="4" w:space="0" w:color="auto"/>
              <w:right w:val="nil"/>
            </w:tcBorders>
            <w:shd w:val="clear" w:color="auto" w:fill="auto"/>
            <w:noWrap/>
            <w:vAlign w:val="bottom"/>
          </w:tcPr>
          <w:p w14:paraId="46A2E5AD" w14:textId="723B04C0" w:rsidR="00D4647F" w:rsidRPr="00872D7E" w:rsidRDefault="00D4647F" w:rsidP="006E16D5">
            <w:pPr>
              <w:jc w:val="right"/>
              <w:rPr>
                <w:color w:val="000000"/>
                <w:sz w:val="16"/>
                <w:szCs w:val="16"/>
              </w:rPr>
            </w:pPr>
            <w:r w:rsidRPr="00872D7E">
              <w:rPr>
                <w:sz w:val="16"/>
                <w:szCs w:val="16"/>
              </w:rPr>
              <w:t>-</w:t>
            </w:r>
          </w:p>
        </w:tc>
        <w:tc>
          <w:tcPr>
            <w:tcW w:w="375" w:type="pct"/>
            <w:tcBorders>
              <w:top w:val="nil"/>
              <w:left w:val="nil"/>
              <w:bottom w:val="single" w:sz="4" w:space="0" w:color="auto"/>
              <w:right w:val="nil"/>
            </w:tcBorders>
            <w:shd w:val="clear" w:color="auto" w:fill="auto"/>
            <w:noWrap/>
            <w:vAlign w:val="bottom"/>
          </w:tcPr>
          <w:p w14:paraId="7251F36A" w14:textId="5D323EAC" w:rsidR="00D4647F" w:rsidRPr="00872D7E" w:rsidRDefault="00D4647F" w:rsidP="006E16D5">
            <w:pPr>
              <w:jc w:val="right"/>
              <w:rPr>
                <w:color w:val="000000"/>
                <w:sz w:val="16"/>
                <w:szCs w:val="16"/>
              </w:rPr>
            </w:pPr>
            <w:r w:rsidRPr="00872D7E">
              <w:rPr>
                <w:sz w:val="16"/>
                <w:szCs w:val="16"/>
              </w:rPr>
              <w:t>569.321</w:t>
            </w:r>
          </w:p>
        </w:tc>
        <w:tc>
          <w:tcPr>
            <w:tcW w:w="289" w:type="pct"/>
            <w:tcBorders>
              <w:top w:val="nil"/>
              <w:left w:val="nil"/>
              <w:bottom w:val="single" w:sz="4" w:space="0" w:color="auto"/>
              <w:right w:val="nil"/>
            </w:tcBorders>
            <w:shd w:val="clear" w:color="auto" w:fill="auto"/>
            <w:noWrap/>
            <w:vAlign w:val="bottom"/>
          </w:tcPr>
          <w:p w14:paraId="4CF413FB" w14:textId="6B9B3CF3" w:rsidR="00D4647F" w:rsidRPr="00872D7E" w:rsidRDefault="00D4647F" w:rsidP="006E16D5">
            <w:pPr>
              <w:jc w:val="right"/>
              <w:rPr>
                <w:color w:val="000000"/>
                <w:sz w:val="16"/>
                <w:szCs w:val="16"/>
              </w:rPr>
            </w:pPr>
            <w:r w:rsidRPr="00872D7E">
              <w:rPr>
                <w:sz w:val="16"/>
                <w:szCs w:val="16"/>
              </w:rPr>
              <w:t>-</w:t>
            </w:r>
          </w:p>
        </w:tc>
        <w:tc>
          <w:tcPr>
            <w:tcW w:w="207" w:type="pct"/>
            <w:tcBorders>
              <w:top w:val="nil"/>
              <w:left w:val="nil"/>
              <w:bottom w:val="single" w:sz="4" w:space="0" w:color="auto"/>
              <w:right w:val="nil"/>
            </w:tcBorders>
            <w:shd w:val="clear" w:color="auto" w:fill="auto"/>
            <w:noWrap/>
            <w:vAlign w:val="bottom"/>
          </w:tcPr>
          <w:p w14:paraId="4AAF625E" w14:textId="3D7E28C5" w:rsidR="00D4647F" w:rsidRPr="00872D7E" w:rsidRDefault="00D4647F" w:rsidP="006E16D5">
            <w:pPr>
              <w:jc w:val="right"/>
              <w:rPr>
                <w:color w:val="000000"/>
                <w:sz w:val="16"/>
                <w:szCs w:val="16"/>
              </w:rPr>
            </w:pPr>
            <w:r w:rsidRPr="00872D7E">
              <w:rPr>
                <w:sz w:val="16"/>
                <w:szCs w:val="16"/>
              </w:rPr>
              <w:t>-</w:t>
            </w:r>
          </w:p>
        </w:tc>
        <w:tc>
          <w:tcPr>
            <w:tcW w:w="318" w:type="pct"/>
            <w:tcBorders>
              <w:top w:val="nil"/>
              <w:left w:val="nil"/>
              <w:bottom w:val="single" w:sz="4" w:space="0" w:color="auto"/>
              <w:right w:val="nil"/>
            </w:tcBorders>
            <w:shd w:val="clear" w:color="auto" w:fill="auto"/>
            <w:noWrap/>
            <w:vAlign w:val="bottom"/>
          </w:tcPr>
          <w:p w14:paraId="455D965A" w14:textId="2BEED606" w:rsidR="00D4647F" w:rsidRPr="00872D7E" w:rsidRDefault="00D4647F" w:rsidP="006E16D5">
            <w:pPr>
              <w:jc w:val="right"/>
              <w:rPr>
                <w:color w:val="000000"/>
                <w:sz w:val="16"/>
                <w:szCs w:val="16"/>
              </w:rPr>
            </w:pPr>
            <w:r w:rsidRPr="00872D7E">
              <w:rPr>
                <w:sz w:val="16"/>
                <w:szCs w:val="16"/>
              </w:rPr>
              <w:t>-</w:t>
            </w:r>
          </w:p>
        </w:tc>
        <w:tc>
          <w:tcPr>
            <w:tcW w:w="457" w:type="pct"/>
            <w:tcBorders>
              <w:top w:val="nil"/>
              <w:left w:val="nil"/>
              <w:bottom w:val="single" w:sz="4" w:space="0" w:color="auto"/>
              <w:right w:val="nil"/>
            </w:tcBorders>
            <w:shd w:val="clear" w:color="auto" w:fill="auto"/>
            <w:noWrap/>
            <w:vAlign w:val="bottom"/>
          </w:tcPr>
          <w:p w14:paraId="325DCB3F" w14:textId="04957076" w:rsidR="00D4647F" w:rsidRPr="00872D7E" w:rsidRDefault="00D4647F" w:rsidP="006E16D5">
            <w:pPr>
              <w:jc w:val="right"/>
              <w:rPr>
                <w:color w:val="000000"/>
                <w:sz w:val="16"/>
                <w:szCs w:val="16"/>
              </w:rPr>
            </w:pPr>
            <w:r w:rsidRPr="00872D7E">
              <w:rPr>
                <w:sz w:val="16"/>
                <w:szCs w:val="16"/>
              </w:rPr>
              <w:t>991.124</w:t>
            </w:r>
          </w:p>
        </w:tc>
      </w:tr>
      <w:tr w:rsidR="00EF55AD" w:rsidRPr="00872D7E" w14:paraId="5491947F" w14:textId="77777777" w:rsidTr="006E16D5">
        <w:trPr>
          <w:trHeight w:val="113"/>
        </w:trPr>
        <w:tc>
          <w:tcPr>
            <w:tcW w:w="95" w:type="pct"/>
            <w:tcBorders>
              <w:top w:val="single" w:sz="4" w:space="0" w:color="auto"/>
              <w:bottom w:val="single" w:sz="12" w:space="0" w:color="auto"/>
            </w:tcBorders>
            <w:noWrap/>
            <w:hideMark/>
          </w:tcPr>
          <w:p w14:paraId="7C8546FF" w14:textId="77777777" w:rsidR="00D4647F" w:rsidRPr="00872D7E" w:rsidRDefault="00D4647F" w:rsidP="002F0CF7">
            <w:pPr>
              <w:rPr>
                <w:b/>
                <w:sz w:val="16"/>
                <w:szCs w:val="16"/>
              </w:rPr>
            </w:pPr>
            <w:r w:rsidRPr="00872D7E">
              <w:rPr>
                <w:b/>
                <w:sz w:val="16"/>
                <w:szCs w:val="16"/>
              </w:rPr>
              <w:t>18</w:t>
            </w:r>
          </w:p>
        </w:tc>
        <w:tc>
          <w:tcPr>
            <w:tcW w:w="950" w:type="pct"/>
            <w:tcBorders>
              <w:top w:val="single" w:sz="4" w:space="0" w:color="auto"/>
              <w:bottom w:val="single" w:sz="12" w:space="0" w:color="auto"/>
            </w:tcBorders>
            <w:vAlign w:val="bottom"/>
            <w:hideMark/>
          </w:tcPr>
          <w:p w14:paraId="20019123" w14:textId="77777777" w:rsidR="00D4647F" w:rsidRPr="00872D7E" w:rsidRDefault="00D4647F" w:rsidP="002F0CF7">
            <w:pPr>
              <w:contextualSpacing/>
              <w:rPr>
                <w:b/>
                <w:sz w:val="16"/>
                <w:szCs w:val="16"/>
              </w:rPr>
            </w:pPr>
            <w:r w:rsidRPr="00872D7E">
              <w:rPr>
                <w:b/>
                <w:sz w:val="16"/>
                <w:szCs w:val="16"/>
              </w:rPr>
              <w:t>Toplam</w:t>
            </w:r>
          </w:p>
        </w:tc>
        <w:tc>
          <w:tcPr>
            <w:tcW w:w="341" w:type="pct"/>
            <w:tcBorders>
              <w:top w:val="single" w:sz="4" w:space="0" w:color="auto"/>
              <w:left w:val="nil"/>
              <w:bottom w:val="single" w:sz="12" w:space="0" w:color="auto"/>
              <w:right w:val="nil"/>
            </w:tcBorders>
            <w:shd w:val="clear" w:color="auto" w:fill="auto"/>
            <w:noWrap/>
            <w:vAlign w:val="bottom"/>
          </w:tcPr>
          <w:p w14:paraId="77299FC9" w14:textId="74080EE5" w:rsidR="00D4647F" w:rsidRPr="00872D7E" w:rsidRDefault="00D4647F" w:rsidP="006E16D5">
            <w:pPr>
              <w:jc w:val="right"/>
              <w:rPr>
                <w:b/>
                <w:color w:val="000000"/>
                <w:sz w:val="16"/>
                <w:szCs w:val="16"/>
              </w:rPr>
            </w:pPr>
            <w:r w:rsidRPr="00872D7E">
              <w:rPr>
                <w:b/>
                <w:sz w:val="16"/>
                <w:szCs w:val="16"/>
              </w:rPr>
              <w:t>5.904.002</w:t>
            </w:r>
          </w:p>
        </w:tc>
        <w:tc>
          <w:tcPr>
            <w:tcW w:w="180" w:type="pct"/>
            <w:tcBorders>
              <w:top w:val="single" w:sz="4" w:space="0" w:color="auto"/>
              <w:left w:val="nil"/>
              <w:bottom w:val="single" w:sz="12" w:space="0" w:color="auto"/>
              <w:right w:val="nil"/>
            </w:tcBorders>
            <w:shd w:val="clear" w:color="auto" w:fill="auto"/>
            <w:noWrap/>
            <w:vAlign w:val="bottom"/>
          </w:tcPr>
          <w:p w14:paraId="12E3EB71" w14:textId="74305196" w:rsidR="00D4647F" w:rsidRPr="00872D7E" w:rsidRDefault="00D4647F" w:rsidP="006E16D5">
            <w:pPr>
              <w:jc w:val="right"/>
              <w:rPr>
                <w:b/>
                <w:color w:val="000000"/>
                <w:sz w:val="16"/>
                <w:szCs w:val="16"/>
              </w:rPr>
            </w:pPr>
            <w:r w:rsidRPr="00872D7E">
              <w:rPr>
                <w:b/>
                <w:sz w:val="16"/>
                <w:szCs w:val="16"/>
              </w:rPr>
              <w:t>-</w:t>
            </w:r>
          </w:p>
        </w:tc>
        <w:tc>
          <w:tcPr>
            <w:tcW w:w="341" w:type="pct"/>
            <w:tcBorders>
              <w:top w:val="single" w:sz="4" w:space="0" w:color="auto"/>
              <w:left w:val="nil"/>
              <w:bottom w:val="single" w:sz="12" w:space="0" w:color="auto"/>
              <w:right w:val="nil"/>
            </w:tcBorders>
            <w:shd w:val="clear" w:color="auto" w:fill="auto"/>
            <w:noWrap/>
            <w:vAlign w:val="bottom"/>
          </w:tcPr>
          <w:p w14:paraId="4CCC069F" w14:textId="7CB6E4FE" w:rsidR="00D4647F" w:rsidRPr="00872D7E" w:rsidRDefault="00D4647F" w:rsidP="006E16D5">
            <w:pPr>
              <w:jc w:val="right"/>
              <w:rPr>
                <w:b/>
                <w:color w:val="000000"/>
                <w:sz w:val="16"/>
                <w:szCs w:val="16"/>
              </w:rPr>
            </w:pPr>
            <w:r w:rsidRPr="00872D7E">
              <w:rPr>
                <w:b/>
                <w:sz w:val="16"/>
                <w:szCs w:val="16"/>
              </w:rPr>
              <w:t>5.372.368</w:t>
            </w:r>
          </w:p>
        </w:tc>
        <w:tc>
          <w:tcPr>
            <w:tcW w:w="197" w:type="pct"/>
            <w:tcBorders>
              <w:top w:val="single" w:sz="4" w:space="0" w:color="auto"/>
              <w:left w:val="nil"/>
              <w:bottom w:val="single" w:sz="12" w:space="0" w:color="auto"/>
              <w:right w:val="nil"/>
            </w:tcBorders>
            <w:vAlign w:val="bottom"/>
          </w:tcPr>
          <w:p w14:paraId="4A26E0EC" w14:textId="0F7BEE12" w:rsidR="00D4647F" w:rsidRPr="00872D7E" w:rsidRDefault="00D4647F" w:rsidP="006E16D5">
            <w:pPr>
              <w:jc w:val="right"/>
              <w:rPr>
                <w:b/>
                <w:color w:val="000000"/>
                <w:sz w:val="16"/>
                <w:szCs w:val="16"/>
              </w:rPr>
            </w:pPr>
            <w:r w:rsidRPr="00872D7E">
              <w:rPr>
                <w:b/>
                <w:sz w:val="16"/>
                <w:szCs w:val="16"/>
              </w:rPr>
              <w:t>-</w:t>
            </w:r>
          </w:p>
        </w:tc>
        <w:tc>
          <w:tcPr>
            <w:tcW w:w="560" w:type="pct"/>
            <w:tcBorders>
              <w:top w:val="single" w:sz="4" w:space="0" w:color="auto"/>
              <w:left w:val="nil"/>
              <w:bottom w:val="single" w:sz="12" w:space="0" w:color="auto"/>
              <w:right w:val="nil"/>
            </w:tcBorders>
            <w:shd w:val="clear" w:color="auto" w:fill="auto"/>
            <w:vAlign w:val="bottom"/>
          </w:tcPr>
          <w:p w14:paraId="508F8B6F" w14:textId="2068DD84" w:rsidR="00D4647F" w:rsidRPr="00872D7E" w:rsidRDefault="00D4647F" w:rsidP="006E16D5">
            <w:pPr>
              <w:jc w:val="right"/>
              <w:rPr>
                <w:b/>
                <w:color w:val="000000"/>
                <w:sz w:val="16"/>
                <w:szCs w:val="16"/>
              </w:rPr>
            </w:pPr>
            <w:r w:rsidRPr="00872D7E">
              <w:rPr>
                <w:b/>
                <w:sz w:val="16"/>
                <w:szCs w:val="16"/>
              </w:rPr>
              <w:t>348.627</w:t>
            </w:r>
          </w:p>
        </w:tc>
        <w:tc>
          <w:tcPr>
            <w:tcW w:w="369" w:type="pct"/>
            <w:tcBorders>
              <w:top w:val="single" w:sz="4" w:space="0" w:color="auto"/>
              <w:left w:val="nil"/>
              <w:bottom w:val="single" w:sz="12" w:space="0" w:color="auto"/>
              <w:right w:val="nil"/>
            </w:tcBorders>
            <w:shd w:val="clear" w:color="auto" w:fill="auto"/>
            <w:noWrap/>
            <w:vAlign w:val="bottom"/>
          </w:tcPr>
          <w:p w14:paraId="2DE50907" w14:textId="7206D489" w:rsidR="00D4647F" w:rsidRPr="00872D7E" w:rsidRDefault="00D4647F" w:rsidP="006E16D5">
            <w:pPr>
              <w:jc w:val="right"/>
              <w:rPr>
                <w:b/>
                <w:color w:val="000000"/>
                <w:sz w:val="16"/>
                <w:szCs w:val="16"/>
              </w:rPr>
            </w:pPr>
            <w:r w:rsidRPr="00872D7E">
              <w:rPr>
                <w:b/>
                <w:sz w:val="16"/>
                <w:szCs w:val="16"/>
              </w:rPr>
              <w:t>563.239</w:t>
            </w:r>
          </w:p>
        </w:tc>
        <w:tc>
          <w:tcPr>
            <w:tcW w:w="320" w:type="pct"/>
            <w:tcBorders>
              <w:top w:val="single" w:sz="4" w:space="0" w:color="auto"/>
              <w:left w:val="nil"/>
              <w:bottom w:val="single" w:sz="12" w:space="0" w:color="auto"/>
              <w:right w:val="nil"/>
            </w:tcBorders>
            <w:shd w:val="clear" w:color="auto" w:fill="auto"/>
            <w:noWrap/>
            <w:vAlign w:val="bottom"/>
          </w:tcPr>
          <w:p w14:paraId="46981401" w14:textId="0B1485D5" w:rsidR="00D4647F" w:rsidRPr="00872D7E" w:rsidRDefault="00D4647F" w:rsidP="006E16D5">
            <w:pPr>
              <w:jc w:val="right"/>
              <w:rPr>
                <w:b/>
                <w:color w:val="000000"/>
                <w:sz w:val="16"/>
                <w:szCs w:val="16"/>
              </w:rPr>
            </w:pPr>
            <w:r w:rsidRPr="00872D7E">
              <w:rPr>
                <w:b/>
                <w:sz w:val="16"/>
                <w:szCs w:val="16"/>
              </w:rPr>
              <w:t>-</w:t>
            </w:r>
          </w:p>
        </w:tc>
        <w:tc>
          <w:tcPr>
            <w:tcW w:w="375" w:type="pct"/>
            <w:tcBorders>
              <w:top w:val="single" w:sz="4" w:space="0" w:color="auto"/>
              <w:left w:val="nil"/>
              <w:bottom w:val="single" w:sz="12" w:space="0" w:color="auto"/>
              <w:right w:val="nil"/>
            </w:tcBorders>
            <w:shd w:val="clear" w:color="auto" w:fill="auto"/>
            <w:noWrap/>
            <w:vAlign w:val="bottom"/>
          </w:tcPr>
          <w:p w14:paraId="5344489F" w14:textId="2D5EEBCF" w:rsidR="00D4647F" w:rsidRPr="00872D7E" w:rsidRDefault="00D4647F" w:rsidP="006E16D5">
            <w:pPr>
              <w:jc w:val="right"/>
              <w:rPr>
                <w:b/>
                <w:color w:val="000000"/>
                <w:sz w:val="16"/>
                <w:szCs w:val="16"/>
              </w:rPr>
            </w:pPr>
            <w:r w:rsidRPr="00872D7E">
              <w:rPr>
                <w:b/>
                <w:sz w:val="16"/>
                <w:szCs w:val="16"/>
              </w:rPr>
              <w:t>12.990.834</w:t>
            </w:r>
          </w:p>
        </w:tc>
        <w:tc>
          <w:tcPr>
            <w:tcW w:w="289" w:type="pct"/>
            <w:tcBorders>
              <w:top w:val="single" w:sz="4" w:space="0" w:color="auto"/>
              <w:left w:val="nil"/>
              <w:bottom w:val="single" w:sz="12" w:space="0" w:color="auto"/>
              <w:right w:val="nil"/>
            </w:tcBorders>
            <w:shd w:val="clear" w:color="auto" w:fill="auto"/>
            <w:noWrap/>
            <w:vAlign w:val="bottom"/>
          </w:tcPr>
          <w:p w14:paraId="7DA2E8EE" w14:textId="2D893D37" w:rsidR="00D4647F" w:rsidRPr="00872D7E" w:rsidRDefault="00D4647F" w:rsidP="006E16D5">
            <w:pPr>
              <w:jc w:val="right"/>
              <w:rPr>
                <w:b/>
                <w:color w:val="000000"/>
                <w:sz w:val="16"/>
                <w:szCs w:val="16"/>
              </w:rPr>
            </w:pPr>
            <w:r w:rsidRPr="00872D7E">
              <w:rPr>
                <w:b/>
                <w:sz w:val="16"/>
                <w:szCs w:val="16"/>
              </w:rPr>
              <w:t>-</w:t>
            </w:r>
          </w:p>
        </w:tc>
        <w:tc>
          <w:tcPr>
            <w:tcW w:w="207" w:type="pct"/>
            <w:tcBorders>
              <w:top w:val="single" w:sz="4" w:space="0" w:color="auto"/>
              <w:left w:val="nil"/>
              <w:bottom w:val="single" w:sz="12" w:space="0" w:color="auto"/>
              <w:right w:val="nil"/>
            </w:tcBorders>
            <w:shd w:val="clear" w:color="auto" w:fill="auto"/>
            <w:noWrap/>
            <w:vAlign w:val="bottom"/>
          </w:tcPr>
          <w:p w14:paraId="6DCEE540" w14:textId="04FE38BB" w:rsidR="00D4647F" w:rsidRPr="00872D7E" w:rsidRDefault="00D4647F" w:rsidP="006E16D5">
            <w:pPr>
              <w:jc w:val="right"/>
              <w:rPr>
                <w:b/>
                <w:color w:val="000000"/>
                <w:sz w:val="16"/>
                <w:szCs w:val="16"/>
              </w:rPr>
            </w:pPr>
            <w:r w:rsidRPr="00872D7E">
              <w:rPr>
                <w:b/>
                <w:sz w:val="16"/>
                <w:szCs w:val="16"/>
              </w:rPr>
              <w:t>-</w:t>
            </w:r>
          </w:p>
        </w:tc>
        <w:tc>
          <w:tcPr>
            <w:tcW w:w="318" w:type="pct"/>
            <w:tcBorders>
              <w:top w:val="single" w:sz="4" w:space="0" w:color="auto"/>
              <w:left w:val="nil"/>
              <w:bottom w:val="single" w:sz="12" w:space="0" w:color="auto"/>
              <w:right w:val="nil"/>
            </w:tcBorders>
            <w:shd w:val="clear" w:color="auto" w:fill="auto"/>
            <w:noWrap/>
            <w:vAlign w:val="bottom"/>
          </w:tcPr>
          <w:p w14:paraId="353DAC94" w14:textId="27D317EE" w:rsidR="00D4647F" w:rsidRPr="00872D7E" w:rsidRDefault="00D4647F" w:rsidP="006E16D5">
            <w:pPr>
              <w:jc w:val="right"/>
              <w:rPr>
                <w:b/>
                <w:color w:val="000000"/>
                <w:sz w:val="16"/>
                <w:szCs w:val="16"/>
              </w:rPr>
            </w:pPr>
            <w:r w:rsidRPr="00872D7E">
              <w:rPr>
                <w:b/>
                <w:sz w:val="16"/>
                <w:szCs w:val="16"/>
              </w:rPr>
              <w:t>27.648</w:t>
            </w:r>
          </w:p>
        </w:tc>
        <w:tc>
          <w:tcPr>
            <w:tcW w:w="457" w:type="pct"/>
            <w:tcBorders>
              <w:top w:val="single" w:sz="4" w:space="0" w:color="auto"/>
              <w:left w:val="nil"/>
              <w:bottom w:val="single" w:sz="12" w:space="0" w:color="auto"/>
              <w:right w:val="nil"/>
            </w:tcBorders>
            <w:shd w:val="clear" w:color="auto" w:fill="auto"/>
            <w:noWrap/>
            <w:vAlign w:val="bottom"/>
          </w:tcPr>
          <w:p w14:paraId="1A128C00" w14:textId="6849CF90" w:rsidR="00D4647F" w:rsidRPr="00872D7E" w:rsidRDefault="00D4647F" w:rsidP="006E16D5">
            <w:pPr>
              <w:jc w:val="right"/>
              <w:rPr>
                <w:b/>
                <w:color w:val="000000"/>
                <w:sz w:val="16"/>
                <w:szCs w:val="16"/>
              </w:rPr>
            </w:pPr>
            <w:r w:rsidRPr="00872D7E">
              <w:rPr>
                <w:b/>
                <w:sz w:val="16"/>
                <w:szCs w:val="16"/>
              </w:rPr>
              <w:t>25.206.718</w:t>
            </w:r>
          </w:p>
        </w:tc>
      </w:tr>
    </w:tbl>
    <w:p w14:paraId="6FFAA453" w14:textId="0A8F3536" w:rsidR="00344C7A" w:rsidRPr="00872D7E" w:rsidRDefault="00344C7A" w:rsidP="00344C7A">
      <w:pPr>
        <w:spacing w:before="120" w:after="120"/>
        <w:ind w:left="851"/>
        <w:rPr>
          <w:b/>
          <w:szCs w:val="20"/>
        </w:rPr>
        <w:sectPr w:rsidR="00344C7A" w:rsidRPr="00872D7E" w:rsidSect="00CC21B9">
          <w:pgSz w:w="16840" w:h="11907" w:orient="landscape" w:code="9"/>
          <w:pgMar w:top="1315" w:right="992" w:bottom="709" w:left="709" w:header="720" w:footer="720" w:gutter="0"/>
          <w:cols w:space="708"/>
          <w:titlePg/>
          <w:docGrid w:linePitch="360"/>
        </w:sectPr>
      </w:pPr>
      <w:bookmarkStart w:id="51" w:name="_Hlk127255656"/>
      <w:r w:rsidRPr="00872D7E">
        <w:rPr>
          <w:szCs w:val="20"/>
          <w:vertAlign w:val="superscript"/>
        </w:rPr>
        <w:t>(*)</w:t>
      </w:r>
      <w:r w:rsidR="00644841" w:rsidRPr="00872D7E">
        <w:rPr>
          <w:szCs w:val="20"/>
        </w:rPr>
        <w:t xml:space="preserve"> </w:t>
      </w:r>
      <w:r w:rsidRPr="00872D7E">
        <w:rPr>
          <w:szCs w:val="20"/>
        </w:rPr>
        <w:t>%500 risk ağırlığını ifade eder.</w:t>
      </w:r>
      <w:bookmarkEnd w:id="51"/>
    </w:p>
    <w:bookmarkEnd w:id="49"/>
    <w:p w14:paraId="433C18A8" w14:textId="77777777" w:rsidR="00344C7A" w:rsidRPr="00872D7E" w:rsidRDefault="00344C7A" w:rsidP="008C5672">
      <w:pPr>
        <w:pStyle w:val="BodyTextIndent"/>
        <w:widowControl w:val="0"/>
        <w:ind w:firstLine="0"/>
        <w:rPr>
          <w:b/>
          <w:szCs w:val="20"/>
        </w:rPr>
      </w:pPr>
      <w:r w:rsidRPr="00872D7E">
        <w:rPr>
          <w:b/>
          <w:szCs w:val="20"/>
        </w:rPr>
        <w:lastRenderedPageBreak/>
        <w:t>MALİ BÜNYEYE VE RİSK YÖNETİMİNE İLİŞKİN BİLGİLER (Devamı)</w:t>
      </w:r>
    </w:p>
    <w:p w14:paraId="738AB341" w14:textId="77777777" w:rsidR="00344C7A" w:rsidRPr="00872D7E" w:rsidRDefault="00344C7A" w:rsidP="00344C7A">
      <w:pPr>
        <w:widowControl w:val="0"/>
        <w:autoSpaceDE w:val="0"/>
        <w:autoSpaceDN w:val="0"/>
        <w:adjustRightInd w:val="0"/>
        <w:ind w:left="851"/>
        <w:jc w:val="both"/>
        <w:rPr>
          <w:szCs w:val="20"/>
        </w:rPr>
      </w:pPr>
    </w:p>
    <w:p w14:paraId="77341E42" w14:textId="7B3FC0FF" w:rsidR="000E463B" w:rsidRPr="00872D7E" w:rsidRDefault="00CB58D3" w:rsidP="006E16D5">
      <w:pPr>
        <w:ind w:left="851" w:hanging="851"/>
        <w:rPr>
          <w:b/>
          <w:bCs/>
        </w:rPr>
      </w:pPr>
      <w:r w:rsidRPr="00872D7E">
        <w:rPr>
          <w:b/>
          <w:bCs/>
        </w:rPr>
        <w:t>I</w:t>
      </w:r>
      <w:r w:rsidR="000E463B" w:rsidRPr="00872D7E">
        <w:rPr>
          <w:b/>
          <w:bCs/>
        </w:rPr>
        <w:t>X.</w:t>
      </w:r>
      <w:r w:rsidR="000E463B" w:rsidRPr="00872D7E">
        <w:rPr>
          <w:b/>
          <w:bCs/>
        </w:rPr>
        <w:tab/>
        <w:t>RİSK YÖNETİMİNE İLİŞKİN AÇIKLAMALAR (Devamı)</w:t>
      </w:r>
    </w:p>
    <w:p w14:paraId="7B6DEFFC" w14:textId="364FF1C7" w:rsidR="00344C7A" w:rsidRPr="00872D7E" w:rsidRDefault="008C5672" w:rsidP="006E16D5">
      <w:pPr>
        <w:spacing w:before="120" w:after="120"/>
        <w:ind w:left="851" w:hanging="851"/>
        <w:rPr>
          <w:b/>
          <w:szCs w:val="20"/>
        </w:rPr>
      </w:pPr>
      <w:r w:rsidRPr="00872D7E">
        <w:rPr>
          <w:b/>
          <w:szCs w:val="20"/>
        </w:rPr>
        <w:t>c</w:t>
      </w:r>
      <w:r w:rsidR="00344C7A" w:rsidRPr="00872D7E">
        <w:rPr>
          <w:b/>
          <w:szCs w:val="20"/>
        </w:rPr>
        <w:t>.3.</w:t>
      </w:r>
      <w:r w:rsidRPr="00872D7E">
        <w:rPr>
          <w:b/>
          <w:szCs w:val="20"/>
        </w:rPr>
        <w:t>3</w:t>
      </w:r>
      <w:r w:rsidR="00344C7A" w:rsidRPr="00872D7E">
        <w:rPr>
          <w:b/>
          <w:szCs w:val="20"/>
        </w:rPr>
        <w:t>.</w:t>
      </w:r>
      <w:r w:rsidR="006E16D5" w:rsidRPr="00872D7E">
        <w:rPr>
          <w:b/>
          <w:szCs w:val="20"/>
        </w:rPr>
        <w:tab/>
      </w:r>
      <w:r w:rsidR="00344C7A" w:rsidRPr="00872D7E">
        <w:rPr>
          <w:b/>
          <w:szCs w:val="20"/>
        </w:rPr>
        <w:t>Risk Sınıflarına ve Risk Ağırlıklarına Göre Alacaklar (Devamı):</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
        <w:gridCol w:w="2678"/>
        <w:gridCol w:w="918"/>
        <w:gridCol w:w="536"/>
        <w:gridCol w:w="895"/>
        <w:gridCol w:w="536"/>
        <w:gridCol w:w="1665"/>
        <w:gridCol w:w="985"/>
        <w:gridCol w:w="1035"/>
        <w:gridCol w:w="988"/>
        <w:gridCol w:w="749"/>
        <w:gridCol w:w="616"/>
        <w:gridCol w:w="947"/>
        <w:gridCol w:w="1198"/>
      </w:tblGrid>
      <w:tr w:rsidR="00344C7A" w:rsidRPr="00872D7E" w14:paraId="5110C90A" w14:textId="77777777" w:rsidTr="006E16D5">
        <w:trPr>
          <w:trHeight w:val="113"/>
        </w:trPr>
        <w:tc>
          <w:tcPr>
            <w:tcW w:w="283" w:type="pct"/>
            <w:tcBorders>
              <w:top w:val="single" w:sz="4" w:space="0" w:color="auto"/>
              <w:bottom w:val="single" w:sz="4" w:space="0" w:color="auto"/>
            </w:tcBorders>
            <w:noWrap/>
            <w:vAlign w:val="bottom"/>
            <w:hideMark/>
          </w:tcPr>
          <w:p w14:paraId="439C7E66" w14:textId="77777777" w:rsidR="00344C7A" w:rsidRPr="00872D7E" w:rsidRDefault="00344C7A" w:rsidP="006E16D5">
            <w:pPr>
              <w:rPr>
                <w:sz w:val="16"/>
                <w:szCs w:val="16"/>
              </w:rPr>
            </w:pPr>
            <w:r w:rsidRPr="00872D7E">
              <w:rPr>
                <w:b/>
                <w:sz w:val="16"/>
                <w:szCs w:val="16"/>
              </w:rPr>
              <w:tab/>
            </w:r>
            <w:r w:rsidRPr="00872D7E">
              <w:rPr>
                <w:sz w:val="16"/>
                <w:szCs w:val="16"/>
              </w:rPr>
              <w:t> </w:t>
            </w:r>
          </w:p>
        </w:tc>
        <w:tc>
          <w:tcPr>
            <w:tcW w:w="919" w:type="pct"/>
            <w:tcBorders>
              <w:top w:val="single" w:sz="4" w:space="0" w:color="auto"/>
              <w:bottom w:val="single" w:sz="4" w:space="0" w:color="auto"/>
            </w:tcBorders>
            <w:vAlign w:val="center"/>
            <w:hideMark/>
          </w:tcPr>
          <w:p w14:paraId="65A9DF9A" w14:textId="68F7B736" w:rsidR="00344C7A" w:rsidRPr="00872D7E" w:rsidRDefault="00344C7A" w:rsidP="006E16D5">
            <w:pPr>
              <w:contextualSpacing/>
              <w:rPr>
                <w:b/>
                <w:sz w:val="16"/>
                <w:szCs w:val="16"/>
              </w:rPr>
            </w:pPr>
            <w:r w:rsidRPr="00872D7E">
              <w:rPr>
                <w:b/>
                <w:sz w:val="16"/>
                <w:szCs w:val="16"/>
              </w:rPr>
              <w:t>1 Ocak 2024</w:t>
            </w:r>
          </w:p>
          <w:p w14:paraId="40F3FAE6" w14:textId="77777777" w:rsidR="00344C7A" w:rsidRPr="00872D7E" w:rsidRDefault="00344C7A" w:rsidP="006E16D5">
            <w:pPr>
              <w:spacing w:before="120"/>
              <w:contextualSpacing/>
              <w:rPr>
                <w:b/>
                <w:sz w:val="16"/>
                <w:szCs w:val="16"/>
              </w:rPr>
            </w:pPr>
          </w:p>
          <w:p w14:paraId="6AED2F3B" w14:textId="77777777" w:rsidR="00344C7A" w:rsidRPr="00872D7E" w:rsidRDefault="00344C7A" w:rsidP="006E16D5">
            <w:pPr>
              <w:spacing w:before="120"/>
              <w:contextualSpacing/>
              <w:rPr>
                <w:b/>
                <w:sz w:val="16"/>
                <w:szCs w:val="16"/>
              </w:rPr>
            </w:pPr>
            <w:r w:rsidRPr="00872D7E">
              <w:rPr>
                <w:b/>
                <w:sz w:val="16"/>
                <w:szCs w:val="16"/>
              </w:rPr>
              <w:t>Risk Sınıfları/Risk Ağırlığı</w:t>
            </w:r>
          </w:p>
        </w:tc>
        <w:tc>
          <w:tcPr>
            <w:tcW w:w="315" w:type="pct"/>
            <w:tcBorders>
              <w:top w:val="single" w:sz="4" w:space="0" w:color="auto"/>
              <w:bottom w:val="single" w:sz="4" w:space="0" w:color="auto"/>
            </w:tcBorders>
            <w:vAlign w:val="bottom"/>
            <w:hideMark/>
          </w:tcPr>
          <w:p w14:paraId="2839D6EE" w14:textId="77777777" w:rsidR="00344C7A" w:rsidRPr="00872D7E" w:rsidRDefault="00344C7A" w:rsidP="006E16D5">
            <w:pPr>
              <w:contextualSpacing/>
              <w:jc w:val="right"/>
              <w:rPr>
                <w:b/>
                <w:sz w:val="16"/>
                <w:szCs w:val="16"/>
              </w:rPr>
            </w:pPr>
            <w:r w:rsidRPr="00872D7E">
              <w:rPr>
                <w:b/>
                <w:sz w:val="16"/>
                <w:szCs w:val="16"/>
              </w:rPr>
              <w:t>%0</w:t>
            </w:r>
          </w:p>
        </w:tc>
        <w:tc>
          <w:tcPr>
            <w:tcW w:w="184" w:type="pct"/>
            <w:tcBorders>
              <w:top w:val="single" w:sz="4" w:space="0" w:color="auto"/>
              <w:bottom w:val="single" w:sz="4" w:space="0" w:color="auto"/>
            </w:tcBorders>
            <w:vAlign w:val="bottom"/>
            <w:hideMark/>
          </w:tcPr>
          <w:p w14:paraId="4DF742E6" w14:textId="77777777" w:rsidR="00344C7A" w:rsidRPr="00872D7E" w:rsidRDefault="00344C7A" w:rsidP="006E16D5">
            <w:pPr>
              <w:contextualSpacing/>
              <w:jc w:val="right"/>
              <w:rPr>
                <w:b/>
                <w:sz w:val="16"/>
                <w:szCs w:val="16"/>
              </w:rPr>
            </w:pPr>
            <w:r w:rsidRPr="00872D7E">
              <w:rPr>
                <w:b/>
                <w:sz w:val="16"/>
                <w:szCs w:val="16"/>
              </w:rPr>
              <w:t>%10</w:t>
            </w:r>
          </w:p>
        </w:tc>
        <w:tc>
          <w:tcPr>
            <w:tcW w:w="307" w:type="pct"/>
            <w:tcBorders>
              <w:top w:val="single" w:sz="4" w:space="0" w:color="auto"/>
              <w:bottom w:val="single" w:sz="4" w:space="0" w:color="auto"/>
            </w:tcBorders>
            <w:vAlign w:val="bottom"/>
            <w:hideMark/>
          </w:tcPr>
          <w:p w14:paraId="21CE549D" w14:textId="77777777" w:rsidR="00344C7A" w:rsidRPr="00872D7E" w:rsidRDefault="00344C7A" w:rsidP="006E16D5">
            <w:pPr>
              <w:contextualSpacing/>
              <w:jc w:val="right"/>
              <w:rPr>
                <w:b/>
                <w:sz w:val="16"/>
                <w:szCs w:val="16"/>
              </w:rPr>
            </w:pPr>
            <w:r w:rsidRPr="00872D7E">
              <w:rPr>
                <w:b/>
                <w:sz w:val="16"/>
                <w:szCs w:val="16"/>
              </w:rPr>
              <w:t>%20</w:t>
            </w:r>
          </w:p>
        </w:tc>
        <w:tc>
          <w:tcPr>
            <w:tcW w:w="184" w:type="pct"/>
            <w:tcBorders>
              <w:top w:val="single" w:sz="4" w:space="0" w:color="auto"/>
              <w:bottom w:val="single" w:sz="4" w:space="0" w:color="auto"/>
            </w:tcBorders>
            <w:vAlign w:val="bottom"/>
          </w:tcPr>
          <w:p w14:paraId="0390C376" w14:textId="77777777" w:rsidR="00344C7A" w:rsidRPr="00872D7E" w:rsidRDefault="00344C7A" w:rsidP="006E16D5">
            <w:pPr>
              <w:contextualSpacing/>
              <w:jc w:val="right"/>
              <w:rPr>
                <w:b/>
                <w:sz w:val="16"/>
                <w:szCs w:val="16"/>
              </w:rPr>
            </w:pPr>
            <w:r w:rsidRPr="00872D7E">
              <w:rPr>
                <w:b/>
                <w:sz w:val="16"/>
                <w:szCs w:val="16"/>
              </w:rPr>
              <w:t>%25</w:t>
            </w:r>
          </w:p>
        </w:tc>
        <w:tc>
          <w:tcPr>
            <w:tcW w:w="571" w:type="pct"/>
            <w:tcBorders>
              <w:top w:val="single" w:sz="4" w:space="0" w:color="auto"/>
              <w:bottom w:val="single" w:sz="4" w:space="0" w:color="auto"/>
            </w:tcBorders>
            <w:vAlign w:val="bottom"/>
          </w:tcPr>
          <w:p w14:paraId="63A730B9" w14:textId="77777777" w:rsidR="00344C7A" w:rsidRPr="00872D7E" w:rsidRDefault="00344C7A" w:rsidP="006E16D5">
            <w:pPr>
              <w:contextualSpacing/>
              <w:jc w:val="right"/>
              <w:rPr>
                <w:b/>
                <w:sz w:val="16"/>
                <w:szCs w:val="16"/>
              </w:rPr>
            </w:pPr>
            <w:r w:rsidRPr="00872D7E">
              <w:rPr>
                <w:b/>
                <w:sz w:val="16"/>
                <w:szCs w:val="16"/>
              </w:rPr>
              <w:t>%35 Gayrimenkul İpoteğiyle Teminatlandırılanlar</w:t>
            </w:r>
          </w:p>
        </w:tc>
        <w:tc>
          <w:tcPr>
            <w:tcW w:w="338" w:type="pct"/>
            <w:tcBorders>
              <w:top w:val="single" w:sz="4" w:space="0" w:color="auto"/>
              <w:bottom w:val="single" w:sz="4" w:space="0" w:color="auto"/>
            </w:tcBorders>
            <w:vAlign w:val="bottom"/>
            <w:hideMark/>
          </w:tcPr>
          <w:p w14:paraId="20052584" w14:textId="77777777" w:rsidR="00344C7A" w:rsidRPr="00872D7E" w:rsidRDefault="00344C7A" w:rsidP="006E16D5">
            <w:pPr>
              <w:contextualSpacing/>
              <w:jc w:val="right"/>
              <w:rPr>
                <w:b/>
                <w:sz w:val="16"/>
                <w:szCs w:val="16"/>
              </w:rPr>
            </w:pPr>
            <w:r w:rsidRPr="00872D7E">
              <w:rPr>
                <w:b/>
                <w:sz w:val="16"/>
                <w:szCs w:val="16"/>
              </w:rPr>
              <w:t>%50</w:t>
            </w:r>
          </w:p>
        </w:tc>
        <w:tc>
          <w:tcPr>
            <w:tcW w:w="355" w:type="pct"/>
            <w:tcBorders>
              <w:top w:val="single" w:sz="4" w:space="0" w:color="auto"/>
              <w:bottom w:val="single" w:sz="4" w:space="0" w:color="auto"/>
            </w:tcBorders>
            <w:vAlign w:val="bottom"/>
            <w:hideMark/>
          </w:tcPr>
          <w:p w14:paraId="007CF98C" w14:textId="77777777" w:rsidR="00344C7A" w:rsidRPr="00872D7E" w:rsidRDefault="00344C7A" w:rsidP="006E16D5">
            <w:pPr>
              <w:contextualSpacing/>
              <w:jc w:val="right"/>
              <w:rPr>
                <w:b/>
                <w:sz w:val="16"/>
                <w:szCs w:val="16"/>
              </w:rPr>
            </w:pPr>
            <w:r w:rsidRPr="00872D7E">
              <w:rPr>
                <w:b/>
                <w:sz w:val="16"/>
                <w:szCs w:val="16"/>
              </w:rPr>
              <w:t>%75</w:t>
            </w:r>
          </w:p>
        </w:tc>
        <w:tc>
          <w:tcPr>
            <w:tcW w:w="339" w:type="pct"/>
            <w:tcBorders>
              <w:top w:val="single" w:sz="4" w:space="0" w:color="auto"/>
              <w:bottom w:val="single" w:sz="4" w:space="0" w:color="auto"/>
            </w:tcBorders>
            <w:vAlign w:val="bottom"/>
            <w:hideMark/>
          </w:tcPr>
          <w:p w14:paraId="557E1300" w14:textId="77777777" w:rsidR="00344C7A" w:rsidRPr="00872D7E" w:rsidRDefault="00344C7A" w:rsidP="006E16D5">
            <w:pPr>
              <w:contextualSpacing/>
              <w:jc w:val="right"/>
              <w:rPr>
                <w:b/>
                <w:sz w:val="16"/>
                <w:szCs w:val="16"/>
              </w:rPr>
            </w:pPr>
            <w:r w:rsidRPr="00872D7E">
              <w:rPr>
                <w:b/>
                <w:sz w:val="16"/>
                <w:szCs w:val="16"/>
              </w:rPr>
              <w:t>%100</w:t>
            </w:r>
          </w:p>
        </w:tc>
        <w:tc>
          <w:tcPr>
            <w:tcW w:w="257" w:type="pct"/>
            <w:tcBorders>
              <w:top w:val="single" w:sz="4" w:space="0" w:color="auto"/>
              <w:bottom w:val="single" w:sz="4" w:space="0" w:color="auto"/>
            </w:tcBorders>
            <w:vAlign w:val="bottom"/>
            <w:hideMark/>
          </w:tcPr>
          <w:p w14:paraId="60ABC81B" w14:textId="77777777" w:rsidR="00344C7A" w:rsidRPr="00872D7E" w:rsidRDefault="00344C7A" w:rsidP="006E16D5">
            <w:pPr>
              <w:contextualSpacing/>
              <w:jc w:val="right"/>
              <w:rPr>
                <w:b/>
                <w:sz w:val="16"/>
                <w:szCs w:val="16"/>
              </w:rPr>
            </w:pPr>
            <w:r w:rsidRPr="00872D7E">
              <w:rPr>
                <w:b/>
                <w:sz w:val="16"/>
                <w:szCs w:val="16"/>
              </w:rPr>
              <w:t>%150</w:t>
            </w:r>
          </w:p>
        </w:tc>
        <w:tc>
          <w:tcPr>
            <w:tcW w:w="211" w:type="pct"/>
            <w:tcBorders>
              <w:top w:val="single" w:sz="4" w:space="0" w:color="auto"/>
              <w:bottom w:val="single" w:sz="4" w:space="0" w:color="auto"/>
            </w:tcBorders>
            <w:vAlign w:val="bottom"/>
            <w:hideMark/>
          </w:tcPr>
          <w:p w14:paraId="3928A8B3" w14:textId="77777777" w:rsidR="00344C7A" w:rsidRPr="00872D7E" w:rsidRDefault="00344C7A" w:rsidP="006E16D5">
            <w:pPr>
              <w:contextualSpacing/>
              <w:jc w:val="right"/>
              <w:rPr>
                <w:b/>
                <w:sz w:val="16"/>
                <w:szCs w:val="16"/>
              </w:rPr>
            </w:pPr>
            <w:r w:rsidRPr="00872D7E">
              <w:rPr>
                <w:b/>
                <w:sz w:val="16"/>
                <w:szCs w:val="16"/>
              </w:rPr>
              <w:t>%250</w:t>
            </w:r>
          </w:p>
        </w:tc>
        <w:tc>
          <w:tcPr>
            <w:tcW w:w="325" w:type="pct"/>
            <w:tcBorders>
              <w:top w:val="single" w:sz="4" w:space="0" w:color="auto"/>
              <w:bottom w:val="single" w:sz="4" w:space="0" w:color="auto"/>
            </w:tcBorders>
            <w:vAlign w:val="bottom"/>
            <w:hideMark/>
          </w:tcPr>
          <w:p w14:paraId="67DC9C4A" w14:textId="77777777" w:rsidR="00344C7A" w:rsidRPr="00872D7E" w:rsidRDefault="00344C7A" w:rsidP="006E16D5">
            <w:pPr>
              <w:contextualSpacing/>
              <w:jc w:val="right"/>
              <w:rPr>
                <w:b/>
                <w:sz w:val="16"/>
                <w:szCs w:val="16"/>
              </w:rPr>
            </w:pPr>
            <w:proofErr w:type="gramStart"/>
            <w:r w:rsidRPr="00872D7E">
              <w:rPr>
                <w:b/>
                <w:sz w:val="16"/>
                <w:szCs w:val="16"/>
              </w:rPr>
              <w:t>Diğerleri</w:t>
            </w:r>
            <w:r w:rsidRPr="00872D7E">
              <w:rPr>
                <w:b/>
                <w:sz w:val="16"/>
                <w:szCs w:val="16"/>
                <w:vertAlign w:val="superscript"/>
              </w:rPr>
              <w:t>(</w:t>
            </w:r>
            <w:proofErr w:type="gramEnd"/>
            <w:r w:rsidRPr="00872D7E">
              <w:rPr>
                <w:b/>
                <w:sz w:val="16"/>
                <w:szCs w:val="16"/>
                <w:vertAlign w:val="superscript"/>
              </w:rPr>
              <w:t>*)</w:t>
            </w:r>
          </w:p>
        </w:tc>
        <w:tc>
          <w:tcPr>
            <w:tcW w:w="411" w:type="pct"/>
            <w:tcBorders>
              <w:top w:val="single" w:sz="4" w:space="0" w:color="auto"/>
              <w:bottom w:val="single" w:sz="4" w:space="0" w:color="auto"/>
            </w:tcBorders>
            <w:vAlign w:val="bottom"/>
            <w:hideMark/>
          </w:tcPr>
          <w:p w14:paraId="1564A4BE" w14:textId="77777777" w:rsidR="00344C7A" w:rsidRPr="00872D7E" w:rsidRDefault="00344C7A" w:rsidP="006E16D5">
            <w:pPr>
              <w:contextualSpacing/>
              <w:jc w:val="right"/>
              <w:rPr>
                <w:b/>
                <w:sz w:val="16"/>
                <w:szCs w:val="16"/>
              </w:rPr>
            </w:pPr>
            <w:r w:rsidRPr="00872D7E">
              <w:rPr>
                <w:b/>
                <w:sz w:val="16"/>
                <w:szCs w:val="16"/>
              </w:rPr>
              <w:t>Toplam risk tutarı (KDO ve KRA sonrası)</w:t>
            </w:r>
          </w:p>
        </w:tc>
      </w:tr>
      <w:tr w:rsidR="00EF55AD" w:rsidRPr="00872D7E" w14:paraId="717B70FC" w14:textId="77777777" w:rsidTr="006E16D5">
        <w:trPr>
          <w:trHeight w:val="113"/>
        </w:trPr>
        <w:tc>
          <w:tcPr>
            <w:tcW w:w="283" w:type="pct"/>
            <w:tcBorders>
              <w:top w:val="single" w:sz="4" w:space="0" w:color="auto"/>
            </w:tcBorders>
            <w:noWrap/>
            <w:hideMark/>
          </w:tcPr>
          <w:p w14:paraId="0BFD716F" w14:textId="77777777" w:rsidR="00EF55AD" w:rsidRPr="00872D7E" w:rsidRDefault="00EF55AD" w:rsidP="006E16D5">
            <w:pPr>
              <w:rPr>
                <w:sz w:val="16"/>
                <w:szCs w:val="16"/>
              </w:rPr>
            </w:pPr>
            <w:r w:rsidRPr="00872D7E">
              <w:rPr>
                <w:sz w:val="16"/>
                <w:szCs w:val="16"/>
              </w:rPr>
              <w:t>1</w:t>
            </w:r>
          </w:p>
        </w:tc>
        <w:tc>
          <w:tcPr>
            <w:tcW w:w="919" w:type="pct"/>
            <w:tcBorders>
              <w:top w:val="single" w:sz="4" w:space="0" w:color="auto"/>
            </w:tcBorders>
            <w:vAlign w:val="bottom"/>
            <w:hideMark/>
          </w:tcPr>
          <w:p w14:paraId="14F558EA" w14:textId="77777777" w:rsidR="00EF55AD" w:rsidRPr="00872D7E" w:rsidRDefault="00EF55AD" w:rsidP="006E16D5">
            <w:pPr>
              <w:contextualSpacing/>
              <w:rPr>
                <w:sz w:val="16"/>
                <w:szCs w:val="16"/>
              </w:rPr>
            </w:pPr>
            <w:r w:rsidRPr="00872D7E">
              <w:rPr>
                <w:sz w:val="16"/>
                <w:szCs w:val="16"/>
              </w:rPr>
              <w:t>Merkezi yönetimlerden veya merkez bankalarından alacaklar</w:t>
            </w:r>
          </w:p>
        </w:tc>
        <w:tc>
          <w:tcPr>
            <w:tcW w:w="315" w:type="pct"/>
            <w:tcBorders>
              <w:top w:val="nil"/>
              <w:left w:val="nil"/>
              <w:bottom w:val="nil"/>
              <w:right w:val="nil"/>
            </w:tcBorders>
            <w:shd w:val="clear" w:color="auto" w:fill="auto"/>
            <w:noWrap/>
            <w:vAlign w:val="bottom"/>
          </w:tcPr>
          <w:p w14:paraId="2360B538" w14:textId="77FB6498" w:rsidR="00EF55AD" w:rsidRPr="00872D7E" w:rsidRDefault="00EF55AD" w:rsidP="006E16D5">
            <w:pPr>
              <w:jc w:val="right"/>
              <w:rPr>
                <w:color w:val="000000"/>
                <w:sz w:val="16"/>
                <w:szCs w:val="16"/>
              </w:rPr>
            </w:pPr>
            <w:r w:rsidRPr="00872D7E">
              <w:rPr>
                <w:sz w:val="16"/>
                <w:szCs w:val="16"/>
              </w:rPr>
              <w:t>9.383</w:t>
            </w:r>
          </w:p>
        </w:tc>
        <w:tc>
          <w:tcPr>
            <w:tcW w:w="184" w:type="pct"/>
            <w:tcBorders>
              <w:top w:val="nil"/>
              <w:left w:val="nil"/>
              <w:bottom w:val="nil"/>
              <w:right w:val="nil"/>
            </w:tcBorders>
            <w:shd w:val="clear" w:color="auto" w:fill="auto"/>
            <w:noWrap/>
            <w:vAlign w:val="bottom"/>
          </w:tcPr>
          <w:p w14:paraId="5014DF43" w14:textId="024F2371"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4BC5F6D7" w14:textId="310F6238"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049B665C" w14:textId="3637D2B7"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58B27923" w14:textId="169B9531"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51DE29E0" w14:textId="69B7430D"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52F9615F" w14:textId="36944A27"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44196209" w14:textId="71ED7A61"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1CD2DC06" w14:textId="3E7CCEA1"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604F831B" w14:textId="550FC5D6"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65659419" w14:textId="59258A4B"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04EF7580" w14:textId="10373A23" w:rsidR="00EF55AD" w:rsidRPr="00872D7E" w:rsidRDefault="00EF55AD" w:rsidP="006E16D5">
            <w:pPr>
              <w:jc w:val="right"/>
              <w:rPr>
                <w:color w:val="000000"/>
                <w:sz w:val="16"/>
                <w:szCs w:val="16"/>
              </w:rPr>
            </w:pPr>
            <w:r w:rsidRPr="00872D7E">
              <w:rPr>
                <w:sz w:val="16"/>
                <w:szCs w:val="16"/>
              </w:rPr>
              <w:t>9.383</w:t>
            </w:r>
          </w:p>
        </w:tc>
      </w:tr>
      <w:tr w:rsidR="00EF55AD" w:rsidRPr="00872D7E" w14:paraId="18319837" w14:textId="77777777" w:rsidTr="006E16D5">
        <w:trPr>
          <w:trHeight w:val="113"/>
        </w:trPr>
        <w:tc>
          <w:tcPr>
            <w:tcW w:w="283" w:type="pct"/>
            <w:noWrap/>
            <w:hideMark/>
          </w:tcPr>
          <w:p w14:paraId="27AA6A4F" w14:textId="77777777" w:rsidR="00EF55AD" w:rsidRPr="00872D7E" w:rsidRDefault="00EF55AD" w:rsidP="006E16D5">
            <w:pPr>
              <w:rPr>
                <w:sz w:val="16"/>
                <w:szCs w:val="16"/>
              </w:rPr>
            </w:pPr>
            <w:r w:rsidRPr="00872D7E">
              <w:rPr>
                <w:sz w:val="16"/>
                <w:szCs w:val="16"/>
              </w:rPr>
              <w:t>2</w:t>
            </w:r>
          </w:p>
        </w:tc>
        <w:tc>
          <w:tcPr>
            <w:tcW w:w="919" w:type="pct"/>
            <w:vAlign w:val="bottom"/>
            <w:hideMark/>
          </w:tcPr>
          <w:p w14:paraId="4FBD2ECB" w14:textId="77777777" w:rsidR="00EF55AD" w:rsidRPr="00872D7E" w:rsidRDefault="00EF55AD" w:rsidP="006E16D5">
            <w:pPr>
              <w:contextualSpacing/>
              <w:rPr>
                <w:sz w:val="16"/>
                <w:szCs w:val="16"/>
              </w:rPr>
            </w:pPr>
            <w:r w:rsidRPr="00872D7E">
              <w:rPr>
                <w:sz w:val="16"/>
                <w:szCs w:val="16"/>
              </w:rPr>
              <w:t>Bölgesel yönetimlerden veya yerel yönetimlerden alacaklar</w:t>
            </w:r>
          </w:p>
        </w:tc>
        <w:tc>
          <w:tcPr>
            <w:tcW w:w="315" w:type="pct"/>
            <w:tcBorders>
              <w:top w:val="nil"/>
              <w:left w:val="nil"/>
              <w:bottom w:val="nil"/>
              <w:right w:val="nil"/>
            </w:tcBorders>
            <w:shd w:val="clear" w:color="auto" w:fill="auto"/>
            <w:noWrap/>
            <w:vAlign w:val="bottom"/>
          </w:tcPr>
          <w:p w14:paraId="27B8F046" w14:textId="31BE10DB"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7CE66EB0" w14:textId="6399679D"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2F315E29" w14:textId="0F28EBDF"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13F60711" w14:textId="2FED8AD3"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6079C52E" w14:textId="46F39F10"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3A8E63C8" w14:textId="0B29FD8F"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0396C2FB" w14:textId="64F11B22"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49C2CA0F" w14:textId="10AACC6F"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50CE881A" w14:textId="03717314"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1E482171" w14:textId="325874F2"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5037B747" w14:textId="068B47FA"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047F06B9" w14:textId="2854F00E" w:rsidR="00EF55AD" w:rsidRPr="00872D7E" w:rsidRDefault="00EF55AD" w:rsidP="006E16D5">
            <w:pPr>
              <w:jc w:val="right"/>
              <w:rPr>
                <w:color w:val="000000"/>
                <w:sz w:val="16"/>
                <w:szCs w:val="16"/>
              </w:rPr>
            </w:pPr>
            <w:r w:rsidRPr="00872D7E">
              <w:rPr>
                <w:sz w:val="16"/>
                <w:szCs w:val="16"/>
              </w:rPr>
              <w:t>-</w:t>
            </w:r>
          </w:p>
        </w:tc>
      </w:tr>
      <w:tr w:rsidR="00EF55AD" w:rsidRPr="00872D7E" w14:paraId="39F64F7D" w14:textId="77777777" w:rsidTr="006E16D5">
        <w:trPr>
          <w:trHeight w:val="113"/>
        </w:trPr>
        <w:tc>
          <w:tcPr>
            <w:tcW w:w="283" w:type="pct"/>
            <w:noWrap/>
            <w:hideMark/>
          </w:tcPr>
          <w:p w14:paraId="41A92184" w14:textId="77777777" w:rsidR="00EF55AD" w:rsidRPr="00872D7E" w:rsidRDefault="00EF55AD" w:rsidP="006E16D5">
            <w:pPr>
              <w:rPr>
                <w:sz w:val="16"/>
                <w:szCs w:val="16"/>
              </w:rPr>
            </w:pPr>
            <w:r w:rsidRPr="00872D7E">
              <w:rPr>
                <w:sz w:val="16"/>
                <w:szCs w:val="16"/>
              </w:rPr>
              <w:t>3</w:t>
            </w:r>
          </w:p>
        </w:tc>
        <w:tc>
          <w:tcPr>
            <w:tcW w:w="919" w:type="pct"/>
            <w:vAlign w:val="bottom"/>
            <w:hideMark/>
          </w:tcPr>
          <w:p w14:paraId="10778CE3" w14:textId="77777777" w:rsidR="00EF55AD" w:rsidRPr="00872D7E" w:rsidRDefault="00EF55AD" w:rsidP="006E16D5">
            <w:pPr>
              <w:contextualSpacing/>
              <w:rPr>
                <w:sz w:val="16"/>
                <w:szCs w:val="16"/>
              </w:rPr>
            </w:pPr>
            <w:r w:rsidRPr="00872D7E">
              <w:rPr>
                <w:sz w:val="16"/>
                <w:szCs w:val="16"/>
              </w:rPr>
              <w:t>İdari birimlerden ve ticari olmayan girişimlerden alacaklar</w:t>
            </w:r>
          </w:p>
        </w:tc>
        <w:tc>
          <w:tcPr>
            <w:tcW w:w="315" w:type="pct"/>
            <w:tcBorders>
              <w:top w:val="nil"/>
              <w:left w:val="nil"/>
              <w:bottom w:val="nil"/>
              <w:right w:val="nil"/>
            </w:tcBorders>
            <w:shd w:val="clear" w:color="auto" w:fill="auto"/>
            <w:noWrap/>
            <w:vAlign w:val="bottom"/>
          </w:tcPr>
          <w:p w14:paraId="5564A253" w14:textId="5D89FF55"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10B43D65" w14:textId="12154D34"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6DA40D1A" w14:textId="563F77E4"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49978E3D" w14:textId="5BE741EA"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5638944C" w14:textId="51D890EA"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539E1527" w14:textId="7C3C31DA"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729E686F" w14:textId="2C517806"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42196069" w14:textId="4C765386"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6294802C" w14:textId="726F113F"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760604A1" w14:textId="29F5885D"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5FEC7CDD" w14:textId="4B7D0F9B"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0E7F052D" w14:textId="17CC9383" w:rsidR="00EF55AD" w:rsidRPr="00872D7E" w:rsidRDefault="00EF55AD" w:rsidP="006E16D5">
            <w:pPr>
              <w:jc w:val="right"/>
              <w:rPr>
                <w:color w:val="000000"/>
                <w:sz w:val="16"/>
                <w:szCs w:val="16"/>
              </w:rPr>
            </w:pPr>
            <w:r w:rsidRPr="00872D7E">
              <w:rPr>
                <w:sz w:val="16"/>
                <w:szCs w:val="16"/>
              </w:rPr>
              <w:t>-</w:t>
            </w:r>
          </w:p>
        </w:tc>
      </w:tr>
      <w:tr w:rsidR="00EF55AD" w:rsidRPr="00872D7E" w14:paraId="57BA9DE0" w14:textId="77777777" w:rsidTr="006E16D5">
        <w:trPr>
          <w:trHeight w:val="113"/>
        </w:trPr>
        <w:tc>
          <w:tcPr>
            <w:tcW w:w="283" w:type="pct"/>
            <w:noWrap/>
            <w:hideMark/>
          </w:tcPr>
          <w:p w14:paraId="39543478" w14:textId="77777777" w:rsidR="00EF55AD" w:rsidRPr="00872D7E" w:rsidRDefault="00EF55AD" w:rsidP="006E16D5">
            <w:pPr>
              <w:rPr>
                <w:sz w:val="16"/>
                <w:szCs w:val="16"/>
              </w:rPr>
            </w:pPr>
            <w:r w:rsidRPr="00872D7E">
              <w:rPr>
                <w:sz w:val="16"/>
                <w:szCs w:val="16"/>
              </w:rPr>
              <w:t>4</w:t>
            </w:r>
          </w:p>
        </w:tc>
        <w:tc>
          <w:tcPr>
            <w:tcW w:w="919" w:type="pct"/>
            <w:vAlign w:val="bottom"/>
            <w:hideMark/>
          </w:tcPr>
          <w:p w14:paraId="6E6DB310" w14:textId="77777777" w:rsidR="00EF55AD" w:rsidRPr="00872D7E" w:rsidRDefault="00EF55AD" w:rsidP="006E16D5">
            <w:pPr>
              <w:contextualSpacing/>
              <w:rPr>
                <w:sz w:val="16"/>
                <w:szCs w:val="16"/>
              </w:rPr>
            </w:pPr>
            <w:r w:rsidRPr="00872D7E">
              <w:rPr>
                <w:sz w:val="16"/>
                <w:szCs w:val="16"/>
              </w:rPr>
              <w:t>Çok taraflı kalkınma bankalarından alacaklar</w:t>
            </w:r>
          </w:p>
        </w:tc>
        <w:tc>
          <w:tcPr>
            <w:tcW w:w="315" w:type="pct"/>
            <w:tcBorders>
              <w:top w:val="nil"/>
              <w:left w:val="nil"/>
              <w:bottom w:val="nil"/>
              <w:right w:val="nil"/>
            </w:tcBorders>
            <w:shd w:val="clear" w:color="auto" w:fill="auto"/>
            <w:noWrap/>
            <w:vAlign w:val="bottom"/>
          </w:tcPr>
          <w:p w14:paraId="017B53FE" w14:textId="1E43D924"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7351EF64" w14:textId="2BEDF7AC"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2959D168" w14:textId="634340CC"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75C34E62" w14:textId="2619BE9C"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60A2EA01" w14:textId="44B21ABF"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64F8117C" w14:textId="7FB8F470"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1BC3BC2F" w14:textId="758671D5"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3F170D66" w14:textId="41C9F00A"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7269CFFA" w14:textId="7B0A8C9E"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605CA66D" w14:textId="5EC17332"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5D698022" w14:textId="3E6D3149"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33657EB4" w14:textId="7E089B7A" w:rsidR="00EF55AD" w:rsidRPr="00872D7E" w:rsidRDefault="00EF55AD" w:rsidP="006E16D5">
            <w:pPr>
              <w:jc w:val="right"/>
              <w:rPr>
                <w:color w:val="000000"/>
                <w:sz w:val="16"/>
                <w:szCs w:val="16"/>
              </w:rPr>
            </w:pPr>
            <w:r w:rsidRPr="00872D7E">
              <w:rPr>
                <w:sz w:val="16"/>
                <w:szCs w:val="16"/>
              </w:rPr>
              <w:t>-</w:t>
            </w:r>
          </w:p>
        </w:tc>
      </w:tr>
      <w:tr w:rsidR="00EF55AD" w:rsidRPr="00872D7E" w14:paraId="6F99558A" w14:textId="77777777" w:rsidTr="006E16D5">
        <w:trPr>
          <w:trHeight w:val="113"/>
        </w:trPr>
        <w:tc>
          <w:tcPr>
            <w:tcW w:w="283" w:type="pct"/>
            <w:noWrap/>
            <w:hideMark/>
          </w:tcPr>
          <w:p w14:paraId="2D477617" w14:textId="77777777" w:rsidR="00EF55AD" w:rsidRPr="00872D7E" w:rsidRDefault="00EF55AD" w:rsidP="006E16D5">
            <w:pPr>
              <w:rPr>
                <w:sz w:val="16"/>
                <w:szCs w:val="16"/>
              </w:rPr>
            </w:pPr>
            <w:r w:rsidRPr="00872D7E">
              <w:rPr>
                <w:sz w:val="16"/>
                <w:szCs w:val="16"/>
              </w:rPr>
              <w:t>5</w:t>
            </w:r>
          </w:p>
        </w:tc>
        <w:tc>
          <w:tcPr>
            <w:tcW w:w="919" w:type="pct"/>
            <w:vAlign w:val="bottom"/>
            <w:hideMark/>
          </w:tcPr>
          <w:p w14:paraId="298A106C" w14:textId="77777777" w:rsidR="00EF55AD" w:rsidRPr="00872D7E" w:rsidRDefault="00EF55AD" w:rsidP="006E16D5">
            <w:pPr>
              <w:contextualSpacing/>
              <w:rPr>
                <w:sz w:val="16"/>
                <w:szCs w:val="16"/>
              </w:rPr>
            </w:pPr>
            <w:r w:rsidRPr="00872D7E">
              <w:rPr>
                <w:sz w:val="16"/>
                <w:szCs w:val="16"/>
              </w:rPr>
              <w:t>Uluslararası teşkilatlardan alacaklar</w:t>
            </w:r>
          </w:p>
        </w:tc>
        <w:tc>
          <w:tcPr>
            <w:tcW w:w="315" w:type="pct"/>
            <w:tcBorders>
              <w:top w:val="nil"/>
              <w:left w:val="nil"/>
              <w:bottom w:val="nil"/>
              <w:right w:val="nil"/>
            </w:tcBorders>
            <w:shd w:val="clear" w:color="auto" w:fill="auto"/>
            <w:noWrap/>
            <w:vAlign w:val="bottom"/>
          </w:tcPr>
          <w:p w14:paraId="30A4BE53" w14:textId="2B418EFB"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3B264DBE" w14:textId="0D17102C"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478158D3" w14:textId="48D42B6B"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48397895" w14:textId="0E9293FF"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5FD3D57A" w14:textId="2844553C"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5CB191FE" w14:textId="6086B018"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233AB3F6" w14:textId="2A1E65A2"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1E16B36B" w14:textId="6B2DB451"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67EDDB8C" w14:textId="536B77AB"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2B0C753C" w14:textId="5CDAB8DB"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17FA3D71" w14:textId="4DF28C50"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7613C5D4" w14:textId="6CFDC256" w:rsidR="00EF55AD" w:rsidRPr="00872D7E" w:rsidRDefault="00EF55AD" w:rsidP="006E16D5">
            <w:pPr>
              <w:jc w:val="right"/>
              <w:rPr>
                <w:color w:val="000000"/>
                <w:sz w:val="16"/>
                <w:szCs w:val="16"/>
              </w:rPr>
            </w:pPr>
            <w:r w:rsidRPr="00872D7E">
              <w:rPr>
                <w:sz w:val="16"/>
                <w:szCs w:val="16"/>
              </w:rPr>
              <w:t>-</w:t>
            </w:r>
          </w:p>
        </w:tc>
      </w:tr>
      <w:tr w:rsidR="00EF55AD" w:rsidRPr="00872D7E" w14:paraId="1F405E99" w14:textId="77777777" w:rsidTr="006E16D5">
        <w:trPr>
          <w:trHeight w:val="113"/>
        </w:trPr>
        <w:tc>
          <w:tcPr>
            <w:tcW w:w="283" w:type="pct"/>
            <w:noWrap/>
            <w:hideMark/>
          </w:tcPr>
          <w:p w14:paraId="68739554" w14:textId="77777777" w:rsidR="00EF55AD" w:rsidRPr="00872D7E" w:rsidRDefault="00EF55AD" w:rsidP="006E16D5">
            <w:pPr>
              <w:rPr>
                <w:sz w:val="16"/>
                <w:szCs w:val="16"/>
              </w:rPr>
            </w:pPr>
            <w:r w:rsidRPr="00872D7E">
              <w:rPr>
                <w:sz w:val="16"/>
                <w:szCs w:val="16"/>
              </w:rPr>
              <w:t>6</w:t>
            </w:r>
          </w:p>
        </w:tc>
        <w:tc>
          <w:tcPr>
            <w:tcW w:w="919" w:type="pct"/>
            <w:vAlign w:val="bottom"/>
            <w:hideMark/>
          </w:tcPr>
          <w:p w14:paraId="35349DA5" w14:textId="77777777" w:rsidR="00EF55AD" w:rsidRPr="00872D7E" w:rsidRDefault="00EF55AD" w:rsidP="006E16D5">
            <w:pPr>
              <w:contextualSpacing/>
              <w:rPr>
                <w:sz w:val="16"/>
                <w:szCs w:val="16"/>
              </w:rPr>
            </w:pPr>
            <w:r w:rsidRPr="00872D7E">
              <w:rPr>
                <w:sz w:val="16"/>
                <w:szCs w:val="16"/>
              </w:rPr>
              <w:t>Bankalardan ve aracı kurumlardan alacaklar</w:t>
            </w:r>
          </w:p>
        </w:tc>
        <w:tc>
          <w:tcPr>
            <w:tcW w:w="315" w:type="pct"/>
            <w:tcBorders>
              <w:top w:val="nil"/>
              <w:left w:val="nil"/>
              <w:bottom w:val="nil"/>
              <w:right w:val="nil"/>
            </w:tcBorders>
            <w:shd w:val="clear" w:color="auto" w:fill="auto"/>
            <w:noWrap/>
            <w:vAlign w:val="bottom"/>
          </w:tcPr>
          <w:p w14:paraId="3E908C85" w14:textId="5E153EF2"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4A6BB264" w14:textId="701CC4B8"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20A78BA2" w14:textId="1AB3BBE2" w:rsidR="00EF55AD" w:rsidRPr="00872D7E" w:rsidRDefault="00EF55AD" w:rsidP="006E16D5">
            <w:pPr>
              <w:jc w:val="right"/>
              <w:rPr>
                <w:color w:val="000000"/>
                <w:sz w:val="16"/>
                <w:szCs w:val="16"/>
              </w:rPr>
            </w:pPr>
            <w:r w:rsidRPr="00872D7E">
              <w:rPr>
                <w:sz w:val="16"/>
                <w:szCs w:val="16"/>
              </w:rPr>
              <w:t>552.875</w:t>
            </w:r>
          </w:p>
        </w:tc>
        <w:tc>
          <w:tcPr>
            <w:tcW w:w="184" w:type="pct"/>
            <w:tcBorders>
              <w:top w:val="nil"/>
              <w:left w:val="nil"/>
              <w:bottom w:val="nil"/>
              <w:right w:val="nil"/>
            </w:tcBorders>
            <w:vAlign w:val="bottom"/>
          </w:tcPr>
          <w:p w14:paraId="56A48F81" w14:textId="7C3B9C73"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022236E9" w14:textId="15EDCF55"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75A14376" w14:textId="5F37A48D"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46A5F643" w14:textId="74B0A9A9"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67E54493" w14:textId="38699C93"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6184AC3E" w14:textId="46A887B2"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39D0B57E" w14:textId="4A6A9EC4"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16CF7CFD" w14:textId="77599CA4"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30FAC410" w14:textId="43DB3ECE" w:rsidR="00EF55AD" w:rsidRPr="00872D7E" w:rsidRDefault="00EF55AD" w:rsidP="006E16D5">
            <w:pPr>
              <w:jc w:val="right"/>
              <w:rPr>
                <w:color w:val="000000"/>
                <w:sz w:val="16"/>
                <w:szCs w:val="16"/>
              </w:rPr>
            </w:pPr>
            <w:r w:rsidRPr="00872D7E">
              <w:rPr>
                <w:sz w:val="16"/>
                <w:szCs w:val="16"/>
              </w:rPr>
              <w:t>552.875</w:t>
            </w:r>
          </w:p>
        </w:tc>
      </w:tr>
      <w:tr w:rsidR="00EF55AD" w:rsidRPr="00872D7E" w14:paraId="0F3FEA03" w14:textId="77777777" w:rsidTr="006E16D5">
        <w:trPr>
          <w:trHeight w:val="113"/>
        </w:trPr>
        <w:tc>
          <w:tcPr>
            <w:tcW w:w="283" w:type="pct"/>
            <w:noWrap/>
            <w:hideMark/>
          </w:tcPr>
          <w:p w14:paraId="0379E3AF" w14:textId="77777777" w:rsidR="00EF55AD" w:rsidRPr="00872D7E" w:rsidRDefault="00EF55AD" w:rsidP="006E16D5">
            <w:pPr>
              <w:rPr>
                <w:sz w:val="16"/>
                <w:szCs w:val="16"/>
              </w:rPr>
            </w:pPr>
            <w:r w:rsidRPr="00872D7E">
              <w:rPr>
                <w:sz w:val="16"/>
                <w:szCs w:val="16"/>
              </w:rPr>
              <w:t>7</w:t>
            </w:r>
          </w:p>
        </w:tc>
        <w:tc>
          <w:tcPr>
            <w:tcW w:w="919" w:type="pct"/>
            <w:vAlign w:val="bottom"/>
            <w:hideMark/>
          </w:tcPr>
          <w:p w14:paraId="76206AB7" w14:textId="77777777" w:rsidR="00EF55AD" w:rsidRPr="00872D7E" w:rsidRDefault="00EF55AD" w:rsidP="006E16D5">
            <w:pPr>
              <w:contextualSpacing/>
              <w:rPr>
                <w:sz w:val="16"/>
                <w:szCs w:val="16"/>
              </w:rPr>
            </w:pPr>
            <w:r w:rsidRPr="00872D7E">
              <w:rPr>
                <w:sz w:val="16"/>
                <w:szCs w:val="16"/>
              </w:rPr>
              <w:t>Kurumsal alacaklar</w:t>
            </w:r>
          </w:p>
        </w:tc>
        <w:tc>
          <w:tcPr>
            <w:tcW w:w="315" w:type="pct"/>
            <w:tcBorders>
              <w:top w:val="nil"/>
              <w:left w:val="nil"/>
              <w:bottom w:val="nil"/>
              <w:right w:val="nil"/>
            </w:tcBorders>
            <w:shd w:val="clear" w:color="auto" w:fill="auto"/>
            <w:noWrap/>
            <w:vAlign w:val="bottom"/>
          </w:tcPr>
          <w:p w14:paraId="54AAECE2" w14:textId="4D054F29"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3C4E846D" w14:textId="5FBAA811"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2B3B19C6" w14:textId="16CE7BA8"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1558820C" w14:textId="0A6A8997"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7F81B3EA" w14:textId="342D2A1E"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2DE002A2" w14:textId="43B58695"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05D1C69D" w14:textId="25F8D91F"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5BBD2CA1" w14:textId="56AE4FAE" w:rsidR="00EF55AD" w:rsidRPr="00872D7E" w:rsidRDefault="00EF55AD" w:rsidP="006E16D5">
            <w:pPr>
              <w:jc w:val="right"/>
              <w:rPr>
                <w:color w:val="000000"/>
                <w:sz w:val="16"/>
                <w:szCs w:val="16"/>
              </w:rPr>
            </w:pPr>
            <w:r w:rsidRPr="00872D7E">
              <w:rPr>
                <w:sz w:val="16"/>
                <w:szCs w:val="16"/>
              </w:rPr>
              <w:t>87.593</w:t>
            </w:r>
          </w:p>
        </w:tc>
        <w:tc>
          <w:tcPr>
            <w:tcW w:w="257" w:type="pct"/>
            <w:tcBorders>
              <w:top w:val="nil"/>
              <w:left w:val="nil"/>
              <w:bottom w:val="nil"/>
              <w:right w:val="nil"/>
            </w:tcBorders>
            <w:shd w:val="clear" w:color="auto" w:fill="auto"/>
            <w:noWrap/>
            <w:vAlign w:val="bottom"/>
          </w:tcPr>
          <w:p w14:paraId="03661427" w14:textId="7833A2BF"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7E1FD2B6" w14:textId="6FF75FBC"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25E39950" w14:textId="0020B44C"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277D5C05" w14:textId="01B18AF9" w:rsidR="00EF55AD" w:rsidRPr="00872D7E" w:rsidRDefault="00EF55AD" w:rsidP="006E16D5">
            <w:pPr>
              <w:jc w:val="right"/>
              <w:rPr>
                <w:color w:val="000000"/>
                <w:sz w:val="16"/>
                <w:szCs w:val="16"/>
              </w:rPr>
            </w:pPr>
            <w:r w:rsidRPr="00872D7E">
              <w:rPr>
                <w:sz w:val="16"/>
                <w:szCs w:val="16"/>
              </w:rPr>
              <w:t>87.593</w:t>
            </w:r>
          </w:p>
        </w:tc>
      </w:tr>
      <w:tr w:rsidR="00EF55AD" w:rsidRPr="00872D7E" w14:paraId="66D3BD3B" w14:textId="77777777" w:rsidTr="006E16D5">
        <w:trPr>
          <w:trHeight w:val="113"/>
        </w:trPr>
        <w:tc>
          <w:tcPr>
            <w:tcW w:w="283" w:type="pct"/>
            <w:noWrap/>
            <w:hideMark/>
          </w:tcPr>
          <w:p w14:paraId="22011F6D" w14:textId="77777777" w:rsidR="00EF55AD" w:rsidRPr="00872D7E" w:rsidRDefault="00EF55AD" w:rsidP="006E16D5">
            <w:pPr>
              <w:rPr>
                <w:sz w:val="16"/>
                <w:szCs w:val="16"/>
              </w:rPr>
            </w:pPr>
            <w:r w:rsidRPr="00872D7E">
              <w:rPr>
                <w:sz w:val="16"/>
                <w:szCs w:val="16"/>
              </w:rPr>
              <w:t>8</w:t>
            </w:r>
          </w:p>
        </w:tc>
        <w:tc>
          <w:tcPr>
            <w:tcW w:w="919" w:type="pct"/>
            <w:vAlign w:val="bottom"/>
            <w:hideMark/>
          </w:tcPr>
          <w:p w14:paraId="201F6421" w14:textId="77777777" w:rsidR="00EF55AD" w:rsidRPr="00872D7E" w:rsidRDefault="00EF55AD" w:rsidP="006E16D5">
            <w:pPr>
              <w:contextualSpacing/>
              <w:rPr>
                <w:sz w:val="16"/>
                <w:szCs w:val="16"/>
              </w:rPr>
            </w:pPr>
            <w:r w:rsidRPr="00872D7E">
              <w:rPr>
                <w:sz w:val="16"/>
                <w:szCs w:val="16"/>
              </w:rPr>
              <w:t>Perakende alacaklar</w:t>
            </w:r>
          </w:p>
        </w:tc>
        <w:tc>
          <w:tcPr>
            <w:tcW w:w="315" w:type="pct"/>
            <w:tcBorders>
              <w:top w:val="nil"/>
              <w:left w:val="nil"/>
              <w:bottom w:val="nil"/>
              <w:right w:val="nil"/>
            </w:tcBorders>
            <w:shd w:val="clear" w:color="auto" w:fill="auto"/>
            <w:noWrap/>
            <w:vAlign w:val="bottom"/>
          </w:tcPr>
          <w:p w14:paraId="6F50FD0F" w14:textId="132D3140"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110915B3" w14:textId="47C72E58"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24922136" w14:textId="3F49B235"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1510DC67" w14:textId="0946814F"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42E40F58" w14:textId="70DB764F"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422D7816" w14:textId="2E56A0E6"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6564CB04" w14:textId="4C67561F"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66CD4F4A" w14:textId="335FB070"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6D67A6DE" w14:textId="790095F8"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3C797C73" w14:textId="268650C5"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1BA80D8A" w14:textId="09D54AD8"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191C1EBB" w14:textId="56A4F990" w:rsidR="00EF55AD" w:rsidRPr="00872D7E" w:rsidRDefault="00EF55AD" w:rsidP="006E16D5">
            <w:pPr>
              <w:jc w:val="right"/>
              <w:rPr>
                <w:color w:val="000000"/>
                <w:sz w:val="16"/>
                <w:szCs w:val="16"/>
              </w:rPr>
            </w:pPr>
            <w:r w:rsidRPr="00872D7E">
              <w:rPr>
                <w:sz w:val="16"/>
                <w:szCs w:val="16"/>
              </w:rPr>
              <w:t>-</w:t>
            </w:r>
          </w:p>
        </w:tc>
      </w:tr>
      <w:tr w:rsidR="00EF55AD" w:rsidRPr="00872D7E" w14:paraId="71FD96C0" w14:textId="77777777" w:rsidTr="006E16D5">
        <w:trPr>
          <w:trHeight w:val="113"/>
        </w:trPr>
        <w:tc>
          <w:tcPr>
            <w:tcW w:w="283" w:type="pct"/>
            <w:noWrap/>
            <w:hideMark/>
          </w:tcPr>
          <w:p w14:paraId="640F5D58" w14:textId="77777777" w:rsidR="00EF55AD" w:rsidRPr="00872D7E" w:rsidRDefault="00EF55AD" w:rsidP="006E16D5">
            <w:pPr>
              <w:contextualSpacing/>
              <w:rPr>
                <w:sz w:val="16"/>
                <w:szCs w:val="16"/>
              </w:rPr>
            </w:pPr>
            <w:r w:rsidRPr="00872D7E">
              <w:rPr>
                <w:sz w:val="16"/>
                <w:szCs w:val="16"/>
              </w:rPr>
              <w:t>9</w:t>
            </w:r>
          </w:p>
        </w:tc>
        <w:tc>
          <w:tcPr>
            <w:tcW w:w="919" w:type="pct"/>
            <w:vAlign w:val="bottom"/>
            <w:hideMark/>
          </w:tcPr>
          <w:p w14:paraId="3C7CDBCD" w14:textId="77777777" w:rsidR="00EF55AD" w:rsidRPr="00872D7E" w:rsidRDefault="00EF55AD" w:rsidP="006E16D5">
            <w:pPr>
              <w:contextualSpacing/>
              <w:rPr>
                <w:sz w:val="16"/>
                <w:szCs w:val="16"/>
              </w:rPr>
            </w:pPr>
            <w:r w:rsidRPr="00872D7E">
              <w:rPr>
                <w:sz w:val="16"/>
                <w:szCs w:val="16"/>
              </w:rPr>
              <w:t>İkamet amaçlı gayrimenkul ipoteği ile teminatlandırılan alacaklar</w:t>
            </w:r>
          </w:p>
        </w:tc>
        <w:tc>
          <w:tcPr>
            <w:tcW w:w="315" w:type="pct"/>
            <w:tcBorders>
              <w:top w:val="nil"/>
              <w:left w:val="nil"/>
              <w:bottom w:val="nil"/>
              <w:right w:val="nil"/>
            </w:tcBorders>
            <w:shd w:val="clear" w:color="auto" w:fill="auto"/>
            <w:noWrap/>
            <w:vAlign w:val="bottom"/>
          </w:tcPr>
          <w:p w14:paraId="1D09115B" w14:textId="1206F2E4"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7FEB8747" w14:textId="2FA0C5AF"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09B1A9FB" w14:textId="45CC8E89"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7FD2A6F8" w14:textId="5384EDF1"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4F5C7F6A" w14:textId="2DA91E07"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2A90E126" w14:textId="4BF1C676"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131A27E7" w14:textId="1557877E"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6D798C20" w14:textId="59F5B275"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6B01A534" w14:textId="41CC097F"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392BA637" w14:textId="4B95228E"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5A945C3A" w14:textId="335B7E20"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08A30B85" w14:textId="5802519D" w:rsidR="00EF55AD" w:rsidRPr="00872D7E" w:rsidRDefault="00EF55AD" w:rsidP="006E16D5">
            <w:pPr>
              <w:jc w:val="right"/>
              <w:rPr>
                <w:color w:val="000000"/>
                <w:sz w:val="16"/>
                <w:szCs w:val="16"/>
              </w:rPr>
            </w:pPr>
            <w:r w:rsidRPr="00872D7E">
              <w:rPr>
                <w:sz w:val="16"/>
                <w:szCs w:val="16"/>
              </w:rPr>
              <w:t>-</w:t>
            </w:r>
          </w:p>
        </w:tc>
      </w:tr>
      <w:tr w:rsidR="00EF55AD" w:rsidRPr="00872D7E" w14:paraId="6E5C7A9F" w14:textId="77777777" w:rsidTr="006E16D5">
        <w:trPr>
          <w:trHeight w:val="113"/>
        </w:trPr>
        <w:tc>
          <w:tcPr>
            <w:tcW w:w="283" w:type="pct"/>
            <w:noWrap/>
          </w:tcPr>
          <w:p w14:paraId="288D2EC0" w14:textId="77777777" w:rsidR="00EF55AD" w:rsidRPr="00872D7E" w:rsidRDefault="00EF55AD" w:rsidP="006E16D5">
            <w:pPr>
              <w:contextualSpacing/>
              <w:rPr>
                <w:sz w:val="16"/>
                <w:szCs w:val="16"/>
              </w:rPr>
            </w:pPr>
            <w:r w:rsidRPr="00872D7E">
              <w:rPr>
                <w:sz w:val="16"/>
                <w:szCs w:val="16"/>
              </w:rPr>
              <w:t>10</w:t>
            </w:r>
          </w:p>
        </w:tc>
        <w:tc>
          <w:tcPr>
            <w:tcW w:w="919" w:type="pct"/>
            <w:vAlign w:val="bottom"/>
          </w:tcPr>
          <w:p w14:paraId="4B473DE9" w14:textId="77777777" w:rsidR="00EF55AD" w:rsidRPr="00872D7E" w:rsidRDefault="00EF55AD" w:rsidP="006E16D5">
            <w:pPr>
              <w:contextualSpacing/>
              <w:rPr>
                <w:sz w:val="16"/>
                <w:szCs w:val="16"/>
              </w:rPr>
            </w:pPr>
            <w:r w:rsidRPr="00872D7E">
              <w:rPr>
                <w:sz w:val="16"/>
                <w:szCs w:val="16"/>
              </w:rPr>
              <w:t>Ticari amaçlı gayrimenkul ipoteği ile teminatlandırılan alacaklar</w:t>
            </w:r>
          </w:p>
        </w:tc>
        <w:tc>
          <w:tcPr>
            <w:tcW w:w="315" w:type="pct"/>
            <w:tcBorders>
              <w:top w:val="nil"/>
              <w:left w:val="nil"/>
              <w:bottom w:val="nil"/>
              <w:right w:val="nil"/>
            </w:tcBorders>
            <w:shd w:val="clear" w:color="auto" w:fill="auto"/>
            <w:noWrap/>
            <w:vAlign w:val="bottom"/>
          </w:tcPr>
          <w:p w14:paraId="071EFC66" w14:textId="6C01D284"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4AC585FC" w14:textId="1CF61408"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16B1DF7A" w14:textId="276B36F9"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40D7175F" w14:textId="5728AD8C"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16A87F5D" w14:textId="4E96AB73"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592AE32F" w14:textId="053C4195"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5D5A5817" w14:textId="73ACACB2"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6DF25846" w14:textId="426A1203"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0531612E" w14:textId="7A41E5E9"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5269DCFA" w14:textId="4D1E2044"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424F56A9" w14:textId="17C8BE07"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78BC6430" w14:textId="0B2EC68C" w:rsidR="00EF55AD" w:rsidRPr="00872D7E" w:rsidRDefault="00EF55AD" w:rsidP="006E16D5">
            <w:pPr>
              <w:jc w:val="right"/>
              <w:rPr>
                <w:color w:val="000000"/>
                <w:sz w:val="16"/>
                <w:szCs w:val="16"/>
              </w:rPr>
            </w:pPr>
            <w:r w:rsidRPr="00872D7E">
              <w:rPr>
                <w:sz w:val="16"/>
                <w:szCs w:val="16"/>
              </w:rPr>
              <w:t>-</w:t>
            </w:r>
          </w:p>
        </w:tc>
      </w:tr>
      <w:tr w:rsidR="00EF55AD" w:rsidRPr="00872D7E" w14:paraId="2FF44E38" w14:textId="77777777" w:rsidTr="006E16D5">
        <w:trPr>
          <w:trHeight w:val="113"/>
        </w:trPr>
        <w:tc>
          <w:tcPr>
            <w:tcW w:w="283" w:type="pct"/>
            <w:noWrap/>
            <w:hideMark/>
          </w:tcPr>
          <w:p w14:paraId="6CD92942" w14:textId="77777777" w:rsidR="00EF55AD" w:rsidRPr="00872D7E" w:rsidRDefault="00EF55AD" w:rsidP="006E16D5">
            <w:pPr>
              <w:contextualSpacing/>
              <w:rPr>
                <w:sz w:val="16"/>
                <w:szCs w:val="16"/>
              </w:rPr>
            </w:pPr>
            <w:r w:rsidRPr="00872D7E">
              <w:rPr>
                <w:sz w:val="16"/>
                <w:szCs w:val="16"/>
              </w:rPr>
              <w:t>11</w:t>
            </w:r>
          </w:p>
        </w:tc>
        <w:tc>
          <w:tcPr>
            <w:tcW w:w="919" w:type="pct"/>
            <w:vAlign w:val="bottom"/>
            <w:hideMark/>
          </w:tcPr>
          <w:p w14:paraId="6210C0C9" w14:textId="77777777" w:rsidR="00EF55AD" w:rsidRPr="00872D7E" w:rsidRDefault="00EF55AD" w:rsidP="006E16D5">
            <w:pPr>
              <w:contextualSpacing/>
              <w:rPr>
                <w:sz w:val="16"/>
                <w:szCs w:val="16"/>
              </w:rPr>
            </w:pPr>
            <w:r w:rsidRPr="00872D7E">
              <w:rPr>
                <w:sz w:val="16"/>
                <w:szCs w:val="16"/>
              </w:rPr>
              <w:t>Tahsili gecikmiş alacaklar</w:t>
            </w:r>
          </w:p>
        </w:tc>
        <w:tc>
          <w:tcPr>
            <w:tcW w:w="315" w:type="pct"/>
            <w:tcBorders>
              <w:top w:val="nil"/>
              <w:left w:val="nil"/>
              <w:bottom w:val="nil"/>
              <w:right w:val="nil"/>
            </w:tcBorders>
            <w:shd w:val="clear" w:color="auto" w:fill="auto"/>
            <w:noWrap/>
            <w:vAlign w:val="bottom"/>
          </w:tcPr>
          <w:p w14:paraId="37C0C9F1" w14:textId="1C839E96"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7A10041B" w14:textId="00679D0A"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537A6CAE" w14:textId="2200331F"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1AA82635" w14:textId="7CB5DF5C"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3FCE6E4F" w14:textId="6846D65D"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6D6AA93C" w14:textId="009A9710"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2FEB4926" w14:textId="45A1FC28"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70621570" w14:textId="72535EF9"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7DDD5355" w14:textId="036F76F7"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2ED2E894" w14:textId="6633829F"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6C31439D" w14:textId="612703FF"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38FBD3AC" w14:textId="30D13F9B" w:rsidR="00EF55AD" w:rsidRPr="00872D7E" w:rsidRDefault="00EF55AD" w:rsidP="006E16D5">
            <w:pPr>
              <w:jc w:val="right"/>
              <w:rPr>
                <w:color w:val="000000"/>
                <w:sz w:val="16"/>
                <w:szCs w:val="16"/>
              </w:rPr>
            </w:pPr>
            <w:r w:rsidRPr="00872D7E">
              <w:rPr>
                <w:sz w:val="16"/>
                <w:szCs w:val="16"/>
              </w:rPr>
              <w:t>-</w:t>
            </w:r>
          </w:p>
        </w:tc>
      </w:tr>
      <w:tr w:rsidR="00EF55AD" w:rsidRPr="00872D7E" w14:paraId="242BC8F8" w14:textId="77777777" w:rsidTr="006E16D5">
        <w:trPr>
          <w:trHeight w:val="113"/>
        </w:trPr>
        <w:tc>
          <w:tcPr>
            <w:tcW w:w="283" w:type="pct"/>
            <w:noWrap/>
            <w:hideMark/>
          </w:tcPr>
          <w:p w14:paraId="4A6980ED" w14:textId="77777777" w:rsidR="00EF55AD" w:rsidRPr="00872D7E" w:rsidRDefault="00EF55AD" w:rsidP="006E16D5">
            <w:pPr>
              <w:contextualSpacing/>
              <w:rPr>
                <w:sz w:val="16"/>
                <w:szCs w:val="16"/>
              </w:rPr>
            </w:pPr>
            <w:r w:rsidRPr="00872D7E">
              <w:rPr>
                <w:sz w:val="16"/>
                <w:szCs w:val="16"/>
              </w:rPr>
              <w:t>12</w:t>
            </w:r>
          </w:p>
        </w:tc>
        <w:tc>
          <w:tcPr>
            <w:tcW w:w="919" w:type="pct"/>
            <w:vAlign w:val="bottom"/>
            <w:hideMark/>
          </w:tcPr>
          <w:p w14:paraId="4C83E1FB" w14:textId="77777777" w:rsidR="00EF55AD" w:rsidRPr="00872D7E" w:rsidRDefault="00EF55AD" w:rsidP="006E16D5">
            <w:pPr>
              <w:contextualSpacing/>
              <w:rPr>
                <w:sz w:val="16"/>
                <w:szCs w:val="16"/>
              </w:rPr>
            </w:pPr>
            <w:r w:rsidRPr="00872D7E">
              <w:rPr>
                <w:sz w:val="16"/>
                <w:szCs w:val="16"/>
              </w:rPr>
              <w:t>Kurulca riski yüksek belirlenmiş alacaklar</w:t>
            </w:r>
          </w:p>
        </w:tc>
        <w:tc>
          <w:tcPr>
            <w:tcW w:w="315" w:type="pct"/>
            <w:tcBorders>
              <w:top w:val="nil"/>
              <w:left w:val="nil"/>
              <w:bottom w:val="nil"/>
              <w:right w:val="nil"/>
            </w:tcBorders>
            <w:shd w:val="clear" w:color="auto" w:fill="auto"/>
            <w:noWrap/>
            <w:vAlign w:val="bottom"/>
          </w:tcPr>
          <w:p w14:paraId="7A814ADF" w14:textId="6681DB59"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4D225468" w14:textId="1EC8CE75"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390CFC50" w14:textId="18A53247"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42385D6F" w14:textId="1486841E"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07653309" w14:textId="078740D4"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50638D3A" w14:textId="6ACEB4E4"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162DC350" w14:textId="16FE91A8"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74AA9459" w14:textId="3F269334"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4F0A14B0" w14:textId="45E9FC12"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50C8959A" w14:textId="3C7811A3"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3A2023D7" w14:textId="65495E8C"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7E0BC259" w14:textId="4ABD13E0" w:rsidR="00EF55AD" w:rsidRPr="00872D7E" w:rsidRDefault="00EF55AD" w:rsidP="006E16D5">
            <w:pPr>
              <w:jc w:val="right"/>
              <w:rPr>
                <w:color w:val="000000"/>
                <w:sz w:val="16"/>
                <w:szCs w:val="16"/>
              </w:rPr>
            </w:pPr>
            <w:r w:rsidRPr="00872D7E">
              <w:rPr>
                <w:sz w:val="16"/>
                <w:szCs w:val="16"/>
              </w:rPr>
              <w:t>-</w:t>
            </w:r>
          </w:p>
        </w:tc>
      </w:tr>
      <w:tr w:rsidR="00EF55AD" w:rsidRPr="00872D7E" w14:paraId="5BEA4F61" w14:textId="77777777" w:rsidTr="006E16D5">
        <w:trPr>
          <w:trHeight w:val="113"/>
        </w:trPr>
        <w:tc>
          <w:tcPr>
            <w:tcW w:w="283" w:type="pct"/>
            <w:noWrap/>
            <w:hideMark/>
          </w:tcPr>
          <w:p w14:paraId="3EC996A7" w14:textId="77777777" w:rsidR="00EF55AD" w:rsidRPr="00872D7E" w:rsidRDefault="00EF55AD" w:rsidP="006E16D5">
            <w:pPr>
              <w:rPr>
                <w:sz w:val="16"/>
                <w:szCs w:val="16"/>
              </w:rPr>
            </w:pPr>
            <w:r w:rsidRPr="00872D7E">
              <w:rPr>
                <w:sz w:val="16"/>
                <w:szCs w:val="16"/>
              </w:rPr>
              <w:t>13</w:t>
            </w:r>
          </w:p>
        </w:tc>
        <w:tc>
          <w:tcPr>
            <w:tcW w:w="919" w:type="pct"/>
            <w:vAlign w:val="bottom"/>
            <w:hideMark/>
          </w:tcPr>
          <w:p w14:paraId="56A56639" w14:textId="77777777" w:rsidR="00EF55AD" w:rsidRPr="00872D7E" w:rsidRDefault="00EF55AD" w:rsidP="006E16D5">
            <w:pPr>
              <w:contextualSpacing/>
              <w:rPr>
                <w:sz w:val="16"/>
                <w:szCs w:val="16"/>
              </w:rPr>
            </w:pPr>
            <w:r w:rsidRPr="00872D7E">
              <w:rPr>
                <w:sz w:val="16"/>
                <w:szCs w:val="16"/>
              </w:rPr>
              <w:t>Teminatlı menkul kıymetler</w:t>
            </w:r>
          </w:p>
        </w:tc>
        <w:tc>
          <w:tcPr>
            <w:tcW w:w="315" w:type="pct"/>
            <w:tcBorders>
              <w:top w:val="nil"/>
              <w:left w:val="nil"/>
              <w:bottom w:val="nil"/>
              <w:right w:val="nil"/>
            </w:tcBorders>
            <w:shd w:val="clear" w:color="auto" w:fill="auto"/>
            <w:noWrap/>
            <w:vAlign w:val="bottom"/>
          </w:tcPr>
          <w:p w14:paraId="224F8594" w14:textId="52B04B3F"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5FC455AE" w14:textId="504385AE"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0A17E907" w14:textId="496C3D3A"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52536BD6" w14:textId="5875ABD1"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655CD6B8" w14:textId="354D5149"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35A632DA" w14:textId="7234279F"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43F99F26" w14:textId="55E0F140"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5A5B595B" w14:textId="31941312"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7D7FEF1E" w14:textId="18AC65D2"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300543CA" w14:textId="28CAD952"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550679D1" w14:textId="08FFE2D4"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747C342B" w14:textId="5BAD8FCB" w:rsidR="00EF55AD" w:rsidRPr="00872D7E" w:rsidRDefault="00EF55AD" w:rsidP="006E16D5">
            <w:pPr>
              <w:jc w:val="right"/>
              <w:rPr>
                <w:color w:val="000000"/>
                <w:sz w:val="16"/>
                <w:szCs w:val="16"/>
              </w:rPr>
            </w:pPr>
            <w:r w:rsidRPr="00872D7E">
              <w:rPr>
                <w:sz w:val="16"/>
                <w:szCs w:val="16"/>
              </w:rPr>
              <w:t>-</w:t>
            </w:r>
          </w:p>
        </w:tc>
      </w:tr>
      <w:tr w:rsidR="00EF55AD" w:rsidRPr="00872D7E" w14:paraId="5EA44600" w14:textId="77777777" w:rsidTr="006E16D5">
        <w:trPr>
          <w:trHeight w:val="113"/>
        </w:trPr>
        <w:tc>
          <w:tcPr>
            <w:tcW w:w="283" w:type="pct"/>
            <w:noWrap/>
            <w:hideMark/>
          </w:tcPr>
          <w:p w14:paraId="46F41C85" w14:textId="77777777" w:rsidR="00EF55AD" w:rsidRPr="00872D7E" w:rsidRDefault="00EF55AD" w:rsidP="006E16D5">
            <w:pPr>
              <w:rPr>
                <w:sz w:val="16"/>
                <w:szCs w:val="16"/>
              </w:rPr>
            </w:pPr>
            <w:r w:rsidRPr="00872D7E">
              <w:rPr>
                <w:sz w:val="16"/>
                <w:szCs w:val="16"/>
              </w:rPr>
              <w:t>14</w:t>
            </w:r>
          </w:p>
        </w:tc>
        <w:tc>
          <w:tcPr>
            <w:tcW w:w="919" w:type="pct"/>
            <w:vAlign w:val="bottom"/>
            <w:hideMark/>
          </w:tcPr>
          <w:p w14:paraId="1DF703D1" w14:textId="77777777" w:rsidR="00EF55AD" w:rsidRPr="00872D7E" w:rsidRDefault="00EF55AD" w:rsidP="006E16D5">
            <w:pPr>
              <w:contextualSpacing/>
              <w:rPr>
                <w:sz w:val="16"/>
                <w:szCs w:val="16"/>
              </w:rPr>
            </w:pPr>
            <w:r w:rsidRPr="00872D7E">
              <w:rPr>
                <w:sz w:val="16"/>
                <w:szCs w:val="16"/>
              </w:rPr>
              <w:t>Bankalardan ve aracı kurumlardan olan kısa vadeli alacaklar ile kısa vadeli kurumsal alacaklar</w:t>
            </w:r>
          </w:p>
        </w:tc>
        <w:tc>
          <w:tcPr>
            <w:tcW w:w="315" w:type="pct"/>
            <w:tcBorders>
              <w:top w:val="nil"/>
              <w:left w:val="nil"/>
              <w:bottom w:val="nil"/>
              <w:right w:val="nil"/>
            </w:tcBorders>
            <w:shd w:val="clear" w:color="auto" w:fill="auto"/>
            <w:noWrap/>
            <w:vAlign w:val="bottom"/>
          </w:tcPr>
          <w:p w14:paraId="285A392D" w14:textId="2C72421A"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28503B6E" w14:textId="365EB3BE"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2904BAC3" w14:textId="6A2240C2"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357D8F7A" w14:textId="3F1B5048"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2CF5FD7C" w14:textId="15E3B306"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740A406E" w14:textId="5B57B0FD"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4856B99E" w14:textId="4E2DC282"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421BAD67" w14:textId="4C8BE4F2"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3AD81B70" w14:textId="2DDAEB16"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0FA17B6C" w14:textId="4279764C"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410888A5" w14:textId="48BC0A24"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7F6EF46F" w14:textId="70DDDA52" w:rsidR="00EF55AD" w:rsidRPr="00872D7E" w:rsidRDefault="00EF55AD" w:rsidP="006E16D5">
            <w:pPr>
              <w:jc w:val="right"/>
              <w:rPr>
                <w:color w:val="000000"/>
                <w:sz w:val="16"/>
                <w:szCs w:val="16"/>
              </w:rPr>
            </w:pPr>
            <w:r w:rsidRPr="00872D7E">
              <w:rPr>
                <w:sz w:val="16"/>
                <w:szCs w:val="16"/>
              </w:rPr>
              <w:t>-</w:t>
            </w:r>
          </w:p>
        </w:tc>
      </w:tr>
      <w:tr w:rsidR="00EF55AD" w:rsidRPr="00872D7E" w14:paraId="44B6FD19" w14:textId="77777777" w:rsidTr="006E16D5">
        <w:trPr>
          <w:trHeight w:val="113"/>
        </w:trPr>
        <w:tc>
          <w:tcPr>
            <w:tcW w:w="283" w:type="pct"/>
            <w:noWrap/>
            <w:hideMark/>
          </w:tcPr>
          <w:p w14:paraId="5F1E5B9E" w14:textId="77777777" w:rsidR="00EF55AD" w:rsidRPr="00872D7E" w:rsidRDefault="00EF55AD" w:rsidP="006E16D5">
            <w:pPr>
              <w:rPr>
                <w:sz w:val="16"/>
                <w:szCs w:val="16"/>
              </w:rPr>
            </w:pPr>
            <w:r w:rsidRPr="00872D7E">
              <w:rPr>
                <w:sz w:val="16"/>
                <w:szCs w:val="16"/>
              </w:rPr>
              <w:t>15</w:t>
            </w:r>
          </w:p>
        </w:tc>
        <w:tc>
          <w:tcPr>
            <w:tcW w:w="919" w:type="pct"/>
            <w:vAlign w:val="bottom"/>
            <w:hideMark/>
          </w:tcPr>
          <w:p w14:paraId="2AADB2A3" w14:textId="77777777" w:rsidR="00EF55AD" w:rsidRPr="00872D7E" w:rsidRDefault="00EF55AD" w:rsidP="006E16D5">
            <w:pPr>
              <w:contextualSpacing/>
              <w:rPr>
                <w:sz w:val="16"/>
                <w:szCs w:val="16"/>
              </w:rPr>
            </w:pPr>
            <w:r w:rsidRPr="00872D7E">
              <w:rPr>
                <w:sz w:val="16"/>
                <w:szCs w:val="16"/>
              </w:rPr>
              <w:t>Kolektif yatırım kuruluşu niteliğindeki yatırımlar</w:t>
            </w:r>
          </w:p>
        </w:tc>
        <w:tc>
          <w:tcPr>
            <w:tcW w:w="315" w:type="pct"/>
            <w:tcBorders>
              <w:top w:val="nil"/>
              <w:left w:val="nil"/>
              <w:bottom w:val="nil"/>
              <w:right w:val="nil"/>
            </w:tcBorders>
            <w:shd w:val="clear" w:color="auto" w:fill="auto"/>
            <w:noWrap/>
            <w:vAlign w:val="bottom"/>
          </w:tcPr>
          <w:p w14:paraId="64AAE2D1" w14:textId="0A0D746D"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0ACC5055" w14:textId="41383E28"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5B328FA4" w14:textId="25B56617"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3DBD5A59" w14:textId="3B1A46DD"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243FE505" w14:textId="7A1D6333"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4241BEBE" w14:textId="54739057"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6F3F5543" w14:textId="70753A56"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6BB6EE2A" w14:textId="5C4BE230"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63DBA0CA" w14:textId="66312978"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7BB455FF" w14:textId="0710DF3A"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50541810" w14:textId="2D506680"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452C048A" w14:textId="0078F959" w:rsidR="00EF55AD" w:rsidRPr="00872D7E" w:rsidRDefault="00EF55AD" w:rsidP="006E16D5">
            <w:pPr>
              <w:jc w:val="right"/>
              <w:rPr>
                <w:color w:val="000000"/>
                <w:sz w:val="16"/>
                <w:szCs w:val="16"/>
              </w:rPr>
            </w:pPr>
            <w:r w:rsidRPr="00872D7E">
              <w:rPr>
                <w:sz w:val="16"/>
                <w:szCs w:val="16"/>
              </w:rPr>
              <w:t>-</w:t>
            </w:r>
          </w:p>
        </w:tc>
      </w:tr>
      <w:tr w:rsidR="00EF55AD" w:rsidRPr="00872D7E" w14:paraId="6D612D35" w14:textId="77777777" w:rsidTr="006E16D5">
        <w:trPr>
          <w:trHeight w:val="113"/>
        </w:trPr>
        <w:tc>
          <w:tcPr>
            <w:tcW w:w="283" w:type="pct"/>
            <w:noWrap/>
            <w:hideMark/>
          </w:tcPr>
          <w:p w14:paraId="3B186F31" w14:textId="77777777" w:rsidR="00EF55AD" w:rsidRPr="00872D7E" w:rsidRDefault="00EF55AD" w:rsidP="006E16D5">
            <w:pPr>
              <w:rPr>
                <w:sz w:val="16"/>
                <w:szCs w:val="16"/>
              </w:rPr>
            </w:pPr>
            <w:r w:rsidRPr="00872D7E">
              <w:rPr>
                <w:sz w:val="16"/>
                <w:szCs w:val="16"/>
              </w:rPr>
              <w:t>16</w:t>
            </w:r>
          </w:p>
        </w:tc>
        <w:tc>
          <w:tcPr>
            <w:tcW w:w="919" w:type="pct"/>
            <w:vAlign w:val="bottom"/>
            <w:hideMark/>
          </w:tcPr>
          <w:p w14:paraId="336E6CBD" w14:textId="77777777" w:rsidR="00EF55AD" w:rsidRPr="00872D7E" w:rsidRDefault="00EF55AD" w:rsidP="006E16D5">
            <w:pPr>
              <w:contextualSpacing/>
              <w:rPr>
                <w:sz w:val="16"/>
                <w:szCs w:val="16"/>
              </w:rPr>
            </w:pPr>
            <w:r w:rsidRPr="00872D7E">
              <w:rPr>
                <w:sz w:val="16"/>
                <w:szCs w:val="16"/>
              </w:rPr>
              <w:t>Diğer alacaklar</w:t>
            </w:r>
          </w:p>
        </w:tc>
        <w:tc>
          <w:tcPr>
            <w:tcW w:w="315" w:type="pct"/>
            <w:tcBorders>
              <w:top w:val="nil"/>
              <w:left w:val="nil"/>
              <w:bottom w:val="nil"/>
              <w:right w:val="nil"/>
            </w:tcBorders>
            <w:shd w:val="clear" w:color="auto" w:fill="auto"/>
            <w:noWrap/>
            <w:vAlign w:val="bottom"/>
          </w:tcPr>
          <w:p w14:paraId="2E4E6282" w14:textId="3C026B54"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shd w:val="clear" w:color="auto" w:fill="auto"/>
            <w:noWrap/>
            <w:vAlign w:val="bottom"/>
          </w:tcPr>
          <w:p w14:paraId="1025D285" w14:textId="43DC3E7F"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nil"/>
              <w:right w:val="nil"/>
            </w:tcBorders>
            <w:shd w:val="clear" w:color="auto" w:fill="auto"/>
            <w:noWrap/>
            <w:vAlign w:val="bottom"/>
          </w:tcPr>
          <w:p w14:paraId="160A0220" w14:textId="7356704A"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nil"/>
              <w:right w:val="nil"/>
            </w:tcBorders>
            <w:vAlign w:val="bottom"/>
          </w:tcPr>
          <w:p w14:paraId="190035E2" w14:textId="561EC523"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nil"/>
              <w:right w:val="nil"/>
            </w:tcBorders>
            <w:shd w:val="clear" w:color="auto" w:fill="auto"/>
            <w:vAlign w:val="bottom"/>
          </w:tcPr>
          <w:p w14:paraId="381FD1AE" w14:textId="757DAC19"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nil"/>
              <w:right w:val="nil"/>
            </w:tcBorders>
            <w:shd w:val="clear" w:color="auto" w:fill="auto"/>
            <w:noWrap/>
            <w:vAlign w:val="bottom"/>
          </w:tcPr>
          <w:p w14:paraId="37BBCAFD" w14:textId="714039DC"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nil"/>
              <w:right w:val="nil"/>
            </w:tcBorders>
            <w:shd w:val="clear" w:color="auto" w:fill="auto"/>
            <w:noWrap/>
            <w:vAlign w:val="bottom"/>
          </w:tcPr>
          <w:p w14:paraId="3A673064" w14:textId="47F893A6"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nil"/>
              <w:right w:val="nil"/>
            </w:tcBorders>
            <w:shd w:val="clear" w:color="auto" w:fill="auto"/>
            <w:noWrap/>
            <w:vAlign w:val="bottom"/>
          </w:tcPr>
          <w:p w14:paraId="23B8360F" w14:textId="26452258"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nil"/>
              <w:right w:val="nil"/>
            </w:tcBorders>
            <w:shd w:val="clear" w:color="auto" w:fill="auto"/>
            <w:noWrap/>
            <w:vAlign w:val="bottom"/>
          </w:tcPr>
          <w:p w14:paraId="6CFEAD18" w14:textId="4543580B"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nil"/>
              <w:right w:val="nil"/>
            </w:tcBorders>
            <w:shd w:val="clear" w:color="auto" w:fill="auto"/>
            <w:noWrap/>
            <w:vAlign w:val="bottom"/>
          </w:tcPr>
          <w:p w14:paraId="01437526" w14:textId="4395822D"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nil"/>
              <w:right w:val="nil"/>
            </w:tcBorders>
            <w:shd w:val="clear" w:color="auto" w:fill="auto"/>
            <w:noWrap/>
            <w:vAlign w:val="bottom"/>
          </w:tcPr>
          <w:p w14:paraId="13F1D700" w14:textId="59AFCC91"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nil"/>
              <w:right w:val="nil"/>
            </w:tcBorders>
            <w:shd w:val="clear" w:color="auto" w:fill="auto"/>
            <w:noWrap/>
            <w:vAlign w:val="bottom"/>
          </w:tcPr>
          <w:p w14:paraId="3FD1C436" w14:textId="4847B6CF" w:rsidR="00EF55AD" w:rsidRPr="00872D7E" w:rsidRDefault="00EF55AD" w:rsidP="006E16D5">
            <w:pPr>
              <w:jc w:val="right"/>
              <w:rPr>
                <w:color w:val="000000"/>
                <w:sz w:val="16"/>
                <w:szCs w:val="16"/>
              </w:rPr>
            </w:pPr>
            <w:r w:rsidRPr="00872D7E">
              <w:rPr>
                <w:sz w:val="16"/>
                <w:szCs w:val="16"/>
              </w:rPr>
              <w:t>-</w:t>
            </w:r>
          </w:p>
        </w:tc>
      </w:tr>
      <w:tr w:rsidR="00EF55AD" w:rsidRPr="00872D7E" w14:paraId="23337325" w14:textId="77777777" w:rsidTr="006E16D5">
        <w:trPr>
          <w:trHeight w:val="113"/>
        </w:trPr>
        <w:tc>
          <w:tcPr>
            <w:tcW w:w="283" w:type="pct"/>
            <w:tcBorders>
              <w:bottom w:val="single" w:sz="4" w:space="0" w:color="auto"/>
            </w:tcBorders>
            <w:noWrap/>
            <w:hideMark/>
          </w:tcPr>
          <w:p w14:paraId="44104DD4" w14:textId="77777777" w:rsidR="00EF55AD" w:rsidRPr="00872D7E" w:rsidRDefault="00EF55AD" w:rsidP="006E16D5">
            <w:pPr>
              <w:rPr>
                <w:sz w:val="16"/>
                <w:szCs w:val="16"/>
              </w:rPr>
            </w:pPr>
            <w:r w:rsidRPr="00872D7E">
              <w:rPr>
                <w:sz w:val="16"/>
                <w:szCs w:val="16"/>
              </w:rPr>
              <w:t>17</w:t>
            </w:r>
          </w:p>
        </w:tc>
        <w:tc>
          <w:tcPr>
            <w:tcW w:w="919" w:type="pct"/>
            <w:tcBorders>
              <w:bottom w:val="single" w:sz="4" w:space="0" w:color="auto"/>
            </w:tcBorders>
            <w:vAlign w:val="bottom"/>
            <w:hideMark/>
          </w:tcPr>
          <w:p w14:paraId="4086965B" w14:textId="77777777" w:rsidR="00EF55AD" w:rsidRPr="00872D7E" w:rsidRDefault="00EF55AD" w:rsidP="006E16D5">
            <w:pPr>
              <w:contextualSpacing/>
              <w:rPr>
                <w:sz w:val="16"/>
                <w:szCs w:val="16"/>
              </w:rPr>
            </w:pPr>
            <w:r w:rsidRPr="00872D7E">
              <w:rPr>
                <w:sz w:val="16"/>
                <w:szCs w:val="16"/>
              </w:rPr>
              <w:t>Hisse senedi yatırımları</w:t>
            </w:r>
          </w:p>
        </w:tc>
        <w:tc>
          <w:tcPr>
            <w:tcW w:w="315" w:type="pct"/>
            <w:tcBorders>
              <w:top w:val="nil"/>
              <w:left w:val="nil"/>
              <w:bottom w:val="single" w:sz="4" w:space="0" w:color="auto"/>
              <w:right w:val="nil"/>
            </w:tcBorders>
            <w:shd w:val="clear" w:color="auto" w:fill="auto"/>
            <w:noWrap/>
            <w:vAlign w:val="bottom"/>
          </w:tcPr>
          <w:p w14:paraId="064300D2" w14:textId="023CFEC4"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single" w:sz="4" w:space="0" w:color="auto"/>
              <w:right w:val="nil"/>
            </w:tcBorders>
            <w:shd w:val="clear" w:color="auto" w:fill="auto"/>
            <w:noWrap/>
            <w:vAlign w:val="bottom"/>
          </w:tcPr>
          <w:p w14:paraId="53833102" w14:textId="79065754" w:rsidR="00EF55AD" w:rsidRPr="00872D7E" w:rsidRDefault="00EF55AD" w:rsidP="006E16D5">
            <w:pPr>
              <w:jc w:val="right"/>
              <w:rPr>
                <w:color w:val="000000"/>
                <w:sz w:val="16"/>
                <w:szCs w:val="16"/>
              </w:rPr>
            </w:pPr>
            <w:r w:rsidRPr="00872D7E">
              <w:rPr>
                <w:sz w:val="16"/>
                <w:szCs w:val="16"/>
              </w:rPr>
              <w:t>-</w:t>
            </w:r>
          </w:p>
        </w:tc>
        <w:tc>
          <w:tcPr>
            <w:tcW w:w="307" w:type="pct"/>
            <w:tcBorders>
              <w:top w:val="nil"/>
              <w:left w:val="nil"/>
              <w:bottom w:val="single" w:sz="4" w:space="0" w:color="auto"/>
              <w:right w:val="nil"/>
            </w:tcBorders>
            <w:shd w:val="clear" w:color="auto" w:fill="auto"/>
            <w:noWrap/>
            <w:vAlign w:val="bottom"/>
          </w:tcPr>
          <w:p w14:paraId="6AFC06D2" w14:textId="03511F38" w:rsidR="00EF55AD" w:rsidRPr="00872D7E" w:rsidRDefault="00EF55AD" w:rsidP="006E16D5">
            <w:pPr>
              <w:jc w:val="right"/>
              <w:rPr>
                <w:color w:val="000000"/>
                <w:sz w:val="16"/>
                <w:szCs w:val="16"/>
              </w:rPr>
            </w:pPr>
            <w:r w:rsidRPr="00872D7E">
              <w:rPr>
                <w:sz w:val="16"/>
                <w:szCs w:val="16"/>
              </w:rPr>
              <w:t>-</w:t>
            </w:r>
          </w:p>
        </w:tc>
        <w:tc>
          <w:tcPr>
            <w:tcW w:w="184" w:type="pct"/>
            <w:tcBorders>
              <w:top w:val="nil"/>
              <w:left w:val="nil"/>
              <w:bottom w:val="single" w:sz="4" w:space="0" w:color="auto"/>
              <w:right w:val="nil"/>
            </w:tcBorders>
            <w:vAlign w:val="bottom"/>
          </w:tcPr>
          <w:p w14:paraId="619E921C" w14:textId="5A274889" w:rsidR="00EF55AD" w:rsidRPr="00872D7E" w:rsidRDefault="00EF55AD" w:rsidP="006E16D5">
            <w:pPr>
              <w:jc w:val="right"/>
              <w:rPr>
                <w:color w:val="000000"/>
                <w:sz w:val="16"/>
                <w:szCs w:val="16"/>
              </w:rPr>
            </w:pPr>
            <w:r w:rsidRPr="00872D7E">
              <w:rPr>
                <w:sz w:val="16"/>
                <w:szCs w:val="16"/>
              </w:rPr>
              <w:t>-</w:t>
            </w:r>
          </w:p>
        </w:tc>
        <w:tc>
          <w:tcPr>
            <w:tcW w:w="571" w:type="pct"/>
            <w:tcBorders>
              <w:top w:val="nil"/>
              <w:left w:val="nil"/>
              <w:bottom w:val="single" w:sz="4" w:space="0" w:color="auto"/>
              <w:right w:val="nil"/>
            </w:tcBorders>
            <w:shd w:val="clear" w:color="auto" w:fill="auto"/>
            <w:vAlign w:val="bottom"/>
          </w:tcPr>
          <w:p w14:paraId="1B5824B3" w14:textId="30169B85" w:rsidR="00EF55AD" w:rsidRPr="00872D7E" w:rsidRDefault="00EF55AD" w:rsidP="006E16D5">
            <w:pPr>
              <w:jc w:val="right"/>
              <w:rPr>
                <w:color w:val="000000"/>
                <w:sz w:val="16"/>
                <w:szCs w:val="16"/>
              </w:rPr>
            </w:pPr>
            <w:r w:rsidRPr="00872D7E">
              <w:rPr>
                <w:sz w:val="16"/>
                <w:szCs w:val="16"/>
              </w:rPr>
              <w:t>-</w:t>
            </w:r>
          </w:p>
        </w:tc>
        <w:tc>
          <w:tcPr>
            <w:tcW w:w="338" w:type="pct"/>
            <w:tcBorders>
              <w:top w:val="nil"/>
              <w:left w:val="nil"/>
              <w:bottom w:val="single" w:sz="4" w:space="0" w:color="auto"/>
              <w:right w:val="nil"/>
            </w:tcBorders>
            <w:shd w:val="clear" w:color="auto" w:fill="auto"/>
            <w:noWrap/>
            <w:vAlign w:val="bottom"/>
          </w:tcPr>
          <w:p w14:paraId="1F84A96B" w14:textId="6E590F6F" w:rsidR="00EF55AD" w:rsidRPr="00872D7E" w:rsidRDefault="00EF55AD" w:rsidP="006E16D5">
            <w:pPr>
              <w:jc w:val="right"/>
              <w:rPr>
                <w:color w:val="000000"/>
                <w:sz w:val="16"/>
                <w:szCs w:val="16"/>
              </w:rPr>
            </w:pPr>
            <w:r w:rsidRPr="00872D7E">
              <w:rPr>
                <w:sz w:val="16"/>
                <w:szCs w:val="16"/>
              </w:rPr>
              <w:t>-</w:t>
            </w:r>
          </w:p>
        </w:tc>
        <w:tc>
          <w:tcPr>
            <w:tcW w:w="355" w:type="pct"/>
            <w:tcBorders>
              <w:top w:val="nil"/>
              <w:left w:val="nil"/>
              <w:bottom w:val="single" w:sz="4" w:space="0" w:color="auto"/>
              <w:right w:val="nil"/>
            </w:tcBorders>
            <w:shd w:val="clear" w:color="auto" w:fill="auto"/>
            <w:noWrap/>
            <w:vAlign w:val="bottom"/>
          </w:tcPr>
          <w:p w14:paraId="3F641ECD" w14:textId="69B21885" w:rsidR="00EF55AD" w:rsidRPr="00872D7E" w:rsidRDefault="00EF55AD" w:rsidP="006E16D5">
            <w:pPr>
              <w:jc w:val="right"/>
              <w:rPr>
                <w:color w:val="000000"/>
                <w:sz w:val="16"/>
                <w:szCs w:val="16"/>
              </w:rPr>
            </w:pPr>
            <w:r w:rsidRPr="00872D7E">
              <w:rPr>
                <w:sz w:val="16"/>
                <w:szCs w:val="16"/>
              </w:rPr>
              <w:t>-</w:t>
            </w:r>
          </w:p>
        </w:tc>
        <w:tc>
          <w:tcPr>
            <w:tcW w:w="339" w:type="pct"/>
            <w:tcBorders>
              <w:top w:val="nil"/>
              <w:left w:val="nil"/>
              <w:bottom w:val="single" w:sz="4" w:space="0" w:color="auto"/>
              <w:right w:val="nil"/>
            </w:tcBorders>
            <w:shd w:val="clear" w:color="auto" w:fill="auto"/>
            <w:noWrap/>
            <w:vAlign w:val="bottom"/>
          </w:tcPr>
          <w:p w14:paraId="7EFE6966" w14:textId="7063A89D" w:rsidR="00EF55AD" w:rsidRPr="00872D7E" w:rsidRDefault="00EF55AD" w:rsidP="006E16D5">
            <w:pPr>
              <w:jc w:val="right"/>
              <w:rPr>
                <w:color w:val="000000"/>
                <w:sz w:val="16"/>
                <w:szCs w:val="16"/>
              </w:rPr>
            </w:pPr>
            <w:r w:rsidRPr="00872D7E">
              <w:rPr>
                <w:sz w:val="16"/>
                <w:szCs w:val="16"/>
              </w:rPr>
              <w:t>-</w:t>
            </w:r>
          </w:p>
        </w:tc>
        <w:tc>
          <w:tcPr>
            <w:tcW w:w="257" w:type="pct"/>
            <w:tcBorders>
              <w:top w:val="nil"/>
              <w:left w:val="nil"/>
              <w:bottom w:val="single" w:sz="4" w:space="0" w:color="auto"/>
              <w:right w:val="nil"/>
            </w:tcBorders>
            <w:shd w:val="clear" w:color="auto" w:fill="auto"/>
            <w:noWrap/>
            <w:vAlign w:val="bottom"/>
          </w:tcPr>
          <w:p w14:paraId="011E6079" w14:textId="3A488A5E" w:rsidR="00EF55AD" w:rsidRPr="00872D7E" w:rsidRDefault="00EF55AD" w:rsidP="006E16D5">
            <w:pPr>
              <w:jc w:val="right"/>
              <w:rPr>
                <w:color w:val="000000"/>
                <w:sz w:val="16"/>
                <w:szCs w:val="16"/>
              </w:rPr>
            </w:pPr>
            <w:r w:rsidRPr="00872D7E">
              <w:rPr>
                <w:sz w:val="16"/>
                <w:szCs w:val="16"/>
              </w:rPr>
              <w:t>-</w:t>
            </w:r>
          </w:p>
        </w:tc>
        <w:tc>
          <w:tcPr>
            <w:tcW w:w="211" w:type="pct"/>
            <w:tcBorders>
              <w:top w:val="nil"/>
              <w:left w:val="nil"/>
              <w:bottom w:val="single" w:sz="4" w:space="0" w:color="auto"/>
              <w:right w:val="nil"/>
            </w:tcBorders>
            <w:shd w:val="clear" w:color="auto" w:fill="auto"/>
            <w:noWrap/>
            <w:vAlign w:val="bottom"/>
          </w:tcPr>
          <w:p w14:paraId="0567C386" w14:textId="0BF11164" w:rsidR="00EF55AD" w:rsidRPr="00872D7E" w:rsidRDefault="00EF55AD" w:rsidP="006E16D5">
            <w:pPr>
              <w:jc w:val="right"/>
              <w:rPr>
                <w:color w:val="000000"/>
                <w:sz w:val="16"/>
                <w:szCs w:val="16"/>
              </w:rPr>
            </w:pPr>
            <w:r w:rsidRPr="00872D7E">
              <w:rPr>
                <w:sz w:val="16"/>
                <w:szCs w:val="16"/>
              </w:rPr>
              <w:t>-</w:t>
            </w:r>
          </w:p>
        </w:tc>
        <w:tc>
          <w:tcPr>
            <w:tcW w:w="325" w:type="pct"/>
            <w:tcBorders>
              <w:top w:val="nil"/>
              <w:left w:val="nil"/>
              <w:bottom w:val="single" w:sz="4" w:space="0" w:color="auto"/>
              <w:right w:val="nil"/>
            </w:tcBorders>
            <w:shd w:val="clear" w:color="auto" w:fill="auto"/>
            <w:noWrap/>
            <w:vAlign w:val="bottom"/>
          </w:tcPr>
          <w:p w14:paraId="78C49CAE" w14:textId="3A34E99E" w:rsidR="00EF55AD" w:rsidRPr="00872D7E" w:rsidRDefault="00EF55AD" w:rsidP="006E16D5">
            <w:pPr>
              <w:jc w:val="right"/>
              <w:rPr>
                <w:color w:val="000000"/>
                <w:sz w:val="16"/>
                <w:szCs w:val="16"/>
              </w:rPr>
            </w:pPr>
            <w:r w:rsidRPr="00872D7E">
              <w:rPr>
                <w:sz w:val="16"/>
                <w:szCs w:val="16"/>
              </w:rPr>
              <w:t>-</w:t>
            </w:r>
          </w:p>
        </w:tc>
        <w:tc>
          <w:tcPr>
            <w:tcW w:w="411" w:type="pct"/>
            <w:tcBorders>
              <w:top w:val="nil"/>
              <w:left w:val="nil"/>
              <w:bottom w:val="single" w:sz="4" w:space="0" w:color="auto"/>
              <w:right w:val="nil"/>
            </w:tcBorders>
            <w:shd w:val="clear" w:color="auto" w:fill="auto"/>
            <w:noWrap/>
            <w:vAlign w:val="bottom"/>
          </w:tcPr>
          <w:p w14:paraId="29BBC2F8" w14:textId="1AF32665" w:rsidR="00EF55AD" w:rsidRPr="00872D7E" w:rsidRDefault="00EF55AD" w:rsidP="006E16D5">
            <w:pPr>
              <w:jc w:val="right"/>
              <w:rPr>
                <w:color w:val="000000"/>
                <w:sz w:val="16"/>
                <w:szCs w:val="16"/>
              </w:rPr>
            </w:pPr>
            <w:r w:rsidRPr="00872D7E">
              <w:rPr>
                <w:sz w:val="16"/>
                <w:szCs w:val="16"/>
              </w:rPr>
              <w:t>-</w:t>
            </w:r>
          </w:p>
        </w:tc>
      </w:tr>
      <w:tr w:rsidR="00EF55AD" w:rsidRPr="00872D7E" w14:paraId="150C4CAD" w14:textId="77777777" w:rsidTr="006E16D5">
        <w:trPr>
          <w:trHeight w:val="113"/>
        </w:trPr>
        <w:tc>
          <w:tcPr>
            <w:tcW w:w="283" w:type="pct"/>
            <w:tcBorders>
              <w:top w:val="single" w:sz="4" w:space="0" w:color="auto"/>
              <w:bottom w:val="single" w:sz="12" w:space="0" w:color="auto"/>
            </w:tcBorders>
            <w:noWrap/>
            <w:hideMark/>
          </w:tcPr>
          <w:p w14:paraId="07D51E1F" w14:textId="77777777" w:rsidR="00EF55AD" w:rsidRPr="00872D7E" w:rsidRDefault="00EF55AD" w:rsidP="006E16D5">
            <w:pPr>
              <w:rPr>
                <w:b/>
                <w:sz w:val="16"/>
                <w:szCs w:val="16"/>
              </w:rPr>
            </w:pPr>
            <w:r w:rsidRPr="00872D7E">
              <w:rPr>
                <w:b/>
                <w:sz w:val="16"/>
                <w:szCs w:val="16"/>
              </w:rPr>
              <w:t>18</w:t>
            </w:r>
          </w:p>
        </w:tc>
        <w:tc>
          <w:tcPr>
            <w:tcW w:w="919" w:type="pct"/>
            <w:tcBorders>
              <w:top w:val="single" w:sz="4" w:space="0" w:color="auto"/>
              <w:bottom w:val="single" w:sz="12" w:space="0" w:color="auto"/>
            </w:tcBorders>
            <w:vAlign w:val="bottom"/>
            <w:hideMark/>
          </w:tcPr>
          <w:p w14:paraId="15F15046" w14:textId="77777777" w:rsidR="00EF55AD" w:rsidRPr="00872D7E" w:rsidRDefault="00EF55AD" w:rsidP="006E16D5">
            <w:pPr>
              <w:contextualSpacing/>
              <w:rPr>
                <w:b/>
                <w:sz w:val="16"/>
                <w:szCs w:val="16"/>
              </w:rPr>
            </w:pPr>
            <w:r w:rsidRPr="00872D7E">
              <w:rPr>
                <w:b/>
                <w:sz w:val="16"/>
                <w:szCs w:val="16"/>
              </w:rPr>
              <w:t>Toplam</w:t>
            </w:r>
          </w:p>
        </w:tc>
        <w:tc>
          <w:tcPr>
            <w:tcW w:w="315" w:type="pct"/>
            <w:tcBorders>
              <w:top w:val="single" w:sz="4" w:space="0" w:color="auto"/>
              <w:left w:val="nil"/>
              <w:bottom w:val="single" w:sz="12" w:space="0" w:color="auto"/>
              <w:right w:val="nil"/>
            </w:tcBorders>
            <w:shd w:val="clear" w:color="auto" w:fill="auto"/>
            <w:noWrap/>
            <w:vAlign w:val="bottom"/>
          </w:tcPr>
          <w:p w14:paraId="65A14C11" w14:textId="7D14BBEA" w:rsidR="00EF55AD" w:rsidRPr="00872D7E" w:rsidRDefault="00EF55AD" w:rsidP="006E16D5">
            <w:pPr>
              <w:jc w:val="right"/>
              <w:rPr>
                <w:b/>
                <w:bCs/>
                <w:color w:val="000000"/>
                <w:sz w:val="16"/>
                <w:szCs w:val="16"/>
              </w:rPr>
            </w:pPr>
            <w:r w:rsidRPr="00872D7E">
              <w:rPr>
                <w:b/>
                <w:bCs/>
                <w:sz w:val="16"/>
                <w:szCs w:val="16"/>
              </w:rPr>
              <w:t>9.383</w:t>
            </w:r>
          </w:p>
        </w:tc>
        <w:tc>
          <w:tcPr>
            <w:tcW w:w="184" w:type="pct"/>
            <w:tcBorders>
              <w:top w:val="single" w:sz="4" w:space="0" w:color="auto"/>
              <w:left w:val="nil"/>
              <w:bottom w:val="single" w:sz="12" w:space="0" w:color="auto"/>
              <w:right w:val="nil"/>
            </w:tcBorders>
            <w:shd w:val="clear" w:color="auto" w:fill="auto"/>
            <w:noWrap/>
            <w:vAlign w:val="bottom"/>
          </w:tcPr>
          <w:p w14:paraId="77F022AE" w14:textId="1F7A0E4D" w:rsidR="00EF55AD" w:rsidRPr="00872D7E" w:rsidRDefault="00EF55AD" w:rsidP="006E16D5">
            <w:pPr>
              <w:jc w:val="right"/>
              <w:rPr>
                <w:b/>
                <w:bCs/>
                <w:color w:val="000000"/>
                <w:sz w:val="16"/>
                <w:szCs w:val="16"/>
              </w:rPr>
            </w:pPr>
            <w:r w:rsidRPr="00872D7E">
              <w:rPr>
                <w:b/>
                <w:bCs/>
                <w:sz w:val="16"/>
                <w:szCs w:val="16"/>
              </w:rPr>
              <w:t>-</w:t>
            </w:r>
          </w:p>
        </w:tc>
        <w:tc>
          <w:tcPr>
            <w:tcW w:w="307" w:type="pct"/>
            <w:tcBorders>
              <w:top w:val="single" w:sz="4" w:space="0" w:color="auto"/>
              <w:left w:val="nil"/>
              <w:bottom w:val="single" w:sz="12" w:space="0" w:color="auto"/>
              <w:right w:val="nil"/>
            </w:tcBorders>
            <w:shd w:val="clear" w:color="auto" w:fill="auto"/>
            <w:noWrap/>
            <w:vAlign w:val="bottom"/>
          </w:tcPr>
          <w:p w14:paraId="526F6CBD" w14:textId="2883510D" w:rsidR="00EF55AD" w:rsidRPr="00872D7E" w:rsidRDefault="00EF55AD" w:rsidP="006E16D5">
            <w:pPr>
              <w:jc w:val="right"/>
              <w:rPr>
                <w:b/>
                <w:bCs/>
                <w:color w:val="000000"/>
                <w:sz w:val="16"/>
                <w:szCs w:val="16"/>
              </w:rPr>
            </w:pPr>
            <w:r w:rsidRPr="00872D7E">
              <w:rPr>
                <w:b/>
                <w:bCs/>
                <w:sz w:val="16"/>
                <w:szCs w:val="16"/>
              </w:rPr>
              <w:t>552.875</w:t>
            </w:r>
          </w:p>
        </w:tc>
        <w:tc>
          <w:tcPr>
            <w:tcW w:w="184" w:type="pct"/>
            <w:tcBorders>
              <w:top w:val="single" w:sz="4" w:space="0" w:color="auto"/>
              <w:left w:val="nil"/>
              <w:bottom w:val="single" w:sz="12" w:space="0" w:color="auto"/>
              <w:right w:val="nil"/>
            </w:tcBorders>
            <w:vAlign w:val="bottom"/>
          </w:tcPr>
          <w:p w14:paraId="17AB6E7F" w14:textId="50C93896" w:rsidR="00EF55AD" w:rsidRPr="00872D7E" w:rsidRDefault="00EF55AD" w:rsidP="006E16D5">
            <w:pPr>
              <w:jc w:val="right"/>
              <w:rPr>
                <w:b/>
                <w:bCs/>
                <w:color w:val="000000"/>
                <w:sz w:val="16"/>
                <w:szCs w:val="16"/>
              </w:rPr>
            </w:pPr>
            <w:r w:rsidRPr="00872D7E">
              <w:rPr>
                <w:b/>
                <w:bCs/>
                <w:sz w:val="16"/>
                <w:szCs w:val="16"/>
              </w:rPr>
              <w:t>-</w:t>
            </w:r>
          </w:p>
        </w:tc>
        <w:tc>
          <w:tcPr>
            <w:tcW w:w="571" w:type="pct"/>
            <w:tcBorders>
              <w:top w:val="single" w:sz="4" w:space="0" w:color="auto"/>
              <w:left w:val="nil"/>
              <w:bottom w:val="single" w:sz="12" w:space="0" w:color="auto"/>
              <w:right w:val="nil"/>
            </w:tcBorders>
            <w:shd w:val="clear" w:color="auto" w:fill="auto"/>
            <w:vAlign w:val="bottom"/>
          </w:tcPr>
          <w:p w14:paraId="26BABDD4" w14:textId="528CBCAA" w:rsidR="00EF55AD" w:rsidRPr="00872D7E" w:rsidRDefault="00EF55AD" w:rsidP="006E16D5">
            <w:pPr>
              <w:jc w:val="right"/>
              <w:rPr>
                <w:b/>
                <w:bCs/>
                <w:color w:val="000000"/>
                <w:sz w:val="16"/>
                <w:szCs w:val="16"/>
              </w:rPr>
            </w:pPr>
            <w:r w:rsidRPr="00872D7E">
              <w:rPr>
                <w:b/>
                <w:bCs/>
                <w:sz w:val="16"/>
                <w:szCs w:val="16"/>
              </w:rPr>
              <w:t>-</w:t>
            </w:r>
          </w:p>
        </w:tc>
        <w:tc>
          <w:tcPr>
            <w:tcW w:w="338" w:type="pct"/>
            <w:tcBorders>
              <w:top w:val="single" w:sz="4" w:space="0" w:color="auto"/>
              <w:left w:val="nil"/>
              <w:bottom w:val="single" w:sz="12" w:space="0" w:color="auto"/>
              <w:right w:val="nil"/>
            </w:tcBorders>
            <w:shd w:val="clear" w:color="auto" w:fill="auto"/>
            <w:noWrap/>
            <w:vAlign w:val="bottom"/>
          </w:tcPr>
          <w:p w14:paraId="651130A0" w14:textId="7C2EAE5B" w:rsidR="00EF55AD" w:rsidRPr="00872D7E" w:rsidRDefault="00EF55AD" w:rsidP="006E16D5">
            <w:pPr>
              <w:jc w:val="right"/>
              <w:rPr>
                <w:b/>
                <w:bCs/>
                <w:color w:val="000000"/>
                <w:sz w:val="16"/>
                <w:szCs w:val="16"/>
              </w:rPr>
            </w:pPr>
            <w:r w:rsidRPr="00872D7E">
              <w:rPr>
                <w:b/>
                <w:bCs/>
                <w:sz w:val="16"/>
                <w:szCs w:val="16"/>
              </w:rPr>
              <w:t>-</w:t>
            </w:r>
          </w:p>
        </w:tc>
        <w:tc>
          <w:tcPr>
            <w:tcW w:w="355" w:type="pct"/>
            <w:tcBorders>
              <w:top w:val="single" w:sz="4" w:space="0" w:color="auto"/>
              <w:left w:val="nil"/>
              <w:bottom w:val="single" w:sz="12" w:space="0" w:color="auto"/>
              <w:right w:val="nil"/>
            </w:tcBorders>
            <w:shd w:val="clear" w:color="auto" w:fill="auto"/>
            <w:noWrap/>
            <w:vAlign w:val="bottom"/>
          </w:tcPr>
          <w:p w14:paraId="5F835652" w14:textId="25E3C8C7" w:rsidR="00EF55AD" w:rsidRPr="00872D7E" w:rsidRDefault="00EF55AD" w:rsidP="006E16D5">
            <w:pPr>
              <w:jc w:val="right"/>
              <w:rPr>
                <w:b/>
                <w:bCs/>
                <w:color w:val="000000"/>
                <w:sz w:val="16"/>
                <w:szCs w:val="16"/>
              </w:rPr>
            </w:pPr>
            <w:r w:rsidRPr="00872D7E">
              <w:rPr>
                <w:b/>
                <w:bCs/>
                <w:sz w:val="16"/>
                <w:szCs w:val="16"/>
              </w:rPr>
              <w:t>-</w:t>
            </w:r>
          </w:p>
        </w:tc>
        <w:tc>
          <w:tcPr>
            <w:tcW w:w="339" w:type="pct"/>
            <w:tcBorders>
              <w:top w:val="single" w:sz="4" w:space="0" w:color="auto"/>
              <w:left w:val="nil"/>
              <w:bottom w:val="single" w:sz="12" w:space="0" w:color="auto"/>
              <w:right w:val="nil"/>
            </w:tcBorders>
            <w:shd w:val="clear" w:color="auto" w:fill="auto"/>
            <w:noWrap/>
            <w:vAlign w:val="bottom"/>
          </w:tcPr>
          <w:p w14:paraId="4C936CB8" w14:textId="2E9A4D8A" w:rsidR="00EF55AD" w:rsidRPr="00872D7E" w:rsidRDefault="00EF55AD" w:rsidP="006E16D5">
            <w:pPr>
              <w:jc w:val="right"/>
              <w:rPr>
                <w:b/>
                <w:bCs/>
                <w:color w:val="000000"/>
                <w:sz w:val="16"/>
                <w:szCs w:val="16"/>
              </w:rPr>
            </w:pPr>
            <w:r w:rsidRPr="00872D7E">
              <w:rPr>
                <w:b/>
                <w:bCs/>
                <w:sz w:val="16"/>
                <w:szCs w:val="16"/>
              </w:rPr>
              <w:t>87.593</w:t>
            </w:r>
          </w:p>
        </w:tc>
        <w:tc>
          <w:tcPr>
            <w:tcW w:w="257" w:type="pct"/>
            <w:tcBorders>
              <w:top w:val="single" w:sz="4" w:space="0" w:color="auto"/>
              <w:left w:val="nil"/>
              <w:bottom w:val="single" w:sz="12" w:space="0" w:color="auto"/>
              <w:right w:val="nil"/>
            </w:tcBorders>
            <w:shd w:val="clear" w:color="auto" w:fill="auto"/>
            <w:noWrap/>
            <w:vAlign w:val="bottom"/>
          </w:tcPr>
          <w:p w14:paraId="4EBE9C05" w14:textId="709D7967" w:rsidR="00EF55AD" w:rsidRPr="00872D7E" w:rsidRDefault="00EF55AD" w:rsidP="006E16D5">
            <w:pPr>
              <w:jc w:val="right"/>
              <w:rPr>
                <w:b/>
                <w:bCs/>
                <w:color w:val="000000"/>
                <w:sz w:val="16"/>
                <w:szCs w:val="16"/>
              </w:rPr>
            </w:pPr>
            <w:r w:rsidRPr="00872D7E">
              <w:rPr>
                <w:b/>
                <w:bCs/>
                <w:sz w:val="16"/>
                <w:szCs w:val="16"/>
              </w:rPr>
              <w:t>-</w:t>
            </w:r>
          </w:p>
        </w:tc>
        <w:tc>
          <w:tcPr>
            <w:tcW w:w="211" w:type="pct"/>
            <w:tcBorders>
              <w:top w:val="single" w:sz="4" w:space="0" w:color="auto"/>
              <w:left w:val="nil"/>
              <w:bottom w:val="single" w:sz="12" w:space="0" w:color="auto"/>
              <w:right w:val="nil"/>
            </w:tcBorders>
            <w:shd w:val="clear" w:color="auto" w:fill="auto"/>
            <w:noWrap/>
            <w:vAlign w:val="bottom"/>
          </w:tcPr>
          <w:p w14:paraId="0174491B" w14:textId="64474F30" w:rsidR="00EF55AD" w:rsidRPr="00872D7E" w:rsidRDefault="00EF55AD" w:rsidP="006E16D5">
            <w:pPr>
              <w:jc w:val="right"/>
              <w:rPr>
                <w:b/>
                <w:bCs/>
                <w:color w:val="000000"/>
                <w:sz w:val="16"/>
                <w:szCs w:val="16"/>
              </w:rPr>
            </w:pPr>
            <w:r w:rsidRPr="00872D7E">
              <w:rPr>
                <w:b/>
                <w:bCs/>
                <w:sz w:val="16"/>
                <w:szCs w:val="16"/>
              </w:rPr>
              <w:t>-</w:t>
            </w:r>
          </w:p>
        </w:tc>
        <w:tc>
          <w:tcPr>
            <w:tcW w:w="325" w:type="pct"/>
            <w:tcBorders>
              <w:top w:val="single" w:sz="4" w:space="0" w:color="auto"/>
              <w:left w:val="nil"/>
              <w:bottom w:val="single" w:sz="12" w:space="0" w:color="auto"/>
              <w:right w:val="nil"/>
            </w:tcBorders>
            <w:shd w:val="clear" w:color="auto" w:fill="auto"/>
            <w:noWrap/>
            <w:vAlign w:val="bottom"/>
          </w:tcPr>
          <w:p w14:paraId="652549C1" w14:textId="1EB5DE7F" w:rsidR="00EF55AD" w:rsidRPr="00872D7E" w:rsidRDefault="00EF55AD" w:rsidP="006E16D5">
            <w:pPr>
              <w:jc w:val="right"/>
              <w:rPr>
                <w:b/>
                <w:bCs/>
                <w:color w:val="000000"/>
                <w:sz w:val="16"/>
                <w:szCs w:val="16"/>
              </w:rPr>
            </w:pPr>
            <w:r w:rsidRPr="00872D7E">
              <w:rPr>
                <w:b/>
                <w:bCs/>
                <w:sz w:val="16"/>
                <w:szCs w:val="16"/>
              </w:rPr>
              <w:t>-</w:t>
            </w:r>
          </w:p>
        </w:tc>
        <w:tc>
          <w:tcPr>
            <w:tcW w:w="411" w:type="pct"/>
            <w:tcBorders>
              <w:top w:val="single" w:sz="4" w:space="0" w:color="auto"/>
              <w:left w:val="nil"/>
              <w:bottom w:val="single" w:sz="12" w:space="0" w:color="auto"/>
              <w:right w:val="nil"/>
            </w:tcBorders>
            <w:shd w:val="clear" w:color="auto" w:fill="auto"/>
            <w:noWrap/>
            <w:vAlign w:val="bottom"/>
          </w:tcPr>
          <w:p w14:paraId="628B4CC0" w14:textId="422583DB" w:rsidR="00EF55AD" w:rsidRPr="00872D7E" w:rsidRDefault="00EF55AD" w:rsidP="006E16D5">
            <w:pPr>
              <w:jc w:val="right"/>
              <w:rPr>
                <w:b/>
                <w:bCs/>
                <w:color w:val="000000"/>
                <w:sz w:val="16"/>
                <w:szCs w:val="16"/>
              </w:rPr>
            </w:pPr>
            <w:r w:rsidRPr="00872D7E">
              <w:rPr>
                <w:b/>
                <w:bCs/>
                <w:sz w:val="16"/>
                <w:szCs w:val="16"/>
              </w:rPr>
              <w:t>649.851</w:t>
            </w:r>
          </w:p>
        </w:tc>
      </w:tr>
    </w:tbl>
    <w:p w14:paraId="429FF517" w14:textId="5AABA1AE" w:rsidR="00344C7A" w:rsidRPr="00872D7E" w:rsidRDefault="00344C7A" w:rsidP="00344C7A">
      <w:pPr>
        <w:spacing w:before="120" w:after="120"/>
        <w:ind w:left="993"/>
        <w:rPr>
          <w:b/>
          <w:szCs w:val="20"/>
        </w:rPr>
        <w:sectPr w:rsidR="00344C7A" w:rsidRPr="00872D7E" w:rsidSect="00344C7A">
          <w:headerReference w:type="first" r:id="rId70"/>
          <w:pgSz w:w="16840" w:h="11907" w:orient="landscape" w:code="9"/>
          <w:pgMar w:top="1134" w:right="1134" w:bottom="1134" w:left="1134" w:header="851" w:footer="851" w:gutter="0"/>
          <w:cols w:space="708"/>
          <w:titlePg/>
          <w:docGrid w:linePitch="360"/>
        </w:sectPr>
      </w:pPr>
      <w:r w:rsidRPr="00872D7E">
        <w:rPr>
          <w:szCs w:val="20"/>
          <w:vertAlign w:val="superscript"/>
        </w:rPr>
        <w:t>(*)</w:t>
      </w:r>
      <w:r w:rsidRPr="00872D7E">
        <w:rPr>
          <w:szCs w:val="20"/>
        </w:rPr>
        <w:t xml:space="preserve"> %500 risk ağırlığını ifade eder.</w:t>
      </w:r>
      <w:r w:rsidRPr="00872D7E">
        <w:rPr>
          <w:b/>
          <w:szCs w:val="20"/>
        </w:rPr>
        <w:br w:type="page"/>
      </w:r>
    </w:p>
    <w:p w14:paraId="5E4654C4" w14:textId="77777777" w:rsidR="00344C7A" w:rsidRPr="00872D7E" w:rsidRDefault="00344C7A" w:rsidP="006E16D5">
      <w:pPr>
        <w:pStyle w:val="BodyTextIndent"/>
        <w:widowControl w:val="0"/>
        <w:ind w:firstLine="0"/>
        <w:rPr>
          <w:b/>
          <w:szCs w:val="20"/>
        </w:rPr>
      </w:pPr>
      <w:r w:rsidRPr="00872D7E">
        <w:rPr>
          <w:b/>
          <w:szCs w:val="20"/>
        </w:rPr>
        <w:lastRenderedPageBreak/>
        <w:t>MALİ BÜNYEYE VE RİSK YÖNETİMİNE İLİŞKİN BİLGİLER (Devamı)</w:t>
      </w:r>
    </w:p>
    <w:p w14:paraId="4B2EC0A3" w14:textId="77777777" w:rsidR="00344C7A" w:rsidRPr="00872D7E" w:rsidRDefault="00344C7A" w:rsidP="006E16D5">
      <w:pPr>
        <w:widowControl w:val="0"/>
        <w:autoSpaceDE w:val="0"/>
        <w:autoSpaceDN w:val="0"/>
        <w:adjustRightInd w:val="0"/>
        <w:jc w:val="both"/>
        <w:rPr>
          <w:szCs w:val="20"/>
        </w:rPr>
      </w:pPr>
    </w:p>
    <w:p w14:paraId="4FDB5148" w14:textId="57DBF497" w:rsidR="000E463B" w:rsidRPr="00872D7E" w:rsidRDefault="00CB58D3" w:rsidP="006E16D5">
      <w:pPr>
        <w:ind w:left="851" w:hanging="851"/>
        <w:rPr>
          <w:b/>
          <w:bCs/>
        </w:rPr>
      </w:pPr>
      <w:r w:rsidRPr="00872D7E">
        <w:rPr>
          <w:b/>
          <w:bCs/>
        </w:rPr>
        <w:t>I</w:t>
      </w:r>
      <w:r w:rsidR="000E463B" w:rsidRPr="00872D7E">
        <w:rPr>
          <w:b/>
          <w:bCs/>
        </w:rPr>
        <w:t>X.</w:t>
      </w:r>
      <w:r w:rsidR="000E463B" w:rsidRPr="00872D7E">
        <w:rPr>
          <w:b/>
          <w:bCs/>
        </w:rPr>
        <w:tab/>
        <w:t>RİSK YÖNETİMİNE İLİŞKİN AÇIKLAMALAR (Devamı)</w:t>
      </w:r>
    </w:p>
    <w:p w14:paraId="2FE4D9EE" w14:textId="77777777" w:rsidR="006E16D5" w:rsidRPr="00872D7E" w:rsidRDefault="006E16D5" w:rsidP="006E16D5">
      <w:pPr>
        <w:ind w:left="567" w:hanging="568"/>
        <w:rPr>
          <w:b/>
          <w:szCs w:val="20"/>
        </w:rPr>
      </w:pPr>
    </w:p>
    <w:p w14:paraId="4E80F443" w14:textId="1CB03B6F" w:rsidR="00344C7A" w:rsidRPr="00872D7E" w:rsidRDefault="008C5672" w:rsidP="006E16D5">
      <w:pPr>
        <w:ind w:left="851" w:hanging="852"/>
        <w:rPr>
          <w:b/>
          <w:szCs w:val="20"/>
        </w:rPr>
      </w:pPr>
      <w:r w:rsidRPr="00872D7E">
        <w:rPr>
          <w:b/>
          <w:szCs w:val="20"/>
        </w:rPr>
        <w:t>d</w:t>
      </w:r>
      <w:r w:rsidR="00344C7A" w:rsidRPr="00872D7E">
        <w:rPr>
          <w:b/>
          <w:szCs w:val="20"/>
        </w:rPr>
        <w:t>.</w:t>
      </w:r>
      <w:r w:rsidR="00344C7A" w:rsidRPr="00872D7E">
        <w:rPr>
          <w:b/>
          <w:szCs w:val="20"/>
        </w:rPr>
        <w:tab/>
        <w:t>Karşı Taraf Kredi Riskine (KKR) İlişkin Açıklanacak Hususlar:</w:t>
      </w:r>
    </w:p>
    <w:p w14:paraId="2B248E63" w14:textId="77777777" w:rsidR="006E16D5" w:rsidRPr="00872D7E" w:rsidRDefault="006E16D5" w:rsidP="006E16D5">
      <w:pPr>
        <w:ind w:left="851"/>
        <w:jc w:val="both"/>
      </w:pPr>
    </w:p>
    <w:p w14:paraId="2A903341" w14:textId="0FE04E32" w:rsidR="008B559D" w:rsidRPr="00872D7E" w:rsidRDefault="008B559D" w:rsidP="006E16D5">
      <w:pPr>
        <w:ind w:left="851"/>
        <w:jc w:val="both"/>
      </w:pPr>
      <w:r w:rsidRPr="00872D7E">
        <w:t>Bankada, karşı taraf kredi risklerinin tanımlandığı, ölçüldüğü, izlendiği ve kontrol edildiği politika, süreç ve prosedürleri içeren iç mevzuatlar bulunmaktadır. Bu politikalar, yasal düzenlemeler veya banka içi değişiklikler dikkate alınarak en az yılda bir kez gözden geçirilir. Politikalara uygun olarak hazırlanan süreç, prosedür ve ilgili dokümanlar ise bir yıl içinde veya ihtiyaç duyulması halinde daha kısa sürelerde güncellenir.</w:t>
      </w:r>
    </w:p>
    <w:p w14:paraId="790B1D53" w14:textId="77777777" w:rsidR="008B559D" w:rsidRPr="00872D7E" w:rsidRDefault="008B559D" w:rsidP="006E16D5">
      <w:pPr>
        <w:ind w:left="851"/>
        <w:jc w:val="both"/>
      </w:pPr>
    </w:p>
    <w:p w14:paraId="3A70FBC1" w14:textId="77777777" w:rsidR="008B559D" w:rsidRPr="00872D7E" w:rsidRDefault="008B559D" w:rsidP="006E16D5">
      <w:pPr>
        <w:ind w:left="851"/>
        <w:jc w:val="both"/>
      </w:pPr>
      <w:r w:rsidRPr="00872D7E">
        <w:t xml:space="preserve">Karşı Taraf Kredi Riski kapsamında, Bankaların Sermaye Yeterliliğinin Ölçülmesine ve Değerlendirilmesine İlişkin Yönetmelik doğrultusunda risk ağırlıklı tutarlar hesaplanmaktadır. Alım satım hesaplarından doğan karşı taraf kredi riski, standart yöntem kullanılarak belirlenir. Yurtiçi ve yurtdışı finansal kurumlarla gerçekleştirilen </w:t>
      </w:r>
      <w:proofErr w:type="spellStart"/>
      <w:r w:rsidRPr="00872D7E">
        <w:t>nostro</w:t>
      </w:r>
      <w:proofErr w:type="spellEnd"/>
      <w:r w:rsidRPr="00872D7E">
        <w:t xml:space="preserve">, dış ticaret işlemleri, takas, ikame takas maliyeti, murabaha ve kıymetli maden </w:t>
      </w:r>
      <w:proofErr w:type="spellStart"/>
      <w:r w:rsidRPr="00872D7E">
        <w:t>nostro</w:t>
      </w:r>
      <w:proofErr w:type="spellEnd"/>
      <w:r w:rsidRPr="00872D7E">
        <w:t xml:space="preserve"> limitleri tanımlanır.</w:t>
      </w:r>
    </w:p>
    <w:p w14:paraId="1B76E5AB" w14:textId="77777777" w:rsidR="008B559D" w:rsidRPr="00872D7E" w:rsidRDefault="008B559D" w:rsidP="006E16D5">
      <w:pPr>
        <w:ind w:left="851"/>
        <w:jc w:val="both"/>
      </w:pPr>
    </w:p>
    <w:p w14:paraId="3B55A0B2" w14:textId="77C95498" w:rsidR="008B559D" w:rsidRPr="00872D7E" w:rsidRDefault="008B559D" w:rsidP="006E16D5">
      <w:pPr>
        <w:ind w:left="851"/>
        <w:jc w:val="both"/>
      </w:pPr>
      <w:r w:rsidRPr="00872D7E">
        <w:t xml:space="preserve">Alım satım hesaplarında yer alan ve yönetmelikte belirtilen </w:t>
      </w:r>
      <w:r w:rsidR="00384377" w:rsidRPr="00872D7E">
        <w:t>tezgâh</w:t>
      </w:r>
      <w:r w:rsidRPr="00872D7E">
        <w:t xml:space="preserve"> üstü türev ürünler, kredi türevleri, menkul kıymet veya emtiaya dayalı ödünç alma/verme işlemleri, geri alım/satım sözleşmeleri, kredili menkul kıymet işlemleri ve uzun takas süresi gerektiren işlemler için karşı taraf kredi riski sermaye yükümlülüğü hesaplanır. Ayrıca, vadeli döviz alım/satım, dövize dayalı opsiyon ve swap işlemleri, </w:t>
      </w:r>
      <w:r w:rsidR="00D66C88" w:rsidRPr="00872D7E">
        <w:t>kâr</w:t>
      </w:r>
      <w:r w:rsidRPr="00872D7E">
        <w:t xml:space="preserve"> payı swapları, geri alım sözleşmeleri ve teminatlı borçlanma işlemleri de bu hesaplamaya dahildir. Risk tutarları ve risk ağırlıklı tutarlar, Bankaların Sermaye Yeterliliğinin Ölçülmesine ve Değerlendirilmesine İlişkin Yönetmelikte belirlenen yöntem ve kurallara uygun olarak hesaplanmaktadır.</w:t>
      </w:r>
    </w:p>
    <w:p w14:paraId="5F02A2C1" w14:textId="77777777" w:rsidR="008B559D" w:rsidRPr="00872D7E" w:rsidRDefault="008B559D" w:rsidP="006E16D5">
      <w:pPr>
        <w:ind w:left="851"/>
        <w:jc w:val="both"/>
      </w:pPr>
    </w:p>
    <w:p w14:paraId="032ABB01" w14:textId="77777777" w:rsidR="008B559D" w:rsidRPr="00872D7E" w:rsidRDefault="008B559D" w:rsidP="006E16D5">
      <w:pPr>
        <w:ind w:left="851"/>
        <w:jc w:val="both"/>
      </w:pPr>
      <w:r w:rsidRPr="00872D7E">
        <w:t>İlgili işlemlerin, belirlenen limitler dahilinde gerçekleştirilip gerçekleştirilmediği takip edilir. Limit aşımı olması durumunda ilgili birimler bilgilendirilir ve alınan aksiyonlar izlenir. Karşı taraf kredi riski yönetiminde, netleştirme ve teminatlandırma gibi risk azaltım yöntemleri uygulanır. Teminat kontrolü günlük olarak yapılır ve eksik teminatlı işlemler için şubeler otomatik e-posta yoluyla bilgilendirilerek tamamlanması beklenir.</w:t>
      </w:r>
    </w:p>
    <w:p w14:paraId="1954D6A1" w14:textId="77777777" w:rsidR="008B559D" w:rsidRPr="00872D7E" w:rsidRDefault="008B559D" w:rsidP="006E16D5">
      <w:pPr>
        <w:ind w:left="851"/>
        <w:jc w:val="both"/>
      </w:pPr>
    </w:p>
    <w:p w14:paraId="389AF2AB" w14:textId="66BA99FB" w:rsidR="008B559D" w:rsidRPr="00872D7E" w:rsidRDefault="008B559D" w:rsidP="006E16D5">
      <w:pPr>
        <w:ind w:left="851"/>
        <w:jc w:val="both"/>
      </w:pPr>
      <w:r w:rsidRPr="00872D7E">
        <w:t>Karşı taraf kredi riski stres testleri, tek bir karşı tarafa veya bir karşı taraf grubuna ilişkin yoğunlaşma riskini ve kredibilite bozulmalarının neden olabileceği olası kayıpları analiz eder. Bu testler, banka içi prosedürlerde belirlenen senaryolar temel alınarak gerçekleştirilir.</w:t>
      </w:r>
    </w:p>
    <w:p w14:paraId="7E6A009E" w14:textId="77777777" w:rsidR="00EF55AD" w:rsidRPr="00872D7E" w:rsidRDefault="00EF55AD" w:rsidP="006E16D5">
      <w:pPr>
        <w:rPr>
          <w:b/>
          <w:szCs w:val="20"/>
        </w:rPr>
      </w:pPr>
      <w:r w:rsidRPr="00872D7E">
        <w:rPr>
          <w:b/>
          <w:szCs w:val="20"/>
        </w:rPr>
        <w:br w:type="page"/>
      </w:r>
    </w:p>
    <w:p w14:paraId="1FCDE659" w14:textId="77777777" w:rsidR="00F27192" w:rsidRPr="00872D7E" w:rsidRDefault="00F27192" w:rsidP="00F27192">
      <w:pPr>
        <w:pStyle w:val="BodyTextIndent"/>
        <w:widowControl w:val="0"/>
        <w:ind w:firstLine="0"/>
        <w:rPr>
          <w:b/>
          <w:szCs w:val="20"/>
        </w:rPr>
      </w:pPr>
      <w:r w:rsidRPr="00872D7E">
        <w:rPr>
          <w:b/>
          <w:szCs w:val="20"/>
        </w:rPr>
        <w:lastRenderedPageBreak/>
        <w:t>MALİ BÜNYEYE VE RİSK YÖNETİMİNE İLİŞKİN BİLGİLER (Devamı)</w:t>
      </w:r>
    </w:p>
    <w:p w14:paraId="390A9809" w14:textId="77777777" w:rsidR="00F27192" w:rsidRPr="00872D7E" w:rsidRDefault="00F27192" w:rsidP="00F27192">
      <w:pPr>
        <w:widowControl w:val="0"/>
        <w:autoSpaceDE w:val="0"/>
        <w:autoSpaceDN w:val="0"/>
        <w:adjustRightInd w:val="0"/>
        <w:jc w:val="both"/>
        <w:rPr>
          <w:szCs w:val="20"/>
        </w:rPr>
      </w:pPr>
    </w:p>
    <w:p w14:paraId="6677517B" w14:textId="2C432BBC" w:rsidR="00F27192" w:rsidRPr="00872D7E" w:rsidRDefault="00CB58D3" w:rsidP="006E16D5">
      <w:pPr>
        <w:ind w:left="851" w:hanging="851"/>
        <w:rPr>
          <w:b/>
          <w:bCs/>
        </w:rPr>
      </w:pPr>
      <w:r w:rsidRPr="00872D7E">
        <w:rPr>
          <w:b/>
          <w:bCs/>
        </w:rPr>
        <w:t>I</w:t>
      </w:r>
      <w:r w:rsidR="00F27192" w:rsidRPr="00872D7E">
        <w:rPr>
          <w:b/>
          <w:bCs/>
        </w:rPr>
        <w:t>X.</w:t>
      </w:r>
      <w:r w:rsidR="00F27192" w:rsidRPr="00872D7E">
        <w:rPr>
          <w:b/>
          <w:bCs/>
        </w:rPr>
        <w:tab/>
        <w:t>RİSK YÖNETİMİNE İLİŞKİN AÇIKLAMALAR (Devamı)</w:t>
      </w:r>
    </w:p>
    <w:p w14:paraId="44278E8C" w14:textId="47622112" w:rsidR="00344C7A" w:rsidRPr="00872D7E" w:rsidRDefault="008C5672" w:rsidP="006E16D5">
      <w:pPr>
        <w:autoSpaceDE w:val="0"/>
        <w:autoSpaceDN w:val="0"/>
        <w:adjustRightInd w:val="0"/>
        <w:spacing w:before="80" w:after="120"/>
        <w:ind w:left="851" w:hanging="852"/>
        <w:jc w:val="both"/>
        <w:rPr>
          <w:b/>
          <w:szCs w:val="20"/>
        </w:rPr>
      </w:pPr>
      <w:r w:rsidRPr="00872D7E">
        <w:rPr>
          <w:b/>
          <w:szCs w:val="20"/>
        </w:rPr>
        <w:t>d</w:t>
      </w:r>
      <w:r w:rsidR="00344C7A" w:rsidRPr="00872D7E">
        <w:rPr>
          <w:b/>
          <w:szCs w:val="20"/>
        </w:rPr>
        <w:t>.1.</w:t>
      </w:r>
      <w:r w:rsidR="00344C7A" w:rsidRPr="00872D7E">
        <w:rPr>
          <w:b/>
          <w:szCs w:val="20"/>
        </w:rPr>
        <w:tab/>
        <w:t>KKR’nin Ölçüm Yöntemlerine Göre Değerlendirilmesi: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
        <w:gridCol w:w="2803"/>
        <w:gridCol w:w="968"/>
        <w:gridCol w:w="1049"/>
        <w:gridCol w:w="979"/>
        <w:gridCol w:w="1411"/>
        <w:gridCol w:w="1135"/>
        <w:gridCol w:w="1053"/>
      </w:tblGrid>
      <w:tr w:rsidR="00EF55AD" w:rsidRPr="00872D7E" w14:paraId="2CE98255" w14:textId="77777777" w:rsidTr="008D7B10">
        <w:trPr>
          <w:trHeight w:val="20"/>
        </w:trPr>
        <w:tc>
          <w:tcPr>
            <w:tcW w:w="125" w:type="pct"/>
            <w:tcBorders>
              <w:top w:val="single" w:sz="4" w:space="0" w:color="auto"/>
              <w:left w:val="nil"/>
              <w:bottom w:val="single" w:sz="4" w:space="0" w:color="auto"/>
              <w:right w:val="nil"/>
            </w:tcBorders>
            <w:shd w:val="clear" w:color="auto" w:fill="auto"/>
            <w:hideMark/>
          </w:tcPr>
          <w:p w14:paraId="646AA611" w14:textId="77777777" w:rsidR="00EF55AD" w:rsidRPr="00872D7E" w:rsidRDefault="00EF55AD" w:rsidP="00033CCA">
            <w:pPr>
              <w:ind w:left="-83" w:firstLine="83"/>
              <w:rPr>
                <w:sz w:val="18"/>
                <w:szCs w:val="18"/>
              </w:rPr>
            </w:pPr>
          </w:p>
        </w:tc>
        <w:tc>
          <w:tcPr>
            <w:tcW w:w="1454" w:type="pct"/>
            <w:tcBorders>
              <w:top w:val="single" w:sz="4" w:space="0" w:color="auto"/>
              <w:left w:val="nil"/>
              <w:bottom w:val="single" w:sz="4" w:space="0" w:color="auto"/>
              <w:right w:val="nil"/>
            </w:tcBorders>
            <w:shd w:val="clear" w:color="auto" w:fill="auto"/>
            <w:vAlign w:val="center"/>
            <w:hideMark/>
          </w:tcPr>
          <w:p w14:paraId="6A71D4D5" w14:textId="275E1E23" w:rsidR="00EF55AD" w:rsidRPr="00872D7E" w:rsidRDefault="008D7B10" w:rsidP="00033CCA">
            <w:pPr>
              <w:rPr>
                <w:b/>
                <w:sz w:val="18"/>
                <w:szCs w:val="18"/>
              </w:rPr>
            </w:pPr>
            <w:r w:rsidRPr="00872D7E">
              <w:rPr>
                <w:b/>
                <w:sz w:val="18"/>
                <w:szCs w:val="18"/>
              </w:rPr>
              <w:t>31 Aralık 2024</w:t>
            </w:r>
          </w:p>
        </w:tc>
        <w:tc>
          <w:tcPr>
            <w:tcW w:w="502" w:type="pct"/>
            <w:tcBorders>
              <w:top w:val="single" w:sz="4" w:space="0" w:color="auto"/>
              <w:left w:val="nil"/>
              <w:bottom w:val="single" w:sz="4" w:space="0" w:color="auto"/>
              <w:right w:val="nil"/>
            </w:tcBorders>
            <w:shd w:val="clear" w:color="auto" w:fill="auto"/>
            <w:vAlign w:val="bottom"/>
            <w:hideMark/>
          </w:tcPr>
          <w:p w14:paraId="2BFED67B" w14:textId="77777777" w:rsidR="00EF55AD" w:rsidRPr="00872D7E" w:rsidRDefault="00EF55AD" w:rsidP="00033CCA">
            <w:pPr>
              <w:jc w:val="right"/>
              <w:rPr>
                <w:b/>
                <w:sz w:val="18"/>
                <w:szCs w:val="18"/>
              </w:rPr>
            </w:pPr>
            <w:r w:rsidRPr="00872D7E">
              <w:rPr>
                <w:b/>
                <w:sz w:val="18"/>
                <w:szCs w:val="18"/>
              </w:rPr>
              <w:t xml:space="preserve">Yenileme </w:t>
            </w:r>
            <w:r w:rsidRPr="00872D7E">
              <w:rPr>
                <w:b/>
                <w:sz w:val="18"/>
                <w:szCs w:val="18"/>
              </w:rPr>
              <w:br/>
              <w:t>maliyeti</w:t>
            </w:r>
          </w:p>
        </w:tc>
        <w:tc>
          <w:tcPr>
            <w:tcW w:w="544" w:type="pct"/>
            <w:tcBorders>
              <w:top w:val="single" w:sz="4" w:space="0" w:color="auto"/>
              <w:left w:val="nil"/>
              <w:bottom w:val="single" w:sz="4" w:space="0" w:color="auto"/>
              <w:right w:val="nil"/>
            </w:tcBorders>
            <w:shd w:val="clear" w:color="auto" w:fill="auto"/>
            <w:vAlign w:val="bottom"/>
            <w:hideMark/>
          </w:tcPr>
          <w:p w14:paraId="6A77041F" w14:textId="77777777" w:rsidR="00EF55AD" w:rsidRPr="00872D7E" w:rsidRDefault="00EF55AD" w:rsidP="00033CCA">
            <w:pPr>
              <w:jc w:val="right"/>
              <w:rPr>
                <w:b/>
                <w:sz w:val="18"/>
                <w:szCs w:val="18"/>
              </w:rPr>
            </w:pPr>
            <w:r w:rsidRPr="00872D7E">
              <w:rPr>
                <w:b/>
                <w:sz w:val="18"/>
                <w:szCs w:val="18"/>
              </w:rPr>
              <w:t>Potansiyel kredi riski</w:t>
            </w:r>
            <w:r w:rsidRPr="00872D7E">
              <w:rPr>
                <w:b/>
                <w:sz w:val="18"/>
                <w:szCs w:val="18"/>
              </w:rPr>
              <w:br/>
              <w:t>tutarı</w:t>
            </w:r>
          </w:p>
        </w:tc>
        <w:tc>
          <w:tcPr>
            <w:tcW w:w="508" w:type="pct"/>
            <w:tcBorders>
              <w:top w:val="single" w:sz="4" w:space="0" w:color="auto"/>
              <w:left w:val="nil"/>
              <w:bottom w:val="single" w:sz="4" w:space="0" w:color="auto"/>
              <w:right w:val="nil"/>
            </w:tcBorders>
            <w:shd w:val="clear" w:color="auto" w:fill="auto"/>
            <w:noWrap/>
            <w:vAlign w:val="bottom"/>
            <w:hideMark/>
          </w:tcPr>
          <w:p w14:paraId="72E6187D" w14:textId="77777777" w:rsidR="00EF55AD" w:rsidRPr="00872D7E" w:rsidRDefault="00EF55AD" w:rsidP="00033CCA">
            <w:pPr>
              <w:jc w:val="right"/>
              <w:rPr>
                <w:b/>
                <w:sz w:val="18"/>
                <w:szCs w:val="18"/>
              </w:rPr>
            </w:pPr>
            <w:r w:rsidRPr="00872D7E">
              <w:rPr>
                <w:b/>
                <w:sz w:val="18"/>
                <w:szCs w:val="18"/>
              </w:rPr>
              <w:t xml:space="preserve">EBPRT </w:t>
            </w:r>
            <w:r w:rsidRPr="00872D7E">
              <w:rPr>
                <w:b/>
                <w:sz w:val="18"/>
                <w:szCs w:val="18"/>
                <w:vertAlign w:val="superscript"/>
              </w:rPr>
              <w:t>(*)</w:t>
            </w:r>
          </w:p>
        </w:tc>
        <w:tc>
          <w:tcPr>
            <w:tcW w:w="732" w:type="pct"/>
            <w:tcBorders>
              <w:top w:val="single" w:sz="4" w:space="0" w:color="auto"/>
              <w:left w:val="nil"/>
              <w:bottom w:val="single" w:sz="4" w:space="0" w:color="auto"/>
              <w:right w:val="nil"/>
            </w:tcBorders>
            <w:shd w:val="clear" w:color="auto" w:fill="auto"/>
            <w:vAlign w:val="bottom"/>
            <w:hideMark/>
          </w:tcPr>
          <w:p w14:paraId="00465D96" w14:textId="77777777" w:rsidR="00EF55AD" w:rsidRPr="00872D7E" w:rsidRDefault="00EF55AD" w:rsidP="00033CCA">
            <w:pPr>
              <w:jc w:val="right"/>
              <w:rPr>
                <w:b/>
                <w:sz w:val="18"/>
                <w:szCs w:val="18"/>
              </w:rPr>
            </w:pPr>
            <w:r w:rsidRPr="00872D7E">
              <w:rPr>
                <w:b/>
                <w:sz w:val="18"/>
                <w:szCs w:val="18"/>
              </w:rPr>
              <w:t>Yasal risk tutarının hesaplanması</w:t>
            </w:r>
            <w:r w:rsidRPr="00872D7E">
              <w:rPr>
                <w:b/>
                <w:sz w:val="18"/>
                <w:szCs w:val="18"/>
              </w:rPr>
              <w:br/>
              <w:t>için kullanılan</w:t>
            </w:r>
            <w:r w:rsidRPr="00872D7E">
              <w:rPr>
                <w:b/>
                <w:sz w:val="18"/>
                <w:szCs w:val="18"/>
              </w:rPr>
              <w:br/>
              <w:t>alfa</w:t>
            </w:r>
          </w:p>
        </w:tc>
        <w:tc>
          <w:tcPr>
            <w:tcW w:w="589" w:type="pct"/>
            <w:tcBorders>
              <w:top w:val="single" w:sz="4" w:space="0" w:color="auto"/>
              <w:left w:val="nil"/>
              <w:bottom w:val="single" w:sz="4" w:space="0" w:color="auto"/>
              <w:right w:val="nil"/>
            </w:tcBorders>
            <w:shd w:val="clear" w:color="auto" w:fill="auto"/>
            <w:vAlign w:val="bottom"/>
            <w:hideMark/>
          </w:tcPr>
          <w:p w14:paraId="268105CE" w14:textId="77777777" w:rsidR="00EF55AD" w:rsidRPr="00872D7E" w:rsidRDefault="00EF55AD" w:rsidP="00033CCA">
            <w:pPr>
              <w:jc w:val="right"/>
              <w:rPr>
                <w:b/>
                <w:sz w:val="18"/>
                <w:szCs w:val="18"/>
              </w:rPr>
            </w:pPr>
            <w:r w:rsidRPr="00872D7E">
              <w:rPr>
                <w:b/>
                <w:sz w:val="18"/>
                <w:szCs w:val="18"/>
              </w:rPr>
              <w:t xml:space="preserve">Kredi riski azaltımı </w:t>
            </w:r>
            <w:r w:rsidRPr="00872D7E">
              <w:rPr>
                <w:b/>
                <w:sz w:val="18"/>
                <w:szCs w:val="18"/>
              </w:rPr>
              <w:br/>
              <w:t>sonrası risk tutarı</w:t>
            </w:r>
          </w:p>
        </w:tc>
        <w:tc>
          <w:tcPr>
            <w:tcW w:w="546" w:type="pct"/>
            <w:tcBorders>
              <w:top w:val="single" w:sz="4" w:space="0" w:color="auto"/>
              <w:left w:val="nil"/>
              <w:bottom w:val="single" w:sz="4" w:space="0" w:color="auto"/>
              <w:right w:val="nil"/>
            </w:tcBorders>
            <w:shd w:val="clear" w:color="auto" w:fill="auto"/>
            <w:vAlign w:val="bottom"/>
            <w:hideMark/>
          </w:tcPr>
          <w:p w14:paraId="3EC88029" w14:textId="77777777" w:rsidR="00EF55AD" w:rsidRPr="00872D7E" w:rsidRDefault="00EF55AD" w:rsidP="00033CCA">
            <w:pPr>
              <w:jc w:val="right"/>
              <w:rPr>
                <w:b/>
                <w:sz w:val="18"/>
                <w:szCs w:val="18"/>
              </w:rPr>
            </w:pPr>
            <w:r w:rsidRPr="00872D7E">
              <w:rPr>
                <w:b/>
                <w:sz w:val="18"/>
                <w:szCs w:val="18"/>
              </w:rPr>
              <w:t xml:space="preserve">Risk ağırlıklı </w:t>
            </w:r>
            <w:r w:rsidRPr="00872D7E">
              <w:rPr>
                <w:b/>
                <w:sz w:val="18"/>
                <w:szCs w:val="18"/>
              </w:rPr>
              <w:br/>
              <w:t>tutarlar</w:t>
            </w:r>
          </w:p>
        </w:tc>
      </w:tr>
      <w:tr w:rsidR="00EF55AD" w:rsidRPr="00872D7E" w14:paraId="53AB38CB" w14:textId="77777777" w:rsidTr="008D7B10">
        <w:trPr>
          <w:trHeight w:val="20"/>
        </w:trPr>
        <w:tc>
          <w:tcPr>
            <w:tcW w:w="125" w:type="pct"/>
            <w:tcBorders>
              <w:top w:val="nil"/>
              <w:left w:val="nil"/>
              <w:bottom w:val="nil"/>
              <w:right w:val="nil"/>
            </w:tcBorders>
            <w:shd w:val="clear" w:color="auto" w:fill="auto"/>
            <w:hideMark/>
          </w:tcPr>
          <w:p w14:paraId="1539BDC4" w14:textId="77777777" w:rsidR="00EF55AD" w:rsidRPr="00872D7E" w:rsidRDefault="00EF55AD" w:rsidP="00EF55AD">
            <w:pPr>
              <w:rPr>
                <w:sz w:val="18"/>
                <w:szCs w:val="18"/>
              </w:rPr>
            </w:pPr>
            <w:r w:rsidRPr="00872D7E">
              <w:rPr>
                <w:sz w:val="18"/>
                <w:szCs w:val="18"/>
              </w:rPr>
              <w:t>1</w:t>
            </w:r>
          </w:p>
        </w:tc>
        <w:tc>
          <w:tcPr>
            <w:tcW w:w="1454" w:type="pct"/>
            <w:tcBorders>
              <w:top w:val="nil"/>
              <w:left w:val="nil"/>
              <w:bottom w:val="nil"/>
              <w:right w:val="nil"/>
            </w:tcBorders>
            <w:shd w:val="clear" w:color="auto" w:fill="auto"/>
            <w:vAlign w:val="center"/>
            <w:hideMark/>
          </w:tcPr>
          <w:p w14:paraId="6331B53C" w14:textId="77777777" w:rsidR="00EF55AD" w:rsidRPr="00872D7E" w:rsidRDefault="00EF55AD" w:rsidP="00EF55AD">
            <w:pPr>
              <w:rPr>
                <w:sz w:val="18"/>
                <w:szCs w:val="18"/>
              </w:rPr>
            </w:pPr>
            <w:r w:rsidRPr="00872D7E">
              <w:rPr>
                <w:sz w:val="18"/>
                <w:szCs w:val="18"/>
              </w:rPr>
              <w:t xml:space="preserve">Standart </w:t>
            </w:r>
            <w:proofErr w:type="gramStart"/>
            <w:r w:rsidRPr="00872D7E">
              <w:rPr>
                <w:sz w:val="18"/>
                <w:szCs w:val="18"/>
              </w:rPr>
              <w:t>yaklaşım -</w:t>
            </w:r>
            <w:proofErr w:type="gramEnd"/>
            <w:r w:rsidRPr="00872D7E">
              <w:rPr>
                <w:sz w:val="18"/>
                <w:szCs w:val="18"/>
              </w:rPr>
              <w:t xml:space="preserve"> KKR (türevler için)</w:t>
            </w:r>
          </w:p>
        </w:tc>
        <w:tc>
          <w:tcPr>
            <w:tcW w:w="502" w:type="pct"/>
            <w:tcBorders>
              <w:top w:val="nil"/>
              <w:left w:val="nil"/>
              <w:bottom w:val="nil"/>
              <w:right w:val="nil"/>
            </w:tcBorders>
            <w:shd w:val="clear" w:color="auto" w:fill="auto"/>
            <w:noWrap/>
            <w:vAlign w:val="bottom"/>
          </w:tcPr>
          <w:p w14:paraId="05029F02" w14:textId="020A41E2" w:rsidR="00EF55AD" w:rsidRPr="00872D7E" w:rsidRDefault="00EF55AD" w:rsidP="00EF55AD">
            <w:pPr>
              <w:jc w:val="right"/>
              <w:rPr>
                <w:sz w:val="18"/>
                <w:szCs w:val="18"/>
              </w:rPr>
            </w:pPr>
            <w:r w:rsidRPr="00872D7E">
              <w:rPr>
                <w:color w:val="000000"/>
                <w:sz w:val="18"/>
                <w:szCs w:val="18"/>
              </w:rPr>
              <w:t>31.225</w:t>
            </w:r>
          </w:p>
        </w:tc>
        <w:tc>
          <w:tcPr>
            <w:tcW w:w="544" w:type="pct"/>
            <w:tcBorders>
              <w:top w:val="nil"/>
              <w:left w:val="nil"/>
              <w:bottom w:val="nil"/>
              <w:right w:val="nil"/>
            </w:tcBorders>
            <w:shd w:val="clear" w:color="auto" w:fill="auto"/>
            <w:noWrap/>
            <w:vAlign w:val="bottom"/>
          </w:tcPr>
          <w:p w14:paraId="509ACBE5" w14:textId="0E81223F" w:rsidR="00EF55AD" w:rsidRPr="00872D7E" w:rsidRDefault="00EF55AD" w:rsidP="00EF55AD">
            <w:pPr>
              <w:jc w:val="right"/>
              <w:rPr>
                <w:sz w:val="18"/>
                <w:szCs w:val="18"/>
              </w:rPr>
            </w:pPr>
            <w:r w:rsidRPr="00872D7E">
              <w:rPr>
                <w:color w:val="000000"/>
                <w:sz w:val="18"/>
                <w:szCs w:val="18"/>
              </w:rPr>
              <w:t>53.237</w:t>
            </w:r>
          </w:p>
        </w:tc>
        <w:tc>
          <w:tcPr>
            <w:tcW w:w="508" w:type="pct"/>
            <w:tcBorders>
              <w:top w:val="nil"/>
              <w:left w:val="nil"/>
              <w:bottom w:val="nil"/>
              <w:right w:val="nil"/>
            </w:tcBorders>
            <w:shd w:val="clear" w:color="auto" w:fill="000000" w:themeFill="text1"/>
            <w:noWrap/>
            <w:vAlign w:val="bottom"/>
          </w:tcPr>
          <w:p w14:paraId="5D8CE48F" w14:textId="0B0B86E8" w:rsidR="00EF55AD" w:rsidRPr="00872D7E" w:rsidRDefault="00EF55AD" w:rsidP="00EF55AD">
            <w:pPr>
              <w:jc w:val="right"/>
              <w:rPr>
                <w:sz w:val="18"/>
                <w:szCs w:val="18"/>
              </w:rPr>
            </w:pPr>
            <w:r w:rsidRPr="00872D7E">
              <w:rPr>
                <w:color w:val="000000"/>
                <w:sz w:val="18"/>
                <w:szCs w:val="18"/>
              </w:rPr>
              <w:t> </w:t>
            </w:r>
          </w:p>
        </w:tc>
        <w:tc>
          <w:tcPr>
            <w:tcW w:w="732" w:type="pct"/>
            <w:tcBorders>
              <w:top w:val="nil"/>
              <w:left w:val="nil"/>
              <w:bottom w:val="nil"/>
              <w:right w:val="nil"/>
            </w:tcBorders>
            <w:shd w:val="clear" w:color="auto" w:fill="auto"/>
            <w:noWrap/>
            <w:vAlign w:val="bottom"/>
          </w:tcPr>
          <w:p w14:paraId="01293006" w14:textId="31E3946E" w:rsidR="00EF55AD" w:rsidRPr="00872D7E" w:rsidRDefault="00EF55AD" w:rsidP="00EF55AD">
            <w:pPr>
              <w:jc w:val="right"/>
              <w:rPr>
                <w:sz w:val="18"/>
                <w:szCs w:val="18"/>
              </w:rPr>
            </w:pPr>
            <w:r w:rsidRPr="00872D7E">
              <w:rPr>
                <w:color w:val="000000"/>
                <w:sz w:val="18"/>
                <w:szCs w:val="18"/>
              </w:rPr>
              <w:t>1,4</w:t>
            </w:r>
          </w:p>
        </w:tc>
        <w:tc>
          <w:tcPr>
            <w:tcW w:w="589" w:type="pct"/>
            <w:tcBorders>
              <w:top w:val="nil"/>
              <w:left w:val="nil"/>
              <w:bottom w:val="nil"/>
              <w:right w:val="nil"/>
            </w:tcBorders>
            <w:shd w:val="clear" w:color="auto" w:fill="auto"/>
            <w:noWrap/>
            <w:vAlign w:val="bottom"/>
          </w:tcPr>
          <w:p w14:paraId="24240324" w14:textId="6A4DCBB0" w:rsidR="00EF55AD" w:rsidRPr="00872D7E" w:rsidRDefault="00EF55AD" w:rsidP="00EF55AD">
            <w:pPr>
              <w:jc w:val="right"/>
              <w:rPr>
                <w:sz w:val="18"/>
                <w:szCs w:val="18"/>
              </w:rPr>
            </w:pPr>
            <w:r w:rsidRPr="00872D7E">
              <w:rPr>
                <w:color w:val="000000"/>
                <w:sz w:val="18"/>
                <w:szCs w:val="18"/>
              </w:rPr>
              <w:t>84.462</w:t>
            </w:r>
          </w:p>
        </w:tc>
        <w:tc>
          <w:tcPr>
            <w:tcW w:w="546" w:type="pct"/>
            <w:tcBorders>
              <w:top w:val="nil"/>
              <w:left w:val="nil"/>
              <w:bottom w:val="nil"/>
              <w:right w:val="nil"/>
            </w:tcBorders>
            <w:shd w:val="clear" w:color="auto" w:fill="auto"/>
            <w:noWrap/>
            <w:vAlign w:val="bottom"/>
          </w:tcPr>
          <w:p w14:paraId="14992EF5" w14:textId="282C97F1" w:rsidR="00EF55AD" w:rsidRPr="00872D7E" w:rsidRDefault="00EF55AD" w:rsidP="00EF55AD">
            <w:pPr>
              <w:jc w:val="right"/>
              <w:rPr>
                <w:sz w:val="18"/>
                <w:szCs w:val="18"/>
              </w:rPr>
            </w:pPr>
            <w:r w:rsidRPr="00872D7E">
              <w:rPr>
                <w:color w:val="000000"/>
                <w:sz w:val="18"/>
                <w:szCs w:val="18"/>
              </w:rPr>
              <w:t>64.898</w:t>
            </w:r>
          </w:p>
        </w:tc>
      </w:tr>
      <w:tr w:rsidR="00EF55AD" w:rsidRPr="00872D7E" w14:paraId="6223BF77" w14:textId="77777777" w:rsidTr="008D7B10">
        <w:trPr>
          <w:trHeight w:val="20"/>
        </w:trPr>
        <w:tc>
          <w:tcPr>
            <w:tcW w:w="125" w:type="pct"/>
            <w:tcBorders>
              <w:top w:val="nil"/>
              <w:left w:val="nil"/>
              <w:bottom w:val="nil"/>
              <w:right w:val="nil"/>
            </w:tcBorders>
            <w:shd w:val="clear" w:color="auto" w:fill="auto"/>
            <w:hideMark/>
          </w:tcPr>
          <w:p w14:paraId="6AAEA663" w14:textId="77777777" w:rsidR="00EF55AD" w:rsidRPr="00872D7E" w:rsidRDefault="00EF55AD" w:rsidP="00EF55AD">
            <w:pPr>
              <w:rPr>
                <w:sz w:val="18"/>
                <w:szCs w:val="18"/>
              </w:rPr>
            </w:pPr>
            <w:r w:rsidRPr="00872D7E">
              <w:rPr>
                <w:sz w:val="18"/>
                <w:szCs w:val="18"/>
              </w:rPr>
              <w:t>2</w:t>
            </w:r>
          </w:p>
        </w:tc>
        <w:tc>
          <w:tcPr>
            <w:tcW w:w="1454" w:type="pct"/>
            <w:tcBorders>
              <w:top w:val="nil"/>
              <w:left w:val="nil"/>
              <w:bottom w:val="nil"/>
              <w:right w:val="nil"/>
            </w:tcBorders>
            <w:shd w:val="clear" w:color="auto" w:fill="auto"/>
            <w:vAlign w:val="center"/>
            <w:hideMark/>
          </w:tcPr>
          <w:p w14:paraId="49321601" w14:textId="77777777" w:rsidR="00EF55AD" w:rsidRPr="00872D7E" w:rsidRDefault="00EF55AD" w:rsidP="00EF55AD">
            <w:pPr>
              <w:rPr>
                <w:sz w:val="18"/>
                <w:szCs w:val="18"/>
              </w:rPr>
            </w:pPr>
            <w:r w:rsidRPr="00872D7E">
              <w:rPr>
                <w:sz w:val="18"/>
                <w:szCs w:val="18"/>
              </w:rPr>
              <w:t>İçsel Model Yöntemi (türev finansal araçlar, repo işlemleri, menkul kıymetler veya emtia ödünç verme veya ödünç alma işlemleri, takas süresi uzun işlemler ile kredili menkul kıymet işlemleri için)</w:t>
            </w:r>
          </w:p>
        </w:tc>
        <w:tc>
          <w:tcPr>
            <w:tcW w:w="502" w:type="pct"/>
            <w:tcBorders>
              <w:top w:val="nil"/>
              <w:left w:val="nil"/>
              <w:bottom w:val="nil"/>
              <w:right w:val="nil"/>
            </w:tcBorders>
            <w:shd w:val="clear" w:color="auto" w:fill="000000" w:themeFill="text1"/>
            <w:noWrap/>
            <w:vAlign w:val="bottom"/>
          </w:tcPr>
          <w:p w14:paraId="21830FBD" w14:textId="51CDB791" w:rsidR="00EF55AD" w:rsidRPr="00872D7E" w:rsidRDefault="00EF55AD" w:rsidP="00EF55AD">
            <w:pPr>
              <w:jc w:val="right"/>
              <w:rPr>
                <w:sz w:val="18"/>
                <w:szCs w:val="18"/>
              </w:rPr>
            </w:pPr>
            <w:r w:rsidRPr="00872D7E">
              <w:rPr>
                <w:color w:val="000000"/>
                <w:sz w:val="18"/>
                <w:szCs w:val="18"/>
              </w:rPr>
              <w:t> </w:t>
            </w:r>
          </w:p>
        </w:tc>
        <w:tc>
          <w:tcPr>
            <w:tcW w:w="544" w:type="pct"/>
            <w:tcBorders>
              <w:top w:val="nil"/>
              <w:left w:val="nil"/>
              <w:bottom w:val="nil"/>
              <w:right w:val="nil"/>
            </w:tcBorders>
            <w:shd w:val="clear" w:color="auto" w:fill="000000" w:themeFill="text1"/>
            <w:noWrap/>
            <w:vAlign w:val="bottom"/>
          </w:tcPr>
          <w:p w14:paraId="3BFF844D" w14:textId="5C08064C" w:rsidR="00EF55AD" w:rsidRPr="00872D7E" w:rsidRDefault="00EF55AD" w:rsidP="00EF55AD">
            <w:pPr>
              <w:jc w:val="right"/>
              <w:rPr>
                <w:sz w:val="18"/>
                <w:szCs w:val="18"/>
              </w:rPr>
            </w:pPr>
            <w:r w:rsidRPr="00872D7E">
              <w:rPr>
                <w:color w:val="000000"/>
                <w:sz w:val="18"/>
                <w:szCs w:val="18"/>
              </w:rPr>
              <w:t> </w:t>
            </w:r>
          </w:p>
        </w:tc>
        <w:tc>
          <w:tcPr>
            <w:tcW w:w="508" w:type="pct"/>
            <w:tcBorders>
              <w:top w:val="nil"/>
              <w:left w:val="nil"/>
              <w:bottom w:val="nil"/>
              <w:right w:val="nil"/>
            </w:tcBorders>
            <w:shd w:val="clear" w:color="auto" w:fill="auto"/>
            <w:noWrap/>
            <w:vAlign w:val="bottom"/>
          </w:tcPr>
          <w:p w14:paraId="5483521E" w14:textId="37444EF7" w:rsidR="00EF55AD" w:rsidRPr="00872D7E" w:rsidRDefault="00EF55AD" w:rsidP="00EF55AD">
            <w:pPr>
              <w:jc w:val="right"/>
              <w:rPr>
                <w:sz w:val="18"/>
                <w:szCs w:val="18"/>
              </w:rPr>
            </w:pPr>
            <w:r w:rsidRPr="00872D7E">
              <w:rPr>
                <w:color w:val="000000"/>
                <w:sz w:val="18"/>
                <w:szCs w:val="18"/>
              </w:rPr>
              <w:t> </w:t>
            </w:r>
          </w:p>
        </w:tc>
        <w:tc>
          <w:tcPr>
            <w:tcW w:w="732" w:type="pct"/>
            <w:tcBorders>
              <w:top w:val="nil"/>
              <w:left w:val="nil"/>
              <w:bottom w:val="nil"/>
              <w:right w:val="nil"/>
            </w:tcBorders>
            <w:shd w:val="clear" w:color="auto" w:fill="auto"/>
            <w:noWrap/>
            <w:vAlign w:val="bottom"/>
          </w:tcPr>
          <w:p w14:paraId="4CF22210" w14:textId="645F9B13" w:rsidR="00EF55AD" w:rsidRPr="00872D7E" w:rsidRDefault="00EF55AD" w:rsidP="00EF55AD">
            <w:pPr>
              <w:jc w:val="right"/>
              <w:rPr>
                <w:sz w:val="18"/>
                <w:szCs w:val="18"/>
              </w:rPr>
            </w:pPr>
            <w:r w:rsidRPr="00872D7E">
              <w:rPr>
                <w:color w:val="000000"/>
                <w:sz w:val="18"/>
                <w:szCs w:val="18"/>
              </w:rPr>
              <w:t> </w:t>
            </w:r>
          </w:p>
        </w:tc>
        <w:tc>
          <w:tcPr>
            <w:tcW w:w="589" w:type="pct"/>
            <w:tcBorders>
              <w:top w:val="nil"/>
              <w:left w:val="nil"/>
              <w:bottom w:val="nil"/>
              <w:right w:val="nil"/>
            </w:tcBorders>
            <w:shd w:val="clear" w:color="auto" w:fill="auto"/>
            <w:noWrap/>
            <w:vAlign w:val="bottom"/>
          </w:tcPr>
          <w:p w14:paraId="00119F80" w14:textId="51D37923" w:rsidR="00EF55AD" w:rsidRPr="00872D7E" w:rsidRDefault="00EF55AD" w:rsidP="00EF55AD">
            <w:pPr>
              <w:jc w:val="right"/>
              <w:rPr>
                <w:sz w:val="18"/>
                <w:szCs w:val="18"/>
              </w:rPr>
            </w:pPr>
            <w:r w:rsidRPr="00872D7E">
              <w:rPr>
                <w:color w:val="000000"/>
                <w:sz w:val="18"/>
                <w:szCs w:val="18"/>
              </w:rPr>
              <w:t>-</w:t>
            </w:r>
          </w:p>
        </w:tc>
        <w:tc>
          <w:tcPr>
            <w:tcW w:w="546" w:type="pct"/>
            <w:tcBorders>
              <w:top w:val="nil"/>
              <w:left w:val="nil"/>
              <w:bottom w:val="nil"/>
              <w:right w:val="nil"/>
            </w:tcBorders>
            <w:shd w:val="clear" w:color="auto" w:fill="auto"/>
            <w:noWrap/>
            <w:vAlign w:val="bottom"/>
          </w:tcPr>
          <w:p w14:paraId="3F20A341" w14:textId="48757D4F" w:rsidR="00EF55AD" w:rsidRPr="00872D7E" w:rsidRDefault="00EF55AD" w:rsidP="00EF55AD">
            <w:pPr>
              <w:jc w:val="right"/>
              <w:rPr>
                <w:sz w:val="18"/>
                <w:szCs w:val="18"/>
              </w:rPr>
            </w:pPr>
            <w:r w:rsidRPr="00872D7E">
              <w:rPr>
                <w:color w:val="000000"/>
                <w:sz w:val="18"/>
                <w:szCs w:val="18"/>
              </w:rPr>
              <w:t>-</w:t>
            </w:r>
          </w:p>
        </w:tc>
      </w:tr>
      <w:tr w:rsidR="00EF55AD" w:rsidRPr="00872D7E" w14:paraId="33919325" w14:textId="77777777" w:rsidTr="008D7B10">
        <w:trPr>
          <w:trHeight w:val="20"/>
        </w:trPr>
        <w:tc>
          <w:tcPr>
            <w:tcW w:w="125" w:type="pct"/>
            <w:tcBorders>
              <w:top w:val="nil"/>
              <w:left w:val="nil"/>
              <w:bottom w:val="nil"/>
              <w:right w:val="nil"/>
            </w:tcBorders>
            <w:shd w:val="clear" w:color="auto" w:fill="auto"/>
            <w:hideMark/>
          </w:tcPr>
          <w:p w14:paraId="10753151" w14:textId="77777777" w:rsidR="00EF55AD" w:rsidRPr="00872D7E" w:rsidRDefault="00EF55AD" w:rsidP="00EF55AD">
            <w:pPr>
              <w:rPr>
                <w:sz w:val="18"/>
                <w:szCs w:val="18"/>
              </w:rPr>
            </w:pPr>
            <w:r w:rsidRPr="00872D7E">
              <w:rPr>
                <w:sz w:val="18"/>
                <w:szCs w:val="18"/>
              </w:rPr>
              <w:t>3</w:t>
            </w:r>
          </w:p>
        </w:tc>
        <w:tc>
          <w:tcPr>
            <w:tcW w:w="1454" w:type="pct"/>
            <w:tcBorders>
              <w:top w:val="nil"/>
              <w:left w:val="nil"/>
              <w:bottom w:val="nil"/>
              <w:right w:val="nil"/>
            </w:tcBorders>
            <w:shd w:val="clear" w:color="auto" w:fill="auto"/>
            <w:vAlign w:val="center"/>
            <w:hideMark/>
          </w:tcPr>
          <w:p w14:paraId="7AF1B847" w14:textId="77777777" w:rsidR="00EF55AD" w:rsidRPr="00872D7E" w:rsidRDefault="00EF55AD" w:rsidP="00EF55AD">
            <w:pPr>
              <w:rPr>
                <w:sz w:val="18"/>
                <w:szCs w:val="18"/>
              </w:rPr>
            </w:pPr>
            <w:r w:rsidRPr="00872D7E">
              <w:rPr>
                <w:sz w:val="18"/>
                <w:szCs w:val="18"/>
              </w:rPr>
              <w:t xml:space="preserve">Kredi riski azaltımı için kullanılan basit </w:t>
            </w:r>
            <w:proofErr w:type="gramStart"/>
            <w:r w:rsidRPr="00872D7E">
              <w:rPr>
                <w:sz w:val="18"/>
                <w:szCs w:val="18"/>
              </w:rPr>
              <w:t>yöntem -</w:t>
            </w:r>
            <w:proofErr w:type="gramEnd"/>
            <w:r w:rsidRPr="00872D7E">
              <w:rPr>
                <w:sz w:val="18"/>
                <w:szCs w:val="18"/>
              </w:rPr>
              <w:t xml:space="preserve"> (repo işlemleri, menkul kıymetler veya emtia ödünç verme veya ödünç alma işlemleri, takas süresi uzun işlemler ile kredili menkul kıymet işlemleri için)</w:t>
            </w:r>
          </w:p>
        </w:tc>
        <w:tc>
          <w:tcPr>
            <w:tcW w:w="502" w:type="pct"/>
            <w:tcBorders>
              <w:top w:val="nil"/>
              <w:left w:val="nil"/>
              <w:bottom w:val="nil"/>
              <w:right w:val="nil"/>
            </w:tcBorders>
            <w:shd w:val="clear" w:color="auto" w:fill="000000" w:themeFill="text1"/>
            <w:noWrap/>
            <w:vAlign w:val="bottom"/>
          </w:tcPr>
          <w:p w14:paraId="2637836A" w14:textId="5E5509A7" w:rsidR="00EF55AD" w:rsidRPr="00872D7E" w:rsidRDefault="00EF55AD" w:rsidP="00EF55AD">
            <w:pPr>
              <w:jc w:val="right"/>
              <w:rPr>
                <w:sz w:val="18"/>
                <w:szCs w:val="18"/>
              </w:rPr>
            </w:pPr>
            <w:r w:rsidRPr="00872D7E">
              <w:rPr>
                <w:color w:val="000000"/>
                <w:sz w:val="18"/>
                <w:szCs w:val="18"/>
              </w:rPr>
              <w:t> </w:t>
            </w:r>
          </w:p>
        </w:tc>
        <w:tc>
          <w:tcPr>
            <w:tcW w:w="544" w:type="pct"/>
            <w:tcBorders>
              <w:top w:val="nil"/>
              <w:left w:val="nil"/>
              <w:bottom w:val="nil"/>
              <w:right w:val="nil"/>
            </w:tcBorders>
            <w:shd w:val="clear" w:color="auto" w:fill="000000" w:themeFill="text1"/>
            <w:noWrap/>
            <w:vAlign w:val="bottom"/>
          </w:tcPr>
          <w:p w14:paraId="3AB94AA8" w14:textId="7F603038" w:rsidR="00EF55AD" w:rsidRPr="00872D7E" w:rsidRDefault="00EF55AD" w:rsidP="00EF55AD">
            <w:pPr>
              <w:jc w:val="right"/>
              <w:rPr>
                <w:sz w:val="18"/>
                <w:szCs w:val="18"/>
              </w:rPr>
            </w:pPr>
            <w:r w:rsidRPr="00872D7E">
              <w:rPr>
                <w:color w:val="000000"/>
                <w:sz w:val="18"/>
                <w:szCs w:val="18"/>
              </w:rPr>
              <w:t> </w:t>
            </w:r>
          </w:p>
        </w:tc>
        <w:tc>
          <w:tcPr>
            <w:tcW w:w="508" w:type="pct"/>
            <w:tcBorders>
              <w:top w:val="nil"/>
              <w:left w:val="nil"/>
              <w:bottom w:val="nil"/>
              <w:right w:val="nil"/>
            </w:tcBorders>
            <w:shd w:val="clear" w:color="auto" w:fill="000000" w:themeFill="text1"/>
            <w:noWrap/>
            <w:vAlign w:val="bottom"/>
          </w:tcPr>
          <w:p w14:paraId="7171DE01" w14:textId="2826CB68" w:rsidR="00EF55AD" w:rsidRPr="00872D7E" w:rsidRDefault="00EF55AD" w:rsidP="00EF55AD">
            <w:pPr>
              <w:jc w:val="right"/>
              <w:rPr>
                <w:sz w:val="18"/>
                <w:szCs w:val="18"/>
              </w:rPr>
            </w:pPr>
            <w:r w:rsidRPr="00872D7E">
              <w:rPr>
                <w:color w:val="000000"/>
                <w:sz w:val="18"/>
                <w:szCs w:val="18"/>
              </w:rPr>
              <w:t> </w:t>
            </w:r>
          </w:p>
        </w:tc>
        <w:tc>
          <w:tcPr>
            <w:tcW w:w="732" w:type="pct"/>
            <w:tcBorders>
              <w:top w:val="nil"/>
              <w:left w:val="nil"/>
              <w:bottom w:val="nil"/>
              <w:right w:val="nil"/>
            </w:tcBorders>
            <w:shd w:val="clear" w:color="auto" w:fill="000000" w:themeFill="text1"/>
            <w:noWrap/>
            <w:vAlign w:val="bottom"/>
          </w:tcPr>
          <w:p w14:paraId="385EB770" w14:textId="73562062" w:rsidR="00EF55AD" w:rsidRPr="00872D7E" w:rsidRDefault="00EF55AD" w:rsidP="00EF55AD">
            <w:pPr>
              <w:jc w:val="right"/>
              <w:rPr>
                <w:sz w:val="18"/>
                <w:szCs w:val="18"/>
              </w:rPr>
            </w:pPr>
            <w:r w:rsidRPr="00872D7E">
              <w:rPr>
                <w:color w:val="000000"/>
                <w:sz w:val="18"/>
                <w:szCs w:val="18"/>
              </w:rPr>
              <w:t> </w:t>
            </w:r>
          </w:p>
        </w:tc>
        <w:tc>
          <w:tcPr>
            <w:tcW w:w="589" w:type="pct"/>
            <w:tcBorders>
              <w:top w:val="nil"/>
              <w:left w:val="nil"/>
              <w:bottom w:val="nil"/>
              <w:right w:val="nil"/>
            </w:tcBorders>
            <w:shd w:val="clear" w:color="auto" w:fill="auto"/>
            <w:noWrap/>
            <w:vAlign w:val="bottom"/>
          </w:tcPr>
          <w:p w14:paraId="24B00CE5" w14:textId="1048F37E" w:rsidR="00EF55AD" w:rsidRPr="00872D7E" w:rsidRDefault="00EF55AD" w:rsidP="00EF55AD">
            <w:pPr>
              <w:jc w:val="right"/>
              <w:rPr>
                <w:sz w:val="18"/>
                <w:szCs w:val="18"/>
              </w:rPr>
            </w:pPr>
            <w:r w:rsidRPr="00872D7E">
              <w:rPr>
                <w:color w:val="000000"/>
                <w:sz w:val="18"/>
                <w:szCs w:val="18"/>
              </w:rPr>
              <w:t>475.539</w:t>
            </w:r>
          </w:p>
        </w:tc>
        <w:tc>
          <w:tcPr>
            <w:tcW w:w="546" w:type="pct"/>
            <w:tcBorders>
              <w:top w:val="nil"/>
              <w:left w:val="nil"/>
              <w:bottom w:val="nil"/>
              <w:right w:val="nil"/>
            </w:tcBorders>
            <w:shd w:val="clear" w:color="auto" w:fill="auto"/>
            <w:noWrap/>
            <w:vAlign w:val="bottom"/>
          </w:tcPr>
          <w:p w14:paraId="10EB726E" w14:textId="16727F66" w:rsidR="00EF55AD" w:rsidRPr="00872D7E" w:rsidRDefault="00EF55AD" w:rsidP="00EF55AD">
            <w:pPr>
              <w:jc w:val="right"/>
              <w:rPr>
                <w:sz w:val="18"/>
                <w:szCs w:val="18"/>
              </w:rPr>
            </w:pPr>
            <w:r w:rsidRPr="00872D7E">
              <w:rPr>
                <w:color w:val="000000"/>
                <w:sz w:val="18"/>
                <w:szCs w:val="18"/>
              </w:rPr>
              <w:t>-</w:t>
            </w:r>
          </w:p>
        </w:tc>
      </w:tr>
      <w:tr w:rsidR="00EF55AD" w:rsidRPr="00872D7E" w14:paraId="7EA33C5C" w14:textId="77777777" w:rsidTr="008D7B10">
        <w:trPr>
          <w:trHeight w:val="20"/>
        </w:trPr>
        <w:tc>
          <w:tcPr>
            <w:tcW w:w="125" w:type="pct"/>
            <w:tcBorders>
              <w:top w:val="nil"/>
              <w:left w:val="nil"/>
              <w:bottom w:val="nil"/>
              <w:right w:val="nil"/>
            </w:tcBorders>
            <w:shd w:val="clear" w:color="auto" w:fill="auto"/>
            <w:hideMark/>
          </w:tcPr>
          <w:p w14:paraId="72C6BA38" w14:textId="77777777" w:rsidR="00EF55AD" w:rsidRPr="00872D7E" w:rsidRDefault="00EF55AD" w:rsidP="00EF55AD">
            <w:pPr>
              <w:rPr>
                <w:sz w:val="18"/>
                <w:szCs w:val="18"/>
              </w:rPr>
            </w:pPr>
            <w:r w:rsidRPr="00872D7E">
              <w:rPr>
                <w:sz w:val="18"/>
                <w:szCs w:val="18"/>
              </w:rPr>
              <w:t>4</w:t>
            </w:r>
          </w:p>
        </w:tc>
        <w:tc>
          <w:tcPr>
            <w:tcW w:w="1454" w:type="pct"/>
            <w:tcBorders>
              <w:top w:val="nil"/>
              <w:left w:val="nil"/>
              <w:bottom w:val="nil"/>
              <w:right w:val="nil"/>
            </w:tcBorders>
            <w:shd w:val="clear" w:color="auto" w:fill="auto"/>
            <w:vAlign w:val="center"/>
            <w:hideMark/>
          </w:tcPr>
          <w:p w14:paraId="4CE2F6FF" w14:textId="77777777" w:rsidR="00EF55AD" w:rsidRPr="00872D7E" w:rsidRDefault="00EF55AD" w:rsidP="00EF55AD">
            <w:pPr>
              <w:rPr>
                <w:sz w:val="18"/>
                <w:szCs w:val="18"/>
              </w:rPr>
            </w:pPr>
            <w:r w:rsidRPr="00872D7E">
              <w:rPr>
                <w:sz w:val="18"/>
                <w:szCs w:val="18"/>
              </w:rPr>
              <w:t xml:space="preserve">Kredi riski azaltımı için kapsamlı yöntem – </w:t>
            </w:r>
            <w:proofErr w:type="gramStart"/>
            <w:r w:rsidRPr="00872D7E">
              <w:rPr>
                <w:sz w:val="18"/>
                <w:szCs w:val="18"/>
              </w:rPr>
              <w:t>( repo</w:t>
            </w:r>
            <w:proofErr w:type="gramEnd"/>
            <w:r w:rsidRPr="00872D7E">
              <w:rPr>
                <w:sz w:val="18"/>
                <w:szCs w:val="18"/>
              </w:rPr>
              <w:t xml:space="preserve"> işlemleri, menkul kıymetler veya emtia ödünç verme veya ödünç alma işlemleri, takas süresi uzun işlemler ile kredili menkul kıymet işlemleri için)</w:t>
            </w:r>
          </w:p>
        </w:tc>
        <w:tc>
          <w:tcPr>
            <w:tcW w:w="502" w:type="pct"/>
            <w:tcBorders>
              <w:top w:val="nil"/>
              <w:left w:val="nil"/>
              <w:bottom w:val="nil"/>
              <w:right w:val="nil"/>
            </w:tcBorders>
            <w:shd w:val="clear" w:color="auto" w:fill="000000" w:themeFill="text1"/>
            <w:noWrap/>
            <w:vAlign w:val="bottom"/>
          </w:tcPr>
          <w:p w14:paraId="3A2A69D5" w14:textId="418E39FB" w:rsidR="00EF55AD" w:rsidRPr="00872D7E" w:rsidRDefault="00EF55AD" w:rsidP="00EF55AD">
            <w:pPr>
              <w:jc w:val="right"/>
              <w:rPr>
                <w:sz w:val="18"/>
                <w:szCs w:val="18"/>
              </w:rPr>
            </w:pPr>
            <w:r w:rsidRPr="00872D7E">
              <w:rPr>
                <w:color w:val="000000"/>
                <w:sz w:val="18"/>
                <w:szCs w:val="18"/>
              </w:rPr>
              <w:t> </w:t>
            </w:r>
          </w:p>
        </w:tc>
        <w:tc>
          <w:tcPr>
            <w:tcW w:w="544" w:type="pct"/>
            <w:tcBorders>
              <w:top w:val="nil"/>
              <w:left w:val="nil"/>
              <w:bottom w:val="nil"/>
              <w:right w:val="nil"/>
            </w:tcBorders>
            <w:shd w:val="clear" w:color="auto" w:fill="000000" w:themeFill="text1"/>
            <w:noWrap/>
            <w:vAlign w:val="bottom"/>
          </w:tcPr>
          <w:p w14:paraId="082AD804" w14:textId="0853286E" w:rsidR="00EF55AD" w:rsidRPr="00872D7E" w:rsidRDefault="00EF55AD" w:rsidP="00EF55AD">
            <w:pPr>
              <w:jc w:val="right"/>
              <w:rPr>
                <w:sz w:val="18"/>
                <w:szCs w:val="18"/>
              </w:rPr>
            </w:pPr>
            <w:r w:rsidRPr="00872D7E">
              <w:rPr>
                <w:color w:val="000000"/>
                <w:sz w:val="18"/>
                <w:szCs w:val="18"/>
              </w:rPr>
              <w:t> </w:t>
            </w:r>
          </w:p>
        </w:tc>
        <w:tc>
          <w:tcPr>
            <w:tcW w:w="508" w:type="pct"/>
            <w:tcBorders>
              <w:top w:val="nil"/>
              <w:left w:val="nil"/>
              <w:bottom w:val="nil"/>
              <w:right w:val="nil"/>
            </w:tcBorders>
            <w:shd w:val="clear" w:color="auto" w:fill="000000" w:themeFill="text1"/>
            <w:noWrap/>
            <w:vAlign w:val="bottom"/>
          </w:tcPr>
          <w:p w14:paraId="6EADB770" w14:textId="7942BA0E" w:rsidR="00EF55AD" w:rsidRPr="00872D7E" w:rsidRDefault="00EF55AD" w:rsidP="00EF55AD">
            <w:pPr>
              <w:jc w:val="right"/>
              <w:rPr>
                <w:sz w:val="18"/>
                <w:szCs w:val="18"/>
              </w:rPr>
            </w:pPr>
            <w:r w:rsidRPr="00872D7E">
              <w:rPr>
                <w:color w:val="000000"/>
                <w:sz w:val="18"/>
                <w:szCs w:val="18"/>
              </w:rPr>
              <w:t> </w:t>
            </w:r>
          </w:p>
        </w:tc>
        <w:tc>
          <w:tcPr>
            <w:tcW w:w="732" w:type="pct"/>
            <w:tcBorders>
              <w:top w:val="nil"/>
              <w:left w:val="nil"/>
              <w:bottom w:val="nil"/>
              <w:right w:val="nil"/>
            </w:tcBorders>
            <w:shd w:val="clear" w:color="auto" w:fill="000000" w:themeFill="text1"/>
            <w:noWrap/>
            <w:vAlign w:val="bottom"/>
          </w:tcPr>
          <w:p w14:paraId="1963476A" w14:textId="0FE8B0D6" w:rsidR="00EF55AD" w:rsidRPr="00872D7E" w:rsidRDefault="00EF55AD" w:rsidP="00EF55AD">
            <w:pPr>
              <w:jc w:val="right"/>
              <w:rPr>
                <w:sz w:val="18"/>
                <w:szCs w:val="18"/>
              </w:rPr>
            </w:pPr>
            <w:r w:rsidRPr="00872D7E">
              <w:rPr>
                <w:color w:val="000000"/>
                <w:sz w:val="18"/>
                <w:szCs w:val="18"/>
              </w:rPr>
              <w:t> </w:t>
            </w:r>
          </w:p>
        </w:tc>
        <w:tc>
          <w:tcPr>
            <w:tcW w:w="589" w:type="pct"/>
            <w:tcBorders>
              <w:top w:val="nil"/>
              <w:left w:val="nil"/>
              <w:bottom w:val="nil"/>
              <w:right w:val="nil"/>
            </w:tcBorders>
            <w:shd w:val="clear" w:color="auto" w:fill="auto"/>
            <w:noWrap/>
            <w:vAlign w:val="bottom"/>
          </w:tcPr>
          <w:p w14:paraId="10B76D93" w14:textId="388C27C2" w:rsidR="00EF55AD" w:rsidRPr="00872D7E" w:rsidRDefault="00EF55AD" w:rsidP="00EF55AD">
            <w:pPr>
              <w:jc w:val="right"/>
              <w:rPr>
                <w:sz w:val="18"/>
                <w:szCs w:val="18"/>
              </w:rPr>
            </w:pPr>
            <w:r w:rsidRPr="00872D7E">
              <w:rPr>
                <w:color w:val="000000"/>
                <w:sz w:val="18"/>
                <w:szCs w:val="18"/>
              </w:rPr>
              <w:t>-</w:t>
            </w:r>
          </w:p>
        </w:tc>
        <w:tc>
          <w:tcPr>
            <w:tcW w:w="546" w:type="pct"/>
            <w:tcBorders>
              <w:top w:val="nil"/>
              <w:left w:val="nil"/>
              <w:bottom w:val="nil"/>
              <w:right w:val="nil"/>
            </w:tcBorders>
            <w:shd w:val="clear" w:color="auto" w:fill="auto"/>
            <w:noWrap/>
            <w:vAlign w:val="bottom"/>
          </w:tcPr>
          <w:p w14:paraId="67F35F7D" w14:textId="263D7D9F" w:rsidR="00EF55AD" w:rsidRPr="00872D7E" w:rsidRDefault="00EF55AD" w:rsidP="00EF55AD">
            <w:pPr>
              <w:jc w:val="right"/>
              <w:rPr>
                <w:sz w:val="18"/>
                <w:szCs w:val="18"/>
              </w:rPr>
            </w:pPr>
            <w:r w:rsidRPr="00872D7E">
              <w:rPr>
                <w:color w:val="000000"/>
                <w:sz w:val="18"/>
                <w:szCs w:val="18"/>
              </w:rPr>
              <w:t>-</w:t>
            </w:r>
          </w:p>
        </w:tc>
      </w:tr>
      <w:tr w:rsidR="00EF55AD" w:rsidRPr="00872D7E" w14:paraId="5F5F0071" w14:textId="77777777" w:rsidTr="007B041F">
        <w:trPr>
          <w:trHeight w:val="20"/>
        </w:trPr>
        <w:tc>
          <w:tcPr>
            <w:tcW w:w="125" w:type="pct"/>
            <w:tcBorders>
              <w:top w:val="nil"/>
              <w:left w:val="nil"/>
              <w:bottom w:val="single" w:sz="4" w:space="0" w:color="auto"/>
              <w:right w:val="nil"/>
            </w:tcBorders>
            <w:shd w:val="clear" w:color="auto" w:fill="auto"/>
            <w:hideMark/>
          </w:tcPr>
          <w:p w14:paraId="574FA296" w14:textId="77777777" w:rsidR="00EF55AD" w:rsidRPr="00872D7E" w:rsidRDefault="00EF55AD" w:rsidP="00EF55AD">
            <w:pPr>
              <w:rPr>
                <w:sz w:val="18"/>
                <w:szCs w:val="18"/>
              </w:rPr>
            </w:pPr>
            <w:r w:rsidRPr="00872D7E">
              <w:rPr>
                <w:sz w:val="18"/>
                <w:szCs w:val="18"/>
              </w:rPr>
              <w:t>5</w:t>
            </w:r>
          </w:p>
        </w:tc>
        <w:tc>
          <w:tcPr>
            <w:tcW w:w="1454" w:type="pct"/>
            <w:tcBorders>
              <w:top w:val="nil"/>
              <w:left w:val="nil"/>
              <w:bottom w:val="single" w:sz="4" w:space="0" w:color="auto"/>
              <w:right w:val="nil"/>
            </w:tcBorders>
            <w:shd w:val="clear" w:color="auto" w:fill="auto"/>
            <w:vAlign w:val="center"/>
            <w:hideMark/>
          </w:tcPr>
          <w:p w14:paraId="251D366D" w14:textId="77777777" w:rsidR="00EF55AD" w:rsidRPr="00872D7E" w:rsidRDefault="00EF55AD" w:rsidP="00EF55AD">
            <w:pPr>
              <w:rPr>
                <w:sz w:val="18"/>
                <w:szCs w:val="18"/>
              </w:rPr>
            </w:pPr>
            <w:r w:rsidRPr="00872D7E">
              <w:rPr>
                <w:sz w:val="18"/>
                <w:szCs w:val="18"/>
              </w:rPr>
              <w:t>Repo işlemleri, menkul kıymetler veya emtia ödünç verme veya ödünç alma işlemleri, takas süresi uzun işlemler ile kredili menkul kıymet işlemleri için riske maruz değer</w:t>
            </w:r>
          </w:p>
        </w:tc>
        <w:tc>
          <w:tcPr>
            <w:tcW w:w="502" w:type="pct"/>
            <w:tcBorders>
              <w:top w:val="nil"/>
              <w:left w:val="nil"/>
              <w:bottom w:val="single" w:sz="4" w:space="0" w:color="auto"/>
              <w:right w:val="nil"/>
            </w:tcBorders>
            <w:shd w:val="clear" w:color="auto" w:fill="000000" w:themeFill="text1"/>
            <w:noWrap/>
            <w:vAlign w:val="bottom"/>
          </w:tcPr>
          <w:p w14:paraId="6CBDB695" w14:textId="20090F1C" w:rsidR="00EF55AD" w:rsidRPr="00872D7E" w:rsidRDefault="00EF55AD" w:rsidP="00EF55AD">
            <w:pPr>
              <w:jc w:val="right"/>
              <w:rPr>
                <w:sz w:val="18"/>
                <w:szCs w:val="18"/>
              </w:rPr>
            </w:pPr>
            <w:r w:rsidRPr="00872D7E">
              <w:rPr>
                <w:color w:val="000000"/>
                <w:sz w:val="18"/>
                <w:szCs w:val="18"/>
              </w:rPr>
              <w:t> </w:t>
            </w:r>
          </w:p>
        </w:tc>
        <w:tc>
          <w:tcPr>
            <w:tcW w:w="544" w:type="pct"/>
            <w:tcBorders>
              <w:top w:val="nil"/>
              <w:left w:val="nil"/>
              <w:bottom w:val="single" w:sz="4" w:space="0" w:color="auto"/>
              <w:right w:val="nil"/>
            </w:tcBorders>
            <w:shd w:val="clear" w:color="auto" w:fill="000000" w:themeFill="text1"/>
            <w:noWrap/>
            <w:vAlign w:val="bottom"/>
          </w:tcPr>
          <w:p w14:paraId="45125ACE" w14:textId="1695708D" w:rsidR="00EF55AD" w:rsidRPr="00872D7E" w:rsidRDefault="00EF55AD" w:rsidP="00EF55AD">
            <w:pPr>
              <w:jc w:val="right"/>
              <w:rPr>
                <w:sz w:val="18"/>
                <w:szCs w:val="18"/>
              </w:rPr>
            </w:pPr>
            <w:r w:rsidRPr="00872D7E">
              <w:rPr>
                <w:color w:val="000000"/>
                <w:sz w:val="18"/>
                <w:szCs w:val="18"/>
              </w:rPr>
              <w:t> </w:t>
            </w:r>
          </w:p>
        </w:tc>
        <w:tc>
          <w:tcPr>
            <w:tcW w:w="508" w:type="pct"/>
            <w:tcBorders>
              <w:top w:val="nil"/>
              <w:left w:val="nil"/>
              <w:bottom w:val="single" w:sz="4" w:space="0" w:color="auto"/>
              <w:right w:val="nil"/>
            </w:tcBorders>
            <w:shd w:val="clear" w:color="auto" w:fill="000000" w:themeFill="text1"/>
            <w:noWrap/>
            <w:vAlign w:val="bottom"/>
          </w:tcPr>
          <w:p w14:paraId="6C32613B" w14:textId="7E0BA0B8" w:rsidR="00EF55AD" w:rsidRPr="00872D7E" w:rsidRDefault="00EF55AD" w:rsidP="00EF55AD">
            <w:pPr>
              <w:jc w:val="right"/>
              <w:rPr>
                <w:sz w:val="18"/>
                <w:szCs w:val="18"/>
              </w:rPr>
            </w:pPr>
            <w:r w:rsidRPr="00872D7E">
              <w:rPr>
                <w:color w:val="000000"/>
                <w:sz w:val="18"/>
                <w:szCs w:val="18"/>
              </w:rPr>
              <w:t> </w:t>
            </w:r>
          </w:p>
        </w:tc>
        <w:tc>
          <w:tcPr>
            <w:tcW w:w="732" w:type="pct"/>
            <w:tcBorders>
              <w:top w:val="nil"/>
              <w:left w:val="nil"/>
              <w:bottom w:val="single" w:sz="4" w:space="0" w:color="auto"/>
              <w:right w:val="nil"/>
            </w:tcBorders>
            <w:shd w:val="clear" w:color="auto" w:fill="000000" w:themeFill="text1"/>
            <w:noWrap/>
            <w:vAlign w:val="bottom"/>
          </w:tcPr>
          <w:p w14:paraId="63C910D0" w14:textId="1F21A855" w:rsidR="00EF55AD" w:rsidRPr="00872D7E" w:rsidRDefault="00EF55AD" w:rsidP="00EF55AD">
            <w:pPr>
              <w:jc w:val="right"/>
              <w:rPr>
                <w:sz w:val="18"/>
                <w:szCs w:val="18"/>
              </w:rPr>
            </w:pPr>
            <w:r w:rsidRPr="00872D7E">
              <w:rPr>
                <w:color w:val="000000"/>
                <w:sz w:val="18"/>
                <w:szCs w:val="18"/>
              </w:rPr>
              <w:t> </w:t>
            </w:r>
          </w:p>
        </w:tc>
        <w:tc>
          <w:tcPr>
            <w:tcW w:w="589" w:type="pct"/>
            <w:tcBorders>
              <w:top w:val="nil"/>
              <w:left w:val="nil"/>
              <w:bottom w:val="single" w:sz="4" w:space="0" w:color="auto"/>
              <w:right w:val="nil"/>
            </w:tcBorders>
            <w:shd w:val="clear" w:color="auto" w:fill="auto"/>
            <w:noWrap/>
            <w:vAlign w:val="bottom"/>
          </w:tcPr>
          <w:p w14:paraId="3396E97C" w14:textId="6118D6EE" w:rsidR="00EF55AD" w:rsidRPr="00872D7E" w:rsidRDefault="00EF55AD" w:rsidP="00EF55AD">
            <w:pPr>
              <w:jc w:val="right"/>
              <w:rPr>
                <w:sz w:val="18"/>
                <w:szCs w:val="18"/>
              </w:rPr>
            </w:pPr>
            <w:r w:rsidRPr="00872D7E">
              <w:rPr>
                <w:color w:val="000000"/>
                <w:sz w:val="18"/>
                <w:szCs w:val="18"/>
              </w:rPr>
              <w:t>-</w:t>
            </w:r>
          </w:p>
        </w:tc>
        <w:tc>
          <w:tcPr>
            <w:tcW w:w="546" w:type="pct"/>
            <w:tcBorders>
              <w:top w:val="nil"/>
              <w:left w:val="nil"/>
              <w:bottom w:val="single" w:sz="4" w:space="0" w:color="auto"/>
              <w:right w:val="nil"/>
            </w:tcBorders>
            <w:shd w:val="clear" w:color="auto" w:fill="auto"/>
            <w:noWrap/>
            <w:vAlign w:val="bottom"/>
          </w:tcPr>
          <w:p w14:paraId="3F87FF6E" w14:textId="6D8901BA" w:rsidR="00EF55AD" w:rsidRPr="00872D7E" w:rsidRDefault="00EF55AD" w:rsidP="00EF55AD">
            <w:pPr>
              <w:jc w:val="right"/>
              <w:rPr>
                <w:sz w:val="18"/>
                <w:szCs w:val="18"/>
              </w:rPr>
            </w:pPr>
            <w:r w:rsidRPr="00872D7E">
              <w:rPr>
                <w:color w:val="000000"/>
                <w:sz w:val="18"/>
                <w:szCs w:val="18"/>
              </w:rPr>
              <w:t>-</w:t>
            </w:r>
          </w:p>
        </w:tc>
      </w:tr>
      <w:tr w:rsidR="00EF55AD" w:rsidRPr="00872D7E" w14:paraId="5C5A0144" w14:textId="77777777" w:rsidTr="007B041F">
        <w:trPr>
          <w:trHeight w:val="20"/>
        </w:trPr>
        <w:tc>
          <w:tcPr>
            <w:tcW w:w="125" w:type="pct"/>
            <w:tcBorders>
              <w:top w:val="single" w:sz="4" w:space="0" w:color="auto"/>
              <w:left w:val="nil"/>
              <w:bottom w:val="single" w:sz="4" w:space="0" w:color="auto"/>
              <w:right w:val="nil"/>
            </w:tcBorders>
            <w:shd w:val="clear" w:color="auto" w:fill="auto"/>
            <w:hideMark/>
          </w:tcPr>
          <w:p w14:paraId="5AA0D4F4" w14:textId="77777777" w:rsidR="00EF55AD" w:rsidRPr="00872D7E" w:rsidRDefault="00EF55AD" w:rsidP="00EF55AD">
            <w:pPr>
              <w:rPr>
                <w:b/>
                <w:sz w:val="18"/>
                <w:szCs w:val="18"/>
              </w:rPr>
            </w:pPr>
            <w:r w:rsidRPr="00872D7E">
              <w:rPr>
                <w:b/>
                <w:sz w:val="18"/>
                <w:szCs w:val="18"/>
              </w:rPr>
              <w:t>6</w:t>
            </w:r>
          </w:p>
        </w:tc>
        <w:tc>
          <w:tcPr>
            <w:tcW w:w="1454" w:type="pct"/>
            <w:tcBorders>
              <w:top w:val="single" w:sz="4" w:space="0" w:color="auto"/>
              <w:left w:val="nil"/>
              <w:bottom w:val="single" w:sz="4" w:space="0" w:color="auto"/>
              <w:right w:val="nil"/>
            </w:tcBorders>
            <w:shd w:val="clear" w:color="auto" w:fill="auto"/>
            <w:hideMark/>
          </w:tcPr>
          <w:p w14:paraId="67166FAD" w14:textId="77777777" w:rsidR="00EF55AD" w:rsidRPr="00872D7E" w:rsidRDefault="00EF55AD" w:rsidP="00EF55AD">
            <w:pPr>
              <w:rPr>
                <w:b/>
                <w:sz w:val="18"/>
                <w:szCs w:val="18"/>
              </w:rPr>
            </w:pPr>
            <w:r w:rsidRPr="00872D7E">
              <w:rPr>
                <w:b/>
                <w:sz w:val="18"/>
                <w:szCs w:val="18"/>
              </w:rPr>
              <w:t>Toplam</w:t>
            </w:r>
          </w:p>
        </w:tc>
        <w:tc>
          <w:tcPr>
            <w:tcW w:w="502" w:type="pct"/>
            <w:tcBorders>
              <w:top w:val="single" w:sz="4" w:space="0" w:color="auto"/>
              <w:left w:val="nil"/>
              <w:bottom w:val="single" w:sz="4" w:space="0" w:color="auto"/>
              <w:right w:val="nil"/>
            </w:tcBorders>
            <w:shd w:val="clear" w:color="auto" w:fill="000000" w:themeFill="text1"/>
            <w:noWrap/>
            <w:vAlign w:val="bottom"/>
          </w:tcPr>
          <w:p w14:paraId="62C73449" w14:textId="3C14277E" w:rsidR="00EF55AD" w:rsidRPr="00872D7E" w:rsidRDefault="00EF55AD" w:rsidP="00EF55AD">
            <w:pPr>
              <w:jc w:val="right"/>
              <w:rPr>
                <w:b/>
                <w:bCs/>
                <w:sz w:val="18"/>
                <w:szCs w:val="18"/>
              </w:rPr>
            </w:pPr>
            <w:r w:rsidRPr="00872D7E">
              <w:rPr>
                <w:b/>
                <w:bCs/>
                <w:color w:val="000000"/>
                <w:sz w:val="18"/>
                <w:szCs w:val="18"/>
              </w:rPr>
              <w:t> </w:t>
            </w:r>
          </w:p>
        </w:tc>
        <w:tc>
          <w:tcPr>
            <w:tcW w:w="544" w:type="pct"/>
            <w:tcBorders>
              <w:top w:val="single" w:sz="4" w:space="0" w:color="auto"/>
              <w:left w:val="nil"/>
              <w:bottom w:val="single" w:sz="4" w:space="0" w:color="auto"/>
              <w:right w:val="nil"/>
            </w:tcBorders>
            <w:shd w:val="clear" w:color="auto" w:fill="000000" w:themeFill="text1"/>
            <w:noWrap/>
            <w:vAlign w:val="bottom"/>
          </w:tcPr>
          <w:p w14:paraId="0F2DB8B4" w14:textId="6C3BEE67" w:rsidR="00EF55AD" w:rsidRPr="00872D7E" w:rsidRDefault="00EF55AD" w:rsidP="00EF55AD">
            <w:pPr>
              <w:jc w:val="right"/>
              <w:rPr>
                <w:b/>
                <w:bCs/>
                <w:sz w:val="18"/>
                <w:szCs w:val="18"/>
              </w:rPr>
            </w:pPr>
            <w:r w:rsidRPr="00872D7E">
              <w:rPr>
                <w:b/>
                <w:bCs/>
                <w:color w:val="000000"/>
                <w:sz w:val="18"/>
                <w:szCs w:val="18"/>
              </w:rPr>
              <w:t> </w:t>
            </w:r>
          </w:p>
        </w:tc>
        <w:tc>
          <w:tcPr>
            <w:tcW w:w="508" w:type="pct"/>
            <w:tcBorders>
              <w:top w:val="single" w:sz="4" w:space="0" w:color="auto"/>
              <w:left w:val="nil"/>
              <w:bottom w:val="single" w:sz="4" w:space="0" w:color="auto"/>
              <w:right w:val="nil"/>
            </w:tcBorders>
            <w:shd w:val="clear" w:color="auto" w:fill="000000" w:themeFill="text1"/>
            <w:noWrap/>
            <w:vAlign w:val="bottom"/>
          </w:tcPr>
          <w:p w14:paraId="68137F3F" w14:textId="5235D942" w:rsidR="00EF55AD" w:rsidRPr="00872D7E" w:rsidRDefault="00EF55AD" w:rsidP="00EF55AD">
            <w:pPr>
              <w:jc w:val="right"/>
              <w:rPr>
                <w:b/>
                <w:bCs/>
                <w:sz w:val="18"/>
                <w:szCs w:val="18"/>
              </w:rPr>
            </w:pPr>
            <w:r w:rsidRPr="00872D7E">
              <w:rPr>
                <w:b/>
                <w:bCs/>
                <w:color w:val="000000"/>
                <w:sz w:val="18"/>
                <w:szCs w:val="18"/>
              </w:rPr>
              <w:t> </w:t>
            </w:r>
          </w:p>
        </w:tc>
        <w:tc>
          <w:tcPr>
            <w:tcW w:w="732" w:type="pct"/>
            <w:tcBorders>
              <w:top w:val="single" w:sz="4" w:space="0" w:color="auto"/>
              <w:left w:val="nil"/>
              <w:bottom w:val="single" w:sz="4" w:space="0" w:color="auto"/>
              <w:right w:val="nil"/>
            </w:tcBorders>
            <w:shd w:val="clear" w:color="auto" w:fill="000000" w:themeFill="text1"/>
            <w:noWrap/>
            <w:vAlign w:val="bottom"/>
          </w:tcPr>
          <w:p w14:paraId="4F057405" w14:textId="76DC8BEB" w:rsidR="00EF55AD" w:rsidRPr="00872D7E" w:rsidRDefault="00EF55AD" w:rsidP="00EF55AD">
            <w:pPr>
              <w:jc w:val="right"/>
              <w:rPr>
                <w:b/>
                <w:bCs/>
                <w:sz w:val="18"/>
                <w:szCs w:val="18"/>
              </w:rPr>
            </w:pPr>
            <w:r w:rsidRPr="00872D7E">
              <w:rPr>
                <w:b/>
                <w:bCs/>
                <w:color w:val="000000"/>
                <w:sz w:val="18"/>
                <w:szCs w:val="18"/>
              </w:rPr>
              <w:t> </w:t>
            </w:r>
          </w:p>
        </w:tc>
        <w:tc>
          <w:tcPr>
            <w:tcW w:w="589" w:type="pct"/>
            <w:tcBorders>
              <w:top w:val="single" w:sz="4" w:space="0" w:color="auto"/>
              <w:left w:val="nil"/>
              <w:bottom w:val="single" w:sz="4" w:space="0" w:color="auto"/>
              <w:right w:val="nil"/>
            </w:tcBorders>
            <w:shd w:val="clear" w:color="auto" w:fill="000000" w:themeFill="text1"/>
            <w:noWrap/>
            <w:vAlign w:val="bottom"/>
          </w:tcPr>
          <w:p w14:paraId="1F40BF62" w14:textId="05F0B980" w:rsidR="00EF55AD" w:rsidRPr="00872D7E" w:rsidRDefault="00EF55AD" w:rsidP="00EF55AD">
            <w:pPr>
              <w:jc w:val="right"/>
              <w:rPr>
                <w:b/>
                <w:bCs/>
                <w:sz w:val="18"/>
                <w:szCs w:val="18"/>
              </w:rPr>
            </w:pPr>
            <w:r w:rsidRPr="00872D7E">
              <w:rPr>
                <w:b/>
                <w:bCs/>
                <w:color w:val="000000"/>
                <w:sz w:val="18"/>
                <w:szCs w:val="18"/>
              </w:rPr>
              <w:t> </w:t>
            </w:r>
          </w:p>
        </w:tc>
        <w:tc>
          <w:tcPr>
            <w:tcW w:w="546" w:type="pct"/>
            <w:tcBorders>
              <w:top w:val="single" w:sz="4" w:space="0" w:color="auto"/>
              <w:left w:val="nil"/>
              <w:bottom w:val="single" w:sz="4" w:space="0" w:color="auto"/>
              <w:right w:val="nil"/>
            </w:tcBorders>
            <w:shd w:val="clear" w:color="auto" w:fill="auto"/>
            <w:noWrap/>
            <w:vAlign w:val="bottom"/>
          </w:tcPr>
          <w:p w14:paraId="11FAC4BB" w14:textId="1A0B4EC6" w:rsidR="00EF55AD" w:rsidRPr="00872D7E" w:rsidRDefault="00EF55AD" w:rsidP="00EF55AD">
            <w:pPr>
              <w:jc w:val="right"/>
              <w:rPr>
                <w:b/>
                <w:bCs/>
                <w:sz w:val="18"/>
                <w:szCs w:val="18"/>
              </w:rPr>
            </w:pPr>
            <w:r w:rsidRPr="00872D7E">
              <w:rPr>
                <w:b/>
                <w:bCs/>
                <w:color w:val="000000"/>
                <w:sz w:val="18"/>
                <w:szCs w:val="18"/>
              </w:rPr>
              <w:t>64.898</w:t>
            </w:r>
          </w:p>
        </w:tc>
      </w:tr>
      <w:tr w:rsidR="00EF55AD" w:rsidRPr="00872D7E" w14:paraId="11F11658" w14:textId="77777777" w:rsidTr="007B041F">
        <w:trPr>
          <w:trHeight w:val="20"/>
        </w:trPr>
        <w:tc>
          <w:tcPr>
            <w:tcW w:w="5000" w:type="pct"/>
            <w:gridSpan w:val="8"/>
            <w:tcBorders>
              <w:top w:val="single" w:sz="4" w:space="0" w:color="auto"/>
              <w:left w:val="nil"/>
              <w:bottom w:val="nil"/>
              <w:right w:val="nil"/>
            </w:tcBorders>
            <w:shd w:val="clear" w:color="auto" w:fill="auto"/>
            <w:hideMark/>
          </w:tcPr>
          <w:p w14:paraId="03EF648D" w14:textId="77777777" w:rsidR="00EF55AD" w:rsidRPr="00872D7E" w:rsidRDefault="00EF55AD" w:rsidP="00033CCA">
            <w:pPr>
              <w:spacing w:before="60"/>
              <w:rPr>
                <w:sz w:val="18"/>
                <w:szCs w:val="18"/>
                <w:vertAlign w:val="superscript"/>
              </w:rPr>
            </w:pPr>
            <w:r w:rsidRPr="00872D7E">
              <w:rPr>
                <w:sz w:val="18"/>
                <w:szCs w:val="18"/>
                <w:vertAlign w:val="superscript"/>
              </w:rPr>
              <w:t xml:space="preserve"> (*) Efektif beklenen pozitif risk tutarı</w:t>
            </w:r>
          </w:p>
        </w:tc>
      </w:tr>
    </w:tbl>
    <w:p w14:paraId="261B97B3" w14:textId="5CFA9403" w:rsidR="00344C7A" w:rsidRPr="00872D7E" w:rsidRDefault="008C5672" w:rsidP="006E16D5">
      <w:pPr>
        <w:spacing w:before="120" w:after="120"/>
        <w:ind w:left="851" w:hanging="852"/>
        <w:rPr>
          <w:b/>
          <w:szCs w:val="20"/>
        </w:rPr>
      </w:pPr>
      <w:r w:rsidRPr="00872D7E">
        <w:rPr>
          <w:b/>
          <w:szCs w:val="20"/>
        </w:rPr>
        <w:t>d</w:t>
      </w:r>
      <w:r w:rsidR="00344C7A" w:rsidRPr="00872D7E">
        <w:rPr>
          <w:b/>
          <w:szCs w:val="20"/>
        </w:rPr>
        <w:t>.2.</w:t>
      </w:r>
      <w:r w:rsidR="00344C7A" w:rsidRPr="00872D7E">
        <w:rPr>
          <w:b/>
          <w:szCs w:val="20"/>
        </w:rPr>
        <w:tab/>
        <w:t>Kredi Değerleme Ayarlamaları (KDA) İçin Sermaye Yükümlülüğü:</w:t>
      </w:r>
    </w:p>
    <w:tbl>
      <w:tblPr>
        <w:tblW w:w="4997" w:type="pct"/>
        <w:tblLayout w:type="fixed"/>
        <w:tblCellMar>
          <w:left w:w="70" w:type="dxa"/>
          <w:right w:w="70" w:type="dxa"/>
        </w:tblCellMar>
        <w:tblLook w:val="04A0" w:firstRow="1" w:lastRow="0" w:firstColumn="1" w:lastColumn="0" w:noHBand="0" w:noVBand="1"/>
      </w:tblPr>
      <w:tblGrid>
        <w:gridCol w:w="406"/>
        <w:gridCol w:w="3705"/>
        <w:gridCol w:w="1984"/>
        <w:gridCol w:w="977"/>
        <w:gridCol w:w="1663"/>
        <w:gridCol w:w="898"/>
      </w:tblGrid>
      <w:tr w:rsidR="00EF55AD" w:rsidRPr="00872D7E" w14:paraId="510DDFAB" w14:textId="77777777" w:rsidTr="008D7B10">
        <w:trPr>
          <w:trHeight w:val="20"/>
        </w:trPr>
        <w:tc>
          <w:tcPr>
            <w:tcW w:w="211" w:type="pct"/>
            <w:tcBorders>
              <w:top w:val="single" w:sz="4" w:space="0" w:color="auto"/>
              <w:bottom w:val="single" w:sz="4" w:space="0" w:color="auto"/>
            </w:tcBorders>
            <w:shd w:val="clear" w:color="auto" w:fill="auto"/>
            <w:noWrap/>
            <w:vAlign w:val="bottom"/>
          </w:tcPr>
          <w:p w14:paraId="3379D00F" w14:textId="77777777" w:rsidR="00EF55AD" w:rsidRPr="00872D7E" w:rsidRDefault="00EF55AD" w:rsidP="00033CCA">
            <w:pPr>
              <w:rPr>
                <w:b/>
                <w:color w:val="000000"/>
                <w:sz w:val="18"/>
                <w:szCs w:val="18"/>
              </w:rPr>
            </w:pPr>
          </w:p>
        </w:tc>
        <w:tc>
          <w:tcPr>
            <w:tcW w:w="1923" w:type="pct"/>
            <w:tcBorders>
              <w:top w:val="single" w:sz="4" w:space="0" w:color="auto"/>
              <w:bottom w:val="single" w:sz="4" w:space="0" w:color="auto"/>
            </w:tcBorders>
            <w:shd w:val="clear" w:color="auto" w:fill="auto"/>
            <w:noWrap/>
            <w:vAlign w:val="bottom"/>
          </w:tcPr>
          <w:p w14:paraId="632F99A0" w14:textId="77777777" w:rsidR="00EF55AD" w:rsidRPr="00872D7E" w:rsidRDefault="00EF55AD" w:rsidP="00033CCA">
            <w:pPr>
              <w:rPr>
                <w:b/>
                <w:sz w:val="18"/>
                <w:szCs w:val="18"/>
              </w:rPr>
            </w:pPr>
          </w:p>
        </w:tc>
        <w:tc>
          <w:tcPr>
            <w:tcW w:w="1535" w:type="pct"/>
            <w:gridSpan w:val="2"/>
            <w:tcBorders>
              <w:top w:val="single" w:sz="4" w:space="0" w:color="auto"/>
              <w:bottom w:val="single" w:sz="4" w:space="0" w:color="auto"/>
            </w:tcBorders>
            <w:shd w:val="clear" w:color="auto" w:fill="auto"/>
            <w:vAlign w:val="bottom"/>
          </w:tcPr>
          <w:p w14:paraId="34258896" w14:textId="3040FC34" w:rsidR="00EF55AD" w:rsidRPr="00872D7E" w:rsidRDefault="008D7B10" w:rsidP="00033CCA">
            <w:pPr>
              <w:jc w:val="center"/>
              <w:rPr>
                <w:b/>
                <w:sz w:val="18"/>
                <w:szCs w:val="18"/>
              </w:rPr>
            </w:pPr>
            <w:r w:rsidRPr="00872D7E">
              <w:rPr>
                <w:b/>
                <w:sz w:val="18"/>
                <w:szCs w:val="18"/>
              </w:rPr>
              <w:t>31 Aralık 2024</w:t>
            </w:r>
          </w:p>
        </w:tc>
        <w:tc>
          <w:tcPr>
            <w:tcW w:w="1329" w:type="pct"/>
            <w:gridSpan w:val="2"/>
            <w:tcBorders>
              <w:top w:val="single" w:sz="4" w:space="0" w:color="auto"/>
              <w:bottom w:val="single" w:sz="4" w:space="0" w:color="auto"/>
            </w:tcBorders>
          </w:tcPr>
          <w:p w14:paraId="1EF5A6D4" w14:textId="68358E86" w:rsidR="00EF55AD" w:rsidRPr="00872D7E" w:rsidRDefault="00827BED" w:rsidP="00033CCA">
            <w:pPr>
              <w:jc w:val="center"/>
              <w:rPr>
                <w:b/>
                <w:sz w:val="18"/>
                <w:szCs w:val="18"/>
              </w:rPr>
            </w:pPr>
            <w:r w:rsidRPr="00872D7E">
              <w:rPr>
                <w:b/>
                <w:sz w:val="18"/>
                <w:szCs w:val="18"/>
              </w:rPr>
              <w:t>1 Ocak 2024</w:t>
            </w:r>
          </w:p>
        </w:tc>
      </w:tr>
      <w:tr w:rsidR="00EF55AD" w:rsidRPr="00872D7E" w14:paraId="31E54DFB" w14:textId="77777777" w:rsidTr="008D7B10">
        <w:trPr>
          <w:trHeight w:val="20"/>
        </w:trPr>
        <w:tc>
          <w:tcPr>
            <w:tcW w:w="211" w:type="pct"/>
            <w:tcBorders>
              <w:top w:val="single" w:sz="4" w:space="0" w:color="auto"/>
              <w:bottom w:val="single" w:sz="4" w:space="0" w:color="auto"/>
            </w:tcBorders>
            <w:shd w:val="clear" w:color="auto" w:fill="auto"/>
            <w:noWrap/>
            <w:vAlign w:val="bottom"/>
            <w:hideMark/>
          </w:tcPr>
          <w:p w14:paraId="1C4A75FF" w14:textId="77777777" w:rsidR="00EF55AD" w:rsidRPr="00872D7E" w:rsidRDefault="00EF55AD" w:rsidP="00033CCA">
            <w:pPr>
              <w:rPr>
                <w:b/>
                <w:color w:val="000000"/>
                <w:sz w:val="18"/>
                <w:szCs w:val="18"/>
              </w:rPr>
            </w:pPr>
            <w:r w:rsidRPr="00872D7E">
              <w:rPr>
                <w:b/>
                <w:color w:val="000000"/>
                <w:sz w:val="18"/>
                <w:szCs w:val="18"/>
              </w:rPr>
              <w:t> </w:t>
            </w:r>
          </w:p>
        </w:tc>
        <w:tc>
          <w:tcPr>
            <w:tcW w:w="1923" w:type="pct"/>
            <w:tcBorders>
              <w:top w:val="single" w:sz="4" w:space="0" w:color="auto"/>
              <w:bottom w:val="single" w:sz="4" w:space="0" w:color="auto"/>
            </w:tcBorders>
            <w:shd w:val="clear" w:color="auto" w:fill="auto"/>
            <w:noWrap/>
            <w:vAlign w:val="bottom"/>
            <w:hideMark/>
          </w:tcPr>
          <w:p w14:paraId="6F9D6710" w14:textId="77777777" w:rsidR="00EF55AD" w:rsidRPr="00872D7E" w:rsidRDefault="00EF55AD" w:rsidP="00033CCA">
            <w:pPr>
              <w:rPr>
                <w:b/>
                <w:sz w:val="18"/>
                <w:szCs w:val="18"/>
              </w:rPr>
            </w:pPr>
          </w:p>
        </w:tc>
        <w:tc>
          <w:tcPr>
            <w:tcW w:w="1030" w:type="pct"/>
            <w:tcBorders>
              <w:top w:val="single" w:sz="4" w:space="0" w:color="auto"/>
              <w:bottom w:val="single" w:sz="4" w:space="0" w:color="auto"/>
            </w:tcBorders>
            <w:shd w:val="clear" w:color="auto" w:fill="auto"/>
            <w:vAlign w:val="bottom"/>
            <w:hideMark/>
          </w:tcPr>
          <w:p w14:paraId="0487D032" w14:textId="77777777" w:rsidR="00EF55AD" w:rsidRPr="00872D7E" w:rsidRDefault="00EF55AD" w:rsidP="00033CCA">
            <w:pPr>
              <w:jc w:val="right"/>
              <w:rPr>
                <w:b/>
                <w:sz w:val="18"/>
                <w:szCs w:val="18"/>
              </w:rPr>
            </w:pPr>
            <w:r w:rsidRPr="00872D7E">
              <w:rPr>
                <w:b/>
                <w:sz w:val="18"/>
                <w:szCs w:val="18"/>
              </w:rPr>
              <w:t>Risk tutarı (Kredi riski azaltımı teknikleri kullanımı sonrası)</w:t>
            </w:r>
          </w:p>
        </w:tc>
        <w:tc>
          <w:tcPr>
            <w:tcW w:w="507" w:type="pct"/>
            <w:tcBorders>
              <w:top w:val="single" w:sz="4" w:space="0" w:color="auto"/>
              <w:bottom w:val="single" w:sz="4" w:space="0" w:color="auto"/>
            </w:tcBorders>
            <w:shd w:val="clear" w:color="auto" w:fill="auto"/>
            <w:noWrap/>
            <w:vAlign w:val="bottom"/>
            <w:hideMark/>
          </w:tcPr>
          <w:p w14:paraId="694AB98C" w14:textId="77777777" w:rsidR="00EF55AD" w:rsidRPr="00872D7E" w:rsidRDefault="00EF55AD" w:rsidP="00033CCA">
            <w:pPr>
              <w:jc w:val="right"/>
              <w:rPr>
                <w:b/>
                <w:sz w:val="18"/>
                <w:szCs w:val="18"/>
              </w:rPr>
            </w:pPr>
            <w:r w:rsidRPr="00872D7E">
              <w:rPr>
                <w:b/>
                <w:sz w:val="18"/>
                <w:szCs w:val="18"/>
              </w:rPr>
              <w:t>Risk ağırlıklı tutarlar</w:t>
            </w:r>
          </w:p>
        </w:tc>
        <w:tc>
          <w:tcPr>
            <w:tcW w:w="863" w:type="pct"/>
            <w:tcBorders>
              <w:top w:val="single" w:sz="4" w:space="0" w:color="auto"/>
              <w:bottom w:val="single" w:sz="4" w:space="0" w:color="auto"/>
            </w:tcBorders>
            <w:vAlign w:val="bottom"/>
          </w:tcPr>
          <w:p w14:paraId="72BD1037" w14:textId="77777777" w:rsidR="00EF55AD" w:rsidRPr="00872D7E" w:rsidRDefault="00EF55AD" w:rsidP="00033CCA">
            <w:pPr>
              <w:jc w:val="right"/>
              <w:rPr>
                <w:b/>
                <w:sz w:val="18"/>
                <w:szCs w:val="18"/>
              </w:rPr>
            </w:pPr>
            <w:r w:rsidRPr="00872D7E">
              <w:rPr>
                <w:b/>
                <w:sz w:val="18"/>
                <w:szCs w:val="18"/>
              </w:rPr>
              <w:t>Risk tutarı (Kredi riski azaltımı teknikleri kullanımı sonrası)</w:t>
            </w:r>
          </w:p>
        </w:tc>
        <w:tc>
          <w:tcPr>
            <w:tcW w:w="466" w:type="pct"/>
            <w:tcBorders>
              <w:top w:val="single" w:sz="4" w:space="0" w:color="auto"/>
              <w:bottom w:val="single" w:sz="4" w:space="0" w:color="auto"/>
            </w:tcBorders>
            <w:vAlign w:val="bottom"/>
          </w:tcPr>
          <w:p w14:paraId="5A23FE72" w14:textId="77777777" w:rsidR="00EF55AD" w:rsidRPr="00872D7E" w:rsidRDefault="00EF55AD" w:rsidP="00033CCA">
            <w:pPr>
              <w:jc w:val="right"/>
              <w:rPr>
                <w:b/>
                <w:sz w:val="18"/>
                <w:szCs w:val="18"/>
              </w:rPr>
            </w:pPr>
            <w:r w:rsidRPr="00872D7E">
              <w:rPr>
                <w:b/>
                <w:sz w:val="18"/>
                <w:szCs w:val="18"/>
              </w:rPr>
              <w:t>Risk ağırlıklı tutarlar</w:t>
            </w:r>
          </w:p>
        </w:tc>
      </w:tr>
      <w:tr w:rsidR="008D7B10" w:rsidRPr="00872D7E" w14:paraId="78E18ED3" w14:textId="77777777" w:rsidTr="008D7B10">
        <w:trPr>
          <w:trHeight w:val="20"/>
        </w:trPr>
        <w:tc>
          <w:tcPr>
            <w:tcW w:w="211" w:type="pct"/>
            <w:tcBorders>
              <w:top w:val="single" w:sz="4" w:space="0" w:color="auto"/>
              <w:bottom w:val="single" w:sz="4" w:space="0" w:color="auto"/>
            </w:tcBorders>
            <w:shd w:val="clear" w:color="auto" w:fill="auto"/>
            <w:noWrap/>
            <w:vAlign w:val="bottom"/>
            <w:hideMark/>
          </w:tcPr>
          <w:p w14:paraId="44ED659C" w14:textId="77777777" w:rsidR="008D7B10" w:rsidRPr="00872D7E" w:rsidRDefault="008D7B10" w:rsidP="008D7B10">
            <w:pPr>
              <w:rPr>
                <w:color w:val="000000"/>
                <w:sz w:val="18"/>
                <w:szCs w:val="18"/>
              </w:rPr>
            </w:pPr>
            <w:r w:rsidRPr="00872D7E">
              <w:rPr>
                <w:color w:val="000000"/>
                <w:sz w:val="18"/>
                <w:szCs w:val="18"/>
              </w:rPr>
              <w:t> </w:t>
            </w:r>
          </w:p>
        </w:tc>
        <w:tc>
          <w:tcPr>
            <w:tcW w:w="1923" w:type="pct"/>
            <w:tcBorders>
              <w:top w:val="single" w:sz="4" w:space="0" w:color="auto"/>
              <w:bottom w:val="single" w:sz="4" w:space="0" w:color="auto"/>
            </w:tcBorders>
            <w:shd w:val="clear" w:color="auto" w:fill="auto"/>
            <w:noWrap/>
            <w:hideMark/>
          </w:tcPr>
          <w:p w14:paraId="625FD9D3" w14:textId="77777777" w:rsidR="008D7B10" w:rsidRPr="00872D7E" w:rsidRDefault="008D7B10" w:rsidP="008D7B10">
            <w:pPr>
              <w:rPr>
                <w:sz w:val="18"/>
                <w:szCs w:val="18"/>
              </w:rPr>
            </w:pPr>
            <w:r w:rsidRPr="00872D7E">
              <w:rPr>
                <w:sz w:val="18"/>
                <w:szCs w:val="18"/>
              </w:rPr>
              <w:t>Gelişmiş yönteme göre KDA sermaye yükümlülüğüne tabi portföylerin toplam tutarı</w:t>
            </w:r>
          </w:p>
        </w:tc>
        <w:tc>
          <w:tcPr>
            <w:tcW w:w="1030" w:type="pct"/>
            <w:tcBorders>
              <w:top w:val="single" w:sz="4" w:space="0" w:color="auto"/>
              <w:bottom w:val="single" w:sz="4" w:space="0" w:color="auto"/>
            </w:tcBorders>
            <w:shd w:val="clear" w:color="auto" w:fill="auto"/>
            <w:noWrap/>
            <w:vAlign w:val="bottom"/>
          </w:tcPr>
          <w:p w14:paraId="123470C9" w14:textId="5E1F6F57" w:rsidR="008D7B10" w:rsidRPr="00872D7E" w:rsidRDefault="008D7B10" w:rsidP="008D7B10">
            <w:pPr>
              <w:jc w:val="right"/>
              <w:rPr>
                <w:sz w:val="18"/>
                <w:szCs w:val="18"/>
              </w:rPr>
            </w:pPr>
            <w:r w:rsidRPr="00872D7E">
              <w:rPr>
                <w:color w:val="000000"/>
                <w:sz w:val="18"/>
                <w:szCs w:val="18"/>
              </w:rPr>
              <w:t>-</w:t>
            </w:r>
          </w:p>
        </w:tc>
        <w:tc>
          <w:tcPr>
            <w:tcW w:w="507" w:type="pct"/>
            <w:tcBorders>
              <w:top w:val="single" w:sz="4" w:space="0" w:color="auto"/>
              <w:bottom w:val="single" w:sz="4" w:space="0" w:color="auto"/>
            </w:tcBorders>
            <w:shd w:val="clear" w:color="auto" w:fill="auto"/>
            <w:noWrap/>
            <w:vAlign w:val="bottom"/>
          </w:tcPr>
          <w:p w14:paraId="00D78F89" w14:textId="3B847ACC" w:rsidR="008D7B10" w:rsidRPr="00872D7E" w:rsidRDefault="008D7B10" w:rsidP="008D7B10">
            <w:pPr>
              <w:jc w:val="right"/>
              <w:rPr>
                <w:sz w:val="18"/>
                <w:szCs w:val="18"/>
              </w:rPr>
            </w:pPr>
            <w:r w:rsidRPr="00872D7E">
              <w:rPr>
                <w:color w:val="000000"/>
                <w:sz w:val="18"/>
                <w:szCs w:val="18"/>
              </w:rPr>
              <w:t>-</w:t>
            </w:r>
          </w:p>
        </w:tc>
        <w:tc>
          <w:tcPr>
            <w:tcW w:w="863" w:type="pct"/>
            <w:tcBorders>
              <w:top w:val="single" w:sz="4" w:space="0" w:color="auto"/>
              <w:bottom w:val="single" w:sz="4" w:space="0" w:color="auto"/>
            </w:tcBorders>
            <w:shd w:val="clear" w:color="auto" w:fill="auto"/>
            <w:vAlign w:val="bottom"/>
          </w:tcPr>
          <w:p w14:paraId="68AA3D4E" w14:textId="7A25AE00" w:rsidR="008D7B10" w:rsidRPr="00872D7E" w:rsidRDefault="008D7B10" w:rsidP="008D7B10">
            <w:pPr>
              <w:jc w:val="right"/>
              <w:rPr>
                <w:sz w:val="18"/>
                <w:szCs w:val="18"/>
              </w:rPr>
            </w:pPr>
            <w:r w:rsidRPr="00872D7E">
              <w:rPr>
                <w:color w:val="000000"/>
                <w:sz w:val="18"/>
                <w:szCs w:val="18"/>
              </w:rPr>
              <w:t>-</w:t>
            </w:r>
          </w:p>
        </w:tc>
        <w:tc>
          <w:tcPr>
            <w:tcW w:w="466" w:type="pct"/>
            <w:tcBorders>
              <w:top w:val="single" w:sz="4" w:space="0" w:color="auto"/>
              <w:bottom w:val="single" w:sz="4" w:space="0" w:color="auto"/>
            </w:tcBorders>
            <w:shd w:val="clear" w:color="auto" w:fill="auto"/>
            <w:vAlign w:val="bottom"/>
          </w:tcPr>
          <w:p w14:paraId="65FEBE90" w14:textId="6504DB3A" w:rsidR="008D7B10" w:rsidRPr="00872D7E" w:rsidRDefault="008D7B10" w:rsidP="008D7B10">
            <w:pPr>
              <w:jc w:val="right"/>
              <w:rPr>
                <w:sz w:val="18"/>
                <w:szCs w:val="18"/>
              </w:rPr>
            </w:pPr>
            <w:r w:rsidRPr="00872D7E">
              <w:rPr>
                <w:color w:val="000000"/>
                <w:sz w:val="18"/>
                <w:szCs w:val="18"/>
              </w:rPr>
              <w:t>-</w:t>
            </w:r>
          </w:p>
        </w:tc>
      </w:tr>
      <w:tr w:rsidR="008D7B10" w:rsidRPr="00872D7E" w14:paraId="03E24CDE" w14:textId="77777777" w:rsidTr="008D7B10">
        <w:trPr>
          <w:trHeight w:val="85"/>
        </w:trPr>
        <w:tc>
          <w:tcPr>
            <w:tcW w:w="211" w:type="pct"/>
            <w:tcBorders>
              <w:top w:val="single" w:sz="4" w:space="0" w:color="auto"/>
              <w:bottom w:val="single" w:sz="4" w:space="0" w:color="auto"/>
            </w:tcBorders>
            <w:shd w:val="clear" w:color="auto" w:fill="auto"/>
            <w:noWrap/>
            <w:hideMark/>
          </w:tcPr>
          <w:p w14:paraId="00311FCE" w14:textId="77777777" w:rsidR="008D7B10" w:rsidRPr="00872D7E" w:rsidRDefault="008D7B10" w:rsidP="008D7B10">
            <w:pPr>
              <w:rPr>
                <w:bCs/>
                <w:color w:val="000000"/>
                <w:sz w:val="18"/>
                <w:szCs w:val="18"/>
              </w:rPr>
            </w:pPr>
            <w:r w:rsidRPr="00872D7E">
              <w:rPr>
                <w:bCs/>
                <w:color w:val="000000"/>
                <w:sz w:val="18"/>
                <w:szCs w:val="18"/>
              </w:rPr>
              <w:t>1</w:t>
            </w:r>
          </w:p>
        </w:tc>
        <w:tc>
          <w:tcPr>
            <w:tcW w:w="1923" w:type="pct"/>
            <w:tcBorders>
              <w:top w:val="single" w:sz="4" w:space="0" w:color="auto"/>
              <w:bottom w:val="single" w:sz="4" w:space="0" w:color="auto"/>
            </w:tcBorders>
            <w:shd w:val="clear" w:color="auto" w:fill="auto"/>
            <w:noWrap/>
            <w:hideMark/>
          </w:tcPr>
          <w:p w14:paraId="779DCBB8" w14:textId="77777777" w:rsidR="008D7B10" w:rsidRPr="00872D7E" w:rsidRDefault="008D7B10" w:rsidP="008D7B10">
            <w:pPr>
              <w:rPr>
                <w:sz w:val="18"/>
                <w:szCs w:val="18"/>
              </w:rPr>
            </w:pPr>
            <w:r w:rsidRPr="00872D7E">
              <w:rPr>
                <w:sz w:val="18"/>
                <w:szCs w:val="18"/>
              </w:rPr>
              <w:t>(</w:t>
            </w:r>
            <w:proofErr w:type="gramStart"/>
            <w:r w:rsidRPr="00872D7E">
              <w:rPr>
                <w:sz w:val="18"/>
                <w:szCs w:val="18"/>
              </w:rPr>
              <w:t>i</w:t>
            </w:r>
            <w:proofErr w:type="gramEnd"/>
            <w:r w:rsidRPr="00872D7E">
              <w:rPr>
                <w:sz w:val="18"/>
                <w:szCs w:val="18"/>
              </w:rPr>
              <w:t xml:space="preserve">)Riske maruz değer bileşeni (3*çarpan dahil) </w:t>
            </w:r>
          </w:p>
        </w:tc>
        <w:tc>
          <w:tcPr>
            <w:tcW w:w="1030" w:type="pct"/>
            <w:tcBorders>
              <w:top w:val="single" w:sz="4" w:space="0" w:color="auto"/>
              <w:bottom w:val="single" w:sz="4" w:space="0" w:color="auto"/>
            </w:tcBorders>
            <w:shd w:val="clear" w:color="auto" w:fill="000000" w:themeFill="text1"/>
            <w:noWrap/>
            <w:vAlign w:val="bottom"/>
          </w:tcPr>
          <w:p w14:paraId="7B9D4049" w14:textId="065B2321" w:rsidR="008D7B10" w:rsidRPr="00872D7E" w:rsidRDefault="008D7B10" w:rsidP="008D7B10">
            <w:pPr>
              <w:jc w:val="right"/>
              <w:rPr>
                <w:sz w:val="18"/>
                <w:szCs w:val="18"/>
              </w:rPr>
            </w:pPr>
            <w:r w:rsidRPr="00872D7E">
              <w:rPr>
                <w:color w:val="000000"/>
                <w:sz w:val="18"/>
                <w:szCs w:val="18"/>
              </w:rPr>
              <w:t> </w:t>
            </w:r>
          </w:p>
        </w:tc>
        <w:tc>
          <w:tcPr>
            <w:tcW w:w="507" w:type="pct"/>
            <w:tcBorders>
              <w:top w:val="single" w:sz="4" w:space="0" w:color="auto"/>
              <w:bottom w:val="single" w:sz="4" w:space="0" w:color="auto"/>
            </w:tcBorders>
            <w:shd w:val="clear" w:color="auto" w:fill="auto"/>
            <w:noWrap/>
            <w:vAlign w:val="bottom"/>
          </w:tcPr>
          <w:p w14:paraId="5AB83511" w14:textId="7328CA5D" w:rsidR="008D7B10" w:rsidRPr="00872D7E" w:rsidRDefault="008D7B10" w:rsidP="008D7B10">
            <w:pPr>
              <w:jc w:val="right"/>
              <w:rPr>
                <w:sz w:val="18"/>
                <w:szCs w:val="18"/>
              </w:rPr>
            </w:pPr>
            <w:r w:rsidRPr="00872D7E">
              <w:rPr>
                <w:color w:val="000000"/>
                <w:sz w:val="18"/>
                <w:szCs w:val="18"/>
              </w:rPr>
              <w:t>-</w:t>
            </w:r>
          </w:p>
        </w:tc>
        <w:tc>
          <w:tcPr>
            <w:tcW w:w="863" w:type="pct"/>
            <w:tcBorders>
              <w:top w:val="single" w:sz="4" w:space="0" w:color="auto"/>
              <w:bottom w:val="single" w:sz="4" w:space="0" w:color="auto"/>
            </w:tcBorders>
            <w:shd w:val="clear" w:color="auto" w:fill="000000" w:themeFill="text1"/>
            <w:vAlign w:val="bottom"/>
          </w:tcPr>
          <w:p w14:paraId="67D8B373" w14:textId="7EE84E16" w:rsidR="008D7B10" w:rsidRPr="00872D7E" w:rsidRDefault="008D7B10" w:rsidP="008D7B10">
            <w:pPr>
              <w:jc w:val="right"/>
              <w:rPr>
                <w:sz w:val="18"/>
                <w:szCs w:val="18"/>
              </w:rPr>
            </w:pPr>
            <w:r w:rsidRPr="00872D7E">
              <w:rPr>
                <w:color w:val="000000"/>
                <w:sz w:val="18"/>
                <w:szCs w:val="18"/>
              </w:rPr>
              <w:t>-</w:t>
            </w:r>
          </w:p>
        </w:tc>
        <w:tc>
          <w:tcPr>
            <w:tcW w:w="466" w:type="pct"/>
            <w:tcBorders>
              <w:top w:val="single" w:sz="4" w:space="0" w:color="auto"/>
              <w:bottom w:val="single" w:sz="4" w:space="0" w:color="auto"/>
            </w:tcBorders>
            <w:shd w:val="clear" w:color="auto" w:fill="auto"/>
            <w:vAlign w:val="bottom"/>
          </w:tcPr>
          <w:p w14:paraId="7F6940A7" w14:textId="353D1327" w:rsidR="008D7B10" w:rsidRPr="00872D7E" w:rsidRDefault="008D7B10" w:rsidP="008D7B10">
            <w:pPr>
              <w:jc w:val="right"/>
              <w:rPr>
                <w:sz w:val="18"/>
                <w:szCs w:val="18"/>
              </w:rPr>
            </w:pPr>
            <w:r w:rsidRPr="00872D7E">
              <w:rPr>
                <w:color w:val="000000"/>
                <w:sz w:val="18"/>
                <w:szCs w:val="18"/>
              </w:rPr>
              <w:t>-</w:t>
            </w:r>
          </w:p>
        </w:tc>
      </w:tr>
      <w:tr w:rsidR="008D7B10" w:rsidRPr="00872D7E" w14:paraId="15D998B4" w14:textId="77777777" w:rsidTr="008D7B10">
        <w:trPr>
          <w:trHeight w:val="20"/>
        </w:trPr>
        <w:tc>
          <w:tcPr>
            <w:tcW w:w="211" w:type="pct"/>
            <w:tcBorders>
              <w:top w:val="single" w:sz="4" w:space="0" w:color="auto"/>
              <w:bottom w:val="single" w:sz="4" w:space="0" w:color="auto"/>
            </w:tcBorders>
            <w:shd w:val="clear" w:color="auto" w:fill="auto"/>
            <w:noWrap/>
            <w:hideMark/>
          </w:tcPr>
          <w:p w14:paraId="1BABA06A" w14:textId="77777777" w:rsidR="008D7B10" w:rsidRPr="00872D7E" w:rsidRDefault="008D7B10" w:rsidP="008D7B10">
            <w:pPr>
              <w:rPr>
                <w:bCs/>
                <w:color w:val="000000"/>
                <w:sz w:val="18"/>
                <w:szCs w:val="18"/>
              </w:rPr>
            </w:pPr>
            <w:r w:rsidRPr="00872D7E">
              <w:rPr>
                <w:bCs/>
                <w:color w:val="000000"/>
                <w:sz w:val="18"/>
                <w:szCs w:val="18"/>
              </w:rPr>
              <w:t>2</w:t>
            </w:r>
          </w:p>
        </w:tc>
        <w:tc>
          <w:tcPr>
            <w:tcW w:w="1923" w:type="pct"/>
            <w:tcBorders>
              <w:top w:val="single" w:sz="4" w:space="0" w:color="auto"/>
              <w:bottom w:val="single" w:sz="4" w:space="0" w:color="auto"/>
            </w:tcBorders>
            <w:shd w:val="clear" w:color="auto" w:fill="auto"/>
            <w:noWrap/>
            <w:hideMark/>
          </w:tcPr>
          <w:p w14:paraId="2235CC17" w14:textId="77777777" w:rsidR="008D7B10" w:rsidRPr="00872D7E" w:rsidRDefault="008D7B10" w:rsidP="008D7B10">
            <w:pPr>
              <w:rPr>
                <w:sz w:val="18"/>
                <w:szCs w:val="18"/>
              </w:rPr>
            </w:pPr>
            <w:r w:rsidRPr="00872D7E">
              <w:rPr>
                <w:sz w:val="18"/>
                <w:szCs w:val="18"/>
              </w:rPr>
              <w:t>(</w:t>
            </w:r>
            <w:proofErr w:type="gramStart"/>
            <w:r w:rsidRPr="00872D7E">
              <w:rPr>
                <w:sz w:val="18"/>
                <w:szCs w:val="18"/>
              </w:rPr>
              <w:t>ii</w:t>
            </w:r>
            <w:proofErr w:type="gramEnd"/>
            <w:r w:rsidRPr="00872D7E">
              <w:rPr>
                <w:sz w:val="18"/>
                <w:szCs w:val="18"/>
              </w:rPr>
              <w:t xml:space="preserve">)Stres riske maruz değer (3*çarpan dahil) </w:t>
            </w:r>
          </w:p>
        </w:tc>
        <w:tc>
          <w:tcPr>
            <w:tcW w:w="1030" w:type="pct"/>
            <w:tcBorders>
              <w:top w:val="single" w:sz="4" w:space="0" w:color="auto"/>
              <w:bottom w:val="single" w:sz="4" w:space="0" w:color="auto"/>
            </w:tcBorders>
            <w:shd w:val="clear" w:color="auto" w:fill="000000" w:themeFill="text1"/>
            <w:noWrap/>
            <w:vAlign w:val="bottom"/>
          </w:tcPr>
          <w:p w14:paraId="04E35012" w14:textId="03147CC3" w:rsidR="008D7B10" w:rsidRPr="00872D7E" w:rsidRDefault="008D7B10" w:rsidP="008D7B10">
            <w:pPr>
              <w:jc w:val="right"/>
              <w:rPr>
                <w:sz w:val="18"/>
                <w:szCs w:val="18"/>
              </w:rPr>
            </w:pPr>
            <w:r w:rsidRPr="00872D7E">
              <w:rPr>
                <w:color w:val="000000"/>
                <w:sz w:val="18"/>
                <w:szCs w:val="18"/>
              </w:rPr>
              <w:t> </w:t>
            </w:r>
          </w:p>
        </w:tc>
        <w:tc>
          <w:tcPr>
            <w:tcW w:w="507" w:type="pct"/>
            <w:tcBorders>
              <w:top w:val="single" w:sz="4" w:space="0" w:color="auto"/>
              <w:bottom w:val="single" w:sz="4" w:space="0" w:color="auto"/>
            </w:tcBorders>
            <w:shd w:val="clear" w:color="auto" w:fill="auto"/>
            <w:noWrap/>
            <w:vAlign w:val="bottom"/>
          </w:tcPr>
          <w:p w14:paraId="1F83817B" w14:textId="42C338AB" w:rsidR="008D7B10" w:rsidRPr="00872D7E" w:rsidRDefault="008D7B10" w:rsidP="008D7B10">
            <w:pPr>
              <w:jc w:val="right"/>
              <w:rPr>
                <w:sz w:val="18"/>
                <w:szCs w:val="18"/>
              </w:rPr>
            </w:pPr>
            <w:r w:rsidRPr="00872D7E">
              <w:rPr>
                <w:color w:val="000000"/>
                <w:sz w:val="18"/>
                <w:szCs w:val="18"/>
              </w:rPr>
              <w:t>-</w:t>
            </w:r>
          </w:p>
        </w:tc>
        <w:tc>
          <w:tcPr>
            <w:tcW w:w="863" w:type="pct"/>
            <w:tcBorders>
              <w:top w:val="single" w:sz="4" w:space="0" w:color="auto"/>
              <w:bottom w:val="single" w:sz="4" w:space="0" w:color="auto"/>
            </w:tcBorders>
            <w:shd w:val="clear" w:color="auto" w:fill="000000" w:themeFill="text1"/>
            <w:vAlign w:val="bottom"/>
          </w:tcPr>
          <w:p w14:paraId="130B1557" w14:textId="5661C333" w:rsidR="008D7B10" w:rsidRPr="00872D7E" w:rsidRDefault="008D7B10" w:rsidP="008D7B10">
            <w:pPr>
              <w:jc w:val="right"/>
              <w:rPr>
                <w:sz w:val="18"/>
                <w:szCs w:val="18"/>
              </w:rPr>
            </w:pPr>
            <w:r w:rsidRPr="00872D7E">
              <w:rPr>
                <w:color w:val="000000"/>
                <w:sz w:val="18"/>
                <w:szCs w:val="18"/>
              </w:rPr>
              <w:t>-</w:t>
            </w:r>
          </w:p>
        </w:tc>
        <w:tc>
          <w:tcPr>
            <w:tcW w:w="466" w:type="pct"/>
            <w:tcBorders>
              <w:top w:val="single" w:sz="4" w:space="0" w:color="auto"/>
              <w:bottom w:val="single" w:sz="4" w:space="0" w:color="auto"/>
            </w:tcBorders>
            <w:shd w:val="clear" w:color="auto" w:fill="auto"/>
            <w:vAlign w:val="bottom"/>
          </w:tcPr>
          <w:p w14:paraId="2B3E734A" w14:textId="78FF888F" w:rsidR="008D7B10" w:rsidRPr="00872D7E" w:rsidRDefault="008D7B10" w:rsidP="008D7B10">
            <w:pPr>
              <w:jc w:val="right"/>
              <w:rPr>
                <w:sz w:val="18"/>
                <w:szCs w:val="18"/>
              </w:rPr>
            </w:pPr>
            <w:r w:rsidRPr="00872D7E">
              <w:rPr>
                <w:color w:val="000000"/>
                <w:sz w:val="18"/>
                <w:szCs w:val="18"/>
              </w:rPr>
              <w:t>-</w:t>
            </w:r>
          </w:p>
        </w:tc>
      </w:tr>
      <w:tr w:rsidR="008D7B10" w:rsidRPr="00872D7E" w14:paraId="6EA4B06A" w14:textId="77777777" w:rsidTr="007B041F">
        <w:trPr>
          <w:trHeight w:val="20"/>
        </w:trPr>
        <w:tc>
          <w:tcPr>
            <w:tcW w:w="211" w:type="pct"/>
            <w:tcBorders>
              <w:top w:val="single" w:sz="4" w:space="0" w:color="auto"/>
              <w:bottom w:val="single" w:sz="4" w:space="0" w:color="auto"/>
            </w:tcBorders>
            <w:shd w:val="clear" w:color="auto" w:fill="auto"/>
            <w:noWrap/>
            <w:hideMark/>
          </w:tcPr>
          <w:p w14:paraId="57C3FB6B" w14:textId="77777777" w:rsidR="008D7B10" w:rsidRPr="00872D7E" w:rsidRDefault="008D7B10" w:rsidP="008D7B10">
            <w:pPr>
              <w:rPr>
                <w:bCs/>
                <w:color w:val="000000"/>
                <w:sz w:val="18"/>
                <w:szCs w:val="18"/>
              </w:rPr>
            </w:pPr>
            <w:r w:rsidRPr="00872D7E">
              <w:rPr>
                <w:bCs/>
                <w:color w:val="000000"/>
                <w:sz w:val="18"/>
                <w:szCs w:val="18"/>
              </w:rPr>
              <w:t>3</w:t>
            </w:r>
          </w:p>
        </w:tc>
        <w:tc>
          <w:tcPr>
            <w:tcW w:w="1923" w:type="pct"/>
            <w:tcBorders>
              <w:top w:val="single" w:sz="4" w:space="0" w:color="auto"/>
              <w:bottom w:val="single" w:sz="4" w:space="0" w:color="auto"/>
            </w:tcBorders>
            <w:shd w:val="clear" w:color="auto" w:fill="auto"/>
            <w:noWrap/>
            <w:hideMark/>
          </w:tcPr>
          <w:p w14:paraId="14912365" w14:textId="77777777" w:rsidR="008D7B10" w:rsidRPr="00872D7E" w:rsidRDefault="008D7B10" w:rsidP="008D7B10">
            <w:pPr>
              <w:rPr>
                <w:sz w:val="18"/>
                <w:szCs w:val="18"/>
              </w:rPr>
            </w:pPr>
            <w:r w:rsidRPr="00872D7E">
              <w:rPr>
                <w:sz w:val="18"/>
                <w:szCs w:val="18"/>
              </w:rPr>
              <w:t xml:space="preserve">Standart yönteme göre KDA sermaye yükümlülüğüne tabi portföylerin toplam tutarı </w:t>
            </w:r>
          </w:p>
        </w:tc>
        <w:tc>
          <w:tcPr>
            <w:tcW w:w="1030" w:type="pct"/>
            <w:tcBorders>
              <w:top w:val="single" w:sz="4" w:space="0" w:color="auto"/>
              <w:bottom w:val="single" w:sz="4" w:space="0" w:color="auto"/>
            </w:tcBorders>
            <w:shd w:val="clear" w:color="auto" w:fill="auto"/>
            <w:noWrap/>
            <w:vAlign w:val="bottom"/>
          </w:tcPr>
          <w:p w14:paraId="1F07A645" w14:textId="31A4F6EB" w:rsidR="008D7B10" w:rsidRPr="00872D7E" w:rsidRDefault="008D7B10" w:rsidP="008D7B10">
            <w:pPr>
              <w:jc w:val="right"/>
              <w:rPr>
                <w:sz w:val="18"/>
                <w:szCs w:val="18"/>
              </w:rPr>
            </w:pPr>
            <w:r w:rsidRPr="00872D7E">
              <w:rPr>
                <w:color w:val="000000"/>
                <w:sz w:val="18"/>
                <w:szCs w:val="18"/>
              </w:rPr>
              <w:t>84.462</w:t>
            </w:r>
          </w:p>
        </w:tc>
        <w:tc>
          <w:tcPr>
            <w:tcW w:w="507" w:type="pct"/>
            <w:tcBorders>
              <w:top w:val="single" w:sz="4" w:space="0" w:color="auto"/>
              <w:bottom w:val="single" w:sz="4" w:space="0" w:color="auto"/>
            </w:tcBorders>
            <w:shd w:val="clear" w:color="auto" w:fill="auto"/>
            <w:noWrap/>
            <w:vAlign w:val="bottom"/>
          </w:tcPr>
          <w:p w14:paraId="038270F9" w14:textId="6A17D49A" w:rsidR="008D7B10" w:rsidRPr="00872D7E" w:rsidRDefault="008D7B10" w:rsidP="008D7B10">
            <w:pPr>
              <w:jc w:val="right"/>
              <w:rPr>
                <w:sz w:val="18"/>
                <w:szCs w:val="18"/>
              </w:rPr>
            </w:pPr>
            <w:r w:rsidRPr="00872D7E">
              <w:rPr>
                <w:color w:val="000000"/>
                <w:sz w:val="18"/>
                <w:szCs w:val="18"/>
              </w:rPr>
              <w:t>99</w:t>
            </w:r>
          </w:p>
        </w:tc>
        <w:tc>
          <w:tcPr>
            <w:tcW w:w="863" w:type="pct"/>
            <w:tcBorders>
              <w:top w:val="single" w:sz="4" w:space="0" w:color="auto"/>
              <w:bottom w:val="single" w:sz="4" w:space="0" w:color="auto"/>
            </w:tcBorders>
            <w:shd w:val="clear" w:color="auto" w:fill="auto"/>
            <w:vAlign w:val="bottom"/>
          </w:tcPr>
          <w:p w14:paraId="3E34B402" w14:textId="5DADB189" w:rsidR="008D7B10" w:rsidRPr="00872D7E" w:rsidRDefault="008D7B10" w:rsidP="008D7B10">
            <w:pPr>
              <w:jc w:val="right"/>
              <w:rPr>
                <w:sz w:val="18"/>
                <w:szCs w:val="18"/>
              </w:rPr>
            </w:pPr>
            <w:r w:rsidRPr="00872D7E">
              <w:rPr>
                <w:color w:val="000000"/>
                <w:sz w:val="18"/>
                <w:szCs w:val="18"/>
              </w:rPr>
              <w:t>-</w:t>
            </w:r>
          </w:p>
        </w:tc>
        <w:tc>
          <w:tcPr>
            <w:tcW w:w="466" w:type="pct"/>
            <w:tcBorders>
              <w:top w:val="single" w:sz="4" w:space="0" w:color="auto"/>
              <w:bottom w:val="single" w:sz="4" w:space="0" w:color="auto"/>
            </w:tcBorders>
            <w:shd w:val="clear" w:color="auto" w:fill="auto"/>
            <w:vAlign w:val="bottom"/>
          </w:tcPr>
          <w:p w14:paraId="06EA895F" w14:textId="42166F96" w:rsidR="008D7B10" w:rsidRPr="00872D7E" w:rsidRDefault="008D7B10" w:rsidP="008D7B10">
            <w:pPr>
              <w:jc w:val="right"/>
              <w:rPr>
                <w:sz w:val="18"/>
                <w:szCs w:val="18"/>
              </w:rPr>
            </w:pPr>
            <w:r w:rsidRPr="00872D7E">
              <w:rPr>
                <w:color w:val="000000"/>
                <w:sz w:val="18"/>
                <w:szCs w:val="18"/>
              </w:rPr>
              <w:t>-</w:t>
            </w:r>
          </w:p>
        </w:tc>
      </w:tr>
      <w:tr w:rsidR="008D7B10" w:rsidRPr="00872D7E" w14:paraId="68E82430" w14:textId="77777777" w:rsidTr="007B041F">
        <w:trPr>
          <w:trHeight w:val="20"/>
        </w:trPr>
        <w:tc>
          <w:tcPr>
            <w:tcW w:w="211" w:type="pct"/>
            <w:tcBorders>
              <w:top w:val="single" w:sz="4" w:space="0" w:color="auto"/>
              <w:bottom w:val="single" w:sz="4" w:space="0" w:color="auto"/>
            </w:tcBorders>
            <w:shd w:val="clear" w:color="auto" w:fill="auto"/>
            <w:noWrap/>
            <w:hideMark/>
          </w:tcPr>
          <w:p w14:paraId="3F10C779" w14:textId="77777777" w:rsidR="008D7B10" w:rsidRPr="00872D7E" w:rsidRDefault="008D7B10" w:rsidP="008D7B10">
            <w:pPr>
              <w:rPr>
                <w:b/>
                <w:bCs/>
                <w:color w:val="000000"/>
                <w:sz w:val="18"/>
                <w:szCs w:val="18"/>
              </w:rPr>
            </w:pPr>
            <w:r w:rsidRPr="00872D7E">
              <w:rPr>
                <w:b/>
                <w:bCs/>
                <w:color w:val="000000"/>
                <w:sz w:val="18"/>
                <w:szCs w:val="18"/>
              </w:rPr>
              <w:t>4</w:t>
            </w:r>
          </w:p>
        </w:tc>
        <w:tc>
          <w:tcPr>
            <w:tcW w:w="1923" w:type="pct"/>
            <w:tcBorders>
              <w:top w:val="single" w:sz="4" w:space="0" w:color="auto"/>
              <w:bottom w:val="single" w:sz="4" w:space="0" w:color="auto"/>
            </w:tcBorders>
            <w:shd w:val="clear" w:color="auto" w:fill="auto"/>
            <w:noWrap/>
            <w:hideMark/>
          </w:tcPr>
          <w:p w14:paraId="01C13544" w14:textId="77777777" w:rsidR="008D7B10" w:rsidRPr="00872D7E" w:rsidRDefault="008D7B10" w:rsidP="008D7B10">
            <w:pPr>
              <w:rPr>
                <w:b/>
                <w:bCs/>
                <w:sz w:val="18"/>
                <w:szCs w:val="18"/>
              </w:rPr>
            </w:pPr>
            <w:r w:rsidRPr="00872D7E">
              <w:rPr>
                <w:b/>
                <w:bCs/>
                <w:sz w:val="18"/>
                <w:szCs w:val="18"/>
              </w:rPr>
              <w:t xml:space="preserve">KDA sermaye yükümlülüğüne tabi toplam tutar </w:t>
            </w:r>
          </w:p>
        </w:tc>
        <w:tc>
          <w:tcPr>
            <w:tcW w:w="1030" w:type="pct"/>
            <w:tcBorders>
              <w:top w:val="single" w:sz="4" w:space="0" w:color="auto"/>
              <w:bottom w:val="single" w:sz="4" w:space="0" w:color="auto"/>
            </w:tcBorders>
            <w:shd w:val="clear" w:color="auto" w:fill="auto"/>
            <w:noWrap/>
            <w:vAlign w:val="bottom"/>
          </w:tcPr>
          <w:p w14:paraId="6C25300B" w14:textId="7A02B908" w:rsidR="008D7B10" w:rsidRPr="00872D7E" w:rsidRDefault="008D7B10" w:rsidP="008D7B10">
            <w:pPr>
              <w:jc w:val="right"/>
              <w:rPr>
                <w:b/>
                <w:bCs/>
                <w:sz w:val="18"/>
                <w:szCs w:val="18"/>
              </w:rPr>
            </w:pPr>
            <w:r w:rsidRPr="00872D7E">
              <w:rPr>
                <w:b/>
                <w:bCs/>
                <w:color w:val="000000"/>
                <w:sz w:val="18"/>
                <w:szCs w:val="18"/>
              </w:rPr>
              <w:t>84.462</w:t>
            </w:r>
          </w:p>
        </w:tc>
        <w:tc>
          <w:tcPr>
            <w:tcW w:w="507" w:type="pct"/>
            <w:tcBorders>
              <w:top w:val="single" w:sz="4" w:space="0" w:color="auto"/>
              <w:bottom w:val="single" w:sz="4" w:space="0" w:color="auto"/>
            </w:tcBorders>
            <w:shd w:val="clear" w:color="auto" w:fill="auto"/>
            <w:noWrap/>
            <w:vAlign w:val="bottom"/>
          </w:tcPr>
          <w:p w14:paraId="69B0F4A1" w14:textId="5DFFE8E3" w:rsidR="008D7B10" w:rsidRPr="00872D7E" w:rsidRDefault="008D7B10" w:rsidP="008D7B10">
            <w:pPr>
              <w:jc w:val="right"/>
              <w:rPr>
                <w:b/>
                <w:bCs/>
                <w:sz w:val="18"/>
                <w:szCs w:val="18"/>
              </w:rPr>
            </w:pPr>
            <w:r w:rsidRPr="00872D7E">
              <w:rPr>
                <w:b/>
                <w:bCs/>
                <w:color w:val="000000"/>
                <w:sz w:val="18"/>
                <w:szCs w:val="18"/>
              </w:rPr>
              <w:t>99</w:t>
            </w:r>
          </w:p>
        </w:tc>
        <w:tc>
          <w:tcPr>
            <w:tcW w:w="863" w:type="pct"/>
            <w:tcBorders>
              <w:top w:val="single" w:sz="4" w:space="0" w:color="auto"/>
              <w:bottom w:val="single" w:sz="4" w:space="0" w:color="auto"/>
            </w:tcBorders>
            <w:shd w:val="clear" w:color="auto" w:fill="auto"/>
            <w:vAlign w:val="bottom"/>
          </w:tcPr>
          <w:p w14:paraId="44A5C524" w14:textId="459E609E" w:rsidR="008D7B10" w:rsidRPr="00872D7E" w:rsidRDefault="008D7B10" w:rsidP="008D7B10">
            <w:pPr>
              <w:jc w:val="right"/>
              <w:rPr>
                <w:b/>
                <w:bCs/>
                <w:sz w:val="18"/>
                <w:szCs w:val="18"/>
              </w:rPr>
            </w:pPr>
            <w:r w:rsidRPr="00872D7E">
              <w:rPr>
                <w:b/>
                <w:bCs/>
                <w:color w:val="000000"/>
                <w:sz w:val="18"/>
                <w:szCs w:val="18"/>
              </w:rPr>
              <w:t>-</w:t>
            </w:r>
          </w:p>
        </w:tc>
        <w:tc>
          <w:tcPr>
            <w:tcW w:w="466" w:type="pct"/>
            <w:tcBorders>
              <w:top w:val="single" w:sz="4" w:space="0" w:color="auto"/>
              <w:bottom w:val="single" w:sz="4" w:space="0" w:color="auto"/>
            </w:tcBorders>
            <w:shd w:val="clear" w:color="auto" w:fill="auto"/>
            <w:vAlign w:val="bottom"/>
          </w:tcPr>
          <w:p w14:paraId="2688CB33" w14:textId="1ACC3341" w:rsidR="008D7B10" w:rsidRPr="00872D7E" w:rsidRDefault="008D7B10" w:rsidP="008D7B10">
            <w:pPr>
              <w:jc w:val="right"/>
              <w:rPr>
                <w:b/>
                <w:bCs/>
                <w:sz w:val="18"/>
                <w:szCs w:val="18"/>
              </w:rPr>
            </w:pPr>
            <w:r w:rsidRPr="00872D7E">
              <w:rPr>
                <w:b/>
                <w:bCs/>
                <w:color w:val="000000"/>
                <w:sz w:val="18"/>
                <w:szCs w:val="18"/>
              </w:rPr>
              <w:t>-</w:t>
            </w:r>
          </w:p>
        </w:tc>
      </w:tr>
    </w:tbl>
    <w:p w14:paraId="79EB429A" w14:textId="77777777" w:rsidR="008D7B10" w:rsidRPr="00872D7E" w:rsidRDefault="008D7B10" w:rsidP="008D7B10">
      <w:pPr>
        <w:spacing w:before="120" w:after="120"/>
        <w:ind w:left="567" w:hanging="568"/>
        <w:rPr>
          <w:b/>
          <w:szCs w:val="20"/>
        </w:rPr>
      </w:pPr>
    </w:p>
    <w:p w14:paraId="79DB9672" w14:textId="77777777" w:rsidR="008D7B10" w:rsidRPr="00872D7E" w:rsidRDefault="008D7B10">
      <w:pPr>
        <w:rPr>
          <w:b/>
          <w:szCs w:val="20"/>
        </w:rPr>
      </w:pPr>
      <w:r w:rsidRPr="00872D7E">
        <w:rPr>
          <w:b/>
          <w:szCs w:val="20"/>
        </w:rPr>
        <w:br w:type="page"/>
      </w:r>
    </w:p>
    <w:p w14:paraId="52510DCD" w14:textId="77777777" w:rsidR="00F27192" w:rsidRPr="00872D7E" w:rsidRDefault="00F27192" w:rsidP="00F27192">
      <w:pPr>
        <w:pStyle w:val="BodyTextIndent"/>
        <w:widowControl w:val="0"/>
        <w:ind w:firstLine="0"/>
        <w:rPr>
          <w:b/>
          <w:szCs w:val="20"/>
        </w:rPr>
      </w:pPr>
      <w:r w:rsidRPr="00872D7E">
        <w:rPr>
          <w:b/>
          <w:szCs w:val="20"/>
        </w:rPr>
        <w:lastRenderedPageBreak/>
        <w:t>MALİ BÜNYEYE VE RİSK YÖNETİMİNE İLİŞKİN BİLGİLER (Devamı)</w:t>
      </w:r>
    </w:p>
    <w:p w14:paraId="0A8B4C5D" w14:textId="77777777" w:rsidR="00F27192" w:rsidRPr="00872D7E" w:rsidRDefault="00F27192" w:rsidP="00F27192">
      <w:pPr>
        <w:widowControl w:val="0"/>
        <w:autoSpaceDE w:val="0"/>
        <w:autoSpaceDN w:val="0"/>
        <w:adjustRightInd w:val="0"/>
        <w:jc w:val="both"/>
        <w:rPr>
          <w:szCs w:val="20"/>
        </w:rPr>
      </w:pPr>
    </w:p>
    <w:p w14:paraId="1CFD4BED" w14:textId="27F18DD6" w:rsidR="00F27192" w:rsidRPr="00872D7E" w:rsidRDefault="00CB58D3" w:rsidP="00D06395">
      <w:pPr>
        <w:ind w:left="851" w:hanging="851"/>
        <w:rPr>
          <w:b/>
          <w:bCs/>
        </w:rPr>
      </w:pPr>
      <w:r w:rsidRPr="00872D7E">
        <w:rPr>
          <w:b/>
          <w:bCs/>
        </w:rPr>
        <w:t>I</w:t>
      </w:r>
      <w:r w:rsidR="00F27192" w:rsidRPr="00872D7E">
        <w:rPr>
          <w:b/>
          <w:bCs/>
        </w:rPr>
        <w:t>X.</w:t>
      </w:r>
      <w:r w:rsidR="00F27192" w:rsidRPr="00872D7E">
        <w:rPr>
          <w:b/>
          <w:bCs/>
        </w:rPr>
        <w:tab/>
        <w:t>RİSK YÖNETİMİNE İLİŞKİN AÇIKLAMALAR (Devamı)</w:t>
      </w:r>
    </w:p>
    <w:p w14:paraId="4C8C809E" w14:textId="54EA8526" w:rsidR="00344C7A" w:rsidRPr="00872D7E" w:rsidRDefault="008C5672" w:rsidP="00D06395">
      <w:pPr>
        <w:spacing w:before="120" w:after="120"/>
        <w:ind w:left="851" w:hanging="852"/>
        <w:rPr>
          <w:b/>
          <w:szCs w:val="20"/>
        </w:rPr>
      </w:pPr>
      <w:r w:rsidRPr="00872D7E">
        <w:rPr>
          <w:b/>
          <w:szCs w:val="20"/>
        </w:rPr>
        <w:t>d</w:t>
      </w:r>
      <w:r w:rsidR="00344C7A" w:rsidRPr="00872D7E">
        <w:rPr>
          <w:b/>
          <w:szCs w:val="20"/>
        </w:rPr>
        <w:t>.3.</w:t>
      </w:r>
      <w:bookmarkStart w:id="52" w:name="_Hlk127255987"/>
      <w:r w:rsidR="00344C7A" w:rsidRPr="00872D7E">
        <w:rPr>
          <w:b/>
          <w:szCs w:val="20"/>
        </w:rPr>
        <w:tab/>
        <w:t>Risk Sınıfları ve Risk Ağırlıklarına Göre KKR:</w:t>
      </w:r>
      <w:bookmarkEnd w:id="52"/>
    </w:p>
    <w:tbl>
      <w:tblPr>
        <w:tblW w:w="5000" w:type="pct"/>
        <w:tblCellMar>
          <w:left w:w="70" w:type="dxa"/>
          <w:right w:w="70" w:type="dxa"/>
        </w:tblCellMar>
        <w:tblLook w:val="04A0" w:firstRow="1" w:lastRow="0" w:firstColumn="1" w:lastColumn="0" w:noHBand="0" w:noVBand="1"/>
      </w:tblPr>
      <w:tblGrid>
        <w:gridCol w:w="3044"/>
        <w:gridCol w:w="660"/>
        <w:gridCol w:w="460"/>
        <w:gridCol w:w="580"/>
        <w:gridCol w:w="460"/>
        <w:gridCol w:w="460"/>
        <w:gridCol w:w="636"/>
        <w:gridCol w:w="460"/>
        <w:gridCol w:w="602"/>
        <w:gridCol w:w="540"/>
        <w:gridCol w:w="540"/>
        <w:gridCol w:w="523"/>
        <w:gridCol w:w="674"/>
      </w:tblGrid>
      <w:tr w:rsidR="008D7B10" w:rsidRPr="00872D7E" w14:paraId="74F5DD87" w14:textId="77777777" w:rsidTr="008D7B10">
        <w:trPr>
          <w:trHeight w:val="209"/>
        </w:trPr>
        <w:tc>
          <w:tcPr>
            <w:tcW w:w="1594" w:type="pct"/>
            <w:tcBorders>
              <w:top w:val="single" w:sz="4" w:space="0" w:color="auto"/>
              <w:bottom w:val="single" w:sz="4" w:space="0" w:color="auto"/>
            </w:tcBorders>
            <w:shd w:val="clear" w:color="auto" w:fill="auto"/>
            <w:noWrap/>
            <w:vAlign w:val="center"/>
          </w:tcPr>
          <w:p w14:paraId="743B906B" w14:textId="4E5D337F" w:rsidR="008D7B10" w:rsidRPr="00872D7E" w:rsidRDefault="008D7B10" w:rsidP="00033CCA">
            <w:pPr>
              <w:rPr>
                <w:b/>
                <w:sz w:val="16"/>
                <w:szCs w:val="16"/>
              </w:rPr>
            </w:pPr>
            <w:r w:rsidRPr="00872D7E">
              <w:rPr>
                <w:b/>
                <w:sz w:val="16"/>
                <w:szCs w:val="16"/>
              </w:rPr>
              <w:t>31 Aralık 2024</w:t>
            </w:r>
          </w:p>
        </w:tc>
        <w:tc>
          <w:tcPr>
            <w:tcW w:w="323" w:type="pct"/>
            <w:tcBorders>
              <w:top w:val="single" w:sz="4" w:space="0" w:color="auto"/>
              <w:bottom w:val="single" w:sz="4" w:space="0" w:color="auto"/>
            </w:tcBorders>
            <w:shd w:val="clear" w:color="auto" w:fill="auto"/>
            <w:noWrap/>
            <w:vAlign w:val="bottom"/>
          </w:tcPr>
          <w:p w14:paraId="2C204179" w14:textId="77777777" w:rsidR="008D7B10" w:rsidRPr="00872D7E" w:rsidRDefault="008D7B10" w:rsidP="00033CCA">
            <w:pPr>
              <w:spacing w:after="60"/>
              <w:jc w:val="right"/>
              <w:rPr>
                <w:b/>
                <w:sz w:val="16"/>
                <w:szCs w:val="16"/>
              </w:rPr>
            </w:pPr>
          </w:p>
        </w:tc>
        <w:tc>
          <w:tcPr>
            <w:tcW w:w="245" w:type="pct"/>
            <w:tcBorders>
              <w:top w:val="single" w:sz="4" w:space="0" w:color="auto"/>
              <w:bottom w:val="single" w:sz="4" w:space="0" w:color="auto"/>
            </w:tcBorders>
            <w:shd w:val="clear" w:color="auto" w:fill="auto"/>
            <w:noWrap/>
            <w:vAlign w:val="bottom"/>
          </w:tcPr>
          <w:p w14:paraId="6C7C884F" w14:textId="77777777" w:rsidR="008D7B10" w:rsidRPr="00872D7E" w:rsidRDefault="008D7B10" w:rsidP="00033CCA">
            <w:pPr>
              <w:spacing w:after="60"/>
              <w:jc w:val="right"/>
              <w:rPr>
                <w:b/>
                <w:sz w:val="16"/>
                <w:szCs w:val="16"/>
              </w:rPr>
            </w:pPr>
          </w:p>
        </w:tc>
        <w:tc>
          <w:tcPr>
            <w:tcW w:w="284" w:type="pct"/>
            <w:tcBorders>
              <w:top w:val="single" w:sz="4" w:space="0" w:color="auto"/>
              <w:bottom w:val="single" w:sz="4" w:space="0" w:color="auto"/>
            </w:tcBorders>
            <w:shd w:val="clear" w:color="auto" w:fill="auto"/>
            <w:noWrap/>
            <w:vAlign w:val="bottom"/>
          </w:tcPr>
          <w:p w14:paraId="0086383D" w14:textId="77777777" w:rsidR="008D7B10" w:rsidRPr="00872D7E" w:rsidRDefault="008D7B10" w:rsidP="00033CCA">
            <w:pPr>
              <w:spacing w:after="60"/>
              <w:jc w:val="right"/>
              <w:rPr>
                <w:b/>
                <w:sz w:val="16"/>
                <w:szCs w:val="16"/>
              </w:rPr>
            </w:pPr>
          </w:p>
        </w:tc>
        <w:tc>
          <w:tcPr>
            <w:tcW w:w="225" w:type="pct"/>
            <w:tcBorders>
              <w:top w:val="single" w:sz="4" w:space="0" w:color="auto"/>
              <w:bottom w:val="single" w:sz="4" w:space="0" w:color="auto"/>
            </w:tcBorders>
          </w:tcPr>
          <w:p w14:paraId="38282140" w14:textId="77777777" w:rsidR="008D7B10" w:rsidRPr="00872D7E" w:rsidRDefault="008D7B10" w:rsidP="00033CCA">
            <w:pPr>
              <w:spacing w:after="60"/>
              <w:jc w:val="right"/>
              <w:rPr>
                <w:b/>
                <w:sz w:val="16"/>
                <w:szCs w:val="16"/>
              </w:rPr>
            </w:pPr>
          </w:p>
        </w:tc>
        <w:tc>
          <w:tcPr>
            <w:tcW w:w="225" w:type="pct"/>
            <w:tcBorders>
              <w:top w:val="single" w:sz="4" w:space="0" w:color="auto"/>
              <w:bottom w:val="single" w:sz="4" w:space="0" w:color="auto"/>
            </w:tcBorders>
          </w:tcPr>
          <w:p w14:paraId="76906AB7" w14:textId="77777777" w:rsidR="008D7B10" w:rsidRPr="00872D7E" w:rsidRDefault="008D7B10" w:rsidP="00033CCA">
            <w:pPr>
              <w:spacing w:after="60"/>
              <w:jc w:val="right"/>
              <w:rPr>
                <w:b/>
                <w:sz w:val="16"/>
                <w:szCs w:val="16"/>
              </w:rPr>
            </w:pPr>
          </w:p>
        </w:tc>
        <w:tc>
          <w:tcPr>
            <w:tcW w:w="353" w:type="pct"/>
            <w:tcBorders>
              <w:top w:val="single" w:sz="4" w:space="0" w:color="auto"/>
              <w:bottom w:val="single" w:sz="4" w:space="0" w:color="auto"/>
            </w:tcBorders>
            <w:shd w:val="clear" w:color="auto" w:fill="auto"/>
            <w:noWrap/>
            <w:vAlign w:val="bottom"/>
          </w:tcPr>
          <w:p w14:paraId="1D5AEB50" w14:textId="77777777" w:rsidR="008D7B10" w:rsidRPr="00872D7E" w:rsidRDefault="008D7B10" w:rsidP="00033CCA">
            <w:pPr>
              <w:spacing w:after="60"/>
              <w:jc w:val="right"/>
              <w:rPr>
                <w:b/>
                <w:sz w:val="16"/>
                <w:szCs w:val="16"/>
              </w:rPr>
            </w:pPr>
          </w:p>
        </w:tc>
        <w:tc>
          <w:tcPr>
            <w:tcW w:w="245" w:type="pct"/>
            <w:tcBorders>
              <w:top w:val="single" w:sz="4" w:space="0" w:color="auto"/>
              <w:bottom w:val="single" w:sz="4" w:space="0" w:color="auto"/>
            </w:tcBorders>
            <w:shd w:val="clear" w:color="auto" w:fill="auto"/>
            <w:noWrap/>
            <w:vAlign w:val="bottom"/>
          </w:tcPr>
          <w:p w14:paraId="44022737" w14:textId="77777777" w:rsidR="008D7B10" w:rsidRPr="00872D7E" w:rsidRDefault="008D7B10" w:rsidP="00033CCA">
            <w:pPr>
              <w:spacing w:after="60"/>
              <w:jc w:val="right"/>
              <w:rPr>
                <w:b/>
                <w:sz w:val="16"/>
                <w:szCs w:val="16"/>
              </w:rPr>
            </w:pPr>
          </w:p>
        </w:tc>
        <w:tc>
          <w:tcPr>
            <w:tcW w:w="334" w:type="pct"/>
            <w:tcBorders>
              <w:top w:val="single" w:sz="4" w:space="0" w:color="auto"/>
              <w:bottom w:val="single" w:sz="4" w:space="0" w:color="auto"/>
            </w:tcBorders>
            <w:shd w:val="clear" w:color="auto" w:fill="auto"/>
            <w:noWrap/>
            <w:vAlign w:val="bottom"/>
          </w:tcPr>
          <w:p w14:paraId="21A749F1" w14:textId="77777777" w:rsidR="008D7B10" w:rsidRPr="00872D7E" w:rsidRDefault="008D7B10" w:rsidP="00033CCA">
            <w:pPr>
              <w:spacing w:after="60"/>
              <w:jc w:val="right"/>
              <w:rPr>
                <w:b/>
                <w:sz w:val="16"/>
                <w:szCs w:val="16"/>
              </w:rPr>
            </w:pPr>
          </w:p>
        </w:tc>
        <w:tc>
          <w:tcPr>
            <w:tcW w:w="293" w:type="pct"/>
            <w:tcBorders>
              <w:top w:val="single" w:sz="4" w:space="0" w:color="auto"/>
              <w:bottom w:val="single" w:sz="4" w:space="0" w:color="auto"/>
            </w:tcBorders>
            <w:shd w:val="clear" w:color="auto" w:fill="auto"/>
            <w:noWrap/>
            <w:vAlign w:val="bottom"/>
          </w:tcPr>
          <w:p w14:paraId="29CC57AD" w14:textId="77777777" w:rsidR="008D7B10" w:rsidRPr="00872D7E" w:rsidRDefault="008D7B10" w:rsidP="00033CCA">
            <w:pPr>
              <w:spacing w:after="60"/>
              <w:jc w:val="right"/>
              <w:rPr>
                <w:b/>
                <w:sz w:val="16"/>
                <w:szCs w:val="16"/>
              </w:rPr>
            </w:pPr>
          </w:p>
        </w:tc>
        <w:tc>
          <w:tcPr>
            <w:tcW w:w="264" w:type="pct"/>
            <w:tcBorders>
              <w:top w:val="single" w:sz="4" w:space="0" w:color="auto"/>
              <w:bottom w:val="single" w:sz="4" w:space="0" w:color="auto"/>
            </w:tcBorders>
          </w:tcPr>
          <w:p w14:paraId="1F4C595F" w14:textId="77777777" w:rsidR="008D7B10" w:rsidRPr="00872D7E" w:rsidRDefault="008D7B10" w:rsidP="00033CCA">
            <w:pPr>
              <w:spacing w:after="60"/>
              <w:jc w:val="right"/>
              <w:rPr>
                <w:b/>
                <w:sz w:val="16"/>
                <w:szCs w:val="16"/>
              </w:rPr>
            </w:pPr>
          </w:p>
        </w:tc>
        <w:tc>
          <w:tcPr>
            <w:tcW w:w="268" w:type="pct"/>
            <w:tcBorders>
              <w:top w:val="single" w:sz="4" w:space="0" w:color="auto"/>
              <w:bottom w:val="single" w:sz="4" w:space="0" w:color="auto"/>
            </w:tcBorders>
            <w:shd w:val="clear" w:color="auto" w:fill="auto"/>
            <w:noWrap/>
            <w:vAlign w:val="bottom"/>
          </w:tcPr>
          <w:p w14:paraId="4F0D5CF7" w14:textId="77777777" w:rsidR="008D7B10" w:rsidRPr="00872D7E" w:rsidRDefault="008D7B10" w:rsidP="00033CCA">
            <w:pPr>
              <w:spacing w:after="60"/>
              <w:jc w:val="right"/>
              <w:rPr>
                <w:b/>
                <w:sz w:val="16"/>
                <w:szCs w:val="16"/>
              </w:rPr>
            </w:pPr>
          </w:p>
        </w:tc>
        <w:tc>
          <w:tcPr>
            <w:tcW w:w="347" w:type="pct"/>
            <w:tcBorders>
              <w:top w:val="single" w:sz="4" w:space="0" w:color="auto"/>
              <w:bottom w:val="single" w:sz="4" w:space="0" w:color="auto"/>
            </w:tcBorders>
            <w:shd w:val="clear" w:color="auto" w:fill="auto"/>
            <w:noWrap/>
            <w:vAlign w:val="bottom"/>
          </w:tcPr>
          <w:p w14:paraId="4EB44632" w14:textId="77777777" w:rsidR="008D7B10" w:rsidRPr="00872D7E" w:rsidRDefault="008D7B10" w:rsidP="00033CCA">
            <w:pPr>
              <w:spacing w:after="60"/>
              <w:jc w:val="right"/>
              <w:rPr>
                <w:b/>
                <w:sz w:val="16"/>
                <w:szCs w:val="16"/>
              </w:rPr>
            </w:pPr>
          </w:p>
        </w:tc>
      </w:tr>
      <w:tr w:rsidR="008D7B10" w:rsidRPr="00872D7E" w14:paraId="1D5F2106" w14:textId="77777777" w:rsidTr="008D7B10">
        <w:trPr>
          <w:trHeight w:val="36"/>
        </w:trPr>
        <w:tc>
          <w:tcPr>
            <w:tcW w:w="1594" w:type="pct"/>
            <w:tcBorders>
              <w:top w:val="single" w:sz="4" w:space="0" w:color="auto"/>
              <w:bottom w:val="single" w:sz="4" w:space="0" w:color="auto"/>
              <w:tl2br w:val="single" w:sz="4" w:space="0" w:color="auto"/>
            </w:tcBorders>
            <w:shd w:val="clear" w:color="auto" w:fill="auto"/>
            <w:noWrap/>
            <w:vAlign w:val="bottom"/>
            <w:hideMark/>
          </w:tcPr>
          <w:p w14:paraId="17407D6E" w14:textId="77777777" w:rsidR="008D7B10" w:rsidRPr="00872D7E" w:rsidRDefault="008D7B10" w:rsidP="00033CCA">
            <w:pPr>
              <w:spacing w:before="60"/>
              <w:jc w:val="right"/>
              <w:rPr>
                <w:b/>
                <w:sz w:val="16"/>
                <w:szCs w:val="16"/>
              </w:rPr>
            </w:pPr>
            <w:bookmarkStart w:id="53" w:name="_Hlk127256009"/>
            <w:r w:rsidRPr="00872D7E">
              <w:rPr>
                <w:b/>
                <w:sz w:val="16"/>
                <w:szCs w:val="16"/>
              </w:rPr>
              <w:t>Risk Ağırlıkları</w:t>
            </w:r>
          </w:p>
          <w:p w14:paraId="2018A254" w14:textId="77777777" w:rsidR="008D7B10" w:rsidRPr="00872D7E" w:rsidRDefault="008D7B10" w:rsidP="00033CCA">
            <w:pPr>
              <w:spacing w:after="60"/>
              <w:rPr>
                <w:b/>
                <w:sz w:val="16"/>
                <w:szCs w:val="16"/>
              </w:rPr>
            </w:pPr>
            <w:r w:rsidRPr="00872D7E">
              <w:rPr>
                <w:b/>
                <w:sz w:val="16"/>
                <w:szCs w:val="16"/>
              </w:rPr>
              <w:t>Risk Sınıfları</w:t>
            </w:r>
          </w:p>
        </w:tc>
        <w:tc>
          <w:tcPr>
            <w:tcW w:w="323" w:type="pct"/>
            <w:tcBorders>
              <w:top w:val="single" w:sz="4" w:space="0" w:color="auto"/>
              <w:bottom w:val="single" w:sz="4" w:space="0" w:color="auto"/>
            </w:tcBorders>
            <w:shd w:val="clear" w:color="auto" w:fill="auto"/>
            <w:noWrap/>
            <w:vAlign w:val="bottom"/>
            <w:hideMark/>
          </w:tcPr>
          <w:p w14:paraId="6C184149" w14:textId="77777777" w:rsidR="008D7B10" w:rsidRPr="00872D7E" w:rsidRDefault="008D7B10" w:rsidP="00033CCA">
            <w:pPr>
              <w:spacing w:before="60" w:after="60"/>
              <w:jc w:val="right"/>
              <w:rPr>
                <w:b/>
                <w:sz w:val="16"/>
                <w:szCs w:val="16"/>
              </w:rPr>
            </w:pPr>
            <w:r w:rsidRPr="00872D7E">
              <w:rPr>
                <w:b/>
                <w:sz w:val="16"/>
                <w:szCs w:val="16"/>
              </w:rPr>
              <w:t>%0</w:t>
            </w:r>
          </w:p>
        </w:tc>
        <w:tc>
          <w:tcPr>
            <w:tcW w:w="245" w:type="pct"/>
            <w:tcBorders>
              <w:top w:val="single" w:sz="4" w:space="0" w:color="auto"/>
              <w:bottom w:val="single" w:sz="4" w:space="0" w:color="auto"/>
            </w:tcBorders>
            <w:shd w:val="clear" w:color="auto" w:fill="auto"/>
            <w:noWrap/>
            <w:vAlign w:val="bottom"/>
            <w:hideMark/>
          </w:tcPr>
          <w:p w14:paraId="798D8660" w14:textId="77777777" w:rsidR="008D7B10" w:rsidRPr="00872D7E" w:rsidRDefault="008D7B10" w:rsidP="00033CCA">
            <w:pPr>
              <w:spacing w:before="60" w:after="60"/>
              <w:jc w:val="right"/>
              <w:rPr>
                <w:b/>
                <w:sz w:val="16"/>
                <w:szCs w:val="16"/>
              </w:rPr>
            </w:pPr>
            <w:r w:rsidRPr="00872D7E">
              <w:rPr>
                <w:b/>
                <w:sz w:val="16"/>
                <w:szCs w:val="16"/>
              </w:rPr>
              <w:t>%10</w:t>
            </w:r>
          </w:p>
        </w:tc>
        <w:tc>
          <w:tcPr>
            <w:tcW w:w="284" w:type="pct"/>
            <w:tcBorders>
              <w:top w:val="single" w:sz="4" w:space="0" w:color="auto"/>
              <w:bottom w:val="single" w:sz="4" w:space="0" w:color="auto"/>
            </w:tcBorders>
            <w:shd w:val="clear" w:color="auto" w:fill="auto"/>
            <w:noWrap/>
            <w:vAlign w:val="bottom"/>
            <w:hideMark/>
          </w:tcPr>
          <w:p w14:paraId="456910A1" w14:textId="77777777" w:rsidR="008D7B10" w:rsidRPr="00872D7E" w:rsidRDefault="008D7B10" w:rsidP="00033CCA">
            <w:pPr>
              <w:spacing w:before="60" w:after="60"/>
              <w:jc w:val="right"/>
              <w:rPr>
                <w:b/>
                <w:sz w:val="16"/>
                <w:szCs w:val="16"/>
              </w:rPr>
            </w:pPr>
            <w:r w:rsidRPr="00872D7E">
              <w:rPr>
                <w:b/>
                <w:sz w:val="16"/>
                <w:szCs w:val="16"/>
              </w:rPr>
              <w:t>%20</w:t>
            </w:r>
          </w:p>
        </w:tc>
        <w:tc>
          <w:tcPr>
            <w:tcW w:w="225" w:type="pct"/>
            <w:tcBorders>
              <w:top w:val="single" w:sz="4" w:space="0" w:color="auto"/>
              <w:bottom w:val="single" w:sz="4" w:space="0" w:color="auto"/>
            </w:tcBorders>
            <w:vAlign w:val="bottom"/>
          </w:tcPr>
          <w:p w14:paraId="6AAFBEC9" w14:textId="77777777" w:rsidR="008D7B10" w:rsidRPr="00872D7E" w:rsidRDefault="008D7B10" w:rsidP="00033CCA">
            <w:pPr>
              <w:spacing w:before="60" w:after="60"/>
              <w:jc w:val="right"/>
              <w:rPr>
                <w:b/>
                <w:sz w:val="16"/>
                <w:szCs w:val="16"/>
              </w:rPr>
            </w:pPr>
            <w:r w:rsidRPr="00872D7E">
              <w:rPr>
                <w:b/>
                <w:sz w:val="16"/>
                <w:szCs w:val="16"/>
              </w:rPr>
              <w:t>%25</w:t>
            </w:r>
          </w:p>
        </w:tc>
        <w:tc>
          <w:tcPr>
            <w:tcW w:w="225" w:type="pct"/>
            <w:tcBorders>
              <w:top w:val="single" w:sz="4" w:space="0" w:color="auto"/>
              <w:bottom w:val="single" w:sz="4" w:space="0" w:color="auto"/>
            </w:tcBorders>
            <w:vAlign w:val="bottom"/>
          </w:tcPr>
          <w:p w14:paraId="73371E1A" w14:textId="77777777" w:rsidR="008D7B10" w:rsidRPr="00872D7E" w:rsidRDefault="008D7B10" w:rsidP="00033CCA">
            <w:pPr>
              <w:spacing w:before="60" w:after="60"/>
              <w:jc w:val="right"/>
              <w:rPr>
                <w:b/>
                <w:sz w:val="16"/>
                <w:szCs w:val="16"/>
              </w:rPr>
            </w:pPr>
            <w:r w:rsidRPr="00872D7E">
              <w:rPr>
                <w:b/>
                <w:sz w:val="16"/>
                <w:szCs w:val="16"/>
              </w:rPr>
              <w:t>%35</w:t>
            </w:r>
          </w:p>
        </w:tc>
        <w:tc>
          <w:tcPr>
            <w:tcW w:w="353" w:type="pct"/>
            <w:tcBorders>
              <w:top w:val="single" w:sz="4" w:space="0" w:color="auto"/>
              <w:bottom w:val="single" w:sz="4" w:space="0" w:color="auto"/>
            </w:tcBorders>
            <w:shd w:val="clear" w:color="auto" w:fill="auto"/>
            <w:noWrap/>
            <w:vAlign w:val="bottom"/>
            <w:hideMark/>
          </w:tcPr>
          <w:p w14:paraId="248AB9AB" w14:textId="77777777" w:rsidR="008D7B10" w:rsidRPr="00872D7E" w:rsidRDefault="008D7B10" w:rsidP="00033CCA">
            <w:pPr>
              <w:spacing w:before="60" w:after="60"/>
              <w:jc w:val="right"/>
              <w:rPr>
                <w:b/>
                <w:sz w:val="16"/>
                <w:szCs w:val="16"/>
              </w:rPr>
            </w:pPr>
            <w:r w:rsidRPr="00872D7E">
              <w:rPr>
                <w:b/>
                <w:sz w:val="16"/>
                <w:szCs w:val="16"/>
              </w:rPr>
              <w:t>%50</w:t>
            </w:r>
          </w:p>
        </w:tc>
        <w:tc>
          <w:tcPr>
            <w:tcW w:w="245" w:type="pct"/>
            <w:tcBorders>
              <w:top w:val="single" w:sz="4" w:space="0" w:color="auto"/>
              <w:bottom w:val="single" w:sz="4" w:space="0" w:color="auto"/>
            </w:tcBorders>
            <w:shd w:val="clear" w:color="auto" w:fill="auto"/>
            <w:noWrap/>
            <w:vAlign w:val="bottom"/>
            <w:hideMark/>
          </w:tcPr>
          <w:p w14:paraId="79019016" w14:textId="77777777" w:rsidR="008D7B10" w:rsidRPr="00872D7E" w:rsidRDefault="008D7B10" w:rsidP="00033CCA">
            <w:pPr>
              <w:spacing w:before="60" w:after="60"/>
              <w:jc w:val="right"/>
              <w:rPr>
                <w:b/>
                <w:sz w:val="16"/>
                <w:szCs w:val="16"/>
              </w:rPr>
            </w:pPr>
            <w:r w:rsidRPr="00872D7E">
              <w:rPr>
                <w:b/>
                <w:sz w:val="16"/>
                <w:szCs w:val="16"/>
              </w:rPr>
              <w:t>%75</w:t>
            </w:r>
          </w:p>
        </w:tc>
        <w:tc>
          <w:tcPr>
            <w:tcW w:w="334" w:type="pct"/>
            <w:tcBorders>
              <w:top w:val="single" w:sz="4" w:space="0" w:color="auto"/>
              <w:bottom w:val="single" w:sz="4" w:space="0" w:color="auto"/>
            </w:tcBorders>
            <w:shd w:val="clear" w:color="auto" w:fill="auto"/>
            <w:noWrap/>
            <w:vAlign w:val="bottom"/>
            <w:hideMark/>
          </w:tcPr>
          <w:p w14:paraId="4C019A52" w14:textId="77777777" w:rsidR="008D7B10" w:rsidRPr="00872D7E" w:rsidRDefault="008D7B10" w:rsidP="00033CCA">
            <w:pPr>
              <w:spacing w:before="60" w:after="60"/>
              <w:jc w:val="right"/>
              <w:rPr>
                <w:b/>
                <w:sz w:val="16"/>
                <w:szCs w:val="16"/>
              </w:rPr>
            </w:pPr>
            <w:r w:rsidRPr="00872D7E">
              <w:rPr>
                <w:b/>
                <w:sz w:val="16"/>
                <w:szCs w:val="16"/>
              </w:rPr>
              <w:t>%100</w:t>
            </w:r>
          </w:p>
        </w:tc>
        <w:tc>
          <w:tcPr>
            <w:tcW w:w="293" w:type="pct"/>
            <w:tcBorders>
              <w:top w:val="single" w:sz="4" w:space="0" w:color="auto"/>
              <w:bottom w:val="single" w:sz="4" w:space="0" w:color="auto"/>
            </w:tcBorders>
            <w:shd w:val="clear" w:color="auto" w:fill="auto"/>
            <w:noWrap/>
            <w:vAlign w:val="bottom"/>
            <w:hideMark/>
          </w:tcPr>
          <w:p w14:paraId="748A1F37" w14:textId="77777777" w:rsidR="008D7B10" w:rsidRPr="00872D7E" w:rsidRDefault="008D7B10" w:rsidP="00033CCA">
            <w:pPr>
              <w:spacing w:before="60" w:after="60"/>
              <w:jc w:val="right"/>
              <w:rPr>
                <w:b/>
                <w:sz w:val="16"/>
                <w:szCs w:val="16"/>
              </w:rPr>
            </w:pPr>
            <w:r w:rsidRPr="00872D7E">
              <w:rPr>
                <w:b/>
                <w:sz w:val="16"/>
                <w:szCs w:val="16"/>
              </w:rPr>
              <w:t>%150</w:t>
            </w:r>
          </w:p>
        </w:tc>
        <w:tc>
          <w:tcPr>
            <w:tcW w:w="264" w:type="pct"/>
            <w:tcBorders>
              <w:top w:val="single" w:sz="4" w:space="0" w:color="auto"/>
              <w:bottom w:val="single" w:sz="4" w:space="0" w:color="auto"/>
            </w:tcBorders>
            <w:vAlign w:val="bottom"/>
          </w:tcPr>
          <w:p w14:paraId="71DC829B" w14:textId="53AD9FBF" w:rsidR="008D7B10" w:rsidRPr="00872D7E" w:rsidRDefault="008D7B10" w:rsidP="00033CCA">
            <w:pPr>
              <w:spacing w:before="60" w:after="60"/>
              <w:jc w:val="right"/>
              <w:rPr>
                <w:b/>
                <w:sz w:val="16"/>
                <w:szCs w:val="16"/>
              </w:rPr>
            </w:pPr>
            <w:r w:rsidRPr="00872D7E">
              <w:rPr>
                <w:b/>
                <w:sz w:val="16"/>
                <w:szCs w:val="16"/>
              </w:rPr>
              <w:t>%</w:t>
            </w:r>
            <w:r w:rsidR="00644841" w:rsidRPr="00872D7E">
              <w:rPr>
                <w:b/>
                <w:sz w:val="16"/>
                <w:szCs w:val="16"/>
              </w:rPr>
              <w:t>200</w:t>
            </w:r>
          </w:p>
        </w:tc>
        <w:tc>
          <w:tcPr>
            <w:tcW w:w="268" w:type="pct"/>
            <w:tcBorders>
              <w:top w:val="single" w:sz="4" w:space="0" w:color="auto"/>
              <w:bottom w:val="single" w:sz="4" w:space="0" w:color="auto"/>
            </w:tcBorders>
            <w:shd w:val="clear" w:color="auto" w:fill="auto"/>
            <w:noWrap/>
            <w:vAlign w:val="bottom"/>
            <w:hideMark/>
          </w:tcPr>
          <w:p w14:paraId="338B5771" w14:textId="77777777" w:rsidR="008D7B10" w:rsidRPr="00872D7E" w:rsidRDefault="008D7B10" w:rsidP="00033CCA">
            <w:pPr>
              <w:spacing w:before="60" w:after="60"/>
              <w:jc w:val="right"/>
              <w:rPr>
                <w:b/>
                <w:sz w:val="16"/>
                <w:szCs w:val="16"/>
              </w:rPr>
            </w:pPr>
            <w:r w:rsidRPr="00872D7E">
              <w:rPr>
                <w:b/>
                <w:sz w:val="16"/>
                <w:szCs w:val="16"/>
              </w:rPr>
              <w:t>Diğer</w:t>
            </w:r>
          </w:p>
        </w:tc>
        <w:tc>
          <w:tcPr>
            <w:tcW w:w="347" w:type="pct"/>
            <w:tcBorders>
              <w:top w:val="single" w:sz="4" w:space="0" w:color="auto"/>
              <w:bottom w:val="single" w:sz="4" w:space="0" w:color="auto"/>
            </w:tcBorders>
            <w:shd w:val="clear" w:color="auto" w:fill="auto"/>
            <w:noWrap/>
            <w:vAlign w:val="bottom"/>
            <w:hideMark/>
          </w:tcPr>
          <w:p w14:paraId="03A64985" w14:textId="77777777" w:rsidR="008D7B10" w:rsidRPr="00872D7E" w:rsidRDefault="008D7B10" w:rsidP="00033CCA">
            <w:pPr>
              <w:spacing w:before="60" w:after="60"/>
              <w:jc w:val="right"/>
              <w:rPr>
                <w:b/>
                <w:sz w:val="16"/>
                <w:szCs w:val="16"/>
              </w:rPr>
            </w:pPr>
            <w:r w:rsidRPr="00872D7E">
              <w:rPr>
                <w:b/>
                <w:sz w:val="16"/>
                <w:szCs w:val="16"/>
              </w:rPr>
              <w:t xml:space="preserve">Toplam </w:t>
            </w:r>
            <w:r w:rsidRPr="00872D7E">
              <w:rPr>
                <w:b/>
                <w:sz w:val="16"/>
                <w:szCs w:val="16"/>
              </w:rPr>
              <w:br/>
              <w:t xml:space="preserve">Kredi </w:t>
            </w:r>
            <w:r w:rsidRPr="00872D7E">
              <w:rPr>
                <w:b/>
                <w:sz w:val="16"/>
                <w:szCs w:val="16"/>
              </w:rPr>
              <w:br/>
              <w:t xml:space="preserve">Riski </w:t>
            </w:r>
            <w:r w:rsidRPr="00872D7E">
              <w:rPr>
                <w:b/>
                <w:sz w:val="16"/>
                <w:szCs w:val="16"/>
                <w:vertAlign w:val="superscript"/>
              </w:rPr>
              <w:t>(*)</w:t>
            </w:r>
          </w:p>
        </w:tc>
      </w:tr>
      <w:bookmarkEnd w:id="53"/>
      <w:tr w:rsidR="008D7B10" w:rsidRPr="00872D7E" w14:paraId="4333CC87" w14:textId="77777777" w:rsidTr="008D7B10">
        <w:trPr>
          <w:trHeight w:val="36"/>
        </w:trPr>
        <w:tc>
          <w:tcPr>
            <w:tcW w:w="1594" w:type="pct"/>
            <w:tcBorders>
              <w:top w:val="single" w:sz="4" w:space="0" w:color="auto"/>
            </w:tcBorders>
            <w:shd w:val="clear" w:color="auto" w:fill="auto"/>
            <w:vAlign w:val="center"/>
            <w:hideMark/>
          </w:tcPr>
          <w:p w14:paraId="6582B560" w14:textId="77777777" w:rsidR="008D7B10" w:rsidRPr="00872D7E" w:rsidRDefault="008D7B10" w:rsidP="008D7B10">
            <w:pPr>
              <w:rPr>
                <w:sz w:val="16"/>
                <w:szCs w:val="16"/>
              </w:rPr>
            </w:pPr>
            <w:r w:rsidRPr="00872D7E">
              <w:rPr>
                <w:sz w:val="16"/>
                <w:szCs w:val="16"/>
              </w:rPr>
              <w:t>Merkezi yönetimlerden ve merkez bankalarından alacaklar</w:t>
            </w:r>
          </w:p>
        </w:tc>
        <w:tc>
          <w:tcPr>
            <w:tcW w:w="323" w:type="pct"/>
            <w:tcBorders>
              <w:top w:val="single" w:sz="4" w:space="0" w:color="auto"/>
            </w:tcBorders>
            <w:shd w:val="clear" w:color="auto" w:fill="auto"/>
            <w:noWrap/>
            <w:vAlign w:val="bottom"/>
          </w:tcPr>
          <w:p w14:paraId="627507AD" w14:textId="45FC5F33" w:rsidR="008D7B10" w:rsidRPr="00872D7E" w:rsidRDefault="008D7B10" w:rsidP="008D7B10">
            <w:pPr>
              <w:jc w:val="right"/>
              <w:rPr>
                <w:sz w:val="16"/>
                <w:szCs w:val="16"/>
              </w:rPr>
            </w:pPr>
            <w:r w:rsidRPr="00872D7E">
              <w:rPr>
                <w:sz w:val="16"/>
                <w:szCs w:val="16"/>
              </w:rPr>
              <w:t>-</w:t>
            </w:r>
          </w:p>
        </w:tc>
        <w:tc>
          <w:tcPr>
            <w:tcW w:w="245" w:type="pct"/>
            <w:tcBorders>
              <w:top w:val="single" w:sz="4" w:space="0" w:color="auto"/>
            </w:tcBorders>
            <w:shd w:val="clear" w:color="auto" w:fill="auto"/>
            <w:noWrap/>
            <w:vAlign w:val="bottom"/>
          </w:tcPr>
          <w:p w14:paraId="3EB475F4" w14:textId="238FD90E" w:rsidR="008D7B10" w:rsidRPr="00872D7E" w:rsidRDefault="008D7B10" w:rsidP="008D7B10">
            <w:pPr>
              <w:jc w:val="right"/>
              <w:rPr>
                <w:sz w:val="16"/>
                <w:szCs w:val="16"/>
              </w:rPr>
            </w:pPr>
            <w:r w:rsidRPr="00872D7E">
              <w:rPr>
                <w:sz w:val="16"/>
                <w:szCs w:val="16"/>
              </w:rPr>
              <w:t>-</w:t>
            </w:r>
          </w:p>
        </w:tc>
        <w:tc>
          <w:tcPr>
            <w:tcW w:w="284" w:type="pct"/>
            <w:tcBorders>
              <w:top w:val="single" w:sz="4" w:space="0" w:color="auto"/>
            </w:tcBorders>
            <w:shd w:val="clear" w:color="auto" w:fill="auto"/>
            <w:noWrap/>
            <w:vAlign w:val="bottom"/>
          </w:tcPr>
          <w:p w14:paraId="2C1DE004" w14:textId="292D14C3" w:rsidR="008D7B10" w:rsidRPr="00872D7E" w:rsidRDefault="008D7B10" w:rsidP="008D7B10">
            <w:pPr>
              <w:jc w:val="right"/>
              <w:rPr>
                <w:sz w:val="16"/>
                <w:szCs w:val="16"/>
              </w:rPr>
            </w:pPr>
            <w:r w:rsidRPr="00872D7E">
              <w:rPr>
                <w:sz w:val="16"/>
                <w:szCs w:val="16"/>
              </w:rPr>
              <w:t>-</w:t>
            </w:r>
          </w:p>
        </w:tc>
        <w:tc>
          <w:tcPr>
            <w:tcW w:w="225" w:type="pct"/>
            <w:tcBorders>
              <w:top w:val="single" w:sz="4" w:space="0" w:color="auto"/>
            </w:tcBorders>
            <w:vAlign w:val="bottom"/>
          </w:tcPr>
          <w:p w14:paraId="1127D325" w14:textId="3B8159B8" w:rsidR="008D7B10" w:rsidRPr="00872D7E" w:rsidRDefault="008D7B10" w:rsidP="008D7B10">
            <w:pPr>
              <w:jc w:val="right"/>
              <w:rPr>
                <w:sz w:val="16"/>
                <w:szCs w:val="16"/>
              </w:rPr>
            </w:pPr>
            <w:r w:rsidRPr="00872D7E">
              <w:rPr>
                <w:sz w:val="16"/>
                <w:szCs w:val="16"/>
              </w:rPr>
              <w:t>-</w:t>
            </w:r>
          </w:p>
        </w:tc>
        <w:tc>
          <w:tcPr>
            <w:tcW w:w="225" w:type="pct"/>
            <w:tcBorders>
              <w:top w:val="single" w:sz="4" w:space="0" w:color="auto"/>
            </w:tcBorders>
            <w:vAlign w:val="bottom"/>
          </w:tcPr>
          <w:p w14:paraId="3FDBF62D" w14:textId="14760707" w:rsidR="008D7B10" w:rsidRPr="00872D7E" w:rsidRDefault="008D7B10" w:rsidP="008D7B10">
            <w:pPr>
              <w:jc w:val="right"/>
              <w:rPr>
                <w:sz w:val="16"/>
                <w:szCs w:val="16"/>
              </w:rPr>
            </w:pPr>
            <w:r w:rsidRPr="00872D7E">
              <w:rPr>
                <w:sz w:val="16"/>
                <w:szCs w:val="16"/>
              </w:rPr>
              <w:t>-</w:t>
            </w:r>
          </w:p>
        </w:tc>
        <w:tc>
          <w:tcPr>
            <w:tcW w:w="353" w:type="pct"/>
            <w:tcBorders>
              <w:top w:val="single" w:sz="4" w:space="0" w:color="auto"/>
            </w:tcBorders>
            <w:shd w:val="clear" w:color="auto" w:fill="auto"/>
            <w:noWrap/>
            <w:vAlign w:val="bottom"/>
          </w:tcPr>
          <w:p w14:paraId="747FFDFA" w14:textId="69932BC2" w:rsidR="008D7B10" w:rsidRPr="00872D7E" w:rsidRDefault="008D7B10" w:rsidP="008D7B10">
            <w:pPr>
              <w:jc w:val="right"/>
              <w:rPr>
                <w:sz w:val="16"/>
                <w:szCs w:val="16"/>
              </w:rPr>
            </w:pPr>
            <w:r w:rsidRPr="00872D7E">
              <w:rPr>
                <w:sz w:val="16"/>
                <w:szCs w:val="16"/>
              </w:rPr>
              <w:t>-</w:t>
            </w:r>
          </w:p>
        </w:tc>
        <w:tc>
          <w:tcPr>
            <w:tcW w:w="245" w:type="pct"/>
            <w:tcBorders>
              <w:top w:val="single" w:sz="4" w:space="0" w:color="auto"/>
            </w:tcBorders>
            <w:shd w:val="clear" w:color="auto" w:fill="auto"/>
            <w:noWrap/>
            <w:vAlign w:val="bottom"/>
          </w:tcPr>
          <w:p w14:paraId="6D3F53A8" w14:textId="556A9448" w:rsidR="008D7B10" w:rsidRPr="00872D7E" w:rsidRDefault="008D7B10" w:rsidP="008D7B10">
            <w:pPr>
              <w:jc w:val="right"/>
              <w:rPr>
                <w:sz w:val="16"/>
                <w:szCs w:val="16"/>
              </w:rPr>
            </w:pPr>
            <w:r w:rsidRPr="00872D7E">
              <w:rPr>
                <w:sz w:val="16"/>
                <w:szCs w:val="16"/>
              </w:rPr>
              <w:t>-</w:t>
            </w:r>
          </w:p>
        </w:tc>
        <w:tc>
          <w:tcPr>
            <w:tcW w:w="334" w:type="pct"/>
            <w:tcBorders>
              <w:top w:val="single" w:sz="4" w:space="0" w:color="auto"/>
            </w:tcBorders>
            <w:shd w:val="clear" w:color="auto" w:fill="auto"/>
            <w:noWrap/>
            <w:vAlign w:val="bottom"/>
          </w:tcPr>
          <w:p w14:paraId="31794D57" w14:textId="24294E11" w:rsidR="008D7B10" w:rsidRPr="00872D7E" w:rsidRDefault="008D7B10" w:rsidP="008D7B10">
            <w:pPr>
              <w:jc w:val="right"/>
              <w:rPr>
                <w:sz w:val="16"/>
                <w:szCs w:val="16"/>
              </w:rPr>
            </w:pPr>
            <w:r w:rsidRPr="00872D7E">
              <w:rPr>
                <w:sz w:val="16"/>
                <w:szCs w:val="16"/>
              </w:rPr>
              <w:t>-</w:t>
            </w:r>
          </w:p>
        </w:tc>
        <w:tc>
          <w:tcPr>
            <w:tcW w:w="293" w:type="pct"/>
            <w:tcBorders>
              <w:top w:val="single" w:sz="4" w:space="0" w:color="auto"/>
            </w:tcBorders>
            <w:shd w:val="clear" w:color="auto" w:fill="auto"/>
            <w:noWrap/>
            <w:vAlign w:val="bottom"/>
          </w:tcPr>
          <w:p w14:paraId="1598DF72" w14:textId="485E75B8" w:rsidR="008D7B10" w:rsidRPr="00872D7E" w:rsidRDefault="008D7B10" w:rsidP="008D7B10">
            <w:pPr>
              <w:jc w:val="right"/>
              <w:rPr>
                <w:sz w:val="16"/>
                <w:szCs w:val="16"/>
              </w:rPr>
            </w:pPr>
            <w:r w:rsidRPr="00872D7E">
              <w:rPr>
                <w:sz w:val="16"/>
                <w:szCs w:val="16"/>
              </w:rPr>
              <w:t>-</w:t>
            </w:r>
          </w:p>
        </w:tc>
        <w:tc>
          <w:tcPr>
            <w:tcW w:w="264" w:type="pct"/>
            <w:tcBorders>
              <w:top w:val="single" w:sz="4" w:space="0" w:color="auto"/>
            </w:tcBorders>
            <w:vAlign w:val="bottom"/>
          </w:tcPr>
          <w:p w14:paraId="24C0CDEA" w14:textId="524C658A" w:rsidR="008D7B10" w:rsidRPr="00872D7E" w:rsidRDefault="008D7B10" w:rsidP="008D7B10">
            <w:pPr>
              <w:jc w:val="right"/>
              <w:rPr>
                <w:sz w:val="16"/>
                <w:szCs w:val="16"/>
              </w:rPr>
            </w:pPr>
            <w:r w:rsidRPr="00872D7E">
              <w:rPr>
                <w:sz w:val="16"/>
                <w:szCs w:val="16"/>
              </w:rPr>
              <w:t>-</w:t>
            </w:r>
          </w:p>
        </w:tc>
        <w:tc>
          <w:tcPr>
            <w:tcW w:w="268" w:type="pct"/>
            <w:tcBorders>
              <w:top w:val="single" w:sz="4" w:space="0" w:color="auto"/>
            </w:tcBorders>
            <w:shd w:val="clear" w:color="auto" w:fill="auto"/>
            <w:noWrap/>
            <w:vAlign w:val="bottom"/>
          </w:tcPr>
          <w:p w14:paraId="13A85803" w14:textId="505275FD" w:rsidR="008D7B10" w:rsidRPr="00872D7E" w:rsidRDefault="008D7B10" w:rsidP="008D7B10">
            <w:pPr>
              <w:jc w:val="right"/>
              <w:rPr>
                <w:sz w:val="16"/>
                <w:szCs w:val="16"/>
              </w:rPr>
            </w:pPr>
            <w:r w:rsidRPr="00872D7E">
              <w:rPr>
                <w:sz w:val="16"/>
                <w:szCs w:val="16"/>
              </w:rPr>
              <w:t>-</w:t>
            </w:r>
          </w:p>
        </w:tc>
        <w:tc>
          <w:tcPr>
            <w:tcW w:w="347" w:type="pct"/>
            <w:tcBorders>
              <w:top w:val="single" w:sz="4" w:space="0" w:color="auto"/>
            </w:tcBorders>
            <w:shd w:val="clear" w:color="auto" w:fill="auto"/>
            <w:noWrap/>
            <w:vAlign w:val="bottom"/>
          </w:tcPr>
          <w:p w14:paraId="3C4521F0" w14:textId="44D5E6F4" w:rsidR="008D7B10" w:rsidRPr="00872D7E" w:rsidRDefault="008D7B10" w:rsidP="008D7B10">
            <w:pPr>
              <w:jc w:val="right"/>
              <w:rPr>
                <w:sz w:val="16"/>
                <w:szCs w:val="16"/>
              </w:rPr>
            </w:pPr>
            <w:r w:rsidRPr="00872D7E">
              <w:rPr>
                <w:sz w:val="16"/>
                <w:szCs w:val="16"/>
              </w:rPr>
              <w:t>-</w:t>
            </w:r>
          </w:p>
        </w:tc>
      </w:tr>
      <w:tr w:rsidR="008D7B10" w:rsidRPr="00872D7E" w14:paraId="27B28DB6" w14:textId="77777777" w:rsidTr="008D7B10">
        <w:trPr>
          <w:trHeight w:val="36"/>
        </w:trPr>
        <w:tc>
          <w:tcPr>
            <w:tcW w:w="1594" w:type="pct"/>
            <w:shd w:val="clear" w:color="auto" w:fill="auto"/>
            <w:vAlign w:val="center"/>
            <w:hideMark/>
          </w:tcPr>
          <w:p w14:paraId="353A36CD" w14:textId="77777777" w:rsidR="008D7B10" w:rsidRPr="00872D7E" w:rsidRDefault="008D7B10" w:rsidP="008D7B10">
            <w:pPr>
              <w:rPr>
                <w:sz w:val="16"/>
                <w:szCs w:val="16"/>
              </w:rPr>
            </w:pPr>
            <w:r w:rsidRPr="00872D7E">
              <w:rPr>
                <w:sz w:val="16"/>
                <w:szCs w:val="16"/>
              </w:rPr>
              <w:t>Bölgesel veya yerel yönetimlerden alacaklar</w:t>
            </w:r>
          </w:p>
        </w:tc>
        <w:tc>
          <w:tcPr>
            <w:tcW w:w="323" w:type="pct"/>
            <w:shd w:val="clear" w:color="auto" w:fill="auto"/>
            <w:noWrap/>
            <w:vAlign w:val="bottom"/>
          </w:tcPr>
          <w:p w14:paraId="1555358F" w14:textId="60CDEC87"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00F475B0" w14:textId="005F4E60"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3D538009" w14:textId="525A8D79" w:rsidR="008D7B10" w:rsidRPr="00872D7E" w:rsidRDefault="008D7B10" w:rsidP="008D7B10">
            <w:pPr>
              <w:jc w:val="right"/>
              <w:rPr>
                <w:sz w:val="16"/>
                <w:szCs w:val="16"/>
              </w:rPr>
            </w:pPr>
            <w:r w:rsidRPr="00872D7E">
              <w:rPr>
                <w:sz w:val="16"/>
                <w:szCs w:val="16"/>
              </w:rPr>
              <w:t>-</w:t>
            </w:r>
          </w:p>
        </w:tc>
        <w:tc>
          <w:tcPr>
            <w:tcW w:w="225" w:type="pct"/>
            <w:vAlign w:val="bottom"/>
          </w:tcPr>
          <w:p w14:paraId="47639B5B" w14:textId="448A0BA9" w:rsidR="008D7B10" w:rsidRPr="00872D7E" w:rsidRDefault="008D7B10" w:rsidP="008D7B10">
            <w:pPr>
              <w:jc w:val="right"/>
              <w:rPr>
                <w:sz w:val="16"/>
                <w:szCs w:val="16"/>
              </w:rPr>
            </w:pPr>
            <w:r w:rsidRPr="00872D7E">
              <w:rPr>
                <w:sz w:val="16"/>
                <w:szCs w:val="16"/>
              </w:rPr>
              <w:t>-</w:t>
            </w:r>
          </w:p>
        </w:tc>
        <w:tc>
          <w:tcPr>
            <w:tcW w:w="225" w:type="pct"/>
            <w:vAlign w:val="bottom"/>
          </w:tcPr>
          <w:p w14:paraId="534BDF4E" w14:textId="135A3D81"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20C286BC" w14:textId="0D0E8E6A"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61B79424" w14:textId="26DBD2DB"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5ABB0B9C" w14:textId="3889E2D7"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54B9340A" w14:textId="778C2798" w:rsidR="008D7B10" w:rsidRPr="00872D7E" w:rsidRDefault="008D7B10" w:rsidP="008D7B10">
            <w:pPr>
              <w:jc w:val="right"/>
              <w:rPr>
                <w:sz w:val="16"/>
                <w:szCs w:val="16"/>
              </w:rPr>
            </w:pPr>
            <w:r w:rsidRPr="00872D7E">
              <w:rPr>
                <w:sz w:val="16"/>
                <w:szCs w:val="16"/>
              </w:rPr>
              <w:t>-</w:t>
            </w:r>
          </w:p>
        </w:tc>
        <w:tc>
          <w:tcPr>
            <w:tcW w:w="264" w:type="pct"/>
            <w:vAlign w:val="bottom"/>
          </w:tcPr>
          <w:p w14:paraId="600E51B3" w14:textId="343719AC"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206139B7" w14:textId="04AAC495"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4CEFD45B" w14:textId="22D4D94D" w:rsidR="008D7B10" w:rsidRPr="00872D7E" w:rsidRDefault="008D7B10" w:rsidP="008D7B10">
            <w:pPr>
              <w:jc w:val="right"/>
              <w:rPr>
                <w:sz w:val="16"/>
                <w:szCs w:val="16"/>
              </w:rPr>
            </w:pPr>
            <w:r w:rsidRPr="00872D7E">
              <w:rPr>
                <w:sz w:val="16"/>
                <w:szCs w:val="16"/>
              </w:rPr>
              <w:t>-</w:t>
            </w:r>
          </w:p>
        </w:tc>
      </w:tr>
      <w:tr w:rsidR="008D7B10" w:rsidRPr="00872D7E" w14:paraId="3FA419B8" w14:textId="77777777" w:rsidTr="008D7B10">
        <w:trPr>
          <w:trHeight w:val="36"/>
        </w:trPr>
        <w:tc>
          <w:tcPr>
            <w:tcW w:w="1594" w:type="pct"/>
            <w:shd w:val="clear" w:color="auto" w:fill="auto"/>
            <w:vAlign w:val="center"/>
            <w:hideMark/>
          </w:tcPr>
          <w:p w14:paraId="07F3531E" w14:textId="77777777" w:rsidR="008D7B10" w:rsidRPr="00872D7E" w:rsidRDefault="008D7B10" w:rsidP="008D7B10">
            <w:pPr>
              <w:rPr>
                <w:sz w:val="16"/>
                <w:szCs w:val="16"/>
              </w:rPr>
            </w:pPr>
            <w:r w:rsidRPr="00872D7E">
              <w:rPr>
                <w:sz w:val="16"/>
                <w:szCs w:val="16"/>
              </w:rPr>
              <w:t>İdari birimlerden ve ticari olmayan girişimlerden alacaklar</w:t>
            </w:r>
          </w:p>
        </w:tc>
        <w:tc>
          <w:tcPr>
            <w:tcW w:w="323" w:type="pct"/>
            <w:shd w:val="clear" w:color="auto" w:fill="auto"/>
            <w:noWrap/>
            <w:vAlign w:val="bottom"/>
          </w:tcPr>
          <w:p w14:paraId="1CC84AC4" w14:textId="73B49043"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4AE902C4" w14:textId="71D85D48"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681BF091" w14:textId="7C3C8E10" w:rsidR="008D7B10" w:rsidRPr="00872D7E" w:rsidRDefault="008D7B10" w:rsidP="008D7B10">
            <w:pPr>
              <w:jc w:val="right"/>
              <w:rPr>
                <w:sz w:val="16"/>
                <w:szCs w:val="16"/>
              </w:rPr>
            </w:pPr>
            <w:r w:rsidRPr="00872D7E">
              <w:rPr>
                <w:sz w:val="16"/>
                <w:szCs w:val="16"/>
              </w:rPr>
              <w:t>-</w:t>
            </w:r>
          </w:p>
        </w:tc>
        <w:tc>
          <w:tcPr>
            <w:tcW w:w="225" w:type="pct"/>
            <w:vAlign w:val="bottom"/>
          </w:tcPr>
          <w:p w14:paraId="12E8E2F0" w14:textId="6B7893C8" w:rsidR="008D7B10" w:rsidRPr="00872D7E" w:rsidRDefault="008D7B10" w:rsidP="008D7B10">
            <w:pPr>
              <w:jc w:val="right"/>
              <w:rPr>
                <w:sz w:val="16"/>
                <w:szCs w:val="16"/>
              </w:rPr>
            </w:pPr>
            <w:r w:rsidRPr="00872D7E">
              <w:rPr>
                <w:sz w:val="16"/>
                <w:szCs w:val="16"/>
              </w:rPr>
              <w:t>-</w:t>
            </w:r>
          </w:p>
        </w:tc>
        <w:tc>
          <w:tcPr>
            <w:tcW w:w="225" w:type="pct"/>
            <w:vAlign w:val="bottom"/>
          </w:tcPr>
          <w:p w14:paraId="0B56D91F" w14:textId="6AA49115"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1DD43C20" w14:textId="3C21C5B4"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72136480" w14:textId="7EA681B3"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6D036A46" w14:textId="01167F52"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3710EF4C" w14:textId="5E56D732" w:rsidR="008D7B10" w:rsidRPr="00872D7E" w:rsidRDefault="008D7B10" w:rsidP="008D7B10">
            <w:pPr>
              <w:jc w:val="right"/>
              <w:rPr>
                <w:sz w:val="16"/>
                <w:szCs w:val="16"/>
              </w:rPr>
            </w:pPr>
            <w:r w:rsidRPr="00872D7E">
              <w:rPr>
                <w:sz w:val="16"/>
                <w:szCs w:val="16"/>
              </w:rPr>
              <w:t>-</w:t>
            </w:r>
          </w:p>
        </w:tc>
        <w:tc>
          <w:tcPr>
            <w:tcW w:w="264" w:type="pct"/>
            <w:vAlign w:val="bottom"/>
          </w:tcPr>
          <w:p w14:paraId="1FB917CB" w14:textId="11C35880"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1AD290C7" w14:textId="03629F0C"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1B08E774" w14:textId="30B50B0D" w:rsidR="008D7B10" w:rsidRPr="00872D7E" w:rsidRDefault="008D7B10" w:rsidP="008D7B10">
            <w:pPr>
              <w:jc w:val="right"/>
              <w:rPr>
                <w:sz w:val="16"/>
                <w:szCs w:val="16"/>
              </w:rPr>
            </w:pPr>
            <w:r w:rsidRPr="00872D7E">
              <w:rPr>
                <w:sz w:val="16"/>
                <w:szCs w:val="16"/>
              </w:rPr>
              <w:t>-</w:t>
            </w:r>
          </w:p>
        </w:tc>
      </w:tr>
      <w:tr w:rsidR="008D7B10" w:rsidRPr="00872D7E" w14:paraId="279CC72A" w14:textId="77777777" w:rsidTr="008D7B10">
        <w:trPr>
          <w:trHeight w:val="36"/>
        </w:trPr>
        <w:tc>
          <w:tcPr>
            <w:tcW w:w="1594" w:type="pct"/>
            <w:shd w:val="clear" w:color="auto" w:fill="auto"/>
            <w:vAlign w:val="center"/>
            <w:hideMark/>
          </w:tcPr>
          <w:p w14:paraId="157B73C0" w14:textId="77777777" w:rsidR="008D7B10" w:rsidRPr="00872D7E" w:rsidRDefault="008D7B10" w:rsidP="008D7B10">
            <w:pPr>
              <w:rPr>
                <w:sz w:val="16"/>
                <w:szCs w:val="16"/>
              </w:rPr>
            </w:pPr>
            <w:r w:rsidRPr="00872D7E">
              <w:rPr>
                <w:sz w:val="16"/>
                <w:szCs w:val="16"/>
              </w:rPr>
              <w:t>Çok taraflı kalkınma bankalarından alacaklar</w:t>
            </w:r>
          </w:p>
        </w:tc>
        <w:tc>
          <w:tcPr>
            <w:tcW w:w="323" w:type="pct"/>
            <w:shd w:val="clear" w:color="auto" w:fill="auto"/>
            <w:noWrap/>
            <w:vAlign w:val="bottom"/>
          </w:tcPr>
          <w:p w14:paraId="3C14404D" w14:textId="3C883693"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6FF3A29C" w14:textId="02A819D7"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70B2364D" w14:textId="7D739E0A" w:rsidR="008D7B10" w:rsidRPr="00872D7E" w:rsidRDefault="008D7B10" w:rsidP="008D7B10">
            <w:pPr>
              <w:jc w:val="right"/>
              <w:rPr>
                <w:sz w:val="16"/>
                <w:szCs w:val="16"/>
              </w:rPr>
            </w:pPr>
            <w:r w:rsidRPr="00872D7E">
              <w:rPr>
                <w:sz w:val="16"/>
                <w:szCs w:val="16"/>
              </w:rPr>
              <w:t>-</w:t>
            </w:r>
          </w:p>
        </w:tc>
        <w:tc>
          <w:tcPr>
            <w:tcW w:w="225" w:type="pct"/>
            <w:vAlign w:val="bottom"/>
          </w:tcPr>
          <w:p w14:paraId="7FDA1D15" w14:textId="54898F1C" w:rsidR="008D7B10" w:rsidRPr="00872D7E" w:rsidRDefault="008D7B10" w:rsidP="008D7B10">
            <w:pPr>
              <w:jc w:val="right"/>
              <w:rPr>
                <w:sz w:val="16"/>
                <w:szCs w:val="16"/>
              </w:rPr>
            </w:pPr>
            <w:r w:rsidRPr="00872D7E">
              <w:rPr>
                <w:sz w:val="16"/>
                <w:szCs w:val="16"/>
              </w:rPr>
              <w:t>-</w:t>
            </w:r>
          </w:p>
        </w:tc>
        <w:tc>
          <w:tcPr>
            <w:tcW w:w="225" w:type="pct"/>
            <w:vAlign w:val="bottom"/>
          </w:tcPr>
          <w:p w14:paraId="6D9AAB3B" w14:textId="1A38A9A2"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61A7F955" w14:textId="76A98DE6"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0415184F" w14:textId="13B223FC"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38524DCA" w14:textId="14FA68BD"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487F15F9" w14:textId="0029BBEA" w:rsidR="008D7B10" w:rsidRPr="00872D7E" w:rsidRDefault="008D7B10" w:rsidP="008D7B10">
            <w:pPr>
              <w:jc w:val="right"/>
              <w:rPr>
                <w:sz w:val="16"/>
                <w:szCs w:val="16"/>
              </w:rPr>
            </w:pPr>
            <w:r w:rsidRPr="00872D7E">
              <w:rPr>
                <w:sz w:val="16"/>
                <w:szCs w:val="16"/>
              </w:rPr>
              <w:t>-</w:t>
            </w:r>
          </w:p>
        </w:tc>
        <w:tc>
          <w:tcPr>
            <w:tcW w:w="264" w:type="pct"/>
            <w:vAlign w:val="bottom"/>
          </w:tcPr>
          <w:p w14:paraId="4E7AD842" w14:textId="090AFAB7"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59C73DE8" w14:textId="25199200"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4B9ED6A1" w14:textId="441FC0FB" w:rsidR="008D7B10" w:rsidRPr="00872D7E" w:rsidRDefault="008D7B10" w:rsidP="008D7B10">
            <w:pPr>
              <w:jc w:val="right"/>
              <w:rPr>
                <w:sz w:val="16"/>
                <w:szCs w:val="16"/>
              </w:rPr>
            </w:pPr>
            <w:r w:rsidRPr="00872D7E">
              <w:rPr>
                <w:sz w:val="16"/>
                <w:szCs w:val="16"/>
              </w:rPr>
              <w:t>-</w:t>
            </w:r>
          </w:p>
        </w:tc>
      </w:tr>
      <w:tr w:rsidR="008D7B10" w:rsidRPr="00872D7E" w14:paraId="5A49A184" w14:textId="77777777" w:rsidTr="008D7B10">
        <w:trPr>
          <w:trHeight w:val="36"/>
        </w:trPr>
        <w:tc>
          <w:tcPr>
            <w:tcW w:w="1594" w:type="pct"/>
            <w:shd w:val="clear" w:color="auto" w:fill="auto"/>
            <w:vAlign w:val="center"/>
            <w:hideMark/>
          </w:tcPr>
          <w:p w14:paraId="44916695" w14:textId="77777777" w:rsidR="008D7B10" w:rsidRPr="00872D7E" w:rsidRDefault="008D7B10" w:rsidP="008D7B10">
            <w:pPr>
              <w:rPr>
                <w:sz w:val="16"/>
                <w:szCs w:val="16"/>
              </w:rPr>
            </w:pPr>
            <w:r w:rsidRPr="00872D7E">
              <w:rPr>
                <w:sz w:val="16"/>
                <w:szCs w:val="16"/>
              </w:rPr>
              <w:t>Uluslararası teşkilatlardan alacaklar</w:t>
            </w:r>
          </w:p>
        </w:tc>
        <w:tc>
          <w:tcPr>
            <w:tcW w:w="323" w:type="pct"/>
            <w:shd w:val="clear" w:color="auto" w:fill="auto"/>
            <w:noWrap/>
            <w:vAlign w:val="bottom"/>
          </w:tcPr>
          <w:p w14:paraId="1919312E" w14:textId="2636A450"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76807D63" w14:textId="5405B358"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3A572A56" w14:textId="0BBD0531" w:rsidR="008D7B10" w:rsidRPr="00872D7E" w:rsidRDefault="008D7B10" w:rsidP="008D7B10">
            <w:pPr>
              <w:jc w:val="right"/>
              <w:rPr>
                <w:sz w:val="16"/>
                <w:szCs w:val="16"/>
              </w:rPr>
            </w:pPr>
            <w:r w:rsidRPr="00872D7E">
              <w:rPr>
                <w:sz w:val="16"/>
                <w:szCs w:val="16"/>
              </w:rPr>
              <w:t>-</w:t>
            </w:r>
          </w:p>
        </w:tc>
        <w:tc>
          <w:tcPr>
            <w:tcW w:w="225" w:type="pct"/>
            <w:vAlign w:val="bottom"/>
          </w:tcPr>
          <w:p w14:paraId="3D000A52" w14:textId="6D853A26" w:rsidR="008D7B10" w:rsidRPr="00872D7E" w:rsidRDefault="008D7B10" w:rsidP="008D7B10">
            <w:pPr>
              <w:jc w:val="right"/>
              <w:rPr>
                <w:sz w:val="16"/>
                <w:szCs w:val="16"/>
              </w:rPr>
            </w:pPr>
            <w:r w:rsidRPr="00872D7E">
              <w:rPr>
                <w:sz w:val="16"/>
                <w:szCs w:val="16"/>
              </w:rPr>
              <w:t>-</w:t>
            </w:r>
          </w:p>
        </w:tc>
        <w:tc>
          <w:tcPr>
            <w:tcW w:w="225" w:type="pct"/>
            <w:vAlign w:val="bottom"/>
          </w:tcPr>
          <w:p w14:paraId="4598C6E7" w14:textId="52DEFE71"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111360F7" w14:textId="19488498"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2F7B9D6D" w14:textId="19B2DE0A"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34533331" w14:textId="6863F5DE"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76DFBB69" w14:textId="63AD6DAE" w:rsidR="008D7B10" w:rsidRPr="00872D7E" w:rsidRDefault="008D7B10" w:rsidP="008D7B10">
            <w:pPr>
              <w:jc w:val="right"/>
              <w:rPr>
                <w:sz w:val="16"/>
                <w:szCs w:val="16"/>
              </w:rPr>
            </w:pPr>
            <w:r w:rsidRPr="00872D7E">
              <w:rPr>
                <w:sz w:val="16"/>
                <w:szCs w:val="16"/>
              </w:rPr>
              <w:t>-</w:t>
            </w:r>
          </w:p>
        </w:tc>
        <w:tc>
          <w:tcPr>
            <w:tcW w:w="264" w:type="pct"/>
            <w:vAlign w:val="bottom"/>
          </w:tcPr>
          <w:p w14:paraId="00259878" w14:textId="6165D6FA"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3D56E7AB" w14:textId="477C6CD7"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4A026E2D" w14:textId="3C800335" w:rsidR="008D7B10" w:rsidRPr="00872D7E" w:rsidRDefault="008D7B10" w:rsidP="008D7B10">
            <w:pPr>
              <w:jc w:val="right"/>
              <w:rPr>
                <w:sz w:val="16"/>
                <w:szCs w:val="16"/>
              </w:rPr>
            </w:pPr>
            <w:r w:rsidRPr="00872D7E">
              <w:rPr>
                <w:sz w:val="16"/>
                <w:szCs w:val="16"/>
              </w:rPr>
              <w:t>-</w:t>
            </w:r>
          </w:p>
        </w:tc>
      </w:tr>
      <w:tr w:rsidR="008D7B10" w:rsidRPr="00872D7E" w14:paraId="228C7E06" w14:textId="77777777" w:rsidTr="008D7B10">
        <w:trPr>
          <w:trHeight w:val="36"/>
        </w:trPr>
        <w:tc>
          <w:tcPr>
            <w:tcW w:w="1594" w:type="pct"/>
            <w:shd w:val="clear" w:color="auto" w:fill="auto"/>
            <w:vAlign w:val="center"/>
          </w:tcPr>
          <w:p w14:paraId="55C637BE" w14:textId="77777777" w:rsidR="008D7B10" w:rsidRPr="00872D7E" w:rsidRDefault="008D7B10" w:rsidP="008D7B10">
            <w:pPr>
              <w:rPr>
                <w:sz w:val="16"/>
                <w:szCs w:val="16"/>
              </w:rPr>
            </w:pPr>
            <w:r w:rsidRPr="00872D7E">
              <w:rPr>
                <w:sz w:val="16"/>
                <w:szCs w:val="16"/>
              </w:rPr>
              <w:t>Bankalar ve aracı kurumlardan alacaklar</w:t>
            </w:r>
          </w:p>
        </w:tc>
        <w:tc>
          <w:tcPr>
            <w:tcW w:w="323" w:type="pct"/>
            <w:shd w:val="clear" w:color="auto" w:fill="auto"/>
            <w:noWrap/>
            <w:vAlign w:val="bottom"/>
          </w:tcPr>
          <w:p w14:paraId="3055585B" w14:textId="44CD632C"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552B56DA" w14:textId="55CCD5CF"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7AAFC115" w14:textId="01EFB17F" w:rsidR="008D7B10" w:rsidRPr="00872D7E" w:rsidRDefault="008D7B10" w:rsidP="008D7B10">
            <w:pPr>
              <w:jc w:val="right"/>
              <w:rPr>
                <w:sz w:val="16"/>
                <w:szCs w:val="16"/>
              </w:rPr>
            </w:pPr>
            <w:r w:rsidRPr="00872D7E">
              <w:rPr>
                <w:sz w:val="16"/>
                <w:szCs w:val="16"/>
              </w:rPr>
              <w:t>24.455</w:t>
            </w:r>
          </w:p>
        </w:tc>
        <w:tc>
          <w:tcPr>
            <w:tcW w:w="225" w:type="pct"/>
            <w:vAlign w:val="bottom"/>
          </w:tcPr>
          <w:p w14:paraId="438F454E" w14:textId="32C85DAE" w:rsidR="008D7B10" w:rsidRPr="00872D7E" w:rsidRDefault="008D7B10" w:rsidP="008D7B10">
            <w:pPr>
              <w:jc w:val="right"/>
              <w:rPr>
                <w:sz w:val="16"/>
                <w:szCs w:val="16"/>
              </w:rPr>
            </w:pPr>
            <w:r w:rsidRPr="00872D7E">
              <w:rPr>
                <w:sz w:val="16"/>
                <w:szCs w:val="16"/>
              </w:rPr>
              <w:t>-</w:t>
            </w:r>
          </w:p>
        </w:tc>
        <w:tc>
          <w:tcPr>
            <w:tcW w:w="225" w:type="pct"/>
            <w:vAlign w:val="bottom"/>
          </w:tcPr>
          <w:p w14:paraId="6A6292C8" w14:textId="6C58598B"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62A5ED81" w14:textId="297BDDB6"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12954874" w14:textId="517E1691"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040954C6" w14:textId="178EE4FA"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7505E01B" w14:textId="0B20581C" w:rsidR="008D7B10" w:rsidRPr="00872D7E" w:rsidRDefault="008D7B10" w:rsidP="008D7B10">
            <w:pPr>
              <w:jc w:val="right"/>
              <w:rPr>
                <w:sz w:val="16"/>
                <w:szCs w:val="16"/>
              </w:rPr>
            </w:pPr>
            <w:r w:rsidRPr="00872D7E">
              <w:rPr>
                <w:sz w:val="16"/>
                <w:szCs w:val="16"/>
              </w:rPr>
              <w:t>-</w:t>
            </w:r>
          </w:p>
        </w:tc>
        <w:tc>
          <w:tcPr>
            <w:tcW w:w="264" w:type="pct"/>
            <w:vAlign w:val="bottom"/>
          </w:tcPr>
          <w:p w14:paraId="7D736424" w14:textId="3650CA3D"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4ED5AE7D" w14:textId="346047EB"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7693E386" w14:textId="480038B9" w:rsidR="008D7B10" w:rsidRPr="00872D7E" w:rsidRDefault="008D7B10" w:rsidP="008D7B10">
            <w:pPr>
              <w:jc w:val="right"/>
              <w:rPr>
                <w:sz w:val="16"/>
                <w:szCs w:val="16"/>
              </w:rPr>
            </w:pPr>
            <w:r w:rsidRPr="00872D7E">
              <w:rPr>
                <w:sz w:val="16"/>
                <w:szCs w:val="16"/>
              </w:rPr>
              <w:t>24.455</w:t>
            </w:r>
          </w:p>
        </w:tc>
      </w:tr>
      <w:tr w:rsidR="008D7B10" w:rsidRPr="00872D7E" w14:paraId="58EEF04F" w14:textId="77777777" w:rsidTr="008D7B10">
        <w:trPr>
          <w:trHeight w:val="36"/>
        </w:trPr>
        <w:tc>
          <w:tcPr>
            <w:tcW w:w="1594" w:type="pct"/>
            <w:shd w:val="clear" w:color="auto" w:fill="auto"/>
            <w:vAlign w:val="center"/>
            <w:hideMark/>
          </w:tcPr>
          <w:p w14:paraId="02CB66DA" w14:textId="77777777" w:rsidR="008D7B10" w:rsidRPr="00872D7E" w:rsidRDefault="008D7B10" w:rsidP="008D7B10">
            <w:pPr>
              <w:rPr>
                <w:sz w:val="16"/>
                <w:szCs w:val="16"/>
              </w:rPr>
            </w:pPr>
            <w:r w:rsidRPr="00872D7E">
              <w:rPr>
                <w:sz w:val="16"/>
                <w:szCs w:val="16"/>
              </w:rPr>
              <w:t>Kurumsal alacaklar</w:t>
            </w:r>
          </w:p>
        </w:tc>
        <w:tc>
          <w:tcPr>
            <w:tcW w:w="323" w:type="pct"/>
            <w:shd w:val="clear" w:color="auto" w:fill="auto"/>
            <w:noWrap/>
            <w:vAlign w:val="bottom"/>
          </w:tcPr>
          <w:p w14:paraId="5035754A" w14:textId="7A8EE118" w:rsidR="008D7B10" w:rsidRPr="00872D7E" w:rsidRDefault="008D7B10" w:rsidP="008D7B10">
            <w:pPr>
              <w:jc w:val="right"/>
              <w:rPr>
                <w:sz w:val="16"/>
                <w:szCs w:val="16"/>
              </w:rPr>
            </w:pPr>
            <w:r w:rsidRPr="00872D7E">
              <w:rPr>
                <w:sz w:val="16"/>
                <w:szCs w:val="16"/>
              </w:rPr>
              <w:t>475.539</w:t>
            </w:r>
          </w:p>
        </w:tc>
        <w:tc>
          <w:tcPr>
            <w:tcW w:w="245" w:type="pct"/>
            <w:shd w:val="clear" w:color="auto" w:fill="auto"/>
            <w:noWrap/>
            <w:vAlign w:val="bottom"/>
          </w:tcPr>
          <w:p w14:paraId="2DE1654A" w14:textId="7AD6DEB4"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3AF7845A" w14:textId="1E253CCC" w:rsidR="008D7B10" w:rsidRPr="00872D7E" w:rsidRDefault="008D7B10" w:rsidP="008D7B10">
            <w:pPr>
              <w:jc w:val="right"/>
              <w:rPr>
                <w:sz w:val="16"/>
                <w:szCs w:val="16"/>
              </w:rPr>
            </w:pPr>
            <w:r w:rsidRPr="00872D7E">
              <w:rPr>
                <w:sz w:val="16"/>
                <w:szCs w:val="16"/>
              </w:rPr>
              <w:t>-</w:t>
            </w:r>
          </w:p>
        </w:tc>
        <w:tc>
          <w:tcPr>
            <w:tcW w:w="225" w:type="pct"/>
            <w:vAlign w:val="bottom"/>
          </w:tcPr>
          <w:p w14:paraId="449D3A93" w14:textId="56E2E826" w:rsidR="008D7B10" w:rsidRPr="00872D7E" w:rsidRDefault="008D7B10" w:rsidP="008D7B10">
            <w:pPr>
              <w:jc w:val="right"/>
              <w:rPr>
                <w:sz w:val="16"/>
                <w:szCs w:val="16"/>
              </w:rPr>
            </w:pPr>
            <w:r w:rsidRPr="00872D7E">
              <w:rPr>
                <w:sz w:val="16"/>
                <w:szCs w:val="16"/>
              </w:rPr>
              <w:t>-</w:t>
            </w:r>
          </w:p>
        </w:tc>
        <w:tc>
          <w:tcPr>
            <w:tcW w:w="225" w:type="pct"/>
            <w:vAlign w:val="bottom"/>
          </w:tcPr>
          <w:p w14:paraId="5EDCF6FC" w14:textId="08898062"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5DFC1CBA" w14:textId="3B41726A"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2BE6FD17" w14:textId="1C35EA92"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578815F3" w14:textId="2323B31A" w:rsidR="008D7B10" w:rsidRPr="00872D7E" w:rsidRDefault="008D7B10" w:rsidP="008D7B10">
            <w:pPr>
              <w:jc w:val="right"/>
              <w:rPr>
                <w:sz w:val="16"/>
                <w:szCs w:val="16"/>
              </w:rPr>
            </w:pPr>
            <w:r w:rsidRPr="00872D7E">
              <w:rPr>
                <w:sz w:val="16"/>
                <w:szCs w:val="16"/>
              </w:rPr>
              <w:t>60.007</w:t>
            </w:r>
          </w:p>
        </w:tc>
        <w:tc>
          <w:tcPr>
            <w:tcW w:w="293" w:type="pct"/>
            <w:shd w:val="clear" w:color="auto" w:fill="auto"/>
            <w:noWrap/>
            <w:vAlign w:val="bottom"/>
          </w:tcPr>
          <w:p w14:paraId="1ABEE6C4" w14:textId="67464346" w:rsidR="008D7B10" w:rsidRPr="00872D7E" w:rsidRDefault="008D7B10" w:rsidP="008D7B10">
            <w:pPr>
              <w:jc w:val="right"/>
              <w:rPr>
                <w:sz w:val="16"/>
                <w:szCs w:val="16"/>
              </w:rPr>
            </w:pPr>
            <w:r w:rsidRPr="00872D7E">
              <w:rPr>
                <w:sz w:val="16"/>
                <w:szCs w:val="16"/>
              </w:rPr>
              <w:t>-</w:t>
            </w:r>
          </w:p>
        </w:tc>
        <w:tc>
          <w:tcPr>
            <w:tcW w:w="264" w:type="pct"/>
            <w:vAlign w:val="bottom"/>
          </w:tcPr>
          <w:p w14:paraId="28A7BEBA" w14:textId="5E8762EF"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464CB106" w14:textId="7E17E68A"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073009A7" w14:textId="352327EB" w:rsidR="008D7B10" w:rsidRPr="00872D7E" w:rsidRDefault="008D7B10" w:rsidP="008D7B10">
            <w:pPr>
              <w:jc w:val="right"/>
              <w:rPr>
                <w:sz w:val="16"/>
                <w:szCs w:val="16"/>
              </w:rPr>
            </w:pPr>
            <w:r w:rsidRPr="00872D7E">
              <w:rPr>
                <w:sz w:val="16"/>
                <w:szCs w:val="16"/>
              </w:rPr>
              <w:t>535.546</w:t>
            </w:r>
          </w:p>
        </w:tc>
      </w:tr>
      <w:tr w:rsidR="008D7B10" w:rsidRPr="00872D7E" w14:paraId="184366CC" w14:textId="77777777" w:rsidTr="008D7B10">
        <w:trPr>
          <w:trHeight w:val="36"/>
        </w:trPr>
        <w:tc>
          <w:tcPr>
            <w:tcW w:w="1594" w:type="pct"/>
            <w:shd w:val="clear" w:color="auto" w:fill="auto"/>
            <w:vAlign w:val="center"/>
            <w:hideMark/>
          </w:tcPr>
          <w:p w14:paraId="6185D9B8" w14:textId="77777777" w:rsidR="008D7B10" w:rsidRPr="00872D7E" w:rsidRDefault="008D7B10" w:rsidP="008D7B10">
            <w:pPr>
              <w:rPr>
                <w:sz w:val="16"/>
                <w:szCs w:val="16"/>
              </w:rPr>
            </w:pPr>
            <w:r w:rsidRPr="00872D7E">
              <w:rPr>
                <w:sz w:val="16"/>
                <w:szCs w:val="16"/>
              </w:rPr>
              <w:t>Perakende alacaklar</w:t>
            </w:r>
          </w:p>
        </w:tc>
        <w:tc>
          <w:tcPr>
            <w:tcW w:w="323" w:type="pct"/>
            <w:shd w:val="clear" w:color="auto" w:fill="auto"/>
            <w:noWrap/>
            <w:vAlign w:val="bottom"/>
          </w:tcPr>
          <w:p w14:paraId="66FE4B92" w14:textId="63BAB22F"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44A6172D" w14:textId="589D1D85"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32D3EBD8" w14:textId="0AE8A0C1" w:rsidR="008D7B10" w:rsidRPr="00872D7E" w:rsidRDefault="008D7B10" w:rsidP="008D7B10">
            <w:pPr>
              <w:jc w:val="right"/>
              <w:rPr>
                <w:sz w:val="16"/>
                <w:szCs w:val="16"/>
              </w:rPr>
            </w:pPr>
            <w:r w:rsidRPr="00872D7E">
              <w:rPr>
                <w:sz w:val="16"/>
                <w:szCs w:val="16"/>
              </w:rPr>
              <w:t>-</w:t>
            </w:r>
          </w:p>
        </w:tc>
        <w:tc>
          <w:tcPr>
            <w:tcW w:w="225" w:type="pct"/>
            <w:vAlign w:val="bottom"/>
          </w:tcPr>
          <w:p w14:paraId="070B96C9" w14:textId="57ACFDFD" w:rsidR="008D7B10" w:rsidRPr="00872D7E" w:rsidRDefault="008D7B10" w:rsidP="008D7B10">
            <w:pPr>
              <w:jc w:val="right"/>
              <w:rPr>
                <w:sz w:val="16"/>
                <w:szCs w:val="16"/>
              </w:rPr>
            </w:pPr>
            <w:r w:rsidRPr="00872D7E">
              <w:rPr>
                <w:sz w:val="16"/>
                <w:szCs w:val="16"/>
              </w:rPr>
              <w:t>-</w:t>
            </w:r>
          </w:p>
        </w:tc>
        <w:tc>
          <w:tcPr>
            <w:tcW w:w="225" w:type="pct"/>
            <w:vAlign w:val="bottom"/>
          </w:tcPr>
          <w:p w14:paraId="62A46446" w14:textId="58ABF674"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57A7C7AA" w14:textId="0F24C8C6"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5AA3B6B9" w14:textId="078B6DCD"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55A5BB9C" w14:textId="1B7CE7EF"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521B38CC" w14:textId="55CF98EB" w:rsidR="008D7B10" w:rsidRPr="00872D7E" w:rsidRDefault="008D7B10" w:rsidP="008D7B10">
            <w:pPr>
              <w:jc w:val="right"/>
              <w:rPr>
                <w:sz w:val="16"/>
                <w:szCs w:val="16"/>
              </w:rPr>
            </w:pPr>
            <w:r w:rsidRPr="00872D7E">
              <w:rPr>
                <w:sz w:val="16"/>
                <w:szCs w:val="16"/>
              </w:rPr>
              <w:t>-</w:t>
            </w:r>
          </w:p>
        </w:tc>
        <w:tc>
          <w:tcPr>
            <w:tcW w:w="264" w:type="pct"/>
            <w:vAlign w:val="bottom"/>
          </w:tcPr>
          <w:p w14:paraId="795EBDE0" w14:textId="28F1322C"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42A73D6D" w14:textId="54C37392"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24EC4C9A" w14:textId="46FD8CCE" w:rsidR="008D7B10" w:rsidRPr="00872D7E" w:rsidRDefault="008D7B10" w:rsidP="008D7B10">
            <w:pPr>
              <w:jc w:val="right"/>
              <w:rPr>
                <w:sz w:val="16"/>
                <w:szCs w:val="16"/>
              </w:rPr>
            </w:pPr>
            <w:r w:rsidRPr="00872D7E">
              <w:rPr>
                <w:sz w:val="16"/>
                <w:szCs w:val="16"/>
              </w:rPr>
              <w:t>-</w:t>
            </w:r>
          </w:p>
        </w:tc>
      </w:tr>
      <w:tr w:rsidR="008D7B10" w:rsidRPr="00872D7E" w14:paraId="0D59418F" w14:textId="77777777" w:rsidTr="008D7B10">
        <w:trPr>
          <w:trHeight w:val="36"/>
        </w:trPr>
        <w:tc>
          <w:tcPr>
            <w:tcW w:w="1594" w:type="pct"/>
            <w:shd w:val="clear" w:color="auto" w:fill="auto"/>
            <w:vAlign w:val="center"/>
            <w:hideMark/>
          </w:tcPr>
          <w:p w14:paraId="6CCB5216" w14:textId="77777777" w:rsidR="008D7B10" w:rsidRPr="00872D7E" w:rsidRDefault="008D7B10" w:rsidP="008D7B10">
            <w:pPr>
              <w:rPr>
                <w:sz w:val="16"/>
                <w:szCs w:val="16"/>
              </w:rPr>
            </w:pPr>
            <w:r w:rsidRPr="00872D7E">
              <w:rPr>
                <w:sz w:val="16"/>
                <w:szCs w:val="16"/>
              </w:rPr>
              <w:t>Gayrimenkul ipoteğiyle teminatlandırılmış alacaklar</w:t>
            </w:r>
          </w:p>
        </w:tc>
        <w:tc>
          <w:tcPr>
            <w:tcW w:w="323" w:type="pct"/>
            <w:shd w:val="clear" w:color="auto" w:fill="auto"/>
            <w:noWrap/>
            <w:vAlign w:val="bottom"/>
          </w:tcPr>
          <w:p w14:paraId="4F18F5C0" w14:textId="57299524"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0B98A5FD" w14:textId="764C2DC7"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7A248936" w14:textId="060802B7" w:rsidR="008D7B10" w:rsidRPr="00872D7E" w:rsidRDefault="008D7B10" w:rsidP="008D7B10">
            <w:pPr>
              <w:jc w:val="right"/>
              <w:rPr>
                <w:sz w:val="16"/>
                <w:szCs w:val="16"/>
              </w:rPr>
            </w:pPr>
            <w:r w:rsidRPr="00872D7E">
              <w:rPr>
                <w:sz w:val="16"/>
                <w:szCs w:val="16"/>
              </w:rPr>
              <w:t>-</w:t>
            </w:r>
          </w:p>
        </w:tc>
        <w:tc>
          <w:tcPr>
            <w:tcW w:w="225" w:type="pct"/>
            <w:vAlign w:val="bottom"/>
          </w:tcPr>
          <w:p w14:paraId="66B0E68F" w14:textId="130DE790" w:rsidR="008D7B10" w:rsidRPr="00872D7E" w:rsidRDefault="008D7B10" w:rsidP="008D7B10">
            <w:pPr>
              <w:jc w:val="right"/>
              <w:rPr>
                <w:sz w:val="16"/>
                <w:szCs w:val="16"/>
              </w:rPr>
            </w:pPr>
            <w:r w:rsidRPr="00872D7E">
              <w:rPr>
                <w:sz w:val="16"/>
                <w:szCs w:val="16"/>
              </w:rPr>
              <w:t>-</w:t>
            </w:r>
          </w:p>
        </w:tc>
        <w:tc>
          <w:tcPr>
            <w:tcW w:w="225" w:type="pct"/>
            <w:vAlign w:val="bottom"/>
          </w:tcPr>
          <w:p w14:paraId="2B89E53A" w14:textId="233057EE"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642B9D69" w14:textId="6882AA06"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7842BFF3" w14:textId="582F6E42"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33CAC251" w14:textId="2A067B86"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048D6CC7" w14:textId="65AA107D" w:rsidR="008D7B10" w:rsidRPr="00872D7E" w:rsidRDefault="008D7B10" w:rsidP="008D7B10">
            <w:pPr>
              <w:jc w:val="right"/>
              <w:rPr>
                <w:sz w:val="16"/>
                <w:szCs w:val="16"/>
              </w:rPr>
            </w:pPr>
            <w:r w:rsidRPr="00872D7E">
              <w:rPr>
                <w:sz w:val="16"/>
                <w:szCs w:val="16"/>
              </w:rPr>
              <w:t>-</w:t>
            </w:r>
          </w:p>
        </w:tc>
        <w:tc>
          <w:tcPr>
            <w:tcW w:w="264" w:type="pct"/>
            <w:vAlign w:val="bottom"/>
          </w:tcPr>
          <w:p w14:paraId="4092CF7B" w14:textId="77460B6F"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5B2E7C92" w14:textId="6BCF4CA2"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216DD38B" w14:textId="625360AA" w:rsidR="008D7B10" w:rsidRPr="00872D7E" w:rsidRDefault="008D7B10" w:rsidP="008D7B10">
            <w:pPr>
              <w:jc w:val="right"/>
              <w:rPr>
                <w:sz w:val="16"/>
                <w:szCs w:val="16"/>
              </w:rPr>
            </w:pPr>
            <w:r w:rsidRPr="00872D7E">
              <w:rPr>
                <w:sz w:val="16"/>
                <w:szCs w:val="16"/>
              </w:rPr>
              <w:t>-</w:t>
            </w:r>
          </w:p>
        </w:tc>
      </w:tr>
      <w:tr w:rsidR="008D7B10" w:rsidRPr="00872D7E" w14:paraId="087DE825" w14:textId="77777777" w:rsidTr="008D7B10">
        <w:trPr>
          <w:trHeight w:val="36"/>
        </w:trPr>
        <w:tc>
          <w:tcPr>
            <w:tcW w:w="1594" w:type="pct"/>
            <w:shd w:val="clear" w:color="auto" w:fill="auto"/>
            <w:vAlign w:val="center"/>
            <w:hideMark/>
          </w:tcPr>
          <w:p w14:paraId="3434B80F" w14:textId="77777777" w:rsidR="008D7B10" w:rsidRPr="00872D7E" w:rsidRDefault="008D7B10" w:rsidP="008D7B10">
            <w:pPr>
              <w:rPr>
                <w:sz w:val="16"/>
                <w:szCs w:val="16"/>
              </w:rPr>
            </w:pPr>
            <w:r w:rsidRPr="00872D7E">
              <w:rPr>
                <w:sz w:val="16"/>
                <w:szCs w:val="16"/>
              </w:rPr>
              <w:t>Tahsili gecikmiş alacaklar</w:t>
            </w:r>
          </w:p>
        </w:tc>
        <w:tc>
          <w:tcPr>
            <w:tcW w:w="323" w:type="pct"/>
            <w:shd w:val="clear" w:color="auto" w:fill="auto"/>
            <w:noWrap/>
            <w:vAlign w:val="bottom"/>
          </w:tcPr>
          <w:p w14:paraId="6585D843" w14:textId="0D86BA6A"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5AC660C0" w14:textId="1216FA54"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077A7A7F" w14:textId="67C8AEEE" w:rsidR="008D7B10" w:rsidRPr="00872D7E" w:rsidRDefault="008D7B10" w:rsidP="008D7B10">
            <w:pPr>
              <w:jc w:val="right"/>
              <w:rPr>
                <w:sz w:val="16"/>
                <w:szCs w:val="16"/>
              </w:rPr>
            </w:pPr>
            <w:r w:rsidRPr="00872D7E">
              <w:rPr>
                <w:sz w:val="16"/>
                <w:szCs w:val="16"/>
              </w:rPr>
              <w:t>-</w:t>
            </w:r>
          </w:p>
        </w:tc>
        <w:tc>
          <w:tcPr>
            <w:tcW w:w="225" w:type="pct"/>
            <w:vAlign w:val="bottom"/>
          </w:tcPr>
          <w:p w14:paraId="00BA1E53" w14:textId="2A929CE4" w:rsidR="008D7B10" w:rsidRPr="00872D7E" w:rsidRDefault="008D7B10" w:rsidP="008D7B10">
            <w:pPr>
              <w:jc w:val="right"/>
              <w:rPr>
                <w:sz w:val="16"/>
                <w:szCs w:val="16"/>
              </w:rPr>
            </w:pPr>
            <w:r w:rsidRPr="00872D7E">
              <w:rPr>
                <w:sz w:val="16"/>
                <w:szCs w:val="16"/>
              </w:rPr>
              <w:t>-</w:t>
            </w:r>
          </w:p>
        </w:tc>
        <w:tc>
          <w:tcPr>
            <w:tcW w:w="225" w:type="pct"/>
            <w:vAlign w:val="bottom"/>
          </w:tcPr>
          <w:p w14:paraId="7F2A14DD" w14:textId="012D238D"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0C6F63C4" w14:textId="58568205"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2853106D" w14:textId="2B11ACF2"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15A9DE3F" w14:textId="77311286"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30BFD6A7" w14:textId="1BAEA4DA" w:rsidR="008D7B10" w:rsidRPr="00872D7E" w:rsidRDefault="008D7B10" w:rsidP="008D7B10">
            <w:pPr>
              <w:jc w:val="right"/>
              <w:rPr>
                <w:sz w:val="16"/>
                <w:szCs w:val="16"/>
              </w:rPr>
            </w:pPr>
            <w:r w:rsidRPr="00872D7E">
              <w:rPr>
                <w:sz w:val="16"/>
                <w:szCs w:val="16"/>
              </w:rPr>
              <w:t>-</w:t>
            </w:r>
          </w:p>
        </w:tc>
        <w:tc>
          <w:tcPr>
            <w:tcW w:w="264" w:type="pct"/>
            <w:vAlign w:val="bottom"/>
          </w:tcPr>
          <w:p w14:paraId="4A9A8E3F" w14:textId="4168F862"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264FEEF7" w14:textId="6EA38A73"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638F38AB" w14:textId="032238F8" w:rsidR="008D7B10" w:rsidRPr="00872D7E" w:rsidRDefault="008D7B10" w:rsidP="008D7B10">
            <w:pPr>
              <w:jc w:val="right"/>
              <w:rPr>
                <w:sz w:val="16"/>
                <w:szCs w:val="16"/>
              </w:rPr>
            </w:pPr>
            <w:r w:rsidRPr="00872D7E">
              <w:rPr>
                <w:sz w:val="16"/>
                <w:szCs w:val="16"/>
              </w:rPr>
              <w:t>-</w:t>
            </w:r>
          </w:p>
        </w:tc>
      </w:tr>
      <w:tr w:rsidR="008D7B10" w:rsidRPr="00872D7E" w14:paraId="70A14B2D" w14:textId="77777777" w:rsidTr="008D7B10">
        <w:trPr>
          <w:trHeight w:val="36"/>
        </w:trPr>
        <w:tc>
          <w:tcPr>
            <w:tcW w:w="1594" w:type="pct"/>
            <w:shd w:val="clear" w:color="auto" w:fill="auto"/>
            <w:vAlign w:val="center"/>
            <w:hideMark/>
          </w:tcPr>
          <w:p w14:paraId="613F75C2" w14:textId="77777777" w:rsidR="008D7B10" w:rsidRPr="00872D7E" w:rsidRDefault="008D7B10" w:rsidP="008D7B10">
            <w:pPr>
              <w:rPr>
                <w:sz w:val="16"/>
                <w:szCs w:val="16"/>
              </w:rPr>
            </w:pPr>
            <w:r w:rsidRPr="00872D7E">
              <w:rPr>
                <w:sz w:val="16"/>
                <w:szCs w:val="16"/>
              </w:rPr>
              <w:t>Kurulca riski yüksek olarak belirlenen alacaklar</w:t>
            </w:r>
          </w:p>
        </w:tc>
        <w:tc>
          <w:tcPr>
            <w:tcW w:w="323" w:type="pct"/>
            <w:shd w:val="clear" w:color="auto" w:fill="auto"/>
            <w:noWrap/>
            <w:vAlign w:val="bottom"/>
          </w:tcPr>
          <w:p w14:paraId="5A9574A8" w14:textId="646F11C5"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32A9416D" w14:textId="52F982CA"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223FB7C2" w14:textId="3AD2DF04" w:rsidR="008D7B10" w:rsidRPr="00872D7E" w:rsidRDefault="008D7B10" w:rsidP="008D7B10">
            <w:pPr>
              <w:jc w:val="right"/>
              <w:rPr>
                <w:sz w:val="16"/>
                <w:szCs w:val="16"/>
              </w:rPr>
            </w:pPr>
            <w:r w:rsidRPr="00872D7E">
              <w:rPr>
                <w:sz w:val="16"/>
                <w:szCs w:val="16"/>
              </w:rPr>
              <w:t>-</w:t>
            </w:r>
          </w:p>
        </w:tc>
        <w:tc>
          <w:tcPr>
            <w:tcW w:w="225" w:type="pct"/>
            <w:vAlign w:val="bottom"/>
          </w:tcPr>
          <w:p w14:paraId="01795A0F" w14:textId="2BB9FE82" w:rsidR="008D7B10" w:rsidRPr="00872D7E" w:rsidRDefault="008D7B10" w:rsidP="008D7B10">
            <w:pPr>
              <w:jc w:val="right"/>
              <w:rPr>
                <w:sz w:val="16"/>
                <w:szCs w:val="16"/>
              </w:rPr>
            </w:pPr>
            <w:r w:rsidRPr="00872D7E">
              <w:rPr>
                <w:sz w:val="16"/>
                <w:szCs w:val="16"/>
              </w:rPr>
              <w:t>-</w:t>
            </w:r>
          </w:p>
        </w:tc>
        <w:tc>
          <w:tcPr>
            <w:tcW w:w="225" w:type="pct"/>
            <w:vAlign w:val="bottom"/>
          </w:tcPr>
          <w:p w14:paraId="278096FD" w14:textId="67AA877D"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0B2D41D4" w14:textId="29E9012A"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62431FCB" w14:textId="72912903"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442792AA" w14:textId="2502FEB8"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3D3252BC" w14:textId="3BB003EF" w:rsidR="008D7B10" w:rsidRPr="00872D7E" w:rsidRDefault="008D7B10" w:rsidP="008D7B10">
            <w:pPr>
              <w:jc w:val="right"/>
              <w:rPr>
                <w:sz w:val="16"/>
                <w:szCs w:val="16"/>
              </w:rPr>
            </w:pPr>
            <w:r w:rsidRPr="00872D7E">
              <w:rPr>
                <w:sz w:val="16"/>
                <w:szCs w:val="16"/>
              </w:rPr>
              <w:t>-</w:t>
            </w:r>
          </w:p>
        </w:tc>
        <w:tc>
          <w:tcPr>
            <w:tcW w:w="264" w:type="pct"/>
            <w:vAlign w:val="bottom"/>
          </w:tcPr>
          <w:p w14:paraId="4E9CBB01" w14:textId="402637B1"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6DBF04DB" w14:textId="6C4DDBFE"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542A2A30" w14:textId="76C84080" w:rsidR="008D7B10" w:rsidRPr="00872D7E" w:rsidRDefault="008D7B10" w:rsidP="008D7B10">
            <w:pPr>
              <w:jc w:val="right"/>
              <w:rPr>
                <w:sz w:val="16"/>
                <w:szCs w:val="16"/>
              </w:rPr>
            </w:pPr>
            <w:r w:rsidRPr="00872D7E">
              <w:rPr>
                <w:sz w:val="16"/>
                <w:szCs w:val="16"/>
              </w:rPr>
              <w:t>-</w:t>
            </w:r>
          </w:p>
        </w:tc>
      </w:tr>
      <w:tr w:rsidR="008D7B10" w:rsidRPr="00872D7E" w14:paraId="59731964" w14:textId="77777777" w:rsidTr="008D7B10">
        <w:trPr>
          <w:trHeight w:val="36"/>
        </w:trPr>
        <w:tc>
          <w:tcPr>
            <w:tcW w:w="1594" w:type="pct"/>
            <w:shd w:val="clear" w:color="auto" w:fill="auto"/>
            <w:vAlign w:val="center"/>
            <w:hideMark/>
          </w:tcPr>
          <w:p w14:paraId="76CDF215" w14:textId="77777777" w:rsidR="008D7B10" w:rsidRPr="00872D7E" w:rsidRDefault="008D7B10" w:rsidP="008D7B10">
            <w:pPr>
              <w:rPr>
                <w:sz w:val="16"/>
                <w:szCs w:val="16"/>
              </w:rPr>
            </w:pPr>
            <w:r w:rsidRPr="00872D7E">
              <w:rPr>
                <w:sz w:val="16"/>
                <w:szCs w:val="16"/>
              </w:rPr>
              <w:t>Teminatlı menkul kıymetler</w:t>
            </w:r>
          </w:p>
        </w:tc>
        <w:tc>
          <w:tcPr>
            <w:tcW w:w="323" w:type="pct"/>
            <w:shd w:val="clear" w:color="auto" w:fill="auto"/>
            <w:noWrap/>
            <w:vAlign w:val="bottom"/>
          </w:tcPr>
          <w:p w14:paraId="55CD0FD5" w14:textId="14DF5266"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36E53020" w14:textId="0B19B227"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11741BFC" w14:textId="3012017E" w:rsidR="008D7B10" w:rsidRPr="00872D7E" w:rsidRDefault="008D7B10" w:rsidP="008D7B10">
            <w:pPr>
              <w:jc w:val="right"/>
              <w:rPr>
                <w:sz w:val="16"/>
                <w:szCs w:val="16"/>
              </w:rPr>
            </w:pPr>
            <w:r w:rsidRPr="00872D7E">
              <w:rPr>
                <w:sz w:val="16"/>
                <w:szCs w:val="16"/>
              </w:rPr>
              <w:t>-</w:t>
            </w:r>
          </w:p>
        </w:tc>
        <w:tc>
          <w:tcPr>
            <w:tcW w:w="225" w:type="pct"/>
            <w:vAlign w:val="bottom"/>
          </w:tcPr>
          <w:p w14:paraId="2E625CA7" w14:textId="71DD2142" w:rsidR="008D7B10" w:rsidRPr="00872D7E" w:rsidRDefault="008D7B10" w:rsidP="008D7B10">
            <w:pPr>
              <w:jc w:val="right"/>
              <w:rPr>
                <w:sz w:val="16"/>
                <w:szCs w:val="16"/>
              </w:rPr>
            </w:pPr>
            <w:r w:rsidRPr="00872D7E">
              <w:rPr>
                <w:sz w:val="16"/>
                <w:szCs w:val="16"/>
              </w:rPr>
              <w:t>-</w:t>
            </w:r>
          </w:p>
        </w:tc>
        <w:tc>
          <w:tcPr>
            <w:tcW w:w="225" w:type="pct"/>
            <w:vAlign w:val="bottom"/>
          </w:tcPr>
          <w:p w14:paraId="0E893ECC" w14:textId="1DB744CA"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423AE091" w14:textId="3BF10038"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67C5E6F3" w14:textId="15E50680"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2E39F509" w14:textId="720514A3"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007A1E4F" w14:textId="33967661" w:rsidR="008D7B10" w:rsidRPr="00872D7E" w:rsidRDefault="008D7B10" w:rsidP="008D7B10">
            <w:pPr>
              <w:jc w:val="right"/>
              <w:rPr>
                <w:sz w:val="16"/>
                <w:szCs w:val="16"/>
              </w:rPr>
            </w:pPr>
            <w:r w:rsidRPr="00872D7E">
              <w:rPr>
                <w:sz w:val="16"/>
                <w:szCs w:val="16"/>
              </w:rPr>
              <w:t>-</w:t>
            </w:r>
          </w:p>
        </w:tc>
        <w:tc>
          <w:tcPr>
            <w:tcW w:w="264" w:type="pct"/>
            <w:vAlign w:val="bottom"/>
          </w:tcPr>
          <w:p w14:paraId="67E96D7A" w14:textId="25B60546"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0119C4AE" w14:textId="20E31E94"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549B009B" w14:textId="08666741" w:rsidR="008D7B10" w:rsidRPr="00872D7E" w:rsidRDefault="008D7B10" w:rsidP="008D7B10">
            <w:pPr>
              <w:jc w:val="right"/>
              <w:rPr>
                <w:sz w:val="16"/>
                <w:szCs w:val="16"/>
              </w:rPr>
            </w:pPr>
            <w:r w:rsidRPr="00872D7E">
              <w:rPr>
                <w:sz w:val="16"/>
                <w:szCs w:val="16"/>
              </w:rPr>
              <w:t>-</w:t>
            </w:r>
          </w:p>
        </w:tc>
      </w:tr>
      <w:tr w:rsidR="008D7B10" w:rsidRPr="00872D7E" w14:paraId="54C201A6" w14:textId="77777777" w:rsidTr="008D7B10">
        <w:trPr>
          <w:trHeight w:val="36"/>
        </w:trPr>
        <w:tc>
          <w:tcPr>
            <w:tcW w:w="1594" w:type="pct"/>
            <w:shd w:val="clear" w:color="auto" w:fill="auto"/>
            <w:vAlign w:val="center"/>
            <w:hideMark/>
          </w:tcPr>
          <w:p w14:paraId="2FA209E4" w14:textId="77777777" w:rsidR="008D7B10" w:rsidRPr="00872D7E" w:rsidRDefault="008D7B10" w:rsidP="008D7B10">
            <w:pPr>
              <w:rPr>
                <w:sz w:val="16"/>
                <w:szCs w:val="16"/>
              </w:rPr>
            </w:pPr>
            <w:r w:rsidRPr="00872D7E">
              <w:rPr>
                <w:sz w:val="16"/>
                <w:szCs w:val="16"/>
              </w:rPr>
              <w:t>Menkul kıymetleştirme pozisyonları</w:t>
            </w:r>
          </w:p>
        </w:tc>
        <w:tc>
          <w:tcPr>
            <w:tcW w:w="323" w:type="pct"/>
            <w:shd w:val="clear" w:color="auto" w:fill="auto"/>
            <w:noWrap/>
            <w:vAlign w:val="bottom"/>
          </w:tcPr>
          <w:p w14:paraId="76622D44" w14:textId="550CF1E5"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2F6F87CF" w14:textId="1F6C7F4C"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64B9DEA6" w14:textId="0E975F5F" w:rsidR="008D7B10" w:rsidRPr="00872D7E" w:rsidRDefault="008D7B10" w:rsidP="008D7B10">
            <w:pPr>
              <w:jc w:val="right"/>
              <w:rPr>
                <w:sz w:val="16"/>
                <w:szCs w:val="16"/>
              </w:rPr>
            </w:pPr>
            <w:r w:rsidRPr="00872D7E">
              <w:rPr>
                <w:sz w:val="16"/>
                <w:szCs w:val="16"/>
              </w:rPr>
              <w:t>-</w:t>
            </w:r>
          </w:p>
        </w:tc>
        <w:tc>
          <w:tcPr>
            <w:tcW w:w="225" w:type="pct"/>
            <w:vAlign w:val="bottom"/>
          </w:tcPr>
          <w:p w14:paraId="499F66F6" w14:textId="0D0D0795" w:rsidR="008D7B10" w:rsidRPr="00872D7E" w:rsidRDefault="008D7B10" w:rsidP="008D7B10">
            <w:pPr>
              <w:jc w:val="right"/>
              <w:rPr>
                <w:sz w:val="16"/>
                <w:szCs w:val="16"/>
              </w:rPr>
            </w:pPr>
            <w:r w:rsidRPr="00872D7E">
              <w:rPr>
                <w:sz w:val="16"/>
                <w:szCs w:val="16"/>
              </w:rPr>
              <w:t>-</w:t>
            </w:r>
          </w:p>
        </w:tc>
        <w:tc>
          <w:tcPr>
            <w:tcW w:w="225" w:type="pct"/>
            <w:vAlign w:val="bottom"/>
          </w:tcPr>
          <w:p w14:paraId="033DD159" w14:textId="40AED195"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7594FEF9" w14:textId="7A24D785"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700686C6" w14:textId="59446565"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456D557D" w14:textId="0C204A45"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0E75641F" w14:textId="72C14218" w:rsidR="008D7B10" w:rsidRPr="00872D7E" w:rsidRDefault="008D7B10" w:rsidP="008D7B10">
            <w:pPr>
              <w:jc w:val="right"/>
              <w:rPr>
                <w:sz w:val="16"/>
                <w:szCs w:val="16"/>
              </w:rPr>
            </w:pPr>
            <w:r w:rsidRPr="00872D7E">
              <w:rPr>
                <w:sz w:val="16"/>
                <w:szCs w:val="16"/>
              </w:rPr>
              <w:t>-</w:t>
            </w:r>
          </w:p>
        </w:tc>
        <w:tc>
          <w:tcPr>
            <w:tcW w:w="264" w:type="pct"/>
            <w:vAlign w:val="bottom"/>
          </w:tcPr>
          <w:p w14:paraId="488EA638" w14:textId="687E24AD"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238B8B96" w14:textId="418A203F"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3B76B9C8" w14:textId="11702650" w:rsidR="008D7B10" w:rsidRPr="00872D7E" w:rsidRDefault="008D7B10" w:rsidP="008D7B10">
            <w:pPr>
              <w:jc w:val="right"/>
              <w:rPr>
                <w:sz w:val="16"/>
                <w:szCs w:val="16"/>
              </w:rPr>
            </w:pPr>
            <w:r w:rsidRPr="00872D7E">
              <w:rPr>
                <w:sz w:val="16"/>
                <w:szCs w:val="16"/>
              </w:rPr>
              <w:t>-</w:t>
            </w:r>
          </w:p>
        </w:tc>
      </w:tr>
      <w:tr w:rsidR="008D7B10" w:rsidRPr="00872D7E" w14:paraId="7D7DCF71" w14:textId="77777777" w:rsidTr="008D7B10">
        <w:trPr>
          <w:trHeight w:val="36"/>
        </w:trPr>
        <w:tc>
          <w:tcPr>
            <w:tcW w:w="1594" w:type="pct"/>
            <w:shd w:val="clear" w:color="auto" w:fill="auto"/>
            <w:vAlign w:val="center"/>
            <w:hideMark/>
          </w:tcPr>
          <w:p w14:paraId="31C62EE6" w14:textId="77777777" w:rsidR="008D7B10" w:rsidRPr="00872D7E" w:rsidRDefault="008D7B10" w:rsidP="008D7B10">
            <w:pPr>
              <w:rPr>
                <w:sz w:val="16"/>
                <w:szCs w:val="16"/>
              </w:rPr>
            </w:pPr>
            <w:r w:rsidRPr="00872D7E">
              <w:rPr>
                <w:sz w:val="16"/>
                <w:szCs w:val="16"/>
              </w:rPr>
              <w:t>Kısa vadeli kredi derecelendirmesi bulunan bankalar ve aracı kurumlardan alacaklar ile kurumsal alacaklar</w:t>
            </w:r>
          </w:p>
        </w:tc>
        <w:tc>
          <w:tcPr>
            <w:tcW w:w="323" w:type="pct"/>
            <w:shd w:val="clear" w:color="auto" w:fill="auto"/>
            <w:noWrap/>
            <w:vAlign w:val="bottom"/>
          </w:tcPr>
          <w:p w14:paraId="1B01EF1F" w14:textId="75C5353F"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343F2944" w14:textId="63539E53"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761EE799" w14:textId="4EE450AD" w:rsidR="008D7B10" w:rsidRPr="00872D7E" w:rsidRDefault="008D7B10" w:rsidP="008D7B10">
            <w:pPr>
              <w:jc w:val="right"/>
              <w:rPr>
                <w:sz w:val="16"/>
                <w:szCs w:val="16"/>
              </w:rPr>
            </w:pPr>
            <w:r w:rsidRPr="00872D7E">
              <w:rPr>
                <w:sz w:val="16"/>
                <w:szCs w:val="16"/>
              </w:rPr>
              <w:t>-</w:t>
            </w:r>
          </w:p>
        </w:tc>
        <w:tc>
          <w:tcPr>
            <w:tcW w:w="225" w:type="pct"/>
            <w:vAlign w:val="bottom"/>
          </w:tcPr>
          <w:p w14:paraId="1AA7C6E1" w14:textId="6C807240" w:rsidR="008D7B10" w:rsidRPr="00872D7E" w:rsidRDefault="008D7B10" w:rsidP="008D7B10">
            <w:pPr>
              <w:jc w:val="right"/>
              <w:rPr>
                <w:sz w:val="16"/>
                <w:szCs w:val="16"/>
              </w:rPr>
            </w:pPr>
            <w:r w:rsidRPr="00872D7E">
              <w:rPr>
                <w:sz w:val="16"/>
                <w:szCs w:val="16"/>
              </w:rPr>
              <w:t>-</w:t>
            </w:r>
          </w:p>
        </w:tc>
        <w:tc>
          <w:tcPr>
            <w:tcW w:w="225" w:type="pct"/>
            <w:vAlign w:val="bottom"/>
          </w:tcPr>
          <w:p w14:paraId="3185679A" w14:textId="5D790B10"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65E44BD2" w14:textId="2DC449B5"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023D9F12" w14:textId="336B6F64"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110C189C" w14:textId="1310F889"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1818CC74" w14:textId="6CA8C5CE" w:rsidR="008D7B10" w:rsidRPr="00872D7E" w:rsidRDefault="008D7B10" w:rsidP="008D7B10">
            <w:pPr>
              <w:jc w:val="right"/>
              <w:rPr>
                <w:sz w:val="16"/>
                <w:szCs w:val="16"/>
              </w:rPr>
            </w:pPr>
            <w:r w:rsidRPr="00872D7E">
              <w:rPr>
                <w:sz w:val="16"/>
                <w:szCs w:val="16"/>
              </w:rPr>
              <w:t>-</w:t>
            </w:r>
          </w:p>
        </w:tc>
        <w:tc>
          <w:tcPr>
            <w:tcW w:w="264" w:type="pct"/>
            <w:vAlign w:val="bottom"/>
          </w:tcPr>
          <w:p w14:paraId="0A6835F7" w14:textId="615129DC"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5AEB0491" w14:textId="34BEB266"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051B2597" w14:textId="2066CF16" w:rsidR="008D7B10" w:rsidRPr="00872D7E" w:rsidRDefault="008D7B10" w:rsidP="008D7B10">
            <w:pPr>
              <w:jc w:val="right"/>
              <w:rPr>
                <w:sz w:val="16"/>
                <w:szCs w:val="16"/>
              </w:rPr>
            </w:pPr>
            <w:r w:rsidRPr="00872D7E">
              <w:rPr>
                <w:sz w:val="16"/>
                <w:szCs w:val="16"/>
              </w:rPr>
              <w:t>-</w:t>
            </w:r>
          </w:p>
        </w:tc>
      </w:tr>
      <w:tr w:rsidR="008D7B10" w:rsidRPr="00872D7E" w14:paraId="07CE603C" w14:textId="77777777" w:rsidTr="008D7B10">
        <w:trPr>
          <w:trHeight w:val="36"/>
        </w:trPr>
        <w:tc>
          <w:tcPr>
            <w:tcW w:w="1594" w:type="pct"/>
            <w:shd w:val="clear" w:color="auto" w:fill="auto"/>
            <w:vAlign w:val="center"/>
            <w:hideMark/>
          </w:tcPr>
          <w:p w14:paraId="5E8C2E17" w14:textId="77777777" w:rsidR="008D7B10" w:rsidRPr="00872D7E" w:rsidRDefault="008D7B10" w:rsidP="008D7B10">
            <w:pPr>
              <w:rPr>
                <w:sz w:val="16"/>
                <w:szCs w:val="16"/>
              </w:rPr>
            </w:pPr>
            <w:r w:rsidRPr="00872D7E">
              <w:rPr>
                <w:sz w:val="16"/>
                <w:szCs w:val="16"/>
              </w:rPr>
              <w:t>Kolektif yatırım kuruluşu niteliğindeki yatırımlar</w:t>
            </w:r>
          </w:p>
        </w:tc>
        <w:tc>
          <w:tcPr>
            <w:tcW w:w="323" w:type="pct"/>
            <w:shd w:val="clear" w:color="auto" w:fill="auto"/>
            <w:noWrap/>
            <w:vAlign w:val="bottom"/>
          </w:tcPr>
          <w:p w14:paraId="42D114ED" w14:textId="1C5908F8"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6A1CA981" w14:textId="5AEB2088"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689F98CC" w14:textId="42935E9B" w:rsidR="008D7B10" w:rsidRPr="00872D7E" w:rsidRDefault="008D7B10" w:rsidP="008D7B10">
            <w:pPr>
              <w:jc w:val="right"/>
              <w:rPr>
                <w:sz w:val="16"/>
                <w:szCs w:val="16"/>
              </w:rPr>
            </w:pPr>
            <w:r w:rsidRPr="00872D7E">
              <w:rPr>
                <w:sz w:val="16"/>
                <w:szCs w:val="16"/>
              </w:rPr>
              <w:t>-</w:t>
            </w:r>
          </w:p>
        </w:tc>
        <w:tc>
          <w:tcPr>
            <w:tcW w:w="225" w:type="pct"/>
            <w:vAlign w:val="bottom"/>
          </w:tcPr>
          <w:p w14:paraId="4DB5A945" w14:textId="04522BB9" w:rsidR="008D7B10" w:rsidRPr="00872D7E" w:rsidRDefault="008D7B10" w:rsidP="008D7B10">
            <w:pPr>
              <w:jc w:val="right"/>
              <w:rPr>
                <w:sz w:val="16"/>
                <w:szCs w:val="16"/>
              </w:rPr>
            </w:pPr>
            <w:r w:rsidRPr="00872D7E">
              <w:rPr>
                <w:sz w:val="16"/>
                <w:szCs w:val="16"/>
              </w:rPr>
              <w:t>-</w:t>
            </w:r>
          </w:p>
        </w:tc>
        <w:tc>
          <w:tcPr>
            <w:tcW w:w="225" w:type="pct"/>
            <w:vAlign w:val="bottom"/>
          </w:tcPr>
          <w:p w14:paraId="4D2B89C4" w14:textId="1ECD2B78"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1A510BE8" w14:textId="4271BE47"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324285BE" w14:textId="54937DC0"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3D11A849" w14:textId="33D2E776"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6971BF53" w14:textId="3A050A46" w:rsidR="008D7B10" w:rsidRPr="00872D7E" w:rsidRDefault="008D7B10" w:rsidP="008D7B10">
            <w:pPr>
              <w:jc w:val="right"/>
              <w:rPr>
                <w:sz w:val="16"/>
                <w:szCs w:val="16"/>
              </w:rPr>
            </w:pPr>
            <w:r w:rsidRPr="00872D7E">
              <w:rPr>
                <w:sz w:val="16"/>
                <w:szCs w:val="16"/>
              </w:rPr>
              <w:t>-</w:t>
            </w:r>
          </w:p>
        </w:tc>
        <w:tc>
          <w:tcPr>
            <w:tcW w:w="264" w:type="pct"/>
            <w:vAlign w:val="bottom"/>
          </w:tcPr>
          <w:p w14:paraId="4BC5C5F1" w14:textId="24BEAA28"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7D4792E0" w14:textId="2C39AE3A"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3DDAA3E5" w14:textId="40D1EF45" w:rsidR="008D7B10" w:rsidRPr="00872D7E" w:rsidRDefault="008D7B10" w:rsidP="008D7B10">
            <w:pPr>
              <w:jc w:val="right"/>
              <w:rPr>
                <w:sz w:val="16"/>
                <w:szCs w:val="16"/>
              </w:rPr>
            </w:pPr>
            <w:r w:rsidRPr="00872D7E">
              <w:rPr>
                <w:sz w:val="16"/>
                <w:szCs w:val="16"/>
              </w:rPr>
              <w:t>-</w:t>
            </w:r>
          </w:p>
        </w:tc>
      </w:tr>
      <w:tr w:rsidR="008D7B10" w:rsidRPr="00872D7E" w14:paraId="1270BFF6" w14:textId="77777777" w:rsidTr="008D7B10">
        <w:trPr>
          <w:trHeight w:val="36"/>
        </w:trPr>
        <w:tc>
          <w:tcPr>
            <w:tcW w:w="1594" w:type="pct"/>
            <w:shd w:val="clear" w:color="auto" w:fill="auto"/>
            <w:vAlign w:val="center"/>
            <w:hideMark/>
          </w:tcPr>
          <w:p w14:paraId="134EA1AF" w14:textId="77777777" w:rsidR="008D7B10" w:rsidRPr="00872D7E" w:rsidRDefault="008D7B10" w:rsidP="008D7B10">
            <w:pPr>
              <w:rPr>
                <w:sz w:val="16"/>
                <w:szCs w:val="16"/>
              </w:rPr>
            </w:pPr>
            <w:r w:rsidRPr="00872D7E">
              <w:rPr>
                <w:sz w:val="16"/>
                <w:szCs w:val="16"/>
              </w:rPr>
              <w:t>Hisse senedi yatırımları</w:t>
            </w:r>
          </w:p>
        </w:tc>
        <w:tc>
          <w:tcPr>
            <w:tcW w:w="323" w:type="pct"/>
            <w:shd w:val="clear" w:color="auto" w:fill="auto"/>
            <w:noWrap/>
            <w:vAlign w:val="bottom"/>
          </w:tcPr>
          <w:p w14:paraId="4A9D7FC7" w14:textId="18CF9843"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173BE0E5" w14:textId="7D4DAF92"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6F2F5E5F" w14:textId="7108C3E3" w:rsidR="008D7B10" w:rsidRPr="00872D7E" w:rsidRDefault="008D7B10" w:rsidP="008D7B10">
            <w:pPr>
              <w:jc w:val="right"/>
              <w:rPr>
                <w:sz w:val="16"/>
                <w:szCs w:val="16"/>
              </w:rPr>
            </w:pPr>
            <w:r w:rsidRPr="00872D7E">
              <w:rPr>
                <w:sz w:val="16"/>
                <w:szCs w:val="16"/>
              </w:rPr>
              <w:t>-</w:t>
            </w:r>
          </w:p>
        </w:tc>
        <w:tc>
          <w:tcPr>
            <w:tcW w:w="225" w:type="pct"/>
            <w:vAlign w:val="bottom"/>
          </w:tcPr>
          <w:p w14:paraId="074450A9" w14:textId="2BB0952D" w:rsidR="008D7B10" w:rsidRPr="00872D7E" w:rsidRDefault="008D7B10" w:rsidP="008D7B10">
            <w:pPr>
              <w:jc w:val="right"/>
              <w:rPr>
                <w:sz w:val="16"/>
                <w:szCs w:val="16"/>
              </w:rPr>
            </w:pPr>
            <w:r w:rsidRPr="00872D7E">
              <w:rPr>
                <w:sz w:val="16"/>
                <w:szCs w:val="16"/>
              </w:rPr>
              <w:t>-</w:t>
            </w:r>
          </w:p>
        </w:tc>
        <w:tc>
          <w:tcPr>
            <w:tcW w:w="225" w:type="pct"/>
            <w:vAlign w:val="bottom"/>
          </w:tcPr>
          <w:p w14:paraId="62D71778" w14:textId="2DFB540C"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70AC39A5" w14:textId="6ABDADBD"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1A2C7417" w14:textId="02E932A8"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366E67A7" w14:textId="560E46F4"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448B4E94" w14:textId="29F632B9" w:rsidR="008D7B10" w:rsidRPr="00872D7E" w:rsidRDefault="008D7B10" w:rsidP="008D7B10">
            <w:pPr>
              <w:jc w:val="right"/>
              <w:rPr>
                <w:sz w:val="16"/>
                <w:szCs w:val="16"/>
              </w:rPr>
            </w:pPr>
            <w:r w:rsidRPr="00872D7E">
              <w:rPr>
                <w:sz w:val="16"/>
                <w:szCs w:val="16"/>
              </w:rPr>
              <w:t>-</w:t>
            </w:r>
          </w:p>
        </w:tc>
        <w:tc>
          <w:tcPr>
            <w:tcW w:w="264" w:type="pct"/>
            <w:vAlign w:val="bottom"/>
          </w:tcPr>
          <w:p w14:paraId="2F526699" w14:textId="004898E2"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0736C577" w14:textId="1CB710DB"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5B421D74" w14:textId="62C39F31" w:rsidR="008D7B10" w:rsidRPr="00872D7E" w:rsidRDefault="008D7B10" w:rsidP="008D7B10">
            <w:pPr>
              <w:jc w:val="right"/>
              <w:rPr>
                <w:sz w:val="16"/>
                <w:szCs w:val="16"/>
              </w:rPr>
            </w:pPr>
            <w:r w:rsidRPr="00872D7E">
              <w:rPr>
                <w:sz w:val="16"/>
                <w:szCs w:val="16"/>
              </w:rPr>
              <w:t>-</w:t>
            </w:r>
          </w:p>
        </w:tc>
      </w:tr>
      <w:tr w:rsidR="008D7B10" w:rsidRPr="00872D7E" w14:paraId="6A00FCC3" w14:textId="77777777" w:rsidTr="008D7B10">
        <w:trPr>
          <w:trHeight w:val="36"/>
        </w:trPr>
        <w:tc>
          <w:tcPr>
            <w:tcW w:w="1594" w:type="pct"/>
            <w:shd w:val="clear" w:color="auto" w:fill="auto"/>
            <w:vAlign w:val="center"/>
            <w:hideMark/>
          </w:tcPr>
          <w:p w14:paraId="0A810B86" w14:textId="77777777" w:rsidR="008D7B10" w:rsidRPr="00872D7E" w:rsidRDefault="008D7B10" w:rsidP="008D7B10">
            <w:pPr>
              <w:rPr>
                <w:sz w:val="16"/>
                <w:szCs w:val="16"/>
              </w:rPr>
            </w:pPr>
            <w:r w:rsidRPr="00872D7E">
              <w:rPr>
                <w:sz w:val="16"/>
                <w:szCs w:val="16"/>
              </w:rPr>
              <w:t>Diğer alacaklar</w:t>
            </w:r>
          </w:p>
        </w:tc>
        <w:tc>
          <w:tcPr>
            <w:tcW w:w="323" w:type="pct"/>
            <w:shd w:val="clear" w:color="auto" w:fill="auto"/>
            <w:noWrap/>
            <w:vAlign w:val="bottom"/>
          </w:tcPr>
          <w:p w14:paraId="13A3CE47" w14:textId="0E7352F0"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0E2D2EEC" w14:textId="5E67B7F7" w:rsidR="008D7B10" w:rsidRPr="00872D7E" w:rsidRDefault="008D7B10" w:rsidP="008D7B10">
            <w:pPr>
              <w:jc w:val="right"/>
              <w:rPr>
                <w:sz w:val="16"/>
                <w:szCs w:val="16"/>
              </w:rPr>
            </w:pPr>
            <w:r w:rsidRPr="00872D7E">
              <w:rPr>
                <w:sz w:val="16"/>
                <w:szCs w:val="16"/>
              </w:rPr>
              <w:t>-</w:t>
            </w:r>
          </w:p>
        </w:tc>
        <w:tc>
          <w:tcPr>
            <w:tcW w:w="284" w:type="pct"/>
            <w:shd w:val="clear" w:color="auto" w:fill="auto"/>
            <w:noWrap/>
            <w:vAlign w:val="bottom"/>
          </w:tcPr>
          <w:p w14:paraId="766DBEE4" w14:textId="1E0AA58A" w:rsidR="008D7B10" w:rsidRPr="00872D7E" w:rsidRDefault="008D7B10" w:rsidP="008D7B10">
            <w:pPr>
              <w:jc w:val="right"/>
              <w:rPr>
                <w:sz w:val="16"/>
                <w:szCs w:val="16"/>
              </w:rPr>
            </w:pPr>
            <w:r w:rsidRPr="00872D7E">
              <w:rPr>
                <w:sz w:val="16"/>
                <w:szCs w:val="16"/>
              </w:rPr>
              <w:t>-</w:t>
            </w:r>
          </w:p>
        </w:tc>
        <w:tc>
          <w:tcPr>
            <w:tcW w:w="225" w:type="pct"/>
            <w:vAlign w:val="bottom"/>
          </w:tcPr>
          <w:p w14:paraId="6B4122A4" w14:textId="7BD08E8F" w:rsidR="008D7B10" w:rsidRPr="00872D7E" w:rsidRDefault="008D7B10" w:rsidP="008D7B10">
            <w:pPr>
              <w:jc w:val="right"/>
              <w:rPr>
                <w:sz w:val="16"/>
                <w:szCs w:val="16"/>
              </w:rPr>
            </w:pPr>
            <w:r w:rsidRPr="00872D7E">
              <w:rPr>
                <w:sz w:val="16"/>
                <w:szCs w:val="16"/>
              </w:rPr>
              <w:t>-</w:t>
            </w:r>
          </w:p>
        </w:tc>
        <w:tc>
          <w:tcPr>
            <w:tcW w:w="225" w:type="pct"/>
            <w:vAlign w:val="bottom"/>
          </w:tcPr>
          <w:p w14:paraId="3CDAEA7C" w14:textId="3444A081" w:rsidR="008D7B10" w:rsidRPr="00872D7E" w:rsidRDefault="008D7B10" w:rsidP="008D7B10">
            <w:pPr>
              <w:jc w:val="right"/>
              <w:rPr>
                <w:sz w:val="16"/>
                <w:szCs w:val="16"/>
              </w:rPr>
            </w:pPr>
            <w:r w:rsidRPr="00872D7E">
              <w:rPr>
                <w:sz w:val="16"/>
                <w:szCs w:val="16"/>
              </w:rPr>
              <w:t>-</w:t>
            </w:r>
          </w:p>
        </w:tc>
        <w:tc>
          <w:tcPr>
            <w:tcW w:w="353" w:type="pct"/>
            <w:shd w:val="clear" w:color="auto" w:fill="auto"/>
            <w:noWrap/>
            <w:vAlign w:val="bottom"/>
          </w:tcPr>
          <w:p w14:paraId="35626918" w14:textId="4CC2EE32" w:rsidR="008D7B10" w:rsidRPr="00872D7E" w:rsidRDefault="008D7B10" w:rsidP="008D7B10">
            <w:pPr>
              <w:jc w:val="right"/>
              <w:rPr>
                <w:sz w:val="16"/>
                <w:szCs w:val="16"/>
              </w:rPr>
            </w:pPr>
            <w:r w:rsidRPr="00872D7E">
              <w:rPr>
                <w:sz w:val="16"/>
                <w:szCs w:val="16"/>
              </w:rPr>
              <w:t>-</w:t>
            </w:r>
          </w:p>
        </w:tc>
        <w:tc>
          <w:tcPr>
            <w:tcW w:w="245" w:type="pct"/>
            <w:shd w:val="clear" w:color="auto" w:fill="auto"/>
            <w:noWrap/>
            <w:vAlign w:val="bottom"/>
          </w:tcPr>
          <w:p w14:paraId="1B669397" w14:textId="3A040E5A" w:rsidR="008D7B10" w:rsidRPr="00872D7E" w:rsidRDefault="008D7B10" w:rsidP="008D7B10">
            <w:pPr>
              <w:jc w:val="right"/>
              <w:rPr>
                <w:sz w:val="16"/>
                <w:szCs w:val="16"/>
              </w:rPr>
            </w:pPr>
            <w:r w:rsidRPr="00872D7E">
              <w:rPr>
                <w:sz w:val="16"/>
                <w:szCs w:val="16"/>
              </w:rPr>
              <w:t>-</w:t>
            </w:r>
          </w:p>
        </w:tc>
        <w:tc>
          <w:tcPr>
            <w:tcW w:w="334" w:type="pct"/>
            <w:shd w:val="clear" w:color="auto" w:fill="auto"/>
            <w:noWrap/>
            <w:vAlign w:val="bottom"/>
          </w:tcPr>
          <w:p w14:paraId="4938C17A" w14:textId="5818AB2B" w:rsidR="008D7B10" w:rsidRPr="00872D7E" w:rsidRDefault="008D7B10" w:rsidP="008D7B10">
            <w:pPr>
              <w:jc w:val="right"/>
              <w:rPr>
                <w:sz w:val="16"/>
                <w:szCs w:val="16"/>
              </w:rPr>
            </w:pPr>
            <w:r w:rsidRPr="00872D7E">
              <w:rPr>
                <w:sz w:val="16"/>
                <w:szCs w:val="16"/>
              </w:rPr>
              <w:t>-</w:t>
            </w:r>
          </w:p>
        </w:tc>
        <w:tc>
          <w:tcPr>
            <w:tcW w:w="293" w:type="pct"/>
            <w:shd w:val="clear" w:color="auto" w:fill="auto"/>
            <w:noWrap/>
            <w:vAlign w:val="bottom"/>
          </w:tcPr>
          <w:p w14:paraId="216332F3" w14:textId="4513C036" w:rsidR="008D7B10" w:rsidRPr="00872D7E" w:rsidRDefault="008D7B10" w:rsidP="008D7B10">
            <w:pPr>
              <w:jc w:val="right"/>
              <w:rPr>
                <w:sz w:val="16"/>
                <w:szCs w:val="16"/>
              </w:rPr>
            </w:pPr>
            <w:r w:rsidRPr="00872D7E">
              <w:rPr>
                <w:sz w:val="16"/>
                <w:szCs w:val="16"/>
              </w:rPr>
              <w:t>-</w:t>
            </w:r>
          </w:p>
        </w:tc>
        <w:tc>
          <w:tcPr>
            <w:tcW w:w="264" w:type="pct"/>
            <w:vAlign w:val="bottom"/>
          </w:tcPr>
          <w:p w14:paraId="75A64EA5" w14:textId="1F12238F" w:rsidR="008D7B10" w:rsidRPr="00872D7E" w:rsidRDefault="008D7B10" w:rsidP="008D7B10">
            <w:pPr>
              <w:jc w:val="right"/>
              <w:rPr>
                <w:sz w:val="16"/>
                <w:szCs w:val="16"/>
              </w:rPr>
            </w:pPr>
            <w:r w:rsidRPr="00872D7E">
              <w:rPr>
                <w:sz w:val="16"/>
                <w:szCs w:val="16"/>
              </w:rPr>
              <w:t>-</w:t>
            </w:r>
          </w:p>
        </w:tc>
        <w:tc>
          <w:tcPr>
            <w:tcW w:w="268" w:type="pct"/>
            <w:shd w:val="clear" w:color="auto" w:fill="auto"/>
            <w:noWrap/>
            <w:vAlign w:val="bottom"/>
          </w:tcPr>
          <w:p w14:paraId="0823FCE4" w14:textId="6D60E08F" w:rsidR="008D7B10" w:rsidRPr="00872D7E" w:rsidRDefault="008D7B10" w:rsidP="008D7B10">
            <w:pPr>
              <w:jc w:val="right"/>
              <w:rPr>
                <w:sz w:val="16"/>
                <w:szCs w:val="16"/>
              </w:rPr>
            </w:pPr>
            <w:r w:rsidRPr="00872D7E">
              <w:rPr>
                <w:sz w:val="16"/>
                <w:szCs w:val="16"/>
              </w:rPr>
              <w:t>-</w:t>
            </w:r>
          </w:p>
        </w:tc>
        <w:tc>
          <w:tcPr>
            <w:tcW w:w="347" w:type="pct"/>
            <w:shd w:val="clear" w:color="auto" w:fill="auto"/>
            <w:noWrap/>
            <w:vAlign w:val="bottom"/>
          </w:tcPr>
          <w:p w14:paraId="67A96E7F" w14:textId="19B47BC7" w:rsidR="008D7B10" w:rsidRPr="00872D7E" w:rsidRDefault="008D7B10" w:rsidP="008D7B10">
            <w:pPr>
              <w:jc w:val="right"/>
              <w:rPr>
                <w:sz w:val="16"/>
                <w:szCs w:val="16"/>
              </w:rPr>
            </w:pPr>
            <w:r w:rsidRPr="00872D7E">
              <w:rPr>
                <w:sz w:val="16"/>
                <w:szCs w:val="16"/>
              </w:rPr>
              <w:t>-</w:t>
            </w:r>
          </w:p>
        </w:tc>
      </w:tr>
      <w:tr w:rsidR="008D7B10" w:rsidRPr="00872D7E" w14:paraId="356F743B" w14:textId="77777777" w:rsidTr="00987E11">
        <w:trPr>
          <w:trHeight w:val="36"/>
        </w:trPr>
        <w:tc>
          <w:tcPr>
            <w:tcW w:w="1594" w:type="pct"/>
            <w:tcBorders>
              <w:bottom w:val="single" w:sz="4" w:space="0" w:color="auto"/>
            </w:tcBorders>
            <w:shd w:val="clear" w:color="auto" w:fill="auto"/>
            <w:vAlign w:val="center"/>
            <w:hideMark/>
          </w:tcPr>
          <w:p w14:paraId="42EDC3FE" w14:textId="77777777" w:rsidR="008D7B10" w:rsidRPr="00872D7E" w:rsidRDefault="008D7B10" w:rsidP="008D7B10">
            <w:pPr>
              <w:rPr>
                <w:sz w:val="16"/>
                <w:szCs w:val="16"/>
              </w:rPr>
            </w:pPr>
            <w:r w:rsidRPr="00872D7E">
              <w:rPr>
                <w:sz w:val="16"/>
                <w:szCs w:val="16"/>
              </w:rPr>
              <w:t>Diğer varlıklar</w:t>
            </w:r>
          </w:p>
        </w:tc>
        <w:tc>
          <w:tcPr>
            <w:tcW w:w="323" w:type="pct"/>
            <w:tcBorders>
              <w:bottom w:val="single" w:sz="4" w:space="0" w:color="auto"/>
            </w:tcBorders>
            <w:shd w:val="clear" w:color="auto" w:fill="auto"/>
            <w:noWrap/>
            <w:vAlign w:val="bottom"/>
          </w:tcPr>
          <w:p w14:paraId="3684CA7B" w14:textId="00142ABF" w:rsidR="008D7B10" w:rsidRPr="00872D7E" w:rsidRDefault="008D7B10" w:rsidP="008D7B10">
            <w:pPr>
              <w:jc w:val="right"/>
              <w:rPr>
                <w:sz w:val="16"/>
                <w:szCs w:val="16"/>
              </w:rPr>
            </w:pPr>
            <w:r w:rsidRPr="00872D7E">
              <w:rPr>
                <w:sz w:val="16"/>
                <w:szCs w:val="16"/>
              </w:rPr>
              <w:t>-</w:t>
            </w:r>
          </w:p>
        </w:tc>
        <w:tc>
          <w:tcPr>
            <w:tcW w:w="245" w:type="pct"/>
            <w:tcBorders>
              <w:bottom w:val="single" w:sz="4" w:space="0" w:color="auto"/>
            </w:tcBorders>
            <w:shd w:val="clear" w:color="auto" w:fill="auto"/>
            <w:noWrap/>
            <w:vAlign w:val="bottom"/>
          </w:tcPr>
          <w:p w14:paraId="1F58970B" w14:textId="6281A77C" w:rsidR="008D7B10" w:rsidRPr="00872D7E" w:rsidRDefault="008D7B10" w:rsidP="008D7B10">
            <w:pPr>
              <w:jc w:val="right"/>
              <w:rPr>
                <w:sz w:val="16"/>
                <w:szCs w:val="16"/>
              </w:rPr>
            </w:pPr>
            <w:r w:rsidRPr="00872D7E">
              <w:rPr>
                <w:sz w:val="16"/>
                <w:szCs w:val="16"/>
              </w:rPr>
              <w:t>-</w:t>
            </w:r>
          </w:p>
        </w:tc>
        <w:tc>
          <w:tcPr>
            <w:tcW w:w="284" w:type="pct"/>
            <w:tcBorders>
              <w:bottom w:val="single" w:sz="4" w:space="0" w:color="auto"/>
            </w:tcBorders>
            <w:shd w:val="clear" w:color="auto" w:fill="auto"/>
            <w:noWrap/>
            <w:vAlign w:val="bottom"/>
          </w:tcPr>
          <w:p w14:paraId="24A749FA" w14:textId="4C43A5C3" w:rsidR="008D7B10" w:rsidRPr="00872D7E" w:rsidRDefault="008D7B10" w:rsidP="008D7B10">
            <w:pPr>
              <w:jc w:val="right"/>
              <w:rPr>
                <w:sz w:val="16"/>
                <w:szCs w:val="16"/>
              </w:rPr>
            </w:pPr>
            <w:r w:rsidRPr="00872D7E">
              <w:rPr>
                <w:sz w:val="16"/>
                <w:szCs w:val="16"/>
              </w:rPr>
              <w:t>-</w:t>
            </w:r>
          </w:p>
        </w:tc>
        <w:tc>
          <w:tcPr>
            <w:tcW w:w="225" w:type="pct"/>
            <w:tcBorders>
              <w:bottom w:val="single" w:sz="4" w:space="0" w:color="auto"/>
            </w:tcBorders>
            <w:vAlign w:val="bottom"/>
          </w:tcPr>
          <w:p w14:paraId="40CDD283" w14:textId="24B59FA3" w:rsidR="008D7B10" w:rsidRPr="00872D7E" w:rsidRDefault="008D7B10" w:rsidP="008D7B10">
            <w:pPr>
              <w:jc w:val="right"/>
              <w:rPr>
                <w:sz w:val="16"/>
                <w:szCs w:val="16"/>
              </w:rPr>
            </w:pPr>
            <w:r w:rsidRPr="00872D7E">
              <w:rPr>
                <w:sz w:val="16"/>
                <w:szCs w:val="16"/>
              </w:rPr>
              <w:t>-</w:t>
            </w:r>
          </w:p>
        </w:tc>
        <w:tc>
          <w:tcPr>
            <w:tcW w:w="225" w:type="pct"/>
            <w:tcBorders>
              <w:bottom w:val="single" w:sz="4" w:space="0" w:color="auto"/>
            </w:tcBorders>
            <w:vAlign w:val="bottom"/>
          </w:tcPr>
          <w:p w14:paraId="3311CB80" w14:textId="04F9281F" w:rsidR="008D7B10" w:rsidRPr="00872D7E" w:rsidRDefault="008D7B10" w:rsidP="008D7B10">
            <w:pPr>
              <w:jc w:val="right"/>
              <w:rPr>
                <w:sz w:val="16"/>
                <w:szCs w:val="16"/>
              </w:rPr>
            </w:pPr>
            <w:r w:rsidRPr="00872D7E">
              <w:rPr>
                <w:sz w:val="16"/>
                <w:szCs w:val="16"/>
              </w:rPr>
              <w:t>-</w:t>
            </w:r>
          </w:p>
        </w:tc>
        <w:tc>
          <w:tcPr>
            <w:tcW w:w="353" w:type="pct"/>
            <w:tcBorders>
              <w:bottom w:val="single" w:sz="4" w:space="0" w:color="auto"/>
            </w:tcBorders>
            <w:shd w:val="clear" w:color="auto" w:fill="auto"/>
            <w:noWrap/>
            <w:vAlign w:val="bottom"/>
          </w:tcPr>
          <w:p w14:paraId="4CB8B428" w14:textId="376090CE" w:rsidR="008D7B10" w:rsidRPr="00872D7E" w:rsidRDefault="008D7B10" w:rsidP="008D7B10">
            <w:pPr>
              <w:jc w:val="right"/>
              <w:rPr>
                <w:sz w:val="16"/>
                <w:szCs w:val="16"/>
              </w:rPr>
            </w:pPr>
            <w:r w:rsidRPr="00872D7E">
              <w:rPr>
                <w:sz w:val="16"/>
                <w:szCs w:val="16"/>
              </w:rPr>
              <w:t>-</w:t>
            </w:r>
          </w:p>
        </w:tc>
        <w:tc>
          <w:tcPr>
            <w:tcW w:w="245" w:type="pct"/>
            <w:tcBorders>
              <w:bottom w:val="single" w:sz="4" w:space="0" w:color="auto"/>
            </w:tcBorders>
            <w:shd w:val="clear" w:color="auto" w:fill="auto"/>
            <w:noWrap/>
            <w:vAlign w:val="bottom"/>
          </w:tcPr>
          <w:p w14:paraId="64E44762" w14:textId="2B2395E9" w:rsidR="008D7B10" w:rsidRPr="00872D7E" w:rsidRDefault="008D7B10" w:rsidP="008D7B10">
            <w:pPr>
              <w:jc w:val="right"/>
              <w:rPr>
                <w:sz w:val="16"/>
                <w:szCs w:val="16"/>
              </w:rPr>
            </w:pPr>
            <w:r w:rsidRPr="00872D7E">
              <w:rPr>
                <w:sz w:val="16"/>
                <w:szCs w:val="16"/>
              </w:rPr>
              <w:t>-</w:t>
            </w:r>
          </w:p>
        </w:tc>
        <w:tc>
          <w:tcPr>
            <w:tcW w:w="334" w:type="pct"/>
            <w:tcBorders>
              <w:bottom w:val="single" w:sz="4" w:space="0" w:color="auto"/>
            </w:tcBorders>
            <w:shd w:val="clear" w:color="auto" w:fill="auto"/>
            <w:noWrap/>
            <w:vAlign w:val="bottom"/>
          </w:tcPr>
          <w:p w14:paraId="2493672D" w14:textId="603246D9" w:rsidR="008D7B10" w:rsidRPr="00872D7E" w:rsidRDefault="008D7B10" w:rsidP="008D7B10">
            <w:pPr>
              <w:jc w:val="right"/>
              <w:rPr>
                <w:sz w:val="16"/>
                <w:szCs w:val="16"/>
              </w:rPr>
            </w:pPr>
            <w:r w:rsidRPr="00872D7E">
              <w:rPr>
                <w:sz w:val="16"/>
                <w:szCs w:val="16"/>
              </w:rPr>
              <w:t>-</w:t>
            </w:r>
          </w:p>
        </w:tc>
        <w:tc>
          <w:tcPr>
            <w:tcW w:w="293" w:type="pct"/>
            <w:tcBorders>
              <w:bottom w:val="single" w:sz="4" w:space="0" w:color="auto"/>
            </w:tcBorders>
            <w:shd w:val="clear" w:color="auto" w:fill="auto"/>
            <w:noWrap/>
            <w:vAlign w:val="bottom"/>
          </w:tcPr>
          <w:p w14:paraId="45E9E464" w14:textId="18EFEF4D" w:rsidR="008D7B10" w:rsidRPr="00872D7E" w:rsidRDefault="008D7B10" w:rsidP="008D7B10">
            <w:pPr>
              <w:jc w:val="right"/>
              <w:rPr>
                <w:sz w:val="16"/>
                <w:szCs w:val="16"/>
              </w:rPr>
            </w:pPr>
            <w:r w:rsidRPr="00872D7E">
              <w:rPr>
                <w:sz w:val="16"/>
                <w:szCs w:val="16"/>
              </w:rPr>
              <w:t>-</w:t>
            </w:r>
          </w:p>
        </w:tc>
        <w:tc>
          <w:tcPr>
            <w:tcW w:w="264" w:type="pct"/>
            <w:tcBorders>
              <w:bottom w:val="single" w:sz="4" w:space="0" w:color="auto"/>
            </w:tcBorders>
            <w:vAlign w:val="bottom"/>
          </w:tcPr>
          <w:p w14:paraId="38EBAF43" w14:textId="16F4E4C0" w:rsidR="008D7B10" w:rsidRPr="00872D7E" w:rsidRDefault="008D7B10" w:rsidP="008D7B10">
            <w:pPr>
              <w:jc w:val="right"/>
              <w:rPr>
                <w:sz w:val="16"/>
                <w:szCs w:val="16"/>
              </w:rPr>
            </w:pPr>
            <w:r w:rsidRPr="00872D7E">
              <w:rPr>
                <w:sz w:val="16"/>
                <w:szCs w:val="16"/>
              </w:rPr>
              <w:t>-</w:t>
            </w:r>
          </w:p>
        </w:tc>
        <w:tc>
          <w:tcPr>
            <w:tcW w:w="268" w:type="pct"/>
            <w:tcBorders>
              <w:bottom w:val="single" w:sz="4" w:space="0" w:color="auto"/>
            </w:tcBorders>
            <w:shd w:val="clear" w:color="auto" w:fill="auto"/>
            <w:noWrap/>
            <w:vAlign w:val="bottom"/>
          </w:tcPr>
          <w:p w14:paraId="44AF7C80" w14:textId="126C3C94" w:rsidR="008D7B10" w:rsidRPr="00872D7E" w:rsidRDefault="008D7B10" w:rsidP="008D7B10">
            <w:pPr>
              <w:jc w:val="right"/>
              <w:rPr>
                <w:sz w:val="16"/>
                <w:szCs w:val="16"/>
              </w:rPr>
            </w:pPr>
            <w:r w:rsidRPr="00872D7E">
              <w:rPr>
                <w:sz w:val="16"/>
                <w:szCs w:val="16"/>
              </w:rPr>
              <w:t>-</w:t>
            </w:r>
          </w:p>
        </w:tc>
        <w:tc>
          <w:tcPr>
            <w:tcW w:w="347" w:type="pct"/>
            <w:tcBorders>
              <w:bottom w:val="single" w:sz="4" w:space="0" w:color="auto"/>
            </w:tcBorders>
            <w:shd w:val="clear" w:color="auto" w:fill="auto"/>
            <w:noWrap/>
            <w:vAlign w:val="bottom"/>
          </w:tcPr>
          <w:p w14:paraId="1B480834" w14:textId="48018E99" w:rsidR="008D7B10" w:rsidRPr="00872D7E" w:rsidRDefault="008D7B10" w:rsidP="008D7B10">
            <w:pPr>
              <w:jc w:val="right"/>
              <w:rPr>
                <w:sz w:val="16"/>
                <w:szCs w:val="16"/>
              </w:rPr>
            </w:pPr>
            <w:r w:rsidRPr="00872D7E">
              <w:rPr>
                <w:sz w:val="16"/>
                <w:szCs w:val="16"/>
              </w:rPr>
              <w:t>-</w:t>
            </w:r>
          </w:p>
        </w:tc>
      </w:tr>
      <w:tr w:rsidR="008D7B10" w:rsidRPr="00872D7E" w14:paraId="41B2F20C" w14:textId="77777777" w:rsidTr="00987E11">
        <w:trPr>
          <w:trHeight w:val="36"/>
        </w:trPr>
        <w:tc>
          <w:tcPr>
            <w:tcW w:w="1594" w:type="pct"/>
            <w:tcBorders>
              <w:top w:val="single" w:sz="4" w:space="0" w:color="auto"/>
              <w:bottom w:val="single" w:sz="12" w:space="0" w:color="auto"/>
            </w:tcBorders>
            <w:shd w:val="clear" w:color="auto" w:fill="auto"/>
            <w:vAlign w:val="center"/>
            <w:hideMark/>
          </w:tcPr>
          <w:p w14:paraId="0FCABDE6" w14:textId="77777777" w:rsidR="008D7B10" w:rsidRPr="00872D7E" w:rsidRDefault="008D7B10" w:rsidP="008D7B10">
            <w:pPr>
              <w:rPr>
                <w:b/>
                <w:sz w:val="16"/>
                <w:szCs w:val="16"/>
              </w:rPr>
            </w:pPr>
            <w:r w:rsidRPr="00872D7E">
              <w:rPr>
                <w:b/>
                <w:sz w:val="16"/>
                <w:szCs w:val="16"/>
              </w:rPr>
              <w:t>Toplam</w:t>
            </w:r>
          </w:p>
        </w:tc>
        <w:tc>
          <w:tcPr>
            <w:tcW w:w="323" w:type="pct"/>
            <w:tcBorders>
              <w:top w:val="single" w:sz="4" w:space="0" w:color="auto"/>
              <w:bottom w:val="single" w:sz="12" w:space="0" w:color="auto"/>
            </w:tcBorders>
            <w:shd w:val="clear" w:color="auto" w:fill="auto"/>
            <w:noWrap/>
            <w:vAlign w:val="bottom"/>
          </w:tcPr>
          <w:p w14:paraId="6FE3D873" w14:textId="6AA30826" w:rsidR="008D7B10" w:rsidRPr="00872D7E" w:rsidRDefault="008D7B10" w:rsidP="008D7B10">
            <w:pPr>
              <w:jc w:val="right"/>
              <w:rPr>
                <w:b/>
                <w:sz w:val="16"/>
                <w:szCs w:val="16"/>
              </w:rPr>
            </w:pPr>
            <w:r w:rsidRPr="00872D7E">
              <w:rPr>
                <w:b/>
                <w:sz w:val="16"/>
                <w:szCs w:val="16"/>
              </w:rPr>
              <w:t>475.539</w:t>
            </w:r>
          </w:p>
        </w:tc>
        <w:tc>
          <w:tcPr>
            <w:tcW w:w="245" w:type="pct"/>
            <w:tcBorders>
              <w:top w:val="single" w:sz="4" w:space="0" w:color="auto"/>
              <w:bottom w:val="single" w:sz="12" w:space="0" w:color="auto"/>
            </w:tcBorders>
            <w:shd w:val="clear" w:color="auto" w:fill="auto"/>
            <w:noWrap/>
            <w:vAlign w:val="bottom"/>
          </w:tcPr>
          <w:p w14:paraId="12F3A0F3" w14:textId="45E81381" w:rsidR="008D7B10" w:rsidRPr="00872D7E" w:rsidRDefault="008D7B10" w:rsidP="008D7B10">
            <w:pPr>
              <w:jc w:val="right"/>
              <w:rPr>
                <w:b/>
                <w:sz w:val="16"/>
                <w:szCs w:val="16"/>
              </w:rPr>
            </w:pPr>
            <w:r w:rsidRPr="00872D7E">
              <w:rPr>
                <w:b/>
                <w:sz w:val="16"/>
                <w:szCs w:val="16"/>
              </w:rPr>
              <w:t>-</w:t>
            </w:r>
          </w:p>
        </w:tc>
        <w:tc>
          <w:tcPr>
            <w:tcW w:w="284" w:type="pct"/>
            <w:tcBorders>
              <w:top w:val="single" w:sz="4" w:space="0" w:color="auto"/>
              <w:bottom w:val="single" w:sz="12" w:space="0" w:color="auto"/>
            </w:tcBorders>
            <w:shd w:val="clear" w:color="auto" w:fill="auto"/>
            <w:noWrap/>
            <w:vAlign w:val="bottom"/>
          </w:tcPr>
          <w:p w14:paraId="277256C8" w14:textId="206C48C6" w:rsidR="008D7B10" w:rsidRPr="00872D7E" w:rsidRDefault="008D7B10" w:rsidP="008D7B10">
            <w:pPr>
              <w:jc w:val="right"/>
              <w:rPr>
                <w:b/>
                <w:sz w:val="16"/>
                <w:szCs w:val="16"/>
              </w:rPr>
            </w:pPr>
            <w:r w:rsidRPr="00872D7E">
              <w:rPr>
                <w:b/>
                <w:sz w:val="16"/>
                <w:szCs w:val="16"/>
              </w:rPr>
              <w:t>24.455</w:t>
            </w:r>
          </w:p>
        </w:tc>
        <w:tc>
          <w:tcPr>
            <w:tcW w:w="225" w:type="pct"/>
            <w:tcBorders>
              <w:top w:val="single" w:sz="4" w:space="0" w:color="auto"/>
              <w:bottom w:val="single" w:sz="12" w:space="0" w:color="auto"/>
            </w:tcBorders>
            <w:vAlign w:val="bottom"/>
          </w:tcPr>
          <w:p w14:paraId="6877FB97" w14:textId="6695BB19" w:rsidR="008D7B10" w:rsidRPr="00872D7E" w:rsidRDefault="008D7B10" w:rsidP="008D7B10">
            <w:pPr>
              <w:jc w:val="right"/>
              <w:rPr>
                <w:b/>
                <w:sz w:val="16"/>
                <w:szCs w:val="16"/>
              </w:rPr>
            </w:pPr>
            <w:r w:rsidRPr="00872D7E">
              <w:rPr>
                <w:b/>
                <w:sz w:val="16"/>
                <w:szCs w:val="16"/>
              </w:rPr>
              <w:t>-</w:t>
            </w:r>
          </w:p>
        </w:tc>
        <w:tc>
          <w:tcPr>
            <w:tcW w:w="225" w:type="pct"/>
            <w:tcBorders>
              <w:top w:val="single" w:sz="4" w:space="0" w:color="auto"/>
              <w:bottom w:val="single" w:sz="12" w:space="0" w:color="auto"/>
            </w:tcBorders>
            <w:vAlign w:val="bottom"/>
          </w:tcPr>
          <w:p w14:paraId="5DFBADE4" w14:textId="083CF729" w:rsidR="008D7B10" w:rsidRPr="00872D7E" w:rsidRDefault="008D7B10" w:rsidP="008D7B10">
            <w:pPr>
              <w:jc w:val="right"/>
              <w:rPr>
                <w:b/>
                <w:sz w:val="16"/>
                <w:szCs w:val="16"/>
              </w:rPr>
            </w:pPr>
            <w:r w:rsidRPr="00872D7E">
              <w:rPr>
                <w:b/>
                <w:sz w:val="16"/>
                <w:szCs w:val="16"/>
              </w:rPr>
              <w:t>-</w:t>
            </w:r>
          </w:p>
        </w:tc>
        <w:tc>
          <w:tcPr>
            <w:tcW w:w="353" w:type="pct"/>
            <w:tcBorders>
              <w:top w:val="single" w:sz="4" w:space="0" w:color="auto"/>
              <w:bottom w:val="single" w:sz="12" w:space="0" w:color="auto"/>
            </w:tcBorders>
            <w:shd w:val="clear" w:color="auto" w:fill="auto"/>
            <w:noWrap/>
            <w:vAlign w:val="bottom"/>
          </w:tcPr>
          <w:p w14:paraId="1B4ADC19" w14:textId="00FA2CA7" w:rsidR="008D7B10" w:rsidRPr="00872D7E" w:rsidRDefault="008D7B10" w:rsidP="008D7B10">
            <w:pPr>
              <w:jc w:val="right"/>
              <w:rPr>
                <w:b/>
                <w:sz w:val="16"/>
                <w:szCs w:val="16"/>
              </w:rPr>
            </w:pPr>
            <w:r w:rsidRPr="00872D7E">
              <w:rPr>
                <w:b/>
                <w:sz w:val="16"/>
                <w:szCs w:val="16"/>
              </w:rPr>
              <w:t>-</w:t>
            </w:r>
          </w:p>
        </w:tc>
        <w:tc>
          <w:tcPr>
            <w:tcW w:w="245" w:type="pct"/>
            <w:tcBorders>
              <w:top w:val="single" w:sz="4" w:space="0" w:color="auto"/>
              <w:bottom w:val="single" w:sz="12" w:space="0" w:color="auto"/>
            </w:tcBorders>
            <w:shd w:val="clear" w:color="auto" w:fill="auto"/>
            <w:noWrap/>
            <w:vAlign w:val="bottom"/>
          </w:tcPr>
          <w:p w14:paraId="21EA5D83" w14:textId="5BB601D7" w:rsidR="008D7B10" w:rsidRPr="00872D7E" w:rsidRDefault="008D7B10" w:rsidP="008D7B10">
            <w:pPr>
              <w:jc w:val="right"/>
              <w:rPr>
                <w:b/>
                <w:sz w:val="16"/>
                <w:szCs w:val="16"/>
              </w:rPr>
            </w:pPr>
            <w:r w:rsidRPr="00872D7E">
              <w:rPr>
                <w:b/>
                <w:sz w:val="16"/>
                <w:szCs w:val="16"/>
              </w:rPr>
              <w:t>-</w:t>
            </w:r>
          </w:p>
        </w:tc>
        <w:tc>
          <w:tcPr>
            <w:tcW w:w="334" w:type="pct"/>
            <w:tcBorders>
              <w:top w:val="single" w:sz="4" w:space="0" w:color="auto"/>
              <w:bottom w:val="single" w:sz="12" w:space="0" w:color="auto"/>
            </w:tcBorders>
            <w:shd w:val="clear" w:color="auto" w:fill="auto"/>
            <w:noWrap/>
            <w:vAlign w:val="bottom"/>
          </w:tcPr>
          <w:p w14:paraId="3712276F" w14:textId="4A00A3F7" w:rsidR="008D7B10" w:rsidRPr="00872D7E" w:rsidRDefault="008D7B10" w:rsidP="008D7B10">
            <w:pPr>
              <w:jc w:val="right"/>
              <w:rPr>
                <w:b/>
                <w:sz w:val="16"/>
                <w:szCs w:val="16"/>
              </w:rPr>
            </w:pPr>
            <w:r w:rsidRPr="00872D7E">
              <w:rPr>
                <w:b/>
                <w:sz w:val="16"/>
                <w:szCs w:val="16"/>
              </w:rPr>
              <w:t>60.007</w:t>
            </w:r>
          </w:p>
        </w:tc>
        <w:tc>
          <w:tcPr>
            <w:tcW w:w="293" w:type="pct"/>
            <w:tcBorders>
              <w:top w:val="single" w:sz="4" w:space="0" w:color="auto"/>
              <w:bottom w:val="single" w:sz="12" w:space="0" w:color="auto"/>
            </w:tcBorders>
            <w:shd w:val="clear" w:color="auto" w:fill="auto"/>
            <w:noWrap/>
            <w:vAlign w:val="bottom"/>
          </w:tcPr>
          <w:p w14:paraId="4E7F93AE" w14:textId="12F07632" w:rsidR="008D7B10" w:rsidRPr="00872D7E" w:rsidRDefault="008D7B10" w:rsidP="008D7B10">
            <w:pPr>
              <w:jc w:val="right"/>
              <w:rPr>
                <w:b/>
                <w:sz w:val="16"/>
                <w:szCs w:val="16"/>
              </w:rPr>
            </w:pPr>
            <w:r w:rsidRPr="00872D7E">
              <w:rPr>
                <w:b/>
                <w:sz w:val="16"/>
                <w:szCs w:val="16"/>
              </w:rPr>
              <w:t>-</w:t>
            </w:r>
          </w:p>
        </w:tc>
        <w:tc>
          <w:tcPr>
            <w:tcW w:w="264" w:type="pct"/>
            <w:tcBorders>
              <w:top w:val="single" w:sz="4" w:space="0" w:color="auto"/>
              <w:bottom w:val="single" w:sz="12" w:space="0" w:color="auto"/>
            </w:tcBorders>
            <w:vAlign w:val="bottom"/>
          </w:tcPr>
          <w:p w14:paraId="0F51698F" w14:textId="63E1F343" w:rsidR="008D7B10" w:rsidRPr="00872D7E" w:rsidRDefault="008D7B10" w:rsidP="008D7B10">
            <w:pPr>
              <w:jc w:val="right"/>
              <w:rPr>
                <w:b/>
                <w:sz w:val="16"/>
                <w:szCs w:val="16"/>
              </w:rPr>
            </w:pPr>
            <w:r w:rsidRPr="00872D7E">
              <w:rPr>
                <w:b/>
                <w:sz w:val="16"/>
                <w:szCs w:val="16"/>
              </w:rPr>
              <w:t>-</w:t>
            </w:r>
          </w:p>
        </w:tc>
        <w:tc>
          <w:tcPr>
            <w:tcW w:w="268" w:type="pct"/>
            <w:tcBorders>
              <w:top w:val="single" w:sz="4" w:space="0" w:color="auto"/>
              <w:bottom w:val="single" w:sz="12" w:space="0" w:color="auto"/>
            </w:tcBorders>
            <w:shd w:val="clear" w:color="auto" w:fill="auto"/>
            <w:noWrap/>
            <w:vAlign w:val="bottom"/>
          </w:tcPr>
          <w:p w14:paraId="414B4347" w14:textId="639243CB" w:rsidR="008D7B10" w:rsidRPr="00872D7E" w:rsidRDefault="008D7B10" w:rsidP="008D7B10">
            <w:pPr>
              <w:jc w:val="right"/>
              <w:rPr>
                <w:b/>
                <w:sz w:val="16"/>
                <w:szCs w:val="16"/>
              </w:rPr>
            </w:pPr>
            <w:r w:rsidRPr="00872D7E">
              <w:rPr>
                <w:b/>
                <w:sz w:val="16"/>
                <w:szCs w:val="16"/>
              </w:rPr>
              <w:t>-</w:t>
            </w:r>
          </w:p>
        </w:tc>
        <w:tc>
          <w:tcPr>
            <w:tcW w:w="347" w:type="pct"/>
            <w:tcBorders>
              <w:top w:val="single" w:sz="4" w:space="0" w:color="auto"/>
              <w:bottom w:val="single" w:sz="12" w:space="0" w:color="auto"/>
            </w:tcBorders>
            <w:shd w:val="clear" w:color="auto" w:fill="auto"/>
            <w:noWrap/>
            <w:vAlign w:val="bottom"/>
          </w:tcPr>
          <w:p w14:paraId="7F60DAB3" w14:textId="0E9A5ED2" w:rsidR="008D7B10" w:rsidRPr="00872D7E" w:rsidRDefault="008D7B10" w:rsidP="008D7B10">
            <w:pPr>
              <w:jc w:val="right"/>
              <w:rPr>
                <w:b/>
                <w:sz w:val="16"/>
                <w:szCs w:val="16"/>
              </w:rPr>
            </w:pPr>
            <w:r w:rsidRPr="00872D7E">
              <w:rPr>
                <w:b/>
                <w:sz w:val="16"/>
                <w:szCs w:val="16"/>
              </w:rPr>
              <w:t>560.001</w:t>
            </w:r>
          </w:p>
        </w:tc>
      </w:tr>
    </w:tbl>
    <w:p w14:paraId="076B6593" w14:textId="77777777" w:rsidR="008D7B10" w:rsidRPr="00872D7E" w:rsidRDefault="008D7B10" w:rsidP="008D7B10">
      <w:pPr>
        <w:tabs>
          <w:tab w:val="left" w:pos="3794"/>
        </w:tabs>
        <w:spacing w:before="120" w:after="120"/>
        <w:ind w:right="-182"/>
        <w:jc w:val="both"/>
        <w:rPr>
          <w:rFonts w:ascii="Arial" w:hAnsi="Arial" w:cs="Arial"/>
          <w:b/>
          <w:sz w:val="18"/>
          <w:szCs w:val="20"/>
        </w:rPr>
      </w:pPr>
      <w:r w:rsidRPr="00872D7E">
        <w:rPr>
          <w:rFonts w:ascii="Arial" w:hAnsi="Arial" w:cs="Arial"/>
          <w:sz w:val="16"/>
          <w:szCs w:val="20"/>
          <w:vertAlign w:val="superscript"/>
        </w:rPr>
        <w:t>(*)</w:t>
      </w:r>
      <w:r w:rsidRPr="00872D7E">
        <w:rPr>
          <w:rFonts w:ascii="Arial" w:hAnsi="Arial" w:cs="Arial"/>
          <w:sz w:val="16"/>
          <w:szCs w:val="20"/>
        </w:rPr>
        <w:t xml:space="preserve"> Toplam kredi riski: Karşı taraf kredi riski ölçüm teknikleri uygulandıktan sonra sermaye yeterliliği hesaplamasıyla ilgili olan tutar.</w:t>
      </w:r>
    </w:p>
    <w:p w14:paraId="452F06A3" w14:textId="3121CFC0" w:rsidR="00344C7A" w:rsidRPr="00872D7E" w:rsidRDefault="00934795" w:rsidP="008D7B10">
      <w:pPr>
        <w:spacing w:before="80"/>
        <w:rPr>
          <w:bCs/>
          <w:szCs w:val="20"/>
        </w:rPr>
      </w:pPr>
      <w:r w:rsidRPr="00872D7E">
        <w:rPr>
          <w:bCs/>
          <w:szCs w:val="20"/>
        </w:rPr>
        <w:t>(</w:t>
      </w:r>
      <w:r w:rsidR="00344C7A" w:rsidRPr="00872D7E">
        <w:rPr>
          <w:bCs/>
          <w:szCs w:val="20"/>
        </w:rPr>
        <w:t>1 Ocak 2024: Bulunmamaktadır</w:t>
      </w:r>
      <w:r w:rsidRPr="00872D7E">
        <w:rPr>
          <w:bCs/>
          <w:szCs w:val="20"/>
        </w:rPr>
        <w:t>)</w:t>
      </w:r>
      <w:r w:rsidR="008D7B10" w:rsidRPr="00872D7E">
        <w:rPr>
          <w:bCs/>
          <w:szCs w:val="20"/>
        </w:rPr>
        <w:t>.</w:t>
      </w:r>
    </w:p>
    <w:p w14:paraId="381E81DE" w14:textId="3DEB6B33" w:rsidR="00344C7A" w:rsidRPr="00872D7E" w:rsidRDefault="008C5672" w:rsidP="00D06395">
      <w:pPr>
        <w:spacing w:before="120" w:after="120"/>
        <w:ind w:left="851" w:hanging="852"/>
        <w:rPr>
          <w:b/>
          <w:szCs w:val="20"/>
        </w:rPr>
      </w:pPr>
      <w:r w:rsidRPr="00872D7E">
        <w:rPr>
          <w:b/>
          <w:szCs w:val="20"/>
        </w:rPr>
        <w:t>d</w:t>
      </w:r>
      <w:r w:rsidR="00344C7A" w:rsidRPr="00872D7E">
        <w:rPr>
          <w:b/>
          <w:szCs w:val="20"/>
        </w:rPr>
        <w:t>.4.</w:t>
      </w:r>
      <w:bookmarkStart w:id="54" w:name="_Hlk127256254"/>
      <w:r w:rsidR="00344C7A" w:rsidRPr="00872D7E">
        <w:rPr>
          <w:b/>
          <w:szCs w:val="20"/>
        </w:rPr>
        <w:tab/>
        <w:t>KKR İçin Kullanılan Teminatlar:</w:t>
      </w:r>
      <w:bookmarkEnd w:id="54"/>
    </w:p>
    <w:tbl>
      <w:tblPr>
        <w:tblW w:w="5000" w:type="pct"/>
        <w:tblCellMar>
          <w:left w:w="70" w:type="dxa"/>
          <w:right w:w="70" w:type="dxa"/>
        </w:tblCellMar>
        <w:tblLook w:val="04A0" w:firstRow="1" w:lastRow="0" w:firstColumn="1" w:lastColumn="0" w:noHBand="0" w:noVBand="1"/>
      </w:tblPr>
      <w:tblGrid>
        <w:gridCol w:w="2575"/>
        <w:gridCol w:w="1160"/>
        <w:gridCol w:w="1208"/>
        <w:gridCol w:w="1161"/>
        <w:gridCol w:w="1213"/>
        <w:gridCol w:w="1161"/>
        <w:gridCol w:w="1161"/>
      </w:tblGrid>
      <w:tr w:rsidR="008D7B10" w:rsidRPr="00872D7E" w14:paraId="0CFE3DC9" w14:textId="77777777" w:rsidTr="008D7B10">
        <w:trPr>
          <w:trHeight w:val="20"/>
        </w:trPr>
        <w:tc>
          <w:tcPr>
            <w:tcW w:w="1336" w:type="pct"/>
            <w:vMerge w:val="restart"/>
            <w:tcBorders>
              <w:top w:val="single" w:sz="4" w:space="0" w:color="auto"/>
            </w:tcBorders>
            <w:shd w:val="clear" w:color="auto" w:fill="auto"/>
            <w:noWrap/>
            <w:vAlign w:val="center"/>
            <w:hideMark/>
          </w:tcPr>
          <w:p w14:paraId="0C7B1F32" w14:textId="51824D52" w:rsidR="008D7B10" w:rsidRPr="00872D7E" w:rsidRDefault="008D7B10" w:rsidP="00033CCA">
            <w:pPr>
              <w:rPr>
                <w:b/>
                <w:sz w:val="18"/>
                <w:szCs w:val="18"/>
              </w:rPr>
            </w:pPr>
            <w:bookmarkStart w:id="55" w:name="_Hlk127256290"/>
            <w:r w:rsidRPr="00872D7E">
              <w:rPr>
                <w:b/>
                <w:sz w:val="18"/>
                <w:szCs w:val="18"/>
              </w:rPr>
              <w:t>31 Aralık 2024</w:t>
            </w:r>
          </w:p>
        </w:tc>
        <w:tc>
          <w:tcPr>
            <w:tcW w:w="2460" w:type="pct"/>
            <w:gridSpan w:val="4"/>
            <w:tcBorders>
              <w:top w:val="single" w:sz="4" w:space="0" w:color="auto"/>
              <w:bottom w:val="single" w:sz="4" w:space="0" w:color="auto"/>
            </w:tcBorders>
            <w:shd w:val="clear" w:color="auto" w:fill="auto"/>
            <w:vAlign w:val="bottom"/>
            <w:hideMark/>
          </w:tcPr>
          <w:p w14:paraId="6A6875E9" w14:textId="77777777" w:rsidR="008D7B10" w:rsidRPr="00872D7E" w:rsidRDefault="008D7B10" w:rsidP="00033CCA">
            <w:pPr>
              <w:jc w:val="center"/>
              <w:rPr>
                <w:b/>
                <w:sz w:val="18"/>
                <w:szCs w:val="18"/>
              </w:rPr>
            </w:pPr>
            <w:r w:rsidRPr="00872D7E">
              <w:rPr>
                <w:b/>
                <w:sz w:val="18"/>
                <w:szCs w:val="18"/>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4480670D" w14:textId="77777777" w:rsidR="008D7B10" w:rsidRPr="00872D7E" w:rsidRDefault="008D7B10" w:rsidP="00033CCA">
            <w:pPr>
              <w:jc w:val="center"/>
              <w:rPr>
                <w:b/>
                <w:sz w:val="18"/>
                <w:szCs w:val="18"/>
              </w:rPr>
            </w:pPr>
            <w:r w:rsidRPr="00872D7E">
              <w:rPr>
                <w:b/>
                <w:sz w:val="18"/>
                <w:szCs w:val="18"/>
              </w:rPr>
              <w:t>Diğer işlem teminatları</w:t>
            </w:r>
          </w:p>
        </w:tc>
      </w:tr>
      <w:tr w:rsidR="008D7B10" w:rsidRPr="00872D7E" w14:paraId="0355C222" w14:textId="77777777" w:rsidTr="008D7B10">
        <w:trPr>
          <w:trHeight w:val="20"/>
        </w:trPr>
        <w:tc>
          <w:tcPr>
            <w:tcW w:w="1336" w:type="pct"/>
            <w:vMerge/>
            <w:shd w:val="clear" w:color="auto" w:fill="auto"/>
            <w:noWrap/>
            <w:vAlign w:val="bottom"/>
            <w:hideMark/>
          </w:tcPr>
          <w:p w14:paraId="1094F641" w14:textId="77777777" w:rsidR="008D7B10" w:rsidRPr="00872D7E" w:rsidRDefault="008D7B10" w:rsidP="00033CCA">
            <w:pPr>
              <w:rPr>
                <w:b/>
                <w:sz w:val="18"/>
                <w:szCs w:val="18"/>
              </w:rPr>
            </w:pPr>
          </w:p>
        </w:tc>
        <w:tc>
          <w:tcPr>
            <w:tcW w:w="1228" w:type="pct"/>
            <w:gridSpan w:val="2"/>
            <w:tcBorders>
              <w:top w:val="single" w:sz="4" w:space="0" w:color="auto"/>
              <w:bottom w:val="single" w:sz="4" w:space="0" w:color="auto"/>
            </w:tcBorders>
            <w:shd w:val="clear" w:color="auto" w:fill="auto"/>
            <w:noWrap/>
            <w:vAlign w:val="bottom"/>
            <w:hideMark/>
          </w:tcPr>
          <w:p w14:paraId="3DB7D1DD" w14:textId="77777777" w:rsidR="008D7B10" w:rsidRPr="00872D7E" w:rsidRDefault="008D7B10" w:rsidP="00033CCA">
            <w:pPr>
              <w:jc w:val="center"/>
              <w:rPr>
                <w:b/>
                <w:sz w:val="18"/>
                <w:szCs w:val="18"/>
              </w:rPr>
            </w:pPr>
            <w:r w:rsidRPr="00872D7E">
              <w:rPr>
                <w:b/>
                <w:sz w:val="18"/>
                <w:szCs w:val="18"/>
              </w:rPr>
              <w:t>Alınan teminatlar</w:t>
            </w:r>
          </w:p>
        </w:tc>
        <w:tc>
          <w:tcPr>
            <w:tcW w:w="1231" w:type="pct"/>
            <w:gridSpan w:val="2"/>
            <w:tcBorders>
              <w:top w:val="single" w:sz="4" w:space="0" w:color="auto"/>
              <w:bottom w:val="single" w:sz="4" w:space="0" w:color="auto"/>
            </w:tcBorders>
            <w:shd w:val="clear" w:color="auto" w:fill="auto"/>
            <w:noWrap/>
            <w:vAlign w:val="bottom"/>
            <w:hideMark/>
          </w:tcPr>
          <w:p w14:paraId="4FFAD23E" w14:textId="77777777" w:rsidR="008D7B10" w:rsidRPr="00872D7E" w:rsidRDefault="008D7B10" w:rsidP="00033CCA">
            <w:pPr>
              <w:jc w:val="center"/>
              <w:rPr>
                <w:b/>
                <w:sz w:val="18"/>
                <w:szCs w:val="18"/>
              </w:rPr>
            </w:pPr>
            <w:r w:rsidRPr="00872D7E">
              <w:rPr>
                <w:b/>
                <w:sz w:val="18"/>
                <w:szCs w:val="18"/>
              </w:rPr>
              <w:t>Verilen teminatlar</w:t>
            </w:r>
          </w:p>
        </w:tc>
        <w:tc>
          <w:tcPr>
            <w:tcW w:w="602" w:type="pct"/>
            <w:vMerge w:val="restart"/>
            <w:tcBorders>
              <w:top w:val="single" w:sz="4" w:space="0" w:color="auto"/>
            </w:tcBorders>
            <w:shd w:val="clear" w:color="auto" w:fill="auto"/>
            <w:vAlign w:val="bottom"/>
            <w:hideMark/>
          </w:tcPr>
          <w:p w14:paraId="64606EE3" w14:textId="77777777" w:rsidR="008D7B10" w:rsidRPr="00872D7E" w:rsidRDefault="008D7B10" w:rsidP="00033CCA">
            <w:pPr>
              <w:jc w:val="center"/>
              <w:rPr>
                <w:b/>
                <w:sz w:val="18"/>
                <w:szCs w:val="18"/>
              </w:rPr>
            </w:pPr>
            <w:r w:rsidRPr="00872D7E">
              <w:rPr>
                <w:b/>
                <w:sz w:val="18"/>
                <w:szCs w:val="18"/>
              </w:rPr>
              <w:t>Alınan teminatlar</w:t>
            </w:r>
          </w:p>
        </w:tc>
        <w:tc>
          <w:tcPr>
            <w:tcW w:w="602" w:type="pct"/>
            <w:vMerge w:val="restart"/>
            <w:tcBorders>
              <w:top w:val="single" w:sz="4" w:space="0" w:color="auto"/>
            </w:tcBorders>
            <w:shd w:val="clear" w:color="auto" w:fill="auto"/>
            <w:vAlign w:val="bottom"/>
            <w:hideMark/>
          </w:tcPr>
          <w:p w14:paraId="628AD68D" w14:textId="77777777" w:rsidR="008D7B10" w:rsidRPr="00872D7E" w:rsidRDefault="008D7B10" w:rsidP="00033CCA">
            <w:pPr>
              <w:jc w:val="center"/>
              <w:rPr>
                <w:b/>
                <w:sz w:val="18"/>
                <w:szCs w:val="18"/>
              </w:rPr>
            </w:pPr>
            <w:r w:rsidRPr="00872D7E">
              <w:rPr>
                <w:b/>
                <w:sz w:val="18"/>
                <w:szCs w:val="18"/>
              </w:rPr>
              <w:t>Verilen teminatlar</w:t>
            </w:r>
          </w:p>
        </w:tc>
      </w:tr>
      <w:tr w:rsidR="008D7B10" w:rsidRPr="00872D7E" w14:paraId="259804C4" w14:textId="77777777" w:rsidTr="008D7B10">
        <w:trPr>
          <w:trHeight w:val="20"/>
        </w:trPr>
        <w:tc>
          <w:tcPr>
            <w:tcW w:w="1336" w:type="pct"/>
            <w:vMerge/>
            <w:tcBorders>
              <w:bottom w:val="single" w:sz="4" w:space="0" w:color="auto"/>
            </w:tcBorders>
            <w:vAlign w:val="bottom"/>
            <w:hideMark/>
          </w:tcPr>
          <w:p w14:paraId="0C053CD7" w14:textId="77777777" w:rsidR="008D7B10" w:rsidRPr="00872D7E" w:rsidRDefault="008D7B10" w:rsidP="00033CCA">
            <w:pPr>
              <w:rPr>
                <w:sz w:val="18"/>
                <w:szCs w:val="18"/>
              </w:rPr>
            </w:pPr>
          </w:p>
        </w:tc>
        <w:tc>
          <w:tcPr>
            <w:tcW w:w="602" w:type="pct"/>
            <w:tcBorders>
              <w:top w:val="single" w:sz="4" w:space="0" w:color="auto"/>
              <w:bottom w:val="single" w:sz="4" w:space="0" w:color="auto"/>
            </w:tcBorders>
            <w:shd w:val="clear" w:color="auto" w:fill="auto"/>
            <w:noWrap/>
            <w:vAlign w:val="bottom"/>
            <w:hideMark/>
          </w:tcPr>
          <w:p w14:paraId="3FFBB735" w14:textId="77777777" w:rsidR="008D7B10" w:rsidRPr="00872D7E" w:rsidRDefault="008D7B10" w:rsidP="00033CCA">
            <w:pPr>
              <w:jc w:val="center"/>
              <w:rPr>
                <w:b/>
                <w:sz w:val="18"/>
                <w:szCs w:val="18"/>
              </w:rPr>
            </w:pPr>
            <w:r w:rsidRPr="00872D7E">
              <w:rPr>
                <w:b/>
                <w:sz w:val="18"/>
                <w:szCs w:val="18"/>
              </w:rPr>
              <w:t>Ayrılmış</w:t>
            </w:r>
          </w:p>
        </w:tc>
        <w:tc>
          <w:tcPr>
            <w:tcW w:w="627" w:type="pct"/>
            <w:tcBorders>
              <w:top w:val="single" w:sz="4" w:space="0" w:color="auto"/>
              <w:bottom w:val="single" w:sz="4" w:space="0" w:color="auto"/>
            </w:tcBorders>
            <w:shd w:val="clear" w:color="auto" w:fill="auto"/>
            <w:noWrap/>
            <w:vAlign w:val="bottom"/>
            <w:hideMark/>
          </w:tcPr>
          <w:p w14:paraId="36B04173" w14:textId="77777777" w:rsidR="008D7B10" w:rsidRPr="00872D7E" w:rsidRDefault="008D7B10" w:rsidP="00033CCA">
            <w:pPr>
              <w:jc w:val="center"/>
              <w:rPr>
                <w:b/>
                <w:sz w:val="18"/>
                <w:szCs w:val="18"/>
              </w:rPr>
            </w:pPr>
            <w:r w:rsidRPr="00872D7E">
              <w:rPr>
                <w:b/>
                <w:sz w:val="18"/>
                <w:szCs w:val="18"/>
              </w:rPr>
              <w:t>Ayrılmamış</w:t>
            </w:r>
          </w:p>
        </w:tc>
        <w:tc>
          <w:tcPr>
            <w:tcW w:w="602" w:type="pct"/>
            <w:tcBorders>
              <w:top w:val="single" w:sz="4" w:space="0" w:color="auto"/>
              <w:bottom w:val="single" w:sz="4" w:space="0" w:color="auto"/>
            </w:tcBorders>
            <w:shd w:val="clear" w:color="auto" w:fill="auto"/>
            <w:noWrap/>
            <w:vAlign w:val="bottom"/>
            <w:hideMark/>
          </w:tcPr>
          <w:p w14:paraId="22CBA069" w14:textId="77777777" w:rsidR="008D7B10" w:rsidRPr="00872D7E" w:rsidRDefault="008D7B10" w:rsidP="00033CCA">
            <w:pPr>
              <w:jc w:val="center"/>
              <w:rPr>
                <w:b/>
                <w:sz w:val="18"/>
                <w:szCs w:val="18"/>
              </w:rPr>
            </w:pPr>
            <w:r w:rsidRPr="00872D7E">
              <w:rPr>
                <w:b/>
                <w:sz w:val="18"/>
                <w:szCs w:val="18"/>
              </w:rPr>
              <w:t>Ayrılmış</w:t>
            </w:r>
          </w:p>
        </w:tc>
        <w:tc>
          <w:tcPr>
            <w:tcW w:w="629" w:type="pct"/>
            <w:tcBorders>
              <w:top w:val="single" w:sz="4" w:space="0" w:color="auto"/>
              <w:bottom w:val="single" w:sz="4" w:space="0" w:color="auto"/>
            </w:tcBorders>
            <w:shd w:val="clear" w:color="auto" w:fill="auto"/>
            <w:noWrap/>
            <w:vAlign w:val="bottom"/>
            <w:hideMark/>
          </w:tcPr>
          <w:p w14:paraId="78D5A87E" w14:textId="77777777" w:rsidR="008D7B10" w:rsidRPr="00872D7E" w:rsidRDefault="008D7B10" w:rsidP="00033CCA">
            <w:pPr>
              <w:jc w:val="center"/>
              <w:rPr>
                <w:b/>
                <w:sz w:val="18"/>
                <w:szCs w:val="18"/>
              </w:rPr>
            </w:pPr>
            <w:r w:rsidRPr="00872D7E">
              <w:rPr>
                <w:b/>
                <w:sz w:val="18"/>
                <w:szCs w:val="18"/>
              </w:rPr>
              <w:t>Ayrılmamış</w:t>
            </w:r>
          </w:p>
        </w:tc>
        <w:tc>
          <w:tcPr>
            <w:tcW w:w="602" w:type="pct"/>
            <w:vMerge/>
            <w:tcBorders>
              <w:bottom w:val="single" w:sz="4" w:space="0" w:color="auto"/>
            </w:tcBorders>
            <w:vAlign w:val="bottom"/>
            <w:hideMark/>
          </w:tcPr>
          <w:p w14:paraId="37ADED80" w14:textId="77777777" w:rsidR="008D7B10" w:rsidRPr="00872D7E" w:rsidRDefault="008D7B10" w:rsidP="00033CCA">
            <w:pPr>
              <w:rPr>
                <w:sz w:val="18"/>
                <w:szCs w:val="18"/>
              </w:rPr>
            </w:pPr>
          </w:p>
        </w:tc>
        <w:tc>
          <w:tcPr>
            <w:tcW w:w="602" w:type="pct"/>
            <w:vMerge/>
            <w:tcBorders>
              <w:bottom w:val="single" w:sz="4" w:space="0" w:color="auto"/>
            </w:tcBorders>
            <w:vAlign w:val="bottom"/>
            <w:hideMark/>
          </w:tcPr>
          <w:p w14:paraId="267D0791" w14:textId="77777777" w:rsidR="008D7B10" w:rsidRPr="00872D7E" w:rsidRDefault="008D7B10" w:rsidP="00033CCA">
            <w:pPr>
              <w:rPr>
                <w:sz w:val="18"/>
                <w:szCs w:val="18"/>
              </w:rPr>
            </w:pPr>
          </w:p>
        </w:tc>
      </w:tr>
      <w:tr w:rsidR="008D7B10" w:rsidRPr="00872D7E" w14:paraId="6E92A82F" w14:textId="77777777" w:rsidTr="008D7B10">
        <w:trPr>
          <w:trHeight w:val="20"/>
        </w:trPr>
        <w:tc>
          <w:tcPr>
            <w:tcW w:w="1336" w:type="pct"/>
            <w:tcBorders>
              <w:top w:val="single" w:sz="4" w:space="0" w:color="auto"/>
            </w:tcBorders>
            <w:shd w:val="clear" w:color="auto" w:fill="auto"/>
            <w:noWrap/>
            <w:vAlign w:val="bottom"/>
          </w:tcPr>
          <w:p w14:paraId="53FBAACB" w14:textId="77777777" w:rsidR="008D7B10" w:rsidRPr="00872D7E" w:rsidRDefault="008D7B10" w:rsidP="00033CCA">
            <w:pPr>
              <w:rPr>
                <w:sz w:val="18"/>
                <w:szCs w:val="18"/>
              </w:rPr>
            </w:pPr>
          </w:p>
        </w:tc>
        <w:tc>
          <w:tcPr>
            <w:tcW w:w="602" w:type="pct"/>
            <w:tcBorders>
              <w:top w:val="single" w:sz="4" w:space="0" w:color="auto"/>
            </w:tcBorders>
            <w:shd w:val="clear" w:color="auto" w:fill="auto"/>
            <w:noWrap/>
            <w:vAlign w:val="bottom"/>
          </w:tcPr>
          <w:p w14:paraId="78D4148B" w14:textId="77777777" w:rsidR="008D7B10" w:rsidRPr="00872D7E" w:rsidRDefault="008D7B10" w:rsidP="00033CCA">
            <w:pPr>
              <w:jc w:val="right"/>
              <w:rPr>
                <w:sz w:val="18"/>
                <w:szCs w:val="18"/>
              </w:rPr>
            </w:pPr>
          </w:p>
        </w:tc>
        <w:tc>
          <w:tcPr>
            <w:tcW w:w="627" w:type="pct"/>
            <w:tcBorders>
              <w:top w:val="single" w:sz="4" w:space="0" w:color="auto"/>
            </w:tcBorders>
            <w:shd w:val="clear" w:color="auto" w:fill="auto"/>
            <w:noWrap/>
            <w:vAlign w:val="bottom"/>
          </w:tcPr>
          <w:p w14:paraId="7B2520CA" w14:textId="77777777" w:rsidR="008D7B10" w:rsidRPr="00872D7E" w:rsidRDefault="008D7B10" w:rsidP="00033CCA">
            <w:pPr>
              <w:jc w:val="right"/>
              <w:rPr>
                <w:sz w:val="18"/>
                <w:szCs w:val="18"/>
              </w:rPr>
            </w:pPr>
          </w:p>
        </w:tc>
        <w:tc>
          <w:tcPr>
            <w:tcW w:w="602" w:type="pct"/>
            <w:tcBorders>
              <w:top w:val="single" w:sz="4" w:space="0" w:color="auto"/>
            </w:tcBorders>
            <w:shd w:val="clear" w:color="auto" w:fill="auto"/>
            <w:noWrap/>
            <w:vAlign w:val="bottom"/>
          </w:tcPr>
          <w:p w14:paraId="5A67CECE" w14:textId="77777777" w:rsidR="008D7B10" w:rsidRPr="00872D7E" w:rsidRDefault="008D7B10" w:rsidP="00033CCA">
            <w:pPr>
              <w:jc w:val="right"/>
              <w:rPr>
                <w:sz w:val="18"/>
                <w:szCs w:val="18"/>
              </w:rPr>
            </w:pPr>
          </w:p>
        </w:tc>
        <w:tc>
          <w:tcPr>
            <w:tcW w:w="629" w:type="pct"/>
            <w:tcBorders>
              <w:top w:val="single" w:sz="4" w:space="0" w:color="auto"/>
            </w:tcBorders>
            <w:shd w:val="clear" w:color="auto" w:fill="auto"/>
            <w:noWrap/>
            <w:vAlign w:val="bottom"/>
          </w:tcPr>
          <w:p w14:paraId="5B75A48D" w14:textId="77777777" w:rsidR="008D7B10" w:rsidRPr="00872D7E" w:rsidRDefault="008D7B10" w:rsidP="00033CCA">
            <w:pPr>
              <w:jc w:val="right"/>
              <w:rPr>
                <w:sz w:val="18"/>
                <w:szCs w:val="18"/>
              </w:rPr>
            </w:pPr>
          </w:p>
        </w:tc>
        <w:tc>
          <w:tcPr>
            <w:tcW w:w="602" w:type="pct"/>
            <w:tcBorders>
              <w:top w:val="single" w:sz="4" w:space="0" w:color="auto"/>
            </w:tcBorders>
            <w:shd w:val="clear" w:color="auto" w:fill="auto"/>
            <w:vAlign w:val="bottom"/>
          </w:tcPr>
          <w:p w14:paraId="4B36AEC2" w14:textId="77777777" w:rsidR="008D7B10" w:rsidRPr="00872D7E" w:rsidRDefault="008D7B10" w:rsidP="00033CCA">
            <w:pPr>
              <w:jc w:val="right"/>
              <w:rPr>
                <w:sz w:val="18"/>
                <w:szCs w:val="18"/>
              </w:rPr>
            </w:pPr>
          </w:p>
        </w:tc>
        <w:tc>
          <w:tcPr>
            <w:tcW w:w="602" w:type="pct"/>
            <w:tcBorders>
              <w:top w:val="single" w:sz="4" w:space="0" w:color="auto"/>
            </w:tcBorders>
            <w:shd w:val="clear" w:color="auto" w:fill="auto"/>
            <w:vAlign w:val="bottom"/>
          </w:tcPr>
          <w:p w14:paraId="0BDB13C8" w14:textId="77777777" w:rsidR="008D7B10" w:rsidRPr="00872D7E" w:rsidRDefault="008D7B10" w:rsidP="00033CCA">
            <w:pPr>
              <w:jc w:val="right"/>
              <w:rPr>
                <w:sz w:val="18"/>
                <w:szCs w:val="18"/>
              </w:rPr>
            </w:pPr>
          </w:p>
        </w:tc>
      </w:tr>
      <w:tr w:rsidR="008D7B10" w:rsidRPr="00872D7E" w14:paraId="25894A5B" w14:textId="77777777" w:rsidTr="008D7B10">
        <w:trPr>
          <w:trHeight w:val="20"/>
        </w:trPr>
        <w:tc>
          <w:tcPr>
            <w:tcW w:w="1336" w:type="pct"/>
            <w:shd w:val="clear" w:color="auto" w:fill="auto"/>
            <w:noWrap/>
            <w:vAlign w:val="bottom"/>
            <w:hideMark/>
          </w:tcPr>
          <w:p w14:paraId="0B4B0CB0" w14:textId="77777777" w:rsidR="008D7B10" w:rsidRPr="00872D7E" w:rsidRDefault="008D7B10" w:rsidP="008D7B10">
            <w:pPr>
              <w:rPr>
                <w:sz w:val="18"/>
                <w:szCs w:val="18"/>
              </w:rPr>
            </w:pPr>
            <w:proofErr w:type="gramStart"/>
            <w:r w:rsidRPr="00872D7E">
              <w:rPr>
                <w:sz w:val="18"/>
                <w:szCs w:val="18"/>
              </w:rPr>
              <w:t>Nakit -</w:t>
            </w:r>
            <w:proofErr w:type="gramEnd"/>
            <w:r w:rsidRPr="00872D7E">
              <w:rPr>
                <w:sz w:val="18"/>
                <w:szCs w:val="18"/>
              </w:rPr>
              <w:t xml:space="preserve"> yerli para</w:t>
            </w:r>
          </w:p>
        </w:tc>
        <w:tc>
          <w:tcPr>
            <w:tcW w:w="602" w:type="pct"/>
            <w:shd w:val="clear" w:color="auto" w:fill="auto"/>
            <w:noWrap/>
            <w:vAlign w:val="center"/>
          </w:tcPr>
          <w:p w14:paraId="593267EB" w14:textId="2675B05F" w:rsidR="008D7B10" w:rsidRPr="00872D7E" w:rsidRDefault="008D7B10" w:rsidP="008D7B10">
            <w:pPr>
              <w:jc w:val="right"/>
              <w:rPr>
                <w:sz w:val="18"/>
                <w:szCs w:val="18"/>
              </w:rPr>
            </w:pPr>
            <w:r w:rsidRPr="00872D7E">
              <w:rPr>
                <w:color w:val="000000"/>
                <w:sz w:val="18"/>
                <w:szCs w:val="18"/>
              </w:rPr>
              <w:t>101.673</w:t>
            </w:r>
          </w:p>
        </w:tc>
        <w:tc>
          <w:tcPr>
            <w:tcW w:w="627" w:type="pct"/>
            <w:shd w:val="clear" w:color="auto" w:fill="auto"/>
            <w:noWrap/>
            <w:vAlign w:val="center"/>
          </w:tcPr>
          <w:p w14:paraId="7DC9941C" w14:textId="59AA149F"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noWrap/>
            <w:vAlign w:val="center"/>
          </w:tcPr>
          <w:p w14:paraId="3943EC09" w14:textId="50916327" w:rsidR="008D7B10" w:rsidRPr="00872D7E" w:rsidRDefault="008D7B10" w:rsidP="008D7B10">
            <w:pPr>
              <w:jc w:val="right"/>
              <w:rPr>
                <w:sz w:val="18"/>
                <w:szCs w:val="18"/>
              </w:rPr>
            </w:pPr>
            <w:r w:rsidRPr="00872D7E">
              <w:rPr>
                <w:color w:val="000000"/>
                <w:sz w:val="18"/>
                <w:szCs w:val="18"/>
              </w:rPr>
              <w:t>-</w:t>
            </w:r>
          </w:p>
        </w:tc>
        <w:tc>
          <w:tcPr>
            <w:tcW w:w="629" w:type="pct"/>
            <w:shd w:val="clear" w:color="auto" w:fill="auto"/>
            <w:noWrap/>
            <w:vAlign w:val="center"/>
          </w:tcPr>
          <w:p w14:paraId="7DC2E477" w14:textId="2FC31DE5" w:rsidR="008D7B10" w:rsidRPr="00872D7E" w:rsidRDefault="008D7B10" w:rsidP="008D7B10">
            <w:pPr>
              <w:jc w:val="right"/>
              <w:rPr>
                <w:sz w:val="18"/>
                <w:szCs w:val="18"/>
              </w:rPr>
            </w:pPr>
            <w:r w:rsidRPr="00872D7E">
              <w:rPr>
                <w:color w:val="000000"/>
                <w:sz w:val="18"/>
                <w:szCs w:val="18"/>
              </w:rPr>
              <w:t>475.539</w:t>
            </w:r>
          </w:p>
        </w:tc>
        <w:tc>
          <w:tcPr>
            <w:tcW w:w="602" w:type="pct"/>
            <w:shd w:val="clear" w:color="auto" w:fill="auto"/>
            <w:vAlign w:val="center"/>
          </w:tcPr>
          <w:p w14:paraId="38C3A935" w14:textId="2A3BF371"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453F3962" w14:textId="19406E78" w:rsidR="008D7B10" w:rsidRPr="00872D7E" w:rsidRDefault="008D7B10" w:rsidP="008D7B10">
            <w:pPr>
              <w:jc w:val="right"/>
              <w:rPr>
                <w:sz w:val="18"/>
                <w:szCs w:val="18"/>
              </w:rPr>
            </w:pPr>
            <w:r w:rsidRPr="00872D7E">
              <w:rPr>
                <w:color w:val="000000"/>
                <w:sz w:val="18"/>
                <w:szCs w:val="18"/>
              </w:rPr>
              <w:t>-</w:t>
            </w:r>
          </w:p>
        </w:tc>
      </w:tr>
      <w:tr w:rsidR="008D7B10" w:rsidRPr="00872D7E" w14:paraId="5C0626CF" w14:textId="77777777" w:rsidTr="008D7B10">
        <w:trPr>
          <w:trHeight w:val="20"/>
        </w:trPr>
        <w:tc>
          <w:tcPr>
            <w:tcW w:w="1336" w:type="pct"/>
            <w:shd w:val="clear" w:color="auto" w:fill="auto"/>
            <w:noWrap/>
            <w:vAlign w:val="bottom"/>
            <w:hideMark/>
          </w:tcPr>
          <w:p w14:paraId="1EF6522A" w14:textId="77777777" w:rsidR="008D7B10" w:rsidRPr="00872D7E" w:rsidRDefault="008D7B10" w:rsidP="008D7B10">
            <w:pPr>
              <w:rPr>
                <w:sz w:val="18"/>
                <w:szCs w:val="18"/>
              </w:rPr>
            </w:pPr>
            <w:proofErr w:type="gramStart"/>
            <w:r w:rsidRPr="00872D7E">
              <w:rPr>
                <w:sz w:val="18"/>
                <w:szCs w:val="18"/>
              </w:rPr>
              <w:t>Nakit -</w:t>
            </w:r>
            <w:proofErr w:type="gramEnd"/>
            <w:r w:rsidRPr="00872D7E">
              <w:rPr>
                <w:sz w:val="18"/>
                <w:szCs w:val="18"/>
              </w:rPr>
              <w:t xml:space="preserve"> yabancı para</w:t>
            </w:r>
          </w:p>
        </w:tc>
        <w:tc>
          <w:tcPr>
            <w:tcW w:w="602" w:type="pct"/>
            <w:shd w:val="clear" w:color="auto" w:fill="auto"/>
            <w:noWrap/>
            <w:vAlign w:val="center"/>
          </w:tcPr>
          <w:p w14:paraId="6ABAC536" w14:textId="7AB92CAC" w:rsidR="008D7B10" w:rsidRPr="00872D7E" w:rsidRDefault="008D7B10" w:rsidP="008D7B10">
            <w:pPr>
              <w:jc w:val="right"/>
              <w:rPr>
                <w:sz w:val="18"/>
                <w:szCs w:val="18"/>
              </w:rPr>
            </w:pPr>
            <w:r w:rsidRPr="00872D7E">
              <w:rPr>
                <w:color w:val="000000"/>
                <w:sz w:val="18"/>
                <w:szCs w:val="18"/>
              </w:rPr>
              <w:t>-</w:t>
            </w:r>
          </w:p>
        </w:tc>
        <w:tc>
          <w:tcPr>
            <w:tcW w:w="627" w:type="pct"/>
            <w:shd w:val="clear" w:color="auto" w:fill="auto"/>
            <w:noWrap/>
            <w:vAlign w:val="center"/>
          </w:tcPr>
          <w:p w14:paraId="1A2C8C0D" w14:textId="1DEB3269"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noWrap/>
            <w:vAlign w:val="center"/>
          </w:tcPr>
          <w:p w14:paraId="3A05839F" w14:textId="20DFA863" w:rsidR="008D7B10" w:rsidRPr="00872D7E" w:rsidRDefault="008D7B10" w:rsidP="008D7B10">
            <w:pPr>
              <w:jc w:val="right"/>
              <w:rPr>
                <w:sz w:val="18"/>
                <w:szCs w:val="18"/>
              </w:rPr>
            </w:pPr>
            <w:r w:rsidRPr="00872D7E">
              <w:rPr>
                <w:color w:val="000000"/>
                <w:sz w:val="18"/>
                <w:szCs w:val="18"/>
              </w:rPr>
              <w:t>-</w:t>
            </w:r>
          </w:p>
        </w:tc>
        <w:tc>
          <w:tcPr>
            <w:tcW w:w="629" w:type="pct"/>
            <w:shd w:val="clear" w:color="auto" w:fill="auto"/>
            <w:noWrap/>
            <w:vAlign w:val="center"/>
          </w:tcPr>
          <w:p w14:paraId="00974DBF" w14:textId="537BB22D"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478E49D7" w14:textId="06E91600"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38B39273" w14:textId="3E0441B1" w:rsidR="008D7B10" w:rsidRPr="00872D7E" w:rsidRDefault="008D7B10" w:rsidP="008D7B10">
            <w:pPr>
              <w:jc w:val="right"/>
              <w:rPr>
                <w:sz w:val="18"/>
                <w:szCs w:val="18"/>
              </w:rPr>
            </w:pPr>
            <w:r w:rsidRPr="00872D7E">
              <w:rPr>
                <w:color w:val="000000"/>
                <w:sz w:val="18"/>
                <w:szCs w:val="18"/>
              </w:rPr>
              <w:t>-</w:t>
            </w:r>
          </w:p>
        </w:tc>
      </w:tr>
      <w:tr w:rsidR="008D7B10" w:rsidRPr="00872D7E" w14:paraId="03BC664B" w14:textId="77777777" w:rsidTr="008D7B10">
        <w:trPr>
          <w:trHeight w:val="20"/>
        </w:trPr>
        <w:tc>
          <w:tcPr>
            <w:tcW w:w="1336" w:type="pct"/>
            <w:shd w:val="clear" w:color="auto" w:fill="auto"/>
            <w:noWrap/>
            <w:vAlign w:val="bottom"/>
            <w:hideMark/>
          </w:tcPr>
          <w:p w14:paraId="730BB5A7" w14:textId="77777777" w:rsidR="008D7B10" w:rsidRPr="00872D7E" w:rsidRDefault="008D7B10" w:rsidP="008D7B10">
            <w:pPr>
              <w:rPr>
                <w:sz w:val="18"/>
                <w:szCs w:val="18"/>
              </w:rPr>
            </w:pPr>
            <w:r w:rsidRPr="00872D7E">
              <w:rPr>
                <w:sz w:val="18"/>
                <w:szCs w:val="18"/>
              </w:rPr>
              <w:t>Devlet tahvil/</w:t>
            </w:r>
            <w:proofErr w:type="gramStart"/>
            <w:r w:rsidRPr="00872D7E">
              <w:rPr>
                <w:sz w:val="18"/>
                <w:szCs w:val="18"/>
              </w:rPr>
              <w:t>bono -</w:t>
            </w:r>
            <w:proofErr w:type="gramEnd"/>
            <w:r w:rsidRPr="00872D7E">
              <w:rPr>
                <w:sz w:val="18"/>
                <w:szCs w:val="18"/>
              </w:rPr>
              <w:t xml:space="preserve"> yerli</w:t>
            </w:r>
          </w:p>
        </w:tc>
        <w:tc>
          <w:tcPr>
            <w:tcW w:w="602" w:type="pct"/>
            <w:shd w:val="clear" w:color="auto" w:fill="auto"/>
            <w:noWrap/>
            <w:vAlign w:val="center"/>
          </w:tcPr>
          <w:p w14:paraId="2344BB6F" w14:textId="228FDB4C" w:rsidR="008D7B10" w:rsidRPr="00872D7E" w:rsidRDefault="008D7B10" w:rsidP="008D7B10">
            <w:pPr>
              <w:jc w:val="right"/>
              <w:rPr>
                <w:sz w:val="18"/>
                <w:szCs w:val="18"/>
              </w:rPr>
            </w:pPr>
            <w:r w:rsidRPr="00872D7E">
              <w:rPr>
                <w:color w:val="000000"/>
                <w:sz w:val="18"/>
                <w:szCs w:val="18"/>
              </w:rPr>
              <w:t>-</w:t>
            </w:r>
          </w:p>
        </w:tc>
        <w:tc>
          <w:tcPr>
            <w:tcW w:w="627" w:type="pct"/>
            <w:shd w:val="clear" w:color="auto" w:fill="auto"/>
            <w:noWrap/>
            <w:vAlign w:val="center"/>
          </w:tcPr>
          <w:p w14:paraId="1ED75D3B" w14:textId="47DB921D"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noWrap/>
            <w:vAlign w:val="center"/>
          </w:tcPr>
          <w:p w14:paraId="472053FC" w14:textId="73071442" w:rsidR="008D7B10" w:rsidRPr="00872D7E" w:rsidRDefault="008D7B10" w:rsidP="008D7B10">
            <w:pPr>
              <w:jc w:val="right"/>
              <w:rPr>
                <w:sz w:val="18"/>
                <w:szCs w:val="18"/>
              </w:rPr>
            </w:pPr>
            <w:r w:rsidRPr="00872D7E">
              <w:rPr>
                <w:color w:val="000000"/>
                <w:sz w:val="18"/>
                <w:szCs w:val="18"/>
              </w:rPr>
              <w:t>-</w:t>
            </w:r>
          </w:p>
        </w:tc>
        <w:tc>
          <w:tcPr>
            <w:tcW w:w="629" w:type="pct"/>
            <w:shd w:val="clear" w:color="auto" w:fill="auto"/>
            <w:noWrap/>
            <w:vAlign w:val="center"/>
          </w:tcPr>
          <w:p w14:paraId="3E42C330" w14:textId="4D502CBD"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2246DDB5" w14:textId="4D8D0DDD" w:rsidR="008D7B10" w:rsidRPr="00872D7E" w:rsidRDefault="008D7B10" w:rsidP="008D7B10">
            <w:pPr>
              <w:jc w:val="right"/>
              <w:rPr>
                <w:sz w:val="18"/>
                <w:szCs w:val="18"/>
              </w:rPr>
            </w:pPr>
            <w:r w:rsidRPr="00872D7E">
              <w:rPr>
                <w:color w:val="000000"/>
                <w:sz w:val="18"/>
                <w:szCs w:val="18"/>
              </w:rPr>
              <w:t>475.539</w:t>
            </w:r>
          </w:p>
        </w:tc>
        <w:tc>
          <w:tcPr>
            <w:tcW w:w="602" w:type="pct"/>
            <w:shd w:val="clear" w:color="auto" w:fill="auto"/>
            <w:vAlign w:val="center"/>
          </w:tcPr>
          <w:p w14:paraId="13B4375B" w14:textId="05493D2F" w:rsidR="008D7B10" w:rsidRPr="00872D7E" w:rsidRDefault="008D7B10" w:rsidP="008D7B10">
            <w:pPr>
              <w:jc w:val="right"/>
              <w:rPr>
                <w:sz w:val="18"/>
                <w:szCs w:val="18"/>
              </w:rPr>
            </w:pPr>
            <w:r w:rsidRPr="00872D7E">
              <w:rPr>
                <w:color w:val="000000"/>
                <w:sz w:val="18"/>
                <w:szCs w:val="18"/>
              </w:rPr>
              <w:t>-</w:t>
            </w:r>
          </w:p>
        </w:tc>
      </w:tr>
      <w:tr w:rsidR="008D7B10" w:rsidRPr="00872D7E" w14:paraId="777E3949" w14:textId="77777777" w:rsidTr="008D7B10">
        <w:trPr>
          <w:trHeight w:val="20"/>
        </w:trPr>
        <w:tc>
          <w:tcPr>
            <w:tcW w:w="1336" w:type="pct"/>
            <w:shd w:val="clear" w:color="auto" w:fill="auto"/>
            <w:noWrap/>
            <w:vAlign w:val="bottom"/>
            <w:hideMark/>
          </w:tcPr>
          <w:p w14:paraId="6DAD029E" w14:textId="77777777" w:rsidR="008D7B10" w:rsidRPr="00872D7E" w:rsidRDefault="008D7B10" w:rsidP="008D7B10">
            <w:pPr>
              <w:rPr>
                <w:sz w:val="18"/>
                <w:szCs w:val="18"/>
              </w:rPr>
            </w:pPr>
            <w:r w:rsidRPr="00872D7E">
              <w:rPr>
                <w:sz w:val="18"/>
                <w:szCs w:val="18"/>
              </w:rPr>
              <w:t>Devlet tahvil/</w:t>
            </w:r>
            <w:proofErr w:type="gramStart"/>
            <w:r w:rsidRPr="00872D7E">
              <w:rPr>
                <w:sz w:val="18"/>
                <w:szCs w:val="18"/>
              </w:rPr>
              <w:t>bono -</w:t>
            </w:r>
            <w:proofErr w:type="gramEnd"/>
            <w:r w:rsidRPr="00872D7E">
              <w:rPr>
                <w:sz w:val="18"/>
                <w:szCs w:val="18"/>
              </w:rPr>
              <w:t xml:space="preserve"> diğer</w:t>
            </w:r>
          </w:p>
        </w:tc>
        <w:tc>
          <w:tcPr>
            <w:tcW w:w="602" w:type="pct"/>
            <w:shd w:val="clear" w:color="auto" w:fill="auto"/>
            <w:noWrap/>
            <w:vAlign w:val="center"/>
          </w:tcPr>
          <w:p w14:paraId="214A4A28" w14:textId="1928F3A0" w:rsidR="008D7B10" w:rsidRPr="00872D7E" w:rsidRDefault="008D7B10" w:rsidP="008D7B10">
            <w:pPr>
              <w:jc w:val="right"/>
              <w:rPr>
                <w:sz w:val="18"/>
                <w:szCs w:val="18"/>
              </w:rPr>
            </w:pPr>
            <w:r w:rsidRPr="00872D7E">
              <w:rPr>
                <w:color w:val="000000"/>
                <w:sz w:val="18"/>
                <w:szCs w:val="18"/>
              </w:rPr>
              <w:t>-</w:t>
            </w:r>
          </w:p>
        </w:tc>
        <w:tc>
          <w:tcPr>
            <w:tcW w:w="627" w:type="pct"/>
            <w:shd w:val="clear" w:color="auto" w:fill="auto"/>
            <w:noWrap/>
            <w:vAlign w:val="center"/>
          </w:tcPr>
          <w:p w14:paraId="3A0BA398" w14:textId="32E6474A"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noWrap/>
            <w:vAlign w:val="center"/>
          </w:tcPr>
          <w:p w14:paraId="6B8FC77F" w14:textId="7303F641" w:rsidR="008D7B10" w:rsidRPr="00872D7E" w:rsidRDefault="008D7B10" w:rsidP="008D7B10">
            <w:pPr>
              <w:jc w:val="right"/>
              <w:rPr>
                <w:sz w:val="18"/>
                <w:szCs w:val="18"/>
              </w:rPr>
            </w:pPr>
            <w:r w:rsidRPr="00872D7E">
              <w:rPr>
                <w:color w:val="000000"/>
                <w:sz w:val="18"/>
                <w:szCs w:val="18"/>
              </w:rPr>
              <w:t>-</w:t>
            </w:r>
          </w:p>
        </w:tc>
        <w:tc>
          <w:tcPr>
            <w:tcW w:w="629" w:type="pct"/>
            <w:shd w:val="clear" w:color="auto" w:fill="auto"/>
            <w:noWrap/>
            <w:vAlign w:val="center"/>
          </w:tcPr>
          <w:p w14:paraId="05E545B5" w14:textId="171A33F8"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47AFD9E4" w14:textId="6CB1366A"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4046CEF4" w14:textId="310EBC14" w:rsidR="008D7B10" w:rsidRPr="00872D7E" w:rsidRDefault="008D7B10" w:rsidP="008D7B10">
            <w:pPr>
              <w:jc w:val="right"/>
              <w:rPr>
                <w:sz w:val="18"/>
                <w:szCs w:val="18"/>
              </w:rPr>
            </w:pPr>
            <w:r w:rsidRPr="00872D7E">
              <w:rPr>
                <w:color w:val="000000"/>
                <w:sz w:val="18"/>
                <w:szCs w:val="18"/>
              </w:rPr>
              <w:t>-</w:t>
            </w:r>
          </w:p>
        </w:tc>
      </w:tr>
      <w:tr w:rsidR="008D7B10" w:rsidRPr="00872D7E" w14:paraId="413BBDB3" w14:textId="77777777" w:rsidTr="008D7B10">
        <w:trPr>
          <w:trHeight w:val="20"/>
        </w:trPr>
        <w:tc>
          <w:tcPr>
            <w:tcW w:w="1336" w:type="pct"/>
            <w:shd w:val="clear" w:color="auto" w:fill="auto"/>
            <w:noWrap/>
            <w:vAlign w:val="bottom"/>
            <w:hideMark/>
          </w:tcPr>
          <w:p w14:paraId="40688CC5" w14:textId="77777777" w:rsidR="008D7B10" w:rsidRPr="00872D7E" w:rsidRDefault="008D7B10" w:rsidP="008D7B10">
            <w:pPr>
              <w:rPr>
                <w:sz w:val="18"/>
                <w:szCs w:val="18"/>
              </w:rPr>
            </w:pPr>
            <w:r w:rsidRPr="00872D7E">
              <w:rPr>
                <w:sz w:val="18"/>
                <w:szCs w:val="18"/>
              </w:rPr>
              <w:t>Kamu kurum tahvil/bono</w:t>
            </w:r>
          </w:p>
        </w:tc>
        <w:tc>
          <w:tcPr>
            <w:tcW w:w="602" w:type="pct"/>
            <w:shd w:val="clear" w:color="auto" w:fill="auto"/>
            <w:noWrap/>
            <w:vAlign w:val="center"/>
          </w:tcPr>
          <w:p w14:paraId="05ED4719" w14:textId="6F13A045" w:rsidR="008D7B10" w:rsidRPr="00872D7E" w:rsidRDefault="008D7B10" w:rsidP="008D7B10">
            <w:pPr>
              <w:jc w:val="right"/>
              <w:rPr>
                <w:sz w:val="18"/>
                <w:szCs w:val="18"/>
              </w:rPr>
            </w:pPr>
            <w:r w:rsidRPr="00872D7E">
              <w:rPr>
                <w:color w:val="000000"/>
                <w:sz w:val="18"/>
                <w:szCs w:val="18"/>
              </w:rPr>
              <w:t>-</w:t>
            </w:r>
          </w:p>
        </w:tc>
        <w:tc>
          <w:tcPr>
            <w:tcW w:w="627" w:type="pct"/>
            <w:shd w:val="clear" w:color="auto" w:fill="auto"/>
            <w:noWrap/>
            <w:vAlign w:val="center"/>
          </w:tcPr>
          <w:p w14:paraId="7ACD4246" w14:textId="79416F0F"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noWrap/>
            <w:vAlign w:val="center"/>
          </w:tcPr>
          <w:p w14:paraId="2F74807A" w14:textId="0737842D" w:rsidR="008D7B10" w:rsidRPr="00872D7E" w:rsidRDefault="008D7B10" w:rsidP="008D7B10">
            <w:pPr>
              <w:jc w:val="right"/>
              <w:rPr>
                <w:sz w:val="18"/>
                <w:szCs w:val="18"/>
              </w:rPr>
            </w:pPr>
            <w:r w:rsidRPr="00872D7E">
              <w:rPr>
                <w:color w:val="000000"/>
                <w:sz w:val="18"/>
                <w:szCs w:val="18"/>
              </w:rPr>
              <w:t>-</w:t>
            </w:r>
          </w:p>
        </w:tc>
        <w:tc>
          <w:tcPr>
            <w:tcW w:w="629" w:type="pct"/>
            <w:shd w:val="clear" w:color="auto" w:fill="auto"/>
            <w:noWrap/>
            <w:vAlign w:val="center"/>
          </w:tcPr>
          <w:p w14:paraId="23718457" w14:textId="759A5201"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54EEC40A" w14:textId="54618682"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66E38394" w14:textId="00143083" w:rsidR="008D7B10" w:rsidRPr="00872D7E" w:rsidRDefault="008D7B10" w:rsidP="008D7B10">
            <w:pPr>
              <w:jc w:val="right"/>
              <w:rPr>
                <w:sz w:val="18"/>
                <w:szCs w:val="18"/>
              </w:rPr>
            </w:pPr>
            <w:r w:rsidRPr="00872D7E">
              <w:rPr>
                <w:color w:val="000000"/>
                <w:sz w:val="18"/>
                <w:szCs w:val="18"/>
              </w:rPr>
              <w:t>-</w:t>
            </w:r>
          </w:p>
        </w:tc>
      </w:tr>
      <w:tr w:rsidR="008D7B10" w:rsidRPr="00872D7E" w14:paraId="29D7D215" w14:textId="77777777" w:rsidTr="008D7B10">
        <w:trPr>
          <w:trHeight w:val="20"/>
        </w:trPr>
        <w:tc>
          <w:tcPr>
            <w:tcW w:w="1336" w:type="pct"/>
            <w:shd w:val="clear" w:color="auto" w:fill="auto"/>
            <w:noWrap/>
            <w:vAlign w:val="bottom"/>
            <w:hideMark/>
          </w:tcPr>
          <w:p w14:paraId="2BE95C50" w14:textId="77777777" w:rsidR="008D7B10" w:rsidRPr="00872D7E" w:rsidRDefault="008D7B10" w:rsidP="008D7B10">
            <w:pPr>
              <w:rPr>
                <w:sz w:val="18"/>
                <w:szCs w:val="18"/>
              </w:rPr>
            </w:pPr>
            <w:r w:rsidRPr="00872D7E">
              <w:rPr>
                <w:sz w:val="18"/>
                <w:szCs w:val="18"/>
              </w:rPr>
              <w:t>Kurumsal tahvil/bono</w:t>
            </w:r>
          </w:p>
        </w:tc>
        <w:tc>
          <w:tcPr>
            <w:tcW w:w="602" w:type="pct"/>
            <w:shd w:val="clear" w:color="auto" w:fill="auto"/>
            <w:noWrap/>
            <w:vAlign w:val="center"/>
          </w:tcPr>
          <w:p w14:paraId="32872C33" w14:textId="08939BEA" w:rsidR="008D7B10" w:rsidRPr="00872D7E" w:rsidRDefault="008D7B10" w:rsidP="008D7B10">
            <w:pPr>
              <w:jc w:val="right"/>
              <w:rPr>
                <w:sz w:val="18"/>
                <w:szCs w:val="18"/>
              </w:rPr>
            </w:pPr>
            <w:r w:rsidRPr="00872D7E">
              <w:rPr>
                <w:color w:val="000000"/>
                <w:sz w:val="18"/>
                <w:szCs w:val="18"/>
              </w:rPr>
              <w:t>-</w:t>
            </w:r>
          </w:p>
        </w:tc>
        <w:tc>
          <w:tcPr>
            <w:tcW w:w="627" w:type="pct"/>
            <w:shd w:val="clear" w:color="auto" w:fill="auto"/>
            <w:noWrap/>
            <w:vAlign w:val="center"/>
          </w:tcPr>
          <w:p w14:paraId="06B770C8" w14:textId="6E01E0EA"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noWrap/>
            <w:vAlign w:val="center"/>
          </w:tcPr>
          <w:p w14:paraId="466E4A60" w14:textId="7C328118" w:rsidR="008D7B10" w:rsidRPr="00872D7E" w:rsidRDefault="008D7B10" w:rsidP="008D7B10">
            <w:pPr>
              <w:jc w:val="right"/>
              <w:rPr>
                <w:sz w:val="18"/>
                <w:szCs w:val="18"/>
              </w:rPr>
            </w:pPr>
            <w:r w:rsidRPr="00872D7E">
              <w:rPr>
                <w:color w:val="000000"/>
                <w:sz w:val="18"/>
                <w:szCs w:val="18"/>
              </w:rPr>
              <w:t>-</w:t>
            </w:r>
          </w:p>
        </w:tc>
        <w:tc>
          <w:tcPr>
            <w:tcW w:w="629" w:type="pct"/>
            <w:shd w:val="clear" w:color="auto" w:fill="auto"/>
            <w:noWrap/>
            <w:vAlign w:val="center"/>
          </w:tcPr>
          <w:p w14:paraId="102814AD" w14:textId="700DEEB0"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6CADF57B" w14:textId="22B6BDE6"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68AF5835" w14:textId="2BE90DCF" w:rsidR="008D7B10" w:rsidRPr="00872D7E" w:rsidRDefault="008D7B10" w:rsidP="008D7B10">
            <w:pPr>
              <w:jc w:val="right"/>
              <w:rPr>
                <w:sz w:val="18"/>
                <w:szCs w:val="18"/>
              </w:rPr>
            </w:pPr>
            <w:r w:rsidRPr="00872D7E">
              <w:rPr>
                <w:color w:val="000000"/>
                <w:sz w:val="18"/>
                <w:szCs w:val="18"/>
              </w:rPr>
              <w:t>-</w:t>
            </w:r>
          </w:p>
        </w:tc>
      </w:tr>
      <w:tr w:rsidR="008D7B10" w:rsidRPr="00872D7E" w14:paraId="6BD111DD" w14:textId="77777777" w:rsidTr="008D7B10">
        <w:trPr>
          <w:trHeight w:val="20"/>
        </w:trPr>
        <w:tc>
          <w:tcPr>
            <w:tcW w:w="1336" w:type="pct"/>
            <w:shd w:val="clear" w:color="auto" w:fill="auto"/>
            <w:noWrap/>
            <w:vAlign w:val="bottom"/>
            <w:hideMark/>
          </w:tcPr>
          <w:p w14:paraId="57A32786" w14:textId="77777777" w:rsidR="008D7B10" w:rsidRPr="00872D7E" w:rsidRDefault="008D7B10" w:rsidP="008D7B10">
            <w:pPr>
              <w:rPr>
                <w:sz w:val="18"/>
                <w:szCs w:val="18"/>
              </w:rPr>
            </w:pPr>
            <w:r w:rsidRPr="00872D7E">
              <w:rPr>
                <w:sz w:val="18"/>
                <w:szCs w:val="18"/>
              </w:rPr>
              <w:t>Hisse senedi</w:t>
            </w:r>
          </w:p>
        </w:tc>
        <w:tc>
          <w:tcPr>
            <w:tcW w:w="602" w:type="pct"/>
            <w:shd w:val="clear" w:color="auto" w:fill="auto"/>
            <w:noWrap/>
            <w:vAlign w:val="center"/>
          </w:tcPr>
          <w:p w14:paraId="29302CDA" w14:textId="373F79BB" w:rsidR="008D7B10" w:rsidRPr="00872D7E" w:rsidRDefault="008D7B10" w:rsidP="008D7B10">
            <w:pPr>
              <w:jc w:val="right"/>
              <w:rPr>
                <w:sz w:val="18"/>
                <w:szCs w:val="18"/>
              </w:rPr>
            </w:pPr>
            <w:r w:rsidRPr="00872D7E">
              <w:rPr>
                <w:color w:val="000000"/>
                <w:sz w:val="18"/>
                <w:szCs w:val="18"/>
              </w:rPr>
              <w:t>-</w:t>
            </w:r>
          </w:p>
        </w:tc>
        <w:tc>
          <w:tcPr>
            <w:tcW w:w="627" w:type="pct"/>
            <w:shd w:val="clear" w:color="auto" w:fill="auto"/>
            <w:noWrap/>
            <w:vAlign w:val="center"/>
          </w:tcPr>
          <w:p w14:paraId="3835739F" w14:textId="0C293A0C"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75A17F16" w14:textId="5A27DD25" w:rsidR="008D7B10" w:rsidRPr="00872D7E" w:rsidRDefault="008D7B10" w:rsidP="008D7B10">
            <w:pPr>
              <w:jc w:val="right"/>
              <w:rPr>
                <w:sz w:val="18"/>
                <w:szCs w:val="18"/>
              </w:rPr>
            </w:pPr>
            <w:r w:rsidRPr="00872D7E">
              <w:rPr>
                <w:color w:val="000000"/>
                <w:sz w:val="18"/>
                <w:szCs w:val="18"/>
              </w:rPr>
              <w:t>-</w:t>
            </w:r>
          </w:p>
        </w:tc>
        <w:tc>
          <w:tcPr>
            <w:tcW w:w="629" w:type="pct"/>
            <w:shd w:val="clear" w:color="auto" w:fill="auto"/>
            <w:vAlign w:val="center"/>
          </w:tcPr>
          <w:p w14:paraId="4F957783" w14:textId="461FF2FE"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3416B4A2" w14:textId="3DC9112F"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vAlign w:val="center"/>
          </w:tcPr>
          <w:p w14:paraId="661C6EBC" w14:textId="0590D382" w:rsidR="008D7B10" w:rsidRPr="00872D7E" w:rsidRDefault="008D7B10" w:rsidP="008D7B10">
            <w:pPr>
              <w:jc w:val="right"/>
              <w:rPr>
                <w:sz w:val="18"/>
                <w:szCs w:val="18"/>
              </w:rPr>
            </w:pPr>
            <w:r w:rsidRPr="00872D7E">
              <w:rPr>
                <w:color w:val="000000"/>
                <w:sz w:val="18"/>
                <w:szCs w:val="18"/>
              </w:rPr>
              <w:t>-</w:t>
            </w:r>
          </w:p>
        </w:tc>
      </w:tr>
      <w:tr w:rsidR="008D7B10" w:rsidRPr="00872D7E" w14:paraId="1CE2BE6B" w14:textId="77777777" w:rsidTr="008D7B10">
        <w:trPr>
          <w:trHeight w:val="20"/>
        </w:trPr>
        <w:tc>
          <w:tcPr>
            <w:tcW w:w="1336" w:type="pct"/>
            <w:shd w:val="clear" w:color="auto" w:fill="auto"/>
            <w:noWrap/>
            <w:vAlign w:val="bottom"/>
            <w:hideMark/>
          </w:tcPr>
          <w:p w14:paraId="4EA736E2" w14:textId="77777777" w:rsidR="008D7B10" w:rsidRPr="00872D7E" w:rsidRDefault="008D7B10" w:rsidP="008D7B10">
            <w:pPr>
              <w:rPr>
                <w:sz w:val="18"/>
                <w:szCs w:val="18"/>
              </w:rPr>
            </w:pPr>
            <w:r w:rsidRPr="00872D7E">
              <w:rPr>
                <w:sz w:val="18"/>
                <w:szCs w:val="18"/>
              </w:rPr>
              <w:t>Diğer teminat</w:t>
            </w:r>
          </w:p>
        </w:tc>
        <w:tc>
          <w:tcPr>
            <w:tcW w:w="602" w:type="pct"/>
            <w:shd w:val="clear" w:color="auto" w:fill="auto"/>
            <w:noWrap/>
            <w:vAlign w:val="center"/>
          </w:tcPr>
          <w:p w14:paraId="7FF14FA5" w14:textId="72B09D00" w:rsidR="008D7B10" w:rsidRPr="00872D7E" w:rsidRDefault="008D7B10" w:rsidP="008D7B10">
            <w:pPr>
              <w:jc w:val="right"/>
              <w:rPr>
                <w:sz w:val="18"/>
                <w:szCs w:val="18"/>
              </w:rPr>
            </w:pPr>
            <w:r w:rsidRPr="00872D7E">
              <w:rPr>
                <w:color w:val="000000"/>
                <w:sz w:val="18"/>
                <w:szCs w:val="18"/>
              </w:rPr>
              <w:t>-</w:t>
            </w:r>
          </w:p>
        </w:tc>
        <w:tc>
          <w:tcPr>
            <w:tcW w:w="627" w:type="pct"/>
            <w:shd w:val="clear" w:color="auto" w:fill="auto"/>
            <w:noWrap/>
            <w:vAlign w:val="center"/>
          </w:tcPr>
          <w:p w14:paraId="67895B15" w14:textId="70BAFDB3"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noWrap/>
            <w:vAlign w:val="center"/>
          </w:tcPr>
          <w:p w14:paraId="1B78356F" w14:textId="349B73A1" w:rsidR="008D7B10" w:rsidRPr="00872D7E" w:rsidRDefault="008D7B10" w:rsidP="008D7B10">
            <w:pPr>
              <w:jc w:val="right"/>
              <w:rPr>
                <w:sz w:val="18"/>
                <w:szCs w:val="18"/>
              </w:rPr>
            </w:pPr>
            <w:r w:rsidRPr="00872D7E">
              <w:rPr>
                <w:color w:val="000000"/>
                <w:sz w:val="18"/>
                <w:szCs w:val="18"/>
              </w:rPr>
              <w:t>-</w:t>
            </w:r>
          </w:p>
        </w:tc>
        <w:tc>
          <w:tcPr>
            <w:tcW w:w="629" w:type="pct"/>
            <w:shd w:val="clear" w:color="auto" w:fill="auto"/>
            <w:noWrap/>
            <w:vAlign w:val="center"/>
          </w:tcPr>
          <w:p w14:paraId="6DA6A004" w14:textId="52E92D13"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noWrap/>
            <w:vAlign w:val="center"/>
          </w:tcPr>
          <w:p w14:paraId="2C55983D" w14:textId="19B285E0" w:rsidR="008D7B10" w:rsidRPr="00872D7E" w:rsidRDefault="008D7B10" w:rsidP="008D7B10">
            <w:pPr>
              <w:jc w:val="right"/>
              <w:rPr>
                <w:sz w:val="18"/>
                <w:szCs w:val="18"/>
              </w:rPr>
            </w:pPr>
            <w:r w:rsidRPr="00872D7E">
              <w:rPr>
                <w:color w:val="000000"/>
                <w:sz w:val="18"/>
                <w:szCs w:val="18"/>
              </w:rPr>
              <w:t>-</w:t>
            </w:r>
          </w:p>
        </w:tc>
        <w:tc>
          <w:tcPr>
            <w:tcW w:w="602" w:type="pct"/>
            <w:shd w:val="clear" w:color="auto" w:fill="auto"/>
            <w:noWrap/>
            <w:vAlign w:val="center"/>
          </w:tcPr>
          <w:p w14:paraId="6ABE2D74" w14:textId="0EC5AE7B" w:rsidR="008D7B10" w:rsidRPr="00872D7E" w:rsidRDefault="008D7B10" w:rsidP="008D7B10">
            <w:pPr>
              <w:jc w:val="right"/>
              <w:rPr>
                <w:sz w:val="18"/>
                <w:szCs w:val="18"/>
              </w:rPr>
            </w:pPr>
            <w:r w:rsidRPr="00872D7E">
              <w:rPr>
                <w:color w:val="000000"/>
                <w:sz w:val="18"/>
                <w:szCs w:val="18"/>
              </w:rPr>
              <w:t>-</w:t>
            </w:r>
          </w:p>
        </w:tc>
      </w:tr>
      <w:tr w:rsidR="008D7B10" w:rsidRPr="00872D7E" w14:paraId="4234ED2A" w14:textId="77777777" w:rsidTr="00987E11">
        <w:trPr>
          <w:trHeight w:val="20"/>
        </w:trPr>
        <w:tc>
          <w:tcPr>
            <w:tcW w:w="1336" w:type="pct"/>
            <w:tcBorders>
              <w:top w:val="single" w:sz="4" w:space="0" w:color="auto"/>
              <w:bottom w:val="single" w:sz="12" w:space="0" w:color="auto"/>
            </w:tcBorders>
            <w:shd w:val="clear" w:color="auto" w:fill="auto"/>
            <w:noWrap/>
            <w:vAlign w:val="bottom"/>
            <w:hideMark/>
          </w:tcPr>
          <w:p w14:paraId="4D0BCE23" w14:textId="77777777" w:rsidR="008D7B10" w:rsidRPr="00872D7E" w:rsidRDefault="008D7B10" w:rsidP="008D7B10">
            <w:pPr>
              <w:rPr>
                <w:b/>
                <w:sz w:val="18"/>
                <w:szCs w:val="18"/>
              </w:rPr>
            </w:pPr>
            <w:r w:rsidRPr="00872D7E">
              <w:rPr>
                <w:b/>
                <w:sz w:val="18"/>
                <w:szCs w:val="18"/>
              </w:rPr>
              <w:t>Toplam</w:t>
            </w:r>
          </w:p>
        </w:tc>
        <w:tc>
          <w:tcPr>
            <w:tcW w:w="602" w:type="pct"/>
            <w:tcBorders>
              <w:top w:val="single" w:sz="4" w:space="0" w:color="auto"/>
              <w:bottom w:val="single" w:sz="12" w:space="0" w:color="auto"/>
            </w:tcBorders>
            <w:shd w:val="clear" w:color="auto" w:fill="auto"/>
            <w:noWrap/>
            <w:vAlign w:val="center"/>
          </w:tcPr>
          <w:p w14:paraId="58EFEB2E" w14:textId="5F5654C4" w:rsidR="008D7B10" w:rsidRPr="00872D7E" w:rsidRDefault="008D7B10" w:rsidP="008D7B10">
            <w:pPr>
              <w:jc w:val="right"/>
              <w:rPr>
                <w:b/>
                <w:sz w:val="18"/>
                <w:szCs w:val="18"/>
              </w:rPr>
            </w:pPr>
            <w:r w:rsidRPr="00872D7E">
              <w:rPr>
                <w:b/>
                <w:bCs/>
                <w:color w:val="000000"/>
                <w:sz w:val="18"/>
                <w:szCs w:val="18"/>
              </w:rPr>
              <w:t>101.673</w:t>
            </w:r>
          </w:p>
        </w:tc>
        <w:tc>
          <w:tcPr>
            <w:tcW w:w="627" w:type="pct"/>
            <w:tcBorders>
              <w:top w:val="single" w:sz="4" w:space="0" w:color="auto"/>
              <w:bottom w:val="single" w:sz="12" w:space="0" w:color="auto"/>
            </w:tcBorders>
            <w:shd w:val="clear" w:color="auto" w:fill="auto"/>
            <w:noWrap/>
            <w:vAlign w:val="center"/>
          </w:tcPr>
          <w:p w14:paraId="071E3515" w14:textId="04B4D1FC" w:rsidR="008D7B10" w:rsidRPr="00872D7E" w:rsidRDefault="008D7B10" w:rsidP="008D7B10">
            <w:pPr>
              <w:jc w:val="right"/>
              <w:rPr>
                <w:b/>
                <w:sz w:val="18"/>
                <w:szCs w:val="18"/>
              </w:rPr>
            </w:pPr>
            <w:r w:rsidRPr="00872D7E">
              <w:rPr>
                <w:b/>
                <w:bCs/>
                <w:color w:val="000000"/>
                <w:sz w:val="18"/>
                <w:szCs w:val="18"/>
              </w:rPr>
              <w:t>-</w:t>
            </w:r>
          </w:p>
        </w:tc>
        <w:tc>
          <w:tcPr>
            <w:tcW w:w="602" w:type="pct"/>
            <w:tcBorders>
              <w:top w:val="single" w:sz="4" w:space="0" w:color="auto"/>
              <w:bottom w:val="single" w:sz="12" w:space="0" w:color="auto"/>
            </w:tcBorders>
            <w:shd w:val="clear" w:color="auto" w:fill="auto"/>
            <w:noWrap/>
            <w:vAlign w:val="center"/>
          </w:tcPr>
          <w:p w14:paraId="2CE7134A" w14:textId="1A859E04" w:rsidR="008D7B10" w:rsidRPr="00872D7E" w:rsidRDefault="008D7B10" w:rsidP="008D7B10">
            <w:pPr>
              <w:jc w:val="right"/>
              <w:rPr>
                <w:b/>
                <w:sz w:val="18"/>
                <w:szCs w:val="18"/>
              </w:rPr>
            </w:pPr>
            <w:r w:rsidRPr="00872D7E">
              <w:rPr>
                <w:b/>
                <w:bCs/>
                <w:color w:val="000000"/>
                <w:sz w:val="18"/>
                <w:szCs w:val="18"/>
              </w:rPr>
              <w:t>-</w:t>
            </w:r>
          </w:p>
        </w:tc>
        <w:tc>
          <w:tcPr>
            <w:tcW w:w="629" w:type="pct"/>
            <w:tcBorders>
              <w:top w:val="single" w:sz="4" w:space="0" w:color="auto"/>
              <w:bottom w:val="single" w:sz="12" w:space="0" w:color="auto"/>
            </w:tcBorders>
            <w:shd w:val="clear" w:color="auto" w:fill="auto"/>
            <w:noWrap/>
            <w:vAlign w:val="center"/>
          </w:tcPr>
          <w:p w14:paraId="37DBBB40" w14:textId="45B3656A" w:rsidR="008D7B10" w:rsidRPr="00872D7E" w:rsidRDefault="008D7B10" w:rsidP="008D7B10">
            <w:pPr>
              <w:jc w:val="right"/>
              <w:rPr>
                <w:b/>
                <w:sz w:val="18"/>
                <w:szCs w:val="18"/>
              </w:rPr>
            </w:pPr>
            <w:r w:rsidRPr="00872D7E">
              <w:rPr>
                <w:b/>
                <w:bCs/>
                <w:color w:val="000000"/>
                <w:sz w:val="18"/>
                <w:szCs w:val="18"/>
              </w:rPr>
              <w:t>475.539</w:t>
            </w:r>
          </w:p>
        </w:tc>
        <w:tc>
          <w:tcPr>
            <w:tcW w:w="602" w:type="pct"/>
            <w:tcBorders>
              <w:top w:val="single" w:sz="4" w:space="0" w:color="auto"/>
              <w:bottom w:val="single" w:sz="12" w:space="0" w:color="auto"/>
            </w:tcBorders>
            <w:shd w:val="clear" w:color="auto" w:fill="auto"/>
            <w:noWrap/>
            <w:vAlign w:val="center"/>
          </w:tcPr>
          <w:p w14:paraId="03AB5707" w14:textId="3DC6ED8D" w:rsidR="008D7B10" w:rsidRPr="00872D7E" w:rsidRDefault="008D7B10" w:rsidP="008D7B10">
            <w:pPr>
              <w:jc w:val="right"/>
              <w:rPr>
                <w:b/>
                <w:sz w:val="18"/>
                <w:szCs w:val="18"/>
              </w:rPr>
            </w:pPr>
            <w:r w:rsidRPr="00872D7E">
              <w:rPr>
                <w:b/>
                <w:bCs/>
                <w:color w:val="000000"/>
                <w:sz w:val="18"/>
                <w:szCs w:val="18"/>
              </w:rPr>
              <w:t>475.539</w:t>
            </w:r>
          </w:p>
        </w:tc>
        <w:tc>
          <w:tcPr>
            <w:tcW w:w="602" w:type="pct"/>
            <w:tcBorders>
              <w:top w:val="single" w:sz="4" w:space="0" w:color="auto"/>
              <w:bottom w:val="single" w:sz="12" w:space="0" w:color="auto"/>
            </w:tcBorders>
            <w:shd w:val="clear" w:color="auto" w:fill="auto"/>
            <w:noWrap/>
            <w:vAlign w:val="center"/>
          </w:tcPr>
          <w:p w14:paraId="5F3653AD" w14:textId="2F6B82AC" w:rsidR="008D7B10" w:rsidRPr="00872D7E" w:rsidRDefault="008D7B10" w:rsidP="008D7B10">
            <w:pPr>
              <w:jc w:val="right"/>
              <w:rPr>
                <w:b/>
                <w:sz w:val="18"/>
                <w:szCs w:val="18"/>
              </w:rPr>
            </w:pPr>
            <w:r w:rsidRPr="00872D7E">
              <w:rPr>
                <w:b/>
                <w:bCs/>
                <w:color w:val="000000"/>
                <w:sz w:val="18"/>
                <w:szCs w:val="18"/>
              </w:rPr>
              <w:t>-</w:t>
            </w:r>
          </w:p>
        </w:tc>
      </w:tr>
      <w:bookmarkEnd w:id="55"/>
    </w:tbl>
    <w:p w14:paraId="02D78079" w14:textId="77777777" w:rsidR="009D1C8F" w:rsidRPr="00872D7E" w:rsidRDefault="009D1C8F" w:rsidP="00D06395">
      <w:pPr>
        <w:rPr>
          <w:bCs/>
          <w:szCs w:val="20"/>
        </w:rPr>
      </w:pPr>
    </w:p>
    <w:p w14:paraId="204F0722" w14:textId="45CA742B" w:rsidR="00934795" w:rsidRPr="00872D7E" w:rsidRDefault="00934795" w:rsidP="00D06395">
      <w:pPr>
        <w:rPr>
          <w:bCs/>
          <w:szCs w:val="20"/>
        </w:rPr>
      </w:pPr>
      <w:r w:rsidRPr="00872D7E">
        <w:rPr>
          <w:bCs/>
          <w:szCs w:val="20"/>
        </w:rPr>
        <w:t>(1 Ocak 2024: Bulunmamaktadır).</w:t>
      </w:r>
    </w:p>
    <w:p w14:paraId="4C49616F" w14:textId="77777777" w:rsidR="00D06395" w:rsidRPr="00872D7E" w:rsidRDefault="00D06395" w:rsidP="00D06395">
      <w:pPr>
        <w:ind w:left="851" w:hanging="852"/>
        <w:jc w:val="both"/>
        <w:rPr>
          <w:b/>
          <w:szCs w:val="20"/>
        </w:rPr>
      </w:pPr>
    </w:p>
    <w:p w14:paraId="26A4862C" w14:textId="1F279344" w:rsidR="00344C7A" w:rsidRPr="00872D7E" w:rsidRDefault="008C5672" w:rsidP="00D06395">
      <w:pPr>
        <w:ind w:left="851" w:hanging="852"/>
        <w:jc w:val="both"/>
        <w:rPr>
          <w:b/>
          <w:szCs w:val="20"/>
        </w:rPr>
      </w:pPr>
      <w:r w:rsidRPr="00872D7E">
        <w:rPr>
          <w:b/>
          <w:szCs w:val="20"/>
        </w:rPr>
        <w:t>d</w:t>
      </w:r>
      <w:r w:rsidR="00344C7A" w:rsidRPr="00872D7E">
        <w:rPr>
          <w:b/>
          <w:szCs w:val="20"/>
        </w:rPr>
        <w:t>.5.</w:t>
      </w:r>
      <w:r w:rsidR="00344C7A" w:rsidRPr="00872D7E">
        <w:rPr>
          <w:b/>
          <w:szCs w:val="20"/>
        </w:rPr>
        <w:tab/>
        <w:t>Bankanın Alınan veya Satılan Kredi Türevlerinden Kaynaklanan Risklere İlişkin Bilgiler:</w:t>
      </w:r>
    </w:p>
    <w:p w14:paraId="1C2ADE1C" w14:textId="77777777" w:rsidR="00D06395" w:rsidRPr="00872D7E" w:rsidRDefault="00D06395" w:rsidP="00D06395">
      <w:pPr>
        <w:ind w:left="1418" w:hanging="568"/>
        <w:rPr>
          <w:bCs/>
          <w:szCs w:val="20"/>
        </w:rPr>
      </w:pPr>
    </w:p>
    <w:p w14:paraId="10BC078D" w14:textId="69F94DCF" w:rsidR="00344C7A" w:rsidRPr="00872D7E" w:rsidRDefault="00344C7A" w:rsidP="00D06395">
      <w:pPr>
        <w:ind w:left="1418" w:hanging="568"/>
        <w:rPr>
          <w:bCs/>
          <w:szCs w:val="20"/>
        </w:rPr>
      </w:pPr>
      <w:r w:rsidRPr="00872D7E">
        <w:rPr>
          <w:bCs/>
          <w:szCs w:val="20"/>
        </w:rPr>
        <w:t>Bulunmamaktadır (1 Ocak 2024: Bulunmamaktadır).</w:t>
      </w:r>
    </w:p>
    <w:p w14:paraId="5C05EC55" w14:textId="3B0F2F83" w:rsidR="00A874AF" w:rsidRPr="00872D7E" w:rsidRDefault="00A874AF" w:rsidP="00D06395">
      <w:pPr>
        <w:rPr>
          <w:b/>
          <w:szCs w:val="20"/>
        </w:rPr>
      </w:pPr>
      <w:r w:rsidRPr="00872D7E">
        <w:rPr>
          <w:b/>
          <w:szCs w:val="20"/>
        </w:rPr>
        <w:br w:type="page"/>
      </w:r>
    </w:p>
    <w:p w14:paraId="7C50E538" w14:textId="77777777" w:rsidR="00F27192" w:rsidRPr="00872D7E" w:rsidRDefault="00F27192" w:rsidP="00F27192">
      <w:pPr>
        <w:pStyle w:val="BodyTextIndent"/>
        <w:widowControl w:val="0"/>
        <w:ind w:firstLine="0"/>
        <w:rPr>
          <w:b/>
          <w:szCs w:val="20"/>
        </w:rPr>
      </w:pPr>
      <w:r w:rsidRPr="00872D7E">
        <w:rPr>
          <w:b/>
          <w:szCs w:val="20"/>
        </w:rPr>
        <w:lastRenderedPageBreak/>
        <w:t>MALİ BÜNYEYE VE RİSK YÖNETİMİNE İLİŞKİN BİLGİLER (Devamı)</w:t>
      </w:r>
    </w:p>
    <w:p w14:paraId="4B15330E" w14:textId="78DB099B" w:rsidR="00F27192" w:rsidRPr="00872D7E" w:rsidRDefault="00CB58D3" w:rsidP="00624EF8">
      <w:pPr>
        <w:spacing w:before="120"/>
        <w:ind w:left="851" w:hanging="851"/>
        <w:rPr>
          <w:b/>
          <w:bCs/>
        </w:rPr>
      </w:pPr>
      <w:r w:rsidRPr="00872D7E">
        <w:rPr>
          <w:b/>
          <w:bCs/>
        </w:rPr>
        <w:t>I</w:t>
      </w:r>
      <w:r w:rsidR="00F27192" w:rsidRPr="00872D7E">
        <w:rPr>
          <w:b/>
          <w:bCs/>
        </w:rPr>
        <w:t>X.</w:t>
      </w:r>
      <w:r w:rsidR="00F27192" w:rsidRPr="00872D7E">
        <w:rPr>
          <w:b/>
          <w:bCs/>
        </w:rPr>
        <w:tab/>
        <w:t>RİSK YÖNETİMİNE İLİŞKİN AÇIKLAMALAR (Devamı)</w:t>
      </w:r>
    </w:p>
    <w:p w14:paraId="187A5D3A" w14:textId="718A7CC6" w:rsidR="00344C7A" w:rsidRPr="00872D7E" w:rsidRDefault="008C5672" w:rsidP="00624EF8">
      <w:pPr>
        <w:spacing w:before="80" w:after="120"/>
        <w:ind w:left="851" w:hanging="852"/>
        <w:jc w:val="both"/>
        <w:rPr>
          <w:szCs w:val="20"/>
        </w:rPr>
      </w:pPr>
      <w:r w:rsidRPr="00872D7E">
        <w:rPr>
          <w:b/>
          <w:szCs w:val="20"/>
        </w:rPr>
        <w:t>d</w:t>
      </w:r>
      <w:r w:rsidR="00344C7A" w:rsidRPr="00872D7E">
        <w:rPr>
          <w:b/>
          <w:szCs w:val="20"/>
        </w:rPr>
        <w:t>.6.</w:t>
      </w:r>
      <w:r w:rsidR="00344C7A" w:rsidRPr="00872D7E">
        <w:rPr>
          <w:b/>
          <w:szCs w:val="20"/>
        </w:rPr>
        <w:tab/>
        <w:t xml:space="preserve">Bankanın Merkezi Karşı Tarafa Olan Risklerine İlişkin Kapsamlı Bilgiler: </w:t>
      </w:r>
    </w:p>
    <w:tbl>
      <w:tblPr>
        <w:tblW w:w="9634" w:type="dxa"/>
        <w:tblLayout w:type="fixed"/>
        <w:tblCellMar>
          <w:left w:w="70" w:type="dxa"/>
          <w:right w:w="70" w:type="dxa"/>
        </w:tblCellMar>
        <w:tblLook w:val="04A0" w:firstRow="1" w:lastRow="0" w:firstColumn="1" w:lastColumn="0" w:noHBand="0" w:noVBand="1"/>
      </w:tblPr>
      <w:tblGrid>
        <w:gridCol w:w="421"/>
        <w:gridCol w:w="7506"/>
        <w:gridCol w:w="999"/>
        <w:gridCol w:w="708"/>
      </w:tblGrid>
      <w:tr w:rsidR="00A874AF" w:rsidRPr="00872D7E" w14:paraId="2CF8AE11" w14:textId="77777777" w:rsidTr="00BC5CFA">
        <w:trPr>
          <w:trHeight w:val="113"/>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FF16F" w14:textId="77777777" w:rsidR="00A874AF" w:rsidRPr="00872D7E" w:rsidRDefault="00A874AF" w:rsidP="00A874AF">
            <w:pPr>
              <w:rPr>
                <w:color w:val="000000"/>
                <w:sz w:val="18"/>
                <w:szCs w:val="18"/>
                <w:lang w:eastAsia="tr-TR"/>
              </w:rPr>
            </w:pPr>
            <w:bookmarkStart w:id="56" w:name="_Hlk189563755"/>
            <w:r w:rsidRPr="00872D7E">
              <w:rPr>
                <w:color w:val="000000"/>
                <w:sz w:val="18"/>
                <w:szCs w:val="18"/>
                <w:lang w:eastAsia="tr-TR"/>
              </w:rPr>
              <w:t> </w:t>
            </w:r>
          </w:p>
        </w:tc>
        <w:tc>
          <w:tcPr>
            <w:tcW w:w="7506" w:type="dxa"/>
            <w:tcBorders>
              <w:top w:val="single" w:sz="4" w:space="0" w:color="auto"/>
              <w:left w:val="nil"/>
              <w:bottom w:val="single" w:sz="4" w:space="0" w:color="auto"/>
              <w:right w:val="single" w:sz="4" w:space="0" w:color="auto"/>
            </w:tcBorders>
            <w:shd w:val="clear" w:color="auto" w:fill="auto"/>
            <w:noWrap/>
            <w:vAlign w:val="center"/>
            <w:hideMark/>
          </w:tcPr>
          <w:p w14:paraId="03BE04F9" w14:textId="7FBEF6AF" w:rsidR="00A874AF" w:rsidRPr="00872D7E" w:rsidRDefault="00A874AF" w:rsidP="00A874AF">
            <w:pPr>
              <w:rPr>
                <w:b/>
                <w:bCs/>
                <w:color w:val="000000"/>
                <w:sz w:val="18"/>
                <w:szCs w:val="18"/>
                <w:lang w:eastAsia="tr-TR"/>
              </w:rPr>
            </w:pPr>
            <w:r w:rsidRPr="00872D7E">
              <w:rPr>
                <w:b/>
                <w:bCs/>
                <w:color w:val="000000"/>
                <w:sz w:val="18"/>
                <w:szCs w:val="18"/>
                <w:lang w:eastAsia="tr-TR"/>
              </w:rPr>
              <w:t> 31 Aralık 2024</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14:paraId="2BD1692C" w14:textId="77777777" w:rsidR="00A874AF" w:rsidRPr="00872D7E" w:rsidRDefault="00A874AF" w:rsidP="00A874AF">
            <w:pPr>
              <w:jc w:val="center"/>
              <w:rPr>
                <w:b/>
                <w:bCs/>
                <w:color w:val="000000"/>
                <w:sz w:val="18"/>
                <w:szCs w:val="18"/>
                <w:lang w:eastAsia="tr-TR"/>
              </w:rPr>
            </w:pPr>
            <w:r w:rsidRPr="00872D7E">
              <w:rPr>
                <w:b/>
                <w:bCs/>
                <w:color w:val="000000"/>
                <w:sz w:val="18"/>
                <w:szCs w:val="18"/>
                <w:lang w:eastAsia="tr-TR"/>
              </w:rPr>
              <w:t xml:space="preserve"> KRA Sonrası Risk Tutarı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1BBC96FA" w14:textId="77777777" w:rsidR="00A874AF" w:rsidRPr="00872D7E" w:rsidRDefault="00A874AF" w:rsidP="00A874AF">
            <w:pPr>
              <w:jc w:val="center"/>
              <w:rPr>
                <w:b/>
                <w:bCs/>
                <w:color w:val="000000"/>
                <w:sz w:val="18"/>
                <w:szCs w:val="18"/>
                <w:lang w:eastAsia="tr-TR"/>
              </w:rPr>
            </w:pPr>
            <w:r w:rsidRPr="00872D7E">
              <w:rPr>
                <w:b/>
                <w:bCs/>
                <w:color w:val="000000"/>
                <w:sz w:val="18"/>
                <w:szCs w:val="18"/>
                <w:lang w:eastAsia="tr-TR"/>
              </w:rPr>
              <w:t xml:space="preserve"> RAT </w:t>
            </w:r>
          </w:p>
        </w:tc>
      </w:tr>
      <w:tr w:rsidR="00A874AF" w:rsidRPr="00872D7E" w14:paraId="11949309"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hideMark/>
          </w:tcPr>
          <w:p w14:paraId="5B3A9352" w14:textId="77777777" w:rsidR="00A874AF" w:rsidRPr="00872D7E" w:rsidRDefault="00A874AF" w:rsidP="00BC5CFA">
            <w:pPr>
              <w:rPr>
                <w:color w:val="000000"/>
                <w:sz w:val="18"/>
                <w:szCs w:val="18"/>
                <w:lang w:eastAsia="tr-TR"/>
              </w:rPr>
            </w:pPr>
            <w:r w:rsidRPr="00872D7E">
              <w:rPr>
                <w:color w:val="000000"/>
                <w:sz w:val="18"/>
                <w:szCs w:val="18"/>
                <w:lang w:eastAsia="tr-TR"/>
              </w:rPr>
              <w:t>1</w:t>
            </w:r>
          </w:p>
        </w:tc>
        <w:tc>
          <w:tcPr>
            <w:tcW w:w="7506" w:type="dxa"/>
            <w:tcBorders>
              <w:top w:val="nil"/>
              <w:left w:val="nil"/>
              <w:bottom w:val="single" w:sz="4" w:space="0" w:color="auto"/>
              <w:right w:val="single" w:sz="4" w:space="0" w:color="auto"/>
            </w:tcBorders>
            <w:shd w:val="clear" w:color="auto" w:fill="auto"/>
            <w:hideMark/>
          </w:tcPr>
          <w:p w14:paraId="7132A620" w14:textId="77777777" w:rsidR="00A874AF" w:rsidRPr="00872D7E" w:rsidRDefault="00A874AF" w:rsidP="00BC5CFA">
            <w:pPr>
              <w:rPr>
                <w:color w:val="000000"/>
                <w:sz w:val="18"/>
                <w:szCs w:val="18"/>
                <w:lang w:eastAsia="tr-TR"/>
              </w:rPr>
            </w:pPr>
            <w:r w:rsidRPr="00872D7E">
              <w:rPr>
                <w:color w:val="000000"/>
                <w:sz w:val="18"/>
                <w:szCs w:val="18"/>
                <w:lang w:eastAsia="tr-TR"/>
              </w:rPr>
              <w:t>Taraflardan birinin MKT olduğu nitelikli işlemlerden kaynaklanan toplam riskler</w:t>
            </w:r>
          </w:p>
        </w:tc>
        <w:tc>
          <w:tcPr>
            <w:tcW w:w="999" w:type="dxa"/>
            <w:tcBorders>
              <w:top w:val="nil"/>
              <w:left w:val="nil"/>
              <w:bottom w:val="single" w:sz="4" w:space="0" w:color="auto"/>
              <w:right w:val="single" w:sz="4" w:space="0" w:color="auto"/>
            </w:tcBorders>
            <w:shd w:val="clear" w:color="auto" w:fill="000000" w:themeFill="text1"/>
            <w:vAlign w:val="bottom"/>
            <w:hideMark/>
          </w:tcPr>
          <w:p w14:paraId="3F1C04B3" w14:textId="77777777" w:rsidR="00A874AF" w:rsidRPr="00872D7E" w:rsidRDefault="00A874AF" w:rsidP="00A874AF">
            <w:pPr>
              <w:jc w:val="right"/>
              <w:rPr>
                <w:color w:val="000000"/>
                <w:sz w:val="18"/>
                <w:szCs w:val="18"/>
                <w:lang w:eastAsia="tr-TR"/>
              </w:rPr>
            </w:pPr>
            <w:r w:rsidRPr="00872D7E">
              <w:rPr>
                <w:color w:val="000000"/>
                <w:sz w:val="18"/>
                <w:szCs w:val="18"/>
                <w:lang w:eastAsia="tr-TR"/>
              </w:rPr>
              <w:t> </w:t>
            </w:r>
          </w:p>
        </w:tc>
        <w:tc>
          <w:tcPr>
            <w:tcW w:w="708" w:type="dxa"/>
            <w:tcBorders>
              <w:top w:val="nil"/>
              <w:left w:val="nil"/>
              <w:bottom w:val="single" w:sz="4" w:space="0" w:color="auto"/>
              <w:right w:val="single" w:sz="4" w:space="0" w:color="auto"/>
            </w:tcBorders>
            <w:shd w:val="clear" w:color="auto" w:fill="auto"/>
            <w:vAlign w:val="bottom"/>
            <w:hideMark/>
          </w:tcPr>
          <w:p w14:paraId="30ED103C" w14:textId="77777777" w:rsidR="00A874AF" w:rsidRPr="00872D7E" w:rsidRDefault="00A874AF" w:rsidP="00A874AF">
            <w:pPr>
              <w:jc w:val="right"/>
              <w:rPr>
                <w:color w:val="000000"/>
                <w:sz w:val="18"/>
                <w:szCs w:val="18"/>
                <w:lang w:eastAsia="tr-TR"/>
              </w:rPr>
            </w:pPr>
            <w:r w:rsidRPr="00872D7E">
              <w:rPr>
                <w:color w:val="000000"/>
                <w:sz w:val="18"/>
                <w:szCs w:val="18"/>
                <w:lang w:eastAsia="tr-TR"/>
              </w:rPr>
              <w:t>340</w:t>
            </w:r>
          </w:p>
        </w:tc>
      </w:tr>
      <w:tr w:rsidR="00A874AF" w:rsidRPr="00872D7E" w14:paraId="5D06FBA2"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0BD96D74" w14:textId="77777777" w:rsidR="00A874AF" w:rsidRPr="00872D7E" w:rsidRDefault="00A874AF" w:rsidP="00BC5CFA">
            <w:pPr>
              <w:rPr>
                <w:color w:val="000000"/>
                <w:sz w:val="18"/>
                <w:szCs w:val="18"/>
                <w:lang w:eastAsia="tr-TR"/>
              </w:rPr>
            </w:pPr>
            <w:r w:rsidRPr="00872D7E">
              <w:rPr>
                <w:color w:val="000000"/>
                <w:sz w:val="18"/>
                <w:szCs w:val="18"/>
                <w:lang w:eastAsia="tr-TR"/>
              </w:rPr>
              <w:t>2</w:t>
            </w:r>
          </w:p>
        </w:tc>
        <w:tc>
          <w:tcPr>
            <w:tcW w:w="7506" w:type="dxa"/>
            <w:tcBorders>
              <w:top w:val="nil"/>
              <w:left w:val="nil"/>
              <w:bottom w:val="single" w:sz="4" w:space="0" w:color="auto"/>
              <w:right w:val="single" w:sz="4" w:space="0" w:color="auto"/>
            </w:tcBorders>
            <w:shd w:val="clear" w:color="auto" w:fill="auto"/>
            <w:noWrap/>
            <w:hideMark/>
          </w:tcPr>
          <w:p w14:paraId="2F48C2EC" w14:textId="77777777" w:rsidR="00A874AF" w:rsidRPr="00872D7E" w:rsidRDefault="00A874AF" w:rsidP="00BC5CFA">
            <w:pPr>
              <w:rPr>
                <w:color w:val="000000"/>
                <w:sz w:val="18"/>
                <w:szCs w:val="18"/>
                <w:lang w:eastAsia="tr-TR"/>
              </w:rPr>
            </w:pPr>
            <w:proofErr w:type="spellStart"/>
            <w:r w:rsidRPr="00872D7E">
              <w:rPr>
                <w:color w:val="000000"/>
                <w:sz w:val="18"/>
                <w:szCs w:val="18"/>
                <w:lang w:eastAsia="tr-TR"/>
              </w:rPr>
              <w:t>MKT’deki</w:t>
            </w:r>
            <w:proofErr w:type="spellEnd"/>
            <w:r w:rsidRPr="00872D7E">
              <w:rPr>
                <w:color w:val="000000"/>
                <w:sz w:val="18"/>
                <w:szCs w:val="18"/>
                <w:lang w:eastAsia="tr-TR"/>
              </w:rPr>
              <w:t xml:space="preserve"> işlemlerden kaynaklanan risklere ilişkin (başlangıç teminatı ve garanti fonuna konulan tutar hariç)</w:t>
            </w:r>
          </w:p>
        </w:tc>
        <w:tc>
          <w:tcPr>
            <w:tcW w:w="999" w:type="dxa"/>
            <w:tcBorders>
              <w:top w:val="nil"/>
              <w:left w:val="nil"/>
              <w:bottom w:val="single" w:sz="4" w:space="0" w:color="auto"/>
              <w:right w:val="single" w:sz="4" w:space="0" w:color="auto"/>
            </w:tcBorders>
            <w:shd w:val="clear" w:color="auto" w:fill="auto"/>
            <w:noWrap/>
            <w:vAlign w:val="bottom"/>
            <w:hideMark/>
          </w:tcPr>
          <w:p w14:paraId="156AB207"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393C654D"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0DA472C5"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6FF06CAF" w14:textId="77777777" w:rsidR="00A874AF" w:rsidRPr="00872D7E" w:rsidRDefault="00A874AF" w:rsidP="00BC5CFA">
            <w:pPr>
              <w:rPr>
                <w:color w:val="000000"/>
                <w:sz w:val="18"/>
                <w:szCs w:val="18"/>
                <w:lang w:eastAsia="tr-TR"/>
              </w:rPr>
            </w:pPr>
            <w:r w:rsidRPr="00872D7E">
              <w:rPr>
                <w:color w:val="000000"/>
                <w:sz w:val="18"/>
                <w:szCs w:val="18"/>
                <w:lang w:eastAsia="tr-TR"/>
              </w:rPr>
              <w:t>3</w:t>
            </w:r>
          </w:p>
        </w:tc>
        <w:tc>
          <w:tcPr>
            <w:tcW w:w="7506" w:type="dxa"/>
            <w:tcBorders>
              <w:top w:val="nil"/>
              <w:left w:val="nil"/>
              <w:bottom w:val="single" w:sz="4" w:space="0" w:color="auto"/>
              <w:right w:val="single" w:sz="4" w:space="0" w:color="auto"/>
            </w:tcBorders>
            <w:shd w:val="clear" w:color="auto" w:fill="auto"/>
            <w:noWrap/>
            <w:hideMark/>
          </w:tcPr>
          <w:p w14:paraId="758678EC" w14:textId="1A8EB55B" w:rsidR="00A874AF" w:rsidRPr="00872D7E" w:rsidRDefault="00A874AF" w:rsidP="00BC5CFA">
            <w:pPr>
              <w:ind w:left="470"/>
              <w:rPr>
                <w:color w:val="000000"/>
                <w:sz w:val="18"/>
                <w:szCs w:val="18"/>
                <w:lang w:eastAsia="tr-TR"/>
              </w:rPr>
            </w:pPr>
            <w:r w:rsidRPr="00872D7E">
              <w:rPr>
                <w:color w:val="000000"/>
                <w:sz w:val="18"/>
                <w:szCs w:val="18"/>
                <w:lang w:eastAsia="tr-TR"/>
              </w:rPr>
              <w:t xml:space="preserve">(i)   </w:t>
            </w:r>
            <w:proofErr w:type="spellStart"/>
            <w:r w:rsidRPr="00872D7E">
              <w:rPr>
                <w:color w:val="000000"/>
                <w:sz w:val="18"/>
                <w:szCs w:val="18"/>
                <w:lang w:eastAsia="tr-TR"/>
              </w:rPr>
              <w:t>Tezgahüstü</w:t>
            </w:r>
            <w:proofErr w:type="spellEnd"/>
            <w:r w:rsidRPr="00872D7E">
              <w:rPr>
                <w:color w:val="000000"/>
                <w:sz w:val="18"/>
                <w:szCs w:val="18"/>
                <w:lang w:eastAsia="tr-TR"/>
              </w:rPr>
              <w:t xml:space="preserve"> türev işlemler</w:t>
            </w:r>
          </w:p>
        </w:tc>
        <w:tc>
          <w:tcPr>
            <w:tcW w:w="999" w:type="dxa"/>
            <w:tcBorders>
              <w:top w:val="nil"/>
              <w:left w:val="nil"/>
              <w:bottom w:val="single" w:sz="4" w:space="0" w:color="auto"/>
              <w:right w:val="single" w:sz="4" w:space="0" w:color="auto"/>
            </w:tcBorders>
            <w:shd w:val="clear" w:color="auto" w:fill="auto"/>
            <w:noWrap/>
            <w:vAlign w:val="bottom"/>
            <w:hideMark/>
          </w:tcPr>
          <w:p w14:paraId="42D9DF9C"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3B643079"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7818B2F1"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78D396C0" w14:textId="77777777" w:rsidR="00A874AF" w:rsidRPr="00872D7E" w:rsidRDefault="00A874AF" w:rsidP="00BC5CFA">
            <w:pPr>
              <w:rPr>
                <w:color w:val="000000"/>
                <w:sz w:val="18"/>
                <w:szCs w:val="18"/>
                <w:lang w:eastAsia="tr-TR"/>
              </w:rPr>
            </w:pPr>
            <w:r w:rsidRPr="00872D7E">
              <w:rPr>
                <w:color w:val="000000"/>
                <w:sz w:val="18"/>
                <w:szCs w:val="18"/>
                <w:lang w:eastAsia="tr-TR"/>
              </w:rPr>
              <w:t>4</w:t>
            </w:r>
          </w:p>
        </w:tc>
        <w:tc>
          <w:tcPr>
            <w:tcW w:w="7506" w:type="dxa"/>
            <w:tcBorders>
              <w:top w:val="nil"/>
              <w:left w:val="nil"/>
              <w:bottom w:val="single" w:sz="4" w:space="0" w:color="auto"/>
              <w:right w:val="single" w:sz="4" w:space="0" w:color="auto"/>
            </w:tcBorders>
            <w:shd w:val="clear" w:color="auto" w:fill="auto"/>
            <w:noWrap/>
            <w:hideMark/>
          </w:tcPr>
          <w:p w14:paraId="684B43E0" w14:textId="2633569E" w:rsidR="00A874AF" w:rsidRPr="00872D7E" w:rsidRDefault="00A874AF" w:rsidP="00BC5CFA">
            <w:pPr>
              <w:ind w:left="470"/>
              <w:rPr>
                <w:color w:val="000000"/>
                <w:sz w:val="18"/>
                <w:szCs w:val="18"/>
                <w:lang w:eastAsia="tr-TR"/>
              </w:rPr>
            </w:pPr>
            <w:r w:rsidRPr="00872D7E">
              <w:rPr>
                <w:color w:val="000000"/>
                <w:sz w:val="18"/>
                <w:szCs w:val="18"/>
                <w:lang w:eastAsia="tr-TR"/>
              </w:rPr>
              <w:t>(ii)   Diğer türev işlemler</w:t>
            </w:r>
          </w:p>
        </w:tc>
        <w:tc>
          <w:tcPr>
            <w:tcW w:w="999" w:type="dxa"/>
            <w:tcBorders>
              <w:top w:val="nil"/>
              <w:left w:val="nil"/>
              <w:bottom w:val="single" w:sz="4" w:space="0" w:color="auto"/>
              <w:right w:val="single" w:sz="4" w:space="0" w:color="auto"/>
            </w:tcBorders>
            <w:shd w:val="clear" w:color="auto" w:fill="auto"/>
            <w:noWrap/>
            <w:vAlign w:val="bottom"/>
            <w:hideMark/>
          </w:tcPr>
          <w:p w14:paraId="2A77D998"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52E3614D"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304CD4ED"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6695BDEF" w14:textId="77777777" w:rsidR="00A874AF" w:rsidRPr="00872D7E" w:rsidRDefault="00A874AF" w:rsidP="00BC5CFA">
            <w:pPr>
              <w:rPr>
                <w:color w:val="000000"/>
                <w:sz w:val="18"/>
                <w:szCs w:val="18"/>
                <w:lang w:eastAsia="tr-TR"/>
              </w:rPr>
            </w:pPr>
            <w:r w:rsidRPr="00872D7E">
              <w:rPr>
                <w:color w:val="000000"/>
                <w:sz w:val="18"/>
                <w:szCs w:val="18"/>
                <w:lang w:eastAsia="tr-TR"/>
              </w:rPr>
              <w:t>5</w:t>
            </w:r>
          </w:p>
        </w:tc>
        <w:tc>
          <w:tcPr>
            <w:tcW w:w="7506" w:type="dxa"/>
            <w:tcBorders>
              <w:top w:val="nil"/>
              <w:left w:val="nil"/>
              <w:bottom w:val="single" w:sz="4" w:space="0" w:color="auto"/>
              <w:right w:val="single" w:sz="4" w:space="0" w:color="auto"/>
            </w:tcBorders>
            <w:shd w:val="clear" w:color="auto" w:fill="auto"/>
            <w:noWrap/>
            <w:hideMark/>
          </w:tcPr>
          <w:p w14:paraId="19A479BB" w14:textId="6F94454C" w:rsidR="00A874AF" w:rsidRPr="00872D7E" w:rsidRDefault="00A874AF" w:rsidP="00BC5CFA">
            <w:pPr>
              <w:ind w:left="470"/>
              <w:rPr>
                <w:color w:val="000000"/>
                <w:sz w:val="18"/>
                <w:szCs w:val="18"/>
                <w:lang w:eastAsia="tr-TR"/>
              </w:rPr>
            </w:pPr>
            <w:r w:rsidRPr="00872D7E">
              <w:rPr>
                <w:color w:val="000000"/>
                <w:sz w:val="18"/>
                <w:szCs w:val="18"/>
                <w:lang w:eastAsia="tr-TR"/>
              </w:rPr>
              <w:t>(iii)  Menkul kıymet finansman işlemleri</w:t>
            </w:r>
          </w:p>
        </w:tc>
        <w:tc>
          <w:tcPr>
            <w:tcW w:w="999" w:type="dxa"/>
            <w:tcBorders>
              <w:top w:val="nil"/>
              <w:left w:val="nil"/>
              <w:bottom w:val="single" w:sz="4" w:space="0" w:color="auto"/>
              <w:right w:val="single" w:sz="4" w:space="0" w:color="auto"/>
            </w:tcBorders>
            <w:shd w:val="clear" w:color="auto" w:fill="auto"/>
            <w:noWrap/>
            <w:vAlign w:val="bottom"/>
            <w:hideMark/>
          </w:tcPr>
          <w:p w14:paraId="55DEB0BB"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5B2EDFCE"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396FB382"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0E9161F1" w14:textId="77777777" w:rsidR="00A874AF" w:rsidRPr="00872D7E" w:rsidRDefault="00A874AF" w:rsidP="00BC5CFA">
            <w:pPr>
              <w:rPr>
                <w:color w:val="000000"/>
                <w:sz w:val="18"/>
                <w:szCs w:val="18"/>
                <w:lang w:eastAsia="tr-TR"/>
              </w:rPr>
            </w:pPr>
            <w:r w:rsidRPr="00872D7E">
              <w:rPr>
                <w:color w:val="000000"/>
                <w:sz w:val="18"/>
                <w:szCs w:val="18"/>
                <w:lang w:eastAsia="tr-TR"/>
              </w:rPr>
              <w:t>6</w:t>
            </w:r>
          </w:p>
        </w:tc>
        <w:tc>
          <w:tcPr>
            <w:tcW w:w="7506" w:type="dxa"/>
            <w:tcBorders>
              <w:top w:val="nil"/>
              <w:left w:val="nil"/>
              <w:bottom w:val="single" w:sz="4" w:space="0" w:color="auto"/>
              <w:right w:val="single" w:sz="4" w:space="0" w:color="auto"/>
            </w:tcBorders>
            <w:shd w:val="clear" w:color="auto" w:fill="auto"/>
            <w:noWrap/>
            <w:hideMark/>
          </w:tcPr>
          <w:p w14:paraId="7A6705DB" w14:textId="1FEA037B" w:rsidR="00A874AF" w:rsidRPr="00872D7E" w:rsidRDefault="00A874AF" w:rsidP="00BC5CFA">
            <w:pPr>
              <w:ind w:left="470"/>
              <w:rPr>
                <w:color w:val="000000"/>
                <w:sz w:val="18"/>
                <w:szCs w:val="18"/>
                <w:lang w:eastAsia="tr-TR"/>
              </w:rPr>
            </w:pPr>
            <w:r w:rsidRPr="00872D7E">
              <w:rPr>
                <w:color w:val="000000"/>
                <w:sz w:val="18"/>
                <w:szCs w:val="18"/>
                <w:lang w:eastAsia="tr-TR"/>
              </w:rPr>
              <w:t>(iv)  Çapraz ürün netleştirme işleminin uygulandığı netleştirme grupları</w:t>
            </w:r>
          </w:p>
        </w:tc>
        <w:tc>
          <w:tcPr>
            <w:tcW w:w="999" w:type="dxa"/>
            <w:tcBorders>
              <w:top w:val="nil"/>
              <w:left w:val="nil"/>
              <w:bottom w:val="single" w:sz="4" w:space="0" w:color="auto"/>
              <w:right w:val="single" w:sz="4" w:space="0" w:color="auto"/>
            </w:tcBorders>
            <w:shd w:val="clear" w:color="auto" w:fill="auto"/>
            <w:noWrap/>
            <w:vAlign w:val="bottom"/>
            <w:hideMark/>
          </w:tcPr>
          <w:p w14:paraId="5D58A24F"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2C57A55D"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31A66705"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0D464A16" w14:textId="77777777" w:rsidR="00A874AF" w:rsidRPr="00872D7E" w:rsidRDefault="00A874AF" w:rsidP="00BC5CFA">
            <w:pPr>
              <w:rPr>
                <w:color w:val="000000"/>
                <w:sz w:val="18"/>
                <w:szCs w:val="18"/>
                <w:lang w:eastAsia="tr-TR"/>
              </w:rPr>
            </w:pPr>
            <w:r w:rsidRPr="00872D7E">
              <w:rPr>
                <w:color w:val="000000"/>
                <w:sz w:val="18"/>
                <w:szCs w:val="18"/>
                <w:lang w:eastAsia="tr-TR"/>
              </w:rPr>
              <w:t>7</w:t>
            </w:r>
          </w:p>
        </w:tc>
        <w:tc>
          <w:tcPr>
            <w:tcW w:w="7506" w:type="dxa"/>
            <w:tcBorders>
              <w:top w:val="nil"/>
              <w:left w:val="nil"/>
              <w:bottom w:val="single" w:sz="4" w:space="0" w:color="auto"/>
              <w:right w:val="single" w:sz="4" w:space="0" w:color="auto"/>
            </w:tcBorders>
            <w:shd w:val="clear" w:color="auto" w:fill="auto"/>
            <w:noWrap/>
            <w:hideMark/>
          </w:tcPr>
          <w:p w14:paraId="5C94E8E2" w14:textId="77777777" w:rsidR="00A874AF" w:rsidRPr="00872D7E" w:rsidRDefault="00A874AF" w:rsidP="00BC5CFA">
            <w:pPr>
              <w:rPr>
                <w:color w:val="000000"/>
                <w:sz w:val="18"/>
                <w:szCs w:val="18"/>
                <w:lang w:eastAsia="tr-TR"/>
              </w:rPr>
            </w:pPr>
            <w:r w:rsidRPr="00872D7E">
              <w:rPr>
                <w:color w:val="000000"/>
                <w:sz w:val="18"/>
                <w:szCs w:val="18"/>
                <w:lang w:eastAsia="tr-TR"/>
              </w:rPr>
              <w:t>Serbest olmayan başlangıç teminatı</w:t>
            </w:r>
          </w:p>
        </w:tc>
        <w:tc>
          <w:tcPr>
            <w:tcW w:w="999" w:type="dxa"/>
            <w:tcBorders>
              <w:top w:val="nil"/>
              <w:left w:val="nil"/>
              <w:bottom w:val="single" w:sz="4" w:space="0" w:color="auto"/>
              <w:right w:val="single" w:sz="4" w:space="0" w:color="auto"/>
            </w:tcBorders>
            <w:shd w:val="clear" w:color="auto" w:fill="auto"/>
            <w:noWrap/>
            <w:vAlign w:val="bottom"/>
            <w:hideMark/>
          </w:tcPr>
          <w:p w14:paraId="57B71D76"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000000" w:themeFill="text1"/>
            <w:noWrap/>
            <w:vAlign w:val="bottom"/>
            <w:hideMark/>
          </w:tcPr>
          <w:p w14:paraId="26F21F45" w14:textId="77777777" w:rsidR="00A874AF" w:rsidRPr="00872D7E" w:rsidRDefault="00A874AF" w:rsidP="00A874AF">
            <w:pPr>
              <w:jc w:val="right"/>
              <w:rPr>
                <w:color w:val="000000"/>
                <w:sz w:val="18"/>
                <w:szCs w:val="18"/>
                <w:lang w:eastAsia="tr-TR"/>
              </w:rPr>
            </w:pPr>
            <w:r w:rsidRPr="00872D7E">
              <w:rPr>
                <w:color w:val="000000"/>
                <w:sz w:val="18"/>
                <w:szCs w:val="18"/>
                <w:lang w:eastAsia="tr-TR"/>
              </w:rPr>
              <w:t> </w:t>
            </w:r>
          </w:p>
        </w:tc>
      </w:tr>
      <w:tr w:rsidR="00A874AF" w:rsidRPr="00872D7E" w14:paraId="1C8EAEE1"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57CAF332" w14:textId="77777777" w:rsidR="00A874AF" w:rsidRPr="00872D7E" w:rsidRDefault="00A874AF" w:rsidP="00BC5CFA">
            <w:pPr>
              <w:rPr>
                <w:color w:val="000000"/>
                <w:sz w:val="18"/>
                <w:szCs w:val="18"/>
                <w:lang w:eastAsia="tr-TR"/>
              </w:rPr>
            </w:pPr>
            <w:r w:rsidRPr="00872D7E">
              <w:rPr>
                <w:color w:val="000000"/>
                <w:sz w:val="18"/>
                <w:szCs w:val="18"/>
                <w:lang w:eastAsia="tr-TR"/>
              </w:rPr>
              <w:t>8</w:t>
            </w:r>
          </w:p>
        </w:tc>
        <w:tc>
          <w:tcPr>
            <w:tcW w:w="7506" w:type="dxa"/>
            <w:tcBorders>
              <w:top w:val="nil"/>
              <w:left w:val="nil"/>
              <w:bottom w:val="single" w:sz="4" w:space="0" w:color="auto"/>
              <w:right w:val="single" w:sz="4" w:space="0" w:color="auto"/>
            </w:tcBorders>
            <w:shd w:val="clear" w:color="auto" w:fill="auto"/>
            <w:noWrap/>
            <w:hideMark/>
          </w:tcPr>
          <w:p w14:paraId="1FE0B0D7" w14:textId="5501B1B2" w:rsidR="00A874AF" w:rsidRPr="00872D7E" w:rsidRDefault="00A874AF" w:rsidP="00BC5CFA">
            <w:pPr>
              <w:rPr>
                <w:color w:val="000000"/>
                <w:sz w:val="18"/>
                <w:szCs w:val="18"/>
                <w:lang w:eastAsia="tr-TR"/>
              </w:rPr>
            </w:pPr>
            <w:r w:rsidRPr="00872D7E">
              <w:rPr>
                <w:color w:val="000000"/>
                <w:sz w:val="18"/>
                <w:szCs w:val="18"/>
                <w:lang w:eastAsia="tr-TR"/>
              </w:rPr>
              <w:t>Serbest başlangıç teminatı</w:t>
            </w:r>
          </w:p>
        </w:tc>
        <w:tc>
          <w:tcPr>
            <w:tcW w:w="999" w:type="dxa"/>
            <w:tcBorders>
              <w:top w:val="nil"/>
              <w:left w:val="nil"/>
              <w:bottom w:val="single" w:sz="4" w:space="0" w:color="auto"/>
              <w:right w:val="single" w:sz="4" w:space="0" w:color="auto"/>
            </w:tcBorders>
            <w:shd w:val="clear" w:color="auto" w:fill="auto"/>
            <w:noWrap/>
            <w:vAlign w:val="bottom"/>
            <w:hideMark/>
          </w:tcPr>
          <w:p w14:paraId="09ECDC42"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5ECA93A3"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0D311FCF"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28D7BF56" w14:textId="77777777" w:rsidR="00A874AF" w:rsidRPr="00872D7E" w:rsidRDefault="00A874AF" w:rsidP="00BC5CFA">
            <w:pPr>
              <w:rPr>
                <w:color w:val="000000"/>
                <w:sz w:val="18"/>
                <w:szCs w:val="18"/>
                <w:lang w:eastAsia="tr-TR"/>
              </w:rPr>
            </w:pPr>
            <w:r w:rsidRPr="00872D7E">
              <w:rPr>
                <w:color w:val="000000"/>
                <w:sz w:val="18"/>
                <w:szCs w:val="18"/>
                <w:lang w:eastAsia="tr-TR"/>
              </w:rPr>
              <w:t>9</w:t>
            </w:r>
          </w:p>
        </w:tc>
        <w:tc>
          <w:tcPr>
            <w:tcW w:w="7506" w:type="dxa"/>
            <w:tcBorders>
              <w:top w:val="nil"/>
              <w:left w:val="nil"/>
              <w:bottom w:val="single" w:sz="4" w:space="0" w:color="auto"/>
              <w:right w:val="single" w:sz="4" w:space="0" w:color="auto"/>
            </w:tcBorders>
            <w:shd w:val="clear" w:color="auto" w:fill="auto"/>
            <w:noWrap/>
            <w:hideMark/>
          </w:tcPr>
          <w:p w14:paraId="77D418A9" w14:textId="77777777" w:rsidR="00A874AF" w:rsidRPr="00872D7E" w:rsidRDefault="00A874AF" w:rsidP="00BC5CFA">
            <w:pPr>
              <w:rPr>
                <w:color w:val="000000"/>
                <w:sz w:val="18"/>
                <w:szCs w:val="18"/>
                <w:lang w:eastAsia="tr-TR"/>
              </w:rPr>
            </w:pPr>
            <w:r w:rsidRPr="00872D7E">
              <w:rPr>
                <w:color w:val="000000"/>
                <w:sz w:val="18"/>
                <w:szCs w:val="18"/>
                <w:lang w:eastAsia="tr-TR"/>
              </w:rPr>
              <w:t>Garanti fonuna konulan tutar</w:t>
            </w:r>
          </w:p>
        </w:tc>
        <w:tc>
          <w:tcPr>
            <w:tcW w:w="999" w:type="dxa"/>
            <w:tcBorders>
              <w:top w:val="nil"/>
              <w:left w:val="nil"/>
              <w:bottom w:val="single" w:sz="4" w:space="0" w:color="auto"/>
              <w:right w:val="single" w:sz="4" w:space="0" w:color="auto"/>
            </w:tcBorders>
            <w:shd w:val="clear" w:color="auto" w:fill="auto"/>
            <w:noWrap/>
            <w:vAlign w:val="bottom"/>
            <w:hideMark/>
          </w:tcPr>
          <w:p w14:paraId="1EC3041B" w14:textId="77777777" w:rsidR="00A874AF" w:rsidRPr="00872D7E" w:rsidRDefault="00A874AF" w:rsidP="00A874AF">
            <w:pPr>
              <w:jc w:val="right"/>
              <w:rPr>
                <w:color w:val="000000"/>
                <w:sz w:val="18"/>
                <w:szCs w:val="18"/>
                <w:lang w:eastAsia="tr-TR"/>
              </w:rPr>
            </w:pPr>
            <w:r w:rsidRPr="00872D7E">
              <w:rPr>
                <w:color w:val="000000"/>
                <w:sz w:val="18"/>
                <w:szCs w:val="18"/>
                <w:lang w:eastAsia="tr-TR"/>
              </w:rPr>
              <w:t>10.465</w:t>
            </w:r>
          </w:p>
        </w:tc>
        <w:tc>
          <w:tcPr>
            <w:tcW w:w="708" w:type="dxa"/>
            <w:tcBorders>
              <w:top w:val="nil"/>
              <w:left w:val="nil"/>
              <w:bottom w:val="single" w:sz="4" w:space="0" w:color="auto"/>
              <w:right w:val="single" w:sz="4" w:space="0" w:color="auto"/>
            </w:tcBorders>
            <w:shd w:val="clear" w:color="auto" w:fill="auto"/>
            <w:noWrap/>
            <w:vAlign w:val="bottom"/>
            <w:hideMark/>
          </w:tcPr>
          <w:p w14:paraId="3A814B43" w14:textId="77777777" w:rsidR="00A874AF" w:rsidRPr="00872D7E" w:rsidRDefault="00A874AF" w:rsidP="00A874AF">
            <w:pPr>
              <w:jc w:val="right"/>
              <w:rPr>
                <w:color w:val="000000"/>
                <w:sz w:val="18"/>
                <w:szCs w:val="18"/>
                <w:lang w:eastAsia="tr-TR"/>
              </w:rPr>
            </w:pPr>
            <w:r w:rsidRPr="00872D7E">
              <w:rPr>
                <w:color w:val="000000"/>
                <w:sz w:val="18"/>
                <w:szCs w:val="18"/>
                <w:lang w:eastAsia="tr-TR"/>
              </w:rPr>
              <w:t>340</w:t>
            </w:r>
          </w:p>
        </w:tc>
      </w:tr>
      <w:tr w:rsidR="00A874AF" w:rsidRPr="00872D7E" w14:paraId="06F98BCE"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309E1334" w14:textId="77777777" w:rsidR="00A874AF" w:rsidRPr="00872D7E" w:rsidRDefault="00A874AF" w:rsidP="00BC5CFA">
            <w:pPr>
              <w:rPr>
                <w:color w:val="000000"/>
                <w:sz w:val="18"/>
                <w:szCs w:val="18"/>
                <w:lang w:eastAsia="tr-TR"/>
              </w:rPr>
            </w:pPr>
            <w:r w:rsidRPr="00872D7E">
              <w:rPr>
                <w:color w:val="000000"/>
                <w:sz w:val="18"/>
                <w:szCs w:val="18"/>
                <w:lang w:eastAsia="tr-TR"/>
              </w:rPr>
              <w:t>10</w:t>
            </w:r>
          </w:p>
        </w:tc>
        <w:tc>
          <w:tcPr>
            <w:tcW w:w="7506" w:type="dxa"/>
            <w:tcBorders>
              <w:top w:val="nil"/>
              <w:left w:val="nil"/>
              <w:bottom w:val="single" w:sz="4" w:space="0" w:color="auto"/>
              <w:right w:val="single" w:sz="4" w:space="0" w:color="auto"/>
            </w:tcBorders>
            <w:shd w:val="clear" w:color="auto" w:fill="auto"/>
            <w:noWrap/>
            <w:hideMark/>
          </w:tcPr>
          <w:p w14:paraId="3B5384E9" w14:textId="77777777" w:rsidR="00A874AF" w:rsidRPr="00872D7E" w:rsidRDefault="00A874AF" w:rsidP="00BC5CFA">
            <w:pPr>
              <w:rPr>
                <w:color w:val="000000"/>
                <w:sz w:val="18"/>
                <w:szCs w:val="18"/>
                <w:lang w:eastAsia="tr-TR"/>
              </w:rPr>
            </w:pPr>
            <w:r w:rsidRPr="00872D7E">
              <w:rPr>
                <w:color w:val="000000"/>
                <w:sz w:val="18"/>
                <w:szCs w:val="18"/>
                <w:lang w:eastAsia="tr-TR"/>
              </w:rPr>
              <w:t>Garanti fonuna konulması taahhüt edilen tutar</w:t>
            </w:r>
          </w:p>
        </w:tc>
        <w:tc>
          <w:tcPr>
            <w:tcW w:w="999" w:type="dxa"/>
            <w:tcBorders>
              <w:top w:val="nil"/>
              <w:left w:val="nil"/>
              <w:bottom w:val="single" w:sz="4" w:space="0" w:color="auto"/>
              <w:right w:val="single" w:sz="4" w:space="0" w:color="auto"/>
            </w:tcBorders>
            <w:shd w:val="clear" w:color="auto" w:fill="auto"/>
            <w:noWrap/>
            <w:vAlign w:val="bottom"/>
            <w:hideMark/>
          </w:tcPr>
          <w:p w14:paraId="0E1EC261"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4D13ADA6"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4B78BD6D"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2E7510CA" w14:textId="77777777" w:rsidR="00A874AF" w:rsidRPr="00872D7E" w:rsidRDefault="00A874AF" w:rsidP="00BC5CFA">
            <w:pPr>
              <w:rPr>
                <w:color w:val="000000"/>
                <w:sz w:val="18"/>
                <w:szCs w:val="18"/>
                <w:lang w:eastAsia="tr-TR"/>
              </w:rPr>
            </w:pPr>
            <w:r w:rsidRPr="00872D7E">
              <w:rPr>
                <w:color w:val="000000"/>
                <w:sz w:val="18"/>
                <w:szCs w:val="18"/>
                <w:lang w:eastAsia="tr-TR"/>
              </w:rPr>
              <w:t>11</w:t>
            </w:r>
          </w:p>
        </w:tc>
        <w:tc>
          <w:tcPr>
            <w:tcW w:w="7506" w:type="dxa"/>
            <w:tcBorders>
              <w:top w:val="nil"/>
              <w:left w:val="nil"/>
              <w:bottom w:val="single" w:sz="4" w:space="0" w:color="auto"/>
              <w:right w:val="single" w:sz="4" w:space="0" w:color="auto"/>
            </w:tcBorders>
            <w:shd w:val="clear" w:color="auto" w:fill="auto"/>
            <w:noWrap/>
            <w:hideMark/>
          </w:tcPr>
          <w:p w14:paraId="5C11DCA3" w14:textId="77777777" w:rsidR="00A874AF" w:rsidRPr="00872D7E" w:rsidRDefault="00A874AF" w:rsidP="00BC5CFA">
            <w:pPr>
              <w:rPr>
                <w:color w:val="000000"/>
                <w:sz w:val="18"/>
                <w:szCs w:val="18"/>
                <w:lang w:eastAsia="tr-TR"/>
              </w:rPr>
            </w:pPr>
            <w:r w:rsidRPr="00872D7E">
              <w:rPr>
                <w:color w:val="000000"/>
                <w:sz w:val="18"/>
                <w:szCs w:val="18"/>
                <w:lang w:eastAsia="tr-TR"/>
              </w:rPr>
              <w:t>Taraflardan birinin MKT olduğu nitelikli olmayan işlemlerden kaynaklanan toplam riskler</w:t>
            </w:r>
          </w:p>
        </w:tc>
        <w:tc>
          <w:tcPr>
            <w:tcW w:w="999" w:type="dxa"/>
            <w:tcBorders>
              <w:top w:val="nil"/>
              <w:left w:val="nil"/>
              <w:bottom w:val="single" w:sz="4" w:space="0" w:color="auto"/>
              <w:right w:val="single" w:sz="4" w:space="0" w:color="auto"/>
            </w:tcBorders>
            <w:shd w:val="clear" w:color="auto" w:fill="000000" w:themeFill="text1"/>
            <w:noWrap/>
            <w:vAlign w:val="bottom"/>
            <w:hideMark/>
          </w:tcPr>
          <w:p w14:paraId="344A4F74" w14:textId="77777777" w:rsidR="00A874AF" w:rsidRPr="00872D7E" w:rsidRDefault="00A874AF" w:rsidP="00A874AF">
            <w:pPr>
              <w:jc w:val="right"/>
              <w:rPr>
                <w:color w:val="000000"/>
                <w:sz w:val="18"/>
                <w:szCs w:val="18"/>
                <w:lang w:eastAsia="tr-TR"/>
              </w:rPr>
            </w:pPr>
            <w:r w:rsidRPr="00872D7E">
              <w:rPr>
                <w:color w:val="000000"/>
                <w:sz w:val="18"/>
                <w:szCs w:val="18"/>
                <w:lang w:eastAsia="tr-TR"/>
              </w:rPr>
              <w:t> </w:t>
            </w:r>
          </w:p>
        </w:tc>
        <w:tc>
          <w:tcPr>
            <w:tcW w:w="708" w:type="dxa"/>
            <w:tcBorders>
              <w:top w:val="nil"/>
              <w:left w:val="nil"/>
              <w:bottom w:val="single" w:sz="4" w:space="0" w:color="auto"/>
              <w:right w:val="single" w:sz="4" w:space="0" w:color="auto"/>
            </w:tcBorders>
            <w:shd w:val="clear" w:color="auto" w:fill="auto"/>
            <w:noWrap/>
            <w:vAlign w:val="bottom"/>
            <w:hideMark/>
          </w:tcPr>
          <w:p w14:paraId="21D6E0BF"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4B898531"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7207E7B8" w14:textId="77777777" w:rsidR="00A874AF" w:rsidRPr="00872D7E" w:rsidRDefault="00A874AF" w:rsidP="00BC5CFA">
            <w:pPr>
              <w:rPr>
                <w:color w:val="000000"/>
                <w:sz w:val="18"/>
                <w:szCs w:val="18"/>
                <w:lang w:eastAsia="tr-TR"/>
              </w:rPr>
            </w:pPr>
            <w:r w:rsidRPr="00872D7E">
              <w:rPr>
                <w:color w:val="000000"/>
                <w:sz w:val="18"/>
                <w:szCs w:val="18"/>
                <w:lang w:eastAsia="tr-TR"/>
              </w:rPr>
              <w:t>12</w:t>
            </w:r>
          </w:p>
        </w:tc>
        <w:tc>
          <w:tcPr>
            <w:tcW w:w="7506" w:type="dxa"/>
            <w:tcBorders>
              <w:top w:val="nil"/>
              <w:left w:val="nil"/>
              <w:bottom w:val="single" w:sz="4" w:space="0" w:color="auto"/>
              <w:right w:val="single" w:sz="4" w:space="0" w:color="auto"/>
            </w:tcBorders>
            <w:shd w:val="clear" w:color="auto" w:fill="auto"/>
            <w:noWrap/>
            <w:hideMark/>
          </w:tcPr>
          <w:p w14:paraId="345177FA" w14:textId="77777777" w:rsidR="00A874AF" w:rsidRPr="00872D7E" w:rsidRDefault="00A874AF" w:rsidP="00BC5CFA">
            <w:pPr>
              <w:rPr>
                <w:color w:val="000000"/>
                <w:sz w:val="18"/>
                <w:szCs w:val="18"/>
                <w:lang w:eastAsia="tr-TR"/>
              </w:rPr>
            </w:pPr>
            <w:proofErr w:type="spellStart"/>
            <w:r w:rsidRPr="00872D7E">
              <w:rPr>
                <w:color w:val="000000"/>
                <w:sz w:val="18"/>
                <w:szCs w:val="18"/>
                <w:lang w:eastAsia="tr-TR"/>
              </w:rPr>
              <w:t>MKT’deki</w:t>
            </w:r>
            <w:proofErr w:type="spellEnd"/>
            <w:r w:rsidRPr="00872D7E">
              <w:rPr>
                <w:color w:val="000000"/>
                <w:sz w:val="18"/>
                <w:szCs w:val="18"/>
                <w:lang w:eastAsia="tr-TR"/>
              </w:rPr>
              <w:t xml:space="preserve"> işlemlerden kaynaklanan risklere ilişkin (başlangıç teminatı ve garanti fonuna konulan tutar hariç)</w:t>
            </w:r>
          </w:p>
        </w:tc>
        <w:tc>
          <w:tcPr>
            <w:tcW w:w="999" w:type="dxa"/>
            <w:tcBorders>
              <w:top w:val="nil"/>
              <w:left w:val="nil"/>
              <w:bottom w:val="single" w:sz="4" w:space="0" w:color="auto"/>
              <w:right w:val="single" w:sz="4" w:space="0" w:color="auto"/>
            </w:tcBorders>
            <w:shd w:val="clear" w:color="auto" w:fill="auto"/>
            <w:noWrap/>
            <w:vAlign w:val="bottom"/>
            <w:hideMark/>
          </w:tcPr>
          <w:p w14:paraId="34748EA8"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76919EE4"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452CBC91"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75C78615" w14:textId="77777777" w:rsidR="00A874AF" w:rsidRPr="00872D7E" w:rsidRDefault="00A874AF" w:rsidP="00BC5CFA">
            <w:pPr>
              <w:rPr>
                <w:color w:val="000000"/>
                <w:sz w:val="18"/>
                <w:szCs w:val="18"/>
                <w:lang w:eastAsia="tr-TR"/>
              </w:rPr>
            </w:pPr>
            <w:r w:rsidRPr="00872D7E">
              <w:rPr>
                <w:color w:val="000000"/>
                <w:sz w:val="18"/>
                <w:szCs w:val="18"/>
                <w:lang w:eastAsia="tr-TR"/>
              </w:rPr>
              <w:t>13</w:t>
            </w:r>
          </w:p>
        </w:tc>
        <w:tc>
          <w:tcPr>
            <w:tcW w:w="7506" w:type="dxa"/>
            <w:tcBorders>
              <w:top w:val="nil"/>
              <w:left w:val="nil"/>
              <w:bottom w:val="single" w:sz="4" w:space="0" w:color="auto"/>
              <w:right w:val="single" w:sz="4" w:space="0" w:color="auto"/>
            </w:tcBorders>
            <w:shd w:val="clear" w:color="auto" w:fill="auto"/>
            <w:noWrap/>
            <w:hideMark/>
          </w:tcPr>
          <w:p w14:paraId="026FD94E" w14:textId="3F439CFA" w:rsidR="00A874AF" w:rsidRPr="00872D7E" w:rsidRDefault="00A874AF" w:rsidP="00BC5CFA">
            <w:pPr>
              <w:ind w:left="470"/>
              <w:rPr>
                <w:color w:val="000000"/>
                <w:sz w:val="18"/>
                <w:szCs w:val="18"/>
                <w:lang w:eastAsia="tr-TR"/>
              </w:rPr>
            </w:pPr>
            <w:r w:rsidRPr="00872D7E">
              <w:rPr>
                <w:color w:val="000000"/>
                <w:sz w:val="18"/>
                <w:szCs w:val="18"/>
                <w:lang w:eastAsia="tr-TR"/>
              </w:rPr>
              <w:t xml:space="preserve">(i)    </w:t>
            </w:r>
            <w:proofErr w:type="spellStart"/>
            <w:r w:rsidRPr="00872D7E">
              <w:rPr>
                <w:color w:val="000000"/>
                <w:sz w:val="18"/>
                <w:szCs w:val="18"/>
                <w:lang w:eastAsia="tr-TR"/>
              </w:rPr>
              <w:t>Tezgahüstü</w:t>
            </w:r>
            <w:proofErr w:type="spellEnd"/>
            <w:r w:rsidRPr="00872D7E">
              <w:rPr>
                <w:color w:val="000000"/>
                <w:sz w:val="18"/>
                <w:szCs w:val="18"/>
                <w:lang w:eastAsia="tr-TR"/>
              </w:rPr>
              <w:t xml:space="preserve"> türev işlemler</w:t>
            </w:r>
          </w:p>
        </w:tc>
        <w:tc>
          <w:tcPr>
            <w:tcW w:w="999" w:type="dxa"/>
            <w:tcBorders>
              <w:top w:val="nil"/>
              <w:left w:val="nil"/>
              <w:bottom w:val="single" w:sz="4" w:space="0" w:color="auto"/>
              <w:right w:val="single" w:sz="4" w:space="0" w:color="auto"/>
            </w:tcBorders>
            <w:shd w:val="clear" w:color="auto" w:fill="auto"/>
            <w:noWrap/>
            <w:vAlign w:val="bottom"/>
            <w:hideMark/>
          </w:tcPr>
          <w:p w14:paraId="17F03A9D"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76055221"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064778E7"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604AD4D3" w14:textId="77777777" w:rsidR="00A874AF" w:rsidRPr="00872D7E" w:rsidRDefault="00A874AF" w:rsidP="00BC5CFA">
            <w:pPr>
              <w:rPr>
                <w:color w:val="000000"/>
                <w:sz w:val="18"/>
                <w:szCs w:val="18"/>
                <w:lang w:eastAsia="tr-TR"/>
              </w:rPr>
            </w:pPr>
            <w:r w:rsidRPr="00872D7E">
              <w:rPr>
                <w:color w:val="000000"/>
                <w:sz w:val="18"/>
                <w:szCs w:val="18"/>
                <w:lang w:eastAsia="tr-TR"/>
              </w:rPr>
              <w:t>14</w:t>
            </w:r>
          </w:p>
        </w:tc>
        <w:tc>
          <w:tcPr>
            <w:tcW w:w="7506" w:type="dxa"/>
            <w:tcBorders>
              <w:top w:val="nil"/>
              <w:left w:val="nil"/>
              <w:bottom w:val="single" w:sz="4" w:space="0" w:color="auto"/>
              <w:right w:val="single" w:sz="4" w:space="0" w:color="auto"/>
            </w:tcBorders>
            <w:shd w:val="clear" w:color="auto" w:fill="auto"/>
            <w:noWrap/>
            <w:hideMark/>
          </w:tcPr>
          <w:p w14:paraId="31D38DCD" w14:textId="55589551" w:rsidR="00A874AF" w:rsidRPr="00872D7E" w:rsidRDefault="00A874AF" w:rsidP="00BC5CFA">
            <w:pPr>
              <w:ind w:left="470"/>
              <w:rPr>
                <w:color w:val="000000"/>
                <w:sz w:val="18"/>
                <w:szCs w:val="18"/>
                <w:lang w:eastAsia="tr-TR"/>
              </w:rPr>
            </w:pPr>
            <w:r w:rsidRPr="00872D7E">
              <w:rPr>
                <w:color w:val="000000"/>
                <w:sz w:val="18"/>
                <w:szCs w:val="18"/>
                <w:lang w:eastAsia="tr-TR"/>
              </w:rPr>
              <w:t>(ii)    Diğer türev işlemler</w:t>
            </w:r>
          </w:p>
        </w:tc>
        <w:tc>
          <w:tcPr>
            <w:tcW w:w="999" w:type="dxa"/>
            <w:tcBorders>
              <w:top w:val="nil"/>
              <w:left w:val="nil"/>
              <w:bottom w:val="single" w:sz="4" w:space="0" w:color="auto"/>
              <w:right w:val="single" w:sz="4" w:space="0" w:color="auto"/>
            </w:tcBorders>
            <w:shd w:val="clear" w:color="auto" w:fill="auto"/>
            <w:noWrap/>
            <w:vAlign w:val="bottom"/>
            <w:hideMark/>
          </w:tcPr>
          <w:p w14:paraId="1BF3C193"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7155DE8B"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1DE56644"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7EF5F9E0" w14:textId="77777777" w:rsidR="00A874AF" w:rsidRPr="00872D7E" w:rsidRDefault="00A874AF" w:rsidP="00BC5CFA">
            <w:pPr>
              <w:rPr>
                <w:color w:val="000000"/>
                <w:sz w:val="18"/>
                <w:szCs w:val="18"/>
                <w:lang w:eastAsia="tr-TR"/>
              </w:rPr>
            </w:pPr>
            <w:r w:rsidRPr="00872D7E">
              <w:rPr>
                <w:color w:val="000000"/>
                <w:sz w:val="18"/>
                <w:szCs w:val="18"/>
                <w:lang w:eastAsia="tr-TR"/>
              </w:rPr>
              <w:t>15</w:t>
            </w:r>
          </w:p>
        </w:tc>
        <w:tc>
          <w:tcPr>
            <w:tcW w:w="7506" w:type="dxa"/>
            <w:tcBorders>
              <w:top w:val="nil"/>
              <w:left w:val="nil"/>
              <w:bottom w:val="single" w:sz="4" w:space="0" w:color="auto"/>
              <w:right w:val="single" w:sz="4" w:space="0" w:color="auto"/>
            </w:tcBorders>
            <w:shd w:val="clear" w:color="auto" w:fill="auto"/>
            <w:noWrap/>
            <w:hideMark/>
          </w:tcPr>
          <w:p w14:paraId="3D7FFCE9" w14:textId="1867EE43" w:rsidR="00A874AF" w:rsidRPr="00872D7E" w:rsidRDefault="00A874AF" w:rsidP="00BC5CFA">
            <w:pPr>
              <w:ind w:left="470"/>
              <w:rPr>
                <w:color w:val="000000"/>
                <w:sz w:val="18"/>
                <w:szCs w:val="18"/>
                <w:lang w:eastAsia="tr-TR"/>
              </w:rPr>
            </w:pPr>
            <w:r w:rsidRPr="00872D7E">
              <w:rPr>
                <w:color w:val="000000"/>
                <w:sz w:val="18"/>
                <w:szCs w:val="18"/>
                <w:lang w:eastAsia="tr-TR"/>
              </w:rPr>
              <w:t>(iii)   Menkul kıymet finansman işlemleri</w:t>
            </w:r>
          </w:p>
        </w:tc>
        <w:tc>
          <w:tcPr>
            <w:tcW w:w="999" w:type="dxa"/>
            <w:tcBorders>
              <w:top w:val="nil"/>
              <w:left w:val="nil"/>
              <w:bottom w:val="single" w:sz="4" w:space="0" w:color="auto"/>
              <w:right w:val="single" w:sz="4" w:space="0" w:color="auto"/>
            </w:tcBorders>
            <w:shd w:val="clear" w:color="auto" w:fill="auto"/>
            <w:noWrap/>
            <w:vAlign w:val="bottom"/>
            <w:hideMark/>
          </w:tcPr>
          <w:p w14:paraId="72165E45"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5F2B5EEC"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36ABDB3E"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04911314" w14:textId="77777777" w:rsidR="00A874AF" w:rsidRPr="00872D7E" w:rsidRDefault="00A874AF" w:rsidP="00BC5CFA">
            <w:pPr>
              <w:rPr>
                <w:color w:val="000000"/>
                <w:sz w:val="18"/>
                <w:szCs w:val="18"/>
                <w:lang w:eastAsia="tr-TR"/>
              </w:rPr>
            </w:pPr>
            <w:r w:rsidRPr="00872D7E">
              <w:rPr>
                <w:color w:val="000000"/>
                <w:sz w:val="18"/>
                <w:szCs w:val="18"/>
                <w:lang w:eastAsia="tr-TR"/>
              </w:rPr>
              <w:t>16</w:t>
            </w:r>
          </w:p>
        </w:tc>
        <w:tc>
          <w:tcPr>
            <w:tcW w:w="7506" w:type="dxa"/>
            <w:tcBorders>
              <w:top w:val="nil"/>
              <w:left w:val="nil"/>
              <w:bottom w:val="single" w:sz="4" w:space="0" w:color="auto"/>
              <w:right w:val="single" w:sz="4" w:space="0" w:color="auto"/>
            </w:tcBorders>
            <w:shd w:val="clear" w:color="auto" w:fill="auto"/>
            <w:noWrap/>
            <w:hideMark/>
          </w:tcPr>
          <w:p w14:paraId="4C95879C" w14:textId="01FCABD4" w:rsidR="00A874AF" w:rsidRPr="00872D7E" w:rsidRDefault="00A874AF" w:rsidP="00BC5CFA">
            <w:pPr>
              <w:ind w:left="470"/>
              <w:rPr>
                <w:color w:val="000000"/>
                <w:sz w:val="18"/>
                <w:szCs w:val="18"/>
                <w:lang w:eastAsia="tr-TR"/>
              </w:rPr>
            </w:pPr>
            <w:r w:rsidRPr="00872D7E">
              <w:rPr>
                <w:color w:val="000000"/>
                <w:sz w:val="18"/>
                <w:szCs w:val="18"/>
                <w:lang w:eastAsia="tr-TR"/>
              </w:rPr>
              <w:t>(iv)   Çapraz ürün netleştirme işleminin uygulandığı netleştirme grupları</w:t>
            </w:r>
          </w:p>
        </w:tc>
        <w:tc>
          <w:tcPr>
            <w:tcW w:w="999" w:type="dxa"/>
            <w:tcBorders>
              <w:top w:val="nil"/>
              <w:left w:val="nil"/>
              <w:bottom w:val="single" w:sz="4" w:space="0" w:color="auto"/>
              <w:right w:val="single" w:sz="4" w:space="0" w:color="auto"/>
            </w:tcBorders>
            <w:shd w:val="clear" w:color="auto" w:fill="auto"/>
            <w:noWrap/>
            <w:vAlign w:val="bottom"/>
            <w:hideMark/>
          </w:tcPr>
          <w:p w14:paraId="1F803EFF"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15FD6F84"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3F1869B7"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7A06AD84" w14:textId="77777777" w:rsidR="00A874AF" w:rsidRPr="00872D7E" w:rsidRDefault="00A874AF" w:rsidP="00BC5CFA">
            <w:pPr>
              <w:rPr>
                <w:color w:val="000000"/>
                <w:sz w:val="18"/>
                <w:szCs w:val="18"/>
                <w:lang w:eastAsia="tr-TR"/>
              </w:rPr>
            </w:pPr>
            <w:r w:rsidRPr="00872D7E">
              <w:rPr>
                <w:color w:val="000000"/>
                <w:sz w:val="18"/>
                <w:szCs w:val="18"/>
                <w:lang w:eastAsia="tr-TR"/>
              </w:rPr>
              <w:t>17</w:t>
            </w:r>
          </w:p>
        </w:tc>
        <w:tc>
          <w:tcPr>
            <w:tcW w:w="7506" w:type="dxa"/>
            <w:tcBorders>
              <w:top w:val="nil"/>
              <w:left w:val="nil"/>
              <w:bottom w:val="single" w:sz="4" w:space="0" w:color="auto"/>
              <w:right w:val="single" w:sz="4" w:space="0" w:color="auto"/>
            </w:tcBorders>
            <w:shd w:val="clear" w:color="auto" w:fill="auto"/>
            <w:noWrap/>
            <w:hideMark/>
          </w:tcPr>
          <w:p w14:paraId="6D3B928B" w14:textId="77777777" w:rsidR="00A874AF" w:rsidRPr="00872D7E" w:rsidRDefault="00A874AF" w:rsidP="00BC5CFA">
            <w:pPr>
              <w:rPr>
                <w:color w:val="000000"/>
                <w:sz w:val="18"/>
                <w:szCs w:val="18"/>
                <w:lang w:eastAsia="tr-TR"/>
              </w:rPr>
            </w:pPr>
            <w:r w:rsidRPr="00872D7E">
              <w:rPr>
                <w:color w:val="000000"/>
                <w:sz w:val="18"/>
                <w:szCs w:val="18"/>
                <w:lang w:eastAsia="tr-TR"/>
              </w:rPr>
              <w:t>Serbest olmayan başlangıç teminatı</w:t>
            </w:r>
          </w:p>
        </w:tc>
        <w:tc>
          <w:tcPr>
            <w:tcW w:w="999" w:type="dxa"/>
            <w:tcBorders>
              <w:top w:val="nil"/>
              <w:left w:val="nil"/>
              <w:bottom w:val="single" w:sz="4" w:space="0" w:color="auto"/>
              <w:right w:val="single" w:sz="4" w:space="0" w:color="auto"/>
            </w:tcBorders>
            <w:shd w:val="clear" w:color="auto" w:fill="auto"/>
            <w:noWrap/>
            <w:vAlign w:val="bottom"/>
            <w:hideMark/>
          </w:tcPr>
          <w:p w14:paraId="2171C66D"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000000" w:themeFill="text1"/>
            <w:noWrap/>
            <w:vAlign w:val="bottom"/>
            <w:hideMark/>
          </w:tcPr>
          <w:p w14:paraId="24D5F4AD" w14:textId="77777777" w:rsidR="00A874AF" w:rsidRPr="00872D7E" w:rsidRDefault="00A874AF" w:rsidP="00A874AF">
            <w:pPr>
              <w:jc w:val="right"/>
              <w:rPr>
                <w:color w:val="000000"/>
                <w:sz w:val="18"/>
                <w:szCs w:val="18"/>
                <w:lang w:eastAsia="tr-TR"/>
              </w:rPr>
            </w:pPr>
            <w:r w:rsidRPr="00872D7E">
              <w:rPr>
                <w:color w:val="000000"/>
                <w:sz w:val="18"/>
                <w:szCs w:val="18"/>
                <w:lang w:eastAsia="tr-TR"/>
              </w:rPr>
              <w:t> </w:t>
            </w:r>
          </w:p>
        </w:tc>
      </w:tr>
      <w:tr w:rsidR="00A874AF" w:rsidRPr="00872D7E" w14:paraId="3BBE9429"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269C554B" w14:textId="77777777" w:rsidR="00A874AF" w:rsidRPr="00872D7E" w:rsidRDefault="00A874AF" w:rsidP="00BC5CFA">
            <w:pPr>
              <w:rPr>
                <w:color w:val="000000"/>
                <w:sz w:val="18"/>
                <w:szCs w:val="18"/>
                <w:lang w:eastAsia="tr-TR"/>
              </w:rPr>
            </w:pPr>
            <w:r w:rsidRPr="00872D7E">
              <w:rPr>
                <w:color w:val="000000"/>
                <w:sz w:val="18"/>
                <w:szCs w:val="18"/>
                <w:lang w:eastAsia="tr-TR"/>
              </w:rPr>
              <w:t>18</w:t>
            </w:r>
          </w:p>
        </w:tc>
        <w:tc>
          <w:tcPr>
            <w:tcW w:w="7506" w:type="dxa"/>
            <w:tcBorders>
              <w:top w:val="nil"/>
              <w:left w:val="nil"/>
              <w:bottom w:val="single" w:sz="4" w:space="0" w:color="auto"/>
              <w:right w:val="single" w:sz="4" w:space="0" w:color="auto"/>
            </w:tcBorders>
            <w:shd w:val="clear" w:color="auto" w:fill="auto"/>
            <w:noWrap/>
            <w:hideMark/>
          </w:tcPr>
          <w:p w14:paraId="5680E07B" w14:textId="3D0ADB12" w:rsidR="00A874AF" w:rsidRPr="00872D7E" w:rsidRDefault="00A874AF" w:rsidP="00BC5CFA">
            <w:pPr>
              <w:rPr>
                <w:color w:val="000000"/>
                <w:sz w:val="18"/>
                <w:szCs w:val="18"/>
                <w:lang w:eastAsia="tr-TR"/>
              </w:rPr>
            </w:pPr>
            <w:r w:rsidRPr="00872D7E">
              <w:rPr>
                <w:color w:val="000000"/>
                <w:sz w:val="18"/>
                <w:szCs w:val="18"/>
                <w:lang w:eastAsia="tr-TR"/>
              </w:rPr>
              <w:t>Serbest başlangıç teminatı</w:t>
            </w:r>
          </w:p>
        </w:tc>
        <w:tc>
          <w:tcPr>
            <w:tcW w:w="999" w:type="dxa"/>
            <w:tcBorders>
              <w:top w:val="nil"/>
              <w:left w:val="nil"/>
              <w:bottom w:val="single" w:sz="4" w:space="0" w:color="auto"/>
              <w:right w:val="single" w:sz="4" w:space="0" w:color="auto"/>
            </w:tcBorders>
            <w:shd w:val="clear" w:color="auto" w:fill="auto"/>
            <w:noWrap/>
            <w:vAlign w:val="bottom"/>
            <w:hideMark/>
          </w:tcPr>
          <w:p w14:paraId="2930BE67"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4E054896"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15D097F2"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1946B16E" w14:textId="77777777" w:rsidR="00A874AF" w:rsidRPr="00872D7E" w:rsidRDefault="00A874AF" w:rsidP="00BC5CFA">
            <w:pPr>
              <w:rPr>
                <w:color w:val="000000"/>
                <w:sz w:val="18"/>
                <w:szCs w:val="18"/>
                <w:lang w:eastAsia="tr-TR"/>
              </w:rPr>
            </w:pPr>
            <w:r w:rsidRPr="00872D7E">
              <w:rPr>
                <w:color w:val="000000"/>
                <w:sz w:val="18"/>
                <w:szCs w:val="18"/>
                <w:lang w:eastAsia="tr-TR"/>
              </w:rPr>
              <w:t>19</w:t>
            </w:r>
          </w:p>
        </w:tc>
        <w:tc>
          <w:tcPr>
            <w:tcW w:w="7506" w:type="dxa"/>
            <w:tcBorders>
              <w:top w:val="nil"/>
              <w:left w:val="nil"/>
              <w:bottom w:val="single" w:sz="4" w:space="0" w:color="auto"/>
              <w:right w:val="single" w:sz="4" w:space="0" w:color="auto"/>
            </w:tcBorders>
            <w:shd w:val="clear" w:color="auto" w:fill="auto"/>
            <w:noWrap/>
            <w:hideMark/>
          </w:tcPr>
          <w:p w14:paraId="481175D8" w14:textId="77777777" w:rsidR="00A874AF" w:rsidRPr="00872D7E" w:rsidRDefault="00A874AF" w:rsidP="00BC5CFA">
            <w:pPr>
              <w:rPr>
                <w:color w:val="000000"/>
                <w:sz w:val="18"/>
                <w:szCs w:val="18"/>
                <w:lang w:eastAsia="tr-TR"/>
              </w:rPr>
            </w:pPr>
            <w:r w:rsidRPr="00872D7E">
              <w:rPr>
                <w:color w:val="000000"/>
                <w:sz w:val="18"/>
                <w:szCs w:val="18"/>
                <w:lang w:eastAsia="tr-TR"/>
              </w:rPr>
              <w:t>Garanti fonuna konulan tutar</w:t>
            </w:r>
          </w:p>
        </w:tc>
        <w:tc>
          <w:tcPr>
            <w:tcW w:w="999" w:type="dxa"/>
            <w:tcBorders>
              <w:top w:val="nil"/>
              <w:left w:val="nil"/>
              <w:bottom w:val="single" w:sz="4" w:space="0" w:color="auto"/>
              <w:right w:val="single" w:sz="4" w:space="0" w:color="auto"/>
            </w:tcBorders>
            <w:shd w:val="clear" w:color="auto" w:fill="auto"/>
            <w:noWrap/>
            <w:vAlign w:val="bottom"/>
            <w:hideMark/>
          </w:tcPr>
          <w:p w14:paraId="60E2B1BD"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73C98A6E"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r w:rsidR="00A874AF" w:rsidRPr="00872D7E" w14:paraId="51965C70" w14:textId="77777777" w:rsidTr="00BC5CFA">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7E61EDA9" w14:textId="77777777" w:rsidR="00A874AF" w:rsidRPr="00872D7E" w:rsidRDefault="00A874AF" w:rsidP="00BC5CFA">
            <w:pPr>
              <w:rPr>
                <w:color w:val="000000"/>
                <w:sz w:val="18"/>
                <w:szCs w:val="18"/>
                <w:lang w:eastAsia="tr-TR"/>
              </w:rPr>
            </w:pPr>
            <w:r w:rsidRPr="00872D7E">
              <w:rPr>
                <w:color w:val="000000"/>
                <w:sz w:val="18"/>
                <w:szCs w:val="18"/>
                <w:lang w:eastAsia="tr-TR"/>
              </w:rPr>
              <w:t>20</w:t>
            </w:r>
          </w:p>
        </w:tc>
        <w:tc>
          <w:tcPr>
            <w:tcW w:w="7506" w:type="dxa"/>
            <w:tcBorders>
              <w:top w:val="nil"/>
              <w:left w:val="nil"/>
              <w:bottom w:val="single" w:sz="4" w:space="0" w:color="auto"/>
              <w:right w:val="single" w:sz="4" w:space="0" w:color="auto"/>
            </w:tcBorders>
            <w:shd w:val="clear" w:color="auto" w:fill="auto"/>
            <w:noWrap/>
            <w:hideMark/>
          </w:tcPr>
          <w:p w14:paraId="0DE768EE" w14:textId="77777777" w:rsidR="00A874AF" w:rsidRPr="00872D7E" w:rsidRDefault="00A874AF" w:rsidP="00BC5CFA">
            <w:pPr>
              <w:rPr>
                <w:color w:val="000000"/>
                <w:sz w:val="18"/>
                <w:szCs w:val="18"/>
                <w:lang w:eastAsia="tr-TR"/>
              </w:rPr>
            </w:pPr>
            <w:r w:rsidRPr="00872D7E">
              <w:rPr>
                <w:color w:val="000000"/>
                <w:sz w:val="18"/>
                <w:szCs w:val="18"/>
                <w:lang w:eastAsia="tr-TR"/>
              </w:rPr>
              <w:t>Garanti fonuna konulması taahhüt edilen tutar</w:t>
            </w:r>
          </w:p>
        </w:tc>
        <w:tc>
          <w:tcPr>
            <w:tcW w:w="999" w:type="dxa"/>
            <w:tcBorders>
              <w:top w:val="nil"/>
              <w:left w:val="nil"/>
              <w:bottom w:val="single" w:sz="4" w:space="0" w:color="auto"/>
              <w:right w:val="single" w:sz="4" w:space="0" w:color="auto"/>
            </w:tcBorders>
            <w:shd w:val="clear" w:color="auto" w:fill="auto"/>
            <w:noWrap/>
            <w:vAlign w:val="bottom"/>
            <w:hideMark/>
          </w:tcPr>
          <w:p w14:paraId="01B121BF"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c>
          <w:tcPr>
            <w:tcW w:w="708" w:type="dxa"/>
            <w:tcBorders>
              <w:top w:val="nil"/>
              <w:left w:val="nil"/>
              <w:bottom w:val="single" w:sz="4" w:space="0" w:color="auto"/>
              <w:right w:val="single" w:sz="4" w:space="0" w:color="auto"/>
            </w:tcBorders>
            <w:shd w:val="clear" w:color="auto" w:fill="auto"/>
            <w:noWrap/>
            <w:vAlign w:val="bottom"/>
            <w:hideMark/>
          </w:tcPr>
          <w:p w14:paraId="0368411B" w14:textId="77777777" w:rsidR="00A874AF" w:rsidRPr="00872D7E" w:rsidRDefault="00A874AF" w:rsidP="00A874AF">
            <w:pPr>
              <w:jc w:val="right"/>
              <w:rPr>
                <w:color w:val="000000"/>
                <w:sz w:val="18"/>
                <w:szCs w:val="18"/>
                <w:lang w:eastAsia="tr-TR"/>
              </w:rPr>
            </w:pPr>
            <w:r w:rsidRPr="00872D7E">
              <w:rPr>
                <w:color w:val="000000"/>
                <w:sz w:val="18"/>
                <w:szCs w:val="18"/>
                <w:lang w:eastAsia="tr-TR"/>
              </w:rPr>
              <w:t>-</w:t>
            </w:r>
          </w:p>
        </w:tc>
      </w:tr>
    </w:tbl>
    <w:bookmarkEnd w:id="56"/>
    <w:p w14:paraId="150A3107" w14:textId="3B37ED8F" w:rsidR="00344C7A" w:rsidRPr="00872D7E" w:rsidRDefault="00372B0F" w:rsidP="00624EF8">
      <w:pPr>
        <w:spacing w:before="120"/>
        <w:ind w:left="851" w:hanging="851"/>
        <w:rPr>
          <w:b/>
          <w:bCs/>
        </w:rPr>
      </w:pPr>
      <w:r w:rsidRPr="00872D7E">
        <w:rPr>
          <w:b/>
          <w:bCs/>
        </w:rPr>
        <w:t>e.</w:t>
      </w:r>
      <w:r w:rsidRPr="00872D7E">
        <w:rPr>
          <w:b/>
          <w:bCs/>
        </w:rPr>
        <w:tab/>
      </w:r>
      <w:r w:rsidR="00344C7A" w:rsidRPr="00872D7E">
        <w:rPr>
          <w:b/>
          <w:bCs/>
        </w:rPr>
        <w:t>Menkul Kıymetleştirmeye İlişkin Olarak Kamuya Açıklanacak Hususlar:</w:t>
      </w:r>
    </w:p>
    <w:p w14:paraId="4CF06EB7" w14:textId="66249320" w:rsidR="008B559D" w:rsidRPr="00872D7E" w:rsidRDefault="00344C7A" w:rsidP="00624EF8">
      <w:pPr>
        <w:spacing w:before="80"/>
        <w:ind w:left="851"/>
        <w:rPr>
          <w:bCs/>
          <w:szCs w:val="20"/>
        </w:rPr>
      </w:pPr>
      <w:r w:rsidRPr="00872D7E">
        <w:rPr>
          <w:bCs/>
          <w:szCs w:val="20"/>
        </w:rPr>
        <w:t>Bulunmamaktadır (1 Ocak 2024: Bulunmamaktadır).</w:t>
      </w:r>
    </w:p>
    <w:p w14:paraId="15E1B1A9" w14:textId="744EBFD6" w:rsidR="00344C7A" w:rsidRPr="00872D7E" w:rsidRDefault="00372B0F" w:rsidP="00624EF8">
      <w:pPr>
        <w:autoSpaceDE w:val="0"/>
        <w:autoSpaceDN w:val="0"/>
        <w:adjustRightInd w:val="0"/>
        <w:spacing w:before="80" w:after="120"/>
        <w:ind w:left="851" w:hanging="851"/>
        <w:jc w:val="both"/>
        <w:rPr>
          <w:b/>
          <w:szCs w:val="20"/>
        </w:rPr>
      </w:pPr>
      <w:r w:rsidRPr="00872D7E">
        <w:rPr>
          <w:b/>
          <w:szCs w:val="20"/>
        </w:rPr>
        <w:t>f.</w:t>
      </w:r>
      <w:r w:rsidR="00B662A0" w:rsidRPr="00872D7E">
        <w:rPr>
          <w:b/>
          <w:szCs w:val="20"/>
        </w:rPr>
        <w:tab/>
      </w:r>
      <w:r w:rsidR="00344C7A" w:rsidRPr="00872D7E">
        <w:rPr>
          <w:b/>
          <w:szCs w:val="20"/>
        </w:rPr>
        <w:t>Piyasa Riskine İlişkin Olarak Kamuya Açıklanacak Hususlar</w:t>
      </w:r>
    </w:p>
    <w:p w14:paraId="0A918E33" w14:textId="1F03FB24" w:rsidR="00B662A0" w:rsidRPr="00872D7E" w:rsidRDefault="008B559D" w:rsidP="00624EF8">
      <w:pPr>
        <w:ind w:left="851"/>
        <w:jc w:val="both"/>
        <w:rPr>
          <w:b/>
          <w:szCs w:val="20"/>
        </w:rPr>
      </w:pPr>
      <w:r w:rsidRPr="00872D7E">
        <w:t>Bankada, maruz kalınan piyasa risklerinin tanımlandığı, ölçüm, izleme ve kontrol süreçlerinin detaylandırıldığı politika, süreç ve prosedürlerden oluşan iç mevzuatlar bulunur. Yasal veya banka içi değişiklikler göz önünde bulundurularak politika, prosedür ve süreçler en az yılda bir kez veya gerekli olması halinde daha sık olarak güncellenir. Piyasa riskine ilişkin çalışmalar Risk Yönetim Başkanlığı’nın altında bulunan Risk Politikaları ve Raporlamaları Müdürlüğü tarafından yapılmaktadır. İlgili çalışmalar yasal piyasa riski hesaplamaları, banka tarafından belirlenmiş limitlere uyumun takibi ve stres testi hesaplamalarını kapsamaktadır. Piyasa riski yönetimi kapsamında Aktif Pasif Yönetimi Müdürlüğü ile yakından çalışılmaktadır. Piyasa riski kapsamında ele alınabilecek banka içi politika, prosedür ve süreç dokümanlarının oluşturulması ve güncellenmesi aşamasında ilgili müdürlüklerden görüş ve öneriler alınmaktadır. Ayrıca piyasa riski kapsamında izlenen limitlere ilişkin uyumsuzluk olması durumunda ilgili birimlerden aşımların sebebi ve alınan/alınacak aksiyonlar hakkında bilgi alınmaktadır. Bankada piyasa riskine esas tutar “Bankaların Sermaye Yeterliliğinin Ölçülmesine ve Değerlendirilmesine İlişkin Yönetmelik” kapsamında standart metot kullanılarak hesaplanır. Standart metoda göre hesaplanan faiz (</w:t>
      </w:r>
      <w:r w:rsidR="00BC5CFA" w:rsidRPr="00872D7E">
        <w:t>kâr</w:t>
      </w:r>
      <w:r w:rsidRPr="00872D7E">
        <w:t xml:space="preserve"> payı) oranı riski, kur riski (altın dahil), emtia riski, takas riski, hisse senedi riski için gerekli sermaye yükümlülükleri toplamının on iki buçuk ile çarpılması suretiyle bulunur.</w:t>
      </w:r>
    </w:p>
    <w:p w14:paraId="4C923E4A" w14:textId="77777777" w:rsidR="00BC5CFA" w:rsidRPr="00872D7E" w:rsidRDefault="00BC5CFA">
      <w:pPr>
        <w:rPr>
          <w:b/>
          <w:szCs w:val="20"/>
        </w:rPr>
      </w:pPr>
      <w:r w:rsidRPr="00872D7E">
        <w:rPr>
          <w:b/>
          <w:szCs w:val="20"/>
        </w:rPr>
        <w:br w:type="page"/>
      </w:r>
    </w:p>
    <w:p w14:paraId="21C4C57C" w14:textId="6A61FF76" w:rsidR="00B662A0" w:rsidRPr="00872D7E" w:rsidRDefault="00B662A0" w:rsidP="00B662A0">
      <w:pPr>
        <w:pStyle w:val="BodyTextIndent"/>
        <w:widowControl w:val="0"/>
        <w:ind w:firstLine="0"/>
        <w:rPr>
          <w:b/>
          <w:szCs w:val="20"/>
        </w:rPr>
      </w:pPr>
      <w:r w:rsidRPr="00872D7E">
        <w:rPr>
          <w:b/>
          <w:szCs w:val="20"/>
        </w:rPr>
        <w:lastRenderedPageBreak/>
        <w:t>MALİ BÜNYEYE VE RİSK YÖNETİMİNE İLİŞKİN BİLGİLER (Devamı)</w:t>
      </w:r>
    </w:p>
    <w:p w14:paraId="606B00D7" w14:textId="77777777" w:rsidR="00B662A0" w:rsidRPr="00872D7E" w:rsidRDefault="00B662A0" w:rsidP="00BB2D67">
      <w:pPr>
        <w:spacing w:before="120"/>
        <w:ind w:left="851" w:hanging="851"/>
        <w:rPr>
          <w:b/>
          <w:bCs/>
        </w:rPr>
      </w:pPr>
      <w:r w:rsidRPr="00872D7E">
        <w:rPr>
          <w:b/>
          <w:bCs/>
        </w:rPr>
        <w:t>IX.</w:t>
      </w:r>
      <w:r w:rsidRPr="00872D7E">
        <w:rPr>
          <w:b/>
          <w:bCs/>
        </w:rPr>
        <w:tab/>
        <w:t>RİSK YÖNETİMİNE İLİŞKİN AÇIKLAMALAR (Devamı)</w:t>
      </w:r>
    </w:p>
    <w:p w14:paraId="4BE378AA" w14:textId="29597A7B" w:rsidR="00BC5CFA" w:rsidRPr="00872D7E" w:rsidRDefault="00BC5CFA" w:rsidP="00BB2D67">
      <w:pPr>
        <w:autoSpaceDE w:val="0"/>
        <w:autoSpaceDN w:val="0"/>
        <w:adjustRightInd w:val="0"/>
        <w:spacing w:before="80" w:after="120"/>
        <w:ind w:left="851" w:hanging="851"/>
        <w:jc w:val="both"/>
        <w:rPr>
          <w:b/>
          <w:szCs w:val="20"/>
        </w:rPr>
      </w:pPr>
      <w:r w:rsidRPr="00872D7E">
        <w:rPr>
          <w:b/>
          <w:szCs w:val="20"/>
        </w:rPr>
        <w:t>f.</w:t>
      </w:r>
      <w:r w:rsidRPr="00872D7E">
        <w:rPr>
          <w:b/>
          <w:szCs w:val="20"/>
        </w:rPr>
        <w:tab/>
        <w:t>Piyasa Riskine İlişkin Olarak Kamuya Açıklanacak Hususlar (Devamı)</w:t>
      </w:r>
    </w:p>
    <w:p w14:paraId="1AE86A30" w14:textId="3E6F6CE3" w:rsidR="00BC5CFA" w:rsidRPr="00872D7E" w:rsidRDefault="00BC5CFA" w:rsidP="00BC5CFA">
      <w:pPr>
        <w:spacing w:before="80" w:after="120"/>
        <w:ind w:left="851"/>
        <w:rPr>
          <w:b/>
          <w:szCs w:val="20"/>
        </w:rPr>
      </w:pPr>
      <w:r w:rsidRPr="00872D7E">
        <w:rPr>
          <w:b/>
          <w:szCs w:val="20"/>
        </w:rPr>
        <w:t>Standart Yaklaşım:</w:t>
      </w:r>
    </w:p>
    <w:tbl>
      <w:tblPr>
        <w:tblW w:w="5000" w:type="pct"/>
        <w:tblCellMar>
          <w:left w:w="70" w:type="dxa"/>
          <w:right w:w="70" w:type="dxa"/>
        </w:tblCellMar>
        <w:tblLook w:val="04A0" w:firstRow="1" w:lastRow="0" w:firstColumn="1" w:lastColumn="0" w:noHBand="0" w:noVBand="1"/>
      </w:tblPr>
      <w:tblGrid>
        <w:gridCol w:w="286"/>
        <w:gridCol w:w="7495"/>
        <w:gridCol w:w="1858"/>
      </w:tblGrid>
      <w:tr w:rsidR="00BC5CFA" w:rsidRPr="00872D7E" w14:paraId="4CABCD6F" w14:textId="77777777" w:rsidTr="006173C0">
        <w:trPr>
          <w:cantSplit/>
        </w:trPr>
        <w:tc>
          <w:tcPr>
            <w:tcW w:w="148" w:type="pct"/>
            <w:shd w:val="clear" w:color="auto" w:fill="auto"/>
            <w:noWrap/>
            <w:vAlign w:val="bottom"/>
          </w:tcPr>
          <w:p w14:paraId="613E7E4A" w14:textId="77777777" w:rsidR="00BC5CFA" w:rsidRPr="00872D7E" w:rsidRDefault="00BC5CFA" w:rsidP="006173C0">
            <w:pPr>
              <w:rPr>
                <w:b/>
                <w:szCs w:val="20"/>
              </w:rPr>
            </w:pPr>
            <w:bookmarkStart w:id="57" w:name="_Hlk95925302"/>
          </w:p>
        </w:tc>
        <w:tc>
          <w:tcPr>
            <w:tcW w:w="3888" w:type="pct"/>
            <w:shd w:val="clear" w:color="auto" w:fill="auto"/>
            <w:noWrap/>
            <w:vAlign w:val="center"/>
          </w:tcPr>
          <w:p w14:paraId="357FC855" w14:textId="77777777" w:rsidR="00BC5CFA" w:rsidRPr="00872D7E" w:rsidRDefault="00BC5CFA" w:rsidP="006173C0">
            <w:pPr>
              <w:rPr>
                <w:b/>
                <w:szCs w:val="20"/>
              </w:rPr>
            </w:pPr>
          </w:p>
        </w:tc>
        <w:tc>
          <w:tcPr>
            <w:tcW w:w="964" w:type="pct"/>
            <w:tcBorders>
              <w:bottom w:val="single" w:sz="2" w:space="0" w:color="auto"/>
            </w:tcBorders>
            <w:shd w:val="clear" w:color="auto" w:fill="auto"/>
            <w:noWrap/>
            <w:vAlign w:val="bottom"/>
          </w:tcPr>
          <w:p w14:paraId="02352A7E" w14:textId="77777777" w:rsidR="00BC5CFA" w:rsidRPr="00872D7E" w:rsidRDefault="00BC5CFA" w:rsidP="006173C0">
            <w:pPr>
              <w:jc w:val="right"/>
              <w:rPr>
                <w:b/>
                <w:szCs w:val="20"/>
              </w:rPr>
            </w:pPr>
            <w:r w:rsidRPr="00872D7E">
              <w:rPr>
                <w:b/>
                <w:szCs w:val="20"/>
              </w:rPr>
              <w:t>31 Aralık 2024</w:t>
            </w:r>
          </w:p>
        </w:tc>
      </w:tr>
      <w:tr w:rsidR="00BC5CFA" w:rsidRPr="00872D7E" w14:paraId="3E5F70EA" w14:textId="77777777" w:rsidTr="006173C0">
        <w:trPr>
          <w:cantSplit/>
        </w:trPr>
        <w:tc>
          <w:tcPr>
            <w:tcW w:w="148" w:type="pct"/>
            <w:tcBorders>
              <w:bottom w:val="single" w:sz="4" w:space="0" w:color="auto"/>
            </w:tcBorders>
            <w:shd w:val="clear" w:color="auto" w:fill="auto"/>
            <w:noWrap/>
            <w:vAlign w:val="bottom"/>
          </w:tcPr>
          <w:p w14:paraId="75F4F4DD" w14:textId="77777777" w:rsidR="00BC5CFA" w:rsidRPr="00872D7E" w:rsidRDefault="00BC5CFA" w:rsidP="006173C0">
            <w:pPr>
              <w:rPr>
                <w:b/>
                <w:szCs w:val="20"/>
              </w:rPr>
            </w:pPr>
          </w:p>
        </w:tc>
        <w:tc>
          <w:tcPr>
            <w:tcW w:w="3888" w:type="pct"/>
            <w:tcBorders>
              <w:bottom w:val="single" w:sz="4" w:space="0" w:color="auto"/>
            </w:tcBorders>
            <w:shd w:val="clear" w:color="auto" w:fill="auto"/>
            <w:noWrap/>
            <w:vAlign w:val="center"/>
          </w:tcPr>
          <w:p w14:paraId="5162B573" w14:textId="77777777" w:rsidR="00BC5CFA" w:rsidRPr="00872D7E" w:rsidRDefault="00BC5CFA" w:rsidP="006173C0">
            <w:pPr>
              <w:rPr>
                <w:b/>
                <w:szCs w:val="20"/>
              </w:rPr>
            </w:pPr>
          </w:p>
        </w:tc>
        <w:tc>
          <w:tcPr>
            <w:tcW w:w="964" w:type="pct"/>
            <w:tcBorders>
              <w:top w:val="single" w:sz="2" w:space="0" w:color="auto"/>
              <w:bottom w:val="single" w:sz="4" w:space="0" w:color="auto"/>
            </w:tcBorders>
            <w:shd w:val="clear" w:color="auto" w:fill="auto"/>
            <w:noWrap/>
            <w:vAlign w:val="center"/>
            <w:hideMark/>
          </w:tcPr>
          <w:p w14:paraId="52D7DDA9" w14:textId="77777777" w:rsidR="00BC5CFA" w:rsidRPr="00872D7E" w:rsidRDefault="00BC5CFA" w:rsidP="006173C0">
            <w:pPr>
              <w:jc w:val="right"/>
              <w:rPr>
                <w:b/>
                <w:szCs w:val="20"/>
              </w:rPr>
            </w:pPr>
            <w:r w:rsidRPr="00872D7E">
              <w:rPr>
                <w:b/>
                <w:szCs w:val="20"/>
              </w:rPr>
              <w:t>RAT</w:t>
            </w:r>
          </w:p>
        </w:tc>
      </w:tr>
      <w:bookmarkEnd w:id="57"/>
      <w:tr w:rsidR="00BC5CFA" w:rsidRPr="00872D7E" w14:paraId="23BFFE3A" w14:textId="77777777" w:rsidTr="006173C0">
        <w:trPr>
          <w:cantSplit/>
        </w:trPr>
        <w:tc>
          <w:tcPr>
            <w:tcW w:w="148" w:type="pct"/>
            <w:tcBorders>
              <w:top w:val="single" w:sz="4" w:space="0" w:color="auto"/>
              <w:bottom w:val="single" w:sz="4" w:space="0" w:color="auto"/>
            </w:tcBorders>
            <w:shd w:val="clear" w:color="auto" w:fill="auto"/>
            <w:noWrap/>
            <w:vAlign w:val="bottom"/>
            <w:hideMark/>
          </w:tcPr>
          <w:p w14:paraId="6E7B96A6" w14:textId="77777777" w:rsidR="00BC5CFA" w:rsidRPr="00872D7E" w:rsidRDefault="00BC5CFA" w:rsidP="006173C0">
            <w:pPr>
              <w:rPr>
                <w:szCs w:val="20"/>
              </w:rPr>
            </w:pPr>
          </w:p>
        </w:tc>
        <w:tc>
          <w:tcPr>
            <w:tcW w:w="3888" w:type="pct"/>
            <w:tcBorders>
              <w:top w:val="single" w:sz="4" w:space="0" w:color="auto"/>
              <w:bottom w:val="single" w:sz="4" w:space="0" w:color="auto"/>
            </w:tcBorders>
            <w:shd w:val="clear" w:color="auto" w:fill="auto"/>
            <w:noWrap/>
            <w:vAlign w:val="center"/>
            <w:hideMark/>
          </w:tcPr>
          <w:p w14:paraId="164F4FC0" w14:textId="77777777" w:rsidR="00BC5CFA" w:rsidRPr="00872D7E" w:rsidRDefault="00BC5CFA" w:rsidP="006173C0">
            <w:pPr>
              <w:rPr>
                <w:b/>
                <w:szCs w:val="20"/>
              </w:rPr>
            </w:pPr>
            <w:r w:rsidRPr="00872D7E">
              <w:rPr>
                <w:b/>
                <w:szCs w:val="20"/>
              </w:rPr>
              <w:t>Dolaysız (peşin) ürünler</w:t>
            </w:r>
          </w:p>
        </w:tc>
        <w:tc>
          <w:tcPr>
            <w:tcW w:w="964" w:type="pct"/>
            <w:tcBorders>
              <w:top w:val="single" w:sz="4" w:space="0" w:color="auto"/>
              <w:bottom w:val="single" w:sz="4" w:space="0" w:color="auto"/>
            </w:tcBorders>
            <w:shd w:val="clear" w:color="auto" w:fill="000000" w:themeFill="text1"/>
            <w:noWrap/>
          </w:tcPr>
          <w:p w14:paraId="7BB32C86" w14:textId="77777777" w:rsidR="00BC5CFA" w:rsidRPr="00872D7E" w:rsidRDefault="00BC5CFA" w:rsidP="006173C0">
            <w:pPr>
              <w:jc w:val="right"/>
              <w:rPr>
                <w:szCs w:val="20"/>
              </w:rPr>
            </w:pPr>
          </w:p>
        </w:tc>
      </w:tr>
      <w:tr w:rsidR="00BC5CFA" w:rsidRPr="00872D7E" w14:paraId="68542ACE" w14:textId="77777777" w:rsidTr="006173C0">
        <w:trPr>
          <w:cantSplit/>
        </w:trPr>
        <w:tc>
          <w:tcPr>
            <w:tcW w:w="148" w:type="pct"/>
            <w:tcBorders>
              <w:top w:val="single" w:sz="4" w:space="0" w:color="auto"/>
            </w:tcBorders>
            <w:shd w:val="clear" w:color="auto" w:fill="auto"/>
            <w:noWrap/>
            <w:vAlign w:val="center"/>
            <w:hideMark/>
          </w:tcPr>
          <w:p w14:paraId="1788C021" w14:textId="77777777" w:rsidR="00BC5CFA" w:rsidRPr="00872D7E" w:rsidRDefault="00BC5CFA" w:rsidP="006173C0">
            <w:pPr>
              <w:jc w:val="center"/>
              <w:rPr>
                <w:szCs w:val="20"/>
              </w:rPr>
            </w:pPr>
            <w:bookmarkStart w:id="58" w:name="_Hlk95925283"/>
            <w:r w:rsidRPr="00872D7E">
              <w:rPr>
                <w:szCs w:val="20"/>
              </w:rPr>
              <w:t>1</w:t>
            </w:r>
          </w:p>
        </w:tc>
        <w:tc>
          <w:tcPr>
            <w:tcW w:w="3888" w:type="pct"/>
            <w:tcBorders>
              <w:top w:val="single" w:sz="4" w:space="0" w:color="auto"/>
            </w:tcBorders>
            <w:shd w:val="clear" w:color="auto" w:fill="auto"/>
            <w:noWrap/>
            <w:vAlign w:val="center"/>
            <w:hideMark/>
          </w:tcPr>
          <w:p w14:paraId="743F6948" w14:textId="77777777" w:rsidR="00BC5CFA" w:rsidRPr="00872D7E" w:rsidRDefault="00BC5CFA" w:rsidP="006173C0">
            <w:pPr>
              <w:rPr>
                <w:szCs w:val="20"/>
              </w:rPr>
            </w:pPr>
            <w:r w:rsidRPr="00872D7E">
              <w:rPr>
                <w:szCs w:val="20"/>
              </w:rPr>
              <w:t xml:space="preserve">         Kar oranı riski (genel ve spesifik)</w:t>
            </w:r>
          </w:p>
        </w:tc>
        <w:tc>
          <w:tcPr>
            <w:tcW w:w="964" w:type="pct"/>
            <w:tcBorders>
              <w:top w:val="single" w:sz="4" w:space="0" w:color="auto"/>
            </w:tcBorders>
            <w:noWrap/>
          </w:tcPr>
          <w:p w14:paraId="3FB6F14F" w14:textId="77777777" w:rsidR="00BC5CFA" w:rsidRPr="00872D7E" w:rsidRDefault="00BC5CFA" w:rsidP="006173C0">
            <w:pPr>
              <w:jc w:val="right"/>
              <w:rPr>
                <w:szCs w:val="20"/>
              </w:rPr>
            </w:pPr>
            <w:r w:rsidRPr="00872D7E">
              <w:rPr>
                <w:szCs w:val="20"/>
              </w:rPr>
              <w:t>135.650</w:t>
            </w:r>
          </w:p>
        </w:tc>
      </w:tr>
      <w:bookmarkEnd w:id="58"/>
      <w:tr w:rsidR="00BC5CFA" w:rsidRPr="00872D7E" w14:paraId="1F0D9FFC" w14:textId="77777777" w:rsidTr="006173C0">
        <w:trPr>
          <w:cantSplit/>
        </w:trPr>
        <w:tc>
          <w:tcPr>
            <w:tcW w:w="148" w:type="pct"/>
            <w:shd w:val="clear" w:color="auto" w:fill="auto"/>
            <w:noWrap/>
            <w:vAlign w:val="center"/>
            <w:hideMark/>
          </w:tcPr>
          <w:p w14:paraId="7FFB0922" w14:textId="77777777" w:rsidR="00BC5CFA" w:rsidRPr="00872D7E" w:rsidRDefault="00BC5CFA" w:rsidP="006173C0">
            <w:pPr>
              <w:jc w:val="center"/>
              <w:rPr>
                <w:szCs w:val="20"/>
              </w:rPr>
            </w:pPr>
            <w:r w:rsidRPr="00872D7E">
              <w:rPr>
                <w:szCs w:val="20"/>
              </w:rPr>
              <w:t>2</w:t>
            </w:r>
          </w:p>
        </w:tc>
        <w:tc>
          <w:tcPr>
            <w:tcW w:w="3888" w:type="pct"/>
            <w:shd w:val="clear" w:color="auto" w:fill="auto"/>
            <w:noWrap/>
            <w:vAlign w:val="center"/>
            <w:hideMark/>
          </w:tcPr>
          <w:p w14:paraId="5C9A578F" w14:textId="77777777" w:rsidR="00BC5CFA" w:rsidRPr="00872D7E" w:rsidRDefault="00BC5CFA" w:rsidP="006173C0">
            <w:pPr>
              <w:rPr>
                <w:szCs w:val="20"/>
              </w:rPr>
            </w:pPr>
            <w:r w:rsidRPr="00872D7E">
              <w:rPr>
                <w:szCs w:val="20"/>
              </w:rPr>
              <w:t xml:space="preserve">         Hisse senedi riski (genel ve spesifik)</w:t>
            </w:r>
          </w:p>
        </w:tc>
        <w:tc>
          <w:tcPr>
            <w:tcW w:w="964" w:type="pct"/>
            <w:noWrap/>
          </w:tcPr>
          <w:p w14:paraId="281DECAE" w14:textId="77777777" w:rsidR="00BC5CFA" w:rsidRPr="00872D7E" w:rsidRDefault="00BC5CFA" w:rsidP="006173C0">
            <w:pPr>
              <w:jc w:val="right"/>
              <w:rPr>
                <w:szCs w:val="20"/>
              </w:rPr>
            </w:pPr>
            <w:r w:rsidRPr="00872D7E">
              <w:rPr>
                <w:szCs w:val="20"/>
              </w:rPr>
              <w:t>-</w:t>
            </w:r>
          </w:p>
        </w:tc>
      </w:tr>
      <w:tr w:rsidR="00BC5CFA" w:rsidRPr="00872D7E" w14:paraId="3799C1AA" w14:textId="77777777" w:rsidTr="006173C0">
        <w:trPr>
          <w:cantSplit/>
        </w:trPr>
        <w:tc>
          <w:tcPr>
            <w:tcW w:w="148" w:type="pct"/>
            <w:shd w:val="clear" w:color="auto" w:fill="auto"/>
            <w:noWrap/>
            <w:vAlign w:val="center"/>
            <w:hideMark/>
          </w:tcPr>
          <w:p w14:paraId="68BF590A" w14:textId="77777777" w:rsidR="00BC5CFA" w:rsidRPr="00872D7E" w:rsidRDefault="00BC5CFA" w:rsidP="006173C0">
            <w:pPr>
              <w:jc w:val="center"/>
              <w:rPr>
                <w:szCs w:val="20"/>
              </w:rPr>
            </w:pPr>
            <w:r w:rsidRPr="00872D7E">
              <w:rPr>
                <w:szCs w:val="20"/>
              </w:rPr>
              <w:t>3</w:t>
            </w:r>
          </w:p>
        </w:tc>
        <w:tc>
          <w:tcPr>
            <w:tcW w:w="3888" w:type="pct"/>
            <w:shd w:val="clear" w:color="auto" w:fill="auto"/>
            <w:noWrap/>
            <w:vAlign w:val="center"/>
            <w:hideMark/>
          </w:tcPr>
          <w:p w14:paraId="0FC7D450" w14:textId="77777777" w:rsidR="00BC5CFA" w:rsidRPr="00872D7E" w:rsidRDefault="00BC5CFA" w:rsidP="006173C0">
            <w:pPr>
              <w:rPr>
                <w:szCs w:val="20"/>
              </w:rPr>
            </w:pPr>
            <w:r w:rsidRPr="00872D7E">
              <w:rPr>
                <w:szCs w:val="20"/>
              </w:rPr>
              <w:t xml:space="preserve">         Kur riski</w:t>
            </w:r>
          </w:p>
        </w:tc>
        <w:tc>
          <w:tcPr>
            <w:tcW w:w="964" w:type="pct"/>
            <w:noWrap/>
          </w:tcPr>
          <w:p w14:paraId="0028C853" w14:textId="77777777" w:rsidR="00BC5CFA" w:rsidRPr="00872D7E" w:rsidRDefault="00BC5CFA" w:rsidP="006173C0">
            <w:pPr>
              <w:jc w:val="right"/>
              <w:rPr>
                <w:szCs w:val="20"/>
              </w:rPr>
            </w:pPr>
            <w:r w:rsidRPr="00872D7E">
              <w:rPr>
                <w:szCs w:val="20"/>
              </w:rPr>
              <w:t>224.988</w:t>
            </w:r>
          </w:p>
        </w:tc>
      </w:tr>
      <w:tr w:rsidR="00BC5CFA" w:rsidRPr="00872D7E" w14:paraId="05B0DB13" w14:textId="77777777" w:rsidTr="006173C0">
        <w:trPr>
          <w:cantSplit/>
        </w:trPr>
        <w:tc>
          <w:tcPr>
            <w:tcW w:w="148" w:type="pct"/>
            <w:tcBorders>
              <w:bottom w:val="single" w:sz="4" w:space="0" w:color="auto"/>
            </w:tcBorders>
            <w:shd w:val="clear" w:color="auto" w:fill="auto"/>
            <w:noWrap/>
            <w:vAlign w:val="center"/>
            <w:hideMark/>
          </w:tcPr>
          <w:p w14:paraId="20A7625D" w14:textId="77777777" w:rsidR="00BC5CFA" w:rsidRPr="00872D7E" w:rsidRDefault="00BC5CFA" w:rsidP="006173C0">
            <w:pPr>
              <w:jc w:val="center"/>
              <w:rPr>
                <w:szCs w:val="20"/>
              </w:rPr>
            </w:pPr>
            <w:r w:rsidRPr="00872D7E">
              <w:rPr>
                <w:szCs w:val="20"/>
              </w:rPr>
              <w:t>4</w:t>
            </w:r>
          </w:p>
        </w:tc>
        <w:tc>
          <w:tcPr>
            <w:tcW w:w="3888" w:type="pct"/>
            <w:tcBorders>
              <w:bottom w:val="single" w:sz="4" w:space="0" w:color="auto"/>
            </w:tcBorders>
            <w:shd w:val="clear" w:color="auto" w:fill="auto"/>
            <w:vAlign w:val="center"/>
            <w:hideMark/>
          </w:tcPr>
          <w:p w14:paraId="50755636" w14:textId="77777777" w:rsidR="00BC5CFA" w:rsidRPr="00872D7E" w:rsidRDefault="00BC5CFA" w:rsidP="006173C0">
            <w:pPr>
              <w:rPr>
                <w:szCs w:val="20"/>
              </w:rPr>
            </w:pPr>
            <w:r w:rsidRPr="00872D7E">
              <w:rPr>
                <w:szCs w:val="20"/>
              </w:rPr>
              <w:t xml:space="preserve">         Emtia riski</w:t>
            </w:r>
          </w:p>
        </w:tc>
        <w:tc>
          <w:tcPr>
            <w:tcW w:w="964" w:type="pct"/>
            <w:tcBorders>
              <w:bottom w:val="single" w:sz="4" w:space="0" w:color="auto"/>
            </w:tcBorders>
            <w:noWrap/>
          </w:tcPr>
          <w:p w14:paraId="407939F2" w14:textId="77777777" w:rsidR="00BC5CFA" w:rsidRPr="00872D7E" w:rsidRDefault="00BC5CFA" w:rsidP="006173C0">
            <w:pPr>
              <w:jc w:val="right"/>
              <w:rPr>
                <w:szCs w:val="20"/>
              </w:rPr>
            </w:pPr>
            <w:r w:rsidRPr="00872D7E">
              <w:rPr>
                <w:szCs w:val="20"/>
              </w:rPr>
              <w:t>18.125</w:t>
            </w:r>
          </w:p>
        </w:tc>
      </w:tr>
      <w:tr w:rsidR="00BC5CFA" w:rsidRPr="00872D7E" w14:paraId="1AD9673A" w14:textId="77777777" w:rsidTr="006173C0">
        <w:trPr>
          <w:cantSplit/>
        </w:trPr>
        <w:tc>
          <w:tcPr>
            <w:tcW w:w="148" w:type="pct"/>
            <w:tcBorders>
              <w:top w:val="single" w:sz="4" w:space="0" w:color="auto"/>
              <w:bottom w:val="single" w:sz="4" w:space="0" w:color="auto"/>
            </w:tcBorders>
            <w:shd w:val="clear" w:color="auto" w:fill="auto"/>
            <w:noWrap/>
            <w:vAlign w:val="center"/>
            <w:hideMark/>
          </w:tcPr>
          <w:p w14:paraId="6CD1196D" w14:textId="77777777" w:rsidR="00BC5CFA" w:rsidRPr="00872D7E" w:rsidRDefault="00BC5CFA" w:rsidP="006173C0">
            <w:pPr>
              <w:jc w:val="center"/>
              <w:rPr>
                <w:szCs w:val="20"/>
              </w:rPr>
            </w:pPr>
            <w:r w:rsidRPr="00872D7E">
              <w:rPr>
                <w:szCs w:val="20"/>
              </w:rPr>
              <w:t> </w:t>
            </w:r>
          </w:p>
        </w:tc>
        <w:tc>
          <w:tcPr>
            <w:tcW w:w="3888" w:type="pct"/>
            <w:tcBorders>
              <w:top w:val="single" w:sz="4" w:space="0" w:color="auto"/>
              <w:bottom w:val="single" w:sz="4" w:space="0" w:color="auto"/>
            </w:tcBorders>
            <w:shd w:val="clear" w:color="auto" w:fill="auto"/>
            <w:noWrap/>
            <w:vAlign w:val="center"/>
            <w:hideMark/>
          </w:tcPr>
          <w:p w14:paraId="2CC96D46" w14:textId="77777777" w:rsidR="00BC5CFA" w:rsidRPr="00872D7E" w:rsidRDefault="00BC5CFA" w:rsidP="006173C0">
            <w:pPr>
              <w:rPr>
                <w:b/>
                <w:szCs w:val="20"/>
              </w:rPr>
            </w:pPr>
            <w:r w:rsidRPr="00872D7E">
              <w:rPr>
                <w:b/>
                <w:szCs w:val="20"/>
              </w:rPr>
              <w:t>Opsiyonlar</w:t>
            </w:r>
          </w:p>
        </w:tc>
        <w:tc>
          <w:tcPr>
            <w:tcW w:w="964" w:type="pct"/>
            <w:tcBorders>
              <w:top w:val="single" w:sz="4" w:space="0" w:color="auto"/>
              <w:bottom w:val="single" w:sz="4" w:space="0" w:color="auto"/>
            </w:tcBorders>
            <w:shd w:val="clear" w:color="auto" w:fill="000000"/>
            <w:noWrap/>
          </w:tcPr>
          <w:p w14:paraId="4671E7E0" w14:textId="77777777" w:rsidR="00BC5CFA" w:rsidRPr="00872D7E" w:rsidRDefault="00BC5CFA" w:rsidP="006173C0">
            <w:pPr>
              <w:jc w:val="right"/>
              <w:rPr>
                <w:szCs w:val="20"/>
              </w:rPr>
            </w:pPr>
          </w:p>
        </w:tc>
      </w:tr>
      <w:tr w:rsidR="00BC5CFA" w:rsidRPr="00872D7E" w14:paraId="6872CB5C" w14:textId="77777777" w:rsidTr="006173C0">
        <w:trPr>
          <w:cantSplit/>
        </w:trPr>
        <w:tc>
          <w:tcPr>
            <w:tcW w:w="148" w:type="pct"/>
            <w:tcBorders>
              <w:top w:val="single" w:sz="4" w:space="0" w:color="auto"/>
            </w:tcBorders>
            <w:shd w:val="clear" w:color="auto" w:fill="auto"/>
            <w:noWrap/>
            <w:vAlign w:val="center"/>
            <w:hideMark/>
          </w:tcPr>
          <w:p w14:paraId="2159D04C" w14:textId="77777777" w:rsidR="00BC5CFA" w:rsidRPr="00872D7E" w:rsidRDefault="00BC5CFA" w:rsidP="006173C0">
            <w:pPr>
              <w:jc w:val="center"/>
              <w:rPr>
                <w:szCs w:val="20"/>
              </w:rPr>
            </w:pPr>
            <w:r w:rsidRPr="00872D7E">
              <w:rPr>
                <w:szCs w:val="20"/>
              </w:rPr>
              <w:t>5</w:t>
            </w:r>
          </w:p>
        </w:tc>
        <w:tc>
          <w:tcPr>
            <w:tcW w:w="3888" w:type="pct"/>
            <w:tcBorders>
              <w:top w:val="single" w:sz="4" w:space="0" w:color="auto"/>
            </w:tcBorders>
            <w:shd w:val="clear" w:color="auto" w:fill="auto"/>
            <w:noWrap/>
            <w:vAlign w:val="center"/>
            <w:hideMark/>
          </w:tcPr>
          <w:p w14:paraId="0D98BE3E" w14:textId="77777777" w:rsidR="00BC5CFA" w:rsidRPr="00872D7E" w:rsidRDefault="00BC5CFA" w:rsidP="006173C0">
            <w:pPr>
              <w:rPr>
                <w:szCs w:val="20"/>
              </w:rPr>
            </w:pPr>
            <w:r w:rsidRPr="00872D7E">
              <w:rPr>
                <w:szCs w:val="20"/>
              </w:rPr>
              <w:t xml:space="preserve">         Basitleştirilmiş yaklaşım</w:t>
            </w:r>
          </w:p>
        </w:tc>
        <w:tc>
          <w:tcPr>
            <w:tcW w:w="964" w:type="pct"/>
            <w:tcBorders>
              <w:top w:val="single" w:sz="4" w:space="0" w:color="auto"/>
            </w:tcBorders>
            <w:noWrap/>
          </w:tcPr>
          <w:p w14:paraId="37C700B4" w14:textId="77777777" w:rsidR="00BC5CFA" w:rsidRPr="00872D7E" w:rsidRDefault="00BC5CFA" w:rsidP="006173C0">
            <w:pPr>
              <w:jc w:val="right"/>
              <w:rPr>
                <w:szCs w:val="20"/>
              </w:rPr>
            </w:pPr>
            <w:r w:rsidRPr="00872D7E">
              <w:rPr>
                <w:szCs w:val="20"/>
              </w:rPr>
              <w:t>-</w:t>
            </w:r>
          </w:p>
        </w:tc>
      </w:tr>
      <w:tr w:rsidR="00BC5CFA" w:rsidRPr="00872D7E" w14:paraId="6DF7291E" w14:textId="77777777" w:rsidTr="006173C0">
        <w:trPr>
          <w:cantSplit/>
        </w:trPr>
        <w:tc>
          <w:tcPr>
            <w:tcW w:w="148" w:type="pct"/>
            <w:shd w:val="clear" w:color="auto" w:fill="auto"/>
            <w:noWrap/>
            <w:vAlign w:val="center"/>
            <w:hideMark/>
          </w:tcPr>
          <w:p w14:paraId="16F07DB0" w14:textId="77777777" w:rsidR="00BC5CFA" w:rsidRPr="00872D7E" w:rsidRDefault="00BC5CFA" w:rsidP="006173C0">
            <w:pPr>
              <w:jc w:val="center"/>
              <w:rPr>
                <w:szCs w:val="20"/>
              </w:rPr>
            </w:pPr>
            <w:r w:rsidRPr="00872D7E">
              <w:rPr>
                <w:szCs w:val="20"/>
              </w:rPr>
              <w:t>6</w:t>
            </w:r>
          </w:p>
        </w:tc>
        <w:tc>
          <w:tcPr>
            <w:tcW w:w="3888" w:type="pct"/>
            <w:shd w:val="clear" w:color="auto" w:fill="auto"/>
            <w:noWrap/>
            <w:vAlign w:val="center"/>
            <w:hideMark/>
          </w:tcPr>
          <w:p w14:paraId="231286AE" w14:textId="77777777" w:rsidR="00BC5CFA" w:rsidRPr="00872D7E" w:rsidRDefault="00BC5CFA" w:rsidP="006173C0">
            <w:pPr>
              <w:rPr>
                <w:szCs w:val="20"/>
              </w:rPr>
            </w:pPr>
            <w:r w:rsidRPr="00872D7E">
              <w:rPr>
                <w:szCs w:val="20"/>
              </w:rPr>
              <w:t xml:space="preserve">         Delta-plus metodu</w:t>
            </w:r>
          </w:p>
        </w:tc>
        <w:tc>
          <w:tcPr>
            <w:tcW w:w="964" w:type="pct"/>
            <w:noWrap/>
          </w:tcPr>
          <w:p w14:paraId="18C58E77" w14:textId="77777777" w:rsidR="00BC5CFA" w:rsidRPr="00872D7E" w:rsidRDefault="00BC5CFA" w:rsidP="006173C0">
            <w:pPr>
              <w:jc w:val="right"/>
              <w:rPr>
                <w:szCs w:val="20"/>
              </w:rPr>
            </w:pPr>
            <w:r w:rsidRPr="00872D7E">
              <w:rPr>
                <w:szCs w:val="20"/>
              </w:rPr>
              <w:t>-</w:t>
            </w:r>
          </w:p>
        </w:tc>
      </w:tr>
      <w:tr w:rsidR="00BC5CFA" w:rsidRPr="00872D7E" w14:paraId="052A8DA7" w14:textId="77777777" w:rsidTr="006173C0">
        <w:trPr>
          <w:cantSplit/>
        </w:trPr>
        <w:tc>
          <w:tcPr>
            <w:tcW w:w="148" w:type="pct"/>
            <w:shd w:val="clear" w:color="auto" w:fill="auto"/>
            <w:noWrap/>
            <w:vAlign w:val="center"/>
            <w:hideMark/>
          </w:tcPr>
          <w:p w14:paraId="3DF16573" w14:textId="77777777" w:rsidR="00BC5CFA" w:rsidRPr="00872D7E" w:rsidRDefault="00BC5CFA" w:rsidP="006173C0">
            <w:pPr>
              <w:jc w:val="center"/>
              <w:rPr>
                <w:szCs w:val="20"/>
              </w:rPr>
            </w:pPr>
            <w:r w:rsidRPr="00872D7E">
              <w:rPr>
                <w:szCs w:val="20"/>
              </w:rPr>
              <w:t>7</w:t>
            </w:r>
          </w:p>
        </w:tc>
        <w:tc>
          <w:tcPr>
            <w:tcW w:w="3888" w:type="pct"/>
            <w:shd w:val="clear" w:color="auto" w:fill="auto"/>
            <w:noWrap/>
            <w:vAlign w:val="center"/>
            <w:hideMark/>
          </w:tcPr>
          <w:p w14:paraId="70CDC8DD" w14:textId="77777777" w:rsidR="00BC5CFA" w:rsidRPr="00872D7E" w:rsidRDefault="00BC5CFA" w:rsidP="006173C0">
            <w:pPr>
              <w:rPr>
                <w:szCs w:val="20"/>
              </w:rPr>
            </w:pPr>
            <w:r w:rsidRPr="00872D7E">
              <w:rPr>
                <w:szCs w:val="20"/>
              </w:rPr>
              <w:t xml:space="preserve">         Senaryo yaklaşımı</w:t>
            </w:r>
          </w:p>
        </w:tc>
        <w:tc>
          <w:tcPr>
            <w:tcW w:w="964" w:type="pct"/>
            <w:noWrap/>
          </w:tcPr>
          <w:p w14:paraId="219FA931" w14:textId="77777777" w:rsidR="00BC5CFA" w:rsidRPr="00872D7E" w:rsidRDefault="00BC5CFA" w:rsidP="006173C0">
            <w:pPr>
              <w:jc w:val="right"/>
              <w:rPr>
                <w:szCs w:val="20"/>
              </w:rPr>
            </w:pPr>
            <w:r w:rsidRPr="00872D7E">
              <w:rPr>
                <w:szCs w:val="20"/>
              </w:rPr>
              <w:t>-</w:t>
            </w:r>
          </w:p>
        </w:tc>
      </w:tr>
      <w:tr w:rsidR="00BC5CFA" w:rsidRPr="00872D7E" w14:paraId="65D0524F" w14:textId="77777777" w:rsidTr="006173C0">
        <w:trPr>
          <w:cantSplit/>
        </w:trPr>
        <w:tc>
          <w:tcPr>
            <w:tcW w:w="148" w:type="pct"/>
            <w:tcBorders>
              <w:bottom w:val="single" w:sz="4" w:space="0" w:color="auto"/>
            </w:tcBorders>
            <w:shd w:val="clear" w:color="auto" w:fill="auto"/>
            <w:noWrap/>
            <w:vAlign w:val="center"/>
            <w:hideMark/>
          </w:tcPr>
          <w:p w14:paraId="4C88F2C5" w14:textId="77777777" w:rsidR="00BC5CFA" w:rsidRPr="00872D7E" w:rsidRDefault="00BC5CFA" w:rsidP="006173C0">
            <w:pPr>
              <w:jc w:val="center"/>
              <w:rPr>
                <w:szCs w:val="20"/>
              </w:rPr>
            </w:pPr>
            <w:r w:rsidRPr="00872D7E">
              <w:rPr>
                <w:szCs w:val="20"/>
              </w:rPr>
              <w:t>8</w:t>
            </w:r>
          </w:p>
        </w:tc>
        <w:tc>
          <w:tcPr>
            <w:tcW w:w="3888" w:type="pct"/>
            <w:tcBorders>
              <w:bottom w:val="single" w:sz="4" w:space="0" w:color="auto"/>
            </w:tcBorders>
            <w:shd w:val="clear" w:color="auto" w:fill="auto"/>
            <w:noWrap/>
            <w:vAlign w:val="center"/>
            <w:hideMark/>
          </w:tcPr>
          <w:p w14:paraId="3CD644C3" w14:textId="77777777" w:rsidR="00BC5CFA" w:rsidRPr="00872D7E" w:rsidRDefault="00BC5CFA" w:rsidP="006173C0">
            <w:pPr>
              <w:rPr>
                <w:szCs w:val="20"/>
              </w:rPr>
            </w:pPr>
            <w:r w:rsidRPr="00872D7E">
              <w:rPr>
                <w:szCs w:val="20"/>
              </w:rPr>
              <w:t xml:space="preserve">         Menkul kıymetleştirme</w:t>
            </w:r>
          </w:p>
        </w:tc>
        <w:tc>
          <w:tcPr>
            <w:tcW w:w="964" w:type="pct"/>
            <w:tcBorders>
              <w:bottom w:val="single" w:sz="4" w:space="0" w:color="auto"/>
            </w:tcBorders>
            <w:noWrap/>
          </w:tcPr>
          <w:p w14:paraId="0318B47A" w14:textId="77777777" w:rsidR="00BC5CFA" w:rsidRPr="00872D7E" w:rsidRDefault="00BC5CFA" w:rsidP="006173C0">
            <w:pPr>
              <w:jc w:val="right"/>
              <w:rPr>
                <w:szCs w:val="20"/>
              </w:rPr>
            </w:pPr>
            <w:r w:rsidRPr="00872D7E">
              <w:rPr>
                <w:szCs w:val="20"/>
              </w:rPr>
              <w:t>-</w:t>
            </w:r>
          </w:p>
        </w:tc>
      </w:tr>
      <w:tr w:rsidR="00BC5CFA" w:rsidRPr="00872D7E" w14:paraId="2AD72643" w14:textId="77777777" w:rsidTr="006173C0">
        <w:trPr>
          <w:cantSplit/>
        </w:trPr>
        <w:tc>
          <w:tcPr>
            <w:tcW w:w="148" w:type="pct"/>
            <w:tcBorders>
              <w:top w:val="single" w:sz="4" w:space="0" w:color="auto"/>
              <w:bottom w:val="single" w:sz="12" w:space="0" w:color="auto"/>
            </w:tcBorders>
            <w:shd w:val="clear" w:color="auto" w:fill="auto"/>
            <w:noWrap/>
            <w:vAlign w:val="center"/>
            <w:hideMark/>
          </w:tcPr>
          <w:p w14:paraId="03F27E11" w14:textId="77777777" w:rsidR="00BC5CFA" w:rsidRPr="00872D7E" w:rsidRDefault="00BC5CFA" w:rsidP="006173C0">
            <w:pPr>
              <w:jc w:val="center"/>
              <w:rPr>
                <w:b/>
                <w:szCs w:val="20"/>
              </w:rPr>
            </w:pPr>
            <w:r w:rsidRPr="00872D7E">
              <w:rPr>
                <w:b/>
                <w:szCs w:val="20"/>
              </w:rPr>
              <w:t>9</w:t>
            </w:r>
          </w:p>
        </w:tc>
        <w:tc>
          <w:tcPr>
            <w:tcW w:w="3888" w:type="pct"/>
            <w:tcBorders>
              <w:top w:val="single" w:sz="4" w:space="0" w:color="auto"/>
              <w:bottom w:val="single" w:sz="12" w:space="0" w:color="auto"/>
            </w:tcBorders>
            <w:shd w:val="clear" w:color="auto" w:fill="auto"/>
            <w:noWrap/>
            <w:vAlign w:val="center"/>
            <w:hideMark/>
          </w:tcPr>
          <w:p w14:paraId="08DB02BC" w14:textId="77777777" w:rsidR="00BC5CFA" w:rsidRPr="00872D7E" w:rsidRDefault="00BC5CFA" w:rsidP="006173C0">
            <w:pPr>
              <w:rPr>
                <w:b/>
                <w:szCs w:val="20"/>
              </w:rPr>
            </w:pPr>
            <w:r w:rsidRPr="00872D7E">
              <w:rPr>
                <w:b/>
                <w:szCs w:val="20"/>
              </w:rPr>
              <w:t>Toplam</w:t>
            </w:r>
          </w:p>
        </w:tc>
        <w:tc>
          <w:tcPr>
            <w:tcW w:w="964" w:type="pct"/>
            <w:tcBorders>
              <w:top w:val="single" w:sz="4" w:space="0" w:color="auto"/>
              <w:bottom w:val="single" w:sz="12" w:space="0" w:color="auto"/>
            </w:tcBorders>
            <w:noWrap/>
          </w:tcPr>
          <w:p w14:paraId="55048E62" w14:textId="77777777" w:rsidR="00BC5CFA" w:rsidRPr="00872D7E" w:rsidRDefault="00BC5CFA" w:rsidP="006173C0">
            <w:pPr>
              <w:jc w:val="right"/>
              <w:rPr>
                <w:b/>
                <w:bCs/>
                <w:szCs w:val="20"/>
              </w:rPr>
            </w:pPr>
            <w:r w:rsidRPr="00872D7E">
              <w:rPr>
                <w:b/>
                <w:bCs/>
                <w:szCs w:val="20"/>
              </w:rPr>
              <w:t>378.763</w:t>
            </w:r>
          </w:p>
        </w:tc>
      </w:tr>
    </w:tbl>
    <w:p w14:paraId="3EE94942" w14:textId="656D279E" w:rsidR="000174D2" w:rsidRPr="00872D7E" w:rsidRDefault="00372B0F" w:rsidP="00BB2D67">
      <w:pPr>
        <w:spacing w:before="120" w:after="120"/>
        <w:ind w:left="851" w:hanging="851"/>
        <w:rPr>
          <w:b/>
          <w:szCs w:val="20"/>
        </w:rPr>
      </w:pPr>
      <w:r w:rsidRPr="00872D7E">
        <w:rPr>
          <w:b/>
          <w:szCs w:val="20"/>
        </w:rPr>
        <w:t>g</w:t>
      </w:r>
      <w:r w:rsidR="000174D2" w:rsidRPr="00872D7E">
        <w:rPr>
          <w:b/>
          <w:szCs w:val="20"/>
        </w:rPr>
        <w:t>.</w:t>
      </w:r>
      <w:r w:rsidR="00BB2D67" w:rsidRPr="00872D7E">
        <w:rPr>
          <w:b/>
          <w:szCs w:val="20"/>
        </w:rPr>
        <w:tab/>
      </w:r>
      <w:r w:rsidR="000174D2" w:rsidRPr="00872D7E">
        <w:rPr>
          <w:b/>
          <w:szCs w:val="20"/>
        </w:rPr>
        <w:t>Operasyonel Riske İlişkin Olarak Kamuya Açıklanacak Hususlar:</w:t>
      </w:r>
    </w:p>
    <w:p w14:paraId="16AC45E4" w14:textId="74D4B142" w:rsidR="000174D2" w:rsidRPr="00872D7E" w:rsidRDefault="000174D2" w:rsidP="00BB2D67">
      <w:pPr>
        <w:spacing w:after="120"/>
        <w:ind w:left="851"/>
        <w:jc w:val="both"/>
        <w:rPr>
          <w:szCs w:val="20"/>
        </w:rPr>
      </w:pPr>
      <w:r w:rsidRPr="00872D7E">
        <w:rPr>
          <w:szCs w:val="20"/>
        </w:rPr>
        <w:t>Operasyonel risk sermaye gereksinimi, ülke mevzuatındaki uygulamaya paralel olarak, Bankaların Sermaye Yeterliliğinin Ölçülmesine ve Değerlendirilmesine ilişkin Yönetmelik’in 24. maddesi uyarınca Temel Gösterge Yöntemi kullanılarak yılda bir defa hesaplanmaktadır. 31 Aralık 202</w:t>
      </w:r>
      <w:r w:rsidR="00DE6C4C" w:rsidRPr="00872D7E">
        <w:rPr>
          <w:szCs w:val="20"/>
        </w:rPr>
        <w:t>4</w:t>
      </w:r>
      <w:r w:rsidRPr="00872D7E">
        <w:rPr>
          <w:szCs w:val="20"/>
        </w:rPr>
        <w:t xml:space="preserve"> itibarıyla operasyonel riske esas tutar ve hesaplamaya ilişkin bilgilere aşağıda yer verilmektedir.</w:t>
      </w:r>
    </w:p>
    <w:tbl>
      <w:tblPr>
        <w:tblW w:w="9795" w:type="dxa"/>
        <w:tblCellMar>
          <w:left w:w="0" w:type="dxa"/>
          <w:right w:w="0" w:type="dxa"/>
        </w:tblCellMar>
        <w:tblLook w:val="04A0" w:firstRow="1" w:lastRow="0" w:firstColumn="1" w:lastColumn="0" w:noHBand="0" w:noVBand="1"/>
      </w:tblPr>
      <w:tblGrid>
        <w:gridCol w:w="3214"/>
        <w:gridCol w:w="1053"/>
        <w:gridCol w:w="1053"/>
        <w:gridCol w:w="1053"/>
        <w:gridCol w:w="1390"/>
        <w:gridCol w:w="829"/>
        <w:gridCol w:w="1203"/>
      </w:tblGrid>
      <w:tr w:rsidR="000174D2" w:rsidRPr="00872D7E" w14:paraId="7950AF51" w14:textId="77777777" w:rsidTr="00246A10">
        <w:trPr>
          <w:trHeight w:val="227"/>
        </w:trPr>
        <w:tc>
          <w:tcPr>
            <w:tcW w:w="3214" w:type="dxa"/>
            <w:tcBorders>
              <w:top w:val="single" w:sz="4" w:space="0" w:color="auto"/>
              <w:bottom w:val="single" w:sz="4" w:space="0" w:color="auto"/>
            </w:tcBorders>
            <w:shd w:val="clear" w:color="auto" w:fill="auto"/>
            <w:tcMar>
              <w:top w:w="0" w:type="dxa"/>
              <w:left w:w="30" w:type="dxa"/>
              <w:bottom w:w="0" w:type="dxa"/>
              <w:right w:w="30" w:type="dxa"/>
            </w:tcMar>
            <w:vAlign w:val="bottom"/>
            <w:hideMark/>
          </w:tcPr>
          <w:p w14:paraId="6A01F84B" w14:textId="77777777" w:rsidR="000174D2" w:rsidRPr="00872D7E" w:rsidRDefault="000174D2" w:rsidP="00DE6C4C">
            <w:pPr>
              <w:jc w:val="right"/>
              <w:rPr>
                <w:b/>
                <w:szCs w:val="20"/>
              </w:rPr>
            </w:pPr>
            <w:r w:rsidRPr="00872D7E">
              <w:rPr>
                <w:b/>
                <w:bCs/>
                <w:szCs w:val="20"/>
              </w:rPr>
              <w:t> </w:t>
            </w:r>
          </w:p>
        </w:tc>
        <w:tc>
          <w:tcPr>
            <w:tcW w:w="1053" w:type="dxa"/>
            <w:tcBorders>
              <w:top w:val="single" w:sz="4" w:space="0" w:color="auto"/>
              <w:bottom w:val="single" w:sz="4" w:space="0" w:color="auto"/>
            </w:tcBorders>
            <w:shd w:val="clear" w:color="auto" w:fill="auto"/>
            <w:tcMar>
              <w:top w:w="0" w:type="dxa"/>
              <w:left w:w="30" w:type="dxa"/>
              <w:bottom w:w="0" w:type="dxa"/>
              <w:right w:w="30" w:type="dxa"/>
            </w:tcMar>
            <w:vAlign w:val="bottom"/>
            <w:hideMark/>
          </w:tcPr>
          <w:p w14:paraId="689F457D" w14:textId="77777777" w:rsidR="000174D2" w:rsidRPr="00872D7E" w:rsidRDefault="000174D2" w:rsidP="00DE6C4C">
            <w:pPr>
              <w:jc w:val="center"/>
              <w:rPr>
                <w:b/>
                <w:szCs w:val="20"/>
              </w:rPr>
            </w:pPr>
            <w:r w:rsidRPr="00872D7E">
              <w:rPr>
                <w:b/>
                <w:szCs w:val="20"/>
              </w:rPr>
              <w:t>2 ÖD Tutar</w:t>
            </w:r>
          </w:p>
        </w:tc>
        <w:tc>
          <w:tcPr>
            <w:tcW w:w="1053" w:type="dxa"/>
            <w:tcBorders>
              <w:top w:val="single" w:sz="4" w:space="0" w:color="auto"/>
              <w:bottom w:val="single" w:sz="4" w:space="0" w:color="auto"/>
            </w:tcBorders>
            <w:shd w:val="clear" w:color="auto" w:fill="auto"/>
            <w:tcMar>
              <w:top w:w="0" w:type="dxa"/>
              <w:left w:w="30" w:type="dxa"/>
              <w:bottom w:w="0" w:type="dxa"/>
              <w:right w:w="30" w:type="dxa"/>
            </w:tcMar>
            <w:vAlign w:val="bottom"/>
            <w:hideMark/>
          </w:tcPr>
          <w:p w14:paraId="4139A9FF" w14:textId="77777777" w:rsidR="000174D2" w:rsidRPr="00872D7E" w:rsidRDefault="000174D2" w:rsidP="00DE6C4C">
            <w:pPr>
              <w:jc w:val="center"/>
              <w:rPr>
                <w:b/>
                <w:szCs w:val="20"/>
              </w:rPr>
            </w:pPr>
            <w:r w:rsidRPr="00872D7E">
              <w:rPr>
                <w:b/>
                <w:szCs w:val="20"/>
              </w:rPr>
              <w:t>1 ÖD Tutar</w:t>
            </w:r>
          </w:p>
        </w:tc>
        <w:tc>
          <w:tcPr>
            <w:tcW w:w="1053" w:type="dxa"/>
            <w:tcBorders>
              <w:top w:val="single" w:sz="4" w:space="0" w:color="auto"/>
              <w:bottom w:val="single" w:sz="4" w:space="0" w:color="auto"/>
            </w:tcBorders>
            <w:shd w:val="clear" w:color="auto" w:fill="auto"/>
            <w:tcMar>
              <w:top w:w="0" w:type="dxa"/>
              <w:left w:w="30" w:type="dxa"/>
              <w:bottom w:w="0" w:type="dxa"/>
              <w:right w:w="30" w:type="dxa"/>
            </w:tcMar>
            <w:vAlign w:val="bottom"/>
            <w:hideMark/>
          </w:tcPr>
          <w:p w14:paraId="5C3B7074" w14:textId="77777777" w:rsidR="000174D2" w:rsidRPr="00872D7E" w:rsidRDefault="000174D2" w:rsidP="00DE6C4C">
            <w:pPr>
              <w:jc w:val="center"/>
              <w:rPr>
                <w:b/>
                <w:szCs w:val="20"/>
              </w:rPr>
            </w:pPr>
            <w:r w:rsidRPr="00872D7E">
              <w:rPr>
                <w:b/>
                <w:szCs w:val="20"/>
              </w:rPr>
              <w:t>CD Tutar</w:t>
            </w:r>
          </w:p>
        </w:tc>
        <w:tc>
          <w:tcPr>
            <w:tcW w:w="1390" w:type="dxa"/>
            <w:tcBorders>
              <w:top w:val="single" w:sz="4" w:space="0" w:color="auto"/>
              <w:bottom w:val="single" w:sz="4" w:space="0" w:color="auto"/>
            </w:tcBorders>
            <w:shd w:val="clear" w:color="auto" w:fill="auto"/>
            <w:tcMar>
              <w:top w:w="0" w:type="dxa"/>
              <w:left w:w="30" w:type="dxa"/>
              <w:bottom w:w="0" w:type="dxa"/>
              <w:right w:w="30" w:type="dxa"/>
            </w:tcMar>
            <w:vAlign w:val="bottom"/>
            <w:hideMark/>
          </w:tcPr>
          <w:p w14:paraId="6F5603A8" w14:textId="77777777" w:rsidR="000174D2" w:rsidRPr="00872D7E" w:rsidRDefault="000174D2" w:rsidP="00DE6C4C">
            <w:pPr>
              <w:jc w:val="center"/>
              <w:rPr>
                <w:b/>
                <w:szCs w:val="20"/>
              </w:rPr>
            </w:pPr>
            <w:r w:rsidRPr="00872D7E">
              <w:rPr>
                <w:b/>
                <w:szCs w:val="20"/>
              </w:rPr>
              <w:t>Toplam/Pozitif BG yılı sayısı</w:t>
            </w:r>
          </w:p>
        </w:tc>
        <w:tc>
          <w:tcPr>
            <w:tcW w:w="829" w:type="dxa"/>
            <w:tcBorders>
              <w:top w:val="single" w:sz="4" w:space="0" w:color="auto"/>
              <w:bottom w:val="single" w:sz="4" w:space="0" w:color="auto"/>
            </w:tcBorders>
            <w:shd w:val="clear" w:color="auto" w:fill="auto"/>
            <w:tcMar>
              <w:top w:w="0" w:type="dxa"/>
              <w:left w:w="30" w:type="dxa"/>
              <w:bottom w:w="0" w:type="dxa"/>
              <w:right w:w="30" w:type="dxa"/>
            </w:tcMar>
            <w:vAlign w:val="bottom"/>
            <w:hideMark/>
          </w:tcPr>
          <w:p w14:paraId="51D724FD" w14:textId="77777777" w:rsidR="000174D2" w:rsidRPr="00872D7E" w:rsidRDefault="000174D2" w:rsidP="00DE6C4C">
            <w:pPr>
              <w:jc w:val="center"/>
              <w:rPr>
                <w:b/>
                <w:szCs w:val="20"/>
              </w:rPr>
            </w:pPr>
            <w:r w:rsidRPr="00872D7E">
              <w:rPr>
                <w:b/>
                <w:szCs w:val="20"/>
              </w:rPr>
              <w:t>Oran (%)</w:t>
            </w:r>
          </w:p>
        </w:tc>
        <w:tc>
          <w:tcPr>
            <w:tcW w:w="1203" w:type="dxa"/>
            <w:tcBorders>
              <w:top w:val="single" w:sz="4" w:space="0" w:color="auto"/>
              <w:bottom w:val="single" w:sz="4" w:space="0" w:color="auto"/>
            </w:tcBorders>
            <w:shd w:val="clear" w:color="auto" w:fill="auto"/>
            <w:tcMar>
              <w:top w:w="0" w:type="dxa"/>
              <w:left w:w="30" w:type="dxa"/>
              <w:bottom w:w="0" w:type="dxa"/>
              <w:right w:w="30" w:type="dxa"/>
            </w:tcMar>
            <w:vAlign w:val="bottom"/>
            <w:hideMark/>
          </w:tcPr>
          <w:p w14:paraId="45B2D98C" w14:textId="77777777" w:rsidR="000174D2" w:rsidRPr="00872D7E" w:rsidRDefault="000174D2" w:rsidP="00DE6C4C">
            <w:pPr>
              <w:jc w:val="center"/>
              <w:rPr>
                <w:b/>
                <w:szCs w:val="20"/>
              </w:rPr>
            </w:pPr>
            <w:r w:rsidRPr="00872D7E">
              <w:rPr>
                <w:b/>
                <w:szCs w:val="20"/>
              </w:rPr>
              <w:t>Toplam</w:t>
            </w:r>
          </w:p>
        </w:tc>
      </w:tr>
      <w:tr w:rsidR="000174D2" w:rsidRPr="00872D7E" w14:paraId="16CDA903" w14:textId="77777777" w:rsidTr="00246A10">
        <w:trPr>
          <w:trHeight w:val="227"/>
        </w:trPr>
        <w:tc>
          <w:tcPr>
            <w:tcW w:w="3214" w:type="dxa"/>
            <w:tcBorders>
              <w:top w:val="single" w:sz="4" w:space="0" w:color="auto"/>
            </w:tcBorders>
            <w:shd w:val="clear" w:color="auto" w:fill="auto"/>
            <w:tcMar>
              <w:top w:w="0" w:type="dxa"/>
              <w:left w:w="30" w:type="dxa"/>
              <w:bottom w:w="0" w:type="dxa"/>
              <w:right w:w="30" w:type="dxa"/>
            </w:tcMar>
            <w:vAlign w:val="center"/>
            <w:hideMark/>
          </w:tcPr>
          <w:p w14:paraId="2762A000" w14:textId="77777777" w:rsidR="000174D2" w:rsidRPr="00872D7E" w:rsidRDefault="000174D2" w:rsidP="00DE6C4C">
            <w:pPr>
              <w:jc w:val="center"/>
              <w:rPr>
                <w:b/>
                <w:bCs/>
                <w:szCs w:val="20"/>
              </w:rPr>
            </w:pPr>
          </w:p>
        </w:tc>
        <w:tc>
          <w:tcPr>
            <w:tcW w:w="1053" w:type="dxa"/>
            <w:tcBorders>
              <w:top w:val="single" w:sz="4" w:space="0" w:color="auto"/>
            </w:tcBorders>
            <w:shd w:val="clear" w:color="auto" w:fill="auto"/>
            <w:tcMar>
              <w:top w:w="0" w:type="dxa"/>
              <w:left w:w="30" w:type="dxa"/>
              <w:bottom w:w="0" w:type="dxa"/>
              <w:right w:w="30" w:type="dxa"/>
            </w:tcMar>
            <w:vAlign w:val="bottom"/>
            <w:hideMark/>
          </w:tcPr>
          <w:p w14:paraId="0DA0F74B" w14:textId="77777777" w:rsidR="000174D2" w:rsidRPr="00872D7E" w:rsidRDefault="000174D2" w:rsidP="00DE6C4C">
            <w:pPr>
              <w:jc w:val="center"/>
              <w:rPr>
                <w:szCs w:val="20"/>
              </w:rPr>
            </w:pPr>
          </w:p>
        </w:tc>
        <w:tc>
          <w:tcPr>
            <w:tcW w:w="1053" w:type="dxa"/>
            <w:tcBorders>
              <w:top w:val="single" w:sz="4" w:space="0" w:color="auto"/>
            </w:tcBorders>
            <w:shd w:val="clear" w:color="auto" w:fill="auto"/>
            <w:tcMar>
              <w:top w:w="0" w:type="dxa"/>
              <w:left w:w="30" w:type="dxa"/>
              <w:bottom w:w="0" w:type="dxa"/>
              <w:right w:w="30" w:type="dxa"/>
            </w:tcMar>
            <w:vAlign w:val="bottom"/>
            <w:hideMark/>
          </w:tcPr>
          <w:p w14:paraId="733BC32C" w14:textId="77777777" w:rsidR="000174D2" w:rsidRPr="00872D7E" w:rsidRDefault="000174D2" w:rsidP="00DE6C4C">
            <w:pPr>
              <w:jc w:val="center"/>
              <w:rPr>
                <w:szCs w:val="20"/>
              </w:rPr>
            </w:pPr>
          </w:p>
        </w:tc>
        <w:tc>
          <w:tcPr>
            <w:tcW w:w="1053" w:type="dxa"/>
            <w:tcBorders>
              <w:top w:val="single" w:sz="4" w:space="0" w:color="auto"/>
            </w:tcBorders>
            <w:shd w:val="clear" w:color="auto" w:fill="auto"/>
            <w:tcMar>
              <w:top w:w="0" w:type="dxa"/>
              <w:left w:w="30" w:type="dxa"/>
              <w:bottom w:w="0" w:type="dxa"/>
              <w:right w:w="30" w:type="dxa"/>
            </w:tcMar>
            <w:vAlign w:val="bottom"/>
            <w:hideMark/>
          </w:tcPr>
          <w:p w14:paraId="56BB6166" w14:textId="77777777" w:rsidR="000174D2" w:rsidRPr="00872D7E" w:rsidRDefault="000174D2" w:rsidP="00DE6C4C">
            <w:pPr>
              <w:jc w:val="center"/>
              <w:rPr>
                <w:szCs w:val="20"/>
              </w:rPr>
            </w:pPr>
          </w:p>
        </w:tc>
        <w:tc>
          <w:tcPr>
            <w:tcW w:w="1390" w:type="dxa"/>
            <w:tcBorders>
              <w:top w:val="single" w:sz="4" w:space="0" w:color="auto"/>
            </w:tcBorders>
            <w:shd w:val="clear" w:color="auto" w:fill="auto"/>
            <w:tcMar>
              <w:top w:w="0" w:type="dxa"/>
              <w:left w:w="30" w:type="dxa"/>
              <w:bottom w:w="0" w:type="dxa"/>
              <w:right w:w="30" w:type="dxa"/>
            </w:tcMar>
            <w:vAlign w:val="bottom"/>
            <w:hideMark/>
          </w:tcPr>
          <w:p w14:paraId="6D946DFA" w14:textId="77777777" w:rsidR="000174D2" w:rsidRPr="00872D7E" w:rsidRDefault="000174D2" w:rsidP="00DE6C4C">
            <w:pPr>
              <w:jc w:val="center"/>
              <w:rPr>
                <w:szCs w:val="20"/>
              </w:rPr>
            </w:pPr>
          </w:p>
        </w:tc>
        <w:tc>
          <w:tcPr>
            <w:tcW w:w="829" w:type="dxa"/>
            <w:tcBorders>
              <w:top w:val="single" w:sz="4" w:space="0" w:color="auto"/>
            </w:tcBorders>
            <w:shd w:val="clear" w:color="auto" w:fill="auto"/>
            <w:tcMar>
              <w:top w:w="0" w:type="dxa"/>
              <w:left w:w="30" w:type="dxa"/>
              <w:bottom w:w="0" w:type="dxa"/>
              <w:right w:w="30" w:type="dxa"/>
            </w:tcMar>
            <w:vAlign w:val="bottom"/>
            <w:hideMark/>
          </w:tcPr>
          <w:p w14:paraId="724C0D8C" w14:textId="77777777" w:rsidR="000174D2" w:rsidRPr="00872D7E" w:rsidRDefault="000174D2" w:rsidP="00DE6C4C">
            <w:pPr>
              <w:jc w:val="center"/>
              <w:rPr>
                <w:szCs w:val="20"/>
              </w:rPr>
            </w:pPr>
          </w:p>
        </w:tc>
        <w:tc>
          <w:tcPr>
            <w:tcW w:w="1203" w:type="dxa"/>
            <w:tcBorders>
              <w:top w:val="single" w:sz="4" w:space="0" w:color="auto"/>
            </w:tcBorders>
            <w:shd w:val="clear" w:color="auto" w:fill="auto"/>
            <w:tcMar>
              <w:top w:w="0" w:type="dxa"/>
              <w:left w:w="30" w:type="dxa"/>
              <w:bottom w:w="0" w:type="dxa"/>
              <w:right w:w="30" w:type="dxa"/>
            </w:tcMar>
            <w:vAlign w:val="bottom"/>
            <w:hideMark/>
          </w:tcPr>
          <w:p w14:paraId="6AB0AC44" w14:textId="77777777" w:rsidR="000174D2" w:rsidRPr="00872D7E" w:rsidRDefault="000174D2" w:rsidP="00DE6C4C">
            <w:pPr>
              <w:jc w:val="center"/>
              <w:rPr>
                <w:szCs w:val="20"/>
              </w:rPr>
            </w:pPr>
          </w:p>
        </w:tc>
      </w:tr>
      <w:tr w:rsidR="00DE6C4C" w:rsidRPr="00872D7E" w14:paraId="47BE41A4" w14:textId="77777777" w:rsidTr="00246A10">
        <w:trPr>
          <w:trHeight w:val="227"/>
        </w:trPr>
        <w:tc>
          <w:tcPr>
            <w:tcW w:w="3214" w:type="dxa"/>
            <w:shd w:val="clear" w:color="auto" w:fill="auto"/>
            <w:tcMar>
              <w:top w:w="0" w:type="dxa"/>
              <w:left w:w="30" w:type="dxa"/>
              <w:bottom w:w="0" w:type="dxa"/>
              <w:right w:w="30" w:type="dxa"/>
            </w:tcMar>
            <w:vAlign w:val="center"/>
            <w:hideMark/>
          </w:tcPr>
          <w:p w14:paraId="6AD998AD" w14:textId="77777777" w:rsidR="00DE6C4C" w:rsidRPr="00872D7E" w:rsidRDefault="00DE6C4C" w:rsidP="00DE6C4C">
            <w:pPr>
              <w:rPr>
                <w:szCs w:val="20"/>
              </w:rPr>
            </w:pPr>
            <w:r w:rsidRPr="00872D7E">
              <w:rPr>
                <w:szCs w:val="20"/>
              </w:rPr>
              <w:t>Brüt gelir</w:t>
            </w:r>
          </w:p>
        </w:tc>
        <w:tc>
          <w:tcPr>
            <w:tcW w:w="1053" w:type="dxa"/>
            <w:shd w:val="clear" w:color="auto" w:fill="auto"/>
            <w:tcMar>
              <w:top w:w="0" w:type="dxa"/>
              <w:left w:w="30" w:type="dxa"/>
              <w:bottom w:w="0" w:type="dxa"/>
              <w:right w:w="30" w:type="dxa"/>
            </w:tcMar>
            <w:vAlign w:val="bottom"/>
          </w:tcPr>
          <w:p w14:paraId="38C314B7" w14:textId="724D09B7" w:rsidR="00DE6C4C" w:rsidRPr="00872D7E" w:rsidRDefault="00DE6C4C" w:rsidP="00DE6C4C">
            <w:pPr>
              <w:jc w:val="center"/>
              <w:rPr>
                <w:szCs w:val="20"/>
              </w:rPr>
            </w:pPr>
            <w:r w:rsidRPr="00872D7E">
              <w:rPr>
                <w:szCs w:val="20"/>
              </w:rPr>
              <w:t>10.814</w:t>
            </w:r>
          </w:p>
        </w:tc>
        <w:tc>
          <w:tcPr>
            <w:tcW w:w="1053" w:type="dxa"/>
            <w:shd w:val="clear" w:color="auto" w:fill="auto"/>
            <w:tcMar>
              <w:top w:w="0" w:type="dxa"/>
              <w:left w:w="30" w:type="dxa"/>
              <w:bottom w:w="0" w:type="dxa"/>
              <w:right w:w="30" w:type="dxa"/>
            </w:tcMar>
            <w:vAlign w:val="bottom"/>
          </w:tcPr>
          <w:p w14:paraId="2EFE91AA" w14:textId="107AAFAA" w:rsidR="00DE6C4C" w:rsidRPr="00872D7E" w:rsidRDefault="00DE6C4C" w:rsidP="00DE6C4C">
            <w:pPr>
              <w:jc w:val="center"/>
              <w:rPr>
                <w:szCs w:val="20"/>
              </w:rPr>
            </w:pPr>
            <w:r w:rsidRPr="00872D7E">
              <w:rPr>
                <w:szCs w:val="20"/>
              </w:rPr>
              <w:t>12.330</w:t>
            </w:r>
          </w:p>
        </w:tc>
        <w:tc>
          <w:tcPr>
            <w:tcW w:w="1053" w:type="dxa"/>
            <w:shd w:val="clear" w:color="auto" w:fill="auto"/>
            <w:tcMar>
              <w:top w:w="0" w:type="dxa"/>
              <w:left w:w="30" w:type="dxa"/>
              <w:bottom w:w="0" w:type="dxa"/>
              <w:right w:w="30" w:type="dxa"/>
            </w:tcMar>
            <w:vAlign w:val="bottom"/>
          </w:tcPr>
          <w:p w14:paraId="7726F0C9" w14:textId="4DB1BBBD" w:rsidR="00DE6C4C" w:rsidRPr="00872D7E" w:rsidRDefault="00DE6C4C" w:rsidP="00DE6C4C">
            <w:pPr>
              <w:jc w:val="center"/>
              <w:rPr>
                <w:szCs w:val="20"/>
              </w:rPr>
            </w:pPr>
            <w:r w:rsidRPr="00872D7E">
              <w:rPr>
                <w:szCs w:val="20"/>
              </w:rPr>
              <w:t>91.397</w:t>
            </w:r>
          </w:p>
        </w:tc>
        <w:tc>
          <w:tcPr>
            <w:tcW w:w="1390" w:type="dxa"/>
            <w:shd w:val="clear" w:color="auto" w:fill="auto"/>
            <w:tcMar>
              <w:top w:w="0" w:type="dxa"/>
              <w:left w:w="30" w:type="dxa"/>
              <w:bottom w:w="0" w:type="dxa"/>
              <w:right w:w="30" w:type="dxa"/>
            </w:tcMar>
            <w:vAlign w:val="bottom"/>
          </w:tcPr>
          <w:p w14:paraId="2BF03A8B" w14:textId="367C173B" w:rsidR="00DE6C4C" w:rsidRPr="00872D7E" w:rsidRDefault="00DE6C4C" w:rsidP="00DE6C4C">
            <w:pPr>
              <w:jc w:val="center"/>
              <w:rPr>
                <w:szCs w:val="20"/>
              </w:rPr>
            </w:pPr>
            <w:r w:rsidRPr="00872D7E">
              <w:rPr>
                <w:szCs w:val="20"/>
              </w:rPr>
              <w:t>38.180</w:t>
            </w:r>
          </w:p>
        </w:tc>
        <w:tc>
          <w:tcPr>
            <w:tcW w:w="829" w:type="dxa"/>
            <w:shd w:val="clear" w:color="auto" w:fill="auto"/>
            <w:tcMar>
              <w:top w:w="0" w:type="dxa"/>
              <w:left w:w="30" w:type="dxa"/>
              <w:bottom w:w="0" w:type="dxa"/>
              <w:right w:w="30" w:type="dxa"/>
            </w:tcMar>
            <w:vAlign w:val="bottom"/>
          </w:tcPr>
          <w:p w14:paraId="3A02B326" w14:textId="5193F68B" w:rsidR="00DE6C4C" w:rsidRPr="00872D7E" w:rsidRDefault="00DE6C4C" w:rsidP="00DE6C4C">
            <w:pPr>
              <w:jc w:val="center"/>
              <w:rPr>
                <w:szCs w:val="20"/>
              </w:rPr>
            </w:pPr>
            <w:r w:rsidRPr="00872D7E">
              <w:rPr>
                <w:szCs w:val="20"/>
              </w:rPr>
              <w:t>15</w:t>
            </w:r>
          </w:p>
        </w:tc>
        <w:tc>
          <w:tcPr>
            <w:tcW w:w="1203" w:type="dxa"/>
            <w:shd w:val="clear" w:color="auto" w:fill="auto"/>
            <w:tcMar>
              <w:top w:w="0" w:type="dxa"/>
              <w:left w:w="30" w:type="dxa"/>
              <w:bottom w:w="0" w:type="dxa"/>
              <w:right w:w="30" w:type="dxa"/>
            </w:tcMar>
            <w:vAlign w:val="bottom"/>
          </w:tcPr>
          <w:p w14:paraId="149F8BAE" w14:textId="3466109B" w:rsidR="00DE6C4C" w:rsidRPr="00872D7E" w:rsidRDefault="00DE6C4C" w:rsidP="00DE6C4C">
            <w:pPr>
              <w:jc w:val="center"/>
              <w:rPr>
                <w:szCs w:val="20"/>
              </w:rPr>
            </w:pPr>
            <w:r w:rsidRPr="00872D7E">
              <w:rPr>
                <w:szCs w:val="20"/>
              </w:rPr>
              <w:t>5.727</w:t>
            </w:r>
          </w:p>
        </w:tc>
      </w:tr>
      <w:tr w:rsidR="000174D2" w:rsidRPr="00872D7E" w14:paraId="4BBD9BFE" w14:textId="77777777" w:rsidTr="00246A10">
        <w:trPr>
          <w:trHeight w:val="227"/>
        </w:trPr>
        <w:tc>
          <w:tcPr>
            <w:tcW w:w="3214" w:type="dxa"/>
            <w:tcBorders>
              <w:bottom w:val="single" w:sz="4" w:space="0" w:color="auto"/>
            </w:tcBorders>
            <w:shd w:val="clear" w:color="auto" w:fill="auto"/>
            <w:tcMar>
              <w:top w:w="0" w:type="dxa"/>
              <w:left w:w="30" w:type="dxa"/>
              <w:bottom w:w="0" w:type="dxa"/>
              <w:right w:w="30" w:type="dxa"/>
            </w:tcMar>
            <w:vAlign w:val="center"/>
            <w:hideMark/>
          </w:tcPr>
          <w:p w14:paraId="68E90997" w14:textId="77777777" w:rsidR="000174D2" w:rsidRPr="00872D7E" w:rsidRDefault="000174D2" w:rsidP="00DE6C4C">
            <w:pPr>
              <w:rPr>
                <w:szCs w:val="20"/>
              </w:rPr>
            </w:pPr>
            <w:r w:rsidRPr="00872D7E">
              <w:rPr>
                <w:szCs w:val="20"/>
              </w:rPr>
              <w:t>Operasyonel riske esas tutar</w:t>
            </w:r>
          </w:p>
          <w:p w14:paraId="4F21DDF7" w14:textId="77777777" w:rsidR="000174D2" w:rsidRPr="00872D7E" w:rsidRDefault="000174D2" w:rsidP="00DE6C4C">
            <w:pPr>
              <w:rPr>
                <w:szCs w:val="20"/>
              </w:rPr>
            </w:pPr>
            <w:r w:rsidRPr="00872D7E">
              <w:rPr>
                <w:szCs w:val="20"/>
              </w:rPr>
              <w:t>(Toplam*12,5)</w:t>
            </w:r>
          </w:p>
        </w:tc>
        <w:tc>
          <w:tcPr>
            <w:tcW w:w="5378" w:type="dxa"/>
            <w:gridSpan w:val="5"/>
            <w:tcBorders>
              <w:bottom w:val="single" w:sz="4" w:space="0" w:color="auto"/>
            </w:tcBorders>
            <w:shd w:val="clear" w:color="auto" w:fill="auto"/>
            <w:tcMar>
              <w:top w:w="0" w:type="dxa"/>
              <w:left w:w="30" w:type="dxa"/>
              <w:bottom w:w="0" w:type="dxa"/>
              <w:right w:w="30" w:type="dxa"/>
            </w:tcMar>
            <w:vAlign w:val="bottom"/>
          </w:tcPr>
          <w:p w14:paraId="614D2D16" w14:textId="77777777" w:rsidR="000174D2" w:rsidRPr="00872D7E" w:rsidRDefault="000174D2" w:rsidP="00DE6C4C">
            <w:pPr>
              <w:ind w:right="129"/>
              <w:jc w:val="center"/>
              <w:rPr>
                <w:szCs w:val="20"/>
              </w:rPr>
            </w:pPr>
          </w:p>
        </w:tc>
        <w:tc>
          <w:tcPr>
            <w:tcW w:w="1203" w:type="dxa"/>
            <w:tcBorders>
              <w:bottom w:val="single" w:sz="4" w:space="0" w:color="auto"/>
            </w:tcBorders>
            <w:shd w:val="clear" w:color="auto" w:fill="auto"/>
            <w:tcMar>
              <w:top w:w="0" w:type="dxa"/>
              <w:left w:w="30" w:type="dxa"/>
              <w:bottom w:w="0" w:type="dxa"/>
              <w:right w:w="30" w:type="dxa"/>
            </w:tcMar>
            <w:vAlign w:val="bottom"/>
          </w:tcPr>
          <w:p w14:paraId="68C79575" w14:textId="4567F1C4" w:rsidR="000174D2" w:rsidRPr="00872D7E" w:rsidRDefault="00DE6C4C" w:rsidP="00DE6C4C">
            <w:pPr>
              <w:jc w:val="center"/>
              <w:rPr>
                <w:szCs w:val="20"/>
              </w:rPr>
            </w:pPr>
            <w:r w:rsidRPr="00872D7E">
              <w:rPr>
                <w:szCs w:val="20"/>
              </w:rPr>
              <w:t>71.588</w:t>
            </w:r>
          </w:p>
        </w:tc>
      </w:tr>
    </w:tbl>
    <w:p w14:paraId="44164E18" w14:textId="5E0F3A04" w:rsidR="000174D2" w:rsidRPr="00872D7E" w:rsidRDefault="00372B0F" w:rsidP="00507F2D">
      <w:pPr>
        <w:autoSpaceDE w:val="0"/>
        <w:autoSpaceDN w:val="0"/>
        <w:adjustRightInd w:val="0"/>
        <w:spacing w:before="120" w:after="120"/>
        <w:ind w:left="851" w:hanging="851"/>
        <w:jc w:val="both"/>
        <w:rPr>
          <w:b/>
          <w:bCs/>
          <w:szCs w:val="20"/>
        </w:rPr>
      </w:pPr>
      <w:r w:rsidRPr="00872D7E">
        <w:rPr>
          <w:b/>
          <w:szCs w:val="20"/>
        </w:rPr>
        <w:t>h</w:t>
      </w:r>
      <w:r w:rsidR="000174D2" w:rsidRPr="00872D7E">
        <w:rPr>
          <w:b/>
          <w:szCs w:val="20"/>
        </w:rPr>
        <w:t>.</w:t>
      </w:r>
      <w:r w:rsidR="00736C2A" w:rsidRPr="00872D7E">
        <w:rPr>
          <w:b/>
          <w:szCs w:val="20"/>
        </w:rPr>
        <w:tab/>
      </w:r>
      <w:r w:rsidR="000174D2" w:rsidRPr="00872D7E">
        <w:rPr>
          <w:b/>
          <w:bCs/>
          <w:szCs w:val="20"/>
        </w:rPr>
        <w:t>Bankacılık hesaplarındaki kar oranı riskine ilişkin olarak kamuya açıklanacak hususlar:</w:t>
      </w:r>
    </w:p>
    <w:p w14:paraId="26BEBAFF" w14:textId="054ABAE0" w:rsidR="000174D2" w:rsidRPr="00872D7E" w:rsidRDefault="00372B0F" w:rsidP="00507F2D">
      <w:pPr>
        <w:pStyle w:val="ListParagraph"/>
        <w:autoSpaceDE w:val="0"/>
        <w:autoSpaceDN w:val="0"/>
        <w:adjustRightInd w:val="0"/>
        <w:spacing w:before="120" w:after="120"/>
        <w:ind w:left="851" w:hanging="851"/>
        <w:jc w:val="both"/>
        <w:rPr>
          <w:b/>
          <w:bCs/>
          <w:szCs w:val="20"/>
        </w:rPr>
      </w:pPr>
      <w:r w:rsidRPr="00872D7E">
        <w:rPr>
          <w:b/>
          <w:bCs/>
          <w:szCs w:val="20"/>
        </w:rPr>
        <w:t>1</w:t>
      </w:r>
      <w:r w:rsidR="000174D2" w:rsidRPr="00872D7E">
        <w:rPr>
          <w:b/>
          <w:bCs/>
          <w:szCs w:val="20"/>
        </w:rPr>
        <w:t>)</w:t>
      </w:r>
      <w:r w:rsidR="00736C2A" w:rsidRPr="00872D7E">
        <w:rPr>
          <w:b/>
          <w:bCs/>
          <w:szCs w:val="20"/>
        </w:rPr>
        <w:tab/>
      </w:r>
      <w:r w:rsidR="000174D2" w:rsidRPr="00872D7E">
        <w:rPr>
          <w:b/>
          <w:bCs/>
          <w:szCs w:val="20"/>
        </w:rPr>
        <w:t>Bankacılık hesaplarından kaynaklanan kar oranı riskinin niteliği ve kredi erken geri ödemeleri ve vadeli mevduatlar dışındaki mevduatların hareketine ilişkin olanlar da dahil önemli varsayımlar ile kar oranı riskinin ölçüm sıklığı</w:t>
      </w:r>
    </w:p>
    <w:p w14:paraId="7E189F07" w14:textId="77777777" w:rsidR="000174D2" w:rsidRPr="00872D7E" w:rsidRDefault="000174D2" w:rsidP="00DB0271">
      <w:pPr>
        <w:pStyle w:val="ListParagraph"/>
        <w:autoSpaceDE w:val="0"/>
        <w:autoSpaceDN w:val="0"/>
        <w:adjustRightInd w:val="0"/>
        <w:spacing w:before="120" w:after="120"/>
        <w:ind w:left="851"/>
        <w:jc w:val="both"/>
        <w:rPr>
          <w:bCs/>
          <w:szCs w:val="20"/>
        </w:rPr>
      </w:pPr>
      <w:r w:rsidRPr="00872D7E">
        <w:rPr>
          <w:bCs/>
          <w:szCs w:val="20"/>
        </w:rPr>
        <w:t>Bankacılık hesaplarından kaynaklanan kar oranı riski; Banka’nın bankacılık hesaplarında yer alan ve bilanço içi ve bilanço dışı pozisyonlardan kaynaklanan kar oranı riskinin standart şok yöntemiyle ölçülmektedir.</w:t>
      </w:r>
    </w:p>
    <w:p w14:paraId="1199B9F2" w14:textId="64E63703" w:rsidR="000174D2" w:rsidRPr="00872D7E" w:rsidRDefault="000174D2" w:rsidP="00DB0271">
      <w:pPr>
        <w:pStyle w:val="ListParagraph"/>
        <w:autoSpaceDE w:val="0"/>
        <w:autoSpaceDN w:val="0"/>
        <w:adjustRightInd w:val="0"/>
        <w:spacing w:before="120" w:after="120"/>
        <w:ind w:left="851"/>
        <w:jc w:val="both"/>
        <w:rPr>
          <w:bCs/>
          <w:szCs w:val="20"/>
        </w:rPr>
      </w:pPr>
      <w:r w:rsidRPr="00872D7E">
        <w:rPr>
          <w:bCs/>
          <w:szCs w:val="20"/>
        </w:rPr>
        <w:t xml:space="preserve">Banka, bankacılık hesaplarından kaynaklanan kar oranı riskini, </w:t>
      </w:r>
      <w:proofErr w:type="gramStart"/>
      <w:r w:rsidRPr="00872D7E">
        <w:rPr>
          <w:bCs/>
          <w:szCs w:val="20"/>
        </w:rPr>
        <w:t>Resmi</w:t>
      </w:r>
      <w:proofErr w:type="gramEnd"/>
      <w:r w:rsidRPr="00872D7E">
        <w:rPr>
          <w:bCs/>
          <w:szCs w:val="20"/>
        </w:rPr>
        <w:t xml:space="preserve"> </w:t>
      </w:r>
      <w:proofErr w:type="spellStart"/>
      <w:r w:rsidRPr="00872D7E">
        <w:rPr>
          <w:bCs/>
          <w:szCs w:val="20"/>
        </w:rPr>
        <w:t>Gazete’de</w:t>
      </w:r>
      <w:proofErr w:type="spellEnd"/>
      <w:r w:rsidRPr="00872D7E">
        <w:rPr>
          <w:bCs/>
          <w:szCs w:val="20"/>
        </w:rPr>
        <w:t xml:space="preserve"> yayımlanan </w:t>
      </w:r>
      <w:r w:rsidR="00DB0271" w:rsidRPr="00872D7E">
        <w:rPr>
          <w:bCs/>
          <w:szCs w:val="20"/>
        </w:rPr>
        <w:br/>
      </w:r>
      <w:r w:rsidRPr="00872D7E">
        <w:rPr>
          <w:bCs/>
          <w:szCs w:val="20"/>
        </w:rPr>
        <w:t>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517F29B1" w14:textId="77777777" w:rsidR="000174D2" w:rsidRPr="00872D7E" w:rsidRDefault="000174D2" w:rsidP="00DB0271">
      <w:pPr>
        <w:pStyle w:val="ListParagraph"/>
        <w:autoSpaceDE w:val="0"/>
        <w:autoSpaceDN w:val="0"/>
        <w:adjustRightInd w:val="0"/>
        <w:spacing w:before="120" w:after="120"/>
        <w:ind w:left="851"/>
        <w:jc w:val="both"/>
        <w:rPr>
          <w:bCs/>
          <w:szCs w:val="20"/>
        </w:rPr>
      </w:pPr>
      <w:r w:rsidRPr="00872D7E">
        <w:rPr>
          <w:bCs/>
          <w:szCs w:val="20"/>
        </w:rPr>
        <w:t>Banka, ilgili yönetmelik kapsamında yapılan hesaplamalarda, bankacılık hesaplarında yer alan kâr payı getirili aktifler, kâr payı ödenen pasifler, yeniden yapılandırma riski, verim eğrisi riski ve piyasa koşullarında meydana gelen kar oranlarına ait değişimler çerçevesinde izlenmekte, değerlendirilmekte ölçülmekte ve yönetilmektedir.</w:t>
      </w:r>
    </w:p>
    <w:p w14:paraId="708820CD" w14:textId="5BE1596D" w:rsidR="00BC5CFA" w:rsidRPr="00872D7E" w:rsidRDefault="000174D2" w:rsidP="00DB0271">
      <w:pPr>
        <w:ind w:left="851"/>
        <w:jc w:val="both"/>
        <w:rPr>
          <w:bCs/>
          <w:szCs w:val="20"/>
        </w:rPr>
      </w:pPr>
      <w:r w:rsidRPr="00872D7E">
        <w:rPr>
          <w:bCs/>
          <w:szCs w:val="20"/>
        </w:rPr>
        <w:t>Söz konusu hususların Banka sermayesini olumsuz etkileme riskine karşılık, Yönetim Kurulu tarafından oluşturulan Yönetmelikler kapsamında ve haftalık olarak Banka Aktif-Pasif Komitesi tarafından değerlendirilip, yönetilmektedir.</w:t>
      </w:r>
    </w:p>
    <w:p w14:paraId="6F309CDD" w14:textId="77777777" w:rsidR="00BC5CFA" w:rsidRPr="00872D7E" w:rsidRDefault="00BC5CFA">
      <w:pPr>
        <w:rPr>
          <w:bCs/>
          <w:szCs w:val="20"/>
        </w:rPr>
      </w:pPr>
      <w:r w:rsidRPr="00872D7E">
        <w:rPr>
          <w:bCs/>
          <w:szCs w:val="20"/>
        </w:rPr>
        <w:br w:type="page"/>
      </w:r>
    </w:p>
    <w:p w14:paraId="689F2334" w14:textId="77777777" w:rsidR="0010170A" w:rsidRPr="00872D7E" w:rsidRDefault="0010170A" w:rsidP="0010170A">
      <w:pPr>
        <w:pStyle w:val="BodyTextIndent"/>
        <w:widowControl w:val="0"/>
        <w:ind w:firstLine="0"/>
        <w:rPr>
          <w:b/>
          <w:szCs w:val="20"/>
        </w:rPr>
      </w:pPr>
      <w:r w:rsidRPr="00872D7E">
        <w:rPr>
          <w:b/>
          <w:szCs w:val="20"/>
        </w:rPr>
        <w:lastRenderedPageBreak/>
        <w:t>MALİ BÜNYEYE VE RİSK YÖNETİMİNE İLİŞKİN BİLGİLER (Devamı)</w:t>
      </w:r>
    </w:p>
    <w:p w14:paraId="3C166087" w14:textId="77777777" w:rsidR="0010170A" w:rsidRPr="00872D7E" w:rsidRDefault="0010170A" w:rsidP="00A04623">
      <w:pPr>
        <w:spacing w:before="120"/>
        <w:ind w:left="851" w:hanging="851"/>
        <w:rPr>
          <w:b/>
          <w:bCs/>
        </w:rPr>
      </w:pPr>
      <w:r w:rsidRPr="00872D7E">
        <w:rPr>
          <w:b/>
          <w:bCs/>
        </w:rPr>
        <w:t>IX.</w:t>
      </w:r>
      <w:r w:rsidRPr="00872D7E">
        <w:rPr>
          <w:b/>
          <w:bCs/>
        </w:rPr>
        <w:tab/>
        <w:t>RİSK YÖNETİMİNE İLİŞKİN AÇIKLAMALAR (Devamı)</w:t>
      </w:r>
    </w:p>
    <w:p w14:paraId="2E72BDB5" w14:textId="3D5189C7" w:rsidR="000174D2" w:rsidRPr="00872D7E" w:rsidRDefault="0010170A" w:rsidP="00A04623">
      <w:pPr>
        <w:autoSpaceDE w:val="0"/>
        <w:autoSpaceDN w:val="0"/>
        <w:adjustRightInd w:val="0"/>
        <w:spacing w:before="120" w:after="120"/>
        <w:ind w:left="851" w:right="187" w:hanging="851"/>
        <w:jc w:val="both"/>
        <w:rPr>
          <w:b/>
          <w:szCs w:val="20"/>
        </w:rPr>
      </w:pPr>
      <w:r w:rsidRPr="00872D7E">
        <w:rPr>
          <w:b/>
          <w:szCs w:val="20"/>
        </w:rPr>
        <w:t>h.</w:t>
      </w:r>
      <w:r w:rsidR="00A04623" w:rsidRPr="00872D7E">
        <w:rPr>
          <w:b/>
          <w:szCs w:val="20"/>
        </w:rPr>
        <w:tab/>
      </w:r>
      <w:r w:rsidRPr="00872D7E">
        <w:rPr>
          <w:b/>
          <w:bCs/>
          <w:szCs w:val="20"/>
        </w:rPr>
        <w:t>Bankacılık hesaplarındaki kar oranı riskine ilişkin olarak kamuya açıklanacak hususlar: (Devamı)</w:t>
      </w:r>
    </w:p>
    <w:p w14:paraId="7B0A2337" w14:textId="3EF82A00" w:rsidR="00805A34" w:rsidRPr="00872D7E" w:rsidRDefault="00372B0F" w:rsidP="00A04623">
      <w:pPr>
        <w:autoSpaceDE w:val="0"/>
        <w:autoSpaceDN w:val="0"/>
        <w:adjustRightInd w:val="0"/>
        <w:spacing w:after="120"/>
        <w:ind w:left="851" w:right="155" w:hanging="851"/>
        <w:jc w:val="both"/>
        <w:rPr>
          <w:b/>
          <w:bCs/>
          <w:szCs w:val="20"/>
        </w:rPr>
      </w:pPr>
      <w:r w:rsidRPr="00872D7E">
        <w:rPr>
          <w:b/>
          <w:bCs/>
          <w:szCs w:val="20"/>
        </w:rPr>
        <w:t>2</w:t>
      </w:r>
      <w:r w:rsidR="00805A34" w:rsidRPr="00872D7E">
        <w:rPr>
          <w:b/>
          <w:bCs/>
          <w:szCs w:val="20"/>
        </w:rPr>
        <w:t>)</w:t>
      </w:r>
      <w:bookmarkStart w:id="59" w:name="_Hlk127256648"/>
      <w:r w:rsidR="00A04623" w:rsidRPr="00872D7E">
        <w:rPr>
          <w:b/>
          <w:bCs/>
          <w:szCs w:val="20"/>
        </w:rPr>
        <w:tab/>
      </w:r>
      <w:r w:rsidR="00805A34" w:rsidRPr="00872D7E">
        <w:rPr>
          <w:b/>
          <w:bCs/>
          <w:szCs w:val="20"/>
        </w:rPr>
        <w:t>Bankacılık Hesaplarından Kaynaklanan Kar Oranı Riskinin Standart Şok Yöntemiyle Ölçülmesine ve Değerlendirilmesine İlişkin Yönetmelik uyarınca kar oranlarındaki dalgalanmalardan doğan ekonomik değer farkları:</w:t>
      </w:r>
      <w:bookmarkEnd w:id="59"/>
    </w:p>
    <w:tbl>
      <w:tblPr>
        <w:tblW w:w="5000" w:type="pct"/>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4004"/>
        <w:gridCol w:w="1648"/>
        <w:gridCol w:w="1170"/>
        <w:gridCol w:w="2817"/>
      </w:tblGrid>
      <w:tr w:rsidR="00805A34" w:rsidRPr="00872D7E" w14:paraId="41E9E146" w14:textId="77777777" w:rsidTr="00246A10">
        <w:trPr>
          <w:cantSplit/>
          <w:trHeight w:val="230"/>
          <w:jc w:val="center"/>
        </w:trPr>
        <w:tc>
          <w:tcPr>
            <w:tcW w:w="2077" w:type="pct"/>
            <w:vMerge w:val="restart"/>
            <w:tcBorders>
              <w:top w:val="single" w:sz="4" w:space="0" w:color="auto"/>
              <w:bottom w:val="single" w:sz="4" w:space="0" w:color="auto"/>
            </w:tcBorders>
            <w:shd w:val="clear" w:color="auto" w:fill="auto"/>
            <w:noWrap/>
            <w:vAlign w:val="bottom"/>
            <w:hideMark/>
          </w:tcPr>
          <w:p w14:paraId="4EF5F841" w14:textId="77777777" w:rsidR="00805A34" w:rsidRPr="00872D7E" w:rsidRDefault="00805A34" w:rsidP="00246A10">
            <w:pPr>
              <w:rPr>
                <w:b/>
                <w:bCs/>
                <w:color w:val="000000"/>
                <w:szCs w:val="20"/>
              </w:rPr>
            </w:pPr>
            <w:r w:rsidRPr="00872D7E">
              <w:rPr>
                <w:b/>
                <w:bCs/>
                <w:color w:val="000000"/>
                <w:szCs w:val="20"/>
              </w:rPr>
              <w:t>Para Birimi</w:t>
            </w:r>
          </w:p>
        </w:tc>
        <w:tc>
          <w:tcPr>
            <w:tcW w:w="855" w:type="pct"/>
            <w:vMerge w:val="restart"/>
            <w:tcBorders>
              <w:top w:val="single" w:sz="4" w:space="0" w:color="auto"/>
              <w:bottom w:val="single" w:sz="4" w:space="0" w:color="auto"/>
            </w:tcBorders>
            <w:shd w:val="clear" w:color="auto" w:fill="auto"/>
            <w:vAlign w:val="bottom"/>
            <w:hideMark/>
          </w:tcPr>
          <w:p w14:paraId="4D41B871" w14:textId="77777777" w:rsidR="00805A34" w:rsidRPr="00872D7E" w:rsidRDefault="00805A34" w:rsidP="00246A10">
            <w:pPr>
              <w:jc w:val="center"/>
              <w:rPr>
                <w:b/>
                <w:bCs/>
                <w:color w:val="000000"/>
                <w:szCs w:val="20"/>
              </w:rPr>
            </w:pPr>
            <w:r w:rsidRPr="00872D7E">
              <w:rPr>
                <w:b/>
                <w:bCs/>
                <w:color w:val="000000"/>
                <w:szCs w:val="20"/>
              </w:rPr>
              <w:t>Uygulanan Şok</w:t>
            </w:r>
            <w:r w:rsidRPr="00872D7E">
              <w:rPr>
                <w:b/>
                <w:bCs/>
                <w:color w:val="000000"/>
                <w:szCs w:val="20"/>
              </w:rPr>
              <w:br/>
              <w:t xml:space="preserve"> (+/-x baz puan)</w:t>
            </w:r>
          </w:p>
        </w:tc>
        <w:tc>
          <w:tcPr>
            <w:tcW w:w="607" w:type="pct"/>
            <w:vMerge w:val="restart"/>
            <w:tcBorders>
              <w:top w:val="single" w:sz="4" w:space="0" w:color="auto"/>
              <w:bottom w:val="single" w:sz="4" w:space="0" w:color="auto"/>
            </w:tcBorders>
            <w:shd w:val="clear" w:color="auto" w:fill="auto"/>
            <w:vAlign w:val="bottom"/>
            <w:hideMark/>
          </w:tcPr>
          <w:p w14:paraId="6D4DB74A" w14:textId="1C6D3807" w:rsidR="00805A34" w:rsidRPr="00872D7E" w:rsidRDefault="00805A34" w:rsidP="00246A10">
            <w:pPr>
              <w:jc w:val="right"/>
              <w:rPr>
                <w:b/>
                <w:bCs/>
                <w:color w:val="000000"/>
                <w:szCs w:val="20"/>
              </w:rPr>
            </w:pPr>
            <w:r w:rsidRPr="00872D7E">
              <w:rPr>
                <w:b/>
                <w:bCs/>
                <w:color w:val="000000"/>
                <w:szCs w:val="20"/>
              </w:rPr>
              <w:t>Kazançlar/ (Kayıplar)</w:t>
            </w:r>
          </w:p>
        </w:tc>
        <w:tc>
          <w:tcPr>
            <w:tcW w:w="1461" w:type="pct"/>
            <w:vMerge w:val="restart"/>
            <w:tcBorders>
              <w:top w:val="single" w:sz="4" w:space="0" w:color="auto"/>
              <w:bottom w:val="single" w:sz="4" w:space="0" w:color="auto"/>
            </w:tcBorders>
            <w:shd w:val="clear" w:color="auto" w:fill="auto"/>
            <w:vAlign w:val="bottom"/>
            <w:hideMark/>
          </w:tcPr>
          <w:p w14:paraId="597D95D5" w14:textId="77777777" w:rsidR="00805A34" w:rsidRPr="00872D7E" w:rsidRDefault="00805A34" w:rsidP="00246A10">
            <w:pPr>
              <w:jc w:val="right"/>
              <w:rPr>
                <w:b/>
                <w:bCs/>
                <w:color w:val="000000"/>
                <w:szCs w:val="20"/>
              </w:rPr>
            </w:pPr>
            <w:r w:rsidRPr="00872D7E">
              <w:rPr>
                <w:b/>
                <w:bCs/>
                <w:color w:val="000000"/>
                <w:szCs w:val="20"/>
              </w:rPr>
              <w:t>Kazançlar/Özkaynaklar</w:t>
            </w:r>
            <w:r w:rsidRPr="00872D7E">
              <w:rPr>
                <w:b/>
                <w:bCs/>
                <w:color w:val="000000"/>
                <w:szCs w:val="20"/>
              </w:rPr>
              <w:br/>
              <w:t>(Kayıplar/Özkaynaklar) (%)</w:t>
            </w:r>
          </w:p>
        </w:tc>
      </w:tr>
      <w:tr w:rsidR="00805A34" w:rsidRPr="00872D7E" w14:paraId="2FA9F706" w14:textId="77777777" w:rsidTr="00246A10">
        <w:trPr>
          <w:cantSplit/>
          <w:trHeight w:val="276"/>
          <w:jc w:val="center"/>
        </w:trPr>
        <w:tc>
          <w:tcPr>
            <w:tcW w:w="2077" w:type="pct"/>
            <w:vMerge/>
            <w:tcBorders>
              <w:top w:val="nil"/>
              <w:bottom w:val="single" w:sz="4" w:space="0" w:color="auto"/>
            </w:tcBorders>
            <w:shd w:val="clear" w:color="auto" w:fill="auto"/>
            <w:vAlign w:val="bottom"/>
            <w:hideMark/>
          </w:tcPr>
          <w:p w14:paraId="44740C8D" w14:textId="77777777" w:rsidR="00805A34" w:rsidRPr="00872D7E" w:rsidRDefault="00805A34" w:rsidP="008B559D">
            <w:pPr>
              <w:rPr>
                <w:b/>
                <w:bCs/>
                <w:color w:val="000000"/>
                <w:szCs w:val="20"/>
              </w:rPr>
            </w:pPr>
          </w:p>
        </w:tc>
        <w:tc>
          <w:tcPr>
            <w:tcW w:w="855" w:type="pct"/>
            <w:vMerge/>
            <w:tcBorders>
              <w:top w:val="nil"/>
              <w:bottom w:val="single" w:sz="4" w:space="0" w:color="auto"/>
            </w:tcBorders>
            <w:shd w:val="clear" w:color="auto" w:fill="auto"/>
            <w:vAlign w:val="bottom"/>
            <w:hideMark/>
          </w:tcPr>
          <w:p w14:paraId="33125A0F" w14:textId="77777777" w:rsidR="00805A34" w:rsidRPr="00872D7E" w:rsidRDefault="00805A34" w:rsidP="008B559D">
            <w:pPr>
              <w:jc w:val="center"/>
              <w:rPr>
                <w:b/>
                <w:bCs/>
                <w:color w:val="000000"/>
                <w:szCs w:val="20"/>
              </w:rPr>
            </w:pPr>
          </w:p>
        </w:tc>
        <w:tc>
          <w:tcPr>
            <w:tcW w:w="607" w:type="pct"/>
            <w:vMerge/>
            <w:tcBorders>
              <w:top w:val="nil"/>
              <w:bottom w:val="single" w:sz="4" w:space="0" w:color="auto"/>
            </w:tcBorders>
            <w:shd w:val="clear" w:color="auto" w:fill="auto"/>
            <w:vAlign w:val="bottom"/>
            <w:hideMark/>
          </w:tcPr>
          <w:p w14:paraId="6215CD4F" w14:textId="77777777" w:rsidR="00805A34" w:rsidRPr="00872D7E" w:rsidRDefault="00805A34" w:rsidP="008B559D">
            <w:pPr>
              <w:rPr>
                <w:b/>
                <w:bCs/>
                <w:color w:val="000000"/>
                <w:szCs w:val="20"/>
              </w:rPr>
            </w:pPr>
          </w:p>
        </w:tc>
        <w:tc>
          <w:tcPr>
            <w:tcW w:w="1461" w:type="pct"/>
            <w:vMerge/>
            <w:tcBorders>
              <w:top w:val="nil"/>
              <w:bottom w:val="single" w:sz="4" w:space="0" w:color="auto"/>
            </w:tcBorders>
            <w:shd w:val="clear" w:color="auto" w:fill="auto"/>
            <w:vAlign w:val="bottom"/>
            <w:hideMark/>
          </w:tcPr>
          <w:p w14:paraId="7972440F" w14:textId="77777777" w:rsidR="00805A34" w:rsidRPr="00872D7E" w:rsidRDefault="00805A34" w:rsidP="008B559D">
            <w:pPr>
              <w:rPr>
                <w:b/>
                <w:bCs/>
                <w:color w:val="000000"/>
                <w:szCs w:val="20"/>
              </w:rPr>
            </w:pPr>
          </w:p>
        </w:tc>
      </w:tr>
      <w:tr w:rsidR="00EF55AD" w:rsidRPr="00872D7E" w14:paraId="091CED67" w14:textId="77777777" w:rsidTr="00246A10">
        <w:trPr>
          <w:cantSplit/>
          <w:trHeight w:val="187"/>
          <w:jc w:val="center"/>
        </w:trPr>
        <w:tc>
          <w:tcPr>
            <w:tcW w:w="2077" w:type="pct"/>
            <w:tcBorders>
              <w:top w:val="single" w:sz="4" w:space="0" w:color="auto"/>
            </w:tcBorders>
            <w:shd w:val="clear" w:color="auto" w:fill="auto"/>
            <w:noWrap/>
            <w:vAlign w:val="bottom"/>
            <w:hideMark/>
          </w:tcPr>
          <w:p w14:paraId="26767986" w14:textId="77777777" w:rsidR="00EF55AD" w:rsidRPr="00872D7E" w:rsidRDefault="00EF55AD" w:rsidP="00EF55AD">
            <w:pPr>
              <w:rPr>
                <w:color w:val="000000"/>
                <w:szCs w:val="20"/>
              </w:rPr>
            </w:pPr>
            <w:r w:rsidRPr="00872D7E">
              <w:rPr>
                <w:color w:val="000000"/>
                <w:szCs w:val="20"/>
              </w:rPr>
              <w:t>TRY</w:t>
            </w:r>
          </w:p>
        </w:tc>
        <w:tc>
          <w:tcPr>
            <w:tcW w:w="855" w:type="pct"/>
            <w:tcBorders>
              <w:top w:val="single" w:sz="4" w:space="0" w:color="auto"/>
              <w:left w:val="nil"/>
              <w:bottom w:val="nil"/>
              <w:right w:val="nil"/>
            </w:tcBorders>
            <w:shd w:val="clear" w:color="auto" w:fill="auto"/>
            <w:noWrap/>
            <w:vAlign w:val="bottom"/>
          </w:tcPr>
          <w:p w14:paraId="2A20C314" w14:textId="77777777" w:rsidR="00EF55AD" w:rsidRPr="00872D7E" w:rsidRDefault="00EF55AD" w:rsidP="00EF55AD">
            <w:pPr>
              <w:ind w:left="-7"/>
              <w:jc w:val="center"/>
              <w:rPr>
                <w:color w:val="000000"/>
                <w:szCs w:val="20"/>
              </w:rPr>
            </w:pPr>
            <w:r w:rsidRPr="00872D7E">
              <w:rPr>
                <w:color w:val="000000"/>
                <w:szCs w:val="20"/>
              </w:rPr>
              <w:t>(+) 500bp</w:t>
            </w:r>
          </w:p>
        </w:tc>
        <w:tc>
          <w:tcPr>
            <w:tcW w:w="607" w:type="pct"/>
            <w:tcBorders>
              <w:top w:val="single" w:sz="4" w:space="0" w:color="auto"/>
              <w:left w:val="nil"/>
              <w:bottom w:val="nil"/>
              <w:right w:val="nil"/>
            </w:tcBorders>
            <w:shd w:val="clear" w:color="auto" w:fill="auto"/>
            <w:noWrap/>
          </w:tcPr>
          <w:p w14:paraId="45E88EFC" w14:textId="275F7647" w:rsidR="00EF55AD" w:rsidRPr="00872D7E" w:rsidRDefault="00EF55AD" w:rsidP="00EF55AD">
            <w:pPr>
              <w:jc w:val="right"/>
              <w:rPr>
                <w:szCs w:val="20"/>
              </w:rPr>
            </w:pPr>
            <w:r w:rsidRPr="00872D7E">
              <w:rPr>
                <w:szCs w:val="20"/>
              </w:rPr>
              <w:t>(117.991)</w:t>
            </w:r>
          </w:p>
        </w:tc>
        <w:tc>
          <w:tcPr>
            <w:tcW w:w="1461" w:type="pct"/>
            <w:tcBorders>
              <w:top w:val="single" w:sz="4" w:space="0" w:color="auto"/>
              <w:left w:val="nil"/>
              <w:bottom w:val="nil"/>
              <w:right w:val="nil"/>
            </w:tcBorders>
            <w:shd w:val="clear" w:color="auto" w:fill="auto"/>
            <w:noWrap/>
          </w:tcPr>
          <w:p w14:paraId="05C246A5" w14:textId="144946F4" w:rsidR="00EF55AD" w:rsidRPr="00872D7E" w:rsidRDefault="00EF55AD" w:rsidP="00EF55AD">
            <w:pPr>
              <w:jc w:val="right"/>
              <w:rPr>
                <w:szCs w:val="20"/>
              </w:rPr>
            </w:pPr>
            <w:r w:rsidRPr="00872D7E">
              <w:rPr>
                <w:szCs w:val="20"/>
              </w:rPr>
              <w:t>(1,67)</w:t>
            </w:r>
          </w:p>
        </w:tc>
      </w:tr>
      <w:tr w:rsidR="00EF55AD" w:rsidRPr="00872D7E" w14:paraId="2BCE649C" w14:textId="77777777" w:rsidTr="00246A10">
        <w:trPr>
          <w:cantSplit/>
          <w:jc w:val="center"/>
        </w:trPr>
        <w:tc>
          <w:tcPr>
            <w:tcW w:w="2077" w:type="pct"/>
            <w:shd w:val="clear" w:color="auto" w:fill="auto"/>
            <w:noWrap/>
            <w:vAlign w:val="bottom"/>
            <w:hideMark/>
          </w:tcPr>
          <w:p w14:paraId="35CC4A81" w14:textId="77777777" w:rsidR="00EF55AD" w:rsidRPr="00872D7E" w:rsidRDefault="00EF55AD" w:rsidP="00EF55AD">
            <w:pPr>
              <w:rPr>
                <w:color w:val="000000"/>
                <w:szCs w:val="20"/>
              </w:rPr>
            </w:pPr>
            <w:r w:rsidRPr="00872D7E">
              <w:rPr>
                <w:color w:val="000000"/>
                <w:szCs w:val="20"/>
              </w:rPr>
              <w:t>TRY</w:t>
            </w:r>
          </w:p>
        </w:tc>
        <w:tc>
          <w:tcPr>
            <w:tcW w:w="855" w:type="pct"/>
            <w:tcBorders>
              <w:top w:val="nil"/>
              <w:left w:val="nil"/>
              <w:bottom w:val="nil"/>
              <w:right w:val="nil"/>
            </w:tcBorders>
            <w:shd w:val="clear" w:color="auto" w:fill="auto"/>
            <w:noWrap/>
            <w:vAlign w:val="bottom"/>
          </w:tcPr>
          <w:p w14:paraId="795318A4" w14:textId="77777777" w:rsidR="00EF55AD" w:rsidRPr="00872D7E" w:rsidRDefault="00EF55AD" w:rsidP="00EF55AD">
            <w:pPr>
              <w:ind w:left="-7"/>
              <w:jc w:val="center"/>
              <w:rPr>
                <w:color w:val="000000"/>
                <w:szCs w:val="20"/>
              </w:rPr>
            </w:pPr>
            <w:r w:rsidRPr="00872D7E">
              <w:rPr>
                <w:color w:val="000000"/>
                <w:szCs w:val="20"/>
              </w:rPr>
              <w:t>(-) 400bp</w:t>
            </w:r>
          </w:p>
        </w:tc>
        <w:tc>
          <w:tcPr>
            <w:tcW w:w="607" w:type="pct"/>
            <w:tcBorders>
              <w:top w:val="nil"/>
              <w:left w:val="nil"/>
              <w:bottom w:val="nil"/>
              <w:right w:val="nil"/>
            </w:tcBorders>
            <w:shd w:val="clear" w:color="auto" w:fill="auto"/>
            <w:noWrap/>
          </w:tcPr>
          <w:p w14:paraId="03E54D5C" w14:textId="5A33CB37" w:rsidR="00EF55AD" w:rsidRPr="00872D7E" w:rsidRDefault="00EF55AD" w:rsidP="00EF55AD">
            <w:pPr>
              <w:jc w:val="right"/>
              <w:rPr>
                <w:szCs w:val="20"/>
              </w:rPr>
            </w:pPr>
            <w:r w:rsidRPr="00872D7E">
              <w:rPr>
                <w:szCs w:val="20"/>
              </w:rPr>
              <w:t>101.206</w:t>
            </w:r>
          </w:p>
        </w:tc>
        <w:tc>
          <w:tcPr>
            <w:tcW w:w="1461" w:type="pct"/>
            <w:tcBorders>
              <w:top w:val="nil"/>
              <w:left w:val="nil"/>
              <w:bottom w:val="nil"/>
              <w:right w:val="nil"/>
            </w:tcBorders>
            <w:shd w:val="clear" w:color="auto" w:fill="auto"/>
            <w:noWrap/>
          </w:tcPr>
          <w:p w14:paraId="0ED5669E" w14:textId="1007EF40" w:rsidR="00EF55AD" w:rsidRPr="00872D7E" w:rsidRDefault="00EF55AD" w:rsidP="00EF55AD">
            <w:pPr>
              <w:jc w:val="right"/>
              <w:rPr>
                <w:szCs w:val="20"/>
              </w:rPr>
            </w:pPr>
            <w:r w:rsidRPr="00872D7E">
              <w:rPr>
                <w:szCs w:val="20"/>
              </w:rPr>
              <w:t>1,43</w:t>
            </w:r>
          </w:p>
        </w:tc>
      </w:tr>
      <w:tr w:rsidR="00EF55AD" w:rsidRPr="00872D7E" w14:paraId="026B4C34" w14:textId="77777777" w:rsidTr="00246A10">
        <w:trPr>
          <w:cantSplit/>
          <w:jc w:val="center"/>
        </w:trPr>
        <w:tc>
          <w:tcPr>
            <w:tcW w:w="2077" w:type="pct"/>
            <w:shd w:val="clear" w:color="auto" w:fill="auto"/>
            <w:noWrap/>
            <w:vAlign w:val="bottom"/>
            <w:hideMark/>
          </w:tcPr>
          <w:p w14:paraId="27F68AC4" w14:textId="77777777" w:rsidR="00EF55AD" w:rsidRPr="00872D7E" w:rsidRDefault="00EF55AD" w:rsidP="00EF55AD">
            <w:pPr>
              <w:rPr>
                <w:color w:val="000000"/>
                <w:szCs w:val="20"/>
              </w:rPr>
            </w:pPr>
            <w:r w:rsidRPr="00872D7E">
              <w:rPr>
                <w:color w:val="000000"/>
                <w:szCs w:val="20"/>
              </w:rPr>
              <w:t>ABD Doları</w:t>
            </w:r>
          </w:p>
        </w:tc>
        <w:tc>
          <w:tcPr>
            <w:tcW w:w="855" w:type="pct"/>
            <w:tcBorders>
              <w:top w:val="nil"/>
              <w:left w:val="nil"/>
              <w:bottom w:val="nil"/>
              <w:right w:val="nil"/>
            </w:tcBorders>
            <w:shd w:val="clear" w:color="auto" w:fill="auto"/>
            <w:noWrap/>
            <w:vAlign w:val="bottom"/>
          </w:tcPr>
          <w:p w14:paraId="38364FBB" w14:textId="77777777" w:rsidR="00EF55AD" w:rsidRPr="00872D7E" w:rsidRDefault="00EF55AD" w:rsidP="00EF55AD">
            <w:pPr>
              <w:ind w:left="-7"/>
              <w:jc w:val="center"/>
              <w:rPr>
                <w:color w:val="000000"/>
                <w:szCs w:val="20"/>
              </w:rPr>
            </w:pPr>
            <w:r w:rsidRPr="00872D7E">
              <w:rPr>
                <w:color w:val="000000"/>
                <w:szCs w:val="20"/>
              </w:rPr>
              <w:t>(+) 200bp</w:t>
            </w:r>
          </w:p>
        </w:tc>
        <w:tc>
          <w:tcPr>
            <w:tcW w:w="607" w:type="pct"/>
            <w:tcBorders>
              <w:top w:val="nil"/>
              <w:left w:val="nil"/>
              <w:bottom w:val="nil"/>
              <w:right w:val="nil"/>
            </w:tcBorders>
            <w:shd w:val="clear" w:color="auto" w:fill="auto"/>
            <w:noWrap/>
          </w:tcPr>
          <w:p w14:paraId="169D7A33" w14:textId="1B721DCE" w:rsidR="00EF55AD" w:rsidRPr="00872D7E" w:rsidRDefault="00EF55AD" w:rsidP="00EF55AD">
            <w:pPr>
              <w:jc w:val="right"/>
              <w:rPr>
                <w:szCs w:val="20"/>
              </w:rPr>
            </w:pPr>
            <w:r w:rsidRPr="00872D7E">
              <w:rPr>
                <w:szCs w:val="20"/>
              </w:rPr>
              <w:t>(6.556)</w:t>
            </w:r>
          </w:p>
        </w:tc>
        <w:tc>
          <w:tcPr>
            <w:tcW w:w="1461" w:type="pct"/>
            <w:tcBorders>
              <w:top w:val="nil"/>
              <w:left w:val="nil"/>
              <w:bottom w:val="nil"/>
              <w:right w:val="nil"/>
            </w:tcBorders>
            <w:shd w:val="clear" w:color="auto" w:fill="auto"/>
            <w:noWrap/>
          </w:tcPr>
          <w:p w14:paraId="3265B206" w14:textId="03EE1A1E" w:rsidR="00EF55AD" w:rsidRPr="00872D7E" w:rsidRDefault="00EF55AD" w:rsidP="00EF55AD">
            <w:pPr>
              <w:jc w:val="right"/>
              <w:rPr>
                <w:szCs w:val="20"/>
              </w:rPr>
            </w:pPr>
            <w:r w:rsidRPr="00872D7E">
              <w:rPr>
                <w:szCs w:val="20"/>
              </w:rPr>
              <w:t>(0,09)</w:t>
            </w:r>
          </w:p>
        </w:tc>
      </w:tr>
      <w:tr w:rsidR="00EF55AD" w:rsidRPr="00872D7E" w14:paraId="0083BF4F" w14:textId="77777777" w:rsidTr="00246A10">
        <w:trPr>
          <w:cantSplit/>
          <w:jc w:val="center"/>
        </w:trPr>
        <w:tc>
          <w:tcPr>
            <w:tcW w:w="2077" w:type="pct"/>
            <w:shd w:val="clear" w:color="auto" w:fill="auto"/>
            <w:noWrap/>
            <w:vAlign w:val="bottom"/>
            <w:hideMark/>
          </w:tcPr>
          <w:p w14:paraId="695706F5" w14:textId="77777777" w:rsidR="00EF55AD" w:rsidRPr="00872D7E" w:rsidRDefault="00EF55AD" w:rsidP="00EF55AD">
            <w:pPr>
              <w:rPr>
                <w:color w:val="000000"/>
                <w:szCs w:val="20"/>
              </w:rPr>
            </w:pPr>
            <w:r w:rsidRPr="00872D7E">
              <w:rPr>
                <w:color w:val="000000"/>
                <w:szCs w:val="20"/>
              </w:rPr>
              <w:t>ABD Doları</w:t>
            </w:r>
          </w:p>
        </w:tc>
        <w:tc>
          <w:tcPr>
            <w:tcW w:w="855" w:type="pct"/>
            <w:tcBorders>
              <w:top w:val="nil"/>
              <w:left w:val="nil"/>
              <w:bottom w:val="nil"/>
              <w:right w:val="nil"/>
            </w:tcBorders>
            <w:shd w:val="clear" w:color="auto" w:fill="auto"/>
            <w:noWrap/>
            <w:vAlign w:val="bottom"/>
          </w:tcPr>
          <w:p w14:paraId="4AB2DB51" w14:textId="77777777" w:rsidR="00EF55AD" w:rsidRPr="00872D7E" w:rsidRDefault="00EF55AD" w:rsidP="00EF55AD">
            <w:pPr>
              <w:ind w:left="-7"/>
              <w:jc w:val="center"/>
              <w:rPr>
                <w:color w:val="000000"/>
                <w:szCs w:val="20"/>
              </w:rPr>
            </w:pPr>
            <w:r w:rsidRPr="00872D7E">
              <w:rPr>
                <w:color w:val="000000"/>
                <w:szCs w:val="20"/>
              </w:rPr>
              <w:t>(-) 200bp</w:t>
            </w:r>
          </w:p>
        </w:tc>
        <w:tc>
          <w:tcPr>
            <w:tcW w:w="607" w:type="pct"/>
            <w:tcBorders>
              <w:top w:val="nil"/>
              <w:left w:val="nil"/>
              <w:bottom w:val="nil"/>
              <w:right w:val="nil"/>
            </w:tcBorders>
            <w:shd w:val="clear" w:color="auto" w:fill="auto"/>
            <w:noWrap/>
          </w:tcPr>
          <w:p w14:paraId="4A949C00" w14:textId="606C9FCD" w:rsidR="00EF55AD" w:rsidRPr="00872D7E" w:rsidRDefault="00EF55AD" w:rsidP="00EF55AD">
            <w:pPr>
              <w:jc w:val="right"/>
              <w:rPr>
                <w:szCs w:val="20"/>
              </w:rPr>
            </w:pPr>
            <w:r w:rsidRPr="00872D7E">
              <w:rPr>
                <w:szCs w:val="20"/>
              </w:rPr>
              <w:t>7.003</w:t>
            </w:r>
          </w:p>
        </w:tc>
        <w:tc>
          <w:tcPr>
            <w:tcW w:w="1461" w:type="pct"/>
            <w:tcBorders>
              <w:top w:val="nil"/>
              <w:left w:val="nil"/>
              <w:bottom w:val="nil"/>
              <w:right w:val="nil"/>
            </w:tcBorders>
            <w:shd w:val="clear" w:color="auto" w:fill="auto"/>
            <w:noWrap/>
          </w:tcPr>
          <w:p w14:paraId="42318337" w14:textId="423B7070" w:rsidR="00EF55AD" w:rsidRPr="00872D7E" w:rsidRDefault="00EF55AD" w:rsidP="00EF55AD">
            <w:pPr>
              <w:jc w:val="right"/>
              <w:rPr>
                <w:szCs w:val="20"/>
              </w:rPr>
            </w:pPr>
            <w:r w:rsidRPr="00872D7E">
              <w:rPr>
                <w:szCs w:val="20"/>
              </w:rPr>
              <w:t>0,10</w:t>
            </w:r>
          </w:p>
        </w:tc>
      </w:tr>
      <w:tr w:rsidR="00EF55AD" w:rsidRPr="00872D7E" w14:paraId="5059CE1B" w14:textId="77777777" w:rsidTr="00246A10">
        <w:trPr>
          <w:cantSplit/>
          <w:jc w:val="center"/>
        </w:trPr>
        <w:tc>
          <w:tcPr>
            <w:tcW w:w="2077" w:type="pct"/>
            <w:tcBorders>
              <w:bottom w:val="nil"/>
            </w:tcBorders>
            <w:shd w:val="clear" w:color="auto" w:fill="auto"/>
            <w:noWrap/>
            <w:vAlign w:val="bottom"/>
            <w:hideMark/>
          </w:tcPr>
          <w:p w14:paraId="594EE382" w14:textId="77777777" w:rsidR="00EF55AD" w:rsidRPr="00872D7E" w:rsidRDefault="00EF55AD" w:rsidP="00EF55AD">
            <w:pPr>
              <w:rPr>
                <w:color w:val="000000"/>
                <w:szCs w:val="20"/>
              </w:rPr>
            </w:pPr>
            <w:r w:rsidRPr="00872D7E">
              <w:rPr>
                <w:color w:val="000000"/>
                <w:szCs w:val="20"/>
              </w:rPr>
              <w:t>EUR</w:t>
            </w:r>
          </w:p>
        </w:tc>
        <w:tc>
          <w:tcPr>
            <w:tcW w:w="855" w:type="pct"/>
            <w:tcBorders>
              <w:top w:val="nil"/>
              <w:left w:val="nil"/>
              <w:bottom w:val="nil"/>
              <w:right w:val="nil"/>
            </w:tcBorders>
            <w:shd w:val="clear" w:color="auto" w:fill="auto"/>
            <w:noWrap/>
            <w:vAlign w:val="bottom"/>
          </w:tcPr>
          <w:p w14:paraId="427AD9B4" w14:textId="77777777" w:rsidR="00EF55AD" w:rsidRPr="00872D7E" w:rsidRDefault="00EF55AD" w:rsidP="00EF55AD">
            <w:pPr>
              <w:ind w:left="-7"/>
              <w:jc w:val="center"/>
              <w:rPr>
                <w:color w:val="000000"/>
                <w:szCs w:val="20"/>
              </w:rPr>
            </w:pPr>
            <w:r w:rsidRPr="00872D7E">
              <w:rPr>
                <w:color w:val="000000"/>
                <w:szCs w:val="20"/>
              </w:rPr>
              <w:t>(+) 200bp</w:t>
            </w:r>
          </w:p>
        </w:tc>
        <w:tc>
          <w:tcPr>
            <w:tcW w:w="607" w:type="pct"/>
            <w:tcBorders>
              <w:top w:val="nil"/>
              <w:left w:val="nil"/>
              <w:bottom w:val="nil"/>
              <w:right w:val="nil"/>
            </w:tcBorders>
            <w:shd w:val="clear" w:color="auto" w:fill="auto"/>
            <w:noWrap/>
          </w:tcPr>
          <w:p w14:paraId="7DFEADC5" w14:textId="7D5540EA" w:rsidR="00EF55AD" w:rsidRPr="00872D7E" w:rsidRDefault="00EF55AD" w:rsidP="00EF55AD">
            <w:pPr>
              <w:jc w:val="right"/>
              <w:rPr>
                <w:szCs w:val="20"/>
              </w:rPr>
            </w:pPr>
            <w:r w:rsidRPr="00872D7E">
              <w:rPr>
                <w:szCs w:val="20"/>
              </w:rPr>
              <w:t>1.357</w:t>
            </w:r>
          </w:p>
        </w:tc>
        <w:tc>
          <w:tcPr>
            <w:tcW w:w="1461" w:type="pct"/>
            <w:tcBorders>
              <w:top w:val="nil"/>
              <w:left w:val="nil"/>
              <w:bottom w:val="nil"/>
              <w:right w:val="nil"/>
            </w:tcBorders>
            <w:shd w:val="clear" w:color="auto" w:fill="auto"/>
            <w:noWrap/>
          </w:tcPr>
          <w:p w14:paraId="2E5D6789" w14:textId="4AA8551B" w:rsidR="00EF55AD" w:rsidRPr="00872D7E" w:rsidRDefault="00EF55AD" w:rsidP="00EF55AD">
            <w:pPr>
              <w:jc w:val="right"/>
              <w:rPr>
                <w:szCs w:val="20"/>
              </w:rPr>
            </w:pPr>
            <w:r w:rsidRPr="00872D7E">
              <w:rPr>
                <w:szCs w:val="20"/>
              </w:rPr>
              <w:t>0,02</w:t>
            </w:r>
          </w:p>
        </w:tc>
      </w:tr>
      <w:tr w:rsidR="00EF55AD" w:rsidRPr="00872D7E" w14:paraId="08C62B8F" w14:textId="77777777" w:rsidTr="00246A10">
        <w:trPr>
          <w:cantSplit/>
          <w:jc w:val="center"/>
        </w:trPr>
        <w:tc>
          <w:tcPr>
            <w:tcW w:w="2077" w:type="pct"/>
            <w:tcBorders>
              <w:top w:val="nil"/>
              <w:bottom w:val="single" w:sz="4" w:space="0" w:color="auto"/>
            </w:tcBorders>
            <w:shd w:val="clear" w:color="auto" w:fill="auto"/>
            <w:noWrap/>
            <w:vAlign w:val="bottom"/>
            <w:hideMark/>
          </w:tcPr>
          <w:p w14:paraId="2044CBC2" w14:textId="77777777" w:rsidR="00EF55AD" w:rsidRPr="00872D7E" w:rsidRDefault="00EF55AD" w:rsidP="00EF55AD">
            <w:pPr>
              <w:rPr>
                <w:color w:val="000000"/>
                <w:szCs w:val="20"/>
              </w:rPr>
            </w:pPr>
            <w:r w:rsidRPr="00872D7E">
              <w:rPr>
                <w:color w:val="000000"/>
                <w:szCs w:val="20"/>
              </w:rPr>
              <w:t>EUR</w:t>
            </w:r>
          </w:p>
        </w:tc>
        <w:tc>
          <w:tcPr>
            <w:tcW w:w="855" w:type="pct"/>
            <w:tcBorders>
              <w:top w:val="nil"/>
              <w:left w:val="nil"/>
              <w:bottom w:val="single" w:sz="4" w:space="0" w:color="auto"/>
              <w:right w:val="nil"/>
            </w:tcBorders>
            <w:shd w:val="clear" w:color="auto" w:fill="auto"/>
            <w:noWrap/>
            <w:vAlign w:val="bottom"/>
          </w:tcPr>
          <w:p w14:paraId="0A49A52D" w14:textId="77777777" w:rsidR="00EF55AD" w:rsidRPr="00872D7E" w:rsidRDefault="00EF55AD" w:rsidP="00EF55AD">
            <w:pPr>
              <w:ind w:left="-7"/>
              <w:jc w:val="center"/>
              <w:rPr>
                <w:color w:val="000000"/>
                <w:szCs w:val="20"/>
              </w:rPr>
            </w:pPr>
            <w:r w:rsidRPr="00872D7E">
              <w:rPr>
                <w:color w:val="000000"/>
                <w:szCs w:val="20"/>
              </w:rPr>
              <w:t>(-) 200bp</w:t>
            </w:r>
          </w:p>
        </w:tc>
        <w:tc>
          <w:tcPr>
            <w:tcW w:w="607" w:type="pct"/>
            <w:tcBorders>
              <w:top w:val="nil"/>
              <w:left w:val="nil"/>
              <w:bottom w:val="single" w:sz="4" w:space="0" w:color="auto"/>
              <w:right w:val="nil"/>
            </w:tcBorders>
            <w:shd w:val="clear" w:color="auto" w:fill="auto"/>
            <w:noWrap/>
          </w:tcPr>
          <w:p w14:paraId="46525EB4" w14:textId="36D5CFA4" w:rsidR="00EF55AD" w:rsidRPr="00872D7E" w:rsidRDefault="00EF55AD" w:rsidP="00EF55AD">
            <w:pPr>
              <w:jc w:val="right"/>
              <w:rPr>
                <w:szCs w:val="20"/>
              </w:rPr>
            </w:pPr>
            <w:r w:rsidRPr="00872D7E">
              <w:rPr>
                <w:szCs w:val="20"/>
              </w:rPr>
              <w:t>(952)</w:t>
            </w:r>
          </w:p>
        </w:tc>
        <w:tc>
          <w:tcPr>
            <w:tcW w:w="1461" w:type="pct"/>
            <w:tcBorders>
              <w:top w:val="nil"/>
              <w:left w:val="nil"/>
              <w:bottom w:val="single" w:sz="4" w:space="0" w:color="auto"/>
              <w:right w:val="nil"/>
            </w:tcBorders>
            <w:shd w:val="clear" w:color="auto" w:fill="auto"/>
            <w:noWrap/>
          </w:tcPr>
          <w:p w14:paraId="6107F16F" w14:textId="438B9075" w:rsidR="00EF55AD" w:rsidRPr="00872D7E" w:rsidRDefault="00EF55AD" w:rsidP="00EF55AD">
            <w:pPr>
              <w:jc w:val="right"/>
              <w:rPr>
                <w:szCs w:val="20"/>
              </w:rPr>
            </w:pPr>
            <w:r w:rsidRPr="00872D7E">
              <w:rPr>
                <w:szCs w:val="20"/>
              </w:rPr>
              <w:t>(0,01)</w:t>
            </w:r>
          </w:p>
        </w:tc>
      </w:tr>
      <w:tr w:rsidR="00EF55AD" w:rsidRPr="00872D7E" w14:paraId="1F533EF2" w14:textId="77777777" w:rsidTr="00246A10">
        <w:trPr>
          <w:cantSplit/>
          <w:jc w:val="center"/>
        </w:trPr>
        <w:tc>
          <w:tcPr>
            <w:tcW w:w="2077" w:type="pct"/>
            <w:tcBorders>
              <w:top w:val="single" w:sz="4" w:space="0" w:color="auto"/>
            </w:tcBorders>
            <w:shd w:val="clear" w:color="auto" w:fill="auto"/>
            <w:noWrap/>
            <w:vAlign w:val="bottom"/>
            <w:hideMark/>
          </w:tcPr>
          <w:p w14:paraId="3581C692" w14:textId="77777777" w:rsidR="00EF55AD" w:rsidRPr="00872D7E" w:rsidRDefault="00EF55AD" w:rsidP="00EF55AD">
            <w:pPr>
              <w:rPr>
                <w:b/>
                <w:bCs/>
                <w:color w:val="000000"/>
                <w:szCs w:val="20"/>
              </w:rPr>
            </w:pPr>
            <w:r w:rsidRPr="00872D7E">
              <w:rPr>
                <w:b/>
                <w:bCs/>
                <w:color w:val="000000"/>
                <w:szCs w:val="20"/>
              </w:rPr>
              <w:t>Toplam (Negatif Şoklar İçin)</w:t>
            </w:r>
          </w:p>
        </w:tc>
        <w:tc>
          <w:tcPr>
            <w:tcW w:w="855" w:type="pct"/>
            <w:tcBorders>
              <w:top w:val="single" w:sz="4" w:space="0" w:color="auto"/>
              <w:left w:val="nil"/>
              <w:bottom w:val="nil"/>
              <w:right w:val="nil"/>
            </w:tcBorders>
            <w:shd w:val="clear" w:color="auto" w:fill="auto"/>
            <w:noWrap/>
            <w:vAlign w:val="bottom"/>
          </w:tcPr>
          <w:p w14:paraId="4EAB9CAA" w14:textId="49D2AC82" w:rsidR="00EF55AD" w:rsidRPr="00872D7E" w:rsidRDefault="00EF55AD" w:rsidP="00EF55AD">
            <w:pPr>
              <w:ind w:left="-7"/>
              <w:jc w:val="center"/>
              <w:rPr>
                <w:b/>
                <w:color w:val="000000"/>
                <w:szCs w:val="20"/>
              </w:rPr>
            </w:pPr>
          </w:p>
        </w:tc>
        <w:tc>
          <w:tcPr>
            <w:tcW w:w="607" w:type="pct"/>
            <w:tcBorders>
              <w:top w:val="single" w:sz="4" w:space="0" w:color="auto"/>
              <w:left w:val="nil"/>
              <w:bottom w:val="nil"/>
              <w:right w:val="nil"/>
            </w:tcBorders>
            <w:shd w:val="clear" w:color="auto" w:fill="auto"/>
            <w:noWrap/>
          </w:tcPr>
          <w:p w14:paraId="28A6067E" w14:textId="5C31B617" w:rsidR="00EF55AD" w:rsidRPr="00872D7E" w:rsidRDefault="00EF55AD" w:rsidP="00EF55AD">
            <w:pPr>
              <w:jc w:val="right"/>
              <w:rPr>
                <w:b/>
                <w:bCs/>
                <w:szCs w:val="20"/>
              </w:rPr>
            </w:pPr>
            <w:r w:rsidRPr="00872D7E">
              <w:rPr>
                <w:b/>
                <w:bCs/>
                <w:szCs w:val="20"/>
              </w:rPr>
              <w:t>107.257</w:t>
            </w:r>
          </w:p>
        </w:tc>
        <w:tc>
          <w:tcPr>
            <w:tcW w:w="1461" w:type="pct"/>
            <w:tcBorders>
              <w:top w:val="single" w:sz="4" w:space="0" w:color="auto"/>
              <w:left w:val="nil"/>
              <w:bottom w:val="nil"/>
              <w:right w:val="nil"/>
            </w:tcBorders>
            <w:shd w:val="clear" w:color="auto" w:fill="auto"/>
            <w:noWrap/>
          </w:tcPr>
          <w:p w14:paraId="0453D65C" w14:textId="7A23652C" w:rsidR="00EF55AD" w:rsidRPr="00872D7E" w:rsidRDefault="00EF55AD" w:rsidP="00EF55AD">
            <w:pPr>
              <w:jc w:val="right"/>
              <w:rPr>
                <w:b/>
                <w:bCs/>
                <w:szCs w:val="20"/>
              </w:rPr>
            </w:pPr>
            <w:r w:rsidRPr="00872D7E">
              <w:rPr>
                <w:b/>
                <w:bCs/>
                <w:szCs w:val="20"/>
              </w:rPr>
              <w:t>1,52</w:t>
            </w:r>
          </w:p>
        </w:tc>
      </w:tr>
      <w:tr w:rsidR="00EF55AD" w:rsidRPr="00872D7E" w14:paraId="309080F5" w14:textId="77777777" w:rsidTr="00246A10">
        <w:trPr>
          <w:cantSplit/>
          <w:jc w:val="center"/>
        </w:trPr>
        <w:tc>
          <w:tcPr>
            <w:tcW w:w="2077" w:type="pct"/>
            <w:shd w:val="clear" w:color="auto" w:fill="auto"/>
            <w:noWrap/>
            <w:vAlign w:val="bottom"/>
            <w:hideMark/>
          </w:tcPr>
          <w:p w14:paraId="57A2943E" w14:textId="77777777" w:rsidR="00EF55AD" w:rsidRPr="00872D7E" w:rsidRDefault="00EF55AD" w:rsidP="00EF55AD">
            <w:pPr>
              <w:rPr>
                <w:b/>
                <w:bCs/>
                <w:color w:val="000000"/>
                <w:szCs w:val="20"/>
              </w:rPr>
            </w:pPr>
            <w:r w:rsidRPr="00872D7E">
              <w:rPr>
                <w:b/>
                <w:bCs/>
                <w:color w:val="000000"/>
                <w:szCs w:val="20"/>
              </w:rPr>
              <w:t>Toplam (Pozitif Şoklar İçin)</w:t>
            </w:r>
          </w:p>
        </w:tc>
        <w:tc>
          <w:tcPr>
            <w:tcW w:w="855" w:type="pct"/>
            <w:tcBorders>
              <w:top w:val="nil"/>
              <w:left w:val="nil"/>
              <w:bottom w:val="single" w:sz="4" w:space="0" w:color="auto"/>
              <w:right w:val="nil"/>
            </w:tcBorders>
            <w:shd w:val="clear" w:color="auto" w:fill="auto"/>
            <w:noWrap/>
            <w:vAlign w:val="bottom"/>
          </w:tcPr>
          <w:p w14:paraId="131DEF8F" w14:textId="3230D137" w:rsidR="00EF55AD" w:rsidRPr="00872D7E" w:rsidRDefault="00EF55AD" w:rsidP="00EF55AD">
            <w:pPr>
              <w:ind w:left="-7"/>
              <w:jc w:val="center"/>
              <w:rPr>
                <w:b/>
                <w:color w:val="000000"/>
                <w:szCs w:val="20"/>
              </w:rPr>
            </w:pPr>
          </w:p>
        </w:tc>
        <w:tc>
          <w:tcPr>
            <w:tcW w:w="607" w:type="pct"/>
            <w:tcBorders>
              <w:top w:val="nil"/>
              <w:left w:val="nil"/>
              <w:bottom w:val="single" w:sz="4" w:space="0" w:color="auto"/>
              <w:right w:val="nil"/>
            </w:tcBorders>
            <w:shd w:val="clear" w:color="auto" w:fill="auto"/>
            <w:noWrap/>
          </w:tcPr>
          <w:p w14:paraId="7E7BFD0A" w14:textId="3AED3A80" w:rsidR="00EF55AD" w:rsidRPr="00872D7E" w:rsidRDefault="00EF55AD" w:rsidP="00EF55AD">
            <w:pPr>
              <w:jc w:val="right"/>
              <w:rPr>
                <w:b/>
                <w:bCs/>
                <w:szCs w:val="20"/>
              </w:rPr>
            </w:pPr>
            <w:r w:rsidRPr="00872D7E">
              <w:rPr>
                <w:b/>
                <w:bCs/>
                <w:szCs w:val="20"/>
              </w:rPr>
              <w:t>(123.190)</w:t>
            </w:r>
          </w:p>
        </w:tc>
        <w:tc>
          <w:tcPr>
            <w:tcW w:w="1461" w:type="pct"/>
            <w:tcBorders>
              <w:top w:val="nil"/>
              <w:left w:val="nil"/>
              <w:bottom w:val="single" w:sz="4" w:space="0" w:color="auto"/>
              <w:right w:val="nil"/>
            </w:tcBorders>
            <w:shd w:val="clear" w:color="auto" w:fill="auto"/>
            <w:noWrap/>
          </w:tcPr>
          <w:p w14:paraId="75A75C65" w14:textId="39EA2188" w:rsidR="00EF55AD" w:rsidRPr="00872D7E" w:rsidRDefault="00EF55AD" w:rsidP="00EF55AD">
            <w:pPr>
              <w:jc w:val="right"/>
              <w:rPr>
                <w:b/>
                <w:bCs/>
                <w:szCs w:val="20"/>
              </w:rPr>
            </w:pPr>
            <w:r w:rsidRPr="00872D7E">
              <w:rPr>
                <w:b/>
                <w:bCs/>
                <w:szCs w:val="20"/>
              </w:rPr>
              <w:t>(1,74)</w:t>
            </w:r>
          </w:p>
        </w:tc>
      </w:tr>
    </w:tbl>
    <w:p w14:paraId="077915AB" w14:textId="19CF61B6" w:rsidR="003F1901" w:rsidRPr="00872D7E" w:rsidRDefault="00E7584F" w:rsidP="0068733E">
      <w:pPr>
        <w:pStyle w:val="ListParagraph"/>
        <w:numPr>
          <w:ilvl w:val="0"/>
          <w:numId w:val="39"/>
        </w:numPr>
        <w:spacing w:before="120" w:after="120"/>
        <w:ind w:hanging="861"/>
        <w:rPr>
          <w:b/>
          <w:szCs w:val="20"/>
        </w:rPr>
      </w:pPr>
      <w:bookmarkStart w:id="60" w:name="_Hlk189495902"/>
      <w:bookmarkStart w:id="61" w:name="_Hlk189495913"/>
      <w:r w:rsidRPr="00872D7E">
        <w:rPr>
          <w:b/>
          <w:szCs w:val="20"/>
        </w:rPr>
        <w:t>FAALİYET BÖLÜMLERİNE İLİŞKİN AÇIKLAMALAR</w:t>
      </w:r>
    </w:p>
    <w:bookmarkEnd w:id="43"/>
    <w:p w14:paraId="5BFB5E9C" w14:textId="01F26C8F" w:rsidR="00284FE5" w:rsidRPr="00872D7E" w:rsidRDefault="00284FE5" w:rsidP="0079358D">
      <w:pPr>
        <w:ind w:left="851"/>
        <w:jc w:val="both"/>
      </w:pPr>
      <w:r w:rsidRPr="00872D7E">
        <w:t xml:space="preserve">Banka, </w:t>
      </w:r>
      <w:r w:rsidR="002B35A0" w:rsidRPr="00872D7E">
        <w:t>Perakende,</w:t>
      </w:r>
      <w:r w:rsidR="00CC02DD" w:rsidRPr="00872D7E">
        <w:t xml:space="preserve"> </w:t>
      </w:r>
      <w:r w:rsidR="002B35A0" w:rsidRPr="00872D7E">
        <w:t>Ticari, Kurumsal</w:t>
      </w:r>
      <w:r w:rsidR="00662B66" w:rsidRPr="00872D7E">
        <w:t xml:space="preserve">, </w:t>
      </w:r>
      <w:r w:rsidR="002B35A0" w:rsidRPr="00872D7E">
        <w:t>KOBİ</w:t>
      </w:r>
      <w:r w:rsidR="00662B66" w:rsidRPr="00872D7E">
        <w:t xml:space="preserve"> ve</w:t>
      </w:r>
      <w:r w:rsidRPr="00872D7E">
        <w:t xml:space="preserve"> Hazine alanlarında faaliyette</w:t>
      </w:r>
      <w:r w:rsidR="00CC02DD" w:rsidRPr="00872D7E">
        <w:t xml:space="preserve"> </w:t>
      </w:r>
      <w:r w:rsidRPr="00872D7E">
        <w:t>bulunmaktadır.</w:t>
      </w:r>
    </w:p>
    <w:bookmarkEnd w:id="60"/>
    <w:p w14:paraId="23273A65" w14:textId="735F4DE3" w:rsidR="00862A01" w:rsidRPr="00872D7E" w:rsidRDefault="00862A01" w:rsidP="002668F2"/>
    <w:tbl>
      <w:tblPr>
        <w:tblW w:w="5000" w:type="pct"/>
        <w:tblCellMar>
          <w:left w:w="70" w:type="dxa"/>
          <w:right w:w="70" w:type="dxa"/>
        </w:tblCellMar>
        <w:tblLook w:val="04A0" w:firstRow="1" w:lastRow="0" w:firstColumn="1" w:lastColumn="0" w:noHBand="0" w:noVBand="1"/>
      </w:tblPr>
      <w:tblGrid>
        <w:gridCol w:w="2719"/>
        <w:gridCol w:w="1457"/>
        <w:gridCol w:w="1891"/>
        <w:gridCol w:w="1947"/>
        <w:gridCol w:w="1625"/>
      </w:tblGrid>
      <w:tr w:rsidR="00862A01" w:rsidRPr="00872D7E" w14:paraId="67ABE5DE" w14:textId="77777777" w:rsidTr="00B662A0">
        <w:trPr>
          <w:divId w:val="859703146"/>
          <w:trHeight w:val="227"/>
        </w:trPr>
        <w:tc>
          <w:tcPr>
            <w:tcW w:w="1410" w:type="pct"/>
            <w:tcBorders>
              <w:top w:val="nil"/>
              <w:left w:val="nil"/>
              <w:bottom w:val="single" w:sz="4" w:space="0" w:color="auto"/>
              <w:right w:val="nil"/>
            </w:tcBorders>
            <w:shd w:val="clear" w:color="auto" w:fill="auto"/>
            <w:noWrap/>
            <w:vAlign w:val="bottom"/>
            <w:hideMark/>
          </w:tcPr>
          <w:p w14:paraId="744C75E9" w14:textId="51A7885D" w:rsidR="00862A01" w:rsidRPr="00872D7E" w:rsidRDefault="00862A01" w:rsidP="00862A01">
            <w:pPr>
              <w:rPr>
                <w:b/>
                <w:bCs/>
                <w:color w:val="000000"/>
                <w:szCs w:val="20"/>
                <w:lang w:eastAsia="tr-TR"/>
              </w:rPr>
            </w:pPr>
            <w:r w:rsidRPr="00872D7E">
              <w:rPr>
                <w:b/>
                <w:bCs/>
                <w:color w:val="000000"/>
                <w:szCs w:val="20"/>
                <w:lang w:eastAsia="tr-TR"/>
              </w:rPr>
              <w:t>31 Aralık 2024</w:t>
            </w:r>
          </w:p>
        </w:tc>
        <w:tc>
          <w:tcPr>
            <w:tcW w:w="756" w:type="pct"/>
            <w:tcBorders>
              <w:top w:val="nil"/>
              <w:left w:val="nil"/>
              <w:bottom w:val="single" w:sz="4" w:space="0" w:color="auto"/>
              <w:right w:val="nil"/>
            </w:tcBorders>
            <w:shd w:val="clear" w:color="auto" w:fill="auto"/>
            <w:vAlign w:val="bottom"/>
            <w:hideMark/>
          </w:tcPr>
          <w:p w14:paraId="34546E3F" w14:textId="77777777" w:rsidR="00862A01" w:rsidRPr="00872D7E" w:rsidRDefault="00862A01" w:rsidP="00862A01">
            <w:pPr>
              <w:jc w:val="right"/>
              <w:rPr>
                <w:b/>
                <w:bCs/>
                <w:color w:val="000000"/>
                <w:szCs w:val="20"/>
                <w:lang w:eastAsia="tr-TR"/>
              </w:rPr>
            </w:pPr>
            <w:r w:rsidRPr="00872D7E">
              <w:rPr>
                <w:b/>
                <w:bCs/>
                <w:color w:val="000000"/>
                <w:szCs w:val="20"/>
                <w:lang w:eastAsia="tr-TR"/>
              </w:rPr>
              <w:t>Perakende</w:t>
            </w:r>
            <w:r w:rsidRPr="00872D7E">
              <w:rPr>
                <w:b/>
                <w:bCs/>
                <w:color w:val="000000"/>
                <w:szCs w:val="20"/>
                <w:lang w:eastAsia="tr-TR"/>
              </w:rPr>
              <w:br/>
              <w:t xml:space="preserve"> Bankacılık</w:t>
            </w:r>
          </w:p>
        </w:tc>
        <w:tc>
          <w:tcPr>
            <w:tcW w:w="981" w:type="pct"/>
            <w:tcBorders>
              <w:top w:val="nil"/>
              <w:left w:val="nil"/>
              <w:bottom w:val="single" w:sz="4" w:space="0" w:color="auto"/>
              <w:right w:val="nil"/>
            </w:tcBorders>
            <w:shd w:val="clear" w:color="auto" w:fill="auto"/>
            <w:vAlign w:val="bottom"/>
            <w:hideMark/>
          </w:tcPr>
          <w:p w14:paraId="26163171" w14:textId="77777777" w:rsidR="00862A01" w:rsidRPr="00872D7E" w:rsidRDefault="00862A01" w:rsidP="00862A01">
            <w:pPr>
              <w:jc w:val="right"/>
              <w:rPr>
                <w:b/>
                <w:bCs/>
                <w:color w:val="000000"/>
                <w:szCs w:val="20"/>
                <w:lang w:eastAsia="tr-TR"/>
              </w:rPr>
            </w:pPr>
            <w:r w:rsidRPr="00872D7E">
              <w:rPr>
                <w:b/>
                <w:bCs/>
                <w:color w:val="000000"/>
                <w:szCs w:val="20"/>
                <w:lang w:eastAsia="tr-TR"/>
              </w:rPr>
              <w:t>Ticari, Kurumsal ve KOBİ Bankacılığı</w:t>
            </w:r>
          </w:p>
        </w:tc>
        <w:tc>
          <w:tcPr>
            <w:tcW w:w="1010" w:type="pct"/>
            <w:tcBorders>
              <w:top w:val="nil"/>
              <w:left w:val="nil"/>
              <w:bottom w:val="single" w:sz="4" w:space="0" w:color="auto"/>
              <w:right w:val="nil"/>
            </w:tcBorders>
            <w:shd w:val="clear" w:color="auto" w:fill="auto"/>
            <w:vAlign w:val="bottom"/>
            <w:hideMark/>
          </w:tcPr>
          <w:p w14:paraId="3C738BA0" w14:textId="77777777" w:rsidR="00862A01" w:rsidRPr="00872D7E" w:rsidRDefault="00862A01" w:rsidP="00862A01">
            <w:pPr>
              <w:jc w:val="right"/>
              <w:rPr>
                <w:b/>
                <w:bCs/>
                <w:color w:val="000000"/>
                <w:szCs w:val="20"/>
                <w:lang w:eastAsia="tr-TR"/>
              </w:rPr>
            </w:pPr>
            <w:r w:rsidRPr="00872D7E">
              <w:rPr>
                <w:b/>
                <w:bCs/>
                <w:color w:val="000000"/>
                <w:szCs w:val="20"/>
                <w:lang w:eastAsia="tr-TR"/>
              </w:rPr>
              <w:t xml:space="preserve">Hazine, </w:t>
            </w:r>
            <w:proofErr w:type="gramStart"/>
            <w:r w:rsidRPr="00872D7E">
              <w:rPr>
                <w:b/>
                <w:bCs/>
                <w:color w:val="000000"/>
                <w:szCs w:val="20"/>
                <w:lang w:eastAsia="tr-TR"/>
              </w:rPr>
              <w:t>Diğer</w:t>
            </w:r>
            <w:proofErr w:type="gramEnd"/>
            <w:r w:rsidRPr="00872D7E">
              <w:rPr>
                <w:b/>
                <w:bCs/>
                <w:color w:val="000000"/>
                <w:szCs w:val="20"/>
                <w:lang w:eastAsia="tr-TR"/>
              </w:rPr>
              <w:t xml:space="preserve"> ve Dağıtılamayan</w:t>
            </w:r>
          </w:p>
        </w:tc>
        <w:tc>
          <w:tcPr>
            <w:tcW w:w="843" w:type="pct"/>
            <w:tcBorders>
              <w:top w:val="nil"/>
              <w:left w:val="nil"/>
              <w:bottom w:val="single" w:sz="4" w:space="0" w:color="auto"/>
              <w:right w:val="nil"/>
            </w:tcBorders>
            <w:shd w:val="clear" w:color="auto" w:fill="auto"/>
            <w:vAlign w:val="bottom"/>
            <w:hideMark/>
          </w:tcPr>
          <w:p w14:paraId="37C04F38" w14:textId="77777777" w:rsidR="00862A01" w:rsidRPr="00872D7E" w:rsidRDefault="00862A01" w:rsidP="00862A01">
            <w:pPr>
              <w:jc w:val="right"/>
              <w:rPr>
                <w:b/>
                <w:bCs/>
                <w:color w:val="000000"/>
                <w:szCs w:val="20"/>
                <w:lang w:eastAsia="tr-TR"/>
              </w:rPr>
            </w:pPr>
            <w:r w:rsidRPr="00872D7E">
              <w:rPr>
                <w:b/>
                <w:bCs/>
                <w:color w:val="000000"/>
                <w:szCs w:val="20"/>
                <w:lang w:eastAsia="tr-TR"/>
              </w:rPr>
              <w:t>Toplam</w:t>
            </w:r>
          </w:p>
        </w:tc>
      </w:tr>
      <w:tr w:rsidR="00862A01" w:rsidRPr="00872D7E" w14:paraId="1607D868" w14:textId="77777777" w:rsidTr="00B662A0">
        <w:trPr>
          <w:divId w:val="859703146"/>
          <w:trHeight w:val="227"/>
        </w:trPr>
        <w:tc>
          <w:tcPr>
            <w:tcW w:w="1410" w:type="pct"/>
            <w:tcBorders>
              <w:top w:val="single" w:sz="4" w:space="0" w:color="auto"/>
              <w:left w:val="nil"/>
              <w:bottom w:val="nil"/>
              <w:right w:val="nil"/>
            </w:tcBorders>
            <w:shd w:val="clear" w:color="auto" w:fill="auto"/>
            <w:noWrap/>
            <w:vAlign w:val="bottom"/>
            <w:hideMark/>
          </w:tcPr>
          <w:p w14:paraId="489E5D46" w14:textId="77777777" w:rsidR="00862A01" w:rsidRPr="00872D7E" w:rsidRDefault="00862A01" w:rsidP="00862A01">
            <w:pPr>
              <w:rPr>
                <w:b/>
                <w:bCs/>
                <w:color w:val="000000"/>
                <w:szCs w:val="20"/>
                <w:lang w:eastAsia="tr-TR"/>
              </w:rPr>
            </w:pPr>
          </w:p>
        </w:tc>
        <w:tc>
          <w:tcPr>
            <w:tcW w:w="756" w:type="pct"/>
            <w:tcBorders>
              <w:top w:val="single" w:sz="4" w:space="0" w:color="auto"/>
              <w:left w:val="nil"/>
              <w:bottom w:val="nil"/>
              <w:right w:val="nil"/>
            </w:tcBorders>
            <w:shd w:val="clear" w:color="auto" w:fill="auto"/>
            <w:noWrap/>
            <w:vAlign w:val="bottom"/>
            <w:hideMark/>
          </w:tcPr>
          <w:p w14:paraId="7E6D2848" w14:textId="77777777" w:rsidR="00862A01" w:rsidRPr="00872D7E" w:rsidRDefault="00862A01" w:rsidP="00862A01">
            <w:pPr>
              <w:jc w:val="right"/>
              <w:rPr>
                <w:szCs w:val="20"/>
                <w:lang w:eastAsia="tr-TR"/>
              </w:rPr>
            </w:pPr>
          </w:p>
        </w:tc>
        <w:tc>
          <w:tcPr>
            <w:tcW w:w="981" w:type="pct"/>
            <w:tcBorders>
              <w:top w:val="single" w:sz="4" w:space="0" w:color="auto"/>
              <w:left w:val="nil"/>
              <w:bottom w:val="nil"/>
              <w:right w:val="nil"/>
            </w:tcBorders>
            <w:shd w:val="clear" w:color="auto" w:fill="auto"/>
            <w:noWrap/>
            <w:vAlign w:val="bottom"/>
            <w:hideMark/>
          </w:tcPr>
          <w:p w14:paraId="3CAF5AE7" w14:textId="77777777" w:rsidR="00862A01" w:rsidRPr="00872D7E" w:rsidRDefault="00862A01" w:rsidP="00862A01">
            <w:pPr>
              <w:jc w:val="right"/>
              <w:rPr>
                <w:szCs w:val="20"/>
                <w:lang w:eastAsia="tr-TR"/>
              </w:rPr>
            </w:pPr>
          </w:p>
        </w:tc>
        <w:tc>
          <w:tcPr>
            <w:tcW w:w="1010" w:type="pct"/>
            <w:tcBorders>
              <w:top w:val="single" w:sz="4" w:space="0" w:color="auto"/>
              <w:left w:val="nil"/>
              <w:bottom w:val="nil"/>
              <w:right w:val="nil"/>
            </w:tcBorders>
            <w:shd w:val="clear" w:color="auto" w:fill="auto"/>
            <w:noWrap/>
            <w:vAlign w:val="bottom"/>
            <w:hideMark/>
          </w:tcPr>
          <w:p w14:paraId="2E3F166D" w14:textId="77777777" w:rsidR="00862A01" w:rsidRPr="00872D7E" w:rsidRDefault="00862A01" w:rsidP="00862A01">
            <w:pPr>
              <w:jc w:val="right"/>
              <w:rPr>
                <w:szCs w:val="20"/>
                <w:lang w:eastAsia="tr-TR"/>
              </w:rPr>
            </w:pPr>
          </w:p>
        </w:tc>
        <w:tc>
          <w:tcPr>
            <w:tcW w:w="843" w:type="pct"/>
            <w:tcBorders>
              <w:top w:val="single" w:sz="4" w:space="0" w:color="auto"/>
              <w:left w:val="nil"/>
              <w:bottom w:val="nil"/>
              <w:right w:val="nil"/>
            </w:tcBorders>
            <w:shd w:val="clear" w:color="auto" w:fill="auto"/>
            <w:noWrap/>
            <w:vAlign w:val="bottom"/>
            <w:hideMark/>
          </w:tcPr>
          <w:p w14:paraId="454C2A84" w14:textId="77777777" w:rsidR="00862A01" w:rsidRPr="00872D7E" w:rsidRDefault="00862A01" w:rsidP="00862A01">
            <w:pPr>
              <w:jc w:val="right"/>
              <w:rPr>
                <w:szCs w:val="20"/>
                <w:lang w:eastAsia="tr-TR"/>
              </w:rPr>
            </w:pPr>
          </w:p>
        </w:tc>
      </w:tr>
      <w:tr w:rsidR="00862A01" w:rsidRPr="00872D7E" w14:paraId="43D21F98" w14:textId="77777777" w:rsidTr="00B662A0">
        <w:trPr>
          <w:divId w:val="859703146"/>
          <w:trHeight w:val="227"/>
        </w:trPr>
        <w:tc>
          <w:tcPr>
            <w:tcW w:w="1410" w:type="pct"/>
            <w:tcBorders>
              <w:top w:val="nil"/>
              <w:left w:val="nil"/>
              <w:bottom w:val="nil"/>
              <w:right w:val="nil"/>
            </w:tcBorders>
            <w:shd w:val="clear" w:color="auto" w:fill="auto"/>
            <w:vAlign w:val="center"/>
            <w:hideMark/>
          </w:tcPr>
          <w:p w14:paraId="4605C813" w14:textId="77777777" w:rsidR="00862A01" w:rsidRPr="00872D7E" w:rsidRDefault="00862A01" w:rsidP="00862A01">
            <w:pPr>
              <w:rPr>
                <w:color w:val="000000"/>
                <w:szCs w:val="20"/>
                <w:lang w:eastAsia="tr-TR"/>
              </w:rPr>
            </w:pPr>
            <w:r w:rsidRPr="00872D7E">
              <w:rPr>
                <w:color w:val="000000"/>
                <w:szCs w:val="20"/>
                <w:lang w:eastAsia="tr-TR"/>
              </w:rPr>
              <w:t>Faaliyet Gelirleri</w:t>
            </w:r>
          </w:p>
        </w:tc>
        <w:tc>
          <w:tcPr>
            <w:tcW w:w="756" w:type="pct"/>
            <w:tcBorders>
              <w:top w:val="nil"/>
              <w:left w:val="nil"/>
              <w:bottom w:val="nil"/>
              <w:right w:val="nil"/>
            </w:tcBorders>
            <w:shd w:val="clear" w:color="auto" w:fill="auto"/>
            <w:vAlign w:val="center"/>
            <w:hideMark/>
          </w:tcPr>
          <w:p w14:paraId="66D966E1" w14:textId="77777777" w:rsidR="00862A01" w:rsidRPr="00872D7E" w:rsidRDefault="00862A01" w:rsidP="00862A01">
            <w:pPr>
              <w:jc w:val="right"/>
              <w:rPr>
                <w:color w:val="000000"/>
                <w:szCs w:val="20"/>
                <w:lang w:eastAsia="tr-TR"/>
              </w:rPr>
            </w:pPr>
            <w:r w:rsidRPr="00872D7E">
              <w:rPr>
                <w:color w:val="000000"/>
                <w:szCs w:val="20"/>
                <w:lang w:eastAsia="tr-TR"/>
              </w:rPr>
              <w:t>94.262</w:t>
            </w:r>
          </w:p>
        </w:tc>
        <w:tc>
          <w:tcPr>
            <w:tcW w:w="981" w:type="pct"/>
            <w:tcBorders>
              <w:top w:val="nil"/>
              <w:left w:val="nil"/>
              <w:bottom w:val="nil"/>
              <w:right w:val="nil"/>
            </w:tcBorders>
            <w:shd w:val="clear" w:color="auto" w:fill="auto"/>
            <w:vAlign w:val="center"/>
            <w:hideMark/>
          </w:tcPr>
          <w:p w14:paraId="3D4CA7BF" w14:textId="77777777" w:rsidR="00862A01" w:rsidRPr="00872D7E" w:rsidRDefault="00862A01" w:rsidP="00862A01">
            <w:pPr>
              <w:jc w:val="right"/>
              <w:rPr>
                <w:color w:val="000000"/>
                <w:szCs w:val="20"/>
                <w:lang w:eastAsia="tr-TR"/>
              </w:rPr>
            </w:pPr>
            <w:r w:rsidRPr="00872D7E">
              <w:rPr>
                <w:color w:val="000000"/>
                <w:szCs w:val="20"/>
                <w:lang w:eastAsia="tr-TR"/>
              </w:rPr>
              <w:t>3.070.485</w:t>
            </w:r>
          </w:p>
        </w:tc>
        <w:tc>
          <w:tcPr>
            <w:tcW w:w="1010" w:type="pct"/>
            <w:tcBorders>
              <w:top w:val="nil"/>
              <w:left w:val="nil"/>
              <w:bottom w:val="nil"/>
              <w:right w:val="nil"/>
            </w:tcBorders>
            <w:shd w:val="clear" w:color="auto" w:fill="auto"/>
            <w:vAlign w:val="center"/>
            <w:hideMark/>
          </w:tcPr>
          <w:p w14:paraId="40CC1457" w14:textId="77777777" w:rsidR="00862A01" w:rsidRPr="00872D7E" w:rsidRDefault="00862A01" w:rsidP="00862A01">
            <w:pPr>
              <w:jc w:val="right"/>
              <w:rPr>
                <w:color w:val="000000"/>
                <w:szCs w:val="20"/>
                <w:lang w:eastAsia="tr-TR"/>
              </w:rPr>
            </w:pPr>
            <w:r w:rsidRPr="00872D7E">
              <w:rPr>
                <w:color w:val="000000"/>
                <w:szCs w:val="20"/>
                <w:lang w:eastAsia="tr-TR"/>
              </w:rPr>
              <w:t>2.088.876</w:t>
            </w:r>
          </w:p>
        </w:tc>
        <w:tc>
          <w:tcPr>
            <w:tcW w:w="843" w:type="pct"/>
            <w:tcBorders>
              <w:top w:val="nil"/>
              <w:left w:val="nil"/>
              <w:bottom w:val="nil"/>
              <w:right w:val="nil"/>
            </w:tcBorders>
            <w:shd w:val="clear" w:color="auto" w:fill="auto"/>
            <w:vAlign w:val="center"/>
            <w:hideMark/>
          </w:tcPr>
          <w:p w14:paraId="70353228" w14:textId="77777777" w:rsidR="00862A01" w:rsidRPr="00872D7E" w:rsidRDefault="00862A01" w:rsidP="00862A01">
            <w:pPr>
              <w:jc w:val="right"/>
              <w:rPr>
                <w:color w:val="000000"/>
                <w:szCs w:val="20"/>
                <w:lang w:eastAsia="tr-TR"/>
              </w:rPr>
            </w:pPr>
            <w:r w:rsidRPr="00872D7E">
              <w:rPr>
                <w:color w:val="000000"/>
                <w:szCs w:val="20"/>
                <w:lang w:eastAsia="tr-TR"/>
              </w:rPr>
              <w:t>5.253.623</w:t>
            </w:r>
          </w:p>
        </w:tc>
      </w:tr>
      <w:tr w:rsidR="00862A01" w:rsidRPr="00872D7E" w14:paraId="26A072BF" w14:textId="77777777" w:rsidTr="00B662A0">
        <w:trPr>
          <w:divId w:val="859703146"/>
          <w:trHeight w:val="227"/>
        </w:trPr>
        <w:tc>
          <w:tcPr>
            <w:tcW w:w="1410" w:type="pct"/>
            <w:tcBorders>
              <w:top w:val="nil"/>
              <w:left w:val="nil"/>
              <w:bottom w:val="nil"/>
              <w:right w:val="nil"/>
            </w:tcBorders>
            <w:shd w:val="clear" w:color="auto" w:fill="auto"/>
            <w:vAlign w:val="center"/>
            <w:hideMark/>
          </w:tcPr>
          <w:p w14:paraId="6F12D5D2" w14:textId="77777777" w:rsidR="00862A01" w:rsidRPr="00872D7E" w:rsidRDefault="00862A01" w:rsidP="00862A01">
            <w:pPr>
              <w:rPr>
                <w:color w:val="000000"/>
                <w:szCs w:val="20"/>
                <w:lang w:eastAsia="tr-TR"/>
              </w:rPr>
            </w:pPr>
            <w:r w:rsidRPr="00872D7E">
              <w:rPr>
                <w:color w:val="000000"/>
                <w:szCs w:val="20"/>
                <w:lang w:eastAsia="tr-TR"/>
              </w:rPr>
              <w:t>Faaliyet Giderleri</w:t>
            </w:r>
          </w:p>
        </w:tc>
        <w:tc>
          <w:tcPr>
            <w:tcW w:w="756" w:type="pct"/>
            <w:tcBorders>
              <w:top w:val="nil"/>
              <w:left w:val="nil"/>
              <w:bottom w:val="nil"/>
              <w:right w:val="nil"/>
            </w:tcBorders>
            <w:shd w:val="clear" w:color="auto" w:fill="auto"/>
            <w:vAlign w:val="center"/>
            <w:hideMark/>
          </w:tcPr>
          <w:p w14:paraId="40A1BDB1" w14:textId="77777777" w:rsidR="00862A01" w:rsidRPr="00872D7E" w:rsidRDefault="00862A01" w:rsidP="00862A01">
            <w:pPr>
              <w:jc w:val="right"/>
              <w:rPr>
                <w:color w:val="000000"/>
                <w:szCs w:val="20"/>
                <w:lang w:eastAsia="tr-TR"/>
              </w:rPr>
            </w:pPr>
            <w:r w:rsidRPr="00872D7E">
              <w:rPr>
                <w:color w:val="000000"/>
                <w:szCs w:val="20"/>
                <w:lang w:eastAsia="tr-TR"/>
              </w:rPr>
              <w:t>51.161</w:t>
            </w:r>
          </w:p>
        </w:tc>
        <w:tc>
          <w:tcPr>
            <w:tcW w:w="981" w:type="pct"/>
            <w:tcBorders>
              <w:top w:val="nil"/>
              <w:left w:val="nil"/>
              <w:bottom w:val="nil"/>
              <w:right w:val="nil"/>
            </w:tcBorders>
            <w:shd w:val="clear" w:color="auto" w:fill="auto"/>
            <w:vAlign w:val="center"/>
            <w:hideMark/>
          </w:tcPr>
          <w:p w14:paraId="17F7186E" w14:textId="77777777" w:rsidR="00862A01" w:rsidRPr="00872D7E" w:rsidRDefault="00862A01" w:rsidP="00862A01">
            <w:pPr>
              <w:jc w:val="right"/>
              <w:rPr>
                <w:color w:val="000000"/>
                <w:szCs w:val="20"/>
                <w:lang w:eastAsia="tr-TR"/>
              </w:rPr>
            </w:pPr>
            <w:r w:rsidRPr="00872D7E">
              <w:rPr>
                <w:color w:val="000000"/>
                <w:szCs w:val="20"/>
                <w:lang w:eastAsia="tr-TR"/>
              </w:rPr>
              <w:t>2.284.836</w:t>
            </w:r>
          </w:p>
        </w:tc>
        <w:tc>
          <w:tcPr>
            <w:tcW w:w="1010" w:type="pct"/>
            <w:tcBorders>
              <w:top w:val="nil"/>
              <w:left w:val="nil"/>
              <w:bottom w:val="nil"/>
              <w:right w:val="nil"/>
            </w:tcBorders>
            <w:shd w:val="clear" w:color="auto" w:fill="auto"/>
            <w:vAlign w:val="center"/>
            <w:hideMark/>
          </w:tcPr>
          <w:p w14:paraId="7D70E15D" w14:textId="77777777" w:rsidR="00862A01" w:rsidRPr="00872D7E" w:rsidRDefault="00862A01" w:rsidP="00862A01">
            <w:pPr>
              <w:jc w:val="right"/>
              <w:rPr>
                <w:color w:val="000000"/>
                <w:szCs w:val="20"/>
                <w:lang w:eastAsia="tr-TR"/>
              </w:rPr>
            </w:pPr>
            <w:r w:rsidRPr="00872D7E">
              <w:rPr>
                <w:color w:val="000000"/>
                <w:szCs w:val="20"/>
                <w:lang w:eastAsia="tr-TR"/>
              </w:rPr>
              <w:t>1.301.443</w:t>
            </w:r>
          </w:p>
        </w:tc>
        <w:tc>
          <w:tcPr>
            <w:tcW w:w="843" w:type="pct"/>
            <w:tcBorders>
              <w:top w:val="nil"/>
              <w:left w:val="nil"/>
              <w:bottom w:val="nil"/>
              <w:right w:val="nil"/>
            </w:tcBorders>
            <w:shd w:val="clear" w:color="auto" w:fill="auto"/>
            <w:vAlign w:val="center"/>
            <w:hideMark/>
          </w:tcPr>
          <w:p w14:paraId="6E82AFD5" w14:textId="77777777" w:rsidR="00862A01" w:rsidRPr="00872D7E" w:rsidRDefault="00862A01" w:rsidP="00862A01">
            <w:pPr>
              <w:jc w:val="right"/>
              <w:rPr>
                <w:color w:val="000000"/>
                <w:szCs w:val="20"/>
                <w:lang w:eastAsia="tr-TR"/>
              </w:rPr>
            </w:pPr>
            <w:r w:rsidRPr="00872D7E">
              <w:rPr>
                <w:color w:val="000000"/>
                <w:szCs w:val="20"/>
                <w:lang w:eastAsia="tr-TR"/>
              </w:rPr>
              <w:t>3.637.440</w:t>
            </w:r>
          </w:p>
        </w:tc>
      </w:tr>
      <w:tr w:rsidR="00862A01" w:rsidRPr="00872D7E" w14:paraId="179F8931" w14:textId="77777777" w:rsidTr="00B662A0">
        <w:trPr>
          <w:divId w:val="859703146"/>
          <w:trHeight w:val="227"/>
        </w:trPr>
        <w:tc>
          <w:tcPr>
            <w:tcW w:w="1410" w:type="pct"/>
            <w:tcBorders>
              <w:top w:val="nil"/>
              <w:left w:val="nil"/>
              <w:bottom w:val="nil"/>
              <w:right w:val="nil"/>
            </w:tcBorders>
            <w:shd w:val="clear" w:color="auto" w:fill="auto"/>
            <w:vAlign w:val="center"/>
            <w:hideMark/>
          </w:tcPr>
          <w:p w14:paraId="745EC04E" w14:textId="77777777" w:rsidR="00862A01" w:rsidRPr="00872D7E" w:rsidRDefault="00862A01" w:rsidP="00862A01">
            <w:pPr>
              <w:rPr>
                <w:color w:val="000000"/>
                <w:szCs w:val="20"/>
                <w:lang w:eastAsia="tr-TR"/>
              </w:rPr>
            </w:pPr>
            <w:r w:rsidRPr="00872D7E">
              <w:rPr>
                <w:color w:val="000000"/>
                <w:szCs w:val="20"/>
                <w:lang w:eastAsia="tr-TR"/>
              </w:rPr>
              <w:t>Faaliyet Gelirleri/Giderleri</w:t>
            </w:r>
          </w:p>
        </w:tc>
        <w:tc>
          <w:tcPr>
            <w:tcW w:w="756" w:type="pct"/>
            <w:tcBorders>
              <w:top w:val="nil"/>
              <w:left w:val="nil"/>
              <w:bottom w:val="nil"/>
              <w:right w:val="nil"/>
            </w:tcBorders>
            <w:shd w:val="clear" w:color="auto" w:fill="auto"/>
            <w:vAlign w:val="center"/>
            <w:hideMark/>
          </w:tcPr>
          <w:p w14:paraId="72047601" w14:textId="77777777" w:rsidR="00862A01" w:rsidRPr="00872D7E" w:rsidRDefault="00862A01" w:rsidP="00862A01">
            <w:pPr>
              <w:jc w:val="right"/>
              <w:rPr>
                <w:color w:val="000000"/>
                <w:szCs w:val="20"/>
                <w:lang w:eastAsia="tr-TR"/>
              </w:rPr>
            </w:pPr>
            <w:r w:rsidRPr="00872D7E">
              <w:rPr>
                <w:color w:val="000000"/>
                <w:szCs w:val="20"/>
                <w:lang w:eastAsia="tr-TR"/>
              </w:rPr>
              <w:t>43.101</w:t>
            </w:r>
          </w:p>
        </w:tc>
        <w:tc>
          <w:tcPr>
            <w:tcW w:w="981" w:type="pct"/>
            <w:tcBorders>
              <w:top w:val="nil"/>
              <w:left w:val="nil"/>
              <w:bottom w:val="nil"/>
              <w:right w:val="nil"/>
            </w:tcBorders>
            <w:shd w:val="clear" w:color="auto" w:fill="auto"/>
            <w:vAlign w:val="center"/>
            <w:hideMark/>
          </w:tcPr>
          <w:p w14:paraId="3030065D" w14:textId="77777777" w:rsidR="00862A01" w:rsidRPr="00872D7E" w:rsidRDefault="00862A01" w:rsidP="00862A01">
            <w:pPr>
              <w:jc w:val="right"/>
              <w:rPr>
                <w:color w:val="000000"/>
                <w:szCs w:val="20"/>
                <w:lang w:eastAsia="tr-TR"/>
              </w:rPr>
            </w:pPr>
            <w:r w:rsidRPr="00872D7E">
              <w:rPr>
                <w:color w:val="000000"/>
                <w:szCs w:val="20"/>
                <w:lang w:eastAsia="tr-TR"/>
              </w:rPr>
              <w:t>785.649</w:t>
            </w:r>
          </w:p>
        </w:tc>
        <w:tc>
          <w:tcPr>
            <w:tcW w:w="1010" w:type="pct"/>
            <w:tcBorders>
              <w:top w:val="nil"/>
              <w:left w:val="nil"/>
              <w:bottom w:val="nil"/>
              <w:right w:val="nil"/>
            </w:tcBorders>
            <w:shd w:val="clear" w:color="auto" w:fill="auto"/>
            <w:vAlign w:val="center"/>
            <w:hideMark/>
          </w:tcPr>
          <w:p w14:paraId="3D70FD52" w14:textId="77777777" w:rsidR="00862A01" w:rsidRPr="00872D7E" w:rsidRDefault="00862A01" w:rsidP="00862A01">
            <w:pPr>
              <w:jc w:val="right"/>
              <w:rPr>
                <w:color w:val="000000"/>
                <w:szCs w:val="20"/>
                <w:lang w:eastAsia="tr-TR"/>
              </w:rPr>
            </w:pPr>
            <w:r w:rsidRPr="00872D7E">
              <w:rPr>
                <w:color w:val="000000"/>
                <w:szCs w:val="20"/>
                <w:lang w:eastAsia="tr-TR"/>
              </w:rPr>
              <w:t>787.433</w:t>
            </w:r>
          </w:p>
        </w:tc>
        <w:tc>
          <w:tcPr>
            <w:tcW w:w="843" w:type="pct"/>
            <w:tcBorders>
              <w:top w:val="nil"/>
              <w:left w:val="nil"/>
              <w:bottom w:val="nil"/>
              <w:right w:val="nil"/>
            </w:tcBorders>
            <w:shd w:val="clear" w:color="auto" w:fill="auto"/>
            <w:vAlign w:val="center"/>
            <w:hideMark/>
          </w:tcPr>
          <w:p w14:paraId="32B2FCF8" w14:textId="77777777" w:rsidR="00862A01" w:rsidRPr="00872D7E" w:rsidRDefault="00862A01" w:rsidP="00862A01">
            <w:pPr>
              <w:jc w:val="right"/>
              <w:rPr>
                <w:color w:val="000000"/>
                <w:szCs w:val="20"/>
                <w:lang w:eastAsia="tr-TR"/>
              </w:rPr>
            </w:pPr>
            <w:r w:rsidRPr="00872D7E">
              <w:rPr>
                <w:color w:val="000000"/>
                <w:szCs w:val="20"/>
                <w:lang w:eastAsia="tr-TR"/>
              </w:rPr>
              <w:t>1.616.183</w:t>
            </w:r>
          </w:p>
        </w:tc>
      </w:tr>
      <w:tr w:rsidR="00862A01" w:rsidRPr="00872D7E" w14:paraId="71C68C76" w14:textId="77777777" w:rsidTr="00B662A0">
        <w:trPr>
          <w:divId w:val="859703146"/>
          <w:trHeight w:val="227"/>
        </w:trPr>
        <w:tc>
          <w:tcPr>
            <w:tcW w:w="1410" w:type="pct"/>
            <w:tcBorders>
              <w:top w:val="nil"/>
              <w:left w:val="nil"/>
              <w:bottom w:val="nil"/>
              <w:right w:val="nil"/>
            </w:tcBorders>
            <w:shd w:val="clear" w:color="auto" w:fill="auto"/>
            <w:vAlign w:val="center"/>
            <w:hideMark/>
          </w:tcPr>
          <w:p w14:paraId="5E5EE122" w14:textId="77777777" w:rsidR="00862A01" w:rsidRPr="00872D7E" w:rsidRDefault="00862A01" w:rsidP="00862A01">
            <w:pPr>
              <w:rPr>
                <w:color w:val="000000"/>
                <w:szCs w:val="20"/>
                <w:lang w:eastAsia="tr-TR"/>
              </w:rPr>
            </w:pPr>
            <w:r w:rsidRPr="00872D7E">
              <w:rPr>
                <w:color w:val="000000"/>
                <w:szCs w:val="20"/>
                <w:lang w:eastAsia="tr-TR"/>
              </w:rPr>
              <w:t>Vergi Öncesi Kar</w:t>
            </w:r>
          </w:p>
        </w:tc>
        <w:tc>
          <w:tcPr>
            <w:tcW w:w="756" w:type="pct"/>
            <w:tcBorders>
              <w:top w:val="nil"/>
              <w:left w:val="nil"/>
              <w:bottom w:val="nil"/>
              <w:right w:val="nil"/>
            </w:tcBorders>
            <w:shd w:val="clear" w:color="auto" w:fill="auto"/>
            <w:vAlign w:val="center"/>
            <w:hideMark/>
          </w:tcPr>
          <w:p w14:paraId="78EFC85D" w14:textId="77777777" w:rsidR="00862A01" w:rsidRPr="00872D7E" w:rsidRDefault="00862A01" w:rsidP="00862A01">
            <w:pPr>
              <w:jc w:val="right"/>
              <w:rPr>
                <w:color w:val="000000"/>
                <w:szCs w:val="20"/>
                <w:lang w:eastAsia="tr-TR"/>
              </w:rPr>
            </w:pPr>
            <w:r w:rsidRPr="00872D7E">
              <w:rPr>
                <w:color w:val="000000"/>
                <w:szCs w:val="20"/>
                <w:lang w:eastAsia="tr-TR"/>
              </w:rPr>
              <w:t>43.101</w:t>
            </w:r>
          </w:p>
        </w:tc>
        <w:tc>
          <w:tcPr>
            <w:tcW w:w="981" w:type="pct"/>
            <w:tcBorders>
              <w:top w:val="nil"/>
              <w:left w:val="nil"/>
              <w:bottom w:val="nil"/>
              <w:right w:val="nil"/>
            </w:tcBorders>
            <w:shd w:val="clear" w:color="auto" w:fill="auto"/>
            <w:vAlign w:val="center"/>
            <w:hideMark/>
          </w:tcPr>
          <w:p w14:paraId="21E69105" w14:textId="77777777" w:rsidR="00862A01" w:rsidRPr="00872D7E" w:rsidRDefault="00862A01" w:rsidP="00862A01">
            <w:pPr>
              <w:jc w:val="right"/>
              <w:rPr>
                <w:color w:val="000000"/>
                <w:szCs w:val="20"/>
                <w:lang w:eastAsia="tr-TR"/>
              </w:rPr>
            </w:pPr>
            <w:r w:rsidRPr="00872D7E">
              <w:rPr>
                <w:color w:val="000000"/>
                <w:szCs w:val="20"/>
                <w:lang w:eastAsia="tr-TR"/>
              </w:rPr>
              <w:t>785.649</w:t>
            </w:r>
          </w:p>
        </w:tc>
        <w:tc>
          <w:tcPr>
            <w:tcW w:w="1010" w:type="pct"/>
            <w:tcBorders>
              <w:top w:val="nil"/>
              <w:left w:val="nil"/>
              <w:bottom w:val="nil"/>
              <w:right w:val="nil"/>
            </w:tcBorders>
            <w:shd w:val="clear" w:color="auto" w:fill="auto"/>
            <w:vAlign w:val="center"/>
            <w:hideMark/>
          </w:tcPr>
          <w:p w14:paraId="255642C3" w14:textId="77777777" w:rsidR="00862A01" w:rsidRPr="00872D7E" w:rsidRDefault="00862A01" w:rsidP="00862A01">
            <w:pPr>
              <w:jc w:val="right"/>
              <w:rPr>
                <w:color w:val="000000"/>
                <w:szCs w:val="20"/>
                <w:lang w:eastAsia="tr-TR"/>
              </w:rPr>
            </w:pPr>
            <w:r w:rsidRPr="00872D7E">
              <w:rPr>
                <w:color w:val="000000"/>
                <w:szCs w:val="20"/>
                <w:lang w:eastAsia="tr-TR"/>
              </w:rPr>
              <w:t>787.485</w:t>
            </w:r>
          </w:p>
        </w:tc>
        <w:tc>
          <w:tcPr>
            <w:tcW w:w="843" w:type="pct"/>
            <w:tcBorders>
              <w:top w:val="nil"/>
              <w:left w:val="nil"/>
              <w:bottom w:val="nil"/>
              <w:right w:val="nil"/>
            </w:tcBorders>
            <w:shd w:val="clear" w:color="auto" w:fill="auto"/>
            <w:vAlign w:val="center"/>
            <w:hideMark/>
          </w:tcPr>
          <w:p w14:paraId="794BF36D" w14:textId="77777777" w:rsidR="00862A01" w:rsidRPr="00872D7E" w:rsidRDefault="00862A01" w:rsidP="00862A01">
            <w:pPr>
              <w:jc w:val="right"/>
              <w:rPr>
                <w:color w:val="000000"/>
                <w:szCs w:val="20"/>
                <w:lang w:eastAsia="tr-TR"/>
              </w:rPr>
            </w:pPr>
            <w:r w:rsidRPr="00872D7E">
              <w:rPr>
                <w:color w:val="000000"/>
                <w:szCs w:val="20"/>
                <w:lang w:eastAsia="tr-TR"/>
              </w:rPr>
              <w:t>1.616.235</w:t>
            </w:r>
          </w:p>
        </w:tc>
      </w:tr>
      <w:tr w:rsidR="00862A01" w:rsidRPr="00872D7E" w14:paraId="797B6104" w14:textId="77777777" w:rsidTr="00B662A0">
        <w:trPr>
          <w:divId w:val="859703146"/>
          <w:trHeight w:val="227"/>
        </w:trPr>
        <w:tc>
          <w:tcPr>
            <w:tcW w:w="1410" w:type="pct"/>
            <w:tcBorders>
              <w:top w:val="nil"/>
              <w:left w:val="nil"/>
              <w:bottom w:val="nil"/>
              <w:right w:val="nil"/>
            </w:tcBorders>
            <w:shd w:val="clear" w:color="auto" w:fill="auto"/>
            <w:vAlign w:val="center"/>
            <w:hideMark/>
          </w:tcPr>
          <w:p w14:paraId="69079269" w14:textId="77777777" w:rsidR="00862A01" w:rsidRPr="00872D7E" w:rsidRDefault="00862A01" w:rsidP="00862A01">
            <w:pPr>
              <w:rPr>
                <w:color w:val="000000"/>
                <w:szCs w:val="20"/>
                <w:lang w:eastAsia="tr-TR"/>
              </w:rPr>
            </w:pPr>
            <w:r w:rsidRPr="00872D7E">
              <w:rPr>
                <w:color w:val="000000"/>
                <w:szCs w:val="20"/>
                <w:lang w:eastAsia="tr-TR"/>
              </w:rPr>
              <w:t>Vergi Gideri</w:t>
            </w:r>
          </w:p>
        </w:tc>
        <w:tc>
          <w:tcPr>
            <w:tcW w:w="756" w:type="pct"/>
            <w:tcBorders>
              <w:top w:val="nil"/>
              <w:left w:val="nil"/>
              <w:bottom w:val="nil"/>
              <w:right w:val="nil"/>
            </w:tcBorders>
            <w:shd w:val="clear" w:color="auto" w:fill="auto"/>
            <w:vAlign w:val="center"/>
            <w:hideMark/>
          </w:tcPr>
          <w:p w14:paraId="6288B69C"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981" w:type="pct"/>
            <w:tcBorders>
              <w:top w:val="nil"/>
              <w:left w:val="nil"/>
              <w:bottom w:val="nil"/>
              <w:right w:val="nil"/>
            </w:tcBorders>
            <w:shd w:val="clear" w:color="auto" w:fill="auto"/>
            <w:vAlign w:val="center"/>
            <w:hideMark/>
          </w:tcPr>
          <w:p w14:paraId="31D2712A"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1010" w:type="pct"/>
            <w:tcBorders>
              <w:top w:val="nil"/>
              <w:left w:val="nil"/>
              <w:bottom w:val="nil"/>
              <w:right w:val="nil"/>
            </w:tcBorders>
            <w:shd w:val="clear" w:color="auto" w:fill="auto"/>
            <w:vAlign w:val="center"/>
            <w:hideMark/>
          </w:tcPr>
          <w:p w14:paraId="714C20B6" w14:textId="77777777" w:rsidR="00862A01" w:rsidRPr="00872D7E" w:rsidRDefault="00862A01" w:rsidP="00862A01">
            <w:pPr>
              <w:jc w:val="right"/>
              <w:rPr>
                <w:color w:val="000000"/>
                <w:szCs w:val="20"/>
                <w:lang w:eastAsia="tr-TR"/>
              </w:rPr>
            </w:pPr>
            <w:r w:rsidRPr="00872D7E">
              <w:rPr>
                <w:color w:val="000000"/>
                <w:szCs w:val="20"/>
                <w:lang w:eastAsia="tr-TR"/>
              </w:rPr>
              <w:t>(262.593)</w:t>
            </w:r>
          </w:p>
        </w:tc>
        <w:tc>
          <w:tcPr>
            <w:tcW w:w="843" w:type="pct"/>
            <w:tcBorders>
              <w:top w:val="nil"/>
              <w:left w:val="nil"/>
              <w:bottom w:val="nil"/>
              <w:right w:val="nil"/>
            </w:tcBorders>
            <w:shd w:val="clear" w:color="auto" w:fill="auto"/>
            <w:vAlign w:val="center"/>
            <w:hideMark/>
          </w:tcPr>
          <w:p w14:paraId="108FD8C3" w14:textId="77777777" w:rsidR="00862A01" w:rsidRPr="00872D7E" w:rsidRDefault="00862A01" w:rsidP="00862A01">
            <w:pPr>
              <w:jc w:val="right"/>
              <w:rPr>
                <w:color w:val="000000"/>
                <w:szCs w:val="20"/>
                <w:lang w:eastAsia="tr-TR"/>
              </w:rPr>
            </w:pPr>
            <w:r w:rsidRPr="00872D7E">
              <w:rPr>
                <w:color w:val="000000"/>
                <w:szCs w:val="20"/>
                <w:lang w:eastAsia="tr-TR"/>
              </w:rPr>
              <w:t>(262.593)</w:t>
            </w:r>
          </w:p>
        </w:tc>
      </w:tr>
      <w:tr w:rsidR="00862A01" w:rsidRPr="00872D7E" w14:paraId="5A274C19" w14:textId="77777777" w:rsidTr="00B662A0">
        <w:trPr>
          <w:divId w:val="859703146"/>
          <w:trHeight w:val="227"/>
        </w:trPr>
        <w:tc>
          <w:tcPr>
            <w:tcW w:w="1410" w:type="pct"/>
            <w:tcBorders>
              <w:top w:val="nil"/>
              <w:left w:val="nil"/>
              <w:bottom w:val="single" w:sz="4" w:space="0" w:color="auto"/>
              <w:right w:val="nil"/>
            </w:tcBorders>
            <w:shd w:val="clear" w:color="auto" w:fill="auto"/>
            <w:vAlign w:val="center"/>
            <w:hideMark/>
          </w:tcPr>
          <w:p w14:paraId="0D45CECB" w14:textId="77777777" w:rsidR="00862A01" w:rsidRPr="00872D7E" w:rsidRDefault="00862A01" w:rsidP="00862A01">
            <w:pPr>
              <w:rPr>
                <w:b/>
                <w:bCs/>
                <w:color w:val="000000"/>
                <w:szCs w:val="20"/>
                <w:lang w:eastAsia="tr-TR"/>
              </w:rPr>
            </w:pPr>
            <w:r w:rsidRPr="00872D7E">
              <w:rPr>
                <w:b/>
                <w:bCs/>
                <w:color w:val="000000"/>
                <w:szCs w:val="20"/>
                <w:lang w:eastAsia="tr-TR"/>
              </w:rPr>
              <w:t>Net Dönem K/Z</w:t>
            </w:r>
          </w:p>
        </w:tc>
        <w:tc>
          <w:tcPr>
            <w:tcW w:w="756" w:type="pct"/>
            <w:tcBorders>
              <w:top w:val="nil"/>
              <w:left w:val="nil"/>
              <w:bottom w:val="single" w:sz="4" w:space="0" w:color="auto"/>
              <w:right w:val="nil"/>
            </w:tcBorders>
            <w:shd w:val="clear" w:color="auto" w:fill="auto"/>
            <w:vAlign w:val="center"/>
            <w:hideMark/>
          </w:tcPr>
          <w:p w14:paraId="4A1AEA6F" w14:textId="77777777" w:rsidR="00862A01" w:rsidRPr="00872D7E" w:rsidRDefault="00862A01" w:rsidP="00862A01">
            <w:pPr>
              <w:jc w:val="right"/>
              <w:rPr>
                <w:b/>
                <w:bCs/>
                <w:color w:val="000000"/>
                <w:szCs w:val="20"/>
                <w:lang w:eastAsia="tr-TR"/>
              </w:rPr>
            </w:pPr>
            <w:r w:rsidRPr="00872D7E">
              <w:rPr>
                <w:b/>
                <w:bCs/>
                <w:color w:val="000000"/>
                <w:szCs w:val="20"/>
                <w:lang w:eastAsia="tr-TR"/>
              </w:rPr>
              <w:t>43.101</w:t>
            </w:r>
          </w:p>
        </w:tc>
        <w:tc>
          <w:tcPr>
            <w:tcW w:w="981" w:type="pct"/>
            <w:tcBorders>
              <w:top w:val="nil"/>
              <w:left w:val="nil"/>
              <w:bottom w:val="single" w:sz="4" w:space="0" w:color="auto"/>
              <w:right w:val="nil"/>
            </w:tcBorders>
            <w:shd w:val="clear" w:color="auto" w:fill="auto"/>
            <w:vAlign w:val="center"/>
            <w:hideMark/>
          </w:tcPr>
          <w:p w14:paraId="05A07001" w14:textId="77777777" w:rsidR="00862A01" w:rsidRPr="00872D7E" w:rsidRDefault="00862A01" w:rsidP="00862A01">
            <w:pPr>
              <w:jc w:val="right"/>
              <w:rPr>
                <w:b/>
                <w:bCs/>
                <w:color w:val="000000"/>
                <w:szCs w:val="20"/>
                <w:lang w:eastAsia="tr-TR"/>
              </w:rPr>
            </w:pPr>
            <w:r w:rsidRPr="00872D7E">
              <w:rPr>
                <w:b/>
                <w:bCs/>
                <w:color w:val="000000"/>
                <w:szCs w:val="20"/>
                <w:lang w:eastAsia="tr-TR"/>
              </w:rPr>
              <w:t>785.649</w:t>
            </w:r>
          </w:p>
        </w:tc>
        <w:tc>
          <w:tcPr>
            <w:tcW w:w="1010" w:type="pct"/>
            <w:tcBorders>
              <w:top w:val="nil"/>
              <w:left w:val="nil"/>
              <w:bottom w:val="single" w:sz="4" w:space="0" w:color="auto"/>
              <w:right w:val="nil"/>
            </w:tcBorders>
            <w:shd w:val="clear" w:color="auto" w:fill="auto"/>
            <w:vAlign w:val="center"/>
            <w:hideMark/>
          </w:tcPr>
          <w:p w14:paraId="76F59B5F" w14:textId="77777777" w:rsidR="00862A01" w:rsidRPr="00872D7E" w:rsidRDefault="00862A01" w:rsidP="00862A01">
            <w:pPr>
              <w:jc w:val="right"/>
              <w:rPr>
                <w:b/>
                <w:bCs/>
                <w:color w:val="000000"/>
                <w:szCs w:val="20"/>
                <w:lang w:eastAsia="tr-TR"/>
              </w:rPr>
            </w:pPr>
            <w:r w:rsidRPr="00872D7E">
              <w:rPr>
                <w:b/>
                <w:bCs/>
                <w:color w:val="000000"/>
                <w:szCs w:val="20"/>
                <w:lang w:eastAsia="tr-TR"/>
              </w:rPr>
              <w:t>524.892</w:t>
            </w:r>
          </w:p>
        </w:tc>
        <w:tc>
          <w:tcPr>
            <w:tcW w:w="843" w:type="pct"/>
            <w:tcBorders>
              <w:top w:val="nil"/>
              <w:left w:val="nil"/>
              <w:bottom w:val="single" w:sz="4" w:space="0" w:color="auto"/>
              <w:right w:val="nil"/>
            </w:tcBorders>
            <w:shd w:val="clear" w:color="auto" w:fill="auto"/>
            <w:vAlign w:val="center"/>
            <w:hideMark/>
          </w:tcPr>
          <w:p w14:paraId="47567084" w14:textId="77777777" w:rsidR="00862A01" w:rsidRPr="00872D7E" w:rsidRDefault="00862A01" w:rsidP="00862A01">
            <w:pPr>
              <w:jc w:val="right"/>
              <w:rPr>
                <w:b/>
                <w:bCs/>
                <w:color w:val="000000"/>
                <w:szCs w:val="20"/>
                <w:lang w:eastAsia="tr-TR"/>
              </w:rPr>
            </w:pPr>
            <w:r w:rsidRPr="00872D7E">
              <w:rPr>
                <w:b/>
                <w:bCs/>
                <w:color w:val="000000"/>
                <w:szCs w:val="20"/>
                <w:lang w:eastAsia="tr-TR"/>
              </w:rPr>
              <w:t>1.353.642</w:t>
            </w:r>
          </w:p>
        </w:tc>
      </w:tr>
      <w:tr w:rsidR="00862A01" w:rsidRPr="00872D7E" w14:paraId="246CE955" w14:textId="77777777" w:rsidTr="00B662A0">
        <w:trPr>
          <w:divId w:val="859703146"/>
          <w:trHeight w:val="227"/>
        </w:trPr>
        <w:tc>
          <w:tcPr>
            <w:tcW w:w="1410" w:type="pct"/>
            <w:tcBorders>
              <w:top w:val="nil"/>
              <w:left w:val="nil"/>
              <w:bottom w:val="nil"/>
              <w:right w:val="nil"/>
            </w:tcBorders>
            <w:shd w:val="clear" w:color="auto" w:fill="auto"/>
            <w:vAlign w:val="center"/>
            <w:hideMark/>
          </w:tcPr>
          <w:p w14:paraId="309F343F" w14:textId="77777777" w:rsidR="00862A01" w:rsidRPr="00872D7E" w:rsidRDefault="00862A01" w:rsidP="00862A01">
            <w:pPr>
              <w:rPr>
                <w:b/>
                <w:bCs/>
                <w:color w:val="000000"/>
                <w:szCs w:val="20"/>
                <w:lang w:eastAsia="tr-TR"/>
              </w:rPr>
            </w:pPr>
          </w:p>
        </w:tc>
        <w:tc>
          <w:tcPr>
            <w:tcW w:w="756" w:type="pct"/>
            <w:tcBorders>
              <w:top w:val="nil"/>
              <w:left w:val="nil"/>
              <w:bottom w:val="nil"/>
              <w:right w:val="nil"/>
            </w:tcBorders>
            <w:shd w:val="clear" w:color="auto" w:fill="auto"/>
            <w:noWrap/>
            <w:vAlign w:val="bottom"/>
            <w:hideMark/>
          </w:tcPr>
          <w:p w14:paraId="66A43491" w14:textId="77777777" w:rsidR="00862A01" w:rsidRPr="00872D7E" w:rsidRDefault="00862A01" w:rsidP="00862A01">
            <w:pPr>
              <w:jc w:val="right"/>
              <w:rPr>
                <w:szCs w:val="20"/>
                <w:lang w:eastAsia="tr-TR"/>
              </w:rPr>
            </w:pPr>
          </w:p>
        </w:tc>
        <w:tc>
          <w:tcPr>
            <w:tcW w:w="981" w:type="pct"/>
            <w:tcBorders>
              <w:top w:val="nil"/>
              <w:left w:val="nil"/>
              <w:bottom w:val="nil"/>
              <w:right w:val="nil"/>
            </w:tcBorders>
            <w:shd w:val="clear" w:color="auto" w:fill="auto"/>
            <w:noWrap/>
            <w:vAlign w:val="bottom"/>
            <w:hideMark/>
          </w:tcPr>
          <w:p w14:paraId="44819D28" w14:textId="77777777" w:rsidR="00862A01" w:rsidRPr="00872D7E" w:rsidRDefault="00862A01" w:rsidP="00862A01">
            <w:pPr>
              <w:jc w:val="right"/>
              <w:rPr>
                <w:szCs w:val="20"/>
                <w:lang w:eastAsia="tr-TR"/>
              </w:rPr>
            </w:pPr>
          </w:p>
        </w:tc>
        <w:tc>
          <w:tcPr>
            <w:tcW w:w="1010" w:type="pct"/>
            <w:tcBorders>
              <w:top w:val="nil"/>
              <w:left w:val="nil"/>
              <w:bottom w:val="nil"/>
              <w:right w:val="nil"/>
            </w:tcBorders>
            <w:shd w:val="clear" w:color="auto" w:fill="auto"/>
            <w:noWrap/>
            <w:vAlign w:val="bottom"/>
            <w:hideMark/>
          </w:tcPr>
          <w:p w14:paraId="3B76D263" w14:textId="77777777" w:rsidR="00862A01" w:rsidRPr="00872D7E" w:rsidRDefault="00862A01" w:rsidP="00862A01">
            <w:pPr>
              <w:jc w:val="right"/>
              <w:rPr>
                <w:szCs w:val="20"/>
                <w:lang w:eastAsia="tr-TR"/>
              </w:rPr>
            </w:pPr>
          </w:p>
        </w:tc>
        <w:tc>
          <w:tcPr>
            <w:tcW w:w="843" w:type="pct"/>
            <w:tcBorders>
              <w:top w:val="nil"/>
              <w:left w:val="nil"/>
              <w:bottom w:val="nil"/>
              <w:right w:val="nil"/>
            </w:tcBorders>
            <w:shd w:val="clear" w:color="auto" w:fill="auto"/>
            <w:noWrap/>
            <w:vAlign w:val="bottom"/>
            <w:hideMark/>
          </w:tcPr>
          <w:p w14:paraId="5871E50C" w14:textId="77777777" w:rsidR="00862A01" w:rsidRPr="00872D7E" w:rsidRDefault="00862A01" w:rsidP="00862A01">
            <w:pPr>
              <w:jc w:val="right"/>
              <w:rPr>
                <w:szCs w:val="20"/>
                <w:lang w:eastAsia="tr-TR"/>
              </w:rPr>
            </w:pPr>
          </w:p>
        </w:tc>
      </w:tr>
      <w:tr w:rsidR="00862A01" w:rsidRPr="00872D7E" w14:paraId="13A6EFA1" w14:textId="77777777" w:rsidTr="00B662A0">
        <w:trPr>
          <w:divId w:val="859703146"/>
          <w:trHeight w:val="227"/>
        </w:trPr>
        <w:tc>
          <w:tcPr>
            <w:tcW w:w="1410" w:type="pct"/>
            <w:tcBorders>
              <w:top w:val="nil"/>
              <w:left w:val="nil"/>
              <w:bottom w:val="single" w:sz="4" w:space="0" w:color="auto"/>
              <w:right w:val="nil"/>
            </w:tcBorders>
            <w:shd w:val="clear" w:color="auto" w:fill="auto"/>
            <w:vAlign w:val="center"/>
            <w:hideMark/>
          </w:tcPr>
          <w:p w14:paraId="014031E8" w14:textId="77777777" w:rsidR="00862A01" w:rsidRPr="00872D7E" w:rsidRDefault="00862A01" w:rsidP="00862A01">
            <w:pPr>
              <w:rPr>
                <w:b/>
                <w:bCs/>
                <w:color w:val="000000"/>
                <w:szCs w:val="20"/>
                <w:lang w:eastAsia="tr-TR"/>
              </w:rPr>
            </w:pPr>
            <w:r w:rsidRPr="00872D7E">
              <w:rPr>
                <w:b/>
                <w:bCs/>
                <w:color w:val="000000"/>
                <w:szCs w:val="20"/>
                <w:lang w:eastAsia="tr-TR"/>
              </w:rPr>
              <w:t>Toplam Varlıklar</w:t>
            </w:r>
          </w:p>
        </w:tc>
        <w:tc>
          <w:tcPr>
            <w:tcW w:w="756" w:type="pct"/>
            <w:tcBorders>
              <w:top w:val="nil"/>
              <w:left w:val="nil"/>
              <w:bottom w:val="single" w:sz="4" w:space="0" w:color="auto"/>
              <w:right w:val="nil"/>
            </w:tcBorders>
            <w:shd w:val="clear" w:color="auto" w:fill="auto"/>
            <w:vAlign w:val="center"/>
            <w:hideMark/>
          </w:tcPr>
          <w:p w14:paraId="16C74476" w14:textId="77777777" w:rsidR="00862A01" w:rsidRPr="00872D7E" w:rsidRDefault="00862A01" w:rsidP="00862A01">
            <w:pPr>
              <w:jc w:val="right"/>
              <w:rPr>
                <w:b/>
                <w:bCs/>
                <w:color w:val="000000"/>
                <w:szCs w:val="20"/>
                <w:lang w:eastAsia="tr-TR"/>
              </w:rPr>
            </w:pPr>
            <w:r w:rsidRPr="00872D7E">
              <w:rPr>
                <w:b/>
                <w:bCs/>
                <w:color w:val="000000"/>
                <w:szCs w:val="20"/>
                <w:lang w:eastAsia="tr-TR"/>
              </w:rPr>
              <w:t>876</w:t>
            </w:r>
          </w:p>
        </w:tc>
        <w:tc>
          <w:tcPr>
            <w:tcW w:w="981" w:type="pct"/>
            <w:tcBorders>
              <w:top w:val="nil"/>
              <w:left w:val="nil"/>
              <w:bottom w:val="single" w:sz="4" w:space="0" w:color="auto"/>
              <w:right w:val="nil"/>
            </w:tcBorders>
            <w:shd w:val="clear" w:color="auto" w:fill="auto"/>
            <w:vAlign w:val="center"/>
            <w:hideMark/>
          </w:tcPr>
          <w:p w14:paraId="759A18AA" w14:textId="77777777" w:rsidR="00862A01" w:rsidRPr="00872D7E" w:rsidRDefault="00862A01" w:rsidP="00862A01">
            <w:pPr>
              <w:jc w:val="right"/>
              <w:rPr>
                <w:b/>
                <w:bCs/>
                <w:color w:val="000000"/>
                <w:szCs w:val="20"/>
                <w:lang w:eastAsia="tr-TR"/>
              </w:rPr>
            </w:pPr>
            <w:r w:rsidRPr="00872D7E">
              <w:rPr>
                <w:b/>
                <w:bCs/>
                <w:color w:val="000000"/>
                <w:szCs w:val="20"/>
                <w:lang w:eastAsia="tr-TR"/>
              </w:rPr>
              <w:t>20.678.224</w:t>
            </w:r>
          </w:p>
        </w:tc>
        <w:tc>
          <w:tcPr>
            <w:tcW w:w="1010" w:type="pct"/>
            <w:tcBorders>
              <w:top w:val="nil"/>
              <w:left w:val="nil"/>
              <w:bottom w:val="single" w:sz="4" w:space="0" w:color="auto"/>
              <w:right w:val="nil"/>
            </w:tcBorders>
            <w:shd w:val="clear" w:color="auto" w:fill="auto"/>
            <w:vAlign w:val="center"/>
            <w:hideMark/>
          </w:tcPr>
          <w:p w14:paraId="33B12722" w14:textId="77777777" w:rsidR="00862A01" w:rsidRPr="00872D7E" w:rsidRDefault="00862A01" w:rsidP="00862A01">
            <w:pPr>
              <w:jc w:val="right"/>
              <w:rPr>
                <w:b/>
                <w:bCs/>
                <w:color w:val="000000"/>
                <w:szCs w:val="20"/>
                <w:lang w:eastAsia="tr-TR"/>
              </w:rPr>
            </w:pPr>
            <w:r w:rsidRPr="00872D7E">
              <w:rPr>
                <w:b/>
                <w:bCs/>
                <w:color w:val="000000"/>
                <w:szCs w:val="20"/>
                <w:lang w:eastAsia="tr-TR"/>
              </w:rPr>
              <w:t>13.956.057</w:t>
            </w:r>
          </w:p>
        </w:tc>
        <w:tc>
          <w:tcPr>
            <w:tcW w:w="843" w:type="pct"/>
            <w:tcBorders>
              <w:top w:val="nil"/>
              <w:left w:val="nil"/>
              <w:bottom w:val="single" w:sz="4" w:space="0" w:color="auto"/>
              <w:right w:val="nil"/>
            </w:tcBorders>
            <w:shd w:val="clear" w:color="auto" w:fill="auto"/>
            <w:vAlign w:val="center"/>
            <w:hideMark/>
          </w:tcPr>
          <w:p w14:paraId="2E371ED7" w14:textId="77777777" w:rsidR="00862A01" w:rsidRPr="00872D7E" w:rsidRDefault="00862A01" w:rsidP="00862A01">
            <w:pPr>
              <w:jc w:val="right"/>
              <w:rPr>
                <w:b/>
                <w:bCs/>
                <w:color w:val="000000"/>
                <w:szCs w:val="20"/>
                <w:lang w:eastAsia="tr-TR"/>
              </w:rPr>
            </w:pPr>
            <w:r w:rsidRPr="00872D7E">
              <w:rPr>
                <w:b/>
                <w:bCs/>
                <w:color w:val="000000"/>
                <w:szCs w:val="20"/>
                <w:lang w:eastAsia="tr-TR"/>
              </w:rPr>
              <w:t>34.635.157</w:t>
            </w:r>
          </w:p>
        </w:tc>
      </w:tr>
      <w:tr w:rsidR="00862A01" w:rsidRPr="00872D7E" w14:paraId="7999D77E" w14:textId="77777777" w:rsidTr="00B662A0">
        <w:trPr>
          <w:divId w:val="859703146"/>
          <w:trHeight w:val="227"/>
        </w:trPr>
        <w:tc>
          <w:tcPr>
            <w:tcW w:w="1410" w:type="pct"/>
            <w:tcBorders>
              <w:top w:val="nil"/>
              <w:left w:val="nil"/>
              <w:bottom w:val="single" w:sz="4" w:space="0" w:color="auto"/>
              <w:right w:val="nil"/>
            </w:tcBorders>
            <w:shd w:val="clear" w:color="auto" w:fill="auto"/>
            <w:vAlign w:val="center"/>
            <w:hideMark/>
          </w:tcPr>
          <w:p w14:paraId="0643BEF2" w14:textId="77777777" w:rsidR="00862A01" w:rsidRPr="00872D7E" w:rsidRDefault="00862A01" w:rsidP="00862A01">
            <w:pPr>
              <w:rPr>
                <w:b/>
                <w:bCs/>
                <w:color w:val="000000"/>
                <w:szCs w:val="20"/>
                <w:lang w:eastAsia="tr-TR"/>
              </w:rPr>
            </w:pPr>
            <w:r w:rsidRPr="00872D7E">
              <w:rPr>
                <w:b/>
                <w:bCs/>
                <w:color w:val="000000"/>
                <w:szCs w:val="20"/>
                <w:lang w:eastAsia="tr-TR"/>
              </w:rPr>
              <w:t>Toplam Yükümlülükler</w:t>
            </w:r>
          </w:p>
        </w:tc>
        <w:tc>
          <w:tcPr>
            <w:tcW w:w="756" w:type="pct"/>
            <w:tcBorders>
              <w:top w:val="nil"/>
              <w:left w:val="nil"/>
              <w:bottom w:val="single" w:sz="4" w:space="0" w:color="auto"/>
              <w:right w:val="nil"/>
            </w:tcBorders>
            <w:shd w:val="clear" w:color="auto" w:fill="auto"/>
            <w:vAlign w:val="center"/>
            <w:hideMark/>
          </w:tcPr>
          <w:p w14:paraId="7000FA04" w14:textId="77777777" w:rsidR="00862A01" w:rsidRPr="00872D7E" w:rsidRDefault="00862A01" w:rsidP="00862A01">
            <w:pPr>
              <w:jc w:val="right"/>
              <w:rPr>
                <w:b/>
                <w:bCs/>
                <w:color w:val="000000"/>
                <w:szCs w:val="20"/>
                <w:lang w:eastAsia="tr-TR"/>
              </w:rPr>
            </w:pPr>
            <w:r w:rsidRPr="00872D7E">
              <w:rPr>
                <w:b/>
                <w:bCs/>
                <w:color w:val="000000"/>
                <w:szCs w:val="20"/>
                <w:lang w:eastAsia="tr-TR"/>
              </w:rPr>
              <w:t>580.440</w:t>
            </w:r>
          </w:p>
        </w:tc>
        <w:tc>
          <w:tcPr>
            <w:tcW w:w="981" w:type="pct"/>
            <w:tcBorders>
              <w:top w:val="nil"/>
              <w:left w:val="nil"/>
              <w:bottom w:val="single" w:sz="4" w:space="0" w:color="auto"/>
              <w:right w:val="nil"/>
            </w:tcBorders>
            <w:shd w:val="clear" w:color="auto" w:fill="auto"/>
            <w:vAlign w:val="center"/>
            <w:hideMark/>
          </w:tcPr>
          <w:p w14:paraId="70845CD1" w14:textId="77777777" w:rsidR="00862A01" w:rsidRPr="00872D7E" w:rsidRDefault="00862A01" w:rsidP="00862A01">
            <w:pPr>
              <w:jc w:val="right"/>
              <w:rPr>
                <w:b/>
                <w:bCs/>
                <w:color w:val="000000"/>
                <w:szCs w:val="20"/>
                <w:lang w:eastAsia="tr-TR"/>
              </w:rPr>
            </w:pPr>
            <w:r w:rsidRPr="00872D7E">
              <w:rPr>
                <w:b/>
                <w:bCs/>
                <w:color w:val="000000"/>
                <w:szCs w:val="20"/>
                <w:lang w:eastAsia="tr-TR"/>
              </w:rPr>
              <w:t>22.346.465</w:t>
            </w:r>
          </w:p>
        </w:tc>
        <w:tc>
          <w:tcPr>
            <w:tcW w:w="1010" w:type="pct"/>
            <w:tcBorders>
              <w:top w:val="nil"/>
              <w:left w:val="nil"/>
              <w:bottom w:val="single" w:sz="4" w:space="0" w:color="auto"/>
              <w:right w:val="nil"/>
            </w:tcBorders>
            <w:shd w:val="clear" w:color="auto" w:fill="auto"/>
            <w:vAlign w:val="center"/>
            <w:hideMark/>
          </w:tcPr>
          <w:p w14:paraId="20E9B763" w14:textId="77777777" w:rsidR="00862A01" w:rsidRPr="00872D7E" w:rsidRDefault="00862A01" w:rsidP="00862A01">
            <w:pPr>
              <w:jc w:val="right"/>
              <w:rPr>
                <w:b/>
                <w:bCs/>
                <w:color w:val="000000"/>
                <w:szCs w:val="20"/>
                <w:lang w:eastAsia="tr-TR"/>
              </w:rPr>
            </w:pPr>
            <w:r w:rsidRPr="00872D7E">
              <w:rPr>
                <w:b/>
                <w:bCs/>
                <w:color w:val="000000"/>
                <w:szCs w:val="20"/>
                <w:lang w:eastAsia="tr-TR"/>
              </w:rPr>
              <w:t>11.708.252</w:t>
            </w:r>
          </w:p>
        </w:tc>
        <w:tc>
          <w:tcPr>
            <w:tcW w:w="843" w:type="pct"/>
            <w:tcBorders>
              <w:top w:val="nil"/>
              <w:left w:val="nil"/>
              <w:bottom w:val="single" w:sz="4" w:space="0" w:color="auto"/>
              <w:right w:val="nil"/>
            </w:tcBorders>
            <w:shd w:val="clear" w:color="auto" w:fill="auto"/>
            <w:vAlign w:val="center"/>
            <w:hideMark/>
          </w:tcPr>
          <w:p w14:paraId="412D1560" w14:textId="77777777" w:rsidR="00862A01" w:rsidRPr="00872D7E" w:rsidRDefault="00862A01" w:rsidP="00862A01">
            <w:pPr>
              <w:jc w:val="right"/>
              <w:rPr>
                <w:b/>
                <w:bCs/>
                <w:color w:val="000000"/>
                <w:szCs w:val="20"/>
                <w:lang w:eastAsia="tr-TR"/>
              </w:rPr>
            </w:pPr>
            <w:r w:rsidRPr="00872D7E">
              <w:rPr>
                <w:b/>
                <w:bCs/>
                <w:color w:val="000000"/>
                <w:szCs w:val="20"/>
                <w:lang w:eastAsia="tr-TR"/>
              </w:rPr>
              <w:t>34.635.157</w:t>
            </w:r>
          </w:p>
        </w:tc>
      </w:tr>
      <w:bookmarkEnd w:id="61"/>
    </w:tbl>
    <w:p w14:paraId="740445AC" w14:textId="0EC6956E" w:rsidR="002668F2" w:rsidRPr="00872D7E" w:rsidRDefault="002668F2" w:rsidP="002668F2">
      <w:pPr>
        <w:rPr>
          <w:szCs w:val="20"/>
        </w:rPr>
        <w:sectPr w:rsidR="002668F2" w:rsidRPr="00872D7E" w:rsidSect="0004729F">
          <w:pgSz w:w="11907" w:h="16840" w:code="9"/>
          <w:pgMar w:top="1134" w:right="1134" w:bottom="1134" w:left="1134" w:header="851" w:footer="851" w:gutter="0"/>
          <w:cols w:space="708"/>
          <w:titlePg/>
          <w:docGrid w:linePitch="360"/>
        </w:sectPr>
      </w:pPr>
    </w:p>
    <w:bookmarkEnd w:id="41"/>
    <w:p w14:paraId="264F0EE0" w14:textId="7F4CABC4" w:rsidR="00136C29" w:rsidRPr="00872D7E" w:rsidRDefault="00BE064F" w:rsidP="00EE6955">
      <w:pPr>
        <w:widowControl w:val="0"/>
        <w:jc w:val="center"/>
        <w:rPr>
          <w:b/>
          <w:szCs w:val="20"/>
        </w:rPr>
      </w:pPr>
      <w:r w:rsidRPr="00872D7E">
        <w:rPr>
          <w:b/>
          <w:szCs w:val="20"/>
        </w:rPr>
        <w:lastRenderedPageBreak/>
        <w:t>BEŞİNCİ BÖLÜM</w:t>
      </w:r>
    </w:p>
    <w:p w14:paraId="21E8252A" w14:textId="77777777" w:rsidR="00F37168" w:rsidRPr="00872D7E" w:rsidRDefault="00F37168" w:rsidP="00EE6955">
      <w:pPr>
        <w:widowControl w:val="0"/>
        <w:jc w:val="center"/>
        <w:rPr>
          <w:b/>
          <w:szCs w:val="20"/>
        </w:rPr>
      </w:pPr>
    </w:p>
    <w:p w14:paraId="41FA6C16" w14:textId="221110F3" w:rsidR="00136C29" w:rsidRPr="00872D7E" w:rsidRDefault="007F6642" w:rsidP="00827CD4">
      <w:pPr>
        <w:widowControl w:val="0"/>
        <w:jc w:val="center"/>
        <w:rPr>
          <w:b/>
          <w:szCs w:val="20"/>
        </w:rPr>
      </w:pPr>
      <w:r w:rsidRPr="00872D7E">
        <w:rPr>
          <w:b/>
          <w:szCs w:val="20"/>
        </w:rPr>
        <w:t>KONSOLİDE OLMAYAN FİNANSAL TABLOLARA İLİŞKİN AÇIKLAMA VE DİPNOTLAR</w:t>
      </w:r>
    </w:p>
    <w:p w14:paraId="347C5E09" w14:textId="77777777" w:rsidR="00EE6955" w:rsidRPr="00872D7E" w:rsidRDefault="00EE6955" w:rsidP="00CB1909">
      <w:pPr>
        <w:widowControl w:val="0"/>
        <w:ind w:hanging="720"/>
        <w:jc w:val="both"/>
        <w:rPr>
          <w:b/>
          <w:sz w:val="16"/>
          <w:szCs w:val="16"/>
        </w:rPr>
      </w:pPr>
    </w:p>
    <w:p w14:paraId="22D33538" w14:textId="013764E6" w:rsidR="00EE6955" w:rsidRPr="00872D7E" w:rsidRDefault="00F37168" w:rsidP="00EE6955">
      <w:pPr>
        <w:widowControl w:val="0"/>
        <w:numPr>
          <w:ilvl w:val="0"/>
          <w:numId w:val="3"/>
        </w:numPr>
        <w:tabs>
          <w:tab w:val="clear" w:pos="720"/>
        </w:tabs>
        <w:ind w:left="851" w:right="452" w:hanging="851"/>
        <w:jc w:val="both"/>
        <w:rPr>
          <w:b/>
          <w:szCs w:val="20"/>
        </w:rPr>
      </w:pPr>
      <w:r w:rsidRPr="00872D7E">
        <w:rPr>
          <w:b/>
          <w:szCs w:val="20"/>
        </w:rPr>
        <w:t xml:space="preserve">BİLANÇONUN AKTİF HESAPLARINA İLİŞKİN AÇIKLAMA VE DİPNOTLAR </w:t>
      </w:r>
    </w:p>
    <w:p w14:paraId="22100463" w14:textId="77777777" w:rsidR="00EE6955" w:rsidRPr="00872D7E" w:rsidRDefault="00EE6955" w:rsidP="00EE6955">
      <w:pPr>
        <w:widowControl w:val="0"/>
        <w:ind w:right="452"/>
        <w:jc w:val="both"/>
        <w:rPr>
          <w:b/>
          <w:szCs w:val="20"/>
        </w:rPr>
      </w:pPr>
    </w:p>
    <w:p w14:paraId="1661F6E5" w14:textId="5D1F5013" w:rsidR="00136C29" w:rsidRPr="00872D7E" w:rsidRDefault="00C23DD2" w:rsidP="00212E4A">
      <w:pPr>
        <w:pStyle w:val="BodyTextIndent"/>
        <w:widowControl w:val="0"/>
        <w:numPr>
          <w:ilvl w:val="0"/>
          <w:numId w:val="31"/>
        </w:numPr>
        <w:tabs>
          <w:tab w:val="left" w:pos="1276"/>
        </w:tabs>
        <w:ind w:left="851" w:right="-93" w:hanging="851"/>
        <w:rPr>
          <w:b/>
          <w:szCs w:val="20"/>
        </w:rPr>
      </w:pPr>
      <w:r w:rsidRPr="00872D7E">
        <w:rPr>
          <w:b/>
          <w:szCs w:val="20"/>
        </w:rPr>
        <w:t>a</w:t>
      </w:r>
      <w:r w:rsidR="00B32B58" w:rsidRPr="00872D7E">
        <w:rPr>
          <w:b/>
          <w:szCs w:val="20"/>
        </w:rPr>
        <w:t>.</w:t>
      </w:r>
      <w:r w:rsidR="000F5EC0" w:rsidRPr="00872D7E">
        <w:rPr>
          <w:b/>
          <w:szCs w:val="20"/>
        </w:rPr>
        <w:tab/>
      </w:r>
      <w:r w:rsidR="00136C29" w:rsidRPr="00872D7E">
        <w:rPr>
          <w:b/>
          <w:szCs w:val="20"/>
        </w:rPr>
        <w:t>Nakit değerler ve TCMB’ye ilişkin bilgiler</w:t>
      </w:r>
    </w:p>
    <w:p w14:paraId="68F36E5D" w14:textId="65D09A91" w:rsidR="00862A01" w:rsidRPr="00872D7E" w:rsidRDefault="00862A01" w:rsidP="005355DE">
      <w:pPr>
        <w:rPr>
          <w:szCs w:val="20"/>
        </w:rPr>
      </w:pPr>
    </w:p>
    <w:tbl>
      <w:tblPr>
        <w:tblW w:w="9080" w:type="dxa"/>
        <w:tblCellMar>
          <w:left w:w="70" w:type="dxa"/>
          <w:right w:w="70" w:type="dxa"/>
        </w:tblCellMar>
        <w:tblLook w:val="04A0" w:firstRow="1" w:lastRow="0" w:firstColumn="1" w:lastColumn="0" w:noHBand="0" w:noVBand="1"/>
      </w:tblPr>
      <w:tblGrid>
        <w:gridCol w:w="4054"/>
        <w:gridCol w:w="1235"/>
        <w:gridCol w:w="1375"/>
        <w:gridCol w:w="1208"/>
        <w:gridCol w:w="1208"/>
      </w:tblGrid>
      <w:tr w:rsidR="00862A01" w:rsidRPr="00872D7E" w14:paraId="0A39C47C" w14:textId="77777777" w:rsidTr="00862A01">
        <w:trPr>
          <w:divId w:val="1923101793"/>
          <w:trHeight w:val="227"/>
        </w:trPr>
        <w:tc>
          <w:tcPr>
            <w:tcW w:w="4054" w:type="dxa"/>
            <w:tcBorders>
              <w:top w:val="nil"/>
              <w:left w:val="nil"/>
              <w:bottom w:val="nil"/>
              <w:right w:val="nil"/>
            </w:tcBorders>
            <w:shd w:val="clear" w:color="auto" w:fill="auto"/>
            <w:vAlign w:val="bottom"/>
            <w:hideMark/>
          </w:tcPr>
          <w:p w14:paraId="7389BD97" w14:textId="3ECD66F4" w:rsidR="00862A01" w:rsidRPr="00872D7E" w:rsidRDefault="00862A01" w:rsidP="00862A01"/>
        </w:tc>
        <w:tc>
          <w:tcPr>
            <w:tcW w:w="2610" w:type="dxa"/>
            <w:gridSpan w:val="2"/>
            <w:tcBorders>
              <w:top w:val="nil"/>
              <w:left w:val="nil"/>
              <w:bottom w:val="single" w:sz="4" w:space="0" w:color="auto"/>
              <w:right w:val="nil"/>
            </w:tcBorders>
            <w:shd w:val="clear" w:color="auto" w:fill="auto"/>
            <w:noWrap/>
            <w:vAlign w:val="center"/>
            <w:hideMark/>
          </w:tcPr>
          <w:p w14:paraId="063B4C3C" w14:textId="77777777" w:rsidR="00862A01" w:rsidRPr="00872D7E" w:rsidRDefault="00862A01" w:rsidP="00862A01">
            <w:pPr>
              <w:jc w:val="center"/>
              <w:rPr>
                <w:b/>
                <w:bCs/>
                <w:color w:val="000000"/>
                <w:szCs w:val="20"/>
              </w:rPr>
            </w:pPr>
            <w:r w:rsidRPr="00872D7E">
              <w:rPr>
                <w:b/>
                <w:bCs/>
                <w:color w:val="000000"/>
                <w:szCs w:val="20"/>
              </w:rPr>
              <w:t>31 Aralık 2024</w:t>
            </w:r>
          </w:p>
        </w:tc>
        <w:tc>
          <w:tcPr>
            <w:tcW w:w="2416" w:type="dxa"/>
            <w:gridSpan w:val="2"/>
            <w:tcBorders>
              <w:top w:val="nil"/>
              <w:left w:val="nil"/>
              <w:bottom w:val="single" w:sz="4" w:space="0" w:color="auto"/>
              <w:right w:val="nil"/>
            </w:tcBorders>
            <w:shd w:val="clear" w:color="auto" w:fill="auto"/>
            <w:noWrap/>
            <w:vAlign w:val="center"/>
            <w:hideMark/>
          </w:tcPr>
          <w:p w14:paraId="2BE84F5F" w14:textId="77777777" w:rsidR="00862A01" w:rsidRPr="00872D7E" w:rsidRDefault="00862A01" w:rsidP="00862A01">
            <w:pPr>
              <w:jc w:val="center"/>
              <w:rPr>
                <w:b/>
                <w:bCs/>
                <w:color w:val="000000"/>
                <w:szCs w:val="20"/>
              </w:rPr>
            </w:pPr>
            <w:r w:rsidRPr="00872D7E">
              <w:rPr>
                <w:b/>
                <w:bCs/>
                <w:color w:val="000000"/>
                <w:szCs w:val="20"/>
              </w:rPr>
              <w:t>1 Ocak 2024</w:t>
            </w:r>
          </w:p>
        </w:tc>
      </w:tr>
      <w:tr w:rsidR="00862A01" w:rsidRPr="00872D7E" w14:paraId="36002448" w14:textId="77777777" w:rsidTr="00862A01">
        <w:trPr>
          <w:divId w:val="1923101793"/>
          <w:trHeight w:val="227"/>
        </w:trPr>
        <w:tc>
          <w:tcPr>
            <w:tcW w:w="4054" w:type="dxa"/>
            <w:tcBorders>
              <w:top w:val="nil"/>
              <w:left w:val="nil"/>
              <w:bottom w:val="single" w:sz="4" w:space="0" w:color="auto"/>
              <w:right w:val="nil"/>
            </w:tcBorders>
            <w:shd w:val="clear" w:color="auto" w:fill="auto"/>
            <w:vAlign w:val="bottom"/>
            <w:hideMark/>
          </w:tcPr>
          <w:p w14:paraId="65337BC5" w14:textId="77777777" w:rsidR="00862A01" w:rsidRPr="00872D7E" w:rsidRDefault="00862A01" w:rsidP="00862A01">
            <w:pPr>
              <w:jc w:val="both"/>
              <w:rPr>
                <w:b/>
                <w:bCs/>
                <w:color w:val="000000"/>
                <w:szCs w:val="20"/>
              </w:rPr>
            </w:pPr>
            <w:r w:rsidRPr="00872D7E">
              <w:rPr>
                <w:b/>
                <w:bCs/>
                <w:color w:val="000000"/>
                <w:szCs w:val="20"/>
              </w:rPr>
              <w:t> </w:t>
            </w:r>
          </w:p>
        </w:tc>
        <w:tc>
          <w:tcPr>
            <w:tcW w:w="1235" w:type="dxa"/>
            <w:tcBorders>
              <w:top w:val="nil"/>
              <w:left w:val="nil"/>
              <w:bottom w:val="single" w:sz="4" w:space="0" w:color="auto"/>
              <w:right w:val="nil"/>
            </w:tcBorders>
            <w:shd w:val="clear" w:color="auto" w:fill="auto"/>
            <w:vAlign w:val="bottom"/>
            <w:hideMark/>
          </w:tcPr>
          <w:p w14:paraId="032033A6" w14:textId="77777777" w:rsidR="00862A01" w:rsidRPr="00872D7E" w:rsidRDefault="00862A01" w:rsidP="00862A01">
            <w:pPr>
              <w:jc w:val="right"/>
              <w:rPr>
                <w:b/>
                <w:bCs/>
                <w:color w:val="000000"/>
                <w:szCs w:val="20"/>
              </w:rPr>
            </w:pPr>
            <w:r w:rsidRPr="00872D7E">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056A1D2F" w14:textId="77777777" w:rsidR="00862A01" w:rsidRPr="00872D7E" w:rsidRDefault="00862A01" w:rsidP="00862A01">
            <w:pPr>
              <w:jc w:val="right"/>
              <w:rPr>
                <w:b/>
                <w:bCs/>
                <w:color w:val="000000"/>
                <w:szCs w:val="20"/>
              </w:rPr>
            </w:pPr>
            <w:r w:rsidRPr="00872D7E">
              <w:rPr>
                <w:b/>
                <w:bCs/>
                <w:color w:val="000000"/>
                <w:szCs w:val="20"/>
              </w:rPr>
              <w:t>YP</w:t>
            </w:r>
          </w:p>
        </w:tc>
        <w:tc>
          <w:tcPr>
            <w:tcW w:w="1208" w:type="dxa"/>
            <w:tcBorders>
              <w:top w:val="nil"/>
              <w:left w:val="nil"/>
              <w:bottom w:val="single" w:sz="4" w:space="0" w:color="auto"/>
              <w:right w:val="nil"/>
            </w:tcBorders>
            <w:shd w:val="clear" w:color="auto" w:fill="auto"/>
            <w:hideMark/>
          </w:tcPr>
          <w:p w14:paraId="52EE3831" w14:textId="77777777" w:rsidR="00862A01" w:rsidRPr="00872D7E" w:rsidRDefault="00862A01" w:rsidP="00862A01">
            <w:pPr>
              <w:jc w:val="right"/>
              <w:rPr>
                <w:b/>
                <w:bCs/>
                <w:color w:val="000000"/>
                <w:szCs w:val="20"/>
              </w:rPr>
            </w:pPr>
            <w:r w:rsidRPr="00872D7E">
              <w:rPr>
                <w:b/>
                <w:bCs/>
                <w:color w:val="000000"/>
                <w:szCs w:val="20"/>
              </w:rPr>
              <w:t>TP</w:t>
            </w:r>
          </w:p>
        </w:tc>
        <w:tc>
          <w:tcPr>
            <w:tcW w:w="1208" w:type="dxa"/>
            <w:tcBorders>
              <w:top w:val="nil"/>
              <w:left w:val="nil"/>
              <w:bottom w:val="single" w:sz="4" w:space="0" w:color="auto"/>
              <w:right w:val="nil"/>
            </w:tcBorders>
            <w:shd w:val="clear" w:color="auto" w:fill="auto"/>
            <w:hideMark/>
          </w:tcPr>
          <w:p w14:paraId="17EE8F67" w14:textId="77777777" w:rsidR="00862A01" w:rsidRPr="00872D7E" w:rsidRDefault="00862A01" w:rsidP="00862A01">
            <w:pPr>
              <w:jc w:val="right"/>
              <w:rPr>
                <w:b/>
                <w:bCs/>
                <w:color w:val="000000"/>
                <w:szCs w:val="20"/>
              </w:rPr>
            </w:pPr>
            <w:r w:rsidRPr="00872D7E">
              <w:rPr>
                <w:b/>
                <w:bCs/>
                <w:color w:val="000000"/>
                <w:szCs w:val="20"/>
              </w:rPr>
              <w:t>YP</w:t>
            </w:r>
          </w:p>
        </w:tc>
      </w:tr>
      <w:tr w:rsidR="00862A01" w:rsidRPr="00872D7E" w14:paraId="2F285944" w14:textId="77777777" w:rsidTr="00862A01">
        <w:trPr>
          <w:divId w:val="1923101793"/>
          <w:trHeight w:val="227"/>
        </w:trPr>
        <w:tc>
          <w:tcPr>
            <w:tcW w:w="4054" w:type="dxa"/>
            <w:tcBorders>
              <w:top w:val="nil"/>
              <w:left w:val="nil"/>
              <w:bottom w:val="nil"/>
              <w:right w:val="nil"/>
            </w:tcBorders>
            <w:shd w:val="clear" w:color="auto" w:fill="auto"/>
            <w:vAlign w:val="bottom"/>
            <w:hideMark/>
          </w:tcPr>
          <w:p w14:paraId="3E7CAB08" w14:textId="77777777" w:rsidR="00862A01" w:rsidRPr="00872D7E" w:rsidRDefault="00862A01" w:rsidP="00862A01">
            <w:pPr>
              <w:jc w:val="both"/>
              <w:rPr>
                <w:color w:val="000000"/>
                <w:szCs w:val="20"/>
              </w:rPr>
            </w:pPr>
            <w:r w:rsidRPr="00872D7E">
              <w:rPr>
                <w:color w:val="000000"/>
                <w:szCs w:val="20"/>
              </w:rPr>
              <w:t> </w:t>
            </w:r>
          </w:p>
        </w:tc>
        <w:tc>
          <w:tcPr>
            <w:tcW w:w="1235" w:type="dxa"/>
            <w:tcBorders>
              <w:top w:val="nil"/>
              <w:left w:val="nil"/>
              <w:bottom w:val="nil"/>
              <w:right w:val="nil"/>
            </w:tcBorders>
            <w:shd w:val="clear" w:color="auto" w:fill="auto"/>
            <w:vAlign w:val="bottom"/>
            <w:hideMark/>
          </w:tcPr>
          <w:p w14:paraId="4FBA39AE" w14:textId="77777777" w:rsidR="00862A01" w:rsidRPr="00872D7E" w:rsidRDefault="00862A01" w:rsidP="00862A01">
            <w:pPr>
              <w:jc w:val="right"/>
              <w:rPr>
                <w:color w:val="000000"/>
                <w:szCs w:val="20"/>
              </w:rPr>
            </w:pPr>
            <w:r w:rsidRPr="00872D7E">
              <w:rPr>
                <w:color w:val="000000"/>
                <w:szCs w:val="20"/>
              </w:rPr>
              <w:t> </w:t>
            </w:r>
          </w:p>
        </w:tc>
        <w:tc>
          <w:tcPr>
            <w:tcW w:w="1375" w:type="dxa"/>
            <w:tcBorders>
              <w:top w:val="nil"/>
              <w:left w:val="nil"/>
              <w:bottom w:val="nil"/>
              <w:right w:val="nil"/>
            </w:tcBorders>
            <w:shd w:val="clear" w:color="auto" w:fill="auto"/>
            <w:vAlign w:val="bottom"/>
            <w:hideMark/>
          </w:tcPr>
          <w:p w14:paraId="3643B801" w14:textId="77777777" w:rsidR="00862A01" w:rsidRPr="00872D7E" w:rsidRDefault="00862A01" w:rsidP="00862A01">
            <w:pPr>
              <w:jc w:val="right"/>
              <w:rPr>
                <w:color w:val="000000"/>
                <w:szCs w:val="20"/>
              </w:rPr>
            </w:pPr>
            <w:r w:rsidRPr="00872D7E">
              <w:rPr>
                <w:color w:val="000000"/>
                <w:szCs w:val="20"/>
              </w:rPr>
              <w:t> </w:t>
            </w:r>
          </w:p>
        </w:tc>
        <w:tc>
          <w:tcPr>
            <w:tcW w:w="1208" w:type="dxa"/>
            <w:tcBorders>
              <w:top w:val="nil"/>
              <w:left w:val="nil"/>
              <w:bottom w:val="nil"/>
              <w:right w:val="nil"/>
            </w:tcBorders>
            <w:shd w:val="clear" w:color="auto" w:fill="auto"/>
            <w:hideMark/>
          </w:tcPr>
          <w:p w14:paraId="5EF6D880" w14:textId="77777777" w:rsidR="00862A01" w:rsidRPr="00872D7E" w:rsidRDefault="00862A01" w:rsidP="00862A01">
            <w:pPr>
              <w:jc w:val="right"/>
              <w:rPr>
                <w:color w:val="000000"/>
                <w:szCs w:val="20"/>
              </w:rPr>
            </w:pPr>
            <w:r w:rsidRPr="00872D7E">
              <w:rPr>
                <w:color w:val="000000"/>
                <w:szCs w:val="20"/>
              </w:rPr>
              <w:t> </w:t>
            </w:r>
          </w:p>
        </w:tc>
        <w:tc>
          <w:tcPr>
            <w:tcW w:w="1208" w:type="dxa"/>
            <w:tcBorders>
              <w:top w:val="nil"/>
              <w:left w:val="nil"/>
              <w:bottom w:val="nil"/>
              <w:right w:val="nil"/>
            </w:tcBorders>
            <w:shd w:val="clear" w:color="auto" w:fill="auto"/>
            <w:hideMark/>
          </w:tcPr>
          <w:p w14:paraId="3EDC940C" w14:textId="77777777" w:rsidR="00862A01" w:rsidRPr="00872D7E" w:rsidRDefault="00862A01" w:rsidP="00862A01">
            <w:pPr>
              <w:jc w:val="right"/>
              <w:rPr>
                <w:color w:val="000000"/>
                <w:szCs w:val="20"/>
              </w:rPr>
            </w:pPr>
            <w:r w:rsidRPr="00872D7E">
              <w:rPr>
                <w:color w:val="000000"/>
                <w:szCs w:val="20"/>
              </w:rPr>
              <w:t> </w:t>
            </w:r>
          </w:p>
        </w:tc>
      </w:tr>
      <w:tr w:rsidR="00862A01" w:rsidRPr="00872D7E" w14:paraId="453C3452" w14:textId="77777777" w:rsidTr="00862A01">
        <w:trPr>
          <w:divId w:val="1923101793"/>
          <w:trHeight w:val="227"/>
        </w:trPr>
        <w:tc>
          <w:tcPr>
            <w:tcW w:w="4054" w:type="dxa"/>
            <w:tcBorders>
              <w:top w:val="nil"/>
              <w:left w:val="nil"/>
              <w:bottom w:val="nil"/>
              <w:right w:val="nil"/>
            </w:tcBorders>
            <w:shd w:val="clear" w:color="auto" w:fill="auto"/>
            <w:vAlign w:val="bottom"/>
            <w:hideMark/>
          </w:tcPr>
          <w:p w14:paraId="39F5556D" w14:textId="77777777" w:rsidR="00862A01" w:rsidRPr="00872D7E" w:rsidRDefault="00862A01" w:rsidP="00862A01">
            <w:pPr>
              <w:jc w:val="both"/>
              <w:rPr>
                <w:color w:val="000000"/>
                <w:szCs w:val="20"/>
              </w:rPr>
            </w:pPr>
            <w:r w:rsidRPr="00872D7E">
              <w:rPr>
                <w:color w:val="000000"/>
                <w:szCs w:val="20"/>
              </w:rPr>
              <w:t>Kasa / Efektif</w:t>
            </w:r>
          </w:p>
        </w:tc>
        <w:tc>
          <w:tcPr>
            <w:tcW w:w="1235" w:type="dxa"/>
            <w:tcBorders>
              <w:top w:val="nil"/>
              <w:left w:val="nil"/>
              <w:bottom w:val="nil"/>
              <w:right w:val="nil"/>
            </w:tcBorders>
            <w:shd w:val="clear" w:color="auto" w:fill="auto"/>
            <w:vAlign w:val="center"/>
            <w:hideMark/>
          </w:tcPr>
          <w:p w14:paraId="13DB1AA1" w14:textId="77777777" w:rsidR="00862A01" w:rsidRPr="00872D7E" w:rsidRDefault="00862A01" w:rsidP="00862A01">
            <w:pPr>
              <w:jc w:val="right"/>
              <w:rPr>
                <w:color w:val="000000"/>
                <w:szCs w:val="20"/>
              </w:rPr>
            </w:pPr>
            <w:r w:rsidRPr="00872D7E">
              <w:rPr>
                <w:color w:val="000000"/>
                <w:szCs w:val="20"/>
              </w:rPr>
              <w:t>56.979</w:t>
            </w:r>
          </w:p>
        </w:tc>
        <w:tc>
          <w:tcPr>
            <w:tcW w:w="1375" w:type="dxa"/>
            <w:tcBorders>
              <w:top w:val="nil"/>
              <w:left w:val="nil"/>
              <w:bottom w:val="nil"/>
              <w:right w:val="nil"/>
            </w:tcBorders>
            <w:shd w:val="clear" w:color="auto" w:fill="auto"/>
            <w:vAlign w:val="center"/>
            <w:hideMark/>
          </w:tcPr>
          <w:p w14:paraId="579958C5" w14:textId="77777777" w:rsidR="00862A01" w:rsidRPr="00872D7E" w:rsidRDefault="00862A01" w:rsidP="00862A01">
            <w:pPr>
              <w:jc w:val="right"/>
              <w:rPr>
                <w:color w:val="000000"/>
                <w:szCs w:val="20"/>
              </w:rPr>
            </w:pPr>
            <w:r w:rsidRPr="00872D7E">
              <w:rPr>
                <w:color w:val="000000"/>
                <w:szCs w:val="20"/>
              </w:rPr>
              <w:t>470.569</w:t>
            </w:r>
          </w:p>
        </w:tc>
        <w:tc>
          <w:tcPr>
            <w:tcW w:w="1208" w:type="dxa"/>
            <w:tcBorders>
              <w:top w:val="nil"/>
              <w:left w:val="nil"/>
              <w:bottom w:val="nil"/>
              <w:right w:val="nil"/>
            </w:tcBorders>
            <w:shd w:val="clear" w:color="auto" w:fill="auto"/>
            <w:vAlign w:val="center"/>
            <w:hideMark/>
          </w:tcPr>
          <w:p w14:paraId="30EF65F1" w14:textId="77777777" w:rsidR="00862A01" w:rsidRPr="00872D7E" w:rsidRDefault="00862A01" w:rsidP="00862A01">
            <w:pPr>
              <w:jc w:val="right"/>
              <w:rPr>
                <w:color w:val="000000"/>
                <w:szCs w:val="20"/>
              </w:rPr>
            </w:pPr>
            <w:r w:rsidRPr="00872D7E">
              <w:rPr>
                <w:color w:val="000000"/>
                <w:szCs w:val="20"/>
              </w:rPr>
              <w:t>-</w:t>
            </w:r>
          </w:p>
        </w:tc>
        <w:tc>
          <w:tcPr>
            <w:tcW w:w="1208" w:type="dxa"/>
            <w:tcBorders>
              <w:top w:val="nil"/>
              <w:left w:val="nil"/>
              <w:bottom w:val="nil"/>
              <w:right w:val="nil"/>
            </w:tcBorders>
            <w:shd w:val="clear" w:color="auto" w:fill="auto"/>
            <w:vAlign w:val="center"/>
            <w:hideMark/>
          </w:tcPr>
          <w:p w14:paraId="6B26A95D" w14:textId="77777777" w:rsidR="00862A01" w:rsidRPr="00872D7E" w:rsidRDefault="00862A01" w:rsidP="00862A01">
            <w:pPr>
              <w:jc w:val="right"/>
              <w:rPr>
                <w:color w:val="000000"/>
                <w:szCs w:val="20"/>
              </w:rPr>
            </w:pPr>
            <w:r w:rsidRPr="00872D7E">
              <w:rPr>
                <w:color w:val="000000"/>
                <w:szCs w:val="20"/>
              </w:rPr>
              <w:t>-</w:t>
            </w:r>
          </w:p>
        </w:tc>
      </w:tr>
      <w:tr w:rsidR="00862A01" w:rsidRPr="00872D7E" w14:paraId="6044E497" w14:textId="77777777" w:rsidTr="00862A01">
        <w:trPr>
          <w:divId w:val="1923101793"/>
          <w:trHeight w:val="227"/>
        </w:trPr>
        <w:tc>
          <w:tcPr>
            <w:tcW w:w="4054" w:type="dxa"/>
            <w:tcBorders>
              <w:top w:val="nil"/>
              <w:left w:val="nil"/>
              <w:bottom w:val="nil"/>
              <w:right w:val="nil"/>
            </w:tcBorders>
            <w:shd w:val="clear" w:color="auto" w:fill="auto"/>
            <w:vAlign w:val="bottom"/>
            <w:hideMark/>
          </w:tcPr>
          <w:p w14:paraId="31AFF80B" w14:textId="77777777" w:rsidR="00862A01" w:rsidRPr="00872D7E" w:rsidRDefault="00862A01" w:rsidP="00862A01">
            <w:pPr>
              <w:jc w:val="both"/>
              <w:rPr>
                <w:color w:val="000000"/>
                <w:szCs w:val="20"/>
              </w:rPr>
            </w:pPr>
            <w:r w:rsidRPr="00872D7E">
              <w:rPr>
                <w:color w:val="000000"/>
                <w:szCs w:val="20"/>
              </w:rPr>
              <w:t>TCMB</w:t>
            </w:r>
          </w:p>
        </w:tc>
        <w:tc>
          <w:tcPr>
            <w:tcW w:w="1235" w:type="dxa"/>
            <w:tcBorders>
              <w:top w:val="nil"/>
              <w:left w:val="nil"/>
              <w:bottom w:val="nil"/>
              <w:right w:val="nil"/>
            </w:tcBorders>
            <w:shd w:val="clear" w:color="auto" w:fill="auto"/>
            <w:vAlign w:val="center"/>
            <w:hideMark/>
          </w:tcPr>
          <w:p w14:paraId="46CB980F" w14:textId="77777777" w:rsidR="00862A01" w:rsidRPr="00872D7E" w:rsidRDefault="00862A01" w:rsidP="00862A01">
            <w:pPr>
              <w:jc w:val="right"/>
              <w:rPr>
                <w:color w:val="000000"/>
                <w:szCs w:val="20"/>
              </w:rPr>
            </w:pPr>
            <w:r w:rsidRPr="00872D7E">
              <w:rPr>
                <w:color w:val="000000"/>
                <w:szCs w:val="20"/>
              </w:rPr>
              <w:t>553.500</w:t>
            </w:r>
          </w:p>
        </w:tc>
        <w:tc>
          <w:tcPr>
            <w:tcW w:w="1375" w:type="dxa"/>
            <w:tcBorders>
              <w:top w:val="nil"/>
              <w:left w:val="nil"/>
              <w:bottom w:val="nil"/>
              <w:right w:val="nil"/>
            </w:tcBorders>
            <w:shd w:val="clear" w:color="auto" w:fill="auto"/>
            <w:vAlign w:val="center"/>
            <w:hideMark/>
          </w:tcPr>
          <w:p w14:paraId="0B955E08" w14:textId="77777777" w:rsidR="00862A01" w:rsidRPr="00872D7E" w:rsidRDefault="00862A01" w:rsidP="00862A01">
            <w:pPr>
              <w:jc w:val="right"/>
              <w:rPr>
                <w:color w:val="000000"/>
                <w:szCs w:val="20"/>
              </w:rPr>
            </w:pPr>
            <w:r w:rsidRPr="00872D7E">
              <w:rPr>
                <w:color w:val="000000"/>
                <w:szCs w:val="20"/>
              </w:rPr>
              <w:t>3.540.927</w:t>
            </w:r>
          </w:p>
        </w:tc>
        <w:tc>
          <w:tcPr>
            <w:tcW w:w="1208" w:type="dxa"/>
            <w:tcBorders>
              <w:top w:val="nil"/>
              <w:left w:val="nil"/>
              <w:bottom w:val="nil"/>
              <w:right w:val="nil"/>
            </w:tcBorders>
            <w:shd w:val="clear" w:color="auto" w:fill="auto"/>
            <w:vAlign w:val="center"/>
            <w:hideMark/>
          </w:tcPr>
          <w:p w14:paraId="7C44FF91" w14:textId="77777777" w:rsidR="00862A01" w:rsidRPr="00872D7E" w:rsidRDefault="00862A01" w:rsidP="00862A01">
            <w:pPr>
              <w:jc w:val="right"/>
              <w:rPr>
                <w:color w:val="000000"/>
                <w:szCs w:val="20"/>
              </w:rPr>
            </w:pPr>
            <w:r w:rsidRPr="00872D7E">
              <w:rPr>
                <w:color w:val="000000"/>
                <w:szCs w:val="20"/>
              </w:rPr>
              <w:t>538</w:t>
            </w:r>
          </w:p>
        </w:tc>
        <w:tc>
          <w:tcPr>
            <w:tcW w:w="1208" w:type="dxa"/>
            <w:tcBorders>
              <w:top w:val="nil"/>
              <w:left w:val="nil"/>
              <w:bottom w:val="nil"/>
              <w:right w:val="nil"/>
            </w:tcBorders>
            <w:shd w:val="clear" w:color="auto" w:fill="auto"/>
            <w:vAlign w:val="center"/>
            <w:hideMark/>
          </w:tcPr>
          <w:p w14:paraId="7E0D5362" w14:textId="77777777" w:rsidR="00862A01" w:rsidRPr="00872D7E" w:rsidRDefault="00862A01" w:rsidP="00862A01">
            <w:pPr>
              <w:jc w:val="right"/>
              <w:rPr>
                <w:color w:val="000000"/>
                <w:szCs w:val="20"/>
              </w:rPr>
            </w:pPr>
            <w:r w:rsidRPr="00872D7E">
              <w:rPr>
                <w:color w:val="000000"/>
                <w:szCs w:val="20"/>
              </w:rPr>
              <w:t>628</w:t>
            </w:r>
          </w:p>
        </w:tc>
      </w:tr>
      <w:tr w:rsidR="00862A01" w:rsidRPr="00872D7E" w14:paraId="0169D014" w14:textId="77777777" w:rsidTr="00862A01">
        <w:trPr>
          <w:divId w:val="1923101793"/>
          <w:trHeight w:val="227"/>
        </w:trPr>
        <w:tc>
          <w:tcPr>
            <w:tcW w:w="4054" w:type="dxa"/>
            <w:tcBorders>
              <w:top w:val="nil"/>
              <w:left w:val="nil"/>
              <w:bottom w:val="single" w:sz="4" w:space="0" w:color="auto"/>
              <w:right w:val="nil"/>
            </w:tcBorders>
            <w:shd w:val="clear" w:color="auto" w:fill="auto"/>
            <w:vAlign w:val="bottom"/>
            <w:hideMark/>
          </w:tcPr>
          <w:p w14:paraId="4E0256C9" w14:textId="77777777" w:rsidR="00862A01" w:rsidRPr="00872D7E" w:rsidRDefault="00862A01" w:rsidP="00862A01">
            <w:pPr>
              <w:jc w:val="both"/>
              <w:rPr>
                <w:color w:val="000000"/>
                <w:szCs w:val="20"/>
              </w:rPr>
            </w:pPr>
            <w:r w:rsidRPr="00872D7E">
              <w:rPr>
                <w:color w:val="000000"/>
                <w:szCs w:val="20"/>
              </w:rPr>
              <w:t xml:space="preserve">Diğer </w:t>
            </w:r>
            <w:r w:rsidRPr="00872D7E">
              <w:rPr>
                <w:color w:val="000000"/>
                <w:szCs w:val="20"/>
                <w:vertAlign w:val="superscript"/>
              </w:rPr>
              <w:t>(*)</w:t>
            </w:r>
          </w:p>
        </w:tc>
        <w:tc>
          <w:tcPr>
            <w:tcW w:w="1235" w:type="dxa"/>
            <w:tcBorders>
              <w:top w:val="nil"/>
              <w:left w:val="nil"/>
              <w:bottom w:val="single" w:sz="4" w:space="0" w:color="auto"/>
              <w:right w:val="nil"/>
            </w:tcBorders>
            <w:shd w:val="clear" w:color="auto" w:fill="auto"/>
            <w:vAlign w:val="center"/>
            <w:hideMark/>
          </w:tcPr>
          <w:p w14:paraId="4AC8465E" w14:textId="77777777" w:rsidR="00862A01" w:rsidRPr="00872D7E" w:rsidRDefault="00862A01" w:rsidP="00862A01">
            <w:pPr>
              <w:jc w:val="right"/>
              <w:rPr>
                <w:color w:val="000000"/>
                <w:szCs w:val="20"/>
              </w:rPr>
            </w:pPr>
            <w:r w:rsidRPr="00872D7E">
              <w:rPr>
                <w:color w:val="000000"/>
                <w:szCs w:val="20"/>
              </w:rPr>
              <w:t>-</w:t>
            </w:r>
          </w:p>
        </w:tc>
        <w:tc>
          <w:tcPr>
            <w:tcW w:w="1375" w:type="dxa"/>
            <w:tcBorders>
              <w:top w:val="nil"/>
              <w:left w:val="nil"/>
              <w:bottom w:val="single" w:sz="4" w:space="0" w:color="auto"/>
              <w:right w:val="nil"/>
            </w:tcBorders>
            <w:shd w:val="clear" w:color="auto" w:fill="auto"/>
            <w:vAlign w:val="center"/>
            <w:hideMark/>
          </w:tcPr>
          <w:p w14:paraId="00406CD4" w14:textId="77777777" w:rsidR="00862A01" w:rsidRPr="00872D7E" w:rsidRDefault="00862A01" w:rsidP="00862A01">
            <w:pPr>
              <w:jc w:val="right"/>
              <w:rPr>
                <w:color w:val="000000"/>
                <w:szCs w:val="20"/>
              </w:rPr>
            </w:pPr>
            <w:r w:rsidRPr="00872D7E">
              <w:rPr>
                <w:color w:val="000000"/>
                <w:szCs w:val="20"/>
              </w:rPr>
              <w:t>22.030</w:t>
            </w:r>
          </w:p>
        </w:tc>
        <w:tc>
          <w:tcPr>
            <w:tcW w:w="1208" w:type="dxa"/>
            <w:tcBorders>
              <w:top w:val="nil"/>
              <w:left w:val="nil"/>
              <w:bottom w:val="single" w:sz="4" w:space="0" w:color="auto"/>
              <w:right w:val="nil"/>
            </w:tcBorders>
            <w:shd w:val="clear" w:color="auto" w:fill="auto"/>
            <w:vAlign w:val="center"/>
            <w:hideMark/>
          </w:tcPr>
          <w:p w14:paraId="429BAAFA" w14:textId="77777777" w:rsidR="00862A01" w:rsidRPr="00872D7E" w:rsidRDefault="00862A01" w:rsidP="00862A01">
            <w:pPr>
              <w:jc w:val="right"/>
              <w:rPr>
                <w:color w:val="000000"/>
                <w:szCs w:val="20"/>
              </w:rPr>
            </w:pPr>
            <w:r w:rsidRPr="00872D7E">
              <w:rPr>
                <w:color w:val="000000"/>
                <w:szCs w:val="20"/>
              </w:rPr>
              <w:t>-</w:t>
            </w:r>
          </w:p>
        </w:tc>
        <w:tc>
          <w:tcPr>
            <w:tcW w:w="1208" w:type="dxa"/>
            <w:tcBorders>
              <w:top w:val="nil"/>
              <w:left w:val="nil"/>
              <w:bottom w:val="single" w:sz="4" w:space="0" w:color="auto"/>
              <w:right w:val="nil"/>
            </w:tcBorders>
            <w:shd w:val="clear" w:color="auto" w:fill="auto"/>
            <w:vAlign w:val="center"/>
            <w:hideMark/>
          </w:tcPr>
          <w:p w14:paraId="68FB07DE" w14:textId="77777777" w:rsidR="00862A01" w:rsidRPr="00872D7E" w:rsidRDefault="00862A01" w:rsidP="00862A01">
            <w:pPr>
              <w:jc w:val="right"/>
              <w:rPr>
                <w:color w:val="000000"/>
                <w:szCs w:val="20"/>
              </w:rPr>
            </w:pPr>
            <w:r w:rsidRPr="00872D7E">
              <w:rPr>
                <w:color w:val="000000"/>
                <w:szCs w:val="20"/>
              </w:rPr>
              <w:t>-</w:t>
            </w:r>
          </w:p>
        </w:tc>
      </w:tr>
      <w:tr w:rsidR="00862A01" w:rsidRPr="00872D7E" w14:paraId="6625A405" w14:textId="77777777" w:rsidTr="00862A01">
        <w:trPr>
          <w:divId w:val="1923101793"/>
          <w:trHeight w:val="227"/>
        </w:trPr>
        <w:tc>
          <w:tcPr>
            <w:tcW w:w="4054" w:type="dxa"/>
            <w:tcBorders>
              <w:top w:val="nil"/>
              <w:left w:val="nil"/>
              <w:right w:val="nil"/>
            </w:tcBorders>
            <w:shd w:val="clear" w:color="auto" w:fill="auto"/>
            <w:vAlign w:val="bottom"/>
            <w:hideMark/>
          </w:tcPr>
          <w:p w14:paraId="53604F7A" w14:textId="77777777" w:rsidR="00862A01" w:rsidRPr="00872D7E" w:rsidRDefault="00862A01" w:rsidP="00862A01">
            <w:pPr>
              <w:jc w:val="right"/>
              <w:rPr>
                <w:color w:val="000000"/>
                <w:szCs w:val="20"/>
              </w:rPr>
            </w:pPr>
          </w:p>
        </w:tc>
        <w:tc>
          <w:tcPr>
            <w:tcW w:w="1235" w:type="dxa"/>
            <w:tcBorders>
              <w:top w:val="nil"/>
              <w:left w:val="nil"/>
              <w:right w:val="nil"/>
            </w:tcBorders>
            <w:shd w:val="clear" w:color="auto" w:fill="auto"/>
            <w:vAlign w:val="center"/>
            <w:hideMark/>
          </w:tcPr>
          <w:p w14:paraId="30D5EEB6" w14:textId="77777777" w:rsidR="00862A01" w:rsidRPr="00872D7E" w:rsidRDefault="00862A01" w:rsidP="00862A01">
            <w:pPr>
              <w:jc w:val="both"/>
              <w:rPr>
                <w:szCs w:val="20"/>
              </w:rPr>
            </w:pPr>
          </w:p>
        </w:tc>
        <w:tc>
          <w:tcPr>
            <w:tcW w:w="1375" w:type="dxa"/>
            <w:tcBorders>
              <w:top w:val="nil"/>
              <w:left w:val="nil"/>
              <w:right w:val="nil"/>
            </w:tcBorders>
            <w:shd w:val="clear" w:color="auto" w:fill="auto"/>
            <w:vAlign w:val="center"/>
            <w:hideMark/>
          </w:tcPr>
          <w:p w14:paraId="1A3396EF" w14:textId="77777777" w:rsidR="00862A01" w:rsidRPr="00872D7E" w:rsidRDefault="00862A01" w:rsidP="00862A01">
            <w:pPr>
              <w:jc w:val="right"/>
              <w:rPr>
                <w:szCs w:val="20"/>
              </w:rPr>
            </w:pPr>
          </w:p>
        </w:tc>
        <w:tc>
          <w:tcPr>
            <w:tcW w:w="1208" w:type="dxa"/>
            <w:tcBorders>
              <w:top w:val="nil"/>
              <w:left w:val="nil"/>
              <w:right w:val="nil"/>
            </w:tcBorders>
            <w:shd w:val="clear" w:color="auto" w:fill="auto"/>
            <w:vAlign w:val="center"/>
            <w:hideMark/>
          </w:tcPr>
          <w:p w14:paraId="483207FF" w14:textId="77777777" w:rsidR="00862A01" w:rsidRPr="00872D7E" w:rsidRDefault="00862A01" w:rsidP="00862A01">
            <w:pPr>
              <w:jc w:val="right"/>
              <w:rPr>
                <w:szCs w:val="20"/>
              </w:rPr>
            </w:pPr>
          </w:p>
        </w:tc>
        <w:tc>
          <w:tcPr>
            <w:tcW w:w="1208" w:type="dxa"/>
            <w:tcBorders>
              <w:top w:val="nil"/>
              <w:left w:val="nil"/>
              <w:right w:val="nil"/>
            </w:tcBorders>
            <w:shd w:val="clear" w:color="auto" w:fill="auto"/>
            <w:vAlign w:val="center"/>
            <w:hideMark/>
          </w:tcPr>
          <w:p w14:paraId="42698BD1" w14:textId="77777777" w:rsidR="00862A01" w:rsidRPr="00872D7E" w:rsidRDefault="00862A01" w:rsidP="00862A01">
            <w:pPr>
              <w:jc w:val="right"/>
              <w:rPr>
                <w:szCs w:val="20"/>
              </w:rPr>
            </w:pPr>
          </w:p>
        </w:tc>
      </w:tr>
      <w:tr w:rsidR="00862A01" w:rsidRPr="00872D7E" w14:paraId="62C8677C" w14:textId="77777777" w:rsidTr="00862A01">
        <w:trPr>
          <w:divId w:val="1923101793"/>
          <w:trHeight w:val="227"/>
        </w:trPr>
        <w:tc>
          <w:tcPr>
            <w:tcW w:w="4054" w:type="dxa"/>
            <w:tcBorders>
              <w:top w:val="nil"/>
              <w:left w:val="nil"/>
              <w:bottom w:val="single" w:sz="12" w:space="0" w:color="auto"/>
              <w:right w:val="nil"/>
            </w:tcBorders>
            <w:shd w:val="clear" w:color="auto" w:fill="auto"/>
            <w:vAlign w:val="bottom"/>
            <w:hideMark/>
          </w:tcPr>
          <w:p w14:paraId="4D123E84" w14:textId="77777777" w:rsidR="00862A01" w:rsidRPr="00872D7E" w:rsidRDefault="00862A01" w:rsidP="00862A01">
            <w:pPr>
              <w:jc w:val="both"/>
              <w:rPr>
                <w:b/>
                <w:bCs/>
                <w:color w:val="000000"/>
                <w:szCs w:val="20"/>
              </w:rPr>
            </w:pPr>
            <w:r w:rsidRPr="00872D7E">
              <w:rPr>
                <w:b/>
                <w:bCs/>
                <w:color w:val="000000"/>
                <w:szCs w:val="20"/>
              </w:rPr>
              <w:t>Toplam</w:t>
            </w:r>
          </w:p>
        </w:tc>
        <w:tc>
          <w:tcPr>
            <w:tcW w:w="1235" w:type="dxa"/>
            <w:tcBorders>
              <w:top w:val="nil"/>
              <w:left w:val="nil"/>
              <w:bottom w:val="single" w:sz="12" w:space="0" w:color="auto"/>
              <w:right w:val="nil"/>
            </w:tcBorders>
            <w:shd w:val="clear" w:color="auto" w:fill="auto"/>
            <w:vAlign w:val="center"/>
            <w:hideMark/>
          </w:tcPr>
          <w:p w14:paraId="4FF51A9B" w14:textId="77777777" w:rsidR="00862A01" w:rsidRPr="00872D7E" w:rsidRDefault="00862A01" w:rsidP="00862A01">
            <w:pPr>
              <w:jc w:val="right"/>
              <w:rPr>
                <w:b/>
                <w:bCs/>
                <w:color w:val="000000"/>
                <w:szCs w:val="20"/>
              </w:rPr>
            </w:pPr>
            <w:r w:rsidRPr="00872D7E">
              <w:rPr>
                <w:b/>
                <w:bCs/>
                <w:color w:val="000000"/>
                <w:szCs w:val="20"/>
              </w:rPr>
              <w:t>610.479</w:t>
            </w:r>
          </w:p>
        </w:tc>
        <w:tc>
          <w:tcPr>
            <w:tcW w:w="1375" w:type="dxa"/>
            <w:tcBorders>
              <w:top w:val="nil"/>
              <w:left w:val="nil"/>
              <w:bottom w:val="single" w:sz="12" w:space="0" w:color="auto"/>
              <w:right w:val="nil"/>
            </w:tcBorders>
            <w:shd w:val="clear" w:color="auto" w:fill="auto"/>
            <w:vAlign w:val="center"/>
            <w:hideMark/>
          </w:tcPr>
          <w:p w14:paraId="090A7F2F" w14:textId="77777777" w:rsidR="00862A01" w:rsidRPr="00872D7E" w:rsidRDefault="00862A01" w:rsidP="00862A01">
            <w:pPr>
              <w:jc w:val="right"/>
              <w:rPr>
                <w:b/>
                <w:bCs/>
                <w:color w:val="000000"/>
                <w:szCs w:val="20"/>
              </w:rPr>
            </w:pPr>
            <w:r w:rsidRPr="00872D7E">
              <w:rPr>
                <w:b/>
                <w:bCs/>
                <w:color w:val="000000"/>
                <w:szCs w:val="20"/>
              </w:rPr>
              <w:t>4.033.526</w:t>
            </w:r>
          </w:p>
        </w:tc>
        <w:tc>
          <w:tcPr>
            <w:tcW w:w="1208" w:type="dxa"/>
            <w:tcBorders>
              <w:top w:val="nil"/>
              <w:left w:val="nil"/>
              <w:bottom w:val="single" w:sz="12" w:space="0" w:color="auto"/>
              <w:right w:val="nil"/>
            </w:tcBorders>
            <w:shd w:val="clear" w:color="auto" w:fill="auto"/>
            <w:vAlign w:val="center"/>
            <w:hideMark/>
          </w:tcPr>
          <w:p w14:paraId="72BDDD80" w14:textId="77777777" w:rsidR="00862A01" w:rsidRPr="00872D7E" w:rsidRDefault="00862A01" w:rsidP="00862A01">
            <w:pPr>
              <w:jc w:val="right"/>
              <w:rPr>
                <w:b/>
                <w:bCs/>
                <w:color w:val="000000"/>
                <w:szCs w:val="20"/>
              </w:rPr>
            </w:pPr>
            <w:r w:rsidRPr="00872D7E">
              <w:rPr>
                <w:b/>
                <w:bCs/>
                <w:color w:val="000000"/>
                <w:szCs w:val="20"/>
              </w:rPr>
              <w:t>538</w:t>
            </w:r>
          </w:p>
        </w:tc>
        <w:tc>
          <w:tcPr>
            <w:tcW w:w="1208" w:type="dxa"/>
            <w:tcBorders>
              <w:top w:val="nil"/>
              <w:left w:val="nil"/>
              <w:bottom w:val="single" w:sz="12" w:space="0" w:color="auto"/>
              <w:right w:val="nil"/>
            </w:tcBorders>
            <w:shd w:val="clear" w:color="auto" w:fill="auto"/>
            <w:vAlign w:val="center"/>
            <w:hideMark/>
          </w:tcPr>
          <w:p w14:paraId="78E776E0" w14:textId="77777777" w:rsidR="00862A01" w:rsidRPr="00872D7E" w:rsidRDefault="00862A01" w:rsidP="00862A01">
            <w:pPr>
              <w:jc w:val="right"/>
              <w:rPr>
                <w:b/>
                <w:bCs/>
                <w:color w:val="000000"/>
                <w:szCs w:val="20"/>
              </w:rPr>
            </w:pPr>
            <w:r w:rsidRPr="00872D7E">
              <w:rPr>
                <w:b/>
                <w:bCs/>
                <w:color w:val="000000"/>
                <w:szCs w:val="20"/>
              </w:rPr>
              <w:t>628</w:t>
            </w:r>
          </w:p>
        </w:tc>
      </w:tr>
    </w:tbl>
    <w:p w14:paraId="22206077" w14:textId="0AA7E388" w:rsidR="0045421A" w:rsidRPr="00872D7E" w:rsidRDefault="0045421A" w:rsidP="005355DE">
      <w:pPr>
        <w:rPr>
          <w:vertAlign w:val="superscript"/>
        </w:rPr>
      </w:pPr>
    </w:p>
    <w:p w14:paraId="095904C9" w14:textId="4277C5BD" w:rsidR="001D008C" w:rsidRPr="00872D7E" w:rsidRDefault="00A202E4" w:rsidP="005355DE">
      <w:pPr>
        <w:rPr>
          <w:sz w:val="18"/>
          <w:szCs w:val="18"/>
        </w:rPr>
      </w:pPr>
      <w:r w:rsidRPr="00872D7E">
        <w:rPr>
          <w:sz w:val="18"/>
          <w:szCs w:val="18"/>
          <w:vertAlign w:val="superscript"/>
        </w:rPr>
        <w:t>(*)</w:t>
      </w:r>
      <w:r w:rsidR="005355DE" w:rsidRPr="00872D7E">
        <w:rPr>
          <w:sz w:val="18"/>
          <w:szCs w:val="18"/>
          <w:vertAlign w:val="superscript"/>
        </w:rPr>
        <w:t xml:space="preserve"> </w:t>
      </w:r>
      <w:r w:rsidR="00AE0B9A" w:rsidRPr="00872D7E">
        <w:rPr>
          <w:sz w:val="18"/>
          <w:szCs w:val="18"/>
        </w:rPr>
        <w:t>31 Aralık</w:t>
      </w:r>
      <w:r w:rsidR="007301E4" w:rsidRPr="00872D7E">
        <w:rPr>
          <w:sz w:val="18"/>
          <w:szCs w:val="18"/>
        </w:rPr>
        <w:t xml:space="preserve"> </w:t>
      </w:r>
      <w:r w:rsidRPr="00872D7E">
        <w:rPr>
          <w:sz w:val="18"/>
          <w:szCs w:val="18"/>
        </w:rPr>
        <w:t xml:space="preserve">2024 tarihi itibarıyla </w:t>
      </w:r>
      <w:r w:rsidR="00B42F4C" w:rsidRPr="00872D7E">
        <w:rPr>
          <w:sz w:val="18"/>
          <w:szCs w:val="18"/>
          <w:shd w:val="clear" w:color="auto" w:fill="FFFFFF" w:themeFill="background1"/>
        </w:rPr>
        <w:t>22.030</w:t>
      </w:r>
      <w:r w:rsidR="00AC34DC" w:rsidRPr="00872D7E">
        <w:rPr>
          <w:sz w:val="18"/>
          <w:szCs w:val="18"/>
          <w:shd w:val="clear" w:color="auto" w:fill="FFFFFF" w:themeFill="background1"/>
        </w:rPr>
        <w:t xml:space="preserve"> </w:t>
      </w:r>
      <w:r w:rsidRPr="00872D7E">
        <w:rPr>
          <w:sz w:val="18"/>
          <w:szCs w:val="18"/>
        </w:rPr>
        <w:t xml:space="preserve">TL tutarındaki kıymetli maden depo </w:t>
      </w:r>
      <w:r w:rsidR="004E1B8F" w:rsidRPr="00872D7E">
        <w:rPr>
          <w:sz w:val="18"/>
          <w:szCs w:val="18"/>
        </w:rPr>
        <w:t xml:space="preserve">hesabından </w:t>
      </w:r>
      <w:r w:rsidRPr="00872D7E">
        <w:rPr>
          <w:sz w:val="18"/>
          <w:szCs w:val="18"/>
        </w:rPr>
        <w:t>oluşmaktadır.</w:t>
      </w:r>
    </w:p>
    <w:p w14:paraId="52DEE2E3" w14:textId="77777777" w:rsidR="00A202E4" w:rsidRPr="00872D7E" w:rsidRDefault="00A202E4" w:rsidP="009F6E11">
      <w:pPr>
        <w:pStyle w:val="BodyTextIndent"/>
        <w:widowControl w:val="0"/>
        <w:ind w:firstLine="0"/>
        <w:rPr>
          <w:szCs w:val="20"/>
        </w:rPr>
      </w:pPr>
    </w:p>
    <w:p w14:paraId="586E1285" w14:textId="2C154D7D" w:rsidR="00136C29" w:rsidRPr="00872D7E" w:rsidRDefault="00136C29" w:rsidP="00DF282B">
      <w:pPr>
        <w:pStyle w:val="BodyTextIndent"/>
        <w:widowControl w:val="0"/>
        <w:numPr>
          <w:ilvl w:val="0"/>
          <w:numId w:val="68"/>
        </w:numPr>
        <w:ind w:left="1276"/>
        <w:rPr>
          <w:b/>
          <w:szCs w:val="20"/>
        </w:rPr>
      </w:pPr>
      <w:r w:rsidRPr="00872D7E">
        <w:rPr>
          <w:b/>
          <w:szCs w:val="20"/>
        </w:rPr>
        <w:t>T.C. Merkez Bankası hesabına ilişkin bilgiler</w:t>
      </w:r>
    </w:p>
    <w:p w14:paraId="7327434E" w14:textId="1F654229" w:rsidR="00862A01" w:rsidRPr="00872D7E" w:rsidRDefault="00862A01" w:rsidP="00862A01">
      <w:pPr>
        <w:widowControl w:val="0"/>
        <w:ind w:left="142" w:hanging="142"/>
        <w:jc w:val="both"/>
        <w:rPr>
          <w:szCs w:val="20"/>
        </w:rPr>
      </w:pPr>
    </w:p>
    <w:tbl>
      <w:tblPr>
        <w:tblW w:w="9080" w:type="dxa"/>
        <w:tblCellMar>
          <w:left w:w="70" w:type="dxa"/>
          <w:right w:w="70" w:type="dxa"/>
        </w:tblCellMar>
        <w:tblLook w:val="04A0" w:firstRow="1" w:lastRow="0" w:firstColumn="1" w:lastColumn="0" w:noHBand="0" w:noVBand="1"/>
      </w:tblPr>
      <w:tblGrid>
        <w:gridCol w:w="4035"/>
        <w:gridCol w:w="1234"/>
        <w:gridCol w:w="1375"/>
        <w:gridCol w:w="1199"/>
        <w:gridCol w:w="1237"/>
      </w:tblGrid>
      <w:tr w:rsidR="00862A01" w:rsidRPr="00872D7E" w14:paraId="1E122489" w14:textId="77777777" w:rsidTr="00862A01">
        <w:trPr>
          <w:divId w:val="781415268"/>
          <w:trHeight w:val="227"/>
        </w:trPr>
        <w:tc>
          <w:tcPr>
            <w:tcW w:w="4035" w:type="dxa"/>
            <w:tcBorders>
              <w:top w:val="nil"/>
              <w:left w:val="nil"/>
              <w:bottom w:val="nil"/>
              <w:right w:val="nil"/>
            </w:tcBorders>
            <w:shd w:val="clear" w:color="auto" w:fill="auto"/>
            <w:vAlign w:val="bottom"/>
            <w:hideMark/>
          </w:tcPr>
          <w:p w14:paraId="6FFB3B75" w14:textId="5EF18925" w:rsidR="00862A01" w:rsidRPr="00872D7E" w:rsidRDefault="00862A01" w:rsidP="00862A01"/>
        </w:tc>
        <w:tc>
          <w:tcPr>
            <w:tcW w:w="2609" w:type="dxa"/>
            <w:gridSpan w:val="2"/>
            <w:tcBorders>
              <w:top w:val="nil"/>
              <w:left w:val="nil"/>
              <w:bottom w:val="single" w:sz="4" w:space="0" w:color="auto"/>
              <w:right w:val="nil"/>
            </w:tcBorders>
            <w:shd w:val="clear" w:color="auto" w:fill="auto"/>
            <w:noWrap/>
            <w:vAlign w:val="center"/>
            <w:hideMark/>
          </w:tcPr>
          <w:p w14:paraId="1424E0A2" w14:textId="77777777" w:rsidR="00862A01" w:rsidRPr="00872D7E" w:rsidRDefault="00862A01" w:rsidP="00862A01">
            <w:pPr>
              <w:jc w:val="center"/>
              <w:rPr>
                <w:b/>
                <w:bCs/>
                <w:color w:val="000000"/>
                <w:szCs w:val="20"/>
              </w:rPr>
            </w:pPr>
            <w:r w:rsidRPr="00872D7E">
              <w:rPr>
                <w:b/>
                <w:bCs/>
                <w:color w:val="000000"/>
                <w:szCs w:val="20"/>
              </w:rPr>
              <w:t>31 Aralık 2024</w:t>
            </w:r>
          </w:p>
        </w:tc>
        <w:tc>
          <w:tcPr>
            <w:tcW w:w="2436" w:type="dxa"/>
            <w:gridSpan w:val="2"/>
            <w:tcBorders>
              <w:top w:val="nil"/>
              <w:left w:val="nil"/>
              <w:bottom w:val="single" w:sz="4" w:space="0" w:color="auto"/>
              <w:right w:val="nil"/>
            </w:tcBorders>
            <w:shd w:val="clear" w:color="auto" w:fill="auto"/>
            <w:noWrap/>
            <w:vAlign w:val="center"/>
            <w:hideMark/>
          </w:tcPr>
          <w:p w14:paraId="65CA5455" w14:textId="77777777" w:rsidR="00862A01" w:rsidRPr="00872D7E" w:rsidRDefault="00862A01" w:rsidP="00862A01">
            <w:pPr>
              <w:jc w:val="center"/>
              <w:rPr>
                <w:b/>
                <w:bCs/>
                <w:color w:val="000000"/>
                <w:szCs w:val="20"/>
              </w:rPr>
            </w:pPr>
            <w:r w:rsidRPr="00872D7E">
              <w:rPr>
                <w:b/>
                <w:bCs/>
                <w:color w:val="000000"/>
                <w:szCs w:val="20"/>
              </w:rPr>
              <w:t>1 Ocak 2024</w:t>
            </w:r>
          </w:p>
        </w:tc>
      </w:tr>
      <w:tr w:rsidR="00862A01" w:rsidRPr="00872D7E" w14:paraId="4E837873" w14:textId="77777777" w:rsidTr="00862A01">
        <w:trPr>
          <w:divId w:val="781415268"/>
          <w:trHeight w:val="227"/>
        </w:trPr>
        <w:tc>
          <w:tcPr>
            <w:tcW w:w="4035" w:type="dxa"/>
            <w:tcBorders>
              <w:top w:val="nil"/>
              <w:left w:val="nil"/>
              <w:bottom w:val="single" w:sz="4" w:space="0" w:color="auto"/>
              <w:right w:val="nil"/>
            </w:tcBorders>
            <w:shd w:val="clear" w:color="auto" w:fill="auto"/>
            <w:vAlign w:val="bottom"/>
            <w:hideMark/>
          </w:tcPr>
          <w:p w14:paraId="39106593" w14:textId="77777777" w:rsidR="00862A01" w:rsidRPr="00872D7E" w:rsidRDefault="00862A01" w:rsidP="00862A01">
            <w:pPr>
              <w:jc w:val="both"/>
              <w:rPr>
                <w:b/>
                <w:bCs/>
                <w:color w:val="000000"/>
                <w:szCs w:val="20"/>
              </w:rPr>
            </w:pPr>
            <w:r w:rsidRPr="00872D7E">
              <w:rPr>
                <w:b/>
                <w:bCs/>
                <w:color w:val="000000"/>
                <w:szCs w:val="20"/>
              </w:rPr>
              <w:t> </w:t>
            </w:r>
          </w:p>
        </w:tc>
        <w:tc>
          <w:tcPr>
            <w:tcW w:w="1234" w:type="dxa"/>
            <w:tcBorders>
              <w:top w:val="nil"/>
              <w:left w:val="nil"/>
              <w:bottom w:val="single" w:sz="4" w:space="0" w:color="auto"/>
              <w:right w:val="nil"/>
            </w:tcBorders>
            <w:shd w:val="clear" w:color="auto" w:fill="auto"/>
            <w:vAlign w:val="bottom"/>
            <w:hideMark/>
          </w:tcPr>
          <w:p w14:paraId="45158F05" w14:textId="77777777" w:rsidR="00862A01" w:rsidRPr="00872D7E" w:rsidRDefault="00862A01" w:rsidP="00862A01">
            <w:pPr>
              <w:jc w:val="right"/>
              <w:rPr>
                <w:b/>
                <w:bCs/>
                <w:color w:val="000000"/>
                <w:szCs w:val="20"/>
              </w:rPr>
            </w:pPr>
            <w:r w:rsidRPr="00872D7E">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671C8BC1" w14:textId="77777777" w:rsidR="00862A01" w:rsidRPr="00872D7E" w:rsidRDefault="00862A01" w:rsidP="00862A01">
            <w:pPr>
              <w:jc w:val="right"/>
              <w:rPr>
                <w:b/>
                <w:bCs/>
                <w:color w:val="000000"/>
                <w:szCs w:val="20"/>
              </w:rPr>
            </w:pPr>
            <w:r w:rsidRPr="00872D7E">
              <w:rPr>
                <w:b/>
                <w:bCs/>
                <w:color w:val="000000"/>
                <w:szCs w:val="20"/>
              </w:rPr>
              <w:t>YP</w:t>
            </w:r>
          </w:p>
        </w:tc>
        <w:tc>
          <w:tcPr>
            <w:tcW w:w="1199" w:type="dxa"/>
            <w:tcBorders>
              <w:top w:val="nil"/>
              <w:left w:val="nil"/>
              <w:bottom w:val="single" w:sz="4" w:space="0" w:color="auto"/>
              <w:right w:val="nil"/>
            </w:tcBorders>
            <w:shd w:val="clear" w:color="auto" w:fill="auto"/>
            <w:hideMark/>
          </w:tcPr>
          <w:p w14:paraId="4D2A5C41" w14:textId="77777777" w:rsidR="00862A01" w:rsidRPr="00872D7E" w:rsidRDefault="00862A01" w:rsidP="00862A01">
            <w:pPr>
              <w:jc w:val="right"/>
              <w:rPr>
                <w:b/>
                <w:bCs/>
                <w:color w:val="000000"/>
                <w:szCs w:val="20"/>
              </w:rPr>
            </w:pPr>
            <w:r w:rsidRPr="00872D7E">
              <w:rPr>
                <w:b/>
                <w:bCs/>
                <w:color w:val="000000"/>
                <w:szCs w:val="20"/>
              </w:rPr>
              <w:t>TP</w:t>
            </w:r>
          </w:p>
        </w:tc>
        <w:tc>
          <w:tcPr>
            <w:tcW w:w="1237" w:type="dxa"/>
            <w:tcBorders>
              <w:top w:val="nil"/>
              <w:left w:val="nil"/>
              <w:bottom w:val="single" w:sz="4" w:space="0" w:color="auto"/>
              <w:right w:val="nil"/>
            </w:tcBorders>
            <w:shd w:val="clear" w:color="auto" w:fill="auto"/>
            <w:hideMark/>
          </w:tcPr>
          <w:p w14:paraId="6D220E17" w14:textId="77777777" w:rsidR="00862A01" w:rsidRPr="00872D7E" w:rsidRDefault="00862A01" w:rsidP="00862A01">
            <w:pPr>
              <w:jc w:val="right"/>
              <w:rPr>
                <w:b/>
                <w:bCs/>
                <w:color w:val="000000"/>
                <w:szCs w:val="20"/>
              </w:rPr>
            </w:pPr>
            <w:r w:rsidRPr="00872D7E">
              <w:rPr>
                <w:b/>
                <w:bCs/>
                <w:color w:val="000000"/>
                <w:szCs w:val="20"/>
              </w:rPr>
              <w:t>YP</w:t>
            </w:r>
          </w:p>
        </w:tc>
      </w:tr>
      <w:tr w:rsidR="00862A01" w:rsidRPr="00872D7E" w14:paraId="3D7D2D01" w14:textId="77777777" w:rsidTr="00862A01">
        <w:trPr>
          <w:divId w:val="781415268"/>
          <w:trHeight w:val="227"/>
        </w:trPr>
        <w:tc>
          <w:tcPr>
            <w:tcW w:w="4035" w:type="dxa"/>
            <w:tcBorders>
              <w:top w:val="nil"/>
              <w:left w:val="nil"/>
              <w:bottom w:val="nil"/>
              <w:right w:val="nil"/>
            </w:tcBorders>
            <w:shd w:val="clear" w:color="auto" w:fill="auto"/>
            <w:vAlign w:val="bottom"/>
            <w:hideMark/>
          </w:tcPr>
          <w:p w14:paraId="24B0A36E" w14:textId="77777777" w:rsidR="00862A01" w:rsidRPr="00872D7E" w:rsidRDefault="00862A01" w:rsidP="00862A01">
            <w:pPr>
              <w:jc w:val="both"/>
              <w:rPr>
                <w:color w:val="000000"/>
                <w:szCs w:val="20"/>
              </w:rPr>
            </w:pPr>
            <w:r w:rsidRPr="00872D7E">
              <w:rPr>
                <w:color w:val="000000"/>
                <w:szCs w:val="20"/>
              </w:rPr>
              <w:t> </w:t>
            </w:r>
          </w:p>
        </w:tc>
        <w:tc>
          <w:tcPr>
            <w:tcW w:w="1234" w:type="dxa"/>
            <w:tcBorders>
              <w:top w:val="nil"/>
              <w:left w:val="nil"/>
              <w:bottom w:val="nil"/>
              <w:right w:val="nil"/>
            </w:tcBorders>
            <w:shd w:val="clear" w:color="auto" w:fill="auto"/>
            <w:vAlign w:val="bottom"/>
            <w:hideMark/>
          </w:tcPr>
          <w:p w14:paraId="277A69A9" w14:textId="77777777" w:rsidR="00862A01" w:rsidRPr="00872D7E" w:rsidRDefault="00862A01" w:rsidP="00862A01">
            <w:pPr>
              <w:jc w:val="right"/>
              <w:rPr>
                <w:color w:val="000000"/>
                <w:szCs w:val="20"/>
              </w:rPr>
            </w:pPr>
            <w:r w:rsidRPr="00872D7E">
              <w:rPr>
                <w:color w:val="000000"/>
                <w:szCs w:val="20"/>
              </w:rPr>
              <w:t> </w:t>
            </w:r>
          </w:p>
        </w:tc>
        <w:tc>
          <w:tcPr>
            <w:tcW w:w="1375" w:type="dxa"/>
            <w:tcBorders>
              <w:top w:val="nil"/>
              <w:left w:val="nil"/>
              <w:bottom w:val="nil"/>
              <w:right w:val="nil"/>
            </w:tcBorders>
            <w:shd w:val="clear" w:color="auto" w:fill="auto"/>
            <w:vAlign w:val="bottom"/>
            <w:hideMark/>
          </w:tcPr>
          <w:p w14:paraId="1E3442CD" w14:textId="77777777" w:rsidR="00862A01" w:rsidRPr="00872D7E" w:rsidRDefault="00862A01" w:rsidP="00862A01">
            <w:pPr>
              <w:jc w:val="right"/>
              <w:rPr>
                <w:color w:val="000000"/>
                <w:szCs w:val="20"/>
              </w:rPr>
            </w:pPr>
            <w:r w:rsidRPr="00872D7E">
              <w:rPr>
                <w:color w:val="000000"/>
                <w:szCs w:val="20"/>
              </w:rPr>
              <w:t> </w:t>
            </w:r>
          </w:p>
        </w:tc>
        <w:tc>
          <w:tcPr>
            <w:tcW w:w="1199" w:type="dxa"/>
            <w:tcBorders>
              <w:top w:val="nil"/>
              <w:left w:val="nil"/>
              <w:bottom w:val="nil"/>
              <w:right w:val="nil"/>
            </w:tcBorders>
            <w:shd w:val="clear" w:color="auto" w:fill="auto"/>
            <w:hideMark/>
          </w:tcPr>
          <w:p w14:paraId="55F3741C" w14:textId="77777777" w:rsidR="00862A01" w:rsidRPr="00872D7E" w:rsidRDefault="00862A01" w:rsidP="00862A01">
            <w:pPr>
              <w:jc w:val="right"/>
              <w:rPr>
                <w:color w:val="000000"/>
                <w:szCs w:val="20"/>
              </w:rPr>
            </w:pPr>
            <w:r w:rsidRPr="00872D7E">
              <w:rPr>
                <w:color w:val="000000"/>
                <w:szCs w:val="20"/>
              </w:rPr>
              <w:t> </w:t>
            </w:r>
          </w:p>
        </w:tc>
        <w:tc>
          <w:tcPr>
            <w:tcW w:w="1237" w:type="dxa"/>
            <w:tcBorders>
              <w:top w:val="nil"/>
              <w:left w:val="nil"/>
              <w:bottom w:val="nil"/>
              <w:right w:val="nil"/>
            </w:tcBorders>
            <w:shd w:val="clear" w:color="auto" w:fill="auto"/>
            <w:hideMark/>
          </w:tcPr>
          <w:p w14:paraId="77BA3481" w14:textId="77777777" w:rsidR="00862A01" w:rsidRPr="00872D7E" w:rsidRDefault="00862A01" w:rsidP="00862A01">
            <w:pPr>
              <w:jc w:val="right"/>
              <w:rPr>
                <w:color w:val="000000"/>
                <w:szCs w:val="20"/>
              </w:rPr>
            </w:pPr>
            <w:r w:rsidRPr="00872D7E">
              <w:rPr>
                <w:color w:val="000000"/>
                <w:szCs w:val="20"/>
              </w:rPr>
              <w:t> </w:t>
            </w:r>
          </w:p>
        </w:tc>
      </w:tr>
      <w:tr w:rsidR="00862A01" w:rsidRPr="00872D7E" w14:paraId="460017DA" w14:textId="77777777" w:rsidTr="00862A01">
        <w:trPr>
          <w:divId w:val="781415268"/>
          <w:trHeight w:val="227"/>
        </w:trPr>
        <w:tc>
          <w:tcPr>
            <w:tcW w:w="4035" w:type="dxa"/>
            <w:tcBorders>
              <w:top w:val="nil"/>
              <w:left w:val="nil"/>
              <w:bottom w:val="nil"/>
              <w:right w:val="nil"/>
            </w:tcBorders>
            <w:shd w:val="clear" w:color="auto" w:fill="auto"/>
            <w:vAlign w:val="bottom"/>
            <w:hideMark/>
          </w:tcPr>
          <w:p w14:paraId="063447D3" w14:textId="77777777" w:rsidR="00862A01" w:rsidRPr="00872D7E" w:rsidRDefault="00862A01" w:rsidP="00862A01">
            <w:pPr>
              <w:jc w:val="both"/>
              <w:rPr>
                <w:color w:val="000000"/>
                <w:szCs w:val="20"/>
              </w:rPr>
            </w:pPr>
            <w:r w:rsidRPr="00872D7E">
              <w:rPr>
                <w:color w:val="000000"/>
                <w:szCs w:val="20"/>
              </w:rPr>
              <w:t xml:space="preserve">Vadesiz serbest hesap </w:t>
            </w:r>
          </w:p>
        </w:tc>
        <w:tc>
          <w:tcPr>
            <w:tcW w:w="1234" w:type="dxa"/>
            <w:tcBorders>
              <w:top w:val="nil"/>
              <w:left w:val="nil"/>
              <w:bottom w:val="nil"/>
              <w:right w:val="nil"/>
            </w:tcBorders>
            <w:shd w:val="clear" w:color="auto" w:fill="auto"/>
            <w:vAlign w:val="center"/>
            <w:hideMark/>
          </w:tcPr>
          <w:p w14:paraId="1EB40F92" w14:textId="77777777" w:rsidR="00862A01" w:rsidRPr="00872D7E" w:rsidRDefault="00862A01" w:rsidP="00862A01">
            <w:pPr>
              <w:jc w:val="right"/>
              <w:rPr>
                <w:color w:val="000000"/>
                <w:szCs w:val="20"/>
              </w:rPr>
            </w:pPr>
            <w:r w:rsidRPr="00872D7E">
              <w:rPr>
                <w:color w:val="000000"/>
                <w:szCs w:val="20"/>
              </w:rPr>
              <w:t>553.500</w:t>
            </w:r>
          </w:p>
        </w:tc>
        <w:tc>
          <w:tcPr>
            <w:tcW w:w="1375" w:type="dxa"/>
            <w:tcBorders>
              <w:top w:val="nil"/>
              <w:left w:val="nil"/>
              <w:bottom w:val="nil"/>
              <w:right w:val="nil"/>
            </w:tcBorders>
            <w:shd w:val="clear" w:color="auto" w:fill="auto"/>
            <w:vAlign w:val="center"/>
            <w:hideMark/>
          </w:tcPr>
          <w:p w14:paraId="7CC60411" w14:textId="77777777" w:rsidR="00862A01" w:rsidRPr="00872D7E" w:rsidRDefault="00862A01" w:rsidP="00862A01">
            <w:pPr>
              <w:jc w:val="right"/>
              <w:rPr>
                <w:color w:val="000000"/>
                <w:szCs w:val="20"/>
              </w:rPr>
            </w:pPr>
            <w:r w:rsidRPr="00872D7E">
              <w:rPr>
                <w:color w:val="000000"/>
                <w:szCs w:val="20"/>
              </w:rPr>
              <w:t>1.535.726</w:t>
            </w:r>
          </w:p>
        </w:tc>
        <w:tc>
          <w:tcPr>
            <w:tcW w:w="1199" w:type="dxa"/>
            <w:tcBorders>
              <w:top w:val="nil"/>
              <w:left w:val="nil"/>
              <w:bottom w:val="nil"/>
              <w:right w:val="nil"/>
            </w:tcBorders>
            <w:shd w:val="clear" w:color="auto" w:fill="auto"/>
            <w:vAlign w:val="center"/>
            <w:hideMark/>
          </w:tcPr>
          <w:p w14:paraId="5396EA93" w14:textId="77777777" w:rsidR="00862A01" w:rsidRPr="00872D7E" w:rsidRDefault="00862A01" w:rsidP="00862A01">
            <w:pPr>
              <w:jc w:val="right"/>
              <w:rPr>
                <w:color w:val="000000"/>
                <w:szCs w:val="20"/>
              </w:rPr>
            </w:pPr>
            <w:r w:rsidRPr="00872D7E">
              <w:rPr>
                <w:color w:val="000000"/>
                <w:szCs w:val="20"/>
              </w:rPr>
              <w:t>538</w:t>
            </w:r>
          </w:p>
        </w:tc>
        <w:tc>
          <w:tcPr>
            <w:tcW w:w="1237" w:type="dxa"/>
            <w:tcBorders>
              <w:top w:val="nil"/>
              <w:left w:val="nil"/>
              <w:bottom w:val="nil"/>
              <w:right w:val="nil"/>
            </w:tcBorders>
            <w:shd w:val="clear" w:color="auto" w:fill="auto"/>
            <w:vAlign w:val="center"/>
            <w:hideMark/>
          </w:tcPr>
          <w:p w14:paraId="5FB1E08B" w14:textId="77777777" w:rsidR="00862A01" w:rsidRPr="00872D7E" w:rsidRDefault="00862A01" w:rsidP="00862A01">
            <w:pPr>
              <w:jc w:val="right"/>
              <w:rPr>
                <w:color w:val="000000"/>
                <w:szCs w:val="20"/>
              </w:rPr>
            </w:pPr>
            <w:r w:rsidRPr="00872D7E">
              <w:rPr>
                <w:color w:val="000000"/>
                <w:szCs w:val="20"/>
              </w:rPr>
              <w:t>628</w:t>
            </w:r>
          </w:p>
        </w:tc>
      </w:tr>
      <w:tr w:rsidR="00862A01" w:rsidRPr="00872D7E" w14:paraId="05BA0C28" w14:textId="77777777" w:rsidTr="00862A01">
        <w:trPr>
          <w:divId w:val="781415268"/>
          <w:trHeight w:val="227"/>
        </w:trPr>
        <w:tc>
          <w:tcPr>
            <w:tcW w:w="4035" w:type="dxa"/>
            <w:tcBorders>
              <w:top w:val="nil"/>
              <w:left w:val="nil"/>
              <w:bottom w:val="nil"/>
              <w:right w:val="nil"/>
            </w:tcBorders>
            <w:shd w:val="clear" w:color="auto" w:fill="auto"/>
            <w:vAlign w:val="bottom"/>
            <w:hideMark/>
          </w:tcPr>
          <w:p w14:paraId="0C9FDA7E" w14:textId="77777777" w:rsidR="00862A01" w:rsidRPr="00872D7E" w:rsidRDefault="00862A01" w:rsidP="00862A01">
            <w:pPr>
              <w:jc w:val="both"/>
              <w:rPr>
                <w:color w:val="000000"/>
                <w:szCs w:val="20"/>
              </w:rPr>
            </w:pPr>
            <w:r w:rsidRPr="00872D7E">
              <w:rPr>
                <w:color w:val="000000"/>
                <w:szCs w:val="20"/>
              </w:rPr>
              <w:t>Vadeli serbest hesap</w:t>
            </w:r>
          </w:p>
        </w:tc>
        <w:tc>
          <w:tcPr>
            <w:tcW w:w="1234" w:type="dxa"/>
            <w:tcBorders>
              <w:top w:val="nil"/>
              <w:left w:val="nil"/>
              <w:bottom w:val="nil"/>
              <w:right w:val="nil"/>
            </w:tcBorders>
            <w:shd w:val="clear" w:color="auto" w:fill="auto"/>
            <w:vAlign w:val="center"/>
            <w:hideMark/>
          </w:tcPr>
          <w:p w14:paraId="6B8DD482" w14:textId="77777777" w:rsidR="00862A01" w:rsidRPr="00872D7E" w:rsidRDefault="00862A01" w:rsidP="00862A01">
            <w:pPr>
              <w:jc w:val="right"/>
              <w:rPr>
                <w:color w:val="000000"/>
                <w:szCs w:val="20"/>
              </w:rPr>
            </w:pPr>
            <w:r w:rsidRPr="00872D7E">
              <w:rPr>
                <w:color w:val="000000"/>
                <w:szCs w:val="20"/>
              </w:rPr>
              <w:t>-</w:t>
            </w:r>
          </w:p>
        </w:tc>
        <w:tc>
          <w:tcPr>
            <w:tcW w:w="1375" w:type="dxa"/>
            <w:tcBorders>
              <w:top w:val="nil"/>
              <w:left w:val="nil"/>
              <w:bottom w:val="nil"/>
              <w:right w:val="nil"/>
            </w:tcBorders>
            <w:shd w:val="clear" w:color="auto" w:fill="auto"/>
            <w:vAlign w:val="center"/>
            <w:hideMark/>
          </w:tcPr>
          <w:p w14:paraId="3B1E7D08" w14:textId="77777777" w:rsidR="00862A01" w:rsidRPr="00872D7E" w:rsidRDefault="00862A01" w:rsidP="00862A01">
            <w:pPr>
              <w:jc w:val="right"/>
              <w:rPr>
                <w:color w:val="000000"/>
                <w:szCs w:val="20"/>
              </w:rPr>
            </w:pPr>
            <w:r w:rsidRPr="00872D7E">
              <w:rPr>
                <w:color w:val="000000"/>
                <w:szCs w:val="20"/>
              </w:rPr>
              <w:t>-</w:t>
            </w:r>
          </w:p>
        </w:tc>
        <w:tc>
          <w:tcPr>
            <w:tcW w:w="1199" w:type="dxa"/>
            <w:tcBorders>
              <w:top w:val="nil"/>
              <w:left w:val="nil"/>
              <w:bottom w:val="nil"/>
              <w:right w:val="nil"/>
            </w:tcBorders>
            <w:shd w:val="clear" w:color="auto" w:fill="auto"/>
            <w:vAlign w:val="center"/>
            <w:hideMark/>
          </w:tcPr>
          <w:p w14:paraId="1BAF74D9" w14:textId="77777777" w:rsidR="00862A01" w:rsidRPr="00872D7E" w:rsidRDefault="00862A01" w:rsidP="00862A01">
            <w:pPr>
              <w:jc w:val="right"/>
              <w:rPr>
                <w:color w:val="000000"/>
                <w:szCs w:val="20"/>
              </w:rPr>
            </w:pPr>
            <w:r w:rsidRPr="00872D7E">
              <w:rPr>
                <w:color w:val="000000"/>
                <w:szCs w:val="20"/>
              </w:rPr>
              <w:t>-</w:t>
            </w:r>
          </w:p>
        </w:tc>
        <w:tc>
          <w:tcPr>
            <w:tcW w:w="1237" w:type="dxa"/>
            <w:tcBorders>
              <w:top w:val="nil"/>
              <w:left w:val="nil"/>
              <w:bottom w:val="nil"/>
              <w:right w:val="nil"/>
            </w:tcBorders>
            <w:shd w:val="clear" w:color="auto" w:fill="auto"/>
            <w:vAlign w:val="center"/>
            <w:hideMark/>
          </w:tcPr>
          <w:p w14:paraId="3522739D" w14:textId="77777777" w:rsidR="00862A01" w:rsidRPr="00872D7E" w:rsidRDefault="00862A01" w:rsidP="00862A01">
            <w:pPr>
              <w:jc w:val="right"/>
              <w:rPr>
                <w:color w:val="000000"/>
                <w:szCs w:val="20"/>
              </w:rPr>
            </w:pPr>
            <w:r w:rsidRPr="00872D7E">
              <w:rPr>
                <w:color w:val="000000"/>
                <w:szCs w:val="20"/>
              </w:rPr>
              <w:t>-</w:t>
            </w:r>
          </w:p>
        </w:tc>
      </w:tr>
      <w:tr w:rsidR="00862A01" w:rsidRPr="00872D7E" w14:paraId="523BAC45" w14:textId="77777777" w:rsidTr="00862A01">
        <w:trPr>
          <w:divId w:val="781415268"/>
          <w:trHeight w:val="227"/>
        </w:trPr>
        <w:tc>
          <w:tcPr>
            <w:tcW w:w="4035" w:type="dxa"/>
            <w:tcBorders>
              <w:top w:val="nil"/>
              <w:left w:val="nil"/>
              <w:bottom w:val="single" w:sz="4" w:space="0" w:color="auto"/>
              <w:right w:val="nil"/>
            </w:tcBorders>
            <w:shd w:val="clear" w:color="auto" w:fill="auto"/>
            <w:vAlign w:val="bottom"/>
            <w:hideMark/>
          </w:tcPr>
          <w:p w14:paraId="4D70FDE6" w14:textId="77777777" w:rsidR="00862A01" w:rsidRPr="00872D7E" w:rsidRDefault="00862A01" w:rsidP="00862A01">
            <w:pPr>
              <w:jc w:val="both"/>
              <w:rPr>
                <w:color w:val="000000"/>
                <w:szCs w:val="20"/>
              </w:rPr>
            </w:pPr>
            <w:r w:rsidRPr="00872D7E">
              <w:rPr>
                <w:color w:val="000000"/>
                <w:szCs w:val="20"/>
              </w:rPr>
              <w:t>Vadeli serbest olmayan hesap</w:t>
            </w:r>
          </w:p>
        </w:tc>
        <w:tc>
          <w:tcPr>
            <w:tcW w:w="1234" w:type="dxa"/>
            <w:tcBorders>
              <w:top w:val="nil"/>
              <w:left w:val="nil"/>
              <w:bottom w:val="single" w:sz="4" w:space="0" w:color="auto"/>
              <w:right w:val="nil"/>
            </w:tcBorders>
            <w:shd w:val="clear" w:color="auto" w:fill="auto"/>
            <w:vAlign w:val="center"/>
            <w:hideMark/>
          </w:tcPr>
          <w:p w14:paraId="02C93035" w14:textId="77777777" w:rsidR="00862A01" w:rsidRPr="00872D7E" w:rsidRDefault="00862A01" w:rsidP="00862A01">
            <w:pPr>
              <w:jc w:val="right"/>
              <w:rPr>
                <w:color w:val="000000"/>
                <w:szCs w:val="20"/>
              </w:rPr>
            </w:pPr>
            <w:r w:rsidRPr="00872D7E">
              <w:rPr>
                <w:color w:val="000000"/>
                <w:szCs w:val="20"/>
              </w:rPr>
              <w:t>-</w:t>
            </w:r>
          </w:p>
        </w:tc>
        <w:tc>
          <w:tcPr>
            <w:tcW w:w="1375" w:type="dxa"/>
            <w:tcBorders>
              <w:top w:val="nil"/>
              <w:left w:val="nil"/>
              <w:bottom w:val="single" w:sz="4" w:space="0" w:color="auto"/>
              <w:right w:val="nil"/>
            </w:tcBorders>
            <w:shd w:val="clear" w:color="auto" w:fill="auto"/>
            <w:vAlign w:val="center"/>
            <w:hideMark/>
          </w:tcPr>
          <w:p w14:paraId="7B4B17F3" w14:textId="77777777" w:rsidR="00862A01" w:rsidRPr="00872D7E" w:rsidRDefault="00862A01" w:rsidP="00862A01">
            <w:pPr>
              <w:jc w:val="right"/>
              <w:rPr>
                <w:color w:val="000000"/>
                <w:szCs w:val="20"/>
              </w:rPr>
            </w:pPr>
            <w:r w:rsidRPr="00872D7E">
              <w:rPr>
                <w:color w:val="000000"/>
                <w:szCs w:val="20"/>
              </w:rPr>
              <w:t>2.005.201</w:t>
            </w:r>
          </w:p>
        </w:tc>
        <w:tc>
          <w:tcPr>
            <w:tcW w:w="1199" w:type="dxa"/>
            <w:tcBorders>
              <w:top w:val="nil"/>
              <w:left w:val="nil"/>
              <w:bottom w:val="single" w:sz="4" w:space="0" w:color="auto"/>
              <w:right w:val="nil"/>
            </w:tcBorders>
            <w:shd w:val="clear" w:color="auto" w:fill="auto"/>
            <w:vAlign w:val="center"/>
            <w:hideMark/>
          </w:tcPr>
          <w:p w14:paraId="0AE2B60D" w14:textId="77777777" w:rsidR="00862A01" w:rsidRPr="00872D7E" w:rsidRDefault="00862A01" w:rsidP="00862A01">
            <w:pPr>
              <w:jc w:val="right"/>
              <w:rPr>
                <w:color w:val="000000"/>
                <w:szCs w:val="20"/>
              </w:rPr>
            </w:pPr>
            <w:r w:rsidRPr="00872D7E">
              <w:rPr>
                <w:color w:val="000000"/>
                <w:szCs w:val="20"/>
              </w:rPr>
              <w:t>-</w:t>
            </w:r>
          </w:p>
        </w:tc>
        <w:tc>
          <w:tcPr>
            <w:tcW w:w="1237" w:type="dxa"/>
            <w:tcBorders>
              <w:top w:val="nil"/>
              <w:left w:val="nil"/>
              <w:bottom w:val="single" w:sz="4" w:space="0" w:color="auto"/>
              <w:right w:val="nil"/>
            </w:tcBorders>
            <w:shd w:val="clear" w:color="auto" w:fill="auto"/>
            <w:vAlign w:val="center"/>
            <w:hideMark/>
          </w:tcPr>
          <w:p w14:paraId="366EC300" w14:textId="77777777" w:rsidR="00862A01" w:rsidRPr="00872D7E" w:rsidRDefault="00862A01" w:rsidP="00862A01">
            <w:pPr>
              <w:jc w:val="right"/>
              <w:rPr>
                <w:color w:val="000000"/>
                <w:szCs w:val="20"/>
              </w:rPr>
            </w:pPr>
            <w:r w:rsidRPr="00872D7E">
              <w:rPr>
                <w:color w:val="000000"/>
                <w:szCs w:val="20"/>
              </w:rPr>
              <w:t>-</w:t>
            </w:r>
          </w:p>
        </w:tc>
      </w:tr>
      <w:tr w:rsidR="00862A01" w:rsidRPr="00872D7E" w14:paraId="131733D3" w14:textId="77777777" w:rsidTr="00862A01">
        <w:trPr>
          <w:divId w:val="781415268"/>
          <w:trHeight w:val="227"/>
        </w:trPr>
        <w:tc>
          <w:tcPr>
            <w:tcW w:w="4035" w:type="dxa"/>
            <w:tcBorders>
              <w:top w:val="nil"/>
              <w:left w:val="nil"/>
              <w:right w:val="nil"/>
            </w:tcBorders>
            <w:shd w:val="clear" w:color="auto" w:fill="auto"/>
            <w:vAlign w:val="bottom"/>
            <w:hideMark/>
          </w:tcPr>
          <w:p w14:paraId="564CA1AA" w14:textId="77777777" w:rsidR="00862A01" w:rsidRPr="00872D7E" w:rsidRDefault="00862A01" w:rsidP="00862A01">
            <w:pPr>
              <w:jc w:val="right"/>
              <w:rPr>
                <w:color w:val="000000"/>
                <w:szCs w:val="20"/>
              </w:rPr>
            </w:pPr>
          </w:p>
        </w:tc>
        <w:tc>
          <w:tcPr>
            <w:tcW w:w="1234" w:type="dxa"/>
            <w:tcBorders>
              <w:top w:val="nil"/>
              <w:left w:val="nil"/>
              <w:right w:val="nil"/>
            </w:tcBorders>
            <w:shd w:val="clear" w:color="auto" w:fill="auto"/>
            <w:vAlign w:val="center"/>
            <w:hideMark/>
          </w:tcPr>
          <w:p w14:paraId="54E2E55A" w14:textId="77777777" w:rsidR="00862A01" w:rsidRPr="00872D7E" w:rsidRDefault="00862A01" w:rsidP="00862A01">
            <w:pPr>
              <w:jc w:val="both"/>
              <w:rPr>
                <w:szCs w:val="20"/>
              </w:rPr>
            </w:pPr>
          </w:p>
        </w:tc>
        <w:tc>
          <w:tcPr>
            <w:tcW w:w="1375" w:type="dxa"/>
            <w:tcBorders>
              <w:top w:val="nil"/>
              <w:left w:val="nil"/>
              <w:right w:val="nil"/>
            </w:tcBorders>
            <w:shd w:val="clear" w:color="auto" w:fill="auto"/>
            <w:vAlign w:val="center"/>
            <w:hideMark/>
          </w:tcPr>
          <w:p w14:paraId="1F858B6F" w14:textId="77777777" w:rsidR="00862A01" w:rsidRPr="00872D7E" w:rsidRDefault="00862A01" w:rsidP="00862A01">
            <w:pPr>
              <w:jc w:val="right"/>
              <w:rPr>
                <w:szCs w:val="20"/>
              </w:rPr>
            </w:pPr>
          </w:p>
        </w:tc>
        <w:tc>
          <w:tcPr>
            <w:tcW w:w="1199" w:type="dxa"/>
            <w:tcBorders>
              <w:top w:val="nil"/>
              <w:left w:val="nil"/>
              <w:right w:val="nil"/>
            </w:tcBorders>
            <w:shd w:val="clear" w:color="auto" w:fill="auto"/>
            <w:vAlign w:val="center"/>
            <w:hideMark/>
          </w:tcPr>
          <w:p w14:paraId="6142DDB7" w14:textId="77777777" w:rsidR="00862A01" w:rsidRPr="00872D7E" w:rsidRDefault="00862A01" w:rsidP="00862A01">
            <w:pPr>
              <w:jc w:val="right"/>
              <w:rPr>
                <w:szCs w:val="20"/>
              </w:rPr>
            </w:pPr>
          </w:p>
        </w:tc>
        <w:tc>
          <w:tcPr>
            <w:tcW w:w="1237" w:type="dxa"/>
            <w:tcBorders>
              <w:top w:val="nil"/>
              <w:left w:val="nil"/>
              <w:right w:val="nil"/>
            </w:tcBorders>
            <w:shd w:val="clear" w:color="auto" w:fill="auto"/>
            <w:vAlign w:val="center"/>
            <w:hideMark/>
          </w:tcPr>
          <w:p w14:paraId="5D409EC1" w14:textId="77777777" w:rsidR="00862A01" w:rsidRPr="00872D7E" w:rsidRDefault="00862A01" w:rsidP="00862A01">
            <w:pPr>
              <w:jc w:val="right"/>
              <w:rPr>
                <w:szCs w:val="20"/>
              </w:rPr>
            </w:pPr>
          </w:p>
        </w:tc>
      </w:tr>
      <w:tr w:rsidR="00862A01" w:rsidRPr="00872D7E" w14:paraId="24AC03B3" w14:textId="77777777" w:rsidTr="00862A01">
        <w:trPr>
          <w:divId w:val="781415268"/>
          <w:trHeight w:val="227"/>
        </w:trPr>
        <w:tc>
          <w:tcPr>
            <w:tcW w:w="4035" w:type="dxa"/>
            <w:tcBorders>
              <w:top w:val="nil"/>
              <w:left w:val="nil"/>
              <w:bottom w:val="single" w:sz="12" w:space="0" w:color="auto"/>
              <w:right w:val="nil"/>
            </w:tcBorders>
            <w:shd w:val="clear" w:color="auto" w:fill="auto"/>
            <w:vAlign w:val="bottom"/>
            <w:hideMark/>
          </w:tcPr>
          <w:p w14:paraId="7C2BD3BB" w14:textId="77777777" w:rsidR="00862A01" w:rsidRPr="00872D7E" w:rsidRDefault="00862A01" w:rsidP="00862A01">
            <w:pPr>
              <w:jc w:val="both"/>
              <w:rPr>
                <w:b/>
                <w:bCs/>
                <w:color w:val="000000"/>
                <w:szCs w:val="20"/>
              </w:rPr>
            </w:pPr>
            <w:r w:rsidRPr="00872D7E">
              <w:rPr>
                <w:b/>
                <w:bCs/>
                <w:color w:val="000000"/>
                <w:szCs w:val="20"/>
              </w:rPr>
              <w:t>Toplam</w:t>
            </w:r>
          </w:p>
        </w:tc>
        <w:tc>
          <w:tcPr>
            <w:tcW w:w="1234" w:type="dxa"/>
            <w:tcBorders>
              <w:top w:val="nil"/>
              <w:left w:val="nil"/>
              <w:bottom w:val="single" w:sz="12" w:space="0" w:color="auto"/>
              <w:right w:val="nil"/>
            </w:tcBorders>
            <w:shd w:val="clear" w:color="auto" w:fill="auto"/>
            <w:vAlign w:val="center"/>
            <w:hideMark/>
          </w:tcPr>
          <w:p w14:paraId="3866A1F9" w14:textId="77777777" w:rsidR="00862A01" w:rsidRPr="00872D7E" w:rsidRDefault="00862A01" w:rsidP="00862A01">
            <w:pPr>
              <w:jc w:val="right"/>
              <w:rPr>
                <w:b/>
                <w:bCs/>
                <w:color w:val="000000"/>
                <w:szCs w:val="20"/>
              </w:rPr>
            </w:pPr>
            <w:r w:rsidRPr="00872D7E">
              <w:rPr>
                <w:b/>
                <w:bCs/>
                <w:color w:val="000000"/>
                <w:szCs w:val="20"/>
              </w:rPr>
              <w:t>553.500</w:t>
            </w:r>
          </w:p>
        </w:tc>
        <w:tc>
          <w:tcPr>
            <w:tcW w:w="1375" w:type="dxa"/>
            <w:tcBorders>
              <w:top w:val="nil"/>
              <w:left w:val="nil"/>
              <w:bottom w:val="single" w:sz="12" w:space="0" w:color="auto"/>
              <w:right w:val="nil"/>
            </w:tcBorders>
            <w:shd w:val="clear" w:color="auto" w:fill="auto"/>
            <w:vAlign w:val="center"/>
            <w:hideMark/>
          </w:tcPr>
          <w:p w14:paraId="54609CCE" w14:textId="77777777" w:rsidR="00862A01" w:rsidRPr="00872D7E" w:rsidRDefault="00862A01" w:rsidP="00862A01">
            <w:pPr>
              <w:jc w:val="right"/>
              <w:rPr>
                <w:b/>
                <w:bCs/>
                <w:color w:val="000000"/>
                <w:szCs w:val="20"/>
              </w:rPr>
            </w:pPr>
            <w:r w:rsidRPr="00872D7E">
              <w:rPr>
                <w:b/>
                <w:bCs/>
                <w:color w:val="000000"/>
                <w:szCs w:val="20"/>
              </w:rPr>
              <w:t>3.540.927</w:t>
            </w:r>
          </w:p>
        </w:tc>
        <w:tc>
          <w:tcPr>
            <w:tcW w:w="1199" w:type="dxa"/>
            <w:tcBorders>
              <w:top w:val="nil"/>
              <w:left w:val="nil"/>
              <w:bottom w:val="single" w:sz="12" w:space="0" w:color="auto"/>
              <w:right w:val="nil"/>
            </w:tcBorders>
            <w:shd w:val="clear" w:color="auto" w:fill="auto"/>
            <w:vAlign w:val="center"/>
            <w:hideMark/>
          </w:tcPr>
          <w:p w14:paraId="196C7264" w14:textId="77777777" w:rsidR="00862A01" w:rsidRPr="00872D7E" w:rsidRDefault="00862A01" w:rsidP="00862A01">
            <w:pPr>
              <w:jc w:val="right"/>
              <w:rPr>
                <w:b/>
                <w:bCs/>
                <w:color w:val="000000"/>
                <w:szCs w:val="20"/>
              </w:rPr>
            </w:pPr>
            <w:r w:rsidRPr="00872D7E">
              <w:rPr>
                <w:b/>
                <w:bCs/>
                <w:color w:val="000000"/>
                <w:szCs w:val="20"/>
              </w:rPr>
              <w:t>538</w:t>
            </w:r>
          </w:p>
        </w:tc>
        <w:tc>
          <w:tcPr>
            <w:tcW w:w="1237" w:type="dxa"/>
            <w:tcBorders>
              <w:top w:val="nil"/>
              <w:left w:val="nil"/>
              <w:bottom w:val="single" w:sz="12" w:space="0" w:color="auto"/>
              <w:right w:val="nil"/>
            </w:tcBorders>
            <w:shd w:val="clear" w:color="auto" w:fill="auto"/>
            <w:vAlign w:val="center"/>
            <w:hideMark/>
          </w:tcPr>
          <w:p w14:paraId="706D1ADA" w14:textId="77777777" w:rsidR="00862A01" w:rsidRPr="00872D7E" w:rsidRDefault="00862A01" w:rsidP="00862A01">
            <w:pPr>
              <w:jc w:val="right"/>
              <w:rPr>
                <w:b/>
                <w:bCs/>
                <w:color w:val="000000"/>
                <w:szCs w:val="20"/>
              </w:rPr>
            </w:pPr>
            <w:r w:rsidRPr="00872D7E">
              <w:rPr>
                <w:b/>
                <w:bCs/>
                <w:color w:val="000000"/>
                <w:szCs w:val="20"/>
              </w:rPr>
              <w:t>628</w:t>
            </w:r>
          </w:p>
        </w:tc>
      </w:tr>
    </w:tbl>
    <w:p w14:paraId="3590A22F" w14:textId="5A3ADE0B" w:rsidR="005355DE" w:rsidRPr="00872D7E" w:rsidRDefault="005355DE" w:rsidP="005355DE">
      <w:pPr>
        <w:widowControl w:val="0"/>
        <w:jc w:val="both"/>
      </w:pPr>
    </w:p>
    <w:p w14:paraId="3E051967" w14:textId="4E1277F4" w:rsidR="00A4245A" w:rsidRPr="00872D7E" w:rsidRDefault="00E56E3C" w:rsidP="005355DE">
      <w:pPr>
        <w:widowControl w:val="0"/>
        <w:jc w:val="both"/>
        <w:rPr>
          <w:szCs w:val="20"/>
        </w:rPr>
      </w:pPr>
      <w:bookmarkStart w:id="62" w:name="_Hlk181352175"/>
      <w:r w:rsidRPr="00872D7E">
        <w:rPr>
          <w:szCs w:val="20"/>
        </w:rPr>
        <w:t>Banka, TCMB’nin “Zorunlu Karşılıkla</w:t>
      </w:r>
      <w:r w:rsidR="0031269D" w:rsidRPr="00872D7E">
        <w:rPr>
          <w:szCs w:val="20"/>
        </w:rPr>
        <w:t>r Hakkında 2005/1 sayılı Tebliğ’</w:t>
      </w:r>
      <w:r w:rsidRPr="00872D7E">
        <w:rPr>
          <w:szCs w:val="20"/>
        </w:rPr>
        <w:t>ine göre Türk parası ve yabancı para</w:t>
      </w:r>
      <w:r w:rsidR="00BB18DC" w:rsidRPr="00872D7E">
        <w:rPr>
          <w:szCs w:val="20"/>
        </w:rPr>
        <w:t xml:space="preserve"> yükümlülükleri </w:t>
      </w:r>
      <w:r w:rsidRPr="00872D7E">
        <w:rPr>
          <w:szCs w:val="20"/>
        </w:rPr>
        <w:t>için TCMB nezdinde zoru</w:t>
      </w:r>
      <w:r w:rsidR="000A6E36" w:rsidRPr="00872D7E">
        <w:rPr>
          <w:szCs w:val="20"/>
        </w:rPr>
        <w:t xml:space="preserve">nlu karşılık tesis etmektedir. </w:t>
      </w:r>
      <w:r w:rsidRPr="00872D7E">
        <w:rPr>
          <w:szCs w:val="20"/>
        </w:rPr>
        <w:t>Zorunlu karşılıklar TCMB’de “Zoru</w:t>
      </w:r>
      <w:r w:rsidR="0031269D" w:rsidRPr="00872D7E">
        <w:rPr>
          <w:szCs w:val="20"/>
        </w:rPr>
        <w:t>nlu Karşılıklar Hakkında Tebliğ</w:t>
      </w:r>
      <w:r w:rsidR="00293500" w:rsidRPr="00872D7E">
        <w:rPr>
          <w:szCs w:val="20"/>
        </w:rPr>
        <w:t>”</w:t>
      </w:r>
      <w:r w:rsidRPr="00872D7E">
        <w:rPr>
          <w:szCs w:val="20"/>
        </w:rPr>
        <w:t>e göre Türk Lirası, ABD</w:t>
      </w:r>
      <w:r w:rsidR="00155A0C" w:rsidRPr="00872D7E">
        <w:rPr>
          <w:szCs w:val="20"/>
        </w:rPr>
        <w:t xml:space="preserve"> Doları</w:t>
      </w:r>
      <w:r w:rsidRPr="00872D7E">
        <w:rPr>
          <w:szCs w:val="20"/>
        </w:rPr>
        <w:t xml:space="preserve"> ve/veya Euro ve standart altın cinsinden tutulabilmektedir.</w:t>
      </w:r>
    </w:p>
    <w:p w14:paraId="0F89F7B2" w14:textId="77777777" w:rsidR="00EE6955" w:rsidRPr="00872D7E" w:rsidRDefault="00EE6955" w:rsidP="0045421A">
      <w:pPr>
        <w:widowControl w:val="0"/>
        <w:tabs>
          <w:tab w:val="left" w:pos="1920"/>
        </w:tabs>
        <w:jc w:val="both"/>
        <w:rPr>
          <w:sz w:val="16"/>
          <w:szCs w:val="16"/>
        </w:rPr>
      </w:pPr>
    </w:p>
    <w:p w14:paraId="0D0814E5" w14:textId="4FA6B9E3" w:rsidR="0045019A" w:rsidRPr="00872D7E" w:rsidRDefault="00C81384" w:rsidP="0045421A">
      <w:pPr>
        <w:widowControl w:val="0"/>
        <w:tabs>
          <w:tab w:val="left" w:pos="1920"/>
        </w:tabs>
        <w:jc w:val="both"/>
        <w:rPr>
          <w:szCs w:val="20"/>
        </w:rPr>
      </w:pPr>
      <w:bookmarkStart w:id="63" w:name="_Hlk69721422"/>
      <w:bookmarkStart w:id="64" w:name="_Hlk116899118"/>
      <w:r w:rsidRPr="00872D7E">
        <w:rPr>
          <w:szCs w:val="20"/>
        </w:rPr>
        <w:t>Banka</w:t>
      </w:r>
      <w:r w:rsidR="0062760B" w:rsidRPr="00872D7E">
        <w:rPr>
          <w:szCs w:val="20"/>
        </w:rPr>
        <w:t>nın</w:t>
      </w:r>
      <w:r w:rsidRPr="00872D7E">
        <w:rPr>
          <w:szCs w:val="20"/>
        </w:rPr>
        <w:t xml:space="preserve">, </w:t>
      </w:r>
      <w:r w:rsidR="00AE0B9A" w:rsidRPr="00872D7E">
        <w:rPr>
          <w:szCs w:val="20"/>
        </w:rPr>
        <w:t>31 Aralık</w:t>
      </w:r>
      <w:r w:rsidR="007301E4" w:rsidRPr="00872D7E">
        <w:rPr>
          <w:szCs w:val="20"/>
        </w:rPr>
        <w:t xml:space="preserve"> </w:t>
      </w:r>
      <w:r w:rsidR="00456CA5" w:rsidRPr="00872D7E">
        <w:rPr>
          <w:szCs w:val="20"/>
        </w:rPr>
        <w:t>202</w:t>
      </w:r>
      <w:r w:rsidR="007F6642" w:rsidRPr="00872D7E">
        <w:rPr>
          <w:szCs w:val="20"/>
        </w:rPr>
        <w:t>4</w:t>
      </w:r>
      <w:r w:rsidR="008145D0" w:rsidRPr="00872D7E">
        <w:rPr>
          <w:szCs w:val="20"/>
        </w:rPr>
        <w:t xml:space="preserve"> </w:t>
      </w:r>
      <w:r w:rsidR="00136C29" w:rsidRPr="00872D7E">
        <w:rPr>
          <w:szCs w:val="20"/>
        </w:rPr>
        <w:t>tarihi itibarıyla Türk parası zorunlu karşılık için geçerli oranlar</w:t>
      </w:r>
      <w:r w:rsidR="0062760B" w:rsidRPr="00872D7E">
        <w:rPr>
          <w:szCs w:val="20"/>
        </w:rPr>
        <w:t>ı</w:t>
      </w:r>
      <w:r w:rsidR="00136C29" w:rsidRPr="00872D7E">
        <w:rPr>
          <w:szCs w:val="20"/>
        </w:rPr>
        <w:t xml:space="preserve">, </w:t>
      </w:r>
      <w:r w:rsidR="00100462" w:rsidRPr="00872D7E">
        <w:rPr>
          <w:szCs w:val="20"/>
        </w:rPr>
        <w:t>katılım fonları</w:t>
      </w:r>
      <w:r w:rsidR="00136C29" w:rsidRPr="00872D7E">
        <w:rPr>
          <w:szCs w:val="20"/>
        </w:rPr>
        <w:t xml:space="preserve"> ve diğer yükümlülükler için vade yapısına göre </w:t>
      </w:r>
      <w:r w:rsidR="00C74A4F" w:rsidRPr="00872D7E">
        <w:rPr>
          <w:szCs w:val="20"/>
        </w:rPr>
        <w:t>%</w:t>
      </w:r>
      <w:r w:rsidR="00E4266F" w:rsidRPr="00872D7E">
        <w:rPr>
          <w:szCs w:val="20"/>
        </w:rPr>
        <w:t>3</w:t>
      </w:r>
      <w:r w:rsidR="00C74A4F" w:rsidRPr="00872D7E">
        <w:rPr>
          <w:szCs w:val="20"/>
        </w:rPr>
        <w:t xml:space="preserve"> ile %</w:t>
      </w:r>
      <w:r w:rsidR="00D17B72" w:rsidRPr="00872D7E">
        <w:rPr>
          <w:szCs w:val="20"/>
        </w:rPr>
        <w:t>33</w:t>
      </w:r>
      <w:r w:rsidR="002C17EF" w:rsidRPr="00872D7E">
        <w:rPr>
          <w:szCs w:val="20"/>
        </w:rPr>
        <w:t xml:space="preserve"> </w:t>
      </w:r>
      <w:r w:rsidR="00136C29" w:rsidRPr="00872D7E">
        <w:rPr>
          <w:szCs w:val="20"/>
        </w:rPr>
        <w:t xml:space="preserve">aralığında; yabancı para zorunlu karşılık için geçerli oranlar ise </w:t>
      </w:r>
      <w:r w:rsidR="00100462" w:rsidRPr="00872D7E">
        <w:rPr>
          <w:szCs w:val="20"/>
        </w:rPr>
        <w:t>katılım fonları</w:t>
      </w:r>
      <w:r w:rsidR="00136C29" w:rsidRPr="00872D7E">
        <w:rPr>
          <w:szCs w:val="20"/>
        </w:rPr>
        <w:t xml:space="preserve"> ve diğer yüküm</w:t>
      </w:r>
      <w:r w:rsidR="004F5FF1" w:rsidRPr="00872D7E">
        <w:rPr>
          <w:szCs w:val="20"/>
        </w:rPr>
        <w:t xml:space="preserve">lülüklerde vade yapısına göre </w:t>
      </w:r>
      <w:r w:rsidR="00C74A4F" w:rsidRPr="00872D7E">
        <w:rPr>
          <w:szCs w:val="20"/>
        </w:rPr>
        <w:t>%</w:t>
      </w:r>
      <w:r w:rsidR="00CD53BA" w:rsidRPr="00872D7E">
        <w:rPr>
          <w:szCs w:val="20"/>
        </w:rPr>
        <w:t>5</w:t>
      </w:r>
      <w:r w:rsidR="00C74A4F" w:rsidRPr="00872D7E">
        <w:rPr>
          <w:szCs w:val="20"/>
        </w:rPr>
        <w:t xml:space="preserve"> ile %</w:t>
      </w:r>
      <w:r w:rsidR="00056A91" w:rsidRPr="00872D7E">
        <w:rPr>
          <w:szCs w:val="20"/>
        </w:rPr>
        <w:t>30</w:t>
      </w:r>
      <w:r w:rsidR="002C17EF" w:rsidRPr="00872D7E">
        <w:rPr>
          <w:szCs w:val="20"/>
        </w:rPr>
        <w:t xml:space="preserve"> aralığındadır</w:t>
      </w:r>
      <w:r w:rsidR="00E1577C" w:rsidRPr="00872D7E">
        <w:rPr>
          <w:szCs w:val="20"/>
        </w:rPr>
        <w:t xml:space="preserve">. </w:t>
      </w:r>
      <w:bookmarkStart w:id="65" w:name="_Hlk96523202"/>
    </w:p>
    <w:bookmarkEnd w:id="62"/>
    <w:p w14:paraId="6D3A3CB1" w14:textId="77777777" w:rsidR="005C5316" w:rsidRPr="00872D7E" w:rsidRDefault="005C5316" w:rsidP="009F6E11">
      <w:pPr>
        <w:widowControl w:val="0"/>
        <w:tabs>
          <w:tab w:val="left" w:pos="1920"/>
        </w:tabs>
        <w:jc w:val="both"/>
        <w:rPr>
          <w:sz w:val="16"/>
          <w:szCs w:val="16"/>
        </w:rPr>
      </w:pPr>
    </w:p>
    <w:bookmarkEnd w:id="63"/>
    <w:bookmarkEnd w:id="64"/>
    <w:bookmarkEnd w:id="65"/>
    <w:p w14:paraId="00B7EED7" w14:textId="1F1AE677" w:rsidR="005014D6" w:rsidRPr="00872D7E" w:rsidRDefault="00C820DA" w:rsidP="003808B6">
      <w:pPr>
        <w:pStyle w:val="ListParagraph"/>
        <w:widowControl w:val="0"/>
        <w:ind w:left="1276" w:hanging="425"/>
        <w:rPr>
          <w:b/>
          <w:szCs w:val="20"/>
        </w:rPr>
      </w:pPr>
      <w:proofErr w:type="gramStart"/>
      <w:r w:rsidRPr="00872D7E">
        <w:rPr>
          <w:b/>
          <w:szCs w:val="20"/>
        </w:rPr>
        <w:t>c</w:t>
      </w:r>
      <w:proofErr w:type="gramEnd"/>
      <w:r w:rsidRPr="00872D7E">
        <w:rPr>
          <w:b/>
          <w:szCs w:val="20"/>
        </w:rPr>
        <w:t>1</w:t>
      </w:r>
      <w:r w:rsidR="005014D6" w:rsidRPr="00872D7E">
        <w:rPr>
          <w:b/>
          <w:szCs w:val="20"/>
        </w:rPr>
        <w:t>.</w:t>
      </w:r>
      <w:r w:rsidR="00AF0E43" w:rsidRPr="00872D7E">
        <w:rPr>
          <w:b/>
          <w:szCs w:val="20"/>
        </w:rPr>
        <w:tab/>
      </w:r>
      <w:r w:rsidR="005014D6" w:rsidRPr="00872D7E">
        <w:rPr>
          <w:b/>
          <w:szCs w:val="20"/>
        </w:rPr>
        <w:t>Bankalara ilişkin bilgiler</w:t>
      </w:r>
    </w:p>
    <w:p w14:paraId="07C88297" w14:textId="23284063" w:rsidR="00862A01" w:rsidRPr="00872D7E" w:rsidRDefault="00862A01" w:rsidP="003922B7">
      <w:pPr>
        <w:pStyle w:val="BodyTextIndent"/>
        <w:widowControl w:val="0"/>
        <w:ind w:firstLine="0"/>
        <w:rPr>
          <w:szCs w:val="20"/>
        </w:rPr>
      </w:pPr>
    </w:p>
    <w:tbl>
      <w:tblPr>
        <w:tblW w:w="9080" w:type="dxa"/>
        <w:tblCellMar>
          <w:left w:w="70" w:type="dxa"/>
          <w:right w:w="70" w:type="dxa"/>
        </w:tblCellMar>
        <w:tblLook w:val="04A0" w:firstRow="1" w:lastRow="0" w:firstColumn="1" w:lastColumn="0" w:noHBand="0" w:noVBand="1"/>
      </w:tblPr>
      <w:tblGrid>
        <w:gridCol w:w="4063"/>
        <w:gridCol w:w="1365"/>
        <w:gridCol w:w="1236"/>
        <w:gridCol w:w="1208"/>
        <w:gridCol w:w="1208"/>
      </w:tblGrid>
      <w:tr w:rsidR="00862A01" w:rsidRPr="00872D7E" w14:paraId="6A71A9B8" w14:textId="77777777" w:rsidTr="00862A01">
        <w:trPr>
          <w:divId w:val="721177624"/>
          <w:trHeight w:val="227"/>
        </w:trPr>
        <w:tc>
          <w:tcPr>
            <w:tcW w:w="4063" w:type="dxa"/>
            <w:tcBorders>
              <w:top w:val="nil"/>
              <w:left w:val="nil"/>
              <w:bottom w:val="nil"/>
              <w:right w:val="nil"/>
            </w:tcBorders>
            <w:shd w:val="clear" w:color="auto" w:fill="auto"/>
            <w:vAlign w:val="bottom"/>
            <w:hideMark/>
          </w:tcPr>
          <w:p w14:paraId="50BB9C9A" w14:textId="2B26BA5E" w:rsidR="00862A01" w:rsidRPr="00872D7E" w:rsidRDefault="00862A01" w:rsidP="00862A01"/>
        </w:tc>
        <w:tc>
          <w:tcPr>
            <w:tcW w:w="2601" w:type="dxa"/>
            <w:gridSpan w:val="2"/>
            <w:tcBorders>
              <w:top w:val="nil"/>
              <w:left w:val="nil"/>
              <w:bottom w:val="single" w:sz="4" w:space="0" w:color="auto"/>
              <w:right w:val="nil"/>
            </w:tcBorders>
            <w:shd w:val="clear" w:color="auto" w:fill="auto"/>
            <w:noWrap/>
            <w:vAlign w:val="center"/>
            <w:hideMark/>
          </w:tcPr>
          <w:p w14:paraId="48739656" w14:textId="77777777" w:rsidR="00862A01" w:rsidRPr="00872D7E" w:rsidRDefault="00862A01" w:rsidP="00862A01">
            <w:pPr>
              <w:jc w:val="center"/>
              <w:rPr>
                <w:b/>
                <w:bCs/>
                <w:color w:val="000000"/>
                <w:szCs w:val="20"/>
              </w:rPr>
            </w:pPr>
            <w:r w:rsidRPr="00872D7E">
              <w:rPr>
                <w:b/>
                <w:bCs/>
                <w:color w:val="000000"/>
                <w:szCs w:val="20"/>
              </w:rPr>
              <w:t>31 Aralık 2024</w:t>
            </w:r>
          </w:p>
        </w:tc>
        <w:tc>
          <w:tcPr>
            <w:tcW w:w="2416" w:type="dxa"/>
            <w:gridSpan w:val="2"/>
            <w:tcBorders>
              <w:top w:val="nil"/>
              <w:left w:val="nil"/>
              <w:bottom w:val="single" w:sz="4" w:space="0" w:color="auto"/>
              <w:right w:val="nil"/>
            </w:tcBorders>
            <w:shd w:val="clear" w:color="auto" w:fill="auto"/>
            <w:noWrap/>
            <w:vAlign w:val="center"/>
            <w:hideMark/>
          </w:tcPr>
          <w:p w14:paraId="155B4BA5" w14:textId="77777777" w:rsidR="00862A01" w:rsidRPr="00872D7E" w:rsidRDefault="00862A01" w:rsidP="00862A01">
            <w:pPr>
              <w:jc w:val="center"/>
              <w:rPr>
                <w:b/>
                <w:bCs/>
                <w:color w:val="000000"/>
                <w:szCs w:val="20"/>
              </w:rPr>
            </w:pPr>
            <w:r w:rsidRPr="00872D7E">
              <w:rPr>
                <w:b/>
                <w:bCs/>
                <w:color w:val="000000"/>
                <w:szCs w:val="20"/>
              </w:rPr>
              <w:t>1 Ocak 2024</w:t>
            </w:r>
          </w:p>
        </w:tc>
      </w:tr>
      <w:tr w:rsidR="00862A01" w:rsidRPr="00872D7E" w14:paraId="75AFC922" w14:textId="77777777" w:rsidTr="00862A01">
        <w:trPr>
          <w:divId w:val="721177624"/>
          <w:trHeight w:val="227"/>
        </w:trPr>
        <w:tc>
          <w:tcPr>
            <w:tcW w:w="4063" w:type="dxa"/>
            <w:tcBorders>
              <w:top w:val="nil"/>
              <w:left w:val="nil"/>
              <w:bottom w:val="single" w:sz="4" w:space="0" w:color="auto"/>
              <w:right w:val="nil"/>
            </w:tcBorders>
            <w:shd w:val="clear" w:color="auto" w:fill="auto"/>
            <w:vAlign w:val="bottom"/>
            <w:hideMark/>
          </w:tcPr>
          <w:p w14:paraId="2588DB33" w14:textId="77777777" w:rsidR="00862A01" w:rsidRPr="00872D7E" w:rsidRDefault="00862A01" w:rsidP="00862A01">
            <w:pPr>
              <w:jc w:val="both"/>
              <w:rPr>
                <w:b/>
                <w:bCs/>
                <w:color w:val="000000"/>
                <w:szCs w:val="20"/>
              </w:rPr>
            </w:pPr>
            <w:r w:rsidRPr="00872D7E">
              <w:rPr>
                <w:b/>
                <w:bCs/>
                <w:color w:val="000000"/>
                <w:szCs w:val="20"/>
              </w:rPr>
              <w:t> </w:t>
            </w:r>
          </w:p>
        </w:tc>
        <w:tc>
          <w:tcPr>
            <w:tcW w:w="1365" w:type="dxa"/>
            <w:tcBorders>
              <w:top w:val="nil"/>
              <w:left w:val="nil"/>
              <w:bottom w:val="single" w:sz="4" w:space="0" w:color="auto"/>
              <w:right w:val="nil"/>
            </w:tcBorders>
            <w:shd w:val="clear" w:color="auto" w:fill="auto"/>
            <w:vAlign w:val="bottom"/>
            <w:hideMark/>
          </w:tcPr>
          <w:p w14:paraId="0E4E07D3" w14:textId="77777777" w:rsidR="00862A01" w:rsidRPr="00872D7E" w:rsidRDefault="00862A01" w:rsidP="00862A01">
            <w:pPr>
              <w:jc w:val="right"/>
              <w:rPr>
                <w:b/>
                <w:bCs/>
                <w:color w:val="000000"/>
                <w:szCs w:val="20"/>
              </w:rPr>
            </w:pPr>
            <w:r w:rsidRPr="00872D7E">
              <w:rPr>
                <w:b/>
                <w:bCs/>
                <w:color w:val="000000"/>
                <w:szCs w:val="20"/>
              </w:rPr>
              <w:t>TP</w:t>
            </w:r>
          </w:p>
        </w:tc>
        <w:tc>
          <w:tcPr>
            <w:tcW w:w="1236" w:type="dxa"/>
            <w:tcBorders>
              <w:top w:val="nil"/>
              <w:left w:val="nil"/>
              <w:bottom w:val="single" w:sz="4" w:space="0" w:color="auto"/>
              <w:right w:val="nil"/>
            </w:tcBorders>
            <w:shd w:val="clear" w:color="auto" w:fill="auto"/>
            <w:vAlign w:val="bottom"/>
            <w:hideMark/>
          </w:tcPr>
          <w:p w14:paraId="628EEA63" w14:textId="77777777" w:rsidR="00862A01" w:rsidRPr="00872D7E" w:rsidRDefault="00862A01" w:rsidP="00862A01">
            <w:pPr>
              <w:jc w:val="right"/>
              <w:rPr>
                <w:b/>
                <w:bCs/>
                <w:color w:val="000000"/>
                <w:szCs w:val="20"/>
              </w:rPr>
            </w:pPr>
            <w:r w:rsidRPr="00872D7E">
              <w:rPr>
                <w:b/>
                <w:bCs/>
                <w:color w:val="000000"/>
                <w:szCs w:val="20"/>
              </w:rPr>
              <w:t>YP</w:t>
            </w:r>
          </w:p>
        </w:tc>
        <w:tc>
          <w:tcPr>
            <w:tcW w:w="1208" w:type="dxa"/>
            <w:tcBorders>
              <w:top w:val="nil"/>
              <w:left w:val="nil"/>
              <w:bottom w:val="single" w:sz="4" w:space="0" w:color="auto"/>
              <w:right w:val="nil"/>
            </w:tcBorders>
            <w:shd w:val="clear" w:color="auto" w:fill="auto"/>
            <w:hideMark/>
          </w:tcPr>
          <w:p w14:paraId="1FC2D5C6" w14:textId="77777777" w:rsidR="00862A01" w:rsidRPr="00872D7E" w:rsidRDefault="00862A01" w:rsidP="00862A01">
            <w:pPr>
              <w:jc w:val="right"/>
              <w:rPr>
                <w:b/>
                <w:bCs/>
                <w:color w:val="000000"/>
                <w:szCs w:val="20"/>
              </w:rPr>
            </w:pPr>
            <w:r w:rsidRPr="00872D7E">
              <w:rPr>
                <w:b/>
                <w:bCs/>
                <w:color w:val="000000"/>
                <w:szCs w:val="20"/>
              </w:rPr>
              <w:t>TP</w:t>
            </w:r>
          </w:p>
        </w:tc>
        <w:tc>
          <w:tcPr>
            <w:tcW w:w="1208" w:type="dxa"/>
            <w:tcBorders>
              <w:top w:val="nil"/>
              <w:left w:val="nil"/>
              <w:bottom w:val="single" w:sz="4" w:space="0" w:color="auto"/>
              <w:right w:val="nil"/>
            </w:tcBorders>
            <w:shd w:val="clear" w:color="auto" w:fill="auto"/>
            <w:hideMark/>
          </w:tcPr>
          <w:p w14:paraId="108FBF6F" w14:textId="77777777" w:rsidR="00862A01" w:rsidRPr="00872D7E" w:rsidRDefault="00862A01" w:rsidP="00862A01">
            <w:pPr>
              <w:jc w:val="right"/>
              <w:rPr>
                <w:b/>
                <w:bCs/>
                <w:color w:val="000000"/>
                <w:szCs w:val="20"/>
              </w:rPr>
            </w:pPr>
            <w:r w:rsidRPr="00872D7E">
              <w:rPr>
                <w:b/>
                <w:bCs/>
                <w:color w:val="000000"/>
                <w:szCs w:val="20"/>
              </w:rPr>
              <w:t>YP</w:t>
            </w:r>
          </w:p>
        </w:tc>
      </w:tr>
      <w:tr w:rsidR="00862A01" w:rsidRPr="00872D7E" w14:paraId="219B9624" w14:textId="77777777" w:rsidTr="00862A01">
        <w:trPr>
          <w:divId w:val="721177624"/>
          <w:trHeight w:val="227"/>
        </w:trPr>
        <w:tc>
          <w:tcPr>
            <w:tcW w:w="4063" w:type="dxa"/>
            <w:tcBorders>
              <w:top w:val="nil"/>
              <w:left w:val="nil"/>
              <w:bottom w:val="nil"/>
              <w:right w:val="nil"/>
            </w:tcBorders>
            <w:shd w:val="clear" w:color="auto" w:fill="auto"/>
            <w:vAlign w:val="bottom"/>
            <w:hideMark/>
          </w:tcPr>
          <w:p w14:paraId="73C405F3" w14:textId="77777777" w:rsidR="00862A01" w:rsidRPr="00872D7E" w:rsidRDefault="00862A01" w:rsidP="00862A01">
            <w:pPr>
              <w:jc w:val="both"/>
              <w:rPr>
                <w:color w:val="000000"/>
                <w:szCs w:val="20"/>
              </w:rPr>
            </w:pPr>
            <w:r w:rsidRPr="00872D7E">
              <w:rPr>
                <w:color w:val="000000"/>
                <w:szCs w:val="20"/>
              </w:rPr>
              <w:t> </w:t>
            </w:r>
          </w:p>
        </w:tc>
        <w:tc>
          <w:tcPr>
            <w:tcW w:w="1365" w:type="dxa"/>
            <w:tcBorders>
              <w:top w:val="nil"/>
              <w:left w:val="nil"/>
              <w:bottom w:val="nil"/>
              <w:right w:val="nil"/>
            </w:tcBorders>
            <w:shd w:val="clear" w:color="auto" w:fill="auto"/>
            <w:vAlign w:val="bottom"/>
            <w:hideMark/>
          </w:tcPr>
          <w:p w14:paraId="42252AFF" w14:textId="77777777" w:rsidR="00862A01" w:rsidRPr="00872D7E" w:rsidRDefault="00862A01" w:rsidP="00862A01">
            <w:pPr>
              <w:jc w:val="right"/>
              <w:rPr>
                <w:color w:val="000000"/>
                <w:szCs w:val="20"/>
              </w:rPr>
            </w:pPr>
            <w:r w:rsidRPr="00872D7E">
              <w:rPr>
                <w:color w:val="000000"/>
                <w:szCs w:val="20"/>
              </w:rPr>
              <w:t> </w:t>
            </w:r>
          </w:p>
        </w:tc>
        <w:tc>
          <w:tcPr>
            <w:tcW w:w="1236" w:type="dxa"/>
            <w:tcBorders>
              <w:top w:val="nil"/>
              <w:left w:val="nil"/>
              <w:bottom w:val="nil"/>
              <w:right w:val="nil"/>
            </w:tcBorders>
            <w:shd w:val="clear" w:color="auto" w:fill="auto"/>
            <w:vAlign w:val="bottom"/>
            <w:hideMark/>
          </w:tcPr>
          <w:p w14:paraId="26EF4BE2" w14:textId="77777777" w:rsidR="00862A01" w:rsidRPr="00872D7E" w:rsidRDefault="00862A01" w:rsidP="00862A01">
            <w:pPr>
              <w:jc w:val="right"/>
              <w:rPr>
                <w:color w:val="000000"/>
                <w:szCs w:val="20"/>
              </w:rPr>
            </w:pPr>
            <w:r w:rsidRPr="00872D7E">
              <w:rPr>
                <w:color w:val="000000"/>
                <w:szCs w:val="20"/>
              </w:rPr>
              <w:t> </w:t>
            </w:r>
          </w:p>
        </w:tc>
        <w:tc>
          <w:tcPr>
            <w:tcW w:w="1208" w:type="dxa"/>
            <w:tcBorders>
              <w:top w:val="nil"/>
              <w:left w:val="nil"/>
              <w:bottom w:val="nil"/>
              <w:right w:val="nil"/>
            </w:tcBorders>
            <w:shd w:val="clear" w:color="auto" w:fill="auto"/>
            <w:hideMark/>
          </w:tcPr>
          <w:p w14:paraId="453EEF5F" w14:textId="77777777" w:rsidR="00862A01" w:rsidRPr="00872D7E" w:rsidRDefault="00862A01" w:rsidP="00862A01">
            <w:pPr>
              <w:jc w:val="right"/>
              <w:rPr>
                <w:color w:val="000000"/>
                <w:szCs w:val="20"/>
              </w:rPr>
            </w:pPr>
            <w:r w:rsidRPr="00872D7E">
              <w:rPr>
                <w:color w:val="000000"/>
                <w:szCs w:val="20"/>
              </w:rPr>
              <w:t> </w:t>
            </w:r>
          </w:p>
        </w:tc>
        <w:tc>
          <w:tcPr>
            <w:tcW w:w="1208" w:type="dxa"/>
            <w:tcBorders>
              <w:top w:val="nil"/>
              <w:left w:val="nil"/>
              <w:bottom w:val="nil"/>
              <w:right w:val="nil"/>
            </w:tcBorders>
            <w:shd w:val="clear" w:color="auto" w:fill="auto"/>
            <w:hideMark/>
          </w:tcPr>
          <w:p w14:paraId="1A71FA4A" w14:textId="77777777" w:rsidR="00862A01" w:rsidRPr="00872D7E" w:rsidRDefault="00862A01" w:rsidP="00862A01">
            <w:pPr>
              <w:jc w:val="right"/>
              <w:rPr>
                <w:color w:val="000000"/>
                <w:szCs w:val="20"/>
              </w:rPr>
            </w:pPr>
            <w:r w:rsidRPr="00872D7E">
              <w:rPr>
                <w:color w:val="000000"/>
                <w:szCs w:val="20"/>
              </w:rPr>
              <w:t> </w:t>
            </w:r>
          </w:p>
        </w:tc>
      </w:tr>
      <w:tr w:rsidR="00862A01" w:rsidRPr="00872D7E" w14:paraId="0721C06A" w14:textId="77777777" w:rsidTr="00862A01">
        <w:trPr>
          <w:divId w:val="721177624"/>
          <w:trHeight w:val="227"/>
        </w:trPr>
        <w:tc>
          <w:tcPr>
            <w:tcW w:w="4063" w:type="dxa"/>
            <w:tcBorders>
              <w:top w:val="nil"/>
              <w:left w:val="nil"/>
              <w:bottom w:val="nil"/>
              <w:right w:val="nil"/>
            </w:tcBorders>
            <w:shd w:val="clear" w:color="auto" w:fill="auto"/>
            <w:vAlign w:val="bottom"/>
            <w:hideMark/>
          </w:tcPr>
          <w:p w14:paraId="68DBB1D3" w14:textId="77777777" w:rsidR="00862A01" w:rsidRPr="00872D7E" w:rsidRDefault="00862A01" w:rsidP="00862A01">
            <w:pPr>
              <w:jc w:val="both"/>
              <w:rPr>
                <w:b/>
                <w:bCs/>
                <w:color w:val="000000"/>
                <w:szCs w:val="20"/>
              </w:rPr>
            </w:pPr>
            <w:r w:rsidRPr="00872D7E">
              <w:rPr>
                <w:b/>
                <w:bCs/>
                <w:color w:val="000000"/>
                <w:szCs w:val="20"/>
              </w:rPr>
              <w:t xml:space="preserve">Bankalar </w:t>
            </w:r>
          </w:p>
        </w:tc>
        <w:tc>
          <w:tcPr>
            <w:tcW w:w="1365" w:type="dxa"/>
            <w:tcBorders>
              <w:top w:val="nil"/>
              <w:left w:val="nil"/>
              <w:bottom w:val="nil"/>
              <w:right w:val="nil"/>
            </w:tcBorders>
            <w:shd w:val="clear" w:color="auto" w:fill="auto"/>
            <w:vAlign w:val="center"/>
            <w:hideMark/>
          </w:tcPr>
          <w:p w14:paraId="4F41E82F" w14:textId="77777777" w:rsidR="00862A01" w:rsidRPr="00872D7E" w:rsidRDefault="00862A01" w:rsidP="00862A01">
            <w:pPr>
              <w:jc w:val="both"/>
              <w:rPr>
                <w:b/>
                <w:bCs/>
                <w:color w:val="000000"/>
                <w:szCs w:val="20"/>
              </w:rPr>
            </w:pPr>
          </w:p>
        </w:tc>
        <w:tc>
          <w:tcPr>
            <w:tcW w:w="1236" w:type="dxa"/>
            <w:tcBorders>
              <w:top w:val="nil"/>
              <w:left w:val="nil"/>
              <w:bottom w:val="nil"/>
              <w:right w:val="nil"/>
            </w:tcBorders>
            <w:shd w:val="clear" w:color="auto" w:fill="auto"/>
            <w:vAlign w:val="center"/>
            <w:hideMark/>
          </w:tcPr>
          <w:p w14:paraId="2E752892" w14:textId="77777777" w:rsidR="00862A01" w:rsidRPr="00872D7E" w:rsidRDefault="00862A01" w:rsidP="00862A01">
            <w:pPr>
              <w:jc w:val="right"/>
              <w:rPr>
                <w:szCs w:val="20"/>
              </w:rPr>
            </w:pPr>
          </w:p>
        </w:tc>
        <w:tc>
          <w:tcPr>
            <w:tcW w:w="1208" w:type="dxa"/>
            <w:tcBorders>
              <w:top w:val="nil"/>
              <w:left w:val="nil"/>
              <w:bottom w:val="nil"/>
              <w:right w:val="nil"/>
            </w:tcBorders>
            <w:shd w:val="clear" w:color="auto" w:fill="auto"/>
            <w:vAlign w:val="center"/>
            <w:hideMark/>
          </w:tcPr>
          <w:p w14:paraId="5FA2262E" w14:textId="77777777" w:rsidR="00862A01" w:rsidRPr="00872D7E" w:rsidRDefault="00862A01" w:rsidP="00862A01">
            <w:pPr>
              <w:jc w:val="right"/>
              <w:rPr>
                <w:szCs w:val="20"/>
              </w:rPr>
            </w:pPr>
          </w:p>
        </w:tc>
        <w:tc>
          <w:tcPr>
            <w:tcW w:w="1208" w:type="dxa"/>
            <w:tcBorders>
              <w:top w:val="nil"/>
              <w:left w:val="nil"/>
              <w:bottom w:val="nil"/>
              <w:right w:val="nil"/>
            </w:tcBorders>
            <w:shd w:val="clear" w:color="auto" w:fill="auto"/>
            <w:vAlign w:val="center"/>
            <w:hideMark/>
          </w:tcPr>
          <w:p w14:paraId="6A9F94F1" w14:textId="77777777" w:rsidR="00862A01" w:rsidRPr="00872D7E" w:rsidRDefault="00862A01" w:rsidP="00862A01">
            <w:pPr>
              <w:jc w:val="right"/>
              <w:rPr>
                <w:szCs w:val="20"/>
              </w:rPr>
            </w:pPr>
          </w:p>
        </w:tc>
      </w:tr>
      <w:tr w:rsidR="00862A01" w:rsidRPr="00872D7E" w14:paraId="7608493F" w14:textId="77777777" w:rsidTr="00862A01">
        <w:trPr>
          <w:divId w:val="721177624"/>
          <w:trHeight w:val="227"/>
        </w:trPr>
        <w:tc>
          <w:tcPr>
            <w:tcW w:w="4063" w:type="dxa"/>
            <w:tcBorders>
              <w:top w:val="nil"/>
              <w:left w:val="nil"/>
              <w:bottom w:val="nil"/>
              <w:right w:val="nil"/>
            </w:tcBorders>
            <w:shd w:val="clear" w:color="auto" w:fill="auto"/>
            <w:vAlign w:val="bottom"/>
            <w:hideMark/>
          </w:tcPr>
          <w:p w14:paraId="34DF5456" w14:textId="77777777" w:rsidR="00862A01" w:rsidRPr="00872D7E" w:rsidRDefault="00862A01" w:rsidP="00862A01">
            <w:pPr>
              <w:jc w:val="both"/>
              <w:rPr>
                <w:color w:val="000000"/>
                <w:szCs w:val="20"/>
              </w:rPr>
            </w:pPr>
            <w:r w:rsidRPr="00872D7E">
              <w:rPr>
                <w:color w:val="000000"/>
                <w:szCs w:val="20"/>
              </w:rPr>
              <w:t>Yurtiçi</w:t>
            </w:r>
          </w:p>
        </w:tc>
        <w:tc>
          <w:tcPr>
            <w:tcW w:w="1365" w:type="dxa"/>
            <w:tcBorders>
              <w:top w:val="nil"/>
              <w:left w:val="nil"/>
              <w:bottom w:val="nil"/>
              <w:right w:val="nil"/>
            </w:tcBorders>
            <w:shd w:val="clear" w:color="auto" w:fill="auto"/>
            <w:vAlign w:val="center"/>
            <w:hideMark/>
          </w:tcPr>
          <w:p w14:paraId="76B33910" w14:textId="77777777" w:rsidR="00862A01" w:rsidRPr="00872D7E" w:rsidRDefault="00862A01" w:rsidP="00862A01">
            <w:pPr>
              <w:jc w:val="right"/>
              <w:rPr>
                <w:color w:val="000000"/>
                <w:szCs w:val="20"/>
              </w:rPr>
            </w:pPr>
            <w:r w:rsidRPr="00872D7E">
              <w:rPr>
                <w:color w:val="000000"/>
                <w:szCs w:val="20"/>
              </w:rPr>
              <w:t>1.625.027</w:t>
            </w:r>
          </w:p>
        </w:tc>
        <w:tc>
          <w:tcPr>
            <w:tcW w:w="1236" w:type="dxa"/>
            <w:tcBorders>
              <w:top w:val="nil"/>
              <w:left w:val="nil"/>
              <w:bottom w:val="nil"/>
              <w:right w:val="nil"/>
            </w:tcBorders>
            <w:shd w:val="clear" w:color="auto" w:fill="auto"/>
            <w:vAlign w:val="center"/>
            <w:hideMark/>
          </w:tcPr>
          <w:p w14:paraId="54A10223" w14:textId="77777777" w:rsidR="00862A01" w:rsidRPr="00872D7E" w:rsidRDefault="00862A01" w:rsidP="00862A01">
            <w:pPr>
              <w:jc w:val="right"/>
              <w:rPr>
                <w:color w:val="000000"/>
                <w:szCs w:val="20"/>
              </w:rPr>
            </w:pPr>
            <w:r w:rsidRPr="00872D7E">
              <w:rPr>
                <w:color w:val="000000"/>
                <w:szCs w:val="20"/>
              </w:rPr>
              <w:t>1.745.541</w:t>
            </w:r>
          </w:p>
        </w:tc>
        <w:tc>
          <w:tcPr>
            <w:tcW w:w="1208" w:type="dxa"/>
            <w:tcBorders>
              <w:top w:val="nil"/>
              <w:left w:val="nil"/>
              <w:bottom w:val="nil"/>
              <w:right w:val="nil"/>
            </w:tcBorders>
            <w:shd w:val="clear" w:color="auto" w:fill="auto"/>
            <w:vAlign w:val="center"/>
            <w:hideMark/>
          </w:tcPr>
          <w:p w14:paraId="3FDBE523" w14:textId="77777777" w:rsidR="00862A01" w:rsidRPr="00872D7E" w:rsidRDefault="00862A01" w:rsidP="00862A01">
            <w:pPr>
              <w:jc w:val="right"/>
              <w:rPr>
                <w:color w:val="000000"/>
                <w:szCs w:val="20"/>
              </w:rPr>
            </w:pPr>
            <w:r w:rsidRPr="00872D7E">
              <w:rPr>
                <w:color w:val="000000"/>
                <w:szCs w:val="20"/>
              </w:rPr>
              <w:t>441.437</w:t>
            </w:r>
          </w:p>
        </w:tc>
        <w:tc>
          <w:tcPr>
            <w:tcW w:w="1208" w:type="dxa"/>
            <w:tcBorders>
              <w:top w:val="nil"/>
              <w:left w:val="nil"/>
              <w:bottom w:val="nil"/>
              <w:right w:val="nil"/>
            </w:tcBorders>
            <w:shd w:val="clear" w:color="auto" w:fill="auto"/>
            <w:vAlign w:val="center"/>
            <w:hideMark/>
          </w:tcPr>
          <w:p w14:paraId="71F2432F" w14:textId="77777777" w:rsidR="00862A01" w:rsidRPr="00872D7E" w:rsidRDefault="00862A01" w:rsidP="00862A01">
            <w:pPr>
              <w:jc w:val="right"/>
              <w:rPr>
                <w:color w:val="000000"/>
                <w:szCs w:val="20"/>
              </w:rPr>
            </w:pPr>
            <w:r w:rsidRPr="00872D7E">
              <w:rPr>
                <w:color w:val="000000"/>
                <w:szCs w:val="20"/>
              </w:rPr>
              <w:t>-</w:t>
            </w:r>
          </w:p>
        </w:tc>
      </w:tr>
      <w:tr w:rsidR="00862A01" w:rsidRPr="00872D7E" w14:paraId="5F55B7DD" w14:textId="77777777" w:rsidTr="00862A01">
        <w:trPr>
          <w:divId w:val="721177624"/>
          <w:trHeight w:val="227"/>
        </w:trPr>
        <w:tc>
          <w:tcPr>
            <w:tcW w:w="4063" w:type="dxa"/>
            <w:tcBorders>
              <w:top w:val="nil"/>
              <w:left w:val="nil"/>
              <w:bottom w:val="nil"/>
              <w:right w:val="nil"/>
            </w:tcBorders>
            <w:shd w:val="clear" w:color="auto" w:fill="auto"/>
            <w:vAlign w:val="bottom"/>
            <w:hideMark/>
          </w:tcPr>
          <w:p w14:paraId="36EEFABC" w14:textId="77777777" w:rsidR="00862A01" w:rsidRPr="00872D7E" w:rsidRDefault="00862A01" w:rsidP="00862A01">
            <w:pPr>
              <w:jc w:val="both"/>
              <w:rPr>
                <w:color w:val="000000"/>
                <w:szCs w:val="20"/>
              </w:rPr>
            </w:pPr>
            <w:r w:rsidRPr="00872D7E">
              <w:rPr>
                <w:color w:val="000000"/>
                <w:szCs w:val="20"/>
              </w:rPr>
              <w:t>Yurtdışı</w:t>
            </w:r>
          </w:p>
        </w:tc>
        <w:tc>
          <w:tcPr>
            <w:tcW w:w="1365" w:type="dxa"/>
            <w:tcBorders>
              <w:top w:val="nil"/>
              <w:left w:val="nil"/>
              <w:bottom w:val="nil"/>
              <w:right w:val="nil"/>
            </w:tcBorders>
            <w:shd w:val="clear" w:color="auto" w:fill="auto"/>
            <w:vAlign w:val="center"/>
            <w:hideMark/>
          </w:tcPr>
          <w:p w14:paraId="0915DA16" w14:textId="77777777" w:rsidR="00862A01" w:rsidRPr="00872D7E" w:rsidRDefault="00862A01" w:rsidP="00862A01">
            <w:pPr>
              <w:jc w:val="right"/>
              <w:rPr>
                <w:color w:val="000000"/>
                <w:szCs w:val="20"/>
              </w:rPr>
            </w:pPr>
            <w:r w:rsidRPr="00872D7E">
              <w:rPr>
                <w:color w:val="000000"/>
                <w:szCs w:val="20"/>
              </w:rPr>
              <w:t>-</w:t>
            </w:r>
          </w:p>
        </w:tc>
        <w:tc>
          <w:tcPr>
            <w:tcW w:w="1236" w:type="dxa"/>
            <w:tcBorders>
              <w:top w:val="nil"/>
              <w:left w:val="nil"/>
              <w:bottom w:val="nil"/>
              <w:right w:val="nil"/>
            </w:tcBorders>
            <w:shd w:val="clear" w:color="auto" w:fill="auto"/>
            <w:vAlign w:val="center"/>
            <w:hideMark/>
          </w:tcPr>
          <w:p w14:paraId="265C4507" w14:textId="77777777" w:rsidR="00862A01" w:rsidRPr="00872D7E" w:rsidRDefault="00862A01" w:rsidP="00862A01">
            <w:pPr>
              <w:jc w:val="right"/>
              <w:rPr>
                <w:color w:val="000000"/>
                <w:szCs w:val="20"/>
              </w:rPr>
            </w:pPr>
            <w:r w:rsidRPr="00872D7E">
              <w:rPr>
                <w:color w:val="000000"/>
                <w:szCs w:val="20"/>
              </w:rPr>
              <w:t>1.067.053</w:t>
            </w:r>
          </w:p>
        </w:tc>
        <w:tc>
          <w:tcPr>
            <w:tcW w:w="1208" w:type="dxa"/>
            <w:tcBorders>
              <w:top w:val="nil"/>
              <w:left w:val="nil"/>
              <w:bottom w:val="nil"/>
              <w:right w:val="nil"/>
            </w:tcBorders>
            <w:shd w:val="clear" w:color="auto" w:fill="auto"/>
            <w:vAlign w:val="center"/>
            <w:hideMark/>
          </w:tcPr>
          <w:p w14:paraId="3CD0D883" w14:textId="77777777" w:rsidR="00862A01" w:rsidRPr="00872D7E" w:rsidRDefault="00862A01" w:rsidP="00862A01">
            <w:pPr>
              <w:jc w:val="right"/>
              <w:rPr>
                <w:color w:val="000000"/>
                <w:szCs w:val="20"/>
              </w:rPr>
            </w:pPr>
            <w:r w:rsidRPr="00872D7E">
              <w:rPr>
                <w:color w:val="000000"/>
                <w:szCs w:val="20"/>
              </w:rPr>
              <w:t>-</w:t>
            </w:r>
          </w:p>
        </w:tc>
        <w:tc>
          <w:tcPr>
            <w:tcW w:w="1208" w:type="dxa"/>
            <w:tcBorders>
              <w:top w:val="nil"/>
              <w:left w:val="nil"/>
              <w:bottom w:val="nil"/>
              <w:right w:val="nil"/>
            </w:tcBorders>
            <w:shd w:val="clear" w:color="auto" w:fill="auto"/>
            <w:vAlign w:val="center"/>
            <w:hideMark/>
          </w:tcPr>
          <w:p w14:paraId="330EF18F" w14:textId="77777777" w:rsidR="00862A01" w:rsidRPr="00872D7E" w:rsidRDefault="00862A01" w:rsidP="00862A01">
            <w:pPr>
              <w:jc w:val="right"/>
              <w:rPr>
                <w:color w:val="000000"/>
                <w:szCs w:val="20"/>
              </w:rPr>
            </w:pPr>
            <w:r w:rsidRPr="00872D7E">
              <w:rPr>
                <w:color w:val="000000"/>
                <w:szCs w:val="20"/>
              </w:rPr>
              <w:t>-</w:t>
            </w:r>
          </w:p>
        </w:tc>
      </w:tr>
      <w:tr w:rsidR="00862A01" w:rsidRPr="00872D7E" w14:paraId="1953EE99" w14:textId="77777777" w:rsidTr="00862A01">
        <w:trPr>
          <w:divId w:val="721177624"/>
          <w:trHeight w:val="227"/>
        </w:trPr>
        <w:tc>
          <w:tcPr>
            <w:tcW w:w="4063" w:type="dxa"/>
            <w:tcBorders>
              <w:top w:val="nil"/>
              <w:left w:val="nil"/>
              <w:bottom w:val="single" w:sz="4" w:space="0" w:color="auto"/>
              <w:right w:val="nil"/>
            </w:tcBorders>
            <w:shd w:val="clear" w:color="auto" w:fill="auto"/>
            <w:vAlign w:val="bottom"/>
            <w:hideMark/>
          </w:tcPr>
          <w:p w14:paraId="767B8CF9" w14:textId="77777777" w:rsidR="00862A01" w:rsidRPr="00872D7E" w:rsidRDefault="00862A01" w:rsidP="00862A01">
            <w:pPr>
              <w:jc w:val="both"/>
              <w:rPr>
                <w:color w:val="000000"/>
                <w:szCs w:val="20"/>
              </w:rPr>
            </w:pPr>
            <w:r w:rsidRPr="00872D7E">
              <w:rPr>
                <w:color w:val="000000"/>
                <w:szCs w:val="20"/>
              </w:rPr>
              <w:t>Yurtdışı Merkez ve Şubeler</w:t>
            </w:r>
          </w:p>
        </w:tc>
        <w:tc>
          <w:tcPr>
            <w:tcW w:w="1365" w:type="dxa"/>
            <w:tcBorders>
              <w:top w:val="nil"/>
              <w:left w:val="nil"/>
              <w:bottom w:val="single" w:sz="4" w:space="0" w:color="auto"/>
              <w:right w:val="nil"/>
            </w:tcBorders>
            <w:shd w:val="clear" w:color="auto" w:fill="auto"/>
            <w:vAlign w:val="center"/>
            <w:hideMark/>
          </w:tcPr>
          <w:p w14:paraId="7CDC17AD" w14:textId="77777777" w:rsidR="00862A01" w:rsidRPr="00872D7E" w:rsidRDefault="00862A01" w:rsidP="00862A01">
            <w:pPr>
              <w:jc w:val="right"/>
              <w:rPr>
                <w:color w:val="000000"/>
                <w:szCs w:val="20"/>
              </w:rPr>
            </w:pPr>
            <w:r w:rsidRPr="00872D7E">
              <w:rPr>
                <w:color w:val="000000"/>
                <w:szCs w:val="20"/>
              </w:rPr>
              <w:t>-</w:t>
            </w:r>
          </w:p>
        </w:tc>
        <w:tc>
          <w:tcPr>
            <w:tcW w:w="1236" w:type="dxa"/>
            <w:tcBorders>
              <w:top w:val="nil"/>
              <w:left w:val="nil"/>
              <w:bottom w:val="single" w:sz="4" w:space="0" w:color="auto"/>
              <w:right w:val="nil"/>
            </w:tcBorders>
            <w:shd w:val="clear" w:color="auto" w:fill="auto"/>
            <w:vAlign w:val="center"/>
            <w:hideMark/>
          </w:tcPr>
          <w:p w14:paraId="2285455B" w14:textId="77777777" w:rsidR="00862A01" w:rsidRPr="00872D7E" w:rsidRDefault="00862A01" w:rsidP="00862A01">
            <w:pPr>
              <w:jc w:val="right"/>
              <w:rPr>
                <w:color w:val="000000"/>
                <w:szCs w:val="20"/>
              </w:rPr>
            </w:pPr>
            <w:r w:rsidRPr="00872D7E">
              <w:rPr>
                <w:color w:val="000000"/>
                <w:szCs w:val="20"/>
              </w:rPr>
              <w:t>-</w:t>
            </w:r>
          </w:p>
        </w:tc>
        <w:tc>
          <w:tcPr>
            <w:tcW w:w="1208" w:type="dxa"/>
            <w:tcBorders>
              <w:top w:val="nil"/>
              <w:left w:val="nil"/>
              <w:bottom w:val="single" w:sz="4" w:space="0" w:color="auto"/>
              <w:right w:val="nil"/>
            </w:tcBorders>
            <w:shd w:val="clear" w:color="auto" w:fill="auto"/>
            <w:vAlign w:val="center"/>
            <w:hideMark/>
          </w:tcPr>
          <w:p w14:paraId="6DC2711F" w14:textId="77777777" w:rsidR="00862A01" w:rsidRPr="00872D7E" w:rsidRDefault="00862A01" w:rsidP="00862A01">
            <w:pPr>
              <w:jc w:val="right"/>
              <w:rPr>
                <w:color w:val="000000"/>
                <w:szCs w:val="20"/>
              </w:rPr>
            </w:pPr>
            <w:r w:rsidRPr="00872D7E">
              <w:rPr>
                <w:color w:val="000000"/>
                <w:szCs w:val="20"/>
              </w:rPr>
              <w:t>-</w:t>
            </w:r>
          </w:p>
        </w:tc>
        <w:tc>
          <w:tcPr>
            <w:tcW w:w="1208" w:type="dxa"/>
            <w:tcBorders>
              <w:top w:val="nil"/>
              <w:left w:val="nil"/>
              <w:bottom w:val="single" w:sz="4" w:space="0" w:color="auto"/>
              <w:right w:val="nil"/>
            </w:tcBorders>
            <w:shd w:val="clear" w:color="auto" w:fill="auto"/>
            <w:vAlign w:val="center"/>
            <w:hideMark/>
          </w:tcPr>
          <w:p w14:paraId="577AB3E3" w14:textId="77777777" w:rsidR="00862A01" w:rsidRPr="00872D7E" w:rsidRDefault="00862A01" w:rsidP="00862A01">
            <w:pPr>
              <w:jc w:val="right"/>
              <w:rPr>
                <w:color w:val="000000"/>
                <w:szCs w:val="20"/>
              </w:rPr>
            </w:pPr>
            <w:r w:rsidRPr="00872D7E">
              <w:rPr>
                <w:color w:val="000000"/>
                <w:szCs w:val="20"/>
              </w:rPr>
              <w:t>-</w:t>
            </w:r>
          </w:p>
        </w:tc>
      </w:tr>
      <w:tr w:rsidR="00862A01" w:rsidRPr="00872D7E" w14:paraId="36E6E004" w14:textId="77777777" w:rsidTr="00CC21B9">
        <w:trPr>
          <w:divId w:val="721177624"/>
          <w:trHeight w:val="227"/>
        </w:trPr>
        <w:tc>
          <w:tcPr>
            <w:tcW w:w="4063" w:type="dxa"/>
            <w:tcBorders>
              <w:top w:val="nil"/>
              <w:left w:val="nil"/>
              <w:right w:val="nil"/>
            </w:tcBorders>
            <w:shd w:val="clear" w:color="auto" w:fill="auto"/>
            <w:vAlign w:val="bottom"/>
            <w:hideMark/>
          </w:tcPr>
          <w:p w14:paraId="43F522F9" w14:textId="77777777" w:rsidR="00862A01" w:rsidRPr="00872D7E" w:rsidRDefault="00862A01" w:rsidP="00862A01">
            <w:pPr>
              <w:jc w:val="right"/>
              <w:rPr>
                <w:color w:val="000000"/>
                <w:szCs w:val="20"/>
              </w:rPr>
            </w:pPr>
          </w:p>
        </w:tc>
        <w:tc>
          <w:tcPr>
            <w:tcW w:w="1365" w:type="dxa"/>
            <w:tcBorders>
              <w:top w:val="nil"/>
              <w:left w:val="nil"/>
              <w:right w:val="nil"/>
            </w:tcBorders>
            <w:shd w:val="clear" w:color="auto" w:fill="auto"/>
            <w:vAlign w:val="center"/>
            <w:hideMark/>
          </w:tcPr>
          <w:p w14:paraId="2E4B778F" w14:textId="77777777" w:rsidR="00862A01" w:rsidRPr="00872D7E" w:rsidRDefault="00862A01" w:rsidP="00862A01">
            <w:pPr>
              <w:jc w:val="both"/>
              <w:rPr>
                <w:szCs w:val="20"/>
              </w:rPr>
            </w:pPr>
          </w:p>
        </w:tc>
        <w:tc>
          <w:tcPr>
            <w:tcW w:w="1236" w:type="dxa"/>
            <w:tcBorders>
              <w:top w:val="nil"/>
              <w:left w:val="nil"/>
              <w:right w:val="nil"/>
            </w:tcBorders>
            <w:shd w:val="clear" w:color="auto" w:fill="auto"/>
            <w:vAlign w:val="center"/>
            <w:hideMark/>
          </w:tcPr>
          <w:p w14:paraId="20367F45" w14:textId="77777777" w:rsidR="00862A01" w:rsidRPr="00872D7E" w:rsidRDefault="00862A01" w:rsidP="00862A01">
            <w:pPr>
              <w:jc w:val="right"/>
              <w:rPr>
                <w:szCs w:val="20"/>
              </w:rPr>
            </w:pPr>
          </w:p>
        </w:tc>
        <w:tc>
          <w:tcPr>
            <w:tcW w:w="1208" w:type="dxa"/>
            <w:tcBorders>
              <w:top w:val="nil"/>
              <w:left w:val="nil"/>
              <w:right w:val="nil"/>
            </w:tcBorders>
            <w:shd w:val="clear" w:color="auto" w:fill="auto"/>
            <w:vAlign w:val="center"/>
            <w:hideMark/>
          </w:tcPr>
          <w:p w14:paraId="65BD3722" w14:textId="77777777" w:rsidR="00862A01" w:rsidRPr="00872D7E" w:rsidRDefault="00862A01" w:rsidP="00862A01">
            <w:pPr>
              <w:jc w:val="right"/>
              <w:rPr>
                <w:szCs w:val="20"/>
              </w:rPr>
            </w:pPr>
          </w:p>
        </w:tc>
        <w:tc>
          <w:tcPr>
            <w:tcW w:w="1208" w:type="dxa"/>
            <w:tcBorders>
              <w:top w:val="nil"/>
              <w:left w:val="nil"/>
              <w:right w:val="nil"/>
            </w:tcBorders>
            <w:shd w:val="clear" w:color="auto" w:fill="auto"/>
            <w:vAlign w:val="center"/>
            <w:hideMark/>
          </w:tcPr>
          <w:p w14:paraId="26F8EE9E" w14:textId="77777777" w:rsidR="00862A01" w:rsidRPr="00872D7E" w:rsidRDefault="00862A01" w:rsidP="00862A01">
            <w:pPr>
              <w:jc w:val="right"/>
              <w:rPr>
                <w:szCs w:val="20"/>
              </w:rPr>
            </w:pPr>
          </w:p>
        </w:tc>
      </w:tr>
      <w:tr w:rsidR="00862A01" w:rsidRPr="00872D7E" w14:paraId="613A76D5" w14:textId="77777777" w:rsidTr="00CC21B9">
        <w:trPr>
          <w:divId w:val="721177624"/>
          <w:trHeight w:val="227"/>
        </w:trPr>
        <w:tc>
          <w:tcPr>
            <w:tcW w:w="4063" w:type="dxa"/>
            <w:tcBorders>
              <w:top w:val="nil"/>
              <w:left w:val="nil"/>
              <w:bottom w:val="single" w:sz="12" w:space="0" w:color="auto"/>
              <w:right w:val="nil"/>
            </w:tcBorders>
            <w:shd w:val="clear" w:color="auto" w:fill="auto"/>
            <w:vAlign w:val="bottom"/>
            <w:hideMark/>
          </w:tcPr>
          <w:p w14:paraId="522CD145" w14:textId="77777777" w:rsidR="00862A01" w:rsidRPr="00872D7E" w:rsidRDefault="00862A01" w:rsidP="00862A01">
            <w:pPr>
              <w:jc w:val="both"/>
              <w:rPr>
                <w:b/>
                <w:bCs/>
                <w:color w:val="000000"/>
                <w:szCs w:val="20"/>
              </w:rPr>
            </w:pPr>
            <w:r w:rsidRPr="00872D7E">
              <w:rPr>
                <w:b/>
                <w:bCs/>
                <w:color w:val="000000"/>
                <w:szCs w:val="20"/>
              </w:rPr>
              <w:t>Toplam</w:t>
            </w:r>
          </w:p>
        </w:tc>
        <w:tc>
          <w:tcPr>
            <w:tcW w:w="1365" w:type="dxa"/>
            <w:tcBorders>
              <w:top w:val="nil"/>
              <w:left w:val="nil"/>
              <w:bottom w:val="single" w:sz="12" w:space="0" w:color="auto"/>
              <w:right w:val="nil"/>
            </w:tcBorders>
            <w:shd w:val="clear" w:color="auto" w:fill="auto"/>
            <w:vAlign w:val="center"/>
            <w:hideMark/>
          </w:tcPr>
          <w:p w14:paraId="1C65196A" w14:textId="77777777" w:rsidR="00862A01" w:rsidRPr="00872D7E" w:rsidRDefault="00862A01" w:rsidP="00862A01">
            <w:pPr>
              <w:jc w:val="right"/>
              <w:rPr>
                <w:b/>
                <w:bCs/>
                <w:color w:val="000000"/>
                <w:szCs w:val="20"/>
              </w:rPr>
            </w:pPr>
            <w:r w:rsidRPr="00872D7E">
              <w:rPr>
                <w:b/>
                <w:bCs/>
                <w:color w:val="000000"/>
                <w:szCs w:val="20"/>
              </w:rPr>
              <w:t>1.625.027</w:t>
            </w:r>
          </w:p>
        </w:tc>
        <w:tc>
          <w:tcPr>
            <w:tcW w:w="1236" w:type="dxa"/>
            <w:tcBorders>
              <w:top w:val="nil"/>
              <w:left w:val="nil"/>
              <w:bottom w:val="single" w:sz="12" w:space="0" w:color="auto"/>
              <w:right w:val="nil"/>
            </w:tcBorders>
            <w:shd w:val="clear" w:color="auto" w:fill="auto"/>
            <w:vAlign w:val="center"/>
            <w:hideMark/>
          </w:tcPr>
          <w:p w14:paraId="6D8CA6B6" w14:textId="77777777" w:rsidR="00862A01" w:rsidRPr="00872D7E" w:rsidRDefault="00862A01" w:rsidP="00862A01">
            <w:pPr>
              <w:jc w:val="right"/>
              <w:rPr>
                <w:b/>
                <w:bCs/>
                <w:color w:val="000000"/>
                <w:szCs w:val="20"/>
              </w:rPr>
            </w:pPr>
            <w:r w:rsidRPr="00872D7E">
              <w:rPr>
                <w:b/>
                <w:bCs/>
                <w:color w:val="000000"/>
                <w:szCs w:val="20"/>
              </w:rPr>
              <w:t>2.812.594</w:t>
            </w:r>
          </w:p>
        </w:tc>
        <w:tc>
          <w:tcPr>
            <w:tcW w:w="1208" w:type="dxa"/>
            <w:tcBorders>
              <w:top w:val="nil"/>
              <w:left w:val="nil"/>
              <w:bottom w:val="single" w:sz="12" w:space="0" w:color="auto"/>
              <w:right w:val="nil"/>
            </w:tcBorders>
            <w:shd w:val="clear" w:color="auto" w:fill="auto"/>
            <w:vAlign w:val="center"/>
            <w:hideMark/>
          </w:tcPr>
          <w:p w14:paraId="47E47E97" w14:textId="77777777" w:rsidR="00862A01" w:rsidRPr="00872D7E" w:rsidRDefault="00862A01" w:rsidP="00862A01">
            <w:pPr>
              <w:jc w:val="right"/>
              <w:rPr>
                <w:b/>
                <w:bCs/>
                <w:color w:val="000000"/>
                <w:szCs w:val="20"/>
              </w:rPr>
            </w:pPr>
            <w:r w:rsidRPr="00872D7E">
              <w:rPr>
                <w:b/>
                <w:bCs/>
                <w:color w:val="000000"/>
                <w:szCs w:val="20"/>
              </w:rPr>
              <w:t>441.437</w:t>
            </w:r>
          </w:p>
        </w:tc>
        <w:tc>
          <w:tcPr>
            <w:tcW w:w="1208" w:type="dxa"/>
            <w:tcBorders>
              <w:top w:val="nil"/>
              <w:left w:val="nil"/>
              <w:bottom w:val="single" w:sz="12" w:space="0" w:color="auto"/>
              <w:right w:val="nil"/>
            </w:tcBorders>
            <w:shd w:val="clear" w:color="auto" w:fill="auto"/>
            <w:vAlign w:val="center"/>
            <w:hideMark/>
          </w:tcPr>
          <w:p w14:paraId="23D9450B" w14:textId="77777777" w:rsidR="00862A01" w:rsidRPr="00872D7E" w:rsidRDefault="00862A01" w:rsidP="00862A01">
            <w:pPr>
              <w:jc w:val="right"/>
              <w:rPr>
                <w:b/>
                <w:bCs/>
                <w:color w:val="000000"/>
                <w:szCs w:val="20"/>
              </w:rPr>
            </w:pPr>
            <w:r w:rsidRPr="00872D7E">
              <w:rPr>
                <w:b/>
                <w:bCs/>
                <w:color w:val="000000"/>
                <w:szCs w:val="20"/>
              </w:rPr>
              <w:t>-</w:t>
            </w:r>
          </w:p>
        </w:tc>
      </w:tr>
    </w:tbl>
    <w:p w14:paraId="1252D95E" w14:textId="59D3887E" w:rsidR="003922B7" w:rsidRPr="00872D7E" w:rsidRDefault="003922B7" w:rsidP="003922B7">
      <w:pPr>
        <w:pStyle w:val="BodyTextIndent"/>
        <w:widowControl w:val="0"/>
        <w:ind w:firstLine="0"/>
        <w:rPr>
          <w:szCs w:val="20"/>
        </w:rPr>
      </w:pPr>
    </w:p>
    <w:p w14:paraId="049AE577" w14:textId="77777777" w:rsidR="001664DE" w:rsidRPr="00872D7E" w:rsidRDefault="001664DE">
      <w:pPr>
        <w:rPr>
          <w:b/>
          <w:bCs/>
          <w:iCs/>
          <w:szCs w:val="20"/>
        </w:rPr>
      </w:pPr>
      <w:r w:rsidRPr="00872D7E">
        <w:rPr>
          <w:b/>
          <w:bCs/>
          <w:iCs/>
          <w:szCs w:val="20"/>
        </w:rPr>
        <w:br w:type="page"/>
      </w:r>
    </w:p>
    <w:p w14:paraId="3D3D8F05" w14:textId="77777777" w:rsidR="00894C14" w:rsidRPr="00872D7E" w:rsidRDefault="00894C14" w:rsidP="00894C14">
      <w:pPr>
        <w:widowControl w:val="0"/>
        <w:ind w:left="720" w:hanging="720"/>
        <w:jc w:val="both"/>
        <w:rPr>
          <w:b/>
          <w:szCs w:val="20"/>
        </w:rPr>
      </w:pPr>
      <w:r w:rsidRPr="00872D7E">
        <w:rPr>
          <w:b/>
          <w:szCs w:val="20"/>
        </w:rPr>
        <w:lastRenderedPageBreak/>
        <w:t>KONSOLİDE OLMAYAN FİNANSAL TABLOLARA İLİŞKİN AÇIKLAMA VE DİPNOTLAR (Devamı)</w:t>
      </w:r>
    </w:p>
    <w:p w14:paraId="7DA48F33" w14:textId="77777777" w:rsidR="00894C14" w:rsidRPr="00872D7E" w:rsidRDefault="00894C14" w:rsidP="00894C14">
      <w:pPr>
        <w:pStyle w:val="ListParagraph"/>
        <w:widowControl w:val="0"/>
        <w:ind w:left="14" w:right="452"/>
        <w:jc w:val="both"/>
        <w:rPr>
          <w:b/>
          <w:szCs w:val="20"/>
        </w:rPr>
      </w:pPr>
    </w:p>
    <w:p w14:paraId="2D16964F" w14:textId="77777777" w:rsidR="00894C14" w:rsidRPr="00872D7E" w:rsidRDefault="00894C14" w:rsidP="00894C14">
      <w:pPr>
        <w:pStyle w:val="ListParagraph"/>
        <w:widowControl w:val="0"/>
        <w:numPr>
          <w:ilvl w:val="0"/>
          <w:numId w:val="8"/>
        </w:numPr>
        <w:ind w:left="851" w:hanging="851"/>
        <w:jc w:val="both"/>
        <w:rPr>
          <w:b/>
          <w:szCs w:val="20"/>
        </w:rPr>
      </w:pPr>
      <w:r w:rsidRPr="00872D7E">
        <w:rPr>
          <w:b/>
          <w:szCs w:val="20"/>
        </w:rPr>
        <w:t>BİLANÇONUN AKTİF HESAPLARINA İLİŞKİN AÇIKLAMA VE DİPNOTLAR (Devamı)</w:t>
      </w:r>
    </w:p>
    <w:p w14:paraId="6DB7BF94" w14:textId="77777777" w:rsidR="00894C14" w:rsidRPr="00872D7E" w:rsidRDefault="00894C14" w:rsidP="006F61BC">
      <w:pPr>
        <w:pStyle w:val="ListParagraph"/>
        <w:widowControl w:val="0"/>
        <w:ind w:left="1276" w:hanging="425"/>
        <w:jc w:val="both"/>
        <w:rPr>
          <w:b/>
          <w:bCs/>
          <w:iCs/>
          <w:szCs w:val="20"/>
        </w:rPr>
      </w:pPr>
    </w:p>
    <w:p w14:paraId="0F69A6CB" w14:textId="6F501162" w:rsidR="003922B7" w:rsidRPr="00872D7E" w:rsidRDefault="003922B7" w:rsidP="006F61BC">
      <w:pPr>
        <w:pStyle w:val="ListParagraph"/>
        <w:widowControl w:val="0"/>
        <w:ind w:left="1276" w:hanging="425"/>
        <w:jc w:val="both"/>
        <w:rPr>
          <w:b/>
          <w:bCs/>
          <w:iCs/>
          <w:szCs w:val="20"/>
        </w:rPr>
      </w:pPr>
      <w:proofErr w:type="gramStart"/>
      <w:r w:rsidRPr="00872D7E">
        <w:rPr>
          <w:b/>
          <w:bCs/>
          <w:iCs/>
          <w:szCs w:val="20"/>
        </w:rPr>
        <w:t>c</w:t>
      </w:r>
      <w:proofErr w:type="gramEnd"/>
      <w:r w:rsidRPr="00872D7E">
        <w:rPr>
          <w:b/>
          <w:bCs/>
          <w:iCs/>
          <w:szCs w:val="20"/>
        </w:rPr>
        <w:t>2.</w:t>
      </w:r>
      <w:r w:rsidRPr="00872D7E">
        <w:rPr>
          <w:b/>
          <w:bCs/>
          <w:iCs/>
          <w:szCs w:val="20"/>
        </w:rPr>
        <w:tab/>
        <w:t>Yurtdışı bankalar hesabına ilişkin bilgiler:</w:t>
      </w:r>
    </w:p>
    <w:p w14:paraId="633083B3" w14:textId="77777777" w:rsidR="003922B7" w:rsidRPr="00872D7E" w:rsidRDefault="003922B7" w:rsidP="00647F12">
      <w:pPr>
        <w:rPr>
          <w:szCs w:val="20"/>
        </w:rPr>
      </w:pPr>
    </w:p>
    <w:tbl>
      <w:tblPr>
        <w:tblW w:w="5000" w:type="pct"/>
        <w:tblCellMar>
          <w:left w:w="0" w:type="dxa"/>
          <w:right w:w="0" w:type="dxa"/>
        </w:tblCellMar>
        <w:tblLook w:val="04A0" w:firstRow="1" w:lastRow="0" w:firstColumn="1" w:lastColumn="0" w:noHBand="0" w:noVBand="1"/>
      </w:tblPr>
      <w:tblGrid>
        <w:gridCol w:w="4676"/>
        <w:gridCol w:w="1201"/>
        <w:gridCol w:w="1070"/>
        <w:gridCol w:w="1300"/>
        <w:gridCol w:w="1108"/>
      </w:tblGrid>
      <w:tr w:rsidR="00E05B2A" w:rsidRPr="00872D7E" w14:paraId="17A162BD" w14:textId="77777777" w:rsidTr="00246A10">
        <w:trPr>
          <w:trHeight w:val="170"/>
        </w:trPr>
        <w:tc>
          <w:tcPr>
            <w:tcW w:w="2499" w:type="pct"/>
            <w:tcBorders>
              <w:left w:val="nil"/>
              <w:right w:val="nil"/>
            </w:tcBorders>
          </w:tcPr>
          <w:p w14:paraId="66555D5C" w14:textId="77777777" w:rsidR="00E05B2A" w:rsidRPr="00872D7E" w:rsidRDefault="00E05B2A" w:rsidP="00E05B2A">
            <w:pPr>
              <w:autoSpaceDE w:val="0"/>
              <w:autoSpaceDN w:val="0"/>
              <w:adjustRightInd w:val="0"/>
              <w:rPr>
                <w:rFonts w:eastAsia="Arial Unicode MS"/>
                <w:b/>
                <w:szCs w:val="20"/>
              </w:rPr>
            </w:pPr>
            <w:bookmarkStart w:id="66" w:name="_Hlk99380062"/>
          </w:p>
        </w:tc>
        <w:tc>
          <w:tcPr>
            <w:tcW w:w="1214" w:type="pct"/>
            <w:gridSpan w:val="2"/>
            <w:tcBorders>
              <w:left w:val="nil"/>
              <w:bottom w:val="single" w:sz="2" w:space="0" w:color="auto"/>
              <w:right w:val="nil"/>
            </w:tcBorders>
            <w:vAlign w:val="center"/>
            <w:hideMark/>
          </w:tcPr>
          <w:p w14:paraId="73EB8210" w14:textId="717F31E5" w:rsidR="00E05B2A" w:rsidRPr="00872D7E" w:rsidRDefault="00E05B2A" w:rsidP="00E05B2A">
            <w:pPr>
              <w:autoSpaceDE w:val="0"/>
              <w:autoSpaceDN w:val="0"/>
              <w:adjustRightInd w:val="0"/>
              <w:ind w:left="-162" w:right="-161"/>
              <w:jc w:val="center"/>
              <w:rPr>
                <w:rFonts w:eastAsia="Arial Unicode MS"/>
                <w:b/>
                <w:szCs w:val="20"/>
              </w:rPr>
            </w:pPr>
            <w:r w:rsidRPr="00872D7E">
              <w:rPr>
                <w:b/>
                <w:bCs/>
                <w:color w:val="000000"/>
                <w:szCs w:val="20"/>
              </w:rPr>
              <w:t>31 Aralık 2024</w:t>
            </w:r>
          </w:p>
        </w:tc>
        <w:tc>
          <w:tcPr>
            <w:tcW w:w="1287" w:type="pct"/>
            <w:gridSpan w:val="2"/>
            <w:tcBorders>
              <w:left w:val="nil"/>
              <w:bottom w:val="single" w:sz="2" w:space="0" w:color="auto"/>
              <w:right w:val="nil"/>
            </w:tcBorders>
            <w:vAlign w:val="center"/>
            <w:hideMark/>
          </w:tcPr>
          <w:p w14:paraId="2CE99261" w14:textId="0FF60D23" w:rsidR="00E05B2A" w:rsidRPr="00872D7E" w:rsidRDefault="00E05B2A" w:rsidP="00E05B2A">
            <w:pPr>
              <w:autoSpaceDE w:val="0"/>
              <w:autoSpaceDN w:val="0"/>
              <w:adjustRightInd w:val="0"/>
              <w:ind w:left="-162" w:right="-161"/>
              <w:jc w:val="center"/>
              <w:rPr>
                <w:rFonts w:eastAsia="Arial Unicode MS"/>
                <w:b/>
                <w:szCs w:val="20"/>
              </w:rPr>
            </w:pPr>
            <w:r w:rsidRPr="00872D7E">
              <w:rPr>
                <w:b/>
                <w:bCs/>
                <w:color w:val="000000"/>
                <w:szCs w:val="20"/>
              </w:rPr>
              <w:t>1 Ocak 2024</w:t>
            </w:r>
          </w:p>
        </w:tc>
      </w:tr>
      <w:tr w:rsidR="001664DE" w:rsidRPr="00872D7E" w14:paraId="656E39C1" w14:textId="77777777" w:rsidTr="00246A10">
        <w:trPr>
          <w:trHeight w:val="170"/>
        </w:trPr>
        <w:tc>
          <w:tcPr>
            <w:tcW w:w="2499" w:type="pct"/>
            <w:tcBorders>
              <w:left w:val="nil"/>
              <w:bottom w:val="single" w:sz="4" w:space="0" w:color="auto"/>
              <w:right w:val="nil"/>
            </w:tcBorders>
          </w:tcPr>
          <w:p w14:paraId="2555BBC9" w14:textId="77777777" w:rsidR="001664DE" w:rsidRPr="00872D7E" w:rsidRDefault="001664DE" w:rsidP="00647F12">
            <w:pPr>
              <w:autoSpaceDE w:val="0"/>
              <w:autoSpaceDN w:val="0"/>
              <w:adjustRightInd w:val="0"/>
              <w:rPr>
                <w:rFonts w:eastAsia="Arial Unicode MS"/>
                <w:b/>
                <w:szCs w:val="20"/>
              </w:rPr>
            </w:pPr>
          </w:p>
        </w:tc>
        <w:tc>
          <w:tcPr>
            <w:tcW w:w="642" w:type="pct"/>
            <w:tcBorders>
              <w:top w:val="single" w:sz="2" w:space="0" w:color="auto"/>
              <w:left w:val="nil"/>
              <w:bottom w:val="single" w:sz="4" w:space="0" w:color="auto"/>
              <w:right w:val="nil"/>
            </w:tcBorders>
            <w:vAlign w:val="bottom"/>
            <w:hideMark/>
          </w:tcPr>
          <w:p w14:paraId="6511E0AA" w14:textId="77777777" w:rsidR="001664DE" w:rsidRPr="00872D7E" w:rsidRDefault="001664DE" w:rsidP="00246A10">
            <w:pPr>
              <w:autoSpaceDE w:val="0"/>
              <w:autoSpaceDN w:val="0"/>
              <w:adjustRightInd w:val="0"/>
              <w:ind w:right="40"/>
              <w:jc w:val="right"/>
              <w:rPr>
                <w:rFonts w:eastAsia="Arial Unicode MS"/>
                <w:b/>
                <w:szCs w:val="20"/>
              </w:rPr>
            </w:pPr>
            <w:r w:rsidRPr="00872D7E">
              <w:rPr>
                <w:rFonts w:eastAsia="Arial Unicode MS"/>
                <w:b/>
                <w:szCs w:val="20"/>
              </w:rPr>
              <w:t>Serbest tutar</w:t>
            </w:r>
          </w:p>
        </w:tc>
        <w:tc>
          <w:tcPr>
            <w:tcW w:w="572" w:type="pct"/>
            <w:tcBorders>
              <w:top w:val="single" w:sz="2" w:space="0" w:color="auto"/>
              <w:left w:val="nil"/>
              <w:bottom w:val="single" w:sz="4" w:space="0" w:color="auto"/>
              <w:right w:val="nil"/>
            </w:tcBorders>
            <w:vAlign w:val="bottom"/>
            <w:hideMark/>
          </w:tcPr>
          <w:p w14:paraId="79E4C101" w14:textId="77777777" w:rsidR="001664DE" w:rsidRPr="00872D7E" w:rsidRDefault="001664DE" w:rsidP="00246A10">
            <w:pPr>
              <w:autoSpaceDE w:val="0"/>
              <w:autoSpaceDN w:val="0"/>
              <w:adjustRightInd w:val="0"/>
              <w:ind w:right="40"/>
              <w:jc w:val="right"/>
              <w:rPr>
                <w:rFonts w:eastAsia="Arial Unicode MS"/>
                <w:b/>
                <w:szCs w:val="20"/>
              </w:rPr>
            </w:pPr>
            <w:r w:rsidRPr="00872D7E">
              <w:rPr>
                <w:rFonts w:eastAsia="Arial Unicode MS"/>
                <w:b/>
                <w:szCs w:val="20"/>
              </w:rPr>
              <w:t>Serbest olmayan tutar</w:t>
            </w:r>
          </w:p>
        </w:tc>
        <w:tc>
          <w:tcPr>
            <w:tcW w:w="695" w:type="pct"/>
            <w:tcBorders>
              <w:top w:val="single" w:sz="2" w:space="0" w:color="auto"/>
              <w:left w:val="nil"/>
              <w:bottom w:val="single" w:sz="4" w:space="0" w:color="auto"/>
              <w:right w:val="nil"/>
            </w:tcBorders>
            <w:vAlign w:val="bottom"/>
            <w:hideMark/>
          </w:tcPr>
          <w:p w14:paraId="57CD4F1A" w14:textId="77777777" w:rsidR="001664DE" w:rsidRPr="00872D7E" w:rsidRDefault="001664DE" w:rsidP="00246A10">
            <w:pPr>
              <w:autoSpaceDE w:val="0"/>
              <w:autoSpaceDN w:val="0"/>
              <w:adjustRightInd w:val="0"/>
              <w:ind w:right="40"/>
              <w:jc w:val="right"/>
              <w:rPr>
                <w:rFonts w:eastAsia="Arial Unicode MS"/>
                <w:b/>
                <w:szCs w:val="20"/>
              </w:rPr>
            </w:pPr>
            <w:r w:rsidRPr="00872D7E">
              <w:rPr>
                <w:rFonts w:eastAsia="Arial Unicode MS"/>
                <w:b/>
                <w:szCs w:val="20"/>
              </w:rPr>
              <w:t>Serbest tutar</w:t>
            </w:r>
          </w:p>
        </w:tc>
        <w:tc>
          <w:tcPr>
            <w:tcW w:w="592" w:type="pct"/>
            <w:tcBorders>
              <w:top w:val="single" w:sz="2" w:space="0" w:color="auto"/>
              <w:left w:val="nil"/>
              <w:bottom w:val="single" w:sz="4" w:space="0" w:color="auto"/>
              <w:right w:val="nil"/>
            </w:tcBorders>
            <w:vAlign w:val="bottom"/>
            <w:hideMark/>
          </w:tcPr>
          <w:p w14:paraId="7A608F81" w14:textId="77777777" w:rsidR="001664DE" w:rsidRPr="00872D7E" w:rsidRDefault="001664DE" w:rsidP="00246A10">
            <w:pPr>
              <w:autoSpaceDE w:val="0"/>
              <w:autoSpaceDN w:val="0"/>
              <w:adjustRightInd w:val="0"/>
              <w:ind w:right="40"/>
              <w:jc w:val="right"/>
              <w:rPr>
                <w:rFonts w:eastAsia="Arial Unicode MS"/>
                <w:b/>
                <w:szCs w:val="20"/>
              </w:rPr>
            </w:pPr>
            <w:r w:rsidRPr="00872D7E">
              <w:rPr>
                <w:rFonts w:eastAsia="Arial Unicode MS"/>
                <w:b/>
                <w:szCs w:val="20"/>
              </w:rPr>
              <w:t>Serbest olmayan tutar</w:t>
            </w:r>
          </w:p>
        </w:tc>
      </w:tr>
      <w:tr w:rsidR="001664DE" w:rsidRPr="00872D7E" w14:paraId="567F847A" w14:textId="77777777" w:rsidTr="00246A10">
        <w:trPr>
          <w:trHeight w:val="77"/>
        </w:trPr>
        <w:tc>
          <w:tcPr>
            <w:tcW w:w="2499" w:type="pct"/>
            <w:tcBorders>
              <w:top w:val="single" w:sz="4" w:space="0" w:color="auto"/>
              <w:left w:val="nil"/>
              <w:bottom w:val="nil"/>
              <w:right w:val="nil"/>
            </w:tcBorders>
          </w:tcPr>
          <w:p w14:paraId="50AA7E8C" w14:textId="77777777" w:rsidR="001664DE" w:rsidRPr="00872D7E" w:rsidRDefault="001664DE" w:rsidP="00647F12">
            <w:pPr>
              <w:autoSpaceDE w:val="0"/>
              <w:autoSpaceDN w:val="0"/>
              <w:adjustRightInd w:val="0"/>
              <w:rPr>
                <w:rFonts w:eastAsia="Arial Unicode MS"/>
                <w:szCs w:val="20"/>
              </w:rPr>
            </w:pPr>
          </w:p>
        </w:tc>
        <w:tc>
          <w:tcPr>
            <w:tcW w:w="642" w:type="pct"/>
            <w:tcBorders>
              <w:top w:val="single" w:sz="4" w:space="0" w:color="auto"/>
              <w:left w:val="nil"/>
              <w:bottom w:val="nil"/>
              <w:right w:val="nil"/>
            </w:tcBorders>
            <w:vAlign w:val="bottom"/>
          </w:tcPr>
          <w:p w14:paraId="37C5AE1B" w14:textId="77777777" w:rsidR="001664DE" w:rsidRPr="00872D7E" w:rsidRDefault="001664DE" w:rsidP="00246A10">
            <w:pPr>
              <w:autoSpaceDE w:val="0"/>
              <w:autoSpaceDN w:val="0"/>
              <w:adjustRightInd w:val="0"/>
              <w:ind w:right="40"/>
              <w:jc w:val="right"/>
              <w:rPr>
                <w:rFonts w:eastAsia="Arial Unicode MS"/>
                <w:szCs w:val="20"/>
              </w:rPr>
            </w:pPr>
          </w:p>
        </w:tc>
        <w:tc>
          <w:tcPr>
            <w:tcW w:w="572" w:type="pct"/>
            <w:tcBorders>
              <w:top w:val="single" w:sz="4" w:space="0" w:color="auto"/>
              <w:left w:val="nil"/>
              <w:bottom w:val="nil"/>
              <w:right w:val="nil"/>
            </w:tcBorders>
            <w:vAlign w:val="bottom"/>
          </w:tcPr>
          <w:p w14:paraId="35B51534" w14:textId="77777777" w:rsidR="001664DE" w:rsidRPr="00872D7E" w:rsidRDefault="001664DE" w:rsidP="00246A10">
            <w:pPr>
              <w:autoSpaceDE w:val="0"/>
              <w:autoSpaceDN w:val="0"/>
              <w:adjustRightInd w:val="0"/>
              <w:ind w:right="40"/>
              <w:jc w:val="right"/>
              <w:rPr>
                <w:rFonts w:eastAsia="Arial Unicode MS"/>
                <w:szCs w:val="20"/>
              </w:rPr>
            </w:pPr>
          </w:p>
        </w:tc>
        <w:tc>
          <w:tcPr>
            <w:tcW w:w="695" w:type="pct"/>
            <w:tcBorders>
              <w:top w:val="single" w:sz="4" w:space="0" w:color="auto"/>
              <w:left w:val="nil"/>
              <w:bottom w:val="nil"/>
              <w:right w:val="nil"/>
            </w:tcBorders>
            <w:vAlign w:val="bottom"/>
          </w:tcPr>
          <w:p w14:paraId="7EFB4C18" w14:textId="77777777" w:rsidR="001664DE" w:rsidRPr="00872D7E" w:rsidRDefault="001664DE" w:rsidP="00246A10">
            <w:pPr>
              <w:autoSpaceDE w:val="0"/>
              <w:autoSpaceDN w:val="0"/>
              <w:adjustRightInd w:val="0"/>
              <w:ind w:right="40"/>
              <w:jc w:val="right"/>
              <w:rPr>
                <w:rFonts w:eastAsia="Arial Unicode MS"/>
                <w:szCs w:val="20"/>
              </w:rPr>
            </w:pPr>
          </w:p>
        </w:tc>
        <w:tc>
          <w:tcPr>
            <w:tcW w:w="592" w:type="pct"/>
            <w:tcBorders>
              <w:top w:val="single" w:sz="4" w:space="0" w:color="auto"/>
              <w:left w:val="nil"/>
              <w:bottom w:val="nil"/>
              <w:right w:val="nil"/>
            </w:tcBorders>
            <w:vAlign w:val="bottom"/>
          </w:tcPr>
          <w:p w14:paraId="09A33D9E" w14:textId="77777777" w:rsidR="001664DE" w:rsidRPr="00872D7E" w:rsidRDefault="001664DE" w:rsidP="00246A10">
            <w:pPr>
              <w:autoSpaceDE w:val="0"/>
              <w:autoSpaceDN w:val="0"/>
              <w:adjustRightInd w:val="0"/>
              <w:ind w:right="40"/>
              <w:jc w:val="right"/>
              <w:rPr>
                <w:rFonts w:eastAsia="Arial Unicode MS"/>
                <w:szCs w:val="20"/>
              </w:rPr>
            </w:pPr>
          </w:p>
        </w:tc>
      </w:tr>
      <w:tr w:rsidR="00E05B2A" w:rsidRPr="00872D7E" w14:paraId="4523C434" w14:textId="77777777" w:rsidTr="00246A10">
        <w:trPr>
          <w:trHeight w:val="170"/>
        </w:trPr>
        <w:tc>
          <w:tcPr>
            <w:tcW w:w="2499" w:type="pct"/>
            <w:hideMark/>
          </w:tcPr>
          <w:p w14:paraId="750A315B" w14:textId="77777777" w:rsidR="00E05B2A" w:rsidRPr="00872D7E" w:rsidRDefault="00E05B2A" w:rsidP="00E05B2A">
            <w:pPr>
              <w:autoSpaceDE w:val="0"/>
              <w:autoSpaceDN w:val="0"/>
              <w:adjustRightInd w:val="0"/>
              <w:ind w:left="56"/>
              <w:rPr>
                <w:rFonts w:eastAsia="Arial Unicode MS"/>
                <w:szCs w:val="20"/>
              </w:rPr>
            </w:pPr>
            <w:r w:rsidRPr="00872D7E">
              <w:rPr>
                <w:rFonts w:eastAsia="Arial Unicode MS"/>
                <w:szCs w:val="20"/>
              </w:rPr>
              <w:t>AB Ülkeleri</w:t>
            </w:r>
          </w:p>
        </w:tc>
        <w:tc>
          <w:tcPr>
            <w:tcW w:w="642" w:type="pct"/>
            <w:vAlign w:val="bottom"/>
          </w:tcPr>
          <w:p w14:paraId="231465A0" w14:textId="23810D49" w:rsidR="00E05B2A" w:rsidRPr="00872D7E" w:rsidRDefault="00E05B2A" w:rsidP="00246A10">
            <w:pPr>
              <w:ind w:right="127"/>
              <w:jc w:val="right"/>
              <w:rPr>
                <w:szCs w:val="20"/>
              </w:rPr>
            </w:pPr>
            <w:r w:rsidRPr="00872D7E">
              <w:t>935.542</w:t>
            </w:r>
          </w:p>
        </w:tc>
        <w:tc>
          <w:tcPr>
            <w:tcW w:w="572" w:type="pct"/>
            <w:vAlign w:val="bottom"/>
          </w:tcPr>
          <w:p w14:paraId="608B5E73" w14:textId="28E7708E" w:rsidR="00E05B2A" w:rsidRPr="00872D7E" w:rsidRDefault="00E05B2A" w:rsidP="00246A10">
            <w:pPr>
              <w:ind w:right="127"/>
              <w:jc w:val="right"/>
              <w:rPr>
                <w:szCs w:val="20"/>
              </w:rPr>
            </w:pPr>
            <w:r w:rsidRPr="00872D7E">
              <w:t>-</w:t>
            </w:r>
          </w:p>
        </w:tc>
        <w:tc>
          <w:tcPr>
            <w:tcW w:w="695" w:type="pct"/>
            <w:vAlign w:val="bottom"/>
          </w:tcPr>
          <w:p w14:paraId="5DB34BE0" w14:textId="0DEDECEA" w:rsidR="00E05B2A" w:rsidRPr="00872D7E" w:rsidRDefault="00E05B2A" w:rsidP="00246A10">
            <w:pPr>
              <w:ind w:right="127"/>
              <w:jc w:val="right"/>
              <w:rPr>
                <w:szCs w:val="20"/>
              </w:rPr>
            </w:pPr>
            <w:r w:rsidRPr="00872D7E">
              <w:t>-</w:t>
            </w:r>
          </w:p>
        </w:tc>
        <w:tc>
          <w:tcPr>
            <w:tcW w:w="592" w:type="pct"/>
            <w:vAlign w:val="bottom"/>
          </w:tcPr>
          <w:p w14:paraId="4272B202" w14:textId="2298F42D" w:rsidR="00E05B2A" w:rsidRPr="00872D7E" w:rsidRDefault="00E05B2A" w:rsidP="00246A10">
            <w:pPr>
              <w:ind w:right="127"/>
              <w:jc w:val="right"/>
              <w:rPr>
                <w:szCs w:val="20"/>
              </w:rPr>
            </w:pPr>
            <w:r w:rsidRPr="00872D7E">
              <w:t>-</w:t>
            </w:r>
          </w:p>
        </w:tc>
      </w:tr>
      <w:tr w:rsidR="00E05B2A" w:rsidRPr="00872D7E" w14:paraId="0703C6D1" w14:textId="77777777" w:rsidTr="00246A10">
        <w:trPr>
          <w:trHeight w:val="170"/>
        </w:trPr>
        <w:tc>
          <w:tcPr>
            <w:tcW w:w="2499" w:type="pct"/>
            <w:hideMark/>
          </w:tcPr>
          <w:p w14:paraId="082AD1B1" w14:textId="77777777" w:rsidR="00E05B2A" w:rsidRPr="00872D7E" w:rsidRDefault="00E05B2A" w:rsidP="00E05B2A">
            <w:pPr>
              <w:autoSpaceDE w:val="0"/>
              <w:autoSpaceDN w:val="0"/>
              <w:adjustRightInd w:val="0"/>
              <w:ind w:left="56"/>
              <w:rPr>
                <w:rFonts w:eastAsia="Arial Unicode MS"/>
                <w:szCs w:val="20"/>
              </w:rPr>
            </w:pPr>
            <w:r w:rsidRPr="00872D7E">
              <w:rPr>
                <w:rFonts w:eastAsia="Arial Unicode MS"/>
                <w:szCs w:val="20"/>
              </w:rPr>
              <w:t>ABD, Kanada</w:t>
            </w:r>
          </w:p>
        </w:tc>
        <w:tc>
          <w:tcPr>
            <w:tcW w:w="642" w:type="pct"/>
            <w:vAlign w:val="bottom"/>
          </w:tcPr>
          <w:p w14:paraId="6DBB1BC2" w14:textId="51D5B28E" w:rsidR="00E05B2A" w:rsidRPr="00872D7E" w:rsidRDefault="00E05B2A" w:rsidP="00246A10">
            <w:pPr>
              <w:ind w:right="127"/>
              <w:jc w:val="right"/>
              <w:rPr>
                <w:szCs w:val="20"/>
              </w:rPr>
            </w:pPr>
            <w:r w:rsidRPr="00872D7E">
              <w:t>-</w:t>
            </w:r>
          </w:p>
        </w:tc>
        <w:tc>
          <w:tcPr>
            <w:tcW w:w="572" w:type="pct"/>
            <w:vAlign w:val="bottom"/>
          </w:tcPr>
          <w:p w14:paraId="3E24E4FA" w14:textId="0E2FC98E" w:rsidR="00E05B2A" w:rsidRPr="00872D7E" w:rsidRDefault="00E05B2A" w:rsidP="00246A10">
            <w:pPr>
              <w:ind w:right="127"/>
              <w:jc w:val="right"/>
              <w:rPr>
                <w:szCs w:val="20"/>
              </w:rPr>
            </w:pPr>
            <w:r w:rsidRPr="00872D7E">
              <w:t>-</w:t>
            </w:r>
          </w:p>
        </w:tc>
        <w:tc>
          <w:tcPr>
            <w:tcW w:w="695" w:type="pct"/>
            <w:vAlign w:val="bottom"/>
          </w:tcPr>
          <w:p w14:paraId="28711C45" w14:textId="7BA68FEA" w:rsidR="00E05B2A" w:rsidRPr="00872D7E" w:rsidRDefault="00E05B2A" w:rsidP="00246A10">
            <w:pPr>
              <w:ind w:right="127"/>
              <w:jc w:val="right"/>
              <w:rPr>
                <w:szCs w:val="20"/>
              </w:rPr>
            </w:pPr>
            <w:r w:rsidRPr="00872D7E">
              <w:t>-</w:t>
            </w:r>
          </w:p>
        </w:tc>
        <w:tc>
          <w:tcPr>
            <w:tcW w:w="592" w:type="pct"/>
            <w:vAlign w:val="bottom"/>
          </w:tcPr>
          <w:p w14:paraId="1656478E" w14:textId="60DC21BC" w:rsidR="00E05B2A" w:rsidRPr="00872D7E" w:rsidRDefault="00E05B2A" w:rsidP="00246A10">
            <w:pPr>
              <w:ind w:right="127"/>
              <w:jc w:val="right"/>
              <w:rPr>
                <w:szCs w:val="20"/>
              </w:rPr>
            </w:pPr>
            <w:r w:rsidRPr="00872D7E">
              <w:t>-</w:t>
            </w:r>
          </w:p>
        </w:tc>
      </w:tr>
      <w:tr w:rsidR="00E05B2A" w:rsidRPr="00872D7E" w14:paraId="613DE15A" w14:textId="77777777" w:rsidTr="00246A10">
        <w:trPr>
          <w:trHeight w:val="170"/>
        </w:trPr>
        <w:tc>
          <w:tcPr>
            <w:tcW w:w="2499" w:type="pct"/>
            <w:hideMark/>
          </w:tcPr>
          <w:p w14:paraId="36EEE431" w14:textId="77777777" w:rsidR="00E05B2A" w:rsidRPr="00872D7E" w:rsidRDefault="00E05B2A" w:rsidP="00E05B2A">
            <w:pPr>
              <w:autoSpaceDE w:val="0"/>
              <w:autoSpaceDN w:val="0"/>
              <w:adjustRightInd w:val="0"/>
              <w:ind w:left="56"/>
              <w:rPr>
                <w:rFonts w:eastAsia="Arial Unicode MS"/>
                <w:szCs w:val="20"/>
              </w:rPr>
            </w:pPr>
            <w:r w:rsidRPr="00872D7E">
              <w:rPr>
                <w:rFonts w:eastAsia="Arial Unicode MS"/>
                <w:szCs w:val="20"/>
              </w:rPr>
              <w:t xml:space="preserve">OECD Ülkeleri </w:t>
            </w:r>
            <w:r w:rsidRPr="00872D7E">
              <w:rPr>
                <w:rFonts w:eastAsia="Arial Unicode MS"/>
                <w:szCs w:val="20"/>
                <w:vertAlign w:val="superscript"/>
              </w:rPr>
              <w:t>(*)</w:t>
            </w:r>
          </w:p>
        </w:tc>
        <w:tc>
          <w:tcPr>
            <w:tcW w:w="642" w:type="pct"/>
            <w:vAlign w:val="bottom"/>
          </w:tcPr>
          <w:p w14:paraId="05B50259" w14:textId="5A540980" w:rsidR="00E05B2A" w:rsidRPr="00872D7E" w:rsidRDefault="00E05B2A" w:rsidP="00246A10">
            <w:pPr>
              <w:ind w:right="127"/>
              <w:jc w:val="right"/>
              <w:rPr>
                <w:szCs w:val="20"/>
              </w:rPr>
            </w:pPr>
            <w:r w:rsidRPr="00872D7E">
              <w:t>129.633</w:t>
            </w:r>
          </w:p>
        </w:tc>
        <w:tc>
          <w:tcPr>
            <w:tcW w:w="572" w:type="pct"/>
            <w:vAlign w:val="bottom"/>
          </w:tcPr>
          <w:p w14:paraId="0C27BBF2" w14:textId="64FD6730" w:rsidR="00E05B2A" w:rsidRPr="00872D7E" w:rsidRDefault="00E05B2A" w:rsidP="00246A10">
            <w:pPr>
              <w:ind w:right="127"/>
              <w:jc w:val="right"/>
              <w:rPr>
                <w:szCs w:val="20"/>
              </w:rPr>
            </w:pPr>
            <w:r w:rsidRPr="00872D7E">
              <w:t>-</w:t>
            </w:r>
          </w:p>
        </w:tc>
        <w:tc>
          <w:tcPr>
            <w:tcW w:w="695" w:type="pct"/>
            <w:vAlign w:val="bottom"/>
          </w:tcPr>
          <w:p w14:paraId="6B61DB73" w14:textId="3FEC0C14" w:rsidR="00E05B2A" w:rsidRPr="00872D7E" w:rsidRDefault="00E05B2A" w:rsidP="00246A10">
            <w:pPr>
              <w:ind w:right="127"/>
              <w:jc w:val="right"/>
              <w:rPr>
                <w:szCs w:val="20"/>
              </w:rPr>
            </w:pPr>
            <w:r w:rsidRPr="00872D7E">
              <w:t>-</w:t>
            </w:r>
          </w:p>
        </w:tc>
        <w:tc>
          <w:tcPr>
            <w:tcW w:w="592" w:type="pct"/>
            <w:vAlign w:val="bottom"/>
          </w:tcPr>
          <w:p w14:paraId="242CAEE2" w14:textId="78071CC2" w:rsidR="00E05B2A" w:rsidRPr="00872D7E" w:rsidRDefault="00E05B2A" w:rsidP="00246A10">
            <w:pPr>
              <w:ind w:right="127"/>
              <w:jc w:val="right"/>
              <w:rPr>
                <w:szCs w:val="20"/>
              </w:rPr>
            </w:pPr>
            <w:r w:rsidRPr="00872D7E">
              <w:t>-</w:t>
            </w:r>
          </w:p>
        </w:tc>
      </w:tr>
      <w:tr w:rsidR="00E05B2A" w:rsidRPr="00872D7E" w14:paraId="60C9FAD5" w14:textId="77777777" w:rsidTr="00246A10">
        <w:trPr>
          <w:trHeight w:val="170"/>
        </w:trPr>
        <w:tc>
          <w:tcPr>
            <w:tcW w:w="2499" w:type="pct"/>
            <w:hideMark/>
          </w:tcPr>
          <w:p w14:paraId="1DFB1DF4" w14:textId="77777777" w:rsidR="00E05B2A" w:rsidRPr="00872D7E" w:rsidRDefault="00E05B2A" w:rsidP="00E05B2A">
            <w:pPr>
              <w:autoSpaceDE w:val="0"/>
              <w:autoSpaceDN w:val="0"/>
              <w:adjustRightInd w:val="0"/>
              <w:ind w:left="56"/>
              <w:rPr>
                <w:rFonts w:eastAsia="Arial Unicode MS"/>
                <w:szCs w:val="20"/>
              </w:rPr>
            </w:pPr>
            <w:r w:rsidRPr="00872D7E">
              <w:rPr>
                <w:rFonts w:eastAsia="Arial Unicode MS"/>
                <w:szCs w:val="20"/>
              </w:rPr>
              <w:t>Kıyı Bankacılığı Bölgeleri</w:t>
            </w:r>
          </w:p>
        </w:tc>
        <w:tc>
          <w:tcPr>
            <w:tcW w:w="642" w:type="pct"/>
            <w:vAlign w:val="bottom"/>
          </w:tcPr>
          <w:p w14:paraId="45B8CE77" w14:textId="686C87A8" w:rsidR="00E05B2A" w:rsidRPr="00872D7E" w:rsidRDefault="00E05B2A" w:rsidP="00246A10">
            <w:pPr>
              <w:ind w:right="127"/>
              <w:jc w:val="right"/>
              <w:rPr>
                <w:szCs w:val="20"/>
              </w:rPr>
            </w:pPr>
            <w:r w:rsidRPr="00872D7E">
              <w:t>-</w:t>
            </w:r>
          </w:p>
        </w:tc>
        <w:tc>
          <w:tcPr>
            <w:tcW w:w="572" w:type="pct"/>
            <w:vAlign w:val="bottom"/>
          </w:tcPr>
          <w:p w14:paraId="5DD5873E" w14:textId="269D3577" w:rsidR="00E05B2A" w:rsidRPr="00872D7E" w:rsidRDefault="00E05B2A" w:rsidP="00246A10">
            <w:pPr>
              <w:ind w:right="127"/>
              <w:jc w:val="right"/>
              <w:rPr>
                <w:szCs w:val="20"/>
              </w:rPr>
            </w:pPr>
            <w:r w:rsidRPr="00872D7E">
              <w:t>-</w:t>
            </w:r>
          </w:p>
        </w:tc>
        <w:tc>
          <w:tcPr>
            <w:tcW w:w="695" w:type="pct"/>
            <w:vAlign w:val="bottom"/>
          </w:tcPr>
          <w:p w14:paraId="63B23175" w14:textId="5D982FB5" w:rsidR="00E05B2A" w:rsidRPr="00872D7E" w:rsidRDefault="00E05B2A" w:rsidP="00246A10">
            <w:pPr>
              <w:ind w:right="127"/>
              <w:jc w:val="right"/>
              <w:rPr>
                <w:szCs w:val="20"/>
              </w:rPr>
            </w:pPr>
            <w:r w:rsidRPr="00872D7E">
              <w:t>-</w:t>
            </w:r>
          </w:p>
        </w:tc>
        <w:tc>
          <w:tcPr>
            <w:tcW w:w="592" w:type="pct"/>
            <w:vAlign w:val="bottom"/>
          </w:tcPr>
          <w:p w14:paraId="462050D6" w14:textId="43E73B28" w:rsidR="00E05B2A" w:rsidRPr="00872D7E" w:rsidRDefault="00E05B2A" w:rsidP="00246A10">
            <w:pPr>
              <w:ind w:right="127"/>
              <w:jc w:val="right"/>
              <w:rPr>
                <w:szCs w:val="20"/>
              </w:rPr>
            </w:pPr>
            <w:r w:rsidRPr="00872D7E">
              <w:t>-</w:t>
            </w:r>
          </w:p>
        </w:tc>
      </w:tr>
      <w:tr w:rsidR="00E05B2A" w:rsidRPr="00872D7E" w14:paraId="5D8F2840" w14:textId="77777777" w:rsidTr="00246A10">
        <w:trPr>
          <w:trHeight w:val="170"/>
        </w:trPr>
        <w:tc>
          <w:tcPr>
            <w:tcW w:w="2499" w:type="pct"/>
            <w:hideMark/>
          </w:tcPr>
          <w:p w14:paraId="3FA89618" w14:textId="5C0A6DEA" w:rsidR="00E05B2A" w:rsidRPr="00872D7E" w:rsidRDefault="00E05B2A" w:rsidP="00E05B2A">
            <w:pPr>
              <w:autoSpaceDE w:val="0"/>
              <w:autoSpaceDN w:val="0"/>
              <w:adjustRightInd w:val="0"/>
              <w:ind w:left="56"/>
              <w:rPr>
                <w:rFonts w:eastAsia="Arial Unicode MS"/>
                <w:szCs w:val="20"/>
              </w:rPr>
            </w:pPr>
            <w:r w:rsidRPr="00872D7E">
              <w:rPr>
                <w:rFonts w:eastAsia="Arial Unicode MS"/>
                <w:szCs w:val="20"/>
              </w:rPr>
              <w:t xml:space="preserve">Diğer </w:t>
            </w:r>
          </w:p>
        </w:tc>
        <w:tc>
          <w:tcPr>
            <w:tcW w:w="642" w:type="pct"/>
            <w:vAlign w:val="bottom"/>
          </w:tcPr>
          <w:p w14:paraId="4192F2F5" w14:textId="7818CC40" w:rsidR="00E05B2A" w:rsidRPr="00872D7E" w:rsidRDefault="00E05B2A" w:rsidP="00246A10">
            <w:pPr>
              <w:ind w:right="127"/>
              <w:jc w:val="right"/>
              <w:rPr>
                <w:szCs w:val="20"/>
              </w:rPr>
            </w:pPr>
            <w:r w:rsidRPr="00872D7E">
              <w:t>1.878</w:t>
            </w:r>
          </w:p>
        </w:tc>
        <w:tc>
          <w:tcPr>
            <w:tcW w:w="572" w:type="pct"/>
            <w:vAlign w:val="bottom"/>
          </w:tcPr>
          <w:p w14:paraId="3D7F6B7C" w14:textId="6A60B207" w:rsidR="00E05B2A" w:rsidRPr="00872D7E" w:rsidRDefault="00E05B2A" w:rsidP="00246A10">
            <w:pPr>
              <w:ind w:right="127"/>
              <w:jc w:val="right"/>
              <w:rPr>
                <w:szCs w:val="20"/>
              </w:rPr>
            </w:pPr>
            <w:r w:rsidRPr="00872D7E">
              <w:t>-</w:t>
            </w:r>
          </w:p>
        </w:tc>
        <w:tc>
          <w:tcPr>
            <w:tcW w:w="695" w:type="pct"/>
            <w:vAlign w:val="bottom"/>
          </w:tcPr>
          <w:p w14:paraId="5C4B3CA7" w14:textId="326B27CB" w:rsidR="00E05B2A" w:rsidRPr="00872D7E" w:rsidRDefault="00E05B2A" w:rsidP="00246A10">
            <w:pPr>
              <w:ind w:right="127"/>
              <w:jc w:val="right"/>
              <w:rPr>
                <w:szCs w:val="20"/>
              </w:rPr>
            </w:pPr>
            <w:r w:rsidRPr="00872D7E">
              <w:t>-</w:t>
            </w:r>
          </w:p>
        </w:tc>
        <w:tc>
          <w:tcPr>
            <w:tcW w:w="592" w:type="pct"/>
            <w:vAlign w:val="bottom"/>
          </w:tcPr>
          <w:p w14:paraId="4D62ACE2" w14:textId="18D550F7" w:rsidR="00E05B2A" w:rsidRPr="00872D7E" w:rsidRDefault="00E05B2A" w:rsidP="00246A10">
            <w:pPr>
              <w:ind w:right="127"/>
              <w:jc w:val="right"/>
              <w:rPr>
                <w:szCs w:val="20"/>
              </w:rPr>
            </w:pPr>
            <w:r w:rsidRPr="00872D7E">
              <w:t>-</w:t>
            </w:r>
          </w:p>
        </w:tc>
      </w:tr>
      <w:tr w:rsidR="00E05B2A" w:rsidRPr="00872D7E" w14:paraId="55060CBF" w14:textId="77777777" w:rsidTr="00246A10">
        <w:trPr>
          <w:trHeight w:val="170"/>
        </w:trPr>
        <w:tc>
          <w:tcPr>
            <w:tcW w:w="2499" w:type="pct"/>
            <w:tcBorders>
              <w:top w:val="single" w:sz="4" w:space="0" w:color="auto"/>
              <w:left w:val="nil"/>
              <w:bottom w:val="single" w:sz="12" w:space="0" w:color="auto"/>
              <w:right w:val="nil"/>
            </w:tcBorders>
            <w:hideMark/>
          </w:tcPr>
          <w:p w14:paraId="1A57D5D3" w14:textId="77777777" w:rsidR="006D3750" w:rsidRPr="00872D7E" w:rsidRDefault="006D3750" w:rsidP="00E05B2A">
            <w:pPr>
              <w:autoSpaceDE w:val="0"/>
              <w:autoSpaceDN w:val="0"/>
              <w:adjustRightInd w:val="0"/>
              <w:ind w:left="56"/>
              <w:rPr>
                <w:rFonts w:eastAsia="Arial Unicode MS"/>
                <w:b/>
                <w:szCs w:val="20"/>
              </w:rPr>
            </w:pPr>
          </w:p>
          <w:p w14:paraId="0BA96F2D" w14:textId="2E1FF070" w:rsidR="00E05B2A" w:rsidRPr="00872D7E" w:rsidRDefault="00E05B2A" w:rsidP="00E05B2A">
            <w:pPr>
              <w:autoSpaceDE w:val="0"/>
              <w:autoSpaceDN w:val="0"/>
              <w:adjustRightInd w:val="0"/>
              <w:ind w:left="56"/>
              <w:rPr>
                <w:rFonts w:eastAsia="Arial Unicode MS"/>
                <w:b/>
                <w:szCs w:val="20"/>
              </w:rPr>
            </w:pPr>
            <w:r w:rsidRPr="00872D7E">
              <w:rPr>
                <w:rFonts w:eastAsia="Arial Unicode MS"/>
                <w:b/>
                <w:szCs w:val="20"/>
              </w:rPr>
              <w:t>Toplam</w:t>
            </w:r>
          </w:p>
        </w:tc>
        <w:tc>
          <w:tcPr>
            <w:tcW w:w="642" w:type="pct"/>
            <w:tcBorders>
              <w:top w:val="single" w:sz="4" w:space="0" w:color="auto"/>
              <w:left w:val="nil"/>
              <w:bottom w:val="single" w:sz="12" w:space="0" w:color="auto"/>
              <w:right w:val="nil"/>
            </w:tcBorders>
            <w:vAlign w:val="bottom"/>
          </w:tcPr>
          <w:p w14:paraId="0509B710" w14:textId="77777777" w:rsidR="006D3750" w:rsidRPr="00872D7E" w:rsidRDefault="006D3750" w:rsidP="00246A10">
            <w:pPr>
              <w:ind w:right="127"/>
              <w:jc w:val="right"/>
              <w:rPr>
                <w:b/>
              </w:rPr>
            </w:pPr>
          </w:p>
          <w:p w14:paraId="7E1ABE87" w14:textId="36B2D106" w:rsidR="00E05B2A" w:rsidRPr="00872D7E" w:rsidRDefault="00E05B2A" w:rsidP="00246A10">
            <w:pPr>
              <w:ind w:right="127"/>
              <w:jc w:val="right"/>
              <w:rPr>
                <w:b/>
                <w:szCs w:val="20"/>
              </w:rPr>
            </w:pPr>
            <w:r w:rsidRPr="00872D7E">
              <w:rPr>
                <w:b/>
              </w:rPr>
              <w:t>1.067.053</w:t>
            </w:r>
          </w:p>
        </w:tc>
        <w:tc>
          <w:tcPr>
            <w:tcW w:w="572" w:type="pct"/>
            <w:tcBorders>
              <w:top w:val="single" w:sz="4" w:space="0" w:color="auto"/>
              <w:left w:val="nil"/>
              <w:bottom w:val="single" w:sz="12" w:space="0" w:color="auto"/>
              <w:right w:val="nil"/>
            </w:tcBorders>
            <w:vAlign w:val="bottom"/>
          </w:tcPr>
          <w:p w14:paraId="57C08426" w14:textId="77777777" w:rsidR="006D3750" w:rsidRPr="00872D7E" w:rsidRDefault="006D3750" w:rsidP="00246A10">
            <w:pPr>
              <w:ind w:right="127"/>
              <w:jc w:val="right"/>
              <w:rPr>
                <w:b/>
              </w:rPr>
            </w:pPr>
          </w:p>
          <w:p w14:paraId="630C2F30" w14:textId="60C09928" w:rsidR="00E05B2A" w:rsidRPr="00872D7E" w:rsidRDefault="00E05B2A" w:rsidP="00246A10">
            <w:pPr>
              <w:ind w:right="127"/>
              <w:jc w:val="right"/>
              <w:rPr>
                <w:b/>
                <w:szCs w:val="20"/>
              </w:rPr>
            </w:pPr>
            <w:r w:rsidRPr="00872D7E">
              <w:rPr>
                <w:b/>
              </w:rPr>
              <w:t>-</w:t>
            </w:r>
          </w:p>
        </w:tc>
        <w:tc>
          <w:tcPr>
            <w:tcW w:w="695" w:type="pct"/>
            <w:tcBorders>
              <w:top w:val="single" w:sz="4" w:space="0" w:color="auto"/>
              <w:left w:val="nil"/>
              <w:bottom w:val="single" w:sz="12" w:space="0" w:color="auto"/>
              <w:right w:val="nil"/>
            </w:tcBorders>
            <w:vAlign w:val="bottom"/>
          </w:tcPr>
          <w:p w14:paraId="35284E3A" w14:textId="77777777" w:rsidR="006D3750" w:rsidRPr="00872D7E" w:rsidRDefault="006D3750" w:rsidP="00246A10">
            <w:pPr>
              <w:ind w:right="127"/>
              <w:jc w:val="right"/>
              <w:rPr>
                <w:b/>
              </w:rPr>
            </w:pPr>
          </w:p>
          <w:p w14:paraId="657B1EE0" w14:textId="0F9A7FDF" w:rsidR="00E05B2A" w:rsidRPr="00872D7E" w:rsidRDefault="00E05B2A" w:rsidP="00246A10">
            <w:pPr>
              <w:ind w:right="127"/>
              <w:jc w:val="right"/>
              <w:rPr>
                <w:b/>
                <w:color w:val="000000"/>
                <w:szCs w:val="20"/>
              </w:rPr>
            </w:pPr>
            <w:r w:rsidRPr="00872D7E">
              <w:rPr>
                <w:b/>
              </w:rPr>
              <w:t>-</w:t>
            </w:r>
          </w:p>
        </w:tc>
        <w:tc>
          <w:tcPr>
            <w:tcW w:w="592" w:type="pct"/>
            <w:tcBorders>
              <w:top w:val="single" w:sz="4" w:space="0" w:color="auto"/>
              <w:left w:val="nil"/>
              <w:bottom w:val="single" w:sz="12" w:space="0" w:color="auto"/>
              <w:right w:val="nil"/>
            </w:tcBorders>
            <w:vAlign w:val="bottom"/>
          </w:tcPr>
          <w:p w14:paraId="52CE926E" w14:textId="77777777" w:rsidR="006D3750" w:rsidRPr="00872D7E" w:rsidRDefault="006D3750" w:rsidP="00246A10">
            <w:pPr>
              <w:ind w:right="127"/>
              <w:jc w:val="right"/>
              <w:rPr>
                <w:b/>
              </w:rPr>
            </w:pPr>
          </w:p>
          <w:p w14:paraId="3F5C5A6E" w14:textId="664DD418" w:rsidR="00E05B2A" w:rsidRPr="00872D7E" w:rsidRDefault="00E05B2A" w:rsidP="00246A10">
            <w:pPr>
              <w:ind w:right="127"/>
              <w:jc w:val="right"/>
              <w:rPr>
                <w:b/>
                <w:color w:val="000000"/>
                <w:szCs w:val="20"/>
              </w:rPr>
            </w:pPr>
            <w:r w:rsidRPr="00872D7E">
              <w:rPr>
                <w:b/>
              </w:rPr>
              <w:t>-</w:t>
            </w:r>
          </w:p>
        </w:tc>
      </w:tr>
    </w:tbl>
    <w:p w14:paraId="6423CC9B" w14:textId="77777777" w:rsidR="001664DE" w:rsidRPr="00872D7E" w:rsidRDefault="001664DE" w:rsidP="00647F12">
      <w:pPr>
        <w:spacing w:before="60"/>
        <w:ind w:left="142" w:hanging="114"/>
        <w:jc w:val="both"/>
        <w:rPr>
          <w:szCs w:val="20"/>
        </w:rPr>
      </w:pPr>
      <w:r w:rsidRPr="00872D7E">
        <w:rPr>
          <w:szCs w:val="20"/>
          <w:vertAlign w:val="superscript"/>
        </w:rPr>
        <w:t xml:space="preserve">(*) </w:t>
      </w:r>
      <w:r w:rsidRPr="00872D7E">
        <w:rPr>
          <w:szCs w:val="20"/>
        </w:rPr>
        <w:t>AB ülkeleri, ABD ve Kanada dı</w:t>
      </w:r>
      <w:r w:rsidRPr="00872D7E">
        <w:rPr>
          <w:rFonts w:eastAsia="TimesNewRoman"/>
          <w:szCs w:val="20"/>
        </w:rPr>
        <w:t>ş</w:t>
      </w:r>
      <w:r w:rsidRPr="00872D7E">
        <w:rPr>
          <w:szCs w:val="20"/>
        </w:rPr>
        <w:t>ındaki OECD ülkeleri</w:t>
      </w:r>
    </w:p>
    <w:p w14:paraId="389A9BEB" w14:textId="77777777" w:rsidR="001664DE" w:rsidRPr="00872D7E" w:rsidRDefault="001664DE" w:rsidP="00647F12">
      <w:pPr>
        <w:rPr>
          <w:szCs w:val="20"/>
        </w:rPr>
      </w:pPr>
    </w:p>
    <w:p w14:paraId="3AAE5057" w14:textId="77777777" w:rsidR="00894C14" w:rsidRPr="00872D7E" w:rsidRDefault="00894C14" w:rsidP="00894C14">
      <w:pPr>
        <w:pStyle w:val="ListParagraph"/>
        <w:widowControl w:val="0"/>
        <w:numPr>
          <w:ilvl w:val="0"/>
          <w:numId w:val="31"/>
        </w:numPr>
        <w:ind w:left="851" w:hanging="851"/>
        <w:jc w:val="both"/>
        <w:rPr>
          <w:b/>
          <w:szCs w:val="20"/>
        </w:rPr>
      </w:pPr>
      <w:bookmarkStart w:id="67" w:name="_Hlk99380147"/>
      <w:r w:rsidRPr="00872D7E">
        <w:rPr>
          <w:b/>
          <w:szCs w:val="20"/>
        </w:rPr>
        <w:t xml:space="preserve">Gerçeğe uygun değer farkı </w:t>
      </w:r>
      <w:proofErr w:type="gramStart"/>
      <w:r w:rsidRPr="00872D7E">
        <w:rPr>
          <w:b/>
          <w:szCs w:val="20"/>
        </w:rPr>
        <w:t>kar</w:t>
      </w:r>
      <w:proofErr w:type="gramEnd"/>
      <w:r w:rsidRPr="00872D7E">
        <w:rPr>
          <w:b/>
          <w:szCs w:val="20"/>
        </w:rPr>
        <w:t xml:space="preserve"> zarara yansıtılan finansal varlıklar: </w:t>
      </w:r>
    </w:p>
    <w:p w14:paraId="4C4CDA1E" w14:textId="77777777" w:rsidR="00894C14" w:rsidRPr="00872D7E" w:rsidRDefault="00894C14" w:rsidP="00894C14">
      <w:pPr>
        <w:pStyle w:val="ListParagraph"/>
        <w:widowControl w:val="0"/>
        <w:ind w:left="-3"/>
        <w:jc w:val="both"/>
        <w:rPr>
          <w:b/>
          <w:szCs w:val="20"/>
        </w:rPr>
      </w:pPr>
    </w:p>
    <w:p w14:paraId="3B5899CC" w14:textId="77777777" w:rsidR="00894C14" w:rsidRPr="00872D7E" w:rsidRDefault="00894C14" w:rsidP="00894C14">
      <w:pPr>
        <w:pStyle w:val="BodyTextIndent"/>
        <w:widowControl w:val="0"/>
        <w:numPr>
          <w:ilvl w:val="2"/>
          <w:numId w:val="3"/>
        </w:numPr>
        <w:tabs>
          <w:tab w:val="clear" w:pos="1980"/>
        </w:tabs>
        <w:ind w:left="1276" w:hanging="425"/>
        <w:rPr>
          <w:b/>
          <w:szCs w:val="20"/>
        </w:rPr>
      </w:pPr>
      <w:r w:rsidRPr="00872D7E">
        <w:rPr>
          <w:b/>
          <w:szCs w:val="20"/>
        </w:rPr>
        <w:t>Gerçeğe uygun değer farkı kâr/zarara yansıtılan finansal varlıklardan repo işlemlerine konu olanlar ve teminata verilen/bloke edilenlere ilişkin bilgiler:</w:t>
      </w:r>
    </w:p>
    <w:p w14:paraId="51110C56" w14:textId="77777777" w:rsidR="00894C14" w:rsidRPr="00872D7E" w:rsidRDefault="00894C14" w:rsidP="00894C14">
      <w:pPr>
        <w:pStyle w:val="BodyTextIndent"/>
        <w:widowControl w:val="0"/>
        <w:ind w:left="1980" w:firstLine="0"/>
        <w:rPr>
          <w:b/>
          <w:szCs w:val="20"/>
        </w:rPr>
      </w:pPr>
    </w:p>
    <w:p w14:paraId="1613284B" w14:textId="77777777" w:rsidR="00894C14" w:rsidRPr="00872D7E" w:rsidRDefault="00894C14" w:rsidP="00894C14">
      <w:pPr>
        <w:widowControl w:val="0"/>
        <w:ind w:left="851"/>
        <w:jc w:val="both"/>
        <w:rPr>
          <w:szCs w:val="20"/>
        </w:rPr>
      </w:pPr>
      <w:r w:rsidRPr="00872D7E">
        <w:rPr>
          <w:szCs w:val="20"/>
        </w:rPr>
        <w:t>31 Aralık 2024 tarihi itibarıyla Banka’nın geri alım vaadi ile satıma konu olan nominal yatırımı bulunmamaktadır (1 Ocak 2024: Bulunmamaktadır).</w:t>
      </w:r>
    </w:p>
    <w:p w14:paraId="77FD920B" w14:textId="77777777" w:rsidR="00894C14" w:rsidRPr="00872D7E" w:rsidRDefault="00894C14" w:rsidP="00894C14">
      <w:pPr>
        <w:widowControl w:val="0"/>
        <w:ind w:left="851"/>
        <w:jc w:val="both"/>
        <w:rPr>
          <w:szCs w:val="20"/>
        </w:rPr>
      </w:pPr>
    </w:p>
    <w:p w14:paraId="55D8B72A" w14:textId="20514860" w:rsidR="00894C14" w:rsidRPr="00872D7E" w:rsidRDefault="00894C14" w:rsidP="00894C14">
      <w:pPr>
        <w:widowControl w:val="0"/>
        <w:ind w:left="851"/>
        <w:jc w:val="both"/>
        <w:rPr>
          <w:szCs w:val="20"/>
        </w:rPr>
      </w:pPr>
      <w:r w:rsidRPr="00872D7E">
        <w:rPr>
          <w:szCs w:val="20"/>
        </w:rPr>
        <w:t xml:space="preserve">31 Aralık 2024 tarihi itibarıyla teminata verilen/bloke edilen nominal yatırımı bulunmamaktadır </w:t>
      </w:r>
      <w:r w:rsidR="0078607F" w:rsidRPr="00872D7E">
        <w:rPr>
          <w:szCs w:val="20"/>
        </w:rPr>
        <w:br/>
      </w:r>
      <w:r w:rsidRPr="00872D7E">
        <w:rPr>
          <w:szCs w:val="20"/>
        </w:rPr>
        <w:t>(1 Ocak 2024: Bulunmamaktadır).</w:t>
      </w:r>
    </w:p>
    <w:p w14:paraId="75F7BA2B" w14:textId="77777777" w:rsidR="00894C14" w:rsidRPr="00872D7E" w:rsidRDefault="00894C14" w:rsidP="00894C14">
      <w:pPr>
        <w:widowControl w:val="0"/>
        <w:jc w:val="both"/>
        <w:rPr>
          <w:color w:val="000000"/>
          <w:szCs w:val="20"/>
        </w:rPr>
      </w:pPr>
    </w:p>
    <w:bookmarkEnd w:id="67"/>
    <w:p w14:paraId="3BAE03C0" w14:textId="77777777" w:rsidR="00894C14" w:rsidRPr="00872D7E" w:rsidRDefault="00894C14" w:rsidP="00894C14">
      <w:pPr>
        <w:pStyle w:val="BodyTextIndent"/>
        <w:widowControl w:val="0"/>
        <w:numPr>
          <w:ilvl w:val="2"/>
          <w:numId w:val="3"/>
        </w:numPr>
        <w:tabs>
          <w:tab w:val="clear" w:pos="1980"/>
        </w:tabs>
        <w:ind w:left="1276" w:hanging="425"/>
        <w:rPr>
          <w:b/>
          <w:szCs w:val="20"/>
        </w:rPr>
      </w:pPr>
      <w:r w:rsidRPr="00872D7E">
        <w:rPr>
          <w:b/>
          <w:szCs w:val="20"/>
        </w:rPr>
        <w:t xml:space="preserve">Gerçeğe uygun değer farkı </w:t>
      </w:r>
      <w:r w:rsidRPr="00872D7E">
        <w:rPr>
          <w:b/>
          <w:color w:val="000000" w:themeColor="text1"/>
          <w:szCs w:val="20"/>
        </w:rPr>
        <w:t xml:space="preserve">kâr/zarara </w:t>
      </w:r>
      <w:r w:rsidRPr="00872D7E">
        <w:rPr>
          <w:b/>
          <w:szCs w:val="20"/>
        </w:rPr>
        <w:t xml:space="preserve">yansıtılan finansal varlıklar: </w:t>
      </w:r>
    </w:p>
    <w:p w14:paraId="1DD2A79B" w14:textId="76774D0B" w:rsidR="00894C14" w:rsidRPr="00872D7E" w:rsidRDefault="00894C14" w:rsidP="00894C14">
      <w:pPr>
        <w:pStyle w:val="BodyTextIndent"/>
        <w:widowControl w:val="0"/>
        <w:ind w:left="14" w:hanging="581"/>
        <w:rPr>
          <w:szCs w:val="20"/>
        </w:rPr>
      </w:pPr>
    </w:p>
    <w:tbl>
      <w:tblPr>
        <w:tblW w:w="9080" w:type="dxa"/>
        <w:tblCellMar>
          <w:left w:w="70" w:type="dxa"/>
          <w:right w:w="70" w:type="dxa"/>
        </w:tblCellMar>
        <w:tblLook w:val="04A0" w:firstRow="1" w:lastRow="0" w:firstColumn="1" w:lastColumn="0" w:noHBand="0" w:noVBand="1"/>
      </w:tblPr>
      <w:tblGrid>
        <w:gridCol w:w="4004"/>
        <w:gridCol w:w="1436"/>
        <w:gridCol w:w="1155"/>
        <w:gridCol w:w="1347"/>
        <w:gridCol w:w="1138"/>
      </w:tblGrid>
      <w:tr w:rsidR="00894C14" w:rsidRPr="00872D7E" w14:paraId="5989DF2D" w14:textId="77777777" w:rsidTr="00336F42">
        <w:trPr>
          <w:trHeight w:val="170"/>
        </w:trPr>
        <w:tc>
          <w:tcPr>
            <w:tcW w:w="4004" w:type="dxa"/>
            <w:tcBorders>
              <w:top w:val="nil"/>
              <w:left w:val="nil"/>
              <w:bottom w:val="nil"/>
              <w:right w:val="nil"/>
            </w:tcBorders>
            <w:shd w:val="clear" w:color="auto" w:fill="auto"/>
            <w:vAlign w:val="center"/>
            <w:hideMark/>
          </w:tcPr>
          <w:p w14:paraId="3574AA65" w14:textId="77777777" w:rsidR="00894C14" w:rsidRPr="00872D7E" w:rsidRDefault="00894C14" w:rsidP="00336F42">
            <w:pPr>
              <w:rPr>
                <w:sz w:val="18"/>
                <w:szCs w:val="18"/>
              </w:rPr>
            </w:pPr>
          </w:p>
        </w:tc>
        <w:tc>
          <w:tcPr>
            <w:tcW w:w="2591" w:type="dxa"/>
            <w:gridSpan w:val="2"/>
            <w:tcBorders>
              <w:top w:val="nil"/>
              <w:left w:val="nil"/>
              <w:bottom w:val="single" w:sz="4" w:space="0" w:color="auto"/>
              <w:right w:val="nil"/>
            </w:tcBorders>
            <w:shd w:val="clear" w:color="auto" w:fill="auto"/>
            <w:noWrap/>
            <w:vAlign w:val="center"/>
            <w:hideMark/>
          </w:tcPr>
          <w:p w14:paraId="57B9AA4C" w14:textId="77777777" w:rsidR="00894C14" w:rsidRPr="00872D7E" w:rsidRDefault="00894C14" w:rsidP="00336F42">
            <w:pPr>
              <w:jc w:val="center"/>
              <w:rPr>
                <w:b/>
                <w:bCs/>
                <w:color w:val="000000"/>
                <w:sz w:val="18"/>
                <w:szCs w:val="18"/>
              </w:rPr>
            </w:pPr>
            <w:r w:rsidRPr="00872D7E">
              <w:rPr>
                <w:b/>
                <w:bCs/>
                <w:color w:val="000000"/>
                <w:sz w:val="18"/>
                <w:szCs w:val="18"/>
              </w:rPr>
              <w:t>31 Aralık 2024</w:t>
            </w:r>
          </w:p>
        </w:tc>
        <w:tc>
          <w:tcPr>
            <w:tcW w:w="2485" w:type="dxa"/>
            <w:gridSpan w:val="2"/>
            <w:tcBorders>
              <w:top w:val="nil"/>
              <w:left w:val="nil"/>
              <w:bottom w:val="single" w:sz="4" w:space="0" w:color="auto"/>
              <w:right w:val="nil"/>
            </w:tcBorders>
            <w:shd w:val="clear" w:color="auto" w:fill="auto"/>
            <w:noWrap/>
            <w:vAlign w:val="center"/>
            <w:hideMark/>
          </w:tcPr>
          <w:p w14:paraId="08C71C00" w14:textId="77777777" w:rsidR="00894C14" w:rsidRPr="00872D7E" w:rsidRDefault="00894C14" w:rsidP="00336F42">
            <w:pPr>
              <w:jc w:val="center"/>
              <w:rPr>
                <w:b/>
                <w:bCs/>
                <w:color w:val="000000"/>
                <w:sz w:val="18"/>
                <w:szCs w:val="18"/>
              </w:rPr>
            </w:pPr>
            <w:r w:rsidRPr="00872D7E">
              <w:rPr>
                <w:b/>
                <w:bCs/>
                <w:color w:val="000000"/>
                <w:sz w:val="18"/>
                <w:szCs w:val="18"/>
              </w:rPr>
              <w:t>1 Ocak 2024</w:t>
            </w:r>
          </w:p>
        </w:tc>
      </w:tr>
      <w:tr w:rsidR="00894C14" w:rsidRPr="00872D7E" w14:paraId="55EBFA8A" w14:textId="77777777" w:rsidTr="00336F42">
        <w:trPr>
          <w:trHeight w:val="170"/>
        </w:trPr>
        <w:tc>
          <w:tcPr>
            <w:tcW w:w="4004" w:type="dxa"/>
            <w:tcBorders>
              <w:top w:val="nil"/>
              <w:left w:val="nil"/>
              <w:bottom w:val="single" w:sz="4" w:space="0" w:color="auto"/>
              <w:right w:val="nil"/>
            </w:tcBorders>
            <w:shd w:val="clear" w:color="auto" w:fill="auto"/>
            <w:vAlign w:val="center"/>
            <w:hideMark/>
          </w:tcPr>
          <w:p w14:paraId="19439D83" w14:textId="77777777" w:rsidR="00894C14" w:rsidRPr="00872D7E" w:rsidRDefault="00894C14" w:rsidP="00336F42">
            <w:pPr>
              <w:jc w:val="both"/>
              <w:rPr>
                <w:b/>
                <w:bCs/>
                <w:sz w:val="18"/>
                <w:szCs w:val="18"/>
              </w:rPr>
            </w:pPr>
            <w:r w:rsidRPr="00872D7E">
              <w:rPr>
                <w:b/>
                <w:bCs/>
                <w:sz w:val="18"/>
                <w:szCs w:val="18"/>
              </w:rPr>
              <w:t> </w:t>
            </w:r>
          </w:p>
        </w:tc>
        <w:tc>
          <w:tcPr>
            <w:tcW w:w="1436" w:type="dxa"/>
            <w:tcBorders>
              <w:top w:val="nil"/>
              <w:left w:val="nil"/>
              <w:bottom w:val="single" w:sz="4" w:space="0" w:color="auto"/>
              <w:right w:val="nil"/>
            </w:tcBorders>
            <w:shd w:val="clear" w:color="auto" w:fill="auto"/>
            <w:vAlign w:val="center"/>
            <w:hideMark/>
          </w:tcPr>
          <w:p w14:paraId="51FE6E19" w14:textId="77777777" w:rsidR="00894C14" w:rsidRPr="00872D7E" w:rsidRDefault="00894C14" w:rsidP="00336F42">
            <w:pPr>
              <w:jc w:val="right"/>
              <w:rPr>
                <w:b/>
                <w:bCs/>
                <w:sz w:val="18"/>
                <w:szCs w:val="18"/>
              </w:rPr>
            </w:pPr>
            <w:r w:rsidRPr="00872D7E">
              <w:rPr>
                <w:b/>
                <w:bCs/>
                <w:sz w:val="18"/>
                <w:szCs w:val="18"/>
              </w:rPr>
              <w:t>TP</w:t>
            </w:r>
          </w:p>
        </w:tc>
        <w:tc>
          <w:tcPr>
            <w:tcW w:w="1155" w:type="dxa"/>
            <w:tcBorders>
              <w:top w:val="nil"/>
              <w:left w:val="nil"/>
              <w:bottom w:val="single" w:sz="4" w:space="0" w:color="auto"/>
              <w:right w:val="nil"/>
            </w:tcBorders>
            <w:shd w:val="clear" w:color="auto" w:fill="auto"/>
            <w:vAlign w:val="center"/>
            <w:hideMark/>
          </w:tcPr>
          <w:p w14:paraId="28D2A82C" w14:textId="77777777" w:rsidR="00894C14" w:rsidRPr="00872D7E" w:rsidRDefault="00894C14" w:rsidP="00336F42">
            <w:pPr>
              <w:jc w:val="right"/>
              <w:rPr>
                <w:b/>
                <w:bCs/>
                <w:sz w:val="18"/>
                <w:szCs w:val="18"/>
              </w:rPr>
            </w:pPr>
            <w:r w:rsidRPr="00872D7E">
              <w:rPr>
                <w:b/>
                <w:bCs/>
                <w:sz w:val="18"/>
                <w:szCs w:val="18"/>
              </w:rPr>
              <w:t>YP</w:t>
            </w:r>
          </w:p>
        </w:tc>
        <w:tc>
          <w:tcPr>
            <w:tcW w:w="1347" w:type="dxa"/>
            <w:tcBorders>
              <w:top w:val="nil"/>
              <w:left w:val="nil"/>
              <w:bottom w:val="single" w:sz="4" w:space="0" w:color="auto"/>
              <w:right w:val="nil"/>
            </w:tcBorders>
            <w:shd w:val="clear" w:color="auto" w:fill="auto"/>
            <w:vAlign w:val="center"/>
            <w:hideMark/>
          </w:tcPr>
          <w:p w14:paraId="348A79D3" w14:textId="77777777" w:rsidR="00894C14" w:rsidRPr="00872D7E" w:rsidRDefault="00894C14" w:rsidP="00336F42">
            <w:pPr>
              <w:jc w:val="right"/>
              <w:rPr>
                <w:b/>
                <w:bCs/>
                <w:sz w:val="18"/>
                <w:szCs w:val="18"/>
              </w:rPr>
            </w:pPr>
            <w:r w:rsidRPr="00872D7E">
              <w:rPr>
                <w:b/>
                <w:bCs/>
                <w:sz w:val="18"/>
                <w:szCs w:val="18"/>
              </w:rPr>
              <w:t>TP</w:t>
            </w:r>
          </w:p>
        </w:tc>
        <w:tc>
          <w:tcPr>
            <w:tcW w:w="1138" w:type="dxa"/>
            <w:tcBorders>
              <w:top w:val="nil"/>
              <w:left w:val="nil"/>
              <w:bottom w:val="single" w:sz="4" w:space="0" w:color="auto"/>
              <w:right w:val="nil"/>
            </w:tcBorders>
            <w:shd w:val="clear" w:color="auto" w:fill="auto"/>
            <w:vAlign w:val="center"/>
            <w:hideMark/>
          </w:tcPr>
          <w:p w14:paraId="3F706553" w14:textId="77777777" w:rsidR="00894C14" w:rsidRPr="00872D7E" w:rsidRDefault="00894C14" w:rsidP="00336F42">
            <w:pPr>
              <w:jc w:val="right"/>
              <w:rPr>
                <w:b/>
                <w:bCs/>
                <w:sz w:val="18"/>
                <w:szCs w:val="18"/>
              </w:rPr>
            </w:pPr>
            <w:r w:rsidRPr="00872D7E">
              <w:rPr>
                <w:b/>
                <w:bCs/>
                <w:sz w:val="18"/>
                <w:szCs w:val="18"/>
              </w:rPr>
              <w:t>YP</w:t>
            </w:r>
          </w:p>
        </w:tc>
      </w:tr>
      <w:tr w:rsidR="00894C14" w:rsidRPr="00872D7E" w14:paraId="37466A20" w14:textId="77777777" w:rsidTr="00336F42">
        <w:trPr>
          <w:trHeight w:val="170"/>
        </w:trPr>
        <w:tc>
          <w:tcPr>
            <w:tcW w:w="4004" w:type="dxa"/>
            <w:tcBorders>
              <w:top w:val="nil"/>
              <w:left w:val="nil"/>
              <w:bottom w:val="nil"/>
              <w:right w:val="nil"/>
            </w:tcBorders>
            <w:shd w:val="clear" w:color="auto" w:fill="auto"/>
            <w:vAlign w:val="center"/>
            <w:hideMark/>
          </w:tcPr>
          <w:p w14:paraId="58F774B8" w14:textId="77777777" w:rsidR="00894C14" w:rsidRPr="00872D7E" w:rsidRDefault="00894C14" w:rsidP="00336F42">
            <w:pPr>
              <w:jc w:val="right"/>
              <w:rPr>
                <w:b/>
                <w:bCs/>
                <w:sz w:val="18"/>
                <w:szCs w:val="18"/>
              </w:rPr>
            </w:pPr>
          </w:p>
        </w:tc>
        <w:tc>
          <w:tcPr>
            <w:tcW w:w="1436" w:type="dxa"/>
            <w:tcBorders>
              <w:top w:val="nil"/>
              <w:left w:val="nil"/>
              <w:bottom w:val="nil"/>
              <w:right w:val="nil"/>
            </w:tcBorders>
            <w:shd w:val="clear" w:color="auto" w:fill="auto"/>
            <w:vAlign w:val="center"/>
            <w:hideMark/>
          </w:tcPr>
          <w:p w14:paraId="2845A8F6" w14:textId="77777777" w:rsidR="00894C14" w:rsidRPr="00872D7E" w:rsidRDefault="00894C14" w:rsidP="00336F42">
            <w:pPr>
              <w:jc w:val="both"/>
              <w:rPr>
                <w:sz w:val="18"/>
                <w:szCs w:val="18"/>
              </w:rPr>
            </w:pPr>
          </w:p>
        </w:tc>
        <w:tc>
          <w:tcPr>
            <w:tcW w:w="1155" w:type="dxa"/>
            <w:tcBorders>
              <w:top w:val="nil"/>
              <w:left w:val="nil"/>
              <w:bottom w:val="nil"/>
              <w:right w:val="nil"/>
            </w:tcBorders>
            <w:shd w:val="clear" w:color="auto" w:fill="auto"/>
            <w:vAlign w:val="center"/>
            <w:hideMark/>
          </w:tcPr>
          <w:p w14:paraId="136FB159" w14:textId="77777777" w:rsidR="00894C14" w:rsidRPr="00872D7E" w:rsidRDefault="00894C14" w:rsidP="00336F42">
            <w:pPr>
              <w:jc w:val="right"/>
              <w:rPr>
                <w:sz w:val="18"/>
                <w:szCs w:val="18"/>
              </w:rPr>
            </w:pPr>
          </w:p>
        </w:tc>
        <w:tc>
          <w:tcPr>
            <w:tcW w:w="1347" w:type="dxa"/>
            <w:tcBorders>
              <w:top w:val="nil"/>
              <w:left w:val="nil"/>
              <w:bottom w:val="nil"/>
              <w:right w:val="nil"/>
            </w:tcBorders>
            <w:shd w:val="clear" w:color="auto" w:fill="auto"/>
            <w:vAlign w:val="center"/>
            <w:hideMark/>
          </w:tcPr>
          <w:p w14:paraId="3EF35DDA" w14:textId="77777777" w:rsidR="00894C14" w:rsidRPr="00872D7E" w:rsidRDefault="00894C14" w:rsidP="00336F42">
            <w:pPr>
              <w:jc w:val="right"/>
              <w:rPr>
                <w:sz w:val="18"/>
                <w:szCs w:val="18"/>
              </w:rPr>
            </w:pPr>
          </w:p>
        </w:tc>
        <w:tc>
          <w:tcPr>
            <w:tcW w:w="1138" w:type="dxa"/>
            <w:tcBorders>
              <w:top w:val="nil"/>
              <w:left w:val="nil"/>
              <w:bottom w:val="nil"/>
              <w:right w:val="nil"/>
            </w:tcBorders>
            <w:shd w:val="clear" w:color="auto" w:fill="auto"/>
            <w:vAlign w:val="center"/>
            <w:hideMark/>
          </w:tcPr>
          <w:p w14:paraId="196448B8" w14:textId="77777777" w:rsidR="00894C14" w:rsidRPr="00872D7E" w:rsidRDefault="00894C14" w:rsidP="00336F42">
            <w:pPr>
              <w:jc w:val="right"/>
              <w:rPr>
                <w:sz w:val="18"/>
                <w:szCs w:val="18"/>
              </w:rPr>
            </w:pPr>
          </w:p>
        </w:tc>
      </w:tr>
      <w:tr w:rsidR="00894C14" w:rsidRPr="00872D7E" w14:paraId="0769457A" w14:textId="77777777" w:rsidTr="00336F42">
        <w:trPr>
          <w:trHeight w:val="170"/>
        </w:trPr>
        <w:tc>
          <w:tcPr>
            <w:tcW w:w="4004" w:type="dxa"/>
            <w:tcBorders>
              <w:top w:val="nil"/>
              <w:left w:val="nil"/>
              <w:bottom w:val="nil"/>
              <w:right w:val="nil"/>
            </w:tcBorders>
            <w:shd w:val="clear" w:color="auto" w:fill="auto"/>
            <w:vAlign w:val="center"/>
            <w:hideMark/>
          </w:tcPr>
          <w:p w14:paraId="236218B5" w14:textId="77777777" w:rsidR="00894C14" w:rsidRPr="00872D7E" w:rsidRDefault="00894C14" w:rsidP="00336F42">
            <w:pPr>
              <w:jc w:val="both"/>
              <w:rPr>
                <w:sz w:val="18"/>
                <w:szCs w:val="18"/>
              </w:rPr>
            </w:pPr>
            <w:r w:rsidRPr="00872D7E">
              <w:rPr>
                <w:sz w:val="18"/>
                <w:szCs w:val="18"/>
              </w:rPr>
              <w:t>Yatırım Fonu Katılım Belgeleri (Net)</w:t>
            </w:r>
          </w:p>
        </w:tc>
        <w:tc>
          <w:tcPr>
            <w:tcW w:w="1436" w:type="dxa"/>
            <w:tcBorders>
              <w:top w:val="nil"/>
              <w:left w:val="nil"/>
              <w:bottom w:val="nil"/>
              <w:right w:val="nil"/>
            </w:tcBorders>
            <w:shd w:val="clear" w:color="auto" w:fill="auto"/>
            <w:vAlign w:val="center"/>
            <w:hideMark/>
          </w:tcPr>
          <w:p w14:paraId="055A8B62" w14:textId="77777777" w:rsidR="00894C14" w:rsidRPr="00872D7E" w:rsidRDefault="00894C14" w:rsidP="00336F42">
            <w:pPr>
              <w:jc w:val="right"/>
              <w:rPr>
                <w:sz w:val="18"/>
                <w:szCs w:val="18"/>
              </w:rPr>
            </w:pPr>
            <w:r w:rsidRPr="00872D7E">
              <w:rPr>
                <w:sz w:val="18"/>
                <w:szCs w:val="18"/>
              </w:rPr>
              <w:t>947</w:t>
            </w:r>
          </w:p>
        </w:tc>
        <w:tc>
          <w:tcPr>
            <w:tcW w:w="1155" w:type="dxa"/>
            <w:tcBorders>
              <w:top w:val="nil"/>
              <w:left w:val="nil"/>
              <w:bottom w:val="nil"/>
              <w:right w:val="nil"/>
            </w:tcBorders>
            <w:shd w:val="clear" w:color="auto" w:fill="auto"/>
            <w:vAlign w:val="center"/>
            <w:hideMark/>
          </w:tcPr>
          <w:p w14:paraId="7DA1E7D8" w14:textId="77777777" w:rsidR="00894C14" w:rsidRPr="00872D7E" w:rsidRDefault="00894C14" w:rsidP="00336F42">
            <w:pPr>
              <w:jc w:val="right"/>
              <w:rPr>
                <w:sz w:val="18"/>
                <w:szCs w:val="18"/>
              </w:rPr>
            </w:pPr>
            <w:r w:rsidRPr="00872D7E">
              <w:rPr>
                <w:sz w:val="18"/>
                <w:szCs w:val="18"/>
              </w:rPr>
              <w:t>-</w:t>
            </w:r>
          </w:p>
        </w:tc>
        <w:tc>
          <w:tcPr>
            <w:tcW w:w="1347" w:type="dxa"/>
            <w:tcBorders>
              <w:top w:val="nil"/>
              <w:left w:val="nil"/>
              <w:bottom w:val="nil"/>
              <w:right w:val="nil"/>
            </w:tcBorders>
            <w:shd w:val="clear" w:color="auto" w:fill="auto"/>
            <w:vAlign w:val="center"/>
            <w:hideMark/>
          </w:tcPr>
          <w:p w14:paraId="474840FB" w14:textId="77777777" w:rsidR="00894C14" w:rsidRPr="00872D7E" w:rsidRDefault="00894C14" w:rsidP="00336F42">
            <w:pPr>
              <w:jc w:val="right"/>
              <w:rPr>
                <w:sz w:val="18"/>
                <w:szCs w:val="18"/>
              </w:rPr>
            </w:pPr>
            <w:r w:rsidRPr="00872D7E">
              <w:rPr>
                <w:sz w:val="18"/>
                <w:szCs w:val="18"/>
              </w:rPr>
              <w:t>111.343</w:t>
            </w:r>
          </w:p>
        </w:tc>
        <w:tc>
          <w:tcPr>
            <w:tcW w:w="1138" w:type="dxa"/>
            <w:tcBorders>
              <w:top w:val="nil"/>
              <w:left w:val="nil"/>
              <w:bottom w:val="nil"/>
              <w:right w:val="nil"/>
            </w:tcBorders>
            <w:shd w:val="clear" w:color="auto" w:fill="auto"/>
            <w:vAlign w:val="center"/>
            <w:hideMark/>
          </w:tcPr>
          <w:p w14:paraId="39F1AC3C" w14:textId="77777777" w:rsidR="00894C14" w:rsidRPr="00872D7E" w:rsidRDefault="00894C14" w:rsidP="00336F42">
            <w:pPr>
              <w:jc w:val="right"/>
              <w:rPr>
                <w:sz w:val="18"/>
                <w:szCs w:val="18"/>
              </w:rPr>
            </w:pPr>
            <w:r w:rsidRPr="00872D7E">
              <w:rPr>
                <w:sz w:val="18"/>
                <w:szCs w:val="18"/>
              </w:rPr>
              <w:t>-</w:t>
            </w:r>
          </w:p>
        </w:tc>
      </w:tr>
      <w:tr w:rsidR="00894C14" w:rsidRPr="00872D7E" w14:paraId="726DC5F8" w14:textId="77777777" w:rsidTr="00336F42">
        <w:trPr>
          <w:trHeight w:val="170"/>
        </w:trPr>
        <w:tc>
          <w:tcPr>
            <w:tcW w:w="4004" w:type="dxa"/>
            <w:tcBorders>
              <w:top w:val="nil"/>
              <w:left w:val="nil"/>
              <w:bottom w:val="nil"/>
              <w:right w:val="nil"/>
            </w:tcBorders>
            <w:shd w:val="clear" w:color="auto" w:fill="auto"/>
            <w:vAlign w:val="center"/>
            <w:hideMark/>
          </w:tcPr>
          <w:p w14:paraId="6C9B1E54" w14:textId="77777777" w:rsidR="00894C14" w:rsidRPr="00872D7E" w:rsidRDefault="00894C14" w:rsidP="00336F42">
            <w:pPr>
              <w:jc w:val="both"/>
              <w:rPr>
                <w:sz w:val="18"/>
                <w:szCs w:val="18"/>
              </w:rPr>
            </w:pPr>
            <w:r w:rsidRPr="00872D7E">
              <w:rPr>
                <w:sz w:val="18"/>
                <w:szCs w:val="18"/>
              </w:rPr>
              <w:t>Kira Sertifikası</w:t>
            </w:r>
          </w:p>
        </w:tc>
        <w:tc>
          <w:tcPr>
            <w:tcW w:w="1436" w:type="dxa"/>
            <w:tcBorders>
              <w:top w:val="nil"/>
              <w:left w:val="nil"/>
              <w:bottom w:val="nil"/>
              <w:right w:val="nil"/>
            </w:tcBorders>
            <w:shd w:val="clear" w:color="auto" w:fill="auto"/>
            <w:vAlign w:val="center"/>
            <w:hideMark/>
          </w:tcPr>
          <w:p w14:paraId="15E76186" w14:textId="77777777" w:rsidR="00894C14" w:rsidRPr="00872D7E" w:rsidRDefault="00894C14" w:rsidP="00336F42">
            <w:pPr>
              <w:jc w:val="right"/>
              <w:rPr>
                <w:sz w:val="18"/>
                <w:szCs w:val="18"/>
              </w:rPr>
            </w:pPr>
            <w:r w:rsidRPr="00872D7E">
              <w:rPr>
                <w:sz w:val="18"/>
                <w:szCs w:val="18"/>
              </w:rPr>
              <w:t>-</w:t>
            </w:r>
          </w:p>
        </w:tc>
        <w:tc>
          <w:tcPr>
            <w:tcW w:w="1155" w:type="dxa"/>
            <w:tcBorders>
              <w:top w:val="nil"/>
              <w:left w:val="nil"/>
              <w:bottom w:val="nil"/>
              <w:right w:val="nil"/>
            </w:tcBorders>
            <w:shd w:val="clear" w:color="auto" w:fill="auto"/>
            <w:vAlign w:val="center"/>
            <w:hideMark/>
          </w:tcPr>
          <w:p w14:paraId="6894FF75" w14:textId="77777777" w:rsidR="00894C14" w:rsidRPr="00872D7E" w:rsidRDefault="00894C14" w:rsidP="00336F42">
            <w:pPr>
              <w:jc w:val="right"/>
              <w:rPr>
                <w:sz w:val="18"/>
                <w:szCs w:val="18"/>
              </w:rPr>
            </w:pPr>
            <w:r w:rsidRPr="00872D7E">
              <w:rPr>
                <w:sz w:val="18"/>
                <w:szCs w:val="18"/>
              </w:rPr>
              <w:t>132.336</w:t>
            </w:r>
          </w:p>
        </w:tc>
        <w:tc>
          <w:tcPr>
            <w:tcW w:w="1347" w:type="dxa"/>
            <w:tcBorders>
              <w:top w:val="nil"/>
              <w:left w:val="nil"/>
              <w:bottom w:val="nil"/>
              <w:right w:val="nil"/>
            </w:tcBorders>
            <w:shd w:val="clear" w:color="auto" w:fill="auto"/>
            <w:vAlign w:val="center"/>
            <w:hideMark/>
          </w:tcPr>
          <w:p w14:paraId="37192B08" w14:textId="77777777" w:rsidR="00894C14" w:rsidRPr="00872D7E" w:rsidRDefault="00894C14" w:rsidP="00336F42">
            <w:pPr>
              <w:jc w:val="right"/>
              <w:rPr>
                <w:sz w:val="18"/>
                <w:szCs w:val="18"/>
              </w:rPr>
            </w:pPr>
            <w:r w:rsidRPr="00872D7E">
              <w:rPr>
                <w:sz w:val="18"/>
                <w:szCs w:val="18"/>
              </w:rPr>
              <w:t>-</w:t>
            </w:r>
          </w:p>
        </w:tc>
        <w:tc>
          <w:tcPr>
            <w:tcW w:w="1138" w:type="dxa"/>
            <w:tcBorders>
              <w:top w:val="nil"/>
              <w:left w:val="nil"/>
              <w:bottom w:val="nil"/>
              <w:right w:val="nil"/>
            </w:tcBorders>
            <w:shd w:val="clear" w:color="auto" w:fill="auto"/>
            <w:vAlign w:val="center"/>
            <w:hideMark/>
          </w:tcPr>
          <w:p w14:paraId="5B94B197" w14:textId="77777777" w:rsidR="00894C14" w:rsidRPr="00872D7E" w:rsidRDefault="00894C14" w:rsidP="00336F42">
            <w:pPr>
              <w:jc w:val="right"/>
              <w:rPr>
                <w:sz w:val="18"/>
                <w:szCs w:val="18"/>
              </w:rPr>
            </w:pPr>
            <w:r w:rsidRPr="00872D7E">
              <w:rPr>
                <w:sz w:val="18"/>
                <w:szCs w:val="18"/>
              </w:rPr>
              <w:t>-</w:t>
            </w:r>
          </w:p>
        </w:tc>
      </w:tr>
      <w:tr w:rsidR="00894C14" w:rsidRPr="00872D7E" w14:paraId="1D5BCC64" w14:textId="77777777" w:rsidTr="00336F42">
        <w:trPr>
          <w:trHeight w:val="170"/>
        </w:trPr>
        <w:tc>
          <w:tcPr>
            <w:tcW w:w="4004" w:type="dxa"/>
            <w:tcBorders>
              <w:top w:val="nil"/>
              <w:left w:val="nil"/>
              <w:bottom w:val="nil"/>
              <w:right w:val="nil"/>
            </w:tcBorders>
            <w:shd w:val="clear" w:color="auto" w:fill="auto"/>
            <w:noWrap/>
            <w:vAlign w:val="center"/>
            <w:hideMark/>
          </w:tcPr>
          <w:p w14:paraId="7850AC4F" w14:textId="77777777" w:rsidR="00894C14" w:rsidRPr="00872D7E" w:rsidRDefault="00894C14" w:rsidP="00336F42">
            <w:pPr>
              <w:rPr>
                <w:sz w:val="18"/>
                <w:szCs w:val="18"/>
              </w:rPr>
            </w:pPr>
            <w:r w:rsidRPr="00872D7E">
              <w:rPr>
                <w:sz w:val="18"/>
                <w:szCs w:val="18"/>
              </w:rPr>
              <w:t>Sermayede Payı Temsil Eden Menkul Değerler</w:t>
            </w:r>
          </w:p>
        </w:tc>
        <w:tc>
          <w:tcPr>
            <w:tcW w:w="1436" w:type="dxa"/>
            <w:tcBorders>
              <w:top w:val="nil"/>
              <w:left w:val="nil"/>
              <w:bottom w:val="nil"/>
              <w:right w:val="nil"/>
            </w:tcBorders>
            <w:shd w:val="clear" w:color="auto" w:fill="auto"/>
            <w:vAlign w:val="center"/>
            <w:hideMark/>
          </w:tcPr>
          <w:p w14:paraId="49EF3E39" w14:textId="77777777" w:rsidR="00894C14" w:rsidRPr="00872D7E" w:rsidRDefault="00894C14" w:rsidP="00336F42">
            <w:pPr>
              <w:jc w:val="right"/>
              <w:rPr>
                <w:sz w:val="18"/>
                <w:szCs w:val="18"/>
              </w:rPr>
            </w:pPr>
            <w:r w:rsidRPr="00872D7E">
              <w:rPr>
                <w:sz w:val="18"/>
                <w:szCs w:val="18"/>
              </w:rPr>
              <w:t>15</w:t>
            </w:r>
          </w:p>
        </w:tc>
        <w:tc>
          <w:tcPr>
            <w:tcW w:w="1155" w:type="dxa"/>
            <w:tcBorders>
              <w:top w:val="nil"/>
              <w:left w:val="nil"/>
              <w:bottom w:val="nil"/>
              <w:right w:val="nil"/>
            </w:tcBorders>
            <w:shd w:val="clear" w:color="auto" w:fill="auto"/>
            <w:vAlign w:val="center"/>
            <w:hideMark/>
          </w:tcPr>
          <w:p w14:paraId="7A32DD5B" w14:textId="77777777" w:rsidR="00894C14" w:rsidRPr="00872D7E" w:rsidRDefault="00894C14" w:rsidP="00336F42">
            <w:pPr>
              <w:jc w:val="right"/>
              <w:rPr>
                <w:sz w:val="18"/>
                <w:szCs w:val="18"/>
              </w:rPr>
            </w:pPr>
            <w:r w:rsidRPr="00872D7E">
              <w:rPr>
                <w:sz w:val="18"/>
                <w:szCs w:val="18"/>
              </w:rPr>
              <w:t>-</w:t>
            </w:r>
          </w:p>
        </w:tc>
        <w:tc>
          <w:tcPr>
            <w:tcW w:w="1347" w:type="dxa"/>
            <w:tcBorders>
              <w:top w:val="nil"/>
              <w:left w:val="nil"/>
              <w:bottom w:val="nil"/>
              <w:right w:val="nil"/>
            </w:tcBorders>
            <w:shd w:val="clear" w:color="auto" w:fill="auto"/>
            <w:vAlign w:val="center"/>
            <w:hideMark/>
          </w:tcPr>
          <w:p w14:paraId="0C62E54C" w14:textId="77777777" w:rsidR="00894C14" w:rsidRPr="00872D7E" w:rsidRDefault="00894C14" w:rsidP="00336F42">
            <w:pPr>
              <w:jc w:val="right"/>
              <w:rPr>
                <w:sz w:val="18"/>
                <w:szCs w:val="18"/>
              </w:rPr>
            </w:pPr>
            <w:r w:rsidRPr="00872D7E">
              <w:rPr>
                <w:sz w:val="18"/>
                <w:szCs w:val="18"/>
              </w:rPr>
              <w:t>15</w:t>
            </w:r>
          </w:p>
        </w:tc>
        <w:tc>
          <w:tcPr>
            <w:tcW w:w="1138" w:type="dxa"/>
            <w:tcBorders>
              <w:top w:val="nil"/>
              <w:left w:val="nil"/>
              <w:bottom w:val="nil"/>
              <w:right w:val="nil"/>
            </w:tcBorders>
            <w:shd w:val="clear" w:color="auto" w:fill="auto"/>
            <w:vAlign w:val="center"/>
            <w:hideMark/>
          </w:tcPr>
          <w:p w14:paraId="49034430" w14:textId="77777777" w:rsidR="00894C14" w:rsidRPr="00872D7E" w:rsidRDefault="00894C14" w:rsidP="00336F42">
            <w:pPr>
              <w:jc w:val="right"/>
              <w:rPr>
                <w:sz w:val="18"/>
                <w:szCs w:val="18"/>
              </w:rPr>
            </w:pPr>
            <w:r w:rsidRPr="00872D7E">
              <w:rPr>
                <w:sz w:val="18"/>
                <w:szCs w:val="18"/>
              </w:rPr>
              <w:t>-</w:t>
            </w:r>
          </w:p>
        </w:tc>
      </w:tr>
      <w:tr w:rsidR="00894C14" w:rsidRPr="00872D7E" w14:paraId="2C44C136" w14:textId="77777777" w:rsidTr="00336F42">
        <w:trPr>
          <w:trHeight w:val="170"/>
        </w:trPr>
        <w:tc>
          <w:tcPr>
            <w:tcW w:w="4004" w:type="dxa"/>
            <w:tcBorders>
              <w:top w:val="nil"/>
              <w:left w:val="nil"/>
              <w:bottom w:val="single" w:sz="4" w:space="0" w:color="auto"/>
              <w:right w:val="nil"/>
            </w:tcBorders>
            <w:shd w:val="clear" w:color="auto" w:fill="auto"/>
            <w:vAlign w:val="center"/>
            <w:hideMark/>
          </w:tcPr>
          <w:p w14:paraId="65BCE1D5" w14:textId="77777777" w:rsidR="00894C14" w:rsidRPr="00872D7E" w:rsidRDefault="00894C14" w:rsidP="00336F42">
            <w:pPr>
              <w:jc w:val="both"/>
              <w:rPr>
                <w:sz w:val="18"/>
                <w:szCs w:val="18"/>
              </w:rPr>
            </w:pPr>
            <w:r w:rsidRPr="00872D7E">
              <w:rPr>
                <w:sz w:val="18"/>
                <w:szCs w:val="18"/>
              </w:rPr>
              <w:t>Diğer</w:t>
            </w:r>
          </w:p>
        </w:tc>
        <w:tc>
          <w:tcPr>
            <w:tcW w:w="1436" w:type="dxa"/>
            <w:tcBorders>
              <w:top w:val="nil"/>
              <w:left w:val="nil"/>
              <w:bottom w:val="single" w:sz="4" w:space="0" w:color="auto"/>
              <w:right w:val="nil"/>
            </w:tcBorders>
            <w:shd w:val="clear" w:color="auto" w:fill="auto"/>
            <w:vAlign w:val="center"/>
            <w:hideMark/>
          </w:tcPr>
          <w:p w14:paraId="1A30897D" w14:textId="77777777" w:rsidR="00894C14" w:rsidRPr="00872D7E" w:rsidRDefault="00894C14" w:rsidP="00336F42">
            <w:pPr>
              <w:jc w:val="right"/>
              <w:rPr>
                <w:sz w:val="18"/>
                <w:szCs w:val="18"/>
              </w:rPr>
            </w:pPr>
            <w:r w:rsidRPr="00872D7E">
              <w:rPr>
                <w:sz w:val="18"/>
                <w:szCs w:val="18"/>
              </w:rPr>
              <w:t>-</w:t>
            </w:r>
          </w:p>
        </w:tc>
        <w:tc>
          <w:tcPr>
            <w:tcW w:w="1155" w:type="dxa"/>
            <w:tcBorders>
              <w:top w:val="nil"/>
              <w:left w:val="nil"/>
              <w:bottom w:val="single" w:sz="4" w:space="0" w:color="auto"/>
              <w:right w:val="nil"/>
            </w:tcBorders>
            <w:shd w:val="clear" w:color="auto" w:fill="auto"/>
            <w:vAlign w:val="center"/>
            <w:hideMark/>
          </w:tcPr>
          <w:p w14:paraId="53174378" w14:textId="77777777" w:rsidR="00894C14" w:rsidRPr="00872D7E" w:rsidRDefault="00894C14" w:rsidP="00336F42">
            <w:pPr>
              <w:jc w:val="right"/>
              <w:rPr>
                <w:sz w:val="18"/>
                <w:szCs w:val="18"/>
              </w:rPr>
            </w:pPr>
            <w:r w:rsidRPr="00872D7E">
              <w:rPr>
                <w:sz w:val="18"/>
                <w:szCs w:val="18"/>
              </w:rPr>
              <w:t>-</w:t>
            </w:r>
          </w:p>
        </w:tc>
        <w:tc>
          <w:tcPr>
            <w:tcW w:w="1347" w:type="dxa"/>
            <w:tcBorders>
              <w:top w:val="nil"/>
              <w:left w:val="nil"/>
              <w:bottom w:val="single" w:sz="4" w:space="0" w:color="auto"/>
              <w:right w:val="nil"/>
            </w:tcBorders>
            <w:shd w:val="clear" w:color="auto" w:fill="auto"/>
            <w:vAlign w:val="center"/>
            <w:hideMark/>
          </w:tcPr>
          <w:p w14:paraId="3E84423D" w14:textId="77777777" w:rsidR="00894C14" w:rsidRPr="00872D7E" w:rsidRDefault="00894C14" w:rsidP="00336F42">
            <w:pPr>
              <w:jc w:val="right"/>
              <w:rPr>
                <w:sz w:val="18"/>
                <w:szCs w:val="18"/>
              </w:rPr>
            </w:pPr>
            <w:r w:rsidRPr="00872D7E">
              <w:rPr>
                <w:sz w:val="18"/>
                <w:szCs w:val="18"/>
              </w:rPr>
              <w:t>-</w:t>
            </w:r>
          </w:p>
        </w:tc>
        <w:tc>
          <w:tcPr>
            <w:tcW w:w="1138" w:type="dxa"/>
            <w:tcBorders>
              <w:top w:val="nil"/>
              <w:left w:val="nil"/>
              <w:bottom w:val="single" w:sz="4" w:space="0" w:color="auto"/>
              <w:right w:val="nil"/>
            </w:tcBorders>
            <w:shd w:val="clear" w:color="auto" w:fill="auto"/>
            <w:vAlign w:val="center"/>
            <w:hideMark/>
          </w:tcPr>
          <w:p w14:paraId="72EDEA5C" w14:textId="77777777" w:rsidR="00894C14" w:rsidRPr="00872D7E" w:rsidRDefault="00894C14" w:rsidP="00336F42">
            <w:pPr>
              <w:jc w:val="right"/>
              <w:rPr>
                <w:sz w:val="18"/>
                <w:szCs w:val="18"/>
              </w:rPr>
            </w:pPr>
            <w:r w:rsidRPr="00872D7E">
              <w:rPr>
                <w:sz w:val="18"/>
                <w:szCs w:val="18"/>
              </w:rPr>
              <w:t>-</w:t>
            </w:r>
          </w:p>
        </w:tc>
      </w:tr>
      <w:tr w:rsidR="00894C14" w:rsidRPr="00872D7E" w14:paraId="59D89566" w14:textId="77777777" w:rsidTr="00336F42">
        <w:trPr>
          <w:trHeight w:val="170"/>
        </w:trPr>
        <w:tc>
          <w:tcPr>
            <w:tcW w:w="4004" w:type="dxa"/>
            <w:tcBorders>
              <w:top w:val="nil"/>
              <w:left w:val="nil"/>
              <w:right w:val="nil"/>
            </w:tcBorders>
            <w:shd w:val="clear" w:color="auto" w:fill="auto"/>
            <w:vAlign w:val="center"/>
            <w:hideMark/>
          </w:tcPr>
          <w:p w14:paraId="64B4FCC5" w14:textId="77777777" w:rsidR="00894C14" w:rsidRPr="00872D7E" w:rsidRDefault="00894C14" w:rsidP="00336F42">
            <w:pPr>
              <w:jc w:val="right"/>
              <w:rPr>
                <w:sz w:val="18"/>
                <w:szCs w:val="18"/>
              </w:rPr>
            </w:pPr>
          </w:p>
        </w:tc>
        <w:tc>
          <w:tcPr>
            <w:tcW w:w="1436" w:type="dxa"/>
            <w:tcBorders>
              <w:top w:val="nil"/>
              <w:left w:val="nil"/>
              <w:right w:val="nil"/>
            </w:tcBorders>
            <w:shd w:val="clear" w:color="auto" w:fill="auto"/>
            <w:vAlign w:val="center"/>
            <w:hideMark/>
          </w:tcPr>
          <w:p w14:paraId="0E520EB3" w14:textId="77777777" w:rsidR="00894C14" w:rsidRPr="00872D7E" w:rsidRDefault="00894C14" w:rsidP="00336F42">
            <w:pPr>
              <w:jc w:val="both"/>
              <w:rPr>
                <w:sz w:val="18"/>
                <w:szCs w:val="18"/>
              </w:rPr>
            </w:pPr>
          </w:p>
        </w:tc>
        <w:tc>
          <w:tcPr>
            <w:tcW w:w="1155" w:type="dxa"/>
            <w:tcBorders>
              <w:top w:val="nil"/>
              <w:left w:val="nil"/>
              <w:right w:val="nil"/>
            </w:tcBorders>
            <w:shd w:val="clear" w:color="auto" w:fill="auto"/>
            <w:vAlign w:val="center"/>
            <w:hideMark/>
          </w:tcPr>
          <w:p w14:paraId="7D0AA98A" w14:textId="77777777" w:rsidR="00894C14" w:rsidRPr="00872D7E" w:rsidRDefault="00894C14" w:rsidP="00336F42">
            <w:pPr>
              <w:jc w:val="right"/>
              <w:rPr>
                <w:sz w:val="18"/>
                <w:szCs w:val="18"/>
              </w:rPr>
            </w:pPr>
          </w:p>
        </w:tc>
        <w:tc>
          <w:tcPr>
            <w:tcW w:w="1347" w:type="dxa"/>
            <w:tcBorders>
              <w:top w:val="nil"/>
              <w:left w:val="nil"/>
              <w:right w:val="nil"/>
            </w:tcBorders>
            <w:shd w:val="clear" w:color="auto" w:fill="auto"/>
            <w:vAlign w:val="center"/>
            <w:hideMark/>
          </w:tcPr>
          <w:p w14:paraId="1D16FC09" w14:textId="77777777" w:rsidR="00894C14" w:rsidRPr="00872D7E" w:rsidRDefault="00894C14" w:rsidP="00336F42">
            <w:pPr>
              <w:jc w:val="right"/>
              <w:rPr>
                <w:sz w:val="18"/>
                <w:szCs w:val="18"/>
              </w:rPr>
            </w:pPr>
          </w:p>
        </w:tc>
        <w:tc>
          <w:tcPr>
            <w:tcW w:w="1138" w:type="dxa"/>
            <w:tcBorders>
              <w:top w:val="nil"/>
              <w:left w:val="nil"/>
              <w:right w:val="nil"/>
            </w:tcBorders>
            <w:shd w:val="clear" w:color="auto" w:fill="auto"/>
            <w:vAlign w:val="center"/>
            <w:hideMark/>
          </w:tcPr>
          <w:p w14:paraId="15CFA423" w14:textId="77777777" w:rsidR="00894C14" w:rsidRPr="00872D7E" w:rsidRDefault="00894C14" w:rsidP="00336F42">
            <w:pPr>
              <w:jc w:val="right"/>
              <w:rPr>
                <w:sz w:val="18"/>
                <w:szCs w:val="18"/>
              </w:rPr>
            </w:pPr>
          </w:p>
        </w:tc>
      </w:tr>
      <w:tr w:rsidR="00894C14" w:rsidRPr="00872D7E" w14:paraId="3BE95263" w14:textId="77777777" w:rsidTr="00336F42">
        <w:trPr>
          <w:trHeight w:val="170"/>
        </w:trPr>
        <w:tc>
          <w:tcPr>
            <w:tcW w:w="4004" w:type="dxa"/>
            <w:tcBorders>
              <w:top w:val="nil"/>
              <w:left w:val="nil"/>
              <w:bottom w:val="single" w:sz="12" w:space="0" w:color="auto"/>
              <w:right w:val="nil"/>
            </w:tcBorders>
            <w:shd w:val="clear" w:color="auto" w:fill="auto"/>
            <w:vAlign w:val="center"/>
            <w:hideMark/>
          </w:tcPr>
          <w:p w14:paraId="64E85D38" w14:textId="77777777" w:rsidR="00894C14" w:rsidRPr="00872D7E" w:rsidRDefault="00894C14" w:rsidP="00336F42">
            <w:pPr>
              <w:jc w:val="both"/>
              <w:rPr>
                <w:b/>
                <w:bCs/>
                <w:sz w:val="18"/>
                <w:szCs w:val="18"/>
              </w:rPr>
            </w:pPr>
            <w:r w:rsidRPr="00872D7E">
              <w:rPr>
                <w:b/>
                <w:bCs/>
                <w:sz w:val="18"/>
                <w:szCs w:val="18"/>
              </w:rPr>
              <w:t>Toplam</w:t>
            </w:r>
          </w:p>
        </w:tc>
        <w:tc>
          <w:tcPr>
            <w:tcW w:w="1436" w:type="dxa"/>
            <w:tcBorders>
              <w:top w:val="nil"/>
              <w:left w:val="nil"/>
              <w:bottom w:val="single" w:sz="12" w:space="0" w:color="auto"/>
              <w:right w:val="nil"/>
            </w:tcBorders>
            <w:shd w:val="clear" w:color="auto" w:fill="auto"/>
            <w:vAlign w:val="center"/>
            <w:hideMark/>
          </w:tcPr>
          <w:p w14:paraId="414D0E27" w14:textId="77777777" w:rsidR="00894C14" w:rsidRPr="00872D7E" w:rsidRDefault="00894C14" w:rsidP="00336F42">
            <w:pPr>
              <w:jc w:val="right"/>
              <w:rPr>
                <w:b/>
                <w:bCs/>
                <w:sz w:val="18"/>
                <w:szCs w:val="18"/>
              </w:rPr>
            </w:pPr>
            <w:r w:rsidRPr="00872D7E">
              <w:rPr>
                <w:b/>
                <w:bCs/>
                <w:sz w:val="18"/>
                <w:szCs w:val="18"/>
              </w:rPr>
              <w:t>962</w:t>
            </w:r>
          </w:p>
        </w:tc>
        <w:tc>
          <w:tcPr>
            <w:tcW w:w="1155" w:type="dxa"/>
            <w:tcBorders>
              <w:top w:val="nil"/>
              <w:left w:val="nil"/>
              <w:bottom w:val="single" w:sz="12" w:space="0" w:color="auto"/>
              <w:right w:val="nil"/>
            </w:tcBorders>
            <w:shd w:val="clear" w:color="auto" w:fill="auto"/>
            <w:vAlign w:val="center"/>
            <w:hideMark/>
          </w:tcPr>
          <w:p w14:paraId="4424BBB8" w14:textId="77777777" w:rsidR="00894C14" w:rsidRPr="00872D7E" w:rsidRDefault="00894C14" w:rsidP="00336F42">
            <w:pPr>
              <w:jc w:val="right"/>
              <w:rPr>
                <w:b/>
                <w:bCs/>
                <w:sz w:val="18"/>
                <w:szCs w:val="18"/>
              </w:rPr>
            </w:pPr>
            <w:r w:rsidRPr="00872D7E">
              <w:rPr>
                <w:b/>
                <w:bCs/>
                <w:sz w:val="18"/>
                <w:szCs w:val="18"/>
              </w:rPr>
              <w:t>132.336</w:t>
            </w:r>
          </w:p>
        </w:tc>
        <w:tc>
          <w:tcPr>
            <w:tcW w:w="1347" w:type="dxa"/>
            <w:tcBorders>
              <w:top w:val="nil"/>
              <w:left w:val="nil"/>
              <w:bottom w:val="single" w:sz="12" w:space="0" w:color="auto"/>
              <w:right w:val="nil"/>
            </w:tcBorders>
            <w:shd w:val="clear" w:color="auto" w:fill="auto"/>
            <w:vAlign w:val="center"/>
            <w:hideMark/>
          </w:tcPr>
          <w:p w14:paraId="50425B9B" w14:textId="77777777" w:rsidR="00894C14" w:rsidRPr="00872D7E" w:rsidRDefault="00894C14" w:rsidP="00336F42">
            <w:pPr>
              <w:jc w:val="right"/>
              <w:rPr>
                <w:b/>
                <w:bCs/>
                <w:sz w:val="18"/>
                <w:szCs w:val="18"/>
              </w:rPr>
            </w:pPr>
            <w:r w:rsidRPr="00872D7E">
              <w:rPr>
                <w:b/>
                <w:bCs/>
                <w:sz w:val="18"/>
                <w:szCs w:val="18"/>
              </w:rPr>
              <w:t>111.358</w:t>
            </w:r>
          </w:p>
        </w:tc>
        <w:tc>
          <w:tcPr>
            <w:tcW w:w="1138" w:type="dxa"/>
            <w:tcBorders>
              <w:top w:val="nil"/>
              <w:left w:val="nil"/>
              <w:bottom w:val="single" w:sz="12" w:space="0" w:color="auto"/>
              <w:right w:val="nil"/>
            </w:tcBorders>
            <w:shd w:val="clear" w:color="auto" w:fill="auto"/>
            <w:vAlign w:val="center"/>
            <w:hideMark/>
          </w:tcPr>
          <w:p w14:paraId="1CC13A61" w14:textId="77777777" w:rsidR="00894C14" w:rsidRPr="00872D7E" w:rsidRDefault="00894C14" w:rsidP="00336F42">
            <w:pPr>
              <w:jc w:val="right"/>
              <w:rPr>
                <w:b/>
                <w:bCs/>
                <w:sz w:val="18"/>
                <w:szCs w:val="18"/>
              </w:rPr>
            </w:pPr>
            <w:r w:rsidRPr="00872D7E">
              <w:rPr>
                <w:b/>
                <w:bCs/>
                <w:sz w:val="18"/>
                <w:szCs w:val="18"/>
              </w:rPr>
              <w:t>-</w:t>
            </w:r>
          </w:p>
        </w:tc>
      </w:tr>
    </w:tbl>
    <w:p w14:paraId="4E5D24B0" w14:textId="2D216DA0" w:rsidR="001664DE" w:rsidRPr="00872D7E" w:rsidRDefault="001664DE">
      <w:pPr>
        <w:rPr>
          <w:b/>
          <w:szCs w:val="20"/>
        </w:rPr>
      </w:pPr>
      <w:r w:rsidRPr="00872D7E">
        <w:rPr>
          <w:b/>
          <w:szCs w:val="20"/>
        </w:rPr>
        <w:br w:type="page"/>
      </w:r>
    </w:p>
    <w:p w14:paraId="39224415" w14:textId="77F35DA9" w:rsidR="00EE6955" w:rsidRPr="00872D7E" w:rsidRDefault="001B69AF" w:rsidP="001B69AF">
      <w:pPr>
        <w:widowControl w:val="0"/>
        <w:ind w:left="720" w:hanging="720"/>
        <w:jc w:val="both"/>
        <w:rPr>
          <w:b/>
          <w:szCs w:val="20"/>
        </w:rPr>
      </w:pPr>
      <w:r w:rsidRPr="00872D7E">
        <w:rPr>
          <w:b/>
          <w:szCs w:val="20"/>
        </w:rPr>
        <w:lastRenderedPageBreak/>
        <w:t>KONSOLİDE OLMAYAN FİNANSAL TABLOLARA İLİŞKİN AÇIKLAMA VE DİPNOTLAR (Devamı)</w:t>
      </w:r>
    </w:p>
    <w:p w14:paraId="26C39B1C" w14:textId="77777777" w:rsidR="00EE6955" w:rsidRPr="00872D7E" w:rsidRDefault="00EE6955" w:rsidP="00E80631">
      <w:pPr>
        <w:pStyle w:val="ListParagraph"/>
        <w:widowControl w:val="0"/>
        <w:ind w:left="14" w:right="452"/>
        <w:jc w:val="both"/>
        <w:rPr>
          <w:b/>
          <w:szCs w:val="20"/>
        </w:rPr>
      </w:pPr>
    </w:p>
    <w:p w14:paraId="4AD31F21" w14:textId="77777777" w:rsidR="0010170A" w:rsidRPr="00872D7E" w:rsidRDefault="0010170A" w:rsidP="00993050">
      <w:pPr>
        <w:pStyle w:val="ListParagraph"/>
        <w:widowControl w:val="0"/>
        <w:numPr>
          <w:ilvl w:val="0"/>
          <w:numId w:val="69"/>
        </w:numPr>
        <w:ind w:left="851" w:hanging="862"/>
        <w:jc w:val="both"/>
        <w:rPr>
          <w:b/>
          <w:szCs w:val="20"/>
        </w:rPr>
      </w:pPr>
      <w:r w:rsidRPr="00872D7E">
        <w:rPr>
          <w:b/>
          <w:szCs w:val="20"/>
        </w:rPr>
        <w:t>BİLANÇONUN AKTİF HESAPLARINA İLİŞKİN AÇIKLAMA VE DİPNOTLAR (Devamı)</w:t>
      </w:r>
    </w:p>
    <w:p w14:paraId="16DE0C92" w14:textId="77777777" w:rsidR="00EE6955" w:rsidRPr="00872D7E" w:rsidRDefault="00EE6955" w:rsidP="00E80631">
      <w:pPr>
        <w:pStyle w:val="ListParagraph"/>
        <w:widowControl w:val="0"/>
        <w:ind w:left="14" w:right="452"/>
        <w:jc w:val="both"/>
        <w:rPr>
          <w:b/>
          <w:szCs w:val="20"/>
        </w:rPr>
      </w:pPr>
    </w:p>
    <w:bookmarkEnd w:id="66"/>
    <w:p w14:paraId="4C7320DF" w14:textId="6AEEC9D2" w:rsidR="00BD0305" w:rsidRPr="00872D7E" w:rsidRDefault="00BD0305" w:rsidP="00AD239B">
      <w:pPr>
        <w:pStyle w:val="BodyTextIndent"/>
        <w:widowControl w:val="0"/>
        <w:numPr>
          <w:ilvl w:val="0"/>
          <w:numId w:val="2"/>
        </w:numPr>
        <w:tabs>
          <w:tab w:val="clear" w:pos="720"/>
        </w:tabs>
        <w:ind w:left="851" w:hanging="851"/>
        <w:rPr>
          <w:b/>
          <w:szCs w:val="20"/>
        </w:rPr>
      </w:pPr>
      <w:r w:rsidRPr="00872D7E">
        <w:rPr>
          <w:b/>
          <w:szCs w:val="20"/>
        </w:rPr>
        <w:t>Gerçeğe uygun değer farkı diğer kapsamlı gelire yansıtılan finansal varlıklara ilişkin bilgiler:</w:t>
      </w:r>
    </w:p>
    <w:p w14:paraId="5C8B66AC" w14:textId="182489E0" w:rsidR="00EE6955" w:rsidRPr="00872D7E" w:rsidRDefault="00EE6955" w:rsidP="003A6799">
      <w:pPr>
        <w:pStyle w:val="BodyTextIndent"/>
        <w:widowControl w:val="0"/>
        <w:ind w:left="851" w:firstLine="0"/>
        <w:rPr>
          <w:b/>
          <w:szCs w:val="20"/>
        </w:rPr>
      </w:pPr>
    </w:p>
    <w:p w14:paraId="530729CC" w14:textId="2CA4996C" w:rsidR="00926EB7" w:rsidRPr="00872D7E" w:rsidRDefault="00342279" w:rsidP="00342279">
      <w:pPr>
        <w:pStyle w:val="ListParagraph"/>
        <w:numPr>
          <w:ilvl w:val="1"/>
          <w:numId w:val="2"/>
        </w:numPr>
        <w:tabs>
          <w:tab w:val="clear" w:pos="1440"/>
          <w:tab w:val="num" w:pos="1985"/>
        </w:tabs>
        <w:ind w:left="840" w:hanging="408"/>
        <w:jc w:val="both"/>
        <w:rPr>
          <w:b/>
          <w:bCs/>
          <w:szCs w:val="20"/>
        </w:rPr>
      </w:pPr>
      <w:r w:rsidRPr="00872D7E">
        <w:rPr>
          <w:b/>
          <w:bCs/>
          <w:szCs w:val="20"/>
        </w:rPr>
        <w:t>Gerçeğe uygun değer farkı diğer kapsamlı gelire yansıtılan finansal varlıklardan repo işlemlerine konu olanlar ve teminata verilen /bloke edilenlere ilişkin bilgiler:</w:t>
      </w:r>
    </w:p>
    <w:p w14:paraId="339600A2" w14:textId="77777777" w:rsidR="00437A66" w:rsidRPr="00872D7E" w:rsidRDefault="00437A66" w:rsidP="00437A66">
      <w:pPr>
        <w:jc w:val="both"/>
        <w:rPr>
          <w:szCs w:val="20"/>
        </w:rPr>
      </w:pPr>
    </w:p>
    <w:p w14:paraId="3AB068A8" w14:textId="6008A05C" w:rsidR="00C1247A" w:rsidRPr="00872D7E" w:rsidRDefault="00AE0B9A" w:rsidP="00C1247A">
      <w:pPr>
        <w:spacing w:after="240"/>
        <w:ind w:left="851"/>
        <w:jc w:val="both"/>
        <w:rPr>
          <w:szCs w:val="20"/>
        </w:rPr>
      </w:pPr>
      <w:r w:rsidRPr="00872D7E">
        <w:rPr>
          <w:szCs w:val="20"/>
        </w:rPr>
        <w:t>31 Aralık</w:t>
      </w:r>
      <w:r w:rsidR="007301E4" w:rsidRPr="00872D7E">
        <w:rPr>
          <w:szCs w:val="20"/>
        </w:rPr>
        <w:t xml:space="preserve"> </w:t>
      </w:r>
      <w:r w:rsidR="00C1247A" w:rsidRPr="00872D7E">
        <w:rPr>
          <w:szCs w:val="20"/>
        </w:rPr>
        <w:t>2024 tarihi itibarıyla Bankanın geri alım vaadi ile satıma konu olan</w:t>
      </w:r>
      <w:r w:rsidR="005209F1" w:rsidRPr="00872D7E">
        <w:rPr>
          <w:szCs w:val="20"/>
        </w:rPr>
        <w:t xml:space="preserve"> nominal</w:t>
      </w:r>
      <w:r w:rsidR="00C1247A" w:rsidRPr="00872D7E">
        <w:rPr>
          <w:szCs w:val="20"/>
        </w:rPr>
        <w:t xml:space="preserve"> yatırım tutarı </w:t>
      </w:r>
      <w:r w:rsidR="00993050" w:rsidRPr="00872D7E">
        <w:rPr>
          <w:szCs w:val="20"/>
        </w:rPr>
        <w:br/>
      </w:r>
      <w:r w:rsidR="00E83327" w:rsidRPr="00872D7E">
        <w:rPr>
          <w:szCs w:val="20"/>
        </w:rPr>
        <w:t xml:space="preserve">240.377 TL’dir </w:t>
      </w:r>
      <w:r w:rsidR="00C1247A" w:rsidRPr="00872D7E">
        <w:rPr>
          <w:szCs w:val="20"/>
        </w:rPr>
        <w:t>(1 Ocak 2024: Bulunmamaktadır).</w:t>
      </w:r>
    </w:p>
    <w:p w14:paraId="1CABCEA6" w14:textId="45FCD325" w:rsidR="00C1247A" w:rsidRPr="00872D7E" w:rsidRDefault="00AE0B9A" w:rsidP="00C1247A">
      <w:pPr>
        <w:ind w:left="851"/>
        <w:jc w:val="both"/>
        <w:rPr>
          <w:szCs w:val="20"/>
        </w:rPr>
      </w:pPr>
      <w:r w:rsidRPr="00872D7E">
        <w:rPr>
          <w:szCs w:val="20"/>
        </w:rPr>
        <w:t>31 Aralık</w:t>
      </w:r>
      <w:r w:rsidR="007301E4" w:rsidRPr="00872D7E">
        <w:rPr>
          <w:szCs w:val="20"/>
        </w:rPr>
        <w:t xml:space="preserve"> </w:t>
      </w:r>
      <w:r w:rsidR="00C1247A" w:rsidRPr="00872D7E">
        <w:rPr>
          <w:szCs w:val="20"/>
        </w:rPr>
        <w:t xml:space="preserve">2024 tarihi itibarıyla teminata verilen/bloke edilen nominal yatırım tutarı </w:t>
      </w:r>
      <w:r w:rsidR="00E83327" w:rsidRPr="00872D7E">
        <w:rPr>
          <w:szCs w:val="20"/>
        </w:rPr>
        <w:t>bulunmamaktadır</w:t>
      </w:r>
      <w:r w:rsidR="008A690E" w:rsidRPr="00872D7E">
        <w:rPr>
          <w:szCs w:val="20"/>
        </w:rPr>
        <w:t xml:space="preserve"> </w:t>
      </w:r>
      <w:r w:rsidR="00993050" w:rsidRPr="00872D7E">
        <w:rPr>
          <w:szCs w:val="20"/>
        </w:rPr>
        <w:br/>
      </w:r>
      <w:r w:rsidR="00C1247A" w:rsidRPr="00872D7E">
        <w:rPr>
          <w:szCs w:val="20"/>
        </w:rPr>
        <w:t>(1 Ocak 2024: Bulunmamaktadır).</w:t>
      </w:r>
    </w:p>
    <w:p w14:paraId="4CCA025C" w14:textId="6D7373CF" w:rsidR="00C1247A" w:rsidRPr="00872D7E" w:rsidRDefault="00C1247A" w:rsidP="003A6799">
      <w:pPr>
        <w:pStyle w:val="BodyTextIndent"/>
        <w:widowControl w:val="0"/>
        <w:ind w:left="851" w:firstLine="0"/>
        <w:rPr>
          <w:b/>
          <w:szCs w:val="20"/>
        </w:rPr>
      </w:pPr>
    </w:p>
    <w:p w14:paraId="6C7408B6" w14:textId="04884899" w:rsidR="00437A66" w:rsidRPr="00872D7E" w:rsidRDefault="00437A66" w:rsidP="00342279">
      <w:pPr>
        <w:pStyle w:val="ListParagraph"/>
        <w:numPr>
          <w:ilvl w:val="1"/>
          <w:numId w:val="2"/>
        </w:numPr>
        <w:tabs>
          <w:tab w:val="clear" w:pos="1440"/>
          <w:tab w:val="num" w:pos="1985"/>
        </w:tabs>
        <w:ind w:left="840" w:hanging="408"/>
        <w:jc w:val="both"/>
        <w:rPr>
          <w:b/>
          <w:bCs/>
          <w:szCs w:val="20"/>
        </w:rPr>
      </w:pPr>
      <w:r w:rsidRPr="00872D7E">
        <w:rPr>
          <w:b/>
          <w:bCs/>
          <w:szCs w:val="20"/>
        </w:rPr>
        <w:t>Gerçeğe uygun değer farkı diğer kapsamlı gelire yansıtılan finansal varlıklara ilişkin bilgiler</w:t>
      </w:r>
      <w:r w:rsidR="00342279" w:rsidRPr="00872D7E">
        <w:rPr>
          <w:b/>
          <w:bCs/>
          <w:szCs w:val="20"/>
        </w:rPr>
        <w:t>:</w:t>
      </w:r>
      <w:r w:rsidRPr="00872D7E">
        <w:rPr>
          <w:b/>
          <w:bCs/>
          <w:szCs w:val="20"/>
        </w:rPr>
        <w:t xml:space="preserve"> </w:t>
      </w:r>
    </w:p>
    <w:p w14:paraId="65958375" w14:textId="71D5AB81" w:rsidR="00862A01" w:rsidRPr="00872D7E" w:rsidRDefault="00862A01" w:rsidP="00926EB7">
      <w:pPr>
        <w:pStyle w:val="BodyTextIndent"/>
        <w:widowControl w:val="0"/>
        <w:ind w:left="851" w:firstLine="0"/>
        <w:rPr>
          <w:szCs w:val="20"/>
        </w:rPr>
      </w:pPr>
    </w:p>
    <w:tbl>
      <w:tblPr>
        <w:tblW w:w="5000" w:type="pct"/>
        <w:tblCellMar>
          <w:left w:w="70" w:type="dxa"/>
          <w:right w:w="70" w:type="dxa"/>
        </w:tblCellMar>
        <w:tblLook w:val="04A0" w:firstRow="1" w:lastRow="0" w:firstColumn="1" w:lastColumn="0" w:noHBand="0" w:noVBand="1"/>
      </w:tblPr>
      <w:tblGrid>
        <w:gridCol w:w="5663"/>
        <w:gridCol w:w="1847"/>
        <w:gridCol w:w="1845"/>
      </w:tblGrid>
      <w:tr w:rsidR="00862A01" w:rsidRPr="00872D7E" w14:paraId="25F80E2C" w14:textId="77777777" w:rsidTr="0086505A">
        <w:trPr>
          <w:divId w:val="1493834620"/>
          <w:trHeight w:val="227"/>
        </w:trPr>
        <w:tc>
          <w:tcPr>
            <w:tcW w:w="3027" w:type="pct"/>
            <w:tcBorders>
              <w:top w:val="nil"/>
              <w:left w:val="nil"/>
              <w:bottom w:val="nil"/>
              <w:right w:val="nil"/>
            </w:tcBorders>
            <w:shd w:val="clear" w:color="auto" w:fill="auto"/>
            <w:noWrap/>
            <w:vAlign w:val="bottom"/>
            <w:hideMark/>
          </w:tcPr>
          <w:p w14:paraId="009FD571" w14:textId="0D1479E8" w:rsidR="00862A01" w:rsidRPr="00872D7E" w:rsidRDefault="00862A01" w:rsidP="00862A01"/>
        </w:tc>
        <w:tc>
          <w:tcPr>
            <w:tcW w:w="987" w:type="pct"/>
            <w:tcBorders>
              <w:top w:val="nil"/>
              <w:left w:val="nil"/>
              <w:bottom w:val="single" w:sz="4" w:space="0" w:color="auto"/>
              <w:right w:val="nil"/>
            </w:tcBorders>
            <w:shd w:val="clear" w:color="auto" w:fill="auto"/>
            <w:noWrap/>
            <w:vAlign w:val="center"/>
            <w:hideMark/>
          </w:tcPr>
          <w:p w14:paraId="0ECC0926" w14:textId="77777777" w:rsidR="00862A01" w:rsidRPr="00872D7E" w:rsidRDefault="00862A01" w:rsidP="00862A01">
            <w:pPr>
              <w:jc w:val="right"/>
              <w:rPr>
                <w:b/>
                <w:bCs/>
                <w:color w:val="000000"/>
                <w:szCs w:val="20"/>
              </w:rPr>
            </w:pPr>
            <w:r w:rsidRPr="00872D7E">
              <w:rPr>
                <w:b/>
                <w:bCs/>
                <w:color w:val="000000"/>
                <w:szCs w:val="20"/>
              </w:rPr>
              <w:t>31 Aralık 2024</w:t>
            </w:r>
          </w:p>
        </w:tc>
        <w:tc>
          <w:tcPr>
            <w:tcW w:w="987" w:type="pct"/>
            <w:tcBorders>
              <w:top w:val="nil"/>
              <w:left w:val="nil"/>
              <w:bottom w:val="single" w:sz="4" w:space="0" w:color="auto"/>
              <w:right w:val="nil"/>
            </w:tcBorders>
            <w:shd w:val="clear" w:color="auto" w:fill="auto"/>
            <w:noWrap/>
            <w:vAlign w:val="center"/>
            <w:hideMark/>
          </w:tcPr>
          <w:p w14:paraId="4487BA04" w14:textId="77777777" w:rsidR="00862A01" w:rsidRPr="00872D7E" w:rsidRDefault="00862A01" w:rsidP="00862A01">
            <w:pPr>
              <w:jc w:val="right"/>
              <w:rPr>
                <w:b/>
                <w:bCs/>
                <w:color w:val="000000"/>
                <w:szCs w:val="20"/>
              </w:rPr>
            </w:pPr>
            <w:r w:rsidRPr="00872D7E">
              <w:rPr>
                <w:b/>
                <w:bCs/>
                <w:color w:val="000000"/>
                <w:szCs w:val="20"/>
              </w:rPr>
              <w:t>1 Ocak 2024</w:t>
            </w:r>
          </w:p>
        </w:tc>
      </w:tr>
      <w:tr w:rsidR="00862A01" w:rsidRPr="00872D7E" w14:paraId="109F570E" w14:textId="77777777" w:rsidTr="0086505A">
        <w:trPr>
          <w:divId w:val="1493834620"/>
          <w:trHeight w:val="227"/>
        </w:trPr>
        <w:tc>
          <w:tcPr>
            <w:tcW w:w="3027" w:type="pct"/>
            <w:tcBorders>
              <w:top w:val="nil"/>
              <w:left w:val="nil"/>
              <w:bottom w:val="nil"/>
              <w:right w:val="nil"/>
            </w:tcBorders>
            <w:shd w:val="clear" w:color="auto" w:fill="auto"/>
            <w:noWrap/>
            <w:vAlign w:val="bottom"/>
            <w:hideMark/>
          </w:tcPr>
          <w:p w14:paraId="3844808E" w14:textId="77777777" w:rsidR="00862A01" w:rsidRPr="00872D7E" w:rsidRDefault="00862A01" w:rsidP="00862A01">
            <w:pPr>
              <w:rPr>
                <w:b/>
                <w:bCs/>
                <w:color w:val="000000"/>
                <w:szCs w:val="20"/>
              </w:rPr>
            </w:pPr>
          </w:p>
        </w:tc>
        <w:tc>
          <w:tcPr>
            <w:tcW w:w="987" w:type="pct"/>
            <w:tcBorders>
              <w:top w:val="nil"/>
              <w:left w:val="nil"/>
              <w:bottom w:val="nil"/>
              <w:right w:val="nil"/>
            </w:tcBorders>
            <w:shd w:val="clear" w:color="auto" w:fill="auto"/>
            <w:noWrap/>
            <w:vAlign w:val="bottom"/>
            <w:hideMark/>
          </w:tcPr>
          <w:p w14:paraId="3704A7DF" w14:textId="77777777" w:rsidR="00862A01" w:rsidRPr="00872D7E" w:rsidRDefault="00862A01" w:rsidP="00862A01">
            <w:pPr>
              <w:jc w:val="center"/>
              <w:rPr>
                <w:szCs w:val="20"/>
              </w:rPr>
            </w:pPr>
          </w:p>
        </w:tc>
        <w:tc>
          <w:tcPr>
            <w:tcW w:w="987" w:type="pct"/>
            <w:tcBorders>
              <w:top w:val="nil"/>
              <w:left w:val="nil"/>
              <w:bottom w:val="nil"/>
              <w:right w:val="nil"/>
            </w:tcBorders>
            <w:shd w:val="clear" w:color="auto" w:fill="auto"/>
            <w:noWrap/>
            <w:vAlign w:val="bottom"/>
            <w:hideMark/>
          </w:tcPr>
          <w:p w14:paraId="48A8D926" w14:textId="77777777" w:rsidR="00862A01" w:rsidRPr="00872D7E" w:rsidRDefault="00862A01" w:rsidP="00862A01">
            <w:pPr>
              <w:jc w:val="center"/>
              <w:rPr>
                <w:szCs w:val="20"/>
              </w:rPr>
            </w:pPr>
          </w:p>
        </w:tc>
      </w:tr>
      <w:tr w:rsidR="00862A01" w:rsidRPr="00872D7E" w14:paraId="6108E92C" w14:textId="77777777" w:rsidTr="0086505A">
        <w:trPr>
          <w:divId w:val="1493834620"/>
          <w:trHeight w:val="227"/>
        </w:trPr>
        <w:tc>
          <w:tcPr>
            <w:tcW w:w="3027" w:type="pct"/>
            <w:tcBorders>
              <w:top w:val="nil"/>
              <w:left w:val="nil"/>
              <w:bottom w:val="nil"/>
              <w:right w:val="nil"/>
            </w:tcBorders>
            <w:shd w:val="clear" w:color="auto" w:fill="auto"/>
            <w:noWrap/>
            <w:vAlign w:val="bottom"/>
            <w:hideMark/>
          </w:tcPr>
          <w:p w14:paraId="4BDB7C2B" w14:textId="77777777" w:rsidR="00862A01" w:rsidRPr="00872D7E" w:rsidRDefault="00862A01" w:rsidP="00862A01">
            <w:pPr>
              <w:rPr>
                <w:b/>
                <w:bCs/>
                <w:szCs w:val="20"/>
              </w:rPr>
            </w:pPr>
            <w:r w:rsidRPr="00872D7E">
              <w:rPr>
                <w:b/>
                <w:bCs/>
                <w:szCs w:val="20"/>
              </w:rPr>
              <w:t>Borçlanma Senetleri</w:t>
            </w:r>
          </w:p>
        </w:tc>
        <w:tc>
          <w:tcPr>
            <w:tcW w:w="987" w:type="pct"/>
            <w:tcBorders>
              <w:top w:val="nil"/>
              <w:left w:val="nil"/>
              <w:bottom w:val="nil"/>
              <w:right w:val="nil"/>
            </w:tcBorders>
            <w:shd w:val="clear" w:color="auto" w:fill="auto"/>
            <w:vAlign w:val="center"/>
            <w:hideMark/>
          </w:tcPr>
          <w:p w14:paraId="3E374D6C" w14:textId="77777777" w:rsidR="00862A01" w:rsidRPr="00872D7E" w:rsidRDefault="00862A01" w:rsidP="00862A01">
            <w:pPr>
              <w:jc w:val="right"/>
              <w:rPr>
                <w:b/>
                <w:bCs/>
                <w:color w:val="000000"/>
                <w:szCs w:val="20"/>
              </w:rPr>
            </w:pPr>
            <w:r w:rsidRPr="00872D7E">
              <w:rPr>
                <w:b/>
                <w:bCs/>
                <w:color w:val="000000"/>
                <w:szCs w:val="20"/>
              </w:rPr>
              <w:t>964.443</w:t>
            </w:r>
          </w:p>
        </w:tc>
        <w:tc>
          <w:tcPr>
            <w:tcW w:w="987" w:type="pct"/>
            <w:tcBorders>
              <w:top w:val="nil"/>
              <w:left w:val="nil"/>
              <w:bottom w:val="nil"/>
              <w:right w:val="nil"/>
            </w:tcBorders>
            <w:shd w:val="clear" w:color="auto" w:fill="auto"/>
            <w:vAlign w:val="center"/>
            <w:hideMark/>
          </w:tcPr>
          <w:p w14:paraId="6AA1ECDE" w14:textId="77777777" w:rsidR="00862A01" w:rsidRPr="00872D7E" w:rsidRDefault="00862A01" w:rsidP="00862A01">
            <w:pPr>
              <w:jc w:val="right"/>
              <w:rPr>
                <w:b/>
                <w:bCs/>
                <w:color w:val="000000"/>
                <w:szCs w:val="20"/>
              </w:rPr>
            </w:pPr>
            <w:r w:rsidRPr="00872D7E">
              <w:rPr>
                <w:b/>
                <w:bCs/>
                <w:color w:val="000000"/>
                <w:szCs w:val="20"/>
              </w:rPr>
              <w:t>-</w:t>
            </w:r>
          </w:p>
        </w:tc>
      </w:tr>
      <w:tr w:rsidR="00862A01" w:rsidRPr="00872D7E" w14:paraId="41BBDE12" w14:textId="77777777" w:rsidTr="0086505A">
        <w:trPr>
          <w:divId w:val="1493834620"/>
          <w:trHeight w:val="227"/>
        </w:trPr>
        <w:tc>
          <w:tcPr>
            <w:tcW w:w="3027" w:type="pct"/>
            <w:tcBorders>
              <w:top w:val="nil"/>
              <w:left w:val="nil"/>
              <w:bottom w:val="nil"/>
              <w:right w:val="nil"/>
            </w:tcBorders>
            <w:shd w:val="clear" w:color="auto" w:fill="auto"/>
            <w:noWrap/>
            <w:vAlign w:val="bottom"/>
            <w:hideMark/>
          </w:tcPr>
          <w:p w14:paraId="2DE625BC" w14:textId="77777777" w:rsidR="00862A01" w:rsidRPr="00872D7E" w:rsidRDefault="00862A01" w:rsidP="00862A01">
            <w:pPr>
              <w:ind w:firstLineChars="100" w:firstLine="200"/>
              <w:rPr>
                <w:color w:val="000000"/>
                <w:szCs w:val="20"/>
              </w:rPr>
            </w:pPr>
            <w:r w:rsidRPr="00872D7E">
              <w:rPr>
                <w:color w:val="000000"/>
                <w:szCs w:val="20"/>
              </w:rPr>
              <w:t>Borsada İşlem Gören</w:t>
            </w:r>
          </w:p>
        </w:tc>
        <w:tc>
          <w:tcPr>
            <w:tcW w:w="987" w:type="pct"/>
            <w:tcBorders>
              <w:top w:val="nil"/>
              <w:left w:val="nil"/>
              <w:bottom w:val="nil"/>
              <w:right w:val="nil"/>
            </w:tcBorders>
            <w:shd w:val="clear" w:color="auto" w:fill="auto"/>
            <w:vAlign w:val="center"/>
            <w:hideMark/>
          </w:tcPr>
          <w:p w14:paraId="71427496" w14:textId="77777777" w:rsidR="00862A01" w:rsidRPr="00872D7E" w:rsidRDefault="00862A01" w:rsidP="00862A01">
            <w:pPr>
              <w:jc w:val="right"/>
              <w:rPr>
                <w:color w:val="000000"/>
                <w:szCs w:val="20"/>
              </w:rPr>
            </w:pPr>
            <w:r w:rsidRPr="00872D7E">
              <w:rPr>
                <w:color w:val="000000"/>
                <w:szCs w:val="20"/>
              </w:rPr>
              <w:t>964.443</w:t>
            </w:r>
          </w:p>
        </w:tc>
        <w:tc>
          <w:tcPr>
            <w:tcW w:w="987" w:type="pct"/>
            <w:tcBorders>
              <w:top w:val="nil"/>
              <w:left w:val="nil"/>
              <w:bottom w:val="nil"/>
              <w:right w:val="nil"/>
            </w:tcBorders>
            <w:shd w:val="clear" w:color="auto" w:fill="auto"/>
            <w:vAlign w:val="center"/>
            <w:hideMark/>
          </w:tcPr>
          <w:p w14:paraId="1D7F8FC9" w14:textId="77777777" w:rsidR="00862A01" w:rsidRPr="00872D7E" w:rsidRDefault="00862A01" w:rsidP="00862A01">
            <w:pPr>
              <w:jc w:val="right"/>
              <w:rPr>
                <w:color w:val="000000"/>
                <w:szCs w:val="20"/>
              </w:rPr>
            </w:pPr>
            <w:r w:rsidRPr="00872D7E">
              <w:rPr>
                <w:color w:val="000000"/>
                <w:szCs w:val="20"/>
              </w:rPr>
              <w:t>-</w:t>
            </w:r>
          </w:p>
        </w:tc>
      </w:tr>
      <w:tr w:rsidR="00862A01" w:rsidRPr="00872D7E" w14:paraId="2C8A956A" w14:textId="77777777" w:rsidTr="0086505A">
        <w:trPr>
          <w:divId w:val="1493834620"/>
          <w:trHeight w:val="227"/>
        </w:trPr>
        <w:tc>
          <w:tcPr>
            <w:tcW w:w="3027" w:type="pct"/>
            <w:tcBorders>
              <w:top w:val="nil"/>
              <w:left w:val="nil"/>
              <w:bottom w:val="nil"/>
              <w:right w:val="nil"/>
            </w:tcBorders>
            <w:shd w:val="clear" w:color="auto" w:fill="auto"/>
            <w:noWrap/>
            <w:vAlign w:val="bottom"/>
            <w:hideMark/>
          </w:tcPr>
          <w:p w14:paraId="5F434063" w14:textId="77777777" w:rsidR="00862A01" w:rsidRPr="00872D7E" w:rsidRDefault="00862A01" w:rsidP="00862A01">
            <w:pPr>
              <w:ind w:firstLineChars="100" w:firstLine="200"/>
              <w:rPr>
                <w:color w:val="000000"/>
                <w:szCs w:val="20"/>
              </w:rPr>
            </w:pPr>
            <w:r w:rsidRPr="00872D7E">
              <w:rPr>
                <w:color w:val="000000"/>
                <w:szCs w:val="20"/>
              </w:rPr>
              <w:t>Borsada İşlem Görmeyen</w:t>
            </w:r>
          </w:p>
        </w:tc>
        <w:tc>
          <w:tcPr>
            <w:tcW w:w="987" w:type="pct"/>
            <w:tcBorders>
              <w:top w:val="nil"/>
              <w:left w:val="nil"/>
              <w:bottom w:val="nil"/>
              <w:right w:val="nil"/>
            </w:tcBorders>
            <w:shd w:val="clear" w:color="auto" w:fill="auto"/>
            <w:vAlign w:val="center"/>
            <w:hideMark/>
          </w:tcPr>
          <w:p w14:paraId="320A0CBA" w14:textId="77777777" w:rsidR="00862A01" w:rsidRPr="00872D7E" w:rsidRDefault="00862A01" w:rsidP="00862A01">
            <w:pPr>
              <w:jc w:val="right"/>
              <w:rPr>
                <w:color w:val="000000"/>
                <w:szCs w:val="20"/>
              </w:rPr>
            </w:pPr>
            <w:r w:rsidRPr="00872D7E">
              <w:rPr>
                <w:color w:val="000000"/>
                <w:szCs w:val="20"/>
              </w:rPr>
              <w:t>-</w:t>
            </w:r>
          </w:p>
        </w:tc>
        <w:tc>
          <w:tcPr>
            <w:tcW w:w="987" w:type="pct"/>
            <w:tcBorders>
              <w:top w:val="nil"/>
              <w:left w:val="nil"/>
              <w:bottom w:val="nil"/>
              <w:right w:val="nil"/>
            </w:tcBorders>
            <w:shd w:val="clear" w:color="auto" w:fill="auto"/>
            <w:vAlign w:val="center"/>
            <w:hideMark/>
          </w:tcPr>
          <w:p w14:paraId="46971197" w14:textId="77777777" w:rsidR="00862A01" w:rsidRPr="00872D7E" w:rsidRDefault="00862A01" w:rsidP="00862A01">
            <w:pPr>
              <w:jc w:val="right"/>
              <w:rPr>
                <w:color w:val="000000"/>
                <w:szCs w:val="20"/>
              </w:rPr>
            </w:pPr>
            <w:r w:rsidRPr="00872D7E">
              <w:rPr>
                <w:color w:val="000000"/>
                <w:szCs w:val="20"/>
              </w:rPr>
              <w:t>-</w:t>
            </w:r>
          </w:p>
        </w:tc>
      </w:tr>
      <w:tr w:rsidR="00862A01" w:rsidRPr="00872D7E" w14:paraId="74F28EFB" w14:textId="77777777" w:rsidTr="0086505A">
        <w:trPr>
          <w:divId w:val="1493834620"/>
          <w:trHeight w:val="227"/>
        </w:trPr>
        <w:tc>
          <w:tcPr>
            <w:tcW w:w="3027" w:type="pct"/>
            <w:tcBorders>
              <w:top w:val="nil"/>
              <w:left w:val="nil"/>
              <w:bottom w:val="nil"/>
              <w:right w:val="nil"/>
            </w:tcBorders>
            <w:shd w:val="clear" w:color="auto" w:fill="auto"/>
            <w:noWrap/>
            <w:vAlign w:val="bottom"/>
            <w:hideMark/>
          </w:tcPr>
          <w:p w14:paraId="5B92C8E4" w14:textId="77777777" w:rsidR="00862A01" w:rsidRPr="00872D7E" w:rsidRDefault="00862A01" w:rsidP="00862A01">
            <w:pPr>
              <w:rPr>
                <w:b/>
                <w:bCs/>
                <w:szCs w:val="20"/>
              </w:rPr>
            </w:pPr>
            <w:r w:rsidRPr="00872D7E">
              <w:rPr>
                <w:b/>
                <w:bCs/>
                <w:szCs w:val="20"/>
              </w:rPr>
              <w:t>Hisse Senetleri</w:t>
            </w:r>
          </w:p>
        </w:tc>
        <w:tc>
          <w:tcPr>
            <w:tcW w:w="987" w:type="pct"/>
            <w:tcBorders>
              <w:top w:val="nil"/>
              <w:left w:val="nil"/>
              <w:bottom w:val="nil"/>
              <w:right w:val="nil"/>
            </w:tcBorders>
            <w:shd w:val="clear" w:color="auto" w:fill="auto"/>
            <w:vAlign w:val="center"/>
            <w:hideMark/>
          </w:tcPr>
          <w:p w14:paraId="2931B450" w14:textId="77777777" w:rsidR="00862A01" w:rsidRPr="00872D7E" w:rsidRDefault="00862A01" w:rsidP="00862A01">
            <w:pPr>
              <w:jc w:val="right"/>
              <w:rPr>
                <w:color w:val="000000"/>
                <w:szCs w:val="20"/>
              </w:rPr>
            </w:pPr>
            <w:r w:rsidRPr="00872D7E">
              <w:rPr>
                <w:color w:val="000000"/>
                <w:szCs w:val="20"/>
              </w:rPr>
              <w:t>-</w:t>
            </w:r>
          </w:p>
        </w:tc>
        <w:tc>
          <w:tcPr>
            <w:tcW w:w="987" w:type="pct"/>
            <w:tcBorders>
              <w:top w:val="nil"/>
              <w:left w:val="nil"/>
              <w:bottom w:val="nil"/>
              <w:right w:val="nil"/>
            </w:tcBorders>
            <w:shd w:val="clear" w:color="auto" w:fill="auto"/>
            <w:vAlign w:val="center"/>
            <w:hideMark/>
          </w:tcPr>
          <w:p w14:paraId="72DF2099" w14:textId="77777777" w:rsidR="00862A01" w:rsidRPr="00872D7E" w:rsidRDefault="00862A01" w:rsidP="00862A01">
            <w:pPr>
              <w:jc w:val="right"/>
              <w:rPr>
                <w:color w:val="000000"/>
                <w:szCs w:val="20"/>
              </w:rPr>
            </w:pPr>
            <w:r w:rsidRPr="00872D7E">
              <w:rPr>
                <w:color w:val="000000"/>
                <w:szCs w:val="20"/>
              </w:rPr>
              <w:t>-</w:t>
            </w:r>
          </w:p>
        </w:tc>
      </w:tr>
      <w:tr w:rsidR="00862A01" w:rsidRPr="00872D7E" w14:paraId="02A61ECC" w14:textId="77777777" w:rsidTr="0086505A">
        <w:trPr>
          <w:divId w:val="1493834620"/>
          <w:trHeight w:val="227"/>
        </w:trPr>
        <w:tc>
          <w:tcPr>
            <w:tcW w:w="3027" w:type="pct"/>
            <w:tcBorders>
              <w:top w:val="nil"/>
              <w:left w:val="nil"/>
              <w:bottom w:val="nil"/>
              <w:right w:val="nil"/>
            </w:tcBorders>
            <w:shd w:val="clear" w:color="auto" w:fill="auto"/>
            <w:noWrap/>
            <w:vAlign w:val="bottom"/>
            <w:hideMark/>
          </w:tcPr>
          <w:p w14:paraId="186427B3" w14:textId="77777777" w:rsidR="00862A01" w:rsidRPr="00872D7E" w:rsidRDefault="00862A01" w:rsidP="00862A01">
            <w:pPr>
              <w:ind w:firstLineChars="100" w:firstLine="200"/>
              <w:rPr>
                <w:color w:val="000000"/>
                <w:szCs w:val="20"/>
              </w:rPr>
            </w:pPr>
            <w:r w:rsidRPr="00872D7E">
              <w:rPr>
                <w:color w:val="000000"/>
                <w:szCs w:val="20"/>
              </w:rPr>
              <w:t>Borsada İşlem Gören</w:t>
            </w:r>
          </w:p>
        </w:tc>
        <w:tc>
          <w:tcPr>
            <w:tcW w:w="987" w:type="pct"/>
            <w:tcBorders>
              <w:top w:val="nil"/>
              <w:left w:val="nil"/>
              <w:bottom w:val="nil"/>
              <w:right w:val="nil"/>
            </w:tcBorders>
            <w:shd w:val="clear" w:color="auto" w:fill="auto"/>
            <w:vAlign w:val="center"/>
            <w:hideMark/>
          </w:tcPr>
          <w:p w14:paraId="5553C2E3" w14:textId="77777777" w:rsidR="00862A01" w:rsidRPr="00872D7E" w:rsidRDefault="00862A01" w:rsidP="00862A01">
            <w:pPr>
              <w:jc w:val="right"/>
              <w:rPr>
                <w:color w:val="000000"/>
                <w:szCs w:val="20"/>
              </w:rPr>
            </w:pPr>
            <w:r w:rsidRPr="00872D7E">
              <w:rPr>
                <w:color w:val="000000"/>
                <w:szCs w:val="20"/>
              </w:rPr>
              <w:t>-</w:t>
            </w:r>
          </w:p>
        </w:tc>
        <w:tc>
          <w:tcPr>
            <w:tcW w:w="987" w:type="pct"/>
            <w:tcBorders>
              <w:top w:val="nil"/>
              <w:left w:val="nil"/>
              <w:bottom w:val="nil"/>
              <w:right w:val="nil"/>
            </w:tcBorders>
            <w:shd w:val="clear" w:color="auto" w:fill="auto"/>
            <w:vAlign w:val="center"/>
            <w:hideMark/>
          </w:tcPr>
          <w:p w14:paraId="09685589" w14:textId="77777777" w:rsidR="00862A01" w:rsidRPr="00872D7E" w:rsidRDefault="00862A01" w:rsidP="00862A01">
            <w:pPr>
              <w:jc w:val="right"/>
              <w:rPr>
                <w:color w:val="000000"/>
                <w:szCs w:val="20"/>
              </w:rPr>
            </w:pPr>
            <w:r w:rsidRPr="00872D7E">
              <w:rPr>
                <w:color w:val="000000"/>
                <w:szCs w:val="20"/>
              </w:rPr>
              <w:t>-</w:t>
            </w:r>
          </w:p>
        </w:tc>
      </w:tr>
      <w:tr w:rsidR="00862A01" w:rsidRPr="00872D7E" w14:paraId="137DC9FA" w14:textId="77777777" w:rsidTr="0086505A">
        <w:trPr>
          <w:divId w:val="1493834620"/>
          <w:trHeight w:val="227"/>
        </w:trPr>
        <w:tc>
          <w:tcPr>
            <w:tcW w:w="3027" w:type="pct"/>
            <w:tcBorders>
              <w:top w:val="nil"/>
              <w:left w:val="nil"/>
              <w:bottom w:val="nil"/>
              <w:right w:val="nil"/>
            </w:tcBorders>
            <w:shd w:val="clear" w:color="auto" w:fill="auto"/>
            <w:noWrap/>
            <w:vAlign w:val="bottom"/>
            <w:hideMark/>
          </w:tcPr>
          <w:p w14:paraId="39F82A2A" w14:textId="77777777" w:rsidR="00862A01" w:rsidRPr="00872D7E" w:rsidRDefault="00862A01" w:rsidP="00862A01">
            <w:pPr>
              <w:ind w:firstLineChars="100" w:firstLine="200"/>
              <w:rPr>
                <w:color w:val="000000"/>
                <w:szCs w:val="20"/>
              </w:rPr>
            </w:pPr>
            <w:r w:rsidRPr="00872D7E">
              <w:rPr>
                <w:color w:val="000000"/>
                <w:szCs w:val="20"/>
              </w:rPr>
              <w:t>Borsada İşlem Görmeyen</w:t>
            </w:r>
          </w:p>
        </w:tc>
        <w:tc>
          <w:tcPr>
            <w:tcW w:w="987" w:type="pct"/>
            <w:tcBorders>
              <w:top w:val="nil"/>
              <w:left w:val="nil"/>
              <w:bottom w:val="nil"/>
              <w:right w:val="nil"/>
            </w:tcBorders>
            <w:shd w:val="clear" w:color="auto" w:fill="auto"/>
            <w:vAlign w:val="center"/>
            <w:hideMark/>
          </w:tcPr>
          <w:p w14:paraId="00764DA1" w14:textId="77777777" w:rsidR="00862A01" w:rsidRPr="00872D7E" w:rsidRDefault="00862A01" w:rsidP="00862A01">
            <w:pPr>
              <w:jc w:val="right"/>
              <w:rPr>
                <w:color w:val="000000"/>
                <w:szCs w:val="20"/>
              </w:rPr>
            </w:pPr>
            <w:r w:rsidRPr="00872D7E">
              <w:rPr>
                <w:color w:val="000000"/>
                <w:szCs w:val="20"/>
              </w:rPr>
              <w:t>-</w:t>
            </w:r>
          </w:p>
        </w:tc>
        <w:tc>
          <w:tcPr>
            <w:tcW w:w="987" w:type="pct"/>
            <w:tcBorders>
              <w:top w:val="nil"/>
              <w:left w:val="nil"/>
              <w:bottom w:val="nil"/>
              <w:right w:val="nil"/>
            </w:tcBorders>
            <w:shd w:val="clear" w:color="auto" w:fill="auto"/>
            <w:vAlign w:val="center"/>
            <w:hideMark/>
          </w:tcPr>
          <w:p w14:paraId="558CBEBA" w14:textId="77777777" w:rsidR="00862A01" w:rsidRPr="00872D7E" w:rsidRDefault="00862A01" w:rsidP="00862A01">
            <w:pPr>
              <w:jc w:val="right"/>
              <w:rPr>
                <w:color w:val="000000"/>
                <w:szCs w:val="20"/>
              </w:rPr>
            </w:pPr>
            <w:r w:rsidRPr="00872D7E">
              <w:rPr>
                <w:color w:val="000000"/>
                <w:szCs w:val="20"/>
              </w:rPr>
              <w:t>-</w:t>
            </w:r>
          </w:p>
        </w:tc>
      </w:tr>
      <w:tr w:rsidR="00862A01" w:rsidRPr="00872D7E" w14:paraId="3AD36079" w14:textId="77777777" w:rsidTr="0086505A">
        <w:trPr>
          <w:divId w:val="1493834620"/>
          <w:trHeight w:val="227"/>
        </w:trPr>
        <w:tc>
          <w:tcPr>
            <w:tcW w:w="3027" w:type="pct"/>
            <w:tcBorders>
              <w:top w:val="nil"/>
              <w:left w:val="nil"/>
              <w:bottom w:val="single" w:sz="4" w:space="0" w:color="auto"/>
              <w:right w:val="nil"/>
            </w:tcBorders>
            <w:shd w:val="clear" w:color="auto" w:fill="auto"/>
            <w:noWrap/>
            <w:vAlign w:val="bottom"/>
            <w:hideMark/>
          </w:tcPr>
          <w:p w14:paraId="5BBA4A0B" w14:textId="77777777" w:rsidR="00862A01" w:rsidRPr="00872D7E" w:rsidRDefault="00862A01" w:rsidP="00862A01">
            <w:pPr>
              <w:rPr>
                <w:b/>
                <w:bCs/>
                <w:szCs w:val="20"/>
              </w:rPr>
            </w:pPr>
            <w:r w:rsidRPr="00872D7E">
              <w:rPr>
                <w:b/>
                <w:bCs/>
                <w:szCs w:val="20"/>
              </w:rPr>
              <w:t>Değer Azalma Karşılığı (-)</w:t>
            </w:r>
          </w:p>
        </w:tc>
        <w:tc>
          <w:tcPr>
            <w:tcW w:w="987" w:type="pct"/>
            <w:tcBorders>
              <w:top w:val="nil"/>
              <w:left w:val="nil"/>
              <w:bottom w:val="single" w:sz="4" w:space="0" w:color="auto"/>
              <w:right w:val="nil"/>
            </w:tcBorders>
            <w:shd w:val="clear" w:color="auto" w:fill="auto"/>
            <w:vAlign w:val="center"/>
            <w:hideMark/>
          </w:tcPr>
          <w:p w14:paraId="14B77A1D" w14:textId="77777777" w:rsidR="00862A01" w:rsidRPr="00872D7E" w:rsidRDefault="00862A01" w:rsidP="00862A01">
            <w:pPr>
              <w:jc w:val="right"/>
              <w:rPr>
                <w:color w:val="000000"/>
                <w:szCs w:val="20"/>
              </w:rPr>
            </w:pPr>
            <w:r w:rsidRPr="00872D7E">
              <w:rPr>
                <w:color w:val="000000"/>
                <w:szCs w:val="20"/>
              </w:rPr>
              <w:t>-</w:t>
            </w:r>
          </w:p>
        </w:tc>
        <w:tc>
          <w:tcPr>
            <w:tcW w:w="987" w:type="pct"/>
            <w:tcBorders>
              <w:top w:val="nil"/>
              <w:left w:val="nil"/>
              <w:bottom w:val="single" w:sz="4" w:space="0" w:color="auto"/>
              <w:right w:val="nil"/>
            </w:tcBorders>
            <w:shd w:val="clear" w:color="auto" w:fill="auto"/>
            <w:vAlign w:val="center"/>
            <w:hideMark/>
          </w:tcPr>
          <w:p w14:paraId="5DD47683" w14:textId="77777777" w:rsidR="00862A01" w:rsidRPr="00872D7E" w:rsidRDefault="00862A01" w:rsidP="00862A01">
            <w:pPr>
              <w:jc w:val="right"/>
              <w:rPr>
                <w:color w:val="000000"/>
                <w:szCs w:val="20"/>
              </w:rPr>
            </w:pPr>
            <w:r w:rsidRPr="00872D7E">
              <w:rPr>
                <w:color w:val="000000"/>
                <w:szCs w:val="20"/>
              </w:rPr>
              <w:t>-</w:t>
            </w:r>
          </w:p>
        </w:tc>
      </w:tr>
      <w:tr w:rsidR="00862A01" w:rsidRPr="00872D7E" w14:paraId="53AAA856" w14:textId="77777777" w:rsidTr="0086505A">
        <w:trPr>
          <w:divId w:val="1493834620"/>
          <w:trHeight w:val="227"/>
        </w:trPr>
        <w:tc>
          <w:tcPr>
            <w:tcW w:w="3027" w:type="pct"/>
            <w:tcBorders>
              <w:top w:val="nil"/>
              <w:left w:val="nil"/>
              <w:right w:val="nil"/>
            </w:tcBorders>
            <w:shd w:val="clear" w:color="auto" w:fill="auto"/>
            <w:noWrap/>
            <w:vAlign w:val="bottom"/>
            <w:hideMark/>
          </w:tcPr>
          <w:p w14:paraId="5A28D67A" w14:textId="77777777" w:rsidR="00862A01" w:rsidRPr="00872D7E" w:rsidRDefault="00862A01" w:rsidP="00862A01">
            <w:pPr>
              <w:jc w:val="right"/>
              <w:rPr>
                <w:color w:val="000000"/>
                <w:szCs w:val="20"/>
              </w:rPr>
            </w:pPr>
          </w:p>
        </w:tc>
        <w:tc>
          <w:tcPr>
            <w:tcW w:w="987" w:type="pct"/>
            <w:tcBorders>
              <w:top w:val="nil"/>
              <w:left w:val="nil"/>
              <w:right w:val="nil"/>
            </w:tcBorders>
            <w:shd w:val="clear" w:color="auto" w:fill="auto"/>
            <w:noWrap/>
            <w:vAlign w:val="center"/>
            <w:hideMark/>
          </w:tcPr>
          <w:p w14:paraId="6BB8DBF6" w14:textId="77777777" w:rsidR="00862A01" w:rsidRPr="00872D7E" w:rsidRDefault="00862A01" w:rsidP="00862A01">
            <w:pPr>
              <w:jc w:val="right"/>
              <w:rPr>
                <w:szCs w:val="20"/>
              </w:rPr>
            </w:pPr>
          </w:p>
        </w:tc>
        <w:tc>
          <w:tcPr>
            <w:tcW w:w="987" w:type="pct"/>
            <w:tcBorders>
              <w:top w:val="nil"/>
              <w:left w:val="nil"/>
              <w:right w:val="nil"/>
            </w:tcBorders>
            <w:shd w:val="clear" w:color="auto" w:fill="auto"/>
            <w:noWrap/>
            <w:vAlign w:val="center"/>
            <w:hideMark/>
          </w:tcPr>
          <w:p w14:paraId="2DDB5DCF" w14:textId="77777777" w:rsidR="00862A01" w:rsidRPr="00872D7E" w:rsidRDefault="00862A01" w:rsidP="00862A01">
            <w:pPr>
              <w:jc w:val="right"/>
              <w:rPr>
                <w:szCs w:val="20"/>
              </w:rPr>
            </w:pPr>
          </w:p>
        </w:tc>
      </w:tr>
      <w:tr w:rsidR="00862A01" w:rsidRPr="00872D7E" w14:paraId="2906E257" w14:textId="77777777" w:rsidTr="0086505A">
        <w:trPr>
          <w:divId w:val="1493834620"/>
          <w:trHeight w:val="227"/>
        </w:trPr>
        <w:tc>
          <w:tcPr>
            <w:tcW w:w="3027" w:type="pct"/>
            <w:tcBorders>
              <w:top w:val="nil"/>
              <w:left w:val="nil"/>
              <w:bottom w:val="single" w:sz="12" w:space="0" w:color="auto"/>
              <w:right w:val="nil"/>
            </w:tcBorders>
            <w:shd w:val="clear" w:color="auto" w:fill="auto"/>
            <w:noWrap/>
            <w:vAlign w:val="bottom"/>
            <w:hideMark/>
          </w:tcPr>
          <w:p w14:paraId="5508D8C9" w14:textId="77777777" w:rsidR="00862A01" w:rsidRPr="00872D7E" w:rsidRDefault="00862A01" w:rsidP="00862A01">
            <w:pPr>
              <w:rPr>
                <w:b/>
                <w:bCs/>
                <w:szCs w:val="20"/>
              </w:rPr>
            </w:pPr>
            <w:r w:rsidRPr="00872D7E">
              <w:rPr>
                <w:b/>
                <w:bCs/>
                <w:szCs w:val="20"/>
              </w:rPr>
              <w:t>Toplam</w:t>
            </w:r>
          </w:p>
        </w:tc>
        <w:tc>
          <w:tcPr>
            <w:tcW w:w="987" w:type="pct"/>
            <w:tcBorders>
              <w:top w:val="nil"/>
              <w:left w:val="nil"/>
              <w:bottom w:val="single" w:sz="12" w:space="0" w:color="auto"/>
              <w:right w:val="nil"/>
            </w:tcBorders>
            <w:shd w:val="clear" w:color="auto" w:fill="auto"/>
            <w:vAlign w:val="center"/>
            <w:hideMark/>
          </w:tcPr>
          <w:p w14:paraId="4F71864A" w14:textId="77777777" w:rsidR="00862A01" w:rsidRPr="00872D7E" w:rsidRDefault="00862A01" w:rsidP="00862A01">
            <w:pPr>
              <w:jc w:val="right"/>
              <w:rPr>
                <w:b/>
                <w:bCs/>
                <w:color w:val="000000"/>
                <w:szCs w:val="20"/>
              </w:rPr>
            </w:pPr>
            <w:r w:rsidRPr="00872D7E">
              <w:rPr>
                <w:b/>
                <w:bCs/>
                <w:color w:val="000000"/>
                <w:szCs w:val="20"/>
              </w:rPr>
              <w:t>964.443</w:t>
            </w:r>
          </w:p>
        </w:tc>
        <w:tc>
          <w:tcPr>
            <w:tcW w:w="987" w:type="pct"/>
            <w:tcBorders>
              <w:top w:val="nil"/>
              <w:left w:val="nil"/>
              <w:bottom w:val="single" w:sz="12" w:space="0" w:color="auto"/>
              <w:right w:val="nil"/>
            </w:tcBorders>
            <w:shd w:val="clear" w:color="auto" w:fill="auto"/>
            <w:vAlign w:val="center"/>
            <w:hideMark/>
          </w:tcPr>
          <w:p w14:paraId="5139949B" w14:textId="77777777" w:rsidR="00862A01" w:rsidRPr="00872D7E" w:rsidRDefault="00862A01" w:rsidP="00862A01">
            <w:pPr>
              <w:jc w:val="right"/>
              <w:rPr>
                <w:b/>
                <w:bCs/>
                <w:color w:val="000000"/>
                <w:szCs w:val="20"/>
              </w:rPr>
            </w:pPr>
            <w:r w:rsidRPr="00872D7E">
              <w:rPr>
                <w:b/>
                <w:bCs/>
                <w:color w:val="000000"/>
                <w:szCs w:val="20"/>
              </w:rPr>
              <w:t>-</w:t>
            </w:r>
          </w:p>
        </w:tc>
      </w:tr>
    </w:tbl>
    <w:p w14:paraId="77CF9711" w14:textId="4C40ED1F" w:rsidR="00F95068" w:rsidRPr="00872D7E" w:rsidRDefault="00F95068" w:rsidP="00926EB7">
      <w:pPr>
        <w:pStyle w:val="BodyTextIndent"/>
        <w:widowControl w:val="0"/>
        <w:ind w:left="851" w:firstLine="0"/>
        <w:rPr>
          <w:b/>
          <w:szCs w:val="20"/>
        </w:rPr>
      </w:pPr>
    </w:p>
    <w:p w14:paraId="0BC23D9C" w14:textId="77777777" w:rsidR="00894C14" w:rsidRPr="00872D7E" w:rsidRDefault="00894C14" w:rsidP="00894C14">
      <w:pPr>
        <w:pStyle w:val="BodyTextIndent"/>
        <w:widowControl w:val="0"/>
        <w:numPr>
          <w:ilvl w:val="0"/>
          <w:numId w:val="2"/>
        </w:numPr>
        <w:tabs>
          <w:tab w:val="clear" w:pos="720"/>
        </w:tabs>
        <w:spacing w:after="240"/>
        <w:ind w:left="851" w:hanging="851"/>
        <w:rPr>
          <w:b/>
          <w:szCs w:val="20"/>
        </w:rPr>
      </w:pPr>
      <w:r w:rsidRPr="00872D7E">
        <w:rPr>
          <w:b/>
          <w:szCs w:val="20"/>
        </w:rPr>
        <w:t>İtfa edilmiş maliyet üzerinden değerlenen finansal varlıklara ilişkin açıklamalar:</w:t>
      </w:r>
    </w:p>
    <w:p w14:paraId="35C2417F" w14:textId="77777777" w:rsidR="00894C14" w:rsidRPr="00872D7E" w:rsidRDefault="00894C14" w:rsidP="00DF282B">
      <w:pPr>
        <w:pStyle w:val="ListParagraph"/>
        <w:numPr>
          <w:ilvl w:val="0"/>
          <w:numId w:val="61"/>
        </w:numPr>
        <w:spacing w:after="240"/>
        <w:ind w:left="851"/>
        <w:rPr>
          <w:b/>
          <w:bCs/>
          <w:szCs w:val="20"/>
        </w:rPr>
      </w:pPr>
      <w:r w:rsidRPr="00872D7E">
        <w:rPr>
          <w:b/>
          <w:bCs/>
          <w:szCs w:val="20"/>
        </w:rPr>
        <w:t>İtfa edilmiş maliyet üzerinden değerlenen finansal varlıklardan repo işlemlerine konu olanlar ve teminata verilen / bloke edilenlere ilişkin bilgiler:</w:t>
      </w:r>
    </w:p>
    <w:p w14:paraId="785764F9" w14:textId="35BF044D" w:rsidR="00894C14" w:rsidRPr="00872D7E" w:rsidRDefault="00894C14" w:rsidP="00894C14">
      <w:pPr>
        <w:spacing w:after="240"/>
        <w:ind w:left="851"/>
        <w:jc w:val="both"/>
        <w:rPr>
          <w:szCs w:val="20"/>
        </w:rPr>
      </w:pPr>
      <w:r w:rsidRPr="00872D7E">
        <w:rPr>
          <w:szCs w:val="20"/>
        </w:rPr>
        <w:t>31 Aralık 2024 tarihi itibarıyla Bankanın geri alım vaadi ile satıma konu olan</w:t>
      </w:r>
      <w:r w:rsidR="005209F1" w:rsidRPr="00872D7E">
        <w:rPr>
          <w:szCs w:val="20"/>
        </w:rPr>
        <w:t xml:space="preserve"> nominal</w:t>
      </w:r>
      <w:r w:rsidRPr="00872D7E">
        <w:rPr>
          <w:szCs w:val="20"/>
        </w:rPr>
        <w:t xml:space="preserve"> yatırım tutarı </w:t>
      </w:r>
      <w:r w:rsidR="00993050" w:rsidRPr="00872D7E">
        <w:rPr>
          <w:szCs w:val="20"/>
        </w:rPr>
        <w:br/>
      </w:r>
      <w:r w:rsidRPr="00872D7E">
        <w:rPr>
          <w:szCs w:val="20"/>
        </w:rPr>
        <w:t>194.307 TL’dir (1 Ocak 2024: Bulunmamaktadır).</w:t>
      </w:r>
    </w:p>
    <w:p w14:paraId="4BC99B5E" w14:textId="0F3D1799" w:rsidR="00894C14" w:rsidRPr="00872D7E" w:rsidRDefault="00894C14" w:rsidP="00894C14">
      <w:pPr>
        <w:ind w:left="851"/>
        <w:jc w:val="both"/>
        <w:rPr>
          <w:szCs w:val="20"/>
        </w:rPr>
      </w:pPr>
      <w:r w:rsidRPr="00872D7E">
        <w:rPr>
          <w:szCs w:val="20"/>
        </w:rPr>
        <w:t xml:space="preserve">31 Aralık 2024 tarihi itibarıyla teminata verilen/bloke edilen nominal yatırım tutarı bulunmamaktadır </w:t>
      </w:r>
      <w:r w:rsidR="00993050" w:rsidRPr="00872D7E">
        <w:rPr>
          <w:szCs w:val="20"/>
        </w:rPr>
        <w:br/>
      </w:r>
      <w:r w:rsidRPr="00872D7E">
        <w:rPr>
          <w:szCs w:val="20"/>
        </w:rPr>
        <w:t>(1 Ocak 2024: Bulunmamaktadır).</w:t>
      </w:r>
    </w:p>
    <w:p w14:paraId="105A492E" w14:textId="77777777" w:rsidR="00894C14" w:rsidRPr="00872D7E" w:rsidRDefault="00894C14" w:rsidP="00894C14">
      <w:pPr>
        <w:ind w:left="851"/>
        <w:jc w:val="both"/>
        <w:rPr>
          <w:szCs w:val="20"/>
        </w:rPr>
      </w:pPr>
    </w:p>
    <w:p w14:paraId="72B62FFE" w14:textId="77777777" w:rsidR="00894C14" w:rsidRPr="00872D7E" w:rsidRDefault="00894C14" w:rsidP="00DF282B">
      <w:pPr>
        <w:pStyle w:val="ListParagraph"/>
        <w:numPr>
          <w:ilvl w:val="0"/>
          <w:numId w:val="61"/>
        </w:numPr>
        <w:ind w:left="851"/>
        <w:rPr>
          <w:b/>
          <w:bCs/>
          <w:szCs w:val="20"/>
        </w:rPr>
      </w:pPr>
      <w:r w:rsidRPr="00872D7E">
        <w:rPr>
          <w:b/>
          <w:bCs/>
          <w:szCs w:val="20"/>
        </w:rPr>
        <w:t>İtfa edilmiş maliyet üzerinden değerlenen borçlanma senetlerine ilişkin bilgiler:</w:t>
      </w:r>
    </w:p>
    <w:p w14:paraId="525C0BA6" w14:textId="620DF370" w:rsidR="00894C14" w:rsidRPr="00872D7E" w:rsidRDefault="00894C14" w:rsidP="00894C14">
      <w:pPr>
        <w:widowControl w:val="0"/>
        <w:ind w:left="840" w:firstLine="11"/>
        <w:rPr>
          <w:szCs w:val="20"/>
        </w:rPr>
      </w:pPr>
    </w:p>
    <w:tbl>
      <w:tblPr>
        <w:tblW w:w="5000" w:type="pct"/>
        <w:tblCellMar>
          <w:left w:w="70" w:type="dxa"/>
          <w:right w:w="70" w:type="dxa"/>
        </w:tblCellMar>
        <w:tblLook w:val="04A0" w:firstRow="1" w:lastRow="0" w:firstColumn="1" w:lastColumn="0" w:noHBand="0" w:noVBand="1"/>
      </w:tblPr>
      <w:tblGrid>
        <w:gridCol w:w="4678"/>
        <w:gridCol w:w="2419"/>
        <w:gridCol w:w="2258"/>
      </w:tblGrid>
      <w:tr w:rsidR="00894C14" w:rsidRPr="00872D7E" w14:paraId="53942429" w14:textId="77777777" w:rsidTr="00336F42">
        <w:trPr>
          <w:trHeight w:val="170"/>
        </w:trPr>
        <w:tc>
          <w:tcPr>
            <w:tcW w:w="2500" w:type="pct"/>
            <w:tcBorders>
              <w:top w:val="nil"/>
              <w:left w:val="nil"/>
              <w:bottom w:val="nil"/>
              <w:right w:val="nil"/>
            </w:tcBorders>
            <w:shd w:val="clear" w:color="000000" w:fill="FFFFFF"/>
            <w:vAlign w:val="bottom"/>
            <w:hideMark/>
          </w:tcPr>
          <w:p w14:paraId="3037BA32" w14:textId="77777777" w:rsidR="00894C14" w:rsidRPr="00872D7E" w:rsidRDefault="00894C14" w:rsidP="00336F42">
            <w:pPr>
              <w:jc w:val="both"/>
              <w:rPr>
                <w:color w:val="000000"/>
                <w:szCs w:val="20"/>
              </w:rPr>
            </w:pPr>
            <w:r w:rsidRPr="00872D7E">
              <w:rPr>
                <w:color w:val="000000"/>
                <w:szCs w:val="20"/>
              </w:rPr>
              <w:t> </w:t>
            </w:r>
          </w:p>
        </w:tc>
        <w:tc>
          <w:tcPr>
            <w:tcW w:w="1293" w:type="pct"/>
            <w:tcBorders>
              <w:top w:val="nil"/>
              <w:left w:val="nil"/>
              <w:bottom w:val="single" w:sz="4" w:space="0" w:color="auto"/>
              <w:right w:val="nil"/>
            </w:tcBorders>
            <w:shd w:val="clear" w:color="auto" w:fill="auto"/>
            <w:noWrap/>
            <w:vAlign w:val="center"/>
            <w:hideMark/>
          </w:tcPr>
          <w:p w14:paraId="64EED04D" w14:textId="77777777" w:rsidR="00894C14" w:rsidRPr="00872D7E" w:rsidRDefault="00894C14" w:rsidP="00336F42">
            <w:pPr>
              <w:jc w:val="right"/>
              <w:rPr>
                <w:b/>
                <w:bCs/>
                <w:color w:val="000000"/>
                <w:szCs w:val="20"/>
              </w:rPr>
            </w:pPr>
            <w:r w:rsidRPr="00872D7E">
              <w:rPr>
                <w:b/>
                <w:bCs/>
                <w:color w:val="000000"/>
                <w:szCs w:val="20"/>
              </w:rPr>
              <w:t>31 Aralık 2024</w:t>
            </w:r>
          </w:p>
        </w:tc>
        <w:tc>
          <w:tcPr>
            <w:tcW w:w="1207" w:type="pct"/>
            <w:tcBorders>
              <w:top w:val="nil"/>
              <w:left w:val="nil"/>
              <w:bottom w:val="single" w:sz="4" w:space="0" w:color="auto"/>
              <w:right w:val="nil"/>
            </w:tcBorders>
            <w:shd w:val="clear" w:color="auto" w:fill="auto"/>
            <w:noWrap/>
            <w:vAlign w:val="center"/>
            <w:hideMark/>
          </w:tcPr>
          <w:p w14:paraId="38BA0665" w14:textId="77777777" w:rsidR="00894C14" w:rsidRPr="00872D7E" w:rsidRDefault="00894C14" w:rsidP="00336F42">
            <w:pPr>
              <w:jc w:val="right"/>
              <w:rPr>
                <w:b/>
                <w:bCs/>
                <w:color w:val="000000"/>
                <w:szCs w:val="20"/>
              </w:rPr>
            </w:pPr>
            <w:r w:rsidRPr="00872D7E">
              <w:rPr>
                <w:b/>
                <w:bCs/>
                <w:color w:val="000000"/>
                <w:szCs w:val="20"/>
              </w:rPr>
              <w:t>1 Ocak 2024</w:t>
            </w:r>
          </w:p>
        </w:tc>
      </w:tr>
      <w:tr w:rsidR="00894C14" w:rsidRPr="00872D7E" w14:paraId="1B003D5E" w14:textId="77777777" w:rsidTr="00336F42">
        <w:trPr>
          <w:trHeight w:val="170"/>
        </w:trPr>
        <w:tc>
          <w:tcPr>
            <w:tcW w:w="2500" w:type="pct"/>
            <w:tcBorders>
              <w:top w:val="nil"/>
              <w:left w:val="nil"/>
              <w:bottom w:val="nil"/>
              <w:right w:val="nil"/>
            </w:tcBorders>
            <w:shd w:val="clear" w:color="000000" w:fill="FFFFFF"/>
            <w:vAlign w:val="bottom"/>
            <w:hideMark/>
          </w:tcPr>
          <w:p w14:paraId="753C2011" w14:textId="77777777" w:rsidR="00894C14" w:rsidRPr="00872D7E" w:rsidRDefault="00894C14" w:rsidP="00336F42">
            <w:pPr>
              <w:jc w:val="both"/>
              <w:rPr>
                <w:color w:val="000000"/>
                <w:szCs w:val="20"/>
              </w:rPr>
            </w:pPr>
            <w:r w:rsidRPr="00872D7E">
              <w:rPr>
                <w:color w:val="000000"/>
                <w:szCs w:val="20"/>
              </w:rPr>
              <w:t> </w:t>
            </w:r>
          </w:p>
        </w:tc>
        <w:tc>
          <w:tcPr>
            <w:tcW w:w="1293" w:type="pct"/>
            <w:tcBorders>
              <w:top w:val="nil"/>
              <w:left w:val="nil"/>
              <w:bottom w:val="nil"/>
              <w:right w:val="nil"/>
            </w:tcBorders>
            <w:shd w:val="clear" w:color="000000" w:fill="FFFFFF"/>
            <w:vAlign w:val="bottom"/>
            <w:hideMark/>
          </w:tcPr>
          <w:p w14:paraId="1EA730F3" w14:textId="77777777" w:rsidR="00894C14" w:rsidRPr="00872D7E" w:rsidRDefault="00894C14" w:rsidP="00336F42">
            <w:pPr>
              <w:jc w:val="right"/>
              <w:rPr>
                <w:b/>
                <w:bCs/>
                <w:color w:val="000000"/>
                <w:szCs w:val="20"/>
              </w:rPr>
            </w:pPr>
            <w:r w:rsidRPr="00872D7E">
              <w:rPr>
                <w:b/>
                <w:bCs/>
                <w:color w:val="000000"/>
                <w:szCs w:val="20"/>
              </w:rPr>
              <w:t> </w:t>
            </w:r>
          </w:p>
        </w:tc>
        <w:tc>
          <w:tcPr>
            <w:tcW w:w="1207" w:type="pct"/>
            <w:tcBorders>
              <w:top w:val="nil"/>
              <w:left w:val="nil"/>
              <w:bottom w:val="nil"/>
              <w:right w:val="nil"/>
            </w:tcBorders>
            <w:shd w:val="clear" w:color="000000" w:fill="FFFFFF"/>
            <w:vAlign w:val="bottom"/>
            <w:hideMark/>
          </w:tcPr>
          <w:p w14:paraId="0F0DAF06" w14:textId="77777777" w:rsidR="00894C14" w:rsidRPr="00872D7E" w:rsidRDefault="00894C14" w:rsidP="00336F42">
            <w:pPr>
              <w:jc w:val="right"/>
              <w:rPr>
                <w:b/>
                <w:bCs/>
                <w:color w:val="000000"/>
                <w:szCs w:val="20"/>
              </w:rPr>
            </w:pPr>
            <w:r w:rsidRPr="00872D7E">
              <w:rPr>
                <w:b/>
                <w:bCs/>
                <w:color w:val="000000"/>
                <w:szCs w:val="20"/>
              </w:rPr>
              <w:t> </w:t>
            </w:r>
          </w:p>
        </w:tc>
      </w:tr>
      <w:tr w:rsidR="00894C14" w:rsidRPr="00872D7E" w14:paraId="2C8BF724" w14:textId="77777777" w:rsidTr="00336F42">
        <w:trPr>
          <w:trHeight w:val="170"/>
        </w:trPr>
        <w:tc>
          <w:tcPr>
            <w:tcW w:w="2500" w:type="pct"/>
            <w:tcBorders>
              <w:top w:val="nil"/>
              <w:left w:val="nil"/>
              <w:bottom w:val="nil"/>
              <w:right w:val="nil"/>
            </w:tcBorders>
            <w:shd w:val="clear" w:color="auto" w:fill="auto"/>
            <w:noWrap/>
            <w:vAlign w:val="bottom"/>
            <w:hideMark/>
          </w:tcPr>
          <w:p w14:paraId="733EFDDC" w14:textId="77777777" w:rsidR="00894C14" w:rsidRPr="00872D7E" w:rsidRDefault="00894C14" w:rsidP="00336F42">
            <w:pPr>
              <w:ind w:firstLineChars="200" w:firstLine="400"/>
              <w:rPr>
                <w:color w:val="000000"/>
                <w:szCs w:val="20"/>
              </w:rPr>
            </w:pPr>
            <w:r w:rsidRPr="00872D7E">
              <w:rPr>
                <w:color w:val="000000"/>
                <w:szCs w:val="20"/>
              </w:rPr>
              <w:t>Devlet Tahvili</w:t>
            </w:r>
          </w:p>
        </w:tc>
        <w:tc>
          <w:tcPr>
            <w:tcW w:w="1293" w:type="pct"/>
            <w:tcBorders>
              <w:top w:val="nil"/>
              <w:left w:val="nil"/>
              <w:bottom w:val="nil"/>
              <w:right w:val="nil"/>
            </w:tcBorders>
            <w:shd w:val="clear" w:color="auto" w:fill="auto"/>
            <w:vAlign w:val="center"/>
            <w:hideMark/>
          </w:tcPr>
          <w:p w14:paraId="529DE266" w14:textId="77777777" w:rsidR="00894C14" w:rsidRPr="00872D7E" w:rsidRDefault="00894C14" w:rsidP="00336F42">
            <w:pPr>
              <w:jc w:val="right"/>
              <w:rPr>
                <w:color w:val="000000"/>
                <w:szCs w:val="20"/>
              </w:rPr>
            </w:pPr>
            <w:r w:rsidRPr="00872D7E">
              <w:rPr>
                <w:color w:val="000000"/>
                <w:szCs w:val="20"/>
              </w:rPr>
              <w:t>-</w:t>
            </w:r>
          </w:p>
        </w:tc>
        <w:tc>
          <w:tcPr>
            <w:tcW w:w="1207" w:type="pct"/>
            <w:tcBorders>
              <w:top w:val="nil"/>
              <w:left w:val="nil"/>
              <w:bottom w:val="nil"/>
              <w:right w:val="nil"/>
            </w:tcBorders>
            <w:shd w:val="clear" w:color="auto" w:fill="auto"/>
            <w:vAlign w:val="center"/>
            <w:hideMark/>
          </w:tcPr>
          <w:p w14:paraId="0E03381A" w14:textId="77777777" w:rsidR="00894C14" w:rsidRPr="00872D7E" w:rsidRDefault="00894C14" w:rsidP="00336F42">
            <w:pPr>
              <w:jc w:val="right"/>
              <w:rPr>
                <w:color w:val="000000"/>
                <w:szCs w:val="20"/>
              </w:rPr>
            </w:pPr>
            <w:r w:rsidRPr="00872D7E">
              <w:rPr>
                <w:color w:val="000000"/>
                <w:szCs w:val="20"/>
              </w:rPr>
              <w:t>-</w:t>
            </w:r>
          </w:p>
        </w:tc>
      </w:tr>
      <w:tr w:rsidR="00894C14" w:rsidRPr="00872D7E" w14:paraId="2628C700" w14:textId="77777777" w:rsidTr="00336F42">
        <w:trPr>
          <w:trHeight w:val="170"/>
        </w:trPr>
        <w:tc>
          <w:tcPr>
            <w:tcW w:w="2500" w:type="pct"/>
            <w:tcBorders>
              <w:top w:val="nil"/>
              <w:left w:val="nil"/>
              <w:bottom w:val="nil"/>
              <w:right w:val="nil"/>
            </w:tcBorders>
            <w:shd w:val="clear" w:color="auto" w:fill="auto"/>
            <w:noWrap/>
            <w:vAlign w:val="bottom"/>
            <w:hideMark/>
          </w:tcPr>
          <w:p w14:paraId="1094F4AD" w14:textId="77777777" w:rsidR="00894C14" w:rsidRPr="00872D7E" w:rsidRDefault="00894C14" w:rsidP="00336F42">
            <w:pPr>
              <w:ind w:firstLineChars="200" w:firstLine="400"/>
              <w:rPr>
                <w:color w:val="000000"/>
                <w:szCs w:val="20"/>
              </w:rPr>
            </w:pPr>
            <w:r w:rsidRPr="00872D7E">
              <w:rPr>
                <w:color w:val="000000"/>
                <w:szCs w:val="20"/>
              </w:rPr>
              <w:t>Hazine Bonosu</w:t>
            </w:r>
          </w:p>
        </w:tc>
        <w:tc>
          <w:tcPr>
            <w:tcW w:w="1293" w:type="pct"/>
            <w:tcBorders>
              <w:top w:val="nil"/>
              <w:left w:val="nil"/>
              <w:bottom w:val="nil"/>
              <w:right w:val="nil"/>
            </w:tcBorders>
            <w:shd w:val="clear" w:color="auto" w:fill="auto"/>
            <w:vAlign w:val="center"/>
            <w:hideMark/>
          </w:tcPr>
          <w:p w14:paraId="3D7B4719" w14:textId="77777777" w:rsidR="00894C14" w:rsidRPr="00872D7E" w:rsidRDefault="00894C14" w:rsidP="00336F42">
            <w:pPr>
              <w:jc w:val="right"/>
              <w:rPr>
                <w:color w:val="000000"/>
                <w:szCs w:val="20"/>
              </w:rPr>
            </w:pPr>
            <w:r w:rsidRPr="00872D7E">
              <w:rPr>
                <w:color w:val="000000"/>
                <w:szCs w:val="20"/>
              </w:rPr>
              <w:t>-</w:t>
            </w:r>
          </w:p>
        </w:tc>
        <w:tc>
          <w:tcPr>
            <w:tcW w:w="1207" w:type="pct"/>
            <w:tcBorders>
              <w:top w:val="nil"/>
              <w:left w:val="nil"/>
              <w:bottom w:val="nil"/>
              <w:right w:val="nil"/>
            </w:tcBorders>
            <w:shd w:val="clear" w:color="auto" w:fill="auto"/>
            <w:vAlign w:val="center"/>
            <w:hideMark/>
          </w:tcPr>
          <w:p w14:paraId="3D63510A" w14:textId="77777777" w:rsidR="00894C14" w:rsidRPr="00872D7E" w:rsidRDefault="00894C14" w:rsidP="00336F42">
            <w:pPr>
              <w:jc w:val="right"/>
              <w:rPr>
                <w:color w:val="000000"/>
                <w:szCs w:val="20"/>
              </w:rPr>
            </w:pPr>
            <w:r w:rsidRPr="00872D7E">
              <w:rPr>
                <w:color w:val="000000"/>
                <w:szCs w:val="20"/>
              </w:rPr>
              <w:t>-</w:t>
            </w:r>
          </w:p>
        </w:tc>
      </w:tr>
      <w:tr w:rsidR="00894C14" w:rsidRPr="00872D7E" w14:paraId="417EEA11" w14:textId="77777777" w:rsidTr="00336F42">
        <w:trPr>
          <w:trHeight w:val="170"/>
        </w:trPr>
        <w:tc>
          <w:tcPr>
            <w:tcW w:w="2500" w:type="pct"/>
            <w:tcBorders>
              <w:top w:val="nil"/>
              <w:left w:val="nil"/>
              <w:bottom w:val="nil"/>
              <w:right w:val="nil"/>
            </w:tcBorders>
            <w:shd w:val="clear" w:color="auto" w:fill="auto"/>
            <w:noWrap/>
            <w:vAlign w:val="bottom"/>
            <w:hideMark/>
          </w:tcPr>
          <w:p w14:paraId="056700BA" w14:textId="77777777" w:rsidR="00894C14" w:rsidRPr="00872D7E" w:rsidRDefault="00894C14" w:rsidP="00336F42">
            <w:pPr>
              <w:ind w:firstLineChars="200" w:firstLine="400"/>
              <w:rPr>
                <w:color w:val="000000"/>
                <w:szCs w:val="20"/>
              </w:rPr>
            </w:pPr>
            <w:r w:rsidRPr="00872D7E">
              <w:rPr>
                <w:color w:val="000000"/>
                <w:szCs w:val="20"/>
              </w:rPr>
              <w:t xml:space="preserve">Diğer Kamu Borçlanma Senetleri </w:t>
            </w:r>
            <w:r w:rsidRPr="00872D7E">
              <w:rPr>
                <w:color w:val="000000"/>
                <w:szCs w:val="20"/>
                <w:vertAlign w:val="superscript"/>
              </w:rPr>
              <w:t>(*)</w:t>
            </w:r>
          </w:p>
        </w:tc>
        <w:tc>
          <w:tcPr>
            <w:tcW w:w="1293" w:type="pct"/>
            <w:tcBorders>
              <w:top w:val="nil"/>
              <w:left w:val="nil"/>
              <w:bottom w:val="nil"/>
              <w:right w:val="nil"/>
            </w:tcBorders>
            <w:shd w:val="clear" w:color="auto" w:fill="auto"/>
            <w:vAlign w:val="center"/>
            <w:hideMark/>
          </w:tcPr>
          <w:p w14:paraId="5B939C1C" w14:textId="77777777" w:rsidR="00894C14" w:rsidRPr="00872D7E" w:rsidRDefault="00894C14" w:rsidP="00336F42">
            <w:pPr>
              <w:jc w:val="right"/>
              <w:rPr>
                <w:color w:val="000000"/>
                <w:szCs w:val="20"/>
              </w:rPr>
            </w:pPr>
            <w:r w:rsidRPr="00872D7E">
              <w:rPr>
                <w:color w:val="000000"/>
                <w:szCs w:val="20"/>
              </w:rPr>
              <w:t>391.310</w:t>
            </w:r>
          </w:p>
        </w:tc>
        <w:tc>
          <w:tcPr>
            <w:tcW w:w="1207" w:type="pct"/>
            <w:tcBorders>
              <w:top w:val="nil"/>
              <w:left w:val="nil"/>
              <w:bottom w:val="nil"/>
              <w:right w:val="nil"/>
            </w:tcBorders>
            <w:shd w:val="clear" w:color="auto" w:fill="auto"/>
            <w:vAlign w:val="center"/>
            <w:hideMark/>
          </w:tcPr>
          <w:p w14:paraId="48D8D562" w14:textId="77777777" w:rsidR="00894C14" w:rsidRPr="00872D7E" w:rsidRDefault="00894C14" w:rsidP="00336F42">
            <w:pPr>
              <w:jc w:val="right"/>
              <w:rPr>
                <w:color w:val="000000"/>
                <w:szCs w:val="20"/>
              </w:rPr>
            </w:pPr>
            <w:r w:rsidRPr="00872D7E">
              <w:rPr>
                <w:color w:val="000000"/>
                <w:szCs w:val="20"/>
              </w:rPr>
              <w:t>-</w:t>
            </w:r>
          </w:p>
        </w:tc>
      </w:tr>
      <w:tr w:rsidR="00894C14" w:rsidRPr="00872D7E" w14:paraId="26C0F72F" w14:textId="77777777" w:rsidTr="00336F42">
        <w:trPr>
          <w:trHeight w:val="170"/>
        </w:trPr>
        <w:tc>
          <w:tcPr>
            <w:tcW w:w="2500" w:type="pct"/>
            <w:tcBorders>
              <w:top w:val="nil"/>
              <w:left w:val="nil"/>
              <w:bottom w:val="single" w:sz="4" w:space="0" w:color="auto"/>
              <w:right w:val="nil"/>
            </w:tcBorders>
            <w:shd w:val="clear" w:color="auto" w:fill="auto"/>
            <w:noWrap/>
            <w:vAlign w:val="bottom"/>
            <w:hideMark/>
          </w:tcPr>
          <w:p w14:paraId="3CE6635F" w14:textId="77777777" w:rsidR="00894C14" w:rsidRPr="00872D7E" w:rsidRDefault="00894C14" w:rsidP="00336F42">
            <w:pPr>
              <w:ind w:firstLineChars="200" w:firstLine="400"/>
              <w:rPr>
                <w:color w:val="000000"/>
                <w:szCs w:val="20"/>
              </w:rPr>
            </w:pPr>
            <w:r w:rsidRPr="00872D7E">
              <w:rPr>
                <w:color w:val="000000"/>
                <w:szCs w:val="20"/>
              </w:rPr>
              <w:t xml:space="preserve">Diğer Borçlanma Senetleri </w:t>
            </w:r>
          </w:p>
        </w:tc>
        <w:tc>
          <w:tcPr>
            <w:tcW w:w="1293" w:type="pct"/>
            <w:tcBorders>
              <w:top w:val="nil"/>
              <w:left w:val="nil"/>
              <w:bottom w:val="single" w:sz="4" w:space="0" w:color="auto"/>
              <w:right w:val="nil"/>
            </w:tcBorders>
            <w:shd w:val="clear" w:color="auto" w:fill="auto"/>
            <w:vAlign w:val="center"/>
            <w:hideMark/>
          </w:tcPr>
          <w:p w14:paraId="6D7EFB24" w14:textId="77777777" w:rsidR="00894C14" w:rsidRPr="00872D7E" w:rsidRDefault="00894C14" w:rsidP="00336F42">
            <w:pPr>
              <w:jc w:val="right"/>
              <w:rPr>
                <w:color w:val="000000"/>
                <w:szCs w:val="20"/>
              </w:rPr>
            </w:pPr>
            <w:r w:rsidRPr="00872D7E">
              <w:rPr>
                <w:color w:val="000000"/>
                <w:szCs w:val="20"/>
              </w:rPr>
              <w:t>-</w:t>
            </w:r>
          </w:p>
        </w:tc>
        <w:tc>
          <w:tcPr>
            <w:tcW w:w="1207" w:type="pct"/>
            <w:tcBorders>
              <w:top w:val="nil"/>
              <w:left w:val="nil"/>
              <w:bottom w:val="single" w:sz="4" w:space="0" w:color="auto"/>
              <w:right w:val="nil"/>
            </w:tcBorders>
            <w:shd w:val="clear" w:color="auto" w:fill="auto"/>
            <w:vAlign w:val="center"/>
            <w:hideMark/>
          </w:tcPr>
          <w:p w14:paraId="3B7586CB" w14:textId="77777777" w:rsidR="00894C14" w:rsidRPr="00872D7E" w:rsidRDefault="00894C14" w:rsidP="00336F42">
            <w:pPr>
              <w:jc w:val="right"/>
              <w:rPr>
                <w:color w:val="000000"/>
                <w:szCs w:val="20"/>
              </w:rPr>
            </w:pPr>
            <w:r w:rsidRPr="00872D7E">
              <w:rPr>
                <w:color w:val="000000"/>
                <w:szCs w:val="20"/>
              </w:rPr>
              <w:t>-</w:t>
            </w:r>
          </w:p>
        </w:tc>
      </w:tr>
      <w:tr w:rsidR="00894C14" w:rsidRPr="00872D7E" w14:paraId="71C4E7DE" w14:textId="77777777" w:rsidTr="00336F42">
        <w:trPr>
          <w:trHeight w:val="170"/>
        </w:trPr>
        <w:tc>
          <w:tcPr>
            <w:tcW w:w="2500" w:type="pct"/>
            <w:tcBorders>
              <w:top w:val="nil"/>
              <w:left w:val="nil"/>
              <w:right w:val="nil"/>
            </w:tcBorders>
            <w:shd w:val="clear" w:color="auto" w:fill="auto"/>
            <w:noWrap/>
            <w:vAlign w:val="bottom"/>
            <w:hideMark/>
          </w:tcPr>
          <w:p w14:paraId="53D78CF5" w14:textId="77777777" w:rsidR="00894C14" w:rsidRPr="00872D7E" w:rsidRDefault="00894C14" w:rsidP="00336F42">
            <w:pPr>
              <w:jc w:val="right"/>
              <w:rPr>
                <w:color w:val="000000"/>
                <w:szCs w:val="20"/>
              </w:rPr>
            </w:pPr>
          </w:p>
        </w:tc>
        <w:tc>
          <w:tcPr>
            <w:tcW w:w="1293" w:type="pct"/>
            <w:tcBorders>
              <w:top w:val="nil"/>
              <w:left w:val="nil"/>
              <w:right w:val="nil"/>
            </w:tcBorders>
            <w:shd w:val="clear" w:color="auto" w:fill="auto"/>
            <w:noWrap/>
            <w:vAlign w:val="center"/>
            <w:hideMark/>
          </w:tcPr>
          <w:p w14:paraId="0F476667" w14:textId="77777777" w:rsidR="00894C14" w:rsidRPr="00872D7E" w:rsidRDefault="00894C14" w:rsidP="00336F42">
            <w:pPr>
              <w:jc w:val="right"/>
              <w:rPr>
                <w:szCs w:val="20"/>
              </w:rPr>
            </w:pPr>
          </w:p>
        </w:tc>
        <w:tc>
          <w:tcPr>
            <w:tcW w:w="1207" w:type="pct"/>
            <w:tcBorders>
              <w:top w:val="nil"/>
              <w:left w:val="nil"/>
              <w:right w:val="nil"/>
            </w:tcBorders>
            <w:shd w:val="clear" w:color="auto" w:fill="auto"/>
            <w:noWrap/>
            <w:vAlign w:val="center"/>
            <w:hideMark/>
          </w:tcPr>
          <w:p w14:paraId="41303743" w14:textId="77777777" w:rsidR="00894C14" w:rsidRPr="00872D7E" w:rsidRDefault="00894C14" w:rsidP="00336F42">
            <w:pPr>
              <w:jc w:val="right"/>
              <w:rPr>
                <w:szCs w:val="20"/>
              </w:rPr>
            </w:pPr>
          </w:p>
        </w:tc>
      </w:tr>
      <w:tr w:rsidR="00894C14" w:rsidRPr="00872D7E" w14:paraId="62086FD6" w14:textId="77777777" w:rsidTr="00336F42">
        <w:trPr>
          <w:trHeight w:val="170"/>
        </w:trPr>
        <w:tc>
          <w:tcPr>
            <w:tcW w:w="2500" w:type="pct"/>
            <w:tcBorders>
              <w:top w:val="nil"/>
              <w:left w:val="nil"/>
              <w:bottom w:val="single" w:sz="12" w:space="0" w:color="auto"/>
              <w:right w:val="nil"/>
            </w:tcBorders>
            <w:shd w:val="clear" w:color="auto" w:fill="auto"/>
            <w:noWrap/>
            <w:vAlign w:val="bottom"/>
            <w:hideMark/>
          </w:tcPr>
          <w:p w14:paraId="2A002A62" w14:textId="77777777" w:rsidR="00894C14" w:rsidRPr="00872D7E" w:rsidRDefault="00894C14" w:rsidP="00336F42">
            <w:pPr>
              <w:rPr>
                <w:b/>
                <w:bCs/>
                <w:color w:val="000000"/>
                <w:szCs w:val="20"/>
              </w:rPr>
            </w:pPr>
            <w:r w:rsidRPr="00872D7E">
              <w:rPr>
                <w:b/>
                <w:bCs/>
                <w:color w:val="000000"/>
                <w:szCs w:val="20"/>
              </w:rPr>
              <w:t>Toplam</w:t>
            </w:r>
          </w:p>
        </w:tc>
        <w:tc>
          <w:tcPr>
            <w:tcW w:w="1293" w:type="pct"/>
            <w:tcBorders>
              <w:top w:val="nil"/>
              <w:left w:val="nil"/>
              <w:bottom w:val="single" w:sz="12" w:space="0" w:color="auto"/>
              <w:right w:val="nil"/>
            </w:tcBorders>
            <w:shd w:val="clear" w:color="auto" w:fill="auto"/>
            <w:vAlign w:val="center"/>
            <w:hideMark/>
          </w:tcPr>
          <w:p w14:paraId="6366B975" w14:textId="77777777" w:rsidR="00894C14" w:rsidRPr="00872D7E" w:rsidRDefault="00894C14" w:rsidP="00336F42">
            <w:pPr>
              <w:jc w:val="right"/>
              <w:rPr>
                <w:b/>
                <w:bCs/>
                <w:color w:val="000000"/>
                <w:szCs w:val="20"/>
              </w:rPr>
            </w:pPr>
            <w:r w:rsidRPr="00872D7E">
              <w:rPr>
                <w:b/>
                <w:bCs/>
                <w:color w:val="000000"/>
                <w:szCs w:val="20"/>
              </w:rPr>
              <w:t>391.310</w:t>
            </w:r>
          </w:p>
        </w:tc>
        <w:tc>
          <w:tcPr>
            <w:tcW w:w="1207" w:type="pct"/>
            <w:tcBorders>
              <w:top w:val="nil"/>
              <w:left w:val="nil"/>
              <w:bottom w:val="single" w:sz="12" w:space="0" w:color="auto"/>
              <w:right w:val="nil"/>
            </w:tcBorders>
            <w:shd w:val="clear" w:color="auto" w:fill="auto"/>
            <w:vAlign w:val="center"/>
            <w:hideMark/>
          </w:tcPr>
          <w:p w14:paraId="76E59EC2" w14:textId="77777777" w:rsidR="00894C14" w:rsidRPr="00872D7E" w:rsidRDefault="00894C14" w:rsidP="00336F42">
            <w:pPr>
              <w:jc w:val="right"/>
              <w:rPr>
                <w:b/>
                <w:bCs/>
                <w:color w:val="000000"/>
                <w:szCs w:val="20"/>
              </w:rPr>
            </w:pPr>
            <w:r w:rsidRPr="00872D7E">
              <w:rPr>
                <w:b/>
                <w:bCs/>
                <w:color w:val="000000"/>
                <w:szCs w:val="20"/>
              </w:rPr>
              <w:t>-</w:t>
            </w:r>
          </w:p>
        </w:tc>
      </w:tr>
    </w:tbl>
    <w:p w14:paraId="78B74C37" w14:textId="6F2E660D" w:rsidR="00894C14" w:rsidRPr="00872D7E" w:rsidRDefault="00894C14" w:rsidP="00894C14">
      <w:pPr>
        <w:widowControl w:val="0"/>
        <w:ind w:left="840" w:firstLine="11"/>
        <w:rPr>
          <w:b/>
          <w:szCs w:val="20"/>
        </w:rPr>
      </w:pPr>
    </w:p>
    <w:p w14:paraId="2AF3D444" w14:textId="77777777" w:rsidR="00894C14" w:rsidRPr="00872D7E" w:rsidRDefault="00894C14" w:rsidP="00894C14">
      <w:pPr>
        <w:widowControl w:val="0"/>
        <w:ind w:firstLine="11"/>
        <w:rPr>
          <w:bCs/>
          <w:sz w:val="18"/>
          <w:szCs w:val="18"/>
        </w:rPr>
      </w:pPr>
      <w:r w:rsidRPr="00872D7E">
        <w:rPr>
          <w:bCs/>
          <w:sz w:val="18"/>
          <w:szCs w:val="18"/>
          <w:vertAlign w:val="superscript"/>
        </w:rPr>
        <w:t>(*)</w:t>
      </w:r>
      <w:r w:rsidRPr="00872D7E">
        <w:rPr>
          <w:bCs/>
          <w:sz w:val="18"/>
          <w:szCs w:val="18"/>
        </w:rPr>
        <w:tab/>
        <w:t>T.C. Hazine ve Maliye Bakanlığı tarafından ihraç edilen kira sertifikalarını içermektedir.</w:t>
      </w:r>
    </w:p>
    <w:p w14:paraId="3FC41DA2" w14:textId="5414DD18" w:rsidR="00F95068" w:rsidRPr="00872D7E" w:rsidRDefault="00F95068">
      <w:pPr>
        <w:rPr>
          <w:b/>
          <w:szCs w:val="20"/>
        </w:rPr>
      </w:pPr>
      <w:r w:rsidRPr="00872D7E">
        <w:rPr>
          <w:b/>
          <w:szCs w:val="20"/>
        </w:rPr>
        <w:br w:type="page"/>
      </w:r>
    </w:p>
    <w:p w14:paraId="68228AD4" w14:textId="77777777" w:rsidR="00A03014" w:rsidRPr="00872D7E" w:rsidRDefault="00A03014" w:rsidP="00A03014">
      <w:pPr>
        <w:widowControl w:val="0"/>
        <w:ind w:left="720" w:hanging="720"/>
        <w:jc w:val="both"/>
        <w:rPr>
          <w:b/>
          <w:szCs w:val="20"/>
        </w:rPr>
      </w:pPr>
      <w:r w:rsidRPr="00872D7E">
        <w:rPr>
          <w:b/>
          <w:szCs w:val="20"/>
        </w:rPr>
        <w:lastRenderedPageBreak/>
        <w:t>KONSOLİDE OLMAYAN FİNANSAL TABLOLARA İLİŞKİN AÇIKLAMA VE DİPNOTLAR (Devamı)</w:t>
      </w:r>
    </w:p>
    <w:p w14:paraId="1034E041" w14:textId="77777777" w:rsidR="00A03014" w:rsidRPr="00872D7E" w:rsidRDefault="00A03014" w:rsidP="00A03014">
      <w:pPr>
        <w:pStyle w:val="ListParagraph"/>
        <w:widowControl w:val="0"/>
        <w:ind w:left="14" w:right="452"/>
        <w:jc w:val="both"/>
        <w:rPr>
          <w:b/>
          <w:szCs w:val="20"/>
        </w:rPr>
      </w:pPr>
    </w:p>
    <w:p w14:paraId="578BCD0B" w14:textId="77777777" w:rsidR="00A03014" w:rsidRPr="00872D7E" w:rsidRDefault="00A03014" w:rsidP="002A4CAF">
      <w:pPr>
        <w:pStyle w:val="ListParagraph"/>
        <w:widowControl w:val="0"/>
        <w:numPr>
          <w:ilvl w:val="0"/>
          <w:numId w:val="86"/>
        </w:numPr>
        <w:ind w:left="851" w:hanging="862"/>
        <w:jc w:val="both"/>
        <w:rPr>
          <w:b/>
          <w:szCs w:val="20"/>
        </w:rPr>
      </w:pPr>
      <w:r w:rsidRPr="00872D7E">
        <w:rPr>
          <w:b/>
          <w:szCs w:val="20"/>
        </w:rPr>
        <w:t>BİLANÇONUN AKTİF HESAPLARINA İLİŞKİN AÇIKLAMA VE DİPNOTLAR (Devamı)</w:t>
      </w:r>
    </w:p>
    <w:p w14:paraId="21E681F8" w14:textId="032510C0" w:rsidR="009E0027" w:rsidRPr="00872D7E" w:rsidRDefault="009E0027" w:rsidP="002A4CAF">
      <w:pPr>
        <w:pStyle w:val="ListParagraph"/>
        <w:numPr>
          <w:ilvl w:val="0"/>
          <w:numId w:val="61"/>
        </w:numPr>
        <w:spacing w:before="120"/>
        <w:ind w:left="1276" w:hanging="425"/>
        <w:rPr>
          <w:b/>
          <w:bCs/>
          <w:szCs w:val="20"/>
        </w:rPr>
      </w:pPr>
      <w:r w:rsidRPr="00872D7E">
        <w:rPr>
          <w:b/>
          <w:bCs/>
          <w:szCs w:val="20"/>
        </w:rPr>
        <w:t>İtfa edilmiş maliyeti üzerinden değerlenen finansal varlıklara ilişkin bilgiler:</w:t>
      </w:r>
    </w:p>
    <w:p w14:paraId="0FB5200B" w14:textId="4ADBD95B" w:rsidR="00862A01" w:rsidRPr="00872D7E" w:rsidRDefault="00862A01" w:rsidP="00A12D29">
      <w:pPr>
        <w:rPr>
          <w:szCs w:val="20"/>
        </w:rPr>
      </w:pPr>
    </w:p>
    <w:tbl>
      <w:tblPr>
        <w:tblW w:w="5000" w:type="pct"/>
        <w:tblCellMar>
          <w:left w:w="70" w:type="dxa"/>
          <w:right w:w="70" w:type="dxa"/>
        </w:tblCellMar>
        <w:tblLook w:val="04A0" w:firstRow="1" w:lastRow="0" w:firstColumn="1" w:lastColumn="0" w:noHBand="0" w:noVBand="1"/>
      </w:tblPr>
      <w:tblGrid>
        <w:gridCol w:w="4677"/>
        <w:gridCol w:w="2414"/>
        <w:gridCol w:w="2264"/>
      </w:tblGrid>
      <w:tr w:rsidR="00862A01" w:rsidRPr="00872D7E" w14:paraId="4F8DE321" w14:textId="77777777" w:rsidTr="00862A01">
        <w:trPr>
          <w:divId w:val="2142110619"/>
          <w:trHeight w:val="170"/>
        </w:trPr>
        <w:tc>
          <w:tcPr>
            <w:tcW w:w="2500" w:type="pct"/>
            <w:tcBorders>
              <w:top w:val="nil"/>
              <w:left w:val="nil"/>
              <w:bottom w:val="nil"/>
              <w:right w:val="nil"/>
            </w:tcBorders>
            <w:shd w:val="clear" w:color="auto" w:fill="auto"/>
            <w:noWrap/>
            <w:vAlign w:val="bottom"/>
            <w:hideMark/>
          </w:tcPr>
          <w:p w14:paraId="567AB84F" w14:textId="7845254E" w:rsidR="00862A01" w:rsidRPr="00872D7E" w:rsidRDefault="00862A01" w:rsidP="00862A01">
            <w:pPr>
              <w:jc w:val="center"/>
              <w:rPr>
                <w:szCs w:val="20"/>
              </w:rPr>
            </w:pPr>
          </w:p>
        </w:tc>
        <w:tc>
          <w:tcPr>
            <w:tcW w:w="1290" w:type="pct"/>
            <w:tcBorders>
              <w:top w:val="nil"/>
              <w:left w:val="nil"/>
              <w:bottom w:val="single" w:sz="4" w:space="0" w:color="auto"/>
              <w:right w:val="nil"/>
            </w:tcBorders>
            <w:shd w:val="clear" w:color="auto" w:fill="auto"/>
            <w:noWrap/>
            <w:vAlign w:val="center"/>
            <w:hideMark/>
          </w:tcPr>
          <w:p w14:paraId="3CFDA563" w14:textId="77777777" w:rsidR="00862A01" w:rsidRPr="00872D7E" w:rsidRDefault="00862A01" w:rsidP="00862A01">
            <w:pPr>
              <w:jc w:val="right"/>
              <w:rPr>
                <w:b/>
                <w:bCs/>
                <w:color w:val="000000"/>
                <w:szCs w:val="20"/>
              </w:rPr>
            </w:pPr>
            <w:r w:rsidRPr="00872D7E">
              <w:rPr>
                <w:b/>
                <w:bCs/>
                <w:color w:val="000000"/>
                <w:szCs w:val="20"/>
              </w:rPr>
              <w:t>31 Aralık 2024</w:t>
            </w:r>
          </w:p>
        </w:tc>
        <w:tc>
          <w:tcPr>
            <w:tcW w:w="1210" w:type="pct"/>
            <w:tcBorders>
              <w:top w:val="nil"/>
              <w:left w:val="nil"/>
              <w:bottom w:val="single" w:sz="4" w:space="0" w:color="auto"/>
              <w:right w:val="nil"/>
            </w:tcBorders>
            <w:shd w:val="clear" w:color="auto" w:fill="auto"/>
            <w:noWrap/>
            <w:vAlign w:val="center"/>
            <w:hideMark/>
          </w:tcPr>
          <w:p w14:paraId="69BE9603" w14:textId="77777777" w:rsidR="00862A01" w:rsidRPr="00872D7E" w:rsidRDefault="00862A01" w:rsidP="00862A01">
            <w:pPr>
              <w:jc w:val="right"/>
              <w:rPr>
                <w:b/>
                <w:bCs/>
                <w:color w:val="000000"/>
                <w:szCs w:val="20"/>
              </w:rPr>
            </w:pPr>
            <w:r w:rsidRPr="00872D7E">
              <w:rPr>
                <w:b/>
                <w:bCs/>
                <w:color w:val="000000"/>
                <w:szCs w:val="20"/>
              </w:rPr>
              <w:t>1 Ocak 2024</w:t>
            </w:r>
          </w:p>
        </w:tc>
      </w:tr>
      <w:tr w:rsidR="00862A01" w:rsidRPr="00872D7E" w14:paraId="216C7931" w14:textId="77777777" w:rsidTr="00862A01">
        <w:trPr>
          <w:divId w:val="2142110619"/>
          <w:trHeight w:val="170"/>
        </w:trPr>
        <w:tc>
          <w:tcPr>
            <w:tcW w:w="2500" w:type="pct"/>
            <w:tcBorders>
              <w:top w:val="nil"/>
              <w:left w:val="nil"/>
              <w:bottom w:val="nil"/>
              <w:right w:val="nil"/>
            </w:tcBorders>
            <w:shd w:val="clear" w:color="auto" w:fill="auto"/>
            <w:noWrap/>
            <w:vAlign w:val="bottom"/>
            <w:hideMark/>
          </w:tcPr>
          <w:p w14:paraId="114F545D" w14:textId="77777777" w:rsidR="00862A01" w:rsidRPr="00872D7E" w:rsidRDefault="00862A01" w:rsidP="00862A01">
            <w:pPr>
              <w:rPr>
                <w:b/>
                <w:bCs/>
                <w:color w:val="000000"/>
                <w:szCs w:val="20"/>
              </w:rPr>
            </w:pPr>
          </w:p>
        </w:tc>
        <w:tc>
          <w:tcPr>
            <w:tcW w:w="1290" w:type="pct"/>
            <w:tcBorders>
              <w:top w:val="nil"/>
              <w:left w:val="nil"/>
              <w:bottom w:val="nil"/>
              <w:right w:val="nil"/>
            </w:tcBorders>
            <w:shd w:val="clear" w:color="auto" w:fill="auto"/>
            <w:noWrap/>
            <w:vAlign w:val="bottom"/>
            <w:hideMark/>
          </w:tcPr>
          <w:p w14:paraId="2B64326D" w14:textId="77777777" w:rsidR="00862A01" w:rsidRPr="00872D7E" w:rsidRDefault="00862A01" w:rsidP="00862A01">
            <w:pPr>
              <w:jc w:val="right"/>
              <w:rPr>
                <w:szCs w:val="20"/>
              </w:rPr>
            </w:pPr>
          </w:p>
        </w:tc>
        <w:tc>
          <w:tcPr>
            <w:tcW w:w="1210" w:type="pct"/>
            <w:tcBorders>
              <w:top w:val="nil"/>
              <w:left w:val="nil"/>
              <w:bottom w:val="nil"/>
              <w:right w:val="nil"/>
            </w:tcBorders>
            <w:shd w:val="clear" w:color="auto" w:fill="auto"/>
            <w:noWrap/>
            <w:vAlign w:val="bottom"/>
            <w:hideMark/>
          </w:tcPr>
          <w:p w14:paraId="3DEF53BE" w14:textId="77777777" w:rsidR="00862A01" w:rsidRPr="00872D7E" w:rsidRDefault="00862A01" w:rsidP="00862A01">
            <w:pPr>
              <w:jc w:val="right"/>
              <w:rPr>
                <w:szCs w:val="20"/>
              </w:rPr>
            </w:pPr>
          </w:p>
        </w:tc>
      </w:tr>
      <w:tr w:rsidR="00862A01" w:rsidRPr="00872D7E" w14:paraId="356424CE" w14:textId="77777777" w:rsidTr="00862A01">
        <w:trPr>
          <w:divId w:val="2142110619"/>
          <w:trHeight w:val="170"/>
        </w:trPr>
        <w:tc>
          <w:tcPr>
            <w:tcW w:w="2500" w:type="pct"/>
            <w:tcBorders>
              <w:top w:val="nil"/>
              <w:left w:val="nil"/>
              <w:bottom w:val="nil"/>
              <w:right w:val="nil"/>
            </w:tcBorders>
            <w:shd w:val="clear" w:color="auto" w:fill="auto"/>
            <w:noWrap/>
            <w:vAlign w:val="bottom"/>
            <w:hideMark/>
          </w:tcPr>
          <w:p w14:paraId="5972061F" w14:textId="77777777" w:rsidR="00862A01" w:rsidRPr="00872D7E" w:rsidRDefault="00862A01" w:rsidP="00862A01">
            <w:pPr>
              <w:rPr>
                <w:color w:val="000000"/>
                <w:szCs w:val="20"/>
              </w:rPr>
            </w:pPr>
            <w:r w:rsidRPr="00872D7E">
              <w:rPr>
                <w:color w:val="000000"/>
                <w:szCs w:val="20"/>
              </w:rPr>
              <w:t>Borçlanma Senetleri</w:t>
            </w:r>
          </w:p>
        </w:tc>
        <w:tc>
          <w:tcPr>
            <w:tcW w:w="1290" w:type="pct"/>
            <w:tcBorders>
              <w:top w:val="nil"/>
              <w:left w:val="nil"/>
              <w:bottom w:val="nil"/>
              <w:right w:val="nil"/>
            </w:tcBorders>
            <w:shd w:val="clear" w:color="auto" w:fill="auto"/>
            <w:vAlign w:val="center"/>
            <w:hideMark/>
          </w:tcPr>
          <w:p w14:paraId="0661AB62" w14:textId="77777777" w:rsidR="00862A01" w:rsidRPr="00872D7E" w:rsidRDefault="00862A01" w:rsidP="00862A01">
            <w:pPr>
              <w:jc w:val="right"/>
              <w:rPr>
                <w:color w:val="000000"/>
                <w:szCs w:val="20"/>
              </w:rPr>
            </w:pPr>
            <w:r w:rsidRPr="00872D7E">
              <w:rPr>
                <w:color w:val="000000"/>
                <w:szCs w:val="20"/>
              </w:rPr>
              <w:t>391.310</w:t>
            </w:r>
          </w:p>
        </w:tc>
        <w:tc>
          <w:tcPr>
            <w:tcW w:w="1210" w:type="pct"/>
            <w:tcBorders>
              <w:top w:val="nil"/>
              <w:left w:val="nil"/>
              <w:bottom w:val="nil"/>
              <w:right w:val="nil"/>
            </w:tcBorders>
            <w:shd w:val="clear" w:color="auto" w:fill="auto"/>
            <w:vAlign w:val="center"/>
            <w:hideMark/>
          </w:tcPr>
          <w:p w14:paraId="6BF87317" w14:textId="77777777" w:rsidR="00862A01" w:rsidRPr="00872D7E" w:rsidRDefault="00862A01" w:rsidP="00862A01">
            <w:pPr>
              <w:jc w:val="right"/>
              <w:rPr>
                <w:color w:val="000000"/>
                <w:szCs w:val="20"/>
              </w:rPr>
            </w:pPr>
            <w:r w:rsidRPr="00872D7E">
              <w:rPr>
                <w:color w:val="000000"/>
                <w:szCs w:val="20"/>
              </w:rPr>
              <w:t>-</w:t>
            </w:r>
          </w:p>
        </w:tc>
      </w:tr>
      <w:tr w:rsidR="00862A01" w:rsidRPr="00872D7E" w14:paraId="463F6CA3" w14:textId="77777777" w:rsidTr="00862A01">
        <w:trPr>
          <w:divId w:val="2142110619"/>
          <w:trHeight w:val="170"/>
        </w:trPr>
        <w:tc>
          <w:tcPr>
            <w:tcW w:w="2500" w:type="pct"/>
            <w:tcBorders>
              <w:top w:val="nil"/>
              <w:left w:val="nil"/>
              <w:bottom w:val="nil"/>
              <w:right w:val="nil"/>
            </w:tcBorders>
            <w:shd w:val="clear" w:color="auto" w:fill="auto"/>
            <w:noWrap/>
            <w:vAlign w:val="bottom"/>
            <w:hideMark/>
          </w:tcPr>
          <w:p w14:paraId="5DE4B898" w14:textId="77777777" w:rsidR="00862A01" w:rsidRPr="00872D7E" w:rsidRDefault="00862A01" w:rsidP="00862A01">
            <w:pPr>
              <w:ind w:firstLineChars="200" w:firstLine="400"/>
              <w:rPr>
                <w:color w:val="000000"/>
                <w:szCs w:val="20"/>
              </w:rPr>
            </w:pPr>
            <w:r w:rsidRPr="00872D7E">
              <w:rPr>
                <w:color w:val="000000"/>
                <w:szCs w:val="20"/>
              </w:rPr>
              <w:t>Borsada İşlem Görenler</w:t>
            </w:r>
          </w:p>
        </w:tc>
        <w:tc>
          <w:tcPr>
            <w:tcW w:w="1290" w:type="pct"/>
            <w:tcBorders>
              <w:top w:val="nil"/>
              <w:left w:val="nil"/>
              <w:bottom w:val="nil"/>
              <w:right w:val="nil"/>
            </w:tcBorders>
            <w:shd w:val="clear" w:color="auto" w:fill="auto"/>
            <w:vAlign w:val="center"/>
            <w:hideMark/>
          </w:tcPr>
          <w:p w14:paraId="2A8A7D2E" w14:textId="77777777" w:rsidR="00862A01" w:rsidRPr="00872D7E" w:rsidRDefault="00862A01" w:rsidP="00862A01">
            <w:pPr>
              <w:jc w:val="right"/>
              <w:rPr>
                <w:color w:val="000000"/>
                <w:szCs w:val="20"/>
              </w:rPr>
            </w:pPr>
            <w:r w:rsidRPr="00872D7E">
              <w:rPr>
                <w:color w:val="000000"/>
                <w:szCs w:val="20"/>
              </w:rPr>
              <w:t>391.310</w:t>
            </w:r>
          </w:p>
        </w:tc>
        <w:tc>
          <w:tcPr>
            <w:tcW w:w="1210" w:type="pct"/>
            <w:tcBorders>
              <w:top w:val="nil"/>
              <w:left w:val="nil"/>
              <w:bottom w:val="nil"/>
              <w:right w:val="nil"/>
            </w:tcBorders>
            <w:shd w:val="clear" w:color="auto" w:fill="auto"/>
            <w:vAlign w:val="center"/>
            <w:hideMark/>
          </w:tcPr>
          <w:p w14:paraId="1DF11F03" w14:textId="77777777" w:rsidR="00862A01" w:rsidRPr="00872D7E" w:rsidRDefault="00862A01" w:rsidP="00862A01">
            <w:pPr>
              <w:jc w:val="right"/>
              <w:rPr>
                <w:color w:val="000000"/>
                <w:szCs w:val="20"/>
              </w:rPr>
            </w:pPr>
            <w:r w:rsidRPr="00872D7E">
              <w:rPr>
                <w:color w:val="000000"/>
                <w:szCs w:val="20"/>
              </w:rPr>
              <w:t>-</w:t>
            </w:r>
          </w:p>
        </w:tc>
      </w:tr>
      <w:tr w:rsidR="00862A01" w:rsidRPr="00872D7E" w14:paraId="1FF55335" w14:textId="77777777" w:rsidTr="00862A01">
        <w:trPr>
          <w:divId w:val="2142110619"/>
          <w:trHeight w:val="170"/>
        </w:trPr>
        <w:tc>
          <w:tcPr>
            <w:tcW w:w="2500" w:type="pct"/>
            <w:tcBorders>
              <w:top w:val="nil"/>
              <w:left w:val="nil"/>
              <w:bottom w:val="nil"/>
              <w:right w:val="nil"/>
            </w:tcBorders>
            <w:shd w:val="clear" w:color="auto" w:fill="auto"/>
            <w:noWrap/>
            <w:vAlign w:val="bottom"/>
            <w:hideMark/>
          </w:tcPr>
          <w:p w14:paraId="0A378C0D" w14:textId="77777777" w:rsidR="00862A01" w:rsidRPr="00872D7E" w:rsidRDefault="00862A01" w:rsidP="00862A01">
            <w:pPr>
              <w:ind w:firstLineChars="200" w:firstLine="400"/>
              <w:rPr>
                <w:color w:val="000000"/>
                <w:szCs w:val="20"/>
              </w:rPr>
            </w:pPr>
            <w:r w:rsidRPr="00872D7E">
              <w:rPr>
                <w:color w:val="000000"/>
                <w:szCs w:val="20"/>
              </w:rPr>
              <w:t>Borsada İşlem Görmeyenler</w:t>
            </w:r>
          </w:p>
        </w:tc>
        <w:tc>
          <w:tcPr>
            <w:tcW w:w="1290" w:type="pct"/>
            <w:tcBorders>
              <w:top w:val="nil"/>
              <w:left w:val="nil"/>
              <w:bottom w:val="nil"/>
              <w:right w:val="nil"/>
            </w:tcBorders>
            <w:shd w:val="clear" w:color="auto" w:fill="auto"/>
            <w:vAlign w:val="center"/>
            <w:hideMark/>
          </w:tcPr>
          <w:p w14:paraId="1004723E" w14:textId="77777777" w:rsidR="00862A01" w:rsidRPr="00872D7E" w:rsidRDefault="00862A01" w:rsidP="00862A01">
            <w:pPr>
              <w:jc w:val="right"/>
              <w:rPr>
                <w:color w:val="000000"/>
                <w:szCs w:val="20"/>
              </w:rPr>
            </w:pPr>
            <w:r w:rsidRPr="00872D7E">
              <w:rPr>
                <w:color w:val="000000"/>
                <w:szCs w:val="20"/>
              </w:rPr>
              <w:t>-</w:t>
            </w:r>
          </w:p>
        </w:tc>
        <w:tc>
          <w:tcPr>
            <w:tcW w:w="1210" w:type="pct"/>
            <w:tcBorders>
              <w:top w:val="nil"/>
              <w:left w:val="nil"/>
              <w:bottom w:val="nil"/>
              <w:right w:val="nil"/>
            </w:tcBorders>
            <w:shd w:val="clear" w:color="auto" w:fill="auto"/>
            <w:vAlign w:val="center"/>
            <w:hideMark/>
          </w:tcPr>
          <w:p w14:paraId="159F6BC0" w14:textId="77777777" w:rsidR="00862A01" w:rsidRPr="00872D7E" w:rsidRDefault="00862A01" w:rsidP="00862A01">
            <w:pPr>
              <w:jc w:val="right"/>
              <w:rPr>
                <w:color w:val="000000"/>
                <w:szCs w:val="20"/>
              </w:rPr>
            </w:pPr>
            <w:r w:rsidRPr="00872D7E">
              <w:rPr>
                <w:color w:val="000000"/>
                <w:szCs w:val="20"/>
              </w:rPr>
              <w:t>-</w:t>
            </w:r>
          </w:p>
        </w:tc>
      </w:tr>
      <w:tr w:rsidR="00862A01" w:rsidRPr="00872D7E" w14:paraId="46484E54" w14:textId="77777777" w:rsidTr="00862A01">
        <w:trPr>
          <w:divId w:val="2142110619"/>
          <w:trHeight w:val="170"/>
        </w:trPr>
        <w:tc>
          <w:tcPr>
            <w:tcW w:w="2500" w:type="pct"/>
            <w:tcBorders>
              <w:top w:val="nil"/>
              <w:left w:val="nil"/>
              <w:bottom w:val="single" w:sz="4" w:space="0" w:color="auto"/>
              <w:right w:val="nil"/>
            </w:tcBorders>
            <w:shd w:val="clear" w:color="auto" w:fill="auto"/>
            <w:noWrap/>
            <w:vAlign w:val="bottom"/>
            <w:hideMark/>
          </w:tcPr>
          <w:p w14:paraId="2185E369" w14:textId="77777777" w:rsidR="00862A01" w:rsidRPr="00872D7E" w:rsidRDefault="00862A01" w:rsidP="00862A01">
            <w:pPr>
              <w:rPr>
                <w:color w:val="000000"/>
                <w:szCs w:val="20"/>
              </w:rPr>
            </w:pPr>
            <w:r w:rsidRPr="00872D7E">
              <w:rPr>
                <w:color w:val="000000"/>
                <w:szCs w:val="20"/>
              </w:rPr>
              <w:t>Değer Azalma Karşılığı (-)</w:t>
            </w:r>
          </w:p>
        </w:tc>
        <w:tc>
          <w:tcPr>
            <w:tcW w:w="1290" w:type="pct"/>
            <w:tcBorders>
              <w:top w:val="nil"/>
              <w:left w:val="nil"/>
              <w:bottom w:val="single" w:sz="4" w:space="0" w:color="auto"/>
              <w:right w:val="nil"/>
            </w:tcBorders>
            <w:shd w:val="clear" w:color="auto" w:fill="auto"/>
            <w:vAlign w:val="center"/>
            <w:hideMark/>
          </w:tcPr>
          <w:p w14:paraId="2871EDBD" w14:textId="77777777" w:rsidR="00862A01" w:rsidRPr="00872D7E" w:rsidRDefault="00862A01" w:rsidP="00862A01">
            <w:pPr>
              <w:jc w:val="right"/>
              <w:rPr>
                <w:color w:val="000000"/>
                <w:szCs w:val="20"/>
              </w:rPr>
            </w:pPr>
            <w:r w:rsidRPr="00872D7E">
              <w:rPr>
                <w:color w:val="000000"/>
                <w:szCs w:val="20"/>
              </w:rPr>
              <w:t>-</w:t>
            </w:r>
          </w:p>
        </w:tc>
        <w:tc>
          <w:tcPr>
            <w:tcW w:w="1210" w:type="pct"/>
            <w:tcBorders>
              <w:top w:val="nil"/>
              <w:left w:val="nil"/>
              <w:bottom w:val="single" w:sz="4" w:space="0" w:color="auto"/>
              <w:right w:val="nil"/>
            </w:tcBorders>
            <w:shd w:val="clear" w:color="auto" w:fill="auto"/>
            <w:vAlign w:val="center"/>
            <w:hideMark/>
          </w:tcPr>
          <w:p w14:paraId="35BA4726" w14:textId="77777777" w:rsidR="00862A01" w:rsidRPr="00872D7E" w:rsidRDefault="00862A01" w:rsidP="00862A01">
            <w:pPr>
              <w:jc w:val="right"/>
              <w:rPr>
                <w:color w:val="000000"/>
                <w:szCs w:val="20"/>
              </w:rPr>
            </w:pPr>
            <w:r w:rsidRPr="00872D7E">
              <w:rPr>
                <w:color w:val="000000"/>
                <w:szCs w:val="20"/>
              </w:rPr>
              <w:t>-</w:t>
            </w:r>
          </w:p>
        </w:tc>
      </w:tr>
      <w:tr w:rsidR="00862A01" w:rsidRPr="00872D7E" w14:paraId="5BA20C85" w14:textId="77777777" w:rsidTr="00CC21B9">
        <w:trPr>
          <w:divId w:val="2142110619"/>
          <w:trHeight w:val="170"/>
        </w:trPr>
        <w:tc>
          <w:tcPr>
            <w:tcW w:w="2500" w:type="pct"/>
            <w:tcBorders>
              <w:top w:val="nil"/>
              <w:left w:val="nil"/>
              <w:right w:val="nil"/>
            </w:tcBorders>
            <w:shd w:val="clear" w:color="auto" w:fill="auto"/>
            <w:noWrap/>
            <w:vAlign w:val="bottom"/>
            <w:hideMark/>
          </w:tcPr>
          <w:p w14:paraId="5EF1B7F8" w14:textId="77777777" w:rsidR="00862A01" w:rsidRPr="00872D7E" w:rsidRDefault="00862A01" w:rsidP="00862A01">
            <w:pPr>
              <w:jc w:val="right"/>
              <w:rPr>
                <w:color w:val="000000"/>
                <w:szCs w:val="20"/>
              </w:rPr>
            </w:pPr>
          </w:p>
        </w:tc>
        <w:tc>
          <w:tcPr>
            <w:tcW w:w="1290" w:type="pct"/>
            <w:tcBorders>
              <w:top w:val="nil"/>
              <w:left w:val="nil"/>
              <w:right w:val="nil"/>
            </w:tcBorders>
            <w:shd w:val="clear" w:color="auto" w:fill="auto"/>
            <w:noWrap/>
            <w:vAlign w:val="center"/>
            <w:hideMark/>
          </w:tcPr>
          <w:p w14:paraId="7A2B7B8F" w14:textId="77777777" w:rsidR="00862A01" w:rsidRPr="00872D7E" w:rsidRDefault="00862A01" w:rsidP="00862A01">
            <w:pPr>
              <w:jc w:val="right"/>
              <w:rPr>
                <w:szCs w:val="20"/>
              </w:rPr>
            </w:pPr>
          </w:p>
        </w:tc>
        <w:tc>
          <w:tcPr>
            <w:tcW w:w="1210" w:type="pct"/>
            <w:tcBorders>
              <w:top w:val="nil"/>
              <w:left w:val="nil"/>
              <w:right w:val="nil"/>
            </w:tcBorders>
            <w:shd w:val="clear" w:color="auto" w:fill="auto"/>
            <w:noWrap/>
            <w:vAlign w:val="center"/>
            <w:hideMark/>
          </w:tcPr>
          <w:p w14:paraId="71300E50" w14:textId="77777777" w:rsidR="00862A01" w:rsidRPr="00872D7E" w:rsidRDefault="00862A01" w:rsidP="00862A01">
            <w:pPr>
              <w:jc w:val="right"/>
              <w:rPr>
                <w:szCs w:val="20"/>
              </w:rPr>
            </w:pPr>
          </w:p>
        </w:tc>
      </w:tr>
      <w:tr w:rsidR="00862A01" w:rsidRPr="00872D7E" w14:paraId="3EA6FE35" w14:textId="77777777" w:rsidTr="00CC21B9">
        <w:trPr>
          <w:divId w:val="2142110619"/>
          <w:trHeight w:val="170"/>
        </w:trPr>
        <w:tc>
          <w:tcPr>
            <w:tcW w:w="2500" w:type="pct"/>
            <w:tcBorders>
              <w:top w:val="nil"/>
              <w:left w:val="nil"/>
              <w:bottom w:val="single" w:sz="12" w:space="0" w:color="auto"/>
              <w:right w:val="nil"/>
            </w:tcBorders>
            <w:shd w:val="clear" w:color="auto" w:fill="auto"/>
            <w:noWrap/>
            <w:vAlign w:val="bottom"/>
            <w:hideMark/>
          </w:tcPr>
          <w:p w14:paraId="72C73516" w14:textId="77777777" w:rsidR="00862A01" w:rsidRPr="00872D7E" w:rsidRDefault="00862A01" w:rsidP="00862A01">
            <w:pPr>
              <w:rPr>
                <w:b/>
                <w:bCs/>
                <w:color w:val="000000"/>
                <w:szCs w:val="20"/>
              </w:rPr>
            </w:pPr>
            <w:r w:rsidRPr="00872D7E">
              <w:rPr>
                <w:b/>
                <w:bCs/>
                <w:color w:val="000000"/>
                <w:szCs w:val="20"/>
              </w:rPr>
              <w:t>Toplam</w:t>
            </w:r>
          </w:p>
        </w:tc>
        <w:tc>
          <w:tcPr>
            <w:tcW w:w="1290" w:type="pct"/>
            <w:tcBorders>
              <w:top w:val="nil"/>
              <w:left w:val="nil"/>
              <w:bottom w:val="single" w:sz="12" w:space="0" w:color="auto"/>
              <w:right w:val="nil"/>
            </w:tcBorders>
            <w:shd w:val="clear" w:color="auto" w:fill="auto"/>
            <w:vAlign w:val="center"/>
            <w:hideMark/>
          </w:tcPr>
          <w:p w14:paraId="5F4C86F9" w14:textId="77777777" w:rsidR="00862A01" w:rsidRPr="00872D7E" w:rsidRDefault="00862A01" w:rsidP="00862A01">
            <w:pPr>
              <w:jc w:val="right"/>
              <w:rPr>
                <w:b/>
                <w:bCs/>
                <w:color w:val="000000"/>
                <w:szCs w:val="20"/>
              </w:rPr>
            </w:pPr>
            <w:r w:rsidRPr="00872D7E">
              <w:rPr>
                <w:b/>
                <w:bCs/>
                <w:color w:val="000000"/>
                <w:szCs w:val="20"/>
              </w:rPr>
              <w:t>391.310</w:t>
            </w:r>
          </w:p>
        </w:tc>
        <w:tc>
          <w:tcPr>
            <w:tcW w:w="1210" w:type="pct"/>
            <w:tcBorders>
              <w:top w:val="nil"/>
              <w:left w:val="nil"/>
              <w:bottom w:val="single" w:sz="12" w:space="0" w:color="auto"/>
              <w:right w:val="nil"/>
            </w:tcBorders>
            <w:shd w:val="clear" w:color="auto" w:fill="auto"/>
            <w:vAlign w:val="center"/>
            <w:hideMark/>
          </w:tcPr>
          <w:p w14:paraId="15E2F393" w14:textId="77777777" w:rsidR="00862A01" w:rsidRPr="00872D7E" w:rsidRDefault="00862A01" w:rsidP="00862A01">
            <w:pPr>
              <w:jc w:val="right"/>
              <w:rPr>
                <w:b/>
                <w:bCs/>
                <w:color w:val="000000"/>
                <w:szCs w:val="20"/>
              </w:rPr>
            </w:pPr>
            <w:r w:rsidRPr="00872D7E">
              <w:rPr>
                <w:b/>
                <w:bCs/>
                <w:color w:val="000000"/>
                <w:szCs w:val="20"/>
              </w:rPr>
              <w:t>-</w:t>
            </w:r>
          </w:p>
        </w:tc>
      </w:tr>
    </w:tbl>
    <w:p w14:paraId="3C70E42B" w14:textId="3EA13E32" w:rsidR="009E0027" w:rsidRPr="00872D7E" w:rsidRDefault="009E0027" w:rsidP="00A12D29">
      <w:pPr>
        <w:rPr>
          <w:szCs w:val="20"/>
        </w:rPr>
      </w:pPr>
    </w:p>
    <w:p w14:paraId="601B953A" w14:textId="1923E724" w:rsidR="008B4B67" w:rsidRPr="00872D7E" w:rsidRDefault="006C6AE4" w:rsidP="002A4CAF">
      <w:pPr>
        <w:ind w:left="1276" w:hanging="425"/>
        <w:rPr>
          <w:b/>
          <w:bCs/>
          <w:szCs w:val="20"/>
        </w:rPr>
      </w:pPr>
      <w:r w:rsidRPr="00872D7E">
        <w:rPr>
          <w:b/>
          <w:bCs/>
          <w:szCs w:val="20"/>
        </w:rPr>
        <w:t>d</w:t>
      </w:r>
      <w:r w:rsidR="009709C4" w:rsidRPr="00872D7E">
        <w:rPr>
          <w:b/>
          <w:bCs/>
          <w:szCs w:val="20"/>
        </w:rPr>
        <w:t>.</w:t>
      </w:r>
      <w:r w:rsidRPr="00872D7E">
        <w:rPr>
          <w:b/>
          <w:bCs/>
          <w:szCs w:val="20"/>
        </w:rPr>
        <w:tab/>
      </w:r>
      <w:r w:rsidR="008B4B67" w:rsidRPr="00872D7E">
        <w:rPr>
          <w:b/>
          <w:bCs/>
          <w:szCs w:val="20"/>
        </w:rPr>
        <w:t>İtfa edilmiş maliyeti üzerinden değerlenen finansal varlıkların yıl içindeki hareketleri:</w:t>
      </w:r>
    </w:p>
    <w:p w14:paraId="6A361BB8" w14:textId="5154D5F7" w:rsidR="00862A01" w:rsidRPr="00872D7E" w:rsidRDefault="00862A01" w:rsidP="008B4B67">
      <w:pPr>
        <w:rPr>
          <w:szCs w:val="20"/>
        </w:rPr>
      </w:pPr>
    </w:p>
    <w:tbl>
      <w:tblPr>
        <w:tblW w:w="5000" w:type="pct"/>
        <w:tblCellMar>
          <w:left w:w="70" w:type="dxa"/>
          <w:right w:w="70" w:type="dxa"/>
        </w:tblCellMar>
        <w:tblLook w:val="04A0" w:firstRow="1" w:lastRow="0" w:firstColumn="1" w:lastColumn="0" w:noHBand="0" w:noVBand="1"/>
      </w:tblPr>
      <w:tblGrid>
        <w:gridCol w:w="4678"/>
        <w:gridCol w:w="2419"/>
        <w:gridCol w:w="2258"/>
      </w:tblGrid>
      <w:tr w:rsidR="00862A01" w:rsidRPr="00872D7E" w14:paraId="52EA6A54" w14:textId="77777777" w:rsidTr="00862A01">
        <w:trPr>
          <w:divId w:val="500661474"/>
          <w:trHeight w:val="170"/>
        </w:trPr>
        <w:tc>
          <w:tcPr>
            <w:tcW w:w="2500" w:type="pct"/>
            <w:tcBorders>
              <w:top w:val="nil"/>
              <w:left w:val="nil"/>
              <w:bottom w:val="nil"/>
              <w:right w:val="nil"/>
            </w:tcBorders>
            <w:shd w:val="clear" w:color="auto" w:fill="auto"/>
            <w:noWrap/>
            <w:hideMark/>
          </w:tcPr>
          <w:p w14:paraId="19FDE95D" w14:textId="6C469103" w:rsidR="00862A01" w:rsidRPr="00872D7E" w:rsidRDefault="00862A01" w:rsidP="00862A01">
            <w:pPr>
              <w:rPr>
                <w:szCs w:val="20"/>
              </w:rPr>
            </w:pPr>
          </w:p>
        </w:tc>
        <w:tc>
          <w:tcPr>
            <w:tcW w:w="1293" w:type="pct"/>
            <w:tcBorders>
              <w:top w:val="nil"/>
              <w:left w:val="nil"/>
              <w:bottom w:val="single" w:sz="4" w:space="0" w:color="auto"/>
              <w:right w:val="nil"/>
            </w:tcBorders>
            <w:shd w:val="clear" w:color="auto" w:fill="auto"/>
            <w:noWrap/>
            <w:vAlign w:val="center"/>
            <w:hideMark/>
          </w:tcPr>
          <w:p w14:paraId="3CEE54B3" w14:textId="77777777" w:rsidR="00862A01" w:rsidRPr="00872D7E" w:rsidRDefault="00862A01" w:rsidP="00862A01">
            <w:pPr>
              <w:jc w:val="right"/>
              <w:rPr>
                <w:b/>
                <w:bCs/>
                <w:color w:val="000000"/>
                <w:szCs w:val="20"/>
              </w:rPr>
            </w:pPr>
            <w:r w:rsidRPr="00872D7E">
              <w:rPr>
                <w:b/>
                <w:bCs/>
                <w:color w:val="000000"/>
                <w:szCs w:val="20"/>
              </w:rPr>
              <w:t>31 Aralık 2024</w:t>
            </w:r>
          </w:p>
        </w:tc>
        <w:tc>
          <w:tcPr>
            <w:tcW w:w="1207" w:type="pct"/>
            <w:tcBorders>
              <w:top w:val="nil"/>
              <w:left w:val="nil"/>
              <w:bottom w:val="single" w:sz="4" w:space="0" w:color="auto"/>
              <w:right w:val="nil"/>
            </w:tcBorders>
            <w:shd w:val="clear" w:color="auto" w:fill="auto"/>
            <w:noWrap/>
            <w:vAlign w:val="center"/>
            <w:hideMark/>
          </w:tcPr>
          <w:p w14:paraId="1E342E8C" w14:textId="77777777" w:rsidR="00862A01" w:rsidRPr="00872D7E" w:rsidRDefault="00862A01" w:rsidP="00862A01">
            <w:pPr>
              <w:jc w:val="right"/>
              <w:rPr>
                <w:b/>
                <w:bCs/>
                <w:color w:val="000000"/>
                <w:szCs w:val="20"/>
              </w:rPr>
            </w:pPr>
            <w:r w:rsidRPr="00872D7E">
              <w:rPr>
                <w:b/>
                <w:bCs/>
                <w:color w:val="000000"/>
                <w:szCs w:val="20"/>
              </w:rPr>
              <w:t>1 Ocak 2024</w:t>
            </w:r>
          </w:p>
        </w:tc>
      </w:tr>
      <w:tr w:rsidR="00862A01" w:rsidRPr="00872D7E" w14:paraId="7812206D" w14:textId="77777777" w:rsidTr="00862A01">
        <w:trPr>
          <w:divId w:val="500661474"/>
          <w:trHeight w:val="170"/>
        </w:trPr>
        <w:tc>
          <w:tcPr>
            <w:tcW w:w="2500" w:type="pct"/>
            <w:tcBorders>
              <w:top w:val="nil"/>
              <w:left w:val="nil"/>
              <w:bottom w:val="nil"/>
              <w:right w:val="nil"/>
            </w:tcBorders>
            <w:shd w:val="clear" w:color="auto" w:fill="auto"/>
            <w:noWrap/>
            <w:vAlign w:val="bottom"/>
            <w:hideMark/>
          </w:tcPr>
          <w:p w14:paraId="05FDFE92" w14:textId="77777777" w:rsidR="00862A01" w:rsidRPr="00872D7E" w:rsidRDefault="00862A01" w:rsidP="00862A01">
            <w:pPr>
              <w:rPr>
                <w:b/>
                <w:bCs/>
                <w:color w:val="000000"/>
                <w:szCs w:val="20"/>
              </w:rPr>
            </w:pPr>
          </w:p>
        </w:tc>
        <w:tc>
          <w:tcPr>
            <w:tcW w:w="1293" w:type="pct"/>
            <w:tcBorders>
              <w:top w:val="nil"/>
              <w:left w:val="nil"/>
              <w:bottom w:val="nil"/>
              <w:right w:val="nil"/>
            </w:tcBorders>
            <w:shd w:val="clear" w:color="auto" w:fill="auto"/>
            <w:noWrap/>
            <w:vAlign w:val="bottom"/>
            <w:hideMark/>
          </w:tcPr>
          <w:p w14:paraId="7C1BE9A6" w14:textId="77777777" w:rsidR="00862A01" w:rsidRPr="00872D7E" w:rsidRDefault="00862A01" w:rsidP="00862A01">
            <w:pPr>
              <w:jc w:val="both"/>
              <w:rPr>
                <w:szCs w:val="20"/>
              </w:rPr>
            </w:pPr>
          </w:p>
        </w:tc>
        <w:tc>
          <w:tcPr>
            <w:tcW w:w="1207" w:type="pct"/>
            <w:tcBorders>
              <w:top w:val="nil"/>
              <w:left w:val="nil"/>
              <w:bottom w:val="nil"/>
              <w:right w:val="nil"/>
            </w:tcBorders>
            <w:shd w:val="clear" w:color="auto" w:fill="auto"/>
            <w:noWrap/>
            <w:vAlign w:val="bottom"/>
            <w:hideMark/>
          </w:tcPr>
          <w:p w14:paraId="55DF7180" w14:textId="77777777" w:rsidR="00862A01" w:rsidRPr="00872D7E" w:rsidRDefault="00862A01" w:rsidP="00862A01">
            <w:pPr>
              <w:jc w:val="both"/>
              <w:rPr>
                <w:szCs w:val="20"/>
              </w:rPr>
            </w:pPr>
          </w:p>
        </w:tc>
      </w:tr>
      <w:tr w:rsidR="00862A01" w:rsidRPr="00872D7E" w14:paraId="1D97121F" w14:textId="77777777" w:rsidTr="00862A01">
        <w:trPr>
          <w:divId w:val="500661474"/>
          <w:trHeight w:val="170"/>
        </w:trPr>
        <w:tc>
          <w:tcPr>
            <w:tcW w:w="2500" w:type="pct"/>
            <w:tcBorders>
              <w:top w:val="nil"/>
              <w:left w:val="nil"/>
              <w:bottom w:val="nil"/>
              <w:right w:val="nil"/>
            </w:tcBorders>
            <w:shd w:val="clear" w:color="auto" w:fill="auto"/>
            <w:noWrap/>
            <w:vAlign w:val="bottom"/>
            <w:hideMark/>
          </w:tcPr>
          <w:p w14:paraId="6A72E923" w14:textId="77777777" w:rsidR="00862A01" w:rsidRPr="00872D7E" w:rsidRDefault="00862A01" w:rsidP="00862A01">
            <w:pPr>
              <w:rPr>
                <w:color w:val="000000"/>
                <w:szCs w:val="20"/>
              </w:rPr>
            </w:pPr>
            <w:r w:rsidRPr="00872D7E">
              <w:rPr>
                <w:color w:val="000000"/>
                <w:szCs w:val="20"/>
              </w:rPr>
              <w:t xml:space="preserve">Dönem Başındaki Değer </w:t>
            </w:r>
          </w:p>
        </w:tc>
        <w:tc>
          <w:tcPr>
            <w:tcW w:w="1293" w:type="pct"/>
            <w:tcBorders>
              <w:top w:val="nil"/>
              <w:left w:val="nil"/>
              <w:bottom w:val="nil"/>
              <w:right w:val="nil"/>
            </w:tcBorders>
            <w:shd w:val="clear" w:color="auto" w:fill="auto"/>
            <w:vAlign w:val="center"/>
            <w:hideMark/>
          </w:tcPr>
          <w:p w14:paraId="5566C126" w14:textId="77777777" w:rsidR="00862A01" w:rsidRPr="00872D7E" w:rsidRDefault="00862A01" w:rsidP="00862A01">
            <w:pPr>
              <w:jc w:val="right"/>
              <w:rPr>
                <w:color w:val="000000"/>
                <w:szCs w:val="20"/>
              </w:rPr>
            </w:pPr>
            <w:r w:rsidRPr="00872D7E">
              <w:rPr>
                <w:color w:val="000000"/>
                <w:szCs w:val="20"/>
              </w:rPr>
              <w:t>-</w:t>
            </w:r>
          </w:p>
        </w:tc>
        <w:tc>
          <w:tcPr>
            <w:tcW w:w="1207" w:type="pct"/>
            <w:tcBorders>
              <w:top w:val="nil"/>
              <w:left w:val="nil"/>
              <w:bottom w:val="nil"/>
              <w:right w:val="nil"/>
            </w:tcBorders>
            <w:shd w:val="clear" w:color="auto" w:fill="auto"/>
            <w:vAlign w:val="center"/>
            <w:hideMark/>
          </w:tcPr>
          <w:p w14:paraId="620CBC0C" w14:textId="77777777" w:rsidR="00862A01" w:rsidRPr="00872D7E" w:rsidRDefault="00862A01" w:rsidP="00862A01">
            <w:pPr>
              <w:jc w:val="right"/>
              <w:rPr>
                <w:color w:val="000000"/>
                <w:szCs w:val="20"/>
              </w:rPr>
            </w:pPr>
            <w:r w:rsidRPr="00872D7E">
              <w:rPr>
                <w:color w:val="000000"/>
                <w:szCs w:val="20"/>
              </w:rPr>
              <w:t>-</w:t>
            </w:r>
          </w:p>
        </w:tc>
      </w:tr>
      <w:tr w:rsidR="00862A01" w:rsidRPr="00872D7E" w14:paraId="3388F287" w14:textId="77777777" w:rsidTr="00862A01">
        <w:trPr>
          <w:divId w:val="500661474"/>
          <w:trHeight w:val="170"/>
        </w:trPr>
        <w:tc>
          <w:tcPr>
            <w:tcW w:w="2500" w:type="pct"/>
            <w:tcBorders>
              <w:top w:val="nil"/>
              <w:left w:val="nil"/>
              <w:bottom w:val="nil"/>
              <w:right w:val="nil"/>
            </w:tcBorders>
            <w:shd w:val="clear" w:color="auto" w:fill="auto"/>
            <w:noWrap/>
            <w:vAlign w:val="bottom"/>
            <w:hideMark/>
          </w:tcPr>
          <w:p w14:paraId="479EE91B" w14:textId="77777777" w:rsidR="00862A01" w:rsidRPr="00872D7E" w:rsidRDefault="00862A01" w:rsidP="00862A01">
            <w:pPr>
              <w:rPr>
                <w:color w:val="000000"/>
                <w:szCs w:val="20"/>
              </w:rPr>
            </w:pPr>
            <w:r w:rsidRPr="00872D7E">
              <w:rPr>
                <w:color w:val="000000"/>
                <w:szCs w:val="20"/>
              </w:rPr>
              <w:t xml:space="preserve">Parasal Varlıklarda Meydana Gelen Kur Farkları </w:t>
            </w:r>
          </w:p>
        </w:tc>
        <w:tc>
          <w:tcPr>
            <w:tcW w:w="1293" w:type="pct"/>
            <w:tcBorders>
              <w:top w:val="nil"/>
              <w:left w:val="nil"/>
              <w:bottom w:val="nil"/>
              <w:right w:val="nil"/>
            </w:tcBorders>
            <w:shd w:val="clear" w:color="auto" w:fill="auto"/>
            <w:vAlign w:val="center"/>
            <w:hideMark/>
          </w:tcPr>
          <w:p w14:paraId="36619357" w14:textId="77777777" w:rsidR="00862A01" w:rsidRPr="00872D7E" w:rsidRDefault="00862A01" w:rsidP="00862A01">
            <w:pPr>
              <w:jc w:val="right"/>
              <w:rPr>
                <w:color w:val="000000"/>
                <w:szCs w:val="20"/>
              </w:rPr>
            </w:pPr>
            <w:r w:rsidRPr="00872D7E">
              <w:rPr>
                <w:color w:val="000000"/>
                <w:szCs w:val="20"/>
              </w:rPr>
              <w:t>-</w:t>
            </w:r>
          </w:p>
        </w:tc>
        <w:tc>
          <w:tcPr>
            <w:tcW w:w="1207" w:type="pct"/>
            <w:tcBorders>
              <w:top w:val="nil"/>
              <w:left w:val="nil"/>
              <w:bottom w:val="nil"/>
              <w:right w:val="nil"/>
            </w:tcBorders>
            <w:shd w:val="clear" w:color="auto" w:fill="auto"/>
            <w:vAlign w:val="center"/>
            <w:hideMark/>
          </w:tcPr>
          <w:p w14:paraId="585E44F9" w14:textId="77777777" w:rsidR="00862A01" w:rsidRPr="00872D7E" w:rsidRDefault="00862A01" w:rsidP="00862A01">
            <w:pPr>
              <w:jc w:val="right"/>
              <w:rPr>
                <w:color w:val="000000"/>
                <w:szCs w:val="20"/>
              </w:rPr>
            </w:pPr>
            <w:r w:rsidRPr="00872D7E">
              <w:rPr>
                <w:color w:val="000000"/>
                <w:szCs w:val="20"/>
              </w:rPr>
              <w:t>-</w:t>
            </w:r>
          </w:p>
        </w:tc>
      </w:tr>
      <w:tr w:rsidR="00862A01" w:rsidRPr="00872D7E" w14:paraId="51A58486" w14:textId="77777777" w:rsidTr="00862A01">
        <w:trPr>
          <w:divId w:val="500661474"/>
          <w:trHeight w:val="170"/>
        </w:trPr>
        <w:tc>
          <w:tcPr>
            <w:tcW w:w="2500" w:type="pct"/>
            <w:tcBorders>
              <w:top w:val="nil"/>
              <w:left w:val="nil"/>
              <w:bottom w:val="nil"/>
              <w:right w:val="nil"/>
            </w:tcBorders>
            <w:shd w:val="clear" w:color="auto" w:fill="auto"/>
            <w:noWrap/>
            <w:vAlign w:val="bottom"/>
            <w:hideMark/>
          </w:tcPr>
          <w:p w14:paraId="27CCF85D" w14:textId="1921B29B" w:rsidR="00862A01" w:rsidRPr="00872D7E" w:rsidRDefault="00862A01" w:rsidP="00862A01">
            <w:pPr>
              <w:rPr>
                <w:color w:val="000000"/>
                <w:szCs w:val="20"/>
                <w:lang w:eastAsia="tr-TR"/>
              </w:rPr>
            </w:pPr>
            <w:r w:rsidRPr="00872D7E">
              <w:rPr>
                <w:color w:val="000000"/>
                <w:szCs w:val="20"/>
              </w:rPr>
              <w:t>Yıl İçindeki Alımlar</w:t>
            </w:r>
          </w:p>
        </w:tc>
        <w:tc>
          <w:tcPr>
            <w:tcW w:w="1293" w:type="pct"/>
            <w:tcBorders>
              <w:top w:val="nil"/>
              <w:left w:val="nil"/>
              <w:bottom w:val="nil"/>
              <w:right w:val="nil"/>
            </w:tcBorders>
            <w:shd w:val="clear" w:color="auto" w:fill="auto"/>
            <w:vAlign w:val="center"/>
            <w:hideMark/>
          </w:tcPr>
          <w:p w14:paraId="7D60E105" w14:textId="77777777" w:rsidR="00862A01" w:rsidRPr="00872D7E" w:rsidRDefault="00862A01" w:rsidP="00862A01">
            <w:pPr>
              <w:jc w:val="right"/>
              <w:rPr>
                <w:color w:val="000000"/>
                <w:szCs w:val="20"/>
              </w:rPr>
            </w:pPr>
            <w:r w:rsidRPr="00872D7E">
              <w:rPr>
                <w:color w:val="000000"/>
                <w:szCs w:val="20"/>
              </w:rPr>
              <w:t>391.310</w:t>
            </w:r>
          </w:p>
        </w:tc>
        <w:tc>
          <w:tcPr>
            <w:tcW w:w="1207" w:type="pct"/>
            <w:tcBorders>
              <w:top w:val="nil"/>
              <w:left w:val="nil"/>
              <w:bottom w:val="nil"/>
              <w:right w:val="nil"/>
            </w:tcBorders>
            <w:shd w:val="clear" w:color="auto" w:fill="auto"/>
            <w:vAlign w:val="center"/>
            <w:hideMark/>
          </w:tcPr>
          <w:p w14:paraId="08A589D6" w14:textId="77777777" w:rsidR="00862A01" w:rsidRPr="00872D7E" w:rsidRDefault="00862A01" w:rsidP="00862A01">
            <w:pPr>
              <w:jc w:val="right"/>
              <w:rPr>
                <w:color w:val="000000"/>
                <w:szCs w:val="20"/>
              </w:rPr>
            </w:pPr>
            <w:r w:rsidRPr="00872D7E">
              <w:rPr>
                <w:color w:val="000000"/>
                <w:szCs w:val="20"/>
              </w:rPr>
              <w:t>-</w:t>
            </w:r>
          </w:p>
        </w:tc>
      </w:tr>
      <w:tr w:rsidR="00862A01" w:rsidRPr="00872D7E" w14:paraId="0E56BE60" w14:textId="77777777" w:rsidTr="00862A01">
        <w:trPr>
          <w:divId w:val="500661474"/>
          <w:trHeight w:val="170"/>
        </w:trPr>
        <w:tc>
          <w:tcPr>
            <w:tcW w:w="2500" w:type="pct"/>
            <w:tcBorders>
              <w:top w:val="nil"/>
              <w:left w:val="nil"/>
              <w:right w:val="nil"/>
            </w:tcBorders>
            <w:shd w:val="clear" w:color="auto" w:fill="auto"/>
            <w:noWrap/>
            <w:vAlign w:val="bottom"/>
            <w:hideMark/>
          </w:tcPr>
          <w:p w14:paraId="55D9E1D8" w14:textId="77777777" w:rsidR="00862A01" w:rsidRPr="00872D7E" w:rsidRDefault="00862A01" w:rsidP="00862A01">
            <w:pPr>
              <w:rPr>
                <w:color w:val="000000"/>
                <w:szCs w:val="20"/>
              </w:rPr>
            </w:pPr>
            <w:r w:rsidRPr="00872D7E">
              <w:rPr>
                <w:color w:val="000000"/>
                <w:szCs w:val="20"/>
              </w:rPr>
              <w:t>Satış ve İtfa Yolu ile Elden Çıkarılanlar</w:t>
            </w:r>
          </w:p>
        </w:tc>
        <w:tc>
          <w:tcPr>
            <w:tcW w:w="1293" w:type="pct"/>
            <w:tcBorders>
              <w:top w:val="nil"/>
              <w:left w:val="nil"/>
              <w:right w:val="nil"/>
            </w:tcBorders>
            <w:shd w:val="clear" w:color="auto" w:fill="auto"/>
            <w:vAlign w:val="center"/>
            <w:hideMark/>
          </w:tcPr>
          <w:p w14:paraId="22B9FB27" w14:textId="77777777" w:rsidR="00862A01" w:rsidRPr="00872D7E" w:rsidRDefault="00862A01" w:rsidP="00862A01">
            <w:pPr>
              <w:jc w:val="right"/>
              <w:rPr>
                <w:color w:val="000000"/>
                <w:szCs w:val="20"/>
              </w:rPr>
            </w:pPr>
            <w:r w:rsidRPr="00872D7E">
              <w:rPr>
                <w:color w:val="000000"/>
                <w:szCs w:val="20"/>
              </w:rPr>
              <w:t>-</w:t>
            </w:r>
          </w:p>
        </w:tc>
        <w:tc>
          <w:tcPr>
            <w:tcW w:w="1207" w:type="pct"/>
            <w:tcBorders>
              <w:top w:val="nil"/>
              <w:left w:val="nil"/>
              <w:right w:val="nil"/>
            </w:tcBorders>
            <w:shd w:val="clear" w:color="auto" w:fill="auto"/>
            <w:vAlign w:val="center"/>
            <w:hideMark/>
          </w:tcPr>
          <w:p w14:paraId="53E4DF48" w14:textId="77777777" w:rsidR="00862A01" w:rsidRPr="00872D7E" w:rsidRDefault="00862A01" w:rsidP="00862A01">
            <w:pPr>
              <w:jc w:val="right"/>
              <w:rPr>
                <w:color w:val="000000"/>
                <w:szCs w:val="20"/>
              </w:rPr>
            </w:pPr>
            <w:r w:rsidRPr="00872D7E">
              <w:rPr>
                <w:color w:val="000000"/>
                <w:szCs w:val="20"/>
              </w:rPr>
              <w:t>-</w:t>
            </w:r>
          </w:p>
        </w:tc>
      </w:tr>
      <w:tr w:rsidR="00862A01" w:rsidRPr="00872D7E" w14:paraId="0DA9B903" w14:textId="77777777" w:rsidTr="00862A01">
        <w:trPr>
          <w:divId w:val="500661474"/>
          <w:trHeight w:val="170"/>
        </w:trPr>
        <w:tc>
          <w:tcPr>
            <w:tcW w:w="2500" w:type="pct"/>
            <w:tcBorders>
              <w:top w:val="nil"/>
              <w:left w:val="nil"/>
              <w:bottom w:val="single" w:sz="4" w:space="0" w:color="auto"/>
              <w:right w:val="nil"/>
            </w:tcBorders>
            <w:shd w:val="clear" w:color="auto" w:fill="auto"/>
            <w:noWrap/>
            <w:vAlign w:val="bottom"/>
            <w:hideMark/>
          </w:tcPr>
          <w:p w14:paraId="30D22DF6" w14:textId="77777777" w:rsidR="00862A01" w:rsidRPr="00872D7E" w:rsidRDefault="00862A01" w:rsidP="00862A01">
            <w:pPr>
              <w:rPr>
                <w:color w:val="000000"/>
                <w:szCs w:val="20"/>
              </w:rPr>
            </w:pPr>
            <w:r w:rsidRPr="00872D7E">
              <w:rPr>
                <w:color w:val="000000"/>
                <w:szCs w:val="20"/>
              </w:rPr>
              <w:t>Değer Azalışı Karşılığı (-)</w:t>
            </w:r>
          </w:p>
        </w:tc>
        <w:tc>
          <w:tcPr>
            <w:tcW w:w="1293" w:type="pct"/>
            <w:tcBorders>
              <w:top w:val="nil"/>
              <w:left w:val="nil"/>
              <w:bottom w:val="single" w:sz="4" w:space="0" w:color="auto"/>
              <w:right w:val="nil"/>
            </w:tcBorders>
            <w:shd w:val="clear" w:color="auto" w:fill="auto"/>
            <w:vAlign w:val="center"/>
            <w:hideMark/>
          </w:tcPr>
          <w:p w14:paraId="0A39FBFB" w14:textId="77777777" w:rsidR="00862A01" w:rsidRPr="00872D7E" w:rsidRDefault="00862A01" w:rsidP="00862A01">
            <w:pPr>
              <w:jc w:val="right"/>
              <w:rPr>
                <w:color w:val="000000"/>
                <w:szCs w:val="20"/>
              </w:rPr>
            </w:pPr>
            <w:r w:rsidRPr="00872D7E">
              <w:rPr>
                <w:color w:val="000000"/>
                <w:szCs w:val="20"/>
              </w:rPr>
              <w:t>-</w:t>
            </w:r>
          </w:p>
        </w:tc>
        <w:tc>
          <w:tcPr>
            <w:tcW w:w="1207" w:type="pct"/>
            <w:tcBorders>
              <w:top w:val="nil"/>
              <w:left w:val="nil"/>
              <w:bottom w:val="single" w:sz="4" w:space="0" w:color="auto"/>
              <w:right w:val="nil"/>
            </w:tcBorders>
            <w:shd w:val="clear" w:color="auto" w:fill="auto"/>
            <w:vAlign w:val="center"/>
            <w:hideMark/>
          </w:tcPr>
          <w:p w14:paraId="6D8475D7" w14:textId="77777777" w:rsidR="00862A01" w:rsidRPr="00872D7E" w:rsidRDefault="00862A01" w:rsidP="00862A01">
            <w:pPr>
              <w:jc w:val="right"/>
              <w:rPr>
                <w:color w:val="000000"/>
                <w:szCs w:val="20"/>
              </w:rPr>
            </w:pPr>
            <w:r w:rsidRPr="00872D7E">
              <w:rPr>
                <w:color w:val="000000"/>
                <w:szCs w:val="20"/>
              </w:rPr>
              <w:t>-</w:t>
            </w:r>
          </w:p>
        </w:tc>
      </w:tr>
      <w:tr w:rsidR="00862A01" w:rsidRPr="00872D7E" w14:paraId="339C53FF" w14:textId="77777777" w:rsidTr="00862A01">
        <w:trPr>
          <w:divId w:val="500661474"/>
          <w:trHeight w:val="170"/>
        </w:trPr>
        <w:tc>
          <w:tcPr>
            <w:tcW w:w="2500" w:type="pct"/>
            <w:tcBorders>
              <w:top w:val="single" w:sz="4" w:space="0" w:color="auto"/>
              <w:left w:val="nil"/>
              <w:right w:val="nil"/>
            </w:tcBorders>
            <w:shd w:val="clear" w:color="auto" w:fill="auto"/>
            <w:noWrap/>
            <w:vAlign w:val="bottom"/>
            <w:hideMark/>
          </w:tcPr>
          <w:p w14:paraId="432B5DF7" w14:textId="77777777" w:rsidR="00862A01" w:rsidRPr="00872D7E" w:rsidRDefault="00862A01" w:rsidP="00862A01">
            <w:pPr>
              <w:rPr>
                <w:b/>
                <w:bCs/>
                <w:color w:val="000000"/>
                <w:szCs w:val="20"/>
              </w:rPr>
            </w:pPr>
          </w:p>
        </w:tc>
        <w:tc>
          <w:tcPr>
            <w:tcW w:w="1293" w:type="pct"/>
            <w:tcBorders>
              <w:top w:val="single" w:sz="4" w:space="0" w:color="auto"/>
              <w:left w:val="nil"/>
              <w:right w:val="nil"/>
            </w:tcBorders>
            <w:shd w:val="clear" w:color="auto" w:fill="auto"/>
            <w:noWrap/>
            <w:vAlign w:val="bottom"/>
            <w:hideMark/>
          </w:tcPr>
          <w:p w14:paraId="71C09735" w14:textId="77777777" w:rsidR="00862A01" w:rsidRPr="00872D7E" w:rsidRDefault="00862A01" w:rsidP="00862A01">
            <w:pPr>
              <w:jc w:val="right"/>
              <w:rPr>
                <w:b/>
                <w:bCs/>
                <w:color w:val="000000"/>
                <w:szCs w:val="20"/>
              </w:rPr>
            </w:pPr>
          </w:p>
        </w:tc>
        <w:tc>
          <w:tcPr>
            <w:tcW w:w="1207" w:type="pct"/>
            <w:tcBorders>
              <w:top w:val="single" w:sz="4" w:space="0" w:color="auto"/>
              <w:left w:val="nil"/>
              <w:right w:val="nil"/>
            </w:tcBorders>
            <w:shd w:val="clear" w:color="auto" w:fill="auto"/>
            <w:noWrap/>
            <w:vAlign w:val="bottom"/>
            <w:hideMark/>
          </w:tcPr>
          <w:p w14:paraId="0475BB3A" w14:textId="77777777" w:rsidR="00862A01" w:rsidRPr="00872D7E" w:rsidRDefault="00862A01" w:rsidP="00862A01">
            <w:pPr>
              <w:jc w:val="right"/>
              <w:rPr>
                <w:b/>
                <w:bCs/>
                <w:color w:val="000000"/>
                <w:szCs w:val="20"/>
              </w:rPr>
            </w:pPr>
          </w:p>
        </w:tc>
      </w:tr>
      <w:tr w:rsidR="00862A01" w:rsidRPr="00872D7E" w14:paraId="27D6E45C" w14:textId="77777777" w:rsidTr="00862A01">
        <w:trPr>
          <w:divId w:val="500661474"/>
          <w:trHeight w:val="170"/>
        </w:trPr>
        <w:tc>
          <w:tcPr>
            <w:tcW w:w="2500" w:type="pct"/>
            <w:tcBorders>
              <w:top w:val="nil"/>
              <w:left w:val="nil"/>
              <w:bottom w:val="single" w:sz="12" w:space="0" w:color="auto"/>
              <w:right w:val="nil"/>
            </w:tcBorders>
            <w:shd w:val="clear" w:color="auto" w:fill="auto"/>
            <w:noWrap/>
            <w:vAlign w:val="bottom"/>
            <w:hideMark/>
          </w:tcPr>
          <w:p w14:paraId="0F4F32C2" w14:textId="77777777" w:rsidR="00862A01" w:rsidRPr="00872D7E" w:rsidRDefault="00862A01" w:rsidP="00862A01">
            <w:pPr>
              <w:rPr>
                <w:b/>
                <w:bCs/>
                <w:color w:val="000000"/>
                <w:szCs w:val="20"/>
              </w:rPr>
            </w:pPr>
            <w:r w:rsidRPr="00872D7E">
              <w:rPr>
                <w:b/>
                <w:bCs/>
                <w:color w:val="000000"/>
                <w:szCs w:val="20"/>
              </w:rPr>
              <w:t>Dönem Sonu Toplamı</w:t>
            </w:r>
          </w:p>
        </w:tc>
        <w:tc>
          <w:tcPr>
            <w:tcW w:w="1293" w:type="pct"/>
            <w:tcBorders>
              <w:top w:val="nil"/>
              <w:left w:val="nil"/>
              <w:bottom w:val="single" w:sz="12" w:space="0" w:color="auto"/>
              <w:right w:val="nil"/>
            </w:tcBorders>
            <w:shd w:val="clear" w:color="auto" w:fill="auto"/>
            <w:vAlign w:val="center"/>
            <w:hideMark/>
          </w:tcPr>
          <w:p w14:paraId="6C5AFD23" w14:textId="77777777" w:rsidR="00862A01" w:rsidRPr="00872D7E" w:rsidRDefault="00862A01" w:rsidP="00862A01">
            <w:pPr>
              <w:jc w:val="right"/>
              <w:rPr>
                <w:b/>
                <w:bCs/>
                <w:color w:val="000000"/>
                <w:szCs w:val="20"/>
              </w:rPr>
            </w:pPr>
            <w:r w:rsidRPr="00872D7E">
              <w:rPr>
                <w:b/>
                <w:bCs/>
                <w:color w:val="000000"/>
                <w:szCs w:val="20"/>
              </w:rPr>
              <w:t>391.310</w:t>
            </w:r>
          </w:p>
        </w:tc>
        <w:tc>
          <w:tcPr>
            <w:tcW w:w="1207" w:type="pct"/>
            <w:tcBorders>
              <w:top w:val="nil"/>
              <w:left w:val="nil"/>
              <w:bottom w:val="single" w:sz="12" w:space="0" w:color="auto"/>
              <w:right w:val="nil"/>
            </w:tcBorders>
            <w:shd w:val="clear" w:color="auto" w:fill="auto"/>
            <w:vAlign w:val="center"/>
            <w:hideMark/>
          </w:tcPr>
          <w:p w14:paraId="79AE1E8C" w14:textId="77777777" w:rsidR="00862A01" w:rsidRPr="00872D7E" w:rsidRDefault="00862A01" w:rsidP="00862A01">
            <w:pPr>
              <w:jc w:val="right"/>
              <w:rPr>
                <w:b/>
                <w:bCs/>
                <w:color w:val="000000"/>
                <w:szCs w:val="20"/>
              </w:rPr>
            </w:pPr>
            <w:r w:rsidRPr="00872D7E">
              <w:rPr>
                <w:b/>
                <w:bCs/>
                <w:color w:val="000000"/>
                <w:szCs w:val="20"/>
              </w:rPr>
              <w:t>-</w:t>
            </w:r>
          </w:p>
        </w:tc>
      </w:tr>
    </w:tbl>
    <w:p w14:paraId="6A1B931D" w14:textId="77777777" w:rsidR="00894C14" w:rsidRPr="00872D7E" w:rsidRDefault="00894C14" w:rsidP="008B4B67">
      <w:pPr>
        <w:rPr>
          <w:sz w:val="18"/>
          <w:szCs w:val="22"/>
        </w:rPr>
      </w:pPr>
      <w:bookmarkStart w:id="68" w:name="_Hlk188261523"/>
    </w:p>
    <w:bookmarkEnd w:id="68"/>
    <w:p w14:paraId="21667F11" w14:textId="77777777" w:rsidR="00894C14" w:rsidRPr="00872D7E" w:rsidRDefault="00894C14" w:rsidP="00894C14">
      <w:pPr>
        <w:pStyle w:val="BodyTextIndent"/>
        <w:widowControl w:val="0"/>
        <w:numPr>
          <w:ilvl w:val="0"/>
          <w:numId w:val="2"/>
        </w:numPr>
        <w:tabs>
          <w:tab w:val="clear" w:pos="720"/>
        </w:tabs>
        <w:ind w:left="851" w:hanging="851"/>
        <w:rPr>
          <w:b/>
          <w:szCs w:val="20"/>
        </w:rPr>
      </w:pPr>
      <w:r w:rsidRPr="00872D7E">
        <w:rPr>
          <w:b/>
          <w:szCs w:val="20"/>
        </w:rPr>
        <w:t>Türev finansal varlıklara ilişkin bilgiler</w:t>
      </w:r>
    </w:p>
    <w:p w14:paraId="7425613A" w14:textId="77777777" w:rsidR="00894C14" w:rsidRPr="00872D7E" w:rsidRDefault="00894C14" w:rsidP="00894C14">
      <w:pPr>
        <w:pStyle w:val="BodyTextIndent"/>
        <w:widowControl w:val="0"/>
        <w:ind w:left="851" w:firstLine="0"/>
        <w:rPr>
          <w:b/>
          <w:szCs w:val="20"/>
        </w:rPr>
      </w:pPr>
    </w:p>
    <w:p w14:paraId="590FD4CC" w14:textId="77777777" w:rsidR="00894C14" w:rsidRPr="00872D7E" w:rsidRDefault="00894C14" w:rsidP="002A4CAF">
      <w:pPr>
        <w:pStyle w:val="BodyTextIndent"/>
        <w:widowControl w:val="0"/>
        <w:numPr>
          <w:ilvl w:val="0"/>
          <w:numId w:val="32"/>
        </w:numPr>
        <w:ind w:left="1276" w:hanging="425"/>
        <w:rPr>
          <w:b/>
          <w:iCs/>
          <w:szCs w:val="20"/>
        </w:rPr>
      </w:pPr>
      <w:r w:rsidRPr="00872D7E">
        <w:rPr>
          <w:b/>
          <w:iCs/>
          <w:szCs w:val="20"/>
        </w:rPr>
        <w:t>Türev finansal varlıklara ilişkin pozitif farklar tablosu:</w:t>
      </w:r>
    </w:p>
    <w:p w14:paraId="4F637126" w14:textId="745AC148" w:rsidR="00894C14" w:rsidRPr="00872D7E" w:rsidRDefault="00894C14" w:rsidP="00894C14">
      <w:pPr>
        <w:pStyle w:val="BodyTextIndent"/>
        <w:widowControl w:val="0"/>
        <w:ind w:firstLine="0"/>
        <w:rPr>
          <w:szCs w:val="20"/>
        </w:rPr>
      </w:pPr>
    </w:p>
    <w:tbl>
      <w:tblPr>
        <w:tblW w:w="5000" w:type="pct"/>
        <w:tblCellMar>
          <w:left w:w="70" w:type="dxa"/>
          <w:right w:w="70" w:type="dxa"/>
        </w:tblCellMar>
        <w:tblLook w:val="04A0" w:firstRow="1" w:lastRow="0" w:firstColumn="1" w:lastColumn="0" w:noHBand="0" w:noVBand="1"/>
      </w:tblPr>
      <w:tblGrid>
        <w:gridCol w:w="3880"/>
        <w:gridCol w:w="1441"/>
        <w:gridCol w:w="1734"/>
        <w:gridCol w:w="1089"/>
        <w:gridCol w:w="1211"/>
      </w:tblGrid>
      <w:tr w:rsidR="00894C14" w:rsidRPr="00872D7E" w14:paraId="1C7AEEFE" w14:textId="77777777" w:rsidTr="00336F42">
        <w:trPr>
          <w:trHeight w:val="170"/>
        </w:trPr>
        <w:tc>
          <w:tcPr>
            <w:tcW w:w="2074" w:type="pct"/>
            <w:tcBorders>
              <w:top w:val="nil"/>
              <w:left w:val="nil"/>
              <w:bottom w:val="single" w:sz="4" w:space="0" w:color="auto"/>
              <w:right w:val="nil"/>
            </w:tcBorders>
            <w:shd w:val="clear" w:color="auto" w:fill="auto"/>
            <w:vAlign w:val="center"/>
            <w:hideMark/>
          </w:tcPr>
          <w:p w14:paraId="34F88CE2" w14:textId="77777777" w:rsidR="00894C14" w:rsidRPr="00872D7E" w:rsidRDefault="00894C14" w:rsidP="00336F42">
            <w:pPr>
              <w:jc w:val="both"/>
              <w:rPr>
                <w:b/>
                <w:bCs/>
                <w:color w:val="000000"/>
                <w:szCs w:val="20"/>
              </w:rPr>
            </w:pPr>
            <w:r w:rsidRPr="00872D7E">
              <w:rPr>
                <w:b/>
                <w:bCs/>
                <w:color w:val="000000"/>
                <w:szCs w:val="20"/>
              </w:rPr>
              <w:t> </w:t>
            </w:r>
          </w:p>
        </w:tc>
        <w:tc>
          <w:tcPr>
            <w:tcW w:w="1697" w:type="pct"/>
            <w:gridSpan w:val="2"/>
            <w:tcBorders>
              <w:top w:val="single" w:sz="4" w:space="0" w:color="auto"/>
              <w:left w:val="nil"/>
              <w:bottom w:val="single" w:sz="4" w:space="0" w:color="auto"/>
              <w:right w:val="nil"/>
            </w:tcBorders>
            <w:shd w:val="clear" w:color="auto" w:fill="auto"/>
            <w:noWrap/>
            <w:vAlign w:val="center"/>
            <w:hideMark/>
          </w:tcPr>
          <w:p w14:paraId="3E4177EB" w14:textId="77777777" w:rsidR="00894C14" w:rsidRPr="00872D7E" w:rsidRDefault="00894C14" w:rsidP="00336F42">
            <w:pPr>
              <w:jc w:val="center"/>
              <w:rPr>
                <w:b/>
                <w:bCs/>
                <w:color w:val="000000"/>
                <w:szCs w:val="20"/>
              </w:rPr>
            </w:pPr>
            <w:r w:rsidRPr="00872D7E">
              <w:rPr>
                <w:b/>
                <w:bCs/>
                <w:color w:val="000000"/>
                <w:szCs w:val="20"/>
              </w:rPr>
              <w:t>31 Aralık 2024</w:t>
            </w:r>
          </w:p>
        </w:tc>
        <w:tc>
          <w:tcPr>
            <w:tcW w:w="1229" w:type="pct"/>
            <w:gridSpan w:val="2"/>
            <w:tcBorders>
              <w:top w:val="single" w:sz="4" w:space="0" w:color="auto"/>
              <w:left w:val="nil"/>
              <w:bottom w:val="single" w:sz="4" w:space="0" w:color="auto"/>
              <w:right w:val="nil"/>
            </w:tcBorders>
            <w:shd w:val="clear" w:color="auto" w:fill="auto"/>
            <w:noWrap/>
            <w:vAlign w:val="center"/>
            <w:hideMark/>
          </w:tcPr>
          <w:p w14:paraId="70A24696" w14:textId="77777777" w:rsidR="00894C14" w:rsidRPr="00872D7E" w:rsidRDefault="00894C14" w:rsidP="00336F42">
            <w:pPr>
              <w:jc w:val="center"/>
              <w:rPr>
                <w:b/>
                <w:bCs/>
                <w:color w:val="000000"/>
                <w:szCs w:val="20"/>
              </w:rPr>
            </w:pPr>
            <w:r w:rsidRPr="00872D7E">
              <w:rPr>
                <w:b/>
                <w:bCs/>
                <w:color w:val="000000"/>
                <w:szCs w:val="20"/>
              </w:rPr>
              <w:t>1 Ocak 2024</w:t>
            </w:r>
          </w:p>
        </w:tc>
      </w:tr>
      <w:tr w:rsidR="00894C14" w:rsidRPr="00872D7E" w14:paraId="3893B183" w14:textId="77777777" w:rsidTr="00336F42">
        <w:trPr>
          <w:trHeight w:val="170"/>
        </w:trPr>
        <w:tc>
          <w:tcPr>
            <w:tcW w:w="2074" w:type="pct"/>
            <w:tcBorders>
              <w:top w:val="nil"/>
              <w:left w:val="nil"/>
              <w:bottom w:val="single" w:sz="4" w:space="0" w:color="auto"/>
              <w:right w:val="nil"/>
            </w:tcBorders>
            <w:shd w:val="clear" w:color="auto" w:fill="auto"/>
            <w:vAlign w:val="center"/>
            <w:hideMark/>
          </w:tcPr>
          <w:p w14:paraId="332F3B8C" w14:textId="77777777" w:rsidR="00894C14" w:rsidRPr="00872D7E" w:rsidRDefault="00894C14" w:rsidP="00336F42">
            <w:pPr>
              <w:jc w:val="both"/>
              <w:rPr>
                <w:b/>
                <w:bCs/>
                <w:color w:val="000000"/>
                <w:szCs w:val="20"/>
              </w:rPr>
            </w:pPr>
            <w:r w:rsidRPr="00872D7E">
              <w:rPr>
                <w:b/>
                <w:bCs/>
                <w:color w:val="000000"/>
                <w:szCs w:val="20"/>
              </w:rPr>
              <w:t> </w:t>
            </w:r>
          </w:p>
        </w:tc>
        <w:tc>
          <w:tcPr>
            <w:tcW w:w="770" w:type="pct"/>
            <w:tcBorders>
              <w:top w:val="nil"/>
              <w:left w:val="nil"/>
              <w:bottom w:val="single" w:sz="4" w:space="0" w:color="auto"/>
              <w:right w:val="nil"/>
            </w:tcBorders>
            <w:shd w:val="clear" w:color="auto" w:fill="auto"/>
            <w:vAlign w:val="center"/>
            <w:hideMark/>
          </w:tcPr>
          <w:p w14:paraId="360C4952" w14:textId="77777777" w:rsidR="00894C14" w:rsidRPr="00872D7E" w:rsidRDefault="00894C14" w:rsidP="00336F42">
            <w:pPr>
              <w:jc w:val="center"/>
              <w:rPr>
                <w:b/>
                <w:bCs/>
                <w:color w:val="000000"/>
                <w:szCs w:val="20"/>
              </w:rPr>
            </w:pPr>
            <w:r w:rsidRPr="00872D7E">
              <w:rPr>
                <w:b/>
                <w:bCs/>
                <w:color w:val="000000"/>
                <w:szCs w:val="20"/>
              </w:rPr>
              <w:t>TP</w:t>
            </w:r>
          </w:p>
        </w:tc>
        <w:tc>
          <w:tcPr>
            <w:tcW w:w="927" w:type="pct"/>
            <w:tcBorders>
              <w:top w:val="nil"/>
              <w:left w:val="nil"/>
              <w:bottom w:val="single" w:sz="4" w:space="0" w:color="auto"/>
              <w:right w:val="nil"/>
            </w:tcBorders>
            <w:shd w:val="clear" w:color="auto" w:fill="auto"/>
            <w:vAlign w:val="center"/>
            <w:hideMark/>
          </w:tcPr>
          <w:p w14:paraId="10659201" w14:textId="77777777" w:rsidR="00894C14" w:rsidRPr="00872D7E" w:rsidRDefault="00894C14" w:rsidP="00336F42">
            <w:pPr>
              <w:jc w:val="center"/>
              <w:rPr>
                <w:b/>
                <w:bCs/>
                <w:color w:val="000000"/>
                <w:szCs w:val="20"/>
              </w:rPr>
            </w:pPr>
            <w:r w:rsidRPr="00872D7E">
              <w:rPr>
                <w:b/>
                <w:bCs/>
                <w:color w:val="000000"/>
                <w:szCs w:val="20"/>
              </w:rPr>
              <w:t>YP</w:t>
            </w:r>
          </w:p>
        </w:tc>
        <w:tc>
          <w:tcPr>
            <w:tcW w:w="582" w:type="pct"/>
            <w:tcBorders>
              <w:top w:val="nil"/>
              <w:left w:val="nil"/>
              <w:bottom w:val="single" w:sz="4" w:space="0" w:color="auto"/>
              <w:right w:val="nil"/>
            </w:tcBorders>
            <w:shd w:val="clear" w:color="auto" w:fill="auto"/>
            <w:vAlign w:val="center"/>
            <w:hideMark/>
          </w:tcPr>
          <w:p w14:paraId="239EE138" w14:textId="77777777" w:rsidR="00894C14" w:rsidRPr="00872D7E" w:rsidRDefault="00894C14" w:rsidP="00336F42">
            <w:pPr>
              <w:jc w:val="center"/>
              <w:rPr>
                <w:b/>
                <w:bCs/>
                <w:color w:val="000000"/>
                <w:szCs w:val="20"/>
              </w:rPr>
            </w:pPr>
            <w:r w:rsidRPr="00872D7E">
              <w:rPr>
                <w:b/>
                <w:bCs/>
                <w:color w:val="000000"/>
                <w:szCs w:val="20"/>
              </w:rPr>
              <w:t>TP</w:t>
            </w:r>
          </w:p>
        </w:tc>
        <w:tc>
          <w:tcPr>
            <w:tcW w:w="647" w:type="pct"/>
            <w:tcBorders>
              <w:top w:val="nil"/>
              <w:left w:val="nil"/>
              <w:bottom w:val="single" w:sz="4" w:space="0" w:color="auto"/>
              <w:right w:val="nil"/>
            </w:tcBorders>
            <w:shd w:val="clear" w:color="auto" w:fill="auto"/>
            <w:noWrap/>
            <w:hideMark/>
          </w:tcPr>
          <w:p w14:paraId="2132E54E" w14:textId="77777777" w:rsidR="00894C14" w:rsidRPr="00872D7E" w:rsidRDefault="00894C14" w:rsidP="00336F42">
            <w:pPr>
              <w:jc w:val="center"/>
              <w:rPr>
                <w:b/>
                <w:bCs/>
                <w:color w:val="000000"/>
                <w:szCs w:val="20"/>
              </w:rPr>
            </w:pPr>
            <w:r w:rsidRPr="00872D7E">
              <w:rPr>
                <w:b/>
                <w:bCs/>
                <w:color w:val="000000"/>
                <w:szCs w:val="20"/>
              </w:rPr>
              <w:t>YP</w:t>
            </w:r>
          </w:p>
        </w:tc>
      </w:tr>
      <w:tr w:rsidR="00894C14" w:rsidRPr="00872D7E" w14:paraId="4F410BB7" w14:textId="77777777" w:rsidTr="00336F42">
        <w:trPr>
          <w:trHeight w:val="170"/>
        </w:trPr>
        <w:tc>
          <w:tcPr>
            <w:tcW w:w="2074" w:type="pct"/>
            <w:tcBorders>
              <w:top w:val="nil"/>
              <w:left w:val="nil"/>
              <w:bottom w:val="nil"/>
              <w:right w:val="nil"/>
            </w:tcBorders>
            <w:shd w:val="clear" w:color="auto" w:fill="auto"/>
            <w:vAlign w:val="center"/>
            <w:hideMark/>
          </w:tcPr>
          <w:p w14:paraId="150DAFB5" w14:textId="77777777" w:rsidR="00894C14" w:rsidRPr="00872D7E" w:rsidRDefault="00894C14" w:rsidP="00336F42">
            <w:pPr>
              <w:jc w:val="center"/>
              <w:rPr>
                <w:b/>
                <w:bCs/>
                <w:color w:val="000000"/>
                <w:szCs w:val="20"/>
              </w:rPr>
            </w:pPr>
          </w:p>
        </w:tc>
        <w:tc>
          <w:tcPr>
            <w:tcW w:w="770" w:type="pct"/>
            <w:tcBorders>
              <w:top w:val="nil"/>
              <w:left w:val="nil"/>
              <w:bottom w:val="nil"/>
              <w:right w:val="nil"/>
            </w:tcBorders>
            <w:shd w:val="clear" w:color="auto" w:fill="auto"/>
            <w:vAlign w:val="center"/>
            <w:hideMark/>
          </w:tcPr>
          <w:p w14:paraId="491A604F" w14:textId="77777777" w:rsidR="00894C14" w:rsidRPr="00872D7E" w:rsidRDefault="00894C14" w:rsidP="00336F42">
            <w:pPr>
              <w:jc w:val="both"/>
              <w:rPr>
                <w:szCs w:val="20"/>
              </w:rPr>
            </w:pPr>
          </w:p>
        </w:tc>
        <w:tc>
          <w:tcPr>
            <w:tcW w:w="927" w:type="pct"/>
            <w:tcBorders>
              <w:top w:val="nil"/>
              <w:left w:val="nil"/>
              <w:bottom w:val="nil"/>
              <w:right w:val="nil"/>
            </w:tcBorders>
            <w:shd w:val="clear" w:color="auto" w:fill="auto"/>
            <w:vAlign w:val="center"/>
            <w:hideMark/>
          </w:tcPr>
          <w:p w14:paraId="13EDA153" w14:textId="77777777" w:rsidR="00894C14" w:rsidRPr="00872D7E" w:rsidRDefault="00894C14" w:rsidP="00336F42">
            <w:pPr>
              <w:jc w:val="right"/>
              <w:rPr>
                <w:szCs w:val="20"/>
              </w:rPr>
            </w:pPr>
          </w:p>
        </w:tc>
        <w:tc>
          <w:tcPr>
            <w:tcW w:w="582" w:type="pct"/>
            <w:tcBorders>
              <w:top w:val="nil"/>
              <w:left w:val="nil"/>
              <w:bottom w:val="nil"/>
              <w:right w:val="nil"/>
            </w:tcBorders>
            <w:shd w:val="clear" w:color="auto" w:fill="auto"/>
            <w:vAlign w:val="center"/>
            <w:hideMark/>
          </w:tcPr>
          <w:p w14:paraId="1E52B2D7" w14:textId="77777777" w:rsidR="00894C14" w:rsidRPr="00872D7E" w:rsidRDefault="00894C14" w:rsidP="00336F42">
            <w:pPr>
              <w:jc w:val="right"/>
              <w:rPr>
                <w:szCs w:val="20"/>
              </w:rPr>
            </w:pPr>
          </w:p>
        </w:tc>
        <w:tc>
          <w:tcPr>
            <w:tcW w:w="647" w:type="pct"/>
            <w:tcBorders>
              <w:top w:val="nil"/>
              <w:left w:val="nil"/>
              <w:bottom w:val="nil"/>
              <w:right w:val="nil"/>
            </w:tcBorders>
            <w:shd w:val="clear" w:color="auto" w:fill="auto"/>
            <w:hideMark/>
          </w:tcPr>
          <w:p w14:paraId="65A392BB" w14:textId="77777777" w:rsidR="00894C14" w:rsidRPr="00872D7E" w:rsidRDefault="00894C14" w:rsidP="00336F42">
            <w:pPr>
              <w:jc w:val="right"/>
              <w:rPr>
                <w:szCs w:val="20"/>
              </w:rPr>
            </w:pPr>
          </w:p>
        </w:tc>
      </w:tr>
      <w:tr w:rsidR="00894C14" w:rsidRPr="00872D7E" w14:paraId="2EB0C28D" w14:textId="77777777" w:rsidTr="00336F42">
        <w:trPr>
          <w:trHeight w:val="170"/>
        </w:trPr>
        <w:tc>
          <w:tcPr>
            <w:tcW w:w="2074" w:type="pct"/>
            <w:tcBorders>
              <w:top w:val="nil"/>
              <w:left w:val="nil"/>
              <w:bottom w:val="nil"/>
              <w:right w:val="nil"/>
            </w:tcBorders>
            <w:shd w:val="clear" w:color="auto" w:fill="auto"/>
            <w:vAlign w:val="center"/>
            <w:hideMark/>
          </w:tcPr>
          <w:p w14:paraId="0D6B4805" w14:textId="77777777" w:rsidR="00894C14" w:rsidRPr="00872D7E" w:rsidRDefault="00894C14" w:rsidP="00336F42">
            <w:pPr>
              <w:jc w:val="both"/>
              <w:rPr>
                <w:color w:val="000000"/>
                <w:szCs w:val="20"/>
              </w:rPr>
            </w:pPr>
            <w:r w:rsidRPr="00872D7E">
              <w:rPr>
                <w:color w:val="000000"/>
                <w:szCs w:val="20"/>
              </w:rPr>
              <w:t>Vadeli İşlemler</w:t>
            </w:r>
          </w:p>
        </w:tc>
        <w:tc>
          <w:tcPr>
            <w:tcW w:w="770" w:type="pct"/>
            <w:tcBorders>
              <w:top w:val="nil"/>
              <w:left w:val="nil"/>
              <w:bottom w:val="nil"/>
              <w:right w:val="nil"/>
            </w:tcBorders>
            <w:shd w:val="clear" w:color="auto" w:fill="auto"/>
            <w:vAlign w:val="center"/>
            <w:hideMark/>
          </w:tcPr>
          <w:p w14:paraId="67B6A7CE" w14:textId="77777777" w:rsidR="00894C14" w:rsidRPr="00872D7E" w:rsidRDefault="00894C14" w:rsidP="00336F42">
            <w:pPr>
              <w:jc w:val="right"/>
              <w:rPr>
                <w:color w:val="000000"/>
                <w:szCs w:val="20"/>
              </w:rPr>
            </w:pPr>
            <w:r w:rsidRPr="00872D7E">
              <w:rPr>
                <w:color w:val="000000"/>
                <w:szCs w:val="20"/>
              </w:rPr>
              <w:t>1.463</w:t>
            </w:r>
          </w:p>
        </w:tc>
        <w:tc>
          <w:tcPr>
            <w:tcW w:w="927" w:type="pct"/>
            <w:tcBorders>
              <w:top w:val="nil"/>
              <w:left w:val="nil"/>
              <w:bottom w:val="nil"/>
              <w:right w:val="nil"/>
            </w:tcBorders>
            <w:shd w:val="clear" w:color="auto" w:fill="auto"/>
            <w:vAlign w:val="center"/>
            <w:hideMark/>
          </w:tcPr>
          <w:p w14:paraId="65506852" w14:textId="77777777" w:rsidR="00894C14" w:rsidRPr="00872D7E" w:rsidRDefault="00894C14" w:rsidP="00336F42">
            <w:pPr>
              <w:jc w:val="right"/>
              <w:rPr>
                <w:color w:val="000000"/>
                <w:szCs w:val="20"/>
              </w:rPr>
            </w:pPr>
            <w:r w:rsidRPr="00872D7E">
              <w:rPr>
                <w:color w:val="000000"/>
                <w:szCs w:val="20"/>
              </w:rPr>
              <w:t>13.824</w:t>
            </w:r>
          </w:p>
        </w:tc>
        <w:tc>
          <w:tcPr>
            <w:tcW w:w="582" w:type="pct"/>
            <w:tcBorders>
              <w:top w:val="nil"/>
              <w:left w:val="nil"/>
              <w:bottom w:val="nil"/>
              <w:right w:val="nil"/>
            </w:tcBorders>
            <w:shd w:val="clear" w:color="auto" w:fill="auto"/>
            <w:vAlign w:val="center"/>
            <w:hideMark/>
          </w:tcPr>
          <w:p w14:paraId="58BEED80" w14:textId="77777777" w:rsidR="00894C14" w:rsidRPr="00872D7E" w:rsidRDefault="00894C14" w:rsidP="00336F42">
            <w:pPr>
              <w:jc w:val="right"/>
              <w:rPr>
                <w:color w:val="000000"/>
                <w:szCs w:val="20"/>
              </w:rPr>
            </w:pPr>
            <w:r w:rsidRPr="00872D7E">
              <w:rPr>
                <w:color w:val="000000"/>
                <w:szCs w:val="20"/>
              </w:rPr>
              <w:t>-</w:t>
            </w:r>
          </w:p>
        </w:tc>
        <w:tc>
          <w:tcPr>
            <w:tcW w:w="647" w:type="pct"/>
            <w:tcBorders>
              <w:top w:val="nil"/>
              <w:left w:val="nil"/>
              <w:bottom w:val="nil"/>
              <w:right w:val="nil"/>
            </w:tcBorders>
            <w:shd w:val="clear" w:color="auto" w:fill="auto"/>
            <w:vAlign w:val="center"/>
            <w:hideMark/>
          </w:tcPr>
          <w:p w14:paraId="2FAA2DEE" w14:textId="77777777" w:rsidR="00894C14" w:rsidRPr="00872D7E" w:rsidRDefault="00894C14" w:rsidP="00336F42">
            <w:pPr>
              <w:jc w:val="right"/>
              <w:rPr>
                <w:color w:val="000000"/>
                <w:szCs w:val="20"/>
              </w:rPr>
            </w:pPr>
            <w:r w:rsidRPr="00872D7E">
              <w:rPr>
                <w:color w:val="000000"/>
                <w:szCs w:val="20"/>
              </w:rPr>
              <w:t>-</w:t>
            </w:r>
          </w:p>
        </w:tc>
      </w:tr>
      <w:tr w:rsidR="00894C14" w:rsidRPr="00872D7E" w14:paraId="1FF83DA0" w14:textId="77777777" w:rsidTr="00336F42">
        <w:trPr>
          <w:trHeight w:val="170"/>
        </w:trPr>
        <w:tc>
          <w:tcPr>
            <w:tcW w:w="2074" w:type="pct"/>
            <w:tcBorders>
              <w:top w:val="nil"/>
              <w:left w:val="nil"/>
              <w:bottom w:val="nil"/>
              <w:right w:val="nil"/>
            </w:tcBorders>
            <w:shd w:val="clear" w:color="auto" w:fill="auto"/>
            <w:vAlign w:val="center"/>
            <w:hideMark/>
          </w:tcPr>
          <w:p w14:paraId="4E2472D0" w14:textId="77777777" w:rsidR="00894C14" w:rsidRPr="00872D7E" w:rsidRDefault="00894C14" w:rsidP="00336F42">
            <w:pPr>
              <w:jc w:val="both"/>
              <w:rPr>
                <w:color w:val="000000"/>
                <w:szCs w:val="20"/>
              </w:rPr>
            </w:pPr>
            <w:r w:rsidRPr="00872D7E">
              <w:rPr>
                <w:color w:val="000000"/>
                <w:szCs w:val="20"/>
              </w:rPr>
              <w:t>Swap İşlemleri</w:t>
            </w:r>
          </w:p>
        </w:tc>
        <w:tc>
          <w:tcPr>
            <w:tcW w:w="770" w:type="pct"/>
            <w:tcBorders>
              <w:top w:val="nil"/>
              <w:left w:val="nil"/>
              <w:bottom w:val="nil"/>
              <w:right w:val="nil"/>
            </w:tcBorders>
            <w:shd w:val="clear" w:color="auto" w:fill="auto"/>
            <w:vAlign w:val="center"/>
            <w:hideMark/>
          </w:tcPr>
          <w:p w14:paraId="67557C5D" w14:textId="77777777" w:rsidR="00894C14" w:rsidRPr="00872D7E" w:rsidRDefault="00894C14" w:rsidP="00336F42">
            <w:pPr>
              <w:jc w:val="right"/>
              <w:rPr>
                <w:color w:val="000000"/>
                <w:szCs w:val="20"/>
              </w:rPr>
            </w:pPr>
            <w:r w:rsidRPr="00872D7E">
              <w:rPr>
                <w:color w:val="000000"/>
                <w:szCs w:val="20"/>
              </w:rPr>
              <w:t>4.276</w:t>
            </w:r>
          </w:p>
        </w:tc>
        <w:tc>
          <w:tcPr>
            <w:tcW w:w="927" w:type="pct"/>
            <w:tcBorders>
              <w:top w:val="nil"/>
              <w:left w:val="nil"/>
              <w:bottom w:val="nil"/>
              <w:right w:val="nil"/>
            </w:tcBorders>
            <w:shd w:val="clear" w:color="auto" w:fill="auto"/>
            <w:vAlign w:val="center"/>
            <w:hideMark/>
          </w:tcPr>
          <w:p w14:paraId="5590DDB7" w14:textId="77777777" w:rsidR="00894C14" w:rsidRPr="00872D7E" w:rsidRDefault="00894C14" w:rsidP="00336F42">
            <w:pPr>
              <w:jc w:val="right"/>
              <w:rPr>
                <w:color w:val="000000"/>
                <w:szCs w:val="20"/>
              </w:rPr>
            </w:pPr>
            <w:r w:rsidRPr="00872D7E">
              <w:rPr>
                <w:color w:val="000000"/>
                <w:szCs w:val="20"/>
              </w:rPr>
              <w:t>2.711</w:t>
            </w:r>
          </w:p>
        </w:tc>
        <w:tc>
          <w:tcPr>
            <w:tcW w:w="582" w:type="pct"/>
            <w:tcBorders>
              <w:top w:val="nil"/>
              <w:left w:val="nil"/>
              <w:bottom w:val="nil"/>
              <w:right w:val="nil"/>
            </w:tcBorders>
            <w:shd w:val="clear" w:color="auto" w:fill="auto"/>
            <w:vAlign w:val="center"/>
            <w:hideMark/>
          </w:tcPr>
          <w:p w14:paraId="31969ED5" w14:textId="77777777" w:rsidR="00894C14" w:rsidRPr="00872D7E" w:rsidRDefault="00894C14" w:rsidP="00336F42">
            <w:pPr>
              <w:jc w:val="right"/>
              <w:rPr>
                <w:color w:val="000000"/>
                <w:szCs w:val="20"/>
              </w:rPr>
            </w:pPr>
            <w:r w:rsidRPr="00872D7E">
              <w:rPr>
                <w:color w:val="000000"/>
                <w:szCs w:val="20"/>
              </w:rPr>
              <w:t>-</w:t>
            </w:r>
          </w:p>
        </w:tc>
        <w:tc>
          <w:tcPr>
            <w:tcW w:w="647" w:type="pct"/>
            <w:tcBorders>
              <w:top w:val="nil"/>
              <w:left w:val="nil"/>
              <w:bottom w:val="nil"/>
              <w:right w:val="nil"/>
            </w:tcBorders>
            <w:shd w:val="clear" w:color="auto" w:fill="auto"/>
            <w:vAlign w:val="center"/>
            <w:hideMark/>
          </w:tcPr>
          <w:p w14:paraId="7A5813B0" w14:textId="77777777" w:rsidR="00894C14" w:rsidRPr="00872D7E" w:rsidRDefault="00894C14" w:rsidP="00336F42">
            <w:pPr>
              <w:jc w:val="right"/>
              <w:rPr>
                <w:color w:val="000000"/>
                <w:szCs w:val="20"/>
              </w:rPr>
            </w:pPr>
            <w:r w:rsidRPr="00872D7E">
              <w:rPr>
                <w:color w:val="000000"/>
                <w:szCs w:val="20"/>
              </w:rPr>
              <w:t>-</w:t>
            </w:r>
          </w:p>
        </w:tc>
      </w:tr>
      <w:tr w:rsidR="00894C14" w:rsidRPr="00872D7E" w14:paraId="1B47E726" w14:textId="77777777" w:rsidTr="00336F42">
        <w:trPr>
          <w:trHeight w:val="170"/>
        </w:trPr>
        <w:tc>
          <w:tcPr>
            <w:tcW w:w="2074" w:type="pct"/>
            <w:tcBorders>
              <w:top w:val="nil"/>
              <w:left w:val="nil"/>
              <w:bottom w:val="nil"/>
              <w:right w:val="nil"/>
            </w:tcBorders>
            <w:shd w:val="clear" w:color="auto" w:fill="auto"/>
            <w:vAlign w:val="center"/>
            <w:hideMark/>
          </w:tcPr>
          <w:p w14:paraId="1160F22D" w14:textId="77777777" w:rsidR="00894C14" w:rsidRPr="00872D7E" w:rsidRDefault="00894C14" w:rsidP="00336F42">
            <w:pPr>
              <w:jc w:val="both"/>
              <w:rPr>
                <w:color w:val="000000"/>
                <w:szCs w:val="20"/>
              </w:rPr>
            </w:pPr>
            <w:r w:rsidRPr="00872D7E">
              <w:rPr>
                <w:color w:val="000000"/>
                <w:szCs w:val="20"/>
              </w:rPr>
              <w:t>Futures İşlemleri</w:t>
            </w:r>
          </w:p>
        </w:tc>
        <w:tc>
          <w:tcPr>
            <w:tcW w:w="770" w:type="pct"/>
            <w:tcBorders>
              <w:top w:val="nil"/>
              <w:left w:val="nil"/>
              <w:bottom w:val="nil"/>
              <w:right w:val="nil"/>
            </w:tcBorders>
            <w:shd w:val="clear" w:color="auto" w:fill="auto"/>
            <w:vAlign w:val="center"/>
            <w:hideMark/>
          </w:tcPr>
          <w:p w14:paraId="4F377406" w14:textId="77777777" w:rsidR="00894C14" w:rsidRPr="00872D7E" w:rsidRDefault="00894C14" w:rsidP="00336F42">
            <w:pPr>
              <w:jc w:val="right"/>
              <w:rPr>
                <w:color w:val="000000"/>
                <w:szCs w:val="20"/>
              </w:rPr>
            </w:pPr>
            <w:r w:rsidRPr="00872D7E">
              <w:rPr>
                <w:color w:val="000000"/>
                <w:szCs w:val="20"/>
              </w:rPr>
              <w:t>-</w:t>
            </w:r>
          </w:p>
        </w:tc>
        <w:tc>
          <w:tcPr>
            <w:tcW w:w="927" w:type="pct"/>
            <w:tcBorders>
              <w:top w:val="nil"/>
              <w:left w:val="nil"/>
              <w:bottom w:val="nil"/>
              <w:right w:val="nil"/>
            </w:tcBorders>
            <w:shd w:val="clear" w:color="auto" w:fill="auto"/>
            <w:vAlign w:val="center"/>
            <w:hideMark/>
          </w:tcPr>
          <w:p w14:paraId="1D6AF58E" w14:textId="77777777" w:rsidR="00894C14" w:rsidRPr="00872D7E" w:rsidRDefault="00894C14" w:rsidP="00336F42">
            <w:pPr>
              <w:jc w:val="right"/>
              <w:rPr>
                <w:color w:val="000000"/>
                <w:szCs w:val="20"/>
              </w:rPr>
            </w:pPr>
            <w:r w:rsidRPr="00872D7E">
              <w:rPr>
                <w:color w:val="000000"/>
                <w:szCs w:val="20"/>
              </w:rPr>
              <w:t>-</w:t>
            </w:r>
          </w:p>
        </w:tc>
        <w:tc>
          <w:tcPr>
            <w:tcW w:w="582" w:type="pct"/>
            <w:tcBorders>
              <w:top w:val="nil"/>
              <w:left w:val="nil"/>
              <w:bottom w:val="nil"/>
              <w:right w:val="nil"/>
            </w:tcBorders>
            <w:shd w:val="clear" w:color="auto" w:fill="auto"/>
            <w:vAlign w:val="center"/>
            <w:hideMark/>
          </w:tcPr>
          <w:p w14:paraId="2B5B073A" w14:textId="77777777" w:rsidR="00894C14" w:rsidRPr="00872D7E" w:rsidRDefault="00894C14" w:rsidP="00336F42">
            <w:pPr>
              <w:jc w:val="right"/>
              <w:rPr>
                <w:color w:val="000000"/>
                <w:szCs w:val="20"/>
              </w:rPr>
            </w:pPr>
            <w:r w:rsidRPr="00872D7E">
              <w:rPr>
                <w:color w:val="000000"/>
                <w:szCs w:val="20"/>
              </w:rPr>
              <w:t>-</w:t>
            </w:r>
          </w:p>
        </w:tc>
        <w:tc>
          <w:tcPr>
            <w:tcW w:w="647" w:type="pct"/>
            <w:tcBorders>
              <w:top w:val="nil"/>
              <w:left w:val="nil"/>
              <w:bottom w:val="nil"/>
              <w:right w:val="nil"/>
            </w:tcBorders>
            <w:shd w:val="clear" w:color="auto" w:fill="auto"/>
            <w:vAlign w:val="center"/>
            <w:hideMark/>
          </w:tcPr>
          <w:p w14:paraId="5E311037" w14:textId="77777777" w:rsidR="00894C14" w:rsidRPr="00872D7E" w:rsidRDefault="00894C14" w:rsidP="00336F42">
            <w:pPr>
              <w:jc w:val="right"/>
              <w:rPr>
                <w:color w:val="000000"/>
                <w:szCs w:val="20"/>
              </w:rPr>
            </w:pPr>
            <w:r w:rsidRPr="00872D7E">
              <w:rPr>
                <w:color w:val="000000"/>
                <w:szCs w:val="20"/>
              </w:rPr>
              <w:t>-</w:t>
            </w:r>
          </w:p>
        </w:tc>
      </w:tr>
      <w:tr w:rsidR="00894C14" w:rsidRPr="00872D7E" w14:paraId="36928A5D" w14:textId="77777777" w:rsidTr="00336F42">
        <w:trPr>
          <w:trHeight w:val="170"/>
        </w:trPr>
        <w:tc>
          <w:tcPr>
            <w:tcW w:w="2074" w:type="pct"/>
            <w:tcBorders>
              <w:top w:val="nil"/>
              <w:left w:val="nil"/>
              <w:bottom w:val="nil"/>
              <w:right w:val="nil"/>
            </w:tcBorders>
            <w:shd w:val="clear" w:color="auto" w:fill="auto"/>
            <w:vAlign w:val="center"/>
            <w:hideMark/>
          </w:tcPr>
          <w:p w14:paraId="307B5620" w14:textId="77777777" w:rsidR="00894C14" w:rsidRPr="00872D7E" w:rsidRDefault="00894C14" w:rsidP="00336F42">
            <w:pPr>
              <w:jc w:val="both"/>
              <w:rPr>
                <w:color w:val="000000"/>
                <w:szCs w:val="20"/>
              </w:rPr>
            </w:pPr>
            <w:r w:rsidRPr="00872D7E">
              <w:rPr>
                <w:color w:val="000000"/>
                <w:szCs w:val="20"/>
              </w:rPr>
              <w:t xml:space="preserve">Opsiyonlar </w:t>
            </w:r>
          </w:p>
        </w:tc>
        <w:tc>
          <w:tcPr>
            <w:tcW w:w="770" w:type="pct"/>
            <w:tcBorders>
              <w:top w:val="nil"/>
              <w:left w:val="nil"/>
              <w:bottom w:val="nil"/>
              <w:right w:val="nil"/>
            </w:tcBorders>
            <w:shd w:val="clear" w:color="auto" w:fill="auto"/>
            <w:vAlign w:val="center"/>
            <w:hideMark/>
          </w:tcPr>
          <w:p w14:paraId="06A3E1BF" w14:textId="77777777" w:rsidR="00894C14" w:rsidRPr="00872D7E" w:rsidRDefault="00894C14" w:rsidP="00336F42">
            <w:pPr>
              <w:jc w:val="right"/>
              <w:rPr>
                <w:color w:val="000000"/>
                <w:szCs w:val="20"/>
              </w:rPr>
            </w:pPr>
            <w:r w:rsidRPr="00872D7E">
              <w:rPr>
                <w:color w:val="000000"/>
                <w:szCs w:val="20"/>
              </w:rPr>
              <w:t>-</w:t>
            </w:r>
          </w:p>
        </w:tc>
        <w:tc>
          <w:tcPr>
            <w:tcW w:w="927" w:type="pct"/>
            <w:tcBorders>
              <w:top w:val="nil"/>
              <w:left w:val="nil"/>
              <w:bottom w:val="nil"/>
              <w:right w:val="nil"/>
            </w:tcBorders>
            <w:shd w:val="clear" w:color="auto" w:fill="auto"/>
            <w:vAlign w:val="center"/>
            <w:hideMark/>
          </w:tcPr>
          <w:p w14:paraId="581800E0" w14:textId="77777777" w:rsidR="00894C14" w:rsidRPr="00872D7E" w:rsidRDefault="00894C14" w:rsidP="00336F42">
            <w:pPr>
              <w:jc w:val="right"/>
              <w:rPr>
                <w:color w:val="000000"/>
                <w:szCs w:val="20"/>
              </w:rPr>
            </w:pPr>
            <w:r w:rsidRPr="00872D7E">
              <w:rPr>
                <w:color w:val="000000"/>
                <w:szCs w:val="20"/>
              </w:rPr>
              <w:t>-</w:t>
            </w:r>
          </w:p>
        </w:tc>
        <w:tc>
          <w:tcPr>
            <w:tcW w:w="582" w:type="pct"/>
            <w:tcBorders>
              <w:top w:val="nil"/>
              <w:left w:val="nil"/>
              <w:bottom w:val="nil"/>
              <w:right w:val="nil"/>
            </w:tcBorders>
            <w:shd w:val="clear" w:color="auto" w:fill="auto"/>
            <w:vAlign w:val="center"/>
            <w:hideMark/>
          </w:tcPr>
          <w:p w14:paraId="2BE67CD3" w14:textId="77777777" w:rsidR="00894C14" w:rsidRPr="00872D7E" w:rsidRDefault="00894C14" w:rsidP="00336F42">
            <w:pPr>
              <w:jc w:val="right"/>
              <w:rPr>
                <w:color w:val="000000"/>
                <w:szCs w:val="20"/>
              </w:rPr>
            </w:pPr>
            <w:r w:rsidRPr="00872D7E">
              <w:rPr>
                <w:color w:val="000000"/>
                <w:szCs w:val="20"/>
              </w:rPr>
              <w:t>-</w:t>
            </w:r>
          </w:p>
        </w:tc>
        <w:tc>
          <w:tcPr>
            <w:tcW w:w="647" w:type="pct"/>
            <w:tcBorders>
              <w:top w:val="nil"/>
              <w:left w:val="nil"/>
              <w:bottom w:val="nil"/>
              <w:right w:val="nil"/>
            </w:tcBorders>
            <w:shd w:val="clear" w:color="auto" w:fill="auto"/>
            <w:vAlign w:val="center"/>
            <w:hideMark/>
          </w:tcPr>
          <w:p w14:paraId="444F7043" w14:textId="77777777" w:rsidR="00894C14" w:rsidRPr="00872D7E" w:rsidRDefault="00894C14" w:rsidP="00336F42">
            <w:pPr>
              <w:jc w:val="right"/>
              <w:rPr>
                <w:color w:val="000000"/>
                <w:szCs w:val="20"/>
              </w:rPr>
            </w:pPr>
            <w:r w:rsidRPr="00872D7E">
              <w:rPr>
                <w:color w:val="000000"/>
                <w:szCs w:val="20"/>
              </w:rPr>
              <w:t>-</w:t>
            </w:r>
          </w:p>
        </w:tc>
      </w:tr>
      <w:tr w:rsidR="00894C14" w:rsidRPr="00872D7E" w14:paraId="2F16F665" w14:textId="77777777" w:rsidTr="00336F42">
        <w:trPr>
          <w:trHeight w:val="170"/>
        </w:trPr>
        <w:tc>
          <w:tcPr>
            <w:tcW w:w="2074" w:type="pct"/>
            <w:tcBorders>
              <w:top w:val="nil"/>
              <w:left w:val="nil"/>
              <w:bottom w:val="single" w:sz="4" w:space="0" w:color="auto"/>
              <w:right w:val="nil"/>
            </w:tcBorders>
            <w:shd w:val="clear" w:color="auto" w:fill="auto"/>
            <w:vAlign w:val="center"/>
            <w:hideMark/>
          </w:tcPr>
          <w:p w14:paraId="2ED2EB53" w14:textId="77777777" w:rsidR="00894C14" w:rsidRPr="00872D7E" w:rsidRDefault="00894C14" w:rsidP="00336F42">
            <w:pPr>
              <w:jc w:val="both"/>
              <w:rPr>
                <w:color w:val="000000"/>
                <w:szCs w:val="20"/>
              </w:rPr>
            </w:pPr>
            <w:r w:rsidRPr="00872D7E">
              <w:rPr>
                <w:color w:val="000000"/>
                <w:szCs w:val="20"/>
              </w:rPr>
              <w:t>Diğer</w:t>
            </w:r>
          </w:p>
        </w:tc>
        <w:tc>
          <w:tcPr>
            <w:tcW w:w="770" w:type="pct"/>
            <w:tcBorders>
              <w:top w:val="nil"/>
              <w:left w:val="nil"/>
              <w:bottom w:val="single" w:sz="4" w:space="0" w:color="auto"/>
              <w:right w:val="nil"/>
            </w:tcBorders>
            <w:shd w:val="clear" w:color="auto" w:fill="auto"/>
            <w:vAlign w:val="center"/>
            <w:hideMark/>
          </w:tcPr>
          <w:p w14:paraId="6C9AAB50" w14:textId="77777777" w:rsidR="00894C14" w:rsidRPr="00872D7E" w:rsidRDefault="00894C14" w:rsidP="00336F42">
            <w:pPr>
              <w:jc w:val="right"/>
              <w:rPr>
                <w:color w:val="000000"/>
                <w:szCs w:val="20"/>
              </w:rPr>
            </w:pPr>
            <w:r w:rsidRPr="00872D7E">
              <w:rPr>
                <w:color w:val="000000"/>
                <w:szCs w:val="20"/>
              </w:rPr>
              <w:t>-</w:t>
            </w:r>
          </w:p>
        </w:tc>
        <w:tc>
          <w:tcPr>
            <w:tcW w:w="927" w:type="pct"/>
            <w:tcBorders>
              <w:top w:val="nil"/>
              <w:left w:val="nil"/>
              <w:bottom w:val="single" w:sz="4" w:space="0" w:color="auto"/>
              <w:right w:val="nil"/>
            </w:tcBorders>
            <w:shd w:val="clear" w:color="auto" w:fill="auto"/>
            <w:vAlign w:val="center"/>
            <w:hideMark/>
          </w:tcPr>
          <w:p w14:paraId="04AB05F1" w14:textId="77777777" w:rsidR="00894C14" w:rsidRPr="00872D7E" w:rsidRDefault="00894C14" w:rsidP="00336F42">
            <w:pPr>
              <w:jc w:val="right"/>
              <w:rPr>
                <w:color w:val="000000"/>
                <w:szCs w:val="20"/>
              </w:rPr>
            </w:pPr>
            <w:r w:rsidRPr="00872D7E">
              <w:rPr>
                <w:color w:val="000000"/>
                <w:szCs w:val="20"/>
              </w:rPr>
              <w:t>-</w:t>
            </w:r>
          </w:p>
        </w:tc>
        <w:tc>
          <w:tcPr>
            <w:tcW w:w="582" w:type="pct"/>
            <w:tcBorders>
              <w:top w:val="nil"/>
              <w:left w:val="nil"/>
              <w:bottom w:val="single" w:sz="4" w:space="0" w:color="auto"/>
              <w:right w:val="nil"/>
            </w:tcBorders>
            <w:shd w:val="clear" w:color="auto" w:fill="auto"/>
            <w:vAlign w:val="center"/>
            <w:hideMark/>
          </w:tcPr>
          <w:p w14:paraId="300F94FE" w14:textId="77777777" w:rsidR="00894C14" w:rsidRPr="00872D7E" w:rsidRDefault="00894C14" w:rsidP="00336F42">
            <w:pPr>
              <w:jc w:val="right"/>
              <w:rPr>
                <w:color w:val="000000"/>
                <w:szCs w:val="20"/>
              </w:rPr>
            </w:pPr>
            <w:r w:rsidRPr="00872D7E">
              <w:rPr>
                <w:color w:val="000000"/>
                <w:szCs w:val="20"/>
              </w:rPr>
              <w:t>-</w:t>
            </w:r>
          </w:p>
        </w:tc>
        <w:tc>
          <w:tcPr>
            <w:tcW w:w="647" w:type="pct"/>
            <w:tcBorders>
              <w:top w:val="nil"/>
              <w:left w:val="nil"/>
              <w:bottom w:val="single" w:sz="4" w:space="0" w:color="auto"/>
              <w:right w:val="nil"/>
            </w:tcBorders>
            <w:shd w:val="clear" w:color="auto" w:fill="auto"/>
            <w:vAlign w:val="center"/>
            <w:hideMark/>
          </w:tcPr>
          <w:p w14:paraId="60D38EB7" w14:textId="77777777" w:rsidR="00894C14" w:rsidRPr="00872D7E" w:rsidRDefault="00894C14" w:rsidP="00336F42">
            <w:pPr>
              <w:jc w:val="right"/>
              <w:rPr>
                <w:color w:val="000000"/>
                <w:szCs w:val="20"/>
              </w:rPr>
            </w:pPr>
            <w:r w:rsidRPr="00872D7E">
              <w:rPr>
                <w:color w:val="000000"/>
                <w:szCs w:val="20"/>
              </w:rPr>
              <w:t>-</w:t>
            </w:r>
          </w:p>
        </w:tc>
      </w:tr>
      <w:tr w:rsidR="00894C14" w:rsidRPr="00872D7E" w14:paraId="76E06200" w14:textId="77777777" w:rsidTr="00336F42">
        <w:trPr>
          <w:trHeight w:val="170"/>
        </w:trPr>
        <w:tc>
          <w:tcPr>
            <w:tcW w:w="2074" w:type="pct"/>
            <w:tcBorders>
              <w:top w:val="nil"/>
              <w:left w:val="nil"/>
              <w:right w:val="nil"/>
            </w:tcBorders>
            <w:shd w:val="clear" w:color="auto" w:fill="auto"/>
            <w:noWrap/>
            <w:vAlign w:val="bottom"/>
            <w:hideMark/>
          </w:tcPr>
          <w:p w14:paraId="1EF75A75" w14:textId="77777777" w:rsidR="00894C14" w:rsidRPr="00872D7E" w:rsidRDefault="00894C14" w:rsidP="00336F42">
            <w:pPr>
              <w:jc w:val="right"/>
              <w:rPr>
                <w:color w:val="000000"/>
                <w:szCs w:val="20"/>
              </w:rPr>
            </w:pPr>
          </w:p>
        </w:tc>
        <w:tc>
          <w:tcPr>
            <w:tcW w:w="770" w:type="pct"/>
            <w:tcBorders>
              <w:top w:val="nil"/>
              <w:left w:val="nil"/>
              <w:right w:val="nil"/>
            </w:tcBorders>
            <w:shd w:val="clear" w:color="auto" w:fill="auto"/>
            <w:noWrap/>
            <w:vAlign w:val="bottom"/>
            <w:hideMark/>
          </w:tcPr>
          <w:p w14:paraId="12560536" w14:textId="77777777" w:rsidR="00894C14" w:rsidRPr="00872D7E" w:rsidRDefault="00894C14" w:rsidP="00336F42">
            <w:pPr>
              <w:rPr>
                <w:szCs w:val="20"/>
              </w:rPr>
            </w:pPr>
          </w:p>
        </w:tc>
        <w:tc>
          <w:tcPr>
            <w:tcW w:w="927" w:type="pct"/>
            <w:tcBorders>
              <w:top w:val="nil"/>
              <w:left w:val="nil"/>
              <w:right w:val="nil"/>
            </w:tcBorders>
            <w:shd w:val="clear" w:color="auto" w:fill="auto"/>
            <w:noWrap/>
            <w:vAlign w:val="bottom"/>
            <w:hideMark/>
          </w:tcPr>
          <w:p w14:paraId="09129FC5" w14:textId="77777777" w:rsidR="00894C14" w:rsidRPr="00872D7E" w:rsidRDefault="00894C14" w:rsidP="00336F42">
            <w:pPr>
              <w:jc w:val="center"/>
              <w:rPr>
                <w:szCs w:val="20"/>
              </w:rPr>
            </w:pPr>
          </w:p>
        </w:tc>
        <w:tc>
          <w:tcPr>
            <w:tcW w:w="582" w:type="pct"/>
            <w:tcBorders>
              <w:top w:val="nil"/>
              <w:left w:val="nil"/>
              <w:right w:val="nil"/>
            </w:tcBorders>
            <w:shd w:val="clear" w:color="auto" w:fill="auto"/>
            <w:noWrap/>
            <w:vAlign w:val="bottom"/>
            <w:hideMark/>
          </w:tcPr>
          <w:p w14:paraId="2A87F00E" w14:textId="77777777" w:rsidR="00894C14" w:rsidRPr="00872D7E" w:rsidRDefault="00894C14" w:rsidP="00336F42">
            <w:pPr>
              <w:jc w:val="center"/>
              <w:rPr>
                <w:szCs w:val="20"/>
              </w:rPr>
            </w:pPr>
          </w:p>
        </w:tc>
        <w:tc>
          <w:tcPr>
            <w:tcW w:w="647" w:type="pct"/>
            <w:tcBorders>
              <w:top w:val="nil"/>
              <w:left w:val="nil"/>
              <w:right w:val="nil"/>
            </w:tcBorders>
            <w:shd w:val="clear" w:color="auto" w:fill="auto"/>
            <w:noWrap/>
            <w:vAlign w:val="bottom"/>
            <w:hideMark/>
          </w:tcPr>
          <w:p w14:paraId="3C11185C" w14:textId="77777777" w:rsidR="00894C14" w:rsidRPr="00872D7E" w:rsidRDefault="00894C14" w:rsidP="00336F42">
            <w:pPr>
              <w:jc w:val="center"/>
              <w:rPr>
                <w:szCs w:val="20"/>
              </w:rPr>
            </w:pPr>
          </w:p>
        </w:tc>
      </w:tr>
      <w:tr w:rsidR="00894C14" w:rsidRPr="00872D7E" w14:paraId="018CA359" w14:textId="77777777" w:rsidTr="00336F42">
        <w:trPr>
          <w:trHeight w:val="170"/>
        </w:trPr>
        <w:tc>
          <w:tcPr>
            <w:tcW w:w="2074" w:type="pct"/>
            <w:tcBorders>
              <w:top w:val="nil"/>
              <w:left w:val="nil"/>
              <w:bottom w:val="single" w:sz="12" w:space="0" w:color="auto"/>
              <w:right w:val="nil"/>
            </w:tcBorders>
            <w:shd w:val="clear" w:color="auto" w:fill="auto"/>
            <w:vAlign w:val="center"/>
            <w:hideMark/>
          </w:tcPr>
          <w:p w14:paraId="191C9F60" w14:textId="77777777" w:rsidR="00894C14" w:rsidRPr="00872D7E" w:rsidRDefault="00894C14" w:rsidP="00336F42">
            <w:pPr>
              <w:jc w:val="both"/>
              <w:rPr>
                <w:b/>
                <w:bCs/>
                <w:color w:val="000000"/>
                <w:szCs w:val="20"/>
              </w:rPr>
            </w:pPr>
            <w:r w:rsidRPr="00872D7E">
              <w:rPr>
                <w:b/>
                <w:bCs/>
                <w:color w:val="000000"/>
                <w:szCs w:val="20"/>
              </w:rPr>
              <w:t>Toplam</w:t>
            </w:r>
          </w:p>
        </w:tc>
        <w:tc>
          <w:tcPr>
            <w:tcW w:w="770" w:type="pct"/>
            <w:tcBorders>
              <w:top w:val="nil"/>
              <w:left w:val="nil"/>
              <w:bottom w:val="single" w:sz="12" w:space="0" w:color="auto"/>
              <w:right w:val="nil"/>
            </w:tcBorders>
            <w:shd w:val="clear" w:color="auto" w:fill="auto"/>
            <w:vAlign w:val="center"/>
            <w:hideMark/>
          </w:tcPr>
          <w:p w14:paraId="7A1AE5A3" w14:textId="77777777" w:rsidR="00894C14" w:rsidRPr="00872D7E" w:rsidRDefault="00894C14" w:rsidP="00336F42">
            <w:pPr>
              <w:jc w:val="right"/>
              <w:rPr>
                <w:b/>
                <w:bCs/>
                <w:color w:val="000000"/>
                <w:szCs w:val="20"/>
              </w:rPr>
            </w:pPr>
            <w:r w:rsidRPr="00872D7E">
              <w:rPr>
                <w:b/>
                <w:bCs/>
                <w:color w:val="000000"/>
                <w:szCs w:val="20"/>
              </w:rPr>
              <w:t>5.739</w:t>
            </w:r>
          </w:p>
        </w:tc>
        <w:tc>
          <w:tcPr>
            <w:tcW w:w="927" w:type="pct"/>
            <w:tcBorders>
              <w:top w:val="nil"/>
              <w:left w:val="nil"/>
              <w:bottom w:val="single" w:sz="12" w:space="0" w:color="auto"/>
              <w:right w:val="nil"/>
            </w:tcBorders>
            <w:shd w:val="clear" w:color="auto" w:fill="auto"/>
            <w:vAlign w:val="center"/>
            <w:hideMark/>
          </w:tcPr>
          <w:p w14:paraId="74E88E28" w14:textId="77777777" w:rsidR="00894C14" w:rsidRPr="00872D7E" w:rsidRDefault="00894C14" w:rsidP="00336F42">
            <w:pPr>
              <w:jc w:val="right"/>
              <w:rPr>
                <w:b/>
                <w:bCs/>
                <w:color w:val="000000"/>
                <w:szCs w:val="20"/>
              </w:rPr>
            </w:pPr>
            <w:r w:rsidRPr="00872D7E">
              <w:rPr>
                <w:b/>
                <w:bCs/>
                <w:color w:val="000000"/>
                <w:szCs w:val="20"/>
              </w:rPr>
              <w:t>16.535</w:t>
            </w:r>
          </w:p>
        </w:tc>
        <w:tc>
          <w:tcPr>
            <w:tcW w:w="582" w:type="pct"/>
            <w:tcBorders>
              <w:top w:val="nil"/>
              <w:left w:val="nil"/>
              <w:bottom w:val="single" w:sz="12" w:space="0" w:color="auto"/>
              <w:right w:val="nil"/>
            </w:tcBorders>
            <w:shd w:val="clear" w:color="auto" w:fill="auto"/>
            <w:vAlign w:val="center"/>
            <w:hideMark/>
          </w:tcPr>
          <w:p w14:paraId="18A27CC2" w14:textId="77777777" w:rsidR="00894C14" w:rsidRPr="00872D7E" w:rsidRDefault="00894C14" w:rsidP="00336F42">
            <w:pPr>
              <w:jc w:val="right"/>
              <w:rPr>
                <w:b/>
                <w:bCs/>
                <w:color w:val="000000"/>
                <w:szCs w:val="20"/>
              </w:rPr>
            </w:pPr>
            <w:r w:rsidRPr="00872D7E">
              <w:rPr>
                <w:b/>
                <w:bCs/>
                <w:color w:val="000000"/>
                <w:szCs w:val="20"/>
              </w:rPr>
              <w:t>-</w:t>
            </w:r>
          </w:p>
        </w:tc>
        <w:tc>
          <w:tcPr>
            <w:tcW w:w="647" w:type="pct"/>
            <w:tcBorders>
              <w:top w:val="nil"/>
              <w:left w:val="nil"/>
              <w:bottom w:val="single" w:sz="12" w:space="0" w:color="auto"/>
              <w:right w:val="nil"/>
            </w:tcBorders>
            <w:shd w:val="clear" w:color="auto" w:fill="auto"/>
            <w:vAlign w:val="center"/>
            <w:hideMark/>
          </w:tcPr>
          <w:p w14:paraId="2C98EB6E" w14:textId="77777777" w:rsidR="00894C14" w:rsidRPr="00872D7E" w:rsidRDefault="00894C14" w:rsidP="00336F42">
            <w:pPr>
              <w:jc w:val="right"/>
              <w:rPr>
                <w:b/>
                <w:bCs/>
                <w:color w:val="000000"/>
                <w:szCs w:val="20"/>
              </w:rPr>
            </w:pPr>
            <w:r w:rsidRPr="00872D7E">
              <w:rPr>
                <w:b/>
                <w:bCs/>
                <w:color w:val="000000"/>
                <w:szCs w:val="20"/>
              </w:rPr>
              <w:t>-</w:t>
            </w:r>
          </w:p>
        </w:tc>
      </w:tr>
    </w:tbl>
    <w:p w14:paraId="0B632C48" w14:textId="62F53763" w:rsidR="00894C14" w:rsidRPr="00872D7E" w:rsidRDefault="00894C14" w:rsidP="00894C14">
      <w:pPr>
        <w:pStyle w:val="BodyTextIndent"/>
        <w:widowControl w:val="0"/>
        <w:ind w:firstLine="0"/>
        <w:rPr>
          <w:szCs w:val="20"/>
        </w:rPr>
      </w:pPr>
    </w:p>
    <w:p w14:paraId="76A67A4E" w14:textId="77777777" w:rsidR="00894C14" w:rsidRPr="00872D7E" w:rsidRDefault="00894C14" w:rsidP="00894C14">
      <w:pPr>
        <w:pStyle w:val="BodyTextIndent"/>
        <w:widowControl w:val="0"/>
        <w:ind w:firstLine="0"/>
        <w:rPr>
          <w:szCs w:val="20"/>
        </w:rPr>
      </w:pPr>
      <w:r w:rsidRPr="00872D7E">
        <w:rPr>
          <w:szCs w:val="20"/>
        </w:rPr>
        <w:t>Banka’nın riskten korunma amaçlı türev finansal varlıkları bulunmamaktadır.</w:t>
      </w:r>
    </w:p>
    <w:p w14:paraId="64D6506A" w14:textId="0CD7DF28" w:rsidR="00A03014" w:rsidRPr="00872D7E" w:rsidRDefault="00A03014">
      <w:r w:rsidRPr="00872D7E">
        <w:br w:type="page"/>
      </w:r>
    </w:p>
    <w:p w14:paraId="7F0D1BF9" w14:textId="77777777" w:rsidR="00A03014" w:rsidRPr="00872D7E" w:rsidRDefault="00A03014" w:rsidP="00A03014">
      <w:pPr>
        <w:widowControl w:val="0"/>
        <w:ind w:left="720" w:hanging="720"/>
        <w:jc w:val="both"/>
        <w:rPr>
          <w:b/>
          <w:szCs w:val="20"/>
        </w:rPr>
      </w:pPr>
      <w:r w:rsidRPr="00872D7E">
        <w:rPr>
          <w:b/>
          <w:szCs w:val="20"/>
        </w:rPr>
        <w:lastRenderedPageBreak/>
        <w:t>KONSOLİDE OLMAYAN FİNANSAL TABLOLARA İLİŞKİN AÇIKLAMA VE DİPNOTLAR (Devamı)</w:t>
      </w:r>
    </w:p>
    <w:p w14:paraId="34F718EB" w14:textId="77777777" w:rsidR="00A03014" w:rsidRPr="00872D7E" w:rsidRDefault="00A03014" w:rsidP="00A03014">
      <w:pPr>
        <w:pStyle w:val="ListParagraph"/>
        <w:widowControl w:val="0"/>
        <w:ind w:left="14" w:right="452"/>
        <w:jc w:val="both"/>
        <w:rPr>
          <w:b/>
          <w:szCs w:val="20"/>
        </w:rPr>
      </w:pPr>
    </w:p>
    <w:p w14:paraId="0683CAB6" w14:textId="77777777" w:rsidR="00A03014" w:rsidRPr="00872D7E" w:rsidRDefault="00A03014" w:rsidP="00DF282B">
      <w:pPr>
        <w:pStyle w:val="ListParagraph"/>
        <w:widowControl w:val="0"/>
        <w:numPr>
          <w:ilvl w:val="0"/>
          <w:numId w:val="70"/>
        </w:numPr>
        <w:ind w:left="709"/>
        <w:jc w:val="both"/>
        <w:rPr>
          <w:b/>
          <w:szCs w:val="20"/>
        </w:rPr>
      </w:pPr>
      <w:r w:rsidRPr="00872D7E">
        <w:rPr>
          <w:b/>
          <w:szCs w:val="20"/>
        </w:rPr>
        <w:t>BİLANÇONUN AKTİF HESAPLARINA İLİŞKİN AÇIKLAMA VE DİPNOTLAR (Devamı)</w:t>
      </w:r>
    </w:p>
    <w:p w14:paraId="0337643D" w14:textId="77777777" w:rsidR="00A03014" w:rsidRPr="00872D7E" w:rsidRDefault="00A03014" w:rsidP="008B4B67"/>
    <w:p w14:paraId="263DCB50" w14:textId="4D1FD9C7" w:rsidR="00BD0305" w:rsidRPr="00872D7E" w:rsidRDefault="00BD0305" w:rsidP="00220C76">
      <w:pPr>
        <w:pStyle w:val="BodyTextIndent"/>
        <w:widowControl w:val="0"/>
        <w:numPr>
          <w:ilvl w:val="0"/>
          <w:numId w:val="2"/>
        </w:numPr>
        <w:tabs>
          <w:tab w:val="clear" w:pos="720"/>
        </w:tabs>
        <w:ind w:left="851" w:hanging="851"/>
        <w:rPr>
          <w:b/>
          <w:szCs w:val="20"/>
        </w:rPr>
      </w:pPr>
      <w:r w:rsidRPr="00872D7E">
        <w:rPr>
          <w:b/>
          <w:szCs w:val="20"/>
        </w:rPr>
        <w:t>Kredilere ilişkin açıklamalar</w:t>
      </w:r>
    </w:p>
    <w:p w14:paraId="5A34BEE0" w14:textId="77777777" w:rsidR="002D3591" w:rsidRPr="00872D7E" w:rsidRDefault="002D3591" w:rsidP="00220C76">
      <w:pPr>
        <w:pStyle w:val="BodyTextIndent"/>
        <w:widowControl w:val="0"/>
        <w:ind w:left="720" w:firstLine="0"/>
        <w:rPr>
          <w:b/>
          <w:szCs w:val="20"/>
        </w:rPr>
      </w:pPr>
    </w:p>
    <w:p w14:paraId="2BAD742F" w14:textId="59F27465" w:rsidR="00BD0305" w:rsidRPr="00872D7E" w:rsidRDefault="00BD0305" w:rsidP="000B0EE6">
      <w:pPr>
        <w:pStyle w:val="BodyTextIndent"/>
        <w:widowControl w:val="0"/>
        <w:numPr>
          <w:ilvl w:val="0"/>
          <w:numId w:val="6"/>
        </w:numPr>
        <w:tabs>
          <w:tab w:val="clear" w:pos="540"/>
        </w:tabs>
        <w:ind w:left="567" w:hanging="567"/>
        <w:rPr>
          <w:b/>
          <w:szCs w:val="20"/>
        </w:rPr>
      </w:pPr>
      <w:r w:rsidRPr="00872D7E">
        <w:rPr>
          <w:b/>
          <w:szCs w:val="20"/>
        </w:rPr>
        <w:t>Banka’nın ortaklarına ve mensuplarına verilen her çeşit kredi veya avansın bakiyesine ilişkin bilgiler</w:t>
      </w:r>
    </w:p>
    <w:p w14:paraId="2E05F836" w14:textId="77777777" w:rsidR="002D3591" w:rsidRPr="00872D7E" w:rsidRDefault="002D3591" w:rsidP="00220C76">
      <w:pPr>
        <w:pStyle w:val="BodyTextIndent"/>
        <w:widowControl w:val="0"/>
        <w:ind w:left="-28" w:firstLine="0"/>
        <w:rPr>
          <w:b/>
          <w:szCs w:val="20"/>
        </w:rPr>
      </w:pPr>
    </w:p>
    <w:p w14:paraId="67AB1329" w14:textId="1A197B67" w:rsidR="005706A8" w:rsidRPr="00872D7E" w:rsidRDefault="00F61513" w:rsidP="00220C76">
      <w:pPr>
        <w:pStyle w:val="BodyTextIndent"/>
        <w:widowControl w:val="0"/>
        <w:ind w:left="840" w:firstLine="0"/>
        <w:rPr>
          <w:bCs/>
          <w:szCs w:val="20"/>
        </w:rPr>
      </w:pPr>
      <w:r w:rsidRPr="00872D7E">
        <w:rPr>
          <w:bCs/>
          <w:szCs w:val="20"/>
        </w:rPr>
        <w:t>Bulunmamaktadır</w:t>
      </w:r>
      <w:r w:rsidR="00905E35" w:rsidRPr="00872D7E">
        <w:rPr>
          <w:bCs/>
          <w:szCs w:val="20"/>
        </w:rPr>
        <w:t xml:space="preserve"> (1 Ocak 2024: Bulunmamaktadır).</w:t>
      </w:r>
    </w:p>
    <w:p w14:paraId="3F6853CE" w14:textId="77777777" w:rsidR="00660A09" w:rsidRPr="00872D7E" w:rsidRDefault="00660A09" w:rsidP="00220C76">
      <w:pPr>
        <w:pStyle w:val="BodyTextIndent"/>
        <w:widowControl w:val="0"/>
        <w:ind w:left="840" w:firstLine="0"/>
        <w:rPr>
          <w:bCs/>
          <w:szCs w:val="20"/>
        </w:rPr>
      </w:pPr>
    </w:p>
    <w:p w14:paraId="5C6BCDFE" w14:textId="45681D02" w:rsidR="00E5759F" w:rsidRPr="00872D7E" w:rsidRDefault="00626CAF" w:rsidP="000B0EE6">
      <w:pPr>
        <w:pStyle w:val="BodyTextIndent"/>
        <w:widowControl w:val="0"/>
        <w:numPr>
          <w:ilvl w:val="0"/>
          <w:numId w:val="6"/>
        </w:numPr>
        <w:tabs>
          <w:tab w:val="clear" w:pos="540"/>
        </w:tabs>
        <w:ind w:left="567" w:hanging="567"/>
        <w:rPr>
          <w:b/>
          <w:szCs w:val="20"/>
        </w:rPr>
      </w:pPr>
      <w:r w:rsidRPr="00872D7E">
        <w:rPr>
          <w:b/>
          <w:szCs w:val="20"/>
        </w:rPr>
        <w:t>Standar</w:t>
      </w:r>
      <w:r w:rsidR="00571016" w:rsidRPr="00872D7E">
        <w:rPr>
          <w:b/>
          <w:szCs w:val="20"/>
        </w:rPr>
        <w:t>t nitelikli ve yakın izlemedeki krediler ile yeniden yapılandırılan yakın izlemedeki kredilere ilişkin</w:t>
      </w:r>
      <w:r w:rsidR="00450D22" w:rsidRPr="00872D7E">
        <w:rPr>
          <w:b/>
          <w:szCs w:val="20"/>
        </w:rPr>
        <w:t xml:space="preserve"> </w:t>
      </w:r>
      <w:r w:rsidR="00571016" w:rsidRPr="00872D7E">
        <w:rPr>
          <w:b/>
          <w:szCs w:val="20"/>
        </w:rPr>
        <w:t>bilgiler</w:t>
      </w:r>
    </w:p>
    <w:p w14:paraId="1778E957" w14:textId="77777777" w:rsidR="002D3591" w:rsidRPr="00872D7E" w:rsidRDefault="002D3591" w:rsidP="00220C76">
      <w:pPr>
        <w:pStyle w:val="BodyTextIndent"/>
        <w:widowControl w:val="0"/>
        <w:ind w:left="180" w:firstLine="0"/>
        <w:rPr>
          <w:b/>
          <w:szCs w:val="20"/>
        </w:rPr>
      </w:pPr>
    </w:p>
    <w:p w14:paraId="4F35B217" w14:textId="4FE3DD01" w:rsidR="002D3591" w:rsidRPr="00872D7E" w:rsidRDefault="000C2CEF" w:rsidP="00366208">
      <w:pPr>
        <w:pStyle w:val="BodyTextIndent"/>
        <w:widowControl w:val="0"/>
        <w:ind w:left="1276" w:hanging="425"/>
        <w:rPr>
          <w:b/>
          <w:szCs w:val="20"/>
        </w:rPr>
      </w:pPr>
      <w:proofErr w:type="gramStart"/>
      <w:r w:rsidRPr="00872D7E">
        <w:rPr>
          <w:b/>
          <w:szCs w:val="20"/>
        </w:rPr>
        <w:t>b</w:t>
      </w:r>
      <w:proofErr w:type="gramEnd"/>
      <w:r w:rsidRPr="00872D7E">
        <w:rPr>
          <w:b/>
          <w:szCs w:val="20"/>
        </w:rPr>
        <w:t>1.</w:t>
      </w:r>
      <w:r w:rsidR="002D3591" w:rsidRPr="00872D7E">
        <w:rPr>
          <w:b/>
          <w:szCs w:val="20"/>
        </w:rPr>
        <w:tab/>
      </w:r>
      <w:r w:rsidRPr="00872D7E">
        <w:rPr>
          <w:b/>
          <w:szCs w:val="20"/>
        </w:rPr>
        <w:t>Standart nitelikli ve yakın izlemedeki krediler ile yeniden yapılandırılan yakın izlemedeki kredilere ilişkin detay tablosu</w:t>
      </w:r>
    </w:p>
    <w:p w14:paraId="6401DEB4" w14:textId="6DDD6EEC" w:rsidR="00862A01" w:rsidRPr="00872D7E" w:rsidRDefault="00862A01" w:rsidP="00AE0899">
      <w:pPr>
        <w:widowControl w:val="0"/>
        <w:ind w:right="187"/>
        <w:jc w:val="both"/>
        <w:rPr>
          <w:szCs w:val="20"/>
        </w:rPr>
      </w:pPr>
    </w:p>
    <w:tbl>
      <w:tblPr>
        <w:tblW w:w="5000" w:type="pct"/>
        <w:tblCellMar>
          <w:left w:w="70" w:type="dxa"/>
          <w:right w:w="70" w:type="dxa"/>
        </w:tblCellMar>
        <w:tblLook w:val="04A0" w:firstRow="1" w:lastRow="0" w:firstColumn="1" w:lastColumn="0" w:noHBand="0" w:noVBand="1"/>
      </w:tblPr>
      <w:tblGrid>
        <w:gridCol w:w="2300"/>
        <w:gridCol w:w="1416"/>
        <w:gridCol w:w="1959"/>
        <w:gridCol w:w="1903"/>
        <w:gridCol w:w="1777"/>
      </w:tblGrid>
      <w:tr w:rsidR="00862A01" w:rsidRPr="00872D7E" w14:paraId="58ADCB74" w14:textId="77777777" w:rsidTr="00862A01">
        <w:trPr>
          <w:divId w:val="705183897"/>
          <w:trHeight w:val="170"/>
        </w:trPr>
        <w:tc>
          <w:tcPr>
            <w:tcW w:w="1229" w:type="pct"/>
            <w:tcBorders>
              <w:top w:val="single" w:sz="4" w:space="0" w:color="auto"/>
              <w:left w:val="nil"/>
              <w:bottom w:val="nil"/>
              <w:right w:val="nil"/>
            </w:tcBorders>
            <w:shd w:val="clear" w:color="auto" w:fill="auto"/>
            <w:vAlign w:val="center"/>
            <w:hideMark/>
          </w:tcPr>
          <w:p w14:paraId="50EBC576" w14:textId="25A5C84C" w:rsidR="00862A01" w:rsidRPr="00872D7E" w:rsidRDefault="00862A01" w:rsidP="00862A01">
            <w:pPr>
              <w:rPr>
                <w:b/>
                <w:bCs/>
                <w:color w:val="000000"/>
                <w:sz w:val="18"/>
                <w:szCs w:val="18"/>
              </w:rPr>
            </w:pPr>
            <w:r w:rsidRPr="00872D7E">
              <w:rPr>
                <w:b/>
                <w:bCs/>
                <w:color w:val="000000"/>
                <w:sz w:val="18"/>
                <w:szCs w:val="18"/>
              </w:rPr>
              <w:t> </w:t>
            </w:r>
          </w:p>
        </w:tc>
        <w:tc>
          <w:tcPr>
            <w:tcW w:w="757" w:type="pct"/>
            <w:vMerge w:val="restart"/>
            <w:tcBorders>
              <w:top w:val="single" w:sz="4" w:space="0" w:color="auto"/>
              <w:left w:val="nil"/>
              <w:bottom w:val="single" w:sz="4" w:space="0" w:color="000000"/>
              <w:right w:val="nil"/>
            </w:tcBorders>
            <w:shd w:val="clear" w:color="auto" w:fill="auto"/>
            <w:vAlign w:val="center"/>
            <w:hideMark/>
          </w:tcPr>
          <w:p w14:paraId="00033210" w14:textId="77777777" w:rsidR="00862A01" w:rsidRPr="00872D7E" w:rsidRDefault="00862A01" w:rsidP="00862A01">
            <w:pPr>
              <w:jc w:val="center"/>
              <w:rPr>
                <w:b/>
                <w:bCs/>
                <w:color w:val="000000"/>
                <w:sz w:val="18"/>
                <w:szCs w:val="18"/>
              </w:rPr>
            </w:pPr>
            <w:r w:rsidRPr="00872D7E">
              <w:rPr>
                <w:b/>
                <w:bCs/>
                <w:color w:val="000000"/>
                <w:sz w:val="18"/>
                <w:szCs w:val="18"/>
              </w:rPr>
              <w:t>Standart Nitelikli Krediler</w:t>
            </w:r>
          </w:p>
        </w:tc>
        <w:tc>
          <w:tcPr>
            <w:tcW w:w="3014" w:type="pct"/>
            <w:gridSpan w:val="3"/>
            <w:tcBorders>
              <w:top w:val="single" w:sz="4" w:space="0" w:color="auto"/>
              <w:left w:val="nil"/>
              <w:bottom w:val="single" w:sz="4" w:space="0" w:color="auto"/>
              <w:right w:val="nil"/>
            </w:tcBorders>
            <w:shd w:val="clear" w:color="auto" w:fill="auto"/>
            <w:vAlign w:val="center"/>
            <w:hideMark/>
          </w:tcPr>
          <w:p w14:paraId="15A43C66" w14:textId="77777777" w:rsidR="00862A01" w:rsidRPr="00872D7E" w:rsidRDefault="00862A01" w:rsidP="00862A01">
            <w:pPr>
              <w:jc w:val="center"/>
              <w:rPr>
                <w:b/>
                <w:bCs/>
                <w:color w:val="000000"/>
                <w:sz w:val="18"/>
                <w:szCs w:val="18"/>
              </w:rPr>
            </w:pPr>
            <w:r w:rsidRPr="00872D7E">
              <w:rPr>
                <w:b/>
                <w:bCs/>
                <w:color w:val="000000"/>
                <w:sz w:val="18"/>
                <w:szCs w:val="18"/>
              </w:rPr>
              <w:t>Yakın İzlemedeki Krediler</w:t>
            </w:r>
          </w:p>
        </w:tc>
      </w:tr>
      <w:tr w:rsidR="00862A01" w:rsidRPr="00872D7E" w14:paraId="76CBBBBD" w14:textId="77777777" w:rsidTr="00862A01">
        <w:trPr>
          <w:divId w:val="705183897"/>
          <w:trHeight w:val="170"/>
        </w:trPr>
        <w:tc>
          <w:tcPr>
            <w:tcW w:w="1229" w:type="pct"/>
            <w:tcBorders>
              <w:top w:val="nil"/>
              <w:left w:val="nil"/>
              <w:bottom w:val="nil"/>
              <w:right w:val="nil"/>
            </w:tcBorders>
            <w:shd w:val="clear" w:color="auto" w:fill="auto"/>
            <w:vAlign w:val="center"/>
            <w:hideMark/>
          </w:tcPr>
          <w:p w14:paraId="1E6303DC" w14:textId="77777777" w:rsidR="00862A01" w:rsidRPr="00872D7E" w:rsidRDefault="00862A01" w:rsidP="00862A01">
            <w:pPr>
              <w:rPr>
                <w:b/>
                <w:bCs/>
                <w:color w:val="000000"/>
                <w:sz w:val="18"/>
                <w:szCs w:val="18"/>
                <w:lang w:eastAsia="tr-TR"/>
              </w:rPr>
            </w:pPr>
            <w:r w:rsidRPr="00872D7E">
              <w:rPr>
                <w:b/>
                <w:bCs/>
                <w:color w:val="000000"/>
                <w:sz w:val="18"/>
                <w:szCs w:val="18"/>
              </w:rPr>
              <w:t xml:space="preserve">31 </w:t>
            </w:r>
            <w:r w:rsidRPr="00872D7E">
              <w:rPr>
                <w:b/>
                <w:bCs/>
                <w:color w:val="000000"/>
                <w:sz w:val="18"/>
                <w:szCs w:val="18"/>
                <w:lang w:eastAsia="tr-TR"/>
              </w:rPr>
              <w:t>Aralık 2024</w:t>
            </w:r>
          </w:p>
        </w:tc>
        <w:tc>
          <w:tcPr>
            <w:tcW w:w="757" w:type="pct"/>
            <w:vMerge/>
            <w:tcBorders>
              <w:top w:val="single" w:sz="4" w:space="0" w:color="auto"/>
              <w:left w:val="nil"/>
              <w:bottom w:val="single" w:sz="4" w:space="0" w:color="000000"/>
              <w:right w:val="nil"/>
            </w:tcBorders>
            <w:vAlign w:val="center"/>
            <w:hideMark/>
          </w:tcPr>
          <w:p w14:paraId="5797E17E" w14:textId="77777777" w:rsidR="00862A01" w:rsidRPr="00872D7E" w:rsidRDefault="00862A01" w:rsidP="00862A01">
            <w:pPr>
              <w:rPr>
                <w:b/>
                <w:bCs/>
                <w:color w:val="000000"/>
                <w:sz w:val="18"/>
                <w:szCs w:val="18"/>
              </w:rPr>
            </w:pPr>
          </w:p>
        </w:tc>
        <w:tc>
          <w:tcPr>
            <w:tcW w:w="1047" w:type="pct"/>
            <w:vMerge w:val="restart"/>
            <w:tcBorders>
              <w:top w:val="nil"/>
              <w:left w:val="nil"/>
              <w:bottom w:val="single" w:sz="4" w:space="0" w:color="000000"/>
              <w:right w:val="nil"/>
            </w:tcBorders>
            <w:shd w:val="clear" w:color="auto" w:fill="auto"/>
            <w:vAlign w:val="center"/>
            <w:hideMark/>
          </w:tcPr>
          <w:p w14:paraId="78B27F0E" w14:textId="77777777" w:rsidR="00862A01" w:rsidRPr="00872D7E" w:rsidRDefault="00862A01" w:rsidP="00862A01">
            <w:pPr>
              <w:jc w:val="center"/>
              <w:rPr>
                <w:b/>
                <w:bCs/>
                <w:color w:val="000000"/>
                <w:sz w:val="18"/>
                <w:szCs w:val="18"/>
              </w:rPr>
            </w:pPr>
            <w:r w:rsidRPr="00872D7E">
              <w:rPr>
                <w:b/>
                <w:bCs/>
                <w:color w:val="000000"/>
                <w:sz w:val="18"/>
                <w:szCs w:val="18"/>
              </w:rPr>
              <w:t>Yeniden Yapılandırma Kapsamında Yer Almayanlar</w:t>
            </w:r>
          </w:p>
        </w:tc>
        <w:tc>
          <w:tcPr>
            <w:tcW w:w="1967" w:type="pct"/>
            <w:gridSpan w:val="2"/>
            <w:tcBorders>
              <w:top w:val="single" w:sz="4" w:space="0" w:color="auto"/>
              <w:left w:val="nil"/>
              <w:bottom w:val="single" w:sz="4" w:space="0" w:color="auto"/>
              <w:right w:val="nil"/>
            </w:tcBorders>
            <w:shd w:val="clear" w:color="auto" w:fill="auto"/>
            <w:vAlign w:val="center"/>
            <w:hideMark/>
          </w:tcPr>
          <w:p w14:paraId="72C12595" w14:textId="77777777" w:rsidR="00862A01" w:rsidRPr="00872D7E" w:rsidRDefault="00862A01" w:rsidP="00862A01">
            <w:pPr>
              <w:jc w:val="center"/>
              <w:rPr>
                <w:b/>
                <w:bCs/>
                <w:color w:val="000000"/>
                <w:sz w:val="18"/>
                <w:szCs w:val="18"/>
              </w:rPr>
            </w:pPr>
            <w:r w:rsidRPr="00872D7E">
              <w:rPr>
                <w:b/>
                <w:bCs/>
                <w:color w:val="000000"/>
                <w:sz w:val="18"/>
                <w:szCs w:val="18"/>
              </w:rPr>
              <w:t>Yeniden Yapılandırılanlar</w:t>
            </w:r>
          </w:p>
        </w:tc>
      </w:tr>
      <w:tr w:rsidR="00862A01" w:rsidRPr="00872D7E" w14:paraId="43F3AD53" w14:textId="77777777" w:rsidTr="00862A01">
        <w:trPr>
          <w:divId w:val="705183897"/>
          <w:trHeight w:val="170"/>
        </w:trPr>
        <w:tc>
          <w:tcPr>
            <w:tcW w:w="1229" w:type="pct"/>
            <w:tcBorders>
              <w:top w:val="nil"/>
              <w:left w:val="nil"/>
              <w:bottom w:val="single" w:sz="4" w:space="0" w:color="auto"/>
              <w:right w:val="nil"/>
            </w:tcBorders>
            <w:shd w:val="clear" w:color="auto" w:fill="auto"/>
            <w:vAlign w:val="center"/>
            <w:hideMark/>
          </w:tcPr>
          <w:p w14:paraId="00EE302F" w14:textId="77777777" w:rsidR="00862A01" w:rsidRPr="00872D7E" w:rsidRDefault="00862A01" w:rsidP="00862A01">
            <w:pPr>
              <w:rPr>
                <w:b/>
                <w:bCs/>
                <w:color w:val="000000"/>
                <w:sz w:val="18"/>
                <w:szCs w:val="18"/>
              </w:rPr>
            </w:pPr>
            <w:r w:rsidRPr="00872D7E">
              <w:rPr>
                <w:b/>
                <w:bCs/>
                <w:color w:val="000000"/>
                <w:sz w:val="18"/>
                <w:szCs w:val="18"/>
              </w:rPr>
              <w:t>Nakdi Krediler</w:t>
            </w:r>
          </w:p>
        </w:tc>
        <w:tc>
          <w:tcPr>
            <w:tcW w:w="757" w:type="pct"/>
            <w:vMerge/>
            <w:tcBorders>
              <w:top w:val="single" w:sz="4" w:space="0" w:color="auto"/>
              <w:left w:val="nil"/>
              <w:bottom w:val="single" w:sz="4" w:space="0" w:color="000000"/>
              <w:right w:val="nil"/>
            </w:tcBorders>
            <w:vAlign w:val="center"/>
            <w:hideMark/>
          </w:tcPr>
          <w:p w14:paraId="4CBB2B8D" w14:textId="77777777" w:rsidR="00862A01" w:rsidRPr="00872D7E" w:rsidRDefault="00862A01" w:rsidP="00862A01">
            <w:pPr>
              <w:rPr>
                <w:b/>
                <w:bCs/>
                <w:color w:val="000000"/>
                <w:sz w:val="18"/>
                <w:szCs w:val="18"/>
              </w:rPr>
            </w:pPr>
          </w:p>
        </w:tc>
        <w:tc>
          <w:tcPr>
            <w:tcW w:w="1047" w:type="pct"/>
            <w:vMerge/>
            <w:tcBorders>
              <w:top w:val="nil"/>
              <w:left w:val="nil"/>
              <w:bottom w:val="single" w:sz="4" w:space="0" w:color="000000"/>
              <w:right w:val="nil"/>
            </w:tcBorders>
            <w:vAlign w:val="center"/>
            <w:hideMark/>
          </w:tcPr>
          <w:p w14:paraId="4382AE12" w14:textId="77777777" w:rsidR="00862A01" w:rsidRPr="00872D7E" w:rsidRDefault="00862A01" w:rsidP="00862A01">
            <w:pPr>
              <w:rPr>
                <w:b/>
                <w:bCs/>
                <w:color w:val="000000"/>
                <w:sz w:val="18"/>
                <w:szCs w:val="18"/>
              </w:rPr>
            </w:pPr>
          </w:p>
        </w:tc>
        <w:tc>
          <w:tcPr>
            <w:tcW w:w="1017" w:type="pct"/>
            <w:tcBorders>
              <w:top w:val="nil"/>
              <w:left w:val="nil"/>
              <w:bottom w:val="single" w:sz="4" w:space="0" w:color="auto"/>
              <w:right w:val="nil"/>
            </w:tcBorders>
            <w:shd w:val="clear" w:color="auto" w:fill="auto"/>
            <w:vAlign w:val="center"/>
            <w:hideMark/>
          </w:tcPr>
          <w:p w14:paraId="075CB26C" w14:textId="77777777" w:rsidR="00862A01" w:rsidRPr="00872D7E" w:rsidRDefault="00862A01" w:rsidP="00862A01">
            <w:pPr>
              <w:jc w:val="center"/>
              <w:rPr>
                <w:b/>
                <w:bCs/>
                <w:color w:val="000000"/>
                <w:sz w:val="18"/>
                <w:szCs w:val="18"/>
              </w:rPr>
            </w:pPr>
            <w:r w:rsidRPr="00872D7E">
              <w:rPr>
                <w:b/>
                <w:bCs/>
                <w:color w:val="000000"/>
                <w:sz w:val="18"/>
                <w:szCs w:val="18"/>
              </w:rPr>
              <w:t>Sözleşme Koşullarında Değişiklik Yapılanlar</w:t>
            </w:r>
          </w:p>
        </w:tc>
        <w:tc>
          <w:tcPr>
            <w:tcW w:w="950" w:type="pct"/>
            <w:tcBorders>
              <w:top w:val="nil"/>
              <w:left w:val="nil"/>
              <w:bottom w:val="single" w:sz="4" w:space="0" w:color="auto"/>
              <w:right w:val="nil"/>
            </w:tcBorders>
            <w:shd w:val="clear" w:color="auto" w:fill="auto"/>
            <w:vAlign w:val="center"/>
            <w:hideMark/>
          </w:tcPr>
          <w:p w14:paraId="0A359076" w14:textId="77777777" w:rsidR="00862A01" w:rsidRPr="00872D7E" w:rsidRDefault="00862A01" w:rsidP="00862A01">
            <w:pPr>
              <w:jc w:val="center"/>
              <w:rPr>
                <w:b/>
                <w:bCs/>
                <w:color w:val="000000"/>
                <w:sz w:val="18"/>
                <w:szCs w:val="18"/>
              </w:rPr>
            </w:pPr>
            <w:r w:rsidRPr="00872D7E">
              <w:rPr>
                <w:b/>
                <w:bCs/>
                <w:color w:val="000000"/>
                <w:sz w:val="18"/>
                <w:szCs w:val="18"/>
              </w:rPr>
              <w:t>Yeniden Finansman Yapılanlar</w:t>
            </w:r>
          </w:p>
        </w:tc>
      </w:tr>
      <w:tr w:rsidR="00862A01" w:rsidRPr="00872D7E" w14:paraId="676948E5" w14:textId="77777777" w:rsidTr="00862A01">
        <w:trPr>
          <w:divId w:val="705183897"/>
          <w:trHeight w:val="170"/>
        </w:trPr>
        <w:tc>
          <w:tcPr>
            <w:tcW w:w="1229" w:type="pct"/>
            <w:tcBorders>
              <w:top w:val="nil"/>
              <w:left w:val="nil"/>
              <w:bottom w:val="nil"/>
              <w:right w:val="nil"/>
            </w:tcBorders>
            <w:shd w:val="clear" w:color="auto" w:fill="auto"/>
            <w:vAlign w:val="center"/>
            <w:hideMark/>
          </w:tcPr>
          <w:p w14:paraId="764D144D" w14:textId="77777777" w:rsidR="00862A01" w:rsidRPr="00872D7E" w:rsidRDefault="00862A01" w:rsidP="00862A01">
            <w:pPr>
              <w:rPr>
                <w:b/>
                <w:bCs/>
                <w:color w:val="000000"/>
                <w:sz w:val="18"/>
                <w:szCs w:val="18"/>
              </w:rPr>
            </w:pPr>
            <w:r w:rsidRPr="00872D7E">
              <w:rPr>
                <w:b/>
                <w:bCs/>
                <w:color w:val="000000"/>
                <w:sz w:val="18"/>
                <w:szCs w:val="18"/>
              </w:rPr>
              <w:t>Krediler</w:t>
            </w:r>
          </w:p>
        </w:tc>
        <w:tc>
          <w:tcPr>
            <w:tcW w:w="757" w:type="pct"/>
            <w:tcBorders>
              <w:top w:val="nil"/>
              <w:left w:val="nil"/>
              <w:bottom w:val="nil"/>
              <w:right w:val="nil"/>
            </w:tcBorders>
            <w:shd w:val="clear" w:color="auto" w:fill="auto"/>
            <w:vAlign w:val="center"/>
            <w:hideMark/>
          </w:tcPr>
          <w:p w14:paraId="0610D54C" w14:textId="77777777" w:rsidR="00862A01" w:rsidRPr="00872D7E" w:rsidRDefault="00862A01" w:rsidP="00862A01">
            <w:pPr>
              <w:jc w:val="right"/>
              <w:rPr>
                <w:b/>
                <w:bCs/>
                <w:color w:val="000000"/>
                <w:sz w:val="18"/>
                <w:szCs w:val="18"/>
              </w:rPr>
            </w:pPr>
            <w:r w:rsidRPr="00872D7E">
              <w:rPr>
                <w:b/>
                <w:bCs/>
                <w:color w:val="000000"/>
                <w:sz w:val="18"/>
                <w:szCs w:val="18"/>
              </w:rPr>
              <w:t>23.029.459</w:t>
            </w:r>
          </w:p>
        </w:tc>
        <w:tc>
          <w:tcPr>
            <w:tcW w:w="1047" w:type="pct"/>
            <w:tcBorders>
              <w:top w:val="nil"/>
              <w:left w:val="nil"/>
              <w:bottom w:val="nil"/>
              <w:right w:val="nil"/>
            </w:tcBorders>
            <w:shd w:val="clear" w:color="auto" w:fill="auto"/>
            <w:vAlign w:val="center"/>
            <w:hideMark/>
          </w:tcPr>
          <w:p w14:paraId="4ED379E2"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1017" w:type="pct"/>
            <w:tcBorders>
              <w:top w:val="nil"/>
              <w:left w:val="nil"/>
              <w:bottom w:val="nil"/>
              <w:right w:val="nil"/>
            </w:tcBorders>
            <w:shd w:val="clear" w:color="auto" w:fill="auto"/>
            <w:vAlign w:val="center"/>
            <w:hideMark/>
          </w:tcPr>
          <w:p w14:paraId="21F7B290"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950" w:type="pct"/>
            <w:tcBorders>
              <w:top w:val="nil"/>
              <w:left w:val="nil"/>
              <w:bottom w:val="nil"/>
              <w:right w:val="nil"/>
            </w:tcBorders>
            <w:shd w:val="clear" w:color="auto" w:fill="auto"/>
            <w:vAlign w:val="center"/>
            <w:hideMark/>
          </w:tcPr>
          <w:p w14:paraId="368A0186" w14:textId="77777777" w:rsidR="00862A01" w:rsidRPr="00872D7E" w:rsidRDefault="00862A01" w:rsidP="00862A01">
            <w:pPr>
              <w:jc w:val="right"/>
              <w:rPr>
                <w:b/>
                <w:bCs/>
                <w:color w:val="000000"/>
                <w:sz w:val="18"/>
                <w:szCs w:val="18"/>
              </w:rPr>
            </w:pPr>
            <w:r w:rsidRPr="00872D7E">
              <w:rPr>
                <w:b/>
                <w:bCs/>
                <w:color w:val="000000"/>
                <w:sz w:val="18"/>
                <w:szCs w:val="18"/>
              </w:rPr>
              <w:t>-</w:t>
            </w:r>
          </w:p>
        </w:tc>
      </w:tr>
      <w:tr w:rsidR="00862A01" w:rsidRPr="00872D7E" w14:paraId="36BA32D4" w14:textId="77777777" w:rsidTr="00862A01">
        <w:trPr>
          <w:divId w:val="705183897"/>
          <w:trHeight w:val="170"/>
        </w:trPr>
        <w:tc>
          <w:tcPr>
            <w:tcW w:w="1229" w:type="pct"/>
            <w:tcBorders>
              <w:top w:val="nil"/>
              <w:left w:val="nil"/>
              <w:bottom w:val="nil"/>
              <w:right w:val="nil"/>
            </w:tcBorders>
            <w:shd w:val="clear" w:color="auto" w:fill="auto"/>
            <w:vAlign w:val="center"/>
            <w:hideMark/>
          </w:tcPr>
          <w:p w14:paraId="4D1E6384" w14:textId="77777777" w:rsidR="00862A01" w:rsidRPr="00872D7E" w:rsidRDefault="00862A01" w:rsidP="00862A01">
            <w:pPr>
              <w:ind w:firstLineChars="200" w:firstLine="360"/>
              <w:rPr>
                <w:color w:val="000000"/>
                <w:sz w:val="18"/>
                <w:szCs w:val="18"/>
              </w:rPr>
            </w:pPr>
            <w:r w:rsidRPr="00872D7E">
              <w:rPr>
                <w:color w:val="000000"/>
                <w:sz w:val="18"/>
                <w:szCs w:val="18"/>
              </w:rPr>
              <w:t>İhracat Kredileri</w:t>
            </w:r>
          </w:p>
        </w:tc>
        <w:tc>
          <w:tcPr>
            <w:tcW w:w="757" w:type="pct"/>
            <w:tcBorders>
              <w:top w:val="nil"/>
              <w:left w:val="nil"/>
              <w:bottom w:val="nil"/>
              <w:right w:val="nil"/>
            </w:tcBorders>
            <w:shd w:val="clear" w:color="auto" w:fill="auto"/>
            <w:vAlign w:val="center"/>
            <w:hideMark/>
          </w:tcPr>
          <w:p w14:paraId="21DC8F21" w14:textId="77777777" w:rsidR="00862A01" w:rsidRPr="00872D7E" w:rsidRDefault="00862A01" w:rsidP="00862A01">
            <w:pPr>
              <w:ind w:firstLineChars="200" w:firstLine="360"/>
              <w:jc w:val="right"/>
              <w:rPr>
                <w:color w:val="000000"/>
                <w:sz w:val="18"/>
                <w:szCs w:val="18"/>
              </w:rPr>
            </w:pPr>
            <w:r w:rsidRPr="00872D7E">
              <w:rPr>
                <w:color w:val="000000"/>
                <w:sz w:val="18"/>
                <w:szCs w:val="18"/>
              </w:rPr>
              <w:t>-</w:t>
            </w:r>
          </w:p>
        </w:tc>
        <w:tc>
          <w:tcPr>
            <w:tcW w:w="1047" w:type="pct"/>
            <w:tcBorders>
              <w:top w:val="nil"/>
              <w:left w:val="nil"/>
              <w:bottom w:val="nil"/>
              <w:right w:val="nil"/>
            </w:tcBorders>
            <w:shd w:val="clear" w:color="auto" w:fill="auto"/>
            <w:vAlign w:val="center"/>
            <w:hideMark/>
          </w:tcPr>
          <w:p w14:paraId="256BA61A" w14:textId="77777777" w:rsidR="00862A01" w:rsidRPr="00872D7E" w:rsidRDefault="00862A01" w:rsidP="00862A01">
            <w:pPr>
              <w:jc w:val="right"/>
              <w:rPr>
                <w:color w:val="000000"/>
                <w:sz w:val="18"/>
                <w:szCs w:val="18"/>
              </w:rPr>
            </w:pPr>
            <w:r w:rsidRPr="00872D7E">
              <w:rPr>
                <w:sz w:val="18"/>
                <w:szCs w:val="18"/>
              </w:rPr>
              <w:t>-</w:t>
            </w:r>
          </w:p>
        </w:tc>
        <w:tc>
          <w:tcPr>
            <w:tcW w:w="1017" w:type="pct"/>
            <w:tcBorders>
              <w:top w:val="nil"/>
              <w:left w:val="nil"/>
              <w:bottom w:val="nil"/>
              <w:right w:val="nil"/>
            </w:tcBorders>
            <w:shd w:val="clear" w:color="auto" w:fill="auto"/>
            <w:vAlign w:val="center"/>
            <w:hideMark/>
          </w:tcPr>
          <w:p w14:paraId="2DD0075E" w14:textId="77777777" w:rsidR="00862A01" w:rsidRPr="00872D7E" w:rsidRDefault="00862A01" w:rsidP="00862A01">
            <w:pPr>
              <w:jc w:val="right"/>
              <w:rPr>
                <w:color w:val="000000"/>
                <w:sz w:val="18"/>
                <w:szCs w:val="18"/>
              </w:rPr>
            </w:pPr>
            <w:r w:rsidRPr="00872D7E">
              <w:rPr>
                <w:sz w:val="18"/>
                <w:szCs w:val="18"/>
              </w:rPr>
              <w:t>-</w:t>
            </w:r>
          </w:p>
        </w:tc>
        <w:tc>
          <w:tcPr>
            <w:tcW w:w="950" w:type="pct"/>
            <w:tcBorders>
              <w:top w:val="nil"/>
              <w:left w:val="nil"/>
              <w:bottom w:val="nil"/>
              <w:right w:val="nil"/>
            </w:tcBorders>
            <w:shd w:val="clear" w:color="auto" w:fill="auto"/>
            <w:vAlign w:val="center"/>
            <w:hideMark/>
          </w:tcPr>
          <w:p w14:paraId="20B76569" w14:textId="77777777" w:rsidR="00862A01" w:rsidRPr="00872D7E" w:rsidRDefault="00862A01" w:rsidP="00862A01">
            <w:pPr>
              <w:jc w:val="right"/>
              <w:rPr>
                <w:color w:val="000000"/>
                <w:sz w:val="18"/>
                <w:szCs w:val="18"/>
              </w:rPr>
            </w:pPr>
            <w:r w:rsidRPr="00872D7E">
              <w:rPr>
                <w:sz w:val="18"/>
                <w:szCs w:val="18"/>
              </w:rPr>
              <w:t>-</w:t>
            </w:r>
          </w:p>
        </w:tc>
      </w:tr>
      <w:tr w:rsidR="00862A01" w:rsidRPr="00872D7E" w14:paraId="39CECD4F" w14:textId="77777777" w:rsidTr="00862A01">
        <w:trPr>
          <w:divId w:val="705183897"/>
          <w:trHeight w:val="170"/>
        </w:trPr>
        <w:tc>
          <w:tcPr>
            <w:tcW w:w="1229" w:type="pct"/>
            <w:tcBorders>
              <w:top w:val="nil"/>
              <w:left w:val="nil"/>
              <w:bottom w:val="nil"/>
              <w:right w:val="nil"/>
            </w:tcBorders>
            <w:shd w:val="clear" w:color="auto" w:fill="auto"/>
            <w:vAlign w:val="center"/>
            <w:hideMark/>
          </w:tcPr>
          <w:p w14:paraId="203CC602" w14:textId="77777777" w:rsidR="00862A01" w:rsidRPr="00872D7E" w:rsidRDefault="00862A01" w:rsidP="00862A01">
            <w:pPr>
              <w:ind w:firstLineChars="200" w:firstLine="360"/>
              <w:rPr>
                <w:color w:val="000000"/>
                <w:sz w:val="18"/>
                <w:szCs w:val="18"/>
              </w:rPr>
            </w:pPr>
            <w:r w:rsidRPr="00872D7E">
              <w:rPr>
                <w:color w:val="000000"/>
                <w:sz w:val="18"/>
                <w:szCs w:val="18"/>
              </w:rPr>
              <w:t>İthalat Kredileri</w:t>
            </w:r>
          </w:p>
        </w:tc>
        <w:tc>
          <w:tcPr>
            <w:tcW w:w="757" w:type="pct"/>
            <w:tcBorders>
              <w:top w:val="nil"/>
              <w:left w:val="nil"/>
              <w:bottom w:val="nil"/>
              <w:right w:val="nil"/>
            </w:tcBorders>
            <w:shd w:val="clear" w:color="auto" w:fill="auto"/>
            <w:vAlign w:val="center"/>
            <w:hideMark/>
          </w:tcPr>
          <w:p w14:paraId="56851025" w14:textId="77777777" w:rsidR="00862A01" w:rsidRPr="00872D7E" w:rsidRDefault="00862A01" w:rsidP="00862A01">
            <w:pPr>
              <w:ind w:firstLineChars="200" w:firstLine="360"/>
              <w:jc w:val="right"/>
              <w:rPr>
                <w:color w:val="000000"/>
                <w:sz w:val="18"/>
                <w:szCs w:val="18"/>
              </w:rPr>
            </w:pPr>
            <w:r w:rsidRPr="00872D7E">
              <w:rPr>
                <w:color w:val="000000"/>
                <w:sz w:val="18"/>
                <w:szCs w:val="18"/>
              </w:rPr>
              <w:t>-</w:t>
            </w:r>
          </w:p>
        </w:tc>
        <w:tc>
          <w:tcPr>
            <w:tcW w:w="1047" w:type="pct"/>
            <w:tcBorders>
              <w:top w:val="nil"/>
              <w:left w:val="nil"/>
              <w:bottom w:val="nil"/>
              <w:right w:val="nil"/>
            </w:tcBorders>
            <w:shd w:val="clear" w:color="auto" w:fill="auto"/>
            <w:vAlign w:val="center"/>
            <w:hideMark/>
          </w:tcPr>
          <w:p w14:paraId="49C937FA" w14:textId="77777777" w:rsidR="00862A01" w:rsidRPr="00872D7E" w:rsidRDefault="00862A01" w:rsidP="00862A01">
            <w:pPr>
              <w:jc w:val="right"/>
              <w:rPr>
                <w:color w:val="000000"/>
                <w:sz w:val="18"/>
                <w:szCs w:val="18"/>
              </w:rPr>
            </w:pPr>
            <w:r w:rsidRPr="00872D7E">
              <w:rPr>
                <w:sz w:val="18"/>
                <w:szCs w:val="18"/>
              </w:rPr>
              <w:t>-</w:t>
            </w:r>
          </w:p>
        </w:tc>
        <w:tc>
          <w:tcPr>
            <w:tcW w:w="1017" w:type="pct"/>
            <w:tcBorders>
              <w:top w:val="nil"/>
              <w:left w:val="nil"/>
              <w:bottom w:val="nil"/>
              <w:right w:val="nil"/>
            </w:tcBorders>
            <w:shd w:val="clear" w:color="auto" w:fill="auto"/>
            <w:vAlign w:val="center"/>
            <w:hideMark/>
          </w:tcPr>
          <w:p w14:paraId="4775582C" w14:textId="77777777" w:rsidR="00862A01" w:rsidRPr="00872D7E" w:rsidRDefault="00862A01" w:rsidP="00862A01">
            <w:pPr>
              <w:jc w:val="right"/>
              <w:rPr>
                <w:color w:val="000000"/>
                <w:sz w:val="18"/>
                <w:szCs w:val="18"/>
              </w:rPr>
            </w:pPr>
            <w:r w:rsidRPr="00872D7E">
              <w:rPr>
                <w:sz w:val="18"/>
                <w:szCs w:val="18"/>
              </w:rPr>
              <w:t>-</w:t>
            </w:r>
          </w:p>
        </w:tc>
        <w:tc>
          <w:tcPr>
            <w:tcW w:w="950" w:type="pct"/>
            <w:tcBorders>
              <w:top w:val="nil"/>
              <w:left w:val="nil"/>
              <w:bottom w:val="nil"/>
              <w:right w:val="nil"/>
            </w:tcBorders>
            <w:shd w:val="clear" w:color="auto" w:fill="auto"/>
            <w:vAlign w:val="center"/>
            <w:hideMark/>
          </w:tcPr>
          <w:p w14:paraId="7BC46E77" w14:textId="77777777" w:rsidR="00862A01" w:rsidRPr="00872D7E" w:rsidRDefault="00862A01" w:rsidP="00862A01">
            <w:pPr>
              <w:jc w:val="right"/>
              <w:rPr>
                <w:color w:val="000000"/>
                <w:sz w:val="18"/>
                <w:szCs w:val="18"/>
              </w:rPr>
            </w:pPr>
            <w:r w:rsidRPr="00872D7E">
              <w:rPr>
                <w:sz w:val="18"/>
                <w:szCs w:val="18"/>
              </w:rPr>
              <w:t>-</w:t>
            </w:r>
          </w:p>
        </w:tc>
      </w:tr>
      <w:tr w:rsidR="00862A01" w:rsidRPr="00872D7E" w14:paraId="0000D9F3" w14:textId="77777777" w:rsidTr="00862A01">
        <w:trPr>
          <w:divId w:val="705183897"/>
          <w:trHeight w:val="170"/>
        </w:trPr>
        <w:tc>
          <w:tcPr>
            <w:tcW w:w="1229" w:type="pct"/>
            <w:tcBorders>
              <w:top w:val="nil"/>
              <w:left w:val="nil"/>
              <w:bottom w:val="nil"/>
              <w:right w:val="nil"/>
            </w:tcBorders>
            <w:shd w:val="clear" w:color="auto" w:fill="auto"/>
            <w:vAlign w:val="center"/>
            <w:hideMark/>
          </w:tcPr>
          <w:p w14:paraId="4DA70FC3" w14:textId="77777777" w:rsidR="00862A01" w:rsidRPr="00872D7E" w:rsidRDefault="00862A01" w:rsidP="00862A01">
            <w:pPr>
              <w:ind w:firstLineChars="200" w:firstLine="360"/>
              <w:rPr>
                <w:color w:val="000000"/>
                <w:sz w:val="18"/>
                <w:szCs w:val="18"/>
              </w:rPr>
            </w:pPr>
            <w:r w:rsidRPr="00872D7E">
              <w:rPr>
                <w:color w:val="000000"/>
                <w:sz w:val="18"/>
                <w:szCs w:val="18"/>
              </w:rPr>
              <w:t>İşletme Kredileri</w:t>
            </w:r>
          </w:p>
        </w:tc>
        <w:tc>
          <w:tcPr>
            <w:tcW w:w="757" w:type="pct"/>
            <w:tcBorders>
              <w:top w:val="nil"/>
              <w:left w:val="nil"/>
              <w:bottom w:val="nil"/>
              <w:right w:val="nil"/>
            </w:tcBorders>
            <w:shd w:val="clear" w:color="auto" w:fill="auto"/>
            <w:vAlign w:val="center"/>
            <w:hideMark/>
          </w:tcPr>
          <w:p w14:paraId="1D14914C" w14:textId="77777777" w:rsidR="00862A01" w:rsidRPr="00872D7E" w:rsidRDefault="00862A01" w:rsidP="00862A01">
            <w:pPr>
              <w:ind w:firstLineChars="200" w:firstLine="360"/>
              <w:jc w:val="right"/>
              <w:rPr>
                <w:color w:val="000000"/>
                <w:sz w:val="18"/>
                <w:szCs w:val="18"/>
              </w:rPr>
            </w:pPr>
            <w:r w:rsidRPr="00872D7E">
              <w:rPr>
                <w:color w:val="000000"/>
                <w:sz w:val="18"/>
                <w:szCs w:val="18"/>
              </w:rPr>
              <w:t>16.721.167</w:t>
            </w:r>
          </w:p>
        </w:tc>
        <w:tc>
          <w:tcPr>
            <w:tcW w:w="1047" w:type="pct"/>
            <w:tcBorders>
              <w:top w:val="nil"/>
              <w:left w:val="nil"/>
              <w:bottom w:val="nil"/>
              <w:right w:val="nil"/>
            </w:tcBorders>
            <w:shd w:val="clear" w:color="auto" w:fill="auto"/>
            <w:vAlign w:val="center"/>
            <w:hideMark/>
          </w:tcPr>
          <w:p w14:paraId="3916C1D7" w14:textId="77777777" w:rsidR="00862A01" w:rsidRPr="00872D7E" w:rsidRDefault="00862A01" w:rsidP="00862A01">
            <w:pPr>
              <w:jc w:val="right"/>
              <w:rPr>
                <w:color w:val="000000"/>
                <w:sz w:val="18"/>
                <w:szCs w:val="18"/>
              </w:rPr>
            </w:pPr>
            <w:r w:rsidRPr="00872D7E">
              <w:rPr>
                <w:sz w:val="18"/>
                <w:szCs w:val="18"/>
              </w:rPr>
              <w:t>-</w:t>
            </w:r>
          </w:p>
        </w:tc>
        <w:tc>
          <w:tcPr>
            <w:tcW w:w="1017" w:type="pct"/>
            <w:tcBorders>
              <w:top w:val="nil"/>
              <w:left w:val="nil"/>
              <w:bottom w:val="nil"/>
              <w:right w:val="nil"/>
            </w:tcBorders>
            <w:shd w:val="clear" w:color="auto" w:fill="auto"/>
            <w:vAlign w:val="center"/>
            <w:hideMark/>
          </w:tcPr>
          <w:p w14:paraId="3917158B" w14:textId="77777777" w:rsidR="00862A01" w:rsidRPr="00872D7E" w:rsidRDefault="00862A01" w:rsidP="00862A01">
            <w:pPr>
              <w:jc w:val="right"/>
              <w:rPr>
                <w:color w:val="000000"/>
                <w:sz w:val="18"/>
                <w:szCs w:val="18"/>
              </w:rPr>
            </w:pPr>
            <w:r w:rsidRPr="00872D7E">
              <w:rPr>
                <w:sz w:val="18"/>
                <w:szCs w:val="18"/>
              </w:rPr>
              <w:t>-</w:t>
            </w:r>
          </w:p>
        </w:tc>
        <w:tc>
          <w:tcPr>
            <w:tcW w:w="950" w:type="pct"/>
            <w:tcBorders>
              <w:top w:val="nil"/>
              <w:left w:val="nil"/>
              <w:bottom w:val="nil"/>
              <w:right w:val="nil"/>
            </w:tcBorders>
            <w:shd w:val="clear" w:color="auto" w:fill="auto"/>
            <w:vAlign w:val="center"/>
            <w:hideMark/>
          </w:tcPr>
          <w:p w14:paraId="45A2576D" w14:textId="77777777" w:rsidR="00862A01" w:rsidRPr="00872D7E" w:rsidRDefault="00862A01" w:rsidP="00862A01">
            <w:pPr>
              <w:jc w:val="right"/>
              <w:rPr>
                <w:color w:val="000000"/>
                <w:sz w:val="18"/>
                <w:szCs w:val="18"/>
              </w:rPr>
            </w:pPr>
            <w:r w:rsidRPr="00872D7E">
              <w:rPr>
                <w:sz w:val="18"/>
                <w:szCs w:val="18"/>
              </w:rPr>
              <w:t>-</w:t>
            </w:r>
          </w:p>
        </w:tc>
      </w:tr>
      <w:tr w:rsidR="00862A01" w:rsidRPr="00872D7E" w14:paraId="2132D278" w14:textId="77777777" w:rsidTr="00862A01">
        <w:trPr>
          <w:divId w:val="705183897"/>
          <w:trHeight w:val="170"/>
        </w:trPr>
        <w:tc>
          <w:tcPr>
            <w:tcW w:w="1229" w:type="pct"/>
            <w:tcBorders>
              <w:top w:val="nil"/>
              <w:left w:val="nil"/>
              <w:bottom w:val="nil"/>
              <w:right w:val="nil"/>
            </w:tcBorders>
            <w:shd w:val="clear" w:color="auto" w:fill="auto"/>
            <w:vAlign w:val="center"/>
            <w:hideMark/>
          </w:tcPr>
          <w:p w14:paraId="3BB60197" w14:textId="77777777" w:rsidR="00862A01" w:rsidRPr="00872D7E" w:rsidRDefault="00862A01" w:rsidP="00862A01">
            <w:pPr>
              <w:ind w:firstLineChars="200" w:firstLine="360"/>
              <w:rPr>
                <w:color w:val="000000"/>
                <w:sz w:val="18"/>
                <w:szCs w:val="18"/>
              </w:rPr>
            </w:pPr>
            <w:r w:rsidRPr="00872D7E">
              <w:rPr>
                <w:color w:val="000000"/>
                <w:sz w:val="18"/>
                <w:szCs w:val="18"/>
              </w:rPr>
              <w:t>Tüketici Kredileri</w:t>
            </w:r>
          </w:p>
        </w:tc>
        <w:tc>
          <w:tcPr>
            <w:tcW w:w="757" w:type="pct"/>
            <w:tcBorders>
              <w:top w:val="nil"/>
              <w:left w:val="nil"/>
              <w:bottom w:val="nil"/>
              <w:right w:val="nil"/>
            </w:tcBorders>
            <w:shd w:val="clear" w:color="auto" w:fill="auto"/>
            <w:vAlign w:val="center"/>
            <w:hideMark/>
          </w:tcPr>
          <w:p w14:paraId="5067CE2E" w14:textId="77777777" w:rsidR="00862A01" w:rsidRPr="00872D7E" w:rsidRDefault="00862A01" w:rsidP="00862A01">
            <w:pPr>
              <w:ind w:firstLineChars="200" w:firstLine="360"/>
              <w:jc w:val="right"/>
              <w:rPr>
                <w:color w:val="000000"/>
                <w:sz w:val="18"/>
                <w:szCs w:val="18"/>
              </w:rPr>
            </w:pPr>
            <w:r w:rsidRPr="00872D7E">
              <w:rPr>
                <w:color w:val="000000"/>
                <w:sz w:val="18"/>
                <w:szCs w:val="18"/>
              </w:rPr>
              <w:t>876</w:t>
            </w:r>
          </w:p>
        </w:tc>
        <w:tc>
          <w:tcPr>
            <w:tcW w:w="1047" w:type="pct"/>
            <w:tcBorders>
              <w:top w:val="nil"/>
              <w:left w:val="nil"/>
              <w:bottom w:val="nil"/>
              <w:right w:val="nil"/>
            </w:tcBorders>
            <w:shd w:val="clear" w:color="auto" w:fill="auto"/>
            <w:vAlign w:val="center"/>
            <w:hideMark/>
          </w:tcPr>
          <w:p w14:paraId="395D978C" w14:textId="77777777" w:rsidR="00862A01" w:rsidRPr="00872D7E" w:rsidRDefault="00862A01" w:rsidP="00862A01">
            <w:pPr>
              <w:jc w:val="right"/>
              <w:rPr>
                <w:color w:val="000000"/>
                <w:sz w:val="18"/>
                <w:szCs w:val="18"/>
              </w:rPr>
            </w:pPr>
            <w:r w:rsidRPr="00872D7E">
              <w:rPr>
                <w:sz w:val="18"/>
                <w:szCs w:val="18"/>
              </w:rPr>
              <w:t>-</w:t>
            </w:r>
          </w:p>
        </w:tc>
        <w:tc>
          <w:tcPr>
            <w:tcW w:w="1017" w:type="pct"/>
            <w:tcBorders>
              <w:top w:val="nil"/>
              <w:left w:val="nil"/>
              <w:bottom w:val="nil"/>
              <w:right w:val="nil"/>
            </w:tcBorders>
            <w:shd w:val="clear" w:color="auto" w:fill="auto"/>
            <w:vAlign w:val="center"/>
            <w:hideMark/>
          </w:tcPr>
          <w:p w14:paraId="568BB1B8" w14:textId="77777777" w:rsidR="00862A01" w:rsidRPr="00872D7E" w:rsidRDefault="00862A01" w:rsidP="00862A01">
            <w:pPr>
              <w:jc w:val="right"/>
              <w:rPr>
                <w:color w:val="000000"/>
                <w:sz w:val="18"/>
                <w:szCs w:val="18"/>
              </w:rPr>
            </w:pPr>
            <w:r w:rsidRPr="00872D7E">
              <w:rPr>
                <w:sz w:val="18"/>
                <w:szCs w:val="18"/>
              </w:rPr>
              <w:t>-</w:t>
            </w:r>
          </w:p>
        </w:tc>
        <w:tc>
          <w:tcPr>
            <w:tcW w:w="950" w:type="pct"/>
            <w:tcBorders>
              <w:top w:val="nil"/>
              <w:left w:val="nil"/>
              <w:bottom w:val="nil"/>
              <w:right w:val="nil"/>
            </w:tcBorders>
            <w:shd w:val="clear" w:color="auto" w:fill="auto"/>
            <w:vAlign w:val="center"/>
            <w:hideMark/>
          </w:tcPr>
          <w:p w14:paraId="482DD435" w14:textId="77777777" w:rsidR="00862A01" w:rsidRPr="00872D7E" w:rsidRDefault="00862A01" w:rsidP="00862A01">
            <w:pPr>
              <w:jc w:val="right"/>
              <w:rPr>
                <w:color w:val="000000"/>
                <w:sz w:val="18"/>
                <w:szCs w:val="18"/>
              </w:rPr>
            </w:pPr>
            <w:r w:rsidRPr="00872D7E">
              <w:rPr>
                <w:sz w:val="18"/>
                <w:szCs w:val="18"/>
              </w:rPr>
              <w:t>-</w:t>
            </w:r>
          </w:p>
        </w:tc>
      </w:tr>
      <w:tr w:rsidR="00862A01" w:rsidRPr="00872D7E" w14:paraId="0C2A888B" w14:textId="77777777" w:rsidTr="00862A01">
        <w:trPr>
          <w:divId w:val="705183897"/>
          <w:trHeight w:val="170"/>
        </w:trPr>
        <w:tc>
          <w:tcPr>
            <w:tcW w:w="1229" w:type="pct"/>
            <w:tcBorders>
              <w:top w:val="nil"/>
              <w:left w:val="nil"/>
              <w:bottom w:val="nil"/>
              <w:right w:val="nil"/>
            </w:tcBorders>
            <w:shd w:val="clear" w:color="auto" w:fill="auto"/>
            <w:vAlign w:val="center"/>
            <w:hideMark/>
          </w:tcPr>
          <w:p w14:paraId="35C0F792" w14:textId="77777777" w:rsidR="00862A01" w:rsidRPr="00872D7E" w:rsidRDefault="00862A01" w:rsidP="00862A01">
            <w:pPr>
              <w:ind w:firstLineChars="200" w:firstLine="360"/>
              <w:rPr>
                <w:color w:val="000000"/>
                <w:sz w:val="18"/>
                <w:szCs w:val="18"/>
              </w:rPr>
            </w:pPr>
            <w:r w:rsidRPr="00872D7E">
              <w:rPr>
                <w:color w:val="000000"/>
                <w:sz w:val="18"/>
                <w:szCs w:val="18"/>
              </w:rPr>
              <w:t>Kredi Kartları</w:t>
            </w:r>
          </w:p>
        </w:tc>
        <w:tc>
          <w:tcPr>
            <w:tcW w:w="757" w:type="pct"/>
            <w:tcBorders>
              <w:top w:val="nil"/>
              <w:left w:val="nil"/>
              <w:bottom w:val="nil"/>
              <w:right w:val="nil"/>
            </w:tcBorders>
            <w:shd w:val="clear" w:color="auto" w:fill="auto"/>
            <w:vAlign w:val="center"/>
            <w:hideMark/>
          </w:tcPr>
          <w:p w14:paraId="46E67BCC" w14:textId="77777777" w:rsidR="00862A01" w:rsidRPr="00872D7E" w:rsidRDefault="00862A01" w:rsidP="00862A01">
            <w:pPr>
              <w:ind w:firstLineChars="200" w:firstLine="360"/>
              <w:jc w:val="right"/>
              <w:rPr>
                <w:color w:val="000000"/>
                <w:sz w:val="18"/>
                <w:szCs w:val="18"/>
              </w:rPr>
            </w:pPr>
            <w:r w:rsidRPr="00872D7E">
              <w:rPr>
                <w:color w:val="000000"/>
                <w:sz w:val="18"/>
                <w:szCs w:val="18"/>
              </w:rPr>
              <w:t>-</w:t>
            </w:r>
          </w:p>
        </w:tc>
        <w:tc>
          <w:tcPr>
            <w:tcW w:w="1047" w:type="pct"/>
            <w:tcBorders>
              <w:top w:val="nil"/>
              <w:left w:val="nil"/>
              <w:bottom w:val="nil"/>
              <w:right w:val="nil"/>
            </w:tcBorders>
            <w:shd w:val="clear" w:color="auto" w:fill="auto"/>
            <w:vAlign w:val="center"/>
            <w:hideMark/>
          </w:tcPr>
          <w:p w14:paraId="13282032" w14:textId="77777777" w:rsidR="00862A01" w:rsidRPr="00872D7E" w:rsidRDefault="00862A01" w:rsidP="00862A01">
            <w:pPr>
              <w:jc w:val="right"/>
              <w:rPr>
                <w:color w:val="000000"/>
                <w:sz w:val="18"/>
                <w:szCs w:val="18"/>
              </w:rPr>
            </w:pPr>
            <w:r w:rsidRPr="00872D7E">
              <w:rPr>
                <w:sz w:val="18"/>
                <w:szCs w:val="18"/>
              </w:rPr>
              <w:t>-</w:t>
            </w:r>
          </w:p>
        </w:tc>
        <w:tc>
          <w:tcPr>
            <w:tcW w:w="1017" w:type="pct"/>
            <w:tcBorders>
              <w:top w:val="nil"/>
              <w:left w:val="nil"/>
              <w:bottom w:val="nil"/>
              <w:right w:val="nil"/>
            </w:tcBorders>
            <w:shd w:val="clear" w:color="auto" w:fill="auto"/>
            <w:vAlign w:val="center"/>
            <w:hideMark/>
          </w:tcPr>
          <w:p w14:paraId="0567E4E6" w14:textId="77777777" w:rsidR="00862A01" w:rsidRPr="00872D7E" w:rsidRDefault="00862A01" w:rsidP="00862A01">
            <w:pPr>
              <w:jc w:val="right"/>
              <w:rPr>
                <w:color w:val="000000"/>
                <w:sz w:val="18"/>
                <w:szCs w:val="18"/>
              </w:rPr>
            </w:pPr>
            <w:r w:rsidRPr="00872D7E">
              <w:rPr>
                <w:sz w:val="18"/>
                <w:szCs w:val="18"/>
              </w:rPr>
              <w:t>-</w:t>
            </w:r>
          </w:p>
        </w:tc>
        <w:tc>
          <w:tcPr>
            <w:tcW w:w="950" w:type="pct"/>
            <w:tcBorders>
              <w:top w:val="nil"/>
              <w:left w:val="nil"/>
              <w:bottom w:val="nil"/>
              <w:right w:val="nil"/>
            </w:tcBorders>
            <w:shd w:val="clear" w:color="auto" w:fill="auto"/>
            <w:vAlign w:val="center"/>
            <w:hideMark/>
          </w:tcPr>
          <w:p w14:paraId="7DC51103" w14:textId="77777777" w:rsidR="00862A01" w:rsidRPr="00872D7E" w:rsidRDefault="00862A01" w:rsidP="00862A01">
            <w:pPr>
              <w:jc w:val="right"/>
              <w:rPr>
                <w:color w:val="000000"/>
                <w:sz w:val="18"/>
                <w:szCs w:val="18"/>
              </w:rPr>
            </w:pPr>
            <w:r w:rsidRPr="00872D7E">
              <w:rPr>
                <w:sz w:val="18"/>
                <w:szCs w:val="18"/>
              </w:rPr>
              <w:t>-</w:t>
            </w:r>
          </w:p>
        </w:tc>
      </w:tr>
      <w:tr w:rsidR="00862A01" w:rsidRPr="00872D7E" w14:paraId="314B346C" w14:textId="77777777" w:rsidTr="00862A01">
        <w:trPr>
          <w:divId w:val="705183897"/>
          <w:trHeight w:val="170"/>
        </w:trPr>
        <w:tc>
          <w:tcPr>
            <w:tcW w:w="1229" w:type="pct"/>
            <w:tcBorders>
              <w:top w:val="nil"/>
              <w:left w:val="nil"/>
              <w:bottom w:val="nil"/>
              <w:right w:val="nil"/>
            </w:tcBorders>
            <w:shd w:val="clear" w:color="auto" w:fill="auto"/>
            <w:vAlign w:val="center"/>
            <w:hideMark/>
          </w:tcPr>
          <w:p w14:paraId="56C4F810" w14:textId="77777777" w:rsidR="00862A01" w:rsidRPr="00872D7E" w:rsidRDefault="00862A01" w:rsidP="00862A01">
            <w:pPr>
              <w:ind w:left="641" w:hanging="283"/>
              <w:rPr>
                <w:sz w:val="18"/>
                <w:szCs w:val="18"/>
              </w:rPr>
            </w:pPr>
            <w:r w:rsidRPr="00872D7E">
              <w:rPr>
                <w:sz w:val="18"/>
                <w:szCs w:val="18"/>
              </w:rPr>
              <w:t>Mali Kesime Verilen Krediler</w:t>
            </w:r>
          </w:p>
        </w:tc>
        <w:tc>
          <w:tcPr>
            <w:tcW w:w="757" w:type="pct"/>
            <w:tcBorders>
              <w:top w:val="nil"/>
              <w:left w:val="nil"/>
              <w:bottom w:val="nil"/>
              <w:right w:val="nil"/>
            </w:tcBorders>
            <w:shd w:val="clear" w:color="auto" w:fill="auto"/>
            <w:vAlign w:val="center"/>
            <w:hideMark/>
          </w:tcPr>
          <w:p w14:paraId="5D6D6729" w14:textId="77777777" w:rsidR="00862A01" w:rsidRPr="00872D7E" w:rsidRDefault="00862A01" w:rsidP="00862A01">
            <w:pPr>
              <w:ind w:firstLineChars="200" w:firstLine="360"/>
              <w:jc w:val="right"/>
              <w:rPr>
                <w:color w:val="000000"/>
                <w:sz w:val="18"/>
                <w:szCs w:val="18"/>
              </w:rPr>
            </w:pPr>
            <w:r w:rsidRPr="00872D7E">
              <w:rPr>
                <w:color w:val="000000"/>
                <w:sz w:val="18"/>
                <w:szCs w:val="18"/>
              </w:rPr>
              <w:t>4.061.952</w:t>
            </w:r>
          </w:p>
        </w:tc>
        <w:tc>
          <w:tcPr>
            <w:tcW w:w="1047" w:type="pct"/>
            <w:tcBorders>
              <w:top w:val="nil"/>
              <w:left w:val="nil"/>
              <w:bottom w:val="nil"/>
              <w:right w:val="nil"/>
            </w:tcBorders>
            <w:shd w:val="clear" w:color="auto" w:fill="auto"/>
            <w:vAlign w:val="center"/>
            <w:hideMark/>
          </w:tcPr>
          <w:p w14:paraId="491B7892" w14:textId="77777777" w:rsidR="00862A01" w:rsidRPr="00872D7E" w:rsidRDefault="00862A01" w:rsidP="00862A01">
            <w:pPr>
              <w:jc w:val="right"/>
              <w:rPr>
                <w:color w:val="000000"/>
                <w:sz w:val="18"/>
                <w:szCs w:val="18"/>
              </w:rPr>
            </w:pPr>
            <w:r w:rsidRPr="00872D7E">
              <w:rPr>
                <w:sz w:val="18"/>
                <w:szCs w:val="18"/>
              </w:rPr>
              <w:t>-</w:t>
            </w:r>
          </w:p>
        </w:tc>
        <w:tc>
          <w:tcPr>
            <w:tcW w:w="1017" w:type="pct"/>
            <w:tcBorders>
              <w:top w:val="nil"/>
              <w:left w:val="nil"/>
              <w:bottom w:val="nil"/>
              <w:right w:val="nil"/>
            </w:tcBorders>
            <w:shd w:val="clear" w:color="auto" w:fill="auto"/>
            <w:vAlign w:val="center"/>
            <w:hideMark/>
          </w:tcPr>
          <w:p w14:paraId="3DED495D" w14:textId="77777777" w:rsidR="00862A01" w:rsidRPr="00872D7E" w:rsidRDefault="00862A01" w:rsidP="00862A01">
            <w:pPr>
              <w:jc w:val="right"/>
              <w:rPr>
                <w:color w:val="000000"/>
                <w:sz w:val="18"/>
                <w:szCs w:val="18"/>
              </w:rPr>
            </w:pPr>
            <w:r w:rsidRPr="00872D7E">
              <w:rPr>
                <w:sz w:val="18"/>
                <w:szCs w:val="18"/>
              </w:rPr>
              <w:t>-</w:t>
            </w:r>
          </w:p>
        </w:tc>
        <w:tc>
          <w:tcPr>
            <w:tcW w:w="950" w:type="pct"/>
            <w:tcBorders>
              <w:top w:val="nil"/>
              <w:left w:val="nil"/>
              <w:bottom w:val="nil"/>
              <w:right w:val="nil"/>
            </w:tcBorders>
            <w:shd w:val="clear" w:color="auto" w:fill="auto"/>
            <w:vAlign w:val="center"/>
            <w:hideMark/>
          </w:tcPr>
          <w:p w14:paraId="532443D5" w14:textId="77777777" w:rsidR="00862A01" w:rsidRPr="00872D7E" w:rsidRDefault="00862A01" w:rsidP="00862A01">
            <w:pPr>
              <w:jc w:val="right"/>
              <w:rPr>
                <w:color w:val="000000"/>
                <w:sz w:val="18"/>
                <w:szCs w:val="18"/>
              </w:rPr>
            </w:pPr>
            <w:r w:rsidRPr="00872D7E">
              <w:rPr>
                <w:sz w:val="18"/>
                <w:szCs w:val="18"/>
              </w:rPr>
              <w:t>-</w:t>
            </w:r>
          </w:p>
        </w:tc>
      </w:tr>
      <w:tr w:rsidR="00862A01" w:rsidRPr="00872D7E" w14:paraId="175CBB9B" w14:textId="77777777" w:rsidTr="00862A01">
        <w:trPr>
          <w:divId w:val="705183897"/>
          <w:trHeight w:val="170"/>
        </w:trPr>
        <w:tc>
          <w:tcPr>
            <w:tcW w:w="1229" w:type="pct"/>
            <w:tcBorders>
              <w:top w:val="nil"/>
              <w:left w:val="nil"/>
              <w:bottom w:val="nil"/>
              <w:right w:val="nil"/>
            </w:tcBorders>
            <w:shd w:val="clear" w:color="auto" w:fill="auto"/>
            <w:vAlign w:val="center"/>
            <w:hideMark/>
          </w:tcPr>
          <w:p w14:paraId="2D26D83F" w14:textId="77777777" w:rsidR="00862A01" w:rsidRPr="00872D7E" w:rsidRDefault="00862A01" w:rsidP="00862A01">
            <w:pPr>
              <w:ind w:firstLineChars="200" w:firstLine="360"/>
              <w:rPr>
                <w:color w:val="000000"/>
                <w:sz w:val="18"/>
                <w:szCs w:val="18"/>
                <w:vertAlign w:val="superscript"/>
              </w:rPr>
            </w:pPr>
            <w:r w:rsidRPr="00872D7E">
              <w:rPr>
                <w:color w:val="000000"/>
                <w:sz w:val="18"/>
                <w:szCs w:val="18"/>
              </w:rPr>
              <w:t>Diğer</w:t>
            </w:r>
          </w:p>
        </w:tc>
        <w:tc>
          <w:tcPr>
            <w:tcW w:w="757" w:type="pct"/>
            <w:tcBorders>
              <w:top w:val="nil"/>
              <w:left w:val="nil"/>
              <w:bottom w:val="nil"/>
              <w:right w:val="nil"/>
            </w:tcBorders>
            <w:shd w:val="clear" w:color="auto" w:fill="auto"/>
            <w:vAlign w:val="center"/>
            <w:hideMark/>
          </w:tcPr>
          <w:p w14:paraId="4642A787" w14:textId="77777777" w:rsidR="00862A01" w:rsidRPr="00872D7E" w:rsidRDefault="00862A01" w:rsidP="00862A01">
            <w:pPr>
              <w:ind w:firstLineChars="200" w:firstLine="360"/>
              <w:jc w:val="right"/>
              <w:rPr>
                <w:color w:val="000000"/>
                <w:sz w:val="18"/>
                <w:szCs w:val="18"/>
              </w:rPr>
            </w:pPr>
            <w:r w:rsidRPr="00872D7E">
              <w:rPr>
                <w:color w:val="000000"/>
                <w:sz w:val="18"/>
                <w:szCs w:val="18"/>
              </w:rPr>
              <w:t>2.245.464</w:t>
            </w:r>
          </w:p>
        </w:tc>
        <w:tc>
          <w:tcPr>
            <w:tcW w:w="1047" w:type="pct"/>
            <w:tcBorders>
              <w:top w:val="nil"/>
              <w:left w:val="nil"/>
              <w:bottom w:val="nil"/>
              <w:right w:val="nil"/>
            </w:tcBorders>
            <w:shd w:val="clear" w:color="auto" w:fill="auto"/>
            <w:vAlign w:val="center"/>
            <w:hideMark/>
          </w:tcPr>
          <w:p w14:paraId="0621BA31" w14:textId="77777777" w:rsidR="00862A01" w:rsidRPr="00872D7E" w:rsidRDefault="00862A01" w:rsidP="00862A01">
            <w:pPr>
              <w:jc w:val="right"/>
              <w:rPr>
                <w:color w:val="000000"/>
                <w:sz w:val="18"/>
                <w:szCs w:val="18"/>
              </w:rPr>
            </w:pPr>
            <w:r w:rsidRPr="00872D7E">
              <w:rPr>
                <w:sz w:val="18"/>
                <w:szCs w:val="18"/>
              </w:rPr>
              <w:t>-</w:t>
            </w:r>
          </w:p>
        </w:tc>
        <w:tc>
          <w:tcPr>
            <w:tcW w:w="1017" w:type="pct"/>
            <w:tcBorders>
              <w:top w:val="nil"/>
              <w:left w:val="nil"/>
              <w:bottom w:val="nil"/>
              <w:right w:val="nil"/>
            </w:tcBorders>
            <w:shd w:val="clear" w:color="auto" w:fill="auto"/>
            <w:vAlign w:val="center"/>
            <w:hideMark/>
          </w:tcPr>
          <w:p w14:paraId="56F09C9A" w14:textId="77777777" w:rsidR="00862A01" w:rsidRPr="00872D7E" w:rsidRDefault="00862A01" w:rsidP="00862A01">
            <w:pPr>
              <w:jc w:val="right"/>
              <w:rPr>
                <w:color w:val="000000"/>
                <w:sz w:val="18"/>
                <w:szCs w:val="18"/>
              </w:rPr>
            </w:pPr>
            <w:r w:rsidRPr="00872D7E">
              <w:rPr>
                <w:sz w:val="18"/>
                <w:szCs w:val="18"/>
              </w:rPr>
              <w:t>-</w:t>
            </w:r>
          </w:p>
        </w:tc>
        <w:tc>
          <w:tcPr>
            <w:tcW w:w="950" w:type="pct"/>
            <w:tcBorders>
              <w:top w:val="nil"/>
              <w:left w:val="nil"/>
              <w:bottom w:val="nil"/>
              <w:right w:val="nil"/>
            </w:tcBorders>
            <w:shd w:val="clear" w:color="auto" w:fill="auto"/>
            <w:vAlign w:val="center"/>
            <w:hideMark/>
          </w:tcPr>
          <w:p w14:paraId="67B49FA0" w14:textId="77777777" w:rsidR="00862A01" w:rsidRPr="00872D7E" w:rsidRDefault="00862A01" w:rsidP="00862A01">
            <w:pPr>
              <w:jc w:val="right"/>
              <w:rPr>
                <w:color w:val="000000"/>
                <w:sz w:val="18"/>
                <w:szCs w:val="18"/>
              </w:rPr>
            </w:pPr>
            <w:r w:rsidRPr="00872D7E">
              <w:rPr>
                <w:sz w:val="18"/>
                <w:szCs w:val="18"/>
              </w:rPr>
              <w:t>-</w:t>
            </w:r>
          </w:p>
        </w:tc>
      </w:tr>
      <w:tr w:rsidR="00862A01" w:rsidRPr="00872D7E" w14:paraId="0B7C81E6" w14:textId="77777777" w:rsidTr="00862A01">
        <w:trPr>
          <w:divId w:val="705183897"/>
          <w:trHeight w:val="170"/>
        </w:trPr>
        <w:tc>
          <w:tcPr>
            <w:tcW w:w="1229" w:type="pct"/>
            <w:tcBorders>
              <w:top w:val="nil"/>
              <w:left w:val="nil"/>
              <w:bottom w:val="single" w:sz="4" w:space="0" w:color="auto"/>
              <w:right w:val="nil"/>
            </w:tcBorders>
            <w:shd w:val="clear" w:color="auto" w:fill="auto"/>
            <w:vAlign w:val="center"/>
            <w:hideMark/>
          </w:tcPr>
          <w:p w14:paraId="5B95F429" w14:textId="77777777" w:rsidR="00862A01" w:rsidRPr="00872D7E" w:rsidRDefault="00862A01" w:rsidP="00862A01">
            <w:pPr>
              <w:rPr>
                <w:color w:val="000000"/>
                <w:sz w:val="18"/>
                <w:szCs w:val="18"/>
              </w:rPr>
            </w:pPr>
            <w:r w:rsidRPr="00872D7E">
              <w:rPr>
                <w:color w:val="000000"/>
                <w:sz w:val="18"/>
                <w:szCs w:val="18"/>
              </w:rPr>
              <w:t>Diğer Alacaklar</w:t>
            </w:r>
          </w:p>
        </w:tc>
        <w:tc>
          <w:tcPr>
            <w:tcW w:w="757" w:type="pct"/>
            <w:tcBorders>
              <w:top w:val="nil"/>
              <w:left w:val="nil"/>
              <w:bottom w:val="single" w:sz="4" w:space="0" w:color="auto"/>
              <w:right w:val="nil"/>
            </w:tcBorders>
            <w:shd w:val="clear" w:color="auto" w:fill="auto"/>
            <w:vAlign w:val="center"/>
            <w:hideMark/>
          </w:tcPr>
          <w:p w14:paraId="22C4B458" w14:textId="77777777" w:rsidR="00862A01" w:rsidRPr="00872D7E" w:rsidRDefault="00862A01" w:rsidP="00862A01">
            <w:pPr>
              <w:jc w:val="right"/>
              <w:rPr>
                <w:color w:val="000000"/>
                <w:sz w:val="18"/>
                <w:szCs w:val="18"/>
              </w:rPr>
            </w:pPr>
            <w:r w:rsidRPr="00872D7E">
              <w:rPr>
                <w:color w:val="000000"/>
                <w:sz w:val="18"/>
                <w:szCs w:val="18"/>
              </w:rPr>
              <w:t>-</w:t>
            </w:r>
          </w:p>
        </w:tc>
        <w:tc>
          <w:tcPr>
            <w:tcW w:w="1047" w:type="pct"/>
            <w:tcBorders>
              <w:top w:val="nil"/>
              <w:left w:val="nil"/>
              <w:bottom w:val="single" w:sz="4" w:space="0" w:color="auto"/>
              <w:right w:val="nil"/>
            </w:tcBorders>
            <w:shd w:val="clear" w:color="auto" w:fill="auto"/>
            <w:vAlign w:val="center"/>
            <w:hideMark/>
          </w:tcPr>
          <w:p w14:paraId="6F475993" w14:textId="77777777" w:rsidR="00862A01" w:rsidRPr="00872D7E" w:rsidRDefault="00862A01" w:rsidP="00862A01">
            <w:pPr>
              <w:jc w:val="right"/>
              <w:rPr>
                <w:color w:val="000000"/>
                <w:sz w:val="18"/>
                <w:szCs w:val="18"/>
              </w:rPr>
            </w:pPr>
            <w:r w:rsidRPr="00872D7E">
              <w:rPr>
                <w:color w:val="000000"/>
                <w:sz w:val="18"/>
                <w:szCs w:val="18"/>
              </w:rPr>
              <w:t>-</w:t>
            </w:r>
          </w:p>
        </w:tc>
        <w:tc>
          <w:tcPr>
            <w:tcW w:w="1017" w:type="pct"/>
            <w:tcBorders>
              <w:top w:val="nil"/>
              <w:left w:val="nil"/>
              <w:bottom w:val="single" w:sz="4" w:space="0" w:color="auto"/>
              <w:right w:val="nil"/>
            </w:tcBorders>
            <w:shd w:val="clear" w:color="auto" w:fill="auto"/>
            <w:vAlign w:val="center"/>
            <w:hideMark/>
          </w:tcPr>
          <w:p w14:paraId="1F4452CB" w14:textId="77777777" w:rsidR="00862A01" w:rsidRPr="00872D7E" w:rsidRDefault="00862A01" w:rsidP="00862A01">
            <w:pPr>
              <w:jc w:val="right"/>
              <w:rPr>
                <w:color w:val="000000"/>
                <w:sz w:val="18"/>
                <w:szCs w:val="18"/>
              </w:rPr>
            </w:pPr>
            <w:r w:rsidRPr="00872D7E">
              <w:rPr>
                <w:color w:val="000000"/>
                <w:sz w:val="18"/>
                <w:szCs w:val="18"/>
              </w:rPr>
              <w:t>-</w:t>
            </w:r>
          </w:p>
        </w:tc>
        <w:tc>
          <w:tcPr>
            <w:tcW w:w="950" w:type="pct"/>
            <w:tcBorders>
              <w:top w:val="nil"/>
              <w:left w:val="nil"/>
              <w:bottom w:val="single" w:sz="4" w:space="0" w:color="auto"/>
              <w:right w:val="nil"/>
            </w:tcBorders>
            <w:shd w:val="clear" w:color="auto" w:fill="auto"/>
            <w:vAlign w:val="center"/>
            <w:hideMark/>
          </w:tcPr>
          <w:p w14:paraId="1B28E8ED"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45853264" w14:textId="77777777" w:rsidTr="00862A01">
        <w:trPr>
          <w:divId w:val="705183897"/>
          <w:trHeight w:val="170"/>
        </w:trPr>
        <w:tc>
          <w:tcPr>
            <w:tcW w:w="1229" w:type="pct"/>
            <w:tcBorders>
              <w:top w:val="nil"/>
              <w:left w:val="nil"/>
              <w:right w:val="nil"/>
            </w:tcBorders>
            <w:shd w:val="clear" w:color="auto" w:fill="auto"/>
            <w:vAlign w:val="center"/>
            <w:hideMark/>
          </w:tcPr>
          <w:p w14:paraId="42901811" w14:textId="77777777" w:rsidR="00862A01" w:rsidRPr="00872D7E" w:rsidRDefault="00862A01" w:rsidP="00862A01">
            <w:pPr>
              <w:jc w:val="right"/>
              <w:rPr>
                <w:color w:val="000000"/>
                <w:sz w:val="18"/>
                <w:szCs w:val="18"/>
              </w:rPr>
            </w:pPr>
          </w:p>
        </w:tc>
        <w:tc>
          <w:tcPr>
            <w:tcW w:w="757" w:type="pct"/>
            <w:tcBorders>
              <w:top w:val="nil"/>
              <w:left w:val="nil"/>
              <w:right w:val="nil"/>
            </w:tcBorders>
            <w:shd w:val="clear" w:color="auto" w:fill="auto"/>
            <w:vAlign w:val="center"/>
            <w:hideMark/>
          </w:tcPr>
          <w:p w14:paraId="2CF810E7" w14:textId="77777777" w:rsidR="00862A01" w:rsidRPr="00872D7E" w:rsidRDefault="00862A01" w:rsidP="00862A01">
            <w:pPr>
              <w:jc w:val="right"/>
              <w:rPr>
                <w:sz w:val="18"/>
                <w:szCs w:val="18"/>
              </w:rPr>
            </w:pPr>
          </w:p>
        </w:tc>
        <w:tc>
          <w:tcPr>
            <w:tcW w:w="1047" w:type="pct"/>
            <w:tcBorders>
              <w:top w:val="nil"/>
              <w:left w:val="nil"/>
              <w:right w:val="nil"/>
            </w:tcBorders>
            <w:shd w:val="clear" w:color="auto" w:fill="auto"/>
            <w:vAlign w:val="center"/>
            <w:hideMark/>
          </w:tcPr>
          <w:p w14:paraId="43AD47C2" w14:textId="77777777" w:rsidR="00862A01" w:rsidRPr="00872D7E" w:rsidRDefault="00862A01" w:rsidP="00862A01">
            <w:pPr>
              <w:jc w:val="right"/>
              <w:rPr>
                <w:sz w:val="18"/>
                <w:szCs w:val="18"/>
              </w:rPr>
            </w:pPr>
          </w:p>
        </w:tc>
        <w:tc>
          <w:tcPr>
            <w:tcW w:w="1017" w:type="pct"/>
            <w:tcBorders>
              <w:top w:val="nil"/>
              <w:left w:val="nil"/>
              <w:right w:val="nil"/>
            </w:tcBorders>
            <w:shd w:val="clear" w:color="auto" w:fill="auto"/>
            <w:vAlign w:val="center"/>
            <w:hideMark/>
          </w:tcPr>
          <w:p w14:paraId="69A6AF25" w14:textId="77777777" w:rsidR="00862A01" w:rsidRPr="00872D7E" w:rsidRDefault="00862A01" w:rsidP="00862A01">
            <w:pPr>
              <w:jc w:val="right"/>
              <w:rPr>
                <w:sz w:val="18"/>
                <w:szCs w:val="18"/>
              </w:rPr>
            </w:pPr>
          </w:p>
        </w:tc>
        <w:tc>
          <w:tcPr>
            <w:tcW w:w="950" w:type="pct"/>
            <w:tcBorders>
              <w:top w:val="nil"/>
              <w:left w:val="nil"/>
              <w:right w:val="nil"/>
            </w:tcBorders>
            <w:shd w:val="clear" w:color="auto" w:fill="auto"/>
            <w:vAlign w:val="center"/>
            <w:hideMark/>
          </w:tcPr>
          <w:p w14:paraId="3A9A1E32" w14:textId="77777777" w:rsidR="00862A01" w:rsidRPr="00872D7E" w:rsidRDefault="00862A01" w:rsidP="00862A01">
            <w:pPr>
              <w:jc w:val="right"/>
              <w:rPr>
                <w:sz w:val="18"/>
                <w:szCs w:val="18"/>
              </w:rPr>
            </w:pPr>
          </w:p>
        </w:tc>
      </w:tr>
      <w:tr w:rsidR="00862A01" w:rsidRPr="00872D7E" w14:paraId="352B8E67" w14:textId="77777777" w:rsidTr="00862A01">
        <w:trPr>
          <w:divId w:val="705183897"/>
          <w:trHeight w:val="170"/>
        </w:trPr>
        <w:tc>
          <w:tcPr>
            <w:tcW w:w="1229" w:type="pct"/>
            <w:tcBorders>
              <w:top w:val="nil"/>
              <w:left w:val="nil"/>
              <w:bottom w:val="single" w:sz="12" w:space="0" w:color="auto"/>
              <w:right w:val="nil"/>
            </w:tcBorders>
            <w:shd w:val="clear" w:color="auto" w:fill="auto"/>
            <w:vAlign w:val="center"/>
            <w:hideMark/>
          </w:tcPr>
          <w:p w14:paraId="21EAF215" w14:textId="77777777" w:rsidR="00862A01" w:rsidRPr="00872D7E" w:rsidRDefault="00862A01" w:rsidP="00862A01">
            <w:pPr>
              <w:rPr>
                <w:b/>
                <w:bCs/>
                <w:color w:val="000000"/>
                <w:sz w:val="18"/>
                <w:szCs w:val="18"/>
              </w:rPr>
            </w:pPr>
            <w:r w:rsidRPr="00872D7E">
              <w:rPr>
                <w:b/>
                <w:bCs/>
                <w:color w:val="000000"/>
                <w:sz w:val="18"/>
                <w:szCs w:val="18"/>
              </w:rPr>
              <w:t xml:space="preserve">Toplam </w:t>
            </w:r>
          </w:p>
        </w:tc>
        <w:tc>
          <w:tcPr>
            <w:tcW w:w="757" w:type="pct"/>
            <w:tcBorders>
              <w:top w:val="nil"/>
              <w:left w:val="nil"/>
              <w:bottom w:val="single" w:sz="12" w:space="0" w:color="auto"/>
              <w:right w:val="nil"/>
            </w:tcBorders>
            <w:shd w:val="clear" w:color="auto" w:fill="auto"/>
            <w:vAlign w:val="center"/>
            <w:hideMark/>
          </w:tcPr>
          <w:p w14:paraId="4D55DB9B" w14:textId="77777777" w:rsidR="00862A01" w:rsidRPr="00872D7E" w:rsidRDefault="00862A01" w:rsidP="00862A01">
            <w:pPr>
              <w:jc w:val="right"/>
              <w:rPr>
                <w:b/>
                <w:bCs/>
                <w:color w:val="000000"/>
                <w:sz w:val="18"/>
                <w:szCs w:val="18"/>
              </w:rPr>
            </w:pPr>
            <w:r w:rsidRPr="00872D7E">
              <w:rPr>
                <w:b/>
                <w:bCs/>
                <w:color w:val="000000"/>
                <w:sz w:val="18"/>
                <w:szCs w:val="18"/>
              </w:rPr>
              <w:t>23.029.459</w:t>
            </w:r>
          </w:p>
        </w:tc>
        <w:tc>
          <w:tcPr>
            <w:tcW w:w="1047" w:type="pct"/>
            <w:tcBorders>
              <w:top w:val="nil"/>
              <w:left w:val="nil"/>
              <w:bottom w:val="single" w:sz="12" w:space="0" w:color="auto"/>
              <w:right w:val="nil"/>
            </w:tcBorders>
            <w:shd w:val="clear" w:color="auto" w:fill="auto"/>
            <w:vAlign w:val="center"/>
            <w:hideMark/>
          </w:tcPr>
          <w:p w14:paraId="71D6AA30"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1017" w:type="pct"/>
            <w:tcBorders>
              <w:top w:val="nil"/>
              <w:left w:val="nil"/>
              <w:bottom w:val="single" w:sz="12" w:space="0" w:color="auto"/>
              <w:right w:val="nil"/>
            </w:tcBorders>
            <w:shd w:val="clear" w:color="auto" w:fill="auto"/>
            <w:vAlign w:val="center"/>
            <w:hideMark/>
          </w:tcPr>
          <w:p w14:paraId="534BEE52"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950" w:type="pct"/>
            <w:tcBorders>
              <w:top w:val="nil"/>
              <w:left w:val="nil"/>
              <w:bottom w:val="single" w:sz="12" w:space="0" w:color="auto"/>
              <w:right w:val="nil"/>
            </w:tcBorders>
            <w:shd w:val="clear" w:color="auto" w:fill="auto"/>
            <w:vAlign w:val="center"/>
            <w:hideMark/>
          </w:tcPr>
          <w:p w14:paraId="2302956F" w14:textId="77777777" w:rsidR="00862A01" w:rsidRPr="00872D7E" w:rsidRDefault="00862A01" w:rsidP="00862A01">
            <w:pPr>
              <w:jc w:val="right"/>
              <w:rPr>
                <w:b/>
                <w:bCs/>
                <w:color w:val="000000"/>
                <w:sz w:val="18"/>
                <w:szCs w:val="18"/>
              </w:rPr>
            </w:pPr>
            <w:r w:rsidRPr="00872D7E">
              <w:rPr>
                <w:b/>
                <w:bCs/>
                <w:color w:val="000000"/>
                <w:sz w:val="18"/>
                <w:szCs w:val="18"/>
              </w:rPr>
              <w:t>-</w:t>
            </w:r>
          </w:p>
        </w:tc>
      </w:tr>
    </w:tbl>
    <w:p w14:paraId="7BDB19B2" w14:textId="2018AE24" w:rsidR="008E26A1" w:rsidRPr="00872D7E" w:rsidRDefault="008E26A1" w:rsidP="00AE0899">
      <w:pPr>
        <w:widowControl w:val="0"/>
        <w:ind w:right="187"/>
        <w:jc w:val="both"/>
        <w:rPr>
          <w:szCs w:val="20"/>
        </w:rPr>
      </w:pPr>
    </w:p>
    <w:p w14:paraId="14B0474D" w14:textId="562E1A76" w:rsidR="00B932F1" w:rsidRPr="00872D7E" w:rsidRDefault="00B932F1" w:rsidP="00551066">
      <w:pPr>
        <w:pStyle w:val="BodyTextIndent"/>
        <w:widowControl w:val="0"/>
        <w:ind w:firstLine="0"/>
        <w:rPr>
          <w:szCs w:val="20"/>
        </w:rPr>
      </w:pPr>
      <w:r w:rsidRPr="00872D7E">
        <w:rPr>
          <w:szCs w:val="20"/>
        </w:rPr>
        <w:t>1 Ocak 2024 tarihi itibarıyla Banka’nın kredisi bulunmamaktadır.</w:t>
      </w:r>
    </w:p>
    <w:p w14:paraId="24626059" w14:textId="77777777" w:rsidR="00AE0899" w:rsidRPr="00872D7E" w:rsidRDefault="00AE0899" w:rsidP="00AE0899">
      <w:pPr>
        <w:widowControl w:val="0"/>
        <w:ind w:left="851"/>
        <w:jc w:val="both"/>
        <w:rPr>
          <w:szCs w:val="20"/>
        </w:rPr>
      </w:pPr>
    </w:p>
    <w:p w14:paraId="53EB8E27" w14:textId="77777777" w:rsidR="00894C14" w:rsidRPr="00872D7E" w:rsidRDefault="00894C14" w:rsidP="000B0EE6">
      <w:pPr>
        <w:pStyle w:val="BodyTextIndent"/>
        <w:widowControl w:val="0"/>
        <w:numPr>
          <w:ilvl w:val="0"/>
          <w:numId w:val="6"/>
        </w:numPr>
        <w:tabs>
          <w:tab w:val="clear" w:pos="540"/>
        </w:tabs>
        <w:ind w:left="567" w:hanging="567"/>
        <w:rPr>
          <w:b/>
          <w:szCs w:val="20"/>
        </w:rPr>
      </w:pPr>
      <w:r w:rsidRPr="00872D7E">
        <w:rPr>
          <w:b/>
          <w:szCs w:val="20"/>
        </w:rPr>
        <w:t>Vade yapısına göre nakdi kredilerin dağılımı:</w:t>
      </w:r>
    </w:p>
    <w:p w14:paraId="0EB955F2" w14:textId="77777777" w:rsidR="00894C14" w:rsidRPr="00872D7E" w:rsidRDefault="00894C14" w:rsidP="00894C14"/>
    <w:tbl>
      <w:tblPr>
        <w:tblW w:w="5000" w:type="pct"/>
        <w:tblCellMar>
          <w:left w:w="0" w:type="dxa"/>
          <w:right w:w="0" w:type="dxa"/>
        </w:tblCellMar>
        <w:tblLook w:val="0000" w:firstRow="0" w:lastRow="0" w:firstColumn="0" w:lastColumn="0" w:noHBand="0" w:noVBand="0"/>
      </w:tblPr>
      <w:tblGrid>
        <w:gridCol w:w="2546"/>
        <w:gridCol w:w="1845"/>
        <w:gridCol w:w="2979"/>
        <w:gridCol w:w="1985"/>
      </w:tblGrid>
      <w:tr w:rsidR="00894C14" w:rsidRPr="00872D7E" w14:paraId="17D69D60" w14:textId="77777777" w:rsidTr="00336F42">
        <w:trPr>
          <w:trHeight w:val="186"/>
        </w:trPr>
        <w:tc>
          <w:tcPr>
            <w:tcW w:w="1361" w:type="pct"/>
            <w:vMerge w:val="restart"/>
            <w:tcBorders>
              <w:top w:val="single" w:sz="4" w:space="0" w:color="auto"/>
            </w:tcBorders>
          </w:tcPr>
          <w:p w14:paraId="7722EE57" w14:textId="77777777" w:rsidR="00894C14" w:rsidRPr="00872D7E" w:rsidRDefault="00894C14" w:rsidP="00336F42">
            <w:pPr>
              <w:autoSpaceDE w:val="0"/>
              <w:autoSpaceDN w:val="0"/>
              <w:adjustRightInd w:val="0"/>
              <w:rPr>
                <w:rFonts w:eastAsia="Arial Unicode MS"/>
                <w:sz w:val="18"/>
                <w:szCs w:val="18"/>
              </w:rPr>
            </w:pPr>
            <w:bookmarkStart w:id="69" w:name="_Hlk189572280"/>
          </w:p>
          <w:p w14:paraId="121E801C" w14:textId="77777777" w:rsidR="00894C14" w:rsidRPr="00872D7E" w:rsidRDefault="00894C14" w:rsidP="00336F42">
            <w:pPr>
              <w:autoSpaceDE w:val="0"/>
              <w:autoSpaceDN w:val="0"/>
              <w:adjustRightInd w:val="0"/>
              <w:rPr>
                <w:rFonts w:eastAsia="Arial Unicode MS"/>
                <w:b/>
                <w:sz w:val="18"/>
                <w:szCs w:val="18"/>
              </w:rPr>
            </w:pPr>
            <w:r w:rsidRPr="00872D7E">
              <w:rPr>
                <w:rFonts w:eastAsia="Arial Unicode MS"/>
                <w:b/>
                <w:sz w:val="18"/>
                <w:szCs w:val="18"/>
              </w:rPr>
              <w:t>Nakdi krediler</w:t>
            </w:r>
          </w:p>
          <w:p w14:paraId="3725796E" w14:textId="77777777" w:rsidR="00894C14" w:rsidRPr="00872D7E" w:rsidRDefault="00894C14" w:rsidP="00336F42">
            <w:pPr>
              <w:autoSpaceDE w:val="0"/>
              <w:autoSpaceDN w:val="0"/>
              <w:adjustRightInd w:val="0"/>
              <w:rPr>
                <w:rFonts w:eastAsia="Arial Unicode MS"/>
                <w:sz w:val="18"/>
                <w:szCs w:val="18"/>
              </w:rPr>
            </w:pPr>
            <w:r w:rsidRPr="00872D7E">
              <w:rPr>
                <w:rFonts w:eastAsia="Arial Unicode MS"/>
                <w:b/>
                <w:sz w:val="18"/>
                <w:szCs w:val="18"/>
              </w:rPr>
              <w:t>31 Aralık 2024</w:t>
            </w:r>
          </w:p>
        </w:tc>
        <w:tc>
          <w:tcPr>
            <w:tcW w:w="986" w:type="pct"/>
            <w:vMerge w:val="restart"/>
            <w:tcBorders>
              <w:top w:val="single" w:sz="4" w:space="0" w:color="auto"/>
            </w:tcBorders>
            <w:vAlign w:val="center"/>
          </w:tcPr>
          <w:p w14:paraId="33B040D6" w14:textId="77777777" w:rsidR="00894C14" w:rsidRPr="00872D7E" w:rsidRDefault="00894C14" w:rsidP="00336F42">
            <w:pPr>
              <w:autoSpaceDE w:val="0"/>
              <w:autoSpaceDN w:val="0"/>
              <w:adjustRightInd w:val="0"/>
              <w:jc w:val="center"/>
              <w:rPr>
                <w:rFonts w:eastAsia="Arial Unicode MS"/>
                <w:b/>
                <w:sz w:val="18"/>
                <w:szCs w:val="18"/>
              </w:rPr>
            </w:pPr>
            <w:r w:rsidRPr="00872D7E">
              <w:rPr>
                <w:rFonts w:eastAsia="Arial Unicode MS"/>
                <w:b/>
                <w:sz w:val="18"/>
                <w:szCs w:val="18"/>
              </w:rPr>
              <w:t>Standart nitelikli krediler</w:t>
            </w:r>
          </w:p>
        </w:tc>
        <w:tc>
          <w:tcPr>
            <w:tcW w:w="2653" w:type="pct"/>
            <w:gridSpan w:val="2"/>
            <w:tcBorders>
              <w:top w:val="single" w:sz="4" w:space="0" w:color="auto"/>
              <w:bottom w:val="single" w:sz="4" w:space="0" w:color="auto"/>
            </w:tcBorders>
          </w:tcPr>
          <w:p w14:paraId="0BB41D59" w14:textId="77777777" w:rsidR="00894C14" w:rsidRPr="00872D7E" w:rsidRDefault="00894C14" w:rsidP="00336F42">
            <w:pPr>
              <w:autoSpaceDE w:val="0"/>
              <w:autoSpaceDN w:val="0"/>
              <w:adjustRightInd w:val="0"/>
              <w:jc w:val="center"/>
              <w:rPr>
                <w:rFonts w:eastAsia="Arial Unicode MS"/>
                <w:b/>
                <w:sz w:val="18"/>
                <w:szCs w:val="18"/>
              </w:rPr>
            </w:pPr>
            <w:r w:rsidRPr="00872D7E">
              <w:rPr>
                <w:rFonts w:eastAsia="Arial Unicode MS"/>
                <w:b/>
                <w:sz w:val="18"/>
                <w:szCs w:val="18"/>
              </w:rPr>
              <w:t>Yakın izlemedeki krediler</w:t>
            </w:r>
          </w:p>
        </w:tc>
      </w:tr>
      <w:tr w:rsidR="00894C14" w:rsidRPr="00872D7E" w14:paraId="3AD6BC73" w14:textId="77777777" w:rsidTr="00336F42">
        <w:trPr>
          <w:trHeight w:val="401"/>
        </w:trPr>
        <w:tc>
          <w:tcPr>
            <w:tcW w:w="1361" w:type="pct"/>
            <w:vMerge/>
            <w:tcBorders>
              <w:bottom w:val="single" w:sz="4" w:space="0" w:color="auto"/>
            </w:tcBorders>
          </w:tcPr>
          <w:p w14:paraId="1F602EA3" w14:textId="77777777" w:rsidR="00894C14" w:rsidRPr="00872D7E" w:rsidRDefault="00894C14" w:rsidP="00336F42">
            <w:pPr>
              <w:autoSpaceDE w:val="0"/>
              <w:autoSpaceDN w:val="0"/>
              <w:adjustRightInd w:val="0"/>
              <w:rPr>
                <w:rFonts w:eastAsia="Arial Unicode MS"/>
                <w:sz w:val="18"/>
                <w:szCs w:val="18"/>
              </w:rPr>
            </w:pPr>
          </w:p>
        </w:tc>
        <w:tc>
          <w:tcPr>
            <w:tcW w:w="986" w:type="pct"/>
            <w:vMerge/>
            <w:tcBorders>
              <w:bottom w:val="single" w:sz="4" w:space="0" w:color="auto"/>
            </w:tcBorders>
            <w:vAlign w:val="bottom"/>
          </w:tcPr>
          <w:p w14:paraId="47E9F6FC" w14:textId="77777777" w:rsidR="00894C14" w:rsidRPr="00872D7E" w:rsidRDefault="00894C14" w:rsidP="00336F42">
            <w:pPr>
              <w:autoSpaceDE w:val="0"/>
              <w:autoSpaceDN w:val="0"/>
              <w:adjustRightInd w:val="0"/>
              <w:ind w:right="120"/>
              <w:jc w:val="right"/>
              <w:rPr>
                <w:rFonts w:eastAsia="Arial Unicode MS"/>
                <w:b/>
                <w:sz w:val="18"/>
                <w:szCs w:val="18"/>
              </w:rPr>
            </w:pPr>
          </w:p>
        </w:tc>
        <w:tc>
          <w:tcPr>
            <w:tcW w:w="1592" w:type="pct"/>
            <w:tcBorders>
              <w:top w:val="single" w:sz="4" w:space="0" w:color="auto"/>
              <w:bottom w:val="single" w:sz="4" w:space="0" w:color="auto"/>
            </w:tcBorders>
            <w:vAlign w:val="bottom"/>
          </w:tcPr>
          <w:p w14:paraId="75B4FE3B" w14:textId="77777777" w:rsidR="00894C14" w:rsidRPr="00872D7E" w:rsidRDefault="00894C14" w:rsidP="00336F42">
            <w:pPr>
              <w:autoSpaceDE w:val="0"/>
              <w:autoSpaceDN w:val="0"/>
              <w:adjustRightInd w:val="0"/>
              <w:ind w:right="120"/>
              <w:jc w:val="right"/>
              <w:rPr>
                <w:rFonts w:eastAsia="Arial Unicode MS"/>
                <w:b/>
                <w:sz w:val="18"/>
                <w:szCs w:val="18"/>
              </w:rPr>
            </w:pPr>
            <w:r w:rsidRPr="00872D7E">
              <w:rPr>
                <w:rFonts w:eastAsia="Arial Unicode MS"/>
                <w:b/>
                <w:sz w:val="18"/>
                <w:szCs w:val="18"/>
              </w:rPr>
              <w:t>Yeniden Yapılandırma Kapsamında Yer Almayanlar</w:t>
            </w:r>
          </w:p>
        </w:tc>
        <w:tc>
          <w:tcPr>
            <w:tcW w:w="1061" w:type="pct"/>
            <w:tcBorders>
              <w:top w:val="single" w:sz="4" w:space="0" w:color="auto"/>
              <w:bottom w:val="single" w:sz="4" w:space="0" w:color="auto"/>
            </w:tcBorders>
            <w:vAlign w:val="bottom"/>
          </w:tcPr>
          <w:p w14:paraId="3B8A11B9" w14:textId="77777777" w:rsidR="00894C14" w:rsidRPr="00872D7E" w:rsidRDefault="00894C14" w:rsidP="00336F42">
            <w:pPr>
              <w:autoSpaceDE w:val="0"/>
              <w:autoSpaceDN w:val="0"/>
              <w:adjustRightInd w:val="0"/>
              <w:ind w:right="120"/>
              <w:jc w:val="right"/>
              <w:rPr>
                <w:rFonts w:eastAsia="Arial Unicode MS"/>
                <w:b/>
                <w:sz w:val="18"/>
                <w:szCs w:val="18"/>
              </w:rPr>
            </w:pPr>
            <w:r w:rsidRPr="00872D7E">
              <w:rPr>
                <w:rFonts w:eastAsia="Arial Unicode MS"/>
                <w:b/>
                <w:sz w:val="18"/>
                <w:szCs w:val="18"/>
              </w:rPr>
              <w:t>Yeniden Yapılandırılanlar</w:t>
            </w:r>
          </w:p>
        </w:tc>
      </w:tr>
      <w:tr w:rsidR="00894C14" w:rsidRPr="00872D7E" w14:paraId="0C3004AF" w14:textId="77777777" w:rsidTr="00336F42">
        <w:trPr>
          <w:trHeight w:val="113"/>
        </w:trPr>
        <w:tc>
          <w:tcPr>
            <w:tcW w:w="1361" w:type="pct"/>
            <w:tcBorders>
              <w:top w:val="single" w:sz="4" w:space="0" w:color="auto"/>
            </w:tcBorders>
            <w:shd w:val="clear" w:color="auto" w:fill="auto"/>
          </w:tcPr>
          <w:p w14:paraId="5B08643D" w14:textId="77777777" w:rsidR="00894C14" w:rsidRPr="00872D7E" w:rsidRDefault="00894C14" w:rsidP="00336F42">
            <w:pPr>
              <w:autoSpaceDE w:val="0"/>
              <w:autoSpaceDN w:val="0"/>
              <w:adjustRightInd w:val="0"/>
              <w:rPr>
                <w:rFonts w:eastAsia="Arial Unicode MS"/>
                <w:sz w:val="18"/>
                <w:szCs w:val="18"/>
              </w:rPr>
            </w:pPr>
          </w:p>
        </w:tc>
        <w:tc>
          <w:tcPr>
            <w:tcW w:w="986" w:type="pct"/>
            <w:tcBorders>
              <w:top w:val="single" w:sz="4" w:space="0" w:color="auto"/>
            </w:tcBorders>
            <w:shd w:val="clear" w:color="auto" w:fill="auto"/>
          </w:tcPr>
          <w:p w14:paraId="6BFA578B" w14:textId="77777777" w:rsidR="00894C14" w:rsidRPr="00872D7E" w:rsidRDefault="00894C14" w:rsidP="00336F42">
            <w:pPr>
              <w:autoSpaceDE w:val="0"/>
              <w:autoSpaceDN w:val="0"/>
              <w:adjustRightInd w:val="0"/>
              <w:ind w:right="120"/>
              <w:jc w:val="right"/>
              <w:rPr>
                <w:rFonts w:eastAsia="Arial Unicode MS"/>
                <w:sz w:val="18"/>
                <w:szCs w:val="18"/>
              </w:rPr>
            </w:pPr>
          </w:p>
        </w:tc>
        <w:tc>
          <w:tcPr>
            <w:tcW w:w="1592" w:type="pct"/>
            <w:tcBorders>
              <w:top w:val="single" w:sz="4" w:space="0" w:color="auto"/>
            </w:tcBorders>
            <w:shd w:val="clear" w:color="auto" w:fill="auto"/>
          </w:tcPr>
          <w:p w14:paraId="7DFD5219" w14:textId="77777777" w:rsidR="00894C14" w:rsidRPr="00872D7E" w:rsidRDefault="00894C14" w:rsidP="00336F42">
            <w:pPr>
              <w:autoSpaceDE w:val="0"/>
              <w:autoSpaceDN w:val="0"/>
              <w:adjustRightInd w:val="0"/>
              <w:ind w:right="120"/>
              <w:jc w:val="right"/>
              <w:rPr>
                <w:rFonts w:eastAsia="Arial Unicode MS"/>
                <w:sz w:val="18"/>
                <w:szCs w:val="18"/>
              </w:rPr>
            </w:pPr>
          </w:p>
        </w:tc>
        <w:tc>
          <w:tcPr>
            <w:tcW w:w="1061" w:type="pct"/>
            <w:tcBorders>
              <w:top w:val="single" w:sz="4" w:space="0" w:color="auto"/>
            </w:tcBorders>
            <w:shd w:val="clear" w:color="auto" w:fill="auto"/>
          </w:tcPr>
          <w:p w14:paraId="7A438AC8" w14:textId="77777777" w:rsidR="00894C14" w:rsidRPr="00872D7E" w:rsidRDefault="00894C14" w:rsidP="00336F42">
            <w:pPr>
              <w:autoSpaceDE w:val="0"/>
              <w:autoSpaceDN w:val="0"/>
              <w:adjustRightInd w:val="0"/>
              <w:ind w:right="120"/>
              <w:jc w:val="right"/>
              <w:rPr>
                <w:rFonts w:eastAsia="Arial Unicode MS"/>
                <w:sz w:val="18"/>
                <w:szCs w:val="18"/>
              </w:rPr>
            </w:pPr>
          </w:p>
        </w:tc>
      </w:tr>
      <w:tr w:rsidR="00894C14" w:rsidRPr="00872D7E" w14:paraId="6789DDBD" w14:textId="77777777" w:rsidTr="00336F42">
        <w:trPr>
          <w:trHeight w:val="113"/>
        </w:trPr>
        <w:tc>
          <w:tcPr>
            <w:tcW w:w="1361" w:type="pct"/>
            <w:shd w:val="clear" w:color="auto" w:fill="auto"/>
          </w:tcPr>
          <w:p w14:paraId="293061F3" w14:textId="77777777" w:rsidR="00894C14" w:rsidRPr="00872D7E" w:rsidRDefault="00894C14" w:rsidP="00336F42">
            <w:pPr>
              <w:autoSpaceDE w:val="0"/>
              <w:autoSpaceDN w:val="0"/>
              <w:adjustRightInd w:val="0"/>
              <w:rPr>
                <w:rFonts w:eastAsia="Arial Unicode MS"/>
                <w:sz w:val="18"/>
                <w:szCs w:val="18"/>
              </w:rPr>
            </w:pPr>
            <w:r w:rsidRPr="00872D7E">
              <w:rPr>
                <w:rFonts w:eastAsia="Arial Unicode MS"/>
                <w:sz w:val="18"/>
                <w:szCs w:val="18"/>
              </w:rPr>
              <w:t xml:space="preserve">Kısa vadeli krediler </w:t>
            </w:r>
          </w:p>
        </w:tc>
        <w:tc>
          <w:tcPr>
            <w:tcW w:w="986" w:type="pct"/>
            <w:shd w:val="clear" w:color="auto" w:fill="auto"/>
          </w:tcPr>
          <w:p w14:paraId="402A7FD8" w14:textId="77777777" w:rsidR="00894C14" w:rsidRPr="00872D7E" w:rsidRDefault="00894C14" w:rsidP="00336F42">
            <w:pPr>
              <w:ind w:right="113"/>
              <w:jc w:val="right"/>
              <w:rPr>
                <w:sz w:val="18"/>
                <w:szCs w:val="18"/>
              </w:rPr>
            </w:pPr>
            <w:r w:rsidRPr="00872D7E">
              <w:rPr>
                <w:sz w:val="18"/>
                <w:szCs w:val="18"/>
              </w:rPr>
              <w:t>17.547.714</w:t>
            </w:r>
          </w:p>
        </w:tc>
        <w:tc>
          <w:tcPr>
            <w:tcW w:w="1592" w:type="pct"/>
            <w:tcBorders>
              <w:left w:val="nil"/>
            </w:tcBorders>
            <w:shd w:val="clear" w:color="auto" w:fill="auto"/>
            <w:vAlign w:val="bottom"/>
          </w:tcPr>
          <w:p w14:paraId="39774FC5" w14:textId="77777777" w:rsidR="00894C14" w:rsidRPr="00872D7E" w:rsidRDefault="00894C14" w:rsidP="00336F42">
            <w:pPr>
              <w:ind w:right="113"/>
              <w:jc w:val="right"/>
              <w:rPr>
                <w:sz w:val="18"/>
                <w:szCs w:val="18"/>
              </w:rPr>
            </w:pPr>
            <w:r w:rsidRPr="00872D7E">
              <w:rPr>
                <w:sz w:val="18"/>
                <w:szCs w:val="18"/>
              </w:rPr>
              <w:t>-</w:t>
            </w:r>
          </w:p>
        </w:tc>
        <w:tc>
          <w:tcPr>
            <w:tcW w:w="1061" w:type="pct"/>
            <w:shd w:val="clear" w:color="auto" w:fill="auto"/>
            <w:vAlign w:val="bottom"/>
          </w:tcPr>
          <w:p w14:paraId="313C0B4A" w14:textId="77777777" w:rsidR="00894C14" w:rsidRPr="00872D7E" w:rsidRDefault="00894C14" w:rsidP="00336F42">
            <w:pPr>
              <w:ind w:right="113"/>
              <w:jc w:val="right"/>
              <w:rPr>
                <w:sz w:val="18"/>
                <w:szCs w:val="18"/>
              </w:rPr>
            </w:pPr>
            <w:r w:rsidRPr="00872D7E">
              <w:rPr>
                <w:sz w:val="18"/>
                <w:szCs w:val="18"/>
              </w:rPr>
              <w:t>-</w:t>
            </w:r>
          </w:p>
        </w:tc>
      </w:tr>
      <w:tr w:rsidR="00894C14" w:rsidRPr="00872D7E" w14:paraId="0CFA05BB" w14:textId="77777777" w:rsidTr="00336F42">
        <w:trPr>
          <w:trHeight w:val="113"/>
        </w:trPr>
        <w:tc>
          <w:tcPr>
            <w:tcW w:w="1361" w:type="pct"/>
            <w:shd w:val="clear" w:color="auto" w:fill="auto"/>
          </w:tcPr>
          <w:p w14:paraId="2F0C7CEB" w14:textId="77777777" w:rsidR="00894C14" w:rsidRPr="00872D7E" w:rsidRDefault="00894C14" w:rsidP="00336F42">
            <w:pPr>
              <w:autoSpaceDE w:val="0"/>
              <w:autoSpaceDN w:val="0"/>
              <w:adjustRightInd w:val="0"/>
              <w:rPr>
                <w:rFonts w:eastAsia="Arial Unicode MS"/>
                <w:sz w:val="18"/>
                <w:szCs w:val="18"/>
              </w:rPr>
            </w:pPr>
            <w:r w:rsidRPr="00872D7E">
              <w:rPr>
                <w:rFonts w:eastAsia="Arial Unicode MS"/>
                <w:sz w:val="18"/>
                <w:szCs w:val="18"/>
              </w:rPr>
              <w:t xml:space="preserve">Orta ve uzun vadeli krediler </w:t>
            </w:r>
            <w:r w:rsidRPr="00872D7E">
              <w:rPr>
                <w:rFonts w:eastAsia="Arial Unicode MS"/>
                <w:sz w:val="18"/>
                <w:szCs w:val="18"/>
                <w:vertAlign w:val="superscript"/>
              </w:rPr>
              <w:t>(*)</w:t>
            </w:r>
          </w:p>
        </w:tc>
        <w:tc>
          <w:tcPr>
            <w:tcW w:w="986" w:type="pct"/>
            <w:tcBorders>
              <w:top w:val="nil"/>
            </w:tcBorders>
            <w:shd w:val="clear" w:color="auto" w:fill="auto"/>
          </w:tcPr>
          <w:p w14:paraId="0D21145F" w14:textId="77777777" w:rsidR="00894C14" w:rsidRPr="00872D7E" w:rsidRDefault="00894C14" w:rsidP="00336F42">
            <w:pPr>
              <w:ind w:right="113"/>
              <w:jc w:val="right"/>
              <w:rPr>
                <w:sz w:val="18"/>
                <w:szCs w:val="18"/>
              </w:rPr>
            </w:pPr>
            <w:r w:rsidRPr="00872D7E">
              <w:rPr>
                <w:sz w:val="18"/>
                <w:szCs w:val="18"/>
              </w:rPr>
              <w:t>5.481.745</w:t>
            </w:r>
          </w:p>
        </w:tc>
        <w:tc>
          <w:tcPr>
            <w:tcW w:w="1592" w:type="pct"/>
            <w:tcBorders>
              <w:left w:val="nil"/>
            </w:tcBorders>
            <w:shd w:val="clear" w:color="auto" w:fill="auto"/>
            <w:vAlign w:val="bottom"/>
          </w:tcPr>
          <w:p w14:paraId="4917418D" w14:textId="77777777" w:rsidR="00894C14" w:rsidRPr="00872D7E" w:rsidRDefault="00894C14" w:rsidP="00336F42">
            <w:pPr>
              <w:ind w:right="113"/>
              <w:jc w:val="right"/>
              <w:rPr>
                <w:sz w:val="18"/>
                <w:szCs w:val="18"/>
              </w:rPr>
            </w:pPr>
            <w:r w:rsidRPr="00872D7E">
              <w:rPr>
                <w:sz w:val="18"/>
                <w:szCs w:val="18"/>
              </w:rPr>
              <w:t>-</w:t>
            </w:r>
          </w:p>
        </w:tc>
        <w:tc>
          <w:tcPr>
            <w:tcW w:w="1061" w:type="pct"/>
            <w:shd w:val="clear" w:color="auto" w:fill="auto"/>
            <w:vAlign w:val="bottom"/>
          </w:tcPr>
          <w:p w14:paraId="1C3A8B2D" w14:textId="77777777" w:rsidR="00894C14" w:rsidRPr="00872D7E" w:rsidRDefault="00894C14" w:rsidP="00336F42">
            <w:pPr>
              <w:ind w:right="113"/>
              <w:jc w:val="right"/>
              <w:rPr>
                <w:sz w:val="18"/>
                <w:szCs w:val="18"/>
              </w:rPr>
            </w:pPr>
            <w:r w:rsidRPr="00872D7E">
              <w:rPr>
                <w:sz w:val="18"/>
                <w:szCs w:val="18"/>
              </w:rPr>
              <w:t>-</w:t>
            </w:r>
          </w:p>
        </w:tc>
      </w:tr>
      <w:tr w:rsidR="00894C14" w:rsidRPr="00872D7E" w14:paraId="1777C73F" w14:textId="77777777" w:rsidTr="00CC21B9">
        <w:trPr>
          <w:trHeight w:hRule="exact" w:val="213"/>
        </w:trPr>
        <w:tc>
          <w:tcPr>
            <w:tcW w:w="1361" w:type="pct"/>
            <w:tcBorders>
              <w:bottom w:val="single" w:sz="4" w:space="0" w:color="auto"/>
            </w:tcBorders>
            <w:shd w:val="clear" w:color="auto" w:fill="auto"/>
          </w:tcPr>
          <w:p w14:paraId="6EBA9C3D" w14:textId="77777777" w:rsidR="00894C14" w:rsidRPr="00872D7E" w:rsidRDefault="00894C14" w:rsidP="00336F42">
            <w:pPr>
              <w:autoSpaceDE w:val="0"/>
              <w:autoSpaceDN w:val="0"/>
              <w:adjustRightInd w:val="0"/>
              <w:ind w:left="180"/>
              <w:rPr>
                <w:rFonts w:eastAsia="Arial Unicode MS"/>
                <w:sz w:val="18"/>
                <w:szCs w:val="18"/>
              </w:rPr>
            </w:pPr>
          </w:p>
        </w:tc>
        <w:tc>
          <w:tcPr>
            <w:tcW w:w="986" w:type="pct"/>
            <w:tcBorders>
              <w:bottom w:val="single" w:sz="4" w:space="0" w:color="auto"/>
            </w:tcBorders>
            <w:shd w:val="clear" w:color="auto" w:fill="auto"/>
          </w:tcPr>
          <w:p w14:paraId="0808D10A" w14:textId="77777777" w:rsidR="00894C14" w:rsidRPr="00872D7E" w:rsidRDefault="00894C14" w:rsidP="00336F42">
            <w:pPr>
              <w:ind w:right="113"/>
              <w:jc w:val="right"/>
              <w:rPr>
                <w:b/>
                <w:sz w:val="18"/>
                <w:szCs w:val="18"/>
              </w:rPr>
            </w:pPr>
          </w:p>
        </w:tc>
        <w:tc>
          <w:tcPr>
            <w:tcW w:w="1592" w:type="pct"/>
            <w:tcBorders>
              <w:bottom w:val="single" w:sz="4" w:space="0" w:color="auto"/>
            </w:tcBorders>
            <w:shd w:val="clear" w:color="auto" w:fill="auto"/>
            <w:vAlign w:val="bottom"/>
          </w:tcPr>
          <w:p w14:paraId="5548304B" w14:textId="77777777" w:rsidR="00894C14" w:rsidRPr="00872D7E" w:rsidRDefault="00894C14" w:rsidP="00336F42">
            <w:pPr>
              <w:ind w:right="113"/>
              <w:jc w:val="right"/>
              <w:rPr>
                <w:b/>
                <w:sz w:val="18"/>
                <w:szCs w:val="18"/>
              </w:rPr>
            </w:pPr>
          </w:p>
        </w:tc>
        <w:tc>
          <w:tcPr>
            <w:tcW w:w="1061" w:type="pct"/>
            <w:tcBorders>
              <w:bottom w:val="single" w:sz="4" w:space="0" w:color="auto"/>
            </w:tcBorders>
            <w:shd w:val="clear" w:color="auto" w:fill="auto"/>
            <w:vAlign w:val="bottom"/>
          </w:tcPr>
          <w:p w14:paraId="4D7187E9" w14:textId="77777777" w:rsidR="00894C14" w:rsidRPr="00872D7E" w:rsidRDefault="00894C14" w:rsidP="00336F42">
            <w:pPr>
              <w:ind w:right="113"/>
              <w:jc w:val="right"/>
              <w:rPr>
                <w:b/>
                <w:sz w:val="18"/>
                <w:szCs w:val="18"/>
              </w:rPr>
            </w:pPr>
          </w:p>
        </w:tc>
      </w:tr>
      <w:tr w:rsidR="00894C14" w:rsidRPr="00872D7E" w14:paraId="79FD5B17" w14:textId="77777777" w:rsidTr="00CC21B9">
        <w:tc>
          <w:tcPr>
            <w:tcW w:w="1361" w:type="pct"/>
            <w:tcBorders>
              <w:top w:val="single" w:sz="4" w:space="0" w:color="auto"/>
              <w:bottom w:val="single" w:sz="12" w:space="0" w:color="auto"/>
            </w:tcBorders>
            <w:shd w:val="clear" w:color="auto" w:fill="auto"/>
          </w:tcPr>
          <w:p w14:paraId="692367F1" w14:textId="77777777" w:rsidR="00894C14" w:rsidRPr="00872D7E" w:rsidRDefault="00894C14" w:rsidP="00336F42">
            <w:pPr>
              <w:autoSpaceDE w:val="0"/>
              <w:autoSpaceDN w:val="0"/>
              <w:adjustRightInd w:val="0"/>
              <w:rPr>
                <w:rFonts w:eastAsia="Arial Unicode MS"/>
                <w:b/>
                <w:sz w:val="18"/>
                <w:szCs w:val="18"/>
              </w:rPr>
            </w:pPr>
            <w:r w:rsidRPr="00872D7E">
              <w:rPr>
                <w:rFonts w:eastAsia="Arial Unicode MS"/>
                <w:b/>
                <w:sz w:val="18"/>
                <w:szCs w:val="18"/>
              </w:rPr>
              <w:t>Toplam</w:t>
            </w:r>
          </w:p>
        </w:tc>
        <w:tc>
          <w:tcPr>
            <w:tcW w:w="986" w:type="pct"/>
            <w:tcBorders>
              <w:top w:val="single" w:sz="4" w:space="0" w:color="auto"/>
              <w:bottom w:val="single" w:sz="12" w:space="0" w:color="auto"/>
            </w:tcBorders>
            <w:shd w:val="clear" w:color="auto" w:fill="auto"/>
          </w:tcPr>
          <w:p w14:paraId="0E578143" w14:textId="77777777" w:rsidR="00894C14" w:rsidRPr="00872D7E" w:rsidRDefault="00894C14" w:rsidP="00336F42">
            <w:pPr>
              <w:ind w:right="113"/>
              <w:jc w:val="right"/>
              <w:rPr>
                <w:b/>
                <w:sz w:val="18"/>
                <w:szCs w:val="18"/>
              </w:rPr>
            </w:pPr>
            <w:r w:rsidRPr="00872D7E">
              <w:rPr>
                <w:b/>
                <w:sz w:val="18"/>
                <w:szCs w:val="18"/>
              </w:rPr>
              <w:t>23.029.459</w:t>
            </w:r>
          </w:p>
        </w:tc>
        <w:tc>
          <w:tcPr>
            <w:tcW w:w="1592" w:type="pct"/>
            <w:tcBorders>
              <w:top w:val="single" w:sz="4" w:space="0" w:color="auto"/>
              <w:bottom w:val="single" w:sz="12" w:space="0" w:color="auto"/>
            </w:tcBorders>
            <w:shd w:val="clear" w:color="auto" w:fill="auto"/>
            <w:vAlign w:val="bottom"/>
          </w:tcPr>
          <w:p w14:paraId="4E06B2B8" w14:textId="77777777" w:rsidR="00894C14" w:rsidRPr="00872D7E" w:rsidRDefault="00894C14" w:rsidP="00336F42">
            <w:pPr>
              <w:ind w:right="113"/>
              <w:jc w:val="right"/>
              <w:rPr>
                <w:b/>
                <w:sz w:val="18"/>
                <w:szCs w:val="18"/>
              </w:rPr>
            </w:pPr>
            <w:r w:rsidRPr="00872D7E">
              <w:rPr>
                <w:b/>
                <w:sz w:val="18"/>
                <w:szCs w:val="18"/>
              </w:rPr>
              <w:t>-</w:t>
            </w:r>
          </w:p>
        </w:tc>
        <w:tc>
          <w:tcPr>
            <w:tcW w:w="1061" w:type="pct"/>
            <w:tcBorders>
              <w:top w:val="single" w:sz="4" w:space="0" w:color="auto"/>
              <w:bottom w:val="single" w:sz="12" w:space="0" w:color="auto"/>
            </w:tcBorders>
            <w:shd w:val="clear" w:color="auto" w:fill="auto"/>
            <w:vAlign w:val="bottom"/>
          </w:tcPr>
          <w:p w14:paraId="72030C57" w14:textId="77777777" w:rsidR="00894C14" w:rsidRPr="00872D7E" w:rsidRDefault="00894C14" w:rsidP="00336F42">
            <w:pPr>
              <w:ind w:right="113"/>
              <w:jc w:val="right"/>
              <w:rPr>
                <w:b/>
                <w:sz w:val="18"/>
                <w:szCs w:val="18"/>
              </w:rPr>
            </w:pPr>
            <w:r w:rsidRPr="00872D7E">
              <w:rPr>
                <w:b/>
                <w:sz w:val="18"/>
                <w:szCs w:val="18"/>
              </w:rPr>
              <w:t>-</w:t>
            </w:r>
          </w:p>
        </w:tc>
      </w:tr>
    </w:tbl>
    <w:p w14:paraId="079C7A5E" w14:textId="77777777" w:rsidR="00894C14" w:rsidRPr="00872D7E" w:rsidRDefault="00894C14" w:rsidP="00894C14">
      <w:pPr>
        <w:spacing w:before="120" w:after="120"/>
        <w:ind w:right="-54" w:firstLine="14"/>
        <w:jc w:val="both"/>
        <w:rPr>
          <w:sz w:val="14"/>
          <w:szCs w:val="16"/>
        </w:rPr>
      </w:pPr>
      <w:r w:rsidRPr="00872D7E">
        <w:rPr>
          <w:sz w:val="14"/>
          <w:szCs w:val="16"/>
          <w:vertAlign w:val="superscript"/>
        </w:rPr>
        <w:t xml:space="preserve">(*) </w:t>
      </w:r>
      <w:r w:rsidRPr="00872D7E">
        <w:rPr>
          <w:sz w:val="14"/>
          <w:szCs w:val="16"/>
        </w:rPr>
        <w:t>İlk kullandırıldıkları zaman orijinal vadeleri 1 yılın üzerinde olan krediler “Orta ve uzun vadeli krediler” olarak sınıflandırılmaktadır.</w:t>
      </w:r>
    </w:p>
    <w:p w14:paraId="190F291D" w14:textId="77777777" w:rsidR="00894C14" w:rsidRPr="00872D7E" w:rsidRDefault="00894C14" w:rsidP="00894C14">
      <w:pPr>
        <w:pStyle w:val="BodyTextIndent"/>
        <w:widowControl w:val="0"/>
        <w:ind w:firstLine="0"/>
        <w:rPr>
          <w:szCs w:val="20"/>
        </w:rPr>
      </w:pPr>
      <w:r w:rsidRPr="00872D7E">
        <w:rPr>
          <w:szCs w:val="20"/>
        </w:rPr>
        <w:t>1 Ocak 2024 tarihi itibarıyla Banka’nın kredisi bulunmamaktadır.</w:t>
      </w:r>
    </w:p>
    <w:bookmarkEnd w:id="69"/>
    <w:p w14:paraId="40C705B6" w14:textId="787E3F92" w:rsidR="001664DE" w:rsidRPr="00872D7E" w:rsidRDefault="001664DE">
      <w:pPr>
        <w:rPr>
          <w:b/>
          <w:szCs w:val="20"/>
        </w:rPr>
      </w:pPr>
    </w:p>
    <w:p w14:paraId="4F2F8533" w14:textId="77777777" w:rsidR="007D3087" w:rsidRPr="00872D7E" w:rsidRDefault="007D3087">
      <w:pPr>
        <w:rPr>
          <w:b/>
          <w:szCs w:val="20"/>
        </w:rPr>
      </w:pPr>
      <w:r w:rsidRPr="00872D7E">
        <w:rPr>
          <w:b/>
          <w:szCs w:val="20"/>
        </w:rPr>
        <w:br w:type="page"/>
      </w:r>
    </w:p>
    <w:p w14:paraId="70B324C0" w14:textId="4DE7C2F8" w:rsidR="00A03014" w:rsidRPr="00872D7E" w:rsidRDefault="00A03014" w:rsidP="007D3087">
      <w:pPr>
        <w:rPr>
          <w:b/>
          <w:szCs w:val="20"/>
        </w:rPr>
      </w:pPr>
      <w:r w:rsidRPr="00872D7E">
        <w:rPr>
          <w:b/>
          <w:szCs w:val="20"/>
        </w:rPr>
        <w:lastRenderedPageBreak/>
        <w:t>KONSOLİDE OLMAYAN FİNANSAL TABLOLARA İLİŞKİN AÇIKLAMA VE DİPNOTLAR (Devamı)</w:t>
      </w:r>
    </w:p>
    <w:p w14:paraId="2395CDE4" w14:textId="77777777" w:rsidR="00A03014" w:rsidRPr="00872D7E" w:rsidRDefault="00A03014" w:rsidP="00A03014">
      <w:pPr>
        <w:pStyle w:val="ListParagraph"/>
        <w:widowControl w:val="0"/>
        <w:ind w:left="14" w:right="452"/>
        <w:jc w:val="both"/>
        <w:rPr>
          <w:b/>
          <w:szCs w:val="20"/>
        </w:rPr>
      </w:pPr>
    </w:p>
    <w:p w14:paraId="45086C49" w14:textId="77777777" w:rsidR="00A03014" w:rsidRPr="00872D7E" w:rsidRDefault="00A03014" w:rsidP="00DF282B">
      <w:pPr>
        <w:pStyle w:val="ListParagraph"/>
        <w:widowControl w:val="0"/>
        <w:numPr>
          <w:ilvl w:val="0"/>
          <w:numId w:val="48"/>
        </w:numPr>
        <w:ind w:left="851" w:hanging="851"/>
        <w:jc w:val="both"/>
        <w:rPr>
          <w:b/>
          <w:szCs w:val="20"/>
        </w:rPr>
      </w:pPr>
      <w:r w:rsidRPr="00872D7E">
        <w:rPr>
          <w:b/>
          <w:szCs w:val="20"/>
        </w:rPr>
        <w:t>BİLANÇONUN AKTİF HESAPLARINA İLİŞKİN AÇIKLAMA VE DİPNOTLAR (Devamı)</w:t>
      </w:r>
    </w:p>
    <w:p w14:paraId="6F2EF8CB" w14:textId="77777777" w:rsidR="00A03014" w:rsidRPr="00872D7E" w:rsidRDefault="00A03014" w:rsidP="00A03014">
      <w:pPr>
        <w:pStyle w:val="BodyTextIndent"/>
        <w:widowControl w:val="0"/>
        <w:ind w:firstLine="0"/>
        <w:rPr>
          <w:b/>
          <w:szCs w:val="20"/>
        </w:rPr>
      </w:pPr>
    </w:p>
    <w:p w14:paraId="780B8080" w14:textId="77777777" w:rsidR="00A03014" w:rsidRPr="00872D7E" w:rsidRDefault="00A03014" w:rsidP="00DF282B">
      <w:pPr>
        <w:pStyle w:val="BodyTextIndent"/>
        <w:widowControl w:val="0"/>
        <w:numPr>
          <w:ilvl w:val="0"/>
          <w:numId w:val="49"/>
        </w:numPr>
        <w:tabs>
          <w:tab w:val="clear" w:pos="720"/>
        </w:tabs>
        <w:ind w:left="851" w:hanging="851"/>
        <w:rPr>
          <w:b/>
          <w:szCs w:val="20"/>
        </w:rPr>
      </w:pPr>
      <w:r w:rsidRPr="00872D7E">
        <w:rPr>
          <w:b/>
          <w:szCs w:val="20"/>
        </w:rPr>
        <w:t>Kredilere ilişkin açıklamalar (Devamı)</w:t>
      </w:r>
    </w:p>
    <w:p w14:paraId="17F6C368" w14:textId="77777777" w:rsidR="00A03014" w:rsidRPr="00872D7E" w:rsidRDefault="00A03014">
      <w:pPr>
        <w:rPr>
          <w:b/>
          <w:szCs w:val="20"/>
        </w:rPr>
      </w:pPr>
    </w:p>
    <w:p w14:paraId="2F53F3B6" w14:textId="11D5D72A" w:rsidR="0098050E" w:rsidRPr="00872D7E" w:rsidRDefault="0098050E" w:rsidP="000B0EE6">
      <w:pPr>
        <w:pStyle w:val="BodyTextIndent"/>
        <w:widowControl w:val="0"/>
        <w:numPr>
          <w:ilvl w:val="0"/>
          <w:numId w:val="6"/>
        </w:numPr>
        <w:tabs>
          <w:tab w:val="clear" w:pos="540"/>
        </w:tabs>
        <w:ind w:left="567" w:hanging="567"/>
        <w:rPr>
          <w:b/>
          <w:szCs w:val="20"/>
        </w:rPr>
      </w:pPr>
      <w:r w:rsidRPr="00872D7E">
        <w:rPr>
          <w:b/>
          <w:szCs w:val="20"/>
        </w:rPr>
        <w:t>Tüketici kredileri, bireysel kredi kartları, personel kredileri ve personel kredi kartlarına ilişkin bilgiler:</w:t>
      </w:r>
    </w:p>
    <w:p w14:paraId="7B501BA3" w14:textId="71DC00D4" w:rsidR="00862A01" w:rsidRPr="00872D7E" w:rsidRDefault="00862A01" w:rsidP="00AE0899">
      <w:pPr>
        <w:pStyle w:val="BodyTextIndent"/>
        <w:widowControl w:val="0"/>
        <w:ind w:left="-14" w:right="70" w:hanging="602"/>
        <w:rPr>
          <w:szCs w:val="20"/>
        </w:rPr>
      </w:pPr>
    </w:p>
    <w:tbl>
      <w:tblPr>
        <w:tblW w:w="4966" w:type="pct"/>
        <w:tblCellMar>
          <w:left w:w="70" w:type="dxa"/>
          <w:right w:w="70" w:type="dxa"/>
        </w:tblCellMar>
        <w:tblLook w:val="04A0" w:firstRow="1" w:lastRow="0" w:firstColumn="1" w:lastColumn="0" w:noHBand="0" w:noVBand="1"/>
      </w:tblPr>
      <w:tblGrid>
        <w:gridCol w:w="4895"/>
        <w:gridCol w:w="1397"/>
        <w:gridCol w:w="1624"/>
        <w:gridCol w:w="1375"/>
      </w:tblGrid>
      <w:tr w:rsidR="00862A01" w:rsidRPr="00872D7E" w14:paraId="49F452CE" w14:textId="77777777" w:rsidTr="00862A01">
        <w:trPr>
          <w:divId w:val="1868523990"/>
          <w:trHeight w:val="170"/>
        </w:trPr>
        <w:tc>
          <w:tcPr>
            <w:tcW w:w="2634" w:type="pct"/>
            <w:tcBorders>
              <w:top w:val="nil"/>
              <w:left w:val="nil"/>
              <w:bottom w:val="single" w:sz="4" w:space="0" w:color="auto"/>
              <w:right w:val="nil"/>
            </w:tcBorders>
            <w:shd w:val="clear" w:color="auto" w:fill="auto"/>
            <w:noWrap/>
            <w:vAlign w:val="bottom"/>
            <w:hideMark/>
          </w:tcPr>
          <w:p w14:paraId="62B1CE52" w14:textId="754BE2FE" w:rsidR="00862A01" w:rsidRPr="00872D7E" w:rsidRDefault="00862A01" w:rsidP="00862A01">
            <w:pPr>
              <w:rPr>
                <w:b/>
                <w:bCs/>
                <w:color w:val="000000"/>
                <w:sz w:val="18"/>
                <w:szCs w:val="18"/>
              </w:rPr>
            </w:pPr>
            <w:r w:rsidRPr="00872D7E">
              <w:rPr>
                <w:b/>
                <w:bCs/>
                <w:color w:val="000000"/>
                <w:sz w:val="18"/>
                <w:szCs w:val="18"/>
              </w:rPr>
              <w:t>31 Aralık 2024</w:t>
            </w:r>
          </w:p>
        </w:tc>
        <w:tc>
          <w:tcPr>
            <w:tcW w:w="752" w:type="pct"/>
            <w:tcBorders>
              <w:top w:val="nil"/>
              <w:left w:val="nil"/>
              <w:bottom w:val="single" w:sz="4" w:space="0" w:color="auto"/>
              <w:right w:val="nil"/>
            </w:tcBorders>
            <w:shd w:val="clear" w:color="auto" w:fill="auto"/>
            <w:vAlign w:val="bottom"/>
            <w:hideMark/>
          </w:tcPr>
          <w:p w14:paraId="5A4510EE" w14:textId="77777777" w:rsidR="00862A01" w:rsidRPr="00872D7E" w:rsidRDefault="00862A01" w:rsidP="00862A01">
            <w:pPr>
              <w:jc w:val="right"/>
              <w:rPr>
                <w:b/>
                <w:bCs/>
                <w:color w:val="000000"/>
                <w:sz w:val="18"/>
                <w:szCs w:val="18"/>
              </w:rPr>
            </w:pPr>
            <w:r w:rsidRPr="00872D7E">
              <w:rPr>
                <w:b/>
                <w:bCs/>
                <w:color w:val="000000"/>
                <w:sz w:val="18"/>
                <w:szCs w:val="18"/>
              </w:rPr>
              <w:t>Kısa Vadeli</w:t>
            </w:r>
          </w:p>
        </w:tc>
        <w:tc>
          <w:tcPr>
            <w:tcW w:w="874" w:type="pct"/>
            <w:tcBorders>
              <w:top w:val="nil"/>
              <w:left w:val="nil"/>
              <w:bottom w:val="single" w:sz="4" w:space="0" w:color="auto"/>
              <w:right w:val="nil"/>
            </w:tcBorders>
            <w:shd w:val="clear" w:color="auto" w:fill="auto"/>
            <w:vAlign w:val="bottom"/>
            <w:hideMark/>
          </w:tcPr>
          <w:p w14:paraId="26A75EF1" w14:textId="77777777" w:rsidR="00862A01" w:rsidRPr="00872D7E" w:rsidRDefault="00862A01" w:rsidP="00862A01">
            <w:pPr>
              <w:jc w:val="right"/>
              <w:rPr>
                <w:b/>
                <w:bCs/>
                <w:color w:val="000000"/>
                <w:sz w:val="18"/>
                <w:szCs w:val="18"/>
              </w:rPr>
            </w:pPr>
            <w:r w:rsidRPr="00872D7E">
              <w:rPr>
                <w:b/>
                <w:bCs/>
                <w:color w:val="000000"/>
                <w:sz w:val="18"/>
                <w:szCs w:val="18"/>
              </w:rPr>
              <w:t>Orta ve Uzun Vadeli</w:t>
            </w:r>
          </w:p>
        </w:tc>
        <w:tc>
          <w:tcPr>
            <w:tcW w:w="740" w:type="pct"/>
            <w:tcBorders>
              <w:top w:val="nil"/>
              <w:left w:val="nil"/>
              <w:bottom w:val="single" w:sz="4" w:space="0" w:color="auto"/>
              <w:right w:val="nil"/>
            </w:tcBorders>
            <w:shd w:val="clear" w:color="auto" w:fill="auto"/>
            <w:vAlign w:val="bottom"/>
            <w:hideMark/>
          </w:tcPr>
          <w:p w14:paraId="7DF20D47" w14:textId="77777777" w:rsidR="00862A01" w:rsidRPr="00872D7E" w:rsidRDefault="00862A01" w:rsidP="00862A01">
            <w:pPr>
              <w:jc w:val="right"/>
              <w:rPr>
                <w:b/>
                <w:bCs/>
                <w:color w:val="000000"/>
                <w:sz w:val="18"/>
                <w:szCs w:val="18"/>
              </w:rPr>
            </w:pPr>
            <w:r w:rsidRPr="00872D7E">
              <w:rPr>
                <w:b/>
                <w:bCs/>
                <w:color w:val="000000"/>
                <w:sz w:val="18"/>
                <w:szCs w:val="18"/>
              </w:rPr>
              <w:t>Toplam</w:t>
            </w:r>
          </w:p>
        </w:tc>
      </w:tr>
      <w:tr w:rsidR="00862A01" w:rsidRPr="00872D7E" w14:paraId="4D809D2C" w14:textId="77777777" w:rsidTr="00862A01">
        <w:trPr>
          <w:divId w:val="1868523990"/>
          <w:trHeight w:val="170"/>
        </w:trPr>
        <w:tc>
          <w:tcPr>
            <w:tcW w:w="2634" w:type="pct"/>
            <w:tcBorders>
              <w:top w:val="single" w:sz="4" w:space="0" w:color="auto"/>
              <w:left w:val="nil"/>
              <w:bottom w:val="nil"/>
              <w:right w:val="nil"/>
            </w:tcBorders>
            <w:shd w:val="clear" w:color="auto" w:fill="auto"/>
            <w:noWrap/>
            <w:vAlign w:val="bottom"/>
            <w:hideMark/>
          </w:tcPr>
          <w:p w14:paraId="3D1985F9" w14:textId="77777777" w:rsidR="00862A01" w:rsidRPr="00872D7E" w:rsidRDefault="00862A01" w:rsidP="00862A01">
            <w:pPr>
              <w:jc w:val="right"/>
              <w:rPr>
                <w:b/>
                <w:bCs/>
                <w:color w:val="000000"/>
                <w:sz w:val="18"/>
                <w:szCs w:val="18"/>
              </w:rPr>
            </w:pPr>
          </w:p>
        </w:tc>
        <w:tc>
          <w:tcPr>
            <w:tcW w:w="752" w:type="pct"/>
            <w:tcBorders>
              <w:top w:val="single" w:sz="4" w:space="0" w:color="auto"/>
              <w:left w:val="nil"/>
              <w:bottom w:val="nil"/>
              <w:right w:val="nil"/>
            </w:tcBorders>
            <w:shd w:val="clear" w:color="auto" w:fill="auto"/>
            <w:noWrap/>
            <w:vAlign w:val="bottom"/>
            <w:hideMark/>
          </w:tcPr>
          <w:p w14:paraId="173572D5" w14:textId="77777777" w:rsidR="00862A01" w:rsidRPr="00872D7E" w:rsidRDefault="00862A01" w:rsidP="00862A01">
            <w:pPr>
              <w:jc w:val="both"/>
              <w:rPr>
                <w:sz w:val="18"/>
                <w:szCs w:val="18"/>
              </w:rPr>
            </w:pPr>
          </w:p>
        </w:tc>
        <w:tc>
          <w:tcPr>
            <w:tcW w:w="874" w:type="pct"/>
            <w:tcBorders>
              <w:top w:val="single" w:sz="4" w:space="0" w:color="auto"/>
              <w:left w:val="nil"/>
              <w:bottom w:val="nil"/>
              <w:right w:val="nil"/>
            </w:tcBorders>
            <w:shd w:val="clear" w:color="auto" w:fill="auto"/>
            <w:noWrap/>
            <w:vAlign w:val="bottom"/>
            <w:hideMark/>
          </w:tcPr>
          <w:p w14:paraId="788312E4" w14:textId="77777777" w:rsidR="00862A01" w:rsidRPr="00872D7E" w:rsidRDefault="00862A01" w:rsidP="00862A01">
            <w:pPr>
              <w:jc w:val="right"/>
              <w:rPr>
                <w:sz w:val="18"/>
                <w:szCs w:val="18"/>
              </w:rPr>
            </w:pPr>
          </w:p>
        </w:tc>
        <w:tc>
          <w:tcPr>
            <w:tcW w:w="740" w:type="pct"/>
            <w:tcBorders>
              <w:top w:val="single" w:sz="4" w:space="0" w:color="auto"/>
              <w:left w:val="nil"/>
              <w:bottom w:val="nil"/>
              <w:right w:val="nil"/>
            </w:tcBorders>
            <w:shd w:val="clear" w:color="auto" w:fill="auto"/>
            <w:noWrap/>
            <w:vAlign w:val="bottom"/>
            <w:hideMark/>
          </w:tcPr>
          <w:p w14:paraId="5778B9E6" w14:textId="77777777" w:rsidR="00862A01" w:rsidRPr="00872D7E" w:rsidRDefault="00862A01" w:rsidP="00862A01">
            <w:pPr>
              <w:jc w:val="right"/>
              <w:rPr>
                <w:sz w:val="18"/>
                <w:szCs w:val="18"/>
              </w:rPr>
            </w:pPr>
          </w:p>
        </w:tc>
      </w:tr>
      <w:tr w:rsidR="00862A01" w:rsidRPr="00872D7E" w14:paraId="77200010"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5A1A7B0C" w14:textId="77777777" w:rsidR="00862A01" w:rsidRPr="00872D7E" w:rsidRDefault="00862A01" w:rsidP="00862A01">
            <w:pPr>
              <w:jc w:val="both"/>
              <w:rPr>
                <w:b/>
                <w:bCs/>
                <w:color w:val="000000"/>
                <w:sz w:val="18"/>
                <w:szCs w:val="18"/>
              </w:rPr>
            </w:pPr>
            <w:r w:rsidRPr="00872D7E">
              <w:rPr>
                <w:b/>
                <w:bCs/>
                <w:color w:val="000000"/>
                <w:sz w:val="18"/>
                <w:szCs w:val="18"/>
              </w:rPr>
              <w:t>Tüketici Kredileri-TP</w:t>
            </w:r>
          </w:p>
        </w:tc>
        <w:tc>
          <w:tcPr>
            <w:tcW w:w="752" w:type="pct"/>
            <w:tcBorders>
              <w:top w:val="nil"/>
              <w:left w:val="nil"/>
              <w:bottom w:val="nil"/>
              <w:right w:val="nil"/>
            </w:tcBorders>
            <w:shd w:val="clear" w:color="auto" w:fill="auto"/>
            <w:vAlign w:val="center"/>
            <w:hideMark/>
          </w:tcPr>
          <w:p w14:paraId="44EF61F0" w14:textId="77777777" w:rsidR="00862A01" w:rsidRPr="00872D7E" w:rsidRDefault="00862A01" w:rsidP="00862A01">
            <w:pPr>
              <w:jc w:val="right"/>
              <w:rPr>
                <w:b/>
                <w:bCs/>
                <w:color w:val="000000"/>
                <w:sz w:val="18"/>
                <w:szCs w:val="18"/>
              </w:rPr>
            </w:pPr>
            <w:r w:rsidRPr="00872D7E">
              <w:rPr>
                <w:b/>
                <w:bCs/>
                <w:color w:val="000000"/>
                <w:sz w:val="18"/>
                <w:szCs w:val="18"/>
              </w:rPr>
              <w:t>755</w:t>
            </w:r>
          </w:p>
        </w:tc>
        <w:tc>
          <w:tcPr>
            <w:tcW w:w="874" w:type="pct"/>
            <w:tcBorders>
              <w:top w:val="nil"/>
              <w:left w:val="nil"/>
              <w:bottom w:val="nil"/>
              <w:right w:val="nil"/>
            </w:tcBorders>
            <w:shd w:val="clear" w:color="auto" w:fill="auto"/>
            <w:vAlign w:val="center"/>
            <w:hideMark/>
          </w:tcPr>
          <w:p w14:paraId="2E8D0137" w14:textId="77777777" w:rsidR="00862A01" w:rsidRPr="00872D7E" w:rsidRDefault="00862A01" w:rsidP="00862A01">
            <w:pPr>
              <w:jc w:val="right"/>
              <w:rPr>
                <w:b/>
                <w:bCs/>
                <w:color w:val="000000"/>
                <w:sz w:val="18"/>
                <w:szCs w:val="18"/>
              </w:rPr>
            </w:pPr>
            <w:r w:rsidRPr="00872D7E">
              <w:rPr>
                <w:b/>
                <w:bCs/>
                <w:color w:val="000000"/>
                <w:sz w:val="18"/>
                <w:szCs w:val="18"/>
              </w:rPr>
              <w:t>121</w:t>
            </w:r>
          </w:p>
        </w:tc>
        <w:tc>
          <w:tcPr>
            <w:tcW w:w="740" w:type="pct"/>
            <w:tcBorders>
              <w:top w:val="nil"/>
              <w:left w:val="nil"/>
              <w:bottom w:val="nil"/>
              <w:right w:val="nil"/>
            </w:tcBorders>
            <w:shd w:val="clear" w:color="auto" w:fill="auto"/>
            <w:vAlign w:val="center"/>
            <w:hideMark/>
          </w:tcPr>
          <w:p w14:paraId="72746A54" w14:textId="77777777" w:rsidR="00862A01" w:rsidRPr="00872D7E" w:rsidRDefault="00862A01" w:rsidP="00862A01">
            <w:pPr>
              <w:jc w:val="right"/>
              <w:rPr>
                <w:b/>
                <w:bCs/>
                <w:color w:val="000000"/>
                <w:sz w:val="18"/>
                <w:szCs w:val="18"/>
              </w:rPr>
            </w:pPr>
            <w:r w:rsidRPr="00872D7E">
              <w:rPr>
                <w:b/>
                <w:bCs/>
                <w:color w:val="000000"/>
                <w:sz w:val="18"/>
                <w:szCs w:val="18"/>
              </w:rPr>
              <w:t>876</w:t>
            </w:r>
          </w:p>
        </w:tc>
      </w:tr>
      <w:tr w:rsidR="00862A01" w:rsidRPr="00872D7E" w14:paraId="426BFA12"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21AF6737" w14:textId="77777777" w:rsidR="00862A01" w:rsidRPr="00872D7E" w:rsidRDefault="00862A01" w:rsidP="00862A01">
            <w:pPr>
              <w:jc w:val="both"/>
              <w:rPr>
                <w:color w:val="000000"/>
                <w:sz w:val="18"/>
                <w:szCs w:val="18"/>
              </w:rPr>
            </w:pPr>
            <w:r w:rsidRPr="00872D7E">
              <w:rPr>
                <w:color w:val="000000"/>
                <w:sz w:val="18"/>
                <w:szCs w:val="18"/>
              </w:rPr>
              <w:t>Konut Kredisi</w:t>
            </w:r>
          </w:p>
        </w:tc>
        <w:tc>
          <w:tcPr>
            <w:tcW w:w="752" w:type="pct"/>
            <w:tcBorders>
              <w:top w:val="nil"/>
              <w:left w:val="nil"/>
              <w:bottom w:val="nil"/>
              <w:right w:val="nil"/>
            </w:tcBorders>
            <w:shd w:val="clear" w:color="auto" w:fill="auto"/>
            <w:vAlign w:val="center"/>
            <w:hideMark/>
          </w:tcPr>
          <w:p w14:paraId="61177721"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5C421822"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6EA4C6D0"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649B3208"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43655C94" w14:textId="77777777" w:rsidR="00862A01" w:rsidRPr="00872D7E" w:rsidRDefault="00862A01" w:rsidP="00862A01">
            <w:pPr>
              <w:jc w:val="both"/>
              <w:rPr>
                <w:color w:val="000000"/>
                <w:sz w:val="18"/>
                <w:szCs w:val="18"/>
              </w:rPr>
            </w:pPr>
            <w:r w:rsidRPr="00872D7E">
              <w:rPr>
                <w:color w:val="000000"/>
                <w:sz w:val="18"/>
                <w:szCs w:val="18"/>
              </w:rPr>
              <w:t>Taşıt Kredisi</w:t>
            </w:r>
          </w:p>
        </w:tc>
        <w:tc>
          <w:tcPr>
            <w:tcW w:w="752" w:type="pct"/>
            <w:tcBorders>
              <w:top w:val="nil"/>
              <w:left w:val="nil"/>
              <w:bottom w:val="nil"/>
              <w:right w:val="nil"/>
            </w:tcBorders>
            <w:shd w:val="clear" w:color="auto" w:fill="auto"/>
            <w:vAlign w:val="center"/>
            <w:hideMark/>
          </w:tcPr>
          <w:p w14:paraId="229D8404" w14:textId="77777777" w:rsidR="00862A01" w:rsidRPr="00872D7E" w:rsidRDefault="00862A01" w:rsidP="00862A01">
            <w:pPr>
              <w:jc w:val="right"/>
              <w:rPr>
                <w:color w:val="000000"/>
                <w:sz w:val="18"/>
                <w:szCs w:val="18"/>
              </w:rPr>
            </w:pPr>
            <w:r w:rsidRPr="00872D7E">
              <w:rPr>
                <w:color w:val="000000"/>
                <w:sz w:val="18"/>
                <w:szCs w:val="18"/>
              </w:rPr>
              <w:t>356</w:t>
            </w:r>
          </w:p>
        </w:tc>
        <w:tc>
          <w:tcPr>
            <w:tcW w:w="874" w:type="pct"/>
            <w:tcBorders>
              <w:top w:val="nil"/>
              <w:left w:val="nil"/>
              <w:bottom w:val="nil"/>
              <w:right w:val="nil"/>
            </w:tcBorders>
            <w:shd w:val="clear" w:color="auto" w:fill="auto"/>
            <w:vAlign w:val="center"/>
            <w:hideMark/>
          </w:tcPr>
          <w:p w14:paraId="0FDE56A9"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5FAF56A0" w14:textId="77777777" w:rsidR="00862A01" w:rsidRPr="00872D7E" w:rsidRDefault="00862A01" w:rsidP="00862A01">
            <w:pPr>
              <w:jc w:val="right"/>
              <w:rPr>
                <w:color w:val="000000"/>
                <w:sz w:val="18"/>
                <w:szCs w:val="18"/>
              </w:rPr>
            </w:pPr>
            <w:r w:rsidRPr="00872D7E">
              <w:rPr>
                <w:color w:val="000000"/>
                <w:sz w:val="18"/>
                <w:szCs w:val="18"/>
              </w:rPr>
              <w:t>356</w:t>
            </w:r>
          </w:p>
        </w:tc>
      </w:tr>
      <w:tr w:rsidR="00862A01" w:rsidRPr="00872D7E" w14:paraId="59F6D6A1"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30DB4B0D" w14:textId="77777777" w:rsidR="00862A01" w:rsidRPr="00872D7E" w:rsidRDefault="00862A01" w:rsidP="00862A01">
            <w:pPr>
              <w:jc w:val="both"/>
              <w:rPr>
                <w:color w:val="000000"/>
                <w:sz w:val="18"/>
                <w:szCs w:val="18"/>
              </w:rPr>
            </w:pPr>
            <w:r w:rsidRPr="00872D7E">
              <w:rPr>
                <w:color w:val="000000"/>
                <w:sz w:val="18"/>
                <w:szCs w:val="18"/>
              </w:rPr>
              <w:t>İhtiyaç Kredisi</w:t>
            </w:r>
          </w:p>
        </w:tc>
        <w:tc>
          <w:tcPr>
            <w:tcW w:w="752" w:type="pct"/>
            <w:tcBorders>
              <w:top w:val="nil"/>
              <w:left w:val="nil"/>
              <w:bottom w:val="nil"/>
              <w:right w:val="nil"/>
            </w:tcBorders>
            <w:shd w:val="clear" w:color="auto" w:fill="auto"/>
            <w:vAlign w:val="center"/>
            <w:hideMark/>
          </w:tcPr>
          <w:p w14:paraId="67DB0C02" w14:textId="77777777" w:rsidR="00862A01" w:rsidRPr="00872D7E" w:rsidRDefault="00862A01" w:rsidP="00862A01">
            <w:pPr>
              <w:jc w:val="right"/>
              <w:rPr>
                <w:color w:val="000000"/>
                <w:sz w:val="18"/>
                <w:szCs w:val="18"/>
              </w:rPr>
            </w:pPr>
            <w:r w:rsidRPr="00872D7E">
              <w:rPr>
                <w:color w:val="000000"/>
                <w:sz w:val="18"/>
                <w:szCs w:val="18"/>
              </w:rPr>
              <w:t>399</w:t>
            </w:r>
          </w:p>
        </w:tc>
        <w:tc>
          <w:tcPr>
            <w:tcW w:w="874" w:type="pct"/>
            <w:tcBorders>
              <w:top w:val="nil"/>
              <w:left w:val="nil"/>
              <w:bottom w:val="nil"/>
              <w:right w:val="nil"/>
            </w:tcBorders>
            <w:shd w:val="clear" w:color="auto" w:fill="auto"/>
            <w:vAlign w:val="center"/>
            <w:hideMark/>
          </w:tcPr>
          <w:p w14:paraId="5968A435" w14:textId="77777777" w:rsidR="00862A01" w:rsidRPr="00872D7E" w:rsidRDefault="00862A01" w:rsidP="00862A01">
            <w:pPr>
              <w:jc w:val="right"/>
              <w:rPr>
                <w:color w:val="000000"/>
                <w:sz w:val="18"/>
                <w:szCs w:val="18"/>
              </w:rPr>
            </w:pPr>
            <w:r w:rsidRPr="00872D7E">
              <w:rPr>
                <w:color w:val="000000"/>
                <w:sz w:val="18"/>
                <w:szCs w:val="18"/>
              </w:rPr>
              <w:t>121</w:t>
            </w:r>
          </w:p>
        </w:tc>
        <w:tc>
          <w:tcPr>
            <w:tcW w:w="740" w:type="pct"/>
            <w:tcBorders>
              <w:top w:val="nil"/>
              <w:left w:val="nil"/>
              <w:bottom w:val="nil"/>
              <w:right w:val="nil"/>
            </w:tcBorders>
            <w:shd w:val="clear" w:color="auto" w:fill="auto"/>
            <w:vAlign w:val="center"/>
            <w:hideMark/>
          </w:tcPr>
          <w:p w14:paraId="1E706C48" w14:textId="77777777" w:rsidR="00862A01" w:rsidRPr="00872D7E" w:rsidRDefault="00862A01" w:rsidP="00862A01">
            <w:pPr>
              <w:jc w:val="right"/>
              <w:rPr>
                <w:color w:val="000000"/>
                <w:sz w:val="18"/>
                <w:szCs w:val="18"/>
              </w:rPr>
            </w:pPr>
            <w:r w:rsidRPr="00872D7E">
              <w:rPr>
                <w:color w:val="000000"/>
                <w:sz w:val="18"/>
                <w:szCs w:val="18"/>
              </w:rPr>
              <w:t>520</w:t>
            </w:r>
          </w:p>
        </w:tc>
      </w:tr>
      <w:tr w:rsidR="00862A01" w:rsidRPr="00872D7E" w14:paraId="17CECCB9"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6D94BB79" w14:textId="77777777" w:rsidR="00862A01" w:rsidRPr="00872D7E" w:rsidRDefault="00862A01" w:rsidP="00862A01">
            <w:pPr>
              <w:jc w:val="both"/>
              <w:rPr>
                <w:color w:val="000000"/>
                <w:sz w:val="18"/>
                <w:szCs w:val="18"/>
              </w:rPr>
            </w:pPr>
            <w:r w:rsidRPr="00872D7E">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7DE8FAC1"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6DE8AA3B"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11D79DD6"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6F9B2E9C"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73908E99" w14:textId="77777777" w:rsidR="00862A01" w:rsidRPr="00872D7E" w:rsidRDefault="00862A01" w:rsidP="00862A01">
            <w:pPr>
              <w:jc w:val="both"/>
              <w:rPr>
                <w:b/>
                <w:bCs/>
                <w:color w:val="000000"/>
                <w:sz w:val="18"/>
                <w:szCs w:val="18"/>
              </w:rPr>
            </w:pPr>
            <w:r w:rsidRPr="00872D7E">
              <w:rPr>
                <w:b/>
                <w:bCs/>
                <w:color w:val="000000"/>
                <w:sz w:val="18"/>
                <w:szCs w:val="18"/>
              </w:rPr>
              <w:t>Tüketici Kredileri-Dövize Endeksli</w:t>
            </w:r>
          </w:p>
        </w:tc>
        <w:tc>
          <w:tcPr>
            <w:tcW w:w="752" w:type="pct"/>
            <w:tcBorders>
              <w:top w:val="nil"/>
              <w:left w:val="nil"/>
              <w:bottom w:val="nil"/>
              <w:right w:val="nil"/>
            </w:tcBorders>
            <w:shd w:val="clear" w:color="auto" w:fill="auto"/>
            <w:vAlign w:val="center"/>
            <w:hideMark/>
          </w:tcPr>
          <w:p w14:paraId="0BBB8908"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74" w:type="pct"/>
            <w:tcBorders>
              <w:top w:val="nil"/>
              <w:left w:val="nil"/>
              <w:bottom w:val="nil"/>
              <w:right w:val="nil"/>
            </w:tcBorders>
            <w:shd w:val="clear" w:color="auto" w:fill="auto"/>
            <w:vAlign w:val="center"/>
            <w:hideMark/>
          </w:tcPr>
          <w:p w14:paraId="3484BEB7"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740" w:type="pct"/>
            <w:tcBorders>
              <w:top w:val="nil"/>
              <w:left w:val="nil"/>
              <w:bottom w:val="nil"/>
              <w:right w:val="nil"/>
            </w:tcBorders>
            <w:shd w:val="clear" w:color="auto" w:fill="auto"/>
            <w:vAlign w:val="center"/>
            <w:hideMark/>
          </w:tcPr>
          <w:p w14:paraId="63953EE8" w14:textId="77777777" w:rsidR="00862A01" w:rsidRPr="00872D7E" w:rsidRDefault="00862A01" w:rsidP="00862A01">
            <w:pPr>
              <w:jc w:val="right"/>
              <w:rPr>
                <w:b/>
                <w:bCs/>
                <w:color w:val="000000"/>
                <w:sz w:val="18"/>
                <w:szCs w:val="18"/>
              </w:rPr>
            </w:pPr>
            <w:r w:rsidRPr="00872D7E">
              <w:rPr>
                <w:b/>
                <w:bCs/>
                <w:color w:val="000000"/>
                <w:sz w:val="18"/>
                <w:szCs w:val="18"/>
              </w:rPr>
              <w:t>-</w:t>
            </w:r>
          </w:p>
        </w:tc>
      </w:tr>
      <w:tr w:rsidR="00862A01" w:rsidRPr="00872D7E" w14:paraId="291A6103"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2F57F8D4" w14:textId="77777777" w:rsidR="00862A01" w:rsidRPr="00872D7E" w:rsidRDefault="00862A01" w:rsidP="00862A01">
            <w:pPr>
              <w:jc w:val="both"/>
              <w:rPr>
                <w:color w:val="000000"/>
                <w:sz w:val="18"/>
                <w:szCs w:val="18"/>
              </w:rPr>
            </w:pPr>
            <w:r w:rsidRPr="00872D7E">
              <w:rPr>
                <w:color w:val="000000"/>
                <w:sz w:val="18"/>
                <w:szCs w:val="18"/>
              </w:rPr>
              <w:t>Konut Kredisi</w:t>
            </w:r>
          </w:p>
        </w:tc>
        <w:tc>
          <w:tcPr>
            <w:tcW w:w="752" w:type="pct"/>
            <w:tcBorders>
              <w:top w:val="nil"/>
              <w:left w:val="nil"/>
              <w:bottom w:val="nil"/>
              <w:right w:val="nil"/>
            </w:tcBorders>
            <w:shd w:val="clear" w:color="auto" w:fill="auto"/>
            <w:vAlign w:val="center"/>
            <w:hideMark/>
          </w:tcPr>
          <w:p w14:paraId="5CF1B50E"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3FBBC456"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2167E073"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7F51D4C9"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740883A2" w14:textId="77777777" w:rsidR="00862A01" w:rsidRPr="00872D7E" w:rsidRDefault="00862A01" w:rsidP="00862A01">
            <w:pPr>
              <w:jc w:val="both"/>
              <w:rPr>
                <w:color w:val="000000"/>
                <w:sz w:val="18"/>
                <w:szCs w:val="18"/>
              </w:rPr>
            </w:pPr>
            <w:r w:rsidRPr="00872D7E">
              <w:rPr>
                <w:color w:val="000000"/>
                <w:sz w:val="18"/>
                <w:szCs w:val="18"/>
              </w:rPr>
              <w:t>Taşıt Kredisi</w:t>
            </w:r>
          </w:p>
        </w:tc>
        <w:tc>
          <w:tcPr>
            <w:tcW w:w="752" w:type="pct"/>
            <w:tcBorders>
              <w:top w:val="nil"/>
              <w:left w:val="nil"/>
              <w:bottom w:val="nil"/>
              <w:right w:val="nil"/>
            </w:tcBorders>
            <w:shd w:val="clear" w:color="auto" w:fill="auto"/>
            <w:vAlign w:val="center"/>
            <w:hideMark/>
          </w:tcPr>
          <w:p w14:paraId="05AECC00"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1DD4D014"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083F4BF6"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19A3EBE3"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015D1A9C" w14:textId="77777777" w:rsidR="00862A01" w:rsidRPr="00872D7E" w:rsidRDefault="00862A01" w:rsidP="00862A01">
            <w:pPr>
              <w:jc w:val="both"/>
              <w:rPr>
                <w:color w:val="000000"/>
                <w:sz w:val="18"/>
                <w:szCs w:val="18"/>
              </w:rPr>
            </w:pPr>
            <w:r w:rsidRPr="00872D7E">
              <w:rPr>
                <w:color w:val="000000"/>
                <w:sz w:val="18"/>
                <w:szCs w:val="18"/>
              </w:rPr>
              <w:t>İhtiyaç Kredisi</w:t>
            </w:r>
          </w:p>
        </w:tc>
        <w:tc>
          <w:tcPr>
            <w:tcW w:w="752" w:type="pct"/>
            <w:tcBorders>
              <w:top w:val="nil"/>
              <w:left w:val="nil"/>
              <w:bottom w:val="nil"/>
              <w:right w:val="nil"/>
            </w:tcBorders>
            <w:shd w:val="clear" w:color="auto" w:fill="auto"/>
            <w:vAlign w:val="center"/>
            <w:hideMark/>
          </w:tcPr>
          <w:p w14:paraId="6BD28240"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05DBB835"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593677EF"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33741CA0"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409D11B2" w14:textId="77777777" w:rsidR="00862A01" w:rsidRPr="00872D7E" w:rsidRDefault="00862A01" w:rsidP="00862A01">
            <w:pPr>
              <w:jc w:val="both"/>
              <w:rPr>
                <w:color w:val="000000"/>
                <w:sz w:val="18"/>
                <w:szCs w:val="18"/>
              </w:rPr>
            </w:pPr>
            <w:r w:rsidRPr="00872D7E">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64BCB646"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36A988C0"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20F0081E"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0C7876D1"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087AE2AC" w14:textId="77777777" w:rsidR="00862A01" w:rsidRPr="00872D7E" w:rsidRDefault="00862A01" w:rsidP="00862A01">
            <w:pPr>
              <w:jc w:val="both"/>
              <w:rPr>
                <w:b/>
                <w:bCs/>
                <w:color w:val="000000"/>
                <w:sz w:val="18"/>
                <w:szCs w:val="18"/>
              </w:rPr>
            </w:pPr>
            <w:r w:rsidRPr="00872D7E">
              <w:rPr>
                <w:b/>
                <w:bCs/>
                <w:color w:val="000000"/>
                <w:sz w:val="18"/>
                <w:szCs w:val="18"/>
              </w:rPr>
              <w:t>Tüketici Kredileri-YP</w:t>
            </w:r>
          </w:p>
        </w:tc>
        <w:tc>
          <w:tcPr>
            <w:tcW w:w="752" w:type="pct"/>
            <w:tcBorders>
              <w:top w:val="nil"/>
              <w:left w:val="nil"/>
              <w:bottom w:val="nil"/>
              <w:right w:val="nil"/>
            </w:tcBorders>
            <w:shd w:val="clear" w:color="auto" w:fill="auto"/>
            <w:vAlign w:val="center"/>
            <w:hideMark/>
          </w:tcPr>
          <w:p w14:paraId="6D568AF7"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74" w:type="pct"/>
            <w:tcBorders>
              <w:top w:val="nil"/>
              <w:left w:val="nil"/>
              <w:bottom w:val="nil"/>
              <w:right w:val="nil"/>
            </w:tcBorders>
            <w:shd w:val="clear" w:color="auto" w:fill="auto"/>
            <w:vAlign w:val="center"/>
            <w:hideMark/>
          </w:tcPr>
          <w:p w14:paraId="2C1E258F"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740" w:type="pct"/>
            <w:tcBorders>
              <w:top w:val="nil"/>
              <w:left w:val="nil"/>
              <w:bottom w:val="nil"/>
              <w:right w:val="nil"/>
            </w:tcBorders>
            <w:shd w:val="clear" w:color="auto" w:fill="auto"/>
            <w:vAlign w:val="center"/>
            <w:hideMark/>
          </w:tcPr>
          <w:p w14:paraId="1B93B44C" w14:textId="77777777" w:rsidR="00862A01" w:rsidRPr="00872D7E" w:rsidRDefault="00862A01" w:rsidP="00862A01">
            <w:pPr>
              <w:jc w:val="right"/>
              <w:rPr>
                <w:b/>
                <w:bCs/>
                <w:color w:val="000000"/>
                <w:sz w:val="18"/>
                <w:szCs w:val="18"/>
              </w:rPr>
            </w:pPr>
            <w:r w:rsidRPr="00872D7E">
              <w:rPr>
                <w:b/>
                <w:bCs/>
                <w:color w:val="000000"/>
                <w:sz w:val="18"/>
                <w:szCs w:val="18"/>
              </w:rPr>
              <w:t>-</w:t>
            </w:r>
          </w:p>
        </w:tc>
      </w:tr>
      <w:tr w:rsidR="00862A01" w:rsidRPr="00872D7E" w14:paraId="03792ADC"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0472F40A" w14:textId="77777777" w:rsidR="00862A01" w:rsidRPr="00872D7E" w:rsidRDefault="00862A01" w:rsidP="00862A01">
            <w:pPr>
              <w:jc w:val="both"/>
              <w:rPr>
                <w:color w:val="000000"/>
                <w:sz w:val="18"/>
                <w:szCs w:val="18"/>
              </w:rPr>
            </w:pPr>
            <w:r w:rsidRPr="00872D7E">
              <w:rPr>
                <w:color w:val="000000"/>
                <w:sz w:val="18"/>
                <w:szCs w:val="18"/>
              </w:rPr>
              <w:t>Konut Kredisi</w:t>
            </w:r>
          </w:p>
        </w:tc>
        <w:tc>
          <w:tcPr>
            <w:tcW w:w="752" w:type="pct"/>
            <w:tcBorders>
              <w:top w:val="nil"/>
              <w:left w:val="nil"/>
              <w:bottom w:val="nil"/>
              <w:right w:val="nil"/>
            </w:tcBorders>
            <w:shd w:val="clear" w:color="auto" w:fill="auto"/>
            <w:vAlign w:val="center"/>
            <w:hideMark/>
          </w:tcPr>
          <w:p w14:paraId="4908DB61"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73D4F778"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4C26B1A0"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7C515D65"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5A6DE454" w14:textId="77777777" w:rsidR="00862A01" w:rsidRPr="00872D7E" w:rsidRDefault="00862A01" w:rsidP="00862A01">
            <w:pPr>
              <w:jc w:val="both"/>
              <w:rPr>
                <w:color w:val="000000"/>
                <w:sz w:val="18"/>
                <w:szCs w:val="18"/>
              </w:rPr>
            </w:pPr>
            <w:r w:rsidRPr="00872D7E">
              <w:rPr>
                <w:color w:val="000000"/>
                <w:sz w:val="18"/>
                <w:szCs w:val="18"/>
              </w:rPr>
              <w:t>Taşıt Kredisi</w:t>
            </w:r>
          </w:p>
        </w:tc>
        <w:tc>
          <w:tcPr>
            <w:tcW w:w="752" w:type="pct"/>
            <w:tcBorders>
              <w:top w:val="nil"/>
              <w:left w:val="nil"/>
              <w:bottom w:val="nil"/>
              <w:right w:val="nil"/>
            </w:tcBorders>
            <w:shd w:val="clear" w:color="auto" w:fill="auto"/>
            <w:vAlign w:val="center"/>
            <w:hideMark/>
          </w:tcPr>
          <w:p w14:paraId="44DD6360"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7C3A3330"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5FCAA60E"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6CBD0D44"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5878E4A0" w14:textId="77777777" w:rsidR="00862A01" w:rsidRPr="00872D7E" w:rsidRDefault="00862A01" w:rsidP="00862A01">
            <w:pPr>
              <w:jc w:val="both"/>
              <w:rPr>
                <w:color w:val="000000"/>
                <w:sz w:val="18"/>
                <w:szCs w:val="18"/>
              </w:rPr>
            </w:pPr>
            <w:r w:rsidRPr="00872D7E">
              <w:rPr>
                <w:color w:val="000000"/>
                <w:sz w:val="18"/>
                <w:szCs w:val="18"/>
              </w:rPr>
              <w:t>İhtiyaç Kredisi</w:t>
            </w:r>
          </w:p>
        </w:tc>
        <w:tc>
          <w:tcPr>
            <w:tcW w:w="752" w:type="pct"/>
            <w:tcBorders>
              <w:top w:val="nil"/>
              <w:left w:val="nil"/>
              <w:bottom w:val="nil"/>
              <w:right w:val="nil"/>
            </w:tcBorders>
            <w:shd w:val="clear" w:color="auto" w:fill="auto"/>
            <w:vAlign w:val="center"/>
            <w:hideMark/>
          </w:tcPr>
          <w:p w14:paraId="30E7AE8F"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43207506"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4F362F2F"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568E1D2D"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2BB2D8D3" w14:textId="77777777" w:rsidR="00862A01" w:rsidRPr="00872D7E" w:rsidRDefault="00862A01" w:rsidP="00862A01">
            <w:pPr>
              <w:jc w:val="both"/>
              <w:rPr>
                <w:color w:val="000000"/>
                <w:sz w:val="18"/>
                <w:szCs w:val="18"/>
              </w:rPr>
            </w:pPr>
            <w:r w:rsidRPr="00872D7E">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0734D885"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11630CD5"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1FF008CB"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0AEF145D"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2502217D" w14:textId="77777777" w:rsidR="00862A01" w:rsidRPr="00872D7E" w:rsidRDefault="00862A01" w:rsidP="00862A01">
            <w:pPr>
              <w:jc w:val="both"/>
              <w:rPr>
                <w:b/>
                <w:bCs/>
                <w:color w:val="000000"/>
                <w:sz w:val="18"/>
                <w:szCs w:val="18"/>
              </w:rPr>
            </w:pPr>
            <w:r w:rsidRPr="00872D7E">
              <w:rPr>
                <w:b/>
                <w:bCs/>
                <w:color w:val="000000"/>
                <w:sz w:val="18"/>
                <w:szCs w:val="18"/>
              </w:rPr>
              <w:t>Bireysel Kredi Kartları-TP</w:t>
            </w:r>
          </w:p>
        </w:tc>
        <w:tc>
          <w:tcPr>
            <w:tcW w:w="752" w:type="pct"/>
            <w:tcBorders>
              <w:top w:val="nil"/>
              <w:left w:val="nil"/>
              <w:bottom w:val="nil"/>
              <w:right w:val="nil"/>
            </w:tcBorders>
            <w:shd w:val="clear" w:color="auto" w:fill="auto"/>
            <w:vAlign w:val="center"/>
            <w:hideMark/>
          </w:tcPr>
          <w:p w14:paraId="5DCB7F97"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62EAB31F"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60E6A259"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145C3B18"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10ECFA12" w14:textId="77777777" w:rsidR="00862A01" w:rsidRPr="00872D7E" w:rsidRDefault="00862A01" w:rsidP="00862A01">
            <w:pPr>
              <w:jc w:val="both"/>
              <w:rPr>
                <w:color w:val="000000"/>
                <w:sz w:val="18"/>
                <w:szCs w:val="18"/>
              </w:rPr>
            </w:pPr>
            <w:r w:rsidRPr="00872D7E">
              <w:rPr>
                <w:color w:val="000000"/>
                <w:sz w:val="18"/>
                <w:szCs w:val="18"/>
              </w:rPr>
              <w:t>Taksitli</w:t>
            </w:r>
          </w:p>
        </w:tc>
        <w:tc>
          <w:tcPr>
            <w:tcW w:w="752" w:type="pct"/>
            <w:tcBorders>
              <w:top w:val="nil"/>
              <w:left w:val="nil"/>
              <w:bottom w:val="nil"/>
              <w:right w:val="nil"/>
            </w:tcBorders>
            <w:shd w:val="clear" w:color="auto" w:fill="auto"/>
            <w:vAlign w:val="center"/>
            <w:hideMark/>
          </w:tcPr>
          <w:p w14:paraId="6E42468C"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7F996A08"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3B85BACE"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5923C6A0"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3153BB6C" w14:textId="77777777" w:rsidR="00862A01" w:rsidRPr="00872D7E" w:rsidRDefault="00862A01" w:rsidP="00862A01">
            <w:pPr>
              <w:jc w:val="both"/>
              <w:rPr>
                <w:color w:val="000000"/>
                <w:sz w:val="18"/>
                <w:szCs w:val="18"/>
              </w:rPr>
            </w:pPr>
            <w:r w:rsidRPr="00872D7E">
              <w:rPr>
                <w:color w:val="000000"/>
                <w:sz w:val="18"/>
                <w:szCs w:val="18"/>
              </w:rPr>
              <w:t>Taksitsiz</w:t>
            </w:r>
          </w:p>
        </w:tc>
        <w:tc>
          <w:tcPr>
            <w:tcW w:w="752" w:type="pct"/>
            <w:tcBorders>
              <w:top w:val="nil"/>
              <w:left w:val="nil"/>
              <w:bottom w:val="nil"/>
              <w:right w:val="nil"/>
            </w:tcBorders>
            <w:shd w:val="clear" w:color="auto" w:fill="auto"/>
            <w:vAlign w:val="center"/>
            <w:hideMark/>
          </w:tcPr>
          <w:p w14:paraId="7449DE72"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50E7AECE"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6329E42F"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795FD183"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4C87C303" w14:textId="77777777" w:rsidR="00862A01" w:rsidRPr="00872D7E" w:rsidRDefault="00862A01" w:rsidP="00862A01">
            <w:pPr>
              <w:jc w:val="both"/>
              <w:rPr>
                <w:b/>
                <w:bCs/>
                <w:color w:val="000000"/>
                <w:sz w:val="18"/>
                <w:szCs w:val="18"/>
              </w:rPr>
            </w:pPr>
            <w:r w:rsidRPr="00872D7E">
              <w:rPr>
                <w:b/>
                <w:bCs/>
                <w:color w:val="000000"/>
                <w:sz w:val="18"/>
                <w:szCs w:val="18"/>
              </w:rPr>
              <w:t>Bireysel Kredi Kartları-YP</w:t>
            </w:r>
          </w:p>
        </w:tc>
        <w:tc>
          <w:tcPr>
            <w:tcW w:w="752" w:type="pct"/>
            <w:tcBorders>
              <w:top w:val="nil"/>
              <w:left w:val="nil"/>
              <w:bottom w:val="nil"/>
              <w:right w:val="nil"/>
            </w:tcBorders>
            <w:shd w:val="clear" w:color="auto" w:fill="auto"/>
            <w:vAlign w:val="center"/>
            <w:hideMark/>
          </w:tcPr>
          <w:p w14:paraId="0F513098"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38C1FD47"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051E6044"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59BB4AD4"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6BF5935C" w14:textId="77777777" w:rsidR="00862A01" w:rsidRPr="00872D7E" w:rsidRDefault="00862A01" w:rsidP="00862A01">
            <w:pPr>
              <w:jc w:val="both"/>
              <w:rPr>
                <w:color w:val="000000"/>
                <w:sz w:val="18"/>
                <w:szCs w:val="18"/>
              </w:rPr>
            </w:pPr>
            <w:r w:rsidRPr="00872D7E">
              <w:rPr>
                <w:color w:val="000000"/>
                <w:sz w:val="18"/>
                <w:szCs w:val="18"/>
              </w:rPr>
              <w:t>Taksitli</w:t>
            </w:r>
          </w:p>
        </w:tc>
        <w:tc>
          <w:tcPr>
            <w:tcW w:w="752" w:type="pct"/>
            <w:tcBorders>
              <w:top w:val="nil"/>
              <w:left w:val="nil"/>
              <w:bottom w:val="nil"/>
              <w:right w:val="nil"/>
            </w:tcBorders>
            <w:shd w:val="clear" w:color="auto" w:fill="auto"/>
            <w:vAlign w:val="center"/>
            <w:hideMark/>
          </w:tcPr>
          <w:p w14:paraId="47232B87"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2B49C4AB"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480A99CE"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77EF37DE"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01327C70" w14:textId="77777777" w:rsidR="00862A01" w:rsidRPr="00872D7E" w:rsidRDefault="00862A01" w:rsidP="00862A01">
            <w:pPr>
              <w:jc w:val="both"/>
              <w:rPr>
                <w:color w:val="000000"/>
                <w:sz w:val="18"/>
                <w:szCs w:val="18"/>
              </w:rPr>
            </w:pPr>
            <w:r w:rsidRPr="00872D7E">
              <w:rPr>
                <w:color w:val="000000"/>
                <w:sz w:val="18"/>
                <w:szCs w:val="18"/>
              </w:rPr>
              <w:t>Taksitsiz</w:t>
            </w:r>
          </w:p>
        </w:tc>
        <w:tc>
          <w:tcPr>
            <w:tcW w:w="752" w:type="pct"/>
            <w:tcBorders>
              <w:top w:val="nil"/>
              <w:left w:val="nil"/>
              <w:bottom w:val="nil"/>
              <w:right w:val="nil"/>
            </w:tcBorders>
            <w:shd w:val="clear" w:color="auto" w:fill="auto"/>
            <w:vAlign w:val="center"/>
            <w:hideMark/>
          </w:tcPr>
          <w:p w14:paraId="08DC8ADD"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0FC80047"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06BF676B"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7F2DD792"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2F3F267D" w14:textId="77777777" w:rsidR="00862A01" w:rsidRPr="00872D7E" w:rsidRDefault="00862A01" w:rsidP="00862A01">
            <w:pPr>
              <w:jc w:val="both"/>
              <w:rPr>
                <w:b/>
                <w:bCs/>
                <w:color w:val="000000"/>
                <w:sz w:val="18"/>
                <w:szCs w:val="18"/>
              </w:rPr>
            </w:pPr>
            <w:r w:rsidRPr="00872D7E">
              <w:rPr>
                <w:b/>
                <w:bCs/>
                <w:color w:val="000000"/>
                <w:sz w:val="18"/>
                <w:szCs w:val="18"/>
              </w:rPr>
              <w:t>Personel Kredileri-TP</w:t>
            </w:r>
          </w:p>
        </w:tc>
        <w:tc>
          <w:tcPr>
            <w:tcW w:w="752" w:type="pct"/>
            <w:tcBorders>
              <w:top w:val="nil"/>
              <w:left w:val="nil"/>
              <w:bottom w:val="nil"/>
              <w:right w:val="nil"/>
            </w:tcBorders>
            <w:shd w:val="clear" w:color="auto" w:fill="auto"/>
            <w:vAlign w:val="center"/>
            <w:hideMark/>
          </w:tcPr>
          <w:p w14:paraId="24B45BC2"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3630ECDB"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0DFB5D10"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777DBC17"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1CB3F50D" w14:textId="77777777" w:rsidR="00862A01" w:rsidRPr="00872D7E" w:rsidRDefault="00862A01" w:rsidP="00862A01">
            <w:pPr>
              <w:jc w:val="both"/>
              <w:rPr>
                <w:color w:val="000000"/>
                <w:sz w:val="18"/>
                <w:szCs w:val="18"/>
              </w:rPr>
            </w:pPr>
            <w:r w:rsidRPr="00872D7E">
              <w:rPr>
                <w:color w:val="000000"/>
                <w:sz w:val="18"/>
                <w:szCs w:val="18"/>
              </w:rPr>
              <w:t>Konut Kredisi</w:t>
            </w:r>
          </w:p>
        </w:tc>
        <w:tc>
          <w:tcPr>
            <w:tcW w:w="752" w:type="pct"/>
            <w:tcBorders>
              <w:top w:val="nil"/>
              <w:left w:val="nil"/>
              <w:bottom w:val="nil"/>
              <w:right w:val="nil"/>
            </w:tcBorders>
            <w:shd w:val="clear" w:color="auto" w:fill="auto"/>
            <w:vAlign w:val="center"/>
            <w:hideMark/>
          </w:tcPr>
          <w:p w14:paraId="3ECCB4B0"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4E3C89EC"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0383EF3D"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0C2BD750"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2DA5C2C1" w14:textId="77777777" w:rsidR="00862A01" w:rsidRPr="00872D7E" w:rsidRDefault="00862A01" w:rsidP="00862A01">
            <w:pPr>
              <w:jc w:val="both"/>
              <w:rPr>
                <w:color w:val="000000"/>
                <w:sz w:val="18"/>
                <w:szCs w:val="18"/>
              </w:rPr>
            </w:pPr>
            <w:r w:rsidRPr="00872D7E">
              <w:rPr>
                <w:color w:val="000000"/>
                <w:sz w:val="18"/>
                <w:szCs w:val="18"/>
              </w:rPr>
              <w:t>Taşıt Kredisi</w:t>
            </w:r>
          </w:p>
        </w:tc>
        <w:tc>
          <w:tcPr>
            <w:tcW w:w="752" w:type="pct"/>
            <w:tcBorders>
              <w:top w:val="nil"/>
              <w:left w:val="nil"/>
              <w:bottom w:val="nil"/>
              <w:right w:val="nil"/>
            </w:tcBorders>
            <w:shd w:val="clear" w:color="auto" w:fill="auto"/>
            <w:vAlign w:val="center"/>
            <w:hideMark/>
          </w:tcPr>
          <w:p w14:paraId="4B2D3E74"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21C1C7E7"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221EA1A4"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440AC8CB"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08EFDD86" w14:textId="77777777" w:rsidR="00862A01" w:rsidRPr="00872D7E" w:rsidRDefault="00862A01" w:rsidP="00862A01">
            <w:pPr>
              <w:jc w:val="both"/>
              <w:rPr>
                <w:color w:val="000000"/>
                <w:sz w:val="18"/>
                <w:szCs w:val="18"/>
              </w:rPr>
            </w:pPr>
            <w:r w:rsidRPr="00872D7E">
              <w:rPr>
                <w:color w:val="000000"/>
                <w:sz w:val="18"/>
                <w:szCs w:val="18"/>
              </w:rPr>
              <w:t>İhtiyaç Kredisi</w:t>
            </w:r>
          </w:p>
        </w:tc>
        <w:tc>
          <w:tcPr>
            <w:tcW w:w="752" w:type="pct"/>
            <w:tcBorders>
              <w:top w:val="nil"/>
              <w:left w:val="nil"/>
              <w:bottom w:val="nil"/>
              <w:right w:val="nil"/>
            </w:tcBorders>
            <w:shd w:val="clear" w:color="auto" w:fill="auto"/>
            <w:vAlign w:val="center"/>
            <w:hideMark/>
          </w:tcPr>
          <w:p w14:paraId="75121FC3"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535983FC"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2C293609"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0230CCF8"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6CC5DF32" w14:textId="77777777" w:rsidR="00862A01" w:rsidRPr="00872D7E" w:rsidRDefault="00862A01" w:rsidP="00862A01">
            <w:pPr>
              <w:jc w:val="both"/>
              <w:rPr>
                <w:color w:val="000000"/>
                <w:sz w:val="18"/>
                <w:szCs w:val="18"/>
              </w:rPr>
            </w:pPr>
            <w:r w:rsidRPr="00872D7E">
              <w:rPr>
                <w:color w:val="000000"/>
                <w:sz w:val="18"/>
                <w:szCs w:val="18"/>
              </w:rPr>
              <w:t>Diğer</w:t>
            </w:r>
          </w:p>
        </w:tc>
        <w:tc>
          <w:tcPr>
            <w:tcW w:w="752" w:type="pct"/>
            <w:tcBorders>
              <w:top w:val="nil"/>
              <w:left w:val="nil"/>
              <w:bottom w:val="nil"/>
              <w:right w:val="nil"/>
            </w:tcBorders>
            <w:shd w:val="clear" w:color="auto" w:fill="auto"/>
            <w:vAlign w:val="center"/>
            <w:hideMark/>
          </w:tcPr>
          <w:p w14:paraId="7E107DFE"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59BE6ACA"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7913A869"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13D3D0D0"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2533ED49" w14:textId="77777777" w:rsidR="00862A01" w:rsidRPr="00872D7E" w:rsidRDefault="00862A01" w:rsidP="00862A01">
            <w:pPr>
              <w:jc w:val="both"/>
              <w:rPr>
                <w:b/>
                <w:bCs/>
                <w:color w:val="000000"/>
                <w:sz w:val="18"/>
                <w:szCs w:val="18"/>
              </w:rPr>
            </w:pPr>
            <w:r w:rsidRPr="00872D7E">
              <w:rPr>
                <w:b/>
                <w:bCs/>
                <w:color w:val="000000"/>
                <w:sz w:val="18"/>
                <w:szCs w:val="18"/>
              </w:rPr>
              <w:t>Personel Kredileri-Dövize Endeksli</w:t>
            </w:r>
          </w:p>
        </w:tc>
        <w:tc>
          <w:tcPr>
            <w:tcW w:w="752" w:type="pct"/>
            <w:tcBorders>
              <w:top w:val="nil"/>
              <w:left w:val="nil"/>
              <w:bottom w:val="nil"/>
              <w:right w:val="nil"/>
            </w:tcBorders>
            <w:shd w:val="clear" w:color="auto" w:fill="auto"/>
            <w:vAlign w:val="center"/>
            <w:hideMark/>
          </w:tcPr>
          <w:p w14:paraId="5422BCEC"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53B68B71"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1D10427F"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28714264"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3FFE8AC3" w14:textId="77777777" w:rsidR="00862A01" w:rsidRPr="00872D7E" w:rsidRDefault="00862A01" w:rsidP="00862A01">
            <w:pPr>
              <w:jc w:val="both"/>
              <w:rPr>
                <w:color w:val="000000"/>
                <w:sz w:val="18"/>
                <w:szCs w:val="18"/>
              </w:rPr>
            </w:pPr>
            <w:r w:rsidRPr="00872D7E">
              <w:rPr>
                <w:color w:val="000000"/>
                <w:sz w:val="18"/>
                <w:szCs w:val="18"/>
              </w:rPr>
              <w:t>Konut Kredisi</w:t>
            </w:r>
          </w:p>
        </w:tc>
        <w:tc>
          <w:tcPr>
            <w:tcW w:w="752" w:type="pct"/>
            <w:tcBorders>
              <w:top w:val="nil"/>
              <w:left w:val="nil"/>
              <w:bottom w:val="nil"/>
              <w:right w:val="nil"/>
            </w:tcBorders>
            <w:shd w:val="clear" w:color="auto" w:fill="auto"/>
            <w:vAlign w:val="center"/>
            <w:hideMark/>
          </w:tcPr>
          <w:p w14:paraId="231E3475"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58CF2945"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1E6F21D2"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19E40477"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1C0CCCA6" w14:textId="77777777" w:rsidR="00862A01" w:rsidRPr="00872D7E" w:rsidRDefault="00862A01" w:rsidP="00862A01">
            <w:pPr>
              <w:jc w:val="both"/>
              <w:rPr>
                <w:color w:val="000000"/>
                <w:sz w:val="18"/>
                <w:szCs w:val="18"/>
              </w:rPr>
            </w:pPr>
            <w:r w:rsidRPr="00872D7E">
              <w:rPr>
                <w:color w:val="000000"/>
                <w:sz w:val="18"/>
                <w:szCs w:val="18"/>
              </w:rPr>
              <w:t>Taşıt Kredisi</w:t>
            </w:r>
          </w:p>
        </w:tc>
        <w:tc>
          <w:tcPr>
            <w:tcW w:w="752" w:type="pct"/>
            <w:tcBorders>
              <w:top w:val="nil"/>
              <w:left w:val="nil"/>
              <w:bottom w:val="nil"/>
              <w:right w:val="nil"/>
            </w:tcBorders>
            <w:shd w:val="clear" w:color="auto" w:fill="auto"/>
            <w:vAlign w:val="center"/>
            <w:hideMark/>
          </w:tcPr>
          <w:p w14:paraId="3213B95F"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39BB4CC6"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617D2AE9"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0BB7F755"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5B8BF836" w14:textId="77777777" w:rsidR="00862A01" w:rsidRPr="00872D7E" w:rsidRDefault="00862A01" w:rsidP="00862A01">
            <w:pPr>
              <w:jc w:val="both"/>
              <w:rPr>
                <w:color w:val="000000"/>
                <w:sz w:val="18"/>
                <w:szCs w:val="18"/>
              </w:rPr>
            </w:pPr>
            <w:r w:rsidRPr="00872D7E">
              <w:rPr>
                <w:color w:val="000000"/>
                <w:sz w:val="18"/>
                <w:szCs w:val="18"/>
              </w:rPr>
              <w:t>İhtiyaç Kredisi</w:t>
            </w:r>
          </w:p>
        </w:tc>
        <w:tc>
          <w:tcPr>
            <w:tcW w:w="752" w:type="pct"/>
            <w:tcBorders>
              <w:top w:val="nil"/>
              <w:left w:val="nil"/>
              <w:bottom w:val="nil"/>
              <w:right w:val="nil"/>
            </w:tcBorders>
            <w:shd w:val="clear" w:color="auto" w:fill="auto"/>
            <w:vAlign w:val="center"/>
            <w:hideMark/>
          </w:tcPr>
          <w:p w14:paraId="23BE0530"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4BD9C68C"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7CA2C6F7"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4F281BE6"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2B982643" w14:textId="77777777" w:rsidR="00862A01" w:rsidRPr="00872D7E" w:rsidRDefault="00862A01" w:rsidP="00862A01">
            <w:pPr>
              <w:jc w:val="both"/>
              <w:rPr>
                <w:color w:val="000000"/>
                <w:sz w:val="18"/>
                <w:szCs w:val="18"/>
              </w:rPr>
            </w:pPr>
            <w:r w:rsidRPr="00872D7E">
              <w:rPr>
                <w:color w:val="000000"/>
                <w:sz w:val="18"/>
                <w:szCs w:val="18"/>
              </w:rPr>
              <w:t>Diğer</w:t>
            </w:r>
          </w:p>
        </w:tc>
        <w:tc>
          <w:tcPr>
            <w:tcW w:w="752" w:type="pct"/>
            <w:tcBorders>
              <w:top w:val="nil"/>
              <w:left w:val="nil"/>
              <w:bottom w:val="nil"/>
              <w:right w:val="nil"/>
            </w:tcBorders>
            <w:shd w:val="clear" w:color="auto" w:fill="auto"/>
            <w:vAlign w:val="center"/>
            <w:hideMark/>
          </w:tcPr>
          <w:p w14:paraId="07009C87"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3D81A5C2"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31C0DE97"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6EF037C7"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50C3269D" w14:textId="77777777" w:rsidR="00862A01" w:rsidRPr="00872D7E" w:rsidRDefault="00862A01" w:rsidP="00862A01">
            <w:pPr>
              <w:jc w:val="both"/>
              <w:rPr>
                <w:b/>
                <w:bCs/>
                <w:color w:val="000000"/>
                <w:sz w:val="18"/>
                <w:szCs w:val="18"/>
              </w:rPr>
            </w:pPr>
            <w:r w:rsidRPr="00872D7E">
              <w:rPr>
                <w:b/>
                <w:bCs/>
                <w:color w:val="000000"/>
                <w:sz w:val="18"/>
                <w:szCs w:val="18"/>
              </w:rPr>
              <w:t>Personel Kredileri-YP</w:t>
            </w:r>
          </w:p>
        </w:tc>
        <w:tc>
          <w:tcPr>
            <w:tcW w:w="752" w:type="pct"/>
            <w:tcBorders>
              <w:top w:val="nil"/>
              <w:left w:val="nil"/>
              <w:bottom w:val="nil"/>
              <w:right w:val="nil"/>
            </w:tcBorders>
            <w:shd w:val="clear" w:color="auto" w:fill="auto"/>
            <w:vAlign w:val="center"/>
            <w:hideMark/>
          </w:tcPr>
          <w:p w14:paraId="69AD29A1"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3322E21A"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5C48C667"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4947B9A7"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1098CFBF" w14:textId="77777777" w:rsidR="00862A01" w:rsidRPr="00872D7E" w:rsidRDefault="00862A01" w:rsidP="00862A01">
            <w:pPr>
              <w:jc w:val="both"/>
              <w:rPr>
                <w:color w:val="000000"/>
                <w:sz w:val="18"/>
                <w:szCs w:val="18"/>
              </w:rPr>
            </w:pPr>
            <w:r w:rsidRPr="00872D7E">
              <w:rPr>
                <w:color w:val="000000"/>
                <w:sz w:val="18"/>
                <w:szCs w:val="18"/>
              </w:rPr>
              <w:t>Konut Kredisi</w:t>
            </w:r>
          </w:p>
        </w:tc>
        <w:tc>
          <w:tcPr>
            <w:tcW w:w="752" w:type="pct"/>
            <w:tcBorders>
              <w:top w:val="nil"/>
              <w:left w:val="nil"/>
              <w:bottom w:val="nil"/>
              <w:right w:val="nil"/>
            </w:tcBorders>
            <w:shd w:val="clear" w:color="auto" w:fill="auto"/>
            <w:vAlign w:val="center"/>
            <w:hideMark/>
          </w:tcPr>
          <w:p w14:paraId="51668F01"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6688F12D"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2E99470E"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0991EFC0"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5FAA2624" w14:textId="77777777" w:rsidR="00862A01" w:rsidRPr="00872D7E" w:rsidRDefault="00862A01" w:rsidP="00862A01">
            <w:pPr>
              <w:jc w:val="both"/>
              <w:rPr>
                <w:color w:val="000000"/>
                <w:sz w:val="18"/>
                <w:szCs w:val="18"/>
              </w:rPr>
            </w:pPr>
            <w:r w:rsidRPr="00872D7E">
              <w:rPr>
                <w:color w:val="000000"/>
                <w:sz w:val="18"/>
                <w:szCs w:val="18"/>
              </w:rPr>
              <w:t>Taşıt Kredisi</w:t>
            </w:r>
          </w:p>
        </w:tc>
        <w:tc>
          <w:tcPr>
            <w:tcW w:w="752" w:type="pct"/>
            <w:tcBorders>
              <w:top w:val="nil"/>
              <w:left w:val="nil"/>
              <w:bottom w:val="nil"/>
              <w:right w:val="nil"/>
            </w:tcBorders>
            <w:shd w:val="clear" w:color="auto" w:fill="auto"/>
            <w:vAlign w:val="center"/>
            <w:hideMark/>
          </w:tcPr>
          <w:p w14:paraId="1D861131"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3B4E3DAC"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43A0C427"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79A156B1"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3EA75B96" w14:textId="77777777" w:rsidR="00862A01" w:rsidRPr="00872D7E" w:rsidRDefault="00862A01" w:rsidP="00862A01">
            <w:pPr>
              <w:jc w:val="both"/>
              <w:rPr>
                <w:color w:val="000000"/>
                <w:sz w:val="18"/>
                <w:szCs w:val="18"/>
              </w:rPr>
            </w:pPr>
            <w:r w:rsidRPr="00872D7E">
              <w:rPr>
                <w:color w:val="000000"/>
                <w:sz w:val="18"/>
                <w:szCs w:val="18"/>
              </w:rPr>
              <w:t>İhtiyaç Kredisi</w:t>
            </w:r>
          </w:p>
        </w:tc>
        <w:tc>
          <w:tcPr>
            <w:tcW w:w="752" w:type="pct"/>
            <w:tcBorders>
              <w:top w:val="nil"/>
              <w:left w:val="nil"/>
              <w:bottom w:val="nil"/>
              <w:right w:val="nil"/>
            </w:tcBorders>
            <w:shd w:val="clear" w:color="auto" w:fill="auto"/>
            <w:vAlign w:val="center"/>
            <w:hideMark/>
          </w:tcPr>
          <w:p w14:paraId="3571643B"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5A1F03FF"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72E9424C"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315E0AA9"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3D87B285" w14:textId="77777777" w:rsidR="00862A01" w:rsidRPr="00872D7E" w:rsidRDefault="00862A01" w:rsidP="00862A01">
            <w:pPr>
              <w:jc w:val="both"/>
              <w:rPr>
                <w:color w:val="000000"/>
                <w:sz w:val="18"/>
                <w:szCs w:val="18"/>
              </w:rPr>
            </w:pPr>
            <w:r w:rsidRPr="00872D7E">
              <w:rPr>
                <w:color w:val="000000"/>
                <w:sz w:val="18"/>
                <w:szCs w:val="18"/>
              </w:rPr>
              <w:t>Diğer</w:t>
            </w:r>
          </w:p>
        </w:tc>
        <w:tc>
          <w:tcPr>
            <w:tcW w:w="752" w:type="pct"/>
            <w:tcBorders>
              <w:top w:val="nil"/>
              <w:left w:val="nil"/>
              <w:bottom w:val="nil"/>
              <w:right w:val="nil"/>
            </w:tcBorders>
            <w:shd w:val="clear" w:color="auto" w:fill="auto"/>
            <w:vAlign w:val="center"/>
            <w:hideMark/>
          </w:tcPr>
          <w:p w14:paraId="19D879A7"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20BFAD46"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74671358"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383AE725"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7FCBBA40" w14:textId="77777777" w:rsidR="00862A01" w:rsidRPr="00872D7E" w:rsidRDefault="00862A01" w:rsidP="00862A01">
            <w:pPr>
              <w:jc w:val="both"/>
              <w:rPr>
                <w:b/>
                <w:bCs/>
                <w:color w:val="000000"/>
                <w:sz w:val="18"/>
                <w:szCs w:val="18"/>
              </w:rPr>
            </w:pPr>
            <w:r w:rsidRPr="00872D7E">
              <w:rPr>
                <w:b/>
                <w:bCs/>
                <w:color w:val="000000"/>
                <w:sz w:val="18"/>
                <w:szCs w:val="18"/>
              </w:rPr>
              <w:t>Personel Kredi Kartları-TP</w:t>
            </w:r>
          </w:p>
        </w:tc>
        <w:tc>
          <w:tcPr>
            <w:tcW w:w="752" w:type="pct"/>
            <w:tcBorders>
              <w:top w:val="nil"/>
              <w:left w:val="nil"/>
              <w:bottom w:val="nil"/>
              <w:right w:val="nil"/>
            </w:tcBorders>
            <w:shd w:val="clear" w:color="auto" w:fill="auto"/>
            <w:vAlign w:val="center"/>
            <w:hideMark/>
          </w:tcPr>
          <w:p w14:paraId="45B526AE"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5199BDBF"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12112EBE"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25F9D9C8"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46C25227" w14:textId="77777777" w:rsidR="00862A01" w:rsidRPr="00872D7E" w:rsidRDefault="00862A01" w:rsidP="00862A01">
            <w:pPr>
              <w:jc w:val="both"/>
              <w:rPr>
                <w:color w:val="000000"/>
                <w:sz w:val="18"/>
                <w:szCs w:val="18"/>
              </w:rPr>
            </w:pPr>
            <w:r w:rsidRPr="00872D7E">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27D68899"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6C4314AB"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647CE213"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02E8CC64"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7D249030" w14:textId="77777777" w:rsidR="00862A01" w:rsidRPr="00872D7E" w:rsidRDefault="00862A01" w:rsidP="00862A01">
            <w:pPr>
              <w:jc w:val="both"/>
              <w:rPr>
                <w:color w:val="000000"/>
                <w:sz w:val="18"/>
                <w:szCs w:val="18"/>
              </w:rPr>
            </w:pPr>
            <w:r w:rsidRPr="00872D7E">
              <w:rPr>
                <w:color w:val="000000"/>
                <w:sz w:val="18"/>
                <w:szCs w:val="18"/>
              </w:rPr>
              <w:t>Taksitsiz</w:t>
            </w:r>
          </w:p>
        </w:tc>
        <w:tc>
          <w:tcPr>
            <w:tcW w:w="752" w:type="pct"/>
            <w:tcBorders>
              <w:top w:val="nil"/>
              <w:left w:val="nil"/>
              <w:bottom w:val="nil"/>
              <w:right w:val="nil"/>
            </w:tcBorders>
            <w:shd w:val="clear" w:color="auto" w:fill="auto"/>
            <w:vAlign w:val="center"/>
            <w:hideMark/>
          </w:tcPr>
          <w:p w14:paraId="7EBC8D07"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227B2EAB"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6ABA29F7"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19BC8759"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37F5BBC5" w14:textId="77777777" w:rsidR="00862A01" w:rsidRPr="00872D7E" w:rsidRDefault="00862A01" w:rsidP="00862A01">
            <w:pPr>
              <w:jc w:val="both"/>
              <w:rPr>
                <w:b/>
                <w:bCs/>
                <w:color w:val="000000"/>
                <w:sz w:val="18"/>
                <w:szCs w:val="18"/>
              </w:rPr>
            </w:pPr>
            <w:r w:rsidRPr="00872D7E">
              <w:rPr>
                <w:b/>
                <w:bCs/>
                <w:color w:val="000000"/>
                <w:sz w:val="18"/>
                <w:szCs w:val="18"/>
              </w:rPr>
              <w:t>Personel Kredi Kartları-YP</w:t>
            </w:r>
          </w:p>
        </w:tc>
        <w:tc>
          <w:tcPr>
            <w:tcW w:w="752" w:type="pct"/>
            <w:tcBorders>
              <w:top w:val="nil"/>
              <w:left w:val="nil"/>
              <w:bottom w:val="nil"/>
              <w:right w:val="nil"/>
            </w:tcBorders>
            <w:shd w:val="clear" w:color="auto" w:fill="auto"/>
            <w:vAlign w:val="center"/>
            <w:hideMark/>
          </w:tcPr>
          <w:p w14:paraId="69314B2F"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231E3A05"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59A49387"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531E4D91"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70A12AFC" w14:textId="77777777" w:rsidR="00862A01" w:rsidRPr="00872D7E" w:rsidRDefault="00862A01" w:rsidP="00862A01">
            <w:pPr>
              <w:jc w:val="both"/>
              <w:rPr>
                <w:color w:val="000000"/>
                <w:sz w:val="18"/>
                <w:szCs w:val="18"/>
              </w:rPr>
            </w:pPr>
            <w:r w:rsidRPr="00872D7E">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71FAF497"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43862630"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0C73D77B"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6F9DEC78" w14:textId="77777777" w:rsidTr="00862A01">
        <w:trPr>
          <w:divId w:val="1868523990"/>
          <w:trHeight w:val="170"/>
        </w:trPr>
        <w:tc>
          <w:tcPr>
            <w:tcW w:w="2634" w:type="pct"/>
            <w:tcBorders>
              <w:top w:val="nil"/>
              <w:left w:val="nil"/>
              <w:bottom w:val="nil"/>
              <w:right w:val="nil"/>
            </w:tcBorders>
            <w:shd w:val="clear" w:color="auto" w:fill="auto"/>
            <w:noWrap/>
            <w:vAlign w:val="center"/>
            <w:hideMark/>
          </w:tcPr>
          <w:p w14:paraId="4C92A33E" w14:textId="77777777" w:rsidR="00862A01" w:rsidRPr="00872D7E" w:rsidRDefault="00862A01" w:rsidP="00862A01">
            <w:pPr>
              <w:jc w:val="both"/>
              <w:rPr>
                <w:color w:val="000000"/>
                <w:sz w:val="18"/>
                <w:szCs w:val="18"/>
              </w:rPr>
            </w:pPr>
            <w:r w:rsidRPr="00872D7E">
              <w:rPr>
                <w:color w:val="000000"/>
                <w:sz w:val="18"/>
                <w:szCs w:val="18"/>
              </w:rPr>
              <w:t>Taksitsiz</w:t>
            </w:r>
          </w:p>
        </w:tc>
        <w:tc>
          <w:tcPr>
            <w:tcW w:w="752" w:type="pct"/>
            <w:tcBorders>
              <w:top w:val="nil"/>
              <w:left w:val="nil"/>
              <w:bottom w:val="nil"/>
              <w:right w:val="nil"/>
            </w:tcBorders>
            <w:shd w:val="clear" w:color="auto" w:fill="auto"/>
            <w:vAlign w:val="center"/>
            <w:hideMark/>
          </w:tcPr>
          <w:p w14:paraId="308D6D1F"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nil"/>
              <w:right w:val="nil"/>
            </w:tcBorders>
            <w:shd w:val="clear" w:color="auto" w:fill="auto"/>
            <w:vAlign w:val="center"/>
            <w:hideMark/>
          </w:tcPr>
          <w:p w14:paraId="3CA011CF"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nil"/>
              <w:right w:val="nil"/>
            </w:tcBorders>
            <w:shd w:val="clear" w:color="auto" w:fill="auto"/>
            <w:vAlign w:val="center"/>
            <w:hideMark/>
          </w:tcPr>
          <w:p w14:paraId="63D7F9FB"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505D6FFF" w14:textId="77777777" w:rsidTr="00862A01">
        <w:trPr>
          <w:divId w:val="1868523990"/>
          <w:trHeight w:val="170"/>
        </w:trPr>
        <w:tc>
          <w:tcPr>
            <w:tcW w:w="2634" w:type="pct"/>
            <w:tcBorders>
              <w:top w:val="nil"/>
              <w:left w:val="nil"/>
              <w:right w:val="nil"/>
            </w:tcBorders>
            <w:shd w:val="clear" w:color="auto" w:fill="auto"/>
            <w:noWrap/>
            <w:vAlign w:val="center"/>
            <w:hideMark/>
          </w:tcPr>
          <w:p w14:paraId="1885B314" w14:textId="77777777" w:rsidR="00862A01" w:rsidRPr="00872D7E" w:rsidRDefault="00862A01" w:rsidP="00862A01">
            <w:pPr>
              <w:jc w:val="both"/>
              <w:rPr>
                <w:b/>
                <w:bCs/>
                <w:color w:val="000000"/>
                <w:sz w:val="18"/>
                <w:szCs w:val="18"/>
              </w:rPr>
            </w:pPr>
            <w:r w:rsidRPr="00872D7E">
              <w:rPr>
                <w:b/>
                <w:bCs/>
                <w:color w:val="000000"/>
                <w:sz w:val="18"/>
                <w:szCs w:val="18"/>
              </w:rPr>
              <w:t>Kredili Mevduat Hesabı-TP (Gerçek Kişi)</w:t>
            </w:r>
          </w:p>
        </w:tc>
        <w:tc>
          <w:tcPr>
            <w:tcW w:w="752" w:type="pct"/>
            <w:tcBorders>
              <w:top w:val="nil"/>
              <w:left w:val="nil"/>
              <w:right w:val="nil"/>
            </w:tcBorders>
            <w:shd w:val="clear" w:color="auto" w:fill="auto"/>
            <w:vAlign w:val="center"/>
            <w:hideMark/>
          </w:tcPr>
          <w:p w14:paraId="5C33C6ED"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right w:val="nil"/>
            </w:tcBorders>
            <w:shd w:val="clear" w:color="auto" w:fill="auto"/>
            <w:vAlign w:val="center"/>
            <w:hideMark/>
          </w:tcPr>
          <w:p w14:paraId="496368EF"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right w:val="nil"/>
            </w:tcBorders>
            <w:shd w:val="clear" w:color="auto" w:fill="auto"/>
            <w:vAlign w:val="center"/>
            <w:hideMark/>
          </w:tcPr>
          <w:p w14:paraId="05BD75D0"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6439C134" w14:textId="77777777" w:rsidTr="00862A01">
        <w:trPr>
          <w:divId w:val="1868523990"/>
          <w:trHeight w:val="170"/>
        </w:trPr>
        <w:tc>
          <w:tcPr>
            <w:tcW w:w="2634" w:type="pct"/>
            <w:tcBorders>
              <w:top w:val="nil"/>
              <w:left w:val="nil"/>
              <w:bottom w:val="single" w:sz="4" w:space="0" w:color="auto"/>
              <w:right w:val="nil"/>
            </w:tcBorders>
            <w:shd w:val="clear" w:color="auto" w:fill="auto"/>
            <w:noWrap/>
            <w:vAlign w:val="center"/>
            <w:hideMark/>
          </w:tcPr>
          <w:p w14:paraId="2B9E75C3" w14:textId="77777777" w:rsidR="00862A01" w:rsidRPr="00872D7E" w:rsidRDefault="00862A01" w:rsidP="00862A01">
            <w:pPr>
              <w:jc w:val="both"/>
              <w:rPr>
                <w:b/>
                <w:bCs/>
                <w:color w:val="000000"/>
                <w:sz w:val="18"/>
                <w:szCs w:val="18"/>
              </w:rPr>
            </w:pPr>
            <w:r w:rsidRPr="00872D7E">
              <w:rPr>
                <w:b/>
                <w:bCs/>
                <w:color w:val="000000"/>
                <w:sz w:val="18"/>
                <w:szCs w:val="18"/>
              </w:rPr>
              <w:t>Kredili Mevduat Hesabı-YP (Gerçek Kişi)</w:t>
            </w:r>
          </w:p>
        </w:tc>
        <w:tc>
          <w:tcPr>
            <w:tcW w:w="752" w:type="pct"/>
            <w:tcBorders>
              <w:top w:val="nil"/>
              <w:left w:val="nil"/>
              <w:bottom w:val="single" w:sz="4" w:space="0" w:color="auto"/>
              <w:right w:val="nil"/>
            </w:tcBorders>
            <w:shd w:val="clear" w:color="auto" w:fill="auto"/>
            <w:vAlign w:val="center"/>
            <w:hideMark/>
          </w:tcPr>
          <w:p w14:paraId="7918716F" w14:textId="77777777" w:rsidR="00862A01" w:rsidRPr="00872D7E" w:rsidRDefault="00862A01" w:rsidP="00862A01">
            <w:pPr>
              <w:jc w:val="right"/>
              <w:rPr>
                <w:color w:val="000000"/>
                <w:sz w:val="18"/>
                <w:szCs w:val="18"/>
              </w:rPr>
            </w:pPr>
            <w:r w:rsidRPr="00872D7E">
              <w:rPr>
                <w:color w:val="000000"/>
                <w:sz w:val="18"/>
                <w:szCs w:val="18"/>
              </w:rPr>
              <w:t>-</w:t>
            </w:r>
          </w:p>
        </w:tc>
        <w:tc>
          <w:tcPr>
            <w:tcW w:w="874" w:type="pct"/>
            <w:tcBorders>
              <w:top w:val="nil"/>
              <w:left w:val="nil"/>
              <w:bottom w:val="single" w:sz="4" w:space="0" w:color="auto"/>
              <w:right w:val="nil"/>
            </w:tcBorders>
            <w:shd w:val="clear" w:color="auto" w:fill="auto"/>
            <w:vAlign w:val="center"/>
            <w:hideMark/>
          </w:tcPr>
          <w:p w14:paraId="39C4A6FC" w14:textId="77777777" w:rsidR="00862A01" w:rsidRPr="00872D7E" w:rsidRDefault="00862A01" w:rsidP="00862A01">
            <w:pPr>
              <w:jc w:val="right"/>
              <w:rPr>
                <w:color w:val="000000"/>
                <w:sz w:val="18"/>
                <w:szCs w:val="18"/>
              </w:rPr>
            </w:pPr>
            <w:r w:rsidRPr="00872D7E">
              <w:rPr>
                <w:color w:val="000000"/>
                <w:sz w:val="18"/>
                <w:szCs w:val="18"/>
              </w:rPr>
              <w:t>-</w:t>
            </w:r>
          </w:p>
        </w:tc>
        <w:tc>
          <w:tcPr>
            <w:tcW w:w="740" w:type="pct"/>
            <w:tcBorders>
              <w:top w:val="nil"/>
              <w:left w:val="nil"/>
              <w:bottom w:val="single" w:sz="4" w:space="0" w:color="auto"/>
              <w:right w:val="nil"/>
            </w:tcBorders>
            <w:shd w:val="clear" w:color="auto" w:fill="auto"/>
            <w:vAlign w:val="center"/>
            <w:hideMark/>
          </w:tcPr>
          <w:p w14:paraId="4846EE88"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39D6FB67" w14:textId="77777777" w:rsidTr="00862A01">
        <w:trPr>
          <w:divId w:val="1868523990"/>
          <w:trHeight w:val="170"/>
        </w:trPr>
        <w:tc>
          <w:tcPr>
            <w:tcW w:w="2634" w:type="pct"/>
            <w:tcBorders>
              <w:top w:val="single" w:sz="4" w:space="0" w:color="auto"/>
              <w:left w:val="nil"/>
              <w:right w:val="nil"/>
            </w:tcBorders>
            <w:shd w:val="clear" w:color="auto" w:fill="auto"/>
            <w:noWrap/>
            <w:vAlign w:val="center"/>
            <w:hideMark/>
          </w:tcPr>
          <w:p w14:paraId="16B5D404" w14:textId="77777777" w:rsidR="00862A01" w:rsidRPr="00872D7E" w:rsidRDefault="00862A01" w:rsidP="00862A01">
            <w:pPr>
              <w:jc w:val="right"/>
              <w:rPr>
                <w:color w:val="000000"/>
                <w:sz w:val="18"/>
                <w:szCs w:val="18"/>
              </w:rPr>
            </w:pPr>
          </w:p>
        </w:tc>
        <w:tc>
          <w:tcPr>
            <w:tcW w:w="752" w:type="pct"/>
            <w:tcBorders>
              <w:top w:val="single" w:sz="4" w:space="0" w:color="auto"/>
              <w:left w:val="nil"/>
              <w:right w:val="nil"/>
            </w:tcBorders>
            <w:shd w:val="clear" w:color="auto" w:fill="auto"/>
            <w:noWrap/>
            <w:vAlign w:val="center"/>
            <w:hideMark/>
          </w:tcPr>
          <w:p w14:paraId="5893550C" w14:textId="77777777" w:rsidR="00862A01" w:rsidRPr="00872D7E" w:rsidRDefault="00862A01" w:rsidP="00862A01">
            <w:pPr>
              <w:jc w:val="right"/>
              <w:rPr>
                <w:sz w:val="18"/>
                <w:szCs w:val="18"/>
              </w:rPr>
            </w:pPr>
          </w:p>
        </w:tc>
        <w:tc>
          <w:tcPr>
            <w:tcW w:w="874" w:type="pct"/>
            <w:tcBorders>
              <w:top w:val="single" w:sz="4" w:space="0" w:color="auto"/>
              <w:left w:val="nil"/>
              <w:right w:val="nil"/>
            </w:tcBorders>
            <w:shd w:val="clear" w:color="auto" w:fill="auto"/>
            <w:noWrap/>
            <w:vAlign w:val="center"/>
            <w:hideMark/>
          </w:tcPr>
          <w:p w14:paraId="2732A506" w14:textId="77777777" w:rsidR="00862A01" w:rsidRPr="00872D7E" w:rsidRDefault="00862A01" w:rsidP="00862A01">
            <w:pPr>
              <w:jc w:val="right"/>
              <w:rPr>
                <w:sz w:val="18"/>
                <w:szCs w:val="18"/>
              </w:rPr>
            </w:pPr>
          </w:p>
        </w:tc>
        <w:tc>
          <w:tcPr>
            <w:tcW w:w="740" w:type="pct"/>
            <w:tcBorders>
              <w:top w:val="single" w:sz="4" w:space="0" w:color="auto"/>
              <w:left w:val="nil"/>
              <w:right w:val="nil"/>
            </w:tcBorders>
            <w:shd w:val="clear" w:color="auto" w:fill="auto"/>
            <w:noWrap/>
            <w:vAlign w:val="center"/>
            <w:hideMark/>
          </w:tcPr>
          <w:p w14:paraId="5CF18DBA" w14:textId="77777777" w:rsidR="00862A01" w:rsidRPr="00872D7E" w:rsidRDefault="00862A01" w:rsidP="00862A01">
            <w:pPr>
              <w:jc w:val="right"/>
              <w:rPr>
                <w:sz w:val="18"/>
                <w:szCs w:val="18"/>
              </w:rPr>
            </w:pPr>
          </w:p>
        </w:tc>
      </w:tr>
      <w:tr w:rsidR="00862A01" w:rsidRPr="00872D7E" w14:paraId="1FACD8FD" w14:textId="77777777" w:rsidTr="00862A01">
        <w:trPr>
          <w:divId w:val="1868523990"/>
          <w:trHeight w:val="170"/>
        </w:trPr>
        <w:tc>
          <w:tcPr>
            <w:tcW w:w="2634" w:type="pct"/>
            <w:tcBorders>
              <w:top w:val="nil"/>
              <w:left w:val="nil"/>
              <w:bottom w:val="single" w:sz="12" w:space="0" w:color="auto"/>
              <w:right w:val="nil"/>
            </w:tcBorders>
            <w:shd w:val="clear" w:color="auto" w:fill="auto"/>
            <w:noWrap/>
            <w:vAlign w:val="center"/>
            <w:hideMark/>
          </w:tcPr>
          <w:p w14:paraId="0777684D" w14:textId="77777777" w:rsidR="00862A01" w:rsidRPr="00872D7E" w:rsidRDefault="00862A01" w:rsidP="00862A01">
            <w:pPr>
              <w:jc w:val="both"/>
              <w:rPr>
                <w:b/>
                <w:bCs/>
                <w:color w:val="000000"/>
                <w:sz w:val="18"/>
                <w:szCs w:val="18"/>
              </w:rPr>
            </w:pPr>
            <w:r w:rsidRPr="00872D7E">
              <w:rPr>
                <w:b/>
                <w:bCs/>
                <w:color w:val="000000"/>
                <w:sz w:val="18"/>
                <w:szCs w:val="18"/>
              </w:rPr>
              <w:t>Toplam</w:t>
            </w:r>
          </w:p>
        </w:tc>
        <w:tc>
          <w:tcPr>
            <w:tcW w:w="752" w:type="pct"/>
            <w:tcBorders>
              <w:top w:val="nil"/>
              <w:left w:val="nil"/>
              <w:bottom w:val="single" w:sz="12" w:space="0" w:color="auto"/>
              <w:right w:val="nil"/>
            </w:tcBorders>
            <w:shd w:val="clear" w:color="auto" w:fill="auto"/>
            <w:vAlign w:val="center"/>
            <w:hideMark/>
          </w:tcPr>
          <w:p w14:paraId="0AE90933" w14:textId="77777777" w:rsidR="00862A01" w:rsidRPr="00872D7E" w:rsidRDefault="00862A01" w:rsidP="00862A01">
            <w:pPr>
              <w:jc w:val="right"/>
              <w:rPr>
                <w:b/>
                <w:bCs/>
                <w:color w:val="000000"/>
                <w:sz w:val="18"/>
                <w:szCs w:val="18"/>
              </w:rPr>
            </w:pPr>
            <w:r w:rsidRPr="00872D7E">
              <w:rPr>
                <w:b/>
                <w:bCs/>
                <w:color w:val="000000"/>
                <w:sz w:val="18"/>
                <w:szCs w:val="18"/>
              </w:rPr>
              <w:t>755</w:t>
            </w:r>
          </w:p>
        </w:tc>
        <w:tc>
          <w:tcPr>
            <w:tcW w:w="874" w:type="pct"/>
            <w:tcBorders>
              <w:top w:val="nil"/>
              <w:left w:val="nil"/>
              <w:bottom w:val="single" w:sz="12" w:space="0" w:color="auto"/>
              <w:right w:val="nil"/>
            </w:tcBorders>
            <w:shd w:val="clear" w:color="auto" w:fill="auto"/>
            <w:vAlign w:val="center"/>
            <w:hideMark/>
          </w:tcPr>
          <w:p w14:paraId="291297FC" w14:textId="77777777" w:rsidR="00862A01" w:rsidRPr="00872D7E" w:rsidRDefault="00862A01" w:rsidP="00862A01">
            <w:pPr>
              <w:jc w:val="right"/>
              <w:rPr>
                <w:b/>
                <w:bCs/>
                <w:color w:val="000000"/>
                <w:sz w:val="18"/>
                <w:szCs w:val="18"/>
              </w:rPr>
            </w:pPr>
            <w:r w:rsidRPr="00872D7E">
              <w:rPr>
                <w:b/>
                <w:bCs/>
                <w:color w:val="000000"/>
                <w:sz w:val="18"/>
                <w:szCs w:val="18"/>
              </w:rPr>
              <w:t>121</w:t>
            </w:r>
          </w:p>
        </w:tc>
        <w:tc>
          <w:tcPr>
            <w:tcW w:w="740" w:type="pct"/>
            <w:tcBorders>
              <w:top w:val="nil"/>
              <w:left w:val="nil"/>
              <w:bottom w:val="single" w:sz="12" w:space="0" w:color="auto"/>
              <w:right w:val="nil"/>
            </w:tcBorders>
            <w:shd w:val="clear" w:color="auto" w:fill="auto"/>
            <w:vAlign w:val="center"/>
            <w:hideMark/>
          </w:tcPr>
          <w:p w14:paraId="495D69B3" w14:textId="77777777" w:rsidR="00862A01" w:rsidRPr="00872D7E" w:rsidRDefault="00862A01" w:rsidP="00862A01">
            <w:pPr>
              <w:jc w:val="right"/>
              <w:rPr>
                <w:b/>
                <w:bCs/>
                <w:color w:val="000000"/>
                <w:sz w:val="18"/>
                <w:szCs w:val="18"/>
              </w:rPr>
            </w:pPr>
            <w:r w:rsidRPr="00872D7E">
              <w:rPr>
                <w:b/>
                <w:bCs/>
                <w:color w:val="000000"/>
                <w:sz w:val="18"/>
                <w:szCs w:val="18"/>
              </w:rPr>
              <w:t>876</w:t>
            </w:r>
          </w:p>
        </w:tc>
      </w:tr>
    </w:tbl>
    <w:p w14:paraId="42B95D5E" w14:textId="328D4D52" w:rsidR="0098050E" w:rsidRPr="00872D7E" w:rsidRDefault="0098050E" w:rsidP="00AE0899">
      <w:pPr>
        <w:pStyle w:val="BodyTextIndent"/>
        <w:widowControl w:val="0"/>
        <w:ind w:left="-14" w:right="70" w:hanging="602"/>
        <w:rPr>
          <w:b/>
          <w:szCs w:val="20"/>
        </w:rPr>
      </w:pPr>
    </w:p>
    <w:p w14:paraId="102D74A2" w14:textId="133566C1" w:rsidR="0098050E" w:rsidRPr="00872D7E" w:rsidRDefault="00783275" w:rsidP="00551066">
      <w:pPr>
        <w:widowControl w:val="0"/>
        <w:jc w:val="both"/>
        <w:rPr>
          <w:bCs/>
          <w:szCs w:val="20"/>
        </w:rPr>
      </w:pPr>
      <w:r w:rsidRPr="00872D7E">
        <w:rPr>
          <w:szCs w:val="20"/>
        </w:rPr>
        <w:t>1 Ocak 2024 tarihi itibarıyla Banka’nın kredisi bulunmamaktadır.</w:t>
      </w:r>
    </w:p>
    <w:p w14:paraId="766F7589" w14:textId="77777777" w:rsidR="00426C04" w:rsidRPr="00872D7E" w:rsidRDefault="00426C04">
      <w:pPr>
        <w:rPr>
          <w:b/>
          <w:szCs w:val="20"/>
        </w:rPr>
      </w:pPr>
    </w:p>
    <w:p w14:paraId="569360BA" w14:textId="77777777" w:rsidR="009B0E8B" w:rsidRPr="00872D7E" w:rsidRDefault="009B0E8B">
      <w:pPr>
        <w:rPr>
          <w:b/>
          <w:szCs w:val="20"/>
        </w:rPr>
      </w:pPr>
      <w:r w:rsidRPr="00872D7E">
        <w:rPr>
          <w:b/>
          <w:szCs w:val="20"/>
        </w:rPr>
        <w:br w:type="page"/>
      </w:r>
    </w:p>
    <w:p w14:paraId="2CFCFE69" w14:textId="35674A1F" w:rsidR="00426C04" w:rsidRPr="00872D7E" w:rsidRDefault="00426C04" w:rsidP="009B0E8B">
      <w:pPr>
        <w:spacing w:after="120"/>
        <w:rPr>
          <w:b/>
          <w:szCs w:val="20"/>
        </w:rPr>
      </w:pPr>
      <w:r w:rsidRPr="00872D7E">
        <w:rPr>
          <w:b/>
          <w:szCs w:val="20"/>
        </w:rPr>
        <w:lastRenderedPageBreak/>
        <w:t>KONSOLİDE OLMAYAN FİNANSAL TABLOLARA İLİŞKİN AÇIKLAMA VE DİPNOTLAR (Devamı)</w:t>
      </w:r>
    </w:p>
    <w:p w14:paraId="4A24DA89" w14:textId="77777777" w:rsidR="00426C04" w:rsidRPr="00872D7E" w:rsidRDefault="00426C04" w:rsidP="00DF282B">
      <w:pPr>
        <w:pStyle w:val="ListParagraph"/>
        <w:widowControl w:val="0"/>
        <w:numPr>
          <w:ilvl w:val="0"/>
          <w:numId w:val="71"/>
        </w:numPr>
        <w:spacing w:after="120"/>
        <w:ind w:left="709"/>
        <w:jc w:val="both"/>
        <w:rPr>
          <w:b/>
          <w:szCs w:val="20"/>
        </w:rPr>
      </w:pPr>
      <w:r w:rsidRPr="00872D7E">
        <w:rPr>
          <w:b/>
          <w:szCs w:val="20"/>
        </w:rPr>
        <w:t>BİLANÇONUN AKTİF HESAPLARINA İLİŞKİN AÇIKLAMA VE DİPNOTLAR (Devamı)</w:t>
      </w:r>
    </w:p>
    <w:p w14:paraId="7D26DDD2" w14:textId="77777777" w:rsidR="00426C04" w:rsidRPr="00872D7E" w:rsidRDefault="00426C04" w:rsidP="00DF282B">
      <w:pPr>
        <w:pStyle w:val="BodyTextIndent"/>
        <w:widowControl w:val="0"/>
        <w:numPr>
          <w:ilvl w:val="0"/>
          <w:numId w:val="64"/>
        </w:numPr>
        <w:tabs>
          <w:tab w:val="clear" w:pos="720"/>
        </w:tabs>
        <w:spacing w:after="120"/>
        <w:ind w:hanging="720"/>
        <w:rPr>
          <w:b/>
          <w:szCs w:val="20"/>
        </w:rPr>
      </w:pPr>
      <w:r w:rsidRPr="00872D7E">
        <w:rPr>
          <w:b/>
          <w:szCs w:val="20"/>
        </w:rPr>
        <w:t>Kredilere ilişkin açıklamalar (Devamı)</w:t>
      </w:r>
    </w:p>
    <w:p w14:paraId="786D92E5" w14:textId="2DD8ECF3" w:rsidR="0098050E" w:rsidRPr="00872D7E" w:rsidRDefault="0098050E" w:rsidP="000B0EE6">
      <w:pPr>
        <w:pStyle w:val="BodyTextIndent"/>
        <w:widowControl w:val="0"/>
        <w:numPr>
          <w:ilvl w:val="0"/>
          <w:numId w:val="6"/>
        </w:numPr>
        <w:tabs>
          <w:tab w:val="clear" w:pos="540"/>
        </w:tabs>
        <w:ind w:left="567" w:hanging="567"/>
        <w:rPr>
          <w:b/>
          <w:szCs w:val="20"/>
        </w:rPr>
      </w:pPr>
      <w:r w:rsidRPr="00872D7E">
        <w:rPr>
          <w:b/>
          <w:szCs w:val="20"/>
        </w:rPr>
        <w:t>Taksitli ticari krediler ve kurumsal kredi kartlarına ilişkin bilgiler:</w:t>
      </w:r>
    </w:p>
    <w:p w14:paraId="2827A234" w14:textId="44CE1F23" w:rsidR="00862A01" w:rsidRPr="00872D7E" w:rsidRDefault="00862A01" w:rsidP="00AE0899">
      <w:pPr>
        <w:widowControl w:val="0"/>
        <w:ind w:left="851"/>
        <w:rPr>
          <w:szCs w:val="20"/>
        </w:rPr>
      </w:pPr>
    </w:p>
    <w:tbl>
      <w:tblPr>
        <w:tblW w:w="5000" w:type="pct"/>
        <w:tblCellMar>
          <w:left w:w="70" w:type="dxa"/>
          <w:right w:w="70" w:type="dxa"/>
        </w:tblCellMar>
        <w:tblLook w:val="04A0" w:firstRow="1" w:lastRow="0" w:firstColumn="1" w:lastColumn="0" w:noHBand="0" w:noVBand="1"/>
      </w:tblPr>
      <w:tblGrid>
        <w:gridCol w:w="4663"/>
        <w:gridCol w:w="1564"/>
        <w:gridCol w:w="1564"/>
        <w:gridCol w:w="1564"/>
      </w:tblGrid>
      <w:tr w:rsidR="00862A01" w:rsidRPr="00872D7E" w14:paraId="55F324D3" w14:textId="77777777" w:rsidTr="00CC41DB">
        <w:trPr>
          <w:divId w:val="887840538"/>
          <w:trHeight w:val="170"/>
        </w:trPr>
        <w:tc>
          <w:tcPr>
            <w:tcW w:w="2492" w:type="pct"/>
            <w:tcBorders>
              <w:top w:val="nil"/>
              <w:left w:val="nil"/>
              <w:bottom w:val="single" w:sz="4" w:space="0" w:color="auto"/>
              <w:right w:val="nil"/>
            </w:tcBorders>
            <w:shd w:val="clear" w:color="auto" w:fill="auto"/>
            <w:noWrap/>
            <w:vAlign w:val="bottom"/>
            <w:hideMark/>
          </w:tcPr>
          <w:p w14:paraId="7AC47D89" w14:textId="121E1C12" w:rsidR="00862A01" w:rsidRPr="00872D7E" w:rsidRDefault="00862A01" w:rsidP="00862A01">
            <w:pPr>
              <w:rPr>
                <w:b/>
                <w:bCs/>
                <w:color w:val="000000"/>
                <w:sz w:val="18"/>
                <w:szCs w:val="18"/>
              </w:rPr>
            </w:pPr>
            <w:r w:rsidRPr="00872D7E">
              <w:rPr>
                <w:b/>
                <w:bCs/>
                <w:color w:val="000000"/>
                <w:sz w:val="18"/>
                <w:szCs w:val="18"/>
              </w:rPr>
              <w:t>31 Aralık 2024</w:t>
            </w:r>
          </w:p>
        </w:tc>
        <w:tc>
          <w:tcPr>
            <w:tcW w:w="836" w:type="pct"/>
            <w:tcBorders>
              <w:top w:val="nil"/>
              <w:left w:val="nil"/>
              <w:bottom w:val="single" w:sz="4" w:space="0" w:color="auto"/>
              <w:right w:val="nil"/>
            </w:tcBorders>
            <w:shd w:val="clear" w:color="auto" w:fill="auto"/>
            <w:vAlign w:val="bottom"/>
            <w:hideMark/>
          </w:tcPr>
          <w:p w14:paraId="5F10FDB5" w14:textId="77777777" w:rsidR="00862A01" w:rsidRPr="00872D7E" w:rsidRDefault="00862A01" w:rsidP="00862A01">
            <w:pPr>
              <w:jc w:val="right"/>
              <w:rPr>
                <w:b/>
                <w:bCs/>
                <w:color w:val="000000"/>
                <w:sz w:val="18"/>
                <w:szCs w:val="18"/>
              </w:rPr>
            </w:pPr>
            <w:r w:rsidRPr="00872D7E">
              <w:rPr>
                <w:b/>
                <w:bCs/>
                <w:color w:val="000000"/>
                <w:sz w:val="18"/>
                <w:szCs w:val="18"/>
              </w:rPr>
              <w:t>Kısa vadeli</w:t>
            </w:r>
          </w:p>
        </w:tc>
        <w:tc>
          <w:tcPr>
            <w:tcW w:w="836" w:type="pct"/>
            <w:tcBorders>
              <w:top w:val="nil"/>
              <w:left w:val="nil"/>
              <w:bottom w:val="single" w:sz="4" w:space="0" w:color="auto"/>
              <w:right w:val="nil"/>
            </w:tcBorders>
            <w:shd w:val="clear" w:color="auto" w:fill="auto"/>
            <w:vAlign w:val="bottom"/>
            <w:hideMark/>
          </w:tcPr>
          <w:p w14:paraId="29E1FC38" w14:textId="77777777" w:rsidR="00862A01" w:rsidRPr="00872D7E" w:rsidRDefault="00862A01" w:rsidP="00862A01">
            <w:pPr>
              <w:jc w:val="right"/>
              <w:rPr>
                <w:b/>
                <w:bCs/>
                <w:color w:val="000000"/>
                <w:sz w:val="18"/>
                <w:szCs w:val="18"/>
              </w:rPr>
            </w:pPr>
            <w:r w:rsidRPr="00872D7E">
              <w:rPr>
                <w:b/>
                <w:bCs/>
                <w:color w:val="000000"/>
                <w:sz w:val="18"/>
                <w:szCs w:val="18"/>
              </w:rPr>
              <w:t>Orta ve Uzun vadeli</w:t>
            </w:r>
          </w:p>
        </w:tc>
        <w:tc>
          <w:tcPr>
            <w:tcW w:w="836" w:type="pct"/>
            <w:tcBorders>
              <w:top w:val="nil"/>
              <w:left w:val="nil"/>
              <w:bottom w:val="single" w:sz="4" w:space="0" w:color="auto"/>
              <w:right w:val="nil"/>
            </w:tcBorders>
            <w:shd w:val="clear" w:color="auto" w:fill="auto"/>
            <w:vAlign w:val="bottom"/>
            <w:hideMark/>
          </w:tcPr>
          <w:p w14:paraId="5D95C6A9" w14:textId="77777777" w:rsidR="00862A01" w:rsidRPr="00872D7E" w:rsidRDefault="00862A01" w:rsidP="00862A01">
            <w:pPr>
              <w:jc w:val="right"/>
              <w:rPr>
                <w:b/>
                <w:bCs/>
                <w:color w:val="000000"/>
                <w:sz w:val="18"/>
                <w:szCs w:val="18"/>
              </w:rPr>
            </w:pPr>
            <w:r w:rsidRPr="00872D7E">
              <w:rPr>
                <w:b/>
                <w:bCs/>
                <w:color w:val="000000"/>
                <w:sz w:val="18"/>
                <w:szCs w:val="18"/>
              </w:rPr>
              <w:t>Toplam</w:t>
            </w:r>
          </w:p>
        </w:tc>
      </w:tr>
      <w:tr w:rsidR="00862A01" w:rsidRPr="00872D7E" w14:paraId="579EF956" w14:textId="77777777" w:rsidTr="00CC41DB">
        <w:trPr>
          <w:divId w:val="887840538"/>
          <w:trHeight w:val="170"/>
        </w:trPr>
        <w:tc>
          <w:tcPr>
            <w:tcW w:w="2492" w:type="pct"/>
            <w:tcBorders>
              <w:top w:val="single" w:sz="4" w:space="0" w:color="auto"/>
              <w:left w:val="nil"/>
              <w:bottom w:val="nil"/>
              <w:right w:val="nil"/>
            </w:tcBorders>
            <w:shd w:val="clear" w:color="auto" w:fill="auto"/>
            <w:noWrap/>
            <w:vAlign w:val="bottom"/>
            <w:hideMark/>
          </w:tcPr>
          <w:p w14:paraId="6BD88DEA" w14:textId="77777777" w:rsidR="00862A01" w:rsidRPr="00872D7E" w:rsidRDefault="00862A01" w:rsidP="00862A01">
            <w:pPr>
              <w:jc w:val="right"/>
              <w:rPr>
                <w:b/>
                <w:bCs/>
                <w:color w:val="000000"/>
                <w:sz w:val="18"/>
                <w:szCs w:val="18"/>
              </w:rPr>
            </w:pPr>
          </w:p>
        </w:tc>
        <w:tc>
          <w:tcPr>
            <w:tcW w:w="836" w:type="pct"/>
            <w:tcBorders>
              <w:top w:val="single" w:sz="4" w:space="0" w:color="auto"/>
              <w:left w:val="nil"/>
              <w:bottom w:val="nil"/>
              <w:right w:val="nil"/>
            </w:tcBorders>
            <w:shd w:val="clear" w:color="auto" w:fill="auto"/>
            <w:noWrap/>
            <w:vAlign w:val="bottom"/>
            <w:hideMark/>
          </w:tcPr>
          <w:p w14:paraId="6DC92CFC" w14:textId="77777777" w:rsidR="00862A01" w:rsidRPr="00872D7E" w:rsidRDefault="00862A01" w:rsidP="00862A01">
            <w:pPr>
              <w:jc w:val="both"/>
              <w:rPr>
                <w:sz w:val="18"/>
                <w:szCs w:val="18"/>
              </w:rPr>
            </w:pPr>
          </w:p>
        </w:tc>
        <w:tc>
          <w:tcPr>
            <w:tcW w:w="836" w:type="pct"/>
            <w:tcBorders>
              <w:top w:val="single" w:sz="4" w:space="0" w:color="auto"/>
              <w:left w:val="nil"/>
              <w:bottom w:val="nil"/>
              <w:right w:val="nil"/>
            </w:tcBorders>
            <w:shd w:val="clear" w:color="auto" w:fill="auto"/>
            <w:noWrap/>
            <w:vAlign w:val="bottom"/>
            <w:hideMark/>
          </w:tcPr>
          <w:p w14:paraId="59CFBDCD" w14:textId="77777777" w:rsidR="00862A01" w:rsidRPr="00872D7E" w:rsidRDefault="00862A01" w:rsidP="00862A01">
            <w:pPr>
              <w:jc w:val="right"/>
              <w:rPr>
                <w:sz w:val="18"/>
                <w:szCs w:val="18"/>
              </w:rPr>
            </w:pPr>
          </w:p>
        </w:tc>
        <w:tc>
          <w:tcPr>
            <w:tcW w:w="836" w:type="pct"/>
            <w:tcBorders>
              <w:top w:val="single" w:sz="4" w:space="0" w:color="auto"/>
              <w:left w:val="nil"/>
              <w:bottom w:val="nil"/>
              <w:right w:val="nil"/>
            </w:tcBorders>
            <w:shd w:val="clear" w:color="auto" w:fill="auto"/>
            <w:noWrap/>
            <w:vAlign w:val="bottom"/>
            <w:hideMark/>
          </w:tcPr>
          <w:p w14:paraId="11B13DDD" w14:textId="77777777" w:rsidR="00862A01" w:rsidRPr="00872D7E" w:rsidRDefault="00862A01" w:rsidP="00862A01">
            <w:pPr>
              <w:jc w:val="right"/>
              <w:rPr>
                <w:sz w:val="18"/>
                <w:szCs w:val="18"/>
              </w:rPr>
            </w:pPr>
          </w:p>
        </w:tc>
      </w:tr>
      <w:tr w:rsidR="00862A01" w:rsidRPr="00872D7E" w14:paraId="4FA4584F"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08D03EF9" w14:textId="77777777" w:rsidR="00862A01" w:rsidRPr="00872D7E" w:rsidRDefault="00862A01" w:rsidP="00862A01">
            <w:pPr>
              <w:jc w:val="both"/>
              <w:rPr>
                <w:b/>
                <w:bCs/>
                <w:color w:val="000000"/>
                <w:sz w:val="18"/>
                <w:szCs w:val="18"/>
              </w:rPr>
            </w:pPr>
            <w:r w:rsidRPr="00872D7E">
              <w:rPr>
                <w:b/>
                <w:bCs/>
                <w:color w:val="000000"/>
                <w:sz w:val="18"/>
                <w:szCs w:val="18"/>
              </w:rPr>
              <w:t>Taksitli Ticari Krediler-TP</w:t>
            </w:r>
          </w:p>
        </w:tc>
        <w:tc>
          <w:tcPr>
            <w:tcW w:w="836" w:type="pct"/>
            <w:tcBorders>
              <w:top w:val="nil"/>
              <w:left w:val="nil"/>
              <w:bottom w:val="nil"/>
              <w:right w:val="nil"/>
            </w:tcBorders>
            <w:shd w:val="clear" w:color="auto" w:fill="auto"/>
            <w:vAlign w:val="center"/>
            <w:hideMark/>
          </w:tcPr>
          <w:p w14:paraId="380C8B0F" w14:textId="77777777" w:rsidR="00862A01" w:rsidRPr="00872D7E" w:rsidRDefault="00862A01" w:rsidP="00862A01">
            <w:pPr>
              <w:jc w:val="right"/>
              <w:rPr>
                <w:b/>
                <w:bCs/>
                <w:color w:val="000000"/>
                <w:sz w:val="18"/>
                <w:szCs w:val="18"/>
              </w:rPr>
            </w:pPr>
            <w:r w:rsidRPr="00872D7E">
              <w:rPr>
                <w:b/>
                <w:bCs/>
                <w:color w:val="000000"/>
                <w:sz w:val="18"/>
                <w:szCs w:val="18"/>
              </w:rPr>
              <w:t>119.161</w:t>
            </w:r>
          </w:p>
        </w:tc>
        <w:tc>
          <w:tcPr>
            <w:tcW w:w="836" w:type="pct"/>
            <w:tcBorders>
              <w:top w:val="nil"/>
              <w:left w:val="nil"/>
              <w:bottom w:val="nil"/>
              <w:right w:val="nil"/>
            </w:tcBorders>
            <w:shd w:val="clear" w:color="auto" w:fill="auto"/>
            <w:vAlign w:val="center"/>
            <w:hideMark/>
          </w:tcPr>
          <w:p w14:paraId="543F858E" w14:textId="77777777" w:rsidR="00862A01" w:rsidRPr="00872D7E" w:rsidRDefault="00862A01" w:rsidP="00862A01">
            <w:pPr>
              <w:jc w:val="right"/>
              <w:rPr>
                <w:b/>
                <w:bCs/>
                <w:color w:val="000000"/>
                <w:sz w:val="18"/>
                <w:szCs w:val="18"/>
              </w:rPr>
            </w:pPr>
            <w:r w:rsidRPr="00872D7E">
              <w:rPr>
                <w:b/>
                <w:bCs/>
                <w:color w:val="000000"/>
                <w:sz w:val="18"/>
                <w:szCs w:val="18"/>
              </w:rPr>
              <w:t>1.050.004</w:t>
            </w:r>
          </w:p>
        </w:tc>
        <w:tc>
          <w:tcPr>
            <w:tcW w:w="836" w:type="pct"/>
            <w:tcBorders>
              <w:top w:val="nil"/>
              <w:left w:val="nil"/>
              <w:bottom w:val="nil"/>
              <w:right w:val="nil"/>
            </w:tcBorders>
            <w:shd w:val="clear" w:color="auto" w:fill="auto"/>
            <w:vAlign w:val="center"/>
            <w:hideMark/>
          </w:tcPr>
          <w:p w14:paraId="23F380E3" w14:textId="77777777" w:rsidR="00862A01" w:rsidRPr="00872D7E" w:rsidRDefault="00862A01" w:rsidP="00862A01">
            <w:pPr>
              <w:jc w:val="right"/>
              <w:rPr>
                <w:b/>
                <w:bCs/>
                <w:color w:val="000000"/>
                <w:sz w:val="18"/>
                <w:szCs w:val="18"/>
              </w:rPr>
            </w:pPr>
            <w:r w:rsidRPr="00872D7E">
              <w:rPr>
                <w:b/>
                <w:bCs/>
                <w:color w:val="000000"/>
                <w:sz w:val="18"/>
                <w:szCs w:val="18"/>
              </w:rPr>
              <w:t>1.169.165</w:t>
            </w:r>
          </w:p>
        </w:tc>
      </w:tr>
      <w:tr w:rsidR="00862A01" w:rsidRPr="00872D7E" w14:paraId="031E0C98"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6EDCB25A" w14:textId="77777777" w:rsidR="00862A01" w:rsidRPr="00872D7E" w:rsidRDefault="00862A01" w:rsidP="00862A01">
            <w:pPr>
              <w:jc w:val="both"/>
              <w:rPr>
                <w:color w:val="000000"/>
                <w:sz w:val="18"/>
                <w:szCs w:val="18"/>
              </w:rPr>
            </w:pPr>
            <w:r w:rsidRPr="00872D7E">
              <w:rPr>
                <w:color w:val="000000"/>
                <w:sz w:val="18"/>
                <w:szCs w:val="18"/>
              </w:rPr>
              <w:t>İşyeri Kredileri</w:t>
            </w:r>
          </w:p>
        </w:tc>
        <w:tc>
          <w:tcPr>
            <w:tcW w:w="836" w:type="pct"/>
            <w:tcBorders>
              <w:top w:val="nil"/>
              <w:left w:val="nil"/>
              <w:bottom w:val="nil"/>
              <w:right w:val="nil"/>
            </w:tcBorders>
            <w:shd w:val="clear" w:color="auto" w:fill="auto"/>
            <w:vAlign w:val="center"/>
            <w:hideMark/>
          </w:tcPr>
          <w:p w14:paraId="23B316DD" w14:textId="77777777" w:rsidR="00862A01" w:rsidRPr="00872D7E" w:rsidRDefault="00862A01" w:rsidP="00862A01">
            <w:pPr>
              <w:jc w:val="right"/>
              <w:rPr>
                <w:color w:val="000000"/>
                <w:sz w:val="18"/>
                <w:szCs w:val="18"/>
              </w:rPr>
            </w:pPr>
            <w:r w:rsidRPr="00872D7E">
              <w:rPr>
                <w:color w:val="000000"/>
                <w:sz w:val="18"/>
                <w:szCs w:val="18"/>
              </w:rPr>
              <w:t>5.144</w:t>
            </w:r>
          </w:p>
        </w:tc>
        <w:tc>
          <w:tcPr>
            <w:tcW w:w="836" w:type="pct"/>
            <w:tcBorders>
              <w:top w:val="nil"/>
              <w:left w:val="nil"/>
              <w:bottom w:val="nil"/>
              <w:right w:val="nil"/>
            </w:tcBorders>
            <w:shd w:val="clear" w:color="auto" w:fill="auto"/>
            <w:vAlign w:val="center"/>
            <w:hideMark/>
          </w:tcPr>
          <w:p w14:paraId="2880F2FB" w14:textId="77777777" w:rsidR="00862A01" w:rsidRPr="00872D7E" w:rsidRDefault="00862A01" w:rsidP="00862A01">
            <w:pPr>
              <w:jc w:val="right"/>
              <w:rPr>
                <w:color w:val="000000"/>
                <w:sz w:val="18"/>
                <w:szCs w:val="18"/>
              </w:rPr>
            </w:pPr>
            <w:r w:rsidRPr="00872D7E">
              <w:rPr>
                <w:color w:val="000000"/>
                <w:sz w:val="18"/>
                <w:szCs w:val="18"/>
              </w:rPr>
              <w:t>40.012</w:t>
            </w:r>
          </w:p>
        </w:tc>
        <w:tc>
          <w:tcPr>
            <w:tcW w:w="836" w:type="pct"/>
            <w:tcBorders>
              <w:top w:val="nil"/>
              <w:left w:val="nil"/>
              <w:bottom w:val="nil"/>
              <w:right w:val="nil"/>
            </w:tcBorders>
            <w:shd w:val="clear" w:color="auto" w:fill="auto"/>
            <w:vAlign w:val="center"/>
            <w:hideMark/>
          </w:tcPr>
          <w:p w14:paraId="75F640BA" w14:textId="77777777" w:rsidR="00862A01" w:rsidRPr="00872D7E" w:rsidRDefault="00862A01" w:rsidP="00862A01">
            <w:pPr>
              <w:jc w:val="right"/>
              <w:rPr>
                <w:color w:val="000000"/>
                <w:sz w:val="18"/>
                <w:szCs w:val="18"/>
              </w:rPr>
            </w:pPr>
            <w:r w:rsidRPr="00872D7E">
              <w:rPr>
                <w:color w:val="000000"/>
                <w:sz w:val="18"/>
                <w:szCs w:val="18"/>
              </w:rPr>
              <w:t>45.156</w:t>
            </w:r>
          </w:p>
        </w:tc>
      </w:tr>
      <w:tr w:rsidR="00862A01" w:rsidRPr="00872D7E" w14:paraId="1CF7B311"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32D5E1C9" w14:textId="77777777" w:rsidR="00862A01" w:rsidRPr="00872D7E" w:rsidRDefault="00862A01" w:rsidP="00862A01">
            <w:pPr>
              <w:jc w:val="both"/>
              <w:rPr>
                <w:color w:val="000000"/>
                <w:sz w:val="18"/>
                <w:szCs w:val="18"/>
              </w:rPr>
            </w:pPr>
            <w:r w:rsidRPr="00872D7E">
              <w:rPr>
                <w:color w:val="000000"/>
                <w:sz w:val="18"/>
                <w:szCs w:val="18"/>
              </w:rPr>
              <w:t>Taşıt Kredileri</w:t>
            </w:r>
          </w:p>
        </w:tc>
        <w:tc>
          <w:tcPr>
            <w:tcW w:w="836" w:type="pct"/>
            <w:tcBorders>
              <w:top w:val="nil"/>
              <w:left w:val="nil"/>
              <w:bottom w:val="nil"/>
              <w:right w:val="nil"/>
            </w:tcBorders>
            <w:shd w:val="clear" w:color="auto" w:fill="auto"/>
            <w:vAlign w:val="center"/>
            <w:hideMark/>
          </w:tcPr>
          <w:p w14:paraId="5243A932" w14:textId="77777777" w:rsidR="00862A01" w:rsidRPr="00872D7E" w:rsidRDefault="00862A01" w:rsidP="00862A01">
            <w:pPr>
              <w:jc w:val="right"/>
              <w:rPr>
                <w:color w:val="000000"/>
                <w:sz w:val="18"/>
                <w:szCs w:val="18"/>
              </w:rPr>
            </w:pPr>
            <w:r w:rsidRPr="00872D7E">
              <w:rPr>
                <w:color w:val="000000"/>
                <w:sz w:val="18"/>
                <w:szCs w:val="18"/>
              </w:rPr>
              <w:t>114.017</w:t>
            </w:r>
          </w:p>
        </w:tc>
        <w:tc>
          <w:tcPr>
            <w:tcW w:w="836" w:type="pct"/>
            <w:tcBorders>
              <w:top w:val="nil"/>
              <w:left w:val="nil"/>
              <w:bottom w:val="nil"/>
              <w:right w:val="nil"/>
            </w:tcBorders>
            <w:shd w:val="clear" w:color="auto" w:fill="auto"/>
            <w:vAlign w:val="center"/>
            <w:hideMark/>
          </w:tcPr>
          <w:p w14:paraId="08BED775" w14:textId="77777777" w:rsidR="00862A01" w:rsidRPr="00872D7E" w:rsidRDefault="00862A01" w:rsidP="00862A01">
            <w:pPr>
              <w:jc w:val="right"/>
              <w:rPr>
                <w:color w:val="000000"/>
                <w:sz w:val="18"/>
                <w:szCs w:val="18"/>
              </w:rPr>
            </w:pPr>
            <w:r w:rsidRPr="00872D7E">
              <w:rPr>
                <w:color w:val="000000"/>
                <w:sz w:val="18"/>
                <w:szCs w:val="18"/>
              </w:rPr>
              <w:t>1.009.992</w:t>
            </w:r>
          </w:p>
        </w:tc>
        <w:tc>
          <w:tcPr>
            <w:tcW w:w="836" w:type="pct"/>
            <w:tcBorders>
              <w:top w:val="nil"/>
              <w:left w:val="nil"/>
              <w:bottom w:val="nil"/>
              <w:right w:val="nil"/>
            </w:tcBorders>
            <w:shd w:val="clear" w:color="auto" w:fill="auto"/>
            <w:vAlign w:val="center"/>
            <w:hideMark/>
          </w:tcPr>
          <w:p w14:paraId="1C5C5363" w14:textId="77777777" w:rsidR="00862A01" w:rsidRPr="00872D7E" w:rsidRDefault="00862A01" w:rsidP="00862A01">
            <w:pPr>
              <w:jc w:val="right"/>
              <w:rPr>
                <w:color w:val="000000"/>
                <w:sz w:val="18"/>
                <w:szCs w:val="18"/>
              </w:rPr>
            </w:pPr>
            <w:r w:rsidRPr="00872D7E">
              <w:rPr>
                <w:color w:val="000000"/>
                <w:sz w:val="18"/>
                <w:szCs w:val="18"/>
              </w:rPr>
              <w:t>1.124.009</w:t>
            </w:r>
          </w:p>
        </w:tc>
      </w:tr>
      <w:tr w:rsidR="00862A01" w:rsidRPr="00872D7E" w14:paraId="18066F59"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659D4C32" w14:textId="77777777" w:rsidR="00862A01" w:rsidRPr="00872D7E" w:rsidRDefault="00862A01" w:rsidP="00862A01">
            <w:pPr>
              <w:jc w:val="both"/>
              <w:rPr>
                <w:color w:val="000000"/>
                <w:sz w:val="18"/>
                <w:szCs w:val="18"/>
              </w:rPr>
            </w:pPr>
            <w:r w:rsidRPr="00872D7E">
              <w:rPr>
                <w:color w:val="000000"/>
                <w:sz w:val="18"/>
                <w:szCs w:val="18"/>
              </w:rPr>
              <w:t>İhtiyaç Kredileri</w:t>
            </w:r>
          </w:p>
        </w:tc>
        <w:tc>
          <w:tcPr>
            <w:tcW w:w="836" w:type="pct"/>
            <w:tcBorders>
              <w:top w:val="nil"/>
              <w:left w:val="nil"/>
              <w:bottom w:val="nil"/>
              <w:right w:val="nil"/>
            </w:tcBorders>
            <w:shd w:val="clear" w:color="auto" w:fill="auto"/>
            <w:vAlign w:val="center"/>
            <w:hideMark/>
          </w:tcPr>
          <w:p w14:paraId="5E80FCC5"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156DECE8"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352643DE"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40D31779"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49EA58B0" w14:textId="77777777" w:rsidR="00862A01" w:rsidRPr="00872D7E" w:rsidRDefault="00862A01" w:rsidP="00862A01">
            <w:pPr>
              <w:jc w:val="both"/>
              <w:rPr>
                <w:color w:val="000000"/>
                <w:sz w:val="18"/>
                <w:szCs w:val="18"/>
              </w:rPr>
            </w:pPr>
            <w:r w:rsidRPr="00872D7E">
              <w:rPr>
                <w:color w:val="000000"/>
                <w:sz w:val="18"/>
                <w:szCs w:val="18"/>
              </w:rPr>
              <w:t>Diğer</w:t>
            </w:r>
          </w:p>
        </w:tc>
        <w:tc>
          <w:tcPr>
            <w:tcW w:w="836" w:type="pct"/>
            <w:tcBorders>
              <w:top w:val="nil"/>
              <w:left w:val="nil"/>
              <w:bottom w:val="nil"/>
              <w:right w:val="nil"/>
            </w:tcBorders>
            <w:shd w:val="clear" w:color="auto" w:fill="auto"/>
            <w:vAlign w:val="center"/>
            <w:hideMark/>
          </w:tcPr>
          <w:p w14:paraId="3E5929FC"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7DAC7E69"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5D7A887D"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1E442C46"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7D3864A8" w14:textId="77777777" w:rsidR="00862A01" w:rsidRPr="00872D7E" w:rsidRDefault="00862A01" w:rsidP="00862A01">
            <w:pPr>
              <w:jc w:val="both"/>
              <w:rPr>
                <w:b/>
                <w:bCs/>
                <w:color w:val="000000"/>
                <w:sz w:val="18"/>
                <w:szCs w:val="18"/>
              </w:rPr>
            </w:pPr>
            <w:r w:rsidRPr="00872D7E">
              <w:rPr>
                <w:b/>
                <w:bCs/>
                <w:color w:val="000000"/>
                <w:sz w:val="18"/>
                <w:szCs w:val="18"/>
              </w:rPr>
              <w:t>Taksitli Ticari Krediler-Dövize Endeksli</w:t>
            </w:r>
          </w:p>
        </w:tc>
        <w:tc>
          <w:tcPr>
            <w:tcW w:w="836" w:type="pct"/>
            <w:tcBorders>
              <w:top w:val="nil"/>
              <w:left w:val="nil"/>
              <w:bottom w:val="nil"/>
              <w:right w:val="nil"/>
            </w:tcBorders>
            <w:shd w:val="clear" w:color="auto" w:fill="auto"/>
            <w:vAlign w:val="center"/>
            <w:hideMark/>
          </w:tcPr>
          <w:p w14:paraId="777A69DA"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bottom w:val="nil"/>
              <w:right w:val="nil"/>
            </w:tcBorders>
            <w:shd w:val="clear" w:color="auto" w:fill="auto"/>
            <w:vAlign w:val="center"/>
            <w:hideMark/>
          </w:tcPr>
          <w:p w14:paraId="2E3BD4E5"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bottom w:val="nil"/>
              <w:right w:val="nil"/>
            </w:tcBorders>
            <w:shd w:val="clear" w:color="auto" w:fill="auto"/>
            <w:vAlign w:val="center"/>
            <w:hideMark/>
          </w:tcPr>
          <w:p w14:paraId="4863230B" w14:textId="77777777" w:rsidR="00862A01" w:rsidRPr="00872D7E" w:rsidRDefault="00862A01" w:rsidP="00862A01">
            <w:pPr>
              <w:jc w:val="right"/>
              <w:rPr>
                <w:b/>
                <w:bCs/>
                <w:color w:val="000000"/>
                <w:sz w:val="18"/>
                <w:szCs w:val="18"/>
              </w:rPr>
            </w:pPr>
            <w:r w:rsidRPr="00872D7E">
              <w:rPr>
                <w:b/>
                <w:bCs/>
                <w:color w:val="000000"/>
                <w:sz w:val="18"/>
                <w:szCs w:val="18"/>
              </w:rPr>
              <w:t>-</w:t>
            </w:r>
          </w:p>
        </w:tc>
      </w:tr>
      <w:tr w:rsidR="00862A01" w:rsidRPr="00872D7E" w14:paraId="35E90751"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386333A6" w14:textId="77777777" w:rsidR="00862A01" w:rsidRPr="00872D7E" w:rsidRDefault="00862A01" w:rsidP="00862A01">
            <w:pPr>
              <w:jc w:val="both"/>
              <w:rPr>
                <w:color w:val="000000"/>
                <w:sz w:val="18"/>
                <w:szCs w:val="18"/>
              </w:rPr>
            </w:pPr>
            <w:r w:rsidRPr="00872D7E">
              <w:rPr>
                <w:color w:val="000000"/>
                <w:sz w:val="18"/>
                <w:szCs w:val="18"/>
              </w:rPr>
              <w:t>İşyeri Kredileri</w:t>
            </w:r>
          </w:p>
        </w:tc>
        <w:tc>
          <w:tcPr>
            <w:tcW w:w="836" w:type="pct"/>
            <w:tcBorders>
              <w:top w:val="nil"/>
              <w:left w:val="nil"/>
              <w:bottom w:val="nil"/>
              <w:right w:val="nil"/>
            </w:tcBorders>
            <w:shd w:val="clear" w:color="auto" w:fill="auto"/>
            <w:vAlign w:val="center"/>
            <w:hideMark/>
          </w:tcPr>
          <w:p w14:paraId="50C14650"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21B35131"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773E8E61"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7F13BC1D"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47CA6D71" w14:textId="77777777" w:rsidR="00862A01" w:rsidRPr="00872D7E" w:rsidRDefault="00862A01" w:rsidP="00862A01">
            <w:pPr>
              <w:jc w:val="both"/>
              <w:rPr>
                <w:color w:val="000000"/>
                <w:sz w:val="18"/>
                <w:szCs w:val="18"/>
              </w:rPr>
            </w:pPr>
            <w:r w:rsidRPr="00872D7E">
              <w:rPr>
                <w:color w:val="000000"/>
                <w:sz w:val="18"/>
                <w:szCs w:val="18"/>
              </w:rPr>
              <w:t>Taşıt Kredileri</w:t>
            </w:r>
          </w:p>
        </w:tc>
        <w:tc>
          <w:tcPr>
            <w:tcW w:w="836" w:type="pct"/>
            <w:tcBorders>
              <w:top w:val="nil"/>
              <w:left w:val="nil"/>
              <w:bottom w:val="nil"/>
              <w:right w:val="nil"/>
            </w:tcBorders>
            <w:shd w:val="clear" w:color="auto" w:fill="auto"/>
            <w:vAlign w:val="center"/>
            <w:hideMark/>
          </w:tcPr>
          <w:p w14:paraId="3BD558AD"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02B7A969"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5AEADC56"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7FA5E22A"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33249275" w14:textId="77777777" w:rsidR="00862A01" w:rsidRPr="00872D7E" w:rsidRDefault="00862A01" w:rsidP="00862A01">
            <w:pPr>
              <w:jc w:val="both"/>
              <w:rPr>
                <w:color w:val="000000"/>
                <w:sz w:val="18"/>
                <w:szCs w:val="18"/>
              </w:rPr>
            </w:pPr>
            <w:r w:rsidRPr="00872D7E">
              <w:rPr>
                <w:color w:val="000000"/>
                <w:sz w:val="18"/>
                <w:szCs w:val="18"/>
              </w:rPr>
              <w:t>İhtiyaç Kredileri</w:t>
            </w:r>
          </w:p>
        </w:tc>
        <w:tc>
          <w:tcPr>
            <w:tcW w:w="836" w:type="pct"/>
            <w:tcBorders>
              <w:top w:val="nil"/>
              <w:left w:val="nil"/>
              <w:bottom w:val="nil"/>
              <w:right w:val="nil"/>
            </w:tcBorders>
            <w:shd w:val="clear" w:color="auto" w:fill="auto"/>
            <w:vAlign w:val="center"/>
            <w:hideMark/>
          </w:tcPr>
          <w:p w14:paraId="1D1357F7"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0A2260D2"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63E913B5"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0DDC4F0A"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19E2562D" w14:textId="77777777" w:rsidR="00862A01" w:rsidRPr="00872D7E" w:rsidRDefault="00862A01" w:rsidP="00862A01">
            <w:pPr>
              <w:jc w:val="both"/>
              <w:rPr>
                <w:color w:val="000000"/>
                <w:sz w:val="18"/>
                <w:szCs w:val="18"/>
              </w:rPr>
            </w:pPr>
            <w:r w:rsidRPr="00872D7E">
              <w:rPr>
                <w:color w:val="000000"/>
                <w:sz w:val="18"/>
                <w:szCs w:val="18"/>
              </w:rPr>
              <w:t>Diğer</w:t>
            </w:r>
          </w:p>
        </w:tc>
        <w:tc>
          <w:tcPr>
            <w:tcW w:w="836" w:type="pct"/>
            <w:tcBorders>
              <w:top w:val="nil"/>
              <w:left w:val="nil"/>
              <w:bottom w:val="nil"/>
              <w:right w:val="nil"/>
            </w:tcBorders>
            <w:shd w:val="clear" w:color="auto" w:fill="auto"/>
            <w:vAlign w:val="center"/>
            <w:hideMark/>
          </w:tcPr>
          <w:p w14:paraId="1B10CC00"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6E6ED2B2"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2C95E76F"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46162703"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57D0F192" w14:textId="77777777" w:rsidR="00862A01" w:rsidRPr="00872D7E" w:rsidRDefault="00862A01" w:rsidP="00862A01">
            <w:pPr>
              <w:jc w:val="both"/>
              <w:rPr>
                <w:b/>
                <w:bCs/>
                <w:color w:val="000000"/>
                <w:sz w:val="18"/>
                <w:szCs w:val="18"/>
              </w:rPr>
            </w:pPr>
            <w:r w:rsidRPr="00872D7E">
              <w:rPr>
                <w:b/>
                <w:bCs/>
                <w:color w:val="000000"/>
                <w:sz w:val="18"/>
                <w:szCs w:val="18"/>
              </w:rPr>
              <w:t>Taksitli Ticari Krediler-YP</w:t>
            </w:r>
          </w:p>
        </w:tc>
        <w:tc>
          <w:tcPr>
            <w:tcW w:w="836" w:type="pct"/>
            <w:tcBorders>
              <w:top w:val="nil"/>
              <w:left w:val="nil"/>
              <w:bottom w:val="nil"/>
              <w:right w:val="nil"/>
            </w:tcBorders>
            <w:shd w:val="clear" w:color="auto" w:fill="auto"/>
            <w:vAlign w:val="center"/>
            <w:hideMark/>
          </w:tcPr>
          <w:p w14:paraId="05D05E10" w14:textId="77777777" w:rsidR="00862A01" w:rsidRPr="00872D7E" w:rsidRDefault="00862A01" w:rsidP="00862A01">
            <w:pPr>
              <w:jc w:val="right"/>
              <w:rPr>
                <w:b/>
                <w:bCs/>
                <w:color w:val="000000"/>
                <w:sz w:val="18"/>
                <w:szCs w:val="18"/>
              </w:rPr>
            </w:pPr>
            <w:r w:rsidRPr="00872D7E">
              <w:rPr>
                <w:b/>
                <w:bCs/>
                <w:color w:val="000000"/>
                <w:sz w:val="18"/>
                <w:szCs w:val="18"/>
              </w:rPr>
              <w:t>5.013</w:t>
            </w:r>
          </w:p>
        </w:tc>
        <w:tc>
          <w:tcPr>
            <w:tcW w:w="836" w:type="pct"/>
            <w:tcBorders>
              <w:top w:val="nil"/>
              <w:left w:val="nil"/>
              <w:bottom w:val="nil"/>
              <w:right w:val="nil"/>
            </w:tcBorders>
            <w:shd w:val="clear" w:color="auto" w:fill="auto"/>
            <w:vAlign w:val="center"/>
            <w:hideMark/>
          </w:tcPr>
          <w:p w14:paraId="25B52E22" w14:textId="77777777" w:rsidR="00862A01" w:rsidRPr="00872D7E" w:rsidRDefault="00862A01" w:rsidP="00862A01">
            <w:pPr>
              <w:jc w:val="right"/>
              <w:rPr>
                <w:b/>
                <w:bCs/>
                <w:color w:val="000000"/>
                <w:sz w:val="18"/>
                <w:szCs w:val="18"/>
              </w:rPr>
            </w:pPr>
            <w:r w:rsidRPr="00872D7E">
              <w:rPr>
                <w:b/>
                <w:bCs/>
                <w:color w:val="000000"/>
                <w:sz w:val="18"/>
                <w:szCs w:val="18"/>
              </w:rPr>
              <w:t>285.727</w:t>
            </w:r>
          </w:p>
        </w:tc>
        <w:tc>
          <w:tcPr>
            <w:tcW w:w="836" w:type="pct"/>
            <w:tcBorders>
              <w:top w:val="nil"/>
              <w:left w:val="nil"/>
              <w:bottom w:val="nil"/>
              <w:right w:val="nil"/>
            </w:tcBorders>
            <w:shd w:val="clear" w:color="auto" w:fill="auto"/>
            <w:vAlign w:val="center"/>
            <w:hideMark/>
          </w:tcPr>
          <w:p w14:paraId="32B7892C" w14:textId="77777777" w:rsidR="00862A01" w:rsidRPr="00872D7E" w:rsidRDefault="00862A01" w:rsidP="00862A01">
            <w:pPr>
              <w:jc w:val="right"/>
              <w:rPr>
                <w:b/>
                <w:bCs/>
                <w:color w:val="000000"/>
                <w:sz w:val="18"/>
                <w:szCs w:val="18"/>
              </w:rPr>
            </w:pPr>
            <w:r w:rsidRPr="00872D7E">
              <w:rPr>
                <w:b/>
                <w:bCs/>
                <w:color w:val="000000"/>
                <w:sz w:val="18"/>
                <w:szCs w:val="18"/>
              </w:rPr>
              <w:t>290.740</w:t>
            </w:r>
          </w:p>
        </w:tc>
      </w:tr>
      <w:tr w:rsidR="00862A01" w:rsidRPr="00872D7E" w14:paraId="3A508516"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5AE3899C" w14:textId="77777777" w:rsidR="00862A01" w:rsidRPr="00872D7E" w:rsidRDefault="00862A01" w:rsidP="00862A01">
            <w:pPr>
              <w:jc w:val="both"/>
              <w:rPr>
                <w:color w:val="000000"/>
                <w:sz w:val="18"/>
                <w:szCs w:val="18"/>
              </w:rPr>
            </w:pPr>
            <w:r w:rsidRPr="00872D7E">
              <w:rPr>
                <w:color w:val="000000"/>
                <w:sz w:val="18"/>
                <w:szCs w:val="18"/>
              </w:rPr>
              <w:t>İşyeri Kredileri</w:t>
            </w:r>
          </w:p>
        </w:tc>
        <w:tc>
          <w:tcPr>
            <w:tcW w:w="836" w:type="pct"/>
            <w:tcBorders>
              <w:top w:val="nil"/>
              <w:left w:val="nil"/>
              <w:bottom w:val="nil"/>
              <w:right w:val="nil"/>
            </w:tcBorders>
            <w:shd w:val="clear" w:color="auto" w:fill="auto"/>
            <w:vAlign w:val="center"/>
            <w:hideMark/>
          </w:tcPr>
          <w:p w14:paraId="6623189C"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6B740AEF" w14:textId="77777777" w:rsidR="00862A01" w:rsidRPr="00872D7E" w:rsidRDefault="00862A01" w:rsidP="00862A01">
            <w:pPr>
              <w:jc w:val="right"/>
              <w:rPr>
                <w:color w:val="000000"/>
                <w:sz w:val="18"/>
                <w:szCs w:val="18"/>
              </w:rPr>
            </w:pPr>
            <w:r w:rsidRPr="00872D7E">
              <w:rPr>
                <w:color w:val="000000"/>
                <w:sz w:val="18"/>
                <w:szCs w:val="18"/>
              </w:rPr>
              <w:t>14.527</w:t>
            </w:r>
          </w:p>
        </w:tc>
        <w:tc>
          <w:tcPr>
            <w:tcW w:w="836" w:type="pct"/>
            <w:tcBorders>
              <w:top w:val="nil"/>
              <w:left w:val="nil"/>
              <w:bottom w:val="nil"/>
              <w:right w:val="nil"/>
            </w:tcBorders>
            <w:shd w:val="clear" w:color="auto" w:fill="auto"/>
            <w:vAlign w:val="center"/>
            <w:hideMark/>
          </w:tcPr>
          <w:p w14:paraId="5DD4731A" w14:textId="77777777" w:rsidR="00862A01" w:rsidRPr="00872D7E" w:rsidRDefault="00862A01" w:rsidP="00862A01">
            <w:pPr>
              <w:jc w:val="right"/>
              <w:rPr>
                <w:color w:val="000000"/>
                <w:sz w:val="18"/>
                <w:szCs w:val="18"/>
              </w:rPr>
            </w:pPr>
            <w:r w:rsidRPr="00872D7E">
              <w:rPr>
                <w:color w:val="000000"/>
                <w:sz w:val="18"/>
                <w:szCs w:val="18"/>
              </w:rPr>
              <w:t>14.527</w:t>
            </w:r>
          </w:p>
        </w:tc>
      </w:tr>
      <w:tr w:rsidR="00862A01" w:rsidRPr="00872D7E" w14:paraId="44BFB415"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3E0E7243" w14:textId="77777777" w:rsidR="00862A01" w:rsidRPr="00872D7E" w:rsidRDefault="00862A01" w:rsidP="00862A01">
            <w:pPr>
              <w:jc w:val="both"/>
              <w:rPr>
                <w:color w:val="000000"/>
                <w:sz w:val="18"/>
                <w:szCs w:val="18"/>
              </w:rPr>
            </w:pPr>
            <w:r w:rsidRPr="00872D7E">
              <w:rPr>
                <w:color w:val="000000"/>
                <w:sz w:val="18"/>
                <w:szCs w:val="18"/>
              </w:rPr>
              <w:t>Taşıt Kredileri</w:t>
            </w:r>
          </w:p>
        </w:tc>
        <w:tc>
          <w:tcPr>
            <w:tcW w:w="836" w:type="pct"/>
            <w:tcBorders>
              <w:top w:val="nil"/>
              <w:left w:val="nil"/>
              <w:bottom w:val="nil"/>
              <w:right w:val="nil"/>
            </w:tcBorders>
            <w:shd w:val="clear" w:color="auto" w:fill="auto"/>
            <w:vAlign w:val="center"/>
            <w:hideMark/>
          </w:tcPr>
          <w:p w14:paraId="4B4242F0" w14:textId="77777777" w:rsidR="00862A01" w:rsidRPr="00872D7E" w:rsidRDefault="00862A01" w:rsidP="00862A01">
            <w:pPr>
              <w:jc w:val="right"/>
              <w:rPr>
                <w:color w:val="000000"/>
                <w:sz w:val="18"/>
                <w:szCs w:val="18"/>
              </w:rPr>
            </w:pPr>
            <w:r w:rsidRPr="00872D7E">
              <w:rPr>
                <w:color w:val="000000"/>
                <w:sz w:val="18"/>
                <w:szCs w:val="18"/>
              </w:rPr>
              <w:t>5.013</w:t>
            </w:r>
          </w:p>
        </w:tc>
        <w:tc>
          <w:tcPr>
            <w:tcW w:w="836" w:type="pct"/>
            <w:tcBorders>
              <w:top w:val="nil"/>
              <w:left w:val="nil"/>
              <w:bottom w:val="nil"/>
              <w:right w:val="nil"/>
            </w:tcBorders>
            <w:shd w:val="clear" w:color="auto" w:fill="auto"/>
            <w:vAlign w:val="center"/>
            <w:hideMark/>
          </w:tcPr>
          <w:p w14:paraId="480EDFC8" w14:textId="77777777" w:rsidR="00862A01" w:rsidRPr="00872D7E" w:rsidRDefault="00862A01" w:rsidP="00862A01">
            <w:pPr>
              <w:jc w:val="right"/>
              <w:rPr>
                <w:color w:val="000000"/>
                <w:sz w:val="18"/>
                <w:szCs w:val="18"/>
              </w:rPr>
            </w:pPr>
            <w:r w:rsidRPr="00872D7E">
              <w:rPr>
                <w:color w:val="000000"/>
                <w:sz w:val="18"/>
                <w:szCs w:val="18"/>
              </w:rPr>
              <w:t>271.200</w:t>
            </w:r>
          </w:p>
        </w:tc>
        <w:tc>
          <w:tcPr>
            <w:tcW w:w="836" w:type="pct"/>
            <w:tcBorders>
              <w:top w:val="nil"/>
              <w:left w:val="nil"/>
              <w:bottom w:val="nil"/>
              <w:right w:val="nil"/>
            </w:tcBorders>
            <w:shd w:val="clear" w:color="auto" w:fill="auto"/>
            <w:vAlign w:val="center"/>
            <w:hideMark/>
          </w:tcPr>
          <w:p w14:paraId="7DABD963" w14:textId="77777777" w:rsidR="00862A01" w:rsidRPr="00872D7E" w:rsidRDefault="00862A01" w:rsidP="00862A01">
            <w:pPr>
              <w:jc w:val="right"/>
              <w:rPr>
                <w:color w:val="000000"/>
                <w:sz w:val="18"/>
                <w:szCs w:val="18"/>
              </w:rPr>
            </w:pPr>
            <w:r w:rsidRPr="00872D7E">
              <w:rPr>
                <w:color w:val="000000"/>
                <w:sz w:val="18"/>
                <w:szCs w:val="18"/>
              </w:rPr>
              <w:t>276.213</w:t>
            </w:r>
          </w:p>
        </w:tc>
      </w:tr>
      <w:tr w:rsidR="00862A01" w:rsidRPr="00872D7E" w14:paraId="3B85C86B"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096C730F" w14:textId="77777777" w:rsidR="00862A01" w:rsidRPr="00872D7E" w:rsidRDefault="00862A01" w:rsidP="00862A01">
            <w:pPr>
              <w:jc w:val="both"/>
              <w:rPr>
                <w:color w:val="000000"/>
                <w:sz w:val="18"/>
                <w:szCs w:val="18"/>
              </w:rPr>
            </w:pPr>
            <w:r w:rsidRPr="00872D7E">
              <w:rPr>
                <w:color w:val="000000"/>
                <w:sz w:val="18"/>
                <w:szCs w:val="18"/>
              </w:rPr>
              <w:t>İhtiyaç Kredileri</w:t>
            </w:r>
          </w:p>
        </w:tc>
        <w:tc>
          <w:tcPr>
            <w:tcW w:w="836" w:type="pct"/>
            <w:tcBorders>
              <w:top w:val="nil"/>
              <w:left w:val="nil"/>
              <w:bottom w:val="nil"/>
              <w:right w:val="nil"/>
            </w:tcBorders>
            <w:shd w:val="clear" w:color="auto" w:fill="auto"/>
            <w:vAlign w:val="center"/>
            <w:hideMark/>
          </w:tcPr>
          <w:p w14:paraId="2086A95E"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691C4759"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7CEA171E"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647C0078"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166687B7" w14:textId="77777777" w:rsidR="00862A01" w:rsidRPr="00872D7E" w:rsidRDefault="00862A01" w:rsidP="00862A01">
            <w:pPr>
              <w:jc w:val="both"/>
              <w:rPr>
                <w:color w:val="000000"/>
                <w:sz w:val="18"/>
                <w:szCs w:val="18"/>
              </w:rPr>
            </w:pPr>
            <w:r w:rsidRPr="00872D7E">
              <w:rPr>
                <w:color w:val="000000"/>
                <w:sz w:val="18"/>
                <w:szCs w:val="18"/>
              </w:rPr>
              <w:t>Diğer</w:t>
            </w:r>
          </w:p>
        </w:tc>
        <w:tc>
          <w:tcPr>
            <w:tcW w:w="836" w:type="pct"/>
            <w:tcBorders>
              <w:top w:val="nil"/>
              <w:left w:val="nil"/>
              <w:bottom w:val="nil"/>
              <w:right w:val="nil"/>
            </w:tcBorders>
            <w:shd w:val="clear" w:color="auto" w:fill="auto"/>
            <w:vAlign w:val="center"/>
            <w:hideMark/>
          </w:tcPr>
          <w:p w14:paraId="76713EF6"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71894825"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3AA1991F"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2E06EF55"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042ADD01" w14:textId="77777777" w:rsidR="00862A01" w:rsidRPr="00872D7E" w:rsidRDefault="00862A01" w:rsidP="00862A01">
            <w:pPr>
              <w:jc w:val="both"/>
              <w:rPr>
                <w:b/>
                <w:bCs/>
                <w:color w:val="000000"/>
                <w:sz w:val="18"/>
                <w:szCs w:val="18"/>
              </w:rPr>
            </w:pPr>
            <w:r w:rsidRPr="00872D7E">
              <w:rPr>
                <w:b/>
                <w:bCs/>
                <w:color w:val="000000"/>
                <w:sz w:val="18"/>
                <w:szCs w:val="18"/>
              </w:rPr>
              <w:t>Kurumsal Kredi Kartları-TP</w:t>
            </w:r>
          </w:p>
        </w:tc>
        <w:tc>
          <w:tcPr>
            <w:tcW w:w="836" w:type="pct"/>
            <w:tcBorders>
              <w:top w:val="nil"/>
              <w:left w:val="nil"/>
              <w:bottom w:val="nil"/>
              <w:right w:val="nil"/>
            </w:tcBorders>
            <w:shd w:val="clear" w:color="auto" w:fill="auto"/>
            <w:vAlign w:val="center"/>
            <w:hideMark/>
          </w:tcPr>
          <w:p w14:paraId="7B6D27EE"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bottom w:val="nil"/>
              <w:right w:val="nil"/>
            </w:tcBorders>
            <w:shd w:val="clear" w:color="auto" w:fill="auto"/>
            <w:vAlign w:val="center"/>
            <w:hideMark/>
          </w:tcPr>
          <w:p w14:paraId="25A1DAFC"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bottom w:val="nil"/>
              <w:right w:val="nil"/>
            </w:tcBorders>
            <w:shd w:val="clear" w:color="auto" w:fill="auto"/>
            <w:vAlign w:val="center"/>
            <w:hideMark/>
          </w:tcPr>
          <w:p w14:paraId="4D5AC366" w14:textId="77777777" w:rsidR="00862A01" w:rsidRPr="00872D7E" w:rsidRDefault="00862A01" w:rsidP="00862A01">
            <w:pPr>
              <w:jc w:val="right"/>
              <w:rPr>
                <w:b/>
                <w:bCs/>
                <w:color w:val="000000"/>
                <w:sz w:val="18"/>
                <w:szCs w:val="18"/>
              </w:rPr>
            </w:pPr>
            <w:r w:rsidRPr="00872D7E">
              <w:rPr>
                <w:b/>
                <w:bCs/>
                <w:color w:val="000000"/>
                <w:sz w:val="18"/>
                <w:szCs w:val="18"/>
              </w:rPr>
              <w:t>-</w:t>
            </w:r>
          </w:p>
        </w:tc>
      </w:tr>
      <w:tr w:rsidR="00862A01" w:rsidRPr="00872D7E" w14:paraId="37A8A034"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5B184A19" w14:textId="77777777" w:rsidR="00862A01" w:rsidRPr="00872D7E" w:rsidRDefault="00862A01" w:rsidP="00862A01">
            <w:pPr>
              <w:jc w:val="both"/>
              <w:rPr>
                <w:color w:val="000000"/>
                <w:sz w:val="18"/>
                <w:szCs w:val="18"/>
              </w:rPr>
            </w:pPr>
            <w:r w:rsidRPr="00872D7E">
              <w:rPr>
                <w:color w:val="000000"/>
                <w:sz w:val="18"/>
                <w:szCs w:val="18"/>
              </w:rPr>
              <w:t xml:space="preserve">Taksitli </w:t>
            </w:r>
          </w:p>
        </w:tc>
        <w:tc>
          <w:tcPr>
            <w:tcW w:w="836" w:type="pct"/>
            <w:tcBorders>
              <w:top w:val="nil"/>
              <w:left w:val="nil"/>
              <w:bottom w:val="nil"/>
              <w:right w:val="nil"/>
            </w:tcBorders>
            <w:shd w:val="clear" w:color="auto" w:fill="auto"/>
            <w:vAlign w:val="center"/>
            <w:hideMark/>
          </w:tcPr>
          <w:p w14:paraId="4DDF8017"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1241D87C"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031AD6A1"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4CE85125"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5B16A9D5" w14:textId="77777777" w:rsidR="00862A01" w:rsidRPr="00872D7E" w:rsidRDefault="00862A01" w:rsidP="00862A01">
            <w:pPr>
              <w:jc w:val="both"/>
              <w:rPr>
                <w:color w:val="000000"/>
                <w:sz w:val="18"/>
                <w:szCs w:val="18"/>
              </w:rPr>
            </w:pPr>
            <w:r w:rsidRPr="00872D7E">
              <w:rPr>
                <w:color w:val="000000"/>
                <w:sz w:val="18"/>
                <w:szCs w:val="18"/>
              </w:rPr>
              <w:t>Taksitsiz</w:t>
            </w:r>
          </w:p>
        </w:tc>
        <w:tc>
          <w:tcPr>
            <w:tcW w:w="836" w:type="pct"/>
            <w:tcBorders>
              <w:top w:val="nil"/>
              <w:left w:val="nil"/>
              <w:bottom w:val="nil"/>
              <w:right w:val="nil"/>
            </w:tcBorders>
            <w:shd w:val="clear" w:color="auto" w:fill="auto"/>
            <w:vAlign w:val="center"/>
            <w:hideMark/>
          </w:tcPr>
          <w:p w14:paraId="0F7E310A"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772C0C3E"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6FDEAEE4"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45212FB1"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077DDD13" w14:textId="77777777" w:rsidR="00862A01" w:rsidRPr="00872D7E" w:rsidRDefault="00862A01" w:rsidP="00862A01">
            <w:pPr>
              <w:jc w:val="both"/>
              <w:rPr>
                <w:b/>
                <w:bCs/>
                <w:color w:val="000000"/>
                <w:sz w:val="18"/>
                <w:szCs w:val="18"/>
              </w:rPr>
            </w:pPr>
            <w:r w:rsidRPr="00872D7E">
              <w:rPr>
                <w:b/>
                <w:bCs/>
                <w:color w:val="000000"/>
                <w:sz w:val="18"/>
                <w:szCs w:val="18"/>
              </w:rPr>
              <w:t>Kurumsal Kredi Kartları-YP</w:t>
            </w:r>
          </w:p>
        </w:tc>
        <w:tc>
          <w:tcPr>
            <w:tcW w:w="836" w:type="pct"/>
            <w:tcBorders>
              <w:top w:val="nil"/>
              <w:left w:val="nil"/>
              <w:bottom w:val="nil"/>
              <w:right w:val="nil"/>
            </w:tcBorders>
            <w:shd w:val="clear" w:color="auto" w:fill="auto"/>
            <w:vAlign w:val="center"/>
            <w:hideMark/>
          </w:tcPr>
          <w:p w14:paraId="0296D336"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bottom w:val="nil"/>
              <w:right w:val="nil"/>
            </w:tcBorders>
            <w:shd w:val="clear" w:color="auto" w:fill="auto"/>
            <w:vAlign w:val="center"/>
            <w:hideMark/>
          </w:tcPr>
          <w:p w14:paraId="6F315FA8"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bottom w:val="nil"/>
              <w:right w:val="nil"/>
            </w:tcBorders>
            <w:shd w:val="clear" w:color="auto" w:fill="auto"/>
            <w:vAlign w:val="center"/>
            <w:hideMark/>
          </w:tcPr>
          <w:p w14:paraId="542FB435" w14:textId="77777777" w:rsidR="00862A01" w:rsidRPr="00872D7E" w:rsidRDefault="00862A01" w:rsidP="00862A01">
            <w:pPr>
              <w:jc w:val="right"/>
              <w:rPr>
                <w:b/>
                <w:bCs/>
                <w:color w:val="000000"/>
                <w:sz w:val="18"/>
                <w:szCs w:val="18"/>
              </w:rPr>
            </w:pPr>
            <w:r w:rsidRPr="00872D7E">
              <w:rPr>
                <w:b/>
                <w:bCs/>
                <w:color w:val="000000"/>
                <w:sz w:val="18"/>
                <w:szCs w:val="18"/>
              </w:rPr>
              <w:t>-</w:t>
            </w:r>
          </w:p>
        </w:tc>
      </w:tr>
      <w:tr w:rsidR="00862A01" w:rsidRPr="00872D7E" w14:paraId="192C457A"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252F7C5C" w14:textId="77777777" w:rsidR="00862A01" w:rsidRPr="00872D7E" w:rsidRDefault="00862A01" w:rsidP="00862A01">
            <w:pPr>
              <w:jc w:val="both"/>
              <w:rPr>
                <w:color w:val="000000"/>
                <w:sz w:val="18"/>
                <w:szCs w:val="18"/>
              </w:rPr>
            </w:pPr>
            <w:r w:rsidRPr="00872D7E">
              <w:rPr>
                <w:color w:val="000000"/>
                <w:sz w:val="18"/>
                <w:szCs w:val="18"/>
              </w:rPr>
              <w:t xml:space="preserve">Taksitli </w:t>
            </w:r>
          </w:p>
        </w:tc>
        <w:tc>
          <w:tcPr>
            <w:tcW w:w="836" w:type="pct"/>
            <w:tcBorders>
              <w:top w:val="nil"/>
              <w:left w:val="nil"/>
              <w:bottom w:val="nil"/>
              <w:right w:val="nil"/>
            </w:tcBorders>
            <w:shd w:val="clear" w:color="auto" w:fill="auto"/>
            <w:vAlign w:val="center"/>
            <w:hideMark/>
          </w:tcPr>
          <w:p w14:paraId="29C28DD8"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27C868B1"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4E65243E"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0ED10BAE" w14:textId="77777777" w:rsidTr="00CC41DB">
        <w:trPr>
          <w:divId w:val="887840538"/>
          <w:trHeight w:val="170"/>
        </w:trPr>
        <w:tc>
          <w:tcPr>
            <w:tcW w:w="2492" w:type="pct"/>
            <w:tcBorders>
              <w:top w:val="nil"/>
              <w:left w:val="nil"/>
              <w:bottom w:val="nil"/>
              <w:right w:val="nil"/>
            </w:tcBorders>
            <w:shd w:val="clear" w:color="auto" w:fill="auto"/>
            <w:noWrap/>
            <w:vAlign w:val="center"/>
            <w:hideMark/>
          </w:tcPr>
          <w:p w14:paraId="527222D3" w14:textId="77777777" w:rsidR="00862A01" w:rsidRPr="00872D7E" w:rsidRDefault="00862A01" w:rsidP="00862A01">
            <w:pPr>
              <w:jc w:val="both"/>
              <w:rPr>
                <w:color w:val="000000"/>
                <w:sz w:val="18"/>
                <w:szCs w:val="18"/>
              </w:rPr>
            </w:pPr>
            <w:r w:rsidRPr="00872D7E">
              <w:rPr>
                <w:color w:val="000000"/>
                <w:sz w:val="18"/>
                <w:szCs w:val="18"/>
              </w:rPr>
              <w:t>Taksitsiz</w:t>
            </w:r>
          </w:p>
        </w:tc>
        <w:tc>
          <w:tcPr>
            <w:tcW w:w="836" w:type="pct"/>
            <w:tcBorders>
              <w:top w:val="nil"/>
              <w:left w:val="nil"/>
              <w:bottom w:val="nil"/>
              <w:right w:val="nil"/>
            </w:tcBorders>
            <w:shd w:val="clear" w:color="auto" w:fill="auto"/>
            <w:vAlign w:val="center"/>
            <w:hideMark/>
          </w:tcPr>
          <w:p w14:paraId="7FAED9C1"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71E4D0E6" w14:textId="77777777" w:rsidR="00862A01" w:rsidRPr="00872D7E" w:rsidRDefault="00862A01" w:rsidP="00862A01">
            <w:pPr>
              <w:jc w:val="right"/>
              <w:rPr>
                <w:color w:val="000000"/>
                <w:sz w:val="18"/>
                <w:szCs w:val="18"/>
              </w:rPr>
            </w:pPr>
            <w:r w:rsidRPr="00872D7E">
              <w:rPr>
                <w:color w:val="000000"/>
                <w:sz w:val="18"/>
                <w:szCs w:val="18"/>
              </w:rPr>
              <w:t>-</w:t>
            </w:r>
          </w:p>
        </w:tc>
        <w:tc>
          <w:tcPr>
            <w:tcW w:w="836" w:type="pct"/>
            <w:tcBorders>
              <w:top w:val="nil"/>
              <w:left w:val="nil"/>
              <w:bottom w:val="nil"/>
              <w:right w:val="nil"/>
            </w:tcBorders>
            <w:shd w:val="clear" w:color="auto" w:fill="auto"/>
            <w:vAlign w:val="center"/>
            <w:hideMark/>
          </w:tcPr>
          <w:p w14:paraId="722EF745" w14:textId="77777777" w:rsidR="00862A01" w:rsidRPr="00872D7E" w:rsidRDefault="00862A01" w:rsidP="00862A01">
            <w:pPr>
              <w:jc w:val="right"/>
              <w:rPr>
                <w:color w:val="000000"/>
                <w:sz w:val="18"/>
                <w:szCs w:val="18"/>
              </w:rPr>
            </w:pPr>
            <w:r w:rsidRPr="00872D7E">
              <w:rPr>
                <w:color w:val="000000"/>
                <w:sz w:val="18"/>
                <w:szCs w:val="18"/>
              </w:rPr>
              <w:t>-</w:t>
            </w:r>
          </w:p>
        </w:tc>
      </w:tr>
      <w:tr w:rsidR="00862A01" w:rsidRPr="00872D7E" w14:paraId="31B4627D" w14:textId="77777777" w:rsidTr="0086505A">
        <w:trPr>
          <w:divId w:val="887840538"/>
          <w:trHeight w:val="170"/>
        </w:trPr>
        <w:tc>
          <w:tcPr>
            <w:tcW w:w="2492" w:type="pct"/>
            <w:tcBorders>
              <w:top w:val="nil"/>
              <w:left w:val="nil"/>
              <w:right w:val="nil"/>
            </w:tcBorders>
            <w:shd w:val="clear" w:color="auto" w:fill="auto"/>
            <w:noWrap/>
            <w:vAlign w:val="center"/>
            <w:hideMark/>
          </w:tcPr>
          <w:p w14:paraId="04B9BE33" w14:textId="77777777" w:rsidR="00862A01" w:rsidRPr="00872D7E" w:rsidRDefault="00862A01" w:rsidP="00862A01">
            <w:pPr>
              <w:jc w:val="both"/>
              <w:rPr>
                <w:b/>
                <w:bCs/>
                <w:color w:val="000000"/>
                <w:sz w:val="18"/>
                <w:szCs w:val="18"/>
              </w:rPr>
            </w:pPr>
            <w:r w:rsidRPr="00872D7E">
              <w:rPr>
                <w:b/>
                <w:bCs/>
                <w:color w:val="000000"/>
                <w:sz w:val="18"/>
                <w:szCs w:val="18"/>
              </w:rPr>
              <w:t>Kredili Mevduat Hesabı-TP (Tüzel Kişi)</w:t>
            </w:r>
          </w:p>
        </w:tc>
        <w:tc>
          <w:tcPr>
            <w:tcW w:w="836" w:type="pct"/>
            <w:tcBorders>
              <w:top w:val="nil"/>
              <w:left w:val="nil"/>
              <w:right w:val="nil"/>
            </w:tcBorders>
            <w:shd w:val="clear" w:color="auto" w:fill="auto"/>
            <w:vAlign w:val="center"/>
            <w:hideMark/>
          </w:tcPr>
          <w:p w14:paraId="64C24F8A"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right w:val="nil"/>
            </w:tcBorders>
            <w:shd w:val="clear" w:color="auto" w:fill="auto"/>
            <w:vAlign w:val="center"/>
            <w:hideMark/>
          </w:tcPr>
          <w:p w14:paraId="0D725700"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right w:val="nil"/>
            </w:tcBorders>
            <w:shd w:val="clear" w:color="auto" w:fill="auto"/>
            <w:vAlign w:val="center"/>
            <w:hideMark/>
          </w:tcPr>
          <w:p w14:paraId="768043C2" w14:textId="77777777" w:rsidR="00862A01" w:rsidRPr="00872D7E" w:rsidRDefault="00862A01" w:rsidP="00862A01">
            <w:pPr>
              <w:jc w:val="right"/>
              <w:rPr>
                <w:b/>
                <w:bCs/>
                <w:color w:val="000000"/>
                <w:sz w:val="18"/>
                <w:szCs w:val="18"/>
              </w:rPr>
            </w:pPr>
            <w:r w:rsidRPr="00872D7E">
              <w:rPr>
                <w:b/>
                <w:bCs/>
                <w:color w:val="000000"/>
                <w:sz w:val="18"/>
                <w:szCs w:val="18"/>
              </w:rPr>
              <w:t>-</w:t>
            </w:r>
          </w:p>
        </w:tc>
      </w:tr>
      <w:tr w:rsidR="00862A01" w:rsidRPr="00872D7E" w14:paraId="1E190718" w14:textId="77777777" w:rsidTr="0086505A">
        <w:trPr>
          <w:divId w:val="887840538"/>
          <w:trHeight w:val="170"/>
        </w:trPr>
        <w:tc>
          <w:tcPr>
            <w:tcW w:w="2492" w:type="pct"/>
            <w:tcBorders>
              <w:top w:val="nil"/>
              <w:left w:val="nil"/>
              <w:bottom w:val="single" w:sz="4" w:space="0" w:color="auto"/>
              <w:right w:val="nil"/>
            </w:tcBorders>
            <w:shd w:val="clear" w:color="auto" w:fill="auto"/>
            <w:noWrap/>
            <w:vAlign w:val="center"/>
            <w:hideMark/>
          </w:tcPr>
          <w:p w14:paraId="7033165F" w14:textId="77777777" w:rsidR="00862A01" w:rsidRPr="00872D7E" w:rsidRDefault="00862A01" w:rsidP="00862A01">
            <w:pPr>
              <w:jc w:val="both"/>
              <w:rPr>
                <w:b/>
                <w:bCs/>
                <w:color w:val="000000"/>
                <w:sz w:val="18"/>
                <w:szCs w:val="18"/>
              </w:rPr>
            </w:pPr>
            <w:r w:rsidRPr="00872D7E">
              <w:rPr>
                <w:b/>
                <w:bCs/>
                <w:color w:val="000000"/>
                <w:sz w:val="18"/>
                <w:szCs w:val="18"/>
              </w:rPr>
              <w:t>Kredili Mevduat Hesabı-YP (Tüzel Kişi)</w:t>
            </w:r>
          </w:p>
        </w:tc>
        <w:tc>
          <w:tcPr>
            <w:tcW w:w="836" w:type="pct"/>
            <w:tcBorders>
              <w:top w:val="nil"/>
              <w:left w:val="nil"/>
              <w:bottom w:val="single" w:sz="4" w:space="0" w:color="auto"/>
              <w:right w:val="nil"/>
            </w:tcBorders>
            <w:shd w:val="clear" w:color="auto" w:fill="auto"/>
            <w:vAlign w:val="center"/>
            <w:hideMark/>
          </w:tcPr>
          <w:p w14:paraId="72EE26DB"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bottom w:val="single" w:sz="4" w:space="0" w:color="auto"/>
              <w:right w:val="nil"/>
            </w:tcBorders>
            <w:shd w:val="clear" w:color="auto" w:fill="auto"/>
            <w:vAlign w:val="center"/>
            <w:hideMark/>
          </w:tcPr>
          <w:p w14:paraId="35559293" w14:textId="77777777" w:rsidR="00862A01" w:rsidRPr="00872D7E" w:rsidRDefault="00862A01" w:rsidP="00862A01">
            <w:pPr>
              <w:jc w:val="right"/>
              <w:rPr>
                <w:b/>
                <w:bCs/>
                <w:color w:val="000000"/>
                <w:sz w:val="18"/>
                <w:szCs w:val="18"/>
              </w:rPr>
            </w:pPr>
            <w:r w:rsidRPr="00872D7E">
              <w:rPr>
                <w:b/>
                <w:bCs/>
                <w:color w:val="000000"/>
                <w:sz w:val="18"/>
                <w:szCs w:val="18"/>
              </w:rPr>
              <w:t>-</w:t>
            </w:r>
          </w:p>
        </w:tc>
        <w:tc>
          <w:tcPr>
            <w:tcW w:w="836" w:type="pct"/>
            <w:tcBorders>
              <w:top w:val="nil"/>
              <w:left w:val="nil"/>
              <w:bottom w:val="single" w:sz="4" w:space="0" w:color="auto"/>
              <w:right w:val="nil"/>
            </w:tcBorders>
            <w:shd w:val="clear" w:color="auto" w:fill="auto"/>
            <w:vAlign w:val="center"/>
            <w:hideMark/>
          </w:tcPr>
          <w:p w14:paraId="2EE4E459" w14:textId="77777777" w:rsidR="00862A01" w:rsidRPr="00872D7E" w:rsidRDefault="00862A01" w:rsidP="00862A01">
            <w:pPr>
              <w:jc w:val="right"/>
              <w:rPr>
                <w:b/>
                <w:bCs/>
                <w:color w:val="000000"/>
                <w:sz w:val="18"/>
                <w:szCs w:val="18"/>
              </w:rPr>
            </w:pPr>
            <w:r w:rsidRPr="00872D7E">
              <w:rPr>
                <w:b/>
                <w:bCs/>
                <w:color w:val="000000"/>
                <w:sz w:val="18"/>
                <w:szCs w:val="18"/>
              </w:rPr>
              <w:t>-</w:t>
            </w:r>
          </w:p>
        </w:tc>
      </w:tr>
      <w:tr w:rsidR="00862A01" w:rsidRPr="00872D7E" w14:paraId="2311533E" w14:textId="77777777" w:rsidTr="0086505A">
        <w:trPr>
          <w:divId w:val="887840538"/>
          <w:trHeight w:val="170"/>
        </w:trPr>
        <w:tc>
          <w:tcPr>
            <w:tcW w:w="2492" w:type="pct"/>
            <w:tcBorders>
              <w:top w:val="single" w:sz="4" w:space="0" w:color="auto"/>
              <w:left w:val="nil"/>
              <w:right w:val="nil"/>
            </w:tcBorders>
            <w:shd w:val="clear" w:color="auto" w:fill="auto"/>
            <w:noWrap/>
            <w:vAlign w:val="center"/>
            <w:hideMark/>
          </w:tcPr>
          <w:p w14:paraId="4131F89D" w14:textId="77777777" w:rsidR="00862A01" w:rsidRPr="00872D7E" w:rsidRDefault="00862A01" w:rsidP="00862A01">
            <w:pPr>
              <w:jc w:val="both"/>
              <w:rPr>
                <w:color w:val="000000"/>
                <w:sz w:val="18"/>
                <w:szCs w:val="18"/>
              </w:rPr>
            </w:pPr>
            <w:r w:rsidRPr="00872D7E">
              <w:rPr>
                <w:rFonts w:eastAsia="Arial Unicode MS"/>
                <w:color w:val="000000"/>
                <w:sz w:val="18"/>
                <w:szCs w:val="18"/>
              </w:rPr>
              <w:t> </w:t>
            </w:r>
          </w:p>
        </w:tc>
        <w:tc>
          <w:tcPr>
            <w:tcW w:w="836" w:type="pct"/>
            <w:tcBorders>
              <w:top w:val="single" w:sz="4" w:space="0" w:color="auto"/>
              <w:left w:val="nil"/>
              <w:right w:val="nil"/>
            </w:tcBorders>
            <w:shd w:val="clear" w:color="auto" w:fill="auto"/>
            <w:noWrap/>
            <w:vAlign w:val="center"/>
            <w:hideMark/>
          </w:tcPr>
          <w:p w14:paraId="351B7128" w14:textId="77777777" w:rsidR="00862A01" w:rsidRPr="00872D7E" w:rsidRDefault="00862A01" w:rsidP="00862A01">
            <w:pPr>
              <w:jc w:val="right"/>
              <w:rPr>
                <w:b/>
                <w:bCs/>
                <w:color w:val="000000"/>
                <w:sz w:val="18"/>
                <w:szCs w:val="18"/>
              </w:rPr>
            </w:pPr>
            <w:r w:rsidRPr="00872D7E">
              <w:rPr>
                <w:b/>
                <w:bCs/>
                <w:color w:val="000000"/>
                <w:sz w:val="18"/>
                <w:szCs w:val="18"/>
              </w:rPr>
              <w:t> </w:t>
            </w:r>
          </w:p>
        </w:tc>
        <w:tc>
          <w:tcPr>
            <w:tcW w:w="836" w:type="pct"/>
            <w:tcBorders>
              <w:top w:val="single" w:sz="4" w:space="0" w:color="auto"/>
              <w:left w:val="nil"/>
              <w:right w:val="nil"/>
            </w:tcBorders>
            <w:shd w:val="clear" w:color="auto" w:fill="auto"/>
            <w:noWrap/>
            <w:vAlign w:val="center"/>
            <w:hideMark/>
          </w:tcPr>
          <w:p w14:paraId="78D0E85D" w14:textId="77777777" w:rsidR="00862A01" w:rsidRPr="00872D7E" w:rsidRDefault="00862A01" w:rsidP="00862A01">
            <w:pPr>
              <w:jc w:val="right"/>
              <w:rPr>
                <w:b/>
                <w:bCs/>
                <w:color w:val="000000"/>
                <w:sz w:val="18"/>
                <w:szCs w:val="18"/>
              </w:rPr>
            </w:pPr>
            <w:r w:rsidRPr="00872D7E">
              <w:rPr>
                <w:b/>
                <w:bCs/>
                <w:color w:val="000000"/>
                <w:sz w:val="18"/>
                <w:szCs w:val="18"/>
              </w:rPr>
              <w:t> </w:t>
            </w:r>
          </w:p>
        </w:tc>
        <w:tc>
          <w:tcPr>
            <w:tcW w:w="836" w:type="pct"/>
            <w:tcBorders>
              <w:top w:val="single" w:sz="4" w:space="0" w:color="auto"/>
              <w:left w:val="nil"/>
              <w:right w:val="nil"/>
            </w:tcBorders>
            <w:shd w:val="clear" w:color="auto" w:fill="auto"/>
            <w:noWrap/>
            <w:vAlign w:val="center"/>
            <w:hideMark/>
          </w:tcPr>
          <w:p w14:paraId="016F3A04" w14:textId="77777777" w:rsidR="00862A01" w:rsidRPr="00872D7E" w:rsidRDefault="00862A01" w:rsidP="00862A01">
            <w:pPr>
              <w:jc w:val="right"/>
              <w:rPr>
                <w:b/>
                <w:bCs/>
                <w:color w:val="000000"/>
                <w:sz w:val="18"/>
                <w:szCs w:val="18"/>
              </w:rPr>
            </w:pPr>
            <w:r w:rsidRPr="00872D7E">
              <w:rPr>
                <w:b/>
                <w:bCs/>
                <w:color w:val="000000"/>
                <w:sz w:val="18"/>
                <w:szCs w:val="18"/>
              </w:rPr>
              <w:t> </w:t>
            </w:r>
          </w:p>
        </w:tc>
      </w:tr>
      <w:tr w:rsidR="00862A01" w:rsidRPr="00872D7E" w14:paraId="5D002614" w14:textId="77777777" w:rsidTr="0086505A">
        <w:trPr>
          <w:divId w:val="887840538"/>
          <w:trHeight w:val="170"/>
        </w:trPr>
        <w:tc>
          <w:tcPr>
            <w:tcW w:w="2492" w:type="pct"/>
            <w:tcBorders>
              <w:left w:val="nil"/>
              <w:bottom w:val="single" w:sz="12" w:space="0" w:color="auto"/>
              <w:right w:val="nil"/>
            </w:tcBorders>
            <w:shd w:val="clear" w:color="auto" w:fill="auto"/>
            <w:noWrap/>
            <w:vAlign w:val="center"/>
            <w:hideMark/>
          </w:tcPr>
          <w:p w14:paraId="6AB3364E" w14:textId="77777777" w:rsidR="00862A01" w:rsidRPr="00872D7E" w:rsidRDefault="00862A01" w:rsidP="00862A01">
            <w:pPr>
              <w:jc w:val="both"/>
              <w:rPr>
                <w:b/>
                <w:bCs/>
                <w:color w:val="000000"/>
                <w:sz w:val="18"/>
                <w:szCs w:val="18"/>
              </w:rPr>
            </w:pPr>
            <w:r w:rsidRPr="00872D7E">
              <w:rPr>
                <w:b/>
                <w:bCs/>
                <w:color w:val="000000"/>
                <w:sz w:val="18"/>
                <w:szCs w:val="18"/>
              </w:rPr>
              <w:t>Toplam</w:t>
            </w:r>
          </w:p>
        </w:tc>
        <w:tc>
          <w:tcPr>
            <w:tcW w:w="836" w:type="pct"/>
            <w:tcBorders>
              <w:left w:val="nil"/>
              <w:bottom w:val="single" w:sz="12" w:space="0" w:color="auto"/>
              <w:right w:val="nil"/>
            </w:tcBorders>
            <w:shd w:val="clear" w:color="auto" w:fill="auto"/>
            <w:vAlign w:val="center"/>
            <w:hideMark/>
          </w:tcPr>
          <w:p w14:paraId="7837504C" w14:textId="77777777" w:rsidR="00862A01" w:rsidRPr="00872D7E" w:rsidRDefault="00862A01" w:rsidP="00862A01">
            <w:pPr>
              <w:jc w:val="right"/>
              <w:rPr>
                <w:b/>
                <w:bCs/>
                <w:color w:val="000000"/>
                <w:sz w:val="18"/>
                <w:szCs w:val="18"/>
              </w:rPr>
            </w:pPr>
            <w:r w:rsidRPr="00872D7E">
              <w:rPr>
                <w:b/>
                <w:bCs/>
                <w:color w:val="000000"/>
                <w:sz w:val="18"/>
                <w:szCs w:val="18"/>
              </w:rPr>
              <w:t>124.174</w:t>
            </w:r>
          </w:p>
        </w:tc>
        <w:tc>
          <w:tcPr>
            <w:tcW w:w="836" w:type="pct"/>
            <w:tcBorders>
              <w:left w:val="nil"/>
              <w:bottom w:val="single" w:sz="12" w:space="0" w:color="auto"/>
              <w:right w:val="nil"/>
            </w:tcBorders>
            <w:shd w:val="clear" w:color="auto" w:fill="auto"/>
            <w:vAlign w:val="center"/>
            <w:hideMark/>
          </w:tcPr>
          <w:p w14:paraId="7D1062CD" w14:textId="77777777" w:rsidR="00862A01" w:rsidRPr="00872D7E" w:rsidRDefault="00862A01" w:rsidP="00862A01">
            <w:pPr>
              <w:jc w:val="right"/>
              <w:rPr>
                <w:b/>
                <w:bCs/>
                <w:color w:val="000000"/>
                <w:sz w:val="18"/>
                <w:szCs w:val="18"/>
              </w:rPr>
            </w:pPr>
            <w:r w:rsidRPr="00872D7E">
              <w:rPr>
                <w:b/>
                <w:bCs/>
                <w:color w:val="000000"/>
                <w:sz w:val="18"/>
                <w:szCs w:val="18"/>
              </w:rPr>
              <w:t>1.335.731</w:t>
            </w:r>
          </w:p>
        </w:tc>
        <w:tc>
          <w:tcPr>
            <w:tcW w:w="836" w:type="pct"/>
            <w:tcBorders>
              <w:left w:val="nil"/>
              <w:bottom w:val="single" w:sz="12" w:space="0" w:color="auto"/>
              <w:right w:val="nil"/>
            </w:tcBorders>
            <w:shd w:val="clear" w:color="auto" w:fill="auto"/>
            <w:vAlign w:val="center"/>
            <w:hideMark/>
          </w:tcPr>
          <w:p w14:paraId="78AB4197" w14:textId="77777777" w:rsidR="00862A01" w:rsidRPr="00872D7E" w:rsidRDefault="00862A01" w:rsidP="00862A01">
            <w:pPr>
              <w:jc w:val="right"/>
              <w:rPr>
                <w:b/>
                <w:bCs/>
                <w:color w:val="000000"/>
                <w:sz w:val="18"/>
                <w:szCs w:val="18"/>
              </w:rPr>
            </w:pPr>
            <w:r w:rsidRPr="00872D7E">
              <w:rPr>
                <w:b/>
                <w:bCs/>
                <w:color w:val="000000"/>
                <w:sz w:val="18"/>
                <w:szCs w:val="18"/>
              </w:rPr>
              <w:t>1.459.905</w:t>
            </w:r>
          </w:p>
        </w:tc>
      </w:tr>
    </w:tbl>
    <w:p w14:paraId="6356E0AD" w14:textId="3A50B21F" w:rsidR="00A25F7C" w:rsidRPr="00872D7E" w:rsidRDefault="00A25F7C" w:rsidP="00AE0899">
      <w:pPr>
        <w:widowControl w:val="0"/>
        <w:ind w:left="851"/>
        <w:rPr>
          <w:bCs/>
          <w:szCs w:val="20"/>
        </w:rPr>
      </w:pPr>
    </w:p>
    <w:p w14:paraId="759A2D37" w14:textId="77777777" w:rsidR="00783275" w:rsidRPr="00872D7E" w:rsidRDefault="00783275" w:rsidP="00314609">
      <w:pPr>
        <w:widowControl w:val="0"/>
        <w:spacing w:after="120"/>
        <w:ind w:left="851"/>
        <w:jc w:val="both"/>
        <w:rPr>
          <w:szCs w:val="20"/>
        </w:rPr>
      </w:pPr>
      <w:r w:rsidRPr="00872D7E">
        <w:rPr>
          <w:szCs w:val="20"/>
        </w:rPr>
        <w:t>1 Ocak 2024 tarihi itibarıyla Banka’nın kredisi bulunmamaktadır.</w:t>
      </w:r>
    </w:p>
    <w:p w14:paraId="152F8BA2" w14:textId="77777777" w:rsidR="009E5C0C" w:rsidRPr="00872D7E" w:rsidRDefault="009E5C0C" w:rsidP="000B0EE6">
      <w:pPr>
        <w:pStyle w:val="BodyTextIndent"/>
        <w:widowControl w:val="0"/>
        <w:numPr>
          <w:ilvl w:val="0"/>
          <w:numId w:val="6"/>
        </w:numPr>
        <w:tabs>
          <w:tab w:val="clear" w:pos="540"/>
        </w:tabs>
        <w:ind w:left="567" w:hanging="567"/>
        <w:rPr>
          <w:b/>
          <w:szCs w:val="20"/>
        </w:rPr>
      </w:pPr>
      <w:r w:rsidRPr="00872D7E">
        <w:rPr>
          <w:b/>
          <w:szCs w:val="20"/>
        </w:rPr>
        <w:t>Kredilerin kullanıcılara göre dağılımı:</w:t>
      </w:r>
    </w:p>
    <w:p w14:paraId="5C0C7A9A" w14:textId="77777777" w:rsidR="009E5C0C" w:rsidRPr="00872D7E" w:rsidRDefault="009E5C0C" w:rsidP="00813BA8"/>
    <w:tbl>
      <w:tblPr>
        <w:tblW w:w="5000" w:type="pct"/>
        <w:tblCellMar>
          <w:left w:w="0" w:type="dxa"/>
          <w:right w:w="0" w:type="dxa"/>
        </w:tblCellMar>
        <w:tblLook w:val="0000" w:firstRow="0" w:lastRow="0" w:firstColumn="0" w:lastColumn="0" w:noHBand="0" w:noVBand="0"/>
      </w:tblPr>
      <w:tblGrid>
        <w:gridCol w:w="7211"/>
        <w:gridCol w:w="2144"/>
      </w:tblGrid>
      <w:tr w:rsidR="00314609" w:rsidRPr="00872D7E" w14:paraId="1A703808" w14:textId="77777777" w:rsidTr="00CC41DB">
        <w:trPr>
          <w:trHeight w:val="113"/>
        </w:trPr>
        <w:tc>
          <w:tcPr>
            <w:tcW w:w="3854" w:type="pct"/>
            <w:shd w:val="clear" w:color="auto" w:fill="auto"/>
          </w:tcPr>
          <w:p w14:paraId="2BACD179" w14:textId="77777777" w:rsidR="00314609" w:rsidRPr="00872D7E" w:rsidRDefault="00314609" w:rsidP="00813BA8">
            <w:pPr>
              <w:autoSpaceDE w:val="0"/>
              <w:autoSpaceDN w:val="0"/>
              <w:adjustRightInd w:val="0"/>
              <w:rPr>
                <w:rFonts w:eastAsia="Arial Unicode MS"/>
                <w:b/>
                <w:szCs w:val="20"/>
              </w:rPr>
            </w:pPr>
            <w:bookmarkStart w:id="70" w:name="_Hlk189572340"/>
          </w:p>
        </w:tc>
        <w:tc>
          <w:tcPr>
            <w:tcW w:w="1146" w:type="pct"/>
            <w:shd w:val="clear" w:color="auto" w:fill="auto"/>
            <w:vAlign w:val="center"/>
          </w:tcPr>
          <w:p w14:paraId="1FECE820" w14:textId="29BAA9F3" w:rsidR="00314609" w:rsidRPr="00872D7E" w:rsidRDefault="00314609" w:rsidP="00813BA8">
            <w:pPr>
              <w:autoSpaceDE w:val="0"/>
              <w:autoSpaceDN w:val="0"/>
              <w:adjustRightInd w:val="0"/>
              <w:ind w:right="86"/>
              <w:jc w:val="right"/>
              <w:rPr>
                <w:rFonts w:eastAsia="Arial Unicode MS"/>
                <w:b/>
                <w:szCs w:val="20"/>
              </w:rPr>
            </w:pPr>
            <w:r w:rsidRPr="00872D7E">
              <w:rPr>
                <w:b/>
                <w:bCs/>
                <w:color w:val="000000"/>
                <w:szCs w:val="20"/>
              </w:rPr>
              <w:t>31 Aralık 2024</w:t>
            </w:r>
          </w:p>
        </w:tc>
      </w:tr>
      <w:tr w:rsidR="00314609" w:rsidRPr="00872D7E" w14:paraId="755CC2C6" w14:textId="77777777" w:rsidTr="00CC41DB">
        <w:trPr>
          <w:trHeight w:val="113"/>
        </w:trPr>
        <w:tc>
          <w:tcPr>
            <w:tcW w:w="3854" w:type="pct"/>
            <w:shd w:val="clear" w:color="auto" w:fill="auto"/>
          </w:tcPr>
          <w:p w14:paraId="5E2255C2" w14:textId="77777777" w:rsidR="00314609" w:rsidRPr="00872D7E" w:rsidRDefault="00314609" w:rsidP="00813BA8">
            <w:pPr>
              <w:autoSpaceDE w:val="0"/>
              <w:autoSpaceDN w:val="0"/>
              <w:adjustRightInd w:val="0"/>
              <w:rPr>
                <w:rFonts w:eastAsia="Arial Unicode MS"/>
                <w:szCs w:val="20"/>
              </w:rPr>
            </w:pPr>
          </w:p>
        </w:tc>
        <w:tc>
          <w:tcPr>
            <w:tcW w:w="1146" w:type="pct"/>
            <w:shd w:val="clear" w:color="auto" w:fill="auto"/>
          </w:tcPr>
          <w:p w14:paraId="6640DEEC" w14:textId="77777777" w:rsidR="00314609" w:rsidRPr="00872D7E" w:rsidRDefault="00314609" w:rsidP="00813BA8">
            <w:pPr>
              <w:autoSpaceDE w:val="0"/>
              <w:autoSpaceDN w:val="0"/>
              <w:adjustRightInd w:val="0"/>
              <w:ind w:right="86"/>
              <w:jc w:val="right"/>
              <w:rPr>
                <w:rFonts w:eastAsia="Arial Unicode MS"/>
                <w:szCs w:val="20"/>
              </w:rPr>
            </w:pPr>
          </w:p>
        </w:tc>
      </w:tr>
      <w:tr w:rsidR="00314609" w:rsidRPr="00872D7E" w14:paraId="7060CA58" w14:textId="77777777" w:rsidTr="0086505A">
        <w:trPr>
          <w:trHeight w:val="113"/>
        </w:trPr>
        <w:tc>
          <w:tcPr>
            <w:tcW w:w="3854" w:type="pct"/>
            <w:shd w:val="clear" w:color="auto" w:fill="auto"/>
          </w:tcPr>
          <w:p w14:paraId="02A925D6" w14:textId="77777777" w:rsidR="00314609" w:rsidRPr="00872D7E" w:rsidRDefault="00314609" w:rsidP="00813BA8">
            <w:pPr>
              <w:autoSpaceDE w:val="0"/>
              <w:autoSpaceDN w:val="0"/>
              <w:adjustRightInd w:val="0"/>
              <w:rPr>
                <w:rFonts w:eastAsia="Arial Unicode MS"/>
                <w:szCs w:val="20"/>
              </w:rPr>
            </w:pPr>
            <w:r w:rsidRPr="00872D7E">
              <w:rPr>
                <w:rFonts w:eastAsia="Arial Unicode MS"/>
                <w:szCs w:val="20"/>
              </w:rPr>
              <w:t>Kamu</w:t>
            </w:r>
          </w:p>
        </w:tc>
        <w:tc>
          <w:tcPr>
            <w:tcW w:w="1146" w:type="pct"/>
            <w:tcBorders>
              <w:top w:val="nil"/>
              <w:left w:val="nil"/>
              <w:right w:val="nil"/>
            </w:tcBorders>
            <w:shd w:val="clear" w:color="auto" w:fill="auto"/>
          </w:tcPr>
          <w:p w14:paraId="2E1D389E" w14:textId="29FF3971" w:rsidR="00314609" w:rsidRPr="00872D7E" w:rsidRDefault="00314609" w:rsidP="00813BA8">
            <w:pPr>
              <w:ind w:right="86"/>
              <w:jc w:val="right"/>
              <w:rPr>
                <w:color w:val="000000"/>
                <w:szCs w:val="20"/>
              </w:rPr>
            </w:pPr>
            <w:r w:rsidRPr="00872D7E">
              <w:rPr>
                <w:szCs w:val="20"/>
              </w:rPr>
              <w:t>1.570.244</w:t>
            </w:r>
          </w:p>
        </w:tc>
      </w:tr>
      <w:tr w:rsidR="00314609" w:rsidRPr="00872D7E" w14:paraId="779388D4" w14:textId="77777777" w:rsidTr="0086505A">
        <w:trPr>
          <w:trHeight w:val="113"/>
        </w:trPr>
        <w:tc>
          <w:tcPr>
            <w:tcW w:w="3854" w:type="pct"/>
            <w:tcBorders>
              <w:bottom w:val="single" w:sz="4" w:space="0" w:color="auto"/>
            </w:tcBorders>
            <w:shd w:val="clear" w:color="auto" w:fill="auto"/>
          </w:tcPr>
          <w:p w14:paraId="4C3F897B" w14:textId="77777777" w:rsidR="00314609" w:rsidRPr="00872D7E" w:rsidRDefault="00314609" w:rsidP="00813BA8">
            <w:pPr>
              <w:autoSpaceDE w:val="0"/>
              <w:autoSpaceDN w:val="0"/>
              <w:adjustRightInd w:val="0"/>
              <w:rPr>
                <w:rFonts w:eastAsia="Arial Unicode MS"/>
                <w:szCs w:val="20"/>
              </w:rPr>
            </w:pPr>
            <w:r w:rsidRPr="00872D7E">
              <w:rPr>
                <w:rFonts w:eastAsia="Arial Unicode MS"/>
                <w:szCs w:val="20"/>
              </w:rPr>
              <w:t>Özel</w:t>
            </w:r>
          </w:p>
        </w:tc>
        <w:tc>
          <w:tcPr>
            <w:tcW w:w="1146" w:type="pct"/>
            <w:tcBorders>
              <w:top w:val="nil"/>
              <w:left w:val="nil"/>
              <w:bottom w:val="single" w:sz="4" w:space="0" w:color="auto"/>
              <w:right w:val="nil"/>
            </w:tcBorders>
            <w:shd w:val="clear" w:color="auto" w:fill="auto"/>
          </w:tcPr>
          <w:p w14:paraId="3C8A02BC" w14:textId="3F4B6085" w:rsidR="00314609" w:rsidRPr="00872D7E" w:rsidRDefault="00314609" w:rsidP="00813BA8">
            <w:pPr>
              <w:ind w:right="86"/>
              <w:jc w:val="right"/>
              <w:rPr>
                <w:color w:val="000000"/>
                <w:szCs w:val="20"/>
              </w:rPr>
            </w:pPr>
            <w:r w:rsidRPr="00872D7E">
              <w:rPr>
                <w:szCs w:val="20"/>
              </w:rPr>
              <w:t>21.459.215</w:t>
            </w:r>
          </w:p>
        </w:tc>
      </w:tr>
      <w:tr w:rsidR="00314609" w:rsidRPr="00872D7E" w14:paraId="534003F6" w14:textId="77777777" w:rsidTr="0086505A">
        <w:trPr>
          <w:trHeight w:val="113"/>
        </w:trPr>
        <w:tc>
          <w:tcPr>
            <w:tcW w:w="3854" w:type="pct"/>
            <w:tcBorders>
              <w:top w:val="single" w:sz="4" w:space="0" w:color="auto"/>
            </w:tcBorders>
            <w:shd w:val="clear" w:color="auto" w:fill="auto"/>
          </w:tcPr>
          <w:p w14:paraId="71F51204" w14:textId="77777777" w:rsidR="00314609" w:rsidRPr="00872D7E" w:rsidRDefault="00314609" w:rsidP="00813BA8">
            <w:pPr>
              <w:autoSpaceDE w:val="0"/>
              <w:autoSpaceDN w:val="0"/>
              <w:adjustRightInd w:val="0"/>
              <w:rPr>
                <w:rFonts w:eastAsia="Arial Unicode MS"/>
                <w:b/>
                <w:szCs w:val="20"/>
              </w:rPr>
            </w:pPr>
          </w:p>
        </w:tc>
        <w:tc>
          <w:tcPr>
            <w:tcW w:w="1146" w:type="pct"/>
            <w:tcBorders>
              <w:top w:val="single" w:sz="4" w:space="0" w:color="auto"/>
            </w:tcBorders>
            <w:shd w:val="clear" w:color="auto" w:fill="auto"/>
          </w:tcPr>
          <w:p w14:paraId="61C11DF6" w14:textId="77777777" w:rsidR="00314609" w:rsidRPr="00872D7E" w:rsidRDefault="00314609" w:rsidP="00813BA8">
            <w:pPr>
              <w:ind w:right="86"/>
              <w:jc w:val="right"/>
              <w:rPr>
                <w:rFonts w:eastAsia="Arial Unicode MS"/>
                <w:szCs w:val="20"/>
              </w:rPr>
            </w:pPr>
          </w:p>
        </w:tc>
      </w:tr>
      <w:tr w:rsidR="00314609" w:rsidRPr="00872D7E" w14:paraId="492D3AD2" w14:textId="77777777" w:rsidTr="0086505A">
        <w:trPr>
          <w:trHeight w:val="113"/>
        </w:trPr>
        <w:tc>
          <w:tcPr>
            <w:tcW w:w="3854" w:type="pct"/>
            <w:tcBorders>
              <w:bottom w:val="single" w:sz="12" w:space="0" w:color="auto"/>
            </w:tcBorders>
            <w:shd w:val="clear" w:color="auto" w:fill="auto"/>
          </w:tcPr>
          <w:p w14:paraId="59E4C85C" w14:textId="77777777" w:rsidR="00314609" w:rsidRPr="00872D7E" w:rsidRDefault="00314609" w:rsidP="00813BA8">
            <w:pPr>
              <w:autoSpaceDE w:val="0"/>
              <w:autoSpaceDN w:val="0"/>
              <w:adjustRightInd w:val="0"/>
              <w:rPr>
                <w:rFonts w:eastAsia="Arial Unicode MS"/>
                <w:b/>
                <w:szCs w:val="20"/>
              </w:rPr>
            </w:pPr>
            <w:r w:rsidRPr="00872D7E">
              <w:rPr>
                <w:rFonts w:eastAsia="Arial Unicode MS"/>
                <w:b/>
                <w:szCs w:val="20"/>
              </w:rPr>
              <w:t>Toplam</w:t>
            </w:r>
          </w:p>
        </w:tc>
        <w:tc>
          <w:tcPr>
            <w:tcW w:w="1146" w:type="pct"/>
            <w:tcBorders>
              <w:bottom w:val="single" w:sz="12" w:space="0" w:color="auto"/>
            </w:tcBorders>
            <w:shd w:val="clear" w:color="auto" w:fill="auto"/>
          </w:tcPr>
          <w:p w14:paraId="38E76304" w14:textId="49C29832" w:rsidR="00314609" w:rsidRPr="00872D7E" w:rsidRDefault="00314609" w:rsidP="00813BA8">
            <w:pPr>
              <w:ind w:right="86"/>
              <w:jc w:val="right"/>
              <w:rPr>
                <w:b/>
                <w:szCs w:val="20"/>
              </w:rPr>
            </w:pPr>
            <w:r w:rsidRPr="00872D7E">
              <w:rPr>
                <w:b/>
                <w:szCs w:val="20"/>
              </w:rPr>
              <w:t>23.029.459</w:t>
            </w:r>
          </w:p>
        </w:tc>
      </w:tr>
    </w:tbl>
    <w:p w14:paraId="6E093B80" w14:textId="13638BE4" w:rsidR="001664DE" w:rsidRPr="00872D7E" w:rsidRDefault="001664DE" w:rsidP="00813BA8"/>
    <w:p w14:paraId="5B44D1BB" w14:textId="77777777" w:rsidR="00314609" w:rsidRPr="00872D7E" w:rsidRDefault="00314609" w:rsidP="00314609">
      <w:pPr>
        <w:widowControl w:val="0"/>
        <w:ind w:left="851"/>
        <w:jc w:val="both"/>
        <w:rPr>
          <w:szCs w:val="20"/>
        </w:rPr>
      </w:pPr>
      <w:r w:rsidRPr="00872D7E">
        <w:rPr>
          <w:szCs w:val="20"/>
        </w:rPr>
        <w:t>1 Ocak 2024 tarihi itibarıyla Banka’nın kredisi bulunmamaktadır.</w:t>
      </w:r>
    </w:p>
    <w:bookmarkEnd w:id="70"/>
    <w:p w14:paraId="6CFA5968" w14:textId="77777777" w:rsidR="00314609" w:rsidRPr="00872D7E" w:rsidRDefault="00314609" w:rsidP="00813BA8"/>
    <w:p w14:paraId="6156D163" w14:textId="77777777" w:rsidR="00660A09" w:rsidRPr="00872D7E" w:rsidRDefault="00660A09" w:rsidP="000B0EE6">
      <w:pPr>
        <w:pStyle w:val="BodyTextIndent"/>
        <w:widowControl w:val="0"/>
        <w:numPr>
          <w:ilvl w:val="0"/>
          <w:numId w:val="6"/>
        </w:numPr>
        <w:tabs>
          <w:tab w:val="clear" w:pos="540"/>
        </w:tabs>
        <w:ind w:left="567" w:hanging="567"/>
        <w:rPr>
          <w:b/>
          <w:szCs w:val="20"/>
        </w:rPr>
      </w:pPr>
      <w:r w:rsidRPr="00872D7E">
        <w:rPr>
          <w:b/>
          <w:szCs w:val="20"/>
        </w:rPr>
        <w:t>Yurtiçi ve yurtdışı kredilerin dağılımı:</w:t>
      </w:r>
    </w:p>
    <w:p w14:paraId="0984FFD4" w14:textId="4188DB45" w:rsidR="00862A01" w:rsidRPr="00872D7E" w:rsidRDefault="00862A01" w:rsidP="00862A01">
      <w:pPr>
        <w:widowControl w:val="0"/>
        <w:autoSpaceDE w:val="0"/>
        <w:autoSpaceDN w:val="0"/>
        <w:adjustRightInd w:val="0"/>
        <w:ind w:left="851"/>
        <w:rPr>
          <w:szCs w:val="20"/>
        </w:rPr>
      </w:pPr>
    </w:p>
    <w:tbl>
      <w:tblPr>
        <w:tblW w:w="5000" w:type="pct"/>
        <w:tblCellMar>
          <w:left w:w="70" w:type="dxa"/>
          <w:right w:w="70" w:type="dxa"/>
        </w:tblCellMar>
        <w:tblLook w:val="04A0" w:firstRow="1" w:lastRow="0" w:firstColumn="1" w:lastColumn="0" w:noHBand="0" w:noVBand="1"/>
      </w:tblPr>
      <w:tblGrid>
        <w:gridCol w:w="7207"/>
        <w:gridCol w:w="2148"/>
      </w:tblGrid>
      <w:tr w:rsidR="00862A01" w:rsidRPr="00872D7E" w14:paraId="5B05917C" w14:textId="77777777" w:rsidTr="00CC41DB">
        <w:trPr>
          <w:divId w:val="1088233366"/>
          <w:trHeight w:val="227"/>
        </w:trPr>
        <w:tc>
          <w:tcPr>
            <w:tcW w:w="3852" w:type="pct"/>
            <w:tcBorders>
              <w:top w:val="nil"/>
              <w:left w:val="nil"/>
              <w:right w:val="nil"/>
            </w:tcBorders>
            <w:shd w:val="clear" w:color="auto" w:fill="auto"/>
            <w:vAlign w:val="bottom"/>
            <w:hideMark/>
          </w:tcPr>
          <w:p w14:paraId="57A53508" w14:textId="096F2FAF" w:rsidR="00862A01" w:rsidRPr="00872D7E" w:rsidRDefault="00862A01" w:rsidP="00862A01">
            <w:pPr>
              <w:jc w:val="center"/>
              <w:rPr>
                <w:szCs w:val="20"/>
              </w:rPr>
            </w:pPr>
          </w:p>
        </w:tc>
        <w:tc>
          <w:tcPr>
            <w:tcW w:w="1148" w:type="pct"/>
            <w:tcBorders>
              <w:top w:val="nil"/>
              <w:left w:val="nil"/>
              <w:right w:val="nil"/>
            </w:tcBorders>
            <w:shd w:val="clear" w:color="auto" w:fill="auto"/>
            <w:noWrap/>
            <w:vAlign w:val="center"/>
            <w:hideMark/>
          </w:tcPr>
          <w:p w14:paraId="77F05BFB" w14:textId="77777777" w:rsidR="00862A01" w:rsidRPr="00872D7E" w:rsidRDefault="00862A01" w:rsidP="00862A01">
            <w:pPr>
              <w:jc w:val="right"/>
              <w:rPr>
                <w:b/>
                <w:bCs/>
                <w:color w:val="000000"/>
                <w:szCs w:val="20"/>
              </w:rPr>
            </w:pPr>
            <w:r w:rsidRPr="00872D7E">
              <w:rPr>
                <w:b/>
                <w:bCs/>
                <w:color w:val="000000"/>
                <w:szCs w:val="20"/>
              </w:rPr>
              <w:t>31 Aralık 2024</w:t>
            </w:r>
          </w:p>
        </w:tc>
      </w:tr>
      <w:tr w:rsidR="00862A01" w:rsidRPr="00872D7E" w14:paraId="258B78E4" w14:textId="77777777" w:rsidTr="00CC41DB">
        <w:trPr>
          <w:divId w:val="1088233366"/>
          <w:trHeight w:val="227"/>
        </w:trPr>
        <w:tc>
          <w:tcPr>
            <w:tcW w:w="3852" w:type="pct"/>
            <w:tcBorders>
              <w:left w:val="nil"/>
              <w:bottom w:val="nil"/>
              <w:right w:val="nil"/>
            </w:tcBorders>
            <w:shd w:val="clear" w:color="auto" w:fill="auto"/>
            <w:vAlign w:val="bottom"/>
            <w:hideMark/>
          </w:tcPr>
          <w:p w14:paraId="7FAB3210" w14:textId="77777777" w:rsidR="00862A01" w:rsidRPr="00872D7E" w:rsidRDefault="00862A01" w:rsidP="00862A01">
            <w:pPr>
              <w:jc w:val="center"/>
              <w:rPr>
                <w:b/>
                <w:bCs/>
                <w:color w:val="000000"/>
                <w:szCs w:val="20"/>
              </w:rPr>
            </w:pPr>
          </w:p>
        </w:tc>
        <w:tc>
          <w:tcPr>
            <w:tcW w:w="1148" w:type="pct"/>
            <w:tcBorders>
              <w:left w:val="nil"/>
              <w:bottom w:val="nil"/>
              <w:right w:val="nil"/>
            </w:tcBorders>
            <w:shd w:val="clear" w:color="auto" w:fill="auto"/>
            <w:noWrap/>
            <w:vAlign w:val="bottom"/>
            <w:hideMark/>
          </w:tcPr>
          <w:p w14:paraId="65AC7EDB" w14:textId="77777777" w:rsidR="00862A01" w:rsidRPr="00872D7E" w:rsidRDefault="00862A01" w:rsidP="00862A01">
            <w:pPr>
              <w:jc w:val="right"/>
              <w:rPr>
                <w:szCs w:val="20"/>
              </w:rPr>
            </w:pPr>
          </w:p>
        </w:tc>
      </w:tr>
      <w:tr w:rsidR="00862A01" w:rsidRPr="00872D7E" w14:paraId="0B5F76F3" w14:textId="77777777" w:rsidTr="00862A01">
        <w:trPr>
          <w:divId w:val="1088233366"/>
          <w:trHeight w:val="227"/>
        </w:trPr>
        <w:tc>
          <w:tcPr>
            <w:tcW w:w="3852" w:type="pct"/>
            <w:tcBorders>
              <w:top w:val="nil"/>
              <w:left w:val="nil"/>
              <w:bottom w:val="nil"/>
              <w:right w:val="nil"/>
            </w:tcBorders>
            <w:shd w:val="clear" w:color="auto" w:fill="auto"/>
            <w:vAlign w:val="bottom"/>
            <w:hideMark/>
          </w:tcPr>
          <w:p w14:paraId="72A99ACB" w14:textId="77777777" w:rsidR="00862A01" w:rsidRPr="00872D7E" w:rsidRDefault="00862A01" w:rsidP="00862A01">
            <w:pPr>
              <w:jc w:val="both"/>
              <w:rPr>
                <w:color w:val="000000"/>
                <w:szCs w:val="20"/>
              </w:rPr>
            </w:pPr>
            <w:r w:rsidRPr="00872D7E">
              <w:rPr>
                <w:color w:val="000000"/>
                <w:szCs w:val="20"/>
              </w:rPr>
              <w:t>Yurtiçi Krediler</w:t>
            </w:r>
          </w:p>
        </w:tc>
        <w:tc>
          <w:tcPr>
            <w:tcW w:w="1148" w:type="pct"/>
            <w:tcBorders>
              <w:top w:val="nil"/>
              <w:left w:val="nil"/>
              <w:bottom w:val="nil"/>
              <w:right w:val="nil"/>
            </w:tcBorders>
            <w:shd w:val="clear" w:color="auto" w:fill="auto"/>
            <w:vAlign w:val="center"/>
            <w:hideMark/>
          </w:tcPr>
          <w:p w14:paraId="6FA44106" w14:textId="77777777" w:rsidR="00862A01" w:rsidRPr="00872D7E" w:rsidRDefault="00862A01" w:rsidP="00862A01">
            <w:pPr>
              <w:jc w:val="right"/>
              <w:rPr>
                <w:color w:val="000000"/>
                <w:szCs w:val="20"/>
              </w:rPr>
            </w:pPr>
            <w:r w:rsidRPr="00872D7E">
              <w:rPr>
                <w:color w:val="000000"/>
                <w:szCs w:val="20"/>
              </w:rPr>
              <w:t>22.951.448</w:t>
            </w:r>
          </w:p>
        </w:tc>
      </w:tr>
      <w:tr w:rsidR="00862A01" w:rsidRPr="00872D7E" w14:paraId="5A3FC4BF" w14:textId="77777777" w:rsidTr="00862A01">
        <w:trPr>
          <w:divId w:val="1088233366"/>
          <w:trHeight w:val="227"/>
        </w:trPr>
        <w:tc>
          <w:tcPr>
            <w:tcW w:w="3852" w:type="pct"/>
            <w:tcBorders>
              <w:top w:val="nil"/>
              <w:left w:val="nil"/>
              <w:bottom w:val="single" w:sz="4" w:space="0" w:color="auto"/>
              <w:right w:val="nil"/>
            </w:tcBorders>
            <w:shd w:val="clear" w:color="auto" w:fill="auto"/>
            <w:vAlign w:val="bottom"/>
            <w:hideMark/>
          </w:tcPr>
          <w:p w14:paraId="6862EDD0" w14:textId="77777777" w:rsidR="00862A01" w:rsidRPr="00872D7E" w:rsidRDefault="00862A01" w:rsidP="00862A01">
            <w:pPr>
              <w:jc w:val="both"/>
              <w:rPr>
                <w:color w:val="000000"/>
                <w:szCs w:val="20"/>
              </w:rPr>
            </w:pPr>
            <w:r w:rsidRPr="00872D7E">
              <w:rPr>
                <w:color w:val="000000"/>
                <w:szCs w:val="20"/>
              </w:rPr>
              <w:t>Yurtdışı Krediler</w:t>
            </w:r>
          </w:p>
        </w:tc>
        <w:tc>
          <w:tcPr>
            <w:tcW w:w="1148" w:type="pct"/>
            <w:tcBorders>
              <w:top w:val="nil"/>
              <w:left w:val="nil"/>
              <w:bottom w:val="single" w:sz="4" w:space="0" w:color="auto"/>
              <w:right w:val="nil"/>
            </w:tcBorders>
            <w:shd w:val="clear" w:color="auto" w:fill="auto"/>
            <w:vAlign w:val="center"/>
            <w:hideMark/>
          </w:tcPr>
          <w:p w14:paraId="364A44D7" w14:textId="77777777" w:rsidR="00862A01" w:rsidRPr="00872D7E" w:rsidRDefault="00862A01" w:rsidP="00862A01">
            <w:pPr>
              <w:jc w:val="right"/>
              <w:rPr>
                <w:color w:val="000000"/>
                <w:szCs w:val="20"/>
              </w:rPr>
            </w:pPr>
            <w:r w:rsidRPr="00872D7E">
              <w:rPr>
                <w:color w:val="000000"/>
                <w:szCs w:val="20"/>
              </w:rPr>
              <w:t>78.011</w:t>
            </w:r>
          </w:p>
        </w:tc>
      </w:tr>
      <w:tr w:rsidR="00862A01" w:rsidRPr="00872D7E" w14:paraId="35C22615" w14:textId="77777777" w:rsidTr="00862A01">
        <w:trPr>
          <w:divId w:val="1088233366"/>
          <w:trHeight w:val="227"/>
        </w:trPr>
        <w:tc>
          <w:tcPr>
            <w:tcW w:w="3852" w:type="pct"/>
            <w:tcBorders>
              <w:top w:val="nil"/>
              <w:left w:val="nil"/>
              <w:right w:val="nil"/>
            </w:tcBorders>
            <w:shd w:val="clear" w:color="auto" w:fill="auto"/>
            <w:vAlign w:val="bottom"/>
            <w:hideMark/>
          </w:tcPr>
          <w:p w14:paraId="5B6BA8A7" w14:textId="77777777" w:rsidR="00862A01" w:rsidRPr="00872D7E" w:rsidRDefault="00862A01" w:rsidP="00862A01">
            <w:pPr>
              <w:jc w:val="right"/>
              <w:rPr>
                <w:color w:val="000000"/>
                <w:szCs w:val="20"/>
              </w:rPr>
            </w:pPr>
          </w:p>
        </w:tc>
        <w:tc>
          <w:tcPr>
            <w:tcW w:w="1148" w:type="pct"/>
            <w:tcBorders>
              <w:top w:val="nil"/>
              <w:left w:val="nil"/>
              <w:right w:val="nil"/>
            </w:tcBorders>
            <w:shd w:val="clear" w:color="auto" w:fill="auto"/>
            <w:vAlign w:val="center"/>
            <w:hideMark/>
          </w:tcPr>
          <w:p w14:paraId="4C3203A1" w14:textId="77777777" w:rsidR="00862A01" w:rsidRPr="00872D7E" w:rsidRDefault="00862A01" w:rsidP="00862A01">
            <w:pPr>
              <w:jc w:val="right"/>
              <w:rPr>
                <w:szCs w:val="20"/>
              </w:rPr>
            </w:pPr>
          </w:p>
        </w:tc>
      </w:tr>
      <w:tr w:rsidR="00862A01" w:rsidRPr="00872D7E" w14:paraId="4A4FFA8E" w14:textId="77777777" w:rsidTr="00862A01">
        <w:trPr>
          <w:divId w:val="1088233366"/>
          <w:trHeight w:val="227"/>
        </w:trPr>
        <w:tc>
          <w:tcPr>
            <w:tcW w:w="3852" w:type="pct"/>
            <w:tcBorders>
              <w:top w:val="nil"/>
              <w:left w:val="nil"/>
              <w:bottom w:val="single" w:sz="12" w:space="0" w:color="auto"/>
              <w:right w:val="nil"/>
            </w:tcBorders>
            <w:shd w:val="clear" w:color="auto" w:fill="auto"/>
            <w:vAlign w:val="bottom"/>
            <w:hideMark/>
          </w:tcPr>
          <w:p w14:paraId="743BD15D" w14:textId="77777777" w:rsidR="00862A01" w:rsidRPr="00872D7E" w:rsidRDefault="00862A01" w:rsidP="00862A01">
            <w:pPr>
              <w:jc w:val="both"/>
              <w:rPr>
                <w:b/>
                <w:bCs/>
                <w:color w:val="000000"/>
                <w:szCs w:val="20"/>
              </w:rPr>
            </w:pPr>
            <w:r w:rsidRPr="00872D7E">
              <w:rPr>
                <w:b/>
                <w:bCs/>
                <w:color w:val="000000"/>
                <w:szCs w:val="20"/>
              </w:rPr>
              <w:t xml:space="preserve">Toplam </w:t>
            </w:r>
          </w:p>
        </w:tc>
        <w:tc>
          <w:tcPr>
            <w:tcW w:w="1148" w:type="pct"/>
            <w:tcBorders>
              <w:top w:val="nil"/>
              <w:left w:val="nil"/>
              <w:bottom w:val="single" w:sz="12" w:space="0" w:color="auto"/>
              <w:right w:val="nil"/>
            </w:tcBorders>
            <w:shd w:val="clear" w:color="auto" w:fill="auto"/>
            <w:vAlign w:val="center"/>
            <w:hideMark/>
          </w:tcPr>
          <w:p w14:paraId="35DBBF8B" w14:textId="77777777" w:rsidR="00862A01" w:rsidRPr="00872D7E" w:rsidRDefault="00862A01" w:rsidP="00862A01">
            <w:pPr>
              <w:jc w:val="right"/>
              <w:rPr>
                <w:b/>
                <w:bCs/>
                <w:color w:val="000000"/>
                <w:szCs w:val="20"/>
              </w:rPr>
            </w:pPr>
            <w:r w:rsidRPr="00872D7E">
              <w:rPr>
                <w:b/>
                <w:bCs/>
                <w:color w:val="000000"/>
                <w:szCs w:val="20"/>
              </w:rPr>
              <w:t>23.029.459</w:t>
            </w:r>
          </w:p>
        </w:tc>
      </w:tr>
    </w:tbl>
    <w:p w14:paraId="6BED13AA" w14:textId="004DBE44" w:rsidR="00314609" w:rsidRPr="00872D7E" w:rsidRDefault="00314609" w:rsidP="00314609">
      <w:pPr>
        <w:widowControl w:val="0"/>
        <w:ind w:left="851"/>
        <w:jc w:val="both"/>
        <w:rPr>
          <w:szCs w:val="20"/>
        </w:rPr>
      </w:pPr>
    </w:p>
    <w:p w14:paraId="31D02BAA" w14:textId="6C86F910" w:rsidR="00894C14" w:rsidRPr="00872D7E" w:rsidRDefault="00314609" w:rsidP="00CC41DB">
      <w:pPr>
        <w:widowControl w:val="0"/>
        <w:ind w:left="851"/>
        <w:jc w:val="both"/>
        <w:rPr>
          <w:szCs w:val="20"/>
        </w:rPr>
      </w:pPr>
      <w:bookmarkStart w:id="71" w:name="_Hlk189572380"/>
      <w:r w:rsidRPr="00872D7E">
        <w:rPr>
          <w:szCs w:val="20"/>
        </w:rPr>
        <w:t>1 Ocak 2024 tarihi itibarıyla Banka’nın kredisi bulunmamaktadır.</w:t>
      </w:r>
      <w:r w:rsidR="00894C14" w:rsidRPr="00872D7E">
        <w:rPr>
          <w:szCs w:val="20"/>
        </w:rPr>
        <w:br w:type="page"/>
      </w:r>
    </w:p>
    <w:bookmarkEnd w:id="71"/>
    <w:p w14:paraId="2E6D2A35" w14:textId="74A519AD" w:rsidR="00426C04" w:rsidRPr="00872D7E" w:rsidRDefault="00426C04" w:rsidP="00314609">
      <w:pPr>
        <w:rPr>
          <w:b/>
          <w:szCs w:val="20"/>
        </w:rPr>
      </w:pPr>
      <w:r w:rsidRPr="00872D7E">
        <w:rPr>
          <w:b/>
          <w:szCs w:val="20"/>
        </w:rPr>
        <w:lastRenderedPageBreak/>
        <w:t>KONSOLİDE OLMAYAN FİNANSAL TABLOLARA İLİŞKİN AÇIKLAMA VE DİPNOTLAR (Devamı)</w:t>
      </w:r>
    </w:p>
    <w:p w14:paraId="2CF90D05" w14:textId="77777777" w:rsidR="00426C04" w:rsidRPr="00872D7E" w:rsidRDefault="00426C04" w:rsidP="00426C04">
      <w:pPr>
        <w:pStyle w:val="ListParagraph"/>
        <w:widowControl w:val="0"/>
        <w:ind w:left="14" w:right="452"/>
        <w:jc w:val="both"/>
        <w:rPr>
          <w:b/>
          <w:szCs w:val="20"/>
        </w:rPr>
      </w:pPr>
    </w:p>
    <w:p w14:paraId="69754385" w14:textId="77777777" w:rsidR="00426C04" w:rsidRPr="00872D7E" w:rsidRDefault="00426C04" w:rsidP="00DF282B">
      <w:pPr>
        <w:pStyle w:val="ListParagraph"/>
        <w:widowControl w:val="0"/>
        <w:numPr>
          <w:ilvl w:val="0"/>
          <w:numId w:val="72"/>
        </w:numPr>
        <w:ind w:left="709"/>
        <w:jc w:val="both"/>
        <w:rPr>
          <w:b/>
          <w:szCs w:val="20"/>
        </w:rPr>
      </w:pPr>
      <w:r w:rsidRPr="00872D7E">
        <w:rPr>
          <w:b/>
          <w:szCs w:val="20"/>
        </w:rPr>
        <w:t>BİLANÇONUN AKTİF HESAPLARINA İLİŞKİN AÇIKLAMA VE DİPNOTLAR (Devamı)</w:t>
      </w:r>
    </w:p>
    <w:p w14:paraId="52AC22D3" w14:textId="77777777" w:rsidR="00426C04" w:rsidRPr="00872D7E" w:rsidRDefault="00426C04" w:rsidP="00426C04">
      <w:pPr>
        <w:pStyle w:val="BodyTextIndent"/>
        <w:widowControl w:val="0"/>
        <w:ind w:left="851" w:hanging="851"/>
        <w:rPr>
          <w:b/>
          <w:szCs w:val="20"/>
        </w:rPr>
      </w:pPr>
    </w:p>
    <w:p w14:paraId="30C0ECDE" w14:textId="77777777" w:rsidR="00426C04" w:rsidRPr="00872D7E" w:rsidRDefault="00426C04" w:rsidP="00DF282B">
      <w:pPr>
        <w:pStyle w:val="BodyTextIndent"/>
        <w:widowControl w:val="0"/>
        <w:numPr>
          <w:ilvl w:val="0"/>
          <w:numId w:val="63"/>
        </w:numPr>
        <w:tabs>
          <w:tab w:val="clear" w:pos="720"/>
        </w:tabs>
        <w:ind w:left="851" w:hanging="851"/>
        <w:rPr>
          <w:b/>
          <w:szCs w:val="20"/>
        </w:rPr>
      </w:pPr>
      <w:r w:rsidRPr="00872D7E">
        <w:rPr>
          <w:b/>
          <w:szCs w:val="20"/>
        </w:rPr>
        <w:t>Kredilere ilişkin açıklamalar (Devamı)</w:t>
      </w:r>
    </w:p>
    <w:p w14:paraId="2CF696AD" w14:textId="77777777" w:rsidR="00660A09" w:rsidRPr="00872D7E" w:rsidRDefault="00660A09" w:rsidP="00471069">
      <w:pPr>
        <w:widowControl w:val="0"/>
        <w:autoSpaceDE w:val="0"/>
        <w:autoSpaceDN w:val="0"/>
        <w:adjustRightInd w:val="0"/>
        <w:ind w:left="851"/>
        <w:rPr>
          <w:szCs w:val="20"/>
        </w:rPr>
      </w:pPr>
    </w:p>
    <w:p w14:paraId="7680EB36" w14:textId="77777777" w:rsidR="00660A09" w:rsidRPr="00872D7E" w:rsidRDefault="00660A09" w:rsidP="000B0EE6">
      <w:pPr>
        <w:pStyle w:val="BodyTextIndent"/>
        <w:widowControl w:val="0"/>
        <w:numPr>
          <w:ilvl w:val="0"/>
          <w:numId w:val="6"/>
        </w:numPr>
        <w:tabs>
          <w:tab w:val="clear" w:pos="540"/>
        </w:tabs>
        <w:ind w:left="567" w:hanging="567"/>
        <w:rPr>
          <w:b/>
          <w:szCs w:val="20"/>
        </w:rPr>
      </w:pPr>
      <w:r w:rsidRPr="00872D7E">
        <w:rPr>
          <w:b/>
          <w:szCs w:val="20"/>
        </w:rPr>
        <w:t xml:space="preserve">Bağlı ortaklık ve iştiraklere verilen krediler: </w:t>
      </w:r>
    </w:p>
    <w:p w14:paraId="79C0DA3A" w14:textId="77777777" w:rsidR="00660A09" w:rsidRPr="00872D7E" w:rsidRDefault="00660A09" w:rsidP="00471069">
      <w:pPr>
        <w:widowControl w:val="0"/>
        <w:autoSpaceDE w:val="0"/>
        <w:autoSpaceDN w:val="0"/>
        <w:adjustRightInd w:val="0"/>
        <w:ind w:left="851"/>
        <w:rPr>
          <w:szCs w:val="20"/>
        </w:rPr>
      </w:pPr>
    </w:p>
    <w:p w14:paraId="78BDF526" w14:textId="6B374EE1" w:rsidR="00660A09" w:rsidRPr="00872D7E" w:rsidRDefault="001C3412" w:rsidP="00471069">
      <w:pPr>
        <w:widowControl w:val="0"/>
        <w:ind w:left="851"/>
        <w:rPr>
          <w:bCs/>
          <w:szCs w:val="20"/>
        </w:rPr>
      </w:pPr>
      <w:r w:rsidRPr="00872D7E">
        <w:rPr>
          <w:bCs/>
          <w:szCs w:val="20"/>
        </w:rPr>
        <w:t>B</w:t>
      </w:r>
      <w:r w:rsidR="00660A09" w:rsidRPr="00872D7E">
        <w:rPr>
          <w:bCs/>
          <w:szCs w:val="20"/>
        </w:rPr>
        <w:t>ulunmamaktadır</w:t>
      </w:r>
      <w:r w:rsidR="00AF526A" w:rsidRPr="00872D7E">
        <w:rPr>
          <w:bCs/>
          <w:szCs w:val="20"/>
        </w:rPr>
        <w:t xml:space="preserve"> (1 Ocak 2024: Bulunmamaktadır).</w:t>
      </w:r>
    </w:p>
    <w:p w14:paraId="0A89E53D" w14:textId="77777777" w:rsidR="00660A09" w:rsidRPr="00872D7E" w:rsidRDefault="00660A09" w:rsidP="00471069">
      <w:pPr>
        <w:widowControl w:val="0"/>
        <w:ind w:left="851"/>
        <w:rPr>
          <w:bCs/>
          <w:szCs w:val="20"/>
        </w:rPr>
      </w:pPr>
    </w:p>
    <w:p w14:paraId="672BFBF9" w14:textId="77777777" w:rsidR="00660A09" w:rsidRPr="00872D7E" w:rsidRDefault="00660A09" w:rsidP="000B0EE6">
      <w:pPr>
        <w:pStyle w:val="BodyTextIndent"/>
        <w:widowControl w:val="0"/>
        <w:numPr>
          <w:ilvl w:val="0"/>
          <w:numId w:val="6"/>
        </w:numPr>
        <w:tabs>
          <w:tab w:val="clear" w:pos="540"/>
        </w:tabs>
        <w:ind w:left="567" w:hanging="567"/>
        <w:rPr>
          <w:b/>
          <w:szCs w:val="20"/>
        </w:rPr>
      </w:pPr>
      <w:r w:rsidRPr="00872D7E">
        <w:rPr>
          <w:b/>
          <w:szCs w:val="20"/>
        </w:rPr>
        <w:t xml:space="preserve">Kredilere ilişkin olarak ayrılan özel karşılıklar </w:t>
      </w:r>
    </w:p>
    <w:p w14:paraId="2DE8C455" w14:textId="77777777" w:rsidR="00660A09" w:rsidRPr="00872D7E" w:rsidRDefault="00660A09" w:rsidP="00471069">
      <w:pPr>
        <w:widowControl w:val="0"/>
        <w:ind w:left="851"/>
        <w:rPr>
          <w:bCs/>
          <w:szCs w:val="20"/>
        </w:rPr>
      </w:pPr>
    </w:p>
    <w:p w14:paraId="22B506E8" w14:textId="3CA3B2FA" w:rsidR="00C70F9C" w:rsidRPr="00872D7E" w:rsidRDefault="001C3412" w:rsidP="00471069">
      <w:pPr>
        <w:widowControl w:val="0"/>
        <w:ind w:left="851"/>
        <w:rPr>
          <w:bCs/>
          <w:szCs w:val="20"/>
        </w:rPr>
      </w:pPr>
      <w:r w:rsidRPr="00872D7E">
        <w:rPr>
          <w:bCs/>
          <w:szCs w:val="20"/>
        </w:rPr>
        <w:t xml:space="preserve">Bulunmamaktadır </w:t>
      </w:r>
      <w:r w:rsidR="00AF526A" w:rsidRPr="00872D7E">
        <w:rPr>
          <w:bCs/>
          <w:szCs w:val="20"/>
        </w:rPr>
        <w:t>(1 Ocak 2024: Bulunmamaktadır).</w:t>
      </w:r>
    </w:p>
    <w:p w14:paraId="69DDAFE6" w14:textId="77777777" w:rsidR="00C70F9C" w:rsidRPr="00872D7E" w:rsidRDefault="00C70F9C" w:rsidP="00471069">
      <w:pPr>
        <w:widowControl w:val="0"/>
        <w:ind w:left="851"/>
        <w:rPr>
          <w:bCs/>
          <w:szCs w:val="20"/>
        </w:rPr>
      </w:pPr>
    </w:p>
    <w:p w14:paraId="78B20CB4" w14:textId="6841ABDC" w:rsidR="00C70F9C" w:rsidRPr="00872D7E" w:rsidRDefault="00C70F9C" w:rsidP="000B0EE6">
      <w:pPr>
        <w:pStyle w:val="BodyTextIndent"/>
        <w:widowControl w:val="0"/>
        <w:numPr>
          <w:ilvl w:val="0"/>
          <w:numId w:val="6"/>
        </w:numPr>
        <w:tabs>
          <w:tab w:val="clear" w:pos="540"/>
        </w:tabs>
        <w:ind w:left="567" w:hanging="567"/>
        <w:rPr>
          <w:b/>
          <w:szCs w:val="20"/>
        </w:rPr>
      </w:pPr>
      <w:r w:rsidRPr="00872D7E">
        <w:rPr>
          <w:b/>
          <w:szCs w:val="20"/>
        </w:rPr>
        <w:t xml:space="preserve">Donuk alacaklara ilişkin bilgiler (net): </w:t>
      </w:r>
    </w:p>
    <w:p w14:paraId="0F74FA5B" w14:textId="77777777" w:rsidR="00C70F9C" w:rsidRPr="00872D7E" w:rsidRDefault="00C70F9C" w:rsidP="00471069">
      <w:pPr>
        <w:widowControl w:val="0"/>
        <w:ind w:left="851"/>
        <w:rPr>
          <w:bCs/>
          <w:szCs w:val="20"/>
        </w:rPr>
      </w:pPr>
    </w:p>
    <w:p w14:paraId="0F6A70DB" w14:textId="587EB7C9" w:rsidR="00C70F9C" w:rsidRPr="00872D7E" w:rsidRDefault="001C3412" w:rsidP="00471069">
      <w:pPr>
        <w:widowControl w:val="0"/>
        <w:ind w:left="851"/>
        <w:rPr>
          <w:bCs/>
          <w:szCs w:val="20"/>
        </w:rPr>
      </w:pPr>
      <w:r w:rsidRPr="00872D7E">
        <w:rPr>
          <w:bCs/>
          <w:szCs w:val="20"/>
        </w:rPr>
        <w:t>Bulunmamaktadır</w:t>
      </w:r>
      <w:r w:rsidR="00AF526A" w:rsidRPr="00872D7E">
        <w:rPr>
          <w:bCs/>
          <w:szCs w:val="20"/>
        </w:rPr>
        <w:t xml:space="preserve"> (1 Ocak 2024: Bulunmamaktadır).</w:t>
      </w:r>
    </w:p>
    <w:p w14:paraId="7EFB84E2" w14:textId="77777777" w:rsidR="00C70F9C" w:rsidRPr="00872D7E" w:rsidRDefault="00C70F9C" w:rsidP="00471069">
      <w:pPr>
        <w:widowControl w:val="0"/>
        <w:ind w:left="851"/>
        <w:rPr>
          <w:bCs/>
          <w:szCs w:val="20"/>
        </w:rPr>
      </w:pPr>
    </w:p>
    <w:p w14:paraId="1225C0ED" w14:textId="77777777" w:rsidR="00C70F9C" w:rsidRPr="00872D7E" w:rsidRDefault="00C70F9C" w:rsidP="000B0EE6">
      <w:pPr>
        <w:pStyle w:val="BodyTextIndent"/>
        <w:widowControl w:val="0"/>
        <w:numPr>
          <w:ilvl w:val="0"/>
          <w:numId w:val="6"/>
        </w:numPr>
        <w:tabs>
          <w:tab w:val="clear" w:pos="540"/>
        </w:tabs>
        <w:ind w:left="567" w:hanging="567"/>
        <w:rPr>
          <w:b/>
          <w:szCs w:val="20"/>
        </w:rPr>
      </w:pPr>
      <w:bookmarkStart w:id="72" w:name="_Hlk189580702"/>
      <w:r w:rsidRPr="00872D7E">
        <w:rPr>
          <w:b/>
          <w:szCs w:val="20"/>
        </w:rPr>
        <w:t xml:space="preserve">Zarar niteliğindeki krediler için tasfiye politikasının ana hatları: </w:t>
      </w:r>
    </w:p>
    <w:p w14:paraId="4D66F5A0" w14:textId="77777777" w:rsidR="00C70F9C" w:rsidRPr="00872D7E" w:rsidRDefault="00C70F9C" w:rsidP="00934795">
      <w:pPr>
        <w:pStyle w:val="BodyTextIndent"/>
        <w:widowControl w:val="0"/>
        <w:ind w:firstLine="0"/>
        <w:rPr>
          <w:szCs w:val="20"/>
        </w:rPr>
      </w:pPr>
    </w:p>
    <w:p w14:paraId="02FAB523" w14:textId="5A63B86A" w:rsidR="00C70F9C" w:rsidRPr="00872D7E" w:rsidRDefault="0077553B" w:rsidP="000B0EE6">
      <w:pPr>
        <w:pStyle w:val="BodyTextIndent"/>
        <w:widowControl w:val="0"/>
        <w:ind w:left="567" w:firstLine="0"/>
        <w:rPr>
          <w:szCs w:val="20"/>
        </w:rPr>
      </w:pPr>
      <w:bookmarkStart w:id="73" w:name="_Hlk189572415"/>
      <w:r w:rsidRPr="00872D7E">
        <w:rPr>
          <w:szCs w:val="20"/>
        </w:rPr>
        <w:t>Zarar niteliğindeki krediler kanuni takip başlatmak suretiyle ve teminatların nakde dönüştürülmesi yollarıyla tahsil edilmeye çalışılmaktadır.</w:t>
      </w:r>
    </w:p>
    <w:bookmarkEnd w:id="73"/>
    <w:p w14:paraId="5E32DBF3" w14:textId="1ABF9682" w:rsidR="0077553B" w:rsidRPr="00872D7E" w:rsidRDefault="0077553B" w:rsidP="000B0EE6"/>
    <w:p w14:paraId="6703C433" w14:textId="77777777" w:rsidR="00C70F9C" w:rsidRPr="00872D7E" w:rsidRDefault="00C70F9C" w:rsidP="000B0EE6">
      <w:pPr>
        <w:pStyle w:val="BodyTextIndent"/>
        <w:widowControl w:val="0"/>
        <w:numPr>
          <w:ilvl w:val="0"/>
          <w:numId w:val="6"/>
        </w:numPr>
        <w:tabs>
          <w:tab w:val="clear" w:pos="540"/>
        </w:tabs>
        <w:ind w:left="567" w:hanging="567"/>
        <w:rPr>
          <w:b/>
          <w:szCs w:val="20"/>
        </w:rPr>
      </w:pPr>
      <w:r w:rsidRPr="00872D7E">
        <w:rPr>
          <w:b/>
          <w:szCs w:val="20"/>
        </w:rPr>
        <w:t>Kayıttan düşme politikasına ilişkin açıklamalar:</w:t>
      </w:r>
    </w:p>
    <w:p w14:paraId="168ACA1E" w14:textId="77777777" w:rsidR="00C70F9C" w:rsidRPr="00872D7E" w:rsidRDefault="00C70F9C" w:rsidP="00934795">
      <w:pPr>
        <w:pStyle w:val="BodyTextIndent"/>
        <w:widowControl w:val="0"/>
        <w:ind w:firstLine="0"/>
        <w:rPr>
          <w:szCs w:val="20"/>
        </w:rPr>
      </w:pPr>
    </w:p>
    <w:p w14:paraId="062F49FC" w14:textId="610B0CA7" w:rsidR="00BC729A" w:rsidRPr="00872D7E" w:rsidRDefault="0077553B" w:rsidP="000B0EE6">
      <w:pPr>
        <w:ind w:left="567"/>
        <w:jc w:val="both"/>
        <w:rPr>
          <w:szCs w:val="20"/>
        </w:rPr>
      </w:pPr>
      <w:bookmarkStart w:id="74" w:name="_Hlk189572425"/>
      <w:r w:rsidRPr="00872D7E">
        <w:rPr>
          <w:szCs w:val="20"/>
        </w:rPr>
        <w:t xml:space="preserve">Takipteki alacakların aktiften silinmesinde Banka’nın genel politikası, hukuki takip sürecinde tahsilinin mümkün olmadığına kanaat getirilen alacakların Banka üst yönetimi tarafından alınan karar doğrultusunda aktiften silinmesi yönündedir. </w:t>
      </w:r>
    </w:p>
    <w:p w14:paraId="7FF140B3" w14:textId="77777777" w:rsidR="005675CF" w:rsidRPr="00872D7E" w:rsidRDefault="005675CF" w:rsidP="00934795">
      <w:pPr>
        <w:jc w:val="both"/>
        <w:rPr>
          <w:b/>
          <w:szCs w:val="20"/>
        </w:rPr>
      </w:pPr>
    </w:p>
    <w:bookmarkEnd w:id="72"/>
    <w:bookmarkEnd w:id="74"/>
    <w:p w14:paraId="44DE7CD8" w14:textId="533BEA28" w:rsidR="00C70F9C" w:rsidRPr="00872D7E" w:rsidRDefault="00C70F9C" w:rsidP="00DF282B">
      <w:pPr>
        <w:pStyle w:val="BodyTextIndent"/>
        <w:numPr>
          <w:ilvl w:val="0"/>
          <w:numId w:val="43"/>
        </w:numPr>
        <w:tabs>
          <w:tab w:val="clear" w:pos="540"/>
        </w:tabs>
        <w:ind w:left="851" w:hanging="851"/>
        <w:rPr>
          <w:b/>
          <w:szCs w:val="20"/>
          <w:lang w:eastAsia="tr-TR"/>
        </w:rPr>
      </w:pPr>
      <w:r w:rsidRPr="00872D7E">
        <w:rPr>
          <w:b/>
          <w:szCs w:val="20"/>
          <w:lang w:eastAsia="tr-TR"/>
        </w:rPr>
        <w:t xml:space="preserve">Kiralama işlemlerinden alacaklara ilişkin bilgiler (net): </w:t>
      </w:r>
    </w:p>
    <w:p w14:paraId="05553E32" w14:textId="72A20BD8" w:rsidR="00BC729A" w:rsidRPr="00872D7E" w:rsidRDefault="00BC729A" w:rsidP="00827BED">
      <w:pPr>
        <w:pStyle w:val="BodyTextIndent"/>
        <w:spacing w:before="120" w:after="120"/>
        <w:ind w:left="567" w:hanging="567"/>
        <w:rPr>
          <w:b/>
          <w:szCs w:val="20"/>
        </w:rPr>
      </w:pPr>
      <w:bookmarkStart w:id="75" w:name="_Hlk179375133"/>
      <w:r w:rsidRPr="00872D7E">
        <w:rPr>
          <w:b/>
          <w:szCs w:val="20"/>
        </w:rPr>
        <w:t>a.</w:t>
      </w:r>
      <w:r w:rsidRPr="00872D7E">
        <w:rPr>
          <w:b/>
          <w:szCs w:val="20"/>
        </w:rPr>
        <w:tab/>
      </w:r>
      <w:r w:rsidRPr="00872D7E">
        <w:rPr>
          <w:b/>
          <w:bCs/>
          <w:iCs/>
          <w:szCs w:val="20"/>
        </w:rPr>
        <w:t>Finansal kiralama yöntemiyle kullandırılan fonların kalan vadelerine göre gösterimi</w:t>
      </w:r>
      <w:r w:rsidRPr="00872D7E">
        <w:rPr>
          <w:b/>
          <w:szCs w:val="20"/>
        </w:rPr>
        <w:t>:</w:t>
      </w:r>
    </w:p>
    <w:p w14:paraId="3ED0C3B3" w14:textId="56792358" w:rsidR="00862A01" w:rsidRPr="00872D7E" w:rsidRDefault="00862A01" w:rsidP="0029727D"/>
    <w:tbl>
      <w:tblPr>
        <w:tblW w:w="5000" w:type="pct"/>
        <w:tblCellMar>
          <w:left w:w="70" w:type="dxa"/>
          <w:right w:w="70" w:type="dxa"/>
        </w:tblCellMar>
        <w:tblLook w:val="04A0" w:firstRow="1" w:lastRow="0" w:firstColumn="1" w:lastColumn="0" w:noHBand="0" w:noVBand="1"/>
      </w:tblPr>
      <w:tblGrid>
        <w:gridCol w:w="4102"/>
        <w:gridCol w:w="1038"/>
        <w:gridCol w:w="1364"/>
        <w:gridCol w:w="1536"/>
        <w:gridCol w:w="1315"/>
      </w:tblGrid>
      <w:tr w:rsidR="00862A01" w:rsidRPr="00872D7E" w14:paraId="3940B5C8" w14:textId="77777777" w:rsidTr="00862A01">
        <w:trPr>
          <w:divId w:val="14813264"/>
          <w:trHeight w:val="227"/>
        </w:trPr>
        <w:tc>
          <w:tcPr>
            <w:tcW w:w="2192" w:type="pct"/>
            <w:tcBorders>
              <w:top w:val="nil"/>
              <w:left w:val="nil"/>
              <w:bottom w:val="nil"/>
              <w:right w:val="nil"/>
            </w:tcBorders>
            <w:shd w:val="clear" w:color="auto" w:fill="auto"/>
            <w:noWrap/>
            <w:vAlign w:val="bottom"/>
            <w:hideMark/>
          </w:tcPr>
          <w:p w14:paraId="7CD4CC39" w14:textId="10E1BB07" w:rsidR="00862A01" w:rsidRPr="00872D7E" w:rsidRDefault="00862A01" w:rsidP="00862A01">
            <w:pPr>
              <w:rPr>
                <w:szCs w:val="20"/>
                <w:lang w:eastAsia="tr-TR"/>
              </w:rPr>
            </w:pPr>
          </w:p>
        </w:tc>
        <w:tc>
          <w:tcPr>
            <w:tcW w:w="1284" w:type="pct"/>
            <w:gridSpan w:val="2"/>
            <w:tcBorders>
              <w:top w:val="nil"/>
              <w:left w:val="nil"/>
              <w:bottom w:val="single" w:sz="4" w:space="0" w:color="auto"/>
              <w:right w:val="nil"/>
            </w:tcBorders>
            <w:shd w:val="clear" w:color="auto" w:fill="auto"/>
            <w:noWrap/>
            <w:vAlign w:val="center"/>
            <w:hideMark/>
          </w:tcPr>
          <w:p w14:paraId="0AAB97D1" w14:textId="77777777" w:rsidR="00862A01" w:rsidRPr="00872D7E" w:rsidRDefault="00862A01" w:rsidP="00862A01">
            <w:pPr>
              <w:jc w:val="center"/>
              <w:rPr>
                <w:b/>
                <w:bCs/>
                <w:color w:val="000000"/>
                <w:szCs w:val="20"/>
                <w:lang w:eastAsia="tr-TR"/>
              </w:rPr>
            </w:pPr>
            <w:r w:rsidRPr="00872D7E">
              <w:rPr>
                <w:b/>
                <w:bCs/>
                <w:color w:val="000000"/>
                <w:szCs w:val="20"/>
                <w:lang w:eastAsia="tr-TR"/>
              </w:rPr>
              <w:t>31 Aralık 2024</w:t>
            </w:r>
          </w:p>
        </w:tc>
        <w:tc>
          <w:tcPr>
            <w:tcW w:w="1524" w:type="pct"/>
            <w:gridSpan w:val="2"/>
            <w:tcBorders>
              <w:top w:val="nil"/>
              <w:left w:val="nil"/>
              <w:bottom w:val="single" w:sz="4" w:space="0" w:color="auto"/>
              <w:right w:val="nil"/>
            </w:tcBorders>
            <w:shd w:val="clear" w:color="auto" w:fill="auto"/>
            <w:noWrap/>
            <w:vAlign w:val="center"/>
            <w:hideMark/>
          </w:tcPr>
          <w:p w14:paraId="73EBD469" w14:textId="77777777" w:rsidR="00862A01" w:rsidRPr="00872D7E" w:rsidRDefault="00862A01" w:rsidP="00862A01">
            <w:pPr>
              <w:jc w:val="center"/>
              <w:rPr>
                <w:b/>
                <w:bCs/>
                <w:color w:val="000000"/>
                <w:szCs w:val="20"/>
                <w:lang w:eastAsia="tr-TR"/>
              </w:rPr>
            </w:pPr>
            <w:r w:rsidRPr="00872D7E">
              <w:rPr>
                <w:b/>
                <w:bCs/>
                <w:color w:val="000000"/>
                <w:szCs w:val="20"/>
                <w:lang w:eastAsia="tr-TR"/>
              </w:rPr>
              <w:t>1 Ocak 2024</w:t>
            </w:r>
          </w:p>
        </w:tc>
      </w:tr>
      <w:tr w:rsidR="00862A01" w:rsidRPr="00872D7E" w14:paraId="3E7ACD68" w14:textId="77777777" w:rsidTr="00862A01">
        <w:trPr>
          <w:divId w:val="14813264"/>
          <w:trHeight w:val="227"/>
        </w:trPr>
        <w:tc>
          <w:tcPr>
            <w:tcW w:w="2192" w:type="pct"/>
            <w:tcBorders>
              <w:top w:val="nil"/>
              <w:left w:val="nil"/>
              <w:bottom w:val="single" w:sz="4" w:space="0" w:color="auto"/>
              <w:right w:val="nil"/>
            </w:tcBorders>
            <w:shd w:val="clear" w:color="auto" w:fill="auto"/>
            <w:noWrap/>
            <w:vAlign w:val="bottom"/>
            <w:hideMark/>
          </w:tcPr>
          <w:p w14:paraId="028A9A65" w14:textId="77777777" w:rsidR="00862A01" w:rsidRPr="00872D7E" w:rsidRDefault="00862A01" w:rsidP="00862A01">
            <w:pPr>
              <w:jc w:val="both"/>
              <w:rPr>
                <w:b/>
                <w:bCs/>
                <w:color w:val="000000"/>
                <w:szCs w:val="20"/>
                <w:lang w:eastAsia="tr-TR"/>
              </w:rPr>
            </w:pPr>
            <w:r w:rsidRPr="00872D7E">
              <w:rPr>
                <w:b/>
                <w:bCs/>
                <w:color w:val="000000"/>
                <w:szCs w:val="20"/>
                <w:lang w:eastAsia="tr-TR"/>
              </w:rPr>
              <w:t> </w:t>
            </w:r>
          </w:p>
        </w:tc>
        <w:tc>
          <w:tcPr>
            <w:tcW w:w="555" w:type="pct"/>
            <w:tcBorders>
              <w:top w:val="nil"/>
              <w:left w:val="nil"/>
              <w:bottom w:val="single" w:sz="4" w:space="0" w:color="auto"/>
              <w:right w:val="nil"/>
            </w:tcBorders>
            <w:shd w:val="clear" w:color="auto" w:fill="auto"/>
            <w:noWrap/>
            <w:vAlign w:val="bottom"/>
            <w:hideMark/>
          </w:tcPr>
          <w:p w14:paraId="1A51B4EA" w14:textId="77777777" w:rsidR="00862A01" w:rsidRPr="00872D7E" w:rsidRDefault="00862A01" w:rsidP="00862A01">
            <w:pPr>
              <w:jc w:val="right"/>
              <w:rPr>
                <w:b/>
                <w:bCs/>
                <w:color w:val="000000"/>
                <w:szCs w:val="20"/>
                <w:lang w:eastAsia="tr-TR"/>
              </w:rPr>
            </w:pPr>
            <w:r w:rsidRPr="00872D7E">
              <w:rPr>
                <w:b/>
                <w:bCs/>
                <w:color w:val="000000"/>
                <w:szCs w:val="20"/>
                <w:lang w:eastAsia="tr-TR"/>
              </w:rPr>
              <w:t>Brüt</w:t>
            </w:r>
          </w:p>
        </w:tc>
        <w:tc>
          <w:tcPr>
            <w:tcW w:w="729" w:type="pct"/>
            <w:tcBorders>
              <w:top w:val="nil"/>
              <w:left w:val="nil"/>
              <w:bottom w:val="single" w:sz="4" w:space="0" w:color="auto"/>
              <w:right w:val="nil"/>
            </w:tcBorders>
            <w:shd w:val="clear" w:color="auto" w:fill="auto"/>
            <w:vAlign w:val="bottom"/>
            <w:hideMark/>
          </w:tcPr>
          <w:p w14:paraId="4B962C88" w14:textId="77777777" w:rsidR="00862A01" w:rsidRPr="00872D7E" w:rsidRDefault="00862A01" w:rsidP="00862A01">
            <w:pPr>
              <w:jc w:val="right"/>
              <w:rPr>
                <w:b/>
                <w:bCs/>
                <w:color w:val="000000"/>
                <w:szCs w:val="20"/>
                <w:lang w:eastAsia="tr-TR"/>
              </w:rPr>
            </w:pPr>
            <w:r w:rsidRPr="00872D7E">
              <w:rPr>
                <w:b/>
                <w:bCs/>
                <w:color w:val="000000"/>
                <w:szCs w:val="20"/>
                <w:lang w:eastAsia="tr-TR"/>
              </w:rPr>
              <w:t>Net</w:t>
            </w:r>
          </w:p>
        </w:tc>
        <w:tc>
          <w:tcPr>
            <w:tcW w:w="821" w:type="pct"/>
            <w:tcBorders>
              <w:top w:val="nil"/>
              <w:left w:val="nil"/>
              <w:bottom w:val="single" w:sz="4" w:space="0" w:color="auto"/>
              <w:right w:val="nil"/>
            </w:tcBorders>
            <w:shd w:val="clear" w:color="auto" w:fill="auto"/>
            <w:vAlign w:val="bottom"/>
            <w:hideMark/>
          </w:tcPr>
          <w:p w14:paraId="5B373EBD" w14:textId="77777777" w:rsidR="00862A01" w:rsidRPr="00872D7E" w:rsidRDefault="00862A01" w:rsidP="00862A01">
            <w:pPr>
              <w:jc w:val="right"/>
              <w:rPr>
                <w:b/>
                <w:bCs/>
                <w:color w:val="000000"/>
                <w:szCs w:val="20"/>
                <w:lang w:eastAsia="tr-TR"/>
              </w:rPr>
            </w:pPr>
            <w:r w:rsidRPr="00872D7E">
              <w:rPr>
                <w:b/>
                <w:bCs/>
                <w:color w:val="000000"/>
                <w:szCs w:val="20"/>
                <w:lang w:eastAsia="tr-TR"/>
              </w:rPr>
              <w:t>Brüt</w:t>
            </w:r>
          </w:p>
        </w:tc>
        <w:tc>
          <w:tcPr>
            <w:tcW w:w="703" w:type="pct"/>
            <w:tcBorders>
              <w:top w:val="nil"/>
              <w:left w:val="nil"/>
              <w:bottom w:val="single" w:sz="4" w:space="0" w:color="auto"/>
              <w:right w:val="nil"/>
            </w:tcBorders>
            <w:shd w:val="clear" w:color="auto" w:fill="auto"/>
            <w:vAlign w:val="bottom"/>
            <w:hideMark/>
          </w:tcPr>
          <w:p w14:paraId="716EB0A0" w14:textId="77777777" w:rsidR="00862A01" w:rsidRPr="00872D7E" w:rsidRDefault="00862A01" w:rsidP="00862A01">
            <w:pPr>
              <w:jc w:val="right"/>
              <w:rPr>
                <w:b/>
                <w:bCs/>
                <w:color w:val="000000"/>
                <w:szCs w:val="20"/>
                <w:lang w:eastAsia="tr-TR"/>
              </w:rPr>
            </w:pPr>
            <w:r w:rsidRPr="00872D7E">
              <w:rPr>
                <w:b/>
                <w:bCs/>
                <w:color w:val="000000"/>
                <w:szCs w:val="20"/>
                <w:lang w:eastAsia="tr-TR"/>
              </w:rPr>
              <w:t>Net</w:t>
            </w:r>
          </w:p>
        </w:tc>
      </w:tr>
      <w:tr w:rsidR="00862A01" w:rsidRPr="00872D7E" w14:paraId="04F8B1D0" w14:textId="77777777" w:rsidTr="00862A01">
        <w:trPr>
          <w:divId w:val="14813264"/>
          <w:trHeight w:val="227"/>
        </w:trPr>
        <w:tc>
          <w:tcPr>
            <w:tcW w:w="2192" w:type="pct"/>
            <w:tcBorders>
              <w:top w:val="nil"/>
              <w:left w:val="nil"/>
              <w:bottom w:val="nil"/>
              <w:right w:val="nil"/>
            </w:tcBorders>
            <w:shd w:val="clear" w:color="auto" w:fill="auto"/>
            <w:noWrap/>
            <w:vAlign w:val="bottom"/>
            <w:hideMark/>
          </w:tcPr>
          <w:p w14:paraId="0826DC30" w14:textId="77777777" w:rsidR="00862A01" w:rsidRPr="00872D7E" w:rsidRDefault="00862A01" w:rsidP="00862A01">
            <w:pPr>
              <w:jc w:val="right"/>
              <w:rPr>
                <w:b/>
                <w:bCs/>
                <w:color w:val="000000"/>
                <w:szCs w:val="20"/>
                <w:lang w:eastAsia="tr-TR"/>
              </w:rPr>
            </w:pPr>
          </w:p>
        </w:tc>
        <w:tc>
          <w:tcPr>
            <w:tcW w:w="555" w:type="pct"/>
            <w:tcBorders>
              <w:top w:val="nil"/>
              <w:left w:val="nil"/>
              <w:bottom w:val="nil"/>
              <w:right w:val="nil"/>
            </w:tcBorders>
            <w:shd w:val="clear" w:color="auto" w:fill="auto"/>
            <w:noWrap/>
            <w:vAlign w:val="bottom"/>
            <w:hideMark/>
          </w:tcPr>
          <w:p w14:paraId="55D9C2E7" w14:textId="77777777" w:rsidR="00862A01" w:rsidRPr="00872D7E" w:rsidRDefault="00862A01" w:rsidP="00862A01">
            <w:pPr>
              <w:jc w:val="both"/>
              <w:rPr>
                <w:szCs w:val="20"/>
                <w:lang w:eastAsia="tr-TR"/>
              </w:rPr>
            </w:pPr>
          </w:p>
        </w:tc>
        <w:tc>
          <w:tcPr>
            <w:tcW w:w="729" w:type="pct"/>
            <w:tcBorders>
              <w:top w:val="nil"/>
              <w:left w:val="nil"/>
              <w:bottom w:val="nil"/>
              <w:right w:val="nil"/>
            </w:tcBorders>
            <w:shd w:val="clear" w:color="auto" w:fill="auto"/>
            <w:vAlign w:val="bottom"/>
            <w:hideMark/>
          </w:tcPr>
          <w:p w14:paraId="1E16EADE" w14:textId="77777777" w:rsidR="00862A01" w:rsidRPr="00872D7E" w:rsidRDefault="00862A01" w:rsidP="00862A01">
            <w:pPr>
              <w:jc w:val="right"/>
              <w:rPr>
                <w:szCs w:val="20"/>
                <w:lang w:eastAsia="tr-TR"/>
              </w:rPr>
            </w:pPr>
          </w:p>
        </w:tc>
        <w:tc>
          <w:tcPr>
            <w:tcW w:w="821" w:type="pct"/>
            <w:tcBorders>
              <w:top w:val="nil"/>
              <w:left w:val="nil"/>
              <w:bottom w:val="nil"/>
              <w:right w:val="nil"/>
            </w:tcBorders>
            <w:shd w:val="clear" w:color="auto" w:fill="auto"/>
            <w:vAlign w:val="bottom"/>
            <w:hideMark/>
          </w:tcPr>
          <w:p w14:paraId="703CFD0B" w14:textId="77777777" w:rsidR="00862A01" w:rsidRPr="00872D7E" w:rsidRDefault="00862A01" w:rsidP="00862A01">
            <w:pPr>
              <w:jc w:val="right"/>
              <w:rPr>
                <w:szCs w:val="20"/>
                <w:lang w:eastAsia="tr-TR"/>
              </w:rPr>
            </w:pPr>
          </w:p>
        </w:tc>
        <w:tc>
          <w:tcPr>
            <w:tcW w:w="703" w:type="pct"/>
            <w:tcBorders>
              <w:top w:val="nil"/>
              <w:left w:val="nil"/>
              <w:bottom w:val="nil"/>
              <w:right w:val="nil"/>
            </w:tcBorders>
            <w:shd w:val="clear" w:color="auto" w:fill="auto"/>
            <w:noWrap/>
            <w:vAlign w:val="bottom"/>
            <w:hideMark/>
          </w:tcPr>
          <w:p w14:paraId="6EC48A40" w14:textId="77777777" w:rsidR="00862A01" w:rsidRPr="00872D7E" w:rsidRDefault="00862A01" w:rsidP="00862A01">
            <w:pPr>
              <w:jc w:val="right"/>
              <w:rPr>
                <w:szCs w:val="20"/>
                <w:lang w:eastAsia="tr-TR"/>
              </w:rPr>
            </w:pPr>
          </w:p>
        </w:tc>
      </w:tr>
      <w:tr w:rsidR="00862A01" w:rsidRPr="00872D7E" w14:paraId="463117BA" w14:textId="77777777" w:rsidTr="00862A01">
        <w:trPr>
          <w:divId w:val="14813264"/>
          <w:trHeight w:val="227"/>
        </w:trPr>
        <w:tc>
          <w:tcPr>
            <w:tcW w:w="2192" w:type="pct"/>
            <w:tcBorders>
              <w:top w:val="nil"/>
              <w:left w:val="nil"/>
              <w:bottom w:val="nil"/>
              <w:right w:val="nil"/>
            </w:tcBorders>
            <w:shd w:val="clear" w:color="auto" w:fill="auto"/>
            <w:noWrap/>
            <w:vAlign w:val="bottom"/>
            <w:hideMark/>
          </w:tcPr>
          <w:p w14:paraId="53CA3614" w14:textId="77777777" w:rsidR="00862A01" w:rsidRPr="00872D7E" w:rsidRDefault="00862A01" w:rsidP="00862A01">
            <w:pPr>
              <w:rPr>
                <w:color w:val="000000"/>
                <w:szCs w:val="20"/>
                <w:lang w:eastAsia="tr-TR"/>
              </w:rPr>
            </w:pPr>
            <w:r w:rsidRPr="00872D7E">
              <w:rPr>
                <w:color w:val="000000"/>
                <w:szCs w:val="20"/>
                <w:lang w:eastAsia="tr-TR"/>
              </w:rPr>
              <w:t>1 yıldan az</w:t>
            </w:r>
          </w:p>
        </w:tc>
        <w:tc>
          <w:tcPr>
            <w:tcW w:w="555" w:type="pct"/>
            <w:tcBorders>
              <w:top w:val="nil"/>
              <w:left w:val="nil"/>
              <w:bottom w:val="nil"/>
              <w:right w:val="nil"/>
            </w:tcBorders>
            <w:shd w:val="clear" w:color="auto" w:fill="auto"/>
            <w:vAlign w:val="center"/>
            <w:hideMark/>
          </w:tcPr>
          <w:p w14:paraId="0F897BFA" w14:textId="77777777" w:rsidR="00862A01" w:rsidRPr="00872D7E" w:rsidRDefault="00862A01" w:rsidP="00862A01">
            <w:pPr>
              <w:jc w:val="right"/>
              <w:rPr>
                <w:rFonts w:ascii="Arial" w:hAnsi="Arial" w:cs="Arial"/>
                <w:color w:val="000000"/>
                <w:sz w:val="18"/>
                <w:szCs w:val="18"/>
                <w:lang w:eastAsia="tr-TR"/>
              </w:rPr>
            </w:pPr>
            <w:r w:rsidRPr="00872D7E">
              <w:rPr>
                <w:color w:val="000000"/>
                <w:szCs w:val="20"/>
                <w:lang w:eastAsia="tr-TR"/>
              </w:rPr>
              <w:t>-</w:t>
            </w:r>
          </w:p>
        </w:tc>
        <w:tc>
          <w:tcPr>
            <w:tcW w:w="729" w:type="pct"/>
            <w:tcBorders>
              <w:top w:val="nil"/>
              <w:left w:val="nil"/>
              <w:bottom w:val="nil"/>
              <w:right w:val="nil"/>
            </w:tcBorders>
            <w:shd w:val="clear" w:color="auto" w:fill="auto"/>
            <w:vAlign w:val="center"/>
            <w:hideMark/>
          </w:tcPr>
          <w:p w14:paraId="2865F013" w14:textId="77777777" w:rsidR="00862A01" w:rsidRPr="00872D7E" w:rsidRDefault="00862A01" w:rsidP="00862A01">
            <w:pPr>
              <w:jc w:val="right"/>
              <w:rPr>
                <w:rFonts w:ascii="Arial" w:hAnsi="Arial" w:cs="Arial"/>
                <w:color w:val="000000"/>
                <w:sz w:val="18"/>
                <w:szCs w:val="18"/>
                <w:lang w:eastAsia="tr-TR"/>
              </w:rPr>
            </w:pPr>
            <w:r w:rsidRPr="00872D7E">
              <w:rPr>
                <w:szCs w:val="20"/>
                <w:lang w:eastAsia="tr-TR"/>
              </w:rPr>
              <w:t>-</w:t>
            </w:r>
          </w:p>
        </w:tc>
        <w:tc>
          <w:tcPr>
            <w:tcW w:w="821" w:type="pct"/>
            <w:tcBorders>
              <w:top w:val="nil"/>
              <w:left w:val="nil"/>
              <w:bottom w:val="nil"/>
              <w:right w:val="nil"/>
            </w:tcBorders>
            <w:shd w:val="clear" w:color="auto" w:fill="auto"/>
            <w:vAlign w:val="center"/>
            <w:hideMark/>
          </w:tcPr>
          <w:p w14:paraId="69B7E2F7" w14:textId="77777777" w:rsidR="00862A01" w:rsidRPr="00872D7E" w:rsidRDefault="00862A01" w:rsidP="00862A01">
            <w:pPr>
              <w:jc w:val="right"/>
              <w:rPr>
                <w:rFonts w:ascii="Arial" w:hAnsi="Arial" w:cs="Arial"/>
                <w:color w:val="000000"/>
                <w:sz w:val="18"/>
                <w:szCs w:val="18"/>
                <w:lang w:eastAsia="tr-TR"/>
              </w:rPr>
            </w:pPr>
            <w:r w:rsidRPr="00872D7E">
              <w:rPr>
                <w:szCs w:val="20"/>
                <w:lang w:eastAsia="tr-TR"/>
              </w:rPr>
              <w:t>-</w:t>
            </w:r>
          </w:p>
        </w:tc>
        <w:tc>
          <w:tcPr>
            <w:tcW w:w="703" w:type="pct"/>
            <w:tcBorders>
              <w:top w:val="nil"/>
              <w:left w:val="nil"/>
              <w:bottom w:val="nil"/>
              <w:right w:val="nil"/>
            </w:tcBorders>
            <w:shd w:val="clear" w:color="auto" w:fill="auto"/>
            <w:vAlign w:val="center"/>
            <w:hideMark/>
          </w:tcPr>
          <w:p w14:paraId="4E8B044F" w14:textId="77777777" w:rsidR="00862A01" w:rsidRPr="00872D7E" w:rsidRDefault="00862A01" w:rsidP="00862A01">
            <w:pPr>
              <w:jc w:val="right"/>
              <w:rPr>
                <w:rFonts w:ascii="Arial" w:hAnsi="Arial" w:cs="Arial"/>
                <w:color w:val="000000"/>
                <w:sz w:val="18"/>
                <w:szCs w:val="18"/>
                <w:lang w:eastAsia="tr-TR"/>
              </w:rPr>
            </w:pPr>
            <w:r w:rsidRPr="00872D7E">
              <w:rPr>
                <w:szCs w:val="20"/>
                <w:lang w:eastAsia="tr-TR"/>
              </w:rPr>
              <w:t>-</w:t>
            </w:r>
          </w:p>
        </w:tc>
      </w:tr>
      <w:tr w:rsidR="00862A01" w:rsidRPr="00872D7E" w14:paraId="31255F50" w14:textId="77777777" w:rsidTr="0086505A">
        <w:trPr>
          <w:divId w:val="14813264"/>
          <w:trHeight w:val="227"/>
        </w:trPr>
        <w:tc>
          <w:tcPr>
            <w:tcW w:w="2192" w:type="pct"/>
            <w:tcBorders>
              <w:top w:val="nil"/>
              <w:left w:val="nil"/>
              <w:right w:val="nil"/>
            </w:tcBorders>
            <w:shd w:val="clear" w:color="auto" w:fill="auto"/>
            <w:noWrap/>
            <w:vAlign w:val="bottom"/>
            <w:hideMark/>
          </w:tcPr>
          <w:p w14:paraId="646809EB" w14:textId="77777777" w:rsidR="00862A01" w:rsidRPr="00872D7E" w:rsidRDefault="00862A01" w:rsidP="00862A01">
            <w:pPr>
              <w:rPr>
                <w:color w:val="000000"/>
                <w:szCs w:val="20"/>
                <w:lang w:eastAsia="tr-TR"/>
              </w:rPr>
            </w:pPr>
            <w:r w:rsidRPr="00872D7E">
              <w:rPr>
                <w:color w:val="000000"/>
                <w:szCs w:val="20"/>
                <w:lang w:eastAsia="tr-TR"/>
              </w:rPr>
              <w:t>1-4 yıl arası</w:t>
            </w:r>
          </w:p>
        </w:tc>
        <w:tc>
          <w:tcPr>
            <w:tcW w:w="555" w:type="pct"/>
            <w:tcBorders>
              <w:top w:val="nil"/>
              <w:left w:val="nil"/>
              <w:right w:val="nil"/>
            </w:tcBorders>
            <w:shd w:val="clear" w:color="auto" w:fill="auto"/>
            <w:vAlign w:val="center"/>
            <w:hideMark/>
          </w:tcPr>
          <w:p w14:paraId="065163ED" w14:textId="77777777" w:rsidR="00862A01" w:rsidRPr="00872D7E" w:rsidRDefault="00862A01" w:rsidP="00862A01">
            <w:pPr>
              <w:jc w:val="right"/>
              <w:rPr>
                <w:rFonts w:ascii="Arial" w:hAnsi="Arial" w:cs="Arial"/>
                <w:color w:val="000000"/>
                <w:sz w:val="18"/>
                <w:szCs w:val="18"/>
                <w:lang w:eastAsia="tr-TR"/>
              </w:rPr>
            </w:pPr>
            <w:r w:rsidRPr="00872D7E">
              <w:rPr>
                <w:color w:val="000000"/>
                <w:szCs w:val="20"/>
                <w:lang w:eastAsia="tr-TR"/>
              </w:rPr>
              <w:t>5.840</w:t>
            </w:r>
          </w:p>
        </w:tc>
        <w:tc>
          <w:tcPr>
            <w:tcW w:w="729" w:type="pct"/>
            <w:tcBorders>
              <w:top w:val="nil"/>
              <w:left w:val="nil"/>
              <w:right w:val="nil"/>
            </w:tcBorders>
            <w:shd w:val="clear" w:color="auto" w:fill="auto"/>
            <w:vAlign w:val="center"/>
            <w:hideMark/>
          </w:tcPr>
          <w:p w14:paraId="7B732F9E" w14:textId="77777777" w:rsidR="00862A01" w:rsidRPr="00872D7E" w:rsidRDefault="00862A01" w:rsidP="00862A01">
            <w:pPr>
              <w:jc w:val="right"/>
              <w:rPr>
                <w:rFonts w:ascii="Arial" w:hAnsi="Arial" w:cs="Arial"/>
                <w:color w:val="000000"/>
                <w:sz w:val="18"/>
                <w:szCs w:val="18"/>
                <w:lang w:eastAsia="tr-TR"/>
              </w:rPr>
            </w:pPr>
            <w:r w:rsidRPr="00872D7E">
              <w:rPr>
                <w:szCs w:val="20"/>
                <w:lang w:eastAsia="tr-TR"/>
              </w:rPr>
              <w:t>4.363</w:t>
            </w:r>
          </w:p>
        </w:tc>
        <w:tc>
          <w:tcPr>
            <w:tcW w:w="821" w:type="pct"/>
            <w:tcBorders>
              <w:top w:val="nil"/>
              <w:left w:val="nil"/>
              <w:right w:val="nil"/>
            </w:tcBorders>
            <w:shd w:val="clear" w:color="auto" w:fill="auto"/>
            <w:vAlign w:val="center"/>
            <w:hideMark/>
          </w:tcPr>
          <w:p w14:paraId="0CF6CD44" w14:textId="77777777" w:rsidR="00862A01" w:rsidRPr="00872D7E" w:rsidRDefault="00862A01" w:rsidP="00862A01">
            <w:pPr>
              <w:jc w:val="right"/>
              <w:rPr>
                <w:rFonts w:ascii="Arial" w:hAnsi="Arial" w:cs="Arial"/>
                <w:color w:val="000000"/>
                <w:sz w:val="18"/>
                <w:szCs w:val="18"/>
                <w:lang w:eastAsia="tr-TR"/>
              </w:rPr>
            </w:pPr>
            <w:r w:rsidRPr="00872D7E">
              <w:rPr>
                <w:szCs w:val="20"/>
                <w:lang w:eastAsia="tr-TR"/>
              </w:rPr>
              <w:t>-</w:t>
            </w:r>
          </w:p>
        </w:tc>
        <w:tc>
          <w:tcPr>
            <w:tcW w:w="703" w:type="pct"/>
            <w:tcBorders>
              <w:top w:val="nil"/>
              <w:left w:val="nil"/>
              <w:right w:val="nil"/>
            </w:tcBorders>
            <w:shd w:val="clear" w:color="auto" w:fill="auto"/>
            <w:vAlign w:val="center"/>
            <w:hideMark/>
          </w:tcPr>
          <w:p w14:paraId="732D6FC2" w14:textId="77777777" w:rsidR="00862A01" w:rsidRPr="00872D7E" w:rsidRDefault="00862A01" w:rsidP="00862A01">
            <w:pPr>
              <w:jc w:val="right"/>
              <w:rPr>
                <w:rFonts w:ascii="Arial" w:hAnsi="Arial" w:cs="Arial"/>
                <w:color w:val="000000"/>
                <w:sz w:val="18"/>
                <w:szCs w:val="18"/>
                <w:lang w:eastAsia="tr-TR"/>
              </w:rPr>
            </w:pPr>
            <w:r w:rsidRPr="00872D7E">
              <w:rPr>
                <w:szCs w:val="20"/>
                <w:lang w:eastAsia="tr-TR"/>
              </w:rPr>
              <w:t>-</w:t>
            </w:r>
          </w:p>
        </w:tc>
      </w:tr>
      <w:tr w:rsidR="00862A01" w:rsidRPr="00872D7E" w14:paraId="47D70B81" w14:textId="77777777" w:rsidTr="0086505A">
        <w:trPr>
          <w:divId w:val="14813264"/>
          <w:trHeight w:val="227"/>
        </w:trPr>
        <w:tc>
          <w:tcPr>
            <w:tcW w:w="2192" w:type="pct"/>
            <w:tcBorders>
              <w:top w:val="nil"/>
              <w:left w:val="nil"/>
              <w:bottom w:val="single" w:sz="4" w:space="0" w:color="auto"/>
              <w:right w:val="nil"/>
            </w:tcBorders>
            <w:shd w:val="clear" w:color="auto" w:fill="auto"/>
            <w:noWrap/>
            <w:vAlign w:val="bottom"/>
            <w:hideMark/>
          </w:tcPr>
          <w:p w14:paraId="01C64108" w14:textId="77777777" w:rsidR="00862A01" w:rsidRPr="00872D7E" w:rsidRDefault="00862A01" w:rsidP="00862A01">
            <w:pPr>
              <w:rPr>
                <w:color w:val="000000"/>
                <w:szCs w:val="20"/>
                <w:lang w:eastAsia="tr-TR"/>
              </w:rPr>
            </w:pPr>
            <w:r w:rsidRPr="00872D7E">
              <w:rPr>
                <w:color w:val="000000"/>
                <w:szCs w:val="20"/>
                <w:lang w:eastAsia="tr-TR"/>
              </w:rPr>
              <w:t>4 yıldan fazla</w:t>
            </w:r>
          </w:p>
        </w:tc>
        <w:tc>
          <w:tcPr>
            <w:tcW w:w="555" w:type="pct"/>
            <w:tcBorders>
              <w:top w:val="nil"/>
              <w:left w:val="nil"/>
              <w:bottom w:val="single" w:sz="4" w:space="0" w:color="auto"/>
              <w:right w:val="nil"/>
            </w:tcBorders>
            <w:shd w:val="clear" w:color="auto" w:fill="auto"/>
            <w:vAlign w:val="center"/>
            <w:hideMark/>
          </w:tcPr>
          <w:p w14:paraId="2DB96F87" w14:textId="77777777" w:rsidR="00862A01" w:rsidRPr="00872D7E" w:rsidRDefault="00862A01" w:rsidP="00862A01">
            <w:pPr>
              <w:jc w:val="right"/>
              <w:rPr>
                <w:rFonts w:ascii="Arial" w:hAnsi="Arial" w:cs="Arial"/>
                <w:color w:val="000000"/>
                <w:sz w:val="18"/>
                <w:szCs w:val="18"/>
                <w:lang w:eastAsia="tr-TR"/>
              </w:rPr>
            </w:pPr>
            <w:r w:rsidRPr="00872D7E">
              <w:rPr>
                <w:color w:val="000000"/>
                <w:szCs w:val="20"/>
                <w:lang w:eastAsia="tr-TR"/>
              </w:rPr>
              <w:t>-</w:t>
            </w:r>
          </w:p>
        </w:tc>
        <w:tc>
          <w:tcPr>
            <w:tcW w:w="729" w:type="pct"/>
            <w:tcBorders>
              <w:top w:val="nil"/>
              <w:left w:val="nil"/>
              <w:bottom w:val="single" w:sz="4" w:space="0" w:color="auto"/>
              <w:right w:val="nil"/>
            </w:tcBorders>
            <w:shd w:val="clear" w:color="auto" w:fill="auto"/>
            <w:vAlign w:val="center"/>
            <w:hideMark/>
          </w:tcPr>
          <w:p w14:paraId="3DF85A8C" w14:textId="77777777" w:rsidR="00862A01" w:rsidRPr="00872D7E" w:rsidRDefault="00862A01" w:rsidP="00862A01">
            <w:pPr>
              <w:jc w:val="right"/>
              <w:rPr>
                <w:rFonts w:ascii="Arial" w:hAnsi="Arial" w:cs="Arial"/>
                <w:color w:val="000000"/>
                <w:sz w:val="18"/>
                <w:szCs w:val="18"/>
                <w:lang w:eastAsia="tr-TR"/>
              </w:rPr>
            </w:pPr>
            <w:r w:rsidRPr="00872D7E">
              <w:rPr>
                <w:szCs w:val="20"/>
                <w:lang w:eastAsia="tr-TR"/>
              </w:rPr>
              <w:t>-</w:t>
            </w:r>
          </w:p>
        </w:tc>
        <w:tc>
          <w:tcPr>
            <w:tcW w:w="821" w:type="pct"/>
            <w:tcBorders>
              <w:top w:val="nil"/>
              <w:left w:val="nil"/>
              <w:bottom w:val="single" w:sz="4" w:space="0" w:color="auto"/>
              <w:right w:val="nil"/>
            </w:tcBorders>
            <w:shd w:val="clear" w:color="auto" w:fill="auto"/>
            <w:vAlign w:val="center"/>
            <w:hideMark/>
          </w:tcPr>
          <w:p w14:paraId="7BB688CB" w14:textId="77777777" w:rsidR="00862A01" w:rsidRPr="00872D7E" w:rsidRDefault="00862A01" w:rsidP="00862A01">
            <w:pPr>
              <w:jc w:val="right"/>
              <w:rPr>
                <w:rFonts w:ascii="Arial" w:hAnsi="Arial" w:cs="Arial"/>
                <w:color w:val="000000"/>
                <w:sz w:val="18"/>
                <w:szCs w:val="18"/>
                <w:lang w:eastAsia="tr-TR"/>
              </w:rPr>
            </w:pPr>
            <w:r w:rsidRPr="00872D7E">
              <w:rPr>
                <w:szCs w:val="20"/>
                <w:lang w:eastAsia="tr-TR"/>
              </w:rPr>
              <w:t>-</w:t>
            </w:r>
          </w:p>
        </w:tc>
        <w:tc>
          <w:tcPr>
            <w:tcW w:w="703" w:type="pct"/>
            <w:tcBorders>
              <w:top w:val="nil"/>
              <w:left w:val="nil"/>
              <w:bottom w:val="single" w:sz="4" w:space="0" w:color="auto"/>
              <w:right w:val="nil"/>
            </w:tcBorders>
            <w:shd w:val="clear" w:color="auto" w:fill="auto"/>
            <w:vAlign w:val="center"/>
            <w:hideMark/>
          </w:tcPr>
          <w:p w14:paraId="24AACF14" w14:textId="77777777" w:rsidR="00862A01" w:rsidRPr="00872D7E" w:rsidRDefault="00862A01" w:rsidP="00862A01">
            <w:pPr>
              <w:jc w:val="right"/>
              <w:rPr>
                <w:rFonts w:ascii="Arial" w:hAnsi="Arial" w:cs="Arial"/>
                <w:color w:val="000000"/>
                <w:sz w:val="18"/>
                <w:szCs w:val="18"/>
                <w:lang w:eastAsia="tr-TR"/>
              </w:rPr>
            </w:pPr>
            <w:r w:rsidRPr="00872D7E">
              <w:rPr>
                <w:szCs w:val="20"/>
                <w:lang w:eastAsia="tr-TR"/>
              </w:rPr>
              <w:t>-</w:t>
            </w:r>
          </w:p>
        </w:tc>
      </w:tr>
      <w:tr w:rsidR="00862A01" w:rsidRPr="00872D7E" w14:paraId="5F0A25A5" w14:textId="77777777" w:rsidTr="0086505A">
        <w:trPr>
          <w:divId w:val="14813264"/>
          <w:trHeight w:val="227"/>
        </w:trPr>
        <w:tc>
          <w:tcPr>
            <w:tcW w:w="2192" w:type="pct"/>
            <w:tcBorders>
              <w:top w:val="single" w:sz="4" w:space="0" w:color="auto"/>
              <w:left w:val="nil"/>
              <w:bottom w:val="nil"/>
              <w:right w:val="nil"/>
            </w:tcBorders>
            <w:shd w:val="clear" w:color="auto" w:fill="auto"/>
            <w:noWrap/>
            <w:vAlign w:val="bottom"/>
            <w:hideMark/>
          </w:tcPr>
          <w:p w14:paraId="1FE13A84" w14:textId="77777777" w:rsidR="00862A01" w:rsidRPr="00872D7E" w:rsidRDefault="00862A01" w:rsidP="00862A01">
            <w:pPr>
              <w:rPr>
                <w:szCs w:val="20"/>
                <w:lang w:eastAsia="tr-TR"/>
              </w:rPr>
            </w:pPr>
          </w:p>
        </w:tc>
        <w:tc>
          <w:tcPr>
            <w:tcW w:w="555" w:type="pct"/>
            <w:tcBorders>
              <w:top w:val="single" w:sz="4" w:space="0" w:color="auto"/>
              <w:left w:val="nil"/>
              <w:bottom w:val="nil"/>
              <w:right w:val="nil"/>
            </w:tcBorders>
            <w:shd w:val="clear" w:color="auto" w:fill="auto"/>
            <w:noWrap/>
            <w:vAlign w:val="center"/>
            <w:hideMark/>
          </w:tcPr>
          <w:p w14:paraId="1E8EADF3" w14:textId="77777777" w:rsidR="00862A01" w:rsidRPr="00872D7E" w:rsidRDefault="00862A01" w:rsidP="00862A01">
            <w:pPr>
              <w:jc w:val="right"/>
              <w:rPr>
                <w:b/>
                <w:bCs/>
                <w:szCs w:val="20"/>
                <w:lang w:eastAsia="tr-TR"/>
              </w:rPr>
            </w:pPr>
          </w:p>
        </w:tc>
        <w:tc>
          <w:tcPr>
            <w:tcW w:w="729" w:type="pct"/>
            <w:tcBorders>
              <w:top w:val="single" w:sz="4" w:space="0" w:color="auto"/>
              <w:left w:val="nil"/>
              <w:bottom w:val="nil"/>
              <w:right w:val="nil"/>
            </w:tcBorders>
            <w:shd w:val="clear" w:color="auto" w:fill="auto"/>
            <w:vAlign w:val="center"/>
            <w:hideMark/>
          </w:tcPr>
          <w:p w14:paraId="62B40E81" w14:textId="77777777" w:rsidR="00862A01" w:rsidRPr="00872D7E" w:rsidRDefault="00862A01" w:rsidP="00862A01">
            <w:pPr>
              <w:jc w:val="right"/>
              <w:rPr>
                <w:b/>
                <w:bCs/>
                <w:szCs w:val="20"/>
                <w:lang w:eastAsia="tr-TR"/>
              </w:rPr>
            </w:pPr>
          </w:p>
        </w:tc>
        <w:tc>
          <w:tcPr>
            <w:tcW w:w="821" w:type="pct"/>
            <w:tcBorders>
              <w:top w:val="single" w:sz="4" w:space="0" w:color="auto"/>
              <w:left w:val="nil"/>
              <w:bottom w:val="nil"/>
              <w:right w:val="nil"/>
            </w:tcBorders>
            <w:shd w:val="clear" w:color="auto" w:fill="auto"/>
            <w:vAlign w:val="center"/>
            <w:hideMark/>
          </w:tcPr>
          <w:p w14:paraId="309D52CA" w14:textId="77777777" w:rsidR="00862A01" w:rsidRPr="00872D7E" w:rsidRDefault="00862A01" w:rsidP="00862A01">
            <w:pPr>
              <w:jc w:val="right"/>
              <w:rPr>
                <w:szCs w:val="20"/>
                <w:lang w:eastAsia="tr-TR"/>
              </w:rPr>
            </w:pPr>
          </w:p>
        </w:tc>
        <w:tc>
          <w:tcPr>
            <w:tcW w:w="703" w:type="pct"/>
            <w:tcBorders>
              <w:top w:val="single" w:sz="4" w:space="0" w:color="auto"/>
              <w:left w:val="nil"/>
              <w:bottom w:val="nil"/>
              <w:right w:val="nil"/>
            </w:tcBorders>
            <w:shd w:val="clear" w:color="auto" w:fill="auto"/>
            <w:vAlign w:val="center"/>
            <w:hideMark/>
          </w:tcPr>
          <w:p w14:paraId="1E7DE6C0" w14:textId="77777777" w:rsidR="00862A01" w:rsidRPr="00872D7E" w:rsidRDefault="00862A01" w:rsidP="00862A01">
            <w:pPr>
              <w:jc w:val="right"/>
              <w:rPr>
                <w:szCs w:val="20"/>
                <w:lang w:eastAsia="tr-TR"/>
              </w:rPr>
            </w:pPr>
          </w:p>
        </w:tc>
      </w:tr>
      <w:tr w:rsidR="00862A01" w:rsidRPr="00872D7E" w14:paraId="45BA7B7D" w14:textId="77777777" w:rsidTr="00862A01">
        <w:trPr>
          <w:divId w:val="14813264"/>
          <w:trHeight w:val="227"/>
        </w:trPr>
        <w:tc>
          <w:tcPr>
            <w:tcW w:w="2192" w:type="pct"/>
            <w:tcBorders>
              <w:top w:val="nil"/>
              <w:left w:val="nil"/>
              <w:bottom w:val="single" w:sz="8" w:space="0" w:color="auto"/>
              <w:right w:val="nil"/>
            </w:tcBorders>
            <w:shd w:val="clear" w:color="auto" w:fill="auto"/>
            <w:noWrap/>
            <w:vAlign w:val="bottom"/>
            <w:hideMark/>
          </w:tcPr>
          <w:p w14:paraId="2353193D" w14:textId="77777777" w:rsidR="00862A01" w:rsidRPr="00872D7E" w:rsidRDefault="00862A01" w:rsidP="00862A01">
            <w:pPr>
              <w:rPr>
                <w:b/>
                <w:bCs/>
                <w:szCs w:val="20"/>
                <w:lang w:eastAsia="tr-TR"/>
              </w:rPr>
            </w:pPr>
            <w:r w:rsidRPr="00872D7E">
              <w:rPr>
                <w:b/>
                <w:bCs/>
                <w:color w:val="000000"/>
                <w:szCs w:val="20"/>
                <w:lang w:eastAsia="tr-TR"/>
              </w:rPr>
              <w:t>Toplam</w:t>
            </w:r>
          </w:p>
        </w:tc>
        <w:tc>
          <w:tcPr>
            <w:tcW w:w="555" w:type="pct"/>
            <w:tcBorders>
              <w:top w:val="nil"/>
              <w:left w:val="nil"/>
              <w:bottom w:val="single" w:sz="8" w:space="0" w:color="auto"/>
              <w:right w:val="nil"/>
            </w:tcBorders>
            <w:shd w:val="clear" w:color="auto" w:fill="auto"/>
            <w:vAlign w:val="center"/>
            <w:hideMark/>
          </w:tcPr>
          <w:p w14:paraId="45FBFB06" w14:textId="77777777" w:rsidR="00862A01" w:rsidRPr="00872D7E" w:rsidRDefault="00862A01" w:rsidP="00862A01">
            <w:pPr>
              <w:jc w:val="right"/>
              <w:rPr>
                <w:b/>
                <w:bCs/>
                <w:color w:val="000000"/>
                <w:szCs w:val="20"/>
                <w:lang w:eastAsia="tr-TR"/>
              </w:rPr>
            </w:pPr>
            <w:r w:rsidRPr="00872D7E">
              <w:rPr>
                <w:b/>
                <w:bCs/>
                <w:color w:val="000000"/>
                <w:szCs w:val="20"/>
                <w:lang w:eastAsia="tr-TR"/>
              </w:rPr>
              <w:t>5.840</w:t>
            </w:r>
          </w:p>
        </w:tc>
        <w:tc>
          <w:tcPr>
            <w:tcW w:w="729" w:type="pct"/>
            <w:tcBorders>
              <w:top w:val="nil"/>
              <w:left w:val="nil"/>
              <w:bottom w:val="single" w:sz="8" w:space="0" w:color="auto"/>
              <w:right w:val="nil"/>
            </w:tcBorders>
            <w:shd w:val="clear" w:color="auto" w:fill="auto"/>
            <w:vAlign w:val="center"/>
            <w:hideMark/>
          </w:tcPr>
          <w:p w14:paraId="6ED9E20E" w14:textId="77777777" w:rsidR="00862A01" w:rsidRPr="00872D7E" w:rsidRDefault="00862A01" w:rsidP="00862A01">
            <w:pPr>
              <w:jc w:val="right"/>
              <w:rPr>
                <w:b/>
                <w:bCs/>
                <w:color w:val="000000"/>
                <w:szCs w:val="20"/>
                <w:lang w:eastAsia="tr-TR"/>
              </w:rPr>
            </w:pPr>
            <w:r w:rsidRPr="00872D7E">
              <w:rPr>
                <w:b/>
                <w:bCs/>
                <w:color w:val="000000"/>
                <w:szCs w:val="20"/>
                <w:lang w:eastAsia="tr-TR"/>
              </w:rPr>
              <w:t>4.363</w:t>
            </w:r>
          </w:p>
        </w:tc>
        <w:tc>
          <w:tcPr>
            <w:tcW w:w="821" w:type="pct"/>
            <w:tcBorders>
              <w:top w:val="nil"/>
              <w:left w:val="nil"/>
              <w:bottom w:val="single" w:sz="8" w:space="0" w:color="auto"/>
              <w:right w:val="nil"/>
            </w:tcBorders>
            <w:shd w:val="clear" w:color="auto" w:fill="auto"/>
            <w:vAlign w:val="center"/>
            <w:hideMark/>
          </w:tcPr>
          <w:p w14:paraId="37C21ADD" w14:textId="77777777" w:rsidR="00862A01" w:rsidRPr="00872D7E" w:rsidRDefault="00862A01" w:rsidP="00862A01">
            <w:pPr>
              <w:jc w:val="right"/>
              <w:rPr>
                <w:b/>
                <w:bCs/>
                <w:color w:val="000000"/>
                <w:szCs w:val="20"/>
                <w:lang w:eastAsia="tr-TR"/>
              </w:rPr>
            </w:pPr>
            <w:r w:rsidRPr="00872D7E">
              <w:rPr>
                <w:b/>
                <w:bCs/>
                <w:color w:val="000000"/>
                <w:szCs w:val="20"/>
                <w:lang w:eastAsia="tr-TR"/>
              </w:rPr>
              <w:t>-</w:t>
            </w:r>
          </w:p>
        </w:tc>
        <w:tc>
          <w:tcPr>
            <w:tcW w:w="703" w:type="pct"/>
            <w:tcBorders>
              <w:top w:val="nil"/>
              <w:left w:val="nil"/>
              <w:bottom w:val="single" w:sz="8" w:space="0" w:color="auto"/>
              <w:right w:val="nil"/>
            </w:tcBorders>
            <w:shd w:val="clear" w:color="auto" w:fill="auto"/>
            <w:vAlign w:val="center"/>
            <w:hideMark/>
          </w:tcPr>
          <w:p w14:paraId="2C8D59CB" w14:textId="77777777" w:rsidR="00862A01" w:rsidRPr="00872D7E" w:rsidRDefault="00862A01" w:rsidP="00862A01">
            <w:pPr>
              <w:jc w:val="right"/>
              <w:rPr>
                <w:b/>
                <w:bCs/>
                <w:color w:val="000000"/>
                <w:szCs w:val="20"/>
                <w:lang w:eastAsia="tr-TR"/>
              </w:rPr>
            </w:pPr>
            <w:r w:rsidRPr="00872D7E">
              <w:rPr>
                <w:b/>
                <w:bCs/>
                <w:color w:val="000000"/>
                <w:szCs w:val="20"/>
                <w:lang w:eastAsia="tr-TR"/>
              </w:rPr>
              <w:t>-</w:t>
            </w:r>
          </w:p>
        </w:tc>
      </w:tr>
    </w:tbl>
    <w:p w14:paraId="330CA237" w14:textId="71975A89" w:rsidR="00725AE1" w:rsidRPr="00872D7E" w:rsidRDefault="00725AE1" w:rsidP="0029727D"/>
    <w:p w14:paraId="0EDEB6D7" w14:textId="6698A5B8" w:rsidR="00BC729A" w:rsidRPr="00872D7E" w:rsidRDefault="00BC729A" w:rsidP="00827BED">
      <w:pPr>
        <w:pStyle w:val="BodyTextIndent"/>
        <w:numPr>
          <w:ilvl w:val="0"/>
          <w:numId w:val="32"/>
        </w:numPr>
        <w:spacing w:before="120" w:after="120"/>
        <w:ind w:left="567"/>
        <w:rPr>
          <w:b/>
          <w:bCs/>
          <w:szCs w:val="20"/>
        </w:rPr>
      </w:pPr>
      <w:r w:rsidRPr="00872D7E">
        <w:rPr>
          <w:b/>
          <w:bCs/>
          <w:szCs w:val="20"/>
        </w:rPr>
        <w:t>Finansal kiralamaya yapılan net yatırımlara ilişkin bilgiler:</w:t>
      </w:r>
    </w:p>
    <w:p w14:paraId="0CC9F710" w14:textId="075C0E25" w:rsidR="00862A01" w:rsidRPr="00872D7E" w:rsidRDefault="00862A01" w:rsidP="0029727D"/>
    <w:tbl>
      <w:tblPr>
        <w:tblW w:w="5000" w:type="pct"/>
        <w:tblCellMar>
          <w:left w:w="70" w:type="dxa"/>
          <w:right w:w="70" w:type="dxa"/>
        </w:tblCellMar>
        <w:tblLook w:val="04A0" w:firstRow="1" w:lastRow="0" w:firstColumn="1" w:lastColumn="0" w:noHBand="0" w:noVBand="1"/>
      </w:tblPr>
      <w:tblGrid>
        <w:gridCol w:w="5147"/>
        <w:gridCol w:w="2144"/>
        <w:gridCol w:w="2064"/>
      </w:tblGrid>
      <w:tr w:rsidR="00862A01" w:rsidRPr="00872D7E" w14:paraId="0B94D582" w14:textId="77777777" w:rsidTr="00862A01">
        <w:trPr>
          <w:divId w:val="996034041"/>
          <w:trHeight w:val="227"/>
        </w:trPr>
        <w:tc>
          <w:tcPr>
            <w:tcW w:w="2751" w:type="pct"/>
            <w:tcBorders>
              <w:top w:val="nil"/>
              <w:left w:val="nil"/>
              <w:bottom w:val="nil"/>
              <w:right w:val="nil"/>
            </w:tcBorders>
            <w:shd w:val="clear" w:color="auto" w:fill="auto"/>
            <w:hideMark/>
          </w:tcPr>
          <w:p w14:paraId="6F59F482" w14:textId="08F07BCC" w:rsidR="00862A01" w:rsidRPr="00872D7E" w:rsidRDefault="00862A01" w:rsidP="00862A01">
            <w:pPr>
              <w:rPr>
                <w:szCs w:val="20"/>
                <w:lang w:eastAsia="tr-TR"/>
              </w:rPr>
            </w:pPr>
          </w:p>
        </w:tc>
        <w:tc>
          <w:tcPr>
            <w:tcW w:w="1146" w:type="pct"/>
            <w:tcBorders>
              <w:top w:val="nil"/>
              <w:left w:val="nil"/>
              <w:bottom w:val="single" w:sz="4" w:space="0" w:color="auto"/>
              <w:right w:val="nil"/>
            </w:tcBorders>
            <w:shd w:val="clear" w:color="auto" w:fill="auto"/>
            <w:noWrap/>
            <w:vAlign w:val="center"/>
            <w:hideMark/>
          </w:tcPr>
          <w:p w14:paraId="690617B6" w14:textId="77777777" w:rsidR="00862A01" w:rsidRPr="00872D7E" w:rsidRDefault="00862A01" w:rsidP="00862A01">
            <w:pPr>
              <w:jc w:val="right"/>
              <w:rPr>
                <w:b/>
                <w:bCs/>
                <w:color w:val="000000"/>
                <w:szCs w:val="20"/>
                <w:lang w:eastAsia="tr-TR"/>
              </w:rPr>
            </w:pPr>
            <w:r w:rsidRPr="00872D7E">
              <w:rPr>
                <w:b/>
                <w:bCs/>
                <w:color w:val="000000"/>
                <w:szCs w:val="20"/>
                <w:lang w:eastAsia="tr-TR"/>
              </w:rPr>
              <w:t>31 Aralık 2024</w:t>
            </w:r>
          </w:p>
        </w:tc>
        <w:tc>
          <w:tcPr>
            <w:tcW w:w="1103" w:type="pct"/>
            <w:tcBorders>
              <w:top w:val="nil"/>
              <w:left w:val="nil"/>
              <w:bottom w:val="single" w:sz="4" w:space="0" w:color="auto"/>
              <w:right w:val="nil"/>
            </w:tcBorders>
            <w:shd w:val="clear" w:color="auto" w:fill="auto"/>
            <w:noWrap/>
            <w:vAlign w:val="center"/>
            <w:hideMark/>
          </w:tcPr>
          <w:p w14:paraId="29C87DF4" w14:textId="77777777" w:rsidR="00862A01" w:rsidRPr="00872D7E" w:rsidRDefault="00862A01" w:rsidP="00862A01">
            <w:pPr>
              <w:jc w:val="right"/>
              <w:rPr>
                <w:b/>
                <w:bCs/>
                <w:color w:val="000000"/>
                <w:szCs w:val="20"/>
                <w:lang w:eastAsia="tr-TR"/>
              </w:rPr>
            </w:pPr>
            <w:r w:rsidRPr="00872D7E">
              <w:rPr>
                <w:b/>
                <w:bCs/>
                <w:color w:val="000000"/>
                <w:szCs w:val="20"/>
                <w:lang w:eastAsia="tr-TR"/>
              </w:rPr>
              <w:t>1 Ocak 2024</w:t>
            </w:r>
          </w:p>
        </w:tc>
      </w:tr>
      <w:tr w:rsidR="00862A01" w:rsidRPr="00872D7E" w14:paraId="5DC22A14" w14:textId="77777777" w:rsidTr="00862A01">
        <w:trPr>
          <w:divId w:val="996034041"/>
          <w:trHeight w:val="227"/>
        </w:trPr>
        <w:tc>
          <w:tcPr>
            <w:tcW w:w="2751" w:type="pct"/>
            <w:tcBorders>
              <w:top w:val="nil"/>
              <w:left w:val="nil"/>
              <w:bottom w:val="nil"/>
              <w:right w:val="nil"/>
            </w:tcBorders>
            <w:shd w:val="clear" w:color="auto" w:fill="auto"/>
            <w:hideMark/>
          </w:tcPr>
          <w:p w14:paraId="67CF83DD" w14:textId="77777777" w:rsidR="00862A01" w:rsidRPr="00872D7E" w:rsidRDefault="00862A01" w:rsidP="00862A01">
            <w:pPr>
              <w:jc w:val="center"/>
              <w:rPr>
                <w:b/>
                <w:bCs/>
                <w:color w:val="000000"/>
                <w:szCs w:val="20"/>
                <w:lang w:eastAsia="tr-TR"/>
              </w:rPr>
            </w:pPr>
          </w:p>
        </w:tc>
        <w:tc>
          <w:tcPr>
            <w:tcW w:w="1146" w:type="pct"/>
            <w:tcBorders>
              <w:top w:val="nil"/>
              <w:left w:val="nil"/>
              <w:bottom w:val="nil"/>
              <w:right w:val="nil"/>
            </w:tcBorders>
            <w:shd w:val="clear" w:color="auto" w:fill="auto"/>
            <w:hideMark/>
          </w:tcPr>
          <w:p w14:paraId="1F029280" w14:textId="77777777" w:rsidR="00862A01" w:rsidRPr="00872D7E" w:rsidRDefault="00862A01" w:rsidP="00862A01">
            <w:pPr>
              <w:jc w:val="right"/>
              <w:rPr>
                <w:szCs w:val="20"/>
                <w:lang w:eastAsia="tr-TR"/>
              </w:rPr>
            </w:pPr>
          </w:p>
        </w:tc>
        <w:tc>
          <w:tcPr>
            <w:tcW w:w="1103" w:type="pct"/>
            <w:tcBorders>
              <w:top w:val="nil"/>
              <w:left w:val="nil"/>
              <w:bottom w:val="nil"/>
              <w:right w:val="nil"/>
            </w:tcBorders>
            <w:shd w:val="clear" w:color="auto" w:fill="auto"/>
            <w:hideMark/>
          </w:tcPr>
          <w:p w14:paraId="40BAEA7A" w14:textId="77777777" w:rsidR="00862A01" w:rsidRPr="00872D7E" w:rsidRDefault="00862A01" w:rsidP="00862A01">
            <w:pPr>
              <w:jc w:val="right"/>
              <w:rPr>
                <w:szCs w:val="20"/>
                <w:lang w:eastAsia="tr-TR"/>
              </w:rPr>
            </w:pPr>
          </w:p>
        </w:tc>
      </w:tr>
      <w:tr w:rsidR="00862A01" w:rsidRPr="00872D7E" w14:paraId="45A2C952" w14:textId="77777777" w:rsidTr="00862A01">
        <w:trPr>
          <w:divId w:val="996034041"/>
          <w:trHeight w:val="227"/>
        </w:trPr>
        <w:tc>
          <w:tcPr>
            <w:tcW w:w="2751" w:type="pct"/>
            <w:tcBorders>
              <w:top w:val="nil"/>
              <w:left w:val="nil"/>
              <w:bottom w:val="nil"/>
              <w:right w:val="nil"/>
            </w:tcBorders>
            <w:shd w:val="clear" w:color="auto" w:fill="auto"/>
            <w:vAlign w:val="bottom"/>
            <w:hideMark/>
          </w:tcPr>
          <w:p w14:paraId="7CD52059" w14:textId="77777777" w:rsidR="00862A01" w:rsidRPr="00872D7E" w:rsidRDefault="00862A01" w:rsidP="00862A01">
            <w:pPr>
              <w:rPr>
                <w:color w:val="000000"/>
                <w:szCs w:val="20"/>
                <w:lang w:eastAsia="tr-TR"/>
              </w:rPr>
            </w:pPr>
            <w:r w:rsidRPr="00872D7E">
              <w:rPr>
                <w:iCs/>
                <w:color w:val="000000"/>
                <w:szCs w:val="20"/>
                <w:lang w:eastAsia="tr-TR"/>
              </w:rPr>
              <w:t>Finansal kiralama alacakları (brüt)</w:t>
            </w:r>
          </w:p>
        </w:tc>
        <w:tc>
          <w:tcPr>
            <w:tcW w:w="1146" w:type="pct"/>
            <w:tcBorders>
              <w:top w:val="nil"/>
              <w:left w:val="nil"/>
              <w:bottom w:val="nil"/>
              <w:right w:val="nil"/>
            </w:tcBorders>
            <w:shd w:val="clear" w:color="auto" w:fill="auto"/>
            <w:vAlign w:val="center"/>
            <w:hideMark/>
          </w:tcPr>
          <w:p w14:paraId="1746E36E" w14:textId="77777777" w:rsidR="00862A01" w:rsidRPr="00872D7E" w:rsidRDefault="00862A01" w:rsidP="00862A01">
            <w:pPr>
              <w:jc w:val="right"/>
              <w:rPr>
                <w:color w:val="000000"/>
                <w:szCs w:val="20"/>
                <w:lang w:eastAsia="tr-TR"/>
              </w:rPr>
            </w:pPr>
            <w:r w:rsidRPr="00872D7E">
              <w:rPr>
                <w:color w:val="000000"/>
                <w:szCs w:val="20"/>
                <w:lang w:eastAsia="tr-TR"/>
              </w:rPr>
              <w:t>5.840</w:t>
            </w:r>
          </w:p>
        </w:tc>
        <w:tc>
          <w:tcPr>
            <w:tcW w:w="1103" w:type="pct"/>
            <w:tcBorders>
              <w:top w:val="nil"/>
              <w:left w:val="nil"/>
              <w:bottom w:val="nil"/>
              <w:right w:val="nil"/>
            </w:tcBorders>
            <w:shd w:val="clear" w:color="auto" w:fill="auto"/>
            <w:vAlign w:val="center"/>
            <w:hideMark/>
          </w:tcPr>
          <w:p w14:paraId="158FB86C"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4192043E" w14:textId="77777777" w:rsidTr="00862A01">
        <w:trPr>
          <w:divId w:val="996034041"/>
          <w:trHeight w:val="227"/>
        </w:trPr>
        <w:tc>
          <w:tcPr>
            <w:tcW w:w="2751" w:type="pct"/>
            <w:tcBorders>
              <w:top w:val="nil"/>
              <w:left w:val="nil"/>
              <w:bottom w:val="single" w:sz="4" w:space="0" w:color="auto"/>
              <w:right w:val="nil"/>
            </w:tcBorders>
            <w:shd w:val="clear" w:color="auto" w:fill="auto"/>
            <w:vAlign w:val="bottom"/>
            <w:hideMark/>
          </w:tcPr>
          <w:p w14:paraId="11123093" w14:textId="77777777" w:rsidR="00862A01" w:rsidRPr="00872D7E" w:rsidRDefault="00862A01" w:rsidP="00862A01">
            <w:pPr>
              <w:rPr>
                <w:color w:val="000000"/>
                <w:szCs w:val="20"/>
                <w:lang w:eastAsia="tr-TR"/>
              </w:rPr>
            </w:pPr>
            <w:r w:rsidRPr="00872D7E">
              <w:rPr>
                <w:color w:val="000000"/>
                <w:szCs w:val="20"/>
                <w:lang w:eastAsia="tr-TR"/>
              </w:rPr>
              <w:t>Kazanılmamış finansal kiralama gelirleri (-)</w:t>
            </w:r>
          </w:p>
        </w:tc>
        <w:tc>
          <w:tcPr>
            <w:tcW w:w="1146" w:type="pct"/>
            <w:tcBorders>
              <w:top w:val="nil"/>
              <w:left w:val="nil"/>
              <w:bottom w:val="single" w:sz="4" w:space="0" w:color="auto"/>
              <w:right w:val="nil"/>
            </w:tcBorders>
            <w:shd w:val="clear" w:color="auto" w:fill="auto"/>
            <w:vAlign w:val="center"/>
            <w:hideMark/>
          </w:tcPr>
          <w:p w14:paraId="01DE2C75" w14:textId="77777777" w:rsidR="00862A01" w:rsidRPr="00872D7E" w:rsidRDefault="00862A01" w:rsidP="00862A01">
            <w:pPr>
              <w:jc w:val="right"/>
              <w:rPr>
                <w:color w:val="000000"/>
                <w:szCs w:val="20"/>
                <w:lang w:eastAsia="tr-TR"/>
              </w:rPr>
            </w:pPr>
            <w:r w:rsidRPr="00872D7E">
              <w:rPr>
                <w:color w:val="000000"/>
                <w:szCs w:val="20"/>
                <w:lang w:eastAsia="tr-TR"/>
              </w:rPr>
              <w:t>1.477</w:t>
            </w:r>
          </w:p>
        </w:tc>
        <w:tc>
          <w:tcPr>
            <w:tcW w:w="1103" w:type="pct"/>
            <w:tcBorders>
              <w:top w:val="nil"/>
              <w:left w:val="nil"/>
              <w:bottom w:val="single" w:sz="4" w:space="0" w:color="auto"/>
              <w:right w:val="nil"/>
            </w:tcBorders>
            <w:shd w:val="clear" w:color="auto" w:fill="auto"/>
            <w:vAlign w:val="center"/>
            <w:hideMark/>
          </w:tcPr>
          <w:p w14:paraId="435C28B2"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7D78F9DC" w14:textId="77777777" w:rsidTr="00862A01">
        <w:trPr>
          <w:divId w:val="996034041"/>
          <w:trHeight w:val="227"/>
        </w:trPr>
        <w:tc>
          <w:tcPr>
            <w:tcW w:w="2751" w:type="pct"/>
            <w:tcBorders>
              <w:top w:val="nil"/>
              <w:left w:val="nil"/>
              <w:bottom w:val="nil"/>
              <w:right w:val="nil"/>
            </w:tcBorders>
            <w:shd w:val="clear" w:color="auto" w:fill="auto"/>
            <w:vAlign w:val="bottom"/>
            <w:hideMark/>
          </w:tcPr>
          <w:p w14:paraId="19B98542" w14:textId="77777777" w:rsidR="00862A01" w:rsidRPr="00872D7E" w:rsidRDefault="00862A01" w:rsidP="00862A01">
            <w:pPr>
              <w:rPr>
                <w:color w:val="000000"/>
                <w:szCs w:val="20"/>
                <w:lang w:eastAsia="tr-TR"/>
              </w:rPr>
            </w:pPr>
          </w:p>
        </w:tc>
        <w:tc>
          <w:tcPr>
            <w:tcW w:w="1146" w:type="pct"/>
            <w:tcBorders>
              <w:top w:val="nil"/>
              <w:left w:val="nil"/>
              <w:bottom w:val="nil"/>
              <w:right w:val="nil"/>
            </w:tcBorders>
            <w:shd w:val="clear" w:color="auto" w:fill="auto"/>
            <w:vAlign w:val="center"/>
            <w:hideMark/>
          </w:tcPr>
          <w:p w14:paraId="7D39FA6F" w14:textId="77777777" w:rsidR="00862A01" w:rsidRPr="00872D7E" w:rsidRDefault="00862A01" w:rsidP="00862A01">
            <w:pPr>
              <w:jc w:val="right"/>
              <w:rPr>
                <w:szCs w:val="20"/>
                <w:lang w:eastAsia="tr-TR"/>
              </w:rPr>
            </w:pPr>
          </w:p>
        </w:tc>
        <w:tc>
          <w:tcPr>
            <w:tcW w:w="1103" w:type="pct"/>
            <w:tcBorders>
              <w:top w:val="nil"/>
              <w:left w:val="nil"/>
              <w:bottom w:val="nil"/>
              <w:right w:val="nil"/>
            </w:tcBorders>
            <w:shd w:val="clear" w:color="auto" w:fill="auto"/>
            <w:vAlign w:val="center"/>
            <w:hideMark/>
          </w:tcPr>
          <w:p w14:paraId="34495CC6" w14:textId="77777777" w:rsidR="00862A01" w:rsidRPr="00872D7E" w:rsidRDefault="00862A01" w:rsidP="00862A01">
            <w:pPr>
              <w:jc w:val="right"/>
              <w:rPr>
                <w:szCs w:val="20"/>
                <w:lang w:eastAsia="tr-TR"/>
              </w:rPr>
            </w:pPr>
          </w:p>
        </w:tc>
      </w:tr>
      <w:tr w:rsidR="00862A01" w:rsidRPr="00872D7E" w14:paraId="74DFA329" w14:textId="77777777" w:rsidTr="00862A01">
        <w:trPr>
          <w:divId w:val="996034041"/>
          <w:trHeight w:val="227"/>
        </w:trPr>
        <w:tc>
          <w:tcPr>
            <w:tcW w:w="2751" w:type="pct"/>
            <w:tcBorders>
              <w:top w:val="nil"/>
              <w:left w:val="nil"/>
              <w:bottom w:val="single" w:sz="8" w:space="0" w:color="auto"/>
              <w:right w:val="nil"/>
            </w:tcBorders>
            <w:shd w:val="clear" w:color="auto" w:fill="auto"/>
            <w:vAlign w:val="bottom"/>
            <w:hideMark/>
          </w:tcPr>
          <w:p w14:paraId="25165646" w14:textId="77777777" w:rsidR="00862A01" w:rsidRPr="00872D7E" w:rsidRDefault="00862A01" w:rsidP="00862A01">
            <w:pPr>
              <w:rPr>
                <w:b/>
                <w:bCs/>
                <w:color w:val="000000"/>
                <w:szCs w:val="20"/>
                <w:lang w:eastAsia="tr-TR"/>
              </w:rPr>
            </w:pPr>
            <w:r w:rsidRPr="00872D7E">
              <w:rPr>
                <w:b/>
                <w:bCs/>
                <w:color w:val="000000"/>
                <w:szCs w:val="20"/>
                <w:lang w:eastAsia="tr-TR"/>
              </w:rPr>
              <w:t>Finansal Kiralama Alacakları (net)</w:t>
            </w:r>
          </w:p>
        </w:tc>
        <w:tc>
          <w:tcPr>
            <w:tcW w:w="1146" w:type="pct"/>
            <w:tcBorders>
              <w:top w:val="nil"/>
              <w:left w:val="nil"/>
              <w:bottom w:val="single" w:sz="8" w:space="0" w:color="auto"/>
              <w:right w:val="nil"/>
            </w:tcBorders>
            <w:shd w:val="clear" w:color="auto" w:fill="auto"/>
            <w:vAlign w:val="center"/>
            <w:hideMark/>
          </w:tcPr>
          <w:p w14:paraId="64F87DE4" w14:textId="77777777" w:rsidR="00862A01" w:rsidRPr="00872D7E" w:rsidRDefault="00862A01" w:rsidP="00862A01">
            <w:pPr>
              <w:jc w:val="right"/>
              <w:rPr>
                <w:b/>
                <w:bCs/>
                <w:color w:val="000000"/>
                <w:szCs w:val="20"/>
                <w:lang w:eastAsia="tr-TR"/>
              </w:rPr>
            </w:pPr>
            <w:r w:rsidRPr="00872D7E">
              <w:rPr>
                <w:b/>
                <w:bCs/>
                <w:color w:val="000000"/>
                <w:szCs w:val="20"/>
                <w:lang w:eastAsia="tr-TR"/>
              </w:rPr>
              <w:t>4.363</w:t>
            </w:r>
          </w:p>
        </w:tc>
        <w:tc>
          <w:tcPr>
            <w:tcW w:w="1103" w:type="pct"/>
            <w:tcBorders>
              <w:top w:val="nil"/>
              <w:left w:val="nil"/>
              <w:bottom w:val="single" w:sz="8" w:space="0" w:color="auto"/>
              <w:right w:val="nil"/>
            </w:tcBorders>
            <w:shd w:val="clear" w:color="auto" w:fill="auto"/>
            <w:vAlign w:val="center"/>
            <w:hideMark/>
          </w:tcPr>
          <w:p w14:paraId="2C027217" w14:textId="77777777" w:rsidR="00862A01" w:rsidRPr="00872D7E" w:rsidRDefault="00862A01" w:rsidP="00862A01">
            <w:pPr>
              <w:jc w:val="right"/>
              <w:rPr>
                <w:b/>
                <w:bCs/>
                <w:color w:val="000000"/>
                <w:szCs w:val="20"/>
                <w:lang w:eastAsia="tr-TR"/>
              </w:rPr>
            </w:pPr>
            <w:r w:rsidRPr="00872D7E">
              <w:rPr>
                <w:b/>
                <w:bCs/>
                <w:color w:val="000000"/>
                <w:szCs w:val="20"/>
                <w:lang w:eastAsia="tr-TR"/>
              </w:rPr>
              <w:t>-</w:t>
            </w:r>
          </w:p>
        </w:tc>
      </w:tr>
    </w:tbl>
    <w:p w14:paraId="3B33FB12" w14:textId="3CC5B275" w:rsidR="006942EE" w:rsidRPr="00872D7E" w:rsidRDefault="006942EE" w:rsidP="0029727D"/>
    <w:p w14:paraId="6240542E" w14:textId="77777777" w:rsidR="00894C14" w:rsidRPr="00872D7E" w:rsidRDefault="00894C14">
      <w:pPr>
        <w:rPr>
          <w:b/>
          <w:szCs w:val="20"/>
        </w:rPr>
      </w:pPr>
      <w:r w:rsidRPr="00872D7E">
        <w:rPr>
          <w:b/>
          <w:szCs w:val="20"/>
        </w:rPr>
        <w:br w:type="page"/>
      </w:r>
    </w:p>
    <w:p w14:paraId="49101F3B" w14:textId="77777777" w:rsidR="00894C14" w:rsidRPr="00872D7E" w:rsidRDefault="00894C14" w:rsidP="00894C14">
      <w:pPr>
        <w:rPr>
          <w:b/>
          <w:szCs w:val="20"/>
        </w:rPr>
      </w:pPr>
      <w:r w:rsidRPr="00872D7E">
        <w:rPr>
          <w:b/>
          <w:szCs w:val="20"/>
        </w:rPr>
        <w:lastRenderedPageBreak/>
        <w:t>KONSOLİDE OLMAYAN FİNANSAL TABLOLARA İLİŞKİN AÇIKLAMA VE DİPNOTLAR (Devamı)</w:t>
      </w:r>
    </w:p>
    <w:p w14:paraId="0A8B0835" w14:textId="77777777" w:rsidR="00894C14" w:rsidRPr="00872D7E" w:rsidRDefault="00894C14" w:rsidP="00894C14">
      <w:pPr>
        <w:pStyle w:val="ListParagraph"/>
        <w:widowControl w:val="0"/>
        <w:ind w:left="14" w:right="452"/>
        <w:jc w:val="both"/>
        <w:rPr>
          <w:b/>
          <w:szCs w:val="20"/>
        </w:rPr>
      </w:pPr>
    </w:p>
    <w:p w14:paraId="41E1EF51" w14:textId="77777777" w:rsidR="000B0EE6" w:rsidRPr="00872D7E" w:rsidRDefault="000B0EE6" w:rsidP="00DF282B">
      <w:pPr>
        <w:pStyle w:val="ListParagraph"/>
        <w:widowControl w:val="0"/>
        <w:numPr>
          <w:ilvl w:val="0"/>
          <w:numId w:val="58"/>
        </w:numPr>
        <w:ind w:left="851" w:hanging="851"/>
        <w:jc w:val="both"/>
        <w:rPr>
          <w:b/>
          <w:szCs w:val="20"/>
        </w:rPr>
      </w:pPr>
      <w:r w:rsidRPr="00872D7E">
        <w:rPr>
          <w:b/>
          <w:szCs w:val="20"/>
        </w:rPr>
        <w:t>BİLANÇONUN AKTİF HESAPLARINA İLİŞKİN AÇIKLAMA VE DİPNOTLAR (Devamı)</w:t>
      </w:r>
    </w:p>
    <w:p w14:paraId="5A85B239" w14:textId="1809B475" w:rsidR="00BC729A" w:rsidRPr="00872D7E" w:rsidRDefault="00BC729A" w:rsidP="00CC41DB">
      <w:pPr>
        <w:spacing w:before="120" w:after="120"/>
        <w:ind w:left="851" w:hanging="865"/>
        <w:rPr>
          <w:b/>
          <w:iCs/>
          <w:szCs w:val="20"/>
        </w:rPr>
      </w:pPr>
      <w:r w:rsidRPr="00872D7E">
        <w:rPr>
          <w:b/>
          <w:szCs w:val="20"/>
        </w:rPr>
        <w:t xml:space="preserve">c. </w:t>
      </w:r>
      <w:r w:rsidRPr="00872D7E">
        <w:rPr>
          <w:b/>
          <w:szCs w:val="20"/>
        </w:rPr>
        <w:tab/>
        <w:t>Yapılan finansal kiralama sözleşmeleri ile ilgili genel açıklamalar:</w:t>
      </w:r>
    </w:p>
    <w:p w14:paraId="56132B51" w14:textId="77777777" w:rsidR="00BC729A" w:rsidRPr="00872D7E" w:rsidRDefault="00BC729A" w:rsidP="00CC41DB">
      <w:pPr>
        <w:spacing w:before="120" w:after="120"/>
        <w:ind w:left="851"/>
        <w:jc w:val="both"/>
        <w:rPr>
          <w:szCs w:val="20"/>
        </w:rPr>
      </w:pPr>
      <w:r w:rsidRPr="00872D7E">
        <w:rPr>
          <w:szCs w:val="20"/>
        </w:rPr>
        <w:t xml:space="preserve">Finansal kiralama sözleşmeleri 6361 sayılı Finansal Kiralama, </w:t>
      </w:r>
      <w:proofErr w:type="spellStart"/>
      <w:r w:rsidRPr="00872D7E">
        <w:rPr>
          <w:szCs w:val="20"/>
        </w:rPr>
        <w:t>Faktoring</w:t>
      </w:r>
      <w:proofErr w:type="spellEnd"/>
      <w:r w:rsidRPr="00872D7E">
        <w:rPr>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68FE7142" w14:textId="4D16860F" w:rsidR="00347402" w:rsidRPr="00872D7E" w:rsidRDefault="00BC729A" w:rsidP="00CC41DB">
      <w:pPr>
        <w:spacing w:before="120"/>
        <w:ind w:left="851"/>
        <w:jc w:val="both"/>
        <w:rPr>
          <w:szCs w:val="20"/>
        </w:rPr>
      </w:pPr>
      <w:r w:rsidRPr="00872D7E">
        <w:rPr>
          <w:szCs w:val="20"/>
        </w:rPr>
        <w:t>Finansal kiralama alacaklarına ilişkin bilgiler:</w:t>
      </w:r>
    </w:p>
    <w:bookmarkEnd w:id="75"/>
    <w:p w14:paraId="66B77C95" w14:textId="3A8FE15E" w:rsidR="00862A01" w:rsidRPr="00872D7E" w:rsidRDefault="00862A01" w:rsidP="0029727D"/>
    <w:tbl>
      <w:tblPr>
        <w:tblW w:w="5037" w:type="pct"/>
        <w:tblCellMar>
          <w:left w:w="70" w:type="dxa"/>
          <w:right w:w="70" w:type="dxa"/>
        </w:tblCellMar>
        <w:tblLook w:val="04A0" w:firstRow="1" w:lastRow="0" w:firstColumn="1" w:lastColumn="0" w:noHBand="0" w:noVBand="1"/>
      </w:tblPr>
      <w:tblGrid>
        <w:gridCol w:w="3300"/>
        <w:gridCol w:w="1436"/>
        <w:gridCol w:w="1578"/>
        <w:gridCol w:w="1719"/>
        <w:gridCol w:w="1391"/>
      </w:tblGrid>
      <w:tr w:rsidR="00862A01" w:rsidRPr="00872D7E" w14:paraId="34DA0264" w14:textId="77777777" w:rsidTr="00862A01">
        <w:trPr>
          <w:divId w:val="1600718782"/>
          <w:trHeight w:val="227"/>
        </w:trPr>
        <w:tc>
          <w:tcPr>
            <w:tcW w:w="2513" w:type="pct"/>
            <w:gridSpan w:val="2"/>
            <w:tcBorders>
              <w:top w:val="nil"/>
              <w:left w:val="nil"/>
              <w:bottom w:val="nil"/>
              <w:right w:val="nil"/>
            </w:tcBorders>
            <w:shd w:val="clear" w:color="000000" w:fill="FFFFFF"/>
            <w:vAlign w:val="center"/>
            <w:hideMark/>
          </w:tcPr>
          <w:p w14:paraId="170A9E72" w14:textId="74EA9733" w:rsidR="00862A01" w:rsidRPr="00872D7E" w:rsidRDefault="00862A01" w:rsidP="00862A01">
            <w:pPr>
              <w:jc w:val="right"/>
              <w:rPr>
                <w:b/>
                <w:bCs/>
                <w:color w:val="000000"/>
                <w:szCs w:val="20"/>
                <w:lang w:eastAsia="tr-TR"/>
              </w:rPr>
            </w:pPr>
            <w:r w:rsidRPr="00872D7E">
              <w:rPr>
                <w:b/>
                <w:bCs/>
                <w:color w:val="000000"/>
                <w:szCs w:val="20"/>
                <w:lang w:eastAsia="tr-TR"/>
              </w:rPr>
              <w:t> </w:t>
            </w:r>
          </w:p>
        </w:tc>
        <w:tc>
          <w:tcPr>
            <w:tcW w:w="2487" w:type="pct"/>
            <w:gridSpan w:val="3"/>
            <w:tcBorders>
              <w:top w:val="nil"/>
              <w:left w:val="nil"/>
              <w:bottom w:val="single" w:sz="4" w:space="0" w:color="auto"/>
              <w:right w:val="nil"/>
            </w:tcBorders>
            <w:shd w:val="clear" w:color="000000" w:fill="FFFFFF"/>
            <w:vAlign w:val="center"/>
            <w:hideMark/>
          </w:tcPr>
          <w:p w14:paraId="0D6D4AC4" w14:textId="77777777" w:rsidR="00862A01" w:rsidRPr="00872D7E" w:rsidRDefault="00862A01" w:rsidP="00862A01">
            <w:pPr>
              <w:jc w:val="center"/>
              <w:rPr>
                <w:b/>
                <w:bCs/>
                <w:color w:val="000000"/>
                <w:szCs w:val="20"/>
                <w:lang w:eastAsia="tr-TR"/>
              </w:rPr>
            </w:pPr>
            <w:r w:rsidRPr="00872D7E">
              <w:rPr>
                <w:b/>
                <w:bCs/>
                <w:color w:val="000000"/>
                <w:szCs w:val="20"/>
                <w:lang w:eastAsia="tr-TR"/>
              </w:rPr>
              <w:t>Yakın İzlemedeki Krediler</w:t>
            </w:r>
          </w:p>
        </w:tc>
      </w:tr>
      <w:tr w:rsidR="00862A01" w:rsidRPr="00872D7E" w14:paraId="183115F9" w14:textId="77777777" w:rsidTr="0086505A">
        <w:trPr>
          <w:divId w:val="1600718782"/>
          <w:trHeight w:val="227"/>
        </w:trPr>
        <w:tc>
          <w:tcPr>
            <w:tcW w:w="1751" w:type="pct"/>
            <w:tcBorders>
              <w:top w:val="nil"/>
              <w:left w:val="nil"/>
              <w:bottom w:val="nil"/>
              <w:right w:val="nil"/>
            </w:tcBorders>
            <w:shd w:val="clear" w:color="auto" w:fill="auto"/>
            <w:vAlign w:val="center"/>
            <w:hideMark/>
          </w:tcPr>
          <w:p w14:paraId="2A9A9138" w14:textId="77777777" w:rsidR="00862A01" w:rsidRPr="00872D7E" w:rsidRDefault="00862A01" w:rsidP="00862A01">
            <w:pPr>
              <w:jc w:val="center"/>
              <w:rPr>
                <w:b/>
                <w:bCs/>
                <w:color w:val="000000"/>
                <w:szCs w:val="20"/>
                <w:lang w:eastAsia="tr-TR"/>
              </w:rPr>
            </w:pPr>
          </w:p>
        </w:tc>
        <w:tc>
          <w:tcPr>
            <w:tcW w:w="762" w:type="pct"/>
            <w:vMerge w:val="restart"/>
            <w:tcBorders>
              <w:top w:val="nil"/>
              <w:left w:val="nil"/>
              <w:bottom w:val="single" w:sz="4" w:space="0" w:color="000000"/>
              <w:right w:val="nil"/>
            </w:tcBorders>
            <w:shd w:val="clear" w:color="000000" w:fill="FFFFFF"/>
            <w:vAlign w:val="bottom"/>
            <w:hideMark/>
          </w:tcPr>
          <w:p w14:paraId="06C1D17C" w14:textId="77777777" w:rsidR="00862A01" w:rsidRPr="00872D7E" w:rsidRDefault="00862A01" w:rsidP="0086505A">
            <w:pPr>
              <w:jc w:val="right"/>
              <w:rPr>
                <w:b/>
                <w:bCs/>
                <w:color w:val="000000"/>
                <w:szCs w:val="20"/>
                <w:lang w:eastAsia="tr-TR"/>
              </w:rPr>
            </w:pPr>
            <w:r w:rsidRPr="00872D7E">
              <w:rPr>
                <w:b/>
                <w:bCs/>
                <w:color w:val="000000"/>
                <w:szCs w:val="20"/>
                <w:lang w:eastAsia="tr-TR"/>
              </w:rPr>
              <w:t>Standart Nitelikli Krediler</w:t>
            </w:r>
          </w:p>
        </w:tc>
        <w:tc>
          <w:tcPr>
            <w:tcW w:w="837" w:type="pct"/>
            <w:vMerge w:val="restart"/>
            <w:tcBorders>
              <w:top w:val="nil"/>
              <w:left w:val="nil"/>
              <w:bottom w:val="single" w:sz="4" w:space="0" w:color="000000"/>
              <w:right w:val="nil"/>
            </w:tcBorders>
            <w:shd w:val="clear" w:color="000000" w:fill="FFFFFF"/>
            <w:vAlign w:val="bottom"/>
            <w:hideMark/>
          </w:tcPr>
          <w:p w14:paraId="548E481B" w14:textId="77777777" w:rsidR="00862A01" w:rsidRPr="00872D7E" w:rsidRDefault="00862A01" w:rsidP="0086505A">
            <w:pPr>
              <w:jc w:val="right"/>
              <w:rPr>
                <w:b/>
                <w:bCs/>
                <w:color w:val="000000"/>
                <w:szCs w:val="20"/>
                <w:lang w:eastAsia="tr-TR"/>
              </w:rPr>
            </w:pPr>
            <w:r w:rsidRPr="00872D7E">
              <w:rPr>
                <w:b/>
                <w:bCs/>
                <w:color w:val="000000"/>
                <w:szCs w:val="20"/>
                <w:lang w:eastAsia="tr-TR"/>
              </w:rPr>
              <w:t>Yeniden Yapılandırma Kapsamında Yer Almayanlar</w:t>
            </w:r>
          </w:p>
        </w:tc>
        <w:tc>
          <w:tcPr>
            <w:tcW w:w="1650" w:type="pct"/>
            <w:gridSpan w:val="2"/>
            <w:tcBorders>
              <w:top w:val="single" w:sz="4" w:space="0" w:color="auto"/>
              <w:left w:val="nil"/>
              <w:bottom w:val="single" w:sz="4" w:space="0" w:color="auto"/>
              <w:right w:val="nil"/>
            </w:tcBorders>
            <w:shd w:val="clear" w:color="000000" w:fill="FFFFFF"/>
            <w:vAlign w:val="bottom"/>
            <w:hideMark/>
          </w:tcPr>
          <w:p w14:paraId="71710747" w14:textId="77777777" w:rsidR="00862A01" w:rsidRPr="00872D7E" w:rsidRDefault="00862A01" w:rsidP="0086505A">
            <w:pPr>
              <w:jc w:val="center"/>
              <w:rPr>
                <w:b/>
                <w:bCs/>
                <w:color w:val="000000"/>
                <w:szCs w:val="20"/>
                <w:lang w:eastAsia="tr-TR"/>
              </w:rPr>
            </w:pPr>
            <w:r w:rsidRPr="00872D7E">
              <w:rPr>
                <w:b/>
                <w:bCs/>
                <w:color w:val="000000"/>
                <w:szCs w:val="20"/>
                <w:lang w:eastAsia="tr-TR"/>
              </w:rPr>
              <w:t>Yeniden Yapılandırılanlar</w:t>
            </w:r>
          </w:p>
        </w:tc>
      </w:tr>
      <w:tr w:rsidR="00862A01" w:rsidRPr="00872D7E" w14:paraId="509E5E77" w14:textId="77777777" w:rsidTr="0086505A">
        <w:trPr>
          <w:divId w:val="1600718782"/>
          <w:trHeight w:val="227"/>
        </w:trPr>
        <w:tc>
          <w:tcPr>
            <w:tcW w:w="1751" w:type="pct"/>
            <w:tcBorders>
              <w:top w:val="nil"/>
              <w:left w:val="nil"/>
              <w:bottom w:val="single" w:sz="4" w:space="0" w:color="auto"/>
              <w:right w:val="nil"/>
            </w:tcBorders>
            <w:shd w:val="clear" w:color="000000" w:fill="FFFFFF"/>
            <w:vAlign w:val="center"/>
            <w:hideMark/>
          </w:tcPr>
          <w:p w14:paraId="2E24A994" w14:textId="77777777" w:rsidR="00862A01" w:rsidRPr="00872D7E" w:rsidRDefault="00862A01" w:rsidP="00862A01">
            <w:pPr>
              <w:rPr>
                <w:b/>
                <w:bCs/>
                <w:color w:val="000000"/>
                <w:szCs w:val="20"/>
                <w:lang w:eastAsia="tr-TR"/>
              </w:rPr>
            </w:pPr>
            <w:r w:rsidRPr="00872D7E">
              <w:rPr>
                <w:b/>
                <w:bCs/>
                <w:color w:val="000000"/>
                <w:szCs w:val="20"/>
                <w:lang w:eastAsia="tr-TR"/>
              </w:rPr>
              <w:t> </w:t>
            </w:r>
          </w:p>
        </w:tc>
        <w:tc>
          <w:tcPr>
            <w:tcW w:w="762" w:type="pct"/>
            <w:vMerge/>
            <w:tcBorders>
              <w:top w:val="nil"/>
              <w:left w:val="nil"/>
              <w:bottom w:val="single" w:sz="4" w:space="0" w:color="000000"/>
              <w:right w:val="nil"/>
            </w:tcBorders>
            <w:vAlign w:val="bottom"/>
            <w:hideMark/>
          </w:tcPr>
          <w:p w14:paraId="4F8A6E7A" w14:textId="77777777" w:rsidR="00862A01" w:rsidRPr="00872D7E" w:rsidRDefault="00862A01" w:rsidP="0086505A">
            <w:pPr>
              <w:jc w:val="right"/>
              <w:rPr>
                <w:b/>
                <w:bCs/>
                <w:color w:val="000000"/>
                <w:szCs w:val="20"/>
                <w:lang w:eastAsia="tr-TR"/>
              </w:rPr>
            </w:pPr>
          </w:p>
        </w:tc>
        <w:tc>
          <w:tcPr>
            <w:tcW w:w="837" w:type="pct"/>
            <w:vMerge/>
            <w:tcBorders>
              <w:top w:val="nil"/>
              <w:left w:val="nil"/>
              <w:bottom w:val="single" w:sz="4" w:space="0" w:color="000000"/>
              <w:right w:val="nil"/>
            </w:tcBorders>
            <w:vAlign w:val="bottom"/>
            <w:hideMark/>
          </w:tcPr>
          <w:p w14:paraId="0CBD24C0" w14:textId="77777777" w:rsidR="00862A01" w:rsidRPr="00872D7E" w:rsidRDefault="00862A01" w:rsidP="0086505A">
            <w:pPr>
              <w:jc w:val="right"/>
              <w:rPr>
                <w:b/>
                <w:bCs/>
                <w:color w:val="000000"/>
                <w:szCs w:val="20"/>
                <w:lang w:eastAsia="tr-TR"/>
              </w:rPr>
            </w:pPr>
          </w:p>
        </w:tc>
        <w:tc>
          <w:tcPr>
            <w:tcW w:w="912" w:type="pct"/>
            <w:tcBorders>
              <w:top w:val="nil"/>
              <w:left w:val="nil"/>
              <w:bottom w:val="single" w:sz="4" w:space="0" w:color="auto"/>
              <w:right w:val="nil"/>
            </w:tcBorders>
            <w:shd w:val="clear" w:color="000000" w:fill="FFFFFF"/>
            <w:vAlign w:val="bottom"/>
            <w:hideMark/>
          </w:tcPr>
          <w:p w14:paraId="4F3798D7" w14:textId="77777777" w:rsidR="00862A01" w:rsidRPr="00872D7E" w:rsidRDefault="00862A01" w:rsidP="0086505A">
            <w:pPr>
              <w:jc w:val="right"/>
              <w:rPr>
                <w:b/>
                <w:bCs/>
                <w:color w:val="000000"/>
                <w:szCs w:val="20"/>
                <w:lang w:eastAsia="tr-TR"/>
              </w:rPr>
            </w:pPr>
            <w:r w:rsidRPr="00872D7E">
              <w:rPr>
                <w:b/>
                <w:bCs/>
                <w:color w:val="000000"/>
                <w:szCs w:val="20"/>
                <w:lang w:eastAsia="tr-TR"/>
              </w:rPr>
              <w:t>Sözleşme Koşullarında Değişiklikler</w:t>
            </w:r>
          </w:p>
        </w:tc>
        <w:tc>
          <w:tcPr>
            <w:tcW w:w="738" w:type="pct"/>
            <w:tcBorders>
              <w:top w:val="nil"/>
              <w:left w:val="nil"/>
              <w:bottom w:val="single" w:sz="4" w:space="0" w:color="auto"/>
              <w:right w:val="nil"/>
            </w:tcBorders>
            <w:shd w:val="clear" w:color="000000" w:fill="FFFFFF"/>
            <w:vAlign w:val="bottom"/>
            <w:hideMark/>
          </w:tcPr>
          <w:p w14:paraId="22EF47B3" w14:textId="77777777" w:rsidR="00862A01" w:rsidRPr="00872D7E" w:rsidRDefault="00862A01" w:rsidP="0086505A">
            <w:pPr>
              <w:jc w:val="right"/>
              <w:rPr>
                <w:b/>
                <w:bCs/>
                <w:color w:val="000000"/>
                <w:szCs w:val="20"/>
                <w:lang w:eastAsia="tr-TR"/>
              </w:rPr>
            </w:pPr>
            <w:r w:rsidRPr="00872D7E">
              <w:rPr>
                <w:b/>
                <w:bCs/>
                <w:color w:val="000000"/>
                <w:szCs w:val="20"/>
                <w:lang w:eastAsia="tr-TR"/>
              </w:rPr>
              <w:t>Yeniden Finansman</w:t>
            </w:r>
          </w:p>
        </w:tc>
      </w:tr>
      <w:tr w:rsidR="00862A01" w:rsidRPr="00872D7E" w14:paraId="7E8CA890" w14:textId="77777777" w:rsidTr="0086505A">
        <w:trPr>
          <w:divId w:val="1600718782"/>
          <w:trHeight w:val="227"/>
        </w:trPr>
        <w:tc>
          <w:tcPr>
            <w:tcW w:w="1751" w:type="pct"/>
            <w:tcBorders>
              <w:top w:val="nil"/>
              <w:left w:val="nil"/>
              <w:right w:val="nil"/>
            </w:tcBorders>
            <w:shd w:val="clear" w:color="auto" w:fill="auto"/>
            <w:noWrap/>
            <w:vAlign w:val="center"/>
            <w:hideMark/>
          </w:tcPr>
          <w:p w14:paraId="669ADD29" w14:textId="77777777" w:rsidR="00862A01" w:rsidRPr="00872D7E" w:rsidRDefault="00862A01" w:rsidP="00862A01">
            <w:pPr>
              <w:rPr>
                <w:b/>
                <w:bCs/>
                <w:color w:val="000000"/>
                <w:szCs w:val="20"/>
                <w:lang w:eastAsia="tr-TR"/>
              </w:rPr>
            </w:pPr>
            <w:r w:rsidRPr="00872D7E">
              <w:rPr>
                <w:b/>
                <w:bCs/>
                <w:color w:val="000000"/>
                <w:szCs w:val="20"/>
                <w:lang w:eastAsia="tr-TR"/>
              </w:rPr>
              <w:t>31 Aralık 2024</w:t>
            </w:r>
          </w:p>
        </w:tc>
        <w:tc>
          <w:tcPr>
            <w:tcW w:w="762" w:type="pct"/>
            <w:tcBorders>
              <w:top w:val="nil"/>
              <w:left w:val="nil"/>
              <w:right w:val="nil"/>
            </w:tcBorders>
            <w:shd w:val="clear" w:color="auto" w:fill="auto"/>
            <w:vAlign w:val="center"/>
            <w:hideMark/>
          </w:tcPr>
          <w:p w14:paraId="5E23573E" w14:textId="77777777" w:rsidR="00862A01" w:rsidRPr="00872D7E" w:rsidRDefault="00862A01" w:rsidP="00862A01">
            <w:pPr>
              <w:rPr>
                <w:b/>
                <w:bCs/>
                <w:color w:val="000000"/>
                <w:szCs w:val="20"/>
                <w:lang w:eastAsia="tr-TR"/>
              </w:rPr>
            </w:pPr>
          </w:p>
        </w:tc>
        <w:tc>
          <w:tcPr>
            <w:tcW w:w="837" w:type="pct"/>
            <w:tcBorders>
              <w:top w:val="nil"/>
              <w:left w:val="nil"/>
              <w:right w:val="nil"/>
            </w:tcBorders>
            <w:shd w:val="clear" w:color="auto" w:fill="auto"/>
            <w:vAlign w:val="center"/>
            <w:hideMark/>
          </w:tcPr>
          <w:p w14:paraId="0CD6CE34" w14:textId="77777777" w:rsidR="00862A01" w:rsidRPr="00872D7E" w:rsidRDefault="00862A01" w:rsidP="00862A01">
            <w:pPr>
              <w:jc w:val="center"/>
              <w:rPr>
                <w:szCs w:val="20"/>
                <w:lang w:eastAsia="tr-TR"/>
              </w:rPr>
            </w:pPr>
          </w:p>
        </w:tc>
        <w:tc>
          <w:tcPr>
            <w:tcW w:w="912" w:type="pct"/>
            <w:tcBorders>
              <w:top w:val="nil"/>
              <w:left w:val="nil"/>
              <w:right w:val="nil"/>
            </w:tcBorders>
            <w:shd w:val="clear" w:color="auto" w:fill="auto"/>
            <w:vAlign w:val="center"/>
            <w:hideMark/>
          </w:tcPr>
          <w:p w14:paraId="27B14ADA" w14:textId="77777777" w:rsidR="00862A01" w:rsidRPr="00872D7E" w:rsidRDefault="00862A01" w:rsidP="00862A01">
            <w:pPr>
              <w:jc w:val="center"/>
              <w:rPr>
                <w:szCs w:val="20"/>
                <w:lang w:eastAsia="tr-TR"/>
              </w:rPr>
            </w:pPr>
          </w:p>
        </w:tc>
        <w:tc>
          <w:tcPr>
            <w:tcW w:w="738" w:type="pct"/>
            <w:tcBorders>
              <w:top w:val="nil"/>
              <w:left w:val="nil"/>
              <w:right w:val="nil"/>
            </w:tcBorders>
            <w:shd w:val="clear" w:color="auto" w:fill="auto"/>
            <w:vAlign w:val="center"/>
            <w:hideMark/>
          </w:tcPr>
          <w:p w14:paraId="57915C3E" w14:textId="77777777" w:rsidR="00862A01" w:rsidRPr="00872D7E" w:rsidRDefault="00862A01" w:rsidP="00862A01">
            <w:pPr>
              <w:rPr>
                <w:szCs w:val="20"/>
                <w:lang w:eastAsia="tr-TR"/>
              </w:rPr>
            </w:pPr>
          </w:p>
        </w:tc>
      </w:tr>
      <w:tr w:rsidR="00862A01" w:rsidRPr="00872D7E" w14:paraId="2E454ACA" w14:textId="77777777" w:rsidTr="0086505A">
        <w:trPr>
          <w:divId w:val="1600718782"/>
          <w:trHeight w:val="227"/>
        </w:trPr>
        <w:tc>
          <w:tcPr>
            <w:tcW w:w="1751" w:type="pct"/>
            <w:tcBorders>
              <w:top w:val="nil"/>
              <w:left w:val="nil"/>
              <w:bottom w:val="single" w:sz="4" w:space="0" w:color="auto"/>
              <w:right w:val="nil"/>
            </w:tcBorders>
            <w:shd w:val="clear" w:color="auto" w:fill="auto"/>
            <w:vAlign w:val="center"/>
            <w:hideMark/>
          </w:tcPr>
          <w:p w14:paraId="752B87AF" w14:textId="77777777" w:rsidR="00862A01" w:rsidRPr="00872D7E" w:rsidRDefault="00862A01" w:rsidP="00862A01">
            <w:pPr>
              <w:rPr>
                <w:color w:val="000000"/>
                <w:szCs w:val="20"/>
                <w:lang w:eastAsia="tr-TR"/>
              </w:rPr>
            </w:pPr>
            <w:r w:rsidRPr="00872D7E">
              <w:rPr>
                <w:color w:val="000000"/>
                <w:szCs w:val="20"/>
                <w:lang w:eastAsia="tr-TR"/>
              </w:rPr>
              <w:t>Finansal Kiralama Alacakları (Net)</w:t>
            </w:r>
          </w:p>
        </w:tc>
        <w:tc>
          <w:tcPr>
            <w:tcW w:w="762" w:type="pct"/>
            <w:tcBorders>
              <w:top w:val="nil"/>
              <w:left w:val="nil"/>
              <w:bottom w:val="single" w:sz="4" w:space="0" w:color="auto"/>
              <w:right w:val="nil"/>
            </w:tcBorders>
            <w:shd w:val="clear" w:color="auto" w:fill="auto"/>
            <w:vAlign w:val="center"/>
            <w:hideMark/>
          </w:tcPr>
          <w:p w14:paraId="220129A8" w14:textId="77777777" w:rsidR="00862A01" w:rsidRPr="00872D7E" w:rsidRDefault="00862A01" w:rsidP="00862A01">
            <w:pPr>
              <w:jc w:val="right"/>
              <w:rPr>
                <w:color w:val="000000"/>
                <w:szCs w:val="20"/>
                <w:lang w:eastAsia="tr-TR"/>
              </w:rPr>
            </w:pPr>
            <w:r w:rsidRPr="00872D7E">
              <w:rPr>
                <w:color w:val="000000"/>
                <w:szCs w:val="20"/>
                <w:lang w:eastAsia="tr-TR"/>
              </w:rPr>
              <w:t>4.363</w:t>
            </w:r>
          </w:p>
        </w:tc>
        <w:tc>
          <w:tcPr>
            <w:tcW w:w="837" w:type="pct"/>
            <w:tcBorders>
              <w:top w:val="nil"/>
              <w:left w:val="nil"/>
              <w:bottom w:val="single" w:sz="4" w:space="0" w:color="auto"/>
              <w:right w:val="nil"/>
            </w:tcBorders>
            <w:shd w:val="clear" w:color="auto" w:fill="auto"/>
            <w:vAlign w:val="center"/>
            <w:hideMark/>
          </w:tcPr>
          <w:p w14:paraId="21A7C6DC"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912" w:type="pct"/>
            <w:tcBorders>
              <w:top w:val="nil"/>
              <w:left w:val="nil"/>
              <w:bottom w:val="single" w:sz="4" w:space="0" w:color="auto"/>
              <w:right w:val="nil"/>
            </w:tcBorders>
            <w:shd w:val="clear" w:color="auto" w:fill="auto"/>
            <w:vAlign w:val="center"/>
            <w:hideMark/>
          </w:tcPr>
          <w:p w14:paraId="3C849B92"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738" w:type="pct"/>
            <w:tcBorders>
              <w:top w:val="nil"/>
              <w:left w:val="nil"/>
              <w:bottom w:val="single" w:sz="4" w:space="0" w:color="auto"/>
              <w:right w:val="nil"/>
            </w:tcBorders>
            <w:shd w:val="clear" w:color="auto" w:fill="auto"/>
            <w:vAlign w:val="center"/>
            <w:hideMark/>
          </w:tcPr>
          <w:p w14:paraId="46510BFA"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4FD955B6" w14:textId="77777777" w:rsidTr="0086505A">
        <w:trPr>
          <w:divId w:val="1600718782"/>
          <w:trHeight w:val="227"/>
        </w:trPr>
        <w:tc>
          <w:tcPr>
            <w:tcW w:w="1751" w:type="pct"/>
            <w:tcBorders>
              <w:top w:val="single" w:sz="4" w:space="0" w:color="auto"/>
              <w:left w:val="nil"/>
              <w:bottom w:val="nil"/>
              <w:right w:val="nil"/>
            </w:tcBorders>
            <w:shd w:val="clear" w:color="auto" w:fill="auto"/>
            <w:noWrap/>
            <w:vAlign w:val="bottom"/>
            <w:hideMark/>
          </w:tcPr>
          <w:p w14:paraId="33530079" w14:textId="77777777" w:rsidR="00862A01" w:rsidRPr="00872D7E" w:rsidRDefault="00862A01" w:rsidP="00862A01">
            <w:pPr>
              <w:jc w:val="right"/>
              <w:rPr>
                <w:color w:val="000000"/>
                <w:szCs w:val="20"/>
                <w:lang w:eastAsia="tr-TR"/>
              </w:rPr>
            </w:pPr>
          </w:p>
        </w:tc>
        <w:tc>
          <w:tcPr>
            <w:tcW w:w="762" w:type="pct"/>
            <w:tcBorders>
              <w:top w:val="single" w:sz="4" w:space="0" w:color="auto"/>
              <w:left w:val="nil"/>
              <w:bottom w:val="nil"/>
              <w:right w:val="nil"/>
            </w:tcBorders>
            <w:shd w:val="clear" w:color="auto" w:fill="auto"/>
            <w:vAlign w:val="center"/>
            <w:hideMark/>
          </w:tcPr>
          <w:p w14:paraId="1245FAAD" w14:textId="77777777" w:rsidR="00862A01" w:rsidRPr="00872D7E" w:rsidRDefault="00862A01" w:rsidP="00862A01">
            <w:pPr>
              <w:rPr>
                <w:szCs w:val="20"/>
                <w:lang w:eastAsia="tr-TR"/>
              </w:rPr>
            </w:pPr>
          </w:p>
        </w:tc>
        <w:tc>
          <w:tcPr>
            <w:tcW w:w="837" w:type="pct"/>
            <w:tcBorders>
              <w:top w:val="single" w:sz="4" w:space="0" w:color="auto"/>
              <w:left w:val="nil"/>
              <w:bottom w:val="nil"/>
              <w:right w:val="nil"/>
            </w:tcBorders>
            <w:shd w:val="clear" w:color="auto" w:fill="auto"/>
            <w:vAlign w:val="center"/>
            <w:hideMark/>
          </w:tcPr>
          <w:p w14:paraId="21AE74B9" w14:textId="77777777" w:rsidR="00862A01" w:rsidRPr="00872D7E" w:rsidRDefault="00862A01" w:rsidP="00862A01">
            <w:pPr>
              <w:jc w:val="right"/>
              <w:rPr>
                <w:szCs w:val="20"/>
                <w:lang w:eastAsia="tr-TR"/>
              </w:rPr>
            </w:pPr>
          </w:p>
        </w:tc>
        <w:tc>
          <w:tcPr>
            <w:tcW w:w="912" w:type="pct"/>
            <w:tcBorders>
              <w:top w:val="single" w:sz="4" w:space="0" w:color="auto"/>
              <w:left w:val="nil"/>
              <w:bottom w:val="nil"/>
              <w:right w:val="nil"/>
            </w:tcBorders>
            <w:shd w:val="clear" w:color="auto" w:fill="auto"/>
            <w:vAlign w:val="center"/>
            <w:hideMark/>
          </w:tcPr>
          <w:p w14:paraId="3CC0A7B0" w14:textId="77777777" w:rsidR="00862A01" w:rsidRPr="00872D7E" w:rsidRDefault="00862A01" w:rsidP="00862A01">
            <w:pPr>
              <w:jc w:val="right"/>
              <w:rPr>
                <w:szCs w:val="20"/>
                <w:lang w:eastAsia="tr-TR"/>
              </w:rPr>
            </w:pPr>
          </w:p>
        </w:tc>
        <w:tc>
          <w:tcPr>
            <w:tcW w:w="738" w:type="pct"/>
            <w:tcBorders>
              <w:top w:val="single" w:sz="4" w:space="0" w:color="auto"/>
              <w:left w:val="nil"/>
              <w:bottom w:val="nil"/>
              <w:right w:val="nil"/>
            </w:tcBorders>
            <w:shd w:val="clear" w:color="auto" w:fill="auto"/>
            <w:vAlign w:val="center"/>
            <w:hideMark/>
          </w:tcPr>
          <w:p w14:paraId="45EDD38B" w14:textId="77777777" w:rsidR="00862A01" w:rsidRPr="00872D7E" w:rsidRDefault="00862A01" w:rsidP="00862A01">
            <w:pPr>
              <w:jc w:val="right"/>
              <w:rPr>
                <w:szCs w:val="20"/>
                <w:lang w:eastAsia="tr-TR"/>
              </w:rPr>
            </w:pPr>
          </w:p>
        </w:tc>
      </w:tr>
      <w:tr w:rsidR="00862A01" w:rsidRPr="00872D7E" w14:paraId="40BE684F" w14:textId="77777777" w:rsidTr="0086505A">
        <w:trPr>
          <w:divId w:val="1600718782"/>
          <w:trHeight w:val="227"/>
        </w:trPr>
        <w:tc>
          <w:tcPr>
            <w:tcW w:w="1751" w:type="pct"/>
            <w:tcBorders>
              <w:top w:val="nil"/>
              <w:left w:val="nil"/>
              <w:right w:val="nil"/>
            </w:tcBorders>
            <w:shd w:val="clear" w:color="auto" w:fill="auto"/>
            <w:noWrap/>
            <w:vAlign w:val="center"/>
            <w:hideMark/>
          </w:tcPr>
          <w:p w14:paraId="5FB9F544" w14:textId="77777777" w:rsidR="00862A01" w:rsidRPr="00872D7E" w:rsidRDefault="00862A01" w:rsidP="00862A01">
            <w:pPr>
              <w:rPr>
                <w:b/>
                <w:bCs/>
                <w:color w:val="000000"/>
                <w:szCs w:val="20"/>
                <w:lang w:eastAsia="tr-TR"/>
              </w:rPr>
            </w:pPr>
            <w:r w:rsidRPr="00872D7E">
              <w:rPr>
                <w:b/>
                <w:bCs/>
                <w:color w:val="000000"/>
                <w:szCs w:val="20"/>
                <w:lang w:eastAsia="tr-TR"/>
              </w:rPr>
              <w:t>1 Ocak 2024</w:t>
            </w:r>
          </w:p>
        </w:tc>
        <w:tc>
          <w:tcPr>
            <w:tcW w:w="762" w:type="pct"/>
            <w:tcBorders>
              <w:top w:val="nil"/>
              <w:left w:val="nil"/>
              <w:right w:val="nil"/>
            </w:tcBorders>
            <w:shd w:val="clear" w:color="auto" w:fill="auto"/>
            <w:vAlign w:val="center"/>
            <w:hideMark/>
          </w:tcPr>
          <w:p w14:paraId="7C031CD9" w14:textId="77777777" w:rsidR="00862A01" w:rsidRPr="00872D7E" w:rsidRDefault="00862A01" w:rsidP="00862A01">
            <w:pPr>
              <w:rPr>
                <w:b/>
                <w:bCs/>
                <w:color w:val="000000"/>
                <w:szCs w:val="20"/>
                <w:lang w:eastAsia="tr-TR"/>
              </w:rPr>
            </w:pPr>
          </w:p>
        </w:tc>
        <w:tc>
          <w:tcPr>
            <w:tcW w:w="837" w:type="pct"/>
            <w:tcBorders>
              <w:top w:val="nil"/>
              <w:left w:val="nil"/>
              <w:right w:val="nil"/>
            </w:tcBorders>
            <w:shd w:val="clear" w:color="auto" w:fill="auto"/>
            <w:vAlign w:val="center"/>
            <w:hideMark/>
          </w:tcPr>
          <w:p w14:paraId="1E76A74C" w14:textId="77777777" w:rsidR="00862A01" w:rsidRPr="00872D7E" w:rsidRDefault="00862A01" w:rsidP="00862A01">
            <w:pPr>
              <w:jc w:val="right"/>
              <w:rPr>
                <w:szCs w:val="20"/>
                <w:lang w:eastAsia="tr-TR"/>
              </w:rPr>
            </w:pPr>
          </w:p>
        </w:tc>
        <w:tc>
          <w:tcPr>
            <w:tcW w:w="912" w:type="pct"/>
            <w:tcBorders>
              <w:top w:val="nil"/>
              <w:left w:val="nil"/>
              <w:right w:val="nil"/>
            </w:tcBorders>
            <w:shd w:val="clear" w:color="auto" w:fill="auto"/>
            <w:vAlign w:val="center"/>
            <w:hideMark/>
          </w:tcPr>
          <w:p w14:paraId="48FCC8D4" w14:textId="77777777" w:rsidR="00862A01" w:rsidRPr="00872D7E" w:rsidRDefault="00862A01" w:rsidP="00862A01">
            <w:pPr>
              <w:jc w:val="right"/>
              <w:rPr>
                <w:szCs w:val="20"/>
                <w:lang w:eastAsia="tr-TR"/>
              </w:rPr>
            </w:pPr>
          </w:p>
        </w:tc>
        <w:tc>
          <w:tcPr>
            <w:tcW w:w="738" w:type="pct"/>
            <w:tcBorders>
              <w:top w:val="nil"/>
              <w:left w:val="nil"/>
              <w:right w:val="nil"/>
            </w:tcBorders>
            <w:shd w:val="clear" w:color="auto" w:fill="auto"/>
            <w:vAlign w:val="center"/>
            <w:hideMark/>
          </w:tcPr>
          <w:p w14:paraId="24B14C07" w14:textId="77777777" w:rsidR="00862A01" w:rsidRPr="00872D7E" w:rsidRDefault="00862A01" w:rsidP="00862A01">
            <w:pPr>
              <w:jc w:val="right"/>
              <w:rPr>
                <w:szCs w:val="20"/>
                <w:lang w:eastAsia="tr-TR"/>
              </w:rPr>
            </w:pPr>
          </w:p>
        </w:tc>
      </w:tr>
      <w:tr w:rsidR="00862A01" w:rsidRPr="00872D7E" w14:paraId="4D124511" w14:textId="77777777" w:rsidTr="0086505A">
        <w:trPr>
          <w:divId w:val="1600718782"/>
          <w:trHeight w:val="227"/>
        </w:trPr>
        <w:tc>
          <w:tcPr>
            <w:tcW w:w="1751" w:type="pct"/>
            <w:tcBorders>
              <w:top w:val="nil"/>
              <w:left w:val="nil"/>
              <w:bottom w:val="single" w:sz="4" w:space="0" w:color="auto"/>
              <w:right w:val="nil"/>
            </w:tcBorders>
            <w:shd w:val="clear" w:color="auto" w:fill="auto"/>
            <w:vAlign w:val="center"/>
            <w:hideMark/>
          </w:tcPr>
          <w:p w14:paraId="63B46847" w14:textId="77777777" w:rsidR="00862A01" w:rsidRPr="00872D7E" w:rsidRDefault="00862A01" w:rsidP="00862A01">
            <w:pPr>
              <w:rPr>
                <w:color w:val="000000"/>
                <w:szCs w:val="20"/>
                <w:lang w:eastAsia="tr-TR"/>
              </w:rPr>
            </w:pPr>
            <w:r w:rsidRPr="00872D7E">
              <w:rPr>
                <w:color w:val="000000"/>
                <w:szCs w:val="20"/>
                <w:lang w:eastAsia="tr-TR"/>
              </w:rPr>
              <w:t>Finansal Kiralama Alacakları (Net)</w:t>
            </w:r>
          </w:p>
        </w:tc>
        <w:tc>
          <w:tcPr>
            <w:tcW w:w="762" w:type="pct"/>
            <w:tcBorders>
              <w:top w:val="nil"/>
              <w:left w:val="nil"/>
              <w:bottom w:val="single" w:sz="4" w:space="0" w:color="auto"/>
              <w:right w:val="nil"/>
            </w:tcBorders>
            <w:shd w:val="clear" w:color="auto" w:fill="auto"/>
            <w:vAlign w:val="center"/>
            <w:hideMark/>
          </w:tcPr>
          <w:p w14:paraId="1B1153DF"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37" w:type="pct"/>
            <w:tcBorders>
              <w:top w:val="nil"/>
              <w:left w:val="nil"/>
              <w:bottom w:val="single" w:sz="4" w:space="0" w:color="auto"/>
              <w:right w:val="nil"/>
            </w:tcBorders>
            <w:shd w:val="clear" w:color="auto" w:fill="auto"/>
            <w:vAlign w:val="center"/>
            <w:hideMark/>
          </w:tcPr>
          <w:p w14:paraId="02CB50F5"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912" w:type="pct"/>
            <w:tcBorders>
              <w:top w:val="nil"/>
              <w:left w:val="nil"/>
              <w:bottom w:val="single" w:sz="4" w:space="0" w:color="auto"/>
              <w:right w:val="nil"/>
            </w:tcBorders>
            <w:shd w:val="clear" w:color="auto" w:fill="auto"/>
            <w:vAlign w:val="center"/>
            <w:hideMark/>
          </w:tcPr>
          <w:p w14:paraId="4CED6A4B"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738" w:type="pct"/>
            <w:tcBorders>
              <w:top w:val="nil"/>
              <w:left w:val="nil"/>
              <w:bottom w:val="single" w:sz="4" w:space="0" w:color="auto"/>
              <w:right w:val="nil"/>
            </w:tcBorders>
            <w:shd w:val="clear" w:color="auto" w:fill="auto"/>
            <w:vAlign w:val="center"/>
            <w:hideMark/>
          </w:tcPr>
          <w:p w14:paraId="4B13AE4B" w14:textId="77777777" w:rsidR="00862A01" w:rsidRPr="00872D7E" w:rsidRDefault="00862A01" w:rsidP="00862A01">
            <w:pPr>
              <w:jc w:val="right"/>
              <w:rPr>
                <w:color w:val="000000"/>
                <w:szCs w:val="20"/>
                <w:lang w:eastAsia="tr-TR"/>
              </w:rPr>
            </w:pPr>
            <w:r w:rsidRPr="00872D7E">
              <w:rPr>
                <w:color w:val="000000"/>
                <w:szCs w:val="20"/>
                <w:lang w:eastAsia="tr-TR"/>
              </w:rPr>
              <w:t>-</w:t>
            </w:r>
          </w:p>
        </w:tc>
      </w:tr>
    </w:tbl>
    <w:p w14:paraId="75D29C1F" w14:textId="285E091A" w:rsidR="00BC729A" w:rsidRPr="00872D7E" w:rsidRDefault="00BC729A" w:rsidP="0029727D">
      <w:pPr>
        <w:rPr>
          <w:bCs/>
          <w:szCs w:val="20"/>
        </w:rPr>
      </w:pPr>
    </w:p>
    <w:p w14:paraId="5EB006BE" w14:textId="77777777" w:rsidR="00C70F9C" w:rsidRPr="00872D7E" w:rsidRDefault="00C70F9C" w:rsidP="00DF282B">
      <w:pPr>
        <w:pStyle w:val="BodyTextIndent"/>
        <w:widowControl w:val="0"/>
        <w:numPr>
          <w:ilvl w:val="0"/>
          <w:numId w:val="43"/>
        </w:numPr>
        <w:tabs>
          <w:tab w:val="clear" w:pos="540"/>
        </w:tabs>
        <w:ind w:left="851" w:hanging="851"/>
        <w:rPr>
          <w:b/>
          <w:szCs w:val="20"/>
        </w:rPr>
      </w:pPr>
      <w:r w:rsidRPr="00872D7E">
        <w:rPr>
          <w:b/>
          <w:szCs w:val="20"/>
        </w:rPr>
        <w:t>Satış amaçlı elde tutulan ve durdurulan faaliyetlere ilişkin duran varlıklar hakkında açıklamalar:</w:t>
      </w:r>
    </w:p>
    <w:p w14:paraId="5F7846CB" w14:textId="77777777" w:rsidR="001A4B1D" w:rsidRPr="00872D7E" w:rsidRDefault="001A4B1D" w:rsidP="00471069">
      <w:pPr>
        <w:pStyle w:val="BodyTextIndent"/>
        <w:tabs>
          <w:tab w:val="num" w:pos="966"/>
          <w:tab w:val="left" w:pos="1080"/>
        </w:tabs>
        <w:ind w:left="882" w:hanging="882"/>
        <w:rPr>
          <w:bCs/>
          <w:szCs w:val="20"/>
        </w:rPr>
      </w:pPr>
    </w:p>
    <w:p w14:paraId="15D9691B" w14:textId="740E30EF" w:rsidR="0098050E" w:rsidRPr="00872D7E" w:rsidRDefault="001C3412" w:rsidP="00471069">
      <w:pPr>
        <w:pStyle w:val="BodyTextIndent"/>
        <w:ind w:left="851" w:firstLine="0"/>
        <w:rPr>
          <w:bCs/>
          <w:szCs w:val="20"/>
        </w:rPr>
      </w:pPr>
      <w:r w:rsidRPr="00872D7E">
        <w:rPr>
          <w:bCs/>
          <w:szCs w:val="20"/>
        </w:rPr>
        <w:t>B</w:t>
      </w:r>
      <w:r w:rsidR="00C70F9C" w:rsidRPr="00872D7E">
        <w:rPr>
          <w:bCs/>
          <w:szCs w:val="20"/>
        </w:rPr>
        <w:t>ulunmamaktadır</w:t>
      </w:r>
      <w:r w:rsidR="00AF526A" w:rsidRPr="00872D7E">
        <w:rPr>
          <w:bCs/>
          <w:szCs w:val="20"/>
        </w:rPr>
        <w:t xml:space="preserve"> (1 Ocak 2024: Bulunmamaktadır).</w:t>
      </w:r>
    </w:p>
    <w:p w14:paraId="65A89FF3" w14:textId="77777777" w:rsidR="001A4B1D" w:rsidRPr="00872D7E" w:rsidRDefault="001A4B1D" w:rsidP="00471069">
      <w:pPr>
        <w:pStyle w:val="BodyTextIndent"/>
        <w:tabs>
          <w:tab w:val="num" w:pos="966"/>
          <w:tab w:val="left" w:pos="1080"/>
        </w:tabs>
        <w:ind w:left="882" w:hanging="882"/>
        <w:rPr>
          <w:bCs/>
          <w:szCs w:val="20"/>
        </w:rPr>
      </w:pPr>
    </w:p>
    <w:p w14:paraId="06F58094" w14:textId="5E286F09" w:rsidR="0098050E" w:rsidRPr="00872D7E" w:rsidRDefault="0098050E" w:rsidP="00DF282B">
      <w:pPr>
        <w:pStyle w:val="ListParagraph"/>
        <w:widowControl w:val="0"/>
        <w:numPr>
          <w:ilvl w:val="0"/>
          <w:numId w:val="43"/>
        </w:numPr>
        <w:tabs>
          <w:tab w:val="clear" w:pos="540"/>
        </w:tabs>
        <w:autoSpaceDE w:val="0"/>
        <w:autoSpaceDN w:val="0"/>
        <w:adjustRightInd w:val="0"/>
        <w:ind w:left="851" w:hanging="851"/>
        <w:jc w:val="both"/>
        <w:rPr>
          <w:b/>
          <w:szCs w:val="20"/>
        </w:rPr>
      </w:pPr>
      <w:r w:rsidRPr="00872D7E">
        <w:rPr>
          <w:b/>
          <w:szCs w:val="20"/>
        </w:rPr>
        <w:t>İştiraklere İlişkin Bilgiler:</w:t>
      </w:r>
    </w:p>
    <w:p w14:paraId="135271E1" w14:textId="77777777" w:rsidR="0098050E" w:rsidRPr="00872D7E" w:rsidRDefault="0098050E" w:rsidP="00471069">
      <w:pPr>
        <w:widowControl w:val="0"/>
        <w:ind w:left="851" w:hanging="851"/>
        <w:jc w:val="both"/>
        <w:rPr>
          <w:b/>
          <w:szCs w:val="20"/>
        </w:rPr>
      </w:pPr>
    </w:p>
    <w:p w14:paraId="5CE77C7C" w14:textId="5AA432C5" w:rsidR="0098050E" w:rsidRPr="00872D7E" w:rsidRDefault="001C3412" w:rsidP="00471069">
      <w:pPr>
        <w:widowControl w:val="0"/>
        <w:ind w:left="284" w:firstLine="567"/>
        <w:jc w:val="both"/>
        <w:rPr>
          <w:szCs w:val="20"/>
        </w:rPr>
      </w:pPr>
      <w:r w:rsidRPr="00872D7E">
        <w:rPr>
          <w:bCs/>
          <w:szCs w:val="20"/>
        </w:rPr>
        <w:t>B</w:t>
      </w:r>
      <w:r w:rsidR="0098050E" w:rsidRPr="00872D7E">
        <w:rPr>
          <w:bCs/>
          <w:szCs w:val="20"/>
        </w:rPr>
        <w:t>ulunmamaktadır</w:t>
      </w:r>
      <w:r w:rsidR="00AF526A" w:rsidRPr="00872D7E">
        <w:rPr>
          <w:bCs/>
          <w:szCs w:val="20"/>
        </w:rPr>
        <w:t xml:space="preserve"> (1 Ocak 2024: Bulunmamaktadır).</w:t>
      </w:r>
    </w:p>
    <w:p w14:paraId="477B426C" w14:textId="7BF0A708" w:rsidR="0098050E" w:rsidRPr="00872D7E" w:rsidRDefault="0098050E" w:rsidP="00471069">
      <w:pPr>
        <w:pStyle w:val="BodyTextIndent"/>
        <w:tabs>
          <w:tab w:val="num" w:pos="966"/>
          <w:tab w:val="left" w:pos="1080"/>
        </w:tabs>
        <w:ind w:left="882" w:hanging="882"/>
        <w:rPr>
          <w:bCs/>
          <w:szCs w:val="20"/>
        </w:rPr>
      </w:pPr>
    </w:p>
    <w:p w14:paraId="089561B8" w14:textId="1BE6204A" w:rsidR="00183A10" w:rsidRPr="00872D7E" w:rsidRDefault="00183A10" w:rsidP="00DF282B">
      <w:pPr>
        <w:pStyle w:val="ListParagraph"/>
        <w:widowControl w:val="0"/>
        <w:numPr>
          <w:ilvl w:val="0"/>
          <w:numId w:val="43"/>
        </w:numPr>
        <w:tabs>
          <w:tab w:val="clear" w:pos="540"/>
        </w:tabs>
        <w:autoSpaceDE w:val="0"/>
        <w:autoSpaceDN w:val="0"/>
        <w:adjustRightInd w:val="0"/>
        <w:ind w:left="851" w:hanging="851"/>
        <w:jc w:val="both"/>
        <w:rPr>
          <w:b/>
          <w:szCs w:val="20"/>
        </w:rPr>
      </w:pPr>
      <w:r w:rsidRPr="00872D7E">
        <w:rPr>
          <w:b/>
          <w:szCs w:val="20"/>
        </w:rPr>
        <w:t>Bağlı ortak</w:t>
      </w:r>
      <w:r w:rsidR="006E4A78" w:rsidRPr="00872D7E">
        <w:rPr>
          <w:b/>
          <w:szCs w:val="20"/>
        </w:rPr>
        <w:t>lıklara ilişkin bilgiler (net):</w:t>
      </w:r>
    </w:p>
    <w:p w14:paraId="6EBA18B3" w14:textId="77777777" w:rsidR="00491B00" w:rsidRPr="00872D7E" w:rsidRDefault="00491B00" w:rsidP="00415DBD">
      <w:pPr>
        <w:widowControl w:val="0"/>
        <w:ind w:left="851" w:hanging="851"/>
        <w:jc w:val="both"/>
        <w:rPr>
          <w:b/>
          <w:szCs w:val="20"/>
        </w:rPr>
      </w:pPr>
    </w:p>
    <w:p w14:paraId="65D27827" w14:textId="0034A72E" w:rsidR="00934678" w:rsidRPr="00872D7E" w:rsidRDefault="00934678" w:rsidP="00CC41DB">
      <w:pPr>
        <w:pStyle w:val="ListParagraph"/>
        <w:widowControl w:val="0"/>
        <w:numPr>
          <w:ilvl w:val="1"/>
          <w:numId w:val="2"/>
        </w:numPr>
        <w:tabs>
          <w:tab w:val="clear" w:pos="1440"/>
        </w:tabs>
        <w:ind w:left="851" w:hanging="851"/>
        <w:jc w:val="both"/>
        <w:rPr>
          <w:b/>
          <w:szCs w:val="20"/>
        </w:rPr>
      </w:pPr>
      <w:r w:rsidRPr="00872D7E">
        <w:rPr>
          <w:b/>
          <w:szCs w:val="20"/>
        </w:rPr>
        <w:t xml:space="preserve">Konsolide edilmeyen </w:t>
      </w:r>
      <w:r w:rsidR="00A200EE" w:rsidRPr="00872D7E">
        <w:rPr>
          <w:b/>
          <w:szCs w:val="20"/>
        </w:rPr>
        <w:t>mali olmayan</w:t>
      </w:r>
      <w:r w:rsidR="00AE439B" w:rsidRPr="00872D7E">
        <w:rPr>
          <w:b/>
          <w:szCs w:val="20"/>
        </w:rPr>
        <w:t xml:space="preserve"> bağlı</w:t>
      </w:r>
      <w:r w:rsidR="00A200EE" w:rsidRPr="00872D7E">
        <w:rPr>
          <w:b/>
          <w:szCs w:val="20"/>
        </w:rPr>
        <w:t xml:space="preserve"> </w:t>
      </w:r>
      <w:r w:rsidR="00743F31" w:rsidRPr="00872D7E">
        <w:rPr>
          <w:b/>
          <w:szCs w:val="20"/>
        </w:rPr>
        <w:t>ortaklıklara</w:t>
      </w:r>
      <w:r w:rsidRPr="00872D7E">
        <w:rPr>
          <w:b/>
          <w:szCs w:val="20"/>
        </w:rPr>
        <w:t xml:space="preserve"> ilişkin bilgiler:</w:t>
      </w:r>
    </w:p>
    <w:p w14:paraId="34ECE68D" w14:textId="77777777" w:rsidR="00491B00" w:rsidRPr="00872D7E" w:rsidRDefault="00491B00" w:rsidP="00415DBD">
      <w:pPr>
        <w:widowControl w:val="0"/>
        <w:jc w:val="both"/>
        <w:rPr>
          <w:szCs w:val="20"/>
        </w:rPr>
      </w:pPr>
    </w:p>
    <w:p w14:paraId="5CCBCE35" w14:textId="7ECF1BC6" w:rsidR="00D814C8" w:rsidRPr="00872D7E" w:rsidRDefault="007E7E9E" w:rsidP="00CC41DB">
      <w:pPr>
        <w:widowControl w:val="0"/>
        <w:ind w:left="851"/>
        <w:jc w:val="both"/>
        <w:rPr>
          <w:szCs w:val="20"/>
        </w:rPr>
      </w:pPr>
      <w:r w:rsidRPr="00872D7E">
        <w:rPr>
          <w:szCs w:val="20"/>
        </w:rPr>
        <w:t>Techdünya Bilişim Teknoloji ve Ticaret A.Ş.</w:t>
      </w:r>
      <w:r w:rsidR="000518C1" w:rsidRPr="00872D7E">
        <w:rPr>
          <w:szCs w:val="20"/>
        </w:rPr>
        <w:t>,</w:t>
      </w:r>
      <w:r w:rsidR="00D142BF" w:rsidRPr="00872D7E">
        <w:rPr>
          <w:szCs w:val="20"/>
        </w:rPr>
        <w:t xml:space="preserve"> </w:t>
      </w:r>
      <w:r w:rsidRPr="00872D7E">
        <w:rPr>
          <w:szCs w:val="20"/>
        </w:rPr>
        <w:t>1.250</w:t>
      </w:r>
      <w:r w:rsidR="000518C1" w:rsidRPr="00872D7E">
        <w:rPr>
          <w:szCs w:val="20"/>
        </w:rPr>
        <w:t xml:space="preserve"> TL ödenmiş sermaye </w:t>
      </w:r>
      <w:r w:rsidR="002D38C1" w:rsidRPr="00872D7E">
        <w:rPr>
          <w:szCs w:val="20"/>
        </w:rPr>
        <w:t xml:space="preserve">ile </w:t>
      </w:r>
      <w:r w:rsidR="000518C1" w:rsidRPr="00872D7E">
        <w:rPr>
          <w:szCs w:val="20"/>
        </w:rPr>
        <w:t xml:space="preserve">kurulmuş; </w:t>
      </w:r>
      <w:r w:rsidRPr="00872D7E">
        <w:rPr>
          <w:szCs w:val="20"/>
        </w:rPr>
        <w:t>15</w:t>
      </w:r>
      <w:r w:rsidR="000518C1" w:rsidRPr="00872D7E">
        <w:rPr>
          <w:szCs w:val="20"/>
        </w:rPr>
        <w:t xml:space="preserve"> Mart 202</w:t>
      </w:r>
      <w:r w:rsidRPr="00872D7E">
        <w:rPr>
          <w:szCs w:val="20"/>
        </w:rPr>
        <w:t>4</w:t>
      </w:r>
      <w:r w:rsidR="000518C1" w:rsidRPr="00872D7E">
        <w:rPr>
          <w:szCs w:val="20"/>
        </w:rPr>
        <w:t xml:space="preserve"> tarihinde Ticaret Sicil Gazetesi’nde tescil edilmiştir</w:t>
      </w:r>
      <w:r w:rsidR="00AF526A" w:rsidRPr="00872D7E">
        <w:rPr>
          <w:szCs w:val="20"/>
        </w:rPr>
        <w:t xml:space="preserve"> </w:t>
      </w:r>
      <w:r w:rsidR="00AF526A" w:rsidRPr="00872D7E">
        <w:rPr>
          <w:bCs/>
          <w:szCs w:val="20"/>
        </w:rPr>
        <w:t>(1 Ocak 2024: Bulunmamaktadır)</w:t>
      </w:r>
      <w:r w:rsidR="000518C1" w:rsidRPr="00872D7E">
        <w:rPr>
          <w:szCs w:val="20"/>
        </w:rPr>
        <w:t>.</w:t>
      </w:r>
    </w:p>
    <w:p w14:paraId="026242AE" w14:textId="77777777" w:rsidR="002D38C1" w:rsidRPr="00872D7E" w:rsidRDefault="002D38C1" w:rsidP="00415DBD">
      <w:pPr>
        <w:widowControl w:val="0"/>
        <w:ind w:left="851"/>
        <w:jc w:val="both"/>
        <w:rPr>
          <w:szCs w:val="20"/>
        </w:rPr>
      </w:pPr>
    </w:p>
    <w:tbl>
      <w:tblPr>
        <w:tblW w:w="5000" w:type="pct"/>
        <w:tblLook w:val="0000" w:firstRow="0" w:lastRow="0" w:firstColumn="0" w:lastColumn="0" w:noHBand="0" w:noVBand="0"/>
      </w:tblPr>
      <w:tblGrid>
        <w:gridCol w:w="2451"/>
        <w:gridCol w:w="1811"/>
        <w:gridCol w:w="2636"/>
        <w:gridCol w:w="2457"/>
      </w:tblGrid>
      <w:tr w:rsidR="002D38C1" w:rsidRPr="00872D7E" w14:paraId="5E5B033C" w14:textId="77777777" w:rsidTr="0086505A">
        <w:trPr>
          <w:trHeight w:val="113"/>
        </w:trPr>
        <w:tc>
          <w:tcPr>
            <w:tcW w:w="1310" w:type="pct"/>
            <w:tcBorders>
              <w:bottom w:val="single" w:sz="4" w:space="0" w:color="auto"/>
            </w:tcBorders>
            <w:shd w:val="clear" w:color="auto" w:fill="auto"/>
            <w:vAlign w:val="bottom"/>
          </w:tcPr>
          <w:p w14:paraId="4FBE9707" w14:textId="77777777" w:rsidR="002D38C1" w:rsidRPr="00872D7E" w:rsidRDefault="002D38C1" w:rsidP="0098360C">
            <w:pPr>
              <w:pStyle w:val="BodyTextIndent"/>
              <w:tabs>
                <w:tab w:val="left" w:pos="900"/>
              </w:tabs>
              <w:ind w:left="-108" w:firstLine="0"/>
              <w:jc w:val="center"/>
              <w:rPr>
                <w:b/>
                <w:bCs/>
                <w:sz w:val="18"/>
                <w:szCs w:val="18"/>
              </w:rPr>
            </w:pPr>
            <w:r w:rsidRPr="00872D7E">
              <w:rPr>
                <w:b/>
                <w:bCs/>
                <w:sz w:val="18"/>
                <w:szCs w:val="18"/>
              </w:rPr>
              <w:t>Unvanı</w:t>
            </w:r>
          </w:p>
        </w:tc>
        <w:tc>
          <w:tcPr>
            <w:tcW w:w="968" w:type="pct"/>
            <w:tcBorders>
              <w:bottom w:val="single" w:sz="4" w:space="0" w:color="auto"/>
            </w:tcBorders>
            <w:vAlign w:val="bottom"/>
          </w:tcPr>
          <w:p w14:paraId="5DB4B5C4" w14:textId="77777777" w:rsidR="002D38C1" w:rsidRPr="00872D7E" w:rsidRDefault="002D38C1" w:rsidP="0098360C">
            <w:pPr>
              <w:pStyle w:val="BodyTextIndent"/>
              <w:tabs>
                <w:tab w:val="left" w:pos="900"/>
              </w:tabs>
              <w:ind w:left="-108" w:firstLine="0"/>
              <w:jc w:val="center"/>
              <w:rPr>
                <w:b/>
                <w:bCs/>
                <w:sz w:val="18"/>
                <w:szCs w:val="18"/>
              </w:rPr>
            </w:pPr>
            <w:r w:rsidRPr="00872D7E">
              <w:rPr>
                <w:b/>
                <w:bCs/>
                <w:sz w:val="18"/>
                <w:szCs w:val="18"/>
              </w:rPr>
              <w:t>Adres (Şehir/Ülke)</w:t>
            </w:r>
          </w:p>
        </w:tc>
        <w:tc>
          <w:tcPr>
            <w:tcW w:w="1409" w:type="pct"/>
            <w:tcBorders>
              <w:bottom w:val="single" w:sz="4" w:space="0" w:color="auto"/>
            </w:tcBorders>
            <w:shd w:val="clear" w:color="auto" w:fill="auto"/>
            <w:vAlign w:val="bottom"/>
          </w:tcPr>
          <w:p w14:paraId="78AE1251" w14:textId="77777777" w:rsidR="002D38C1" w:rsidRPr="00872D7E" w:rsidRDefault="002D38C1" w:rsidP="0086505A">
            <w:pPr>
              <w:ind w:left="-93"/>
              <w:jc w:val="right"/>
              <w:rPr>
                <w:b/>
                <w:bCs/>
                <w:sz w:val="18"/>
                <w:szCs w:val="18"/>
              </w:rPr>
            </w:pPr>
            <w:r w:rsidRPr="00872D7E">
              <w:rPr>
                <w:b/>
                <w:bCs/>
                <w:sz w:val="18"/>
                <w:szCs w:val="18"/>
              </w:rPr>
              <w:t xml:space="preserve">Ana Ortaklık Banka’nın Pay Oranı Farklıysa </w:t>
            </w:r>
            <w:r w:rsidRPr="00872D7E">
              <w:rPr>
                <w:b/>
                <w:bCs/>
                <w:sz w:val="18"/>
                <w:szCs w:val="18"/>
              </w:rPr>
              <w:br/>
              <w:t>Oy Oranı (%)</w:t>
            </w:r>
          </w:p>
        </w:tc>
        <w:tc>
          <w:tcPr>
            <w:tcW w:w="1313" w:type="pct"/>
            <w:tcBorders>
              <w:bottom w:val="single" w:sz="4" w:space="0" w:color="auto"/>
            </w:tcBorders>
            <w:vAlign w:val="bottom"/>
          </w:tcPr>
          <w:p w14:paraId="49019FC4" w14:textId="77777777" w:rsidR="002D38C1" w:rsidRPr="00872D7E" w:rsidRDefault="002D38C1" w:rsidP="0086505A">
            <w:pPr>
              <w:ind w:left="-93"/>
              <w:jc w:val="right"/>
              <w:rPr>
                <w:b/>
                <w:bCs/>
                <w:sz w:val="18"/>
                <w:szCs w:val="18"/>
              </w:rPr>
            </w:pPr>
            <w:r w:rsidRPr="00872D7E">
              <w:rPr>
                <w:b/>
                <w:bCs/>
                <w:sz w:val="18"/>
                <w:szCs w:val="18"/>
              </w:rPr>
              <w:t xml:space="preserve">Diğer Ortakların </w:t>
            </w:r>
            <w:r w:rsidRPr="00872D7E">
              <w:rPr>
                <w:b/>
                <w:bCs/>
                <w:sz w:val="18"/>
                <w:szCs w:val="18"/>
              </w:rPr>
              <w:br/>
              <w:t>Pay Oranı (%)</w:t>
            </w:r>
          </w:p>
        </w:tc>
      </w:tr>
      <w:tr w:rsidR="0086505A" w:rsidRPr="00872D7E" w14:paraId="0A0838B3" w14:textId="77777777" w:rsidTr="0086505A">
        <w:trPr>
          <w:trHeight w:val="113"/>
        </w:trPr>
        <w:tc>
          <w:tcPr>
            <w:tcW w:w="1310" w:type="pct"/>
            <w:tcBorders>
              <w:top w:val="single" w:sz="4" w:space="0" w:color="auto"/>
            </w:tcBorders>
            <w:shd w:val="clear" w:color="auto" w:fill="auto"/>
            <w:vAlign w:val="bottom"/>
          </w:tcPr>
          <w:p w14:paraId="25B74D1C" w14:textId="77777777" w:rsidR="0086505A" w:rsidRPr="00872D7E" w:rsidRDefault="0086505A" w:rsidP="0098360C">
            <w:pPr>
              <w:pStyle w:val="BodyTextIndent"/>
              <w:tabs>
                <w:tab w:val="left" w:pos="900"/>
              </w:tabs>
              <w:ind w:left="-108" w:firstLine="0"/>
              <w:jc w:val="center"/>
              <w:rPr>
                <w:b/>
                <w:bCs/>
                <w:sz w:val="18"/>
                <w:szCs w:val="18"/>
              </w:rPr>
            </w:pPr>
          </w:p>
        </w:tc>
        <w:tc>
          <w:tcPr>
            <w:tcW w:w="968" w:type="pct"/>
            <w:tcBorders>
              <w:top w:val="single" w:sz="4" w:space="0" w:color="auto"/>
            </w:tcBorders>
            <w:vAlign w:val="bottom"/>
          </w:tcPr>
          <w:p w14:paraId="0415E013" w14:textId="77777777" w:rsidR="0086505A" w:rsidRPr="00872D7E" w:rsidRDefault="0086505A" w:rsidP="0098360C">
            <w:pPr>
              <w:pStyle w:val="BodyTextIndent"/>
              <w:tabs>
                <w:tab w:val="left" w:pos="900"/>
              </w:tabs>
              <w:ind w:left="-108" w:firstLine="0"/>
              <w:jc w:val="center"/>
              <w:rPr>
                <w:b/>
                <w:bCs/>
                <w:sz w:val="18"/>
                <w:szCs w:val="18"/>
              </w:rPr>
            </w:pPr>
          </w:p>
        </w:tc>
        <w:tc>
          <w:tcPr>
            <w:tcW w:w="1409" w:type="pct"/>
            <w:tcBorders>
              <w:top w:val="single" w:sz="4" w:space="0" w:color="auto"/>
            </w:tcBorders>
            <w:shd w:val="clear" w:color="auto" w:fill="auto"/>
            <w:vAlign w:val="bottom"/>
          </w:tcPr>
          <w:p w14:paraId="5641F585" w14:textId="77777777" w:rsidR="0086505A" w:rsidRPr="00872D7E" w:rsidRDefault="0086505A" w:rsidP="0086505A">
            <w:pPr>
              <w:ind w:left="-93"/>
              <w:jc w:val="right"/>
              <w:rPr>
                <w:b/>
                <w:bCs/>
                <w:sz w:val="18"/>
                <w:szCs w:val="18"/>
              </w:rPr>
            </w:pPr>
          </w:p>
        </w:tc>
        <w:tc>
          <w:tcPr>
            <w:tcW w:w="1313" w:type="pct"/>
            <w:tcBorders>
              <w:top w:val="single" w:sz="4" w:space="0" w:color="auto"/>
            </w:tcBorders>
            <w:vAlign w:val="bottom"/>
          </w:tcPr>
          <w:p w14:paraId="3B74C722" w14:textId="77777777" w:rsidR="0086505A" w:rsidRPr="00872D7E" w:rsidRDefault="0086505A" w:rsidP="0086505A">
            <w:pPr>
              <w:ind w:left="-93"/>
              <w:jc w:val="right"/>
              <w:rPr>
                <w:b/>
                <w:bCs/>
                <w:sz w:val="18"/>
                <w:szCs w:val="18"/>
              </w:rPr>
            </w:pPr>
          </w:p>
        </w:tc>
      </w:tr>
      <w:tr w:rsidR="002D38C1" w:rsidRPr="00872D7E" w14:paraId="08579BB1" w14:textId="77777777" w:rsidTr="0086505A">
        <w:trPr>
          <w:trHeight w:val="113"/>
        </w:trPr>
        <w:tc>
          <w:tcPr>
            <w:tcW w:w="1310" w:type="pct"/>
            <w:tcBorders>
              <w:bottom w:val="single" w:sz="4" w:space="0" w:color="auto"/>
            </w:tcBorders>
            <w:shd w:val="clear" w:color="auto" w:fill="auto"/>
            <w:vAlign w:val="bottom"/>
          </w:tcPr>
          <w:p w14:paraId="085F36A2" w14:textId="77777777" w:rsidR="0086505A" w:rsidRPr="00872D7E" w:rsidRDefault="002D38C1" w:rsidP="0086505A">
            <w:pPr>
              <w:pStyle w:val="BodyTextIndent"/>
              <w:tabs>
                <w:tab w:val="left" w:pos="900"/>
              </w:tabs>
              <w:ind w:left="-108" w:firstLine="0"/>
              <w:jc w:val="left"/>
              <w:rPr>
                <w:sz w:val="18"/>
                <w:szCs w:val="18"/>
              </w:rPr>
            </w:pPr>
            <w:proofErr w:type="spellStart"/>
            <w:r w:rsidRPr="00872D7E">
              <w:rPr>
                <w:sz w:val="18"/>
                <w:szCs w:val="18"/>
              </w:rPr>
              <w:t>Techdünya</w:t>
            </w:r>
            <w:proofErr w:type="spellEnd"/>
            <w:r w:rsidRPr="00872D7E">
              <w:rPr>
                <w:sz w:val="18"/>
                <w:szCs w:val="18"/>
              </w:rPr>
              <w:t xml:space="preserve"> Bilişim Teknoloji ve</w:t>
            </w:r>
          </w:p>
          <w:p w14:paraId="34F54604" w14:textId="0336C5A0" w:rsidR="002D38C1" w:rsidRPr="00872D7E" w:rsidRDefault="0086505A" w:rsidP="0086505A">
            <w:pPr>
              <w:pStyle w:val="BodyTextIndent"/>
              <w:tabs>
                <w:tab w:val="left" w:pos="900"/>
              </w:tabs>
              <w:ind w:left="-108" w:firstLine="0"/>
              <w:jc w:val="left"/>
              <w:rPr>
                <w:sz w:val="18"/>
                <w:szCs w:val="18"/>
              </w:rPr>
            </w:pPr>
            <w:r w:rsidRPr="00872D7E">
              <w:rPr>
                <w:sz w:val="18"/>
                <w:szCs w:val="18"/>
              </w:rPr>
              <w:t xml:space="preserve">   </w:t>
            </w:r>
            <w:r w:rsidR="002D38C1" w:rsidRPr="00872D7E">
              <w:rPr>
                <w:sz w:val="18"/>
                <w:szCs w:val="18"/>
              </w:rPr>
              <w:t xml:space="preserve"> Ticaret A.Ş</w:t>
            </w:r>
            <w:r w:rsidR="00D142BF" w:rsidRPr="00872D7E">
              <w:rPr>
                <w:sz w:val="18"/>
                <w:szCs w:val="18"/>
              </w:rPr>
              <w:t>.</w:t>
            </w:r>
          </w:p>
        </w:tc>
        <w:tc>
          <w:tcPr>
            <w:tcW w:w="968" w:type="pct"/>
            <w:tcBorders>
              <w:bottom w:val="single" w:sz="4" w:space="0" w:color="auto"/>
            </w:tcBorders>
            <w:shd w:val="clear" w:color="auto" w:fill="auto"/>
            <w:vAlign w:val="bottom"/>
          </w:tcPr>
          <w:p w14:paraId="4F35441A" w14:textId="77777777" w:rsidR="002D38C1" w:rsidRPr="00872D7E" w:rsidRDefault="002D38C1" w:rsidP="0086505A">
            <w:pPr>
              <w:pStyle w:val="BodyTextIndent"/>
              <w:tabs>
                <w:tab w:val="left" w:pos="900"/>
              </w:tabs>
              <w:ind w:firstLine="0"/>
              <w:jc w:val="center"/>
              <w:rPr>
                <w:sz w:val="18"/>
                <w:szCs w:val="18"/>
              </w:rPr>
            </w:pPr>
            <w:r w:rsidRPr="00872D7E">
              <w:rPr>
                <w:sz w:val="18"/>
                <w:szCs w:val="18"/>
              </w:rPr>
              <w:t>İstanbul/Türkiye</w:t>
            </w:r>
          </w:p>
        </w:tc>
        <w:tc>
          <w:tcPr>
            <w:tcW w:w="1409" w:type="pct"/>
            <w:tcBorders>
              <w:bottom w:val="single" w:sz="4" w:space="0" w:color="auto"/>
            </w:tcBorders>
            <w:shd w:val="clear" w:color="auto" w:fill="auto"/>
            <w:vAlign w:val="bottom"/>
          </w:tcPr>
          <w:p w14:paraId="2CFDA426" w14:textId="4D552986" w:rsidR="002D38C1" w:rsidRPr="00872D7E" w:rsidRDefault="002D38C1" w:rsidP="0086505A">
            <w:pPr>
              <w:jc w:val="right"/>
            </w:pPr>
            <w:r w:rsidRPr="00872D7E">
              <w:t>%100</w:t>
            </w:r>
          </w:p>
        </w:tc>
        <w:tc>
          <w:tcPr>
            <w:tcW w:w="1313" w:type="pct"/>
            <w:tcBorders>
              <w:bottom w:val="single" w:sz="4" w:space="0" w:color="auto"/>
            </w:tcBorders>
            <w:shd w:val="clear" w:color="auto" w:fill="auto"/>
            <w:vAlign w:val="bottom"/>
          </w:tcPr>
          <w:p w14:paraId="2195BBF0" w14:textId="2025E0B4" w:rsidR="002D38C1" w:rsidRPr="00872D7E" w:rsidRDefault="002D38C1" w:rsidP="0086505A">
            <w:pPr>
              <w:jc w:val="right"/>
            </w:pPr>
            <w:r w:rsidRPr="00872D7E">
              <w:t>%100</w:t>
            </w:r>
          </w:p>
        </w:tc>
      </w:tr>
    </w:tbl>
    <w:p w14:paraId="641333FF" w14:textId="7D24C9EB" w:rsidR="002D38C1" w:rsidRPr="00872D7E" w:rsidRDefault="002D38C1" w:rsidP="00415DBD">
      <w:pPr>
        <w:widowControl w:val="0"/>
        <w:ind w:left="851"/>
        <w:jc w:val="both"/>
        <w:rPr>
          <w:szCs w:val="20"/>
        </w:rPr>
      </w:pPr>
    </w:p>
    <w:tbl>
      <w:tblPr>
        <w:tblW w:w="5000" w:type="pct"/>
        <w:tblLayout w:type="fixed"/>
        <w:tblCellMar>
          <w:left w:w="70" w:type="dxa"/>
          <w:right w:w="70" w:type="dxa"/>
        </w:tblCellMar>
        <w:tblLook w:val="04A0" w:firstRow="1" w:lastRow="0" w:firstColumn="1" w:lastColumn="0" w:noHBand="0" w:noVBand="1"/>
      </w:tblPr>
      <w:tblGrid>
        <w:gridCol w:w="1335"/>
        <w:gridCol w:w="1336"/>
        <w:gridCol w:w="1338"/>
        <w:gridCol w:w="1336"/>
        <w:gridCol w:w="1338"/>
        <w:gridCol w:w="1336"/>
        <w:gridCol w:w="1336"/>
      </w:tblGrid>
      <w:tr w:rsidR="00407428" w:rsidRPr="00872D7E" w14:paraId="26215465" w14:textId="77777777" w:rsidTr="0086505A">
        <w:trPr>
          <w:trHeight w:val="227"/>
        </w:trPr>
        <w:tc>
          <w:tcPr>
            <w:tcW w:w="714" w:type="pct"/>
            <w:tcBorders>
              <w:top w:val="single" w:sz="4" w:space="0" w:color="auto"/>
              <w:bottom w:val="single" w:sz="4" w:space="0" w:color="auto"/>
            </w:tcBorders>
            <w:shd w:val="clear" w:color="auto" w:fill="auto"/>
            <w:noWrap/>
            <w:vAlign w:val="bottom"/>
            <w:hideMark/>
          </w:tcPr>
          <w:p w14:paraId="120C0B52" w14:textId="77777777" w:rsidR="00407428" w:rsidRPr="00872D7E" w:rsidRDefault="00407428" w:rsidP="0086505A">
            <w:pPr>
              <w:jc w:val="right"/>
              <w:rPr>
                <w:color w:val="000000"/>
                <w:szCs w:val="20"/>
                <w:lang w:eastAsia="tr-TR"/>
              </w:rPr>
            </w:pPr>
            <w:r w:rsidRPr="00872D7E">
              <w:rPr>
                <w:color w:val="000000"/>
                <w:szCs w:val="20"/>
                <w:lang w:eastAsia="tr-TR"/>
              </w:rPr>
              <w:t>Aktif Toplamı</w:t>
            </w:r>
          </w:p>
        </w:tc>
        <w:tc>
          <w:tcPr>
            <w:tcW w:w="714" w:type="pct"/>
            <w:tcBorders>
              <w:top w:val="single" w:sz="4" w:space="0" w:color="auto"/>
              <w:bottom w:val="single" w:sz="4" w:space="0" w:color="auto"/>
            </w:tcBorders>
            <w:shd w:val="clear" w:color="auto" w:fill="auto"/>
            <w:noWrap/>
            <w:vAlign w:val="bottom"/>
            <w:hideMark/>
          </w:tcPr>
          <w:p w14:paraId="731B1331" w14:textId="77777777" w:rsidR="00407428" w:rsidRPr="00872D7E" w:rsidRDefault="00407428" w:rsidP="0086505A">
            <w:pPr>
              <w:jc w:val="right"/>
              <w:rPr>
                <w:color w:val="000000"/>
                <w:szCs w:val="20"/>
                <w:lang w:eastAsia="tr-TR"/>
              </w:rPr>
            </w:pPr>
            <w:r w:rsidRPr="00872D7E">
              <w:rPr>
                <w:color w:val="000000"/>
                <w:szCs w:val="20"/>
                <w:lang w:eastAsia="tr-TR"/>
              </w:rPr>
              <w:t>Özkaynak Toplamı</w:t>
            </w:r>
          </w:p>
        </w:tc>
        <w:tc>
          <w:tcPr>
            <w:tcW w:w="715" w:type="pct"/>
            <w:tcBorders>
              <w:top w:val="single" w:sz="4" w:space="0" w:color="auto"/>
              <w:bottom w:val="single" w:sz="4" w:space="0" w:color="auto"/>
            </w:tcBorders>
            <w:shd w:val="clear" w:color="auto" w:fill="auto"/>
            <w:noWrap/>
            <w:vAlign w:val="bottom"/>
            <w:hideMark/>
          </w:tcPr>
          <w:p w14:paraId="70BC26CC" w14:textId="77777777" w:rsidR="00407428" w:rsidRPr="00872D7E" w:rsidRDefault="00407428" w:rsidP="0086505A">
            <w:pPr>
              <w:jc w:val="right"/>
              <w:rPr>
                <w:color w:val="000000"/>
                <w:szCs w:val="20"/>
                <w:lang w:eastAsia="tr-TR"/>
              </w:rPr>
            </w:pPr>
            <w:r w:rsidRPr="00872D7E">
              <w:rPr>
                <w:color w:val="000000"/>
                <w:szCs w:val="20"/>
                <w:lang w:eastAsia="tr-TR"/>
              </w:rPr>
              <w:t xml:space="preserve">Sabit Kıymet Toplamı </w:t>
            </w:r>
            <w:r w:rsidRPr="00872D7E">
              <w:rPr>
                <w:color w:val="000000"/>
                <w:szCs w:val="20"/>
                <w:vertAlign w:val="superscript"/>
                <w:lang w:eastAsia="tr-TR"/>
              </w:rPr>
              <w:t>(**)</w:t>
            </w:r>
          </w:p>
        </w:tc>
        <w:tc>
          <w:tcPr>
            <w:tcW w:w="714" w:type="pct"/>
            <w:tcBorders>
              <w:top w:val="single" w:sz="4" w:space="0" w:color="auto"/>
              <w:bottom w:val="single" w:sz="4" w:space="0" w:color="auto"/>
            </w:tcBorders>
            <w:shd w:val="clear" w:color="auto" w:fill="auto"/>
            <w:noWrap/>
            <w:vAlign w:val="bottom"/>
            <w:hideMark/>
          </w:tcPr>
          <w:p w14:paraId="7D2964CE" w14:textId="77777777" w:rsidR="00407428" w:rsidRPr="00872D7E" w:rsidRDefault="00407428" w:rsidP="0086505A">
            <w:pPr>
              <w:jc w:val="right"/>
              <w:rPr>
                <w:color w:val="000000"/>
                <w:szCs w:val="20"/>
                <w:lang w:eastAsia="tr-TR"/>
              </w:rPr>
            </w:pPr>
            <w:proofErr w:type="spellStart"/>
            <w:r w:rsidRPr="00872D7E">
              <w:rPr>
                <w:color w:val="000000"/>
                <w:szCs w:val="20"/>
                <w:lang w:eastAsia="tr-TR"/>
              </w:rPr>
              <w:t>Karpayı</w:t>
            </w:r>
            <w:proofErr w:type="spellEnd"/>
            <w:r w:rsidRPr="00872D7E">
              <w:rPr>
                <w:color w:val="000000"/>
                <w:szCs w:val="20"/>
                <w:lang w:eastAsia="tr-TR"/>
              </w:rPr>
              <w:t xml:space="preserve"> Gelirleri</w:t>
            </w:r>
          </w:p>
        </w:tc>
        <w:tc>
          <w:tcPr>
            <w:tcW w:w="715" w:type="pct"/>
            <w:tcBorders>
              <w:top w:val="single" w:sz="4" w:space="0" w:color="auto"/>
              <w:bottom w:val="single" w:sz="4" w:space="0" w:color="auto"/>
            </w:tcBorders>
            <w:shd w:val="clear" w:color="auto" w:fill="auto"/>
            <w:noWrap/>
            <w:vAlign w:val="bottom"/>
            <w:hideMark/>
          </w:tcPr>
          <w:p w14:paraId="380D270D" w14:textId="77777777" w:rsidR="00407428" w:rsidRPr="00872D7E" w:rsidRDefault="00407428" w:rsidP="0086505A">
            <w:pPr>
              <w:jc w:val="right"/>
              <w:rPr>
                <w:color w:val="000000"/>
                <w:szCs w:val="20"/>
                <w:lang w:eastAsia="tr-TR"/>
              </w:rPr>
            </w:pPr>
            <w:r w:rsidRPr="00872D7E">
              <w:rPr>
                <w:color w:val="000000"/>
                <w:szCs w:val="20"/>
                <w:lang w:eastAsia="tr-TR"/>
              </w:rPr>
              <w:t>Cari Dönem Kar/Zararı</w:t>
            </w:r>
          </w:p>
        </w:tc>
        <w:tc>
          <w:tcPr>
            <w:tcW w:w="714" w:type="pct"/>
            <w:tcBorders>
              <w:top w:val="single" w:sz="4" w:space="0" w:color="auto"/>
              <w:bottom w:val="single" w:sz="4" w:space="0" w:color="auto"/>
            </w:tcBorders>
            <w:shd w:val="clear" w:color="auto" w:fill="auto"/>
            <w:noWrap/>
            <w:vAlign w:val="bottom"/>
            <w:hideMark/>
          </w:tcPr>
          <w:p w14:paraId="6B9FED12" w14:textId="77777777" w:rsidR="00407428" w:rsidRPr="00872D7E" w:rsidRDefault="00407428" w:rsidP="0086505A">
            <w:pPr>
              <w:jc w:val="right"/>
              <w:rPr>
                <w:color w:val="000000"/>
                <w:szCs w:val="20"/>
                <w:lang w:eastAsia="tr-TR"/>
              </w:rPr>
            </w:pPr>
            <w:r w:rsidRPr="00872D7E">
              <w:rPr>
                <w:color w:val="000000"/>
                <w:szCs w:val="20"/>
                <w:lang w:eastAsia="tr-TR"/>
              </w:rPr>
              <w:t>Önceki Dönem Kar/Zararı</w:t>
            </w:r>
          </w:p>
        </w:tc>
        <w:tc>
          <w:tcPr>
            <w:tcW w:w="715" w:type="pct"/>
            <w:tcBorders>
              <w:top w:val="single" w:sz="4" w:space="0" w:color="auto"/>
              <w:bottom w:val="single" w:sz="4" w:space="0" w:color="auto"/>
            </w:tcBorders>
            <w:shd w:val="clear" w:color="auto" w:fill="auto"/>
            <w:noWrap/>
            <w:vAlign w:val="bottom"/>
            <w:hideMark/>
          </w:tcPr>
          <w:p w14:paraId="7156B316" w14:textId="77777777" w:rsidR="00407428" w:rsidRPr="00872D7E" w:rsidRDefault="00407428" w:rsidP="0086505A">
            <w:pPr>
              <w:jc w:val="right"/>
              <w:rPr>
                <w:color w:val="000000"/>
                <w:szCs w:val="20"/>
                <w:lang w:eastAsia="tr-TR"/>
              </w:rPr>
            </w:pPr>
            <w:r w:rsidRPr="00872D7E">
              <w:rPr>
                <w:color w:val="000000"/>
                <w:szCs w:val="20"/>
                <w:lang w:eastAsia="tr-TR"/>
              </w:rPr>
              <w:t xml:space="preserve">Gerçeğe Uygun Değeri </w:t>
            </w:r>
            <w:r w:rsidRPr="00872D7E">
              <w:rPr>
                <w:color w:val="000000"/>
                <w:szCs w:val="20"/>
                <w:vertAlign w:val="superscript"/>
                <w:lang w:eastAsia="tr-TR"/>
              </w:rPr>
              <w:t>(*)</w:t>
            </w:r>
          </w:p>
        </w:tc>
      </w:tr>
      <w:tr w:rsidR="0086505A" w:rsidRPr="00872D7E" w14:paraId="642C6396" w14:textId="77777777" w:rsidTr="0086505A">
        <w:trPr>
          <w:trHeight w:val="227"/>
        </w:trPr>
        <w:tc>
          <w:tcPr>
            <w:tcW w:w="714" w:type="pct"/>
            <w:tcBorders>
              <w:top w:val="single" w:sz="4" w:space="0" w:color="auto"/>
            </w:tcBorders>
            <w:shd w:val="clear" w:color="auto" w:fill="auto"/>
            <w:noWrap/>
            <w:vAlign w:val="bottom"/>
          </w:tcPr>
          <w:p w14:paraId="23099A21" w14:textId="77777777" w:rsidR="0086505A" w:rsidRPr="00872D7E" w:rsidRDefault="0086505A" w:rsidP="0086505A">
            <w:pPr>
              <w:jc w:val="right"/>
              <w:rPr>
                <w:color w:val="000000"/>
                <w:szCs w:val="20"/>
                <w:lang w:eastAsia="tr-TR"/>
              </w:rPr>
            </w:pPr>
          </w:p>
        </w:tc>
        <w:tc>
          <w:tcPr>
            <w:tcW w:w="714" w:type="pct"/>
            <w:tcBorders>
              <w:top w:val="single" w:sz="4" w:space="0" w:color="auto"/>
            </w:tcBorders>
            <w:shd w:val="clear" w:color="auto" w:fill="auto"/>
            <w:noWrap/>
            <w:vAlign w:val="bottom"/>
          </w:tcPr>
          <w:p w14:paraId="426AB210" w14:textId="77777777" w:rsidR="0086505A" w:rsidRPr="00872D7E" w:rsidRDefault="0086505A" w:rsidP="0086505A">
            <w:pPr>
              <w:jc w:val="right"/>
              <w:rPr>
                <w:color w:val="000000"/>
                <w:szCs w:val="20"/>
                <w:lang w:eastAsia="tr-TR"/>
              </w:rPr>
            </w:pPr>
          </w:p>
        </w:tc>
        <w:tc>
          <w:tcPr>
            <w:tcW w:w="715" w:type="pct"/>
            <w:tcBorders>
              <w:top w:val="single" w:sz="4" w:space="0" w:color="auto"/>
            </w:tcBorders>
            <w:shd w:val="clear" w:color="auto" w:fill="auto"/>
            <w:noWrap/>
            <w:vAlign w:val="bottom"/>
          </w:tcPr>
          <w:p w14:paraId="123DF3FF" w14:textId="77777777" w:rsidR="0086505A" w:rsidRPr="00872D7E" w:rsidRDefault="0086505A" w:rsidP="0086505A">
            <w:pPr>
              <w:jc w:val="right"/>
              <w:rPr>
                <w:color w:val="000000"/>
                <w:szCs w:val="20"/>
                <w:lang w:eastAsia="tr-TR"/>
              </w:rPr>
            </w:pPr>
          </w:p>
        </w:tc>
        <w:tc>
          <w:tcPr>
            <w:tcW w:w="714" w:type="pct"/>
            <w:tcBorders>
              <w:top w:val="single" w:sz="4" w:space="0" w:color="auto"/>
            </w:tcBorders>
            <w:shd w:val="clear" w:color="auto" w:fill="auto"/>
            <w:noWrap/>
            <w:vAlign w:val="bottom"/>
          </w:tcPr>
          <w:p w14:paraId="6DC62B7E" w14:textId="77777777" w:rsidR="0086505A" w:rsidRPr="00872D7E" w:rsidRDefault="0086505A" w:rsidP="0086505A">
            <w:pPr>
              <w:jc w:val="right"/>
              <w:rPr>
                <w:color w:val="000000"/>
                <w:szCs w:val="20"/>
                <w:lang w:eastAsia="tr-TR"/>
              </w:rPr>
            </w:pPr>
          </w:p>
        </w:tc>
        <w:tc>
          <w:tcPr>
            <w:tcW w:w="715" w:type="pct"/>
            <w:tcBorders>
              <w:top w:val="single" w:sz="4" w:space="0" w:color="auto"/>
            </w:tcBorders>
            <w:shd w:val="clear" w:color="auto" w:fill="auto"/>
            <w:noWrap/>
            <w:vAlign w:val="bottom"/>
          </w:tcPr>
          <w:p w14:paraId="667F60E8" w14:textId="77777777" w:rsidR="0086505A" w:rsidRPr="00872D7E" w:rsidRDefault="0086505A" w:rsidP="0086505A">
            <w:pPr>
              <w:jc w:val="right"/>
              <w:rPr>
                <w:color w:val="000000"/>
                <w:szCs w:val="20"/>
                <w:lang w:eastAsia="tr-TR"/>
              </w:rPr>
            </w:pPr>
          </w:p>
        </w:tc>
        <w:tc>
          <w:tcPr>
            <w:tcW w:w="714" w:type="pct"/>
            <w:tcBorders>
              <w:top w:val="single" w:sz="4" w:space="0" w:color="auto"/>
            </w:tcBorders>
            <w:shd w:val="clear" w:color="auto" w:fill="auto"/>
            <w:noWrap/>
            <w:vAlign w:val="bottom"/>
          </w:tcPr>
          <w:p w14:paraId="3FB57FEB" w14:textId="77777777" w:rsidR="0086505A" w:rsidRPr="00872D7E" w:rsidRDefault="0086505A" w:rsidP="0086505A">
            <w:pPr>
              <w:jc w:val="right"/>
              <w:rPr>
                <w:color w:val="000000"/>
                <w:szCs w:val="20"/>
                <w:lang w:eastAsia="tr-TR"/>
              </w:rPr>
            </w:pPr>
          </w:p>
        </w:tc>
        <w:tc>
          <w:tcPr>
            <w:tcW w:w="715" w:type="pct"/>
            <w:tcBorders>
              <w:top w:val="single" w:sz="4" w:space="0" w:color="auto"/>
            </w:tcBorders>
            <w:shd w:val="clear" w:color="auto" w:fill="auto"/>
            <w:noWrap/>
            <w:vAlign w:val="bottom"/>
          </w:tcPr>
          <w:p w14:paraId="30F939D5" w14:textId="77777777" w:rsidR="0086505A" w:rsidRPr="00872D7E" w:rsidRDefault="0086505A" w:rsidP="0086505A">
            <w:pPr>
              <w:jc w:val="right"/>
              <w:rPr>
                <w:color w:val="000000"/>
                <w:szCs w:val="20"/>
                <w:lang w:eastAsia="tr-TR"/>
              </w:rPr>
            </w:pPr>
          </w:p>
        </w:tc>
      </w:tr>
      <w:tr w:rsidR="00407428" w:rsidRPr="00872D7E" w14:paraId="5278104C" w14:textId="77777777" w:rsidTr="0086505A">
        <w:trPr>
          <w:trHeight w:val="227"/>
        </w:trPr>
        <w:tc>
          <w:tcPr>
            <w:tcW w:w="714" w:type="pct"/>
            <w:tcBorders>
              <w:bottom w:val="single" w:sz="4" w:space="0" w:color="auto"/>
            </w:tcBorders>
            <w:shd w:val="clear" w:color="auto" w:fill="auto"/>
            <w:noWrap/>
            <w:vAlign w:val="bottom"/>
            <w:hideMark/>
          </w:tcPr>
          <w:p w14:paraId="67AF74D7" w14:textId="77777777" w:rsidR="00407428" w:rsidRPr="00872D7E" w:rsidRDefault="00407428" w:rsidP="0086505A">
            <w:pPr>
              <w:jc w:val="right"/>
              <w:rPr>
                <w:color w:val="000000"/>
                <w:szCs w:val="20"/>
                <w:lang w:eastAsia="tr-TR"/>
              </w:rPr>
            </w:pPr>
            <w:r w:rsidRPr="00872D7E">
              <w:rPr>
                <w:color w:val="000000"/>
                <w:szCs w:val="20"/>
                <w:lang w:eastAsia="tr-TR"/>
              </w:rPr>
              <w:t>1.517</w:t>
            </w:r>
          </w:p>
        </w:tc>
        <w:tc>
          <w:tcPr>
            <w:tcW w:w="714" w:type="pct"/>
            <w:tcBorders>
              <w:bottom w:val="single" w:sz="4" w:space="0" w:color="auto"/>
            </w:tcBorders>
            <w:shd w:val="clear" w:color="auto" w:fill="auto"/>
            <w:noWrap/>
            <w:vAlign w:val="bottom"/>
            <w:hideMark/>
          </w:tcPr>
          <w:p w14:paraId="51224741" w14:textId="77777777" w:rsidR="00407428" w:rsidRPr="00872D7E" w:rsidRDefault="00407428" w:rsidP="0086505A">
            <w:pPr>
              <w:jc w:val="right"/>
              <w:rPr>
                <w:color w:val="000000"/>
                <w:szCs w:val="20"/>
                <w:lang w:eastAsia="tr-TR"/>
              </w:rPr>
            </w:pPr>
            <w:r w:rsidRPr="00872D7E">
              <w:rPr>
                <w:color w:val="000000"/>
                <w:szCs w:val="20"/>
                <w:lang w:eastAsia="tr-TR"/>
              </w:rPr>
              <w:t>1.430</w:t>
            </w:r>
          </w:p>
        </w:tc>
        <w:tc>
          <w:tcPr>
            <w:tcW w:w="715" w:type="pct"/>
            <w:tcBorders>
              <w:bottom w:val="single" w:sz="4" w:space="0" w:color="auto"/>
            </w:tcBorders>
            <w:shd w:val="clear" w:color="auto" w:fill="auto"/>
            <w:noWrap/>
            <w:vAlign w:val="bottom"/>
            <w:hideMark/>
          </w:tcPr>
          <w:p w14:paraId="2B1458B7" w14:textId="14AB31BA" w:rsidR="00407428" w:rsidRPr="00872D7E" w:rsidRDefault="00407428" w:rsidP="0086505A">
            <w:pPr>
              <w:jc w:val="right"/>
              <w:rPr>
                <w:color w:val="000000"/>
                <w:szCs w:val="20"/>
                <w:lang w:eastAsia="tr-TR"/>
              </w:rPr>
            </w:pPr>
            <w:r w:rsidRPr="00872D7E">
              <w:rPr>
                <w:color w:val="000000"/>
                <w:szCs w:val="20"/>
                <w:lang w:eastAsia="tr-TR"/>
              </w:rPr>
              <w:t>-</w:t>
            </w:r>
          </w:p>
        </w:tc>
        <w:tc>
          <w:tcPr>
            <w:tcW w:w="714" w:type="pct"/>
            <w:tcBorders>
              <w:bottom w:val="single" w:sz="4" w:space="0" w:color="auto"/>
            </w:tcBorders>
            <w:shd w:val="clear" w:color="auto" w:fill="auto"/>
            <w:noWrap/>
            <w:vAlign w:val="bottom"/>
            <w:hideMark/>
          </w:tcPr>
          <w:p w14:paraId="469C1EA0" w14:textId="77777777" w:rsidR="00407428" w:rsidRPr="00872D7E" w:rsidRDefault="00407428" w:rsidP="0086505A">
            <w:pPr>
              <w:jc w:val="right"/>
              <w:rPr>
                <w:color w:val="000000"/>
                <w:szCs w:val="20"/>
                <w:lang w:eastAsia="tr-TR"/>
              </w:rPr>
            </w:pPr>
            <w:r w:rsidRPr="00872D7E">
              <w:rPr>
                <w:color w:val="000000"/>
                <w:szCs w:val="20"/>
                <w:lang w:eastAsia="tr-TR"/>
              </w:rPr>
              <w:t>137</w:t>
            </w:r>
          </w:p>
        </w:tc>
        <w:tc>
          <w:tcPr>
            <w:tcW w:w="715" w:type="pct"/>
            <w:tcBorders>
              <w:bottom w:val="single" w:sz="4" w:space="0" w:color="auto"/>
            </w:tcBorders>
            <w:shd w:val="clear" w:color="auto" w:fill="auto"/>
            <w:noWrap/>
            <w:vAlign w:val="bottom"/>
            <w:hideMark/>
          </w:tcPr>
          <w:p w14:paraId="6E4FB82A" w14:textId="77777777" w:rsidR="00407428" w:rsidRPr="00872D7E" w:rsidRDefault="00407428" w:rsidP="0086505A">
            <w:pPr>
              <w:jc w:val="right"/>
              <w:rPr>
                <w:color w:val="000000"/>
                <w:szCs w:val="20"/>
                <w:lang w:eastAsia="tr-TR"/>
              </w:rPr>
            </w:pPr>
            <w:r w:rsidRPr="00872D7E">
              <w:rPr>
                <w:color w:val="000000"/>
                <w:szCs w:val="20"/>
                <w:lang w:eastAsia="tr-TR"/>
              </w:rPr>
              <w:t>180</w:t>
            </w:r>
          </w:p>
        </w:tc>
        <w:tc>
          <w:tcPr>
            <w:tcW w:w="714" w:type="pct"/>
            <w:tcBorders>
              <w:bottom w:val="single" w:sz="4" w:space="0" w:color="auto"/>
            </w:tcBorders>
            <w:shd w:val="clear" w:color="auto" w:fill="auto"/>
            <w:noWrap/>
            <w:vAlign w:val="bottom"/>
            <w:hideMark/>
          </w:tcPr>
          <w:p w14:paraId="03590D83" w14:textId="2D11A891" w:rsidR="00407428" w:rsidRPr="00872D7E" w:rsidRDefault="00407428" w:rsidP="0086505A">
            <w:pPr>
              <w:jc w:val="right"/>
              <w:rPr>
                <w:color w:val="000000"/>
                <w:szCs w:val="20"/>
                <w:lang w:eastAsia="tr-TR"/>
              </w:rPr>
            </w:pPr>
            <w:r w:rsidRPr="00872D7E">
              <w:rPr>
                <w:color w:val="000000"/>
                <w:szCs w:val="20"/>
                <w:lang w:eastAsia="tr-TR"/>
              </w:rPr>
              <w:t>-</w:t>
            </w:r>
          </w:p>
        </w:tc>
        <w:tc>
          <w:tcPr>
            <w:tcW w:w="715" w:type="pct"/>
            <w:tcBorders>
              <w:bottom w:val="single" w:sz="4" w:space="0" w:color="auto"/>
            </w:tcBorders>
            <w:shd w:val="clear" w:color="auto" w:fill="auto"/>
            <w:noWrap/>
            <w:vAlign w:val="bottom"/>
            <w:hideMark/>
          </w:tcPr>
          <w:p w14:paraId="0A67FD96" w14:textId="2EE319F8" w:rsidR="00407428" w:rsidRPr="00872D7E" w:rsidRDefault="00407428" w:rsidP="0086505A">
            <w:pPr>
              <w:jc w:val="right"/>
              <w:rPr>
                <w:color w:val="000000"/>
                <w:szCs w:val="20"/>
                <w:lang w:eastAsia="tr-TR"/>
              </w:rPr>
            </w:pPr>
            <w:r w:rsidRPr="00872D7E">
              <w:rPr>
                <w:color w:val="000000"/>
                <w:szCs w:val="20"/>
                <w:lang w:eastAsia="tr-TR"/>
              </w:rPr>
              <w:t>-</w:t>
            </w:r>
          </w:p>
        </w:tc>
      </w:tr>
    </w:tbl>
    <w:p w14:paraId="07632F2A" w14:textId="544575B9" w:rsidR="00407428" w:rsidRPr="00872D7E" w:rsidRDefault="00407428" w:rsidP="00381390"/>
    <w:p w14:paraId="446B16C9" w14:textId="3A42CDCC" w:rsidR="00407428" w:rsidRPr="00872D7E" w:rsidRDefault="00407428" w:rsidP="00DD0B30">
      <w:pPr>
        <w:widowControl w:val="0"/>
        <w:jc w:val="both"/>
        <w:rPr>
          <w:sz w:val="16"/>
          <w:szCs w:val="16"/>
        </w:rPr>
      </w:pPr>
      <w:r w:rsidRPr="00872D7E">
        <w:rPr>
          <w:sz w:val="16"/>
          <w:szCs w:val="16"/>
          <w:vertAlign w:val="superscript"/>
        </w:rPr>
        <w:t>(*)</w:t>
      </w:r>
      <w:r w:rsidR="00DD0B30" w:rsidRPr="00872D7E">
        <w:rPr>
          <w:sz w:val="16"/>
          <w:szCs w:val="16"/>
        </w:rPr>
        <w:tab/>
      </w:r>
      <w:r w:rsidRPr="00872D7E">
        <w:rPr>
          <w:sz w:val="16"/>
          <w:szCs w:val="16"/>
        </w:rPr>
        <w:t>Borsa’da işlem görmemesi nedeniyle gerçeğe uygun değeri bulunmamaktadır.</w:t>
      </w:r>
    </w:p>
    <w:p w14:paraId="07C21F97" w14:textId="6F447420" w:rsidR="00407428" w:rsidRPr="00872D7E" w:rsidRDefault="00DD0B30" w:rsidP="00DD0B30">
      <w:pPr>
        <w:widowControl w:val="0"/>
        <w:jc w:val="both"/>
        <w:rPr>
          <w:sz w:val="16"/>
          <w:szCs w:val="16"/>
        </w:rPr>
      </w:pPr>
      <w:r w:rsidRPr="00872D7E">
        <w:rPr>
          <w:sz w:val="16"/>
          <w:szCs w:val="16"/>
          <w:vertAlign w:val="superscript"/>
        </w:rPr>
        <w:t>(**)</w:t>
      </w:r>
      <w:r w:rsidRPr="00872D7E">
        <w:rPr>
          <w:sz w:val="16"/>
          <w:szCs w:val="16"/>
        </w:rPr>
        <w:tab/>
      </w:r>
      <w:r w:rsidR="00407428" w:rsidRPr="00872D7E">
        <w:rPr>
          <w:sz w:val="16"/>
          <w:szCs w:val="16"/>
        </w:rPr>
        <w:t>Sabit Kıymet toplamı maddi ve maddi olmayan duran varlıklar toplamını ifade etmektedir</w:t>
      </w:r>
      <w:r w:rsidR="0083042A" w:rsidRPr="00872D7E">
        <w:rPr>
          <w:sz w:val="16"/>
          <w:szCs w:val="16"/>
        </w:rPr>
        <w:t>.</w:t>
      </w:r>
    </w:p>
    <w:p w14:paraId="5BE898DD" w14:textId="053D2E2F" w:rsidR="00407428" w:rsidRPr="00872D7E" w:rsidRDefault="00407428" w:rsidP="00415DBD">
      <w:pPr>
        <w:widowControl w:val="0"/>
        <w:ind w:left="851"/>
        <w:jc w:val="both"/>
        <w:rPr>
          <w:szCs w:val="20"/>
        </w:rPr>
      </w:pPr>
    </w:p>
    <w:p w14:paraId="1843908D" w14:textId="21C5DBC5" w:rsidR="00183A10" w:rsidRPr="00872D7E" w:rsidRDefault="00554E32" w:rsidP="00CC41DB">
      <w:pPr>
        <w:pStyle w:val="ListParagraph"/>
        <w:widowControl w:val="0"/>
        <w:numPr>
          <w:ilvl w:val="1"/>
          <w:numId w:val="2"/>
        </w:numPr>
        <w:tabs>
          <w:tab w:val="clear" w:pos="1440"/>
        </w:tabs>
        <w:ind w:left="851" w:hanging="851"/>
        <w:jc w:val="both"/>
        <w:rPr>
          <w:b/>
          <w:szCs w:val="20"/>
        </w:rPr>
      </w:pPr>
      <w:r w:rsidRPr="00872D7E">
        <w:rPr>
          <w:b/>
          <w:szCs w:val="20"/>
        </w:rPr>
        <w:t>Konsolide edilen ortaklıklara i</w:t>
      </w:r>
      <w:r w:rsidR="002F1DA2" w:rsidRPr="00872D7E">
        <w:rPr>
          <w:b/>
          <w:szCs w:val="20"/>
        </w:rPr>
        <w:t>liş</w:t>
      </w:r>
      <w:r w:rsidRPr="00872D7E">
        <w:rPr>
          <w:b/>
          <w:szCs w:val="20"/>
        </w:rPr>
        <w:t>kin b</w:t>
      </w:r>
      <w:r w:rsidR="002F1DA2" w:rsidRPr="00872D7E">
        <w:rPr>
          <w:b/>
          <w:szCs w:val="20"/>
        </w:rPr>
        <w:t>ilgiler:</w:t>
      </w:r>
    </w:p>
    <w:p w14:paraId="0EDCC379" w14:textId="77777777" w:rsidR="00491B00" w:rsidRPr="00872D7E" w:rsidRDefault="00491B00" w:rsidP="00415DBD">
      <w:pPr>
        <w:widowControl w:val="0"/>
        <w:jc w:val="both"/>
        <w:rPr>
          <w:szCs w:val="20"/>
        </w:rPr>
      </w:pPr>
    </w:p>
    <w:p w14:paraId="05020873" w14:textId="71FACC4C" w:rsidR="00F72EDC" w:rsidRPr="00872D7E" w:rsidRDefault="002D38C1" w:rsidP="00CC41DB">
      <w:pPr>
        <w:widowControl w:val="0"/>
        <w:ind w:left="851"/>
        <w:jc w:val="both"/>
        <w:rPr>
          <w:szCs w:val="20"/>
        </w:rPr>
      </w:pPr>
      <w:r w:rsidRPr="00872D7E">
        <w:rPr>
          <w:bCs/>
          <w:szCs w:val="20"/>
        </w:rPr>
        <w:t>Bulunmamaktadır</w:t>
      </w:r>
      <w:r w:rsidR="00AF526A" w:rsidRPr="00872D7E">
        <w:rPr>
          <w:bCs/>
          <w:szCs w:val="20"/>
        </w:rPr>
        <w:t xml:space="preserve"> (1 Ocak 2024: Bulunmamaktadır).</w:t>
      </w:r>
    </w:p>
    <w:p w14:paraId="36377DCD" w14:textId="1C07C523" w:rsidR="00CC41DB" w:rsidRPr="00872D7E" w:rsidRDefault="00CC41DB">
      <w:pPr>
        <w:rPr>
          <w:b/>
          <w:szCs w:val="20"/>
        </w:rPr>
      </w:pPr>
      <w:r w:rsidRPr="00872D7E">
        <w:rPr>
          <w:b/>
          <w:szCs w:val="20"/>
        </w:rPr>
        <w:br w:type="page"/>
      </w:r>
    </w:p>
    <w:p w14:paraId="58796DA5" w14:textId="77777777" w:rsidR="00CC41DB" w:rsidRPr="00872D7E" w:rsidRDefault="00CC41DB" w:rsidP="00CC41DB">
      <w:pPr>
        <w:widowControl w:val="0"/>
        <w:ind w:left="720" w:hanging="720"/>
        <w:jc w:val="both"/>
        <w:rPr>
          <w:b/>
          <w:szCs w:val="20"/>
        </w:rPr>
      </w:pPr>
      <w:r w:rsidRPr="00872D7E">
        <w:rPr>
          <w:b/>
          <w:szCs w:val="20"/>
        </w:rPr>
        <w:lastRenderedPageBreak/>
        <w:t>KONSOLİDE OLMAYAN FİNANSAL TABLOLARA İLİŞKİN AÇIKLAMA VE DİPNOTLAR (Devamı)</w:t>
      </w:r>
    </w:p>
    <w:p w14:paraId="45704A74" w14:textId="77777777" w:rsidR="00CC41DB" w:rsidRPr="00872D7E" w:rsidRDefault="00CC41DB" w:rsidP="00CC41DB">
      <w:pPr>
        <w:pStyle w:val="ListParagraph"/>
        <w:widowControl w:val="0"/>
        <w:ind w:left="14" w:right="452"/>
        <w:jc w:val="both"/>
        <w:rPr>
          <w:b/>
          <w:szCs w:val="20"/>
        </w:rPr>
      </w:pPr>
    </w:p>
    <w:p w14:paraId="7FE5131D" w14:textId="77777777" w:rsidR="00CC41DB" w:rsidRPr="00872D7E" w:rsidRDefault="00CC41DB" w:rsidP="00CC41DB">
      <w:pPr>
        <w:pStyle w:val="ListParagraph"/>
        <w:widowControl w:val="0"/>
        <w:numPr>
          <w:ilvl w:val="0"/>
          <w:numId w:val="57"/>
        </w:numPr>
        <w:ind w:left="851" w:hanging="851"/>
        <w:jc w:val="both"/>
        <w:rPr>
          <w:b/>
          <w:szCs w:val="20"/>
        </w:rPr>
      </w:pPr>
      <w:r w:rsidRPr="00872D7E">
        <w:rPr>
          <w:b/>
          <w:szCs w:val="20"/>
        </w:rPr>
        <w:t>BİLANÇONUN AKTİF HESAPLARINA İLİŞKİN AÇIKLAMA VE DİPNOTLAR (Devamı)</w:t>
      </w:r>
    </w:p>
    <w:p w14:paraId="7122A0A2" w14:textId="77777777" w:rsidR="00C70F9C" w:rsidRPr="00872D7E" w:rsidRDefault="00C70F9C" w:rsidP="00415DBD">
      <w:pPr>
        <w:widowControl w:val="0"/>
        <w:ind w:left="-14" w:hanging="547"/>
        <w:rPr>
          <w:b/>
          <w:szCs w:val="20"/>
        </w:rPr>
      </w:pPr>
    </w:p>
    <w:p w14:paraId="6FD8DDA8" w14:textId="61418D47" w:rsidR="00B41104" w:rsidRPr="00872D7E" w:rsidRDefault="00B41104" w:rsidP="00DF282B">
      <w:pPr>
        <w:pStyle w:val="ListParagraph"/>
        <w:widowControl w:val="0"/>
        <w:numPr>
          <w:ilvl w:val="0"/>
          <w:numId w:val="43"/>
        </w:numPr>
        <w:tabs>
          <w:tab w:val="clear" w:pos="540"/>
        </w:tabs>
        <w:autoSpaceDE w:val="0"/>
        <w:autoSpaceDN w:val="0"/>
        <w:adjustRightInd w:val="0"/>
        <w:ind w:left="851" w:hanging="851"/>
        <w:jc w:val="both"/>
        <w:rPr>
          <w:b/>
          <w:szCs w:val="20"/>
        </w:rPr>
      </w:pPr>
      <w:r w:rsidRPr="00872D7E">
        <w:rPr>
          <w:b/>
          <w:szCs w:val="20"/>
        </w:rPr>
        <w:t>Birlikte kontrol edilen ortaklıklara (iş ortaklıklarına) ilişkin bilgiler:</w:t>
      </w:r>
    </w:p>
    <w:p w14:paraId="6DBC6CA4" w14:textId="77777777" w:rsidR="00B41104" w:rsidRPr="00872D7E" w:rsidRDefault="00B41104" w:rsidP="00415DBD">
      <w:pPr>
        <w:pStyle w:val="BodyTextIndent"/>
        <w:widowControl w:val="0"/>
        <w:ind w:left="14" w:hanging="14"/>
        <w:rPr>
          <w:szCs w:val="20"/>
        </w:rPr>
      </w:pPr>
    </w:p>
    <w:p w14:paraId="70A0BE18" w14:textId="6CA4BBDB" w:rsidR="00B41104" w:rsidRPr="00872D7E" w:rsidRDefault="002D38C1" w:rsidP="00FC2641">
      <w:pPr>
        <w:pStyle w:val="BodyTextIndent"/>
        <w:widowControl w:val="0"/>
        <w:ind w:left="851" w:firstLine="0"/>
        <w:rPr>
          <w:szCs w:val="20"/>
        </w:rPr>
      </w:pPr>
      <w:r w:rsidRPr="00872D7E">
        <w:rPr>
          <w:bCs/>
          <w:szCs w:val="20"/>
        </w:rPr>
        <w:t>B</w:t>
      </w:r>
      <w:r w:rsidR="00B41104" w:rsidRPr="00872D7E">
        <w:rPr>
          <w:szCs w:val="20"/>
        </w:rPr>
        <w:t>ulunmamaktadır</w:t>
      </w:r>
      <w:r w:rsidR="00AF526A" w:rsidRPr="00872D7E">
        <w:rPr>
          <w:szCs w:val="20"/>
        </w:rPr>
        <w:t xml:space="preserve"> </w:t>
      </w:r>
      <w:r w:rsidR="00AF526A" w:rsidRPr="00872D7E">
        <w:rPr>
          <w:bCs/>
          <w:szCs w:val="20"/>
        </w:rPr>
        <w:t>(1 Ocak 2024: Bulunmamaktadır).</w:t>
      </w:r>
    </w:p>
    <w:p w14:paraId="61A99BEC" w14:textId="77777777" w:rsidR="00B41104" w:rsidRPr="00872D7E" w:rsidRDefault="00B41104" w:rsidP="00415DBD">
      <w:pPr>
        <w:widowControl w:val="0"/>
        <w:rPr>
          <w:b/>
          <w:szCs w:val="20"/>
        </w:rPr>
      </w:pPr>
    </w:p>
    <w:p w14:paraId="42CF9AA8" w14:textId="77777777" w:rsidR="00B41104" w:rsidRPr="00872D7E" w:rsidRDefault="00B41104" w:rsidP="00DF282B">
      <w:pPr>
        <w:pStyle w:val="ListParagraph"/>
        <w:widowControl w:val="0"/>
        <w:numPr>
          <w:ilvl w:val="0"/>
          <w:numId w:val="43"/>
        </w:numPr>
        <w:tabs>
          <w:tab w:val="clear" w:pos="540"/>
        </w:tabs>
        <w:autoSpaceDE w:val="0"/>
        <w:autoSpaceDN w:val="0"/>
        <w:adjustRightInd w:val="0"/>
        <w:ind w:left="851" w:hanging="851"/>
        <w:jc w:val="both"/>
        <w:rPr>
          <w:b/>
          <w:szCs w:val="20"/>
        </w:rPr>
      </w:pPr>
      <w:bookmarkStart w:id="76" w:name="_Hlk187762405"/>
      <w:r w:rsidRPr="00872D7E">
        <w:rPr>
          <w:b/>
          <w:szCs w:val="20"/>
        </w:rPr>
        <w:t xml:space="preserve">Maddi duran varlıklara ilişkin açıklamalar: </w:t>
      </w:r>
    </w:p>
    <w:p w14:paraId="316CE46B" w14:textId="77777777" w:rsidR="00B41104" w:rsidRPr="00872D7E" w:rsidRDefault="00B41104" w:rsidP="006F61BC">
      <w:pPr>
        <w:rPr>
          <w:rFonts w:eastAsia="Arial Unicode MS"/>
        </w:rPr>
      </w:pPr>
    </w:p>
    <w:tbl>
      <w:tblPr>
        <w:tblW w:w="5000" w:type="pct"/>
        <w:tblCellMar>
          <w:left w:w="0" w:type="dxa"/>
          <w:right w:w="0" w:type="dxa"/>
        </w:tblCellMar>
        <w:tblLook w:val="0000" w:firstRow="0" w:lastRow="0" w:firstColumn="0" w:lastColumn="0" w:noHBand="0" w:noVBand="0"/>
      </w:tblPr>
      <w:tblGrid>
        <w:gridCol w:w="3268"/>
        <w:gridCol w:w="1359"/>
        <w:gridCol w:w="1107"/>
        <w:gridCol w:w="850"/>
        <w:gridCol w:w="824"/>
        <w:gridCol w:w="1005"/>
        <w:gridCol w:w="942"/>
      </w:tblGrid>
      <w:tr w:rsidR="0077553B" w:rsidRPr="00872D7E" w14:paraId="76A09DF2" w14:textId="77777777" w:rsidTr="00381390">
        <w:trPr>
          <w:cantSplit/>
          <w:trHeight w:val="24"/>
        </w:trPr>
        <w:tc>
          <w:tcPr>
            <w:tcW w:w="1749"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6B980D8" w14:textId="3F3AB2F4" w:rsidR="0077553B" w:rsidRPr="00872D7E" w:rsidRDefault="00D66C88" w:rsidP="006F61BC">
            <w:pPr>
              <w:jc w:val="center"/>
              <w:rPr>
                <w:rFonts w:eastAsia="Arial Unicode MS"/>
                <w:b/>
                <w:iCs/>
                <w:sz w:val="16"/>
                <w:szCs w:val="16"/>
              </w:rPr>
            </w:pPr>
            <w:r w:rsidRPr="00872D7E">
              <w:rPr>
                <w:rFonts w:eastAsia="Arial Unicode MS"/>
                <w:b/>
                <w:iCs/>
                <w:sz w:val="16"/>
                <w:szCs w:val="16"/>
              </w:rPr>
              <w:t>31 Aralık 2024</w:t>
            </w:r>
          </w:p>
        </w:tc>
        <w:tc>
          <w:tcPr>
            <w:tcW w:w="71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590C0EC" w14:textId="1790CD8A" w:rsidR="0077553B" w:rsidRPr="00872D7E" w:rsidRDefault="0077553B" w:rsidP="00381390">
            <w:pPr>
              <w:ind w:right="70"/>
              <w:jc w:val="right"/>
              <w:rPr>
                <w:rFonts w:eastAsia="Arial Unicode MS"/>
                <w:b/>
                <w:iCs/>
                <w:sz w:val="16"/>
                <w:szCs w:val="16"/>
              </w:rPr>
            </w:pPr>
            <w:r w:rsidRPr="00872D7E">
              <w:rPr>
                <w:b/>
                <w:iCs/>
                <w:sz w:val="16"/>
                <w:szCs w:val="16"/>
              </w:rPr>
              <w:t>Gayrimenkuller</w:t>
            </w:r>
            <w:r w:rsidR="00717147" w:rsidRPr="00872D7E">
              <w:rPr>
                <w:b/>
                <w:iCs/>
                <w:sz w:val="16"/>
                <w:szCs w:val="16"/>
              </w:rPr>
              <w:t xml:space="preserve"> </w:t>
            </w:r>
            <w:r w:rsidRPr="00872D7E">
              <w:rPr>
                <w:b/>
                <w:iCs/>
                <w:sz w:val="16"/>
                <w:szCs w:val="16"/>
                <w:vertAlign w:val="superscript"/>
              </w:rPr>
              <w:t>(*)</w:t>
            </w:r>
          </w:p>
        </w:tc>
        <w:tc>
          <w:tcPr>
            <w:tcW w:w="593" w:type="pct"/>
            <w:tcBorders>
              <w:top w:val="single" w:sz="4" w:space="0" w:color="auto"/>
              <w:bottom w:val="single" w:sz="4" w:space="0" w:color="auto"/>
            </w:tcBorders>
            <w:shd w:val="clear" w:color="auto" w:fill="auto"/>
            <w:vAlign w:val="bottom"/>
          </w:tcPr>
          <w:p w14:paraId="4D461180" w14:textId="77777777" w:rsidR="0077553B" w:rsidRPr="00872D7E" w:rsidRDefault="0077553B" w:rsidP="00381390">
            <w:pPr>
              <w:ind w:right="70"/>
              <w:jc w:val="right"/>
              <w:rPr>
                <w:rFonts w:eastAsia="Arial Unicode MS"/>
                <w:b/>
                <w:iCs/>
                <w:sz w:val="16"/>
                <w:szCs w:val="16"/>
              </w:rPr>
            </w:pPr>
            <w:r w:rsidRPr="00872D7E">
              <w:rPr>
                <w:b/>
                <w:iCs/>
                <w:sz w:val="16"/>
                <w:szCs w:val="16"/>
              </w:rPr>
              <w:t>Finansal kiralama ile edinilen MDV</w:t>
            </w:r>
          </w:p>
        </w:tc>
        <w:tc>
          <w:tcPr>
            <w:tcW w:w="45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41A2768" w14:textId="77777777" w:rsidR="0077553B" w:rsidRPr="00872D7E" w:rsidRDefault="0077553B" w:rsidP="00381390">
            <w:pPr>
              <w:ind w:right="70"/>
              <w:jc w:val="right"/>
              <w:rPr>
                <w:rFonts w:eastAsia="Arial Unicode MS"/>
                <w:b/>
                <w:iCs/>
                <w:sz w:val="16"/>
                <w:szCs w:val="16"/>
              </w:rPr>
            </w:pPr>
            <w:r w:rsidRPr="00872D7E">
              <w:rPr>
                <w:rFonts w:eastAsia="Arial Unicode MS"/>
                <w:b/>
                <w:iCs/>
                <w:sz w:val="16"/>
                <w:szCs w:val="16"/>
              </w:rPr>
              <w:t>Araçlar</w:t>
            </w:r>
          </w:p>
        </w:tc>
        <w:tc>
          <w:tcPr>
            <w:tcW w:w="442" w:type="pct"/>
            <w:tcBorders>
              <w:top w:val="single" w:sz="4" w:space="0" w:color="auto"/>
              <w:bottom w:val="single" w:sz="4" w:space="0" w:color="auto"/>
            </w:tcBorders>
            <w:shd w:val="clear" w:color="auto" w:fill="auto"/>
            <w:vAlign w:val="bottom"/>
          </w:tcPr>
          <w:p w14:paraId="4A667455" w14:textId="77777777" w:rsidR="0077553B" w:rsidRPr="00872D7E" w:rsidRDefault="0077553B" w:rsidP="00381390">
            <w:pPr>
              <w:ind w:right="70"/>
              <w:jc w:val="right"/>
              <w:rPr>
                <w:b/>
                <w:iCs/>
                <w:sz w:val="16"/>
                <w:szCs w:val="16"/>
              </w:rPr>
            </w:pPr>
            <w:r w:rsidRPr="00872D7E">
              <w:rPr>
                <w:b/>
                <w:iCs/>
                <w:sz w:val="16"/>
                <w:szCs w:val="16"/>
              </w:rPr>
              <w:t xml:space="preserve">Diğer </w:t>
            </w:r>
          </w:p>
          <w:p w14:paraId="5789B985" w14:textId="77777777" w:rsidR="0077553B" w:rsidRPr="00872D7E" w:rsidRDefault="0077553B" w:rsidP="00381390">
            <w:pPr>
              <w:ind w:right="70"/>
              <w:jc w:val="right"/>
              <w:rPr>
                <w:b/>
                <w:iCs/>
                <w:sz w:val="16"/>
                <w:szCs w:val="16"/>
              </w:rPr>
            </w:pPr>
            <w:r w:rsidRPr="00872D7E">
              <w:rPr>
                <w:b/>
                <w:iCs/>
                <w:sz w:val="16"/>
                <w:szCs w:val="16"/>
              </w:rPr>
              <w:t>MDV</w:t>
            </w:r>
          </w:p>
        </w:tc>
        <w:tc>
          <w:tcPr>
            <w:tcW w:w="539" w:type="pct"/>
            <w:tcBorders>
              <w:top w:val="single" w:sz="4" w:space="0" w:color="auto"/>
              <w:bottom w:val="single" w:sz="4" w:space="0" w:color="auto"/>
            </w:tcBorders>
            <w:shd w:val="clear" w:color="auto" w:fill="auto"/>
            <w:vAlign w:val="bottom"/>
          </w:tcPr>
          <w:p w14:paraId="599EF895" w14:textId="77777777" w:rsidR="0077553B" w:rsidRPr="00872D7E" w:rsidRDefault="0077553B" w:rsidP="00381390">
            <w:pPr>
              <w:ind w:right="70"/>
              <w:jc w:val="right"/>
              <w:rPr>
                <w:b/>
                <w:iCs/>
                <w:sz w:val="16"/>
                <w:szCs w:val="16"/>
              </w:rPr>
            </w:pPr>
            <w:r w:rsidRPr="00872D7E">
              <w:rPr>
                <w:b/>
                <w:iCs/>
                <w:sz w:val="16"/>
                <w:szCs w:val="16"/>
              </w:rPr>
              <w:t>Elden çıkarılacak MDV</w:t>
            </w:r>
          </w:p>
        </w:tc>
        <w:tc>
          <w:tcPr>
            <w:tcW w:w="505"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2B36118" w14:textId="77777777" w:rsidR="0077553B" w:rsidRPr="00872D7E" w:rsidRDefault="0077553B" w:rsidP="00381390">
            <w:pPr>
              <w:ind w:right="70"/>
              <w:jc w:val="right"/>
              <w:rPr>
                <w:rFonts w:eastAsia="Arial Unicode MS"/>
                <w:b/>
                <w:iCs/>
                <w:sz w:val="16"/>
                <w:szCs w:val="16"/>
              </w:rPr>
            </w:pPr>
            <w:r w:rsidRPr="00872D7E">
              <w:rPr>
                <w:b/>
                <w:iCs/>
                <w:sz w:val="16"/>
                <w:szCs w:val="16"/>
              </w:rPr>
              <w:t>Toplam</w:t>
            </w:r>
          </w:p>
        </w:tc>
      </w:tr>
      <w:tr w:rsidR="0077553B" w:rsidRPr="00872D7E" w14:paraId="14BEA307" w14:textId="77777777" w:rsidTr="00857271">
        <w:trPr>
          <w:cantSplit/>
          <w:trHeight w:val="24"/>
        </w:trPr>
        <w:tc>
          <w:tcPr>
            <w:tcW w:w="1749" w:type="pct"/>
            <w:tcBorders>
              <w:top w:val="single" w:sz="4" w:space="0" w:color="auto"/>
            </w:tcBorders>
            <w:shd w:val="clear" w:color="auto" w:fill="auto"/>
            <w:noWrap/>
            <w:tcMar>
              <w:top w:w="15" w:type="dxa"/>
              <w:left w:w="15" w:type="dxa"/>
              <w:bottom w:w="0" w:type="dxa"/>
              <w:right w:w="15" w:type="dxa"/>
            </w:tcMar>
            <w:vAlign w:val="center"/>
          </w:tcPr>
          <w:p w14:paraId="0AD85104" w14:textId="77777777" w:rsidR="0077553B" w:rsidRPr="00872D7E" w:rsidRDefault="0077553B" w:rsidP="006F61BC">
            <w:pPr>
              <w:jc w:val="both"/>
              <w:rPr>
                <w:b/>
                <w:iCs/>
                <w:sz w:val="16"/>
                <w:szCs w:val="16"/>
              </w:rPr>
            </w:pPr>
            <w:r w:rsidRPr="00872D7E">
              <w:rPr>
                <w:b/>
                <w:iCs/>
                <w:sz w:val="16"/>
                <w:szCs w:val="16"/>
              </w:rPr>
              <w:t>Maliyet</w:t>
            </w:r>
          </w:p>
        </w:tc>
        <w:tc>
          <w:tcPr>
            <w:tcW w:w="716" w:type="pct"/>
            <w:tcBorders>
              <w:top w:val="single" w:sz="4" w:space="0" w:color="auto"/>
            </w:tcBorders>
            <w:shd w:val="clear" w:color="auto" w:fill="auto"/>
            <w:noWrap/>
            <w:tcMar>
              <w:top w:w="15" w:type="dxa"/>
              <w:left w:w="15" w:type="dxa"/>
              <w:bottom w:w="0" w:type="dxa"/>
              <w:right w:w="15" w:type="dxa"/>
            </w:tcMar>
            <w:vAlign w:val="bottom"/>
          </w:tcPr>
          <w:p w14:paraId="27A8C2EC" w14:textId="77777777" w:rsidR="0077553B" w:rsidRPr="00872D7E" w:rsidRDefault="0077553B" w:rsidP="006F61BC">
            <w:pPr>
              <w:ind w:right="70"/>
              <w:jc w:val="right"/>
              <w:rPr>
                <w:rFonts w:eastAsia="Arial Unicode MS"/>
                <w:iCs/>
                <w:sz w:val="16"/>
                <w:szCs w:val="16"/>
              </w:rPr>
            </w:pPr>
          </w:p>
        </w:tc>
        <w:tc>
          <w:tcPr>
            <w:tcW w:w="593" w:type="pct"/>
            <w:tcBorders>
              <w:top w:val="single" w:sz="4" w:space="0" w:color="auto"/>
            </w:tcBorders>
            <w:shd w:val="clear" w:color="auto" w:fill="auto"/>
            <w:vAlign w:val="bottom"/>
          </w:tcPr>
          <w:p w14:paraId="104AA19E" w14:textId="77777777" w:rsidR="0077553B" w:rsidRPr="00872D7E" w:rsidRDefault="0077553B" w:rsidP="006F61BC">
            <w:pPr>
              <w:ind w:right="70"/>
              <w:jc w:val="right"/>
              <w:rPr>
                <w:rFonts w:eastAsia="Arial Unicode MS"/>
                <w:iCs/>
                <w:sz w:val="16"/>
                <w:szCs w:val="16"/>
              </w:rPr>
            </w:pPr>
          </w:p>
        </w:tc>
        <w:tc>
          <w:tcPr>
            <w:tcW w:w="456" w:type="pct"/>
            <w:tcBorders>
              <w:top w:val="single" w:sz="4" w:space="0" w:color="auto"/>
            </w:tcBorders>
            <w:shd w:val="clear" w:color="auto" w:fill="auto"/>
            <w:noWrap/>
            <w:tcMar>
              <w:top w:w="15" w:type="dxa"/>
              <w:left w:w="15" w:type="dxa"/>
              <w:bottom w:w="0" w:type="dxa"/>
              <w:right w:w="15" w:type="dxa"/>
            </w:tcMar>
            <w:vAlign w:val="bottom"/>
          </w:tcPr>
          <w:p w14:paraId="1A26E1A0" w14:textId="77777777" w:rsidR="0077553B" w:rsidRPr="00872D7E" w:rsidRDefault="0077553B" w:rsidP="006F61BC">
            <w:pPr>
              <w:ind w:right="70"/>
              <w:jc w:val="right"/>
              <w:rPr>
                <w:rFonts w:eastAsia="Arial Unicode MS"/>
                <w:iCs/>
                <w:sz w:val="16"/>
                <w:szCs w:val="16"/>
              </w:rPr>
            </w:pPr>
          </w:p>
        </w:tc>
        <w:tc>
          <w:tcPr>
            <w:tcW w:w="442" w:type="pct"/>
            <w:tcBorders>
              <w:top w:val="single" w:sz="4" w:space="0" w:color="auto"/>
            </w:tcBorders>
            <w:shd w:val="clear" w:color="auto" w:fill="auto"/>
          </w:tcPr>
          <w:p w14:paraId="60AA6594" w14:textId="77777777" w:rsidR="0077553B" w:rsidRPr="00872D7E" w:rsidRDefault="0077553B" w:rsidP="006F61BC">
            <w:pPr>
              <w:ind w:right="70"/>
              <w:jc w:val="right"/>
              <w:rPr>
                <w:rFonts w:eastAsia="Arial Unicode MS"/>
                <w:iCs/>
                <w:sz w:val="16"/>
                <w:szCs w:val="16"/>
              </w:rPr>
            </w:pPr>
          </w:p>
        </w:tc>
        <w:tc>
          <w:tcPr>
            <w:tcW w:w="539" w:type="pct"/>
            <w:tcBorders>
              <w:top w:val="single" w:sz="4" w:space="0" w:color="auto"/>
            </w:tcBorders>
            <w:shd w:val="clear" w:color="auto" w:fill="auto"/>
          </w:tcPr>
          <w:p w14:paraId="0407D049" w14:textId="77777777" w:rsidR="0077553B" w:rsidRPr="00872D7E" w:rsidRDefault="0077553B" w:rsidP="006F61BC">
            <w:pPr>
              <w:ind w:right="70"/>
              <w:jc w:val="right"/>
              <w:rPr>
                <w:rFonts w:eastAsia="Arial Unicode MS"/>
                <w:iCs/>
                <w:sz w:val="16"/>
                <w:szCs w:val="16"/>
              </w:rPr>
            </w:pPr>
          </w:p>
        </w:tc>
        <w:tc>
          <w:tcPr>
            <w:tcW w:w="505" w:type="pct"/>
            <w:tcBorders>
              <w:top w:val="single" w:sz="4" w:space="0" w:color="auto"/>
            </w:tcBorders>
            <w:shd w:val="clear" w:color="auto" w:fill="auto"/>
            <w:noWrap/>
            <w:tcMar>
              <w:top w:w="15" w:type="dxa"/>
              <w:left w:w="15" w:type="dxa"/>
              <w:bottom w:w="0" w:type="dxa"/>
              <w:right w:w="15" w:type="dxa"/>
            </w:tcMar>
            <w:vAlign w:val="bottom"/>
          </w:tcPr>
          <w:p w14:paraId="3ACE3B1D" w14:textId="77777777" w:rsidR="0077553B" w:rsidRPr="00872D7E" w:rsidRDefault="0077553B" w:rsidP="006F61BC">
            <w:pPr>
              <w:ind w:right="70"/>
              <w:jc w:val="right"/>
              <w:rPr>
                <w:rFonts w:eastAsia="Arial Unicode MS"/>
                <w:iCs/>
                <w:sz w:val="16"/>
                <w:szCs w:val="16"/>
              </w:rPr>
            </w:pPr>
          </w:p>
        </w:tc>
      </w:tr>
      <w:tr w:rsidR="00857271" w:rsidRPr="00872D7E" w14:paraId="7371E4A9"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7080EEB3" w14:textId="129BC589" w:rsidR="00857271" w:rsidRPr="00872D7E" w:rsidRDefault="00857271" w:rsidP="006F61BC">
            <w:pPr>
              <w:ind w:left="240"/>
              <w:jc w:val="both"/>
              <w:rPr>
                <w:b/>
                <w:iCs/>
                <w:sz w:val="16"/>
                <w:szCs w:val="16"/>
              </w:rPr>
            </w:pPr>
            <w:r w:rsidRPr="00872D7E">
              <w:rPr>
                <w:b/>
                <w:iCs/>
                <w:sz w:val="16"/>
                <w:szCs w:val="16"/>
              </w:rPr>
              <w:t>Dönem başı bakiyesi: 1 Ocak 2024</w:t>
            </w:r>
          </w:p>
        </w:tc>
        <w:tc>
          <w:tcPr>
            <w:tcW w:w="716" w:type="pct"/>
            <w:shd w:val="clear" w:color="auto" w:fill="auto"/>
            <w:noWrap/>
            <w:tcMar>
              <w:top w:w="15" w:type="dxa"/>
              <w:left w:w="15" w:type="dxa"/>
              <w:bottom w:w="0" w:type="dxa"/>
              <w:right w:w="15" w:type="dxa"/>
            </w:tcMar>
            <w:vAlign w:val="bottom"/>
          </w:tcPr>
          <w:p w14:paraId="1D523AD9" w14:textId="7AD08CA2" w:rsidR="00857271" w:rsidRPr="00872D7E" w:rsidRDefault="00857271" w:rsidP="006F61BC">
            <w:pPr>
              <w:ind w:right="108"/>
              <w:jc w:val="right"/>
              <w:rPr>
                <w:b/>
                <w:sz w:val="16"/>
                <w:szCs w:val="16"/>
              </w:rPr>
            </w:pPr>
            <w:r w:rsidRPr="00872D7E">
              <w:rPr>
                <w:b/>
                <w:sz w:val="16"/>
                <w:szCs w:val="16"/>
              </w:rPr>
              <w:t>5.752</w:t>
            </w:r>
          </w:p>
        </w:tc>
        <w:tc>
          <w:tcPr>
            <w:tcW w:w="593" w:type="pct"/>
            <w:shd w:val="clear" w:color="auto" w:fill="auto"/>
            <w:vAlign w:val="bottom"/>
          </w:tcPr>
          <w:p w14:paraId="76A84702" w14:textId="2DB01172" w:rsidR="00857271" w:rsidRPr="00872D7E" w:rsidRDefault="00857271" w:rsidP="006F61BC">
            <w:pPr>
              <w:ind w:right="108"/>
              <w:jc w:val="right"/>
              <w:rPr>
                <w:b/>
                <w:sz w:val="16"/>
                <w:szCs w:val="16"/>
              </w:rPr>
            </w:pPr>
            <w:r w:rsidRPr="00872D7E">
              <w:rPr>
                <w:b/>
                <w:sz w:val="16"/>
                <w:szCs w:val="16"/>
              </w:rPr>
              <w:t>-</w:t>
            </w:r>
          </w:p>
        </w:tc>
        <w:tc>
          <w:tcPr>
            <w:tcW w:w="456" w:type="pct"/>
            <w:shd w:val="clear" w:color="auto" w:fill="auto"/>
            <w:noWrap/>
            <w:tcMar>
              <w:top w:w="15" w:type="dxa"/>
              <w:left w:w="15" w:type="dxa"/>
              <w:bottom w:w="0" w:type="dxa"/>
              <w:right w:w="15" w:type="dxa"/>
            </w:tcMar>
            <w:vAlign w:val="bottom"/>
          </w:tcPr>
          <w:p w14:paraId="30B91010" w14:textId="569A2026" w:rsidR="00857271" w:rsidRPr="00872D7E" w:rsidRDefault="00857271" w:rsidP="006F61BC">
            <w:pPr>
              <w:ind w:right="108"/>
              <w:jc w:val="right"/>
              <w:rPr>
                <w:b/>
                <w:sz w:val="16"/>
                <w:szCs w:val="16"/>
              </w:rPr>
            </w:pPr>
            <w:r w:rsidRPr="00872D7E">
              <w:rPr>
                <w:b/>
                <w:sz w:val="16"/>
                <w:szCs w:val="16"/>
              </w:rPr>
              <w:t>-</w:t>
            </w:r>
          </w:p>
        </w:tc>
        <w:tc>
          <w:tcPr>
            <w:tcW w:w="442" w:type="pct"/>
            <w:shd w:val="clear" w:color="auto" w:fill="auto"/>
            <w:vAlign w:val="bottom"/>
          </w:tcPr>
          <w:p w14:paraId="46AA04DD" w14:textId="71D0348F" w:rsidR="00857271" w:rsidRPr="00872D7E" w:rsidRDefault="00857271" w:rsidP="006F61BC">
            <w:pPr>
              <w:ind w:right="108"/>
              <w:jc w:val="right"/>
              <w:rPr>
                <w:b/>
                <w:sz w:val="16"/>
                <w:szCs w:val="16"/>
              </w:rPr>
            </w:pPr>
            <w:r w:rsidRPr="00872D7E">
              <w:rPr>
                <w:b/>
                <w:sz w:val="16"/>
                <w:szCs w:val="16"/>
              </w:rPr>
              <w:t>86.182</w:t>
            </w:r>
          </w:p>
        </w:tc>
        <w:tc>
          <w:tcPr>
            <w:tcW w:w="539" w:type="pct"/>
            <w:shd w:val="clear" w:color="auto" w:fill="auto"/>
            <w:vAlign w:val="bottom"/>
          </w:tcPr>
          <w:p w14:paraId="03895DF7" w14:textId="5B7D3B39" w:rsidR="00857271" w:rsidRPr="00872D7E" w:rsidRDefault="00857271" w:rsidP="006F61BC">
            <w:pPr>
              <w:ind w:right="108"/>
              <w:jc w:val="right"/>
              <w:rPr>
                <w:b/>
                <w:sz w:val="16"/>
                <w:szCs w:val="16"/>
              </w:rPr>
            </w:pPr>
            <w:r w:rsidRPr="00872D7E">
              <w:rPr>
                <w:b/>
                <w:sz w:val="16"/>
                <w:szCs w:val="16"/>
              </w:rPr>
              <w:t>-</w:t>
            </w:r>
          </w:p>
        </w:tc>
        <w:tc>
          <w:tcPr>
            <w:tcW w:w="505" w:type="pct"/>
            <w:shd w:val="clear" w:color="auto" w:fill="auto"/>
            <w:noWrap/>
            <w:tcMar>
              <w:top w:w="15" w:type="dxa"/>
              <w:left w:w="15" w:type="dxa"/>
              <w:bottom w:w="0" w:type="dxa"/>
              <w:right w:w="15" w:type="dxa"/>
            </w:tcMar>
            <w:vAlign w:val="bottom"/>
          </w:tcPr>
          <w:p w14:paraId="47E691BD" w14:textId="6E55DB7C" w:rsidR="00857271" w:rsidRPr="00872D7E" w:rsidRDefault="00857271" w:rsidP="006F61BC">
            <w:pPr>
              <w:ind w:right="108"/>
              <w:jc w:val="right"/>
              <w:rPr>
                <w:b/>
                <w:sz w:val="16"/>
                <w:szCs w:val="16"/>
              </w:rPr>
            </w:pPr>
            <w:r w:rsidRPr="00872D7E">
              <w:rPr>
                <w:b/>
                <w:sz w:val="16"/>
                <w:szCs w:val="16"/>
              </w:rPr>
              <w:t>91.934</w:t>
            </w:r>
          </w:p>
        </w:tc>
      </w:tr>
      <w:tr w:rsidR="00857271" w:rsidRPr="00872D7E" w14:paraId="2DD6283B"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735E21E6" w14:textId="77777777" w:rsidR="00857271" w:rsidRPr="00872D7E" w:rsidRDefault="00857271" w:rsidP="006F61BC">
            <w:pPr>
              <w:ind w:left="240"/>
              <w:jc w:val="both"/>
              <w:rPr>
                <w:rFonts w:eastAsia="Arial Unicode MS"/>
                <w:iCs/>
                <w:sz w:val="16"/>
                <w:szCs w:val="16"/>
              </w:rPr>
            </w:pPr>
            <w:r w:rsidRPr="00872D7E">
              <w:rPr>
                <w:iCs/>
                <w:sz w:val="16"/>
                <w:szCs w:val="16"/>
              </w:rPr>
              <w:t>İktisap edilenler</w:t>
            </w:r>
          </w:p>
        </w:tc>
        <w:tc>
          <w:tcPr>
            <w:tcW w:w="716" w:type="pct"/>
            <w:shd w:val="clear" w:color="auto" w:fill="auto"/>
            <w:noWrap/>
            <w:tcMar>
              <w:top w:w="15" w:type="dxa"/>
              <w:left w:w="15" w:type="dxa"/>
              <w:bottom w:w="0" w:type="dxa"/>
              <w:right w:w="15" w:type="dxa"/>
            </w:tcMar>
            <w:vAlign w:val="bottom"/>
          </w:tcPr>
          <w:p w14:paraId="7D477427" w14:textId="6ED225D2" w:rsidR="00857271" w:rsidRPr="00872D7E" w:rsidRDefault="00857271" w:rsidP="006F61BC">
            <w:pPr>
              <w:ind w:right="108"/>
              <w:jc w:val="right"/>
              <w:rPr>
                <w:sz w:val="16"/>
                <w:szCs w:val="16"/>
              </w:rPr>
            </w:pPr>
            <w:r w:rsidRPr="00872D7E">
              <w:rPr>
                <w:sz w:val="16"/>
                <w:szCs w:val="16"/>
              </w:rPr>
              <w:t>122.579</w:t>
            </w:r>
          </w:p>
        </w:tc>
        <w:tc>
          <w:tcPr>
            <w:tcW w:w="593" w:type="pct"/>
            <w:shd w:val="clear" w:color="auto" w:fill="auto"/>
            <w:vAlign w:val="bottom"/>
          </w:tcPr>
          <w:p w14:paraId="39400942" w14:textId="0F01DA36" w:rsidR="00857271" w:rsidRPr="00872D7E" w:rsidRDefault="00857271" w:rsidP="006F61BC">
            <w:pPr>
              <w:ind w:right="108"/>
              <w:jc w:val="right"/>
              <w:rPr>
                <w:sz w:val="16"/>
                <w:szCs w:val="16"/>
              </w:rPr>
            </w:pPr>
            <w:r w:rsidRPr="00872D7E">
              <w:rPr>
                <w:sz w:val="16"/>
                <w:szCs w:val="16"/>
              </w:rPr>
              <w:t>-</w:t>
            </w:r>
          </w:p>
        </w:tc>
        <w:tc>
          <w:tcPr>
            <w:tcW w:w="456" w:type="pct"/>
            <w:shd w:val="clear" w:color="auto" w:fill="auto"/>
            <w:noWrap/>
            <w:tcMar>
              <w:top w:w="15" w:type="dxa"/>
              <w:left w:w="15" w:type="dxa"/>
              <w:bottom w:w="0" w:type="dxa"/>
              <w:right w:w="15" w:type="dxa"/>
            </w:tcMar>
            <w:vAlign w:val="bottom"/>
          </w:tcPr>
          <w:p w14:paraId="68B00403" w14:textId="551CF2E7" w:rsidR="00857271" w:rsidRPr="00872D7E" w:rsidRDefault="00857271" w:rsidP="006F61BC">
            <w:pPr>
              <w:ind w:right="108"/>
              <w:jc w:val="right"/>
              <w:rPr>
                <w:sz w:val="16"/>
                <w:szCs w:val="16"/>
              </w:rPr>
            </w:pPr>
            <w:r w:rsidRPr="00872D7E">
              <w:rPr>
                <w:sz w:val="16"/>
                <w:szCs w:val="16"/>
              </w:rPr>
              <w:t>-</w:t>
            </w:r>
          </w:p>
        </w:tc>
        <w:tc>
          <w:tcPr>
            <w:tcW w:w="442" w:type="pct"/>
            <w:shd w:val="clear" w:color="auto" w:fill="auto"/>
            <w:vAlign w:val="bottom"/>
          </w:tcPr>
          <w:p w14:paraId="4396DB87" w14:textId="529F64FA" w:rsidR="00857271" w:rsidRPr="00872D7E" w:rsidRDefault="00857271" w:rsidP="006F61BC">
            <w:pPr>
              <w:ind w:right="108"/>
              <w:jc w:val="right"/>
              <w:rPr>
                <w:sz w:val="16"/>
                <w:szCs w:val="16"/>
              </w:rPr>
            </w:pPr>
            <w:r w:rsidRPr="00872D7E">
              <w:rPr>
                <w:sz w:val="16"/>
                <w:szCs w:val="16"/>
              </w:rPr>
              <w:t>353.961</w:t>
            </w:r>
          </w:p>
        </w:tc>
        <w:tc>
          <w:tcPr>
            <w:tcW w:w="539" w:type="pct"/>
            <w:shd w:val="clear" w:color="auto" w:fill="auto"/>
            <w:vAlign w:val="bottom"/>
          </w:tcPr>
          <w:p w14:paraId="0D70AE3A" w14:textId="47F1BB96" w:rsidR="00857271" w:rsidRPr="00872D7E" w:rsidRDefault="00857271" w:rsidP="006F61BC">
            <w:pPr>
              <w:ind w:right="108"/>
              <w:jc w:val="right"/>
              <w:rPr>
                <w:sz w:val="16"/>
                <w:szCs w:val="16"/>
              </w:rPr>
            </w:pPr>
            <w:r w:rsidRPr="00872D7E">
              <w:rPr>
                <w:sz w:val="16"/>
                <w:szCs w:val="16"/>
              </w:rPr>
              <w:t>-</w:t>
            </w:r>
          </w:p>
        </w:tc>
        <w:tc>
          <w:tcPr>
            <w:tcW w:w="505" w:type="pct"/>
            <w:shd w:val="clear" w:color="auto" w:fill="auto"/>
            <w:noWrap/>
            <w:tcMar>
              <w:top w:w="15" w:type="dxa"/>
              <w:left w:w="15" w:type="dxa"/>
              <w:bottom w:w="0" w:type="dxa"/>
              <w:right w:w="15" w:type="dxa"/>
            </w:tcMar>
            <w:vAlign w:val="bottom"/>
          </w:tcPr>
          <w:p w14:paraId="36D894ED" w14:textId="1FB6517F" w:rsidR="00857271" w:rsidRPr="00872D7E" w:rsidRDefault="00857271" w:rsidP="006F61BC">
            <w:pPr>
              <w:ind w:right="108"/>
              <w:jc w:val="right"/>
              <w:rPr>
                <w:sz w:val="16"/>
                <w:szCs w:val="16"/>
              </w:rPr>
            </w:pPr>
            <w:r w:rsidRPr="00872D7E">
              <w:rPr>
                <w:sz w:val="16"/>
                <w:szCs w:val="16"/>
              </w:rPr>
              <w:t>476.540</w:t>
            </w:r>
          </w:p>
        </w:tc>
      </w:tr>
      <w:tr w:rsidR="00857271" w:rsidRPr="00872D7E" w14:paraId="49440361"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0BD23B00" w14:textId="77777777" w:rsidR="00857271" w:rsidRPr="00872D7E" w:rsidRDefault="00857271" w:rsidP="006F61BC">
            <w:pPr>
              <w:ind w:left="240"/>
              <w:jc w:val="both"/>
              <w:rPr>
                <w:iCs/>
                <w:sz w:val="16"/>
                <w:szCs w:val="16"/>
              </w:rPr>
            </w:pPr>
            <w:r w:rsidRPr="00872D7E">
              <w:rPr>
                <w:iCs/>
                <w:sz w:val="16"/>
                <w:szCs w:val="16"/>
              </w:rPr>
              <w:t>Yeniden değerleme farkları</w:t>
            </w:r>
          </w:p>
        </w:tc>
        <w:tc>
          <w:tcPr>
            <w:tcW w:w="716" w:type="pct"/>
            <w:shd w:val="clear" w:color="auto" w:fill="auto"/>
            <w:noWrap/>
            <w:tcMar>
              <w:top w:w="15" w:type="dxa"/>
              <w:left w:w="15" w:type="dxa"/>
              <w:bottom w:w="0" w:type="dxa"/>
              <w:right w:w="15" w:type="dxa"/>
            </w:tcMar>
            <w:vAlign w:val="bottom"/>
          </w:tcPr>
          <w:p w14:paraId="1B2E2121" w14:textId="30612D1C" w:rsidR="00857271" w:rsidRPr="00872D7E" w:rsidRDefault="00857271" w:rsidP="006F61BC">
            <w:pPr>
              <w:ind w:right="108"/>
              <w:jc w:val="right"/>
              <w:rPr>
                <w:sz w:val="16"/>
                <w:szCs w:val="16"/>
              </w:rPr>
            </w:pPr>
            <w:r w:rsidRPr="00872D7E">
              <w:rPr>
                <w:sz w:val="16"/>
                <w:szCs w:val="16"/>
              </w:rPr>
              <w:t>-</w:t>
            </w:r>
          </w:p>
        </w:tc>
        <w:tc>
          <w:tcPr>
            <w:tcW w:w="593" w:type="pct"/>
            <w:shd w:val="clear" w:color="auto" w:fill="auto"/>
            <w:vAlign w:val="bottom"/>
          </w:tcPr>
          <w:p w14:paraId="53B9B652" w14:textId="1B0C58F3" w:rsidR="00857271" w:rsidRPr="00872D7E" w:rsidRDefault="00857271" w:rsidP="006F61BC">
            <w:pPr>
              <w:ind w:right="108"/>
              <w:jc w:val="right"/>
              <w:rPr>
                <w:sz w:val="16"/>
                <w:szCs w:val="16"/>
              </w:rPr>
            </w:pPr>
            <w:r w:rsidRPr="00872D7E">
              <w:rPr>
                <w:sz w:val="16"/>
                <w:szCs w:val="16"/>
              </w:rPr>
              <w:t>-</w:t>
            </w:r>
          </w:p>
        </w:tc>
        <w:tc>
          <w:tcPr>
            <w:tcW w:w="456" w:type="pct"/>
            <w:shd w:val="clear" w:color="auto" w:fill="auto"/>
            <w:noWrap/>
            <w:tcMar>
              <w:top w:w="15" w:type="dxa"/>
              <w:left w:w="15" w:type="dxa"/>
              <w:bottom w:w="0" w:type="dxa"/>
              <w:right w:w="15" w:type="dxa"/>
            </w:tcMar>
            <w:vAlign w:val="bottom"/>
          </w:tcPr>
          <w:p w14:paraId="16943EA2" w14:textId="43BD2A95" w:rsidR="00857271" w:rsidRPr="00872D7E" w:rsidRDefault="00857271" w:rsidP="006F61BC">
            <w:pPr>
              <w:ind w:right="108"/>
              <w:jc w:val="right"/>
              <w:rPr>
                <w:sz w:val="16"/>
                <w:szCs w:val="16"/>
              </w:rPr>
            </w:pPr>
            <w:r w:rsidRPr="00872D7E">
              <w:rPr>
                <w:sz w:val="16"/>
                <w:szCs w:val="16"/>
              </w:rPr>
              <w:t>-</w:t>
            </w:r>
          </w:p>
        </w:tc>
        <w:tc>
          <w:tcPr>
            <w:tcW w:w="442" w:type="pct"/>
            <w:shd w:val="clear" w:color="auto" w:fill="auto"/>
            <w:vAlign w:val="bottom"/>
          </w:tcPr>
          <w:p w14:paraId="50339455" w14:textId="4B177AD5" w:rsidR="00857271" w:rsidRPr="00872D7E" w:rsidRDefault="00857271" w:rsidP="006F61BC">
            <w:pPr>
              <w:ind w:right="108"/>
              <w:jc w:val="right"/>
              <w:rPr>
                <w:sz w:val="16"/>
                <w:szCs w:val="16"/>
              </w:rPr>
            </w:pPr>
            <w:r w:rsidRPr="00872D7E">
              <w:rPr>
                <w:sz w:val="16"/>
                <w:szCs w:val="16"/>
              </w:rPr>
              <w:t>-</w:t>
            </w:r>
          </w:p>
        </w:tc>
        <w:tc>
          <w:tcPr>
            <w:tcW w:w="539" w:type="pct"/>
            <w:shd w:val="clear" w:color="auto" w:fill="auto"/>
            <w:vAlign w:val="bottom"/>
          </w:tcPr>
          <w:p w14:paraId="65CE65A8" w14:textId="5ED01C03" w:rsidR="00857271" w:rsidRPr="00872D7E" w:rsidRDefault="00857271" w:rsidP="006F61BC">
            <w:pPr>
              <w:ind w:right="108"/>
              <w:jc w:val="right"/>
              <w:rPr>
                <w:sz w:val="16"/>
                <w:szCs w:val="16"/>
              </w:rPr>
            </w:pPr>
            <w:r w:rsidRPr="00872D7E">
              <w:rPr>
                <w:sz w:val="16"/>
                <w:szCs w:val="16"/>
              </w:rPr>
              <w:t>-</w:t>
            </w:r>
          </w:p>
        </w:tc>
        <w:tc>
          <w:tcPr>
            <w:tcW w:w="505" w:type="pct"/>
            <w:shd w:val="clear" w:color="auto" w:fill="auto"/>
            <w:noWrap/>
            <w:tcMar>
              <w:top w:w="15" w:type="dxa"/>
              <w:left w:w="15" w:type="dxa"/>
              <w:bottom w:w="0" w:type="dxa"/>
              <w:right w:w="15" w:type="dxa"/>
            </w:tcMar>
            <w:vAlign w:val="bottom"/>
          </w:tcPr>
          <w:p w14:paraId="3A1EC3A2" w14:textId="70CF88BC" w:rsidR="00857271" w:rsidRPr="00872D7E" w:rsidRDefault="00857271" w:rsidP="006F61BC">
            <w:pPr>
              <w:ind w:right="108"/>
              <w:jc w:val="right"/>
              <w:rPr>
                <w:sz w:val="16"/>
                <w:szCs w:val="16"/>
              </w:rPr>
            </w:pPr>
            <w:r w:rsidRPr="00872D7E">
              <w:rPr>
                <w:sz w:val="16"/>
                <w:szCs w:val="16"/>
              </w:rPr>
              <w:t>-</w:t>
            </w:r>
          </w:p>
        </w:tc>
      </w:tr>
      <w:tr w:rsidR="00857271" w:rsidRPr="00872D7E" w14:paraId="3EEBEB34"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51427ECC" w14:textId="77777777" w:rsidR="00857271" w:rsidRPr="00872D7E" w:rsidRDefault="00857271" w:rsidP="006F61BC">
            <w:pPr>
              <w:ind w:left="240"/>
              <w:jc w:val="both"/>
              <w:rPr>
                <w:iCs/>
                <w:sz w:val="16"/>
                <w:szCs w:val="16"/>
              </w:rPr>
            </w:pPr>
            <w:r w:rsidRPr="00872D7E">
              <w:rPr>
                <w:iCs/>
                <w:sz w:val="16"/>
                <w:szCs w:val="16"/>
              </w:rPr>
              <w:t>Elden Çıkarılanlar</w:t>
            </w:r>
          </w:p>
        </w:tc>
        <w:tc>
          <w:tcPr>
            <w:tcW w:w="716" w:type="pct"/>
            <w:shd w:val="clear" w:color="auto" w:fill="auto"/>
            <w:noWrap/>
            <w:tcMar>
              <w:top w:w="15" w:type="dxa"/>
              <w:left w:w="15" w:type="dxa"/>
              <w:bottom w:w="0" w:type="dxa"/>
              <w:right w:w="15" w:type="dxa"/>
            </w:tcMar>
            <w:vAlign w:val="bottom"/>
          </w:tcPr>
          <w:p w14:paraId="7F073AC9" w14:textId="64BD98D8" w:rsidR="00857271" w:rsidRPr="00872D7E" w:rsidRDefault="00857271" w:rsidP="006F61BC">
            <w:pPr>
              <w:ind w:right="108"/>
              <w:jc w:val="right"/>
              <w:rPr>
                <w:sz w:val="16"/>
                <w:szCs w:val="16"/>
              </w:rPr>
            </w:pPr>
            <w:r w:rsidRPr="00872D7E">
              <w:rPr>
                <w:sz w:val="16"/>
                <w:szCs w:val="16"/>
              </w:rPr>
              <w:t>-</w:t>
            </w:r>
          </w:p>
        </w:tc>
        <w:tc>
          <w:tcPr>
            <w:tcW w:w="593" w:type="pct"/>
            <w:shd w:val="clear" w:color="auto" w:fill="auto"/>
            <w:vAlign w:val="bottom"/>
          </w:tcPr>
          <w:p w14:paraId="536739B0" w14:textId="589D7CBF" w:rsidR="00857271" w:rsidRPr="00872D7E" w:rsidRDefault="00857271" w:rsidP="006F61BC">
            <w:pPr>
              <w:ind w:right="108"/>
              <w:jc w:val="right"/>
              <w:rPr>
                <w:sz w:val="16"/>
                <w:szCs w:val="16"/>
              </w:rPr>
            </w:pPr>
            <w:r w:rsidRPr="00872D7E">
              <w:rPr>
                <w:sz w:val="16"/>
                <w:szCs w:val="16"/>
              </w:rPr>
              <w:t>-</w:t>
            </w:r>
          </w:p>
        </w:tc>
        <w:tc>
          <w:tcPr>
            <w:tcW w:w="456" w:type="pct"/>
            <w:shd w:val="clear" w:color="auto" w:fill="auto"/>
            <w:noWrap/>
            <w:tcMar>
              <w:top w:w="15" w:type="dxa"/>
              <w:left w:w="15" w:type="dxa"/>
              <w:bottom w:w="0" w:type="dxa"/>
              <w:right w:w="15" w:type="dxa"/>
            </w:tcMar>
            <w:vAlign w:val="bottom"/>
          </w:tcPr>
          <w:p w14:paraId="3A1CFAC4" w14:textId="2CC782E8" w:rsidR="00857271" w:rsidRPr="00872D7E" w:rsidRDefault="00857271" w:rsidP="006F61BC">
            <w:pPr>
              <w:ind w:right="108"/>
              <w:jc w:val="right"/>
              <w:rPr>
                <w:sz w:val="16"/>
                <w:szCs w:val="16"/>
              </w:rPr>
            </w:pPr>
            <w:r w:rsidRPr="00872D7E">
              <w:rPr>
                <w:sz w:val="16"/>
                <w:szCs w:val="16"/>
              </w:rPr>
              <w:t>-</w:t>
            </w:r>
          </w:p>
        </w:tc>
        <w:tc>
          <w:tcPr>
            <w:tcW w:w="442" w:type="pct"/>
            <w:shd w:val="clear" w:color="auto" w:fill="auto"/>
            <w:vAlign w:val="bottom"/>
          </w:tcPr>
          <w:p w14:paraId="04CD0547" w14:textId="7CF5B7BF" w:rsidR="00857271" w:rsidRPr="00872D7E" w:rsidRDefault="00857271" w:rsidP="006F61BC">
            <w:pPr>
              <w:ind w:right="108"/>
              <w:jc w:val="right"/>
              <w:rPr>
                <w:sz w:val="16"/>
                <w:szCs w:val="16"/>
              </w:rPr>
            </w:pPr>
            <w:r w:rsidRPr="00872D7E">
              <w:rPr>
                <w:sz w:val="16"/>
                <w:szCs w:val="16"/>
              </w:rPr>
              <w:t>(1.893)</w:t>
            </w:r>
          </w:p>
        </w:tc>
        <w:tc>
          <w:tcPr>
            <w:tcW w:w="539" w:type="pct"/>
            <w:shd w:val="clear" w:color="auto" w:fill="auto"/>
            <w:vAlign w:val="bottom"/>
          </w:tcPr>
          <w:p w14:paraId="485020A0" w14:textId="799726CD" w:rsidR="00857271" w:rsidRPr="00872D7E" w:rsidRDefault="00857271" w:rsidP="006F61BC">
            <w:pPr>
              <w:ind w:right="108"/>
              <w:jc w:val="right"/>
              <w:rPr>
                <w:sz w:val="16"/>
                <w:szCs w:val="16"/>
              </w:rPr>
            </w:pPr>
            <w:r w:rsidRPr="00872D7E">
              <w:rPr>
                <w:sz w:val="16"/>
                <w:szCs w:val="16"/>
              </w:rPr>
              <w:t>-</w:t>
            </w:r>
          </w:p>
        </w:tc>
        <w:tc>
          <w:tcPr>
            <w:tcW w:w="505" w:type="pct"/>
            <w:shd w:val="clear" w:color="auto" w:fill="auto"/>
            <w:noWrap/>
            <w:tcMar>
              <w:top w:w="15" w:type="dxa"/>
              <w:left w:w="15" w:type="dxa"/>
              <w:bottom w:w="0" w:type="dxa"/>
              <w:right w:w="15" w:type="dxa"/>
            </w:tcMar>
            <w:vAlign w:val="bottom"/>
          </w:tcPr>
          <w:p w14:paraId="45007DEE" w14:textId="36B86F99" w:rsidR="00857271" w:rsidRPr="00872D7E" w:rsidRDefault="00857271" w:rsidP="006F61BC">
            <w:pPr>
              <w:ind w:right="108"/>
              <w:jc w:val="right"/>
              <w:rPr>
                <w:sz w:val="16"/>
                <w:szCs w:val="16"/>
              </w:rPr>
            </w:pPr>
            <w:r w:rsidRPr="00872D7E">
              <w:rPr>
                <w:sz w:val="16"/>
                <w:szCs w:val="16"/>
              </w:rPr>
              <w:t>(1.893)</w:t>
            </w:r>
          </w:p>
        </w:tc>
      </w:tr>
      <w:tr w:rsidR="00857271" w:rsidRPr="00872D7E" w14:paraId="01A61A6C"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7BAAF843" w14:textId="77777777" w:rsidR="00857271" w:rsidRPr="00872D7E" w:rsidRDefault="00857271" w:rsidP="006F61BC">
            <w:pPr>
              <w:ind w:left="240"/>
              <w:jc w:val="both"/>
              <w:rPr>
                <w:iCs/>
                <w:sz w:val="16"/>
                <w:szCs w:val="16"/>
              </w:rPr>
            </w:pPr>
            <w:r w:rsidRPr="00872D7E">
              <w:rPr>
                <w:iCs/>
                <w:sz w:val="16"/>
                <w:szCs w:val="16"/>
              </w:rPr>
              <w:t xml:space="preserve">Değer </w:t>
            </w:r>
            <w:proofErr w:type="gramStart"/>
            <w:r w:rsidRPr="00872D7E">
              <w:rPr>
                <w:iCs/>
                <w:sz w:val="16"/>
                <w:szCs w:val="16"/>
              </w:rPr>
              <w:t>Düşüklüğü(</w:t>
            </w:r>
            <w:proofErr w:type="gramEnd"/>
            <w:r w:rsidRPr="00872D7E">
              <w:rPr>
                <w:iCs/>
                <w:sz w:val="16"/>
                <w:szCs w:val="16"/>
              </w:rPr>
              <w:t>-)/Değer Düşüklüğü İptali</w:t>
            </w:r>
          </w:p>
        </w:tc>
        <w:tc>
          <w:tcPr>
            <w:tcW w:w="716" w:type="pct"/>
            <w:shd w:val="clear" w:color="auto" w:fill="auto"/>
            <w:noWrap/>
            <w:tcMar>
              <w:top w:w="15" w:type="dxa"/>
              <w:left w:w="15" w:type="dxa"/>
              <w:bottom w:w="0" w:type="dxa"/>
              <w:right w:w="15" w:type="dxa"/>
            </w:tcMar>
            <w:vAlign w:val="bottom"/>
          </w:tcPr>
          <w:p w14:paraId="69032264" w14:textId="5C9E146D" w:rsidR="00857271" w:rsidRPr="00872D7E" w:rsidRDefault="00857271" w:rsidP="006F61BC">
            <w:pPr>
              <w:ind w:right="108"/>
              <w:jc w:val="right"/>
              <w:rPr>
                <w:sz w:val="16"/>
                <w:szCs w:val="16"/>
              </w:rPr>
            </w:pPr>
            <w:r w:rsidRPr="00872D7E">
              <w:rPr>
                <w:sz w:val="16"/>
                <w:szCs w:val="16"/>
              </w:rPr>
              <w:t>-</w:t>
            </w:r>
          </w:p>
        </w:tc>
        <w:tc>
          <w:tcPr>
            <w:tcW w:w="593" w:type="pct"/>
            <w:shd w:val="clear" w:color="auto" w:fill="auto"/>
            <w:vAlign w:val="bottom"/>
          </w:tcPr>
          <w:p w14:paraId="384B4081" w14:textId="37827D41" w:rsidR="00857271" w:rsidRPr="00872D7E" w:rsidRDefault="00857271" w:rsidP="006F61BC">
            <w:pPr>
              <w:ind w:right="108"/>
              <w:jc w:val="right"/>
              <w:rPr>
                <w:sz w:val="16"/>
                <w:szCs w:val="16"/>
              </w:rPr>
            </w:pPr>
            <w:r w:rsidRPr="00872D7E">
              <w:rPr>
                <w:sz w:val="16"/>
                <w:szCs w:val="16"/>
              </w:rPr>
              <w:t>-</w:t>
            </w:r>
          </w:p>
        </w:tc>
        <w:tc>
          <w:tcPr>
            <w:tcW w:w="456" w:type="pct"/>
            <w:shd w:val="clear" w:color="auto" w:fill="auto"/>
            <w:noWrap/>
            <w:tcMar>
              <w:top w:w="15" w:type="dxa"/>
              <w:left w:w="15" w:type="dxa"/>
              <w:bottom w:w="0" w:type="dxa"/>
              <w:right w:w="15" w:type="dxa"/>
            </w:tcMar>
            <w:vAlign w:val="bottom"/>
          </w:tcPr>
          <w:p w14:paraId="39F6571A" w14:textId="240BF06B" w:rsidR="00857271" w:rsidRPr="00872D7E" w:rsidRDefault="00857271" w:rsidP="006F61BC">
            <w:pPr>
              <w:ind w:right="108"/>
              <w:jc w:val="right"/>
              <w:rPr>
                <w:sz w:val="16"/>
                <w:szCs w:val="16"/>
              </w:rPr>
            </w:pPr>
            <w:r w:rsidRPr="00872D7E">
              <w:rPr>
                <w:sz w:val="16"/>
                <w:szCs w:val="16"/>
              </w:rPr>
              <w:t>-</w:t>
            </w:r>
          </w:p>
        </w:tc>
        <w:tc>
          <w:tcPr>
            <w:tcW w:w="442" w:type="pct"/>
            <w:shd w:val="clear" w:color="auto" w:fill="auto"/>
            <w:vAlign w:val="bottom"/>
          </w:tcPr>
          <w:p w14:paraId="3A7849CD" w14:textId="79130F7C" w:rsidR="00857271" w:rsidRPr="00872D7E" w:rsidRDefault="00857271" w:rsidP="006F61BC">
            <w:pPr>
              <w:ind w:right="108"/>
              <w:jc w:val="right"/>
              <w:rPr>
                <w:sz w:val="16"/>
                <w:szCs w:val="16"/>
              </w:rPr>
            </w:pPr>
            <w:r w:rsidRPr="00872D7E">
              <w:rPr>
                <w:sz w:val="16"/>
                <w:szCs w:val="16"/>
              </w:rPr>
              <w:t>-</w:t>
            </w:r>
          </w:p>
        </w:tc>
        <w:tc>
          <w:tcPr>
            <w:tcW w:w="539" w:type="pct"/>
            <w:shd w:val="clear" w:color="auto" w:fill="auto"/>
            <w:vAlign w:val="bottom"/>
          </w:tcPr>
          <w:p w14:paraId="33B410A5" w14:textId="6B460759" w:rsidR="00857271" w:rsidRPr="00872D7E" w:rsidRDefault="00857271" w:rsidP="006F61BC">
            <w:pPr>
              <w:ind w:right="108"/>
              <w:jc w:val="right"/>
              <w:rPr>
                <w:sz w:val="16"/>
                <w:szCs w:val="16"/>
              </w:rPr>
            </w:pPr>
            <w:r w:rsidRPr="00872D7E">
              <w:rPr>
                <w:sz w:val="16"/>
                <w:szCs w:val="16"/>
              </w:rPr>
              <w:t>-</w:t>
            </w:r>
          </w:p>
        </w:tc>
        <w:tc>
          <w:tcPr>
            <w:tcW w:w="505" w:type="pct"/>
            <w:shd w:val="clear" w:color="auto" w:fill="auto"/>
            <w:noWrap/>
            <w:tcMar>
              <w:top w:w="15" w:type="dxa"/>
              <w:left w:w="15" w:type="dxa"/>
              <w:bottom w:w="0" w:type="dxa"/>
              <w:right w:w="15" w:type="dxa"/>
            </w:tcMar>
            <w:vAlign w:val="bottom"/>
          </w:tcPr>
          <w:p w14:paraId="1DEF553F" w14:textId="7894D28C" w:rsidR="00857271" w:rsidRPr="00872D7E" w:rsidRDefault="00857271" w:rsidP="006F61BC">
            <w:pPr>
              <w:ind w:right="108"/>
              <w:jc w:val="right"/>
              <w:rPr>
                <w:sz w:val="16"/>
                <w:szCs w:val="16"/>
              </w:rPr>
            </w:pPr>
            <w:r w:rsidRPr="00872D7E">
              <w:rPr>
                <w:sz w:val="16"/>
                <w:szCs w:val="16"/>
              </w:rPr>
              <w:t>-</w:t>
            </w:r>
          </w:p>
        </w:tc>
      </w:tr>
      <w:tr w:rsidR="00857271" w:rsidRPr="00872D7E" w14:paraId="32B225FE" w14:textId="77777777" w:rsidTr="00C423C8">
        <w:trPr>
          <w:cantSplit/>
          <w:trHeight w:val="24"/>
        </w:trPr>
        <w:tc>
          <w:tcPr>
            <w:tcW w:w="1749" w:type="pct"/>
            <w:shd w:val="clear" w:color="auto" w:fill="auto"/>
            <w:noWrap/>
            <w:tcMar>
              <w:top w:w="15" w:type="dxa"/>
              <w:left w:w="15" w:type="dxa"/>
              <w:bottom w:w="0" w:type="dxa"/>
              <w:right w:w="15" w:type="dxa"/>
            </w:tcMar>
            <w:vAlign w:val="center"/>
          </w:tcPr>
          <w:p w14:paraId="5C504E1D" w14:textId="77777777" w:rsidR="00857271" w:rsidRPr="00872D7E" w:rsidRDefault="00857271" w:rsidP="006F61BC">
            <w:pPr>
              <w:ind w:left="240"/>
              <w:jc w:val="both"/>
              <w:rPr>
                <w:iCs/>
                <w:sz w:val="16"/>
                <w:szCs w:val="16"/>
              </w:rPr>
            </w:pPr>
            <w:r w:rsidRPr="00872D7E">
              <w:rPr>
                <w:iCs/>
                <w:sz w:val="16"/>
                <w:szCs w:val="16"/>
              </w:rPr>
              <w:t>Transferler</w:t>
            </w:r>
          </w:p>
        </w:tc>
        <w:tc>
          <w:tcPr>
            <w:tcW w:w="716" w:type="pct"/>
            <w:shd w:val="clear" w:color="auto" w:fill="auto"/>
            <w:noWrap/>
            <w:tcMar>
              <w:top w:w="15" w:type="dxa"/>
              <w:left w:w="15" w:type="dxa"/>
              <w:bottom w:w="0" w:type="dxa"/>
              <w:right w:w="15" w:type="dxa"/>
            </w:tcMar>
            <w:vAlign w:val="bottom"/>
          </w:tcPr>
          <w:p w14:paraId="0FD1A72D" w14:textId="005E3063" w:rsidR="00857271" w:rsidRPr="00872D7E" w:rsidRDefault="00857271" w:rsidP="006F61BC">
            <w:pPr>
              <w:ind w:right="108"/>
              <w:jc w:val="right"/>
              <w:rPr>
                <w:sz w:val="16"/>
                <w:szCs w:val="16"/>
              </w:rPr>
            </w:pPr>
            <w:r w:rsidRPr="00872D7E">
              <w:rPr>
                <w:sz w:val="16"/>
                <w:szCs w:val="16"/>
              </w:rPr>
              <w:t>-</w:t>
            </w:r>
          </w:p>
        </w:tc>
        <w:tc>
          <w:tcPr>
            <w:tcW w:w="593" w:type="pct"/>
            <w:shd w:val="clear" w:color="auto" w:fill="auto"/>
            <w:vAlign w:val="bottom"/>
          </w:tcPr>
          <w:p w14:paraId="790712DB" w14:textId="3872EC41" w:rsidR="00857271" w:rsidRPr="00872D7E" w:rsidRDefault="00857271" w:rsidP="006F61BC">
            <w:pPr>
              <w:ind w:right="108"/>
              <w:jc w:val="right"/>
              <w:rPr>
                <w:sz w:val="16"/>
                <w:szCs w:val="16"/>
              </w:rPr>
            </w:pPr>
            <w:r w:rsidRPr="00872D7E">
              <w:rPr>
                <w:sz w:val="16"/>
                <w:szCs w:val="16"/>
              </w:rPr>
              <w:t>-</w:t>
            </w:r>
          </w:p>
        </w:tc>
        <w:tc>
          <w:tcPr>
            <w:tcW w:w="456" w:type="pct"/>
            <w:shd w:val="clear" w:color="auto" w:fill="auto"/>
            <w:noWrap/>
            <w:tcMar>
              <w:top w:w="15" w:type="dxa"/>
              <w:left w:w="15" w:type="dxa"/>
              <w:bottom w:w="0" w:type="dxa"/>
              <w:right w:w="15" w:type="dxa"/>
            </w:tcMar>
            <w:vAlign w:val="bottom"/>
          </w:tcPr>
          <w:p w14:paraId="1F6B4D87" w14:textId="2BDE4C7D" w:rsidR="00857271" w:rsidRPr="00872D7E" w:rsidRDefault="00857271" w:rsidP="006F61BC">
            <w:pPr>
              <w:ind w:right="108"/>
              <w:jc w:val="right"/>
              <w:rPr>
                <w:sz w:val="16"/>
                <w:szCs w:val="16"/>
              </w:rPr>
            </w:pPr>
            <w:r w:rsidRPr="00872D7E">
              <w:rPr>
                <w:sz w:val="16"/>
                <w:szCs w:val="16"/>
              </w:rPr>
              <w:t>-</w:t>
            </w:r>
          </w:p>
        </w:tc>
        <w:tc>
          <w:tcPr>
            <w:tcW w:w="442" w:type="pct"/>
            <w:shd w:val="clear" w:color="auto" w:fill="auto"/>
            <w:vAlign w:val="bottom"/>
          </w:tcPr>
          <w:p w14:paraId="7289F228" w14:textId="0A29153B" w:rsidR="00857271" w:rsidRPr="00872D7E" w:rsidRDefault="00857271" w:rsidP="006F61BC">
            <w:pPr>
              <w:ind w:right="108"/>
              <w:jc w:val="right"/>
              <w:rPr>
                <w:sz w:val="16"/>
                <w:szCs w:val="16"/>
              </w:rPr>
            </w:pPr>
            <w:r w:rsidRPr="00872D7E">
              <w:rPr>
                <w:sz w:val="16"/>
                <w:szCs w:val="16"/>
              </w:rPr>
              <w:t>-</w:t>
            </w:r>
          </w:p>
        </w:tc>
        <w:tc>
          <w:tcPr>
            <w:tcW w:w="539" w:type="pct"/>
            <w:shd w:val="clear" w:color="auto" w:fill="auto"/>
            <w:vAlign w:val="bottom"/>
          </w:tcPr>
          <w:p w14:paraId="311BD8A0" w14:textId="6520264A" w:rsidR="00857271" w:rsidRPr="00872D7E" w:rsidRDefault="00857271" w:rsidP="006F61BC">
            <w:pPr>
              <w:ind w:right="108"/>
              <w:jc w:val="right"/>
              <w:rPr>
                <w:sz w:val="16"/>
                <w:szCs w:val="16"/>
              </w:rPr>
            </w:pPr>
            <w:r w:rsidRPr="00872D7E">
              <w:rPr>
                <w:sz w:val="16"/>
                <w:szCs w:val="16"/>
              </w:rPr>
              <w:t>-</w:t>
            </w:r>
          </w:p>
        </w:tc>
        <w:tc>
          <w:tcPr>
            <w:tcW w:w="505" w:type="pct"/>
            <w:shd w:val="clear" w:color="auto" w:fill="auto"/>
            <w:noWrap/>
            <w:tcMar>
              <w:top w:w="15" w:type="dxa"/>
              <w:left w:w="15" w:type="dxa"/>
              <w:bottom w:w="0" w:type="dxa"/>
              <w:right w:w="15" w:type="dxa"/>
            </w:tcMar>
            <w:vAlign w:val="bottom"/>
          </w:tcPr>
          <w:p w14:paraId="145241C7" w14:textId="1D69C505" w:rsidR="00857271" w:rsidRPr="00872D7E" w:rsidRDefault="00857271" w:rsidP="006F61BC">
            <w:pPr>
              <w:ind w:right="108"/>
              <w:jc w:val="right"/>
              <w:rPr>
                <w:sz w:val="16"/>
                <w:szCs w:val="16"/>
              </w:rPr>
            </w:pPr>
            <w:r w:rsidRPr="00872D7E">
              <w:rPr>
                <w:sz w:val="16"/>
                <w:szCs w:val="16"/>
              </w:rPr>
              <w:t>-</w:t>
            </w:r>
          </w:p>
        </w:tc>
      </w:tr>
      <w:tr w:rsidR="00857271" w:rsidRPr="00872D7E" w14:paraId="1EB6E4F7" w14:textId="77777777" w:rsidTr="00C423C8">
        <w:trPr>
          <w:cantSplit/>
          <w:trHeight w:val="24"/>
        </w:trPr>
        <w:tc>
          <w:tcPr>
            <w:tcW w:w="1749" w:type="pct"/>
            <w:tcBorders>
              <w:bottom w:val="single" w:sz="4" w:space="0" w:color="auto"/>
            </w:tcBorders>
            <w:shd w:val="clear" w:color="auto" w:fill="auto"/>
            <w:noWrap/>
            <w:tcMar>
              <w:top w:w="15" w:type="dxa"/>
              <w:left w:w="15" w:type="dxa"/>
              <w:bottom w:w="0" w:type="dxa"/>
              <w:right w:w="15" w:type="dxa"/>
            </w:tcMar>
            <w:vAlign w:val="center"/>
          </w:tcPr>
          <w:p w14:paraId="77684BAD" w14:textId="7B05B170" w:rsidR="00857271" w:rsidRPr="00872D7E" w:rsidRDefault="00857271" w:rsidP="006F61BC">
            <w:pPr>
              <w:ind w:left="240"/>
              <w:jc w:val="both"/>
              <w:rPr>
                <w:b/>
                <w:iCs/>
                <w:sz w:val="16"/>
                <w:szCs w:val="16"/>
              </w:rPr>
            </w:pPr>
            <w:r w:rsidRPr="00872D7E">
              <w:rPr>
                <w:rFonts w:eastAsia="Arial Unicode MS"/>
                <w:b/>
                <w:iCs/>
                <w:sz w:val="16"/>
                <w:szCs w:val="16"/>
              </w:rPr>
              <w:t xml:space="preserve">Dönem sonu bakiyesi: </w:t>
            </w:r>
            <w:r w:rsidRPr="00872D7E">
              <w:rPr>
                <w:rFonts w:eastAsia="Arial Unicode MS"/>
                <w:b/>
                <w:sz w:val="16"/>
                <w:szCs w:val="16"/>
              </w:rPr>
              <w:t>31 Aralık 2024</w:t>
            </w:r>
          </w:p>
        </w:tc>
        <w:tc>
          <w:tcPr>
            <w:tcW w:w="716" w:type="pct"/>
            <w:tcBorders>
              <w:bottom w:val="single" w:sz="4" w:space="0" w:color="auto"/>
            </w:tcBorders>
            <w:shd w:val="clear" w:color="auto" w:fill="auto"/>
            <w:noWrap/>
            <w:tcMar>
              <w:top w:w="15" w:type="dxa"/>
              <w:left w:w="15" w:type="dxa"/>
              <w:bottom w:w="0" w:type="dxa"/>
              <w:right w:w="15" w:type="dxa"/>
            </w:tcMar>
            <w:vAlign w:val="bottom"/>
          </w:tcPr>
          <w:p w14:paraId="772C13D8" w14:textId="7DB80603" w:rsidR="00857271" w:rsidRPr="00872D7E" w:rsidRDefault="00857271" w:rsidP="006F61BC">
            <w:pPr>
              <w:ind w:right="108"/>
              <w:jc w:val="right"/>
              <w:rPr>
                <w:b/>
                <w:sz w:val="16"/>
                <w:szCs w:val="16"/>
              </w:rPr>
            </w:pPr>
            <w:r w:rsidRPr="00872D7E">
              <w:rPr>
                <w:b/>
                <w:sz w:val="16"/>
                <w:szCs w:val="16"/>
              </w:rPr>
              <w:t>128.331</w:t>
            </w:r>
          </w:p>
        </w:tc>
        <w:tc>
          <w:tcPr>
            <w:tcW w:w="593" w:type="pct"/>
            <w:tcBorders>
              <w:bottom w:val="single" w:sz="4" w:space="0" w:color="auto"/>
            </w:tcBorders>
            <w:shd w:val="clear" w:color="auto" w:fill="auto"/>
            <w:vAlign w:val="bottom"/>
          </w:tcPr>
          <w:p w14:paraId="71024A2A" w14:textId="17CB9FF2" w:rsidR="00857271" w:rsidRPr="00872D7E" w:rsidRDefault="00857271" w:rsidP="006F61BC">
            <w:pPr>
              <w:ind w:right="108"/>
              <w:jc w:val="right"/>
              <w:rPr>
                <w:b/>
                <w:sz w:val="16"/>
                <w:szCs w:val="16"/>
              </w:rPr>
            </w:pPr>
            <w:r w:rsidRPr="00872D7E">
              <w:rPr>
                <w:b/>
                <w:sz w:val="16"/>
                <w:szCs w:val="16"/>
              </w:rPr>
              <w:t>-</w:t>
            </w:r>
          </w:p>
        </w:tc>
        <w:tc>
          <w:tcPr>
            <w:tcW w:w="456" w:type="pct"/>
            <w:tcBorders>
              <w:bottom w:val="single" w:sz="4" w:space="0" w:color="auto"/>
            </w:tcBorders>
            <w:shd w:val="clear" w:color="auto" w:fill="auto"/>
            <w:noWrap/>
            <w:tcMar>
              <w:top w:w="15" w:type="dxa"/>
              <w:left w:w="15" w:type="dxa"/>
              <w:bottom w:w="0" w:type="dxa"/>
              <w:right w:w="15" w:type="dxa"/>
            </w:tcMar>
            <w:vAlign w:val="bottom"/>
          </w:tcPr>
          <w:p w14:paraId="7FE42178" w14:textId="79C3CE51" w:rsidR="00857271" w:rsidRPr="00872D7E" w:rsidRDefault="00857271" w:rsidP="006F61BC">
            <w:pPr>
              <w:ind w:right="108"/>
              <w:jc w:val="right"/>
              <w:rPr>
                <w:b/>
                <w:sz w:val="16"/>
                <w:szCs w:val="16"/>
              </w:rPr>
            </w:pPr>
            <w:r w:rsidRPr="00872D7E">
              <w:rPr>
                <w:b/>
                <w:sz w:val="16"/>
                <w:szCs w:val="16"/>
              </w:rPr>
              <w:t>-</w:t>
            </w:r>
          </w:p>
        </w:tc>
        <w:tc>
          <w:tcPr>
            <w:tcW w:w="442" w:type="pct"/>
            <w:tcBorders>
              <w:bottom w:val="single" w:sz="4" w:space="0" w:color="auto"/>
            </w:tcBorders>
            <w:shd w:val="clear" w:color="auto" w:fill="auto"/>
            <w:vAlign w:val="bottom"/>
          </w:tcPr>
          <w:p w14:paraId="6DE4EE4E" w14:textId="67CEFD99" w:rsidR="00857271" w:rsidRPr="00872D7E" w:rsidRDefault="00857271" w:rsidP="006F61BC">
            <w:pPr>
              <w:ind w:right="108"/>
              <w:jc w:val="right"/>
              <w:rPr>
                <w:b/>
                <w:sz w:val="16"/>
                <w:szCs w:val="16"/>
              </w:rPr>
            </w:pPr>
            <w:r w:rsidRPr="00872D7E">
              <w:rPr>
                <w:b/>
                <w:sz w:val="16"/>
                <w:szCs w:val="16"/>
              </w:rPr>
              <w:t>438.250</w:t>
            </w:r>
          </w:p>
        </w:tc>
        <w:tc>
          <w:tcPr>
            <w:tcW w:w="539" w:type="pct"/>
            <w:tcBorders>
              <w:bottom w:val="single" w:sz="4" w:space="0" w:color="auto"/>
            </w:tcBorders>
            <w:shd w:val="clear" w:color="auto" w:fill="auto"/>
            <w:vAlign w:val="bottom"/>
          </w:tcPr>
          <w:p w14:paraId="02970DF7" w14:textId="0AE3C04F" w:rsidR="00857271" w:rsidRPr="00872D7E" w:rsidRDefault="00857271" w:rsidP="006F61BC">
            <w:pPr>
              <w:ind w:right="108"/>
              <w:jc w:val="right"/>
              <w:rPr>
                <w:b/>
                <w:sz w:val="16"/>
                <w:szCs w:val="16"/>
              </w:rPr>
            </w:pPr>
            <w:r w:rsidRPr="00872D7E">
              <w:rPr>
                <w:b/>
                <w:sz w:val="16"/>
                <w:szCs w:val="16"/>
              </w:rPr>
              <w:t>-</w:t>
            </w:r>
          </w:p>
        </w:tc>
        <w:tc>
          <w:tcPr>
            <w:tcW w:w="505" w:type="pct"/>
            <w:tcBorders>
              <w:bottom w:val="single" w:sz="4" w:space="0" w:color="auto"/>
            </w:tcBorders>
            <w:shd w:val="clear" w:color="auto" w:fill="auto"/>
            <w:noWrap/>
            <w:tcMar>
              <w:top w:w="15" w:type="dxa"/>
              <w:left w:w="15" w:type="dxa"/>
              <w:bottom w:w="0" w:type="dxa"/>
              <w:right w:w="15" w:type="dxa"/>
            </w:tcMar>
            <w:vAlign w:val="bottom"/>
          </w:tcPr>
          <w:p w14:paraId="77FF784C" w14:textId="5E55557D" w:rsidR="00857271" w:rsidRPr="00872D7E" w:rsidRDefault="00857271" w:rsidP="006F61BC">
            <w:pPr>
              <w:ind w:right="108"/>
              <w:jc w:val="right"/>
              <w:rPr>
                <w:b/>
                <w:sz w:val="16"/>
                <w:szCs w:val="16"/>
              </w:rPr>
            </w:pPr>
            <w:r w:rsidRPr="00872D7E">
              <w:rPr>
                <w:b/>
                <w:sz w:val="16"/>
                <w:szCs w:val="16"/>
              </w:rPr>
              <w:t>566.581</w:t>
            </w:r>
          </w:p>
        </w:tc>
      </w:tr>
      <w:tr w:rsidR="00857271" w:rsidRPr="00872D7E" w14:paraId="2DAD869F" w14:textId="77777777" w:rsidTr="00C423C8">
        <w:trPr>
          <w:cantSplit/>
          <w:trHeight w:val="24"/>
        </w:trPr>
        <w:tc>
          <w:tcPr>
            <w:tcW w:w="1749" w:type="pct"/>
            <w:tcBorders>
              <w:top w:val="single" w:sz="4" w:space="0" w:color="auto"/>
            </w:tcBorders>
            <w:shd w:val="clear" w:color="auto" w:fill="auto"/>
            <w:noWrap/>
            <w:tcMar>
              <w:top w:w="15" w:type="dxa"/>
              <w:left w:w="15" w:type="dxa"/>
              <w:bottom w:w="0" w:type="dxa"/>
              <w:right w:w="15" w:type="dxa"/>
            </w:tcMar>
            <w:vAlign w:val="center"/>
          </w:tcPr>
          <w:p w14:paraId="697A8AC1" w14:textId="77777777" w:rsidR="00857271" w:rsidRPr="00872D7E" w:rsidRDefault="00857271" w:rsidP="006F61BC">
            <w:pPr>
              <w:ind w:left="240"/>
              <w:jc w:val="both"/>
              <w:rPr>
                <w:rFonts w:eastAsia="Arial Unicode MS"/>
                <w:b/>
                <w:iCs/>
                <w:sz w:val="16"/>
                <w:szCs w:val="16"/>
              </w:rPr>
            </w:pPr>
          </w:p>
        </w:tc>
        <w:tc>
          <w:tcPr>
            <w:tcW w:w="716" w:type="pct"/>
            <w:tcBorders>
              <w:top w:val="single" w:sz="4" w:space="0" w:color="auto"/>
            </w:tcBorders>
            <w:shd w:val="clear" w:color="auto" w:fill="auto"/>
            <w:noWrap/>
            <w:tcMar>
              <w:top w:w="15" w:type="dxa"/>
              <w:left w:w="15" w:type="dxa"/>
              <w:bottom w:w="0" w:type="dxa"/>
              <w:right w:w="15" w:type="dxa"/>
            </w:tcMar>
            <w:vAlign w:val="bottom"/>
          </w:tcPr>
          <w:p w14:paraId="1D2A02B4" w14:textId="77777777" w:rsidR="00857271" w:rsidRPr="00872D7E" w:rsidRDefault="00857271" w:rsidP="006F61BC">
            <w:pPr>
              <w:ind w:right="108"/>
              <w:jc w:val="right"/>
              <w:rPr>
                <w:sz w:val="16"/>
                <w:szCs w:val="16"/>
              </w:rPr>
            </w:pPr>
          </w:p>
        </w:tc>
        <w:tc>
          <w:tcPr>
            <w:tcW w:w="593" w:type="pct"/>
            <w:tcBorders>
              <w:top w:val="single" w:sz="4" w:space="0" w:color="auto"/>
            </w:tcBorders>
            <w:shd w:val="clear" w:color="auto" w:fill="auto"/>
            <w:vAlign w:val="bottom"/>
          </w:tcPr>
          <w:p w14:paraId="6FB67F24" w14:textId="77777777" w:rsidR="00857271" w:rsidRPr="00872D7E" w:rsidRDefault="00857271" w:rsidP="006F61BC">
            <w:pPr>
              <w:ind w:right="108"/>
              <w:jc w:val="right"/>
              <w:rPr>
                <w:sz w:val="16"/>
                <w:szCs w:val="16"/>
              </w:rPr>
            </w:pPr>
          </w:p>
        </w:tc>
        <w:tc>
          <w:tcPr>
            <w:tcW w:w="456" w:type="pct"/>
            <w:tcBorders>
              <w:top w:val="single" w:sz="4" w:space="0" w:color="auto"/>
            </w:tcBorders>
            <w:shd w:val="clear" w:color="auto" w:fill="auto"/>
            <w:noWrap/>
            <w:tcMar>
              <w:top w:w="15" w:type="dxa"/>
              <w:left w:w="15" w:type="dxa"/>
              <w:bottom w:w="0" w:type="dxa"/>
              <w:right w:w="15" w:type="dxa"/>
            </w:tcMar>
            <w:vAlign w:val="bottom"/>
          </w:tcPr>
          <w:p w14:paraId="47387A6B" w14:textId="77777777" w:rsidR="00857271" w:rsidRPr="00872D7E" w:rsidRDefault="00857271" w:rsidP="006F61BC">
            <w:pPr>
              <w:ind w:right="108"/>
              <w:jc w:val="right"/>
              <w:rPr>
                <w:sz w:val="16"/>
                <w:szCs w:val="16"/>
              </w:rPr>
            </w:pPr>
          </w:p>
        </w:tc>
        <w:tc>
          <w:tcPr>
            <w:tcW w:w="442" w:type="pct"/>
            <w:tcBorders>
              <w:top w:val="single" w:sz="4" w:space="0" w:color="auto"/>
            </w:tcBorders>
            <w:shd w:val="clear" w:color="auto" w:fill="auto"/>
            <w:vAlign w:val="bottom"/>
          </w:tcPr>
          <w:p w14:paraId="5CBD3BE7" w14:textId="77777777" w:rsidR="00857271" w:rsidRPr="00872D7E" w:rsidRDefault="00857271" w:rsidP="006F61BC">
            <w:pPr>
              <w:ind w:right="108"/>
              <w:jc w:val="right"/>
              <w:rPr>
                <w:sz w:val="16"/>
                <w:szCs w:val="16"/>
              </w:rPr>
            </w:pPr>
          </w:p>
        </w:tc>
        <w:tc>
          <w:tcPr>
            <w:tcW w:w="539" w:type="pct"/>
            <w:tcBorders>
              <w:top w:val="single" w:sz="4" w:space="0" w:color="auto"/>
            </w:tcBorders>
            <w:shd w:val="clear" w:color="auto" w:fill="auto"/>
            <w:vAlign w:val="bottom"/>
          </w:tcPr>
          <w:p w14:paraId="62AFEF5F" w14:textId="77777777" w:rsidR="00857271" w:rsidRPr="00872D7E" w:rsidRDefault="00857271" w:rsidP="006F61BC">
            <w:pPr>
              <w:ind w:right="108"/>
              <w:jc w:val="right"/>
              <w:rPr>
                <w:sz w:val="16"/>
                <w:szCs w:val="16"/>
              </w:rPr>
            </w:pPr>
          </w:p>
        </w:tc>
        <w:tc>
          <w:tcPr>
            <w:tcW w:w="505" w:type="pct"/>
            <w:tcBorders>
              <w:top w:val="single" w:sz="4" w:space="0" w:color="auto"/>
            </w:tcBorders>
            <w:shd w:val="clear" w:color="auto" w:fill="auto"/>
            <w:noWrap/>
            <w:tcMar>
              <w:top w:w="15" w:type="dxa"/>
              <w:left w:w="15" w:type="dxa"/>
              <w:bottom w:w="0" w:type="dxa"/>
              <w:right w:w="15" w:type="dxa"/>
            </w:tcMar>
            <w:vAlign w:val="bottom"/>
          </w:tcPr>
          <w:p w14:paraId="127F0347" w14:textId="2AE3A42E" w:rsidR="00857271" w:rsidRPr="00872D7E" w:rsidRDefault="00857271" w:rsidP="006F61BC">
            <w:pPr>
              <w:ind w:right="108"/>
              <w:jc w:val="right"/>
              <w:rPr>
                <w:sz w:val="16"/>
                <w:szCs w:val="16"/>
              </w:rPr>
            </w:pPr>
          </w:p>
        </w:tc>
      </w:tr>
      <w:tr w:rsidR="00857271" w:rsidRPr="00872D7E" w14:paraId="1B2701D2"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751254B4" w14:textId="77777777" w:rsidR="00857271" w:rsidRPr="00872D7E" w:rsidRDefault="00857271" w:rsidP="006F61BC">
            <w:pPr>
              <w:jc w:val="both"/>
              <w:rPr>
                <w:iCs/>
                <w:sz w:val="16"/>
                <w:szCs w:val="16"/>
              </w:rPr>
            </w:pPr>
            <w:r w:rsidRPr="00872D7E">
              <w:rPr>
                <w:b/>
                <w:iCs/>
                <w:sz w:val="16"/>
                <w:szCs w:val="16"/>
              </w:rPr>
              <w:t>Birikmiş Amortisman (-)</w:t>
            </w:r>
          </w:p>
        </w:tc>
        <w:tc>
          <w:tcPr>
            <w:tcW w:w="716" w:type="pct"/>
            <w:shd w:val="clear" w:color="auto" w:fill="auto"/>
            <w:noWrap/>
            <w:tcMar>
              <w:top w:w="15" w:type="dxa"/>
              <w:left w:w="15" w:type="dxa"/>
              <w:bottom w:w="0" w:type="dxa"/>
              <w:right w:w="15" w:type="dxa"/>
            </w:tcMar>
            <w:vAlign w:val="bottom"/>
          </w:tcPr>
          <w:p w14:paraId="5B488084" w14:textId="77777777" w:rsidR="00857271" w:rsidRPr="00872D7E" w:rsidRDefault="00857271" w:rsidP="006F61BC">
            <w:pPr>
              <w:ind w:right="108"/>
              <w:jc w:val="right"/>
              <w:rPr>
                <w:sz w:val="16"/>
                <w:szCs w:val="16"/>
              </w:rPr>
            </w:pPr>
          </w:p>
        </w:tc>
        <w:tc>
          <w:tcPr>
            <w:tcW w:w="593" w:type="pct"/>
            <w:shd w:val="clear" w:color="auto" w:fill="auto"/>
            <w:vAlign w:val="bottom"/>
          </w:tcPr>
          <w:p w14:paraId="07771D00" w14:textId="77777777" w:rsidR="00857271" w:rsidRPr="00872D7E" w:rsidRDefault="00857271" w:rsidP="006F61BC">
            <w:pPr>
              <w:ind w:right="108"/>
              <w:jc w:val="right"/>
              <w:rPr>
                <w:sz w:val="16"/>
                <w:szCs w:val="16"/>
              </w:rPr>
            </w:pPr>
          </w:p>
        </w:tc>
        <w:tc>
          <w:tcPr>
            <w:tcW w:w="456" w:type="pct"/>
            <w:shd w:val="clear" w:color="auto" w:fill="auto"/>
            <w:noWrap/>
            <w:tcMar>
              <w:top w:w="15" w:type="dxa"/>
              <w:left w:w="15" w:type="dxa"/>
              <w:bottom w:w="0" w:type="dxa"/>
              <w:right w:w="15" w:type="dxa"/>
            </w:tcMar>
            <w:vAlign w:val="bottom"/>
          </w:tcPr>
          <w:p w14:paraId="7FA042B1" w14:textId="77777777" w:rsidR="00857271" w:rsidRPr="00872D7E" w:rsidRDefault="00857271" w:rsidP="006F61BC">
            <w:pPr>
              <w:ind w:right="108"/>
              <w:jc w:val="right"/>
              <w:rPr>
                <w:sz w:val="16"/>
                <w:szCs w:val="16"/>
              </w:rPr>
            </w:pPr>
          </w:p>
        </w:tc>
        <w:tc>
          <w:tcPr>
            <w:tcW w:w="442" w:type="pct"/>
            <w:shd w:val="clear" w:color="auto" w:fill="auto"/>
            <w:vAlign w:val="bottom"/>
          </w:tcPr>
          <w:p w14:paraId="422B7B42" w14:textId="77777777" w:rsidR="00857271" w:rsidRPr="00872D7E" w:rsidRDefault="00857271" w:rsidP="006F61BC">
            <w:pPr>
              <w:ind w:right="108"/>
              <w:jc w:val="right"/>
              <w:rPr>
                <w:sz w:val="16"/>
                <w:szCs w:val="16"/>
              </w:rPr>
            </w:pPr>
          </w:p>
        </w:tc>
        <w:tc>
          <w:tcPr>
            <w:tcW w:w="539" w:type="pct"/>
            <w:shd w:val="clear" w:color="auto" w:fill="auto"/>
            <w:vAlign w:val="bottom"/>
          </w:tcPr>
          <w:p w14:paraId="19246FAA" w14:textId="77777777" w:rsidR="00857271" w:rsidRPr="00872D7E" w:rsidRDefault="00857271" w:rsidP="006F61BC">
            <w:pPr>
              <w:ind w:right="108"/>
              <w:jc w:val="right"/>
              <w:rPr>
                <w:sz w:val="16"/>
                <w:szCs w:val="16"/>
              </w:rPr>
            </w:pPr>
          </w:p>
        </w:tc>
        <w:tc>
          <w:tcPr>
            <w:tcW w:w="505" w:type="pct"/>
            <w:shd w:val="clear" w:color="auto" w:fill="auto"/>
            <w:noWrap/>
            <w:tcMar>
              <w:top w:w="15" w:type="dxa"/>
              <w:left w:w="15" w:type="dxa"/>
              <w:bottom w:w="0" w:type="dxa"/>
              <w:right w:w="15" w:type="dxa"/>
            </w:tcMar>
            <w:vAlign w:val="bottom"/>
          </w:tcPr>
          <w:p w14:paraId="25DC9AAF" w14:textId="7A1E3819" w:rsidR="00857271" w:rsidRPr="00872D7E" w:rsidRDefault="00857271" w:rsidP="006F61BC">
            <w:pPr>
              <w:ind w:right="108"/>
              <w:jc w:val="right"/>
              <w:rPr>
                <w:sz w:val="16"/>
                <w:szCs w:val="16"/>
              </w:rPr>
            </w:pPr>
          </w:p>
        </w:tc>
      </w:tr>
      <w:tr w:rsidR="00857271" w:rsidRPr="00872D7E" w14:paraId="149585CC"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427D8B63" w14:textId="38F2B34D" w:rsidR="00857271" w:rsidRPr="00872D7E" w:rsidRDefault="00857271" w:rsidP="006F61BC">
            <w:pPr>
              <w:ind w:left="240"/>
              <w:jc w:val="both"/>
              <w:rPr>
                <w:rFonts w:eastAsia="Arial Unicode MS"/>
                <w:b/>
                <w:iCs/>
                <w:sz w:val="16"/>
                <w:szCs w:val="16"/>
              </w:rPr>
            </w:pPr>
            <w:r w:rsidRPr="00872D7E">
              <w:rPr>
                <w:rFonts w:eastAsia="Arial Unicode MS"/>
                <w:b/>
                <w:iCs/>
                <w:sz w:val="16"/>
                <w:szCs w:val="16"/>
              </w:rPr>
              <w:t xml:space="preserve">Dönem başı bakiyesi: </w:t>
            </w:r>
            <w:r w:rsidRPr="00872D7E">
              <w:rPr>
                <w:rFonts w:eastAsia="Arial Unicode MS"/>
                <w:b/>
                <w:sz w:val="16"/>
                <w:szCs w:val="16"/>
              </w:rPr>
              <w:t>1 Ocak 2024</w:t>
            </w:r>
          </w:p>
        </w:tc>
        <w:tc>
          <w:tcPr>
            <w:tcW w:w="716" w:type="pct"/>
            <w:shd w:val="clear" w:color="auto" w:fill="auto"/>
            <w:noWrap/>
            <w:tcMar>
              <w:top w:w="15" w:type="dxa"/>
              <w:left w:w="15" w:type="dxa"/>
              <w:bottom w:w="0" w:type="dxa"/>
              <w:right w:w="15" w:type="dxa"/>
            </w:tcMar>
            <w:vAlign w:val="bottom"/>
          </w:tcPr>
          <w:p w14:paraId="65593459" w14:textId="0ABD7E7F" w:rsidR="00857271" w:rsidRPr="00872D7E" w:rsidRDefault="00857271" w:rsidP="006F61BC">
            <w:pPr>
              <w:ind w:right="108"/>
              <w:jc w:val="right"/>
              <w:rPr>
                <w:b/>
                <w:sz w:val="16"/>
                <w:szCs w:val="16"/>
              </w:rPr>
            </w:pPr>
            <w:r w:rsidRPr="00872D7E">
              <w:rPr>
                <w:b/>
                <w:sz w:val="16"/>
                <w:szCs w:val="16"/>
              </w:rPr>
              <w:t>4.266</w:t>
            </w:r>
          </w:p>
        </w:tc>
        <w:tc>
          <w:tcPr>
            <w:tcW w:w="593" w:type="pct"/>
            <w:shd w:val="clear" w:color="auto" w:fill="auto"/>
            <w:vAlign w:val="bottom"/>
          </w:tcPr>
          <w:p w14:paraId="2A3A1CF0" w14:textId="22AA78B3" w:rsidR="00857271" w:rsidRPr="00872D7E" w:rsidRDefault="00857271" w:rsidP="006F61BC">
            <w:pPr>
              <w:ind w:right="91"/>
              <w:jc w:val="right"/>
              <w:rPr>
                <w:b/>
                <w:sz w:val="16"/>
                <w:szCs w:val="16"/>
              </w:rPr>
            </w:pPr>
            <w:r w:rsidRPr="00872D7E">
              <w:rPr>
                <w:b/>
                <w:sz w:val="16"/>
                <w:szCs w:val="16"/>
              </w:rPr>
              <w:t>-</w:t>
            </w:r>
          </w:p>
        </w:tc>
        <w:tc>
          <w:tcPr>
            <w:tcW w:w="456" w:type="pct"/>
            <w:shd w:val="clear" w:color="auto" w:fill="auto"/>
            <w:noWrap/>
            <w:tcMar>
              <w:top w:w="15" w:type="dxa"/>
              <w:left w:w="15" w:type="dxa"/>
              <w:bottom w:w="0" w:type="dxa"/>
              <w:right w:w="15" w:type="dxa"/>
            </w:tcMar>
            <w:vAlign w:val="bottom"/>
          </w:tcPr>
          <w:p w14:paraId="1274FE87" w14:textId="00E5251A" w:rsidR="00857271" w:rsidRPr="00872D7E" w:rsidRDefault="00857271" w:rsidP="006F61BC">
            <w:pPr>
              <w:ind w:right="91"/>
              <w:jc w:val="right"/>
              <w:rPr>
                <w:b/>
                <w:sz w:val="16"/>
                <w:szCs w:val="16"/>
              </w:rPr>
            </w:pPr>
            <w:r w:rsidRPr="00872D7E">
              <w:rPr>
                <w:b/>
                <w:sz w:val="16"/>
                <w:szCs w:val="16"/>
              </w:rPr>
              <w:t>-</w:t>
            </w:r>
          </w:p>
        </w:tc>
        <w:tc>
          <w:tcPr>
            <w:tcW w:w="442" w:type="pct"/>
            <w:shd w:val="clear" w:color="auto" w:fill="auto"/>
            <w:vAlign w:val="bottom"/>
          </w:tcPr>
          <w:p w14:paraId="2D5544A1" w14:textId="71CD0127" w:rsidR="00857271" w:rsidRPr="00872D7E" w:rsidRDefault="00857271" w:rsidP="006F61BC">
            <w:pPr>
              <w:ind w:right="91"/>
              <w:jc w:val="right"/>
              <w:rPr>
                <w:b/>
                <w:sz w:val="16"/>
                <w:szCs w:val="16"/>
              </w:rPr>
            </w:pPr>
            <w:r w:rsidRPr="00872D7E">
              <w:rPr>
                <w:b/>
                <w:sz w:val="16"/>
                <w:szCs w:val="16"/>
              </w:rPr>
              <w:t>2.867</w:t>
            </w:r>
          </w:p>
        </w:tc>
        <w:tc>
          <w:tcPr>
            <w:tcW w:w="539" w:type="pct"/>
            <w:shd w:val="clear" w:color="auto" w:fill="auto"/>
            <w:vAlign w:val="bottom"/>
          </w:tcPr>
          <w:p w14:paraId="3B36A82F" w14:textId="60B22389" w:rsidR="00857271" w:rsidRPr="00872D7E" w:rsidRDefault="00857271" w:rsidP="006F61BC">
            <w:pPr>
              <w:ind w:right="91"/>
              <w:jc w:val="right"/>
              <w:rPr>
                <w:b/>
                <w:sz w:val="16"/>
                <w:szCs w:val="16"/>
              </w:rPr>
            </w:pPr>
            <w:r w:rsidRPr="00872D7E">
              <w:rPr>
                <w:b/>
                <w:sz w:val="16"/>
                <w:szCs w:val="16"/>
              </w:rPr>
              <w:t>-</w:t>
            </w:r>
          </w:p>
        </w:tc>
        <w:tc>
          <w:tcPr>
            <w:tcW w:w="505" w:type="pct"/>
            <w:shd w:val="clear" w:color="auto" w:fill="auto"/>
            <w:noWrap/>
            <w:tcMar>
              <w:top w:w="15" w:type="dxa"/>
              <w:left w:w="15" w:type="dxa"/>
              <w:bottom w:w="0" w:type="dxa"/>
              <w:right w:w="15" w:type="dxa"/>
            </w:tcMar>
            <w:vAlign w:val="bottom"/>
          </w:tcPr>
          <w:p w14:paraId="3ADEE8CB" w14:textId="2D0A3994" w:rsidR="00857271" w:rsidRPr="00872D7E" w:rsidRDefault="00857271" w:rsidP="006F61BC">
            <w:pPr>
              <w:ind w:right="91"/>
              <w:jc w:val="right"/>
              <w:rPr>
                <w:b/>
                <w:sz w:val="16"/>
                <w:szCs w:val="16"/>
              </w:rPr>
            </w:pPr>
            <w:r w:rsidRPr="00872D7E">
              <w:rPr>
                <w:b/>
                <w:sz w:val="16"/>
                <w:szCs w:val="16"/>
              </w:rPr>
              <w:t>7.133</w:t>
            </w:r>
          </w:p>
        </w:tc>
      </w:tr>
      <w:tr w:rsidR="00857271" w:rsidRPr="00872D7E" w14:paraId="7E8ABEE0"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473A929D" w14:textId="77777777" w:rsidR="00857271" w:rsidRPr="00872D7E" w:rsidRDefault="00857271" w:rsidP="006F61BC">
            <w:pPr>
              <w:ind w:left="240"/>
              <w:jc w:val="both"/>
              <w:rPr>
                <w:rFonts w:eastAsia="Arial Unicode MS"/>
                <w:iCs/>
                <w:sz w:val="16"/>
                <w:szCs w:val="16"/>
              </w:rPr>
            </w:pPr>
            <w:r w:rsidRPr="00872D7E">
              <w:rPr>
                <w:iCs/>
                <w:sz w:val="16"/>
                <w:szCs w:val="16"/>
              </w:rPr>
              <w:t>Cari dönem amortisman gideri</w:t>
            </w:r>
          </w:p>
        </w:tc>
        <w:tc>
          <w:tcPr>
            <w:tcW w:w="716" w:type="pct"/>
            <w:shd w:val="clear" w:color="auto" w:fill="auto"/>
            <w:noWrap/>
            <w:tcMar>
              <w:top w:w="15" w:type="dxa"/>
              <w:left w:w="15" w:type="dxa"/>
              <w:bottom w:w="0" w:type="dxa"/>
              <w:right w:w="15" w:type="dxa"/>
            </w:tcMar>
            <w:vAlign w:val="bottom"/>
          </w:tcPr>
          <w:p w14:paraId="2D177105" w14:textId="7C4FB170" w:rsidR="00857271" w:rsidRPr="00872D7E" w:rsidRDefault="00857271" w:rsidP="006F61BC">
            <w:pPr>
              <w:ind w:right="108"/>
              <w:jc w:val="right"/>
              <w:rPr>
                <w:sz w:val="16"/>
                <w:szCs w:val="16"/>
              </w:rPr>
            </w:pPr>
            <w:r w:rsidRPr="00872D7E">
              <w:rPr>
                <w:sz w:val="16"/>
                <w:szCs w:val="16"/>
              </w:rPr>
              <w:t>8.415</w:t>
            </w:r>
          </w:p>
        </w:tc>
        <w:tc>
          <w:tcPr>
            <w:tcW w:w="593" w:type="pct"/>
            <w:shd w:val="clear" w:color="auto" w:fill="auto"/>
            <w:vAlign w:val="bottom"/>
          </w:tcPr>
          <w:p w14:paraId="77579A70" w14:textId="18570B41" w:rsidR="00857271" w:rsidRPr="00872D7E" w:rsidRDefault="00857271" w:rsidP="006F61BC">
            <w:pPr>
              <w:ind w:right="108"/>
              <w:jc w:val="right"/>
              <w:rPr>
                <w:sz w:val="16"/>
                <w:szCs w:val="16"/>
              </w:rPr>
            </w:pPr>
            <w:r w:rsidRPr="00872D7E">
              <w:rPr>
                <w:sz w:val="16"/>
                <w:szCs w:val="16"/>
              </w:rPr>
              <w:t>-</w:t>
            </w:r>
          </w:p>
        </w:tc>
        <w:tc>
          <w:tcPr>
            <w:tcW w:w="456" w:type="pct"/>
            <w:shd w:val="clear" w:color="auto" w:fill="auto"/>
            <w:noWrap/>
            <w:tcMar>
              <w:top w:w="15" w:type="dxa"/>
              <w:left w:w="15" w:type="dxa"/>
              <w:bottom w:w="0" w:type="dxa"/>
              <w:right w:w="15" w:type="dxa"/>
            </w:tcMar>
            <w:vAlign w:val="bottom"/>
          </w:tcPr>
          <w:p w14:paraId="76CCC1C8" w14:textId="5E576FF0" w:rsidR="00857271" w:rsidRPr="00872D7E" w:rsidRDefault="00857271" w:rsidP="006F61BC">
            <w:pPr>
              <w:ind w:right="108"/>
              <w:jc w:val="right"/>
              <w:rPr>
                <w:sz w:val="16"/>
                <w:szCs w:val="16"/>
              </w:rPr>
            </w:pPr>
            <w:r w:rsidRPr="00872D7E">
              <w:rPr>
                <w:sz w:val="16"/>
                <w:szCs w:val="16"/>
              </w:rPr>
              <w:t>-</w:t>
            </w:r>
          </w:p>
        </w:tc>
        <w:tc>
          <w:tcPr>
            <w:tcW w:w="442" w:type="pct"/>
            <w:shd w:val="clear" w:color="auto" w:fill="auto"/>
            <w:vAlign w:val="bottom"/>
          </w:tcPr>
          <w:p w14:paraId="283302AE" w14:textId="5B6E3449" w:rsidR="00857271" w:rsidRPr="00872D7E" w:rsidRDefault="00857271" w:rsidP="006F61BC">
            <w:pPr>
              <w:ind w:right="108"/>
              <w:jc w:val="right"/>
              <w:rPr>
                <w:sz w:val="16"/>
                <w:szCs w:val="16"/>
              </w:rPr>
            </w:pPr>
            <w:r w:rsidRPr="00872D7E">
              <w:rPr>
                <w:sz w:val="16"/>
                <w:szCs w:val="16"/>
              </w:rPr>
              <w:t>60.187</w:t>
            </w:r>
          </w:p>
        </w:tc>
        <w:tc>
          <w:tcPr>
            <w:tcW w:w="539" w:type="pct"/>
            <w:shd w:val="clear" w:color="auto" w:fill="auto"/>
            <w:vAlign w:val="bottom"/>
          </w:tcPr>
          <w:p w14:paraId="47FA8BC7" w14:textId="2DD8B627" w:rsidR="00857271" w:rsidRPr="00872D7E" w:rsidRDefault="00857271" w:rsidP="006F61BC">
            <w:pPr>
              <w:ind w:right="108"/>
              <w:jc w:val="right"/>
              <w:rPr>
                <w:sz w:val="16"/>
                <w:szCs w:val="16"/>
              </w:rPr>
            </w:pPr>
            <w:r w:rsidRPr="00872D7E">
              <w:rPr>
                <w:sz w:val="16"/>
                <w:szCs w:val="16"/>
              </w:rPr>
              <w:t>-</w:t>
            </w:r>
          </w:p>
        </w:tc>
        <w:tc>
          <w:tcPr>
            <w:tcW w:w="505" w:type="pct"/>
            <w:shd w:val="clear" w:color="auto" w:fill="auto"/>
            <w:noWrap/>
            <w:tcMar>
              <w:top w:w="15" w:type="dxa"/>
              <w:left w:w="15" w:type="dxa"/>
              <w:bottom w:w="0" w:type="dxa"/>
              <w:right w:w="15" w:type="dxa"/>
            </w:tcMar>
            <w:vAlign w:val="bottom"/>
          </w:tcPr>
          <w:p w14:paraId="71D11E77" w14:textId="6DD0C3A4" w:rsidR="00857271" w:rsidRPr="00872D7E" w:rsidRDefault="00857271" w:rsidP="006F61BC">
            <w:pPr>
              <w:ind w:right="108"/>
              <w:jc w:val="right"/>
              <w:rPr>
                <w:sz w:val="16"/>
                <w:szCs w:val="16"/>
              </w:rPr>
            </w:pPr>
            <w:r w:rsidRPr="00872D7E">
              <w:rPr>
                <w:sz w:val="16"/>
                <w:szCs w:val="16"/>
              </w:rPr>
              <w:t>68.602</w:t>
            </w:r>
          </w:p>
        </w:tc>
      </w:tr>
      <w:tr w:rsidR="00857271" w:rsidRPr="00872D7E" w14:paraId="2F69D8CB"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2BC99D20" w14:textId="77777777" w:rsidR="00857271" w:rsidRPr="00872D7E" w:rsidRDefault="00857271" w:rsidP="006F61BC">
            <w:pPr>
              <w:ind w:left="240"/>
              <w:jc w:val="both"/>
              <w:rPr>
                <w:rFonts w:eastAsia="Arial Unicode MS"/>
                <w:iCs/>
                <w:sz w:val="16"/>
                <w:szCs w:val="16"/>
              </w:rPr>
            </w:pPr>
            <w:r w:rsidRPr="00872D7E">
              <w:rPr>
                <w:iCs/>
                <w:sz w:val="16"/>
                <w:szCs w:val="16"/>
              </w:rPr>
              <w:t>Elden çıkarılanlara ait amortisman iptali</w:t>
            </w:r>
          </w:p>
        </w:tc>
        <w:tc>
          <w:tcPr>
            <w:tcW w:w="716" w:type="pct"/>
            <w:shd w:val="clear" w:color="auto" w:fill="auto"/>
            <w:noWrap/>
            <w:tcMar>
              <w:top w:w="15" w:type="dxa"/>
              <w:left w:w="15" w:type="dxa"/>
              <w:bottom w:w="0" w:type="dxa"/>
              <w:right w:w="15" w:type="dxa"/>
            </w:tcMar>
            <w:vAlign w:val="bottom"/>
          </w:tcPr>
          <w:p w14:paraId="709D90F1" w14:textId="7CEE63BC" w:rsidR="00857271" w:rsidRPr="00872D7E" w:rsidRDefault="00857271" w:rsidP="006F61BC">
            <w:pPr>
              <w:ind w:right="108"/>
              <w:jc w:val="right"/>
              <w:rPr>
                <w:sz w:val="16"/>
                <w:szCs w:val="16"/>
              </w:rPr>
            </w:pPr>
            <w:r w:rsidRPr="00872D7E">
              <w:rPr>
                <w:sz w:val="16"/>
                <w:szCs w:val="16"/>
              </w:rPr>
              <w:t>-</w:t>
            </w:r>
          </w:p>
        </w:tc>
        <w:tc>
          <w:tcPr>
            <w:tcW w:w="593" w:type="pct"/>
            <w:shd w:val="clear" w:color="auto" w:fill="auto"/>
            <w:vAlign w:val="bottom"/>
          </w:tcPr>
          <w:p w14:paraId="67CE4FDB" w14:textId="6075188F" w:rsidR="00857271" w:rsidRPr="00872D7E" w:rsidRDefault="00857271" w:rsidP="006F61BC">
            <w:pPr>
              <w:ind w:right="108"/>
              <w:jc w:val="right"/>
              <w:rPr>
                <w:sz w:val="16"/>
                <w:szCs w:val="16"/>
              </w:rPr>
            </w:pPr>
            <w:r w:rsidRPr="00872D7E">
              <w:rPr>
                <w:sz w:val="16"/>
                <w:szCs w:val="16"/>
              </w:rPr>
              <w:t>-</w:t>
            </w:r>
          </w:p>
        </w:tc>
        <w:tc>
          <w:tcPr>
            <w:tcW w:w="456" w:type="pct"/>
            <w:shd w:val="clear" w:color="auto" w:fill="auto"/>
            <w:noWrap/>
            <w:tcMar>
              <w:top w:w="15" w:type="dxa"/>
              <w:left w:w="15" w:type="dxa"/>
              <w:bottom w:w="0" w:type="dxa"/>
              <w:right w:w="15" w:type="dxa"/>
            </w:tcMar>
            <w:vAlign w:val="bottom"/>
          </w:tcPr>
          <w:p w14:paraId="70DA6A62" w14:textId="073C0A22" w:rsidR="00857271" w:rsidRPr="00872D7E" w:rsidRDefault="00857271" w:rsidP="006F61BC">
            <w:pPr>
              <w:ind w:right="108"/>
              <w:jc w:val="right"/>
              <w:rPr>
                <w:sz w:val="16"/>
                <w:szCs w:val="16"/>
              </w:rPr>
            </w:pPr>
            <w:r w:rsidRPr="00872D7E">
              <w:rPr>
                <w:sz w:val="16"/>
                <w:szCs w:val="16"/>
              </w:rPr>
              <w:t>-</w:t>
            </w:r>
          </w:p>
        </w:tc>
        <w:tc>
          <w:tcPr>
            <w:tcW w:w="442" w:type="pct"/>
            <w:shd w:val="clear" w:color="auto" w:fill="auto"/>
            <w:vAlign w:val="bottom"/>
          </w:tcPr>
          <w:p w14:paraId="06302C0A" w14:textId="255D6836" w:rsidR="00857271" w:rsidRPr="00872D7E" w:rsidRDefault="00857271" w:rsidP="006F61BC">
            <w:pPr>
              <w:ind w:right="108"/>
              <w:jc w:val="right"/>
              <w:rPr>
                <w:sz w:val="16"/>
                <w:szCs w:val="16"/>
              </w:rPr>
            </w:pPr>
            <w:r w:rsidRPr="00872D7E">
              <w:rPr>
                <w:sz w:val="16"/>
                <w:szCs w:val="16"/>
              </w:rPr>
              <w:t>(61)</w:t>
            </w:r>
          </w:p>
        </w:tc>
        <w:tc>
          <w:tcPr>
            <w:tcW w:w="539" w:type="pct"/>
            <w:shd w:val="clear" w:color="auto" w:fill="auto"/>
            <w:vAlign w:val="bottom"/>
          </w:tcPr>
          <w:p w14:paraId="0116279F" w14:textId="0B739964" w:rsidR="00857271" w:rsidRPr="00872D7E" w:rsidRDefault="00857271" w:rsidP="006F61BC">
            <w:pPr>
              <w:ind w:right="108"/>
              <w:jc w:val="right"/>
              <w:rPr>
                <w:sz w:val="16"/>
                <w:szCs w:val="16"/>
              </w:rPr>
            </w:pPr>
            <w:r w:rsidRPr="00872D7E">
              <w:rPr>
                <w:sz w:val="16"/>
                <w:szCs w:val="16"/>
              </w:rPr>
              <w:t>-</w:t>
            </w:r>
          </w:p>
        </w:tc>
        <w:tc>
          <w:tcPr>
            <w:tcW w:w="505" w:type="pct"/>
            <w:shd w:val="clear" w:color="auto" w:fill="auto"/>
            <w:noWrap/>
            <w:tcMar>
              <w:top w:w="15" w:type="dxa"/>
              <w:left w:w="15" w:type="dxa"/>
              <w:bottom w:w="0" w:type="dxa"/>
              <w:right w:w="15" w:type="dxa"/>
            </w:tcMar>
            <w:vAlign w:val="bottom"/>
          </w:tcPr>
          <w:p w14:paraId="49FAA3C7" w14:textId="6CD04686" w:rsidR="00857271" w:rsidRPr="00872D7E" w:rsidRDefault="00857271" w:rsidP="006F61BC">
            <w:pPr>
              <w:ind w:right="108"/>
              <w:jc w:val="right"/>
              <w:rPr>
                <w:sz w:val="16"/>
                <w:szCs w:val="16"/>
              </w:rPr>
            </w:pPr>
            <w:r w:rsidRPr="00872D7E">
              <w:rPr>
                <w:sz w:val="16"/>
                <w:szCs w:val="16"/>
              </w:rPr>
              <w:t>(61)</w:t>
            </w:r>
          </w:p>
        </w:tc>
      </w:tr>
      <w:tr w:rsidR="00857271" w:rsidRPr="00872D7E" w14:paraId="499450F6"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0AAEBE57" w14:textId="77777777" w:rsidR="00857271" w:rsidRPr="00872D7E" w:rsidRDefault="00857271" w:rsidP="006F61BC">
            <w:pPr>
              <w:ind w:left="240"/>
              <w:jc w:val="both"/>
              <w:rPr>
                <w:rFonts w:eastAsia="Arial Unicode MS"/>
                <w:iCs/>
                <w:sz w:val="16"/>
                <w:szCs w:val="16"/>
              </w:rPr>
            </w:pPr>
            <w:r w:rsidRPr="00872D7E">
              <w:rPr>
                <w:iCs/>
                <w:sz w:val="16"/>
                <w:szCs w:val="16"/>
              </w:rPr>
              <w:t>Transferler</w:t>
            </w:r>
          </w:p>
        </w:tc>
        <w:tc>
          <w:tcPr>
            <w:tcW w:w="716" w:type="pct"/>
            <w:shd w:val="clear" w:color="auto" w:fill="auto"/>
            <w:noWrap/>
            <w:tcMar>
              <w:top w:w="15" w:type="dxa"/>
              <w:left w:w="15" w:type="dxa"/>
              <w:bottom w:w="0" w:type="dxa"/>
              <w:right w:w="15" w:type="dxa"/>
            </w:tcMar>
            <w:vAlign w:val="bottom"/>
          </w:tcPr>
          <w:p w14:paraId="6CC8B3DE" w14:textId="0D2E8189" w:rsidR="00857271" w:rsidRPr="00872D7E" w:rsidRDefault="00857271" w:rsidP="006F61BC">
            <w:pPr>
              <w:ind w:right="108"/>
              <w:jc w:val="right"/>
              <w:rPr>
                <w:sz w:val="16"/>
                <w:szCs w:val="16"/>
              </w:rPr>
            </w:pPr>
            <w:r w:rsidRPr="00872D7E">
              <w:rPr>
                <w:sz w:val="16"/>
                <w:szCs w:val="16"/>
              </w:rPr>
              <w:t>-</w:t>
            </w:r>
          </w:p>
        </w:tc>
        <w:tc>
          <w:tcPr>
            <w:tcW w:w="593" w:type="pct"/>
            <w:shd w:val="clear" w:color="auto" w:fill="auto"/>
            <w:vAlign w:val="bottom"/>
          </w:tcPr>
          <w:p w14:paraId="6AA9488D" w14:textId="4C2C2C2D" w:rsidR="00857271" w:rsidRPr="00872D7E" w:rsidRDefault="00857271" w:rsidP="006F61BC">
            <w:pPr>
              <w:ind w:right="108"/>
              <w:jc w:val="right"/>
              <w:rPr>
                <w:sz w:val="16"/>
                <w:szCs w:val="16"/>
              </w:rPr>
            </w:pPr>
            <w:r w:rsidRPr="00872D7E">
              <w:rPr>
                <w:sz w:val="16"/>
                <w:szCs w:val="16"/>
              </w:rPr>
              <w:t>-</w:t>
            </w:r>
          </w:p>
        </w:tc>
        <w:tc>
          <w:tcPr>
            <w:tcW w:w="456" w:type="pct"/>
            <w:shd w:val="clear" w:color="auto" w:fill="auto"/>
            <w:noWrap/>
            <w:tcMar>
              <w:top w:w="15" w:type="dxa"/>
              <w:left w:w="15" w:type="dxa"/>
              <w:bottom w:w="0" w:type="dxa"/>
              <w:right w:w="15" w:type="dxa"/>
            </w:tcMar>
            <w:vAlign w:val="bottom"/>
          </w:tcPr>
          <w:p w14:paraId="7B5141A1" w14:textId="55A79828" w:rsidR="00857271" w:rsidRPr="00872D7E" w:rsidRDefault="00857271" w:rsidP="006F61BC">
            <w:pPr>
              <w:ind w:right="108"/>
              <w:jc w:val="right"/>
              <w:rPr>
                <w:sz w:val="16"/>
                <w:szCs w:val="16"/>
              </w:rPr>
            </w:pPr>
            <w:r w:rsidRPr="00872D7E">
              <w:rPr>
                <w:sz w:val="16"/>
                <w:szCs w:val="16"/>
              </w:rPr>
              <w:t>-</w:t>
            </w:r>
          </w:p>
        </w:tc>
        <w:tc>
          <w:tcPr>
            <w:tcW w:w="442" w:type="pct"/>
            <w:shd w:val="clear" w:color="auto" w:fill="auto"/>
            <w:vAlign w:val="bottom"/>
          </w:tcPr>
          <w:p w14:paraId="774FB9B7" w14:textId="19852042" w:rsidR="00857271" w:rsidRPr="00872D7E" w:rsidRDefault="00857271" w:rsidP="006F61BC">
            <w:pPr>
              <w:ind w:right="108"/>
              <w:jc w:val="right"/>
              <w:rPr>
                <w:sz w:val="16"/>
                <w:szCs w:val="16"/>
              </w:rPr>
            </w:pPr>
            <w:r w:rsidRPr="00872D7E">
              <w:rPr>
                <w:sz w:val="16"/>
                <w:szCs w:val="16"/>
              </w:rPr>
              <w:t>-</w:t>
            </w:r>
          </w:p>
        </w:tc>
        <w:tc>
          <w:tcPr>
            <w:tcW w:w="539" w:type="pct"/>
            <w:shd w:val="clear" w:color="auto" w:fill="auto"/>
            <w:vAlign w:val="bottom"/>
          </w:tcPr>
          <w:p w14:paraId="4894A7FA" w14:textId="233342C5" w:rsidR="00857271" w:rsidRPr="00872D7E" w:rsidRDefault="00857271" w:rsidP="006F61BC">
            <w:pPr>
              <w:ind w:right="108"/>
              <w:jc w:val="right"/>
              <w:rPr>
                <w:sz w:val="16"/>
                <w:szCs w:val="16"/>
              </w:rPr>
            </w:pPr>
            <w:r w:rsidRPr="00872D7E">
              <w:rPr>
                <w:sz w:val="16"/>
                <w:szCs w:val="16"/>
              </w:rPr>
              <w:t>-</w:t>
            </w:r>
          </w:p>
        </w:tc>
        <w:tc>
          <w:tcPr>
            <w:tcW w:w="505" w:type="pct"/>
            <w:shd w:val="clear" w:color="auto" w:fill="auto"/>
            <w:noWrap/>
            <w:tcMar>
              <w:top w:w="15" w:type="dxa"/>
              <w:left w:w="15" w:type="dxa"/>
              <w:bottom w:w="0" w:type="dxa"/>
              <w:right w:w="15" w:type="dxa"/>
            </w:tcMar>
            <w:vAlign w:val="bottom"/>
          </w:tcPr>
          <w:p w14:paraId="09FCFD76" w14:textId="00953B4A" w:rsidR="00857271" w:rsidRPr="00872D7E" w:rsidRDefault="00857271" w:rsidP="006F61BC">
            <w:pPr>
              <w:ind w:right="108"/>
              <w:jc w:val="right"/>
              <w:rPr>
                <w:sz w:val="16"/>
                <w:szCs w:val="16"/>
              </w:rPr>
            </w:pPr>
            <w:r w:rsidRPr="00872D7E">
              <w:rPr>
                <w:sz w:val="16"/>
                <w:szCs w:val="16"/>
              </w:rPr>
              <w:t>-</w:t>
            </w:r>
          </w:p>
        </w:tc>
      </w:tr>
      <w:tr w:rsidR="00857271" w:rsidRPr="00872D7E" w14:paraId="50AFB99B"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59F2D6F1" w14:textId="04AE90E2" w:rsidR="00857271" w:rsidRPr="00872D7E" w:rsidRDefault="00857271" w:rsidP="006F61BC">
            <w:pPr>
              <w:ind w:left="240"/>
              <w:jc w:val="both"/>
              <w:rPr>
                <w:b/>
                <w:iCs/>
                <w:sz w:val="16"/>
                <w:szCs w:val="16"/>
              </w:rPr>
            </w:pPr>
            <w:r w:rsidRPr="00872D7E">
              <w:rPr>
                <w:rFonts w:eastAsia="Arial Unicode MS"/>
                <w:b/>
                <w:iCs/>
                <w:sz w:val="16"/>
                <w:szCs w:val="16"/>
              </w:rPr>
              <w:t xml:space="preserve">Dönem sonu bakiyesi: </w:t>
            </w:r>
            <w:r w:rsidRPr="00872D7E">
              <w:rPr>
                <w:rFonts w:eastAsia="Arial Unicode MS"/>
                <w:b/>
                <w:sz w:val="16"/>
                <w:szCs w:val="16"/>
              </w:rPr>
              <w:t>31 Aralık 2024</w:t>
            </w:r>
          </w:p>
        </w:tc>
        <w:tc>
          <w:tcPr>
            <w:tcW w:w="716" w:type="pct"/>
            <w:shd w:val="clear" w:color="auto" w:fill="auto"/>
            <w:noWrap/>
            <w:tcMar>
              <w:top w:w="15" w:type="dxa"/>
              <w:left w:w="15" w:type="dxa"/>
              <w:bottom w:w="0" w:type="dxa"/>
              <w:right w:w="15" w:type="dxa"/>
            </w:tcMar>
            <w:vAlign w:val="bottom"/>
          </w:tcPr>
          <w:p w14:paraId="542CB2C4" w14:textId="78103070" w:rsidR="00857271" w:rsidRPr="00872D7E" w:rsidRDefault="00857271" w:rsidP="006F61BC">
            <w:pPr>
              <w:ind w:right="108"/>
              <w:jc w:val="right"/>
              <w:rPr>
                <w:b/>
                <w:sz w:val="16"/>
                <w:szCs w:val="16"/>
              </w:rPr>
            </w:pPr>
            <w:r w:rsidRPr="00872D7E">
              <w:rPr>
                <w:b/>
                <w:sz w:val="16"/>
                <w:szCs w:val="16"/>
              </w:rPr>
              <w:t>12.681</w:t>
            </w:r>
          </w:p>
        </w:tc>
        <w:tc>
          <w:tcPr>
            <w:tcW w:w="593" w:type="pct"/>
            <w:shd w:val="clear" w:color="auto" w:fill="auto"/>
            <w:vAlign w:val="bottom"/>
          </w:tcPr>
          <w:p w14:paraId="51D2F387" w14:textId="201F3F7D" w:rsidR="00857271" w:rsidRPr="00872D7E" w:rsidRDefault="00857271" w:rsidP="006F61BC">
            <w:pPr>
              <w:ind w:right="108"/>
              <w:jc w:val="right"/>
              <w:rPr>
                <w:b/>
                <w:sz w:val="16"/>
                <w:szCs w:val="16"/>
              </w:rPr>
            </w:pPr>
            <w:r w:rsidRPr="00872D7E">
              <w:rPr>
                <w:b/>
                <w:sz w:val="16"/>
                <w:szCs w:val="16"/>
              </w:rPr>
              <w:t>-</w:t>
            </w:r>
          </w:p>
        </w:tc>
        <w:tc>
          <w:tcPr>
            <w:tcW w:w="456" w:type="pct"/>
            <w:shd w:val="clear" w:color="auto" w:fill="auto"/>
            <w:noWrap/>
            <w:tcMar>
              <w:top w:w="15" w:type="dxa"/>
              <w:left w:w="15" w:type="dxa"/>
              <w:bottom w:w="0" w:type="dxa"/>
              <w:right w:w="15" w:type="dxa"/>
            </w:tcMar>
            <w:vAlign w:val="bottom"/>
          </w:tcPr>
          <w:p w14:paraId="24D55238" w14:textId="69D354BB" w:rsidR="00857271" w:rsidRPr="00872D7E" w:rsidRDefault="00857271" w:rsidP="006F61BC">
            <w:pPr>
              <w:ind w:right="108"/>
              <w:jc w:val="right"/>
              <w:rPr>
                <w:b/>
                <w:sz w:val="16"/>
                <w:szCs w:val="16"/>
              </w:rPr>
            </w:pPr>
            <w:r w:rsidRPr="00872D7E">
              <w:rPr>
                <w:b/>
                <w:sz w:val="16"/>
                <w:szCs w:val="16"/>
              </w:rPr>
              <w:t>-</w:t>
            </w:r>
          </w:p>
        </w:tc>
        <w:tc>
          <w:tcPr>
            <w:tcW w:w="442" w:type="pct"/>
            <w:shd w:val="clear" w:color="auto" w:fill="auto"/>
            <w:vAlign w:val="bottom"/>
          </w:tcPr>
          <w:p w14:paraId="26BFEF75" w14:textId="6B667E38" w:rsidR="00857271" w:rsidRPr="00872D7E" w:rsidRDefault="00857271" w:rsidP="006F61BC">
            <w:pPr>
              <w:ind w:right="108"/>
              <w:jc w:val="right"/>
              <w:rPr>
                <w:b/>
                <w:sz w:val="16"/>
                <w:szCs w:val="16"/>
              </w:rPr>
            </w:pPr>
            <w:r w:rsidRPr="00872D7E">
              <w:rPr>
                <w:b/>
                <w:sz w:val="16"/>
                <w:szCs w:val="16"/>
              </w:rPr>
              <w:t>62.993</w:t>
            </w:r>
          </w:p>
        </w:tc>
        <w:tc>
          <w:tcPr>
            <w:tcW w:w="539" w:type="pct"/>
            <w:shd w:val="clear" w:color="auto" w:fill="auto"/>
            <w:vAlign w:val="bottom"/>
          </w:tcPr>
          <w:p w14:paraId="2C522F6D" w14:textId="560526F3" w:rsidR="00857271" w:rsidRPr="00872D7E" w:rsidRDefault="00857271" w:rsidP="006F61BC">
            <w:pPr>
              <w:ind w:right="108"/>
              <w:jc w:val="right"/>
              <w:rPr>
                <w:b/>
                <w:sz w:val="16"/>
                <w:szCs w:val="16"/>
              </w:rPr>
            </w:pPr>
            <w:r w:rsidRPr="00872D7E">
              <w:rPr>
                <w:b/>
                <w:sz w:val="16"/>
                <w:szCs w:val="16"/>
              </w:rPr>
              <w:t>-</w:t>
            </w:r>
          </w:p>
        </w:tc>
        <w:tc>
          <w:tcPr>
            <w:tcW w:w="505" w:type="pct"/>
            <w:shd w:val="clear" w:color="auto" w:fill="auto"/>
            <w:noWrap/>
            <w:tcMar>
              <w:top w:w="15" w:type="dxa"/>
              <w:left w:w="15" w:type="dxa"/>
              <w:bottom w:w="0" w:type="dxa"/>
              <w:right w:w="15" w:type="dxa"/>
            </w:tcMar>
            <w:vAlign w:val="bottom"/>
          </w:tcPr>
          <w:p w14:paraId="67F22CDB" w14:textId="1EB414D1" w:rsidR="00857271" w:rsidRPr="00872D7E" w:rsidRDefault="00857271" w:rsidP="006F61BC">
            <w:pPr>
              <w:ind w:right="108"/>
              <w:jc w:val="right"/>
              <w:rPr>
                <w:b/>
                <w:sz w:val="16"/>
                <w:szCs w:val="16"/>
              </w:rPr>
            </w:pPr>
            <w:r w:rsidRPr="00872D7E">
              <w:rPr>
                <w:b/>
                <w:sz w:val="16"/>
                <w:szCs w:val="16"/>
              </w:rPr>
              <w:t>75.674</w:t>
            </w:r>
          </w:p>
        </w:tc>
      </w:tr>
      <w:tr w:rsidR="00857271" w:rsidRPr="00872D7E" w14:paraId="11CA8283" w14:textId="77777777" w:rsidTr="00857271">
        <w:trPr>
          <w:cantSplit/>
          <w:trHeight w:val="24"/>
        </w:trPr>
        <w:tc>
          <w:tcPr>
            <w:tcW w:w="1749" w:type="pct"/>
            <w:shd w:val="clear" w:color="auto" w:fill="auto"/>
            <w:noWrap/>
            <w:tcMar>
              <w:top w:w="15" w:type="dxa"/>
              <w:left w:w="15" w:type="dxa"/>
              <w:bottom w:w="0" w:type="dxa"/>
              <w:right w:w="15" w:type="dxa"/>
            </w:tcMar>
            <w:vAlign w:val="center"/>
          </w:tcPr>
          <w:p w14:paraId="0070464E" w14:textId="77777777" w:rsidR="00857271" w:rsidRPr="00872D7E" w:rsidRDefault="00857271" w:rsidP="006F61BC">
            <w:pPr>
              <w:ind w:left="360"/>
              <w:jc w:val="both"/>
              <w:rPr>
                <w:rFonts w:eastAsia="Arial Unicode MS"/>
                <w:iCs/>
                <w:sz w:val="16"/>
                <w:szCs w:val="16"/>
              </w:rPr>
            </w:pPr>
          </w:p>
        </w:tc>
        <w:tc>
          <w:tcPr>
            <w:tcW w:w="716" w:type="pct"/>
            <w:shd w:val="clear" w:color="auto" w:fill="auto"/>
            <w:noWrap/>
            <w:tcMar>
              <w:top w:w="15" w:type="dxa"/>
              <w:left w:w="15" w:type="dxa"/>
              <w:bottom w:w="0" w:type="dxa"/>
              <w:right w:w="15" w:type="dxa"/>
            </w:tcMar>
            <w:vAlign w:val="bottom"/>
          </w:tcPr>
          <w:p w14:paraId="6E45CD63" w14:textId="77777777" w:rsidR="00857271" w:rsidRPr="00872D7E" w:rsidRDefault="00857271" w:rsidP="006F61BC">
            <w:pPr>
              <w:ind w:right="108"/>
              <w:jc w:val="right"/>
              <w:rPr>
                <w:sz w:val="16"/>
                <w:szCs w:val="16"/>
              </w:rPr>
            </w:pPr>
          </w:p>
        </w:tc>
        <w:tc>
          <w:tcPr>
            <w:tcW w:w="593" w:type="pct"/>
            <w:shd w:val="clear" w:color="auto" w:fill="auto"/>
            <w:vAlign w:val="bottom"/>
          </w:tcPr>
          <w:p w14:paraId="06E551DF" w14:textId="77777777" w:rsidR="00857271" w:rsidRPr="00872D7E" w:rsidRDefault="00857271" w:rsidP="006F61BC">
            <w:pPr>
              <w:ind w:right="108"/>
              <w:jc w:val="right"/>
              <w:rPr>
                <w:sz w:val="16"/>
                <w:szCs w:val="16"/>
              </w:rPr>
            </w:pPr>
          </w:p>
        </w:tc>
        <w:tc>
          <w:tcPr>
            <w:tcW w:w="456" w:type="pct"/>
            <w:shd w:val="clear" w:color="auto" w:fill="auto"/>
            <w:noWrap/>
            <w:tcMar>
              <w:top w:w="15" w:type="dxa"/>
              <w:left w:w="15" w:type="dxa"/>
              <w:bottom w:w="0" w:type="dxa"/>
              <w:right w:w="15" w:type="dxa"/>
            </w:tcMar>
            <w:vAlign w:val="bottom"/>
          </w:tcPr>
          <w:p w14:paraId="26827D41" w14:textId="77777777" w:rsidR="00857271" w:rsidRPr="00872D7E" w:rsidRDefault="00857271" w:rsidP="006F61BC">
            <w:pPr>
              <w:ind w:right="108"/>
              <w:jc w:val="right"/>
              <w:rPr>
                <w:sz w:val="16"/>
                <w:szCs w:val="16"/>
              </w:rPr>
            </w:pPr>
          </w:p>
        </w:tc>
        <w:tc>
          <w:tcPr>
            <w:tcW w:w="442" w:type="pct"/>
            <w:shd w:val="clear" w:color="auto" w:fill="auto"/>
            <w:vAlign w:val="bottom"/>
          </w:tcPr>
          <w:p w14:paraId="770BE4A7" w14:textId="77777777" w:rsidR="00857271" w:rsidRPr="00872D7E" w:rsidRDefault="00857271" w:rsidP="006F61BC">
            <w:pPr>
              <w:ind w:right="108"/>
              <w:jc w:val="right"/>
              <w:rPr>
                <w:sz w:val="16"/>
                <w:szCs w:val="16"/>
              </w:rPr>
            </w:pPr>
          </w:p>
        </w:tc>
        <w:tc>
          <w:tcPr>
            <w:tcW w:w="539" w:type="pct"/>
            <w:shd w:val="clear" w:color="auto" w:fill="auto"/>
            <w:vAlign w:val="bottom"/>
          </w:tcPr>
          <w:p w14:paraId="1E4FC3CB" w14:textId="77777777" w:rsidR="00857271" w:rsidRPr="00872D7E" w:rsidRDefault="00857271" w:rsidP="006F61BC">
            <w:pPr>
              <w:ind w:right="108"/>
              <w:jc w:val="right"/>
              <w:rPr>
                <w:sz w:val="16"/>
                <w:szCs w:val="16"/>
              </w:rPr>
            </w:pPr>
          </w:p>
        </w:tc>
        <w:tc>
          <w:tcPr>
            <w:tcW w:w="505" w:type="pct"/>
            <w:shd w:val="clear" w:color="auto" w:fill="auto"/>
            <w:noWrap/>
            <w:tcMar>
              <w:top w:w="15" w:type="dxa"/>
              <w:left w:w="15" w:type="dxa"/>
              <w:bottom w:w="0" w:type="dxa"/>
              <w:right w:w="15" w:type="dxa"/>
            </w:tcMar>
            <w:vAlign w:val="bottom"/>
          </w:tcPr>
          <w:p w14:paraId="75171697" w14:textId="77777777" w:rsidR="00857271" w:rsidRPr="00872D7E" w:rsidRDefault="00857271" w:rsidP="006F61BC">
            <w:pPr>
              <w:ind w:right="108"/>
              <w:jc w:val="right"/>
              <w:rPr>
                <w:sz w:val="16"/>
                <w:szCs w:val="16"/>
              </w:rPr>
            </w:pPr>
          </w:p>
        </w:tc>
      </w:tr>
      <w:tr w:rsidR="00857271" w:rsidRPr="00872D7E" w14:paraId="05C1CDBC" w14:textId="77777777" w:rsidTr="00C423C8">
        <w:trPr>
          <w:cantSplit/>
          <w:trHeight w:val="24"/>
        </w:trPr>
        <w:tc>
          <w:tcPr>
            <w:tcW w:w="1749" w:type="pct"/>
            <w:shd w:val="clear" w:color="auto" w:fill="auto"/>
            <w:noWrap/>
            <w:tcMar>
              <w:top w:w="15" w:type="dxa"/>
              <w:left w:w="15" w:type="dxa"/>
              <w:bottom w:w="0" w:type="dxa"/>
              <w:right w:w="15" w:type="dxa"/>
            </w:tcMar>
            <w:vAlign w:val="center"/>
          </w:tcPr>
          <w:p w14:paraId="20FDA58C" w14:textId="77777777" w:rsidR="00857271" w:rsidRPr="00872D7E" w:rsidRDefault="00857271" w:rsidP="006F61BC">
            <w:pPr>
              <w:ind w:left="240"/>
              <w:jc w:val="both"/>
              <w:rPr>
                <w:b/>
                <w:iCs/>
                <w:sz w:val="16"/>
                <w:szCs w:val="16"/>
              </w:rPr>
            </w:pPr>
            <w:r w:rsidRPr="00872D7E">
              <w:rPr>
                <w:b/>
                <w:iCs/>
                <w:sz w:val="16"/>
                <w:szCs w:val="16"/>
              </w:rPr>
              <w:t>Dönem sonu maliyet</w:t>
            </w:r>
          </w:p>
        </w:tc>
        <w:tc>
          <w:tcPr>
            <w:tcW w:w="716" w:type="pct"/>
            <w:shd w:val="clear" w:color="auto" w:fill="auto"/>
            <w:noWrap/>
            <w:tcMar>
              <w:top w:w="15" w:type="dxa"/>
              <w:left w:w="15" w:type="dxa"/>
              <w:bottom w:w="0" w:type="dxa"/>
              <w:right w:w="15" w:type="dxa"/>
            </w:tcMar>
            <w:vAlign w:val="bottom"/>
          </w:tcPr>
          <w:p w14:paraId="3DC4AA0D" w14:textId="7D8F55E9" w:rsidR="00857271" w:rsidRPr="00872D7E" w:rsidRDefault="00857271" w:rsidP="006F61BC">
            <w:pPr>
              <w:ind w:right="108"/>
              <w:jc w:val="right"/>
              <w:rPr>
                <w:b/>
                <w:sz w:val="16"/>
                <w:szCs w:val="16"/>
              </w:rPr>
            </w:pPr>
            <w:r w:rsidRPr="00872D7E">
              <w:rPr>
                <w:b/>
                <w:sz w:val="16"/>
                <w:szCs w:val="16"/>
              </w:rPr>
              <w:t>128.331</w:t>
            </w:r>
          </w:p>
        </w:tc>
        <w:tc>
          <w:tcPr>
            <w:tcW w:w="593" w:type="pct"/>
            <w:shd w:val="clear" w:color="auto" w:fill="auto"/>
            <w:vAlign w:val="bottom"/>
          </w:tcPr>
          <w:p w14:paraId="3CBC856C" w14:textId="7EDFD07D" w:rsidR="00857271" w:rsidRPr="00872D7E" w:rsidRDefault="00857271" w:rsidP="006F61BC">
            <w:pPr>
              <w:ind w:right="108"/>
              <w:jc w:val="right"/>
              <w:rPr>
                <w:b/>
                <w:sz w:val="16"/>
                <w:szCs w:val="16"/>
              </w:rPr>
            </w:pPr>
            <w:r w:rsidRPr="00872D7E">
              <w:rPr>
                <w:b/>
                <w:sz w:val="16"/>
                <w:szCs w:val="16"/>
              </w:rPr>
              <w:t>-</w:t>
            </w:r>
          </w:p>
        </w:tc>
        <w:tc>
          <w:tcPr>
            <w:tcW w:w="456" w:type="pct"/>
            <w:shd w:val="clear" w:color="auto" w:fill="auto"/>
            <w:noWrap/>
            <w:tcMar>
              <w:top w:w="15" w:type="dxa"/>
              <w:left w:w="15" w:type="dxa"/>
              <w:bottom w:w="0" w:type="dxa"/>
              <w:right w:w="15" w:type="dxa"/>
            </w:tcMar>
            <w:vAlign w:val="bottom"/>
          </w:tcPr>
          <w:p w14:paraId="27574BC4" w14:textId="6B4E4D8F" w:rsidR="00857271" w:rsidRPr="00872D7E" w:rsidRDefault="00857271" w:rsidP="006F61BC">
            <w:pPr>
              <w:ind w:right="108"/>
              <w:jc w:val="right"/>
              <w:rPr>
                <w:b/>
                <w:sz w:val="16"/>
                <w:szCs w:val="16"/>
              </w:rPr>
            </w:pPr>
            <w:r w:rsidRPr="00872D7E">
              <w:rPr>
                <w:b/>
                <w:sz w:val="16"/>
                <w:szCs w:val="16"/>
              </w:rPr>
              <w:t>-</w:t>
            </w:r>
          </w:p>
        </w:tc>
        <w:tc>
          <w:tcPr>
            <w:tcW w:w="442" w:type="pct"/>
            <w:shd w:val="clear" w:color="auto" w:fill="auto"/>
            <w:vAlign w:val="bottom"/>
          </w:tcPr>
          <w:p w14:paraId="5B025546" w14:textId="3602546C" w:rsidR="00857271" w:rsidRPr="00872D7E" w:rsidRDefault="00857271" w:rsidP="006F61BC">
            <w:pPr>
              <w:ind w:right="108"/>
              <w:jc w:val="right"/>
              <w:rPr>
                <w:b/>
                <w:sz w:val="16"/>
                <w:szCs w:val="16"/>
              </w:rPr>
            </w:pPr>
            <w:r w:rsidRPr="00872D7E">
              <w:rPr>
                <w:b/>
                <w:sz w:val="16"/>
                <w:szCs w:val="16"/>
              </w:rPr>
              <w:t>438.250</w:t>
            </w:r>
          </w:p>
        </w:tc>
        <w:tc>
          <w:tcPr>
            <w:tcW w:w="539" w:type="pct"/>
            <w:shd w:val="clear" w:color="auto" w:fill="auto"/>
            <w:vAlign w:val="bottom"/>
          </w:tcPr>
          <w:p w14:paraId="038E4BAE" w14:textId="126D7540" w:rsidR="00857271" w:rsidRPr="00872D7E" w:rsidRDefault="00857271" w:rsidP="006F61BC">
            <w:pPr>
              <w:ind w:right="108"/>
              <w:jc w:val="right"/>
              <w:rPr>
                <w:b/>
                <w:sz w:val="16"/>
                <w:szCs w:val="16"/>
              </w:rPr>
            </w:pPr>
            <w:r w:rsidRPr="00872D7E">
              <w:rPr>
                <w:b/>
                <w:sz w:val="16"/>
                <w:szCs w:val="16"/>
              </w:rPr>
              <w:t>-</w:t>
            </w:r>
          </w:p>
        </w:tc>
        <w:tc>
          <w:tcPr>
            <w:tcW w:w="505" w:type="pct"/>
            <w:shd w:val="clear" w:color="auto" w:fill="auto"/>
            <w:noWrap/>
            <w:tcMar>
              <w:top w:w="15" w:type="dxa"/>
              <w:left w:w="15" w:type="dxa"/>
              <w:bottom w:w="0" w:type="dxa"/>
              <w:right w:w="15" w:type="dxa"/>
            </w:tcMar>
            <w:vAlign w:val="bottom"/>
          </w:tcPr>
          <w:p w14:paraId="04F9FF3F" w14:textId="0C37CCB4" w:rsidR="00857271" w:rsidRPr="00872D7E" w:rsidRDefault="00857271" w:rsidP="006F61BC">
            <w:pPr>
              <w:ind w:right="108"/>
              <w:jc w:val="right"/>
              <w:rPr>
                <w:b/>
                <w:sz w:val="16"/>
                <w:szCs w:val="16"/>
              </w:rPr>
            </w:pPr>
            <w:r w:rsidRPr="00872D7E">
              <w:rPr>
                <w:b/>
                <w:sz w:val="16"/>
                <w:szCs w:val="16"/>
              </w:rPr>
              <w:t>566.581</w:t>
            </w:r>
          </w:p>
        </w:tc>
      </w:tr>
      <w:tr w:rsidR="00857271" w:rsidRPr="00872D7E" w14:paraId="4719708A" w14:textId="77777777" w:rsidTr="00C423C8">
        <w:trPr>
          <w:cantSplit/>
          <w:trHeight w:val="24"/>
        </w:trPr>
        <w:tc>
          <w:tcPr>
            <w:tcW w:w="1749" w:type="pct"/>
            <w:tcBorders>
              <w:bottom w:val="single" w:sz="4" w:space="0" w:color="auto"/>
            </w:tcBorders>
            <w:shd w:val="clear" w:color="auto" w:fill="auto"/>
            <w:noWrap/>
            <w:tcMar>
              <w:top w:w="15" w:type="dxa"/>
              <w:left w:w="15" w:type="dxa"/>
              <w:bottom w:w="0" w:type="dxa"/>
              <w:right w:w="15" w:type="dxa"/>
            </w:tcMar>
            <w:vAlign w:val="center"/>
          </w:tcPr>
          <w:p w14:paraId="76FE6176" w14:textId="77777777" w:rsidR="00857271" w:rsidRPr="00872D7E" w:rsidRDefault="00857271" w:rsidP="006F61BC">
            <w:pPr>
              <w:ind w:left="240"/>
              <w:jc w:val="both"/>
              <w:rPr>
                <w:b/>
                <w:iCs/>
                <w:sz w:val="16"/>
                <w:szCs w:val="16"/>
              </w:rPr>
            </w:pPr>
            <w:r w:rsidRPr="00872D7E">
              <w:rPr>
                <w:b/>
                <w:iCs/>
                <w:sz w:val="16"/>
                <w:szCs w:val="16"/>
              </w:rPr>
              <w:t>Dönem sonu birikmiş amortisman</w:t>
            </w:r>
          </w:p>
        </w:tc>
        <w:tc>
          <w:tcPr>
            <w:tcW w:w="716" w:type="pct"/>
            <w:tcBorders>
              <w:bottom w:val="single" w:sz="4" w:space="0" w:color="auto"/>
            </w:tcBorders>
            <w:shd w:val="clear" w:color="auto" w:fill="auto"/>
            <w:noWrap/>
            <w:tcMar>
              <w:top w:w="15" w:type="dxa"/>
              <w:left w:w="15" w:type="dxa"/>
              <w:bottom w:w="0" w:type="dxa"/>
              <w:right w:w="15" w:type="dxa"/>
            </w:tcMar>
            <w:vAlign w:val="bottom"/>
          </w:tcPr>
          <w:p w14:paraId="17EDE69A" w14:textId="53B4CE8F" w:rsidR="00857271" w:rsidRPr="00872D7E" w:rsidRDefault="00857271" w:rsidP="006F61BC">
            <w:pPr>
              <w:ind w:right="108"/>
              <w:jc w:val="right"/>
              <w:rPr>
                <w:b/>
                <w:sz w:val="16"/>
                <w:szCs w:val="16"/>
              </w:rPr>
            </w:pPr>
            <w:r w:rsidRPr="00872D7E">
              <w:rPr>
                <w:b/>
                <w:sz w:val="16"/>
                <w:szCs w:val="16"/>
              </w:rPr>
              <w:t>(12.681)</w:t>
            </w:r>
          </w:p>
        </w:tc>
        <w:tc>
          <w:tcPr>
            <w:tcW w:w="593" w:type="pct"/>
            <w:tcBorders>
              <w:bottom w:val="single" w:sz="4" w:space="0" w:color="auto"/>
            </w:tcBorders>
            <w:shd w:val="clear" w:color="auto" w:fill="auto"/>
            <w:vAlign w:val="bottom"/>
          </w:tcPr>
          <w:p w14:paraId="1CB469CE" w14:textId="5A65347D" w:rsidR="00857271" w:rsidRPr="00872D7E" w:rsidRDefault="00857271" w:rsidP="006F61BC">
            <w:pPr>
              <w:ind w:right="108"/>
              <w:jc w:val="right"/>
              <w:rPr>
                <w:b/>
                <w:sz w:val="16"/>
                <w:szCs w:val="16"/>
              </w:rPr>
            </w:pPr>
            <w:r w:rsidRPr="00872D7E">
              <w:rPr>
                <w:b/>
                <w:sz w:val="16"/>
                <w:szCs w:val="16"/>
              </w:rPr>
              <w:t>-</w:t>
            </w:r>
          </w:p>
        </w:tc>
        <w:tc>
          <w:tcPr>
            <w:tcW w:w="456" w:type="pct"/>
            <w:tcBorders>
              <w:bottom w:val="single" w:sz="4" w:space="0" w:color="auto"/>
            </w:tcBorders>
            <w:shd w:val="clear" w:color="auto" w:fill="auto"/>
            <w:noWrap/>
            <w:tcMar>
              <w:top w:w="15" w:type="dxa"/>
              <w:left w:w="15" w:type="dxa"/>
              <w:bottom w:w="0" w:type="dxa"/>
              <w:right w:w="15" w:type="dxa"/>
            </w:tcMar>
            <w:vAlign w:val="bottom"/>
          </w:tcPr>
          <w:p w14:paraId="504BBEBB" w14:textId="779B98DE" w:rsidR="00857271" w:rsidRPr="00872D7E" w:rsidRDefault="00857271" w:rsidP="006F61BC">
            <w:pPr>
              <w:ind w:right="108"/>
              <w:jc w:val="right"/>
              <w:rPr>
                <w:b/>
                <w:sz w:val="16"/>
                <w:szCs w:val="16"/>
              </w:rPr>
            </w:pPr>
            <w:r w:rsidRPr="00872D7E">
              <w:rPr>
                <w:b/>
                <w:sz w:val="16"/>
                <w:szCs w:val="16"/>
              </w:rPr>
              <w:t>-</w:t>
            </w:r>
          </w:p>
        </w:tc>
        <w:tc>
          <w:tcPr>
            <w:tcW w:w="442" w:type="pct"/>
            <w:tcBorders>
              <w:bottom w:val="single" w:sz="4" w:space="0" w:color="auto"/>
            </w:tcBorders>
            <w:shd w:val="clear" w:color="auto" w:fill="auto"/>
            <w:vAlign w:val="bottom"/>
          </w:tcPr>
          <w:p w14:paraId="04E0DCEF" w14:textId="27446759" w:rsidR="00857271" w:rsidRPr="00872D7E" w:rsidRDefault="00857271" w:rsidP="006F61BC">
            <w:pPr>
              <w:ind w:right="108"/>
              <w:jc w:val="right"/>
              <w:rPr>
                <w:b/>
                <w:sz w:val="16"/>
                <w:szCs w:val="16"/>
              </w:rPr>
            </w:pPr>
            <w:r w:rsidRPr="00872D7E">
              <w:rPr>
                <w:b/>
                <w:sz w:val="16"/>
                <w:szCs w:val="16"/>
              </w:rPr>
              <w:t>(62.993)</w:t>
            </w:r>
          </w:p>
        </w:tc>
        <w:tc>
          <w:tcPr>
            <w:tcW w:w="539" w:type="pct"/>
            <w:tcBorders>
              <w:bottom w:val="single" w:sz="4" w:space="0" w:color="auto"/>
            </w:tcBorders>
            <w:shd w:val="clear" w:color="auto" w:fill="auto"/>
            <w:vAlign w:val="bottom"/>
          </w:tcPr>
          <w:p w14:paraId="41887DDD" w14:textId="063D8DFD" w:rsidR="00857271" w:rsidRPr="00872D7E" w:rsidRDefault="00857271" w:rsidP="006F61BC">
            <w:pPr>
              <w:ind w:right="108"/>
              <w:jc w:val="right"/>
              <w:rPr>
                <w:b/>
                <w:sz w:val="16"/>
                <w:szCs w:val="16"/>
              </w:rPr>
            </w:pPr>
            <w:r w:rsidRPr="00872D7E">
              <w:rPr>
                <w:b/>
                <w:sz w:val="16"/>
                <w:szCs w:val="16"/>
              </w:rPr>
              <w:t>-</w:t>
            </w:r>
          </w:p>
        </w:tc>
        <w:tc>
          <w:tcPr>
            <w:tcW w:w="505" w:type="pct"/>
            <w:tcBorders>
              <w:bottom w:val="single" w:sz="4" w:space="0" w:color="auto"/>
            </w:tcBorders>
            <w:shd w:val="clear" w:color="auto" w:fill="auto"/>
            <w:noWrap/>
            <w:tcMar>
              <w:top w:w="15" w:type="dxa"/>
              <w:left w:w="15" w:type="dxa"/>
              <w:bottom w:w="0" w:type="dxa"/>
              <w:right w:w="15" w:type="dxa"/>
            </w:tcMar>
            <w:vAlign w:val="bottom"/>
          </w:tcPr>
          <w:p w14:paraId="2C51543D" w14:textId="027CCF6C" w:rsidR="00857271" w:rsidRPr="00872D7E" w:rsidRDefault="00857271" w:rsidP="006F61BC">
            <w:pPr>
              <w:ind w:right="108"/>
              <w:jc w:val="right"/>
              <w:rPr>
                <w:b/>
                <w:sz w:val="16"/>
                <w:szCs w:val="16"/>
              </w:rPr>
            </w:pPr>
            <w:r w:rsidRPr="00872D7E">
              <w:rPr>
                <w:b/>
                <w:sz w:val="16"/>
                <w:szCs w:val="16"/>
              </w:rPr>
              <w:t>(75.674)</w:t>
            </w:r>
          </w:p>
        </w:tc>
      </w:tr>
      <w:tr w:rsidR="00857271" w:rsidRPr="00872D7E" w14:paraId="30385F88" w14:textId="77777777" w:rsidTr="00C423C8">
        <w:trPr>
          <w:cantSplit/>
          <w:trHeight w:val="24"/>
        </w:trPr>
        <w:tc>
          <w:tcPr>
            <w:tcW w:w="1749" w:type="pct"/>
            <w:tcBorders>
              <w:top w:val="single" w:sz="4" w:space="0" w:color="auto"/>
            </w:tcBorders>
            <w:shd w:val="clear" w:color="auto" w:fill="auto"/>
            <w:noWrap/>
            <w:tcMar>
              <w:top w:w="15" w:type="dxa"/>
              <w:left w:w="15" w:type="dxa"/>
              <w:bottom w:w="0" w:type="dxa"/>
              <w:right w:w="15" w:type="dxa"/>
            </w:tcMar>
            <w:vAlign w:val="center"/>
          </w:tcPr>
          <w:p w14:paraId="35FF49CE" w14:textId="77777777" w:rsidR="00857271" w:rsidRPr="00872D7E" w:rsidRDefault="00857271" w:rsidP="006F61BC">
            <w:pPr>
              <w:ind w:left="240"/>
              <w:jc w:val="both"/>
              <w:rPr>
                <w:b/>
                <w:iCs/>
                <w:sz w:val="16"/>
                <w:szCs w:val="16"/>
              </w:rPr>
            </w:pPr>
          </w:p>
        </w:tc>
        <w:tc>
          <w:tcPr>
            <w:tcW w:w="716" w:type="pct"/>
            <w:tcBorders>
              <w:top w:val="single" w:sz="4" w:space="0" w:color="auto"/>
            </w:tcBorders>
            <w:shd w:val="clear" w:color="auto" w:fill="auto"/>
            <w:noWrap/>
            <w:tcMar>
              <w:top w:w="15" w:type="dxa"/>
              <w:left w:w="15" w:type="dxa"/>
              <w:bottom w:w="0" w:type="dxa"/>
              <w:right w:w="15" w:type="dxa"/>
            </w:tcMar>
            <w:vAlign w:val="bottom"/>
          </w:tcPr>
          <w:p w14:paraId="1DBF3E5A" w14:textId="77777777" w:rsidR="00857271" w:rsidRPr="00872D7E" w:rsidRDefault="00857271" w:rsidP="006F61BC">
            <w:pPr>
              <w:ind w:right="108"/>
              <w:jc w:val="right"/>
              <w:rPr>
                <w:sz w:val="16"/>
                <w:szCs w:val="16"/>
              </w:rPr>
            </w:pPr>
          </w:p>
        </w:tc>
        <w:tc>
          <w:tcPr>
            <w:tcW w:w="593" w:type="pct"/>
            <w:tcBorders>
              <w:top w:val="single" w:sz="4" w:space="0" w:color="auto"/>
            </w:tcBorders>
            <w:shd w:val="clear" w:color="auto" w:fill="auto"/>
            <w:vAlign w:val="bottom"/>
          </w:tcPr>
          <w:p w14:paraId="4CC7C65B" w14:textId="77777777" w:rsidR="00857271" w:rsidRPr="00872D7E" w:rsidRDefault="00857271" w:rsidP="006F61BC">
            <w:pPr>
              <w:ind w:right="108"/>
              <w:jc w:val="right"/>
              <w:rPr>
                <w:sz w:val="16"/>
                <w:szCs w:val="16"/>
              </w:rPr>
            </w:pPr>
          </w:p>
        </w:tc>
        <w:tc>
          <w:tcPr>
            <w:tcW w:w="456" w:type="pct"/>
            <w:tcBorders>
              <w:top w:val="single" w:sz="4" w:space="0" w:color="auto"/>
            </w:tcBorders>
            <w:shd w:val="clear" w:color="auto" w:fill="auto"/>
            <w:noWrap/>
            <w:tcMar>
              <w:top w:w="15" w:type="dxa"/>
              <w:left w:w="15" w:type="dxa"/>
              <w:bottom w:w="0" w:type="dxa"/>
              <w:right w:w="15" w:type="dxa"/>
            </w:tcMar>
            <w:vAlign w:val="bottom"/>
          </w:tcPr>
          <w:p w14:paraId="27116BB9" w14:textId="77777777" w:rsidR="00857271" w:rsidRPr="00872D7E" w:rsidRDefault="00857271" w:rsidP="006F61BC">
            <w:pPr>
              <w:ind w:right="108"/>
              <w:jc w:val="right"/>
              <w:rPr>
                <w:sz w:val="16"/>
                <w:szCs w:val="16"/>
              </w:rPr>
            </w:pPr>
          </w:p>
        </w:tc>
        <w:tc>
          <w:tcPr>
            <w:tcW w:w="442" w:type="pct"/>
            <w:tcBorders>
              <w:top w:val="single" w:sz="4" w:space="0" w:color="auto"/>
            </w:tcBorders>
            <w:shd w:val="clear" w:color="auto" w:fill="auto"/>
            <w:vAlign w:val="bottom"/>
          </w:tcPr>
          <w:p w14:paraId="625E69CD" w14:textId="77777777" w:rsidR="00857271" w:rsidRPr="00872D7E" w:rsidRDefault="00857271" w:rsidP="006F61BC">
            <w:pPr>
              <w:ind w:right="108"/>
              <w:jc w:val="right"/>
              <w:rPr>
                <w:sz w:val="16"/>
                <w:szCs w:val="16"/>
              </w:rPr>
            </w:pPr>
          </w:p>
        </w:tc>
        <w:tc>
          <w:tcPr>
            <w:tcW w:w="539" w:type="pct"/>
            <w:tcBorders>
              <w:top w:val="single" w:sz="4" w:space="0" w:color="auto"/>
            </w:tcBorders>
            <w:shd w:val="clear" w:color="auto" w:fill="auto"/>
            <w:vAlign w:val="bottom"/>
          </w:tcPr>
          <w:p w14:paraId="5B0DD641" w14:textId="77777777" w:rsidR="00857271" w:rsidRPr="00872D7E" w:rsidRDefault="00857271" w:rsidP="006F61BC">
            <w:pPr>
              <w:ind w:right="108"/>
              <w:jc w:val="right"/>
              <w:rPr>
                <w:sz w:val="16"/>
                <w:szCs w:val="16"/>
              </w:rPr>
            </w:pPr>
          </w:p>
        </w:tc>
        <w:tc>
          <w:tcPr>
            <w:tcW w:w="505" w:type="pct"/>
            <w:tcBorders>
              <w:top w:val="single" w:sz="4" w:space="0" w:color="auto"/>
            </w:tcBorders>
            <w:shd w:val="clear" w:color="auto" w:fill="auto"/>
            <w:noWrap/>
            <w:tcMar>
              <w:top w:w="15" w:type="dxa"/>
              <w:left w:w="15" w:type="dxa"/>
              <w:bottom w:w="0" w:type="dxa"/>
              <w:right w:w="15" w:type="dxa"/>
            </w:tcMar>
            <w:vAlign w:val="bottom"/>
          </w:tcPr>
          <w:p w14:paraId="3CE17453" w14:textId="15B4A0A4" w:rsidR="00857271" w:rsidRPr="00872D7E" w:rsidRDefault="00857271" w:rsidP="006F61BC">
            <w:pPr>
              <w:ind w:right="108"/>
              <w:jc w:val="right"/>
              <w:rPr>
                <w:sz w:val="16"/>
                <w:szCs w:val="16"/>
              </w:rPr>
            </w:pPr>
          </w:p>
        </w:tc>
      </w:tr>
      <w:tr w:rsidR="00857271" w:rsidRPr="00872D7E" w14:paraId="0633A2AB" w14:textId="77777777" w:rsidTr="00C423C8">
        <w:trPr>
          <w:cantSplit/>
          <w:trHeight w:val="24"/>
        </w:trPr>
        <w:tc>
          <w:tcPr>
            <w:tcW w:w="1749" w:type="pct"/>
            <w:tcBorders>
              <w:bottom w:val="single" w:sz="12" w:space="0" w:color="auto"/>
            </w:tcBorders>
            <w:shd w:val="clear" w:color="auto" w:fill="auto"/>
            <w:noWrap/>
            <w:tcMar>
              <w:top w:w="15" w:type="dxa"/>
              <w:left w:w="15" w:type="dxa"/>
              <w:bottom w:w="0" w:type="dxa"/>
              <w:right w:w="15" w:type="dxa"/>
            </w:tcMar>
            <w:vAlign w:val="center"/>
          </w:tcPr>
          <w:p w14:paraId="7DB5B3E7" w14:textId="77777777" w:rsidR="00857271" w:rsidRPr="00872D7E" w:rsidRDefault="00857271" w:rsidP="006F61BC">
            <w:pPr>
              <w:ind w:left="240"/>
              <w:jc w:val="both"/>
              <w:rPr>
                <w:b/>
                <w:iCs/>
                <w:sz w:val="16"/>
                <w:szCs w:val="16"/>
              </w:rPr>
            </w:pPr>
            <w:r w:rsidRPr="00872D7E">
              <w:rPr>
                <w:b/>
                <w:iCs/>
                <w:sz w:val="16"/>
                <w:szCs w:val="16"/>
              </w:rPr>
              <w:t>Kapanış Net Defter Değeri</w:t>
            </w:r>
          </w:p>
        </w:tc>
        <w:tc>
          <w:tcPr>
            <w:tcW w:w="716" w:type="pct"/>
            <w:tcBorders>
              <w:bottom w:val="single" w:sz="12" w:space="0" w:color="auto"/>
            </w:tcBorders>
            <w:shd w:val="clear" w:color="auto" w:fill="auto"/>
            <w:noWrap/>
            <w:tcMar>
              <w:top w:w="15" w:type="dxa"/>
              <w:left w:w="15" w:type="dxa"/>
              <w:bottom w:w="0" w:type="dxa"/>
              <w:right w:w="15" w:type="dxa"/>
            </w:tcMar>
            <w:vAlign w:val="bottom"/>
          </w:tcPr>
          <w:p w14:paraId="3EC39A68" w14:textId="092E11AB" w:rsidR="00857271" w:rsidRPr="00872D7E" w:rsidRDefault="00857271" w:rsidP="006F61BC">
            <w:pPr>
              <w:ind w:right="108"/>
              <w:jc w:val="right"/>
              <w:rPr>
                <w:b/>
                <w:sz w:val="16"/>
                <w:szCs w:val="16"/>
              </w:rPr>
            </w:pPr>
            <w:r w:rsidRPr="00872D7E">
              <w:rPr>
                <w:b/>
                <w:sz w:val="16"/>
                <w:szCs w:val="16"/>
              </w:rPr>
              <w:t>115.650</w:t>
            </w:r>
          </w:p>
        </w:tc>
        <w:tc>
          <w:tcPr>
            <w:tcW w:w="593" w:type="pct"/>
            <w:tcBorders>
              <w:bottom w:val="single" w:sz="12" w:space="0" w:color="auto"/>
            </w:tcBorders>
            <w:shd w:val="clear" w:color="auto" w:fill="auto"/>
            <w:vAlign w:val="bottom"/>
          </w:tcPr>
          <w:p w14:paraId="71075A6D" w14:textId="47687FC6" w:rsidR="00857271" w:rsidRPr="00872D7E" w:rsidRDefault="00857271" w:rsidP="006F61BC">
            <w:pPr>
              <w:ind w:right="108"/>
              <w:jc w:val="right"/>
              <w:rPr>
                <w:b/>
                <w:sz w:val="16"/>
                <w:szCs w:val="16"/>
              </w:rPr>
            </w:pPr>
            <w:r w:rsidRPr="00872D7E">
              <w:rPr>
                <w:b/>
                <w:sz w:val="16"/>
                <w:szCs w:val="16"/>
              </w:rPr>
              <w:t>-</w:t>
            </w:r>
          </w:p>
        </w:tc>
        <w:tc>
          <w:tcPr>
            <w:tcW w:w="456" w:type="pct"/>
            <w:tcBorders>
              <w:bottom w:val="single" w:sz="12" w:space="0" w:color="auto"/>
            </w:tcBorders>
            <w:shd w:val="clear" w:color="auto" w:fill="auto"/>
            <w:noWrap/>
            <w:tcMar>
              <w:top w:w="15" w:type="dxa"/>
              <w:left w:w="15" w:type="dxa"/>
              <w:bottom w:w="0" w:type="dxa"/>
              <w:right w:w="15" w:type="dxa"/>
            </w:tcMar>
            <w:vAlign w:val="bottom"/>
          </w:tcPr>
          <w:p w14:paraId="4224EED9" w14:textId="0EFAB7AC" w:rsidR="00857271" w:rsidRPr="00872D7E" w:rsidRDefault="00857271" w:rsidP="006F61BC">
            <w:pPr>
              <w:ind w:right="108"/>
              <w:jc w:val="right"/>
              <w:rPr>
                <w:b/>
                <w:sz w:val="16"/>
                <w:szCs w:val="16"/>
              </w:rPr>
            </w:pPr>
            <w:r w:rsidRPr="00872D7E">
              <w:rPr>
                <w:b/>
                <w:sz w:val="16"/>
                <w:szCs w:val="16"/>
              </w:rPr>
              <w:t>-</w:t>
            </w:r>
          </w:p>
        </w:tc>
        <w:tc>
          <w:tcPr>
            <w:tcW w:w="442" w:type="pct"/>
            <w:tcBorders>
              <w:bottom w:val="single" w:sz="12" w:space="0" w:color="auto"/>
            </w:tcBorders>
            <w:shd w:val="clear" w:color="auto" w:fill="auto"/>
            <w:vAlign w:val="bottom"/>
          </w:tcPr>
          <w:p w14:paraId="1DEBE05D" w14:textId="4365097E" w:rsidR="00857271" w:rsidRPr="00872D7E" w:rsidRDefault="00857271" w:rsidP="006F61BC">
            <w:pPr>
              <w:ind w:right="108"/>
              <w:jc w:val="right"/>
              <w:rPr>
                <w:b/>
                <w:sz w:val="16"/>
                <w:szCs w:val="16"/>
              </w:rPr>
            </w:pPr>
            <w:r w:rsidRPr="00872D7E">
              <w:rPr>
                <w:b/>
                <w:sz w:val="16"/>
                <w:szCs w:val="16"/>
              </w:rPr>
              <w:t>375.257</w:t>
            </w:r>
          </w:p>
        </w:tc>
        <w:tc>
          <w:tcPr>
            <w:tcW w:w="539" w:type="pct"/>
            <w:tcBorders>
              <w:bottom w:val="single" w:sz="12" w:space="0" w:color="auto"/>
            </w:tcBorders>
            <w:shd w:val="clear" w:color="auto" w:fill="auto"/>
            <w:vAlign w:val="bottom"/>
          </w:tcPr>
          <w:p w14:paraId="7D0B07FA" w14:textId="1629EF9B" w:rsidR="00857271" w:rsidRPr="00872D7E" w:rsidRDefault="00857271" w:rsidP="006F61BC">
            <w:pPr>
              <w:ind w:right="108"/>
              <w:jc w:val="right"/>
              <w:rPr>
                <w:b/>
                <w:sz w:val="16"/>
                <w:szCs w:val="16"/>
              </w:rPr>
            </w:pPr>
            <w:r w:rsidRPr="00872D7E">
              <w:rPr>
                <w:b/>
                <w:sz w:val="16"/>
                <w:szCs w:val="16"/>
              </w:rPr>
              <w:t>-</w:t>
            </w:r>
          </w:p>
        </w:tc>
        <w:tc>
          <w:tcPr>
            <w:tcW w:w="505" w:type="pct"/>
            <w:tcBorders>
              <w:bottom w:val="single" w:sz="12" w:space="0" w:color="auto"/>
            </w:tcBorders>
            <w:shd w:val="clear" w:color="auto" w:fill="auto"/>
            <w:noWrap/>
            <w:tcMar>
              <w:top w:w="15" w:type="dxa"/>
              <w:left w:w="15" w:type="dxa"/>
              <w:bottom w:w="0" w:type="dxa"/>
              <w:right w:w="15" w:type="dxa"/>
            </w:tcMar>
            <w:vAlign w:val="bottom"/>
          </w:tcPr>
          <w:p w14:paraId="2B3E0ADE" w14:textId="61D9D610" w:rsidR="00857271" w:rsidRPr="00872D7E" w:rsidRDefault="00857271" w:rsidP="006F61BC">
            <w:pPr>
              <w:ind w:right="108"/>
              <w:jc w:val="right"/>
              <w:rPr>
                <w:b/>
                <w:sz w:val="16"/>
                <w:szCs w:val="16"/>
              </w:rPr>
            </w:pPr>
            <w:r w:rsidRPr="00872D7E">
              <w:rPr>
                <w:b/>
                <w:sz w:val="16"/>
                <w:szCs w:val="16"/>
              </w:rPr>
              <w:t>490.907</w:t>
            </w:r>
          </w:p>
        </w:tc>
      </w:tr>
    </w:tbl>
    <w:p w14:paraId="5FF89D8F" w14:textId="778F55AE" w:rsidR="0077553B" w:rsidRPr="00872D7E" w:rsidRDefault="0077553B" w:rsidP="00FC2641">
      <w:pPr>
        <w:spacing w:before="120"/>
        <w:ind w:left="567" w:right="45" w:hanging="567"/>
        <w:jc w:val="both"/>
        <w:rPr>
          <w:sz w:val="18"/>
          <w:szCs w:val="18"/>
        </w:rPr>
      </w:pPr>
      <w:bookmarkStart w:id="77" w:name="_Hlk158639261"/>
      <w:bookmarkStart w:id="78" w:name="_Hlk187762505"/>
      <w:bookmarkEnd w:id="76"/>
      <w:r w:rsidRPr="00872D7E">
        <w:rPr>
          <w:sz w:val="18"/>
          <w:szCs w:val="18"/>
          <w:vertAlign w:val="superscript"/>
        </w:rPr>
        <w:t>(*)</w:t>
      </w:r>
      <w:bookmarkEnd w:id="77"/>
      <w:r w:rsidR="008D53DB" w:rsidRPr="00872D7E">
        <w:rPr>
          <w:sz w:val="18"/>
          <w:szCs w:val="18"/>
          <w:vertAlign w:val="superscript"/>
        </w:rPr>
        <w:t xml:space="preserve"> </w:t>
      </w:r>
      <w:r w:rsidR="00FC2641" w:rsidRPr="00872D7E">
        <w:rPr>
          <w:sz w:val="18"/>
          <w:szCs w:val="18"/>
          <w:vertAlign w:val="superscript"/>
        </w:rPr>
        <w:tab/>
      </w:r>
      <w:r w:rsidRPr="00872D7E">
        <w:rPr>
          <w:sz w:val="18"/>
          <w:szCs w:val="18"/>
        </w:rPr>
        <w:t xml:space="preserve">Banka’nın gayrimenkullerinin maliyet bedeli </w:t>
      </w:r>
      <w:r w:rsidR="0035663B" w:rsidRPr="00872D7E">
        <w:rPr>
          <w:sz w:val="18"/>
          <w:szCs w:val="18"/>
        </w:rPr>
        <w:t xml:space="preserve">15.577 </w:t>
      </w:r>
      <w:r w:rsidRPr="00872D7E">
        <w:rPr>
          <w:sz w:val="18"/>
          <w:szCs w:val="18"/>
        </w:rPr>
        <w:t xml:space="preserve">TL, amortisman tutarı </w:t>
      </w:r>
      <w:r w:rsidR="0035663B" w:rsidRPr="00872D7E">
        <w:rPr>
          <w:sz w:val="18"/>
          <w:szCs w:val="18"/>
        </w:rPr>
        <w:t xml:space="preserve">5.162 </w:t>
      </w:r>
      <w:r w:rsidRPr="00872D7E">
        <w:rPr>
          <w:sz w:val="18"/>
          <w:szCs w:val="18"/>
        </w:rPr>
        <w:t>TL, net defter değeri ise</w:t>
      </w:r>
      <w:r w:rsidR="0035663B" w:rsidRPr="00872D7E">
        <w:rPr>
          <w:sz w:val="18"/>
          <w:szCs w:val="18"/>
        </w:rPr>
        <w:t xml:space="preserve"> 10.415</w:t>
      </w:r>
      <w:r w:rsidRPr="00872D7E">
        <w:rPr>
          <w:sz w:val="18"/>
          <w:szCs w:val="18"/>
        </w:rPr>
        <w:t xml:space="preserve"> TL’dir. </w:t>
      </w:r>
      <w:bookmarkStart w:id="79" w:name="_Hlk158645447"/>
      <w:r w:rsidR="00FC2641" w:rsidRPr="00872D7E">
        <w:rPr>
          <w:sz w:val="18"/>
          <w:szCs w:val="18"/>
        </w:rPr>
        <w:br/>
      </w:r>
      <w:r w:rsidRPr="00872D7E">
        <w:rPr>
          <w:sz w:val="18"/>
          <w:szCs w:val="18"/>
        </w:rPr>
        <w:t>31 Aralık 202</w:t>
      </w:r>
      <w:r w:rsidR="004916F4" w:rsidRPr="00872D7E">
        <w:rPr>
          <w:sz w:val="18"/>
          <w:szCs w:val="18"/>
        </w:rPr>
        <w:t>4</w:t>
      </w:r>
      <w:r w:rsidRPr="00872D7E">
        <w:rPr>
          <w:sz w:val="18"/>
          <w:szCs w:val="18"/>
        </w:rPr>
        <w:t xml:space="preserve"> tarihi itibarıyla Banka bilançosunda maddi duran varlıklar altında “TFRS 16 Kiralamalar “standardı gereğince kullanım hakkı varlığı olarak muhasebeleştirilen gayrimenkullerin maliyeti bedeli </w:t>
      </w:r>
      <w:r w:rsidR="0035663B" w:rsidRPr="00872D7E">
        <w:rPr>
          <w:sz w:val="18"/>
          <w:szCs w:val="18"/>
        </w:rPr>
        <w:t xml:space="preserve">112.754 </w:t>
      </w:r>
      <w:r w:rsidRPr="00872D7E">
        <w:rPr>
          <w:sz w:val="18"/>
          <w:szCs w:val="18"/>
        </w:rPr>
        <w:t xml:space="preserve">TL, amortisman tutarı </w:t>
      </w:r>
      <w:r w:rsidR="0035663B" w:rsidRPr="00872D7E">
        <w:rPr>
          <w:sz w:val="18"/>
          <w:szCs w:val="18"/>
        </w:rPr>
        <w:t xml:space="preserve">7.519 </w:t>
      </w:r>
      <w:r w:rsidRPr="00872D7E">
        <w:rPr>
          <w:sz w:val="18"/>
          <w:szCs w:val="18"/>
        </w:rPr>
        <w:t xml:space="preserve">TL, net defter değeri ise </w:t>
      </w:r>
      <w:r w:rsidR="0035663B" w:rsidRPr="00872D7E">
        <w:rPr>
          <w:sz w:val="18"/>
          <w:szCs w:val="18"/>
        </w:rPr>
        <w:t xml:space="preserve">105.235 </w:t>
      </w:r>
      <w:r w:rsidRPr="00872D7E">
        <w:rPr>
          <w:sz w:val="18"/>
          <w:szCs w:val="18"/>
        </w:rPr>
        <w:t>TL’dir.</w:t>
      </w:r>
      <w:bookmarkEnd w:id="78"/>
      <w:bookmarkEnd w:id="79"/>
    </w:p>
    <w:p w14:paraId="1029944D" w14:textId="77777777" w:rsidR="000B0EE6" w:rsidRPr="00872D7E" w:rsidRDefault="000B0EE6">
      <w:pPr>
        <w:rPr>
          <w:rFonts w:eastAsia="Arial Unicode MS"/>
        </w:rPr>
      </w:pPr>
    </w:p>
    <w:p w14:paraId="59177F24" w14:textId="77777777" w:rsidR="000B0EE6" w:rsidRPr="00872D7E" w:rsidRDefault="000B0EE6">
      <w:pPr>
        <w:rPr>
          <w:rFonts w:eastAsia="Arial Unicode MS"/>
        </w:rPr>
      </w:pPr>
    </w:p>
    <w:p w14:paraId="31CB85D7" w14:textId="77777777" w:rsidR="000B0EE6" w:rsidRPr="00872D7E" w:rsidRDefault="000B0EE6">
      <w:pPr>
        <w:rPr>
          <w:rFonts w:eastAsia="Arial Unicode MS"/>
        </w:rPr>
      </w:pPr>
    </w:p>
    <w:p w14:paraId="15DBA4FC" w14:textId="77777777" w:rsidR="000B0EE6" w:rsidRPr="00872D7E" w:rsidRDefault="000B0EE6">
      <w:pPr>
        <w:rPr>
          <w:b/>
          <w:szCs w:val="20"/>
        </w:rPr>
      </w:pPr>
      <w:r w:rsidRPr="00872D7E">
        <w:rPr>
          <w:b/>
          <w:szCs w:val="20"/>
        </w:rPr>
        <w:br w:type="page"/>
      </w:r>
    </w:p>
    <w:p w14:paraId="67DA4AF7" w14:textId="05A13E32" w:rsidR="000B0EE6" w:rsidRPr="00872D7E" w:rsidRDefault="000B0EE6" w:rsidP="000B0EE6">
      <w:pPr>
        <w:widowControl w:val="0"/>
        <w:ind w:left="720" w:hanging="720"/>
        <w:jc w:val="both"/>
        <w:rPr>
          <w:b/>
          <w:szCs w:val="20"/>
        </w:rPr>
      </w:pPr>
      <w:r w:rsidRPr="00872D7E">
        <w:rPr>
          <w:b/>
          <w:szCs w:val="20"/>
        </w:rPr>
        <w:lastRenderedPageBreak/>
        <w:t>KONSOLİDE OLMAYAN FİNANSAL TABLOLARA İLİŞKİN AÇIKLAMA VE DİPNOTLAR (Devamı)</w:t>
      </w:r>
    </w:p>
    <w:p w14:paraId="3C7AD8F9" w14:textId="77777777" w:rsidR="000B0EE6" w:rsidRPr="00872D7E" w:rsidRDefault="000B0EE6" w:rsidP="000B0EE6">
      <w:pPr>
        <w:pStyle w:val="ListParagraph"/>
        <w:widowControl w:val="0"/>
        <w:ind w:left="14" w:right="452"/>
        <w:jc w:val="both"/>
        <w:rPr>
          <w:b/>
          <w:szCs w:val="20"/>
        </w:rPr>
      </w:pPr>
    </w:p>
    <w:p w14:paraId="348250CD" w14:textId="77777777" w:rsidR="000B0EE6" w:rsidRPr="00872D7E" w:rsidRDefault="000B0EE6" w:rsidP="00F7307B">
      <w:pPr>
        <w:pStyle w:val="ListParagraph"/>
        <w:widowControl w:val="0"/>
        <w:numPr>
          <w:ilvl w:val="0"/>
          <w:numId w:val="87"/>
        </w:numPr>
        <w:ind w:left="851" w:hanging="862"/>
        <w:jc w:val="both"/>
        <w:rPr>
          <w:b/>
          <w:szCs w:val="20"/>
        </w:rPr>
      </w:pPr>
      <w:r w:rsidRPr="00872D7E">
        <w:rPr>
          <w:b/>
          <w:szCs w:val="20"/>
        </w:rPr>
        <w:t>BİLANÇONUN AKTİF HESAPLARINA İLİŞKİN AÇIKLAMA VE DİPNOTLAR (Devamı)</w:t>
      </w:r>
    </w:p>
    <w:p w14:paraId="086AAAD1" w14:textId="40CFF971" w:rsidR="006732F7" w:rsidRPr="00872D7E" w:rsidRDefault="006732F7">
      <w:pPr>
        <w:rPr>
          <w:rFonts w:eastAsia="Arial Unicode MS"/>
        </w:rPr>
      </w:pPr>
    </w:p>
    <w:p w14:paraId="7F27C899" w14:textId="77777777" w:rsidR="00B41104" w:rsidRPr="00872D7E" w:rsidRDefault="00B41104" w:rsidP="00DF282B">
      <w:pPr>
        <w:pStyle w:val="ListParagraph"/>
        <w:widowControl w:val="0"/>
        <w:numPr>
          <w:ilvl w:val="0"/>
          <w:numId w:val="43"/>
        </w:numPr>
        <w:tabs>
          <w:tab w:val="clear" w:pos="540"/>
        </w:tabs>
        <w:autoSpaceDE w:val="0"/>
        <w:autoSpaceDN w:val="0"/>
        <w:adjustRightInd w:val="0"/>
        <w:ind w:left="851" w:hanging="851"/>
        <w:jc w:val="both"/>
        <w:rPr>
          <w:b/>
          <w:szCs w:val="20"/>
        </w:rPr>
      </w:pPr>
      <w:r w:rsidRPr="00872D7E">
        <w:rPr>
          <w:b/>
          <w:szCs w:val="20"/>
        </w:rPr>
        <w:t>Maddi olmayan duran varlıklara ilişkin açıklamalar:</w:t>
      </w:r>
    </w:p>
    <w:p w14:paraId="4940677B" w14:textId="77777777" w:rsidR="0077553B" w:rsidRPr="00872D7E" w:rsidRDefault="0077553B" w:rsidP="000336FF">
      <w:pPr>
        <w:numPr>
          <w:ilvl w:val="0"/>
          <w:numId w:val="79"/>
        </w:numPr>
        <w:tabs>
          <w:tab w:val="right" w:pos="5760"/>
          <w:tab w:val="right" w:pos="7320"/>
          <w:tab w:val="left" w:pos="7560"/>
          <w:tab w:val="right" w:pos="8863"/>
        </w:tabs>
        <w:spacing w:before="120" w:after="120"/>
        <w:ind w:left="851" w:hanging="851"/>
        <w:jc w:val="both"/>
        <w:rPr>
          <w:szCs w:val="20"/>
        </w:rPr>
      </w:pPr>
      <w:r w:rsidRPr="00872D7E">
        <w:rPr>
          <w:szCs w:val="20"/>
        </w:rPr>
        <w:t>Dönem başı ve dönem sonundaki brüt defter değeri ile birikmiş amortisman tutarları:</w:t>
      </w:r>
    </w:p>
    <w:tbl>
      <w:tblPr>
        <w:tblW w:w="5000" w:type="pct"/>
        <w:tblLook w:val="0000" w:firstRow="0" w:lastRow="0" w:firstColumn="0" w:lastColumn="0" w:noHBand="0" w:noVBand="0"/>
      </w:tblPr>
      <w:tblGrid>
        <w:gridCol w:w="5631"/>
        <w:gridCol w:w="1862"/>
        <w:gridCol w:w="1862"/>
      </w:tblGrid>
      <w:tr w:rsidR="0077553B" w:rsidRPr="00872D7E" w14:paraId="1E9E4731" w14:textId="77777777" w:rsidTr="00C423C8">
        <w:trPr>
          <w:trHeight w:val="163"/>
        </w:trPr>
        <w:tc>
          <w:tcPr>
            <w:tcW w:w="3010" w:type="pct"/>
            <w:shd w:val="clear" w:color="auto" w:fill="auto"/>
          </w:tcPr>
          <w:p w14:paraId="46CEC308" w14:textId="77777777" w:rsidR="0077553B" w:rsidRPr="00872D7E" w:rsidRDefault="0077553B" w:rsidP="00C95C76">
            <w:pPr>
              <w:autoSpaceDE w:val="0"/>
              <w:autoSpaceDN w:val="0"/>
              <w:adjustRightInd w:val="0"/>
              <w:rPr>
                <w:rFonts w:eastAsia="Arial Unicode MS"/>
                <w:b/>
                <w:szCs w:val="20"/>
              </w:rPr>
            </w:pPr>
          </w:p>
        </w:tc>
        <w:tc>
          <w:tcPr>
            <w:tcW w:w="995" w:type="pct"/>
            <w:shd w:val="clear" w:color="auto" w:fill="auto"/>
            <w:vAlign w:val="center"/>
          </w:tcPr>
          <w:p w14:paraId="051CF296" w14:textId="3A80551E" w:rsidR="0077553B" w:rsidRPr="00872D7E" w:rsidRDefault="006732F7" w:rsidP="00C95C76">
            <w:pPr>
              <w:ind w:firstLine="151"/>
              <w:jc w:val="right"/>
              <w:rPr>
                <w:rFonts w:eastAsia="Arial Unicode MS"/>
                <w:b/>
                <w:szCs w:val="20"/>
              </w:rPr>
            </w:pPr>
            <w:r w:rsidRPr="00872D7E">
              <w:rPr>
                <w:b/>
                <w:szCs w:val="20"/>
              </w:rPr>
              <w:t>31 Aralık 2024</w:t>
            </w:r>
          </w:p>
        </w:tc>
        <w:tc>
          <w:tcPr>
            <w:tcW w:w="995" w:type="pct"/>
            <w:shd w:val="clear" w:color="auto" w:fill="auto"/>
            <w:vAlign w:val="center"/>
          </w:tcPr>
          <w:p w14:paraId="42930E74" w14:textId="61426582" w:rsidR="0077553B" w:rsidRPr="00872D7E" w:rsidRDefault="006732F7" w:rsidP="00C95C76">
            <w:pPr>
              <w:ind w:firstLine="151"/>
              <w:jc w:val="right"/>
              <w:rPr>
                <w:b/>
                <w:szCs w:val="20"/>
              </w:rPr>
            </w:pPr>
            <w:r w:rsidRPr="00872D7E">
              <w:rPr>
                <w:b/>
                <w:szCs w:val="20"/>
              </w:rPr>
              <w:t>1 Ocak 2024</w:t>
            </w:r>
          </w:p>
        </w:tc>
      </w:tr>
      <w:tr w:rsidR="0077553B" w:rsidRPr="00872D7E" w14:paraId="5CF8147B" w14:textId="77777777" w:rsidTr="00C423C8">
        <w:trPr>
          <w:trHeight w:val="149"/>
        </w:trPr>
        <w:tc>
          <w:tcPr>
            <w:tcW w:w="3010" w:type="pct"/>
            <w:shd w:val="clear" w:color="auto" w:fill="auto"/>
          </w:tcPr>
          <w:p w14:paraId="391DEE7B" w14:textId="77777777" w:rsidR="0077553B" w:rsidRPr="00872D7E" w:rsidRDefault="0077553B" w:rsidP="00C95C76">
            <w:pPr>
              <w:autoSpaceDE w:val="0"/>
              <w:autoSpaceDN w:val="0"/>
              <w:adjustRightInd w:val="0"/>
              <w:rPr>
                <w:rFonts w:eastAsia="Arial Unicode MS"/>
                <w:szCs w:val="20"/>
              </w:rPr>
            </w:pPr>
          </w:p>
        </w:tc>
        <w:tc>
          <w:tcPr>
            <w:tcW w:w="995" w:type="pct"/>
            <w:shd w:val="clear" w:color="auto" w:fill="auto"/>
          </w:tcPr>
          <w:p w14:paraId="4C52A9B1" w14:textId="77777777" w:rsidR="0077553B" w:rsidRPr="00872D7E" w:rsidRDefault="0077553B" w:rsidP="00C95C76">
            <w:pPr>
              <w:autoSpaceDE w:val="0"/>
              <w:autoSpaceDN w:val="0"/>
              <w:adjustRightInd w:val="0"/>
              <w:jc w:val="right"/>
              <w:rPr>
                <w:rFonts w:eastAsia="Arial Unicode MS"/>
                <w:szCs w:val="20"/>
              </w:rPr>
            </w:pPr>
          </w:p>
        </w:tc>
        <w:tc>
          <w:tcPr>
            <w:tcW w:w="995" w:type="pct"/>
            <w:shd w:val="clear" w:color="auto" w:fill="auto"/>
          </w:tcPr>
          <w:p w14:paraId="1A44D04F" w14:textId="77777777" w:rsidR="0077553B" w:rsidRPr="00872D7E" w:rsidRDefault="0077553B" w:rsidP="00C95C76">
            <w:pPr>
              <w:autoSpaceDE w:val="0"/>
              <w:autoSpaceDN w:val="0"/>
              <w:adjustRightInd w:val="0"/>
              <w:jc w:val="right"/>
              <w:rPr>
                <w:rFonts w:eastAsia="Arial Unicode MS"/>
                <w:szCs w:val="20"/>
              </w:rPr>
            </w:pPr>
          </w:p>
        </w:tc>
      </w:tr>
      <w:tr w:rsidR="00C95C76" w:rsidRPr="00872D7E" w14:paraId="75C9D864" w14:textId="77777777" w:rsidTr="00C423C8">
        <w:trPr>
          <w:trHeight w:val="149"/>
        </w:trPr>
        <w:tc>
          <w:tcPr>
            <w:tcW w:w="3010" w:type="pct"/>
            <w:shd w:val="clear" w:color="auto" w:fill="auto"/>
          </w:tcPr>
          <w:p w14:paraId="34368BD9" w14:textId="77777777" w:rsidR="00C95C76" w:rsidRPr="00872D7E" w:rsidRDefault="00C95C76" w:rsidP="00C95C76">
            <w:pPr>
              <w:autoSpaceDE w:val="0"/>
              <w:autoSpaceDN w:val="0"/>
              <w:adjustRightInd w:val="0"/>
              <w:ind w:hanging="108"/>
              <w:rPr>
                <w:rFonts w:eastAsia="Arial Unicode MS"/>
                <w:szCs w:val="20"/>
              </w:rPr>
            </w:pPr>
            <w:r w:rsidRPr="00872D7E">
              <w:rPr>
                <w:rFonts w:eastAsia="Arial Unicode MS"/>
                <w:szCs w:val="20"/>
              </w:rPr>
              <w:t>Brüt defter değeri</w:t>
            </w:r>
          </w:p>
        </w:tc>
        <w:tc>
          <w:tcPr>
            <w:tcW w:w="995" w:type="pct"/>
            <w:shd w:val="clear" w:color="auto" w:fill="auto"/>
          </w:tcPr>
          <w:p w14:paraId="2B9FE384" w14:textId="72CD76C6" w:rsidR="00C95C76" w:rsidRPr="00872D7E" w:rsidRDefault="00C95C76" w:rsidP="00C95C76">
            <w:pPr>
              <w:ind w:right="-13"/>
              <w:jc w:val="right"/>
              <w:rPr>
                <w:szCs w:val="20"/>
              </w:rPr>
            </w:pPr>
            <w:r w:rsidRPr="00872D7E">
              <w:rPr>
                <w:szCs w:val="20"/>
              </w:rPr>
              <w:t>245.527</w:t>
            </w:r>
          </w:p>
        </w:tc>
        <w:tc>
          <w:tcPr>
            <w:tcW w:w="995" w:type="pct"/>
            <w:shd w:val="clear" w:color="auto" w:fill="auto"/>
          </w:tcPr>
          <w:p w14:paraId="2FE81712" w14:textId="28170C5F" w:rsidR="00C95C76" w:rsidRPr="00872D7E" w:rsidRDefault="0061700E" w:rsidP="00C95C76">
            <w:pPr>
              <w:ind w:right="-13"/>
              <w:jc w:val="right"/>
              <w:rPr>
                <w:szCs w:val="20"/>
              </w:rPr>
            </w:pPr>
            <w:r w:rsidRPr="00872D7E">
              <w:rPr>
                <w:szCs w:val="20"/>
              </w:rPr>
              <w:t>5.794</w:t>
            </w:r>
          </w:p>
        </w:tc>
      </w:tr>
      <w:tr w:rsidR="00C95C76" w:rsidRPr="00872D7E" w14:paraId="69C6CDDF" w14:textId="77777777" w:rsidTr="00C423C8">
        <w:trPr>
          <w:trHeight w:val="149"/>
        </w:trPr>
        <w:tc>
          <w:tcPr>
            <w:tcW w:w="3010" w:type="pct"/>
            <w:tcBorders>
              <w:bottom w:val="single" w:sz="4" w:space="0" w:color="auto"/>
            </w:tcBorders>
            <w:shd w:val="clear" w:color="auto" w:fill="auto"/>
          </w:tcPr>
          <w:p w14:paraId="5B7F5FC6" w14:textId="77777777" w:rsidR="00C95C76" w:rsidRPr="00872D7E" w:rsidRDefault="00C95C76" w:rsidP="00C95C76">
            <w:pPr>
              <w:autoSpaceDE w:val="0"/>
              <w:autoSpaceDN w:val="0"/>
              <w:adjustRightInd w:val="0"/>
              <w:ind w:hanging="108"/>
              <w:rPr>
                <w:rFonts w:eastAsia="Arial Unicode MS"/>
                <w:szCs w:val="20"/>
              </w:rPr>
            </w:pPr>
            <w:r w:rsidRPr="00872D7E">
              <w:rPr>
                <w:rFonts w:eastAsia="Arial Unicode MS"/>
                <w:szCs w:val="20"/>
              </w:rPr>
              <w:t>Birikmiş amortisman (-)</w:t>
            </w:r>
          </w:p>
        </w:tc>
        <w:tc>
          <w:tcPr>
            <w:tcW w:w="995" w:type="pct"/>
            <w:tcBorders>
              <w:bottom w:val="single" w:sz="4" w:space="0" w:color="auto"/>
            </w:tcBorders>
            <w:shd w:val="clear" w:color="auto" w:fill="auto"/>
          </w:tcPr>
          <w:p w14:paraId="408A1B0D" w14:textId="4F5271C8" w:rsidR="00C95C76" w:rsidRPr="00872D7E" w:rsidRDefault="00C95C76" w:rsidP="00C95C76">
            <w:pPr>
              <w:ind w:right="-13"/>
              <w:jc w:val="right"/>
              <w:rPr>
                <w:szCs w:val="20"/>
              </w:rPr>
            </w:pPr>
            <w:r w:rsidRPr="00872D7E">
              <w:rPr>
                <w:szCs w:val="20"/>
              </w:rPr>
              <w:t>32.969</w:t>
            </w:r>
          </w:p>
        </w:tc>
        <w:tc>
          <w:tcPr>
            <w:tcW w:w="995" w:type="pct"/>
            <w:tcBorders>
              <w:bottom w:val="single" w:sz="4" w:space="0" w:color="auto"/>
            </w:tcBorders>
            <w:shd w:val="clear" w:color="auto" w:fill="auto"/>
          </w:tcPr>
          <w:p w14:paraId="0D3C9FB0" w14:textId="71291F82" w:rsidR="00C95C76" w:rsidRPr="00872D7E" w:rsidRDefault="0061700E" w:rsidP="00C95C76">
            <w:pPr>
              <w:ind w:right="-13"/>
              <w:jc w:val="right"/>
              <w:rPr>
                <w:szCs w:val="20"/>
              </w:rPr>
            </w:pPr>
            <w:r w:rsidRPr="00872D7E">
              <w:rPr>
                <w:szCs w:val="20"/>
              </w:rPr>
              <w:t>219</w:t>
            </w:r>
          </w:p>
        </w:tc>
      </w:tr>
      <w:tr w:rsidR="00C95C76" w:rsidRPr="00872D7E" w14:paraId="7A8E192B" w14:textId="77777777" w:rsidTr="00C423C8">
        <w:trPr>
          <w:trHeight w:val="149"/>
        </w:trPr>
        <w:tc>
          <w:tcPr>
            <w:tcW w:w="3010" w:type="pct"/>
            <w:tcBorders>
              <w:top w:val="single" w:sz="4" w:space="0" w:color="auto"/>
            </w:tcBorders>
            <w:shd w:val="clear" w:color="auto" w:fill="auto"/>
          </w:tcPr>
          <w:p w14:paraId="0AD4C0ED" w14:textId="77777777" w:rsidR="00C95C76" w:rsidRPr="00872D7E" w:rsidRDefault="00C95C76" w:rsidP="00C95C76">
            <w:pPr>
              <w:autoSpaceDE w:val="0"/>
              <w:autoSpaceDN w:val="0"/>
              <w:adjustRightInd w:val="0"/>
              <w:rPr>
                <w:rFonts w:eastAsia="Arial Unicode MS"/>
                <w:szCs w:val="20"/>
              </w:rPr>
            </w:pPr>
          </w:p>
        </w:tc>
        <w:tc>
          <w:tcPr>
            <w:tcW w:w="995" w:type="pct"/>
            <w:tcBorders>
              <w:top w:val="single" w:sz="4" w:space="0" w:color="auto"/>
            </w:tcBorders>
            <w:shd w:val="clear" w:color="auto" w:fill="auto"/>
          </w:tcPr>
          <w:p w14:paraId="1EFA0091" w14:textId="0C65575A" w:rsidR="00C95C76" w:rsidRPr="00872D7E" w:rsidRDefault="00C95C76" w:rsidP="00C95C76">
            <w:pPr>
              <w:ind w:right="-13"/>
              <w:jc w:val="right"/>
              <w:rPr>
                <w:szCs w:val="20"/>
              </w:rPr>
            </w:pPr>
          </w:p>
        </w:tc>
        <w:tc>
          <w:tcPr>
            <w:tcW w:w="995" w:type="pct"/>
            <w:tcBorders>
              <w:top w:val="single" w:sz="4" w:space="0" w:color="auto"/>
            </w:tcBorders>
            <w:shd w:val="clear" w:color="auto" w:fill="auto"/>
          </w:tcPr>
          <w:p w14:paraId="77F4848D" w14:textId="77777777" w:rsidR="00C95C76" w:rsidRPr="00872D7E" w:rsidRDefault="00C95C76" w:rsidP="00C95C76">
            <w:pPr>
              <w:ind w:right="-13"/>
              <w:jc w:val="right"/>
              <w:rPr>
                <w:szCs w:val="20"/>
              </w:rPr>
            </w:pPr>
          </w:p>
        </w:tc>
      </w:tr>
      <w:tr w:rsidR="00C95C76" w:rsidRPr="00872D7E" w14:paraId="320F723B" w14:textId="77777777" w:rsidTr="00C423C8">
        <w:trPr>
          <w:trHeight w:val="149"/>
        </w:trPr>
        <w:tc>
          <w:tcPr>
            <w:tcW w:w="3010" w:type="pct"/>
            <w:tcBorders>
              <w:bottom w:val="single" w:sz="8" w:space="0" w:color="auto"/>
            </w:tcBorders>
            <w:shd w:val="clear" w:color="auto" w:fill="auto"/>
          </w:tcPr>
          <w:p w14:paraId="386881E1" w14:textId="77777777" w:rsidR="00C95C76" w:rsidRPr="00872D7E" w:rsidRDefault="00C95C76" w:rsidP="00C95C76">
            <w:pPr>
              <w:autoSpaceDE w:val="0"/>
              <w:autoSpaceDN w:val="0"/>
              <w:adjustRightInd w:val="0"/>
              <w:ind w:hanging="94"/>
              <w:rPr>
                <w:rFonts w:eastAsia="Arial Unicode MS"/>
                <w:b/>
                <w:szCs w:val="20"/>
              </w:rPr>
            </w:pPr>
            <w:r w:rsidRPr="00872D7E">
              <w:rPr>
                <w:rFonts w:eastAsia="Arial Unicode MS"/>
                <w:b/>
                <w:szCs w:val="20"/>
              </w:rPr>
              <w:t>Toplam (net)</w:t>
            </w:r>
          </w:p>
        </w:tc>
        <w:tc>
          <w:tcPr>
            <w:tcW w:w="995" w:type="pct"/>
            <w:tcBorders>
              <w:bottom w:val="single" w:sz="8" w:space="0" w:color="auto"/>
            </w:tcBorders>
            <w:shd w:val="clear" w:color="auto" w:fill="auto"/>
          </w:tcPr>
          <w:p w14:paraId="1C4B66F0" w14:textId="28E3D635" w:rsidR="00C95C76" w:rsidRPr="00872D7E" w:rsidRDefault="00C95C76" w:rsidP="00C95C76">
            <w:pPr>
              <w:ind w:right="-13"/>
              <w:jc w:val="right"/>
              <w:rPr>
                <w:b/>
                <w:bCs/>
                <w:szCs w:val="20"/>
              </w:rPr>
            </w:pPr>
            <w:r w:rsidRPr="00872D7E">
              <w:rPr>
                <w:b/>
                <w:bCs/>
                <w:szCs w:val="20"/>
              </w:rPr>
              <w:t>212.558</w:t>
            </w:r>
          </w:p>
        </w:tc>
        <w:tc>
          <w:tcPr>
            <w:tcW w:w="995" w:type="pct"/>
            <w:tcBorders>
              <w:bottom w:val="single" w:sz="8" w:space="0" w:color="auto"/>
            </w:tcBorders>
            <w:shd w:val="clear" w:color="auto" w:fill="auto"/>
          </w:tcPr>
          <w:p w14:paraId="13B8C2A2" w14:textId="5CAA2D84" w:rsidR="00C95C76" w:rsidRPr="00872D7E" w:rsidRDefault="0061700E" w:rsidP="00C95C76">
            <w:pPr>
              <w:ind w:right="-13"/>
              <w:jc w:val="right"/>
              <w:rPr>
                <w:b/>
                <w:bCs/>
                <w:szCs w:val="20"/>
              </w:rPr>
            </w:pPr>
            <w:r w:rsidRPr="00872D7E">
              <w:rPr>
                <w:b/>
                <w:bCs/>
                <w:szCs w:val="20"/>
              </w:rPr>
              <w:t>5.575</w:t>
            </w:r>
          </w:p>
        </w:tc>
      </w:tr>
    </w:tbl>
    <w:p w14:paraId="159E0FD0" w14:textId="77777777" w:rsidR="0077553B" w:rsidRPr="00872D7E" w:rsidRDefault="0077553B" w:rsidP="000336FF">
      <w:pPr>
        <w:numPr>
          <w:ilvl w:val="0"/>
          <w:numId w:val="79"/>
        </w:numPr>
        <w:spacing w:before="120" w:after="120"/>
        <w:ind w:left="851" w:hanging="851"/>
        <w:jc w:val="both"/>
        <w:rPr>
          <w:szCs w:val="20"/>
        </w:rPr>
      </w:pPr>
      <w:r w:rsidRPr="00872D7E">
        <w:rPr>
          <w:szCs w:val="20"/>
        </w:rPr>
        <w:t>Dönem başı ve dönem sonu arasındaki hareket tablosu:</w:t>
      </w:r>
    </w:p>
    <w:tbl>
      <w:tblPr>
        <w:tblW w:w="5000" w:type="pct"/>
        <w:tblCellMar>
          <w:left w:w="54" w:type="dxa"/>
          <w:right w:w="54" w:type="dxa"/>
        </w:tblCellMar>
        <w:tblLook w:val="0000" w:firstRow="0" w:lastRow="0" w:firstColumn="0" w:lastColumn="0" w:noHBand="0" w:noVBand="0"/>
      </w:tblPr>
      <w:tblGrid>
        <w:gridCol w:w="7014"/>
        <w:gridCol w:w="2341"/>
      </w:tblGrid>
      <w:tr w:rsidR="0061700E" w:rsidRPr="00872D7E" w14:paraId="09010565" w14:textId="77777777" w:rsidTr="000336FF">
        <w:trPr>
          <w:trHeight w:val="138"/>
        </w:trPr>
        <w:tc>
          <w:tcPr>
            <w:tcW w:w="3749" w:type="pct"/>
          </w:tcPr>
          <w:p w14:paraId="6BD151E3" w14:textId="77777777" w:rsidR="0061700E" w:rsidRPr="00872D7E" w:rsidRDefault="0061700E" w:rsidP="00314609">
            <w:pPr>
              <w:autoSpaceDE w:val="0"/>
              <w:autoSpaceDN w:val="0"/>
              <w:adjustRightInd w:val="0"/>
              <w:ind w:left="-54"/>
              <w:rPr>
                <w:rFonts w:eastAsia="Arial Unicode MS"/>
                <w:b/>
                <w:szCs w:val="20"/>
              </w:rPr>
            </w:pPr>
          </w:p>
        </w:tc>
        <w:tc>
          <w:tcPr>
            <w:tcW w:w="1251" w:type="pct"/>
            <w:vAlign w:val="center"/>
          </w:tcPr>
          <w:p w14:paraId="583F5B90" w14:textId="160A8EB6" w:rsidR="0061700E" w:rsidRPr="00872D7E" w:rsidRDefault="0061700E" w:rsidP="00314609">
            <w:pPr>
              <w:ind w:right="103" w:firstLine="102"/>
              <w:jc w:val="right"/>
              <w:rPr>
                <w:rFonts w:eastAsia="Arial Unicode MS"/>
                <w:b/>
                <w:szCs w:val="20"/>
              </w:rPr>
            </w:pPr>
            <w:r w:rsidRPr="00872D7E">
              <w:rPr>
                <w:b/>
                <w:szCs w:val="20"/>
              </w:rPr>
              <w:t>31 Aralık 2024</w:t>
            </w:r>
          </w:p>
        </w:tc>
      </w:tr>
      <w:tr w:rsidR="0061700E" w:rsidRPr="00872D7E" w14:paraId="534DA461" w14:textId="77777777" w:rsidTr="000336FF">
        <w:trPr>
          <w:trHeight w:val="138"/>
        </w:trPr>
        <w:tc>
          <w:tcPr>
            <w:tcW w:w="3749" w:type="pct"/>
          </w:tcPr>
          <w:p w14:paraId="0738A021" w14:textId="77777777" w:rsidR="0061700E" w:rsidRPr="00872D7E" w:rsidRDefault="0061700E" w:rsidP="00314609">
            <w:pPr>
              <w:autoSpaceDE w:val="0"/>
              <w:autoSpaceDN w:val="0"/>
              <w:adjustRightInd w:val="0"/>
              <w:ind w:left="-54"/>
              <w:rPr>
                <w:rFonts w:eastAsia="Arial Unicode MS"/>
                <w:b/>
                <w:szCs w:val="20"/>
              </w:rPr>
            </w:pPr>
          </w:p>
        </w:tc>
        <w:tc>
          <w:tcPr>
            <w:tcW w:w="1251" w:type="pct"/>
            <w:vAlign w:val="center"/>
          </w:tcPr>
          <w:p w14:paraId="2263BA74" w14:textId="77777777" w:rsidR="0061700E" w:rsidRPr="00872D7E" w:rsidRDefault="0061700E" w:rsidP="00314609">
            <w:pPr>
              <w:ind w:right="103"/>
              <w:jc w:val="right"/>
              <w:rPr>
                <w:b/>
                <w:szCs w:val="20"/>
              </w:rPr>
            </w:pPr>
          </w:p>
        </w:tc>
      </w:tr>
      <w:tr w:rsidR="0061700E" w:rsidRPr="00872D7E" w14:paraId="55EAAA29" w14:textId="77777777" w:rsidTr="0061700E">
        <w:trPr>
          <w:trHeight w:val="138"/>
        </w:trPr>
        <w:tc>
          <w:tcPr>
            <w:tcW w:w="3749" w:type="pct"/>
          </w:tcPr>
          <w:p w14:paraId="64A8011E" w14:textId="77777777" w:rsidR="0061700E" w:rsidRPr="00872D7E" w:rsidRDefault="0061700E" w:rsidP="00314609">
            <w:pPr>
              <w:autoSpaceDE w:val="0"/>
              <w:autoSpaceDN w:val="0"/>
              <w:adjustRightInd w:val="0"/>
              <w:ind w:left="-54"/>
              <w:rPr>
                <w:rFonts w:eastAsia="Arial Unicode MS"/>
                <w:szCs w:val="20"/>
              </w:rPr>
            </w:pPr>
            <w:r w:rsidRPr="00872D7E">
              <w:rPr>
                <w:rFonts w:eastAsia="Arial Unicode MS"/>
                <w:szCs w:val="20"/>
              </w:rPr>
              <w:t>Açılış bakiyesi</w:t>
            </w:r>
          </w:p>
        </w:tc>
        <w:tc>
          <w:tcPr>
            <w:tcW w:w="1251" w:type="pct"/>
          </w:tcPr>
          <w:p w14:paraId="1C3FBA9C" w14:textId="7219D8A4" w:rsidR="0061700E" w:rsidRPr="00872D7E" w:rsidRDefault="0061700E" w:rsidP="00314609">
            <w:pPr>
              <w:ind w:right="103"/>
              <w:jc w:val="right"/>
              <w:rPr>
                <w:szCs w:val="20"/>
              </w:rPr>
            </w:pPr>
            <w:r w:rsidRPr="00872D7E">
              <w:rPr>
                <w:szCs w:val="20"/>
              </w:rPr>
              <w:t>5.575</w:t>
            </w:r>
          </w:p>
        </w:tc>
      </w:tr>
      <w:tr w:rsidR="0061700E" w:rsidRPr="00872D7E" w14:paraId="792B21BD" w14:textId="77777777" w:rsidTr="0061700E">
        <w:trPr>
          <w:trHeight w:val="138"/>
        </w:trPr>
        <w:tc>
          <w:tcPr>
            <w:tcW w:w="3749" w:type="pct"/>
          </w:tcPr>
          <w:p w14:paraId="268ECD79" w14:textId="77777777" w:rsidR="0061700E" w:rsidRPr="00872D7E" w:rsidRDefault="0061700E" w:rsidP="00314609">
            <w:pPr>
              <w:autoSpaceDE w:val="0"/>
              <w:autoSpaceDN w:val="0"/>
              <w:adjustRightInd w:val="0"/>
              <w:ind w:left="-54"/>
              <w:rPr>
                <w:rFonts w:eastAsia="Arial Unicode MS"/>
                <w:szCs w:val="20"/>
              </w:rPr>
            </w:pPr>
            <w:r w:rsidRPr="00872D7E">
              <w:rPr>
                <w:rFonts w:eastAsia="Arial Unicode MS"/>
                <w:szCs w:val="20"/>
              </w:rPr>
              <w:t>İktisap edilenler</w:t>
            </w:r>
          </w:p>
        </w:tc>
        <w:tc>
          <w:tcPr>
            <w:tcW w:w="1251" w:type="pct"/>
          </w:tcPr>
          <w:p w14:paraId="4F6D67FC" w14:textId="64990436" w:rsidR="0061700E" w:rsidRPr="00872D7E" w:rsidRDefault="0061700E" w:rsidP="00314609">
            <w:pPr>
              <w:ind w:right="103"/>
              <w:jc w:val="right"/>
              <w:rPr>
                <w:szCs w:val="20"/>
              </w:rPr>
            </w:pPr>
            <w:r w:rsidRPr="00872D7E">
              <w:rPr>
                <w:szCs w:val="20"/>
              </w:rPr>
              <w:t>239.733</w:t>
            </w:r>
          </w:p>
        </w:tc>
      </w:tr>
      <w:tr w:rsidR="0061700E" w:rsidRPr="00872D7E" w14:paraId="51CF3FA5" w14:textId="77777777" w:rsidTr="00C423C8">
        <w:trPr>
          <w:trHeight w:val="138"/>
        </w:trPr>
        <w:tc>
          <w:tcPr>
            <w:tcW w:w="3749" w:type="pct"/>
          </w:tcPr>
          <w:p w14:paraId="06BA50EA" w14:textId="77777777" w:rsidR="0061700E" w:rsidRPr="00872D7E" w:rsidRDefault="0061700E" w:rsidP="00314609">
            <w:pPr>
              <w:autoSpaceDE w:val="0"/>
              <w:autoSpaceDN w:val="0"/>
              <w:adjustRightInd w:val="0"/>
              <w:ind w:left="-54"/>
              <w:rPr>
                <w:rFonts w:eastAsia="Arial Unicode MS"/>
                <w:szCs w:val="20"/>
              </w:rPr>
            </w:pPr>
            <w:r w:rsidRPr="00872D7E">
              <w:rPr>
                <w:rFonts w:eastAsia="Arial Unicode MS"/>
                <w:szCs w:val="20"/>
              </w:rPr>
              <w:t>Elden çıkarılanlar (-) (net)</w:t>
            </w:r>
          </w:p>
        </w:tc>
        <w:tc>
          <w:tcPr>
            <w:tcW w:w="1251" w:type="pct"/>
          </w:tcPr>
          <w:p w14:paraId="34BEE139" w14:textId="56CE3389" w:rsidR="0061700E" w:rsidRPr="00872D7E" w:rsidRDefault="0061700E" w:rsidP="00314609">
            <w:pPr>
              <w:ind w:right="103"/>
              <w:jc w:val="right"/>
              <w:rPr>
                <w:szCs w:val="20"/>
              </w:rPr>
            </w:pPr>
            <w:r w:rsidRPr="00872D7E">
              <w:rPr>
                <w:szCs w:val="20"/>
              </w:rPr>
              <w:t>-</w:t>
            </w:r>
          </w:p>
        </w:tc>
      </w:tr>
      <w:tr w:rsidR="0061700E" w:rsidRPr="00872D7E" w14:paraId="4F4E229D" w14:textId="77777777" w:rsidTr="00C423C8">
        <w:trPr>
          <w:trHeight w:val="138"/>
        </w:trPr>
        <w:tc>
          <w:tcPr>
            <w:tcW w:w="3749" w:type="pct"/>
            <w:tcBorders>
              <w:bottom w:val="single" w:sz="4" w:space="0" w:color="auto"/>
            </w:tcBorders>
          </w:tcPr>
          <w:p w14:paraId="16C9847F" w14:textId="77777777" w:rsidR="0061700E" w:rsidRPr="00872D7E" w:rsidRDefault="0061700E" w:rsidP="00314609">
            <w:pPr>
              <w:autoSpaceDE w:val="0"/>
              <w:autoSpaceDN w:val="0"/>
              <w:adjustRightInd w:val="0"/>
              <w:ind w:left="-54"/>
              <w:rPr>
                <w:rFonts w:eastAsia="Arial Unicode MS"/>
                <w:szCs w:val="20"/>
              </w:rPr>
            </w:pPr>
            <w:r w:rsidRPr="00872D7E">
              <w:rPr>
                <w:rFonts w:eastAsia="Arial Unicode MS"/>
                <w:szCs w:val="20"/>
              </w:rPr>
              <w:t>Amortisman bedeli (-)</w:t>
            </w:r>
          </w:p>
        </w:tc>
        <w:tc>
          <w:tcPr>
            <w:tcW w:w="1251" w:type="pct"/>
            <w:tcBorders>
              <w:bottom w:val="single" w:sz="4" w:space="0" w:color="auto"/>
            </w:tcBorders>
          </w:tcPr>
          <w:p w14:paraId="4BECB0A9" w14:textId="00276DB2" w:rsidR="0061700E" w:rsidRPr="00872D7E" w:rsidRDefault="0061700E" w:rsidP="00314609">
            <w:pPr>
              <w:ind w:right="103"/>
              <w:jc w:val="right"/>
              <w:rPr>
                <w:szCs w:val="20"/>
              </w:rPr>
            </w:pPr>
            <w:r w:rsidRPr="00872D7E">
              <w:rPr>
                <w:szCs w:val="20"/>
              </w:rPr>
              <w:t>32.750</w:t>
            </w:r>
          </w:p>
        </w:tc>
      </w:tr>
      <w:tr w:rsidR="0061700E" w:rsidRPr="00872D7E" w14:paraId="785340BD" w14:textId="77777777" w:rsidTr="00C423C8">
        <w:trPr>
          <w:trHeight w:val="138"/>
        </w:trPr>
        <w:tc>
          <w:tcPr>
            <w:tcW w:w="3749" w:type="pct"/>
            <w:tcBorders>
              <w:top w:val="single" w:sz="4" w:space="0" w:color="auto"/>
              <w:bottom w:val="single" w:sz="4" w:space="0" w:color="auto"/>
            </w:tcBorders>
          </w:tcPr>
          <w:p w14:paraId="0392B482" w14:textId="77777777" w:rsidR="0061700E" w:rsidRPr="00872D7E" w:rsidRDefault="0061700E" w:rsidP="00314609">
            <w:pPr>
              <w:autoSpaceDE w:val="0"/>
              <w:autoSpaceDN w:val="0"/>
              <w:adjustRightInd w:val="0"/>
              <w:ind w:left="-54"/>
              <w:rPr>
                <w:rFonts w:eastAsia="Arial Unicode MS"/>
                <w:b/>
                <w:szCs w:val="20"/>
              </w:rPr>
            </w:pPr>
          </w:p>
        </w:tc>
        <w:tc>
          <w:tcPr>
            <w:tcW w:w="1251" w:type="pct"/>
            <w:tcBorders>
              <w:top w:val="single" w:sz="4" w:space="0" w:color="auto"/>
              <w:bottom w:val="single" w:sz="4" w:space="0" w:color="auto"/>
            </w:tcBorders>
          </w:tcPr>
          <w:p w14:paraId="2E23A00A" w14:textId="77777777" w:rsidR="0061700E" w:rsidRPr="00872D7E" w:rsidRDefault="0061700E" w:rsidP="00314609">
            <w:pPr>
              <w:ind w:right="103"/>
              <w:jc w:val="right"/>
              <w:rPr>
                <w:szCs w:val="20"/>
              </w:rPr>
            </w:pPr>
          </w:p>
        </w:tc>
      </w:tr>
      <w:tr w:rsidR="0061700E" w:rsidRPr="00872D7E" w14:paraId="2CFD0B1A" w14:textId="77777777" w:rsidTr="00C423C8">
        <w:trPr>
          <w:trHeight w:val="138"/>
        </w:trPr>
        <w:tc>
          <w:tcPr>
            <w:tcW w:w="3749" w:type="pct"/>
            <w:tcBorders>
              <w:top w:val="single" w:sz="4" w:space="0" w:color="auto"/>
              <w:bottom w:val="single" w:sz="8" w:space="0" w:color="auto"/>
            </w:tcBorders>
          </w:tcPr>
          <w:p w14:paraId="2CE77D36" w14:textId="77777777" w:rsidR="0061700E" w:rsidRPr="00872D7E" w:rsidRDefault="0061700E" w:rsidP="00314609">
            <w:pPr>
              <w:autoSpaceDE w:val="0"/>
              <w:autoSpaceDN w:val="0"/>
              <w:adjustRightInd w:val="0"/>
              <w:ind w:left="-54"/>
              <w:rPr>
                <w:rFonts w:eastAsia="Arial Unicode MS"/>
                <w:b/>
                <w:szCs w:val="20"/>
              </w:rPr>
            </w:pPr>
            <w:r w:rsidRPr="00872D7E">
              <w:rPr>
                <w:rFonts w:eastAsia="Arial Unicode MS"/>
                <w:b/>
                <w:szCs w:val="20"/>
              </w:rPr>
              <w:t xml:space="preserve">Kapanış net defter değeri </w:t>
            </w:r>
          </w:p>
        </w:tc>
        <w:tc>
          <w:tcPr>
            <w:tcW w:w="1251" w:type="pct"/>
            <w:tcBorders>
              <w:top w:val="single" w:sz="4" w:space="0" w:color="auto"/>
              <w:bottom w:val="single" w:sz="8" w:space="0" w:color="auto"/>
            </w:tcBorders>
          </w:tcPr>
          <w:p w14:paraId="47BB3F7B" w14:textId="03A7E5D0" w:rsidR="0061700E" w:rsidRPr="00872D7E" w:rsidRDefault="0061700E" w:rsidP="00314609">
            <w:pPr>
              <w:ind w:right="103"/>
              <w:jc w:val="right"/>
              <w:rPr>
                <w:b/>
                <w:szCs w:val="20"/>
              </w:rPr>
            </w:pPr>
            <w:r w:rsidRPr="00872D7E">
              <w:rPr>
                <w:b/>
                <w:szCs w:val="20"/>
              </w:rPr>
              <w:t>212.558</w:t>
            </w:r>
          </w:p>
        </w:tc>
      </w:tr>
    </w:tbl>
    <w:p w14:paraId="2F3849B8" w14:textId="77777777" w:rsidR="00B41104" w:rsidRPr="00872D7E" w:rsidRDefault="00B41104" w:rsidP="00314609">
      <w:pPr>
        <w:widowControl w:val="0"/>
        <w:ind w:left="851"/>
        <w:jc w:val="both"/>
        <w:rPr>
          <w:rFonts w:eastAsia="Arial Unicode MS"/>
          <w:iCs/>
          <w:szCs w:val="20"/>
        </w:rPr>
      </w:pPr>
    </w:p>
    <w:p w14:paraId="4027A564" w14:textId="77777777" w:rsidR="00B41104" w:rsidRPr="00872D7E" w:rsidRDefault="00B41104" w:rsidP="00DF282B">
      <w:pPr>
        <w:pStyle w:val="ListParagraph"/>
        <w:widowControl w:val="0"/>
        <w:numPr>
          <w:ilvl w:val="0"/>
          <w:numId w:val="43"/>
        </w:numPr>
        <w:tabs>
          <w:tab w:val="clear" w:pos="540"/>
        </w:tabs>
        <w:autoSpaceDE w:val="0"/>
        <w:autoSpaceDN w:val="0"/>
        <w:adjustRightInd w:val="0"/>
        <w:ind w:left="851" w:hanging="851"/>
        <w:jc w:val="both"/>
        <w:rPr>
          <w:b/>
          <w:szCs w:val="20"/>
        </w:rPr>
      </w:pPr>
      <w:r w:rsidRPr="00872D7E">
        <w:rPr>
          <w:b/>
          <w:szCs w:val="20"/>
        </w:rPr>
        <w:t>Yatırım amaçlı gayrimenkullere ilişkin açıklamalar:</w:t>
      </w:r>
    </w:p>
    <w:p w14:paraId="4C00BD81" w14:textId="77777777" w:rsidR="00B41104" w:rsidRPr="00872D7E" w:rsidRDefault="00B41104" w:rsidP="00415DBD">
      <w:pPr>
        <w:widowControl w:val="0"/>
        <w:ind w:left="14" w:right="-158"/>
        <w:jc w:val="both"/>
        <w:rPr>
          <w:szCs w:val="20"/>
        </w:rPr>
      </w:pPr>
    </w:p>
    <w:p w14:paraId="07BA53AC" w14:textId="150E6CA9" w:rsidR="00205FC9" w:rsidRPr="00872D7E" w:rsidRDefault="00205FC9" w:rsidP="006732F7">
      <w:pPr>
        <w:widowControl w:val="0"/>
        <w:ind w:right="-158"/>
        <w:jc w:val="both"/>
        <w:rPr>
          <w:bCs/>
          <w:szCs w:val="20"/>
        </w:rPr>
      </w:pPr>
      <w:r w:rsidRPr="00872D7E">
        <w:rPr>
          <w:bCs/>
          <w:szCs w:val="20"/>
        </w:rPr>
        <w:t xml:space="preserve">Banka’nın </w:t>
      </w:r>
      <w:bookmarkStart w:id="80" w:name="_Hlk178344433"/>
      <w:r w:rsidR="00AE0B9A" w:rsidRPr="00872D7E">
        <w:rPr>
          <w:bCs/>
          <w:szCs w:val="20"/>
        </w:rPr>
        <w:t>31 Aralık</w:t>
      </w:r>
      <w:r w:rsidR="003F71C9" w:rsidRPr="00872D7E">
        <w:rPr>
          <w:bCs/>
          <w:szCs w:val="20"/>
        </w:rPr>
        <w:t xml:space="preserve"> </w:t>
      </w:r>
      <w:bookmarkEnd w:id="80"/>
      <w:r w:rsidR="003F71C9" w:rsidRPr="00872D7E">
        <w:rPr>
          <w:bCs/>
          <w:szCs w:val="20"/>
        </w:rPr>
        <w:t>2024</w:t>
      </w:r>
      <w:r w:rsidRPr="00872D7E">
        <w:rPr>
          <w:bCs/>
          <w:szCs w:val="20"/>
        </w:rPr>
        <w:t xml:space="preserve"> tarihi itibarıyla yatırım amaçlı gayrimenkulü b</w:t>
      </w:r>
      <w:r w:rsidRPr="00872D7E">
        <w:rPr>
          <w:szCs w:val="20"/>
        </w:rPr>
        <w:t xml:space="preserve">ulunmamaktadır </w:t>
      </w:r>
      <w:r w:rsidRPr="00872D7E">
        <w:rPr>
          <w:bCs/>
          <w:szCs w:val="20"/>
        </w:rPr>
        <w:t>(1 Ocak 2024: 1.486).</w:t>
      </w:r>
    </w:p>
    <w:p w14:paraId="4C5F7541" w14:textId="77777777" w:rsidR="00205FC9" w:rsidRPr="00872D7E" w:rsidRDefault="00205FC9" w:rsidP="00415DBD">
      <w:pPr>
        <w:widowControl w:val="0"/>
        <w:ind w:left="851" w:right="-158"/>
        <w:jc w:val="both"/>
        <w:rPr>
          <w:bCs/>
          <w:szCs w:val="20"/>
        </w:rPr>
      </w:pPr>
    </w:p>
    <w:tbl>
      <w:tblPr>
        <w:tblW w:w="5000" w:type="pct"/>
        <w:tblLook w:val="0000" w:firstRow="0" w:lastRow="0" w:firstColumn="0" w:lastColumn="0" w:noHBand="0" w:noVBand="0"/>
      </w:tblPr>
      <w:tblGrid>
        <w:gridCol w:w="5155"/>
        <w:gridCol w:w="2099"/>
        <w:gridCol w:w="2101"/>
      </w:tblGrid>
      <w:tr w:rsidR="00205FC9" w:rsidRPr="00872D7E" w14:paraId="36F61028" w14:textId="77777777" w:rsidTr="00C423C8">
        <w:trPr>
          <w:trHeight w:val="125"/>
        </w:trPr>
        <w:tc>
          <w:tcPr>
            <w:tcW w:w="2755" w:type="pct"/>
            <w:shd w:val="clear" w:color="auto" w:fill="auto"/>
            <w:vAlign w:val="bottom"/>
          </w:tcPr>
          <w:p w14:paraId="3DD501A3" w14:textId="67306FAB" w:rsidR="00205FC9" w:rsidRPr="00872D7E" w:rsidRDefault="00205FC9" w:rsidP="00415DBD">
            <w:pPr>
              <w:pStyle w:val="BodyTextIndent"/>
              <w:tabs>
                <w:tab w:val="left" w:pos="900"/>
              </w:tabs>
              <w:ind w:left="-108" w:firstLine="0"/>
              <w:jc w:val="left"/>
              <w:rPr>
                <w:b/>
                <w:bCs/>
                <w:szCs w:val="20"/>
              </w:rPr>
            </w:pPr>
          </w:p>
        </w:tc>
        <w:tc>
          <w:tcPr>
            <w:tcW w:w="1122" w:type="pct"/>
            <w:shd w:val="clear" w:color="auto" w:fill="auto"/>
            <w:vAlign w:val="bottom"/>
          </w:tcPr>
          <w:p w14:paraId="2FAC98E4" w14:textId="58CB1FB2" w:rsidR="00205FC9" w:rsidRPr="00872D7E" w:rsidRDefault="00AE0B9A" w:rsidP="0098360C">
            <w:pPr>
              <w:ind w:left="-93"/>
              <w:jc w:val="right"/>
              <w:rPr>
                <w:b/>
                <w:bCs/>
                <w:szCs w:val="20"/>
              </w:rPr>
            </w:pPr>
            <w:r w:rsidRPr="00872D7E">
              <w:rPr>
                <w:b/>
                <w:bCs/>
                <w:szCs w:val="20"/>
              </w:rPr>
              <w:t>31 Aralık</w:t>
            </w:r>
            <w:r w:rsidR="00C160E4" w:rsidRPr="00872D7E">
              <w:rPr>
                <w:b/>
                <w:bCs/>
                <w:szCs w:val="20"/>
              </w:rPr>
              <w:t xml:space="preserve"> </w:t>
            </w:r>
            <w:r w:rsidR="003F71C9" w:rsidRPr="00872D7E">
              <w:rPr>
                <w:b/>
                <w:bCs/>
                <w:szCs w:val="20"/>
              </w:rPr>
              <w:t>2024</w:t>
            </w:r>
          </w:p>
        </w:tc>
        <w:tc>
          <w:tcPr>
            <w:tcW w:w="1123" w:type="pct"/>
            <w:vAlign w:val="bottom"/>
          </w:tcPr>
          <w:p w14:paraId="0B723208" w14:textId="77777777" w:rsidR="00205FC9" w:rsidRPr="00872D7E" w:rsidRDefault="00205FC9" w:rsidP="0098360C">
            <w:pPr>
              <w:ind w:left="-93"/>
              <w:jc w:val="right"/>
              <w:rPr>
                <w:b/>
                <w:bCs/>
                <w:szCs w:val="20"/>
              </w:rPr>
            </w:pPr>
            <w:r w:rsidRPr="00872D7E">
              <w:rPr>
                <w:b/>
                <w:bCs/>
                <w:szCs w:val="20"/>
              </w:rPr>
              <w:t>1 Ocak 2024</w:t>
            </w:r>
          </w:p>
        </w:tc>
      </w:tr>
      <w:tr w:rsidR="007A14B5" w:rsidRPr="00872D7E" w14:paraId="03A8BFA6" w14:textId="77777777" w:rsidTr="00C423C8">
        <w:trPr>
          <w:trHeight w:val="125"/>
        </w:trPr>
        <w:tc>
          <w:tcPr>
            <w:tcW w:w="2755" w:type="pct"/>
            <w:shd w:val="clear" w:color="auto" w:fill="auto"/>
            <w:vAlign w:val="bottom"/>
          </w:tcPr>
          <w:p w14:paraId="586C0CE7" w14:textId="77777777" w:rsidR="007A14B5" w:rsidRPr="00872D7E" w:rsidRDefault="007A14B5" w:rsidP="00415DBD">
            <w:pPr>
              <w:pStyle w:val="BodyTextIndent"/>
              <w:tabs>
                <w:tab w:val="left" w:pos="900"/>
              </w:tabs>
              <w:ind w:left="-108" w:firstLine="0"/>
              <w:jc w:val="left"/>
              <w:rPr>
                <w:b/>
                <w:bCs/>
                <w:szCs w:val="20"/>
              </w:rPr>
            </w:pPr>
          </w:p>
        </w:tc>
        <w:tc>
          <w:tcPr>
            <w:tcW w:w="1122" w:type="pct"/>
            <w:shd w:val="clear" w:color="auto" w:fill="auto"/>
            <w:vAlign w:val="bottom"/>
          </w:tcPr>
          <w:p w14:paraId="4437EB6F" w14:textId="77777777" w:rsidR="007A14B5" w:rsidRPr="00872D7E" w:rsidRDefault="007A14B5" w:rsidP="0098360C">
            <w:pPr>
              <w:ind w:left="-93"/>
              <w:jc w:val="right"/>
              <w:rPr>
                <w:b/>
                <w:bCs/>
                <w:szCs w:val="20"/>
              </w:rPr>
            </w:pPr>
          </w:p>
        </w:tc>
        <w:tc>
          <w:tcPr>
            <w:tcW w:w="1123" w:type="pct"/>
            <w:vAlign w:val="bottom"/>
          </w:tcPr>
          <w:p w14:paraId="304FE248" w14:textId="77777777" w:rsidR="007A14B5" w:rsidRPr="00872D7E" w:rsidRDefault="007A14B5" w:rsidP="0098360C">
            <w:pPr>
              <w:ind w:left="-93"/>
              <w:jc w:val="right"/>
              <w:rPr>
                <w:b/>
                <w:bCs/>
                <w:szCs w:val="20"/>
              </w:rPr>
            </w:pPr>
          </w:p>
        </w:tc>
      </w:tr>
      <w:tr w:rsidR="005F3B41" w:rsidRPr="00872D7E" w14:paraId="592C96AC" w14:textId="77777777" w:rsidTr="00C423C8">
        <w:trPr>
          <w:trHeight w:val="125"/>
        </w:trPr>
        <w:tc>
          <w:tcPr>
            <w:tcW w:w="2755" w:type="pct"/>
            <w:shd w:val="clear" w:color="auto" w:fill="auto"/>
            <w:vAlign w:val="center"/>
          </w:tcPr>
          <w:p w14:paraId="18D6B1AA" w14:textId="77777777" w:rsidR="005F3B41" w:rsidRPr="00872D7E" w:rsidRDefault="005F3B41" w:rsidP="005F3B41">
            <w:pPr>
              <w:pStyle w:val="BodyTextIndent"/>
              <w:tabs>
                <w:tab w:val="left" w:pos="900"/>
              </w:tabs>
              <w:ind w:left="-108" w:firstLine="0"/>
              <w:jc w:val="left"/>
              <w:rPr>
                <w:szCs w:val="20"/>
              </w:rPr>
            </w:pPr>
            <w:r w:rsidRPr="00872D7E">
              <w:rPr>
                <w:b/>
                <w:bCs/>
                <w:szCs w:val="20"/>
                <w:lang w:eastAsia="tr-TR"/>
              </w:rPr>
              <w:t>Açılış</w:t>
            </w:r>
          </w:p>
        </w:tc>
        <w:tc>
          <w:tcPr>
            <w:tcW w:w="1122" w:type="pct"/>
            <w:shd w:val="clear" w:color="auto" w:fill="auto"/>
            <w:vAlign w:val="bottom"/>
          </w:tcPr>
          <w:p w14:paraId="7F6A8625" w14:textId="5E2EB8E5" w:rsidR="005F3B41" w:rsidRPr="00872D7E" w:rsidRDefault="005F3B41" w:rsidP="0098360C">
            <w:pPr>
              <w:pStyle w:val="BodyTextIndent"/>
              <w:tabs>
                <w:tab w:val="left" w:pos="1166"/>
              </w:tabs>
              <w:ind w:firstLine="716"/>
              <w:jc w:val="right"/>
              <w:rPr>
                <w:b/>
                <w:bCs/>
                <w:szCs w:val="20"/>
              </w:rPr>
            </w:pPr>
            <w:r w:rsidRPr="00872D7E">
              <w:rPr>
                <w:b/>
                <w:bCs/>
                <w:szCs w:val="20"/>
              </w:rPr>
              <w:t>1.486</w:t>
            </w:r>
          </w:p>
        </w:tc>
        <w:tc>
          <w:tcPr>
            <w:tcW w:w="1123" w:type="pct"/>
            <w:shd w:val="clear" w:color="auto" w:fill="auto"/>
            <w:vAlign w:val="bottom"/>
          </w:tcPr>
          <w:p w14:paraId="34A92CE8" w14:textId="381B4D69" w:rsidR="005F3B41" w:rsidRPr="00872D7E" w:rsidRDefault="005F3B41" w:rsidP="0098360C">
            <w:pPr>
              <w:pStyle w:val="BodyTextIndent"/>
              <w:tabs>
                <w:tab w:val="left" w:pos="900"/>
              </w:tabs>
              <w:ind w:left="805" w:hanging="229"/>
              <w:jc w:val="right"/>
              <w:rPr>
                <w:b/>
                <w:bCs/>
                <w:szCs w:val="20"/>
              </w:rPr>
            </w:pPr>
            <w:r w:rsidRPr="00872D7E">
              <w:rPr>
                <w:b/>
                <w:bCs/>
                <w:szCs w:val="20"/>
              </w:rPr>
              <w:t>1.486</w:t>
            </w:r>
          </w:p>
        </w:tc>
      </w:tr>
      <w:tr w:rsidR="005F3B41" w:rsidRPr="00872D7E" w14:paraId="6A39E808" w14:textId="77777777" w:rsidTr="00C423C8">
        <w:trPr>
          <w:trHeight w:val="125"/>
        </w:trPr>
        <w:tc>
          <w:tcPr>
            <w:tcW w:w="2755" w:type="pct"/>
            <w:shd w:val="clear" w:color="auto" w:fill="auto"/>
            <w:vAlign w:val="center"/>
          </w:tcPr>
          <w:p w14:paraId="1E9D2EE3" w14:textId="77777777" w:rsidR="005F3B41" w:rsidRPr="00872D7E" w:rsidRDefault="005F3B41" w:rsidP="005F3B41">
            <w:pPr>
              <w:pStyle w:val="BodyTextIndent"/>
              <w:tabs>
                <w:tab w:val="left" w:pos="900"/>
              </w:tabs>
              <w:ind w:left="-108" w:firstLine="0"/>
              <w:jc w:val="left"/>
              <w:rPr>
                <w:szCs w:val="20"/>
              </w:rPr>
            </w:pPr>
            <w:r w:rsidRPr="00872D7E">
              <w:rPr>
                <w:szCs w:val="20"/>
                <w:lang w:eastAsia="tr-TR"/>
              </w:rPr>
              <w:t>Girişler</w:t>
            </w:r>
          </w:p>
        </w:tc>
        <w:tc>
          <w:tcPr>
            <w:tcW w:w="1122" w:type="pct"/>
            <w:shd w:val="clear" w:color="auto" w:fill="auto"/>
            <w:vAlign w:val="bottom"/>
          </w:tcPr>
          <w:p w14:paraId="0F1C6B3F" w14:textId="0A758120" w:rsidR="005F3B41" w:rsidRPr="00872D7E" w:rsidRDefault="005F3B41" w:rsidP="0098360C">
            <w:pPr>
              <w:pStyle w:val="BodyTextIndent"/>
              <w:tabs>
                <w:tab w:val="left" w:pos="1166"/>
              </w:tabs>
              <w:ind w:firstLine="716"/>
              <w:jc w:val="right"/>
              <w:rPr>
                <w:szCs w:val="20"/>
              </w:rPr>
            </w:pPr>
            <w:r w:rsidRPr="00872D7E">
              <w:rPr>
                <w:szCs w:val="20"/>
              </w:rPr>
              <w:t>-</w:t>
            </w:r>
          </w:p>
        </w:tc>
        <w:tc>
          <w:tcPr>
            <w:tcW w:w="1123" w:type="pct"/>
            <w:shd w:val="clear" w:color="auto" w:fill="auto"/>
            <w:vAlign w:val="bottom"/>
          </w:tcPr>
          <w:p w14:paraId="504B0CE1" w14:textId="3FD356F6" w:rsidR="005F3B41" w:rsidRPr="00872D7E" w:rsidRDefault="005F3B41" w:rsidP="0098360C">
            <w:pPr>
              <w:pStyle w:val="BodyTextIndent"/>
              <w:tabs>
                <w:tab w:val="left" w:pos="900"/>
              </w:tabs>
              <w:ind w:left="805" w:hanging="229"/>
              <w:jc w:val="right"/>
              <w:rPr>
                <w:szCs w:val="20"/>
              </w:rPr>
            </w:pPr>
            <w:r w:rsidRPr="00872D7E">
              <w:rPr>
                <w:szCs w:val="20"/>
              </w:rPr>
              <w:t>-</w:t>
            </w:r>
          </w:p>
        </w:tc>
      </w:tr>
      <w:tr w:rsidR="005F3B41" w:rsidRPr="00872D7E" w14:paraId="1A378F39" w14:textId="77777777" w:rsidTr="00C423C8">
        <w:trPr>
          <w:trHeight w:val="125"/>
        </w:trPr>
        <w:tc>
          <w:tcPr>
            <w:tcW w:w="2755" w:type="pct"/>
            <w:shd w:val="clear" w:color="auto" w:fill="auto"/>
            <w:vAlign w:val="center"/>
          </w:tcPr>
          <w:p w14:paraId="4A876202" w14:textId="77777777" w:rsidR="005F3B41" w:rsidRPr="00872D7E" w:rsidRDefault="005F3B41" w:rsidP="005F3B41">
            <w:pPr>
              <w:pStyle w:val="BodyTextIndent"/>
              <w:tabs>
                <w:tab w:val="left" w:pos="900"/>
              </w:tabs>
              <w:ind w:left="-108" w:firstLine="0"/>
              <w:jc w:val="left"/>
              <w:rPr>
                <w:szCs w:val="20"/>
              </w:rPr>
            </w:pPr>
            <w:r w:rsidRPr="00872D7E">
              <w:rPr>
                <w:szCs w:val="20"/>
                <w:lang w:eastAsia="tr-TR"/>
              </w:rPr>
              <w:t>Satışlar (-)</w:t>
            </w:r>
          </w:p>
        </w:tc>
        <w:tc>
          <w:tcPr>
            <w:tcW w:w="1122" w:type="pct"/>
            <w:shd w:val="clear" w:color="auto" w:fill="auto"/>
            <w:vAlign w:val="bottom"/>
          </w:tcPr>
          <w:p w14:paraId="46C7BE2B" w14:textId="29BBF103" w:rsidR="005F3B41" w:rsidRPr="00872D7E" w:rsidRDefault="005F3B41" w:rsidP="0098360C">
            <w:pPr>
              <w:pStyle w:val="BodyTextIndent"/>
              <w:tabs>
                <w:tab w:val="left" w:pos="1166"/>
              </w:tabs>
              <w:ind w:firstLine="716"/>
              <w:jc w:val="right"/>
              <w:rPr>
                <w:szCs w:val="20"/>
              </w:rPr>
            </w:pPr>
            <w:r w:rsidRPr="00872D7E">
              <w:rPr>
                <w:szCs w:val="20"/>
              </w:rPr>
              <w:t>-</w:t>
            </w:r>
          </w:p>
        </w:tc>
        <w:tc>
          <w:tcPr>
            <w:tcW w:w="1123" w:type="pct"/>
            <w:shd w:val="clear" w:color="auto" w:fill="auto"/>
            <w:vAlign w:val="bottom"/>
          </w:tcPr>
          <w:p w14:paraId="77D7507C" w14:textId="3A940A9C" w:rsidR="005F3B41" w:rsidRPr="00872D7E" w:rsidRDefault="005F3B41" w:rsidP="0098360C">
            <w:pPr>
              <w:pStyle w:val="BodyTextIndent"/>
              <w:tabs>
                <w:tab w:val="left" w:pos="900"/>
              </w:tabs>
              <w:ind w:left="805" w:hanging="229"/>
              <w:jc w:val="right"/>
              <w:rPr>
                <w:szCs w:val="20"/>
              </w:rPr>
            </w:pPr>
            <w:r w:rsidRPr="00872D7E">
              <w:rPr>
                <w:szCs w:val="20"/>
              </w:rPr>
              <w:t>-</w:t>
            </w:r>
          </w:p>
        </w:tc>
      </w:tr>
      <w:tr w:rsidR="005F3B41" w:rsidRPr="00872D7E" w14:paraId="19D3F1AB" w14:textId="77777777" w:rsidTr="00C423C8">
        <w:trPr>
          <w:trHeight w:val="125"/>
        </w:trPr>
        <w:tc>
          <w:tcPr>
            <w:tcW w:w="2755" w:type="pct"/>
            <w:shd w:val="clear" w:color="auto" w:fill="auto"/>
            <w:vAlign w:val="center"/>
          </w:tcPr>
          <w:p w14:paraId="607E4004" w14:textId="77777777" w:rsidR="005F3B41" w:rsidRPr="00872D7E" w:rsidRDefault="005F3B41" w:rsidP="005F3B41">
            <w:pPr>
              <w:pStyle w:val="BodyTextIndent"/>
              <w:tabs>
                <w:tab w:val="left" w:pos="900"/>
              </w:tabs>
              <w:ind w:left="-108" w:firstLine="0"/>
              <w:jc w:val="left"/>
              <w:rPr>
                <w:szCs w:val="20"/>
              </w:rPr>
            </w:pPr>
            <w:r w:rsidRPr="00872D7E">
              <w:rPr>
                <w:szCs w:val="20"/>
                <w:lang w:eastAsia="tr-TR"/>
              </w:rPr>
              <w:t xml:space="preserve">Transferler </w:t>
            </w:r>
            <w:r w:rsidRPr="00872D7E">
              <w:rPr>
                <w:szCs w:val="20"/>
                <w:vertAlign w:val="superscript"/>
                <w:lang w:eastAsia="tr-TR"/>
              </w:rPr>
              <w:t>(*)</w:t>
            </w:r>
          </w:p>
        </w:tc>
        <w:tc>
          <w:tcPr>
            <w:tcW w:w="1122" w:type="pct"/>
            <w:shd w:val="clear" w:color="auto" w:fill="auto"/>
            <w:vAlign w:val="bottom"/>
          </w:tcPr>
          <w:p w14:paraId="666AD023" w14:textId="5C67E247" w:rsidR="005F3B41" w:rsidRPr="00872D7E" w:rsidRDefault="005F3B41" w:rsidP="0098360C">
            <w:pPr>
              <w:pStyle w:val="BodyTextIndent"/>
              <w:tabs>
                <w:tab w:val="left" w:pos="1166"/>
              </w:tabs>
              <w:ind w:firstLine="716"/>
              <w:jc w:val="right"/>
              <w:rPr>
                <w:szCs w:val="20"/>
              </w:rPr>
            </w:pPr>
            <w:r w:rsidRPr="00872D7E">
              <w:rPr>
                <w:szCs w:val="20"/>
              </w:rPr>
              <w:t>(1.486)</w:t>
            </w:r>
          </w:p>
        </w:tc>
        <w:tc>
          <w:tcPr>
            <w:tcW w:w="1123" w:type="pct"/>
            <w:shd w:val="clear" w:color="auto" w:fill="auto"/>
            <w:vAlign w:val="bottom"/>
          </w:tcPr>
          <w:p w14:paraId="2ABFC421" w14:textId="5118404F" w:rsidR="005F3B41" w:rsidRPr="00872D7E" w:rsidRDefault="005F3B41" w:rsidP="0098360C">
            <w:pPr>
              <w:pStyle w:val="BodyTextIndent"/>
              <w:tabs>
                <w:tab w:val="left" w:pos="900"/>
              </w:tabs>
              <w:ind w:left="805" w:hanging="229"/>
              <w:jc w:val="right"/>
              <w:rPr>
                <w:szCs w:val="20"/>
              </w:rPr>
            </w:pPr>
            <w:r w:rsidRPr="00872D7E">
              <w:rPr>
                <w:szCs w:val="20"/>
              </w:rPr>
              <w:t>-</w:t>
            </w:r>
          </w:p>
        </w:tc>
      </w:tr>
      <w:tr w:rsidR="005F3B41" w:rsidRPr="00872D7E" w14:paraId="62177609" w14:textId="77777777" w:rsidTr="00C423C8">
        <w:trPr>
          <w:trHeight w:val="125"/>
        </w:trPr>
        <w:tc>
          <w:tcPr>
            <w:tcW w:w="2755" w:type="pct"/>
            <w:tcBorders>
              <w:bottom w:val="single" w:sz="4" w:space="0" w:color="auto"/>
            </w:tcBorders>
            <w:shd w:val="clear" w:color="auto" w:fill="auto"/>
            <w:vAlign w:val="bottom"/>
          </w:tcPr>
          <w:p w14:paraId="72EAF221" w14:textId="57B1509F" w:rsidR="005F3B41" w:rsidRPr="00872D7E" w:rsidRDefault="005F3B41" w:rsidP="005F3B41">
            <w:pPr>
              <w:pStyle w:val="BodyTextIndent"/>
              <w:tabs>
                <w:tab w:val="left" w:pos="900"/>
              </w:tabs>
              <w:ind w:left="-108" w:firstLine="0"/>
              <w:jc w:val="left"/>
              <w:rPr>
                <w:szCs w:val="20"/>
              </w:rPr>
            </w:pPr>
            <w:r w:rsidRPr="00872D7E">
              <w:rPr>
                <w:szCs w:val="20"/>
                <w:lang w:eastAsia="tr-TR"/>
              </w:rPr>
              <w:t>Yeniden değerleme tutarı</w:t>
            </w:r>
          </w:p>
        </w:tc>
        <w:tc>
          <w:tcPr>
            <w:tcW w:w="1122" w:type="pct"/>
            <w:tcBorders>
              <w:bottom w:val="single" w:sz="4" w:space="0" w:color="auto"/>
            </w:tcBorders>
            <w:shd w:val="clear" w:color="auto" w:fill="auto"/>
            <w:vAlign w:val="bottom"/>
          </w:tcPr>
          <w:p w14:paraId="3A57C0FE" w14:textId="2A6801C6" w:rsidR="005F3B41" w:rsidRPr="00872D7E" w:rsidRDefault="005F3B41" w:rsidP="0098360C">
            <w:pPr>
              <w:pStyle w:val="BodyTextIndent"/>
              <w:tabs>
                <w:tab w:val="left" w:pos="1166"/>
              </w:tabs>
              <w:ind w:firstLine="716"/>
              <w:jc w:val="right"/>
              <w:rPr>
                <w:szCs w:val="20"/>
              </w:rPr>
            </w:pPr>
            <w:r w:rsidRPr="00872D7E">
              <w:rPr>
                <w:szCs w:val="20"/>
              </w:rPr>
              <w:t>-</w:t>
            </w:r>
          </w:p>
        </w:tc>
        <w:tc>
          <w:tcPr>
            <w:tcW w:w="1123" w:type="pct"/>
            <w:tcBorders>
              <w:bottom w:val="single" w:sz="4" w:space="0" w:color="auto"/>
            </w:tcBorders>
            <w:shd w:val="clear" w:color="auto" w:fill="auto"/>
            <w:vAlign w:val="bottom"/>
          </w:tcPr>
          <w:p w14:paraId="5393A46B" w14:textId="1A3F6E15" w:rsidR="005F3B41" w:rsidRPr="00872D7E" w:rsidRDefault="005F3B41" w:rsidP="0098360C">
            <w:pPr>
              <w:pStyle w:val="BodyTextIndent"/>
              <w:tabs>
                <w:tab w:val="left" w:pos="900"/>
              </w:tabs>
              <w:ind w:left="805" w:hanging="229"/>
              <w:jc w:val="right"/>
              <w:rPr>
                <w:szCs w:val="20"/>
              </w:rPr>
            </w:pPr>
            <w:r w:rsidRPr="00872D7E">
              <w:rPr>
                <w:szCs w:val="20"/>
              </w:rPr>
              <w:t>-</w:t>
            </w:r>
          </w:p>
        </w:tc>
      </w:tr>
      <w:tr w:rsidR="005F3B41" w:rsidRPr="00872D7E" w14:paraId="0D2F7835" w14:textId="77777777" w:rsidTr="00C423C8">
        <w:trPr>
          <w:trHeight w:val="125"/>
        </w:trPr>
        <w:tc>
          <w:tcPr>
            <w:tcW w:w="2755" w:type="pct"/>
            <w:tcBorders>
              <w:top w:val="single" w:sz="4" w:space="0" w:color="auto"/>
            </w:tcBorders>
            <w:shd w:val="clear" w:color="auto" w:fill="auto"/>
            <w:vAlign w:val="bottom"/>
          </w:tcPr>
          <w:p w14:paraId="3ABE66F2" w14:textId="77777777" w:rsidR="005F3B41" w:rsidRPr="00872D7E" w:rsidRDefault="005F3B41" w:rsidP="005F3B41">
            <w:pPr>
              <w:pStyle w:val="BodyTextIndent"/>
              <w:tabs>
                <w:tab w:val="left" w:pos="900"/>
              </w:tabs>
              <w:ind w:left="-108" w:firstLine="0"/>
              <w:jc w:val="left"/>
              <w:rPr>
                <w:szCs w:val="20"/>
                <w:lang w:eastAsia="tr-TR"/>
              </w:rPr>
            </w:pPr>
          </w:p>
        </w:tc>
        <w:tc>
          <w:tcPr>
            <w:tcW w:w="1122" w:type="pct"/>
            <w:tcBorders>
              <w:top w:val="single" w:sz="4" w:space="0" w:color="auto"/>
            </w:tcBorders>
            <w:shd w:val="clear" w:color="auto" w:fill="auto"/>
            <w:vAlign w:val="bottom"/>
          </w:tcPr>
          <w:p w14:paraId="358027C8" w14:textId="77777777" w:rsidR="005F3B41" w:rsidRPr="00872D7E" w:rsidRDefault="005F3B41" w:rsidP="0098360C">
            <w:pPr>
              <w:pStyle w:val="BodyTextIndent"/>
              <w:tabs>
                <w:tab w:val="left" w:pos="1166"/>
              </w:tabs>
              <w:ind w:firstLine="716"/>
              <w:jc w:val="right"/>
              <w:rPr>
                <w:szCs w:val="20"/>
              </w:rPr>
            </w:pPr>
          </w:p>
        </w:tc>
        <w:tc>
          <w:tcPr>
            <w:tcW w:w="1123" w:type="pct"/>
            <w:tcBorders>
              <w:top w:val="single" w:sz="4" w:space="0" w:color="auto"/>
            </w:tcBorders>
            <w:shd w:val="clear" w:color="auto" w:fill="auto"/>
            <w:vAlign w:val="bottom"/>
          </w:tcPr>
          <w:p w14:paraId="108303A5" w14:textId="77777777" w:rsidR="005F3B41" w:rsidRPr="00872D7E" w:rsidRDefault="005F3B41" w:rsidP="0098360C">
            <w:pPr>
              <w:pStyle w:val="BodyTextIndent"/>
              <w:tabs>
                <w:tab w:val="left" w:pos="900"/>
              </w:tabs>
              <w:ind w:left="805" w:hanging="229"/>
              <w:jc w:val="right"/>
              <w:rPr>
                <w:szCs w:val="20"/>
              </w:rPr>
            </w:pPr>
          </w:p>
        </w:tc>
      </w:tr>
      <w:tr w:rsidR="005F3B41" w:rsidRPr="00872D7E" w14:paraId="2C57E10A" w14:textId="77777777" w:rsidTr="00C423C8">
        <w:trPr>
          <w:trHeight w:val="125"/>
        </w:trPr>
        <w:tc>
          <w:tcPr>
            <w:tcW w:w="2755" w:type="pct"/>
            <w:tcBorders>
              <w:bottom w:val="single" w:sz="8" w:space="0" w:color="auto"/>
            </w:tcBorders>
            <w:shd w:val="clear" w:color="auto" w:fill="auto"/>
            <w:vAlign w:val="bottom"/>
          </w:tcPr>
          <w:p w14:paraId="391816F4" w14:textId="77777777" w:rsidR="005F3B41" w:rsidRPr="00872D7E" w:rsidRDefault="005F3B41" w:rsidP="005F3B41">
            <w:pPr>
              <w:pStyle w:val="BodyTextIndent"/>
              <w:tabs>
                <w:tab w:val="left" w:pos="900"/>
              </w:tabs>
              <w:ind w:left="-108" w:firstLine="0"/>
              <w:jc w:val="left"/>
              <w:rPr>
                <w:b/>
                <w:bCs/>
                <w:szCs w:val="20"/>
                <w:lang w:eastAsia="tr-TR"/>
              </w:rPr>
            </w:pPr>
            <w:r w:rsidRPr="00872D7E">
              <w:rPr>
                <w:b/>
                <w:bCs/>
                <w:szCs w:val="20"/>
                <w:lang w:eastAsia="tr-TR"/>
              </w:rPr>
              <w:t>Toplam</w:t>
            </w:r>
          </w:p>
        </w:tc>
        <w:tc>
          <w:tcPr>
            <w:tcW w:w="1122" w:type="pct"/>
            <w:tcBorders>
              <w:bottom w:val="single" w:sz="8" w:space="0" w:color="auto"/>
            </w:tcBorders>
            <w:shd w:val="clear" w:color="auto" w:fill="auto"/>
            <w:vAlign w:val="bottom"/>
          </w:tcPr>
          <w:p w14:paraId="6C3566C1" w14:textId="0E6ECD03" w:rsidR="005F3B41" w:rsidRPr="00872D7E" w:rsidRDefault="005F3B41" w:rsidP="0098360C">
            <w:pPr>
              <w:pStyle w:val="BodyTextIndent"/>
              <w:tabs>
                <w:tab w:val="left" w:pos="1166"/>
              </w:tabs>
              <w:ind w:firstLine="716"/>
              <w:jc w:val="right"/>
              <w:rPr>
                <w:b/>
                <w:bCs/>
                <w:szCs w:val="20"/>
              </w:rPr>
            </w:pPr>
            <w:r w:rsidRPr="00872D7E">
              <w:rPr>
                <w:b/>
                <w:bCs/>
                <w:szCs w:val="20"/>
              </w:rPr>
              <w:t>-</w:t>
            </w:r>
          </w:p>
        </w:tc>
        <w:tc>
          <w:tcPr>
            <w:tcW w:w="1123" w:type="pct"/>
            <w:tcBorders>
              <w:bottom w:val="single" w:sz="8" w:space="0" w:color="auto"/>
            </w:tcBorders>
            <w:shd w:val="clear" w:color="auto" w:fill="auto"/>
            <w:vAlign w:val="bottom"/>
          </w:tcPr>
          <w:p w14:paraId="57B3EB54" w14:textId="762D8322" w:rsidR="005F3B41" w:rsidRPr="00872D7E" w:rsidRDefault="005F3B41" w:rsidP="0098360C">
            <w:pPr>
              <w:pStyle w:val="BodyTextIndent"/>
              <w:tabs>
                <w:tab w:val="left" w:pos="900"/>
              </w:tabs>
              <w:ind w:left="805" w:hanging="229"/>
              <w:jc w:val="right"/>
              <w:rPr>
                <w:b/>
                <w:bCs/>
                <w:szCs w:val="20"/>
              </w:rPr>
            </w:pPr>
            <w:r w:rsidRPr="00872D7E">
              <w:rPr>
                <w:b/>
                <w:bCs/>
                <w:szCs w:val="20"/>
              </w:rPr>
              <w:t>1.486</w:t>
            </w:r>
          </w:p>
        </w:tc>
      </w:tr>
    </w:tbl>
    <w:p w14:paraId="6C5A5D30" w14:textId="7E5DFDF3" w:rsidR="00F61513" w:rsidRPr="00872D7E" w:rsidRDefault="00205FC9" w:rsidP="000336FF">
      <w:pPr>
        <w:widowControl w:val="0"/>
        <w:spacing w:before="120"/>
        <w:ind w:left="851" w:right="-1" w:hanging="851"/>
        <w:jc w:val="both"/>
        <w:rPr>
          <w:sz w:val="18"/>
          <w:szCs w:val="18"/>
        </w:rPr>
      </w:pPr>
      <w:r w:rsidRPr="00872D7E">
        <w:rPr>
          <w:sz w:val="18"/>
          <w:szCs w:val="18"/>
          <w:vertAlign w:val="superscript"/>
        </w:rPr>
        <w:t>(*)</w:t>
      </w:r>
      <w:r w:rsidR="00A8086E" w:rsidRPr="00872D7E">
        <w:rPr>
          <w:sz w:val="18"/>
          <w:szCs w:val="18"/>
        </w:rPr>
        <w:tab/>
      </w:r>
      <w:r w:rsidRPr="00872D7E">
        <w:rPr>
          <w:sz w:val="18"/>
          <w:szCs w:val="18"/>
        </w:rPr>
        <w:t>Bankanın İstanbul, İzmir ve Mersin’de bulunan gayrimenkulleri yatırım amaçlı duran varlıklardan maddi duran varlıklara transfer olmuştur.</w:t>
      </w:r>
      <w:r w:rsidR="00F61513" w:rsidRPr="00872D7E">
        <w:rPr>
          <w:sz w:val="18"/>
          <w:szCs w:val="18"/>
        </w:rPr>
        <w:br w:type="page"/>
      </w:r>
    </w:p>
    <w:p w14:paraId="20E10122" w14:textId="77777777" w:rsidR="00D06FF6" w:rsidRPr="00872D7E" w:rsidRDefault="00D06FF6" w:rsidP="00D06FF6">
      <w:pPr>
        <w:widowControl w:val="0"/>
        <w:ind w:left="720" w:hanging="720"/>
        <w:jc w:val="both"/>
        <w:rPr>
          <w:b/>
          <w:szCs w:val="20"/>
        </w:rPr>
      </w:pPr>
      <w:r w:rsidRPr="00872D7E">
        <w:rPr>
          <w:b/>
          <w:szCs w:val="20"/>
        </w:rPr>
        <w:lastRenderedPageBreak/>
        <w:t>KONSOLİDE OLMAYAN FİNANSAL TABLOLARA İLİŞKİN AÇIKLAMA VE DİPNOTLAR (Devamı)</w:t>
      </w:r>
    </w:p>
    <w:p w14:paraId="72F543A6" w14:textId="77777777" w:rsidR="00D06FF6" w:rsidRPr="00872D7E" w:rsidRDefault="00D06FF6" w:rsidP="00D06FF6">
      <w:pPr>
        <w:pStyle w:val="ListParagraph"/>
        <w:widowControl w:val="0"/>
        <w:ind w:left="14" w:right="452"/>
        <w:jc w:val="both"/>
        <w:rPr>
          <w:b/>
          <w:szCs w:val="20"/>
        </w:rPr>
      </w:pPr>
    </w:p>
    <w:p w14:paraId="44D70E4D" w14:textId="77777777" w:rsidR="00717147" w:rsidRPr="00872D7E" w:rsidRDefault="00717147" w:rsidP="003B796D">
      <w:pPr>
        <w:pStyle w:val="ListParagraph"/>
        <w:widowControl w:val="0"/>
        <w:numPr>
          <w:ilvl w:val="0"/>
          <w:numId w:val="88"/>
        </w:numPr>
        <w:ind w:left="851" w:hanging="851"/>
        <w:jc w:val="both"/>
        <w:rPr>
          <w:b/>
          <w:szCs w:val="20"/>
        </w:rPr>
      </w:pPr>
      <w:r w:rsidRPr="00872D7E">
        <w:rPr>
          <w:b/>
          <w:szCs w:val="20"/>
        </w:rPr>
        <w:t>BİLANÇONUN AKTİF HESAPLARINA İLİŞKİN AÇIKLAMA VE DİPNOTLAR (Devamı)</w:t>
      </w:r>
    </w:p>
    <w:p w14:paraId="681A342F" w14:textId="77777777" w:rsidR="00D06FF6" w:rsidRPr="00872D7E" w:rsidRDefault="00D06FF6" w:rsidP="00D06FF6">
      <w:pPr>
        <w:widowControl w:val="0"/>
        <w:jc w:val="both"/>
        <w:rPr>
          <w:szCs w:val="20"/>
        </w:rPr>
      </w:pPr>
    </w:p>
    <w:p w14:paraId="6E92A84F" w14:textId="77777777" w:rsidR="0098050E" w:rsidRPr="00872D7E" w:rsidRDefault="0098050E" w:rsidP="00DF282B">
      <w:pPr>
        <w:pStyle w:val="ListParagraph"/>
        <w:widowControl w:val="0"/>
        <w:numPr>
          <w:ilvl w:val="0"/>
          <w:numId w:val="43"/>
        </w:numPr>
        <w:tabs>
          <w:tab w:val="clear" w:pos="540"/>
        </w:tabs>
        <w:autoSpaceDE w:val="0"/>
        <w:autoSpaceDN w:val="0"/>
        <w:adjustRightInd w:val="0"/>
        <w:ind w:left="851" w:hanging="851"/>
        <w:jc w:val="both"/>
        <w:rPr>
          <w:b/>
          <w:szCs w:val="20"/>
        </w:rPr>
      </w:pPr>
      <w:r w:rsidRPr="00872D7E">
        <w:rPr>
          <w:b/>
          <w:szCs w:val="20"/>
        </w:rPr>
        <w:t>Ertelenmiş vergi varlığına ilişkin açıklamalar:</w:t>
      </w:r>
    </w:p>
    <w:p w14:paraId="23AB8668" w14:textId="77777777" w:rsidR="00CD5DF5" w:rsidRPr="00872D7E" w:rsidRDefault="00CD5DF5" w:rsidP="00D06FF6">
      <w:pPr>
        <w:autoSpaceDE w:val="0"/>
        <w:autoSpaceDN w:val="0"/>
        <w:adjustRightInd w:val="0"/>
        <w:ind w:left="854" w:right="329"/>
        <w:jc w:val="both"/>
        <w:rPr>
          <w:rFonts w:eastAsia="Arial Unicode MS"/>
          <w:iCs/>
          <w:szCs w:val="20"/>
        </w:rPr>
      </w:pPr>
    </w:p>
    <w:p w14:paraId="7B772B9A" w14:textId="7581CC48" w:rsidR="0098050E" w:rsidRPr="00872D7E" w:rsidRDefault="0098050E" w:rsidP="00D06FF6">
      <w:pPr>
        <w:autoSpaceDE w:val="0"/>
        <w:autoSpaceDN w:val="0"/>
        <w:adjustRightInd w:val="0"/>
        <w:ind w:left="854"/>
        <w:jc w:val="both"/>
        <w:rPr>
          <w:rFonts w:eastAsia="Arial Unicode MS"/>
          <w:iCs/>
          <w:szCs w:val="20"/>
        </w:rPr>
      </w:pPr>
      <w:r w:rsidRPr="00872D7E">
        <w:rPr>
          <w:rFonts w:eastAsia="Arial Unicode MS"/>
          <w:iCs/>
          <w:szCs w:val="20"/>
        </w:rPr>
        <w:t xml:space="preserve">Banka, </w:t>
      </w:r>
      <w:r w:rsidR="00AE0B9A" w:rsidRPr="00872D7E">
        <w:rPr>
          <w:rFonts w:eastAsia="Arial Unicode MS"/>
          <w:iCs/>
          <w:szCs w:val="20"/>
        </w:rPr>
        <w:t>31 Aralık</w:t>
      </w:r>
      <w:r w:rsidR="00706956" w:rsidRPr="00872D7E">
        <w:rPr>
          <w:rFonts w:eastAsia="Arial Unicode MS"/>
          <w:iCs/>
          <w:szCs w:val="20"/>
        </w:rPr>
        <w:t xml:space="preserve"> </w:t>
      </w:r>
      <w:r w:rsidR="003F71C9" w:rsidRPr="00872D7E">
        <w:rPr>
          <w:rFonts w:eastAsia="Arial Unicode MS"/>
          <w:iCs/>
          <w:szCs w:val="20"/>
        </w:rPr>
        <w:t xml:space="preserve">2024 </w:t>
      </w:r>
      <w:r w:rsidRPr="00872D7E">
        <w:rPr>
          <w:rFonts w:eastAsia="Arial Unicode MS"/>
          <w:iCs/>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81" w:name="_Hlk165387686"/>
      <w:r w:rsidR="00C14A2C" w:rsidRPr="00872D7E">
        <w:rPr>
          <w:rFonts w:eastAsia="Arial Unicode MS"/>
          <w:iCs/>
          <w:szCs w:val="20"/>
        </w:rPr>
        <w:t>131.284</w:t>
      </w:r>
      <w:r w:rsidRPr="00872D7E">
        <w:rPr>
          <w:rFonts w:eastAsia="Arial Unicode MS"/>
          <w:iCs/>
          <w:szCs w:val="20"/>
        </w:rPr>
        <w:t xml:space="preserve"> </w:t>
      </w:r>
      <w:bookmarkEnd w:id="81"/>
      <w:r w:rsidRPr="00872D7E">
        <w:rPr>
          <w:rFonts w:eastAsia="Arial Unicode MS"/>
          <w:iCs/>
          <w:szCs w:val="20"/>
        </w:rPr>
        <w:t xml:space="preserve">TL tutarındaki ertelenmiş vergi varlığı ile </w:t>
      </w:r>
      <w:bookmarkStart w:id="82" w:name="_Hlk181207501"/>
      <w:r w:rsidR="00C14A2C" w:rsidRPr="00872D7E">
        <w:rPr>
          <w:rFonts w:eastAsia="Arial Unicode MS"/>
          <w:iCs/>
          <w:szCs w:val="20"/>
        </w:rPr>
        <w:t>53.446</w:t>
      </w:r>
      <w:r w:rsidRPr="00872D7E">
        <w:rPr>
          <w:rFonts w:eastAsia="Arial Unicode MS"/>
          <w:iCs/>
          <w:szCs w:val="20"/>
        </w:rPr>
        <w:t xml:space="preserve"> </w:t>
      </w:r>
      <w:bookmarkEnd w:id="82"/>
      <w:r w:rsidRPr="00872D7E">
        <w:rPr>
          <w:rFonts w:eastAsia="Arial Unicode MS"/>
          <w:iCs/>
          <w:szCs w:val="20"/>
        </w:rPr>
        <w:t xml:space="preserve">TL tutarındaki ertelenmiş vergi yükümlülüğünü netleştirerek </w:t>
      </w:r>
      <w:bookmarkStart w:id="83" w:name="_Hlk165387705"/>
      <w:r w:rsidR="00C14A2C" w:rsidRPr="00872D7E">
        <w:rPr>
          <w:rFonts w:eastAsia="Arial Unicode MS"/>
          <w:iCs/>
          <w:szCs w:val="20"/>
        </w:rPr>
        <w:t>77.838</w:t>
      </w:r>
      <w:r w:rsidRPr="00872D7E">
        <w:rPr>
          <w:rFonts w:eastAsia="Arial Unicode MS"/>
          <w:iCs/>
          <w:szCs w:val="20"/>
        </w:rPr>
        <w:t xml:space="preserve"> </w:t>
      </w:r>
      <w:bookmarkEnd w:id="83"/>
      <w:r w:rsidRPr="00872D7E">
        <w:rPr>
          <w:rFonts w:eastAsia="Arial Unicode MS"/>
          <w:iCs/>
          <w:szCs w:val="20"/>
        </w:rPr>
        <w:t>TL vergi varlığını kayıtlarına yansıtmıştır.</w:t>
      </w:r>
    </w:p>
    <w:p w14:paraId="037AA55B" w14:textId="0DE514DD" w:rsidR="00862A01" w:rsidRPr="00872D7E" w:rsidRDefault="00862A01" w:rsidP="00D06FF6">
      <w:pPr>
        <w:widowControl w:val="0"/>
        <w:ind w:left="966" w:hanging="910"/>
        <w:jc w:val="both"/>
        <w:rPr>
          <w:szCs w:val="20"/>
        </w:rPr>
      </w:pPr>
    </w:p>
    <w:tbl>
      <w:tblPr>
        <w:tblW w:w="5000" w:type="pct"/>
        <w:tblLayout w:type="fixed"/>
        <w:tblCellMar>
          <w:left w:w="70" w:type="dxa"/>
          <w:right w:w="70" w:type="dxa"/>
        </w:tblCellMar>
        <w:tblLook w:val="04A0" w:firstRow="1" w:lastRow="0" w:firstColumn="1" w:lastColumn="0" w:noHBand="0" w:noVBand="1"/>
      </w:tblPr>
      <w:tblGrid>
        <w:gridCol w:w="7023"/>
        <w:gridCol w:w="1166"/>
        <w:gridCol w:w="1166"/>
      </w:tblGrid>
      <w:tr w:rsidR="00862A01" w:rsidRPr="00872D7E" w14:paraId="5BC015C5" w14:textId="77777777" w:rsidTr="00C423C8">
        <w:trPr>
          <w:divId w:val="136192006"/>
          <w:trHeight w:val="227"/>
        </w:trPr>
        <w:tc>
          <w:tcPr>
            <w:tcW w:w="3754" w:type="pct"/>
            <w:tcBorders>
              <w:top w:val="nil"/>
              <w:left w:val="nil"/>
              <w:bottom w:val="nil"/>
              <w:right w:val="nil"/>
            </w:tcBorders>
            <w:shd w:val="clear" w:color="auto" w:fill="auto"/>
            <w:hideMark/>
          </w:tcPr>
          <w:p w14:paraId="084C6BF4" w14:textId="777FF8D9" w:rsidR="00862A01" w:rsidRPr="00872D7E" w:rsidRDefault="00862A01" w:rsidP="00862A01">
            <w:pPr>
              <w:rPr>
                <w:szCs w:val="20"/>
              </w:rPr>
            </w:pPr>
          </w:p>
        </w:tc>
        <w:tc>
          <w:tcPr>
            <w:tcW w:w="623" w:type="pct"/>
            <w:tcBorders>
              <w:top w:val="nil"/>
              <w:left w:val="nil"/>
              <w:bottom w:val="single" w:sz="4" w:space="0" w:color="auto"/>
              <w:right w:val="nil"/>
            </w:tcBorders>
            <w:shd w:val="clear" w:color="auto" w:fill="auto"/>
            <w:noWrap/>
            <w:vAlign w:val="center"/>
            <w:hideMark/>
          </w:tcPr>
          <w:p w14:paraId="76D629C8" w14:textId="77777777" w:rsidR="00862A01" w:rsidRPr="00872D7E" w:rsidRDefault="00862A01" w:rsidP="00862A01">
            <w:pPr>
              <w:jc w:val="right"/>
              <w:rPr>
                <w:b/>
                <w:bCs/>
                <w:color w:val="000000"/>
                <w:szCs w:val="20"/>
              </w:rPr>
            </w:pPr>
            <w:r w:rsidRPr="00872D7E">
              <w:rPr>
                <w:b/>
                <w:bCs/>
                <w:color w:val="000000"/>
                <w:szCs w:val="20"/>
              </w:rPr>
              <w:t>31 Aralık 2024</w:t>
            </w:r>
          </w:p>
        </w:tc>
        <w:tc>
          <w:tcPr>
            <w:tcW w:w="623" w:type="pct"/>
            <w:tcBorders>
              <w:top w:val="nil"/>
              <w:left w:val="nil"/>
              <w:bottom w:val="single" w:sz="4" w:space="0" w:color="auto"/>
              <w:right w:val="nil"/>
            </w:tcBorders>
            <w:shd w:val="clear" w:color="auto" w:fill="auto"/>
            <w:noWrap/>
            <w:vAlign w:val="center"/>
            <w:hideMark/>
          </w:tcPr>
          <w:p w14:paraId="110DDC10" w14:textId="77777777" w:rsidR="00862A01" w:rsidRPr="00872D7E" w:rsidRDefault="00862A01" w:rsidP="00862A01">
            <w:pPr>
              <w:jc w:val="right"/>
              <w:rPr>
                <w:b/>
                <w:bCs/>
                <w:color w:val="000000"/>
                <w:szCs w:val="20"/>
              </w:rPr>
            </w:pPr>
            <w:r w:rsidRPr="00872D7E">
              <w:rPr>
                <w:b/>
                <w:bCs/>
                <w:color w:val="000000"/>
                <w:szCs w:val="20"/>
              </w:rPr>
              <w:t>1 Ocak 2024</w:t>
            </w:r>
          </w:p>
        </w:tc>
      </w:tr>
      <w:tr w:rsidR="00862A01" w:rsidRPr="00872D7E" w14:paraId="3AB55B2A" w14:textId="77777777" w:rsidTr="00C423C8">
        <w:trPr>
          <w:divId w:val="136192006"/>
          <w:trHeight w:val="227"/>
        </w:trPr>
        <w:tc>
          <w:tcPr>
            <w:tcW w:w="3754" w:type="pct"/>
            <w:tcBorders>
              <w:top w:val="nil"/>
              <w:left w:val="nil"/>
              <w:bottom w:val="nil"/>
              <w:right w:val="nil"/>
            </w:tcBorders>
            <w:shd w:val="clear" w:color="auto" w:fill="auto"/>
            <w:vAlign w:val="bottom"/>
            <w:hideMark/>
          </w:tcPr>
          <w:p w14:paraId="73101D1A" w14:textId="77777777" w:rsidR="00862A01" w:rsidRPr="00872D7E" w:rsidRDefault="00862A01" w:rsidP="00862A01">
            <w:pPr>
              <w:rPr>
                <w:color w:val="000000"/>
                <w:szCs w:val="20"/>
              </w:rPr>
            </w:pPr>
          </w:p>
        </w:tc>
        <w:tc>
          <w:tcPr>
            <w:tcW w:w="623" w:type="pct"/>
            <w:tcBorders>
              <w:top w:val="nil"/>
              <w:left w:val="nil"/>
              <w:bottom w:val="nil"/>
              <w:right w:val="nil"/>
            </w:tcBorders>
            <w:shd w:val="clear" w:color="auto" w:fill="auto"/>
            <w:vAlign w:val="bottom"/>
            <w:hideMark/>
          </w:tcPr>
          <w:p w14:paraId="4C3955EC" w14:textId="77777777" w:rsidR="00862A01" w:rsidRPr="00872D7E" w:rsidRDefault="00862A01" w:rsidP="00862A01">
            <w:pPr>
              <w:jc w:val="right"/>
              <w:rPr>
                <w:szCs w:val="20"/>
              </w:rPr>
            </w:pPr>
          </w:p>
        </w:tc>
        <w:tc>
          <w:tcPr>
            <w:tcW w:w="623" w:type="pct"/>
            <w:tcBorders>
              <w:top w:val="nil"/>
              <w:left w:val="nil"/>
              <w:bottom w:val="nil"/>
              <w:right w:val="nil"/>
            </w:tcBorders>
            <w:shd w:val="clear" w:color="auto" w:fill="auto"/>
            <w:vAlign w:val="bottom"/>
            <w:hideMark/>
          </w:tcPr>
          <w:p w14:paraId="4EA212BA" w14:textId="77777777" w:rsidR="00862A01" w:rsidRPr="00872D7E" w:rsidRDefault="00862A01" w:rsidP="00862A01">
            <w:pPr>
              <w:jc w:val="right"/>
              <w:rPr>
                <w:szCs w:val="20"/>
              </w:rPr>
            </w:pPr>
          </w:p>
        </w:tc>
      </w:tr>
      <w:tr w:rsidR="00862A01" w:rsidRPr="00872D7E" w14:paraId="2B3A4665" w14:textId="77777777" w:rsidTr="00C423C8">
        <w:trPr>
          <w:divId w:val="136192006"/>
          <w:trHeight w:val="227"/>
        </w:trPr>
        <w:tc>
          <w:tcPr>
            <w:tcW w:w="3754" w:type="pct"/>
            <w:tcBorders>
              <w:top w:val="nil"/>
              <w:left w:val="nil"/>
              <w:bottom w:val="nil"/>
              <w:right w:val="nil"/>
            </w:tcBorders>
            <w:shd w:val="clear" w:color="auto" w:fill="auto"/>
            <w:noWrap/>
            <w:vAlign w:val="center"/>
            <w:hideMark/>
          </w:tcPr>
          <w:p w14:paraId="5A771BD2" w14:textId="77777777" w:rsidR="00862A01" w:rsidRPr="00872D7E" w:rsidRDefault="00862A01" w:rsidP="00862A01">
            <w:pPr>
              <w:rPr>
                <w:color w:val="000000"/>
                <w:szCs w:val="20"/>
              </w:rPr>
            </w:pPr>
            <w:r w:rsidRPr="00872D7E">
              <w:rPr>
                <w:color w:val="000000"/>
                <w:szCs w:val="20"/>
              </w:rPr>
              <w:t>Kar Payı Reeskontları ve Peşin Tahsil Edilen Ücret ve Komisyonlar Kazanılmamış Gelirleri</w:t>
            </w:r>
          </w:p>
        </w:tc>
        <w:tc>
          <w:tcPr>
            <w:tcW w:w="623" w:type="pct"/>
            <w:tcBorders>
              <w:top w:val="nil"/>
              <w:left w:val="nil"/>
              <w:bottom w:val="nil"/>
              <w:right w:val="nil"/>
            </w:tcBorders>
            <w:shd w:val="clear" w:color="auto" w:fill="auto"/>
            <w:vAlign w:val="center"/>
            <w:hideMark/>
          </w:tcPr>
          <w:p w14:paraId="26731EA8" w14:textId="77777777" w:rsidR="00862A01" w:rsidRPr="00872D7E" w:rsidRDefault="00862A01" w:rsidP="00862A01">
            <w:pPr>
              <w:jc w:val="right"/>
              <w:rPr>
                <w:color w:val="000000"/>
                <w:szCs w:val="20"/>
              </w:rPr>
            </w:pPr>
            <w:bookmarkStart w:id="84" w:name="RANGE!D7"/>
            <w:r w:rsidRPr="00872D7E">
              <w:rPr>
                <w:color w:val="000000"/>
                <w:szCs w:val="20"/>
              </w:rPr>
              <w:t>23.178</w:t>
            </w:r>
            <w:bookmarkEnd w:id="84"/>
          </w:p>
        </w:tc>
        <w:tc>
          <w:tcPr>
            <w:tcW w:w="623" w:type="pct"/>
            <w:tcBorders>
              <w:top w:val="nil"/>
              <w:left w:val="nil"/>
              <w:bottom w:val="nil"/>
              <w:right w:val="nil"/>
            </w:tcBorders>
            <w:shd w:val="clear" w:color="auto" w:fill="auto"/>
            <w:vAlign w:val="center"/>
            <w:hideMark/>
          </w:tcPr>
          <w:p w14:paraId="296BE4EE" w14:textId="77777777" w:rsidR="00862A01" w:rsidRPr="00872D7E" w:rsidRDefault="00862A01" w:rsidP="00862A01">
            <w:pPr>
              <w:jc w:val="right"/>
              <w:rPr>
                <w:color w:val="000000"/>
                <w:szCs w:val="20"/>
              </w:rPr>
            </w:pPr>
            <w:r w:rsidRPr="00872D7E">
              <w:rPr>
                <w:color w:val="000000"/>
                <w:szCs w:val="20"/>
              </w:rPr>
              <w:t>-</w:t>
            </w:r>
          </w:p>
        </w:tc>
      </w:tr>
      <w:tr w:rsidR="00862A01" w:rsidRPr="00872D7E" w14:paraId="1C7A0F1D" w14:textId="77777777" w:rsidTr="00C423C8">
        <w:trPr>
          <w:divId w:val="136192006"/>
          <w:trHeight w:val="227"/>
        </w:trPr>
        <w:tc>
          <w:tcPr>
            <w:tcW w:w="3754" w:type="pct"/>
            <w:tcBorders>
              <w:top w:val="nil"/>
              <w:left w:val="nil"/>
              <w:bottom w:val="nil"/>
              <w:right w:val="nil"/>
            </w:tcBorders>
            <w:shd w:val="clear" w:color="auto" w:fill="auto"/>
            <w:noWrap/>
            <w:vAlign w:val="center"/>
            <w:hideMark/>
          </w:tcPr>
          <w:p w14:paraId="75AB528D" w14:textId="77777777" w:rsidR="00862A01" w:rsidRPr="00872D7E" w:rsidRDefault="00862A01" w:rsidP="00862A01">
            <w:pPr>
              <w:rPr>
                <w:color w:val="000000"/>
                <w:szCs w:val="20"/>
              </w:rPr>
            </w:pPr>
            <w:r w:rsidRPr="00872D7E">
              <w:rPr>
                <w:color w:val="000000"/>
                <w:szCs w:val="20"/>
              </w:rPr>
              <w:t>Kıdem Tazminatı ve İzin Ücreti Karşılıkları</w:t>
            </w:r>
          </w:p>
        </w:tc>
        <w:tc>
          <w:tcPr>
            <w:tcW w:w="623" w:type="pct"/>
            <w:tcBorders>
              <w:top w:val="nil"/>
              <w:left w:val="nil"/>
              <w:bottom w:val="nil"/>
              <w:right w:val="nil"/>
            </w:tcBorders>
            <w:shd w:val="clear" w:color="auto" w:fill="auto"/>
            <w:vAlign w:val="center"/>
            <w:hideMark/>
          </w:tcPr>
          <w:p w14:paraId="488ADE76" w14:textId="77777777" w:rsidR="00862A01" w:rsidRPr="00872D7E" w:rsidRDefault="00862A01" w:rsidP="00862A01">
            <w:pPr>
              <w:jc w:val="right"/>
              <w:rPr>
                <w:color w:val="000000"/>
                <w:szCs w:val="20"/>
              </w:rPr>
            </w:pPr>
            <w:r w:rsidRPr="00872D7E">
              <w:rPr>
                <w:color w:val="000000"/>
                <w:szCs w:val="20"/>
              </w:rPr>
              <w:t>11.359</w:t>
            </w:r>
          </w:p>
        </w:tc>
        <w:tc>
          <w:tcPr>
            <w:tcW w:w="623" w:type="pct"/>
            <w:tcBorders>
              <w:top w:val="nil"/>
              <w:left w:val="nil"/>
              <w:bottom w:val="nil"/>
              <w:right w:val="nil"/>
            </w:tcBorders>
            <w:shd w:val="clear" w:color="auto" w:fill="auto"/>
            <w:vAlign w:val="center"/>
            <w:hideMark/>
          </w:tcPr>
          <w:p w14:paraId="12853CCC" w14:textId="77777777" w:rsidR="00862A01" w:rsidRPr="00872D7E" w:rsidRDefault="00862A01" w:rsidP="00862A01">
            <w:pPr>
              <w:jc w:val="right"/>
              <w:rPr>
                <w:color w:val="000000"/>
                <w:szCs w:val="20"/>
              </w:rPr>
            </w:pPr>
            <w:r w:rsidRPr="00872D7E">
              <w:rPr>
                <w:color w:val="000000"/>
                <w:szCs w:val="20"/>
              </w:rPr>
              <w:t>9.160</w:t>
            </w:r>
          </w:p>
        </w:tc>
      </w:tr>
      <w:tr w:rsidR="00862A01" w:rsidRPr="00872D7E" w14:paraId="301440FC" w14:textId="77777777" w:rsidTr="00C423C8">
        <w:trPr>
          <w:divId w:val="136192006"/>
          <w:trHeight w:val="227"/>
        </w:trPr>
        <w:tc>
          <w:tcPr>
            <w:tcW w:w="3754" w:type="pct"/>
            <w:tcBorders>
              <w:top w:val="nil"/>
              <w:left w:val="nil"/>
              <w:bottom w:val="nil"/>
              <w:right w:val="nil"/>
            </w:tcBorders>
            <w:shd w:val="clear" w:color="auto" w:fill="auto"/>
            <w:noWrap/>
            <w:vAlign w:val="center"/>
            <w:hideMark/>
          </w:tcPr>
          <w:p w14:paraId="11A29D6F" w14:textId="77777777" w:rsidR="00862A01" w:rsidRPr="00872D7E" w:rsidRDefault="00862A01" w:rsidP="00862A01">
            <w:pPr>
              <w:rPr>
                <w:color w:val="000000"/>
                <w:szCs w:val="20"/>
              </w:rPr>
            </w:pPr>
            <w:r w:rsidRPr="00872D7E">
              <w:rPr>
                <w:color w:val="000000"/>
                <w:szCs w:val="20"/>
              </w:rPr>
              <w:t>Karşılıklar</w:t>
            </w:r>
          </w:p>
        </w:tc>
        <w:tc>
          <w:tcPr>
            <w:tcW w:w="623" w:type="pct"/>
            <w:tcBorders>
              <w:top w:val="nil"/>
              <w:left w:val="nil"/>
              <w:bottom w:val="nil"/>
              <w:right w:val="nil"/>
            </w:tcBorders>
            <w:shd w:val="clear" w:color="auto" w:fill="auto"/>
            <w:vAlign w:val="center"/>
            <w:hideMark/>
          </w:tcPr>
          <w:p w14:paraId="267E7342" w14:textId="77777777" w:rsidR="00862A01" w:rsidRPr="00872D7E" w:rsidRDefault="00862A01" w:rsidP="00862A01">
            <w:pPr>
              <w:jc w:val="right"/>
              <w:rPr>
                <w:color w:val="000000"/>
                <w:szCs w:val="20"/>
              </w:rPr>
            </w:pPr>
            <w:r w:rsidRPr="00872D7E">
              <w:rPr>
                <w:color w:val="000000"/>
                <w:szCs w:val="20"/>
              </w:rPr>
              <w:t>89.419</w:t>
            </w:r>
          </w:p>
        </w:tc>
        <w:tc>
          <w:tcPr>
            <w:tcW w:w="623" w:type="pct"/>
            <w:tcBorders>
              <w:top w:val="nil"/>
              <w:left w:val="nil"/>
              <w:bottom w:val="nil"/>
              <w:right w:val="nil"/>
            </w:tcBorders>
            <w:shd w:val="clear" w:color="auto" w:fill="auto"/>
            <w:vAlign w:val="center"/>
            <w:hideMark/>
          </w:tcPr>
          <w:p w14:paraId="5C186CD6" w14:textId="77777777" w:rsidR="00862A01" w:rsidRPr="00872D7E" w:rsidRDefault="00862A01" w:rsidP="00862A01">
            <w:pPr>
              <w:jc w:val="right"/>
              <w:rPr>
                <w:color w:val="000000"/>
                <w:szCs w:val="20"/>
              </w:rPr>
            </w:pPr>
            <w:r w:rsidRPr="00872D7E">
              <w:rPr>
                <w:color w:val="000000"/>
                <w:szCs w:val="20"/>
              </w:rPr>
              <w:t>15</w:t>
            </w:r>
          </w:p>
        </w:tc>
      </w:tr>
      <w:tr w:rsidR="00862A01" w:rsidRPr="00872D7E" w14:paraId="78D2C481" w14:textId="77777777" w:rsidTr="00C423C8">
        <w:trPr>
          <w:divId w:val="136192006"/>
          <w:trHeight w:val="227"/>
        </w:trPr>
        <w:tc>
          <w:tcPr>
            <w:tcW w:w="3754" w:type="pct"/>
            <w:tcBorders>
              <w:top w:val="nil"/>
              <w:left w:val="nil"/>
              <w:bottom w:val="nil"/>
              <w:right w:val="nil"/>
            </w:tcBorders>
            <w:shd w:val="clear" w:color="auto" w:fill="auto"/>
            <w:noWrap/>
            <w:vAlign w:val="center"/>
            <w:hideMark/>
          </w:tcPr>
          <w:p w14:paraId="140DC4F6" w14:textId="77777777" w:rsidR="00862A01" w:rsidRPr="00872D7E" w:rsidRDefault="00862A01" w:rsidP="00862A01">
            <w:pPr>
              <w:rPr>
                <w:color w:val="000000"/>
                <w:szCs w:val="20"/>
                <w:lang w:eastAsia="tr-TR"/>
              </w:rPr>
            </w:pPr>
            <w:r w:rsidRPr="00872D7E">
              <w:rPr>
                <w:color w:val="000000"/>
                <w:szCs w:val="20"/>
              </w:rPr>
              <w:t xml:space="preserve">TFRS </w:t>
            </w:r>
            <w:r w:rsidRPr="00872D7E">
              <w:rPr>
                <w:color w:val="000000"/>
                <w:szCs w:val="20"/>
                <w:lang w:eastAsia="tr-TR"/>
              </w:rPr>
              <w:t xml:space="preserve">16 Kiralama İşlemleri Kar Payı Giderleri </w:t>
            </w:r>
          </w:p>
        </w:tc>
        <w:tc>
          <w:tcPr>
            <w:tcW w:w="623" w:type="pct"/>
            <w:tcBorders>
              <w:top w:val="nil"/>
              <w:left w:val="nil"/>
              <w:bottom w:val="nil"/>
              <w:right w:val="nil"/>
            </w:tcBorders>
            <w:shd w:val="clear" w:color="auto" w:fill="auto"/>
            <w:vAlign w:val="center"/>
            <w:hideMark/>
          </w:tcPr>
          <w:p w14:paraId="6F49DACB" w14:textId="77777777" w:rsidR="00862A01" w:rsidRPr="00872D7E" w:rsidRDefault="00862A01" w:rsidP="00862A01">
            <w:pPr>
              <w:jc w:val="right"/>
              <w:rPr>
                <w:color w:val="000000"/>
                <w:szCs w:val="20"/>
              </w:rPr>
            </w:pPr>
            <w:r w:rsidRPr="00872D7E">
              <w:rPr>
                <w:color w:val="000000"/>
                <w:szCs w:val="20"/>
              </w:rPr>
              <w:t>4.147</w:t>
            </w:r>
          </w:p>
        </w:tc>
        <w:tc>
          <w:tcPr>
            <w:tcW w:w="623" w:type="pct"/>
            <w:tcBorders>
              <w:top w:val="nil"/>
              <w:left w:val="nil"/>
              <w:bottom w:val="nil"/>
              <w:right w:val="nil"/>
            </w:tcBorders>
            <w:shd w:val="clear" w:color="auto" w:fill="auto"/>
            <w:vAlign w:val="center"/>
            <w:hideMark/>
          </w:tcPr>
          <w:p w14:paraId="7F5B9E3F" w14:textId="77777777" w:rsidR="00862A01" w:rsidRPr="00872D7E" w:rsidRDefault="00862A01" w:rsidP="00862A01">
            <w:pPr>
              <w:jc w:val="right"/>
              <w:rPr>
                <w:color w:val="000000"/>
                <w:szCs w:val="20"/>
              </w:rPr>
            </w:pPr>
            <w:r w:rsidRPr="00872D7E">
              <w:rPr>
                <w:color w:val="000000"/>
                <w:szCs w:val="20"/>
              </w:rPr>
              <w:t>-</w:t>
            </w:r>
          </w:p>
        </w:tc>
      </w:tr>
      <w:tr w:rsidR="00862A01" w:rsidRPr="00872D7E" w14:paraId="35224035" w14:textId="77777777" w:rsidTr="00C423C8">
        <w:trPr>
          <w:divId w:val="136192006"/>
          <w:trHeight w:val="227"/>
        </w:trPr>
        <w:tc>
          <w:tcPr>
            <w:tcW w:w="3754" w:type="pct"/>
            <w:tcBorders>
              <w:top w:val="nil"/>
              <w:left w:val="nil"/>
              <w:bottom w:val="nil"/>
              <w:right w:val="nil"/>
            </w:tcBorders>
            <w:shd w:val="clear" w:color="auto" w:fill="auto"/>
            <w:noWrap/>
            <w:vAlign w:val="center"/>
            <w:hideMark/>
          </w:tcPr>
          <w:p w14:paraId="48C97F2D" w14:textId="77777777" w:rsidR="00862A01" w:rsidRPr="00872D7E" w:rsidRDefault="00862A01" w:rsidP="00862A01">
            <w:pPr>
              <w:rPr>
                <w:color w:val="000000"/>
                <w:szCs w:val="20"/>
              </w:rPr>
            </w:pPr>
            <w:r w:rsidRPr="00872D7E">
              <w:rPr>
                <w:color w:val="000000"/>
                <w:szCs w:val="20"/>
              </w:rPr>
              <w:t>Diğer</w:t>
            </w:r>
          </w:p>
        </w:tc>
        <w:tc>
          <w:tcPr>
            <w:tcW w:w="623" w:type="pct"/>
            <w:tcBorders>
              <w:top w:val="nil"/>
              <w:left w:val="nil"/>
              <w:bottom w:val="nil"/>
              <w:right w:val="nil"/>
            </w:tcBorders>
            <w:shd w:val="clear" w:color="auto" w:fill="auto"/>
            <w:vAlign w:val="center"/>
            <w:hideMark/>
          </w:tcPr>
          <w:p w14:paraId="7520B3FE" w14:textId="77777777" w:rsidR="00862A01" w:rsidRPr="00872D7E" w:rsidRDefault="00862A01" w:rsidP="00862A01">
            <w:pPr>
              <w:jc w:val="right"/>
              <w:rPr>
                <w:color w:val="000000"/>
                <w:szCs w:val="20"/>
              </w:rPr>
            </w:pPr>
            <w:r w:rsidRPr="00872D7E">
              <w:rPr>
                <w:color w:val="000000"/>
                <w:szCs w:val="20"/>
              </w:rPr>
              <w:t>3.181</w:t>
            </w:r>
          </w:p>
        </w:tc>
        <w:tc>
          <w:tcPr>
            <w:tcW w:w="623" w:type="pct"/>
            <w:tcBorders>
              <w:top w:val="nil"/>
              <w:left w:val="nil"/>
              <w:bottom w:val="nil"/>
              <w:right w:val="nil"/>
            </w:tcBorders>
            <w:shd w:val="clear" w:color="auto" w:fill="auto"/>
            <w:vAlign w:val="center"/>
            <w:hideMark/>
          </w:tcPr>
          <w:p w14:paraId="02A5FE87" w14:textId="77777777" w:rsidR="00862A01" w:rsidRPr="00872D7E" w:rsidRDefault="00862A01" w:rsidP="00862A01">
            <w:pPr>
              <w:jc w:val="right"/>
              <w:rPr>
                <w:color w:val="000000"/>
                <w:szCs w:val="20"/>
              </w:rPr>
            </w:pPr>
            <w:r w:rsidRPr="00872D7E">
              <w:rPr>
                <w:color w:val="000000"/>
                <w:szCs w:val="20"/>
              </w:rPr>
              <w:t>2.847</w:t>
            </w:r>
          </w:p>
        </w:tc>
      </w:tr>
      <w:tr w:rsidR="00862A01" w:rsidRPr="00872D7E" w14:paraId="57F6EC47" w14:textId="77777777" w:rsidTr="00C423C8">
        <w:trPr>
          <w:divId w:val="136192006"/>
          <w:trHeight w:val="227"/>
        </w:trPr>
        <w:tc>
          <w:tcPr>
            <w:tcW w:w="3754" w:type="pct"/>
            <w:tcBorders>
              <w:top w:val="nil"/>
              <w:left w:val="nil"/>
              <w:bottom w:val="single" w:sz="4" w:space="0" w:color="auto"/>
              <w:right w:val="nil"/>
            </w:tcBorders>
            <w:shd w:val="clear" w:color="auto" w:fill="auto"/>
            <w:noWrap/>
            <w:vAlign w:val="bottom"/>
            <w:hideMark/>
          </w:tcPr>
          <w:p w14:paraId="7E060FD0" w14:textId="77777777" w:rsidR="00862A01" w:rsidRPr="00872D7E" w:rsidRDefault="00862A01" w:rsidP="00862A01">
            <w:pPr>
              <w:rPr>
                <w:color w:val="000000"/>
                <w:szCs w:val="20"/>
              </w:rPr>
            </w:pPr>
          </w:p>
        </w:tc>
        <w:tc>
          <w:tcPr>
            <w:tcW w:w="623" w:type="pct"/>
            <w:tcBorders>
              <w:top w:val="nil"/>
              <w:left w:val="nil"/>
              <w:bottom w:val="single" w:sz="4" w:space="0" w:color="auto"/>
              <w:right w:val="nil"/>
            </w:tcBorders>
            <w:shd w:val="clear" w:color="auto" w:fill="auto"/>
            <w:vAlign w:val="center"/>
            <w:hideMark/>
          </w:tcPr>
          <w:p w14:paraId="4999983F" w14:textId="77777777" w:rsidR="00862A01" w:rsidRPr="00872D7E" w:rsidRDefault="00862A01" w:rsidP="00862A01">
            <w:pPr>
              <w:jc w:val="right"/>
              <w:rPr>
                <w:color w:val="000000"/>
                <w:szCs w:val="20"/>
              </w:rPr>
            </w:pPr>
          </w:p>
        </w:tc>
        <w:tc>
          <w:tcPr>
            <w:tcW w:w="623" w:type="pct"/>
            <w:tcBorders>
              <w:top w:val="nil"/>
              <w:left w:val="nil"/>
              <w:bottom w:val="single" w:sz="4" w:space="0" w:color="auto"/>
              <w:right w:val="nil"/>
            </w:tcBorders>
            <w:shd w:val="clear" w:color="auto" w:fill="auto"/>
            <w:vAlign w:val="center"/>
            <w:hideMark/>
          </w:tcPr>
          <w:p w14:paraId="24728221" w14:textId="77777777" w:rsidR="00862A01" w:rsidRPr="00872D7E" w:rsidRDefault="00862A01" w:rsidP="00862A01">
            <w:pPr>
              <w:jc w:val="right"/>
              <w:rPr>
                <w:color w:val="000000"/>
                <w:szCs w:val="20"/>
              </w:rPr>
            </w:pPr>
          </w:p>
        </w:tc>
      </w:tr>
      <w:tr w:rsidR="00862A01" w:rsidRPr="00872D7E" w14:paraId="04997BF4" w14:textId="77777777" w:rsidTr="00C423C8">
        <w:trPr>
          <w:divId w:val="136192006"/>
          <w:trHeight w:val="227"/>
        </w:trPr>
        <w:tc>
          <w:tcPr>
            <w:tcW w:w="3754" w:type="pct"/>
            <w:tcBorders>
              <w:top w:val="nil"/>
              <w:left w:val="nil"/>
              <w:bottom w:val="nil"/>
              <w:right w:val="nil"/>
            </w:tcBorders>
            <w:shd w:val="clear" w:color="auto" w:fill="auto"/>
            <w:vAlign w:val="bottom"/>
            <w:hideMark/>
          </w:tcPr>
          <w:p w14:paraId="36D333CA" w14:textId="77777777" w:rsidR="00862A01" w:rsidRPr="00872D7E" w:rsidRDefault="00862A01" w:rsidP="00862A01">
            <w:pPr>
              <w:rPr>
                <w:b/>
                <w:bCs/>
                <w:color w:val="000000"/>
                <w:szCs w:val="20"/>
                <w:lang w:eastAsia="tr-TR"/>
              </w:rPr>
            </w:pPr>
            <w:r w:rsidRPr="00872D7E">
              <w:rPr>
                <w:b/>
                <w:bCs/>
                <w:color w:val="000000"/>
                <w:szCs w:val="20"/>
              </w:rPr>
              <w:t>Ertelenmiş</w:t>
            </w:r>
            <w:r w:rsidRPr="00872D7E">
              <w:rPr>
                <w:b/>
                <w:bCs/>
                <w:color w:val="000000"/>
                <w:szCs w:val="20"/>
                <w:lang w:eastAsia="tr-TR"/>
              </w:rPr>
              <w:t xml:space="preserve"> Vergi Varlığı</w:t>
            </w:r>
          </w:p>
        </w:tc>
        <w:tc>
          <w:tcPr>
            <w:tcW w:w="623" w:type="pct"/>
            <w:tcBorders>
              <w:top w:val="nil"/>
              <w:left w:val="nil"/>
              <w:bottom w:val="nil"/>
              <w:right w:val="nil"/>
            </w:tcBorders>
            <w:shd w:val="clear" w:color="auto" w:fill="auto"/>
            <w:vAlign w:val="center"/>
            <w:hideMark/>
          </w:tcPr>
          <w:p w14:paraId="5F76979C" w14:textId="77777777" w:rsidR="00862A01" w:rsidRPr="00872D7E" w:rsidRDefault="00862A01" w:rsidP="00862A01">
            <w:pPr>
              <w:jc w:val="right"/>
              <w:rPr>
                <w:b/>
                <w:bCs/>
                <w:color w:val="000000"/>
                <w:szCs w:val="20"/>
                <w:lang w:eastAsia="tr-TR"/>
              </w:rPr>
            </w:pPr>
            <w:r w:rsidRPr="00872D7E">
              <w:rPr>
                <w:b/>
                <w:bCs/>
                <w:szCs w:val="20"/>
              </w:rPr>
              <w:t>131.284</w:t>
            </w:r>
          </w:p>
        </w:tc>
        <w:tc>
          <w:tcPr>
            <w:tcW w:w="623" w:type="pct"/>
            <w:tcBorders>
              <w:top w:val="nil"/>
              <w:left w:val="nil"/>
              <w:bottom w:val="nil"/>
              <w:right w:val="nil"/>
            </w:tcBorders>
            <w:shd w:val="clear" w:color="auto" w:fill="auto"/>
            <w:vAlign w:val="center"/>
            <w:hideMark/>
          </w:tcPr>
          <w:p w14:paraId="63A32398" w14:textId="77777777" w:rsidR="00862A01" w:rsidRPr="00872D7E" w:rsidRDefault="00862A01" w:rsidP="00862A01">
            <w:pPr>
              <w:jc w:val="right"/>
              <w:rPr>
                <w:b/>
                <w:bCs/>
                <w:color w:val="000000"/>
                <w:szCs w:val="20"/>
                <w:lang w:eastAsia="tr-TR"/>
              </w:rPr>
            </w:pPr>
            <w:r w:rsidRPr="00872D7E">
              <w:rPr>
                <w:b/>
                <w:bCs/>
                <w:szCs w:val="20"/>
              </w:rPr>
              <w:t>12.022</w:t>
            </w:r>
          </w:p>
        </w:tc>
      </w:tr>
      <w:tr w:rsidR="00862A01" w:rsidRPr="00872D7E" w14:paraId="6C4635C4" w14:textId="77777777" w:rsidTr="00C423C8">
        <w:trPr>
          <w:divId w:val="136192006"/>
          <w:trHeight w:val="227"/>
        </w:trPr>
        <w:tc>
          <w:tcPr>
            <w:tcW w:w="3754" w:type="pct"/>
            <w:tcBorders>
              <w:top w:val="nil"/>
              <w:left w:val="nil"/>
              <w:bottom w:val="single" w:sz="8" w:space="0" w:color="auto"/>
              <w:right w:val="nil"/>
            </w:tcBorders>
            <w:shd w:val="clear" w:color="auto" w:fill="auto"/>
            <w:vAlign w:val="bottom"/>
            <w:hideMark/>
          </w:tcPr>
          <w:p w14:paraId="0F34EB2D" w14:textId="77777777" w:rsidR="00862A01" w:rsidRPr="00872D7E" w:rsidRDefault="00862A01" w:rsidP="00862A01">
            <w:pPr>
              <w:rPr>
                <w:color w:val="000000"/>
                <w:szCs w:val="20"/>
              </w:rPr>
            </w:pPr>
          </w:p>
        </w:tc>
        <w:tc>
          <w:tcPr>
            <w:tcW w:w="623" w:type="pct"/>
            <w:tcBorders>
              <w:top w:val="nil"/>
              <w:left w:val="nil"/>
              <w:bottom w:val="single" w:sz="8" w:space="0" w:color="auto"/>
              <w:right w:val="nil"/>
            </w:tcBorders>
            <w:shd w:val="clear" w:color="auto" w:fill="auto"/>
            <w:vAlign w:val="center"/>
            <w:hideMark/>
          </w:tcPr>
          <w:p w14:paraId="7C2EE547" w14:textId="77777777" w:rsidR="00862A01" w:rsidRPr="00872D7E" w:rsidRDefault="00862A01" w:rsidP="00862A01">
            <w:pPr>
              <w:jc w:val="right"/>
              <w:rPr>
                <w:b/>
                <w:bCs/>
                <w:color w:val="000000"/>
                <w:szCs w:val="20"/>
              </w:rPr>
            </w:pPr>
          </w:p>
        </w:tc>
        <w:tc>
          <w:tcPr>
            <w:tcW w:w="623" w:type="pct"/>
            <w:tcBorders>
              <w:top w:val="nil"/>
              <w:left w:val="nil"/>
              <w:bottom w:val="single" w:sz="8" w:space="0" w:color="auto"/>
              <w:right w:val="nil"/>
            </w:tcBorders>
            <w:shd w:val="clear" w:color="auto" w:fill="auto"/>
            <w:vAlign w:val="center"/>
            <w:hideMark/>
          </w:tcPr>
          <w:p w14:paraId="2E1EBD05" w14:textId="77777777" w:rsidR="00862A01" w:rsidRPr="00872D7E" w:rsidRDefault="00862A01" w:rsidP="00862A01">
            <w:pPr>
              <w:jc w:val="right"/>
              <w:rPr>
                <w:b/>
                <w:bCs/>
                <w:color w:val="000000"/>
                <w:szCs w:val="20"/>
              </w:rPr>
            </w:pPr>
          </w:p>
        </w:tc>
      </w:tr>
      <w:tr w:rsidR="00862A01" w:rsidRPr="00872D7E" w14:paraId="1BFE722C" w14:textId="77777777" w:rsidTr="00C423C8">
        <w:trPr>
          <w:divId w:val="136192006"/>
          <w:trHeight w:val="227"/>
        </w:trPr>
        <w:tc>
          <w:tcPr>
            <w:tcW w:w="3754" w:type="pct"/>
            <w:tcBorders>
              <w:top w:val="nil"/>
              <w:left w:val="nil"/>
              <w:bottom w:val="nil"/>
              <w:right w:val="nil"/>
            </w:tcBorders>
            <w:shd w:val="clear" w:color="auto" w:fill="auto"/>
            <w:noWrap/>
            <w:vAlign w:val="bottom"/>
            <w:hideMark/>
          </w:tcPr>
          <w:p w14:paraId="5C898EF2" w14:textId="77777777" w:rsidR="00862A01" w:rsidRPr="00872D7E" w:rsidRDefault="00862A01" w:rsidP="00862A01">
            <w:pPr>
              <w:rPr>
                <w:color w:val="000000"/>
                <w:szCs w:val="20"/>
                <w:lang w:eastAsia="tr-TR"/>
              </w:rPr>
            </w:pPr>
            <w:r w:rsidRPr="00872D7E">
              <w:rPr>
                <w:color w:val="000000"/>
                <w:szCs w:val="20"/>
              </w:rPr>
              <w:t>TFRS</w:t>
            </w:r>
            <w:r w:rsidRPr="00872D7E">
              <w:rPr>
                <w:color w:val="000000"/>
                <w:szCs w:val="20"/>
                <w:lang w:eastAsia="tr-TR"/>
              </w:rPr>
              <w:t xml:space="preserve"> 16 Kiralama İşlemleri Amortismanı</w:t>
            </w:r>
          </w:p>
        </w:tc>
        <w:tc>
          <w:tcPr>
            <w:tcW w:w="623" w:type="pct"/>
            <w:tcBorders>
              <w:top w:val="nil"/>
              <w:left w:val="nil"/>
              <w:bottom w:val="nil"/>
              <w:right w:val="nil"/>
            </w:tcBorders>
            <w:shd w:val="clear" w:color="auto" w:fill="auto"/>
            <w:vAlign w:val="center"/>
            <w:hideMark/>
          </w:tcPr>
          <w:p w14:paraId="243DC5BD" w14:textId="77777777" w:rsidR="00862A01" w:rsidRPr="00872D7E" w:rsidRDefault="00862A01" w:rsidP="00862A01">
            <w:pPr>
              <w:jc w:val="right"/>
              <w:rPr>
                <w:color w:val="000000"/>
                <w:szCs w:val="20"/>
                <w:lang w:eastAsia="tr-TR"/>
              </w:rPr>
            </w:pPr>
            <w:r w:rsidRPr="00872D7E">
              <w:rPr>
                <w:szCs w:val="20"/>
              </w:rPr>
              <w:t>13.108</w:t>
            </w:r>
          </w:p>
        </w:tc>
        <w:tc>
          <w:tcPr>
            <w:tcW w:w="623" w:type="pct"/>
            <w:tcBorders>
              <w:top w:val="nil"/>
              <w:left w:val="nil"/>
              <w:bottom w:val="nil"/>
              <w:right w:val="nil"/>
            </w:tcBorders>
            <w:shd w:val="clear" w:color="auto" w:fill="auto"/>
            <w:vAlign w:val="center"/>
            <w:hideMark/>
          </w:tcPr>
          <w:p w14:paraId="70D7A5BF" w14:textId="77777777" w:rsidR="00862A01" w:rsidRPr="00872D7E" w:rsidRDefault="00862A01" w:rsidP="00862A01">
            <w:pPr>
              <w:jc w:val="right"/>
              <w:rPr>
                <w:color w:val="000000"/>
                <w:szCs w:val="20"/>
                <w:lang w:eastAsia="tr-TR"/>
              </w:rPr>
            </w:pPr>
            <w:r w:rsidRPr="00872D7E">
              <w:rPr>
                <w:szCs w:val="20"/>
              </w:rPr>
              <w:t>-</w:t>
            </w:r>
          </w:p>
        </w:tc>
      </w:tr>
      <w:tr w:rsidR="00862A01" w:rsidRPr="00872D7E" w14:paraId="6DEBDB5D" w14:textId="77777777" w:rsidTr="00C423C8">
        <w:trPr>
          <w:divId w:val="136192006"/>
          <w:trHeight w:val="227"/>
        </w:trPr>
        <w:tc>
          <w:tcPr>
            <w:tcW w:w="3754" w:type="pct"/>
            <w:tcBorders>
              <w:top w:val="nil"/>
              <w:left w:val="nil"/>
              <w:bottom w:val="nil"/>
              <w:right w:val="nil"/>
            </w:tcBorders>
            <w:shd w:val="clear" w:color="auto" w:fill="auto"/>
            <w:noWrap/>
            <w:vAlign w:val="bottom"/>
            <w:hideMark/>
          </w:tcPr>
          <w:p w14:paraId="0B6EB71D" w14:textId="77777777" w:rsidR="00862A01" w:rsidRPr="00872D7E" w:rsidRDefault="00862A01" w:rsidP="00862A01">
            <w:pPr>
              <w:rPr>
                <w:color w:val="000000"/>
                <w:szCs w:val="20"/>
                <w:lang w:eastAsia="tr-TR"/>
              </w:rPr>
            </w:pPr>
            <w:r w:rsidRPr="00872D7E">
              <w:rPr>
                <w:color w:val="000000"/>
                <w:szCs w:val="20"/>
              </w:rPr>
              <w:t xml:space="preserve">Maddi Duran Varlıkların Kayıtlı Değeri ile Vergi Değeri Arasındaki Fark (Amortisman Farkları) </w:t>
            </w:r>
          </w:p>
        </w:tc>
        <w:tc>
          <w:tcPr>
            <w:tcW w:w="623" w:type="pct"/>
            <w:tcBorders>
              <w:top w:val="nil"/>
              <w:left w:val="nil"/>
              <w:bottom w:val="nil"/>
              <w:right w:val="nil"/>
            </w:tcBorders>
            <w:shd w:val="clear" w:color="auto" w:fill="auto"/>
            <w:vAlign w:val="center"/>
            <w:hideMark/>
          </w:tcPr>
          <w:p w14:paraId="31737EB2" w14:textId="77777777" w:rsidR="00862A01" w:rsidRPr="00872D7E" w:rsidRDefault="00862A01" w:rsidP="00862A01">
            <w:pPr>
              <w:jc w:val="right"/>
              <w:rPr>
                <w:color w:val="000000"/>
                <w:szCs w:val="20"/>
              </w:rPr>
            </w:pPr>
            <w:r w:rsidRPr="00872D7E">
              <w:rPr>
                <w:color w:val="000000"/>
                <w:szCs w:val="20"/>
              </w:rPr>
              <w:t>26.144</w:t>
            </w:r>
          </w:p>
        </w:tc>
        <w:tc>
          <w:tcPr>
            <w:tcW w:w="623" w:type="pct"/>
            <w:tcBorders>
              <w:top w:val="nil"/>
              <w:left w:val="nil"/>
              <w:bottom w:val="nil"/>
              <w:right w:val="nil"/>
            </w:tcBorders>
            <w:shd w:val="clear" w:color="auto" w:fill="auto"/>
            <w:vAlign w:val="center"/>
            <w:hideMark/>
          </w:tcPr>
          <w:p w14:paraId="36D03E1E" w14:textId="77777777" w:rsidR="00862A01" w:rsidRPr="00872D7E" w:rsidRDefault="00862A01" w:rsidP="00862A01">
            <w:pPr>
              <w:jc w:val="right"/>
              <w:rPr>
                <w:color w:val="000000"/>
                <w:szCs w:val="20"/>
              </w:rPr>
            </w:pPr>
            <w:r w:rsidRPr="00872D7E">
              <w:rPr>
                <w:color w:val="000000"/>
                <w:szCs w:val="20"/>
              </w:rPr>
              <w:t>-</w:t>
            </w:r>
          </w:p>
        </w:tc>
      </w:tr>
      <w:tr w:rsidR="00862A01" w:rsidRPr="00872D7E" w14:paraId="76A3C048" w14:textId="77777777" w:rsidTr="00C423C8">
        <w:trPr>
          <w:divId w:val="136192006"/>
          <w:trHeight w:val="227"/>
        </w:trPr>
        <w:tc>
          <w:tcPr>
            <w:tcW w:w="3754" w:type="pct"/>
            <w:tcBorders>
              <w:top w:val="nil"/>
              <w:left w:val="nil"/>
              <w:bottom w:val="single" w:sz="4" w:space="0" w:color="auto"/>
              <w:right w:val="nil"/>
            </w:tcBorders>
            <w:shd w:val="clear" w:color="auto" w:fill="auto"/>
            <w:noWrap/>
            <w:vAlign w:val="bottom"/>
            <w:hideMark/>
          </w:tcPr>
          <w:p w14:paraId="0C4B7028" w14:textId="77777777" w:rsidR="00862A01" w:rsidRPr="00872D7E" w:rsidRDefault="00862A01" w:rsidP="00862A01">
            <w:pPr>
              <w:rPr>
                <w:color w:val="000000"/>
                <w:szCs w:val="20"/>
                <w:lang w:eastAsia="tr-TR"/>
              </w:rPr>
            </w:pPr>
            <w:r w:rsidRPr="00872D7E">
              <w:rPr>
                <w:color w:val="000000"/>
                <w:szCs w:val="20"/>
              </w:rPr>
              <w:t xml:space="preserve">Türev </w:t>
            </w:r>
            <w:r w:rsidRPr="00872D7E">
              <w:rPr>
                <w:color w:val="000000"/>
                <w:szCs w:val="20"/>
                <w:lang w:eastAsia="tr-TR"/>
              </w:rPr>
              <w:t>Finansal Yükümlülükler</w:t>
            </w:r>
          </w:p>
        </w:tc>
        <w:tc>
          <w:tcPr>
            <w:tcW w:w="623" w:type="pct"/>
            <w:tcBorders>
              <w:top w:val="nil"/>
              <w:left w:val="nil"/>
              <w:bottom w:val="single" w:sz="4" w:space="0" w:color="auto"/>
              <w:right w:val="nil"/>
            </w:tcBorders>
            <w:shd w:val="clear" w:color="auto" w:fill="auto"/>
            <w:vAlign w:val="center"/>
            <w:hideMark/>
          </w:tcPr>
          <w:p w14:paraId="451A5B43" w14:textId="77777777" w:rsidR="00862A01" w:rsidRPr="00872D7E" w:rsidRDefault="00862A01" w:rsidP="00862A01">
            <w:pPr>
              <w:jc w:val="right"/>
              <w:rPr>
                <w:color w:val="000000"/>
                <w:szCs w:val="20"/>
              </w:rPr>
            </w:pPr>
            <w:r w:rsidRPr="00872D7E">
              <w:rPr>
                <w:color w:val="000000"/>
                <w:szCs w:val="20"/>
              </w:rPr>
              <w:t>-</w:t>
            </w:r>
          </w:p>
        </w:tc>
        <w:tc>
          <w:tcPr>
            <w:tcW w:w="623" w:type="pct"/>
            <w:tcBorders>
              <w:top w:val="nil"/>
              <w:left w:val="nil"/>
              <w:bottom w:val="single" w:sz="4" w:space="0" w:color="auto"/>
              <w:right w:val="nil"/>
            </w:tcBorders>
            <w:shd w:val="clear" w:color="auto" w:fill="auto"/>
            <w:vAlign w:val="center"/>
            <w:hideMark/>
          </w:tcPr>
          <w:p w14:paraId="1F2C040A" w14:textId="77777777" w:rsidR="00862A01" w:rsidRPr="00872D7E" w:rsidRDefault="00862A01" w:rsidP="00862A01">
            <w:pPr>
              <w:jc w:val="right"/>
              <w:rPr>
                <w:color w:val="000000"/>
                <w:szCs w:val="20"/>
              </w:rPr>
            </w:pPr>
            <w:r w:rsidRPr="00872D7E">
              <w:rPr>
                <w:color w:val="000000"/>
                <w:szCs w:val="20"/>
              </w:rPr>
              <w:t>-</w:t>
            </w:r>
          </w:p>
        </w:tc>
      </w:tr>
      <w:tr w:rsidR="00862A01" w:rsidRPr="00872D7E" w14:paraId="75539752" w14:textId="77777777" w:rsidTr="00C423C8">
        <w:trPr>
          <w:divId w:val="136192006"/>
          <w:trHeight w:val="227"/>
        </w:trPr>
        <w:tc>
          <w:tcPr>
            <w:tcW w:w="3754" w:type="pct"/>
            <w:tcBorders>
              <w:top w:val="nil"/>
              <w:left w:val="nil"/>
              <w:bottom w:val="nil"/>
              <w:right w:val="nil"/>
            </w:tcBorders>
            <w:shd w:val="clear" w:color="auto" w:fill="auto"/>
            <w:noWrap/>
            <w:vAlign w:val="bottom"/>
            <w:hideMark/>
          </w:tcPr>
          <w:p w14:paraId="03148365" w14:textId="77777777" w:rsidR="00862A01" w:rsidRPr="00872D7E" w:rsidRDefault="00862A01" w:rsidP="00862A01">
            <w:pPr>
              <w:rPr>
                <w:color w:val="000000"/>
                <w:szCs w:val="20"/>
                <w:lang w:eastAsia="tr-TR"/>
              </w:rPr>
            </w:pPr>
            <w:r w:rsidRPr="00872D7E">
              <w:rPr>
                <w:color w:val="000000"/>
                <w:szCs w:val="20"/>
              </w:rPr>
              <w:t>Menkul</w:t>
            </w:r>
            <w:r w:rsidRPr="00872D7E">
              <w:rPr>
                <w:color w:val="000000"/>
                <w:szCs w:val="20"/>
                <w:lang w:eastAsia="tr-TR"/>
              </w:rPr>
              <w:t xml:space="preserve"> Değerler Değerleme Farkı</w:t>
            </w:r>
          </w:p>
        </w:tc>
        <w:tc>
          <w:tcPr>
            <w:tcW w:w="623" w:type="pct"/>
            <w:tcBorders>
              <w:top w:val="nil"/>
              <w:left w:val="nil"/>
              <w:bottom w:val="nil"/>
              <w:right w:val="nil"/>
            </w:tcBorders>
            <w:shd w:val="clear" w:color="auto" w:fill="auto"/>
            <w:vAlign w:val="center"/>
            <w:hideMark/>
          </w:tcPr>
          <w:p w14:paraId="45016945" w14:textId="77777777" w:rsidR="00862A01" w:rsidRPr="00872D7E" w:rsidRDefault="00862A01" w:rsidP="00862A01">
            <w:pPr>
              <w:jc w:val="right"/>
              <w:rPr>
                <w:color w:val="000000"/>
                <w:szCs w:val="20"/>
                <w:lang w:eastAsia="tr-TR"/>
              </w:rPr>
            </w:pPr>
            <w:r w:rsidRPr="00872D7E">
              <w:rPr>
                <w:szCs w:val="20"/>
              </w:rPr>
              <w:t>3.558</w:t>
            </w:r>
          </w:p>
        </w:tc>
        <w:tc>
          <w:tcPr>
            <w:tcW w:w="623" w:type="pct"/>
            <w:tcBorders>
              <w:top w:val="nil"/>
              <w:left w:val="nil"/>
              <w:bottom w:val="nil"/>
              <w:right w:val="nil"/>
            </w:tcBorders>
            <w:shd w:val="clear" w:color="auto" w:fill="auto"/>
            <w:vAlign w:val="center"/>
            <w:hideMark/>
          </w:tcPr>
          <w:p w14:paraId="62306305" w14:textId="77777777" w:rsidR="00862A01" w:rsidRPr="00872D7E" w:rsidRDefault="00862A01" w:rsidP="00862A01">
            <w:pPr>
              <w:jc w:val="right"/>
              <w:rPr>
                <w:color w:val="000000"/>
                <w:szCs w:val="20"/>
                <w:lang w:eastAsia="tr-TR"/>
              </w:rPr>
            </w:pPr>
            <w:r w:rsidRPr="00872D7E">
              <w:rPr>
                <w:szCs w:val="20"/>
              </w:rPr>
              <w:t>-</w:t>
            </w:r>
          </w:p>
        </w:tc>
      </w:tr>
      <w:tr w:rsidR="00862A01" w:rsidRPr="00872D7E" w14:paraId="6DF24995" w14:textId="77777777" w:rsidTr="00C423C8">
        <w:trPr>
          <w:divId w:val="136192006"/>
          <w:trHeight w:val="227"/>
        </w:trPr>
        <w:tc>
          <w:tcPr>
            <w:tcW w:w="3754" w:type="pct"/>
            <w:tcBorders>
              <w:top w:val="nil"/>
              <w:left w:val="nil"/>
              <w:bottom w:val="single" w:sz="8" w:space="0" w:color="auto"/>
              <w:right w:val="nil"/>
            </w:tcBorders>
            <w:shd w:val="clear" w:color="auto" w:fill="auto"/>
            <w:noWrap/>
            <w:vAlign w:val="bottom"/>
            <w:hideMark/>
          </w:tcPr>
          <w:p w14:paraId="22E12332" w14:textId="77777777" w:rsidR="00862A01" w:rsidRPr="00872D7E" w:rsidRDefault="00862A01" w:rsidP="00862A01">
            <w:pPr>
              <w:rPr>
                <w:color w:val="000000"/>
                <w:szCs w:val="20"/>
                <w:lang w:eastAsia="tr-TR"/>
              </w:rPr>
            </w:pPr>
            <w:r w:rsidRPr="00872D7E">
              <w:rPr>
                <w:color w:val="000000"/>
                <w:szCs w:val="20"/>
              </w:rPr>
              <w:t xml:space="preserve">Spot </w:t>
            </w:r>
            <w:r w:rsidRPr="00872D7E">
              <w:rPr>
                <w:color w:val="000000"/>
                <w:szCs w:val="20"/>
                <w:lang w:eastAsia="tr-TR"/>
              </w:rPr>
              <w:t>İşlemler Değerleme Farkı</w:t>
            </w:r>
          </w:p>
        </w:tc>
        <w:tc>
          <w:tcPr>
            <w:tcW w:w="623" w:type="pct"/>
            <w:tcBorders>
              <w:top w:val="nil"/>
              <w:left w:val="nil"/>
              <w:bottom w:val="single" w:sz="8" w:space="0" w:color="auto"/>
              <w:right w:val="nil"/>
            </w:tcBorders>
            <w:shd w:val="clear" w:color="auto" w:fill="auto"/>
            <w:vAlign w:val="center"/>
            <w:hideMark/>
          </w:tcPr>
          <w:p w14:paraId="320FF920" w14:textId="77777777" w:rsidR="00862A01" w:rsidRPr="00872D7E" w:rsidRDefault="00862A01" w:rsidP="00862A01">
            <w:pPr>
              <w:jc w:val="right"/>
              <w:rPr>
                <w:color w:val="000000"/>
                <w:szCs w:val="20"/>
              </w:rPr>
            </w:pPr>
            <w:r w:rsidRPr="00872D7E">
              <w:rPr>
                <w:color w:val="000000"/>
                <w:szCs w:val="20"/>
              </w:rPr>
              <w:t>10.636</w:t>
            </w:r>
          </w:p>
        </w:tc>
        <w:tc>
          <w:tcPr>
            <w:tcW w:w="623" w:type="pct"/>
            <w:tcBorders>
              <w:top w:val="nil"/>
              <w:left w:val="nil"/>
              <w:bottom w:val="single" w:sz="8" w:space="0" w:color="auto"/>
              <w:right w:val="nil"/>
            </w:tcBorders>
            <w:shd w:val="clear" w:color="auto" w:fill="auto"/>
            <w:vAlign w:val="center"/>
            <w:hideMark/>
          </w:tcPr>
          <w:p w14:paraId="29D510CD" w14:textId="77777777" w:rsidR="00862A01" w:rsidRPr="00872D7E" w:rsidRDefault="00862A01" w:rsidP="00862A01">
            <w:pPr>
              <w:jc w:val="right"/>
              <w:rPr>
                <w:color w:val="000000"/>
                <w:szCs w:val="20"/>
              </w:rPr>
            </w:pPr>
            <w:r w:rsidRPr="00872D7E">
              <w:rPr>
                <w:color w:val="000000"/>
                <w:szCs w:val="20"/>
              </w:rPr>
              <w:t>2.747</w:t>
            </w:r>
          </w:p>
        </w:tc>
      </w:tr>
      <w:tr w:rsidR="00862A01" w:rsidRPr="00872D7E" w14:paraId="4F6F393E" w14:textId="77777777" w:rsidTr="00C423C8">
        <w:trPr>
          <w:divId w:val="136192006"/>
          <w:trHeight w:val="227"/>
        </w:trPr>
        <w:tc>
          <w:tcPr>
            <w:tcW w:w="3754" w:type="pct"/>
            <w:tcBorders>
              <w:top w:val="nil"/>
              <w:left w:val="nil"/>
              <w:right w:val="nil"/>
            </w:tcBorders>
            <w:shd w:val="clear" w:color="auto" w:fill="auto"/>
            <w:noWrap/>
            <w:vAlign w:val="bottom"/>
            <w:hideMark/>
          </w:tcPr>
          <w:p w14:paraId="02FDD36A" w14:textId="77777777" w:rsidR="00862A01" w:rsidRPr="00872D7E" w:rsidRDefault="00862A01" w:rsidP="00862A01">
            <w:pPr>
              <w:rPr>
                <w:color w:val="000000"/>
                <w:szCs w:val="20"/>
              </w:rPr>
            </w:pPr>
          </w:p>
        </w:tc>
        <w:tc>
          <w:tcPr>
            <w:tcW w:w="623" w:type="pct"/>
            <w:tcBorders>
              <w:top w:val="nil"/>
              <w:left w:val="nil"/>
              <w:right w:val="nil"/>
            </w:tcBorders>
            <w:shd w:val="clear" w:color="auto" w:fill="auto"/>
            <w:vAlign w:val="center"/>
            <w:hideMark/>
          </w:tcPr>
          <w:p w14:paraId="5EA44DC4" w14:textId="77777777" w:rsidR="00862A01" w:rsidRPr="00872D7E" w:rsidRDefault="00862A01" w:rsidP="00862A01">
            <w:pPr>
              <w:jc w:val="right"/>
              <w:rPr>
                <w:szCs w:val="20"/>
              </w:rPr>
            </w:pPr>
          </w:p>
        </w:tc>
        <w:tc>
          <w:tcPr>
            <w:tcW w:w="623" w:type="pct"/>
            <w:tcBorders>
              <w:top w:val="nil"/>
              <w:left w:val="nil"/>
              <w:right w:val="nil"/>
            </w:tcBorders>
            <w:shd w:val="clear" w:color="auto" w:fill="auto"/>
            <w:noWrap/>
            <w:vAlign w:val="center"/>
            <w:hideMark/>
          </w:tcPr>
          <w:p w14:paraId="60484440" w14:textId="77777777" w:rsidR="00862A01" w:rsidRPr="00872D7E" w:rsidRDefault="00862A01" w:rsidP="00862A01">
            <w:pPr>
              <w:jc w:val="right"/>
              <w:rPr>
                <w:szCs w:val="20"/>
              </w:rPr>
            </w:pPr>
          </w:p>
        </w:tc>
      </w:tr>
      <w:tr w:rsidR="00862A01" w:rsidRPr="00872D7E" w14:paraId="7F65E579" w14:textId="77777777" w:rsidTr="00C423C8">
        <w:trPr>
          <w:divId w:val="136192006"/>
          <w:trHeight w:val="227"/>
        </w:trPr>
        <w:tc>
          <w:tcPr>
            <w:tcW w:w="3754" w:type="pct"/>
            <w:tcBorders>
              <w:top w:val="nil"/>
              <w:left w:val="nil"/>
              <w:bottom w:val="single" w:sz="12" w:space="0" w:color="auto"/>
              <w:right w:val="nil"/>
            </w:tcBorders>
            <w:shd w:val="clear" w:color="auto" w:fill="auto"/>
            <w:noWrap/>
            <w:vAlign w:val="bottom"/>
            <w:hideMark/>
          </w:tcPr>
          <w:p w14:paraId="78F3F23C" w14:textId="77777777" w:rsidR="00862A01" w:rsidRPr="00872D7E" w:rsidRDefault="00862A01" w:rsidP="00862A01">
            <w:pPr>
              <w:rPr>
                <w:b/>
                <w:bCs/>
                <w:color w:val="000000"/>
                <w:szCs w:val="20"/>
              </w:rPr>
            </w:pPr>
            <w:r w:rsidRPr="00872D7E">
              <w:rPr>
                <w:b/>
                <w:bCs/>
                <w:color w:val="000000"/>
                <w:szCs w:val="20"/>
              </w:rPr>
              <w:t>Ertelenmiş Vergi Yükümlülüğü</w:t>
            </w:r>
          </w:p>
        </w:tc>
        <w:tc>
          <w:tcPr>
            <w:tcW w:w="623" w:type="pct"/>
            <w:tcBorders>
              <w:top w:val="nil"/>
              <w:left w:val="nil"/>
              <w:bottom w:val="single" w:sz="12" w:space="0" w:color="auto"/>
              <w:right w:val="nil"/>
            </w:tcBorders>
            <w:shd w:val="clear" w:color="auto" w:fill="auto"/>
            <w:vAlign w:val="center"/>
            <w:hideMark/>
          </w:tcPr>
          <w:p w14:paraId="41A0EB85" w14:textId="77777777" w:rsidR="00862A01" w:rsidRPr="00872D7E" w:rsidRDefault="00862A01" w:rsidP="00862A01">
            <w:pPr>
              <w:jc w:val="right"/>
              <w:rPr>
                <w:b/>
                <w:bCs/>
                <w:color w:val="000000"/>
                <w:szCs w:val="20"/>
              </w:rPr>
            </w:pPr>
            <w:r w:rsidRPr="00872D7E">
              <w:rPr>
                <w:b/>
                <w:bCs/>
                <w:color w:val="000000"/>
                <w:szCs w:val="20"/>
              </w:rPr>
              <w:t>53.446</w:t>
            </w:r>
          </w:p>
        </w:tc>
        <w:tc>
          <w:tcPr>
            <w:tcW w:w="623" w:type="pct"/>
            <w:tcBorders>
              <w:top w:val="nil"/>
              <w:left w:val="nil"/>
              <w:bottom w:val="single" w:sz="12" w:space="0" w:color="auto"/>
              <w:right w:val="nil"/>
            </w:tcBorders>
            <w:shd w:val="clear" w:color="auto" w:fill="auto"/>
            <w:vAlign w:val="center"/>
            <w:hideMark/>
          </w:tcPr>
          <w:p w14:paraId="557833BE" w14:textId="77777777" w:rsidR="00862A01" w:rsidRPr="00872D7E" w:rsidRDefault="00862A01" w:rsidP="00862A01">
            <w:pPr>
              <w:jc w:val="right"/>
              <w:rPr>
                <w:b/>
                <w:bCs/>
                <w:color w:val="000000"/>
                <w:szCs w:val="20"/>
              </w:rPr>
            </w:pPr>
            <w:r w:rsidRPr="00872D7E">
              <w:rPr>
                <w:b/>
                <w:bCs/>
                <w:color w:val="000000"/>
                <w:szCs w:val="20"/>
              </w:rPr>
              <w:t>2.747</w:t>
            </w:r>
          </w:p>
        </w:tc>
      </w:tr>
      <w:tr w:rsidR="00862A01" w:rsidRPr="00872D7E" w14:paraId="70EBFE35" w14:textId="77777777" w:rsidTr="00C423C8">
        <w:trPr>
          <w:divId w:val="136192006"/>
          <w:trHeight w:val="255"/>
        </w:trPr>
        <w:tc>
          <w:tcPr>
            <w:tcW w:w="3754" w:type="pct"/>
            <w:tcBorders>
              <w:top w:val="nil"/>
              <w:left w:val="nil"/>
              <w:right w:val="nil"/>
            </w:tcBorders>
            <w:shd w:val="clear" w:color="auto" w:fill="auto"/>
            <w:vAlign w:val="bottom"/>
            <w:hideMark/>
          </w:tcPr>
          <w:p w14:paraId="032150EA" w14:textId="77777777" w:rsidR="00862A01" w:rsidRPr="00872D7E" w:rsidRDefault="00862A01" w:rsidP="00862A01">
            <w:pPr>
              <w:rPr>
                <w:color w:val="000000"/>
                <w:szCs w:val="20"/>
                <w:lang w:eastAsia="tr-TR"/>
              </w:rPr>
            </w:pPr>
          </w:p>
        </w:tc>
        <w:tc>
          <w:tcPr>
            <w:tcW w:w="623" w:type="pct"/>
            <w:tcBorders>
              <w:top w:val="nil"/>
              <w:left w:val="nil"/>
              <w:right w:val="nil"/>
            </w:tcBorders>
            <w:shd w:val="clear" w:color="auto" w:fill="auto"/>
            <w:vAlign w:val="center"/>
            <w:hideMark/>
          </w:tcPr>
          <w:p w14:paraId="3029E186" w14:textId="77777777" w:rsidR="00862A01" w:rsidRPr="00872D7E" w:rsidRDefault="00862A01" w:rsidP="00862A01">
            <w:pPr>
              <w:jc w:val="right"/>
              <w:rPr>
                <w:szCs w:val="20"/>
                <w:lang w:eastAsia="tr-TR"/>
              </w:rPr>
            </w:pPr>
          </w:p>
        </w:tc>
        <w:tc>
          <w:tcPr>
            <w:tcW w:w="623" w:type="pct"/>
            <w:tcBorders>
              <w:top w:val="nil"/>
              <w:left w:val="nil"/>
              <w:right w:val="nil"/>
            </w:tcBorders>
            <w:shd w:val="clear" w:color="auto" w:fill="auto"/>
            <w:vAlign w:val="center"/>
            <w:hideMark/>
          </w:tcPr>
          <w:p w14:paraId="51BD9438" w14:textId="77777777" w:rsidR="00862A01" w:rsidRPr="00872D7E" w:rsidRDefault="00862A01" w:rsidP="00862A01">
            <w:pPr>
              <w:jc w:val="right"/>
              <w:rPr>
                <w:szCs w:val="20"/>
                <w:lang w:eastAsia="tr-TR"/>
              </w:rPr>
            </w:pPr>
          </w:p>
        </w:tc>
      </w:tr>
      <w:tr w:rsidR="00862A01" w:rsidRPr="00872D7E" w14:paraId="1A3CD368" w14:textId="77777777" w:rsidTr="00C423C8">
        <w:trPr>
          <w:divId w:val="136192006"/>
          <w:trHeight w:val="255"/>
        </w:trPr>
        <w:tc>
          <w:tcPr>
            <w:tcW w:w="3754" w:type="pct"/>
            <w:tcBorders>
              <w:top w:val="nil"/>
              <w:left w:val="nil"/>
              <w:bottom w:val="single" w:sz="8" w:space="0" w:color="auto"/>
              <w:right w:val="nil"/>
            </w:tcBorders>
            <w:shd w:val="clear" w:color="auto" w:fill="auto"/>
            <w:noWrap/>
            <w:vAlign w:val="bottom"/>
            <w:hideMark/>
          </w:tcPr>
          <w:p w14:paraId="28843D9A" w14:textId="77777777" w:rsidR="00862A01" w:rsidRPr="00872D7E" w:rsidRDefault="00862A01" w:rsidP="00862A01">
            <w:pPr>
              <w:rPr>
                <w:b/>
                <w:bCs/>
                <w:color w:val="000000"/>
                <w:szCs w:val="20"/>
                <w:lang w:eastAsia="tr-TR"/>
              </w:rPr>
            </w:pPr>
            <w:r w:rsidRPr="00872D7E">
              <w:rPr>
                <w:b/>
                <w:bCs/>
                <w:color w:val="000000"/>
                <w:szCs w:val="20"/>
                <w:lang w:eastAsia="tr-TR"/>
              </w:rPr>
              <w:t>Ertelenmiş Vergi Varlığı (Net)</w:t>
            </w:r>
          </w:p>
        </w:tc>
        <w:tc>
          <w:tcPr>
            <w:tcW w:w="623" w:type="pct"/>
            <w:tcBorders>
              <w:top w:val="nil"/>
              <w:left w:val="nil"/>
              <w:bottom w:val="single" w:sz="8" w:space="0" w:color="auto"/>
              <w:right w:val="nil"/>
            </w:tcBorders>
            <w:shd w:val="clear" w:color="auto" w:fill="auto"/>
            <w:vAlign w:val="center"/>
            <w:hideMark/>
          </w:tcPr>
          <w:p w14:paraId="743C0AA5" w14:textId="77777777" w:rsidR="00862A01" w:rsidRPr="00872D7E" w:rsidRDefault="00862A01" w:rsidP="00862A01">
            <w:pPr>
              <w:jc w:val="right"/>
              <w:rPr>
                <w:b/>
                <w:bCs/>
                <w:color w:val="000000"/>
                <w:szCs w:val="20"/>
                <w:lang w:eastAsia="tr-TR"/>
              </w:rPr>
            </w:pPr>
            <w:r w:rsidRPr="00872D7E">
              <w:rPr>
                <w:b/>
                <w:bCs/>
                <w:color w:val="000000"/>
                <w:szCs w:val="20"/>
                <w:lang w:eastAsia="tr-TR"/>
              </w:rPr>
              <w:t>77.838</w:t>
            </w:r>
          </w:p>
        </w:tc>
        <w:tc>
          <w:tcPr>
            <w:tcW w:w="623" w:type="pct"/>
            <w:tcBorders>
              <w:top w:val="nil"/>
              <w:left w:val="nil"/>
              <w:bottom w:val="single" w:sz="8" w:space="0" w:color="auto"/>
              <w:right w:val="nil"/>
            </w:tcBorders>
            <w:shd w:val="clear" w:color="auto" w:fill="auto"/>
            <w:vAlign w:val="center"/>
            <w:hideMark/>
          </w:tcPr>
          <w:p w14:paraId="3E7143A5" w14:textId="77777777" w:rsidR="00862A01" w:rsidRPr="00872D7E" w:rsidRDefault="00862A01" w:rsidP="00862A01">
            <w:pPr>
              <w:jc w:val="right"/>
              <w:rPr>
                <w:b/>
                <w:bCs/>
                <w:color w:val="000000"/>
                <w:szCs w:val="20"/>
                <w:lang w:eastAsia="tr-TR"/>
              </w:rPr>
            </w:pPr>
            <w:r w:rsidRPr="00872D7E">
              <w:rPr>
                <w:b/>
                <w:bCs/>
                <w:color w:val="000000"/>
                <w:szCs w:val="20"/>
                <w:lang w:eastAsia="tr-TR"/>
              </w:rPr>
              <w:t>9.275</w:t>
            </w:r>
          </w:p>
        </w:tc>
      </w:tr>
    </w:tbl>
    <w:p w14:paraId="0303B446" w14:textId="547454C6" w:rsidR="00B41104" w:rsidRPr="00872D7E" w:rsidRDefault="00B41104" w:rsidP="00D06FF6">
      <w:pPr>
        <w:widowControl w:val="0"/>
        <w:ind w:left="966" w:hanging="910"/>
        <w:jc w:val="both"/>
        <w:rPr>
          <w:rFonts w:eastAsia="Arial Unicode MS"/>
          <w:iCs/>
          <w:szCs w:val="20"/>
        </w:rPr>
      </w:pPr>
    </w:p>
    <w:p w14:paraId="7EEEA700" w14:textId="20AAD0A5" w:rsidR="00176DC0" w:rsidRPr="00872D7E" w:rsidRDefault="00176DC0" w:rsidP="00DF282B">
      <w:pPr>
        <w:pStyle w:val="ListParagraph"/>
        <w:widowControl w:val="0"/>
        <w:numPr>
          <w:ilvl w:val="0"/>
          <w:numId w:val="43"/>
        </w:numPr>
        <w:tabs>
          <w:tab w:val="clear" w:pos="540"/>
        </w:tabs>
        <w:autoSpaceDE w:val="0"/>
        <w:autoSpaceDN w:val="0"/>
        <w:adjustRightInd w:val="0"/>
        <w:ind w:left="851" w:hanging="851"/>
        <w:jc w:val="both"/>
        <w:rPr>
          <w:b/>
          <w:szCs w:val="20"/>
        </w:rPr>
      </w:pPr>
      <w:r w:rsidRPr="00872D7E">
        <w:rPr>
          <w:b/>
          <w:szCs w:val="20"/>
        </w:rPr>
        <w:t>Bilançonun diğer aktifler kalemi, nazım hesaplarda yer alan taahhütler hariç bilanço toplamının %10’unu aşıyor ise bunların en az %20’sini oluşturan alt hesapların isim ve tutarları</w:t>
      </w:r>
    </w:p>
    <w:p w14:paraId="24899B18" w14:textId="77777777" w:rsidR="00176DC0" w:rsidRPr="00872D7E" w:rsidRDefault="00176DC0" w:rsidP="00D06FF6">
      <w:pPr>
        <w:widowControl w:val="0"/>
        <w:ind w:right="329"/>
        <w:jc w:val="both"/>
        <w:rPr>
          <w:bCs/>
          <w:szCs w:val="20"/>
        </w:rPr>
      </w:pPr>
    </w:p>
    <w:p w14:paraId="3BC97FC5" w14:textId="16FFAB78" w:rsidR="005B3DE3" w:rsidRPr="00872D7E" w:rsidRDefault="00176DC0" w:rsidP="00D06FF6">
      <w:pPr>
        <w:widowControl w:val="0"/>
        <w:ind w:left="851"/>
        <w:jc w:val="both"/>
        <w:rPr>
          <w:bCs/>
          <w:szCs w:val="20"/>
        </w:rPr>
      </w:pPr>
      <w:r w:rsidRPr="00872D7E">
        <w:rPr>
          <w:bCs/>
          <w:szCs w:val="20"/>
        </w:rPr>
        <w:t>Bilanço tarihi itibarıyla, Banka’nın diğer aktifler toplamı bilanço toplamının %10’unu aşmamaktadır.</w:t>
      </w:r>
      <w:r w:rsidR="005B3DE3" w:rsidRPr="00872D7E">
        <w:rPr>
          <w:szCs w:val="20"/>
        </w:rPr>
        <w:br w:type="page"/>
      </w:r>
    </w:p>
    <w:p w14:paraId="53E5732A" w14:textId="7382E7D2" w:rsidR="00D10962" w:rsidRPr="00872D7E" w:rsidRDefault="005B3DE3" w:rsidP="003B796D">
      <w:pPr>
        <w:widowControl w:val="0"/>
        <w:ind w:left="720" w:hanging="720"/>
        <w:jc w:val="both"/>
        <w:rPr>
          <w:b/>
          <w:szCs w:val="20"/>
        </w:rPr>
      </w:pPr>
      <w:r w:rsidRPr="00872D7E">
        <w:rPr>
          <w:b/>
          <w:szCs w:val="20"/>
        </w:rPr>
        <w:lastRenderedPageBreak/>
        <w:t xml:space="preserve">KONSOLİDE OLMAYAN FİNANSAL TABLOLARA İLİŞKİN AÇIKLAMA VE DİPNOTLAR </w:t>
      </w:r>
      <w:r w:rsidR="00D10962" w:rsidRPr="00872D7E">
        <w:rPr>
          <w:b/>
          <w:szCs w:val="20"/>
        </w:rPr>
        <w:t>(Devamı)</w:t>
      </w:r>
    </w:p>
    <w:p w14:paraId="47FAFA2F" w14:textId="77777777" w:rsidR="003B796D" w:rsidRPr="00872D7E" w:rsidRDefault="003B796D" w:rsidP="003B796D">
      <w:pPr>
        <w:widowControl w:val="0"/>
        <w:ind w:left="720" w:hanging="720"/>
        <w:jc w:val="both"/>
        <w:rPr>
          <w:b/>
          <w:szCs w:val="20"/>
        </w:rPr>
      </w:pPr>
    </w:p>
    <w:p w14:paraId="4D62D59D" w14:textId="2901390B" w:rsidR="00136C29" w:rsidRPr="00872D7E" w:rsidRDefault="00A445BA" w:rsidP="003B796D">
      <w:pPr>
        <w:pStyle w:val="ListParagraph"/>
        <w:widowControl w:val="0"/>
        <w:numPr>
          <w:ilvl w:val="0"/>
          <w:numId w:val="58"/>
        </w:numPr>
        <w:ind w:left="851" w:hanging="862"/>
        <w:jc w:val="both"/>
        <w:rPr>
          <w:b/>
          <w:szCs w:val="20"/>
        </w:rPr>
      </w:pPr>
      <w:r w:rsidRPr="00872D7E">
        <w:rPr>
          <w:b/>
          <w:szCs w:val="20"/>
        </w:rPr>
        <w:t xml:space="preserve">BİLANÇONUN PASİF HESAPLARINA İLİŞKİN AÇIKLAMA VE DİPNOTLAR </w:t>
      </w:r>
    </w:p>
    <w:p w14:paraId="7036B264" w14:textId="77777777" w:rsidR="003B796D" w:rsidRPr="00872D7E" w:rsidRDefault="003B796D" w:rsidP="003B796D">
      <w:pPr>
        <w:widowControl w:val="0"/>
        <w:ind w:left="-11"/>
        <w:jc w:val="both"/>
        <w:rPr>
          <w:b/>
          <w:szCs w:val="20"/>
        </w:rPr>
      </w:pPr>
    </w:p>
    <w:p w14:paraId="54173975" w14:textId="43AEE968" w:rsidR="00D10962" w:rsidRPr="00872D7E" w:rsidRDefault="00136C29" w:rsidP="003B796D">
      <w:pPr>
        <w:pStyle w:val="BodyTextIndent"/>
        <w:widowControl w:val="0"/>
        <w:numPr>
          <w:ilvl w:val="0"/>
          <w:numId w:val="37"/>
        </w:numPr>
        <w:ind w:left="851" w:hanging="851"/>
        <w:rPr>
          <w:b/>
          <w:szCs w:val="20"/>
        </w:rPr>
      </w:pPr>
      <w:r w:rsidRPr="00872D7E">
        <w:rPr>
          <w:b/>
          <w:szCs w:val="20"/>
        </w:rPr>
        <w:t>Toplanan fonlara ilişkin bilgiler:</w:t>
      </w:r>
    </w:p>
    <w:p w14:paraId="2CBDA304" w14:textId="77777777" w:rsidR="003B796D" w:rsidRPr="00872D7E" w:rsidRDefault="003B796D" w:rsidP="003B796D">
      <w:pPr>
        <w:pStyle w:val="BodyTextIndent"/>
        <w:widowControl w:val="0"/>
        <w:ind w:left="851" w:firstLine="0"/>
        <w:rPr>
          <w:b/>
          <w:szCs w:val="20"/>
        </w:rPr>
      </w:pPr>
    </w:p>
    <w:p w14:paraId="039093C4" w14:textId="77777777" w:rsidR="00136C29" w:rsidRPr="00872D7E" w:rsidRDefault="00136C29" w:rsidP="00671C75">
      <w:pPr>
        <w:pStyle w:val="BodyTextIndent"/>
        <w:widowControl w:val="0"/>
        <w:numPr>
          <w:ilvl w:val="0"/>
          <w:numId w:val="5"/>
        </w:numPr>
        <w:tabs>
          <w:tab w:val="clear" w:pos="540"/>
        </w:tabs>
        <w:spacing w:line="235" w:lineRule="auto"/>
        <w:ind w:left="1276" w:hanging="425"/>
        <w:rPr>
          <w:b/>
          <w:szCs w:val="20"/>
        </w:rPr>
      </w:pPr>
      <w:r w:rsidRPr="00872D7E">
        <w:rPr>
          <w:b/>
          <w:szCs w:val="20"/>
        </w:rPr>
        <w:t xml:space="preserve">Toplanan fonların vade yapısına ilişkin bilgiler: </w:t>
      </w:r>
    </w:p>
    <w:p w14:paraId="082B0B18" w14:textId="1B52D9A5" w:rsidR="00862A01" w:rsidRPr="00872D7E" w:rsidRDefault="00862A01" w:rsidP="00AF526A">
      <w:pPr>
        <w:widowControl w:val="0"/>
        <w:spacing w:line="235" w:lineRule="auto"/>
        <w:ind w:right="-182"/>
        <w:jc w:val="both"/>
        <w:rPr>
          <w:szCs w:val="20"/>
        </w:rPr>
      </w:pPr>
    </w:p>
    <w:tbl>
      <w:tblPr>
        <w:tblW w:w="5000" w:type="pct"/>
        <w:tblCellMar>
          <w:left w:w="70" w:type="dxa"/>
          <w:right w:w="70" w:type="dxa"/>
        </w:tblCellMar>
        <w:tblLook w:val="04A0" w:firstRow="1" w:lastRow="0" w:firstColumn="1" w:lastColumn="0" w:noHBand="0" w:noVBand="1"/>
      </w:tblPr>
      <w:tblGrid>
        <w:gridCol w:w="2221"/>
        <w:gridCol w:w="968"/>
        <w:gridCol w:w="780"/>
        <w:gridCol w:w="780"/>
        <w:gridCol w:w="780"/>
        <w:gridCol w:w="689"/>
        <w:gridCol w:w="687"/>
        <w:gridCol w:w="827"/>
        <w:gridCol w:w="763"/>
        <w:gridCol w:w="860"/>
      </w:tblGrid>
      <w:tr w:rsidR="00862A01" w:rsidRPr="00872D7E" w14:paraId="0F85A4B6" w14:textId="77777777" w:rsidTr="00020D5C">
        <w:trPr>
          <w:divId w:val="692997317"/>
          <w:trHeight w:val="113"/>
        </w:trPr>
        <w:tc>
          <w:tcPr>
            <w:tcW w:w="1193" w:type="pct"/>
            <w:tcBorders>
              <w:top w:val="nil"/>
              <w:left w:val="nil"/>
              <w:bottom w:val="single" w:sz="4" w:space="0" w:color="auto"/>
              <w:right w:val="nil"/>
            </w:tcBorders>
            <w:shd w:val="clear" w:color="auto" w:fill="auto"/>
            <w:noWrap/>
            <w:vAlign w:val="bottom"/>
            <w:hideMark/>
          </w:tcPr>
          <w:p w14:paraId="2E1ACF12" w14:textId="43C56E73" w:rsidR="00862A01" w:rsidRPr="00872D7E" w:rsidRDefault="00862A01" w:rsidP="00862A01">
            <w:pPr>
              <w:rPr>
                <w:b/>
                <w:bCs/>
                <w:sz w:val="16"/>
                <w:szCs w:val="16"/>
              </w:rPr>
            </w:pPr>
            <w:r w:rsidRPr="00872D7E">
              <w:rPr>
                <w:b/>
                <w:bCs/>
                <w:sz w:val="16"/>
                <w:szCs w:val="16"/>
              </w:rPr>
              <w:t>31 Aralık 2024</w:t>
            </w:r>
          </w:p>
        </w:tc>
        <w:tc>
          <w:tcPr>
            <w:tcW w:w="523" w:type="pct"/>
            <w:tcBorders>
              <w:top w:val="nil"/>
              <w:left w:val="nil"/>
              <w:bottom w:val="single" w:sz="4" w:space="0" w:color="auto"/>
              <w:right w:val="nil"/>
            </w:tcBorders>
            <w:shd w:val="clear" w:color="auto" w:fill="auto"/>
            <w:vAlign w:val="bottom"/>
            <w:hideMark/>
          </w:tcPr>
          <w:p w14:paraId="5586C3F3" w14:textId="77777777" w:rsidR="00862A01" w:rsidRPr="00872D7E" w:rsidRDefault="00862A01" w:rsidP="00862A01">
            <w:pPr>
              <w:jc w:val="right"/>
              <w:rPr>
                <w:b/>
                <w:bCs/>
                <w:sz w:val="16"/>
                <w:szCs w:val="16"/>
              </w:rPr>
            </w:pPr>
            <w:r w:rsidRPr="00872D7E">
              <w:rPr>
                <w:b/>
                <w:bCs/>
                <w:sz w:val="16"/>
                <w:szCs w:val="16"/>
              </w:rPr>
              <w:t>Vadesiz</w:t>
            </w:r>
          </w:p>
        </w:tc>
        <w:tc>
          <w:tcPr>
            <w:tcW w:w="411" w:type="pct"/>
            <w:tcBorders>
              <w:top w:val="nil"/>
              <w:left w:val="nil"/>
              <w:bottom w:val="single" w:sz="4" w:space="0" w:color="auto"/>
              <w:right w:val="nil"/>
            </w:tcBorders>
            <w:shd w:val="clear" w:color="auto" w:fill="auto"/>
            <w:vAlign w:val="bottom"/>
            <w:hideMark/>
          </w:tcPr>
          <w:p w14:paraId="2E181606" w14:textId="77777777" w:rsidR="00862A01" w:rsidRPr="00872D7E" w:rsidRDefault="00862A01" w:rsidP="00862A01">
            <w:pPr>
              <w:jc w:val="right"/>
              <w:rPr>
                <w:b/>
                <w:bCs/>
                <w:sz w:val="16"/>
                <w:szCs w:val="16"/>
              </w:rPr>
            </w:pPr>
            <w:r w:rsidRPr="00872D7E">
              <w:rPr>
                <w:b/>
                <w:bCs/>
                <w:sz w:val="16"/>
                <w:szCs w:val="16"/>
              </w:rPr>
              <w:t>1 Aya Kadar</w:t>
            </w:r>
          </w:p>
        </w:tc>
        <w:tc>
          <w:tcPr>
            <w:tcW w:w="411" w:type="pct"/>
            <w:tcBorders>
              <w:top w:val="nil"/>
              <w:left w:val="nil"/>
              <w:bottom w:val="single" w:sz="4" w:space="0" w:color="auto"/>
              <w:right w:val="nil"/>
            </w:tcBorders>
            <w:shd w:val="clear" w:color="auto" w:fill="auto"/>
            <w:vAlign w:val="bottom"/>
            <w:hideMark/>
          </w:tcPr>
          <w:p w14:paraId="6D11A85D" w14:textId="77777777" w:rsidR="00862A01" w:rsidRPr="00872D7E" w:rsidRDefault="00862A01" w:rsidP="00862A01">
            <w:pPr>
              <w:jc w:val="right"/>
              <w:rPr>
                <w:b/>
                <w:bCs/>
                <w:sz w:val="16"/>
                <w:szCs w:val="16"/>
              </w:rPr>
            </w:pPr>
            <w:r w:rsidRPr="00872D7E">
              <w:rPr>
                <w:b/>
                <w:bCs/>
                <w:sz w:val="16"/>
                <w:szCs w:val="16"/>
              </w:rPr>
              <w:t>3 Aya Kadar</w:t>
            </w:r>
          </w:p>
        </w:tc>
        <w:tc>
          <w:tcPr>
            <w:tcW w:w="411" w:type="pct"/>
            <w:tcBorders>
              <w:top w:val="nil"/>
              <w:left w:val="nil"/>
              <w:bottom w:val="single" w:sz="4" w:space="0" w:color="auto"/>
              <w:right w:val="nil"/>
            </w:tcBorders>
            <w:shd w:val="clear" w:color="auto" w:fill="auto"/>
            <w:vAlign w:val="bottom"/>
            <w:hideMark/>
          </w:tcPr>
          <w:p w14:paraId="5974DCDD" w14:textId="77777777" w:rsidR="00862A01" w:rsidRPr="00872D7E" w:rsidRDefault="00862A01" w:rsidP="00862A01">
            <w:pPr>
              <w:jc w:val="right"/>
              <w:rPr>
                <w:b/>
                <w:bCs/>
                <w:sz w:val="16"/>
                <w:szCs w:val="16"/>
              </w:rPr>
            </w:pPr>
            <w:r w:rsidRPr="00872D7E">
              <w:rPr>
                <w:b/>
                <w:bCs/>
                <w:sz w:val="16"/>
                <w:szCs w:val="16"/>
              </w:rPr>
              <w:t>6 Aya Kadar</w:t>
            </w:r>
          </w:p>
        </w:tc>
        <w:tc>
          <w:tcPr>
            <w:tcW w:w="374" w:type="pct"/>
            <w:tcBorders>
              <w:top w:val="nil"/>
              <w:left w:val="nil"/>
              <w:bottom w:val="single" w:sz="4" w:space="0" w:color="auto"/>
              <w:right w:val="nil"/>
            </w:tcBorders>
            <w:shd w:val="clear" w:color="auto" w:fill="auto"/>
            <w:vAlign w:val="bottom"/>
            <w:hideMark/>
          </w:tcPr>
          <w:p w14:paraId="7349E578" w14:textId="77777777" w:rsidR="00862A01" w:rsidRPr="00872D7E" w:rsidRDefault="00862A01" w:rsidP="00862A01">
            <w:pPr>
              <w:jc w:val="right"/>
              <w:rPr>
                <w:b/>
                <w:bCs/>
                <w:sz w:val="16"/>
                <w:szCs w:val="16"/>
              </w:rPr>
            </w:pPr>
            <w:r w:rsidRPr="00872D7E">
              <w:rPr>
                <w:b/>
                <w:bCs/>
                <w:sz w:val="16"/>
                <w:szCs w:val="16"/>
              </w:rPr>
              <w:t>9 Aya Kadar</w:t>
            </w:r>
          </w:p>
        </w:tc>
        <w:tc>
          <w:tcPr>
            <w:tcW w:w="373" w:type="pct"/>
            <w:tcBorders>
              <w:top w:val="nil"/>
              <w:left w:val="nil"/>
              <w:bottom w:val="single" w:sz="4" w:space="0" w:color="auto"/>
              <w:right w:val="nil"/>
            </w:tcBorders>
            <w:shd w:val="clear" w:color="auto" w:fill="auto"/>
            <w:vAlign w:val="bottom"/>
            <w:hideMark/>
          </w:tcPr>
          <w:p w14:paraId="74F52EF7" w14:textId="77777777" w:rsidR="00862A01" w:rsidRPr="00872D7E" w:rsidRDefault="00862A01" w:rsidP="00862A01">
            <w:pPr>
              <w:jc w:val="right"/>
              <w:rPr>
                <w:b/>
                <w:bCs/>
                <w:sz w:val="16"/>
                <w:szCs w:val="16"/>
              </w:rPr>
            </w:pPr>
            <w:r w:rsidRPr="00872D7E">
              <w:rPr>
                <w:b/>
                <w:bCs/>
                <w:sz w:val="16"/>
                <w:szCs w:val="16"/>
              </w:rPr>
              <w:t>1 Yıla Kadar</w:t>
            </w:r>
          </w:p>
        </w:tc>
        <w:tc>
          <w:tcPr>
            <w:tcW w:w="448" w:type="pct"/>
            <w:tcBorders>
              <w:top w:val="nil"/>
              <w:left w:val="nil"/>
              <w:bottom w:val="single" w:sz="4" w:space="0" w:color="auto"/>
              <w:right w:val="nil"/>
            </w:tcBorders>
            <w:shd w:val="clear" w:color="auto" w:fill="auto"/>
            <w:vAlign w:val="bottom"/>
            <w:hideMark/>
          </w:tcPr>
          <w:p w14:paraId="7D17BC07" w14:textId="77777777" w:rsidR="00862A01" w:rsidRPr="00872D7E" w:rsidRDefault="00862A01" w:rsidP="00862A01">
            <w:pPr>
              <w:jc w:val="right"/>
              <w:rPr>
                <w:b/>
                <w:bCs/>
                <w:sz w:val="16"/>
                <w:szCs w:val="16"/>
              </w:rPr>
            </w:pPr>
            <w:r w:rsidRPr="00872D7E">
              <w:rPr>
                <w:b/>
                <w:bCs/>
                <w:sz w:val="16"/>
                <w:szCs w:val="16"/>
              </w:rPr>
              <w:t>1 Yıl ve Üstü</w:t>
            </w:r>
          </w:p>
        </w:tc>
        <w:tc>
          <w:tcPr>
            <w:tcW w:w="402" w:type="pct"/>
            <w:tcBorders>
              <w:top w:val="nil"/>
              <w:left w:val="nil"/>
              <w:bottom w:val="single" w:sz="4" w:space="0" w:color="auto"/>
              <w:right w:val="nil"/>
            </w:tcBorders>
            <w:shd w:val="clear" w:color="auto" w:fill="auto"/>
            <w:vAlign w:val="bottom"/>
            <w:hideMark/>
          </w:tcPr>
          <w:p w14:paraId="129553F4" w14:textId="77777777" w:rsidR="00862A01" w:rsidRPr="00872D7E" w:rsidRDefault="00862A01" w:rsidP="00862A01">
            <w:pPr>
              <w:jc w:val="right"/>
              <w:rPr>
                <w:b/>
                <w:bCs/>
                <w:sz w:val="16"/>
                <w:szCs w:val="16"/>
              </w:rPr>
            </w:pPr>
            <w:r w:rsidRPr="00872D7E">
              <w:rPr>
                <w:b/>
                <w:bCs/>
                <w:sz w:val="16"/>
                <w:szCs w:val="16"/>
              </w:rPr>
              <w:t>Birikimli Katılma Hesabı</w:t>
            </w:r>
          </w:p>
        </w:tc>
        <w:tc>
          <w:tcPr>
            <w:tcW w:w="453" w:type="pct"/>
            <w:tcBorders>
              <w:top w:val="nil"/>
              <w:left w:val="nil"/>
              <w:bottom w:val="single" w:sz="4" w:space="0" w:color="auto"/>
              <w:right w:val="nil"/>
            </w:tcBorders>
            <w:shd w:val="clear" w:color="auto" w:fill="auto"/>
            <w:vAlign w:val="bottom"/>
            <w:hideMark/>
          </w:tcPr>
          <w:p w14:paraId="05C2716A" w14:textId="77777777" w:rsidR="00862A01" w:rsidRPr="00872D7E" w:rsidRDefault="00862A01" w:rsidP="00862A01">
            <w:pPr>
              <w:jc w:val="right"/>
              <w:rPr>
                <w:b/>
                <w:bCs/>
                <w:sz w:val="16"/>
                <w:szCs w:val="16"/>
              </w:rPr>
            </w:pPr>
            <w:r w:rsidRPr="00872D7E">
              <w:rPr>
                <w:b/>
                <w:bCs/>
                <w:sz w:val="16"/>
                <w:szCs w:val="16"/>
              </w:rPr>
              <w:t>Toplam</w:t>
            </w:r>
          </w:p>
        </w:tc>
      </w:tr>
      <w:tr w:rsidR="00862A01" w:rsidRPr="00872D7E" w14:paraId="57FDE461" w14:textId="77777777" w:rsidTr="00020D5C">
        <w:trPr>
          <w:divId w:val="692997317"/>
          <w:trHeight w:val="113"/>
        </w:trPr>
        <w:tc>
          <w:tcPr>
            <w:tcW w:w="1193" w:type="pct"/>
            <w:tcBorders>
              <w:top w:val="nil"/>
              <w:left w:val="nil"/>
              <w:bottom w:val="nil"/>
              <w:right w:val="nil"/>
            </w:tcBorders>
            <w:shd w:val="clear" w:color="auto" w:fill="auto"/>
            <w:noWrap/>
            <w:vAlign w:val="bottom"/>
            <w:hideMark/>
          </w:tcPr>
          <w:p w14:paraId="150C8C3F" w14:textId="77777777" w:rsidR="00862A01" w:rsidRPr="00872D7E" w:rsidRDefault="00862A01" w:rsidP="00862A01">
            <w:pPr>
              <w:jc w:val="right"/>
              <w:rPr>
                <w:b/>
                <w:bCs/>
                <w:sz w:val="16"/>
                <w:szCs w:val="16"/>
              </w:rPr>
            </w:pPr>
          </w:p>
        </w:tc>
        <w:tc>
          <w:tcPr>
            <w:tcW w:w="523" w:type="pct"/>
            <w:tcBorders>
              <w:top w:val="nil"/>
              <w:left w:val="nil"/>
              <w:bottom w:val="nil"/>
              <w:right w:val="nil"/>
            </w:tcBorders>
            <w:shd w:val="clear" w:color="auto" w:fill="auto"/>
            <w:vAlign w:val="center"/>
            <w:hideMark/>
          </w:tcPr>
          <w:p w14:paraId="1D6D1439" w14:textId="77777777" w:rsidR="00862A01" w:rsidRPr="00872D7E" w:rsidRDefault="00862A01" w:rsidP="00862A01">
            <w:pPr>
              <w:jc w:val="right"/>
              <w:rPr>
                <w:sz w:val="16"/>
                <w:szCs w:val="16"/>
              </w:rPr>
            </w:pPr>
          </w:p>
        </w:tc>
        <w:tc>
          <w:tcPr>
            <w:tcW w:w="411" w:type="pct"/>
            <w:tcBorders>
              <w:top w:val="nil"/>
              <w:left w:val="nil"/>
              <w:bottom w:val="nil"/>
              <w:right w:val="nil"/>
            </w:tcBorders>
            <w:shd w:val="clear" w:color="auto" w:fill="auto"/>
            <w:vAlign w:val="center"/>
            <w:hideMark/>
          </w:tcPr>
          <w:p w14:paraId="7CAD7F2F" w14:textId="77777777" w:rsidR="00862A01" w:rsidRPr="00872D7E" w:rsidRDefault="00862A01" w:rsidP="00862A01">
            <w:pPr>
              <w:jc w:val="right"/>
              <w:rPr>
                <w:sz w:val="16"/>
                <w:szCs w:val="16"/>
              </w:rPr>
            </w:pPr>
          </w:p>
        </w:tc>
        <w:tc>
          <w:tcPr>
            <w:tcW w:w="411" w:type="pct"/>
            <w:tcBorders>
              <w:top w:val="nil"/>
              <w:left w:val="nil"/>
              <w:bottom w:val="nil"/>
              <w:right w:val="nil"/>
            </w:tcBorders>
            <w:shd w:val="clear" w:color="auto" w:fill="auto"/>
            <w:vAlign w:val="center"/>
            <w:hideMark/>
          </w:tcPr>
          <w:p w14:paraId="26F51BEC" w14:textId="77777777" w:rsidR="00862A01" w:rsidRPr="00872D7E" w:rsidRDefault="00862A01" w:rsidP="00862A01">
            <w:pPr>
              <w:jc w:val="right"/>
              <w:rPr>
                <w:sz w:val="16"/>
                <w:szCs w:val="16"/>
              </w:rPr>
            </w:pPr>
          </w:p>
        </w:tc>
        <w:tc>
          <w:tcPr>
            <w:tcW w:w="411" w:type="pct"/>
            <w:tcBorders>
              <w:top w:val="nil"/>
              <w:left w:val="nil"/>
              <w:bottom w:val="nil"/>
              <w:right w:val="nil"/>
            </w:tcBorders>
            <w:shd w:val="clear" w:color="auto" w:fill="auto"/>
            <w:vAlign w:val="center"/>
            <w:hideMark/>
          </w:tcPr>
          <w:p w14:paraId="243CEB4D" w14:textId="77777777" w:rsidR="00862A01" w:rsidRPr="00872D7E" w:rsidRDefault="00862A01" w:rsidP="00862A01">
            <w:pPr>
              <w:jc w:val="right"/>
              <w:rPr>
                <w:sz w:val="16"/>
                <w:szCs w:val="16"/>
              </w:rPr>
            </w:pPr>
          </w:p>
        </w:tc>
        <w:tc>
          <w:tcPr>
            <w:tcW w:w="374" w:type="pct"/>
            <w:tcBorders>
              <w:top w:val="nil"/>
              <w:left w:val="nil"/>
              <w:bottom w:val="nil"/>
              <w:right w:val="nil"/>
            </w:tcBorders>
            <w:shd w:val="clear" w:color="auto" w:fill="auto"/>
            <w:vAlign w:val="center"/>
            <w:hideMark/>
          </w:tcPr>
          <w:p w14:paraId="501BB626" w14:textId="77777777" w:rsidR="00862A01" w:rsidRPr="00872D7E" w:rsidRDefault="00862A01" w:rsidP="00862A01">
            <w:pPr>
              <w:jc w:val="right"/>
              <w:rPr>
                <w:sz w:val="16"/>
                <w:szCs w:val="16"/>
              </w:rPr>
            </w:pPr>
          </w:p>
        </w:tc>
        <w:tc>
          <w:tcPr>
            <w:tcW w:w="373" w:type="pct"/>
            <w:tcBorders>
              <w:top w:val="nil"/>
              <w:left w:val="nil"/>
              <w:bottom w:val="nil"/>
              <w:right w:val="nil"/>
            </w:tcBorders>
            <w:shd w:val="clear" w:color="auto" w:fill="auto"/>
            <w:vAlign w:val="center"/>
            <w:hideMark/>
          </w:tcPr>
          <w:p w14:paraId="5227AD17" w14:textId="77777777" w:rsidR="00862A01" w:rsidRPr="00872D7E" w:rsidRDefault="00862A01" w:rsidP="00862A01">
            <w:pPr>
              <w:jc w:val="right"/>
              <w:rPr>
                <w:sz w:val="16"/>
                <w:szCs w:val="16"/>
              </w:rPr>
            </w:pPr>
          </w:p>
        </w:tc>
        <w:tc>
          <w:tcPr>
            <w:tcW w:w="448" w:type="pct"/>
            <w:tcBorders>
              <w:top w:val="nil"/>
              <w:left w:val="nil"/>
              <w:bottom w:val="nil"/>
              <w:right w:val="nil"/>
            </w:tcBorders>
            <w:shd w:val="clear" w:color="auto" w:fill="auto"/>
            <w:vAlign w:val="center"/>
            <w:hideMark/>
          </w:tcPr>
          <w:p w14:paraId="57282AAA" w14:textId="77777777" w:rsidR="00862A01" w:rsidRPr="00872D7E" w:rsidRDefault="00862A01" w:rsidP="00862A01">
            <w:pPr>
              <w:jc w:val="right"/>
              <w:rPr>
                <w:sz w:val="16"/>
                <w:szCs w:val="16"/>
              </w:rPr>
            </w:pPr>
          </w:p>
        </w:tc>
        <w:tc>
          <w:tcPr>
            <w:tcW w:w="402" w:type="pct"/>
            <w:tcBorders>
              <w:top w:val="nil"/>
              <w:left w:val="nil"/>
              <w:bottom w:val="nil"/>
              <w:right w:val="nil"/>
            </w:tcBorders>
            <w:shd w:val="clear" w:color="auto" w:fill="auto"/>
            <w:vAlign w:val="center"/>
            <w:hideMark/>
          </w:tcPr>
          <w:p w14:paraId="3AF99765" w14:textId="77777777" w:rsidR="00862A01" w:rsidRPr="00872D7E" w:rsidRDefault="00862A01" w:rsidP="00862A01">
            <w:pPr>
              <w:jc w:val="right"/>
              <w:rPr>
                <w:sz w:val="16"/>
                <w:szCs w:val="16"/>
              </w:rPr>
            </w:pPr>
          </w:p>
        </w:tc>
        <w:tc>
          <w:tcPr>
            <w:tcW w:w="453" w:type="pct"/>
            <w:tcBorders>
              <w:top w:val="nil"/>
              <w:left w:val="nil"/>
              <w:bottom w:val="nil"/>
              <w:right w:val="nil"/>
            </w:tcBorders>
            <w:shd w:val="clear" w:color="auto" w:fill="auto"/>
            <w:vAlign w:val="center"/>
            <w:hideMark/>
          </w:tcPr>
          <w:p w14:paraId="1431DD27" w14:textId="77777777" w:rsidR="00862A01" w:rsidRPr="00872D7E" w:rsidRDefault="00862A01" w:rsidP="00862A01">
            <w:pPr>
              <w:jc w:val="right"/>
              <w:rPr>
                <w:sz w:val="16"/>
                <w:szCs w:val="16"/>
              </w:rPr>
            </w:pPr>
          </w:p>
        </w:tc>
      </w:tr>
      <w:tr w:rsidR="00862A01" w:rsidRPr="00872D7E" w14:paraId="7DBC533A"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422F3474" w14:textId="77777777" w:rsidR="00862A01" w:rsidRPr="00872D7E" w:rsidRDefault="00862A01" w:rsidP="00862A01">
            <w:pPr>
              <w:rPr>
                <w:b/>
                <w:bCs/>
                <w:sz w:val="16"/>
                <w:szCs w:val="16"/>
              </w:rPr>
            </w:pPr>
            <w:r w:rsidRPr="00872D7E">
              <w:rPr>
                <w:b/>
                <w:bCs/>
                <w:sz w:val="16"/>
                <w:szCs w:val="16"/>
              </w:rPr>
              <w:t>I. Özel Cari Hesaplar Gerçek Kişi Ticari Olmayan-TP</w:t>
            </w:r>
          </w:p>
        </w:tc>
        <w:tc>
          <w:tcPr>
            <w:tcW w:w="523" w:type="pct"/>
            <w:tcBorders>
              <w:top w:val="nil"/>
              <w:left w:val="nil"/>
              <w:bottom w:val="nil"/>
              <w:right w:val="nil"/>
            </w:tcBorders>
            <w:shd w:val="clear" w:color="auto" w:fill="auto"/>
            <w:vAlign w:val="bottom"/>
            <w:hideMark/>
          </w:tcPr>
          <w:p w14:paraId="27FC3077" w14:textId="77777777" w:rsidR="00862A01" w:rsidRPr="00872D7E" w:rsidRDefault="00862A01" w:rsidP="00862A01">
            <w:pPr>
              <w:jc w:val="right"/>
              <w:rPr>
                <w:b/>
                <w:bCs/>
                <w:sz w:val="16"/>
                <w:szCs w:val="16"/>
              </w:rPr>
            </w:pPr>
            <w:r w:rsidRPr="00872D7E">
              <w:rPr>
                <w:b/>
                <w:bCs/>
                <w:sz w:val="16"/>
                <w:szCs w:val="16"/>
              </w:rPr>
              <w:t>11.138</w:t>
            </w:r>
          </w:p>
        </w:tc>
        <w:tc>
          <w:tcPr>
            <w:tcW w:w="411" w:type="pct"/>
            <w:tcBorders>
              <w:top w:val="nil"/>
              <w:left w:val="nil"/>
              <w:bottom w:val="nil"/>
              <w:right w:val="nil"/>
            </w:tcBorders>
            <w:shd w:val="clear" w:color="auto" w:fill="auto"/>
            <w:vAlign w:val="bottom"/>
            <w:hideMark/>
          </w:tcPr>
          <w:p w14:paraId="10DC1568"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662DF7E4"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0C8BE01D"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6D217CCB"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38BD63CB" w14:textId="77777777" w:rsidR="00862A01" w:rsidRPr="00872D7E" w:rsidRDefault="00862A01" w:rsidP="00862A01">
            <w:pPr>
              <w:jc w:val="right"/>
              <w:rPr>
                <w:b/>
                <w:bCs/>
                <w:sz w:val="16"/>
                <w:szCs w:val="16"/>
              </w:rPr>
            </w:pPr>
            <w:r w:rsidRPr="00872D7E">
              <w:rPr>
                <w:b/>
                <w:bCs/>
                <w:sz w:val="16"/>
                <w:szCs w:val="16"/>
              </w:rPr>
              <w:t>-</w:t>
            </w:r>
          </w:p>
        </w:tc>
        <w:tc>
          <w:tcPr>
            <w:tcW w:w="448" w:type="pct"/>
            <w:tcBorders>
              <w:top w:val="nil"/>
              <w:left w:val="nil"/>
              <w:bottom w:val="nil"/>
              <w:right w:val="nil"/>
            </w:tcBorders>
            <w:shd w:val="clear" w:color="auto" w:fill="auto"/>
            <w:vAlign w:val="bottom"/>
            <w:hideMark/>
          </w:tcPr>
          <w:p w14:paraId="54AA39E3" w14:textId="77777777" w:rsidR="00862A01" w:rsidRPr="00872D7E" w:rsidRDefault="00862A01" w:rsidP="00862A01">
            <w:pPr>
              <w:jc w:val="right"/>
              <w:rPr>
                <w:b/>
                <w:bCs/>
                <w:sz w:val="16"/>
                <w:szCs w:val="16"/>
              </w:rPr>
            </w:pPr>
            <w:r w:rsidRPr="00872D7E">
              <w:rPr>
                <w:b/>
                <w:bCs/>
                <w:sz w:val="16"/>
                <w:szCs w:val="16"/>
              </w:rPr>
              <w:t>-</w:t>
            </w:r>
          </w:p>
        </w:tc>
        <w:tc>
          <w:tcPr>
            <w:tcW w:w="402" w:type="pct"/>
            <w:tcBorders>
              <w:top w:val="nil"/>
              <w:left w:val="nil"/>
              <w:bottom w:val="nil"/>
              <w:right w:val="nil"/>
            </w:tcBorders>
            <w:shd w:val="clear" w:color="auto" w:fill="auto"/>
            <w:vAlign w:val="bottom"/>
            <w:hideMark/>
          </w:tcPr>
          <w:p w14:paraId="217B9CD2"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1E3BF896" w14:textId="77777777" w:rsidR="00862A01" w:rsidRPr="00872D7E" w:rsidRDefault="00862A01" w:rsidP="00862A01">
            <w:pPr>
              <w:jc w:val="right"/>
              <w:rPr>
                <w:b/>
                <w:bCs/>
                <w:sz w:val="16"/>
                <w:szCs w:val="16"/>
              </w:rPr>
            </w:pPr>
            <w:r w:rsidRPr="00872D7E">
              <w:rPr>
                <w:b/>
                <w:bCs/>
                <w:sz w:val="16"/>
                <w:szCs w:val="16"/>
              </w:rPr>
              <w:t>11.138</w:t>
            </w:r>
          </w:p>
        </w:tc>
      </w:tr>
      <w:tr w:rsidR="00862A01" w:rsidRPr="00872D7E" w14:paraId="2B14DDFB"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3CD1D5E0" w14:textId="77777777" w:rsidR="00862A01" w:rsidRPr="00872D7E" w:rsidRDefault="00862A01" w:rsidP="00862A01">
            <w:pPr>
              <w:rPr>
                <w:b/>
                <w:bCs/>
                <w:sz w:val="16"/>
                <w:szCs w:val="16"/>
              </w:rPr>
            </w:pPr>
            <w:r w:rsidRPr="00872D7E">
              <w:rPr>
                <w:b/>
                <w:bCs/>
                <w:sz w:val="16"/>
                <w:szCs w:val="16"/>
              </w:rPr>
              <w:t>II. Katılma Hesapları Gerçek Kişi Ticari Olmayan-TP</w:t>
            </w:r>
          </w:p>
        </w:tc>
        <w:tc>
          <w:tcPr>
            <w:tcW w:w="523" w:type="pct"/>
            <w:tcBorders>
              <w:top w:val="nil"/>
              <w:left w:val="nil"/>
              <w:bottom w:val="nil"/>
              <w:right w:val="nil"/>
            </w:tcBorders>
            <w:shd w:val="clear" w:color="auto" w:fill="auto"/>
            <w:vAlign w:val="bottom"/>
            <w:hideMark/>
          </w:tcPr>
          <w:p w14:paraId="5906CB50"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74B2AD34" w14:textId="77777777" w:rsidR="00862A01" w:rsidRPr="00872D7E" w:rsidRDefault="00862A01" w:rsidP="00862A01">
            <w:pPr>
              <w:jc w:val="right"/>
              <w:rPr>
                <w:b/>
                <w:bCs/>
                <w:sz w:val="16"/>
                <w:szCs w:val="16"/>
              </w:rPr>
            </w:pPr>
            <w:r w:rsidRPr="00872D7E">
              <w:rPr>
                <w:b/>
                <w:bCs/>
                <w:sz w:val="16"/>
                <w:szCs w:val="16"/>
              </w:rPr>
              <w:t>118.901</w:t>
            </w:r>
          </w:p>
        </w:tc>
        <w:tc>
          <w:tcPr>
            <w:tcW w:w="411" w:type="pct"/>
            <w:tcBorders>
              <w:top w:val="nil"/>
              <w:left w:val="nil"/>
              <w:bottom w:val="nil"/>
              <w:right w:val="nil"/>
            </w:tcBorders>
            <w:shd w:val="clear" w:color="auto" w:fill="auto"/>
            <w:vAlign w:val="bottom"/>
            <w:hideMark/>
          </w:tcPr>
          <w:p w14:paraId="05AB8860" w14:textId="77777777" w:rsidR="00862A01" w:rsidRPr="00872D7E" w:rsidRDefault="00862A01" w:rsidP="00862A01">
            <w:pPr>
              <w:jc w:val="right"/>
              <w:rPr>
                <w:b/>
                <w:bCs/>
                <w:sz w:val="16"/>
                <w:szCs w:val="16"/>
              </w:rPr>
            </w:pPr>
            <w:r w:rsidRPr="00872D7E">
              <w:rPr>
                <w:b/>
                <w:bCs/>
                <w:sz w:val="16"/>
                <w:szCs w:val="16"/>
              </w:rPr>
              <w:t>236.847</w:t>
            </w:r>
          </w:p>
        </w:tc>
        <w:tc>
          <w:tcPr>
            <w:tcW w:w="411" w:type="pct"/>
            <w:tcBorders>
              <w:top w:val="nil"/>
              <w:left w:val="nil"/>
              <w:bottom w:val="nil"/>
              <w:right w:val="nil"/>
            </w:tcBorders>
            <w:shd w:val="clear" w:color="auto" w:fill="auto"/>
            <w:vAlign w:val="bottom"/>
            <w:hideMark/>
          </w:tcPr>
          <w:p w14:paraId="209B6E51" w14:textId="77777777" w:rsidR="00862A01" w:rsidRPr="00872D7E" w:rsidRDefault="00862A01" w:rsidP="00862A01">
            <w:pPr>
              <w:jc w:val="right"/>
              <w:rPr>
                <w:b/>
                <w:bCs/>
                <w:sz w:val="16"/>
                <w:szCs w:val="16"/>
              </w:rPr>
            </w:pPr>
            <w:r w:rsidRPr="00872D7E">
              <w:rPr>
                <w:b/>
                <w:bCs/>
                <w:sz w:val="16"/>
                <w:szCs w:val="16"/>
              </w:rPr>
              <w:t>18.317</w:t>
            </w:r>
          </w:p>
        </w:tc>
        <w:tc>
          <w:tcPr>
            <w:tcW w:w="374" w:type="pct"/>
            <w:tcBorders>
              <w:top w:val="nil"/>
              <w:left w:val="nil"/>
              <w:bottom w:val="nil"/>
              <w:right w:val="nil"/>
            </w:tcBorders>
            <w:shd w:val="clear" w:color="auto" w:fill="auto"/>
            <w:vAlign w:val="bottom"/>
            <w:hideMark/>
          </w:tcPr>
          <w:p w14:paraId="05E3F00C"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147CAEF0" w14:textId="77777777" w:rsidR="00862A01" w:rsidRPr="00872D7E" w:rsidRDefault="00862A01" w:rsidP="00862A01">
            <w:pPr>
              <w:jc w:val="right"/>
              <w:rPr>
                <w:b/>
                <w:bCs/>
                <w:sz w:val="16"/>
                <w:szCs w:val="16"/>
              </w:rPr>
            </w:pPr>
            <w:r w:rsidRPr="00872D7E">
              <w:rPr>
                <w:b/>
                <w:bCs/>
                <w:sz w:val="16"/>
                <w:szCs w:val="16"/>
              </w:rPr>
              <w:t>16.869</w:t>
            </w:r>
          </w:p>
        </w:tc>
        <w:tc>
          <w:tcPr>
            <w:tcW w:w="448" w:type="pct"/>
            <w:tcBorders>
              <w:top w:val="nil"/>
              <w:left w:val="nil"/>
              <w:bottom w:val="nil"/>
              <w:right w:val="nil"/>
            </w:tcBorders>
            <w:shd w:val="clear" w:color="auto" w:fill="auto"/>
            <w:vAlign w:val="bottom"/>
            <w:hideMark/>
          </w:tcPr>
          <w:p w14:paraId="0E4FF7F8" w14:textId="77777777" w:rsidR="00862A01" w:rsidRPr="00872D7E" w:rsidRDefault="00862A01" w:rsidP="00862A01">
            <w:pPr>
              <w:jc w:val="right"/>
              <w:rPr>
                <w:b/>
                <w:bCs/>
                <w:sz w:val="16"/>
                <w:szCs w:val="16"/>
              </w:rPr>
            </w:pPr>
            <w:r w:rsidRPr="00872D7E">
              <w:rPr>
                <w:b/>
                <w:bCs/>
                <w:sz w:val="16"/>
                <w:szCs w:val="16"/>
              </w:rPr>
              <w:t>2.762.266</w:t>
            </w:r>
          </w:p>
        </w:tc>
        <w:tc>
          <w:tcPr>
            <w:tcW w:w="402" w:type="pct"/>
            <w:tcBorders>
              <w:top w:val="nil"/>
              <w:left w:val="nil"/>
              <w:bottom w:val="nil"/>
              <w:right w:val="nil"/>
            </w:tcBorders>
            <w:shd w:val="clear" w:color="auto" w:fill="auto"/>
            <w:vAlign w:val="bottom"/>
            <w:hideMark/>
          </w:tcPr>
          <w:p w14:paraId="2CE8A336"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73CA1858" w14:textId="77777777" w:rsidR="00862A01" w:rsidRPr="00872D7E" w:rsidRDefault="00862A01" w:rsidP="00862A01">
            <w:pPr>
              <w:jc w:val="right"/>
              <w:rPr>
                <w:b/>
                <w:bCs/>
                <w:sz w:val="16"/>
                <w:szCs w:val="16"/>
              </w:rPr>
            </w:pPr>
            <w:r w:rsidRPr="00872D7E">
              <w:rPr>
                <w:b/>
                <w:bCs/>
                <w:sz w:val="16"/>
                <w:szCs w:val="16"/>
              </w:rPr>
              <w:t>3.153.200</w:t>
            </w:r>
          </w:p>
        </w:tc>
      </w:tr>
      <w:tr w:rsidR="00862A01" w:rsidRPr="00872D7E" w14:paraId="0F53AEA0"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5A94C351" w14:textId="77777777" w:rsidR="00862A01" w:rsidRPr="00872D7E" w:rsidRDefault="00862A01" w:rsidP="00862A01">
            <w:pPr>
              <w:rPr>
                <w:b/>
                <w:bCs/>
                <w:sz w:val="16"/>
                <w:szCs w:val="16"/>
              </w:rPr>
            </w:pPr>
            <w:r w:rsidRPr="00872D7E">
              <w:rPr>
                <w:b/>
                <w:bCs/>
                <w:sz w:val="16"/>
                <w:szCs w:val="16"/>
              </w:rPr>
              <w:t>III. Özel Cari Hesaplar Diğer-TP</w:t>
            </w:r>
          </w:p>
        </w:tc>
        <w:tc>
          <w:tcPr>
            <w:tcW w:w="523" w:type="pct"/>
            <w:tcBorders>
              <w:top w:val="nil"/>
              <w:left w:val="nil"/>
              <w:bottom w:val="nil"/>
              <w:right w:val="nil"/>
            </w:tcBorders>
            <w:shd w:val="clear" w:color="auto" w:fill="auto"/>
            <w:vAlign w:val="bottom"/>
            <w:hideMark/>
          </w:tcPr>
          <w:p w14:paraId="1815F22A" w14:textId="77777777" w:rsidR="00862A01" w:rsidRPr="00872D7E" w:rsidRDefault="00862A01" w:rsidP="00862A01">
            <w:pPr>
              <w:jc w:val="right"/>
              <w:rPr>
                <w:b/>
                <w:bCs/>
                <w:sz w:val="16"/>
                <w:szCs w:val="16"/>
              </w:rPr>
            </w:pPr>
            <w:r w:rsidRPr="00872D7E">
              <w:rPr>
                <w:b/>
                <w:bCs/>
                <w:sz w:val="16"/>
                <w:szCs w:val="16"/>
              </w:rPr>
              <w:t>225.273</w:t>
            </w:r>
          </w:p>
        </w:tc>
        <w:tc>
          <w:tcPr>
            <w:tcW w:w="411" w:type="pct"/>
            <w:tcBorders>
              <w:top w:val="nil"/>
              <w:left w:val="nil"/>
              <w:bottom w:val="nil"/>
              <w:right w:val="nil"/>
            </w:tcBorders>
            <w:shd w:val="clear" w:color="auto" w:fill="auto"/>
            <w:vAlign w:val="bottom"/>
            <w:hideMark/>
          </w:tcPr>
          <w:p w14:paraId="1CF7F2C7"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6F2974A3"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246C81D6"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71BDA284"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13108F80" w14:textId="77777777" w:rsidR="00862A01" w:rsidRPr="00872D7E" w:rsidRDefault="00862A01" w:rsidP="00862A01">
            <w:pPr>
              <w:jc w:val="right"/>
              <w:rPr>
                <w:b/>
                <w:bCs/>
                <w:sz w:val="16"/>
                <w:szCs w:val="16"/>
              </w:rPr>
            </w:pPr>
            <w:r w:rsidRPr="00872D7E">
              <w:rPr>
                <w:b/>
                <w:bCs/>
                <w:sz w:val="16"/>
                <w:szCs w:val="16"/>
              </w:rPr>
              <w:t>-</w:t>
            </w:r>
          </w:p>
        </w:tc>
        <w:tc>
          <w:tcPr>
            <w:tcW w:w="448" w:type="pct"/>
            <w:tcBorders>
              <w:top w:val="nil"/>
              <w:left w:val="nil"/>
              <w:bottom w:val="nil"/>
              <w:right w:val="nil"/>
            </w:tcBorders>
            <w:shd w:val="clear" w:color="auto" w:fill="auto"/>
            <w:vAlign w:val="bottom"/>
            <w:hideMark/>
          </w:tcPr>
          <w:p w14:paraId="7D5DEA8D" w14:textId="77777777" w:rsidR="00862A01" w:rsidRPr="00872D7E" w:rsidRDefault="00862A01" w:rsidP="00862A01">
            <w:pPr>
              <w:jc w:val="right"/>
              <w:rPr>
                <w:b/>
                <w:bCs/>
                <w:sz w:val="16"/>
                <w:szCs w:val="16"/>
              </w:rPr>
            </w:pPr>
            <w:r w:rsidRPr="00872D7E">
              <w:rPr>
                <w:b/>
                <w:bCs/>
                <w:sz w:val="16"/>
                <w:szCs w:val="16"/>
              </w:rPr>
              <w:t>-</w:t>
            </w:r>
          </w:p>
        </w:tc>
        <w:tc>
          <w:tcPr>
            <w:tcW w:w="402" w:type="pct"/>
            <w:tcBorders>
              <w:top w:val="nil"/>
              <w:left w:val="nil"/>
              <w:bottom w:val="nil"/>
              <w:right w:val="nil"/>
            </w:tcBorders>
            <w:shd w:val="clear" w:color="auto" w:fill="auto"/>
            <w:vAlign w:val="bottom"/>
            <w:hideMark/>
          </w:tcPr>
          <w:p w14:paraId="16FC2740"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627A77D2" w14:textId="77777777" w:rsidR="00862A01" w:rsidRPr="00872D7E" w:rsidRDefault="00862A01" w:rsidP="00862A01">
            <w:pPr>
              <w:jc w:val="right"/>
              <w:rPr>
                <w:b/>
                <w:bCs/>
                <w:sz w:val="16"/>
                <w:szCs w:val="16"/>
              </w:rPr>
            </w:pPr>
            <w:r w:rsidRPr="00872D7E">
              <w:rPr>
                <w:b/>
                <w:bCs/>
                <w:sz w:val="16"/>
                <w:szCs w:val="16"/>
              </w:rPr>
              <w:t>225.273</w:t>
            </w:r>
          </w:p>
        </w:tc>
      </w:tr>
      <w:tr w:rsidR="00862A01" w:rsidRPr="00872D7E" w14:paraId="1F0858F1"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85EE2DB" w14:textId="77777777" w:rsidR="00862A01" w:rsidRPr="00872D7E" w:rsidRDefault="00862A01" w:rsidP="00862A01">
            <w:pPr>
              <w:rPr>
                <w:sz w:val="16"/>
                <w:szCs w:val="16"/>
              </w:rPr>
            </w:pPr>
            <w:r w:rsidRPr="00872D7E">
              <w:rPr>
                <w:sz w:val="16"/>
                <w:szCs w:val="16"/>
              </w:rPr>
              <w:t>Resmi Kuruluşlar</w:t>
            </w:r>
          </w:p>
        </w:tc>
        <w:tc>
          <w:tcPr>
            <w:tcW w:w="523" w:type="pct"/>
            <w:tcBorders>
              <w:top w:val="nil"/>
              <w:left w:val="nil"/>
              <w:bottom w:val="nil"/>
              <w:right w:val="nil"/>
            </w:tcBorders>
            <w:shd w:val="clear" w:color="auto" w:fill="auto"/>
            <w:vAlign w:val="bottom"/>
            <w:hideMark/>
          </w:tcPr>
          <w:p w14:paraId="0B319DEA"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983CFE3"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0CADB95"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156ABB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5072583"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4E36E0BD"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2A589DCF"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24AADE4D"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4A1EEA1E" w14:textId="77777777" w:rsidR="00862A01" w:rsidRPr="00872D7E" w:rsidRDefault="00862A01" w:rsidP="00862A01">
            <w:pPr>
              <w:jc w:val="right"/>
              <w:rPr>
                <w:sz w:val="16"/>
                <w:szCs w:val="16"/>
              </w:rPr>
            </w:pPr>
            <w:r w:rsidRPr="00872D7E">
              <w:rPr>
                <w:sz w:val="16"/>
                <w:szCs w:val="16"/>
              </w:rPr>
              <w:t>-</w:t>
            </w:r>
          </w:p>
        </w:tc>
      </w:tr>
      <w:tr w:rsidR="00862A01" w:rsidRPr="00872D7E" w14:paraId="45648821"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E48D970" w14:textId="77777777" w:rsidR="00862A01" w:rsidRPr="00872D7E" w:rsidRDefault="00862A01" w:rsidP="00862A01">
            <w:pPr>
              <w:rPr>
                <w:sz w:val="16"/>
                <w:szCs w:val="16"/>
              </w:rPr>
            </w:pPr>
            <w:r w:rsidRPr="00872D7E">
              <w:rPr>
                <w:sz w:val="16"/>
                <w:szCs w:val="16"/>
              </w:rPr>
              <w:t>Ticari Kuruluşlar</w:t>
            </w:r>
          </w:p>
        </w:tc>
        <w:tc>
          <w:tcPr>
            <w:tcW w:w="523" w:type="pct"/>
            <w:tcBorders>
              <w:top w:val="nil"/>
              <w:left w:val="nil"/>
              <w:bottom w:val="nil"/>
              <w:right w:val="nil"/>
            </w:tcBorders>
            <w:shd w:val="clear" w:color="auto" w:fill="auto"/>
            <w:vAlign w:val="bottom"/>
            <w:hideMark/>
          </w:tcPr>
          <w:p w14:paraId="6BCA66E4" w14:textId="77777777" w:rsidR="00862A01" w:rsidRPr="00872D7E" w:rsidRDefault="00862A01" w:rsidP="00862A01">
            <w:pPr>
              <w:jc w:val="right"/>
              <w:rPr>
                <w:sz w:val="16"/>
                <w:szCs w:val="16"/>
              </w:rPr>
            </w:pPr>
            <w:r w:rsidRPr="00872D7E">
              <w:rPr>
                <w:sz w:val="16"/>
                <w:szCs w:val="16"/>
              </w:rPr>
              <w:t>225.140</w:t>
            </w:r>
          </w:p>
        </w:tc>
        <w:tc>
          <w:tcPr>
            <w:tcW w:w="411" w:type="pct"/>
            <w:tcBorders>
              <w:top w:val="nil"/>
              <w:left w:val="nil"/>
              <w:bottom w:val="nil"/>
              <w:right w:val="nil"/>
            </w:tcBorders>
            <w:shd w:val="clear" w:color="auto" w:fill="auto"/>
            <w:vAlign w:val="bottom"/>
            <w:hideMark/>
          </w:tcPr>
          <w:p w14:paraId="4EDA246D"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1B43D25"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A9A7C3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39C70FF"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3A7BBC2"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24DAC224"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7756AF8C"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53999135" w14:textId="77777777" w:rsidR="00862A01" w:rsidRPr="00872D7E" w:rsidRDefault="00862A01" w:rsidP="00862A01">
            <w:pPr>
              <w:jc w:val="right"/>
              <w:rPr>
                <w:sz w:val="16"/>
                <w:szCs w:val="16"/>
              </w:rPr>
            </w:pPr>
            <w:r w:rsidRPr="00872D7E">
              <w:rPr>
                <w:sz w:val="16"/>
                <w:szCs w:val="16"/>
              </w:rPr>
              <w:t>225.140</w:t>
            </w:r>
          </w:p>
        </w:tc>
      </w:tr>
      <w:tr w:rsidR="00862A01" w:rsidRPr="00872D7E" w14:paraId="6CE8911E"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3CC726B7" w14:textId="77777777" w:rsidR="00862A01" w:rsidRPr="00872D7E" w:rsidRDefault="00862A01" w:rsidP="00862A01">
            <w:pPr>
              <w:rPr>
                <w:sz w:val="16"/>
                <w:szCs w:val="16"/>
              </w:rPr>
            </w:pPr>
            <w:r w:rsidRPr="00872D7E">
              <w:rPr>
                <w:sz w:val="16"/>
                <w:szCs w:val="16"/>
              </w:rPr>
              <w:t>Diğer Kuruluşlar</w:t>
            </w:r>
          </w:p>
        </w:tc>
        <w:tc>
          <w:tcPr>
            <w:tcW w:w="523" w:type="pct"/>
            <w:tcBorders>
              <w:top w:val="nil"/>
              <w:left w:val="nil"/>
              <w:bottom w:val="nil"/>
              <w:right w:val="nil"/>
            </w:tcBorders>
            <w:shd w:val="clear" w:color="auto" w:fill="auto"/>
            <w:vAlign w:val="bottom"/>
            <w:hideMark/>
          </w:tcPr>
          <w:p w14:paraId="3F251452" w14:textId="77777777" w:rsidR="00862A01" w:rsidRPr="00872D7E" w:rsidRDefault="00862A01" w:rsidP="00862A01">
            <w:pPr>
              <w:jc w:val="right"/>
              <w:rPr>
                <w:sz w:val="16"/>
                <w:szCs w:val="16"/>
              </w:rPr>
            </w:pPr>
            <w:r w:rsidRPr="00872D7E">
              <w:rPr>
                <w:sz w:val="16"/>
                <w:szCs w:val="16"/>
              </w:rPr>
              <w:t>84</w:t>
            </w:r>
          </w:p>
        </w:tc>
        <w:tc>
          <w:tcPr>
            <w:tcW w:w="411" w:type="pct"/>
            <w:tcBorders>
              <w:top w:val="nil"/>
              <w:left w:val="nil"/>
              <w:bottom w:val="nil"/>
              <w:right w:val="nil"/>
            </w:tcBorders>
            <w:shd w:val="clear" w:color="auto" w:fill="auto"/>
            <w:vAlign w:val="bottom"/>
            <w:hideMark/>
          </w:tcPr>
          <w:p w14:paraId="0C895F77"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D200B43"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15CB134"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C06E3A4"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2F57FCEC"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5D8EA467"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4445E5E0"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48908FC7" w14:textId="77777777" w:rsidR="00862A01" w:rsidRPr="00872D7E" w:rsidRDefault="00862A01" w:rsidP="00862A01">
            <w:pPr>
              <w:jc w:val="right"/>
              <w:rPr>
                <w:sz w:val="16"/>
                <w:szCs w:val="16"/>
              </w:rPr>
            </w:pPr>
            <w:r w:rsidRPr="00872D7E">
              <w:rPr>
                <w:sz w:val="16"/>
                <w:szCs w:val="16"/>
              </w:rPr>
              <w:t>84</w:t>
            </w:r>
          </w:p>
        </w:tc>
      </w:tr>
      <w:tr w:rsidR="00862A01" w:rsidRPr="00872D7E" w14:paraId="135E10A1"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31142535" w14:textId="77777777" w:rsidR="00862A01" w:rsidRPr="00872D7E" w:rsidRDefault="00862A01" w:rsidP="00862A01">
            <w:pPr>
              <w:rPr>
                <w:sz w:val="16"/>
                <w:szCs w:val="16"/>
              </w:rPr>
            </w:pPr>
            <w:r w:rsidRPr="00872D7E">
              <w:rPr>
                <w:sz w:val="16"/>
                <w:szCs w:val="16"/>
              </w:rPr>
              <w:t xml:space="preserve">Ticari ve </w:t>
            </w:r>
            <w:proofErr w:type="gramStart"/>
            <w:r w:rsidRPr="00872D7E">
              <w:rPr>
                <w:sz w:val="16"/>
                <w:szCs w:val="16"/>
              </w:rPr>
              <w:t>Diğer</w:t>
            </w:r>
            <w:proofErr w:type="gramEnd"/>
            <w:r w:rsidRPr="00872D7E">
              <w:rPr>
                <w:sz w:val="16"/>
                <w:szCs w:val="16"/>
              </w:rPr>
              <w:t xml:space="preserve"> Kur.</w:t>
            </w:r>
          </w:p>
        </w:tc>
        <w:tc>
          <w:tcPr>
            <w:tcW w:w="523" w:type="pct"/>
            <w:tcBorders>
              <w:top w:val="nil"/>
              <w:left w:val="nil"/>
              <w:bottom w:val="nil"/>
              <w:right w:val="nil"/>
            </w:tcBorders>
            <w:shd w:val="clear" w:color="auto" w:fill="auto"/>
            <w:vAlign w:val="bottom"/>
            <w:hideMark/>
          </w:tcPr>
          <w:p w14:paraId="6CE43F16" w14:textId="77777777" w:rsidR="00862A01" w:rsidRPr="00872D7E" w:rsidRDefault="00862A01" w:rsidP="00862A01">
            <w:pPr>
              <w:jc w:val="right"/>
              <w:rPr>
                <w:sz w:val="16"/>
                <w:szCs w:val="16"/>
              </w:rPr>
            </w:pPr>
            <w:r w:rsidRPr="00872D7E">
              <w:rPr>
                <w:sz w:val="16"/>
                <w:szCs w:val="16"/>
              </w:rPr>
              <w:t>49</w:t>
            </w:r>
          </w:p>
        </w:tc>
        <w:tc>
          <w:tcPr>
            <w:tcW w:w="411" w:type="pct"/>
            <w:tcBorders>
              <w:top w:val="nil"/>
              <w:left w:val="nil"/>
              <w:bottom w:val="nil"/>
              <w:right w:val="nil"/>
            </w:tcBorders>
            <w:shd w:val="clear" w:color="auto" w:fill="auto"/>
            <w:vAlign w:val="bottom"/>
            <w:hideMark/>
          </w:tcPr>
          <w:p w14:paraId="0B553139"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E4DFF7E"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714F6FE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F8580D6"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0FAC4BF7"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5FEAFB60"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54BA7800"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109A87F2" w14:textId="77777777" w:rsidR="00862A01" w:rsidRPr="00872D7E" w:rsidRDefault="00862A01" w:rsidP="00862A01">
            <w:pPr>
              <w:jc w:val="right"/>
              <w:rPr>
                <w:sz w:val="16"/>
                <w:szCs w:val="16"/>
              </w:rPr>
            </w:pPr>
            <w:r w:rsidRPr="00872D7E">
              <w:rPr>
                <w:sz w:val="16"/>
                <w:szCs w:val="16"/>
              </w:rPr>
              <w:t>49</w:t>
            </w:r>
          </w:p>
        </w:tc>
      </w:tr>
      <w:tr w:rsidR="00862A01" w:rsidRPr="00872D7E" w14:paraId="54123215"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AB0AF6E" w14:textId="77777777" w:rsidR="00862A01" w:rsidRPr="00872D7E" w:rsidRDefault="00862A01" w:rsidP="00862A01">
            <w:pPr>
              <w:rPr>
                <w:sz w:val="16"/>
                <w:szCs w:val="16"/>
              </w:rPr>
            </w:pPr>
            <w:r w:rsidRPr="00872D7E">
              <w:rPr>
                <w:sz w:val="16"/>
                <w:szCs w:val="16"/>
              </w:rPr>
              <w:t>Bankalar ve Katılım Bankaları</w:t>
            </w:r>
          </w:p>
        </w:tc>
        <w:tc>
          <w:tcPr>
            <w:tcW w:w="523" w:type="pct"/>
            <w:tcBorders>
              <w:top w:val="nil"/>
              <w:left w:val="nil"/>
              <w:bottom w:val="nil"/>
              <w:right w:val="nil"/>
            </w:tcBorders>
            <w:shd w:val="clear" w:color="auto" w:fill="auto"/>
            <w:vAlign w:val="bottom"/>
            <w:hideMark/>
          </w:tcPr>
          <w:p w14:paraId="0746D89F"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3F0EE14"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CEA5673"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50343C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94D215C"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5F0592FF"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73E532E6"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3ADEA1D5"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09F34106" w14:textId="77777777" w:rsidR="00862A01" w:rsidRPr="00872D7E" w:rsidRDefault="00862A01" w:rsidP="00862A01">
            <w:pPr>
              <w:jc w:val="right"/>
              <w:rPr>
                <w:sz w:val="16"/>
                <w:szCs w:val="16"/>
              </w:rPr>
            </w:pPr>
            <w:r w:rsidRPr="00872D7E">
              <w:rPr>
                <w:sz w:val="16"/>
                <w:szCs w:val="16"/>
              </w:rPr>
              <w:t>-</w:t>
            </w:r>
          </w:p>
        </w:tc>
      </w:tr>
      <w:tr w:rsidR="00862A01" w:rsidRPr="00872D7E" w14:paraId="752B542F"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59184497" w14:textId="77777777" w:rsidR="00862A01" w:rsidRPr="00872D7E" w:rsidRDefault="00862A01" w:rsidP="00862A01">
            <w:pPr>
              <w:rPr>
                <w:sz w:val="16"/>
                <w:szCs w:val="16"/>
              </w:rPr>
            </w:pPr>
            <w:r w:rsidRPr="00872D7E">
              <w:rPr>
                <w:sz w:val="16"/>
                <w:szCs w:val="16"/>
              </w:rPr>
              <w:t>TCMB</w:t>
            </w:r>
          </w:p>
        </w:tc>
        <w:tc>
          <w:tcPr>
            <w:tcW w:w="523" w:type="pct"/>
            <w:tcBorders>
              <w:top w:val="nil"/>
              <w:left w:val="nil"/>
              <w:bottom w:val="nil"/>
              <w:right w:val="nil"/>
            </w:tcBorders>
            <w:shd w:val="clear" w:color="auto" w:fill="auto"/>
            <w:vAlign w:val="bottom"/>
            <w:hideMark/>
          </w:tcPr>
          <w:p w14:paraId="130C4374"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8847083"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6BDD3458"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02DFD3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F59154F"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7932CC0"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24288C4E"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429B5BE9"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5D21CFBC" w14:textId="77777777" w:rsidR="00862A01" w:rsidRPr="00872D7E" w:rsidRDefault="00862A01" w:rsidP="00862A01">
            <w:pPr>
              <w:jc w:val="right"/>
              <w:rPr>
                <w:sz w:val="16"/>
                <w:szCs w:val="16"/>
              </w:rPr>
            </w:pPr>
            <w:r w:rsidRPr="00872D7E">
              <w:rPr>
                <w:sz w:val="16"/>
                <w:szCs w:val="16"/>
              </w:rPr>
              <w:t>-</w:t>
            </w:r>
          </w:p>
        </w:tc>
      </w:tr>
      <w:tr w:rsidR="00862A01" w:rsidRPr="00872D7E" w14:paraId="3509366B"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A4976B4" w14:textId="77777777" w:rsidR="00862A01" w:rsidRPr="00872D7E" w:rsidRDefault="00862A01" w:rsidP="00862A01">
            <w:pPr>
              <w:rPr>
                <w:sz w:val="16"/>
                <w:szCs w:val="16"/>
              </w:rPr>
            </w:pPr>
            <w:r w:rsidRPr="00872D7E">
              <w:rPr>
                <w:sz w:val="16"/>
                <w:szCs w:val="16"/>
              </w:rPr>
              <w:t>Yurtiçi Bankalar</w:t>
            </w:r>
          </w:p>
        </w:tc>
        <w:tc>
          <w:tcPr>
            <w:tcW w:w="523" w:type="pct"/>
            <w:tcBorders>
              <w:top w:val="nil"/>
              <w:left w:val="nil"/>
              <w:bottom w:val="nil"/>
              <w:right w:val="nil"/>
            </w:tcBorders>
            <w:shd w:val="clear" w:color="auto" w:fill="auto"/>
            <w:vAlign w:val="bottom"/>
            <w:hideMark/>
          </w:tcPr>
          <w:p w14:paraId="0F5B92F6"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721AA5A"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7191275E"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68A037D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58ADBCA"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B1EC66D"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06AF089C"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03EA0751"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44275C35" w14:textId="77777777" w:rsidR="00862A01" w:rsidRPr="00872D7E" w:rsidRDefault="00862A01" w:rsidP="00862A01">
            <w:pPr>
              <w:jc w:val="right"/>
              <w:rPr>
                <w:sz w:val="16"/>
                <w:szCs w:val="16"/>
              </w:rPr>
            </w:pPr>
            <w:r w:rsidRPr="00872D7E">
              <w:rPr>
                <w:sz w:val="16"/>
                <w:szCs w:val="16"/>
              </w:rPr>
              <w:t>-</w:t>
            </w:r>
          </w:p>
        </w:tc>
      </w:tr>
      <w:tr w:rsidR="00862A01" w:rsidRPr="00872D7E" w14:paraId="267F630B"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3D79868E" w14:textId="77777777" w:rsidR="00862A01" w:rsidRPr="00872D7E" w:rsidRDefault="00862A01" w:rsidP="00862A01">
            <w:pPr>
              <w:rPr>
                <w:sz w:val="16"/>
                <w:szCs w:val="16"/>
              </w:rPr>
            </w:pPr>
            <w:r w:rsidRPr="00872D7E">
              <w:rPr>
                <w:sz w:val="16"/>
                <w:szCs w:val="16"/>
              </w:rPr>
              <w:t>Yurtdışı Bankalar</w:t>
            </w:r>
          </w:p>
        </w:tc>
        <w:tc>
          <w:tcPr>
            <w:tcW w:w="523" w:type="pct"/>
            <w:tcBorders>
              <w:top w:val="nil"/>
              <w:left w:val="nil"/>
              <w:bottom w:val="nil"/>
              <w:right w:val="nil"/>
            </w:tcBorders>
            <w:shd w:val="clear" w:color="auto" w:fill="auto"/>
            <w:vAlign w:val="bottom"/>
            <w:hideMark/>
          </w:tcPr>
          <w:p w14:paraId="7A2BCDB3"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7D7F3D3E"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55D5F0C"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3A141C0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08371F6"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DB7C029"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4D53BDE9"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20A96565"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1DA38DB0" w14:textId="77777777" w:rsidR="00862A01" w:rsidRPr="00872D7E" w:rsidRDefault="00862A01" w:rsidP="00862A01">
            <w:pPr>
              <w:jc w:val="right"/>
              <w:rPr>
                <w:sz w:val="16"/>
                <w:szCs w:val="16"/>
              </w:rPr>
            </w:pPr>
            <w:r w:rsidRPr="00872D7E">
              <w:rPr>
                <w:sz w:val="16"/>
                <w:szCs w:val="16"/>
              </w:rPr>
              <w:t>-</w:t>
            </w:r>
          </w:p>
        </w:tc>
      </w:tr>
      <w:tr w:rsidR="00862A01" w:rsidRPr="00872D7E" w14:paraId="56007A7D"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00076921" w14:textId="77777777" w:rsidR="00862A01" w:rsidRPr="00872D7E" w:rsidRDefault="00862A01" w:rsidP="00862A01">
            <w:pPr>
              <w:rPr>
                <w:sz w:val="16"/>
                <w:szCs w:val="16"/>
              </w:rPr>
            </w:pPr>
            <w:r w:rsidRPr="00872D7E">
              <w:rPr>
                <w:sz w:val="16"/>
                <w:szCs w:val="16"/>
              </w:rPr>
              <w:t>Katılım Bankası</w:t>
            </w:r>
          </w:p>
        </w:tc>
        <w:tc>
          <w:tcPr>
            <w:tcW w:w="523" w:type="pct"/>
            <w:tcBorders>
              <w:top w:val="nil"/>
              <w:left w:val="nil"/>
              <w:bottom w:val="nil"/>
              <w:right w:val="nil"/>
            </w:tcBorders>
            <w:shd w:val="clear" w:color="auto" w:fill="auto"/>
            <w:vAlign w:val="bottom"/>
            <w:hideMark/>
          </w:tcPr>
          <w:p w14:paraId="3758B915"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61C126E8"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9FE764F"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20DA158"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FF39559"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5EB52BC8"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675D7730"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07B25CFC"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60A5DC47" w14:textId="77777777" w:rsidR="00862A01" w:rsidRPr="00872D7E" w:rsidRDefault="00862A01" w:rsidP="00862A01">
            <w:pPr>
              <w:jc w:val="right"/>
              <w:rPr>
                <w:sz w:val="16"/>
                <w:szCs w:val="16"/>
              </w:rPr>
            </w:pPr>
            <w:r w:rsidRPr="00872D7E">
              <w:rPr>
                <w:sz w:val="16"/>
                <w:szCs w:val="16"/>
              </w:rPr>
              <w:t>-</w:t>
            </w:r>
          </w:p>
        </w:tc>
      </w:tr>
      <w:tr w:rsidR="00862A01" w:rsidRPr="00872D7E" w14:paraId="3CE181BF"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6B68006C" w14:textId="77777777" w:rsidR="00862A01" w:rsidRPr="00872D7E" w:rsidRDefault="00862A01" w:rsidP="00862A01">
            <w:pPr>
              <w:rPr>
                <w:sz w:val="16"/>
                <w:szCs w:val="16"/>
              </w:rPr>
            </w:pPr>
            <w:r w:rsidRPr="00872D7E">
              <w:rPr>
                <w:sz w:val="16"/>
                <w:szCs w:val="16"/>
              </w:rPr>
              <w:t>Diğer</w:t>
            </w:r>
          </w:p>
        </w:tc>
        <w:tc>
          <w:tcPr>
            <w:tcW w:w="523" w:type="pct"/>
            <w:tcBorders>
              <w:top w:val="nil"/>
              <w:left w:val="nil"/>
              <w:bottom w:val="nil"/>
              <w:right w:val="nil"/>
            </w:tcBorders>
            <w:shd w:val="clear" w:color="auto" w:fill="auto"/>
            <w:vAlign w:val="bottom"/>
            <w:hideMark/>
          </w:tcPr>
          <w:p w14:paraId="0FE52879"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654E5989"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9CDC3BA"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35DA59B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4B07C3A"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519A8021"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2F3261A2"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3AD8500E"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1783F883" w14:textId="77777777" w:rsidR="00862A01" w:rsidRPr="00872D7E" w:rsidRDefault="00862A01" w:rsidP="00862A01">
            <w:pPr>
              <w:jc w:val="right"/>
              <w:rPr>
                <w:sz w:val="16"/>
                <w:szCs w:val="16"/>
              </w:rPr>
            </w:pPr>
            <w:r w:rsidRPr="00872D7E">
              <w:rPr>
                <w:sz w:val="16"/>
                <w:szCs w:val="16"/>
              </w:rPr>
              <w:t>-</w:t>
            </w:r>
          </w:p>
        </w:tc>
      </w:tr>
      <w:tr w:rsidR="00862A01" w:rsidRPr="00872D7E" w14:paraId="3BD5FB30"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323B5328" w14:textId="77777777" w:rsidR="00862A01" w:rsidRPr="00872D7E" w:rsidRDefault="00862A01" w:rsidP="00862A01">
            <w:pPr>
              <w:rPr>
                <w:b/>
                <w:bCs/>
                <w:sz w:val="16"/>
                <w:szCs w:val="16"/>
              </w:rPr>
            </w:pPr>
            <w:r w:rsidRPr="00872D7E">
              <w:rPr>
                <w:b/>
                <w:bCs/>
                <w:sz w:val="16"/>
                <w:szCs w:val="16"/>
              </w:rPr>
              <w:t>IV. Katılma Hesapları-TP</w:t>
            </w:r>
          </w:p>
        </w:tc>
        <w:tc>
          <w:tcPr>
            <w:tcW w:w="523" w:type="pct"/>
            <w:tcBorders>
              <w:top w:val="nil"/>
              <w:left w:val="nil"/>
              <w:bottom w:val="nil"/>
              <w:right w:val="nil"/>
            </w:tcBorders>
            <w:shd w:val="clear" w:color="auto" w:fill="auto"/>
            <w:vAlign w:val="bottom"/>
            <w:hideMark/>
          </w:tcPr>
          <w:p w14:paraId="28F1E60C"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63131CE5" w14:textId="77777777" w:rsidR="00862A01" w:rsidRPr="00872D7E" w:rsidRDefault="00862A01" w:rsidP="00862A01">
            <w:pPr>
              <w:jc w:val="right"/>
              <w:rPr>
                <w:b/>
                <w:bCs/>
                <w:sz w:val="16"/>
                <w:szCs w:val="16"/>
              </w:rPr>
            </w:pPr>
            <w:r w:rsidRPr="00872D7E">
              <w:rPr>
                <w:b/>
                <w:bCs/>
                <w:sz w:val="16"/>
                <w:szCs w:val="16"/>
              </w:rPr>
              <w:t>4.828.611</w:t>
            </w:r>
          </w:p>
        </w:tc>
        <w:tc>
          <w:tcPr>
            <w:tcW w:w="411" w:type="pct"/>
            <w:tcBorders>
              <w:top w:val="nil"/>
              <w:left w:val="nil"/>
              <w:bottom w:val="nil"/>
              <w:right w:val="nil"/>
            </w:tcBorders>
            <w:shd w:val="clear" w:color="auto" w:fill="auto"/>
            <w:vAlign w:val="bottom"/>
            <w:hideMark/>
          </w:tcPr>
          <w:p w14:paraId="6F48626B" w14:textId="77777777" w:rsidR="00862A01" w:rsidRPr="00872D7E" w:rsidRDefault="00862A01" w:rsidP="00862A01">
            <w:pPr>
              <w:jc w:val="right"/>
              <w:rPr>
                <w:b/>
                <w:bCs/>
                <w:sz w:val="16"/>
                <w:szCs w:val="16"/>
              </w:rPr>
            </w:pPr>
            <w:r w:rsidRPr="00872D7E">
              <w:rPr>
                <w:b/>
                <w:bCs/>
                <w:sz w:val="16"/>
                <w:szCs w:val="16"/>
              </w:rPr>
              <w:t>2.326.280</w:t>
            </w:r>
          </w:p>
        </w:tc>
        <w:tc>
          <w:tcPr>
            <w:tcW w:w="411" w:type="pct"/>
            <w:tcBorders>
              <w:top w:val="nil"/>
              <w:left w:val="nil"/>
              <w:bottom w:val="nil"/>
              <w:right w:val="nil"/>
            </w:tcBorders>
            <w:shd w:val="clear" w:color="auto" w:fill="auto"/>
            <w:vAlign w:val="bottom"/>
            <w:hideMark/>
          </w:tcPr>
          <w:p w14:paraId="46F48BEC" w14:textId="77777777" w:rsidR="00862A01" w:rsidRPr="00872D7E" w:rsidRDefault="00862A01" w:rsidP="00862A01">
            <w:pPr>
              <w:jc w:val="right"/>
              <w:rPr>
                <w:b/>
                <w:bCs/>
                <w:sz w:val="16"/>
                <w:szCs w:val="16"/>
              </w:rPr>
            </w:pPr>
            <w:r w:rsidRPr="00872D7E">
              <w:rPr>
                <w:b/>
                <w:bCs/>
                <w:sz w:val="16"/>
                <w:szCs w:val="16"/>
              </w:rPr>
              <w:t>2.877.650</w:t>
            </w:r>
          </w:p>
        </w:tc>
        <w:tc>
          <w:tcPr>
            <w:tcW w:w="374" w:type="pct"/>
            <w:tcBorders>
              <w:top w:val="nil"/>
              <w:left w:val="nil"/>
              <w:bottom w:val="nil"/>
              <w:right w:val="nil"/>
            </w:tcBorders>
            <w:shd w:val="clear" w:color="auto" w:fill="auto"/>
            <w:vAlign w:val="bottom"/>
            <w:hideMark/>
          </w:tcPr>
          <w:p w14:paraId="2EA8A9B0"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17828D52" w14:textId="77777777" w:rsidR="00862A01" w:rsidRPr="00872D7E" w:rsidRDefault="00862A01" w:rsidP="00862A01">
            <w:pPr>
              <w:jc w:val="right"/>
              <w:rPr>
                <w:b/>
                <w:bCs/>
                <w:sz w:val="16"/>
                <w:szCs w:val="16"/>
              </w:rPr>
            </w:pPr>
            <w:r w:rsidRPr="00872D7E">
              <w:rPr>
                <w:b/>
                <w:bCs/>
                <w:sz w:val="16"/>
                <w:szCs w:val="16"/>
              </w:rPr>
              <w:t>-</w:t>
            </w:r>
          </w:p>
        </w:tc>
        <w:tc>
          <w:tcPr>
            <w:tcW w:w="448" w:type="pct"/>
            <w:tcBorders>
              <w:top w:val="nil"/>
              <w:left w:val="nil"/>
              <w:bottom w:val="nil"/>
              <w:right w:val="nil"/>
            </w:tcBorders>
            <w:shd w:val="clear" w:color="auto" w:fill="auto"/>
            <w:vAlign w:val="bottom"/>
            <w:hideMark/>
          </w:tcPr>
          <w:p w14:paraId="0674481A" w14:textId="77777777" w:rsidR="00862A01" w:rsidRPr="00872D7E" w:rsidRDefault="00862A01" w:rsidP="00862A01">
            <w:pPr>
              <w:jc w:val="right"/>
              <w:rPr>
                <w:b/>
                <w:bCs/>
                <w:sz w:val="16"/>
                <w:szCs w:val="16"/>
              </w:rPr>
            </w:pPr>
            <w:r w:rsidRPr="00872D7E">
              <w:rPr>
                <w:b/>
                <w:bCs/>
                <w:sz w:val="16"/>
                <w:szCs w:val="16"/>
              </w:rPr>
              <w:t>-</w:t>
            </w:r>
          </w:p>
        </w:tc>
        <w:tc>
          <w:tcPr>
            <w:tcW w:w="402" w:type="pct"/>
            <w:tcBorders>
              <w:top w:val="nil"/>
              <w:left w:val="nil"/>
              <w:bottom w:val="nil"/>
              <w:right w:val="nil"/>
            </w:tcBorders>
            <w:shd w:val="clear" w:color="auto" w:fill="auto"/>
            <w:vAlign w:val="bottom"/>
            <w:hideMark/>
          </w:tcPr>
          <w:p w14:paraId="35FEC199"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0955CE3F" w14:textId="77777777" w:rsidR="00862A01" w:rsidRPr="00872D7E" w:rsidRDefault="00862A01" w:rsidP="00862A01">
            <w:pPr>
              <w:jc w:val="right"/>
              <w:rPr>
                <w:b/>
                <w:bCs/>
                <w:sz w:val="16"/>
                <w:szCs w:val="16"/>
              </w:rPr>
            </w:pPr>
            <w:r w:rsidRPr="00872D7E">
              <w:rPr>
                <w:b/>
                <w:bCs/>
                <w:sz w:val="16"/>
                <w:szCs w:val="16"/>
              </w:rPr>
              <w:t>10.032.541</w:t>
            </w:r>
          </w:p>
        </w:tc>
      </w:tr>
      <w:tr w:rsidR="00862A01" w:rsidRPr="00872D7E" w14:paraId="47893827"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B123209" w14:textId="77777777" w:rsidR="00862A01" w:rsidRPr="00872D7E" w:rsidRDefault="00862A01" w:rsidP="00862A01">
            <w:pPr>
              <w:rPr>
                <w:sz w:val="16"/>
                <w:szCs w:val="16"/>
              </w:rPr>
            </w:pPr>
            <w:r w:rsidRPr="00872D7E">
              <w:rPr>
                <w:sz w:val="16"/>
                <w:szCs w:val="16"/>
              </w:rPr>
              <w:t>Resmi Kuruluşlar</w:t>
            </w:r>
          </w:p>
        </w:tc>
        <w:tc>
          <w:tcPr>
            <w:tcW w:w="523" w:type="pct"/>
            <w:tcBorders>
              <w:top w:val="nil"/>
              <w:left w:val="nil"/>
              <w:bottom w:val="nil"/>
              <w:right w:val="nil"/>
            </w:tcBorders>
            <w:shd w:val="clear" w:color="auto" w:fill="auto"/>
            <w:vAlign w:val="bottom"/>
            <w:hideMark/>
          </w:tcPr>
          <w:p w14:paraId="241655B1"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7E239A7"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CCA60B0"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AEBE91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7594D07"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7ECD831"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742E90B0"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39719551"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557A151F" w14:textId="77777777" w:rsidR="00862A01" w:rsidRPr="00872D7E" w:rsidRDefault="00862A01" w:rsidP="00862A01">
            <w:pPr>
              <w:jc w:val="right"/>
              <w:rPr>
                <w:sz w:val="16"/>
                <w:szCs w:val="16"/>
              </w:rPr>
            </w:pPr>
            <w:r w:rsidRPr="00872D7E">
              <w:rPr>
                <w:sz w:val="16"/>
                <w:szCs w:val="16"/>
              </w:rPr>
              <w:t>-</w:t>
            </w:r>
          </w:p>
        </w:tc>
      </w:tr>
      <w:tr w:rsidR="00862A01" w:rsidRPr="00872D7E" w14:paraId="5CCC8E88"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763C0D9A" w14:textId="77777777" w:rsidR="00862A01" w:rsidRPr="00872D7E" w:rsidRDefault="00862A01" w:rsidP="00862A01">
            <w:pPr>
              <w:rPr>
                <w:sz w:val="16"/>
                <w:szCs w:val="16"/>
              </w:rPr>
            </w:pPr>
            <w:r w:rsidRPr="00872D7E">
              <w:rPr>
                <w:sz w:val="16"/>
                <w:szCs w:val="16"/>
              </w:rPr>
              <w:t>Ticari Kuruluşlar</w:t>
            </w:r>
          </w:p>
        </w:tc>
        <w:tc>
          <w:tcPr>
            <w:tcW w:w="523" w:type="pct"/>
            <w:tcBorders>
              <w:top w:val="nil"/>
              <w:left w:val="nil"/>
              <w:bottom w:val="nil"/>
              <w:right w:val="nil"/>
            </w:tcBorders>
            <w:shd w:val="clear" w:color="auto" w:fill="auto"/>
            <w:vAlign w:val="bottom"/>
            <w:hideMark/>
          </w:tcPr>
          <w:p w14:paraId="78E2BA30"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D0DBD59" w14:textId="77777777" w:rsidR="00862A01" w:rsidRPr="00872D7E" w:rsidRDefault="00862A01" w:rsidP="00862A01">
            <w:pPr>
              <w:jc w:val="right"/>
              <w:rPr>
                <w:sz w:val="16"/>
                <w:szCs w:val="16"/>
              </w:rPr>
            </w:pPr>
            <w:r w:rsidRPr="00872D7E">
              <w:rPr>
                <w:sz w:val="16"/>
                <w:szCs w:val="16"/>
              </w:rPr>
              <w:t>4.828.611</w:t>
            </w:r>
          </w:p>
        </w:tc>
        <w:tc>
          <w:tcPr>
            <w:tcW w:w="411" w:type="pct"/>
            <w:tcBorders>
              <w:top w:val="nil"/>
              <w:left w:val="nil"/>
              <w:bottom w:val="nil"/>
              <w:right w:val="nil"/>
            </w:tcBorders>
            <w:shd w:val="clear" w:color="auto" w:fill="auto"/>
            <w:vAlign w:val="bottom"/>
            <w:hideMark/>
          </w:tcPr>
          <w:p w14:paraId="0325C731" w14:textId="77777777" w:rsidR="00862A01" w:rsidRPr="00872D7E" w:rsidRDefault="00862A01" w:rsidP="00862A01">
            <w:pPr>
              <w:jc w:val="right"/>
              <w:rPr>
                <w:sz w:val="16"/>
                <w:szCs w:val="16"/>
              </w:rPr>
            </w:pPr>
            <w:r w:rsidRPr="00872D7E">
              <w:rPr>
                <w:sz w:val="16"/>
                <w:szCs w:val="16"/>
              </w:rPr>
              <w:t>1.952.257</w:t>
            </w:r>
          </w:p>
        </w:tc>
        <w:tc>
          <w:tcPr>
            <w:tcW w:w="411" w:type="pct"/>
            <w:tcBorders>
              <w:top w:val="nil"/>
              <w:left w:val="nil"/>
              <w:bottom w:val="nil"/>
              <w:right w:val="nil"/>
            </w:tcBorders>
            <w:shd w:val="clear" w:color="auto" w:fill="auto"/>
            <w:vAlign w:val="bottom"/>
            <w:hideMark/>
          </w:tcPr>
          <w:p w14:paraId="5B575DB1" w14:textId="77777777" w:rsidR="00862A01" w:rsidRPr="00872D7E" w:rsidRDefault="00862A01" w:rsidP="00862A01">
            <w:pPr>
              <w:jc w:val="right"/>
              <w:rPr>
                <w:sz w:val="16"/>
                <w:szCs w:val="16"/>
              </w:rPr>
            </w:pPr>
            <w:r w:rsidRPr="00872D7E">
              <w:rPr>
                <w:sz w:val="16"/>
                <w:szCs w:val="16"/>
              </w:rPr>
              <w:t>2.877.650</w:t>
            </w:r>
          </w:p>
        </w:tc>
        <w:tc>
          <w:tcPr>
            <w:tcW w:w="374" w:type="pct"/>
            <w:tcBorders>
              <w:top w:val="nil"/>
              <w:left w:val="nil"/>
              <w:bottom w:val="nil"/>
              <w:right w:val="nil"/>
            </w:tcBorders>
            <w:shd w:val="clear" w:color="auto" w:fill="auto"/>
            <w:vAlign w:val="bottom"/>
            <w:hideMark/>
          </w:tcPr>
          <w:p w14:paraId="41B246AA"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6F4DBFCC"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14C3DF5C"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395C95C7"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2FEAC677" w14:textId="77777777" w:rsidR="00862A01" w:rsidRPr="00872D7E" w:rsidRDefault="00862A01" w:rsidP="00862A01">
            <w:pPr>
              <w:jc w:val="right"/>
              <w:rPr>
                <w:sz w:val="16"/>
                <w:szCs w:val="16"/>
              </w:rPr>
            </w:pPr>
            <w:r w:rsidRPr="00872D7E">
              <w:rPr>
                <w:sz w:val="16"/>
                <w:szCs w:val="16"/>
              </w:rPr>
              <w:t>9.658.518</w:t>
            </w:r>
          </w:p>
        </w:tc>
      </w:tr>
      <w:tr w:rsidR="00862A01" w:rsidRPr="00872D7E" w14:paraId="0BC14498"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2E84E64D" w14:textId="77777777" w:rsidR="00862A01" w:rsidRPr="00872D7E" w:rsidRDefault="00862A01" w:rsidP="00862A01">
            <w:pPr>
              <w:rPr>
                <w:sz w:val="16"/>
                <w:szCs w:val="16"/>
              </w:rPr>
            </w:pPr>
            <w:r w:rsidRPr="00872D7E">
              <w:rPr>
                <w:sz w:val="16"/>
                <w:szCs w:val="16"/>
              </w:rPr>
              <w:t>Diğer Kuruluşlar</w:t>
            </w:r>
          </w:p>
        </w:tc>
        <w:tc>
          <w:tcPr>
            <w:tcW w:w="523" w:type="pct"/>
            <w:tcBorders>
              <w:top w:val="nil"/>
              <w:left w:val="nil"/>
              <w:bottom w:val="nil"/>
              <w:right w:val="nil"/>
            </w:tcBorders>
            <w:shd w:val="clear" w:color="auto" w:fill="auto"/>
            <w:vAlign w:val="bottom"/>
            <w:hideMark/>
          </w:tcPr>
          <w:p w14:paraId="3B83EB38"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EE3959D"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BEF92D0" w14:textId="77777777" w:rsidR="00862A01" w:rsidRPr="00872D7E" w:rsidRDefault="00862A01" w:rsidP="00862A01">
            <w:pPr>
              <w:jc w:val="right"/>
              <w:rPr>
                <w:sz w:val="16"/>
                <w:szCs w:val="16"/>
              </w:rPr>
            </w:pPr>
            <w:r w:rsidRPr="00872D7E">
              <w:rPr>
                <w:sz w:val="16"/>
                <w:szCs w:val="16"/>
              </w:rPr>
              <w:t>374.023</w:t>
            </w:r>
          </w:p>
        </w:tc>
        <w:tc>
          <w:tcPr>
            <w:tcW w:w="411" w:type="pct"/>
            <w:tcBorders>
              <w:top w:val="nil"/>
              <w:left w:val="nil"/>
              <w:bottom w:val="nil"/>
              <w:right w:val="nil"/>
            </w:tcBorders>
            <w:shd w:val="clear" w:color="auto" w:fill="auto"/>
            <w:vAlign w:val="bottom"/>
            <w:hideMark/>
          </w:tcPr>
          <w:p w14:paraId="00DFE2D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80D610A"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245092CE"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421CA378"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5FB7FE62"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30A6D835" w14:textId="77777777" w:rsidR="00862A01" w:rsidRPr="00872D7E" w:rsidRDefault="00862A01" w:rsidP="00862A01">
            <w:pPr>
              <w:jc w:val="right"/>
              <w:rPr>
                <w:sz w:val="16"/>
                <w:szCs w:val="16"/>
              </w:rPr>
            </w:pPr>
            <w:r w:rsidRPr="00872D7E">
              <w:rPr>
                <w:sz w:val="16"/>
                <w:szCs w:val="16"/>
              </w:rPr>
              <w:t>374.023</w:t>
            </w:r>
          </w:p>
        </w:tc>
      </w:tr>
      <w:tr w:rsidR="00862A01" w:rsidRPr="00872D7E" w14:paraId="6E32282A"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0713ECF" w14:textId="77777777" w:rsidR="00862A01" w:rsidRPr="00872D7E" w:rsidRDefault="00862A01" w:rsidP="00862A01">
            <w:pPr>
              <w:rPr>
                <w:sz w:val="16"/>
                <w:szCs w:val="16"/>
              </w:rPr>
            </w:pPr>
            <w:r w:rsidRPr="00872D7E">
              <w:rPr>
                <w:sz w:val="16"/>
                <w:szCs w:val="16"/>
              </w:rPr>
              <w:t xml:space="preserve">Ticari ve </w:t>
            </w:r>
            <w:proofErr w:type="gramStart"/>
            <w:r w:rsidRPr="00872D7E">
              <w:rPr>
                <w:sz w:val="16"/>
                <w:szCs w:val="16"/>
              </w:rPr>
              <w:t>Diğer</w:t>
            </w:r>
            <w:proofErr w:type="gramEnd"/>
            <w:r w:rsidRPr="00872D7E">
              <w:rPr>
                <w:sz w:val="16"/>
                <w:szCs w:val="16"/>
              </w:rPr>
              <w:t xml:space="preserve"> Kur.</w:t>
            </w:r>
          </w:p>
        </w:tc>
        <w:tc>
          <w:tcPr>
            <w:tcW w:w="523" w:type="pct"/>
            <w:tcBorders>
              <w:top w:val="nil"/>
              <w:left w:val="nil"/>
              <w:bottom w:val="nil"/>
              <w:right w:val="nil"/>
            </w:tcBorders>
            <w:shd w:val="clear" w:color="auto" w:fill="auto"/>
            <w:vAlign w:val="bottom"/>
            <w:hideMark/>
          </w:tcPr>
          <w:p w14:paraId="63833887"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3C1C8F20"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EAB90AC"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6D9EC5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14D18AD"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5B898D6"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05CC2A7A"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048650E8"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2FDA8BCE" w14:textId="77777777" w:rsidR="00862A01" w:rsidRPr="00872D7E" w:rsidRDefault="00862A01" w:rsidP="00862A01">
            <w:pPr>
              <w:jc w:val="right"/>
              <w:rPr>
                <w:sz w:val="16"/>
                <w:szCs w:val="16"/>
              </w:rPr>
            </w:pPr>
            <w:r w:rsidRPr="00872D7E">
              <w:rPr>
                <w:sz w:val="16"/>
                <w:szCs w:val="16"/>
              </w:rPr>
              <w:t>-</w:t>
            </w:r>
          </w:p>
        </w:tc>
      </w:tr>
      <w:tr w:rsidR="00862A01" w:rsidRPr="00872D7E" w14:paraId="3B020986"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53BB44B" w14:textId="77777777" w:rsidR="00862A01" w:rsidRPr="00872D7E" w:rsidRDefault="00862A01" w:rsidP="00862A01">
            <w:pPr>
              <w:rPr>
                <w:sz w:val="16"/>
                <w:szCs w:val="16"/>
              </w:rPr>
            </w:pPr>
            <w:r w:rsidRPr="00872D7E">
              <w:rPr>
                <w:sz w:val="16"/>
                <w:szCs w:val="16"/>
              </w:rPr>
              <w:t>Bankalar ve Katılım Bankası</w:t>
            </w:r>
          </w:p>
        </w:tc>
        <w:tc>
          <w:tcPr>
            <w:tcW w:w="523" w:type="pct"/>
            <w:tcBorders>
              <w:top w:val="nil"/>
              <w:left w:val="nil"/>
              <w:bottom w:val="nil"/>
              <w:right w:val="nil"/>
            </w:tcBorders>
            <w:shd w:val="clear" w:color="auto" w:fill="auto"/>
            <w:vAlign w:val="bottom"/>
            <w:hideMark/>
          </w:tcPr>
          <w:p w14:paraId="2E805D6A"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D8C7FE1"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6212A271"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7FEEC2B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5B17F8A"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05769180"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30B8901A"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337CFC8E"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5CF19585" w14:textId="77777777" w:rsidR="00862A01" w:rsidRPr="00872D7E" w:rsidRDefault="00862A01" w:rsidP="00862A01">
            <w:pPr>
              <w:jc w:val="right"/>
              <w:rPr>
                <w:sz w:val="16"/>
                <w:szCs w:val="16"/>
              </w:rPr>
            </w:pPr>
            <w:r w:rsidRPr="00872D7E">
              <w:rPr>
                <w:sz w:val="16"/>
                <w:szCs w:val="16"/>
              </w:rPr>
              <w:t>-</w:t>
            </w:r>
          </w:p>
        </w:tc>
      </w:tr>
      <w:tr w:rsidR="00862A01" w:rsidRPr="00872D7E" w14:paraId="3E78A13C"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58343D55" w14:textId="77777777" w:rsidR="00862A01" w:rsidRPr="00872D7E" w:rsidRDefault="00862A01" w:rsidP="00862A01">
            <w:pPr>
              <w:rPr>
                <w:b/>
                <w:bCs/>
                <w:sz w:val="16"/>
                <w:szCs w:val="16"/>
              </w:rPr>
            </w:pPr>
            <w:r w:rsidRPr="00872D7E">
              <w:rPr>
                <w:b/>
                <w:bCs/>
                <w:sz w:val="16"/>
                <w:szCs w:val="16"/>
              </w:rPr>
              <w:t>V. Özel Cari Hesaplar Gerçek Kişi Ticari Olmayan-YP</w:t>
            </w:r>
          </w:p>
        </w:tc>
        <w:tc>
          <w:tcPr>
            <w:tcW w:w="523" w:type="pct"/>
            <w:tcBorders>
              <w:top w:val="nil"/>
              <w:left w:val="nil"/>
              <w:bottom w:val="nil"/>
              <w:right w:val="nil"/>
            </w:tcBorders>
            <w:shd w:val="clear" w:color="auto" w:fill="auto"/>
            <w:vAlign w:val="bottom"/>
            <w:hideMark/>
          </w:tcPr>
          <w:p w14:paraId="6721D60B" w14:textId="77777777" w:rsidR="00862A01" w:rsidRPr="00872D7E" w:rsidRDefault="00862A01" w:rsidP="00862A01">
            <w:pPr>
              <w:jc w:val="right"/>
              <w:rPr>
                <w:b/>
                <w:bCs/>
                <w:sz w:val="16"/>
                <w:szCs w:val="16"/>
              </w:rPr>
            </w:pPr>
            <w:r w:rsidRPr="00872D7E">
              <w:rPr>
                <w:b/>
                <w:bCs/>
                <w:sz w:val="16"/>
                <w:szCs w:val="16"/>
              </w:rPr>
              <w:t>124.081</w:t>
            </w:r>
          </w:p>
        </w:tc>
        <w:tc>
          <w:tcPr>
            <w:tcW w:w="411" w:type="pct"/>
            <w:tcBorders>
              <w:top w:val="nil"/>
              <w:left w:val="nil"/>
              <w:bottom w:val="nil"/>
              <w:right w:val="nil"/>
            </w:tcBorders>
            <w:shd w:val="clear" w:color="auto" w:fill="auto"/>
            <w:vAlign w:val="bottom"/>
            <w:hideMark/>
          </w:tcPr>
          <w:p w14:paraId="181D60FB"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3A1E2FC3"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331B169F"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313F8FE1"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6E7F7477" w14:textId="77777777" w:rsidR="00862A01" w:rsidRPr="00872D7E" w:rsidRDefault="00862A01" w:rsidP="00862A01">
            <w:pPr>
              <w:jc w:val="right"/>
              <w:rPr>
                <w:b/>
                <w:bCs/>
                <w:sz w:val="16"/>
                <w:szCs w:val="16"/>
              </w:rPr>
            </w:pPr>
            <w:r w:rsidRPr="00872D7E">
              <w:rPr>
                <w:b/>
                <w:bCs/>
                <w:sz w:val="16"/>
                <w:szCs w:val="16"/>
              </w:rPr>
              <w:t>-</w:t>
            </w:r>
          </w:p>
        </w:tc>
        <w:tc>
          <w:tcPr>
            <w:tcW w:w="448" w:type="pct"/>
            <w:tcBorders>
              <w:top w:val="nil"/>
              <w:left w:val="nil"/>
              <w:bottom w:val="nil"/>
              <w:right w:val="nil"/>
            </w:tcBorders>
            <w:shd w:val="clear" w:color="auto" w:fill="auto"/>
            <w:vAlign w:val="bottom"/>
            <w:hideMark/>
          </w:tcPr>
          <w:p w14:paraId="2AA3EF3F" w14:textId="77777777" w:rsidR="00862A01" w:rsidRPr="00872D7E" w:rsidRDefault="00862A01" w:rsidP="00862A01">
            <w:pPr>
              <w:jc w:val="right"/>
              <w:rPr>
                <w:b/>
                <w:bCs/>
                <w:sz w:val="16"/>
                <w:szCs w:val="16"/>
              </w:rPr>
            </w:pPr>
            <w:r w:rsidRPr="00872D7E">
              <w:rPr>
                <w:b/>
                <w:bCs/>
                <w:sz w:val="16"/>
                <w:szCs w:val="16"/>
              </w:rPr>
              <w:t>-</w:t>
            </w:r>
          </w:p>
        </w:tc>
        <w:tc>
          <w:tcPr>
            <w:tcW w:w="402" w:type="pct"/>
            <w:tcBorders>
              <w:top w:val="nil"/>
              <w:left w:val="nil"/>
              <w:bottom w:val="nil"/>
              <w:right w:val="nil"/>
            </w:tcBorders>
            <w:shd w:val="clear" w:color="auto" w:fill="auto"/>
            <w:vAlign w:val="bottom"/>
            <w:hideMark/>
          </w:tcPr>
          <w:p w14:paraId="6E1DFAA8"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0F25F6C5" w14:textId="77777777" w:rsidR="00862A01" w:rsidRPr="00872D7E" w:rsidRDefault="00862A01" w:rsidP="00862A01">
            <w:pPr>
              <w:jc w:val="right"/>
              <w:rPr>
                <w:b/>
                <w:bCs/>
                <w:sz w:val="16"/>
                <w:szCs w:val="16"/>
              </w:rPr>
            </w:pPr>
            <w:r w:rsidRPr="00872D7E">
              <w:rPr>
                <w:b/>
                <w:bCs/>
                <w:sz w:val="16"/>
                <w:szCs w:val="16"/>
              </w:rPr>
              <w:t>124.081</w:t>
            </w:r>
          </w:p>
        </w:tc>
      </w:tr>
      <w:tr w:rsidR="00862A01" w:rsidRPr="00872D7E" w14:paraId="2E08FC17"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34CE4115" w14:textId="77777777" w:rsidR="00862A01" w:rsidRPr="00872D7E" w:rsidRDefault="00862A01" w:rsidP="00862A01">
            <w:pPr>
              <w:rPr>
                <w:b/>
                <w:bCs/>
                <w:sz w:val="16"/>
                <w:szCs w:val="16"/>
              </w:rPr>
            </w:pPr>
            <w:r w:rsidRPr="00872D7E">
              <w:rPr>
                <w:b/>
                <w:bCs/>
                <w:sz w:val="16"/>
                <w:szCs w:val="16"/>
              </w:rPr>
              <w:t>VI. Katılma Hesapları Gerçek Kişi Ticari Olmayan-YP</w:t>
            </w:r>
          </w:p>
        </w:tc>
        <w:tc>
          <w:tcPr>
            <w:tcW w:w="523" w:type="pct"/>
            <w:tcBorders>
              <w:top w:val="nil"/>
              <w:left w:val="nil"/>
              <w:bottom w:val="nil"/>
              <w:right w:val="nil"/>
            </w:tcBorders>
            <w:shd w:val="clear" w:color="auto" w:fill="auto"/>
            <w:vAlign w:val="bottom"/>
            <w:hideMark/>
          </w:tcPr>
          <w:p w14:paraId="67A384A3"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07246265" w14:textId="77777777" w:rsidR="00862A01" w:rsidRPr="00872D7E" w:rsidRDefault="00862A01" w:rsidP="00862A01">
            <w:pPr>
              <w:jc w:val="right"/>
              <w:rPr>
                <w:b/>
                <w:bCs/>
                <w:sz w:val="16"/>
                <w:szCs w:val="16"/>
              </w:rPr>
            </w:pPr>
            <w:r w:rsidRPr="00872D7E">
              <w:rPr>
                <w:b/>
                <w:bCs/>
                <w:sz w:val="16"/>
                <w:szCs w:val="16"/>
              </w:rPr>
              <w:t>38.111</w:t>
            </w:r>
          </w:p>
        </w:tc>
        <w:tc>
          <w:tcPr>
            <w:tcW w:w="411" w:type="pct"/>
            <w:tcBorders>
              <w:top w:val="nil"/>
              <w:left w:val="nil"/>
              <w:bottom w:val="nil"/>
              <w:right w:val="nil"/>
            </w:tcBorders>
            <w:shd w:val="clear" w:color="auto" w:fill="auto"/>
            <w:vAlign w:val="bottom"/>
            <w:hideMark/>
          </w:tcPr>
          <w:p w14:paraId="19DF75DD" w14:textId="77777777" w:rsidR="00862A01" w:rsidRPr="00872D7E" w:rsidRDefault="00862A01" w:rsidP="00862A01">
            <w:pPr>
              <w:jc w:val="right"/>
              <w:rPr>
                <w:b/>
                <w:bCs/>
                <w:sz w:val="16"/>
                <w:szCs w:val="16"/>
              </w:rPr>
            </w:pPr>
            <w:r w:rsidRPr="00872D7E">
              <w:rPr>
                <w:b/>
                <w:bCs/>
                <w:sz w:val="16"/>
                <w:szCs w:val="16"/>
              </w:rPr>
              <w:t>175.434</w:t>
            </w:r>
          </w:p>
        </w:tc>
        <w:tc>
          <w:tcPr>
            <w:tcW w:w="411" w:type="pct"/>
            <w:tcBorders>
              <w:top w:val="nil"/>
              <w:left w:val="nil"/>
              <w:bottom w:val="nil"/>
              <w:right w:val="nil"/>
            </w:tcBorders>
            <w:shd w:val="clear" w:color="auto" w:fill="auto"/>
            <w:vAlign w:val="bottom"/>
            <w:hideMark/>
          </w:tcPr>
          <w:p w14:paraId="2CB96977" w14:textId="77777777" w:rsidR="00862A01" w:rsidRPr="00872D7E" w:rsidRDefault="00862A01" w:rsidP="00862A01">
            <w:pPr>
              <w:jc w:val="right"/>
              <w:rPr>
                <w:b/>
                <w:bCs/>
                <w:sz w:val="16"/>
                <w:szCs w:val="16"/>
              </w:rPr>
            </w:pPr>
            <w:r w:rsidRPr="00872D7E">
              <w:rPr>
                <w:b/>
                <w:bCs/>
                <w:sz w:val="16"/>
                <w:szCs w:val="16"/>
              </w:rPr>
              <w:t>39.077</w:t>
            </w:r>
          </w:p>
        </w:tc>
        <w:tc>
          <w:tcPr>
            <w:tcW w:w="374" w:type="pct"/>
            <w:tcBorders>
              <w:top w:val="nil"/>
              <w:left w:val="nil"/>
              <w:bottom w:val="nil"/>
              <w:right w:val="nil"/>
            </w:tcBorders>
            <w:shd w:val="clear" w:color="auto" w:fill="auto"/>
            <w:vAlign w:val="bottom"/>
            <w:hideMark/>
          </w:tcPr>
          <w:p w14:paraId="600FCD53"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5944D3D9" w14:textId="77777777" w:rsidR="00862A01" w:rsidRPr="00872D7E" w:rsidRDefault="00862A01" w:rsidP="00862A01">
            <w:pPr>
              <w:jc w:val="right"/>
              <w:rPr>
                <w:b/>
                <w:bCs/>
                <w:sz w:val="16"/>
                <w:szCs w:val="16"/>
              </w:rPr>
            </w:pPr>
            <w:r w:rsidRPr="00872D7E">
              <w:rPr>
                <w:b/>
                <w:bCs/>
                <w:sz w:val="16"/>
                <w:szCs w:val="16"/>
              </w:rPr>
              <w:t>-</w:t>
            </w:r>
          </w:p>
        </w:tc>
        <w:tc>
          <w:tcPr>
            <w:tcW w:w="448" w:type="pct"/>
            <w:tcBorders>
              <w:top w:val="nil"/>
              <w:left w:val="nil"/>
              <w:bottom w:val="nil"/>
              <w:right w:val="nil"/>
            </w:tcBorders>
            <w:shd w:val="clear" w:color="auto" w:fill="auto"/>
            <w:vAlign w:val="bottom"/>
            <w:hideMark/>
          </w:tcPr>
          <w:p w14:paraId="40801ED9" w14:textId="77777777" w:rsidR="00862A01" w:rsidRPr="00872D7E" w:rsidRDefault="00862A01" w:rsidP="00862A01">
            <w:pPr>
              <w:jc w:val="right"/>
              <w:rPr>
                <w:b/>
                <w:bCs/>
                <w:sz w:val="16"/>
                <w:szCs w:val="16"/>
              </w:rPr>
            </w:pPr>
            <w:r w:rsidRPr="00872D7E">
              <w:rPr>
                <w:b/>
                <w:bCs/>
                <w:sz w:val="16"/>
                <w:szCs w:val="16"/>
              </w:rPr>
              <w:t>-</w:t>
            </w:r>
          </w:p>
        </w:tc>
        <w:tc>
          <w:tcPr>
            <w:tcW w:w="402" w:type="pct"/>
            <w:tcBorders>
              <w:top w:val="nil"/>
              <w:left w:val="nil"/>
              <w:bottom w:val="nil"/>
              <w:right w:val="nil"/>
            </w:tcBorders>
            <w:shd w:val="clear" w:color="auto" w:fill="auto"/>
            <w:vAlign w:val="bottom"/>
            <w:hideMark/>
          </w:tcPr>
          <w:p w14:paraId="0E2C3DB5"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5247F82F" w14:textId="77777777" w:rsidR="00862A01" w:rsidRPr="00872D7E" w:rsidRDefault="00862A01" w:rsidP="00862A01">
            <w:pPr>
              <w:jc w:val="right"/>
              <w:rPr>
                <w:b/>
                <w:bCs/>
                <w:sz w:val="16"/>
                <w:szCs w:val="16"/>
              </w:rPr>
            </w:pPr>
            <w:r w:rsidRPr="00872D7E">
              <w:rPr>
                <w:b/>
                <w:bCs/>
                <w:sz w:val="16"/>
                <w:szCs w:val="16"/>
              </w:rPr>
              <w:t>252.622</w:t>
            </w:r>
          </w:p>
        </w:tc>
      </w:tr>
      <w:tr w:rsidR="00862A01" w:rsidRPr="00872D7E" w14:paraId="5AECE0AE"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29BBD01B" w14:textId="77777777" w:rsidR="00862A01" w:rsidRPr="00872D7E" w:rsidRDefault="00862A01" w:rsidP="00862A01">
            <w:pPr>
              <w:rPr>
                <w:b/>
                <w:bCs/>
                <w:sz w:val="16"/>
                <w:szCs w:val="16"/>
              </w:rPr>
            </w:pPr>
            <w:r w:rsidRPr="00872D7E">
              <w:rPr>
                <w:b/>
                <w:bCs/>
                <w:sz w:val="16"/>
                <w:szCs w:val="16"/>
              </w:rPr>
              <w:t>VII. Özel Cari Hesaplar Diğer-YP</w:t>
            </w:r>
          </w:p>
        </w:tc>
        <w:tc>
          <w:tcPr>
            <w:tcW w:w="523" w:type="pct"/>
            <w:tcBorders>
              <w:top w:val="nil"/>
              <w:left w:val="nil"/>
              <w:bottom w:val="nil"/>
              <w:right w:val="nil"/>
            </w:tcBorders>
            <w:shd w:val="clear" w:color="auto" w:fill="auto"/>
            <w:vAlign w:val="bottom"/>
            <w:hideMark/>
          </w:tcPr>
          <w:p w14:paraId="252B55CE" w14:textId="77777777" w:rsidR="00862A01" w:rsidRPr="00872D7E" w:rsidRDefault="00862A01" w:rsidP="00862A01">
            <w:pPr>
              <w:jc w:val="right"/>
              <w:rPr>
                <w:b/>
                <w:bCs/>
                <w:sz w:val="16"/>
                <w:szCs w:val="16"/>
              </w:rPr>
            </w:pPr>
            <w:r w:rsidRPr="00872D7E">
              <w:rPr>
                <w:b/>
                <w:bCs/>
                <w:sz w:val="16"/>
                <w:szCs w:val="16"/>
              </w:rPr>
              <w:t>1.097.986</w:t>
            </w:r>
          </w:p>
        </w:tc>
        <w:tc>
          <w:tcPr>
            <w:tcW w:w="411" w:type="pct"/>
            <w:tcBorders>
              <w:top w:val="nil"/>
              <w:left w:val="nil"/>
              <w:bottom w:val="nil"/>
              <w:right w:val="nil"/>
            </w:tcBorders>
            <w:shd w:val="clear" w:color="auto" w:fill="auto"/>
            <w:vAlign w:val="bottom"/>
            <w:hideMark/>
          </w:tcPr>
          <w:p w14:paraId="0A8789F2"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0CC3AEAE"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4A1111AB"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0BDF9967"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1C0CB473" w14:textId="77777777" w:rsidR="00862A01" w:rsidRPr="00872D7E" w:rsidRDefault="00862A01" w:rsidP="00862A01">
            <w:pPr>
              <w:jc w:val="right"/>
              <w:rPr>
                <w:b/>
                <w:bCs/>
                <w:sz w:val="16"/>
                <w:szCs w:val="16"/>
              </w:rPr>
            </w:pPr>
            <w:r w:rsidRPr="00872D7E">
              <w:rPr>
                <w:b/>
                <w:bCs/>
                <w:sz w:val="16"/>
                <w:szCs w:val="16"/>
              </w:rPr>
              <w:t>-</w:t>
            </w:r>
          </w:p>
        </w:tc>
        <w:tc>
          <w:tcPr>
            <w:tcW w:w="448" w:type="pct"/>
            <w:tcBorders>
              <w:top w:val="nil"/>
              <w:left w:val="nil"/>
              <w:bottom w:val="nil"/>
              <w:right w:val="nil"/>
            </w:tcBorders>
            <w:shd w:val="clear" w:color="auto" w:fill="auto"/>
            <w:vAlign w:val="bottom"/>
            <w:hideMark/>
          </w:tcPr>
          <w:p w14:paraId="2E7363D0" w14:textId="77777777" w:rsidR="00862A01" w:rsidRPr="00872D7E" w:rsidRDefault="00862A01" w:rsidP="00862A01">
            <w:pPr>
              <w:jc w:val="right"/>
              <w:rPr>
                <w:b/>
                <w:bCs/>
                <w:sz w:val="16"/>
                <w:szCs w:val="16"/>
              </w:rPr>
            </w:pPr>
            <w:r w:rsidRPr="00872D7E">
              <w:rPr>
                <w:b/>
                <w:bCs/>
                <w:sz w:val="16"/>
                <w:szCs w:val="16"/>
              </w:rPr>
              <w:t>-</w:t>
            </w:r>
          </w:p>
        </w:tc>
        <w:tc>
          <w:tcPr>
            <w:tcW w:w="402" w:type="pct"/>
            <w:tcBorders>
              <w:top w:val="nil"/>
              <w:left w:val="nil"/>
              <w:bottom w:val="nil"/>
              <w:right w:val="nil"/>
            </w:tcBorders>
            <w:shd w:val="clear" w:color="auto" w:fill="auto"/>
            <w:vAlign w:val="bottom"/>
            <w:hideMark/>
          </w:tcPr>
          <w:p w14:paraId="1BC8F9B5"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082051C0" w14:textId="77777777" w:rsidR="00862A01" w:rsidRPr="00872D7E" w:rsidRDefault="00862A01" w:rsidP="00862A01">
            <w:pPr>
              <w:jc w:val="right"/>
              <w:rPr>
                <w:b/>
                <w:bCs/>
                <w:sz w:val="16"/>
                <w:szCs w:val="16"/>
              </w:rPr>
            </w:pPr>
            <w:r w:rsidRPr="00872D7E">
              <w:rPr>
                <w:b/>
                <w:bCs/>
                <w:sz w:val="16"/>
                <w:szCs w:val="16"/>
              </w:rPr>
              <w:t>1.097.986</w:t>
            </w:r>
          </w:p>
        </w:tc>
      </w:tr>
      <w:tr w:rsidR="00862A01" w:rsidRPr="00872D7E" w14:paraId="42B2C641"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4C745A50" w14:textId="77777777" w:rsidR="00862A01" w:rsidRPr="00872D7E" w:rsidRDefault="00862A01" w:rsidP="00862A01">
            <w:pPr>
              <w:rPr>
                <w:sz w:val="16"/>
                <w:szCs w:val="16"/>
              </w:rPr>
            </w:pPr>
            <w:r w:rsidRPr="00872D7E">
              <w:rPr>
                <w:sz w:val="16"/>
                <w:szCs w:val="16"/>
              </w:rPr>
              <w:t xml:space="preserve">Yurtiçinde Yer. </w:t>
            </w:r>
            <w:proofErr w:type="spellStart"/>
            <w:r w:rsidRPr="00872D7E">
              <w:rPr>
                <w:sz w:val="16"/>
                <w:szCs w:val="16"/>
              </w:rPr>
              <w:t>Tüz</w:t>
            </w:r>
            <w:proofErr w:type="spellEnd"/>
            <w:r w:rsidRPr="00872D7E">
              <w:rPr>
                <w:sz w:val="16"/>
                <w:szCs w:val="16"/>
              </w:rPr>
              <w:t>. K</w:t>
            </w:r>
          </w:p>
        </w:tc>
        <w:tc>
          <w:tcPr>
            <w:tcW w:w="523" w:type="pct"/>
            <w:tcBorders>
              <w:top w:val="nil"/>
              <w:left w:val="nil"/>
              <w:bottom w:val="nil"/>
              <w:right w:val="nil"/>
            </w:tcBorders>
            <w:shd w:val="clear" w:color="auto" w:fill="auto"/>
            <w:vAlign w:val="bottom"/>
            <w:hideMark/>
          </w:tcPr>
          <w:p w14:paraId="26B98681" w14:textId="77777777" w:rsidR="00862A01" w:rsidRPr="00872D7E" w:rsidRDefault="00862A01" w:rsidP="00862A01">
            <w:pPr>
              <w:jc w:val="right"/>
              <w:rPr>
                <w:sz w:val="16"/>
                <w:szCs w:val="16"/>
              </w:rPr>
            </w:pPr>
            <w:r w:rsidRPr="00872D7E">
              <w:rPr>
                <w:sz w:val="16"/>
                <w:szCs w:val="16"/>
              </w:rPr>
              <w:t>1.097.192</w:t>
            </w:r>
          </w:p>
        </w:tc>
        <w:tc>
          <w:tcPr>
            <w:tcW w:w="411" w:type="pct"/>
            <w:tcBorders>
              <w:top w:val="nil"/>
              <w:left w:val="nil"/>
              <w:bottom w:val="nil"/>
              <w:right w:val="nil"/>
            </w:tcBorders>
            <w:shd w:val="clear" w:color="auto" w:fill="auto"/>
            <w:vAlign w:val="bottom"/>
            <w:hideMark/>
          </w:tcPr>
          <w:p w14:paraId="3669DBBB"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61F58BF"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B9C599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827187B"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EE2F9DB"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049811DE"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58F213D1"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59EF0C2B" w14:textId="77777777" w:rsidR="00862A01" w:rsidRPr="00872D7E" w:rsidRDefault="00862A01" w:rsidP="00862A01">
            <w:pPr>
              <w:jc w:val="right"/>
              <w:rPr>
                <w:sz w:val="16"/>
                <w:szCs w:val="16"/>
              </w:rPr>
            </w:pPr>
            <w:r w:rsidRPr="00872D7E">
              <w:rPr>
                <w:sz w:val="16"/>
                <w:szCs w:val="16"/>
              </w:rPr>
              <w:t>1.097.192</w:t>
            </w:r>
          </w:p>
        </w:tc>
      </w:tr>
      <w:tr w:rsidR="00862A01" w:rsidRPr="00872D7E" w14:paraId="4A540714"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5F6C9662" w14:textId="77777777" w:rsidR="00862A01" w:rsidRPr="00872D7E" w:rsidRDefault="00862A01" w:rsidP="00862A01">
            <w:pPr>
              <w:rPr>
                <w:sz w:val="16"/>
                <w:szCs w:val="16"/>
              </w:rPr>
            </w:pPr>
            <w:r w:rsidRPr="00872D7E">
              <w:rPr>
                <w:sz w:val="16"/>
                <w:szCs w:val="16"/>
              </w:rPr>
              <w:t xml:space="preserve">Yurtdışında Yer. </w:t>
            </w:r>
            <w:proofErr w:type="spellStart"/>
            <w:r w:rsidRPr="00872D7E">
              <w:rPr>
                <w:sz w:val="16"/>
                <w:szCs w:val="16"/>
              </w:rPr>
              <w:t>Tüz</w:t>
            </w:r>
            <w:proofErr w:type="spellEnd"/>
            <w:r w:rsidRPr="00872D7E">
              <w:rPr>
                <w:sz w:val="16"/>
                <w:szCs w:val="16"/>
              </w:rPr>
              <w:t>. K.</w:t>
            </w:r>
          </w:p>
        </w:tc>
        <w:tc>
          <w:tcPr>
            <w:tcW w:w="523" w:type="pct"/>
            <w:tcBorders>
              <w:top w:val="nil"/>
              <w:left w:val="nil"/>
              <w:bottom w:val="nil"/>
              <w:right w:val="nil"/>
            </w:tcBorders>
            <w:shd w:val="clear" w:color="auto" w:fill="auto"/>
            <w:vAlign w:val="bottom"/>
            <w:hideMark/>
          </w:tcPr>
          <w:p w14:paraId="63D22795" w14:textId="77777777" w:rsidR="00862A01" w:rsidRPr="00872D7E" w:rsidRDefault="00862A01" w:rsidP="00862A01">
            <w:pPr>
              <w:jc w:val="right"/>
              <w:rPr>
                <w:sz w:val="16"/>
                <w:szCs w:val="16"/>
              </w:rPr>
            </w:pPr>
            <w:r w:rsidRPr="00872D7E">
              <w:rPr>
                <w:sz w:val="16"/>
                <w:szCs w:val="16"/>
              </w:rPr>
              <w:t>794</w:t>
            </w:r>
          </w:p>
        </w:tc>
        <w:tc>
          <w:tcPr>
            <w:tcW w:w="411" w:type="pct"/>
            <w:tcBorders>
              <w:top w:val="nil"/>
              <w:left w:val="nil"/>
              <w:bottom w:val="nil"/>
              <w:right w:val="nil"/>
            </w:tcBorders>
            <w:shd w:val="clear" w:color="auto" w:fill="auto"/>
            <w:vAlign w:val="bottom"/>
            <w:hideMark/>
          </w:tcPr>
          <w:p w14:paraId="1045743F"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38944B1"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41D0FC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9F3C23F"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76FF37C"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3CDC949E"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753E508E"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72A54BA6" w14:textId="77777777" w:rsidR="00862A01" w:rsidRPr="00872D7E" w:rsidRDefault="00862A01" w:rsidP="00862A01">
            <w:pPr>
              <w:jc w:val="right"/>
              <w:rPr>
                <w:sz w:val="16"/>
                <w:szCs w:val="16"/>
              </w:rPr>
            </w:pPr>
            <w:r w:rsidRPr="00872D7E">
              <w:rPr>
                <w:sz w:val="16"/>
                <w:szCs w:val="16"/>
              </w:rPr>
              <w:t>794</w:t>
            </w:r>
          </w:p>
        </w:tc>
      </w:tr>
      <w:tr w:rsidR="00862A01" w:rsidRPr="00872D7E" w14:paraId="1E81DFA4"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4A07A23" w14:textId="77777777" w:rsidR="00862A01" w:rsidRPr="00872D7E" w:rsidRDefault="00862A01" w:rsidP="00862A01">
            <w:pPr>
              <w:rPr>
                <w:sz w:val="16"/>
                <w:szCs w:val="16"/>
              </w:rPr>
            </w:pPr>
            <w:r w:rsidRPr="00872D7E">
              <w:rPr>
                <w:sz w:val="16"/>
                <w:szCs w:val="16"/>
              </w:rPr>
              <w:t>Bankalar ve Katılım Bankaları</w:t>
            </w:r>
          </w:p>
        </w:tc>
        <w:tc>
          <w:tcPr>
            <w:tcW w:w="523" w:type="pct"/>
            <w:tcBorders>
              <w:top w:val="nil"/>
              <w:left w:val="nil"/>
              <w:bottom w:val="nil"/>
              <w:right w:val="nil"/>
            </w:tcBorders>
            <w:shd w:val="clear" w:color="auto" w:fill="auto"/>
            <w:vAlign w:val="bottom"/>
            <w:hideMark/>
          </w:tcPr>
          <w:p w14:paraId="6B7A4B75"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DADB0ED"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B6963D1"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35271C19"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86DB663"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63FABC7E"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251E2762"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10D9ACE0"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09C9D1CA" w14:textId="77777777" w:rsidR="00862A01" w:rsidRPr="00872D7E" w:rsidRDefault="00862A01" w:rsidP="00862A01">
            <w:pPr>
              <w:jc w:val="right"/>
              <w:rPr>
                <w:sz w:val="16"/>
                <w:szCs w:val="16"/>
              </w:rPr>
            </w:pPr>
            <w:r w:rsidRPr="00872D7E">
              <w:rPr>
                <w:sz w:val="16"/>
                <w:szCs w:val="16"/>
              </w:rPr>
              <w:t>-</w:t>
            </w:r>
          </w:p>
        </w:tc>
      </w:tr>
      <w:tr w:rsidR="00862A01" w:rsidRPr="00872D7E" w14:paraId="4CD568AF"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776D6553" w14:textId="77777777" w:rsidR="00862A01" w:rsidRPr="00872D7E" w:rsidRDefault="00862A01" w:rsidP="00862A01">
            <w:pPr>
              <w:rPr>
                <w:sz w:val="16"/>
                <w:szCs w:val="16"/>
              </w:rPr>
            </w:pPr>
            <w:r w:rsidRPr="00872D7E">
              <w:rPr>
                <w:sz w:val="16"/>
                <w:szCs w:val="16"/>
              </w:rPr>
              <w:t>TCMB</w:t>
            </w:r>
          </w:p>
        </w:tc>
        <w:tc>
          <w:tcPr>
            <w:tcW w:w="523" w:type="pct"/>
            <w:tcBorders>
              <w:top w:val="nil"/>
              <w:left w:val="nil"/>
              <w:bottom w:val="nil"/>
              <w:right w:val="nil"/>
            </w:tcBorders>
            <w:shd w:val="clear" w:color="auto" w:fill="auto"/>
            <w:vAlign w:val="bottom"/>
            <w:hideMark/>
          </w:tcPr>
          <w:p w14:paraId="3AD51DAF"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CE09838"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6F3C676B"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7B587438"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B6F8E65"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51B66A85"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5E214223"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3CF3200B"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56210BFA" w14:textId="77777777" w:rsidR="00862A01" w:rsidRPr="00872D7E" w:rsidRDefault="00862A01" w:rsidP="00862A01">
            <w:pPr>
              <w:jc w:val="right"/>
              <w:rPr>
                <w:sz w:val="16"/>
                <w:szCs w:val="16"/>
              </w:rPr>
            </w:pPr>
            <w:r w:rsidRPr="00872D7E">
              <w:rPr>
                <w:sz w:val="16"/>
                <w:szCs w:val="16"/>
              </w:rPr>
              <w:t>-</w:t>
            </w:r>
          </w:p>
        </w:tc>
      </w:tr>
      <w:tr w:rsidR="00862A01" w:rsidRPr="00872D7E" w14:paraId="7CD3E9D1"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321DECDF" w14:textId="77777777" w:rsidR="00862A01" w:rsidRPr="00872D7E" w:rsidRDefault="00862A01" w:rsidP="00862A01">
            <w:pPr>
              <w:rPr>
                <w:sz w:val="16"/>
                <w:szCs w:val="16"/>
              </w:rPr>
            </w:pPr>
            <w:r w:rsidRPr="00872D7E">
              <w:rPr>
                <w:sz w:val="16"/>
                <w:szCs w:val="16"/>
              </w:rPr>
              <w:t>Yurtiçi Bankalar</w:t>
            </w:r>
          </w:p>
        </w:tc>
        <w:tc>
          <w:tcPr>
            <w:tcW w:w="523" w:type="pct"/>
            <w:tcBorders>
              <w:top w:val="nil"/>
              <w:left w:val="nil"/>
              <w:bottom w:val="nil"/>
              <w:right w:val="nil"/>
            </w:tcBorders>
            <w:shd w:val="clear" w:color="auto" w:fill="auto"/>
            <w:vAlign w:val="bottom"/>
            <w:hideMark/>
          </w:tcPr>
          <w:p w14:paraId="4115050C"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E6F75A0"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750053EA"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8A01B37"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140D357"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4EF87996"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2D5D4630"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6E5A58FB"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1B148235" w14:textId="77777777" w:rsidR="00862A01" w:rsidRPr="00872D7E" w:rsidRDefault="00862A01" w:rsidP="00862A01">
            <w:pPr>
              <w:jc w:val="right"/>
              <w:rPr>
                <w:sz w:val="16"/>
                <w:szCs w:val="16"/>
              </w:rPr>
            </w:pPr>
            <w:r w:rsidRPr="00872D7E">
              <w:rPr>
                <w:sz w:val="16"/>
                <w:szCs w:val="16"/>
              </w:rPr>
              <w:t>-</w:t>
            </w:r>
          </w:p>
        </w:tc>
      </w:tr>
      <w:tr w:rsidR="00862A01" w:rsidRPr="00872D7E" w14:paraId="642471B1"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68BDEA77" w14:textId="77777777" w:rsidR="00862A01" w:rsidRPr="00872D7E" w:rsidRDefault="00862A01" w:rsidP="00862A01">
            <w:pPr>
              <w:rPr>
                <w:sz w:val="16"/>
                <w:szCs w:val="16"/>
              </w:rPr>
            </w:pPr>
            <w:r w:rsidRPr="00872D7E">
              <w:rPr>
                <w:sz w:val="16"/>
                <w:szCs w:val="16"/>
              </w:rPr>
              <w:t>Yurtdışı Bankalar</w:t>
            </w:r>
          </w:p>
        </w:tc>
        <w:tc>
          <w:tcPr>
            <w:tcW w:w="523" w:type="pct"/>
            <w:tcBorders>
              <w:top w:val="nil"/>
              <w:left w:val="nil"/>
              <w:bottom w:val="nil"/>
              <w:right w:val="nil"/>
            </w:tcBorders>
            <w:shd w:val="clear" w:color="auto" w:fill="auto"/>
            <w:vAlign w:val="bottom"/>
            <w:hideMark/>
          </w:tcPr>
          <w:p w14:paraId="58D8B4AA"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C97CB02"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3653B8C2"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4E3CAA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1E37E1A"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F69A62E"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5318FA91"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00516DF0"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4EF33AD2" w14:textId="77777777" w:rsidR="00862A01" w:rsidRPr="00872D7E" w:rsidRDefault="00862A01" w:rsidP="00862A01">
            <w:pPr>
              <w:jc w:val="right"/>
              <w:rPr>
                <w:sz w:val="16"/>
                <w:szCs w:val="16"/>
              </w:rPr>
            </w:pPr>
            <w:r w:rsidRPr="00872D7E">
              <w:rPr>
                <w:sz w:val="16"/>
                <w:szCs w:val="16"/>
              </w:rPr>
              <w:t>-</w:t>
            </w:r>
          </w:p>
        </w:tc>
      </w:tr>
      <w:tr w:rsidR="00862A01" w:rsidRPr="00872D7E" w14:paraId="3A090E99"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652A6EA3" w14:textId="77777777" w:rsidR="00862A01" w:rsidRPr="00872D7E" w:rsidRDefault="00862A01" w:rsidP="00862A01">
            <w:pPr>
              <w:rPr>
                <w:sz w:val="16"/>
                <w:szCs w:val="16"/>
              </w:rPr>
            </w:pPr>
            <w:r w:rsidRPr="00872D7E">
              <w:rPr>
                <w:sz w:val="16"/>
                <w:szCs w:val="16"/>
              </w:rPr>
              <w:t>Katılım Bankası</w:t>
            </w:r>
          </w:p>
        </w:tc>
        <w:tc>
          <w:tcPr>
            <w:tcW w:w="523" w:type="pct"/>
            <w:tcBorders>
              <w:top w:val="nil"/>
              <w:left w:val="nil"/>
              <w:bottom w:val="nil"/>
              <w:right w:val="nil"/>
            </w:tcBorders>
            <w:shd w:val="clear" w:color="auto" w:fill="auto"/>
            <w:vAlign w:val="bottom"/>
            <w:hideMark/>
          </w:tcPr>
          <w:p w14:paraId="27E34D2A"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61417F4"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BE7C15B"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64F1B877"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83EA977"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06F7F3DB"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7152BFD1"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0E95BC06"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215AF8D7" w14:textId="77777777" w:rsidR="00862A01" w:rsidRPr="00872D7E" w:rsidRDefault="00862A01" w:rsidP="00862A01">
            <w:pPr>
              <w:jc w:val="right"/>
              <w:rPr>
                <w:sz w:val="16"/>
                <w:szCs w:val="16"/>
              </w:rPr>
            </w:pPr>
            <w:r w:rsidRPr="00872D7E">
              <w:rPr>
                <w:sz w:val="16"/>
                <w:szCs w:val="16"/>
              </w:rPr>
              <w:t>-</w:t>
            </w:r>
          </w:p>
        </w:tc>
      </w:tr>
      <w:tr w:rsidR="00862A01" w:rsidRPr="00872D7E" w14:paraId="77B73572"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0881C9CB" w14:textId="77777777" w:rsidR="00862A01" w:rsidRPr="00872D7E" w:rsidRDefault="00862A01" w:rsidP="00862A01">
            <w:pPr>
              <w:rPr>
                <w:sz w:val="16"/>
                <w:szCs w:val="16"/>
              </w:rPr>
            </w:pPr>
            <w:r w:rsidRPr="00872D7E">
              <w:rPr>
                <w:sz w:val="16"/>
                <w:szCs w:val="16"/>
              </w:rPr>
              <w:t>Diğer</w:t>
            </w:r>
          </w:p>
        </w:tc>
        <w:tc>
          <w:tcPr>
            <w:tcW w:w="523" w:type="pct"/>
            <w:tcBorders>
              <w:top w:val="nil"/>
              <w:left w:val="nil"/>
              <w:bottom w:val="nil"/>
              <w:right w:val="nil"/>
            </w:tcBorders>
            <w:shd w:val="clear" w:color="auto" w:fill="auto"/>
            <w:vAlign w:val="bottom"/>
            <w:hideMark/>
          </w:tcPr>
          <w:p w14:paraId="76272BC9"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7C7C351"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59CD9A9"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D56FD11"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D373264"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29950F87"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568188C8"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42693939"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59C50E01" w14:textId="77777777" w:rsidR="00862A01" w:rsidRPr="00872D7E" w:rsidRDefault="00862A01" w:rsidP="00862A01">
            <w:pPr>
              <w:jc w:val="right"/>
              <w:rPr>
                <w:sz w:val="16"/>
                <w:szCs w:val="16"/>
              </w:rPr>
            </w:pPr>
            <w:r w:rsidRPr="00872D7E">
              <w:rPr>
                <w:sz w:val="16"/>
                <w:szCs w:val="16"/>
              </w:rPr>
              <w:t>-</w:t>
            </w:r>
          </w:p>
        </w:tc>
      </w:tr>
      <w:tr w:rsidR="00862A01" w:rsidRPr="00872D7E" w14:paraId="7941DE19"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4A8A44A2" w14:textId="77777777" w:rsidR="00862A01" w:rsidRPr="00872D7E" w:rsidRDefault="00862A01" w:rsidP="00862A01">
            <w:pPr>
              <w:rPr>
                <w:b/>
                <w:bCs/>
                <w:sz w:val="16"/>
                <w:szCs w:val="16"/>
              </w:rPr>
            </w:pPr>
            <w:r w:rsidRPr="00872D7E">
              <w:rPr>
                <w:b/>
                <w:bCs/>
                <w:sz w:val="16"/>
                <w:szCs w:val="16"/>
              </w:rPr>
              <w:t>VIII. Katılma Hesapları Diğer-YP</w:t>
            </w:r>
          </w:p>
        </w:tc>
        <w:tc>
          <w:tcPr>
            <w:tcW w:w="523" w:type="pct"/>
            <w:tcBorders>
              <w:top w:val="nil"/>
              <w:left w:val="nil"/>
              <w:bottom w:val="nil"/>
              <w:right w:val="nil"/>
            </w:tcBorders>
            <w:shd w:val="clear" w:color="auto" w:fill="auto"/>
            <w:vAlign w:val="bottom"/>
            <w:hideMark/>
          </w:tcPr>
          <w:p w14:paraId="3577DC2F"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5246CF0A" w14:textId="77777777" w:rsidR="00862A01" w:rsidRPr="00872D7E" w:rsidRDefault="00862A01" w:rsidP="00862A01">
            <w:pPr>
              <w:jc w:val="right"/>
              <w:rPr>
                <w:b/>
                <w:bCs/>
                <w:sz w:val="16"/>
                <w:szCs w:val="16"/>
              </w:rPr>
            </w:pPr>
            <w:r w:rsidRPr="00872D7E">
              <w:rPr>
                <w:b/>
                <w:bCs/>
                <w:sz w:val="16"/>
                <w:szCs w:val="16"/>
              </w:rPr>
              <w:t>2.298.163</w:t>
            </w:r>
          </w:p>
        </w:tc>
        <w:tc>
          <w:tcPr>
            <w:tcW w:w="411" w:type="pct"/>
            <w:tcBorders>
              <w:top w:val="nil"/>
              <w:left w:val="nil"/>
              <w:bottom w:val="nil"/>
              <w:right w:val="nil"/>
            </w:tcBorders>
            <w:shd w:val="clear" w:color="auto" w:fill="auto"/>
            <w:vAlign w:val="bottom"/>
            <w:hideMark/>
          </w:tcPr>
          <w:p w14:paraId="018195EB" w14:textId="77777777" w:rsidR="00862A01" w:rsidRPr="00872D7E" w:rsidRDefault="00862A01" w:rsidP="00862A01">
            <w:pPr>
              <w:jc w:val="right"/>
              <w:rPr>
                <w:b/>
                <w:bCs/>
                <w:sz w:val="16"/>
                <w:szCs w:val="16"/>
              </w:rPr>
            </w:pPr>
            <w:r w:rsidRPr="00872D7E">
              <w:rPr>
                <w:b/>
                <w:bCs/>
                <w:sz w:val="16"/>
                <w:szCs w:val="16"/>
              </w:rPr>
              <w:t>2.997.850</w:t>
            </w:r>
          </w:p>
        </w:tc>
        <w:tc>
          <w:tcPr>
            <w:tcW w:w="411" w:type="pct"/>
            <w:tcBorders>
              <w:top w:val="nil"/>
              <w:left w:val="nil"/>
              <w:bottom w:val="nil"/>
              <w:right w:val="nil"/>
            </w:tcBorders>
            <w:shd w:val="clear" w:color="auto" w:fill="auto"/>
            <w:vAlign w:val="bottom"/>
            <w:hideMark/>
          </w:tcPr>
          <w:p w14:paraId="6360FF55" w14:textId="77777777" w:rsidR="00862A01" w:rsidRPr="00872D7E" w:rsidRDefault="00862A01" w:rsidP="00862A01">
            <w:pPr>
              <w:jc w:val="right"/>
              <w:rPr>
                <w:b/>
                <w:bCs/>
                <w:sz w:val="16"/>
                <w:szCs w:val="16"/>
              </w:rPr>
            </w:pPr>
            <w:r w:rsidRPr="00872D7E">
              <w:rPr>
                <w:b/>
                <w:bCs/>
                <w:sz w:val="16"/>
                <w:szCs w:val="16"/>
              </w:rPr>
              <w:t>1.169.771</w:t>
            </w:r>
          </w:p>
        </w:tc>
        <w:tc>
          <w:tcPr>
            <w:tcW w:w="374" w:type="pct"/>
            <w:tcBorders>
              <w:top w:val="nil"/>
              <w:left w:val="nil"/>
              <w:bottom w:val="nil"/>
              <w:right w:val="nil"/>
            </w:tcBorders>
            <w:shd w:val="clear" w:color="auto" w:fill="auto"/>
            <w:vAlign w:val="bottom"/>
            <w:hideMark/>
          </w:tcPr>
          <w:p w14:paraId="1B304B1B"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26BE06FA" w14:textId="77777777" w:rsidR="00862A01" w:rsidRPr="00872D7E" w:rsidRDefault="00862A01" w:rsidP="00862A01">
            <w:pPr>
              <w:jc w:val="right"/>
              <w:rPr>
                <w:b/>
                <w:bCs/>
                <w:sz w:val="16"/>
                <w:szCs w:val="16"/>
              </w:rPr>
            </w:pPr>
            <w:r w:rsidRPr="00872D7E">
              <w:rPr>
                <w:b/>
                <w:bCs/>
                <w:sz w:val="16"/>
                <w:szCs w:val="16"/>
              </w:rPr>
              <w:t>125.633</w:t>
            </w:r>
          </w:p>
        </w:tc>
        <w:tc>
          <w:tcPr>
            <w:tcW w:w="448" w:type="pct"/>
            <w:tcBorders>
              <w:top w:val="nil"/>
              <w:left w:val="nil"/>
              <w:bottom w:val="nil"/>
              <w:right w:val="nil"/>
            </w:tcBorders>
            <w:shd w:val="clear" w:color="auto" w:fill="auto"/>
            <w:vAlign w:val="bottom"/>
            <w:hideMark/>
          </w:tcPr>
          <w:p w14:paraId="631E7930" w14:textId="77777777" w:rsidR="00862A01" w:rsidRPr="00872D7E" w:rsidRDefault="00862A01" w:rsidP="00862A01">
            <w:pPr>
              <w:jc w:val="right"/>
              <w:rPr>
                <w:b/>
                <w:bCs/>
                <w:sz w:val="16"/>
                <w:szCs w:val="16"/>
              </w:rPr>
            </w:pPr>
            <w:r w:rsidRPr="00872D7E">
              <w:rPr>
                <w:b/>
                <w:bCs/>
                <w:sz w:val="16"/>
                <w:szCs w:val="16"/>
              </w:rPr>
              <w:t>706.416</w:t>
            </w:r>
          </w:p>
        </w:tc>
        <w:tc>
          <w:tcPr>
            <w:tcW w:w="402" w:type="pct"/>
            <w:tcBorders>
              <w:top w:val="nil"/>
              <w:left w:val="nil"/>
              <w:bottom w:val="nil"/>
              <w:right w:val="nil"/>
            </w:tcBorders>
            <w:shd w:val="clear" w:color="auto" w:fill="auto"/>
            <w:vAlign w:val="bottom"/>
            <w:hideMark/>
          </w:tcPr>
          <w:p w14:paraId="231C1482"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074B928D" w14:textId="77777777" w:rsidR="00862A01" w:rsidRPr="00872D7E" w:rsidRDefault="00862A01" w:rsidP="00862A01">
            <w:pPr>
              <w:jc w:val="right"/>
              <w:rPr>
                <w:b/>
                <w:bCs/>
                <w:sz w:val="16"/>
                <w:szCs w:val="16"/>
              </w:rPr>
            </w:pPr>
            <w:r w:rsidRPr="00872D7E">
              <w:rPr>
                <w:b/>
                <w:bCs/>
                <w:sz w:val="16"/>
                <w:szCs w:val="16"/>
              </w:rPr>
              <w:t>7.297.833</w:t>
            </w:r>
          </w:p>
        </w:tc>
      </w:tr>
      <w:tr w:rsidR="00862A01" w:rsidRPr="00872D7E" w14:paraId="25BD5931"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6EF24BBB" w14:textId="77777777" w:rsidR="00862A01" w:rsidRPr="00872D7E" w:rsidRDefault="00862A01" w:rsidP="00862A01">
            <w:pPr>
              <w:rPr>
                <w:sz w:val="16"/>
                <w:szCs w:val="16"/>
              </w:rPr>
            </w:pPr>
            <w:r w:rsidRPr="00872D7E">
              <w:rPr>
                <w:sz w:val="16"/>
                <w:szCs w:val="16"/>
              </w:rPr>
              <w:t>Resmi Kuruluşlar</w:t>
            </w:r>
          </w:p>
        </w:tc>
        <w:tc>
          <w:tcPr>
            <w:tcW w:w="523" w:type="pct"/>
            <w:tcBorders>
              <w:top w:val="nil"/>
              <w:left w:val="nil"/>
              <w:bottom w:val="nil"/>
              <w:right w:val="nil"/>
            </w:tcBorders>
            <w:shd w:val="clear" w:color="auto" w:fill="auto"/>
            <w:vAlign w:val="bottom"/>
            <w:hideMark/>
          </w:tcPr>
          <w:p w14:paraId="60503F71"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19EAB4B"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3F1E1C89"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13987C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71A40E6"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65387119"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4157C49B"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5F1E3B7C"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25DCE156" w14:textId="77777777" w:rsidR="00862A01" w:rsidRPr="00872D7E" w:rsidRDefault="00862A01" w:rsidP="00862A01">
            <w:pPr>
              <w:jc w:val="right"/>
              <w:rPr>
                <w:sz w:val="16"/>
                <w:szCs w:val="16"/>
              </w:rPr>
            </w:pPr>
            <w:r w:rsidRPr="00872D7E">
              <w:rPr>
                <w:sz w:val="16"/>
                <w:szCs w:val="16"/>
              </w:rPr>
              <w:t>-</w:t>
            </w:r>
          </w:p>
        </w:tc>
      </w:tr>
      <w:tr w:rsidR="00862A01" w:rsidRPr="00872D7E" w14:paraId="60F7A0E7"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6C136213" w14:textId="77777777" w:rsidR="00862A01" w:rsidRPr="00872D7E" w:rsidRDefault="00862A01" w:rsidP="00862A01">
            <w:pPr>
              <w:rPr>
                <w:sz w:val="16"/>
                <w:szCs w:val="16"/>
              </w:rPr>
            </w:pPr>
            <w:r w:rsidRPr="00872D7E">
              <w:rPr>
                <w:sz w:val="16"/>
                <w:szCs w:val="16"/>
              </w:rPr>
              <w:t>Ticari Kuruluşlar</w:t>
            </w:r>
          </w:p>
        </w:tc>
        <w:tc>
          <w:tcPr>
            <w:tcW w:w="523" w:type="pct"/>
            <w:tcBorders>
              <w:top w:val="nil"/>
              <w:left w:val="nil"/>
              <w:bottom w:val="nil"/>
              <w:right w:val="nil"/>
            </w:tcBorders>
            <w:shd w:val="clear" w:color="auto" w:fill="auto"/>
            <w:vAlign w:val="bottom"/>
            <w:hideMark/>
          </w:tcPr>
          <w:p w14:paraId="3EA6525D"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DB27D26" w14:textId="77777777" w:rsidR="00862A01" w:rsidRPr="00872D7E" w:rsidRDefault="00862A01" w:rsidP="00862A01">
            <w:pPr>
              <w:jc w:val="right"/>
              <w:rPr>
                <w:sz w:val="16"/>
                <w:szCs w:val="16"/>
              </w:rPr>
            </w:pPr>
            <w:r w:rsidRPr="00872D7E">
              <w:rPr>
                <w:sz w:val="16"/>
                <w:szCs w:val="16"/>
              </w:rPr>
              <w:t>2.297.437</w:t>
            </w:r>
          </w:p>
        </w:tc>
        <w:tc>
          <w:tcPr>
            <w:tcW w:w="411" w:type="pct"/>
            <w:tcBorders>
              <w:top w:val="nil"/>
              <w:left w:val="nil"/>
              <w:bottom w:val="nil"/>
              <w:right w:val="nil"/>
            </w:tcBorders>
            <w:shd w:val="clear" w:color="auto" w:fill="auto"/>
            <w:vAlign w:val="bottom"/>
            <w:hideMark/>
          </w:tcPr>
          <w:p w14:paraId="1377D999" w14:textId="77777777" w:rsidR="00862A01" w:rsidRPr="00872D7E" w:rsidRDefault="00862A01" w:rsidP="00862A01">
            <w:pPr>
              <w:jc w:val="right"/>
              <w:rPr>
                <w:sz w:val="16"/>
                <w:szCs w:val="16"/>
              </w:rPr>
            </w:pPr>
            <w:r w:rsidRPr="00872D7E">
              <w:rPr>
                <w:sz w:val="16"/>
                <w:szCs w:val="16"/>
              </w:rPr>
              <w:t>2.750.908</w:t>
            </w:r>
          </w:p>
        </w:tc>
        <w:tc>
          <w:tcPr>
            <w:tcW w:w="411" w:type="pct"/>
            <w:tcBorders>
              <w:top w:val="nil"/>
              <w:left w:val="nil"/>
              <w:bottom w:val="nil"/>
              <w:right w:val="nil"/>
            </w:tcBorders>
            <w:shd w:val="clear" w:color="auto" w:fill="auto"/>
            <w:vAlign w:val="bottom"/>
            <w:hideMark/>
          </w:tcPr>
          <w:p w14:paraId="77E37E4C" w14:textId="77777777" w:rsidR="00862A01" w:rsidRPr="00872D7E" w:rsidRDefault="00862A01" w:rsidP="00862A01">
            <w:pPr>
              <w:jc w:val="right"/>
              <w:rPr>
                <w:sz w:val="16"/>
                <w:szCs w:val="16"/>
              </w:rPr>
            </w:pPr>
            <w:r w:rsidRPr="00872D7E">
              <w:rPr>
                <w:sz w:val="16"/>
                <w:szCs w:val="16"/>
              </w:rPr>
              <w:t>1.165.613</w:t>
            </w:r>
          </w:p>
        </w:tc>
        <w:tc>
          <w:tcPr>
            <w:tcW w:w="374" w:type="pct"/>
            <w:tcBorders>
              <w:top w:val="nil"/>
              <w:left w:val="nil"/>
              <w:bottom w:val="nil"/>
              <w:right w:val="nil"/>
            </w:tcBorders>
            <w:shd w:val="clear" w:color="auto" w:fill="auto"/>
            <w:vAlign w:val="bottom"/>
            <w:hideMark/>
          </w:tcPr>
          <w:p w14:paraId="6D7120E5"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2807D1A0" w14:textId="77777777" w:rsidR="00862A01" w:rsidRPr="00872D7E" w:rsidRDefault="00862A01" w:rsidP="00862A01">
            <w:pPr>
              <w:jc w:val="right"/>
              <w:rPr>
                <w:sz w:val="16"/>
                <w:szCs w:val="16"/>
              </w:rPr>
            </w:pPr>
            <w:r w:rsidRPr="00872D7E">
              <w:rPr>
                <w:sz w:val="16"/>
                <w:szCs w:val="16"/>
              </w:rPr>
              <w:t>125.633</w:t>
            </w:r>
          </w:p>
        </w:tc>
        <w:tc>
          <w:tcPr>
            <w:tcW w:w="448" w:type="pct"/>
            <w:tcBorders>
              <w:top w:val="nil"/>
              <w:left w:val="nil"/>
              <w:bottom w:val="nil"/>
              <w:right w:val="nil"/>
            </w:tcBorders>
            <w:shd w:val="clear" w:color="auto" w:fill="auto"/>
            <w:vAlign w:val="bottom"/>
            <w:hideMark/>
          </w:tcPr>
          <w:p w14:paraId="4F01B846" w14:textId="77777777" w:rsidR="00862A01" w:rsidRPr="00872D7E" w:rsidRDefault="00862A01" w:rsidP="00862A01">
            <w:pPr>
              <w:jc w:val="right"/>
              <w:rPr>
                <w:sz w:val="16"/>
                <w:szCs w:val="16"/>
              </w:rPr>
            </w:pPr>
            <w:r w:rsidRPr="00872D7E">
              <w:rPr>
                <w:sz w:val="16"/>
                <w:szCs w:val="16"/>
              </w:rPr>
              <w:t>706.416</w:t>
            </w:r>
          </w:p>
        </w:tc>
        <w:tc>
          <w:tcPr>
            <w:tcW w:w="402" w:type="pct"/>
            <w:tcBorders>
              <w:top w:val="nil"/>
              <w:left w:val="nil"/>
              <w:bottom w:val="nil"/>
              <w:right w:val="nil"/>
            </w:tcBorders>
            <w:shd w:val="clear" w:color="auto" w:fill="auto"/>
            <w:vAlign w:val="bottom"/>
            <w:hideMark/>
          </w:tcPr>
          <w:p w14:paraId="10072468"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7D0C6E7D" w14:textId="77777777" w:rsidR="00862A01" w:rsidRPr="00872D7E" w:rsidRDefault="00862A01" w:rsidP="00862A01">
            <w:pPr>
              <w:jc w:val="right"/>
              <w:rPr>
                <w:sz w:val="16"/>
                <w:szCs w:val="16"/>
              </w:rPr>
            </w:pPr>
            <w:r w:rsidRPr="00872D7E">
              <w:rPr>
                <w:sz w:val="16"/>
                <w:szCs w:val="16"/>
              </w:rPr>
              <w:t>7.046.007</w:t>
            </w:r>
          </w:p>
        </w:tc>
      </w:tr>
      <w:tr w:rsidR="00862A01" w:rsidRPr="00872D7E" w14:paraId="1287A02A"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6E4A28D" w14:textId="77777777" w:rsidR="00862A01" w:rsidRPr="00872D7E" w:rsidRDefault="00862A01" w:rsidP="00862A01">
            <w:pPr>
              <w:rPr>
                <w:sz w:val="16"/>
                <w:szCs w:val="16"/>
              </w:rPr>
            </w:pPr>
            <w:r w:rsidRPr="00872D7E">
              <w:rPr>
                <w:sz w:val="16"/>
                <w:szCs w:val="16"/>
              </w:rPr>
              <w:t>Diğer Kuruluşlar</w:t>
            </w:r>
          </w:p>
        </w:tc>
        <w:tc>
          <w:tcPr>
            <w:tcW w:w="523" w:type="pct"/>
            <w:tcBorders>
              <w:top w:val="nil"/>
              <w:left w:val="nil"/>
              <w:bottom w:val="nil"/>
              <w:right w:val="nil"/>
            </w:tcBorders>
            <w:shd w:val="clear" w:color="auto" w:fill="auto"/>
            <w:vAlign w:val="bottom"/>
            <w:hideMark/>
          </w:tcPr>
          <w:p w14:paraId="5C3CAC86"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EB37E74" w14:textId="77777777" w:rsidR="00862A01" w:rsidRPr="00872D7E" w:rsidRDefault="00862A01" w:rsidP="00862A01">
            <w:pPr>
              <w:jc w:val="right"/>
              <w:rPr>
                <w:sz w:val="16"/>
                <w:szCs w:val="16"/>
              </w:rPr>
            </w:pPr>
            <w:r w:rsidRPr="00872D7E">
              <w:rPr>
                <w:sz w:val="16"/>
                <w:szCs w:val="16"/>
              </w:rPr>
              <w:t>726</w:t>
            </w:r>
          </w:p>
        </w:tc>
        <w:tc>
          <w:tcPr>
            <w:tcW w:w="411" w:type="pct"/>
            <w:tcBorders>
              <w:top w:val="nil"/>
              <w:left w:val="nil"/>
              <w:bottom w:val="nil"/>
              <w:right w:val="nil"/>
            </w:tcBorders>
            <w:shd w:val="clear" w:color="auto" w:fill="auto"/>
            <w:vAlign w:val="bottom"/>
            <w:hideMark/>
          </w:tcPr>
          <w:p w14:paraId="6706DF96" w14:textId="77777777" w:rsidR="00862A01" w:rsidRPr="00872D7E" w:rsidRDefault="00862A01" w:rsidP="00862A01">
            <w:pPr>
              <w:jc w:val="right"/>
              <w:rPr>
                <w:sz w:val="16"/>
                <w:szCs w:val="16"/>
              </w:rPr>
            </w:pPr>
            <w:r w:rsidRPr="00872D7E">
              <w:rPr>
                <w:sz w:val="16"/>
                <w:szCs w:val="16"/>
              </w:rPr>
              <w:t>246.942</w:t>
            </w:r>
          </w:p>
        </w:tc>
        <w:tc>
          <w:tcPr>
            <w:tcW w:w="411" w:type="pct"/>
            <w:tcBorders>
              <w:top w:val="nil"/>
              <w:left w:val="nil"/>
              <w:bottom w:val="nil"/>
              <w:right w:val="nil"/>
            </w:tcBorders>
            <w:shd w:val="clear" w:color="auto" w:fill="auto"/>
            <w:vAlign w:val="bottom"/>
            <w:hideMark/>
          </w:tcPr>
          <w:p w14:paraId="0DBC6738" w14:textId="77777777" w:rsidR="00862A01" w:rsidRPr="00872D7E" w:rsidRDefault="00862A01" w:rsidP="00862A01">
            <w:pPr>
              <w:jc w:val="right"/>
              <w:rPr>
                <w:sz w:val="16"/>
                <w:szCs w:val="16"/>
              </w:rPr>
            </w:pPr>
            <w:r w:rsidRPr="00872D7E">
              <w:rPr>
                <w:sz w:val="16"/>
                <w:szCs w:val="16"/>
              </w:rPr>
              <w:t>4.158</w:t>
            </w:r>
          </w:p>
        </w:tc>
        <w:tc>
          <w:tcPr>
            <w:tcW w:w="374" w:type="pct"/>
            <w:tcBorders>
              <w:top w:val="nil"/>
              <w:left w:val="nil"/>
              <w:bottom w:val="nil"/>
              <w:right w:val="nil"/>
            </w:tcBorders>
            <w:shd w:val="clear" w:color="auto" w:fill="auto"/>
            <w:vAlign w:val="bottom"/>
            <w:hideMark/>
          </w:tcPr>
          <w:p w14:paraId="0FD08E23"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4EE9906F"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7156C33E"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288D2852"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4A50A2F0" w14:textId="77777777" w:rsidR="00862A01" w:rsidRPr="00872D7E" w:rsidRDefault="00862A01" w:rsidP="00862A01">
            <w:pPr>
              <w:jc w:val="right"/>
              <w:rPr>
                <w:sz w:val="16"/>
                <w:szCs w:val="16"/>
              </w:rPr>
            </w:pPr>
            <w:r w:rsidRPr="00872D7E">
              <w:rPr>
                <w:sz w:val="16"/>
                <w:szCs w:val="16"/>
              </w:rPr>
              <w:t>251.826</w:t>
            </w:r>
          </w:p>
        </w:tc>
      </w:tr>
      <w:tr w:rsidR="00862A01" w:rsidRPr="00872D7E" w14:paraId="62C2A18F"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78182FF7" w14:textId="77777777" w:rsidR="00862A01" w:rsidRPr="00872D7E" w:rsidRDefault="00862A01" w:rsidP="00862A01">
            <w:pPr>
              <w:rPr>
                <w:sz w:val="16"/>
                <w:szCs w:val="16"/>
              </w:rPr>
            </w:pPr>
            <w:r w:rsidRPr="00872D7E">
              <w:rPr>
                <w:sz w:val="16"/>
                <w:szCs w:val="16"/>
              </w:rPr>
              <w:t xml:space="preserve">Ticari ve </w:t>
            </w:r>
            <w:proofErr w:type="gramStart"/>
            <w:r w:rsidRPr="00872D7E">
              <w:rPr>
                <w:sz w:val="16"/>
                <w:szCs w:val="16"/>
              </w:rPr>
              <w:t>Diğer</w:t>
            </w:r>
            <w:proofErr w:type="gramEnd"/>
            <w:r w:rsidRPr="00872D7E">
              <w:rPr>
                <w:sz w:val="16"/>
                <w:szCs w:val="16"/>
              </w:rPr>
              <w:t xml:space="preserve"> Kur.</w:t>
            </w:r>
          </w:p>
        </w:tc>
        <w:tc>
          <w:tcPr>
            <w:tcW w:w="523" w:type="pct"/>
            <w:tcBorders>
              <w:top w:val="nil"/>
              <w:left w:val="nil"/>
              <w:bottom w:val="nil"/>
              <w:right w:val="nil"/>
            </w:tcBorders>
            <w:shd w:val="clear" w:color="auto" w:fill="auto"/>
            <w:vAlign w:val="bottom"/>
            <w:hideMark/>
          </w:tcPr>
          <w:p w14:paraId="52F50639"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CFC9D57"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22CC3E9"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A64890E"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DEA9588"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5B776C21"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0F7C1338"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25FA0E08"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04F915B6" w14:textId="77777777" w:rsidR="00862A01" w:rsidRPr="00872D7E" w:rsidRDefault="00862A01" w:rsidP="00862A01">
            <w:pPr>
              <w:jc w:val="right"/>
              <w:rPr>
                <w:sz w:val="16"/>
                <w:szCs w:val="16"/>
              </w:rPr>
            </w:pPr>
            <w:r w:rsidRPr="00872D7E">
              <w:rPr>
                <w:sz w:val="16"/>
                <w:szCs w:val="16"/>
              </w:rPr>
              <w:t>-</w:t>
            </w:r>
          </w:p>
        </w:tc>
      </w:tr>
      <w:tr w:rsidR="00862A01" w:rsidRPr="00872D7E" w14:paraId="10EED4A4"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5FBCDEDD" w14:textId="77777777" w:rsidR="00862A01" w:rsidRPr="00872D7E" w:rsidRDefault="00862A01" w:rsidP="00862A01">
            <w:pPr>
              <w:rPr>
                <w:sz w:val="16"/>
                <w:szCs w:val="16"/>
              </w:rPr>
            </w:pPr>
            <w:r w:rsidRPr="00872D7E">
              <w:rPr>
                <w:sz w:val="16"/>
                <w:szCs w:val="16"/>
              </w:rPr>
              <w:t>Bankalar ve Katılım Bankaları</w:t>
            </w:r>
          </w:p>
        </w:tc>
        <w:tc>
          <w:tcPr>
            <w:tcW w:w="523" w:type="pct"/>
            <w:tcBorders>
              <w:top w:val="nil"/>
              <w:left w:val="nil"/>
              <w:bottom w:val="nil"/>
              <w:right w:val="nil"/>
            </w:tcBorders>
            <w:shd w:val="clear" w:color="auto" w:fill="auto"/>
            <w:vAlign w:val="bottom"/>
            <w:hideMark/>
          </w:tcPr>
          <w:p w14:paraId="6BBE9E0C"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AC2236E"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4D5EA2F"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D85E1E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437D959"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6D99E5EC"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44169096"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30B59C17"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4231F0C7" w14:textId="77777777" w:rsidR="00862A01" w:rsidRPr="00872D7E" w:rsidRDefault="00862A01" w:rsidP="00862A01">
            <w:pPr>
              <w:jc w:val="right"/>
              <w:rPr>
                <w:sz w:val="16"/>
                <w:szCs w:val="16"/>
              </w:rPr>
            </w:pPr>
            <w:r w:rsidRPr="00872D7E">
              <w:rPr>
                <w:sz w:val="16"/>
                <w:szCs w:val="16"/>
              </w:rPr>
              <w:t>-</w:t>
            </w:r>
          </w:p>
        </w:tc>
      </w:tr>
      <w:tr w:rsidR="00862A01" w:rsidRPr="00872D7E" w14:paraId="1A4D1DE9"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356062F5" w14:textId="77777777" w:rsidR="00862A01" w:rsidRPr="00872D7E" w:rsidRDefault="00862A01" w:rsidP="00862A01">
            <w:pPr>
              <w:rPr>
                <w:b/>
                <w:bCs/>
                <w:sz w:val="16"/>
                <w:szCs w:val="16"/>
              </w:rPr>
            </w:pPr>
            <w:proofErr w:type="spellStart"/>
            <w:r w:rsidRPr="00872D7E">
              <w:rPr>
                <w:b/>
                <w:bCs/>
                <w:sz w:val="16"/>
                <w:szCs w:val="16"/>
              </w:rPr>
              <w:t>IX.Kıymetli</w:t>
            </w:r>
            <w:proofErr w:type="spellEnd"/>
            <w:r w:rsidRPr="00872D7E">
              <w:rPr>
                <w:b/>
                <w:bCs/>
                <w:sz w:val="16"/>
                <w:szCs w:val="16"/>
              </w:rPr>
              <w:t xml:space="preserve"> Maden DH</w:t>
            </w:r>
          </w:p>
        </w:tc>
        <w:tc>
          <w:tcPr>
            <w:tcW w:w="523" w:type="pct"/>
            <w:tcBorders>
              <w:top w:val="nil"/>
              <w:left w:val="nil"/>
              <w:bottom w:val="nil"/>
              <w:right w:val="nil"/>
            </w:tcBorders>
            <w:shd w:val="clear" w:color="auto" w:fill="auto"/>
            <w:vAlign w:val="bottom"/>
            <w:hideMark/>
          </w:tcPr>
          <w:p w14:paraId="4DC12081" w14:textId="77777777" w:rsidR="00862A01" w:rsidRPr="00872D7E" w:rsidRDefault="00862A01" w:rsidP="00862A01">
            <w:pPr>
              <w:jc w:val="right"/>
              <w:rPr>
                <w:b/>
                <w:bCs/>
                <w:sz w:val="16"/>
                <w:szCs w:val="16"/>
              </w:rPr>
            </w:pPr>
            <w:r w:rsidRPr="00872D7E">
              <w:rPr>
                <w:b/>
                <w:bCs/>
                <w:sz w:val="16"/>
                <w:szCs w:val="16"/>
              </w:rPr>
              <w:t>952.083</w:t>
            </w:r>
          </w:p>
        </w:tc>
        <w:tc>
          <w:tcPr>
            <w:tcW w:w="411" w:type="pct"/>
            <w:tcBorders>
              <w:top w:val="nil"/>
              <w:left w:val="nil"/>
              <w:bottom w:val="nil"/>
              <w:right w:val="nil"/>
            </w:tcBorders>
            <w:shd w:val="clear" w:color="auto" w:fill="auto"/>
            <w:vAlign w:val="bottom"/>
            <w:hideMark/>
          </w:tcPr>
          <w:p w14:paraId="0508C3FE" w14:textId="77777777" w:rsidR="00862A01" w:rsidRPr="00872D7E" w:rsidRDefault="00862A01" w:rsidP="00862A01">
            <w:pPr>
              <w:jc w:val="right"/>
              <w:rPr>
                <w:b/>
                <w:bCs/>
                <w:sz w:val="16"/>
                <w:szCs w:val="16"/>
              </w:rPr>
            </w:pPr>
            <w:r w:rsidRPr="00872D7E">
              <w:rPr>
                <w:b/>
                <w:bCs/>
                <w:sz w:val="16"/>
                <w:szCs w:val="16"/>
              </w:rPr>
              <w:t>1.549</w:t>
            </w:r>
          </w:p>
        </w:tc>
        <w:tc>
          <w:tcPr>
            <w:tcW w:w="411" w:type="pct"/>
            <w:tcBorders>
              <w:top w:val="nil"/>
              <w:left w:val="nil"/>
              <w:bottom w:val="nil"/>
              <w:right w:val="nil"/>
            </w:tcBorders>
            <w:shd w:val="clear" w:color="auto" w:fill="auto"/>
            <w:vAlign w:val="bottom"/>
            <w:hideMark/>
          </w:tcPr>
          <w:p w14:paraId="3C53938E" w14:textId="77777777" w:rsidR="00862A01" w:rsidRPr="00872D7E" w:rsidRDefault="00862A01" w:rsidP="00862A01">
            <w:pPr>
              <w:jc w:val="right"/>
              <w:rPr>
                <w:b/>
                <w:bCs/>
                <w:sz w:val="16"/>
                <w:szCs w:val="16"/>
              </w:rPr>
            </w:pPr>
            <w:r w:rsidRPr="00872D7E">
              <w:rPr>
                <w:b/>
                <w:bCs/>
                <w:sz w:val="16"/>
                <w:szCs w:val="16"/>
              </w:rPr>
              <w:t>354.787</w:t>
            </w:r>
          </w:p>
        </w:tc>
        <w:tc>
          <w:tcPr>
            <w:tcW w:w="411" w:type="pct"/>
            <w:tcBorders>
              <w:top w:val="nil"/>
              <w:left w:val="nil"/>
              <w:bottom w:val="nil"/>
              <w:right w:val="nil"/>
            </w:tcBorders>
            <w:shd w:val="clear" w:color="auto" w:fill="auto"/>
            <w:vAlign w:val="bottom"/>
            <w:hideMark/>
          </w:tcPr>
          <w:p w14:paraId="6D5095D6" w14:textId="77777777" w:rsidR="00862A01" w:rsidRPr="00872D7E" w:rsidRDefault="00862A01" w:rsidP="00862A01">
            <w:pPr>
              <w:jc w:val="right"/>
              <w:rPr>
                <w:b/>
                <w:bCs/>
                <w:sz w:val="16"/>
                <w:szCs w:val="16"/>
              </w:rPr>
            </w:pPr>
            <w:r w:rsidRPr="00872D7E">
              <w:rPr>
                <w:b/>
                <w:bCs/>
                <w:sz w:val="16"/>
                <w:szCs w:val="16"/>
              </w:rPr>
              <w:t>307.405</w:t>
            </w:r>
          </w:p>
        </w:tc>
        <w:tc>
          <w:tcPr>
            <w:tcW w:w="374" w:type="pct"/>
            <w:tcBorders>
              <w:top w:val="nil"/>
              <w:left w:val="nil"/>
              <w:bottom w:val="nil"/>
              <w:right w:val="nil"/>
            </w:tcBorders>
            <w:shd w:val="clear" w:color="auto" w:fill="auto"/>
            <w:vAlign w:val="bottom"/>
            <w:hideMark/>
          </w:tcPr>
          <w:p w14:paraId="4791181F"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24572DF6" w14:textId="77777777" w:rsidR="00862A01" w:rsidRPr="00872D7E" w:rsidRDefault="00862A01" w:rsidP="00862A01">
            <w:pPr>
              <w:jc w:val="right"/>
              <w:rPr>
                <w:b/>
                <w:bCs/>
                <w:sz w:val="16"/>
                <w:szCs w:val="16"/>
              </w:rPr>
            </w:pPr>
            <w:r w:rsidRPr="00872D7E">
              <w:rPr>
                <w:b/>
                <w:bCs/>
                <w:sz w:val="16"/>
                <w:szCs w:val="16"/>
              </w:rPr>
              <w:t>11.783</w:t>
            </w:r>
          </w:p>
        </w:tc>
        <w:tc>
          <w:tcPr>
            <w:tcW w:w="448" w:type="pct"/>
            <w:tcBorders>
              <w:top w:val="nil"/>
              <w:left w:val="nil"/>
              <w:bottom w:val="nil"/>
              <w:right w:val="nil"/>
            </w:tcBorders>
            <w:shd w:val="clear" w:color="auto" w:fill="auto"/>
            <w:vAlign w:val="bottom"/>
            <w:hideMark/>
          </w:tcPr>
          <w:p w14:paraId="3F8B01E5" w14:textId="77777777" w:rsidR="00862A01" w:rsidRPr="00872D7E" w:rsidRDefault="00862A01" w:rsidP="00862A01">
            <w:pPr>
              <w:jc w:val="right"/>
              <w:rPr>
                <w:b/>
                <w:bCs/>
                <w:sz w:val="16"/>
                <w:szCs w:val="16"/>
              </w:rPr>
            </w:pPr>
            <w:r w:rsidRPr="00872D7E">
              <w:rPr>
                <w:b/>
                <w:bCs/>
                <w:sz w:val="16"/>
                <w:szCs w:val="16"/>
              </w:rPr>
              <w:t>2.428</w:t>
            </w:r>
          </w:p>
        </w:tc>
        <w:tc>
          <w:tcPr>
            <w:tcW w:w="402" w:type="pct"/>
            <w:tcBorders>
              <w:top w:val="nil"/>
              <w:left w:val="nil"/>
              <w:bottom w:val="nil"/>
              <w:right w:val="nil"/>
            </w:tcBorders>
            <w:shd w:val="clear" w:color="auto" w:fill="auto"/>
            <w:vAlign w:val="bottom"/>
            <w:hideMark/>
          </w:tcPr>
          <w:p w14:paraId="52D48BA0"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3EFD665F" w14:textId="77777777" w:rsidR="00862A01" w:rsidRPr="00872D7E" w:rsidRDefault="00862A01" w:rsidP="00862A01">
            <w:pPr>
              <w:jc w:val="right"/>
              <w:rPr>
                <w:b/>
                <w:bCs/>
                <w:sz w:val="16"/>
                <w:szCs w:val="16"/>
              </w:rPr>
            </w:pPr>
            <w:r w:rsidRPr="00872D7E">
              <w:rPr>
                <w:b/>
                <w:bCs/>
                <w:sz w:val="16"/>
                <w:szCs w:val="16"/>
              </w:rPr>
              <w:t>1.630.035</w:t>
            </w:r>
          </w:p>
        </w:tc>
      </w:tr>
      <w:tr w:rsidR="00862A01" w:rsidRPr="00872D7E" w14:paraId="24335113"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1B812D7E" w14:textId="77777777" w:rsidR="00862A01" w:rsidRPr="00872D7E" w:rsidRDefault="00862A01" w:rsidP="00862A01">
            <w:pPr>
              <w:rPr>
                <w:b/>
                <w:bCs/>
                <w:sz w:val="16"/>
                <w:szCs w:val="16"/>
              </w:rPr>
            </w:pPr>
            <w:r w:rsidRPr="00872D7E">
              <w:rPr>
                <w:b/>
                <w:bCs/>
                <w:sz w:val="16"/>
                <w:szCs w:val="16"/>
              </w:rPr>
              <w:t>X. Katılma Hesapları Özel Fon Havuzları-TP</w:t>
            </w:r>
          </w:p>
        </w:tc>
        <w:tc>
          <w:tcPr>
            <w:tcW w:w="523" w:type="pct"/>
            <w:tcBorders>
              <w:top w:val="nil"/>
              <w:left w:val="nil"/>
              <w:bottom w:val="nil"/>
              <w:right w:val="nil"/>
            </w:tcBorders>
            <w:shd w:val="clear" w:color="auto" w:fill="auto"/>
            <w:vAlign w:val="bottom"/>
            <w:hideMark/>
          </w:tcPr>
          <w:p w14:paraId="45BAF6F1"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30A04FEC"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1126D872"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1A4A3A60"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2CAE27C1"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3037D767" w14:textId="77777777" w:rsidR="00862A01" w:rsidRPr="00872D7E" w:rsidRDefault="00862A01" w:rsidP="00862A01">
            <w:pPr>
              <w:jc w:val="right"/>
              <w:rPr>
                <w:b/>
                <w:bCs/>
                <w:sz w:val="16"/>
                <w:szCs w:val="16"/>
              </w:rPr>
            </w:pPr>
            <w:r w:rsidRPr="00872D7E">
              <w:rPr>
                <w:b/>
                <w:bCs/>
                <w:sz w:val="16"/>
                <w:szCs w:val="16"/>
              </w:rPr>
              <w:t>-</w:t>
            </w:r>
          </w:p>
        </w:tc>
        <w:tc>
          <w:tcPr>
            <w:tcW w:w="448" w:type="pct"/>
            <w:tcBorders>
              <w:top w:val="nil"/>
              <w:left w:val="nil"/>
              <w:bottom w:val="nil"/>
              <w:right w:val="nil"/>
            </w:tcBorders>
            <w:shd w:val="clear" w:color="auto" w:fill="auto"/>
            <w:vAlign w:val="bottom"/>
            <w:hideMark/>
          </w:tcPr>
          <w:p w14:paraId="694F5E69" w14:textId="77777777" w:rsidR="00862A01" w:rsidRPr="00872D7E" w:rsidRDefault="00862A01" w:rsidP="00862A01">
            <w:pPr>
              <w:jc w:val="right"/>
              <w:rPr>
                <w:b/>
                <w:bCs/>
                <w:sz w:val="16"/>
                <w:szCs w:val="16"/>
              </w:rPr>
            </w:pPr>
            <w:r w:rsidRPr="00872D7E">
              <w:rPr>
                <w:b/>
                <w:bCs/>
                <w:sz w:val="16"/>
                <w:szCs w:val="16"/>
              </w:rPr>
              <w:t>-</w:t>
            </w:r>
          </w:p>
        </w:tc>
        <w:tc>
          <w:tcPr>
            <w:tcW w:w="402" w:type="pct"/>
            <w:tcBorders>
              <w:top w:val="nil"/>
              <w:left w:val="nil"/>
              <w:bottom w:val="nil"/>
              <w:right w:val="nil"/>
            </w:tcBorders>
            <w:shd w:val="clear" w:color="auto" w:fill="auto"/>
            <w:vAlign w:val="bottom"/>
            <w:hideMark/>
          </w:tcPr>
          <w:p w14:paraId="24E5D3BD"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1FF8BB3A"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2CCD2847"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5FBA17CC" w14:textId="77777777" w:rsidR="00862A01" w:rsidRPr="00872D7E" w:rsidRDefault="00862A01" w:rsidP="00862A01">
            <w:pPr>
              <w:rPr>
                <w:sz w:val="16"/>
                <w:szCs w:val="16"/>
              </w:rPr>
            </w:pPr>
            <w:r w:rsidRPr="00872D7E">
              <w:rPr>
                <w:sz w:val="16"/>
                <w:szCs w:val="16"/>
              </w:rPr>
              <w:t>Yurtiçinde Yer. K.</w:t>
            </w:r>
          </w:p>
        </w:tc>
        <w:tc>
          <w:tcPr>
            <w:tcW w:w="523" w:type="pct"/>
            <w:tcBorders>
              <w:top w:val="nil"/>
              <w:left w:val="nil"/>
              <w:bottom w:val="nil"/>
              <w:right w:val="nil"/>
            </w:tcBorders>
            <w:shd w:val="clear" w:color="auto" w:fill="auto"/>
            <w:vAlign w:val="bottom"/>
            <w:hideMark/>
          </w:tcPr>
          <w:p w14:paraId="012FDB68"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400E6A5"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519D14D1"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234893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4806803"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4D22DF94"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4DE81C36"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5C8F2F96"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7C2183E0" w14:textId="77777777" w:rsidR="00862A01" w:rsidRPr="00872D7E" w:rsidRDefault="00862A01" w:rsidP="00862A01">
            <w:pPr>
              <w:jc w:val="right"/>
              <w:rPr>
                <w:sz w:val="16"/>
                <w:szCs w:val="16"/>
              </w:rPr>
            </w:pPr>
            <w:r w:rsidRPr="00872D7E">
              <w:rPr>
                <w:sz w:val="16"/>
                <w:szCs w:val="16"/>
              </w:rPr>
              <w:t>-</w:t>
            </w:r>
          </w:p>
        </w:tc>
      </w:tr>
      <w:tr w:rsidR="00862A01" w:rsidRPr="00872D7E" w14:paraId="0E502D68"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558F0807" w14:textId="77777777" w:rsidR="00862A01" w:rsidRPr="00872D7E" w:rsidRDefault="00862A01" w:rsidP="00862A01">
            <w:pPr>
              <w:rPr>
                <w:sz w:val="16"/>
                <w:szCs w:val="16"/>
              </w:rPr>
            </w:pPr>
            <w:r w:rsidRPr="00872D7E">
              <w:rPr>
                <w:sz w:val="16"/>
                <w:szCs w:val="16"/>
              </w:rPr>
              <w:t>Yurtdışında Yer. K.</w:t>
            </w:r>
          </w:p>
        </w:tc>
        <w:tc>
          <w:tcPr>
            <w:tcW w:w="523" w:type="pct"/>
            <w:tcBorders>
              <w:top w:val="nil"/>
              <w:left w:val="nil"/>
              <w:bottom w:val="nil"/>
              <w:right w:val="nil"/>
            </w:tcBorders>
            <w:shd w:val="clear" w:color="auto" w:fill="auto"/>
            <w:vAlign w:val="bottom"/>
            <w:hideMark/>
          </w:tcPr>
          <w:p w14:paraId="6B33E562"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40F3CF92"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646EEE53"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0EB9E1A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C11EAE2"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266C8A37"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2CFF169B"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5112FBBE"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60509425" w14:textId="77777777" w:rsidR="00862A01" w:rsidRPr="00872D7E" w:rsidRDefault="00862A01" w:rsidP="00862A01">
            <w:pPr>
              <w:jc w:val="right"/>
              <w:rPr>
                <w:sz w:val="16"/>
                <w:szCs w:val="16"/>
              </w:rPr>
            </w:pPr>
            <w:r w:rsidRPr="00872D7E">
              <w:rPr>
                <w:sz w:val="16"/>
                <w:szCs w:val="16"/>
              </w:rPr>
              <w:t>-</w:t>
            </w:r>
          </w:p>
        </w:tc>
      </w:tr>
      <w:tr w:rsidR="00862A01" w:rsidRPr="00872D7E" w14:paraId="5C832B68"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34EA99B7" w14:textId="77777777" w:rsidR="00862A01" w:rsidRPr="00872D7E" w:rsidRDefault="00862A01" w:rsidP="00862A01">
            <w:pPr>
              <w:rPr>
                <w:b/>
                <w:bCs/>
                <w:sz w:val="16"/>
                <w:szCs w:val="16"/>
              </w:rPr>
            </w:pPr>
            <w:r w:rsidRPr="00872D7E">
              <w:rPr>
                <w:rFonts w:eastAsia="Arial Unicode MS"/>
                <w:b/>
                <w:bCs/>
                <w:sz w:val="16"/>
                <w:szCs w:val="16"/>
              </w:rPr>
              <w:t>XI. Katılma Hesapları Özel Fon Havuzları-YP</w:t>
            </w:r>
          </w:p>
        </w:tc>
        <w:tc>
          <w:tcPr>
            <w:tcW w:w="523" w:type="pct"/>
            <w:tcBorders>
              <w:top w:val="nil"/>
              <w:left w:val="nil"/>
              <w:bottom w:val="nil"/>
              <w:right w:val="nil"/>
            </w:tcBorders>
            <w:shd w:val="clear" w:color="auto" w:fill="auto"/>
            <w:vAlign w:val="bottom"/>
            <w:hideMark/>
          </w:tcPr>
          <w:p w14:paraId="2717DE65"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59BB8528"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09F03FC7" w14:textId="77777777" w:rsidR="00862A01" w:rsidRPr="00872D7E" w:rsidRDefault="00862A01" w:rsidP="00862A01">
            <w:pPr>
              <w:jc w:val="right"/>
              <w:rPr>
                <w:b/>
                <w:bCs/>
                <w:sz w:val="16"/>
                <w:szCs w:val="16"/>
              </w:rPr>
            </w:pPr>
            <w:r w:rsidRPr="00872D7E">
              <w:rPr>
                <w:b/>
                <w:bCs/>
                <w:sz w:val="16"/>
                <w:szCs w:val="16"/>
              </w:rPr>
              <w:t>-</w:t>
            </w:r>
          </w:p>
        </w:tc>
        <w:tc>
          <w:tcPr>
            <w:tcW w:w="411" w:type="pct"/>
            <w:tcBorders>
              <w:top w:val="nil"/>
              <w:left w:val="nil"/>
              <w:bottom w:val="nil"/>
              <w:right w:val="nil"/>
            </w:tcBorders>
            <w:shd w:val="clear" w:color="auto" w:fill="auto"/>
            <w:vAlign w:val="bottom"/>
            <w:hideMark/>
          </w:tcPr>
          <w:p w14:paraId="60CB6C83"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770ED8C5"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0F9EEF16" w14:textId="77777777" w:rsidR="00862A01" w:rsidRPr="00872D7E" w:rsidRDefault="00862A01" w:rsidP="00862A01">
            <w:pPr>
              <w:jc w:val="right"/>
              <w:rPr>
                <w:b/>
                <w:bCs/>
                <w:sz w:val="16"/>
                <w:szCs w:val="16"/>
              </w:rPr>
            </w:pPr>
            <w:r w:rsidRPr="00872D7E">
              <w:rPr>
                <w:b/>
                <w:bCs/>
                <w:sz w:val="16"/>
                <w:szCs w:val="16"/>
              </w:rPr>
              <w:t>-</w:t>
            </w:r>
          </w:p>
        </w:tc>
        <w:tc>
          <w:tcPr>
            <w:tcW w:w="448" w:type="pct"/>
            <w:tcBorders>
              <w:top w:val="nil"/>
              <w:left w:val="nil"/>
              <w:bottom w:val="nil"/>
              <w:right w:val="nil"/>
            </w:tcBorders>
            <w:shd w:val="clear" w:color="auto" w:fill="auto"/>
            <w:vAlign w:val="bottom"/>
            <w:hideMark/>
          </w:tcPr>
          <w:p w14:paraId="5F46D9A9" w14:textId="77777777" w:rsidR="00862A01" w:rsidRPr="00872D7E" w:rsidRDefault="00862A01" w:rsidP="00862A01">
            <w:pPr>
              <w:jc w:val="right"/>
              <w:rPr>
                <w:b/>
                <w:bCs/>
                <w:sz w:val="16"/>
                <w:szCs w:val="16"/>
              </w:rPr>
            </w:pPr>
            <w:r w:rsidRPr="00872D7E">
              <w:rPr>
                <w:b/>
                <w:bCs/>
                <w:sz w:val="16"/>
                <w:szCs w:val="16"/>
              </w:rPr>
              <w:t>-</w:t>
            </w:r>
          </w:p>
        </w:tc>
        <w:tc>
          <w:tcPr>
            <w:tcW w:w="402" w:type="pct"/>
            <w:tcBorders>
              <w:top w:val="nil"/>
              <w:left w:val="nil"/>
              <w:bottom w:val="nil"/>
              <w:right w:val="nil"/>
            </w:tcBorders>
            <w:shd w:val="clear" w:color="auto" w:fill="auto"/>
            <w:vAlign w:val="bottom"/>
            <w:hideMark/>
          </w:tcPr>
          <w:p w14:paraId="3C190ADA"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nil"/>
              <w:right w:val="nil"/>
            </w:tcBorders>
            <w:shd w:val="clear" w:color="auto" w:fill="auto"/>
            <w:vAlign w:val="bottom"/>
            <w:hideMark/>
          </w:tcPr>
          <w:p w14:paraId="27C21A99"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149EEC5F" w14:textId="77777777" w:rsidTr="00020D5C">
        <w:trPr>
          <w:divId w:val="692997317"/>
          <w:trHeight w:val="113"/>
        </w:trPr>
        <w:tc>
          <w:tcPr>
            <w:tcW w:w="1193" w:type="pct"/>
            <w:tcBorders>
              <w:top w:val="nil"/>
              <w:left w:val="nil"/>
              <w:bottom w:val="nil"/>
              <w:right w:val="nil"/>
            </w:tcBorders>
            <w:shd w:val="clear" w:color="auto" w:fill="auto"/>
            <w:vAlign w:val="bottom"/>
            <w:hideMark/>
          </w:tcPr>
          <w:p w14:paraId="2F252E17" w14:textId="77777777" w:rsidR="00862A01" w:rsidRPr="00872D7E" w:rsidRDefault="00862A01" w:rsidP="00862A01">
            <w:pPr>
              <w:rPr>
                <w:sz w:val="16"/>
                <w:szCs w:val="16"/>
              </w:rPr>
            </w:pPr>
            <w:r w:rsidRPr="00872D7E">
              <w:rPr>
                <w:sz w:val="16"/>
                <w:szCs w:val="16"/>
              </w:rPr>
              <w:t>Yurtiçinde Yer. K.</w:t>
            </w:r>
          </w:p>
        </w:tc>
        <w:tc>
          <w:tcPr>
            <w:tcW w:w="523" w:type="pct"/>
            <w:tcBorders>
              <w:top w:val="nil"/>
              <w:left w:val="nil"/>
              <w:bottom w:val="nil"/>
              <w:right w:val="nil"/>
            </w:tcBorders>
            <w:shd w:val="clear" w:color="auto" w:fill="auto"/>
            <w:vAlign w:val="bottom"/>
            <w:hideMark/>
          </w:tcPr>
          <w:p w14:paraId="4066051E"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24DF24CB"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1F9351DF"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nil"/>
              <w:right w:val="nil"/>
            </w:tcBorders>
            <w:shd w:val="clear" w:color="auto" w:fill="auto"/>
            <w:vAlign w:val="bottom"/>
            <w:hideMark/>
          </w:tcPr>
          <w:p w14:paraId="71B88E7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03F06E9"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CF8E6CC"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nil"/>
              <w:right w:val="nil"/>
            </w:tcBorders>
            <w:shd w:val="clear" w:color="auto" w:fill="auto"/>
            <w:vAlign w:val="bottom"/>
            <w:hideMark/>
          </w:tcPr>
          <w:p w14:paraId="13BAE4E6"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nil"/>
              <w:right w:val="nil"/>
            </w:tcBorders>
            <w:shd w:val="clear" w:color="auto" w:fill="auto"/>
            <w:vAlign w:val="bottom"/>
            <w:hideMark/>
          </w:tcPr>
          <w:p w14:paraId="03EBF54B"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nil"/>
              <w:right w:val="nil"/>
            </w:tcBorders>
            <w:shd w:val="clear" w:color="auto" w:fill="auto"/>
            <w:vAlign w:val="bottom"/>
            <w:hideMark/>
          </w:tcPr>
          <w:p w14:paraId="0E2DF865" w14:textId="77777777" w:rsidR="00862A01" w:rsidRPr="00872D7E" w:rsidRDefault="00862A01" w:rsidP="00862A01">
            <w:pPr>
              <w:jc w:val="right"/>
              <w:rPr>
                <w:sz w:val="16"/>
                <w:szCs w:val="16"/>
              </w:rPr>
            </w:pPr>
            <w:r w:rsidRPr="00872D7E">
              <w:rPr>
                <w:sz w:val="16"/>
                <w:szCs w:val="16"/>
              </w:rPr>
              <w:t>-</w:t>
            </w:r>
          </w:p>
        </w:tc>
      </w:tr>
      <w:tr w:rsidR="00862A01" w:rsidRPr="00872D7E" w14:paraId="5E5E20F3" w14:textId="77777777" w:rsidTr="00020D5C">
        <w:trPr>
          <w:divId w:val="692997317"/>
          <w:trHeight w:val="113"/>
        </w:trPr>
        <w:tc>
          <w:tcPr>
            <w:tcW w:w="1193" w:type="pct"/>
            <w:tcBorders>
              <w:top w:val="nil"/>
              <w:left w:val="nil"/>
              <w:bottom w:val="single" w:sz="4" w:space="0" w:color="auto"/>
              <w:right w:val="nil"/>
            </w:tcBorders>
            <w:shd w:val="clear" w:color="auto" w:fill="auto"/>
            <w:vAlign w:val="bottom"/>
            <w:hideMark/>
          </w:tcPr>
          <w:p w14:paraId="2FDEBC66" w14:textId="77777777" w:rsidR="00862A01" w:rsidRPr="00872D7E" w:rsidRDefault="00862A01" w:rsidP="00862A01">
            <w:pPr>
              <w:rPr>
                <w:sz w:val="16"/>
                <w:szCs w:val="16"/>
              </w:rPr>
            </w:pPr>
            <w:r w:rsidRPr="00872D7E">
              <w:rPr>
                <w:sz w:val="16"/>
                <w:szCs w:val="16"/>
              </w:rPr>
              <w:t>Yurtdışında Yer. K.</w:t>
            </w:r>
          </w:p>
        </w:tc>
        <w:tc>
          <w:tcPr>
            <w:tcW w:w="523" w:type="pct"/>
            <w:tcBorders>
              <w:top w:val="nil"/>
              <w:left w:val="nil"/>
              <w:bottom w:val="single" w:sz="4" w:space="0" w:color="auto"/>
              <w:right w:val="nil"/>
            </w:tcBorders>
            <w:shd w:val="clear" w:color="auto" w:fill="auto"/>
            <w:vAlign w:val="bottom"/>
            <w:hideMark/>
          </w:tcPr>
          <w:p w14:paraId="0EEE5E43"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single" w:sz="4" w:space="0" w:color="auto"/>
              <w:right w:val="nil"/>
            </w:tcBorders>
            <w:shd w:val="clear" w:color="auto" w:fill="auto"/>
            <w:vAlign w:val="bottom"/>
            <w:hideMark/>
          </w:tcPr>
          <w:p w14:paraId="69A2F592"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single" w:sz="4" w:space="0" w:color="auto"/>
              <w:right w:val="nil"/>
            </w:tcBorders>
            <w:shd w:val="clear" w:color="auto" w:fill="auto"/>
            <w:vAlign w:val="bottom"/>
            <w:hideMark/>
          </w:tcPr>
          <w:p w14:paraId="2BB3DBF3" w14:textId="77777777" w:rsidR="00862A01" w:rsidRPr="00872D7E" w:rsidRDefault="00862A01" w:rsidP="00862A01">
            <w:pPr>
              <w:jc w:val="right"/>
              <w:rPr>
                <w:sz w:val="16"/>
                <w:szCs w:val="16"/>
              </w:rPr>
            </w:pPr>
            <w:r w:rsidRPr="00872D7E">
              <w:rPr>
                <w:sz w:val="16"/>
                <w:szCs w:val="16"/>
              </w:rPr>
              <w:t>-</w:t>
            </w:r>
          </w:p>
        </w:tc>
        <w:tc>
          <w:tcPr>
            <w:tcW w:w="411" w:type="pct"/>
            <w:tcBorders>
              <w:top w:val="nil"/>
              <w:left w:val="nil"/>
              <w:bottom w:val="single" w:sz="4" w:space="0" w:color="auto"/>
              <w:right w:val="nil"/>
            </w:tcBorders>
            <w:shd w:val="clear" w:color="auto" w:fill="auto"/>
            <w:vAlign w:val="bottom"/>
            <w:hideMark/>
          </w:tcPr>
          <w:p w14:paraId="2E09C10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single" w:sz="4" w:space="0" w:color="auto"/>
              <w:right w:val="nil"/>
            </w:tcBorders>
            <w:shd w:val="clear" w:color="auto" w:fill="auto"/>
            <w:vAlign w:val="bottom"/>
            <w:hideMark/>
          </w:tcPr>
          <w:p w14:paraId="474036BD"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single" w:sz="4" w:space="0" w:color="auto"/>
              <w:right w:val="nil"/>
            </w:tcBorders>
            <w:shd w:val="clear" w:color="auto" w:fill="auto"/>
            <w:vAlign w:val="bottom"/>
            <w:hideMark/>
          </w:tcPr>
          <w:p w14:paraId="0580C5C8" w14:textId="77777777" w:rsidR="00862A01" w:rsidRPr="00872D7E" w:rsidRDefault="00862A01" w:rsidP="00862A01">
            <w:pPr>
              <w:jc w:val="right"/>
              <w:rPr>
                <w:sz w:val="16"/>
                <w:szCs w:val="16"/>
              </w:rPr>
            </w:pPr>
            <w:r w:rsidRPr="00872D7E">
              <w:rPr>
                <w:sz w:val="16"/>
                <w:szCs w:val="16"/>
              </w:rPr>
              <w:t>-</w:t>
            </w:r>
          </w:p>
        </w:tc>
        <w:tc>
          <w:tcPr>
            <w:tcW w:w="448" w:type="pct"/>
            <w:tcBorders>
              <w:top w:val="nil"/>
              <w:left w:val="nil"/>
              <w:bottom w:val="single" w:sz="4" w:space="0" w:color="auto"/>
              <w:right w:val="nil"/>
            </w:tcBorders>
            <w:shd w:val="clear" w:color="auto" w:fill="auto"/>
            <w:vAlign w:val="bottom"/>
            <w:hideMark/>
          </w:tcPr>
          <w:p w14:paraId="38304A52" w14:textId="77777777" w:rsidR="00862A01" w:rsidRPr="00872D7E" w:rsidRDefault="00862A01" w:rsidP="00862A01">
            <w:pPr>
              <w:jc w:val="right"/>
              <w:rPr>
                <w:sz w:val="16"/>
                <w:szCs w:val="16"/>
              </w:rPr>
            </w:pPr>
            <w:r w:rsidRPr="00872D7E">
              <w:rPr>
                <w:sz w:val="16"/>
                <w:szCs w:val="16"/>
              </w:rPr>
              <w:t>-</w:t>
            </w:r>
          </w:p>
        </w:tc>
        <w:tc>
          <w:tcPr>
            <w:tcW w:w="402" w:type="pct"/>
            <w:tcBorders>
              <w:top w:val="nil"/>
              <w:left w:val="nil"/>
              <w:bottom w:val="single" w:sz="4" w:space="0" w:color="auto"/>
              <w:right w:val="nil"/>
            </w:tcBorders>
            <w:shd w:val="clear" w:color="auto" w:fill="auto"/>
            <w:vAlign w:val="bottom"/>
            <w:hideMark/>
          </w:tcPr>
          <w:p w14:paraId="2F9FFC43" w14:textId="77777777" w:rsidR="00862A01" w:rsidRPr="00872D7E" w:rsidRDefault="00862A01" w:rsidP="00862A01">
            <w:pPr>
              <w:jc w:val="right"/>
              <w:rPr>
                <w:sz w:val="16"/>
                <w:szCs w:val="16"/>
              </w:rPr>
            </w:pPr>
            <w:r w:rsidRPr="00872D7E">
              <w:rPr>
                <w:sz w:val="16"/>
                <w:szCs w:val="16"/>
              </w:rPr>
              <w:t>-</w:t>
            </w:r>
          </w:p>
        </w:tc>
        <w:tc>
          <w:tcPr>
            <w:tcW w:w="453" w:type="pct"/>
            <w:tcBorders>
              <w:top w:val="nil"/>
              <w:left w:val="nil"/>
              <w:bottom w:val="single" w:sz="4" w:space="0" w:color="auto"/>
              <w:right w:val="nil"/>
            </w:tcBorders>
            <w:shd w:val="clear" w:color="auto" w:fill="auto"/>
            <w:vAlign w:val="bottom"/>
            <w:hideMark/>
          </w:tcPr>
          <w:p w14:paraId="279D7354" w14:textId="77777777" w:rsidR="00862A01" w:rsidRPr="00872D7E" w:rsidRDefault="00862A01" w:rsidP="00862A01">
            <w:pPr>
              <w:jc w:val="right"/>
              <w:rPr>
                <w:sz w:val="16"/>
                <w:szCs w:val="16"/>
              </w:rPr>
            </w:pPr>
            <w:r w:rsidRPr="00872D7E">
              <w:rPr>
                <w:sz w:val="16"/>
                <w:szCs w:val="16"/>
              </w:rPr>
              <w:t>-</w:t>
            </w:r>
          </w:p>
        </w:tc>
      </w:tr>
      <w:tr w:rsidR="00862A01" w:rsidRPr="00872D7E" w14:paraId="553B0E07" w14:textId="77777777" w:rsidTr="00020D5C">
        <w:trPr>
          <w:divId w:val="692997317"/>
          <w:trHeight w:val="113"/>
        </w:trPr>
        <w:tc>
          <w:tcPr>
            <w:tcW w:w="1193" w:type="pct"/>
            <w:tcBorders>
              <w:top w:val="nil"/>
              <w:left w:val="nil"/>
              <w:right w:val="nil"/>
            </w:tcBorders>
            <w:shd w:val="clear" w:color="auto" w:fill="auto"/>
            <w:vAlign w:val="bottom"/>
            <w:hideMark/>
          </w:tcPr>
          <w:p w14:paraId="5C22F666" w14:textId="77777777" w:rsidR="00862A01" w:rsidRPr="00872D7E" w:rsidRDefault="00862A01" w:rsidP="00862A01">
            <w:pPr>
              <w:rPr>
                <w:sz w:val="16"/>
                <w:szCs w:val="16"/>
              </w:rPr>
            </w:pPr>
          </w:p>
        </w:tc>
        <w:tc>
          <w:tcPr>
            <w:tcW w:w="523" w:type="pct"/>
            <w:tcBorders>
              <w:top w:val="nil"/>
              <w:left w:val="nil"/>
              <w:right w:val="nil"/>
            </w:tcBorders>
            <w:shd w:val="clear" w:color="auto" w:fill="auto"/>
            <w:noWrap/>
            <w:vAlign w:val="bottom"/>
            <w:hideMark/>
          </w:tcPr>
          <w:p w14:paraId="44538504" w14:textId="77777777" w:rsidR="00862A01" w:rsidRPr="00872D7E" w:rsidRDefault="00862A01" w:rsidP="00862A01">
            <w:pPr>
              <w:jc w:val="right"/>
              <w:rPr>
                <w:sz w:val="16"/>
                <w:szCs w:val="16"/>
              </w:rPr>
            </w:pPr>
          </w:p>
        </w:tc>
        <w:tc>
          <w:tcPr>
            <w:tcW w:w="411" w:type="pct"/>
            <w:tcBorders>
              <w:top w:val="nil"/>
              <w:left w:val="nil"/>
              <w:right w:val="nil"/>
            </w:tcBorders>
            <w:shd w:val="clear" w:color="auto" w:fill="auto"/>
            <w:noWrap/>
            <w:vAlign w:val="bottom"/>
            <w:hideMark/>
          </w:tcPr>
          <w:p w14:paraId="5322BBC0" w14:textId="77777777" w:rsidR="00862A01" w:rsidRPr="00872D7E" w:rsidRDefault="00862A01" w:rsidP="00862A01">
            <w:pPr>
              <w:jc w:val="right"/>
              <w:rPr>
                <w:sz w:val="16"/>
                <w:szCs w:val="16"/>
              </w:rPr>
            </w:pPr>
          </w:p>
        </w:tc>
        <w:tc>
          <w:tcPr>
            <w:tcW w:w="411" w:type="pct"/>
            <w:tcBorders>
              <w:top w:val="nil"/>
              <w:left w:val="nil"/>
              <w:right w:val="nil"/>
            </w:tcBorders>
            <w:shd w:val="clear" w:color="auto" w:fill="auto"/>
            <w:noWrap/>
            <w:vAlign w:val="bottom"/>
            <w:hideMark/>
          </w:tcPr>
          <w:p w14:paraId="768991A8" w14:textId="77777777" w:rsidR="00862A01" w:rsidRPr="00872D7E" w:rsidRDefault="00862A01" w:rsidP="00862A01">
            <w:pPr>
              <w:jc w:val="right"/>
              <w:rPr>
                <w:sz w:val="16"/>
                <w:szCs w:val="16"/>
              </w:rPr>
            </w:pPr>
          </w:p>
        </w:tc>
        <w:tc>
          <w:tcPr>
            <w:tcW w:w="411" w:type="pct"/>
            <w:tcBorders>
              <w:top w:val="nil"/>
              <w:left w:val="nil"/>
              <w:right w:val="nil"/>
            </w:tcBorders>
            <w:shd w:val="clear" w:color="auto" w:fill="auto"/>
            <w:noWrap/>
            <w:vAlign w:val="bottom"/>
            <w:hideMark/>
          </w:tcPr>
          <w:p w14:paraId="16A5E33A" w14:textId="77777777" w:rsidR="00862A01" w:rsidRPr="00872D7E" w:rsidRDefault="00862A01" w:rsidP="00862A01">
            <w:pPr>
              <w:jc w:val="right"/>
              <w:rPr>
                <w:sz w:val="16"/>
                <w:szCs w:val="16"/>
              </w:rPr>
            </w:pPr>
          </w:p>
        </w:tc>
        <w:tc>
          <w:tcPr>
            <w:tcW w:w="374" w:type="pct"/>
            <w:tcBorders>
              <w:top w:val="nil"/>
              <w:left w:val="nil"/>
              <w:right w:val="nil"/>
            </w:tcBorders>
            <w:shd w:val="clear" w:color="auto" w:fill="auto"/>
            <w:noWrap/>
            <w:vAlign w:val="bottom"/>
            <w:hideMark/>
          </w:tcPr>
          <w:p w14:paraId="750AF206" w14:textId="77777777" w:rsidR="00862A01" w:rsidRPr="00872D7E" w:rsidRDefault="00862A01" w:rsidP="00862A01">
            <w:pPr>
              <w:jc w:val="right"/>
              <w:rPr>
                <w:sz w:val="16"/>
                <w:szCs w:val="16"/>
              </w:rPr>
            </w:pPr>
          </w:p>
        </w:tc>
        <w:tc>
          <w:tcPr>
            <w:tcW w:w="373" w:type="pct"/>
            <w:tcBorders>
              <w:top w:val="nil"/>
              <w:left w:val="nil"/>
              <w:right w:val="nil"/>
            </w:tcBorders>
            <w:shd w:val="clear" w:color="auto" w:fill="auto"/>
            <w:noWrap/>
            <w:vAlign w:val="bottom"/>
            <w:hideMark/>
          </w:tcPr>
          <w:p w14:paraId="3FF3B4BC" w14:textId="77777777" w:rsidR="00862A01" w:rsidRPr="00872D7E" w:rsidRDefault="00862A01" w:rsidP="00862A01">
            <w:pPr>
              <w:jc w:val="right"/>
              <w:rPr>
                <w:sz w:val="16"/>
                <w:szCs w:val="16"/>
              </w:rPr>
            </w:pPr>
          </w:p>
        </w:tc>
        <w:tc>
          <w:tcPr>
            <w:tcW w:w="448" w:type="pct"/>
            <w:tcBorders>
              <w:top w:val="nil"/>
              <w:left w:val="nil"/>
              <w:right w:val="nil"/>
            </w:tcBorders>
            <w:shd w:val="clear" w:color="auto" w:fill="auto"/>
            <w:noWrap/>
            <w:vAlign w:val="bottom"/>
            <w:hideMark/>
          </w:tcPr>
          <w:p w14:paraId="03696126" w14:textId="77777777" w:rsidR="00862A01" w:rsidRPr="00872D7E" w:rsidRDefault="00862A01" w:rsidP="00862A01">
            <w:pPr>
              <w:jc w:val="right"/>
              <w:rPr>
                <w:sz w:val="16"/>
                <w:szCs w:val="16"/>
              </w:rPr>
            </w:pPr>
          </w:p>
        </w:tc>
        <w:tc>
          <w:tcPr>
            <w:tcW w:w="402" w:type="pct"/>
            <w:tcBorders>
              <w:top w:val="nil"/>
              <w:left w:val="nil"/>
              <w:right w:val="nil"/>
            </w:tcBorders>
            <w:shd w:val="clear" w:color="auto" w:fill="auto"/>
            <w:vAlign w:val="bottom"/>
            <w:hideMark/>
          </w:tcPr>
          <w:p w14:paraId="7CC0A1E7" w14:textId="77777777" w:rsidR="00862A01" w:rsidRPr="00872D7E" w:rsidRDefault="00862A01" w:rsidP="00862A01">
            <w:pPr>
              <w:jc w:val="right"/>
              <w:rPr>
                <w:sz w:val="16"/>
                <w:szCs w:val="16"/>
              </w:rPr>
            </w:pPr>
          </w:p>
        </w:tc>
        <w:tc>
          <w:tcPr>
            <w:tcW w:w="453" w:type="pct"/>
            <w:tcBorders>
              <w:top w:val="nil"/>
              <w:left w:val="nil"/>
              <w:right w:val="nil"/>
            </w:tcBorders>
            <w:shd w:val="clear" w:color="auto" w:fill="auto"/>
            <w:vAlign w:val="bottom"/>
            <w:hideMark/>
          </w:tcPr>
          <w:p w14:paraId="0510167B" w14:textId="77777777" w:rsidR="00862A01" w:rsidRPr="00872D7E" w:rsidRDefault="00862A01" w:rsidP="00862A01">
            <w:pPr>
              <w:jc w:val="right"/>
              <w:rPr>
                <w:sz w:val="16"/>
                <w:szCs w:val="16"/>
              </w:rPr>
            </w:pPr>
          </w:p>
        </w:tc>
      </w:tr>
      <w:tr w:rsidR="00862A01" w:rsidRPr="00872D7E" w14:paraId="2C8C35A9" w14:textId="77777777" w:rsidTr="00020D5C">
        <w:trPr>
          <w:divId w:val="692997317"/>
          <w:trHeight w:val="113"/>
        </w:trPr>
        <w:tc>
          <w:tcPr>
            <w:tcW w:w="1193" w:type="pct"/>
            <w:tcBorders>
              <w:top w:val="nil"/>
              <w:left w:val="nil"/>
              <w:bottom w:val="single" w:sz="12" w:space="0" w:color="auto"/>
              <w:right w:val="nil"/>
            </w:tcBorders>
            <w:shd w:val="clear" w:color="auto" w:fill="auto"/>
            <w:vAlign w:val="bottom"/>
            <w:hideMark/>
          </w:tcPr>
          <w:p w14:paraId="5595F5DD" w14:textId="77777777" w:rsidR="00862A01" w:rsidRPr="00872D7E" w:rsidRDefault="00862A01" w:rsidP="00862A01">
            <w:pPr>
              <w:rPr>
                <w:b/>
                <w:bCs/>
                <w:sz w:val="16"/>
                <w:szCs w:val="16"/>
              </w:rPr>
            </w:pPr>
            <w:r w:rsidRPr="00872D7E">
              <w:rPr>
                <w:rFonts w:eastAsia="Arial Unicode MS"/>
                <w:b/>
                <w:bCs/>
                <w:sz w:val="16"/>
                <w:szCs w:val="16"/>
              </w:rPr>
              <w:t>Toplam (I+II</w:t>
            </w:r>
            <w:proofErr w:type="gramStart"/>
            <w:r w:rsidRPr="00872D7E">
              <w:rPr>
                <w:rFonts w:eastAsia="Arial Unicode MS"/>
                <w:b/>
                <w:bCs/>
                <w:sz w:val="16"/>
                <w:szCs w:val="16"/>
              </w:rPr>
              <w:t>+..</w:t>
            </w:r>
            <w:proofErr w:type="gramEnd"/>
            <w:r w:rsidRPr="00872D7E">
              <w:rPr>
                <w:rFonts w:eastAsia="Arial Unicode MS"/>
                <w:b/>
                <w:bCs/>
                <w:sz w:val="16"/>
                <w:szCs w:val="16"/>
              </w:rPr>
              <w:t>+IX+X+XI)</w:t>
            </w:r>
          </w:p>
        </w:tc>
        <w:tc>
          <w:tcPr>
            <w:tcW w:w="523" w:type="pct"/>
            <w:tcBorders>
              <w:top w:val="nil"/>
              <w:left w:val="nil"/>
              <w:bottom w:val="single" w:sz="12" w:space="0" w:color="auto"/>
              <w:right w:val="nil"/>
            </w:tcBorders>
            <w:shd w:val="clear" w:color="auto" w:fill="auto"/>
            <w:vAlign w:val="bottom"/>
            <w:hideMark/>
          </w:tcPr>
          <w:p w14:paraId="7505F886" w14:textId="77777777" w:rsidR="00862A01" w:rsidRPr="00872D7E" w:rsidRDefault="00862A01" w:rsidP="00862A01">
            <w:pPr>
              <w:jc w:val="right"/>
              <w:rPr>
                <w:b/>
                <w:bCs/>
                <w:sz w:val="16"/>
                <w:szCs w:val="16"/>
              </w:rPr>
            </w:pPr>
            <w:r w:rsidRPr="00872D7E">
              <w:rPr>
                <w:b/>
                <w:bCs/>
                <w:sz w:val="16"/>
                <w:szCs w:val="16"/>
              </w:rPr>
              <w:t>2.410.561</w:t>
            </w:r>
          </w:p>
        </w:tc>
        <w:tc>
          <w:tcPr>
            <w:tcW w:w="411" w:type="pct"/>
            <w:tcBorders>
              <w:top w:val="nil"/>
              <w:left w:val="nil"/>
              <w:bottom w:val="single" w:sz="12" w:space="0" w:color="auto"/>
              <w:right w:val="nil"/>
            </w:tcBorders>
            <w:shd w:val="clear" w:color="auto" w:fill="auto"/>
            <w:vAlign w:val="bottom"/>
            <w:hideMark/>
          </w:tcPr>
          <w:p w14:paraId="011C1356" w14:textId="77777777" w:rsidR="00862A01" w:rsidRPr="00872D7E" w:rsidRDefault="00862A01" w:rsidP="00862A01">
            <w:pPr>
              <w:jc w:val="right"/>
              <w:rPr>
                <w:b/>
                <w:bCs/>
                <w:sz w:val="16"/>
                <w:szCs w:val="16"/>
              </w:rPr>
            </w:pPr>
            <w:r w:rsidRPr="00872D7E">
              <w:rPr>
                <w:b/>
                <w:bCs/>
                <w:sz w:val="16"/>
                <w:szCs w:val="16"/>
              </w:rPr>
              <w:t>7.285.335</w:t>
            </w:r>
          </w:p>
        </w:tc>
        <w:tc>
          <w:tcPr>
            <w:tcW w:w="411" w:type="pct"/>
            <w:tcBorders>
              <w:top w:val="nil"/>
              <w:left w:val="nil"/>
              <w:bottom w:val="single" w:sz="12" w:space="0" w:color="auto"/>
              <w:right w:val="nil"/>
            </w:tcBorders>
            <w:shd w:val="clear" w:color="auto" w:fill="auto"/>
            <w:vAlign w:val="bottom"/>
            <w:hideMark/>
          </w:tcPr>
          <w:p w14:paraId="2D1E7806" w14:textId="77777777" w:rsidR="00862A01" w:rsidRPr="00872D7E" w:rsidRDefault="00862A01" w:rsidP="00862A01">
            <w:pPr>
              <w:jc w:val="right"/>
              <w:rPr>
                <w:b/>
                <w:bCs/>
                <w:sz w:val="16"/>
                <w:szCs w:val="16"/>
              </w:rPr>
            </w:pPr>
            <w:r w:rsidRPr="00872D7E">
              <w:rPr>
                <w:b/>
                <w:bCs/>
                <w:sz w:val="16"/>
                <w:szCs w:val="16"/>
              </w:rPr>
              <w:t>6.091.198</w:t>
            </w:r>
          </w:p>
        </w:tc>
        <w:tc>
          <w:tcPr>
            <w:tcW w:w="411" w:type="pct"/>
            <w:tcBorders>
              <w:top w:val="nil"/>
              <w:left w:val="nil"/>
              <w:bottom w:val="single" w:sz="12" w:space="0" w:color="auto"/>
              <w:right w:val="nil"/>
            </w:tcBorders>
            <w:shd w:val="clear" w:color="auto" w:fill="auto"/>
            <w:vAlign w:val="bottom"/>
            <w:hideMark/>
          </w:tcPr>
          <w:p w14:paraId="04EF5759" w14:textId="77777777" w:rsidR="00862A01" w:rsidRPr="00872D7E" w:rsidRDefault="00862A01" w:rsidP="00862A01">
            <w:pPr>
              <w:jc w:val="right"/>
              <w:rPr>
                <w:b/>
                <w:bCs/>
                <w:sz w:val="16"/>
                <w:szCs w:val="16"/>
              </w:rPr>
            </w:pPr>
            <w:r w:rsidRPr="00872D7E">
              <w:rPr>
                <w:b/>
                <w:bCs/>
                <w:sz w:val="16"/>
                <w:szCs w:val="16"/>
              </w:rPr>
              <w:t>4.412.220</w:t>
            </w:r>
          </w:p>
        </w:tc>
        <w:tc>
          <w:tcPr>
            <w:tcW w:w="374" w:type="pct"/>
            <w:tcBorders>
              <w:top w:val="nil"/>
              <w:left w:val="nil"/>
              <w:bottom w:val="single" w:sz="12" w:space="0" w:color="auto"/>
              <w:right w:val="nil"/>
            </w:tcBorders>
            <w:shd w:val="clear" w:color="auto" w:fill="auto"/>
            <w:vAlign w:val="bottom"/>
            <w:hideMark/>
          </w:tcPr>
          <w:p w14:paraId="6CF6B627"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single" w:sz="12" w:space="0" w:color="auto"/>
              <w:right w:val="nil"/>
            </w:tcBorders>
            <w:shd w:val="clear" w:color="auto" w:fill="auto"/>
            <w:vAlign w:val="bottom"/>
            <w:hideMark/>
          </w:tcPr>
          <w:p w14:paraId="4FB6DCEE" w14:textId="77777777" w:rsidR="00862A01" w:rsidRPr="00872D7E" w:rsidRDefault="00862A01" w:rsidP="00862A01">
            <w:pPr>
              <w:jc w:val="right"/>
              <w:rPr>
                <w:b/>
                <w:bCs/>
                <w:sz w:val="16"/>
                <w:szCs w:val="16"/>
              </w:rPr>
            </w:pPr>
            <w:r w:rsidRPr="00872D7E">
              <w:rPr>
                <w:b/>
                <w:bCs/>
                <w:sz w:val="16"/>
                <w:szCs w:val="16"/>
              </w:rPr>
              <w:t>154.285</w:t>
            </w:r>
          </w:p>
        </w:tc>
        <w:tc>
          <w:tcPr>
            <w:tcW w:w="448" w:type="pct"/>
            <w:tcBorders>
              <w:top w:val="nil"/>
              <w:left w:val="nil"/>
              <w:bottom w:val="single" w:sz="12" w:space="0" w:color="auto"/>
              <w:right w:val="nil"/>
            </w:tcBorders>
            <w:shd w:val="clear" w:color="auto" w:fill="auto"/>
            <w:vAlign w:val="bottom"/>
            <w:hideMark/>
          </w:tcPr>
          <w:p w14:paraId="35468821" w14:textId="77777777" w:rsidR="00862A01" w:rsidRPr="00872D7E" w:rsidRDefault="00862A01" w:rsidP="00862A01">
            <w:pPr>
              <w:jc w:val="right"/>
              <w:rPr>
                <w:b/>
                <w:bCs/>
                <w:sz w:val="16"/>
                <w:szCs w:val="16"/>
              </w:rPr>
            </w:pPr>
            <w:r w:rsidRPr="00872D7E">
              <w:rPr>
                <w:b/>
                <w:bCs/>
                <w:sz w:val="16"/>
                <w:szCs w:val="16"/>
              </w:rPr>
              <w:t>3.471.110</w:t>
            </w:r>
          </w:p>
        </w:tc>
        <w:tc>
          <w:tcPr>
            <w:tcW w:w="402" w:type="pct"/>
            <w:tcBorders>
              <w:top w:val="nil"/>
              <w:left w:val="nil"/>
              <w:bottom w:val="single" w:sz="12" w:space="0" w:color="auto"/>
              <w:right w:val="nil"/>
            </w:tcBorders>
            <w:shd w:val="clear" w:color="auto" w:fill="auto"/>
            <w:vAlign w:val="bottom"/>
            <w:hideMark/>
          </w:tcPr>
          <w:p w14:paraId="6DE12284" w14:textId="77777777" w:rsidR="00862A01" w:rsidRPr="00872D7E" w:rsidRDefault="00862A01" w:rsidP="00862A01">
            <w:pPr>
              <w:jc w:val="right"/>
              <w:rPr>
                <w:b/>
                <w:bCs/>
                <w:sz w:val="16"/>
                <w:szCs w:val="16"/>
              </w:rPr>
            </w:pPr>
            <w:r w:rsidRPr="00872D7E">
              <w:rPr>
                <w:b/>
                <w:bCs/>
                <w:sz w:val="16"/>
                <w:szCs w:val="16"/>
              </w:rPr>
              <w:t>-</w:t>
            </w:r>
          </w:p>
        </w:tc>
        <w:tc>
          <w:tcPr>
            <w:tcW w:w="453" w:type="pct"/>
            <w:tcBorders>
              <w:top w:val="nil"/>
              <w:left w:val="nil"/>
              <w:bottom w:val="single" w:sz="12" w:space="0" w:color="auto"/>
              <w:right w:val="nil"/>
            </w:tcBorders>
            <w:shd w:val="clear" w:color="auto" w:fill="auto"/>
            <w:vAlign w:val="bottom"/>
            <w:hideMark/>
          </w:tcPr>
          <w:p w14:paraId="70F61B8F" w14:textId="77777777" w:rsidR="00862A01" w:rsidRPr="00872D7E" w:rsidRDefault="00862A01" w:rsidP="00862A01">
            <w:pPr>
              <w:jc w:val="right"/>
              <w:rPr>
                <w:b/>
                <w:bCs/>
                <w:sz w:val="16"/>
                <w:szCs w:val="16"/>
              </w:rPr>
            </w:pPr>
            <w:r w:rsidRPr="00872D7E">
              <w:rPr>
                <w:b/>
                <w:bCs/>
                <w:sz w:val="16"/>
                <w:szCs w:val="16"/>
              </w:rPr>
              <w:t>23.824.709</w:t>
            </w:r>
          </w:p>
        </w:tc>
      </w:tr>
    </w:tbl>
    <w:p w14:paraId="4B5177D3" w14:textId="77777777" w:rsidR="00020D5C" w:rsidRPr="00872D7E" w:rsidRDefault="00020D5C">
      <w:pPr>
        <w:rPr>
          <w:b/>
          <w:szCs w:val="20"/>
        </w:rPr>
      </w:pPr>
      <w:r w:rsidRPr="00872D7E">
        <w:rPr>
          <w:b/>
          <w:szCs w:val="20"/>
        </w:rPr>
        <w:br w:type="page"/>
      </w:r>
    </w:p>
    <w:p w14:paraId="5922895C" w14:textId="008361F4" w:rsidR="00DB761E" w:rsidRPr="00872D7E" w:rsidRDefault="00DB761E" w:rsidP="009B0E8B">
      <w:pPr>
        <w:widowControl w:val="0"/>
        <w:spacing w:line="235" w:lineRule="auto"/>
        <w:ind w:right="-182"/>
        <w:jc w:val="both"/>
        <w:rPr>
          <w:b/>
          <w:szCs w:val="20"/>
        </w:rPr>
      </w:pPr>
      <w:r w:rsidRPr="00872D7E">
        <w:rPr>
          <w:b/>
          <w:szCs w:val="20"/>
        </w:rPr>
        <w:lastRenderedPageBreak/>
        <w:t>KONSOLİDE OLMAYAN FİNANSAL TABLOLARA İLİŞKİN AÇIKLAMA VE DİPNOTLAR (Devamı)</w:t>
      </w:r>
    </w:p>
    <w:p w14:paraId="1CFC7261" w14:textId="77777777" w:rsidR="00DB761E" w:rsidRPr="00872D7E" w:rsidRDefault="00DB761E" w:rsidP="00DB761E">
      <w:pPr>
        <w:widowControl w:val="0"/>
        <w:spacing w:line="235" w:lineRule="auto"/>
        <w:ind w:left="851" w:hanging="851"/>
        <w:jc w:val="both"/>
        <w:rPr>
          <w:b/>
          <w:szCs w:val="20"/>
        </w:rPr>
      </w:pPr>
    </w:p>
    <w:p w14:paraId="03FA2089" w14:textId="2F2D2A29" w:rsidR="00A445BA" w:rsidRPr="00872D7E" w:rsidRDefault="00A445BA" w:rsidP="003B796D">
      <w:pPr>
        <w:pStyle w:val="ListParagraph"/>
        <w:widowControl w:val="0"/>
        <w:numPr>
          <w:ilvl w:val="0"/>
          <w:numId w:val="73"/>
        </w:numPr>
        <w:spacing w:line="235" w:lineRule="auto"/>
        <w:ind w:left="851" w:hanging="862"/>
        <w:jc w:val="both"/>
        <w:rPr>
          <w:b/>
          <w:szCs w:val="20"/>
        </w:rPr>
      </w:pPr>
      <w:r w:rsidRPr="00872D7E">
        <w:rPr>
          <w:b/>
          <w:szCs w:val="20"/>
        </w:rPr>
        <w:t>BİLANÇONUN PASİF HESAPLARINA İLİŞKİN AÇIKLAMA VE DİPNOTLAR (Devamı)</w:t>
      </w:r>
    </w:p>
    <w:p w14:paraId="311AB7B8" w14:textId="77777777" w:rsidR="00DB761E" w:rsidRPr="00872D7E" w:rsidRDefault="00DB761E" w:rsidP="00DB761E">
      <w:pPr>
        <w:pStyle w:val="BodyTextIndent"/>
        <w:widowControl w:val="0"/>
        <w:spacing w:line="235" w:lineRule="auto"/>
        <w:ind w:left="14" w:hanging="440"/>
        <w:rPr>
          <w:b/>
          <w:szCs w:val="20"/>
        </w:rPr>
      </w:pPr>
    </w:p>
    <w:p w14:paraId="6906E848" w14:textId="34B234AE" w:rsidR="00DB761E" w:rsidRPr="00872D7E" w:rsidRDefault="00DB761E" w:rsidP="00DF282B">
      <w:pPr>
        <w:pStyle w:val="BodyTextIndent"/>
        <w:widowControl w:val="0"/>
        <w:numPr>
          <w:ilvl w:val="0"/>
          <w:numId w:val="50"/>
        </w:numPr>
        <w:spacing w:line="235" w:lineRule="auto"/>
        <w:ind w:left="851" w:hanging="851"/>
        <w:rPr>
          <w:b/>
          <w:szCs w:val="20"/>
        </w:rPr>
      </w:pPr>
      <w:r w:rsidRPr="00872D7E">
        <w:rPr>
          <w:b/>
          <w:szCs w:val="20"/>
        </w:rPr>
        <w:t>Toplanan fonlara ilişkin bilgiler: (Devamı)</w:t>
      </w:r>
    </w:p>
    <w:p w14:paraId="4909F536" w14:textId="77777777" w:rsidR="00DB761E" w:rsidRPr="00872D7E" w:rsidRDefault="00DB761E" w:rsidP="00DB761E">
      <w:pPr>
        <w:pStyle w:val="BodyTextIndent"/>
        <w:widowControl w:val="0"/>
        <w:spacing w:line="235" w:lineRule="auto"/>
        <w:ind w:left="851" w:firstLine="0"/>
        <w:rPr>
          <w:b/>
          <w:szCs w:val="20"/>
        </w:rPr>
      </w:pPr>
    </w:p>
    <w:p w14:paraId="42B07CDB" w14:textId="53B2FEF7" w:rsidR="00F575A6" w:rsidRPr="00872D7E" w:rsidRDefault="00F575A6" w:rsidP="00DF282B">
      <w:pPr>
        <w:pStyle w:val="BodyTextIndent"/>
        <w:widowControl w:val="0"/>
        <w:numPr>
          <w:ilvl w:val="0"/>
          <w:numId w:val="51"/>
        </w:numPr>
        <w:tabs>
          <w:tab w:val="clear" w:pos="540"/>
        </w:tabs>
        <w:spacing w:line="235" w:lineRule="auto"/>
        <w:ind w:left="1276" w:hanging="425"/>
        <w:rPr>
          <w:b/>
          <w:szCs w:val="20"/>
        </w:rPr>
      </w:pPr>
      <w:r w:rsidRPr="00872D7E">
        <w:rPr>
          <w:b/>
          <w:szCs w:val="20"/>
        </w:rPr>
        <w:t>Toplanan fonların vade yapısına ilişkin bilgiler:</w:t>
      </w:r>
      <w:r w:rsidR="0098597B" w:rsidRPr="00872D7E">
        <w:rPr>
          <w:b/>
          <w:szCs w:val="20"/>
        </w:rPr>
        <w:t xml:space="preserve"> </w:t>
      </w:r>
      <w:r w:rsidRPr="00872D7E">
        <w:rPr>
          <w:b/>
          <w:szCs w:val="20"/>
        </w:rPr>
        <w:t>(Devamı)</w:t>
      </w:r>
    </w:p>
    <w:p w14:paraId="75A9BEAE" w14:textId="0AEC0163" w:rsidR="00862A01" w:rsidRPr="00872D7E" w:rsidRDefault="00862A01" w:rsidP="00154DA9">
      <w:pPr>
        <w:widowControl w:val="0"/>
        <w:spacing w:line="235" w:lineRule="auto"/>
        <w:ind w:right="-182"/>
        <w:jc w:val="both"/>
        <w:rPr>
          <w:szCs w:val="20"/>
        </w:rPr>
      </w:pPr>
    </w:p>
    <w:tbl>
      <w:tblPr>
        <w:tblW w:w="5000" w:type="pct"/>
        <w:tblCellMar>
          <w:left w:w="70" w:type="dxa"/>
          <w:right w:w="70" w:type="dxa"/>
        </w:tblCellMar>
        <w:tblLook w:val="04A0" w:firstRow="1" w:lastRow="0" w:firstColumn="1" w:lastColumn="0" w:noHBand="0" w:noVBand="1"/>
      </w:tblPr>
      <w:tblGrid>
        <w:gridCol w:w="2512"/>
        <w:gridCol w:w="695"/>
        <w:gridCol w:w="699"/>
        <w:gridCol w:w="699"/>
        <w:gridCol w:w="700"/>
        <w:gridCol w:w="698"/>
        <w:gridCol w:w="700"/>
        <w:gridCol w:w="984"/>
        <w:gridCol w:w="994"/>
        <w:gridCol w:w="674"/>
      </w:tblGrid>
      <w:tr w:rsidR="00862A01" w:rsidRPr="00872D7E" w14:paraId="6EFCE34F" w14:textId="77777777" w:rsidTr="00020D5C">
        <w:trPr>
          <w:divId w:val="1987661959"/>
          <w:trHeight w:val="113"/>
        </w:trPr>
        <w:tc>
          <w:tcPr>
            <w:tcW w:w="1343" w:type="pct"/>
            <w:tcBorders>
              <w:top w:val="nil"/>
              <w:left w:val="nil"/>
              <w:bottom w:val="single" w:sz="4" w:space="0" w:color="auto"/>
              <w:right w:val="nil"/>
            </w:tcBorders>
            <w:shd w:val="clear" w:color="auto" w:fill="auto"/>
            <w:vAlign w:val="bottom"/>
            <w:hideMark/>
          </w:tcPr>
          <w:p w14:paraId="62B7A73D" w14:textId="3FD8A7CA" w:rsidR="00862A01" w:rsidRPr="00872D7E" w:rsidRDefault="00862A01" w:rsidP="00862A01">
            <w:pPr>
              <w:rPr>
                <w:b/>
                <w:bCs/>
                <w:sz w:val="16"/>
                <w:szCs w:val="16"/>
              </w:rPr>
            </w:pPr>
            <w:r w:rsidRPr="00872D7E">
              <w:rPr>
                <w:b/>
                <w:bCs/>
                <w:sz w:val="16"/>
                <w:szCs w:val="16"/>
              </w:rPr>
              <w:t>1 Ocak 2024</w:t>
            </w:r>
          </w:p>
        </w:tc>
        <w:tc>
          <w:tcPr>
            <w:tcW w:w="372" w:type="pct"/>
            <w:tcBorders>
              <w:top w:val="nil"/>
              <w:left w:val="nil"/>
              <w:bottom w:val="single" w:sz="4" w:space="0" w:color="auto"/>
              <w:right w:val="nil"/>
            </w:tcBorders>
            <w:shd w:val="clear" w:color="auto" w:fill="auto"/>
            <w:vAlign w:val="bottom"/>
            <w:hideMark/>
          </w:tcPr>
          <w:p w14:paraId="3A97B8A9" w14:textId="77777777" w:rsidR="00862A01" w:rsidRPr="00872D7E" w:rsidRDefault="00862A01" w:rsidP="00862A01">
            <w:pPr>
              <w:jc w:val="right"/>
              <w:rPr>
                <w:b/>
                <w:bCs/>
                <w:sz w:val="16"/>
                <w:szCs w:val="16"/>
              </w:rPr>
            </w:pPr>
            <w:r w:rsidRPr="00872D7E">
              <w:rPr>
                <w:b/>
                <w:bCs/>
                <w:sz w:val="16"/>
                <w:szCs w:val="16"/>
              </w:rPr>
              <w:t>Vadesiz</w:t>
            </w:r>
          </w:p>
        </w:tc>
        <w:tc>
          <w:tcPr>
            <w:tcW w:w="374" w:type="pct"/>
            <w:tcBorders>
              <w:top w:val="nil"/>
              <w:left w:val="nil"/>
              <w:bottom w:val="single" w:sz="4" w:space="0" w:color="auto"/>
              <w:right w:val="nil"/>
            </w:tcBorders>
            <w:shd w:val="clear" w:color="auto" w:fill="auto"/>
            <w:vAlign w:val="bottom"/>
            <w:hideMark/>
          </w:tcPr>
          <w:p w14:paraId="6993FBA4" w14:textId="77777777" w:rsidR="00862A01" w:rsidRPr="00872D7E" w:rsidRDefault="00862A01" w:rsidP="00862A01">
            <w:pPr>
              <w:jc w:val="right"/>
              <w:rPr>
                <w:b/>
                <w:bCs/>
                <w:sz w:val="16"/>
                <w:szCs w:val="16"/>
              </w:rPr>
            </w:pPr>
            <w:r w:rsidRPr="00872D7E">
              <w:rPr>
                <w:b/>
                <w:bCs/>
                <w:sz w:val="16"/>
                <w:szCs w:val="16"/>
              </w:rPr>
              <w:t>1 Aya Kadar</w:t>
            </w:r>
          </w:p>
        </w:tc>
        <w:tc>
          <w:tcPr>
            <w:tcW w:w="374" w:type="pct"/>
            <w:tcBorders>
              <w:top w:val="nil"/>
              <w:left w:val="nil"/>
              <w:bottom w:val="single" w:sz="4" w:space="0" w:color="auto"/>
              <w:right w:val="nil"/>
            </w:tcBorders>
            <w:shd w:val="clear" w:color="auto" w:fill="auto"/>
            <w:vAlign w:val="bottom"/>
            <w:hideMark/>
          </w:tcPr>
          <w:p w14:paraId="6D29B105" w14:textId="77777777" w:rsidR="00862A01" w:rsidRPr="00872D7E" w:rsidRDefault="00862A01" w:rsidP="00862A01">
            <w:pPr>
              <w:jc w:val="right"/>
              <w:rPr>
                <w:b/>
                <w:bCs/>
                <w:sz w:val="16"/>
                <w:szCs w:val="16"/>
              </w:rPr>
            </w:pPr>
            <w:r w:rsidRPr="00872D7E">
              <w:rPr>
                <w:b/>
                <w:bCs/>
                <w:sz w:val="16"/>
                <w:szCs w:val="16"/>
              </w:rPr>
              <w:t>3 Aya Kadar</w:t>
            </w:r>
          </w:p>
        </w:tc>
        <w:tc>
          <w:tcPr>
            <w:tcW w:w="374" w:type="pct"/>
            <w:tcBorders>
              <w:top w:val="nil"/>
              <w:left w:val="nil"/>
              <w:bottom w:val="single" w:sz="4" w:space="0" w:color="auto"/>
              <w:right w:val="nil"/>
            </w:tcBorders>
            <w:shd w:val="clear" w:color="auto" w:fill="auto"/>
            <w:vAlign w:val="bottom"/>
            <w:hideMark/>
          </w:tcPr>
          <w:p w14:paraId="737902FA" w14:textId="77777777" w:rsidR="00862A01" w:rsidRPr="00872D7E" w:rsidRDefault="00862A01" w:rsidP="00862A01">
            <w:pPr>
              <w:jc w:val="right"/>
              <w:rPr>
                <w:b/>
                <w:bCs/>
                <w:sz w:val="16"/>
                <w:szCs w:val="16"/>
              </w:rPr>
            </w:pPr>
            <w:r w:rsidRPr="00872D7E">
              <w:rPr>
                <w:b/>
                <w:bCs/>
                <w:sz w:val="16"/>
                <w:szCs w:val="16"/>
              </w:rPr>
              <w:t>6 Aya Kadar</w:t>
            </w:r>
          </w:p>
        </w:tc>
        <w:tc>
          <w:tcPr>
            <w:tcW w:w="373" w:type="pct"/>
            <w:tcBorders>
              <w:top w:val="nil"/>
              <w:left w:val="nil"/>
              <w:bottom w:val="single" w:sz="4" w:space="0" w:color="auto"/>
              <w:right w:val="nil"/>
            </w:tcBorders>
            <w:shd w:val="clear" w:color="auto" w:fill="auto"/>
            <w:vAlign w:val="bottom"/>
            <w:hideMark/>
          </w:tcPr>
          <w:p w14:paraId="04741BE6" w14:textId="77777777" w:rsidR="00862A01" w:rsidRPr="00872D7E" w:rsidRDefault="00862A01" w:rsidP="00862A01">
            <w:pPr>
              <w:jc w:val="right"/>
              <w:rPr>
                <w:b/>
                <w:bCs/>
                <w:sz w:val="16"/>
                <w:szCs w:val="16"/>
              </w:rPr>
            </w:pPr>
            <w:r w:rsidRPr="00872D7E">
              <w:rPr>
                <w:b/>
                <w:bCs/>
                <w:sz w:val="16"/>
                <w:szCs w:val="16"/>
              </w:rPr>
              <w:t>9 Aya Kadar</w:t>
            </w:r>
          </w:p>
        </w:tc>
        <w:tc>
          <w:tcPr>
            <w:tcW w:w="374" w:type="pct"/>
            <w:tcBorders>
              <w:top w:val="nil"/>
              <w:left w:val="nil"/>
              <w:bottom w:val="single" w:sz="4" w:space="0" w:color="auto"/>
              <w:right w:val="nil"/>
            </w:tcBorders>
            <w:shd w:val="clear" w:color="auto" w:fill="auto"/>
            <w:vAlign w:val="bottom"/>
            <w:hideMark/>
          </w:tcPr>
          <w:p w14:paraId="755EE965" w14:textId="77777777" w:rsidR="00862A01" w:rsidRPr="00872D7E" w:rsidRDefault="00862A01" w:rsidP="00862A01">
            <w:pPr>
              <w:jc w:val="right"/>
              <w:rPr>
                <w:b/>
                <w:bCs/>
                <w:sz w:val="16"/>
                <w:szCs w:val="16"/>
              </w:rPr>
            </w:pPr>
            <w:r w:rsidRPr="00872D7E">
              <w:rPr>
                <w:b/>
                <w:bCs/>
                <w:sz w:val="16"/>
                <w:szCs w:val="16"/>
              </w:rPr>
              <w:t>1 Yıla Kadar</w:t>
            </w:r>
          </w:p>
        </w:tc>
        <w:tc>
          <w:tcPr>
            <w:tcW w:w="526" w:type="pct"/>
            <w:tcBorders>
              <w:top w:val="nil"/>
              <w:left w:val="nil"/>
              <w:bottom w:val="single" w:sz="4" w:space="0" w:color="auto"/>
              <w:right w:val="nil"/>
            </w:tcBorders>
            <w:shd w:val="clear" w:color="auto" w:fill="auto"/>
            <w:vAlign w:val="bottom"/>
            <w:hideMark/>
          </w:tcPr>
          <w:p w14:paraId="552CB34A" w14:textId="77777777" w:rsidR="00862A01" w:rsidRPr="00872D7E" w:rsidRDefault="00862A01" w:rsidP="00862A01">
            <w:pPr>
              <w:jc w:val="right"/>
              <w:rPr>
                <w:b/>
                <w:bCs/>
                <w:sz w:val="16"/>
                <w:szCs w:val="16"/>
              </w:rPr>
            </w:pPr>
            <w:r w:rsidRPr="00872D7E">
              <w:rPr>
                <w:b/>
                <w:bCs/>
                <w:sz w:val="16"/>
                <w:szCs w:val="16"/>
              </w:rPr>
              <w:t>1 Yıl ve Üstü</w:t>
            </w:r>
          </w:p>
        </w:tc>
        <w:tc>
          <w:tcPr>
            <w:tcW w:w="531" w:type="pct"/>
            <w:tcBorders>
              <w:top w:val="nil"/>
              <w:left w:val="nil"/>
              <w:bottom w:val="single" w:sz="4" w:space="0" w:color="auto"/>
              <w:right w:val="nil"/>
            </w:tcBorders>
            <w:shd w:val="clear" w:color="auto" w:fill="auto"/>
            <w:vAlign w:val="bottom"/>
            <w:hideMark/>
          </w:tcPr>
          <w:p w14:paraId="2EE6F16E" w14:textId="77777777" w:rsidR="00862A01" w:rsidRPr="00872D7E" w:rsidRDefault="00862A01" w:rsidP="00862A01">
            <w:pPr>
              <w:jc w:val="right"/>
              <w:rPr>
                <w:b/>
                <w:bCs/>
                <w:sz w:val="16"/>
                <w:szCs w:val="16"/>
              </w:rPr>
            </w:pPr>
            <w:r w:rsidRPr="00872D7E">
              <w:rPr>
                <w:rFonts w:eastAsia="Arial Unicode MS"/>
                <w:b/>
                <w:bCs/>
                <w:sz w:val="16"/>
                <w:szCs w:val="16"/>
              </w:rPr>
              <w:t>Birikimli Katılma Hesabı</w:t>
            </w:r>
          </w:p>
        </w:tc>
        <w:tc>
          <w:tcPr>
            <w:tcW w:w="360" w:type="pct"/>
            <w:tcBorders>
              <w:top w:val="nil"/>
              <w:left w:val="nil"/>
              <w:bottom w:val="single" w:sz="4" w:space="0" w:color="auto"/>
              <w:right w:val="nil"/>
            </w:tcBorders>
            <w:shd w:val="clear" w:color="auto" w:fill="auto"/>
            <w:vAlign w:val="bottom"/>
            <w:hideMark/>
          </w:tcPr>
          <w:p w14:paraId="6CC8D0BD" w14:textId="77777777" w:rsidR="00862A01" w:rsidRPr="00872D7E" w:rsidRDefault="00862A01" w:rsidP="00862A01">
            <w:pPr>
              <w:jc w:val="right"/>
              <w:rPr>
                <w:b/>
                <w:bCs/>
                <w:sz w:val="16"/>
                <w:szCs w:val="16"/>
              </w:rPr>
            </w:pPr>
            <w:r w:rsidRPr="00872D7E">
              <w:rPr>
                <w:b/>
                <w:bCs/>
                <w:sz w:val="16"/>
                <w:szCs w:val="16"/>
              </w:rPr>
              <w:t>Toplam</w:t>
            </w:r>
          </w:p>
        </w:tc>
      </w:tr>
      <w:tr w:rsidR="00862A01" w:rsidRPr="00872D7E" w14:paraId="5CF7A779" w14:textId="77777777" w:rsidTr="00020D5C">
        <w:trPr>
          <w:divId w:val="1987661959"/>
          <w:trHeight w:val="113"/>
        </w:trPr>
        <w:tc>
          <w:tcPr>
            <w:tcW w:w="1343" w:type="pct"/>
            <w:tcBorders>
              <w:top w:val="nil"/>
              <w:left w:val="nil"/>
              <w:bottom w:val="nil"/>
              <w:right w:val="nil"/>
            </w:tcBorders>
            <w:shd w:val="clear" w:color="auto" w:fill="auto"/>
            <w:noWrap/>
            <w:vAlign w:val="bottom"/>
            <w:hideMark/>
          </w:tcPr>
          <w:p w14:paraId="76A94941" w14:textId="77777777" w:rsidR="00862A01" w:rsidRPr="00872D7E" w:rsidRDefault="00862A01" w:rsidP="00862A01">
            <w:pPr>
              <w:jc w:val="right"/>
              <w:rPr>
                <w:b/>
                <w:bCs/>
                <w:sz w:val="16"/>
                <w:szCs w:val="16"/>
              </w:rPr>
            </w:pPr>
          </w:p>
        </w:tc>
        <w:tc>
          <w:tcPr>
            <w:tcW w:w="372" w:type="pct"/>
            <w:tcBorders>
              <w:top w:val="nil"/>
              <w:left w:val="nil"/>
              <w:bottom w:val="nil"/>
              <w:right w:val="nil"/>
            </w:tcBorders>
            <w:shd w:val="clear" w:color="auto" w:fill="auto"/>
            <w:vAlign w:val="center"/>
            <w:hideMark/>
          </w:tcPr>
          <w:p w14:paraId="576C30AF" w14:textId="77777777" w:rsidR="00862A01" w:rsidRPr="00872D7E" w:rsidRDefault="00862A01" w:rsidP="00862A01">
            <w:pPr>
              <w:jc w:val="right"/>
              <w:rPr>
                <w:sz w:val="16"/>
                <w:szCs w:val="16"/>
              </w:rPr>
            </w:pPr>
          </w:p>
        </w:tc>
        <w:tc>
          <w:tcPr>
            <w:tcW w:w="374" w:type="pct"/>
            <w:tcBorders>
              <w:top w:val="nil"/>
              <w:left w:val="nil"/>
              <w:bottom w:val="nil"/>
              <w:right w:val="nil"/>
            </w:tcBorders>
            <w:shd w:val="clear" w:color="auto" w:fill="auto"/>
            <w:vAlign w:val="center"/>
            <w:hideMark/>
          </w:tcPr>
          <w:p w14:paraId="6C947CF8" w14:textId="77777777" w:rsidR="00862A01" w:rsidRPr="00872D7E" w:rsidRDefault="00862A01" w:rsidP="00862A01">
            <w:pPr>
              <w:jc w:val="right"/>
              <w:rPr>
                <w:sz w:val="16"/>
                <w:szCs w:val="16"/>
              </w:rPr>
            </w:pPr>
          </w:p>
        </w:tc>
        <w:tc>
          <w:tcPr>
            <w:tcW w:w="374" w:type="pct"/>
            <w:tcBorders>
              <w:top w:val="nil"/>
              <w:left w:val="nil"/>
              <w:bottom w:val="nil"/>
              <w:right w:val="nil"/>
            </w:tcBorders>
            <w:shd w:val="clear" w:color="auto" w:fill="auto"/>
            <w:vAlign w:val="center"/>
            <w:hideMark/>
          </w:tcPr>
          <w:p w14:paraId="178B164E" w14:textId="77777777" w:rsidR="00862A01" w:rsidRPr="00872D7E" w:rsidRDefault="00862A01" w:rsidP="00862A01">
            <w:pPr>
              <w:jc w:val="right"/>
              <w:rPr>
                <w:sz w:val="16"/>
                <w:szCs w:val="16"/>
              </w:rPr>
            </w:pPr>
          </w:p>
        </w:tc>
        <w:tc>
          <w:tcPr>
            <w:tcW w:w="374" w:type="pct"/>
            <w:tcBorders>
              <w:top w:val="nil"/>
              <w:left w:val="nil"/>
              <w:bottom w:val="nil"/>
              <w:right w:val="nil"/>
            </w:tcBorders>
            <w:shd w:val="clear" w:color="auto" w:fill="auto"/>
            <w:vAlign w:val="center"/>
            <w:hideMark/>
          </w:tcPr>
          <w:p w14:paraId="4DE36A81" w14:textId="77777777" w:rsidR="00862A01" w:rsidRPr="00872D7E" w:rsidRDefault="00862A01" w:rsidP="00862A01">
            <w:pPr>
              <w:jc w:val="right"/>
              <w:rPr>
                <w:sz w:val="16"/>
                <w:szCs w:val="16"/>
              </w:rPr>
            </w:pPr>
          </w:p>
        </w:tc>
        <w:tc>
          <w:tcPr>
            <w:tcW w:w="373" w:type="pct"/>
            <w:tcBorders>
              <w:top w:val="nil"/>
              <w:left w:val="nil"/>
              <w:bottom w:val="nil"/>
              <w:right w:val="nil"/>
            </w:tcBorders>
            <w:shd w:val="clear" w:color="auto" w:fill="auto"/>
            <w:vAlign w:val="center"/>
            <w:hideMark/>
          </w:tcPr>
          <w:p w14:paraId="2879AB3C" w14:textId="77777777" w:rsidR="00862A01" w:rsidRPr="00872D7E" w:rsidRDefault="00862A01" w:rsidP="00862A01">
            <w:pPr>
              <w:jc w:val="right"/>
              <w:rPr>
                <w:sz w:val="16"/>
                <w:szCs w:val="16"/>
              </w:rPr>
            </w:pPr>
          </w:p>
        </w:tc>
        <w:tc>
          <w:tcPr>
            <w:tcW w:w="374" w:type="pct"/>
            <w:tcBorders>
              <w:top w:val="nil"/>
              <w:left w:val="nil"/>
              <w:bottom w:val="nil"/>
              <w:right w:val="nil"/>
            </w:tcBorders>
            <w:shd w:val="clear" w:color="auto" w:fill="auto"/>
            <w:vAlign w:val="center"/>
            <w:hideMark/>
          </w:tcPr>
          <w:p w14:paraId="5EAAE480" w14:textId="77777777" w:rsidR="00862A01" w:rsidRPr="00872D7E" w:rsidRDefault="00862A01" w:rsidP="00862A01">
            <w:pPr>
              <w:jc w:val="right"/>
              <w:rPr>
                <w:sz w:val="16"/>
                <w:szCs w:val="16"/>
              </w:rPr>
            </w:pPr>
          </w:p>
        </w:tc>
        <w:tc>
          <w:tcPr>
            <w:tcW w:w="526" w:type="pct"/>
            <w:tcBorders>
              <w:top w:val="nil"/>
              <w:left w:val="nil"/>
              <w:bottom w:val="nil"/>
              <w:right w:val="nil"/>
            </w:tcBorders>
            <w:shd w:val="clear" w:color="auto" w:fill="auto"/>
            <w:vAlign w:val="center"/>
            <w:hideMark/>
          </w:tcPr>
          <w:p w14:paraId="5D0CFC2F" w14:textId="77777777" w:rsidR="00862A01" w:rsidRPr="00872D7E" w:rsidRDefault="00862A01" w:rsidP="00862A01">
            <w:pPr>
              <w:jc w:val="right"/>
              <w:rPr>
                <w:sz w:val="16"/>
                <w:szCs w:val="16"/>
              </w:rPr>
            </w:pPr>
          </w:p>
        </w:tc>
        <w:tc>
          <w:tcPr>
            <w:tcW w:w="531" w:type="pct"/>
            <w:tcBorders>
              <w:top w:val="nil"/>
              <w:left w:val="nil"/>
              <w:bottom w:val="nil"/>
              <w:right w:val="nil"/>
            </w:tcBorders>
            <w:shd w:val="clear" w:color="auto" w:fill="auto"/>
            <w:vAlign w:val="center"/>
            <w:hideMark/>
          </w:tcPr>
          <w:p w14:paraId="56337050" w14:textId="77777777" w:rsidR="00862A01" w:rsidRPr="00872D7E" w:rsidRDefault="00862A01" w:rsidP="00862A01">
            <w:pPr>
              <w:jc w:val="right"/>
              <w:rPr>
                <w:sz w:val="16"/>
                <w:szCs w:val="16"/>
              </w:rPr>
            </w:pPr>
          </w:p>
        </w:tc>
        <w:tc>
          <w:tcPr>
            <w:tcW w:w="360" w:type="pct"/>
            <w:tcBorders>
              <w:top w:val="nil"/>
              <w:left w:val="nil"/>
              <w:bottom w:val="nil"/>
              <w:right w:val="nil"/>
            </w:tcBorders>
            <w:shd w:val="clear" w:color="auto" w:fill="auto"/>
            <w:vAlign w:val="center"/>
            <w:hideMark/>
          </w:tcPr>
          <w:p w14:paraId="0E6893B8" w14:textId="77777777" w:rsidR="00862A01" w:rsidRPr="00872D7E" w:rsidRDefault="00862A01" w:rsidP="00862A01">
            <w:pPr>
              <w:jc w:val="right"/>
              <w:rPr>
                <w:sz w:val="16"/>
                <w:szCs w:val="16"/>
              </w:rPr>
            </w:pPr>
          </w:p>
        </w:tc>
      </w:tr>
      <w:tr w:rsidR="00862A01" w:rsidRPr="00872D7E" w14:paraId="4FEFE960"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23E0BE8D" w14:textId="77777777" w:rsidR="00862A01" w:rsidRPr="00872D7E" w:rsidRDefault="00862A01" w:rsidP="00862A01">
            <w:pPr>
              <w:rPr>
                <w:b/>
                <w:bCs/>
                <w:sz w:val="16"/>
                <w:szCs w:val="16"/>
              </w:rPr>
            </w:pPr>
            <w:r w:rsidRPr="00872D7E">
              <w:rPr>
                <w:b/>
                <w:bCs/>
                <w:sz w:val="16"/>
                <w:szCs w:val="16"/>
              </w:rPr>
              <w:t>I. Özel Cari Hesaplar Gerçek Kişi Ticari Olmayan-TP</w:t>
            </w:r>
          </w:p>
        </w:tc>
        <w:tc>
          <w:tcPr>
            <w:tcW w:w="372" w:type="pct"/>
            <w:tcBorders>
              <w:top w:val="nil"/>
              <w:left w:val="nil"/>
              <w:bottom w:val="nil"/>
              <w:right w:val="nil"/>
            </w:tcBorders>
            <w:shd w:val="clear" w:color="auto" w:fill="auto"/>
            <w:vAlign w:val="bottom"/>
            <w:hideMark/>
          </w:tcPr>
          <w:p w14:paraId="7FFAE8C8"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57C13E63"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2B832E03"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6288FEF5"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3CA9DCFD"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5B8FA389"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30819F81"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77D0DE71" w14:textId="77777777" w:rsidR="00862A01" w:rsidRPr="00872D7E" w:rsidRDefault="00862A01" w:rsidP="00862A01">
            <w:pPr>
              <w:jc w:val="right"/>
              <w:rPr>
                <w:b/>
                <w:bCs/>
                <w:sz w:val="16"/>
                <w:szCs w:val="16"/>
              </w:rPr>
            </w:pPr>
            <w:r w:rsidRPr="00872D7E">
              <w:rPr>
                <w:rFonts w:eastAsia="Arial Unicode MS"/>
                <w:b/>
                <w:bCs/>
                <w:sz w:val="16"/>
                <w:szCs w:val="16"/>
              </w:rPr>
              <w:t>-</w:t>
            </w:r>
          </w:p>
        </w:tc>
        <w:tc>
          <w:tcPr>
            <w:tcW w:w="360" w:type="pct"/>
            <w:tcBorders>
              <w:top w:val="nil"/>
              <w:left w:val="nil"/>
              <w:bottom w:val="nil"/>
              <w:right w:val="nil"/>
            </w:tcBorders>
            <w:shd w:val="clear" w:color="auto" w:fill="auto"/>
            <w:vAlign w:val="bottom"/>
            <w:hideMark/>
          </w:tcPr>
          <w:p w14:paraId="22F2994D"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0A01EA8A"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41D8EFE0" w14:textId="77777777" w:rsidR="00862A01" w:rsidRPr="00872D7E" w:rsidRDefault="00862A01" w:rsidP="00862A01">
            <w:pPr>
              <w:rPr>
                <w:b/>
                <w:bCs/>
                <w:sz w:val="16"/>
                <w:szCs w:val="16"/>
              </w:rPr>
            </w:pPr>
            <w:r w:rsidRPr="00872D7E">
              <w:rPr>
                <w:b/>
                <w:bCs/>
                <w:sz w:val="16"/>
                <w:szCs w:val="16"/>
              </w:rPr>
              <w:t>II. Katılma Hesapları Gerçek Kişi Ticari Olmayan-TP</w:t>
            </w:r>
          </w:p>
        </w:tc>
        <w:tc>
          <w:tcPr>
            <w:tcW w:w="372" w:type="pct"/>
            <w:tcBorders>
              <w:top w:val="nil"/>
              <w:left w:val="nil"/>
              <w:bottom w:val="nil"/>
              <w:right w:val="nil"/>
            </w:tcBorders>
            <w:shd w:val="clear" w:color="auto" w:fill="auto"/>
            <w:vAlign w:val="bottom"/>
            <w:hideMark/>
          </w:tcPr>
          <w:p w14:paraId="3A7742B6"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0C470DE5"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1CECD280"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445436D7"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6DC8B4BD"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47CAA04F"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4374D509"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741D880B"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2BF8FCAB"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62BC2FEE"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068F6F60" w14:textId="77777777" w:rsidR="00862A01" w:rsidRPr="00872D7E" w:rsidRDefault="00862A01" w:rsidP="00862A01">
            <w:pPr>
              <w:rPr>
                <w:b/>
                <w:bCs/>
                <w:sz w:val="16"/>
                <w:szCs w:val="16"/>
              </w:rPr>
            </w:pPr>
            <w:r w:rsidRPr="00872D7E">
              <w:rPr>
                <w:b/>
                <w:bCs/>
                <w:sz w:val="16"/>
                <w:szCs w:val="16"/>
              </w:rPr>
              <w:t>III. Özel Cari Hesaplar Diğer-TP</w:t>
            </w:r>
          </w:p>
        </w:tc>
        <w:tc>
          <w:tcPr>
            <w:tcW w:w="372" w:type="pct"/>
            <w:tcBorders>
              <w:top w:val="nil"/>
              <w:left w:val="nil"/>
              <w:bottom w:val="nil"/>
              <w:right w:val="nil"/>
            </w:tcBorders>
            <w:shd w:val="clear" w:color="auto" w:fill="auto"/>
            <w:vAlign w:val="bottom"/>
            <w:hideMark/>
          </w:tcPr>
          <w:p w14:paraId="47B0750A" w14:textId="77777777" w:rsidR="00862A01" w:rsidRPr="00872D7E" w:rsidRDefault="00862A01" w:rsidP="00862A01">
            <w:pPr>
              <w:jc w:val="right"/>
              <w:rPr>
                <w:b/>
                <w:bCs/>
                <w:sz w:val="16"/>
                <w:szCs w:val="16"/>
              </w:rPr>
            </w:pPr>
            <w:r w:rsidRPr="00872D7E">
              <w:rPr>
                <w:b/>
                <w:bCs/>
                <w:sz w:val="16"/>
                <w:szCs w:val="16"/>
              </w:rPr>
              <w:t>29</w:t>
            </w:r>
          </w:p>
        </w:tc>
        <w:tc>
          <w:tcPr>
            <w:tcW w:w="374" w:type="pct"/>
            <w:tcBorders>
              <w:top w:val="nil"/>
              <w:left w:val="nil"/>
              <w:bottom w:val="nil"/>
              <w:right w:val="nil"/>
            </w:tcBorders>
            <w:shd w:val="clear" w:color="auto" w:fill="auto"/>
            <w:vAlign w:val="bottom"/>
            <w:hideMark/>
          </w:tcPr>
          <w:p w14:paraId="5786DF31"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6C2D3D7B"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1E9C79FE"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7400C4BC"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5C885ABA"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760D8A47"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007EB78A"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1853D26C" w14:textId="77777777" w:rsidR="00862A01" w:rsidRPr="00872D7E" w:rsidRDefault="00862A01" w:rsidP="00862A01">
            <w:pPr>
              <w:jc w:val="right"/>
              <w:rPr>
                <w:b/>
                <w:bCs/>
                <w:sz w:val="16"/>
                <w:szCs w:val="16"/>
              </w:rPr>
            </w:pPr>
            <w:r w:rsidRPr="00872D7E">
              <w:rPr>
                <w:b/>
                <w:bCs/>
                <w:sz w:val="16"/>
                <w:szCs w:val="16"/>
              </w:rPr>
              <w:t>29</w:t>
            </w:r>
          </w:p>
        </w:tc>
      </w:tr>
      <w:tr w:rsidR="00862A01" w:rsidRPr="00872D7E" w14:paraId="79B4967F"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6887B9BA" w14:textId="77777777" w:rsidR="00862A01" w:rsidRPr="00872D7E" w:rsidRDefault="00862A01" w:rsidP="00862A01">
            <w:pPr>
              <w:rPr>
                <w:sz w:val="16"/>
                <w:szCs w:val="16"/>
              </w:rPr>
            </w:pPr>
            <w:r w:rsidRPr="00872D7E">
              <w:rPr>
                <w:sz w:val="16"/>
                <w:szCs w:val="16"/>
              </w:rPr>
              <w:t>Resmi Kuruluşlar</w:t>
            </w:r>
          </w:p>
        </w:tc>
        <w:tc>
          <w:tcPr>
            <w:tcW w:w="372" w:type="pct"/>
            <w:tcBorders>
              <w:top w:val="nil"/>
              <w:left w:val="nil"/>
              <w:bottom w:val="nil"/>
              <w:right w:val="nil"/>
            </w:tcBorders>
            <w:shd w:val="clear" w:color="auto" w:fill="auto"/>
            <w:vAlign w:val="bottom"/>
            <w:hideMark/>
          </w:tcPr>
          <w:p w14:paraId="39ED0B4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5D5B20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21B823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45F89B7"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033167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2F27E46"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7BE2F421"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4CBC98BD"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7A3C6326" w14:textId="77777777" w:rsidR="00862A01" w:rsidRPr="00872D7E" w:rsidRDefault="00862A01" w:rsidP="00862A01">
            <w:pPr>
              <w:jc w:val="right"/>
              <w:rPr>
                <w:sz w:val="16"/>
                <w:szCs w:val="16"/>
              </w:rPr>
            </w:pPr>
            <w:r w:rsidRPr="00872D7E">
              <w:rPr>
                <w:sz w:val="16"/>
                <w:szCs w:val="16"/>
              </w:rPr>
              <w:t>-</w:t>
            </w:r>
          </w:p>
        </w:tc>
      </w:tr>
      <w:tr w:rsidR="00862A01" w:rsidRPr="00872D7E" w14:paraId="27ED4D52"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1FFE8358" w14:textId="77777777" w:rsidR="00862A01" w:rsidRPr="00872D7E" w:rsidRDefault="00862A01" w:rsidP="00862A01">
            <w:pPr>
              <w:rPr>
                <w:sz w:val="16"/>
                <w:szCs w:val="16"/>
              </w:rPr>
            </w:pPr>
            <w:r w:rsidRPr="00872D7E">
              <w:rPr>
                <w:sz w:val="16"/>
                <w:szCs w:val="16"/>
              </w:rPr>
              <w:t>Ticari Kuruluşlar</w:t>
            </w:r>
          </w:p>
        </w:tc>
        <w:tc>
          <w:tcPr>
            <w:tcW w:w="372" w:type="pct"/>
            <w:tcBorders>
              <w:top w:val="nil"/>
              <w:left w:val="nil"/>
              <w:bottom w:val="nil"/>
              <w:right w:val="nil"/>
            </w:tcBorders>
            <w:shd w:val="clear" w:color="auto" w:fill="auto"/>
            <w:vAlign w:val="bottom"/>
            <w:hideMark/>
          </w:tcPr>
          <w:p w14:paraId="02018E88" w14:textId="77777777" w:rsidR="00862A01" w:rsidRPr="00872D7E" w:rsidRDefault="00862A01" w:rsidP="00862A01">
            <w:pPr>
              <w:jc w:val="right"/>
              <w:rPr>
                <w:sz w:val="16"/>
                <w:szCs w:val="16"/>
              </w:rPr>
            </w:pPr>
            <w:r w:rsidRPr="00872D7E">
              <w:rPr>
                <w:sz w:val="16"/>
                <w:szCs w:val="16"/>
              </w:rPr>
              <w:t>29</w:t>
            </w:r>
          </w:p>
        </w:tc>
        <w:tc>
          <w:tcPr>
            <w:tcW w:w="374" w:type="pct"/>
            <w:tcBorders>
              <w:top w:val="nil"/>
              <w:left w:val="nil"/>
              <w:bottom w:val="nil"/>
              <w:right w:val="nil"/>
            </w:tcBorders>
            <w:shd w:val="clear" w:color="auto" w:fill="auto"/>
            <w:vAlign w:val="bottom"/>
            <w:hideMark/>
          </w:tcPr>
          <w:p w14:paraId="10C5966E"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728B51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FB7BD2C"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06E112F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3A10FE8"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54EBF505"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7B23B46D"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23CDC438" w14:textId="77777777" w:rsidR="00862A01" w:rsidRPr="00872D7E" w:rsidRDefault="00862A01" w:rsidP="00862A01">
            <w:pPr>
              <w:jc w:val="right"/>
              <w:rPr>
                <w:sz w:val="16"/>
                <w:szCs w:val="16"/>
              </w:rPr>
            </w:pPr>
            <w:r w:rsidRPr="00872D7E">
              <w:rPr>
                <w:sz w:val="16"/>
                <w:szCs w:val="16"/>
              </w:rPr>
              <w:t>29</w:t>
            </w:r>
          </w:p>
        </w:tc>
      </w:tr>
      <w:tr w:rsidR="00862A01" w:rsidRPr="00872D7E" w14:paraId="320358CA"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55BC0660" w14:textId="77777777" w:rsidR="00862A01" w:rsidRPr="00872D7E" w:rsidRDefault="00862A01" w:rsidP="00862A01">
            <w:pPr>
              <w:rPr>
                <w:sz w:val="16"/>
                <w:szCs w:val="16"/>
              </w:rPr>
            </w:pPr>
            <w:r w:rsidRPr="00872D7E">
              <w:rPr>
                <w:sz w:val="16"/>
                <w:szCs w:val="16"/>
              </w:rPr>
              <w:t>Diğer Kuruluşlar</w:t>
            </w:r>
          </w:p>
        </w:tc>
        <w:tc>
          <w:tcPr>
            <w:tcW w:w="372" w:type="pct"/>
            <w:tcBorders>
              <w:top w:val="nil"/>
              <w:left w:val="nil"/>
              <w:bottom w:val="nil"/>
              <w:right w:val="nil"/>
            </w:tcBorders>
            <w:shd w:val="clear" w:color="auto" w:fill="auto"/>
            <w:vAlign w:val="bottom"/>
            <w:hideMark/>
          </w:tcPr>
          <w:p w14:paraId="294D649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9180AC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A61868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A72988D"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95312D8"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306B618"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73849773"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40B303B9"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2EA2AE3E" w14:textId="77777777" w:rsidR="00862A01" w:rsidRPr="00872D7E" w:rsidRDefault="00862A01" w:rsidP="00862A01">
            <w:pPr>
              <w:jc w:val="right"/>
              <w:rPr>
                <w:sz w:val="16"/>
                <w:szCs w:val="16"/>
              </w:rPr>
            </w:pPr>
            <w:r w:rsidRPr="00872D7E">
              <w:rPr>
                <w:sz w:val="16"/>
                <w:szCs w:val="16"/>
              </w:rPr>
              <w:t>-</w:t>
            </w:r>
          </w:p>
        </w:tc>
      </w:tr>
      <w:tr w:rsidR="00862A01" w:rsidRPr="00872D7E" w14:paraId="1D9B7F26"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4572162C" w14:textId="77777777" w:rsidR="00862A01" w:rsidRPr="00872D7E" w:rsidRDefault="00862A01" w:rsidP="00862A01">
            <w:pPr>
              <w:rPr>
                <w:sz w:val="16"/>
                <w:szCs w:val="16"/>
              </w:rPr>
            </w:pPr>
            <w:r w:rsidRPr="00872D7E">
              <w:rPr>
                <w:sz w:val="16"/>
                <w:szCs w:val="16"/>
              </w:rPr>
              <w:t xml:space="preserve">Ticari ve </w:t>
            </w:r>
            <w:proofErr w:type="gramStart"/>
            <w:r w:rsidRPr="00872D7E">
              <w:rPr>
                <w:sz w:val="16"/>
                <w:szCs w:val="16"/>
              </w:rPr>
              <w:t>Diğer</w:t>
            </w:r>
            <w:proofErr w:type="gramEnd"/>
            <w:r w:rsidRPr="00872D7E">
              <w:rPr>
                <w:sz w:val="16"/>
                <w:szCs w:val="16"/>
              </w:rPr>
              <w:t xml:space="preserve"> Kur.</w:t>
            </w:r>
          </w:p>
        </w:tc>
        <w:tc>
          <w:tcPr>
            <w:tcW w:w="372" w:type="pct"/>
            <w:tcBorders>
              <w:top w:val="nil"/>
              <w:left w:val="nil"/>
              <w:bottom w:val="nil"/>
              <w:right w:val="nil"/>
            </w:tcBorders>
            <w:shd w:val="clear" w:color="auto" w:fill="auto"/>
            <w:vAlign w:val="bottom"/>
            <w:hideMark/>
          </w:tcPr>
          <w:p w14:paraId="44C97931"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03B132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55AD4D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8A56C12"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D2FB68C"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A7AE1B0"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07310C0F"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7FA85D3C"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790DB311" w14:textId="77777777" w:rsidR="00862A01" w:rsidRPr="00872D7E" w:rsidRDefault="00862A01" w:rsidP="00862A01">
            <w:pPr>
              <w:jc w:val="right"/>
              <w:rPr>
                <w:sz w:val="16"/>
                <w:szCs w:val="16"/>
              </w:rPr>
            </w:pPr>
            <w:r w:rsidRPr="00872D7E">
              <w:rPr>
                <w:sz w:val="16"/>
                <w:szCs w:val="16"/>
              </w:rPr>
              <w:t>-</w:t>
            </w:r>
          </w:p>
        </w:tc>
      </w:tr>
      <w:tr w:rsidR="00862A01" w:rsidRPr="00872D7E" w14:paraId="4210547A"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7169A4E6" w14:textId="77777777" w:rsidR="00862A01" w:rsidRPr="00872D7E" w:rsidRDefault="00862A01" w:rsidP="00862A01">
            <w:pPr>
              <w:rPr>
                <w:sz w:val="16"/>
                <w:szCs w:val="16"/>
              </w:rPr>
            </w:pPr>
            <w:r w:rsidRPr="00872D7E">
              <w:rPr>
                <w:sz w:val="16"/>
                <w:szCs w:val="16"/>
              </w:rPr>
              <w:t>Bankalar ve Katılım Bankaları</w:t>
            </w:r>
          </w:p>
        </w:tc>
        <w:tc>
          <w:tcPr>
            <w:tcW w:w="372" w:type="pct"/>
            <w:tcBorders>
              <w:top w:val="nil"/>
              <w:left w:val="nil"/>
              <w:bottom w:val="nil"/>
              <w:right w:val="nil"/>
            </w:tcBorders>
            <w:shd w:val="clear" w:color="auto" w:fill="auto"/>
            <w:vAlign w:val="bottom"/>
            <w:hideMark/>
          </w:tcPr>
          <w:p w14:paraId="7CE8126C"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E17B7A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EECD28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E55C861"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BF51FA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5CD4C86"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6FFD8340"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6BA10E88"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1CB760FC" w14:textId="77777777" w:rsidR="00862A01" w:rsidRPr="00872D7E" w:rsidRDefault="00862A01" w:rsidP="00862A01">
            <w:pPr>
              <w:jc w:val="right"/>
              <w:rPr>
                <w:sz w:val="16"/>
                <w:szCs w:val="16"/>
              </w:rPr>
            </w:pPr>
            <w:r w:rsidRPr="00872D7E">
              <w:rPr>
                <w:sz w:val="16"/>
                <w:szCs w:val="16"/>
              </w:rPr>
              <w:t>-</w:t>
            </w:r>
          </w:p>
        </w:tc>
      </w:tr>
      <w:tr w:rsidR="00862A01" w:rsidRPr="00872D7E" w14:paraId="48AFEC96"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07859741" w14:textId="77777777" w:rsidR="00862A01" w:rsidRPr="00872D7E" w:rsidRDefault="00862A01" w:rsidP="00862A01">
            <w:pPr>
              <w:rPr>
                <w:sz w:val="16"/>
                <w:szCs w:val="16"/>
              </w:rPr>
            </w:pPr>
            <w:r w:rsidRPr="00872D7E">
              <w:rPr>
                <w:sz w:val="16"/>
                <w:szCs w:val="16"/>
              </w:rPr>
              <w:t>TCMB</w:t>
            </w:r>
          </w:p>
        </w:tc>
        <w:tc>
          <w:tcPr>
            <w:tcW w:w="372" w:type="pct"/>
            <w:tcBorders>
              <w:top w:val="nil"/>
              <w:left w:val="nil"/>
              <w:bottom w:val="nil"/>
              <w:right w:val="nil"/>
            </w:tcBorders>
            <w:shd w:val="clear" w:color="auto" w:fill="auto"/>
            <w:vAlign w:val="bottom"/>
            <w:hideMark/>
          </w:tcPr>
          <w:p w14:paraId="2B083E4E"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64AF7D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5122A0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4E40AD1"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0B7FC274"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F539D67"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05CA5A47"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3EF611D0"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01161F00" w14:textId="77777777" w:rsidR="00862A01" w:rsidRPr="00872D7E" w:rsidRDefault="00862A01" w:rsidP="00862A01">
            <w:pPr>
              <w:jc w:val="right"/>
              <w:rPr>
                <w:sz w:val="16"/>
                <w:szCs w:val="16"/>
              </w:rPr>
            </w:pPr>
            <w:r w:rsidRPr="00872D7E">
              <w:rPr>
                <w:sz w:val="16"/>
                <w:szCs w:val="16"/>
              </w:rPr>
              <w:t>-</w:t>
            </w:r>
          </w:p>
        </w:tc>
      </w:tr>
      <w:tr w:rsidR="00862A01" w:rsidRPr="00872D7E" w14:paraId="46768E2B"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20140911" w14:textId="77777777" w:rsidR="00862A01" w:rsidRPr="00872D7E" w:rsidRDefault="00862A01" w:rsidP="00862A01">
            <w:pPr>
              <w:rPr>
                <w:sz w:val="16"/>
                <w:szCs w:val="16"/>
              </w:rPr>
            </w:pPr>
            <w:r w:rsidRPr="00872D7E">
              <w:rPr>
                <w:sz w:val="16"/>
                <w:szCs w:val="16"/>
              </w:rPr>
              <w:t>Yurtiçi Bankalar</w:t>
            </w:r>
          </w:p>
        </w:tc>
        <w:tc>
          <w:tcPr>
            <w:tcW w:w="372" w:type="pct"/>
            <w:tcBorders>
              <w:top w:val="nil"/>
              <w:left w:val="nil"/>
              <w:bottom w:val="nil"/>
              <w:right w:val="nil"/>
            </w:tcBorders>
            <w:shd w:val="clear" w:color="auto" w:fill="auto"/>
            <w:vAlign w:val="bottom"/>
            <w:hideMark/>
          </w:tcPr>
          <w:p w14:paraId="3BAC968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718CD6E"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D8DDAD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6122B54"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0214DD3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577DE3F"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1296117A"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22291FCF"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1EB5FB4D" w14:textId="77777777" w:rsidR="00862A01" w:rsidRPr="00872D7E" w:rsidRDefault="00862A01" w:rsidP="00862A01">
            <w:pPr>
              <w:jc w:val="right"/>
              <w:rPr>
                <w:sz w:val="16"/>
                <w:szCs w:val="16"/>
              </w:rPr>
            </w:pPr>
            <w:r w:rsidRPr="00872D7E">
              <w:rPr>
                <w:sz w:val="16"/>
                <w:szCs w:val="16"/>
              </w:rPr>
              <w:t>-</w:t>
            </w:r>
          </w:p>
        </w:tc>
      </w:tr>
      <w:tr w:rsidR="00862A01" w:rsidRPr="00872D7E" w14:paraId="7C2F9005"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4D38CF41" w14:textId="77777777" w:rsidR="00862A01" w:rsidRPr="00872D7E" w:rsidRDefault="00862A01" w:rsidP="00862A01">
            <w:pPr>
              <w:rPr>
                <w:sz w:val="16"/>
                <w:szCs w:val="16"/>
              </w:rPr>
            </w:pPr>
            <w:r w:rsidRPr="00872D7E">
              <w:rPr>
                <w:sz w:val="16"/>
                <w:szCs w:val="16"/>
              </w:rPr>
              <w:t>Yurtdışı Bankalar</w:t>
            </w:r>
          </w:p>
        </w:tc>
        <w:tc>
          <w:tcPr>
            <w:tcW w:w="372" w:type="pct"/>
            <w:tcBorders>
              <w:top w:val="nil"/>
              <w:left w:val="nil"/>
              <w:bottom w:val="nil"/>
              <w:right w:val="nil"/>
            </w:tcBorders>
            <w:shd w:val="clear" w:color="auto" w:fill="auto"/>
            <w:vAlign w:val="bottom"/>
            <w:hideMark/>
          </w:tcPr>
          <w:p w14:paraId="1773BCF8"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E252D17"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33FB1A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D8E6B5E"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BB9D4F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32C9E3D"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21BF6A12"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4754FB32"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22359205" w14:textId="77777777" w:rsidR="00862A01" w:rsidRPr="00872D7E" w:rsidRDefault="00862A01" w:rsidP="00862A01">
            <w:pPr>
              <w:jc w:val="right"/>
              <w:rPr>
                <w:sz w:val="16"/>
                <w:szCs w:val="16"/>
              </w:rPr>
            </w:pPr>
            <w:r w:rsidRPr="00872D7E">
              <w:rPr>
                <w:sz w:val="16"/>
                <w:szCs w:val="16"/>
              </w:rPr>
              <w:t>-</w:t>
            </w:r>
          </w:p>
        </w:tc>
      </w:tr>
      <w:tr w:rsidR="00862A01" w:rsidRPr="00872D7E" w14:paraId="37EE59EA"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47B51796" w14:textId="77777777" w:rsidR="00862A01" w:rsidRPr="00872D7E" w:rsidRDefault="00862A01" w:rsidP="00862A01">
            <w:pPr>
              <w:rPr>
                <w:sz w:val="16"/>
                <w:szCs w:val="16"/>
              </w:rPr>
            </w:pPr>
            <w:r w:rsidRPr="00872D7E">
              <w:rPr>
                <w:sz w:val="16"/>
                <w:szCs w:val="16"/>
              </w:rPr>
              <w:t>Katılım Bankası</w:t>
            </w:r>
          </w:p>
        </w:tc>
        <w:tc>
          <w:tcPr>
            <w:tcW w:w="372" w:type="pct"/>
            <w:tcBorders>
              <w:top w:val="nil"/>
              <w:left w:val="nil"/>
              <w:bottom w:val="nil"/>
              <w:right w:val="nil"/>
            </w:tcBorders>
            <w:shd w:val="clear" w:color="auto" w:fill="auto"/>
            <w:vAlign w:val="bottom"/>
            <w:hideMark/>
          </w:tcPr>
          <w:p w14:paraId="0956B46E"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E5498C1"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E75182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D2D5E0D"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707DDB2E"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74E7856"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086B4234"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15D778E5"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06459EEB" w14:textId="77777777" w:rsidR="00862A01" w:rsidRPr="00872D7E" w:rsidRDefault="00862A01" w:rsidP="00862A01">
            <w:pPr>
              <w:jc w:val="right"/>
              <w:rPr>
                <w:sz w:val="16"/>
                <w:szCs w:val="16"/>
              </w:rPr>
            </w:pPr>
            <w:r w:rsidRPr="00872D7E">
              <w:rPr>
                <w:sz w:val="16"/>
                <w:szCs w:val="16"/>
              </w:rPr>
              <w:t>-</w:t>
            </w:r>
          </w:p>
        </w:tc>
      </w:tr>
      <w:tr w:rsidR="00862A01" w:rsidRPr="00872D7E" w14:paraId="7EBC6BD7"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4DFC36DB" w14:textId="77777777" w:rsidR="00862A01" w:rsidRPr="00872D7E" w:rsidRDefault="00862A01" w:rsidP="00862A01">
            <w:pPr>
              <w:rPr>
                <w:sz w:val="16"/>
                <w:szCs w:val="16"/>
              </w:rPr>
            </w:pPr>
            <w:r w:rsidRPr="00872D7E">
              <w:rPr>
                <w:sz w:val="16"/>
                <w:szCs w:val="16"/>
              </w:rPr>
              <w:t>Diğer</w:t>
            </w:r>
          </w:p>
        </w:tc>
        <w:tc>
          <w:tcPr>
            <w:tcW w:w="372" w:type="pct"/>
            <w:tcBorders>
              <w:top w:val="nil"/>
              <w:left w:val="nil"/>
              <w:bottom w:val="nil"/>
              <w:right w:val="nil"/>
            </w:tcBorders>
            <w:shd w:val="clear" w:color="auto" w:fill="auto"/>
            <w:vAlign w:val="bottom"/>
            <w:hideMark/>
          </w:tcPr>
          <w:p w14:paraId="5FD1490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AEB405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E116A8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D2FC993"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5D551020"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358820E"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1582122E"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3A001FF1"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31D620FE" w14:textId="77777777" w:rsidR="00862A01" w:rsidRPr="00872D7E" w:rsidRDefault="00862A01" w:rsidP="00862A01">
            <w:pPr>
              <w:jc w:val="right"/>
              <w:rPr>
                <w:sz w:val="16"/>
                <w:szCs w:val="16"/>
              </w:rPr>
            </w:pPr>
            <w:r w:rsidRPr="00872D7E">
              <w:rPr>
                <w:sz w:val="16"/>
                <w:szCs w:val="16"/>
              </w:rPr>
              <w:t>-</w:t>
            </w:r>
          </w:p>
        </w:tc>
      </w:tr>
      <w:tr w:rsidR="00862A01" w:rsidRPr="00872D7E" w14:paraId="56916564"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1D820075" w14:textId="77777777" w:rsidR="00862A01" w:rsidRPr="00872D7E" w:rsidRDefault="00862A01" w:rsidP="00862A01">
            <w:pPr>
              <w:rPr>
                <w:b/>
                <w:bCs/>
                <w:sz w:val="16"/>
                <w:szCs w:val="16"/>
              </w:rPr>
            </w:pPr>
            <w:r w:rsidRPr="00872D7E">
              <w:rPr>
                <w:b/>
                <w:bCs/>
                <w:sz w:val="16"/>
                <w:szCs w:val="16"/>
              </w:rPr>
              <w:t>IV. Katılma Hesapları-TP</w:t>
            </w:r>
          </w:p>
        </w:tc>
        <w:tc>
          <w:tcPr>
            <w:tcW w:w="372" w:type="pct"/>
            <w:tcBorders>
              <w:top w:val="nil"/>
              <w:left w:val="nil"/>
              <w:bottom w:val="nil"/>
              <w:right w:val="nil"/>
            </w:tcBorders>
            <w:shd w:val="clear" w:color="auto" w:fill="auto"/>
            <w:vAlign w:val="bottom"/>
            <w:hideMark/>
          </w:tcPr>
          <w:p w14:paraId="1F584AF8"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1940C3FE"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64ABAE14"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2942280F"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6A07856A"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3D9615AA"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41C9F2A6"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7B6EA69D"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5EFACCD8"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7302C5FE"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22EB8EE3" w14:textId="77777777" w:rsidR="00862A01" w:rsidRPr="00872D7E" w:rsidRDefault="00862A01" w:rsidP="00862A01">
            <w:pPr>
              <w:rPr>
                <w:sz w:val="16"/>
                <w:szCs w:val="16"/>
              </w:rPr>
            </w:pPr>
            <w:r w:rsidRPr="00872D7E">
              <w:rPr>
                <w:sz w:val="16"/>
                <w:szCs w:val="16"/>
              </w:rPr>
              <w:t>Resmi Kuruluşlar</w:t>
            </w:r>
          </w:p>
        </w:tc>
        <w:tc>
          <w:tcPr>
            <w:tcW w:w="372" w:type="pct"/>
            <w:tcBorders>
              <w:top w:val="nil"/>
              <w:left w:val="nil"/>
              <w:bottom w:val="nil"/>
              <w:right w:val="nil"/>
            </w:tcBorders>
            <w:shd w:val="clear" w:color="auto" w:fill="auto"/>
            <w:vAlign w:val="bottom"/>
            <w:hideMark/>
          </w:tcPr>
          <w:p w14:paraId="41D560F9"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1F60760"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685BC5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3969CD0"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40A972E"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5567B5A"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11C71C04"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1E8A83B9"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42EC0183" w14:textId="77777777" w:rsidR="00862A01" w:rsidRPr="00872D7E" w:rsidRDefault="00862A01" w:rsidP="00862A01">
            <w:pPr>
              <w:jc w:val="right"/>
              <w:rPr>
                <w:sz w:val="16"/>
                <w:szCs w:val="16"/>
              </w:rPr>
            </w:pPr>
            <w:r w:rsidRPr="00872D7E">
              <w:rPr>
                <w:sz w:val="16"/>
                <w:szCs w:val="16"/>
              </w:rPr>
              <w:t>-</w:t>
            </w:r>
          </w:p>
        </w:tc>
      </w:tr>
      <w:tr w:rsidR="00862A01" w:rsidRPr="00872D7E" w14:paraId="3AFFC134"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4C72A572" w14:textId="77777777" w:rsidR="00862A01" w:rsidRPr="00872D7E" w:rsidRDefault="00862A01" w:rsidP="00862A01">
            <w:pPr>
              <w:rPr>
                <w:sz w:val="16"/>
                <w:szCs w:val="16"/>
              </w:rPr>
            </w:pPr>
            <w:r w:rsidRPr="00872D7E">
              <w:rPr>
                <w:sz w:val="16"/>
                <w:szCs w:val="16"/>
              </w:rPr>
              <w:t>Ticari Kuruluşlar</w:t>
            </w:r>
          </w:p>
        </w:tc>
        <w:tc>
          <w:tcPr>
            <w:tcW w:w="372" w:type="pct"/>
            <w:tcBorders>
              <w:top w:val="nil"/>
              <w:left w:val="nil"/>
              <w:bottom w:val="nil"/>
              <w:right w:val="nil"/>
            </w:tcBorders>
            <w:shd w:val="clear" w:color="auto" w:fill="auto"/>
            <w:vAlign w:val="bottom"/>
            <w:hideMark/>
          </w:tcPr>
          <w:p w14:paraId="6541F02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DA653D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0EC4DB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46ECFDB"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0A28E4F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DE5B558"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506ADF56"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2F06D570"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3436F272" w14:textId="77777777" w:rsidR="00862A01" w:rsidRPr="00872D7E" w:rsidRDefault="00862A01" w:rsidP="00862A01">
            <w:pPr>
              <w:jc w:val="right"/>
              <w:rPr>
                <w:sz w:val="16"/>
                <w:szCs w:val="16"/>
              </w:rPr>
            </w:pPr>
            <w:r w:rsidRPr="00872D7E">
              <w:rPr>
                <w:sz w:val="16"/>
                <w:szCs w:val="16"/>
              </w:rPr>
              <w:t>-</w:t>
            </w:r>
          </w:p>
        </w:tc>
      </w:tr>
      <w:tr w:rsidR="00862A01" w:rsidRPr="00872D7E" w14:paraId="0DBB9586"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00A3ADCE" w14:textId="77777777" w:rsidR="00862A01" w:rsidRPr="00872D7E" w:rsidRDefault="00862A01" w:rsidP="00862A01">
            <w:pPr>
              <w:rPr>
                <w:sz w:val="16"/>
                <w:szCs w:val="16"/>
              </w:rPr>
            </w:pPr>
            <w:r w:rsidRPr="00872D7E">
              <w:rPr>
                <w:sz w:val="16"/>
                <w:szCs w:val="16"/>
              </w:rPr>
              <w:t>Diğer Kuruluşlar</w:t>
            </w:r>
          </w:p>
        </w:tc>
        <w:tc>
          <w:tcPr>
            <w:tcW w:w="372" w:type="pct"/>
            <w:tcBorders>
              <w:top w:val="nil"/>
              <w:left w:val="nil"/>
              <w:bottom w:val="nil"/>
              <w:right w:val="nil"/>
            </w:tcBorders>
            <w:shd w:val="clear" w:color="auto" w:fill="auto"/>
            <w:vAlign w:val="bottom"/>
            <w:hideMark/>
          </w:tcPr>
          <w:p w14:paraId="224F570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8C9B0C8"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C8FD1D1"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4712953"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444B2C4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2EF1C9B"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7A29143D"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14FA4F44"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61BF94C8" w14:textId="77777777" w:rsidR="00862A01" w:rsidRPr="00872D7E" w:rsidRDefault="00862A01" w:rsidP="00862A01">
            <w:pPr>
              <w:jc w:val="right"/>
              <w:rPr>
                <w:sz w:val="16"/>
                <w:szCs w:val="16"/>
              </w:rPr>
            </w:pPr>
            <w:r w:rsidRPr="00872D7E">
              <w:rPr>
                <w:sz w:val="16"/>
                <w:szCs w:val="16"/>
              </w:rPr>
              <w:t>-</w:t>
            </w:r>
          </w:p>
        </w:tc>
      </w:tr>
      <w:tr w:rsidR="00862A01" w:rsidRPr="00872D7E" w14:paraId="75B03F02"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7063F97D" w14:textId="77777777" w:rsidR="00862A01" w:rsidRPr="00872D7E" w:rsidRDefault="00862A01" w:rsidP="00862A01">
            <w:pPr>
              <w:rPr>
                <w:sz w:val="16"/>
                <w:szCs w:val="16"/>
              </w:rPr>
            </w:pPr>
            <w:r w:rsidRPr="00872D7E">
              <w:rPr>
                <w:sz w:val="16"/>
                <w:szCs w:val="16"/>
              </w:rPr>
              <w:t xml:space="preserve">Ticari ve </w:t>
            </w:r>
            <w:proofErr w:type="gramStart"/>
            <w:r w:rsidRPr="00872D7E">
              <w:rPr>
                <w:sz w:val="16"/>
                <w:szCs w:val="16"/>
              </w:rPr>
              <w:t>Diğer</w:t>
            </w:r>
            <w:proofErr w:type="gramEnd"/>
            <w:r w:rsidRPr="00872D7E">
              <w:rPr>
                <w:sz w:val="16"/>
                <w:szCs w:val="16"/>
              </w:rPr>
              <w:t xml:space="preserve"> Kur.</w:t>
            </w:r>
          </w:p>
        </w:tc>
        <w:tc>
          <w:tcPr>
            <w:tcW w:w="372" w:type="pct"/>
            <w:tcBorders>
              <w:top w:val="nil"/>
              <w:left w:val="nil"/>
              <w:bottom w:val="nil"/>
              <w:right w:val="nil"/>
            </w:tcBorders>
            <w:shd w:val="clear" w:color="auto" w:fill="auto"/>
            <w:vAlign w:val="bottom"/>
            <w:hideMark/>
          </w:tcPr>
          <w:p w14:paraId="4667190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C375171"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13C559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2AC26F2"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15EE87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108A27B"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434DF138"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202BD574"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4CA8757E" w14:textId="77777777" w:rsidR="00862A01" w:rsidRPr="00872D7E" w:rsidRDefault="00862A01" w:rsidP="00862A01">
            <w:pPr>
              <w:jc w:val="right"/>
              <w:rPr>
                <w:sz w:val="16"/>
                <w:szCs w:val="16"/>
              </w:rPr>
            </w:pPr>
            <w:r w:rsidRPr="00872D7E">
              <w:rPr>
                <w:sz w:val="16"/>
                <w:szCs w:val="16"/>
              </w:rPr>
              <w:t>-</w:t>
            </w:r>
          </w:p>
        </w:tc>
      </w:tr>
      <w:tr w:rsidR="00862A01" w:rsidRPr="00872D7E" w14:paraId="3F5C8A11"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056E2093" w14:textId="77777777" w:rsidR="00862A01" w:rsidRPr="00872D7E" w:rsidRDefault="00862A01" w:rsidP="00862A01">
            <w:pPr>
              <w:rPr>
                <w:sz w:val="16"/>
                <w:szCs w:val="16"/>
              </w:rPr>
            </w:pPr>
            <w:r w:rsidRPr="00872D7E">
              <w:rPr>
                <w:sz w:val="16"/>
                <w:szCs w:val="16"/>
              </w:rPr>
              <w:t>Bankalar ve Katılım Bankası</w:t>
            </w:r>
          </w:p>
        </w:tc>
        <w:tc>
          <w:tcPr>
            <w:tcW w:w="372" w:type="pct"/>
            <w:tcBorders>
              <w:top w:val="nil"/>
              <w:left w:val="nil"/>
              <w:bottom w:val="nil"/>
              <w:right w:val="nil"/>
            </w:tcBorders>
            <w:shd w:val="clear" w:color="auto" w:fill="auto"/>
            <w:vAlign w:val="bottom"/>
            <w:hideMark/>
          </w:tcPr>
          <w:p w14:paraId="6CE449C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CEFD8E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860B59C"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1241B81"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41400B0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0F45D0B"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49A243BD"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710D9435"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30FB9A55" w14:textId="77777777" w:rsidR="00862A01" w:rsidRPr="00872D7E" w:rsidRDefault="00862A01" w:rsidP="00862A01">
            <w:pPr>
              <w:jc w:val="right"/>
              <w:rPr>
                <w:sz w:val="16"/>
                <w:szCs w:val="16"/>
              </w:rPr>
            </w:pPr>
            <w:r w:rsidRPr="00872D7E">
              <w:rPr>
                <w:sz w:val="16"/>
                <w:szCs w:val="16"/>
              </w:rPr>
              <w:t>-</w:t>
            </w:r>
          </w:p>
        </w:tc>
      </w:tr>
      <w:tr w:rsidR="00862A01" w:rsidRPr="00872D7E" w14:paraId="24F8F5BB"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5C298A30" w14:textId="77777777" w:rsidR="00862A01" w:rsidRPr="00872D7E" w:rsidRDefault="00862A01" w:rsidP="00862A01">
            <w:pPr>
              <w:rPr>
                <w:b/>
                <w:bCs/>
                <w:sz w:val="16"/>
                <w:szCs w:val="16"/>
              </w:rPr>
            </w:pPr>
            <w:r w:rsidRPr="00872D7E">
              <w:rPr>
                <w:b/>
                <w:bCs/>
                <w:sz w:val="16"/>
                <w:szCs w:val="16"/>
              </w:rPr>
              <w:t>V. Özel Cari Hesaplar Gerçek Kişi Ticari Olmayan-YP</w:t>
            </w:r>
          </w:p>
        </w:tc>
        <w:tc>
          <w:tcPr>
            <w:tcW w:w="372" w:type="pct"/>
            <w:tcBorders>
              <w:top w:val="nil"/>
              <w:left w:val="nil"/>
              <w:bottom w:val="nil"/>
              <w:right w:val="nil"/>
            </w:tcBorders>
            <w:shd w:val="clear" w:color="auto" w:fill="auto"/>
            <w:vAlign w:val="bottom"/>
            <w:hideMark/>
          </w:tcPr>
          <w:p w14:paraId="40A72F60"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68D14AD7"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4031198F"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36AE5BAA"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59FF64FE"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35D2551E"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61182881"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76D6B713"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263A486B"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3F2B769E"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7DF7DDFF" w14:textId="77777777" w:rsidR="00862A01" w:rsidRPr="00872D7E" w:rsidRDefault="00862A01" w:rsidP="00862A01">
            <w:pPr>
              <w:rPr>
                <w:b/>
                <w:bCs/>
                <w:sz w:val="16"/>
                <w:szCs w:val="16"/>
              </w:rPr>
            </w:pPr>
            <w:r w:rsidRPr="00872D7E">
              <w:rPr>
                <w:b/>
                <w:bCs/>
                <w:sz w:val="16"/>
                <w:szCs w:val="16"/>
              </w:rPr>
              <w:t>VI. Katılma Hesapları Gerçek Kişi Ticari Olmayan-YP</w:t>
            </w:r>
          </w:p>
        </w:tc>
        <w:tc>
          <w:tcPr>
            <w:tcW w:w="372" w:type="pct"/>
            <w:tcBorders>
              <w:top w:val="nil"/>
              <w:left w:val="nil"/>
              <w:bottom w:val="nil"/>
              <w:right w:val="nil"/>
            </w:tcBorders>
            <w:shd w:val="clear" w:color="auto" w:fill="auto"/>
            <w:vAlign w:val="bottom"/>
            <w:hideMark/>
          </w:tcPr>
          <w:p w14:paraId="290C8263" w14:textId="77777777" w:rsidR="00862A01" w:rsidRPr="00872D7E" w:rsidRDefault="00862A01" w:rsidP="00862A01">
            <w:pPr>
              <w:jc w:val="right"/>
              <w:rPr>
                <w:b/>
                <w:bCs/>
                <w:sz w:val="16"/>
                <w:szCs w:val="16"/>
              </w:rPr>
            </w:pPr>
            <w:r w:rsidRPr="00872D7E">
              <w:rPr>
                <w:b/>
                <w:bCs/>
                <w:sz w:val="16"/>
                <w:szCs w:val="16"/>
              </w:rPr>
              <w:t>26</w:t>
            </w:r>
          </w:p>
        </w:tc>
        <w:tc>
          <w:tcPr>
            <w:tcW w:w="374" w:type="pct"/>
            <w:tcBorders>
              <w:top w:val="nil"/>
              <w:left w:val="nil"/>
              <w:bottom w:val="nil"/>
              <w:right w:val="nil"/>
            </w:tcBorders>
            <w:shd w:val="clear" w:color="auto" w:fill="auto"/>
            <w:vAlign w:val="bottom"/>
            <w:hideMark/>
          </w:tcPr>
          <w:p w14:paraId="5FF2E874"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04CC97D7"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37E9C396"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1E0118FA"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2B27ED3D"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35C4FC67"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6113BA95"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4CE9C4B0" w14:textId="77777777" w:rsidR="00862A01" w:rsidRPr="00872D7E" w:rsidRDefault="00862A01" w:rsidP="00862A01">
            <w:pPr>
              <w:jc w:val="right"/>
              <w:rPr>
                <w:b/>
                <w:bCs/>
                <w:sz w:val="16"/>
                <w:szCs w:val="16"/>
              </w:rPr>
            </w:pPr>
            <w:r w:rsidRPr="00872D7E">
              <w:rPr>
                <w:b/>
                <w:bCs/>
                <w:sz w:val="16"/>
                <w:szCs w:val="16"/>
              </w:rPr>
              <w:t>26</w:t>
            </w:r>
          </w:p>
        </w:tc>
      </w:tr>
      <w:tr w:rsidR="00862A01" w:rsidRPr="00872D7E" w14:paraId="0EFA9154"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01726DB5" w14:textId="77777777" w:rsidR="00862A01" w:rsidRPr="00872D7E" w:rsidRDefault="00862A01" w:rsidP="00862A01">
            <w:pPr>
              <w:rPr>
                <w:b/>
                <w:bCs/>
                <w:sz w:val="16"/>
                <w:szCs w:val="16"/>
              </w:rPr>
            </w:pPr>
            <w:r w:rsidRPr="00872D7E">
              <w:rPr>
                <w:b/>
                <w:bCs/>
                <w:sz w:val="16"/>
                <w:szCs w:val="16"/>
              </w:rPr>
              <w:t>VII. Özel Cari Hesaplar Diğer-YP</w:t>
            </w:r>
          </w:p>
        </w:tc>
        <w:tc>
          <w:tcPr>
            <w:tcW w:w="372" w:type="pct"/>
            <w:tcBorders>
              <w:top w:val="nil"/>
              <w:left w:val="nil"/>
              <w:bottom w:val="nil"/>
              <w:right w:val="nil"/>
            </w:tcBorders>
            <w:shd w:val="clear" w:color="auto" w:fill="auto"/>
            <w:vAlign w:val="bottom"/>
            <w:hideMark/>
          </w:tcPr>
          <w:p w14:paraId="1DE77838"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53FBD06A"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7E775034"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424CCD62"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176FF10F"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3C7F98BA"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0612EDF7"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1F3FE0C5"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709E9658"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6187AA93"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3DA5F199" w14:textId="77777777" w:rsidR="00862A01" w:rsidRPr="00872D7E" w:rsidRDefault="00862A01" w:rsidP="00862A01">
            <w:pPr>
              <w:rPr>
                <w:sz w:val="16"/>
                <w:szCs w:val="16"/>
              </w:rPr>
            </w:pPr>
            <w:r w:rsidRPr="00872D7E">
              <w:rPr>
                <w:sz w:val="16"/>
                <w:szCs w:val="16"/>
              </w:rPr>
              <w:t xml:space="preserve">Yurtiçinde Yer. </w:t>
            </w:r>
            <w:proofErr w:type="spellStart"/>
            <w:r w:rsidRPr="00872D7E">
              <w:rPr>
                <w:sz w:val="16"/>
                <w:szCs w:val="16"/>
              </w:rPr>
              <w:t>Tüz</w:t>
            </w:r>
            <w:proofErr w:type="spellEnd"/>
            <w:r w:rsidRPr="00872D7E">
              <w:rPr>
                <w:sz w:val="16"/>
                <w:szCs w:val="16"/>
              </w:rPr>
              <w:t>. K</w:t>
            </w:r>
          </w:p>
        </w:tc>
        <w:tc>
          <w:tcPr>
            <w:tcW w:w="372" w:type="pct"/>
            <w:tcBorders>
              <w:top w:val="nil"/>
              <w:left w:val="nil"/>
              <w:bottom w:val="nil"/>
              <w:right w:val="nil"/>
            </w:tcBorders>
            <w:shd w:val="clear" w:color="auto" w:fill="auto"/>
            <w:vAlign w:val="bottom"/>
            <w:hideMark/>
          </w:tcPr>
          <w:p w14:paraId="2232494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E31382C"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144EFF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CB69380"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534554E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5D67BEE"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305D2FC8"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01FEC8BA"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26673C79" w14:textId="77777777" w:rsidR="00862A01" w:rsidRPr="00872D7E" w:rsidRDefault="00862A01" w:rsidP="00862A01">
            <w:pPr>
              <w:jc w:val="right"/>
              <w:rPr>
                <w:sz w:val="16"/>
                <w:szCs w:val="16"/>
              </w:rPr>
            </w:pPr>
            <w:r w:rsidRPr="00872D7E">
              <w:rPr>
                <w:sz w:val="16"/>
                <w:szCs w:val="16"/>
              </w:rPr>
              <w:t>-</w:t>
            </w:r>
          </w:p>
        </w:tc>
      </w:tr>
      <w:tr w:rsidR="00862A01" w:rsidRPr="00872D7E" w14:paraId="6C5272FC"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2CA7B839" w14:textId="77777777" w:rsidR="00862A01" w:rsidRPr="00872D7E" w:rsidRDefault="00862A01" w:rsidP="00862A01">
            <w:pPr>
              <w:rPr>
                <w:sz w:val="16"/>
                <w:szCs w:val="16"/>
              </w:rPr>
            </w:pPr>
            <w:r w:rsidRPr="00872D7E">
              <w:rPr>
                <w:sz w:val="16"/>
                <w:szCs w:val="16"/>
              </w:rPr>
              <w:t xml:space="preserve">Yurtdışında Yer. </w:t>
            </w:r>
            <w:proofErr w:type="spellStart"/>
            <w:r w:rsidRPr="00872D7E">
              <w:rPr>
                <w:sz w:val="16"/>
                <w:szCs w:val="16"/>
              </w:rPr>
              <w:t>Tüz</w:t>
            </w:r>
            <w:proofErr w:type="spellEnd"/>
            <w:r w:rsidRPr="00872D7E">
              <w:rPr>
                <w:sz w:val="16"/>
                <w:szCs w:val="16"/>
              </w:rPr>
              <w:t>. K.</w:t>
            </w:r>
          </w:p>
        </w:tc>
        <w:tc>
          <w:tcPr>
            <w:tcW w:w="372" w:type="pct"/>
            <w:tcBorders>
              <w:top w:val="nil"/>
              <w:left w:val="nil"/>
              <w:bottom w:val="nil"/>
              <w:right w:val="nil"/>
            </w:tcBorders>
            <w:shd w:val="clear" w:color="auto" w:fill="auto"/>
            <w:vAlign w:val="bottom"/>
            <w:hideMark/>
          </w:tcPr>
          <w:p w14:paraId="39532EFC"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73E4FF0"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C8D949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E8A15A3"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26CCB3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2BC848D"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6535D5F5"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5D5E15CF"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7D777F10" w14:textId="77777777" w:rsidR="00862A01" w:rsidRPr="00872D7E" w:rsidRDefault="00862A01" w:rsidP="00862A01">
            <w:pPr>
              <w:jc w:val="right"/>
              <w:rPr>
                <w:sz w:val="16"/>
                <w:szCs w:val="16"/>
              </w:rPr>
            </w:pPr>
            <w:r w:rsidRPr="00872D7E">
              <w:rPr>
                <w:sz w:val="16"/>
                <w:szCs w:val="16"/>
              </w:rPr>
              <w:t>-</w:t>
            </w:r>
          </w:p>
        </w:tc>
      </w:tr>
      <w:tr w:rsidR="00862A01" w:rsidRPr="00872D7E" w14:paraId="2065EF23"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32121639" w14:textId="77777777" w:rsidR="00862A01" w:rsidRPr="00872D7E" w:rsidRDefault="00862A01" w:rsidP="00862A01">
            <w:pPr>
              <w:rPr>
                <w:sz w:val="16"/>
                <w:szCs w:val="16"/>
              </w:rPr>
            </w:pPr>
            <w:r w:rsidRPr="00872D7E">
              <w:rPr>
                <w:sz w:val="16"/>
                <w:szCs w:val="16"/>
              </w:rPr>
              <w:t>Bankalar ve Katılım Bankaları</w:t>
            </w:r>
          </w:p>
        </w:tc>
        <w:tc>
          <w:tcPr>
            <w:tcW w:w="372" w:type="pct"/>
            <w:tcBorders>
              <w:top w:val="nil"/>
              <w:left w:val="nil"/>
              <w:bottom w:val="nil"/>
              <w:right w:val="nil"/>
            </w:tcBorders>
            <w:shd w:val="clear" w:color="auto" w:fill="auto"/>
            <w:vAlign w:val="bottom"/>
            <w:hideMark/>
          </w:tcPr>
          <w:p w14:paraId="7AEB591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1C636D4"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C322A9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B980EC9"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237C1681"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A781266"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1B66D475"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52F15A94"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102CC3F3" w14:textId="77777777" w:rsidR="00862A01" w:rsidRPr="00872D7E" w:rsidRDefault="00862A01" w:rsidP="00862A01">
            <w:pPr>
              <w:jc w:val="right"/>
              <w:rPr>
                <w:sz w:val="16"/>
                <w:szCs w:val="16"/>
              </w:rPr>
            </w:pPr>
            <w:r w:rsidRPr="00872D7E">
              <w:rPr>
                <w:sz w:val="16"/>
                <w:szCs w:val="16"/>
              </w:rPr>
              <w:t>-</w:t>
            </w:r>
          </w:p>
        </w:tc>
      </w:tr>
      <w:tr w:rsidR="00862A01" w:rsidRPr="00872D7E" w14:paraId="3ECE733A"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0193CB7D" w14:textId="77777777" w:rsidR="00862A01" w:rsidRPr="00872D7E" w:rsidRDefault="00862A01" w:rsidP="00862A01">
            <w:pPr>
              <w:rPr>
                <w:sz w:val="16"/>
                <w:szCs w:val="16"/>
              </w:rPr>
            </w:pPr>
            <w:r w:rsidRPr="00872D7E">
              <w:rPr>
                <w:sz w:val="16"/>
                <w:szCs w:val="16"/>
              </w:rPr>
              <w:t>TCMB</w:t>
            </w:r>
          </w:p>
        </w:tc>
        <w:tc>
          <w:tcPr>
            <w:tcW w:w="372" w:type="pct"/>
            <w:tcBorders>
              <w:top w:val="nil"/>
              <w:left w:val="nil"/>
              <w:bottom w:val="nil"/>
              <w:right w:val="nil"/>
            </w:tcBorders>
            <w:shd w:val="clear" w:color="auto" w:fill="auto"/>
            <w:vAlign w:val="bottom"/>
            <w:hideMark/>
          </w:tcPr>
          <w:p w14:paraId="1DF22F9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F194C29"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88BBA18"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36EE9E2"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10F61A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6227313"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62A58235"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02811116"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2C7926B3" w14:textId="77777777" w:rsidR="00862A01" w:rsidRPr="00872D7E" w:rsidRDefault="00862A01" w:rsidP="00862A01">
            <w:pPr>
              <w:jc w:val="right"/>
              <w:rPr>
                <w:sz w:val="16"/>
                <w:szCs w:val="16"/>
              </w:rPr>
            </w:pPr>
            <w:r w:rsidRPr="00872D7E">
              <w:rPr>
                <w:sz w:val="16"/>
                <w:szCs w:val="16"/>
              </w:rPr>
              <w:t>-</w:t>
            </w:r>
          </w:p>
        </w:tc>
      </w:tr>
      <w:tr w:rsidR="00862A01" w:rsidRPr="00872D7E" w14:paraId="636B05F5"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11274C85" w14:textId="77777777" w:rsidR="00862A01" w:rsidRPr="00872D7E" w:rsidRDefault="00862A01" w:rsidP="00862A01">
            <w:pPr>
              <w:rPr>
                <w:sz w:val="16"/>
                <w:szCs w:val="16"/>
              </w:rPr>
            </w:pPr>
            <w:r w:rsidRPr="00872D7E">
              <w:rPr>
                <w:sz w:val="16"/>
                <w:szCs w:val="16"/>
              </w:rPr>
              <w:t>Yurtiçi Bankalar</w:t>
            </w:r>
          </w:p>
        </w:tc>
        <w:tc>
          <w:tcPr>
            <w:tcW w:w="372" w:type="pct"/>
            <w:tcBorders>
              <w:top w:val="nil"/>
              <w:left w:val="nil"/>
              <w:bottom w:val="nil"/>
              <w:right w:val="nil"/>
            </w:tcBorders>
            <w:shd w:val="clear" w:color="auto" w:fill="auto"/>
            <w:vAlign w:val="bottom"/>
            <w:hideMark/>
          </w:tcPr>
          <w:p w14:paraId="2BAF32A1"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B3619A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5844E8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FC65A5B"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1785147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76E4CE0"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0D882A0F"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3BC23E84"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25E52938" w14:textId="77777777" w:rsidR="00862A01" w:rsidRPr="00872D7E" w:rsidRDefault="00862A01" w:rsidP="00862A01">
            <w:pPr>
              <w:jc w:val="right"/>
              <w:rPr>
                <w:sz w:val="16"/>
                <w:szCs w:val="16"/>
              </w:rPr>
            </w:pPr>
            <w:r w:rsidRPr="00872D7E">
              <w:rPr>
                <w:sz w:val="16"/>
                <w:szCs w:val="16"/>
              </w:rPr>
              <w:t>-</w:t>
            </w:r>
          </w:p>
        </w:tc>
      </w:tr>
      <w:tr w:rsidR="00862A01" w:rsidRPr="00872D7E" w14:paraId="56831468"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1BD08630" w14:textId="77777777" w:rsidR="00862A01" w:rsidRPr="00872D7E" w:rsidRDefault="00862A01" w:rsidP="00862A01">
            <w:pPr>
              <w:rPr>
                <w:sz w:val="16"/>
                <w:szCs w:val="16"/>
              </w:rPr>
            </w:pPr>
            <w:r w:rsidRPr="00872D7E">
              <w:rPr>
                <w:sz w:val="16"/>
                <w:szCs w:val="16"/>
              </w:rPr>
              <w:t>Yurtdışı Bankalar</w:t>
            </w:r>
          </w:p>
        </w:tc>
        <w:tc>
          <w:tcPr>
            <w:tcW w:w="372" w:type="pct"/>
            <w:tcBorders>
              <w:top w:val="nil"/>
              <w:left w:val="nil"/>
              <w:bottom w:val="nil"/>
              <w:right w:val="nil"/>
            </w:tcBorders>
            <w:shd w:val="clear" w:color="auto" w:fill="auto"/>
            <w:vAlign w:val="bottom"/>
            <w:hideMark/>
          </w:tcPr>
          <w:p w14:paraId="29B88E6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83C7471"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24BD729"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28A1E02"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27ADEB99"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6342140"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28EC77D5"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12BDE938"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1AA8BDB9" w14:textId="77777777" w:rsidR="00862A01" w:rsidRPr="00872D7E" w:rsidRDefault="00862A01" w:rsidP="00862A01">
            <w:pPr>
              <w:jc w:val="right"/>
              <w:rPr>
                <w:sz w:val="16"/>
                <w:szCs w:val="16"/>
              </w:rPr>
            </w:pPr>
            <w:r w:rsidRPr="00872D7E">
              <w:rPr>
                <w:sz w:val="16"/>
                <w:szCs w:val="16"/>
              </w:rPr>
              <w:t>-</w:t>
            </w:r>
          </w:p>
        </w:tc>
      </w:tr>
      <w:tr w:rsidR="00862A01" w:rsidRPr="00872D7E" w14:paraId="2CA55C40"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7DB2CE71" w14:textId="77777777" w:rsidR="00862A01" w:rsidRPr="00872D7E" w:rsidRDefault="00862A01" w:rsidP="00862A01">
            <w:pPr>
              <w:rPr>
                <w:sz w:val="16"/>
                <w:szCs w:val="16"/>
              </w:rPr>
            </w:pPr>
            <w:r w:rsidRPr="00872D7E">
              <w:rPr>
                <w:sz w:val="16"/>
                <w:szCs w:val="16"/>
              </w:rPr>
              <w:t>Katılım Bankası</w:t>
            </w:r>
          </w:p>
        </w:tc>
        <w:tc>
          <w:tcPr>
            <w:tcW w:w="372" w:type="pct"/>
            <w:tcBorders>
              <w:top w:val="nil"/>
              <w:left w:val="nil"/>
              <w:bottom w:val="nil"/>
              <w:right w:val="nil"/>
            </w:tcBorders>
            <w:shd w:val="clear" w:color="auto" w:fill="auto"/>
            <w:vAlign w:val="bottom"/>
            <w:hideMark/>
          </w:tcPr>
          <w:p w14:paraId="4FA6BE2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AD90C9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3C41E4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5CB1A9C"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2BC893B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8D77A11"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0D72CCEC"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082C3F0C"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247B6383" w14:textId="77777777" w:rsidR="00862A01" w:rsidRPr="00872D7E" w:rsidRDefault="00862A01" w:rsidP="00862A01">
            <w:pPr>
              <w:jc w:val="right"/>
              <w:rPr>
                <w:sz w:val="16"/>
                <w:szCs w:val="16"/>
              </w:rPr>
            </w:pPr>
            <w:r w:rsidRPr="00872D7E">
              <w:rPr>
                <w:sz w:val="16"/>
                <w:szCs w:val="16"/>
              </w:rPr>
              <w:t>-</w:t>
            </w:r>
          </w:p>
        </w:tc>
      </w:tr>
      <w:tr w:rsidR="00862A01" w:rsidRPr="00872D7E" w14:paraId="6807A169"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5ED0DDE9" w14:textId="77777777" w:rsidR="00862A01" w:rsidRPr="00872D7E" w:rsidRDefault="00862A01" w:rsidP="00862A01">
            <w:pPr>
              <w:rPr>
                <w:sz w:val="16"/>
                <w:szCs w:val="16"/>
              </w:rPr>
            </w:pPr>
            <w:r w:rsidRPr="00872D7E">
              <w:rPr>
                <w:sz w:val="16"/>
                <w:szCs w:val="16"/>
              </w:rPr>
              <w:t>Diğer</w:t>
            </w:r>
          </w:p>
        </w:tc>
        <w:tc>
          <w:tcPr>
            <w:tcW w:w="372" w:type="pct"/>
            <w:tcBorders>
              <w:top w:val="nil"/>
              <w:left w:val="nil"/>
              <w:bottom w:val="nil"/>
              <w:right w:val="nil"/>
            </w:tcBorders>
            <w:shd w:val="clear" w:color="auto" w:fill="auto"/>
            <w:vAlign w:val="bottom"/>
            <w:hideMark/>
          </w:tcPr>
          <w:p w14:paraId="0DDE2B9C"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F3BABB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F37F747"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1165089"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401C674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CB29131"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0978D773"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7BEE17A9"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780EBA22" w14:textId="77777777" w:rsidR="00862A01" w:rsidRPr="00872D7E" w:rsidRDefault="00862A01" w:rsidP="00862A01">
            <w:pPr>
              <w:jc w:val="right"/>
              <w:rPr>
                <w:sz w:val="16"/>
                <w:szCs w:val="16"/>
              </w:rPr>
            </w:pPr>
            <w:r w:rsidRPr="00872D7E">
              <w:rPr>
                <w:sz w:val="16"/>
                <w:szCs w:val="16"/>
              </w:rPr>
              <w:t>-</w:t>
            </w:r>
          </w:p>
        </w:tc>
      </w:tr>
      <w:tr w:rsidR="00862A01" w:rsidRPr="00872D7E" w14:paraId="29640CC3"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07C82B1D" w14:textId="77777777" w:rsidR="00862A01" w:rsidRPr="00872D7E" w:rsidRDefault="00862A01" w:rsidP="00862A01">
            <w:pPr>
              <w:rPr>
                <w:b/>
                <w:bCs/>
                <w:sz w:val="16"/>
                <w:szCs w:val="16"/>
              </w:rPr>
            </w:pPr>
            <w:r w:rsidRPr="00872D7E">
              <w:rPr>
                <w:b/>
                <w:bCs/>
                <w:sz w:val="16"/>
                <w:szCs w:val="16"/>
              </w:rPr>
              <w:t>VIII. Katılma Hesapları Diğer-YP</w:t>
            </w:r>
          </w:p>
        </w:tc>
        <w:tc>
          <w:tcPr>
            <w:tcW w:w="372" w:type="pct"/>
            <w:tcBorders>
              <w:top w:val="nil"/>
              <w:left w:val="nil"/>
              <w:bottom w:val="nil"/>
              <w:right w:val="nil"/>
            </w:tcBorders>
            <w:shd w:val="clear" w:color="auto" w:fill="auto"/>
            <w:vAlign w:val="bottom"/>
            <w:hideMark/>
          </w:tcPr>
          <w:p w14:paraId="252AB594"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7284B186"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679B5BD0"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4E1E1766"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73747FEA"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575C285F"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0585A1CD"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729CEE6A"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09735A83"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00FB15B9"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7E4A5F04" w14:textId="77777777" w:rsidR="00862A01" w:rsidRPr="00872D7E" w:rsidRDefault="00862A01" w:rsidP="00862A01">
            <w:pPr>
              <w:rPr>
                <w:sz w:val="16"/>
                <w:szCs w:val="16"/>
              </w:rPr>
            </w:pPr>
            <w:r w:rsidRPr="00872D7E">
              <w:rPr>
                <w:sz w:val="16"/>
                <w:szCs w:val="16"/>
              </w:rPr>
              <w:t>Resmi Kuruluşlar</w:t>
            </w:r>
          </w:p>
        </w:tc>
        <w:tc>
          <w:tcPr>
            <w:tcW w:w="372" w:type="pct"/>
            <w:tcBorders>
              <w:top w:val="nil"/>
              <w:left w:val="nil"/>
              <w:bottom w:val="nil"/>
              <w:right w:val="nil"/>
            </w:tcBorders>
            <w:shd w:val="clear" w:color="auto" w:fill="auto"/>
            <w:vAlign w:val="bottom"/>
            <w:hideMark/>
          </w:tcPr>
          <w:p w14:paraId="062C15E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451766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438BA7E"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F574286"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419FE4D9"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E1B2E54"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63CD09A8"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4BF85443"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10C56D34" w14:textId="77777777" w:rsidR="00862A01" w:rsidRPr="00872D7E" w:rsidRDefault="00862A01" w:rsidP="00862A01">
            <w:pPr>
              <w:jc w:val="right"/>
              <w:rPr>
                <w:sz w:val="16"/>
                <w:szCs w:val="16"/>
              </w:rPr>
            </w:pPr>
            <w:r w:rsidRPr="00872D7E">
              <w:rPr>
                <w:sz w:val="16"/>
                <w:szCs w:val="16"/>
              </w:rPr>
              <w:t>-</w:t>
            </w:r>
          </w:p>
        </w:tc>
      </w:tr>
      <w:tr w:rsidR="00862A01" w:rsidRPr="00872D7E" w14:paraId="5CE22806"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3B7D05AB" w14:textId="77777777" w:rsidR="00862A01" w:rsidRPr="00872D7E" w:rsidRDefault="00862A01" w:rsidP="00862A01">
            <w:pPr>
              <w:rPr>
                <w:sz w:val="16"/>
                <w:szCs w:val="16"/>
              </w:rPr>
            </w:pPr>
            <w:r w:rsidRPr="00872D7E">
              <w:rPr>
                <w:sz w:val="16"/>
                <w:szCs w:val="16"/>
              </w:rPr>
              <w:t>Ticari Kuruluşlar</w:t>
            </w:r>
          </w:p>
        </w:tc>
        <w:tc>
          <w:tcPr>
            <w:tcW w:w="372" w:type="pct"/>
            <w:tcBorders>
              <w:top w:val="nil"/>
              <w:left w:val="nil"/>
              <w:bottom w:val="nil"/>
              <w:right w:val="nil"/>
            </w:tcBorders>
            <w:shd w:val="clear" w:color="auto" w:fill="auto"/>
            <w:vAlign w:val="bottom"/>
            <w:hideMark/>
          </w:tcPr>
          <w:p w14:paraId="464F321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7414770"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E5E7E89"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A29285C"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7FE1C0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A86F544"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167C03AD"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2EA5D2C0"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2A92CD7E" w14:textId="77777777" w:rsidR="00862A01" w:rsidRPr="00872D7E" w:rsidRDefault="00862A01" w:rsidP="00862A01">
            <w:pPr>
              <w:jc w:val="right"/>
              <w:rPr>
                <w:sz w:val="16"/>
                <w:szCs w:val="16"/>
              </w:rPr>
            </w:pPr>
            <w:r w:rsidRPr="00872D7E">
              <w:rPr>
                <w:sz w:val="16"/>
                <w:szCs w:val="16"/>
              </w:rPr>
              <w:t>-</w:t>
            </w:r>
          </w:p>
        </w:tc>
      </w:tr>
      <w:tr w:rsidR="00862A01" w:rsidRPr="00872D7E" w14:paraId="5CE9CDB0"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6B26526E" w14:textId="77777777" w:rsidR="00862A01" w:rsidRPr="00872D7E" w:rsidRDefault="00862A01" w:rsidP="00862A01">
            <w:pPr>
              <w:rPr>
                <w:sz w:val="16"/>
                <w:szCs w:val="16"/>
              </w:rPr>
            </w:pPr>
            <w:r w:rsidRPr="00872D7E">
              <w:rPr>
                <w:sz w:val="16"/>
                <w:szCs w:val="16"/>
              </w:rPr>
              <w:t>Diğer Kuruluşlar</w:t>
            </w:r>
          </w:p>
        </w:tc>
        <w:tc>
          <w:tcPr>
            <w:tcW w:w="372" w:type="pct"/>
            <w:tcBorders>
              <w:top w:val="nil"/>
              <w:left w:val="nil"/>
              <w:bottom w:val="nil"/>
              <w:right w:val="nil"/>
            </w:tcBorders>
            <w:shd w:val="clear" w:color="auto" w:fill="auto"/>
            <w:vAlign w:val="bottom"/>
            <w:hideMark/>
          </w:tcPr>
          <w:p w14:paraId="3835478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F0548AD"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8C1F7C1"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44A77F7"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7E8F1D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E924D92"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4DB6C809"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7824CD9E"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36F12A20" w14:textId="77777777" w:rsidR="00862A01" w:rsidRPr="00872D7E" w:rsidRDefault="00862A01" w:rsidP="00862A01">
            <w:pPr>
              <w:jc w:val="right"/>
              <w:rPr>
                <w:sz w:val="16"/>
                <w:szCs w:val="16"/>
              </w:rPr>
            </w:pPr>
            <w:r w:rsidRPr="00872D7E">
              <w:rPr>
                <w:sz w:val="16"/>
                <w:szCs w:val="16"/>
              </w:rPr>
              <w:t>-</w:t>
            </w:r>
          </w:p>
        </w:tc>
      </w:tr>
      <w:tr w:rsidR="00862A01" w:rsidRPr="00872D7E" w14:paraId="356F6F12"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1084BE65" w14:textId="77777777" w:rsidR="00862A01" w:rsidRPr="00872D7E" w:rsidRDefault="00862A01" w:rsidP="00862A01">
            <w:pPr>
              <w:rPr>
                <w:sz w:val="16"/>
                <w:szCs w:val="16"/>
              </w:rPr>
            </w:pPr>
            <w:r w:rsidRPr="00872D7E">
              <w:rPr>
                <w:sz w:val="16"/>
                <w:szCs w:val="16"/>
              </w:rPr>
              <w:t xml:space="preserve">Ticari ve </w:t>
            </w:r>
            <w:proofErr w:type="gramStart"/>
            <w:r w:rsidRPr="00872D7E">
              <w:rPr>
                <w:sz w:val="16"/>
                <w:szCs w:val="16"/>
              </w:rPr>
              <w:t>Diğer</w:t>
            </w:r>
            <w:proofErr w:type="gramEnd"/>
            <w:r w:rsidRPr="00872D7E">
              <w:rPr>
                <w:sz w:val="16"/>
                <w:szCs w:val="16"/>
              </w:rPr>
              <w:t xml:space="preserve"> Kur.</w:t>
            </w:r>
          </w:p>
        </w:tc>
        <w:tc>
          <w:tcPr>
            <w:tcW w:w="372" w:type="pct"/>
            <w:tcBorders>
              <w:top w:val="nil"/>
              <w:left w:val="nil"/>
              <w:bottom w:val="nil"/>
              <w:right w:val="nil"/>
            </w:tcBorders>
            <w:shd w:val="clear" w:color="auto" w:fill="auto"/>
            <w:vAlign w:val="bottom"/>
            <w:hideMark/>
          </w:tcPr>
          <w:p w14:paraId="4F88D9E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01CF32C"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1A9C0E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85ABA5B"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7BAC1DB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4FD9116"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5EB3C019"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30DD6762"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38D3EE72" w14:textId="77777777" w:rsidR="00862A01" w:rsidRPr="00872D7E" w:rsidRDefault="00862A01" w:rsidP="00862A01">
            <w:pPr>
              <w:jc w:val="right"/>
              <w:rPr>
                <w:sz w:val="16"/>
                <w:szCs w:val="16"/>
              </w:rPr>
            </w:pPr>
            <w:r w:rsidRPr="00872D7E">
              <w:rPr>
                <w:sz w:val="16"/>
                <w:szCs w:val="16"/>
              </w:rPr>
              <w:t>-</w:t>
            </w:r>
          </w:p>
        </w:tc>
      </w:tr>
      <w:tr w:rsidR="00862A01" w:rsidRPr="00872D7E" w14:paraId="5957954E"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0F04CF59" w14:textId="77777777" w:rsidR="00862A01" w:rsidRPr="00872D7E" w:rsidRDefault="00862A01" w:rsidP="00862A01">
            <w:pPr>
              <w:rPr>
                <w:sz w:val="16"/>
                <w:szCs w:val="16"/>
              </w:rPr>
            </w:pPr>
            <w:r w:rsidRPr="00872D7E">
              <w:rPr>
                <w:sz w:val="16"/>
                <w:szCs w:val="16"/>
              </w:rPr>
              <w:t>Bankalar ve Katılım Bankaları</w:t>
            </w:r>
          </w:p>
        </w:tc>
        <w:tc>
          <w:tcPr>
            <w:tcW w:w="372" w:type="pct"/>
            <w:tcBorders>
              <w:top w:val="nil"/>
              <w:left w:val="nil"/>
              <w:bottom w:val="nil"/>
              <w:right w:val="nil"/>
            </w:tcBorders>
            <w:shd w:val="clear" w:color="auto" w:fill="auto"/>
            <w:vAlign w:val="bottom"/>
            <w:hideMark/>
          </w:tcPr>
          <w:p w14:paraId="4693399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1915086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6F1551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35AAAEE"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485C0FD4"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ED807AB"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10AAE1D2"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06A5FFB2"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294F114E" w14:textId="77777777" w:rsidR="00862A01" w:rsidRPr="00872D7E" w:rsidRDefault="00862A01" w:rsidP="00862A01">
            <w:pPr>
              <w:jc w:val="right"/>
              <w:rPr>
                <w:sz w:val="16"/>
                <w:szCs w:val="16"/>
              </w:rPr>
            </w:pPr>
            <w:r w:rsidRPr="00872D7E">
              <w:rPr>
                <w:sz w:val="16"/>
                <w:szCs w:val="16"/>
              </w:rPr>
              <w:t>-</w:t>
            </w:r>
          </w:p>
        </w:tc>
      </w:tr>
      <w:tr w:rsidR="00862A01" w:rsidRPr="00872D7E" w14:paraId="44634073"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1007C57A" w14:textId="77777777" w:rsidR="00862A01" w:rsidRPr="00872D7E" w:rsidRDefault="00862A01" w:rsidP="00862A01">
            <w:pPr>
              <w:rPr>
                <w:b/>
                <w:bCs/>
                <w:sz w:val="16"/>
                <w:szCs w:val="16"/>
              </w:rPr>
            </w:pPr>
            <w:proofErr w:type="spellStart"/>
            <w:r w:rsidRPr="00872D7E">
              <w:rPr>
                <w:b/>
                <w:bCs/>
                <w:sz w:val="16"/>
                <w:szCs w:val="16"/>
              </w:rPr>
              <w:t>IX.Kıymetli</w:t>
            </w:r>
            <w:proofErr w:type="spellEnd"/>
            <w:r w:rsidRPr="00872D7E">
              <w:rPr>
                <w:b/>
                <w:bCs/>
                <w:sz w:val="16"/>
                <w:szCs w:val="16"/>
              </w:rPr>
              <w:t xml:space="preserve"> Maden DH</w:t>
            </w:r>
          </w:p>
        </w:tc>
        <w:tc>
          <w:tcPr>
            <w:tcW w:w="372" w:type="pct"/>
            <w:tcBorders>
              <w:top w:val="nil"/>
              <w:left w:val="nil"/>
              <w:bottom w:val="nil"/>
              <w:right w:val="nil"/>
            </w:tcBorders>
            <w:shd w:val="clear" w:color="auto" w:fill="auto"/>
            <w:vAlign w:val="bottom"/>
            <w:hideMark/>
          </w:tcPr>
          <w:p w14:paraId="152FA1A1"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5F585BD4"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5BC7B2A6"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171D73F5"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5FF635D3"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037BC5DC"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3E62331B"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584F76C3"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7B8BFC84"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4EAED77D"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2EAC5638" w14:textId="77777777" w:rsidR="00862A01" w:rsidRPr="00872D7E" w:rsidRDefault="00862A01" w:rsidP="00862A01">
            <w:pPr>
              <w:rPr>
                <w:b/>
                <w:bCs/>
                <w:sz w:val="16"/>
                <w:szCs w:val="16"/>
              </w:rPr>
            </w:pPr>
            <w:r w:rsidRPr="00872D7E">
              <w:rPr>
                <w:b/>
                <w:bCs/>
                <w:sz w:val="16"/>
                <w:szCs w:val="16"/>
              </w:rPr>
              <w:t>X. Katılma Hesapları Özel Fon Havuzları-TP</w:t>
            </w:r>
          </w:p>
        </w:tc>
        <w:tc>
          <w:tcPr>
            <w:tcW w:w="372" w:type="pct"/>
            <w:tcBorders>
              <w:top w:val="nil"/>
              <w:left w:val="nil"/>
              <w:bottom w:val="nil"/>
              <w:right w:val="nil"/>
            </w:tcBorders>
            <w:shd w:val="clear" w:color="auto" w:fill="auto"/>
            <w:vAlign w:val="bottom"/>
            <w:hideMark/>
          </w:tcPr>
          <w:p w14:paraId="24745F0A"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1F6EBB0E"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760AD94E"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193F81A5"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345D579B"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7BF6A5C7"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4042C6A4"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5CCB6B73"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02E60DDF"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083C75E2"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248DA816" w14:textId="77777777" w:rsidR="00862A01" w:rsidRPr="00872D7E" w:rsidRDefault="00862A01" w:rsidP="00862A01">
            <w:pPr>
              <w:rPr>
                <w:sz w:val="16"/>
                <w:szCs w:val="16"/>
              </w:rPr>
            </w:pPr>
            <w:r w:rsidRPr="00872D7E">
              <w:rPr>
                <w:sz w:val="16"/>
                <w:szCs w:val="16"/>
              </w:rPr>
              <w:t>Yurtiçinde Yer. K.</w:t>
            </w:r>
          </w:p>
        </w:tc>
        <w:tc>
          <w:tcPr>
            <w:tcW w:w="372" w:type="pct"/>
            <w:tcBorders>
              <w:top w:val="nil"/>
              <w:left w:val="nil"/>
              <w:bottom w:val="nil"/>
              <w:right w:val="nil"/>
            </w:tcBorders>
            <w:shd w:val="clear" w:color="auto" w:fill="auto"/>
            <w:vAlign w:val="bottom"/>
            <w:hideMark/>
          </w:tcPr>
          <w:p w14:paraId="69761E05"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36A915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A56832E"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43F36E20"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6CD4A979"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5767DB8"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1DC1D1F0"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2F9FB2B7"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1C97D7BF" w14:textId="77777777" w:rsidR="00862A01" w:rsidRPr="00872D7E" w:rsidRDefault="00862A01" w:rsidP="00862A01">
            <w:pPr>
              <w:jc w:val="right"/>
              <w:rPr>
                <w:sz w:val="16"/>
                <w:szCs w:val="16"/>
              </w:rPr>
            </w:pPr>
            <w:r w:rsidRPr="00872D7E">
              <w:rPr>
                <w:sz w:val="16"/>
                <w:szCs w:val="16"/>
              </w:rPr>
              <w:t>-</w:t>
            </w:r>
          </w:p>
        </w:tc>
      </w:tr>
      <w:tr w:rsidR="00862A01" w:rsidRPr="00872D7E" w14:paraId="1DEF88B3"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12831B1F" w14:textId="77777777" w:rsidR="00862A01" w:rsidRPr="00872D7E" w:rsidRDefault="00862A01" w:rsidP="00862A01">
            <w:pPr>
              <w:rPr>
                <w:sz w:val="16"/>
                <w:szCs w:val="16"/>
              </w:rPr>
            </w:pPr>
            <w:r w:rsidRPr="00872D7E">
              <w:rPr>
                <w:sz w:val="16"/>
                <w:szCs w:val="16"/>
              </w:rPr>
              <w:t>Yurtdışında Yer. K.</w:t>
            </w:r>
          </w:p>
        </w:tc>
        <w:tc>
          <w:tcPr>
            <w:tcW w:w="372" w:type="pct"/>
            <w:tcBorders>
              <w:top w:val="nil"/>
              <w:left w:val="nil"/>
              <w:bottom w:val="nil"/>
              <w:right w:val="nil"/>
            </w:tcBorders>
            <w:shd w:val="clear" w:color="auto" w:fill="auto"/>
            <w:vAlign w:val="bottom"/>
            <w:hideMark/>
          </w:tcPr>
          <w:p w14:paraId="4AB43AB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7F3C8E9C"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5137EF9B"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9EFEDBD"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34806319"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C667E17"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43000130"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723A5731"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432FDAF4" w14:textId="77777777" w:rsidR="00862A01" w:rsidRPr="00872D7E" w:rsidRDefault="00862A01" w:rsidP="00862A01">
            <w:pPr>
              <w:jc w:val="right"/>
              <w:rPr>
                <w:sz w:val="16"/>
                <w:szCs w:val="16"/>
              </w:rPr>
            </w:pPr>
            <w:r w:rsidRPr="00872D7E">
              <w:rPr>
                <w:sz w:val="16"/>
                <w:szCs w:val="16"/>
              </w:rPr>
              <w:t>-</w:t>
            </w:r>
          </w:p>
        </w:tc>
      </w:tr>
      <w:tr w:rsidR="00862A01" w:rsidRPr="00872D7E" w14:paraId="7715E0CC"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095C0E80" w14:textId="77777777" w:rsidR="00862A01" w:rsidRPr="00872D7E" w:rsidRDefault="00862A01" w:rsidP="00862A01">
            <w:pPr>
              <w:rPr>
                <w:b/>
                <w:bCs/>
                <w:sz w:val="16"/>
                <w:szCs w:val="16"/>
              </w:rPr>
            </w:pPr>
            <w:r w:rsidRPr="00872D7E">
              <w:rPr>
                <w:rFonts w:eastAsia="Arial Unicode MS"/>
                <w:b/>
                <w:bCs/>
                <w:sz w:val="16"/>
                <w:szCs w:val="16"/>
              </w:rPr>
              <w:t>XI. Katılma Hesapları Özel Fon Havuzları-YP</w:t>
            </w:r>
          </w:p>
        </w:tc>
        <w:tc>
          <w:tcPr>
            <w:tcW w:w="372" w:type="pct"/>
            <w:tcBorders>
              <w:top w:val="nil"/>
              <w:left w:val="nil"/>
              <w:bottom w:val="nil"/>
              <w:right w:val="nil"/>
            </w:tcBorders>
            <w:shd w:val="clear" w:color="auto" w:fill="auto"/>
            <w:vAlign w:val="bottom"/>
            <w:hideMark/>
          </w:tcPr>
          <w:p w14:paraId="2BA50551"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74C9AC78"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77EA72B3"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783F27A6"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nil"/>
              <w:right w:val="nil"/>
            </w:tcBorders>
            <w:shd w:val="clear" w:color="auto" w:fill="auto"/>
            <w:vAlign w:val="bottom"/>
            <w:hideMark/>
          </w:tcPr>
          <w:p w14:paraId="29E0F76E"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nil"/>
              <w:right w:val="nil"/>
            </w:tcBorders>
            <w:shd w:val="clear" w:color="auto" w:fill="auto"/>
            <w:vAlign w:val="bottom"/>
            <w:hideMark/>
          </w:tcPr>
          <w:p w14:paraId="3680EEA2"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nil"/>
              <w:right w:val="nil"/>
            </w:tcBorders>
            <w:shd w:val="clear" w:color="auto" w:fill="auto"/>
            <w:vAlign w:val="bottom"/>
            <w:hideMark/>
          </w:tcPr>
          <w:p w14:paraId="0B4F951F"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nil"/>
              <w:right w:val="nil"/>
            </w:tcBorders>
            <w:shd w:val="clear" w:color="auto" w:fill="auto"/>
            <w:vAlign w:val="bottom"/>
            <w:hideMark/>
          </w:tcPr>
          <w:p w14:paraId="071878B1"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nil"/>
              <w:right w:val="nil"/>
            </w:tcBorders>
            <w:shd w:val="clear" w:color="auto" w:fill="auto"/>
            <w:vAlign w:val="bottom"/>
            <w:hideMark/>
          </w:tcPr>
          <w:p w14:paraId="50DADB24" w14:textId="77777777" w:rsidR="00862A01" w:rsidRPr="00872D7E" w:rsidRDefault="00862A01" w:rsidP="00862A01">
            <w:pPr>
              <w:jc w:val="right"/>
              <w:rPr>
                <w:b/>
                <w:bCs/>
                <w:sz w:val="16"/>
                <w:szCs w:val="16"/>
              </w:rPr>
            </w:pPr>
            <w:r w:rsidRPr="00872D7E">
              <w:rPr>
                <w:b/>
                <w:bCs/>
                <w:sz w:val="16"/>
                <w:szCs w:val="16"/>
              </w:rPr>
              <w:t>-</w:t>
            </w:r>
          </w:p>
        </w:tc>
      </w:tr>
      <w:tr w:rsidR="00862A01" w:rsidRPr="00872D7E" w14:paraId="7EDC9C9F" w14:textId="77777777" w:rsidTr="00020D5C">
        <w:trPr>
          <w:divId w:val="1987661959"/>
          <w:trHeight w:val="113"/>
        </w:trPr>
        <w:tc>
          <w:tcPr>
            <w:tcW w:w="1343" w:type="pct"/>
            <w:tcBorders>
              <w:top w:val="nil"/>
              <w:left w:val="nil"/>
              <w:bottom w:val="nil"/>
              <w:right w:val="nil"/>
            </w:tcBorders>
            <w:shd w:val="clear" w:color="auto" w:fill="auto"/>
            <w:vAlign w:val="bottom"/>
            <w:hideMark/>
          </w:tcPr>
          <w:p w14:paraId="1D5DE175" w14:textId="77777777" w:rsidR="00862A01" w:rsidRPr="00872D7E" w:rsidRDefault="00862A01" w:rsidP="00862A01">
            <w:pPr>
              <w:rPr>
                <w:sz w:val="16"/>
                <w:szCs w:val="16"/>
              </w:rPr>
            </w:pPr>
            <w:r w:rsidRPr="00872D7E">
              <w:rPr>
                <w:sz w:val="16"/>
                <w:szCs w:val="16"/>
              </w:rPr>
              <w:t>Yurtiçinde Yer. K.</w:t>
            </w:r>
          </w:p>
        </w:tc>
        <w:tc>
          <w:tcPr>
            <w:tcW w:w="372" w:type="pct"/>
            <w:tcBorders>
              <w:top w:val="nil"/>
              <w:left w:val="nil"/>
              <w:bottom w:val="nil"/>
              <w:right w:val="nil"/>
            </w:tcBorders>
            <w:shd w:val="clear" w:color="auto" w:fill="auto"/>
            <w:vAlign w:val="bottom"/>
            <w:hideMark/>
          </w:tcPr>
          <w:p w14:paraId="359EF5FC"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2E4F8C08"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3CBBCD5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0BC0A865"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nil"/>
              <w:right w:val="nil"/>
            </w:tcBorders>
            <w:shd w:val="clear" w:color="auto" w:fill="auto"/>
            <w:vAlign w:val="bottom"/>
            <w:hideMark/>
          </w:tcPr>
          <w:p w14:paraId="7908E9DA"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nil"/>
              <w:right w:val="nil"/>
            </w:tcBorders>
            <w:shd w:val="clear" w:color="auto" w:fill="auto"/>
            <w:vAlign w:val="bottom"/>
            <w:hideMark/>
          </w:tcPr>
          <w:p w14:paraId="6600551E"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nil"/>
              <w:right w:val="nil"/>
            </w:tcBorders>
            <w:shd w:val="clear" w:color="auto" w:fill="auto"/>
            <w:vAlign w:val="bottom"/>
            <w:hideMark/>
          </w:tcPr>
          <w:p w14:paraId="35CE42BB"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nil"/>
              <w:right w:val="nil"/>
            </w:tcBorders>
            <w:shd w:val="clear" w:color="auto" w:fill="auto"/>
            <w:vAlign w:val="bottom"/>
            <w:hideMark/>
          </w:tcPr>
          <w:p w14:paraId="44E2C9D0"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nil"/>
              <w:right w:val="nil"/>
            </w:tcBorders>
            <w:shd w:val="clear" w:color="auto" w:fill="auto"/>
            <w:vAlign w:val="bottom"/>
            <w:hideMark/>
          </w:tcPr>
          <w:p w14:paraId="4B650E26" w14:textId="77777777" w:rsidR="00862A01" w:rsidRPr="00872D7E" w:rsidRDefault="00862A01" w:rsidP="00862A01">
            <w:pPr>
              <w:jc w:val="right"/>
              <w:rPr>
                <w:sz w:val="16"/>
                <w:szCs w:val="16"/>
              </w:rPr>
            </w:pPr>
            <w:r w:rsidRPr="00872D7E">
              <w:rPr>
                <w:sz w:val="16"/>
                <w:szCs w:val="16"/>
              </w:rPr>
              <w:t>-</w:t>
            </w:r>
          </w:p>
        </w:tc>
      </w:tr>
      <w:tr w:rsidR="00862A01" w:rsidRPr="00872D7E" w14:paraId="7C3BA928" w14:textId="77777777" w:rsidTr="00020D5C">
        <w:trPr>
          <w:divId w:val="1987661959"/>
          <w:trHeight w:val="113"/>
        </w:trPr>
        <w:tc>
          <w:tcPr>
            <w:tcW w:w="1343" w:type="pct"/>
            <w:tcBorders>
              <w:top w:val="nil"/>
              <w:left w:val="nil"/>
              <w:bottom w:val="single" w:sz="4" w:space="0" w:color="auto"/>
              <w:right w:val="nil"/>
            </w:tcBorders>
            <w:shd w:val="clear" w:color="auto" w:fill="auto"/>
            <w:vAlign w:val="bottom"/>
            <w:hideMark/>
          </w:tcPr>
          <w:p w14:paraId="70717147" w14:textId="77777777" w:rsidR="00862A01" w:rsidRPr="00872D7E" w:rsidRDefault="00862A01" w:rsidP="00862A01">
            <w:pPr>
              <w:rPr>
                <w:sz w:val="16"/>
                <w:szCs w:val="16"/>
              </w:rPr>
            </w:pPr>
            <w:r w:rsidRPr="00872D7E">
              <w:rPr>
                <w:sz w:val="16"/>
                <w:szCs w:val="16"/>
              </w:rPr>
              <w:t>Yurtdışında Yer. K.</w:t>
            </w:r>
          </w:p>
        </w:tc>
        <w:tc>
          <w:tcPr>
            <w:tcW w:w="372" w:type="pct"/>
            <w:tcBorders>
              <w:top w:val="nil"/>
              <w:left w:val="nil"/>
              <w:bottom w:val="single" w:sz="4" w:space="0" w:color="auto"/>
              <w:right w:val="nil"/>
            </w:tcBorders>
            <w:shd w:val="clear" w:color="auto" w:fill="auto"/>
            <w:vAlign w:val="bottom"/>
            <w:hideMark/>
          </w:tcPr>
          <w:p w14:paraId="4B1391D3"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single" w:sz="4" w:space="0" w:color="auto"/>
              <w:right w:val="nil"/>
            </w:tcBorders>
            <w:shd w:val="clear" w:color="auto" w:fill="auto"/>
            <w:vAlign w:val="bottom"/>
            <w:hideMark/>
          </w:tcPr>
          <w:p w14:paraId="48CE2E2F"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single" w:sz="4" w:space="0" w:color="auto"/>
              <w:right w:val="nil"/>
            </w:tcBorders>
            <w:shd w:val="clear" w:color="auto" w:fill="auto"/>
            <w:vAlign w:val="bottom"/>
            <w:hideMark/>
          </w:tcPr>
          <w:p w14:paraId="28CE9572"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single" w:sz="4" w:space="0" w:color="auto"/>
              <w:right w:val="nil"/>
            </w:tcBorders>
            <w:shd w:val="clear" w:color="auto" w:fill="auto"/>
            <w:vAlign w:val="bottom"/>
            <w:hideMark/>
          </w:tcPr>
          <w:p w14:paraId="1847FE20" w14:textId="77777777" w:rsidR="00862A01" w:rsidRPr="00872D7E" w:rsidRDefault="00862A01" w:rsidP="00862A01">
            <w:pPr>
              <w:jc w:val="right"/>
              <w:rPr>
                <w:sz w:val="16"/>
                <w:szCs w:val="16"/>
              </w:rPr>
            </w:pPr>
            <w:r w:rsidRPr="00872D7E">
              <w:rPr>
                <w:sz w:val="16"/>
                <w:szCs w:val="16"/>
              </w:rPr>
              <w:t>-</w:t>
            </w:r>
          </w:p>
        </w:tc>
        <w:tc>
          <w:tcPr>
            <w:tcW w:w="373" w:type="pct"/>
            <w:tcBorders>
              <w:top w:val="nil"/>
              <w:left w:val="nil"/>
              <w:bottom w:val="single" w:sz="4" w:space="0" w:color="auto"/>
              <w:right w:val="nil"/>
            </w:tcBorders>
            <w:shd w:val="clear" w:color="auto" w:fill="auto"/>
            <w:vAlign w:val="bottom"/>
            <w:hideMark/>
          </w:tcPr>
          <w:p w14:paraId="1CECBE96" w14:textId="77777777" w:rsidR="00862A01" w:rsidRPr="00872D7E" w:rsidRDefault="00862A01" w:rsidP="00862A01">
            <w:pPr>
              <w:jc w:val="right"/>
              <w:rPr>
                <w:sz w:val="16"/>
                <w:szCs w:val="16"/>
              </w:rPr>
            </w:pPr>
            <w:r w:rsidRPr="00872D7E">
              <w:rPr>
                <w:sz w:val="16"/>
                <w:szCs w:val="16"/>
              </w:rPr>
              <w:t>-</w:t>
            </w:r>
          </w:p>
        </w:tc>
        <w:tc>
          <w:tcPr>
            <w:tcW w:w="374" w:type="pct"/>
            <w:tcBorders>
              <w:top w:val="nil"/>
              <w:left w:val="nil"/>
              <w:bottom w:val="single" w:sz="4" w:space="0" w:color="auto"/>
              <w:right w:val="nil"/>
            </w:tcBorders>
            <w:shd w:val="clear" w:color="auto" w:fill="auto"/>
            <w:vAlign w:val="bottom"/>
            <w:hideMark/>
          </w:tcPr>
          <w:p w14:paraId="4158335E" w14:textId="77777777" w:rsidR="00862A01" w:rsidRPr="00872D7E" w:rsidRDefault="00862A01" w:rsidP="00862A01">
            <w:pPr>
              <w:jc w:val="right"/>
              <w:rPr>
                <w:sz w:val="16"/>
                <w:szCs w:val="16"/>
              </w:rPr>
            </w:pPr>
            <w:r w:rsidRPr="00872D7E">
              <w:rPr>
                <w:sz w:val="16"/>
                <w:szCs w:val="16"/>
              </w:rPr>
              <w:t>-</w:t>
            </w:r>
          </w:p>
        </w:tc>
        <w:tc>
          <w:tcPr>
            <w:tcW w:w="526" w:type="pct"/>
            <w:tcBorders>
              <w:top w:val="nil"/>
              <w:left w:val="nil"/>
              <w:bottom w:val="single" w:sz="4" w:space="0" w:color="auto"/>
              <w:right w:val="nil"/>
            </w:tcBorders>
            <w:shd w:val="clear" w:color="auto" w:fill="auto"/>
            <w:vAlign w:val="bottom"/>
            <w:hideMark/>
          </w:tcPr>
          <w:p w14:paraId="6FB783CC" w14:textId="77777777" w:rsidR="00862A01" w:rsidRPr="00872D7E" w:rsidRDefault="00862A01" w:rsidP="00862A01">
            <w:pPr>
              <w:jc w:val="right"/>
              <w:rPr>
                <w:sz w:val="16"/>
                <w:szCs w:val="16"/>
              </w:rPr>
            </w:pPr>
            <w:r w:rsidRPr="00872D7E">
              <w:rPr>
                <w:sz w:val="16"/>
                <w:szCs w:val="16"/>
              </w:rPr>
              <w:t>-</w:t>
            </w:r>
          </w:p>
        </w:tc>
        <w:tc>
          <w:tcPr>
            <w:tcW w:w="531" w:type="pct"/>
            <w:tcBorders>
              <w:top w:val="nil"/>
              <w:left w:val="nil"/>
              <w:bottom w:val="single" w:sz="4" w:space="0" w:color="auto"/>
              <w:right w:val="nil"/>
            </w:tcBorders>
            <w:shd w:val="clear" w:color="auto" w:fill="auto"/>
            <w:vAlign w:val="bottom"/>
            <w:hideMark/>
          </w:tcPr>
          <w:p w14:paraId="6E482377" w14:textId="77777777" w:rsidR="00862A01" w:rsidRPr="00872D7E" w:rsidRDefault="00862A01" w:rsidP="00862A01">
            <w:pPr>
              <w:jc w:val="right"/>
              <w:rPr>
                <w:sz w:val="16"/>
                <w:szCs w:val="16"/>
              </w:rPr>
            </w:pPr>
            <w:r w:rsidRPr="00872D7E">
              <w:rPr>
                <w:sz w:val="16"/>
                <w:szCs w:val="16"/>
              </w:rPr>
              <w:t>-</w:t>
            </w:r>
          </w:p>
        </w:tc>
        <w:tc>
          <w:tcPr>
            <w:tcW w:w="360" w:type="pct"/>
            <w:tcBorders>
              <w:top w:val="nil"/>
              <w:left w:val="nil"/>
              <w:bottom w:val="single" w:sz="4" w:space="0" w:color="auto"/>
              <w:right w:val="nil"/>
            </w:tcBorders>
            <w:shd w:val="clear" w:color="auto" w:fill="auto"/>
            <w:vAlign w:val="bottom"/>
            <w:hideMark/>
          </w:tcPr>
          <w:p w14:paraId="60857DE5" w14:textId="77777777" w:rsidR="00862A01" w:rsidRPr="00872D7E" w:rsidRDefault="00862A01" w:rsidP="00862A01">
            <w:pPr>
              <w:jc w:val="right"/>
              <w:rPr>
                <w:sz w:val="16"/>
                <w:szCs w:val="16"/>
              </w:rPr>
            </w:pPr>
            <w:r w:rsidRPr="00872D7E">
              <w:rPr>
                <w:sz w:val="16"/>
                <w:szCs w:val="16"/>
              </w:rPr>
              <w:t>-</w:t>
            </w:r>
          </w:p>
        </w:tc>
      </w:tr>
      <w:tr w:rsidR="00862A01" w:rsidRPr="00872D7E" w14:paraId="14DB27DE" w14:textId="77777777" w:rsidTr="00020D5C">
        <w:trPr>
          <w:divId w:val="1987661959"/>
          <w:trHeight w:val="113"/>
        </w:trPr>
        <w:tc>
          <w:tcPr>
            <w:tcW w:w="1343" w:type="pct"/>
            <w:tcBorders>
              <w:top w:val="nil"/>
              <w:left w:val="nil"/>
              <w:right w:val="nil"/>
            </w:tcBorders>
            <w:shd w:val="clear" w:color="auto" w:fill="auto"/>
            <w:vAlign w:val="bottom"/>
            <w:hideMark/>
          </w:tcPr>
          <w:p w14:paraId="17D5641C" w14:textId="77777777" w:rsidR="00862A01" w:rsidRPr="00872D7E" w:rsidRDefault="00862A01" w:rsidP="00862A01">
            <w:pPr>
              <w:rPr>
                <w:sz w:val="16"/>
                <w:szCs w:val="16"/>
              </w:rPr>
            </w:pPr>
          </w:p>
        </w:tc>
        <w:tc>
          <w:tcPr>
            <w:tcW w:w="372" w:type="pct"/>
            <w:tcBorders>
              <w:top w:val="nil"/>
              <w:left w:val="nil"/>
              <w:right w:val="nil"/>
            </w:tcBorders>
            <w:shd w:val="clear" w:color="auto" w:fill="auto"/>
            <w:noWrap/>
            <w:vAlign w:val="bottom"/>
            <w:hideMark/>
          </w:tcPr>
          <w:p w14:paraId="706E5452" w14:textId="77777777" w:rsidR="00862A01" w:rsidRPr="00872D7E" w:rsidRDefault="00862A01" w:rsidP="00862A01">
            <w:pPr>
              <w:jc w:val="right"/>
              <w:rPr>
                <w:sz w:val="16"/>
                <w:szCs w:val="16"/>
              </w:rPr>
            </w:pPr>
          </w:p>
        </w:tc>
        <w:tc>
          <w:tcPr>
            <w:tcW w:w="374" w:type="pct"/>
            <w:tcBorders>
              <w:top w:val="nil"/>
              <w:left w:val="nil"/>
              <w:right w:val="nil"/>
            </w:tcBorders>
            <w:shd w:val="clear" w:color="auto" w:fill="auto"/>
            <w:noWrap/>
            <w:vAlign w:val="bottom"/>
            <w:hideMark/>
          </w:tcPr>
          <w:p w14:paraId="53A5B8F0" w14:textId="77777777" w:rsidR="00862A01" w:rsidRPr="00872D7E" w:rsidRDefault="00862A01" w:rsidP="00862A01">
            <w:pPr>
              <w:jc w:val="right"/>
              <w:rPr>
                <w:sz w:val="16"/>
                <w:szCs w:val="16"/>
              </w:rPr>
            </w:pPr>
          </w:p>
        </w:tc>
        <w:tc>
          <w:tcPr>
            <w:tcW w:w="374" w:type="pct"/>
            <w:tcBorders>
              <w:top w:val="nil"/>
              <w:left w:val="nil"/>
              <w:right w:val="nil"/>
            </w:tcBorders>
            <w:shd w:val="clear" w:color="auto" w:fill="auto"/>
            <w:noWrap/>
            <w:vAlign w:val="bottom"/>
            <w:hideMark/>
          </w:tcPr>
          <w:p w14:paraId="17B49F70" w14:textId="77777777" w:rsidR="00862A01" w:rsidRPr="00872D7E" w:rsidRDefault="00862A01" w:rsidP="00862A01">
            <w:pPr>
              <w:jc w:val="right"/>
              <w:rPr>
                <w:sz w:val="16"/>
                <w:szCs w:val="16"/>
              </w:rPr>
            </w:pPr>
          </w:p>
        </w:tc>
        <w:tc>
          <w:tcPr>
            <w:tcW w:w="374" w:type="pct"/>
            <w:tcBorders>
              <w:top w:val="nil"/>
              <w:left w:val="nil"/>
              <w:right w:val="nil"/>
            </w:tcBorders>
            <w:shd w:val="clear" w:color="auto" w:fill="auto"/>
            <w:noWrap/>
            <w:vAlign w:val="bottom"/>
            <w:hideMark/>
          </w:tcPr>
          <w:p w14:paraId="075553C6" w14:textId="77777777" w:rsidR="00862A01" w:rsidRPr="00872D7E" w:rsidRDefault="00862A01" w:rsidP="00862A01">
            <w:pPr>
              <w:jc w:val="right"/>
              <w:rPr>
                <w:sz w:val="16"/>
                <w:szCs w:val="16"/>
              </w:rPr>
            </w:pPr>
          </w:p>
        </w:tc>
        <w:tc>
          <w:tcPr>
            <w:tcW w:w="373" w:type="pct"/>
            <w:tcBorders>
              <w:top w:val="nil"/>
              <w:left w:val="nil"/>
              <w:right w:val="nil"/>
            </w:tcBorders>
            <w:shd w:val="clear" w:color="auto" w:fill="auto"/>
            <w:noWrap/>
            <w:vAlign w:val="bottom"/>
            <w:hideMark/>
          </w:tcPr>
          <w:p w14:paraId="6F7B7C5D" w14:textId="77777777" w:rsidR="00862A01" w:rsidRPr="00872D7E" w:rsidRDefault="00862A01" w:rsidP="00862A01">
            <w:pPr>
              <w:jc w:val="right"/>
              <w:rPr>
                <w:sz w:val="16"/>
                <w:szCs w:val="16"/>
              </w:rPr>
            </w:pPr>
          </w:p>
        </w:tc>
        <w:tc>
          <w:tcPr>
            <w:tcW w:w="374" w:type="pct"/>
            <w:tcBorders>
              <w:top w:val="nil"/>
              <w:left w:val="nil"/>
              <w:right w:val="nil"/>
            </w:tcBorders>
            <w:shd w:val="clear" w:color="auto" w:fill="auto"/>
            <w:noWrap/>
            <w:vAlign w:val="bottom"/>
            <w:hideMark/>
          </w:tcPr>
          <w:p w14:paraId="6F5EE6C8" w14:textId="77777777" w:rsidR="00862A01" w:rsidRPr="00872D7E" w:rsidRDefault="00862A01" w:rsidP="00862A01">
            <w:pPr>
              <w:jc w:val="right"/>
              <w:rPr>
                <w:sz w:val="16"/>
                <w:szCs w:val="16"/>
              </w:rPr>
            </w:pPr>
          </w:p>
        </w:tc>
        <w:tc>
          <w:tcPr>
            <w:tcW w:w="526" w:type="pct"/>
            <w:tcBorders>
              <w:top w:val="nil"/>
              <w:left w:val="nil"/>
              <w:right w:val="nil"/>
            </w:tcBorders>
            <w:shd w:val="clear" w:color="auto" w:fill="auto"/>
            <w:noWrap/>
            <w:vAlign w:val="bottom"/>
            <w:hideMark/>
          </w:tcPr>
          <w:p w14:paraId="26C86F2F" w14:textId="77777777" w:rsidR="00862A01" w:rsidRPr="00872D7E" w:rsidRDefault="00862A01" w:rsidP="00862A01">
            <w:pPr>
              <w:jc w:val="right"/>
              <w:rPr>
                <w:sz w:val="16"/>
                <w:szCs w:val="16"/>
              </w:rPr>
            </w:pPr>
          </w:p>
        </w:tc>
        <w:tc>
          <w:tcPr>
            <w:tcW w:w="531" w:type="pct"/>
            <w:tcBorders>
              <w:top w:val="nil"/>
              <w:left w:val="nil"/>
              <w:right w:val="nil"/>
            </w:tcBorders>
            <w:shd w:val="clear" w:color="auto" w:fill="auto"/>
            <w:vAlign w:val="bottom"/>
            <w:hideMark/>
          </w:tcPr>
          <w:p w14:paraId="725E2088" w14:textId="77777777" w:rsidR="00862A01" w:rsidRPr="00872D7E" w:rsidRDefault="00862A01" w:rsidP="00862A01">
            <w:pPr>
              <w:jc w:val="right"/>
              <w:rPr>
                <w:sz w:val="16"/>
                <w:szCs w:val="16"/>
              </w:rPr>
            </w:pPr>
          </w:p>
        </w:tc>
        <w:tc>
          <w:tcPr>
            <w:tcW w:w="360" w:type="pct"/>
            <w:tcBorders>
              <w:top w:val="nil"/>
              <w:left w:val="nil"/>
              <w:right w:val="nil"/>
            </w:tcBorders>
            <w:shd w:val="clear" w:color="auto" w:fill="auto"/>
            <w:vAlign w:val="bottom"/>
            <w:hideMark/>
          </w:tcPr>
          <w:p w14:paraId="20130608" w14:textId="77777777" w:rsidR="00862A01" w:rsidRPr="00872D7E" w:rsidRDefault="00862A01" w:rsidP="00862A01">
            <w:pPr>
              <w:jc w:val="right"/>
              <w:rPr>
                <w:sz w:val="16"/>
                <w:szCs w:val="16"/>
              </w:rPr>
            </w:pPr>
          </w:p>
        </w:tc>
      </w:tr>
      <w:tr w:rsidR="00862A01" w:rsidRPr="00872D7E" w14:paraId="2E5A07D2" w14:textId="77777777" w:rsidTr="00020D5C">
        <w:trPr>
          <w:divId w:val="1987661959"/>
          <w:trHeight w:val="113"/>
        </w:trPr>
        <w:tc>
          <w:tcPr>
            <w:tcW w:w="1343" w:type="pct"/>
            <w:tcBorders>
              <w:top w:val="nil"/>
              <w:left w:val="nil"/>
              <w:bottom w:val="single" w:sz="12" w:space="0" w:color="auto"/>
              <w:right w:val="nil"/>
            </w:tcBorders>
            <w:shd w:val="clear" w:color="auto" w:fill="auto"/>
            <w:vAlign w:val="bottom"/>
            <w:hideMark/>
          </w:tcPr>
          <w:p w14:paraId="369523A6" w14:textId="77777777" w:rsidR="00862A01" w:rsidRPr="00872D7E" w:rsidRDefault="00862A01" w:rsidP="00862A01">
            <w:pPr>
              <w:rPr>
                <w:b/>
                <w:bCs/>
                <w:sz w:val="16"/>
                <w:szCs w:val="16"/>
              </w:rPr>
            </w:pPr>
            <w:r w:rsidRPr="00872D7E">
              <w:rPr>
                <w:rFonts w:eastAsia="Arial Unicode MS"/>
                <w:b/>
                <w:bCs/>
                <w:sz w:val="16"/>
                <w:szCs w:val="16"/>
              </w:rPr>
              <w:t>Toplam (I+II</w:t>
            </w:r>
            <w:proofErr w:type="gramStart"/>
            <w:r w:rsidRPr="00872D7E">
              <w:rPr>
                <w:rFonts w:eastAsia="Arial Unicode MS"/>
                <w:b/>
                <w:bCs/>
                <w:sz w:val="16"/>
                <w:szCs w:val="16"/>
              </w:rPr>
              <w:t>+..</w:t>
            </w:r>
            <w:proofErr w:type="gramEnd"/>
            <w:r w:rsidRPr="00872D7E">
              <w:rPr>
                <w:rFonts w:eastAsia="Arial Unicode MS"/>
                <w:b/>
                <w:bCs/>
                <w:sz w:val="16"/>
                <w:szCs w:val="16"/>
              </w:rPr>
              <w:t>+IX+X+XI)</w:t>
            </w:r>
          </w:p>
        </w:tc>
        <w:tc>
          <w:tcPr>
            <w:tcW w:w="372" w:type="pct"/>
            <w:tcBorders>
              <w:top w:val="nil"/>
              <w:left w:val="nil"/>
              <w:bottom w:val="single" w:sz="12" w:space="0" w:color="auto"/>
              <w:right w:val="nil"/>
            </w:tcBorders>
            <w:shd w:val="clear" w:color="auto" w:fill="auto"/>
            <w:vAlign w:val="bottom"/>
            <w:hideMark/>
          </w:tcPr>
          <w:p w14:paraId="12857365" w14:textId="77777777" w:rsidR="00862A01" w:rsidRPr="00872D7E" w:rsidRDefault="00862A01" w:rsidP="00862A01">
            <w:pPr>
              <w:jc w:val="right"/>
              <w:rPr>
                <w:b/>
                <w:bCs/>
                <w:sz w:val="16"/>
                <w:szCs w:val="16"/>
              </w:rPr>
            </w:pPr>
            <w:r w:rsidRPr="00872D7E">
              <w:rPr>
                <w:b/>
                <w:bCs/>
                <w:sz w:val="16"/>
                <w:szCs w:val="16"/>
              </w:rPr>
              <w:t>55</w:t>
            </w:r>
          </w:p>
        </w:tc>
        <w:tc>
          <w:tcPr>
            <w:tcW w:w="374" w:type="pct"/>
            <w:tcBorders>
              <w:top w:val="nil"/>
              <w:left w:val="nil"/>
              <w:bottom w:val="single" w:sz="12" w:space="0" w:color="auto"/>
              <w:right w:val="nil"/>
            </w:tcBorders>
            <w:shd w:val="clear" w:color="auto" w:fill="auto"/>
            <w:vAlign w:val="bottom"/>
            <w:hideMark/>
          </w:tcPr>
          <w:p w14:paraId="24A8A63C"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single" w:sz="12" w:space="0" w:color="auto"/>
              <w:right w:val="nil"/>
            </w:tcBorders>
            <w:shd w:val="clear" w:color="auto" w:fill="auto"/>
            <w:vAlign w:val="bottom"/>
            <w:hideMark/>
          </w:tcPr>
          <w:p w14:paraId="74FE1CA4"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single" w:sz="12" w:space="0" w:color="auto"/>
              <w:right w:val="nil"/>
            </w:tcBorders>
            <w:shd w:val="clear" w:color="auto" w:fill="auto"/>
            <w:vAlign w:val="bottom"/>
            <w:hideMark/>
          </w:tcPr>
          <w:p w14:paraId="539DBF68" w14:textId="77777777" w:rsidR="00862A01" w:rsidRPr="00872D7E" w:rsidRDefault="00862A01" w:rsidP="00862A01">
            <w:pPr>
              <w:jc w:val="right"/>
              <w:rPr>
                <w:b/>
                <w:bCs/>
                <w:sz w:val="16"/>
                <w:szCs w:val="16"/>
              </w:rPr>
            </w:pPr>
            <w:r w:rsidRPr="00872D7E">
              <w:rPr>
                <w:b/>
                <w:bCs/>
                <w:sz w:val="16"/>
                <w:szCs w:val="16"/>
              </w:rPr>
              <w:t>-</w:t>
            </w:r>
          </w:p>
        </w:tc>
        <w:tc>
          <w:tcPr>
            <w:tcW w:w="373" w:type="pct"/>
            <w:tcBorders>
              <w:top w:val="nil"/>
              <w:left w:val="nil"/>
              <w:bottom w:val="single" w:sz="12" w:space="0" w:color="auto"/>
              <w:right w:val="nil"/>
            </w:tcBorders>
            <w:shd w:val="clear" w:color="auto" w:fill="auto"/>
            <w:vAlign w:val="bottom"/>
            <w:hideMark/>
          </w:tcPr>
          <w:p w14:paraId="65C4CE1F" w14:textId="77777777" w:rsidR="00862A01" w:rsidRPr="00872D7E" w:rsidRDefault="00862A01" w:rsidP="00862A01">
            <w:pPr>
              <w:jc w:val="right"/>
              <w:rPr>
                <w:b/>
                <w:bCs/>
                <w:sz w:val="16"/>
                <w:szCs w:val="16"/>
              </w:rPr>
            </w:pPr>
            <w:r w:rsidRPr="00872D7E">
              <w:rPr>
                <w:b/>
                <w:bCs/>
                <w:sz w:val="16"/>
                <w:szCs w:val="16"/>
              </w:rPr>
              <w:t>-</w:t>
            </w:r>
          </w:p>
        </w:tc>
        <w:tc>
          <w:tcPr>
            <w:tcW w:w="374" w:type="pct"/>
            <w:tcBorders>
              <w:top w:val="nil"/>
              <w:left w:val="nil"/>
              <w:bottom w:val="single" w:sz="12" w:space="0" w:color="auto"/>
              <w:right w:val="nil"/>
            </w:tcBorders>
            <w:shd w:val="clear" w:color="auto" w:fill="auto"/>
            <w:vAlign w:val="bottom"/>
            <w:hideMark/>
          </w:tcPr>
          <w:p w14:paraId="4A247731" w14:textId="77777777" w:rsidR="00862A01" w:rsidRPr="00872D7E" w:rsidRDefault="00862A01" w:rsidP="00862A01">
            <w:pPr>
              <w:jc w:val="right"/>
              <w:rPr>
                <w:b/>
                <w:bCs/>
                <w:sz w:val="16"/>
                <w:szCs w:val="16"/>
              </w:rPr>
            </w:pPr>
            <w:r w:rsidRPr="00872D7E">
              <w:rPr>
                <w:b/>
                <w:bCs/>
                <w:sz w:val="16"/>
                <w:szCs w:val="16"/>
              </w:rPr>
              <w:t>-</w:t>
            </w:r>
          </w:p>
        </w:tc>
        <w:tc>
          <w:tcPr>
            <w:tcW w:w="526" w:type="pct"/>
            <w:tcBorders>
              <w:top w:val="nil"/>
              <w:left w:val="nil"/>
              <w:bottom w:val="single" w:sz="12" w:space="0" w:color="auto"/>
              <w:right w:val="nil"/>
            </w:tcBorders>
            <w:shd w:val="clear" w:color="auto" w:fill="auto"/>
            <w:vAlign w:val="bottom"/>
            <w:hideMark/>
          </w:tcPr>
          <w:p w14:paraId="73FD7D45" w14:textId="77777777" w:rsidR="00862A01" w:rsidRPr="00872D7E" w:rsidRDefault="00862A01" w:rsidP="00862A01">
            <w:pPr>
              <w:jc w:val="right"/>
              <w:rPr>
                <w:b/>
                <w:bCs/>
                <w:sz w:val="16"/>
                <w:szCs w:val="16"/>
              </w:rPr>
            </w:pPr>
            <w:r w:rsidRPr="00872D7E">
              <w:rPr>
                <w:b/>
                <w:bCs/>
                <w:sz w:val="16"/>
                <w:szCs w:val="16"/>
              </w:rPr>
              <w:t>-</w:t>
            </w:r>
          </w:p>
        </w:tc>
        <w:tc>
          <w:tcPr>
            <w:tcW w:w="531" w:type="pct"/>
            <w:tcBorders>
              <w:top w:val="nil"/>
              <w:left w:val="nil"/>
              <w:bottom w:val="single" w:sz="12" w:space="0" w:color="auto"/>
              <w:right w:val="nil"/>
            </w:tcBorders>
            <w:shd w:val="clear" w:color="auto" w:fill="auto"/>
            <w:vAlign w:val="bottom"/>
            <w:hideMark/>
          </w:tcPr>
          <w:p w14:paraId="5EBBC48A" w14:textId="77777777" w:rsidR="00862A01" w:rsidRPr="00872D7E" w:rsidRDefault="00862A01" w:rsidP="00862A01">
            <w:pPr>
              <w:jc w:val="right"/>
              <w:rPr>
                <w:b/>
                <w:bCs/>
                <w:sz w:val="16"/>
                <w:szCs w:val="16"/>
              </w:rPr>
            </w:pPr>
            <w:r w:rsidRPr="00872D7E">
              <w:rPr>
                <w:b/>
                <w:bCs/>
                <w:sz w:val="16"/>
                <w:szCs w:val="16"/>
              </w:rPr>
              <w:t>-</w:t>
            </w:r>
          </w:p>
        </w:tc>
        <w:tc>
          <w:tcPr>
            <w:tcW w:w="360" w:type="pct"/>
            <w:tcBorders>
              <w:top w:val="nil"/>
              <w:left w:val="nil"/>
              <w:bottom w:val="single" w:sz="12" w:space="0" w:color="auto"/>
              <w:right w:val="nil"/>
            </w:tcBorders>
            <w:shd w:val="clear" w:color="auto" w:fill="auto"/>
            <w:vAlign w:val="bottom"/>
            <w:hideMark/>
          </w:tcPr>
          <w:p w14:paraId="646FC15D" w14:textId="77777777" w:rsidR="00862A01" w:rsidRPr="00872D7E" w:rsidRDefault="00862A01" w:rsidP="00862A01">
            <w:pPr>
              <w:jc w:val="right"/>
              <w:rPr>
                <w:b/>
                <w:bCs/>
                <w:sz w:val="16"/>
                <w:szCs w:val="16"/>
              </w:rPr>
            </w:pPr>
            <w:r w:rsidRPr="00872D7E">
              <w:rPr>
                <w:b/>
                <w:bCs/>
                <w:sz w:val="16"/>
                <w:szCs w:val="16"/>
              </w:rPr>
              <w:t>55</w:t>
            </w:r>
          </w:p>
        </w:tc>
      </w:tr>
    </w:tbl>
    <w:p w14:paraId="7F82CA73" w14:textId="646ED4F1" w:rsidR="00AF526A" w:rsidRPr="00872D7E" w:rsidRDefault="00AF526A" w:rsidP="00154DA9">
      <w:pPr>
        <w:widowControl w:val="0"/>
        <w:spacing w:line="235" w:lineRule="auto"/>
        <w:ind w:right="-182"/>
        <w:jc w:val="both"/>
        <w:rPr>
          <w:sz w:val="14"/>
          <w:szCs w:val="14"/>
        </w:rPr>
      </w:pPr>
    </w:p>
    <w:p w14:paraId="1E96C406" w14:textId="77777777" w:rsidR="00081D71" w:rsidRPr="00872D7E" w:rsidRDefault="00081D71">
      <w:pPr>
        <w:rPr>
          <w:b/>
          <w:szCs w:val="20"/>
        </w:rPr>
      </w:pPr>
      <w:r w:rsidRPr="00872D7E">
        <w:rPr>
          <w:b/>
          <w:szCs w:val="20"/>
        </w:rPr>
        <w:br w:type="page"/>
      </w:r>
    </w:p>
    <w:p w14:paraId="6F264A5B" w14:textId="77777777" w:rsidR="0098597B" w:rsidRPr="00872D7E" w:rsidRDefault="0098597B" w:rsidP="0098597B">
      <w:pPr>
        <w:widowControl w:val="0"/>
        <w:spacing w:line="235" w:lineRule="auto"/>
        <w:ind w:left="720" w:hanging="720"/>
        <w:jc w:val="both"/>
        <w:rPr>
          <w:b/>
          <w:szCs w:val="20"/>
        </w:rPr>
      </w:pPr>
      <w:r w:rsidRPr="00872D7E">
        <w:rPr>
          <w:b/>
          <w:szCs w:val="20"/>
        </w:rPr>
        <w:lastRenderedPageBreak/>
        <w:t>KONSOLİDE OLMAYAN FİNANSAL TABLOLARA İLİŞKİN AÇIKLAMA VE DİPNOTLAR (Devamı)</w:t>
      </w:r>
    </w:p>
    <w:p w14:paraId="2AFF8483" w14:textId="77777777" w:rsidR="0098597B" w:rsidRPr="00872D7E" w:rsidRDefault="0098597B" w:rsidP="0098597B">
      <w:pPr>
        <w:widowControl w:val="0"/>
        <w:spacing w:line="235" w:lineRule="auto"/>
        <w:ind w:left="851" w:hanging="851"/>
        <w:jc w:val="both"/>
        <w:rPr>
          <w:b/>
          <w:szCs w:val="20"/>
        </w:rPr>
      </w:pPr>
    </w:p>
    <w:p w14:paraId="239C2653" w14:textId="77777777" w:rsidR="00726901" w:rsidRPr="00872D7E" w:rsidRDefault="00726901" w:rsidP="003B796D">
      <w:pPr>
        <w:pStyle w:val="ListParagraph"/>
        <w:widowControl w:val="0"/>
        <w:numPr>
          <w:ilvl w:val="0"/>
          <w:numId w:val="74"/>
        </w:numPr>
        <w:spacing w:line="235" w:lineRule="auto"/>
        <w:ind w:left="851" w:hanging="862"/>
        <w:jc w:val="both"/>
        <w:rPr>
          <w:b/>
          <w:szCs w:val="20"/>
        </w:rPr>
      </w:pPr>
      <w:r w:rsidRPr="00872D7E">
        <w:rPr>
          <w:b/>
          <w:szCs w:val="20"/>
        </w:rPr>
        <w:t>BİLANÇONUN PASİF HESAPLARINA İLİŞKİN AÇIKLAMA VE DİPNOTLAR (Devamı)</w:t>
      </w:r>
    </w:p>
    <w:p w14:paraId="2B166272" w14:textId="77777777" w:rsidR="0098597B" w:rsidRPr="00872D7E" w:rsidRDefault="0098597B" w:rsidP="0098597B">
      <w:pPr>
        <w:pStyle w:val="BodyTextIndent"/>
        <w:widowControl w:val="0"/>
        <w:spacing w:line="235" w:lineRule="auto"/>
        <w:ind w:left="14" w:hanging="440"/>
        <w:rPr>
          <w:b/>
          <w:szCs w:val="20"/>
        </w:rPr>
      </w:pPr>
    </w:p>
    <w:p w14:paraId="14CB75C6" w14:textId="449E6CDF" w:rsidR="0098597B" w:rsidRPr="00872D7E" w:rsidRDefault="0098597B" w:rsidP="00DF282B">
      <w:pPr>
        <w:pStyle w:val="BodyTextIndent"/>
        <w:widowControl w:val="0"/>
        <w:numPr>
          <w:ilvl w:val="0"/>
          <w:numId w:val="66"/>
        </w:numPr>
        <w:spacing w:line="235" w:lineRule="auto"/>
        <w:ind w:left="851" w:hanging="851"/>
        <w:rPr>
          <w:b/>
          <w:szCs w:val="20"/>
        </w:rPr>
      </w:pPr>
      <w:bookmarkStart w:id="85" w:name="_Hlk188878141"/>
      <w:r w:rsidRPr="00872D7E">
        <w:rPr>
          <w:b/>
          <w:szCs w:val="20"/>
        </w:rPr>
        <w:t>Toplanan fonlara ilişkin bilgiler: (Devamı)</w:t>
      </w:r>
    </w:p>
    <w:p w14:paraId="5C71F5E9" w14:textId="77777777" w:rsidR="0098597B" w:rsidRPr="00872D7E" w:rsidRDefault="0098597B" w:rsidP="0098597B">
      <w:pPr>
        <w:pStyle w:val="BodyTextIndent"/>
        <w:widowControl w:val="0"/>
        <w:spacing w:line="235" w:lineRule="auto"/>
        <w:ind w:left="851" w:firstLine="0"/>
        <w:rPr>
          <w:b/>
          <w:szCs w:val="20"/>
        </w:rPr>
      </w:pPr>
    </w:p>
    <w:p w14:paraId="282F0331" w14:textId="2FF5F78C" w:rsidR="00F575A6" w:rsidRPr="00872D7E" w:rsidRDefault="00F575A6" w:rsidP="00DF282B">
      <w:pPr>
        <w:pStyle w:val="BodyTextIndent"/>
        <w:widowControl w:val="0"/>
        <w:numPr>
          <w:ilvl w:val="0"/>
          <w:numId w:val="51"/>
        </w:numPr>
        <w:tabs>
          <w:tab w:val="clear" w:pos="540"/>
        </w:tabs>
        <w:spacing w:line="235" w:lineRule="auto"/>
        <w:ind w:left="1276" w:hanging="425"/>
        <w:rPr>
          <w:b/>
          <w:szCs w:val="20"/>
        </w:rPr>
      </w:pPr>
      <w:bookmarkStart w:id="86" w:name="_Hlk188878093"/>
      <w:r w:rsidRPr="00872D7E">
        <w:rPr>
          <w:b/>
          <w:szCs w:val="20"/>
        </w:rPr>
        <w:t>Sigorta kapsamında bulunan katılım fonuna ilişkin bilgiler:</w:t>
      </w:r>
    </w:p>
    <w:p w14:paraId="562670E6" w14:textId="77777777" w:rsidR="001F0473" w:rsidRPr="00872D7E" w:rsidRDefault="001F0473" w:rsidP="001F0473"/>
    <w:p w14:paraId="6F8261C4" w14:textId="50FB4B55" w:rsidR="001F0473" w:rsidRPr="00872D7E" w:rsidRDefault="001F0473" w:rsidP="003B796D">
      <w:pPr>
        <w:ind w:left="851"/>
      </w:pPr>
      <w:r w:rsidRPr="00872D7E">
        <w:t>Sigorta kapsamında bulunan ve sigorta limitini aşan katılım fonuna ilişkin bilgiler:</w:t>
      </w:r>
    </w:p>
    <w:p w14:paraId="431A2F0A" w14:textId="665BA250" w:rsidR="00862A01" w:rsidRPr="00872D7E" w:rsidRDefault="00862A01" w:rsidP="007E589C"/>
    <w:tbl>
      <w:tblPr>
        <w:tblW w:w="5000" w:type="pct"/>
        <w:tblCellMar>
          <w:left w:w="70" w:type="dxa"/>
          <w:right w:w="70" w:type="dxa"/>
        </w:tblCellMar>
        <w:tblLook w:val="04A0" w:firstRow="1" w:lastRow="0" w:firstColumn="1" w:lastColumn="0" w:noHBand="0" w:noVBand="1"/>
      </w:tblPr>
      <w:tblGrid>
        <w:gridCol w:w="3607"/>
        <w:gridCol w:w="1370"/>
        <w:gridCol w:w="1405"/>
        <w:gridCol w:w="1386"/>
        <w:gridCol w:w="1587"/>
      </w:tblGrid>
      <w:tr w:rsidR="00862A01" w:rsidRPr="00872D7E" w14:paraId="4A5B49D3" w14:textId="77777777" w:rsidTr="00862A01">
        <w:trPr>
          <w:divId w:val="527838307"/>
          <w:trHeight w:val="227"/>
        </w:trPr>
        <w:tc>
          <w:tcPr>
            <w:tcW w:w="1928" w:type="pct"/>
            <w:tcBorders>
              <w:top w:val="nil"/>
              <w:left w:val="nil"/>
              <w:bottom w:val="nil"/>
              <w:right w:val="nil"/>
            </w:tcBorders>
            <w:shd w:val="clear" w:color="auto" w:fill="auto"/>
            <w:vAlign w:val="bottom"/>
            <w:hideMark/>
          </w:tcPr>
          <w:p w14:paraId="6EB10B53" w14:textId="71DCEA6C" w:rsidR="00862A01" w:rsidRPr="00872D7E" w:rsidRDefault="00862A01" w:rsidP="00862A01">
            <w:pPr>
              <w:rPr>
                <w:sz w:val="18"/>
                <w:szCs w:val="18"/>
                <w:lang w:eastAsia="tr-TR"/>
              </w:rPr>
            </w:pPr>
          </w:p>
        </w:tc>
        <w:tc>
          <w:tcPr>
            <w:tcW w:w="1483" w:type="pct"/>
            <w:gridSpan w:val="2"/>
            <w:tcBorders>
              <w:top w:val="nil"/>
              <w:left w:val="nil"/>
              <w:bottom w:val="single" w:sz="4" w:space="0" w:color="auto"/>
              <w:right w:val="nil"/>
            </w:tcBorders>
            <w:shd w:val="clear" w:color="auto" w:fill="auto"/>
            <w:vAlign w:val="bottom"/>
            <w:hideMark/>
          </w:tcPr>
          <w:p w14:paraId="190C55A8"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093ED418"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Sigorta Limitini Aşan</w:t>
            </w:r>
          </w:p>
        </w:tc>
      </w:tr>
      <w:tr w:rsidR="00862A01" w:rsidRPr="00872D7E" w14:paraId="44026FBE" w14:textId="77777777" w:rsidTr="00862A01">
        <w:trPr>
          <w:divId w:val="527838307"/>
          <w:trHeight w:val="227"/>
        </w:trPr>
        <w:tc>
          <w:tcPr>
            <w:tcW w:w="1928" w:type="pct"/>
            <w:tcBorders>
              <w:top w:val="nil"/>
              <w:left w:val="nil"/>
              <w:bottom w:val="single" w:sz="4" w:space="0" w:color="auto"/>
              <w:right w:val="nil"/>
            </w:tcBorders>
            <w:shd w:val="clear" w:color="auto" w:fill="auto"/>
            <w:vAlign w:val="bottom"/>
            <w:hideMark/>
          </w:tcPr>
          <w:p w14:paraId="2B2C0AD5" w14:textId="77777777" w:rsidR="00862A01" w:rsidRPr="00872D7E" w:rsidRDefault="00862A01" w:rsidP="00862A01">
            <w:pPr>
              <w:jc w:val="both"/>
              <w:rPr>
                <w:b/>
                <w:bCs/>
                <w:color w:val="000000"/>
                <w:sz w:val="18"/>
                <w:szCs w:val="18"/>
                <w:lang w:eastAsia="tr-TR"/>
              </w:rPr>
            </w:pPr>
            <w:r w:rsidRPr="00872D7E">
              <w:rPr>
                <w:b/>
                <w:bCs/>
                <w:color w:val="000000"/>
                <w:sz w:val="18"/>
                <w:szCs w:val="18"/>
                <w:lang w:eastAsia="tr-TR"/>
              </w:rPr>
              <w:t> </w:t>
            </w:r>
          </w:p>
        </w:tc>
        <w:tc>
          <w:tcPr>
            <w:tcW w:w="732" w:type="pct"/>
            <w:tcBorders>
              <w:top w:val="nil"/>
              <w:left w:val="nil"/>
              <w:bottom w:val="single" w:sz="4" w:space="0" w:color="auto"/>
              <w:right w:val="nil"/>
            </w:tcBorders>
            <w:shd w:val="clear" w:color="auto" w:fill="auto"/>
            <w:vAlign w:val="bottom"/>
            <w:hideMark/>
          </w:tcPr>
          <w:p w14:paraId="53A8456D"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31 Aralık 2024</w:t>
            </w:r>
          </w:p>
        </w:tc>
        <w:tc>
          <w:tcPr>
            <w:tcW w:w="751" w:type="pct"/>
            <w:tcBorders>
              <w:top w:val="nil"/>
              <w:left w:val="nil"/>
              <w:bottom w:val="single" w:sz="4" w:space="0" w:color="auto"/>
              <w:right w:val="nil"/>
            </w:tcBorders>
            <w:shd w:val="clear" w:color="auto" w:fill="auto"/>
            <w:vAlign w:val="bottom"/>
            <w:hideMark/>
          </w:tcPr>
          <w:p w14:paraId="797C3B57"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1 Ocak 2024</w:t>
            </w:r>
          </w:p>
        </w:tc>
        <w:tc>
          <w:tcPr>
            <w:tcW w:w="741" w:type="pct"/>
            <w:tcBorders>
              <w:top w:val="nil"/>
              <w:left w:val="nil"/>
              <w:bottom w:val="single" w:sz="4" w:space="0" w:color="auto"/>
              <w:right w:val="nil"/>
            </w:tcBorders>
            <w:shd w:val="clear" w:color="auto" w:fill="auto"/>
            <w:vAlign w:val="bottom"/>
            <w:hideMark/>
          </w:tcPr>
          <w:p w14:paraId="2DFD6328"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31 Aralık 2024</w:t>
            </w:r>
          </w:p>
        </w:tc>
        <w:tc>
          <w:tcPr>
            <w:tcW w:w="848" w:type="pct"/>
            <w:tcBorders>
              <w:top w:val="nil"/>
              <w:left w:val="nil"/>
              <w:bottom w:val="single" w:sz="4" w:space="0" w:color="auto"/>
              <w:right w:val="nil"/>
            </w:tcBorders>
            <w:shd w:val="clear" w:color="auto" w:fill="auto"/>
            <w:vAlign w:val="bottom"/>
            <w:hideMark/>
          </w:tcPr>
          <w:p w14:paraId="6CD1B465"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1 Ocak 2024</w:t>
            </w:r>
          </w:p>
        </w:tc>
      </w:tr>
      <w:tr w:rsidR="00862A01" w:rsidRPr="00872D7E" w14:paraId="6F65DAC4" w14:textId="77777777" w:rsidTr="00862A01">
        <w:trPr>
          <w:divId w:val="527838307"/>
          <w:trHeight w:val="227"/>
        </w:trPr>
        <w:tc>
          <w:tcPr>
            <w:tcW w:w="1928" w:type="pct"/>
            <w:tcBorders>
              <w:top w:val="nil"/>
              <w:left w:val="nil"/>
              <w:bottom w:val="nil"/>
              <w:right w:val="nil"/>
            </w:tcBorders>
            <w:shd w:val="clear" w:color="auto" w:fill="auto"/>
            <w:vAlign w:val="bottom"/>
            <w:hideMark/>
          </w:tcPr>
          <w:p w14:paraId="2C8598FA" w14:textId="77777777" w:rsidR="00862A01" w:rsidRPr="00872D7E" w:rsidRDefault="00862A01" w:rsidP="00862A01">
            <w:pPr>
              <w:jc w:val="center"/>
              <w:rPr>
                <w:b/>
                <w:bCs/>
                <w:color w:val="000000"/>
                <w:sz w:val="18"/>
                <w:szCs w:val="18"/>
                <w:lang w:eastAsia="tr-TR"/>
              </w:rPr>
            </w:pPr>
          </w:p>
        </w:tc>
        <w:tc>
          <w:tcPr>
            <w:tcW w:w="732" w:type="pct"/>
            <w:tcBorders>
              <w:top w:val="nil"/>
              <w:left w:val="nil"/>
              <w:bottom w:val="nil"/>
              <w:right w:val="nil"/>
            </w:tcBorders>
            <w:shd w:val="clear" w:color="auto" w:fill="auto"/>
            <w:vAlign w:val="bottom"/>
            <w:hideMark/>
          </w:tcPr>
          <w:p w14:paraId="1C4A7734" w14:textId="77777777" w:rsidR="00862A01" w:rsidRPr="00872D7E" w:rsidRDefault="00862A01" w:rsidP="00862A01">
            <w:pPr>
              <w:jc w:val="both"/>
              <w:rPr>
                <w:sz w:val="18"/>
                <w:szCs w:val="18"/>
                <w:lang w:eastAsia="tr-TR"/>
              </w:rPr>
            </w:pPr>
          </w:p>
        </w:tc>
        <w:tc>
          <w:tcPr>
            <w:tcW w:w="751" w:type="pct"/>
            <w:tcBorders>
              <w:top w:val="nil"/>
              <w:left w:val="nil"/>
              <w:bottom w:val="nil"/>
              <w:right w:val="nil"/>
            </w:tcBorders>
            <w:shd w:val="clear" w:color="auto" w:fill="auto"/>
            <w:vAlign w:val="bottom"/>
            <w:hideMark/>
          </w:tcPr>
          <w:p w14:paraId="6FCBCB32" w14:textId="77777777" w:rsidR="00862A01" w:rsidRPr="00872D7E" w:rsidRDefault="00862A01" w:rsidP="00862A01">
            <w:pPr>
              <w:jc w:val="right"/>
              <w:rPr>
                <w:sz w:val="18"/>
                <w:szCs w:val="18"/>
                <w:lang w:eastAsia="tr-TR"/>
              </w:rPr>
            </w:pPr>
          </w:p>
        </w:tc>
        <w:tc>
          <w:tcPr>
            <w:tcW w:w="741" w:type="pct"/>
            <w:tcBorders>
              <w:top w:val="nil"/>
              <w:left w:val="nil"/>
              <w:bottom w:val="nil"/>
              <w:right w:val="nil"/>
            </w:tcBorders>
            <w:shd w:val="clear" w:color="auto" w:fill="auto"/>
            <w:hideMark/>
          </w:tcPr>
          <w:p w14:paraId="783F3E0A" w14:textId="77777777" w:rsidR="00862A01" w:rsidRPr="00872D7E" w:rsidRDefault="00862A01" w:rsidP="00862A01">
            <w:pPr>
              <w:jc w:val="right"/>
              <w:rPr>
                <w:sz w:val="18"/>
                <w:szCs w:val="18"/>
                <w:lang w:eastAsia="tr-TR"/>
              </w:rPr>
            </w:pPr>
          </w:p>
        </w:tc>
        <w:tc>
          <w:tcPr>
            <w:tcW w:w="848" w:type="pct"/>
            <w:tcBorders>
              <w:top w:val="nil"/>
              <w:left w:val="nil"/>
              <w:bottom w:val="nil"/>
              <w:right w:val="nil"/>
            </w:tcBorders>
            <w:shd w:val="clear" w:color="auto" w:fill="auto"/>
            <w:vAlign w:val="bottom"/>
            <w:hideMark/>
          </w:tcPr>
          <w:p w14:paraId="2D3BEFA8" w14:textId="77777777" w:rsidR="00862A01" w:rsidRPr="00872D7E" w:rsidRDefault="00862A01" w:rsidP="00862A01">
            <w:pPr>
              <w:jc w:val="right"/>
              <w:rPr>
                <w:sz w:val="18"/>
                <w:szCs w:val="18"/>
                <w:lang w:eastAsia="tr-TR"/>
              </w:rPr>
            </w:pPr>
          </w:p>
        </w:tc>
      </w:tr>
      <w:tr w:rsidR="00862A01" w:rsidRPr="00872D7E" w14:paraId="04E02F9E" w14:textId="77777777" w:rsidTr="00862A01">
        <w:trPr>
          <w:divId w:val="527838307"/>
          <w:trHeight w:val="227"/>
        </w:trPr>
        <w:tc>
          <w:tcPr>
            <w:tcW w:w="1928" w:type="pct"/>
            <w:tcBorders>
              <w:top w:val="nil"/>
              <w:left w:val="nil"/>
              <w:bottom w:val="nil"/>
              <w:right w:val="nil"/>
            </w:tcBorders>
            <w:shd w:val="clear" w:color="auto" w:fill="auto"/>
            <w:vAlign w:val="center"/>
            <w:hideMark/>
          </w:tcPr>
          <w:p w14:paraId="31869022" w14:textId="77777777" w:rsidR="00862A01" w:rsidRPr="00872D7E" w:rsidRDefault="00862A01" w:rsidP="00862A01">
            <w:pPr>
              <w:rPr>
                <w:b/>
                <w:bCs/>
                <w:color w:val="000000"/>
                <w:sz w:val="18"/>
                <w:szCs w:val="18"/>
                <w:lang w:eastAsia="tr-TR"/>
              </w:rPr>
            </w:pPr>
            <w:r w:rsidRPr="00872D7E">
              <w:rPr>
                <w:b/>
                <w:bCs/>
                <w:color w:val="000000"/>
                <w:sz w:val="18"/>
                <w:szCs w:val="18"/>
                <w:lang w:eastAsia="tr-TR"/>
              </w:rPr>
              <w:t>Gerçek Kişilerin Özel Cari ve Katılma Hesapları</w:t>
            </w:r>
          </w:p>
        </w:tc>
        <w:tc>
          <w:tcPr>
            <w:tcW w:w="732" w:type="pct"/>
            <w:tcBorders>
              <w:top w:val="nil"/>
              <w:left w:val="nil"/>
              <w:bottom w:val="nil"/>
              <w:right w:val="nil"/>
            </w:tcBorders>
            <w:shd w:val="clear" w:color="auto" w:fill="auto"/>
            <w:noWrap/>
            <w:vAlign w:val="bottom"/>
            <w:hideMark/>
          </w:tcPr>
          <w:p w14:paraId="125436CE" w14:textId="77777777" w:rsidR="00862A01" w:rsidRPr="00872D7E" w:rsidRDefault="00862A01" w:rsidP="00862A01">
            <w:pPr>
              <w:jc w:val="right"/>
              <w:rPr>
                <w:b/>
                <w:bCs/>
                <w:color w:val="000000"/>
                <w:sz w:val="18"/>
                <w:szCs w:val="18"/>
                <w:lang w:eastAsia="tr-TR"/>
              </w:rPr>
            </w:pPr>
            <w:r w:rsidRPr="00872D7E">
              <w:rPr>
                <w:b/>
                <w:bCs/>
                <w:color w:val="000000"/>
                <w:sz w:val="18"/>
                <w:szCs w:val="18"/>
                <w:lang w:eastAsia="tr-TR"/>
              </w:rPr>
              <w:t>221.416</w:t>
            </w:r>
          </w:p>
        </w:tc>
        <w:tc>
          <w:tcPr>
            <w:tcW w:w="751" w:type="pct"/>
            <w:tcBorders>
              <w:top w:val="nil"/>
              <w:left w:val="nil"/>
              <w:bottom w:val="nil"/>
              <w:right w:val="nil"/>
            </w:tcBorders>
            <w:shd w:val="clear" w:color="auto" w:fill="auto"/>
            <w:noWrap/>
            <w:vAlign w:val="bottom"/>
            <w:hideMark/>
          </w:tcPr>
          <w:p w14:paraId="43C73721" w14:textId="77777777" w:rsidR="00862A01" w:rsidRPr="00872D7E" w:rsidRDefault="00862A01" w:rsidP="00862A01">
            <w:pPr>
              <w:jc w:val="right"/>
              <w:rPr>
                <w:rFonts w:ascii="Arial" w:hAnsi="Arial" w:cs="Arial"/>
                <w:color w:val="000000"/>
                <w:sz w:val="18"/>
                <w:szCs w:val="18"/>
                <w:lang w:eastAsia="tr-TR"/>
              </w:rPr>
            </w:pPr>
            <w:r w:rsidRPr="00872D7E">
              <w:rPr>
                <w:b/>
                <w:bCs/>
                <w:color w:val="000000"/>
                <w:sz w:val="18"/>
                <w:szCs w:val="18"/>
                <w:lang w:eastAsia="tr-TR"/>
              </w:rPr>
              <w:t>26</w:t>
            </w:r>
          </w:p>
        </w:tc>
        <w:tc>
          <w:tcPr>
            <w:tcW w:w="741" w:type="pct"/>
            <w:tcBorders>
              <w:top w:val="nil"/>
              <w:left w:val="nil"/>
              <w:bottom w:val="nil"/>
              <w:right w:val="nil"/>
            </w:tcBorders>
            <w:shd w:val="clear" w:color="auto" w:fill="auto"/>
            <w:noWrap/>
            <w:vAlign w:val="bottom"/>
            <w:hideMark/>
          </w:tcPr>
          <w:p w14:paraId="4C9AD2F7" w14:textId="77777777" w:rsidR="00862A01" w:rsidRPr="00872D7E" w:rsidRDefault="00862A01" w:rsidP="00862A01">
            <w:pPr>
              <w:jc w:val="right"/>
              <w:rPr>
                <w:b/>
                <w:bCs/>
                <w:color w:val="000000"/>
                <w:sz w:val="18"/>
                <w:szCs w:val="18"/>
                <w:lang w:eastAsia="tr-TR"/>
              </w:rPr>
            </w:pPr>
            <w:r w:rsidRPr="00872D7E">
              <w:rPr>
                <w:b/>
                <w:bCs/>
                <w:color w:val="000000"/>
                <w:sz w:val="18"/>
                <w:szCs w:val="18"/>
                <w:lang w:eastAsia="tr-TR"/>
              </w:rPr>
              <w:t>4.147.973</w:t>
            </w:r>
          </w:p>
        </w:tc>
        <w:tc>
          <w:tcPr>
            <w:tcW w:w="848" w:type="pct"/>
            <w:tcBorders>
              <w:top w:val="nil"/>
              <w:left w:val="nil"/>
              <w:bottom w:val="nil"/>
              <w:right w:val="nil"/>
            </w:tcBorders>
            <w:shd w:val="clear" w:color="auto" w:fill="auto"/>
            <w:noWrap/>
            <w:vAlign w:val="bottom"/>
            <w:hideMark/>
          </w:tcPr>
          <w:p w14:paraId="6A9C2FBC" w14:textId="77777777" w:rsidR="00862A01" w:rsidRPr="00872D7E" w:rsidRDefault="00862A01" w:rsidP="00862A01">
            <w:pPr>
              <w:jc w:val="right"/>
              <w:rPr>
                <w:rFonts w:ascii="Arial" w:hAnsi="Arial" w:cs="Arial"/>
                <w:color w:val="000000"/>
                <w:sz w:val="18"/>
                <w:szCs w:val="18"/>
                <w:lang w:eastAsia="tr-TR"/>
              </w:rPr>
            </w:pPr>
            <w:r w:rsidRPr="00872D7E">
              <w:rPr>
                <w:b/>
                <w:bCs/>
                <w:color w:val="000000"/>
                <w:sz w:val="18"/>
                <w:szCs w:val="18"/>
                <w:lang w:eastAsia="tr-TR"/>
              </w:rPr>
              <w:t>-</w:t>
            </w:r>
          </w:p>
        </w:tc>
      </w:tr>
      <w:tr w:rsidR="00862A01" w:rsidRPr="00872D7E" w14:paraId="69A21B00" w14:textId="77777777" w:rsidTr="00862A01">
        <w:trPr>
          <w:divId w:val="527838307"/>
          <w:trHeight w:val="227"/>
        </w:trPr>
        <w:tc>
          <w:tcPr>
            <w:tcW w:w="1928" w:type="pct"/>
            <w:tcBorders>
              <w:top w:val="nil"/>
              <w:left w:val="nil"/>
              <w:bottom w:val="nil"/>
              <w:right w:val="nil"/>
            </w:tcBorders>
            <w:shd w:val="clear" w:color="auto" w:fill="auto"/>
            <w:vAlign w:val="center"/>
            <w:hideMark/>
          </w:tcPr>
          <w:p w14:paraId="278F7E97" w14:textId="77777777" w:rsidR="00862A01" w:rsidRPr="00872D7E" w:rsidRDefault="00862A01" w:rsidP="00862A01">
            <w:pPr>
              <w:ind w:left="215"/>
              <w:rPr>
                <w:color w:val="000000"/>
                <w:sz w:val="18"/>
                <w:szCs w:val="18"/>
                <w:lang w:eastAsia="tr-TR"/>
              </w:rPr>
            </w:pPr>
            <w:r w:rsidRPr="00872D7E">
              <w:rPr>
                <w:color w:val="000000"/>
                <w:sz w:val="18"/>
                <w:szCs w:val="18"/>
                <w:lang w:eastAsia="tr-TR"/>
              </w:rPr>
              <w:t>Türk Parası Cinsinden Hesaplar</w:t>
            </w:r>
          </w:p>
        </w:tc>
        <w:tc>
          <w:tcPr>
            <w:tcW w:w="732" w:type="pct"/>
            <w:tcBorders>
              <w:top w:val="nil"/>
              <w:left w:val="nil"/>
              <w:bottom w:val="nil"/>
              <w:right w:val="nil"/>
            </w:tcBorders>
            <w:shd w:val="clear" w:color="auto" w:fill="auto"/>
            <w:noWrap/>
            <w:vAlign w:val="bottom"/>
            <w:hideMark/>
          </w:tcPr>
          <w:p w14:paraId="46F8378E" w14:textId="77777777" w:rsidR="00862A01" w:rsidRPr="00872D7E" w:rsidRDefault="00862A01" w:rsidP="00862A01">
            <w:pPr>
              <w:jc w:val="right"/>
              <w:rPr>
                <w:color w:val="000000"/>
                <w:sz w:val="18"/>
                <w:szCs w:val="18"/>
                <w:lang w:eastAsia="tr-TR"/>
              </w:rPr>
            </w:pPr>
            <w:r w:rsidRPr="00872D7E">
              <w:rPr>
                <w:color w:val="000000"/>
                <w:sz w:val="18"/>
                <w:szCs w:val="18"/>
                <w:lang w:eastAsia="tr-TR"/>
              </w:rPr>
              <w:t>110.646</w:t>
            </w:r>
          </w:p>
        </w:tc>
        <w:tc>
          <w:tcPr>
            <w:tcW w:w="751" w:type="pct"/>
            <w:tcBorders>
              <w:top w:val="nil"/>
              <w:left w:val="nil"/>
              <w:bottom w:val="nil"/>
              <w:right w:val="nil"/>
            </w:tcBorders>
            <w:shd w:val="clear" w:color="auto" w:fill="auto"/>
            <w:noWrap/>
            <w:vAlign w:val="bottom"/>
            <w:hideMark/>
          </w:tcPr>
          <w:p w14:paraId="3B780E1D"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c>
          <w:tcPr>
            <w:tcW w:w="741" w:type="pct"/>
            <w:tcBorders>
              <w:top w:val="nil"/>
              <w:left w:val="nil"/>
              <w:bottom w:val="nil"/>
              <w:right w:val="nil"/>
            </w:tcBorders>
            <w:shd w:val="clear" w:color="auto" w:fill="auto"/>
            <w:noWrap/>
            <w:vAlign w:val="bottom"/>
            <w:hideMark/>
          </w:tcPr>
          <w:p w14:paraId="07C24BF9" w14:textId="77777777" w:rsidR="00862A01" w:rsidRPr="00872D7E" w:rsidRDefault="00862A01" w:rsidP="00862A01">
            <w:pPr>
              <w:jc w:val="right"/>
              <w:rPr>
                <w:color w:val="000000"/>
                <w:sz w:val="18"/>
                <w:szCs w:val="18"/>
                <w:lang w:eastAsia="tr-TR"/>
              </w:rPr>
            </w:pPr>
            <w:r w:rsidRPr="00872D7E">
              <w:rPr>
                <w:color w:val="000000"/>
                <w:sz w:val="18"/>
                <w:szCs w:val="18"/>
                <w:lang w:eastAsia="tr-TR"/>
              </w:rPr>
              <w:t>3.053.689</w:t>
            </w:r>
          </w:p>
        </w:tc>
        <w:tc>
          <w:tcPr>
            <w:tcW w:w="848" w:type="pct"/>
            <w:tcBorders>
              <w:top w:val="nil"/>
              <w:left w:val="nil"/>
              <w:bottom w:val="nil"/>
              <w:right w:val="nil"/>
            </w:tcBorders>
            <w:shd w:val="clear" w:color="auto" w:fill="auto"/>
            <w:noWrap/>
            <w:vAlign w:val="bottom"/>
            <w:hideMark/>
          </w:tcPr>
          <w:p w14:paraId="43E95657"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r>
      <w:tr w:rsidR="00862A01" w:rsidRPr="00872D7E" w14:paraId="17165F19" w14:textId="77777777" w:rsidTr="00862A01">
        <w:trPr>
          <w:divId w:val="527838307"/>
          <w:trHeight w:val="227"/>
        </w:trPr>
        <w:tc>
          <w:tcPr>
            <w:tcW w:w="1928" w:type="pct"/>
            <w:tcBorders>
              <w:top w:val="nil"/>
              <w:left w:val="nil"/>
              <w:bottom w:val="nil"/>
              <w:right w:val="nil"/>
            </w:tcBorders>
            <w:shd w:val="clear" w:color="auto" w:fill="auto"/>
            <w:vAlign w:val="center"/>
            <w:hideMark/>
          </w:tcPr>
          <w:p w14:paraId="0AF2AF36" w14:textId="77777777" w:rsidR="00862A01" w:rsidRPr="00872D7E" w:rsidRDefault="00862A01" w:rsidP="00862A01">
            <w:pPr>
              <w:ind w:left="215"/>
              <w:rPr>
                <w:color w:val="000000"/>
                <w:sz w:val="18"/>
                <w:szCs w:val="18"/>
                <w:lang w:eastAsia="tr-TR"/>
              </w:rPr>
            </w:pPr>
            <w:r w:rsidRPr="00872D7E">
              <w:rPr>
                <w:color w:val="000000"/>
                <w:sz w:val="18"/>
                <w:szCs w:val="18"/>
                <w:lang w:eastAsia="tr-TR"/>
              </w:rPr>
              <w:t>Yabancı Para Cinsinden Hesaplar</w:t>
            </w:r>
          </w:p>
        </w:tc>
        <w:tc>
          <w:tcPr>
            <w:tcW w:w="732" w:type="pct"/>
            <w:tcBorders>
              <w:top w:val="nil"/>
              <w:left w:val="nil"/>
              <w:bottom w:val="nil"/>
              <w:right w:val="nil"/>
            </w:tcBorders>
            <w:shd w:val="clear" w:color="auto" w:fill="auto"/>
            <w:noWrap/>
            <w:vAlign w:val="bottom"/>
            <w:hideMark/>
          </w:tcPr>
          <w:p w14:paraId="1B3866CA" w14:textId="77777777" w:rsidR="00862A01" w:rsidRPr="00872D7E" w:rsidRDefault="00862A01" w:rsidP="00862A01">
            <w:pPr>
              <w:jc w:val="right"/>
              <w:rPr>
                <w:color w:val="000000"/>
                <w:sz w:val="18"/>
                <w:szCs w:val="18"/>
                <w:lang w:eastAsia="tr-TR"/>
              </w:rPr>
            </w:pPr>
            <w:r w:rsidRPr="00872D7E">
              <w:rPr>
                <w:color w:val="000000"/>
                <w:sz w:val="18"/>
                <w:szCs w:val="18"/>
                <w:lang w:eastAsia="tr-TR"/>
              </w:rPr>
              <w:t>110.771</w:t>
            </w:r>
          </w:p>
        </w:tc>
        <w:tc>
          <w:tcPr>
            <w:tcW w:w="751" w:type="pct"/>
            <w:tcBorders>
              <w:top w:val="nil"/>
              <w:left w:val="nil"/>
              <w:bottom w:val="nil"/>
              <w:right w:val="nil"/>
            </w:tcBorders>
            <w:shd w:val="clear" w:color="auto" w:fill="auto"/>
            <w:noWrap/>
            <w:vAlign w:val="bottom"/>
            <w:hideMark/>
          </w:tcPr>
          <w:p w14:paraId="5DCC0163"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26</w:t>
            </w:r>
          </w:p>
        </w:tc>
        <w:tc>
          <w:tcPr>
            <w:tcW w:w="741" w:type="pct"/>
            <w:tcBorders>
              <w:top w:val="nil"/>
              <w:left w:val="nil"/>
              <w:bottom w:val="nil"/>
              <w:right w:val="nil"/>
            </w:tcBorders>
            <w:shd w:val="clear" w:color="auto" w:fill="auto"/>
            <w:noWrap/>
            <w:vAlign w:val="bottom"/>
            <w:hideMark/>
          </w:tcPr>
          <w:p w14:paraId="765E2108" w14:textId="77777777" w:rsidR="00862A01" w:rsidRPr="00872D7E" w:rsidRDefault="00862A01" w:rsidP="00862A01">
            <w:pPr>
              <w:jc w:val="right"/>
              <w:rPr>
                <w:color w:val="000000"/>
                <w:sz w:val="18"/>
                <w:szCs w:val="18"/>
                <w:lang w:eastAsia="tr-TR"/>
              </w:rPr>
            </w:pPr>
            <w:r w:rsidRPr="00872D7E">
              <w:rPr>
                <w:color w:val="000000"/>
                <w:sz w:val="18"/>
                <w:szCs w:val="18"/>
                <w:lang w:eastAsia="tr-TR"/>
              </w:rPr>
              <w:t>1.094.284</w:t>
            </w:r>
          </w:p>
        </w:tc>
        <w:tc>
          <w:tcPr>
            <w:tcW w:w="848" w:type="pct"/>
            <w:tcBorders>
              <w:top w:val="nil"/>
              <w:left w:val="nil"/>
              <w:bottom w:val="nil"/>
              <w:right w:val="nil"/>
            </w:tcBorders>
            <w:shd w:val="clear" w:color="auto" w:fill="auto"/>
            <w:noWrap/>
            <w:vAlign w:val="bottom"/>
            <w:hideMark/>
          </w:tcPr>
          <w:p w14:paraId="14262998"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r>
      <w:tr w:rsidR="00862A01" w:rsidRPr="00872D7E" w14:paraId="5196FF64" w14:textId="77777777" w:rsidTr="00862A01">
        <w:trPr>
          <w:divId w:val="527838307"/>
          <w:trHeight w:val="227"/>
        </w:trPr>
        <w:tc>
          <w:tcPr>
            <w:tcW w:w="1928" w:type="pct"/>
            <w:tcBorders>
              <w:top w:val="nil"/>
              <w:left w:val="nil"/>
              <w:bottom w:val="nil"/>
              <w:right w:val="nil"/>
            </w:tcBorders>
            <w:shd w:val="clear" w:color="auto" w:fill="auto"/>
            <w:vAlign w:val="center"/>
            <w:hideMark/>
          </w:tcPr>
          <w:p w14:paraId="504B025F" w14:textId="77777777" w:rsidR="00862A01" w:rsidRPr="00872D7E" w:rsidRDefault="00862A01" w:rsidP="00862A01">
            <w:pPr>
              <w:ind w:left="215"/>
              <w:rPr>
                <w:color w:val="000000"/>
                <w:sz w:val="18"/>
                <w:szCs w:val="18"/>
                <w:lang w:eastAsia="tr-TR"/>
              </w:rPr>
            </w:pPr>
            <w:r w:rsidRPr="00872D7E">
              <w:rPr>
                <w:color w:val="000000"/>
                <w:sz w:val="18"/>
                <w:szCs w:val="18"/>
                <w:lang w:eastAsia="tr-TR"/>
              </w:rPr>
              <w:t>Yurtdışı Şubelerde Bulunan Yabancı Mercilerin Sigortasına Tabi Hesaplar</w:t>
            </w:r>
          </w:p>
        </w:tc>
        <w:tc>
          <w:tcPr>
            <w:tcW w:w="732" w:type="pct"/>
            <w:tcBorders>
              <w:top w:val="nil"/>
              <w:left w:val="nil"/>
              <w:bottom w:val="nil"/>
              <w:right w:val="nil"/>
            </w:tcBorders>
            <w:shd w:val="clear" w:color="auto" w:fill="auto"/>
            <w:noWrap/>
            <w:vAlign w:val="bottom"/>
            <w:hideMark/>
          </w:tcPr>
          <w:p w14:paraId="68A6CA81"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751" w:type="pct"/>
            <w:tcBorders>
              <w:top w:val="nil"/>
              <w:left w:val="nil"/>
              <w:bottom w:val="nil"/>
              <w:right w:val="nil"/>
            </w:tcBorders>
            <w:shd w:val="clear" w:color="auto" w:fill="auto"/>
            <w:noWrap/>
            <w:vAlign w:val="bottom"/>
            <w:hideMark/>
          </w:tcPr>
          <w:p w14:paraId="61B3A874"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c>
          <w:tcPr>
            <w:tcW w:w="741" w:type="pct"/>
            <w:tcBorders>
              <w:top w:val="nil"/>
              <w:left w:val="nil"/>
              <w:bottom w:val="nil"/>
              <w:right w:val="nil"/>
            </w:tcBorders>
            <w:shd w:val="clear" w:color="auto" w:fill="auto"/>
            <w:noWrap/>
            <w:vAlign w:val="bottom"/>
            <w:hideMark/>
          </w:tcPr>
          <w:p w14:paraId="44525211"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848" w:type="pct"/>
            <w:tcBorders>
              <w:top w:val="nil"/>
              <w:left w:val="nil"/>
              <w:bottom w:val="nil"/>
              <w:right w:val="nil"/>
            </w:tcBorders>
            <w:shd w:val="clear" w:color="auto" w:fill="auto"/>
            <w:noWrap/>
            <w:vAlign w:val="bottom"/>
            <w:hideMark/>
          </w:tcPr>
          <w:p w14:paraId="25232D8B"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r>
      <w:tr w:rsidR="00862A01" w:rsidRPr="00872D7E" w14:paraId="3A9F0F46" w14:textId="77777777" w:rsidTr="00862A01">
        <w:trPr>
          <w:divId w:val="527838307"/>
          <w:trHeight w:val="227"/>
        </w:trPr>
        <w:tc>
          <w:tcPr>
            <w:tcW w:w="1928" w:type="pct"/>
            <w:tcBorders>
              <w:top w:val="nil"/>
              <w:left w:val="nil"/>
              <w:bottom w:val="single" w:sz="4" w:space="0" w:color="auto"/>
              <w:right w:val="nil"/>
            </w:tcBorders>
            <w:shd w:val="clear" w:color="auto" w:fill="auto"/>
            <w:vAlign w:val="center"/>
            <w:hideMark/>
          </w:tcPr>
          <w:p w14:paraId="28D08DA0" w14:textId="77777777" w:rsidR="00862A01" w:rsidRPr="00872D7E" w:rsidRDefault="00862A01" w:rsidP="00862A01">
            <w:pPr>
              <w:ind w:left="215"/>
              <w:rPr>
                <w:color w:val="000000"/>
                <w:sz w:val="18"/>
                <w:szCs w:val="18"/>
                <w:lang w:eastAsia="tr-TR"/>
              </w:rPr>
            </w:pPr>
            <w:r w:rsidRPr="00872D7E">
              <w:rPr>
                <w:color w:val="000000"/>
                <w:sz w:val="18"/>
                <w:szCs w:val="18"/>
                <w:lang w:eastAsia="tr-TR"/>
              </w:rPr>
              <w:t xml:space="preserve">Kıyı Bnk. </w:t>
            </w:r>
            <w:proofErr w:type="spellStart"/>
            <w:r w:rsidRPr="00872D7E">
              <w:rPr>
                <w:color w:val="000000"/>
                <w:sz w:val="18"/>
                <w:szCs w:val="18"/>
                <w:lang w:eastAsia="tr-TR"/>
              </w:rPr>
              <w:t>Blg</w:t>
            </w:r>
            <w:proofErr w:type="spellEnd"/>
            <w:r w:rsidRPr="00872D7E">
              <w:rPr>
                <w:color w:val="000000"/>
                <w:sz w:val="18"/>
                <w:szCs w:val="18"/>
                <w:lang w:eastAsia="tr-TR"/>
              </w:rPr>
              <w:t>. Şubelerde Bulunan Yabancı Merci. Sigorta Tabi Hesap</w:t>
            </w:r>
          </w:p>
        </w:tc>
        <w:tc>
          <w:tcPr>
            <w:tcW w:w="732" w:type="pct"/>
            <w:tcBorders>
              <w:top w:val="nil"/>
              <w:left w:val="nil"/>
              <w:bottom w:val="single" w:sz="4" w:space="0" w:color="auto"/>
              <w:right w:val="nil"/>
            </w:tcBorders>
            <w:shd w:val="clear" w:color="auto" w:fill="auto"/>
            <w:noWrap/>
            <w:vAlign w:val="bottom"/>
            <w:hideMark/>
          </w:tcPr>
          <w:p w14:paraId="63D5F4FC"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751" w:type="pct"/>
            <w:tcBorders>
              <w:top w:val="nil"/>
              <w:left w:val="nil"/>
              <w:bottom w:val="single" w:sz="4" w:space="0" w:color="auto"/>
              <w:right w:val="nil"/>
            </w:tcBorders>
            <w:shd w:val="clear" w:color="auto" w:fill="auto"/>
            <w:noWrap/>
            <w:vAlign w:val="bottom"/>
            <w:hideMark/>
          </w:tcPr>
          <w:p w14:paraId="22245ACA"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741" w:type="pct"/>
            <w:tcBorders>
              <w:top w:val="nil"/>
              <w:left w:val="nil"/>
              <w:bottom w:val="single" w:sz="4" w:space="0" w:color="auto"/>
              <w:right w:val="nil"/>
            </w:tcBorders>
            <w:shd w:val="clear" w:color="auto" w:fill="auto"/>
            <w:noWrap/>
            <w:vAlign w:val="bottom"/>
            <w:hideMark/>
          </w:tcPr>
          <w:p w14:paraId="67BBB8CB"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848" w:type="pct"/>
            <w:tcBorders>
              <w:top w:val="nil"/>
              <w:left w:val="nil"/>
              <w:bottom w:val="single" w:sz="4" w:space="0" w:color="auto"/>
              <w:right w:val="nil"/>
            </w:tcBorders>
            <w:shd w:val="clear" w:color="auto" w:fill="auto"/>
            <w:noWrap/>
            <w:vAlign w:val="bottom"/>
            <w:hideMark/>
          </w:tcPr>
          <w:p w14:paraId="27AD338A"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r>
    </w:tbl>
    <w:p w14:paraId="7EDD20DA" w14:textId="0D789793" w:rsidR="00862A01" w:rsidRPr="00872D7E" w:rsidRDefault="00862A01" w:rsidP="007E589C"/>
    <w:tbl>
      <w:tblPr>
        <w:tblW w:w="5000" w:type="pct"/>
        <w:tblCellMar>
          <w:left w:w="70" w:type="dxa"/>
          <w:right w:w="70" w:type="dxa"/>
        </w:tblCellMar>
        <w:tblLook w:val="04A0" w:firstRow="1" w:lastRow="0" w:firstColumn="1" w:lastColumn="0" w:noHBand="0" w:noVBand="1"/>
      </w:tblPr>
      <w:tblGrid>
        <w:gridCol w:w="3595"/>
        <w:gridCol w:w="1298"/>
        <w:gridCol w:w="1489"/>
        <w:gridCol w:w="1379"/>
        <w:gridCol w:w="1594"/>
      </w:tblGrid>
      <w:tr w:rsidR="00862A01" w:rsidRPr="00872D7E" w14:paraId="25573612" w14:textId="77777777" w:rsidTr="00862A01">
        <w:trPr>
          <w:divId w:val="523179288"/>
          <w:trHeight w:val="227"/>
        </w:trPr>
        <w:tc>
          <w:tcPr>
            <w:tcW w:w="1921" w:type="pct"/>
            <w:tcBorders>
              <w:top w:val="nil"/>
              <w:left w:val="nil"/>
              <w:bottom w:val="nil"/>
              <w:right w:val="nil"/>
            </w:tcBorders>
            <w:shd w:val="clear" w:color="auto" w:fill="auto"/>
            <w:vAlign w:val="center"/>
            <w:hideMark/>
          </w:tcPr>
          <w:p w14:paraId="56F5F607" w14:textId="35B86A92" w:rsidR="00862A01" w:rsidRPr="00872D7E" w:rsidRDefault="00862A01" w:rsidP="00862A01">
            <w:pPr>
              <w:rPr>
                <w:sz w:val="18"/>
                <w:szCs w:val="18"/>
                <w:lang w:eastAsia="tr-TR"/>
              </w:rPr>
            </w:pPr>
          </w:p>
        </w:tc>
        <w:tc>
          <w:tcPr>
            <w:tcW w:w="1490" w:type="pct"/>
            <w:gridSpan w:val="2"/>
            <w:tcBorders>
              <w:top w:val="nil"/>
              <w:left w:val="nil"/>
              <w:bottom w:val="single" w:sz="4" w:space="0" w:color="auto"/>
              <w:right w:val="nil"/>
            </w:tcBorders>
            <w:shd w:val="clear" w:color="auto" w:fill="auto"/>
            <w:vAlign w:val="bottom"/>
            <w:hideMark/>
          </w:tcPr>
          <w:p w14:paraId="34EC4595"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67363334"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Sigorta Limitini Aşan</w:t>
            </w:r>
          </w:p>
        </w:tc>
      </w:tr>
      <w:tr w:rsidR="00862A01" w:rsidRPr="00872D7E" w14:paraId="3A34D2D3" w14:textId="77777777" w:rsidTr="00862A01">
        <w:trPr>
          <w:divId w:val="523179288"/>
          <w:trHeight w:val="227"/>
        </w:trPr>
        <w:tc>
          <w:tcPr>
            <w:tcW w:w="1921" w:type="pct"/>
            <w:tcBorders>
              <w:top w:val="nil"/>
              <w:left w:val="nil"/>
              <w:bottom w:val="single" w:sz="4" w:space="0" w:color="auto"/>
              <w:right w:val="nil"/>
            </w:tcBorders>
            <w:shd w:val="clear" w:color="auto" w:fill="auto"/>
            <w:vAlign w:val="center"/>
            <w:hideMark/>
          </w:tcPr>
          <w:p w14:paraId="1DC224C3" w14:textId="77777777" w:rsidR="00862A01" w:rsidRPr="00872D7E" w:rsidRDefault="00862A01" w:rsidP="00862A01">
            <w:pPr>
              <w:rPr>
                <w:color w:val="000000"/>
                <w:sz w:val="18"/>
                <w:szCs w:val="18"/>
                <w:lang w:eastAsia="tr-TR"/>
              </w:rPr>
            </w:pPr>
            <w:r w:rsidRPr="00872D7E">
              <w:rPr>
                <w:color w:val="000000"/>
                <w:sz w:val="18"/>
                <w:szCs w:val="18"/>
                <w:lang w:eastAsia="tr-TR"/>
              </w:rPr>
              <w:t> </w:t>
            </w:r>
          </w:p>
        </w:tc>
        <w:tc>
          <w:tcPr>
            <w:tcW w:w="694" w:type="pct"/>
            <w:tcBorders>
              <w:top w:val="nil"/>
              <w:left w:val="nil"/>
              <w:bottom w:val="single" w:sz="4" w:space="0" w:color="auto"/>
              <w:right w:val="nil"/>
            </w:tcBorders>
            <w:shd w:val="clear" w:color="auto" w:fill="auto"/>
            <w:vAlign w:val="bottom"/>
            <w:hideMark/>
          </w:tcPr>
          <w:p w14:paraId="3C09069C"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31 Aralık 2024</w:t>
            </w:r>
          </w:p>
        </w:tc>
        <w:tc>
          <w:tcPr>
            <w:tcW w:w="796" w:type="pct"/>
            <w:tcBorders>
              <w:top w:val="nil"/>
              <w:left w:val="nil"/>
              <w:bottom w:val="single" w:sz="4" w:space="0" w:color="auto"/>
              <w:right w:val="nil"/>
            </w:tcBorders>
            <w:shd w:val="clear" w:color="auto" w:fill="auto"/>
            <w:vAlign w:val="bottom"/>
            <w:hideMark/>
          </w:tcPr>
          <w:p w14:paraId="414F6A3C"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1 Ocak 2024</w:t>
            </w:r>
          </w:p>
        </w:tc>
        <w:tc>
          <w:tcPr>
            <w:tcW w:w="737" w:type="pct"/>
            <w:tcBorders>
              <w:top w:val="nil"/>
              <w:left w:val="nil"/>
              <w:bottom w:val="single" w:sz="4" w:space="0" w:color="auto"/>
              <w:right w:val="nil"/>
            </w:tcBorders>
            <w:shd w:val="clear" w:color="auto" w:fill="auto"/>
            <w:vAlign w:val="bottom"/>
            <w:hideMark/>
          </w:tcPr>
          <w:p w14:paraId="1EAB584A"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31 Aralık 2024</w:t>
            </w:r>
          </w:p>
        </w:tc>
        <w:tc>
          <w:tcPr>
            <w:tcW w:w="851" w:type="pct"/>
            <w:tcBorders>
              <w:top w:val="nil"/>
              <w:left w:val="nil"/>
              <w:bottom w:val="single" w:sz="4" w:space="0" w:color="auto"/>
              <w:right w:val="nil"/>
            </w:tcBorders>
            <w:shd w:val="clear" w:color="auto" w:fill="auto"/>
            <w:vAlign w:val="bottom"/>
            <w:hideMark/>
          </w:tcPr>
          <w:p w14:paraId="2E66D637"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1 Ocak 2024</w:t>
            </w:r>
          </w:p>
        </w:tc>
      </w:tr>
      <w:tr w:rsidR="00862A01" w:rsidRPr="00872D7E" w14:paraId="7B928392" w14:textId="77777777" w:rsidTr="00862A01">
        <w:trPr>
          <w:divId w:val="523179288"/>
          <w:trHeight w:val="227"/>
        </w:trPr>
        <w:tc>
          <w:tcPr>
            <w:tcW w:w="1921" w:type="pct"/>
            <w:tcBorders>
              <w:top w:val="nil"/>
              <w:left w:val="nil"/>
              <w:bottom w:val="nil"/>
              <w:right w:val="nil"/>
            </w:tcBorders>
            <w:shd w:val="clear" w:color="auto" w:fill="auto"/>
            <w:vAlign w:val="center"/>
            <w:hideMark/>
          </w:tcPr>
          <w:p w14:paraId="1788B023" w14:textId="77777777" w:rsidR="00862A01" w:rsidRPr="00872D7E" w:rsidRDefault="00862A01" w:rsidP="00862A01">
            <w:pPr>
              <w:jc w:val="center"/>
              <w:rPr>
                <w:b/>
                <w:bCs/>
                <w:color w:val="000000"/>
                <w:sz w:val="18"/>
                <w:szCs w:val="18"/>
                <w:lang w:eastAsia="tr-TR"/>
              </w:rPr>
            </w:pPr>
          </w:p>
        </w:tc>
        <w:tc>
          <w:tcPr>
            <w:tcW w:w="694" w:type="pct"/>
            <w:tcBorders>
              <w:top w:val="nil"/>
              <w:left w:val="nil"/>
              <w:bottom w:val="nil"/>
              <w:right w:val="nil"/>
            </w:tcBorders>
            <w:shd w:val="clear" w:color="auto" w:fill="auto"/>
            <w:vAlign w:val="center"/>
            <w:hideMark/>
          </w:tcPr>
          <w:p w14:paraId="71D9ED21" w14:textId="77777777" w:rsidR="00862A01" w:rsidRPr="00872D7E" w:rsidRDefault="00862A01" w:rsidP="00862A01">
            <w:pPr>
              <w:rPr>
                <w:sz w:val="18"/>
                <w:szCs w:val="18"/>
                <w:lang w:eastAsia="tr-TR"/>
              </w:rPr>
            </w:pPr>
          </w:p>
        </w:tc>
        <w:tc>
          <w:tcPr>
            <w:tcW w:w="796" w:type="pct"/>
            <w:tcBorders>
              <w:top w:val="nil"/>
              <w:left w:val="nil"/>
              <w:bottom w:val="nil"/>
              <w:right w:val="nil"/>
            </w:tcBorders>
            <w:shd w:val="clear" w:color="auto" w:fill="auto"/>
            <w:vAlign w:val="center"/>
            <w:hideMark/>
          </w:tcPr>
          <w:p w14:paraId="506AF097" w14:textId="77777777" w:rsidR="00862A01" w:rsidRPr="00872D7E" w:rsidRDefault="00862A01" w:rsidP="00862A01">
            <w:pPr>
              <w:rPr>
                <w:sz w:val="18"/>
                <w:szCs w:val="18"/>
                <w:lang w:eastAsia="tr-TR"/>
              </w:rPr>
            </w:pPr>
          </w:p>
        </w:tc>
        <w:tc>
          <w:tcPr>
            <w:tcW w:w="737" w:type="pct"/>
            <w:tcBorders>
              <w:top w:val="nil"/>
              <w:left w:val="nil"/>
              <w:bottom w:val="nil"/>
              <w:right w:val="nil"/>
            </w:tcBorders>
            <w:shd w:val="clear" w:color="auto" w:fill="auto"/>
            <w:vAlign w:val="center"/>
            <w:hideMark/>
          </w:tcPr>
          <w:p w14:paraId="319CB662" w14:textId="77777777" w:rsidR="00862A01" w:rsidRPr="00872D7E" w:rsidRDefault="00862A01" w:rsidP="00862A01">
            <w:pPr>
              <w:rPr>
                <w:sz w:val="18"/>
                <w:szCs w:val="18"/>
                <w:lang w:eastAsia="tr-TR"/>
              </w:rPr>
            </w:pPr>
          </w:p>
        </w:tc>
        <w:tc>
          <w:tcPr>
            <w:tcW w:w="851" w:type="pct"/>
            <w:tcBorders>
              <w:top w:val="nil"/>
              <w:left w:val="nil"/>
              <w:bottom w:val="nil"/>
              <w:right w:val="nil"/>
            </w:tcBorders>
            <w:shd w:val="clear" w:color="auto" w:fill="auto"/>
            <w:vAlign w:val="center"/>
            <w:hideMark/>
          </w:tcPr>
          <w:p w14:paraId="640DAC29" w14:textId="77777777" w:rsidR="00862A01" w:rsidRPr="00872D7E" w:rsidRDefault="00862A01" w:rsidP="00862A01">
            <w:pPr>
              <w:jc w:val="center"/>
              <w:rPr>
                <w:sz w:val="18"/>
                <w:szCs w:val="18"/>
                <w:lang w:eastAsia="tr-TR"/>
              </w:rPr>
            </w:pPr>
          </w:p>
        </w:tc>
      </w:tr>
      <w:tr w:rsidR="00862A01" w:rsidRPr="00872D7E" w14:paraId="101656D6" w14:textId="77777777" w:rsidTr="00862A01">
        <w:trPr>
          <w:divId w:val="523179288"/>
          <w:trHeight w:val="227"/>
        </w:trPr>
        <w:tc>
          <w:tcPr>
            <w:tcW w:w="1921" w:type="pct"/>
            <w:tcBorders>
              <w:top w:val="nil"/>
              <w:left w:val="nil"/>
              <w:bottom w:val="nil"/>
              <w:right w:val="nil"/>
            </w:tcBorders>
            <w:shd w:val="clear" w:color="auto" w:fill="auto"/>
            <w:vAlign w:val="center"/>
            <w:hideMark/>
          </w:tcPr>
          <w:p w14:paraId="3ECE80B5" w14:textId="77777777" w:rsidR="00862A01" w:rsidRPr="00872D7E" w:rsidRDefault="00862A01" w:rsidP="00862A01">
            <w:pPr>
              <w:rPr>
                <w:b/>
                <w:bCs/>
                <w:color w:val="000000"/>
                <w:sz w:val="18"/>
                <w:szCs w:val="18"/>
                <w:lang w:eastAsia="tr-TR"/>
              </w:rPr>
            </w:pPr>
            <w:r w:rsidRPr="00872D7E">
              <w:rPr>
                <w:b/>
                <w:bCs/>
                <w:color w:val="000000"/>
                <w:sz w:val="18"/>
                <w:szCs w:val="18"/>
                <w:lang w:eastAsia="tr-TR"/>
              </w:rPr>
              <w:t>Tüzel Kişilerin Özel Cari ve Katılma Hesapları</w:t>
            </w:r>
          </w:p>
        </w:tc>
        <w:tc>
          <w:tcPr>
            <w:tcW w:w="694" w:type="pct"/>
            <w:tcBorders>
              <w:top w:val="nil"/>
              <w:left w:val="nil"/>
              <w:bottom w:val="nil"/>
              <w:right w:val="nil"/>
            </w:tcBorders>
            <w:shd w:val="clear" w:color="auto" w:fill="auto"/>
            <w:noWrap/>
            <w:vAlign w:val="bottom"/>
            <w:hideMark/>
          </w:tcPr>
          <w:p w14:paraId="132C8596" w14:textId="77777777" w:rsidR="00862A01" w:rsidRPr="00872D7E" w:rsidRDefault="00862A01" w:rsidP="00862A01">
            <w:pPr>
              <w:jc w:val="right"/>
              <w:rPr>
                <w:b/>
                <w:bCs/>
                <w:color w:val="000000"/>
                <w:sz w:val="18"/>
                <w:szCs w:val="18"/>
                <w:lang w:eastAsia="tr-TR"/>
              </w:rPr>
            </w:pPr>
            <w:r w:rsidRPr="00872D7E">
              <w:rPr>
                <w:b/>
                <w:bCs/>
                <w:color w:val="000000"/>
                <w:sz w:val="18"/>
                <w:szCs w:val="18"/>
                <w:lang w:eastAsia="tr-TR"/>
              </w:rPr>
              <w:t>202.577</w:t>
            </w:r>
          </w:p>
        </w:tc>
        <w:tc>
          <w:tcPr>
            <w:tcW w:w="796" w:type="pct"/>
            <w:tcBorders>
              <w:top w:val="nil"/>
              <w:left w:val="nil"/>
              <w:bottom w:val="nil"/>
              <w:right w:val="nil"/>
            </w:tcBorders>
            <w:shd w:val="clear" w:color="auto" w:fill="auto"/>
            <w:noWrap/>
            <w:vAlign w:val="bottom"/>
            <w:hideMark/>
          </w:tcPr>
          <w:p w14:paraId="2E0D7933" w14:textId="77777777" w:rsidR="00862A01" w:rsidRPr="00872D7E" w:rsidRDefault="00862A01" w:rsidP="00862A01">
            <w:pPr>
              <w:jc w:val="right"/>
              <w:rPr>
                <w:rFonts w:ascii="Arial" w:hAnsi="Arial" w:cs="Arial"/>
                <w:color w:val="000000"/>
                <w:sz w:val="18"/>
                <w:szCs w:val="18"/>
                <w:lang w:eastAsia="tr-TR"/>
              </w:rPr>
            </w:pPr>
            <w:r w:rsidRPr="00872D7E">
              <w:rPr>
                <w:b/>
                <w:bCs/>
                <w:color w:val="000000"/>
                <w:sz w:val="18"/>
                <w:szCs w:val="18"/>
                <w:lang w:eastAsia="tr-TR"/>
              </w:rPr>
              <w:t>29</w:t>
            </w:r>
          </w:p>
        </w:tc>
        <w:tc>
          <w:tcPr>
            <w:tcW w:w="737" w:type="pct"/>
            <w:tcBorders>
              <w:top w:val="nil"/>
              <w:left w:val="nil"/>
              <w:bottom w:val="nil"/>
              <w:right w:val="nil"/>
            </w:tcBorders>
            <w:shd w:val="clear" w:color="auto" w:fill="auto"/>
            <w:noWrap/>
            <w:vAlign w:val="bottom"/>
            <w:hideMark/>
          </w:tcPr>
          <w:p w14:paraId="55EF6BB9" w14:textId="77777777" w:rsidR="00862A01" w:rsidRPr="00872D7E" w:rsidRDefault="00862A01" w:rsidP="00862A01">
            <w:pPr>
              <w:jc w:val="right"/>
              <w:rPr>
                <w:b/>
                <w:bCs/>
                <w:color w:val="000000"/>
                <w:sz w:val="18"/>
                <w:szCs w:val="18"/>
                <w:lang w:eastAsia="tr-TR"/>
              </w:rPr>
            </w:pPr>
            <w:r w:rsidRPr="00872D7E">
              <w:rPr>
                <w:b/>
                <w:bCs/>
                <w:color w:val="000000"/>
                <w:sz w:val="18"/>
                <w:szCs w:val="18"/>
                <w:lang w:eastAsia="tr-TR"/>
              </w:rPr>
              <w:t>19.239.577</w:t>
            </w:r>
          </w:p>
        </w:tc>
        <w:tc>
          <w:tcPr>
            <w:tcW w:w="851" w:type="pct"/>
            <w:tcBorders>
              <w:top w:val="nil"/>
              <w:left w:val="nil"/>
              <w:bottom w:val="nil"/>
              <w:right w:val="nil"/>
            </w:tcBorders>
            <w:shd w:val="clear" w:color="auto" w:fill="auto"/>
            <w:noWrap/>
            <w:vAlign w:val="bottom"/>
            <w:hideMark/>
          </w:tcPr>
          <w:p w14:paraId="5D047C03" w14:textId="77777777" w:rsidR="00862A01" w:rsidRPr="00872D7E" w:rsidRDefault="00862A01" w:rsidP="00862A01">
            <w:pPr>
              <w:jc w:val="right"/>
              <w:rPr>
                <w:rFonts w:ascii="Arial" w:hAnsi="Arial" w:cs="Arial"/>
                <w:color w:val="000000"/>
                <w:sz w:val="18"/>
                <w:szCs w:val="18"/>
                <w:lang w:eastAsia="tr-TR"/>
              </w:rPr>
            </w:pPr>
            <w:r w:rsidRPr="00872D7E">
              <w:rPr>
                <w:b/>
                <w:bCs/>
                <w:color w:val="000000"/>
                <w:sz w:val="18"/>
                <w:szCs w:val="18"/>
                <w:lang w:eastAsia="tr-TR"/>
              </w:rPr>
              <w:t>-</w:t>
            </w:r>
          </w:p>
        </w:tc>
      </w:tr>
      <w:tr w:rsidR="00862A01" w:rsidRPr="00872D7E" w14:paraId="4BA41350" w14:textId="77777777" w:rsidTr="00862A01">
        <w:trPr>
          <w:divId w:val="523179288"/>
          <w:trHeight w:val="227"/>
        </w:trPr>
        <w:tc>
          <w:tcPr>
            <w:tcW w:w="1921" w:type="pct"/>
            <w:tcBorders>
              <w:top w:val="nil"/>
              <w:left w:val="nil"/>
              <w:bottom w:val="nil"/>
              <w:right w:val="nil"/>
            </w:tcBorders>
            <w:shd w:val="clear" w:color="auto" w:fill="auto"/>
            <w:vAlign w:val="center"/>
            <w:hideMark/>
          </w:tcPr>
          <w:p w14:paraId="440DF7C1" w14:textId="77777777" w:rsidR="00862A01" w:rsidRPr="00872D7E" w:rsidRDefault="00862A01" w:rsidP="00862A01">
            <w:pPr>
              <w:ind w:left="215"/>
              <w:rPr>
                <w:color w:val="000000"/>
                <w:sz w:val="18"/>
                <w:szCs w:val="18"/>
                <w:lang w:eastAsia="tr-TR"/>
              </w:rPr>
            </w:pPr>
            <w:r w:rsidRPr="00872D7E">
              <w:rPr>
                <w:color w:val="000000"/>
                <w:sz w:val="18"/>
                <w:szCs w:val="18"/>
                <w:lang w:eastAsia="tr-TR"/>
              </w:rPr>
              <w:t>Türk Parası Cinsinden Hesaplar</w:t>
            </w:r>
          </w:p>
        </w:tc>
        <w:tc>
          <w:tcPr>
            <w:tcW w:w="694" w:type="pct"/>
            <w:tcBorders>
              <w:top w:val="nil"/>
              <w:left w:val="nil"/>
              <w:bottom w:val="nil"/>
              <w:right w:val="nil"/>
            </w:tcBorders>
            <w:shd w:val="clear" w:color="auto" w:fill="auto"/>
            <w:noWrap/>
            <w:vAlign w:val="bottom"/>
            <w:hideMark/>
          </w:tcPr>
          <w:p w14:paraId="66E680CD" w14:textId="77777777" w:rsidR="00862A01" w:rsidRPr="00872D7E" w:rsidRDefault="00862A01" w:rsidP="00862A01">
            <w:pPr>
              <w:jc w:val="right"/>
              <w:rPr>
                <w:color w:val="000000"/>
                <w:sz w:val="18"/>
                <w:szCs w:val="18"/>
                <w:lang w:eastAsia="tr-TR"/>
              </w:rPr>
            </w:pPr>
            <w:r w:rsidRPr="00872D7E">
              <w:rPr>
                <w:color w:val="000000"/>
                <w:sz w:val="18"/>
                <w:szCs w:val="18"/>
                <w:lang w:eastAsia="tr-TR"/>
              </w:rPr>
              <w:t>144.693</w:t>
            </w:r>
          </w:p>
        </w:tc>
        <w:tc>
          <w:tcPr>
            <w:tcW w:w="796" w:type="pct"/>
            <w:tcBorders>
              <w:top w:val="nil"/>
              <w:left w:val="nil"/>
              <w:bottom w:val="nil"/>
              <w:right w:val="nil"/>
            </w:tcBorders>
            <w:shd w:val="clear" w:color="auto" w:fill="auto"/>
            <w:noWrap/>
            <w:vAlign w:val="bottom"/>
            <w:hideMark/>
          </w:tcPr>
          <w:p w14:paraId="33E82292"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29</w:t>
            </w:r>
          </w:p>
        </w:tc>
        <w:tc>
          <w:tcPr>
            <w:tcW w:w="737" w:type="pct"/>
            <w:tcBorders>
              <w:top w:val="nil"/>
              <w:left w:val="nil"/>
              <w:bottom w:val="nil"/>
              <w:right w:val="nil"/>
            </w:tcBorders>
            <w:shd w:val="clear" w:color="auto" w:fill="auto"/>
            <w:noWrap/>
            <w:vAlign w:val="bottom"/>
            <w:hideMark/>
          </w:tcPr>
          <w:p w14:paraId="6B831CAB" w14:textId="77777777" w:rsidR="00862A01" w:rsidRPr="00872D7E" w:rsidRDefault="00862A01" w:rsidP="00862A01">
            <w:pPr>
              <w:jc w:val="right"/>
              <w:rPr>
                <w:color w:val="000000"/>
                <w:sz w:val="18"/>
                <w:szCs w:val="18"/>
                <w:lang w:eastAsia="tr-TR"/>
              </w:rPr>
            </w:pPr>
            <w:r w:rsidRPr="00872D7E">
              <w:rPr>
                <w:color w:val="000000"/>
                <w:sz w:val="18"/>
                <w:szCs w:val="18"/>
                <w:lang w:eastAsia="tr-TR"/>
              </w:rPr>
              <w:t>10.113.122</w:t>
            </w:r>
          </w:p>
        </w:tc>
        <w:tc>
          <w:tcPr>
            <w:tcW w:w="851" w:type="pct"/>
            <w:tcBorders>
              <w:top w:val="nil"/>
              <w:left w:val="nil"/>
              <w:bottom w:val="nil"/>
              <w:right w:val="nil"/>
            </w:tcBorders>
            <w:shd w:val="clear" w:color="auto" w:fill="auto"/>
            <w:noWrap/>
            <w:vAlign w:val="bottom"/>
            <w:hideMark/>
          </w:tcPr>
          <w:p w14:paraId="1FEFBFF6"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r>
      <w:tr w:rsidR="00862A01" w:rsidRPr="00872D7E" w14:paraId="0584E96B" w14:textId="77777777" w:rsidTr="00862A01">
        <w:trPr>
          <w:divId w:val="523179288"/>
          <w:trHeight w:val="227"/>
        </w:trPr>
        <w:tc>
          <w:tcPr>
            <w:tcW w:w="1921" w:type="pct"/>
            <w:tcBorders>
              <w:top w:val="nil"/>
              <w:left w:val="nil"/>
              <w:bottom w:val="nil"/>
              <w:right w:val="nil"/>
            </w:tcBorders>
            <w:shd w:val="clear" w:color="auto" w:fill="auto"/>
            <w:vAlign w:val="center"/>
            <w:hideMark/>
          </w:tcPr>
          <w:p w14:paraId="7085C0D2" w14:textId="77777777" w:rsidR="00862A01" w:rsidRPr="00872D7E" w:rsidRDefault="00862A01" w:rsidP="00862A01">
            <w:pPr>
              <w:ind w:left="215"/>
              <w:rPr>
                <w:color w:val="000000"/>
                <w:sz w:val="18"/>
                <w:szCs w:val="18"/>
                <w:lang w:eastAsia="tr-TR"/>
              </w:rPr>
            </w:pPr>
            <w:r w:rsidRPr="00872D7E">
              <w:rPr>
                <w:color w:val="000000"/>
                <w:sz w:val="18"/>
                <w:szCs w:val="18"/>
                <w:lang w:eastAsia="tr-TR"/>
              </w:rPr>
              <w:t>Yabancı Para Cinsinden Hesaplar</w:t>
            </w:r>
          </w:p>
        </w:tc>
        <w:tc>
          <w:tcPr>
            <w:tcW w:w="694" w:type="pct"/>
            <w:tcBorders>
              <w:top w:val="nil"/>
              <w:left w:val="nil"/>
              <w:bottom w:val="nil"/>
              <w:right w:val="nil"/>
            </w:tcBorders>
            <w:shd w:val="clear" w:color="auto" w:fill="auto"/>
            <w:noWrap/>
            <w:vAlign w:val="bottom"/>
            <w:hideMark/>
          </w:tcPr>
          <w:p w14:paraId="5643338C" w14:textId="77777777" w:rsidR="00862A01" w:rsidRPr="00872D7E" w:rsidRDefault="00862A01" w:rsidP="00862A01">
            <w:pPr>
              <w:jc w:val="right"/>
              <w:rPr>
                <w:color w:val="000000"/>
                <w:sz w:val="18"/>
                <w:szCs w:val="18"/>
                <w:lang w:eastAsia="tr-TR"/>
              </w:rPr>
            </w:pPr>
            <w:r w:rsidRPr="00872D7E">
              <w:rPr>
                <w:color w:val="000000"/>
                <w:sz w:val="18"/>
                <w:szCs w:val="18"/>
                <w:lang w:eastAsia="tr-TR"/>
              </w:rPr>
              <w:t>57.884</w:t>
            </w:r>
          </w:p>
        </w:tc>
        <w:tc>
          <w:tcPr>
            <w:tcW w:w="796" w:type="pct"/>
            <w:tcBorders>
              <w:top w:val="nil"/>
              <w:left w:val="nil"/>
              <w:bottom w:val="nil"/>
              <w:right w:val="nil"/>
            </w:tcBorders>
            <w:shd w:val="clear" w:color="auto" w:fill="auto"/>
            <w:noWrap/>
            <w:vAlign w:val="bottom"/>
            <w:hideMark/>
          </w:tcPr>
          <w:p w14:paraId="6B1D540E"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c>
          <w:tcPr>
            <w:tcW w:w="737" w:type="pct"/>
            <w:tcBorders>
              <w:top w:val="nil"/>
              <w:left w:val="nil"/>
              <w:bottom w:val="nil"/>
              <w:right w:val="nil"/>
            </w:tcBorders>
            <w:shd w:val="clear" w:color="auto" w:fill="auto"/>
            <w:noWrap/>
            <w:vAlign w:val="bottom"/>
            <w:hideMark/>
          </w:tcPr>
          <w:p w14:paraId="5F2E80E4" w14:textId="77777777" w:rsidR="00862A01" w:rsidRPr="00872D7E" w:rsidRDefault="00862A01" w:rsidP="00862A01">
            <w:pPr>
              <w:jc w:val="right"/>
              <w:rPr>
                <w:color w:val="000000"/>
                <w:sz w:val="18"/>
                <w:szCs w:val="18"/>
                <w:lang w:eastAsia="tr-TR"/>
              </w:rPr>
            </w:pPr>
            <w:r w:rsidRPr="00872D7E">
              <w:rPr>
                <w:color w:val="000000"/>
                <w:sz w:val="18"/>
                <w:szCs w:val="18"/>
                <w:lang w:eastAsia="tr-TR"/>
              </w:rPr>
              <w:t>9.126.455</w:t>
            </w:r>
          </w:p>
        </w:tc>
        <w:tc>
          <w:tcPr>
            <w:tcW w:w="851" w:type="pct"/>
            <w:tcBorders>
              <w:top w:val="nil"/>
              <w:left w:val="nil"/>
              <w:bottom w:val="nil"/>
              <w:right w:val="nil"/>
            </w:tcBorders>
            <w:shd w:val="clear" w:color="auto" w:fill="auto"/>
            <w:noWrap/>
            <w:vAlign w:val="bottom"/>
            <w:hideMark/>
          </w:tcPr>
          <w:p w14:paraId="16138292"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r>
      <w:tr w:rsidR="00862A01" w:rsidRPr="00872D7E" w14:paraId="3243EA96" w14:textId="77777777" w:rsidTr="00862A01">
        <w:trPr>
          <w:divId w:val="523179288"/>
          <w:trHeight w:val="227"/>
        </w:trPr>
        <w:tc>
          <w:tcPr>
            <w:tcW w:w="1921" w:type="pct"/>
            <w:tcBorders>
              <w:top w:val="nil"/>
              <w:left w:val="nil"/>
              <w:bottom w:val="nil"/>
              <w:right w:val="nil"/>
            </w:tcBorders>
            <w:shd w:val="clear" w:color="auto" w:fill="auto"/>
            <w:vAlign w:val="center"/>
            <w:hideMark/>
          </w:tcPr>
          <w:p w14:paraId="56FB6132" w14:textId="77777777" w:rsidR="00862A01" w:rsidRPr="00872D7E" w:rsidRDefault="00862A01" w:rsidP="00862A01">
            <w:pPr>
              <w:ind w:left="215"/>
              <w:rPr>
                <w:color w:val="000000"/>
                <w:sz w:val="18"/>
                <w:szCs w:val="18"/>
                <w:lang w:eastAsia="tr-TR"/>
              </w:rPr>
            </w:pPr>
            <w:r w:rsidRPr="00872D7E">
              <w:rPr>
                <w:color w:val="000000"/>
                <w:sz w:val="18"/>
                <w:szCs w:val="18"/>
                <w:lang w:eastAsia="tr-TR"/>
              </w:rPr>
              <w:t>Yurtdışı Şubelerde Bulunan Yabancı Mercilerin Sigortasına Tabi Hesaplar</w:t>
            </w:r>
          </w:p>
        </w:tc>
        <w:tc>
          <w:tcPr>
            <w:tcW w:w="694" w:type="pct"/>
            <w:tcBorders>
              <w:top w:val="nil"/>
              <w:left w:val="nil"/>
              <w:bottom w:val="nil"/>
              <w:right w:val="nil"/>
            </w:tcBorders>
            <w:shd w:val="clear" w:color="auto" w:fill="auto"/>
            <w:noWrap/>
            <w:vAlign w:val="bottom"/>
            <w:hideMark/>
          </w:tcPr>
          <w:p w14:paraId="04CCA544"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796" w:type="pct"/>
            <w:tcBorders>
              <w:top w:val="nil"/>
              <w:left w:val="nil"/>
              <w:bottom w:val="nil"/>
              <w:right w:val="nil"/>
            </w:tcBorders>
            <w:shd w:val="clear" w:color="auto" w:fill="auto"/>
            <w:noWrap/>
            <w:vAlign w:val="bottom"/>
            <w:hideMark/>
          </w:tcPr>
          <w:p w14:paraId="39ECDCF9"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c>
          <w:tcPr>
            <w:tcW w:w="737" w:type="pct"/>
            <w:tcBorders>
              <w:top w:val="nil"/>
              <w:left w:val="nil"/>
              <w:bottom w:val="nil"/>
              <w:right w:val="nil"/>
            </w:tcBorders>
            <w:shd w:val="clear" w:color="auto" w:fill="auto"/>
            <w:noWrap/>
            <w:vAlign w:val="bottom"/>
            <w:hideMark/>
          </w:tcPr>
          <w:p w14:paraId="4EE609EF"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851" w:type="pct"/>
            <w:tcBorders>
              <w:top w:val="nil"/>
              <w:left w:val="nil"/>
              <w:bottom w:val="nil"/>
              <w:right w:val="nil"/>
            </w:tcBorders>
            <w:shd w:val="clear" w:color="auto" w:fill="auto"/>
            <w:noWrap/>
            <w:vAlign w:val="bottom"/>
            <w:hideMark/>
          </w:tcPr>
          <w:p w14:paraId="6A17E89E" w14:textId="77777777" w:rsidR="00862A01" w:rsidRPr="00872D7E" w:rsidRDefault="00862A01" w:rsidP="00862A01">
            <w:pPr>
              <w:jc w:val="right"/>
              <w:rPr>
                <w:rFonts w:ascii="Arial" w:hAnsi="Arial" w:cs="Arial"/>
                <w:color w:val="000000"/>
                <w:sz w:val="18"/>
                <w:szCs w:val="18"/>
                <w:lang w:eastAsia="tr-TR"/>
              </w:rPr>
            </w:pPr>
            <w:r w:rsidRPr="00872D7E">
              <w:rPr>
                <w:color w:val="000000"/>
                <w:sz w:val="18"/>
                <w:szCs w:val="18"/>
                <w:lang w:eastAsia="tr-TR"/>
              </w:rPr>
              <w:t>-</w:t>
            </w:r>
          </w:p>
        </w:tc>
      </w:tr>
      <w:tr w:rsidR="00862A01" w:rsidRPr="00872D7E" w14:paraId="76B36DFB" w14:textId="77777777" w:rsidTr="00862A01">
        <w:trPr>
          <w:divId w:val="523179288"/>
          <w:trHeight w:val="227"/>
        </w:trPr>
        <w:tc>
          <w:tcPr>
            <w:tcW w:w="1921" w:type="pct"/>
            <w:tcBorders>
              <w:top w:val="nil"/>
              <w:left w:val="nil"/>
              <w:bottom w:val="single" w:sz="4" w:space="0" w:color="auto"/>
              <w:right w:val="nil"/>
            </w:tcBorders>
            <w:shd w:val="clear" w:color="auto" w:fill="auto"/>
            <w:vAlign w:val="center"/>
            <w:hideMark/>
          </w:tcPr>
          <w:p w14:paraId="728B59A0" w14:textId="77777777" w:rsidR="00862A01" w:rsidRPr="00872D7E" w:rsidRDefault="00862A01" w:rsidP="00862A01">
            <w:pPr>
              <w:ind w:left="215"/>
              <w:rPr>
                <w:color w:val="000000"/>
                <w:sz w:val="18"/>
                <w:szCs w:val="18"/>
                <w:lang w:eastAsia="tr-TR"/>
              </w:rPr>
            </w:pPr>
            <w:r w:rsidRPr="00872D7E">
              <w:rPr>
                <w:color w:val="000000"/>
                <w:sz w:val="18"/>
                <w:szCs w:val="18"/>
                <w:lang w:eastAsia="tr-TR"/>
              </w:rPr>
              <w:t xml:space="preserve">Kıyı Bnk. </w:t>
            </w:r>
            <w:proofErr w:type="spellStart"/>
            <w:r w:rsidRPr="00872D7E">
              <w:rPr>
                <w:color w:val="000000"/>
                <w:sz w:val="18"/>
                <w:szCs w:val="18"/>
                <w:lang w:eastAsia="tr-TR"/>
              </w:rPr>
              <w:t>Blg</w:t>
            </w:r>
            <w:proofErr w:type="spellEnd"/>
            <w:r w:rsidRPr="00872D7E">
              <w:rPr>
                <w:color w:val="000000"/>
                <w:sz w:val="18"/>
                <w:szCs w:val="18"/>
                <w:lang w:eastAsia="tr-TR"/>
              </w:rPr>
              <w:t>. Şubelerde Bulunan Yabancı Merci. Sigorta Tabi Hesap</w:t>
            </w:r>
          </w:p>
        </w:tc>
        <w:tc>
          <w:tcPr>
            <w:tcW w:w="694" w:type="pct"/>
            <w:tcBorders>
              <w:top w:val="nil"/>
              <w:left w:val="nil"/>
              <w:bottom w:val="single" w:sz="4" w:space="0" w:color="auto"/>
              <w:right w:val="nil"/>
            </w:tcBorders>
            <w:shd w:val="clear" w:color="auto" w:fill="auto"/>
            <w:noWrap/>
            <w:vAlign w:val="bottom"/>
            <w:hideMark/>
          </w:tcPr>
          <w:p w14:paraId="66FA46DC"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796" w:type="pct"/>
            <w:tcBorders>
              <w:top w:val="nil"/>
              <w:left w:val="nil"/>
              <w:bottom w:val="single" w:sz="4" w:space="0" w:color="auto"/>
              <w:right w:val="nil"/>
            </w:tcBorders>
            <w:shd w:val="clear" w:color="auto" w:fill="auto"/>
            <w:noWrap/>
            <w:vAlign w:val="bottom"/>
            <w:hideMark/>
          </w:tcPr>
          <w:p w14:paraId="2A7D49F4"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737" w:type="pct"/>
            <w:tcBorders>
              <w:top w:val="nil"/>
              <w:left w:val="nil"/>
              <w:bottom w:val="single" w:sz="4" w:space="0" w:color="auto"/>
              <w:right w:val="nil"/>
            </w:tcBorders>
            <w:shd w:val="clear" w:color="auto" w:fill="auto"/>
            <w:noWrap/>
            <w:vAlign w:val="bottom"/>
            <w:hideMark/>
          </w:tcPr>
          <w:p w14:paraId="238ADBED"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851" w:type="pct"/>
            <w:tcBorders>
              <w:top w:val="nil"/>
              <w:left w:val="nil"/>
              <w:bottom w:val="single" w:sz="4" w:space="0" w:color="auto"/>
              <w:right w:val="nil"/>
            </w:tcBorders>
            <w:shd w:val="clear" w:color="auto" w:fill="auto"/>
            <w:noWrap/>
            <w:vAlign w:val="bottom"/>
            <w:hideMark/>
          </w:tcPr>
          <w:p w14:paraId="2123D51D"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r>
      <w:bookmarkEnd w:id="86"/>
    </w:tbl>
    <w:p w14:paraId="00AC30C6" w14:textId="0F4D8764" w:rsidR="00727BB6" w:rsidRPr="00872D7E" w:rsidRDefault="00727BB6" w:rsidP="007E589C"/>
    <w:p w14:paraId="1049C72C" w14:textId="2F7A4C14" w:rsidR="00B256E7" w:rsidRPr="00872D7E" w:rsidRDefault="003251DF" w:rsidP="00DF282B">
      <w:pPr>
        <w:pStyle w:val="BodyTextIndent"/>
        <w:widowControl w:val="0"/>
        <w:numPr>
          <w:ilvl w:val="0"/>
          <w:numId w:val="51"/>
        </w:numPr>
        <w:tabs>
          <w:tab w:val="clear" w:pos="540"/>
        </w:tabs>
        <w:spacing w:line="235" w:lineRule="auto"/>
        <w:ind w:left="1276" w:hanging="425"/>
        <w:rPr>
          <w:b/>
          <w:szCs w:val="20"/>
        </w:rPr>
      </w:pPr>
      <w:bookmarkStart w:id="87" w:name="_Hlk188878125"/>
      <w:r w:rsidRPr="00872D7E">
        <w:rPr>
          <w:b/>
          <w:szCs w:val="20"/>
        </w:rPr>
        <w:t>S</w:t>
      </w:r>
      <w:r w:rsidR="00B256E7" w:rsidRPr="00872D7E">
        <w:rPr>
          <w:b/>
          <w:szCs w:val="20"/>
        </w:rPr>
        <w:t>igorta kapsamında bulunmayan gerçek kişilerin katılım fonları</w:t>
      </w:r>
      <w:r w:rsidRPr="00872D7E">
        <w:rPr>
          <w:b/>
          <w:szCs w:val="20"/>
        </w:rPr>
        <w:t>:</w:t>
      </w:r>
    </w:p>
    <w:p w14:paraId="07B637FA" w14:textId="1703FEAA" w:rsidR="00862A01" w:rsidRPr="00872D7E" w:rsidRDefault="00862A01" w:rsidP="00727BB6"/>
    <w:tbl>
      <w:tblPr>
        <w:tblW w:w="5000" w:type="pct"/>
        <w:tblCellMar>
          <w:left w:w="70" w:type="dxa"/>
          <w:right w:w="70" w:type="dxa"/>
        </w:tblCellMar>
        <w:tblLook w:val="04A0" w:firstRow="1" w:lastRow="0" w:firstColumn="1" w:lastColumn="0" w:noHBand="0" w:noVBand="1"/>
      </w:tblPr>
      <w:tblGrid>
        <w:gridCol w:w="6075"/>
        <w:gridCol w:w="1590"/>
        <w:gridCol w:w="1690"/>
      </w:tblGrid>
      <w:tr w:rsidR="00862A01" w:rsidRPr="00872D7E" w14:paraId="78B99F8B" w14:textId="77777777" w:rsidTr="00862A01">
        <w:trPr>
          <w:divId w:val="2017927333"/>
          <w:trHeight w:val="227"/>
        </w:trPr>
        <w:tc>
          <w:tcPr>
            <w:tcW w:w="3247" w:type="pct"/>
            <w:tcBorders>
              <w:top w:val="nil"/>
              <w:left w:val="nil"/>
              <w:bottom w:val="nil"/>
              <w:right w:val="nil"/>
            </w:tcBorders>
            <w:shd w:val="clear" w:color="auto" w:fill="auto"/>
            <w:noWrap/>
            <w:vAlign w:val="bottom"/>
            <w:hideMark/>
          </w:tcPr>
          <w:p w14:paraId="690C6BC9" w14:textId="6143F90C" w:rsidR="00862A01" w:rsidRPr="00872D7E" w:rsidRDefault="00862A01" w:rsidP="00862A01">
            <w:pPr>
              <w:rPr>
                <w:sz w:val="18"/>
                <w:szCs w:val="18"/>
                <w:lang w:eastAsia="tr-TR"/>
              </w:rPr>
            </w:pPr>
          </w:p>
        </w:tc>
        <w:tc>
          <w:tcPr>
            <w:tcW w:w="850" w:type="pct"/>
            <w:tcBorders>
              <w:top w:val="nil"/>
              <w:left w:val="nil"/>
              <w:bottom w:val="single" w:sz="4" w:space="0" w:color="auto"/>
              <w:right w:val="nil"/>
            </w:tcBorders>
            <w:shd w:val="clear" w:color="auto" w:fill="auto"/>
            <w:vAlign w:val="center"/>
            <w:hideMark/>
          </w:tcPr>
          <w:p w14:paraId="1C8FFADA"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31 Aralık 2024</w:t>
            </w:r>
          </w:p>
        </w:tc>
        <w:tc>
          <w:tcPr>
            <w:tcW w:w="903" w:type="pct"/>
            <w:tcBorders>
              <w:top w:val="nil"/>
              <w:left w:val="nil"/>
              <w:bottom w:val="single" w:sz="4" w:space="0" w:color="auto"/>
              <w:right w:val="nil"/>
            </w:tcBorders>
            <w:shd w:val="clear" w:color="auto" w:fill="auto"/>
            <w:vAlign w:val="center"/>
            <w:hideMark/>
          </w:tcPr>
          <w:p w14:paraId="5A974832" w14:textId="77777777" w:rsidR="00862A01" w:rsidRPr="00872D7E" w:rsidRDefault="00862A01" w:rsidP="00862A01">
            <w:pPr>
              <w:jc w:val="center"/>
              <w:rPr>
                <w:b/>
                <w:bCs/>
                <w:color w:val="000000"/>
                <w:sz w:val="18"/>
                <w:szCs w:val="18"/>
                <w:lang w:eastAsia="tr-TR"/>
              </w:rPr>
            </w:pPr>
            <w:r w:rsidRPr="00872D7E">
              <w:rPr>
                <w:b/>
                <w:bCs/>
                <w:color w:val="000000"/>
                <w:sz w:val="18"/>
                <w:szCs w:val="18"/>
                <w:lang w:eastAsia="tr-TR"/>
              </w:rPr>
              <w:t>1 Ocak 2024</w:t>
            </w:r>
          </w:p>
        </w:tc>
      </w:tr>
      <w:tr w:rsidR="00862A01" w:rsidRPr="00872D7E" w14:paraId="3FAECEE7" w14:textId="77777777" w:rsidTr="00862A01">
        <w:trPr>
          <w:divId w:val="2017927333"/>
          <w:trHeight w:val="227"/>
        </w:trPr>
        <w:tc>
          <w:tcPr>
            <w:tcW w:w="3247" w:type="pct"/>
            <w:tcBorders>
              <w:top w:val="nil"/>
              <w:left w:val="nil"/>
              <w:bottom w:val="nil"/>
              <w:right w:val="nil"/>
            </w:tcBorders>
            <w:shd w:val="clear" w:color="auto" w:fill="auto"/>
            <w:noWrap/>
            <w:vAlign w:val="bottom"/>
            <w:hideMark/>
          </w:tcPr>
          <w:p w14:paraId="042AA198" w14:textId="77777777" w:rsidR="00862A01" w:rsidRPr="00872D7E" w:rsidRDefault="00862A01" w:rsidP="00862A01">
            <w:pPr>
              <w:jc w:val="center"/>
              <w:rPr>
                <w:b/>
                <w:bCs/>
                <w:color w:val="000000"/>
                <w:sz w:val="18"/>
                <w:szCs w:val="18"/>
                <w:lang w:eastAsia="tr-TR"/>
              </w:rPr>
            </w:pPr>
          </w:p>
        </w:tc>
        <w:tc>
          <w:tcPr>
            <w:tcW w:w="850" w:type="pct"/>
            <w:tcBorders>
              <w:top w:val="nil"/>
              <w:left w:val="nil"/>
              <w:bottom w:val="nil"/>
              <w:right w:val="nil"/>
            </w:tcBorders>
            <w:shd w:val="clear" w:color="auto" w:fill="auto"/>
            <w:noWrap/>
            <w:vAlign w:val="bottom"/>
            <w:hideMark/>
          </w:tcPr>
          <w:p w14:paraId="7285EEB3" w14:textId="77777777" w:rsidR="00862A01" w:rsidRPr="00872D7E" w:rsidRDefault="00862A01" w:rsidP="00862A01">
            <w:pPr>
              <w:jc w:val="both"/>
              <w:rPr>
                <w:sz w:val="18"/>
                <w:szCs w:val="18"/>
                <w:lang w:eastAsia="tr-TR"/>
              </w:rPr>
            </w:pPr>
          </w:p>
        </w:tc>
        <w:tc>
          <w:tcPr>
            <w:tcW w:w="903" w:type="pct"/>
            <w:tcBorders>
              <w:top w:val="nil"/>
              <w:left w:val="nil"/>
              <w:bottom w:val="nil"/>
              <w:right w:val="nil"/>
            </w:tcBorders>
            <w:shd w:val="clear" w:color="auto" w:fill="auto"/>
            <w:noWrap/>
            <w:vAlign w:val="bottom"/>
            <w:hideMark/>
          </w:tcPr>
          <w:p w14:paraId="172348DC" w14:textId="77777777" w:rsidR="00862A01" w:rsidRPr="00872D7E" w:rsidRDefault="00862A01" w:rsidP="00862A01">
            <w:pPr>
              <w:jc w:val="both"/>
              <w:rPr>
                <w:sz w:val="18"/>
                <w:szCs w:val="18"/>
                <w:lang w:eastAsia="tr-TR"/>
              </w:rPr>
            </w:pPr>
          </w:p>
        </w:tc>
      </w:tr>
      <w:tr w:rsidR="00862A01" w:rsidRPr="00872D7E" w14:paraId="172A74D6" w14:textId="77777777" w:rsidTr="00862A01">
        <w:trPr>
          <w:divId w:val="2017927333"/>
          <w:trHeight w:val="227"/>
        </w:trPr>
        <w:tc>
          <w:tcPr>
            <w:tcW w:w="3247" w:type="pct"/>
            <w:tcBorders>
              <w:top w:val="nil"/>
              <w:left w:val="nil"/>
              <w:bottom w:val="nil"/>
              <w:right w:val="nil"/>
            </w:tcBorders>
            <w:shd w:val="clear" w:color="auto" w:fill="auto"/>
            <w:hideMark/>
          </w:tcPr>
          <w:p w14:paraId="3044497D" w14:textId="77777777" w:rsidR="00862A01" w:rsidRPr="00872D7E" w:rsidRDefault="00862A01" w:rsidP="00862A01">
            <w:pPr>
              <w:ind w:leftChars="37" w:left="357" w:hangingChars="157" w:hanging="283"/>
              <w:rPr>
                <w:color w:val="000000"/>
                <w:sz w:val="18"/>
                <w:szCs w:val="18"/>
                <w:lang w:eastAsia="tr-TR"/>
              </w:rPr>
            </w:pPr>
            <w:r w:rsidRPr="00872D7E">
              <w:rPr>
                <w:color w:val="000000"/>
                <w:sz w:val="18"/>
                <w:szCs w:val="18"/>
                <w:lang w:eastAsia="tr-TR"/>
              </w:rPr>
              <w:t>Yurtdışı Şubelerde Bulunan Katılım Fonu ile Diğer Hesaplar</w:t>
            </w:r>
          </w:p>
        </w:tc>
        <w:tc>
          <w:tcPr>
            <w:tcW w:w="850" w:type="pct"/>
            <w:tcBorders>
              <w:top w:val="nil"/>
              <w:left w:val="nil"/>
              <w:bottom w:val="nil"/>
              <w:right w:val="nil"/>
            </w:tcBorders>
            <w:shd w:val="clear" w:color="auto" w:fill="auto"/>
            <w:noWrap/>
            <w:vAlign w:val="bottom"/>
            <w:hideMark/>
          </w:tcPr>
          <w:p w14:paraId="46C40485"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68EE406D"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r>
      <w:tr w:rsidR="00862A01" w:rsidRPr="00872D7E" w14:paraId="200BEBB5" w14:textId="77777777" w:rsidTr="00862A01">
        <w:trPr>
          <w:divId w:val="2017927333"/>
          <w:trHeight w:val="227"/>
        </w:trPr>
        <w:tc>
          <w:tcPr>
            <w:tcW w:w="3247" w:type="pct"/>
            <w:tcBorders>
              <w:top w:val="nil"/>
              <w:left w:val="nil"/>
              <w:bottom w:val="nil"/>
              <w:right w:val="nil"/>
            </w:tcBorders>
            <w:shd w:val="clear" w:color="auto" w:fill="auto"/>
            <w:hideMark/>
          </w:tcPr>
          <w:p w14:paraId="52D0E40C" w14:textId="77777777" w:rsidR="00862A01" w:rsidRPr="00872D7E" w:rsidRDefault="00862A01" w:rsidP="00862A01">
            <w:pPr>
              <w:ind w:leftChars="37" w:left="357" w:hangingChars="157" w:hanging="283"/>
              <w:rPr>
                <w:color w:val="000000"/>
                <w:sz w:val="18"/>
                <w:szCs w:val="18"/>
                <w:lang w:eastAsia="tr-TR"/>
              </w:rPr>
            </w:pPr>
            <w:r w:rsidRPr="00872D7E">
              <w:rPr>
                <w:color w:val="000000"/>
                <w:sz w:val="18"/>
                <w:szCs w:val="18"/>
                <w:lang w:eastAsia="tr-TR"/>
              </w:rPr>
              <w:t>Hâkim Ortaklar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32C983F1"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77D77762"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r>
      <w:tr w:rsidR="00862A01" w:rsidRPr="00872D7E" w14:paraId="791E4B81" w14:textId="77777777" w:rsidTr="00862A01">
        <w:trPr>
          <w:divId w:val="2017927333"/>
          <w:trHeight w:val="227"/>
        </w:trPr>
        <w:tc>
          <w:tcPr>
            <w:tcW w:w="3247" w:type="pct"/>
            <w:tcBorders>
              <w:top w:val="nil"/>
              <w:left w:val="nil"/>
              <w:bottom w:val="nil"/>
              <w:right w:val="nil"/>
            </w:tcBorders>
            <w:shd w:val="clear" w:color="auto" w:fill="auto"/>
            <w:hideMark/>
          </w:tcPr>
          <w:p w14:paraId="045E3109" w14:textId="77777777" w:rsidR="00862A01" w:rsidRPr="00872D7E" w:rsidRDefault="00862A01" w:rsidP="00862A01">
            <w:pPr>
              <w:ind w:leftChars="37" w:left="357" w:hangingChars="157" w:hanging="283"/>
              <w:rPr>
                <w:color w:val="000000"/>
                <w:sz w:val="18"/>
                <w:szCs w:val="18"/>
                <w:lang w:eastAsia="tr-TR"/>
              </w:rPr>
            </w:pPr>
            <w:r w:rsidRPr="00872D7E">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2C8BD52D" w14:textId="77777777" w:rsidR="00862A01" w:rsidRPr="00872D7E" w:rsidRDefault="00862A01" w:rsidP="00862A01">
            <w:pPr>
              <w:jc w:val="right"/>
              <w:rPr>
                <w:color w:val="000000"/>
                <w:sz w:val="18"/>
                <w:szCs w:val="18"/>
                <w:lang w:eastAsia="tr-TR"/>
              </w:rPr>
            </w:pPr>
            <w:r w:rsidRPr="00872D7E">
              <w:rPr>
                <w:color w:val="000000"/>
                <w:sz w:val="18"/>
                <w:szCs w:val="18"/>
                <w:lang w:eastAsia="tr-TR"/>
              </w:rPr>
              <w:t>169.615</w:t>
            </w:r>
          </w:p>
        </w:tc>
        <w:tc>
          <w:tcPr>
            <w:tcW w:w="903" w:type="pct"/>
            <w:tcBorders>
              <w:top w:val="nil"/>
              <w:left w:val="nil"/>
              <w:bottom w:val="nil"/>
              <w:right w:val="nil"/>
            </w:tcBorders>
            <w:shd w:val="clear" w:color="auto" w:fill="auto"/>
            <w:noWrap/>
            <w:vAlign w:val="bottom"/>
            <w:hideMark/>
          </w:tcPr>
          <w:p w14:paraId="0B7DEDF3"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r>
      <w:tr w:rsidR="00862A01" w:rsidRPr="00872D7E" w14:paraId="14F61C5F" w14:textId="77777777" w:rsidTr="00862A01">
        <w:trPr>
          <w:divId w:val="2017927333"/>
          <w:trHeight w:val="227"/>
        </w:trPr>
        <w:tc>
          <w:tcPr>
            <w:tcW w:w="3247" w:type="pct"/>
            <w:tcBorders>
              <w:top w:val="nil"/>
              <w:left w:val="nil"/>
              <w:bottom w:val="nil"/>
              <w:right w:val="nil"/>
            </w:tcBorders>
            <w:shd w:val="clear" w:color="auto" w:fill="auto"/>
            <w:hideMark/>
          </w:tcPr>
          <w:p w14:paraId="1A4397F7" w14:textId="77777777" w:rsidR="00862A01" w:rsidRPr="00872D7E" w:rsidRDefault="00862A01" w:rsidP="00862A01">
            <w:pPr>
              <w:ind w:leftChars="37" w:left="357" w:hangingChars="157" w:hanging="283"/>
              <w:rPr>
                <w:color w:val="000000"/>
                <w:sz w:val="18"/>
                <w:szCs w:val="18"/>
                <w:lang w:eastAsia="tr-TR"/>
              </w:rPr>
            </w:pPr>
            <w:r w:rsidRPr="00872D7E">
              <w:rPr>
                <w:color w:val="000000"/>
                <w:sz w:val="18"/>
                <w:szCs w:val="18"/>
                <w:lang w:eastAsia="tr-TR"/>
              </w:rPr>
              <w:t xml:space="preserve">26/9/2004 Tarihli ve 5237 Sayılı TCK’nın </w:t>
            </w:r>
            <w:proofErr w:type="gramStart"/>
            <w:r w:rsidRPr="00872D7E">
              <w:rPr>
                <w:color w:val="000000"/>
                <w:sz w:val="18"/>
                <w:szCs w:val="18"/>
                <w:lang w:eastAsia="tr-TR"/>
              </w:rPr>
              <w:t>282 nci</w:t>
            </w:r>
            <w:proofErr w:type="gramEnd"/>
            <w:r w:rsidRPr="00872D7E">
              <w:rPr>
                <w:color w:val="000000"/>
                <w:sz w:val="18"/>
                <w:szCs w:val="18"/>
                <w:lang w:eastAsia="tr-TR"/>
              </w:rPr>
              <w:t xml:space="preserve"> Maddesindeki Suçtan Kaynaklanan Mal Varlığı Değerleri Kapsamına Giren Katılım Fonu ile Diğer Hesaplar</w:t>
            </w:r>
          </w:p>
        </w:tc>
        <w:tc>
          <w:tcPr>
            <w:tcW w:w="850" w:type="pct"/>
            <w:tcBorders>
              <w:top w:val="nil"/>
              <w:left w:val="nil"/>
              <w:bottom w:val="nil"/>
              <w:right w:val="nil"/>
            </w:tcBorders>
            <w:shd w:val="clear" w:color="auto" w:fill="auto"/>
            <w:noWrap/>
            <w:vAlign w:val="bottom"/>
            <w:hideMark/>
          </w:tcPr>
          <w:p w14:paraId="2E299B33"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0D33BD69"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r>
      <w:tr w:rsidR="00862A01" w:rsidRPr="00872D7E" w14:paraId="57F0721B" w14:textId="77777777" w:rsidTr="00862A01">
        <w:trPr>
          <w:divId w:val="2017927333"/>
          <w:trHeight w:val="227"/>
        </w:trPr>
        <w:tc>
          <w:tcPr>
            <w:tcW w:w="3247" w:type="pct"/>
            <w:tcBorders>
              <w:top w:val="nil"/>
              <w:left w:val="nil"/>
              <w:bottom w:val="single" w:sz="4" w:space="0" w:color="auto"/>
              <w:right w:val="nil"/>
            </w:tcBorders>
            <w:shd w:val="clear" w:color="auto" w:fill="auto"/>
            <w:hideMark/>
          </w:tcPr>
          <w:p w14:paraId="40AB16F8" w14:textId="77777777" w:rsidR="00862A01" w:rsidRPr="00872D7E" w:rsidRDefault="00862A01" w:rsidP="00862A01">
            <w:pPr>
              <w:ind w:leftChars="37" w:left="357" w:hangingChars="157" w:hanging="283"/>
              <w:rPr>
                <w:color w:val="000000"/>
                <w:sz w:val="18"/>
                <w:szCs w:val="18"/>
                <w:lang w:eastAsia="tr-TR"/>
              </w:rPr>
            </w:pPr>
            <w:r w:rsidRPr="00872D7E">
              <w:rPr>
                <w:color w:val="000000"/>
                <w:sz w:val="18"/>
                <w:szCs w:val="18"/>
                <w:lang w:eastAsia="tr-TR"/>
              </w:rPr>
              <w:t>Türkiye’de Münhasıran Kıyı Bankacılığı Faaliyeti Göstermek Üzere Kurulan Katılım Bankalarında Bulunan Katılım Fonları</w:t>
            </w:r>
          </w:p>
        </w:tc>
        <w:tc>
          <w:tcPr>
            <w:tcW w:w="850" w:type="pct"/>
            <w:tcBorders>
              <w:top w:val="nil"/>
              <w:left w:val="nil"/>
              <w:bottom w:val="single" w:sz="4" w:space="0" w:color="auto"/>
              <w:right w:val="nil"/>
            </w:tcBorders>
            <w:shd w:val="clear" w:color="auto" w:fill="auto"/>
            <w:noWrap/>
            <w:vAlign w:val="bottom"/>
            <w:hideMark/>
          </w:tcPr>
          <w:p w14:paraId="7E9CF33E"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c>
          <w:tcPr>
            <w:tcW w:w="903" w:type="pct"/>
            <w:tcBorders>
              <w:top w:val="nil"/>
              <w:left w:val="nil"/>
              <w:bottom w:val="single" w:sz="4" w:space="0" w:color="auto"/>
              <w:right w:val="nil"/>
            </w:tcBorders>
            <w:shd w:val="clear" w:color="auto" w:fill="auto"/>
            <w:noWrap/>
            <w:vAlign w:val="bottom"/>
            <w:hideMark/>
          </w:tcPr>
          <w:p w14:paraId="662C98D8" w14:textId="77777777" w:rsidR="00862A01" w:rsidRPr="00872D7E" w:rsidRDefault="00862A01" w:rsidP="00862A01">
            <w:pPr>
              <w:jc w:val="right"/>
              <w:rPr>
                <w:color w:val="000000"/>
                <w:sz w:val="18"/>
                <w:szCs w:val="18"/>
                <w:lang w:eastAsia="tr-TR"/>
              </w:rPr>
            </w:pPr>
            <w:r w:rsidRPr="00872D7E">
              <w:rPr>
                <w:color w:val="000000"/>
                <w:sz w:val="18"/>
                <w:szCs w:val="18"/>
                <w:lang w:eastAsia="tr-TR"/>
              </w:rPr>
              <w:t>-</w:t>
            </w:r>
          </w:p>
        </w:tc>
      </w:tr>
    </w:tbl>
    <w:p w14:paraId="71379C05" w14:textId="7646F089" w:rsidR="00765D08" w:rsidRPr="00872D7E" w:rsidRDefault="00765D08" w:rsidP="00925348"/>
    <w:p w14:paraId="6578D2EB" w14:textId="3754964E" w:rsidR="00925348" w:rsidRPr="00872D7E" w:rsidRDefault="00925348" w:rsidP="00925348">
      <w:pPr>
        <w:jc w:val="both"/>
      </w:pPr>
      <w:r w:rsidRPr="00872D7E">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r w:rsidR="001C7892" w:rsidRPr="00872D7E">
        <w:t>650</w:t>
      </w:r>
      <w:r w:rsidRPr="00872D7E">
        <w:t xml:space="preserve"> TL’yi geçmemesi şartıyla, 5411 sayılı Bankacılık Kanunu kapsamında Tasarruf Mevduat Sigorta Fonu güvencesi altındadır.</w:t>
      </w:r>
    </w:p>
    <w:p w14:paraId="5DF341D0" w14:textId="022873E0" w:rsidR="00925348" w:rsidRPr="00872D7E" w:rsidRDefault="00925348" w:rsidP="00925348">
      <w:pPr>
        <w:jc w:val="both"/>
      </w:pPr>
    </w:p>
    <w:p w14:paraId="64F20089" w14:textId="77777777" w:rsidR="00925348" w:rsidRPr="00872D7E" w:rsidRDefault="00925348" w:rsidP="00925348"/>
    <w:bookmarkEnd w:id="85"/>
    <w:bookmarkEnd w:id="87"/>
    <w:p w14:paraId="3A83BD47" w14:textId="77777777" w:rsidR="00925348" w:rsidRPr="00872D7E" w:rsidRDefault="00925348">
      <w:pPr>
        <w:rPr>
          <w:b/>
          <w:szCs w:val="20"/>
        </w:rPr>
      </w:pPr>
      <w:r w:rsidRPr="00872D7E">
        <w:rPr>
          <w:b/>
          <w:szCs w:val="20"/>
        </w:rPr>
        <w:br w:type="page"/>
      </w:r>
    </w:p>
    <w:p w14:paraId="769F8352" w14:textId="1A86A564" w:rsidR="00CA151E" w:rsidRPr="00872D7E" w:rsidRDefault="00CA151E" w:rsidP="00CA151E">
      <w:pPr>
        <w:widowControl w:val="0"/>
        <w:spacing w:line="235" w:lineRule="auto"/>
        <w:ind w:left="720" w:hanging="720"/>
        <w:jc w:val="both"/>
        <w:rPr>
          <w:b/>
          <w:szCs w:val="20"/>
        </w:rPr>
      </w:pPr>
      <w:r w:rsidRPr="00872D7E">
        <w:rPr>
          <w:b/>
          <w:szCs w:val="20"/>
        </w:rPr>
        <w:lastRenderedPageBreak/>
        <w:t>KONSOLİDE OLMAYAN FİNANSAL TABLOLARA İLİŞKİN AÇIKLAMA VE DİPNOTLAR (Devamı)</w:t>
      </w:r>
    </w:p>
    <w:p w14:paraId="607DDA2C" w14:textId="77777777" w:rsidR="00CA151E" w:rsidRPr="00872D7E" w:rsidRDefault="00CA151E" w:rsidP="00CA151E">
      <w:pPr>
        <w:widowControl w:val="0"/>
        <w:spacing w:line="235" w:lineRule="auto"/>
        <w:ind w:left="851" w:hanging="851"/>
        <w:jc w:val="both"/>
        <w:rPr>
          <w:b/>
          <w:szCs w:val="20"/>
        </w:rPr>
      </w:pPr>
    </w:p>
    <w:p w14:paraId="486099AE" w14:textId="77777777" w:rsidR="00A445BA" w:rsidRPr="00872D7E" w:rsidRDefault="00A445BA" w:rsidP="00A445BA">
      <w:pPr>
        <w:widowControl w:val="0"/>
        <w:spacing w:line="235" w:lineRule="auto"/>
        <w:ind w:left="851" w:hanging="851"/>
        <w:jc w:val="both"/>
        <w:rPr>
          <w:b/>
          <w:szCs w:val="20"/>
        </w:rPr>
      </w:pPr>
      <w:r w:rsidRPr="00872D7E">
        <w:rPr>
          <w:b/>
          <w:szCs w:val="20"/>
        </w:rPr>
        <w:t>II.</w:t>
      </w:r>
      <w:r w:rsidRPr="00872D7E">
        <w:rPr>
          <w:b/>
          <w:szCs w:val="20"/>
        </w:rPr>
        <w:tab/>
        <w:t>BİLANÇONUN PASİF HESAPLARINA İLİŞKİN AÇIKLAMA VE DİPNOTLAR (Devamı)</w:t>
      </w:r>
    </w:p>
    <w:p w14:paraId="37FB006D" w14:textId="77777777" w:rsidR="00765D08" w:rsidRPr="00872D7E" w:rsidRDefault="00765D08" w:rsidP="00154DA9">
      <w:pPr>
        <w:widowControl w:val="0"/>
        <w:spacing w:line="235" w:lineRule="auto"/>
        <w:ind w:right="-182"/>
        <w:jc w:val="both"/>
        <w:rPr>
          <w:szCs w:val="20"/>
        </w:rPr>
      </w:pPr>
    </w:p>
    <w:p w14:paraId="026ED78D" w14:textId="15722C7B" w:rsidR="005B3DE3" w:rsidRPr="00872D7E" w:rsidRDefault="005B3DE3" w:rsidP="00DF282B">
      <w:pPr>
        <w:pStyle w:val="ListParagraph"/>
        <w:widowControl w:val="0"/>
        <w:numPr>
          <w:ilvl w:val="0"/>
          <w:numId w:val="50"/>
        </w:numPr>
        <w:ind w:left="851" w:hanging="851"/>
        <w:jc w:val="both"/>
        <w:rPr>
          <w:b/>
          <w:szCs w:val="20"/>
        </w:rPr>
      </w:pPr>
      <w:r w:rsidRPr="00872D7E">
        <w:rPr>
          <w:b/>
          <w:szCs w:val="20"/>
        </w:rPr>
        <w:t>Alınan kredilere ilişkin bilgiler:</w:t>
      </w:r>
    </w:p>
    <w:p w14:paraId="714FF517" w14:textId="77777777" w:rsidR="005B3DE3" w:rsidRPr="00872D7E" w:rsidRDefault="005B3DE3" w:rsidP="005B3DE3">
      <w:pPr>
        <w:pStyle w:val="BodyTextIndent"/>
        <w:widowControl w:val="0"/>
        <w:ind w:left="851" w:right="-110" w:hanging="851"/>
        <w:rPr>
          <w:bCs/>
          <w:szCs w:val="20"/>
        </w:rPr>
      </w:pPr>
    </w:p>
    <w:p w14:paraId="2AE9C6A0" w14:textId="3E99D0C6" w:rsidR="005B3DE3" w:rsidRPr="00872D7E" w:rsidRDefault="00CF39AE" w:rsidP="003B796D">
      <w:pPr>
        <w:pStyle w:val="BodyTextIndent"/>
        <w:widowControl w:val="0"/>
        <w:numPr>
          <w:ilvl w:val="1"/>
          <w:numId w:val="67"/>
        </w:numPr>
        <w:ind w:left="1276" w:right="-110" w:hanging="425"/>
        <w:rPr>
          <w:b/>
          <w:szCs w:val="20"/>
        </w:rPr>
      </w:pPr>
      <w:r w:rsidRPr="00872D7E">
        <w:rPr>
          <w:b/>
          <w:szCs w:val="20"/>
        </w:rPr>
        <w:t>Bankalar ve diğer mali kuruluşlara ilişkin bilgiler:</w:t>
      </w:r>
    </w:p>
    <w:p w14:paraId="669AB69B" w14:textId="3E9E5FD5" w:rsidR="00862A01" w:rsidRPr="00872D7E" w:rsidRDefault="00862A01" w:rsidP="005B3DE3">
      <w:pPr>
        <w:pStyle w:val="BodyTextIndent"/>
        <w:widowControl w:val="0"/>
        <w:ind w:left="1702" w:right="-110" w:hanging="851"/>
        <w:rPr>
          <w:szCs w:val="20"/>
        </w:rPr>
      </w:pPr>
    </w:p>
    <w:tbl>
      <w:tblPr>
        <w:tblW w:w="9454" w:type="dxa"/>
        <w:tblCellMar>
          <w:left w:w="70" w:type="dxa"/>
          <w:right w:w="70" w:type="dxa"/>
        </w:tblCellMar>
        <w:tblLook w:val="04A0" w:firstRow="1" w:lastRow="0" w:firstColumn="1" w:lastColumn="0" w:noHBand="0" w:noVBand="1"/>
      </w:tblPr>
      <w:tblGrid>
        <w:gridCol w:w="3262"/>
        <w:gridCol w:w="1395"/>
        <w:gridCol w:w="1701"/>
        <w:gridCol w:w="1543"/>
        <w:gridCol w:w="1553"/>
      </w:tblGrid>
      <w:tr w:rsidR="00862A01" w:rsidRPr="00872D7E" w14:paraId="3F991EB0" w14:textId="77777777" w:rsidTr="00862A01">
        <w:trPr>
          <w:divId w:val="1717466561"/>
          <w:trHeight w:val="227"/>
        </w:trPr>
        <w:tc>
          <w:tcPr>
            <w:tcW w:w="3262" w:type="dxa"/>
            <w:tcBorders>
              <w:top w:val="nil"/>
              <w:left w:val="nil"/>
              <w:bottom w:val="nil"/>
              <w:right w:val="nil"/>
            </w:tcBorders>
            <w:shd w:val="clear" w:color="auto" w:fill="auto"/>
            <w:noWrap/>
            <w:vAlign w:val="bottom"/>
            <w:hideMark/>
          </w:tcPr>
          <w:p w14:paraId="287888A9" w14:textId="0CB06837" w:rsidR="00862A01" w:rsidRPr="00872D7E" w:rsidRDefault="00862A01" w:rsidP="00862A01">
            <w:pPr>
              <w:rPr>
                <w:szCs w:val="20"/>
              </w:rPr>
            </w:pPr>
          </w:p>
        </w:tc>
        <w:tc>
          <w:tcPr>
            <w:tcW w:w="3096" w:type="dxa"/>
            <w:gridSpan w:val="2"/>
            <w:tcBorders>
              <w:top w:val="nil"/>
              <w:left w:val="nil"/>
              <w:bottom w:val="single" w:sz="4" w:space="0" w:color="auto"/>
              <w:right w:val="nil"/>
            </w:tcBorders>
            <w:shd w:val="clear" w:color="auto" w:fill="auto"/>
            <w:noWrap/>
            <w:vAlign w:val="bottom"/>
            <w:hideMark/>
          </w:tcPr>
          <w:p w14:paraId="331F75EA" w14:textId="77777777" w:rsidR="00862A01" w:rsidRPr="00872D7E" w:rsidRDefault="00862A01" w:rsidP="00862A01">
            <w:pPr>
              <w:jc w:val="center"/>
              <w:rPr>
                <w:b/>
                <w:bCs/>
                <w:color w:val="000000"/>
                <w:szCs w:val="20"/>
              </w:rPr>
            </w:pPr>
            <w:r w:rsidRPr="00872D7E">
              <w:rPr>
                <w:b/>
                <w:bCs/>
                <w:color w:val="000000"/>
                <w:szCs w:val="20"/>
              </w:rPr>
              <w:t>31 Aralık 2024</w:t>
            </w:r>
          </w:p>
        </w:tc>
        <w:tc>
          <w:tcPr>
            <w:tcW w:w="3096" w:type="dxa"/>
            <w:gridSpan w:val="2"/>
            <w:tcBorders>
              <w:top w:val="nil"/>
              <w:left w:val="nil"/>
              <w:bottom w:val="single" w:sz="4" w:space="0" w:color="auto"/>
              <w:right w:val="nil"/>
            </w:tcBorders>
            <w:shd w:val="clear" w:color="auto" w:fill="auto"/>
            <w:noWrap/>
            <w:vAlign w:val="bottom"/>
            <w:hideMark/>
          </w:tcPr>
          <w:p w14:paraId="58FB6687" w14:textId="77777777" w:rsidR="00862A01" w:rsidRPr="00872D7E" w:rsidRDefault="00862A01" w:rsidP="00862A01">
            <w:pPr>
              <w:jc w:val="center"/>
              <w:rPr>
                <w:b/>
                <w:bCs/>
                <w:color w:val="000000"/>
                <w:szCs w:val="20"/>
              </w:rPr>
            </w:pPr>
            <w:r w:rsidRPr="00872D7E">
              <w:rPr>
                <w:b/>
                <w:bCs/>
                <w:color w:val="000000"/>
                <w:szCs w:val="20"/>
              </w:rPr>
              <w:t>1 Ocak 2024</w:t>
            </w:r>
          </w:p>
        </w:tc>
      </w:tr>
      <w:tr w:rsidR="00862A01" w:rsidRPr="00872D7E" w14:paraId="1C4B57DF" w14:textId="77777777" w:rsidTr="00862A01">
        <w:trPr>
          <w:divId w:val="1717466561"/>
          <w:trHeight w:val="227"/>
        </w:trPr>
        <w:tc>
          <w:tcPr>
            <w:tcW w:w="3262" w:type="dxa"/>
            <w:tcBorders>
              <w:top w:val="nil"/>
              <w:left w:val="nil"/>
              <w:bottom w:val="nil"/>
              <w:right w:val="nil"/>
            </w:tcBorders>
            <w:shd w:val="clear" w:color="auto" w:fill="auto"/>
            <w:noWrap/>
            <w:vAlign w:val="bottom"/>
            <w:hideMark/>
          </w:tcPr>
          <w:p w14:paraId="703B1103" w14:textId="77777777" w:rsidR="00862A01" w:rsidRPr="00872D7E" w:rsidRDefault="00862A01" w:rsidP="00862A01">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2508A072" w14:textId="77777777" w:rsidR="00862A01" w:rsidRPr="00872D7E" w:rsidRDefault="00862A01" w:rsidP="00862A01">
            <w:pPr>
              <w:jc w:val="center"/>
              <w:rPr>
                <w:b/>
                <w:bCs/>
                <w:color w:val="000000"/>
                <w:szCs w:val="20"/>
              </w:rPr>
            </w:pPr>
            <w:r w:rsidRPr="00872D7E">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56FFEEBC" w14:textId="77777777" w:rsidR="00862A01" w:rsidRPr="00872D7E" w:rsidRDefault="00862A01" w:rsidP="00862A01">
            <w:pPr>
              <w:jc w:val="center"/>
              <w:rPr>
                <w:b/>
                <w:bCs/>
                <w:color w:val="000000"/>
                <w:szCs w:val="20"/>
              </w:rPr>
            </w:pPr>
            <w:r w:rsidRPr="00872D7E">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33767A6A" w14:textId="77777777" w:rsidR="00862A01" w:rsidRPr="00872D7E" w:rsidRDefault="00862A01" w:rsidP="00862A01">
            <w:pPr>
              <w:jc w:val="center"/>
              <w:rPr>
                <w:b/>
                <w:bCs/>
                <w:color w:val="000000"/>
                <w:szCs w:val="20"/>
              </w:rPr>
            </w:pPr>
            <w:r w:rsidRPr="00872D7E">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6342FF5C" w14:textId="77777777" w:rsidR="00862A01" w:rsidRPr="00872D7E" w:rsidRDefault="00862A01" w:rsidP="00862A01">
            <w:pPr>
              <w:jc w:val="center"/>
              <w:rPr>
                <w:b/>
                <w:bCs/>
                <w:color w:val="000000"/>
                <w:szCs w:val="20"/>
              </w:rPr>
            </w:pPr>
            <w:r w:rsidRPr="00872D7E">
              <w:rPr>
                <w:b/>
                <w:bCs/>
                <w:color w:val="000000"/>
                <w:szCs w:val="20"/>
              </w:rPr>
              <w:t>YP</w:t>
            </w:r>
          </w:p>
        </w:tc>
      </w:tr>
      <w:tr w:rsidR="00862A01" w:rsidRPr="00872D7E" w14:paraId="791EB915" w14:textId="77777777" w:rsidTr="00862A01">
        <w:trPr>
          <w:divId w:val="1717466561"/>
          <w:trHeight w:val="227"/>
        </w:trPr>
        <w:tc>
          <w:tcPr>
            <w:tcW w:w="3262" w:type="dxa"/>
            <w:tcBorders>
              <w:top w:val="nil"/>
              <w:left w:val="nil"/>
              <w:bottom w:val="nil"/>
              <w:right w:val="nil"/>
            </w:tcBorders>
            <w:shd w:val="clear" w:color="auto" w:fill="auto"/>
            <w:noWrap/>
            <w:vAlign w:val="bottom"/>
            <w:hideMark/>
          </w:tcPr>
          <w:p w14:paraId="1176CBA0" w14:textId="77777777" w:rsidR="00862A01" w:rsidRPr="00872D7E" w:rsidRDefault="00862A01" w:rsidP="00862A01">
            <w:pPr>
              <w:jc w:val="center"/>
              <w:rPr>
                <w:b/>
                <w:bCs/>
                <w:color w:val="000000"/>
                <w:szCs w:val="20"/>
              </w:rPr>
            </w:pPr>
          </w:p>
        </w:tc>
        <w:tc>
          <w:tcPr>
            <w:tcW w:w="1395" w:type="dxa"/>
            <w:tcBorders>
              <w:top w:val="nil"/>
              <w:left w:val="nil"/>
              <w:bottom w:val="nil"/>
              <w:right w:val="nil"/>
            </w:tcBorders>
            <w:shd w:val="clear" w:color="auto" w:fill="auto"/>
            <w:noWrap/>
            <w:vAlign w:val="bottom"/>
            <w:hideMark/>
          </w:tcPr>
          <w:p w14:paraId="156E62CA" w14:textId="77777777" w:rsidR="00862A01" w:rsidRPr="00872D7E" w:rsidRDefault="00862A01" w:rsidP="00862A01">
            <w:pPr>
              <w:rPr>
                <w:szCs w:val="20"/>
              </w:rPr>
            </w:pPr>
          </w:p>
        </w:tc>
        <w:tc>
          <w:tcPr>
            <w:tcW w:w="1701" w:type="dxa"/>
            <w:tcBorders>
              <w:top w:val="nil"/>
              <w:left w:val="nil"/>
              <w:bottom w:val="nil"/>
              <w:right w:val="nil"/>
            </w:tcBorders>
            <w:shd w:val="clear" w:color="auto" w:fill="auto"/>
            <w:noWrap/>
            <w:vAlign w:val="bottom"/>
            <w:hideMark/>
          </w:tcPr>
          <w:p w14:paraId="46D0928F" w14:textId="77777777" w:rsidR="00862A01" w:rsidRPr="00872D7E" w:rsidRDefault="00862A01" w:rsidP="00862A01">
            <w:pPr>
              <w:rPr>
                <w:szCs w:val="20"/>
              </w:rPr>
            </w:pPr>
          </w:p>
        </w:tc>
        <w:tc>
          <w:tcPr>
            <w:tcW w:w="1543" w:type="dxa"/>
            <w:tcBorders>
              <w:top w:val="nil"/>
              <w:left w:val="nil"/>
              <w:bottom w:val="nil"/>
              <w:right w:val="nil"/>
            </w:tcBorders>
            <w:shd w:val="clear" w:color="auto" w:fill="auto"/>
            <w:noWrap/>
            <w:vAlign w:val="bottom"/>
            <w:hideMark/>
          </w:tcPr>
          <w:p w14:paraId="4A93541C" w14:textId="77777777" w:rsidR="00862A01" w:rsidRPr="00872D7E" w:rsidRDefault="00862A01" w:rsidP="00862A01">
            <w:pPr>
              <w:rPr>
                <w:szCs w:val="20"/>
              </w:rPr>
            </w:pPr>
          </w:p>
        </w:tc>
        <w:tc>
          <w:tcPr>
            <w:tcW w:w="1553" w:type="dxa"/>
            <w:tcBorders>
              <w:top w:val="nil"/>
              <w:left w:val="nil"/>
              <w:bottom w:val="nil"/>
              <w:right w:val="nil"/>
            </w:tcBorders>
            <w:shd w:val="clear" w:color="auto" w:fill="auto"/>
            <w:noWrap/>
            <w:vAlign w:val="bottom"/>
            <w:hideMark/>
          </w:tcPr>
          <w:p w14:paraId="110EA00C" w14:textId="77777777" w:rsidR="00862A01" w:rsidRPr="00872D7E" w:rsidRDefault="00862A01" w:rsidP="00862A01">
            <w:pPr>
              <w:rPr>
                <w:szCs w:val="20"/>
              </w:rPr>
            </w:pPr>
          </w:p>
        </w:tc>
      </w:tr>
      <w:tr w:rsidR="00862A01" w:rsidRPr="00872D7E" w14:paraId="00CE4F92" w14:textId="77777777" w:rsidTr="00862A01">
        <w:trPr>
          <w:divId w:val="1717466561"/>
          <w:trHeight w:val="227"/>
        </w:trPr>
        <w:tc>
          <w:tcPr>
            <w:tcW w:w="3262" w:type="dxa"/>
            <w:tcBorders>
              <w:top w:val="nil"/>
              <w:left w:val="nil"/>
              <w:bottom w:val="nil"/>
              <w:right w:val="nil"/>
            </w:tcBorders>
            <w:shd w:val="clear" w:color="auto" w:fill="auto"/>
            <w:noWrap/>
            <w:vAlign w:val="bottom"/>
            <w:hideMark/>
          </w:tcPr>
          <w:p w14:paraId="2AAF5AD5" w14:textId="77777777" w:rsidR="00862A01" w:rsidRPr="00872D7E" w:rsidRDefault="00862A01" w:rsidP="00862A01">
            <w:pPr>
              <w:rPr>
                <w:color w:val="000000"/>
                <w:szCs w:val="20"/>
              </w:rPr>
            </w:pPr>
            <w:r w:rsidRPr="00872D7E">
              <w:rPr>
                <w:color w:val="000000"/>
                <w:szCs w:val="20"/>
              </w:rPr>
              <w:t>T.C. Merkez Bankası Kredileri</w:t>
            </w:r>
          </w:p>
        </w:tc>
        <w:tc>
          <w:tcPr>
            <w:tcW w:w="1395" w:type="dxa"/>
            <w:tcBorders>
              <w:top w:val="nil"/>
              <w:left w:val="nil"/>
              <w:bottom w:val="nil"/>
              <w:right w:val="nil"/>
            </w:tcBorders>
            <w:shd w:val="clear" w:color="auto" w:fill="auto"/>
            <w:vAlign w:val="center"/>
            <w:hideMark/>
          </w:tcPr>
          <w:p w14:paraId="243C6F21" w14:textId="77777777" w:rsidR="00862A01" w:rsidRPr="00872D7E" w:rsidRDefault="00862A01" w:rsidP="00862A01">
            <w:pPr>
              <w:jc w:val="right"/>
              <w:rPr>
                <w:color w:val="000000"/>
                <w:szCs w:val="20"/>
              </w:rPr>
            </w:pPr>
            <w:r w:rsidRPr="00872D7E">
              <w:rPr>
                <w:color w:val="000000"/>
                <w:szCs w:val="20"/>
              </w:rPr>
              <w:t>-</w:t>
            </w:r>
          </w:p>
        </w:tc>
        <w:tc>
          <w:tcPr>
            <w:tcW w:w="1701" w:type="dxa"/>
            <w:tcBorders>
              <w:top w:val="nil"/>
              <w:left w:val="nil"/>
              <w:bottom w:val="nil"/>
              <w:right w:val="nil"/>
            </w:tcBorders>
            <w:shd w:val="clear" w:color="auto" w:fill="auto"/>
            <w:vAlign w:val="center"/>
            <w:hideMark/>
          </w:tcPr>
          <w:p w14:paraId="3D7FFEFC" w14:textId="77777777" w:rsidR="00862A01" w:rsidRPr="00872D7E" w:rsidRDefault="00862A01" w:rsidP="00862A01">
            <w:pPr>
              <w:jc w:val="right"/>
              <w:rPr>
                <w:color w:val="000000"/>
                <w:szCs w:val="20"/>
              </w:rPr>
            </w:pPr>
            <w:r w:rsidRPr="00872D7E">
              <w:rPr>
                <w:color w:val="000000"/>
                <w:szCs w:val="20"/>
              </w:rPr>
              <w:t>-</w:t>
            </w:r>
          </w:p>
        </w:tc>
        <w:tc>
          <w:tcPr>
            <w:tcW w:w="1543" w:type="dxa"/>
            <w:tcBorders>
              <w:top w:val="nil"/>
              <w:left w:val="nil"/>
              <w:bottom w:val="nil"/>
              <w:right w:val="nil"/>
            </w:tcBorders>
            <w:shd w:val="clear" w:color="auto" w:fill="auto"/>
            <w:vAlign w:val="center"/>
            <w:hideMark/>
          </w:tcPr>
          <w:p w14:paraId="7265D3A6" w14:textId="77777777" w:rsidR="00862A01" w:rsidRPr="00872D7E" w:rsidRDefault="00862A01" w:rsidP="00862A01">
            <w:pPr>
              <w:jc w:val="right"/>
              <w:rPr>
                <w:color w:val="000000"/>
                <w:szCs w:val="20"/>
              </w:rPr>
            </w:pPr>
            <w:r w:rsidRPr="00872D7E">
              <w:rPr>
                <w:color w:val="000000"/>
                <w:szCs w:val="20"/>
              </w:rPr>
              <w:t>-</w:t>
            </w:r>
          </w:p>
        </w:tc>
        <w:tc>
          <w:tcPr>
            <w:tcW w:w="1553" w:type="dxa"/>
            <w:tcBorders>
              <w:top w:val="nil"/>
              <w:left w:val="nil"/>
              <w:bottom w:val="nil"/>
              <w:right w:val="nil"/>
            </w:tcBorders>
            <w:shd w:val="clear" w:color="auto" w:fill="auto"/>
            <w:vAlign w:val="center"/>
            <w:hideMark/>
          </w:tcPr>
          <w:p w14:paraId="477579CC" w14:textId="77777777" w:rsidR="00862A01" w:rsidRPr="00872D7E" w:rsidRDefault="00862A01" w:rsidP="00862A01">
            <w:pPr>
              <w:jc w:val="right"/>
              <w:rPr>
                <w:color w:val="000000"/>
                <w:szCs w:val="20"/>
              </w:rPr>
            </w:pPr>
            <w:r w:rsidRPr="00872D7E">
              <w:rPr>
                <w:color w:val="000000"/>
                <w:szCs w:val="20"/>
              </w:rPr>
              <w:t>-</w:t>
            </w:r>
          </w:p>
        </w:tc>
      </w:tr>
      <w:tr w:rsidR="00862A01" w:rsidRPr="00872D7E" w14:paraId="5AB41F58" w14:textId="77777777" w:rsidTr="00862A01">
        <w:trPr>
          <w:divId w:val="1717466561"/>
          <w:trHeight w:val="227"/>
        </w:trPr>
        <w:tc>
          <w:tcPr>
            <w:tcW w:w="3262" w:type="dxa"/>
            <w:tcBorders>
              <w:top w:val="nil"/>
              <w:left w:val="nil"/>
              <w:bottom w:val="nil"/>
              <w:right w:val="nil"/>
            </w:tcBorders>
            <w:shd w:val="clear" w:color="auto" w:fill="auto"/>
            <w:noWrap/>
            <w:vAlign w:val="bottom"/>
            <w:hideMark/>
          </w:tcPr>
          <w:p w14:paraId="05CF39F5" w14:textId="77777777" w:rsidR="00862A01" w:rsidRPr="00872D7E" w:rsidRDefault="00862A01" w:rsidP="00862A01">
            <w:pPr>
              <w:rPr>
                <w:color w:val="000000"/>
                <w:szCs w:val="20"/>
              </w:rPr>
            </w:pPr>
            <w:r w:rsidRPr="00872D7E">
              <w:rPr>
                <w:color w:val="000000"/>
                <w:szCs w:val="20"/>
              </w:rPr>
              <w:t>Yurt içi Banka ve Kuruluşlardan</w:t>
            </w:r>
          </w:p>
        </w:tc>
        <w:tc>
          <w:tcPr>
            <w:tcW w:w="1395" w:type="dxa"/>
            <w:tcBorders>
              <w:top w:val="nil"/>
              <w:left w:val="nil"/>
              <w:bottom w:val="nil"/>
              <w:right w:val="nil"/>
            </w:tcBorders>
            <w:shd w:val="clear" w:color="auto" w:fill="auto"/>
            <w:vAlign w:val="center"/>
            <w:hideMark/>
          </w:tcPr>
          <w:p w14:paraId="79EF1C08" w14:textId="77777777" w:rsidR="00862A01" w:rsidRPr="00872D7E" w:rsidRDefault="00862A01" w:rsidP="00862A01">
            <w:pPr>
              <w:jc w:val="right"/>
              <w:rPr>
                <w:color w:val="000000"/>
                <w:szCs w:val="20"/>
              </w:rPr>
            </w:pPr>
            <w:r w:rsidRPr="00872D7E">
              <w:rPr>
                <w:color w:val="000000"/>
                <w:szCs w:val="20"/>
              </w:rPr>
              <w:t>85.110</w:t>
            </w:r>
          </w:p>
        </w:tc>
        <w:tc>
          <w:tcPr>
            <w:tcW w:w="1701" w:type="dxa"/>
            <w:tcBorders>
              <w:top w:val="nil"/>
              <w:left w:val="nil"/>
              <w:bottom w:val="nil"/>
              <w:right w:val="nil"/>
            </w:tcBorders>
            <w:shd w:val="clear" w:color="auto" w:fill="auto"/>
            <w:vAlign w:val="center"/>
            <w:hideMark/>
          </w:tcPr>
          <w:p w14:paraId="651354CD" w14:textId="77777777" w:rsidR="00862A01" w:rsidRPr="00872D7E" w:rsidRDefault="00862A01" w:rsidP="00862A01">
            <w:pPr>
              <w:jc w:val="right"/>
              <w:rPr>
                <w:color w:val="000000"/>
                <w:szCs w:val="20"/>
              </w:rPr>
            </w:pPr>
            <w:r w:rsidRPr="00872D7E">
              <w:rPr>
                <w:color w:val="000000"/>
                <w:szCs w:val="20"/>
              </w:rPr>
              <w:t>1.837.130</w:t>
            </w:r>
          </w:p>
        </w:tc>
        <w:tc>
          <w:tcPr>
            <w:tcW w:w="1543" w:type="dxa"/>
            <w:tcBorders>
              <w:top w:val="nil"/>
              <w:left w:val="nil"/>
              <w:bottom w:val="nil"/>
              <w:right w:val="nil"/>
            </w:tcBorders>
            <w:shd w:val="clear" w:color="auto" w:fill="auto"/>
            <w:vAlign w:val="center"/>
            <w:hideMark/>
          </w:tcPr>
          <w:p w14:paraId="31A91AA9" w14:textId="77777777" w:rsidR="00862A01" w:rsidRPr="00872D7E" w:rsidRDefault="00862A01" w:rsidP="00862A01">
            <w:pPr>
              <w:jc w:val="right"/>
              <w:rPr>
                <w:color w:val="000000"/>
                <w:szCs w:val="20"/>
              </w:rPr>
            </w:pPr>
            <w:r w:rsidRPr="00872D7E">
              <w:rPr>
                <w:color w:val="000000"/>
                <w:szCs w:val="20"/>
              </w:rPr>
              <w:t>-</w:t>
            </w:r>
          </w:p>
        </w:tc>
        <w:tc>
          <w:tcPr>
            <w:tcW w:w="1553" w:type="dxa"/>
            <w:tcBorders>
              <w:top w:val="nil"/>
              <w:left w:val="nil"/>
              <w:bottom w:val="nil"/>
              <w:right w:val="nil"/>
            </w:tcBorders>
            <w:shd w:val="clear" w:color="auto" w:fill="auto"/>
            <w:vAlign w:val="center"/>
            <w:hideMark/>
          </w:tcPr>
          <w:p w14:paraId="3F70853C" w14:textId="77777777" w:rsidR="00862A01" w:rsidRPr="00872D7E" w:rsidRDefault="00862A01" w:rsidP="00862A01">
            <w:pPr>
              <w:jc w:val="right"/>
              <w:rPr>
                <w:color w:val="000000"/>
                <w:szCs w:val="20"/>
              </w:rPr>
            </w:pPr>
            <w:r w:rsidRPr="00872D7E">
              <w:rPr>
                <w:color w:val="000000"/>
                <w:szCs w:val="20"/>
              </w:rPr>
              <w:t>-</w:t>
            </w:r>
          </w:p>
        </w:tc>
      </w:tr>
      <w:tr w:rsidR="00862A01" w:rsidRPr="00872D7E" w14:paraId="4B115D03" w14:textId="77777777" w:rsidTr="00862A01">
        <w:trPr>
          <w:divId w:val="1717466561"/>
          <w:trHeight w:val="227"/>
        </w:trPr>
        <w:tc>
          <w:tcPr>
            <w:tcW w:w="3262" w:type="dxa"/>
            <w:tcBorders>
              <w:top w:val="nil"/>
              <w:left w:val="nil"/>
              <w:bottom w:val="single" w:sz="4" w:space="0" w:color="auto"/>
              <w:right w:val="nil"/>
            </w:tcBorders>
            <w:shd w:val="clear" w:color="auto" w:fill="auto"/>
            <w:noWrap/>
            <w:vAlign w:val="bottom"/>
            <w:hideMark/>
          </w:tcPr>
          <w:p w14:paraId="4B2356EC" w14:textId="77777777" w:rsidR="00862A01" w:rsidRPr="00872D7E" w:rsidRDefault="00862A01" w:rsidP="00862A01">
            <w:pPr>
              <w:rPr>
                <w:color w:val="000000"/>
                <w:szCs w:val="20"/>
              </w:rPr>
            </w:pPr>
            <w:r w:rsidRPr="00872D7E">
              <w:rPr>
                <w:color w:val="000000"/>
                <w:szCs w:val="20"/>
              </w:rPr>
              <w:t>Yurt dışı Banka, Kuruluş ve Fonlardan</w:t>
            </w:r>
          </w:p>
        </w:tc>
        <w:tc>
          <w:tcPr>
            <w:tcW w:w="1395" w:type="dxa"/>
            <w:tcBorders>
              <w:top w:val="nil"/>
              <w:left w:val="nil"/>
              <w:bottom w:val="single" w:sz="4" w:space="0" w:color="auto"/>
              <w:right w:val="nil"/>
            </w:tcBorders>
            <w:shd w:val="clear" w:color="auto" w:fill="auto"/>
            <w:vAlign w:val="center"/>
            <w:hideMark/>
          </w:tcPr>
          <w:p w14:paraId="25CA816A" w14:textId="77777777" w:rsidR="00862A01" w:rsidRPr="00872D7E" w:rsidRDefault="00862A01" w:rsidP="00862A01">
            <w:pPr>
              <w:jc w:val="right"/>
              <w:rPr>
                <w:color w:val="000000"/>
                <w:szCs w:val="20"/>
              </w:rPr>
            </w:pPr>
            <w:r w:rsidRPr="00872D7E">
              <w:rPr>
                <w:color w:val="000000"/>
                <w:szCs w:val="20"/>
              </w:rPr>
              <w:t>-</w:t>
            </w:r>
          </w:p>
        </w:tc>
        <w:tc>
          <w:tcPr>
            <w:tcW w:w="1701" w:type="dxa"/>
            <w:tcBorders>
              <w:top w:val="nil"/>
              <w:left w:val="nil"/>
              <w:bottom w:val="single" w:sz="4" w:space="0" w:color="auto"/>
              <w:right w:val="nil"/>
            </w:tcBorders>
            <w:shd w:val="clear" w:color="auto" w:fill="auto"/>
            <w:vAlign w:val="center"/>
            <w:hideMark/>
          </w:tcPr>
          <w:p w14:paraId="64D385A4" w14:textId="77777777" w:rsidR="00862A01" w:rsidRPr="00872D7E" w:rsidRDefault="00862A01" w:rsidP="00862A01">
            <w:pPr>
              <w:jc w:val="right"/>
              <w:rPr>
                <w:color w:val="000000"/>
                <w:szCs w:val="20"/>
              </w:rPr>
            </w:pPr>
            <w:r w:rsidRPr="00872D7E">
              <w:rPr>
                <w:color w:val="000000"/>
                <w:szCs w:val="20"/>
              </w:rPr>
              <w:t>-</w:t>
            </w:r>
          </w:p>
        </w:tc>
        <w:tc>
          <w:tcPr>
            <w:tcW w:w="1543" w:type="dxa"/>
            <w:tcBorders>
              <w:top w:val="nil"/>
              <w:left w:val="nil"/>
              <w:bottom w:val="single" w:sz="4" w:space="0" w:color="auto"/>
              <w:right w:val="nil"/>
            </w:tcBorders>
            <w:shd w:val="clear" w:color="auto" w:fill="auto"/>
            <w:vAlign w:val="center"/>
            <w:hideMark/>
          </w:tcPr>
          <w:p w14:paraId="21BABF05" w14:textId="77777777" w:rsidR="00862A01" w:rsidRPr="00872D7E" w:rsidRDefault="00862A01" w:rsidP="00862A01">
            <w:pPr>
              <w:jc w:val="right"/>
              <w:rPr>
                <w:color w:val="000000"/>
                <w:szCs w:val="20"/>
              </w:rPr>
            </w:pPr>
            <w:r w:rsidRPr="00872D7E">
              <w:rPr>
                <w:color w:val="000000"/>
                <w:szCs w:val="20"/>
              </w:rPr>
              <w:t>-</w:t>
            </w:r>
          </w:p>
        </w:tc>
        <w:tc>
          <w:tcPr>
            <w:tcW w:w="1553" w:type="dxa"/>
            <w:tcBorders>
              <w:top w:val="nil"/>
              <w:left w:val="nil"/>
              <w:bottom w:val="single" w:sz="4" w:space="0" w:color="auto"/>
              <w:right w:val="nil"/>
            </w:tcBorders>
            <w:shd w:val="clear" w:color="auto" w:fill="auto"/>
            <w:vAlign w:val="center"/>
            <w:hideMark/>
          </w:tcPr>
          <w:p w14:paraId="143EDF83" w14:textId="77777777" w:rsidR="00862A01" w:rsidRPr="00872D7E" w:rsidRDefault="00862A01" w:rsidP="00862A01">
            <w:pPr>
              <w:jc w:val="right"/>
              <w:rPr>
                <w:color w:val="000000"/>
                <w:szCs w:val="20"/>
              </w:rPr>
            </w:pPr>
            <w:r w:rsidRPr="00872D7E">
              <w:rPr>
                <w:color w:val="000000"/>
                <w:szCs w:val="20"/>
              </w:rPr>
              <w:t>-</w:t>
            </w:r>
          </w:p>
        </w:tc>
      </w:tr>
      <w:tr w:rsidR="00862A01" w:rsidRPr="00872D7E" w14:paraId="238D4C4E" w14:textId="77777777" w:rsidTr="00862A01">
        <w:trPr>
          <w:divId w:val="1717466561"/>
          <w:trHeight w:val="227"/>
        </w:trPr>
        <w:tc>
          <w:tcPr>
            <w:tcW w:w="3262" w:type="dxa"/>
            <w:tcBorders>
              <w:top w:val="nil"/>
              <w:left w:val="nil"/>
              <w:right w:val="nil"/>
            </w:tcBorders>
            <w:shd w:val="clear" w:color="auto" w:fill="auto"/>
            <w:noWrap/>
            <w:vAlign w:val="bottom"/>
            <w:hideMark/>
          </w:tcPr>
          <w:p w14:paraId="742A0D4F" w14:textId="77777777" w:rsidR="00862A01" w:rsidRPr="00872D7E" w:rsidRDefault="00862A01" w:rsidP="00862A01">
            <w:pPr>
              <w:jc w:val="right"/>
              <w:rPr>
                <w:color w:val="000000"/>
                <w:szCs w:val="20"/>
              </w:rPr>
            </w:pPr>
          </w:p>
        </w:tc>
        <w:tc>
          <w:tcPr>
            <w:tcW w:w="1395" w:type="dxa"/>
            <w:tcBorders>
              <w:top w:val="nil"/>
              <w:left w:val="nil"/>
              <w:right w:val="nil"/>
            </w:tcBorders>
            <w:shd w:val="clear" w:color="auto" w:fill="auto"/>
            <w:vAlign w:val="center"/>
            <w:hideMark/>
          </w:tcPr>
          <w:p w14:paraId="0C4D8C02" w14:textId="77777777" w:rsidR="00862A01" w:rsidRPr="00872D7E" w:rsidRDefault="00862A01" w:rsidP="00862A01">
            <w:pPr>
              <w:jc w:val="right"/>
              <w:rPr>
                <w:szCs w:val="20"/>
              </w:rPr>
            </w:pPr>
          </w:p>
        </w:tc>
        <w:tc>
          <w:tcPr>
            <w:tcW w:w="1701" w:type="dxa"/>
            <w:tcBorders>
              <w:top w:val="nil"/>
              <w:left w:val="nil"/>
              <w:right w:val="nil"/>
            </w:tcBorders>
            <w:shd w:val="clear" w:color="auto" w:fill="auto"/>
            <w:noWrap/>
            <w:vAlign w:val="center"/>
            <w:hideMark/>
          </w:tcPr>
          <w:p w14:paraId="1600E964" w14:textId="77777777" w:rsidR="00862A01" w:rsidRPr="00872D7E" w:rsidRDefault="00862A01" w:rsidP="00862A01">
            <w:pPr>
              <w:jc w:val="right"/>
              <w:rPr>
                <w:szCs w:val="20"/>
              </w:rPr>
            </w:pPr>
          </w:p>
        </w:tc>
        <w:tc>
          <w:tcPr>
            <w:tcW w:w="1543" w:type="dxa"/>
            <w:tcBorders>
              <w:top w:val="nil"/>
              <w:left w:val="nil"/>
              <w:right w:val="nil"/>
            </w:tcBorders>
            <w:shd w:val="clear" w:color="auto" w:fill="auto"/>
            <w:vAlign w:val="center"/>
            <w:hideMark/>
          </w:tcPr>
          <w:p w14:paraId="3C0671CD" w14:textId="77777777" w:rsidR="00862A01" w:rsidRPr="00872D7E" w:rsidRDefault="00862A01" w:rsidP="00862A01">
            <w:pPr>
              <w:jc w:val="right"/>
              <w:rPr>
                <w:szCs w:val="20"/>
              </w:rPr>
            </w:pPr>
          </w:p>
        </w:tc>
        <w:tc>
          <w:tcPr>
            <w:tcW w:w="1553" w:type="dxa"/>
            <w:tcBorders>
              <w:top w:val="nil"/>
              <w:left w:val="nil"/>
              <w:right w:val="nil"/>
            </w:tcBorders>
            <w:shd w:val="clear" w:color="auto" w:fill="auto"/>
            <w:noWrap/>
            <w:vAlign w:val="center"/>
            <w:hideMark/>
          </w:tcPr>
          <w:p w14:paraId="5E48A275" w14:textId="77777777" w:rsidR="00862A01" w:rsidRPr="00872D7E" w:rsidRDefault="00862A01" w:rsidP="00862A01">
            <w:pPr>
              <w:jc w:val="right"/>
              <w:rPr>
                <w:szCs w:val="20"/>
              </w:rPr>
            </w:pPr>
          </w:p>
        </w:tc>
      </w:tr>
      <w:tr w:rsidR="00862A01" w:rsidRPr="00872D7E" w14:paraId="4E3FADF6" w14:textId="77777777" w:rsidTr="00862A01">
        <w:trPr>
          <w:divId w:val="1717466561"/>
          <w:trHeight w:val="227"/>
        </w:trPr>
        <w:tc>
          <w:tcPr>
            <w:tcW w:w="3262" w:type="dxa"/>
            <w:tcBorders>
              <w:top w:val="nil"/>
              <w:left w:val="nil"/>
              <w:bottom w:val="single" w:sz="12" w:space="0" w:color="auto"/>
              <w:right w:val="nil"/>
            </w:tcBorders>
            <w:shd w:val="clear" w:color="auto" w:fill="auto"/>
            <w:noWrap/>
            <w:vAlign w:val="bottom"/>
            <w:hideMark/>
          </w:tcPr>
          <w:p w14:paraId="7EB51217" w14:textId="77777777" w:rsidR="00862A01" w:rsidRPr="00872D7E" w:rsidRDefault="00862A01" w:rsidP="00862A01">
            <w:pPr>
              <w:rPr>
                <w:b/>
                <w:bCs/>
                <w:color w:val="000000"/>
                <w:szCs w:val="20"/>
              </w:rPr>
            </w:pPr>
            <w:r w:rsidRPr="00872D7E">
              <w:rPr>
                <w:b/>
                <w:bCs/>
                <w:color w:val="000000"/>
                <w:szCs w:val="20"/>
              </w:rPr>
              <w:t>Toplam</w:t>
            </w:r>
          </w:p>
        </w:tc>
        <w:tc>
          <w:tcPr>
            <w:tcW w:w="1395" w:type="dxa"/>
            <w:tcBorders>
              <w:top w:val="nil"/>
              <w:left w:val="nil"/>
              <w:bottom w:val="single" w:sz="12" w:space="0" w:color="auto"/>
              <w:right w:val="nil"/>
            </w:tcBorders>
            <w:shd w:val="clear" w:color="auto" w:fill="auto"/>
            <w:vAlign w:val="center"/>
            <w:hideMark/>
          </w:tcPr>
          <w:p w14:paraId="038400AF" w14:textId="77777777" w:rsidR="00862A01" w:rsidRPr="00872D7E" w:rsidRDefault="00862A01" w:rsidP="00862A01">
            <w:pPr>
              <w:jc w:val="right"/>
              <w:rPr>
                <w:b/>
                <w:bCs/>
                <w:color w:val="000000"/>
                <w:szCs w:val="20"/>
              </w:rPr>
            </w:pPr>
            <w:r w:rsidRPr="00872D7E">
              <w:rPr>
                <w:b/>
                <w:bCs/>
                <w:color w:val="000000"/>
                <w:szCs w:val="20"/>
              </w:rPr>
              <w:t>85.110</w:t>
            </w:r>
          </w:p>
        </w:tc>
        <w:tc>
          <w:tcPr>
            <w:tcW w:w="1701" w:type="dxa"/>
            <w:tcBorders>
              <w:top w:val="nil"/>
              <w:left w:val="nil"/>
              <w:bottom w:val="single" w:sz="12" w:space="0" w:color="auto"/>
              <w:right w:val="nil"/>
            </w:tcBorders>
            <w:shd w:val="clear" w:color="auto" w:fill="auto"/>
            <w:vAlign w:val="center"/>
            <w:hideMark/>
          </w:tcPr>
          <w:p w14:paraId="7A1AE4A8" w14:textId="77777777" w:rsidR="00862A01" w:rsidRPr="00872D7E" w:rsidRDefault="00862A01" w:rsidP="00862A01">
            <w:pPr>
              <w:jc w:val="right"/>
              <w:rPr>
                <w:b/>
                <w:bCs/>
                <w:color w:val="000000"/>
                <w:szCs w:val="20"/>
              </w:rPr>
            </w:pPr>
            <w:r w:rsidRPr="00872D7E">
              <w:rPr>
                <w:b/>
                <w:bCs/>
                <w:color w:val="000000"/>
                <w:szCs w:val="20"/>
              </w:rPr>
              <w:t>1.837.130</w:t>
            </w:r>
          </w:p>
        </w:tc>
        <w:tc>
          <w:tcPr>
            <w:tcW w:w="1543" w:type="dxa"/>
            <w:tcBorders>
              <w:top w:val="nil"/>
              <w:left w:val="nil"/>
              <w:bottom w:val="single" w:sz="12" w:space="0" w:color="auto"/>
              <w:right w:val="nil"/>
            </w:tcBorders>
            <w:shd w:val="clear" w:color="auto" w:fill="auto"/>
            <w:vAlign w:val="center"/>
            <w:hideMark/>
          </w:tcPr>
          <w:p w14:paraId="74C2EBE0" w14:textId="77777777" w:rsidR="00862A01" w:rsidRPr="00872D7E" w:rsidRDefault="00862A01" w:rsidP="00862A01">
            <w:pPr>
              <w:jc w:val="right"/>
              <w:rPr>
                <w:b/>
                <w:bCs/>
                <w:color w:val="000000"/>
                <w:szCs w:val="20"/>
              </w:rPr>
            </w:pPr>
            <w:r w:rsidRPr="00872D7E">
              <w:rPr>
                <w:b/>
                <w:bCs/>
                <w:color w:val="000000"/>
                <w:szCs w:val="20"/>
              </w:rPr>
              <w:t>-</w:t>
            </w:r>
          </w:p>
        </w:tc>
        <w:tc>
          <w:tcPr>
            <w:tcW w:w="1553" w:type="dxa"/>
            <w:tcBorders>
              <w:top w:val="nil"/>
              <w:left w:val="nil"/>
              <w:bottom w:val="single" w:sz="12" w:space="0" w:color="auto"/>
              <w:right w:val="nil"/>
            </w:tcBorders>
            <w:shd w:val="clear" w:color="auto" w:fill="auto"/>
            <w:vAlign w:val="center"/>
            <w:hideMark/>
          </w:tcPr>
          <w:p w14:paraId="74DFF179" w14:textId="77777777" w:rsidR="00862A01" w:rsidRPr="00872D7E" w:rsidRDefault="00862A01" w:rsidP="00862A01">
            <w:pPr>
              <w:jc w:val="right"/>
              <w:rPr>
                <w:b/>
                <w:bCs/>
                <w:color w:val="000000"/>
                <w:szCs w:val="20"/>
              </w:rPr>
            </w:pPr>
            <w:r w:rsidRPr="00872D7E">
              <w:rPr>
                <w:b/>
                <w:bCs/>
                <w:color w:val="000000"/>
                <w:szCs w:val="20"/>
              </w:rPr>
              <w:t>-</w:t>
            </w:r>
          </w:p>
        </w:tc>
      </w:tr>
    </w:tbl>
    <w:p w14:paraId="7ECB7BAE" w14:textId="1239632D" w:rsidR="00CF39AE" w:rsidRPr="00872D7E" w:rsidRDefault="00CF39AE" w:rsidP="005B3DE3">
      <w:pPr>
        <w:pStyle w:val="BodyTextIndent"/>
        <w:widowControl w:val="0"/>
        <w:ind w:left="1702" w:right="-110" w:hanging="851"/>
        <w:rPr>
          <w:bCs/>
          <w:szCs w:val="20"/>
        </w:rPr>
      </w:pPr>
    </w:p>
    <w:p w14:paraId="31B3B073" w14:textId="41CE8369" w:rsidR="00CF39AE" w:rsidRPr="00872D7E" w:rsidRDefault="00CF39AE" w:rsidP="00DF282B">
      <w:pPr>
        <w:pStyle w:val="BodyTextIndent"/>
        <w:widowControl w:val="0"/>
        <w:numPr>
          <w:ilvl w:val="1"/>
          <w:numId w:val="67"/>
        </w:numPr>
        <w:ind w:left="1218" w:right="-110"/>
        <w:rPr>
          <w:b/>
          <w:szCs w:val="20"/>
        </w:rPr>
      </w:pPr>
      <w:r w:rsidRPr="00872D7E">
        <w:rPr>
          <w:b/>
          <w:szCs w:val="20"/>
        </w:rPr>
        <w:t>Alınan kredilerin vade ayrımına göre gösterilmesi:</w:t>
      </w:r>
    </w:p>
    <w:p w14:paraId="4D9ADEAA" w14:textId="40157514" w:rsidR="00862A01" w:rsidRPr="00872D7E" w:rsidRDefault="00862A01" w:rsidP="005B3DE3">
      <w:pPr>
        <w:pStyle w:val="BodyTextIndent"/>
        <w:widowControl w:val="0"/>
        <w:ind w:left="1702" w:right="-110" w:hanging="851"/>
        <w:rPr>
          <w:szCs w:val="20"/>
        </w:rPr>
      </w:pPr>
    </w:p>
    <w:tbl>
      <w:tblPr>
        <w:tblW w:w="9453" w:type="dxa"/>
        <w:tblCellMar>
          <w:left w:w="70" w:type="dxa"/>
          <w:right w:w="70" w:type="dxa"/>
        </w:tblCellMar>
        <w:tblLook w:val="04A0" w:firstRow="1" w:lastRow="0" w:firstColumn="1" w:lastColumn="0" w:noHBand="0" w:noVBand="1"/>
      </w:tblPr>
      <w:tblGrid>
        <w:gridCol w:w="3261"/>
        <w:gridCol w:w="1395"/>
        <w:gridCol w:w="1701"/>
        <w:gridCol w:w="1543"/>
        <w:gridCol w:w="1553"/>
      </w:tblGrid>
      <w:tr w:rsidR="00862A01" w:rsidRPr="00872D7E" w14:paraId="13DCFD17" w14:textId="77777777" w:rsidTr="00862A01">
        <w:trPr>
          <w:divId w:val="1013340428"/>
          <w:trHeight w:val="227"/>
        </w:trPr>
        <w:tc>
          <w:tcPr>
            <w:tcW w:w="3261" w:type="dxa"/>
            <w:tcBorders>
              <w:top w:val="nil"/>
              <w:left w:val="nil"/>
              <w:bottom w:val="nil"/>
              <w:right w:val="nil"/>
            </w:tcBorders>
            <w:shd w:val="clear" w:color="auto" w:fill="auto"/>
            <w:noWrap/>
            <w:vAlign w:val="bottom"/>
            <w:hideMark/>
          </w:tcPr>
          <w:p w14:paraId="5515788D" w14:textId="4F8C1F55" w:rsidR="00862A01" w:rsidRPr="00872D7E" w:rsidRDefault="00862A01" w:rsidP="00862A01">
            <w:pPr>
              <w:rPr>
                <w:color w:val="000000"/>
                <w:szCs w:val="20"/>
              </w:rPr>
            </w:pPr>
            <w:r w:rsidRPr="00872D7E">
              <w:rPr>
                <w:color w:val="000000"/>
                <w:szCs w:val="20"/>
              </w:rPr>
              <w:t xml:space="preserve">   </w:t>
            </w:r>
          </w:p>
        </w:tc>
        <w:tc>
          <w:tcPr>
            <w:tcW w:w="3096" w:type="dxa"/>
            <w:gridSpan w:val="2"/>
            <w:tcBorders>
              <w:top w:val="nil"/>
              <w:left w:val="nil"/>
              <w:bottom w:val="single" w:sz="4" w:space="0" w:color="auto"/>
              <w:right w:val="nil"/>
            </w:tcBorders>
            <w:shd w:val="clear" w:color="auto" w:fill="auto"/>
            <w:noWrap/>
            <w:vAlign w:val="bottom"/>
            <w:hideMark/>
          </w:tcPr>
          <w:p w14:paraId="33BEA9EA" w14:textId="77777777" w:rsidR="00862A01" w:rsidRPr="00872D7E" w:rsidRDefault="00862A01" w:rsidP="00862A01">
            <w:pPr>
              <w:jc w:val="center"/>
              <w:rPr>
                <w:b/>
                <w:bCs/>
                <w:color w:val="000000"/>
                <w:szCs w:val="20"/>
              </w:rPr>
            </w:pPr>
            <w:r w:rsidRPr="00872D7E">
              <w:rPr>
                <w:b/>
                <w:bCs/>
                <w:color w:val="000000"/>
                <w:szCs w:val="20"/>
              </w:rPr>
              <w:t>31 Aralık 2024</w:t>
            </w:r>
          </w:p>
        </w:tc>
        <w:tc>
          <w:tcPr>
            <w:tcW w:w="3096" w:type="dxa"/>
            <w:gridSpan w:val="2"/>
            <w:tcBorders>
              <w:top w:val="nil"/>
              <w:left w:val="nil"/>
              <w:bottom w:val="single" w:sz="4" w:space="0" w:color="auto"/>
              <w:right w:val="nil"/>
            </w:tcBorders>
            <w:shd w:val="clear" w:color="auto" w:fill="auto"/>
            <w:noWrap/>
            <w:vAlign w:val="bottom"/>
            <w:hideMark/>
          </w:tcPr>
          <w:p w14:paraId="3489570A" w14:textId="77777777" w:rsidR="00862A01" w:rsidRPr="00872D7E" w:rsidRDefault="00862A01" w:rsidP="00862A01">
            <w:pPr>
              <w:jc w:val="center"/>
              <w:rPr>
                <w:b/>
                <w:bCs/>
                <w:color w:val="000000"/>
                <w:szCs w:val="20"/>
              </w:rPr>
            </w:pPr>
            <w:r w:rsidRPr="00872D7E">
              <w:rPr>
                <w:b/>
                <w:bCs/>
                <w:color w:val="000000"/>
                <w:szCs w:val="20"/>
              </w:rPr>
              <w:t>1 Ocak 2024</w:t>
            </w:r>
          </w:p>
        </w:tc>
      </w:tr>
      <w:tr w:rsidR="00862A01" w:rsidRPr="00872D7E" w14:paraId="5C3E4991" w14:textId="77777777" w:rsidTr="00862A01">
        <w:trPr>
          <w:divId w:val="1013340428"/>
          <w:trHeight w:val="227"/>
        </w:trPr>
        <w:tc>
          <w:tcPr>
            <w:tcW w:w="3261" w:type="dxa"/>
            <w:tcBorders>
              <w:top w:val="nil"/>
              <w:left w:val="nil"/>
              <w:bottom w:val="nil"/>
              <w:right w:val="nil"/>
            </w:tcBorders>
            <w:shd w:val="clear" w:color="auto" w:fill="auto"/>
            <w:noWrap/>
            <w:vAlign w:val="bottom"/>
            <w:hideMark/>
          </w:tcPr>
          <w:p w14:paraId="1FE628C2" w14:textId="77777777" w:rsidR="00862A01" w:rsidRPr="00872D7E" w:rsidRDefault="00862A01" w:rsidP="00862A01">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5BB6664D" w14:textId="77777777" w:rsidR="00862A01" w:rsidRPr="00872D7E" w:rsidRDefault="00862A01" w:rsidP="00862A01">
            <w:pPr>
              <w:jc w:val="center"/>
              <w:rPr>
                <w:b/>
                <w:bCs/>
                <w:color w:val="000000"/>
                <w:szCs w:val="20"/>
              </w:rPr>
            </w:pPr>
            <w:r w:rsidRPr="00872D7E">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7F7F9147" w14:textId="77777777" w:rsidR="00862A01" w:rsidRPr="00872D7E" w:rsidRDefault="00862A01" w:rsidP="00862A01">
            <w:pPr>
              <w:jc w:val="center"/>
              <w:rPr>
                <w:b/>
                <w:bCs/>
                <w:color w:val="000000"/>
                <w:szCs w:val="20"/>
              </w:rPr>
            </w:pPr>
            <w:r w:rsidRPr="00872D7E">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5BF553EB" w14:textId="77777777" w:rsidR="00862A01" w:rsidRPr="00872D7E" w:rsidRDefault="00862A01" w:rsidP="00862A01">
            <w:pPr>
              <w:jc w:val="center"/>
              <w:rPr>
                <w:b/>
                <w:bCs/>
                <w:color w:val="000000"/>
                <w:szCs w:val="20"/>
              </w:rPr>
            </w:pPr>
            <w:r w:rsidRPr="00872D7E">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6DA1336A" w14:textId="77777777" w:rsidR="00862A01" w:rsidRPr="00872D7E" w:rsidRDefault="00862A01" w:rsidP="00862A01">
            <w:pPr>
              <w:jc w:val="center"/>
              <w:rPr>
                <w:b/>
                <w:bCs/>
                <w:color w:val="000000"/>
                <w:szCs w:val="20"/>
              </w:rPr>
            </w:pPr>
            <w:r w:rsidRPr="00872D7E">
              <w:rPr>
                <w:b/>
                <w:bCs/>
                <w:color w:val="000000"/>
                <w:szCs w:val="20"/>
              </w:rPr>
              <w:t>YP</w:t>
            </w:r>
          </w:p>
        </w:tc>
      </w:tr>
      <w:tr w:rsidR="00862A01" w:rsidRPr="00872D7E" w14:paraId="14AA2877" w14:textId="77777777" w:rsidTr="00862A01">
        <w:trPr>
          <w:divId w:val="1013340428"/>
          <w:trHeight w:val="227"/>
        </w:trPr>
        <w:tc>
          <w:tcPr>
            <w:tcW w:w="3261" w:type="dxa"/>
            <w:tcBorders>
              <w:top w:val="nil"/>
              <w:left w:val="nil"/>
              <w:bottom w:val="nil"/>
              <w:right w:val="nil"/>
            </w:tcBorders>
            <w:shd w:val="clear" w:color="auto" w:fill="auto"/>
            <w:hideMark/>
          </w:tcPr>
          <w:p w14:paraId="5C99146B" w14:textId="77777777" w:rsidR="00862A01" w:rsidRPr="00872D7E" w:rsidRDefault="00862A01" w:rsidP="00862A01">
            <w:pPr>
              <w:jc w:val="center"/>
              <w:rPr>
                <w:b/>
                <w:bCs/>
                <w:color w:val="000000"/>
                <w:szCs w:val="20"/>
              </w:rPr>
            </w:pPr>
          </w:p>
        </w:tc>
        <w:tc>
          <w:tcPr>
            <w:tcW w:w="1395" w:type="dxa"/>
            <w:tcBorders>
              <w:top w:val="nil"/>
              <w:left w:val="nil"/>
              <w:bottom w:val="nil"/>
              <w:right w:val="nil"/>
            </w:tcBorders>
            <w:shd w:val="clear" w:color="auto" w:fill="auto"/>
            <w:vAlign w:val="bottom"/>
            <w:hideMark/>
          </w:tcPr>
          <w:p w14:paraId="77B1376B" w14:textId="77777777" w:rsidR="00862A01" w:rsidRPr="00872D7E" w:rsidRDefault="00862A01" w:rsidP="00862A01">
            <w:pPr>
              <w:rPr>
                <w:szCs w:val="20"/>
              </w:rPr>
            </w:pPr>
          </w:p>
        </w:tc>
        <w:tc>
          <w:tcPr>
            <w:tcW w:w="1701" w:type="dxa"/>
            <w:tcBorders>
              <w:top w:val="nil"/>
              <w:left w:val="nil"/>
              <w:bottom w:val="nil"/>
              <w:right w:val="nil"/>
            </w:tcBorders>
            <w:shd w:val="clear" w:color="auto" w:fill="auto"/>
            <w:vAlign w:val="bottom"/>
            <w:hideMark/>
          </w:tcPr>
          <w:p w14:paraId="64A7E8F3" w14:textId="77777777" w:rsidR="00862A01" w:rsidRPr="00872D7E" w:rsidRDefault="00862A01" w:rsidP="00862A01">
            <w:pPr>
              <w:jc w:val="center"/>
              <w:rPr>
                <w:szCs w:val="20"/>
              </w:rPr>
            </w:pPr>
          </w:p>
        </w:tc>
        <w:tc>
          <w:tcPr>
            <w:tcW w:w="1543" w:type="dxa"/>
            <w:tcBorders>
              <w:top w:val="nil"/>
              <w:left w:val="nil"/>
              <w:bottom w:val="nil"/>
              <w:right w:val="nil"/>
            </w:tcBorders>
            <w:shd w:val="clear" w:color="auto" w:fill="auto"/>
            <w:vAlign w:val="bottom"/>
            <w:hideMark/>
          </w:tcPr>
          <w:p w14:paraId="18A08D78" w14:textId="77777777" w:rsidR="00862A01" w:rsidRPr="00872D7E" w:rsidRDefault="00862A01" w:rsidP="00862A01">
            <w:pPr>
              <w:jc w:val="center"/>
              <w:rPr>
                <w:szCs w:val="20"/>
              </w:rPr>
            </w:pPr>
          </w:p>
        </w:tc>
        <w:tc>
          <w:tcPr>
            <w:tcW w:w="1553" w:type="dxa"/>
            <w:tcBorders>
              <w:top w:val="nil"/>
              <w:left w:val="nil"/>
              <w:bottom w:val="nil"/>
              <w:right w:val="nil"/>
            </w:tcBorders>
            <w:shd w:val="clear" w:color="auto" w:fill="auto"/>
            <w:vAlign w:val="bottom"/>
            <w:hideMark/>
          </w:tcPr>
          <w:p w14:paraId="625FEA3E" w14:textId="77777777" w:rsidR="00862A01" w:rsidRPr="00872D7E" w:rsidRDefault="00862A01" w:rsidP="00862A01">
            <w:pPr>
              <w:jc w:val="center"/>
              <w:rPr>
                <w:szCs w:val="20"/>
              </w:rPr>
            </w:pPr>
          </w:p>
        </w:tc>
      </w:tr>
      <w:tr w:rsidR="00862A01" w:rsidRPr="00872D7E" w14:paraId="703272A7" w14:textId="77777777" w:rsidTr="00862A01">
        <w:trPr>
          <w:divId w:val="1013340428"/>
          <w:trHeight w:val="227"/>
        </w:trPr>
        <w:tc>
          <w:tcPr>
            <w:tcW w:w="3261" w:type="dxa"/>
            <w:tcBorders>
              <w:top w:val="nil"/>
              <w:left w:val="nil"/>
              <w:bottom w:val="nil"/>
              <w:right w:val="nil"/>
            </w:tcBorders>
            <w:shd w:val="clear" w:color="auto" w:fill="auto"/>
            <w:vAlign w:val="bottom"/>
            <w:hideMark/>
          </w:tcPr>
          <w:p w14:paraId="5EDF0BD6" w14:textId="77777777" w:rsidR="00862A01" w:rsidRPr="00872D7E" w:rsidRDefault="00862A01" w:rsidP="00862A01">
            <w:pPr>
              <w:rPr>
                <w:color w:val="000000"/>
                <w:szCs w:val="20"/>
              </w:rPr>
            </w:pPr>
            <w:r w:rsidRPr="00872D7E">
              <w:rPr>
                <w:color w:val="000000"/>
                <w:szCs w:val="20"/>
              </w:rPr>
              <w:t>Kısa Vadeli</w:t>
            </w:r>
          </w:p>
        </w:tc>
        <w:tc>
          <w:tcPr>
            <w:tcW w:w="1395" w:type="dxa"/>
            <w:tcBorders>
              <w:top w:val="nil"/>
              <w:left w:val="nil"/>
              <w:bottom w:val="nil"/>
              <w:right w:val="nil"/>
            </w:tcBorders>
            <w:shd w:val="clear" w:color="auto" w:fill="auto"/>
            <w:vAlign w:val="center"/>
            <w:hideMark/>
          </w:tcPr>
          <w:p w14:paraId="2DD5E9D5" w14:textId="77777777" w:rsidR="00862A01" w:rsidRPr="00872D7E" w:rsidRDefault="00862A01" w:rsidP="00862A01">
            <w:pPr>
              <w:jc w:val="right"/>
              <w:rPr>
                <w:color w:val="000000"/>
                <w:szCs w:val="20"/>
              </w:rPr>
            </w:pPr>
            <w:r w:rsidRPr="00872D7E">
              <w:rPr>
                <w:color w:val="000000"/>
                <w:szCs w:val="20"/>
              </w:rPr>
              <w:t>85.110</w:t>
            </w:r>
          </w:p>
        </w:tc>
        <w:tc>
          <w:tcPr>
            <w:tcW w:w="1701" w:type="dxa"/>
            <w:tcBorders>
              <w:top w:val="nil"/>
              <w:left w:val="nil"/>
              <w:bottom w:val="nil"/>
              <w:right w:val="nil"/>
            </w:tcBorders>
            <w:shd w:val="clear" w:color="auto" w:fill="auto"/>
            <w:vAlign w:val="center"/>
            <w:hideMark/>
          </w:tcPr>
          <w:p w14:paraId="02786919" w14:textId="77777777" w:rsidR="00862A01" w:rsidRPr="00872D7E" w:rsidRDefault="00862A01" w:rsidP="00862A01">
            <w:pPr>
              <w:jc w:val="right"/>
              <w:rPr>
                <w:color w:val="000000"/>
                <w:szCs w:val="20"/>
              </w:rPr>
            </w:pPr>
            <w:r w:rsidRPr="00872D7E">
              <w:rPr>
                <w:color w:val="000000"/>
                <w:szCs w:val="20"/>
              </w:rPr>
              <w:t>1.837.130</w:t>
            </w:r>
          </w:p>
        </w:tc>
        <w:tc>
          <w:tcPr>
            <w:tcW w:w="1543" w:type="dxa"/>
            <w:tcBorders>
              <w:top w:val="nil"/>
              <w:left w:val="nil"/>
              <w:bottom w:val="nil"/>
              <w:right w:val="nil"/>
            </w:tcBorders>
            <w:shd w:val="clear" w:color="auto" w:fill="auto"/>
            <w:vAlign w:val="center"/>
            <w:hideMark/>
          </w:tcPr>
          <w:p w14:paraId="606499F4" w14:textId="77777777" w:rsidR="00862A01" w:rsidRPr="00872D7E" w:rsidRDefault="00862A01" w:rsidP="00862A01">
            <w:pPr>
              <w:jc w:val="right"/>
              <w:rPr>
                <w:color w:val="000000"/>
                <w:szCs w:val="20"/>
              </w:rPr>
            </w:pPr>
            <w:r w:rsidRPr="00872D7E">
              <w:rPr>
                <w:color w:val="000000"/>
                <w:szCs w:val="20"/>
              </w:rPr>
              <w:t>-</w:t>
            </w:r>
          </w:p>
        </w:tc>
        <w:tc>
          <w:tcPr>
            <w:tcW w:w="1553" w:type="dxa"/>
            <w:tcBorders>
              <w:top w:val="nil"/>
              <w:left w:val="nil"/>
              <w:bottom w:val="nil"/>
              <w:right w:val="nil"/>
            </w:tcBorders>
            <w:shd w:val="clear" w:color="auto" w:fill="auto"/>
            <w:vAlign w:val="center"/>
            <w:hideMark/>
          </w:tcPr>
          <w:p w14:paraId="0E73167D" w14:textId="77777777" w:rsidR="00862A01" w:rsidRPr="00872D7E" w:rsidRDefault="00862A01" w:rsidP="00862A01">
            <w:pPr>
              <w:jc w:val="right"/>
              <w:rPr>
                <w:color w:val="000000"/>
                <w:szCs w:val="20"/>
              </w:rPr>
            </w:pPr>
            <w:r w:rsidRPr="00872D7E">
              <w:rPr>
                <w:color w:val="000000"/>
                <w:szCs w:val="20"/>
              </w:rPr>
              <w:t>-</w:t>
            </w:r>
          </w:p>
        </w:tc>
      </w:tr>
      <w:tr w:rsidR="00862A01" w:rsidRPr="00872D7E" w14:paraId="77929174" w14:textId="77777777" w:rsidTr="00862A01">
        <w:trPr>
          <w:divId w:val="1013340428"/>
          <w:trHeight w:val="227"/>
        </w:trPr>
        <w:tc>
          <w:tcPr>
            <w:tcW w:w="3261" w:type="dxa"/>
            <w:tcBorders>
              <w:top w:val="nil"/>
              <w:left w:val="nil"/>
              <w:bottom w:val="single" w:sz="4" w:space="0" w:color="auto"/>
              <w:right w:val="nil"/>
            </w:tcBorders>
            <w:shd w:val="clear" w:color="auto" w:fill="auto"/>
            <w:vAlign w:val="bottom"/>
            <w:hideMark/>
          </w:tcPr>
          <w:p w14:paraId="5A65682D" w14:textId="77777777" w:rsidR="00862A01" w:rsidRPr="00872D7E" w:rsidRDefault="00862A01" w:rsidP="00862A01">
            <w:pPr>
              <w:rPr>
                <w:color w:val="000000"/>
                <w:szCs w:val="20"/>
              </w:rPr>
            </w:pPr>
            <w:r w:rsidRPr="00872D7E">
              <w:rPr>
                <w:color w:val="000000"/>
                <w:szCs w:val="20"/>
              </w:rPr>
              <w:t>Orta ve Uzun Vadeli</w:t>
            </w:r>
          </w:p>
        </w:tc>
        <w:tc>
          <w:tcPr>
            <w:tcW w:w="1395" w:type="dxa"/>
            <w:tcBorders>
              <w:top w:val="nil"/>
              <w:left w:val="nil"/>
              <w:bottom w:val="single" w:sz="4" w:space="0" w:color="auto"/>
              <w:right w:val="nil"/>
            </w:tcBorders>
            <w:shd w:val="clear" w:color="auto" w:fill="auto"/>
            <w:vAlign w:val="center"/>
            <w:hideMark/>
          </w:tcPr>
          <w:p w14:paraId="7F5A7BC2" w14:textId="77777777" w:rsidR="00862A01" w:rsidRPr="00872D7E" w:rsidRDefault="00862A01" w:rsidP="00862A01">
            <w:pPr>
              <w:jc w:val="right"/>
              <w:rPr>
                <w:color w:val="000000"/>
                <w:szCs w:val="20"/>
              </w:rPr>
            </w:pPr>
            <w:r w:rsidRPr="00872D7E">
              <w:rPr>
                <w:color w:val="000000"/>
                <w:szCs w:val="20"/>
              </w:rPr>
              <w:t>-</w:t>
            </w:r>
          </w:p>
        </w:tc>
        <w:tc>
          <w:tcPr>
            <w:tcW w:w="1701" w:type="dxa"/>
            <w:tcBorders>
              <w:top w:val="nil"/>
              <w:left w:val="nil"/>
              <w:bottom w:val="single" w:sz="4" w:space="0" w:color="auto"/>
              <w:right w:val="nil"/>
            </w:tcBorders>
            <w:shd w:val="clear" w:color="auto" w:fill="auto"/>
            <w:vAlign w:val="center"/>
            <w:hideMark/>
          </w:tcPr>
          <w:p w14:paraId="4D4AB384" w14:textId="77777777" w:rsidR="00862A01" w:rsidRPr="00872D7E" w:rsidRDefault="00862A01" w:rsidP="00862A01">
            <w:pPr>
              <w:jc w:val="right"/>
              <w:rPr>
                <w:color w:val="000000"/>
                <w:szCs w:val="20"/>
              </w:rPr>
            </w:pPr>
            <w:r w:rsidRPr="00872D7E">
              <w:rPr>
                <w:color w:val="000000"/>
                <w:szCs w:val="20"/>
              </w:rPr>
              <w:t>-</w:t>
            </w:r>
          </w:p>
        </w:tc>
        <w:tc>
          <w:tcPr>
            <w:tcW w:w="1543" w:type="dxa"/>
            <w:tcBorders>
              <w:top w:val="nil"/>
              <w:left w:val="nil"/>
              <w:bottom w:val="single" w:sz="4" w:space="0" w:color="auto"/>
              <w:right w:val="nil"/>
            </w:tcBorders>
            <w:shd w:val="clear" w:color="auto" w:fill="auto"/>
            <w:vAlign w:val="center"/>
            <w:hideMark/>
          </w:tcPr>
          <w:p w14:paraId="45D5BA7A" w14:textId="77777777" w:rsidR="00862A01" w:rsidRPr="00872D7E" w:rsidRDefault="00862A01" w:rsidP="00862A01">
            <w:pPr>
              <w:jc w:val="right"/>
              <w:rPr>
                <w:color w:val="000000"/>
                <w:szCs w:val="20"/>
              </w:rPr>
            </w:pPr>
            <w:r w:rsidRPr="00872D7E">
              <w:rPr>
                <w:color w:val="000000"/>
                <w:szCs w:val="20"/>
              </w:rPr>
              <w:t>-</w:t>
            </w:r>
          </w:p>
        </w:tc>
        <w:tc>
          <w:tcPr>
            <w:tcW w:w="1553" w:type="dxa"/>
            <w:tcBorders>
              <w:top w:val="nil"/>
              <w:left w:val="nil"/>
              <w:bottom w:val="single" w:sz="4" w:space="0" w:color="auto"/>
              <w:right w:val="nil"/>
            </w:tcBorders>
            <w:shd w:val="clear" w:color="auto" w:fill="auto"/>
            <w:vAlign w:val="center"/>
            <w:hideMark/>
          </w:tcPr>
          <w:p w14:paraId="335FA6E6" w14:textId="77777777" w:rsidR="00862A01" w:rsidRPr="00872D7E" w:rsidRDefault="00862A01" w:rsidP="00862A01">
            <w:pPr>
              <w:jc w:val="right"/>
              <w:rPr>
                <w:color w:val="000000"/>
                <w:szCs w:val="20"/>
              </w:rPr>
            </w:pPr>
            <w:r w:rsidRPr="00872D7E">
              <w:rPr>
                <w:color w:val="000000"/>
                <w:szCs w:val="20"/>
              </w:rPr>
              <w:t>-</w:t>
            </w:r>
          </w:p>
        </w:tc>
      </w:tr>
      <w:tr w:rsidR="00862A01" w:rsidRPr="00872D7E" w14:paraId="590EEC40" w14:textId="77777777" w:rsidTr="00862A01">
        <w:trPr>
          <w:divId w:val="1013340428"/>
          <w:trHeight w:val="227"/>
        </w:trPr>
        <w:tc>
          <w:tcPr>
            <w:tcW w:w="3261" w:type="dxa"/>
            <w:tcBorders>
              <w:top w:val="nil"/>
              <w:left w:val="nil"/>
              <w:right w:val="nil"/>
            </w:tcBorders>
            <w:shd w:val="clear" w:color="auto" w:fill="auto"/>
            <w:vAlign w:val="bottom"/>
            <w:hideMark/>
          </w:tcPr>
          <w:p w14:paraId="4CE30F6B" w14:textId="77777777" w:rsidR="00862A01" w:rsidRPr="00872D7E" w:rsidRDefault="00862A01" w:rsidP="00862A01">
            <w:pPr>
              <w:jc w:val="right"/>
              <w:rPr>
                <w:color w:val="000000"/>
                <w:szCs w:val="20"/>
              </w:rPr>
            </w:pPr>
          </w:p>
        </w:tc>
        <w:tc>
          <w:tcPr>
            <w:tcW w:w="1395" w:type="dxa"/>
            <w:tcBorders>
              <w:top w:val="nil"/>
              <w:left w:val="nil"/>
              <w:right w:val="nil"/>
            </w:tcBorders>
            <w:shd w:val="clear" w:color="auto" w:fill="auto"/>
            <w:noWrap/>
            <w:vAlign w:val="bottom"/>
            <w:hideMark/>
          </w:tcPr>
          <w:p w14:paraId="3DD35483" w14:textId="77777777" w:rsidR="00862A01" w:rsidRPr="00872D7E" w:rsidRDefault="00862A01" w:rsidP="00862A01">
            <w:pPr>
              <w:jc w:val="right"/>
              <w:rPr>
                <w:szCs w:val="20"/>
              </w:rPr>
            </w:pPr>
          </w:p>
        </w:tc>
        <w:tc>
          <w:tcPr>
            <w:tcW w:w="1701" w:type="dxa"/>
            <w:tcBorders>
              <w:top w:val="nil"/>
              <w:left w:val="nil"/>
              <w:right w:val="nil"/>
            </w:tcBorders>
            <w:shd w:val="clear" w:color="auto" w:fill="auto"/>
            <w:noWrap/>
            <w:vAlign w:val="bottom"/>
            <w:hideMark/>
          </w:tcPr>
          <w:p w14:paraId="6F5DFADB" w14:textId="77777777" w:rsidR="00862A01" w:rsidRPr="00872D7E" w:rsidRDefault="00862A01" w:rsidP="00862A01">
            <w:pPr>
              <w:jc w:val="right"/>
              <w:rPr>
                <w:szCs w:val="20"/>
              </w:rPr>
            </w:pPr>
          </w:p>
        </w:tc>
        <w:tc>
          <w:tcPr>
            <w:tcW w:w="1543" w:type="dxa"/>
            <w:tcBorders>
              <w:top w:val="nil"/>
              <w:left w:val="nil"/>
              <w:right w:val="nil"/>
            </w:tcBorders>
            <w:shd w:val="clear" w:color="auto" w:fill="auto"/>
            <w:noWrap/>
            <w:vAlign w:val="bottom"/>
            <w:hideMark/>
          </w:tcPr>
          <w:p w14:paraId="036D9887" w14:textId="77777777" w:rsidR="00862A01" w:rsidRPr="00872D7E" w:rsidRDefault="00862A01" w:rsidP="00862A01">
            <w:pPr>
              <w:jc w:val="right"/>
              <w:rPr>
                <w:szCs w:val="20"/>
              </w:rPr>
            </w:pPr>
          </w:p>
        </w:tc>
        <w:tc>
          <w:tcPr>
            <w:tcW w:w="1553" w:type="dxa"/>
            <w:tcBorders>
              <w:top w:val="nil"/>
              <w:left w:val="nil"/>
              <w:right w:val="nil"/>
            </w:tcBorders>
            <w:shd w:val="clear" w:color="auto" w:fill="auto"/>
            <w:noWrap/>
            <w:vAlign w:val="bottom"/>
            <w:hideMark/>
          </w:tcPr>
          <w:p w14:paraId="1E8114FD" w14:textId="77777777" w:rsidR="00862A01" w:rsidRPr="00872D7E" w:rsidRDefault="00862A01" w:rsidP="00862A01">
            <w:pPr>
              <w:jc w:val="right"/>
              <w:rPr>
                <w:szCs w:val="20"/>
              </w:rPr>
            </w:pPr>
          </w:p>
        </w:tc>
      </w:tr>
      <w:tr w:rsidR="00862A01" w:rsidRPr="00872D7E" w14:paraId="28975150" w14:textId="77777777" w:rsidTr="00862A01">
        <w:trPr>
          <w:divId w:val="1013340428"/>
          <w:trHeight w:val="227"/>
        </w:trPr>
        <w:tc>
          <w:tcPr>
            <w:tcW w:w="3261" w:type="dxa"/>
            <w:tcBorders>
              <w:top w:val="nil"/>
              <w:left w:val="nil"/>
              <w:bottom w:val="single" w:sz="12" w:space="0" w:color="auto"/>
              <w:right w:val="nil"/>
            </w:tcBorders>
            <w:shd w:val="clear" w:color="auto" w:fill="auto"/>
            <w:noWrap/>
            <w:vAlign w:val="bottom"/>
            <w:hideMark/>
          </w:tcPr>
          <w:p w14:paraId="2C8A31E3" w14:textId="77777777" w:rsidR="00862A01" w:rsidRPr="00872D7E" w:rsidRDefault="00862A01" w:rsidP="00862A01">
            <w:pPr>
              <w:rPr>
                <w:b/>
                <w:bCs/>
                <w:color w:val="000000"/>
                <w:szCs w:val="20"/>
              </w:rPr>
            </w:pPr>
            <w:r w:rsidRPr="00872D7E">
              <w:rPr>
                <w:b/>
                <w:bCs/>
                <w:color w:val="000000"/>
                <w:szCs w:val="20"/>
              </w:rPr>
              <w:t xml:space="preserve">Toplam </w:t>
            </w:r>
          </w:p>
        </w:tc>
        <w:tc>
          <w:tcPr>
            <w:tcW w:w="1395" w:type="dxa"/>
            <w:tcBorders>
              <w:top w:val="nil"/>
              <w:left w:val="nil"/>
              <w:bottom w:val="single" w:sz="12" w:space="0" w:color="auto"/>
              <w:right w:val="nil"/>
            </w:tcBorders>
            <w:shd w:val="clear" w:color="auto" w:fill="auto"/>
            <w:vAlign w:val="center"/>
            <w:hideMark/>
          </w:tcPr>
          <w:p w14:paraId="4CA894C0" w14:textId="77777777" w:rsidR="00862A01" w:rsidRPr="00872D7E" w:rsidRDefault="00862A01" w:rsidP="00862A01">
            <w:pPr>
              <w:jc w:val="right"/>
              <w:rPr>
                <w:b/>
                <w:bCs/>
                <w:color w:val="000000"/>
                <w:szCs w:val="20"/>
              </w:rPr>
            </w:pPr>
            <w:r w:rsidRPr="00872D7E">
              <w:rPr>
                <w:b/>
                <w:bCs/>
                <w:color w:val="000000"/>
                <w:szCs w:val="20"/>
              </w:rPr>
              <w:t>85.110</w:t>
            </w:r>
          </w:p>
        </w:tc>
        <w:tc>
          <w:tcPr>
            <w:tcW w:w="1701" w:type="dxa"/>
            <w:tcBorders>
              <w:top w:val="nil"/>
              <w:left w:val="nil"/>
              <w:bottom w:val="single" w:sz="12" w:space="0" w:color="auto"/>
              <w:right w:val="nil"/>
            </w:tcBorders>
            <w:shd w:val="clear" w:color="auto" w:fill="auto"/>
            <w:vAlign w:val="center"/>
            <w:hideMark/>
          </w:tcPr>
          <w:p w14:paraId="7A5F67EE" w14:textId="77777777" w:rsidR="00862A01" w:rsidRPr="00872D7E" w:rsidRDefault="00862A01" w:rsidP="00862A01">
            <w:pPr>
              <w:jc w:val="right"/>
              <w:rPr>
                <w:b/>
                <w:bCs/>
                <w:color w:val="000000"/>
                <w:szCs w:val="20"/>
              </w:rPr>
            </w:pPr>
            <w:r w:rsidRPr="00872D7E">
              <w:rPr>
                <w:b/>
                <w:bCs/>
                <w:color w:val="000000"/>
                <w:szCs w:val="20"/>
              </w:rPr>
              <w:t>1.837.130</w:t>
            </w:r>
          </w:p>
        </w:tc>
        <w:tc>
          <w:tcPr>
            <w:tcW w:w="1543" w:type="dxa"/>
            <w:tcBorders>
              <w:top w:val="nil"/>
              <w:left w:val="nil"/>
              <w:bottom w:val="single" w:sz="12" w:space="0" w:color="auto"/>
              <w:right w:val="nil"/>
            </w:tcBorders>
            <w:shd w:val="clear" w:color="auto" w:fill="auto"/>
            <w:vAlign w:val="center"/>
            <w:hideMark/>
          </w:tcPr>
          <w:p w14:paraId="39232207" w14:textId="77777777" w:rsidR="00862A01" w:rsidRPr="00872D7E" w:rsidRDefault="00862A01" w:rsidP="00862A01">
            <w:pPr>
              <w:jc w:val="right"/>
              <w:rPr>
                <w:b/>
                <w:bCs/>
                <w:color w:val="000000"/>
                <w:szCs w:val="20"/>
              </w:rPr>
            </w:pPr>
            <w:r w:rsidRPr="00872D7E">
              <w:rPr>
                <w:b/>
                <w:bCs/>
                <w:color w:val="000000"/>
                <w:szCs w:val="20"/>
              </w:rPr>
              <w:t>-</w:t>
            </w:r>
          </w:p>
        </w:tc>
        <w:tc>
          <w:tcPr>
            <w:tcW w:w="1553" w:type="dxa"/>
            <w:tcBorders>
              <w:top w:val="nil"/>
              <w:left w:val="nil"/>
              <w:bottom w:val="single" w:sz="12" w:space="0" w:color="auto"/>
              <w:right w:val="nil"/>
            </w:tcBorders>
            <w:shd w:val="clear" w:color="auto" w:fill="auto"/>
            <w:vAlign w:val="center"/>
            <w:hideMark/>
          </w:tcPr>
          <w:p w14:paraId="13DD3718" w14:textId="77777777" w:rsidR="00862A01" w:rsidRPr="00872D7E" w:rsidRDefault="00862A01" w:rsidP="00862A01">
            <w:pPr>
              <w:jc w:val="right"/>
              <w:rPr>
                <w:b/>
                <w:bCs/>
                <w:color w:val="000000"/>
                <w:szCs w:val="20"/>
              </w:rPr>
            </w:pPr>
            <w:r w:rsidRPr="00872D7E">
              <w:rPr>
                <w:b/>
                <w:bCs/>
                <w:color w:val="000000"/>
                <w:szCs w:val="20"/>
              </w:rPr>
              <w:t>-</w:t>
            </w:r>
          </w:p>
        </w:tc>
      </w:tr>
    </w:tbl>
    <w:p w14:paraId="5DFF448C" w14:textId="2E8BB116" w:rsidR="00CF39AE" w:rsidRPr="00872D7E" w:rsidRDefault="00CF39AE" w:rsidP="005B3DE3">
      <w:pPr>
        <w:pStyle w:val="BodyTextIndent"/>
        <w:widowControl w:val="0"/>
        <w:ind w:left="1702" w:right="-110" w:hanging="851"/>
        <w:rPr>
          <w:bCs/>
          <w:szCs w:val="20"/>
        </w:rPr>
      </w:pPr>
    </w:p>
    <w:p w14:paraId="6575A8DC" w14:textId="77777777" w:rsidR="005B3DE3" w:rsidRPr="00872D7E" w:rsidRDefault="005B3DE3" w:rsidP="00DF282B">
      <w:pPr>
        <w:pStyle w:val="ListParagraph"/>
        <w:widowControl w:val="0"/>
        <w:numPr>
          <w:ilvl w:val="0"/>
          <w:numId w:val="67"/>
        </w:numPr>
        <w:ind w:left="851" w:hanging="851"/>
        <w:jc w:val="both"/>
        <w:rPr>
          <w:b/>
          <w:szCs w:val="20"/>
        </w:rPr>
      </w:pPr>
      <w:r w:rsidRPr="00872D7E">
        <w:rPr>
          <w:b/>
          <w:szCs w:val="20"/>
        </w:rPr>
        <w:t>Türev finansal borçlara ilişkin bilgiler:</w:t>
      </w:r>
    </w:p>
    <w:p w14:paraId="43B0430B" w14:textId="5B5A340D" w:rsidR="00862A01" w:rsidRPr="00872D7E" w:rsidRDefault="00862A01" w:rsidP="00926E19">
      <w:pPr>
        <w:pStyle w:val="BodyTextIndent"/>
        <w:widowControl w:val="0"/>
        <w:ind w:left="851" w:right="-110" w:hanging="1"/>
      </w:pPr>
    </w:p>
    <w:tbl>
      <w:tblPr>
        <w:tblW w:w="5000" w:type="pct"/>
        <w:tblCellMar>
          <w:left w:w="70" w:type="dxa"/>
          <w:right w:w="70" w:type="dxa"/>
        </w:tblCellMar>
        <w:tblLook w:val="04A0" w:firstRow="1" w:lastRow="0" w:firstColumn="1" w:lastColumn="0" w:noHBand="0" w:noVBand="1"/>
      </w:tblPr>
      <w:tblGrid>
        <w:gridCol w:w="2746"/>
        <w:gridCol w:w="1652"/>
        <w:gridCol w:w="1652"/>
        <w:gridCol w:w="1645"/>
        <w:gridCol w:w="1660"/>
      </w:tblGrid>
      <w:tr w:rsidR="00862A01" w:rsidRPr="00872D7E" w14:paraId="53638683" w14:textId="77777777" w:rsidTr="00862A01">
        <w:trPr>
          <w:divId w:val="150951978"/>
          <w:trHeight w:val="227"/>
        </w:trPr>
        <w:tc>
          <w:tcPr>
            <w:tcW w:w="1468" w:type="pct"/>
            <w:tcBorders>
              <w:top w:val="nil"/>
              <w:left w:val="nil"/>
              <w:bottom w:val="nil"/>
              <w:right w:val="nil"/>
            </w:tcBorders>
            <w:shd w:val="clear" w:color="auto" w:fill="auto"/>
            <w:noWrap/>
            <w:vAlign w:val="bottom"/>
            <w:hideMark/>
          </w:tcPr>
          <w:p w14:paraId="63AC47F6" w14:textId="06BE0AC8" w:rsidR="00862A01" w:rsidRPr="00872D7E" w:rsidRDefault="00862A01" w:rsidP="00862A01">
            <w:pPr>
              <w:rPr>
                <w:szCs w:val="20"/>
                <w:lang w:eastAsia="tr-TR"/>
              </w:rPr>
            </w:pPr>
          </w:p>
        </w:tc>
        <w:tc>
          <w:tcPr>
            <w:tcW w:w="1766" w:type="pct"/>
            <w:gridSpan w:val="2"/>
            <w:tcBorders>
              <w:top w:val="nil"/>
              <w:left w:val="nil"/>
              <w:bottom w:val="single" w:sz="4" w:space="0" w:color="auto"/>
              <w:right w:val="nil"/>
            </w:tcBorders>
            <w:shd w:val="clear" w:color="auto" w:fill="auto"/>
            <w:noWrap/>
            <w:vAlign w:val="bottom"/>
            <w:hideMark/>
          </w:tcPr>
          <w:p w14:paraId="6351960F" w14:textId="77777777" w:rsidR="00862A01" w:rsidRPr="00872D7E" w:rsidRDefault="00862A01" w:rsidP="00862A01">
            <w:pPr>
              <w:jc w:val="center"/>
              <w:rPr>
                <w:b/>
                <w:bCs/>
                <w:color w:val="000000"/>
                <w:szCs w:val="20"/>
                <w:lang w:eastAsia="tr-TR"/>
              </w:rPr>
            </w:pPr>
            <w:r w:rsidRPr="00872D7E">
              <w:rPr>
                <w:b/>
                <w:bCs/>
                <w:color w:val="000000"/>
                <w:szCs w:val="20"/>
                <w:lang w:eastAsia="tr-TR"/>
              </w:rPr>
              <w:t>31 Aralık 2024</w:t>
            </w:r>
          </w:p>
        </w:tc>
        <w:tc>
          <w:tcPr>
            <w:tcW w:w="1766" w:type="pct"/>
            <w:gridSpan w:val="2"/>
            <w:tcBorders>
              <w:top w:val="nil"/>
              <w:left w:val="nil"/>
              <w:bottom w:val="single" w:sz="4" w:space="0" w:color="auto"/>
              <w:right w:val="nil"/>
            </w:tcBorders>
            <w:shd w:val="clear" w:color="auto" w:fill="auto"/>
            <w:noWrap/>
            <w:vAlign w:val="bottom"/>
            <w:hideMark/>
          </w:tcPr>
          <w:p w14:paraId="4BF6BAA7" w14:textId="77777777" w:rsidR="00862A01" w:rsidRPr="00872D7E" w:rsidRDefault="00862A01" w:rsidP="00862A01">
            <w:pPr>
              <w:jc w:val="center"/>
              <w:rPr>
                <w:b/>
                <w:bCs/>
                <w:color w:val="000000"/>
                <w:szCs w:val="20"/>
                <w:lang w:eastAsia="tr-TR"/>
              </w:rPr>
            </w:pPr>
            <w:r w:rsidRPr="00872D7E">
              <w:rPr>
                <w:b/>
                <w:bCs/>
                <w:color w:val="000000"/>
                <w:szCs w:val="20"/>
                <w:lang w:eastAsia="tr-TR"/>
              </w:rPr>
              <w:t>1 Ocak 2024</w:t>
            </w:r>
          </w:p>
        </w:tc>
      </w:tr>
      <w:tr w:rsidR="00862A01" w:rsidRPr="00872D7E" w14:paraId="11C1402F" w14:textId="77777777" w:rsidTr="00862A01">
        <w:trPr>
          <w:divId w:val="150951978"/>
          <w:trHeight w:val="227"/>
        </w:trPr>
        <w:tc>
          <w:tcPr>
            <w:tcW w:w="1468" w:type="pct"/>
            <w:tcBorders>
              <w:top w:val="nil"/>
              <w:left w:val="nil"/>
              <w:bottom w:val="nil"/>
              <w:right w:val="nil"/>
            </w:tcBorders>
            <w:shd w:val="clear" w:color="auto" w:fill="auto"/>
            <w:noWrap/>
            <w:vAlign w:val="bottom"/>
            <w:hideMark/>
          </w:tcPr>
          <w:p w14:paraId="2C2C345F" w14:textId="77777777" w:rsidR="00862A01" w:rsidRPr="00872D7E" w:rsidRDefault="00862A01" w:rsidP="00862A01">
            <w:pPr>
              <w:jc w:val="center"/>
              <w:rPr>
                <w:b/>
                <w:bCs/>
                <w:color w:val="000000"/>
                <w:szCs w:val="20"/>
                <w:lang w:eastAsia="tr-TR"/>
              </w:rPr>
            </w:pPr>
          </w:p>
        </w:tc>
        <w:tc>
          <w:tcPr>
            <w:tcW w:w="883" w:type="pct"/>
            <w:tcBorders>
              <w:top w:val="nil"/>
              <w:left w:val="nil"/>
              <w:bottom w:val="single" w:sz="4" w:space="0" w:color="auto"/>
              <w:right w:val="nil"/>
            </w:tcBorders>
            <w:shd w:val="clear" w:color="auto" w:fill="auto"/>
            <w:vAlign w:val="center"/>
            <w:hideMark/>
          </w:tcPr>
          <w:p w14:paraId="36E1DFC1" w14:textId="77777777" w:rsidR="00862A01" w:rsidRPr="00872D7E" w:rsidRDefault="00862A01" w:rsidP="00862A01">
            <w:pPr>
              <w:jc w:val="right"/>
              <w:rPr>
                <w:b/>
                <w:bCs/>
                <w:color w:val="000000"/>
                <w:szCs w:val="20"/>
                <w:lang w:eastAsia="tr-TR"/>
              </w:rPr>
            </w:pPr>
            <w:r w:rsidRPr="00872D7E">
              <w:rPr>
                <w:b/>
                <w:bCs/>
                <w:color w:val="000000"/>
                <w:szCs w:val="20"/>
                <w:lang w:eastAsia="tr-TR"/>
              </w:rPr>
              <w:t>TP</w:t>
            </w:r>
          </w:p>
        </w:tc>
        <w:tc>
          <w:tcPr>
            <w:tcW w:w="883" w:type="pct"/>
            <w:tcBorders>
              <w:top w:val="nil"/>
              <w:left w:val="nil"/>
              <w:bottom w:val="single" w:sz="4" w:space="0" w:color="auto"/>
              <w:right w:val="nil"/>
            </w:tcBorders>
            <w:shd w:val="clear" w:color="auto" w:fill="auto"/>
            <w:noWrap/>
            <w:vAlign w:val="center"/>
            <w:hideMark/>
          </w:tcPr>
          <w:p w14:paraId="1251AE48" w14:textId="77777777" w:rsidR="00862A01" w:rsidRPr="00872D7E" w:rsidRDefault="00862A01" w:rsidP="00862A01">
            <w:pPr>
              <w:jc w:val="right"/>
              <w:rPr>
                <w:b/>
                <w:bCs/>
                <w:color w:val="000000"/>
                <w:szCs w:val="20"/>
                <w:lang w:eastAsia="tr-TR"/>
              </w:rPr>
            </w:pPr>
            <w:r w:rsidRPr="00872D7E">
              <w:rPr>
                <w:b/>
                <w:bCs/>
                <w:color w:val="000000"/>
                <w:szCs w:val="20"/>
                <w:lang w:eastAsia="tr-TR"/>
              </w:rPr>
              <w:t>YP</w:t>
            </w:r>
          </w:p>
        </w:tc>
        <w:tc>
          <w:tcPr>
            <w:tcW w:w="879" w:type="pct"/>
            <w:tcBorders>
              <w:top w:val="nil"/>
              <w:left w:val="nil"/>
              <w:bottom w:val="single" w:sz="4" w:space="0" w:color="auto"/>
              <w:right w:val="nil"/>
            </w:tcBorders>
            <w:shd w:val="clear" w:color="auto" w:fill="auto"/>
            <w:vAlign w:val="center"/>
            <w:hideMark/>
          </w:tcPr>
          <w:p w14:paraId="6297B85A" w14:textId="77777777" w:rsidR="00862A01" w:rsidRPr="00872D7E" w:rsidRDefault="00862A01" w:rsidP="00862A01">
            <w:pPr>
              <w:jc w:val="right"/>
              <w:rPr>
                <w:b/>
                <w:bCs/>
                <w:color w:val="000000"/>
                <w:szCs w:val="20"/>
                <w:lang w:eastAsia="tr-TR"/>
              </w:rPr>
            </w:pPr>
            <w:r w:rsidRPr="00872D7E">
              <w:rPr>
                <w:b/>
                <w:bCs/>
                <w:color w:val="000000"/>
                <w:szCs w:val="20"/>
                <w:lang w:eastAsia="tr-TR"/>
              </w:rPr>
              <w:t>TP</w:t>
            </w:r>
          </w:p>
        </w:tc>
        <w:tc>
          <w:tcPr>
            <w:tcW w:w="887" w:type="pct"/>
            <w:tcBorders>
              <w:top w:val="nil"/>
              <w:left w:val="nil"/>
              <w:bottom w:val="single" w:sz="4" w:space="0" w:color="auto"/>
              <w:right w:val="nil"/>
            </w:tcBorders>
            <w:shd w:val="clear" w:color="auto" w:fill="auto"/>
            <w:noWrap/>
            <w:vAlign w:val="center"/>
            <w:hideMark/>
          </w:tcPr>
          <w:p w14:paraId="71883760" w14:textId="77777777" w:rsidR="00862A01" w:rsidRPr="00872D7E" w:rsidRDefault="00862A01" w:rsidP="00862A01">
            <w:pPr>
              <w:jc w:val="right"/>
              <w:rPr>
                <w:b/>
                <w:bCs/>
                <w:color w:val="000000"/>
                <w:szCs w:val="20"/>
                <w:lang w:eastAsia="tr-TR"/>
              </w:rPr>
            </w:pPr>
            <w:r w:rsidRPr="00872D7E">
              <w:rPr>
                <w:b/>
                <w:bCs/>
                <w:color w:val="000000"/>
                <w:szCs w:val="20"/>
                <w:lang w:eastAsia="tr-TR"/>
              </w:rPr>
              <w:t>YP</w:t>
            </w:r>
          </w:p>
        </w:tc>
      </w:tr>
      <w:tr w:rsidR="00862A01" w:rsidRPr="00872D7E" w14:paraId="7F31FA91" w14:textId="77777777" w:rsidTr="00862A01">
        <w:trPr>
          <w:divId w:val="150951978"/>
          <w:trHeight w:val="227"/>
        </w:trPr>
        <w:tc>
          <w:tcPr>
            <w:tcW w:w="1468" w:type="pct"/>
            <w:tcBorders>
              <w:top w:val="nil"/>
              <w:left w:val="nil"/>
              <w:bottom w:val="nil"/>
              <w:right w:val="nil"/>
            </w:tcBorders>
            <w:shd w:val="clear" w:color="auto" w:fill="auto"/>
            <w:noWrap/>
            <w:vAlign w:val="center"/>
            <w:hideMark/>
          </w:tcPr>
          <w:p w14:paraId="3DC80A8A" w14:textId="77777777" w:rsidR="00862A01" w:rsidRPr="00872D7E" w:rsidRDefault="00862A01" w:rsidP="00862A01">
            <w:pPr>
              <w:jc w:val="right"/>
              <w:rPr>
                <w:b/>
                <w:bCs/>
                <w:color w:val="000000"/>
                <w:szCs w:val="20"/>
                <w:lang w:eastAsia="tr-TR"/>
              </w:rPr>
            </w:pPr>
          </w:p>
        </w:tc>
        <w:tc>
          <w:tcPr>
            <w:tcW w:w="883" w:type="pct"/>
            <w:tcBorders>
              <w:top w:val="nil"/>
              <w:left w:val="nil"/>
              <w:bottom w:val="nil"/>
              <w:right w:val="nil"/>
            </w:tcBorders>
            <w:shd w:val="clear" w:color="auto" w:fill="auto"/>
            <w:vAlign w:val="center"/>
            <w:hideMark/>
          </w:tcPr>
          <w:p w14:paraId="3E492434" w14:textId="77777777" w:rsidR="00862A01" w:rsidRPr="00872D7E" w:rsidRDefault="00862A01" w:rsidP="00862A01">
            <w:pPr>
              <w:rPr>
                <w:szCs w:val="20"/>
                <w:lang w:eastAsia="tr-TR"/>
              </w:rPr>
            </w:pPr>
          </w:p>
        </w:tc>
        <w:tc>
          <w:tcPr>
            <w:tcW w:w="883" w:type="pct"/>
            <w:tcBorders>
              <w:top w:val="nil"/>
              <w:left w:val="nil"/>
              <w:bottom w:val="nil"/>
              <w:right w:val="nil"/>
            </w:tcBorders>
            <w:shd w:val="clear" w:color="auto" w:fill="auto"/>
            <w:noWrap/>
            <w:vAlign w:val="center"/>
            <w:hideMark/>
          </w:tcPr>
          <w:p w14:paraId="16FEB117" w14:textId="77777777" w:rsidR="00862A01" w:rsidRPr="00872D7E" w:rsidRDefault="00862A01" w:rsidP="00862A01">
            <w:pPr>
              <w:jc w:val="right"/>
              <w:rPr>
                <w:szCs w:val="20"/>
                <w:lang w:eastAsia="tr-TR"/>
              </w:rPr>
            </w:pPr>
          </w:p>
        </w:tc>
        <w:tc>
          <w:tcPr>
            <w:tcW w:w="879" w:type="pct"/>
            <w:tcBorders>
              <w:top w:val="nil"/>
              <w:left w:val="nil"/>
              <w:bottom w:val="nil"/>
              <w:right w:val="nil"/>
            </w:tcBorders>
            <w:shd w:val="clear" w:color="auto" w:fill="auto"/>
            <w:vAlign w:val="center"/>
            <w:hideMark/>
          </w:tcPr>
          <w:p w14:paraId="43DC7CCC" w14:textId="77777777" w:rsidR="00862A01" w:rsidRPr="00872D7E" w:rsidRDefault="00862A01" w:rsidP="00862A01">
            <w:pPr>
              <w:jc w:val="right"/>
              <w:rPr>
                <w:szCs w:val="20"/>
                <w:lang w:eastAsia="tr-TR"/>
              </w:rPr>
            </w:pPr>
          </w:p>
        </w:tc>
        <w:tc>
          <w:tcPr>
            <w:tcW w:w="887" w:type="pct"/>
            <w:tcBorders>
              <w:top w:val="nil"/>
              <w:left w:val="nil"/>
              <w:bottom w:val="nil"/>
              <w:right w:val="nil"/>
            </w:tcBorders>
            <w:shd w:val="clear" w:color="auto" w:fill="auto"/>
            <w:noWrap/>
            <w:vAlign w:val="center"/>
            <w:hideMark/>
          </w:tcPr>
          <w:p w14:paraId="7CAC75D9" w14:textId="77777777" w:rsidR="00862A01" w:rsidRPr="00872D7E" w:rsidRDefault="00862A01" w:rsidP="00862A01">
            <w:pPr>
              <w:jc w:val="right"/>
              <w:rPr>
                <w:szCs w:val="20"/>
                <w:lang w:eastAsia="tr-TR"/>
              </w:rPr>
            </w:pPr>
          </w:p>
        </w:tc>
      </w:tr>
      <w:tr w:rsidR="00862A01" w:rsidRPr="00872D7E" w14:paraId="135074AD" w14:textId="77777777" w:rsidTr="00862A01">
        <w:trPr>
          <w:divId w:val="150951978"/>
          <w:trHeight w:val="227"/>
        </w:trPr>
        <w:tc>
          <w:tcPr>
            <w:tcW w:w="1468" w:type="pct"/>
            <w:tcBorders>
              <w:top w:val="nil"/>
              <w:left w:val="nil"/>
              <w:bottom w:val="nil"/>
              <w:right w:val="nil"/>
            </w:tcBorders>
            <w:shd w:val="clear" w:color="auto" w:fill="auto"/>
            <w:noWrap/>
            <w:vAlign w:val="center"/>
            <w:hideMark/>
          </w:tcPr>
          <w:p w14:paraId="3B668CE1" w14:textId="77777777" w:rsidR="00862A01" w:rsidRPr="00872D7E" w:rsidRDefault="00862A01" w:rsidP="00862A01">
            <w:pPr>
              <w:rPr>
                <w:color w:val="000000"/>
                <w:szCs w:val="20"/>
                <w:lang w:eastAsia="tr-TR"/>
              </w:rPr>
            </w:pPr>
            <w:r w:rsidRPr="00872D7E">
              <w:rPr>
                <w:color w:val="000000"/>
                <w:szCs w:val="20"/>
                <w:lang w:eastAsia="tr-TR"/>
              </w:rPr>
              <w:t>Vadeli İşlemler</w:t>
            </w:r>
          </w:p>
        </w:tc>
        <w:tc>
          <w:tcPr>
            <w:tcW w:w="883" w:type="pct"/>
            <w:tcBorders>
              <w:top w:val="nil"/>
              <w:left w:val="nil"/>
              <w:bottom w:val="nil"/>
              <w:right w:val="nil"/>
            </w:tcBorders>
            <w:shd w:val="clear" w:color="auto" w:fill="auto"/>
            <w:vAlign w:val="center"/>
            <w:hideMark/>
          </w:tcPr>
          <w:p w14:paraId="6837657C" w14:textId="77777777" w:rsidR="00862A01" w:rsidRPr="00872D7E" w:rsidRDefault="00862A01" w:rsidP="00862A01">
            <w:pPr>
              <w:jc w:val="right"/>
              <w:rPr>
                <w:color w:val="000000"/>
                <w:szCs w:val="20"/>
                <w:lang w:eastAsia="tr-TR"/>
              </w:rPr>
            </w:pPr>
            <w:r w:rsidRPr="00872D7E">
              <w:rPr>
                <w:color w:val="000000"/>
                <w:szCs w:val="20"/>
                <w:lang w:eastAsia="tr-TR"/>
              </w:rPr>
              <w:t>72</w:t>
            </w:r>
          </w:p>
        </w:tc>
        <w:tc>
          <w:tcPr>
            <w:tcW w:w="883" w:type="pct"/>
            <w:tcBorders>
              <w:top w:val="nil"/>
              <w:left w:val="nil"/>
              <w:bottom w:val="nil"/>
              <w:right w:val="nil"/>
            </w:tcBorders>
            <w:shd w:val="clear" w:color="auto" w:fill="auto"/>
            <w:vAlign w:val="center"/>
            <w:hideMark/>
          </w:tcPr>
          <w:p w14:paraId="303D2668" w14:textId="77777777" w:rsidR="00862A01" w:rsidRPr="00872D7E" w:rsidRDefault="00862A01" w:rsidP="00862A01">
            <w:pPr>
              <w:jc w:val="right"/>
              <w:rPr>
                <w:color w:val="000000"/>
                <w:szCs w:val="20"/>
                <w:lang w:eastAsia="tr-TR"/>
              </w:rPr>
            </w:pPr>
            <w:r w:rsidRPr="00872D7E">
              <w:rPr>
                <w:color w:val="000000"/>
                <w:szCs w:val="20"/>
                <w:lang w:eastAsia="tr-TR"/>
              </w:rPr>
              <w:t>25.797</w:t>
            </w:r>
          </w:p>
        </w:tc>
        <w:tc>
          <w:tcPr>
            <w:tcW w:w="879" w:type="pct"/>
            <w:tcBorders>
              <w:top w:val="nil"/>
              <w:left w:val="nil"/>
              <w:bottom w:val="nil"/>
              <w:right w:val="nil"/>
            </w:tcBorders>
            <w:shd w:val="clear" w:color="auto" w:fill="auto"/>
            <w:vAlign w:val="center"/>
            <w:hideMark/>
          </w:tcPr>
          <w:p w14:paraId="34F72DE3"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87" w:type="pct"/>
            <w:tcBorders>
              <w:top w:val="nil"/>
              <w:left w:val="nil"/>
              <w:bottom w:val="nil"/>
              <w:right w:val="nil"/>
            </w:tcBorders>
            <w:shd w:val="clear" w:color="auto" w:fill="auto"/>
            <w:vAlign w:val="center"/>
            <w:hideMark/>
          </w:tcPr>
          <w:p w14:paraId="09A82998"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0A992C08" w14:textId="77777777" w:rsidTr="00862A01">
        <w:trPr>
          <w:divId w:val="150951978"/>
          <w:trHeight w:val="227"/>
        </w:trPr>
        <w:tc>
          <w:tcPr>
            <w:tcW w:w="1468" w:type="pct"/>
            <w:tcBorders>
              <w:top w:val="nil"/>
              <w:left w:val="nil"/>
              <w:bottom w:val="nil"/>
              <w:right w:val="nil"/>
            </w:tcBorders>
            <w:shd w:val="clear" w:color="auto" w:fill="auto"/>
            <w:noWrap/>
            <w:vAlign w:val="center"/>
            <w:hideMark/>
          </w:tcPr>
          <w:p w14:paraId="1098DD21" w14:textId="77777777" w:rsidR="00862A01" w:rsidRPr="00872D7E" w:rsidRDefault="00862A01" w:rsidP="00862A01">
            <w:pPr>
              <w:rPr>
                <w:color w:val="000000"/>
                <w:szCs w:val="20"/>
                <w:lang w:eastAsia="tr-TR"/>
              </w:rPr>
            </w:pPr>
            <w:r w:rsidRPr="00872D7E">
              <w:rPr>
                <w:color w:val="000000"/>
                <w:szCs w:val="20"/>
                <w:lang w:eastAsia="tr-TR"/>
              </w:rPr>
              <w:t>Swap İşlemleri</w:t>
            </w:r>
          </w:p>
        </w:tc>
        <w:tc>
          <w:tcPr>
            <w:tcW w:w="883" w:type="pct"/>
            <w:tcBorders>
              <w:top w:val="nil"/>
              <w:left w:val="nil"/>
              <w:bottom w:val="nil"/>
              <w:right w:val="nil"/>
            </w:tcBorders>
            <w:shd w:val="clear" w:color="auto" w:fill="auto"/>
            <w:vAlign w:val="center"/>
            <w:hideMark/>
          </w:tcPr>
          <w:p w14:paraId="5367EB04"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83" w:type="pct"/>
            <w:tcBorders>
              <w:top w:val="nil"/>
              <w:left w:val="nil"/>
              <w:bottom w:val="nil"/>
              <w:right w:val="nil"/>
            </w:tcBorders>
            <w:shd w:val="clear" w:color="auto" w:fill="auto"/>
            <w:vAlign w:val="center"/>
            <w:hideMark/>
          </w:tcPr>
          <w:p w14:paraId="54AFE2DA" w14:textId="77777777" w:rsidR="00862A01" w:rsidRPr="00872D7E" w:rsidRDefault="00862A01" w:rsidP="00862A01">
            <w:pPr>
              <w:jc w:val="right"/>
              <w:rPr>
                <w:color w:val="000000"/>
                <w:szCs w:val="20"/>
                <w:lang w:eastAsia="tr-TR"/>
              </w:rPr>
            </w:pPr>
            <w:r w:rsidRPr="00872D7E">
              <w:rPr>
                <w:color w:val="000000"/>
                <w:szCs w:val="20"/>
                <w:lang w:eastAsia="tr-TR"/>
              </w:rPr>
              <w:t>277</w:t>
            </w:r>
          </w:p>
        </w:tc>
        <w:tc>
          <w:tcPr>
            <w:tcW w:w="879" w:type="pct"/>
            <w:tcBorders>
              <w:top w:val="nil"/>
              <w:left w:val="nil"/>
              <w:bottom w:val="nil"/>
              <w:right w:val="nil"/>
            </w:tcBorders>
            <w:shd w:val="clear" w:color="auto" w:fill="auto"/>
            <w:vAlign w:val="center"/>
            <w:hideMark/>
          </w:tcPr>
          <w:p w14:paraId="7A9E9C55"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87" w:type="pct"/>
            <w:tcBorders>
              <w:top w:val="nil"/>
              <w:left w:val="nil"/>
              <w:bottom w:val="nil"/>
              <w:right w:val="nil"/>
            </w:tcBorders>
            <w:shd w:val="clear" w:color="auto" w:fill="auto"/>
            <w:vAlign w:val="center"/>
            <w:hideMark/>
          </w:tcPr>
          <w:p w14:paraId="31E07299"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4C3690AC" w14:textId="77777777" w:rsidTr="00862A01">
        <w:trPr>
          <w:divId w:val="150951978"/>
          <w:trHeight w:val="227"/>
        </w:trPr>
        <w:tc>
          <w:tcPr>
            <w:tcW w:w="1468" w:type="pct"/>
            <w:tcBorders>
              <w:top w:val="nil"/>
              <w:left w:val="nil"/>
              <w:bottom w:val="nil"/>
              <w:right w:val="nil"/>
            </w:tcBorders>
            <w:shd w:val="clear" w:color="auto" w:fill="auto"/>
            <w:noWrap/>
            <w:vAlign w:val="center"/>
            <w:hideMark/>
          </w:tcPr>
          <w:p w14:paraId="313AD738" w14:textId="77777777" w:rsidR="00862A01" w:rsidRPr="00872D7E" w:rsidRDefault="00862A01" w:rsidP="00862A01">
            <w:pPr>
              <w:rPr>
                <w:color w:val="000000"/>
                <w:szCs w:val="20"/>
                <w:lang w:eastAsia="tr-TR"/>
              </w:rPr>
            </w:pPr>
            <w:r w:rsidRPr="00872D7E">
              <w:rPr>
                <w:color w:val="000000"/>
                <w:szCs w:val="20"/>
                <w:lang w:eastAsia="tr-TR"/>
              </w:rPr>
              <w:t>Futures İşlemleri</w:t>
            </w:r>
          </w:p>
        </w:tc>
        <w:tc>
          <w:tcPr>
            <w:tcW w:w="883" w:type="pct"/>
            <w:tcBorders>
              <w:top w:val="nil"/>
              <w:left w:val="nil"/>
              <w:bottom w:val="nil"/>
              <w:right w:val="nil"/>
            </w:tcBorders>
            <w:shd w:val="clear" w:color="auto" w:fill="auto"/>
            <w:vAlign w:val="center"/>
            <w:hideMark/>
          </w:tcPr>
          <w:p w14:paraId="395F4E8B"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83" w:type="pct"/>
            <w:tcBorders>
              <w:top w:val="nil"/>
              <w:left w:val="nil"/>
              <w:bottom w:val="nil"/>
              <w:right w:val="nil"/>
            </w:tcBorders>
            <w:shd w:val="clear" w:color="auto" w:fill="auto"/>
            <w:vAlign w:val="center"/>
            <w:hideMark/>
          </w:tcPr>
          <w:p w14:paraId="1855041D"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79" w:type="pct"/>
            <w:tcBorders>
              <w:top w:val="nil"/>
              <w:left w:val="nil"/>
              <w:bottom w:val="nil"/>
              <w:right w:val="nil"/>
            </w:tcBorders>
            <w:shd w:val="clear" w:color="auto" w:fill="auto"/>
            <w:vAlign w:val="center"/>
            <w:hideMark/>
          </w:tcPr>
          <w:p w14:paraId="108B894E"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87" w:type="pct"/>
            <w:tcBorders>
              <w:top w:val="nil"/>
              <w:left w:val="nil"/>
              <w:bottom w:val="nil"/>
              <w:right w:val="nil"/>
            </w:tcBorders>
            <w:shd w:val="clear" w:color="auto" w:fill="auto"/>
            <w:vAlign w:val="center"/>
            <w:hideMark/>
          </w:tcPr>
          <w:p w14:paraId="541F34B9"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34D5FD1D" w14:textId="77777777" w:rsidTr="00862A01">
        <w:trPr>
          <w:divId w:val="150951978"/>
          <w:trHeight w:val="227"/>
        </w:trPr>
        <w:tc>
          <w:tcPr>
            <w:tcW w:w="1468" w:type="pct"/>
            <w:tcBorders>
              <w:top w:val="nil"/>
              <w:left w:val="nil"/>
              <w:bottom w:val="nil"/>
              <w:right w:val="nil"/>
            </w:tcBorders>
            <w:shd w:val="clear" w:color="auto" w:fill="auto"/>
            <w:noWrap/>
            <w:vAlign w:val="center"/>
            <w:hideMark/>
          </w:tcPr>
          <w:p w14:paraId="6458ECCD" w14:textId="77777777" w:rsidR="00862A01" w:rsidRPr="00872D7E" w:rsidRDefault="00862A01" w:rsidP="00862A01">
            <w:pPr>
              <w:rPr>
                <w:color w:val="000000"/>
                <w:szCs w:val="20"/>
                <w:lang w:eastAsia="tr-TR"/>
              </w:rPr>
            </w:pPr>
            <w:r w:rsidRPr="00872D7E">
              <w:rPr>
                <w:color w:val="000000"/>
                <w:szCs w:val="20"/>
                <w:lang w:eastAsia="tr-TR"/>
              </w:rPr>
              <w:t>Opsiyonlar</w:t>
            </w:r>
          </w:p>
        </w:tc>
        <w:tc>
          <w:tcPr>
            <w:tcW w:w="883" w:type="pct"/>
            <w:tcBorders>
              <w:top w:val="nil"/>
              <w:left w:val="nil"/>
              <w:bottom w:val="nil"/>
              <w:right w:val="nil"/>
            </w:tcBorders>
            <w:shd w:val="clear" w:color="auto" w:fill="auto"/>
            <w:vAlign w:val="center"/>
            <w:hideMark/>
          </w:tcPr>
          <w:p w14:paraId="428157E7"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83" w:type="pct"/>
            <w:tcBorders>
              <w:top w:val="nil"/>
              <w:left w:val="nil"/>
              <w:bottom w:val="nil"/>
              <w:right w:val="nil"/>
            </w:tcBorders>
            <w:shd w:val="clear" w:color="auto" w:fill="auto"/>
            <w:vAlign w:val="center"/>
            <w:hideMark/>
          </w:tcPr>
          <w:p w14:paraId="7716142D"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79" w:type="pct"/>
            <w:tcBorders>
              <w:top w:val="nil"/>
              <w:left w:val="nil"/>
              <w:bottom w:val="nil"/>
              <w:right w:val="nil"/>
            </w:tcBorders>
            <w:shd w:val="clear" w:color="auto" w:fill="auto"/>
            <w:vAlign w:val="center"/>
            <w:hideMark/>
          </w:tcPr>
          <w:p w14:paraId="25110BB1"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87" w:type="pct"/>
            <w:tcBorders>
              <w:top w:val="nil"/>
              <w:left w:val="nil"/>
              <w:bottom w:val="nil"/>
              <w:right w:val="nil"/>
            </w:tcBorders>
            <w:shd w:val="clear" w:color="auto" w:fill="auto"/>
            <w:vAlign w:val="center"/>
            <w:hideMark/>
          </w:tcPr>
          <w:p w14:paraId="19FA5D32"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753E875B" w14:textId="77777777" w:rsidTr="00862A01">
        <w:trPr>
          <w:divId w:val="150951978"/>
          <w:trHeight w:val="227"/>
        </w:trPr>
        <w:tc>
          <w:tcPr>
            <w:tcW w:w="1468" w:type="pct"/>
            <w:tcBorders>
              <w:top w:val="nil"/>
              <w:left w:val="nil"/>
              <w:bottom w:val="single" w:sz="4" w:space="0" w:color="auto"/>
              <w:right w:val="nil"/>
            </w:tcBorders>
            <w:shd w:val="clear" w:color="auto" w:fill="auto"/>
            <w:noWrap/>
            <w:vAlign w:val="center"/>
            <w:hideMark/>
          </w:tcPr>
          <w:p w14:paraId="105C12FC" w14:textId="77777777" w:rsidR="00862A01" w:rsidRPr="00872D7E" w:rsidRDefault="00862A01" w:rsidP="00862A01">
            <w:pPr>
              <w:rPr>
                <w:color w:val="000000"/>
                <w:szCs w:val="20"/>
                <w:lang w:eastAsia="tr-TR"/>
              </w:rPr>
            </w:pPr>
            <w:r w:rsidRPr="00872D7E">
              <w:rPr>
                <w:color w:val="000000"/>
                <w:szCs w:val="20"/>
                <w:lang w:eastAsia="tr-TR"/>
              </w:rPr>
              <w:t>Diğer</w:t>
            </w:r>
          </w:p>
        </w:tc>
        <w:tc>
          <w:tcPr>
            <w:tcW w:w="883" w:type="pct"/>
            <w:tcBorders>
              <w:top w:val="nil"/>
              <w:left w:val="nil"/>
              <w:bottom w:val="single" w:sz="4" w:space="0" w:color="auto"/>
              <w:right w:val="nil"/>
            </w:tcBorders>
            <w:shd w:val="clear" w:color="auto" w:fill="auto"/>
            <w:vAlign w:val="center"/>
            <w:hideMark/>
          </w:tcPr>
          <w:p w14:paraId="37511208"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83" w:type="pct"/>
            <w:tcBorders>
              <w:top w:val="nil"/>
              <w:left w:val="nil"/>
              <w:bottom w:val="single" w:sz="4" w:space="0" w:color="auto"/>
              <w:right w:val="nil"/>
            </w:tcBorders>
            <w:shd w:val="clear" w:color="auto" w:fill="auto"/>
            <w:vAlign w:val="center"/>
            <w:hideMark/>
          </w:tcPr>
          <w:p w14:paraId="3C2D977F"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79" w:type="pct"/>
            <w:tcBorders>
              <w:top w:val="nil"/>
              <w:left w:val="nil"/>
              <w:bottom w:val="single" w:sz="4" w:space="0" w:color="auto"/>
              <w:right w:val="nil"/>
            </w:tcBorders>
            <w:shd w:val="clear" w:color="auto" w:fill="auto"/>
            <w:vAlign w:val="center"/>
            <w:hideMark/>
          </w:tcPr>
          <w:p w14:paraId="3C19ADC4"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887" w:type="pct"/>
            <w:tcBorders>
              <w:top w:val="nil"/>
              <w:left w:val="nil"/>
              <w:bottom w:val="single" w:sz="4" w:space="0" w:color="auto"/>
              <w:right w:val="nil"/>
            </w:tcBorders>
            <w:shd w:val="clear" w:color="auto" w:fill="auto"/>
            <w:vAlign w:val="center"/>
            <w:hideMark/>
          </w:tcPr>
          <w:p w14:paraId="402C0EBF"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22DA7C44" w14:textId="77777777" w:rsidTr="00D80152">
        <w:trPr>
          <w:divId w:val="150951978"/>
          <w:trHeight w:val="227"/>
        </w:trPr>
        <w:tc>
          <w:tcPr>
            <w:tcW w:w="1468" w:type="pct"/>
            <w:tcBorders>
              <w:top w:val="nil"/>
              <w:left w:val="nil"/>
              <w:right w:val="nil"/>
            </w:tcBorders>
            <w:shd w:val="clear" w:color="auto" w:fill="auto"/>
            <w:noWrap/>
            <w:vAlign w:val="center"/>
            <w:hideMark/>
          </w:tcPr>
          <w:p w14:paraId="7ADBA351" w14:textId="77777777" w:rsidR="00862A01" w:rsidRPr="00872D7E" w:rsidRDefault="00862A01" w:rsidP="00862A01">
            <w:pPr>
              <w:rPr>
                <w:color w:val="000000"/>
                <w:szCs w:val="20"/>
                <w:lang w:eastAsia="tr-TR"/>
              </w:rPr>
            </w:pPr>
          </w:p>
        </w:tc>
        <w:tc>
          <w:tcPr>
            <w:tcW w:w="883" w:type="pct"/>
            <w:tcBorders>
              <w:top w:val="nil"/>
              <w:left w:val="nil"/>
              <w:right w:val="nil"/>
            </w:tcBorders>
            <w:shd w:val="clear" w:color="auto" w:fill="auto"/>
            <w:vAlign w:val="center"/>
            <w:hideMark/>
          </w:tcPr>
          <w:p w14:paraId="571564F8" w14:textId="77777777" w:rsidR="00862A01" w:rsidRPr="00872D7E" w:rsidRDefault="00862A01" w:rsidP="00862A01">
            <w:pPr>
              <w:ind w:firstLineChars="200" w:firstLine="400"/>
              <w:rPr>
                <w:szCs w:val="20"/>
                <w:lang w:eastAsia="tr-TR"/>
              </w:rPr>
            </w:pPr>
          </w:p>
        </w:tc>
        <w:tc>
          <w:tcPr>
            <w:tcW w:w="883" w:type="pct"/>
            <w:tcBorders>
              <w:top w:val="nil"/>
              <w:left w:val="nil"/>
              <w:right w:val="nil"/>
            </w:tcBorders>
            <w:shd w:val="clear" w:color="auto" w:fill="auto"/>
            <w:noWrap/>
            <w:vAlign w:val="center"/>
            <w:hideMark/>
          </w:tcPr>
          <w:p w14:paraId="6ACF5263" w14:textId="77777777" w:rsidR="00862A01" w:rsidRPr="00872D7E" w:rsidRDefault="00862A01" w:rsidP="00862A01">
            <w:pPr>
              <w:jc w:val="right"/>
              <w:rPr>
                <w:szCs w:val="20"/>
                <w:lang w:eastAsia="tr-TR"/>
              </w:rPr>
            </w:pPr>
          </w:p>
        </w:tc>
        <w:tc>
          <w:tcPr>
            <w:tcW w:w="879" w:type="pct"/>
            <w:tcBorders>
              <w:top w:val="nil"/>
              <w:left w:val="nil"/>
              <w:right w:val="nil"/>
            </w:tcBorders>
            <w:shd w:val="clear" w:color="auto" w:fill="auto"/>
            <w:vAlign w:val="center"/>
            <w:hideMark/>
          </w:tcPr>
          <w:p w14:paraId="2E988711" w14:textId="77777777" w:rsidR="00862A01" w:rsidRPr="00872D7E" w:rsidRDefault="00862A01" w:rsidP="00862A01">
            <w:pPr>
              <w:jc w:val="right"/>
              <w:rPr>
                <w:szCs w:val="20"/>
                <w:lang w:eastAsia="tr-TR"/>
              </w:rPr>
            </w:pPr>
          </w:p>
        </w:tc>
        <w:tc>
          <w:tcPr>
            <w:tcW w:w="887" w:type="pct"/>
            <w:tcBorders>
              <w:top w:val="nil"/>
              <w:left w:val="nil"/>
              <w:right w:val="nil"/>
            </w:tcBorders>
            <w:shd w:val="clear" w:color="auto" w:fill="auto"/>
            <w:noWrap/>
            <w:vAlign w:val="center"/>
            <w:hideMark/>
          </w:tcPr>
          <w:p w14:paraId="2C826E9E" w14:textId="77777777" w:rsidR="00862A01" w:rsidRPr="00872D7E" w:rsidRDefault="00862A01" w:rsidP="00862A01">
            <w:pPr>
              <w:jc w:val="right"/>
              <w:rPr>
                <w:szCs w:val="20"/>
                <w:lang w:eastAsia="tr-TR"/>
              </w:rPr>
            </w:pPr>
          </w:p>
        </w:tc>
      </w:tr>
      <w:tr w:rsidR="00862A01" w:rsidRPr="00872D7E" w14:paraId="058E1133" w14:textId="77777777" w:rsidTr="00D80152">
        <w:trPr>
          <w:divId w:val="150951978"/>
          <w:trHeight w:val="227"/>
        </w:trPr>
        <w:tc>
          <w:tcPr>
            <w:tcW w:w="1468" w:type="pct"/>
            <w:tcBorders>
              <w:top w:val="nil"/>
              <w:left w:val="nil"/>
              <w:bottom w:val="single" w:sz="8" w:space="0" w:color="auto"/>
              <w:right w:val="nil"/>
            </w:tcBorders>
            <w:shd w:val="clear" w:color="auto" w:fill="auto"/>
            <w:noWrap/>
            <w:vAlign w:val="center"/>
            <w:hideMark/>
          </w:tcPr>
          <w:p w14:paraId="32DE0084" w14:textId="77777777" w:rsidR="00862A01" w:rsidRPr="00872D7E" w:rsidRDefault="00862A01" w:rsidP="00862A01">
            <w:pPr>
              <w:rPr>
                <w:b/>
                <w:bCs/>
                <w:color w:val="000000"/>
                <w:szCs w:val="20"/>
                <w:lang w:eastAsia="tr-TR"/>
              </w:rPr>
            </w:pPr>
            <w:r w:rsidRPr="00872D7E">
              <w:rPr>
                <w:b/>
                <w:bCs/>
                <w:color w:val="000000"/>
                <w:szCs w:val="20"/>
                <w:lang w:eastAsia="tr-TR"/>
              </w:rPr>
              <w:t>Toplam</w:t>
            </w:r>
          </w:p>
        </w:tc>
        <w:tc>
          <w:tcPr>
            <w:tcW w:w="883" w:type="pct"/>
            <w:tcBorders>
              <w:top w:val="nil"/>
              <w:left w:val="nil"/>
              <w:bottom w:val="single" w:sz="8" w:space="0" w:color="auto"/>
              <w:right w:val="nil"/>
            </w:tcBorders>
            <w:shd w:val="clear" w:color="auto" w:fill="auto"/>
            <w:vAlign w:val="center"/>
            <w:hideMark/>
          </w:tcPr>
          <w:p w14:paraId="09C68A32" w14:textId="77777777" w:rsidR="00862A01" w:rsidRPr="00872D7E" w:rsidRDefault="00862A01" w:rsidP="00862A01">
            <w:pPr>
              <w:jc w:val="right"/>
              <w:rPr>
                <w:b/>
                <w:bCs/>
                <w:color w:val="000000"/>
                <w:szCs w:val="20"/>
                <w:lang w:eastAsia="tr-TR"/>
              </w:rPr>
            </w:pPr>
            <w:r w:rsidRPr="00872D7E">
              <w:rPr>
                <w:b/>
                <w:bCs/>
                <w:color w:val="000000"/>
                <w:szCs w:val="20"/>
                <w:lang w:eastAsia="tr-TR"/>
              </w:rPr>
              <w:t>72</w:t>
            </w:r>
          </w:p>
        </w:tc>
        <w:tc>
          <w:tcPr>
            <w:tcW w:w="883" w:type="pct"/>
            <w:tcBorders>
              <w:top w:val="nil"/>
              <w:left w:val="nil"/>
              <w:bottom w:val="single" w:sz="8" w:space="0" w:color="auto"/>
              <w:right w:val="nil"/>
            </w:tcBorders>
            <w:shd w:val="clear" w:color="auto" w:fill="auto"/>
            <w:vAlign w:val="center"/>
            <w:hideMark/>
          </w:tcPr>
          <w:p w14:paraId="20B04328" w14:textId="77777777" w:rsidR="00862A01" w:rsidRPr="00872D7E" w:rsidRDefault="00862A01" w:rsidP="00862A01">
            <w:pPr>
              <w:jc w:val="right"/>
              <w:rPr>
                <w:b/>
                <w:bCs/>
                <w:color w:val="000000"/>
                <w:szCs w:val="20"/>
                <w:lang w:eastAsia="tr-TR"/>
              </w:rPr>
            </w:pPr>
            <w:r w:rsidRPr="00872D7E">
              <w:rPr>
                <w:b/>
                <w:bCs/>
                <w:color w:val="000000"/>
                <w:szCs w:val="20"/>
                <w:lang w:eastAsia="tr-TR"/>
              </w:rPr>
              <w:t>26.074</w:t>
            </w:r>
          </w:p>
        </w:tc>
        <w:tc>
          <w:tcPr>
            <w:tcW w:w="879" w:type="pct"/>
            <w:tcBorders>
              <w:top w:val="nil"/>
              <w:left w:val="nil"/>
              <w:bottom w:val="single" w:sz="8" w:space="0" w:color="auto"/>
              <w:right w:val="nil"/>
            </w:tcBorders>
            <w:shd w:val="clear" w:color="auto" w:fill="auto"/>
            <w:vAlign w:val="center"/>
            <w:hideMark/>
          </w:tcPr>
          <w:p w14:paraId="250D28B4" w14:textId="77777777" w:rsidR="00862A01" w:rsidRPr="00872D7E" w:rsidRDefault="00862A01" w:rsidP="00862A01">
            <w:pPr>
              <w:jc w:val="right"/>
              <w:rPr>
                <w:b/>
                <w:bCs/>
                <w:color w:val="000000"/>
                <w:szCs w:val="20"/>
                <w:lang w:eastAsia="tr-TR"/>
              </w:rPr>
            </w:pPr>
            <w:r w:rsidRPr="00872D7E">
              <w:rPr>
                <w:b/>
                <w:bCs/>
                <w:color w:val="000000"/>
                <w:szCs w:val="20"/>
                <w:lang w:eastAsia="tr-TR"/>
              </w:rPr>
              <w:t>-</w:t>
            </w:r>
          </w:p>
        </w:tc>
        <w:tc>
          <w:tcPr>
            <w:tcW w:w="887" w:type="pct"/>
            <w:tcBorders>
              <w:top w:val="nil"/>
              <w:left w:val="nil"/>
              <w:bottom w:val="single" w:sz="8" w:space="0" w:color="auto"/>
              <w:right w:val="nil"/>
            </w:tcBorders>
            <w:shd w:val="clear" w:color="auto" w:fill="auto"/>
            <w:vAlign w:val="center"/>
            <w:hideMark/>
          </w:tcPr>
          <w:p w14:paraId="04DF4CB3" w14:textId="77777777" w:rsidR="00862A01" w:rsidRPr="00872D7E" w:rsidRDefault="00862A01" w:rsidP="00862A01">
            <w:pPr>
              <w:jc w:val="right"/>
              <w:rPr>
                <w:b/>
                <w:bCs/>
                <w:color w:val="000000"/>
                <w:szCs w:val="20"/>
                <w:lang w:eastAsia="tr-TR"/>
              </w:rPr>
            </w:pPr>
            <w:r w:rsidRPr="00872D7E">
              <w:rPr>
                <w:b/>
                <w:bCs/>
                <w:color w:val="000000"/>
                <w:szCs w:val="20"/>
                <w:lang w:eastAsia="tr-TR"/>
              </w:rPr>
              <w:t>-</w:t>
            </w:r>
          </w:p>
        </w:tc>
      </w:tr>
    </w:tbl>
    <w:p w14:paraId="22D82A95" w14:textId="0B5F1FF8" w:rsidR="00615209" w:rsidRPr="00872D7E" w:rsidRDefault="00615209" w:rsidP="00926E19">
      <w:pPr>
        <w:pStyle w:val="BodyTextIndent"/>
        <w:widowControl w:val="0"/>
        <w:ind w:left="851" w:right="-110" w:hanging="1"/>
        <w:rPr>
          <w:bCs/>
          <w:szCs w:val="20"/>
        </w:rPr>
      </w:pPr>
    </w:p>
    <w:p w14:paraId="120FAA2B" w14:textId="77777777" w:rsidR="00CE3509" w:rsidRPr="00872D7E" w:rsidRDefault="00CE3509" w:rsidP="00DF282B">
      <w:pPr>
        <w:pStyle w:val="ListParagraph"/>
        <w:widowControl w:val="0"/>
        <w:numPr>
          <w:ilvl w:val="0"/>
          <w:numId w:val="67"/>
        </w:numPr>
        <w:ind w:left="851" w:hanging="851"/>
        <w:jc w:val="both"/>
        <w:rPr>
          <w:b/>
          <w:szCs w:val="20"/>
        </w:rPr>
      </w:pPr>
      <w:r w:rsidRPr="00872D7E">
        <w:rPr>
          <w:b/>
          <w:szCs w:val="20"/>
        </w:rPr>
        <w:t>Kiralama işlemlerinden yükümlülüklere ilişkin bilgiler (Net):</w:t>
      </w:r>
    </w:p>
    <w:p w14:paraId="2128B512" w14:textId="36DB0517" w:rsidR="00862A01" w:rsidRPr="00872D7E" w:rsidRDefault="00862A01" w:rsidP="00FF6583">
      <w:pPr>
        <w:widowControl w:val="0"/>
        <w:ind w:left="180"/>
        <w:jc w:val="both"/>
        <w:rPr>
          <w:szCs w:val="20"/>
        </w:rPr>
      </w:pPr>
    </w:p>
    <w:tbl>
      <w:tblPr>
        <w:tblW w:w="9340" w:type="dxa"/>
        <w:tblCellMar>
          <w:left w:w="70" w:type="dxa"/>
          <w:right w:w="70" w:type="dxa"/>
        </w:tblCellMar>
        <w:tblLook w:val="04A0" w:firstRow="1" w:lastRow="0" w:firstColumn="1" w:lastColumn="0" w:noHBand="0" w:noVBand="1"/>
      </w:tblPr>
      <w:tblGrid>
        <w:gridCol w:w="3477"/>
        <w:gridCol w:w="1759"/>
        <w:gridCol w:w="1232"/>
        <w:gridCol w:w="1360"/>
        <w:gridCol w:w="1512"/>
      </w:tblGrid>
      <w:tr w:rsidR="00862A01" w:rsidRPr="00872D7E" w14:paraId="10635EC3" w14:textId="77777777" w:rsidTr="00862A01">
        <w:trPr>
          <w:divId w:val="100491553"/>
          <w:trHeight w:val="227"/>
        </w:trPr>
        <w:tc>
          <w:tcPr>
            <w:tcW w:w="3477" w:type="dxa"/>
            <w:tcBorders>
              <w:top w:val="nil"/>
              <w:left w:val="nil"/>
              <w:bottom w:val="nil"/>
              <w:right w:val="nil"/>
            </w:tcBorders>
            <w:shd w:val="clear" w:color="auto" w:fill="auto"/>
            <w:vAlign w:val="center"/>
            <w:hideMark/>
          </w:tcPr>
          <w:p w14:paraId="4C4F63DF" w14:textId="148082DB" w:rsidR="00862A01" w:rsidRPr="00872D7E" w:rsidRDefault="00862A01" w:rsidP="00862A01">
            <w:pPr>
              <w:rPr>
                <w:szCs w:val="20"/>
              </w:rPr>
            </w:pPr>
          </w:p>
        </w:tc>
        <w:tc>
          <w:tcPr>
            <w:tcW w:w="2991" w:type="dxa"/>
            <w:gridSpan w:val="2"/>
            <w:tcBorders>
              <w:top w:val="nil"/>
              <w:left w:val="nil"/>
              <w:bottom w:val="single" w:sz="4" w:space="0" w:color="auto"/>
              <w:right w:val="nil"/>
            </w:tcBorders>
            <w:shd w:val="clear" w:color="auto" w:fill="auto"/>
            <w:noWrap/>
            <w:vAlign w:val="bottom"/>
            <w:hideMark/>
          </w:tcPr>
          <w:p w14:paraId="1CB742E5" w14:textId="77777777" w:rsidR="00862A01" w:rsidRPr="00872D7E" w:rsidRDefault="00862A01" w:rsidP="00862A01">
            <w:pPr>
              <w:jc w:val="center"/>
              <w:rPr>
                <w:b/>
                <w:bCs/>
                <w:szCs w:val="20"/>
              </w:rPr>
            </w:pPr>
            <w:r w:rsidRPr="00872D7E">
              <w:rPr>
                <w:b/>
                <w:bCs/>
                <w:szCs w:val="20"/>
              </w:rPr>
              <w:t>31 Aralık 2024</w:t>
            </w:r>
          </w:p>
        </w:tc>
        <w:tc>
          <w:tcPr>
            <w:tcW w:w="2872" w:type="dxa"/>
            <w:gridSpan w:val="2"/>
            <w:tcBorders>
              <w:top w:val="nil"/>
              <w:left w:val="nil"/>
              <w:bottom w:val="single" w:sz="4" w:space="0" w:color="auto"/>
              <w:right w:val="nil"/>
            </w:tcBorders>
            <w:shd w:val="clear" w:color="auto" w:fill="auto"/>
            <w:noWrap/>
            <w:vAlign w:val="bottom"/>
            <w:hideMark/>
          </w:tcPr>
          <w:p w14:paraId="3D8E1FB6" w14:textId="77777777" w:rsidR="00862A01" w:rsidRPr="00872D7E" w:rsidRDefault="00862A01" w:rsidP="00862A01">
            <w:pPr>
              <w:jc w:val="center"/>
              <w:rPr>
                <w:b/>
                <w:bCs/>
                <w:szCs w:val="20"/>
              </w:rPr>
            </w:pPr>
            <w:r w:rsidRPr="00872D7E">
              <w:rPr>
                <w:b/>
                <w:bCs/>
                <w:szCs w:val="20"/>
              </w:rPr>
              <w:t>1 Ocak 2024</w:t>
            </w:r>
          </w:p>
        </w:tc>
      </w:tr>
      <w:tr w:rsidR="00862A01" w:rsidRPr="00872D7E" w14:paraId="3EADB986" w14:textId="77777777" w:rsidTr="00862A01">
        <w:trPr>
          <w:divId w:val="100491553"/>
          <w:trHeight w:val="227"/>
        </w:trPr>
        <w:tc>
          <w:tcPr>
            <w:tcW w:w="3477" w:type="dxa"/>
            <w:tcBorders>
              <w:top w:val="nil"/>
              <w:left w:val="nil"/>
              <w:bottom w:val="nil"/>
              <w:right w:val="nil"/>
            </w:tcBorders>
            <w:shd w:val="clear" w:color="auto" w:fill="auto"/>
            <w:vAlign w:val="center"/>
            <w:hideMark/>
          </w:tcPr>
          <w:p w14:paraId="4F3729EB" w14:textId="77777777" w:rsidR="00862A01" w:rsidRPr="00872D7E" w:rsidRDefault="00862A01" w:rsidP="00862A01">
            <w:pPr>
              <w:rPr>
                <w:szCs w:val="20"/>
              </w:rPr>
            </w:pPr>
          </w:p>
        </w:tc>
        <w:tc>
          <w:tcPr>
            <w:tcW w:w="1759" w:type="dxa"/>
            <w:tcBorders>
              <w:top w:val="nil"/>
              <w:left w:val="nil"/>
              <w:bottom w:val="single" w:sz="4" w:space="0" w:color="auto"/>
              <w:right w:val="nil"/>
            </w:tcBorders>
            <w:shd w:val="clear" w:color="auto" w:fill="auto"/>
            <w:noWrap/>
            <w:vAlign w:val="center"/>
            <w:hideMark/>
          </w:tcPr>
          <w:p w14:paraId="124FF65D" w14:textId="77777777" w:rsidR="00862A01" w:rsidRPr="00872D7E" w:rsidRDefault="00862A01" w:rsidP="00862A01">
            <w:pPr>
              <w:jc w:val="center"/>
              <w:rPr>
                <w:b/>
                <w:bCs/>
                <w:szCs w:val="20"/>
              </w:rPr>
            </w:pPr>
            <w:r w:rsidRPr="00872D7E">
              <w:rPr>
                <w:b/>
                <w:bCs/>
                <w:szCs w:val="20"/>
              </w:rPr>
              <w:t>TP</w:t>
            </w:r>
          </w:p>
        </w:tc>
        <w:tc>
          <w:tcPr>
            <w:tcW w:w="1232" w:type="dxa"/>
            <w:tcBorders>
              <w:top w:val="nil"/>
              <w:left w:val="nil"/>
              <w:bottom w:val="single" w:sz="4" w:space="0" w:color="auto"/>
              <w:right w:val="nil"/>
            </w:tcBorders>
            <w:shd w:val="clear" w:color="auto" w:fill="auto"/>
            <w:noWrap/>
            <w:vAlign w:val="center"/>
            <w:hideMark/>
          </w:tcPr>
          <w:p w14:paraId="20AB0708" w14:textId="77777777" w:rsidR="00862A01" w:rsidRPr="00872D7E" w:rsidRDefault="00862A01" w:rsidP="00862A01">
            <w:pPr>
              <w:jc w:val="center"/>
              <w:rPr>
                <w:b/>
                <w:bCs/>
                <w:szCs w:val="20"/>
              </w:rPr>
            </w:pPr>
            <w:r w:rsidRPr="00872D7E">
              <w:rPr>
                <w:b/>
                <w:bCs/>
                <w:szCs w:val="20"/>
              </w:rPr>
              <w:t>YP</w:t>
            </w:r>
          </w:p>
        </w:tc>
        <w:tc>
          <w:tcPr>
            <w:tcW w:w="1360" w:type="dxa"/>
            <w:tcBorders>
              <w:top w:val="nil"/>
              <w:left w:val="nil"/>
              <w:bottom w:val="single" w:sz="4" w:space="0" w:color="auto"/>
              <w:right w:val="nil"/>
            </w:tcBorders>
            <w:shd w:val="clear" w:color="auto" w:fill="auto"/>
            <w:vAlign w:val="center"/>
            <w:hideMark/>
          </w:tcPr>
          <w:p w14:paraId="5C398F0D" w14:textId="77777777" w:rsidR="00862A01" w:rsidRPr="00872D7E" w:rsidRDefault="00862A01" w:rsidP="00862A01">
            <w:pPr>
              <w:jc w:val="center"/>
              <w:rPr>
                <w:b/>
                <w:bCs/>
                <w:szCs w:val="20"/>
              </w:rPr>
            </w:pPr>
            <w:r w:rsidRPr="00872D7E">
              <w:rPr>
                <w:b/>
                <w:bCs/>
                <w:szCs w:val="20"/>
              </w:rPr>
              <w:t>TP</w:t>
            </w:r>
          </w:p>
        </w:tc>
        <w:tc>
          <w:tcPr>
            <w:tcW w:w="1512" w:type="dxa"/>
            <w:tcBorders>
              <w:top w:val="nil"/>
              <w:left w:val="nil"/>
              <w:bottom w:val="single" w:sz="4" w:space="0" w:color="auto"/>
              <w:right w:val="nil"/>
            </w:tcBorders>
            <w:shd w:val="clear" w:color="auto" w:fill="auto"/>
            <w:vAlign w:val="center"/>
            <w:hideMark/>
          </w:tcPr>
          <w:p w14:paraId="2731DB10" w14:textId="77777777" w:rsidR="00862A01" w:rsidRPr="00872D7E" w:rsidRDefault="00862A01" w:rsidP="00862A01">
            <w:pPr>
              <w:jc w:val="center"/>
              <w:rPr>
                <w:b/>
                <w:bCs/>
                <w:szCs w:val="20"/>
              </w:rPr>
            </w:pPr>
            <w:r w:rsidRPr="00872D7E">
              <w:rPr>
                <w:b/>
                <w:bCs/>
                <w:szCs w:val="20"/>
              </w:rPr>
              <w:t>YP</w:t>
            </w:r>
          </w:p>
        </w:tc>
      </w:tr>
      <w:tr w:rsidR="00862A01" w:rsidRPr="00872D7E" w14:paraId="5E9B3AFF" w14:textId="77777777" w:rsidTr="00862A01">
        <w:trPr>
          <w:divId w:val="100491553"/>
          <w:trHeight w:val="227"/>
        </w:trPr>
        <w:tc>
          <w:tcPr>
            <w:tcW w:w="3477" w:type="dxa"/>
            <w:tcBorders>
              <w:top w:val="nil"/>
              <w:left w:val="nil"/>
              <w:bottom w:val="nil"/>
              <w:right w:val="nil"/>
            </w:tcBorders>
            <w:shd w:val="clear" w:color="auto" w:fill="auto"/>
            <w:vAlign w:val="center"/>
            <w:hideMark/>
          </w:tcPr>
          <w:p w14:paraId="29B312D0" w14:textId="77777777" w:rsidR="00862A01" w:rsidRPr="00872D7E" w:rsidRDefault="00862A01" w:rsidP="00862A01">
            <w:pPr>
              <w:rPr>
                <w:szCs w:val="20"/>
              </w:rPr>
            </w:pPr>
          </w:p>
        </w:tc>
        <w:tc>
          <w:tcPr>
            <w:tcW w:w="1759" w:type="dxa"/>
            <w:tcBorders>
              <w:top w:val="nil"/>
              <w:left w:val="nil"/>
              <w:bottom w:val="nil"/>
              <w:right w:val="nil"/>
            </w:tcBorders>
            <w:shd w:val="clear" w:color="auto" w:fill="auto"/>
            <w:vAlign w:val="center"/>
            <w:hideMark/>
          </w:tcPr>
          <w:p w14:paraId="55E573D4" w14:textId="77777777" w:rsidR="00862A01" w:rsidRPr="00872D7E" w:rsidRDefault="00862A01" w:rsidP="00862A01">
            <w:pPr>
              <w:rPr>
                <w:szCs w:val="20"/>
              </w:rPr>
            </w:pPr>
          </w:p>
        </w:tc>
        <w:tc>
          <w:tcPr>
            <w:tcW w:w="1232" w:type="dxa"/>
            <w:tcBorders>
              <w:top w:val="nil"/>
              <w:left w:val="nil"/>
              <w:bottom w:val="nil"/>
              <w:right w:val="nil"/>
            </w:tcBorders>
            <w:shd w:val="clear" w:color="auto" w:fill="auto"/>
            <w:vAlign w:val="center"/>
            <w:hideMark/>
          </w:tcPr>
          <w:p w14:paraId="5E9963AE" w14:textId="77777777" w:rsidR="00862A01" w:rsidRPr="00872D7E" w:rsidRDefault="00862A01" w:rsidP="00862A01">
            <w:pPr>
              <w:rPr>
                <w:szCs w:val="20"/>
              </w:rPr>
            </w:pPr>
          </w:p>
        </w:tc>
        <w:tc>
          <w:tcPr>
            <w:tcW w:w="1360" w:type="dxa"/>
            <w:tcBorders>
              <w:top w:val="nil"/>
              <w:left w:val="nil"/>
              <w:bottom w:val="nil"/>
              <w:right w:val="nil"/>
            </w:tcBorders>
            <w:shd w:val="clear" w:color="auto" w:fill="auto"/>
            <w:vAlign w:val="center"/>
            <w:hideMark/>
          </w:tcPr>
          <w:p w14:paraId="3D91F7FB" w14:textId="77777777" w:rsidR="00862A01" w:rsidRPr="00872D7E" w:rsidRDefault="00862A01" w:rsidP="00862A01">
            <w:pPr>
              <w:rPr>
                <w:szCs w:val="20"/>
              </w:rPr>
            </w:pPr>
          </w:p>
        </w:tc>
        <w:tc>
          <w:tcPr>
            <w:tcW w:w="1512" w:type="dxa"/>
            <w:tcBorders>
              <w:top w:val="nil"/>
              <w:left w:val="nil"/>
              <w:bottom w:val="nil"/>
              <w:right w:val="nil"/>
            </w:tcBorders>
            <w:shd w:val="clear" w:color="auto" w:fill="auto"/>
            <w:vAlign w:val="center"/>
            <w:hideMark/>
          </w:tcPr>
          <w:p w14:paraId="23E335FF" w14:textId="77777777" w:rsidR="00862A01" w:rsidRPr="00872D7E" w:rsidRDefault="00862A01" w:rsidP="00862A01">
            <w:pPr>
              <w:rPr>
                <w:szCs w:val="20"/>
              </w:rPr>
            </w:pPr>
          </w:p>
        </w:tc>
      </w:tr>
      <w:tr w:rsidR="00862A01" w:rsidRPr="00872D7E" w14:paraId="6B41EEF8" w14:textId="77777777" w:rsidTr="00862A01">
        <w:trPr>
          <w:divId w:val="100491553"/>
          <w:trHeight w:val="227"/>
        </w:trPr>
        <w:tc>
          <w:tcPr>
            <w:tcW w:w="3477" w:type="dxa"/>
            <w:tcBorders>
              <w:top w:val="nil"/>
              <w:left w:val="nil"/>
              <w:bottom w:val="nil"/>
              <w:right w:val="nil"/>
            </w:tcBorders>
            <w:shd w:val="clear" w:color="auto" w:fill="auto"/>
            <w:vAlign w:val="center"/>
            <w:hideMark/>
          </w:tcPr>
          <w:p w14:paraId="04332DCB" w14:textId="77777777" w:rsidR="00862A01" w:rsidRPr="00872D7E" w:rsidRDefault="00862A01" w:rsidP="00862A01">
            <w:pPr>
              <w:rPr>
                <w:szCs w:val="20"/>
              </w:rPr>
            </w:pPr>
            <w:r w:rsidRPr="00872D7E">
              <w:rPr>
                <w:szCs w:val="20"/>
              </w:rPr>
              <w:t>1 yıldan az</w:t>
            </w:r>
          </w:p>
        </w:tc>
        <w:tc>
          <w:tcPr>
            <w:tcW w:w="1759" w:type="dxa"/>
            <w:tcBorders>
              <w:top w:val="nil"/>
              <w:left w:val="nil"/>
              <w:bottom w:val="nil"/>
              <w:right w:val="nil"/>
            </w:tcBorders>
            <w:shd w:val="clear" w:color="auto" w:fill="auto"/>
            <w:noWrap/>
            <w:vAlign w:val="center"/>
            <w:hideMark/>
          </w:tcPr>
          <w:p w14:paraId="3A708077" w14:textId="77777777" w:rsidR="00862A01" w:rsidRPr="00872D7E" w:rsidRDefault="00862A01" w:rsidP="00862A01">
            <w:pPr>
              <w:jc w:val="right"/>
              <w:rPr>
                <w:szCs w:val="20"/>
              </w:rPr>
            </w:pPr>
            <w:r w:rsidRPr="00872D7E">
              <w:rPr>
                <w:szCs w:val="20"/>
              </w:rPr>
              <w:t>6.515</w:t>
            </w:r>
          </w:p>
        </w:tc>
        <w:tc>
          <w:tcPr>
            <w:tcW w:w="1232" w:type="dxa"/>
            <w:tcBorders>
              <w:top w:val="nil"/>
              <w:left w:val="nil"/>
              <w:bottom w:val="nil"/>
              <w:right w:val="nil"/>
            </w:tcBorders>
            <w:shd w:val="clear" w:color="auto" w:fill="auto"/>
            <w:noWrap/>
            <w:vAlign w:val="center"/>
            <w:hideMark/>
          </w:tcPr>
          <w:p w14:paraId="08FD2628" w14:textId="77777777" w:rsidR="00862A01" w:rsidRPr="00872D7E" w:rsidRDefault="00862A01" w:rsidP="00862A01">
            <w:pPr>
              <w:jc w:val="right"/>
              <w:rPr>
                <w:szCs w:val="20"/>
              </w:rPr>
            </w:pPr>
            <w:r w:rsidRPr="00872D7E">
              <w:rPr>
                <w:szCs w:val="20"/>
              </w:rPr>
              <w:t>-</w:t>
            </w:r>
          </w:p>
        </w:tc>
        <w:tc>
          <w:tcPr>
            <w:tcW w:w="1360" w:type="dxa"/>
            <w:tcBorders>
              <w:top w:val="nil"/>
              <w:left w:val="nil"/>
              <w:bottom w:val="nil"/>
              <w:right w:val="nil"/>
            </w:tcBorders>
            <w:shd w:val="clear" w:color="auto" w:fill="auto"/>
            <w:noWrap/>
            <w:vAlign w:val="center"/>
            <w:hideMark/>
          </w:tcPr>
          <w:p w14:paraId="72AD8699" w14:textId="77777777" w:rsidR="00862A01" w:rsidRPr="00872D7E" w:rsidRDefault="00862A01" w:rsidP="00862A01">
            <w:pPr>
              <w:jc w:val="right"/>
              <w:rPr>
                <w:szCs w:val="20"/>
              </w:rPr>
            </w:pPr>
            <w:r w:rsidRPr="00872D7E">
              <w:rPr>
                <w:szCs w:val="20"/>
              </w:rPr>
              <w:t>1.621</w:t>
            </w:r>
          </w:p>
        </w:tc>
        <w:tc>
          <w:tcPr>
            <w:tcW w:w="1512" w:type="dxa"/>
            <w:tcBorders>
              <w:top w:val="nil"/>
              <w:left w:val="nil"/>
              <w:bottom w:val="nil"/>
              <w:right w:val="nil"/>
            </w:tcBorders>
            <w:shd w:val="clear" w:color="auto" w:fill="auto"/>
            <w:noWrap/>
            <w:vAlign w:val="center"/>
            <w:hideMark/>
          </w:tcPr>
          <w:p w14:paraId="06119306" w14:textId="77777777" w:rsidR="00862A01" w:rsidRPr="00872D7E" w:rsidRDefault="00862A01" w:rsidP="00862A01">
            <w:pPr>
              <w:jc w:val="right"/>
              <w:rPr>
                <w:szCs w:val="20"/>
              </w:rPr>
            </w:pPr>
            <w:r w:rsidRPr="00872D7E">
              <w:rPr>
                <w:szCs w:val="20"/>
              </w:rPr>
              <w:t>-</w:t>
            </w:r>
          </w:p>
        </w:tc>
      </w:tr>
      <w:tr w:rsidR="00862A01" w:rsidRPr="00872D7E" w14:paraId="133622F1" w14:textId="77777777" w:rsidTr="00862A01">
        <w:trPr>
          <w:divId w:val="100491553"/>
          <w:trHeight w:val="227"/>
        </w:trPr>
        <w:tc>
          <w:tcPr>
            <w:tcW w:w="3477" w:type="dxa"/>
            <w:tcBorders>
              <w:top w:val="nil"/>
              <w:left w:val="nil"/>
              <w:bottom w:val="nil"/>
              <w:right w:val="nil"/>
            </w:tcBorders>
            <w:shd w:val="clear" w:color="auto" w:fill="auto"/>
            <w:vAlign w:val="center"/>
            <w:hideMark/>
          </w:tcPr>
          <w:p w14:paraId="5B799D39" w14:textId="77777777" w:rsidR="00862A01" w:rsidRPr="00872D7E" w:rsidRDefault="00862A01" w:rsidP="00862A01">
            <w:pPr>
              <w:rPr>
                <w:szCs w:val="20"/>
              </w:rPr>
            </w:pPr>
            <w:r w:rsidRPr="00872D7E">
              <w:rPr>
                <w:szCs w:val="20"/>
              </w:rPr>
              <w:t>1-4 yıl arası</w:t>
            </w:r>
          </w:p>
        </w:tc>
        <w:tc>
          <w:tcPr>
            <w:tcW w:w="1759" w:type="dxa"/>
            <w:tcBorders>
              <w:top w:val="nil"/>
              <w:left w:val="nil"/>
              <w:bottom w:val="nil"/>
              <w:right w:val="nil"/>
            </w:tcBorders>
            <w:shd w:val="clear" w:color="auto" w:fill="auto"/>
            <w:noWrap/>
            <w:vAlign w:val="center"/>
            <w:hideMark/>
          </w:tcPr>
          <w:p w14:paraId="63917ABB" w14:textId="77777777" w:rsidR="00862A01" w:rsidRPr="00872D7E" w:rsidRDefault="00862A01" w:rsidP="00862A01">
            <w:pPr>
              <w:jc w:val="right"/>
              <w:rPr>
                <w:szCs w:val="20"/>
              </w:rPr>
            </w:pPr>
            <w:r w:rsidRPr="00872D7E">
              <w:rPr>
                <w:szCs w:val="20"/>
              </w:rPr>
              <w:t>50.423</w:t>
            </w:r>
          </w:p>
        </w:tc>
        <w:tc>
          <w:tcPr>
            <w:tcW w:w="1232" w:type="dxa"/>
            <w:tcBorders>
              <w:top w:val="nil"/>
              <w:left w:val="nil"/>
              <w:bottom w:val="nil"/>
              <w:right w:val="nil"/>
            </w:tcBorders>
            <w:shd w:val="clear" w:color="auto" w:fill="auto"/>
            <w:noWrap/>
            <w:vAlign w:val="center"/>
            <w:hideMark/>
          </w:tcPr>
          <w:p w14:paraId="5F1E4EC5" w14:textId="77777777" w:rsidR="00862A01" w:rsidRPr="00872D7E" w:rsidRDefault="00862A01" w:rsidP="00862A01">
            <w:pPr>
              <w:jc w:val="right"/>
              <w:rPr>
                <w:szCs w:val="20"/>
              </w:rPr>
            </w:pPr>
            <w:r w:rsidRPr="00872D7E">
              <w:rPr>
                <w:szCs w:val="20"/>
              </w:rPr>
              <w:t>-</w:t>
            </w:r>
          </w:p>
        </w:tc>
        <w:tc>
          <w:tcPr>
            <w:tcW w:w="1360" w:type="dxa"/>
            <w:tcBorders>
              <w:top w:val="nil"/>
              <w:left w:val="nil"/>
              <w:bottom w:val="nil"/>
              <w:right w:val="nil"/>
            </w:tcBorders>
            <w:shd w:val="clear" w:color="auto" w:fill="auto"/>
            <w:noWrap/>
            <w:vAlign w:val="center"/>
            <w:hideMark/>
          </w:tcPr>
          <w:p w14:paraId="28C0B88E" w14:textId="77777777" w:rsidR="00862A01" w:rsidRPr="00872D7E" w:rsidRDefault="00862A01" w:rsidP="00862A01">
            <w:pPr>
              <w:jc w:val="right"/>
              <w:rPr>
                <w:szCs w:val="20"/>
              </w:rPr>
            </w:pPr>
            <w:r w:rsidRPr="00872D7E">
              <w:rPr>
                <w:szCs w:val="20"/>
              </w:rPr>
              <w:t>4.124</w:t>
            </w:r>
          </w:p>
        </w:tc>
        <w:tc>
          <w:tcPr>
            <w:tcW w:w="1512" w:type="dxa"/>
            <w:tcBorders>
              <w:top w:val="nil"/>
              <w:left w:val="nil"/>
              <w:bottom w:val="nil"/>
              <w:right w:val="nil"/>
            </w:tcBorders>
            <w:shd w:val="clear" w:color="auto" w:fill="auto"/>
            <w:noWrap/>
            <w:vAlign w:val="center"/>
            <w:hideMark/>
          </w:tcPr>
          <w:p w14:paraId="0474E306" w14:textId="77777777" w:rsidR="00862A01" w:rsidRPr="00872D7E" w:rsidRDefault="00862A01" w:rsidP="00862A01">
            <w:pPr>
              <w:jc w:val="right"/>
              <w:rPr>
                <w:szCs w:val="20"/>
              </w:rPr>
            </w:pPr>
            <w:r w:rsidRPr="00872D7E">
              <w:rPr>
                <w:szCs w:val="20"/>
              </w:rPr>
              <w:t>-</w:t>
            </w:r>
          </w:p>
        </w:tc>
      </w:tr>
      <w:tr w:rsidR="00862A01" w:rsidRPr="00872D7E" w14:paraId="50B24E57" w14:textId="77777777" w:rsidTr="00862A01">
        <w:trPr>
          <w:divId w:val="100491553"/>
          <w:trHeight w:val="227"/>
        </w:trPr>
        <w:tc>
          <w:tcPr>
            <w:tcW w:w="3477" w:type="dxa"/>
            <w:tcBorders>
              <w:top w:val="nil"/>
              <w:left w:val="nil"/>
              <w:bottom w:val="single" w:sz="4" w:space="0" w:color="auto"/>
              <w:right w:val="nil"/>
            </w:tcBorders>
            <w:shd w:val="clear" w:color="auto" w:fill="auto"/>
            <w:vAlign w:val="center"/>
            <w:hideMark/>
          </w:tcPr>
          <w:p w14:paraId="1EE72F26" w14:textId="77777777" w:rsidR="00862A01" w:rsidRPr="00872D7E" w:rsidRDefault="00862A01" w:rsidP="00862A01">
            <w:pPr>
              <w:rPr>
                <w:szCs w:val="20"/>
              </w:rPr>
            </w:pPr>
            <w:r w:rsidRPr="00872D7E">
              <w:rPr>
                <w:szCs w:val="20"/>
              </w:rPr>
              <w:t>4 yıldan fazla</w:t>
            </w:r>
          </w:p>
        </w:tc>
        <w:tc>
          <w:tcPr>
            <w:tcW w:w="1759" w:type="dxa"/>
            <w:tcBorders>
              <w:top w:val="nil"/>
              <w:left w:val="nil"/>
              <w:bottom w:val="single" w:sz="4" w:space="0" w:color="auto"/>
              <w:right w:val="nil"/>
            </w:tcBorders>
            <w:shd w:val="clear" w:color="auto" w:fill="auto"/>
            <w:noWrap/>
            <w:vAlign w:val="center"/>
            <w:hideMark/>
          </w:tcPr>
          <w:p w14:paraId="2608961B" w14:textId="77777777" w:rsidR="00862A01" w:rsidRPr="00872D7E" w:rsidRDefault="00862A01" w:rsidP="00862A01">
            <w:pPr>
              <w:jc w:val="right"/>
              <w:rPr>
                <w:szCs w:val="20"/>
              </w:rPr>
            </w:pPr>
            <w:r w:rsidRPr="00872D7E">
              <w:rPr>
                <w:szCs w:val="20"/>
              </w:rPr>
              <w:t>61.166</w:t>
            </w:r>
          </w:p>
        </w:tc>
        <w:tc>
          <w:tcPr>
            <w:tcW w:w="1232" w:type="dxa"/>
            <w:tcBorders>
              <w:top w:val="nil"/>
              <w:left w:val="nil"/>
              <w:bottom w:val="single" w:sz="4" w:space="0" w:color="auto"/>
              <w:right w:val="nil"/>
            </w:tcBorders>
            <w:shd w:val="clear" w:color="auto" w:fill="auto"/>
            <w:noWrap/>
            <w:vAlign w:val="center"/>
            <w:hideMark/>
          </w:tcPr>
          <w:p w14:paraId="3273405C" w14:textId="77777777" w:rsidR="00862A01" w:rsidRPr="00872D7E" w:rsidRDefault="00862A01" w:rsidP="00862A01">
            <w:pPr>
              <w:jc w:val="right"/>
              <w:rPr>
                <w:szCs w:val="20"/>
              </w:rPr>
            </w:pPr>
            <w:r w:rsidRPr="00872D7E">
              <w:rPr>
                <w:szCs w:val="20"/>
              </w:rPr>
              <w:t>-</w:t>
            </w:r>
          </w:p>
        </w:tc>
        <w:tc>
          <w:tcPr>
            <w:tcW w:w="1360" w:type="dxa"/>
            <w:tcBorders>
              <w:top w:val="nil"/>
              <w:left w:val="nil"/>
              <w:bottom w:val="single" w:sz="4" w:space="0" w:color="auto"/>
              <w:right w:val="nil"/>
            </w:tcBorders>
            <w:shd w:val="clear" w:color="auto" w:fill="auto"/>
            <w:noWrap/>
            <w:vAlign w:val="center"/>
            <w:hideMark/>
          </w:tcPr>
          <w:p w14:paraId="0A78C5E5" w14:textId="77777777" w:rsidR="00862A01" w:rsidRPr="00872D7E" w:rsidRDefault="00862A01" w:rsidP="00862A01">
            <w:pPr>
              <w:jc w:val="right"/>
              <w:rPr>
                <w:szCs w:val="20"/>
              </w:rPr>
            </w:pPr>
            <w:r w:rsidRPr="00872D7E">
              <w:rPr>
                <w:szCs w:val="20"/>
              </w:rPr>
              <w:t>-</w:t>
            </w:r>
          </w:p>
        </w:tc>
        <w:tc>
          <w:tcPr>
            <w:tcW w:w="1512" w:type="dxa"/>
            <w:tcBorders>
              <w:top w:val="nil"/>
              <w:left w:val="nil"/>
              <w:bottom w:val="single" w:sz="4" w:space="0" w:color="auto"/>
              <w:right w:val="nil"/>
            </w:tcBorders>
            <w:shd w:val="clear" w:color="auto" w:fill="auto"/>
            <w:noWrap/>
            <w:vAlign w:val="center"/>
            <w:hideMark/>
          </w:tcPr>
          <w:p w14:paraId="564C85B5" w14:textId="77777777" w:rsidR="00862A01" w:rsidRPr="00872D7E" w:rsidRDefault="00862A01" w:rsidP="00862A01">
            <w:pPr>
              <w:jc w:val="right"/>
              <w:rPr>
                <w:szCs w:val="20"/>
              </w:rPr>
            </w:pPr>
            <w:r w:rsidRPr="00872D7E">
              <w:rPr>
                <w:szCs w:val="20"/>
              </w:rPr>
              <w:t>-</w:t>
            </w:r>
          </w:p>
        </w:tc>
      </w:tr>
      <w:tr w:rsidR="00862A01" w:rsidRPr="00872D7E" w14:paraId="316D0C77" w14:textId="77777777" w:rsidTr="00862A01">
        <w:trPr>
          <w:divId w:val="100491553"/>
          <w:trHeight w:val="227"/>
        </w:trPr>
        <w:tc>
          <w:tcPr>
            <w:tcW w:w="3477" w:type="dxa"/>
            <w:tcBorders>
              <w:top w:val="nil"/>
              <w:left w:val="nil"/>
              <w:right w:val="nil"/>
            </w:tcBorders>
            <w:shd w:val="clear" w:color="auto" w:fill="auto"/>
            <w:vAlign w:val="center"/>
            <w:hideMark/>
          </w:tcPr>
          <w:p w14:paraId="6374346C" w14:textId="77777777" w:rsidR="00862A01" w:rsidRPr="00872D7E" w:rsidRDefault="00862A01" w:rsidP="00862A01">
            <w:pPr>
              <w:rPr>
                <w:szCs w:val="20"/>
              </w:rPr>
            </w:pPr>
          </w:p>
        </w:tc>
        <w:tc>
          <w:tcPr>
            <w:tcW w:w="1759" w:type="dxa"/>
            <w:tcBorders>
              <w:top w:val="nil"/>
              <w:left w:val="nil"/>
              <w:right w:val="nil"/>
            </w:tcBorders>
            <w:shd w:val="clear" w:color="auto" w:fill="auto"/>
            <w:vAlign w:val="center"/>
            <w:hideMark/>
          </w:tcPr>
          <w:p w14:paraId="7C0C04BF" w14:textId="77777777" w:rsidR="00862A01" w:rsidRPr="00872D7E" w:rsidRDefault="00862A01" w:rsidP="00862A01">
            <w:pPr>
              <w:jc w:val="right"/>
              <w:rPr>
                <w:szCs w:val="20"/>
              </w:rPr>
            </w:pPr>
          </w:p>
        </w:tc>
        <w:tc>
          <w:tcPr>
            <w:tcW w:w="1232" w:type="dxa"/>
            <w:tcBorders>
              <w:top w:val="nil"/>
              <w:left w:val="nil"/>
              <w:right w:val="nil"/>
            </w:tcBorders>
            <w:shd w:val="clear" w:color="auto" w:fill="auto"/>
            <w:vAlign w:val="center"/>
            <w:hideMark/>
          </w:tcPr>
          <w:p w14:paraId="741F1AB4" w14:textId="77777777" w:rsidR="00862A01" w:rsidRPr="00872D7E" w:rsidRDefault="00862A01" w:rsidP="00862A01">
            <w:pPr>
              <w:jc w:val="right"/>
              <w:rPr>
                <w:szCs w:val="20"/>
              </w:rPr>
            </w:pPr>
          </w:p>
        </w:tc>
        <w:tc>
          <w:tcPr>
            <w:tcW w:w="1360" w:type="dxa"/>
            <w:tcBorders>
              <w:top w:val="nil"/>
              <w:left w:val="nil"/>
              <w:right w:val="nil"/>
            </w:tcBorders>
            <w:shd w:val="clear" w:color="auto" w:fill="auto"/>
            <w:vAlign w:val="center"/>
            <w:hideMark/>
          </w:tcPr>
          <w:p w14:paraId="68506D64" w14:textId="77777777" w:rsidR="00862A01" w:rsidRPr="00872D7E" w:rsidRDefault="00862A01" w:rsidP="00862A01">
            <w:pPr>
              <w:jc w:val="right"/>
              <w:rPr>
                <w:szCs w:val="20"/>
              </w:rPr>
            </w:pPr>
          </w:p>
        </w:tc>
        <w:tc>
          <w:tcPr>
            <w:tcW w:w="1512" w:type="dxa"/>
            <w:tcBorders>
              <w:top w:val="nil"/>
              <w:left w:val="nil"/>
              <w:right w:val="nil"/>
            </w:tcBorders>
            <w:shd w:val="clear" w:color="auto" w:fill="auto"/>
            <w:vAlign w:val="center"/>
            <w:hideMark/>
          </w:tcPr>
          <w:p w14:paraId="708174DC" w14:textId="77777777" w:rsidR="00862A01" w:rsidRPr="00872D7E" w:rsidRDefault="00862A01" w:rsidP="00862A01">
            <w:pPr>
              <w:jc w:val="right"/>
              <w:rPr>
                <w:szCs w:val="20"/>
              </w:rPr>
            </w:pPr>
          </w:p>
        </w:tc>
      </w:tr>
      <w:tr w:rsidR="00862A01" w:rsidRPr="00872D7E" w14:paraId="57D06CE7" w14:textId="77777777" w:rsidTr="00862A01">
        <w:trPr>
          <w:divId w:val="100491553"/>
          <w:trHeight w:val="227"/>
        </w:trPr>
        <w:tc>
          <w:tcPr>
            <w:tcW w:w="3477" w:type="dxa"/>
            <w:tcBorders>
              <w:top w:val="nil"/>
              <w:left w:val="nil"/>
              <w:bottom w:val="single" w:sz="12" w:space="0" w:color="auto"/>
              <w:right w:val="nil"/>
            </w:tcBorders>
            <w:shd w:val="clear" w:color="auto" w:fill="auto"/>
            <w:vAlign w:val="center"/>
            <w:hideMark/>
          </w:tcPr>
          <w:p w14:paraId="3F84047A" w14:textId="77777777" w:rsidR="00862A01" w:rsidRPr="00872D7E" w:rsidRDefault="00862A01" w:rsidP="00862A01">
            <w:pPr>
              <w:rPr>
                <w:b/>
                <w:bCs/>
                <w:szCs w:val="20"/>
              </w:rPr>
            </w:pPr>
            <w:r w:rsidRPr="00872D7E">
              <w:rPr>
                <w:b/>
                <w:bCs/>
                <w:szCs w:val="20"/>
              </w:rPr>
              <w:t>Toplam</w:t>
            </w:r>
          </w:p>
        </w:tc>
        <w:tc>
          <w:tcPr>
            <w:tcW w:w="1759" w:type="dxa"/>
            <w:tcBorders>
              <w:top w:val="nil"/>
              <w:left w:val="nil"/>
              <w:bottom w:val="single" w:sz="12" w:space="0" w:color="auto"/>
              <w:right w:val="nil"/>
            </w:tcBorders>
            <w:shd w:val="clear" w:color="auto" w:fill="auto"/>
            <w:noWrap/>
            <w:vAlign w:val="center"/>
            <w:hideMark/>
          </w:tcPr>
          <w:p w14:paraId="46AC8E97" w14:textId="77777777" w:rsidR="00862A01" w:rsidRPr="00872D7E" w:rsidRDefault="00862A01" w:rsidP="00862A01">
            <w:pPr>
              <w:jc w:val="right"/>
              <w:rPr>
                <w:b/>
                <w:bCs/>
                <w:szCs w:val="20"/>
              </w:rPr>
            </w:pPr>
            <w:r w:rsidRPr="00872D7E">
              <w:rPr>
                <w:b/>
                <w:bCs/>
                <w:szCs w:val="20"/>
              </w:rPr>
              <w:t>118.104</w:t>
            </w:r>
          </w:p>
        </w:tc>
        <w:tc>
          <w:tcPr>
            <w:tcW w:w="1232" w:type="dxa"/>
            <w:tcBorders>
              <w:top w:val="nil"/>
              <w:left w:val="nil"/>
              <w:bottom w:val="single" w:sz="12" w:space="0" w:color="auto"/>
              <w:right w:val="nil"/>
            </w:tcBorders>
            <w:shd w:val="clear" w:color="auto" w:fill="auto"/>
            <w:noWrap/>
            <w:vAlign w:val="center"/>
            <w:hideMark/>
          </w:tcPr>
          <w:p w14:paraId="64E721A0" w14:textId="77777777" w:rsidR="00862A01" w:rsidRPr="00872D7E" w:rsidRDefault="00862A01" w:rsidP="00862A01">
            <w:pPr>
              <w:jc w:val="right"/>
              <w:rPr>
                <w:b/>
                <w:bCs/>
                <w:szCs w:val="20"/>
              </w:rPr>
            </w:pPr>
            <w:r w:rsidRPr="00872D7E">
              <w:rPr>
                <w:b/>
                <w:bCs/>
                <w:szCs w:val="20"/>
              </w:rPr>
              <w:t>-</w:t>
            </w:r>
          </w:p>
        </w:tc>
        <w:tc>
          <w:tcPr>
            <w:tcW w:w="1360" w:type="dxa"/>
            <w:tcBorders>
              <w:top w:val="nil"/>
              <w:left w:val="nil"/>
              <w:bottom w:val="single" w:sz="12" w:space="0" w:color="auto"/>
              <w:right w:val="nil"/>
            </w:tcBorders>
            <w:shd w:val="clear" w:color="auto" w:fill="auto"/>
            <w:noWrap/>
            <w:vAlign w:val="center"/>
            <w:hideMark/>
          </w:tcPr>
          <w:p w14:paraId="1201F11D" w14:textId="77777777" w:rsidR="00862A01" w:rsidRPr="00872D7E" w:rsidRDefault="00862A01" w:rsidP="00862A01">
            <w:pPr>
              <w:jc w:val="right"/>
              <w:rPr>
                <w:b/>
                <w:bCs/>
                <w:szCs w:val="20"/>
              </w:rPr>
            </w:pPr>
            <w:r w:rsidRPr="00872D7E">
              <w:rPr>
                <w:b/>
                <w:bCs/>
                <w:szCs w:val="20"/>
              </w:rPr>
              <w:t>5.745</w:t>
            </w:r>
          </w:p>
        </w:tc>
        <w:tc>
          <w:tcPr>
            <w:tcW w:w="1512" w:type="dxa"/>
            <w:tcBorders>
              <w:top w:val="nil"/>
              <w:left w:val="nil"/>
              <w:bottom w:val="single" w:sz="12" w:space="0" w:color="auto"/>
              <w:right w:val="nil"/>
            </w:tcBorders>
            <w:shd w:val="clear" w:color="auto" w:fill="auto"/>
            <w:noWrap/>
            <w:vAlign w:val="center"/>
            <w:hideMark/>
          </w:tcPr>
          <w:p w14:paraId="6F8B8DEB" w14:textId="77777777" w:rsidR="00862A01" w:rsidRPr="00872D7E" w:rsidRDefault="00862A01" w:rsidP="00862A01">
            <w:pPr>
              <w:jc w:val="right"/>
              <w:rPr>
                <w:b/>
                <w:bCs/>
                <w:szCs w:val="20"/>
              </w:rPr>
            </w:pPr>
            <w:r w:rsidRPr="00872D7E">
              <w:rPr>
                <w:b/>
                <w:bCs/>
                <w:szCs w:val="20"/>
              </w:rPr>
              <w:t>-</w:t>
            </w:r>
          </w:p>
        </w:tc>
      </w:tr>
    </w:tbl>
    <w:p w14:paraId="41AFD874" w14:textId="68D10C8A" w:rsidR="00CE3509" w:rsidRPr="00872D7E" w:rsidRDefault="00CE3509" w:rsidP="00FF6583">
      <w:pPr>
        <w:widowControl w:val="0"/>
        <w:ind w:left="180"/>
        <w:jc w:val="both"/>
        <w:rPr>
          <w:bCs/>
          <w:szCs w:val="20"/>
        </w:rPr>
      </w:pPr>
    </w:p>
    <w:p w14:paraId="7592988E" w14:textId="5D92EBD5" w:rsidR="007127C0" w:rsidRPr="00872D7E" w:rsidRDefault="007127C0" w:rsidP="00DF282B">
      <w:pPr>
        <w:pStyle w:val="xl79"/>
        <w:widowControl w:val="0"/>
        <w:numPr>
          <w:ilvl w:val="0"/>
          <w:numId w:val="67"/>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872D7E">
        <w:rPr>
          <w:b/>
          <w:noProof w:val="0"/>
          <w:sz w:val="20"/>
          <w:szCs w:val="20"/>
        </w:rPr>
        <w:t>Riskten korunma amaçlı türev finansal borçlara ilişkin bilgiler</w:t>
      </w:r>
    </w:p>
    <w:p w14:paraId="054501A9" w14:textId="77777777" w:rsidR="007127C0" w:rsidRPr="00872D7E" w:rsidRDefault="007127C0" w:rsidP="007127C0">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6F88624B" w14:textId="4C6477D4" w:rsidR="00827BED" w:rsidRPr="00872D7E" w:rsidRDefault="005B3DE3" w:rsidP="007127C0">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Cs/>
          <w:noProof w:val="0"/>
          <w:sz w:val="20"/>
          <w:szCs w:val="20"/>
        </w:rPr>
      </w:pPr>
      <w:r w:rsidRPr="00872D7E">
        <w:rPr>
          <w:bCs/>
          <w:noProof w:val="0"/>
          <w:sz w:val="20"/>
          <w:szCs w:val="20"/>
        </w:rPr>
        <w:t>B</w:t>
      </w:r>
      <w:r w:rsidR="007127C0" w:rsidRPr="00872D7E">
        <w:rPr>
          <w:bCs/>
          <w:noProof w:val="0"/>
          <w:sz w:val="20"/>
          <w:szCs w:val="20"/>
        </w:rPr>
        <w:t>ulunmamaktadır</w:t>
      </w:r>
      <w:r w:rsidR="00AF526A" w:rsidRPr="00872D7E">
        <w:rPr>
          <w:bCs/>
          <w:noProof w:val="0"/>
          <w:sz w:val="20"/>
          <w:szCs w:val="20"/>
        </w:rPr>
        <w:t xml:space="preserve"> (1 Ocak 2024: Bulunmamaktadır)</w:t>
      </w:r>
      <w:r w:rsidR="007127C0" w:rsidRPr="00872D7E">
        <w:rPr>
          <w:bCs/>
          <w:noProof w:val="0"/>
          <w:sz w:val="20"/>
          <w:szCs w:val="20"/>
        </w:rPr>
        <w:t>.</w:t>
      </w:r>
    </w:p>
    <w:p w14:paraId="4555F042" w14:textId="77777777" w:rsidR="00827BED" w:rsidRPr="00872D7E" w:rsidRDefault="00827BED">
      <w:pPr>
        <w:rPr>
          <w:rFonts w:eastAsia="Arial Unicode MS"/>
          <w:bCs/>
          <w:szCs w:val="20"/>
        </w:rPr>
      </w:pPr>
      <w:r w:rsidRPr="00872D7E">
        <w:rPr>
          <w:bCs/>
          <w:szCs w:val="20"/>
        </w:rPr>
        <w:br w:type="page"/>
      </w:r>
    </w:p>
    <w:p w14:paraId="136C05D5" w14:textId="3C750F83" w:rsidR="00460C38" w:rsidRPr="00872D7E" w:rsidRDefault="00460C38" w:rsidP="00460C38">
      <w:pPr>
        <w:widowControl w:val="0"/>
        <w:spacing w:line="235" w:lineRule="auto"/>
        <w:ind w:left="720" w:hanging="720"/>
        <w:jc w:val="both"/>
        <w:rPr>
          <w:b/>
          <w:szCs w:val="20"/>
        </w:rPr>
      </w:pPr>
      <w:r w:rsidRPr="00872D7E">
        <w:rPr>
          <w:b/>
          <w:szCs w:val="20"/>
        </w:rPr>
        <w:lastRenderedPageBreak/>
        <w:t>KONSOLİDE OLMAYAN FİNANSAL TABLOLARA İLİŞKİN AÇIKLAMA VE DİPNOTLAR (Devamı)</w:t>
      </w:r>
    </w:p>
    <w:p w14:paraId="32286C42" w14:textId="77777777" w:rsidR="00460C38" w:rsidRPr="00872D7E" w:rsidRDefault="00460C38" w:rsidP="00460C38">
      <w:pPr>
        <w:widowControl w:val="0"/>
        <w:spacing w:line="235" w:lineRule="auto"/>
        <w:ind w:left="851" w:hanging="851"/>
        <w:jc w:val="both"/>
        <w:rPr>
          <w:b/>
          <w:szCs w:val="20"/>
        </w:rPr>
      </w:pPr>
    </w:p>
    <w:p w14:paraId="53CDFC70" w14:textId="77777777" w:rsidR="00460C38" w:rsidRPr="00872D7E" w:rsidRDefault="00460C38" w:rsidP="00460C38">
      <w:pPr>
        <w:widowControl w:val="0"/>
        <w:spacing w:line="235" w:lineRule="auto"/>
        <w:ind w:left="851" w:hanging="851"/>
        <w:jc w:val="both"/>
        <w:rPr>
          <w:b/>
          <w:szCs w:val="20"/>
        </w:rPr>
      </w:pPr>
      <w:r w:rsidRPr="00872D7E">
        <w:rPr>
          <w:b/>
          <w:szCs w:val="20"/>
        </w:rPr>
        <w:t>II.</w:t>
      </w:r>
      <w:r w:rsidRPr="00872D7E">
        <w:rPr>
          <w:b/>
          <w:szCs w:val="20"/>
        </w:rPr>
        <w:tab/>
        <w:t>BİLANÇONUN PASİF HESAPLARINA İLİŞKİN AÇIKLAMA VE DİPNOTLAR (Devamı)</w:t>
      </w:r>
    </w:p>
    <w:p w14:paraId="6D69EB12" w14:textId="77777777" w:rsidR="00460C38" w:rsidRPr="00872D7E" w:rsidRDefault="00460C38">
      <w:pPr>
        <w:rPr>
          <w:rFonts w:eastAsia="Arial Unicode MS"/>
          <w:b/>
          <w:szCs w:val="20"/>
        </w:rPr>
      </w:pPr>
    </w:p>
    <w:p w14:paraId="0D9A3E43" w14:textId="639C9174" w:rsidR="001C459E" w:rsidRPr="00872D7E" w:rsidRDefault="001C459E" w:rsidP="00DF282B">
      <w:pPr>
        <w:pStyle w:val="xl79"/>
        <w:widowControl w:val="0"/>
        <w:numPr>
          <w:ilvl w:val="0"/>
          <w:numId w:val="67"/>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872D7E">
        <w:rPr>
          <w:b/>
          <w:noProof w:val="0"/>
          <w:sz w:val="20"/>
          <w:szCs w:val="20"/>
        </w:rPr>
        <w:t>Karşılıklara ilişkin açıklamalar</w:t>
      </w:r>
    </w:p>
    <w:p w14:paraId="10D0372D" w14:textId="4A501C65" w:rsidR="001C459E" w:rsidRPr="00872D7E" w:rsidRDefault="001C459E" w:rsidP="001C459E">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152C6C78" w14:textId="1DE2CD17" w:rsidR="001C459E" w:rsidRPr="00872D7E" w:rsidRDefault="001C459E" w:rsidP="00DF282B">
      <w:pPr>
        <w:pStyle w:val="BASLIK2"/>
        <w:numPr>
          <w:ilvl w:val="1"/>
          <w:numId w:val="40"/>
        </w:numPr>
        <w:spacing w:before="0" w:after="0" w:line="240" w:lineRule="auto"/>
        <w:ind w:left="1276" w:hanging="425"/>
        <w:rPr>
          <w:sz w:val="20"/>
          <w:szCs w:val="20"/>
        </w:rPr>
      </w:pPr>
      <w:r w:rsidRPr="00872D7E">
        <w:rPr>
          <w:sz w:val="20"/>
          <w:szCs w:val="20"/>
        </w:rPr>
        <w:t xml:space="preserve">Genel karşılıklara ilişkin bilgiler </w:t>
      </w:r>
    </w:p>
    <w:p w14:paraId="3D264004" w14:textId="14219EAD" w:rsidR="00862A01" w:rsidRPr="00872D7E" w:rsidRDefault="00862A01" w:rsidP="00EB13B2"/>
    <w:tbl>
      <w:tblPr>
        <w:tblW w:w="5000" w:type="pct"/>
        <w:tblCellMar>
          <w:left w:w="70" w:type="dxa"/>
          <w:right w:w="70" w:type="dxa"/>
        </w:tblCellMar>
        <w:tblLook w:val="04A0" w:firstRow="1" w:lastRow="0" w:firstColumn="1" w:lastColumn="0" w:noHBand="0" w:noVBand="1"/>
      </w:tblPr>
      <w:tblGrid>
        <w:gridCol w:w="4107"/>
        <w:gridCol w:w="1248"/>
        <w:gridCol w:w="1302"/>
        <w:gridCol w:w="1269"/>
        <w:gridCol w:w="1429"/>
      </w:tblGrid>
      <w:tr w:rsidR="00862A01" w:rsidRPr="00872D7E" w14:paraId="067AD087" w14:textId="77777777" w:rsidTr="00862A01">
        <w:trPr>
          <w:divId w:val="1950819166"/>
          <w:trHeight w:val="227"/>
        </w:trPr>
        <w:tc>
          <w:tcPr>
            <w:tcW w:w="2195" w:type="pct"/>
            <w:tcBorders>
              <w:top w:val="nil"/>
              <w:left w:val="nil"/>
              <w:bottom w:val="nil"/>
              <w:right w:val="nil"/>
            </w:tcBorders>
            <w:shd w:val="clear" w:color="auto" w:fill="auto"/>
            <w:hideMark/>
          </w:tcPr>
          <w:p w14:paraId="65BDDBC2" w14:textId="4C8FA127" w:rsidR="00862A01" w:rsidRPr="00872D7E" w:rsidRDefault="00862A01" w:rsidP="00862A01">
            <w:pPr>
              <w:rPr>
                <w:szCs w:val="20"/>
                <w:lang w:eastAsia="tr-TR"/>
              </w:rPr>
            </w:pPr>
          </w:p>
        </w:tc>
        <w:tc>
          <w:tcPr>
            <w:tcW w:w="1363" w:type="pct"/>
            <w:gridSpan w:val="2"/>
            <w:tcBorders>
              <w:top w:val="nil"/>
              <w:left w:val="nil"/>
              <w:bottom w:val="single" w:sz="4" w:space="0" w:color="auto"/>
              <w:right w:val="nil"/>
            </w:tcBorders>
            <w:shd w:val="clear" w:color="auto" w:fill="auto"/>
            <w:noWrap/>
            <w:vAlign w:val="bottom"/>
            <w:hideMark/>
          </w:tcPr>
          <w:p w14:paraId="3FA48222" w14:textId="77777777" w:rsidR="00862A01" w:rsidRPr="00872D7E" w:rsidRDefault="00862A01" w:rsidP="00862A01">
            <w:pPr>
              <w:jc w:val="center"/>
              <w:rPr>
                <w:b/>
                <w:bCs/>
                <w:color w:val="000000"/>
                <w:szCs w:val="20"/>
                <w:lang w:eastAsia="tr-TR"/>
              </w:rPr>
            </w:pPr>
            <w:r w:rsidRPr="00872D7E">
              <w:rPr>
                <w:b/>
                <w:bCs/>
                <w:color w:val="000000"/>
                <w:szCs w:val="20"/>
                <w:lang w:eastAsia="tr-TR"/>
              </w:rPr>
              <w:t>31 Aralık 2024</w:t>
            </w:r>
          </w:p>
        </w:tc>
        <w:tc>
          <w:tcPr>
            <w:tcW w:w="1442" w:type="pct"/>
            <w:gridSpan w:val="2"/>
            <w:tcBorders>
              <w:top w:val="nil"/>
              <w:left w:val="nil"/>
              <w:bottom w:val="single" w:sz="4" w:space="0" w:color="auto"/>
              <w:right w:val="nil"/>
            </w:tcBorders>
            <w:shd w:val="clear" w:color="auto" w:fill="auto"/>
            <w:noWrap/>
            <w:vAlign w:val="bottom"/>
            <w:hideMark/>
          </w:tcPr>
          <w:p w14:paraId="25213855" w14:textId="77777777" w:rsidR="00862A01" w:rsidRPr="00872D7E" w:rsidRDefault="00862A01" w:rsidP="00862A01">
            <w:pPr>
              <w:jc w:val="center"/>
              <w:rPr>
                <w:b/>
                <w:bCs/>
                <w:color w:val="000000"/>
                <w:szCs w:val="20"/>
                <w:lang w:eastAsia="tr-TR"/>
              </w:rPr>
            </w:pPr>
            <w:r w:rsidRPr="00872D7E">
              <w:rPr>
                <w:b/>
                <w:bCs/>
                <w:color w:val="000000"/>
                <w:szCs w:val="20"/>
                <w:lang w:eastAsia="tr-TR"/>
              </w:rPr>
              <w:t>1 Ocak 2024</w:t>
            </w:r>
          </w:p>
        </w:tc>
      </w:tr>
      <w:tr w:rsidR="00862A01" w:rsidRPr="00872D7E" w14:paraId="13B759F9" w14:textId="77777777" w:rsidTr="00862A01">
        <w:trPr>
          <w:divId w:val="1950819166"/>
          <w:trHeight w:val="227"/>
        </w:trPr>
        <w:tc>
          <w:tcPr>
            <w:tcW w:w="2195" w:type="pct"/>
            <w:tcBorders>
              <w:top w:val="nil"/>
              <w:left w:val="nil"/>
              <w:bottom w:val="single" w:sz="4" w:space="0" w:color="auto"/>
              <w:right w:val="nil"/>
            </w:tcBorders>
            <w:shd w:val="clear" w:color="auto" w:fill="auto"/>
            <w:vAlign w:val="center"/>
            <w:hideMark/>
          </w:tcPr>
          <w:p w14:paraId="309E6EA3" w14:textId="77777777" w:rsidR="00862A01" w:rsidRPr="00872D7E" w:rsidRDefault="00862A01" w:rsidP="00862A01">
            <w:pPr>
              <w:rPr>
                <w:color w:val="000000"/>
                <w:szCs w:val="20"/>
                <w:lang w:eastAsia="tr-TR"/>
              </w:rPr>
            </w:pPr>
            <w:r w:rsidRPr="00872D7E">
              <w:rPr>
                <w:color w:val="000000"/>
                <w:szCs w:val="20"/>
                <w:lang w:eastAsia="tr-TR"/>
              </w:rPr>
              <w:t> </w:t>
            </w:r>
          </w:p>
        </w:tc>
        <w:tc>
          <w:tcPr>
            <w:tcW w:w="667" w:type="pct"/>
            <w:tcBorders>
              <w:top w:val="single" w:sz="4" w:space="0" w:color="auto"/>
              <w:left w:val="nil"/>
              <w:bottom w:val="single" w:sz="4" w:space="0" w:color="auto"/>
              <w:right w:val="nil"/>
            </w:tcBorders>
            <w:shd w:val="clear" w:color="auto" w:fill="auto"/>
            <w:vAlign w:val="center"/>
            <w:hideMark/>
          </w:tcPr>
          <w:p w14:paraId="49072168" w14:textId="77777777" w:rsidR="00862A01" w:rsidRPr="00872D7E" w:rsidRDefault="00862A01" w:rsidP="00862A01">
            <w:pPr>
              <w:jc w:val="right"/>
              <w:rPr>
                <w:b/>
                <w:bCs/>
                <w:color w:val="000000"/>
                <w:szCs w:val="20"/>
                <w:lang w:eastAsia="tr-TR"/>
              </w:rPr>
            </w:pPr>
            <w:r w:rsidRPr="00872D7E">
              <w:rPr>
                <w:b/>
                <w:bCs/>
                <w:color w:val="000000"/>
                <w:szCs w:val="20"/>
                <w:lang w:eastAsia="tr-TR"/>
              </w:rPr>
              <w:t>TP</w:t>
            </w:r>
          </w:p>
        </w:tc>
        <w:tc>
          <w:tcPr>
            <w:tcW w:w="696" w:type="pct"/>
            <w:tcBorders>
              <w:top w:val="single" w:sz="4" w:space="0" w:color="auto"/>
              <w:left w:val="nil"/>
              <w:bottom w:val="single" w:sz="4" w:space="0" w:color="auto"/>
              <w:right w:val="nil"/>
            </w:tcBorders>
            <w:shd w:val="clear" w:color="auto" w:fill="auto"/>
            <w:vAlign w:val="center"/>
            <w:hideMark/>
          </w:tcPr>
          <w:p w14:paraId="3199637B" w14:textId="77777777" w:rsidR="00862A01" w:rsidRPr="00872D7E" w:rsidRDefault="00862A01" w:rsidP="00862A01">
            <w:pPr>
              <w:jc w:val="right"/>
              <w:rPr>
                <w:b/>
                <w:bCs/>
                <w:color w:val="000000"/>
                <w:szCs w:val="20"/>
                <w:lang w:eastAsia="tr-TR"/>
              </w:rPr>
            </w:pPr>
            <w:r w:rsidRPr="00872D7E">
              <w:rPr>
                <w:b/>
                <w:bCs/>
                <w:color w:val="000000"/>
                <w:szCs w:val="20"/>
                <w:lang w:eastAsia="tr-TR"/>
              </w:rPr>
              <w:t>YP</w:t>
            </w:r>
          </w:p>
        </w:tc>
        <w:tc>
          <w:tcPr>
            <w:tcW w:w="678" w:type="pct"/>
            <w:tcBorders>
              <w:top w:val="single" w:sz="4" w:space="0" w:color="auto"/>
              <w:left w:val="nil"/>
              <w:bottom w:val="single" w:sz="4" w:space="0" w:color="auto"/>
              <w:right w:val="nil"/>
            </w:tcBorders>
            <w:shd w:val="clear" w:color="auto" w:fill="auto"/>
            <w:vAlign w:val="center"/>
            <w:hideMark/>
          </w:tcPr>
          <w:p w14:paraId="648A3136" w14:textId="77777777" w:rsidR="00862A01" w:rsidRPr="00872D7E" w:rsidRDefault="00862A01" w:rsidP="00862A01">
            <w:pPr>
              <w:jc w:val="right"/>
              <w:rPr>
                <w:b/>
                <w:bCs/>
                <w:color w:val="000000"/>
                <w:szCs w:val="20"/>
                <w:lang w:eastAsia="tr-TR"/>
              </w:rPr>
            </w:pPr>
            <w:r w:rsidRPr="00872D7E">
              <w:rPr>
                <w:b/>
                <w:bCs/>
                <w:color w:val="000000"/>
                <w:szCs w:val="20"/>
                <w:lang w:eastAsia="tr-TR"/>
              </w:rPr>
              <w:t>TP</w:t>
            </w:r>
          </w:p>
        </w:tc>
        <w:tc>
          <w:tcPr>
            <w:tcW w:w="764" w:type="pct"/>
            <w:tcBorders>
              <w:top w:val="single" w:sz="4" w:space="0" w:color="auto"/>
              <w:left w:val="nil"/>
              <w:bottom w:val="single" w:sz="4" w:space="0" w:color="auto"/>
              <w:right w:val="nil"/>
            </w:tcBorders>
            <w:shd w:val="clear" w:color="auto" w:fill="auto"/>
            <w:vAlign w:val="center"/>
            <w:hideMark/>
          </w:tcPr>
          <w:p w14:paraId="248EC20E" w14:textId="77777777" w:rsidR="00862A01" w:rsidRPr="00872D7E" w:rsidRDefault="00862A01" w:rsidP="00862A01">
            <w:pPr>
              <w:jc w:val="right"/>
              <w:rPr>
                <w:b/>
                <w:bCs/>
                <w:color w:val="000000"/>
                <w:szCs w:val="20"/>
                <w:lang w:eastAsia="tr-TR"/>
              </w:rPr>
            </w:pPr>
            <w:r w:rsidRPr="00872D7E">
              <w:rPr>
                <w:b/>
                <w:bCs/>
                <w:color w:val="000000"/>
                <w:szCs w:val="20"/>
                <w:lang w:eastAsia="tr-TR"/>
              </w:rPr>
              <w:t>YP</w:t>
            </w:r>
          </w:p>
        </w:tc>
      </w:tr>
      <w:tr w:rsidR="00862A01" w:rsidRPr="00872D7E" w14:paraId="70DC544F" w14:textId="77777777" w:rsidTr="00862A01">
        <w:trPr>
          <w:divId w:val="1950819166"/>
          <w:trHeight w:val="227"/>
        </w:trPr>
        <w:tc>
          <w:tcPr>
            <w:tcW w:w="2195" w:type="pct"/>
            <w:tcBorders>
              <w:top w:val="nil"/>
              <w:left w:val="nil"/>
              <w:bottom w:val="nil"/>
              <w:right w:val="nil"/>
            </w:tcBorders>
            <w:shd w:val="clear" w:color="auto" w:fill="auto"/>
            <w:vAlign w:val="center"/>
            <w:hideMark/>
          </w:tcPr>
          <w:p w14:paraId="7C03527C" w14:textId="77777777" w:rsidR="00862A01" w:rsidRPr="00872D7E" w:rsidRDefault="00862A01" w:rsidP="00862A01">
            <w:pPr>
              <w:jc w:val="right"/>
              <w:rPr>
                <w:b/>
                <w:bCs/>
                <w:color w:val="000000"/>
                <w:szCs w:val="20"/>
                <w:lang w:eastAsia="tr-TR"/>
              </w:rPr>
            </w:pPr>
          </w:p>
        </w:tc>
        <w:tc>
          <w:tcPr>
            <w:tcW w:w="667" w:type="pct"/>
            <w:tcBorders>
              <w:top w:val="nil"/>
              <w:left w:val="nil"/>
              <w:bottom w:val="nil"/>
              <w:right w:val="nil"/>
            </w:tcBorders>
            <w:shd w:val="clear" w:color="auto" w:fill="auto"/>
            <w:vAlign w:val="center"/>
            <w:hideMark/>
          </w:tcPr>
          <w:p w14:paraId="2680659F" w14:textId="77777777" w:rsidR="00862A01" w:rsidRPr="00872D7E" w:rsidRDefault="00862A01" w:rsidP="00862A01">
            <w:pPr>
              <w:rPr>
                <w:szCs w:val="20"/>
                <w:lang w:eastAsia="tr-TR"/>
              </w:rPr>
            </w:pPr>
          </w:p>
        </w:tc>
        <w:tc>
          <w:tcPr>
            <w:tcW w:w="696" w:type="pct"/>
            <w:tcBorders>
              <w:top w:val="nil"/>
              <w:left w:val="nil"/>
              <w:bottom w:val="nil"/>
              <w:right w:val="nil"/>
            </w:tcBorders>
            <w:shd w:val="clear" w:color="auto" w:fill="auto"/>
            <w:vAlign w:val="center"/>
            <w:hideMark/>
          </w:tcPr>
          <w:p w14:paraId="26C740EE" w14:textId="77777777" w:rsidR="00862A01" w:rsidRPr="00872D7E" w:rsidRDefault="00862A01" w:rsidP="00862A01">
            <w:pPr>
              <w:jc w:val="right"/>
              <w:rPr>
                <w:szCs w:val="20"/>
                <w:lang w:eastAsia="tr-TR"/>
              </w:rPr>
            </w:pPr>
          </w:p>
        </w:tc>
        <w:tc>
          <w:tcPr>
            <w:tcW w:w="678" w:type="pct"/>
            <w:tcBorders>
              <w:top w:val="nil"/>
              <w:left w:val="nil"/>
              <w:bottom w:val="nil"/>
              <w:right w:val="nil"/>
            </w:tcBorders>
            <w:shd w:val="clear" w:color="auto" w:fill="auto"/>
            <w:vAlign w:val="center"/>
            <w:hideMark/>
          </w:tcPr>
          <w:p w14:paraId="4512BED5" w14:textId="77777777" w:rsidR="00862A01" w:rsidRPr="00872D7E" w:rsidRDefault="00862A01" w:rsidP="00862A01">
            <w:pPr>
              <w:jc w:val="right"/>
              <w:rPr>
                <w:szCs w:val="20"/>
                <w:lang w:eastAsia="tr-TR"/>
              </w:rPr>
            </w:pPr>
          </w:p>
        </w:tc>
        <w:tc>
          <w:tcPr>
            <w:tcW w:w="764" w:type="pct"/>
            <w:tcBorders>
              <w:top w:val="nil"/>
              <w:left w:val="nil"/>
              <w:bottom w:val="nil"/>
              <w:right w:val="nil"/>
            </w:tcBorders>
            <w:shd w:val="clear" w:color="auto" w:fill="auto"/>
            <w:vAlign w:val="center"/>
            <w:hideMark/>
          </w:tcPr>
          <w:p w14:paraId="7B2FB915" w14:textId="77777777" w:rsidR="00862A01" w:rsidRPr="00872D7E" w:rsidRDefault="00862A01" w:rsidP="00862A01">
            <w:pPr>
              <w:jc w:val="right"/>
              <w:rPr>
                <w:szCs w:val="20"/>
                <w:lang w:eastAsia="tr-TR"/>
              </w:rPr>
            </w:pPr>
          </w:p>
        </w:tc>
      </w:tr>
      <w:tr w:rsidR="00862A01" w:rsidRPr="00872D7E" w14:paraId="5A6460D9" w14:textId="77777777" w:rsidTr="00862A01">
        <w:trPr>
          <w:divId w:val="1950819166"/>
          <w:trHeight w:val="227"/>
        </w:trPr>
        <w:tc>
          <w:tcPr>
            <w:tcW w:w="2195" w:type="pct"/>
            <w:tcBorders>
              <w:top w:val="nil"/>
              <w:left w:val="nil"/>
              <w:bottom w:val="nil"/>
              <w:right w:val="nil"/>
            </w:tcBorders>
            <w:shd w:val="clear" w:color="auto" w:fill="auto"/>
            <w:vAlign w:val="center"/>
            <w:hideMark/>
          </w:tcPr>
          <w:p w14:paraId="4F9B5A4D" w14:textId="77777777" w:rsidR="00862A01" w:rsidRPr="00872D7E" w:rsidRDefault="00862A01" w:rsidP="00862A01">
            <w:r w:rsidRPr="00872D7E">
              <w:t>I. Grup Kredi ve Alacaklar İçin Ayrılanlar</w:t>
            </w:r>
          </w:p>
        </w:tc>
        <w:tc>
          <w:tcPr>
            <w:tcW w:w="667" w:type="pct"/>
            <w:tcBorders>
              <w:top w:val="nil"/>
              <w:left w:val="nil"/>
              <w:bottom w:val="nil"/>
              <w:right w:val="nil"/>
            </w:tcBorders>
            <w:shd w:val="clear" w:color="auto" w:fill="auto"/>
            <w:vAlign w:val="center"/>
            <w:hideMark/>
          </w:tcPr>
          <w:p w14:paraId="15E422B4" w14:textId="77777777" w:rsidR="00862A01" w:rsidRPr="00872D7E" w:rsidRDefault="00862A01" w:rsidP="00862A01">
            <w:pPr>
              <w:jc w:val="right"/>
              <w:rPr>
                <w:color w:val="000000"/>
                <w:szCs w:val="20"/>
                <w:lang w:eastAsia="tr-TR"/>
              </w:rPr>
            </w:pPr>
            <w:r w:rsidRPr="00872D7E">
              <w:rPr>
                <w:color w:val="000000"/>
                <w:szCs w:val="20"/>
                <w:lang w:eastAsia="tr-TR"/>
              </w:rPr>
              <w:t>214.646</w:t>
            </w:r>
          </w:p>
        </w:tc>
        <w:tc>
          <w:tcPr>
            <w:tcW w:w="696" w:type="pct"/>
            <w:tcBorders>
              <w:top w:val="nil"/>
              <w:left w:val="nil"/>
              <w:bottom w:val="nil"/>
              <w:right w:val="nil"/>
            </w:tcBorders>
            <w:shd w:val="clear" w:color="auto" w:fill="auto"/>
            <w:vAlign w:val="center"/>
            <w:hideMark/>
          </w:tcPr>
          <w:p w14:paraId="6C1407FD" w14:textId="77777777" w:rsidR="00862A01" w:rsidRPr="00872D7E" w:rsidRDefault="00862A01" w:rsidP="00862A01">
            <w:pPr>
              <w:jc w:val="right"/>
              <w:rPr>
                <w:color w:val="000000"/>
                <w:szCs w:val="20"/>
                <w:lang w:eastAsia="tr-TR"/>
              </w:rPr>
            </w:pPr>
            <w:r w:rsidRPr="00872D7E">
              <w:rPr>
                <w:color w:val="000000"/>
                <w:szCs w:val="20"/>
                <w:lang w:eastAsia="tr-TR"/>
              </w:rPr>
              <w:t>100.615</w:t>
            </w:r>
          </w:p>
        </w:tc>
        <w:tc>
          <w:tcPr>
            <w:tcW w:w="678" w:type="pct"/>
            <w:tcBorders>
              <w:top w:val="nil"/>
              <w:left w:val="nil"/>
              <w:bottom w:val="nil"/>
              <w:right w:val="nil"/>
            </w:tcBorders>
            <w:shd w:val="clear" w:color="auto" w:fill="auto"/>
            <w:vAlign w:val="center"/>
            <w:hideMark/>
          </w:tcPr>
          <w:p w14:paraId="57836261" w14:textId="77777777" w:rsidR="00862A01" w:rsidRPr="00872D7E" w:rsidRDefault="00862A01" w:rsidP="00862A01">
            <w:pPr>
              <w:jc w:val="right"/>
              <w:rPr>
                <w:color w:val="000000"/>
                <w:szCs w:val="20"/>
                <w:lang w:eastAsia="tr-TR"/>
              </w:rPr>
            </w:pPr>
            <w:r w:rsidRPr="00872D7E">
              <w:rPr>
                <w:color w:val="000000"/>
                <w:szCs w:val="20"/>
                <w:lang w:eastAsia="tr-TR"/>
              </w:rPr>
              <w:t>40</w:t>
            </w:r>
          </w:p>
        </w:tc>
        <w:tc>
          <w:tcPr>
            <w:tcW w:w="764" w:type="pct"/>
            <w:tcBorders>
              <w:top w:val="nil"/>
              <w:left w:val="nil"/>
              <w:bottom w:val="nil"/>
              <w:right w:val="nil"/>
            </w:tcBorders>
            <w:shd w:val="clear" w:color="auto" w:fill="auto"/>
            <w:vAlign w:val="center"/>
            <w:hideMark/>
          </w:tcPr>
          <w:p w14:paraId="66620B9D"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0B3A9106" w14:textId="77777777" w:rsidTr="00862A01">
        <w:trPr>
          <w:divId w:val="1950819166"/>
          <w:trHeight w:val="227"/>
        </w:trPr>
        <w:tc>
          <w:tcPr>
            <w:tcW w:w="2195" w:type="pct"/>
            <w:tcBorders>
              <w:top w:val="nil"/>
              <w:left w:val="nil"/>
              <w:bottom w:val="nil"/>
              <w:right w:val="nil"/>
            </w:tcBorders>
            <w:shd w:val="clear" w:color="auto" w:fill="auto"/>
            <w:vAlign w:val="center"/>
            <w:hideMark/>
          </w:tcPr>
          <w:p w14:paraId="57E4445D" w14:textId="77777777" w:rsidR="00862A01" w:rsidRPr="00872D7E" w:rsidRDefault="00862A01" w:rsidP="00862A01">
            <w:r w:rsidRPr="00872D7E">
              <w:t>II. Grup Kredi ve Alacaklar İçin Ayrılanlar</w:t>
            </w:r>
          </w:p>
        </w:tc>
        <w:tc>
          <w:tcPr>
            <w:tcW w:w="667" w:type="pct"/>
            <w:tcBorders>
              <w:top w:val="nil"/>
              <w:left w:val="nil"/>
              <w:bottom w:val="nil"/>
              <w:right w:val="nil"/>
            </w:tcBorders>
            <w:shd w:val="clear" w:color="auto" w:fill="auto"/>
            <w:vAlign w:val="center"/>
            <w:hideMark/>
          </w:tcPr>
          <w:p w14:paraId="6B1F9453"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96" w:type="pct"/>
            <w:tcBorders>
              <w:top w:val="nil"/>
              <w:left w:val="nil"/>
              <w:bottom w:val="nil"/>
              <w:right w:val="nil"/>
            </w:tcBorders>
            <w:shd w:val="clear" w:color="auto" w:fill="auto"/>
            <w:vAlign w:val="center"/>
            <w:hideMark/>
          </w:tcPr>
          <w:p w14:paraId="358A2D9D"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78" w:type="pct"/>
            <w:tcBorders>
              <w:top w:val="nil"/>
              <w:left w:val="nil"/>
              <w:bottom w:val="nil"/>
              <w:right w:val="nil"/>
            </w:tcBorders>
            <w:shd w:val="clear" w:color="auto" w:fill="auto"/>
            <w:vAlign w:val="center"/>
            <w:hideMark/>
          </w:tcPr>
          <w:p w14:paraId="1104A473"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764" w:type="pct"/>
            <w:tcBorders>
              <w:top w:val="nil"/>
              <w:left w:val="nil"/>
              <w:bottom w:val="nil"/>
              <w:right w:val="nil"/>
            </w:tcBorders>
            <w:shd w:val="clear" w:color="auto" w:fill="auto"/>
            <w:vAlign w:val="center"/>
            <w:hideMark/>
          </w:tcPr>
          <w:p w14:paraId="7A257D08"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6E563306" w14:textId="77777777" w:rsidTr="00862A01">
        <w:trPr>
          <w:divId w:val="1950819166"/>
          <w:trHeight w:val="227"/>
        </w:trPr>
        <w:tc>
          <w:tcPr>
            <w:tcW w:w="2195" w:type="pct"/>
            <w:tcBorders>
              <w:top w:val="nil"/>
              <w:left w:val="nil"/>
              <w:bottom w:val="single" w:sz="4" w:space="0" w:color="auto"/>
              <w:right w:val="nil"/>
            </w:tcBorders>
            <w:shd w:val="clear" w:color="auto" w:fill="auto"/>
            <w:vAlign w:val="center"/>
            <w:hideMark/>
          </w:tcPr>
          <w:p w14:paraId="60DA430F" w14:textId="77777777" w:rsidR="00862A01" w:rsidRPr="00872D7E" w:rsidRDefault="00862A01" w:rsidP="00862A01">
            <w:proofErr w:type="spellStart"/>
            <w:r w:rsidRPr="00872D7E">
              <w:t>Gayrinakdi</w:t>
            </w:r>
            <w:proofErr w:type="spellEnd"/>
            <w:r w:rsidRPr="00872D7E">
              <w:t xml:space="preserve"> Krediler İçin Ayrılanlar</w:t>
            </w:r>
          </w:p>
        </w:tc>
        <w:tc>
          <w:tcPr>
            <w:tcW w:w="667" w:type="pct"/>
            <w:tcBorders>
              <w:top w:val="nil"/>
              <w:left w:val="nil"/>
              <w:bottom w:val="single" w:sz="4" w:space="0" w:color="auto"/>
              <w:right w:val="nil"/>
            </w:tcBorders>
            <w:shd w:val="clear" w:color="auto" w:fill="auto"/>
            <w:vAlign w:val="center"/>
            <w:hideMark/>
          </w:tcPr>
          <w:p w14:paraId="304B72E9" w14:textId="77777777" w:rsidR="00862A01" w:rsidRPr="00872D7E" w:rsidRDefault="00862A01" w:rsidP="00862A01">
            <w:pPr>
              <w:jc w:val="right"/>
              <w:rPr>
                <w:color w:val="000000"/>
                <w:szCs w:val="20"/>
                <w:lang w:eastAsia="tr-TR"/>
              </w:rPr>
            </w:pPr>
            <w:r w:rsidRPr="00872D7E">
              <w:rPr>
                <w:color w:val="000000"/>
                <w:szCs w:val="20"/>
                <w:lang w:eastAsia="tr-TR"/>
              </w:rPr>
              <w:t>39.277</w:t>
            </w:r>
          </w:p>
        </w:tc>
        <w:tc>
          <w:tcPr>
            <w:tcW w:w="696" w:type="pct"/>
            <w:tcBorders>
              <w:top w:val="nil"/>
              <w:left w:val="nil"/>
              <w:bottom w:val="single" w:sz="4" w:space="0" w:color="auto"/>
              <w:right w:val="nil"/>
            </w:tcBorders>
            <w:shd w:val="clear" w:color="auto" w:fill="auto"/>
            <w:vAlign w:val="center"/>
            <w:hideMark/>
          </w:tcPr>
          <w:p w14:paraId="59843407" w14:textId="77777777" w:rsidR="00862A01" w:rsidRPr="00872D7E" w:rsidRDefault="00862A01" w:rsidP="00862A01">
            <w:pPr>
              <w:jc w:val="right"/>
              <w:rPr>
                <w:color w:val="000000"/>
                <w:szCs w:val="20"/>
                <w:lang w:eastAsia="tr-TR"/>
              </w:rPr>
            </w:pPr>
            <w:r w:rsidRPr="00872D7E">
              <w:rPr>
                <w:color w:val="000000"/>
                <w:szCs w:val="20"/>
                <w:lang w:eastAsia="tr-TR"/>
              </w:rPr>
              <w:t>15.397</w:t>
            </w:r>
          </w:p>
        </w:tc>
        <w:tc>
          <w:tcPr>
            <w:tcW w:w="678" w:type="pct"/>
            <w:tcBorders>
              <w:top w:val="nil"/>
              <w:left w:val="nil"/>
              <w:bottom w:val="single" w:sz="4" w:space="0" w:color="auto"/>
              <w:right w:val="nil"/>
            </w:tcBorders>
            <w:shd w:val="clear" w:color="auto" w:fill="auto"/>
            <w:vAlign w:val="center"/>
            <w:hideMark/>
          </w:tcPr>
          <w:p w14:paraId="3FCCD326" w14:textId="77777777" w:rsidR="00862A01" w:rsidRPr="00872D7E" w:rsidRDefault="00862A01" w:rsidP="00862A01">
            <w:pPr>
              <w:jc w:val="right"/>
              <w:rPr>
                <w:color w:val="000000"/>
                <w:szCs w:val="20"/>
                <w:lang w:eastAsia="tr-TR"/>
              </w:rPr>
            </w:pPr>
            <w:r w:rsidRPr="00872D7E">
              <w:rPr>
                <w:color w:val="000000"/>
                <w:szCs w:val="20"/>
                <w:lang w:eastAsia="tr-TR"/>
              </w:rPr>
              <w:t>48</w:t>
            </w:r>
          </w:p>
        </w:tc>
        <w:tc>
          <w:tcPr>
            <w:tcW w:w="764" w:type="pct"/>
            <w:tcBorders>
              <w:top w:val="nil"/>
              <w:left w:val="nil"/>
              <w:bottom w:val="single" w:sz="4" w:space="0" w:color="auto"/>
              <w:right w:val="nil"/>
            </w:tcBorders>
            <w:shd w:val="clear" w:color="auto" w:fill="auto"/>
            <w:vAlign w:val="center"/>
            <w:hideMark/>
          </w:tcPr>
          <w:p w14:paraId="2FCD3425"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3F0CE9FA" w14:textId="77777777" w:rsidTr="00862A01">
        <w:trPr>
          <w:divId w:val="1950819166"/>
          <w:trHeight w:val="227"/>
        </w:trPr>
        <w:tc>
          <w:tcPr>
            <w:tcW w:w="2195" w:type="pct"/>
            <w:tcBorders>
              <w:top w:val="nil"/>
              <w:left w:val="nil"/>
              <w:bottom w:val="nil"/>
              <w:right w:val="nil"/>
            </w:tcBorders>
            <w:shd w:val="clear" w:color="auto" w:fill="auto"/>
            <w:vAlign w:val="center"/>
            <w:hideMark/>
          </w:tcPr>
          <w:p w14:paraId="7BF0673C" w14:textId="77777777" w:rsidR="00862A01" w:rsidRPr="00872D7E" w:rsidRDefault="00862A01" w:rsidP="00862A01">
            <w:pPr>
              <w:rPr>
                <w:color w:val="000000"/>
                <w:szCs w:val="20"/>
                <w:lang w:eastAsia="tr-TR"/>
              </w:rPr>
            </w:pPr>
          </w:p>
        </w:tc>
        <w:tc>
          <w:tcPr>
            <w:tcW w:w="667" w:type="pct"/>
            <w:tcBorders>
              <w:top w:val="nil"/>
              <w:left w:val="nil"/>
              <w:bottom w:val="nil"/>
              <w:right w:val="nil"/>
            </w:tcBorders>
            <w:shd w:val="clear" w:color="auto" w:fill="auto"/>
            <w:vAlign w:val="center"/>
            <w:hideMark/>
          </w:tcPr>
          <w:p w14:paraId="50B564F4" w14:textId="77777777" w:rsidR="00862A01" w:rsidRPr="00872D7E" w:rsidRDefault="00862A01" w:rsidP="00862A01">
            <w:pPr>
              <w:jc w:val="right"/>
              <w:rPr>
                <w:szCs w:val="20"/>
                <w:lang w:eastAsia="tr-TR"/>
              </w:rPr>
            </w:pPr>
          </w:p>
        </w:tc>
        <w:tc>
          <w:tcPr>
            <w:tcW w:w="696" w:type="pct"/>
            <w:tcBorders>
              <w:top w:val="nil"/>
              <w:left w:val="nil"/>
              <w:bottom w:val="nil"/>
              <w:right w:val="nil"/>
            </w:tcBorders>
            <w:shd w:val="clear" w:color="auto" w:fill="auto"/>
            <w:vAlign w:val="center"/>
            <w:hideMark/>
          </w:tcPr>
          <w:p w14:paraId="59EEBDBB" w14:textId="77777777" w:rsidR="00862A01" w:rsidRPr="00872D7E" w:rsidRDefault="00862A01" w:rsidP="00862A01">
            <w:pPr>
              <w:jc w:val="right"/>
              <w:rPr>
                <w:szCs w:val="20"/>
                <w:lang w:eastAsia="tr-TR"/>
              </w:rPr>
            </w:pPr>
          </w:p>
        </w:tc>
        <w:tc>
          <w:tcPr>
            <w:tcW w:w="678" w:type="pct"/>
            <w:tcBorders>
              <w:top w:val="nil"/>
              <w:left w:val="nil"/>
              <w:bottom w:val="nil"/>
              <w:right w:val="nil"/>
            </w:tcBorders>
            <w:shd w:val="clear" w:color="auto" w:fill="auto"/>
            <w:vAlign w:val="center"/>
            <w:hideMark/>
          </w:tcPr>
          <w:p w14:paraId="36F187A6" w14:textId="77777777" w:rsidR="00862A01" w:rsidRPr="00872D7E" w:rsidRDefault="00862A01" w:rsidP="00862A01">
            <w:pPr>
              <w:jc w:val="right"/>
              <w:rPr>
                <w:szCs w:val="20"/>
                <w:lang w:eastAsia="tr-TR"/>
              </w:rPr>
            </w:pPr>
          </w:p>
        </w:tc>
        <w:tc>
          <w:tcPr>
            <w:tcW w:w="764" w:type="pct"/>
            <w:tcBorders>
              <w:top w:val="nil"/>
              <w:left w:val="nil"/>
              <w:bottom w:val="nil"/>
              <w:right w:val="nil"/>
            </w:tcBorders>
            <w:shd w:val="clear" w:color="auto" w:fill="auto"/>
            <w:vAlign w:val="center"/>
            <w:hideMark/>
          </w:tcPr>
          <w:p w14:paraId="6AEDC78A" w14:textId="77777777" w:rsidR="00862A01" w:rsidRPr="00872D7E" w:rsidRDefault="00862A01" w:rsidP="00862A01">
            <w:pPr>
              <w:jc w:val="right"/>
              <w:rPr>
                <w:szCs w:val="20"/>
                <w:lang w:eastAsia="tr-TR"/>
              </w:rPr>
            </w:pPr>
          </w:p>
        </w:tc>
      </w:tr>
      <w:tr w:rsidR="00862A01" w:rsidRPr="00872D7E" w14:paraId="78284803" w14:textId="77777777" w:rsidTr="00862A01">
        <w:trPr>
          <w:divId w:val="1950819166"/>
          <w:trHeight w:val="227"/>
        </w:trPr>
        <w:tc>
          <w:tcPr>
            <w:tcW w:w="2195" w:type="pct"/>
            <w:tcBorders>
              <w:top w:val="nil"/>
              <w:left w:val="nil"/>
              <w:bottom w:val="single" w:sz="12" w:space="0" w:color="auto"/>
              <w:right w:val="nil"/>
            </w:tcBorders>
            <w:shd w:val="clear" w:color="auto" w:fill="auto"/>
            <w:vAlign w:val="center"/>
            <w:hideMark/>
          </w:tcPr>
          <w:p w14:paraId="6D78E493" w14:textId="77777777" w:rsidR="00862A01" w:rsidRPr="00872D7E" w:rsidRDefault="00862A01" w:rsidP="00862A01">
            <w:pPr>
              <w:rPr>
                <w:b/>
                <w:bCs/>
                <w:color w:val="000000"/>
                <w:szCs w:val="20"/>
                <w:lang w:eastAsia="tr-TR"/>
              </w:rPr>
            </w:pPr>
            <w:r w:rsidRPr="00872D7E">
              <w:rPr>
                <w:b/>
                <w:bCs/>
                <w:color w:val="000000"/>
                <w:szCs w:val="20"/>
                <w:lang w:eastAsia="tr-TR"/>
              </w:rPr>
              <w:t>Toplam</w:t>
            </w:r>
          </w:p>
        </w:tc>
        <w:tc>
          <w:tcPr>
            <w:tcW w:w="667" w:type="pct"/>
            <w:tcBorders>
              <w:top w:val="nil"/>
              <w:left w:val="nil"/>
              <w:bottom w:val="single" w:sz="12" w:space="0" w:color="auto"/>
              <w:right w:val="nil"/>
            </w:tcBorders>
            <w:shd w:val="clear" w:color="auto" w:fill="auto"/>
            <w:vAlign w:val="center"/>
            <w:hideMark/>
          </w:tcPr>
          <w:p w14:paraId="51E5C38D" w14:textId="77777777" w:rsidR="00862A01" w:rsidRPr="00872D7E" w:rsidRDefault="00862A01" w:rsidP="00862A01">
            <w:pPr>
              <w:jc w:val="right"/>
              <w:rPr>
                <w:b/>
                <w:bCs/>
                <w:color w:val="000000"/>
                <w:szCs w:val="20"/>
                <w:lang w:eastAsia="tr-TR"/>
              </w:rPr>
            </w:pPr>
            <w:r w:rsidRPr="00872D7E">
              <w:rPr>
                <w:b/>
                <w:bCs/>
                <w:color w:val="000000"/>
                <w:szCs w:val="20"/>
                <w:lang w:eastAsia="tr-TR"/>
              </w:rPr>
              <w:t>253.923</w:t>
            </w:r>
          </w:p>
        </w:tc>
        <w:tc>
          <w:tcPr>
            <w:tcW w:w="696" w:type="pct"/>
            <w:tcBorders>
              <w:top w:val="nil"/>
              <w:left w:val="nil"/>
              <w:bottom w:val="single" w:sz="12" w:space="0" w:color="auto"/>
              <w:right w:val="nil"/>
            </w:tcBorders>
            <w:shd w:val="clear" w:color="auto" w:fill="auto"/>
            <w:vAlign w:val="center"/>
            <w:hideMark/>
          </w:tcPr>
          <w:p w14:paraId="768BE4A4" w14:textId="77777777" w:rsidR="00862A01" w:rsidRPr="00872D7E" w:rsidRDefault="00862A01" w:rsidP="00862A01">
            <w:pPr>
              <w:jc w:val="right"/>
              <w:rPr>
                <w:b/>
                <w:bCs/>
                <w:color w:val="000000"/>
                <w:szCs w:val="20"/>
                <w:lang w:eastAsia="tr-TR"/>
              </w:rPr>
            </w:pPr>
            <w:r w:rsidRPr="00872D7E">
              <w:rPr>
                <w:b/>
                <w:bCs/>
                <w:color w:val="000000"/>
                <w:szCs w:val="20"/>
                <w:lang w:eastAsia="tr-TR"/>
              </w:rPr>
              <w:t>116.012</w:t>
            </w:r>
          </w:p>
        </w:tc>
        <w:tc>
          <w:tcPr>
            <w:tcW w:w="678" w:type="pct"/>
            <w:tcBorders>
              <w:top w:val="nil"/>
              <w:left w:val="nil"/>
              <w:bottom w:val="single" w:sz="12" w:space="0" w:color="auto"/>
              <w:right w:val="nil"/>
            </w:tcBorders>
            <w:shd w:val="clear" w:color="auto" w:fill="auto"/>
            <w:vAlign w:val="center"/>
            <w:hideMark/>
          </w:tcPr>
          <w:p w14:paraId="6FCF6169" w14:textId="77777777" w:rsidR="00862A01" w:rsidRPr="00872D7E" w:rsidRDefault="00862A01" w:rsidP="00862A01">
            <w:pPr>
              <w:jc w:val="right"/>
              <w:rPr>
                <w:b/>
                <w:bCs/>
                <w:color w:val="000000"/>
                <w:szCs w:val="20"/>
                <w:lang w:eastAsia="tr-TR"/>
              </w:rPr>
            </w:pPr>
            <w:r w:rsidRPr="00872D7E">
              <w:rPr>
                <w:b/>
                <w:bCs/>
                <w:color w:val="000000"/>
                <w:szCs w:val="20"/>
                <w:lang w:eastAsia="tr-TR"/>
              </w:rPr>
              <w:t>88</w:t>
            </w:r>
          </w:p>
        </w:tc>
        <w:tc>
          <w:tcPr>
            <w:tcW w:w="764" w:type="pct"/>
            <w:tcBorders>
              <w:top w:val="nil"/>
              <w:left w:val="nil"/>
              <w:bottom w:val="single" w:sz="12" w:space="0" w:color="auto"/>
              <w:right w:val="nil"/>
            </w:tcBorders>
            <w:shd w:val="clear" w:color="auto" w:fill="auto"/>
            <w:vAlign w:val="center"/>
            <w:hideMark/>
          </w:tcPr>
          <w:p w14:paraId="01D8E07A" w14:textId="77777777" w:rsidR="00862A01" w:rsidRPr="00872D7E" w:rsidRDefault="00862A01" w:rsidP="00862A01">
            <w:pPr>
              <w:jc w:val="right"/>
              <w:rPr>
                <w:b/>
                <w:bCs/>
                <w:color w:val="000000"/>
                <w:szCs w:val="20"/>
                <w:lang w:eastAsia="tr-TR"/>
              </w:rPr>
            </w:pPr>
            <w:r w:rsidRPr="00872D7E">
              <w:rPr>
                <w:b/>
                <w:bCs/>
                <w:color w:val="000000"/>
                <w:szCs w:val="20"/>
                <w:lang w:eastAsia="tr-TR"/>
              </w:rPr>
              <w:t>-</w:t>
            </w:r>
          </w:p>
        </w:tc>
      </w:tr>
    </w:tbl>
    <w:p w14:paraId="10C179C0" w14:textId="3C75F415" w:rsidR="00EB13B2" w:rsidRPr="00872D7E" w:rsidRDefault="00EB13B2" w:rsidP="00EB13B2"/>
    <w:p w14:paraId="23004A13" w14:textId="02F0B688" w:rsidR="00D10962" w:rsidRPr="00872D7E" w:rsidRDefault="007127C0" w:rsidP="00DF282B">
      <w:pPr>
        <w:pStyle w:val="BodyTextIndent"/>
        <w:widowControl w:val="0"/>
        <w:numPr>
          <w:ilvl w:val="1"/>
          <w:numId w:val="40"/>
        </w:numPr>
        <w:ind w:left="1276" w:right="-12" w:hanging="425"/>
        <w:rPr>
          <w:b/>
          <w:bCs/>
          <w:szCs w:val="20"/>
        </w:rPr>
      </w:pPr>
      <w:bookmarkStart w:id="88" w:name="_Hlk189497301"/>
      <w:r w:rsidRPr="00872D7E">
        <w:rPr>
          <w:b/>
          <w:bCs/>
          <w:szCs w:val="20"/>
        </w:rPr>
        <w:t>Çalışan hakları karşılığına ilişkin bilgiler</w:t>
      </w:r>
    </w:p>
    <w:p w14:paraId="405A8E0A" w14:textId="77777777" w:rsidR="007127C0" w:rsidRPr="00872D7E" w:rsidRDefault="007127C0" w:rsidP="007127C0">
      <w:pPr>
        <w:widowControl w:val="0"/>
        <w:ind w:left="1134"/>
        <w:rPr>
          <w:b/>
          <w:sz w:val="16"/>
          <w:szCs w:val="16"/>
        </w:rPr>
      </w:pPr>
    </w:p>
    <w:p w14:paraId="2CC2B9BB" w14:textId="5E252DCE" w:rsidR="007127C0" w:rsidRPr="00872D7E" w:rsidRDefault="007127C0" w:rsidP="007127C0">
      <w:pPr>
        <w:widowControl w:val="0"/>
        <w:tabs>
          <w:tab w:val="left" w:pos="1134"/>
        </w:tabs>
        <w:ind w:left="851"/>
        <w:jc w:val="both"/>
        <w:rPr>
          <w:szCs w:val="20"/>
        </w:rPr>
      </w:pPr>
      <w:r w:rsidRPr="00872D7E">
        <w:rPr>
          <w:szCs w:val="20"/>
        </w:rPr>
        <w:t xml:space="preserve">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w:t>
      </w:r>
      <w:r w:rsidR="00AE0B9A" w:rsidRPr="00872D7E">
        <w:rPr>
          <w:szCs w:val="20"/>
        </w:rPr>
        <w:t>31 Aralık</w:t>
      </w:r>
      <w:r w:rsidR="00706956" w:rsidRPr="00872D7E">
        <w:rPr>
          <w:szCs w:val="20"/>
        </w:rPr>
        <w:t xml:space="preserve"> </w:t>
      </w:r>
      <w:r w:rsidR="003F71C9" w:rsidRPr="00872D7E">
        <w:rPr>
          <w:szCs w:val="20"/>
        </w:rPr>
        <w:t>2024</w:t>
      </w:r>
      <w:r w:rsidRPr="00872D7E">
        <w:rPr>
          <w:szCs w:val="20"/>
        </w:rPr>
        <w:t xml:space="preserve"> tarihi itibarıyla </w:t>
      </w:r>
      <w:r w:rsidR="0032254B" w:rsidRPr="00872D7E">
        <w:rPr>
          <w:szCs w:val="20"/>
        </w:rPr>
        <w:t xml:space="preserve">15.383 </w:t>
      </w:r>
      <w:r w:rsidRPr="00872D7E">
        <w:rPr>
          <w:szCs w:val="20"/>
        </w:rPr>
        <w:t xml:space="preserve">TL </w:t>
      </w:r>
      <w:r w:rsidR="001F78D5" w:rsidRPr="00872D7E">
        <w:rPr>
          <w:szCs w:val="20"/>
        </w:rPr>
        <w:t xml:space="preserve">(1 Ocak 2024: 20.136 TL) </w:t>
      </w:r>
      <w:r w:rsidRPr="00872D7E">
        <w:rPr>
          <w:szCs w:val="20"/>
        </w:rPr>
        <w:t xml:space="preserve">tutarındaki izin karşılığı ve </w:t>
      </w:r>
      <w:r w:rsidR="0032254B" w:rsidRPr="00872D7E">
        <w:rPr>
          <w:szCs w:val="20"/>
        </w:rPr>
        <w:t>13.702</w:t>
      </w:r>
      <w:r w:rsidRPr="00872D7E">
        <w:rPr>
          <w:szCs w:val="20"/>
        </w:rPr>
        <w:t xml:space="preserve"> TL </w:t>
      </w:r>
      <w:r w:rsidR="001F78D5" w:rsidRPr="00872D7E">
        <w:rPr>
          <w:szCs w:val="20"/>
        </w:rPr>
        <w:t xml:space="preserve">(1 Ocak 2024: 10.731 TL) </w:t>
      </w:r>
      <w:r w:rsidRPr="00872D7E">
        <w:rPr>
          <w:szCs w:val="20"/>
        </w:rPr>
        <w:t>kıdem tazminatı karşılığı finansal tablolarda Çalışan Hakları Karşılığı hesabına kaydedilmiştir.</w:t>
      </w:r>
    </w:p>
    <w:p w14:paraId="5CB08027" w14:textId="77777777" w:rsidR="003B796D" w:rsidRPr="00872D7E" w:rsidRDefault="003B796D" w:rsidP="007127C0">
      <w:pPr>
        <w:widowControl w:val="0"/>
        <w:tabs>
          <w:tab w:val="left" w:pos="1134"/>
        </w:tabs>
        <w:ind w:left="851"/>
        <w:jc w:val="both"/>
        <w:rPr>
          <w:szCs w:val="20"/>
        </w:rPr>
      </w:pPr>
    </w:p>
    <w:p w14:paraId="535B2528" w14:textId="69036406" w:rsidR="00717F7F" w:rsidRPr="00872D7E" w:rsidRDefault="00717F7F" w:rsidP="001D7EF4">
      <w:pPr>
        <w:widowControl w:val="0"/>
        <w:tabs>
          <w:tab w:val="left" w:pos="1134"/>
        </w:tabs>
        <w:spacing w:after="120"/>
        <w:ind w:left="851"/>
        <w:jc w:val="both"/>
        <w:rPr>
          <w:szCs w:val="20"/>
        </w:rPr>
      </w:pPr>
      <w:r w:rsidRPr="00872D7E">
        <w:rPr>
          <w:szCs w:val="20"/>
        </w:rPr>
        <w:t xml:space="preserve">Banka kıdem tazminatı karşılığını, TMS 19’da belirtilen </w:t>
      </w:r>
      <w:proofErr w:type="spellStart"/>
      <w:r w:rsidRPr="00872D7E">
        <w:rPr>
          <w:szCs w:val="20"/>
        </w:rPr>
        <w:t>aktüeryal</w:t>
      </w:r>
      <w:proofErr w:type="spellEnd"/>
      <w:r w:rsidRPr="00872D7E">
        <w:rPr>
          <w:szCs w:val="20"/>
        </w:rPr>
        <w:t xml:space="preserve"> değerleme yöntemini kullanarak finansal tablolara yansıtmıştır. Bu bağlamda toplam yükümlülüklerin hesaplanmasında aşağıdaki </w:t>
      </w:r>
      <w:proofErr w:type="spellStart"/>
      <w:r w:rsidRPr="00872D7E">
        <w:rPr>
          <w:szCs w:val="20"/>
        </w:rPr>
        <w:t>aktüeryal</w:t>
      </w:r>
      <w:proofErr w:type="spellEnd"/>
      <w:r w:rsidRPr="00872D7E">
        <w:rPr>
          <w:szCs w:val="20"/>
        </w:rPr>
        <w:t xml:space="preserve"> varsayımlar kullanılmıştır.</w:t>
      </w:r>
    </w:p>
    <w:tbl>
      <w:tblPr>
        <w:tblW w:w="5000" w:type="pct"/>
        <w:tblCellMar>
          <w:left w:w="0" w:type="dxa"/>
          <w:right w:w="0" w:type="dxa"/>
        </w:tblCellMar>
        <w:tblLook w:val="0000" w:firstRow="0" w:lastRow="0" w:firstColumn="0" w:lastColumn="0" w:noHBand="0" w:noVBand="0"/>
      </w:tblPr>
      <w:tblGrid>
        <w:gridCol w:w="7574"/>
        <w:gridCol w:w="1781"/>
      </w:tblGrid>
      <w:tr w:rsidR="00FA77BB" w:rsidRPr="00872D7E" w14:paraId="20517DB6" w14:textId="77777777" w:rsidTr="00683052">
        <w:trPr>
          <w:trHeight w:val="155"/>
        </w:trPr>
        <w:tc>
          <w:tcPr>
            <w:tcW w:w="4048" w:type="pct"/>
            <w:shd w:val="clear" w:color="auto" w:fill="FFFFFF"/>
            <w:vAlign w:val="bottom"/>
          </w:tcPr>
          <w:p w14:paraId="0CA17E06" w14:textId="77777777" w:rsidR="00FA77BB" w:rsidRPr="00872D7E" w:rsidRDefault="00FA77BB" w:rsidP="00F54938">
            <w:pPr>
              <w:tabs>
                <w:tab w:val="left" w:pos="540"/>
              </w:tabs>
              <w:jc w:val="both"/>
              <w:rPr>
                <w:b/>
                <w:bCs/>
                <w:szCs w:val="20"/>
              </w:rPr>
            </w:pPr>
          </w:p>
        </w:tc>
        <w:tc>
          <w:tcPr>
            <w:tcW w:w="952" w:type="pct"/>
            <w:shd w:val="clear" w:color="auto" w:fill="FFFFFF"/>
            <w:vAlign w:val="center"/>
          </w:tcPr>
          <w:p w14:paraId="2A6C6AAC" w14:textId="34B4D74D" w:rsidR="00FA77BB" w:rsidRPr="00872D7E" w:rsidRDefault="00827BED" w:rsidP="00F54938">
            <w:pPr>
              <w:tabs>
                <w:tab w:val="left" w:pos="180"/>
              </w:tabs>
              <w:ind w:right="77"/>
              <w:jc w:val="right"/>
              <w:rPr>
                <w:b/>
                <w:szCs w:val="20"/>
              </w:rPr>
            </w:pPr>
            <w:r w:rsidRPr="00872D7E">
              <w:rPr>
                <w:b/>
                <w:szCs w:val="20"/>
              </w:rPr>
              <w:t>31 Aralık 2024</w:t>
            </w:r>
          </w:p>
        </w:tc>
      </w:tr>
      <w:tr w:rsidR="00FA77BB" w:rsidRPr="00872D7E" w14:paraId="1D58F61A" w14:textId="77777777" w:rsidTr="00683052">
        <w:trPr>
          <w:trHeight w:val="155"/>
        </w:trPr>
        <w:tc>
          <w:tcPr>
            <w:tcW w:w="4048" w:type="pct"/>
            <w:shd w:val="clear" w:color="auto" w:fill="FFFFFF"/>
            <w:vAlign w:val="bottom"/>
          </w:tcPr>
          <w:p w14:paraId="715067AF" w14:textId="77777777" w:rsidR="00FA77BB" w:rsidRPr="00872D7E" w:rsidRDefault="00FA77BB" w:rsidP="00F54938">
            <w:pPr>
              <w:tabs>
                <w:tab w:val="left" w:pos="540"/>
              </w:tabs>
              <w:jc w:val="both"/>
              <w:rPr>
                <w:bCs/>
                <w:szCs w:val="20"/>
              </w:rPr>
            </w:pPr>
          </w:p>
        </w:tc>
        <w:tc>
          <w:tcPr>
            <w:tcW w:w="952" w:type="pct"/>
            <w:vAlign w:val="bottom"/>
          </w:tcPr>
          <w:p w14:paraId="34A6AA19" w14:textId="77777777" w:rsidR="00FA77BB" w:rsidRPr="00872D7E" w:rsidRDefault="00FA77BB" w:rsidP="00F54938">
            <w:pPr>
              <w:ind w:right="77"/>
              <w:jc w:val="right"/>
              <w:rPr>
                <w:bCs/>
                <w:szCs w:val="20"/>
              </w:rPr>
            </w:pPr>
          </w:p>
        </w:tc>
      </w:tr>
      <w:tr w:rsidR="00FA77BB" w:rsidRPr="00872D7E" w14:paraId="1F8A009C" w14:textId="77777777" w:rsidTr="00683052">
        <w:trPr>
          <w:trHeight w:val="155"/>
        </w:trPr>
        <w:tc>
          <w:tcPr>
            <w:tcW w:w="4048" w:type="pct"/>
            <w:shd w:val="clear" w:color="auto" w:fill="auto"/>
            <w:vAlign w:val="bottom"/>
          </w:tcPr>
          <w:p w14:paraId="78E5FDD0" w14:textId="77777777" w:rsidR="00FA77BB" w:rsidRPr="00872D7E" w:rsidRDefault="00FA77BB" w:rsidP="00FA77BB">
            <w:pPr>
              <w:tabs>
                <w:tab w:val="left" w:pos="540"/>
              </w:tabs>
              <w:jc w:val="both"/>
              <w:rPr>
                <w:bCs/>
                <w:szCs w:val="20"/>
              </w:rPr>
            </w:pPr>
            <w:r w:rsidRPr="00872D7E">
              <w:rPr>
                <w:bCs/>
                <w:szCs w:val="20"/>
              </w:rPr>
              <w:t>İskonto oranı (%)</w:t>
            </w:r>
          </w:p>
        </w:tc>
        <w:tc>
          <w:tcPr>
            <w:tcW w:w="952" w:type="pct"/>
            <w:shd w:val="clear" w:color="auto" w:fill="auto"/>
          </w:tcPr>
          <w:p w14:paraId="2A470183" w14:textId="7FEF809E" w:rsidR="00FA77BB" w:rsidRPr="00872D7E" w:rsidRDefault="00FA77BB" w:rsidP="00FA77BB">
            <w:pPr>
              <w:ind w:right="77"/>
              <w:jc w:val="right"/>
              <w:rPr>
                <w:bCs/>
                <w:szCs w:val="20"/>
              </w:rPr>
            </w:pPr>
            <w:r w:rsidRPr="00872D7E">
              <w:t>29,32</w:t>
            </w:r>
          </w:p>
        </w:tc>
      </w:tr>
      <w:tr w:rsidR="00FA77BB" w:rsidRPr="00872D7E" w14:paraId="27A76BD6" w14:textId="77777777" w:rsidTr="00683052">
        <w:trPr>
          <w:trHeight w:val="155"/>
        </w:trPr>
        <w:tc>
          <w:tcPr>
            <w:tcW w:w="4048" w:type="pct"/>
            <w:tcBorders>
              <w:bottom w:val="single" w:sz="4" w:space="0" w:color="auto"/>
            </w:tcBorders>
            <w:shd w:val="clear" w:color="auto" w:fill="auto"/>
            <w:vAlign w:val="bottom"/>
          </w:tcPr>
          <w:p w14:paraId="0C46131A" w14:textId="77777777" w:rsidR="00FA77BB" w:rsidRPr="00872D7E" w:rsidRDefault="00FA77BB" w:rsidP="00FA77BB">
            <w:pPr>
              <w:tabs>
                <w:tab w:val="left" w:pos="540"/>
              </w:tabs>
              <w:jc w:val="both"/>
              <w:rPr>
                <w:bCs/>
                <w:szCs w:val="20"/>
              </w:rPr>
            </w:pPr>
            <w:r w:rsidRPr="00872D7E">
              <w:rPr>
                <w:bCs/>
                <w:szCs w:val="20"/>
              </w:rPr>
              <w:t>Tahmin edilen maaş tavanı artış oranı (%)</w:t>
            </w:r>
          </w:p>
        </w:tc>
        <w:tc>
          <w:tcPr>
            <w:tcW w:w="952" w:type="pct"/>
            <w:tcBorders>
              <w:bottom w:val="single" w:sz="4" w:space="0" w:color="auto"/>
            </w:tcBorders>
            <w:shd w:val="clear" w:color="auto" w:fill="auto"/>
          </w:tcPr>
          <w:p w14:paraId="775794C9" w14:textId="52212C63" w:rsidR="00FA77BB" w:rsidRPr="00872D7E" w:rsidRDefault="00677323" w:rsidP="00FA77BB">
            <w:pPr>
              <w:ind w:right="77"/>
              <w:jc w:val="right"/>
              <w:rPr>
                <w:bCs/>
                <w:szCs w:val="20"/>
              </w:rPr>
            </w:pPr>
            <w:r w:rsidRPr="00872D7E">
              <w:t>35,00</w:t>
            </w:r>
          </w:p>
        </w:tc>
      </w:tr>
    </w:tbl>
    <w:p w14:paraId="65954760" w14:textId="77777777" w:rsidR="001D7EF4" w:rsidRPr="00872D7E" w:rsidRDefault="001D7EF4" w:rsidP="001D7EF4">
      <w:pPr>
        <w:spacing w:before="120" w:after="120"/>
      </w:pPr>
      <w:bookmarkStart w:id="89" w:name="_Hlk190677628"/>
      <w:r w:rsidRPr="00872D7E">
        <w:t>Kıdem tazminatı yükümlülüğü karşılığının bilançodaki hareketi:</w:t>
      </w:r>
    </w:p>
    <w:tbl>
      <w:tblPr>
        <w:tblW w:w="5000" w:type="pct"/>
        <w:tblCellMar>
          <w:left w:w="0" w:type="dxa"/>
          <w:right w:w="0" w:type="dxa"/>
        </w:tblCellMar>
        <w:tblLook w:val="0000" w:firstRow="0" w:lastRow="0" w:firstColumn="0" w:lastColumn="0" w:noHBand="0" w:noVBand="0"/>
      </w:tblPr>
      <w:tblGrid>
        <w:gridCol w:w="7572"/>
        <w:gridCol w:w="1783"/>
      </w:tblGrid>
      <w:tr w:rsidR="00FA77BB" w:rsidRPr="00872D7E" w14:paraId="2AE2A24E" w14:textId="77777777" w:rsidTr="00683052">
        <w:trPr>
          <w:trHeight w:val="158"/>
        </w:trPr>
        <w:tc>
          <w:tcPr>
            <w:tcW w:w="4047" w:type="pct"/>
            <w:shd w:val="clear" w:color="auto" w:fill="FFFFFF"/>
            <w:vAlign w:val="bottom"/>
          </w:tcPr>
          <w:p w14:paraId="2AE010A2" w14:textId="77777777" w:rsidR="00FA77BB" w:rsidRPr="00872D7E" w:rsidRDefault="00FA77BB" w:rsidP="00F54938">
            <w:pPr>
              <w:tabs>
                <w:tab w:val="left" w:pos="540"/>
                <w:tab w:val="num" w:pos="720"/>
              </w:tabs>
              <w:jc w:val="both"/>
              <w:rPr>
                <w:b/>
                <w:bCs/>
                <w:szCs w:val="20"/>
              </w:rPr>
            </w:pPr>
          </w:p>
        </w:tc>
        <w:tc>
          <w:tcPr>
            <w:tcW w:w="953" w:type="pct"/>
            <w:shd w:val="clear" w:color="auto" w:fill="FFFFFF"/>
            <w:vAlign w:val="bottom"/>
          </w:tcPr>
          <w:p w14:paraId="70EAD9C3" w14:textId="2D852193" w:rsidR="00FA77BB" w:rsidRPr="00872D7E" w:rsidRDefault="00B45E26" w:rsidP="00F54938">
            <w:pPr>
              <w:tabs>
                <w:tab w:val="left" w:pos="180"/>
              </w:tabs>
              <w:ind w:right="68"/>
              <w:jc w:val="right"/>
              <w:rPr>
                <w:b/>
                <w:szCs w:val="20"/>
              </w:rPr>
            </w:pPr>
            <w:r w:rsidRPr="00872D7E">
              <w:rPr>
                <w:b/>
                <w:szCs w:val="20"/>
              </w:rPr>
              <w:t>31 Aralık 2024</w:t>
            </w:r>
          </w:p>
        </w:tc>
      </w:tr>
      <w:tr w:rsidR="00FA77BB" w:rsidRPr="00872D7E" w14:paraId="12C7FA8C" w14:textId="77777777" w:rsidTr="00683052">
        <w:trPr>
          <w:trHeight w:val="158"/>
        </w:trPr>
        <w:tc>
          <w:tcPr>
            <w:tcW w:w="4047" w:type="pct"/>
            <w:shd w:val="clear" w:color="auto" w:fill="FFFFFF"/>
            <w:vAlign w:val="bottom"/>
          </w:tcPr>
          <w:p w14:paraId="53795916" w14:textId="77777777" w:rsidR="00FA77BB" w:rsidRPr="00872D7E" w:rsidRDefault="00FA77BB" w:rsidP="00F54938">
            <w:pPr>
              <w:tabs>
                <w:tab w:val="left" w:pos="540"/>
                <w:tab w:val="num" w:pos="720"/>
              </w:tabs>
              <w:jc w:val="both"/>
              <w:rPr>
                <w:b/>
                <w:bCs/>
                <w:szCs w:val="20"/>
              </w:rPr>
            </w:pPr>
          </w:p>
        </w:tc>
        <w:tc>
          <w:tcPr>
            <w:tcW w:w="953" w:type="pct"/>
            <w:shd w:val="clear" w:color="auto" w:fill="FFFFFF"/>
            <w:vAlign w:val="center"/>
          </w:tcPr>
          <w:p w14:paraId="715B7728" w14:textId="77777777" w:rsidR="00FA77BB" w:rsidRPr="00872D7E" w:rsidRDefault="00FA77BB" w:rsidP="00F54938">
            <w:pPr>
              <w:tabs>
                <w:tab w:val="left" w:pos="180"/>
              </w:tabs>
              <w:ind w:right="68"/>
              <w:jc w:val="right"/>
              <w:rPr>
                <w:b/>
                <w:szCs w:val="20"/>
              </w:rPr>
            </w:pPr>
          </w:p>
        </w:tc>
      </w:tr>
      <w:tr w:rsidR="00FA77BB" w:rsidRPr="00872D7E" w14:paraId="15E026DA" w14:textId="77777777" w:rsidTr="00FA77BB">
        <w:trPr>
          <w:trHeight w:val="158"/>
        </w:trPr>
        <w:tc>
          <w:tcPr>
            <w:tcW w:w="4047" w:type="pct"/>
            <w:shd w:val="clear" w:color="auto" w:fill="auto"/>
            <w:vAlign w:val="bottom"/>
          </w:tcPr>
          <w:p w14:paraId="1CE38FB3" w14:textId="77777777" w:rsidR="00FA77BB" w:rsidRPr="00872D7E" w:rsidRDefault="00FA77BB" w:rsidP="00FA77BB">
            <w:pPr>
              <w:tabs>
                <w:tab w:val="left" w:pos="540"/>
                <w:tab w:val="num" w:pos="720"/>
              </w:tabs>
              <w:jc w:val="both"/>
              <w:rPr>
                <w:bCs/>
                <w:szCs w:val="20"/>
              </w:rPr>
            </w:pPr>
            <w:r w:rsidRPr="00872D7E">
              <w:rPr>
                <w:bCs/>
                <w:szCs w:val="20"/>
              </w:rPr>
              <w:t>Önceki dönem sonu bakiyesi</w:t>
            </w:r>
          </w:p>
        </w:tc>
        <w:tc>
          <w:tcPr>
            <w:tcW w:w="953" w:type="pct"/>
            <w:shd w:val="clear" w:color="auto" w:fill="auto"/>
          </w:tcPr>
          <w:p w14:paraId="610C7A67" w14:textId="7B2658BC" w:rsidR="00FA77BB" w:rsidRPr="00872D7E" w:rsidRDefault="00FA77BB" w:rsidP="00FA77BB">
            <w:pPr>
              <w:ind w:right="80"/>
              <w:jc w:val="right"/>
              <w:rPr>
                <w:bCs/>
                <w:szCs w:val="20"/>
              </w:rPr>
            </w:pPr>
            <w:r w:rsidRPr="00872D7E">
              <w:t>10.731</w:t>
            </w:r>
          </w:p>
        </w:tc>
      </w:tr>
      <w:tr w:rsidR="00925348" w:rsidRPr="00872D7E" w14:paraId="0E22AF91" w14:textId="77777777" w:rsidTr="00FA77BB">
        <w:trPr>
          <w:trHeight w:val="158"/>
        </w:trPr>
        <w:tc>
          <w:tcPr>
            <w:tcW w:w="4047" w:type="pct"/>
            <w:shd w:val="clear" w:color="auto" w:fill="auto"/>
            <w:vAlign w:val="bottom"/>
          </w:tcPr>
          <w:p w14:paraId="2CB9FB01" w14:textId="7829DAD0" w:rsidR="00925348" w:rsidRPr="00872D7E" w:rsidRDefault="00925348" w:rsidP="00FA77BB">
            <w:pPr>
              <w:tabs>
                <w:tab w:val="left" w:pos="540"/>
                <w:tab w:val="num" w:pos="720"/>
              </w:tabs>
              <w:jc w:val="both"/>
              <w:rPr>
                <w:bCs/>
                <w:szCs w:val="20"/>
              </w:rPr>
            </w:pPr>
            <w:r w:rsidRPr="00872D7E">
              <w:rPr>
                <w:bCs/>
                <w:szCs w:val="20"/>
              </w:rPr>
              <w:t>Dönem içinde ayrılan karşılık tutarı</w:t>
            </w:r>
          </w:p>
        </w:tc>
        <w:tc>
          <w:tcPr>
            <w:tcW w:w="953" w:type="pct"/>
            <w:shd w:val="clear" w:color="auto" w:fill="auto"/>
          </w:tcPr>
          <w:p w14:paraId="75DF2F33" w14:textId="569A7536" w:rsidR="00925348" w:rsidRPr="00872D7E" w:rsidRDefault="00925348" w:rsidP="00FA77BB">
            <w:pPr>
              <w:ind w:right="80"/>
              <w:jc w:val="right"/>
            </w:pPr>
            <w:r w:rsidRPr="00872D7E">
              <w:t>-</w:t>
            </w:r>
          </w:p>
        </w:tc>
      </w:tr>
      <w:tr w:rsidR="00FA77BB" w:rsidRPr="00872D7E" w14:paraId="79C1B7B2" w14:textId="77777777" w:rsidTr="00683052">
        <w:trPr>
          <w:trHeight w:val="158"/>
        </w:trPr>
        <w:tc>
          <w:tcPr>
            <w:tcW w:w="4047" w:type="pct"/>
            <w:shd w:val="clear" w:color="auto" w:fill="auto"/>
            <w:vAlign w:val="bottom"/>
          </w:tcPr>
          <w:p w14:paraId="533F258D" w14:textId="281C6E78" w:rsidR="00FA77BB" w:rsidRPr="00872D7E" w:rsidRDefault="00564185" w:rsidP="00FA77BB">
            <w:pPr>
              <w:tabs>
                <w:tab w:val="left" w:pos="540"/>
                <w:tab w:val="num" w:pos="720"/>
              </w:tabs>
              <w:jc w:val="both"/>
              <w:rPr>
                <w:bCs/>
                <w:szCs w:val="20"/>
              </w:rPr>
            </w:pPr>
            <w:r w:rsidRPr="00872D7E">
              <w:rPr>
                <w:bCs/>
                <w:szCs w:val="20"/>
              </w:rPr>
              <w:t>İptal edilen karşılık</w:t>
            </w:r>
          </w:p>
        </w:tc>
        <w:tc>
          <w:tcPr>
            <w:tcW w:w="953" w:type="pct"/>
            <w:shd w:val="clear" w:color="auto" w:fill="auto"/>
          </w:tcPr>
          <w:p w14:paraId="38908071" w14:textId="3C7C07BF" w:rsidR="00FA77BB" w:rsidRPr="00872D7E" w:rsidRDefault="00564185" w:rsidP="00FA77BB">
            <w:pPr>
              <w:ind w:right="80"/>
              <w:jc w:val="right"/>
              <w:rPr>
                <w:bCs/>
                <w:szCs w:val="20"/>
              </w:rPr>
            </w:pPr>
            <w:r w:rsidRPr="00872D7E">
              <w:t>(3.560)</w:t>
            </w:r>
          </w:p>
        </w:tc>
      </w:tr>
      <w:tr w:rsidR="00FA77BB" w:rsidRPr="00872D7E" w14:paraId="3416BFF9" w14:textId="77777777" w:rsidTr="00683052">
        <w:trPr>
          <w:trHeight w:val="158"/>
        </w:trPr>
        <w:tc>
          <w:tcPr>
            <w:tcW w:w="4047" w:type="pct"/>
            <w:tcBorders>
              <w:bottom w:val="single" w:sz="4" w:space="0" w:color="auto"/>
            </w:tcBorders>
            <w:shd w:val="clear" w:color="auto" w:fill="auto"/>
            <w:vAlign w:val="bottom"/>
          </w:tcPr>
          <w:p w14:paraId="17B10F11" w14:textId="77777777" w:rsidR="00FA77BB" w:rsidRPr="00872D7E" w:rsidRDefault="00FA77BB" w:rsidP="00FA77BB">
            <w:pPr>
              <w:tabs>
                <w:tab w:val="left" w:pos="540"/>
                <w:tab w:val="num" w:pos="720"/>
              </w:tabs>
              <w:jc w:val="both"/>
              <w:rPr>
                <w:bCs/>
                <w:szCs w:val="20"/>
              </w:rPr>
            </w:pPr>
            <w:proofErr w:type="spellStart"/>
            <w:r w:rsidRPr="00872D7E">
              <w:rPr>
                <w:bCs/>
                <w:szCs w:val="20"/>
              </w:rPr>
              <w:t>Aktüeryal</w:t>
            </w:r>
            <w:proofErr w:type="spellEnd"/>
            <w:r w:rsidRPr="00872D7E">
              <w:rPr>
                <w:bCs/>
                <w:szCs w:val="20"/>
              </w:rPr>
              <w:t xml:space="preserve"> (kazanç)/kayıp</w:t>
            </w:r>
          </w:p>
        </w:tc>
        <w:tc>
          <w:tcPr>
            <w:tcW w:w="953" w:type="pct"/>
            <w:tcBorders>
              <w:bottom w:val="single" w:sz="4" w:space="0" w:color="auto"/>
            </w:tcBorders>
            <w:shd w:val="clear" w:color="auto" w:fill="auto"/>
          </w:tcPr>
          <w:p w14:paraId="7E9BCC20" w14:textId="6ED6074F" w:rsidR="00FA77BB" w:rsidRPr="00872D7E" w:rsidRDefault="00564185" w:rsidP="00FA77BB">
            <w:pPr>
              <w:ind w:right="80"/>
              <w:jc w:val="right"/>
              <w:rPr>
                <w:bCs/>
                <w:szCs w:val="20"/>
              </w:rPr>
            </w:pPr>
            <w:r w:rsidRPr="00872D7E">
              <w:t>6.531</w:t>
            </w:r>
          </w:p>
        </w:tc>
      </w:tr>
      <w:tr w:rsidR="00FA77BB" w:rsidRPr="00872D7E" w14:paraId="73C30DCE" w14:textId="77777777" w:rsidTr="00683052">
        <w:trPr>
          <w:trHeight w:val="74"/>
        </w:trPr>
        <w:tc>
          <w:tcPr>
            <w:tcW w:w="4047" w:type="pct"/>
            <w:tcBorders>
              <w:top w:val="single" w:sz="4" w:space="0" w:color="auto"/>
            </w:tcBorders>
            <w:shd w:val="clear" w:color="auto" w:fill="auto"/>
            <w:vAlign w:val="bottom"/>
          </w:tcPr>
          <w:p w14:paraId="67CF758B" w14:textId="77777777" w:rsidR="00FA77BB" w:rsidRPr="00872D7E" w:rsidRDefault="00FA77BB" w:rsidP="00FA77BB">
            <w:pPr>
              <w:tabs>
                <w:tab w:val="left" w:pos="540"/>
                <w:tab w:val="num" w:pos="720"/>
              </w:tabs>
              <w:jc w:val="both"/>
              <w:rPr>
                <w:b/>
                <w:bCs/>
                <w:szCs w:val="20"/>
              </w:rPr>
            </w:pPr>
          </w:p>
        </w:tc>
        <w:tc>
          <w:tcPr>
            <w:tcW w:w="953" w:type="pct"/>
            <w:tcBorders>
              <w:top w:val="single" w:sz="4" w:space="0" w:color="auto"/>
            </w:tcBorders>
            <w:shd w:val="clear" w:color="auto" w:fill="auto"/>
          </w:tcPr>
          <w:p w14:paraId="1CDD3748" w14:textId="77777777" w:rsidR="00FA77BB" w:rsidRPr="00872D7E" w:rsidRDefault="00FA77BB" w:rsidP="00FA77BB">
            <w:pPr>
              <w:ind w:right="80"/>
              <w:jc w:val="right"/>
              <w:rPr>
                <w:bCs/>
                <w:szCs w:val="20"/>
              </w:rPr>
            </w:pPr>
          </w:p>
        </w:tc>
      </w:tr>
      <w:tr w:rsidR="00FA77BB" w:rsidRPr="00872D7E" w14:paraId="3BBAD21C" w14:textId="77777777" w:rsidTr="00683052">
        <w:trPr>
          <w:trHeight w:val="158"/>
        </w:trPr>
        <w:tc>
          <w:tcPr>
            <w:tcW w:w="4047" w:type="pct"/>
            <w:tcBorders>
              <w:bottom w:val="single" w:sz="12" w:space="0" w:color="auto"/>
            </w:tcBorders>
            <w:shd w:val="clear" w:color="auto" w:fill="auto"/>
            <w:vAlign w:val="bottom"/>
          </w:tcPr>
          <w:p w14:paraId="1CF58DDA" w14:textId="77777777" w:rsidR="00FA77BB" w:rsidRPr="00872D7E" w:rsidRDefault="00FA77BB" w:rsidP="00FA77BB">
            <w:pPr>
              <w:tabs>
                <w:tab w:val="left" w:pos="540"/>
                <w:tab w:val="num" w:pos="720"/>
              </w:tabs>
              <w:jc w:val="both"/>
              <w:rPr>
                <w:b/>
                <w:bCs/>
                <w:szCs w:val="20"/>
              </w:rPr>
            </w:pPr>
            <w:r w:rsidRPr="00872D7E">
              <w:rPr>
                <w:b/>
                <w:bCs/>
                <w:szCs w:val="20"/>
              </w:rPr>
              <w:t>Dönem sonu bakiyesi</w:t>
            </w:r>
          </w:p>
        </w:tc>
        <w:tc>
          <w:tcPr>
            <w:tcW w:w="953" w:type="pct"/>
            <w:tcBorders>
              <w:bottom w:val="single" w:sz="12" w:space="0" w:color="auto"/>
            </w:tcBorders>
            <w:shd w:val="clear" w:color="auto" w:fill="auto"/>
          </w:tcPr>
          <w:p w14:paraId="134F9AF9" w14:textId="65A58749" w:rsidR="00FA77BB" w:rsidRPr="00872D7E" w:rsidRDefault="00FA77BB" w:rsidP="00FA77BB">
            <w:pPr>
              <w:ind w:right="80"/>
              <w:jc w:val="right"/>
              <w:rPr>
                <w:b/>
                <w:bCs/>
                <w:szCs w:val="20"/>
              </w:rPr>
            </w:pPr>
            <w:r w:rsidRPr="00872D7E">
              <w:rPr>
                <w:b/>
                <w:bCs/>
              </w:rPr>
              <w:t>13.70</w:t>
            </w:r>
            <w:r w:rsidR="00564185" w:rsidRPr="00872D7E">
              <w:rPr>
                <w:b/>
                <w:bCs/>
              </w:rPr>
              <w:t>2</w:t>
            </w:r>
          </w:p>
        </w:tc>
      </w:tr>
      <w:bookmarkEnd w:id="88"/>
      <w:bookmarkEnd w:id="89"/>
    </w:tbl>
    <w:p w14:paraId="1A5F56C8" w14:textId="77777777" w:rsidR="00203A33" w:rsidRPr="00872D7E" w:rsidRDefault="00203A33" w:rsidP="007127C0">
      <w:pPr>
        <w:widowControl w:val="0"/>
        <w:tabs>
          <w:tab w:val="left" w:pos="1134"/>
        </w:tabs>
        <w:ind w:left="851"/>
        <w:jc w:val="both"/>
        <w:rPr>
          <w:sz w:val="16"/>
          <w:szCs w:val="16"/>
        </w:rPr>
      </w:pPr>
    </w:p>
    <w:p w14:paraId="09C5A691" w14:textId="60731A4F" w:rsidR="00203A33" w:rsidRPr="00872D7E" w:rsidRDefault="00203A33" w:rsidP="00DF282B">
      <w:pPr>
        <w:pStyle w:val="Head3"/>
        <w:keepNext w:val="0"/>
        <w:keepLines w:val="0"/>
        <w:widowControl w:val="0"/>
        <w:numPr>
          <w:ilvl w:val="1"/>
          <w:numId w:val="40"/>
        </w:numPr>
        <w:spacing w:before="0" w:after="0" w:line="240" w:lineRule="auto"/>
        <w:ind w:left="1276" w:right="0" w:hanging="425"/>
        <w:rPr>
          <w:rStyle w:val="Absatz-Standardschriftart1"/>
          <w:b w:val="0"/>
          <w:bCs w:val="0"/>
          <w:i w:val="0"/>
          <w:iCs w:val="0"/>
          <w:sz w:val="20"/>
          <w:szCs w:val="20"/>
          <w:lang w:eastAsia="tr-TR"/>
        </w:rPr>
      </w:pPr>
      <w:r w:rsidRPr="00872D7E">
        <w:rPr>
          <w:rStyle w:val="Absatz-Standardschriftart1"/>
          <w:bCs w:val="0"/>
          <w:i w:val="0"/>
          <w:iCs w:val="0"/>
          <w:sz w:val="20"/>
          <w:szCs w:val="20"/>
        </w:rPr>
        <w:t>Diğer karşılıkların karşılıklar toplamının %10’unu aşması halinde aşıma sebep olan kalemler ve tutarlarına ilişkin bilgiler</w:t>
      </w:r>
    </w:p>
    <w:p w14:paraId="47B3E1A1" w14:textId="77777777" w:rsidR="00332075" w:rsidRPr="00872D7E" w:rsidRDefault="00332075" w:rsidP="00332075">
      <w:pPr>
        <w:pStyle w:val="Head3"/>
        <w:keepNext w:val="0"/>
        <w:keepLines w:val="0"/>
        <w:widowControl w:val="0"/>
        <w:spacing w:before="0" w:after="0" w:line="240" w:lineRule="auto"/>
        <w:ind w:left="1276" w:right="0" w:firstLine="0"/>
        <w:rPr>
          <w:rStyle w:val="Absatz-Standardschriftart1"/>
          <w:b w:val="0"/>
          <w:bCs w:val="0"/>
          <w:i w:val="0"/>
          <w:iCs w:val="0"/>
          <w:sz w:val="16"/>
          <w:szCs w:val="16"/>
          <w:lang w:eastAsia="tr-TR"/>
        </w:rPr>
      </w:pPr>
    </w:p>
    <w:p w14:paraId="76FD53D2" w14:textId="74BCEF39" w:rsidR="005B3DE3" w:rsidRPr="00872D7E" w:rsidRDefault="00203A33" w:rsidP="00BB1392">
      <w:pPr>
        <w:pStyle w:val="Head3"/>
        <w:keepNext w:val="0"/>
        <w:keepLines w:val="0"/>
        <w:widowControl w:val="0"/>
        <w:spacing w:after="0" w:line="240" w:lineRule="auto"/>
        <w:ind w:left="851" w:right="0" w:firstLine="0"/>
        <w:rPr>
          <w:rStyle w:val="Absatz-Standardschriftart1"/>
          <w:b w:val="0"/>
          <w:bCs w:val="0"/>
          <w:i w:val="0"/>
          <w:iCs w:val="0"/>
          <w:sz w:val="20"/>
          <w:szCs w:val="20"/>
          <w:lang w:eastAsia="tr-TR"/>
        </w:rPr>
      </w:pPr>
      <w:r w:rsidRPr="00872D7E">
        <w:rPr>
          <w:rStyle w:val="Absatz-Standardschriftart1"/>
          <w:b w:val="0"/>
          <w:bCs w:val="0"/>
          <w:i w:val="0"/>
          <w:iCs w:val="0"/>
          <w:sz w:val="20"/>
          <w:szCs w:val="20"/>
          <w:lang w:eastAsia="tr-TR"/>
        </w:rPr>
        <w:t xml:space="preserve">Banka’nın </w:t>
      </w:r>
      <w:r w:rsidR="00AE0B9A" w:rsidRPr="00872D7E">
        <w:rPr>
          <w:rStyle w:val="Absatz-Standardschriftart1"/>
          <w:b w:val="0"/>
          <w:bCs w:val="0"/>
          <w:i w:val="0"/>
          <w:iCs w:val="0"/>
          <w:sz w:val="20"/>
          <w:szCs w:val="20"/>
          <w:lang w:eastAsia="tr-TR"/>
        </w:rPr>
        <w:t>31 Aralık</w:t>
      </w:r>
      <w:r w:rsidR="00706956" w:rsidRPr="00872D7E">
        <w:rPr>
          <w:rStyle w:val="Absatz-Standardschriftart1"/>
          <w:b w:val="0"/>
          <w:bCs w:val="0"/>
          <w:i w:val="0"/>
          <w:iCs w:val="0"/>
          <w:sz w:val="20"/>
          <w:szCs w:val="20"/>
          <w:lang w:eastAsia="tr-TR"/>
        </w:rPr>
        <w:t xml:space="preserve"> </w:t>
      </w:r>
      <w:r w:rsidR="003F71C9" w:rsidRPr="00872D7E">
        <w:rPr>
          <w:rStyle w:val="Absatz-Standardschriftart1"/>
          <w:b w:val="0"/>
          <w:bCs w:val="0"/>
          <w:i w:val="0"/>
          <w:iCs w:val="0"/>
          <w:sz w:val="20"/>
          <w:szCs w:val="20"/>
          <w:lang w:eastAsia="tr-TR"/>
        </w:rPr>
        <w:t xml:space="preserve">2024 </w:t>
      </w:r>
      <w:r w:rsidRPr="00872D7E">
        <w:rPr>
          <w:rStyle w:val="Absatz-Standardschriftart1"/>
          <w:b w:val="0"/>
          <w:bCs w:val="0"/>
          <w:i w:val="0"/>
          <w:iCs w:val="0"/>
          <w:sz w:val="20"/>
          <w:szCs w:val="20"/>
          <w:lang w:eastAsia="tr-TR"/>
        </w:rPr>
        <w:t>tarihi itibarıyla diğer karşılıkları karşılıklar toplamının %10’unu aşmamak</w:t>
      </w:r>
      <w:r w:rsidR="00F2184E" w:rsidRPr="00872D7E">
        <w:rPr>
          <w:rStyle w:val="Absatz-Standardschriftart1"/>
          <w:b w:val="0"/>
          <w:bCs w:val="0"/>
          <w:i w:val="0"/>
          <w:iCs w:val="0"/>
          <w:sz w:val="20"/>
          <w:szCs w:val="20"/>
          <w:lang w:eastAsia="tr-TR"/>
        </w:rPr>
        <w:t xml:space="preserve">la birlikte </w:t>
      </w:r>
      <w:r w:rsidR="00AE0B9A" w:rsidRPr="00872D7E">
        <w:rPr>
          <w:rStyle w:val="Absatz-Standardschriftart1"/>
          <w:b w:val="0"/>
          <w:bCs w:val="0"/>
          <w:i w:val="0"/>
          <w:iCs w:val="0"/>
          <w:sz w:val="20"/>
          <w:szCs w:val="20"/>
          <w:lang w:eastAsia="tr-TR"/>
        </w:rPr>
        <w:t>31 Aralık</w:t>
      </w:r>
      <w:r w:rsidR="00706956" w:rsidRPr="00872D7E">
        <w:rPr>
          <w:rStyle w:val="Absatz-Standardschriftart1"/>
          <w:b w:val="0"/>
          <w:bCs w:val="0"/>
          <w:i w:val="0"/>
          <w:iCs w:val="0"/>
          <w:sz w:val="20"/>
          <w:szCs w:val="20"/>
          <w:lang w:eastAsia="tr-TR"/>
        </w:rPr>
        <w:t xml:space="preserve"> </w:t>
      </w:r>
      <w:r w:rsidR="003F71C9" w:rsidRPr="00872D7E">
        <w:rPr>
          <w:rStyle w:val="Absatz-Standardschriftart1"/>
          <w:b w:val="0"/>
          <w:bCs w:val="0"/>
          <w:i w:val="0"/>
          <w:iCs w:val="0"/>
          <w:sz w:val="20"/>
          <w:szCs w:val="20"/>
          <w:lang w:eastAsia="tr-TR"/>
        </w:rPr>
        <w:t xml:space="preserve">2024 </w:t>
      </w:r>
      <w:r w:rsidR="00F2184E" w:rsidRPr="00872D7E">
        <w:rPr>
          <w:rStyle w:val="Absatz-Standardschriftart1"/>
          <w:b w:val="0"/>
          <w:bCs w:val="0"/>
          <w:i w:val="0"/>
          <w:iCs w:val="0"/>
          <w:sz w:val="20"/>
          <w:szCs w:val="20"/>
          <w:lang w:eastAsia="tr-TR"/>
        </w:rPr>
        <w:t xml:space="preserve">tarihi itibarıyla Banka’nın aleyhine açılmış </w:t>
      </w:r>
      <w:r w:rsidR="0072325C" w:rsidRPr="00872D7E">
        <w:rPr>
          <w:rStyle w:val="Absatz-Standardschriftart1"/>
          <w:b w:val="0"/>
          <w:bCs w:val="0"/>
          <w:i w:val="0"/>
          <w:iCs w:val="0"/>
          <w:sz w:val="20"/>
          <w:szCs w:val="20"/>
          <w:lang w:eastAsia="tr-TR"/>
        </w:rPr>
        <w:t>devam eden</w:t>
      </w:r>
      <w:r w:rsidR="00BB1392" w:rsidRPr="00872D7E">
        <w:rPr>
          <w:rStyle w:val="Absatz-Standardschriftart1"/>
          <w:b w:val="0"/>
          <w:bCs w:val="0"/>
          <w:i w:val="0"/>
          <w:iCs w:val="0"/>
          <w:sz w:val="20"/>
          <w:szCs w:val="20"/>
          <w:lang w:eastAsia="tr-TR"/>
        </w:rPr>
        <w:t xml:space="preserve"> 3 dava için </w:t>
      </w:r>
      <w:r w:rsidR="00F2184E" w:rsidRPr="00872D7E">
        <w:rPr>
          <w:rStyle w:val="Absatz-Standardschriftart1"/>
          <w:b w:val="0"/>
          <w:bCs w:val="0"/>
          <w:i w:val="0"/>
          <w:iCs w:val="0"/>
          <w:sz w:val="20"/>
          <w:szCs w:val="20"/>
          <w:lang w:eastAsia="tr-TR"/>
        </w:rPr>
        <w:t>ayırmış olduğu karşılık tutarı 51 TL’dir (1 Ocak 2024: 51).</w:t>
      </w:r>
      <w:r w:rsidR="00BB1392" w:rsidRPr="00872D7E">
        <w:rPr>
          <w:rStyle w:val="Absatz-Standardschriftart1"/>
          <w:b w:val="0"/>
          <w:bCs w:val="0"/>
          <w:i w:val="0"/>
          <w:iCs w:val="0"/>
          <w:sz w:val="20"/>
          <w:szCs w:val="20"/>
          <w:lang w:eastAsia="tr-TR"/>
        </w:rPr>
        <w:t xml:space="preserve"> </w:t>
      </w:r>
      <w:r w:rsidR="003E0081" w:rsidRPr="00872D7E">
        <w:rPr>
          <w:rStyle w:val="Absatz-Standardschriftart1"/>
          <w:b w:val="0"/>
          <w:bCs w:val="0"/>
          <w:i w:val="0"/>
          <w:iCs w:val="0"/>
          <w:sz w:val="20"/>
          <w:szCs w:val="20"/>
          <w:lang w:eastAsia="tr-TR"/>
        </w:rPr>
        <w:t>Bu d</w:t>
      </w:r>
      <w:r w:rsidR="00BB1392" w:rsidRPr="00872D7E">
        <w:rPr>
          <w:rStyle w:val="Absatz-Standardschriftart1"/>
          <w:b w:val="0"/>
          <w:bCs w:val="0"/>
          <w:i w:val="0"/>
          <w:iCs w:val="0"/>
          <w:sz w:val="20"/>
          <w:szCs w:val="20"/>
          <w:lang w:eastAsia="tr-TR"/>
        </w:rPr>
        <w:t xml:space="preserve">avalarla ilgili olarak Banka’nın </w:t>
      </w:r>
      <w:r w:rsidR="003E0081" w:rsidRPr="00872D7E">
        <w:rPr>
          <w:rStyle w:val="Absatz-Standardschriftart1"/>
          <w:b w:val="0"/>
          <w:bCs w:val="0"/>
          <w:i w:val="0"/>
          <w:iCs w:val="0"/>
          <w:sz w:val="20"/>
          <w:szCs w:val="20"/>
          <w:lang w:eastAsia="tr-TR"/>
        </w:rPr>
        <w:t xml:space="preserve">konsolide olmayan </w:t>
      </w:r>
      <w:r w:rsidR="00BB1392" w:rsidRPr="00872D7E">
        <w:rPr>
          <w:rStyle w:val="Absatz-Standardschriftart1"/>
          <w:b w:val="0"/>
          <w:bCs w:val="0"/>
          <w:i w:val="0"/>
          <w:iCs w:val="0"/>
          <w:sz w:val="20"/>
          <w:szCs w:val="20"/>
          <w:lang w:eastAsia="tr-TR"/>
        </w:rPr>
        <w:t xml:space="preserve">finansal tabloları üzerinde önemli bir etki beklenmemektedir. </w:t>
      </w:r>
      <w:r w:rsidR="005B3DE3" w:rsidRPr="00872D7E">
        <w:rPr>
          <w:rStyle w:val="Absatz-Standardschriftart1"/>
          <w:b w:val="0"/>
          <w:bCs w:val="0"/>
          <w:i w:val="0"/>
          <w:iCs w:val="0"/>
          <w:sz w:val="20"/>
          <w:szCs w:val="20"/>
          <w:lang w:eastAsia="tr-TR"/>
        </w:rPr>
        <w:br w:type="page"/>
      </w:r>
    </w:p>
    <w:p w14:paraId="38435691" w14:textId="77777777" w:rsidR="003908F8" w:rsidRPr="00872D7E" w:rsidRDefault="003908F8" w:rsidP="003908F8">
      <w:pPr>
        <w:widowControl w:val="0"/>
        <w:spacing w:line="235" w:lineRule="auto"/>
        <w:ind w:left="720" w:hanging="720"/>
        <w:jc w:val="both"/>
        <w:rPr>
          <w:b/>
          <w:szCs w:val="20"/>
        </w:rPr>
      </w:pPr>
      <w:r w:rsidRPr="00872D7E">
        <w:rPr>
          <w:b/>
          <w:szCs w:val="20"/>
        </w:rPr>
        <w:lastRenderedPageBreak/>
        <w:t>KONSOLİDE OLMAYAN FİNANSAL TABLOLARA İLİŞKİN AÇIKLAMA VE DİPNOTLAR (Devamı)</w:t>
      </w:r>
    </w:p>
    <w:p w14:paraId="3154BAB9" w14:textId="77777777" w:rsidR="00B15139" w:rsidRPr="00872D7E" w:rsidRDefault="00B15139" w:rsidP="00B15139">
      <w:pPr>
        <w:pStyle w:val="BodyTextIndent"/>
        <w:widowControl w:val="0"/>
        <w:ind w:left="851" w:firstLine="0"/>
        <w:rPr>
          <w:b/>
          <w:szCs w:val="20"/>
        </w:rPr>
      </w:pPr>
    </w:p>
    <w:p w14:paraId="3CF488F2" w14:textId="77777777" w:rsidR="00A445BA" w:rsidRPr="00872D7E" w:rsidRDefault="00A445BA" w:rsidP="00A445BA">
      <w:pPr>
        <w:widowControl w:val="0"/>
        <w:spacing w:line="235" w:lineRule="auto"/>
        <w:ind w:left="851" w:hanging="851"/>
        <w:jc w:val="both"/>
        <w:rPr>
          <w:b/>
          <w:szCs w:val="20"/>
        </w:rPr>
      </w:pPr>
      <w:r w:rsidRPr="00872D7E">
        <w:rPr>
          <w:b/>
          <w:szCs w:val="20"/>
        </w:rPr>
        <w:t>II.</w:t>
      </w:r>
      <w:r w:rsidRPr="00872D7E">
        <w:rPr>
          <w:b/>
          <w:szCs w:val="20"/>
        </w:rPr>
        <w:tab/>
        <w:t>BİLANÇONUN PASİF HESAPLARINA İLİŞKİN AÇIKLAMA VE DİPNOTLAR (Devamı)</w:t>
      </w:r>
    </w:p>
    <w:p w14:paraId="1D3942E0" w14:textId="77777777" w:rsidR="00D10962" w:rsidRPr="00872D7E" w:rsidRDefault="00D10962" w:rsidP="00D10962">
      <w:pPr>
        <w:pStyle w:val="BodyTextIndent"/>
        <w:widowControl w:val="0"/>
        <w:ind w:left="851" w:hanging="851"/>
        <w:rPr>
          <w:b/>
          <w:szCs w:val="20"/>
        </w:rPr>
      </w:pPr>
    </w:p>
    <w:p w14:paraId="3384AB9C" w14:textId="4900B7C5" w:rsidR="00203A33" w:rsidRPr="00872D7E" w:rsidRDefault="00203A33" w:rsidP="00DF282B">
      <w:pPr>
        <w:pStyle w:val="xl79"/>
        <w:widowControl w:val="0"/>
        <w:numPr>
          <w:ilvl w:val="0"/>
          <w:numId w:val="67"/>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872D7E">
        <w:rPr>
          <w:b/>
          <w:noProof w:val="0"/>
          <w:sz w:val="20"/>
          <w:szCs w:val="20"/>
        </w:rPr>
        <w:t>Vergi borcuna ilişkin açıklamalar</w:t>
      </w:r>
    </w:p>
    <w:p w14:paraId="03B84CDA" w14:textId="77777777" w:rsidR="00203A33" w:rsidRPr="00872D7E" w:rsidRDefault="00203A33" w:rsidP="00203A33">
      <w:pPr>
        <w:widowControl w:val="0"/>
        <w:ind w:left="851" w:hanging="851"/>
        <w:jc w:val="both"/>
        <w:rPr>
          <w:b/>
          <w:bCs/>
          <w:szCs w:val="20"/>
        </w:rPr>
      </w:pPr>
    </w:p>
    <w:p w14:paraId="5068FE1E" w14:textId="3B96DAA1" w:rsidR="00203A33" w:rsidRPr="00872D7E" w:rsidRDefault="00203A33" w:rsidP="00281456">
      <w:pPr>
        <w:widowControl w:val="0"/>
        <w:ind w:left="1276" w:hanging="425"/>
        <w:jc w:val="both"/>
        <w:rPr>
          <w:b/>
          <w:bCs/>
          <w:szCs w:val="20"/>
        </w:rPr>
      </w:pPr>
      <w:r w:rsidRPr="00872D7E">
        <w:rPr>
          <w:b/>
          <w:bCs/>
          <w:szCs w:val="20"/>
        </w:rPr>
        <w:t>a.</w:t>
      </w:r>
      <w:r w:rsidRPr="00872D7E">
        <w:rPr>
          <w:b/>
          <w:bCs/>
          <w:szCs w:val="20"/>
        </w:rPr>
        <w:tab/>
        <w:t>Cari vergi borcuna ilişkin açıklamalar</w:t>
      </w:r>
    </w:p>
    <w:p w14:paraId="66E9A435" w14:textId="77777777" w:rsidR="00203A33" w:rsidRPr="00872D7E" w:rsidRDefault="00203A33" w:rsidP="00203A33">
      <w:pPr>
        <w:widowControl w:val="0"/>
        <w:ind w:left="851" w:hanging="851"/>
        <w:jc w:val="both"/>
        <w:rPr>
          <w:b/>
          <w:bCs/>
          <w:szCs w:val="20"/>
        </w:rPr>
      </w:pPr>
    </w:p>
    <w:p w14:paraId="3AD5CA26" w14:textId="1C98D187" w:rsidR="00203A33" w:rsidRPr="00872D7E" w:rsidRDefault="00203A33" w:rsidP="00281456">
      <w:pPr>
        <w:widowControl w:val="0"/>
        <w:ind w:left="1276" w:hanging="425"/>
        <w:jc w:val="both"/>
        <w:rPr>
          <w:b/>
          <w:szCs w:val="20"/>
        </w:rPr>
      </w:pPr>
      <w:r w:rsidRPr="00872D7E">
        <w:rPr>
          <w:b/>
          <w:szCs w:val="20"/>
        </w:rPr>
        <w:t>a.</w:t>
      </w:r>
      <w:r w:rsidR="003E0081" w:rsidRPr="00872D7E">
        <w:rPr>
          <w:b/>
          <w:szCs w:val="20"/>
        </w:rPr>
        <w:t>1</w:t>
      </w:r>
      <w:r w:rsidRPr="00872D7E">
        <w:rPr>
          <w:b/>
          <w:szCs w:val="20"/>
        </w:rPr>
        <w:t>.</w:t>
      </w:r>
      <w:r w:rsidRPr="00872D7E">
        <w:rPr>
          <w:b/>
          <w:szCs w:val="20"/>
        </w:rPr>
        <w:tab/>
      </w:r>
      <w:r w:rsidRPr="00872D7E">
        <w:rPr>
          <w:b/>
          <w:bCs/>
          <w:szCs w:val="20"/>
        </w:rPr>
        <w:t>Ödenecek v</w:t>
      </w:r>
      <w:r w:rsidRPr="00872D7E">
        <w:rPr>
          <w:b/>
          <w:szCs w:val="20"/>
        </w:rPr>
        <w:t>ergilere ilişkin bilgiler:</w:t>
      </w:r>
    </w:p>
    <w:p w14:paraId="20057CE7" w14:textId="0E1AFD59" w:rsidR="00862A01" w:rsidRPr="00872D7E" w:rsidRDefault="00862A01" w:rsidP="00203A33">
      <w:pPr>
        <w:widowControl w:val="0"/>
        <w:ind w:left="-567"/>
        <w:jc w:val="both"/>
        <w:rPr>
          <w:szCs w:val="20"/>
        </w:rPr>
      </w:pPr>
    </w:p>
    <w:tbl>
      <w:tblPr>
        <w:tblW w:w="9180" w:type="dxa"/>
        <w:tblCellMar>
          <w:left w:w="70" w:type="dxa"/>
          <w:right w:w="70" w:type="dxa"/>
        </w:tblCellMar>
        <w:tblLook w:val="04A0" w:firstRow="1" w:lastRow="0" w:firstColumn="1" w:lastColumn="0" w:noHBand="0" w:noVBand="1"/>
      </w:tblPr>
      <w:tblGrid>
        <w:gridCol w:w="6008"/>
        <w:gridCol w:w="1616"/>
        <w:gridCol w:w="1556"/>
      </w:tblGrid>
      <w:tr w:rsidR="00862A01" w:rsidRPr="00872D7E" w14:paraId="1930FDCC" w14:textId="77777777" w:rsidTr="00683052">
        <w:trPr>
          <w:divId w:val="2023244427"/>
          <w:trHeight w:val="227"/>
        </w:trPr>
        <w:tc>
          <w:tcPr>
            <w:tcW w:w="6008" w:type="dxa"/>
            <w:tcBorders>
              <w:top w:val="nil"/>
              <w:left w:val="nil"/>
              <w:right w:val="nil"/>
            </w:tcBorders>
            <w:shd w:val="clear" w:color="000000" w:fill="FFFFFF"/>
            <w:vAlign w:val="bottom"/>
            <w:hideMark/>
          </w:tcPr>
          <w:p w14:paraId="7AD3F869" w14:textId="2E4B7648" w:rsidR="00862A01" w:rsidRPr="00872D7E" w:rsidRDefault="00862A01" w:rsidP="00862A01">
            <w:pPr>
              <w:jc w:val="center"/>
              <w:rPr>
                <w:b/>
                <w:bCs/>
                <w:color w:val="000000"/>
                <w:szCs w:val="20"/>
                <w:lang w:eastAsia="tr-TR"/>
              </w:rPr>
            </w:pPr>
            <w:r w:rsidRPr="00872D7E">
              <w:rPr>
                <w:b/>
                <w:bCs/>
                <w:color w:val="000000"/>
                <w:szCs w:val="20"/>
              </w:rPr>
              <w:t> </w:t>
            </w:r>
          </w:p>
        </w:tc>
        <w:tc>
          <w:tcPr>
            <w:tcW w:w="1616" w:type="dxa"/>
            <w:tcBorders>
              <w:top w:val="nil"/>
              <w:left w:val="nil"/>
              <w:right w:val="nil"/>
            </w:tcBorders>
            <w:shd w:val="clear" w:color="auto" w:fill="auto"/>
            <w:noWrap/>
            <w:vAlign w:val="bottom"/>
            <w:hideMark/>
          </w:tcPr>
          <w:p w14:paraId="30EDDC5E" w14:textId="77777777" w:rsidR="00862A01" w:rsidRPr="00872D7E" w:rsidRDefault="00862A01" w:rsidP="00862A01">
            <w:pPr>
              <w:jc w:val="center"/>
              <w:rPr>
                <w:b/>
                <w:bCs/>
                <w:color w:val="000000"/>
                <w:szCs w:val="20"/>
              </w:rPr>
            </w:pPr>
            <w:r w:rsidRPr="00872D7E">
              <w:rPr>
                <w:b/>
                <w:bCs/>
                <w:color w:val="000000"/>
                <w:szCs w:val="20"/>
              </w:rPr>
              <w:t>31 Aralık 2024</w:t>
            </w:r>
          </w:p>
        </w:tc>
        <w:tc>
          <w:tcPr>
            <w:tcW w:w="1556" w:type="dxa"/>
            <w:tcBorders>
              <w:top w:val="nil"/>
              <w:left w:val="nil"/>
              <w:right w:val="nil"/>
            </w:tcBorders>
            <w:shd w:val="clear" w:color="auto" w:fill="auto"/>
            <w:noWrap/>
            <w:vAlign w:val="bottom"/>
            <w:hideMark/>
          </w:tcPr>
          <w:p w14:paraId="302BBE51" w14:textId="77777777" w:rsidR="00862A01" w:rsidRPr="00872D7E" w:rsidRDefault="00862A01" w:rsidP="00862A01">
            <w:pPr>
              <w:jc w:val="center"/>
              <w:rPr>
                <w:b/>
                <w:bCs/>
                <w:color w:val="000000"/>
                <w:szCs w:val="20"/>
              </w:rPr>
            </w:pPr>
            <w:r w:rsidRPr="00872D7E">
              <w:rPr>
                <w:b/>
                <w:bCs/>
                <w:color w:val="000000"/>
                <w:szCs w:val="20"/>
              </w:rPr>
              <w:t>1 Ocak 2024</w:t>
            </w:r>
          </w:p>
        </w:tc>
      </w:tr>
      <w:tr w:rsidR="00862A01" w:rsidRPr="00872D7E" w14:paraId="704AEB46" w14:textId="77777777" w:rsidTr="00683052">
        <w:trPr>
          <w:divId w:val="2023244427"/>
          <w:trHeight w:val="227"/>
        </w:trPr>
        <w:tc>
          <w:tcPr>
            <w:tcW w:w="6008" w:type="dxa"/>
            <w:tcBorders>
              <w:left w:val="nil"/>
              <w:bottom w:val="nil"/>
              <w:right w:val="nil"/>
            </w:tcBorders>
            <w:shd w:val="clear" w:color="auto" w:fill="auto"/>
            <w:vAlign w:val="bottom"/>
            <w:hideMark/>
          </w:tcPr>
          <w:p w14:paraId="078542D2" w14:textId="77777777" w:rsidR="00862A01" w:rsidRPr="00872D7E" w:rsidRDefault="00862A01" w:rsidP="00862A01">
            <w:pPr>
              <w:rPr>
                <w:b/>
                <w:bCs/>
                <w:color w:val="000000"/>
                <w:szCs w:val="20"/>
              </w:rPr>
            </w:pPr>
          </w:p>
        </w:tc>
        <w:tc>
          <w:tcPr>
            <w:tcW w:w="1616" w:type="dxa"/>
            <w:tcBorders>
              <w:left w:val="nil"/>
              <w:bottom w:val="nil"/>
              <w:right w:val="nil"/>
            </w:tcBorders>
            <w:shd w:val="clear" w:color="auto" w:fill="auto"/>
            <w:noWrap/>
            <w:vAlign w:val="bottom"/>
            <w:hideMark/>
          </w:tcPr>
          <w:p w14:paraId="1E611F40" w14:textId="77777777" w:rsidR="00862A01" w:rsidRPr="00872D7E" w:rsidRDefault="00862A01" w:rsidP="00862A01">
            <w:pPr>
              <w:jc w:val="both"/>
              <w:rPr>
                <w:szCs w:val="20"/>
              </w:rPr>
            </w:pPr>
          </w:p>
        </w:tc>
        <w:tc>
          <w:tcPr>
            <w:tcW w:w="1556" w:type="dxa"/>
            <w:tcBorders>
              <w:left w:val="nil"/>
              <w:bottom w:val="nil"/>
              <w:right w:val="nil"/>
            </w:tcBorders>
            <w:shd w:val="clear" w:color="auto" w:fill="auto"/>
            <w:noWrap/>
            <w:vAlign w:val="bottom"/>
            <w:hideMark/>
          </w:tcPr>
          <w:p w14:paraId="0EF88D21" w14:textId="77777777" w:rsidR="00862A01" w:rsidRPr="00872D7E" w:rsidRDefault="00862A01" w:rsidP="00862A01">
            <w:pPr>
              <w:rPr>
                <w:szCs w:val="20"/>
              </w:rPr>
            </w:pPr>
          </w:p>
        </w:tc>
      </w:tr>
      <w:tr w:rsidR="00862A01" w:rsidRPr="00872D7E" w14:paraId="7B0C14D6" w14:textId="77777777" w:rsidTr="00862A01">
        <w:trPr>
          <w:divId w:val="2023244427"/>
          <w:trHeight w:val="227"/>
        </w:trPr>
        <w:tc>
          <w:tcPr>
            <w:tcW w:w="6008" w:type="dxa"/>
            <w:tcBorders>
              <w:top w:val="nil"/>
              <w:left w:val="nil"/>
              <w:bottom w:val="nil"/>
              <w:right w:val="nil"/>
            </w:tcBorders>
            <w:shd w:val="clear" w:color="auto" w:fill="auto"/>
            <w:vAlign w:val="center"/>
            <w:hideMark/>
          </w:tcPr>
          <w:p w14:paraId="0530D6CB" w14:textId="77777777" w:rsidR="00862A01" w:rsidRPr="00872D7E" w:rsidRDefault="00862A01" w:rsidP="00862A01">
            <w:pPr>
              <w:rPr>
                <w:color w:val="000000"/>
                <w:szCs w:val="20"/>
              </w:rPr>
            </w:pPr>
            <w:r w:rsidRPr="00872D7E">
              <w:rPr>
                <w:color w:val="000000"/>
                <w:szCs w:val="20"/>
              </w:rPr>
              <w:t>Ödenecek Kurumlar Vergisi</w:t>
            </w:r>
          </w:p>
        </w:tc>
        <w:tc>
          <w:tcPr>
            <w:tcW w:w="1616" w:type="dxa"/>
            <w:tcBorders>
              <w:top w:val="nil"/>
              <w:left w:val="nil"/>
              <w:bottom w:val="nil"/>
              <w:right w:val="nil"/>
            </w:tcBorders>
            <w:shd w:val="clear" w:color="auto" w:fill="auto"/>
            <w:noWrap/>
            <w:vAlign w:val="center"/>
            <w:hideMark/>
          </w:tcPr>
          <w:p w14:paraId="3DACCEB0" w14:textId="77777777" w:rsidR="00862A01" w:rsidRPr="00872D7E" w:rsidRDefault="00862A01" w:rsidP="00862A01">
            <w:pPr>
              <w:jc w:val="right"/>
              <w:rPr>
                <w:color w:val="000000"/>
                <w:szCs w:val="20"/>
              </w:rPr>
            </w:pPr>
            <w:r w:rsidRPr="00872D7E">
              <w:rPr>
                <w:color w:val="000000"/>
                <w:szCs w:val="20"/>
              </w:rPr>
              <w:t>179.467</w:t>
            </w:r>
          </w:p>
        </w:tc>
        <w:tc>
          <w:tcPr>
            <w:tcW w:w="1556" w:type="dxa"/>
            <w:tcBorders>
              <w:top w:val="nil"/>
              <w:left w:val="nil"/>
              <w:bottom w:val="nil"/>
              <w:right w:val="nil"/>
            </w:tcBorders>
            <w:shd w:val="clear" w:color="auto" w:fill="auto"/>
            <w:noWrap/>
            <w:vAlign w:val="center"/>
            <w:hideMark/>
          </w:tcPr>
          <w:p w14:paraId="2981FE78" w14:textId="77777777" w:rsidR="00862A01" w:rsidRPr="00872D7E" w:rsidRDefault="00862A01" w:rsidP="00862A01">
            <w:pPr>
              <w:jc w:val="right"/>
              <w:rPr>
                <w:color w:val="000000"/>
                <w:szCs w:val="20"/>
              </w:rPr>
            </w:pPr>
            <w:r w:rsidRPr="00872D7E">
              <w:rPr>
                <w:color w:val="000000"/>
                <w:szCs w:val="20"/>
              </w:rPr>
              <w:t>-</w:t>
            </w:r>
          </w:p>
        </w:tc>
      </w:tr>
      <w:tr w:rsidR="00862A01" w:rsidRPr="00872D7E" w14:paraId="16E328A2" w14:textId="77777777" w:rsidTr="00862A01">
        <w:trPr>
          <w:divId w:val="2023244427"/>
          <w:trHeight w:val="227"/>
        </w:trPr>
        <w:tc>
          <w:tcPr>
            <w:tcW w:w="6008" w:type="dxa"/>
            <w:tcBorders>
              <w:top w:val="nil"/>
              <w:left w:val="nil"/>
              <w:bottom w:val="nil"/>
              <w:right w:val="nil"/>
            </w:tcBorders>
            <w:shd w:val="clear" w:color="auto" w:fill="auto"/>
            <w:vAlign w:val="center"/>
            <w:hideMark/>
          </w:tcPr>
          <w:p w14:paraId="19884E61" w14:textId="77777777" w:rsidR="00862A01" w:rsidRPr="00872D7E" w:rsidRDefault="00862A01" w:rsidP="00862A01">
            <w:pPr>
              <w:rPr>
                <w:color w:val="000000"/>
                <w:szCs w:val="20"/>
              </w:rPr>
            </w:pPr>
            <w:r w:rsidRPr="00872D7E">
              <w:rPr>
                <w:color w:val="000000"/>
                <w:szCs w:val="20"/>
              </w:rPr>
              <w:t>BSMV</w:t>
            </w:r>
          </w:p>
        </w:tc>
        <w:tc>
          <w:tcPr>
            <w:tcW w:w="1616" w:type="dxa"/>
            <w:tcBorders>
              <w:top w:val="nil"/>
              <w:left w:val="nil"/>
              <w:bottom w:val="nil"/>
              <w:right w:val="nil"/>
            </w:tcBorders>
            <w:shd w:val="clear" w:color="auto" w:fill="auto"/>
            <w:noWrap/>
            <w:vAlign w:val="center"/>
            <w:hideMark/>
          </w:tcPr>
          <w:p w14:paraId="1D33A3CD" w14:textId="77777777" w:rsidR="00862A01" w:rsidRPr="00872D7E" w:rsidRDefault="00862A01" w:rsidP="00862A01">
            <w:pPr>
              <w:jc w:val="right"/>
              <w:rPr>
                <w:color w:val="000000"/>
                <w:szCs w:val="20"/>
              </w:rPr>
            </w:pPr>
            <w:r w:rsidRPr="00872D7E">
              <w:rPr>
                <w:color w:val="000000"/>
                <w:szCs w:val="20"/>
              </w:rPr>
              <w:t>41.235</w:t>
            </w:r>
          </w:p>
        </w:tc>
        <w:tc>
          <w:tcPr>
            <w:tcW w:w="1556" w:type="dxa"/>
            <w:tcBorders>
              <w:top w:val="nil"/>
              <w:left w:val="nil"/>
              <w:bottom w:val="nil"/>
              <w:right w:val="nil"/>
            </w:tcBorders>
            <w:shd w:val="clear" w:color="auto" w:fill="auto"/>
            <w:noWrap/>
            <w:vAlign w:val="center"/>
            <w:hideMark/>
          </w:tcPr>
          <w:p w14:paraId="611FAAAA" w14:textId="77777777" w:rsidR="00862A01" w:rsidRPr="00872D7E" w:rsidRDefault="00862A01" w:rsidP="00862A01">
            <w:pPr>
              <w:jc w:val="right"/>
              <w:rPr>
                <w:color w:val="000000"/>
                <w:szCs w:val="20"/>
              </w:rPr>
            </w:pPr>
            <w:r w:rsidRPr="00872D7E">
              <w:rPr>
                <w:color w:val="000000"/>
                <w:szCs w:val="20"/>
              </w:rPr>
              <w:t>205</w:t>
            </w:r>
          </w:p>
        </w:tc>
      </w:tr>
      <w:tr w:rsidR="00862A01" w:rsidRPr="00872D7E" w14:paraId="189F2F7C" w14:textId="77777777" w:rsidTr="00862A01">
        <w:trPr>
          <w:divId w:val="2023244427"/>
          <w:trHeight w:val="227"/>
        </w:trPr>
        <w:tc>
          <w:tcPr>
            <w:tcW w:w="6008" w:type="dxa"/>
            <w:tcBorders>
              <w:top w:val="nil"/>
              <w:left w:val="nil"/>
              <w:bottom w:val="nil"/>
              <w:right w:val="nil"/>
            </w:tcBorders>
            <w:shd w:val="clear" w:color="auto" w:fill="auto"/>
            <w:vAlign w:val="center"/>
            <w:hideMark/>
          </w:tcPr>
          <w:p w14:paraId="239A7F68" w14:textId="77777777" w:rsidR="00862A01" w:rsidRPr="00872D7E" w:rsidRDefault="00862A01" w:rsidP="00862A01">
            <w:pPr>
              <w:rPr>
                <w:color w:val="000000"/>
                <w:szCs w:val="20"/>
              </w:rPr>
            </w:pPr>
            <w:r w:rsidRPr="00872D7E">
              <w:rPr>
                <w:iCs/>
                <w:color w:val="000000"/>
                <w:szCs w:val="20"/>
              </w:rPr>
              <w:t>Menkul Sermaye İradı Vergisi</w:t>
            </w:r>
          </w:p>
        </w:tc>
        <w:tc>
          <w:tcPr>
            <w:tcW w:w="1616" w:type="dxa"/>
            <w:tcBorders>
              <w:top w:val="nil"/>
              <w:left w:val="nil"/>
              <w:bottom w:val="nil"/>
              <w:right w:val="nil"/>
            </w:tcBorders>
            <w:shd w:val="clear" w:color="auto" w:fill="auto"/>
            <w:noWrap/>
            <w:vAlign w:val="center"/>
            <w:hideMark/>
          </w:tcPr>
          <w:p w14:paraId="7916873A" w14:textId="77777777" w:rsidR="00862A01" w:rsidRPr="00872D7E" w:rsidRDefault="00862A01" w:rsidP="00862A01">
            <w:pPr>
              <w:jc w:val="right"/>
              <w:rPr>
                <w:color w:val="000000"/>
                <w:szCs w:val="20"/>
              </w:rPr>
            </w:pPr>
            <w:r w:rsidRPr="00872D7E">
              <w:rPr>
                <w:color w:val="000000"/>
                <w:szCs w:val="20"/>
              </w:rPr>
              <w:t>26.003</w:t>
            </w:r>
          </w:p>
        </w:tc>
        <w:tc>
          <w:tcPr>
            <w:tcW w:w="1556" w:type="dxa"/>
            <w:tcBorders>
              <w:top w:val="nil"/>
              <w:left w:val="nil"/>
              <w:bottom w:val="nil"/>
              <w:right w:val="nil"/>
            </w:tcBorders>
            <w:shd w:val="clear" w:color="auto" w:fill="auto"/>
            <w:noWrap/>
            <w:vAlign w:val="center"/>
            <w:hideMark/>
          </w:tcPr>
          <w:p w14:paraId="704EC317" w14:textId="77777777" w:rsidR="00862A01" w:rsidRPr="00872D7E" w:rsidRDefault="00862A01" w:rsidP="00862A01">
            <w:pPr>
              <w:jc w:val="right"/>
              <w:rPr>
                <w:color w:val="000000"/>
                <w:szCs w:val="20"/>
              </w:rPr>
            </w:pPr>
            <w:r w:rsidRPr="00872D7E">
              <w:rPr>
                <w:color w:val="000000"/>
                <w:szCs w:val="20"/>
              </w:rPr>
              <w:t>13</w:t>
            </w:r>
          </w:p>
        </w:tc>
      </w:tr>
      <w:tr w:rsidR="00862A01" w:rsidRPr="00872D7E" w14:paraId="32FF713D" w14:textId="77777777" w:rsidTr="00862A01">
        <w:trPr>
          <w:divId w:val="2023244427"/>
          <w:trHeight w:val="227"/>
        </w:trPr>
        <w:tc>
          <w:tcPr>
            <w:tcW w:w="6008" w:type="dxa"/>
            <w:tcBorders>
              <w:top w:val="nil"/>
              <w:left w:val="nil"/>
              <w:bottom w:val="nil"/>
              <w:right w:val="nil"/>
            </w:tcBorders>
            <w:shd w:val="clear" w:color="auto" w:fill="auto"/>
            <w:vAlign w:val="center"/>
            <w:hideMark/>
          </w:tcPr>
          <w:p w14:paraId="2DED71B4" w14:textId="77777777" w:rsidR="00862A01" w:rsidRPr="00872D7E" w:rsidRDefault="00862A01" w:rsidP="00862A01">
            <w:pPr>
              <w:rPr>
                <w:color w:val="000000"/>
                <w:szCs w:val="20"/>
              </w:rPr>
            </w:pPr>
            <w:r w:rsidRPr="00872D7E">
              <w:rPr>
                <w:color w:val="000000"/>
                <w:szCs w:val="20"/>
              </w:rPr>
              <w:t>Ödenecek Katma Değer Vergisi</w:t>
            </w:r>
          </w:p>
        </w:tc>
        <w:tc>
          <w:tcPr>
            <w:tcW w:w="1616" w:type="dxa"/>
            <w:tcBorders>
              <w:top w:val="nil"/>
              <w:left w:val="nil"/>
              <w:bottom w:val="nil"/>
              <w:right w:val="nil"/>
            </w:tcBorders>
            <w:shd w:val="clear" w:color="auto" w:fill="auto"/>
            <w:noWrap/>
            <w:vAlign w:val="center"/>
            <w:hideMark/>
          </w:tcPr>
          <w:p w14:paraId="092FCF13" w14:textId="77777777" w:rsidR="00862A01" w:rsidRPr="00872D7E" w:rsidRDefault="00862A01" w:rsidP="00862A01">
            <w:pPr>
              <w:jc w:val="right"/>
              <w:rPr>
                <w:color w:val="000000"/>
                <w:szCs w:val="20"/>
              </w:rPr>
            </w:pPr>
            <w:r w:rsidRPr="00872D7E">
              <w:rPr>
                <w:color w:val="000000"/>
                <w:szCs w:val="20"/>
              </w:rPr>
              <w:t>9.941</w:t>
            </w:r>
          </w:p>
        </w:tc>
        <w:tc>
          <w:tcPr>
            <w:tcW w:w="1556" w:type="dxa"/>
            <w:tcBorders>
              <w:top w:val="nil"/>
              <w:left w:val="nil"/>
              <w:bottom w:val="nil"/>
              <w:right w:val="nil"/>
            </w:tcBorders>
            <w:shd w:val="clear" w:color="auto" w:fill="auto"/>
            <w:noWrap/>
            <w:vAlign w:val="center"/>
            <w:hideMark/>
          </w:tcPr>
          <w:p w14:paraId="0A27C6BA" w14:textId="77777777" w:rsidR="00862A01" w:rsidRPr="00872D7E" w:rsidRDefault="00862A01" w:rsidP="00862A01">
            <w:pPr>
              <w:jc w:val="right"/>
              <w:rPr>
                <w:color w:val="000000"/>
                <w:szCs w:val="20"/>
              </w:rPr>
            </w:pPr>
            <w:r w:rsidRPr="00872D7E">
              <w:rPr>
                <w:color w:val="000000"/>
                <w:szCs w:val="20"/>
              </w:rPr>
              <w:t>1.192</w:t>
            </w:r>
          </w:p>
        </w:tc>
      </w:tr>
      <w:tr w:rsidR="00862A01" w:rsidRPr="00872D7E" w14:paraId="60C6FAA3" w14:textId="77777777" w:rsidTr="00862A01">
        <w:trPr>
          <w:divId w:val="2023244427"/>
          <w:trHeight w:val="227"/>
        </w:trPr>
        <w:tc>
          <w:tcPr>
            <w:tcW w:w="6008" w:type="dxa"/>
            <w:tcBorders>
              <w:top w:val="nil"/>
              <w:left w:val="nil"/>
              <w:bottom w:val="nil"/>
              <w:right w:val="nil"/>
            </w:tcBorders>
            <w:shd w:val="clear" w:color="auto" w:fill="auto"/>
            <w:vAlign w:val="center"/>
            <w:hideMark/>
          </w:tcPr>
          <w:p w14:paraId="0CA7F653" w14:textId="77777777" w:rsidR="00862A01" w:rsidRPr="00872D7E" w:rsidRDefault="00862A01" w:rsidP="00862A01">
            <w:pPr>
              <w:rPr>
                <w:color w:val="000000"/>
                <w:szCs w:val="20"/>
              </w:rPr>
            </w:pPr>
            <w:r w:rsidRPr="00872D7E">
              <w:rPr>
                <w:iCs/>
                <w:color w:val="000000"/>
                <w:szCs w:val="20"/>
              </w:rPr>
              <w:t>Gayrimenkul Sermaye İradı Vergisi</w:t>
            </w:r>
          </w:p>
        </w:tc>
        <w:tc>
          <w:tcPr>
            <w:tcW w:w="1616" w:type="dxa"/>
            <w:tcBorders>
              <w:top w:val="nil"/>
              <w:left w:val="nil"/>
              <w:bottom w:val="nil"/>
              <w:right w:val="nil"/>
            </w:tcBorders>
            <w:shd w:val="clear" w:color="auto" w:fill="auto"/>
            <w:noWrap/>
            <w:vAlign w:val="center"/>
            <w:hideMark/>
          </w:tcPr>
          <w:p w14:paraId="22A1745E" w14:textId="77777777" w:rsidR="00862A01" w:rsidRPr="00872D7E" w:rsidRDefault="00862A01" w:rsidP="00862A01">
            <w:pPr>
              <w:jc w:val="right"/>
              <w:rPr>
                <w:color w:val="000000"/>
                <w:szCs w:val="20"/>
              </w:rPr>
            </w:pPr>
            <w:r w:rsidRPr="00872D7E">
              <w:rPr>
                <w:color w:val="000000"/>
                <w:szCs w:val="20"/>
              </w:rPr>
              <w:t>339</w:t>
            </w:r>
          </w:p>
        </w:tc>
        <w:tc>
          <w:tcPr>
            <w:tcW w:w="1556" w:type="dxa"/>
            <w:tcBorders>
              <w:top w:val="nil"/>
              <w:left w:val="nil"/>
              <w:bottom w:val="nil"/>
              <w:right w:val="nil"/>
            </w:tcBorders>
            <w:shd w:val="clear" w:color="auto" w:fill="auto"/>
            <w:noWrap/>
            <w:vAlign w:val="center"/>
            <w:hideMark/>
          </w:tcPr>
          <w:p w14:paraId="26FA060D" w14:textId="77777777" w:rsidR="00862A01" w:rsidRPr="00872D7E" w:rsidRDefault="00862A01" w:rsidP="00862A01">
            <w:pPr>
              <w:jc w:val="right"/>
              <w:rPr>
                <w:color w:val="000000"/>
                <w:szCs w:val="20"/>
              </w:rPr>
            </w:pPr>
            <w:r w:rsidRPr="00872D7E">
              <w:rPr>
                <w:color w:val="000000"/>
                <w:szCs w:val="20"/>
              </w:rPr>
              <w:t>-</w:t>
            </w:r>
          </w:p>
        </w:tc>
      </w:tr>
      <w:tr w:rsidR="00862A01" w:rsidRPr="00872D7E" w14:paraId="5237A5A1" w14:textId="77777777" w:rsidTr="00862A01">
        <w:trPr>
          <w:divId w:val="2023244427"/>
          <w:trHeight w:val="227"/>
        </w:trPr>
        <w:tc>
          <w:tcPr>
            <w:tcW w:w="6008" w:type="dxa"/>
            <w:tcBorders>
              <w:top w:val="nil"/>
              <w:left w:val="nil"/>
              <w:bottom w:val="nil"/>
              <w:right w:val="nil"/>
            </w:tcBorders>
            <w:shd w:val="clear" w:color="auto" w:fill="auto"/>
            <w:vAlign w:val="center"/>
            <w:hideMark/>
          </w:tcPr>
          <w:p w14:paraId="4C8A17DB" w14:textId="77777777" w:rsidR="00862A01" w:rsidRPr="00872D7E" w:rsidRDefault="00862A01" w:rsidP="00862A01">
            <w:pPr>
              <w:rPr>
                <w:color w:val="000000"/>
                <w:szCs w:val="20"/>
              </w:rPr>
            </w:pPr>
            <w:r w:rsidRPr="00872D7E">
              <w:rPr>
                <w:color w:val="000000"/>
                <w:szCs w:val="20"/>
              </w:rPr>
              <w:t>Kambiyo Muameleleri Vergisi</w:t>
            </w:r>
          </w:p>
        </w:tc>
        <w:tc>
          <w:tcPr>
            <w:tcW w:w="1616" w:type="dxa"/>
            <w:tcBorders>
              <w:top w:val="nil"/>
              <w:left w:val="nil"/>
              <w:bottom w:val="nil"/>
              <w:right w:val="nil"/>
            </w:tcBorders>
            <w:shd w:val="clear" w:color="auto" w:fill="auto"/>
            <w:noWrap/>
            <w:vAlign w:val="center"/>
            <w:hideMark/>
          </w:tcPr>
          <w:p w14:paraId="68C201D3" w14:textId="77777777" w:rsidR="00862A01" w:rsidRPr="00872D7E" w:rsidRDefault="00862A01" w:rsidP="00862A01">
            <w:pPr>
              <w:jc w:val="right"/>
              <w:rPr>
                <w:color w:val="000000"/>
                <w:szCs w:val="20"/>
              </w:rPr>
            </w:pPr>
            <w:r w:rsidRPr="00872D7E">
              <w:rPr>
                <w:color w:val="000000"/>
                <w:szCs w:val="20"/>
              </w:rPr>
              <w:t>204</w:t>
            </w:r>
          </w:p>
        </w:tc>
        <w:tc>
          <w:tcPr>
            <w:tcW w:w="1556" w:type="dxa"/>
            <w:tcBorders>
              <w:top w:val="nil"/>
              <w:left w:val="nil"/>
              <w:bottom w:val="nil"/>
              <w:right w:val="nil"/>
            </w:tcBorders>
            <w:shd w:val="clear" w:color="auto" w:fill="auto"/>
            <w:noWrap/>
            <w:vAlign w:val="center"/>
            <w:hideMark/>
          </w:tcPr>
          <w:p w14:paraId="75CCF09D" w14:textId="77777777" w:rsidR="00862A01" w:rsidRPr="00872D7E" w:rsidRDefault="00862A01" w:rsidP="00862A01">
            <w:pPr>
              <w:jc w:val="right"/>
              <w:rPr>
                <w:color w:val="000000"/>
                <w:szCs w:val="20"/>
              </w:rPr>
            </w:pPr>
            <w:r w:rsidRPr="00872D7E">
              <w:rPr>
                <w:color w:val="000000"/>
                <w:szCs w:val="20"/>
              </w:rPr>
              <w:t>-</w:t>
            </w:r>
          </w:p>
        </w:tc>
      </w:tr>
      <w:tr w:rsidR="00862A01" w:rsidRPr="00872D7E" w14:paraId="5304BEC9" w14:textId="77777777" w:rsidTr="00862A01">
        <w:trPr>
          <w:divId w:val="2023244427"/>
          <w:trHeight w:val="227"/>
        </w:trPr>
        <w:tc>
          <w:tcPr>
            <w:tcW w:w="6008" w:type="dxa"/>
            <w:tcBorders>
              <w:top w:val="nil"/>
              <w:left w:val="nil"/>
              <w:bottom w:val="nil"/>
              <w:right w:val="nil"/>
            </w:tcBorders>
            <w:shd w:val="clear" w:color="auto" w:fill="auto"/>
            <w:vAlign w:val="center"/>
            <w:hideMark/>
          </w:tcPr>
          <w:p w14:paraId="3BD9EF39" w14:textId="77777777" w:rsidR="00862A01" w:rsidRPr="00872D7E" w:rsidRDefault="00862A01" w:rsidP="00862A01">
            <w:pPr>
              <w:rPr>
                <w:color w:val="000000"/>
                <w:szCs w:val="20"/>
              </w:rPr>
            </w:pPr>
            <w:r w:rsidRPr="00872D7E">
              <w:rPr>
                <w:color w:val="000000"/>
                <w:szCs w:val="20"/>
              </w:rPr>
              <w:t>Ücretlerden Kesilen Gelir Vergisi</w:t>
            </w:r>
          </w:p>
        </w:tc>
        <w:tc>
          <w:tcPr>
            <w:tcW w:w="1616" w:type="dxa"/>
            <w:tcBorders>
              <w:top w:val="nil"/>
              <w:left w:val="nil"/>
              <w:bottom w:val="nil"/>
              <w:right w:val="nil"/>
            </w:tcBorders>
            <w:shd w:val="clear" w:color="auto" w:fill="auto"/>
            <w:noWrap/>
            <w:vAlign w:val="center"/>
            <w:hideMark/>
          </w:tcPr>
          <w:p w14:paraId="32BB4077" w14:textId="77777777" w:rsidR="00862A01" w:rsidRPr="00872D7E" w:rsidRDefault="00862A01" w:rsidP="00862A01">
            <w:pPr>
              <w:jc w:val="right"/>
              <w:rPr>
                <w:color w:val="000000"/>
                <w:szCs w:val="20"/>
              </w:rPr>
            </w:pPr>
            <w:r w:rsidRPr="00872D7E">
              <w:rPr>
                <w:color w:val="000000"/>
                <w:szCs w:val="20"/>
              </w:rPr>
              <w:t>23.543</w:t>
            </w:r>
          </w:p>
        </w:tc>
        <w:tc>
          <w:tcPr>
            <w:tcW w:w="1556" w:type="dxa"/>
            <w:tcBorders>
              <w:top w:val="nil"/>
              <w:left w:val="nil"/>
              <w:bottom w:val="nil"/>
              <w:right w:val="nil"/>
            </w:tcBorders>
            <w:shd w:val="clear" w:color="auto" w:fill="auto"/>
            <w:noWrap/>
            <w:vAlign w:val="center"/>
            <w:hideMark/>
          </w:tcPr>
          <w:p w14:paraId="54A4D824" w14:textId="77777777" w:rsidR="00862A01" w:rsidRPr="00872D7E" w:rsidRDefault="00862A01" w:rsidP="00862A01">
            <w:pPr>
              <w:jc w:val="right"/>
              <w:rPr>
                <w:color w:val="000000"/>
                <w:szCs w:val="20"/>
              </w:rPr>
            </w:pPr>
            <w:r w:rsidRPr="00872D7E">
              <w:rPr>
                <w:color w:val="000000"/>
                <w:szCs w:val="20"/>
              </w:rPr>
              <w:t>4.271</w:t>
            </w:r>
          </w:p>
        </w:tc>
      </w:tr>
      <w:tr w:rsidR="00862A01" w:rsidRPr="00872D7E" w14:paraId="5FA4470A" w14:textId="77777777" w:rsidTr="00862A01">
        <w:trPr>
          <w:divId w:val="2023244427"/>
          <w:trHeight w:val="227"/>
        </w:trPr>
        <w:tc>
          <w:tcPr>
            <w:tcW w:w="6008" w:type="dxa"/>
            <w:tcBorders>
              <w:top w:val="nil"/>
              <w:left w:val="nil"/>
              <w:bottom w:val="single" w:sz="4" w:space="0" w:color="auto"/>
              <w:right w:val="nil"/>
            </w:tcBorders>
            <w:shd w:val="clear" w:color="auto" w:fill="auto"/>
            <w:vAlign w:val="center"/>
            <w:hideMark/>
          </w:tcPr>
          <w:p w14:paraId="7817F976" w14:textId="77777777" w:rsidR="00862A01" w:rsidRPr="00872D7E" w:rsidRDefault="00862A01" w:rsidP="00862A01">
            <w:pPr>
              <w:rPr>
                <w:color w:val="000000"/>
                <w:szCs w:val="20"/>
              </w:rPr>
            </w:pPr>
            <w:r w:rsidRPr="00872D7E">
              <w:rPr>
                <w:color w:val="000000"/>
                <w:szCs w:val="20"/>
              </w:rPr>
              <w:t>Diğer</w:t>
            </w:r>
          </w:p>
        </w:tc>
        <w:tc>
          <w:tcPr>
            <w:tcW w:w="1616" w:type="dxa"/>
            <w:tcBorders>
              <w:top w:val="nil"/>
              <w:left w:val="nil"/>
              <w:bottom w:val="single" w:sz="4" w:space="0" w:color="auto"/>
              <w:right w:val="nil"/>
            </w:tcBorders>
            <w:shd w:val="clear" w:color="auto" w:fill="auto"/>
            <w:noWrap/>
            <w:vAlign w:val="center"/>
            <w:hideMark/>
          </w:tcPr>
          <w:p w14:paraId="4ACA18E8" w14:textId="77777777" w:rsidR="00862A01" w:rsidRPr="00872D7E" w:rsidRDefault="00862A01" w:rsidP="00862A01">
            <w:pPr>
              <w:jc w:val="right"/>
              <w:rPr>
                <w:color w:val="000000"/>
                <w:szCs w:val="20"/>
              </w:rPr>
            </w:pPr>
            <w:r w:rsidRPr="00872D7E">
              <w:rPr>
                <w:color w:val="000000"/>
                <w:szCs w:val="20"/>
              </w:rPr>
              <w:t>1.277</w:t>
            </w:r>
          </w:p>
        </w:tc>
        <w:tc>
          <w:tcPr>
            <w:tcW w:w="1556" w:type="dxa"/>
            <w:tcBorders>
              <w:top w:val="nil"/>
              <w:left w:val="nil"/>
              <w:bottom w:val="single" w:sz="4" w:space="0" w:color="auto"/>
              <w:right w:val="nil"/>
            </w:tcBorders>
            <w:shd w:val="clear" w:color="auto" w:fill="auto"/>
            <w:noWrap/>
            <w:vAlign w:val="center"/>
            <w:hideMark/>
          </w:tcPr>
          <w:p w14:paraId="462A4BA1" w14:textId="77777777" w:rsidR="00862A01" w:rsidRPr="00872D7E" w:rsidRDefault="00862A01" w:rsidP="00862A01">
            <w:pPr>
              <w:jc w:val="right"/>
              <w:rPr>
                <w:color w:val="000000"/>
                <w:szCs w:val="20"/>
              </w:rPr>
            </w:pPr>
            <w:r w:rsidRPr="00872D7E">
              <w:rPr>
                <w:color w:val="000000"/>
                <w:szCs w:val="20"/>
              </w:rPr>
              <w:t>-</w:t>
            </w:r>
          </w:p>
        </w:tc>
      </w:tr>
      <w:tr w:rsidR="00862A01" w:rsidRPr="00872D7E" w14:paraId="39F1DCCE" w14:textId="77777777" w:rsidTr="00D80152">
        <w:trPr>
          <w:divId w:val="2023244427"/>
          <w:trHeight w:val="227"/>
        </w:trPr>
        <w:tc>
          <w:tcPr>
            <w:tcW w:w="6008" w:type="dxa"/>
            <w:tcBorders>
              <w:top w:val="nil"/>
              <w:left w:val="nil"/>
              <w:right w:val="nil"/>
            </w:tcBorders>
            <w:shd w:val="clear" w:color="auto" w:fill="auto"/>
            <w:vAlign w:val="center"/>
            <w:hideMark/>
          </w:tcPr>
          <w:p w14:paraId="3C462585" w14:textId="77777777" w:rsidR="00862A01" w:rsidRPr="00872D7E" w:rsidRDefault="00862A01" w:rsidP="00862A01">
            <w:pPr>
              <w:jc w:val="right"/>
              <w:rPr>
                <w:color w:val="000000"/>
                <w:szCs w:val="20"/>
              </w:rPr>
            </w:pPr>
          </w:p>
        </w:tc>
        <w:tc>
          <w:tcPr>
            <w:tcW w:w="1616" w:type="dxa"/>
            <w:tcBorders>
              <w:top w:val="nil"/>
              <w:left w:val="nil"/>
              <w:right w:val="nil"/>
            </w:tcBorders>
            <w:shd w:val="clear" w:color="auto" w:fill="auto"/>
            <w:vAlign w:val="center"/>
            <w:hideMark/>
          </w:tcPr>
          <w:p w14:paraId="6A1A45D1" w14:textId="77777777" w:rsidR="00862A01" w:rsidRPr="00872D7E" w:rsidRDefault="00862A01" w:rsidP="00862A01">
            <w:pPr>
              <w:rPr>
                <w:szCs w:val="20"/>
              </w:rPr>
            </w:pPr>
          </w:p>
        </w:tc>
        <w:tc>
          <w:tcPr>
            <w:tcW w:w="1556" w:type="dxa"/>
            <w:tcBorders>
              <w:top w:val="nil"/>
              <w:left w:val="nil"/>
              <w:right w:val="nil"/>
            </w:tcBorders>
            <w:shd w:val="clear" w:color="auto" w:fill="auto"/>
            <w:vAlign w:val="center"/>
            <w:hideMark/>
          </w:tcPr>
          <w:p w14:paraId="0CF54F5A" w14:textId="77777777" w:rsidR="00862A01" w:rsidRPr="00872D7E" w:rsidRDefault="00862A01" w:rsidP="00862A01">
            <w:pPr>
              <w:jc w:val="right"/>
              <w:rPr>
                <w:szCs w:val="20"/>
              </w:rPr>
            </w:pPr>
          </w:p>
        </w:tc>
      </w:tr>
      <w:tr w:rsidR="00862A01" w:rsidRPr="00872D7E" w14:paraId="294DF742" w14:textId="77777777" w:rsidTr="00D80152">
        <w:trPr>
          <w:divId w:val="2023244427"/>
          <w:trHeight w:val="227"/>
        </w:trPr>
        <w:tc>
          <w:tcPr>
            <w:tcW w:w="6008" w:type="dxa"/>
            <w:tcBorders>
              <w:top w:val="nil"/>
              <w:left w:val="nil"/>
              <w:bottom w:val="single" w:sz="8" w:space="0" w:color="auto"/>
              <w:right w:val="nil"/>
            </w:tcBorders>
            <w:shd w:val="clear" w:color="auto" w:fill="auto"/>
            <w:vAlign w:val="center"/>
            <w:hideMark/>
          </w:tcPr>
          <w:p w14:paraId="0EB08BA7" w14:textId="77777777" w:rsidR="00862A01" w:rsidRPr="00872D7E" w:rsidRDefault="00862A01" w:rsidP="00862A01">
            <w:pPr>
              <w:jc w:val="both"/>
              <w:rPr>
                <w:b/>
                <w:bCs/>
                <w:color w:val="000000"/>
                <w:szCs w:val="20"/>
              </w:rPr>
            </w:pPr>
            <w:r w:rsidRPr="00872D7E">
              <w:rPr>
                <w:b/>
                <w:bCs/>
                <w:color w:val="000000"/>
                <w:szCs w:val="20"/>
              </w:rPr>
              <w:t xml:space="preserve">Toplam </w:t>
            </w:r>
          </w:p>
        </w:tc>
        <w:tc>
          <w:tcPr>
            <w:tcW w:w="1616" w:type="dxa"/>
            <w:tcBorders>
              <w:top w:val="nil"/>
              <w:left w:val="nil"/>
              <w:bottom w:val="single" w:sz="8" w:space="0" w:color="auto"/>
              <w:right w:val="nil"/>
            </w:tcBorders>
            <w:shd w:val="clear" w:color="auto" w:fill="auto"/>
            <w:noWrap/>
            <w:vAlign w:val="center"/>
            <w:hideMark/>
          </w:tcPr>
          <w:p w14:paraId="25EA3DB7" w14:textId="77777777" w:rsidR="00862A01" w:rsidRPr="00872D7E" w:rsidRDefault="00862A01" w:rsidP="00862A01">
            <w:pPr>
              <w:jc w:val="right"/>
              <w:rPr>
                <w:b/>
                <w:bCs/>
                <w:color w:val="000000"/>
                <w:szCs w:val="20"/>
              </w:rPr>
            </w:pPr>
            <w:r w:rsidRPr="00872D7E">
              <w:rPr>
                <w:b/>
                <w:bCs/>
                <w:color w:val="000000"/>
                <w:szCs w:val="20"/>
              </w:rPr>
              <w:t>282.009</w:t>
            </w:r>
          </w:p>
        </w:tc>
        <w:tc>
          <w:tcPr>
            <w:tcW w:w="1556" w:type="dxa"/>
            <w:tcBorders>
              <w:top w:val="nil"/>
              <w:left w:val="nil"/>
              <w:bottom w:val="single" w:sz="8" w:space="0" w:color="auto"/>
              <w:right w:val="nil"/>
            </w:tcBorders>
            <w:shd w:val="clear" w:color="auto" w:fill="auto"/>
            <w:noWrap/>
            <w:vAlign w:val="center"/>
            <w:hideMark/>
          </w:tcPr>
          <w:p w14:paraId="264E6A3A" w14:textId="77777777" w:rsidR="00862A01" w:rsidRPr="00872D7E" w:rsidRDefault="00862A01" w:rsidP="00862A01">
            <w:pPr>
              <w:jc w:val="right"/>
              <w:rPr>
                <w:b/>
                <w:bCs/>
                <w:color w:val="000000"/>
                <w:szCs w:val="20"/>
              </w:rPr>
            </w:pPr>
            <w:r w:rsidRPr="00872D7E">
              <w:rPr>
                <w:b/>
                <w:bCs/>
                <w:color w:val="000000"/>
                <w:szCs w:val="20"/>
              </w:rPr>
              <w:t>5.681</w:t>
            </w:r>
          </w:p>
        </w:tc>
      </w:tr>
    </w:tbl>
    <w:p w14:paraId="37B0BD02" w14:textId="2733ED15" w:rsidR="00203A33" w:rsidRPr="00872D7E" w:rsidRDefault="00203A33" w:rsidP="00203A33">
      <w:pPr>
        <w:widowControl w:val="0"/>
        <w:ind w:left="-567"/>
        <w:jc w:val="both"/>
        <w:rPr>
          <w:szCs w:val="20"/>
        </w:rPr>
      </w:pPr>
      <w:r w:rsidRPr="00872D7E">
        <w:rPr>
          <w:szCs w:val="20"/>
        </w:rPr>
        <w:tab/>
      </w:r>
    </w:p>
    <w:p w14:paraId="124FD6D6" w14:textId="0F74E654" w:rsidR="00203A33" w:rsidRPr="00872D7E" w:rsidRDefault="00203A33" w:rsidP="00281456">
      <w:pPr>
        <w:widowControl w:val="0"/>
        <w:ind w:left="1276" w:hanging="425"/>
        <w:jc w:val="both"/>
        <w:rPr>
          <w:b/>
          <w:szCs w:val="20"/>
        </w:rPr>
      </w:pPr>
      <w:r w:rsidRPr="00872D7E">
        <w:rPr>
          <w:b/>
          <w:szCs w:val="20"/>
        </w:rPr>
        <w:t>a.</w:t>
      </w:r>
      <w:r w:rsidR="003E0081" w:rsidRPr="00872D7E">
        <w:rPr>
          <w:b/>
          <w:szCs w:val="20"/>
        </w:rPr>
        <w:t>2</w:t>
      </w:r>
      <w:r w:rsidRPr="00872D7E">
        <w:rPr>
          <w:b/>
          <w:szCs w:val="20"/>
        </w:rPr>
        <w:t>.</w:t>
      </w:r>
      <w:r w:rsidRPr="00872D7E">
        <w:rPr>
          <w:b/>
          <w:bCs/>
          <w:szCs w:val="20"/>
        </w:rPr>
        <w:tab/>
      </w:r>
      <w:r w:rsidRPr="00872D7E">
        <w:rPr>
          <w:b/>
          <w:szCs w:val="20"/>
        </w:rPr>
        <w:t>Primlere ilişkin bilgiler:</w:t>
      </w:r>
    </w:p>
    <w:p w14:paraId="57FB2934" w14:textId="7CE2E339" w:rsidR="00862A01" w:rsidRPr="00872D7E" w:rsidRDefault="00862A01"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rFonts w:eastAsia="Times New Roman"/>
          <w:noProof w:val="0"/>
          <w:sz w:val="20"/>
          <w:szCs w:val="20"/>
        </w:rPr>
      </w:pPr>
    </w:p>
    <w:tbl>
      <w:tblPr>
        <w:tblW w:w="9180" w:type="dxa"/>
        <w:tblCellMar>
          <w:left w:w="70" w:type="dxa"/>
          <w:right w:w="70" w:type="dxa"/>
        </w:tblCellMar>
        <w:tblLook w:val="04A0" w:firstRow="1" w:lastRow="0" w:firstColumn="1" w:lastColumn="0" w:noHBand="0" w:noVBand="1"/>
      </w:tblPr>
      <w:tblGrid>
        <w:gridCol w:w="6008"/>
        <w:gridCol w:w="1616"/>
        <w:gridCol w:w="1556"/>
      </w:tblGrid>
      <w:tr w:rsidR="00862A01" w:rsidRPr="00872D7E" w14:paraId="4A2CC36A" w14:textId="77777777" w:rsidTr="00683052">
        <w:trPr>
          <w:divId w:val="381439226"/>
          <w:trHeight w:val="227"/>
        </w:trPr>
        <w:tc>
          <w:tcPr>
            <w:tcW w:w="6008" w:type="dxa"/>
            <w:tcBorders>
              <w:top w:val="nil"/>
              <w:left w:val="nil"/>
              <w:right w:val="nil"/>
            </w:tcBorders>
            <w:shd w:val="clear" w:color="000000" w:fill="FFFFFF"/>
            <w:vAlign w:val="bottom"/>
            <w:hideMark/>
          </w:tcPr>
          <w:p w14:paraId="30B3DDDE" w14:textId="5D27B943" w:rsidR="00862A01" w:rsidRPr="00872D7E" w:rsidRDefault="00862A01" w:rsidP="00862A01">
            <w:pPr>
              <w:jc w:val="center"/>
              <w:rPr>
                <w:b/>
                <w:bCs/>
                <w:color w:val="000000"/>
                <w:szCs w:val="20"/>
                <w:lang w:eastAsia="tr-TR"/>
              </w:rPr>
            </w:pPr>
            <w:r w:rsidRPr="00872D7E">
              <w:rPr>
                <w:b/>
                <w:bCs/>
                <w:color w:val="000000"/>
                <w:szCs w:val="20"/>
              </w:rPr>
              <w:t> </w:t>
            </w:r>
          </w:p>
        </w:tc>
        <w:tc>
          <w:tcPr>
            <w:tcW w:w="1616" w:type="dxa"/>
            <w:tcBorders>
              <w:top w:val="nil"/>
              <w:left w:val="nil"/>
              <w:right w:val="nil"/>
            </w:tcBorders>
            <w:shd w:val="clear" w:color="auto" w:fill="auto"/>
            <w:noWrap/>
            <w:vAlign w:val="bottom"/>
            <w:hideMark/>
          </w:tcPr>
          <w:p w14:paraId="7F535F18" w14:textId="77777777" w:rsidR="00862A01" w:rsidRPr="00872D7E" w:rsidRDefault="00862A01" w:rsidP="00862A01">
            <w:pPr>
              <w:jc w:val="center"/>
              <w:rPr>
                <w:b/>
                <w:bCs/>
                <w:color w:val="000000"/>
                <w:szCs w:val="20"/>
              </w:rPr>
            </w:pPr>
            <w:r w:rsidRPr="00872D7E">
              <w:rPr>
                <w:b/>
                <w:bCs/>
                <w:color w:val="000000"/>
                <w:szCs w:val="20"/>
              </w:rPr>
              <w:t>31 Aralık 2024</w:t>
            </w:r>
          </w:p>
        </w:tc>
        <w:tc>
          <w:tcPr>
            <w:tcW w:w="1556" w:type="dxa"/>
            <w:tcBorders>
              <w:top w:val="nil"/>
              <w:left w:val="nil"/>
              <w:right w:val="nil"/>
            </w:tcBorders>
            <w:shd w:val="clear" w:color="auto" w:fill="auto"/>
            <w:noWrap/>
            <w:vAlign w:val="bottom"/>
            <w:hideMark/>
          </w:tcPr>
          <w:p w14:paraId="3C740691" w14:textId="77777777" w:rsidR="00862A01" w:rsidRPr="00872D7E" w:rsidRDefault="00862A01" w:rsidP="00862A01">
            <w:pPr>
              <w:jc w:val="center"/>
              <w:rPr>
                <w:b/>
                <w:bCs/>
                <w:color w:val="000000"/>
                <w:szCs w:val="20"/>
              </w:rPr>
            </w:pPr>
            <w:r w:rsidRPr="00872D7E">
              <w:rPr>
                <w:b/>
                <w:bCs/>
                <w:color w:val="000000"/>
                <w:szCs w:val="20"/>
              </w:rPr>
              <w:t>1 Ocak 2024</w:t>
            </w:r>
          </w:p>
        </w:tc>
      </w:tr>
      <w:tr w:rsidR="00862A01" w:rsidRPr="00872D7E" w14:paraId="732C50E3" w14:textId="77777777" w:rsidTr="00683052">
        <w:trPr>
          <w:divId w:val="381439226"/>
          <w:trHeight w:val="227"/>
        </w:trPr>
        <w:tc>
          <w:tcPr>
            <w:tcW w:w="6008" w:type="dxa"/>
            <w:tcBorders>
              <w:left w:val="nil"/>
              <w:bottom w:val="nil"/>
              <w:right w:val="nil"/>
            </w:tcBorders>
            <w:shd w:val="clear" w:color="auto" w:fill="auto"/>
            <w:vAlign w:val="bottom"/>
            <w:hideMark/>
          </w:tcPr>
          <w:p w14:paraId="32519213" w14:textId="77777777" w:rsidR="00862A01" w:rsidRPr="00872D7E" w:rsidRDefault="00862A01" w:rsidP="00862A01">
            <w:pPr>
              <w:rPr>
                <w:b/>
                <w:bCs/>
                <w:color w:val="000000"/>
                <w:szCs w:val="20"/>
              </w:rPr>
            </w:pPr>
          </w:p>
        </w:tc>
        <w:tc>
          <w:tcPr>
            <w:tcW w:w="1616" w:type="dxa"/>
            <w:tcBorders>
              <w:left w:val="nil"/>
              <w:bottom w:val="nil"/>
              <w:right w:val="nil"/>
            </w:tcBorders>
            <w:shd w:val="clear" w:color="auto" w:fill="auto"/>
            <w:vAlign w:val="bottom"/>
            <w:hideMark/>
          </w:tcPr>
          <w:p w14:paraId="7E5DB133" w14:textId="77777777" w:rsidR="00862A01" w:rsidRPr="00872D7E" w:rsidRDefault="00862A01" w:rsidP="00862A01">
            <w:pPr>
              <w:jc w:val="both"/>
              <w:rPr>
                <w:szCs w:val="20"/>
              </w:rPr>
            </w:pPr>
          </w:p>
        </w:tc>
        <w:tc>
          <w:tcPr>
            <w:tcW w:w="1556" w:type="dxa"/>
            <w:tcBorders>
              <w:left w:val="nil"/>
              <w:bottom w:val="nil"/>
              <w:right w:val="nil"/>
            </w:tcBorders>
            <w:shd w:val="clear" w:color="auto" w:fill="auto"/>
            <w:vAlign w:val="bottom"/>
            <w:hideMark/>
          </w:tcPr>
          <w:p w14:paraId="6B63EA9C" w14:textId="77777777" w:rsidR="00862A01" w:rsidRPr="00872D7E" w:rsidRDefault="00862A01" w:rsidP="00862A01">
            <w:pPr>
              <w:jc w:val="right"/>
              <w:rPr>
                <w:szCs w:val="20"/>
              </w:rPr>
            </w:pPr>
          </w:p>
        </w:tc>
      </w:tr>
      <w:tr w:rsidR="00862A01" w:rsidRPr="00872D7E" w14:paraId="0A21F91C" w14:textId="77777777" w:rsidTr="00862A01">
        <w:trPr>
          <w:divId w:val="381439226"/>
          <w:trHeight w:val="227"/>
        </w:trPr>
        <w:tc>
          <w:tcPr>
            <w:tcW w:w="6008" w:type="dxa"/>
            <w:tcBorders>
              <w:top w:val="nil"/>
              <w:left w:val="nil"/>
              <w:bottom w:val="nil"/>
              <w:right w:val="nil"/>
            </w:tcBorders>
            <w:shd w:val="clear" w:color="auto" w:fill="auto"/>
            <w:vAlign w:val="bottom"/>
            <w:hideMark/>
          </w:tcPr>
          <w:p w14:paraId="06281C2A" w14:textId="77777777" w:rsidR="00862A01" w:rsidRPr="00872D7E" w:rsidRDefault="00862A01" w:rsidP="00862A01">
            <w:pPr>
              <w:rPr>
                <w:color w:val="000000"/>
                <w:szCs w:val="20"/>
              </w:rPr>
            </w:pPr>
            <w:r w:rsidRPr="00872D7E">
              <w:rPr>
                <w:color w:val="000000"/>
                <w:szCs w:val="20"/>
              </w:rPr>
              <w:t>Sosyal Sigorta Primleri-Personel</w:t>
            </w:r>
          </w:p>
        </w:tc>
        <w:tc>
          <w:tcPr>
            <w:tcW w:w="1616" w:type="dxa"/>
            <w:tcBorders>
              <w:top w:val="nil"/>
              <w:left w:val="nil"/>
              <w:bottom w:val="nil"/>
              <w:right w:val="nil"/>
            </w:tcBorders>
            <w:shd w:val="clear" w:color="auto" w:fill="auto"/>
            <w:noWrap/>
            <w:vAlign w:val="center"/>
            <w:hideMark/>
          </w:tcPr>
          <w:p w14:paraId="4BCD28EF" w14:textId="77777777" w:rsidR="00862A01" w:rsidRPr="00872D7E" w:rsidRDefault="00862A01" w:rsidP="00862A01">
            <w:pPr>
              <w:jc w:val="right"/>
              <w:rPr>
                <w:color w:val="000000"/>
                <w:szCs w:val="20"/>
              </w:rPr>
            </w:pPr>
            <w:r w:rsidRPr="00872D7E">
              <w:rPr>
                <w:color w:val="000000"/>
                <w:szCs w:val="20"/>
              </w:rPr>
              <w:t>7.266</w:t>
            </w:r>
          </w:p>
        </w:tc>
        <w:tc>
          <w:tcPr>
            <w:tcW w:w="1556" w:type="dxa"/>
            <w:tcBorders>
              <w:top w:val="nil"/>
              <w:left w:val="nil"/>
              <w:bottom w:val="nil"/>
              <w:right w:val="nil"/>
            </w:tcBorders>
            <w:shd w:val="clear" w:color="auto" w:fill="auto"/>
            <w:noWrap/>
            <w:vAlign w:val="center"/>
            <w:hideMark/>
          </w:tcPr>
          <w:p w14:paraId="18A84313" w14:textId="77777777" w:rsidR="00862A01" w:rsidRPr="00872D7E" w:rsidRDefault="00862A01" w:rsidP="00862A01">
            <w:pPr>
              <w:jc w:val="right"/>
              <w:rPr>
                <w:color w:val="000000"/>
                <w:szCs w:val="20"/>
              </w:rPr>
            </w:pPr>
            <w:r w:rsidRPr="00872D7E">
              <w:rPr>
                <w:color w:val="000000"/>
                <w:szCs w:val="20"/>
              </w:rPr>
              <w:t>974</w:t>
            </w:r>
          </w:p>
        </w:tc>
      </w:tr>
      <w:tr w:rsidR="00862A01" w:rsidRPr="00872D7E" w14:paraId="3F4EF0E6" w14:textId="77777777" w:rsidTr="00862A01">
        <w:trPr>
          <w:divId w:val="381439226"/>
          <w:trHeight w:val="227"/>
        </w:trPr>
        <w:tc>
          <w:tcPr>
            <w:tcW w:w="6008" w:type="dxa"/>
            <w:tcBorders>
              <w:top w:val="nil"/>
              <w:left w:val="nil"/>
              <w:bottom w:val="nil"/>
              <w:right w:val="nil"/>
            </w:tcBorders>
            <w:shd w:val="clear" w:color="auto" w:fill="auto"/>
            <w:vAlign w:val="bottom"/>
            <w:hideMark/>
          </w:tcPr>
          <w:p w14:paraId="545E6C68" w14:textId="77777777" w:rsidR="00862A01" w:rsidRPr="00872D7E" w:rsidRDefault="00862A01" w:rsidP="00862A01">
            <w:pPr>
              <w:rPr>
                <w:color w:val="000000"/>
                <w:szCs w:val="20"/>
              </w:rPr>
            </w:pPr>
            <w:r w:rsidRPr="00872D7E">
              <w:rPr>
                <w:color w:val="000000"/>
                <w:szCs w:val="20"/>
              </w:rPr>
              <w:t>Sosyal Sigorta Primleri-İşveren</w:t>
            </w:r>
          </w:p>
        </w:tc>
        <w:tc>
          <w:tcPr>
            <w:tcW w:w="1616" w:type="dxa"/>
            <w:tcBorders>
              <w:top w:val="nil"/>
              <w:left w:val="nil"/>
              <w:bottom w:val="nil"/>
              <w:right w:val="nil"/>
            </w:tcBorders>
            <w:shd w:val="clear" w:color="auto" w:fill="auto"/>
            <w:noWrap/>
            <w:vAlign w:val="center"/>
            <w:hideMark/>
          </w:tcPr>
          <w:p w14:paraId="4571A554" w14:textId="77777777" w:rsidR="00862A01" w:rsidRPr="00872D7E" w:rsidRDefault="00862A01" w:rsidP="00862A01">
            <w:pPr>
              <w:jc w:val="right"/>
              <w:rPr>
                <w:color w:val="000000"/>
                <w:szCs w:val="20"/>
              </w:rPr>
            </w:pPr>
            <w:r w:rsidRPr="00872D7E">
              <w:rPr>
                <w:color w:val="000000"/>
                <w:szCs w:val="20"/>
              </w:rPr>
              <w:t>8.758</w:t>
            </w:r>
          </w:p>
        </w:tc>
        <w:tc>
          <w:tcPr>
            <w:tcW w:w="1556" w:type="dxa"/>
            <w:tcBorders>
              <w:top w:val="nil"/>
              <w:left w:val="nil"/>
              <w:bottom w:val="nil"/>
              <w:right w:val="nil"/>
            </w:tcBorders>
            <w:shd w:val="clear" w:color="auto" w:fill="auto"/>
            <w:noWrap/>
            <w:vAlign w:val="center"/>
            <w:hideMark/>
          </w:tcPr>
          <w:p w14:paraId="33E04F4C" w14:textId="77777777" w:rsidR="00862A01" w:rsidRPr="00872D7E" w:rsidRDefault="00862A01" w:rsidP="00862A01">
            <w:pPr>
              <w:jc w:val="right"/>
              <w:rPr>
                <w:color w:val="000000"/>
                <w:szCs w:val="20"/>
              </w:rPr>
            </w:pPr>
            <w:r w:rsidRPr="00872D7E">
              <w:rPr>
                <w:color w:val="000000"/>
                <w:szCs w:val="20"/>
              </w:rPr>
              <w:t>1.222</w:t>
            </w:r>
          </w:p>
        </w:tc>
      </w:tr>
      <w:tr w:rsidR="00862A01" w:rsidRPr="00872D7E" w14:paraId="4A29EDCC" w14:textId="77777777" w:rsidTr="00862A01">
        <w:trPr>
          <w:divId w:val="381439226"/>
          <w:trHeight w:val="227"/>
        </w:trPr>
        <w:tc>
          <w:tcPr>
            <w:tcW w:w="6008" w:type="dxa"/>
            <w:tcBorders>
              <w:top w:val="nil"/>
              <w:left w:val="nil"/>
              <w:bottom w:val="nil"/>
              <w:right w:val="nil"/>
            </w:tcBorders>
            <w:shd w:val="clear" w:color="auto" w:fill="auto"/>
            <w:vAlign w:val="bottom"/>
            <w:hideMark/>
          </w:tcPr>
          <w:p w14:paraId="527C7CAC" w14:textId="77777777" w:rsidR="00862A01" w:rsidRPr="00872D7E" w:rsidRDefault="00862A01" w:rsidP="00862A01">
            <w:pPr>
              <w:rPr>
                <w:color w:val="000000"/>
                <w:szCs w:val="20"/>
              </w:rPr>
            </w:pPr>
            <w:r w:rsidRPr="00872D7E">
              <w:rPr>
                <w:color w:val="000000"/>
                <w:szCs w:val="20"/>
              </w:rPr>
              <w:t>Banka Sosyal Yardım Sandığı Primleri-Personel</w:t>
            </w:r>
          </w:p>
        </w:tc>
        <w:tc>
          <w:tcPr>
            <w:tcW w:w="1616" w:type="dxa"/>
            <w:tcBorders>
              <w:top w:val="nil"/>
              <w:left w:val="nil"/>
              <w:bottom w:val="nil"/>
              <w:right w:val="nil"/>
            </w:tcBorders>
            <w:shd w:val="clear" w:color="auto" w:fill="auto"/>
            <w:noWrap/>
            <w:vAlign w:val="center"/>
            <w:hideMark/>
          </w:tcPr>
          <w:p w14:paraId="0CC7B984" w14:textId="77777777" w:rsidR="00862A01" w:rsidRPr="00872D7E" w:rsidRDefault="00862A01" w:rsidP="00862A01">
            <w:pPr>
              <w:jc w:val="right"/>
              <w:rPr>
                <w:color w:val="000000"/>
                <w:szCs w:val="20"/>
              </w:rPr>
            </w:pPr>
            <w:r w:rsidRPr="00872D7E">
              <w:rPr>
                <w:color w:val="000000"/>
                <w:szCs w:val="20"/>
              </w:rPr>
              <w:t>-</w:t>
            </w:r>
          </w:p>
        </w:tc>
        <w:tc>
          <w:tcPr>
            <w:tcW w:w="1556" w:type="dxa"/>
            <w:tcBorders>
              <w:top w:val="nil"/>
              <w:left w:val="nil"/>
              <w:bottom w:val="nil"/>
              <w:right w:val="nil"/>
            </w:tcBorders>
            <w:shd w:val="clear" w:color="auto" w:fill="auto"/>
            <w:noWrap/>
            <w:vAlign w:val="center"/>
            <w:hideMark/>
          </w:tcPr>
          <w:p w14:paraId="6524A710" w14:textId="77777777" w:rsidR="00862A01" w:rsidRPr="00872D7E" w:rsidRDefault="00862A01" w:rsidP="00862A01">
            <w:pPr>
              <w:jc w:val="right"/>
              <w:rPr>
                <w:color w:val="000000"/>
                <w:szCs w:val="20"/>
              </w:rPr>
            </w:pPr>
            <w:r w:rsidRPr="00872D7E">
              <w:rPr>
                <w:color w:val="000000"/>
                <w:szCs w:val="20"/>
              </w:rPr>
              <w:t>-</w:t>
            </w:r>
          </w:p>
        </w:tc>
      </w:tr>
      <w:tr w:rsidR="00862A01" w:rsidRPr="00872D7E" w14:paraId="70B967AF" w14:textId="77777777" w:rsidTr="00862A01">
        <w:trPr>
          <w:divId w:val="381439226"/>
          <w:trHeight w:val="227"/>
        </w:trPr>
        <w:tc>
          <w:tcPr>
            <w:tcW w:w="6008" w:type="dxa"/>
            <w:tcBorders>
              <w:top w:val="nil"/>
              <w:left w:val="nil"/>
              <w:bottom w:val="nil"/>
              <w:right w:val="nil"/>
            </w:tcBorders>
            <w:shd w:val="clear" w:color="auto" w:fill="auto"/>
            <w:vAlign w:val="bottom"/>
            <w:hideMark/>
          </w:tcPr>
          <w:p w14:paraId="459494E8" w14:textId="77777777" w:rsidR="00862A01" w:rsidRPr="00872D7E" w:rsidRDefault="00862A01" w:rsidP="00862A01">
            <w:pPr>
              <w:rPr>
                <w:color w:val="000000"/>
                <w:szCs w:val="20"/>
              </w:rPr>
            </w:pPr>
            <w:r w:rsidRPr="00872D7E">
              <w:rPr>
                <w:color w:val="000000"/>
                <w:szCs w:val="20"/>
              </w:rPr>
              <w:t>Banka Sosyal Yardım Sandığı Primleri-İşveren</w:t>
            </w:r>
          </w:p>
        </w:tc>
        <w:tc>
          <w:tcPr>
            <w:tcW w:w="1616" w:type="dxa"/>
            <w:tcBorders>
              <w:top w:val="nil"/>
              <w:left w:val="nil"/>
              <w:bottom w:val="nil"/>
              <w:right w:val="nil"/>
            </w:tcBorders>
            <w:shd w:val="clear" w:color="auto" w:fill="auto"/>
            <w:noWrap/>
            <w:vAlign w:val="center"/>
            <w:hideMark/>
          </w:tcPr>
          <w:p w14:paraId="70217466" w14:textId="77777777" w:rsidR="00862A01" w:rsidRPr="00872D7E" w:rsidRDefault="00862A01" w:rsidP="00862A01">
            <w:pPr>
              <w:jc w:val="right"/>
              <w:rPr>
                <w:color w:val="000000"/>
                <w:szCs w:val="20"/>
              </w:rPr>
            </w:pPr>
            <w:r w:rsidRPr="00872D7E">
              <w:rPr>
                <w:color w:val="000000"/>
                <w:szCs w:val="20"/>
              </w:rPr>
              <w:t>-</w:t>
            </w:r>
          </w:p>
        </w:tc>
        <w:tc>
          <w:tcPr>
            <w:tcW w:w="1556" w:type="dxa"/>
            <w:tcBorders>
              <w:top w:val="nil"/>
              <w:left w:val="nil"/>
              <w:bottom w:val="nil"/>
              <w:right w:val="nil"/>
            </w:tcBorders>
            <w:shd w:val="clear" w:color="auto" w:fill="auto"/>
            <w:noWrap/>
            <w:vAlign w:val="center"/>
            <w:hideMark/>
          </w:tcPr>
          <w:p w14:paraId="4E7B7161" w14:textId="77777777" w:rsidR="00862A01" w:rsidRPr="00872D7E" w:rsidRDefault="00862A01" w:rsidP="00862A01">
            <w:pPr>
              <w:jc w:val="right"/>
              <w:rPr>
                <w:color w:val="000000"/>
                <w:szCs w:val="20"/>
              </w:rPr>
            </w:pPr>
            <w:r w:rsidRPr="00872D7E">
              <w:rPr>
                <w:color w:val="000000"/>
                <w:szCs w:val="20"/>
              </w:rPr>
              <w:t>-</w:t>
            </w:r>
          </w:p>
        </w:tc>
      </w:tr>
      <w:tr w:rsidR="00862A01" w:rsidRPr="00872D7E" w14:paraId="267F757C" w14:textId="77777777" w:rsidTr="00862A01">
        <w:trPr>
          <w:divId w:val="381439226"/>
          <w:trHeight w:val="227"/>
        </w:trPr>
        <w:tc>
          <w:tcPr>
            <w:tcW w:w="6008" w:type="dxa"/>
            <w:tcBorders>
              <w:top w:val="nil"/>
              <w:left w:val="nil"/>
              <w:bottom w:val="nil"/>
              <w:right w:val="nil"/>
            </w:tcBorders>
            <w:shd w:val="clear" w:color="auto" w:fill="auto"/>
            <w:vAlign w:val="bottom"/>
            <w:hideMark/>
          </w:tcPr>
          <w:p w14:paraId="13CB8F6D" w14:textId="77777777" w:rsidR="00862A01" w:rsidRPr="00872D7E" w:rsidRDefault="00862A01" w:rsidP="00862A01">
            <w:pPr>
              <w:rPr>
                <w:color w:val="000000"/>
                <w:szCs w:val="20"/>
              </w:rPr>
            </w:pPr>
            <w:r w:rsidRPr="00872D7E">
              <w:rPr>
                <w:color w:val="000000"/>
                <w:szCs w:val="20"/>
              </w:rPr>
              <w:t>Emekli Sandığı Aidatı ve Karşılıkları-Personel</w:t>
            </w:r>
          </w:p>
        </w:tc>
        <w:tc>
          <w:tcPr>
            <w:tcW w:w="1616" w:type="dxa"/>
            <w:tcBorders>
              <w:top w:val="nil"/>
              <w:left w:val="nil"/>
              <w:bottom w:val="nil"/>
              <w:right w:val="nil"/>
            </w:tcBorders>
            <w:shd w:val="clear" w:color="auto" w:fill="auto"/>
            <w:noWrap/>
            <w:vAlign w:val="center"/>
            <w:hideMark/>
          </w:tcPr>
          <w:p w14:paraId="0349FCFA" w14:textId="77777777" w:rsidR="00862A01" w:rsidRPr="00872D7E" w:rsidRDefault="00862A01" w:rsidP="00862A01">
            <w:pPr>
              <w:jc w:val="right"/>
              <w:rPr>
                <w:color w:val="000000"/>
                <w:szCs w:val="20"/>
              </w:rPr>
            </w:pPr>
            <w:r w:rsidRPr="00872D7E">
              <w:rPr>
                <w:color w:val="000000"/>
                <w:szCs w:val="20"/>
              </w:rPr>
              <w:t>-</w:t>
            </w:r>
          </w:p>
        </w:tc>
        <w:tc>
          <w:tcPr>
            <w:tcW w:w="1556" w:type="dxa"/>
            <w:tcBorders>
              <w:top w:val="nil"/>
              <w:left w:val="nil"/>
              <w:bottom w:val="nil"/>
              <w:right w:val="nil"/>
            </w:tcBorders>
            <w:shd w:val="clear" w:color="auto" w:fill="auto"/>
            <w:noWrap/>
            <w:vAlign w:val="center"/>
            <w:hideMark/>
          </w:tcPr>
          <w:p w14:paraId="487AB506" w14:textId="77777777" w:rsidR="00862A01" w:rsidRPr="00872D7E" w:rsidRDefault="00862A01" w:rsidP="00862A01">
            <w:pPr>
              <w:jc w:val="right"/>
              <w:rPr>
                <w:color w:val="000000"/>
                <w:szCs w:val="20"/>
              </w:rPr>
            </w:pPr>
            <w:r w:rsidRPr="00872D7E">
              <w:rPr>
                <w:color w:val="000000"/>
                <w:szCs w:val="20"/>
              </w:rPr>
              <w:t>-</w:t>
            </w:r>
          </w:p>
        </w:tc>
      </w:tr>
      <w:tr w:rsidR="00862A01" w:rsidRPr="00872D7E" w14:paraId="6E385D34" w14:textId="77777777" w:rsidTr="00862A01">
        <w:trPr>
          <w:divId w:val="381439226"/>
          <w:trHeight w:val="227"/>
        </w:trPr>
        <w:tc>
          <w:tcPr>
            <w:tcW w:w="6008" w:type="dxa"/>
            <w:tcBorders>
              <w:top w:val="nil"/>
              <w:left w:val="nil"/>
              <w:bottom w:val="nil"/>
              <w:right w:val="nil"/>
            </w:tcBorders>
            <w:shd w:val="clear" w:color="auto" w:fill="auto"/>
            <w:vAlign w:val="bottom"/>
            <w:hideMark/>
          </w:tcPr>
          <w:p w14:paraId="02CAD969" w14:textId="77777777" w:rsidR="00862A01" w:rsidRPr="00872D7E" w:rsidRDefault="00862A01" w:rsidP="00862A01">
            <w:pPr>
              <w:rPr>
                <w:color w:val="000000"/>
                <w:szCs w:val="20"/>
              </w:rPr>
            </w:pPr>
            <w:r w:rsidRPr="00872D7E">
              <w:rPr>
                <w:color w:val="000000"/>
                <w:szCs w:val="20"/>
              </w:rPr>
              <w:t>Emekli Sandığı Aidatı ve Karşılıkları-İşveren</w:t>
            </w:r>
          </w:p>
        </w:tc>
        <w:tc>
          <w:tcPr>
            <w:tcW w:w="1616" w:type="dxa"/>
            <w:tcBorders>
              <w:top w:val="nil"/>
              <w:left w:val="nil"/>
              <w:bottom w:val="nil"/>
              <w:right w:val="nil"/>
            </w:tcBorders>
            <w:shd w:val="clear" w:color="auto" w:fill="auto"/>
            <w:noWrap/>
            <w:vAlign w:val="center"/>
            <w:hideMark/>
          </w:tcPr>
          <w:p w14:paraId="3B034FEF" w14:textId="77777777" w:rsidR="00862A01" w:rsidRPr="00872D7E" w:rsidRDefault="00862A01" w:rsidP="00862A01">
            <w:pPr>
              <w:jc w:val="right"/>
              <w:rPr>
                <w:color w:val="000000"/>
                <w:szCs w:val="20"/>
              </w:rPr>
            </w:pPr>
            <w:r w:rsidRPr="00872D7E">
              <w:rPr>
                <w:color w:val="000000"/>
                <w:szCs w:val="20"/>
              </w:rPr>
              <w:t>-</w:t>
            </w:r>
          </w:p>
        </w:tc>
        <w:tc>
          <w:tcPr>
            <w:tcW w:w="1556" w:type="dxa"/>
            <w:tcBorders>
              <w:top w:val="nil"/>
              <w:left w:val="nil"/>
              <w:bottom w:val="nil"/>
              <w:right w:val="nil"/>
            </w:tcBorders>
            <w:shd w:val="clear" w:color="auto" w:fill="auto"/>
            <w:noWrap/>
            <w:vAlign w:val="center"/>
            <w:hideMark/>
          </w:tcPr>
          <w:p w14:paraId="091E65E9" w14:textId="77777777" w:rsidR="00862A01" w:rsidRPr="00872D7E" w:rsidRDefault="00862A01" w:rsidP="00862A01">
            <w:pPr>
              <w:jc w:val="right"/>
              <w:rPr>
                <w:color w:val="000000"/>
                <w:szCs w:val="20"/>
              </w:rPr>
            </w:pPr>
            <w:r w:rsidRPr="00872D7E">
              <w:rPr>
                <w:color w:val="000000"/>
                <w:szCs w:val="20"/>
              </w:rPr>
              <w:t>-</w:t>
            </w:r>
          </w:p>
        </w:tc>
      </w:tr>
      <w:tr w:rsidR="00862A01" w:rsidRPr="00872D7E" w14:paraId="5A2D5D28" w14:textId="77777777" w:rsidTr="00862A01">
        <w:trPr>
          <w:divId w:val="381439226"/>
          <w:trHeight w:val="227"/>
        </w:trPr>
        <w:tc>
          <w:tcPr>
            <w:tcW w:w="6008" w:type="dxa"/>
            <w:tcBorders>
              <w:top w:val="nil"/>
              <w:left w:val="nil"/>
              <w:bottom w:val="nil"/>
              <w:right w:val="nil"/>
            </w:tcBorders>
            <w:shd w:val="clear" w:color="auto" w:fill="auto"/>
            <w:vAlign w:val="bottom"/>
            <w:hideMark/>
          </w:tcPr>
          <w:p w14:paraId="035C91A0" w14:textId="77777777" w:rsidR="00862A01" w:rsidRPr="00872D7E" w:rsidRDefault="00862A01" w:rsidP="00862A01">
            <w:pPr>
              <w:rPr>
                <w:color w:val="000000"/>
                <w:szCs w:val="20"/>
              </w:rPr>
            </w:pPr>
            <w:r w:rsidRPr="00872D7E">
              <w:rPr>
                <w:color w:val="000000"/>
                <w:szCs w:val="20"/>
              </w:rPr>
              <w:t>İşsizlik Sigortası-Personel</w:t>
            </w:r>
          </w:p>
        </w:tc>
        <w:tc>
          <w:tcPr>
            <w:tcW w:w="1616" w:type="dxa"/>
            <w:tcBorders>
              <w:top w:val="nil"/>
              <w:left w:val="nil"/>
              <w:bottom w:val="nil"/>
              <w:right w:val="nil"/>
            </w:tcBorders>
            <w:shd w:val="clear" w:color="auto" w:fill="auto"/>
            <w:noWrap/>
            <w:vAlign w:val="center"/>
            <w:hideMark/>
          </w:tcPr>
          <w:p w14:paraId="114B52D0" w14:textId="77777777" w:rsidR="00862A01" w:rsidRPr="00872D7E" w:rsidRDefault="00862A01" w:rsidP="00862A01">
            <w:pPr>
              <w:jc w:val="right"/>
              <w:rPr>
                <w:color w:val="000000"/>
                <w:szCs w:val="20"/>
              </w:rPr>
            </w:pPr>
            <w:r w:rsidRPr="00872D7E">
              <w:rPr>
                <w:color w:val="000000"/>
                <w:szCs w:val="20"/>
              </w:rPr>
              <w:t>498</w:t>
            </w:r>
          </w:p>
        </w:tc>
        <w:tc>
          <w:tcPr>
            <w:tcW w:w="1556" w:type="dxa"/>
            <w:tcBorders>
              <w:top w:val="nil"/>
              <w:left w:val="nil"/>
              <w:bottom w:val="nil"/>
              <w:right w:val="nil"/>
            </w:tcBorders>
            <w:shd w:val="clear" w:color="auto" w:fill="auto"/>
            <w:noWrap/>
            <w:vAlign w:val="center"/>
            <w:hideMark/>
          </w:tcPr>
          <w:p w14:paraId="11B4A512" w14:textId="77777777" w:rsidR="00862A01" w:rsidRPr="00872D7E" w:rsidRDefault="00862A01" w:rsidP="00862A01">
            <w:pPr>
              <w:jc w:val="right"/>
              <w:rPr>
                <w:color w:val="000000"/>
                <w:szCs w:val="20"/>
              </w:rPr>
            </w:pPr>
            <w:r w:rsidRPr="00872D7E">
              <w:rPr>
                <w:color w:val="000000"/>
                <w:szCs w:val="20"/>
              </w:rPr>
              <w:t>65</w:t>
            </w:r>
          </w:p>
        </w:tc>
      </w:tr>
      <w:tr w:rsidR="00862A01" w:rsidRPr="00872D7E" w14:paraId="5F5FF15F" w14:textId="77777777" w:rsidTr="00862A01">
        <w:trPr>
          <w:divId w:val="381439226"/>
          <w:trHeight w:val="227"/>
        </w:trPr>
        <w:tc>
          <w:tcPr>
            <w:tcW w:w="6008" w:type="dxa"/>
            <w:tcBorders>
              <w:top w:val="nil"/>
              <w:left w:val="nil"/>
              <w:bottom w:val="nil"/>
              <w:right w:val="nil"/>
            </w:tcBorders>
            <w:shd w:val="clear" w:color="auto" w:fill="auto"/>
            <w:vAlign w:val="bottom"/>
            <w:hideMark/>
          </w:tcPr>
          <w:p w14:paraId="195BBB86" w14:textId="77777777" w:rsidR="00862A01" w:rsidRPr="00872D7E" w:rsidRDefault="00862A01" w:rsidP="00862A01">
            <w:pPr>
              <w:rPr>
                <w:color w:val="000000"/>
                <w:szCs w:val="20"/>
              </w:rPr>
            </w:pPr>
            <w:r w:rsidRPr="00872D7E">
              <w:rPr>
                <w:color w:val="000000"/>
                <w:szCs w:val="20"/>
              </w:rPr>
              <w:t>İşsizlik Sigortası-İşveren</w:t>
            </w:r>
          </w:p>
        </w:tc>
        <w:tc>
          <w:tcPr>
            <w:tcW w:w="1616" w:type="dxa"/>
            <w:tcBorders>
              <w:top w:val="nil"/>
              <w:left w:val="nil"/>
              <w:bottom w:val="nil"/>
              <w:right w:val="nil"/>
            </w:tcBorders>
            <w:shd w:val="clear" w:color="auto" w:fill="auto"/>
            <w:noWrap/>
            <w:vAlign w:val="center"/>
            <w:hideMark/>
          </w:tcPr>
          <w:p w14:paraId="6F35BE0C" w14:textId="77777777" w:rsidR="00862A01" w:rsidRPr="00872D7E" w:rsidRDefault="00862A01" w:rsidP="00862A01">
            <w:pPr>
              <w:jc w:val="right"/>
              <w:rPr>
                <w:color w:val="000000"/>
                <w:szCs w:val="20"/>
              </w:rPr>
            </w:pPr>
            <w:r w:rsidRPr="00872D7E">
              <w:rPr>
                <w:color w:val="000000"/>
                <w:szCs w:val="20"/>
              </w:rPr>
              <w:t>996</w:t>
            </w:r>
          </w:p>
        </w:tc>
        <w:tc>
          <w:tcPr>
            <w:tcW w:w="1556" w:type="dxa"/>
            <w:tcBorders>
              <w:top w:val="nil"/>
              <w:left w:val="nil"/>
              <w:bottom w:val="nil"/>
              <w:right w:val="nil"/>
            </w:tcBorders>
            <w:shd w:val="clear" w:color="auto" w:fill="auto"/>
            <w:noWrap/>
            <w:vAlign w:val="center"/>
            <w:hideMark/>
          </w:tcPr>
          <w:p w14:paraId="7BC8BF4D" w14:textId="77777777" w:rsidR="00862A01" w:rsidRPr="00872D7E" w:rsidRDefault="00862A01" w:rsidP="00862A01">
            <w:pPr>
              <w:jc w:val="right"/>
              <w:rPr>
                <w:color w:val="000000"/>
                <w:szCs w:val="20"/>
              </w:rPr>
            </w:pPr>
            <w:r w:rsidRPr="00872D7E">
              <w:rPr>
                <w:color w:val="000000"/>
                <w:szCs w:val="20"/>
              </w:rPr>
              <w:t>130</w:t>
            </w:r>
          </w:p>
        </w:tc>
      </w:tr>
      <w:tr w:rsidR="00862A01" w:rsidRPr="00872D7E" w14:paraId="00B33820" w14:textId="77777777" w:rsidTr="00862A01">
        <w:trPr>
          <w:divId w:val="381439226"/>
          <w:trHeight w:val="227"/>
        </w:trPr>
        <w:tc>
          <w:tcPr>
            <w:tcW w:w="6008" w:type="dxa"/>
            <w:tcBorders>
              <w:top w:val="nil"/>
              <w:left w:val="nil"/>
              <w:bottom w:val="single" w:sz="4" w:space="0" w:color="auto"/>
              <w:right w:val="nil"/>
            </w:tcBorders>
            <w:shd w:val="clear" w:color="auto" w:fill="auto"/>
            <w:vAlign w:val="bottom"/>
            <w:hideMark/>
          </w:tcPr>
          <w:p w14:paraId="7EBBA1D9" w14:textId="77777777" w:rsidR="00862A01" w:rsidRPr="00872D7E" w:rsidRDefault="00862A01" w:rsidP="00862A01">
            <w:pPr>
              <w:rPr>
                <w:color w:val="000000"/>
                <w:szCs w:val="20"/>
              </w:rPr>
            </w:pPr>
            <w:r w:rsidRPr="00872D7E">
              <w:rPr>
                <w:color w:val="000000"/>
                <w:szCs w:val="20"/>
              </w:rPr>
              <w:t>Diğer</w:t>
            </w:r>
          </w:p>
        </w:tc>
        <w:tc>
          <w:tcPr>
            <w:tcW w:w="1616" w:type="dxa"/>
            <w:tcBorders>
              <w:top w:val="nil"/>
              <w:left w:val="nil"/>
              <w:bottom w:val="single" w:sz="4" w:space="0" w:color="auto"/>
              <w:right w:val="nil"/>
            </w:tcBorders>
            <w:shd w:val="clear" w:color="auto" w:fill="auto"/>
            <w:noWrap/>
            <w:vAlign w:val="center"/>
            <w:hideMark/>
          </w:tcPr>
          <w:p w14:paraId="7F3D07F3" w14:textId="77777777" w:rsidR="00862A01" w:rsidRPr="00872D7E" w:rsidRDefault="00862A01" w:rsidP="00862A01">
            <w:pPr>
              <w:jc w:val="right"/>
              <w:rPr>
                <w:color w:val="000000"/>
                <w:szCs w:val="20"/>
              </w:rPr>
            </w:pPr>
            <w:r w:rsidRPr="00872D7E">
              <w:rPr>
                <w:color w:val="000000"/>
                <w:szCs w:val="20"/>
              </w:rPr>
              <w:t>-</w:t>
            </w:r>
          </w:p>
        </w:tc>
        <w:tc>
          <w:tcPr>
            <w:tcW w:w="1556" w:type="dxa"/>
            <w:tcBorders>
              <w:top w:val="nil"/>
              <w:left w:val="nil"/>
              <w:bottom w:val="single" w:sz="4" w:space="0" w:color="auto"/>
              <w:right w:val="nil"/>
            </w:tcBorders>
            <w:shd w:val="clear" w:color="auto" w:fill="auto"/>
            <w:noWrap/>
            <w:vAlign w:val="center"/>
            <w:hideMark/>
          </w:tcPr>
          <w:p w14:paraId="6366FADF" w14:textId="77777777" w:rsidR="00862A01" w:rsidRPr="00872D7E" w:rsidRDefault="00862A01" w:rsidP="00862A01">
            <w:pPr>
              <w:jc w:val="right"/>
              <w:rPr>
                <w:color w:val="000000"/>
                <w:szCs w:val="20"/>
              </w:rPr>
            </w:pPr>
            <w:r w:rsidRPr="00872D7E">
              <w:rPr>
                <w:color w:val="000000"/>
                <w:szCs w:val="20"/>
              </w:rPr>
              <w:t>-</w:t>
            </w:r>
          </w:p>
        </w:tc>
      </w:tr>
      <w:tr w:rsidR="00862A01" w:rsidRPr="00872D7E" w14:paraId="79AEC076" w14:textId="77777777" w:rsidTr="00862A01">
        <w:trPr>
          <w:divId w:val="381439226"/>
          <w:trHeight w:val="227"/>
        </w:trPr>
        <w:tc>
          <w:tcPr>
            <w:tcW w:w="6008" w:type="dxa"/>
            <w:tcBorders>
              <w:top w:val="nil"/>
              <w:left w:val="nil"/>
              <w:right w:val="nil"/>
            </w:tcBorders>
            <w:shd w:val="clear" w:color="auto" w:fill="auto"/>
            <w:vAlign w:val="bottom"/>
            <w:hideMark/>
          </w:tcPr>
          <w:p w14:paraId="767CC172" w14:textId="77777777" w:rsidR="00862A01" w:rsidRPr="00872D7E" w:rsidRDefault="00862A01" w:rsidP="00862A01">
            <w:pPr>
              <w:jc w:val="right"/>
              <w:rPr>
                <w:color w:val="000000"/>
                <w:szCs w:val="20"/>
              </w:rPr>
            </w:pPr>
          </w:p>
        </w:tc>
        <w:tc>
          <w:tcPr>
            <w:tcW w:w="1616" w:type="dxa"/>
            <w:tcBorders>
              <w:top w:val="nil"/>
              <w:left w:val="nil"/>
              <w:right w:val="nil"/>
            </w:tcBorders>
            <w:shd w:val="clear" w:color="auto" w:fill="auto"/>
            <w:vAlign w:val="center"/>
            <w:hideMark/>
          </w:tcPr>
          <w:p w14:paraId="2B16177F" w14:textId="77777777" w:rsidR="00862A01" w:rsidRPr="00872D7E" w:rsidRDefault="00862A01" w:rsidP="00862A01">
            <w:pPr>
              <w:jc w:val="both"/>
              <w:rPr>
                <w:szCs w:val="20"/>
              </w:rPr>
            </w:pPr>
          </w:p>
        </w:tc>
        <w:tc>
          <w:tcPr>
            <w:tcW w:w="1556" w:type="dxa"/>
            <w:tcBorders>
              <w:top w:val="nil"/>
              <w:left w:val="nil"/>
              <w:right w:val="nil"/>
            </w:tcBorders>
            <w:shd w:val="clear" w:color="auto" w:fill="auto"/>
            <w:vAlign w:val="center"/>
            <w:hideMark/>
          </w:tcPr>
          <w:p w14:paraId="09902381" w14:textId="77777777" w:rsidR="00862A01" w:rsidRPr="00872D7E" w:rsidRDefault="00862A01" w:rsidP="00862A01">
            <w:pPr>
              <w:jc w:val="right"/>
              <w:rPr>
                <w:szCs w:val="20"/>
              </w:rPr>
            </w:pPr>
          </w:p>
        </w:tc>
      </w:tr>
      <w:tr w:rsidR="00862A01" w:rsidRPr="00872D7E" w14:paraId="570D8E26" w14:textId="77777777" w:rsidTr="00862A01">
        <w:trPr>
          <w:divId w:val="381439226"/>
          <w:trHeight w:val="227"/>
        </w:trPr>
        <w:tc>
          <w:tcPr>
            <w:tcW w:w="6008" w:type="dxa"/>
            <w:tcBorders>
              <w:top w:val="nil"/>
              <w:left w:val="nil"/>
              <w:bottom w:val="single" w:sz="12" w:space="0" w:color="auto"/>
              <w:right w:val="nil"/>
            </w:tcBorders>
            <w:shd w:val="clear" w:color="auto" w:fill="auto"/>
            <w:vAlign w:val="bottom"/>
            <w:hideMark/>
          </w:tcPr>
          <w:p w14:paraId="401A5C56" w14:textId="77777777" w:rsidR="00862A01" w:rsidRPr="00872D7E" w:rsidRDefault="00862A01" w:rsidP="00862A01">
            <w:pPr>
              <w:jc w:val="both"/>
              <w:rPr>
                <w:b/>
                <w:bCs/>
                <w:color w:val="000000"/>
                <w:szCs w:val="20"/>
              </w:rPr>
            </w:pPr>
            <w:r w:rsidRPr="00872D7E">
              <w:rPr>
                <w:b/>
                <w:bCs/>
                <w:color w:val="000000"/>
                <w:szCs w:val="20"/>
              </w:rPr>
              <w:t>Toplam</w:t>
            </w:r>
          </w:p>
        </w:tc>
        <w:tc>
          <w:tcPr>
            <w:tcW w:w="1616" w:type="dxa"/>
            <w:tcBorders>
              <w:top w:val="nil"/>
              <w:left w:val="nil"/>
              <w:bottom w:val="single" w:sz="12" w:space="0" w:color="auto"/>
              <w:right w:val="nil"/>
            </w:tcBorders>
            <w:shd w:val="clear" w:color="auto" w:fill="auto"/>
            <w:noWrap/>
            <w:vAlign w:val="center"/>
            <w:hideMark/>
          </w:tcPr>
          <w:p w14:paraId="4E55379E" w14:textId="77777777" w:rsidR="00862A01" w:rsidRPr="00872D7E" w:rsidRDefault="00862A01" w:rsidP="00862A01">
            <w:pPr>
              <w:jc w:val="right"/>
              <w:rPr>
                <w:b/>
                <w:bCs/>
                <w:color w:val="000000"/>
                <w:szCs w:val="20"/>
              </w:rPr>
            </w:pPr>
            <w:r w:rsidRPr="00872D7E">
              <w:rPr>
                <w:b/>
                <w:bCs/>
                <w:color w:val="000000"/>
                <w:szCs w:val="20"/>
              </w:rPr>
              <w:t>17.518</w:t>
            </w:r>
          </w:p>
        </w:tc>
        <w:tc>
          <w:tcPr>
            <w:tcW w:w="1556" w:type="dxa"/>
            <w:tcBorders>
              <w:top w:val="nil"/>
              <w:left w:val="nil"/>
              <w:bottom w:val="single" w:sz="12" w:space="0" w:color="auto"/>
              <w:right w:val="nil"/>
            </w:tcBorders>
            <w:shd w:val="clear" w:color="auto" w:fill="auto"/>
            <w:noWrap/>
            <w:vAlign w:val="center"/>
            <w:hideMark/>
          </w:tcPr>
          <w:p w14:paraId="36438336" w14:textId="77777777" w:rsidR="00862A01" w:rsidRPr="00872D7E" w:rsidRDefault="00862A01" w:rsidP="00862A01">
            <w:pPr>
              <w:jc w:val="right"/>
              <w:rPr>
                <w:b/>
                <w:bCs/>
                <w:color w:val="000000"/>
                <w:szCs w:val="20"/>
              </w:rPr>
            </w:pPr>
            <w:r w:rsidRPr="00872D7E">
              <w:rPr>
                <w:b/>
                <w:bCs/>
                <w:color w:val="000000"/>
                <w:szCs w:val="20"/>
              </w:rPr>
              <w:t>2.391</w:t>
            </w:r>
          </w:p>
        </w:tc>
      </w:tr>
    </w:tbl>
    <w:p w14:paraId="4C9B9F52" w14:textId="0A4464FD" w:rsidR="004A7BCB" w:rsidRPr="00872D7E" w:rsidRDefault="004A7BCB"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2958699E" w14:textId="404FB33A" w:rsidR="006744EE" w:rsidRPr="00872D7E" w:rsidRDefault="006744EE" w:rsidP="00DF282B">
      <w:pPr>
        <w:pStyle w:val="xl79"/>
        <w:widowControl w:val="0"/>
        <w:numPr>
          <w:ilvl w:val="0"/>
          <w:numId w:val="67"/>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872D7E">
        <w:rPr>
          <w:b/>
          <w:noProof w:val="0"/>
          <w:sz w:val="20"/>
          <w:szCs w:val="20"/>
        </w:rPr>
        <w:t>Satış amaçlı elde tutulan ve durdurulan faaliyetlere ilişkin duran varlık borçları hakkında bilgiler:</w:t>
      </w:r>
    </w:p>
    <w:p w14:paraId="6B9E2B6A" w14:textId="77777777" w:rsidR="004A7BCB" w:rsidRPr="00872D7E" w:rsidRDefault="004A7BCB"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126182A7" w14:textId="2B086263" w:rsidR="009E15BF" w:rsidRPr="00872D7E" w:rsidRDefault="00107BF3" w:rsidP="004A7BCB">
      <w:pPr>
        <w:widowControl w:val="0"/>
        <w:autoSpaceDE w:val="0"/>
        <w:autoSpaceDN w:val="0"/>
        <w:adjustRightInd w:val="0"/>
        <w:ind w:left="851"/>
        <w:jc w:val="both"/>
        <w:rPr>
          <w:szCs w:val="20"/>
        </w:rPr>
      </w:pPr>
      <w:r w:rsidRPr="00872D7E">
        <w:rPr>
          <w:szCs w:val="20"/>
        </w:rPr>
        <w:t>Bulunmamaktadır (1 Ocak 2024: Bulunmamaktadır).</w:t>
      </w:r>
    </w:p>
    <w:p w14:paraId="7E5E7968" w14:textId="77777777" w:rsidR="009E15BF" w:rsidRPr="00872D7E" w:rsidRDefault="009E15BF" w:rsidP="004A7BCB">
      <w:pPr>
        <w:widowControl w:val="0"/>
        <w:autoSpaceDE w:val="0"/>
        <w:autoSpaceDN w:val="0"/>
        <w:adjustRightInd w:val="0"/>
        <w:ind w:left="851"/>
        <w:jc w:val="both"/>
        <w:rPr>
          <w:szCs w:val="20"/>
        </w:rPr>
      </w:pPr>
    </w:p>
    <w:p w14:paraId="71431692" w14:textId="75296F5E" w:rsidR="001F7F98" w:rsidRPr="00872D7E" w:rsidRDefault="001F7F98" w:rsidP="004A7BCB">
      <w:pPr>
        <w:widowControl w:val="0"/>
        <w:autoSpaceDE w:val="0"/>
        <w:autoSpaceDN w:val="0"/>
        <w:adjustRightInd w:val="0"/>
        <w:ind w:left="851"/>
        <w:jc w:val="both"/>
        <w:rPr>
          <w:szCs w:val="20"/>
        </w:rPr>
      </w:pPr>
      <w:r w:rsidRPr="00872D7E">
        <w:rPr>
          <w:szCs w:val="20"/>
        </w:rPr>
        <w:br w:type="page"/>
      </w:r>
    </w:p>
    <w:p w14:paraId="1C6FA1F8" w14:textId="77777777" w:rsidR="001F7F98" w:rsidRPr="00872D7E" w:rsidRDefault="001F7F98" w:rsidP="0048490E">
      <w:pPr>
        <w:widowControl w:val="0"/>
        <w:spacing w:after="120" w:line="235" w:lineRule="auto"/>
        <w:ind w:left="720" w:hanging="720"/>
        <w:jc w:val="both"/>
        <w:rPr>
          <w:b/>
          <w:szCs w:val="20"/>
        </w:rPr>
      </w:pPr>
      <w:r w:rsidRPr="00872D7E">
        <w:rPr>
          <w:b/>
          <w:szCs w:val="20"/>
        </w:rPr>
        <w:lastRenderedPageBreak/>
        <w:t>KONSOLİDE OLMAYAN FİNANSAL TABLOLARA İLİŞKİN AÇIKLAMA VE DİPNOTLAR (Devamı)</w:t>
      </w:r>
    </w:p>
    <w:p w14:paraId="41CF4AD9" w14:textId="77777777" w:rsidR="001F7F98" w:rsidRPr="00872D7E" w:rsidRDefault="001F7F98" w:rsidP="0048490E">
      <w:pPr>
        <w:widowControl w:val="0"/>
        <w:spacing w:after="120" w:line="235" w:lineRule="auto"/>
        <w:ind w:left="851" w:hanging="851"/>
        <w:jc w:val="both"/>
        <w:rPr>
          <w:b/>
          <w:szCs w:val="20"/>
        </w:rPr>
      </w:pPr>
      <w:r w:rsidRPr="00872D7E">
        <w:rPr>
          <w:b/>
          <w:szCs w:val="20"/>
        </w:rPr>
        <w:t>II.</w:t>
      </w:r>
      <w:r w:rsidRPr="00872D7E">
        <w:rPr>
          <w:b/>
          <w:szCs w:val="20"/>
        </w:rPr>
        <w:tab/>
        <w:t>BİLANÇONUN PASİF HESAPLARINA İLİŞKİN AÇIKLAMA VE DİPNOTLAR (Devamı)</w:t>
      </w:r>
    </w:p>
    <w:p w14:paraId="3D917063" w14:textId="2485B339" w:rsidR="006744EE" w:rsidRPr="00872D7E" w:rsidRDefault="009E15BF" w:rsidP="00DF282B">
      <w:pPr>
        <w:pStyle w:val="xl79"/>
        <w:widowControl w:val="0"/>
        <w:numPr>
          <w:ilvl w:val="0"/>
          <w:numId w:val="67"/>
        </w:numPr>
        <w:pBdr>
          <w:left w:val="none" w:sz="0" w:space="0" w:color="auto"/>
          <w:bottom w:val="none" w:sz="0" w:space="0" w:color="auto"/>
          <w:right w:val="none" w:sz="0" w:space="0" w:color="auto"/>
        </w:pBdr>
        <w:tabs>
          <w:tab w:val="left" w:pos="-1800"/>
        </w:tabs>
        <w:spacing w:before="0" w:beforeAutospacing="0" w:after="120" w:afterAutospacing="0"/>
        <w:ind w:left="851" w:hanging="851"/>
        <w:jc w:val="both"/>
        <w:rPr>
          <w:b/>
          <w:noProof w:val="0"/>
          <w:sz w:val="20"/>
          <w:szCs w:val="20"/>
        </w:rPr>
      </w:pPr>
      <w:r w:rsidRPr="00872D7E">
        <w:rPr>
          <w:b/>
          <w:noProof w:val="0"/>
          <w:sz w:val="20"/>
          <w:szCs w:val="20"/>
        </w:rPr>
        <w:t xml:space="preserve">Banka’nın sermaye benzeri borçlanma araçlarının sayısı, vadesi, </w:t>
      </w:r>
      <w:proofErr w:type="gramStart"/>
      <w:r w:rsidRPr="00872D7E">
        <w:rPr>
          <w:b/>
          <w:noProof w:val="0"/>
          <w:sz w:val="20"/>
          <w:szCs w:val="20"/>
        </w:rPr>
        <w:t>kar</w:t>
      </w:r>
      <w:proofErr w:type="gramEnd"/>
      <w:r w:rsidRPr="00872D7E">
        <w:rPr>
          <w:b/>
          <w:noProof w:val="0"/>
          <w:sz w:val="20"/>
          <w:szCs w:val="20"/>
        </w:rPr>
        <w:t xml:space="preserve"> payı oranı; borçlanma aracının alacaklısı olan kuruluş ve varsa, hisse senedine dönüştürme opsiyonuna ilişkin detaylı açıklamalar:</w:t>
      </w:r>
    </w:p>
    <w:p w14:paraId="0F12D4F5" w14:textId="1D3F2AEC" w:rsidR="009E15BF" w:rsidRPr="00872D7E" w:rsidRDefault="00631F14" w:rsidP="009E15BF">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r w:rsidRPr="00872D7E">
        <w:rPr>
          <w:b/>
          <w:noProof w:val="0"/>
          <w:sz w:val="20"/>
          <w:szCs w:val="20"/>
        </w:rPr>
        <w:t>Sermaye benzeri kredilere ilişkin bilgiler:</w:t>
      </w:r>
    </w:p>
    <w:p w14:paraId="2DBDCD8C" w14:textId="30B0D0BB" w:rsidR="00862A01" w:rsidRPr="00872D7E" w:rsidRDefault="00862A01" w:rsidP="0048490E"/>
    <w:tbl>
      <w:tblPr>
        <w:tblW w:w="5000" w:type="pct"/>
        <w:tblCellMar>
          <w:left w:w="70" w:type="dxa"/>
          <w:right w:w="70" w:type="dxa"/>
        </w:tblCellMar>
        <w:tblLook w:val="04A0" w:firstRow="1" w:lastRow="0" w:firstColumn="1" w:lastColumn="0" w:noHBand="0" w:noVBand="1"/>
      </w:tblPr>
      <w:tblGrid>
        <w:gridCol w:w="4293"/>
        <w:gridCol w:w="1179"/>
        <w:gridCol w:w="1306"/>
        <w:gridCol w:w="1224"/>
        <w:gridCol w:w="1353"/>
      </w:tblGrid>
      <w:tr w:rsidR="00862A01" w:rsidRPr="00872D7E" w14:paraId="5B7F1BF1" w14:textId="77777777" w:rsidTr="00862A01">
        <w:trPr>
          <w:divId w:val="101148666"/>
          <w:trHeight w:val="255"/>
        </w:trPr>
        <w:tc>
          <w:tcPr>
            <w:tcW w:w="2295" w:type="pct"/>
            <w:tcBorders>
              <w:top w:val="nil"/>
              <w:left w:val="nil"/>
              <w:bottom w:val="nil"/>
              <w:right w:val="nil"/>
            </w:tcBorders>
            <w:shd w:val="clear" w:color="auto" w:fill="auto"/>
            <w:noWrap/>
            <w:vAlign w:val="bottom"/>
            <w:hideMark/>
          </w:tcPr>
          <w:p w14:paraId="12B158E1" w14:textId="027A6D3F" w:rsidR="00862A01" w:rsidRPr="00872D7E" w:rsidRDefault="00862A01" w:rsidP="00862A01">
            <w:pPr>
              <w:rPr>
                <w:szCs w:val="20"/>
                <w:lang w:eastAsia="tr-TR"/>
              </w:rPr>
            </w:pPr>
          </w:p>
        </w:tc>
        <w:tc>
          <w:tcPr>
            <w:tcW w:w="1328" w:type="pct"/>
            <w:gridSpan w:val="2"/>
            <w:tcBorders>
              <w:top w:val="nil"/>
              <w:left w:val="nil"/>
              <w:bottom w:val="single" w:sz="4" w:space="0" w:color="auto"/>
              <w:right w:val="nil"/>
            </w:tcBorders>
            <w:shd w:val="clear" w:color="auto" w:fill="auto"/>
            <w:noWrap/>
            <w:vAlign w:val="bottom"/>
            <w:hideMark/>
          </w:tcPr>
          <w:p w14:paraId="38AB7A98" w14:textId="77777777" w:rsidR="00862A01" w:rsidRPr="00872D7E" w:rsidRDefault="00862A01" w:rsidP="00862A01">
            <w:pPr>
              <w:jc w:val="center"/>
              <w:rPr>
                <w:b/>
                <w:bCs/>
                <w:color w:val="000000"/>
                <w:szCs w:val="20"/>
                <w:lang w:eastAsia="tr-TR"/>
              </w:rPr>
            </w:pPr>
            <w:r w:rsidRPr="00872D7E">
              <w:rPr>
                <w:b/>
                <w:bCs/>
                <w:color w:val="000000"/>
                <w:szCs w:val="20"/>
                <w:lang w:eastAsia="tr-TR"/>
              </w:rPr>
              <w:t>31 Aralık 2024</w:t>
            </w:r>
          </w:p>
        </w:tc>
        <w:tc>
          <w:tcPr>
            <w:tcW w:w="1377" w:type="pct"/>
            <w:gridSpan w:val="2"/>
            <w:tcBorders>
              <w:top w:val="nil"/>
              <w:left w:val="nil"/>
              <w:bottom w:val="single" w:sz="4" w:space="0" w:color="auto"/>
              <w:right w:val="nil"/>
            </w:tcBorders>
            <w:shd w:val="clear" w:color="auto" w:fill="auto"/>
            <w:noWrap/>
            <w:vAlign w:val="bottom"/>
            <w:hideMark/>
          </w:tcPr>
          <w:p w14:paraId="258ADE4E" w14:textId="77777777" w:rsidR="00862A01" w:rsidRPr="00872D7E" w:rsidRDefault="00862A01" w:rsidP="00862A01">
            <w:pPr>
              <w:jc w:val="center"/>
              <w:rPr>
                <w:b/>
                <w:bCs/>
                <w:color w:val="000000"/>
                <w:szCs w:val="20"/>
                <w:lang w:eastAsia="tr-TR"/>
              </w:rPr>
            </w:pPr>
            <w:r w:rsidRPr="00872D7E">
              <w:rPr>
                <w:b/>
                <w:bCs/>
                <w:color w:val="000000"/>
                <w:szCs w:val="20"/>
                <w:lang w:eastAsia="tr-TR"/>
              </w:rPr>
              <w:t>1 Ocak 2024</w:t>
            </w:r>
          </w:p>
        </w:tc>
      </w:tr>
      <w:tr w:rsidR="00862A01" w:rsidRPr="00872D7E" w14:paraId="05E1A2F1" w14:textId="77777777" w:rsidTr="00862A01">
        <w:trPr>
          <w:divId w:val="101148666"/>
          <w:trHeight w:val="255"/>
        </w:trPr>
        <w:tc>
          <w:tcPr>
            <w:tcW w:w="2295" w:type="pct"/>
            <w:tcBorders>
              <w:top w:val="nil"/>
              <w:left w:val="nil"/>
              <w:bottom w:val="single" w:sz="4" w:space="0" w:color="auto"/>
              <w:right w:val="nil"/>
            </w:tcBorders>
            <w:shd w:val="clear" w:color="auto" w:fill="auto"/>
            <w:vAlign w:val="center"/>
            <w:hideMark/>
          </w:tcPr>
          <w:p w14:paraId="365FE2F0" w14:textId="77777777" w:rsidR="00862A01" w:rsidRPr="00872D7E" w:rsidRDefault="00862A01" w:rsidP="00862A01">
            <w:pPr>
              <w:jc w:val="both"/>
              <w:rPr>
                <w:color w:val="000000"/>
                <w:szCs w:val="20"/>
                <w:lang w:eastAsia="tr-TR"/>
              </w:rPr>
            </w:pPr>
            <w:r w:rsidRPr="00872D7E">
              <w:rPr>
                <w:color w:val="000000"/>
                <w:szCs w:val="20"/>
                <w:lang w:eastAsia="tr-TR"/>
              </w:rPr>
              <w:t> </w:t>
            </w:r>
          </w:p>
        </w:tc>
        <w:tc>
          <w:tcPr>
            <w:tcW w:w="630" w:type="pct"/>
            <w:tcBorders>
              <w:top w:val="nil"/>
              <w:left w:val="nil"/>
              <w:bottom w:val="single" w:sz="4" w:space="0" w:color="auto"/>
              <w:right w:val="nil"/>
            </w:tcBorders>
            <w:shd w:val="clear" w:color="auto" w:fill="auto"/>
            <w:vAlign w:val="center"/>
            <w:hideMark/>
          </w:tcPr>
          <w:p w14:paraId="1791EABB" w14:textId="77777777" w:rsidR="00862A01" w:rsidRPr="00872D7E" w:rsidRDefault="00862A01" w:rsidP="00862A01">
            <w:pPr>
              <w:jc w:val="center"/>
              <w:rPr>
                <w:b/>
                <w:bCs/>
                <w:color w:val="000000"/>
                <w:szCs w:val="20"/>
                <w:lang w:eastAsia="tr-TR"/>
              </w:rPr>
            </w:pPr>
            <w:r w:rsidRPr="00872D7E">
              <w:rPr>
                <w:b/>
                <w:bCs/>
                <w:color w:val="000000"/>
                <w:szCs w:val="20"/>
                <w:lang w:eastAsia="tr-TR"/>
              </w:rPr>
              <w:t>TP</w:t>
            </w:r>
          </w:p>
        </w:tc>
        <w:tc>
          <w:tcPr>
            <w:tcW w:w="698" w:type="pct"/>
            <w:tcBorders>
              <w:top w:val="nil"/>
              <w:left w:val="nil"/>
              <w:bottom w:val="single" w:sz="4" w:space="0" w:color="auto"/>
              <w:right w:val="nil"/>
            </w:tcBorders>
            <w:shd w:val="clear" w:color="auto" w:fill="auto"/>
            <w:vAlign w:val="center"/>
            <w:hideMark/>
          </w:tcPr>
          <w:p w14:paraId="53E6BDBB" w14:textId="77777777" w:rsidR="00862A01" w:rsidRPr="00872D7E" w:rsidRDefault="00862A01" w:rsidP="00862A01">
            <w:pPr>
              <w:jc w:val="center"/>
              <w:rPr>
                <w:b/>
                <w:bCs/>
                <w:color w:val="000000"/>
                <w:szCs w:val="20"/>
                <w:lang w:eastAsia="tr-TR"/>
              </w:rPr>
            </w:pPr>
            <w:r w:rsidRPr="00872D7E">
              <w:rPr>
                <w:b/>
                <w:bCs/>
                <w:color w:val="000000"/>
                <w:szCs w:val="20"/>
                <w:lang w:eastAsia="tr-TR"/>
              </w:rPr>
              <w:t>YP</w:t>
            </w:r>
          </w:p>
        </w:tc>
        <w:tc>
          <w:tcPr>
            <w:tcW w:w="654" w:type="pct"/>
            <w:tcBorders>
              <w:top w:val="nil"/>
              <w:left w:val="nil"/>
              <w:bottom w:val="single" w:sz="4" w:space="0" w:color="auto"/>
              <w:right w:val="nil"/>
            </w:tcBorders>
            <w:shd w:val="clear" w:color="auto" w:fill="auto"/>
            <w:vAlign w:val="center"/>
            <w:hideMark/>
          </w:tcPr>
          <w:p w14:paraId="560998CE" w14:textId="77777777" w:rsidR="00862A01" w:rsidRPr="00872D7E" w:rsidRDefault="00862A01" w:rsidP="00862A01">
            <w:pPr>
              <w:jc w:val="center"/>
              <w:rPr>
                <w:b/>
                <w:bCs/>
                <w:color w:val="000000"/>
                <w:szCs w:val="20"/>
                <w:lang w:eastAsia="tr-TR"/>
              </w:rPr>
            </w:pPr>
            <w:r w:rsidRPr="00872D7E">
              <w:rPr>
                <w:b/>
                <w:bCs/>
                <w:color w:val="000000"/>
                <w:szCs w:val="20"/>
                <w:lang w:eastAsia="tr-TR"/>
              </w:rPr>
              <w:t>TP</w:t>
            </w:r>
          </w:p>
        </w:tc>
        <w:tc>
          <w:tcPr>
            <w:tcW w:w="722" w:type="pct"/>
            <w:tcBorders>
              <w:top w:val="nil"/>
              <w:left w:val="nil"/>
              <w:bottom w:val="single" w:sz="4" w:space="0" w:color="auto"/>
              <w:right w:val="nil"/>
            </w:tcBorders>
            <w:shd w:val="clear" w:color="auto" w:fill="auto"/>
            <w:vAlign w:val="center"/>
            <w:hideMark/>
          </w:tcPr>
          <w:p w14:paraId="493809ED" w14:textId="77777777" w:rsidR="00862A01" w:rsidRPr="00872D7E" w:rsidRDefault="00862A01" w:rsidP="00862A01">
            <w:pPr>
              <w:jc w:val="center"/>
              <w:rPr>
                <w:b/>
                <w:bCs/>
                <w:color w:val="000000"/>
                <w:szCs w:val="20"/>
                <w:lang w:eastAsia="tr-TR"/>
              </w:rPr>
            </w:pPr>
            <w:r w:rsidRPr="00872D7E">
              <w:rPr>
                <w:b/>
                <w:bCs/>
                <w:color w:val="000000"/>
                <w:szCs w:val="20"/>
                <w:lang w:eastAsia="tr-TR"/>
              </w:rPr>
              <w:t>YP</w:t>
            </w:r>
          </w:p>
        </w:tc>
      </w:tr>
      <w:tr w:rsidR="00862A01" w:rsidRPr="00872D7E" w14:paraId="79EEF1AE" w14:textId="77777777" w:rsidTr="00862A01">
        <w:trPr>
          <w:divId w:val="101148666"/>
          <w:trHeight w:val="255"/>
        </w:trPr>
        <w:tc>
          <w:tcPr>
            <w:tcW w:w="2295" w:type="pct"/>
            <w:tcBorders>
              <w:top w:val="nil"/>
              <w:left w:val="nil"/>
              <w:bottom w:val="nil"/>
              <w:right w:val="nil"/>
            </w:tcBorders>
            <w:shd w:val="clear" w:color="auto" w:fill="auto"/>
            <w:vAlign w:val="center"/>
            <w:hideMark/>
          </w:tcPr>
          <w:p w14:paraId="3C34A2DC" w14:textId="77777777" w:rsidR="00862A01" w:rsidRPr="00872D7E" w:rsidRDefault="00862A01" w:rsidP="00862A01">
            <w:pPr>
              <w:jc w:val="center"/>
              <w:rPr>
                <w:b/>
                <w:bCs/>
                <w:color w:val="000000"/>
                <w:szCs w:val="20"/>
                <w:lang w:eastAsia="tr-TR"/>
              </w:rPr>
            </w:pPr>
          </w:p>
        </w:tc>
        <w:tc>
          <w:tcPr>
            <w:tcW w:w="630" w:type="pct"/>
            <w:tcBorders>
              <w:top w:val="nil"/>
              <w:left w:val="nil"/>
              <w:bottom w:val="nil"/>
              <w:right w:val="nil"/>
            </w:tcBorders>
            <w:shd w:val="clear" w:color="auto" w:fill="auto"/>
            <w:vAlign w:val="center"/>
            <w:hideMark/>
          </w:tcPr>
          <w:p w14:paraId="4A58AB50" w14:textId="77777777" w:rsidR="00862A01" w:rsidRPr="00872D7E" w:rsidRDefault="00862A01" w:rsidP="00862A01">
            <w:pPr>
              <w:jc w:val="both"/>
              <w:rPr>
                <w:szCs w:val="20"/>
                <w:lang w:eastAsia="tr-TR"/>
              </w:rPr>
            </w:pPr>
          </w:p>
        </w:tc>
        <w:tc>
          <w:tcPr>
            <w:tcW w:w="698" w:type="pct"/>
            <w:tcBorders>
              <w:top w:val="nil"/>
              <w:left w:val="nil"/>
              <w:bottom w:val="nil"/>
              <w:right w:val="nil"/>
            </w:tcBorders>
            <w:shd w:val="clear" w:color="auto" w:fill="auto"/>
            <w:vAlign w:val="center"/>
            <w:hideMark/>
          </w:tcPr>
          <w:p w14:paraId="46B0EA4A" w14:textId="77777777" w:rsidR="00862A01" w:rsidRPr="00872D7E" w:rsidRDefault="00862A01" w:rsidP="00862A01">
            <w:pPr>
              <w:jc w:val="center"/>
              <w:rPr>
                <w:szCs w:val="20"/>
                <w:lang w:eastAsia="tr-TR"/>
              </w:rPr>
            </w:pPr>
          </w:p>
        </w:tc>
        <w:tc>
          <w:tcPr>
            <w:tcW w:w="654" w:type="pct"/>
            <w:tcBorders>
              <w:top w:val="nil"/>
              <w:left w:val="nil"/>
              <w:bottom w:val="nil"/>
              <w:right w:val="nil"/>
            </w:tcBorders>
            <w:shd w:val="clear" w:color="auto" w:fill="auto"/>
            <w:vAlign w:val="center"/>
            <w:hideMark/>
          </w:tcPr>
          <w:p w14:paraId="0C18E4A4" w14:textId="77777777" w:rsidR="00862A01" w:rsidRPr="00872D7E" w:rsidRDefault="00862A01" w:rsidP="00862A01">
            <w:pPr>
              <w:jc w:val="center"/>
              <w:rPr>
                <w:szCs w:val="20"/>
                <w:lang w:eastAsia="tr-TR"/>
              </w:rPr>
            </w:pPr>
          </w:p>
        </w:tc>
        <w:tc>
          <w:tcPr>
            <w:tcW w:w="722" w:type="pct"/>
            <w:tcBorders>
              <w:top w:val="nil"/>
              <w:left w:val="nil"/>
              <w:bottom w:val="nil"/>
              <w:right w:val="nil"/>
            </w:tcBorders>
            <w:shd w:val="clear" w:color="auto" w:fill="auto"/>
            <w:vAlign w:val="center"/>
            <w:hideMark/>
          </w:tcPr>
          <w:p w14:paraId="32080D31" w14:textId="77777777" w:rsidR="00862A01" w:rsidRPr="00872D7E" w:rsidRDefault="00862A01" w:rsidP="00862A01">
            <w:pPr>
              <w:jc w:val="center"/>
              <w:rPr>
                <w:szCs w:val="20"/>
                <w:lang w:eastAsia="tr-TR"/>
              </w:rPr>
            </w:pPr>
          </w:p>
        </w:tc>
      </w:tr>
      <w:tr w:rsidR="00862A01" w:rsidRPr="00872D7E" w14:paraId="7B9FC0C7" w14:textId="77777777" w:rsidTr="00862A01">
        <w:trPr>
          <w:divId w:val="101148666"/>
          <w:trHeight w:val="480"/>
        </w:trPr>
        <w:tc>
          <w:tcPr>
            <w:tcW w:w="2295" w:type="pct"/>
            <w:tcBorders>
              <w:top w:val="nil"/>
              <w:left w:val="nil"/>
              <w:bottom w:val="nil"/>
              <w:right w:val="nil"/>
            </w:tcBorders>
            <w:shd w:val="clear" w:color="auto" w:fill="auto"/>
            <w:vAlign w:val="center"/>
            <w:hideMark/>
          </w:tcPr>
          <w:p w14:paraId="5EBA9B17" w14:textId="77777777" w:rsidR="00862A01" w:rsidRPr="00872D7E" w:rsidRDefault="00862A01" w:rsidP="00862A01">
            <w:pPr>
              <w:rPr>
                <w:color w:val="000000"/>
                <w:szCs w:val="20"/>
                <w:lang w:eastAsia="tr-TR"/>
              </w:rPr>
            </w:pPr>
            <w:r w:rsidRPr="00872D7E">
              <w:rPr>
                <w:color w:val="000000"/>
                <w:szCs w:val="20"/>
                <w:lang w:eastAsia="tr-TR"/>
              </w:rPr>
              <w:t>İlave Ana Sermaye Hesaplamasına Dâhil Edilecek Borçlanma Araçları</w:t>
            </w:r>
          </w:p>
        </w:tc>
        <w:tc>
          <w:tcPr>
            <w:tcW w:w="630" w:type="pct"/>
            <w:tcBorders>
              <w:top w:val="nil"/>
              <w:left w:val="nil"/>
              <w:bottom w:val="nil"/>
              <w:right w:val="nil"/>
            </w:tcBorders>
            <w:shd w:val="clear" w:color="auto" w:fill="auto"/>
            <w:noWrap/>
            <w:vAlign w:val="center"/>
            <w:hideMark/>
          </w:tcPr>
          <w:p w14:paraId="37DCBD5D"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98" w:type="pct"/>
            <w:tcBorders>
              <w:top w:val="nil"/>
              <w:left w:val="nil"/>
              <w:bottom w:val="nil"/>
              <w:right w:val="nil"/>
            </w:tcBorders>
            <w:shd w:val="clear" w:color="auto" w:fill="auto"/>
            <w:noWrap/>
            <w:vAlign w:val="center"/>
            <w:hideMark/>
          </w:tcPr>
          <w:p w14:paraId="2A5963DD"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54" w:type="pct"/>
            <w:tcBorders>
              <w:top w:val="nil"/>
              <w:left w:val="nil"/>
              <w:bottom w:val="nil"/>
              <w:right w:val="nil"/>
            </w:tcBorders>
            <w:shd w:val="clear" w:color="auto" w:fill="auto"/>
            <w:noWrap/>
            <w:vAlign w:val="center"/>
            <w:hideMark/>
          </w:tcPr>
          <w:p w14:paraId="4258EF46"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722" w:type="pct"/>
            <w:tcBorders>
              <w:top w:val="nil"/>
              <w:left w:val="nil"/>
              <w:bottom w:val="nil"/>
              <w:right w:val="nil"/>
            </w:tcBorders>
            <w:shd w:val="clear" w:color="auto" w:fill="auto"/>
            <w:noWrap/>
            <w:vAlign w:val="center"/>
            <w:hideMark/>
          </w:tcPr>
          <w:p w14:paraId="68E03009"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71D7A1E1" w14:textId="77777777" w:rsidTr="00862A01">
        <w:trPr>
          <w:divId w:val="101148666"/>
          <w:trHeight w:val="255"/>
        </w:trPr>
        <w:tc>
          <w:tcPr>
            <w:tcW w:w="2295" w:type="pct"/>
            <w:tcBorders>
              <w:top w:val="nil"/>
              <w:left w:val="nil"/>
              <w:bottom w:val="nil"/>
              <w:right w:val="nil"/>
            </w:tcBorders>
            <w:shd w:val="clear" w:color="auto" w:fill="auto"/>
            <w:vAlign w:val="center"/>
            <w:hideMark/>
          </w:tcPr>
          <w:p w14:paraId="3AB387A2" w14:textId="77777777" w:rsidR="00862A01" w:rsidRPr="00872D7E" w:rsidRDefault="00862A01" w:rsidP="00862A01">
            <w:pPr>
              <w:ind w:firstLineChars="104" w:firstLine="208"/>
              <w:rPr>
                <w:color w:val="000000"/>
                <w:szCs w:val="20"/>
                <w:lang w:eastAsia="tr-TR"/>
              </w:rPr>
            </w:pPr>
            <w:r w:rsidRPr="00872D7E">
              <w:rPr>
                <w:color w:val="000000"/>
                <w:szCs w:val="20"/>
                <w:lang w:eastAsia="tr-TR"/>
              </w:rPr>
              <w:t>Sermaye Benzeri Krediler</w:t>
            </w:r>
          </w:p>
        </w:tc>
        <w:tc>
          <w:tcPr>
            <w:tcW w:w="630" w:type="pct"/>
            <w:tcBorders>
              <w:top w:val="nil"/>
              <w:left w:val="nil"/>
              <w:bottom w:val="nil"/>
              <w:right w:val="nil"/>
            </w:tcBorders>
            <w:shd w:val="clear" w:color="auto" w:fill="auto"/>
            <w:noWrap/>
            <w:vAlign w:val="center"/>
            <w:hideMark/>
          </w:tcPr>
          <w:p w14:paraId="146716B7"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98" w:type="pct"/>
            <w:tcBorders>
              <w:top w:val="nil"/>
              <w:left w:val="nil"/>
              <w:bottom w:val="nil"/>
              <w:right w:val="nil"/>
            </w:tcBorders>
            <w:shd w:val="clear" w:color="auto" w:fill="auto"/>
            <w:noWrap/>
            <w:vAlign w:val="center"/>
            <w:hideMark/>
          </w:tcPr>
          <w:p w14:paraId="51DF1B2F"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54" w:type="pct"/>
            <w:tcBorders>
              <w:top w:val="nil"/>
              <w:left w:val="nil"/>
              <w:bottom w:val="nil"/>
              <w:right w:val="nil"/>
            </w:tcBorders>
            <w:shd w:val="clear" w:color="auto" w:fill="auto"/>
            <w:noWrap/>
            <w:vAlign w:val="center"/>
            <w:hideMark/>
          </w:tcPr>
          <w:p w14:paraId="7722B675"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722" w:type="pct"/>
            <w:tcBorders>
              <w:top w:val="nil"/>
              <w:left w:val="nil"/>
              <w:bottom w:val="nil"/>
              <w:right w:val="nil"/>
            </w:tcBorders>
            <w:shd w:val="clear" w:color="auto" w:fill="auto"/>
            <w:noWrap/>
            <w:vAlign w:val="center"/>
            <w:hideMark/>
          </w:tcPr>
          <w:p w14:paraId="09BEA549"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51EF9E65" w14:textId="77777777" w:rsidTr="00862A01">
        <w:trPr>
          <w:divId w:val="101148666"/>
          <w:trHeight w:val="255"/>
        </w:trPr>
        <w:tc>
          <w:tcPr>
            <w:tcW w:w="2295" w:type="pct"/>
            <w:tcBorders>
              <w:top w:val="nil"/>
              <w:left w:val="nil"/>
              <w:bottom w:val="nil"/>
              <w:right w:val="nil"/>
            </w:tcBorders>
            <w:shd w:val="clear" w:color="auto" w:fill="auto"/>
            <w:vAlign w:val="center"/>
            <w:hideMark/>
          </w:tcPr>
          <w:p w14:paraId="786A3610" w14:textId="77777777" w:rsidR="00862A01" w:rsidRPr="00872D7E" w:rsidRDefault="00862A01" w:rsidP="00862A01">
            <w:pPr>
              <w:ind w:firstLineChars="104" w:firstLine="208"/>
              <w:rPr>
                <w:color w:val="000000"/>
                <w:szCs w:val="20"/>
                <w:lang w:eastAsia="tr-TR"/>
              </w:rPr>
            </w:pPr>
            <w:r w:rsidRPr="00872D7E">
              <w:rPr>
                <w:color w:val="000000"/>
                <w:szCs w:val="20"/>
                <w:lang w:eastAsia="tr-TR"/>
              </w:rPr>
              <w:t>Sermaye Benzeri Borçlanma Araçları</w:t>
            </w:r>
          </w:p>
        </w:tc>
        <w:tc>
          <w:tcPr>
            <w:tcW w:w="630" w:type="pct"/>
            <w:tcBorders>
              <w:top w:val="nil"/>
              <w:left w:val="nil"/>
              <w:bottom w:val="nil"/>
              <w:right w:val="nil"/>
            </w:tcBorders>
            <w:shd w:val="clear" w:color="auto" w:fill="auto"/>
            <w:noWrap/>
            <w:vAlign w:val="center"/>
            <w:hideMark/>
          </w:tcPr>
          <w:p w14:paraId="1DA8F16F"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98" w:type="pct"/>
            <w:tcBorders>
              <w:top w:val="nil"/>
              <w:left w:val="nil"/>
              <w:bottom w:val="nil"/>
              <w:right w:val="nil"/>
            </w:tcBorders>
            <w:shd w:val="clear" w:color="auto" w:fill="auto"/>
            <w:noWrap/>
            <w:vAlign w:val="center"/>
            <w:hideMark/>
          </w:tcPr>
          <w:p w14:paraId="7542FF45"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54" w:type="pct"/>
            <w:tcBorders>
              <w:top w:val="nil"/>
              <w:left w:val="nil"/>
              <w:bottom w:val="nil"/>
              <w:right w:val="nil"/>
            </w:tcBorders>
            <w:shd w:val="clear" w:color="auto" w:fill="auto"/>
            <w:noWrap/>
            <w:vAlign w:val="center"/>
            <w:hideMark/>
          </w:tcPr>
          <w:p w14:paraId="2647F301"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722" w:type="pct"/>
            <w:tcBorders>
              <w:top w:val="nil"/>
              <w:left w:val="nil"/>
              <w:bottom w:val="nil"/>
              <w:right w:val="nil"/>
            </w:tcBorders>
            <w:shd w:val="clear" w:color="auto" w:fill="auto"/>
            <w:noWrap/>
            <w:vAlign w:val="center"/>
            <w:hideMark/>
          </w:tcPr>
          <w:p w14:paraId="3142276F"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7462A946" w14:textId="77777777" w:rsidTr="00862A01">
        <w:trPr>
          <w:divId w:val="101148666"/>
          <w:trHeight w:val="480"/>
        </w:trPr>
        <w:tc>
          <w:tcPr>
            <w:tcW w:w="2295" w:type="pct"/>
            <w:tcBorders>
              <w:top w:val="nil"/>
              <w:left w:val="nil"/>
              <w:bottom w:val="nil"/>
              <w:right w:val="nil"/>
            </w:tcBorders>
            <w:shd w:val="clear" w:color="auto" w:fill="auto"/>
            <w:vAlign w:val="center"/>
            <w:hideMark/>
          </w:tcPr>
          <w:p w14:paraId="709C770F" w14:textId="77777777" w:rsidR="00862A01" w:rsidRPr="00872D7E" w:rsidRDefault="00862A01" w:rsidP="00862A01">
            <w:pPr>
              <w:rPr>
                <w:color w:val="000000"/>
                <w:szCs w:val="20"/>
                <w:lang w:eastAsia="tr-TR"/>
              </w:rPr>
            </w:pPr>
            <w:r w:rsidRPr="00872D7E">
              <w:rPr>
                <w:color w:val="000000"/>
                <w:szCs w:val="20"/>
                <w:lang w:eastAsia="tr-TR"/>
              </w:rPr>
              <w:t xml:space="preserve">Katkı Sermaye Hesaplamasına Dâhil Edilecek Borçlanma </w:t>
            </w:r>
            <w:proofErr w:type="gramStart"/>
            <w:r w:rsidRPr="00872D7E">
              <w:rPr>
                <w:color w:val="000000"/>
                <w:szCs w:val="20"/>
                <w:lang w:eastAsia="tr-TR"/>
              </w:rPr>
              <w:t>Araçları</w:t>
            </w:r>
            <w:r w:rsidRPr="00872D7E">
              <w:rPr>
                <w:color w:val="000000"/>
                <w:szCs w:val="20"/>
                <w:vertAlign w:val="superscript"/>
                <w:lang w:eastAsia="tr-TR"/>
              </w:rPr>
              <w:t>(</w:t>
            </w:r>
            <w:proofErr w:type="gramEnd"/>
            <w:r w:rsidRPr="00872D7E">
              <w:rPr>
                <w:color w:val="000000"/>
                <w:szCs w:val="20"/>
                <w:vertAlign w:val="superscript"/>
                <w:lang w:eastAsia="tr-TR"/>
              </w:rPr>
              <w:t>*)</w:t>
            </w:r>
          </w:p>
        </w:tc>
        <w:tc>
          <w:tcPr>
            <w:tcW w:w="630" w:type="pct"/>
            <w:tcBorders>
              <w:top w:val="nil"/>
              <w:left w:val="nil"/>
              <w:bottom w:val="nil"/>
              <w:right w:val="nil"/>
            </w:tcBorders>
            <w:shd w:val="clear" w:color="auto" w:fill="auto"/>
            <w:noWrap/>
            <w:vAlign w:val="center"/>
            <w:hideMark/>
          </w:tcPr>
          <w:p w14:paraId="3D9069A5"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98" w:type="pct"/>
            <w:tcBorders>
              <w:top w:val="nil"/>
              <w:left w:val="nil"/>
              <w:bottom w:val="nil"/>
              <w:right w:val="nil"/>
            </w:tcBorders>
            <w:shd w:val="clear" w:color="auto" w:fill="auto"/>
            <w:noWrap/>
            <w:vAlign w:val="center"/>
            <w:hideMark/>
          </w:tcPr>
          <w:p w14:paraId="6831A7B2"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54" w:type="pct"/>
            <w:tcBorders>
              <w:top w:val="nil"/>
              <w:left w:val="nil"/>
              <w:bottom w:val="nil"/>
              <w:right w:val="nil"/>
            </w:tcBorders>
            <w:shd w:val="clear" w:color="auto" w:fill="auto"/>
            <w:noWrap/>
            <w:vAlign w:val="center"/>
            <w:hideMark/>
          </w:tcPr>
          <w:p w14:paraId="53FB3FD0" w14:textId="77777777" w:rsidR="00862A01" w:rsidRPr="00872D7E" w:rsidRDefault="00862A01" w:rsidP="00862A01">
            <w:pPr>
              <w:jc w:val="right"/>
              <w:rPr>
                <w:color w:val="000000"/>
                <w:szCs w:val="20"/>
                <w:lang w:eastAsia="tr-TR"/>
              </w:rPr>
            </w:pPr>
            <w:r w:rsidRPr="00872D7E">
              <w:rPr>
                <w:color w:val="000000"/>
                <w:szCs w:val="20"/>
                <w:lang w:eastAsia="tr-TR"/>
              </w:rPr>
              <w:t>500.000</w:t>
            </w:r>
          </w:p>
        </w:tc>
        <w:tc>
          <w:tcPr>
            <w:tcW w:w="722" w:type="pct"/>
            <w:tcBorders>
              <w:top w:val="nil"/>
              <w:left w:val="nil"/>
              <w:bottom w:val="nil"/>
              <w:right w:val="nil"/>
            </w:tcBorders>
            <w:shd w:val="clear" w:color="auto" w:fill="auto"/>
            <w:noWrap/>
            <w:vAlign w:val="center"/>
            <w:hideMark/>
          </w:tcPr>
          <w:p w14:paraId="68CBFAD5"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399317B2" w14:textId="77777777" w:rsidTr="00862A01">
        <w:trPr>
          <w:divId w:val="101148666"/>
          <w:trHeight w:val="255"/>
        </w:trPr>
        <w:tc>
          <w:tcPr>
            <w:tcW w:w="2295" w:type="pct"/>
            <w:tcBorders>
              <w:top w:val="nil"/>
              <w:left w:val="nil"/>
              <w:bottom w:val="nil"/>
              <w:right w:val="nil"/>
            </w:tcBorders>
            <w:shd w:val="clear" w:color="auto" w:fill="auto"/>
            <w:vAlign w:val="center"/>
            <w:hideMark/>
          </w:tcPr>
          <w:p w14:paraId="0804D1DA" w14:textId="77777777" w:rsidR="00862A01" w:rsidRPr="00872D7E" w:rsidRDefault="00862A01" w:rsidP="00862A01">
            <w:pPr>
              <w:ind w:firstLineChars="104" w:firstLine="208"/>
              <w:rPr>
                <w:color w:val="000000"/>
                <w:szCs w:val="20"/>
                <w:lang w:eastAsia="tr-TR"/>
              </w:rPr>
            </w:pPr>
            <w:r w:rsidRPr="00872D7E">
              <w:rPr>
                <w:color w:val="000000"/>
                <w:szCs w:val="20"/>
                <w:lang w:eastAsia="tr-TR"/>
              </w:rPr>
              <w:t>Sermaye Benzeri Krediler</w:t>
            </w:r>
          </w:p>
        </w:tc>
        <w:tc>
          <w:tcPr>
            <w:tcW w:w="630" w:type="pct"/>
            <w:tcBorders>
              <w:top w:val="nil"/>
              <w:left w:val="nil"/>
              <w:bottom w:val="nil"/>
              <w:right w:val="nil"/>
            </w:tcBorders>
            <w:shd w:val="clear" w:color="auto" w:fill="auto"/>
            <w:noWrap/>
            <w:vAlign w:val="center"/>
            <w:hideMark/>
          </w:tcPr>
          <w:p w14:paraId="3BF34F91"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98" w:type="pct"/>
            <w:tcBorders>
              <w:top w:val="nil"/>
              <w:left w:val="nil"/>
              <w:bottom w:val="nil"/>
              <w:right w:val="nil"/>
            </w:tcBorders>
            <w:shd w:val="clear" w:color="auto" w:fill="auto"/>
            <w:noWrap/>
            <w:vAlign w:val="center"/>
            <w:hideMark/>
          </w:tcPr>
          <w:p w14:paraId="0040506F"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54" w:type="pct"/>
            <w:tcBorders>
              <w:top w:val="nil"/>
              <w:left w:val="nil"/>
              <w:bottom w:val="nil"/>
              <w:right w:val="nil"/>
            </w:tcBorders>
            <w:shd w:val="clear" w:color="auto" w:fill="auto"/>
            <w:noWrap/>
            <w:vAlign w:val="center"/>
            <w:hideMark/>
          </w:tcPr>
          <w:p w14:paraId="3E5A753C" w14:textId="77777777" w:rsidR="00862A01" w:rsidRPr="00872D7E" w:rsidRDefault="00862A01" w:rsidP="00862A01">
            <w:pPr>
              <w:jc w:val="right"/>
              <w:rPr>
                <w:color w:val="000000"/>
                <w:szCs w:val="20"/>
                <w:lang w:eastAsia="tr-TR"/>
              </w:rPr>
            </w:pPr>
            <w:r w:rsidRPr="00872D7E">
              <w:rPr>
                <w:color w:val="000000"/>
                <w:szCs w:val="20"/>
                <w:lang w:eastAsia="tr-TR"/>
              </w:rPr>
              <w:t>500.000</w:t>
            </w:r>
          </w:p>
        </w:tc>
        <w:tc>
          <w:tcPr>
            <w:tcW w:w="722" w:type="pct"/>
            <w:tcBorders>
              <w:top w:val="nil"/>
              <w:left w:val="nil"/>
              <w:bottom w:val="nil"/>
              <w:right w:val="nil"/>
            </w:tcBorders>
            <w:shd w:val="clear" w:color="auto" w:fill="auto"/>
            <w:noWrap/>
            <w:vAlign w:val="center"/>
            <w:hideMark/>
          </w:tcPr>
          <w:p w14:paraId="2F506082"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0C62AA4F" w14:textId="77777777" w:rsidTr="00862A01">
        <w:trPr>
          <w:divId w:val="101148666"/>
          <w:trHeight w:val="255"/>
        </w:trPr>
        <w:tc>
          <w:tcPr>
            <w:tcW w:w="2295" w:type="pct"/>
            <w:tcBorders>
              <w:top w:val="nil"/>
              <w:left w:val="nil"/>
              <w:bottom w:val="single" w:sz="4" w:space="0" w:color="auto"/>
              <w:right w:val="nil"/>
            </w:tcBorders>
            <w:shd w:val="clear" w:color="auto" w:fill="auto"/>
            <w:vAlign w:val="center"/>
            <w:hideMark/>
          </w:tcPr>
          <w:p w14:paraId="5B00D18B" w14:textId="77777777" w:rsidR="00862A01" w:rsidRPr="00872D7E" w:rsidRDefault="00862A01" w:rsidP="00862A01">
            <w:pPr>
              <w:ind w:firstLineChars="104" w:firstLine="208"/>
              <w:rPr>
                <w:color w:val="000000"/>
                <w:szCs w:val="20"/>
                <w:lang w:eastAsia="tr-TR"/>
              </w:rPr>
            </w:pPr>
            <w:r w:rsidRPr="00872D7E">
              <w:rPr>
                <w:color w:val="000000"/>
                <w:szCs w:val="20"/>
                <w:lang w:eastAsia="tr-TR"/>
              </w:rPr>
              <w:t>Sermaye Benzeri Borçlanma Araçları</w:t>
            </w:r>
          </w:p>
        </w:tc>
        <w:tc>
          <w:tcPr>
            <w:tcW w:w="630" w:type="pct"/>
            <w:tcBorders>
              <w:top w:val="nil"/>
              <w:left w:val="nil"/>
              <w:bottom w:val="single" w:sz="4" w:space="0" w:color="auto"/>
              <w:right w:val="nil"/>
            </w:tcBorders>
            <w:shd w:val="clear" w:color="auto" w:fill="auto"/>
            <w:noWrap/>
            <w:vAlign w:val="center"/>
            <w:hideMark/>
          </w:tcPr>
          <w:p w14:paraId="49739F15"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98" w:type="pct"/>
            <w:tcBorders>
              <w:top w:val="nil"/>
              <w:left w:val="nil"/>
              <w:bottom w:val="single" w:sz="4" w:space="0" w:color="auto"/>
              <w:right w:val="nil"/>
            </w:tcBorders>
            <w:shd w:val="clear" w:color="auto" w:fill="auto"/>
            <w:noWrap/>
            <w:vAlign w:val="center"/>
            <w:hideMark/>
          </w:tcPr>
          <w:p w14:paraId="73AABD72"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654" w:type="pct"/>
            <w:tcBorders>
              <w:top w:val="nil"/>
              <w:left w:val="nil"/>
              <w:bottom w:val="single" w:sz="4" w:space="0" w:color="auto"/>
              <w:right w:val="nil"/>
            </w:tcBorders>
            <w:shd w:val="clear" w:color="auto" w:fill="auto"/>
            <w:noWrap/>
            <w:vAlign w:val="center"/>
            <w:hideMark/>
          </w:tcPr>
          <w:p w14:paraId="7832AFED" w14:textId="77777777" w:rsidR="00862A01" w:rsidRPr="00872D7E" w:rsidRDefault="00862A01" w:rsidP="00862A01">
            <w:pPr>
              <w:jc w:val="right"/>
              <w:rPr>
                <w:color w:val="000000"/>
                <w:szCs w:val="20"/>
                <w:lang w:eastAsia="tr-TR"/>
              </w:rPr>
            </w:pPr>
            <w:r w:rsidRPr="00872D7E">
              <w:rPr>
                <w:color w:val="000000"/>
                <w:szCs w:val="20"/>
                <w:lang w:eastAsia="tr-TR"/>
              </w:rPr>
              <w:t>-</w:t>
            </w:r>
          </w:p>
        </w:tc>
        <w:tc>
          <w:tcPr>
            <w:tcW w:w="722" w:type="pct"/>
            <w:tcBorders>
              <w:top w:val="nil"/>
              <w:left w:val="nil"/>
              <w:bottom w:val="single" w:sz="4" w:space="0" w:color="auto"/>
              <w:right w:val="nil"/>
            </w:tcBorders>
            <w:shd w:val="clear" w:color="auto" w:fill="auto"/>
            <w:noWrap/>
            <w:vAlign w:val="center"/>
            <w:hideMark/>
          </w:tcPr>
          <w:p w14:paraId="4B941E7E" w14:textId="77777777" w:rsidR="00862A01" w:rsidRPr="00872D7E" w:rsidRDefault="00862A01" w:rsidP="00862A01">
            <w:pPr>
              <w:jc w:val="right"/>
              <w:rPr>
                <w:color w:val="000000"/>
                <w:szCs w:val="20"/>
                <w:lang w:eastAsia="tr-TR"/>
              </w:rPr>
            </w:pPr>
            <w:r w:rsidRPr="00872D7E">
              <w:rPr>
                <w:color w:val="000000"/>
                <w:szCs w:val="20"/>
                <w:lang w:eastAsia="tr-TR"/>
              </w:rPr>
              <w:t>-</w:t>
            </w:r>
          </w:p>
        </w:tc>
      </w:tr>
      <w:tr w:rsidR="00862A01" w:rsidRPr="00872D7E" w14:paraId="5CBC727E" w14:textId="77777777" w:rsidTr="00CC21B9">
        <w:trPr>
          <w:divId w:val="101148666"/>
          <w:trHeight w:val="255"/>
        </w:trPr>
        <w:tc>
          <w:tcPr>
            <w:tcW w:w="2295" w:type="pct"/>
            <w:tcBorders>
              <w:top w:val="nil"/>
              <w:left w:val="nil"/>
              <w:right w:val="nil"/>
            </w:tcBorders>
            <w:shd w:val="clear" w:color="auto" w:fill="auto"/>
            <w:vAlign w:val="center"/>
            <w:hideMark/>
          </w:tcPr>
          <w:p w14:paraId="402C46B5" w14:textId="77777777" w:rsidR="00862A01" w:rsidRPr="00872D7E" w:rsidRDefault="00862A01" w:rsidP="00862A01">
            <w:pPr>
              <w:jc w:val="right"/>
              <w:rPr>
                <w:color w:val="000000"/>
                <w:szCs w:val="20"/>
                <w:lang w:eastAsia="tr-TR"/>
              </w:rPr>
            </w:pPr>
          </w:p>
        </w:tc>
        <w:tc>
          <w:tcPr>
            <w:tcW w:w="630" w:type="pct"/>
            <w:tcBorders>
              <w:top w:val="nil"/>
              <w:left w:val="nil"/>
              <w:right w:val="nil"/>
            </w:tcBorders>
            <w:shd w:val="clear" w:color="auto" w:fill="auto"/>
            <w:vAlign w:val="center"/>
            <w:hideMark/>
          </w:tcPr>
          <w:p w14:paraId="7DA15575" w14:textId="77777777" w:rsidR="00862A01" w:rsidRPr="00872D7E" w:rsidRDefault="00862A01" w:rsidP="00862A01">
            <w:pPr>
              <w:ind w:firstLineChars="400" w:firstLine="800"/>
              <w:rPr>
                <w:szCs w:val="20"/>
                <w:lang w:eastAsia="tr-TR"/>
              </w:rPr>
            </w:pPr>
          </w:p>
        </w:tc>
        <w:tc>
          <w:tcPr>
            <w:tcW w:w="698" w:type="pct"/>
            <w:tcBorders>
              <w:top w:val="nil"/>
              <w:left w:val="nil"/>
              <w:right w:val="nil"/>
            </w:tcBorders>
            <w:shd w:val="clear" w:color="auto" w:fill="auto"/>
            <w:vAlign w:val="center"/>
            <w:hideMark/>
          </w:tcPr>
          <w:p w14:paraId="31586330" w14:textId="77777777" w:rsidR="00862A01" w:rsidRPr="00872D7E" w:rsidRDefault="00862A01" w:rsidP="00862A01">
            <w:pPr>
              <w:ind w:firstLineChars="400" w:firstLine="800"/>
              <w:rPr>
                <w:szCs w:val="20"/>
                <w:lang w:eastAsia="tr-TR"/>
              </w:rPr>
            </w:pPr>
          </w:p>
        </w:tc>
        <w:tc>
          <w:tcPr>
            <w:tcW w:w="654" w:type="pct"/>
            <w:tcBorders>
              <w:top w:val="nil"/>
              <w:left w:val="nil"/>
              <w:right w:val="nil"/>
            </w:tcBorders>
            <w:shd w:val="clear" w:color="auto" w:fill="auto"/>
            <w:vAlign w:val="center"/>
            <w:hideMark/>
          </w:tcPr>
          <w:p w14:paraId="26E201AE" w14:textId="77777777" w:rsidR="00862A01" w:rsidRPr="00872D7E" w:rsidRDefault="00862A01" w:rsidP="00862A01">
            <w:pPr>
              <w:ind w:firstLineChars="400" w:firstLine="800"/>
              <w:rPr>
                <w:szCs w:val="20"/>
                <w:lang w:eastAsia="tr-TR"/>
              </w:rPr>
            </w:pPr>
          </w:p>
        </w:tc>
        <w:tc>
          <w:tcPr>
            <w:tcW w:w="722" w:type="pct"/>
            <w:tcBorders>
              <w:top w:val="nil"/>
              <w:left w:val="nil"/>
              <w:right w:val="nil"/>
            </w:tcBorders>
            <w:shd w:val="clear" w:color="auto" w:fill="auto"/>
            <w:vAlign w:val="center"/>
            <w:hideMark/>
          </w:tcPr>
          <w:p w14:paraId="47673080" w14:textId="77777777" w:rsidR="00862A01" w:rsidRPr="00872D7E" w:rsidRDefault="00862A01" w:rsidP="00862A01">
            <w:pPr>
              <w:ind w:firstLineChars="400" w:firstLine="800"/>
              <w:rPr>
                <w:szCs w:val="20"/>
                <w:lang w:eastAsia="tr-TR"/>
              </w:rPr>
            </w:pPr>
          </w:p>
        </w:tc>
      </w:tr>
      <w:tr w:rsidR="00862A01" w:rsidRPr="00872D7E" w14:paraId="34E1ECB2" w14:textId="77777777" w:rsidTr="00CC21B9">
        <w:trPr>
          <w:divId w:val="101148666"/>
          <w:trHeight w:val="270"/>
        </w:trPr>
        <w:tc>
          <w:tcPr>
            <w:tcW w:w="2295" w:type="pct"/>
            <w:tcBorders>
              <w:top w:val="nil"/>
              <w:left w:val="nil"/>
              <w:bottom w:val="single" w:sz="12" w:space="0" w:color="auto"/>
              <w:right w:val="nil"/>
            </w:tcBorders>
            <w:shd w:val="clear" w:color="auto" w:fill="auto"/>
            <w:vAlign w:val="center"/>
            <w:hideMark/>
          </w:tcPr>
          <w:p w14:paraId="44813D5D" w14:textId="77777777" w:rsidR="00862A01" w:rsidRPr="00872D7E" w:rsidRDefault="00862A01" w:rsidP="00862A01">
            <w:pPr>
              <w:rPr>
                <w:b/>
                <w:bCs/>
                <w:color w:val="000000"/>
                <w:szCs w:val="20"/>
                <w:lang w:eastAsia="tr-TR"/>
              </w:rPr>
            </w:pPr>
            <w:r w:rsidRPr="00872D7E">
              <w:rPr>
                <w:b/>
                <w:bCs/>
                <w:color w:val="000000"/>
                <w:szCs w:val="20"/>
                <w:lang w:eastAsia="tr-TR"/>
              </w:rPr>
              <w:t>Toplam</w:t>
            </w:r>
          </w:p>
        </w:tc>
        <w:tc>
          <w:tcPr>
            <w:tcW w:w="630" w:type="pct"/>
            <w:tcBorders>
              <w:top w:val="nil"/>
              <w:left w:val="nil"/>
              <w:bottom w:val="single" w:sz="12" w:space="0" w:color="auto"/>
              <w:right w:val="nil"/>
            </w:tcBorders>
            <w:shd w:val="clear" w:color="auto" w:fill="auto"/>
            <w:noWrap/>
            <w:vAlign w:val="center"/>
            <w:hideMark/>
          </w:tcPr>
          <w:p w14:paraId="2D1C00B6" w14:textId="77777777" w:rsidR="00862A01" w:rsidRPr="00872D7E" w:rsidRDefault="00862A01" w:rsidP="00862A01">
            <w:pPr>
              <w:jc w:val="right"/>
              <w:rPr>
                <w:b/>
                <w:bCs/>
                <w:color w:val="000000"/>
                <w:szCs w:val="20"/>
                <w:lang w:eastAsia="tr-TR"/>
              </w:rPr>
            </w:pPr>
            <w:r w:rsidRPr="00872D7E">
              <w:rPr>
                <w:b/>
                <w:bCs/>
                <w:color w:val="000000"/>
                <w:szCs w:val="20"/>
                <w:lang w:eastAsia="tr-TR"/>
              </w:rPr>
              <w:t>-</w:t>
            </w:r>
          </w:p>
        </w:tc>
        <w:tc>
          <w:tcPr>
            <w:tcW w:w="698" w:type="pct"/>
            <w:tcBorders>
              <w:top w:val="nil"/>
              <w:left w:val="nil"/>
              <w:bottom w:val="single" w:sz="12" w:space="0" w:color="auto"/>
              <w:right w:val="nil"/>
            </w:tcBorders>
            <w:shd w:val="clear" w:color="auto" w:fill="auto"/>
            <w:noWrap/>
            <w:vAlign w:val="center"/>
            <w:hideMark/>
          </w:tcPr>
          <w:p w14:paraId="26541D7C" w14:textId="77777777" w:rsidR="00862A01" w:rsidRPr="00872D7E" w:rsidRDefault="00862A01" w:rsidP="00862A01">
            <w:pPr>
              <w:jc w:val="right"/>
              <w:rPr>
                <w:b/>
                <w:bCs/>
                <w:color w:val="000000"/>
                <w:szCs w:val="20"/>
                <w:lang w:eastAsia="tr-TR"/>
              </w:rPr>
            </w:pPr>
            <w:r w:rsidRPr="00872D7E">
              <w:rPr>
                <w:b/>
                <w:bCs/>
                <w:color w:val="000000"/>
                <w:szCs w:val="20"/>
                <w:lang w:eastAsia="tr-TR"/>
              </w:rPr>
              <w:t>-</w:t>
            </w:r>
          </w:p>
        </w:tc>
        <w:tc>
          <w:tcPr>
            <w:tcW w:w="654" w:type="pct"/>
            <w:tcBorders>
              <w:top w:val="nil"/>
              <w:left w:val="nil"/>
              <w:bottom w:val="single" w:sz="12" w:space="0" w:color="auto"/>
              <w:right w:val="nil"/>
            </w:tcBorders>
            <w:shd w:val="clear" w:color="auto" w:fill="auto"/>
            <w:noWrap/>
            <w:vAlign w:val="center"/>
            <w:hideMark/>
          </w:tcPr>
          <w:p w14:paraId="03FBEFF3" w14:textId="77777777" w:rsidR="00862A01" w:rsidRPr="00872D7E" w:rsidRDefault="00862A01" w:rsidP="00862A01">
            <w:pPr>
              <w:jc w:val="right"/>
              <w:rPr>
                <w:b/>
                <w:bCs/>
                <w:color w:val="000000"/>
                <w:szCs w:val="20"/>
                <w:lang w:eastAsia="tr-TR"/>
              </w:rPr>
            </w:pPr>
            <w:r w:rsidRPr="00872D7E">
              <w:rPr>
                <w:b/>
                <w:bCs/>
                <w:color w:val="000000"/>
                <w:szCs w:val="20"/>
                <w:lang w:eastAsia="tr-TR"/>
              </w:rPr>
              <w:t>500.000</w:t>
            </w:r>
          </w:p>
        </w:tc>
        <w:tc>
          <w:tcPr>
            <w:tcW w:w="722" w:type="pct"/>
            <w:tcBorders>
              <w:top w:val="nil"/>
              <w:left w:val="nil"/>
              <w:bottom w:val="single" w:sz="12" w:space="0" w:color="auto"/>
              <w:right w:val="nil"/>
            </w:tcBorders>
            <w:shd w:val="clear" w:color="auto" w:fill="auto"/>
            <w:noWrap/>
            <w:vAlign w:val="center"/>
            <w:hideMark/>
          </w:tcPr>
          <w:p w14:paraId="7330DED8" w14:textId="77777777" w:rsidR="00862A01" w:rsidRPr="00872D7E" w:rsidRDefault="00862A01" w:rsidP="00862A01">
            <w:pPr>
              <w:jc w:val="right"/>
              <w:rPr>
                <w:b/>
                <w:bCs/>
                <w:color w:val="000000"/>
                <w:szCs w:val="20"/>
                <w:lang w:eastAsia="tr-TR"/>
              </w:rPr>
            </w:pPr>
            <w:r w:rsidRPr="00872D7E">
              <w:rPr>
                <w:b/>
                <w:bCs/>
                <w:color w:val="000000"/>
                <w:szCs w:val="20"/>
                <w:lang w:eastAsia="tr-TR"/>
              </w:rPr>
              <w:t>-</w:t>
            </w:r>
          </w:p>
        </w:tc>
      </w:tr>
    </w:tbl>
    <w:p w14:paraId="6EC9F592" w14:textId="5DB62B87" w:rsidR="009E15BF" w:rsidRPr="00872D7E" w:rsidRDefault="009E15BF" w:rsidP="0048490E">
      <w:pPr>
        <w:rPr>
          <w:b/>
          <w:szCs w:val="20"/>
        </w:rPr>
      </w:pPr>
    </w:p>
    <w:p w14:paraId="72F8854B" w14:textId="1413D8AA" w:rsidR="009E15BF" w:rsidRPr="00872D7E" w:rsidRDefault="00FD35BF" w:rsidP="0048490E">
      <w:pPr>
        <w:pStyle w:val="xl79"/>
        <w:widowControl w:val="0"/>
        <w:pBdr>
          <w:left w:val="none" w:sz="0" w:space="0" w:color="auto"/>
          <w:bottom w:val="none" w:sz="0" w:space="0" w:color="auto"/>
          <w:right w:val="none" w:sz="0" w:space="0" w:color="auto"/>
        </w:pBdr>
        <w:tabs>
          <w:tab w:val="left" w:pos="-1800"/>
          <w:tab w:val="left" w:pos="851"/>
        </w:tabs>
        <w:spacing w:before="0" w:beforeAutospacing="0" w:after="0" w:afterAutospacing="0"/>
        <w:ind w:left="426" w:hanging="425"/>
        <w:jc w:val="both"/>
        <w:rPr>
          <w:bCs/>
          <w:noProof w:val="0"/>
        </w:rPr>
      </w:pPr>
      <w:r w:rsidRPr="00872D7E">
        <w:rPr>
          <w:bCs/>
          <w:noProof w:val="0"/>
          <w:vertAlign w:val="superscript"/>
        </w:rPr>
        <w:t>(*)</w:t>
      </w:r>
      <w:r w:rsidR="001F7F98" w:rsidRPr="00872D7E">
        <w:rPr>
          <w:bCs/>
          <w:noProof w:val="0"/>
        </w:rPr>
        <w:tab/>
      </w:r>
      <w:r w:rsidR="0072438E" w:rsidRPr="00872D7E">
        <w:rPr>
          <w:bCs/>
          <w:noProof w:val="0"/>
        </w:rPr>
        <w:t xml:space="preserve">17 Kasım 2023 tarihli yönetim kurulu kararı ile banka hissedarlarının ilk sermaye </w:t>
      </w:r>
      <w:r w:rsidR="00983227" w:rsidRPr="00872D7E">
        <w:rPr>
          <w:bCs/>
          <w:noProof w:val="0"/>
        </w:rPr>
        <w:t>artırımında</w:t>
      </w:r>
      <w:r w:rsidR="0072438E" w:rsidRPr="00872D7E">
        <w:rPr>
          <w:bCs/>
          <w:noProof w:val="0"/>
        </w:rPr>
        <w:t xml:space="preserve"> sermaye eklenmek üzere, nakden </w:t>
      </w:r>
      <w:r w:rsidR="003E0081" w:rsidRPr="00872D7E">
        <w:rPr>
          <w:bCs/>
          <w:noProof w:val="0"/>
        </w:rPr>
        <w:t>yatırılan</w:t>
      </w:r>
      <w:r w:rsidR="0072438E" w:rsidRPr="00872D7E">
        <w:rPr>
          <w:bCs/>
          <w:noProof w:val="0"/>
        </w:rPr>
        <w:t xml:space="preserve"> 500.000</w:t>
      </w:r>
      <w:r w:rsidR="003E0081" w:rsidRPr="00872D7E">
        <w:rPr>
          <w:bCs/>
          <w:noProof w:val="0"/>
        </w:rPr>
        <w:t xml:space="preserve"> </w:t>
      </w:r>
      <w:r w:rsidR="0072438E" w:rsidRPr="00872D7E">
        <w:rPr>
          <w:bCs/>
          <w:noProof w:val="0"/>
        </w:rPr>
        <w:t xml:space="preserve">TL katkı sermayesi </w:t>
      </w:r>
      <w:r w:rsidR="003E0081" w:rsidRPr="00872D7E">
        <w:rPr>
          <w:bCs/>
          <w:noProof w:val="0"/>
        </w:rPr>
        <w:t xml:space="preserve">olarak </w:t>
      </w:r>
      <w:r w:rsidR="0072438E" w:rsidRPr="00872D7E">
        <w:rPr>
          <w:bCs/>
          <w:noProof w:val="0"/>
        </w:rPr>
        <w:t>alınmasına ve BDDK'nın E-43890421-101.01.04-102671 sayılı yazısı ile katkı sermaye hesabında izlenmesine karar verilmiş</w:t>
      </w:r>
      <w:r w:rsidR="003E0081" w:rsidRPr="00872D7E">
        <w:rPr>
          <w:bCs/>
          <w:noProof w:val="0"/>
        </w:rPr>
        <w:t>tir.</w:t>
      </w:r>
    </w:p>
    <w:p w14:paraId="375530B4" w14:textId="77777777" w:rsidR="009E15BF" w:rsidRPr="00872D7E" w:rsidRDefault="009E15BF" w:rsidP="001F7F98">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1276" w:hanging="425"/>
        <w:jc w:val="both"/>
        <w:rPr>
          <w:b/>
          <w:noProof w:val="0"/>
          <w:sz w:val="20"/>
          <w:szCs w:val="20"/>
        </w:rPr>
      </w:pPr>
    </w:p>
    <w:p w14:paraId="37FAB95E" w14:textId="1542FFFF" w:rsidR="009E15BF" w:rsidRPr="00872D7E" w:rsidRDefault="009E15BF" w:rsidP="00DF282B">
      <w:pPr>
        <w:pStyle w:val="xl79"/>
        <w:widowControl w:val="0"/>
        <w:numPr>
          <w:ilvl w:val="0"/>
          <w:numId w:val="67"/>
        </w:numPr>
        <w:pBdr>
          <w:left w:val="none" w:sz="0" w:space="0" w:color="auto"/>
          <w:bottom w:val="none" w:sz="0" w:space="0" w:color="auto"/>
          <w:right w:val="none" w:sz="0" w:space="0" w:color="auto"/>
        </w:pBdr>
        <w:tabs>
          <w:tab w:val="left" w:pos="-1800"/>
        </w:tabs>
        <w:spacing w:before="0" w:beforeAutospacing="0" w:after="120" w:afterAutospacing="0"/>
        <w:ind w:left="851" w:hanging="851"/>
        <w:jc w:val="both"/>
        <w:rPr>
          <w:b/>
          <w:noProof w:val="0"/>
          <w:sz w:val="20"/>
          <w:szCs w:val="20"/>
        </w:rPr>
      </w:pPr>
      <w:r w:rsidRPr="00872D7E">
        <w:rPr>
          <w:b/>
          <w:noProof w:val="0"/>
          <w:sz w:val="20"/>
          <w:szCs w:val="20"/>
        </w:rPr>
        <w:t>Bilançonun diğer yükümlülükler kalemi, bilanço toplamının %10’unu aşıyorsa, bunların en az %20’sini oluşturan alt hesapların isim ve tutarlarına ilişkin bilgiler:</w:t>
      </w:r>
    </w:p>
    <w:p w14:paraId="28156006" w14:textId="77777777" w:rsidR="00D83E6D" w:rsidRPr="00872D7E" w:rsidRDefault="006744EE" w:rsidP="004A7BCB">
      <w:pPr>
        <w:pStyle w:val="BodybyBD"/>
        <w:keepLines w:val="0"/>
        <w:widowControl w:val="0"/>
        <w:spacing w:before="0" w:after="0" w:line="240" w:lineRule="auto"/>
        <w:ind w:left="851"/>
        <w:rPr>
          <w:sz w:val="20"/>
        </w:rPr>
      </w:pPr>
      <w:r w:rsidRPr="00872D7E">
        <w:rPr>
          <w:sz w:val="20"/>
        </w:rPr>
        <w:t>Bilançonun diğer yabancı kaynaklar kalemi, bilanço toplamının %10’unu aşmamaktadır.</w:t>
      </w:r>
    </w:p>
    <w:p w14:paraId="7138A093" w14:textId="77777777" w:rsidR="006744EE" w:rsidRPr="00872D7E" w:rsidRDefault="006744EE">
      <w:pPr>
        <w:rPr>
          <w:b/>
          <w:szCs w:val="20"/>
        </w:rPr>
      </w:pPr>
    </w:p>
    <w:p w14:paraId="2DA103A5" w14:textId="77777777" w:rsidR="006744EE" w:rsidRPr="00872D7E" w:rsidRDefault="006744EE" w:rsidP="00DF282B">
      <w:pPr>
        <w:pStyle w:val="xl79"/>
        <w:widowControl w:val="0"/>
        <w:numPr>
          <w:ilvl w:val="0"/>
          <w:numId w:val="67"/>
        </w:numPr>
        <w:pBdr>
          <w:left w:val="none" w:sz="0" w:space="0" w:color="auto"/>
          <w:bottom w:val="none" w:sz="0" w:space="0" w:color="auto"/>
          <w:right w:val="none" w:sz="0" w:space="0" w:color="auto"/>
        </w:pBdr>
        <w:tabs>
          <w:tab w:val="left" w:pos="-1800"/>
        </w:tabs>
        <w:spacing w:before="0" w:beforeAutospacing="0" w:after="120" w:afterAutospacing="0"/>
        <w:ind w:left="851" w:hanging="851"/>
        <w:jc w:val="both"/>
        <w:rPr>
          <w:b/>
          <w:noProof w:val="0"/>
          <w:sz w:val="20"/>
          <w:szCs w:val="20"/>
        </w:rPr>
      </w:pPr>
      <w:r w:rsidRPr="00872D7E">
        <w:rPr>
          <w:b/>
          <w:noProof w:val="0"/>
          <w:sz w:val="20"/>
          <w:szCs w:val="20"/>
        </w:rPr>
        <w:t>Özkaynaklara ilişkin bilgiler:</w:t>
      </w:r>
    </w:p>
    <w:p w14:paraId="7A3FF818" w14:textId="77777777" w:rsidR="006744EE" w:rsidRPr="00872D7E" w:rsidRDefault="006744EE" w:rsidP="00AA0BC7">
      <w:pPr>
        <w:widowControl w:val="0"/>
        <w:numPr>
          <w:ilvl w:val="0"/>
          <w:numId w:val="7"/>
        </w:numPr>
        <w:tabs>
          <w:tab w:val="clear" w:pos="547"/>
        </w:tabs>
        <w:ind w:left="851" w:hanging="425"/>
        <w:jc w:val="both"/>
        <w:rPr>
          <w:b/>
          <w:szCs w:val="20"/>
        </w:rPr>
      </w:pPr>
      <w:r w:rsidRPr="00872D7E">
        <w:rPr>
          <w:b/>
          <w:szCs w:val="20"/>
        </w:rPr>
        <w:t>Ödenmiş sermayenin gösterimi:</w:t>
      </w:r>
    </w:p>
    <w:p w14:paraId="031DA7DC" w14:textId="77777777" w:rsidR="006744EE" w:rsidRPr="00872D7E" w:rsidRDefault="006744EE" w:rsidP="006744EE">
      <w:pPr>
        <w:widowControl w:val="0"/>
        <w:jc w:val="both"/>
        <w:rPr>
          <w:b/>
          <w:szCs w:val="20"/>
        </w:rPr>
      </w:pPr>
    </w:p>
    <w:tbl>
      <w:tblPr>
        <w:tblW w:w="5000" w:type="pct"/>
        <w:tblCellMar>
          <w:left w:w="0" w:type="dxa"/>
          <w:right w:w="0" w:type="dxa"/>
        </w:tblCellMar>
        <w:tblLook w:val="0000" w:firstRow="0" w:lastRow="0" w:firstColumn="0" w:lastColumn="0" w:noHBand="0" w:noVBand="0"/>
      </w:tblPr>
      <w:tblGrid>
        <w:gridCol w:w="4559"/>
        <w:gridCol w:w="2399"/>
        <w:gridCol w:w="2397"/>
      </w:tblGrid>
      <w:tr w:rsidR="00212034" w:rsidRPr="00872D7E" w14:paraId="47F91275" w14:textId="34C8429E" w:rsidTr="00683052">
        <w:trPr>
          <w:trHeight w:val="71"/>
        </w:trPr>
        <w:tc>
          <w:tcPr>
            <w:tcW w:w="2437" w:type="pct"/>
            <w:shd w:val="clear" w:color="auto" w:fill="FFFFFF"/>
            <w:vAlign w:val="bottom"/>
          </w:tcPr>
          <w:p w14:paraId="23BD4F35" w14:textId="77777777" w:rsidR="00212034" w:rsidRPr="00872D7E" w:rsidRDefault="00212034" w:rsidP="00212034">
            <w:pPr>
              <w:widowControl w:val="0"/>
              <w:jc w:val="both"/>
              <w:rPr>
                <w:rFonts w:eastAsia="Arial Unicode MS"/>
                <w:szCs w:val="20"/>
              </w:rPr>
            </w:pPr>
            <w:r w:rsidRPr="00872D7E">
              <w:rPr>
                <w:szCs w:val="20"/>
              </w:rPr>
              <w:t> </w:t>
            </w:r>
          </w:p>
        </w:tc>
        <w:tc>
          <w:tcPr>
            <w:tcW w:w="1282" w:type="pct"/>
            <w:shd w:val="clear" w:color="auto" w:fill="FFFFFF"/>
            <w:vAlign w:val="bottom"/>
          </w:tcPr>
          <w:p w14:paraId="30946525" w14:textId="2C351541" w:rsidR="00212034" w:rsidRPr="00872D7E" w:rsidRDefault="00AE0B9A" w:rsidP="00212034">
            <w:pPr>
              <w:widowControl w:val="0"/>
              <w:ind w:left="180" w:right="83"/>
              <w:jc w:val="right"/>
              <w:rPr>
                <w:b/>
                <w:szCs w:val="20"/>
              </w:rPr>
            </w:pPr>
            <w:r w:rsidRPr="00872D7E">
              <w:rPr>
                <w:b/>
                <w:szCs w:val="20"/>
              </w:rPr>
              <w:t>31 Aralık</w:t>
            </w:r>
            <w:r w:rsidR="00C160E4" w:rsidRPr="00872D7E">
              <w:rPr>
                <w:b/>
                <w:szCs w:val="20"/>
              </w:rPr>
              <w:t xml:space="preserve"> </w:t>
            </w:r>
            <w:r w:rsidR="003F71C9" w:rsidRPr="00872D7E">
              <w:rPr>
                <w:b/>
                <w:szCs w:val="20"/>
              </w:rPr>
              <w:t>2024</w:t>
            </w:r>
          </w:p>
        </w:tc>
        <w:tc>
          <w:tcPr>
            <w:tcW w:w="1282" w:type="pct"/>
            <w:shd w:val="clear" w:color="auto" w:fill="FFFFFF"/>
            <w:vAlign w:val="bottom"/>
          </w:tcPr>
          <w:p w14:paraId="7074F012" w14:textId="7675D78D" w:rsidR="00212034" w:rsidRPr="00872D7E" w:rsidRDefault="00241FA0" w:rsidP="00212034">
            <w:pPr>
              <w:widowControl w:val="0"/>
              <w:ind w:left="180" w:right="83"/>
              <w:jc w:val="right"/>
              <w:rPr>
                <w:b/>
                <w:szCs w:val="20"/>
              </w:rPr>
            </w:pPr>
            <w:r w:rsidRPr="00872D7E">
              <w:rPr>
                <w:b/>
                <w:szCs w:val="20"/>
              </w:rPr>
              <w:t>1 Ocak 2024</w:t>
            </w:r>
          </w:p>
        </w:tc>
      </w:tr>
      <w:tr w:rsidR="00212034" w:rsidRPr="00872D7E" w14:paraId="6C96F0AA" w14:textId="6C188A4B" w:rsidTr="00683052">
        <w:trPr>
          <w:trHeight w:val="71"/>
        </w:trPr>
        <w:tc>
          <w:tcPr>
            <w:tcW w:w="2437" w:type="pct"/>
            <w:shd w:val="clear" w:color="auto" w:fill="FFFFFF"/>
            <w:vAlign w:val="bottom"/>
          </w:tcPr>
          <w:p w14:paraId="3946006D" w14:textId="77777777" w:rsidR="00212034" w:rsidRPr="00872D7E" w:rsidRDefault="00212034" w:rsidP="00212034">
            <w:pPr>
              <w:widowControl w:val="0"/>
              <w:jc w:val="both"/>
              <w:rPr>
                <w:szCs w:val="20"/>
              </w:rPr>
            </w:pPr>
          </w:p>
        </w:tc>
        <w:tc>
          <w:tcPr>
            <w:tcW w:w="1282" w:type="pct"/>
            <w:vAlign w:val="bottom"/>
          </w:tcPr>
          <w:p w14:paraId="4D8B1AFB" w14:textId="77777777" w:rsidR="00212034" w:rsidRPr="00872D7E" w:rsidRDefault="00212034" w:rsidP="00212034">
            <w:pPr>
              <w:widowControl w:val="0"/>
              <w:tabs>
                <w:tab w:val="decimal" w:pos="1440"/>
              </w:tabs>
              <w:ind w:left="180" w:right="83"/>
              <w:jc w:val="right"/>
              <w:rPr>
                <w:szCs w:val="20"/>
              </w:rPr>
            </w:pPr>
          </w:p>
        </w:tc>
        <w:tc>
          <w:tcPr>
            <w:tcW w:w="1282" w:type="pct"/>
            <w:vAlign w:val="bottom"/>
          </w:tcPr>
          <w:p w14:paraId="742711E7" w14:textId="77777777" w:rsidR="00212034" w:rsidRPr="00872D7E" w:rsidRDefault="00212034" w:rsidP="00212034">
            <w:pPr>
              <w:widowControl w:val="0"/>
              <w:tabs>
                <w:tab w:val="decimal" w:pos="1440"/>
              </w:tabs>
              <w:ind w:left="180" w:right="83"/>
              <w:jc w:val="right"/>
              <w:rPr>
                <w:szCs w:val="20"/>
              </w:rPr>
            </w:pPr>
          </w:p>
        </w:tc>
      </w:tr>
      <w:tr w:rsidR="00212034" w:rsidRPr="00872D7E" w14:paraId="03866D7A" w14:textId="7E8B2E2C" w:rsidTr="00683052">
        <w:trPr>
          <w:trHeight w:val="71"/>
        </w:trPr>
        <w:tc>
          <w:tcPr>
            <w:tcW w:w="2437" w:type="pct"/>
            <w:shd w:val="clear" w:color="auto" w:fill="FFFFFF"/>
            <w:vAlign w:val="bottom"/>
          </w:tcPr>
          <w:p w14:paraId="759B8FA8" w14:textId="77777777" w:rsidR="00212034" w:rsidRPr="00872D7E" w:rsidRDefault="00212034" w:rsidP="00212034">
            <w:pPr>
              <w:widowControl w:val="0"/>
              <w:jc w:val="both"/>
              <w:rPr>
                <w:rFonts w:eastAsia="Arial Unicode MS"/>
                <w:szCs w:val="20"/>
              </w:rPr>
            </w:pPr>
            <w:r w:rsidRPr="00872D7E">
              <w:rPr>
                <w:szCs w:val="20"/>
              </w:rPr>
              <w:t>Hisse senedi karşılığı</w:t>
            </w:r>
          </w:p>
        </w:tc>
        <w:tc>
          <w:tcPr>
            <w:tcW w:w="1282" w:type="pct"/>
            <w:vAlign w:val="bottom"/>
          </w:tcPr>
          <w:p w14:paraId="6BE3216E" w14:textId="4588E0EB" w:rsidR="00212034" w:rsidRPr="00872D7E" w:rsidRDefault="00541209" w:rsidP="00212034">
            <w:pPr>
              <w:widowControl w:val="0"/>
              <w:ind w:left="180" w:right="83"/>
              <w:jc w:val="right"/>
              <w:rPr>
                <w:szCs w:val="20"/>
              </w:rPr>
            </w:pPr>
            <w:r w:rsidRPr="00872D7E">
              <w:rPr>
                <w:szCs w:val="20"/>
              </w:rPr>
              <w:t>5.999.337</w:t>
            </w:r>
          </w:p>
        </w:tc>
        <w:tc>
          <w:tcPr>
            <w:tcW w:w="1282" w:type="pct"/>
            <w:vAlign w:val="bottom"/>
          </w:tcPr>
          <w:p w14:paraId="473348C3" w14:textId="7A067D9F" w:rsidR="00212034" w:rsidRPr="00872D7E" w:rsidRDefault="00212034" w:rsidP="00212034">
            <w:pPr>
              <w:widowControl w:val="0"/>
              <w:ind w:left="180" w:right="83"/>
              <w:jc w:val="right"/>
              <w:rPr>
                <w:szCs w:val="20"/>
              </w:rPr>
            </w:pPr>
            <w:r w:rsidRPr="00872D7E">
              <w:rPr>
                <w:szCs w:val="20"/>
              </w:rPr>
              <w:t>99.337</w:t>
            </w:r>
          </w:p>
        </w:tc>
      </w:tr>
      <w:tr w:rsidR="00212034" w:rsidRPr="00872D7E" w14:paraId="37D9F3AE" w14:textId="49F0A2BC" w:rsidTr="00683052">
        <w:trPr>
          <w:trHeight w:val="71"/>
        </w:trPr>
        <w:tc>
          <w:tcPr>
            <w:tcW w:w="2437" w:type="pct"/>
            <w:tcBorders>
              <w:bottom w:val="single" w:sz="4" w:space="0" w:color="auto"/>
            </w:tcBorders>
            <w:shd w:val="clear" w:color="auto" w:fill="FFFFFF"/>
            <w:vAlign w:val="bottom"/>
          </w:tcPr>
          <w:p w14:paraId="5722A62E" w14:textId="77777777" w:rsidR="00212034" w:rsidRPr="00872D7E" w:rsidRDefault="00212034" w:rsidP="00212034">
            <w:pPr>
              <w:widowControl w:val="0"/>
              <w:jc w:val="both"/>
              <w:rPr>
                <w:rFonts w:eastAsia="Arial Unicode MS"/>
                <w:szCs w:val="20"/>
              </w:rPr>
            </w:pPr>
            <w:r w:rsidRPr="00872D7E">
              <w:rPr>
                <w:szCs w:val="20"/>
              </w:rPr>
              <w:t>İmtiyazlı hisse senedi karşılığı</w:t>
            </w:r>
          </w:p>
        </w:tc>
        <w:tc>
          <w:tcPr>
            <w:tcW w:w="1282" w:type="pct"/>
            <w:tcBorders>
              <w:bottom w:val="single" w:sz="4" w:space="0" w:color="auto"/>
            </w:tcBorders>
            <w:vAlign w:val="bottom"/>
          </w:tcPr>
          <w:p w14:paraId="674E09C7" w14:textId="2F297DA6" w:rsidR="00212034" w:rsidRPr="00872D7E" w:rsidRDefault="00541209" w:rsidP="00212034">
            <w:pPr>
              <w:widowControl w:val="0"/>
              <w:tabs>
                <w:tab w:val="decimal" w:pos="0"/>
              </w:tabs>
              <w:ind w:left="180" w:right="83"/>
              <w:jc w:val="right"/>
              <w:rPr>
                <w:rFonts w:eastAsia="Arial Unicode MS"/>
                <w:szCs w:val="20"/>
              </w:rPr>
            </w:pPr>
            <w:r w:rsidRPr="00872D7E">
              <w:rPr>
                <w:rFonts w:eastAsia="Arial Unicode MS"/>
                <w:szCs w:val="20"/>
              </w:rPr>
              <w:t>-</w:t>
            </w:r>
          </w:p>
        </w:tc>
        <w:tc>
          <w:tcPr>
            <w:tcW w:w="1282" w:type="pct"/>
            <w:tcBorders>
              <w:bottom w:val="single" w:sz="4" w:space="0" w:color="auto"/>
            </w:tcBorders>
            <w:vAlign w:val="bottom"/>
          </w:tcPr>
          <w:p w14:paraId="352D83DF" w14:textId="667C108A" w:rsidR="00212034" w:rsidRPr="00872D7E" w:rsidRDefault="00212034" w:rsidP="00212034">
            <w:pPr>
              <w:widowControl w:val="0"/>
              <w:tabs>
                <w:tab w:val="decimal" w:pos="0"/>
              </w:tabs>
              <w:ind w:left="180" w:right="83"/>
              <w:jc w:val="right"/>
              <w:rPr>
                <w:rFonts w:eastAsia="Arial Unicode MS"/>
                <w:szCs w:val="20"/>
              </w:rPr>
            </w:pPr>
            <w:r w:rsidRPr="00872D7E">
              <w:rPr>
                <w:rFonts w:eastAsia="Arial Unicode MS"/>
                <w:szCs w:val="20"/>
              </w:rPr>
              <w:t>-</w:t>
            </w:r>
          </w:p>
        </w:tc>
      </w:tr>
    </w:tbl>
    <w:p w14:paraId="761B703D" w14:textId="175D77D6" w:rsidR="006744EE" w:rsidRPr="00872D7E" w:rsidRDefault="006744EE">
      <w:pPr>
        <w:rPr>
          <w:b/>
          <w:szCs w:val="20"/>
        </w:rPr>
      </w:pPr>
    </w:p>
    <w:p w14:paraId="38FC8AFE" w14:textId="60E31075" w:rsidR="006744EE" w:rsidRPr="00872D7E" w:rsidRDefault="006744EE" w:rsidP="00AA0BC7">
      <w:pPr>
        <w:pStyle w:val="ListParagraph"/>
        <w:numPr>
          <w:ilvl w:val="0"/>
          <w:numId w:val="7"/>
        </w:numPr>
        <w:tabs>
          <w:tab w:val="clear" w:pos="547"/>
        </w:tabs>
        <w:spacing w:after="120"/>
        <w:ind w:left="851" w:hanging="425"/>
        <w:jc w:val="both"/>
        <w:rPr>
          <w:b/>
          <w:szCs w:val="20"/>
        </w:rPr>
      </w:pPr>
      <w:r w:rsidRPr="00872D7E">
        <w:rPr>
          <w:b/>
          <w:szCs w:val="20"/>
        </w:rPr>
        <w:t>Ödenmiş sermaye tutarı, Banka’da kayıtlı sermaye sisteminin uygulanıp uygulanmadığı hususunun açıklanması ve bu sistem uygulanıyor ise kayıtlı sermaye tavanına ilişkin bilgiler</w:t>
      </w:r>
    </w:p>
    <w:p w14:paraId="1697DE42" w14:textId="02552648" w:rsidR="006744EE" w:rsidRPr="00872D7E" w:rsidRDefault="005B3DE3" w:rsidP="00AA0BC7">
      <w:pPr>
        <w:ind w:left="851"/>
        <w:jc w:val="both"/>
        <w:rPr>
          <w:bCs/>
          <w:szCs w:val="20"/>
        </w:rPr>
      </w:pPr>
      <w:r w:rsidRPr="00872D7E">
        <w:rPr>
          <w:bCs/>
          <w:szCs w:val="20"/>
        </w:rPr>
        <w:t>B</w:t>
      </w:r>
      <w:r w:rsidR="006744EE" w:rsidRPr="00872D7E">
        <w:rPr>
          <w:bCs/>
          <w:szCs w:val="20"/>
        </w:rPr>
        <w:t>ankada kay</w:t>
      </w:r>
      <w:r w:rsidR="00FD35BF" w:rsidRPr="00872D7E">
        <w:rPr>
          <w:bCs/>
          <w:szCs w:val="20"/>
        </w:rPr>
        <w:t>ı</w:t>
      </w:r>
      <w:r w:rsidR="00640868" w:rsidRPr="00872D7E">
        <w:rPr>
          <w:bCs/>
          <w:szCs w:val="20"/>
        </w:rPr>
        <w:t>t</w:t>
      </w:r>
      <w:r w:rsidR="006744EE" w:rsidRPr="00872D7E">
        <w:rPr>
          <w:bCs/>
          <w:szCs w:val="20"/>
        </w:rPr>
        <w:t>lı sermaye sistemi uygulanmamaktadır.</w:t>
      </w:r>
    </w:p>
    <w:p w14:paraId="2381940E" w14:textId="77777777" w:rsidR="00795F5E" w:rsidRPr="00872D7E" w:rsidRDefault="00795F5E" w:rsidP="00AA0BC7">
      <w:pPr>
        <w:widowControl w:val="0"/>
        <w:ind w:left="851" w:right="329"/>
        <w:jc w:val="both"/>
        <w:rPr>
          <w:b/>
          <w:szCs w:val="20"/>
        </w:rPr>
      </w:pPr>
    </w:p>
    <w:p w14:paraId="51E4B82E" w14:textId="22477C3E" w:rsidR="00136C29" w:rsidRPr="00872D7E" w:rsidRDefault="00136C29" w:rsidP="00AA0BC7">
      <w:pPr>
        <w:widowControl w:val="0"/>
        <w:numPr>
          <w:ilvl w:val="0"/>
          <w:numId w:val="7"/>
        </w:numPr>
        <w:tabs>
          <w:tab w:val="clear" w:pos="547"/>
        </w:tabs>
        <w:spacing w:after="120"/>
        <w:ind w:left="851" w:hanging="425"/>
        <w:jc w:val="both"/>
        <w:rPr>
          <w:b/>
          <w:szCs w:val="20"/>
        </w:rPr>
      </w:pPr>
      <w:r w:rsidRPr="00872D7E">
        <w:rPr>
          <w:b/>
          <w:szCs w:val="20"/>
        </w:rPr>
        <w:t>Cari dönem içinde yapılan sermaye artırımları ve kaynakları ile arttırılan sermaye payına ilişkin diğer bilgiler:</w:t>
      </w:r>
    </w:p>
    <w:p w14:paraId="51FA41B7" w14:textId="6D881667" w:rsidR="00732CE3" w:rsidRPr="00872D7E" w:rsidRDefault="009422D1" w:rsidP="00AA0BC7">
      <w:pPr>
        <w:spacing w:after="120" w:line="226" w:lineRule="auto"/>
        <w:ind w:left="851"/>
        <w:jc w:val="both"/>
        <w:rPr>
          <w:szCs w:val="20"/>
        </w:rPr>
      </w:pPr>
      <w:bookmarkStart w:id="90" w:name="_Hlk106119638"/>
      <w:bookmarkStart w:id="91" w:name="_Hlk68092827"/>
      <w:r w:rsidRPr="00872D7E">
        <w:rPr>
          <w:rStyle w:val="ui-provider"/>
        </w:rPr>
        <w:t>Banka, BDDK’ya yaptığı sermaye artışı ve ana sözleşme tadiline ilişkin izin talebinin BDDK tarafından uygun görülmesine istinaden nakdi sermaye artışı yapmış olup, ödenmiş sermayesini, BDDK’nın E-43890421-101.01.04-111292 sayılı yazısıyla 21.02.2024 tarihinde 2.900.000 TL ve E-43890421-101.01.04-119222 sayılı yazısıyla 15.05.2024 tarihinde 3.000.000 TL artırarak 5.999.337 TL’ye çıkartmıştır.</w:t>
      </w:r>
    </w:p>
    <w:bookmarkEnd w:id="90"/>
    <w:bookmarkEnd w:id="91"/>
    <w:p w14:paraId="1E1C1CD0" w14:textId="3B0664F4" w:rsidR="00B37980" w:rsidRPr="00872D7E" w:rsidRDefault="00B37980" w:rsidP="00AA0BC7">
      <w:pPr>
        <w:widowControl w:val="0"/>
        <w:numPr>
          <w:ilvl w:val="0"/>
          <w:numId w:val="7"/>
        </w:numPr>
        <w:tabs>
          <w:tab w:val="clear" w:pos="547"/>
        </w:tabs>
        <w:ind w:left="851" w:right="329" w:hanging="425"/>
        <w:jc w:val="both"/>
        <w:rPr>
          <w:b/>
          <w:szCs w:val="20"/>
        </w:rPr>
      </w:pPr>
      <w:r w:rsidRPr="00872D7E">
        <w:rPr>
          <w:b/>
          <w:szCs w:val="20"/>
        </w:rPr>
        <w:t>Cari dönem içinde sermaye yedeklerinden sermayeye ilave edilen kısma ilişkin bilgiler:</w:t>
      </w:r>
    </w:p>
    <w:p w14:paraId="0D4182FA" w14:textId="77777777" w:rsidR="00795F5E" w:rsidRPr="00872D7E" w:rsidRDefault="00795F5E" w:rsidP="00AA0BC7">
      <w:pPr>
        <w:widowControl w:val="0"/>
        <w:ind w:left="851" w:right="329" w:firstLine="14"/>
        <w:jc w:val="both"/>
        <w:rPr>
          <w:szCs w:val="20"/>
        </w:rPr>
      </w:pPr>
      <w:bookmarkStart w:id="92" w:name="_Hlk68092884"/>
    </w:p>
    <w:p w14:paraId="4727D7DE" w14:textId="46976B10" w:rsidR="009E5A86" w:rsidRPr="00872D7E" w:rsidRDefault="007255B3" w:rsidP="00AA0BC7">
      <w:pPr>
        <w:widowControl w:val="0"/>
        <w:ind w:left="851" w:right="329"/>
        <w:jc w:val="both"/>
        <w:rPr>
          <w:color w:val="0000FF"/>
          <w:szCs w:val="20"/>
        </w:rPr>
      </w:pPr>
      <w:r w:rsidRPr="00872D7E">
        <w:rPr>
          <w:szCs w:val="20"/>
        </w:rPr>
        <w:t>Cari dönem içinde sermaye yedeklerinden sermayeye ilave edilen kısım bulunmamaktadır</w:t>
      </w:r>
      <w:r w:rsidRPr="00872D7E">
        <w:rPr>
          <w:color w:val="0000FF"/>
          <w:szCs w:val="20"/>
        </w:rPr>
        <w:t xml:space="preserve">. </w:t>
      </w:r>
      <w:r w:rsidR="009E5A86" w:rsidRPr="00872D7E">
        <w:rPr>
          <w:color w:val="0000FF"/>
          <w:szCs w:val="20"/>
        </w:rPr>
        <w:br w:type="page"/>
      </w:r>
    </w:p>
    <w:p w14:paraId="201996FC" w14:textId="77777777" w:rsidR="009E5A86" w:rsidRPr="00872D7E" w:rsidRDefault="009E5A86" w:rsidP="009E5A86">
      <w:pPr>
        <w:widowControl w:val="0"/>
        <w:spacing w:line="235" w:lineRule="auto"/>
        <w:ind w:left="720" w:hanging="720"/>
        <w:jc w:val="both"/>
        <w:rPr>
          <w:b/>
          <w:szCs w:val="20"/>
        </w:rPr>
      </w:pPr>
      <w:r w:rsidRPr="00872D7E">
        <w:rPr>
          <w:b/>
          <w:szCs w:val="20"/>
        </w:rPr>
        <w:lastRenderedPageBreak/>
        <w:t>KONSOLİDE OLMAYAN FİNANSAL TABLOLARA İLİŞKİN AÇIKLAMA VE DİPNOTLAR (Devamı)</w:t>
      </w:r>
    </w:p>
    <w:p w14:paraId="10C1F926" w14:textId="77777777" w:rsidR="009E5A86" w:rsidRPr="00872D7E" w:rsidRDefault="009E5A86" w:rsidP="009E5A86">
      <w:pPr>
        <w:pStyle w:val="BodyTextIndent"/>
        <w:widowControl w:val="0"/>
        <w:ind w:left="851" w:firstLine="0"/>
        <w:rPr>
          <w:b/>
          <w:szCs w:val="20"/>
        </w:rPr>
      </w:pPr>
    </w:p>
    <w:p w14:paraId="7C7FD1BC" w14:textId="77777777" w:rsidR="009E5A86" w:rsidRPr="00872D7E" w:rsidRDefault="009E5A86" w:rsidP="009E5A86">
      <w:pPr>
        <w:widowControl w:val="0"/>
        <w:spacing w:line="235" w:lineRule="auto"/>
        <w:ind w:left="851" w:hanging="851"/>
        <w:jc w:val="both"/>
        <w:rPr>
          <w:b/>
          <w:szCs w:val="20"/>
        </w:rPr>
      </w:pPr>
      <w:r w:rsidRPr="00872D7E">
        <w:rPr>
          <w:b/>
          <w:szCs w:val="20"/>
        </w:rPr>
        <w:t>II.</w:t>
      </w:r>
      <w:r w:rsidRPr="00872D7E">
        <w:rPr>
          <w:b/>
          <w:szCs w:val="20"/>
        </w:rPr>
        <w:tab/>
        <w:t>BİLANÇONUN PASİF HESAPLARINA İLİŞKİN AÇIKLAMA VE DİPNOTLAR (Devamı)</w:t>
      </w:r>
    </w:p>
    <w:p w14:paraId="39F32BD7" w14:textId="77777777" w:rsidR="007255B3" w:rsidRPr="00872D7E" w:rsidRDefault="007255B3" w:rsidP="00795F5E">
      <w:pPr>
        <w:widowControl w:val="0"/>
        <w:ind w:left="851" w:right="329"/>
        <w:jc w:val="both"/>
        <w:rPr>
          <w:color w:val="0000FF"/>
          <w:szCs w:val="20"/>
        </w:rPr>
      </w:pPr>
    </w:p>
    <w:p w14:paraId="6EE89369" w14:textId="18E6BCB7" w:rsidR="009E5A86" w:rsidRPr="00872D7E" w:rsidRDefault="009E5A86" w:rsidP="00DF282B">
      <w:pPr>
        <w:pStyle w:val="xl79"/>
        <w:widowControl w:val="0"/>
        <w:numPr>
          <w:ilvl w:val="0"/>
          <w:numId w:val="59"/>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872D7E">
        <w:rPr>
          <w:b/>
          <w:noProof w:val="0"/>
          <w:sz w:val="20"/>
          <w:szCs w:val="20"/>
        </w:rPr>
        <w:t>Özkaynaklara ilişkin bilgiler: (Devamı)</w:t>
      </w:r>
    </w:p>
    <w:p w14:paraId="52F70600" w14:textId="77777777" w:rsidR="00795F5E" w:rsidRPr="00872D7E" w:rsidRDefault="00795F5E" w:rsidP="00795F5E">
      <w:pPr>
        <w:widowControl w:val="0"/>
        <w:ind w:left="-709" w:right="329" w:firstLine="14"/>
        <w:jc w:val="both"/>
        <w:rPr>
          <w:color w:val="0000FF"/>
          <w:szCs w:val="20"/>
        </w:rPr>
      </w:pPr>
    </w:p>
    <w:bookmarkEnd w:id="92"/>
    <w:p w14:paraId="317FAA38" w14:textId="04D2E035" w:rsidR="00136C29" w:rsidRPr="00872D7E" w:rsidRDefault="00136C29" w:rsidP="00287A92">
      <w:pPr>
        <w:widowControl w:val="0"/>
        <w:numPr>
          <w:ilvl w:val="0"/>
          <w:numId w:val="7"/>
        </w:numPr>
        <w:tabs>
          <w:tab w:val="clear" w:pos="547"/>
        </w:tabs>
        <w:ind w:left="1276" w:hanging="425"/>
        <w:jc w:val="both"/>
        <w:rPr>
          <w:b/>
          <w:szCs w:val="20"/>
        </w:rPr>
      </w:pPr>
      <w:r w:rsidRPr="00872D7E">
        <w:rPr>
          <w:b/>
          <w:szCs w:val="20"/>
        </w:rPr>
        <w:t xml:space="preserve">Son mali yılın ve onu takip eden ara dönemin sonuna kadar olan sermaye taahhütleri, bu taahhütlerin genel amacı ve bu taahhütler için gerekli tahmini kaynaklara ilişkin bilgiler: </w:t>
      </w:r>
    </w:p>
    <w:p w14:paraId="1097573B" w14:textId="77777777" w:rsidR="00795F5E" w:rsidRPr="00872D7E" w:rsidRDefault="00795F5E" w:rsidP="00795F5E">
      <w:pPr>
        <w:widowControl w:val="0"/>
        <w:ind w:left="42" w:right="329" w:hanging="14"/>
        <w:jc w:val="both"/>
        <w:rPr>
          <w:szCs w:val="20"/>
        </w:rPr>
      </w:pPr>
    </w:p>
    <w:p w14:paraId="1FD48E84" w14:textId="1375284A" w:rsidR="007255B3" w:rsidRPr="00872D7E" w:rsidRDefault="007255B3" w:rsidP="00287A92">
      <w:pPr>
        <w:widowControl w:val="0"/>
        <w:ind w:left="851"/>
        <w:jc w:val="both"/>
        <w:rPr>
          <w:szCs w:val="20"/>
        </w:rPr>
      </w:pPr>
      <w:r w:rsidRPr="00872D7E">
        <w:rPr>
          <w:szCs w:val="20"/>
        </w:rPr>
        <w:t>Banka’nın son mali yılın ve onu takip eden ara dönemin sonuna kadar sermaye taahhüdü bulunmamaktadır.</w:t>
      </w:r>
    </w:p>
    <w:p w14:paraId="32960080" w14:textId="6D320493" w:rsidR="0018239A" w:rsidRPr="00872D7E" w:rsidRDefault="0018239A" w:rsidP="009F6E11">
      <w:pPr>
        <w:widowControl w:val="0"/>
        <w:ind w:right="329"/>
        <w:rPr>
          <w:szCs w:val="20"/>
        </w:rPr>
      </w:pPr>
    </w:p>
    <w:p w14:paraId="084B8FF6" w14:textId="03E65E11" w:rsidR="00136C29" w:rsidRPr="00872D7E" w:rsidRDefault="00136C29" w:rsidP="00287A92">
      <w:pPr>
        <w:widowControl w:val="0"/>
        <w:numPr>
          <w:ilvl w:val="0"/>
          <w:numId w:val="7"/>
        </w:numPr>
        <w:tabs>
          <w:tab w:val="clear" w:pos="547"/>
        </w:tabs>
        <w:ind w:left="1276" w:hanging="425"/>
        <w:jc w:val="both"/>
        <w:rPr>
          <w:b/>
          <w:szCs w:val="20"/>
        </w:rPr>
      </w:pPr>
      <w:r w:rsidRPr="00872D7E">
        <w:rPr>
          <w:b/>
          <w:szCs w:val="20"/>
        </w:rPr>
        <w:t>Banka’nın gelirleri, karlılığı ve likiditesine ilişkin geçmiş dönem göstergeleri ile bu göstergelerdeki belirsizlikler dikkate alınarak yapılacak öngörülerin, Banka’nın özkaynakları üzerindeki tahmini etkileri:</w:t>
      </w:r>
    </w:p>
    <w:p w14:paraId="15C32786" w14:textId="77777777" w:rsidR="00795F5E" w:rsidRPr="00872D7E" w:rsidRDefault="00795F5E" w:rsidP="00795F5E">
      <w:pPr>
        <w:widowControl w:val="0"/>
        <w:autoSpaceDE w:val="0"/>
        <w:autoSpaceDN w:val="0"/>
        <w:adjustRightInd w:val="0"/>
        <w:ind w:left="42"/>
        <w:jc w:val="both"/>
        <w:rPr>
          <w:szCs w:val="20"/>
        </w:rPr>
      </w:pPr>
    </w:p>
    <w:p w14:paraId="55DE9813" w14:textId="66563F31" w:rsidR="00136C29" w:rsidRPr="00872D7E" w:rsidRDefault="00136C29" w:rsidP="00795F5E">
      <w:pPr>
        <w:widowControl w:val="0"/>
        <w:autoSpaceDE w:val="0"/>
        <w:autoSpaceDN w:val="0"/>
        <w:adjustRightInd w:val="0"/>
        <w:ind w:left="851"/>
        <w:jc w:val="both"/>
        <w:rPr>
          <w:szCs w:val="20"/>
        </w:rPr>
      </w:pPr>
      <w:r w:rsidRPr="00872D7E">
        <w:rPr>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19E91217" w14:textId="77777777" w:rsidR="00795F5E" w:rsidRPr="00872D7E" w:rsidRDefault="00795F5E" w:rsidP="00795F5E">
      <w:pPr>
        <w:widowControl w:val="0"/>
        <w:autoSpaceDE w:val="0"/>
        <w:autoSpaceDN w:val="0"/>
        <w:adjustRightInd w:val="0"/>
        <w:ind w:left="42"/>
        <w:jc w:val="both"/>
        <w:rPr>
          <w:szCs w:val="20"/>
        </w:rPr>
      </w:pPr>
    </w:p>
    <w:p w14:paraId="577CE439" w14:textId="2C2AEB8A" w:rsidR="00136C29" w:rsidRPr="00872D7E" w:rsidRDefault="00136C29" w:rsidP="00287A92">
      <w:pPr>
        <w:widowControl w:val="0"/>
        <w:numPr>
          <w:ilvl w:val="0"/>
          <w:numId w:val="7"/>
        </w:numPr>
        <w:tabs>
          <w:tab w:val="clear" w:pos="547"/>
        </w:tabs>
        <w:ind w:left="1276" w:right="329" w:hanging="425"/>
        <w:jc w:val="both"/>
        <w:rPr>
          <w:b/>
          <w:szCs w:val="20"/>
        </w:rPr>
      </w:pPr>
      <w:r w:rsidRPr="00872D7E">
        <w:rPr>
          <w:b/>
          <w:szCs w:val="20"/>
        </w:rPr>
        <w:t xml:space="preserve">Sermayeyi temsil eden hisse senetlerine tanınan imtiyazlara ilişkin özet bilgiler: </w:t>
      </w:r>
    </w:p>
    <w:p w14:paraId="2EBD0573" w14:textId="77777777" w:rsidR="00795F5E" w:rsidRPr="00872D7E" w:rsidRDefault="00795F5E" w:rsidP="00795F5E">
      <w:pPr>
        <w:widowControl w:val="0"/>
        <w:ind w:left="42"/>
        <w:jc w:val="both"/>
        <w:rPr>
          <w:szCs w:val="20"/>
        </w:rPr>
      </w:pPr>
    </w:p>
    <w:p w14:paraId="11D570E7" w14:textId="1D67B5FA" w:rsidR="0018239A" w:rsidRPr="00872D7E" w:rsidRDefault="00136C29" w:rsidP="00795F5E">
      <w:pPr>
        <w:widowControl w:val="0"/>
        <w:ind w:left="851"/>
        <w:jc w:val="both"/>
        <w:rPr>
          <w:szCs w:val="20"/>
        </w:rPr>
      </w:pPr>
      <w:r w:rsidRPr="00872D7E">
        <w:rPr>
          <w:szCs w:val="20"/>
        </w:rPr>
        <w:t>Sermayeyi temsil eden hisse senetlerine tanınan imtiyazlar bulunmamaktadır.</w:t>
      </w:r>
    </w:p>
    <w:p w14:paraId="6192C363" w14:textId="77777777" w:rsidR="00795F5E" w:rsidRPr="00872D7E" w:rsidRDefault="00795F5E" w:rsidP="00795F5E">
      <w:pPr>
        <w:widowControl w:val="0"/>
        <w:ind w:left="42"/>
        <w:jc w:val="both"/>
        <w:rPr>
          <w:szCs w:val="20"/>
        </w:rPr>
      </w:pPr>
    </w:p>
    <w:p w14:paraId="200B2591" w14:textId="21182B22" w:rsidR="00136C29" w:rsidRPr="00872D7E" w:rsidRDefault="00136C29" w:rsidP="00287A92">
      <w:pPr>
        <w:widowControl w:val="0"/>
        <w:numPr>
          <w:ilvl w:val="0"/>
          <w:numId w:val="7"/>
        </w:numPr>
        <w:tabs>
          <w:tab w:val="clear" w:pos="547"/>
        </w:tabs>
        <w:ind w:left="1276" w:right="329" w:hanging="425"/>
        <w:jc w:val="both"/>
        <w:rPr>
          <w:b/>
          <w:szCs w:val="20"/>
        </w:rPr>
      </w:pPr>
      <w:r w:rsidRPr="00872D7E">
        <w:rPr>
          <w:b/>
          <w:szCs w:val="20"/>
        </w:rPr>
        <w:t xml:space="preserve">Menkul değerler değer artış fonuna ilişkin bilgiler: </w:t>
      </w:r>
    </w:p>
    <w:p w14:paraId="63E0164B" w14:textId="2E2F0A98" w:rsidR="00862A01" w:rsidRPr="00872D7E" w:rsidRDefault="00862A01" w:rsidP="00640868">
      <w:pPr>
        <w:widowControl w:val="0"/>
        <w:ind w:left="851"/>
        <w:jc w:val="both"/>
        <w:rPr>
          <w:szCs w:val="20"/>
        </w:rPr>
      </w:pPr>
    </w:p>
    <w:tbl>
      <w:tblPr>
        <w:tblW w:w="5000" w:type="pct"/>
        <w:tblCellMar>
          <w:left w:w="70" w:type="dxa"/>
          <w:right w:w="70" w:type="dxa"/>
        </w:tblCellMar>
        <w:tblLook w:val="04A0" w:firstRow="1" w:lastRow="0" w:firstColumn="1" w:lastColumn="0" w:noHBand="0" w:noVBand="1"/>
      </w:tblPr>
      <w:tblGrid>
        <w:gridCol w:w="3944"/>
        <w:gridCol w:w="1362"/>
        <w:gridCol w:w="1130"/>
        <w:gridCol w:w="1478"/>
        <w:gridCol w:w="1441"/>
      </w:tblGrid>
      <w:tr w:rsidR="00862A01" w:rsidRPr="00872D7E" w14:paraId="58586DFA" w14:textId="77777777" w:rsidTr="00862A01">
        <w:trPr>
          <w:divId w:val="135073936"/>
          <w:trHeight w:val="227"/>
        </w:trPr>
        <w:tc>
          <w:tcPr>
            <w:tcW w:w="2108" w:type="pct"/>
            <w:tcBorders>
              <w:top w:val="nil"/>
              <w:left w:val="nil"/>
              <w:bottom w:val="nil"/>
              <w:right w:val="nil"/>
            </w:tcBorders>
            <w:shd w:val="clear" w:color="auto" w:fill="auto"/>
            <w:noWrap/>
            <w:vAlign w:val="bottom"/>
            <w:hideMark/>
          </w:tcPr>
          <w:p w14:paraId="7B9E47CF" w14:textId="3484C0AA" w:rsidR="00862A01" w:rsidRPr="00872D7E" w:rsidRDefault="00862A01" w:rsidP="00862A01">
            <w:pPr>
              <w:rPr>
                <w:szCs w:val="20"/>
              </w:rPr>
            </w:pPr>
          </w:p>
        </w:tc>
        <w:tc>
          <w:tcPr>
            <w:tcW w:w="1332" w:type="pct"/>
            <w:gridSpan w:val="2"/>
            <w:tcBorders>
              <w:top w:val="nil"/>
              <w:left w:val="nil"/>
              <w:bottom w:val="single" w:sz="4" w:space="0" w:color="auto"/>
              <w:right w:val="nil"/>
            </w:tcBorders>
            <w:shd w:val="clear" w:color="auto" w:fill="auto"/>
            <w:noWrap/>
            <w:vAlign w:val="bottom"/>
            <w:hideMark/>
          </w:tcPr>
          <w:p w14:paraId="0235DBB8" w14:textId="77777777" w:rsidR="00862A01" w:rsidRPr="00872D7E" w:rsidRDefault="00862A01" w:rsidP="00862A01">
            <w:pPr>
              <w:jc w:val="center"/>
              <w:rPr>
                <w:b/>
                <w:bCs/>
                <w:color w:val="000000"/>
                <w:szCs w:val="20"/>
              </w:rPr>
            </w:pPr>
            <w:r w:rsidRPr="00872D7E">
              <w:rPr>
                <w:b/>
                <w:bCs/>
                <w:color w:val="000000"/>
                <w:szCs w:val="20"/>
              </w:rPr>
              <w:t>31 Aralık 2024</w:t>
            </w:r>
          </w:p>
        </w:tc>
        <w:tc>
          <w:tcPr>
            <w:tcW w:w="1560" w:type="pct"/>
            <w:gridSpan w:val="2"/>
            <w:tcBorders>
              <w:top w:val="nil"/>
              <w:left w:val="nil"/>
              <w:bottom w:val="single" w:sz="4" w:space="0" w:color="auto"/>
              <w:right w:val="nil"/>
            </w:tcBorders>
            <w:shd w:val="clear" w:color="auto" w:fill="auto"/>
            <w:noWrap/>
            <w:vAlign w:val="bottom"/>
            <w:hideMark/>
          </w:tcPr>
          <w:p w14:paraId="673ADDB6" w14:textId="77777777" w:rsidR="00862A01" w:rsidRPr="00872D7E" w:rsidRDefault="00862A01" w:rsidP="00862A01">
            <w:pPr>
              <w:jc w:val="center"/>
              <w:rPr>
                <w:b/>
                <w:bCs/>
                <w:color w:val="000000"/>
                <w:szCs w:val="20"/>
              </w:rPr>
            </w:pPr>
            <w:r w:rsidRPr="00872D7E">
              <w:rPr>
                <w:b/>
                <w:bCs/>
                <w:color w:val="000000"/>
                <w:szCs w:val="20"/>
              </w:rPr>
              <w:t>1 Ocak 2024</w:t>
            </w:r>
          </w:p>
        </w:tc>
      </w:tr>
      <w:tr w:rsidR="00862A01" w:rsidRPr="00872D7E" w14:paraId="4AA2B294" w14:textId="77777777" w:rsidTr="00862A01">
        <w:trPr>
          <w:divId w:val="135073936"/>
          <w:trHeight w:val="227"/>
        </w:trPr>
        <w:tc>
          <w:tcPr>
            <w:tcW w:w="2108" w:type="pct"/>
            <w:tcBorders>
              <w:top w:val="nil"/>
              <w:left w:val="nil"/>
              <w:bottom w:val="nil"/>
              <w:right w:val="nil"/>
            </w:tcBorders>
            <w:shd w:val="clear" w:color="auto" w:fill="auto"/>
            <w:noWrap/>
            <w:vAlign w:val="bottom"/>
            <w:hideMark/>
          </w:tcPr>
          <w:p w14:paraId="537FFF03" w14:textId="77777777" w:rsidR="00862A01" w:rsidRPr="00872D7E" w:rsidRDefault="00862A01" w:rsidP="00862A01">
            <w:pPr>
              <w:jc w:val="center"/>
              <w:rPr>
                <w:b/>
                <w:bCs/>
                <w:color w:val="000000"/>
                <w:szCs w:val="20"/>
              </w:rPr>
            </w:pPr>
          </w:p>
        </w:tc>
        <w:tc>
          <w:tcPr>
            <w:tcW w:w="728" w:type="pct"/>
            <w:tcBorders>
              <w:top w:val="nil"/>
              <w:left w:val="nil"/>
              <w:bottom w:val="single" w:sz="4" w:space="0" w:color="auto"/>
              <w:right w:val="nil"/>
            </w:tcBorders>
            <w:shd w:val="clear" w:color="auto" w:fill="auto"/>
            <w:noWrap/>
            <w:hideMark/>
          </w:tcPr>
          <w:p w14:paraId="70670535" w14:textId="77777777" w:rsidR="00862A01" w:rsidRPr="00872D7E" w:rsidRDefault="00862A01" w:rsidP="00862A01">
            <w:pPr>
              <w:jc w:val="center"/>
              <w:rPr>
                <w:b/>
                <w:bCs/>
                <w:color w:val="000000"/>
                <w:szCs w:val="20"/>
              </w:rPr>
            </w:pPr>
            <w:r w:rsidRPr="00872D7E">
              <w:rPr>
                <w:b/>
                <w:bCs/>
                <w:color w:val="000000"/>
                <w:szCs w:val="20"/>
              </w:rPr>
              <w:t>TP</w:t>
            </w:r>
          </w:p>
        </w:tc>
        <w:tc>
          <w:tcPr>
            <w:tcW w:w="604" w:type="pct"/>
            <w:tcBorders>
              <w:top w:val="nil"/>
              <w:left w:val="nil"/>
              <w:bottom w:val="single" w:sz="4" w:space="0" w:color="auto"/>
              <w:right w:val="nil"/>
            </w:tcBorders>
            <w:shd w:val="clear" w:color="auto" w:fill="auto"/>
            <w:noWrap/>
            <w:hideMark/>
          </w:tcPr>
          <w:p w14:paraId="3B3FAA68" w14:textId="77777777" w:rsidR="00862A01" w:rsidRPr="00872D7E" w:rsidRDefault="00862A01" w:rsidP="00862A01">
            <w:pPr>
              <w:jc w:val="center"/>
              <w:rPr>
                <w:b/>
                <w:bCs/>
                <w:color w:val="000000"/>
                <w:szCs w:val="20"/>
              </w:rPr>
            </w:pPr>
            <w:r w:rsidRPr="00872D7E">
              <w:rPr>
                <w:b/>
                <w:bCs/>
                <w:color w:val="000000"/>
                <w:szCs w:val="20"/>
              </w:rPr>
              <w:t>YP</w:t>
            </w:r>
          </w:p>
        </w:tc>
        <w:tc>
          <w:tcPr>
            <w:tcW w:w="790" w:type="pct"/>
            <w:tcBorders>
              <w:top w:val="nil"/>
              <w:left w:val="nil"/>
              <w:bottom w:val="single" w:sz="4" w:space="0" w:color="auto"/>
              <w:right w:val="nil"/>
            </w:tcBorders>
            <w:shd w:val="clear" w:color="auto" w:fill="auto"/>
            <w:noWrap/>
            <w:hideMark/>
          </w:tcPr>
          <w:p w14:paraId="14791DD8" w14:textId="77777777" w:rsidR="00862A01" w:rsidRPr="00872D7E" w:rsidRDefault="00862A01" w:rsidP="00862A01">
            <w:pPr>
              <w:jc w:val="center"/>
              <w:rPr>
                <w:b/>
                <w:bCs/>
                <w:color w:val="000000"/>
                <w:szCs w:val="20"/>
              </w:rPr>
            </w:pPr>
            <w:r w:rsidRPr="00872D7E">
              <w:rPr>
                <w:b/>
                <w:bCs/>
                <w:color w:val="000000"/>
                <w:szCs w:val="20"/>
              </w:rPr>
              <w:t>TP</w:t>
            </w:r>
          </w:p>
        </w:tc>
        <w:tc>
          <w:tcPr>
            <w:tcW w:w="770" w:type="pct"/>
            <w:tcBorders>
              <w:top w:val="nil"/>
              <w:left w:val="nil"/>
              <w:bottom w:val="single" w:sz="4" w:space="0" w:color="auto"/>
              <w:right w:val="nil"/>
            </w:tcBorders>
            <w:shd w:val="clear" w:color="auto" w:fill="auto"/>
            <w:noWrap/>
            <w:hideMark/>
          </w:tcPr>
          <w:p w14:paraId="057A9494" w14:textId="77777777" w:rsidR="00862A01" w:rsidRPr="00872D7E" w:rsidRDefault="00862A01" w:rsidP="00862A01">
            <w:pPr>
              <w:jc w:val="center"/>
              <w:rPr>
                <w:b/>
                <w:bCs/>
                <w:color w:val="000000"/>
                <w:szCs w:val="20"/>
              </w:rPr>
            </w:pPr>
            <w:r w:rsidRPr="00872D7E">
              <w:rPr>
                <w:b/>
                <w:bCs/>
                <w:color w:val="000000"/>
                <w:szCs w:val="20"/>
              </w:rPr>
              <w:t>YP</w:t>
            </w:r>
          </w:p>
        </w:tc>
      </w:tr>
      <w:tr w:rsidR="00862A01" w:rsidRPr="00872D7E" w14:paraId="719B26CA" w14:textId="77777777" w:rsidTr="00862A01">
        <w:trPr>
          <w:divId w:val="135073936"/>
          <w:trHeight w:val="227"/>
        </w:trPr>
        <w:tc>
          <w:tcPr>
            <w:tcW w:w="2108" w:type="pct"/>
            <w:tcBorders>
              <w:top w:val="nil"/>
              <w:left w:val="nil"/>
              <w:bottom w:val="nil"/>
              <w:right w:val="nil"/>
            </w:tcBorders>
            <w:shd w:val="clear" w:color="auto" w:fill="auto"/>
            <w:noWrap/>
            <w:vAlign w:val="bottom"/>
            <w:hideMark/>
          </w:tcPr>
          <w:p w14:paraId="5EA9B62C" w14:textId="77777777" w:rsidR="00862A01" w:rsidRPr="00872D7E" w:rsidRDefault="00862A01" w:rsidP="00862A01">
            <w:pPr>
              <w:jc w:val="right"/>
              <w:rPr>
                <w:b/>
                <w:bCs/>
                <w:color w:val="000000"/>
                <w:szCs w:val="20"/>
              </w:rPr>
            </w:pPr>
          </w:p>
        </w:tc>
        <w:tc>
          <w:tcPr>
            <w:tcW w:w="728" w:type="pct"/>
            <w:tcBorders>
              <w:top w:val="nil"/>
              <w:left w:val="nil"/>
              <w:bottom w:val="nil"/>
              <w:right w:val="nil"/>
            </w:tcBorders>
            <w:shd w:val="clear" w:color="auto" w:fill="auto"/>
            <w:noWrap/>
            <w:hideMark/>
          </w:tcPr>
          <w:p w14:paraId="2FBEB118" w14:textId="77777777" w:rsidR="00862A01" w:rsidRPr="00872D7E" w:rsidRDefault="00862A01" w:rsidP="00862A01">
            <w:pPr>
              <w:jc w:val="both"/>
              <w:rPr>
                <w:szCs w:val="20"/>
              </w:rPr>
            </w:pPr>
          </w:p>
        </w:tc>
        <w:tc>
          <w:tcPr>
            <w:tcW w:w="604" w:type="pct"/>
            <w:tcBorders>
              <w:top w:val="nil"/>
              <w:left w:val="nil"/>
              <w:bottom w:val="nil"/>
              <w:right w:val="nil"/>
            </w:tcBorders>
            <w:shd w:val="clear" w:color="auto" w:fill="auto"/>
            <w:noWrap/>
            <w:hideMark/>
          </w:tcPr>
          <w:p w14:paraId="419CA9E7" w14:textId="77777777" w:rsidR="00862A01" w:rsidRPr="00872D7E" w:rsidRDefault="00862A01" w:rsidP="00862A01">
            <w:pPr>
              <w:jc w:val="right"/>
              <w:rPr>
                <w:szCs w:val="20"/>
              </w:rPr>
            </w:pPr>
          </w:p>
        </w:tc>
        <w:tc>
          <w:tcPr>
            <w:tcW w:w="790" w:type="pct"/>
            <w:tcBorders>
              <w:top w:val="nil"/>
              <w:left w:val="nil"/>
              <w:bottom w:val="nil"/>
              <w:right w:val="nil"/>
            </w:tcBorders>
            <w:shd w:val="clear" w:color="auto" w:fill="auto"/>
            <w:noWrap/>
            <w:hideMark/>
          </w:tcPr>
          <w:p w14:paraId="322EE7FF" w14:textId="77777777" w:rsidR="00862A01" w:rsidRPr="00872D7E" w:rsidRDefault="00862A01" w:rsidP="00862A01">
            <w:pPr>
              <w:jc w:val="right"/>
              <w:rPr>
                <w:szCs w:val="20"/>
              </w:rPr>
            </w:pPr>
          </w:p>
        </w:tc>
        <w:tc>
          <w:tcPr>
            <w:tcW w:w="770" w:type="pct"/>
            <w:tcBorders>
              <w:top w:val="nil"/>
              <w:left w:val="nil"/>
              <w:bottom w:val="nil"/>
              <w:right w:val="nil"/>
            </w:tcBorders>
            <w:shd w:val="clear" w:color="auto" w:fill="auto"/>
            <w:noWrap/>
            <w:hideMark/>
          </w:tcPr>
          <w:p w14:paraId="4C86FCC0" w14:textId="77777777" w:rsidR="00862A01" w:rsidRPr="00872D7E" w:rsidRDefault="00862A01" w:rsidP="00862A01">
            <w:pPr>
              <w:jc w:val="right"/>
              <w:rPr>
                <w:szCs w:val="20"/>
              </w:rPr>
            </w:pPr>
          </w:p>
        </w:tc>
      </w:tr>
      <w:tr w:rsidR="00862A01" w:rsidRPr="00872D7E" w14:paraId="7579527E" w14:textId="77777777" w:rsidTr="00862A01">
        <w:trPr>
          <w:divId w:val="135073936"/>
          <w:trHeight w:val="227"/>
        </w:trPr>
        <w:tc>
          <w:tcPr>
            <w:tcW w:w="2108" w:type="pct"/>
            <w:tcBorders>
              <w:top w:val="nil"/>
              <w:left w:val="nil"/>
              <w:bottom w:val="nil"/>
              <w:right w:val="nil"/>
            </w:tcBorders>
            <w:shd w:val="clear" w:color="auto" w:fill="auto"/>
            <w:vAlign w:val="bottom"/>
            <w:hideMark/>
          </w:tcPr>
          <w:p w14:paraId="682C19CD" w14:textId="77777777" w:rsidR="00862A01" w:rsidRPr="00872D7E" w:rsidRDefault="00862A01" w:rsidP="00862A01">
            <w:pPr>
              <w:rPr>
                <w:color w:val="000000"/>
                <w:szCs w:val="20"/>
              </w:rPr>
            </w:pPr>
            <w:r w:rsidRPr="00872D7E">
              <w:rPr>
                <w:color w:val="000000"/>
                <w:szCs w:val="20"/>
              </w:rPr>
              <w:t>İştirakler, Bağlı Ortaklıklar ve Birlikte Kontrol Edilen Ortaklıklardan (İş Ortaklıklarından)</w:t>
            </w:r>
          </w:p>
        </w:tc>
        <w:tc>
          <w:tcPr>
            <w:tcW w:w="728" w:type="pct"/>
            <w:tcBorders>
              <w:top w:val="nil"/>
              <w:left w:val="nil"/>
              <w:bottom w:val="nil"/>
              <w:right w:val="nil"/>
            </w:tcBorders>
            <w:shd w:val="clear" w:color="auto" w:fill="auto"/>
            <w:noWrap/>
            <w:vAlign w:val="center"/>
            <w:hideMark/>
          </w:tcPr>
          <w:p w14:paraId="7EE6C894" w14:textId="77777777" w:rsidR="00862A01" w:rsidRPr="00872D7E" w:rsidRDefault="00862A01" w:rsidP="00862A01">
            <w:pPr>
              <w:jc w:val="right"/>
              <w:rPr>
                <w:color w:val="000000"/>
                <w:szCs w:val="20"/>
              </w:rPr>
            </w:pPr>
            <w:r w:rsidRPr="00872D7E">
              <w:rPr>
                <w:color w:val="000000"/>
                <w:szCs w:val="20"/>
              </w:rPr>
              <w:t>-</w:t>
            </w:r>
          </w:p>
        </w:tc>
        <w:tc>
          <w:tcPr>
            <w:tcW w:w="604" w:type="pct"/>
            <w:tcBorders>
              <w:top w:val="nil"/>
              <w:left w:val="nil"/>
              <w:bottom w:val="nil"/>
              <w:right w:val="nil"/>
            </w:tcBorders>
            <w:shd w:val="clear" w:color="auto" w:fill="auto"/>
            <w:noWrap/>
            <w:vAlign w:val="center"/>
            <w:hideMark/>
          </w:tcPr>
          <w:p w14:paraId="76A9C050" w14:textId="77777777" w:rsidR="00862A01" w:rsidRPr="00872D7E" w:rsidRDefault="00862A01" w:rsidP="00862A01">
            <w:pPr>
              <w:jc w:val="right"/>
              <w:rPr>
                <w:color w:val="000000"/>
                <w:szCs w:val="20"/>
              </w:rPr>
            </w:pPr>
            <w:r w:rsidRPr="00872D7E">
              <w:rPr>
                <w:color w:val="000000"/>
                <w:szCs w:val="20"/>
              </w:rPr>
              <w:t>-</w:t>
            </w:r>
          </w:p>
        </w:tc>
        <w:tc>
          <w:tcPr>
            <w:tcW w:w="790" w:type="pct"/>
            <w:tcBorders>
              <w:top w:val="nil"/>
              <w:left w:val="nil"/>
              <w:bottom w:val="nil"/>
              <w:right w:val="nil"/>
            </w:tcBorders>
            <w:shd w:val="clear" w:color="auto" w:fill="auto"/>
            <w:noWrap/>
            <w:vAlign w:val="center"/>
            <w:hideMark/>
          </w:tcPr>
          <w:p w14:paraId="6943A24A" w14:textId="77777777" w:rsidR="00862A01" w:rsidRPr="00872D7E" w:rsidRDefault="00862A01" w:rsidP="00862A01">
            <w:pPr>
              <w:jc w:val="right"/>
              <w:rPr>
                <w:color w:val="000000"/>
                <w:szCs w:val="20"/>
              </w:rPr>
            </w:pPr>
            <w:r w:rsidRPr="00872D7E">
              <w:rPr>
                <w:color w:val="000000"/>
                <w:szCs w:val="20"/>
              </w:rPr>
              <w:t>-</w:t>
            </w:r>
          </w:p>
        </w:tc>
        <w:tc>
          <w:tcPr>
            <w:tcW w:w="770" w:type="pct"/>
            <w:tcBorders>
              <w:top w:val="nil"/>
              <w:left w:val="nil"/>
              <w:bottom w:val="nil"/>
              <w:right w:val="nil"/>
            </w:tcBorders>
            <w:shd w:val="clear" w:color="auto" w:fill="auto"/>
            <w:noWrap/>
            <w:vAlign w:val="center"/>
            <w:hideMark/>
          </w:tcPr>
          <w:p w14:paraId="62B5DA01" w14:textId="77777777" w:rsidR="00862A01" w:rsidRPr="00872D7E" w:rsidRDefault="00862A01" w:rsidP="00862A01">
            <w:pPr>
              <w:jc w:val="right"/>
              <w:rPr>
                <w:color w:val="000000"/>
                <w:szCs w:val="20"/>
              </w:rPr>
            </w:pPr>
            <w:r w:rsidRPr="00872D7E">
              <w:rPr>
                <w:color w:val="000000"/>
                <w:szCs w:val="20"/>
              </w:rPr>
              <w:t>-</w:t>
            </w:r>
          </w:p>
        </w:tc>
      </w:tr>
      <w:tr w:rsidR="00862A01" w:rsidRPr="00872D7E" w14:paraId="61078943" w14:textId="77777777" w:rsidTr="00862A01">
        <w:trPr>
          <w:divId w:val="135073936"/>
          <w:trHeight w:val="227"/>
        </w:trPr>
        <w:tc>
          <w:tcPr>
            <w:tcW w:w="2108" w:type="pct"/>
            <w:tcBorders>
              <w:top w:val="nil"/>
              <w:left w:val="nil"/>
              <w:bottom w:val="nil"/>
              <w:right w:val="nil"/>
            </w:tcBorders>
            <w:shd w:val="clear" w:color="auto" w:fill="auto"/>
            <w:noWrap/>
            <w:vAlign w:val="bottom"/>
            <w:hideMark/>
          </w:tcPr>
          <w:p w14:paraId="4A5EAED3" w14:textId="77777777" w:rsidR="00862A01" w:rsidRPr="00872D7E" w:rsidRDefault="00862A01" w:rsidP="00862A01">
            <w:pPr>
              <w:jc w:val="both"/>
              <w:rPr>
                <w:color w:val="000000"/>
                <w:szCs w:val="20"/>
              </w:rPr>
            </w:pPr>
            <w:r w:rsidRPr="00872D7E">
              <w:rPr>
                <w:color w:val="000000"/>
                <w:szCs w:val="20"/>
              </w:rPr>
              <w:t>Değerleme Farkı</w:t>
            </w:r>
          </w:p>
        </w:tc>
        <w:tc>
          <w:tcPr>
            <w:tcW w:w="728" w:type="pct"/>
            <w:tcBorders>
              <w:top w:val="nil"/>
              <w:left w:val="nil"/>
              <w:bottom w:val="nil"/>
              <w:right w:val="nil"/>
            </w:tcBorders>
            <w:shd w:val="clear" w:color="auto" w:fill="auto"/>
            <w:noWrap/>
            <w:vAlign w:val="center"/>
            <w:hideMark/>
          </w:tcPr>
          <w:p w14:paraId="2D65A2A7" w14:textId="77777777" w:rsidR="00862A01" w:rsidRPr="00872D7E" w:rsidRDefault="00862A01" w:rsidP="00862A01">
            <w:pPr>
              <w:jc w:val="right"/>
              <w:rPr>
                <w:color w:val="000000"/>
                <w:szCs w:val="20"/>
              </w:rPr>
            </w:pPr>
            <w:r w:rsidRPr="00872D7E">
              <w:rPr>
                <w:color w:val="000000"/>
                <w:szCs w:val="20"/>
              </w:rPr>
              <w:t>8.303</w:t>
            </w:r>
          </w:p>
        </w:tc>
        <w:tc>
          <w:tcPr>
            <w:tcW w:w="604" w:type="pct"/>
            <w:tcBorders>
              <w:top w:val="nil"/>
              <w:left w:val="nil"/>
              <w:bottom w:val="nil"/>
              <w:right w:val="nil"/>
            </w:tcBorders>
            <w:shd w:val="clear" w:color="auto" w:fill="auto"/>
            <w:noWrap/>
            <w:vAlign w:val="center"/>
            <w:hideMark/>
          </w:tcPr>
          <w:p w14:paraId="2F1DBDE1" w14:textId="77777777" w:rsidR="00862A01" w:rsidRPr="00872D7E" w:rsidRDefault="00862A01" w:rsidP="00862A01">
            <w:pPr>
              <w:jc w:val="right"/>
              <w:rPr>
                <w:color w:val="000000"/>
                <w:szCs w:val="20"/>
              </w:rPr>
            </w:pPr>
            <w:r w:rsidRPr="00872D7E">
              <w:rPr>
                <w:color w:val="000000"/>
                <w:szCs w:val="20"/>
              </w:rPr>
              <w:t>-</w:t>
            </w:r>
          </w:p>
        </w:tc>
        <w:tc>
          <w:tcPr>
            <w:tcW w:w="790" w:type="pct"/>
            <w:tcBorders>
              <w:top w:val="nil"/>
              <w:left w:val="nil"/>
              <w:bottom w:val="nil"/>
              <w:right w:val="nil"/>
            </w:tcBorders>
            <w:shd w:val="clear" w:color="auto" w:fill="auto"/>
            <w:noWrap/>
            <w:vAlign w:val="center"/>
            <w:hideMark/>
          </w:tcPr>
          <w:p w14:paraId="230A3915" w14:textId="77777777" w:rsidR="00862A01" w:rsidRPr="00872D7E" w:rsidRDefault="00862A01" w:rsidP="00862A01">
            <w:pPr>
              <w:jc w:val="right"/>
              <w:rPr>
                <w:color w:val="000000"/>
                <w:szCs w:val="20"/>
              </w:rPr>
            </w:pPr>
            <w:r w:rsidRPr="00872D7E">
              <w:rPr>
                <w:color w:val="000000"/>
                <w:szCs w:val="20"/>
              </w:rPr>
              <w:t>-</w:t>
            </w:r>
          </w:p>
        </w:tc>
        <w:tc>
          <w:tcPr>
            <w:tcW w:w="770" w:type="pct"/>
            <w:tcBorders>
              <w:top w:val="nil"/>
              <w:left w:val="nil"/>
              <w:bottom w:val="nil"/>
              <w:right w:val="nil"/>
            </w:tcBorders>
            <w:shd w:val="clear" w:color="auto" w:fill="auto"/>
            <w:noWrap/>
            <w:vAlign w:val="center"/>
            <w:hideMark/>
          </w:tcPr>
          <w:p w14:paraId="5A3C9406" w14:textId="77777777" w:rsidR="00862A01" w:rsidRPr="00872D7E" w:rsidRDefault="00862A01" w:rsidP="00862A01">
            <w:pPr>
              <w:jc w:val="right"/>
              <w:rPr>
                <w:color w:val="000000"/>
                <w:szCs w:val="20"/>
              </w:rPr>
            </w:pPr>
            <w:r w:rsidRPr="00872D7E">
              <w:rPr>
                <w:color w:val="000000"/>
                <w:szCs w:val="20"/>
              </w:rPr>
              <w:t>-</w:t>
            </w:r>
          </w:p>
        </w:tc>
      </w:tr>
      <w:tr w:rsidR="00862A01" w:rsidRPr="00872D7E" w14:paraId="7E64D7BF" w14:textId="77777777" w:rsidTr="00862A01">
        <w:trPr>
          <w:divId w:val="135073936"/>
          <w:trHeight w:val="227"/>
        </w:trPr>
        <w:tc>
          <w:tcPr>
            <w:tcW w:w="2108" w:type="pct"/>
            <w:tcBorders>
              <w:top w:val="nil"/>
              <w:left w:val="nil"/>
              <w:bottom w:val="single" w:sz="4" w:space="0" w:color="auto"/>
              <w:right w:val="nil"/>
            </w:tcBorders>
            <w:shd w:val="clear" w:color="auto" w:fill="auto"/>
            <w:noWrap/>
            <w:vAlign w:val="bottom"/>
            <w:hideMark/>
          </w:tcPr>
          <w:p w14:paraId="7929BC6F" w14:textId="77777777" w:rsidR="00862A01" w:rsidRPr="00872D7E" w:rsidRDefault="00862A01" w:rsidP="00862A01">
            <w:pPr>
              <w:jc w:val="both"/>
              <w:rPr>
                <w:color w:val="000000"/>
                <w:szCs w:val="20"/>
              </w:rPr>
            </w:pPr>
            <w:r w:rsidRPr="00872D7E">
              <w:rPr>
                <w:color w:val="000000"/>
                <w:szCs w:val="20"/>
              </w:rPr>
              <w:t>Kur Farkı</w:t>
            </w:r>
          </w:p>
        </w:tc>
        <w:tc>
          <w:tcPr>
            <w:tcW w:w="728" w:type="pct"/>
            <w:tcBorders>
              <w:top w:val="nil"/>
              <w:left w:val="nil"/>
              <w:bottom w:val="single" w:sz="4" w:space="0" w:color="auto"/>
              <w:right w:val="nil"/>
            </w:tcBorders>
            <w:shd w:val="clear" w:color="auto" w:fill="auto"/>
            <w:noWrap/>
            <w:vAlign w:val="center"/>
            <w:hideMark/>
          </w:tcPr>
          <w:p w14:paraId="512EDA25" w14:textId="77777777" w:rsidR="00862A01" w:rsidRPr="00872D7E" w:rsidRDefault="00862A01" w:rsidP="00862A01">
            <w:pPr>
              <w:jc w:val="right"/>
              <w:rPr>
                <w:color w:val="000000"/>
                <w:szCs w:val="20"/>
              </w:rPr>
            </w:pPr>
            <w:r w:rsidRPr="00872D7E">
              <w:rPr>
                <w:color w:val="000000"/>
                <w:szCs w:val="20"/>
              </w:rPr>
              <w:t>-</w:t>
            </w:r>
          </w:p>
        </w:tc>
        <w:tc>
          <w:tcPr>
            <w:tcW w:w="604" w:type="pct"/>
            <w:tcBorders>
              <w:top w:val="nil"/>
              <w:left w:val="nil"/>
              <w:bottom w:val="single" w:sz="4" w:space="0" w:color="auto"/>
              <w:right w:val="nil"/>
            </w:tcBorders>
            <w:shd w:val="clear" w:color="auto" w:fill="auto"/>
            <w:noWrap/>
            <w:vAlign w:val="center"/>
            <w:hideMark/>
          </w:tcPr>
          <w:p w14:paraId="0D73A5F8" w14:textId="77777777" w:rsidR="00862A01" w:rsidRPr="00872D7E" w:rsidRDefault="00862A01" w:rsidP="00862A01">
            <w:pPr>
              <w:jc w:val="right"/>
              <w:rPr>
                <w:color w:val="000000"/>
                <w:szCs w:val="20"/>
              </w:rPr>
            </w:pPr>
            <w:r w:rsidRPr="00872D7E">
              <w:rPr>
                <w:color w:val="000000"/>
                <w:szCs w:val="20"/>
              </w:rPr>
              <w:t>-</w:t>
            </w:r>
          </w:p>
        </w:tc>
        <w:tc>
          <w:tcPr>
            <w:tcW w:w="790" w:type="pct"/>
            <w:tcBorders>
              <w:top w:val="nil"/>
              <w:left w:val="nil"/>
              <w:bottom w:val="single" w:sz="4" w:space="0" w:color="auto"/>
              <w:right w:val="nil"/>
            </w:tcBorders>
            <w:shd w:val="clear" w:color="auto" w:fill="auto"/>
            <w:noWrap/>
            <w:vAlign w:val="center"/>
            <w:hideMark/>
          </w:tcPr>
          <w:p w14:paraId="28B2DD7B" w14:textId="77777777" w:rsidR="00862A01" w:rsidRPr="00872D7E" w:rsidRDefault="00862A01" w:rsidP="00862A01">
            <w:pPr>
              <w:jc w:val="right"/>
              <w:rPr>
                <w:color w:val="000000"/>
                <w:szCs w:val="20"/>
              </w:rPr>
            </w:pPr>
            <w:r w:rsidRPr="00872D7E">
              <w:rPr>
                <w:color w:val="000000"/>
                <w:szCs w:val="20"/>
              </w:rPr>
              <w:t>-</w:t>
            </w:r>
          </w:p>
        </w:tc>
        <w:tc>
          <w:tcPr>
            <w:tcW w:w="770" w:type="pct"/>
            <w:tcBorders>
              <w:top w:val="nil"/>
              <w:left w:val="nil"/>
              <w:bottom w:val="single" w:sz="4" w:space="0" w:color="auto"/>
              <w:right w:val="nil"/>
            </w:tcBorders>
            <w:shd w:val="clear" w:color="auto" w:fill="auto"/>
            <w:noWrap/>
            <w:vAlign w:val="center"/>
            <w:hideMark/>
          </w:tcPr>
          <w:p w14:paraId="70E78EF9" w14:textId="77777777" w:rsidR="00862A01" w:rsidRPr="00872D7E" w:rsidRDefault="00862A01" w:rsidP="00862A01">
            <w:pPr>
              <w:jc w:val="right"/>
              <w:rPr>
                <w:color w:val="000000"/>
                <w:szCs w:val="20"/>
              </w:rPr>
            </w:pPr>
            <w:r w:rsidRPr="00872D7E">
              <w:rPr>
                <w:color w:val="000000"/>
                <w:szCs w:val="20"/>
              </w:rPr>
              <w:t>-</w:t>
            </w:r>
          </w:p>
        </w:tc>
      </w:tr>
      <w:tr w:rsidR="00862A01" w:rsidRPr="00872D7E" w14:paraId="5DAFA795" w14:textId="77777777" w:rsidTr="00862A01">
        <w:trPr>
          <w:divId w:val="135073936"/>
          <w:trHeight w:val="227"/>
        </w:trPr>
        <w:tc>
          <w:tcPr>
            <w:tcW w:w="2108" w:type="pct"/>
            <w:tcBorders>
              <w:top w:val="nil"/>
              <w:left w:val="nil"/>
              <w:right w:val="nil"/>
            </w:tcBorders>
            <w:shd w:val="clear" w:color="auto" w:fill="auto"/>
            <w:noWrap/>
            <w:vAlign w:val="bottom"/>
            <w:hideMark/>
          </w:tcPr>
          <w:p w14:paraId="7DB5ACCC" w14:textId="77777777" w:rsidR="00862A01" w:rsidRPr="00872D7E" w:rsidRDefault="00862A01" w:rsidP="00862A01">
            <w:pPr>
              <w:jc w:val="right"/>
              <w:rPr>
                <w:color w:val="000000"/>
                <w:szCs w:val="20"/>
              </w:rPr>
            </w:pPr>
          </w:p>
        </w:tc>
        <w:tc>
          <w:tcPr>
            <w:tcW w:w="728" w:type="pct"/>
            <w:tcBorders>
              <w:top w:val="nil"/>
              <w:left w:val="nil"/>
              <w:right w:val="nil"/>
            </w:tcBorders>
            <w:shd w:val="clear" w:color="auto" w:fill="auto"/>
            <w:noWrap/>
            <w:vAlign w:val="center"/>
            <w:hideMark/>
          </w:tcPr>
          <w:p w14:paraId="3DB31C66" w14:textId="77777777" w:rsidR="00862A01" w:rsidRPr="00872D7E" w:rsidRDefault="00862A01" w:rsidP="00862A01">
            <w:pPr>
              <w:jc w:val="right"/>
              <w:rPr>
                <w:szCs w:val="20"/>
              </w:rPr>
            </w:pPr>
          </w:p>
        </w:tc>
        <w:tc>
          <w:tcPr>
            <w:tcW w:w="604" w:type="pct"/>
            <w:tcBorders>
              <w:top w:val="nil"/>
              <w:left w:val="nil"/>
              <w:right w:val="nil"/>
            </w:tcBorders>
            <w:shd w:val="clear" w:color="auto" w:fill="auto"/>
            <w:noWrap/>
            <w:vAlign w:val="center"/>
            <w:hideMark/>
          </w:tcPr>
          <w:p w14:paraId="1B554C80" w14:textId="77777777" w:rsidR="00862A01" w:rsidRPr="00872D7E" w:rsidRDefault="00862A01" w:rsidP="00862A01">
            <w:pPr>
              <w:jc w:val="right"/>
              <w:rPr>
                <w:szCs w:val="20"/>
              </w:rPr>
            </w:pPr>
          </w:p>
        </w:tc>
        <w:tc>
          <w:tcPr>
            <w:tcW w:w="790" w:type="pct"/>
            <w:tcBorders>
              <w:top w:val="nil"/>
              <w:left w:val="nil"/>
              <w:right w:val="nil"/>
            </w:tcBorders>
            <w:shd w:val="clear" w:color="auto" w:fill="auto"/>
            <w:noWrap/>
            <w:vAlign w:val="center"/>
            <w:hideMark/>
          </w:tcPr>
          <w:p w14:paraId="32647D01" w14:textId="77777777" w:rsidR="00862A01" w:rsidRPr="00872D7E" w:rsidRDefault="00862A01" w:rsidP="00862A01">
            <w:pPr>
              <w:jc w:val="right"/>
              <w:rPr>
                <w:szCs w:val="20"/>
              </w:rPr>
            </w:pPr>
          </w:p>
        </w:tc>
        <w:tc>
          <w:tcPr>
            <w:tcW w:w="770" w:type="pct"/>
            <w:tcBorders>
              <w:top w:val="nil"/>
              <w:left w:val="nil"/>
              <w:right w:val="nil"/>
            </w:tcBorders>
            <w:shd w:val="clear" w:color="auto" w:fill="auto"/>
            <w:noWrap/>
            <w:vAlign w:val="center"/>
            <w:hideMark/>
          </w:tcPr>
          <w:p w14:paraId="541C532C" w14:textId="77777777" w:rsidR="00862A01" w:rsidRPr="00872D7E" w:rsidRDefault="00862A01" w:rsidP="00862A01">
            <w:pPr>
              <w:jc w:val="right"/>
              <w:rPr>
                <w:szCs w:val="20"/>
              </w:rPr>
            </w:pPr>
          </w:p>
        </w:tc>
      </w:tr>
      <w:tr w:rsidR="00862A01" w:rsidRPr="00872D7E" w14:paraId="3EBB4348" w14:textId="77777777" w:rsidTr="00862A01">
        <w:trPr>
          <w:divId w:val="135073936"/>
          <w:trHeight w:val="227"/>
        </w:trPr>
        <w:tc>
          <w:tcPr>
            <w:tcW w:w="2108" w:type="pct"/>
            <w:tcBorders>
              <w:top w:val="nil"/>
              <w:left w:val="nil"/>
              <w:bottom w:val="single" w:sz="12" w:space="0" w:color="auto"/>
              <w:right w:val="nil"/>
            </w:tcBorders>
            <w:shd w:val="clear" w:color="auto" w:fill="auto"/>
            <w:noWrap/>
            <w:vAlign w:val="bottom"/>
            <w:hideMark/>
          </w:tcPr>
          <w:p w14:paraId="36BCEED9" w14:textId="77777777" w:rsidR="00862A01" w:rsidRPr="00872D7E" w:rsidRDefault="00862A01" w:rsidP="00862A01">
            <w:pPr>
              <w:jc w:val="both"/>
              <w:rPr>
                <w:b/>
                <w:bCs/>
                <w:color w:val="000000"/>
                <w:szCs w:val="20"/>
              </w:rPr>
            </w:pPr>
            <w:r w:rsidRPr="00872D7E">
              <w:rPr>
                <w:b/>
                <w:bCs/>
                <w:color w:val="000000"/>
                <w:szCs w:val="20"/>
              </w:rPr>
              <w:t>Toplam</w:t>
            </w:r>
          </w:p>
        </w:tc>
        <w:tc>
          <w:tcPr>
            <w:tcW w:w="728" w:type="pct"/>
            <w:tcBorders>
              <w:top w:val="nil"/>
              <w:left w:val="nil"/>
              <w:bottom w:val="single" w:sz="12" w:space="0" w:color="auto"/>
              <w:right w:val="nil"/>
            </w:tcBorders>
            <w:shd w:val="clear" w:color="auto" w:fill="auto"/>
            <w:noWrap/>
            <w:vAlign w:val="center"/>
            <w:hideMark/>
          </w:tcPr>
          <w:p w14:paraId="0923CE02" w14:textId="77777777" w:rsidR="00862A01" w:rsidRPr="00872D7E" w:rsidRDefault="00862A01" w:rsidP="00862A01">
            <w:pPr>
              <w:jc w:val="right"/>
              <w:rPr>
                <w:b/>
                <w:bCs/>
                <w:color w:val="000000"/>
                <w:szCs w:val="20"/>
              </w:rPr>
            </w:pPr>
            <w:r w:rsidRPr="00872D7E">
              <w:rPr>
                <w:b/>
                <w:bCs/>
                <w:color w:val="000000"/>
                <w:szCs w:val="20"/>
              </w:rPr>
              <w:t>8.303</w:t>
            </w:r>
          </w:p>
        </w:tc>
        <w:tc>
          <w:tcPr>
            <w:tcW w:w="604" w:type="pct"/>
            <w:tcBorders>
              <w:top w:val="nil"/>
              <w:left w:val="nil"/>
              <w:bottom w:val="single" w:sz="12" w:space="0" w:color="auto"/>
              <w:right w:val="nil"/>
            </w:tcBorders>
            <w:shd w:val="clear" w:color="auto" w:fill="auto"/>
            <w:noWrap/>
            <w:vAlign w:val="center"/>
            <w:hideMark/>
          </w:tcPr>
          <w:p w14:paraId="3DA2C7AB" w14:textId="77777777" w:rsidR="00862A01" w:rsidRPr="00872D7E" w:rsidRDefault="00862A01" w:rsidP="00862A01">
            <w:pPr>
              <w:jc w:val="right"/>
              <w:rPr>
                <w:b/>
                <w:bCs/>
                <w:color w:val="000000"/>
                <w:szCs w:val="20"/>
              </w:rPr>
            </w:pPr>
            <w:r w:rsidRPr="00872D7E">
              <w:rPr>
                <w:b/>
                <w:bCs/>
                <w:color w:val="000000"/>
                <w:szCs w:val="20"/>
              </w:rPr>
              <w:t>-</w:t>
            </w:r>
          </w:p>
        </w:tc>
        <w:tc>
          <w:tcPr>
            <w:tcW w:w="790" w:type="pct"/>
            <w:tcBorders>
              <w:top w:val="nil"/>
              <w:left w:val="nil"/>
              <w:bottom w:val="single" w:sz="12" w:space="0" w:color="auto"/>
              <w:right w:val="nil"/>
            </w:tcBorders>
            <w:shd w:val="clear" w:color="auto" w:fill="auto"/>
            <w:noWrap/>
            <w:vAlign w:val="center"/>
            <w:hideMark/>
          </w:tcPr>
          <w:p w14:paraId="28D2B3A7" w14:textId="77777777" w:rsidR="00862A01" w:rsidRPr="00872D7E" w:rsidRDefault="00862A01" w:rsidP="00862A01">
            <w:pPr>
              <w:jc w:val="right"/>
              <w:rPr>
                <w:b/>
                <w:bCs/>
                <w:color w:val="000000"/>
                <w:szCs w:val="20"/>
              </w:rPr>
            </w:pPr>
            <w:r w:rsidRPr="00872D7E">
              <w:rPr>
                <w:b/>
                <w:bCs/>
                <w:color w:val="000000"/>
                <w:szCs w:val="20"/>
              </w:rPr>
              <w:t>-</w:t>
            </w:r>
          </w:p>
        </w:tc>
        <w:tc>
          <w:tcPr>
            <w:tcW w:w="770" w:type="pct"/>
            <w:tcBorders>
              <w:top w:val="nil"/>
              <w:left w:val="nil"/>
              <w:bottom w:val="single" w:sz="12" w:space="0" w:color="auto"/>
              <w:right w:val="nil"/>
            </w:tcBorders>
            <w:shd w:val="clear" w:color="auto" w:fill="auto"/>
            <w:noWrap/>
            <w:vAlign w:val="center"/>
            <w:hideMark/>
          </w:tcPr>
          <w:p w14:paraId="3642E0EA" w14:textId="77777777" w:rsidR="00862A01" w:rsidRPr="00872D7E" w:rsidRDefault="00862A01" w:rsidP="00862A01">
            <w:pPr>
              <w:jc w:val="right"/>
              <w:rPr>
                <w:b/>
                <w:bCs/>
                <w:color w:val="000000"/>
                <w:szCs w:val="20"/>
              </w:rPr>
            </w:pPr>
            <w:r w:rsidRPr="00872D7E">
              <w:rPr>
                <w:b/>
                <w:bCs/>
                <w:color w:val="000000"/>
                <w:szCs w:val="20"/>
              </w:rPr>
              <w:t>-</w:t>
            </w:r>
          </w:p>
        </w:tc>
      </w:tr>
    </w:tbl>
    <w:p w14:paraId="5539B892" w14:textId="74B06567" w:rsidR="00795F5E" w:rsidRPr="00872D7E" w:rsidRDefault="00795F5E" w:rsidP="00640868">
      <w:pPr>
        <w:widowControl w:val="0"/>
        <w:ind w:left="851"/>
        <w:jc w:val="both"/>
        <w:rPr>
          <w:szCs w:val="20"/>
        </w:rPr>
      </w:pPr>
    </w:p>
    <w:p w14:paraId="646039F2" w14:textId="15B05ED1" w:rsidR="00DB0C58" w:rsidRPr="00872D7E" w:rsidRDefault="00DB0C58" w:rsidP="00287A92">
      <w:pPr>
        <w:widowControl w:val="0"/>
        <w:numPr>
          <w:ilvl w:val="0"/>
          <w:numId w:val="7"/>
        </w:numPr>
        <w:tabs>
          <w:tab w:val="clear" w:pos="547"/>
        </w:tabs>
        <w:ind w:left="1276" w:right="329" w:hanging="425"/>
        <w:jc w:val="both"/>
        <w:rPr>
          <w:b/>
          <w:szCs w:val="20"/>
        </w:rPr>
      </w:pPr>
      <w:r w:rsidRPr="00872D7E">
        <w:rPr>
          <w:b/>
          <w:szCs w:val="20"/>
        </w:rPr>
        <w:t xml:space="preserve">Diğer sermaye yedeklerine ilişkin bilgiler: </w:t>
      </w:r>
    </w:p>
    <w:p w14:paraId="0FFC1AB5" w14:textId="77777777" w:rsidR="00795F5E" w:rsidRPr="00872D7E" w:rsidRDefault="00795F5E" w:rsidP="00795F5E">
      <w:pPr>
        <w:widowControl w:val="0"/>
        <w:jc w:val="both"/>
        <w:rPr>
          <w:szCs w:val="20"/>
        </w:rPr>
      </w:pPr>
    </w:p>
    <w:p w14:paraId="3CE34E05" w14:textId="07BBC15C" w:rsidR="00D60BCD" w:rsidRPr="00872D7E" w:rsidRDefault="00CE183A" w:rsidP="009F6E11">
      <w:pPr>
        <w:widowControl w:val="0"/>
        <w:ind w:left="851"/>
        <w:jc w:val="both"/>
        <w:rPr>
          <w:szCs w:val="20"/>
        </w:rPr>
      </w:pPr>
      <w:r w:rsidRPr="00872D7E">
        <w:rPr>
          <w:szCs w:val="20"/>
        </w:rPr>
        <w:t>Bulunmamaktadır.</w:t>
      </w:r>
    </w:p>
    <w:p w14:paraId="48F590E8" w14:textId="77777777" w:rsidR="00D60BCD" w:rsidRPr="00872D7E" w:rsidRDefault="00D60BCD">
      <w:pPr>
        <w:rPr>
          <w:szCs w:val="20"/>
        </w:rPr>
      </w:pPr>
      <w:r w:rsidRPr="00872D7E">
        <w:rPr>
          <w:szCs w:val="20"/>
        </w:rPr>
        <w:br w:type="page"/>
      </w:r>
    </w:p>
    <w:p w14:paraId="7F049EFD" w14:textId="15E56D84" w:rsidR="00136C29" w:rsidRPr="00872D7E" w:rsidRDefault="001D6A38" w:rsidP="009F6E11">
      <w:pPr>
        <w:widowControl w:val="0"/>
        <w:spacing w:line="228" w:lineRule="auto"/>
        <w:ind w:left="851" w:hanging="851"/>
        <w:jc w:val="both"/>
        <w:rPr>
          <w:b/>
          <w:szCs w:val="20"/>
        </w:rPr>
      </w:pPr>
      <w:r w:rsidRPr="00872D7E">
        <w:rPr>
          <w:b/>
          <w:szCs w:val="20"/>
        </w:rPr>
        <w:lastRenderedPageBreak/>
        <w:t xml:space="preserve">III. </w:t>
      </w:r>
      <w:r w:rsidRPr="00872D7E">
        <w:rPr>
          <w:b/>
          <w:szCs w:val="20"/>
        </w:rPr>
        <w:tab/>
        <w:t>NAZIM HESAPLARA İLİŞKİN AÇIKLAMA VE DİPNOTLAR</w:t>
      </w:r>
    </w:p>
    <w:p w14:paraId="43AE6EF9" w14:textId="77777777" w:rsidR="00392FA9" w:rsidRPr="00872D7E" w:rsidRDefault="00392FA9" w:rsidP="00CD770B">
      <w:pPr>
        <w:widowControl w:val="0"/>
        <w:spacing w:line="228" w:lineRule="auto"/>
        <w:ind w:left="-14" w:hanging="504"/>
        <w:jc w:val="both"/>
        <w:rPr>
          <w:b/>
          <w:szCs w:val="20"/>
        </w:rPr>
      </w:pPr>
    </w:p>
    <w:p w14:paraId="6F544F5C" w14:textId="72EA6E94" w:rsidR="00136C29" w:rsidRPr="00872D7E" w:rsidRDefault="00136C29" w:rsidP="00212E4A">
      <w:pPr>
        <w:pStyle w:val="ListParagraph"/>
        <w:widowControl w:val="0"/>
        <w:numPr>
          <w:ilvl w:val="0"/>
          <w:numId w:val="38"/>
        </w:numPr>
        <w:spacing w:line="228" w:lineRule="auto"/>
        <w:ind w:left="851" w:hanging="851"/>
        <w:jc w:val="both"/>
        <w:rPr>
          <w:b/>
          <w:szCs w:val="20"/>
        </w:rPr>
      </w:pPr>
      <w:r w:rsidRPr="00872D7E">
        <w:rPr>
          <w:b/>
          <w:szCs w:val="20"/>
        </w:rPr>
        <w:t>Nazım hesaplarda yer alan yükümlülüklere ilişkin açıklam</w:t>
      </w:r>
      <w:r w:rsidR="00D776E6" w:rsidRPr="00872D7E">
        <w:rPr>
          <w:b/>
          <w:szCs w:val="20"/>
        </w:rPr>
        <w:t>a</w:t>
      </w:r>
      <w:r w:rsidR="00E925B4" w:rsidRPr="00872D7E">
        <w:rPr>
          <w:b/>
          <w:szCs w:val="20"/>
        </w:rPr>
        <w:t>:</w:t>
      </w:r>
    </w:p>
    <w:p w14:paraId="6A702406" w14:textId="77777777" w:rsidR="00392FA9" w:rsidRPr="00872D7E" w:rsidRDefault="00392FA9" w:rsidP="00CD770B">
      <w:pPr>
        <w:widowControl w:val="0"/>
        <w:spacing w:line="228" w:lineRule="auto"/>
        <w:ind w:left="-14" w:hanging="518"/>
        <w:jc w:val="both"/>
        <w:rPr>
          <w:b/>
          <w:szCs w:val="20"/>
        </w:rPr>
      </w:pPr>
    </w:p>
    <w:p w14:paraId="10757B94" w14:textId="0D1AD6EA" w:rsidR="00136C29" w:rsidRPr="00872D7E" w:rsidRDefault="00136C29" w:rsidP="00212E4A">
      <w:pPr>
        <w:pStyle w:val="ListParagraph"/>
        <w:widowControl w:val="0"/>
        <w:numPr>
          <w:ilvl w:val="2"/>
          <w:numId w:val="24"/>
        </w:numPr>
        <w:spacing w:line="228" w:lineRule="auto"/>
        <w:ind w:left="1276" w:hanging="425"/>
        <w:jc w:val="both"/>
        <w:rPr>
          <w:b/>
          <w:szCs w:val="20"/>
        </w:rPr>
      </w:pPr>
      <w:r w:rsidRPr="00872D7E">
        <w:rPr>
          <w:b/>
          <w:szCs w:val="20"/>
        </w:rPr>
        <w:t>Gayri kabili rücu nitelikteki kredi taahhütlerinin türü ve miktarı:</w:t>
      </w:r>
    </w:p>
    <w:p w14:paraId="15426B1C" w14:textId="3D22A212" w:rsidR="00862A01" w:rsidRPr="00872D7E" w:rsidRDefault="00862A01" w:rsidP="00CD770B">
      <w:pPr>
        <w:widowControl w:val="0"/>
        <w:spacing w:line="228" w:lineRule="auto"/>
        <w:ind w:left="-14" w:hanging="504"/>
        <w:jc w:val="both"/>
        <w:rPr>
          <w:szCs w:val="20"/>
        </w:rPr>
      </w:pPr>
    </w:p>
    <w:tbl>
      <w:tblPr>
        <w:tblW w:w="5000" w:type="pct"/>
        <w:tblCellMar>
          <w:left w:w="70" w:type="dxa"/>
          <w:right w:w="70" w:type="dxa"/>
        </w:tblCellMar>
        <w:tblLook w:val="04A0" w:firstRow="1" w:lastRow="0" w:firstColumn="1" w:lastColumn="0" w:noHBand="0" w:noVBand="1"/>
      </w:tblPr>
      <w:tblGrid>
        <w:gridCol w:w="6061"/>
        <w:gridCol w:w="1646"/>
        <w:gridCol w:w="1648"/>
      </w:tblGrid>
      <w:tr w:rsidR="00862A01" w:rsidRPr="00872D7E" w14:paraId="2B001545" w14:textId="77777777" w:rsidTr="00683052">
        <w:trPr>
          <w:divId w:val="327681620"/>
          <w:trHeight w:val="227"/>
        </w:trPr>
        <w:tc>
          <w:tcPr>
            <w:tcW w:w="3239" w:type="pct"/>
            <w:tcBorders>
              <w:top w:val="nil"/>
              <w:left w:val="nil"/>
              <w:right w:val="nil"/>
            </w:tcBorders>
            <w:shd w:val="clear" w:color="auto" w:fill="auto"/>
            <w:noWrap/>
            <w:vAlign w:val="bottom"/>
            <w:hideMark/>
          </w:tcPr>
          <w:p w14:paraId="614133A6" w14:textId="70695DDA" w:rsidR="00862A01" w:rsidRPr="00872D7E" w:rsidRDefault="00862A01" w:rsidP="00862A01"/>
        </w:tc>
        <w:tc>
          <w:tcPr>
            <w:tcW w:w="880" w:type="pct"/>
            <w:tcBorders>
              <w:top w:val="nil"/>
              <w:left w:val="nil"/>
              <w:right w:val="nil"/>
            </w:tcBorders>
            <w:shd w:val="clear" w:color="auto" w:fill="auto"/>
            <w:noWrap/>
            <w:vAlign w:val="bottom"/>
            <w:hideMark/>
          </w:tcPr>
          <w:p w14:paraId="1D67627D" w14:textId="77777777" w:rsidR="00862A01" w:rsidRPr="00872D7E" w:rsidRDefault="00862A01" w:rsidP="00683052">
            <w:pPr>
              <w:jc w:val="right"/>
              <w:rPr>
                <w:b/>
                <w:bCs/>
                <w:color w:val="000000"/>
                <w:szCs w:val="20"/>
              </w:rPr>
            </w:pPr>
            <w:r w:rsidRPr="00872D7E">
              <w:rPr>
                <w:b/>
                <w:bCs/>
                <w:color w:val="000000"/>
                <w:szCs w:val="20"/>
              </w:rPr>
              <w:t>31 Aralık 2024</w:t>
            </w:r>
          </w:p>
        </w:tc>
        <w:tc>
          <w:tcPr>
            <w:tcW w:w="881" w:type="pct"/>
            <w:tcBorders>
              <w:top w:val="nil"/>
              <w:left w:val="nil"/>
              <w:right w:val="nil"/>
            </w:tcBorders>
            <w:shd w:val="clear" w:color="auto" w:fill="auto"/>
            <w:noWrap/>
            <w:vAlign w:val="bottom"/>
            <w:hideMark/>
          </w:tcPr>
          <w:p w14:paraId="223A2091" w14:textId="77777777" w:rsidR="00862A01" w:rsidRPr="00872D7E" w:rsidRDefault="00862A01" w:rsidP="00683052">
            <w:pPr>
              <w:jc w:val="right"/>
              <w:rPr>
                <w:b/>
                <w:bCs/>
                <w:color w:val="000000"/>
                <w:szCs w:val="20"/>
              </w:rPr>
            </w:pPr>
            <w:r w:rsidRPr="00872D7E">
              <w:rPr>
                <w:b/>
                <w:bCs/>
                <w:color w:val="000000"/>
                <w:szCs w:val="20"/>
              </w:rPr>
              <w:t>1 Ocak 2024</w:t>
            </w:r>
          </w:p>
        </w:tc>
      </w:tr>
      <w:tr w:rsidR="00862A01" w:rsidRPr="00872D7E" w14:paraId="37217998" w14:textId="77777777" w:rsidTr="00683052">
        <w:trPr>
          <w:divId w:val="327681620"/>
          <w:trHeight w:val="227"/>
        </w:trPr>
        <w:tc>
          <w:tcPr>
            <w:tcW w:w="3239" w:type="pct"/>
            <w:tcBorders>
              <w:left w:val="nil"/>
              <w:bottom w:val="nil"/>
              <w:right w:val="nil"/>
            </w:tcBorders>
            <w:shd w:val="clear" w:color="auto" w:fill="auto"/>
            <w:noWrap/>
            <w:vAlign w:val="bottom"/>
            <w:hideMark/>
          </w:tcPr>
          <w:p w14:paraId="3D3CD38E" w14:textId="77777777" w:rsidR="00862A01" w:rsidRPr="00872D7E" w:rsidRDefault="00862A01" w:rsidP="00862A01">
            <w:pPr>
              <w:jc w:val="center"/>
              <w:rPr>
                <w:b/>
                <w:bCs/>
                <w:color w:val="000000"/>
                <w:szCs w:val="20"/>
              </w:rPr>
            </w:pPr>
          </w:p>
        </w:tc>
        <w:tc>
          <w:tcPr>
            <w:tcW w:w="880" w:type="pct"/>
            <w:tcBorders>
              <w:left w:val="nil"/>
              <w:bottom w:val="nil"/>
              <w:right w:val="nil"/>
            </w:tcBorders>
            <w:shd w:val="clear" w:color="auto" w:fill="auto"/>
            <w:noWrap/>
            <w:vAlign w:val="bottom"/>
            <w:hideMark/>
          </w:tcPr>
          <w:p w14:paraId="618CC01B" w14:textId="77777777" w:rsidR="00862A01" w:rsidRPr="00872D7E" w:rsidRDefault="00862A01" w:rsidP="00683052">
            <w:pPr>
              <w:jc w:val="right"/>
              <w:rPr>
                <w:szCs w:val="20"/>
              </w:rPr>
            </w:pPr>
          </w:p>
        </w:tc>
        <w:tc>
          <w:tcPr>
            <w:tcW w:w="881" w:type="pct"/>
            <w:tcBorders>
              <w:left w:val="nil"/>
              <w:bottom w:val="nil"/>
              <w:right w:val="nil"/>
            </w:tcBorders>
            <w:shd w:val="clear" w:color="auto" w:fill="auto"/>
            <w:noWrap/>
            <w:vAlign w:val="bottom"/>
            <w:hideMark/>
          </w:tcPr>
          <w:p w14:paraId="6FB2BD9F" w14:textId="77777777" w:rsidR="00862A01" w:rsidRPr="00872D7E" w:rsidRDefault="00862A01" w:rsidP="00683052">
            <w:pPr>
              <w:jc w:val="right"/>
              <w:rPr>
                <w:szCs w:val="20"/>
              </w:rPr>
            </w:pPr>
          </w:p>
        </w:tc>
      </w:tr>
      <w:tr w:rsidR="00862A01" w:rsidRPr="00872D7E" w14:paraId="3AA57A27" w14:textId="77777777" w:rsidTr="00683052">
        <w:trPr>
          <w:divId w:val="327681620"/>
          <w:trHeight w:val="227"/>
        </w:trPr>
        <w:tc>
          <w:tcPr>
            <w:tcW w:w="3239" w:type="pct"/>
            <w:tcBorders>
              <w:top w:val="nil"/>
              <w:left w:val="nil"/>
              <w:bottom w:val="nil"/>
              <w:right w:val="nil"/>
            </w:tcBorders>
            <w:shd w:val="clear" w:color="auto" w:fill="auto"/>
            <w:noWrap/>
            <w:vAlign w:val="center"/>
            <w:hideMark/>
          </w:tcPr>
          <w:p w14:paraId="1A428760" w14:textId="77777777" w:rsidR="00862A01" w:rsidRPr="00872D7E" w:rsidRDefault="00862A01" w:rsidP="00862A01">
            <w:pPr>
              <w:rPr>
                <w:color w:val="000000"/>
                <w:szCs w:val="20"/>
              </w:rPr>
            </w:pPr>
            <w:r w:rsidRPr="00872D7E">
              <w:rPr>
                <w:color w:val="000000"/>
                <w:szCs w:val="20"/>
              </w:rPr>
              <w:t>Kredi Kartları Harcama Limiti Taahhütleri</w:t>
            </w:r>
          </w:p>
        </w:tc>
        <w:tc>
          <w:tcPr>
            <w:tcW w:w="880" w:type="pct"/>
            <w:tcBorders>
              <w:top w:val="nil"/>
              <w:left w:val="nil"/>
              <w:bottom w:val="nil"/>
              <w:right w:val="nil"/>
            </w:tcBorders>
            <w:shd w:val="clear" w:color="auto" w:fill="auto"/>
            <w:noWrap/>
            <w:vAlign w:val="bottom"/>
            <w:hideMark/>
          </w:tcPr>
          <w:p w14:paraId="05502879" w14:textId="77777777" w:rsidR="00862A01" w:rsidRPr="00872D7E" w:rsidRDefault="00862A01" w:rsidP="00683052">
            <w:pPr>
              <w:jc w:val="right"/>
              <w:rPr>
                <w:color w:val="000000"/>
                <w:szCs w:val="20"/>
              </w:rPr>
            </w:pPr>
            <w:r w:rsidRPr="00872D7E">
              <w:rPr>
                <w:color w:val="000000"/>
                <w:szCs w:val="20"/>
              </w:rPr>
              <w:t>-</w:t>
            </w:r>
          </w:p>
        </w:tc>
        <w:tc>
          <w:tcPr>
            <w:tcW w:w="881" w:type="pct"/>
            <w:tcBorders>
              <w:top w:val="nil"/>
              <w:left w:val="nil"/>
              <w:bottom w:val="nil"/>
              <w:right w:val="nil"/>
            </w:tcBorders>
            <w:shd w:val="clear" w:color="auto" w:fill="auto"/>
            <w:noWrap/>
            <w:vAlign w:val="bottom"/>
            <w:hideMark/>
          </w:tcPr>
          <w:p w14:paraId="6F2D5F14" w14:textId="77777777" w:rsidR="00862A01" w:rsidRPr="00872D7E" w:rsidRDefault="00862A01" w:rsidP="00683052">
            <w:pPr>
              <w:jc w:val="right"/>
              <w:rPr>
                <w:color w:val="000000"/>
                <w:szCs w:val="20"/>
              </w:rPr>
            </w:pPr>
            <w:r w:rsidRPr="00872D7E">
              <w:rPr>
                <w:color w:val="000000"/>
                <w:szCs w:val="20"/>
              </w:rPr>
              <w:t>-</w:t>
            </w:r>
          </w:p>
        </w:tc>
      </w:tr>
      <w:tr w:rsidR="00862A01" w:rsidRPr="00872D7E" w14:paraId="043A7887" w14:textId="77777777" w:rsidTr="00683052">
        <w:trPr>
          <w:divId w:val="327681620"/>
          <w:trHeight w:val="227"/>
        </w:trPr>
        <w:tc>
          <w:tcPr>
            <w:tcW w:w="3239" w:type="pct"/>
            <w:tcBorders>
              <w:top w:val="nil"/>
              <w:left w:val="nil"/>
              <w:bottom w:val="nil"/>
              <w:right w:val="nil"/>
            </w:tcBorders>
            <w:shd w:val="clear" w:color="auto" w:fill="auto"/>
            <w:noWrap/>
            <w:vAlign w:val="center"/>
            <w:hideMark/>
          </w:tcPr>
          <w:p w14:paraId="794BF59E" w14:textId="77777777" w:rsidR="00862A01" w:rsidRPr="00872D7E" w:rsidRDefault="00862A01" w:rsidP="00862A01">
            <w:pPr>
              <w:rPr>
                <w:color w:val="000000"/>
                <w:szCs w:val="20"/>
              </w:rPr>
            </w:pPr>
            <w:r w:rsidRPr="00872D7E">
              <w:rPr>
                <w:color w:val="000000"/>
                <w:szCs w:val="20"/>
              </w:rPr>
              <w:t>Çekler İçin Ödeme Taahhütleri</w:t>
            </w:r>
          </w:p>
        </w:tc>
        <w:tc>
          <w:tcPr>
            <w:tcW w:w="880" w:type="pct"/>
            <w:tcBorders>
              <w:top w:val="nil"/>
              <w:left w:val="nil"/>
              <w:bottom w:val="nil"/>
              <w:right w:val="nil"/>
            </w:tcBorders>
            <w:shd w:val="clear" w:color="auto" w:fill="auto"/>
            <w:noWrap/>
            <w:vAlign w:val="bottom"/>
            <w:hideMark/>
          </w:tcPr>
          <w:p w14:paraId="721AAB3A" w14:textId="77777777" w:rsidR="00862A01" w:rsidRPr="00872D7E" w:rsidRDefault="00862A01" w:rsidP="00683052">
            <w:pPr>
              <w:jc w:val="right"/>
              <w:rPr>
                <w:color w:val="000000"/>
                <w:szCs w:val="20"/>
              </w:rPr>
            </w:pPr>
            <w:r w:rsidRPr="00872D7E">
              <w:rPr>
                <w:color w:val="000000"/>
                <w:szCs w:val="20"/>
              </w:rPr>
              <w:t>-</w:t>
            </w:r>
          </w:p>
        </w:tc>
        <w:tc>
          <w:tcPr>
            <w:tcW w:w="881" w:type="pct"/>
            <w:tcBorders>
              <w:top w:val="nil"/>
              <w:left w:val="nil"/>
              <w:bottom w:val="nil"/>
              <w:right w:val="nil"/>
            </w:tcBorders>
            <w:shd w:val="clear" w:color="auto" w:fill="auto"/>
            <w:noWrap/>
            <w:vAlign w:val="bottom"/>
            <w:hideMark/>
          </w:tcPr>
          <w:p w14:paraId="0427C197" w14:textId="77777777" w:rsidR="00862A01" w:rsidRPr="00872D7E" w:rsidRDefault="00862A01" w:rsidP="00683052">
            <w:pPr>
              <w:jc w:val="right"/>
              <w:rPr>
                <w:color w:val="000000"/>
                <w:szCs w:val="20"/>
              </w:rPr>
            </w:pPr>
            <w:r w:rsidRPr="00872D7E">
              <w:rPr>
                <w:color w:val="000000"/>
                <w:szCs w:val="20"/>
              </w:rPr>
              <w:t>-</w:t>
            </w:r>
          </w:p>
        </w:tc>
      </w:tr>
      <w:tr w:rsidR="00862A01" w:rsidRPr="00872D7E" w14:paraId="6114CB84" w14:textId="77777777" w:rsidTr="00683052">
        <w:trPr>
          <w:divId w:val="327681620"/>
          <w:trHeight w:val="227"/>
        </w:trPr>
        <w:tc>
          <w:tcPr>
            <w:tcW w:w="3239" w:type="pct"/>
            <w:tcBorders>
              <w:top w:val="nil"/>
              <w:left w:val="nil"/>
              <w:bottom w:val="nil"/>
              <w:right w:val="nil"/>
            </w:tcBorders>
            <w:shd w:val="clear" w:color="auto" w:fill="auto"/>
            <w:noWrap/>
            <w:vAlign w:val="center"/>
            <w:hideMark/>
          </w:tcPr>
          <w:p w14:paraId="522E8F22" w14:textId="77777777" w:rsidR="00862A01" w:rsidRPr="00872D7E" w:rsidRDefault="00862A01" w:rsidP="00862A01">
            <w:pPr>
              <w:rPr>
                <w:color w:val="000000"/>
                <w:szCs w:val="20"/>
              </w:rPr>
            </w:pPr>
            <w:r w:rsidRPr="00872D7E">
              <w:rPr>
                <w:color w:val="000000"/>
                <w:szCs w:val="20"/>
              </w:rPr>
              <w:t>Vadeli Aktif Değerler Alım Satım Taahhütleri</w:t>
            </w:r>
          </w:p>
        </w:tc>
        <w:tc>
          <w:tcPr>
            <w:tcW w:w="880" w:type="pct"/>
            <w:tcBorders>
              <w:top w:val="nil"/>
              <w:left w:val="nil"/>
              <w:bottom w:val="nil"/>
              <w:right w:val="nil"/>
            </w:tcBorders>
            <w:shd w:val="clear" w:color="auto" w:fill="auto"/>
            <w:noWrap/>
            <w:vAlign w:val="bottom"/>
            <w:hideMark/>
          </w:tcPr>
          <w:p w14:paraId="5F35FF1D" w14:textId="77777777" w:rsidR="00862A01" w:rsidRPr="00872D7E" w:rsidRDefault="00862A01" w:rsidP="00683052">
            <w:pPr>
              <w:jc w:val="right"/>
              <w:rPr>
                <w:color w:val="000000"/>
                <w:szCs w:val="20"/>
              </w:rPr>
            </w:pPr>
            <w:r w:rsidRPr="00872D7E">
              <w:rPr>
                <w:color w:val="000000"/>
                <w:szCs w:val="20"/>
              </w:rPr>
              <w:t>11.939.283</w:t>
            </w:r>
          </w:p>
        </w:tc>
        <w:tc>
          <w:tcPr>
            <w:tcW w:w="881" w:type="pct"/>
            <w:tcBorders>
              <w:top w:val="nil"/>
              <w:left w:val="nil"/>
              <w:bottom w:val="nil"/>
              <w:right w:val="nil"/>
            </w:tcBorders>
            <w:shd w:val="clear" w:color="auto" w:fill="auto"/>
            <w:noWrap/>
            <w:vAlign w:val="bottom"/>
            <w:hideMark/>
          </w:tcPr>
          <w:p w14:paraId="3588EDBA" w14:textId="77777777" w:rsidR="00862A01" w:rsidRPr="00872D7E" w:rsidRDefault="00862A01" w:rsidP="00683052">
            <w:pPr>
              <w:jc w:val="right"/>
              <w:rPr>
                <w:color w:val="000000"/>
                <w:szCs w:val="20"/>
              </w:rPr>
            </w:pPr>
            <w:r w:rsidRPr="00872D7E">
              <w:rPr>
                <w:color w:val="000000"/>
                <w:szCs w:val="20"/>
              </w:rPr>
              <w:t>-</w:t>
            </w:r>
          </w:p>
        </w:tc>
      </w:tr>
      <w:tr w:rsidR="00862A01" w:rsidRPr="00872D7E" w14:paraId="3AD1CF58" w14:textId="77777777" w:rsidTr="00683052">
        <w:trPr>
          <w:divId w:val="327681620"/>
          <w:trHeight w:val="227"/>
        </w:trPr>
        <w:tc>
          <w:tcPr>
            <w:tcW w:w="3239" w:type="pct"/>
            <w:tcBorders>
              <w:top w:val="nil"/>
              <w:left w:val="nil"/>
              <w:bottom w:val="nil"/>
              <w:right w:val="nil"/>
            </w:tcBorders>
            <w:shd w:val="clear" w:color="auto" w:fill="auto"/>
            <w:noWrap/>
            <w:vAlign w:val="center"/>
            <w:hideMark/>
          </w:tcPr>
          <w:p w14:paraId="75D063B6" w14:textId="77777777" w:rsidR="00862A01" w:rsidRPr="00872D7E" w:rsidRDefault="00862A01" w:rsidP="00862A01">
            <w:pPr>
              <w:rPr>
                <w:color w:val="000000"/>
                <w:szCs w:val="20"/>
              </w:rPr>
            </w:pPr>
            <w:r w:rsidRPr="00872D7E">
              <w:rPr>
                <w:color w:val="000000"/>
                <w:szCs w:val="20"/>
              </w:rPr>
              <w:t>Kullandırma Garantili Kredi Tahsis Taahhütleri</w:t>
            </w:r>
          </w:p>
        </w:tc>
        <w:tc>
          <w:tcPr>
            <w:tcW w:w="880" w:type="pct"/>
            <w:tcBorders>
              <w:top w:val="nil"/>
              <w:left w:val="nil"/>
              <w:bottom w:val="nil"/>
              <w:right w:val="nil"/>
            </w:tcBorders>
            <w:shd w:val="clear" w:color="auto" w:fill="auto"/>
            <w:noWrap/>
            <w:vAlign w:val="bottom"/>
            <w:hideMark/>
          </w:tcPr>
          <w:p w14:paraId="568E3860" w14:textId="77777777" w:rsidR="00862A01" w:rsidRPr="00872D7E" w:rsidRDefault="00862A01" w:rsidP="00683052">
            <w:pPr>
              <w:jc w:val="right"/>
              <w:rPr>
                <w:color w:val="000000"/>
                <w:szCs w:val="20"/>
              </w:rPr>
            </w:pPr>
            <w:r w:rsidRPr="00872D7E">
              <w:rPr>
                <w:color w:val="000000"/>
                <w:szCs w:val="20"/>
              </w:rPr>
              <w:t>-</w:t>
            </w:r>
          </w:p>
        </w:tc>
        <w:tc>
          <w:tcPr>
            <w:tcW w:w="881" w:type="pct"/>
            <w:tcBorders>
              <w:top w:val="nil"/>
              <w:left w:val="nil"/>
              <w:bottom w:val="nil"/>
              <w:right w:val="nil"/>
            </w:tcBorders>
            <w:shd w:val="clear" w:color="auto" w:fill="auto"/>
            <w:noWrap/>
            <w:vAlign w:val="bottom"/>
            <w:hideMark/>
          </w:tcPr>
          <w:p w14:paraId="29158D13" w14:textId="77777777" w:rsidR="00862A01" w:rsidRPr="00872D7E" w:rsidRDefault="00862A01" w:rsidP="00683052">
            <w:pPr>
              <w:jc w:val="right"/>
              <w:rPr>
                <w:color w:val="000000"/>
                <w:szCs w:val="20"/>
              </w:rPr>
            </w:pPr>
            <w:r w:rsidRPr="00872D7E">
              <w:rPr>
                <w:color w:val="000000"/>
                <w:szCs w:val="20"/>
              </w:rPr>
              <w:t>-</w:t>
            </w:r>
          </w:p>
        </w:tc>
      </w:tr>
      <w:tr w:rsidR="00862A01" w:rsidRPr="00872D7E" w14:paraId="72305DF7" w14:textId="77777777" w:rsidTr="00683052">
        <w:trPr>
          <w:divId w:val="327681620"/>
          <w:trHeight w:val="227"/>
        </w:trPr>
        <w:tc>
          <w:tcPr>
            <w:tcW w:w="3239" w:type="pct"/>
            <w:tcBorders>
              <w:top w:val="nil"/>
              <w:left w:val="nil"/>
              <w:bottom w:val="nil"/>
              <w:right w:val="nil"/>
            </w:tcBorders>
            <w:shd w:val="clear" w:color="auto" w:fill="auto"/>
            <w:noWrap/>
            <w:vAlign w:val="center"/>
            <w:hideMark/>
          </w:tcPr>
          <w:p w14:paraId="1E0C3AB6" w14:textId="77777777" w:rsidR="00862A01" w:rsidRPr="00872D7E" w:rsidRDefault="00862A01" w:rsidP="00862A01">
            <w:pPr>
              <w:rPr>
                <w:color w:val="000000"/>
                <w:szCs w:val="20"/>
              </w:rPr>
            </w:pPr>
            <w:r w:rsidRPr="00872D7E">
              <w:rPr>
                <w:color w:val="000000"/>
                <w:szCs w:val="20"/>
              </w:rPr>
              <w:t>İhracat Taahhütlerinden Kaynaklanan Vergi ve Fon Yükümlülükleri</w:t>
            </w:r>
          </w:p>
        </w:tc>
        <w:tc>
          <w:tcPr>
            <w:tcW w:w="880" w:type="pct"/>
            <w:tcBorders>
              <w:top w:val="nil"/>
              <w:left w:val="nil"/>
              <w:bottom w:val="nil"/>
              <w:right w:val="nil"/>
            </w:tcBorders>
            <w:shd w:val="clear" w:color="auto" w:fill="auto"/>
            <w:noWrap/>
            <w:vAlign w:val="bottom"/>
            <w:hideMark/>
          </w:tcPr>
          <w:p w14:paraId="5635267E" w14:textId="77777777" w:rsidR="00862A01" w:rsidRPr="00872D7E" w:rsidRDefault="00862A01" w:rsidP="00683052">
            <w:pPr>
              <w:jc w:val="right"/>
              <w:rPr>
                <w:color w:val="000000"/>
                <w:szCs w:val="20"/>
              </w:rPr>
            </w:pPr>
            <w:r w:rsidRPr="00872D7E">
              <w:rPr>
                <w:color w:val="000000"/>
                <w:szCs w:val="20"/>
              </w:rPr>
              <w:t>-</w:t>
            </w:r>
          </w:p>
        </w:tc>
        <w:tc>
          <w:tcPr>
            <w:tcW w:w="881" w:type="pct"/>
            <w:tcBorders>
              <w:top w:val="nil"/>
              <w:left w:val="nil"/>
              <w:bottom w:val="nil"/>
              <w:right w:val="nil"/>
            </w:tcBorders>
            <w:shd w:val="clear" w:color="auto" w:fill="auto"/>
            <w:noWrap/>
            <w:vAlign w:val="bottom"/>
            <w:hideMark/>
          </w:tcPr>
          <w:p w14:paraId="50128976" w14:textId="77777777" w:rsidR="00862A01" w:rsidRPr="00872D7E" w:rsidRDefault="00862A01" w:rsidP="00683052">
            <w:pPr>
              <w:jc w:val="right"/>
              <w:rPr>
                <w:color w:val="000000"/>
                <w:szCs w:val="20"/>
              </w:rPr>
            </w:pPr>
            <w:r w:rsidRPr="00872D7E">
              <w:rPr>
                <w:color w:val="000000"/>
                <w:szCs w:val="20"/>
              </w:rPr>
              <w:t>-</w:t>
            </w:r>
          </w:p>
        </w:tc>
      </w:tr>
      <w:tr w:rsidR="00862A01" w:rsidRPr="00872D7E" w14:paraId="5EC48B6E" w14:textId="77777777" w:rsidTr="00683052">
        <w:trPr>
          <w:divId w:val="327681620"/>
          <w:trHeight w:val="227"/>
        </w:trPr>
        <w:tc>
          <w:tcPr>
            <w:tcW w:w="3239" w:type="pct"/>
            <w:tcBorders>
              <w:top w:val="nil"/>
              <w:left w:val="nil"/>
              <w:bottom w:val="nil"/>
              <w:right w:val="nil"/>
            </w:tcBorders>
            <w:shd w:val="clear" w:color="auto" w:fill="auto"/>
            <w:noWrap/>
            <w:vAlign w:val="center"/>
            <w:hideMark/>
          </w:tcPr>
          <w:p w14:paraId="4491AE5D" w14:textId="77777777" w:rsidR="00862A01" w:rsidRPr="00872D7E" w:rsidRDefault="00862A01" w:rsidP="00862A01">
            <w:pPr>
              <w:rPr>
                <w:color w:val="000000"/>
                <w:szCs w:val="20"/>
              </w:rPr>
            </w:pPr>
            <w:r w:rsidRPr="00872D7E">
              <w:rPr>
                <w:color w:val="000000"/>
                <w:szCs w:val="20"/>
              </w:rPr>
              <w:t xml:space="preserve">Kredi Kartı ve Bankacılık </w:t>
            </w:r>
            <w:proofErr w:type="spellStart"/>
            <w:r w:rsidRPr="00872D7E">
              <w:rPr>
                <w:color w:val="000000"/>
                <w:szCs w:val="20"/>
              </w:rPr>
              <w:t>Hizm</w:t>
            </w:r>
            <w:proofErr w:type="spellEnd"/>
            <w:r w:rsidRPr="00872D7E">
              <w:rPr>
                <w:color w:val="000000"/>
                <w:szCs w:val="20"/>
              </w:rPr>
              <w:t xml:space="preserve">. İlişkin Promosyon </w:t>
            </w:r>
            <w:proofErr w:type="spellStart"/>
            <w:r w:rsidRPr="00872D7E">
              <w:rPr>
                <w:color w:val="000000"/>
                <w:szCs w:val="20"/>
              </w:rPr>
              <w:t>Uyg</w:t>
            </w:r>
            <w:proofErr w:type="spellEnd"/>
            <w:r w:rsidRPr="00872D7E">
              <w:rPr>
                <w:color w:val="000000"/>
                <w:szCs w:val="20"/>
              </w:rPr>
              <w:t xml:space="preserve">. </w:t>
            </w:r>
            <w:proofErr w:type="spellStart"/>
            <w:r w:rsidRPr="00872D7E">
              <w:rPr>
                <w:color w:val="000000"/>
                <w:szCs w:val="20"/>
              </w:rPr>
              <w:t>Taah</w:t>
            </w:r>
            <w:proofErr w:type="spellEnd"/>
            <w:r w:rsidRPr="00872D7E">
              <w:rPr>
                <w:color w:val="000000"/>
                <w:szCs w:val="20"/>
              </w:rPr>
              <w:t xml:space="preserve">. </w:t>
            </w:r>
          </w:p>
        </w:tc>
        <w:tc>
          <w:tcPr>
            <w:tcW w:w="880" w:type="pct"/>
            <w:tcBorders>
              <w:top w:val="nil"/>
              <w:left w:val="nil"/>
              <w:bottom w:val="nil"/>
              <w:right w:val="nil"/>
            </w:tcBorders>
            <w:shd w:val="clear" w:color="auto" w:fill="auto"/>
            <w:noWrap/>
            <w:vAlign w:val="bottom"/>
            <w:hideMark/>
          </w:tcPr>
          <w:p w14:paraId="23DAF357" w14:textId="77777777" w:rsidR="00862A01" w:rsidRPr="00872D7E" w:rsidRDefault="00862A01" w:rsidP="00683052">
            <w:pPr>
              <w:jc w:val="right"/>
              <w:rPr>
                <w:color w:val="000000"/>
                <w:szCs w:val="20"/>
              </w:rPr>
            </w:pPr>
            <w:r w:rsidRPr="00872D7E">
              <w:rPr>
                <w:color w:val="000000"/>
                <w:szCs w:val="20"/>
              </w:rPr>
              <w:t>-</w:t>
            </w:r>
          </w:p>
        </w:tc>
        <w:tc>
          <w:tcPr>
            <w:tcW w:w="881" w:type="pct"/>
            <w:tcBorders>
              <w:top w:val="nil"/>
              <w:left w:val="nil"/>
              <w:bottom w:val="nil"/>
              <w:right w:val="nil"/>
            </w:tcBorders>
            <w:shd w:val="clear" w:color="auto" w:fill="auto"/>
            <w:noWrap/>
            <w:vAlign w:val="bottom"/>
            <w:hideMark/>
          </w:tcPr>
          <w:p w14:paraId="21B60402" w14:textId="77777777" w:rsidR="00862A01" w:rsidRPr="00872D7E" w:rsidRDefault="00862A01" w:rsidP="00683052">
            <w:pPr>
              <w:jc w:val="right"/>
              <w:rPr>
                <w:color w:val="000000"/>
                <w:szCs w:val="20"/>
              </w:rPr>
            </w:pPr>
            <w:r w:rsidRPr="00872D7E">
              <w:rPr>
                <w:color w:val="000000"/>
                <w:szCs w:val="20"/>
              </w:rPr>
              <w:t>-</w:t>
            </w:r>
          </w:p>
        </w:tc>
      </w:tr>
      <w:tr w:rsidR="00862A01" w:rsidRPr="00872D7E" w14:paraId="10BCE58B" w14:textId="77777777" w:rsidTr="00683052">
        <w:trPr>
          <w:divId w:val="327681620"/>
          <w:trHeight w:val="227"/>
        </w:trPr>
        <w:tc>
          <w:tcPr>
            <w:tcW w:w="3239" w:type="pct"/>
            <w:tcBorders>
              <w:top w:val="nil"/>
              <w:left w:val="nil"/>
              <w:bottom w:val="nil"/>
              <w:right w:val="nil"/>
            </w:tcBorders>
            <w:shd w:val="clear" w:color="auto" w:fill="auto"/>
            <w:noWrap/>
            <w:vAlign w:val="center"/>
            <w:hideMark/>
          </w:tcPr>
          <w:p w14:paraId="3525D879" w14:textId="77777777" w:rsidR="00862A01" w:rsidRPr="00872D7E" w:rsidRDefault="00862A01" w:rsidP="00862A01">
            <w:pPr>
              <w:rPr>
                <w:color w:val="000000"/>
                <w:szCs w:val="20"/>
              </w:rPr>
            </w:pPr>
            <w:r w:rsidRPr="00872D7E">
              <w:rPr>
                <w:color w:val="000000"/>
                <w:szCs w:val="20"/>
              </w:rPr>
              <w:t>Diğer Cayılamaz Taahhütler</w:t>
            </w:r>
          </w:p>
        </w:tc>
        <w:tc>
          <w:tcPr>
            <w:tcW w:w="880" w:type="pct"/>
            <w:tcBorders>
              <w:top w:val="nil"/>
              <w:left w:val="nil"/>
              <w:bottom w:val="nil"/>
              <w:right w:val="nil"/>
            </w:tcBorders>
            <w:shd w:val="clear" w:color="auto" w:fill="auto"/>
            <w:noWrap/>
            <w:vAlign w:val="bottom"/>
            <w:hideMark/>
          </w:tcPr>
          <w:p w14:paraId="07EE67D0" w14:textId="77777777" w:rsidR="00862A01" w:rsidRPr="00872D7E" w:rsidRDefault="00862A01" w:rsidP="00683052">
            <w:pPr>
              <w:jc w:val="right"/>
              <w:rPr>
                <w:color w:val="000000"/>
                <w:szCs w:val="20"/>
              </w:rPr>
            </w:pPr>
            <w:r w:rsidRPr="00872D7E">
              <w:rPr>
                <w:color w:val="000000"/>
                <w:szCs w:val="20"/>
              </w:rPr>
              <w:t>-</w:t>
            </w:r>
          </w:p>
        </w:tc>
        <w:tc>
          <w:tcPr>
            <w:tcW w:w="881" w:type="pct"/>
            <w:tcBorders>
              <w:top w:val="nil"/>
              <w:left w:val="nil"/>
              <w:bottom w:val="nil"/>
              <w:right w:val="nil"/>
            </w:tcBorders>
            <w:shd w:val="clear" w:color="auto" w:fill="auto"/>
            <w:noWrap/>
            <w:vAlign w:val="bottom"/>
            <w:hideMark/>
          </w:tcPr>
          <w:p w14:paraId="60113F79" w14:textId="77777777" w:rsidR="00862A01" w:rsidRPr="00872D7E" w:rsidRDefault="00862A01" w:rsidP="00683052">
            <w:pPr>
              <w:jc w:val="right"/>
              <w:rPr>
                <w:color w:val="000000"/>
                <w:szCs w:val="20"/>
              </w:rPr>
            </w:pPr>
            <w:r w:rsidRPr="00872D7E">
              <w:rPr>
                <w:color w:val="000000"/>
                <w:szCs w:val="20"/>
              </w:rPr>
              <w:t>-</w:t>
            </w:r>
          </w:p>
        </w:tc>
      </w:tr>
      <w:tr w:rsidR="00862A01" w:rsidRPr="00872D7E" w14:paraId="7C35FE73" w14:textId="77777777" w:rsidTr="00683052">
        <w:trPr>
          <w:divId w:val="327681620"/>
          <w:trHeight w:val="227"/>
        </w:trPr>
        <w:tc>
          <w:tcPr>
            <w:tcW w:w="3239" w:type="pct"/>
            <w:tcBorders>
              <w:top w:val="nil"/>
              <w:left w:val="nil"/>
              <w:bottom w:val="single" w:sz="4" w:space="0" w:color="auto"/>
              <w:right w:val="nil"/>
            </w:tcBorders>
            <w:shd w:val="clear" w:color="auto" w:fill="auto"/>
            <w:noWrap/>
            <w:vAlign w:val="center"/>
            <w:hideMark/>
          </w:tcPr>
          <w:p w14:paraId="39BEBE25" w14:textId="77777777" w:rsidR="00862A01" w:rsidRPr="00872D7E" w:rsidRDefault="00862A01" w:rsidP="00862A01">
            <w:pPr>
              <w:rPr>
                <w:color w:val="000000"/>
                <w:szCs w:val="20"/>
              </w:rPr>
            </w:pPr>
            <w:r w:rsidRPr="00872D7E">
              <w:rPr>
                <w:color w:val="000000"/>
                <w:szCs w:val="20"/>
              </w:rPr>
              <w:t>Diğer Cayılabilir Taahhütler</w:t>
            </w:r>
          </w:p>
        </w:tc>
        <w:tc>
          <w:tcPr>
            <w:tcW w:w="880" w:type="pct"/>
            <w:tcBorders>
              <w:top w:val="nil"/>
              <w:left w:val="nil"/>
              <w:bottom w:val="single" w:sz="4" w:space="0" w:color="auto"/>
              <w:right w:val="nil"/>
            </w:tcBorders>
            <w:shd w:val="clear" w:color="auto" w:fill="auto"/>
            <w:noWrap/>
            <w:vAlign w:val="bottom"/>
            <w:hideMark/>
          </w:tcPr>
          <w:p w14:paraId="65915134" w14:textId="77777777" w:rsidR="00862A01" w:rsidRPr="00872D7E" w:rsidRDefault="00862A01" w:rsidP="00683052">
            <w:pPr>
              <w:jc w:val="right"/>
              <w:rPr>
                <w:color w:val="000000"/>
                <w:szCs w:val="20"/>
              </w:rPr>
            </w:pPr>
            <w:r w:rsidRPr="00872D7E">
              <w:rPr>
                <w:color w:val="000000"/>
                <w:szCs w:val="20"/>
              </w:rPr>
              <w:t>-</w:t>
            </w:r>
          </w:p>
        </w:tc>
        <w:tc>
          <w:tcPr>
            <w:tcW w:w="881" w:type="pct"/>
            <w:tcBorders>
              <w:top w:val="nil"/>
              <w:left w:val="nil"/>
              <w:bottom w:val="single" w:sz="4" w:space="0" w:color="auto"/>
              <w:right w:val="nil"/>
            </w:tcBorders>
            <w:shd w:val="clear" w:color="auto" w:fill="auto"/>
            <w:noWrap/>
            <w:vAlign w:val="bottom"/>
            <w:hideMark/>
          </w:tcPr>
          <w:p w14:paraId="12E527D6" w14:textId="77777777" w:rsidR="00862A01" w:rsidRPr="00872D7E" w:rsidRDefault="00862A01" w:rsidP="00683052">
            <w:pPr>
              <w:jc w:val="right"/>
              <w:rPr>
                <w:color w:val="000000"/>
                <w:szCs w:val="20"/>
              </w:rPr>
            </w:pPr>
            <w:r w:rsidRPr="00872D7E">
              <w:rPr>
                <w:color w:val="000000"/>
                <w:szCs w:val="20"/>
              </w:rPr>
              <w:t>-</w:t>
            </w:r>
          </w:p>
        </w:tc>
      </w:tr>
      <w:tr w:rsidR="00862A01" w:rsidRPr="00872D7E" w14:paraId="0A63CC88" w14:textId="77777777" w:rsidTr="00683052">
        <w:trPr>
          <w:divId w:val="327681620"/>
          <w:trHeight w:val="227"/>
        </w:trPr>
        <w:tc>
          <w:tcPr>
            <w:tcW w:w="3239" w:type="pct"/>
            <w:tcBorders>
              <w:top w:val="nil"/>
              <w:left w:val="nil"/>
              <w:bottom w:val="nil"/>
              <w:right w:val="nil"/>
            </w:tcBorders>
            <w:shd w:val="clear" w:color="auto" w:fill="auto"/>
            <w:noWrap/>
            <w:vAlign w:val="center"/>
            <w:hideMark/>
          </w:tcPr>
          <w:p w14:paraId="3E6F8D72" w14:textId="77777777" w:rsidR="00862A01" w:rsidRPr="00872D7E" w:rsidRDefault="00862A01" w:rsidP="00862A01">
            <w:pPr>
              <w:jc w:val="right"/>
              <w:rPr>
                <w:color w:val="000000"/>
                <w:szCs w:val="20"/>
              </w:rPr>
            </w:pPr>
          </w:p>
        </w:tc>
        <w:tc>
          <w:tcPr>
            <w:tcW w:w="880" w:type="pct"/>
            <w:tcBorders>
              <w:top w:val="nil"/>
              <w:left w:val="nil"/>
              <w:bottom w:val="nil"/>
              <w:right w:val="nil"/>
            </w:tcBorders>
            <w:shd w:val="clear" w:color="auto" w:fill="auto"/>
            <w:noWrap/>
            <w:vAlign w:val="bottom"/>
            <w:hideMark/>
          </w:tcPr>
          <w:p w14:paraId="58921811" w14:textId="77777777" w:rsidR="00862A01" w:rsidRPr="00872D7E" w:rsidRDefault="00862A01" w:rsidP="00683052">
            <w:pPr>
              <w:jc w:val="right"/>
              <w:rPr>
                <w:szCs w:val="20"/>
              </w:rPr>
            </w:pPr>
          </w:p>
        </w:tc>
        <w:tc>
          <w:tcPr>
            <w:tcW w:w="881" w:type="pct"/>
            <w:tcBorders>
              <w:top w:val="nil"/>
              <w:left w:val="nil"/>
              <w:bottom w:val="nil"/>
              <w:right w:val="nil"/>
            </w:tcBorders>
            <w:shd w:val="clear" w:color="auto" w:fill="auto"/>
            <w:noWrap/>
            <w:vAlign w:val="bottom"/>
            <w:hideMark/>
          </w:tcPr>
          <w:p w14:paraId="77B23337" w14:textId="77777777" w:rsidR="00862A01" w:rsidRPr="00872D7E" w:rsidRDefault="00862A01" w:rsidP="00683052">
            <w:pPr>
              <w:jc w:val="right"/>
              <w:rPr>
                <w:szCs w:val="20"/>
              </w:rPr>
            </w:pPr>
          </w:p>
        </w:tc>
      </w:tr>
      <w:tr w:rsidR="00862A01" w:rsidRPr="00872D7E" w14:paraId="725CF56E" w14:textId="77777777" w:rsidTr="00683052">
        <w:trPr>
          <w:divId w:val="327681620"/>
          <w:trHeight w:val="227"/>
        </w:trPr>
        <w:tc>
          <w:tcPr>
            <w:tcW w:w="3239" w:type="pct"/>
            <w:tcBorders>
              <w:top w:val="nil"/>
              <w:left w:val="nil"/>
              <w:bottom w:val="single" w:sz="12" w:space="0" w:color="auto"/>
              <w:right w:val="nil"/>
            </w:tcBorders>
            <w:shd w:val="clear" w:color="auto" w:fill="auto"/>
            <w:noWrap/>
            <w:vAlign w:val="bottom"/>
            <w:hideMark/>
          </w:tcPr>
          <w:p w14:paraId="31AA2126" w14:textId="77777777" w:rsidR="00862A01" w:rsidRPr="00872D7E" w:rsidRDefault="00862A01" w:rsidP="00862A01">
            <w:pPr>
              <w:jc w:val="both"/>
              <w:rPr>
                <w:b/>
                <w:bCs/>
                <w:color w:val="000000"/>
                <w:szCs w:val="20"/>
              </w:rPr>
            </w:pPr>
            <w:r w:rsidRPr="00872D7E">
              <w:rPr>
                <w:b/>
                <w:bCs/>
                <w:color w:val="000000"/>
                <w:szCs w:val="20"/>
              </w:rPr>
              <w:t>Toplam</w:t>
            </w:r>
          </w:p>
        </w:tc>
        <w:tc>
          <w:tcPr>
            <w:tcW w:w="880" w:type="pct"/>
            <w:tcBorders>
              <w:top w:val="nil"/>
              <w:left w:val="nil"/>
              <w:bottom w:val="single" w:sz="12" w:space="0" w:color="auto"/>
              <w:right w:val="nil"/>
            </w:tcBorders>
            <w:shd w:val="clear" w:color="auto" w:fill="auto"/>
            <w:noWrap/>
            <w:vAlign w:val="bottom"/>
            <w:hideMark/>
          </w:tcPr>
          <w:p w14:paraId="66C67AEE" w14:textId="77777777" w:rsidR="00862A01" w:rsidRPr="00872D7E" w:rsidRDefault="00862A01" w:rsidP="00683052">
            <w:pPr>
              <w:jc w:val="right"/>
              <w:rPr>
                <w:b/>
                <w:bCs/>
                <w:color w:val="000000"/>
                <w:szCs w:val="20"/>
              </w:rPr>
            </w:pPr>
            <w:r w:rsidRPr="00872D7E">
              <w:rPr>
                <w:b/>
                <w:bCs/>
                <w:color w:val="000000"/>
                <w:szCs w:val="20"/>
              </w:rPr>
              <w:t>11.939.283</w:t>
            </w:r>
          </w:p>
        </w:tc>
        <w:tc>
          <w:tcPr>
            <w:tcW w:w="881" w:type="pct"/>
            <w:tcBorders>
              <w:top w:val="nil"/>
              <w:left w:val="nil"/>
              <w:bottom w:val="single" w:sz="12" w:space="0" w:color="auto"/>
              <w:right w:val="nil"/>
            </w:tcBorders>
            <w:shd w:val="clear" w:color="auto" w:fill="auto"/>
            <w:noWrap/>
            <w:vAlign w:val="bottom"/>
            <w:hideMark/>
          </w:tcPr>
          <w:p w14:paraId="6766EB47" w14:textId="77777777" w:rsidR="00862A01" w:rsidRPr="00872D7E" w:rsidRDefault="00862A01" w:rsidP="00683052">
            <w:pPr>
              <w:jc w:val="right"/>
              <w:rPr>
                <w:b/>
                <w:bCs/>
                <w:color w:val="000000"/>
                <w:szCs w:val="20"/>
              </w:rPr>
            </w:pPr>
            <w:r w:rsidRPr="00872D7E">
              <w:rPr>
                <w:b/>
                <w:bCs/>
                <w:color w:val="000000"/>
                <w:szCs w:val="20"/>
              </w:rPr>
              <w:t>-</w:t>
            </w:r>
          </w:p>
        </w:tc>
      </w:tr>
    </w:tbl>
    <w:p w14:paraId="766249F4" w14:textId="3948E915" w:rsidR="00392FA9" w:rsidRPr="00872D7E" w:rsidRDefault="00392FA9" w:rsidP="00CD770B">
      <w:pPr>
        <w:widowControl w:val="0"/>
        <w:spacing w:line="228" w:lineRule="auto"/>
        <w:ind w:left="-14" w:hanging="504"/>
        <w:jc w:val="both"/>
        <w:rPr>
          <w:b/>
          <w:szCs w:val="20"/>
        </w:rPr>
      </w:pPr>
    </w:p>
    <w:p w14:paraId="29C550DE" w14:textId="5030ACCE" w:rsidR="00136C29" w:rsidRPr="00872D7E" w:rsidRDefault="001B0D35" w:rsidP="00850F3C">
      <w:pPr>
        <w:widowControl w:val="0"/>
        <w:spacing w:line="228" w:lineRule="auto"/>
        <w:ind w:left="1276" w:hanging="425"/>
        <w:jc w:val="both"/>
        <w:rPr>
          <w:b/>
          <w:szCs w:val="20"/>
        </w:rPr>
      </w:pPr>
      <w:r w:rsidRPr="00872D7E">
        <w:rPr>
          <w:b/>
          <w:szCs w:val="20"/>
        </w:rPr>
        <w:t>b.</w:t>
      </w:r>
      <w:r w:rsidR="00136C29" w:rsidRPr="00872D7E">
        <w:rPr>
          <w:b/>
          <w:szCs w:val="20"/>
        </w:rPr>
        <w:tab/>
        <w:t>Nazım hesap kalemlerinden kaynaklanan muhtemel zararların ve taahhütlerin yapısı ve tutarı:</w:t>
      </w:r>
    </w:p>
    <w:p w14:paraId="4E041ACE" w14:textId="77777777" w:rsidR="00392FA9" w:rsidRPr="00872D7E" w:rsidRDefault="00392FA9" w:rsidP="00CD770B">
      <w:pPr>
        <w:widowControl w:val="0"/>
        <w:spacing w:line="228" w:lineRule="auto"/>
        <w:ind w:left="-14" w:right="100" w:hanging="504"/>
        <w:jc w:val="both"/>
        <w:rPr>
          <w:b/>
          <w:szCs w:val="20"/>
        </w:rPr>
      </w:pPr>
    </w:p>
    <w:p w14:paraId="11BC2F04" w14:textId="33BBFDCB" w:rsidR="00136C29" w:rsidRPr="00872D7E" w:rsidRDefault="001B0D35" w:rsidP="00850F3C">
      <w:pPr>
        <w:widowControl w:val="0"/>
        <w:spacing w:line="228" w:lineRule="auto"/>
        <w:ind w:left="1276" w:right="100" w:hanging="425"/>
        <w:jc w:val="both"/>
        <w:rPr>
          <w:b/>
          <w:szCs w:val="20"/>
        </w:rPr>
      </w:pPr>
      <w:r w:rsidRPr="00872D7E">
        <w:rPr>
          <w:b/>
          <w:szCs w:val="20"/>
        </w:rPr>
        <w:t>b.1.</w:t>
      </w:r>
      <w:r w:rsidR="00136C29" w:rsidRPr="00872D7E">
        <w:rPr>
          <w:b/>
          <w:szCs w:val="20"/>
        </w:rPr>
        <w:tab/>
        <w:t xml:space="preserve">Garantiler, banka aval ve kabulleri ve mali garanti yerine geçen teminatlar ve diğer akreditifler dahil </w:t>
      </w:r>
      <w:proofErr w:type="spellStart"/>
      <w:r w:rsidR="00136C29" w:rsidRPr="00872D7E">
        <w:rPr>
          <w:b/>
          <w:szCs w:val="20"/>
        </w:rPr>
        <w:t>gayrinakdi</w:t>
      </w:r>
      <w:proofErr w:type="spellEnd"/>
      <w:r w:rsidR="00136C29" w:rsidRPr="00872D7E">
        <w:rPr>
          <w:b/>
          <w:szCs w:val="20"/>
        </w:rPr>
        <w:t xml:space="preserve"> krediler:</w:t>
      </w:r>
    </w:p>
    <w:p w14:paraId="06ED3528" w14:textId="5BBE9437" w:rsidR="00862A01" w:rsidRPr="00872D7E" w:rsidRDefault="00862A01" w:rsidP="00CD770B">
      <w:pPr>
        <w:widowControl w:val="0"/>
        <w:spacing w:line="228" w:lineRule="auto"/>
        <w:ind w:left="-28" w:hanging="462"/>
        <w:jc w:val="both"/>
        <w:rPr>
          <w:szCs w:val="20"/>
        </w:rPr>
      </w:pPr>
    </w:p>
    <w:tbl>
      <w:tblPr>
        <w:tblW w:w="5000" w:type="pct"/>
        <w:tblCellMar>
          <w:left w:w="70" w:type="dxa"/>
          <w:right w:w="70" w:type="dxa"/>
        </w:tblCellMar>
        <w:tblLook w:val="04A0" w:firstRow="1" w:lastRow="0" w:firstColumn="1" w:lastColumn="0" w:noHBand="0" w:noVBand="1"/>
      </w:tblPr>
      <w:tblGrid>
        <w:gridCol w:w="5921"/>
        <w:gridCol w:w="1718"/>
        <w:gridCol w:w="1716"/>
      </w:tblGrid>
      <w:tr w:rsidR="00862A01" w:rsidRPr="00872D7E" w14:paraId="4F5B5C3E" w14:textId="77777777" w:rsidTr="00683052">
        <w:trPr>
          <w:divId w:val="536703745"/>
          <w:trHeight w:val="227"/>
        </w:trPr>
        <w:tc>
          <w:tcPr>
            <w:tcW w:w="3165" w:type="pct"/>
            <w:tcBorders>
              <w:top w:val="nil"/>
              <w:left w:val="nil"/>
              <w:right w:val="nil"/>
            </w:tcBorders>
            <w:shd w:val="clear" w:color="auto" w:fill="auto"/>
            <w:noWrap/>
            <w:vAlign w:val="bottom"/>
            <w:hideMark/>
          </w:tcPr>
          <w:p w14:paraId="084020BE" w14:textId="6C80092F" w:rsidR="00862A01" w:rsidRPr="00872D7E" w:rsidRDefault="00862A01" w:rsidP="00862A01">
            <w:pPr>
              <w:rPr>
                <w:szCs w:val="20"/>
              </w:rPr>
            </w:pPr>
          </w:p>
        </w:tc>
        <w:tc>
          <w:tcPr>
            <w:tcW w:w="918" w:type="pct"/>
            <w:tcBorders>
              <w:top w:val="nil"/>
              <w:left w:val="nil"/>
              <w:right w:val="nil"/>
            </w:tcBorders>
            <w:shd w:val="clear" w:color="auto" w:fill="auto"/>
            <w:noWrap/>
            <w:vAlign w:val="bottom"/>
            <w:hideMark/>
          </w:tcPr>
          <w:p w14:paraId="1F34C250" w14:textId="77777777" w:rsidR="00862A01" w:rsidRPr="00872D7E" w:rsidRDefault="00862A01" w:rsidP="00683052">
            <w:pPr>
              <w:jc w:val="right"/>
              <w:rPr>
                <w:b/>
                <w:bCs/>
                <w:color w:val="000000"/>
                <w:szCs w:val="20"/>
              </w:rPr>
            </w:pPr>
            <w:r w:rsidRPr="00872D7E">
              <w:rPr>
                <w:b/>
                <w:bCs/>
                <w:color w:val="000000"/>
                <w:szCs w:val="20"/>
              </w:rPr>
              <w:t>31 Aralık 2024</w:t>
            </w:r>
          </w:p>
        </w:tc>
        <w:tc>
          <w:tcPr>
            <w:tcW w:w="918" w:type="pct"/>
            <w:tcBorders>
              <w:top w:val="nil"/>
              <w:left w:val="nil"/>
              <w:right w:val="nil"/>
            </w:tcBorders>
            <w:shd w:val="clear" w:color="auto" w:fill="auto"/>
            <w:noWrap/>
            <w:vAlign w:val="bottom"/>
            <w:hideMark/>
          </w:tcPr>
          <w:p w14:paraId="460F2DC3" w14:textId="77777777" w:rsidR="00862A01" w:rsidRPr="00872D7E" w:rsidRDefault="00862A01" w:rsidP="00683052">
            <w:pPr>
              <w:jc w:val="right"/>
              <w:rPr>
                <w:b/>
                <w:bCs/>
                <w:color w:val="000000"/>
                <w:szCs w:val="20"/>
              </w:rPr>
            </w:pPr>
            <w:r w:rsidRPr="00872D7E">
              <w:rPr>
                <w:b/>
                <w:bCs/>
                <w:color w:val="000000"/>
                <w:szCs w:val="20"/>
              </w:rPr>
              <w:t>1 Ocak 2024</w:t>
            </w:r>
          </w:p>
        </w:tc>
      </w:tr>
      <w:tr w:rsidR="00862A01" w:rsidRPr="00872D7E" w14:paraId="799FCB9B" w14:textId="77777777" w:rsidTr="00683052">
        <w:trPr>
          <w:divId w:val="536703745"/>
          <w:trHeight w:val="227"/>
        </w:trPr>
        <w:tc>
          <w:tcPr>
            <w:tcW w:w="3165" w:type="pct"/>
            <w:tcBorders>
              <w:left w:val="nil"/>
              <w:bottom w:val="nil"/>
              <w:right w:val="nil"/>
            </w:tcBorders>
            <w:shd w:val="clear" w:color="000000" w:fill="FFFFFF"/>
            <w:noWrap/>
            <w:vAlign w:val="bottom"/>
            <w:hideMark/>
          </w:tcPr>
          <w:p w14:paraId="7EEE9E85" w14:textId="77777777" w:rsidR="00862A01" w:rsidRPr="00872D7E" w:rsidRDefault="00862A01" w:rsidP="00862A01">
            <w:pPr>
              <w:rPr>
                <w:color w:val="000000"/>
                <w:szCs w:val="20"/>
              </w:rPr>
            </w:pPr>
            <w:r w:rsidRPr="00872D7E">
              <w:rPr>
                <w:color w:val="000000"/>
                <w:szCs w:val="20"/>
              </w:rPr>
              <w:t> </w:t>
            </w:r>
          </w:p>
        </w:tc>
        <w:tc>
          <w:tcPr>
            <w:tcW w:w="918" w:type="pct"/>
            <w:tcBorders>
              <w:left w:val="nil"/>
              <w:bottom w:val="nil"/>
              <w:right w:val="nil"/>
            </w:tcBorders>
            <w:shd w:val="clear" w:color="000000" w:fill="FFFFFF"/>
            <w:noWrap/>
            <w:vAlign w:val="bottom"/>
            <w:hideMark/>
          </w:tcPr>
          <w:p w14:paraId="23445904" w14:textId="606819C1" w:rsidR="00862A01" w:rsidRPr="00872D7E" w:rsidRDefault="00862A01" w:rsidP="00683052">
            <w:pPr>
              <w:jc w:val="right"/>
              <w:rPr>
                <w:b/>
                <w:bCs/>
                <w:color w:val="000000"/>
                <w:szCs w:val="20"/>
              </w:rPr>
            </w:pPr>
          </w:p>
        </w:tc>
        <w:tc>
          <w:tcPr>
            <w:tcW w:w="918" w:type="pct"/>
            <w:tcBorders>
              <w:left w:val="nil"/>
              <w:bottom w:val="nil"/>
              <w:right w:val="nil"/>
            </w:tcBorders>
            <w:shd w:val="clear" w:color="000000" w:fill="FFFFFF"/>
            <w:noWrap/>
            <w:vAlign w:val="bottom"/>
            <w:hideMark/>
          </w:tcPr>
          <w:p w14:paraId="1017BC4F" w14:textId="14B0FDDF" w:rsidR="00862A01" w:rsidRPr="00872D7E" w:rsidRDefault="00862A01" w:rsidP="00683052">
            <w:pPr>
              <w:jc w:val="right"/>
              <w:rPr>
                <w:b/>
                <w:bCs/>
                <w:color w:val="000000"/>
                <w:szCs w:val="20"/>
              </w:rPr>
            </w:pPr>
          </w:p>
        </w:tc>
      </w:tr>
      <w:tr w:rsidR="00862A01" w:rsidRPr="00872D7E" w14:paraId="16CE264E" w14:textId="77777777" w:rsidTr="00683052">
        <w:trPr>
          <w:divId w:val="536703745"/>
          <w:trHeight w:val="227"/>
        </w:trPr>
        <w:tc>
          <w:tcPr>
            <w:tcW w:w="3165" w:type="pct"/>
            <w:tcBorders>
              <w:top w:val="nil"/>
              <w:left w:val="nil"/>
              <w:bottom w:val="nil"/>
              <w:right w:val="nil"/>
            </w:tcBorders>
            <w:shd w:val="clear" w:color="auto" w:fill="auto"/>
            <w:noWrap/>
            <w:vAlign w:val="bottom"/>
            <w:hideMark/>
          </w:tcPr>
          <w:p w14:paraId="02530042" w14:textId="77777777" w:rsidR="00862A01" w:rsidRPr="00872D7E" w:rsidRDefault="00862A01" w:rsidP="00862A01">
            <w:pPr>
              <w:rPr>
                <w:color w:val="000000"/>
                <w:szCs w:val="20"/>
              </w:rPr>
            </w:pPr>
            <w:r w:rsidRPr="00872D7E">
              <w:rPr>
                <w:color w:val="000000"/>
                <w:szCs w:val="20"/>
              </w:rPr>
              <w:t>Teminat Mektupları</w:t>
            </w:r>
          </w:p>
        </w:tc>
        <w:tc>
          <w:tcPr>
            <w:tcW w:w="918" w:type="pct"/>
            <w:tcBorders>
              <w:top w:val="nil"/>
              <w:left w:val="nil"/>
              <w:bottom w:val="nil"/>
              <w:right w:val="nil"/>
            </w:tcBorders>
            <w:shd w:val="clear" w:color="auto" w:fill="auto"/>
            <w:noWrap/>
            <w:vAlign w:val="bottom"/>
            <w:hideMark/>
          </w:tcPr>
          <w:p w14:paraId="453D9CB3" w14:textId="77777777" w:rsidR="00862A01" w:rsidRPr="00872D7E" w:rsidRDefault="00862A01" w:rsidP="00683052">
            <w:pPr>
              <w:jc w:val="right"/>
              <w:rPr>
                <w:color w:val="000000"/>
                <w:szCs w:val="20"/>
              </w:rPr>
            </w:pPr>
            <w:r w:rsidRPr="00872D7E">
              <w:rPr>
                <w:color w:val="000000"/>
                <w:szCs w:val="20"/>
              </w:rPr>
              <w:t>7.335.714</w:t>
            </w:r>
          </w:p>
        </w:tc>
        <w:tc>
          <w:tcPr>
            <w:tcW w:w="918" w:type="pct"/>
            <w:tcBorders>
              <w:top w:val="nil"/>
              <w:left w:val="nil"/>
              <w:bottom w:val="nil"/>
              <w:right w:val="nil"/>
            </w:tcBorders>
            <w:shd w:val="clear" w:color="auto" w:fill="auto"/>
            <w:noWrap/>
            <w:vAlign w:val="bottom"/>
            <w:hideMark/>
          </w:tcPr>
          <w:p w14:paraId="67B145C3" w14:textId="77777777" w:rsidR="00862A01" w:rsidRPr="00872D7E" w:rsidRDefault="00862A01" w:rsidP="00683052">
            <w:pPr>
              <w:jc w:val="right"/>
              <w:rPr>
                <w:color w:val="000000"/>
                <w:szCs w:val="20"/>
              </w:rPr>
            </w:pPr>
            <w:r w:rsidRPr="00872D7E">
              <w:rPr>
                <w:color w:val="000000"/>
                <w:szCs w:val="20"/>
              </w:rPr>
              <w:t>5.447</w:t>
            </w:r>
          </w:p>
        </w:tc>
      </w:tr>
      <w:tr w:rsidR="00862A01" w:rsidRPr="00872D7E" w14:paraId="33B7E3AB" w14:textId="77777777" w:rsidTr="00683052">
        <w:trPr>
          <w:divId w:val="536703745"/>
          <w:trHeight w:val="227"/>
        </w:trPr>
        <w:tc>
          <w:tcPr>
            <w:tcW w:w="3165" w:type="pct"/>
            <w:tcBorders>
              <w:top w:val="nil"/>
              <w:left w:val="nil"/>
              <w:bottom w:val="nil"/>
              <w:right w:val="nil"/>
            </w:tcBorders>
            <w:shd w:val="clear" w:color="000000" w:fill="FFFFFF"/>
            <w:noWrap/>
            <w:vAlign w:val="bottom"/>
            <w:hideMark/>
          </w:tcPr>
          <w:p w14:paraId="7DA0375A" w14:textId="77777777" w:rsidR="00862A01" w:rsidRPr="00872D7E" w:rsidRDefault="00862A01" w:rsidP="00862A01">
            <w:pPr>
              <w:rPr>
                <w:color w:val="000000"/>
                <w:szCs w:val="20"/>
              </w:rPr>
            </w:pPr>
            <w:r w:rsidRPr="00872D7E">
              <w:rPr>
                <w:color w:val="000000"/>
                <w:szCs w:val="20"/>
              </w:rPr>
              <w:t>Banka Aval ve Kabulleri</w:t>
            </w:r>
          </w:p>
        </w:tc>
        <w:tc>
          <w:tcPr>
            <w:tcW w:w="918" w:type="pct"/>
            <w:tcBorders>
              <w:top w:val="nil"/>
              <w:left w:val="nil"/>
              <w:bottom w:val="nil"/>
              <w:right w:val="nil"/>
            </w:tcBorders>
            <w:shd w:val="clear" w:color="auto" w:fill="auto"/>
            <w:noWrap/>
            <w:vAlign w:val="bottom"/>
            <w:hideMark/>
          </w:tcPr>
          <w:p w14:paraId="067880AB" w14:textId="77777777" w:rsidR="00862A01" w:rsidRPr="00872D7E" w:rsidRDefault="00862A01" w:rsidP="00683052">
            <w:pPr>
              <w:jc w:val="right"/>
              <w:rPr>
                <w:color w:val="000000"/>
                <w:szCs w:val="20"/>
              </w:rPr>
            </w:pPr>
            <w:r w:rsidRPr="00872D7E">
              <w:rPr>
                <w:color w:val="000000"/>
                <w:szCs w:val="20"/>
              </w:rPr>
              <w:t>-</w:t>
            </w:r>
          </w:p>
        </w:tc>
        <w:tc>
          <w:tcPr>
            <w:tcW w:w="918" w:type="pct"/>
            <w:tcBorders>
              <w:top w:val="nil"/>
              <w:left w:val="nil"/>
              <w:bottom w:val="nil"/>
              <w:right w:val="nil"/>
            </w:tcBorders>
            <w:shd w:val="clear" w:color="auto" w:fill="auto"/>
            <w:noWrap/>
            <w:vAlign w:val="bottom"/>
            <w:hideMark/>
          </w:tcPr>
          <w:p w14:paraId="57ECD518" w14:textId="77777777" w:rsidR="00862A01" w:rsidRPr="00872D7E" w:rsidRDefault="00862A01" w:rsidP="00683052">
            <w:pPr>
              <w:jc w:val="right"/>
              <w:rPr>
                <w:color w:val="000000"/>
                <w:szCs w:val="20"/>
              </w:rPr>
            </w:pPr>
            <w:r w:rsidRPr="00872D7E">
              <w:rPr>
                <w:szCs w:val="20"/>
              </w:rPr>
              <w:t>-</w:t>
            </w:r>
          </w:p>
        </w:tc>
      </w:tr>
      <w:tr w:rsidR="00862A01" w:rsidRPr="00872D7E" w14:paraId="01FB6FC8" w14:textId="77777777" w:rsidTr="00683052">
        <w:trPr>
          <w:divId w:val="536703745"/>
          <w:trHeight w:val="227"/>
        </w:trPr>
        <w:tc>
          <w:tcPr>
            <w:tcW w:w="3165" w:type="pct"/>
            <w:tcBorders>
              <w:top w:val="nil"/>
              <w:left w:val="nil"/>
              <w:bottom w:val="nil"/>
              <w:right w:val="nil"/>
            </w:tcBorders>
            <w:shd w:val="clear" w:color="000000" w:fill="FFFFFF"/>
            <w:noWrap/>
            <w:vAlign w:val="bottom"/>
            <w:hideMark/>
          </w:tcPr>
          <w:p w14:paraId="30A5EAD1" w14:textId="77777777" w:rsidR="00862A01" w:rsidRPr="00872D7E" w:rsidRDefault="00862A01" w:rsidP="00862A01">
            <w:pPr>
              <w:rPr>
                <w:color w:val="000000"/>
                <w:szCs w:val="20"/>
              </w:rPr>
            </w:pPr>
            <w:r w:rsidRPr="00872D7E">
              <w:rPr>
                <w:color w:val="000000"/>
                <w:szCs w:val="20"/>
              </w:rPr>
              <w:t>Akreditifler</w:t>
            </w:r>
          </w:p>
        </w:tc>
        <w:tc>
          <w:tcPr>
            <w:tcW w:w="918" w:type="pct"/>
            <w:tcBorders>
              <w:top w:val="nil"/>
              <w:left w:val="nil"/>
              <w:bottom w:val="nil"/>
              <w:right w:val="nil"/>
            </w:tcBorders>
            <w:shd w:val="clear" w:color="auto" w:fill="auto"/>
            <w:noWrap/>
            <w:vAlign w:val="bottom"/>
            <w:hideMark/>
          </w:tcPr>
          <w:p w14:paraId="682E29A4" w14:textId="77777777" w:rsidR="00862A01" w:rsidRPr="00872D7E" w:rsidRDefault="00862A01" w:rsidP="00683052">
            <w:pPr>
              <w:jc w:val="right"/>
              <w:rPr>
                <w:color w:val="000000"/>
                <w:szCs w:val="20"/>
              </w:rPr>
            </w:pPr>
            <w:r w:rsidRPr="00872D7E">
              <w:rPr>
                <w:color w:val="000000"/>
                <w:szCs w:val="20"/>
              </w:rPr>
              <w:t>-</w:t>
            </w:r>
          </w:p>
        </w:tc>
        <w:tc>
          <w:tcPr>
            <w:tcW w:w="918" w:type="pct"/>
            <w:tcBorders>
              <w:top w:val="nil"/>
              <w:left w:val="nil"/>
              <w:bottom w:val="nil"/>
              <w:right w:val="nil"/>
            </w:tcBorders>
            <w:shd w:val="clear" w:color="auto" w:fill="auto"/>
            <w:noWrap/>
            <w:vAlign w:val="bottom"/>
            <w:hideMark/>
          </w:tcPr>
          <w:p w14:paraId="4E0070FD" w14:textId="77777777" w:rsidR="00862A01" w:rsidRPr="00872D7E" w:rsidRDefault="00862A01" w:rsidP="00683052">
            <w:pPr>
              <w:jc w:val="right"/>
              <w:rPr>
                <w:color w:val="000000"/>
                <w:szCs w:val="20"/>
              </w:rPr>
            </w:pPr>
            <w:r w:rsidRPr="00872D7E">
              <w:rPr>
                <w:szCs w:val="20"/>
              </w:rPr>
              <w:t>-</w:t>
            </w:r>
          </w:p>
        </w:tc>
      </w:tr>
      <w:tr w:rsidR="00862A01" w:rsidRPr="00872D7E" w14:paraId="6655F030" w14:textId="77777777" w:rsidTr="00683052">
        <w:trPr>
          <w:divId w:val="536703745"/>
          <w:trHeight w:val="227"/>
        </w:trPr>
        <w:tc>
          <w:tcPr>
            <w:tcW w:w="3165" w:type="pct"/>
            <w:tcBorders>
              <w:top w:val="nil"/>
              <w:left w:val="nil"/>
              <w:bottom w:val="single" w:sz="4" w:space="0" w:color="auto"/>
              <w:right w:val="nil"/>
            </w:tcBorders>
            <w:shd w:val="clear" w:color="000000" w:fill="FFFFFF"/>
            <w:noWrap/>
            <w:vAlign w:val="bottom"/>
            <w:hideMark/>
          </w:tcPr>
          <w:p w14:paraId="25FC0547" w14:textId="77777777" w:rsidR="00862A01" w:rsidRPr="00872D7E" w:rsidRDefault="00862A01" w:rsidP="00862A01">
            <w:pPr>
              <w:rPr>
                <w:color w:val="000000"/>
                <w:szCs w:val="20"/>
              </w:rPr>
            </w:pPr>
            <w:r w:rsidRPr="00872D7E">
              <w:rPr>
                <w:color w:val="000000"/>
                <w:szCs w:val="20"/>
              </w:rPr>
              <w:t>Diğer Garanti ve Kefaletler</w:t>
            </w:r>
          </w:p>
        </w:tc>
        <w:tc>
          <w:tcPr>
            <w:tcW w:w="918" w:type="pct"/>
            <w:tcBorders>
              <w:top w:val="nil"/>
              <w:left w:val="nil"/>
              <w:bottom w:val="single" w:sz="4" w:space="0" w:color="auto"/>
              <w:right w:val="nil"/>
            </w:tcBorders>
            <w:shd w:val="clear" w:color="auto" w:fill="auto"/>
            <w:noWrap/>
            <w:vAlign w:val="bottom"/>
            <w:hideMark/>
          </w:tcPr>
          <w:p w14:paraId="5063426C" w14:textId="77777777" w:rsidR="00862A01" w:rsidRPr="00872D7E" w:rsidRDefault="00862A01" w:rsidP="00683052">
            <w:pPr>
              <w:jc w:val="right"/>
              <w:rPr>
                <w:color w:val="000000"/>
                <w:szCs w:val="20"/>
              </w:rPr>
            </w:pPr>
            <w:r w:rsidRPr="00872D7E">
              <w:rPr>
                <w:color w:val="000000"/>
                <w:szCs w:val="20"/>
              </w:rPr>
              <w:t>-</w:t>
            </w:r>
          </w:p>
        </w:tc>
        <w:tc>
          <w:tcPr>
            <w:tcW w:w="918" w:type="pct"/>
            <w:tcBorders>
              <w:top w:val="nil"/>
              <w:left w:val="nil"/>
              <w:bottom w:val="single" w:sz="4" w:space="0" w:color="auto"/>
              <w:right w:val="nil"/>
            </w:tcBorders>
            <w:shd w:val="clear" w:color="auto" w:fill="auto"/>
            <w:noWrap/>
            <w:vAlign w:val="bottom"/>
            <w:hideMark/>
          </w:tcPr>
          <w:p w14:paraId="0AF7FA9C" w14:textId="77777777" w:rsidR="00862A01" w:rsidRPr="00872D7E" w:rsidRDefault="00862A01" w:rsidP="00683052">
            <w:pPr>
              <w:jc w:val="right"/>
              <w:rPr>
                <w:color w:val="000000"/>
                <w:szCs w:val="20"/>
              </w:rPr>
            </w:pPr>
            <w:r w:rsidRPr="00872D7E">
              <w:rPr>
                <w:szCs w:val="20"/>
              </w:rPr>
              <w:t>-</w:t>
            </w:r>
          </w:p>
        </w:tc>
      </w:tr>
      <w:tr w:rsidR="00862A01" w:rsidRPr="00872D7E" w14:paraId="1BFF392B" w14:textId="77777777" w:rsidTr="00683052">
        <w:trPr>
          <w:divId w:val="536703745"/>
          <w:trHeight w:val="227"/>
        </w:trPr>
        <w:tc>
          <w:tcPr>
            <w:tcW w:w="3165" w:type="pct"/>
            <w:tcBorders>
              <w:top w:val="nil"/>
              <w:left w:val="nil"/>
              <w:bottom w:val="nil"/>
              <w:right w:val="nil"/>
            </w:tcBorders>
            <w:shd w:val="clear" w:color="000000" w:fill="FFFFFF"/>
            <w:noWrap/>
            <w:vAlign w:val="bottom"/>
            <w:hideMark/>
          </w:tcPr>
          <w:p w14:paraId="09EC4027" w14:textId="77777777" w:rsidR="00862A01" w:rsidRPr="00872D7E" w:rsidRDefault="00862A01" w:rsidP="00862A01">
            <w:pPr>
              <w:rPr>
                <w:color w:val="000000"/>
                <w:szCs w:val="20"/>
              </w:rPr>
            </w:pPr>
            <w:r w:rsidRPr="00872D7E">
              <w:rPr>
                <w:color w:val="000000"/>
                <w:szCs w:val="20"/>
              </w:rPr>
              <w:t> </w:t>
            </w:r>
          </w:p>
        </w:tc>
        <w:tc>
          <w:tcPr>
            <w:tcW w:w="918" w:type="pct"/>
            <w:tcBorders>
              <w:top w:val="nil"/>
              <w:left w:val="nil"/>
              <w:bottom w:val="nil"/>
              <w:right w:val="nil"/>
            </w:tcBorders>
            <w:shd w:val="clear" w:color="000000" w:fill="FFFFFF"/>
            <w:noWrap/>
            <w:vAlign w:val="bottom"/>
            <w:hideMark/>
          </w:tcPr>
          <w:p w14:paraId="4765BC0F" w14:textId="6508180B" w:rsidR="00862A01" w:rsidRPr="00872D7E" w:rsidRDefault="00862A01" w:rsidP="00683052">
            <w:pPr>
              <w:jc w:val="right"/>
              <w:rPr>
                <w:color w:val="000000"/>
                <w:szCs w:val="20"/>
              </w:rPr>
            </w:pPr>
          </w:p>
        </w:tc>
        <w:tc>
          <w:tcPr>
            <w:tcW w:w="918" w:type="pct"/>
            <w:tcBorders>
              <w:top w:val="nil"/>
              <w:left w:val="nil"/>
              <w:bottom w:val="nil"/>
              <w:right w:val="nil"/>
            </w:tcBorders>
            <w:shd w:val="clear" w:color="000000" w:fill="FFFFFF"/>
            <w:noWrap/>
            <w:vAlign w:val="bottom"/>
            <w:hideMark/>
          </w:tcPr>
          <w:p w14:paraId="24EC6584" w14:textId="028F5B81" w:rsidR="00862A01" w:rsidRPr="00872D7E" w:rsidRDefault="00862A01" w:rsidP="00683052">
            <w:pPr>
              <w:jc w:val="right"/>
              <w:rPr>
                <w:color w:val="000000"/>
                <w:szCs w:val="20"/>
              </w:rPr>
            </w:pPr>
          </w:p>
        </w:tc>
      </w:tr>
      <w:tr w:rsidR="00862A01" w:rsidRPr="00872D7E" w14:paraId="2216DB3C" w14:textId="77777777" w:rsidTr="00683052">
        <w:trPr>
          <w:divId w:val="536703745"/>
          <w:trHeight w:val="227"/>
        </w:trPr>
        <w:tc>
          <w:tcPr>
            <w:tcW w:w="3165" w:type="pct"/>
            <w:tcBorders>
              <w:top w:val="nil"/>
              <w:left w:val="nil"/>
              <w:bottom w:val="single" w:sz="12" w:space="0" w:color="auto"/>
              <w:right w:val="nil"/>
            </w:tcBorders>
            <w:shd w:val="clear" w:color="000000" w:fill="FFFFFF"/>
            <w:noWrap/>
            <w:vAlign w:val="bottom"/>
            <w:hideMark/>
          </w:tcPr>
          <w:p w14:paraId="2940F3A6" w14:textId="77777777" w:rsidR="00862A01" w:rsidRPr="00872D7E" w:rsidRDefault="00862A01" w:rsidP="00862A01">
            <w:pPr>
              <w:rPr>
                <w:b/>
                <w:bCs/>
                <w:color w:val="000000"/>
                <w:szCs w:val="20"/>
              </w:rPr>
            </w:pPr>
            <w:r w:rsidRPr="00872D7E">
              <w:rPr>
                <w:b/>
                <w:bCs/>
                <w:szCs w:val="20"/>
              </w:rPr>
              <w:t>Toplam</w:t>
            </w:r>
          </w:p>
        </w:tc>
        <w:tc>
          <w:tcPr>
            <w:tcW w:w="918" w:type="pct"/>
            <w:tcBorders>
              <w:top w:val="nil"/>
              <w:left w:val="nil"/>
              <w:bottom w:val="single" w:sz="12" w:space="0" w:color="auto"/>
              <w:right w:val="nil"/>
            </w:tcBorders>
            <w:shd w:val="clear" w:color="auto" w:fill="auto"/>
            <w:noWrap/>
            <w:vAlign w:val="bottom"/>
            <w:hideMark/>
          </w:tcPr>
          <w:p w14:paraId="3BCFF6A8" w14:textId="77777777" w:rsidR="00862A01" w:rsidRPr="00872D7E" w:rsidRDefault="00862A01" w:rsidP="00683052">
            <w:pPr>
              <w:jc w:val="right"/>
              <w:rPr>
                <w:b/>
                <w:bCs/>
                <w:color w:val="000000"/>
                <w:szCs w:val="20"/>
              </w:rPr>
            </w:pPr>
            <w:r w:rsidRPr="00872D7E">
              <w:rPr>
                <w:b/>
                <w:bCs/>
                <w:color w:val="000000"/>
                <w:szCs w:val="20"/>
              </w:rPr>
              <w:t>7.335.714</w:t>
            </w:r>
          </w:p>
        </w:tc>
        <w:tc>
          <w:tcPr>
            <w:tcW w:w="918" w:type="pct"/>
            <w:tcBorders>
              <w:top w:val="nil"/>
              <w:left w:val="nil"/>
              <w:bottom w:val="single" w:sz="12" w:space="0" w:color="auto"/>
              <w:right w:val="nil"/>
            </w:tcBorders>
            <w:shd w:val="clear" w:color="auto" w:fill="auto"/>
            <w:noWrap/>
            <w:vAlign w:val="bottom"/>
            <w:hideMark/>
          </w:tcPr>
          <w:p w14:paraId="34364C38" w14:textId="77777777" w:rsidR="00862A01" w:rsidRPr="00872D7E" w:rsidRDefault="00862A01" w:rsidP="00683052">
            <w:pPr>
              <w:jc w:val="right"/>
              <w:rPr>
                <w:b/>
                <w:bCs/>
                <w:color w:val="000000"/>
                <w:szCs w:val="20"/>
              </w:rPr>
            </w:pPr>
            <w:r w:rsidRPr="00872D7E">
              <w:rPr>
                <w:b/>
                <w:bCs/>
                <w:szCs w:val="20"/>
              </w:rPr>
              <w:t>5.447</w:t>
            </w:r>
          </w:p>
        </w:tc>
      </w:tr>
    </w:tbl>
    <w:p w14:paraId="585E97BE" w14:textId="0F3768DD" w:rsidR="00392FA9" w:rsidRPr="00872D7E" w:rsidRDefault="00392FA9" w:rsidP="00CD770B">
      <w:pPr>
        <w:widowControl w:val="0"/>
        <w:spacing w:line="228" w:lineRule="auto"/>
        <w:ind w:left="-28" w:hanging="462"/>
        <w:jc w:val="both"/>
        <w:rPr>
          <w:b/>
          <w:szCs w:val="20"/>
        </w:rPr>
      </w:pPr>
    </w:p>
    <w:p w14:paraId="2C315255" w14:textId="27969F00" w:rsidR="00136C29" w:rsidRPr="00872D7E" w:rsidRDefault="001B0D35" w:rsidP="00A225E1">
      <w:pPr>
        <w:widowControl w:val="0"/>
        <w:spacing w:line="228" w:lineRule="auto"/>
        <w:ind w:left="1276" w:hanging="425"/>
        <w:jc w:val="both"/>
        <w:rPr>
          <w:b/>
          <w:szCs w:val="20"/>
        </w:rPr>
      </w:pPr>
      <w:r w:rsidRPr="00872D7E">
        <w:rPr>
          <w:b/>
          <w:szCs w:val="20"/>
        </w:rPr>
        <w:t>b.2.</w:t>
      </w:r>
      <w:r w:rsidR="00136C29" w:rsidRPr="00872D7E">
        <w:rPr>
          <w:b/>
          <w:szCs w:val="20"/>
        </w:rPr>
        <w:tab/>
        <w:t>Kesin teminatlar, geçici teminatlar, kefaletler ve benzeri işlemler:</w:t>
      </w:r>
    </w:p>
    <w:p w14:paraId="0BDCDA95" w14:textId="0B532176" w:rsidR="00862A01" w:rsidRPr="00872D7E" w:rsidRDefault="00862A01" w:rsidP="00CD770B">
      <w:pPr>
        <w:widowControl w:val="0"/>
        <w:tabs>
          <w:tab w:val="left" w:pos="1290"/>
        </w:tabs>
        <w:spacing w:line="228" w:lineRule="auto"/>
        <w:ind w:left="-567" w:firstLine="91"/>
        <w:jc w:val="both"/>
        <w:rPr>
          <w:szCs w:val="20"/>
        </w:rPr>
      </w:pPr>
    </w:p>
    <w:tbl>
      <w:tblPr>
        <w:tblW w:w="5000" w:type="pct"/>
        <w:tblCellMar>
          <w:left w:w="70" w:type="dxa"/>
          <w:right w:w="70" w:type="dxa"/>
        </w:tblCellMar>
        <w:tblLook w:val="04A0" w:firstRow="1" w:lastRow="0" w:firstColumn="1" w:lastColumn="0" w:noHBand="0" w:noVBand="1"/>
      </w:tblPr>
      <w:tblGrid>
        <w:gridCol w:w="5921"/>
        <w:gridCol w:w="1718"/>
        <w:gridCol w:w="1716"/>
      </w:tblGrid>
      <w:tr w:rsidR="00862A01" w:rsidRPr="00872D7E" w14:paraId="77326D9F" w14:textId="77777777" w:rsidTr="00683052">
        <w:trPr>
          <w:divId w:val="129321116"/>
          <w:trHeight w:val="227"/>
        </w:trPr>
        <w:tc>
          <w:tcPr>
            <w:tcW w:w="3165" w:type="pct"/>
            <w:tcBorders>
              <w:top w:val="nil"/>
              <w:left w:val="nil"/>
              <w:right w:val="nil"/>
            </w:tcBorders>
            <w:shd w:val="clear" w:color="auto" w:fill="auto"/>
            <w:noWrap/>
            <w:vAlign w:val="bottom"/>
            <w:hideMark/>
          </w:tcPr>
          <w:p w14:paraId="16107679" w14:textId="589CA117" w:rsidR="00862A01" w:rsidRPr="00872D7E" w:rsidRDefault="00862A01" w:rsidP="00862A01">
            <w:pPr>
              <w:rPr>
                <w:szCs w:val="20"/>
              </w:rPr>
            </w:pPr>
          </w:p>
        </w:tc>
        <w:tc>
          <w:tcPr>
            <w:tcW w:w="918" w:type="pct"/>
            <w:tcBorders>
              <w:top w:val="nil"/>
              <w:left w:val="nil"/>
              <w:right w:val="nil"/>
            </w:tcBorders>
            <w:shd w:val="clear" w:color="auto" w:fill="auto"/>
            <w:noWrap/>
            <w:vAlign w:val="bottom"/>
            <w:hideMark/>
          </w:tcPr>
          <w:p w14:paraId="109DBEAD" w14:textId="77777777" w:rsidR="00862A01" w:rsidRPr="00872D7E" w:rsidRDefault="00862A01" w:rsidP="00683052">
            <w:pPr>
              <w:jc w:val="right"/>
              <w:rPr>
                <w:b/>
                <w:bCs/>
                <w:color w:val="000000"/>
                <w:szCs w:val="20"/>
              </w:rPr>
            </w:pPr>
            <w:r w:rsidRPr="00872D7E">
              <w:rPr>
                <w:b/>
                <w:bCs/>
                <w:color w:val="000000"/>
                <w:szCs w:val="20"/>
              </w:rPr>
              <w:t>31 Aralık 2024</w:t>
            </w:r>
          </w:p>
        </w:tc>
        <w:tc>
          <w:tcPr>
            <w:tcW w:w="918" w:type="pct"/>
            <w:tcBorders>
              <w:top w:val="nil"/>
              <w:left w:val="nil"/>
              <w:right w:val="nil"/>
            </w:tcBorders>
            <w:shd w:val="clear" w:color="auto" w:fill="auto"/>
            <w:noWrap/>
            <w:vAlign w:val="bottom"/>
            <w:hideMark/>
          </w:tcPr>
          <w:p w14:paraId="0EA8A79A" w14:textId="77777777" w:rsidR="00862A01" w:rsidRPr="00872D7E" w:rsidRDefault="00862A01" w:rsidP="00683052">
            <w:pPr>
              <w:jc w:val="right"/>
              <w:rPr>
                <w:b/>
                <w:bCs/>
                <w:color w:val="000000"/>
                <w:szCs w:val="20"/>
              </w:rPr>
            </w:pPr>
            <w:r w:rsidRPr="00872D7E">
              <w:rPr>
                <w:b/>
                <w:bCs/>
                <w:color w:val="000000"/>
                <w:szCs w:val="20"/>
              </w:rPr>
              <w:t>1 Ocak 2024</w:t>
            </w:r>
          </w:p>
        </w:tc>
      </w:tr>
      <w:tr w:rsidR="00862A01" w:rsidRPr="00872D7E" w14:paraId="1464290A" w14:textId="77777777" w:rsidTr="00683052">
        <w:trPr>
          <w:divId w:val="129321116"/>
          <w:trHeight w:val="227"/>
        </w:trPr>
        <w:tc>
          <w:tcPr>
            <w:tcW w:w="3165" w:type="pct"/>
            <w:tcBorders>
              <w:left w:val="nil"/>
              <w:bottom w:val="nil"/>
              <w:right w:val="nil"/>
            </w:tcBorders>
            <w:shd w:val="clear" w:color="000000" w:fill="FFFFFF"/>
            <w:noWrap/>
            <w:vAlign w:val="bottom"/>
            <w:hideMark/>
          </w:tcPr>
          <w:p w14:paraId="64A4732E" w14:textId="77777777" w:rsidR="00862A01" w:rsidRPr="00872D7E" w:rsidRDefault="00862A01" w:rsidP="00862A01">
            <w:pPr>
              <w:rPr>
                <w:color w:val="000000"/>
                <w:szCs w:val="20"/>
              </w:rPr>
            </w:pPr>
            <w:r w:rsidRPr="00872D7E">
              <w:rPr>
                <w:color w:val="000000"/>
                <w:szCs w:val="20"/>
              </w:rPr>
              <w:t> </w:t>
            </w:r>
          </w:p>
        </w:tc>
        <w:tc>
          <w:tcPr>
            <w:tcW w:w="918" w:type="pct"/>
            <w:tcBorders>
              <w:left w:val="nil"/>
              <w:bottom w:val="nil"/>
              <w:right w:val="nil"/>
            </w:tcBorders>
            <w:shd w:val="clear" w:color="000000" w:fill="FFFFFF"/>
            <w:noWrap/>
            <w:vAlign w:val="bottom"/>
            <w:hideMark/>
          </w:tcPr>
          <w:p w14:paraId="13E3A6D2" w14:textId="5324DF56" w:rsidR="00862A01" w:rsidRPr="00872D7E" w:rsidRDefault="00862A01" w:rsidP="00683052">
            <w:pPr>
              <w:jc w:val="right"/>
              <w:rPr>
                <w:color w:val="000000"/>
                <w:szCs w:val="20"/>
              </w:rPr>
            </w:pPr>
          </w:p>
        </w:tc>
        <w:tc>
          <w:tcPr>
            <w:tcW w:w="918" w:type="pct"/>
            <w:tcBorders>
              <w:left w:val="nil"/>
              <w:bottom w:val="nil"/>
              <w:right w:val="nil"/>
            </w:tcBorders>
            <w:shd w:val="clear" w:color="000000" w:fill="FFFFFF"/>
            <w:noWrap/>
            <w:vAlign w:val="bottom"/>
            <w:hideMark/>
          </w:tcPr>
          <w:p w14:paraId="1F838A7A" w14:textId="4898D2E3" w:rsidR="00862A01" w:rsidRPr="00872D7E" w:rsidRDefault="00862A01" w:rsidP="00683052">
            <w:pPr>
              <w:jc w:val="right"/>
              <w:rPr>
                <w:color w:val="000000"/>
                <w:szCs w:val="20"/>
              </w:rPr>
            </w:pPr>
          </w:p>
        </w:tc>
      </w:tr>
      <w:tr w:rsidR="00862A01" w:rsidRPr="00872D7E" w14:paraId="2FCBE798" w14:textId="77777777" w:rsidTr="00683052">
        <w:trPr>
          <w:divId w:val="129321116"/>
          <w:trHeight w:val="227"/>
        </w:trPr>
        <w:tc>
          <w:tcPr>
            <w:tcW w:w="3165" w:type="pct"/>
            <w:tcBorders>
              <w:top w:val="nil"/>
              <w:left w:val="nil"/>
              <w:bottom w:val="nil"/>
              <w:right w:val="nil"/>
            </w:tcBorders>
            <w:shd w:val="clear" w:color="auto" w:fill="auto"/>
            <w:noWrap/>
            <w:vAlign w:val="bottom"/>
            <w:hideMark/>
          </w:tcPr>
          <w:p w14:paraId="61871961" w14:textId="77777777" w:rsidR="00862A01" w:rsidRPr="00872D7E" w:rsidRDefault="00862A01" w:rsidP="00862A01">
            <w:pPr>
              <w:rPr>
                <w:color w:val="000000"/>
                <w:szCs w:val="20"/>
              </w:rPr>
            </w:pPr>
            <w:r w:rsidRPr="00872D7E">
              <w:rPr>
                <w:color w:val="000000"/>
                <w:szCs w:val="20"/>
              </w:rPr>
              <w:t>Teminat Mektupları</w:t>
            </w:r>
          </w:p>
        </w:tc>
        <w:tc>
          <w:tcPr>
            <w:tcW w:w="918" w:type="pct"/>
            <w:tcBorders>
              <w:top w:val="nil"/>
              <w:left w:val="nil"/>
              <w:bottom w:val="nil"/>
              <w:right w:val="nil"/>
            </w:tcBorders>
            <w:shd w:val="clear" w:color="auto" w:fill="auto"/>
            <w:noWrap/>
            <w:vAlign w:val="bottom"/>
            <w:hideMark/>
          </w:tcPr>
          <w:p w14:paraId="16E599A6" w14:textId="77777777" w:rsidR="00862A01" w:rsidRPr="00872D7E" w:rsidRDefault="00862A01" w:rsidP="00683052">
            <w:pPr>
              <w:jc w:val="right"/>
              <w:rPr>
                <w:color w:val="000000"/>
                <w:szCs w:val="20"/>
              </w:rPr>
            </w:pPr>
            <w:r w:rsidRPr="00872D7E">
              <w:rPr>
                <w:color w:val="000000"/>
                <w:szCs w:val="20"/>
              </w:rPr>
              <w:t>7.335.714</w:t>
            </w:r>
          </w:p>
        </w:tc>
        <w:tc>
          <w:tcPr>
            <w:tcW w:w="918" w:type="pct"/>
            <w:tcBorders>
              <w:top w:val="nil"/>
              <w:left w:val="nil"/>
              <w:bottom w:val="nil"/>
              <w:right w:val="nil"/>
            </w:tcBorders>
            <w:shd w:val="clear" w:color="auto" w:fill="auto"/>
            <w:noWrap/>
            <w:vAlign w:val="bottom"/>
            <w:hideMark/>
          </w:tcPr>
          <w:p w14:paraId="01442F01" w14:textId="77777777" w:rsidR="00862A01" w:rsidRPr="00872D7E" w:rsidRDefault="00862A01" w:rsidP="00683052">
            <w:pPr>
              <w:jc w:val="right"/>
              <w:rPr>
                <w:color w:val="000000"/>
                <w:szCs w:val="20"/>
              </w:rPr>
            </w:pPr>
            <w:r w:rsidRPr="00872D7E">
              <w:rPr>
                <w:color w:val="000000"/>
                <w:szCs w:val="20"/>
              </w:rPr>
              <w:t>5.447</w:t>
            </w:r>
          </w:p>
        </w:tc>
      </w:tr>
      <w:tr w:rsidR="00862A01" w:rsidRPr="00872D7E" w14:paraId="2FBA358D" w14:textId="77777777" w:rsidTr="00683052">
        <w:trPr>
          <w:divId w:val="129321116"/>
          <w:trHeight w:val="227"/>
        </w:trPr>
        <w:tc>
          <w:tcPr>
            <w:tcW w:w="3165" w:type="pct"/>
            <w:tcBorders>
              <w:top w:val="nil"/>
              <w:left w:val="nil"/>
              <w:bottom w:val="nil"/>
              <w:right w:val="nil"/>
            </w:tcBorders>
            <w:shd w:val="clear" w:color="auto" w:fill="auto"/>
            <w:noWrap/>
            <w:vAlign w:val="bottom"/>
            <w:hideMark/>
          </w:tcPr>
          <w:p w14:paraId="3C808ED5" w14:textId="77777777" w:rsidR="00862A01" w:rsidRPr="00872D7E" w:rsidRDefault="00862A01" w:rsidP="00862A01">
            <w:pPr>
              <w:ind w:firstLineChars="200" w:firstLine="400"/>
              <w:rPr>
                <w:color w:val="000000"/>
                <w:szCs w:val="20"/>
              </w:rPr>
            </w:pPr>
            <w:r w:rsidRPr="00872D7E">
              <w:rPr>
                <w:szCs w:val="20"/>
              </w:rPr>
              <w:t>Kesin teminat mektupları</w:t>
            </w:r>
          </w:p>
        </w:tc>
        <w:tc>
          <w:tcPr>
            <w:tcW w:w="918" w:type="pct"/>
            <w:tcBorders>
              <w:top w:val="nil"/>
              <w:left w:val="nil"/>
              <w:bottom w:val="nil"/>
              <w:right w:val="nil"/>
            </w:tcBorders>
            <w:shd w:val="clear" w:color="auto" w:fill="auto"/>
            <w:noWrap/>
            <w:vAlign w:val="bottom"/>
            <w:hideMark/>
          </w:tcPr>
          <w:p w14:paraId="2AF453D7" w14:textId="77777777" w:rsidR="00862A01" w:rsidRPr="00872D7E" w:rsidRDefault="00862A01" w:rsidP="00683052">
            <w:pPr>
              <w:jc w:val="right"/>
              <w:rPr>
                <w:color w:val="000000"/>
                <w:szCs w:val="20"/>
              </w:rPr>
            </w:pPr>
            <w:r w:rsidRPr="00872D7E">
              <w:rPr>
                <w:color w:val="000000"/>
                <w:szCs w:val="20"/>
              </w:rPr>
              <w:t>4.861.004</w:t>
            </w:r>
          </w:p>
        </w:tc>
        <w:tc>
          <w:tcPr>
            <w:tcW w:w="918" w:type="pct"/>
            <w:tcBorders>
              <w:top w:val="nil"/>
              <w:left w:val="nil"/>
              <w:bottom w:val="nil"/>
              <w:right w:val="nil"/>
            </w:tcBorders>
            <w:shd w:val="clear" w:color="auto" w:fill="auto"/>
            <w:noWrap/>
            <w:vAlign w:val="bottom"/>
            <w:hideMark/>
          </w:tcPr>
          <w:p w14:paraId="7A4121CA" w14:textId="77777777" w:rsidR="00862A01" w:rsidRPr="00872D7E" w:rsidRDefault="00862A01" w:rsidP="00683052">
            <w:pPr>
              <w:jc w:val="right"/>
              <w:rPr>
                <w:color w:val="000000"/>
                <w:szCs w:val="20"/>
              </w:rPr>
            </w:pPr>
            <w:r w:rsidRPr="00872D7E">
              <w:rPr>
                <w:szCs w:val="20"/>
              </w:rPr>
              <w:t>5.447</w:t>
            </w:r>
          </w:p>
        </w:tc>
      </w:tr>
      <w:tr w:rsidR="00862A01" w:rsidRPr="00872D7E" w14:paraId="37E8F33B" w14:textId="77777777" w:rsidTr="00683052">
        <w:trPr>
          <w:divId w:val="129321116"/>
          <w:trHeight w:val="227"/>
        </w:trPr>
        <w:tc>
          <w:tcPr>
            <w:tcW w:w="3165" w:type="pct"/>
            <w:tcBorders>
              <w:top w:val="nil"/>
              <w:left w:val="nil"/>
              <w:bottom w:val="nil"/>
              <w:right w:val="nil"/>
            </w:tcBorders>
            <w:shd w:val="clear" w:color="auto" w:fill="auto"/>
            <w:noWrap/>
            <w:vAlign w:val="bottom"/>
            <w:hideMark/>
          </w:tcPr>
          <w:p w14:paraId="15A51CBF" w14:textId="77777777" w:rsidR="00862A01" w:rsidRPr="00872D7E" w:rsidRDefault="00862A01" w:rsidP="00862A01">
            <w:pPr>
              <w:ind w:firstLineChars="200" w:firstLine="400"/>
              <w:rPr>
                <w:color w:val="000000"/>
                <w:szCs w:val="20"/>
              </w:rPr>
            </w:pPr>
            <w:r w:rsidRPr="00872D7E">
              <w:rPr>
                <w:szCs w:val="20"/>
              </w:rPr>
              <w:t>Geçici teminat mektupları</w:t>
            </w:r>
          </w:p>
        </w:tc>
        <w:tc>
          <w:tcPr>
            <w:tcW w:w="918" w:type="pct"/>
            <w:tcBorders>
              <w:top w:val="nil"/>
              <w:left w:val="nil"/>
              <w:bottom w:val="nil"/>
              <w:right w:val="nil"/>
            </w:tcBorders>
            <w:shd w:val="clear" w:color="auto" w:fill="auto"/>
            <w:noWrap/>
            <w:vAlign w:val="bottom"/>
            <w:hideMark/>
          </w:tcPr>
          <w:p w14:paraId="7A4C798A" w14:textId="77777777" w:rsidR="00862A01" w:rsidRPr="00872D7E" w:rsidRDefault="00862A01" w:rsidP="00683052">
            <w:pPr>
              <w:jc w:val="right"/>
              <w:rPr>
                <w:color w:val="000000"/>
                <w:szCs w:val="20"/>
              </w:rPr>
            </w:pPr>
            <w:r w:rsidRPr="00872D7E">
              <w:rPr>
                <w:color w:val="000000"/>
                <w:szCs w:val="20"/>
              </w:rPr>
              <w:t>1.631.122</w:t>
            </w:r>
          </w:p>
        </w:tc>
        <w:tc>
          <w:tcPr>
            <w:tcW w:w="918" w:type="pct"/>
            <w:tcBorders>
              <w:top w:val="nil"/>
              <w:left w:val="nil"/>
              <w:bottom w:val="nil"/>
              <w:right w:val="nil"/>
            </w:tcBorders>
            <w:shd w:val="clear" w:color="auto" w:fill="auto"/>
            <w:noWrap/>
            <w:vAlign w:val="bottom"/>
            <w:hideMark/>
          </w:tcPr>
          <w:p w14:paraId="62DF9F23" w14:textId="77777777" w:rsidR="00862A01" w:rsidRPr="00872D7E" w:rsidRDefault="00862A01" w:rsidP="00683052">
            <w:pPr>
              <w:jc w:val="right"/>
              <w:rPr>
                <w:color w:val="000000"/>
                <w:szCs w:val="20"/>
              </w:rPr>
            </w:pPr>
            <w:r w:rsidRPr="00872D7E">
              <w:rPr>
                <w:szCs w:val="20"/>
              </w:rPr>
              <w:t>-</w:t>
            </w:r>
          </w:p>
        </w:tc>
      </w:tr>
      <w:tr w:rsidR="00862A01" w:rsidRPr="00872D7E" w14:paraId="2D12681A" w14:textId="77777777" w:rsidTr="00683052">
        <w:trPr>
          <w:divId w:val="129321116"/>
          <w:trHeight w:val="227"/>
        </w:trPr>
        <w:tc>
          <w:tcPr>
            <w:tcW w:w="3165" w:type="pct"/>
            <w:tcBorders>
              <w:top w:val="nil"/>
              <w:left w:val="nil"/>
              <w:bottom w:val="nil"/>
              <w:right w:val="nil"/>
            </w:tcBorders>
            <w:shd w:val="clear" w:color="auto" w:fill="auto"/>
            <w:noWrap/>
            <w:vAlign w:val="bottom"/>
            <w:hideMark/>
          </w:tcPr>
          <w:p w14:paraId="7EC7FF63" w14:textId="77777777" w:rsidR="00862A01" w:rsidRPr="00872D7E" w:rsidRDefault="00862A01" w:rsidP="00862A01">
            <w:pPr>
              <w:ind w:firstLineChars="200" w:firstLine="400"/>
              <w:rPr>
                <w:color w:val="000000"/>
                <w:szCs w:val="20"/>
              </w:rPr>
            </w:pPr>
            <w:r w:rsidRPr="00872D7E">
              <w:rPr>
                <w:szCs w:val="20"/>
              </w:rPr>
              <w:t xml:space="preserve">Avans teminat mektupları </w:t>
            </w:r>
          </w:p>
        </w:tc>
        <w:tc>
          <w:tcPr>
            <w:tcW w:w="918" w:type="pct"/>
            <w:tcBorders>
              <w:top w:val="nil"/>
              <w:left w:val="nil"/>
              <w:bottom w:val="nil"/>
              <w:right w:val="nil"/>
            </w:tcBorders>
            <w:shd w:val="clear" w:color="auto" w:fill="auto"/>
            <w:noWrap/>
            <w:vAlign w:val="bottom"/>
            <w:hideMark/>
          </w:tcPr>
          <w:p w14:paraId="599D7AD0" w14:textId="77777777" w:rsidR="00862A01" w:rsidRPr="00872D7E" w:rsidRDefault="00862A01" w:rsidP="00683052">
            <w:pPr>
              <w:jc w:val="right"/>
              <w:rPr>
                <w:color w:val="000000"/>
                <w:szCs w:val="20"/>
              </w:rPr>
            </w:pPr>
            <w:r w:rsidRPr="00872D7E">
              <w:rPr>
                <w:color w:val="000000"/>
                <w:szCs w:val="20"/>
              </w:rPr>
              <w:t>843.587</w:t>
            </w:r>
          </w:p>
        </w:tc>
        <w:tc>
          <w:tcPr>
            <w:tcW w:w="918" w:type="pct"/>
            <w:tcBorders>
              <w:top w:val="nil"/>
              <w:left w:val="nil"/>
              <w:bottom w:val="nil"/>
              <w:right w:val="nil"/>
            </w:tcBorders>
            <w:shd w:val="clear" w:color="auto" w:fill="auto"/>
            <w:noWrap/>
            <w:vAlign w:val="bottom"/>
            <w:hideMark/>
          </w:tcPr>
          <w:p w14:paraId="097D7587" w14:textId="77777777" w:rsidR="00862A01" w:rsidRPr="00872D7E" w:rsidRDefault="00862A01" w:rsidP="00683052">
            <w:pPr>
              <w:jc w:val="right"/>
              <w:rPr>
                <w:color w:val="000000"/>
                <w:szCs w:val="20"/>
              </w:rPr>
            </w:pPr>
            <w:r w:rsidRPr="00872D7E">
              <w:rPr>
                <w:szCs w:val="20"/>
              </w:rPr>
              <w:t>-</w:t>
            </w:r>
          </w:p>
        </w:tc>
      </w:tr>
      <w:tr w:rsidR="00862A01" w:rsidRPr="00872D7E" w14:paraId="722C93D2" w14:textId="77777777" w:rsidTr="00683052">
        <w:trPr>
          <w:divId w:val="129321116"/>
          <w:trHeight w:val="227"/>
        </w:trPr>
        <w:tc>
          <w:tcPr>
            <w:tcW w:w="3165" w:type="pct"/>
            <w:tcBorders>
              <w:top w:val="nil"/>
              <w:left w:val="nil"/>
              <w:bottom w:val="nil"/>
              <w:right w:val="nil"/>
            </w:tcBorders>
            <w:shd w:val="clear" w:color="auto" w:fill="auto"/>
            <w:noWrap/>
            <w:vAlign w:val="bottom"/>
            <w:hideMark/>
          </w:tcPr>
          <w:p w14:paraId="36307FCB" w14:textId="77777777" w:rsidR="00862A01" w:rsidRPr="00872D7E" w:rsidRDefault="00862A01" w:rsidP="00862A01">
            <w:pPr>
              <w:ind w:firstLineChars="200" w:firstLine="400"/>
              <w:rPr>
                <w:color w:val="000000"/>
                <w:szCs w:val="20"/>
              </w:rPr>
            </w:pPr>
            <w:r w:rsidRPr="00872D7E">
              <w:rPr>
                <w:szCs w:val="20"/>
              </w:rPr>
              <w:t>Gümrüklere verilen teminat mektupları</w:t>
            </w:r>
          </w:p>
        </w:tc>
        <w:tc>
          <w:tcPr>
            <w:tcW w:w="918" w:type="pct"/>
            <w:tcBorders>
              <w:top w:val="nil"/>
              <w:left w:val="nil"/>
              <w:bottom w:val="nil"/>
              <w:right w:val="nil"/>
            </w:tcBorders>
            <w:shd w:val="clear" w:color="auto" w:fill="auto"/>
            <w:noWrap/>
            <w:vAlign w:val="bottom"/>
            <w:hideMark/>
          </w:tcPr>
          <w:p w14:paraId="7DA35A1F" w14:textId="77777777" w:rsidR="00862A01" w:rsidRPr="00872D7E" w:rsidRDefault="00862A01" w:rsidP="00683052">
            <w:pPr>
              <w:jc w:val="right"/>
              <w:rPr>
                <w:color w:val="000000"/>
                <w:szCs w:val="20"/>
              </w:rPr>
            </w:pPr>
            <w:r w:rsidRPr="00872D7E">
              <w:rPr>
                <w:color w:val="000000"/>
                <w:szCs w:val="20"/>
              </w:rPr>
              <w:t>1</w:t>
            </w:r>
          </w:p>
        </w:tc>
        <w:tc>
          <w:tcPr>
            <w:tcW w:w="918" w:type="pct"/>
            <w:tcBorders>
              <w:top w:val="nil"/>
              <w:left w:val="nil"/>
              <w:bottom w:val="nil"/>
              <w:right w:val="nil"/>
            </w:tcBorders>
            <w:shd w:val="clear" w:color="auto" w:fill="auto"/>
            <w:noWrap/>
            <w:vAlign w:val="bottom"/>
            <w:hideMark/>
          </w:tcPr>
          <w:p w14:paraId="7EC54D1F" w14:textId="77777777" w:rsidR="00862A01" w:rsidRPr="00872D7E" w:rsidRDefault="00862A01" w:rsidP="00683052">
            <w:pPr>
              <w:jc w:val="right"/>
              <w:rPr>
                <w:color w:val="000000"/>
                <w:szCs w:val="20"/>
              </w:rPr>
            </w:pPr>
            <w:r w:rsidRPr="00872D7E">
              <w:rPr>
                <w:szCs w:val="20"/>
              </w:rPr>
              <w:t>-</w:t>
            </w:r>
          </w:p>
        </w:tc>
      </w:tr>
      <w:tr w:rsidR="00862A01" w:rsidRPr="00872D7E" w14:paraId="413ED28C" w14:textId="77777777" w:rsidTr="00683052">
        <w:trPr>
          <w:divId w:val="129321116"/>
          <w:trHeight w:val="227"/>
        </w:trPr>
        <w:tc>
          <w:tcPr>
            <w:tcW w:w="3165" w:type="pct"/>
            <w:tcBorders>
              <w:top w:val="nil"/>
              <w:left w:val="nil"/>
              <w:bottom w:val="single" w:sz="4" w:space="0" w:color="auto"/>
              <w:right w:val="nil"/>
            </w:tcBorders>
            <w:shd w:val="clear" w:color="auto" w:fill="auto"/>
            <w:noWrap/>
            <w:vAlign w:val="bottom"/>
            <w:hideMark/>
          </w:tcPr>
          <w:p w14:paraId="332FDF58" w14:textId="77777777" w:rsidR="00862A01" w:rsidRPr="00872D7E" w:rsidRDefault="00862A01" w:rsidP="00862A01">
            <w:pPr>
              <w:rPr>
                <w:color w:val="000000"/>
                <w:szCs w:val="20"/>
              </w:rPr>
            </w:pPr>
            <w:r w:rsidRPr="00872D7E">
              <w:rPr>
                <w:szCs w:val="20"/>
              </w:rPr>
              <w:t>Kefalet ve Benzeri İşlemler</w:t>
            </w:r>
          </w:p>
        </w:tc>
        <w:tc>
          <w:tcPr>
            <w:tcW w:w="918" w:type="pct"/>
            <w:tcBorders>
              <w:top w:val="nil"/>
              <w:left w:val="nil"/>
              <w:bottom w:val="single" w:sz="4" w:space="0" w:color="auto"/>
              <w:right w:val="nil"/>
            </w:tcBorders>
            <w:shd w:val="clear" w:color="auto" w:fill="auto"/>
            <w:noWrap/>
            <w:vAlign w:val="bottom"/>
            <w:hideMark/>
          </w:tcPr>
          <w:p w14:paraId="4E97F6C7" w14:textId="77777777" w:rsidR="00862A01" w:rsidRPr="00872D7E" w:rsidRDefault="00862A01" w:rsidP="00683052">
            <w:pPr>
              <w:jc w:val="right"/>
              <w:rPr>
                <w:color w:val="000000"/>
                <w:szCs w:val="20"/>
              </w:rPr>
            </w:pPr>
            <w:r w:rsidRPr="00872D7E">
              <w:rPr>
                <w:color w:val="000000"/>
                <w:szCs w:val="20"/>
              </w:rPr>
              <w:t>-</w:t>
            </w:r>
          </w:p>
        </w:tc>
        <w:tc>
          <w:tcPr>
            <w:tcW w:w="918" w:type="pct"/>
            <w:tcBorders>
              <w:top w:val="nil"/>
              <w:left w:val="nil"/>
              <w:bottom w:val="single" w:sz="4" w:space="0" w:color="auto"/>
              <w:right w:val="nil"/>
            </w:tcBorders>
            <w:shd w:val="clear" w:color="auto" w:fill="auto"/>
            <w:noWrap/>
            <w:vAlign w:val="bottom"/>
            <w:hideMark/>
          </w:tcPr>
          <w:p w14:paraId="36E318E5" w14:textId="77777777" w:rsidR="00862A01" w:rsidRPr="00872D7E" w:rsidRDefault="00862A01" w:rsidP="00683052">
            <w:pPr>
              <w:jc w:val="right"/>
              <w:rPr>
                <w:color w:val="000000"/>
                <w:szCs w:val="20"/>
              </w:rPr>
            </w:pPr>
            <w:r w:rsidRPr="00872D7E">
              <w:rPr>
                <w:color w:val="000000"/>
                <w:szCs w:val="20"/>
              </w:rPr>
              <w:t>-</w:t>
            </w:r>
          </w:p>
        </w:tc>
      </w:tr>
      <w:tr w:rsidR="00862A01" w:rsidRPr="00872D7E" w14:paraId="24CACB0D" w14:textId="77777777" w:rsidTr="00683052">
        <w:trPr>
          <w:divId w:val="129321116"/>
          <w:trHeight w:val="227"/>
        </w:trPr>
        <w:tc>
          <w:tcPr>
            <w:tcW w:w="3165" w:type="pct"/>
            <w:tcBorders>
              <w:top w:val="nil"/>
              <w:left w:val="nil"/>
              <w:right w:val="nil"/>
            </w:tcBorders>
            <w:shd w:val="clear" w:color="000000" w:fill="FFFFFF"/>
            <w:noWrap/>
            <w:vAlign w:val="bottom"/>
            <w:hideMark/>
          </w:tcPr>
          <w:p w14:paraId="22201808" w14:textId="77777777" w:rsidR="00862A01" w:rsidRPr="00872D7E" w:rsidRDefault="00862A01" w:rsidP="00862A01">
            <w:pPr>
              <w:rPr>
                <w:b/>
                <w:bCs/>
                <w:color w:val="000000"/>
                <w:szCs w:val="20"/>
              </w:rPr>
            </w:pPr>
            <w:r w:rsidRPr="00872D7E">
              <w:rPr>
                <w:b/>
                <w:bCs/>
                <w:color w:val="000000"/>
                <w:szCs w:val="20"/>
              </w:rPr>
              <w:t> </w:t>
            </w:r>
          </w:p>
        </w:tc>
        <w:tc>
          <w:tcPr>
            <w:tcW w:w="918" w:type="pct"/>
            <w:tcBorders>
              <w:top w:val="nil"/>
              <w:left w:val="nil"/>
              <w:right w:val="nil"/>
            </w:tcBorders>
            <w:shd w:val="clear" w:color="000000" w:fill="FFFFFF"/>
            <w:noWrap/>
            <w:vAlign w:val="bottom"/>
            <w:hideMark/>
          </w:tcPr>
          <w:p w14:paraId="4446B636" w14:textId="29DF36D7" w:rsidR="00862A01" w:rsidRPr="00872D7E" w:rsidRDefault="00862A01" w:rsidP="00683052">
            <w:pPr>
              <w:jc w:val="right"/>
              <w:rPr>
                <w:color w:val="000000"/>
                <w:szCs w:val="20"/>
              </w:rPr>
            </w:pPr>
          </w:p>
        </w:tc>
        <w:tc>
          <w:tcPr>
            <w:tcW w:w="918" w:type="pct"/>
            <w:tcBorders>
              <w:top w:val="nil"/>
              <w:left w:val="nil"/>
              <w:right w:val="nil"/>
            </w:tcBorders>
            <w:shd w:val="clear" w:color="000000" w:fill="FFFFFF"/>
            <w:noWrap/>
            <w:vAlign w:val="bottom"/>
            <w:hideMark/>
          </w:tcPr>
          <w:p w14:paraId="67C8FE25" w14:textId="7347B0EA" w:rsidR="00862A01" w:rsidRPr="00872D7E" w:rsidRDefault="00862A01" w:rsidP="00683052">
            <w:pPr>
              <w:jc w:val="right"/>
              <w:rPr>
                <w:color w:val="000000"/>
                <w:szCs w:val="20"/>
              </w:rPr>
            </w:pPr>
          </w:p>
        </w:tc>
      </w:tr>
      <w:tr w:rsidR="00862A01" w:rsidRPr="00872D7E" w14:paraId="7C18D0EE" w14:textId="77777777" w:rsidTr="00683052">
        <w:trPr>
          <w:divId w:val="129321116"/>
          <w:trHeight w:val="227"/>
        </w:trPr>
        <w:tc>
          <w:tcPr>
            <w:tcW w:w="3165" w:type="pct"/>
            <w:tcBorders>
              <w:top w:val="nil"/>
              <w:left w:val="nil"/>
              <w:bottom w:val="single" w:sz="12" w:space="0" w:color="auto"/>
              <w:right w:val="nil"/>
            </w:tcBorders>
            <w:shd w:val="clear" w:color="000000" w:fill="FFFFFF"/>
            <w:noWrap/>
            <w:vAlign w:val="bottom"/>
            <w:hideMark/>
          </w:tcPr>
          <w:p w14:paraId="12DC83FF" w14:textId="77777777" w:rsidR="00862A01" w:rsidRPr="00872D7E" w:rsidRDefault="00862A01" w:rsidP="00862A01">
            <w:pPr>
              <w:rPr>
                <w:b/>
                <w:bCs/>
                <w:color w:val="000000"/>
                <w:szCs w:val="20"/>
              </w:rPr>
            </w:pPr>
            <w:r w:rsidRPr="00872D7E">
              <w:rPr>
                <w:b/>
                <w:bCs/>
                <w:szCs w:val="20"/>
              </w:rPr>
              <w:t>Toplam</w:t>
            </w:r>
          </w:p>
        </w:tc>
        <w:tc>
          <w:tcPr>
            <w:tcW w:w="918" w:type="pct"/>
            <w:tcBorders>
              <w:top w:val="nil"/>
              <w:left w:val="nil"/>
              <w:bottom w:val="single" w:sz="12" w:space="0" w:color="auto"/>
              <w:right w:val="nil"/>
            </w:tcBorders>
            <w:shd w:val="clear" w:color="auto" w:fill="auto"/>
            <w:noWrap/>
            <w:vAlign w:val="bottom"/>
            <w:hideMark/>
          </w:tcPr>
          <w:p w14:paraId="30C0920C" w14:textId="77777777" w:rsidR="00862A01" w:rsidRPr="00872D7E" w:rsidRDefault="00862A01" w:rsidP="00683052">
            <w:pPr>
              <w:jc w:val="right"/>
              <w:rPr>
                <w:b/>
                <w:bCs/>
                <w:color w:val="000000"/>
                <w:szCs w:val="20"/>
              </w:rPr>
            </w:pPr>
            <w:r w:rsidRPr="00872D7E">
              <w:rPr>
                <w:b/>
                <w:bCs/>
                <w:color w:val="000000"/>
                <w:szCs w:val="20"/>
              </w:rPr>
              <w:t>7.335.714</w:t>
            </w:r>
          </w:p>
        </w:tc>
        <w:tc>
          <w:tcPr>
            <w:tcW w:w="918" w:type="pct"/>
            <w:tcBorders>
              <w:top w:val="nil"/>
              <w:left w:val="nil"/>
              <w:bottom w:val="single" w:sz="12" w:space="0" w:color="auto"/>
              <w:right w:val="nil"/>
            </w:tcBorders>
            <w:shd w:val="clear" w:color="auto" w:fill="auto"/>
            <w:noWrap/>
            <w:vAlign w:val="bottom"/>
            <w:hideMark/>
          </w:tcPr>
          <w:p w14:paraId="66AFA9FA" w14:textId="77777777" w:rsidR="00862A01" w:rsidRPr="00872D7E" w:rsidRDefault="00862A01" w:rsidP="00683052">
            <w:pPr>
              <w:jc w:val="right"/>
              <w:rPr>
                <w:b/>
                <w:bCs/>
                <w:color w:val="000000"/>
                <w:szCs w:val="20"/>
              </w:rPr>
            </w:pPr>
            <w:r w:rsidRPr="00872D7E">
              <w:rPr>
                <w:b/>
                <w:bCs/>
                <w:color w:val="000000"/>
                <w:szCs w:val="20"/>
              </w:rPr>
              <w:t>5.447</w:t>
            </w:r>
          </w:p>
        </w:tc>
      </w:tr>
    </w:tbl>
    <w:p w14:paraId="4253A622" w14:textId="359E0C85" w:rsidR="00584460" w:rsidRPr="00872D7E" w:rsidRDefault="00584460" w:rsidP="00CD770B">
      <w:pPr>
        <w:widowControl w:val="0"/>
        <w:tabs>
          <w:tab w:val="left" w:pos="1290"/>
        </w:tabs>
        <w:spacing w:line="228" w:lineRule="auto"/>
        <w:ind w:left="-567" w:firstLine="91"/>
        <w:jc w:val="both"/>
        <w:rPr>
          <w:b/>
          <w:szCs w:val="20"/>
        </w:rPr>
      </w:pPr>
    </w:p>
    <w:p w14:paraId="52DE95B3" w14:textId="77777777" w:rsidR="00584460" w:rsidRPr="00872D7E" w:rsidRDefault="00584460">
      <w:pPr>
        <w:rPr>
          <w:b/>
          <w:szCs w:val="20"/>
        </w:rPr>
      </w:pPr>
      <w:r w:rsidRPr="00872D7E">
        <w:rPr>
          <w:b/>
          <w:szCs w:val="20"/>
        </w:rPr>
        <w:br w:type="page"/>
      </w:r>
    </w:p>
    <w:p w14:paraId="7FCFEF54" w14:textId="77777777" w:rsidR="00584460" w:rsidRPr="00872D7E" w:rsidRDefault="00584460" w:rsidP="00584460">
      <w:pPr>
        <w:widowControl w:val="0"/>
        <w:spacing w:line="228" w:lineRule="auto"/>
        <w:jc w:val="both"/>
        <w:rPr>
          <w:b/>
          <w:szCs w:val="20"/>
        </w:rPr>
      </w:pPr>
      <w:r w:rsidRPr="00872D7E">
        <w:rPr>
          <w:b/>
          <w:szCs w:val="20"/>
        </w:rPr>
        <w:lastRenderedPageBreak/>
        <w:t>KONSOLİDE OLMAYAN FİNANSAL TABLOLARA İLİŞKİN AÇIKLAMA VE DİPNOTLAR (Devamı)</w:t>
      </w:r>
    </w:p>
    <w:p w14:paraId="671D6E23" w14:textId="77777777" w:rsidR="00584460" w:rsidRPr="00872D7E" w:rsidRDefault="00584460" w:rsidP="00584460">
      <w:pPr>
        <w:widowControl w:val="0"/>
        <w:spacing w:line="228" w:lineRule="auto"/>
        <w:ind w:left="-14" w:hanging="504"/>
        <w:jc w:val="both"/>
        <w:rPr>
          <w:b/>
          <w:szCs w:val="20"/>
        </w:rPr>
      </w:pPr>
    </w:p>
    <w:p w14:paraId="6F172208" w14:textId="1DA710C3" w:rsidR="00584460" w:rsidRPr="00872D7E" w:rsidRDefault="00584460" w:rsidP="00584460">
      <w:pPr>
        <w:widowControl w:val="0"/>
        <w:spacing w:line="228" w:lineRule="auto"/>
        <w:ind w:left="851" w:hanging="851"/>
        <w:jc w:val="both"/>
        <w:rPr>
          <w:b/>
          <w:szCs w:val="20"/>
        </w:rPr>
      </w:pPr>
      <w:r w:rsidRPr="00872D7E">
        <w:rPr>
          <w:b/>
          <w:szCs w:val="20"/>
        </w:rPr>
        <w:t xml:space="preserve">III. </w:t>
      </w:r>
      <w:r w:rsidRPr="00872D7E">
        <w:rPr>
          <w:b/>
          <w:szCs w:val="20"/>
        </w:rPr>
        <w:tab/>
        <w:t>NAZIM HESAPLARA İLİŞKİN AÇIKLAMA VE DİPNOTLAR (Devamı)</w:t>
      </w:r>
    </w:p>
    <w:p w14:paraId="65818DA2" w14:textId="77777777" w:rsidR="00584460" w:rsidRPr="00872D7E" w:rsidRDefault="00584460" w:rsidP="00584460">
      <w:pPr>
        <w:widowControl w:val="0"/>
        <w:spacing w:line="228" w:lineRule="auto"/>
        <w:ind w:left="-14" w:hanging="504"/>
        <w:jc w:val="both"/>
        <w:rPr>
          <w:b/>
          <w:szCs w:val="20"/>
        </w:rPr>
      </w:pPr>
    </w:p>
    <w:p w14:paraId="36235C17" w14:textId="77777777" w:rsidR="00584460" w:rsidRPr="00872D7E" w:rsidRDefault="00584460" w:rsidP="00DF282B">
      <w:pPr>
        <w:pStyle w:val="ListParagraph"/>
        <w:widowControl w:val="0"/>
        <w:numPr>
          <w:ilvl w:val="0"/>
          <w:numId w:val="60"/>
        </w:numPr>
        <w:spacing w:line="228" w:lineRule="auto"/>
        <w:ind w:left="851" w:hanging="851"/>
        <w:jc w:val="both"/>
        <w:rPr>
          <w:b/>
          <w:szCs w:val="20"/>
        </w:rPr>
      </w:pPr>
      <w:r w:rsidRPr="00872D7E">
        <w:rPr>
          <w:b/>
          <w:szCs w:val="20"/>
        </w:rPr>
        <w:t>Nazım hesaplarda yer alan yükümlülüklere ilişkin açıklama: (Devamı)</w:t>
      </w:r>
    </w:p>
    <w:p w14:paraId="4C31921C" w14:textId="77777777" w:rsidR="00392FA9" w:rsidRPr="00872D7E" w:rsidRDefault="00392FA9" w:rsidP="00CD770B">
      <w:pPr>
        <w:widowControl w:val="0"/>
        <w:tabs>
          <w:tab w:val="left" w:pos="1290"/>
        </w:tabs>
        <w:spacing w:line="228" w:lineRule="auto"/>
        <w:ind w:left="-567" w:firstLine="91"/>
        <w:jc w:val="both"/>
        <w:rPr>
          <w:b/>
          <w:szCs w:val="20"/>
        </w:rPr>
      </w:pPr>
    </w:p>
    <w:p w14:paraId="17596A96" w14:textId="24B5DF2A" w:rsidR="003C75C9" w:rsidRPr="00872D7E" w:rsidRDefault="003C75C9" w:rsidP="00212E4A">
      <w:pPr>
        <w:pStyle w:val="ListParagraph"/>
        <w:widowControl w:val="0"/>
        <w:numPr>
          <w:ilvl w:val="0"/>
          <w:numId w:val="33"/>
        </w:numPr>
        <w:spacing w:line="228" w:lineRule="auto"/>
        <w:ind w:left="1276" w:hanging="425"/>
        <w:jc w:val="both"/>
        <w:rPr>
          <w:b/>
          <w:szCs w:val="20"/>
        </w:rPr>
      </w:pPr>
      <w:proofErr w:type="spellStart"/>
      <w:r w:rsidRPr="00872D7E">
        <w:rPr>
          <w:b/>
          <w:szCs w:val="20"/>
        </w:rPr>
        <w:t>Gayrinakdi</w:t>
      </w:r>
      <w:proofErr w:type="spellEnd"/>
      <w:r w:rsidRPr="00872D7E">
        <w:rPr>
          <w:b/>
          <w:szCs w:val="20"/>
        </w:rPr>
        <w:t xml:space="preserve"> Krediler Kapsamında:</w:t>
      </w:r>
    </w:p>
    <w:p w14:paraId="4AB1DE9C" w14:textId="77777777" w:rsidR="00392FA9" w:rsidRPr="00872D7E" w:rsidRDefault="00392FA9" w:rsidP="00CD770B">
      <w:pPr>
        <w:widowControl w:val="0"/>
        <w:tabs>
          <w:tab w:val="left" w:pos="1290"/>
        </w:tabs>
        <w:spacing w:line="228" w:lineRule="auto"/>
        <w:ind w:left="2700"/>
        <w:jc w:val="both"/>
        <w:rPr>
          <w:b/>
          <w:szCs w:val="20"/>
        </w:rPr>
      </w:pPr>
    </w:p>
    <w:p w14:paraId="208ADB2F" w14:textId="00E1549B" w:rsidR="00392FA9" w:rsidRPr="00872D7E" w:rsidRDefault="00BC67EF" w:rsidP="00752344">
      <w:pPr>
        <w:widowControl w:val="0"/>
        <w:spacing w:line="228" w:lineRule="auto"/>
        <w:ind w:left="1276" w:hanging="425"/>
        <w:jc w:val="both"/>
        <w:rPr>
          <w:b/>
          <w:szCs w:val="20"/>
        </w:rPr>
      </w:pPr>
      <w:r w:rsidRPr="00872D7E">
        <w:rPr>
          <w:b/>
          <w:szCs w:val="20"/>
        </w:rPr>
        <w:t>c.1.</w:t>
      </w:r>
      <w:r w:rsidR="00875144" w:rsidRPr="00872D7E">
        <w:rPr>
          <w:b/>
          <w:szCs w:val="20"/>
        </w:rPr>
        <w:tab/>
      </w:r>
      <w:proofErr w:type="spellStart"/>
      <w:r w:rsidR="00136C29" w:rsidRPr="00872D7E">
        <w:rPr>
          <w:b/>
          <w:szCs w:val="20"/>
        </w:rPr>
        <w:t>Gayrinakdi</w:t>
      </w:r>
      <w:proofErr w:type="spellEnd"/>
      <w:r w:rsidR="00136C29" w:rsidRPr="00872D7E">
        <w:rPr>
          <w:b/>
          <w:szCs w:val="20"/>
        </w:rPr>
        <w:t xml:space="preserve"> kredilerin toplam tutarı:</w:t>
      </w:r>
    </w:p>
    <w:p w14:paraId="692DF4A3" w14:textId="7B4588CD" w:rsidR="00862A01" w:rsidRPr="00872D7E" w:rsidRDefault="00862A01" w:rsidP="009F6E11">
      <w:pPr>
        <w:widowControl w:val="0"/>
        <w:spacing w:line="228" w:lineRule="auto"/>
        <w:rPr>
          <w:szCs w:val="20"/>
        </w:rPr>
      </w:pPr>
    </w:p>
    <w:tbl>
      <w:tblPr>
        <w:tblW w:w="5000" w:type="pct"/>
        <w:tblCellMar>
          <w:left w:w="70" w:type="dxa"/>
          <w:right w:w="70" w:type="dxa"/>
        </w:tblCellMar>
        <w:tblLook w:val="04A0" w:firstRow="1" w:lastRow="0" w:firstColumn="1" w:lastColumn="0" w:noHBand="0" w:noVBand="1"/>
      </w:tblPr>
      <w:tblGrid>
        <w:gridCol w:w="5823"/>
        <w:gridCol w:w="1766"/>
        <w:gridCol w:w="1766"/>
      </w:tblGrid>
      <w:tr w:rsidR="00862A01" w:rsidRPr="00872D7E" w14:paraId="0562E589" w14:textId="77777777" w:rsidTr="00683052">
        <w:trPr>
          <w:divId w:val="913129398"/>
          <w:trHeight w:val="227"/>
        </w:trPr>
        <w:tc>
          <w:tcPr>
            <w:tcW w:w="3112" w:type="pct"/>
            <w:tcBorders>
              <w:top w:val="nil"/>
              <w:left w:val="nil"/>
              <w:right w:val="nil"/>
            </w:tcBorders>
            <w:shd w:val="clear" w:color="auto" w:fill="auto"/>
            <w:hideMark/>
          </w:tcPr>
          <w:p w14:paraId="32B8E58A" w14:textId="34DEFA1D" w:rsidR="00862A01" w:rsidRPr="00872D7E" w:rsidRDefault="00862A01" w:rsidP="00862A01">
            <w:pPr>
              <w:rPr>
                <w:szCs w:val="20"/>
              </w:rPr>
            </w:pPr>
          </w:p>
        </w:tc>
        <w:tc>
          <w:tcPr>
            <w:tcW w:w="944" w:type="pct"/>
            <w:tcBorders>
              <w:top w:val="nil"/>
              <w:left w:val="nil"/>
              <w:right w:val="nil"/>
            </w:tcBorders>
            <w:shd w:val="clear" w:color="auto" w:fill="auto"/>
            <w:noWrap/>
            <w:vAlign w:val="bottom"/>
            <w:hideMark/>
          </w:tcPr>
          <w:p w14:paraId="7A4AB61F" w14:textId="77777777" w:rsidR="00862A01" w:rsidRPr="00872D7E" w:rsidRDefault="00862A01" w:rsidP="00683052">
            <w:pPr>
              <w:jc w:val="right"/>
              <w:rPr>
                <w:b/>
                <w:bCs/>
                <w:color w:val="000000"/>
                <w:szCs w:val="20"/>
              </w:rPr>
            </w:pPr>
            <w:r w:rsidRPr="00872D7E">
              <w:rPr>
                <w:b/>
                <w:bCs/>
                <w:color w:val="000000"/>
                <w:szCs w:val="20"/>
              </w:rPr>
              <w:t>31 Aralık 2024</w:t>
            </w:r>
          </w:p>
        </w:tc>
        <w:tc>
          <w:tcPr>
            <w:tcW w:w="944" w:type="pct"/>
            <w:tcBorders>
              <w:top w:val="nil"/>
              <w:left w:val="nil"/>
              <w:right w:val="nil"/>
            </w:tcBorders>
            <w:shd w:val="clear" w:color="auto" w:fill="auto"/>
            <w:noWrap/>
            <w:vAlign w:val="bottom"/>
            <w:hideMark/>
          </w:tcPr>
          <w:p w14:paraId="1F39BF0C" w14:textId="77777777" w:rsidR="00862A01" w:rsidRPr="00872D7E" w:rsidRDefault="00862A01" w:rsidP="00683052">
            <w:pPr>
              <w:jc w:val="right"/>
              <w:rPr>
                <w:b/>
                <w:bCs/>
                <w:color w:val="000000"/>
                <w:szCs w:val="20"/>
              </w:rPr>
            </w:pPr>
            <w:r w:rsidRPr="00872D7E">
              <w:rPr>
                <w:b/>
                <w:bCs/>
                <w:color w:val="000000"/>
                <w:szCs w:val="20"/>
              </w:rPr>
              <w:t>1 Ocak 2024</w:t>
            </w:r>
          </w:p>
        </w:tc>
      </w:tr>
      <w:tr w:rsidR="00862A01" w:rsidRPr="00872D7E" w14:paraId="13B1E2B2" w14:textId="77777777" w:rsidTr="00683052">
        <w:trPr>
          <w:divId w:val="913129398"/>
          <w:trHeight w:val="227"/>
        </w:trPr>
        <w:tc>
          <w:tcPr>
            <w:tcW w:w="3112" w:type="pct"/>
            <w:tcBorders>
              <w:left w:val="nil"/>
              <w:bottom w:val="nil"/>
              <w:right w:val="nil"/>
            </w:tcBorders>
            <w:shd w:val="clear" w:color="auto" w:fill="auto"/>
            <w:vAlign w:val="bottom"/>
            <w:hideMark/>
          </w:tcPr>
          <w:p w14:paraId="3E0C78C2" w14:textId="77777777" w:rsidR="00862A01" w:rsidRPr="00872D7E" w:rsidRDefault="00862A01" w:rsidP="00862A01">
            <w:pPr>
              <w:jc w:val="center"/>
              <w:rPr>
                <w:b/>
                <w:bCs/>
                <w:color w:val="000000"/>
                <w:szCs w:val="20"/>
              </w:rPr>
            </w:pPr>
          </w:p>
        </w:tc>
        <w:tc>
          <w:tcPr>
            <w:tcW w:w="944" w:type="pct"/>
            <w:tcBorders>
              <w:left w:val="nil"/>
              <w:bottom w:val="nil"/>
              <w:right w:val="nil"/>
            </w:tcBorders>
            <w:shd w:val="clear" w:color="auto" w:fill="auto"/>
            <w:vAlign w:val="bottom"/>
            <w:hideMark/>
          </w:tcPr>
          <w:p w14:paraId="7F8188F5" w14:textId="77777777" w:rsidR="00862A01" w:rsidRPr="00872D7E" w:rsidRDefault="00862A01" w:rsidP="00683052">
            <w:pPr>
              <w:jc w:val="right"/>
              <w:rPr>
                <w:szCs w:val="20"/>
              </w:rPr>
            </w:pPr>
          </w:p>
        </w:tc>
        <w:tc>
          <w:tcPr>
            <w:tcW w:w="944" w:type="pct"/>
            <w:tcBorders>
              <w:left w:val="nil"/>
              <w:bottom w:val="nil"/>
              <w:right w:val="nil"/>
            </w:tcBorders>
            <w:shd w:val="clear" w:color="auto" w:fill="auto"/>
            <w:vAlign w:val="bottom"/>
            <w:hideMark/>
          </w:tcPr>
          <w:p w14:paraId="27702115" w14:textId="77777777" w:rsidR="00862A01" w:rsidRPr="00872D7E" w:rsidRDefault="00862A01" w:rsidP="00683052">
            <w:pPr>
              <w:jc w:val="right"/>
              <w:rPr>
                <w:szCs w:val="20"/>
              </w:rPr>
            </w:pPr>
          </w:p>
        </w:tc>
      </w:tr>
      <w:tr w:rsidR="00862A01" w:rsidRPr="00872D7E" w14:paraId="74164DBB" w14:textId="77777777" w:rsidTr="00683052">
        <w:trPr>
          <w:divId w:val="913129398"/>
          <w:trHeight w:val="227"/>
        </w:trPr>
        <w:tc>
          <w:tcPr>
            <w:tcW w:w="3112" w:type="pct"/>
            <w:tcBorders>
              <w:top w:val="nil"/>
              <w:left w:val="nil"/>
              <w:bottom w:val="nil"/>
              <w:right w:val="nil"/>
            </w:tcBorders>
            <w:shd w:val="clear" w:color="auto" w:fill="auto"/>
            <w:vAlign w:val="bottom"/>
            <w:hideMark/>
          </w:tcPr>
          <w:p w14:paraId="2A5285C1" w14:textId="77777777" w:rsidR="00862A01" w:rsidRPr="00872D7E" w:rsidRDefault="00862A01" w:rsidP="00862A01">
            <w:pPr>
              <w:jc w:val="both"/>
              <w:rPr>
                <w:color w:val="000000"/>
                <w:szCs w:val="20"/>
              </w:rPr>
            </w:pPr>
            <w:r w:rsidRPr="00872D7E">
              <w:rPr>
                <w:color w:val="000000"/>
                <w:szCs w:val="20"/>
              </w:rPr>
              <w:t xml:space="preserve">Nakit kredi teminine yönelik olarak açılan </w:t>
            </w:r>
            <w:proofErr w:type="spellStart"/>
            <w:r w:rsidRPr="00872D7E">
              <w:rPr>
                <w:color w:val="000000"/>
                <w:szCs w:val="20"/>
              </w:rPr>
              <w:t>gayrinakdi</w:t>
            </w:r>
            <w:proofErr w:type="spellEnd"/>
            <w:r w:rsidRPr="00872D7E">
              <w:rPr>
                <w:color w:val="000000"/>
                <w:szCs w:val="20"/>
              </w:rPr>
              <w:t xml:space="preserve"> krediler</w:t>
            </w:r>
          </w:p>
        </w:tc>
        <w:tc>
          <w:tcPr>
            <w:tcW w:w="944" w:type="pct"/>
            <w:tcBorders>
              <w:top w:val="nil"/>
              <w:left w:val="nil"/>
              <w:bottom w:val="nil"/>
              <w:right w:val="nil"/>
            </w:tcBorders>
            <w:shd w:val="clear" w:color="auto" w:fill="auto"/>
            <w:noWrap/>
            <w:vAlign w:val="bottom"/>
            <w:hideMark/>
          </w:tcPr>
          <w:p w14:paraId="3AE214B5" w14:textId="77777777" w:rsidR="00862A01" w:rsidRPr="00872D7E" w:rsidRDefault="00862A01" w:rsidP="00683052">
            <w:pPr>
              <w:jc w:val="right"/>
              <w:rPr>
                <w:color w:val="000000"/>
                <w:szCs w:val="20"/>
              </w:rPr>
            </w:pPr>
            <w:r w:rsidRPr="00872D7E">
              <w:rPr>
                <w:color w:val="000000"/>
                <w:szCs w:val="20"/>
              </w:rPr>
              <w:t>-</w:t>
            </w:r>
          </w:p>
        </w:tc>
        <w:tc>
          <w:tcPr>
            <w:tcW w:w="944" w:type="pct"/>
            <w:tcBorders>
              <w:top w:val="nil"/>
              <w:left w:val="nil"/>
              <w:bottom w:val="nil"/>
              <w:right w:val="nil"/>
            </w:tcBorders>
            <w:shd w:val="clear" w:color="auto" w:fill="auto"/>
            <w:noWrap/>
            <w:vAlign w:val="bottom"/>
            <w:hideMark/>
          </w:tcPr>
          <w:p w14:paraId="0E412432" w14:textId="77777777" w:rsidR="00862A01" w:rsidRPr="00872D7E" w:rsidRDefault="00862A01" w:rsidP="00683052">
            <w:pPr>
              <w:jc w:val="right"/>
              <w:rPr>
                <w:color w:val="000000"/>
                <w:szCs w:val="20"/>
              </w:rPr>
            </w:pPr>
            <w:r w:rsidRPr="00872D7E">
              <w:rPr>
                <w:color w:val="000000"/>
                <w:szCs w:val="20"/>
              </w:rPr>
              <w:t>-</w:t>
            </w:r>
          </w:p>
        </w:tc>
      </w:tr>
      <w:tr w:rsidR="00862A01" w:rsidRPr="00872D7E" w14:paraId="6B6FD538" w14:textId="77777777" w:rsidTr="00683052">
        <w:trPr>
          <w:divId w:val="913129398"/>
          <w:trHeight w:val="227"/>
        </w:trPr>
        <w:tc>
          <w:tcPr>
            <w:tcW w:w="3112" w:type="pct"/>
            <w:tcBorders>
              <w:top w:val="nil"/>
              <w:left w:val="nil"/>
              <w:bottom w:val="nil"/>
              <w:right w:val="nil"/>
            </w:tcBorders>
            <w:shd w:val="clear" w:color="auto" w:fill="auto"/>
            <w:vAlign w:val="bottom"/>
            <w:hideMark/>
          </w:tcPr>
          <w:p w14:paraId="16B0E849" w14:textId="77777777" w:rsidR="00862A01" w:rsidRPr="00872D7E" w:rsidRDefault="00862A01" w:rsidP="00862A01">
            <w:pPr>
              <w:ind w:firstLineChars="300" w:firstLine="600"/>
              <w:rPr>
                <w:color w:val="000000"/>
                <w:szCs w:val="20"/>
              </w:rPr>
            </w:pPr>
            <w:r w:rsidRPr="00872D7E">
              <w:rPr>
                <w:color w:val="000000"/>
                <w:szCs w:val="20"/>
              </w:rPr>
              <w:t>Bir yıl veya daha az süreli asıl vadeli</w:t>
            </w:r>
          </w:p>
        </w:tc>
        <w:tc>
          <w:tcPr>
            <w:tcW w:w="944" w:type="pct"/>
            <w:tcBorders>
              <w:top w:val="nil"/>
              <w:left w:val="nil"/>
              <w:bottom w:val="nil"/>
              <w:right w:val="nil"/>
            </w:tcBorders>
            <w:shd w:val="clear" w:color="auto" w:fill="auto"/>
            <w:noWrap/>
            <w:vAlign w:val="bottom"/>
            <w:hideMark/>
          </w:tcPr>
          <w:p w14:paraId="1BCBFAFC" w14:textId="77777777" w:rsidR="00862A01" w:rsidRPr="00872D7E" w:rsidRDefault="00862A01" w:rsidP="00683052">
            <w:pPr>
              <w:jc w:val="right"/>
              <w:rPr>
                <w:color w:val="000000"/>
                <w:szCs w:val="20"/>
              </w:rPr>
            </w:pPr>
            <w:r w:rsidRPr="00872D7E">
              <w:rPr>
                <w:color w:val="000000"/>
                <w:szCs w:val="20"/>
              </w:rPr>
              <w:t>-</w:t>
            </w:r>
          </w:p>
        </w:tc>
        <w:tc>
          <w:tcPr>
            <w:tcW w:w="944" w:type="pct"/>
            <w:tcBorders>
              <w:top w:val="nil"/>
              <w:left w:val="nil"/>
              <w:bottom w:val="nil"/>
              <w:right w:val="nil"/>
            </w:tcBorders>
            <w:shd w:val="clear" w:color="auto" w:fill="auto"/>
            <w:noWrap/>
            <w:vAlign w:val="bottom"/>
            <w:hideMark/>
          </w:tcPr>
          <w:p w14:paraId="7B684D71" w14:textId="77777777" w:rsidR="00862A01" w:rsidRPr="00872D7E" w:rsidRDefault="00862A01" w:rsidP="00683052">
            <w:pPr>
              <w:jc w:val="right"/>
              <w:rPr>
                <w:color w:val="000000"/>
                <w:szCs w:val="20"/>
              </w:rPr>
            </w:pPr>
            <w:r w:rsidRPr="00872D7E">
              <w:rPr>
                <w:color w:val="000000"/>
                <w:szCs w:val="20"/>
              </w:rPr>
              <w:t>-</w:t>
            </w:r>
          </w:p>
        </w:tc>
      </w:tr>
      <w:tr w:rsidR="00862A01" w:rsidRPr="00872D7E" w14:paraId="7BC01D21" w14:textId="77777777" w:rsidTr="00683052">
        <w:trPr>
          <w:divId w:val="913129398"/>
          <w:trHeight w:val="227"/>
        </w:trPr>
        <w:tc>
          <w:tcPr>
            <w:tcW w:w="3112" w:type="pct"/>
            <w:tcBorders>
              <w:top w:val="nil"/>
              <w:left w:val="nil"/>
              <w:bottom w:val="nil"/>
              <w:right w:val="nil"/>
            </w:tcBorders>
            <w:shd w:val="clear" w:color="auto" w:fill="auto"/>
            <w:vAlign w:val="bottom"/>
            <w:hideMark/>
          </w:tcPr>
          <w:p w14:paraId="3C53B836" w14:textId="77777777" w:rsidR="00862A01" w:rsidRPr="00872D7E" w:rsidRDefault="00862A01" w:rsidP="00862A01">
            <w:pPr>
              <w:ind w:firstLineChars="300" w:firstLine="600"/>
              <w:rPr>
                <w:color w:val="000000"/>
                <w:szCs w:val="20"/>
              </w:rPr>
            </w:pPr>
            <w:r w:rsidRPr="00872D7E">
              <w:rPr>
                <w:color w:val="000000"/>
                <w:szCs w:val="20"/>
              </w:rPr>
              <w:t xml:space="preserve">Bir yıldan daha uzun süreli asıl vadeli </w:t>
            </w:r>
          </w:p>
        </w:tc>
        <w:tc>
          <w:tcPr>
            <w:tcW w:w="944" w:type="pct"/>
            <w:tcBorders>
              <w:top w:val="nil"/>
              <w:left w:val="nil"/>
              <w:bottom w:val="nil"/>
              <w:right w:val="nil"/>
            </w:tcBorders>
            <w:shd w:val="clear" w:color="auto" w:fill="auto"/>
            <w:noWrap/>
            <w:vAlign w:val="bottom"/>
            <w:hideMark/>
          </w:tcPr>
          <w:p w14:paraId="72CEB4A0" w14:textId="77777777" w:rsidR="00862A01" w:rsidRPr="00872D7E" w:rsidRDefault="00862A01" w:rsidP="00683052">
            <w:pPr>
              <w:jc w:val="right"/>
              <w:rPr>
                <w:color w:val="000000"/>
                <w:szCs w:val="20"/>
              </w:rPr>
            </w:pPr>
            <w:r w:rsidRPr="00872D7E">
              <w:rPr>
                <w:color w:val="000000"/>
                <w:szCs w:val="20"/>
              </w:rPr>
              <w:t>-</w:t>
            </w:r>
          </w:p>
        </w:tc>
        <w:tc>
          <w:tcPr>
            <w:tcW w:w="944" w:type="pct"/>
            <w:tcBorders>
              <w:top w:val="nil"/>
              <w:left w:val="nil"/>
              <w:bottom w:val="nil"/>
              <w:right w:val="nil"/>
            </w:tcBorders>
            <w:shd w:val="clear" w:color="auto" w:fill="auto"/>
            <w:noWrap/>
            <w:vAlign w:val="bottom"/>
            <w:hideMark/>
          </w:tcPr>
          <w:p w14:paraId="7EF44320" w14:textId="77777777" w:rsidR="00862A01" w:rsidRPr="00872D7E" w:rsidRDefault="00862A01" w:rsidP="00683052">
            <w:pPr>
              <w:jc w:val="right"/>
              <w:rPr>
                <w:color w:val="000000"/>
                <w:szCs w:val="20"/>
              </w:rPr>
            </w:pPr>
            <w:r w:rsidRPr="00872D7E">
              <w:rPr>
                <w:color w:val="000000"/>
                <w:szCs w:val="20"/>
              </w:rPr>
              <w:t>-</w:t>
            </w:r>
          </w:p>
        </w:tc>
      </w:tr>
      <w:tr w:rsidR="00862A01" w:rsidRPr="00872D7E" w14:paraId="1486D3D4" w14:textId="77777777" w:rsidTr="00683052">
        <w:trPr>
          <w:divId w:val="913129398"/>
          <w:trHeight w:val="227"/>
        </w:trPr>
        <w:tc>
          <w:tcPr>
            <w:tcW w:w="3112" w:type="pct"/>
            <w:tcBorders>
              <w:top w:val="nil"/>
              <w:left w:val="nil"/>
              <w:bottom w:val="single" w:sz="4" w:space="0" w:color="auto"/>
              <w:right w:val="nil"/>
            </w:tcBorders>
            <w:shd w:val="clear" w:color="auto" w:fill="auto"/>
            <w:vAlign w:val="bottom"/>
            <w:hideMark/>
          </w:tcPr>
          <w:p w14:paraId="142A7A98" w14:textId="77777777" w:rsidR="00862A01" w:rsidRPr="00872D7E" w:rsidRDefault="00862A01" w:rsidP="00862A01">
            <w:pPr>
              <w:jc w:val="both"/>
              <w:rPr>
                <w:color w:val="000000"/>
                <w:szCs w:val="20"/>
              </w:rPr>
            </w:pPr>
            <w:r w:rsidRPr="00872D7E">
              <w:rPr>
                <w:color w:val="000000"/>
                <w:szCs w:val="20"/>
              </w:rPr>
              <w:t xml:space="preserve">Diğer </w:t>
            </w:r>
            <w:proofErr w:type="spellStart"/>
            <w:r w:rsidRPr="00872D7E">
              <w:rPr>
                <w:color w:val="000000"/>
                <w:szCs w:val="20"/>
              </w:rPr>
              <w:t>gayrinakdi</w:t>
            </w:r>
            <w:proofErr w:type="spellEnd"/>
            <w:r w:rsidRPr="00872D7E">
              <w:rPr>
                <w:color w:val="000000"/>
                <w:szCs w:val="20"/>
              </w:rPr>
              <w:t xml:space="preserve"> krediler</w:t>
            </w:r>
          </w:p>
        </w:tc>
        <w:tc>
          <w:tcPr>
            <w:tcW w:w="944" w:type="pct"/>
            <w:tcBorders>
              <w:top w:val="nil"/>
              <w:left w:val="nil"/>
              <w:bottom w:val="single" w:sz="4" w:space="0" w:color="auto"/>
              <w:right w:val="nil"/>
            </w:tcBorders>
            <w:shd w:val="clear" w:color="auto" w:fill="auto"/>
            <w:noWrap/>
            <w:vAlign w:val="bottom"/>
            <w:hideMark/>
          </w:tcPr>
          <w:p w14:paraId="3CADD995" w14:textId="77777777" w:rsidR="00862A01" w:rsidRPr="00872D7E" w:rsidRDefault="00862A01" w:rsidP="00683052">
            <w:pPr>
              <w:jc w:val="right"/>
              <w:rPr>
                <w:color w:val="000000"/>
                <w:szCs w:val="20"/>
              </w:rPr>
            </w:pPr>
            <w:r w:rsidRPr="00872D7E">
              <w:rPr>
                <w:color w:val="000000"/>
                <w:szCs w:val="20"/>
              </w:rPr>
              <w:t>7.335.714</w:t>
            </w:r>
          </w:p>
        </w:tc>
        <w:tc>
          <w:tcPr>
            <w:tcW w:w="944" w:type="pct"/>
            <w:tcBorders>
              <w:top w:val="nil"/>
              <w:left w:val="nil"/>
              <w:bottom w:val="single" w:sz="4" w:space="0" w:color="auto"/>
              <w:right w:val="nil"/>
            </w:tcBorders>
            <w:shd w:val="clear" w:color="auto" w:fill="auto"/>
            <w:noWrap/>
            <w:vAlign w:val="bottom"/>
            <w:hideMark/>
          </w:tcPr>
          <w:p w14:paraId="74810417" w14:textId="77777777" w:rsidR="00862A01" w:rsidRPr="00872D7E" w:rsidRDefault="00862A01" w:rsidP="00683052">
            <w:pPr>
              <w:jc w:val="right"/>
              <w:rPr>
                <w:color w:val="000000"/>
                <w:szCs w:val="20"/>
              </w:rPr>
            </w:pPr>
            <w:r w:rsidRPr="00872D7E">
              <w:rPr>
                <w:color w:val="000000"/>
                <w:szCs w:val="20"/>
              </w:rPr>
              <w:t>5.447</w:t>
            </w:r>
          </w:p>
        </w:tc>
      </w:tr>
      <w:tr w:rsidR="00862A01" w:rsidRPr="00872D7E" w14:paraId="34D41066" w14:textId="77777777" w:rsidTr="00683052">
        <w:trPr>
          <w:divId w:val="913129398"/>
          <w:trHeight w:val="227"/>
        </w:trPr>
        <w:tc>
          <w:tcPr>
            <w:tcW w:w="3112" w:type="pct"/>
            <w:tcBorders>
              <w:top w:val="nil"/>
              <w:left w:val="nil"/>
              <w:bottom w:val="nil"/>
              <w:right w:val="nil"/>
            </w:tcBorders>
            <w:shd w:val="clear" w:color="auto" w:fill="auto"/>
            <w:vAlign w:val="bottom"/>
            <w:hideMark/>
          </w:tcPr>
          <w:p w14:paraId="13792E08" w14:textId="77777777" w:rsidR="00862A01" w:rsidRPr="00872D7E" w:rsidRDefault="00862A01" w:rsidP="00862A01">
            <w:pPr>
              <w:jc w:val="right"/>
              <w:rPr>
                <w:color w:val="000000"/>
                <w:szCs w:val="20"/>
              </w:rPr>
            </w:pPr>
          </w:p>
        </w:tc>
        <w:tc>
          <w:tcPr>
            <w:tcW w:w="944" w:type="pct"/>
            <w:tcBorders>
              <w:top w:val="nil"/>
              <w:left w:val="nil"/>
              <w:bottom w:val="nil"/>
              <w:right w:val="nil"/>
            </w:tcBorders>
            <w:shd w:val="clear" w:color="auto" w:fill="auto"/>
            <w:vAlign w:val="bottom"/>
            <w:hideMark/>
          </w:tcPr>
          <w:p w14:paraId="2AE79D5C" w14:textId="77777777" w:rsidR="00862A01" w:rsidRPr="00872D7E" w:rsidRDefault="00862A01" w:rsidP="00683052">
            <w:pPr>
              <w:jc w:val="right"/>
              <w:rPr>
                <w:szCs w:val="20"/>
              </w:rPr>
            </w:pPr>
          </w:p>
        </w:tc>
        <w:tc>
          <w:tcPr>
            <w:tcW w:w="944" w:type="pct"/>
            <w:tcBorders>
              <w:top w:val="nil"/>
              <w:left w:val="nil"/>
              <w:bottom w:val="nil"/>
              <w:right w:val="nil"/>
            </w:tcBorders>
            <w:shd w:val="clear" w:color="auto" w:fill="auto"/>
            <w:vAlign w:val="bottom"/>
            <w:hideMark/>
          </w:tcPr>
          <w:p w14:paraId="128C8B98" w14:textId="77777777" w:rsidR="00862A01" w:rsidRPr="00872D7E" w:rsidRDefault="00862A01" w:rsidP="00683052">
            <w:pPr>
              <w:jc w:val="right"/>
              <w:rPr>
                <w:szCs w:val="20"/>
              </w:rPr>
            </w:pPr>
          </w:p>
        </w:tc>
      </w:tr>
      <w:tr w:rsidR="00862A01" w:rsidRPr="00872D7E" w14:paraId="2278AFD3" w14:textId="77777777" w:rsidTr="00683052">
        <w:trPr>
          <w:divId w:val="913129398"/>
          <w:trHeight w:val="227"/>
        </w:trPr>
        <w:tc>
          <w:tcPr>
            <w:tcW w:w="3112" w:type="pct"/>
            <w:tcBorders>
              <w:top w:val="nil"/>
              <w:left w:val="nil"/>
              <w:bottom w:val="single" w:sz="12" w:space="0" w:color="auto"/>
              <w:right w:val="nil"/>
            </w:tcBorders>
            <w:shd w:val="clear" w:color="auto" w:fill="auto"/>
            <w:vAlign w:val="bottom"/>
            <w:hideMark/>
          </w:tcPr>
          <w:p w14:paraId="4685EC26" w14:textId="77777777" w:rsidR="00862A01" w:rsidRPr="00872D7E" w:rsidRDefault="00862A01" w:rsidP="00862A01">
            <w:pPr>
              <w:jc w:val="both"/>
              <w:rPr>
                <w:b/>
                <w:bCs/>
                <w:color w:val="000000"/>
                <w:szCs w:val="20"/>
              </w:rPr>
            </w:pPr>
            <w:r w:rsidRPr="00872D7E">
              <w:rPr>
                <w:b/>
                <w:bCs/>
                <w:color w:val="000000"/>
                <w:szCs w:val="20"/>
              </w:rPr>
              <w:t>Toplam</w:t>
            </w:r>
          </w:p>
        </w:tc>
        <w:tc>
          <w:tcPr>
            <w:tcW w:w="944" w:type="pct"/>
            <w:tcBorders>
              <w:top w:val="nil"/>
              <w:left w:val="nil"/>
              <w:bottom w:val="single" w:sz="12" w:space="0" w:color="auto"/>
              <w:right w:val="nil"/>
            </w:tcBorders>
            <w:shd w:val="clear" w:color="auto" w:fill="auto"/>
            <w:noWrap/>
            <w:vAlign w:val="bottom"/>
            <w:hideMark/>
          </w:tcPr>
          <w:p w14:paraId="1AC15881" w14:textId="77777777" w:rsidR="00862A01" w:rsidRPr="00872D7E" w:rsidRDefault="00862A01" w:rsidP="00683052">
            <w:pPr>
              <w:jc w:val="right"/>
              <w:rPr>
                <w:b/>
                <w:bCs/>
                <w:color w:val="000000"/>
                <w:szCs w:val="20"/>
              </w:rPr>
            </w:pPr>
            <w:r w:rsidRPr="00872D7E">
              <w:rPr>
                <w:b/>
                <w:bCs/>
                <w:color w:val="000000"/>
                <w:szCs w:val="20"/>
              </w:rPr>
              <w:t>7.335.714</w:t>
            </w:r>
          </w:p>
        </w:tc>
        <w:tc>
          <w:tcPr>
            <w:tcW w:w="944" w:type="pct"/>
            <w:tcBorders>
              <w:top w:val="nil"/>
              <w:left w:val="nil"/>
              <w:bottom w:val="single" w:sz="12" w:space="0" w:color="auto"/>
              <w:right w:val="nil"/>
            </w:tcBorders>
            <w:shd w:val="clear" w:color="auto" w:fill="auto"/>
            <w:noWrap/>
            <w:vAlign w:val="bottom"/>
            <w:hideMark/>
          </w:tcPr>
          <w:p w14:paraId="066D1985" w14:textId="77777777" w:rsidR="00862A01" w:rsidRPr="00872D7E" w:rsidRDefault="00862A01" w:rsidP="00683052">
            <w:pPr>
              <w:jc w:val="right"/>
              <w:rPr>
                <w:b/>
                <w:bCs/>
                <w:color w:val="000000"/>
                <w:szCs w:val="20"/>
              </w:rPr>
            </w:pPr>
            <w:r w:rsidRPr="00872D7E">
              <w:rPr>
                <w:b/>
                <w:bCs/>
                <w:color w:val="000000"/>
                <w:szCs w:val="20"/>
              </w:rPr>
              <w:t>5.447</w:t>
            </w:r>
          </w:p>
        </w:tc>
      </w:tr>
    </w:tbl>
    <w:p w14:paraId="7A03500F" w14:textId="672B1806" w:rsidR="004916D6" w:rsidRPr="00872D7E" w:rsidRDefault="004916D6" w:rsidP="009F6E11">
      <w:pPr>
        <w:widowControl w:val="0"/>
        <w:spacing w:line="228" w:lineRule="auto"/>
        <w:rPr>
          <w:b/>
          <w:iCs/>
          <w:szCs w:val="20"/>
        </w:rPr>
      </w:pPr>
    </w:p>
    <w:p w14:paraId="0B4BF1E4" w14:textId="2A31E18F" w:rsidR="007F484C" w:rsidRPr="00872D7E" w:rsidRDefault="00BC67EF" w:rsidP="00E63027">
      <w:pPr>
        <w:pStyle w:val="BodyTextIndent"/>
        <w:widowControl w:val="0"/>
        <w:spacing w:after="120"/>
        <w:ind w:left="1276" w:right="206" w:hanging="425"/>
        <w:rPr>
          <w:b/>
          <w:iCs/>
          <w:szCs w:val="20"/>
        </w:rPr>
      </w:pPr>
      <w:r w:rsidRPr="00872D7E">
        <w:rPr>
          <w:b/>
          <w:iCs/>
          <w:szCs w:val="20"/>
        </w:rPr>
        <w:t>c.2.</w:t>
      </w:r>
      <w:r w:rsidR="00875144" w:rsidRPr="00872D7E">
        <w:rPr>
          <w:b/>
          <w:iCs/>
          <w:szCs w:val="20"/>
        </w:rPr>
        <w:tab/>
      </w:r>
      <w:proofErr w:type="spellStart"/>
      <w:r w:rsidR="00136C29" w:rsidRPr="00872D7E">
        <w:rPr>
          <w:b/>
          <w:iCs/>
          <w:szCs w:val="20"/>
        </w:rPr>
        <w:t>Gayrinakdi</w:t>
      </w:r>
      <w:proofErr w:type="spellEnd"/>
      <w:r w:rsidR="00136C29" w:rsidRPr="00872D7E">
        <w:rPr>
          <w:b/>
          <w:iCs/>
          <w:szCs w:val="20"/>
        </w:rPr>
        <w:t xml:space="preserve"> krediler hesabı içinde sektör bazında risk yoğunlaşması hakkında </w:t>
      </w:r>
      <w:r w:rsidR="005C5AA1" w:rsidRPr="00872D7E">
        <w:rPr>
          <w:b/>
          <w:iCs/>
          <w:szCs w:val="20"/>
        </w:rPr>
        <w:t>bilgi:</w:t>
      </w:r>
    </w:p>
    <w:tbl>
      <w:tblPr>
        <w:tblW w:w="9470" w:type="dxa"/>
        <w:tblInd w:w="28" w:type="dxa"/>
        <w:tblLayout w:type="fixed"/>
        <w:tblCellMar>
          <w:left w:w="30" w:type="dxa"/>
          <w:right w:w="30" w:type="dxa"/>
        </w:tblCellMar>
        <w:tblLook w:val="0000" w:firstRow="0" w:lastRow="0" w:firstColumn="0" w:lastColumn="0" w:noHBand="0" w:noVBand="0"/>
      </w:tblPr>
      <w:tblGrid>
        <w:gridCol w:w="5795"/>
        <w:gridCol w:w="941"/>
        <w:gridCol w:w="942"/>
        <w:gridCol w:w="941"/>
        <w:gridCol w:w="851"/>
      </w:tblGrid>
      <w:tr w:rsidR="0077553B" w:rsidRPr="00872D7E" w14:paraId="1B1803F6" w14:textId="77777777" w:rsidTr="00830A05">
        <w:trPr>
          <w:trHeight w:val="20"/>
        </w:trPr>
        <w:tc>
          <w:tcPr>
            <w:tcW w:w="5795" w:type="dxa"/>
            <w:vMerge w:val="restart"/>
            <w:tcBorders>
              <w:top w:val="single" w:sz="4" w:space="0" w:color="auto"/>
              <w:bottom w:val="single" w:sz="4" w:space="0" w:color="auto"/>
            </w:tcBorders>
            <w:shd w:val="clear" w:color="auto" w:fill="auto"/>
            <w:vAlign w:val="center"/>
          </w:tcPr>
          <w:p w14:paraId="3E6E688C" w14:textId="77777777" w:rsidR="0077553B" w:rsidRPr="00872D7E" w:rsidRDefault="0077553B" w:rsidP="00830A05">
            <w:pPr>
              <w:pStyle w:val="EndnoteText"/>
              <w:jc w:val="center"/>
              <w:rPr>
                <w:b/>
                <w:snapToGrid w:val="0"/>
                <w:sz w:val="18"/>
                <w:szCs w:val="18"/>
              </w:rPr>
            </w:pPr>
          </w:p>
        </w:tc>
        <w:tc>
          <w:tcPr>
            <w:tcW w:w="3675" w:type="dxa"/>
            <w:gridSpan w:val="4"/>
            <w:tcBorders>
              <w:top w:val="single" w:sz="4" w:space="0" w:color="auto"/>
              <w:bottom w:val="single" w:sz="4" w:space="0" w:color="auto"/>
            </w:tcBorders>
            <w:shd w:val="clear" w:color="auto" w:fill="auto"/>
            <w:vAlign w:val="bottom"/>
          </w:tcPr>
          <w:p w14:paraId="2CAD9ACA" w14:textId="19FE2B1F" w:rsidR="0077553B" w:rsidRPr="00872D7E" w:rsidRDefault="005E5BE5" w:rsidP="00830A05">
            <w:pPr>
              <w:jc w:val="center"/>
              <w:rPr>
                <w:b/>
                <w:snapToGrid w:val="0"/>
                <w:sz w:val="18"/>
                <w:szCs w:val="18"/>
              </w:rPr>
            </w:pPr>
            <w:r w:rsidRPr="00872D7E">
              <w:rPr>
                <w:b/>
                <w:bCs/>
                <w:color w:val="000000"/>
                <w:sz w:val="18"/>
                <w:szCs w:val="18"/>
              </w:rPr>
              <w:t>31 Aralık 2024</w:t>
            </w:r>
          </w:p>
        </w:tc>
      </w:tr>
      <w:tr w:rsidR="0077553B" w:rsidRPr="00872D7E" w14:paraId="246F2B8D" w14:textId="77777777" w:rsidTr="00830A05">
        <w:trPr>
          <w:trHeight w:val="20"/>
        </w:trPr>
        <w:tc>
          <w:tcPr>
            <w:tcW w:w="5795" w:type="dxa"/>
            <w:vMerge/>
            <w:tcBorders>
              <w:top w:val="single" w:sz="4" w:space="0" w:color="auto"/>
              <w:bottom w:val="single" w:sz="4" w:space="0" w:color="auto"/>
            </w:tcBorders>
            <w:shd w:val="clear" w:color="auto" w:fill="auto"/>
            <w:vAlign w:val="center"/>
          </w:tcPr>
          <w:p w14:paraId="035CC046" w14:textId="77777777" w:rsidR="0077553B" w:rsidRPr="00872D7E" w:rsidRDefault="0077553B" w:rsidP="00830A05">
            <w:pPr>
              <w:rPr>
                <w:b/>
                <w:snapToGrid w:val="0"/>
                <w:sz w:val="18"/>
                <w:szCs w:val="18"/>
              </w:rPr>
            </w:pPr>
          </w:p>
        </w:tc>
        <w:tc>
          <w:tcPr>
            <w:tcW w:w="941" w:type="dxa"/>
            <w:tcBorders>
              <w:top w:val="single" w:sz="4" w:space="0" w:color="auto"/>
              <w:bottom w:val="single" w:sz="4" w:space="0" w:color="auto"/>
            </w:tcBorders>
            <w:shd w:val="clear" w:color="auto" w:fill="auto"/>
            <w:vAlign w:val="bottom"/>
          </w:tcPr>
          <w:p w14:paraId="1848F0FC" w14:textId="77777777" w:rsidR="0077553B" w:rsidRPr="00872D7E" w:rsidRDefault="0077553B" w:rsidP="00830A05">
            <w:pPr>
              <w:ind w:right="33"/>
              <w:jc w:val="right"/>
              <w:rPr>
                <w:b/>
                <w:snapToGrid w:val="0"/>
                <w:sz w:val="18"/>
                <w:szCs w:val="18"/>
              </w:rPr>
            </w:pPr>
            <w:r w:rsidRPr="00872D7E">
              <w:rPr>
                <w:b/>
                <w:snapToGrid w:val="0"/>
                <w:sz w:val="18"/>
                <w:szCs w:val="18"/>
              </w:rPr>
              <w:t>TP</w:t>
            </w:r>
          </w:p>
        </w:tc>
        <w:tc>
          <w:tcPr>
            <w:tcW w:w="942" w:type="dxa"/>
            <w:tcBorders>
              <w:top w:val="single" w:sz="4" w:space="0" w:color="auto"/>
              <w:bottom w:val="single" w:sz="4" w:space="0" w:color="auto"/>
            </w:tcBorders>
            <w:shd w:val="clear" w:color="auto" w:fill="auto"/>
            <w:vAlign w:val="bottom"/>
          </w:tcPr>
          <w:p w14:paraId="4151A5D3" w14:textId="77777777" w:rsidR="0077553B" w:rsidRPr="00872D7E" w:rsidRDefault="0077553B" w:rsidP="00830A05">
            <w:pPr>
              <w:ind w:right="33"/>
              <w:jc w:val="right"/>
              <w:rPr>
                <w:b/>
                <w:snapToGrid w:val="0"/>
                <w:sz w:val="18"/>
                <w:szCs w:val="18"/>
              </w:rPr>
            </w:pPr>
            <w:r w:rsidRPr="00872D7E">
              <w:rPr>
                <w:b/>
                <w:snapToGrid w:val="0"/>
                <w:sz w:val="18"/>
                <w:szCs w:val="18"/>
              </w:rPr>
              <w:t>(%)</w:t>
            </w:r>
          </w:p>
        </w:tc>
        <w:tc>
          <w:tcPr>
            <w:tcW w:w="941" w:type="dxa"/>
            <w:tcBorders>
              <w:top w:val="single" w:sz="4" w:space="0" w:color="auto"/>
              <w:bottom w:val="single" w:sz="4" w:space="0" w:color="auto"/>
            </w:tcBorders>
            <w:shd w:val="clear" w:color="auto" w:fill="auto"/>
            <w:vAlign w:val="bottom"/>
          </w:tcPr>
          <w:p w14:paraId="745364EB" w14:textId="77777777" w:rsidR="0077553B" w:rsidRPr="00872D7E" w:rsidRDefault="0077553B" w:rsidP="00830A05">
            <w:pPr>
              <w:ind w:right="33"/>
              <w:jc w:val="right"/>
              <w:rPr>
                <w:b/>
                <w:snapToGrid w:val="0"/>
                <w:sz w:val="18"/>
                <w:szCs w:val="18"/>
              </w:rPr>
            </w:pPr>
            <w:r w:rsidRPr="00872D7E">
              <w:rPr>
                <w:b/>
                <w:snapToGrid w:val="0"/>
                <w:sz w:val="18"/>
                <w:szCs w:val="18"/>
              </w:rPr>
              <w:t>YP</w:t>
            </w:r>
          </w:p>
        </w:tc>
        <w:tc>
          <w:tcPr>
            <w:tcW w:w="851" w:type="dxa"/>
            <w:tcBorders>
              <w:top w:val="single" w:sz="4" w:space="0" w:color="auto"/>
              <w:bottom w:val="single" w:sz="4" w:space="0" w:color="auto"/>
            </w:tcBorders>
            <w:shd w:val="clear" w:color="auto" w:fill="auto"/>
            <w:vAlign w:val="bottom"/>
          </w:tcPr>
          <w:p w14:paraId="3E538056" w14:textId="77777777" w:rsidR="0077553B" w:rsidRPr="00872D7E" w:rsidRDefault="0077553B" w:rsidP="00830A05">
            <w:pPr>
              <w:ind w:right="33"/>
              <w:jc w:val="right"/>
              <w:rPr>
                <w:b/>
                <w:snapToGrid w:val="0"/>
                <w:sz w:val="18"/>
                <w:szCs w:val="18"/>
              </w:rPr>
            </w:pPr>
            <w:r w:rsidRPr="00872D7E">
              <w:rPr>
                <w:b/>
                <w:snapToGrid w:val="0"/>
                <w:sz w:val="18"/>
                <w:szCs w:val="18"/>
              </w:rPr>
              <w:t>(%)</w:t>
            </w:r>
          </w:p>
        </w:tc>
      </w:tr>
      <w:tr w:rsidR="0077553B" w:rsidRPr="00872D7E" w14:paraId="13426B28" w14:textId="77777777" w:rsidTr="00830A05">
        <w:trPr>
          <w:trHeight w:val="20"/>
        </w:trPr>
        <w:tc>
          <w:tcPr>
            <w:tcW w:w="5795" w:type="dxa"/>
            <w:tcBorders>
              <w:top w:val="single" w:sz="4" w:space="0" w:color="auto"/>
            </w:tcBorders>
            <w:shd w:val="clear" w:color="auto" w:fill="auto"/>
            <w:vAlign w:val="center"/>
          </w:tcPr>
          <w:p w14:paraId="57E67E90" w14:textId="77777777" w:rsidR="0077553B" w:rsidRPr="00872D7E" w:rsidRDefault="0077553B" w:rsidP="00830A05">
            <w:pPr>
              <w:rPr>
                <w:snapToGrid w:val="0"/>
                <w:sz w:val="18"/>
                <w:szCs w:val="18"/>
              </w:rPr>
            </w:pPr>
          </w:p>
        </w:tc>
        <w:tc>
          <w:tcPr>
            <w:tcW w:w="941" w:type="dxa"/>
            <w:tcBorders>
              <w:top w:val="single" w:sz="4" w:space="0" w:color="auto"/>
            </w:tcBorders>
            <w:shd w:val="clear" w:color="auto" w:fill="auto"/>
            <w:vAlign w:val="bottom"/>
          </w:tcPr>
          <w:p w14:paraId="409238F2" w14:textId="77777777" w:rsidR="0077553B" w:rsidRPr="00872D7E" w:rsidRDefault="0077553B" w:rsidP="00830A05">
            <w:pPr>
              <w:ind w:right="33"/>
              <w:jc w:val="right"/>
              <w:rPr>
                <w:snapToGrid w:val="0"/>
                <w:sz w:val="18"/>
                <w:szCs w:val="18"/>
              </w:rPr>
            </w:pPr>
          </w:p>
        </w:tc>
        <w:tc>
          <w:tcPr>
            <w:tcW w:w="942" w:type="dxa"/>
            <w:tcBorders>
              <w:top w:val="single" w:sz="4" w:space="0" w:color="auto"/>
            </w:tcBorders>
            <w:shd w:val="clear" w:color="auto" w:fill="auto"/>
            <w:vAlign w:val="bottom"/>
          </w:tcPr>
          <w:p w14:paraId="449F8590" w14:textId="77777777" w:rsidR="0077553B" w:rsidRPr="00872D7E" w:rsidRDefault="0077553B" w:rsidP="00830A05">
            <w:pPr>
              <w:ind w:right="33"/>
              <w:jc w:val="right"/>
              <w:rPr>
                <w:snapToGrid w:val="0"/>
                <w:sz w:val="18"/>
                <w:szCs w:val="18"/>
              </w:rPr>
            </w:pPr>
          </w:p>
        </w:tc>
        <w:tc>
          <w:tcPr>
            <w:tcW w:w="941" w:type="dxa"/>
            <w:tcBorders>
              <w:top w:val="single" w:sz="4" w:space="0" w:color="auto"/>
            </w:tcBorders>
            <w:shd w:val="clear" w:color="auto" w:fill="auto"/>
            <w:vAlign w:val="bottom"/>
          </w:tcPr>
          <w:p w14:paraId="36D3C380" w14:textId="77777777" w:rsidR="0077553B" w:rsidRPr="00872D7E" w:rsidRDefault="0077553B" w:rsidP="00830A05">
            <w:pPr>
              <w:ind w:right="33"/>
              <w:jc w:val="right"/>
              <w:rPr>
                <w:snapToGrid w:val="0"/>
                <w:sz w:val="18"/>
                <w:szCs w:val="18"/>
              </w:rPr>
            </w:pPr>
          </w:p>
        </w:tc>
        <w:tc>
          <w:tcPr>
            <w:tcW w:w="851" w:type="dxa"/>
            <w:tcBorders>
              <w:top w:val="single" w:sz="4" w:space="0" w:color="auto"/>
            </w:tcBorders>
            <w:shd w:val="clear" w:color="auto" w:fill="auto"/>
            <w:vAlign w:val="bottom"/>
          </w:tcPr>
          <w:p w14:paraId="74FFC556" w14:textId="77777777" w:rsidR="0077553B" w:rsidRPr="00872D7E" w:rsidRDefault="0077553B" w:rsidP="00830A05">
            <w:pPr>
              <w:ind w:right="33"/>
              <w:jc w:val="right"/>
              <w:rPr>
                <w:snapToGrid w:val="0"/>
                <w:sz w:val="18"/>
                <w:szCs w:val="18"/>
              </w:rPr>
            </w:pPr>
          </w:p>
        </w:tc>
      </w:tr>
      <w:tr w:rsidR="00830A05" w:rsidRPr="00872D7E" w14:paraId="1418D78A" w14:textId="77777777" w:rsidTr="00830A05">
        <w:trPr>
          <w:trHeight w:val="20"/>
        </w:trPr>
        <w:tc>
          <w:tcPr>
            <w:tcW w:w="5795" w:type="dxa"/>
            <w:shd w:val="clear" w:color="auto" w:fill="auto"/>
            <w:vAlign w:val="center"/>
          </w:tcPr>
          <w:p w14:paraId="76159B32" w14:textId="77777777" w:rsidR="00830A05" w:rsidRPr="00872D7E" w:rsidRDefault="00830A05" w:rsidP="00830A05">
            <w:pPr>
              <w:rPr>
                <w:b/>
                <w:snapToGrid w:val="0"/>
                <w:sz w:val="18"/>
                <w:szCs w:val="18"/>
              </w:rPr>
            </w:pPr>
            <w:r w:rsidRPr="00872D7E">
              <w:rPr>
                <w:b/>
                <w:snapToGrid w:val="0"/>
                <w:sz w:val="18"/>
                <w:szCs w:val="18"/>
              </w:rPr>
              <w:t>Tarım</w:t>
            </w:r>
          </w:p>
        </w:tc>
        <w:tc>
          <w:tcPr>
            <w:tcW w:w="941" w:type="dxa"/>
            <w:shd w:val="clear" w:color="auto" w:fill="auto"/>
          </w:tcPr>
          <w:p w14:paraId="35EFB9D0" w14:textId="29B97A95" w:rsidR="00830A05" w:rsidRPr="00872D7E" w:rsidRDefault="00830A05" w:rsidP="00830A05">
            <w:pPr>
              <w:ind w:right="40"/>
              <w:jc w:val="right"/>
              <w:rPr>
                <w:b/>
                <w:sz w:val="18"/>
                <w:szCs w:val="18"/>
              </w:rPr>
            </w:pPr>
            <w:r w:rsidRPr="00872D7E">
              <w:rPr>
                <w:b/>
                <w:sz w:val="18"/>
                <w:szCs w:val="18"/>
              </w:rPr>
              <w:t>107</w:t>
            </w:r>
          </w:p>
        </w:tc>
        <w:tc>
          <w:tcPr>
            <w:tcW w:w="942" w:type="dxa"/>
            <w:shd w:val="clear" w:color="auto" w:fill="auto"/>
          </w:tcPr>
          <w:p w14:paraId="48B822B9" w14:textId="4BA06BBD" w:rsidR="00830A05" w:rsidRPr="00872D7E" w:rsidRDefault="00830A05" w:rsidP="00830A05">
            <w:pPr>
              <w:ind w:right="40"/>
              <w:jc w:val="right"/>
              <w:rPr>
                <w:b/>
                <w:sz w:val="18"/>
                <w:szCs w:val="18"/>
              </w:rPr>
            </w:pPr>
            <w:r w:rsidRPr="00872D7E">
              <w:rPr>
                <w:b/>
                <w:sz w:val="18"/>
                <w:szCs w:val="18"/>
              </w:rPr>
              <w:t>0,00</w:t>
            </w:r>
          </w:p>
        </w:tc>
        <w:tc>
          <w:tcPr>
            <w:tcW w:w="941" w:type="dxa"/>
            <w:shd w:val="clear" w:color="auto" w:fill="auto"/>
          </w:tcPr>
          <w:p w14:paraId="5B18FBF5" w14:textId="645201AF" w:rsidR="00830A05" w:rsidRPr="00872D7E" w:rsidRDefault="00830A05" w:rsidP="00830A05">
            <w:pPr>
              <w:ind w:right="40"/>
              <w:jc w:val="right"/>
              <w:rPr>
                <w:b/>
                <w:sz w:val="18"/>
                <w:szCs w:val="18"/>
              </w:rPr>
            </w:pPr>
            <w:r w:rsidRPr="00872D7E">
              <w:rPr>
                <w:b/>
                <w:sz w:val="18"/>
                <w:szCs w:val="18"/>
              </w:rPr>
              <w:t>6.407</w:t>
            </w:r>
          </w:p>
        </w:tc>
        <w:tc>
          <w:tcPr>
            <w:tcW w:w="851" w:type="dxa"/>
            <w:shd w:val="clear" w:color="auto" w:fill="auto"/>
          </w:tcPr>
          <w:p w14:paraId="6886BD4B" w14:textId="3917701D" w:rsidR="00830A05" w:rsidRPr="00872D7E" w:rsidRDefault="00830A05" w:rsidP="00830A05">
            <w:pPr>
              <w:ind w:right="40"/>
              <w:jc w:val="right"/>
              <w:rPr>
                <w:b/>
                <w:sz w:val="18"/>
                <w:szCs w:val="18"/>
              </w:rPr>
            </w:pPr>
            <w:r w:rsidRPr="00872D7E">
              <w:rPr>
                <w:b/>
                <w:sz w:val="18"/>
                <w:szCs w:val="18"/>
              </w:rPr>
              <w:t>0,31</w:t>
            </w:r>
          </w:p>
        </w:tc>
      </w:tr>
      <w:tr w:rsidR="00830A05" w:rsidRPr="00872D7E" w14:paraId="7C65E47F" w14:textId="77777777" w:rsidTr="00830A05">
        <w:trPr>
          <w:trHeight w:val="20"/>
        </w:trPr>
        <w:tc>
          <w:tcPr>
            <w:tcW w:w="5795" w:type="dxa"/>
            <w:shd w:val="clear" w:color="auto" w:fill="auto"/>
            <w:vAlign w:val="center"/>
          </w:tcPr>
          <w:p w14:paraId="18119530" w14:textId="77777777" w:rsidR="00830A05" w:rsidRPr="00872D7E" w:rsidRDefault="00830A05" w:rsidP="00830A05">
            <w:pPr>
              <w:ind w:firstLine="220"/>
              <w:rPr>
                <w:snapToGrid w:val="0"/>
                <w:sz w:val="18"/>
                <w:szCs w:val="18"/>
              </w:rPr>
            </w:pPr>
            <w:r w:rsidRPr="00872D7E">
              <w:rPr>
                <w:snapToGrid w:val="0"/>
                <w:sz w:val="18"/>
                <w:szCs w:val="18"/>
              </w:rPr>
              <w:t xml:space="preserve">Çiftçilik ve Hayvancılık </w:t>
            </w:r>
          </w:p>
        </w:tc>
        <w:tc>
          <w:tcPr>
            <w:tcW w:w="941" w:type="dxa"/>
            <w:shd w:val="clear" w:color="auto" w:fill="auto"/>
          </w:tcPr>
          <w:p w14:paraId="759513EC" w14:textId="5334E4B2" w:rsidR="00830A05" w:rsidRPr="00872D7E" w:rsidRDefault="00830A05" w:rsidP="00830A05">
            <w:pPr>
              <w:ind w:right="40"/>
              <w:jc w:val="right"/>
              <w:rPr>
                <w:bCs/>
                <w:sz w:val="18"/>
                <w:szCs w:val="18"/>
              </w:rPr>
            </w:pPr>
            <w:r w:rsidRPr="00872D7E">
              <w:rPr>
                <w:sz w:val="18"/>
                <w:szCs w:val="18"/>
              </w:rPr>
              <w:t>107</w:t>
            </w:r>
          </w:p>
        </w:tc>
        <w:tc>
          <w:tcPr>
            <w:tcW w:w="942" w:type="dxa"/>
            <w:shd w:val="clear" w:color="auto" w:fill="auto"/>
          </w:tcPr>
          <w:p w14:paraId="732A3B7E" w14:textId="2F366A8A" w:rsidR="00830A05" w:rsidRPr="00872D7E" w:rsidRDefault="00830A05" w:rsidP="00830A05">
            <w:pPr>
              <w:ind w:right="40"/>
              <w:jc w:val="right"/>
              <w:rPr>
                <w:bCs/>
                <w:sz w:val="18"/>
                <w:szCs w:val="18"/>
              </w:rPr>
            </w:pPr>
            <w:r w:rsidRPr="00872D7E">
              <w:rPr>
                <w:sz w:val="18"/>
                <w:szCs w:val="18"/>
              </w:rPr>
              <w:t>0,00</w:t>
            </w:r>
          </w:p>
        </w:tc>
        <w:tc>
          <w:tcPr>
            <w:tcW w:w="941" w:type="dxa"/>
            <w:shd w:val="clear" w:color="auto" w:fill="auto"/>
          </w:tcPr>
          <w:p w14:paraId="36394D3B" w14:textId="55A1FCDC" w:rsidR="00830A05" w:rsidRPr="00872D7E" w:rsidRDefault="00830A05" w:rsidP="00830A05">
            <w:pPr>
              <w:ind w:right="40"/>
              <w:jc w:val="right"/>
              <w:rPr>
                <w:bCs/>
                <w:sz w:val="18"/>
                <w:szCs w:val="18"/>
              </w:rPr>
            </w:pPr>
            <w:r w:rsidRPr="00872D7E">
              <w:rPr>
                <w:sz w:val="18"/>
                <w:szCs w:val="18"/>
              </w:rPr>
              <w:t>6.407</w:t>
            </w:r>
          </w:p>
        </w:tc>
        <w:tc>
          <w:tcPr>
            <w:tcW w:w="851" w:type="dxa"/>
            <w:shd w:val="clear" w:color="auto" w:fill="auto"/>
          </w:tcPr>
          <w:p w14:paraId="4F549F08" w14:textId="426E5DC3" w:rsidR="00830A05" w:rsidRPr="00872D7E" w:rsidRDefault="00830A05" w:rsidP="00830A05">
            <w:pPr>
              <w:ind w:right="40"/>
              <w:jc w:val="right"/>
              <w:rPr>
                <w:bCs/>
                <w:sz w:val="18"/>
                <w:szCs w:val="18"/>
              </w:rPr>
            </w:pPr>
            <w:r w:rsidRPr="00872D7E">
              <w:rPr>
                <w:sz w:val="18"/>
                <w:szCs w:val="18"/>
              </w:rPr>
              <w:t>0,31</w:t>
            </w:r>
          </w:p>
        </w:tc>
      </w:tr>
      <w:tr w:rsidR="00830A05" w:rsidRPr="00872D7E" w14:paraId="642B9454" w14:textId="77777777" w:rsidTr="00830A05">
        <w:trPr>
          <w:trHeight w:val="20"/>
        </w:trPr>
        <w:tc>
          <w:tcPr>
            <w:tcW w:w="5795" w:type="dxa"/>
            <w:shd w:val="clear" w:color="auto" w:fill="auto"/>
            <w:vAlign w:val="center"/>
          </w:tcPr>
          <w:p w14:paraId="6BFBE03C" w14:textId="77777777" w:rsidR="00830A05" w:rsidRPr="00872D7E" w:rsidRDefault="00830A05" w:rsidP="00830A05">
            <w:pPr>
              <w:ind w:firstLine="220"/>
              <w:rPr>
                <w:snapToGrid w:val="0"/>
                <w:sz w:val="18"/>
                <w:szCs w:val="18"/>
              </w:rPr>
            </w:pPr>
            <w:r w:rsidRPr="00872D7E">
              <w:rPr>
                <w:snapToGrid w:val="0"/>
                <w:sz w:val="18"/>
                <w:szCs w:val="18"/>
              </w:rPr>
              <w:t>Ormancılık</w:t>
            </w:r>
          </w:p>
        </w:tc>
        <w:tc>
          <w:tcPr>
            <w:tcW w:w="941" w:type="dxa"/>
            <w:shd w:val="clear" w:color="auto" w:fill="auto"/>
          </w:tcPr>
          <w:p w14:paraId="38D640A1" w14:textId="1F0FD384" w:rsidR="00830A05" w:rsidRPr="00872D7E" w:rsidRDefault="00830A05" w:rsidP="00830A05">
            <w:pPr>
              <w:ind w:right="40"/>
              <w:jc w:val="right"/>
              <w:rPr>
                <w:bCs/>
                <w:sz w:val="18"/>
                <w:szCs w:val="18"/>
              </w:rPr>
            </w:pPr>
            <w:r w:rsidRPr="00872D7E">
              <w:rPr>
                <w:sz w:val="18"/>
                <w:szCs w:val="18"/>
              </w:rPr>
              <w:t>-</w:t>
            </w:r>
          </w:p>
        </w:tc>
        <w:tc>
          <w:tcPr>
            <w:tcW w:w="942" w:type="dxa"/>
            <w:shd w:val="clear" w:color="auto" w:fill="auto"/>
          </w:tcPr>
          <w:p w14:paraId="0E7A2A72" w14:textId="5D744D10" w:rsidR="00830A05" w:rsidRPr="00872D7E" w:rsidRDefault="00785765" w:rsidP="00830A05">
            <w:pPr>
              <w:ind w:right="40"/>
              <w:jc w:val="right"/>
              <w:rPr>
                <w:bCs/>
                <w:sz w:val="18"/>
                <w:szCs w:val="18"/>
              </w:rPr>
            </w:pPr>
            <w:r w:rsidRPr="00872D7E">
              <w:rPr>
                <w:sz w:val="18"/>
                <w:szCs w:val="18"/>
              </w:rPr>
              <w:t>-</w:t>
            </w:r>
          </w:p>
        </w:tc>
        <w:tc>
          <w:tcPr>
            <w:tcW w:w="941" w:type="dxa"/>
            <w:shd w:val="clear" w:color="auto" w:fill="auto"/>
          </w:tcPr>
          <w:p w14:paraId="7FBB159A" w14:textId="474E6869" w:rsidR="00830A05" w:rsidRPr="00872D7E" w:rsidRDefault="00830A05" w:rsidP="00830A05">
            <w:pPr>
              <w:ind w:right="40"/>
              <w:jc w:val="right"/>
              <w:rPr>
                <w:bCs/>
                <w:sz w:val="18"/>
                <w:szCs w:val="18"/>
              </w:rPr>
            </w:pPr>
            <w:r w:rsidRPr="00872D7E">
              <w:rPr>
                <w:sz w:val="18"/>
                <w:szCs w:val="18"/>
              </w:rPr>
              <w:t>-</w:t>
            </w:r>
          </w:p>
        </w:tc>
        <w:tc>
          <w:tcPr>
            <w:tcW w:w="851" w:type="dxa"/>
            <w:shd w:val="clear" w:color="auto" w:fill="auto"/>
          </w:tcPr>
          <w:p w14:paraId="4738AC02" w14:textId="1BA538EB" w:rsidR="00830A05" w:rsidRPr="00872D7E" w:rsidRDefault="00785765" w:rsidP="00830A05">
            <w:pPr>
              <w:ind w:right="40"/>
              <w:jc w:val="right"/>
              <w:rPr>
                <w:bCs/>
                <w:sz w:val="18"/>
                <w:szCs w:val="18"/>
              </w:rPr>
            </w:pPr>
            <w:r w:rsidRPr="00872D7E">
              <w:rPr>
                <w:sz w:val="18"/>
                <w:szCs w:val="18"/>
              </w:rPr>
              <w:t>-</w:t>
            </w:r>
          </w:p>
        </w:tc>
      </w:tr>
      <w:tr w:rsidR="00830A05" w:rsidRPr="00872D7E" w14:paraId="01ACD528" w14:textId="77777777" w:rsidTr="00830A05">
        <w:trPr>
          <w:trHeight w:val="20"/>
        </w:trPr>
        <w:tc>
          <w:tcPr>
            <w:tcW w:w="5795" w:type="dxa"/>
            <w:shd w:val="clear" w:color="auto" w:fill="auto"/>
            <w:vAlign w:val="center"/>
          </w:tcPr>
          <w:p w14:paraId="76E63EEB" w14:textId="77777777" w:rsidR="00830A05" w:rsidRPr="00872D7E" w:rsidRDefault="00830A05" w:rsidP="00830A05">
            <w:pPr>
              <w:ind w:firstLine="220"/>
              <w:rPr>
                <w:snapToGrid w:val="0"/>
                <w:sz w:val="18"/>
                <w:szCs w:val="18"/>
              </w:rPr>
            </w:pPr>
            <w:r w:rsidRPr="00872D7E">
              <w:rPr>
                <w:snapToGrid w:val="0"/>
                <w:sz w:val="18"/>
                <w:szCs w:val="18"/>
              </w:rPr>
              <w:t>Balıkçılık</w:t>
            </w:r>
          </w:p>
        </w:tc>
        <w:tc>
          <w:tcPr>
            <w:tcW w:w="941" w:type="dxa"/>
            <w:shd w:val="clear" w:color="auto" w:fill="auto"/>
          </w:tcPr>
          <w:p w14:paraId="7A08A67E" w14:textId="27EDF689" w:rsidR="00830A05" w:rsidRPr="00872D7E" w:rsidRDefault="00830A05" w:rsidP="00830A05">
            <w:pPr>
              <w:ind w:right="40"/>
              <w:jc w:val="right"/>
              <w:rPr>
                <w:bCs/>
                <w:sz w:val="18"/>
                <w:szCs w:val="18"/>
              </w:rPr>
            </w:pPr>
            <w:r w:rsidRPr="00872D7E">
              <w:rPr>
                <w:sz w:val="18"/>
                <w:szCs w:val="18"/>
              </w:rPr>
              <w:t>-</w:t>
            </w:r>
          </w:p>
        </w:tc>
        <w:tc>
          <w:tcPr>
            <w:tcW w:w="942" w:type="dxa"/>
            <w:shd w:val="clear" w:color="auto" w:fill="auto"/>
          </w:tcPr>
          <w:p w14:paraId="38E829FB" w14:textId="66832A30" w:rsidR="00830A05" w:rsidRPr="00872D7E" w:rsidRDefault="00785765" w:rsidP="00830A05">
            <w:pPr>
              <w:ind w:right="40"/>
              <w:jc w:val="right"/>
              <w:rPr>
                <w:bCs/>
                <w:sz w:val="18"/>
                <w:szCs w:val="18"/>
              </w:rPr>
            </w:pPr>
            <w:r w:rsidRPr="00872D7E">
              <w:rPr>
                <w:sz w:val="18"/>
                <w:szCs w:val="18"/>
              </w:rPr>
              <w:t>-</w:t>
            </w:r>
          </w:p>
        </w:tc>
        <w:tc>
          <w:tcPr>
            <w:tcW w:w="941" w:type="dxa"/>
            <w:shd w:val="clear" w:color="auto" w:fill="auto"/>
          </w:tcPr>
          <w:p w14:paraId="3D9F65EA" w14:textId="786D0B66" w:rsidR="00830A05" w:rsidRPr="00872D7E" w:rsidRDefault="00830A05" w:rsidP="00830A05">
            <w:pPr>
              <w:ind w:right="40"/>
              <w:jc w:val="right"/>
              <w:rPr>
                <w:bCs/>
                <w:sz w:val="18"/>
                <w:szCs w:val="18"/>
              </w:rPr>
            </w:pPr>
            <w:r w:rsidRPr="00872D7E">
              <w:rPr>
                <w:sz w:val="18"/>
                <w:szCs w:val="18"/>
              </w:rPr>
              <w:t>-</w:t>
            </w:r>
          </w:p>
        </w:tc>
        <w:tc>
          <w:tcPr>
            <w:tcW w:w="851" w:type="dxa"/>
            <w:shd w:val="clear" w:color="auto" w:fill="auto"/>
          </w:tcPr>
          <w:p w14:paraId="271592C8" w14:textId="138CC087" w:rsidR="00830A05" w:rsidRPr="00872D7E" w:rsidRDefault="00785765" w:rsidP="00830A05">
            <w:pPr>
              <w:ind w:right="40"/>
              <w:jc w:val="right"/>
              <w:rPr>
                <w:bCs/>
                <w:sz w:val="18"/>
                <w:szCs w:val="18"/>
              </w:rPr>
            </w:pPr>
            <w:r w:rsidRPr="00872D7E">
              <w:rPr>
                <w:sz w:val="18"/>
                <w:szCs w:val="18"/>
              </w:rPr>
              <w:t>-</w:t>
            </w:r>
          </w:p>
        </w:tc>
      </w:tr>
      <w:tr w:rsidR="00830A05" w:rsidRPr="00872D7E" w14:paraId="61695FC2" w14:textId="77777777" w:rsidTr="00830A05">
        <w:trPr>
          <w:trHeight w:val="20"/>
        </w:trPr>
        <w:tc>
          <w:tcPr>
            <w:tcW w:w="5795" w:type="dxa"/>
            <w:shd w:val="clear" w:color="auto" w:fill="auto"/>
            <w:vAlign w:val="center"/>
          </w:tcPr>
          <w:p w14:paraId="5E7A127B" w14:textId="77777777" w:rsidR="00830A05" w:rsidRPr="00872D7E" w:rsidRDefault="00830A05" w:rsidP="00830A05">
            <w:pPr>
              <w:rPr>
                <w:b/>
                <w:snapToGrid w:val="0"/>
                <w:sz w:val="18"/>
                <w:szCs w:val="18"/>
              </w:rPr>
            </w:pPr>
            <w:r w:rsidRPr="00872D7E">
              <w:rPr>
                <w:b/>
                <w:snapToGrid w:val="0"/>
                <w:sz w:val="18"/>
                <w:szCs w:val="18"/>
              </w:rPr>
              <w:t>Sanayi</w:t>
            </w:r>
          </w:p>
        </w:tc>
        <w:tc>
          <w:tcPr>
            <w:tcW w:w="941" w:type="dxa"/>
            <w:shd w:val="clear" w:color="auto" w:fill="auto"/>
          </w:tcPr>
          <w:p w14:paraId="0C23E64F" w14:textId="6A4EE4F7" w:rsidR="00830A05" w:rsidRPr="00872D7E" w:rsidRDefault="00830A05" w:rsidP="00830A05">
            <w:pPr>
              <w:ind w:right="40"/>
              <w:jc w:val="right"/>
              <w:rPr>
                <w:b/>
                <w:sz w:val="18"/>
                <w:szCs w:val="18"/>
              </w:rPr>
            </w:pPr>
            <w:r w:rsidRPr="00872D7E">
              <w:rPr>
                <w:b/>
                <w:sz w:val="18"/>
                <w:szCs w:val="18"/>
              </w:rPr>
              <w:t>603.259</w:t>
            </w:r>
          </w:p>
        </w:tc>
        <w:tc>
          <w:tcPr>
            <w:tcW w:w="942" w:type="dxa"/>
            <w:shd w:val="clear" w:color="auto" w:fill="auto"/>
          </w:tcPr>
          <w:p w14:paraId="58472536" w14:textId="6FB2B8AF" w:rsidR="00830A05" w:rsidRPr="00872D7E" w:rsidRDefault="00830A05" w:rsidP="00830A05">
            <w:pPr>
              <w:ind w:right="40"/>
              <w:jc w:val="right"/>
              <w:rPr>
                <w:b/>
                <w:sz w:val="18"/>
                <w:szCs w:val="18"/>
              </w:rPr>
            </w:pPr>
            <w:r w:rsidRPr="00872D7E">
              <w:rPr>
                <w:b/>
                <w:sz w:val="18"/>
                <w:szCs w:val="18"/>
              </w:rPr>
              <w:t>11,43</w:t>
            </w:r>
          </w:p>
        </w:tc>
        <w:tc>
          <w:tcPr>
            <w:tcW w:w="941" w:type="dxa"/>
            <w:shd w:val="clear" w:color="auto" w:fill="auto"/>
          </w:tcPr>
          <w:p w14:paraId="3C6B7184" w14:textId="3664136D" w:rsidR="00830A05" w:rsidRPr="00872D7E" w:rsidRDefault="00830A05" w:rsidP="00830A05">
            <w:pPr>
              <w:ind w:right="40"/>
              <w:jc w:val="right"/>
              <w:rPr>
                <w:b/>
                <w:sz w:val="18"/>
                <w:szCs w:val="18"/>
              </w:rPr>
            </w:pPr>
            <w:r w:rsidRPr="00872D7E">
              <w:rPr>
                <w:b/>
                <w:sz w:val="18"/>
                <w:szCs w:val="18"/>
              </w:rPr>
              <w:t>606.216</w:t>
            </w:r>
          </w:p>
        </w:tc>
        <w:tc>
          <w:tcPr>
            <w:tcW w:w="851" w:type="dxa"/>
            <w:shd w:val="clear" w:color="auto" w:fill="auto"/>
          </w:tcPr>
          <w:p w14:paraId="00EEBA2F" w14:textId="384A0E32" w:rsidR="00830A05" w:rsidRPr="00872D7E" w:rsidRDefault="00830A05" w:rsidP="00830A05">
            <w:pPr>
              <w:ind w:right="40"/>
              <w:jc w:val="right"/>
              <w:rPr>
                <w:b/>
                <w:sz w:val="18"/>
                <w:szCs w:val="18"/>
              </w:rPr>
            </w:pPr>
            <w:r w:rsidRPr="00872D7E">
              <w:rPr>
                <w:b/>
                <w:sz w:val="18"/>
                <w:szCs w:val="18"/>
              </w:rPr>
              <w:t>29,49</w:t>
            </w:r>
          </w:p>
        </w:tc>
      </w:tr>
      <w:tr w:rsidR="00830A05" w:rsidRPr="00872D7E" w14:paraId="05648CD5" w14:textId="77777777" w:rsidTr="00830A05">
        <w:trPr>
          <w:trHeight w:val="20"/>
        </w:trPr>
        <w:tc>
          <w:tcPr>
            <w:tcW w:w="5795" w:type="dxa"/>
            <w:shd w:val="clear" w:color="auto" w:fill="auto"/>
            <w:vAlign w:val="center"/>
          </w:tcPr>
          <w:p w14:paraId="228B88A5" w14:textId="77777777" w:rsidR="00830A05" w:rsidRPr="00872D7E" w:rsidRDefault="00830A05" w:rsidP="00830A05">
            <w:pPr>
              <w:ind w:firstLine="220"/>
              <w:rPr>
                <w:snapToGrid w:val="0"/>
                <w:sz w:val="18"/>
                <w:szCs w:val="18"/>
              </w:rPr>
            </w:pPr>
            <w:r w:rsidRPr="00872D7E">
              <w:rPr>
                <w:snapToGrid w:val="0"/>
                <w:sz w:val="18"/>
                <w:szCs w:val="18"/>
              </w:rPr>
              <w:t xml:space="preserve">Madencilik ve Taş ocakçılığı </w:t>
            </w:r>
          </w:p>
        </w:tc>
        <w:tc>
          <w:tcPr>
            <w:tcW w:w="941" w:type="dxa"/>
            <w:shd w:val="clear" w:color="auto" w:fill="auto"/>
          </w:tcPr>
          <w:p w14:paraId="5E05E7D9" w14:textId="0C0F6697" w:rsidR="00830A05" w:rsidRPr="00872D7E" w:rsidRDefault="00830A05" w:rsidP="00830A05">
            <w:pPr>
              <w:ind w:right="40"/>
              <w:jc w:val="right"/>
              <w:rPr>
                <w:bCs/>
                <w:sz w:val="18"/>
                <w:szCs w:val="18"/>
              </w:rPr>
            </w:pPr>
            <w:r w:rsidRPr="00872D7E">
              <w:rPr>
                <w:sz w:val="18"/>
                <w:szCs w:val="18"/>
              </w:rPr>
              <w:t>1</w:t>
            </w:r>
          </w:p>
        </w:tc>
        <w:tc>
          <w:tcPr>
            <w:tcW w:w="942" w:type="dxa"/>
            <w:shd w:val="clear" w:color="auto" w:fill="auto"/>
          </w:tcPr>
          <w:p w14:paraId="239C5BBB" w14:textId="45DF5AD7" w:rsidR="00830A05" w:rsidRPr="00872D7E" w:rsidRDefault="00830A05" w:rsidP="00830A05">
            <w:pPr>
              <w:ind w:right="40"/>
              <w:jc w:val="right"/>
              <w:rPr>
                <w:bCs/>
                <w:sz w:val="18"/>
                <w:szCs w:val="18"/>
              </w:rPr>
            </w:pPr>
            <w:r w:rsidRPr="00872D7E">
              <w:rPr>
                <w:sz w:val="18"/>
                <w:szCs w:val="18"/>
              </w:rPr>
              <w:t>0,00</w:t>
            </w:r>
          </w:p>
        </w:tc>
        <w:tc>
          <w:tcPr>
            <w:tcW w:w="941" w:type="dxa"/>
            <w:shd w:val="clear" w:color="auto" w:fill="auto"/>
          </w:tcPr>
          <w:p w14:paraId="4077DDFD" w14:textId="24ACB57C" w:rsidR="00830A05" w:rsidRPr="00872D7E" w:rsidRDefault="00830A05" w:rsidP="00830A05">
            <w:pPr>
              <w:ind w:right="40"/>
              <w:jc w:val="right"/>
              <w:rPr>
                <w:bCs/>
                <w:sz w:val="18"/>
                <w:szCs w:val="18"/>
              </w:rPr>
            </w:pPr>
            <w:r w:rsidRPr="00872D7E">
              <w:rPr>
                <w:sz w:val="18"/>
                <w:szCs w:val="18"/>
              </w:rPr>
              <w:t>-</w:t>
            </w:r>
          </w:p>
        </w:tc>
        <w:tc>
          <w:tcPr>
            <w:tcW w:w="851" w:type="dxa"/>
            <w:shd w:val="clear" w:color="auto" w:fill="auto"/>
          </w:tcPr>
          <w:p w14:paraId="518C1092" w14:textId="5156D5B2" w:rsidR="00830A05" w:rsidRPr="00872D7E" w:rsidRDefault="00785765" w:rsidP="00830A05">
            <w:pPr>
              <w:ind w:right="40"/>
              <w:jc w:val="right"/>
              <w:rPr>
                <w:bCs/>
                <w:sz w:val="18"/>
                <w:szCs w:val="18"/>
              </w:rPr>
            </w:pPr>
            <w:r w:rsidRPr="00872D7E">
              <w:rPr>
                <w:sz w:val="18"/>
                <w:szCs w:val="18"/>
              </w:rPr>
              <w:t>-</w:t>
            </w:r>
          </w:p>
        </w:tc>
      </w:tr>
      <w:tr w:rsidR="00830A05" w:rsidRPr="00872D7E" w14:paraId="5D3AB4BB" w14:textId="77777777" w:rsidTr="00830A05">
        <w:trPr>
          <w:trHeight w:val="20"/>
        </w:trPr>
        <w:tc>
          <w:tcPr>
            <w:tcW w:w="5795" w:type="dxa"/>
            <w:shd w:val="clear" w:color="auto" w:fill="auto"/>
            <w:vAlign w:val="center"/>
          </w:tcPr>
          <w:p w14:paraId="7D7B680B" w14:textId="77777777" w:rsidR="00830A05" w:rsidRPr="00872D7E" w:rsidRDefault="00830A05" w:rsidP="00830A05">
            <w:pPr>
              <w:ind w:firstLine="220"/>
              <w:rPr>
                <w:snapToGrid w:val="0"/>
                <w:sz w:val="18"/>
                <w:szCs w:val="18"/>
              </w:rPr>
            </w:pPr>
            <w:r w:rsidRPr="00872D7E">
              <w:rPr>
                <w:snapToGrid w:val="0"/>
                <w:sz w:val="18"/>
                <w:szCs w:val="18"/>
              </w:rPr>
              <w:t>İmalat Sanayi</w:t>
            </w:r>
          </w:p>
        </w:tc>
        <w:tc>
          <w:tcPr>
            <w:tcW w:w="941" w:type="dxa"/>
            <w:shd w:val="clear" w:color="auto" w:fill="auto"/>
          </w:tcPr>
          <w:p w14:paraId="025375B2" w14:textId="769C3AFB" w:rsidR="00830A05" w:rsidRPr="00872D7E" w:rsidRDefault="00830A05" w:rsidP="00830A05">
            <w:pPr>
              <w:ind w:right="40"/>
              <w:jc w:val="right"/>
              <w:rPr>
                <w:bCs/>
                <w:sz w:val="18"/>
                <w:szCs w:val="18"/>
              </w:rPr>
            </w:pPr>
            <w:r w:rsidRPr="00872D7E">
              <w:rPr>
                <w:sz w:val="18"/>
                <w:szCs w:val="18"/>
              </w:rPr>
              <w:t>462.527</w:t>
            </w:r>
          </w:p>
        </w:tc>
        <w:tc>
          <w:tcPr>
            <w:tcW w:w="942" w:type="dxa"/>
            <w:shd w:val="clear" w:color="auto" w:fill="auto"/>
          </w:tcPr>
          <w:p w14:paraId="56D6DF57" w14:textId="628FA831" w:rsidR="00830A05" w:rsidRPr="00872D7E" w:rsidRDefault="00830A05" w:rsidP="00830A05">
            <w:pPr>
              <w:ind w:right="40"/>
              <w:jc w:val="right"/>
              <w:rPr>
                <w:bCs/>
                <w:sz w:val="18"/>
                <w:szCs w:val="18"/>
              </w:rPr>
            </w:pPr>
            <w:r w:rsidRPr="00872D7E">
              <w:rPr>
                <w:sz w:val="18"/>
                <w:szCs w:val="18"/>
              </w:rPr>
              <w:t>8,76</w:t>
            </w:r>
          </w:p>
        </w:tc>
        <w:tc>
          <w:tcPr>
            <w:tcW w:w="941" w:type="dxa"/>
            <w:shd w:val="clear" w:color="auto" w:fill="auto"/>
          </w:tcPr>
          <w:p w14:paraId="0C42F6DC" w14:textId="3C344721" w:rsidR="00830A05" w:rsidRPr="00872D7E" w:rsidRDefault="00830A05" w:rsidP="00830A05">
            <w:pPr>
              <w:ind w:right="40"/>
              <w:jc w:val="right"/>
              <w:rPr>
                <w:bCs/>
                <w:sz w:val="18"/>
                <w:szCs w:val="18"/>
              </w:rPr>
            </w:pPr>
            <w:r w:rsidRPr="00872D7E">
              <w:rPr>
                <w:sz w:val="18"/>
                <w:szCs w:val="18"/>
              </w:rPr>
              <w:t>606.216</w:t>
            </w:r>
          </w:p>
        </w:tc>
        <w:tc>
          <w:tcPr>
            <w:tcW w:w="851" w:type="dxa"/>
            <w:shd w:val="clear" w:color="auto" w:fill="auto"/>
          </w:tcPr>
          <w:p w14:paraId="00050FC5" w14:textId="3C9982F9" w:rsidR="00830A05" w:rsidRPr="00872D7E" w:rsidRDefault="00830A05" w:rsidP="00830A05">
            <w:pPr>
              <w:ind w:right="40"/>
              <w:jc w:val="right"/>
              <w:rPr>
                <w:bCs/>
                <w:sz w:val="18"/>
                <w:szCs w:val="18"/>
              </w:rPr>
            </w:pPr>
            <w:r w:rsidRPr="00872D7E">
              <w:rPr>
                <w:sz w:val="18"/>
                <w:szCs w:val="18"/>
              </w:rPr>
              <w:t>29,49</w:t>
            </w:r>
          </w:p>
        </w:tc>
      </w:tr>
      <w:tr w:rsidR="00830A05" w:rsidRPr="00872D7E" w14:paraId="27B07A81" w14:textId="77777777" w:rsidTr="00830A05">
        <w:trPr>
          <w:trHeight w:val="20"/>
        </w:trPr>
        <w:tc>
          <w:tcPr>
            <w:tcW w:w="5795" w:type="dxa"/>
            <w:shd w:val="clear" w:color="auto" w:fill="auto"/>
            <w:vAlign w:val="center"/>
          </w:tcPr>
          <w:p w14:paraId="303464AB" w14:textId="77777777" w:rsidR="00830A05" w:rsidRPr="00872D7E" w:rsidRDefault="00830A05" w:rsidP="00830A05">
            <w:pPr>
              <w:ind w:firstLine="220"/>
              <w:rPr>
                <w:snapToGrid w:val="0"/>
                <w:sz w:val="18"/>
                <w:szCs w:val="18"/>
              </w:rPr>
            </w:pPr>
            <w:r w:rsidRPr="00872D7E">
              <w:rPr>
                <w:snapToGrid w:val="0"/>
                <w:sz w:val="18"/>
                <w:szCs w:val="18"/>
              </w:rPr>
              <w:t>Elektrik, Gaz, Su</w:t>
            </w:r>
          </w:p>
        </w:tc>
        <w:tc>
          <w:tcPr>
            <w:tcW w:w="941" w:type="dxa"/>
            <w:shd w:val="clear" w:color="auto" w:fill="auto"/>
          </w:tcPr>
          <w:p w14:paraId="6506C9B0" w14:textId="684256F5" w:rsidR="00830A05" w:rsidRPr="00872D7E" w:rsidRDefault="00830A05" w:rsidP="00830A05">
            <w:pPr>
              <w:ind w:right="40"/>
              <w:jc w:val="right"/>
              <w:rPr>
                <w:bCs/>
                <w:sz w:val="18"/>
                <w:szCs w:val="18"/>
              </w:rPr>
            </w:pPr>
            <w:r w:rsidRPr="00872D7E">
              <w:rPr>
                <w:sz w:val="18"/>
                <w:szCs w:val="18"/>
              </w:rPr>
              <w:t>140.731</w:t>
            </w:r>
          </w:p>
        </w:tc>
        <w:tc>
          <w:tcPr>
            <w:tcW w:w="942" w:type="dxa"/>
            <w:shd w:val="clear" w:color="auto" w:fill="auto"/>
          </w:tcPr>
          <w:p w14:paraId="50744F69" w14:textId="540EE04D" w:rsidR="00830A05" w:rsidRPr="00872D7E" w:rsidRDefault="00830A05" w:rsidP="00830A05">
            <w:pPr>
              <w:ind w:right="40"/>
              <w:jc w:val="right"/>
              <w:rPr>
                <w:bCs/>
                <w:sz w:val="18"/>
                <w:szCs w:val="18"/>
              </w:rPr>
            </w:pPr>
            <w:r w:rsidRPr="00872D7E">
              <w:rPr>
                <w:sz w:val="18"/>
                <w:szCs w:val="18"/>
              </w:rPr>
              <w:t>2,67</w:t>
            </w:r>
          </w:p>
        </w:tc>
        <w:tc>
          <w:tcPr>
            <w:tcW w:w="941" w:type="dxa"/>
            <w:shd w:val="clear" w:color="auto" w:fill="auto"/>
          </w:tcPr>
          <w:p w14:paraId="19174D42" w14:textId="59BFC802" w:rsidR="00830A05" w:rsidRPr="00872D7E" w:rsidRDefault="00830A05" w:rsidP="00830A05">
            <w:pPr>
              <w:ind w:right="40"/>
              <w:jc w:val="right"/>
              <w:rPr>
                <w:bCs/>
                <w:sz w:val="18"/>
                <w:szCs w:val="18"/>
              </w:rPr>
            </w:pPr>
            <w:r w:rsidRPr="00872D7E">
              <w:rPr>
                <w:sz w:val="18"/>
                <w:szCs w:val="18"/>
              </w:rPr>
              <w:t>-</w:t>
            </w:r>
          </w:p>
        </w:tc>
        <w:tc>
          <w:tcPr>
            <w:tcW w:w="851" w:type="dxa"/>
            <w:shd w:val="clear" w:color="auto" w:fill="auto"/>
          </w:tcPr>
          <w:p w14:paraId="2DFB95D9" w14:textId="39CB31AA" w:rsidR="00830A05" w:rsidRPr="00872D7E" w:rsidRDefault="00785765" w:rsidP="00830A05">
            <w:pPr>
              <w:ind w:right="40"/>
              <w:jc w:val="right"/>
              <w:rPr>
                <w:bCs/>
                <w:sz w:val="18"/>
                <w:szCs w:val="18"/>
              </w:rPr>
            </w:pPr>
            <w:r w:rsidRPr="00872D7E">
              <w:rPr>
                <w:sz w:val="18"/>
                <w:szCs w:val="18"/>
              </w:rPr>
              <w:t>-</w:t>
            </w:r>
          </w:p>
        </w:tc>
      </w:tr>
      <w:tr w:rsidR="00830A05" w:rsidRPr="00872D7E" w14:paraId="2B8F7563" w14:textId="77777777" w:rsidTr="00830A05">
        <w:trPr>
          <w:trHeight w:val="20"/>
        </w:trPr>
        <w:tc>
          <w:tcPr>
            <w:tcW w:w="5795" w:type="dxa"/>
            <w:shd w:val="clear" w:color="auto" w:fill="auto"/>
            <w:vAlign w:val="center"/>
          </w:tcPr>
          <w:p w14:paraId="38586415" w14:textId="77777777" w:rsidR="00830A05" w:rsidRPr="00872D7E" w:rsidRDefault="00830A05" w:rsidP="00830A05">
            <w:pPr>
              <w:rPr>
                <w:b/>
                <w:snapToGrid w:val="0"/>
                <w:sz w:val="18"/>
                <w:szCs w:val="18"/>
              </w:rPr>
            </w:pPr>
            <w:r w:rsidRPr="00872D7E">
              <w:rPr>
                <w:b/>
                <w:snapToGrid w:val="0"/>
                <w:sz w:val="18"/>
                <w:szCs w:val="18"/>
              </w:rPr>
              <w:t>İnşaat</w:t>
            </w:r>
          </w:p>
        </w:tc>
        <w:tc>
          <w:tcPr>
            <w:tcW w:w="941" w:type="dxa"/>
            <w:shd w:val="clear" w:color="auto" w:fill="auto"/>
          </w:tcPr>
          <w:p w14:paraId="32043C77" w14:textId="288D0511" w:rsidR="00830A05" w:rsidRPr="00872D7E" w:rsidRDefault="00830A05" w:rsidP="00830A05">
            <w:pPr>
              <w:ind w:right="40"/>
              <w:jc w:val="right"/>
              <w:rPr>
                <w:b/>
                <w:sz w:val="18"/>
                <w:szCs w:val="18"/>
              </w:rPr>
            </w:pPr>
            <w:r w:rsidRPr="00872D7E">
              <w:rPr>
                <w:b/>
                <w:sz w:val="18"/>
                <w:szCs w:val="18"/>
              </w:rPr>
              <w:t>2.485.216</w:t>
            </w:r>
          </w:p>
        </w:tc>
        <w:tc>
          <w:tcPr>
            <w:tcW w:w="942" w:type="dxa"/>
            <w:shd w:val="clear" w:color="auto" w:fill="auto"/>
          </w:tcPr>
          <w:p w14:paraId="67907BF7" w14:textId="45081A04" w:rsidR="00830A05" w:rsidRPr="00872D7E" w:rsidRDefault="00830A05" w:rsidP="00830A05">
            <w:pPr>
              <w:ind w:right="40"/>
              <w:jc w:val="right"/>
              <w:rPr>
                <w:b/>
                <w:sz w:val="18"/>
                <w:szCs w:val="18"/>
              </w:rPr>
            </w:pPr>
            <w:r w:rsidRPr="00872D7E">
              <w:rPr>
                <w:b/>
                <w:sz w:val="18"/>
                <w:szCs w:val="18"/>
              </w:rPr>
              <w:t>47,07</w:t>
            </w:r>
          </w:p>
        </w:tc>
        <w:tc>
          <w:tcPr>
            <w:tcW w:w="941" w:type="dxa"/>
            <w:shd w:val="clear" w:color="auto" w:fill="auto"/>
          </w:tcPr>
          <w:p w14:paraId="2CF0B1A9" w14:textId="62DAF82C" w:rsidR="00830A05" w:rsidRPr="00872D7E" w:rsidRDefault="00830A05" w:rsidP="00830A05">
            <w:pPr>
              <w:ind w:right="40"/>
              <w:jc w:val="right"/>
              <w:rPr>
                <w:b/>
                <w:sz w:val="18"/>
                <w:szCs w:val="18"/>
              </w:rPr>
            </w:pPr>
            <w:r w:rsidRPr="00872D7E">
              <w:rPr>
                <w:b/>
                <w:sz w:val="18"/>
                <w:szCs w:val="18"/>
              </w:rPr>
              <w:t>269.198</w:t>
            </w:r>
          </w:p>
        </w:tc>
        <w:tc>
          <w:tcPr>
            <w:tcW w:w="851" w:type="dxa"/>
            <w:shd w:val="clear" w:color="auto" w:fill="auto"/>
          </w:tcPr>
          <w:p w14:paraId="28DC6EB2" w14:textId="056F9F55" w:rsidR="00830A05" w:rsidRPr="00872D7E" w:rsidRDefault="00830A05" w:rsidP="00830A05">
            <w:pPr>
              <w:ind w:right="40"/>
              <w:jc w:val="right"/>
              <w:rPr>
                <w:b/>
                <w:sz w:val="18"/>
                <w:szCs w:val="18"/>
              </w:rPr>
            </w:pPr>
            <w:r w:rsidRPr="00872D7E">
              <w:rPr>
                <w:b/>
                <w:sz w:val="18"/>
                <w:szCs w:val="18"/>
              </w:rPr>
              <w:t>13,09</w:t>
            </w:r>
          </w:p>
        </w:tc>
      </w:tr>
      <w:tr w:rsidR="00830A05" w:rsidRPr="00872D7E" w14:paraId="3E971C10" w14:textId="77777777" w:rsidTr="00830A05">
        <w:trPr>
          <w:trHeight w:val="20"/>
        </w:trPr>
        <w:tc>
          <w:tcPr>
            <w:tcW w:w="5795" w:type="dxa"/>
            <w:shd w:val="clear" w:color="auto" w:fill="auto"/>
            <w:vAlign w:val="center"/>
          </w:tcPr>
          <w:p w14:paraId="39971ED2" w14:textId="77777777" w:rsidR="00830A05" w:rsidRPr="00872D7E" w:rsidRDefault="00830A05" w:rsidP="00830A05">
            <w:pPr>
              <w:rPr>
                <w:b/>
                <w:snapToGrid w:val="0"/>
                <w:sz w:val="18"/>
                <w:szCs w:val="18"/>
              </w:rPr>
            </w:pPr>
            <w:r w:rsidRPr="00872D7E">
              <w:rPr>
                <w:b/>
                <w:snapToGrid w:val="0"/>
                <w:sz w:val="18"/>
                <w:szCs w:val="18"/>
              </w:rPr>
              <w:t>Hizmetler</w:t>
            </w:r>
          </w:p>
        </w:tc>
        <w:tc>
          <w:tcPr>
            <w:tcW w:w="941" w:type="dxa"/>
            <w:shd w:val="clear" w:color="auto" w:fill="auto"/>
          </w:tcPr>
          <w:p w14:paraId="75863F8B" w14:textId="26403036" w:rsidR="00830A05" w:rsidRPr="00872D7E" w:rsidRDefault="00830A05" w:rsidP="00830A05">
            <w:pPr>
              <w:ind w:right="40"/>
              <w:jc w:val="right"/>
              <w:rPr>
                <w:b/>
                <w:sz w:val="18"/>
                <w:szCs w:val="18"/>
              </w:rPr>
            </w:pPr>
            <w:r w:rsidRPr="00872D7E">
              <w:rPr>
                <w:b/>
                <w:sz w:val="18"/>
                <w:szCs w:val="18"/>
              </w:rPr>
              <w:t>2.191.148</w:t>
            </w:r>
          </w:p>
        </w:tc>
        <w:tc>
          <w:tcPr>
            <w:tcW w:w="942" w:type="dxa"/>
            <w:shd w:val="clear" w:color="auto" w:fill="auto"/>
          </w:tcPr>
          <w:p w14:paraId="3A40AEDC" w14:textId="0786412A" w:rsidR="00830A05" w:rsidRPr="00872D7E" w:rsidRDefault="00830A05" w:rsidP="00830A05">
            <w:pPr>
              <w:ind w:right="40"/>
              <w:jc w:val="right"/>
              <w:rPr>
                <w:b/>
                <w:sz w:val="18"/>
                <w:szCs w:val="18"/>
              </w:rPr>
            </w:pPr>
            <w:r w:rsidRPr="00872D7E">
              <w:rPr>
                <w:b/>
                <w:sz w:val="18"/>
                <w:szCs w:val="18"/>
              </w:rPr>
              <w:t>41,50</w:t>
            </w:r>
          </w:p>
        </w:tc>
        <w:tc>
          <w:tcPr>
            <w:tcW w:w="941" w:type="dxa"/>
            <w:shd w:val="clear" w:color="auto" w:fill="auto"/>
          </w:tcPr>
          <w:p w14:paraId="5E80EF08" w14:textId="447EAEEA" w:rsidR="00830A05" w:rsidRPr="00872D7E" w:rsidRDefault="00830A05" w:rsidP="00830A05">
            <w:pPr>
              <w:ind w:right="40"/>
              <w:jc w:val="right"/>
              <w:rPr>
                <w:b/>
                <w:sz w:val="18"/>
                <w:szCs w:val="18"/>
              </w:rPr>
            </w:pPr>
            <w:r w:rsidRPr="00872D7E">
              <w:rPr>
                <w:b/>
                <w:sz w:val="18"/>
                <w:szCs w:val="18"/>
              </w:rPr>
              <w:t>1.174.163</w:t>
            </w:r>
          </w:p>
        </w:tc>
        <w:tc>
          <w:tcPr>
            <w:tcW w:w="851" w:type="dxa"/>
            <w:shd w:val="clear" w:color="auto" w:fill="auto"/>
          </w:tcPr>
          <w:p w14:paraId="135F0031" w14:textId="4B092BDC" w:rsidR="00830A05" w:rsidRPr="00872D7E" w:rsidRDefault="00830A05" w:rsidP="00830A05">
            <w:pPr>
              <w:ind w:right="40"/>
              <w:jc w:val="right"/>
              <w:rPr>
                <w:b/>
                <w:sz w:val="18"/>
                <w:szCs w:val="18"/>
              </w:rPr>
            </w:pPr>
            <w:r w:rsidRPr="00872D7E">
              <w:rPr>
                <w:b/>
                <w:sz w:val="18"/>
                <w:szCs w:val="18"/>
              </w:rPr>
              <w:t>57,11</w:t>
            </w:r>
          </w:p>
        </w:tc>
      </w:tr>
      <w:tr w:rsidR="00830A05" w:rsidRPr="00872D7E" w14:paraId="23C7F4C8" w14:textId="77777777" w:rsidTr="00830A05">
        <w:trPr>
          <w:trHeight w:val="20"/>
        </w:trPr>
        <w:tc>
          <w:tcPr>
            <w:tcW w:w="5795" w:type="dxa"/>
            <w:shd w:val="clear" w:color="auto" w:fill="auto"/>
            <w:vAlign w:val="center"/>
          </w:tcPr>
          <w:p w14:paraId="461C577F" w14:textId="77777777" w:rsidR="00830A05" w:rsidRPr="00872D7E" w:rsidRDefault="00830A05" w:rsidP="00830A05">
            <w:pPr>
              <w:ind w:firstLine="220"/>
              <w:rPr>
                <w:snapToGrid w:val="0"/>
                <w:sz w:val="18"/>
                <w:szCs w:val="18"/>
              </w:rPr>
            </w:pPr>
            <w:r w:rsidRPr="00872D7E">
              <w:rPr>
                <w:snapToGrid w:val="0"/>
                <w:sz w:val="18"/>
                <w:szCs w:val="18"/>
              </w:rPr>
              <w:t>Toptan ve Perakende Ticaret</w:t>
            </w:r>
          </w:p>
        </w:tc>
        <w:tc>
          <w:tcPr>
            <w:tcW w:w="941" w:type="dxa"/>
            <w:shd w:val="clear" w:color="auto" w:fill="auto"/>
          </w:tcPr>
          <w:p w14:paraId="48557A21" w14:textId="39E4837E" w:rsidR="00830A05" w:rsidRPr="00872D7E" w:rsidRDefault="00830A05" w:rsidP="00830A05">
            <w:pPr>
              <w:ind w:right="40"/>
              <w:jc w:val="right"/>
              <w:rPr>
                <w:bCs/>
                <w:sz w:val="18"/>
                <w:szCs w:val="18"/>
              </w:rPr>
            </w:pPr>
            <w:r w:rsidRPr="00872D7E">
              <w:rPr>
                <w:sz w:val="18"/>
                <w:szCs w:val="18"/>
              </w:rPr>
              <w:t>681.410</w:t>
            </w:r>
          </w:p>
        </w:tc>
        <w:tc>
          <w:tcPr>
            <w:tcW w:w="942" w:type="dxa"/>
            <w:shd w:val="clear" w:color="auto" w:fill="auto"/>
          </w:tcPr>
          <w:p w14:paraId="123B1969" w14:textId="0E955A2F" w:rsidR="00830A05" w:rsidRPr="00872D7E" w:rsidRDefault="00830A05" w:rsidP="00830A05">
            <w:pPr>
              <w:ind w:right="40"/>
              <w:jc w:val="right"/>
              <w:rPr>
                <w:bCs/>
                <w:sz w:val="18"/>
                <w:szCs w:val="18"/>
              </w:rPr>
            </w:pPr>
            <w:r w:rsidRPr="00872D7E">
              <w:rPr>
                <w:sz w:val="18"/>
                <w:szCs w:val="18"/>
              </w:rPr>
              <w:t>12,91</w:t>
            </w:r>
          </w:p>
        </w:tc>
        <w:tc>
          <w:tcPr>
            <w:tcW w:w="941" w:type="dxa"/>
            <w:shd w:val="clear" w:color="auto" w:fill="auto"/>
          </w:tcPr>
          <w:p w14:paraId="004A8752" w14:textId="12B175A6" w:rsidR="00830A05" w:rsidRPr="00872D7E" w:rsidRDefault="00830A05" w:rsidP="00830A05">
            <w:pPr>
              <w:ind w:right="40"/>
              <w:jc w:val="right"/>
              <w:rPr>
                <w:bCs/>
                <w:sz w:val="18"/>
                <w:szCs w:val="18"/>
              </w:rPr>
            </w:pPr>
            <w:r w:rsidRPr="00872D7E">
              <w:rPr>
                <w:sz w:val="18"/>
                <w:szCs w:val="18"/>
              </w:rPr>
              <w:t>459.181</w:t>
            </w:r>
          </w:p>
        </w:tc>
        <w:tc>
          <w:tcPr>
            <w:tcW w:w="851" w:type="dxa"/>
            <w:shd w:val="clear" w:color="auto" w:fill="auto"/>
          </w:tcPr>
          <w:p w14:paraId="463614C7" w14:textId="3CFB1A1A" w:rsidR="00830A05" w:rsidRPr="00872D7E" w:rsidRDefault="00830A05" w:rsidP="00830A05">
            <w:pPr>
              <w:ind w:right="40"/>
              <w:jc w:val="right"/>
              <w:rPr>
                <w:bCs/>
                <w:sz w:val="18"/>
                <w:szCs w:val="18"/>
              </w:rPr>
            </w:pPr>
            <w:r w:rsidRPr="00872D7E">
              <w:rPr>
                <w:sz w:val="18"/>
                <w:szCs w:val="18"/>
              </w:rPr>
              <w:t>22,33</w:t>
            </w:r>
          </w:p>
        </w:tc>
      </w:tr>
      <w:tr w:rsidR="00830A05" w:rsidRPr="00872D7E" w14:paraId="12D7D32F" w14:textId="77777777" w:rsidTr="00830A05">
        <w:trPr>
          <w:trHeight w:val="20"/>
        </w:trPr>
        <w:tc>
          <w:tcPr>
            <w:tcW w:w="5795" w:type="dxa"/>
            <w:shd w:val="clear" w:color="auto" w:fill="auto"/>
            <w:vAlign w:val="center"/>
          </w:tcPr>
          <w:p w14:paraId="49066064" w14:textId="77777777" w:rsidR="00830A05" w:rsidRPr="00872D7E" w:rsidRDefault="00830A05" w:rsidP="00830A05">
            <w:pPr>
              <w:ind w:firstLine="220"/>
              <w:rPr>
                <w:snapToGrid w:val="0"/>
                <w:sz w:val="18"/>
                <w:szCs w:val="18"/>
              </w:rPr>
            </w:pPr>
            <w:r w:rsidRPr="00872D7E">
              <w:rPr>
                <w:snapToGrid w:val="0"/>
                <w:sz w:val="18"/>
                <w:szCs w:val="18"/>
              </w:rPr>
              <w:t>Otel ve Lokanta Hizmetleri</w:t>
            </w:r>
          </w:p>
        </w:tc>
        <w:tc>
          <w:tcPr>
            <w:tcW w:w="941" w:type="dxa"/>
            <w:shd w:val="clear" w:color="auto" w:fill="auto"/>
          </w:tcPr>
          <w:p w14:paraId="14ACBDF6" w14:textId="08252526" w:rsidR="00830A05" w:rsidRPr="00872D7E" w:rsidRDefault="00830A05" w:rsidP="00830A05">
            <w:pPr>
              <w:ind w:right="40"/>
              <w:jc w:val="right"/>
              <w:rPr>
                <w:bCs/>
                <w:sz w:val="18"/>
                <w:szCs w:val="18"/>
              </w:rPr>
            </w:pPr>
            <w:r w:rsidRPr="00872D7E">
              <w:rPr>
                <w:sz w:val="18"/>
                <w:szCs w:val="18"/>
              </w:rPr>
              <w:t>5.276</w:t>
            </w:r>
          </w:p>
        </w:tc>
        <w:tc>
          <w:tcPr>
            <w:tcW w:w="942" w:type="dxa"/>
            <w:shd w:val="clear" w:color="auto" w:fill="auto"/>
          </w:tcPr>
          <w:p w14:paraId="420053D8" w14:textId="140EE425" w:rsidR="00830A05" w:rsidRPr="00872D7E" w:rsidRDefault="00830A05" w:rsidP="00830A05">
            <w:pPr>
              <w:ind w:right="40"/>
              <w:jc w:val="right"/>
              <w:rPr>
                <w:bCs/>
                <w:sz w:val="18"/>
                <w:szCs w:val="18"/>
              </w:rPr>
            </w:pPr>
            <w:r w:rsidRPr="00872D7E">
              <w:rPr>
                <w:sz w:val="18"/>
                <w:szCs w:val="18"/>
              </w:rPr>
              <w:t>0,10</w:t>
            </w:r>
          </w:p>
        </w:tc>
        <w:tc>
          <w:tcPr>
            <w:tcW w:w="941" w:type="dxa"/>
            <w:shd w:val="clear" w:color="auto" w:fill="auto"/>
          </w:tcPr>
          <w:p w14:paraId="219D5844" w14:textId="1A5321E8" w:rsidR="00830A05" w:rsidRPr="00872D7E" w:rsidRDefault="00830A05" w:rsidP="00830A05">
            <w:pPr>
              <w:ind w:right="40"/>
              <w:jc w:val="right"/>
              <w:rPr>
                <w:bCs/>
                <w:sz w:val="18"/>
                <w:szCs w:val="18"/>
              </w:rPr>
            </w:pPr>
            <w:r w:rsidRPr="00872D7E">
              <w:rPr>
                <w:sz w:val="18"/>
                <w:szCs w:val="18"/>
              </w:rPr>
              <w:t>-</w:t>
            </w:r>
          </w:p>
        </w:tc>
        <w:tc>
          <w:tcPr>
            <w:tcW w:w="851" w:type="dxa"/>
            <w:shd w:val="clear" w:color="auto" w:fill="auto"/>
          </w:tcPr>
          <w:p w14:paraId="2C4FF787" w14:textId="4AED1C62" w:rsidR="00830A05" w:rsidRPr="00872D7E" w:rsidRDefault="00785765" w:rsidP="00830A05">
            <w:pPr>
              <w:ind w:right="40"/>
              <w:jc w:val="right"/>
              <w:rPr>
                <w:bCs/>
                <w:sz w:val="18"/>
                <w:szCs w:val="18"/>
              </w:rPr>
            </w:pPr>
            <w:r w:rsidRPr="00872D7E">
              <w:rPr>
                <w:sz w:val="18"/>
                <w:szCs w:val="18"/>
              </w:rPr>
              <w:t>-</w:t>
            </w:r>
          </w:p>
        </w:tc>
      </w:tr>
      <w:tr w:rsidR="00830A05" w:rsidRPr="00872D7E" w14:paraId="0D5BB635" w14:textId="77777777" w:rsidTr="00830A05">
        <w:trPr>
          <w:trHeight w:val="20"/>
        </w:trPr>
        <w:tc>
          <w:tcPr>
            <w:tcW w:w="5795" w:type="dxa"/>
            <w:shd w:val="clear" w:color="auto" w:fill="auto"/>
            <w:vAlign w:val="center"/>
          </w:tcPr>
          <w:p w14:paraId="7CCD5D14" w14:textId="77777777" w:rsidR="00830A05" w:rsidRPr="00872D7E" w:rsidRDefault="00830A05" w:rsidP="00830A05">
            <w:pPr>
              <w:ind w:firstLine="220"/>
              <w:rPr>
                <w:snapToGrid w:val="0"/>
                <w:sz w:val="18"/>
                <w:szCs w:val="18"/>
              </w:rPr>
            </w:pPr>
            <w:r w:rsidRPr="00872D7E">
              <w:rPr>
                <w:snapToGrid w:val="0"/>
                <w:sz w:val="18"/>
                <w:szCs w:val="18"/>
              </w:rPr>
              <w:t>Ulaştırma ve Haberleşme</w:t>
            </w:r>
          </w:p>
        </w:tc>
        <w:tc>
          <w:tcPr>
            <w:tcW w:w="941" w:type="dxa"/>
            <w:shd w:val="clear" w:color="auto" w:fill="auto"/>
          </w:tcPr>
          <w:p w14:paraId="6D78D282" w14:textId="315DA085" w:rsidR="00830A05" w:rsidRPr="00872D7E" w:rsidRDefault="00830A05" w:rsidP="00830A05">
            <w:pPr>
              <w:ind w:right="40"/>
              <w:jc w:val="right"/>
              <w:rPr>
                <w:bCs/>
                <w:sz w:val="18"/>
                <w:szCs w:val="18"/>
              </w:rPr>
            </w:pPr>
            <w:r w:rsidRPr="00872D7E">
              <w:rPr>
                <w:sz w:val="18"/>
                <w:szCs w:val="18"/>
              </w:rPr>
              <w:t>1.172.215</w:t>
            </w:r>
          </w:p>
        </w:tc>
        <w:tc>
          <w:tcPr>
            <w:tcW w:w="942" w:type="dxa"/>
            <w:shd w:val="clear" w:color="auto" w:fill="auto"/>
          </w:tcPr>
          <w:p w14:paraId="4F30A403" w14:textId="6FE3DABE" w:rsidR="00830A05" w:rsidRPr="00872D7E" w:rsidRDefault="00830A05" w:rsidP="00830A05">
            <w:pPr>
              <w:ind w:right="40"/>
              <w:jc w:val="right"/>
              <w:rPr>
                <w:bCs/>
                <w:sz w:val="18"/>
                <w:szCs w:val="18"/>
              </w:rPr>
            </w:pPr>
            <w:r w:rsidRPr="00872D7E">
              <w:rPr>
                <w:sz w:val="18"/>
                <w:szCs w:val="18"/>
              </w:rPr>
              <w:t>22,20</w:t>
            </w:r>
          </w:p>
        </w:tc>
        <w:tc>
          <w:tcPr>
            <w:tcW w:w="941" w:type="dxa"/>
            <w:shd w:val="clear" w:color="auto" w:fill="auto"/>
          </w:tcPr>
          <w:p w14:paraId="1810D864" w14:textId="134BA65C" w:rsidR="00830A05" w:rsidRPr="00872D7E" w:rsidRDefault="00830A05" w:rsidP="00830A05">
            <w:pPr>
              <w:ind w:right="40"/>
              <w:jc w:val="right"/>
              <w:rPr>
                <w:bCs/>
                <w:sz w:val="18"/>
                <w:szCs w:val="18"/>
              </w:rPr>
            </w:pPr>
            <w:r w:rsidRPr="00872D7E">
              <w:rPr>
                <w:sz w:val="18"/>
                <w:szCs w:val="18"/>
              </w:rPr>
              <w:t>529.734</w:t>
            </w:r>
          </w:p>
        </w:tc>
        <w:tc>
          <w:tcPr>
            <w:tcW w:w="851" w:type="dxa"/>
            <w:shd w:val="clear" w:color="auto" w:fill="auto"/>
          </w:tcPr>
          <w:p w14:paraId="594A2AE0" w14:textId="5839CA4C" w:rsidR="00830A05" w:rsidRPr="00872D7E" w:rsidRDefault="00830A05" w:rsidP="00830A05">
            <w:pPr>
              <w:ind w:right="40"/>
              <w:jc w:val="right"/>
              <w:rPr>
                <w:bCs/>
                <w:sz w:val="18"/>
                <w:szCs w:val="18"/>
              </w:rPr>
            </w:pPr>
            <w:r w:rsidRPr="00872D7E">
              <w:rPr>
                <w:sz w:val="18"/>
                <w:szCs w:val="18"/>
              </w:rPr>
              <w:t>25,77</w:t>
            </w:r>
          </w:p>
        </w:tc>
      </w:tr>
      <w:tr w:rsidR="00830A05" w:rsidRPr="00872D7E" w14:paraId="7D432D85" w14:textId="77777777" w:rsidTr="00830A05">
        <w:trPr>
          <w:trHeight w:val="20"/>
        </w:trPr>
        <w:tc>
          <w:tcPr>
            <w:tcW w:w="5795" w:type="dxa"/>
            <w:shd w:val="clear" w:color="auto" w:fill="auto"/>
            <w:vAlign w:val="center"/>
          </w:tcPr>
          <w:p w14:paraId="1269D923" w14:textId="77777777" w:rsidR="00830A05" w:rsidRPr="00872D7E" w:rsidRDefault="00830A05" w:rsidP="00830A05">
            <w:pPr>
              <w:ind w:firstLine="220"/>
              <w:rPr>
                <w:iCs/>
                <w:snapToGrid w:val="0"/>
                <w:sz w:val="18"/>
                <w:szCs w:val="18"/>
              </w:rPr>
            </w:pPr>
            <w:r w:rsidRPr="00872D7E">
              <w:rPr>
                <w:iCs/>
                <w:snapToGrid w:val="0"/>
                <w:sz w:val="18"/>
                <w:szCs w:val="18"/>
              </w:rPr>
              <w:t>Mali Kuruluşlar</w:t>
            </w:r>
          </w:p>
        </w:tc>
        <w:tc>
          <w:tcPr>
            <w:tcW w:w="941" w:type="dxa"/>
            <w:shd w:val="clear" w:color="auto" w:fill="auto"/>
          </w:tcPr>
          <w:p w14:paraId="01BBCAF1" w14:textId="3C12AC43" w:rsidR="00830A05" w:rsidRPr="00872D7E" w:rsidRDefault="00830A05" w:rsidP="00830A05">
            <w:pPr>
              <w:ind w:right="40"/>
              <w:jc w:val="right"/>
              <w:rPr>
                <w:bCs/>
                <w:sz w:val="18"/>
                <w:szCs w:val="18"/>
              </w:rPr>
            </w:pPr>
            <w:r w:rsidRPr="00872D7E">
              <w:rPr>
                <w:sz w:val="18"/>
                <w:szCs w:val="18"/>
              </w:rPr>
              <w:t>71.500</w:t>
            </w:r>
          </w:p>
        </w:tc>
        <w:tc>
          <w:tcPr>
            <w:tcW w:w="942" w:type="dxa"/>
            <w:shd w:val="clear" w:color="auto" w:fill="auto"/>
          </w:tcPr>
          <w:p w14:paraId="1C652E02" w14:textId="33675A56" w:rsidR="00830A05" w:rsidRPr="00872D7E" w:rsidRDefault="00830A05" w:rsidP="00830A05">
            <w:pPr>
              <w:ind w:right="40"/>
              <w:jc w:val="right"/>
              <w:rPr>
                <w:bCs/>
                <w:sz w:val="18"/>
                <w:szCs w:val="18"/>
              </w:rPr>
            </w:pPr>
            <w:r w:rsidRPr="00872D7E">
              <w:rPr>
                <w:sz w:val="18"/>
                <w:szCs w:val="18"/>
              </w:rPr>
              <w:t>1,35</w:t>
            </w:r>
          </w:p>
        </w:tc>
        <w:tc>
          <w:tcPr>
            <w:tcW w:w="941" w:type="dxa"/>
            <w:shd w:val="clear" w:color="auto" w:fill="auto"/>
          </w:tcPr>
          <w:p w14:paraId="70A2CDE1" w14:textId="1F016079" w:rsidR="00830A05" w:rsidRPr="00872D7E" w:rsidRDefault="00830A05" w:rsidP="00830A05">
            <w:pPr>
              <w:ind w:right="40"/>
              <w:jc w:val="right"/>
              <w:rPr>
                <w:bCs/>
                <w:sz w:val="18"/>
                <w:szCs w:val="18"/>
              </w:rPr>
            </w:pPr>
            <w:r w:rsidRPr="00872D7E">
              <w:rPr>
                <w:sz w:val="18"/>
                <w:szCs w:val="18"/>
              </w:rPr>
              <w:t>-</w:t>
            </w:r>
          </w:p>
        </w:tc>
        <w:tc>
          <w:tcPr>
            <w:tcW w:w="851" w:type="dxa"/>
            <w:shd w:val="clear" w:color="auto" w:fill="auto"/>
          </w:tcPr>
          <w:p w14:paraId="30C128B3" w14:textId="3E8CB6FD" w:rsidR="00830A05" w:rsidRPr="00872D7E" w:rsidRDefault="00785765" w:rsidP="00830A05">
            <w:pPr>
              <w:ind w:right="40"/>
              <w:jc w:val="right"/>
              <w:rPr>
                <w:bCs/>
                <w:sz w:val="18"/>
                <w:szCs w:val="18"/>
              </w:rPr>
            </w:pPr>
            <w:r w:rsidRPr="00872D7E">
              <w:rPr>
                <w:sz w:val="18"/>
                <w:szCs w:val="18"/>
              </w:rPr>
              <w:t>-</w:t>
            </w:r>
          </w:p>
        </w:tc>
      </w:tr>
      <w:tr w:rsidR="00830A05" w:rsidRPr="00872D7E" w14:paraId="43BC0E41" w14:textId="77777777" w:rsidTr="00830A05">
        <w:trPr>
          <w:trHeight w:val="20"/>
        </w:trPr>
        <w:tc>
          <w:tcPr>
            <w:tcW w:w="5795" w:type="dxa"/>
            <w:shd w:val="clear" w:color="auto" w:fill="auto"/>
            <w:vAlign w:val="bottom"/>
          </w:tcPr>
          <w:p w14:paraId="153646FF" w14:textId="77777777" w:rsidR="00830A05" w:rsidRPr="00872D7E" w:rsidRDefault="00830A05" w:rsidP="00830A05">
            <w:pPr>
              <w:ind w:firstLine="220"/>
              <w:rPr>
                <w:rFonts w:eastAsia="Arial Unicode MS"/>
                <w:sz w:val="18"/>
                <w:szCs w:val="18"/>
              </w:rPr>
            </w:pPr>
            <w:r w:rsidRPr="00872D7E">
              <w:rPr>
                <w:rFonts w:eastAsia="Arial Unicode MS"/>
                <w:sz w:val="18"/>
                <w:szCs w:val="18"/>
              </w:rPr>
              <w:t xml:space="preserve">Gayrimenkul ve Kiralama Hizmetleri  </w:t>
            </w:r>
          </w:p>
        </w:tc>
        <w:tc>
          <w:tcPr>
            <w:tcW w:w="941" w:type="dxa"/>
            <w:shd w:val="clear" w:color="auto" w:fill="auto"/>
          </w:tcPr>
          <w:p w14:paraId="5E4E6BE4" w14:textId="06FF9CB0" w:rsidR="00830A05" w:rsidRPr="00872D7E" w:rsidRDefault="00830A05" w:rsidP="00830A05">
            <w:pPr>
              <w:ind w:right="40"/>
              <w:jc w:val="right"/>
              <w:rPr>
                <w:bCs/>
                <w:sz w:val="18"/>
                <w:szCs w:val="18"/>
              </w:rPr>
            </w:pPr>
            <w:r w:rsidRPr="00872D7E">
              <w:rPr>
                <w:sz w:val="18"/>
                <w:szCs w:val="18"/>
              </w:rPr>
              <w:t>149.911</w:t>
            </w:r>
          </w:p>
        </w:tc>
        <w:tc>
          <w:tcPr>
            <w:tcW w:w="942" w:type="dxa"/>
            <w:shd w:val="clear" w:color="auto" w:fill="auto"/>
          </w:tcPr>
          <w:p w14:paraId="018E0012" w14:textId="172AB779" w:rsidR="00830A05" w:rsidRPr="00872D7E" w:rsidRDefault="00830A05" w:rsidP="00830A05">
            <w:pPr>
              <w:ind w:right="40"/>
              <w:jc w:val="right"/>
              <w:rPr>
                <w:bCs/>
                <w:sz w:val="18"/>
                <w:szCs w:val="18"/>
              </w:rPr>
            </w:pPr>
            <w:r w:rsidRPr="00872D7E">
              <w:rPr>
                <w:sz w:val="18"/>
                <w:szCs w:val="18"/>
              </w:rPr>
              <w:t>2,84</w:t>
            </w:r>
          </w:p>
        </w:tc>
        <w:tc>
          <w:tcPr>
            <w:tcW w:w="941" w:type="dxa"/>
            <w:shd w:val="clear" w:color="auto" w:fill="auto"/>
          </w:tcPr>
          <w:p w14:paraId="3FA557C7" w14:textId="5CCD64E3" w:rsidR="00830A05" w:rsidRPr="00872D7E" w:rsidRDefault="00830A05" w:rsidP="00830A05">
            <w:pPr>
              <w:ind w:right="40"/>
              <w:jc w:val="right"/>
              <w:rPr>
                <w:bCs/>
                <w:sz w:val="18"/>
                <w:szCs w:val="18"/>
              </w:rPr>
            </w:pPr>
            <w:r w:rsidRPr="00872D7E">
              <w:rPr>
                <w:sz w:val="18"/>
                <w:szCs w:val="18"/>
              </w:rPr>
              <w:t>149.968</w:t>
            </w:r>
          </w:p>
        </w:tc>
        <w:tc>
          <w:tcPr>
            <w:tcW w:w="851" w:type="dxa"/>
            <w:shd w:val="clear" w:color="auto" w:fill="auto"/>
          </w:tcPr>
          <w:p w14:paraId="452551B3" w14:textId="4EA440B1" w:rsidR="00830A05" w:rsidRPr="00872D7E" w:rsidRDefault="00830A05" w:rsidP="00830A05">
            <w:pPr>
              <w:ind w:right="40"/>
              <w:jc w:val="right"/>
              <w:rPr>
                <w:bCs/>
                <w:sz w:val="18"/>
                <w:szCs w:val="18"/>
              </w:rPr>
            </w:pPr>
            <w:r w:rsidRPr="00872D7E">
              <w:rPr>
                <w:sz w:val="18"/>
                <w:szCs w:val="18"/>
              </w:rPr>
              <w:t>7,29</w:t>
            </w:r>
          </w:p>
        </w:tc>
      </w:tr>
      <w:tr w:rsidR="00830A05" w:rsidRPr="00872D7E" w14:paraId="70FB96FB" w14:textId="77777777" w:rsidTr="00830A05">
        <w:trPr>
          <w:trHeight w:val="20"/>
        </w:trPr>
        <w:tc>
          <w:tcPr>
            <w:tcW w:w="5795" w:type="dxa"/>
            <w:shd w:val="clear" w:color="auto" w:fill="auto"/>
            <w:vAlign w:val="bottom"/>
          </w:tcPr>
          <w:p w14:paraId="207B9F5E" w14:textId="77777777" w:rsidR="00830A05" w:rsidRPr="00872D7E" w:rsidRDefault="00830A05" w:rsidP="00830A05">
            <w:pPr>
              <w:ind w:firstLine="220"/>
              <w:rPr>
                <w:rFonts w:eastAsia="Arial Unicode MS"/>
                <w:sz w:val="18"/>
                <w:szCs w:val="18"/>
              </w:rPr>
            </w:pPr>
            <w:r w:rsidRPr="00872D7E">
              <w:rPr>
                <w:rFonts w:eastAsia="Arial Unicode MS"/>
                <w:sz w:val="18"/>
                <w:szCs w:val="18"/>
              </w:rPr>
              <w:t>Serbest Meslek Hizmetleri</w:t>
            </w:r>
          </w:p>
        </w:tc>
        <w:tc>
          <w:tcPr>
            <w:tcW w:w="941" w:type="dxa"/>
            <w:shd w:val="clear" w:color="auto" w:fill="auto"/>
          </w:tcPr>
          <w:p w14:paraId="419DA520" w14:textId="0E52932E" w:rsidR="00830A05" w:rsidRPr="00872D7E" w:rsidRDefault="00830A05" w:rsidP="00830A05">
            <w:pPr>
              <w:ind w:right="40"/>
              <w:jc w:val="right"/>
              <w:rPr>
                <w:bCs/>
                <w:sz w:val="18"/>
                <w:szCs w:val="18"/>
              </w:rPr>
            </w:pPr>
            <w:r w:rsidRPr="00872D7E">
              <w:rPr>
                <w:sz w:val="18"/>
                <w:szCs w:val="18"/>
              </w:rPr>
              <w:t>77</w:t>
            </w:r>
          </w:p>
        </w:tc>
        <w:tc>
          <w:tcPr>
            <w:tcW w:w="942" w:type="dxa"/>
            <w:shd w:val="clear" w:color="auto" w:fill="auto"/>
          </w:tcPr>
          <w:p w14:paraId="57D49D82" w14:textId="10E50D20" w:rsidR="00830A05" w:rsidRPr="00872D7E" w:rsidRDefault="00830A05" w:rsidP="00830A05">
            <w:pPr>
              <w:ind w:right="40"/>
              <w:jc w:val="right"/>
              <w:rPr>
                <w:bCs/>
                <w:sz w:val="18"/>
                <w:szCs w:val="18"/>
              </w:rPr>
            </w:pPr>
            <w:r w:rsidRPr="00872D7E">
              <w:rPr>
                <w:sz w:val="18"/>
                <w:szCs w:val="18"/>
              </w:rPr>
              <w:t>0,00</w:t>
            </w:r>
          </w:p>
        </w:tc>
        <w:tc>
          <w:tcPr>
            <w:tcW w:w="941" w:type="dxa"/>
            <w:shd w:val="clear" w:color="auto" w:fill="auto"/>
          </w:tcPr>
          <w:p w14:paraId="12AB58C0" w14:textId="3E354E0E" w:rsidR="00830A05" w:rsidRPr="00872D7E" w:rsidRDefault="00830A05" w:rsidP="00830A05">
            <w:pPr>
              <w:ind w:right="40"/>
              <w:jc w:val="right"/>
              <w:rPr>
                <w:bCs/>
                <w:sz w:val="18"/>
                <w:szCs w:val="18"/>
              </w:rPr>
            </w:pPr>
            <w:r w:rsidRPr="00872D7E">
              <w:rPr>
                <w:sz w:val="18"/>
                <w:szCs w:val="18"/>
              </w:rPr>
              <w:t>35.280</w:t>
            </w:r>
          </w:p>
        </w:tc>
        <w:tc>
          <w:tcPr>
            <w:tcW w:w="851" w:type="dxa"/>
            <w:shd w:val="clear" w:color="auto" w:fill="auto"/>
          </w:tcPr>
          <w:p w14:paraId="52786D07" w14:textId="1E00493A" w:rsidR="00830A05" w:rsidRPr="00872D7E" w:rsidRDefault="00830A05" w:rsidP="00830A05">
            <w:pPr>
              <w:ind w:right="40"/>
              <w:jc w:val="right"/>
              <w:rPr>
                <w:bCs/>
                <w:sz w:val="18"/>
                <w:szCs w:val="18"/>
              </w:rPr>
            </w:pPr>
            <w:r w:rsidRPr="00872D7E">
              <w:rPr>
                <w:sz w:val="18"/>
                <w:szCs w:val="18"/>
              </w:rPr>
              <w:t>1,72</w:t>
            </w:r>
          </w:p>
        </w:tc>
      </w:tr>
      <w:tr w:rsidR="00830A05" w:rsidRPr="00872D7E" w14:paraId="4E41B11E" w14:textId="77777777" w:rsidTr="00830A05">
        <w:trPr>
          <w:trHeight w:val="20"/>
        </w:trPr>
        <w:tc>
          <w:tcPr>
            <w:tcW w:w="5795" w:type="dxa"/>
            <w:shd w:val="clear" w:color="auto" w:fill="auto"/>
            <w:vAlign w:val="bottom"/>
          </w:tcPr>
          <w:p w14:paraId="7EDC1B88" w14:textId="77777777" w:rsidR="00830A05" w:rsidRPr="00872D7E" w:rsidRDefault="00830A05" w:rsidP="00830A05">
            <w:pPr>
              <w:ind w:firstLine="220"/>
              <w:rPr>
                <w:rFonts w:eastAsia="Arial Unicode MS"/>
                <w:sz w:val="18"/>
                <w:szCs w:val="18"/>
              </w:rPr>
            </w:pPr>
            <w:r w:rsidRPr="00872D7E">
              <w:rPr>
                <w:rFonts w:eastAsia="Arial Unicode MS"/>
                <w:sz w:val="18"/>
                <w:szCs w:val="18"/>
              </w:rPr>
              <w:t>Eğitim Hizmetleri</w:t>
            </w:r>
          </w:p>
        </w:tc>
        <w:tc>
          <w:tcPr>
            <w:tcW w:w="941" w:type="dxa"/>
            <w:shd w:val="clear" w:color="auto" w:fill="auto"/>
          </w:tcPr>
          <w:p w14:paraId="5D193674" w14:textId="0C05FD41" w:rsidR="00830A05" w:rsidRPr="00872D7E" w:rsidRDefault="00830A05" w:rsidP="00830A05">
            <w:pPr>
              <w:ind w:right="40"/>
              <w:jc w:val="right"/>
              <w:rPr>
                <w:bCs/>
                <w:sz w:val="18"/>
                <w:szCs w:val="18"/>
              </w:rPr>
            </w:pPr>
            <w:r w:rsidRPr="00872D7E">
              <w:rPr>
                <w:sz w:val="18"/>
                <w:szCs w:val="18"/>
              </w:rPr>
              <w:t>-</w:t>
            </w:r>
          </w:p>
        </w:tc>
        <w:tc>
          <w:tcPr>
            <w:tcW w:w="942" w:type="dxa"/>
            <w:shd w:val="clear" w:color="auto" w:fill="auto"/>
          </w:tcPr>
          <w:p w14:paraId="2B4AD855" w14:textId="166A9281" w:rsidR="00830A05" w:rsidRPr="00872D7E" w:rsidRDefault="00785765" w:rsidP="00830A05">
            <w:pPr>
              <w:ind w:right="40"/>
              <w:jc w:val="right"/>
              <w:rPr>
                <w:bCs/>
                <w:sz w:val="18"/>
                <w:szCs w:val="18"/>
              </w:rPr>
            </w:pPr>
            <w:r w:rsidRPr="00872D7E">
              <w:rPr>
                <w:sz w:val="18"/>
                <w:szCs w:val="18"/>
              </w:rPr>
              <w:t>-</w:t>
            </w:r>
          </w:p>
        </w:tc>
        <w:tc>
          <w:tcPr>
            <w:tcW w:w="941" w:type="dxa"/>
            <w:shd w:val="clear" w:color="auto" w:fill="auto"/>
          </w:tcPr>
          <w:p w14:paraId="715A06B3" w14:textId="69B0110A" w:rsidR="00830A05" w:rsidRPr="00872D7E" w:rsidRDefault="00830A05" w:rsidP="00830A05">
            <w:pPr>
              <w:ind w:right="40"/>
              <w:jc w:val="right"/>
              <w:rPr>
                <w:bCs/>
                <w:sz w:val="18"/>
                <w:szCs w:val="18"/>
              </w:rPr>
            </w:pPr>
            <w:r w:rsidRPr="00872D7E">
              <w:rPr>
                <w:sz w:val="18"/>
                <w:szCs w:val="18"/>
              </w:rPr>
              <w:t>-</w:t>
            </w:r>
          </w:p>
        </w:tc>
        <w:tc>
          <w:tcPr>
            <w:tcW w:w="851" w:type="dxa"/>
            <w:shd w:val="clear" w:color="auto" w:fill="auto"/>
          </w:tcPr>
          <w:p w14:paraId="25BFE85B" w14:textId="6BED8A94" w:rsidR="00830A05" w:rsidRPr="00872D7E" w:rsidRDefault="00785765" w:rsidP="00830A05">
            <w:pPr>
              <w:ind w:right="40"/>
              <w:jc w:val="right"/>
              <w:rPr>
                <w:bCs/>
                <w:sz w:val="18"/>
                <w:szCs w:val="18"/>
              </w:rPr>
            </w:pPr>
            <w:r w:rsidRPr="00872D7E">
              <w:rPr>
                <w:sz w:val="18"/>
                <w:szCs w:val="18"/>
              </w:rPr>
              <w:t>-</w:t>
            </w:r>
          </w:p>
        </w:tc>
      </w:tr>
      <w:tr w:rsidR="00830A05" w:rsidRPr="00872D7E" w14:paraId="69C47239" w14:textId="77777777" w:rsidTr="00683052">
        <w:trPr>
          <w:trHeight w:val="20"/>
        </w:trPr>
        <w:tc>
          <w:tcPr>
            <w:tcW w:w="5795" w:type="dxa"/>
            <w:shd w:val="clear" w:color="auto" w:fill="auto"/>
            <w:vAlign w:val="bottom"/>
          </w:tcPr>
          <w:p w14:paraId="49349F5E" w14:textId="77777777" w:rsidR="00830A05" w:rsidRPr="00872D7E" w:rsidRDefault="00830A05" w:rsidP="00830A05">
            <w:pPr>
              <w:ind w:firstLine="220"/>
              <w:rPr>
                <w:sz w:val="18"/>
                <w:szCs w:val="18"/>
              </w:rPr>
            </w:pPr>
            <w:r w:rsidRPr="00872D7E">
              <w:rPr>
                <w:sz w:val="18"/>
                <w:szCs w:val="18"/>
              </w:rPr>
              <w:t>Sağlık ve Sosyal Hizmetler</w:t>
            </w:r>
          </w:p>
        </w:tc>
        <w:tc>
          <w:tcPr>
            <w:tcW w:w="941" w:type="dxa"/>
            <w:shd w:val="clear" w:color="auto" w:fill="auto"/>
          </w:tcPr>
          <w:p w14:paraId="02D2C054" w14:textId="38DC900B" w:rsidR="00830A05" w:rsidRPr="00872D7E" w:rsidRDefault="00830A05" w:rsidP="00830A05">
            <w:pPr>
              <w:ind w:right="40"/>
              <w:jc w:val="right"/>
              <w:rPr>
                <w:bCs/>
                <w:sz w:val="18"/>
                <w:szCs w:val="18"/>
              </w:rPr>
            </w:pPr>
            <w:r w:rsidRPr="00872D7E">
              <w:rPr>
                <w:sz w:val="18"/>
                <w:szCs w:val="18"/>
              </w:rPr>
              <w:t>110.759</w:t>
            </w:r>
          </w:p>
        </w:tc>
        <w:tc>
          <w:tcPr>
            <w:tcW w:w="942" w:type="dxa"/>
            <w:shd w:val="clear" w:color="auto" w:fill="auto"/>
          </w:tcPr>
          <w:p w14:paraId="6A290E8F" w14:textId="008EB803" w:rsidR="00830A05" w:rsidRPr="00872D7E" w:rsidRDefault="00830A05" w:rsidP="00830A05">
            <w:pPr>
              <w:ind w:right="40"/>
              <w:jc w:val="right"/>
              <w:rPr>
                <w:bCs/>
                <w:sz w:val="18"/>
                <w:szCs w:val="18"/>
              </w:rPr>
            </w:pPr>
            <w:r w:rsidRPr="00872D7E">
              <w:rPr>
                <w:sz w:val="18"/>
                <w:szCs w:val="18"/>
              </w:rPr>
              <w:t>2,10</w:t>
            </w:r>
          </w:p>
        </w:tc>
        <w:tc>
          <w:tcPr>
            <w:tcW w:w="941" w:type="dxa"/>
            <w:shd w:val="clear" w:color="auto" w:fill="auto"/>
          </w:tcPr>
          <w:p w14:paraId="44207F0F" w14:textId="0481A06D" w:rsidR="00830A05" w:rsidRPr="00872D7E" w:rsidRDefault="00785765" w:rsidP="00830A05">
            <w:pPr>
              <w:ind w:right="40"/>
              <w:jc w:val="right"/>
              <w:rPr>
                <w:bCs/>
                <w:sz w:val="18"/>
                <w:szCs w:val="18"/>
              </w:rPr>
            </w:pPr>
            <w:r w:rsidRPr="00872D7E">
              <w:rPr>
                <w:sz w:val="18"/>
                <w:szCs w:val="18"/>
              </w:rPr>
              <w:t>-</w:t>
            </w:r>
          </w:p>
        </w:tc>
        <w:tc>
          <w:tcPr>
            <w:tcW w:w="851" w:type="dxa"/>
            <w:shd w:val="clear" w:color="auto" w:fill="auto"/>
          </w:tcPr>
          <w:p w14:paraId="2DB73DA3" w14:textId="5EDBC677" w:rsidR="00830A05" w:rsidRPr="00872D7E" w:rsidRDefault="00785765" w:rsidP="00830A05">
            <w:pPr>
              <w:ind w:right="40"/>
              <w:jc w:val="right"/>
              <w:rPr>
                <w:bCs/>
                <w:sz w:val="18"/>
                <w:szCs w:val="18"/>
              </w:rPr>
            </w:pPr>
            <w:r w:rsidRPr="00872D7E">
              <w:rPr>
                <w:sz w:val="18"/>
                <w:szCs w:val="18"/>
              </w:rPr>
              <w:t>-</w:t>
            </w:r>
          </w:p>
        </w:tc>
      </w:tr>
      <w:tr w:rsidR="00830A05" w:rsidRPr="00872D7E" w14:paraId="6BAD1E17" w14:textId="77777777" w:rsidTr="00683052">
        <w:trPr>
          <w:trHeight w:val="106"/>
        </w:trPr>
        <w:tc>
          <w:tcPr>
            <w:tcW w:w="5795" w:type="dxa"/>
            <w:tcBorders>
              <w:bottom w:val="single" w:sz="4" w:space="0" w:color="auto"/>
            </w:tcBorders>
            <w:shd w:val="clear" w:color="auto" w:fill="auto"/>
            <w:vAlign w:val="center"/>
          </w:tcPr>
          <w:p w14:paraId="305EF702" w14:textId="77777777" w:rsidR="00830A05" w:rsidRPr="00872D7E" w:rsidRDefault="00830A05" w:rsidP="00830A05">
            <w:pPr>
              <w:rPr>
                <w:b/>
                <w:iCs/>
                <w:snapToGrid w:val="0"/>
                <w:sz w:val="18"/>
                <w:szCs w:val="18"/>
              </w:rPr>
            </w:pPr>
            <w:r w:rsidRPr="00872D7E">
              <w:rPr>
                <w:b/>
                <w:iCs/>
                <w:snapToGrid w:val="0"/>
                <w:sz w:val="18"/>
                <w:szCs w:val="18"/>
              </w:rPr>
              <w:t>Diğer</w:t>
            </w:r>
          </w:p>
        </w:tc>
        <w:tc>
          <w:tcPr>
            <w:tcW w:w="941" w:type="dxa"/>
            <w:tcBorders>
              <w:bottom w:val="single" w:sz="4" w:space="0" w:color="auto"/>
            </w:tcBorders>
            <w:shd w:val="clear" w:color="auto" w:fill="auto"/>
          </w:tcPr>
          <w:p w14:paraId="4636DCB2" w14:textId="27ECE5EA" w:rsidR="00830A05" w:rsidRPr="00872D7E" w:rsidRDefault="00830A05" w:rsidP="00830A05">
            <w:pPr>
              <w:ind w:right="40"/>
              <w:jc w:val="right"/>
              <w:rPr>
                <w:b/>
                <w:sz w:val="18"/>
                <w:szCs w:val="18"/>
              </w:rPr>
            </w:pPr>
            <w:r w:rsidRPr="00872D7E">
              <w:rPr>
                <w:b/>
                <w:sz w:val="18"/>
                <w:szCs w:val="18"/>
              </w:rPr>
              <w:t>-</w:t>
            </w:r>
          </w:p>
        </w:tc>
        <w:tc>
          <w:tcPr>
            <w:tcW w:w="942" w:type="dxa"/>
            <w:tcBorders>
              <w:bottom w:val="single" w:sz="4" w:space="0" w:color="auto"/>
            </w:tcBorders>
            <w:shd w:val="clear" w:color="auto" w:fill="auto"/>
          </w:tcPr>
          <w:p w14:paraId="41BD71C1" w14:textId="15B73AAE" w:rsidR="00830A05" w:rsidRPr="00872D7E" w:rsidRDefault="00785765" w:rsidP="00830A05">
            <w:pPr>
              <w:ind w:right="40"/>
              <w:jc w:val="right"/>
              <w:rPr>
                <w:b/>
                <w:sz w:val="18"/>
                <w:szCs w:val="18"/>
              </w:rPr>
            </w:pPr>
            <w:r w:rsidRPr="00872D7E">
              <w:rPr>
                <w:b/>
                <w:sz w:val="18"/>
                <w:szCs w:val="18"/>
              </w:rPr>
              <w:t>-</w:t>
            </w:r>
          </w:p>
        </w:tc>
        <w:tc>
          <w:tcPr>
            <w:tcW w:w="941" w:type="dxa"/>
            <w:tcBorders>
              <w:bottom w:val="single" w:sz="4" w:space="0" w:color="auto"/>
            </w:tcBorders>
            <w:shd w:val="clear" w:color="auto" w:fill="auto"/>
          </w:tcPr>
          <w:p w14:paraId="1BC1D1D5" w14:textId="314566CC" w:rsidR="00830A05" w:rsidRPr="00872D7E" w:rsidRDefault="00830A05" w:rsidP="00830A05">
            <w:pPr>
              <w:ind w:right="40"/>
              <w:jc w:val="right"/>
              <w:rPr>
                <w:b/>
                <w:sz w:val="18"/>
                <w:szCs w:val="18"/>
              </w:rPr>
            </w:pPr>
            <w:r w:rsidRPr="00872D7E">
              <w:rPr>
                <w:b/>
                <w:sz w:val="18"/>
                <w:szCs w:val="18"/>
              </w:rPr>
              <w:t>-</w:t>
            </w:r>
          </w:p>
        </w:tc>
        <w:tc>
          <w:tcPr>
            <w:tcW w:w="851" w:type="dxa"/>
            <w:tcBorders>
              <w:bottom w:val="single" w:sz="4" w:space="0" w:color="auto"/>
            </w:tcBorders>
            <w:shd w:val="clear" w:color="auto" w:fill="auto"/>
          </w:tcPr>
          <w:p w14:paraId="759B8E40" w14:textId="557D2502" w:rsidR="00830A05" w:rsidRPr="00872D7E" w:rsidRDefault="00785765" w:rsidP="00830A05">
            <w:pPr>
              <w:ind w:right="40"/>
              <w:jc w:val="right"/>
              <w:rPr>
                <w:b/>
                <w:sz w:val="18"/>
                <w:szCs w:val="18"/>
              </w:rPr>
            </w:pPr>
            <w:r w:rsidRPr="00872D7E">
              <w:rPr>
                <w:b/>
                <w:sz w:val="18"/>
                <w:szCs w:val="18"/>
              </w:rPr>
              <w:t>-</w:t>
            </w:r>
          </w:p>
        </w:tc>
      </w:tr>
      <w:tr w:rsidR="00830A05" w:rsidRPr="00872D7E" w14:paraId="7D0A864B" w14:textId="77777777" w:rsidTr="00683052">
        <w:trPr>
          <w:trHeight w:val="20"/>
        </w:trPr>
        <w:tc>
          <w:tcPr>
            <w:tcW w:w="5795" w:type="dxa"/>
            <w:tcBorders>
              <w:top w:val="single" w:sz="4" w:space="0" w:color="auto"/>
            </w:tcBorders>
            <w:shd w:val="clear" w:color="auto" w:fill="auto"/>
            <w:vAlign w:val="center"/>
          </w:tcPr>
          <w:p w14:paraId="6B684779" w14:textId="77777777" w:rsidR="00830A05" w:rsidRPr="00872D7E" w:rsidRDefault="00830A05" w:rsidP="00830A05">
            <w:pPr>
              <w:rPr>
                <w:iCs/>
                <w:snapToGrid w:val="0"/>
                <w:sz w:val="18"/>
                <w:szCs w:val="18"/>
              </w:rPr>
            </w:pPr>
          </w:p>
        </w:tc>
        <w:tc>
          <w:tcPr>
            <w:tcW w:w="941" w:type="dxa"/>
            <w:tcBorders>
              <w:top w:val="single" w:sz="4" w:space="0" w:color="auto"/>
            </w:tcBorders>
            <w:shd w:val="clear" w:color="auto" w:fill="auto"/>
          </w:tcPr>
          <w:p w14:paraId="1A8AD52F" w14:textId="77777777" w:rsidR="00830A05" w:rsidRPr="00872D7E" w:rsidRDefault="00830A05" w:rsidP="00830A05">
            <w:pPr>
              <w:ind w:right="40"/>
              <w:jc w:val="right"/>
              <w:rPr>
                <w:b/>
                <w:bCs/>
                <w:sz w:val="18"/>
                <w:szCs w:val="18"/>
              </w:rPr>
            </w:pPr>
          </w:p>
        </w:tc>
        <w:tc>
          <w:tcPr>
            <w:tcW w:w="942" w:type="dxa"/>
            <w:tcBorders>
              <w:top w:val="single" w:sz="4" w:space="0" w:color="auto"/>
            </w:tcBorders>
            <w:shd w:val="clear" w:color="auto" w:fill="auto"/>
          </w:tcPr>
          <w:p w14:paraId="5B213906" w14:textId="77777777" w:rsidR="00830A05" w:rsidRPr="00872D7E" w:rsidRDefault="00830A05" w:rsidP="00830A05">
            <w:pPr>
              <w:ind w:right="40"/>
              <w:jc w:val="right"/>
              <w:rPr>
                <w:b/>
                <w:bCs/>
                <w:sz w:val="18"/>
                <w:szCs w:val="18"/>
              </w:rPr>
            </w:pPr>
          </w:p>
        </w:tc>
        <w:tc>
          <w:tcPr>
            <w:tcW w:w="941" w:type="dxa"/>
            <w:tcBorders>
              <w:top w:val="single" w:sz="4" w:space="0" w:color="auto"/>
            </w:tcBorders>
            <w:shd w:val="clear" w:color="auto" w:fill="auto"/>
          </w:tcPr>
          <w:p w14:paraId="249589ED" w14:textId="77777777" w:rsidR="00830A05" w:rsidRPr="00872D7E" w:rsidRDefault="00830A05" w:rsidP="00830A05">
            <w:pPr>
              <w:ind w:right="40"/>
              <w:jc w:val="right"/>
              <w:rPr>
                <w:b/>
                <w:bCs/>
                <w:sz w:val="18"/>
                <w:szCs w:val="18"/>
              </w:rPr>
            </w:pPr>
          </w:p>
        </w:tc>
        <w:tc>
          <w:tcPr>
            <w:tcW w:w="851" w:type="dxa"/>
            <w:tcBorders>
              <w:top w:val="single" w:sz="4" w:space="0" w:color="auto"/>
            </w:tcBorders>
            <w:shd w:val="clear" w:color="auto" w:fill="auto"/>
          </w:tcPr>
          <w:p w14:paraId="17D90E69" w14:textId="77777777" w:rsidR="00830A05" w:rsidRPr="00872D7E" w:rsidRDefault="00830A05" w:rsidP="00830A05">
            <w:pPr>
              <w:ind w:right="40"/>
              <w:jc w:val="right"/>
              <w:rPr>
                <w:b/>
                <w:bCs/>
                <w:sz w:val="18"/>
                <w:szCs w:val="18"/>
              </w:rPr>
            </w:pPr>
          </w:p>
        </w:tc>
      </w:tr>
      <w:tr w:rsidR="00830A05" w:rsidRPr="00872D7E" w14:paraId="44EEB150" w14:textId="77777777" w:rsidTr="00683052">
        <w:trPr>
          <w:trHeight w:val="20"/>
        </w:trPr>
        <w:tc>
          <w:tcPr>
            <w:tcW w:w="5795" w:type="dxa"/>
            <w:tcBorders>
              <w:bottom w:val="single" w:sz="12" w:space="0" w:color="auto"/>
            </w:tcBorders>
            <w:shd w:val="clear" w:color="auto" w:fill="auto"/>
            <w:vAlign w:val="bottom"/>
          </w:tcPr>
          <w:p w14:paraId="17CED546" w14:textId="77777777" w:rsidR="00830A05" w:rsidRPr="00872D7E" w:rsidRDefault="00830A05" w:rsidP="00830A05">
            <w:pPr>
              <w:rPr>
                <w:b/>
                <w:iCs/>
                <w:snapToGrid w:val="0"/>
                <w:sz w:val="18"/>
                <w:szCs w:val="18"/>
              </w:rPr>
            </w:pPr>
            <w:r w:rsidRPr="00872D7E">
              <w:rPr>
                <w:b/>
                <w:iCs/>
                <w:snapToGrid w:val="0"/>
                <w:sz w:val="18"/>
                <w:szCs w:val="18"/>
              </w:rPr>
              <w:t>Toplam</w:t>
            </w:r>
          </w:p>
        </w:tc>
        <w:tc>
          <w:tcPr>
            <w:tcW w:w="941" w:type="dxa"/>
            <w:tcBorders>
              <w:bottom w:val="single" w:sz="12" w:space="0" w:color="auto"/>
            </w:tcBorders>
            <w:shd w:val="clear" w:color="auto" w:fill="auto"/>
          </w:tcPr>
          <w:p w14:paraId="74D892CD" w14:textId="72002CCF" w:rsidR="00830A05" w:rsidRPr="00872D7E" w:rsidRDefault="00830A05" w:rsidP="00830A05">
            <w:pPr>
              <w:ind w:right="40"/>
              <w:jc w:val="right"/>
              <w:rPr>
                <w:b/>
                <w:sz w:val="18"/>
                <w:szCs w:val="18"/>
              </w:rPr>
            </w:pPr>
            <w:r w:rsidRPr="00872D7E">
              <w:rPr>
                <w:b/>
                <w:sz w:val="18"/>
                <w:szCs w:val="18"/>
              </w:rPr>
              <w:t>5.279.730</w:t>
            </w:r>
          </w:p>
        </w:tc>
        <w:tc>
          <w:tcPr>
            <w:tcW w:w="942" w:type="dxa"/>
            <w:tcBorders>
              <w:bottom w:val="single" w:sz="12" w:space="0" w:color="auto"/>
            </w:tcBorders>
            <w:shd w:val="clear" w:color="auto" w:fill="auto"/>
          </w:tcPr>
          <w:p w14:paraId="3384C167" w14:textId="0BC3F02C" w:rsidR="00830A05" w:rsidRPr="00872D7E" w:rsidRDefault="00830A05" w:rsidP="00830A05">
            <w:pPr>
              <w:ind w:right="40"/>
              <w:jc w:val="right"/>
              <w:rPr>
                <w:b/>
                <w:sz w:val="18"/>
                <w:szCs w:val="18"/>
              </w:rPr>
            </w:pPr>
            <w:r w:rsidRPr="00872D7E">
              <w:rPr>
                <w:b/>
                <w:sz w:val="18"/>
                <w:szCs w:val="18"/>
              </w:rPr>
              <w:t>100,00</w:t>
            </w:r>
          </w:p>
        </w:tc>
        <w:tc>
          <w:tcPr>
            <w:tcW w:w="941" w:type="dxa"/>
            <w:tcBorders>
              <w:bottom w:val="single" w:sz="12" w:space="0" w:color="auto"/>
            </w:tcBorders>
            <w:shd w:val="clear" w:color="auto" w:fill="auto"/>
          </w:tcPr>
          <w:p w14:paraId="06FC5ADF" w14:textId="76E17BE8" w:rsidR="00830A05" w:rsidRPr="00872D7E" w:rsidRDefault="00830A05" w:rsidP="00830A05">
            <w:pPr>
              <w:ind w:right="40"/>
              <w:jc w:val="right"/>
              <w:rPr>
                <w:b/>
                <w:sz w:val="18"/>
                <w:szCs w:val="18"/>
              </w:rPr>
            </w:pPr>
            <w:r w:rsidRPr="00872D7E">
              <w:rPr>
                <w:b/>
                <w:sz w:val="18"/>
                <w:szCs w:val="18"/>
              </w:rPr>
              <w:t>2.055.984</w:t>
            </w:r>
          </w:p>
        </w:tc>
        <w:tc>
          <w:tcPr>
            <w:tcW w:w="851" w:type="dxa"/>
            <w:tcBorders>
              <w:bottom w:val="single" w:sz="12" w:space="0" w:color="auto"/>
            </w:tcBorders>
            <w:shd w:val="clear" w:color="auto" w:fill="auto"/>
          </w:tcPr>
          <w:p w14:paraId="1A36D74F" w14:textId="435B6EC3" w:rsidR="00830A05" w:rsidRPr="00872D7E" w:rsidRDefault="00830A05" w:rsidP="00830A05">
            <w:pPr>
              <w:ind w:right="40"/>
              <w:jc w:val="right"/>
              <w:rPr>
                <w:b/>
                <w:sz w:val="18"/>
                <w:szCs w:val="18"/>
              </w:rPr>
            </w:pPr>
            <w:r w:rsidRPr="00872D7E">
              <w:rPr>
                <w:b/>
                <w:sz w:val="18"/>
                <w:szCs w:val="18"/>
              </w:rPr>
              <w:t>100,00</w:t>
            </w:r>
          </w:p>
        </w:tc>
      </w:tr>
    </w:tbl>
    <w:p w14:paraId="14152C12" w14:textId="702B6739" w:rsidR="009B0E8B" w:rsidRPr="00872D7E" w:rsidRDefault="009B0E8B" w:rsidP="00934795"/>
    <w:p w14:paraId="4C23F2E9" w14:textId="77777777" w:rsidR="009B0E8B" w:rsidRPr="00872D7E" w:rsidRDefault="009B0E8B">
      <w:r w:rsidRPr="00872D7E">
        <w:br w:type="page"/>
      </w:r>
    </w:p>
    <w:p w14:paraId="23A21AC0" w14:textId="77777777" w:rsidR="009B0E8B" w:rsidRPr="00872D7E" w:rsidRDefault="009B0E8B" w:rsidP="009B0E8B">
      <w:pPr>
        <w:widowControl w:val="0"/>
        <w:spacing w:line="228" w:lineRule="auto"/>
        <w:jc w:val="both"/>
        <w:rPr>
          <w:b/>
          <w:szCs w:val="20"/>
        </w:rPr>
      </w:pPr>
      <w:r w:rsidRPr="00872D7E">
        <w:rPr>
          <w:b/>
          <w:szCs w:val="20"/>
        </w:rPr>
        <w:lastRenderedPageBreak/>
        <w:t>KONSOLİDE OLMAYAN FİNANSAL TABLOLARA İLİŞKİN AÇIKLAMA VE DİPNOTLAR (Devamı)</w:t>
      </w:r>
    </w:p>
    <w:p w14:paraId="1CE8F7BE" w14:textId="77777777" w:rsidR="009B0E8B" w:rsidRPr="00872D7E" w:rsidRDefault="009B0E8B" w:rsidP="009B0E8B">
      <w:pPr>
        <w:widowControl w:val="0"/>
        <w:spacing w:line="228" w:lineRule="auto"/>
        <w:ind w:left="-14" w:hanging="504"/>
        <w:jc w:val="both"/>
        <w:rPr>
          <w:b/>
          <w:szCs w:val="20"/>
        </w:rPr>
      </w:pPr>
    </w:p>
    <w:p w14:paraId="3074EC25" w14:textId="77777777" w:rsidR="009B0E8B" w:rsidRPr="00872D7E" w:rsidRDefault="009B0E8B" w:rsidP="009B0E8B">
      <w:pPr>
        <w:widowControl w:val="0"/>
        <w:spacing w:line="228" w:lineRule="auto"/>
        <w:ind w:left="851" w:hanging="851"/>
        <w:jc w:val="both"/>
        <w:rPr>
          <w:b/>
          <w:szCs w:val="20"/>
        </w:rPr>
      </w:pPr>
      <w:r w:rsidRPr="00872D7E">
        <w:rPr>
          <w:b/>
          <w:szCs w:val="20"/>
        </w:rPr>
        <w:t xml:space="preserve">III. </w:t>
      </w:r>
      <w:r w:rsidRPr="00872D7E">
        <w:rPr>
          <w:b/>
          <w:szCs w:val="20"/>
        </w:rPr>
        <w:tab/>
        <w:t>NAZIM HESAPLARA İLİŞKİN AÇIKLAMA VE DİPNOTLAR (Devamı)</w:t>
      </w:r>
    </w:p>
    <w:p w14:paraId="10942328" w14:textId="77777777" w:rsidR="009B0E8B" w:rsidRPr="00872D7E" w:rsidRDefault="009B0E8B" w:rsidP="009B0E8B">
      <w:pPr>
        <w:widowControl w:val="0"/>
        <w:spacing w:line="228" w:lineRule="auto"/>
        <w:ind w:left="-14" w:hanging="504"/>
        <w:jc w:val="both"/>
        <w:rPr>
          <w:b/>
          <w:szCs w:val="20"/>
        </w:rPr>
      </w:pPr>
    </w:p>
    <w:p w14:paraId="36007D71" w14:textId="77777777" w:rsidR="001C7892" w:rsidRPr="00872D7E" w:rsidRDefault="001C7892" w:rsidP="001C7892">
      <w:pPr>
        <w:pStyle w:val="ListParagraph"/>
        <w:widowControl w:val="0"/>
        <w:numPr>
          <w:ilvl w:val="0"/>
          <w:numId w:val="89"/>
        </w:numPr>
        <w:spacing w:line="228" w:lineRule="auto"/>
        <w:ind w:left="851" w:hanging="851"/>
        <w:jc w:val="both"/>
        <w:rPr>
          <w:b/>
          <w:szCs w:val="20"/>
        </w:rPr>
      </w:pPr>
      <w:r w:rsidRPr="00872D7E">
        <w:rPr>
          <w:b/>
          <w:szCs w:val="20"/>
        </w:rPr>
        <w:t>Nazım hesaplarda yer alan yükümlülüklere ilişkin açıklama: (Devamı)</w:t>
      </w:r>
    </w:p>
    <w:p w14:paraId="384D2DAC" w14:textId="77777777" w:rsidR="009B0E8B" w:rsidRPr="00872D7E" w:rsidRDefault="009B0E8B" w:rsidP="009B0E8B">
      <w:pPr>
        <w:widowControl w:val="0"/>
        <w:tabs>
          <w:tab w:val="left" w:pos="1290"/>
        </w:tabs>
        <w:spacing w:line="228" w:lineRule="auto"/>
        <w:ind w:left="-567" w:firstLine="91"/>
        <w:jc w:val="both"/>
        <w:rPr>
          <w:b/>
          <w:szCs w:val="20"/>
        </w:rPr>
      </w:pPr>
    </w:p>
    <w:p w14:paraId="456B7A70" w14:textId="755C7AB3" w:rsidR="009B0E8B" w:rsidRPr="00872D7E" w:rsidRDefault="009B0E8B" w:rsidP="009B0E8B">
      <w:pPr>
        <w:pStyle w:val="BodyTextIndent"/>
        <w:widowControl w:val="0"/>
        <w:spacing w:after="120"/>
        <w:ind w:left="1276" w:right="206" w:hanging="425"/>
      </w:pPr>
      <w:r w:rsidRPr="00872D7E">
        <w:rPr>
          <w:b/>
          <w:iCs/>
          <w:szCs w:val="20"/>
        </w:rPr>
        <w:t>c.2.</w:t>
      </w:r>
      <w:r w:rsidRPr="00872D7E">
        <w:rPr>
          <w:b/>
          <w:iCs/>
          <w:szCs w:val="20"/>
        </w:rPr>
        <w:tab/>
      </w:r>
      <w:proofErr w:type="spellStart"/>
      <w:r w:rsidRPr="00872D7E">
        <w:rPr>
          <w:b/>
          <w:iCs/>
          <w:szCs w:val="20"/>
        </w:rPr>
        <w:t>Gayrinakdi</w:t>
      </w:r>
      <w:proofErr w:type="spellEnd"/>
      <w:r w:rsidRPr="00872D7E">
        <w:rPr>
          <w:b/>
          <w:iCs/>
          <w:szCs w:val="20"/>
        </w:rPr>
        <w:t xml:space="preserve"> krediler hesabı içinde sektör bazında risk yoğunlaşması hakkında bilgi: (Devamı)</w:t>
      </w:r>
    </w:p>
    <w:tbl>
      <w:tblPr>
        <w:tblW w:w="9470" w:type="dxa"/>
        <w:tblInd w:w="28" w:type="dxa"/>
        <w:tblLayout w:type="fixed"/>
        <w:tblCellMar>
          <w:left w:w="30" w:type="dxa"/>
          <w:right w:w="30" w:type="dxa"/>
        </w:tblCellMar>
        <w:tblLook w:val="0000" w:firstRow="0" w:lastRow="0" w:firstColumn="0" w:lastColumn="0" w:noHBand="0" w:noVBand="0"/>
      </w:tblPr>
      <w:tblGrid>
        <w:gridCol w:w="5795"/>
        <w:gridCol w:w="931"/>
        <w:gridCol w:w="932"/>
        <w:gridCol w:w="932"/>
        <w:gridCol w:w="880"/>
      </w:tblGrid>
      <w:tr w:rsidR="0077553B" w:rsidRPr="00872D7E" w14:paraId="11868D37" w14:textId="77777777" w:rsidTr="00934795">
        <w:trPr>
          <w:trHeight w:val="77"/>
        </w:trPr>
        <w:tc>
          <w:tcPr>
            <w:tcW w:w="5795" w:type="dxa"/>
            <w:vMerge w:val="restart"/>
            <w:tcBorders>
              <w:top w:val="single" w:sz="4" w:space="0" w:color="auto"/>
              <w:bottom w:val="single" w:sz="4" w:space="0" w:color="auto"/>
            </w:tcBorders>
            <w:shd w:val="clear" w:color="auto" w:fill="auto"/>
            <w:vAlign w:val="center"/>
          </w:tcPr>
          <w:p w14:paraId="0B48787F" w14:textId="77777777" w:rsidR="0077553B" w:rsidRPr="00872D7E" w:rsidRDefault="0077553B" w:rsidP="00934795">
            <w:pPr>
              <w:pStyle w:val="EndnoteText"/>
              <w:jc w:val="center"/>
              <w:rPr>
                <w:b/>
                <w:snapToGrid w:val="0"/>
                <w:sz w:val="18"/>
                <w:szCs w:val="18"/>
              </w:rPr>
            </w:pPr>
          </w:p>
        </w:tc>
        <w:tc>
          <w:tcPr>
            <w:tcW w:w="3675" w:type="dxa"/>
            <w:gridSpan w:val="4"/>
            <w:tcBorders>
              <w:top w:val="single" w:sz="4" w:space="0" w:color="auto"/>
              <w:bottom w:val="single" w:sz="4" w:space="0" w:color="auto"/>
            </w:tcBorders>
            <w:shd w:val="clear" w:color="auto" w:fill="auto"/>
            <w:vAlign w:val="bottom"/>
          </w:tcPr>
          <w:p w14:paraId="76435E53" w14:textId="316D6E35" w:rsidR="0077553B" w:rsidRPr="00872D7E" w:rsidRDefault="005E5BE5" w:rsidP="00934795">
            <w:pPr>
              <w:jc w:val="center"/>
              <w:rPr>
                <w:b/>
                <w:snapToGrid w:val="0"/>
                <w:sz w:val="18"/>
                <w:szCs w:val="18"/>
              </w:rPr>
            </w:pPr>
            <w:r w:rsidRPr="00872D7E">
              <w:rPr>
                <w:b/>
                <w:bCs/>
                <w:color w:val="000000"/>
                <w:sz w:val="18"/>
                <w:szCs w:val="18"/>
              </w:rPr>
              <w:t>1 Ocak 2024</w:t>
            </w:r>
          </w:p>
        </w:tc>
      </w:tr>
      <w:tr w:rsidR="0077553B" w:rsidRPr="00872D7E" w14:paraId="7DEB5744" w14:textId="77777777" w:rsidTr="00934795">
        <w:trPr>
          <w:trHeight w:val="20"/>
        </w:trPr>
        <w:tc>
          <w:tcPr>
            <w:tcW w:w="5795" w:type="dxa"/>
            <w:vMerge/>
            <w:tcBorders>
              <w:top w:val="single" w:sz="4" w:space="0" w:color="auto"/>
              <w:bottom w:val="single" w:sz="4" w:space="0" w:color="auto"/>
            </w:tcBorders>
            <w:shd w:val="clear" w:color="auto" w:fill="auto"/>
            <w:vAlign w:val="center"/>
          </w:tcPr>
          <w:p w14:paraId="71E44295" w14:textId="77777777" w:rsidR="0077553B" w:rsidRPr="00872D7E" w:rsidRDefault="0077553B" w:rsidP="00934795">
            <w:pPr>
              <w:rPr>
                <w:b/>
                <w:snapToGrid w:val="0"/>
                <w:sz w:val="18"/>
                <w:szCs w:val="18"/>
              </w:rPr>
            </w:pPr>
          </w:p>
        </w:tc>
        <w:tc>
          <w:tcPr>
            <w:tcW w:w="931" w:type="dxa"/>
            <w:tcBorders>
              <w:top w:val="single" w:sz="4" w:space="0" w:color="auto"/>
              <w:bottom w:val="single" w:sz="4" w:space="0" w:color="auto"/>
            </w:tcBorders>
            <w:shd w:val="clear" w:color="auto" w:fill="auto"/>
            <w:vAlign w:val="bottom"/>
          </w:tcPr>
          <w:p w14:paraId="5CDB3288" w14:textId="77777777" w:rsidR="0077553B" w:rsidRPr="00872D7E" w:rsidRDefault="0077553B" w:rsidP="00934795">
            <w:pPr>
              <w:ind w:right="40"/>
              <w:jc w:val="right"/>
              <w:rPr>
                <w:b/>
                <w:snapToGrid w:val="0"/>
                <w:sz w:val="18"/>
                <w:szCs w:val="18"/>
              </w:rPr>
            </w:pPr>
            <w:r w:rsidRPr="00872D7E">
              <w:rPr>
                <w:b/>
                <w:snapToGrid w:val="0"/>
                <w:sz w:val="18"/>
                <w:szCs w:val="18"/>
              </w:rPr>
              <w:t>TP</w:t>
            </w:r>
          </w:p>
        </w:tc>
        <w:tc>
          <w:tcPr>
            <w:tcW w:w="932" w:type="dxa"/>
            <w:tcBorders>
              <w:top w:val="single" w:sz="4" w:space="0" w:color="auto"/>
              <w:bottom w:val="single" w:sz="4" w:space="0" w:color="auto"/>
            </w:tcBorders>
            <w:shd w:val="clear" w:color="auto" w:fill="auto"/>
            <w:vAlign w:val="bottom"/>
          </w:tcPr>
          <w:p w14:paraId="602E7487" w14:textId="77777777" w:rsidR="0077553B" w:rsidRPr="00872D7E" w:rsidRDefault="0077553B" w:rsidP="00934795">
            <w:pPr>
              <w:ind w:right="40"/>
              <w:jc w:val="right"/>
              <w:rPr>
                <w:b/>
                <w:snapToGrid w:val="0"/>
                <w:sz w:val="18"/>
                <w:szCs w:val="18"/>
              </w:rPr>
            </w:pPr>
            <w:r w:rsidRPr="00872D7E">
              <w:rPr>
                <w:b/>
                <w:snapToGrid w:val="0"/>
                <w:sz w:val="18"/>
                <w:szCs w:val="18"/>
              </w:rPr>
              <w:t>(%)</w:t>
            </w:r>
          </w:p>
        </w:tc>
        <w:tc>
          <w:tcPr>
            <w:tcW w:w="932" w:type="dxa"/>
            <w:tcBorders>
              <w:top w:val="single" w:sz="4" w:space="0" w:color="auto"/>
              <w:bottom w:val="single" w:sz="4" w:space="0" w:color="auto"/>
            </w:tcBorders>
            <w:shd w:val="clear" w:color="auto" w:fill="auto"/>
            <w:vAlign w:val="bottom"/>
          </w:tcPr>
          <w:p w14:paraId="7139592C" w14:textId="77777777" w:rsidR="0077553B" w:rsidRPr="00872D7E" w:rsidRDefault="0077553B" w:rsidP="00934795">
            <w:pPr>
              <w:ind w:right="40"/>
              <w:jc w:val="right"/>
              <w:rPr>
                <w:b/>
                <w:snapToGrid w:val="0"/>
                <w:sz w:val="18"/>
                <w:szCs w:val="18"/>
              </w:rPr>
            </w:pPr>
            <w:r w:rsidRPr="00872D7E">
              <w:rPr>
                <w:b/>
                <w:snapToGrid w:val="0"/>
                <w:sz w:val="18"/>
                <w:szCs w:val="18"/>
              </w:rPr>
              <w:t>YP</w:t>
            </w:r>
          </w:p>
        </w:tc>
        <w:tc>
          <w:tcPr>
            <w:tcW w:w="880" w:type="dxa"/>
            <w:tcBorders>
              <w:top w:val="single" w:sz="4" w:space="0" w:color="auto"/>
              <w:bottom w:val="single" w:sz="4" w:space="0" w:color="auto"/>
            </w:tcBorders>
            <w:shd w:val="clear" w:color="auto" w:fill="auto"/>
            <w:vAlign w:val="bottom"/>
          </w:tcPr>
          <w:p w14:paraId="401EF009" w14:textId="77777777" w:rsidR="0077553B" w:rsidRPr="00872D7E" w:rsidRDefault="0077553B" w:rsidP="00934795">
            <w:pPr>
              <w:ind w:right="40"/>
              <w:jc w:val="right"/>
              <w:rPr>
                <w:b/>
                <w:snapToGrid w:val="0"/>
                <w:sz w:val="18"/>
                <w:szCs w:val="18"/>
              </w:rPr>
            </w:pPr>
            <w:r w:rsidRPr="00872D7E">
              <w:rPr>
                <w:b/>
                <w:snapToGrid w:val="0"/>
                <w:sz w:val="18"/>
                <w:szCs w:val="18"/>
              </w:rPr>
              <w:t>(%)</w:t>
            </w:r>
          </w:p>
        </w:tc>
      </w:tr>
      <w:tr w:rsidR="0077553B" w:rsidRPr="00872D7E" w14:paraId="0F13DD94" w14:textId="77777777" w:rsidTr="00934795">
        <w:trPr>
          <w:trHeight w:val="20"/>
        </w:trPr>
        <w:tc>
          <w:tcPr>
            <w:tcW w:w="5795" w:type="dxa"/>
            <w:tcBorders>
              <w:top w:val="single" w:sz="4" w:space="0" w:color="auto"/>
            </w:tcBorders>
            <w:shd w:val="clear" w:color="auto" w:fill="auto"/>
            <w:vAlign w:val="center"/>
          </w:tcPr>
          <w:p w14:paraId="487FCF47" w14:textId="77777777" w:rsidR="0077553B" w:rsidRPr="00872D7E" w:rsidRDefault="0077553B" w:rsidP="00934795">
            <w:pPr>
              <w:rPr>
                <w:snapToGrid w:val="0"/>
                <w:sz w:val="18"/>
                <w:szCs w:val="18"/>
              </w:rPr>
            </w:pPr>
          </w:p>
        </w:tc>
        <w:tc>
          <w:tcPr>
            <w:tcW w:w="931" w:type="dxa"/>
            <w:tcBorders>
              <w:top w:val="single" w:sz="4" w:space="0" w:color="auto"/>
            </w:tcBorders>
            <w:shd w:val="clear" w:color="auto" w:fill="auto"/>
            <w:vAlign w:val="bottom"/>
          </w:tcPr>
          <w:p w14:paraId="6A3FAF22" w14:textId="77777777" w:rsidR="0077553B" w:rsidRPr="00872D7E" w:rsidRDefault="0077553B" w:rsidP="00934795">
            <w:pPr>
              <w:ind w:right="40"/>
              <w:jc w:val="right"/>
              <w:rPr>
                <w:snapToGrid w:val="0"/>
                <w:sz w:val="18"/>
                <w:szCs w:val="18"/>
              </w:rPr>
            </w:pPr>
          </w:p>
        </w:tc>
        <w:tc>
          <w:tcPr>
            <w:tcW w:w="932" w:type="dxa"/>
            <w:tcBorders>
              <w:top w:val="single" w:sz="4" w:space="0" w:color="auto"/>
            </w:tcBorders>
            <w:shd w:val="clear" w:color="auto" w:fill="auto"/>
            <w:vAlign w:val="bottom"/>
          </w:tcPr>
          <w:p w14:paraId="282E8B1D" w14:textId="77777777" w:rsidR="0077553B" w:rsidRPr="00872D7E" w:rsidRDefault="0077553B" w:rsidP="00934795">
            <w:pPr>
              <w:ind w:right="40"/>
              <w:jc w:val="right"/>
              <w:rPr>
                <w:snapToGrid w:val="0"/>
                <w:sz w:val="18"/>
                <w:szCs w:val="18"/>
              </w:rPr>
            </w:pPr>
          </w:p>
        </w:tc>
        <w:tc>
          <w:tcPr>
            <w:tcW w:w="932" w:type="dxa"/>
            <w:tcBorders>
              <w:top w:val="single" w:sz="4" w:space="0" w:color="auto"/>
            </w:tcBorders>
            <w:shd w:val="clear" w:color="auto" w:fill="auto"/>
            <w:vAlign w:val="bottom"/>
          </w:tcPr>
          <w:p w14:paraId="1C9B9042" w14:textId="77777777" w:rsidR="0077553B" w:rsidRPr="00872D7E" w:rsidRDefault="0077553B" w:rsidP="00934795">
            <w:pPr>
              <w:ind w:right="40"/>
              <w:jc w:val="right"/>
              <w:rPr>
                <w:snapToGrid w:val="0"/>
                <w:sz w:val="18"/>
                <w:szCs w:val="18"/>
              </w:rPr>
            </w:pPr>
          </w:p>
        </w:tc>
        <w:tc>
          <w:tcPr>
            <w:tcW w:w="880" w:type="dxa"/>
            <w:tcBorders>
              <w:top w:val="single" w:sz="4" w:space="0" w:color="auto"/>
            </w:tcBorders>
            <w:shd w:val="clear" w:color="auto" w:fill="auto"/>
            <w:vAlign w:val="bottom"/>
          </w:tcPr>
          <w:p w14:paraId="16F9FAB6" w14:textId="77777777" w:rsidR="0077553B" w:rsidRPr="00872D7E" w:rsidRDefault="0077553B" w:rsidP="00934795">
            <w:pPr>
              <w:ind w:right="40"/>
              <w:jc w:val="right"/>
              <w:rPr>
                <w:snapToGrid w:val="0"/>
                <w:sz w:val="18"/>
                <w:szCs w:val="18"/>
              </w:rPr>
            </w:pPr>
          </w:p>
        </w:tc>
      </w:tr>
      <w:tr w:rsidR="00785765" w:rsidRPr="00872D7E" w14:paraId="03998F2A" w14:textId="77777777" w:rsidTr="003467F0">
        <w:trPr>
          <w:trHeight w:val="20"/>
        </w:trPr>
        <w:tc>
          <w:tcPr>
            <w:tcW w:w="5795" w:type="dxa"/>
            <w:shd w:val="clear" w:color="auto" w:fill="auto"/>
            <w:vAlign w:val="center"/>
          </w:tcPr>
          <w:p w14:paraId="082838DB" w14:textId="77777777" w:rsidR="00785765" w:rsidRPr="00872D7E" w:rsidRDefault="00785765" w:rsidP="00785765">
            <w:pPr>
              <w:rPr>
                <w:b/>
                <w:snapToGrid w:val="0"/>
                <w:sz w:val="18"/>
                <w:szCs w:val="18"/>
              </w:rPr>
            </w:pPr>
            <w:r w:rsidRPr="00872D7E">
              <w:rPr>
                <w:b/>
                <w:snapToGrid w:val="0"/>
                <w:sz w:val="18"/>
                <w:szCs w:val="18"/>
              </w:rPr>
              <w:t>Tarım</w:t>
            </w:r>
          </w:p>
        </w:tc>
        <w:tc>
          <w:tcPr>
            <w:tcW w:w="931" w:type="dxa"/>
            <w:shd w:val="clear" w:color="auto" w:fill="auto"/>
            <w:vAlign w:val="center"/>
          </w:tcPr>
          <w:p w14:paraId="0A19E4FB" w14:textId="2D994D49" w:rsidR="00785765" w:rsidRPr="00872D7E" w:rsidRDefault="00785765" w:rsidP="00785765">
            <w:pPr>
              <w:ind w:right="40"/>
              <w:jc w:val="right"/>
              <w:rPr>
                <w:b/>
                <w:bCs/>
                <w:sz w:val="18"/>
                <w:szCs w:val="18"/>
              </w:rPr>
            </w:pPr>
            <w:r w:rsidRPr="00872D7E">
              <w:rPr>
                <w:color w:val="000000"/>
                <w:sz w:val="18"/>
                <w:szCs w:val="18"/>
              </w:rPr>
              <w:t>-</w:t>
            </w:r>
          </w:p>
        </w:tc>
        <w:tc>
          <w:tcPr>
            <w:tcW w:w="932" w:type="dxa"/>
            <w:shd w:val="clear" w:color="auto" w:fill="auto"/>
            <w:vAlign w:val="center"/>
          </w:tcPr>
          <w:p w14:paraId="1E72263C" w14:textId="6D36A516" w:rsidR="00785765" w:rsidRPr="00872D7E" w:rsidRDefault="00785765" w:rsidP="00785765">
            <w:pPr>
              <w:ind w:right="40"/>
              <w:jc w:val="right"/>
              <w:rPr>
                <w:b/>
                <w:bCs/>
                <w:sz w:val="18"/>
                <w:szCs w:val="18"/>
              </w:rPr>
            </w:pPr>
            <w:r w:rsidRPr="00872D7E">
              <w:rPr>
                <w:color w:val="000000"/>
                <w:sz w:val="18"/>
                <w:szCs w:val="18"/>
              </w:rPr>
              <w:t>-</w:t>
            </w:r>
          </w:p>
        </w:tc>
        <w:tc>
          <w:tcPr>
            <w:tcW w:w="932" w:type="dxa"/>
            <w:shd w:val="clear" w:color="auto" w:fill="auto"/>
            <w:vAlign w:val="center"/>
          </w:tcPr>
          <w:p w14:paraId="1C31965A" w14:textId="64682657" w:rsidR="00785765" w:rsidRPr="00872D7E" w:rsidRDefault="00785765" w:rsidP="00785765">
            <w:pPr>
              <w:ind w:right="40"/>
              <w:jc w:val="right"/>
              <w:rPr>
                <w:b/>
                <w:bCs/>
                <w:sz w:val="18"/>
                <w:szCs w:val="18"/>
              </w:rPr>
            </w:pPr>
            <w:r w:rsidRPr="00872D7E">
              <w:rPr>
                <w:color w:val="000000"/>
                <w:sz w:val="18"/>
                <w:szCs w:val="18"/>
              </w:rPr>
              <w:t>-</w:t>
            </w:r>
          </w:p>
        </w:tc>
        <w:tc>
          <w:tcPr>
            <w:tcW w:w="880" w:type="dxa"/>
            <w:shd w:val="clear" w:color="auto" w:fill="auto"/>
            <w:vAlign w:val="center"/>
          </w:tcPr>
          <w:p w14:paraId="3561CA45" w14:textId="0A93C06F" w:rsidR="00785765" w:rsidRPr="00872D7E" w:rsidRDefault="00785765" w:rsidP="00785765">
            <w:pPr>
              <w:ind w:right="40"/>
              <w:jc w:val="right"/>
              <w:rPr>
                <w:b/>
                <w:bCs/>
                <w:sz w:val="18"/>
                <w:szCs w:val="18"/>
              </w:rPr>
            </w:pPr>
            <w:r w:rsidRPr="00872D7E">
              <w:rPr>
                <w:color w:val="000000"/>
                <w:sz w:val="18"/>
                <w:szCs w:val="18"/>
              </w:rPr>
              <w:t>-</w:t>
            </w:r>
          </w:p>
        </w:tc>
      </w:tr>
      <w:tr w:rsidR="00785765" w:rsidRPr="00872D7E" w14:paraId="75A9592D" w14:textId="77777777" w:rsidTr="003467F0">
        <w:trPr>
          <w:trHeight w:val="20"/>
        </w:trPr>
        <w:tc>
          <w:tcPr>
            <w:tcW w:w="5795" w:type="dxa"/>
            <w:shd w:val="clear" w:color="auto" w:fill="auto"/>
            <w:vAlign w:val="center"/>
          </w:tcPr>
          <w:p w14:paraId="3515E66C" w14:textId="77777777" w:rsidR="00785765" w:rsidRPr="00872D7E" w:rsidRDefault="00785765" w:rsidP="00785765">
            <w:pPr>
              <w:ind w:firstLine="220"/>
              <w:rPr>
                <w:snapToGrid w:val="0"/>
                <w:sz w:val="18"/>
                <w:szCs w:val="18"/>
              </w:rPr>
            </w:pPr>
            <w:r w:rsidRPr="00872D7E">
              <w:rPr>
                <w:snapToGrid w:val="0"/>
                <w:sz w:val="18"/>
                <w:szCs w:val="18"/>
              </w:rPr>
              <w:t xml:space="preserve">Çiftçilik ve Hayvancılık </w:t>
            </w:r>
          </w:p>
        </w:tc>
        <w:tc>
          <w:tcPr>
            <w:tcW w:w="931" w:type="dxa"/>
            <w:shd w:val="clear" w:color="auto" w:fill="auto"/>
            <w:vAlign w:val="center"/>
          </w:tcPr>
          <w:p w14:paraId="24357E80" w14:textId="614A1A38"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3342AFFF" w14:textId="72DCC383"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206685A8" w14:textId="1A456B62"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18224477" w14:textId="74354C90"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34113F8F" w14:textId="77777777" w:rsidTr="003467F0">
        <w:trPr>
          <w:trHeight w:val="20"/>
        </w:trPr>
        <w:tc>
          <w:tcPr>
            <w:tcW w:w="5795" w:type="dxa"/>
            <w:shd w:val="clear" w:color="auto" w:fill="auto"/>
            <w:vAlign w:val="center"/>
          </w:tcPr>
          <w:p w14:paraId="7CCF0C47" w14:textId="77777777" w:rsidR="00785765" w:rsidRPr="00872D7E" w:rsidRDefault="00785765" w:rsidP="00785765">
            <w:pPr>
              <w:ind w:firstLine="220"/>
              <w:rPr>
                <w:snapToGrid w:val="0"/>
                <w:sz w:val="18"/>
                <w:szCs w:val="18"/>
              </w:rPr>
            </w:pPr>
            <w:r w:rsidRPr="00872D7E">
              <w:rPr>
                <w:snapToGrid w:val="0"/>
                <w:sz w:val="18"/>
                <w:szCs w:val="18"/>
              </w:rPr>
              <w:t>Ormancılık</w:t>
            </w:r>
          </w:p>
        </w:tc>
        <w:tc>
          <w:tcPr>
            <w:tcW w:w="931" w:type="dxa"/>
            <w:shd w:val="clear" w:color="auto" w:fill="auto"/>
            <w:vAlign w:val="center"/>
          </w:tcPr>
          <w:p w14:paraId="2E170697" w14:textId="3BC738D5"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4464A001" w14:textId="64DC1B6B"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635B1556" w14:textId="6B14C21E"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384E6F51" w14:textId="1667E878"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7EFBBC70" w14:textId="77777777" w:rsidTr="003467F0">
        <w:trPr>
          <w:trHeight w:val="20"/>
        </w:trPr>
        <w:tc>
          <w:tcPr>
            <w:tcW w:w="5795" w:type="dxa"/>
            <w:shd w:val="clear" w:color="auto" w:fill="auto"/>
            <w:vAlign w:val="center"/>
          </w:tcPr>
          <w:p w14:paraId="14C00F38" w14:textId="77777777" w:rsidR="00785765" w:rsidRPr="00872D7E" w:rsidRDefault="00785765" w:rsidP="00785765">
            <w:pPr>
              <w:ind w:firstLine="220"/>
              <w:rPr>
                <w:snapToGrid w:val="0"/>
                <w:sz w:val="18"/>
                <w:szCs w:val="18"/>
              </w:rPr>
            </w:pPr>
            <w:r w:rsidRPr="00872D7E">
              <w:rPr>
                <w:snapToGrid w:val="0"/>
                <w:sz w:val="18"/>
                <w:szCs w:val="18"/>
              </w:rPr>
              <w:t>Balıkçılık</w:t>
            </w:r>
          </w:p>
        </w:tc>
        <w:tc>
          <w:tcPr>
            <w:tcW w:w="931" w:type="dxa"/>
            <w:shd w:val="clear" w:color="auto" w:fill="auto"/>
            <w:vAlign w:val="center"/>
          </w:tcPr>
          <w:p w14:paraId="271488A6" w14:textId="2B4E08E7"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59CB0FB6" w14:textId="6BB8606E"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5E2696ED" w14:textId="1B5845FD"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0978EBD3" w14:textId="2481AF49"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04583309" w14:textId="77777777" w:rsidTr="003467F0">
        <w:trPr>
          <w:trHeight w:val="20"/>
        </w:trPr>
        <w:tc>
          <w:tcPr>
            <w:tcW w:w="5795" w:type="dxa"/>
            <w:shd w:val="clear" w:color="auto" w:fill="auto"/>
            <w:vAlign w:val="center"/>
          </w:tcPr>
          <w:p w14:paraId="1A791D22" w14:textId="77777777" w:rsidR="00785765" w:rsidRPr="00872D7E" w:rsidRDefault="00785765" w:rsidP="00785765">
            <w:pPr>
              <w:rPr>
                <w:b/>
                <w:snapToGrid w:val="0"/>
                <w:sz w:val="18"/>
                <w:szCs w:val="18"/>
              </w:rPr>
            </w:pPr>
            <w:r w:rsidRPr="00872D7E">
              <w:rPr>
                <w:b/>
                <w:snapToGrid w:val="0"/>
                <w:sz w:val="18"/>
                <w:szCs w:val="18"/>
              </w:rPr>
              <w:t>Sanayi</w:t>
            </w:r>
          </w:p>
        </w:tc>
        <w:tc>
          <w:tcPr>
            <w:tcW w:w="931" w:type="dxa"/>
            <w:shd w:val="clear" w:color="auto" w:fill="auto"/>
            <w:vAlign w:val="center"/>
          </w:tcPr>
          <w:p w14:paraId="335F725A" w14:textId="1E2E5C16" w:rsidR="00785765" w:rsidRPr="00872D7E" w:rsidRDefault="00785765" w:rsidP="00785765">
            <w:pPr>
              <w:ind w:right="40"/>
              <w:jc w:val="right"/>
              <w:rPr>
                <w:b/>
                <w:bCs/>
                <w:sz w:val="18"/>
                <w:szCs w:val="18"/>
              </w:rPr>
            </w:pPr>
            <w:r w:rsidRPr="00872D7E">
              <w:rPr>
                <w:color w:val="000000"/>
                <w:sz w:val="18"/>
                <w:szCs w:val="18"/>
              </w:rPr>
              <w:t>109</w:t>
            </w:r>
          </w:p>
        </w:tc>
        <w:tc>
          <w:tcPr>
            <w:tcW w:w="932" w:type="dxa"/>
            <w:shd w:val="clear" w:color="auto" w:fill="auto"/>
            <w:vAlign w:val="center"/>
          </w:tcPr>
          <w:p w14:paraId="6FB2A7BB" w14:textId="738F864A" w:rsidR="00785765" w:rsidRPr="00872D7E" w:rsidRDefault="00785765" w:rsidP="00785765">
            <w:pPr>
              <w:ind w:right="40"/>
              <w:jc w:val="right"/>
              <w:rPr>
                <w:b/>
                <w:bCs/>
                <w:sz w:val="18"/>
                <w:szCs w:val="18"/>
              </w:rPr>
            </w:pPr>
            <w:r w:rsidRPr="00872D7E">
              <w:rPr>
                <w:color w:val="000000"/>
                <w:sz w:val="18"/>
                <w:szCs w:val="18"/>
              </w:rPr>
              <w:t>100,00</w:t>
            </w:r>
          </w:p>
        </w:tc>
        <w:tc>
          <w:tcPr>
            <w:tcW w:w="932" w:type="dxa"/>
            <w:shd w:val="clear" w:color="auto" w:fill="auto"/>
            <w:vAlign w:val="center"/>
          </w:tcPr>
          <w:p w14:paraId="33D9A440" w14:textId="641FBDF7" w:rsidR="00785765" w:rsidRPr="00872D7E" w:rsidRDefault="00785765" w:rsidP="00785765">
            <w:pPr>
              <w:ind w:right="40"/>
              <w:jc w:val="right"/>
              <w:rPr>
                <w:b/>
                <w:bCs/>
                <w:sz w:val="18"/>
                <w:szCs w:val="18"/>
              </w:rPr>
            </w:pPr>
            <w:r w:rsidRPr="00872D7E">
              <w:rPr>
                <w:color w:val="000000"/>
                <w:sz w:val="18"/>
                <w:szCs w:val="18"/>
              </w:rPr>
              <w:t>5.338</w:t>
            </w:r>
          </w:p>
        </w:tc>
        <w:tc>
          <w:tcPr>
            <w:tcW w:w="880" w:type="dxa"/>
            <w:shd w:val="clear" w:color="auto" w:fill="auto"/>
            <w:vAlign w:val="center"/>
          </w:tcPr>
          <w:p w14:paraId="3F7EF3B5" w14:textId="30C79AF4" w:rsidR="00785765" w:rsidRPr="00872D7E" w:rsidRDefault="00785765" w:rsidP="00785765">
            <w:pPr>
              <w:ind w:right="40"/>
              <w:jc w:val="right"/>
              <w:rPr>
                <w:b/>
                <w:bCs/>
                <w:sz w:val="18"/>
                <w:szCs w:val="18"/>
              </w:rPr>
            </w:pPr>
            <w:r w:rsidRPr="00872D7E">
              <w:rPr>
                <w:color w:val="000000"/>
                <w:sz w:val="18"/>
                <w:szCs w:val="18"/>
              </w:rPr>
              <w:t>100,00</w:t>
            </w:r>
          </w:p>
        </w:tc>
      </w:tr>
      <w:tr w:rsidR="00785765" w:rsidRPr="00872D7E" w14:paraId="7638FB21" w14:textId="77777777" w:rsidTr="003467F0">
        <w:trPr>
          <w:trHeight w:val="20"/>
        </w:trPr>
        <w:tc>
          <w:tcPr>
            <w:tcW w:w="5795" w:type="dxa"/>
            <w:shd w:val="clear" w:color="auto" w:fill="auto"/>
            <w:vAlign w:val="center"/>
          </w:tcPr>
          <w:p w14:paraId="46AA904C" w14:textId="77777777" w:rsidR="00785765" w:rsidRPr="00872D7E" w:rsidRDefault="00785765" w:rsidP="00785765">
            <w:pPr>
              <w:ind w:firstLine="220"/>
              <w:rPr>
                <w:snapToGrid w:val="0"/>
                <w:sz w:val="18"/>
                <w:szCs w:val="18"/>
              </w:rPr>
            </w:pPr>
            <w:r w:rsidRPr="00872D7E">
              <w:rPr>
                <w:snapToGrid w:val="0"/>
                <w:sz w:val="18"/>
                <w:szCs w:val="18"/>
              </w:rPr>
              <w:t xml:space="preserve">Madencilik ve Taş ocakçılığı </w:t>
            </w:r>
          </w:p>
        </w:tc>
        <w:tc>
          <w:tcPr>
            <w:tcW w:w="931" w:type="dxa"/>
            <w:shd w:val="clear" w:color="auto" w:fill="auto"/>
            <w:vAlign w:val="center"/>
          </w:tcPr>
          <w:p w14:paraId="186E9E03" w14:textId="74903D88"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66B089DE" w14:textId="5C9581C4"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1DA5ED01" w14:textId="6EA023AD"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018213A9" w14:textId="10859E22"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1CB470CF" w14:textId="77777777" w:rsidTr="003467F0">
        <w:trPr>
          <w:trHeight w:val="20"/>
        </w:trPr>
        <w:tc>
          <w:tcPr>
            <w:tcW w:w="5795" w:type="dxa"/>
            <w:shd w:val="clear" w:color="auto" w:fill="auto"/>
            <w:vAlign w:val="center"/>
          </w:tcPr>
          <w:p w14:paraId="03071ECC" w14:textId="77777777" w:rsidR="00785765" w:rsidRPr="00872D7E" w:rsidRDefault="00785765" w:rsidP="00785765">
            <w:pPr>
              <w:ind w:firstLine="220"/>
              <w:rPr>
                <w:snapToGrid w:val="0"/>
                <w:sz w:val="18"/>
                <w:szCs w:val="18"/>
              </w:rPr>
            </w:pPr>
            <w:r w:rsidRPr="00872D7E">
              <w:rPr>
                <w:snapToGrid w:val="0"/>
                <w:sz w:val="18"/>
                <w:szCs w:val="18"/>
              </w:rPr>
              <w:t>İmalat Sanayi</w:t>
            </w:r>
          </w:p>
        </w:tc>
        <w:tc>
          <w:tcPr>
            <w:tcW w:w="931" w:type="dxa"/>
            <w:shd w:val="clear" w:color="auto" w:fill="auto"/>
            <w:vAlign w:val="center"/>
          </w:tcPr>
          <w:p w14:paraId="4335363A" w14:textId="7110429C" w:rsidR="00785765" w:rsidRPr="00872D7E" w:rsidRDefault="00785765" w:rsidP="00785765">
            <w:pPr>
              <w:ind w:right="40"/>
              <w:jc w:val="right"/>
              <w:rPr>
                <w:bCs/>
                <w:sz w:val="18"/>
                <w:szCs w:val="18"/>
              </w:rPr>
            </w:pPr>
            <w:r w:rsidRPr="00872D7E">
              <w:rPr>
                <w:color w:val="000000"/>
                <w:sz w:val="18"/>
                <w:szCs w:val="18"/>
              </w:rPr>
              <w:t>109</w:t>
            </w:r>
          </w:p>
        </w:tc>
        <w:tc>
          <w:tcPr>
            <w:tcW w:w="932" w:type="dxa"/>
            <w:shd w:val="clear" w:color="auto" w:fill="auto"/>
            <w:vAlign w:val="center"/>
          </w:tcPr>
          <w:p w14:paraId="6B6E18CD" w14:textId="17D846B9" w:rsidR="00785765" w:rsidRPr="00872D7E" w:rsidRDefault="00785765" w:rsidP="00785765">
            <w:pPr>
              <w:ind w:right="40"/>
              <w:jc w:val="right"/>
              <w:rPr>
                <w:bCs/>
                <w:sz w:val="18"/>
                <w:szCs w:val="18"/>
              </w:rPr>
            </w:pPr>
            <w:r w:rsidRPr="00872D7E">
              <w:rPr>
                <w:color w:val="000000"/>
                <w:sz w:val="18"/>
                <w:szCs w:val="18"/>
              </w:rPr>
              <w:t>100,00</w:t>
            </w:r>
          </w:p>
        </w:tc>
        <w:tc>
          <w:tcPr>
            <w:tcW w:w="932" w:type="dxa"/>
            <w:shd w:val="clear" w:color="auto" w:fill="auto"/>
            <w:vAlign w:val="center"/>
          </w:tcPr>
          <w:p w14:paraId="79BA571F" w14:textId="5F1DD7FC" w:rsidR="00785765" w:rsidRPr="00872D7E" w:rsidRDefault="00785765" w:rsidP="00785765">
            <w:pPr>
              <w:ind w:right="40"/>
              <w:jc w:val="right"/>
              <w:rPr>
                <w:bCs/>
                <w:sz w:val="18"/>
                <w:szCs w:val="18"/>
              </w:rPr>
            </w:pPr>
            <w:r w:rsidRPr="00872D7E">
              <w:rPr>
                <w:color w:val="000000"/>
                <w:sz w:val="18"/>
                <w:szCs w:val="18"/>
              </w:rPr>
              <w:t>5.338</w:t>
            </w:r>
          </w:p>
        </w:tc>
        <w:tc>
          <w:tcPr>
            <w:tcW w:w="880" w:type="dxa"/>
            <w:shd w:val="clear" w:color="auto" w:fill="auto"/>
            <w:vAlign w:val="center"/>
          </w:tcPr>
          <w:p w14:paraId="7CAD3AC4" w14:textId="16F3C1E8" w:rsidR="00785765" w:rsidRPr="00872D7E" w:rsidRDefault="00785765" w:rsidP="00785765">
            <w:pPr>
              <w:ind w:right="40"/>
              <w:jc w:val="right"/>
              <w:rPr>
                <w:bCs/>
                <w:sz w:val="18"/>
                <w:szCs w:val="18"/>
              </w:rPr>
            </w:pPr>
            <w:r w:rsidRPr="00872D7E">
              <w:rPr>
                <w:color w:val="000000"/>
                <w:sz w:val="18"/>
                <w:szCs w:val="18"/>
              </w:rPr>
              <w:t>100,00</w:t>
            </w:r>
          </w:p>
        </w:tc>
      </w:tr>
      <w:tr w:rsidR="00785765" w:rsidRPr="00872D7E" w14:paraId="505EDD12" w14:textId="77777777" w:rsidTr="003467F0">
        <w:trPr>
          <w:trHeight w:val="20"/>
        </w:trPr>
        <w:tc>
          <w:tcPr>
            <w:tcW w:w="5795" w:type="dxa"/>
            <w:shd w:val="clear" w:color="auto" w:fill="auto"/>
            <w:vAlign w:val="center"/>
          </w:tcPr>
          <w:p w14:paraId="51587590" w14:textId="77777777" w:rsidR="00785765" w:rsidRPr="00872D7E" w:rsidRDefault="00785765" w:rsidP="00785765">
            <w:pPr>
              <w:ind w:firstLine="220"/>
              <w:rPr>
                <w:snapToGrid w:val="0"/>
                <w:sz w:val="18"/>
                <w:szCs w:val="18"/>
              </w:rPr>
            </w:pPr>
            <w:r w:rsidRPr="00872D7E">
              <w:rPr>
                <w:snapToGrid w:val="0"/>
                <w:sz w:val="18"/>
                <w:szCs w:val="18"/>
              </w:rPr>
              <w:t>Elektrik, Gaz, Su</w:t>
            </w:r>
          </w:p>
        </w:tc>
        <w:tc>
          <w:tcPr>
            <w:tcW w:w="931" w:type="dxa"/>
            <w:shd w:val="clear" w:color="auto" w:fill="auto"/>
            <w:vAlign w:val="center"/>
          </w:tcPr>
          <w:p w14:paraId="49A2F046" w14:textId="20628F37"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0AE89AE7" w14:textId="001CF1B9"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188B51DC" w14:textId="7171F748"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33D01268" w14:textId="3C288463"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65A39DED" w14:textId="77777777" w:rsidTr="003467F0">
        <w:trPr>
          <w:trHeight w:val="20"/>
        </w:trPr>
        <w:tc>
          <w:tcPr>
            <w:tcW w:w="5795" w:type="dxa"/>
            <w:shd w:val="clear" w:color="auto" w:fill="auto"/>
            <w:vAlign w:val="center"/>
          </w:tcPr>
          <w:p w14:paraId="6253EBB4" w14:textId="77777777" w:rsidR="00785765" w:rsidRPr="00872D7E" w:rsidRDefault="00785765" w:rsidP="00785765">
            <w:pPr>
              <w:rPr>
                <w:b/>
                <w:snapToGrid w:val="0"/>
                <w:sz w:val="18"/>
                <w:szCs w:val="18"/>
              </w:rPr>
            </w:pPr>
            <w:r w:rsidRPr="00872D7E">
              <w:rPr>
                <w:b/>
                <w:snapToGrid w:val="0"/>
                <w:sz w:val="18"/>
                <w:szCs w:val="18"/>
              </w:rPr>
              <w:t>İnşaat</w:t>
            </w:r>
          </w:p>
        </w:tc>
        <w:tc>
          <w:tcPr>
            <w:tcW w:w="931" w:type="dxa"/>
            <w:shd w:val="clear" w:color="auto" w:fill="auto"/>
            <w:vAlign w:val="center"/>
          </w:tcPr>
          <w:p w14:paraId="4886555F" w14:textId="796B9C28" w:rsidR="00785765" w:rsidRPr="00872D7E" w:rsidRDefault="00785765" w:rsidP="00785765">
            <w:pPr>
              <w:ind w:right="40"/>
              <w:jc w:val="right"/>
              <w:rPr>
                <w:b/>
                <w:bCs/>
                <w:sz w:val="18"/>
                <w:szCs w:val="18"/>
              </w:rPr>
            </w:pPr>
            <w:r w:rsidRPr="00872D7E">
              <w:rPr>
                <w:color w:val="000000"/>
                <w:sz w:val="18"/>
                <w:szCs w:val="18"/>
              </w:rPr>
              <w:t>-</w:t>
            </w:r>
          </w:p>
        </w:tc>
        <w:tc>
          <w:tcPr>
            <w:tcW w:w="932" w:type="dxa"/>
            <w:shd w:val="clear" w:color="auto" w:fill="auto"/>
            <w:vAlign w:val="center"/>
          </w:tcPr>
          <w:p w14:paraId="6485F673" w14:textId="3052B4B3" w:rsidR="00785765" w:rsidRPr="00872D7E" w:rsidRDefault="00785765" w:rsidP="00785765">
            <w:pPr>
              <w:ind w:right="40"/>
              <w:jc w:val="right"/>
              <w:rPr>
                <w:b/>
                <w:bCs/>
                <w:sz w:val="18"/>
                <w:szCs w:val="18"/>
              </w:rPr>
            </w:pPr>
            <w:r w:rsidRPr="00872D7E">
              <w:rPr>
                <w:color w:val="000000"/>
                <w:sz w:val="18"/>
                <w:szCs w:val="18"/>
              </w:rPr>
              <w:t>-</w:t>
            </w:r>
          </w:p>
        </w:tc>
        <w:tc>
          <w:tcPr>
            <w:tcW w:w="932" w:type="dxa"/>
            <w:shd w:val="clear" w:color="auto" w:fill="auto"/>
            <w:vAlign w:val="center"/>
          </w:tcPr>
          <w:p w14:paraId="024C8AEC" w14:textId="6FEB0EC4" w:rsidR="00785765" w:rsidRPr="00872D7E" w:rsidRDefault="00785765" w:rsidP="00785765">
            <w:pPr>
              <w:ind w:right="40"/>
              <w:jc w:val="right"/>
              <w:rPr>
                <w:b/>
                <w:bCs/>
                <w:sz w:val="18"/>
                <w:szCs w:val="18"/>
              </w:rPr>
            </w:pPr>
            <w:r w:rsidRPr="00872D7E">
              <w:rPr>
                <w:color w:val="000000"/>
                <w:sz w:val="18"/>
                <w:szCs w:val="18"/>
              </w:rPr>
              <w:t>-</w:t>
            </w:r>
          </w:p>
        </w:tc>
        <w:tc>
          <w:tcPr>
            <w:tcW w:w="880" w:type="dxa"/>
            <w:shd w:val="clear" w:color="auto" w:fill="auto"/>
            <w:vAlign w:val="center"/>
          </w:tcPr>
          <w:p w14:paraId="4D7A3DD9" w14:textId="27A269F1" w:rsidR="00785765" w:rsidRPr="00872D7E" w:rsidRDefault="00785765" w:rsidP="00785765">
            <w:pPr>
              <w:ind w:right="40"/>
              <w:jc w:val="right"/>
              <w:rPr>
                <w:b/>
                <w:bCs/>
                <w:sz w:val="18"/>
                <w:szCs w:val="18"/>
              </w:rPr>
            </w:pPr>
            <w:r w:rsidRPr="00872D7E">
              <w:rPr>
                <w:color w:val="000000"/>
                <w:sz w:val="18"/>
                <w:szCs w:val="18"/>
              </w:rPr>
              <w:t>-</w:t>
            </w:r>
          </w:p>
        </w:tc>
      </w:tr>
      <w:tr w:rsidR="00785765" w:rsidRPr="00872D7E" w14:paraId="21183258" w14:textId="77777777" w:rsidTr="003467F0">
        <w:trPr>
          <w:trHeight w:val="20"/>
        </w:trPr>
        <w:tc>
          <w:tcPr>
            <w:tcW w:w="5795" w:type="dxa"/>
            <w:shd w:val="clear" w:color="auto" w:fill="auto"/>
            <w:vAlign w:val="center"/>
          </w:tcPr>
          <w:p w14:paraId="50EE73C0" w14:textId="77777777" w:rsidR="00785765" w:rsidRPr="00872D7E" w:rsidRDefault="00785765" w:rsidP="00785765">
            <w:pPr>
              <w:rPr>
                <w:b/>
                <w:snapToGrid w:val="0"/>
                <w:sz w:val="18"/>
                <w:szCs w:val="18"/>
              </w:rPr>
            </w:pPr>
            <w:r w:rsidRPr="00872D7E">
              <w:rPr>
                <w:b/>
                <w:snapToGrid w:val="0"/>
                <w:sz w:val="18"/>
                <w:szCs w:val="18"/>
              </w:rPr>
              <w:t>Hizmetler</w:t>
            </w:r>
          </w:p>
        </w:tc>
        <w:tc>
          <w:tcPr>
            <w:tcW w:w="931" w:type="dxa"/>
            <w:shd w:val="clear" w:color="auto" w:fill="auto"/>
            <w:vAlign w:val="center"/>
          </w:tcPr>
          <w:p w14:paraId="66DB60BE" w14:textId="1CC71C64" w:rsidR="00785765" w:rsidRPr="00872D7E" w:rsidRDefault="00785765" w:rsidP="00785765">
            <w:pPr>
              <w:ind w:right="40"/>
              <w:jc w:val="right"/>
              <w:rPr>
                <w:b/>
                <w:bCs/>
                <w:sz w:val="18"/>
                <w:szCs w:val="18"/>
              </w:rPr>
            </w:pPr>
            <w:r w:rsidRPr="00872D7E">
              <w:rPr>
                <w:color w:val="000000"/>
                <w:sz w:val="18"/>
                <w:szCs w:val="18"/>
              </w:rPr>
              <w:t>-</w:t>
            </w:r>
          </w:p>
        </w:tc>
        <w:tc>
          <w:tcPr>
            <w:tcW w:w="932" w:type="dxa"/>
            <w:shd w:val="clear" w:color="auto" w:fill="auto"/>
            <w:vAlign w:val="center"/>
          </w:tcPr>
          <w:p w14:paraId="091B4A9E" w14:textId="1D98FA01" w:rsidR="00785765" w:rsidRPr="00872D7E" w:rsidRDefault="00785765" w:rsidP="00785765">
            <w:pPr>
              <w:ind w:right="40"/>
              <w:jc w:val="right"/>
              <w:rPr>
                <w:b/>
                <w:bCs/>
                <w:sz w:val="18"/>
                <w:szCs w:val="18"/>
              </w:rPr>
            </w:pPr>
            <w:r w:rsidRPr="00872D7E">
              <w:rPr>
                <w:color w:val="000000"/>
                <w:sz w:val="18"/>
                <w:szCs w:val="18"/>
              </w:rPr>
              <w:t>-</w:t>
            </w:r>
          </w:p>
        </w:tc>
        <w:tc>
          <w:tcPr>
            <w:tcW w:w="932" w:type="dxa"/>
            <w:shd w:val="clear" w:color="auto" w:fill="auto"/>
            <w:vAlign w:val="center"/>
          </w:tcPr>
          <w:p w14:paraId="770A50F5" w14:textId="10BBAB65" w:rsidR="00785765" w:rsidRPr="00872D7E" w:rsidRDefault="00785765" w:rsidP="00785765">
            <w:pPr>
              <w:ind w:right="40"/>
              <w:jc w:val="right"/>
              <w:rPr>
                <w:b/>
                <w:bCs/>
                <w:sz w:val="18"/>
                <w:szCs w:val="18"/>
              </w:rPr>
            </w:pPr>
            <w:r w:rsidRPr="00872D7E">
              <w:rPr>
                <w:color w:val="000000"/>
                <w:sz w:val="18"/>
                <w:szCs w:val="18"/>
              </w:rPr>
              <w:t>-</w:t>
            </w:r>
          </w:p>
        </w:tc>
        <w:tc>
          <w:tcPr>
            <w:tcW w:w="880" w:type="dxa"/>
            <w:shd w:val="clear" w:color="auto" w:fill="auto"/>
            <w:vAlign w:val="center"/>
          </w:tcPr>
          <w:p w14:paraId="61D0C4BB" w14:textId="0AAAE98F" w:rsidR="00785765" w:rsidRPr="00872D7E" w:rsidRDefault="00785765" w:rsidP="00785765">
            <w:pPr>
              <w:ind w:right="40"/>
              <w:jc w:val="right"/>
              <w:rPr>
                <w:b/>
                <w:bCs/>
                <w:sz w:val="18"/>
                <w:szCs w:val="18"/>
              </w:rPr>
            </w:pPr>
            <w:r w:rsidRPr="00872D7E">
              <w:rPr>
                <w:color w:val="000000"/>
                <w:sz w:val="18"/>
                <w:szCs w:val="18"/>
              </w:rPr>
              <w:t>-</w:t>
            </w:r>
          </w:p>
        </w:tc>
      </w:tr>
      <w:tr w:rsidR="00785765" w:rsidRPr="00872D7E" w14:paraId="2E2E159A" w14:textId="77777777" w:rsidTr="003467F0">
        <w:trPr>
          <w:trHeight w:val="20"/>
        </w:trPr>
        <w:tc>
          <w:tcPr>
            <w:tcW w:w="5795" w:type="dxa"/>
            <w:shd w:val="clear" w:color="auto" w:fill="auto"/>
            <w:vAlign w:val="center"/>
          </w:tcPr>
          <w:p w14:paraId="38502FD6" w14:textId="77777777" w:rsidR="00785765" w:rsidRPr="00872D7E" w:rsidRDefault="00785765" w:rsidP="00785765">
            <w:pPr>
              <w:ind w:firstLine="220"/>
              <w:rPr>
                <w:snapToGrid w:val="0"/>
                <w:sz w:val="18"/>
                <w:szCs w:val="18"/>
              </w:rPr>
            </w:pPr>
            <w:r w:rsidRPr="00872D7E">
              <w:rPr>
                <w:snapToGrid w:val="0"/>
                <w:sz w:val="18"/>
                <w:szCs w:val="18"/>
              </w:rPr>
              <w:t>Toptan ve Perakende Ticaret</w:t>
            </w:r>
          </w:p>
        </w:tc>
        <w:tc>
          <w:tcPr>
            <w:tcW w:w="931" w:type="dxa"/>
            <w:shd w:val="clear" w:color="auto" w:fill="auto"/>
            <w:vAlign w:val="center"/>
          </w:tcPr>
          <w:p w14:paraId="774804B9" w14:textId="59CEB856"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20EA2133" w14:textId="6A82AD95"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51085BE5" w14:textId="324A0E03"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48BA4D23" w14:textId="5E085D9C"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59BCA774" w14:textId="77777777" w:rsidTr="003467F0">
        <w:trPr>
          <w:trHeight w:val="20"/>
        </w:trPr>
        <w:tc>
          <w:tcPr>
            <w:tcW w:w="5795" w:type="dxa"/>
            <w:shd w:val="clear" w:color="auto" w:fill="auto"/>
            <w:vAlign w:val="center"/>
          </w:tcPr>
          <w:p w14:paraId="38FF7F46" w14:textId="77777777" w:rsidR="00785765" w:rsidRPr="00872D7E" w:rsidRDefault="00785765" w:rsidP="00785765">
            <w:pPr>
              <w:ind w:firstLine="220"/>
              <w:rPr>
                <w:snapToGrid w:val="0"/>
                <w:sz w:val="18"/>
                <w:szCs w:val="18"/>
              </w:rPr>
            </w:pPr>
            <w:r w:rsidRPr="00872D7E">
              <w:rPr>
                <w:snapToGrid w:val="0"/>
                <w:sz w:val="18"/>
                <w:szCs w:val="18"/>
              </w:rPr>
              <w:t>Otel ve Lokanta Hizmetleri</w:t>
            </w:r>
          </w:p>
        </w:tc>
        <w:tc>
          <w:tcPr>
            <w:tcW w:w="931" w:type="dxa"/>
            <w:shd w:val="clear" w:color="auto" w:fill="auto"/>
            <w:vAlign w:val="center"/>
          </w:tcPr>
          <w:p w14:paraId="3CC28176" w14:textId="01FBFF52"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0CED6E54" w14:textId="3B7E9181"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0BAE338F" w14:textId="01A0DBDC"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34FC9A6A" w14:textId="131F30CF"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01B050BB" w14:textId="77777777" w:rsidTr="003467F0">
        <w:trPr>
          <w:trHeight w:val="20"/>
        </w:trPr>
        <w:tc>
          <w:tcPr>
            <w:tcW w:w="5795" w:type="dxa"/>
            <w:shd w:val="clear" w:color="auto" w:fill="auto"/>
            <w:vAlign w:val="center"/>
          </w:tcPr>
          <w:p w14:paraId="3570E9E7" w14:textId="77777777" w:rsidR="00785765" w:rsidRPr="00872D7E" w:rsidRDefault="00785765" w:rsidP="00785765">
            <w:pPr>
              <w:ind w:firstLine="220"/>
              <w:rPr>
                <w:snapToGrid w:val="0"/>
                <w:sz w:val="18"/>
                <w:szCs w:val="18"/>
              </w:rPr>
            </w:pPr>
            <w:r w:rsidRPr="00872D7E">
              <w:rPr>
                <w:snapToGrid w:val="0"/>
                <w:sz w:val="18"/>
                <w:szCs w:val="18"/>
              </w:rPr>
              <w:t>Ulaştırma ve Haberleşme</w:t>
            </w:r>
          </w:p>
        </w:tc>
        <w:tc>
          <w:tcPr>
            <w:tcW w:w="931" w:type="dxa"/>
            <w:shd w:val="clear" w:color="auto" w:fill="auto"/>
            <w:vAlign w:val="center"/>
          </w:tcPr>
          <w:p w14:paraId="47CA17D0" w14:textId="2EA03D48"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2F0058AF" w14:textId="545BCE75"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3B570E69" w14:textId="610C31C9"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15D0AE02" w14:textId="2BDED4EC"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424C7840" w14:textId="77777777" w:rsidTr="003467F0">
        <w:trPr>
          <w:trHeight w:val="20"/>
        </w:trPr>
        <w:tc>
          <w:tcPr>
            <w:tcW w:w="5795" w:type="dxa"/>
            <w:shd w:val="clear" w:color="auto" w:fill="auto"/>
            <w:vAlign w:val="center"/>
          </w:tcPr>
          <w:p w14:paraId="6415CCC7" w14:textId="77777777" w:rsidR="00785765" w:rsidRPr="00872D7E" w:rsidRDefault="00785765" w:rsidP="00785765">
            <w:pPr>
              <w:ind w:firstLine="220"/>
              <w:rPr>
                <w:iCs/>
                <w:snapToGrid w:val="0"/>
                <w:sz w:val="18"/>
                <w:szCs w:val="18"/>
              </w:rPr>
            </w:pPr>
            <w:r w:rsidRPr="00872D7E">
              <w:rPr>
                <w:iCs/>
                <w:snapToGrid w:val="0"/>
                <w:sz w:val="18"/>
                <w:szCs w:val="18"/>
              </w:rPr>
              <w:t>Mali Kuruluşlar</w:t>
            </w:r>
          </w:p>
        </w:tc>
        <w:tc>
          <w:tcPr>
            <w:tcW w:w="931" w:type="dxa"/>
            <w:shd w:val="clear" w:color="auto" w:fill="auto"/>
            <w:vAlign w:val="center"/>
          </w:tcPr>
          <w:p w14:paraId="335DED00" w14:textId="1E9B209A"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3559E966" w14:textId="403E76A2"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555BC412" w14:textId="3759F1A7"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3C7DD476" w14:textId="1098747B"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6C87EBC1" w14:textId="77777777" w:rsidTr="003467F0">
        <w:trPr>
          <w:trHeight w:val="20"/>
        </w:trPr>
        <w:tc>
          <w:tcPr>
            <w:tcW w:w="5795" w:type="dxa"/>
            <w:shd w:val="clear" w:color="auto" w:fill="auto"/>
            <w:vAlign w:val="bottom"/>
          </w:tcPr>
          <w:p w14:paraId="0AAE10BC" w14:textId="77777777" w:rsidR="00785765" w:rsidRPr="00872D7E" w:rsidRDefault="00785765" w:rsidP="00785765">
            <w:pPr>
              <w:ind w:firstLine="220"/>
              <w:rPr>
                <w:rFonts w:eastAsia="Arial Unicode MS"/>
                <w:sz w:val="18"/>
                <w:szCs w:val="18"/>
              </w:rPr>
            </w:pPr>
            <w:r w:rsidRPr="00872D7E">
              <w:rPr>
                <w:rFonts w:eastAsia="Arial Unicode MS"/>
                <w:sz w:val="18"/>
                <w:szCs w:val="18"/>
              </w:rPr>
              <w:t xml:space="preserve">Gayrimenkul ve Kiralama Hizmetleri  </w:t>
            </w:r>
          </w:p>
        </w:tc>
        <w:tc>
          <w:tcPr>
            <w:tcW w:w="931" w:type="dxa"/>
            <w:shd w:val="clear" w:color="auto" w:fill="auto"/>
            <w:vAlign w:val="center"/>
          </w:tcPr>
          <w:p w14:paraId="52C4BBD6" w14:textId="43B939DF"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6066DBC7" w14:textId="33EDF9C7"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650A55BB" w14:textId="4B9411FF"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5887CB1D" w14:textId="0A834127"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17A42668" w14:textId="77777777" w:rsidTr="003467F0">
        <w:trPr>
          <w:trHeight w:val="20"/>
        </w:trPr>
        <w:tc>
          <w:tcPr>
            <w:tcW w:w="5795" w:type="dxa"/>
            <w:shd w:val="clear" w:color="auto" w:fill="auto"/>
            <w:vAlign w:val="bottom"/>
          </w:tcPr>
          <w:p w14:paraId="356C2B3F" w14:textId="77777777" w:rsidR="00785765" w:rsidRPr="00872D7E" w:rsidRDefault="00785765" w:rsidP="00785765">
            <w:pPr>
              <w:ind w:firstLine="220"/>
              <w:rPr>
                <w:rFonts w:eastAsia="Arial Unicode MS"/>
                <w:sz w:val="18"/>
                <w:szCs w:val="18"/>
              </w:rPr>
            </w:pPr>
            <w:r w:rsidRPr="00872D7E">
              <w:rPr>
                <w:rFonts w:eastAsia="Arial Unicode MS"/>
                <w:sz w:val="18"/>
                <w:szCs w:val="18"/>
              </w:rPr>
              <w:t>Serbest Meslek Hizmetleri</w:t>
            </w:r>
          </w:p>
        </w:tc>
        <w:tc>
          <w:tcPr>
            <w:tcW w:w="931" w:type="dxa"/>
            <w:shd w:val="clear" w:color="auto" w:fill="auto"/>
            <w:vAlign w:val="center"/>
          </w:tcPr>
          <w:p w14:paraId="11C3EB87" w14:textId="68671CA7"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242F5324" w14:textId="56C3284E"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46954F4A" w14:textId="17EE18EC"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690FA119" w14:textId="243ECE62"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061CEE39" w14:textId="77777777" w:rsidTr="003467F0">
        <w:trPr>
          <w:trHeight w:val="20"/>
        </w:trPr>
        <w:tc>
          <w:tcPr>
            <w:tcW w:w="5795" w:type="dxa"/>
            <w:shd w:val="clear" w:color="auto" w:fill="auto"/>
            <w:vAlign w:val="bottom"/>
          </w:tcPr>
          <w:p w14:paraId="0F6233F5" w14:textId="77777777" w:rsidR="00785765" w:rsidRPr="00872D7E" w:rsidRDefault="00785765" w:rsidP="00785765">
            <w:pPr>
              <w:ind w:firstLine="220"/>
              <w:rPr>
                <w:rFonts w:eastAsia="Arial Unicode MS"/>
                <w:sz w:val="18"/>
                <w:szCs w:val="18"/>
              </w:rPr>
            </w:pPr>
            <w:r w:rsidRPr="00872D7E">
              <w:rPr>
                <w:rFonts w:eastAsia="Arial Unicode MS"/>
                <w:sz w:val="18"/>
                <w:szCs w:val="18"/>
              </w:rPr>
              <w:t>Eğitim Hizmetleri</w:t>
            </w:r>
          </w:p>
        </w:tc>
        <w:tc>
          <w:tcPr>
            <w:tcW w:w="931" w:type="dxa"/>
            <w:shd w:val="clear" w:color="auto" w:fill="auto"/>
            <w:vAlign w:val="center"/>
          </w:tcPr>
          <w:p w14:paraId="456FFF1E" w14:textId="1880455E"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749AF5D1" w14:textId="0BF1F0BB"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77D53D8C" w14:textId="5BACF7A5"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4AA70FFB" w14:textId="15A55A3F"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0C75AB5B" w14:textId="77777777" w:rsidTr="00683052">
        <w:trPr>
          <w:trHeight w:val="20"/>
        </w:trPr>
        <w:tc>
          <w:tcPr>
            <w:tcW w:w="5795" w:type="dxa"/>
            <w:shd w:val="clear" w:color="auto" w:fill="auto"/>
            <w:vAlign w:val="bottom"/>
          </w:tcPr>
          <w:p w14:paraId="1EEBB29D" w14:textId="77777777" w:rsidR="00785765" w:rsidRPr="00872D7E" w:rsidRDefault="00785765" w:rsidP="00785765">
            <w:pPr>
              <w:ind w:firstLine="220"/>
              <w:rPr>
                <w:sz w:val="18"/>
                <w:szCs w:val="18"/>
              </w:rPr>
            </w:pPr>
            <w:r w:rsidRPr="00872D7E">
              <w:rPr>
                <w:sz w:val="18"/>
                <w:szCs w:val="18"/>
              </w:rPr>
              <w:t>Sağlık ve Sosyal Hizmetler</w:t>
            </w:r>
          </w:p>
        </w:tc>
        <w:tc>
          <w:tcPr>
            <w:tcW w:w="931" w:type="dxa"/>
            <w:shd w:val="clear" w:color="auto" w:fill="auto"/>
            <w:vAlign w:val="center"/>
          </w:tcPr>
          <w:p w14:paraId="532FE376" w14:textId="0383EC8C"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6F360912" w14:textId="7716592C" w:rsidR="00785765" w:rsidRPr="00872D7E" w:rsidRDefault="00785765" w:rsidP="00785765">
            <w:pPr>
              <w:ind w:right="40"/>
              <w:jc w:val="right"/>
              <w:rPr>
                <w:bCs/>
                <w:sz w:val="18"/>
                <w:szCs w:val="18"/>
              </w:rPr>
            </w:pPr>
            <w:r w:rsidRPr="00872D7E">
              <w:rPr>
                <w:color w:val="000000"/>
                <w:sz w:val="18"/>
                <w:szCs w:val="18"/>
              </w:rPr>
              <w:t>-</w:t>
            </w:r>
          </w:p>
        </w:tc>
        <w:tc>
          <w:tcPr>
            <w:tcW w:w="932" w:type="dxa"/>
            <w:shd w:val="clear" w:color="auto" w:fill="auto"/>
            <w:vAlign w:val="center"/>
          </w:tcPr>
          <w:p w14:paraId="0706E444" w14:textId="2F67F488" w:rsidR="00785765" w:rsidRPr="00872D7E" w:rsidRDefault="00785765" w:rsidP="00785765">
            <w:pPr>
              <w:ind w:right="40"/>
              <w:jc w:val="right"/>
              <w:rPr>
                <w:bCs/>
                <w:sz w:val="18"/>
                <w:szCs w:val="18"/>
              </w:rPr>
            </w:pPr>
            <w:r w:rsidRPr="00872D7E">
              <w:rPr>
                <w:color w:val="000000"/>
                <w:sz w:val="18"/>
                <w:szCs w:val="18"/>
              </w:rPr>
              <w:t>-</w:t>
            </w:r>
          </w:p>
        </w:tc>
        <w:tc>
          <w:tcPr>
            <w:tcW w:w="880" w:type="dxa"/>
            <w:shd w:val="clear" w:color="auto" w:fill="auto"/>
            <w:vAlign w:val="center"/>
          </w:tcPr>
          <w:p w14:paraId="2E6FA765" w14:textId="421CCF83" w:rsidR="00785765" w:rsidRPr="00872D7E" w:rsidRDefault="00785765" w:rsidP="00785765">
            <w:pPr>
              <w:ind w:right="40"/>
              <w:jc w:val="right"/>
              <w:rPr>
                <w:bCs/>
                <w:sz w:val="18"/>
                <w:szCs w:val="18"/>
              </w:rPr>
            </w:pPr>
            <w:r w:rsidRPr="00872D7E">
              <w:rPr>
                <w:color w:val="000000"/>
                <w:sz w:val="18"/>
                <w:szCs w:val="18"/>
              </w:rPr>
              <w:t>-</w:t>
            </w:r>
          </w:p>
        </w:tc>
      </w:tr>
      <w:tr w:rsidR="00785765" w:rsidRPr="00872D7E" w14:paraId="6A392C67" w14:textId="77777777" w:rsidTr="00683052">
        <w:trPr>
          <w:trHeight w:val="106"/>
        </w:trPr>
        <w:tc>
          <w:tcPr>
            <w:tcW w:w="5795" w:type="dxa"/>
            <w:tcBorders>
              <w:bottom w:val="single" w:sz="4" w:space="0" w:color="auto"/>
            </w:tcBorders>
            <w:shd w:val="clear" w:color="auto" w:fill="auto"/>
            <w:vAlign w:val="center"/>
          </w:tcPr>
          <w:p w14:paraId="193B777C" w14:textId="77777777" w:rsidR="00785765" w:rsidRPr="00872D7E" w:rsidRDefault="00785765" w:rsidP="00785765">
            <w:pPr>
              <w:rPr>
                <w:b/>
                <w:iCs/>
                <w:snapToGrid w:val="0"/>
                <w:sz w:val="18"/>
                <w:szCs w:val="18"/>
              </w:rPr>
            </w:pPr>
            <w:r w:rsidRPr="00872D7E">
              <w:rPr>
                <w:b/>
                <w:iCs/>
                <w:snapToGrid w:val="0"/>
                <w:sz w:val="18"/>
                <w:szCs w:val="18"/>
              </w:rPr>
              <w:t>Diğer</w:t>
            </w:r>
          </w:p>
        </w:tc>
        <w:tc>
          <w:tcPr>
            <w:tcW w:w="931" w:type="dxa"/>
            <w:tcBorders>
              <w:bottom w:val="single" w:sz="4" w:space="0" w:color="auto"/>
            </w:tcBorders>
            <w:shd w:val="clear" w:color="auto" w:fill="auto"/>
            <w:vAlign w:val="center"/>
          </w:tcPr>
          <w:p w14:paraId="19639715" w14:textId="6651A0B7" w:rsidR="00785765" w:rsidRPr="00872D7E" w:rsidRDefault="00785765" w:rsidP="00785765">
            <w:pPr>
              <w:ind w:right="40"/>
              <w:jc w:val="right"/>
              <w:rPr>
                <w:b/>
                <w:bCs/>
                <w:sz w:val="18"/>
                <w:szCs w:val="18"/>
              </w:rPr>
            </w:pPr>
            <w:r w:rsidRPr="00872D7E">
              <w:rPr>
                <w:color w:val="000000"/>
                <w:sz w:val="18"/>
                <w:szCs w:val="18"/>
              </w:rPr>
              <w:t>-</w:t>
            </w:r>
          </w:p>
        </w:tc>
        <w:tc>
          <w:tcPr>
            <w:tcW w:w="932" w:type="dxa"/>
            <w:tcBorders>
              <w:bottom w:val="single" w:sz="4" w:space="0" w:color="auto"/>
            </w:tcBorders>
            <w:shd w:val="clear" w:color="auto" w:fill="auto"/>
            <w:vAlign w:val="center"/>
          </w:tcPr>
          <w:p w14:paraId="1CA7BB9A" w14:textId="648F7B4C" w:rsidR="00785765" w:rsidRPr="00872D7E" w:rsidRDefault="00785765" w:rsidP="00785765">
            <w:pPr>
              <w:ind w:right="40"/>
              <w:jc w:val="right"/>
              <w:rPr>
                <w:b/>
                <w:bCs/>
                <w:sz w:val="18"/>
                <w:szCs w:val="18"/>
              </w:rPr>
            </w:pPr>
            <w:r w:rsidRPr="00872D7E">
              <w:rPr>
                <w:color w:val="000000"/>
                <w:sz w:val="18"/>
                <w:szCs w:val="18"/>
              </w:rPr>
              <w:t>-</w:t>
            </w:r>
          </w:p>
        </w:tc>
        <w:tc>
          <w:tcPr>
            <w:tcW w:w="932" w:type="dxa"/>
            <w:tcBorders>
              <w:bottom w:val="single" w:sz="4" w:space="0" w:color="auto"/>
            </w:tcBorders>
            <w:shd w:val="clear" w:color="auto" w:fill="auto"/>
            <w:vAlign w:val="center"/>
          </w:tcPr>
          <w:p w14:paraId="69D4B48C" w14:textId="6F7A053F" w:rsidR="00785765" w:rsidRPr="00872D7E" w:rsidRDefault="00785765" w:rsidP="00785765">
            <w:pPr>
              <w:ind w:right="40"/>
              <w:jc w:val="right"/>
              <w:rPr>
                <w:b/>
                <w:bCs/>
                <w:sz w:val="18"/>
                <w:szCs w:val="18"/>
              </w:rPr>
            </w:pPr>
            <w:r w:rsidRPr="00872D7E">
              <w:rPr>
                <w:color w:val="000000"/>
                <w:sz w:val="18"/>
                <w:szCs w:val="18"/>
              </w:rPr>
              <w:t>-</w:t>
            </w:r>
          </w:p>
        </w:tc>
        <w:tc>
          <w:tcPr>
            <w:tcW w:w="880" w:type="dxa"/>
            <w:tcBorders>
              <w:bottom w:val="single" w:sz="4" w:space="0" w:color="auto"/>
            </w:tcBorders>
            <w:shd w:val="clear" w:color="auto" w:fill="auto"/>
            <w:vAlign w:val="center"/>
          </w:tcPr>
          <w:p w14:paraId="201F4224" w14:textId="37283EA5" w:rsidR="00785765" w:rsidRPr="00872D7E" w:rsidRDefault="00785765" w:rsidP="00785765">
            <w:pPr>
              <w:ind w:right="40"/>
              <w:jc w:val="right"/>
              <w:rPr>
                <w:b/>
                <w:bCs/>
                <w:sz w:val="18"/>
                <w:szCs w:val="18"/>
              </w:rPr>
            </w:pPr>
            <w:r w:rsidRPr="00872D7E">
              <w:rPr>
                <w:color w:val="000000"/>
                <w:sz w:val="18"/>
                <w:szCs w:val="18"/>
              </w:rPr>
              <w:t>-</w:t>
            </w:r>
          </w:p>
        </w:tc>
      </w:tr>
      <w:tr w:rsidR="00785765" w:rsidRPr="00872D7E" w14:paraId="15362D67" w14:textId="77777777" w:rsidTr="00683052">
        <w:trPr>
          <w:trHeight w:val="20"/>
        </w:trPr>
        <w:tc>
          <w:tcPr>
            <w:tcW w:w="5795" w:type="dxa"/>
            <w:tcBorders>
              <w:top w:val="single" w:sz="4" w:space="0" w:color="auto"/>
            </w:tcBorders>
            <w:shd w:val="clear" w:color="auto" w:fill="auto"/>
            <w:vAlign w:val="center"/>
          </w:tcPr>
          <w:p w14:paraId="2E6956A4" w14:textId="77777777" w:rsidR="00785765" w:rsidRPr="00872D7E" w:rsidRDefault="00785765" w:rsidP="00785765">
            <w:pPr>
              <w:rPr>
                <w:iCs/>
                <w:snapToGrid w:val="0"/>
                <w:sz w:val="18"/>
                <w:szCs w:val="18"/>
              </w:rPr>
            </w:pPr>
          </w:p>
        </w:tc>
        <w:tc>
          <w:tcPr>
            <w:tcW w:w="931" w:type="dxa"/>
            <w:tcBorders>
              <w:top w:val="single" w:sz="4" w:space="0" w:color="auto"/>
            </w:tcBorders>
            <w:shd w:val="clear" w:color="auto" w:fill="auto"/>
            <w:vAlign w:val="center"/>
          </w:tcPr>
          <w:p w14:paraId="1A2DA8A6" w14:textId="1DF8040E" w:rsidR="00785765" w:rsidRPr="00872D7E" w:rsidRDefault="00785765" w:rsidP="00785765">
            <w:pPr>
              <w:ind w:right="40"/>
              <w:jc w:val="right"/>
              <w:rPr>
                <w:bCs/>
                <w:sz w:val="18"/>
                <w:szCs w:val="18"/>
              </w:rPr>
            </w:pPr>
            <w:r w:rsidRPr="00872D7E">
              <w:rPr>
                <w:color w:val="000000"/>
                <w:sz w:val="18"/>
                <w:szCs w:val="18"/>
              </w:rPr>
              <w:t> </w:t>
            </w:r>
          </w:p>
        </w:tc>
        <w:tc>
          <w:tcPr>
            <w:tcW w:w="932" w:type="dxa"/>
            <w:tcBorders>
              <w:top w:val="single" w:sz="4" w:space="0" w:color="auto"/>
            </w:tcBorders>
            <w:shd w:val="clear" w:color="auto" w:fill="auto"/>
            <w:vAlign w:val="center"/>
          </w:tcPr>
          <w:p w14:paraId="64AB9E53" w14:textId="4EC044D5" w:rsidR="00785765" w:rsidRPr="00872D7E" w:rsidRDefault="00785765" w:rsidP="00785765">
            <w:pPr>
              <w:ind w:right="40"/>
              <w:jc w:val="right"/>
              <w:rPr>
                <w:bCs/>
                <w:sz w:val="18"/>
                <w:szCs w:val="18"/>
              </w:rPr>
            </w:pPr>
            <w:r w:rsidRPr="00872D7E">
              <w:rPr>
                <w:color w:val="000000"/>
                <w:sz w:val="18"/>
                <w:szCs w:val="18"/>
              </w:rPr>
              <w:t> </w:t>
            </w:r>
          </w:p>
        </w:tc>
        <w:tc>
          <w:tcPr>
            <w:tcW w:w="932" w:type="dxa"/>
            <w:tcBorders>
              <w:top w:val="single" w:sz="4" w:space="0" w:color="auto"/>
            </w:tcBorders>
            <w:shd w:val="clear" w:color="auto" w:fill="auto"/>
            <w:vAlign w:val="center"/>
          </w:tcPr>
          <w:p w14:paraId="26E5D4EF" w14:textId="411D7E9D" w:rsidR="00785765" w:rsidRPr="00872D7E" w:rsidRDefault="00785765" w:rsidP="00785765">
            <w:pPr>
              <w:ind w:right="40"/>
              <w:jc w:val="right"/>
              <w:rPr>
                <w:bCs/>
                <w:sz w:val="18"/>
                <w:szCs w:val="18"/>
              </w:rPr>
            </w:pPr>
            <w:r w:rsidRPr="00872D7E">
              <w:rPr>
                <w:color w:val="000000"/>
                <w:sz w:val="18"/>
                <w:szCs w:val="18"/>
              </w:rPr>
              <w:t> </w:t>
            </w:r>
          </w:p>
        </w:tc>
        <w:tc>
          <w:tcPr>
            <w:tcW w:w="880" w:type="dxa"/>
            <w:tcBorders>
              <w:top w:val="single" w:sz="4" w:space="0" w:color="auto"/>
            </w:tcBorders>
            <w:shd w:val="clear" w:color="auto" w:fill="auto"/>
            <w:vAlign w:val="center"/>
          </w:tcPr>
          <w:p w14:paraId="5A269530" w14:textId="238F21B5" w:rsidR="00785765" w:rsidRPr="00872D7E" w:rsidRDefault="00785765" w:rsidP="00785765">
            <w:pPr>
              <w:ind w:right="40"/>
              <w:jc w:val="right"/>
              <w:rPr>
                <w:bCs/>
                <w:sz w:val="18"/>
                <w:szCs w:val="18"/>
              </w:rPr>
            </w:pPr>
            <w:r w:rsidRPr="00872D7E">
              <w:rPr>
                <w:color w:val="000000"/>
                <w:sz w:val="18"/>
                <w:szCs w:val="18"/>
              </w:rPr>
              <w:t> </w:t>
            </w:r>
          </w:p>
        </w:tc>
      </w:tr>
      <w:tr w:rsidR="00785765" w:rsidRPr="00872D7E" w14:paraId="0D314D93" w14:textId="77777777" w:rsidTr="00683052">
        <w:trPr>
          <w:trHeight w:val="20"/>
        </w:trPr>
        <w:tc>
          <w:tcPr>
            <w:tcW w:w="5795" w:type="dxa"/>
            <w:tcBorders>
              <w:bottom w:val="single" w:sz="12" w:space="0" w:color="auto"/>
            </w:tcBorders>
            <w:shd w:val="clear" w:color="auto" w:fill="auto"/>
            <w:vAlign w:val="bottom"/>
          </w:tcPr>
          <w:p w14:paraId="5A788F86" w14:textId="77777777" w:rsidR="00785765" w:rsidRPr="00872D7E" w:rsidRDefault="00785765" w:rsidP="00785765">
            <w:pPr>
              <w:rPr>
                <w:b/>
                <w:iCs/>
                <w:snapToGrid w:val="0"/>
                <w:sz w:val="18"/>
                <w:szCs w:val="18"/>
              </w:rPr>
            </w:pPr>
            <w:r w:rsidRPr="00872D7E">
              <w:rPr>
                <w:b/>
                <w:iCs/>
                <w:snapToGrid w:val="0"/>
                <w:sz w:val="18"/>
                <w:szCs w:val="18"/>
              </w:rPr>
              <w:t>Toplam</w:t>
            </w:r>
          </w:p>
        </w:tc>
        <w:tc>
          <w:tcPr>
            <w:tcW w:w="931" w:type="dxa"/>
            <w:tcBorders>
              <w:bottom w:val="single" w:sz="12" w:space="0" w:color="auto"/>
            </w:tcBorders>
            <w:shd w:val="clear" w:color="auto" w:fill="auto"/>
            <w:vAlign w:val="center"/>
          </w:tcPr>
          <w:p w14:paraId="5E26EFFA" w14:textId="450CD9F8" w:rsidR="00785765" w:rsidRPr="00872D7E" w:rsidRDefault="00785765" w:rsidP="00785765">
            <w:pPr>
              <w:ind w:right="40"/>
              <w:jc w:val="right"/>
              <w:rPr>
                <w:b/>
                <w:bCs/>
                <w:sz w:val="18"/>
                <w:szCs w:val="18"/>
              </w:rPr>
            </w:pPr>
            <w:r w:rsidRPr="00872D7E">
              <w:rPr>
                <w:color w:val="000000"/>
                <w:sz w:val="18"/>
                <w:szCs w:val="18"/>
              </w:rPr>
              <w:t>109</w:t>
            </w:r>
          </w:p>
        </w:tc>
        <w:tc>
          <w:tcPr>
            <w:tcW w:w="932" w:type="dxa"/>
            <w:tcBorders>
              <w:bottom w:val="single" w:sz="12" w:space="0" w:color="auto"/>
            </w:tcBorders>
            <w:shd w:val="clear" w:color="auto" w:fill="auto"/>
            <w:vAlign w:val="center"/>
          </w:tcPr>
          <w:p w14:paraId="16D14408" w14:textId="5775D407" w:rsidR="00785765" w:rsidRPr="00872D7E" w:rsidRDefault="00785765" w:rsidP="00785765">
            <w:pPr>
              <w:ind w:right="40"/>
              <w:jc w:val="right"/>
              <w:rPr>
                <w:b/>
                <w:bCs/>
                <w:sz w:val="18"/>
                <w:szCs w:val="18"/>
              </w:rPr>
            </w:pPr>
            <w:r w:rsidRPr="00872D7E">
              <w:rPr>
                <w:color w:val="000000"/>
                <w:sz w:val="18"/>
                <w:szCs w:val="18"/>
              </w:rPr>
              <w:t>100,00</w:t>
            </w:r>
          </w:p>
        </w:tc>
        <w:tc>
          <w:tcPr>
            <w:tcW w:w="932" w:type="dxa"/>
            <w:tcBorders>
              <w:bottom w:val="single" w:sz="12" w:space="0" w:color="auto"/>
            </w:tcBorders>
            <w:shd w:val="clear" w:color="auto" w:fill="auto"/>
            <w:vAlign w:val="center"/>
          </w:tcPr>
          <w:p w14:paraId="752BA432" w14:textId="05665FFD" w:rsidR="00785765" w:rsidRPr="00872D7E" w:rsidRDefault="00785765" w:rsidP="00785765">
            <w:pPr>
              <w:ind w:right="40"/>
              <w:jc w:val="right"/>
              <w:rPr>
                <w:b/>
                <w:bCs/>
                <w:sz w:val="18"/>
                <w:szCs w:val="18"/>
              </w:rPr>
            </w:pPr>
            <w:r w:rsidRPr="00872D7E">
              <w:rPr>
                <w:color w:val="000000"/>
                <w:sz w:val="18"/>
                <w:szCs w:val="18"/>
              </w:rPr>
              <w:t>5.338</w:t>
            </w:r>
          </w:p>
        </w:tc>
        <w:tc>
          <w:tcPr>
            <w:tcW w:w="880" w:type="dxa"/>
            <w:tcBorders>
              <w:bottom w:val="single" w:sz="12" w:space="0" w:color="auto"/>
            </w:tcBorders>
            <w:shd w:val="clear" w:color="auto" w:fill="auto"/>
            <w:vAlign w:val="center"/>
          </w:tcPr>
          <w:p w14:paraId="26470255" w14:textId="5F4AE915" w:rsidR="00785765" w:rsidRPr="00872D7E" w:rsidRDefault="00785765" w:rsidP="00785765">
            <w:pPr>
              <w:ind w:right="40"/>
              <w:jc w:val="right"/>
              <w:rPr>
                <w:b/>
                <w:bCs/>
                <w:sz w:val="18"/>
                <w:szCs w:val="18"/>
              </w:rPr>
            </w:pPr>
            <w:r w:rsidRPr="00872D7E">
              <w:rPr>
                <w:color w:val="000000"/>
                <w:sz w:val="18"/>
                <w:szCs w:val="18"/>
              </w:rPr>
              <w:t>100,00</w:t>
            </w:r>
          </w:p>
        </w:tc>
      </w:tr>
    </w:tbl>
    <w:p w14:paraId="56AE1BF9" w14:textId="77777777" w:rsidR="00CD770B" w:rsidRPr="00872D7E" w:rsidRDefault="00CD770B" w:rsidP="00934795"/>
    <w:p w14:paraId="68CFD1DE" w14:textId="1FA81CB1" w:rsidR="00106785" w:rsidRPr="00872D7E" w:rsidRDefault="00D312E3" w:rsidP="00E63027">
      <w:pPr>
        <w:widowControl w:val="0"/>
        <w:spacing w:after="120"/>
        <w:ind w:left="1276" w:right="206" w:hanging="425"/>
        <w:jc w:val="both"/>
        <w:rPr>
          <w:b/>
          <w:iCs/>
          <w:szCs w:val="20"/>
        </w:rPr>
      </w:pPr>
      <w:r w:rsidRPr="00872D7E">
        <w:rPr>
          <w:b/>
          <w:iCs/>
          <w:szCs w:val="20"/>
        </w:rPr>
        <w:t>c.3.</w:t>
      </w:r>
      <w:r w:rsidRPr="00872D7E">
        <w:rPr>
          <w:b/>
          <w:iCs/>
          <w:szCs w:val="20"/>
        </w:rPr>
        <w:tab/>
      </w:r>
      <w:r w:rsidRPr="00872D7E">
        <w:rPr>
          <w:b/>
          <w:bCs/>
          <w:iCs/>
          <w:szCs w:val="20"/>
        </w:rPr>
        <w:t xml:space="preserve">I ve </w:t>
      </w:r>
      <w:proofErr w:type="spellStart"/>
      <w:r w:rsidRPr="00872D7E">
        <w:rPr>
          <w:b/>
          <w:bCs/>
          <w:iCs/>
          <w:szCs w:val="20"/>
        </w:rPr>
        <w:t>II’nci</w:t>
      </w:r>
      <w:proofErr w:type="spellEnd"/>
      <w:r w:rsidRPr="00872D7E">
        <w:rPr>
          <w:b/>
          <w:bCs/>
          <w:iCs/>
          <w:szCs w:val="20"/>
        </w:rPr>
        <w:t xml:space="preserve"> grupta sınıflandırılan </w:t>
      </w:r>
      <w:proofErr w:type="spellStart"/>
      <w:r w:rsidRPr="00872D7E">
        <w:rPr>
          <w:b/>
          <w:bCs/>
          <w:iCs/>
          <w:szCs w:val="20"/>
        </w:rPr>
        <w:t>gayrinakdi</w:t>
      </w:r>
      <w:proofErr w:type="spellEnd"/>
      <w:r w:rsidRPr="00872D7E">
        <w:rPr>
          <w:b/>
          <w:bCs/>
          <w:iCs/>
          <w:szCs w:val="20"/>
        </w:rPr>
        <w:t xml:space="preserve"> kredilere ilişkin bilgiler</w:t>
      </w: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827BED" w:rsidRPr="00872D7E" w14:paraId="643D37A1" w14:textId="77777777" w:rsidTr="00A97FD4">
        <w:trPr>
          <w:cantSplit/>
          <w:trHeight w:val="57"/>
        </w:trPr>
        <w:tc>
          <w:tcPr>
            <w:tcW w:w="3574" w:type="dxa"/>
            <w:vMerge w:val="restart"/>
            <w:tcBorders>
              <w:top w:val="single" w:sz="4" w:space="0" w:color="auto"/>
            </w:tcBorders>
            <w:vAlign w:val="center"/>
          </w:tcPr>
          <w:p w14:paraId="2D87D469" w14:textId="585612CF" w:rsidR="00827BED" w:rsidRPr="00872D7E" w:rsidRDefault="00827BED" w:rsidP="00414B4B">
            <w:pPr>
              <w:rPr>
                <w:b/>
                <w:sz w:val="18"/>
                <w:szCs w:val="18"/>
              </w:rPr>
            </w:pPr>
            <w:r w:rsidRPr="00872D7E">
              <w:rPr>
                <w:b/>
                <w:bCs/>
                <w:sz w:val="18"/>
                <w:szCs w:val="18"/>
              </w:rPr>
              <w:t>31 Aralık 2024</w:t>
            </w:r>
          </w:p>
        </w:tc>
        <w:tc>
          <w:tcPr>
            <w:tcW w:w="2664" w:type="dxa"/>
            <w:gridSpan w:val="2"/>
            <w:tcBorders>
              <w:top w:val="single" w:sz="4" w:space="0" w:color="auto"/>
              <w:bottom w:val="single" w:sz="4" w:space="0" w:color="auto"/>
            </w:tcBorders>
            <w:vAlign w:val="center"/>
          </w:tcPr>
          <w:p w14:paraId="4EEC8C59" w14:textId="77777777" w:rsidR="00827BED" w:rsidRPr="00872D7E" w:rsidRDefault="00827BED" w:rsidP="00414B4B">
            <w:pPr>
              <w:ind w:right="158"/>
              <w:jc w:val="center"/>
              <w:rPr>
                <w:rFonts w:eastAsia="Arial Unicode MS"/>
                <w:b/>
                <w:sz w:val="18"/>
                <w:szCs w:val="18"/>
              </w:rPr>
            </w:pPr>
            <w:r w:rsidRPr="00872D7E">
              <w:rPr>
                <w:b/>
                <w:iCs/>
                <w:sz w:val="18"/>
                <w:szCs w:val="18"/>
              </w:rPr>
              <w:t>I inci Grup</w:t>
            </w:r>
          </w:p>
        </w:tc>
        <w:tc>
          <w:tcPr>
            <w:tcW w:w="3155" w:type="dxa"/>
            <w:gridSpan w:val="2"/>
            <w:tcBorders>
              <w:top w:val="single" w:sz="4" w:space="0" w:color="auto"/>
              <w:bottom w:val="single" w:sz="4" w:space="0" w:color="auto"/>
            </w:tcBorders>
            <w:vAlign w:val="center"/>
          </w:tcPr>
          <w:p w14:paraId="63D101C1" w14:textId="77777777" w:rsidR="00827BED" w:rsidRPr="00872D7E" w:rsidRDefault="00827BED" w:rsidP="00414B4B">
            <w:pPr>
              <w:ind w:right="158"/>
              <w:jc w:val="center"/>
              <w:rPr>
                <w:rFonts w:eastAsia="Arial Unicode MS"/>
                <w:b/>
                <w:sz w:val="18"/>
                <w:szCs w:val="18"/>
              </w:rPr>
            </w:pPr>
            <w:r w:rsidRPr="00872D7E">
              <w:rPr>
                <w:b/>
                <w:iCs/>
                <w:sz w:val="18"/>
                <w:szCs w:val="18"/>
              </w:rPr>
              <w:t>II nci Grup</w:t>
            </w:r>
          </w:p>
        </w:tc>
      </w:tr>
      <w:tr w:rsidR="00827BED" w:rsidRPr="00872D7E" w14:paraId="6D54DCDA" w14:textId="77777777" w:rsidTr="00A97FD4">
        <w:trPr>
          <w:cantSplit/>
          <w:trHeight w:val="57"/>
        </w:trPr>
        <w:tc>
          <w:tcPr>
            <w:tcW w:w="3574" w:type="dxa"/>
            <w:vMerge/>
            <w:tcBorders>
              <w:bottom w:val="single" w:sz="4" w:space="0" w:color="auto"/>
            </w:tcBorders>
            <w:vAlign w:val="center"/>
          </w:tcPr>
          <w:p w14:paraId="1B8C189F" w14:textId="77777777" w:rsidR="00827BED" w:rsidRPr="00872D7E" w:rsidRDefault="00827BED" w:rsidP="00414B4B">
            <w:pPr>
              <w:jc w:val="center"/>
              <w:rPr>
                <w:b/>
                <w:sz w:val="18"/>
                <w:szCs w:val="18"/>
              </w:rPr>
            </w:pPr>
          </w:p>
        </w:tc>
        <w:tc>
          <w:tcPr>
            <w:tcW w:w="1226" w:type="dxa"/>
            <w:tcBorders>
              <w:top w:val="single" w:sz="4" w:space="0" w:color="auto"/>
              <w:bottom w:val="single" w:sz="4" w:space="0" w:color="auto"/>
            </w:tcBorders>
            <w:vAlign w:val="center"/>
          </w:tcPr>
          <w:p w14:paraId="68994C46" w14:textId="77777777" w:rsidR="00827BED" w:rsidRPr="00872D7E" w:rsidRDefault="00827BED" w:rsidP="00414B4B">
            <w:pPr>
              <w:ind w:right="131"/>
              <w:jc w:val="right"/>
              <w:rPr>
                <w:rFonts w:eastAsia="Arial Unicode MS"/>
                <w:b/>
                <w:sz w:val="18"/>
                <w:szCs w:val="18"/>
              </w:rPr>
            </w:pPr>
            <w:r w:rsidRPr="00872D7E">
              <w:rPr>
                <w:rFonts w:eastAsia="Arial Unicode MS"/>
                <w:b/>
                <w:sz w:val="18"/>
                <w:szCs w:val="18"/>
              </w:rPr>
              <w:t>TP</w:t>
            </w:r>
          </w:p>
        </w:tc>
        <w:tc>
          <w:tcPr>
            <w:tcW w:w="1438" w:type="dxa"/>
            <w:tcBorders>
              <w:top w:val="single" w:sz="4" w:space="0" w:color="auto"/>
              <w:bottom w:val="single" w:sz="4" w:space="0" w:color="auto"/>
            </w:tcBorders>
            <w:vAlign w:val="center"/>
          </w:tcPr>
          <w:p w14:paraId="5C100254" w14:textId="77777777" w:rsidR="00827BED" w:rsidRPr="00872D7E" w:rsidRDefault="00827BED" w:rsidP="00414B4B">
            <w:pPr>
              <w:ind w:right="131"/>
              <w:jc w:val="right"/>
              <w:rPr>
                <w:rFonts w:eastAsia="Arial Unicode MS"/>
                <w:b/>
                <w:sz w:val="18"/>
                <w:szCs w:val="18"/>
              </w:rPr>
            </w:pPr>
            <w:r w:rsidRPr="00872D7E">
              <w:rPr>
                <w:rFonts w:eastAsia="Arial Unicode MS"/>
                <w:b/>
                <w:sz w:val="18"/>
                <w:szCs w:val="18"/>
              </w:rPr>
              <w:t>YP</w:t>
            </w:r>
          </w:p>
        </w:tc>
        <w:tc>
          <w:tcPr>
            <w:tcW w:w="1545" w:type="dxa"/>
            <w:tcBorders>
              <w:top w:val="single" w:sz="4" w:space="0" w:color="auto"/>
              <w:bottom w:val="single" w:sz="4" w:space="0" w:color="auto"/>
            </w:tcBorders>
            <w:vAlign w:val="center"/>
          </w:tcPr>
          <w:p w14:paraId="6D3635BE" w14:textId="77777777" w:rsidR="00827BED" w:rsidRPr="00872D7E" w:rsidRDefault="00827BED" w:rsidP="00414B4B">
            <w:pPr>
              <w:ind w:right="131"/>
              <w:jc w:val="right"/>
              <w:rPr>
                <w:rFonts w:eastAsia="Arial Unicode MS"/>
                <w:b/>
                <w:sz w:val="18"/>
                <w:szCs w:val="18"/>
              </w:rPr>
            </w:pPr>
            <w:r w:rsidRPr="00872D7E">
              <w:rPr>
                <w:rFonts w:eastAsia="Arial Unicode MS"/>
                <w:b/>
                <w:sz w:val="18"/>
                <w:szCs w:val="18"/>
              </w:rPr>
              <w:t>TP</w:t>
            </w:r>
          </w:p>
        </w:tc>
        <w:tc>
          <w:tcPr>
            <w:tcW w:w="1610" w:type="dxa"/>
            <w:tcBorders>
              <w:top w:val="single" w:sz="4" w:space="0" w:color="auto"/>
              <w:bottom w:val="single" w:sz="4" w:space="0" w:color="auto"/>
            </w:tcBorders>
            <w:vAlign w:val="center"/>
          </w:tcPr>
          <w:p w14:paraId="53B8A312" w14:textId="77777777" w:rsidR="00827BED" w:rsidRPr="00872D7E" w:rsidRDefault="00827BED" w:rsidP="00414B4B">
            <w:pPr>
              <w:ind w:right="131"/>
              <w:jc w:val="right"/>
              <w:rPr>
                <w:rFonts w:eastAsia="Arial Unicode MS"/>
                <w:b/>
                <w:sz w:val="18"/>
                <w:szCs w:val="18"/>
              </w:rPr>
            </w:pPr>
            <w:r w:rsidRPr="00872D7E">
              <w:rPr>
                <w:rFonts w:eastAsia="Arial Unicode MS"/>
                <w:b/>
                <w:sz w:val="18"/>
                <w:szCs w:val="18"/>
              </w:rPr>
              <w:t>YP</w:t>
            </w:r>
          </w:p>
        </w:tc>
      </w:tr>
      <w:tr w:rsidR="00414B4B" w:rsidRPr="00872D7E" w14:paraId="0D5B202E" w14:textId="77777777" w:rsidTr="00F0060E">
        <w:trPr>
          <w:cantSplit/>
          <w:trHeight w:val="57"/>
        </w:trPr>
        <w:tc>
          <w:tcPr>
            <w:tcW w:w="3574" w:type="dxa"/>
            <w:tcBorders>
              <w:top w:val="single" w:sz="4" w:space="0" w:color="auto"/>
              <w:bottom w:val="single" w:sz="4" w:space="0" w:color="auto"/>
            </w:tcBorders>
            <w:vAlign w:val="center"/>
          </w:tcPr>
          <w:p w14:paraId="6BA985F0" w14:textId="77777777" w:rsidR="00414B4B" w:rsidRPr="00872D7E" w:rsidRDefault="00414B4B" w:rsidP="00414B4B">
            <w:pPr>
              <w:rPr>
                <w:b/>
                <w:sz w:val="18"/>
                <w:szCs w:val="18"/>
              </w:rPr>
            </w:pPr>
            <w:proofErr w:type="spellStart"/>
            <w:r w:rsidRPr="00872D7E">
              <w:rPr>
                <w:b/>
                <w:sz w:val="18"/>
                <w:szCs w:val="18"/>
              </w:rPr>
              <w:t>Gayrinakdi</w:t>
            </w:r>
            <w:proofErr w:type="spellEnd"/>
            <w:r w:rsidRPr="00872D7E">
              <w:rPr>
                <w:b/>
                <w:sz w:val="18"/>
                <w:szCs w:val="18"/>
              </w:rPr>
              <w:t xml:space="preserve"> krediler</w:t>
            </w:r>
          </w:p>
        </w:tc>
        <w:tc>
          <w:tcPr>
            <w:tcW w:w="1226" w:type="dxa"/>
            <w:tcBorders>
              <w:top w:val="single" w:sz="4" w:space="0" w:color="auto"/>
              <w:left w:val="nil"/>
              <w:bottom w:val="single" w:sz="4" w:space="0" w:color="auto"/>
              <w:right w:val="nil"/>
            </w:tcBorders>
            <w:shd w:val="clear" w:color="auto" w:fill="auto"/>
          </w:tcPr>
          <w:p w14:paraId="61843402" w14:textId="7D6AE34D" w:rsidR="00414B4B" w:rsidRPr="00872D7E" w:rsidRDefault="00414B4B" w:rsidP="00414B4B">
            <w:pPr>
              <w:ind w:right="91" w:firstLineChars="100" w:firstLine="181"/>
              <w:jc w:val="right"/>
              <w:rPr>
                <w:b/>
                <w:bCs/>
                <w:color w:val="000000"/>
                <w:sz w:val="18"/>
                <w:szCs w:val="18"/>
              </w:rPr>
            </w:pPr>
            <w:r w:rsidRPr="00872D7E">
              <w:rPr>
                <w:b/>
                <w:bCs/>
                <w:sz w:val="18"/>
                <w:szCs w:val="18"/>
              </w:rPr>
              <w:t>5.279.730</w:t>
            </w:r>
          </w:p>
        </w:tc>
        <w:tc>
          <w:tcPr>
            <w:tcW w:w="1438" w:type="dxa"/>
            <w:tcBorders>
              <w:top w:val="single" w:sz="4" w:space="0" w:color="auto"/>
              <w:left w:val="nil"/>
              <w:bottom w:val="single" w:sz="4" w:space="0" w:color="auto"/>
              <w:right w:val="nil"/>
            </w:tcBorders>
            <w:shd w:val="clear" w:color="auto" w:fill="auto"/>
          </w:tcPr>
          <w:p w14:paraId="27CC1941" w14:textId="5633B625" w:rsidR="00414B4B" w:rsidRPr="00872D7E" w:rsidRDefault="00414B4B" w:rsidP="00414B4B">
            <w:pPr>
              <w:ind w:right="91" w:firstLineChars="100" w:firstLine="181"/>
              <w:jc w:val="right"/>
              <w:rPr>
                <w:b/>
                <w:bCs/>
                <w:color w:val="000000"/>
                <w:sz w:val="18"/>
                <w:szCs w:val="18"/>
              </w:rPr>
            </w:pPr>
            <w:r w:rsidRPr="00872D7E">
              <w:rPr>
                <w:b/>
                <w:bCs/>
                <w:sz w:val="18"/>
                <w:szCs w:val="18"/>
              </w:rPr>
              <w:t>2.055.984</w:t>
            </w:r>
          </w:p>
        </w:tc>
        <w:tc>
          <w:tcPr>
            <w:tcW w:w="1545" w:type="dxa"/>
            <w:tcBorders>
              <w:top w:val="single" w:sz="4" w:space="0" w:color="auto"/>
              <w:left w:val="nil"/>
              <w:bottom w:val="single" w:sz="4" w:space="0" w:color="auto"/>
              <w:right w:val="nil"/>
            </w:tcBorders>
            <w:shd w:val="clear" w:color="auto" w:fill="auto"/>
          </w:tcPr>
          <w:p w14:paraId="5BF19500" w14:textId="55B2E52D" w:rsidR="00414B4B" w:rsidRPr="00872D7E" w:rsidRDefault="00414B4B" w:rsidP="00414B4B">
            <w:pPr>
              <w:ind w:right="91" w:firstLineChars="100" w:firstLine="181"/>
              <w:jc w:val="right"/>
              <w:rPr>
                <w:b/>
                <w:bCs/>
                <w:color w:val="000000"/>
                <w:sz w:val="18"/>
                <w:szCs w:val="18"/>
              </w:rPr>
            </w:pPr>
            <w:r w:rsidRPr="00872D7E">
              <w:rPr>
                <w:b/>
                <w:bCs/>
                <w:sz w:val="18"/>
                <w:szCs w:val="18"/>
              </w:rPr>
              <w:t>-</w:t>
            </w:r>
          </w:p>
        </w:tc>
        <w:tc>
          <w:tcPr>
            <w:tcW w:w="1610" w:type="dxa"/>
            <w:tcBorders>
              <w:top w:val="single" w:sz="4" w:space="0" w:color="auto"/>
              <w:left w:val="nil"/>
              <w:bottom w:val="single" w:sz="4" w:space="0" w:color="auto"/>
              <w:right w:val="nil"/>
            </w:tcBorders>
            <w:shd w:val="clear" w:color="auto" w:fill="auto"/>
          </w:tcPr>
          <w:p w14:paraId="5DEDF84A" w14:textId="11ADA396" w:rsidR="00414B4B" w:rsidRPr="00872D7E" w:rsidRDefault="00414B4B" w:rsidP="00414B4B">
            <w:pPr>
              <w:ind w:right="91" w:firstLineChars="100" w:firstLine="181"/>
              <w:jc w:val="right"/>
              <w:rPr>
                <w:b/>
                <w:bCs/>
                <w:color w:val="000000"/>
                <w:sz w:val="18"/>
                <w:szCs w:val="18"/>
              </w:rPr>
            </w:pPr>
            <w:r w:rsidRPr="00872D7E">
              <w:rPr>
                <w:b/>
                <w:bCs/>
                <w:sz w:val="18"/>
                <w:szCs w:val="18"/>
              </w:rPr>
              <w:t>-</w:t>
            </w:r>
          </w:p>
        </w:tc>
      </w:tr>
      <w:tr w:rsidR="00414B4B" w:rsidRPr="00872D7E" w14:paraId="56282CF4" w14:textId="77777777" w:rsidTr="00F0060E">
        <w:trPr>
          <w:cantSplit/>
          <w:trHeight w:val="57"/>
        </w:trPr>
        <w:tc>
          <w:tcPr>
            <w:tcW w:w="3574" w:type="dxa"/>
            <w:tcBorders>
              <w:top w:val="single" w:sz="4" w:space="0" w:color="auto"/>
            </w:tcBorders>
            <w:vAlign w:val="center"/>
          </w:tcPr>
          <w:p w14:paraId="7BEE2A66" w14:textId="77777777" w:rsidR="00414B4B" w:rsidRPr="00872D7E" w:rsidRDefault="00414B4B" w:rsidP="00414B4B">
            <w:pPr>
              <w:rPr>
                <w:sz w:val="18"/>
                <w:szCs w:val="18"/>
              </w:rPr>
            </w:pPr>
          </w:p>
        </w:tc>
        <w:tc>
          <w:tcPr>
            <w:tcW w:w="1226" w:type="dxa"/>
            <w:tcBorders>
              <w:top w:val="single" w:sz="4" w:space="0" w:color="auto"/>
              <w:left w:val="nil"/>
              <w:bottom w:val="nil"/>
              <w:right w:val="nil"/>
            </w:tcBorders>
            <w:shd w:val="clear" w:color="auto" w:fill="auto"/>
          </w:tcPr>
          <w:p w14:paraId="7ADD72E7" w14:textId="77777777" w:rsidR="00414B4B" w:rsidRPr="00872D7E" w:rsidRDefault="00414B4B" w:rsidP="00414B4B">
            <w:pPr>
              <w:ind w:right="91" w:firstLineChars="100" w:firstLine="180"/>
              <w:jc w:val="right"/>
              <w:rPr>
                <w:color w:val="000000"/>
                <w:sz w:val="18"/>
                <w:szCs w:val="18"/>
              </w:rPr>
            </w:pPr>
          </w:p>
        </w:tc>
        <w:tc>
          <w:tcPr>
            <w:tcW w:w="1438" w:type="dxa"/>
            <w:tcBorders>
              <w:top w:val="single" w:sz="4" w:space="0" w:color="auto"/>
              <w:left w:val="nil"/>
              <w:bottom w:val="nil"/>
              <w:right w:val="nil"/>
            </w:tcBorders>
            <w:shd w:val="clear" w:color="auto" w:fill="auto"/>
          </w:tcPr>
          <w:p w14:paraId="1C8DFED5" w14:textId="77777777" w:rsidR="00414B4B" w:rsidRPr="00872D7E" w:rsidRDefault="00414B4B" w:rsidP="00414B4B">
            <w:pPr>
              <w:ind w:right="91" w:firstLineChars="100" w:firstLine="180"/>
              <w:jc w:val="right"/>
              <w:rPr>
                <w:color w:val="000000"/>
                <w:sz w:val="18"/>
                <w:szCs w:val="18"/>
              </w:rPr>
            </w:pPr>
          </w:p>
        </w:tc>
        <w:tc>
          <w:tcPr>
            <w:tcW w:w="1545" w:type="dxa"/>
            <w:tcBorders>
              <w:top w:val="single" w:sz="4" w:space="0" w:color="auto"/>
              <w:left w:val="nil"/>
              <w:bottom w:val="nil"/>
              <w:right w:val="nil"/>
            </w:tcBorders>
            <w:shd w:val="clear" w:color="auto" w:fill="auto"/>
          </w:tcPr>
          <w:p w14:paraId="0E75EF0C" w14:textId="77777777" w:rsidR="00414B4B" w:rsidRPr="00872D7E" w:rsidRDefault="00414B4B" w:rsidP="00414B4B">
            <w:pPr>
              <w:ind w:right="91" w:firstLineChars="100" w:firstLine="180"/>
              <w:jc w:val="right"/>
              <w:rPr>
                <w:color w:val="000000"/>
                <w:sz w:val="18"/>
                <w:szCs w:val="18"/>
              </w:rPr>
            </w:pPr>
          </w:p>
        </w:tc>
        <w:tc>
          <w:tcPr>
            <w:tcW w:w="1610" w:type="dxa"/>
            <w:tcBorders>
              <w:top w:val="single" w:sz="4" w:space="0" w:color="auto"/>
              <w:left w:val="nil"/>
              <w:bottom w:val="nil"/>
              <w:right w:val="nil"/>
            </w:tcBorders>
            <w:shd w:val="clear" w:color="auto" w:fill="auto"/>
          </w:tcPr>
          <w:p w14:paraId="5D6065A4" w14:textId="77777777" w:rsidR="00414B4B" w:rsidRPr="00872D7E" w:rsidRDefault="00414B4B" w:rsidP="00414B4B">
            <w:pPr>
              <w:ind w:right="91" w:firstLineChars="100" w:firstLine="180"/>
              <w:jc w:val="right"/>
              <w:rPr>
                <w:color w:val="000000"/>
                <w:sz w:val="18"/>
                <w:szCs w:val="18"/>
              </w:rPr>
            </w:pPr>
          </w:p>
        </w:tc>
      </w:tr>
      <w:tr w:rsidR="00414B4B" w:rsidRPr="00872D7E" w14:paraId="6255424F" w14:textId="77777777" w:rsidTr="00F0060E">
        <w:trPr>
          <w:cantSplit/>
          <w:trHeight w:val="57"/>
        </w:trPr>
        <w:tc>
          <w:tcPr>
            <w:tcW w:w="3574" w:type="dxa"/>
            <w:vAlign w:val="center"/>
          </w:tcPr>
          <w:p w14:paraId="5E516774" w14:textId="77777777" w:rsidR="00414B4B" w:rsidRPr="00872D7E" w:rsidRDefault="00414B4B" w:rsidP="00414B4B">
            <w:pPr>
              <w:rPr>
                <w:rFonts w:eastAsia="Arial Unicode MS"/>
                <w:sz w:val="18"/>
                <w:szCs w:val="18"/>
              </w:rPr>
            </w:pPr>
            <w:r w:rsidRPr="00872D7E">
              <w:rPr>
                <w:sz w:val="18"/>
                <w:szCs w:val="18"/>
              </w:rPr>
              <w:t>Teminat mektupları</w:t>
            </w:r>
          </w:p>
        </w:tc>
        <w:tc>
          <w:tcPr>
            <w:tcW w:w="1226" w:type="dxa"/>
            <w:tcBorders>
              <w:top w:val="nil"/>
              <w:left w:val="nil"/>
              <w:bottom w:val="nil"/>
              <w:right w:val="nil"/>
            </w:tcBorders>
            <w:shd w:val="clear" w:color="auto" w:fill="auto"/>
          </w:tcPr>
          <w:p w14:paraId="73FAACAC" w14:textId="60A3A0A2" w:rsidR="00414B4B" w:rsidRPr="00872D7E" w:rsidRDefault="00414B4B" w:rsidP="00414B4B">
            <w:pPr>
              <w:ind w:right="91" w:firstLineChars="100" w:firstLine="180"/>
              <w:jc w:val="right"/>
              <w:rPr>
                <w:color w:val="000000"/>
                <w:sz w:val="18"/>
                <w:szCs w:val="18"/>
              </w:rPr>
            </w:pPr>
            <w:r w:rsidRPr="00872D7E">
              <w:rPr>
                <w:sz w:val="18"/>
                <w:szCs w:val="18"/>
              </w:rPr>
              <w:t>5.279.730</w:t>
            </w:r>
          </w:p>
        </w:tc>
        <w:tc>
          <w:tcPr>
            <w:tcW w:w="1438" w:type="dxa"/>
            <w:tcBorders>
              <w:top w:val="nil"/>
              <w:left w:val="nil"/>
              <w:bottom w:val="nil"/>
              <w:right w:val="nil"/>
            </w:tcBorders>
            <w:shd w:val="clear" w:color="auto" w:fill="auto"/>
          </w:tcPr>
          <w:p w14:paraId="72BF3306" w14:textId="0A669C2C" w:rsidR="00414B4B" w:rsidRPr="00872D7E" w:rsidRDefault="00414B4B" w:rsidP="00414B4B">
            <w:pPr>
              <w:ind w:right="91" w:firstLineChars="100" w:firstLine="180"/>
              <w:jc w:val="right"/>
              <w:rPr>
                <w:color w:val="000000"/>
                <w:sz w:val="18"/>
                <w:szCs w:val="18"/>
              </w:rPr>
            </w:pPr>
            <w:r w:rsidRPr="00872D7E">
              <w:rPr>
                <w:sz w:val="18"/>
                <w:szCs w:val="18"/>
              </w:rPr>
              <w:t>2.055.984</w:t>
            </w:r>
          </w:p>
        </w:tc>
        <w:tc>
          <w:tcPr>
            <w:tcW w:w="1545" w:type="dxa"/>
            <w:tcBorders>
              <w:top w:val="nil"/>
              <w:left w:val="nil"/>
              <w:bottom w:val="nil"/>
              <w:right w:val="nil"/>
            </w:tcBorders>
            <w:shd w:val="clear" w:color="auto" w:fill="auto"/>
          </w:tcPr>
          <w:p w14:paraId="2C1566CA" w14:textId="1D613108"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610" w:type="dxa"/>
            <w:tcBorders>
              <w:top w:val="nil"/>
              <w:left w:val="nil"/>
              <w:bottom w:val="nil"/>
              <w:right w:val="nil"/>
            </w:tcBorders>
            <w:shd w:val="clear" w:color="auto" w:fill="auto"/>
          </w:tcPr>
          <w:p w14:paraId="4C1525BB" w14:textId="62EEFF81" w:rsidR="00414B4B" w:rsidRPr="00872D7E" w:rsidRDefault="00414B4B" w:rsidP="00414B4B">
            <w:pPr>
              <w:ind w:right="91" w:firstLineChars="100" w:firstLine="180"/>
              <w:jc w:val="right"/>
              <w:rPr>
                <w:color w:val="000000"/>
                <w:sz w:val="18"/>
                <w:szCs w:val="18"/>
              </w:rPr>
            </w:pPr>
            <w:r w:rsidRPr="00872D7E">
              <w:rPr>
                <w:sz w:val="18"/>
                <w:szCs w:val="18"/>
              </w:rPr>
              <w:t>-</w:t>
            </w:r>
          </w:p>
        </w:tc>
      </w:tr>
      <w:tr w:rsidR="00414B4B" w:rsidRPr="00872D7E" w14:paraId="0C01EDC6" w14:textId="77777777" w:rsidTr="00F0060E">
        <w:trPr>
          <w:cantSplit/>
          <w:trHeight w:val="57"/>
        </w:trPr>
        <w:tc>
          <w:tcPr>
            <w:tcW w:w="3574" w:type="dxa"/>
            <w:vAlign w:val="center"/>
          </w:tcPr>
          <w:p w14:paraId="7BDDC68F" w14:textId="77777777" w:rsidR="00414B4B" w:rsidRPr="00872D7E" w:rsidRDefault="00414B4B" w:rsidP="00414B4B">
            <w:pPr>
              <w:rPr>
                <w:rFonts w:eastAsia="Arial Unicode MS"/>
                <w:sz w:val="18"/>
                <w:szCs w:val="18"/>
              </w:rPr>
            </w:pPr>
            <w:r w:rsidRPr="00872D7E">
              <w:rPr>
                <w:sz w:val="18"/>
                <w:szCs w:val="18"/>
              </w:rPr>
              <w:t>Aval ve kabul kredileri</w:t>
            </w:r>
          </w:p>
        </w:tc>
        <w:tc>
          <w:tcPr>
            <w:tcW w:w="1226" w:type="dxa"/>
            <w:tcBorders>
              <w:top w:val="nil"/>
              <w:left w:val="nil"/>
              <w:bottom w:val="nil"/>
              <w:right w:val="nil"/>
            </w:tcBorders>
            <w:shd w:val="clear" w:color="auto" w:fill="auto"/>
          </w:tcPr>
          <w:p w14:paraId="06175171" w14:textId="22DB4B62"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438" w:type="dxa"/>
            <w:tcBorders>
              <w:top w:val="nil"/>
              <w:left w:val="nil"/>
              <w:bottom w:val="nil"/>
              <w:right w:val="nil"/>
            </w:tcBorders>
            <w:shd w:val="clear" w:color="auto" w:fill="auto"/>
          </w:tcPr>
          <w:p w14:paraId="479C0855" w14:textId="41F64043"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545" w:type="dxa"/>
            <w:tcBorders>
              <w:top w:val="nil"/>
              <w:left w:val="nil"/>
              <w:bottom w:val="nil"/>
              <w:right w:val="nil"/>
            </w:tcBorders>
            <w:shd w:val="clear" w:color="auto" w:fill="auto"/>
          </w:tcPr>
          <w:p w14:paraId="47F88C21" w14:textId="2D2E68E8"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610" w:type="dxa"/>
            <w:tcBorders>
              <w:top w:val="nil"/>
              <w:left w:val="nil"/>
              <w:bottom w:val="nil"/>
              <w:right w:val="nil"/>
            </w:tcBorders>
            <w:shd w:val="clear" w:color="auto" w:fill="auto"/>
          </w:tcPr>
          <w:p w14:paraId="2524B35E" w14:textId="5D3DF0A5" w:rsidR="00414B4B" w:rsidRPr="00872D7E" w:rsidRDefault="00414B4B" w:rsidP="00414B4B">
            <w:pPr>
              <w:ind w:right="91" w:firstLineChars="100" w:firstLine="180"/>
              <w:jc w:val="right"/>
              <w:rPr>
                <w:color w:val="000000"/>
                <w:sz w:val="18"/>
                <w:szCs w:val="18"/>
              </w:rPr>
            </w:pPr>
            <w:r w:rsidRPr="00872D7E">
              <w:rPr>
                <w:sz w:val="18"/>
                <w:szCs w:val="18"/>
              </w:rPr>
              <w:t>-</w:t>
            </w:r>
          </w:p>
        </w:tc>
      </w:tr>
      <w:tr w:rsidR="00414B4B" w:rsidRPr="00872D7E" w14:paraId="2973ADB8" w14:textId="77777777" w:rsidTr="00F0060E">
        <w:trPr>
          <w:cantSplit/>
          <w:trHeight w:val="57"/>
        </w:trPr>
        <w:tc>
          <w:tcPr>
            <w:tcW w:w="3574" w:type="dxa"/>
            <w:vAlign w:val="center"/>
          </w:tcPr>
          <w:p w14:paraId="410B897D" w14:textId="77777777" w:rsidR="00414B4B" w:rsidRPr="00872D7E" w:rsidRDefault="00414B4B" w:rsidP="00414B4B">
            <w:pPr>
              <w:rPr>
                <w:rFonts w:eastAsia="Arial Unicode MS"/>
                <w:sz w:val="18"/>
                <w:szCs w:val="18"/>
              </w:rPr>
            </w:pPr>
            <w:r w:rsidRPr="00872D7E">
              <w:rPr>
                <w:sz w:val="18"/>
                <w:szCs w:val="18"/>
              </w:rPr>
              <w:t>Akreditifler</w:t>
            </w:r>
          </w:p>
        </w:tc>
        <w:tc>
          <w:tcPr>
            <w:tcW w:w="1226" w:type="dxa"/>
            <w:tcBorders>
              <w:top w:val="nil"/>
              <w:left w:val="nil"/>
              <w:bottom w:val="nil"/>
              <w:right w:val="nil"/>
            </w:tcBorders>
            <w:shd w:val="clear" w:color="auto" w:fill="auto"/>
          </w:tcPr>
          <w:p w14:paraId="72A661F7" w14:textId="0D298DAD"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438" w:type="dxa"/>
            <w:tcBorders>
              <w:top w:val="nil"/>
              <w:left w:val="nil"/>
              <w:bottom w:val="nil"/>
              <w:right w:val="nil"/>
            </w:tcBorders>
            <w:shd w:val="clear" w:color="auto" w:fill="auto"/>
          </w:tcPr>
          <w:p w14:paraId="74092D99" w14:textId="67A5ED53"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545" w:type="dxa"/>
            <w:tcBorders>
              <w:top w:val="nil"/>
              <w:left w:val="nil"/>
              <w:bottom w:val="nil"/>
              <w:right w:val="nil"/>
            </w:tcBorders>
            <w:shd w:val="clear" w:color="auto" w:fill="auto"/>
          </w:tcPr>
          <w:p w14:paraId="1F2743F0" w14:textId="6C60CEF0"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610" w:type="dxa"/>
            <w:tcBorders>
              <w:top w:val="nil"/>
              <w:left w:val="nil"/>
              <w:bottom w:val="nil"/>
              <w:right w:val="nil"/>
            </w:tcBorders>
            <w:shd w:val="clear" w:color="auto" w:fill="auto"/>
          </w:tcPr>
          <w:p w14:paraId="406623AE" w14:textId="0062A134" w:rsidR="00414B4B" w:rsidRPr="00872D7E" w:rsidRDefault="00414B4B" w:rsidP="00414B4B">
            <w:pPr>
              <w:ind w:right="91" w:firstLineChars="100" w:firstLine="180"/>
              <w:jc w:val="right"/>
              <w:rPr>
                <w:color w:val="000000"/>
                <w:sz w:val="18"/>
                <w:szCs w:val="18"/>
              </w:rPr>
            </w:pPr>
            <w:r w:rsidRPr="00872D7E">
              <w:rPr>
                <w:sz w:val="18"/>
                <w:szCs w:val="18"/>
              </w:rPr>
              <w:t>-</w:t>
            </w:r>
          </w:p>
        </w:tc>
      </w:tr>
      <w:tr w:rsidR="00414B4B" w:rsidRPr="00872D7E" w14:paraId="37E7BB34" w14:textId="77777777" w:rsidTr="00F0060E">
        <w:trPr>
          <w:cantSplit/>
          <w:trHeight w:val="57"/>
        </w:trPr>
        <w:tc>
          <w:tcPr>
            <w:tcW w:w="3574" w:type="dxa"/>
            <w:vAlign w:val="center"/>
          </w:tcPr>
          <w:p w14:paraId="55DC27B6" w14:textId="77777777" w:rsidR="00414B4B" w:rsidRPr="00872D7E" w:rsidRDefault="00414B4B" w:rsidP="00414B4B">
            <w:pPr>
              <w:rPr>
                <w:rFonts w:eastAsia="Arial Unicode MS"/>
                <w:sz w:val="18"/>
                <w:szCs w:val="18"/>
              </w:rPr>
            </w:pPr>
            <w:r w:rsidRPr="00872D7E">
              <w:rPr>
                <w:sz w:val="18"/>
                <w:szCs w:val="18"/>
              </w:rPr>
              <w:t>Cirolar</w:t>
            </w:r>
          </w:p>
        </w:tc>
        <w:tc>
          <w:tcPr>
            <w:tcW w:w="1226" w:type="dxa"/>
            <w:tcBorders>
              <w:top w:val="nil"/>
              <w:left w:val="nil"/>
              <w:bottom w:val="nil"/>
              <w:right w:val="nil"/>
            </w:tcBorders>
            <w:shd w:val="clear" w:color="auto" w:fill="auto"/>
          </w:tcPr>
          <w:p w14:paraId="79EC4FF9" w14:textId="38CD7F7D"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438" w:type="dxa"/>
            <w:tcBorders>
              <w:top w:val="nil"/>
              <w:left w:val="nil"/>
              <w:bottom w:val="nil"/>
              <w:right w:val="nil"/>
            </w:tcBorders>
            <w:shd w:val="clear" w:color="auto" w:fill="auto"/>
          </w:tcPr>
          <w:p w14:paraId="79C50202" w14:textId="34427E05"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545" w:type="dxa"/>
            <w:tcBorders>
              <w:top w:val="nil"/>
              <w:left w:val="nil"/>
              <w:bottom w:val="nil"/>
              <w:right w:val="nil"/>
            </w:tcBorders>
            <w:shd w:val="clear" w:color="auto" w:fill="auto"/>
          </w:tcPr>
          <w:p w14:paraId="15EAFEFD" w14:textId="15F0573B"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610" w:type="dxa"/>
            <w:tcBorders>
              <w:top w:val="nil"/>
              <w:left w:val="nil"/>
              <w:bottom w:val="nil"/>
              <w:right w:val="nil"/>
            </w:tcBorders>
            <w:shd w:val="clear" w:color="auto" w:fill="auto"/>
          </w:tcPr>
          <w:p w14:paraId="7344F7EA" w14:textId="39179A2D" w:rsidR="00414B4B" w:rsidRPr="00872D7E" w:rsidRDefault="00414B4B" w:rsidP="00414B4B">
            <w:pPr>
              <w:ind w:right="91" w:firstLineChars="100" w:firstLine="180"/>
              <w:jc w:val="right"/>
              <w:rPr>
                <w:color w:val="000000"/>
                <w:sz w:val="18"/>
                <w:szCs w:val="18"/>
              </w:rPr>
            </w:pPr>
            <w:r w:rsidRPr="00872D7E">
              <w:rPr>
                <w:sz w:val="18"/>
                <w:szCs w:val="18"/>
              </w:rPr>
              <w:t>-</w:t>
            </w:r>
          </w:p>
        </w:tc>
      </w:tr>
      <w:tr w:rsidR="00414B4B" w:rsidRPr="00872D7E" w14:paraId="6252C038" w14:textId="77777777" w:rsidTr="00F0060E">
        <w:trPr>
          <w:cantSplit/>
          <w:trHeight w:val="57"/>
        </w:trPr>
        <w:tc>
          <w:tcPr>
            <w:tcW w:w="3574" w:type="dxa"/>
            <w:vAlign w:val="center"/>
          </w:tcPr>
          <w:p w14:paraId="500582A5" w14:textId="77777777" w:rsidR="00414B4B" w:rsidRPr="00872D7E" w:rsidRDefault="00414B4B" w:rsidP="00414B4B">
            <w:pPr>
              <w:rPr>
                <w:rFonts w:eastAsia="Arial Unicode MS"/>
                <w:bCs/>
                <w:sz w:val="18"/>
                <w:szCs w:val="18"/>
              </w:rPr>
            </w:pPr>
            <w:r w:rsidRPr="00872D7E">
              <w:rPr>
                <w:bCs/>
                <w:sz w:val="18"/>
                <w:szCs w:val="18"/>
              </w:rPr>
              <w:t xml:space="preserve">Menkul kıymet ihracında satın alma garantileri </w:t>
            </w:r>
          </w:p>
        </w:tc>
        <w:tc>
          <w:tcPr>
            <w:tcW w:w="1226" w:type="dxa"/>
            <w:tcBorders>
              <w:top w:val="nil"/>
              <w:left w:val="nil"/>
              <w:bottom w:val="nil"/>
              <w:right w:val="nil"/>
            </w:tcBorders>
            <w:shd w:val="clear" w:color="auto" w:fill="auto"/>
          </w:tcPr>
          <w:p w14:paraId="7E71DC17" w14:textId="00805F2A"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438" w:type="dxa"/>
            <w:tcBorders>
              <w:top w:val="nil"/>
              <w:left w:val="nil"/>
              <w:bottom w:val="nil"/>
              <w:right w:val="nil"/>
            </w:tcBorders>
            <w:shd w:val="clear" w:color="auto" w:fill="auto"/>
          </w:tcPr>
          <w:p w14:paraId="71154AA0" w14:textId="4EF5D7DE"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545" w:type="dxa"/>
            <w:tcBorders>
              <w:top w:val="nil"/>
              <w:left w:val="nil"/>
              <w:bottom w:val="nil"/>
              <w:right w:val="nil"/>
            </w:tcBorders>
            <w:shd w:val="clear" w:color="auto" w:fill="auto"/>
          </w:tcPr>
          <w:p w14:paraId="58DCC818" w14:textId="3968F55A"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610" w:type="dxa"/>
            <w:tcBorders>
              <w:top w:val="nil"/>
              <w:left w:val="nil"/>
              <w:bottom w:val="nil"/>
              <w:right w:val="nil"/>
            </w:tcBorders>
            <w:shd w:val="clear" w:color="auto" w:fill="auto"/>
          </w:tcPr>
          <w:p w14:paraId="28F5372F" w14:textId="37B754D5" w:rsidR="00414B4B" w:rsidRPr="00872D7E" w:rsidRDefault="00414B4B" w:rsidP="00414B4B">
            <w:pPr>
              <w:ind w:right="91" w:firstLineChars="100" w:firstLine="180"/>
              <w:jc w:val="right"/>
              <w:rPr>
                <w:color w:val="000000"/>
                <w:sz w:val="18"/>
                <w:szCs w:val="18"/>
              </w:rPr>
            </w:pPr>
            <w:r w:rsidRPr="00872D7E">
              <w:rPr>
                <w:sz w:val="18"/>
                <w:szCs w:val="18"/>
              </w:rPr>
              <w:t>-</w:t>
            </w:r>
          </w:p>
        </w:tc>
      </w:tr>
      <w:tr w:rsidR="00414B4B" w:rsidRPr="00872D7E" w14:paraId="092184C4" w14:textId="77777777" w:rsidTr="00683052">
        <w:trPr>
          <w:cantSplit/>
          <w:trHeight w:val="57"/>
        </w:trPr>
        <w:tc>
          <w:tcPr>
            <w:tcW w:w="3574" w:type="dxa"/>
            <w:vAlign w:val="center"/>
          </w:tcPr>
          <w:p w14:paraId="1BA4FC63" w14:textId="77777777" w:rsidR="00414B4B" w:rsidRPr="00872D7E" w:rsidRDefault="00414B4B" w:rsidP="00414B4B">
            <w:pPr>
              <w:rPr>
                <w:sz w:val="18"/>
                <w:szCs w:val="18"/>
              </w:rPr>
            </w:pPr>
            <w:proofErr w:type="spellStart"/>
            <w:r w:rsidRPr="00872D7E">
              <w:rPr>
                <w:bCs/>
                <w:sz w:val="18"/>
                <w:szCs w:val="18"/>
              </w:rPr>
              <w:t>Faktoring</w:t>
            </w:r>
            <w:proofErr w:type="spellEnd"/>
            <w:r w:rsidRPr="00872D7E">
              <w:rPr>
                <w:bCs/>
                <w:sz w:val="18"/>
                <w:szCs w:val="18"/>
              </w:rPr>
              <w:t xml:space="preserve"> garantileri</w:t>
            </w:r>
          </w:p>
        </w:tc>
        <w:tc>
          <w:tcPr>
            <w:tcW w:w="1226" w:type="dxa"/>
            <w:tcBorders>
              <w:top w:val="nil"/>
              <w:left w:val="nil"/>
              <w:right w:val="nil"/>
            </w:tcBorders>
            <w:shd w:val="clear" w:color="auto" w:fill="auto"/>
          </w:tcPr>
          <w:p w14:paraId="237325DA" w14:textId="5F9508AB"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438" w:type="dxa"/>
            <w:tcBorders>
              <w:top w:val="nil"/>
              <w:left w:val="nil"/>
              <w:right w:val="nil"/>
            </w:tcBorders>
            <w:shd w:val="clear" w:color="auto" w:fill="auto"/>
          </w:tcPr>
          <w:p w14:paraId="137FE567" w14:textId="3885D21E"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545" w:type="dxa"/>
            <w:tcBorders>
              <w:top w:val="nil"/>
              <w:left w:val="nil"/>
              <w:right w:val="nil"/>
            </w:tcBorders>
            <w:shd w:val="clear" w:color="auto" w:fill="auto"/>
          </w:tcPr>
          <w:p w14:paraId="2C9065A7" w14:textId="5EDB7BBE"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610" w:type="dxa"/>
            <w:tcBorders>
              <w:top w:val="nil"/>
              <w:left w:val="nil"/>
              <w:right w:val="nil"/>
            </w:tcBorders>
            <w:shd w:val="clear" w:color="auto" w:fill="auto"/>
          </w:tcPr>
          <w:p w14:paraId="3A988B37" w14:textId="695360CF" w:rsidR="00414B4B" w:rsidRPr="00872D7E" w:rsidRDefault="00414B4B" w:rsidP="00414B4B">
            <w:pPr>
              <w:ind w:right="91" w:firstLineChars="100" w:firstLine="180"/>
              <w:jc w:val="right"/>
              <w:rPr>
                <w:color w:val="000000"/>
                <w:sz w:val="18"/>
                <w:szCs w:val="18"/>
              </w:rPr>
            </w:pPr>
            <w:r w:rsidRPr="00872D7E">
              <w:rPr>
                <w:sz w:val="18"/>
                <w:szCs w:val="18"/>
              </w:rPr>
              <w:t>-</w:t>
            </w:r>
          </w:p>
        </w:tc>
      </w:tr>
      <w:tr w:rsidR="00414B4B" w:rsidRPr="00872D7E" w14:paraId="2F367D88" w14:textId="77777777" w:rsidTr="00683052">
        <w:trPr>
          <w:cantSplit/>
          <w:trHeight w:val="57"/>
        </w:trPr>
        <w:tc>
          <w:tcPr>
            <w:tcW w:w="3574" w:type="dxa"/>
            <w:tcBorders>
              <w:bottom w:val="single" w:sz="4" w:space="0" w:color="auto"/>
            </w:tcBorders>
            <w:vAlign w:val="center"/>
          </w:tcPr>
          <w:p w14:paraId="65EF0720" w14:textId="77777777" w:rsidR="00414B4B" w:rsidRPr="00872D7E" w:rsidRDefault="00414B4B" w:rsidP="00414B4B">
            <w:pPr>
              <w:rPr>
                <w:rFonts w:eastAsia="Arial Unicode MS"/>
                <w:sz w:val="18"/>
                <w:szCs w:val="18"/>
              </w:rPr>
            </w:pPr>
            <w:r w:rsidRPr="00872D7E">
              <w:rPr>
                <w:sz w:val="18"/>
                <w:szCs w:val="18"/>
              </w:rPr>
              <w:t>Diğer garanti ve kefaletler</w:t>
            </w:r>
          </w:p>
        </w:tc>
        <w:tc>
          <w:tcPr>
            <w:tcW w:w="1226" w:type="dxa"/>
            <w:tcBorders>
              <w:top w:val="nil"/>
              <w:left w:val="nil"/>
              <w:bottom w:val="single" w:sz="4" w:space="0" w:color="auto"/>
              <w:right w:val="nil"/>
            </w:tcBorders>
            <w:shd w:val="clear" w:color="auto" w:fill="auto"/>
          </w:tcPr>
          <w:p w14:paraId="1DF1521C" w14:textId="60CFED60"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438" w:type="dxa"/>
            <w:tcBorders>
              <w:top w:val="nil"/>
              <w:left w:val="nil"/>
              <w:bottom w:val="single" w:sz="4" w:space="0" w:color="auto"/>
              <w:right w:val="nil"/>
            </w:tcBorders>
            <w:shd w:val="clear" w:color="auto" w:fill="auto"/>
          </w:tcPr>
          <w:p w14:paraId="4DE7BCD6" w14:textId="5AF213D4"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545" w:type="dxa"/>
            <w:tcBorders>
              <w:top w:val="nil"/>
              <w:left w:val="nil"/>
              <w:bottom w:val="single" w:sz="4" w:space="0" w:color="auto"/>
              <w:right w:val="nil"/>
            </w:tcBorders>
            <w:shd w:val="clear" w:color="auto" w:fill="auto"/>
          </w:tcPr>
          <w:p w14:paraId="4E442E37" w14:textId="66F1D419" w:rsidR="00414B4B" w:rsidRPr="00872D7E" w:rsidRDefault="00414B4B" w:rsidP="00414B4B">
            <w:pPr>
              <w:ind w:right="91" w:firstLineChars="100" w:firstLine="180"/>
              <w:jc w:val="right"/>
              <w:rPr>
                <w:color w:val="000000"/>
                <w:sz w:val="18"/>
                <w:szCs w:val="18"/>
              </w:rPr>
            </w:pPr>
            <w:r w:rsidRPr="00872D7E">
              <w:rPr>
                <w:sz w:val="18"/>
                <w:szCs w:val="18"/>
              </w:rPr>
              <w:t>-</w:t>
            </w:r>
          </w:p>
        </w:tc>
        <w:tc>
          <w:tcPr>
            <w:tcW w:w="1610" w:type="dxa"/>
            <w:tcBorders>
              <w:top w:val="nil"/>
              <w:left w:val="nil"/>
              <w:bottom w:val="single" w:sz="4" w:space="0" w:color="auto"/>
              <w:right w:val="nil"/>
            </w:tcBorders>
            <w:shd w:val="clear" w:color="auto" w:fill="auto"/>
          </w:tcPr>
          <w:p w14:paraId="28ADD0F8" w14:textId="753B4114" w:rsidR="00414B4B" w:rsidRPr="00872D7E" w:rsidRDefault="00414B4B" w:rsidP="00414B4B">
            <w:pPr>
              <w:ind w:right="91" w:firstLineChars="100" w:firstLine="180"/>
              <w:jc w:val="right"/>
              <w:rPr>
                <w:color w:val="000000"/>
                <w:sz w:val="18"/>
                <w:szCs w:val="18"/>
              </w:rPr>
            </w:pPr>
            <w:r w:rsidRPr="00872D7E">
              <w:rPr>
                <w:sz w:val="18"/>
                <w:szCs w:val="18"/>
              </w:rPr>
              <w:t>-</w:t>
            </w:r>
          </w:p>
        </w:tc>
      </w:tr>
    </w:tbl>
    <w:p w14:paraId="278E6935" w14:textId="77777777" w:rsidR="0077553B" w:rsidRPr="00872D7E" w:rsidRDefault="0077553B" w:rsidP="00D80152"/>
    <w:tbl>
      <w:tblPr>
        <w:tblW w:w="9384" w:type="dxa"/>
        <w:tblInd w:w="56" w:type="dxa"/>
        <w:tblLayout w:type="fixed"/>
        <w:tblCellMar>
          <w:left w:w="30" w:type="dxa"/>
          <w:right w:w="30" w:type="dxa"/>
        </w:tblCellMar>
        <w:tblLook w:val="0000" w:firstRow="0" w:lastRow="0" w:firstColumn="0" w:lastColumn="0" w:noHBand="0" w:noVBand="0"/>
      </w:tblPr>
      <w:tblGrid>
        <w:gridCol w:w="3574"/>
        <w:gridCol w:w="1226"/>
        <w:gridCol w:w="1415"/>
        <w:gridCol w:w="1559"/>
        <w:gridCol w:w="1610"/>
      </w:tblGrid>
      <w:tr w:rsidR="00827BED" w:rsidRPr="00872D7E" w14:paraId="7E7E4623" w14:textId="77777777" w:rsidTr="006D4205">
        <w:trPr>
          <w:cantSplit/>
          <w:trHeight w:val="170"/>
        </w:trPr>
        <w:tc>
          <w:tcPr>
            <w:tcW w:w="3574" w:type="dxa"/>
            <w:vMerge w:val="restart"/>
            <w:tcBorders>
              <w:top w:val="single" w:sz="4" w:space="0" w:color="auto"/>
            </w:tcBorders>
            <w:vAlign w:val="center"/>
          </w:tcPr>
          <w:p w14:paraId="67581239" w14:textId="4F709EBB" w:rsidR="00827BED" w:rsidRPr="00872D7E" w:rsidRDefault="00827BED" w:rsidP="00934795">
            <w:pPr>
              <w:rPr>
                <w:b/>
                <w:sz w:val="18"/>
                <w:szCs w:val="18"/>
              </w:rPr>
            </w:pPr>
            <w:r w:rsidRPr="00872D7E">
              <w:rPr>
                <w:b/>
                <w:bCs/>
                <w:sz w:val="18"/>
                <w:szCs w:val="18"/>
              </w:rPr>
              <w:t>1 Ocak 2024</w:t>
            </w:r>
          </w:p>
        </w:tc>
        <w:tc>
          <w:tcPr>
            <w:tcW w:w="2641" w:type="dxa"/>
            <w:gridSpan w:val="2"/>
            <w:tcBorders>
              <w:top w:val="single" w:sz="4" w:space="0" w:color="auto"/>
              <w:bottom w:val="single" w:sz="4" w:space="0" w:color="auto"/>
            </w:tcBorders>
            <w:vAlign w:val="center"/>
          </w:tcPr>
          <w:p w14:paraId="38C00FE4" w14:textId="77777777" w:rsidR="00827BED" w:rsidRPr="00872D7E" w:rsidRDefault="00827BED" w:rsidP="00934795">
            <w:pPr>
              <w:ind w:right="158"/>
              <w:jc w:val="center"/>
              <w:rPr>
                <w:rFonts w:eastAsia="Arial Unicode MS"/>
                <w:b/>
                <w:sz w:val="18"/>
                <w:szCs w:val="18"/>
              </w:rPr>
            </w:pPr>
            <w:r w:rsidRPr="00872D7E">
              <w:rPr>
                <w:b/>
                <w:iCs/>
                <w:sz w:val="18"/>
                <w:szCs w:val="18"/>
              </w:rPr>
              <w:t>I inci Grup</w:t>
            </w:r>
          </w:p>
        </w:tc>
        <w:tc>
          <w:tcPr>
            <w:tcW w:w="3169" w:type="dxa"/>
            <w:gridSpan w:val="2"/>
            <w:tcBorders>
              <w:top w:val="single" w:sz="4" w:space="0" w:color="auto"/>
              <w:bottom w:val="single" w:sz="4" w:space="0" w:color="auto"/>
            </w:tcBorders>
            <w:vAlign w:val="center"/>
          </w:tcPr>
          <w:p w14:paraId="3B2E68FB" w14:textId="77777777" w:rsidR="00827BED" w:rsidRPr="00872D7E" w:rsidRDefault="00827BED" w:rsidP="00934795">
            <w:pPr>
              <w:ind w:right="158"/>
              <w:jc w:val="center"/>
              <w:rPr>
                <w:rFonts w:eastAsia="Arial Unicode MS"/>
                <w:b/>
                <w:sz w:val="18"/>
                <w:szCs w:val="18"/>
              </w:rPr>
            </w:pPr>
            <w:r w:rsidRPr="00872D7E">
              <w:rPr>
                <w:b/>
                <w:iCs/>
                <w:sz w:val="18"/>
                <w:szCs w:val="18"/>
              </w:rPr>
              <w:t>II nci Grup</w:t>
            </w:r>
          </w:p>
        </w:tc>
      </w:tr>
      <w:tr w:rsidR="00827BED" w:rsidRPr="00872D7E" w14:paraId="52CE35E0" w14:textId="77777777" w:rsidTr="006D4205">
        <w:trPr>
          <w:cantSplit/>
          <w:trHeight w:val="170"/>
        </w:trPr>
        <w:tc>
          <w:tcPr>
            <w:tcW w:w="3574" w:type="dxa"/>
            <w:vMerge/>
            <w:tcBorders>
              <w:bottom w:val="single" w:sz="4" w:space="0" w:color="auto"/>
            </w:tcBorders>
            <w:vAlign w:val="center"/>
          </w:tcPr>
          <w:p w14:paraId="4D55AE91" w14:textId="77777777" w:rsidR="00827BED" w:rsidRPr="00872D7E" w:rsidRDefault="00827BED" w:rsidP="00934795">
            <w:pPr>
              <w:jc w:val="center"/>
              <w:rPr>
                <w:b/>
                <w:sz w:val="18"/>
                <w:szCs w:val="18"/>
              </w:rPr>
            </w:pPr>
          </w:p>
        </w:tc>
        <w:tc>
          <w:tcPr>
            <w:tcW w:w="1226" w:type="dxa"/>
            <w:tcBorders>
              <w:top w:val="single" w:sz="4" w:space="0" w:color="auto"/>
              <w:bottom w:val="single" w:sz="4" w:space="0" w:color="auto"/>
            </w:tcBorders>
            <w:vAlign w:val="center"/>
          </w:tcPr>
          <w:p w14:paraId="6B16C245" w14:textId="77777777" w:rsidR="00827BED" w:rsidRPr="00872D7E" w:rsidRDefault="00827BED" w:rsidP="00934795">
            <w:pPr>
              <w:ind w:right="91"/>
              <w:jc w:val="right"/>
              <w:rPr>
                <w:rFonts w:eastAsia="Arial Unicode MS"/>
                <w:b/>
                <w:sz w:val="18"/>
                <w:szCs w:val="18"/>
              </w:rPr>
            </w:pPr>
            <w:r w:rsidRPr="00872D7E">
              <w:rPr>
                <w:rFonts w:eastAsia="Arial Unicode MS"/>
                <w:b/>
                <w:sz w:val="18"/>
                <w:szCs w:val="18"/>
              </w:rPr>
              <w:t>TP</w:t>
            </w:r>
          </w:p>
        </w:tc>
        <w:tc>
          <w:tcPr>
            <w:tcW w:w="1415" w:type="dxa"/>
            <w:tcBorders>
              <w:top w:val="single" w:sz="4" w:space="0" w:color="auto"/>
              <w:bottom w:val="single" w:sz="4" w:space="0" w:color="auto"/>
            </w:tcBorders>
            <w:vAlign w:val="center"/>
          </w:tcPr>
          <w:p w14:paraId="6327C9D9" w14:textId="77777777" w:rsidR="00827BED" w:rsidRPr="00872D7E" w:rsidRDefault="00827BED" w:rsidP="00934795">
            <w:pPr>
              <w:ind w:right="91"/>
              <w:jc w:val="right"/>
              <w:rPr>
                <w:rFonts w:eastAsia="Arial Unicode MS"/>
                <w:b/>
                <w:sz w:val="18"/>
                <w:szCs w:val="18"/>
              </w:rPr>
            </w:pPr>
            <w:r w:rsidRPr="00872D7E">
              <w:rPr>
                <w:rFonts w:eastAsia="Arial Unicode MS"/>
                <w:b/>
                <w:sz w:val="18"/>
                <w:szCs w:val="18"/>
              </w:rPr>
              <w:t>YP</w:t>
            </w:r>
          </w:p>
        </w:tc>
        <w:tc>
          <w:tcPr>
            <w:tcW w:w="1559" w:type="dxa"/>
            <w:tcBorders>
              <w:top w:val="single" w:sz="4" w:space="0" w:color="auto"/>
              <w:bottom w:val="single" w:sz="4" w:space="0" w:color="auto"/>
            </w:tcBorders>
            <w:vAlign w:val="center"/>
          </w:tcPr>
          <w:p w14:paraId="0877828C" w14:textId="77777777" w:rsidR="00827BED" w:rsidRPr="00872D7E" w:rsidRDefault="00827BED" w:rsidP="00934795">
            <w:pPr>
              <w:ind w:right="91"/>
              <w:jc w:val="right"/>
              <w:rPr>
                <w:rFonts w:eastAsia="Arial Unicode MS"/>
                <w:b/>
                <w:sz w:val="18"/>
                <w:szCs w:val="18"/>
              </w:rPr>
            </w:pPr>
            <w:r w:rsidRPr="00872D7E">
              <w:rPr>
                <w:rFonts w:eastAsia="Arial Unicode MS"/>
                <w:b/>
                <w:sz w:val="18"/>
                <w:szCs w:val="18"/>
              </w:rPr>
              <w:t>TP</w:t>
            </w:r>
          </w:p>
        </w:tc>
        <w:tc>
          <w:tcPr>
            <w:tcW w:w="1610" w:type="dxa"/>
            <w:tcBorders>
              <w:top w:val="single" w:sz="4" w:space="0" w:color="auto"/>
              <w:bottom w:val="single" w:sz="4" w:space="0" w:color="auto"/>
            </w:tcBorders>
            <w:vAlign w:val="center"/>
          </w:tcPr>
          <w:p w14:paraId="6BD7D9DF" w14:textId="77777777" w:rsidR="00827BED" w:rsidRPr="00872D7E" w:rsidRDefault="00827BED" w:rsidP="00934795">
            <w:pPr>
              <w:ind w:right="91"/>
              <w:jc w:val="right"/>
              <w:rPr>
                <w:rFonts w:eastAsia="Arial Unicode MS"/>
                <w:b/>
                <w:sz w:val="18"/>
                <w:szCs w:val="18"/>
              </w:rPr>
            </w:pPr>
            <w:r w:rsidRPr="00872D7E">
              <w:rPr>
                <w:rFonts w:eastAsia="Arial Unicode MS"/>
                <w:b/>
                <w:sz w:val="18"/>
                <w:szCs w:val="18"/>
              </w:rPr>
              <w:t>YP</w:t>
            </w:r>
          </w:p>
        </w:tc>
      </w:tr>
      <w:tr w:rsidR="00934795" w:rsidRPr="00872D7E" w14:paraId="75EDAB48" w14:textId="77777777" w:rsidTr="00B47307">
        <w:trPr>
          <w:cantSplit/>
          <w:trHeight w:val="170"/>
        </w:trPr>
        <w:tc>
          <w:tcPr>
            <w:tcW w:w="3574" w:type="dxa"/>
            <w:tcBorders>
              <w:top w:val="single" w:sz="4" w:space="0" w:color="auto"/>
              <w:bottom w:val="single" w:sz="4" w:space="0" w:color="auto"/>
            </w:tcBorders>
            <w:vAlign w:val="center"/>
          </w:tcPr>
          <w:p w14:paraId="4BF5A193" w14:textId="77777777" w:rsidR="00934795" w:rsidRPr="00872D7E" w:rsidRDefault="00934795" w:rsidP="00934795">
            <w:pPr>
              <w:rPr>
                <w:b/>
                <w:snapToGrid w:val="0"/>
                <w:sz w:val="18"/>
                <w:szCs w:val="18"/>
              </w:rPr>
            </w:pPr>
            <w:proofErr w:type="spellStart"/>
            <w:r w:rsidRPr="00872D7E">
              <w:rPr>
                <w:b/>
                <w:sz w:val="18"/>
                <w:szCs w:val="18"/>
              </w:rPr>
              <w:t>Gayrinakdi</w:t>
            </w:r>
            <w:proofErr w:type="spellEnd"/>
            <w:r w:rsidRPr="00872D7E">
              <w:rPr>
                <w:b/>
                <w:sz w:val="18"/>
                <w:szCs w:val="18"/>
              </w:rPr>
              <w:t xml:space="preserve"> krediler</w:t>
            </w:r>
          </w:p>
        </w:tc>
        <w:tc>
          <w:tcPr>
            <w:tcW w:w="1226" w:type="dxa"/>
            <w:tcBorders>
              <w:top w:val="single" w:sz="4" w:space="0" w:color="auto"/>
              <w:left w:val="nil"/>
              <w:bottom w:val="single" w:sz="4" w:space="0" w:color="auto"/>
              <w:right w:val="nil"/>
            </w:tcBorders>
            <w:shd w:val="clear" w:color="auto" w:fill="auto"/>
            <w:vAlign w:val="center"/>
          </w:tcPr>
          <w:p w14:paraId="29445E05" w14:textId="1E066434" w:rsidR="00934795" w:rsidRPr="00872D7E" w:rsidRDefault="00934795" w:rsidP="00934795">
            <w:pPr>
              <w:ind w:right="91" w:firstLineChars="100" w:firstLine="181"/>
              <w:jc w:val="right"/>
              <w:rPr>
                <w:b/>
                <w:color w:val="000000"/>
                <w:sz w:val="18"/>
                <w:szCs w:val="18"/>
              </w:rPr>
            </w:pPr>
            <w:r w:rsidRPr="00872D7E">
              <w:rPr>
                <w:b/>
                <w:bCs/>
                <w:color w:val="000000"/>
                <w:sz w:val="18"/>
                <w:szCs w:val="18"/>
              </w:rPr>
              <w:t>109</w:t>
            </w:r>
          </w:p>
        </w:tc>
        <w:tc>
          <w:tcPr>
            <w:tcW w:w="1415" w:type="dxa"/>
            <w:tcBorders>
              <w:top w:val="single" w:sz="4" w:space="0" w:color="auto"/>
              <w:left w:val="nil"/>
              <w:bottom w:val="single" w:sz="4" w:space="0" w:color="auto"/>
              <w:right w:val="nil"/>
            </w:tcBorders>
            <w:shd w:val="clear" w:color="auto" w:fill="auto"/>
            <w:vAlign w:val="center"/>
          </w:tcPr>
          <w:p w14:paraId="3ED7A295" w14:textId="763EE70B" w:rsidR="00934795" w:rsidRPr="00872D7E" w:rsidRDefault="00934795" w:rsidP="00934795">
            <w:pPr>
              <w:ind w:right="91" w:firstLineChars="100" w:firstLine="181"/>
              <w:jc w:val="right"/>
              <w:rPr>
                <w:b/>
                <w:color w:val="000000"/>
                <w:sz w:val="18"/>
                <w:szCs w:val="18"/>
              </w:rPr>
            </w:pPr>
            <w:r w:rsidRPr="00872D7E">
              <w:rPr>
                <w:b/>
                <w:bCs/>
                <w:color w:val="000000"/>
                <w:sz w:val="18"/>
                <w:szCs w:val="18"/>
              </w:rPr>
              <w:t>5.338</w:t>
            </w:r>
          </w:p>
        </w:tc>
        <w:tc>
          <w:tcPr>
            <w:tcW w:w="1559" w:type="dxa"/>
            <w:tcBorders>
              <w:top w:val="single" w:sz="4" w:space="0" w:color="auto"/>
              <w:left w:val="nil"/>
              <w:bottom w:val="single" w:sz="4" w:space="0" w:color="auto"/>
              <w:right w:val="nil"/>
            </w:tcBorders>
            <w:shd w:val="clear" w:color="auto" w:fill="auto"/>
            <w:vAlign w:val="center"/>
          </w:tcPr>
          <w:p w14:paraId="718513E1" w14:textId="66328E20" w:rsidR="00934795" w:rsidRPr="00872D7E" w:rsidRDefault="00934795" w:rsidP="00934795">
            <w:pPr>
              <w:ind w:right="91" w:firstLineChars="100" w:firstLine="181"/>
              <w:jc w:val="right"/>
              <w:rPr>
                <w:b/>
                <w:color w:val="000000"/>
                <w:sz w:val="18"/>
                <w:szCs w:val="18"/>
              </w:rPr>
            </w:pPr>
            <w:r w:rsidRPr="00872D7E">
              <w:rPr>
                <w:b/>
                <w:bCs/>
                <w:color w:val="000000"/>
                <w:sz w:val="18"/>
                <w:szCs w:val="18"/>
              </w:rPr>
              <w:t>-</w:t>
            </w:r>
          </w:p>
        </w:tc>
        <w:tc>
          <w:tcPr>
            <w:tcW w:w="1610" w:type="dxa"/>
            <w:tcBorders>
              <w:top w:val="single" w:sz="4" w:space="0" w:color="auto"/>
              <w:left w:val="nil"/>
              <w:bottom w:val="single" w:sz="4" w:space="0" w:color="auto"/>
              <w:right w:val="nil"/>
            </w:tcBorders>
            <w:shd w:val="clear" w:color="auto" w:fill="auto"/>
            <w:vAlign w:val="center"/>
          </w:tcPr>
          <w:p w14:paraId="19589235" w14:textId="3C8348A7" w:rsidR="00934795" w:rsidRPr="00872D7E" w:rsidRDefault="00934795" w:rsidP="00934795">
            <w:pPr>
              <w:ind w:right="91" w:firstLineChars="100" w:firstLine="181"/>
              <w:jc w:val="right"/>
              <w:rPr>
                <w:b/>
                <w:color w:val="000000"/>
                <w:sz w:val="18"/>
                <w:szCs w:val="18"/>
              </w:rPr>
            </w:pPr>
            <w:r w:rsidRPr="00872D7E">
              <w:rPr>
                <w:b/>
                <w:bCs/>
                <w:color w:val="000000"/>
                <w:sz w:val="18"/>
                <w:szCs w:val="18"/>
              </w:rPr>
              <w:t>-</w:t>
            </w:r>
          </w:p>
        </w:tc>
      </w:tr>
      <w:tr w:rsidR="00934795" w:rsidRPr="00872D7E" w14:paraId="7B6D8166" w14:textId="77777777" w:rsidTr="00B47307">
        <w:trPr>
          <w:cantSplit/>
          <w:trHeight w:val="170"/>
        </w:trPr>
        <w:tc>
          <w:tcPr>
            <w:tcW w:w="3574" w:type="dxa"/>
            <w:tcBorders>
              <w:top w:val="single" w:sz="4" w:space="0" w:color="auto"/>
            </w:tcBorders>
            <w:vAlign w:val="center"/>
          </w:tcPr>
          <w:p w14:paraId="39D0D38E" w14:textId="77777777" w:rsidR="00934795" w:rsidRPr="00872D7E" w:rsidRDefault="00934795" w:rsidP="00934795">
            <w:pPr>
              <w:rPr>
                <w:sz w:val="18"/>
                <w:szCs w:val="18"/>
              </w:rPr>
            </w:pPr>
          </w:p>
        </w:tc>
        <w:tc>
          <w:tcPr>
            <w:tcW w:w="1226" w:type="dxa"/>
            <w:tcBorders>
              <w:top w:val="single" w:sz="4" w:space="0" w:color="auto"/>
              <w:left w:val="nil"/>
              <w:bottom w:val="nil"/>
              <w:right w:val="nil"/>
            </w:tcBorders>
            <w:shd w:val="clear" w:color="auto" w:fill="auto"/>
            <w:vAlign w:val="center"/>
          </w:tcPr>
          <w:p w14:paraId="1B50C5BB" w14:textId="1386FF25" w:rsidR="00934795" w:rsidRPr="00872D7E" w:rsidRDefault="00934795" w:rsidP="00934795">
            <w:pPr>
              <w:ind w:right="91" w:firstLineChars="100" w:firstLine="180"/>
              <w:jc w:val="right"/>
              <w:rPr>
                <w:color w:val="000000"/>
                <w:sz w:val="18"/>
                <w:szCs w:val="18"/>
              </w:rPr>
            </w:pPr>
            <w:r w:rsidRPr="00872D7E">
              <w:rPr>
                <w:color w:val="000000"/>
                <w:sz w:val="18"/>
                <w:szCs w:val="18"/>
              </w:rPr>
              <w:t> </w:t>
            </w:r>
          </w:p>
        </w:tc>
        <w:tc>
          <w:tcPr>
            <w:tcW w:w="1415" w:type="dxa"/>
            <w:tcBorders>
              <w:top w:val="single" w:sz="4" w:space="0" w:color="auto"/>
              <w:left w:val="nil"/>
              <w:bottom w:val="nil"/>
              <w:right w:val="nil"/>
            </w:tcBorders>
            <w:shd w:val="clear" w:color="auto" w:fill="auto"/>
            <w:vAlign w:val="center"/>
          </w:tcPr>
          <w:p w14:paraId="04BE53EE" w14:textId="3CF6E511" w:rsidR="00934795" w:rsidRPr="00872D7E" w:rsidRDefault="00934795" w:rsidP="00934795">
            <w:pPr>
              <w:ind w:right="91" w:firstLineChars="100" w:firstLine="180"/>
              <w:jc w:val="right"/>
              <w:rPr>
                <w:color w:val="000000"/>
                <w:sz w:val="18"/>
                <w:szCs w:val="18"/>
              </w:rPr>
            </w:pPr>
            <w:r w:rsidRPr="00872D7E">
              <w:rPr>
                <w:color w:val="000000"/>
                <w:sz w:val="18"/>
                <w:szCs w:val="18"/>
              </w:rPr>
              <w:t> </w:t>
            </w:r>
          </w:p>
        </w:tc>
        <w:tc>
          <w:tcPr>
            <w:tcW w:w="1559" w:type="dxa"/>
            <w:tcBorders>
              <w:top w:val="single" w:sz="4" w:space="0" w:color="auto"/>
              <w:left w:val="nil"/>
              <w:bottom w:val="nil"/>
              <w:right w:val="nil"/>
            </w:tcBorders>
            <w:shd w:val="clear" w:color="auto" w:fill="auto"/>
            <w:vAlign w:val="center"/>
          </w:tcPr>
          <w:p w14:paraId="14A67F65" w14:textId="66BE809C" w:rsidR="00934795" w:rsidRPr="00872D7E" w:rsidRDefault="00934795" w:rsidP="00934795">
            <w:pPr>
              <w:ind w:right="91" w:firstLineChars="100" w:firstLine="180"/>
              <w:jc w:val="right"/>
              <w:rPr>
                <w:color w:val="000000"/>
                <w:sz w:val="18"/>
                <w:szCs w:val="18"/>
              </w:rPr>
            </w:pPr>
            <w:r w:rsidRPr="00872D7E">
              <w:rPr>
                <w:color w:val="000000"/>
                <w:sz w:val="18"/>
                <w:szCs w:val="18"/>
              </w:rPr>
              <w:t> </w:t>
            </w:r>
          </w:p>
        </w:tc>
        <w:tc>
          <w:tcPr>
            <w:tcW w:w="1610" w:type="dxa"/>
            <w:tcBorders>
              <w:top w:val="single" w:sz="4" w:space="0" w:color="auto"/>
              <w:left w:val="nil"/>
              <w:bottom w:val="nil"/>
              <w:right w:val="nil"/>
            </w:tcBorders>
            <w:shd w:val="clear" w:color="auto" w:fill="auto"/>
            <w:vAlign w:val="center"/>
          </w:tcPr>
          <w:p w14:paraId="5272066E" w14:textId="3558CCCB" w:rsidR="00934795" w:rsidRPr="00872D7E" w:rsidRDefault="00934795" w:rsidP="00934795">
            <w:pPr>
              <w:ind w:right="91" w:firstLineChars="100" w:firstLine="180"/>
              <w:jc w:val="right"/>
              <w:rPr>
                <w:color w:val="000000"/>
                <w:sz w:val="18"/>
                <w:szCs w:val="18"/>
              </w:rPr>
            </w:pPr>
            <w:r w:rsidRPr="00872D7E">
              <w:rPr>
                <w:color w:val="000000"/>
                <w:sz w:val="18"/>
                <w:szCs w:val="18"/>
              </w:rPr>
              <w:t> </w:t>
            </w:r>
          </w:p>
        </w:tc>
      </w:tr>
      <w:tr w:rsidR="00934795" w:rsidRPr="00872D7E" w14:paraId="34C62110" w14:textId="77777777" w:rsidTr="00B47307">
        <w:trPr>
          <w:cantSplit/>
          <w:trHeight w:val="170"/>
        </w:trPr>
        <w:tc>
          <w:tcPr>
            <w:tcW w:w="3574" w:type="dxa"/>
            <w:vAlign w:val="center"/>
          </w:tcPr>
          <w:p w14:paraId="330A2549" w14:textId="77777777" w:rsidR="00934795" w:rsidRPr="00872D7E" w:rsidRDefault="00934795" w:rsidP="00934795">
            <w:pPr>
              <w:rPr>
                <w:rFonts w:eastAsia="Arial Unicode MS"/>
                <w:sz w:val="18"/>
                <w:szCs w:val="18"/>
              </w:rPr>
            </w:pPr>
            <w:r w:rsidRPr="00872D7E">
              <w:rPr>
                <w:sz w:val="18"/>
                <w:szCs w:val="18"/>
              </w:rPr>
              <w:t>Teminat mektupları</w:t>
            </w:r>
          </w:p>
        </w:tc>
        <w:tc>
          <w:tcPr>
            <w:tcW w:w="1226" w:type="dxa"/>
            <w:tcBorders>
              <w:top w:val="nil"/>
              <w:left w:val="nil"/>
              <w:bottom w:val="nil"/>
              <w:right w:val="nil"/>
            </w:tcBorders>
            <w:shd w:val="clear" w:color="auto" w:fill="auto"/>
            <w:vAlign w:val="center"/>
          </w:tcPr>
          <w:p w14:paraId="2745257B" w14:textId="2AB565B5" w:rsidR="00934795" w:rsidRPr="00872D7E" w:rsidRDefault="00934795" w:rsidP="00934795">
            <w:pPr>
              <w:ind w:right="91" w:firstLineChars="100" w:firstLine="180"/>
              <w:jc w:val="right"/>
              <w:rPr>
                <w:color w:val="000000"/>
                <w:sz w:val="18"/>
                <w:szCs w:val="18"/>
              </w:rPr>
            </w:pPr>
            <w:r w:rsidRPr="00872D7E">
              <w:rPr>
                <w:color w:val="000000"/>
                <w:sz w:val="18"/>
                <w:szCs w:val="18"/>
              </w:rPr>
              <w:t>109</w:t>
            </w:r>
          </w:p>
        </w:tc>
        <w:tc>
          <w:tcPr>
            <w:tcW w:w="1415" w:type="dxa"/>
            <w:tcBorders>
              <w:top w:val="nil"/>
              <w:left w:val="nil"/>
              <w:bottom w:val="nil"/>
              <w:right w:val="nil"/>
            </w:tcBorders>
            <w:shd w:val="clear" w:color="auto" w:fill="auto"/>
            <w:vAlign w:val="center"/>
          </w:tcPr>
          <w:p w14:paraId="22BBAFDC" w14:textId="0C0BA20E" w:rsidR="00934795" w:rsidRPr="00872D7E" w:rsidRDefault="00934795" w:rsidP="00934795">
            <w:pPr>
              <w:ind w:right="91" w:firstLineChars="100" w:firstLine="180"/>
              <w:jc w:val="right"/>
              <w:rPr>
                <w:color w:val="000000"/>
                <w:sz w:val="18"/>
                <w:szCs w:val="18"/>
              </w:rPr>
            </w:pPr>
            <w:r w:rsidRPr="00872D7E">
              <w:rPr>
                <w:color w:val="000000"/>
                <w:sz w:val="18"/>
                <w:szCs w:val="18"/>
              </w:rPr>
              <w:t>5.338</w:t>
            </w:r>
          </w:p>
        </w:tc>
        <w:tc>
          <w:tcPr>
            <w:tcW w:w="1559" w:type="dxa"/>
            <w:tcBorders>
              <w:top w:val="nil"/>
              <w:left w:val="nil"/>
              <w:bottom w:val="nil"/>
              <w:right w:val="nil"/>
            </w:tcBorders>
            <w:shd w:val="clear" w:color="auto" w:fill="auto"/>
            <w:vAlign w:val="center"/>
          </w:tcPr>
          <w:p w14:paraId="15564C0A" w14:textId="3554A9A2"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610" w:type="dxa"/>
            <w:tcBorders>
              <w:top w:val="nil"/>
              <w:left w:val="nil"/>
              <w:bottom w:val="nil"/>
              <w:right w:val="nil"/>
            </w:tcBorders>
            <w:shd w:val="clear" w:color="auto" w:fill="auto"/>
            <w:vAlign w:val="center"/>
          </w:tcPr>
          <w:p w14:paraId="2AAFC931" w14:textId="0BFC8EAF"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r>
      <w:tr w:rsidR="00934795" w:rsidRPr="00872D7E" w14:paraId="7B6F71C6" w14:textId="77777777" w:rsidTr="00B47307">
        <w:trPr>
          <w:cantSplit/>
          <w:trHeight w:val="170"/>
        </w:trPr>
        <w:tc>
          <w:tcPr>
            <w:tcW w:w="3574" w:type="dxa"/>
            <w:vAlign w:val="center"/>
          </w:tcPr>
          <w:p w14:paraId="2FEF287F" w14:textId="77777777" w:rsidR="00934795" w:rsidRPr="00872D7E" w:rsidRDefault="00934795" w:rsidP="00934795">
            <w:pPr>
              <w:rPr>
                <w:rFonts w:eastAsia="Arial Unicode MS"/>
                <w:sz w:val="18"/>
                <w:szCs w:val="18"/>
              </w:rPr>
            </w:pPr>
            <w:r w:rsidRPr="00872D7E">
              <w:rPr>
                <w:sz w:val="18"/>
                <w:szCs w:val="18"/>
              </w:rPr>
              <w:t>Aval ve kabul kredileri</w:t>
            </w:r>
          </w:p>
        </w:tc>
        <w:tc>
          <w:tcPr>
            <w:tcW w:w="1226" w:type="dxa"/>
            <w:tcBorders>
              <w:top w:val="nil"/>
              <w:left w:val="nil"/>
              <w:bottom w:val="nil"/>
              <w:right w:val="nil"/>
            </w:tcBorders>
            <w:shd w:val="clear" w:color="auto" w:fill="auto"/>
            <w:vAlign w:val="center"/>
          </w:tcPr>
          <w:p w14:paraId="04F16722" w14:textId="72FA9973"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415" w:type="dxa"/>
            <w:tcBorders>
              <w:top w:val="nil"/>
              <w:left w:val="nil"/>
              <w:bottom w:val="nil"/>
              <w:right w:val="nil"/>
            </w:tcBorders>
            <w:shd w:val="clear" w:color="auto" w:fill="auto"/>
            <w:vAlign w:val="center"/>
          </w:tcPr>
          <w:p w14:paraId="3C0E3268" w14:textId="12DDD4BB"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559" w:type="dxa"/>
            <w:tcBorders>
              <w:top w:val="nil"/>
              <w:left w:val="nil"/>
              <w:bottom w:val="nil"/>
              <w:right w:val="nil"/>
            </w:tcBorders>
            <w:shd w:val="clear" w:color="auto" w:fill="auto"/>
            <w:vAlign w:val="center"/>
          </w:tcPr>
          <w:p w14:paraId="07B09C52" w14:textId="6336B876"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610" w:type="dxa"/>
            <w:tcBorders>
              <w:top w:val="nil"/>
              <w:left w:val="nil"/>
              <w:bottom w:val="nil"/>
              <w:right w:val="nil"/>
            </w:tcBorders>
            <w:shd w:val="clear" w:color="auto" w:fill="auto"/>
            <w:vAlign w:val="center"/>
          </w:tcPr>
          <w:p w14:paraId="1D69B5C8" w14:textId="454F7F5A"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r>
      <w:tr w:rsidR="00934795" w:rsidRPr="00872D7E" w14:paraId="5F5D2A58" w14:textId="77777777" w:rsidTr="00B47307">
        <w:trPr>
          <w:cantSplit/>
          <w:trHeight w:val="170"/>
        </w:trPr>
        <w:tc>
          <w:tcPr>
            <w:tcW w:w="3574" w:type="dxa"/>
            <w:vAlign w:val="center"/>
          </w:tcPr>
          <w:p w14:paraId="7D6CBB00" w14:textId="77777777" w:rsidR="00934795" w:rsidRPr="00872D7E" w:rsidRDefault="00934795" w:rsidP="00934795">
            <w:pPr>
              <w:rPr>
                <w:rFonts w:eastAsia="Arial Unicode MS"/>
                <w:sz w:val="18"/>
                <w:szCs w:val="18"/>
              </w:rPr>
            </w:pPr>
            <w:r w:rsidRPr="00872D7E">
              <w:rPr>
                <w:sz w:val="18"/>
                <w:szCs w:val="18"/>
              </w:rPr>
              <w:t>Akreditifler</w:t>
            </w:r>
          </w:p>
        </w:tc>
        <w:tc>
          <w:tcPr>
            <w:tcW w:w="1226" w:type="dxa"/>
            <w:tcBorders>
              <w:top w:val="nil"/>
              <w:left w:val="nil"/>
              <w:bottom w:val="nil"/>
              <w:right w:val="nil"/>
            </w:tcBorders>
            <w:shd w:val="clear" w:color="auto" w:fill="auto"/>
            <w:vAlign w:val="center"/>
          </w:tcPr>
          <w:p w14:paraId="4F4EFBCA" w14:textId="15D57C89"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415" w:type="dxa"/>
            <w:tcBorders>
              <w:top w:val="nil"/>
              <w:left w:val="nil"/>
              <w:bottom w:val="nil"/>
              <w:right w:val="nil"/>
            </w:tcBorders>
            <w:shd w:val="clear" w:color="auto" w:fill="auto"/>
            <w:vAlign w:val="center"/>
          </w:tcPr>
          <w:p w14:paraId="241E59EA" w14:textId="3A174945"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559" w:type="dxa"/>
            <w:tcBorders>
              <w:top w:val="nil"/>
              <w:left w:val="nil"/>
              <w:bottom w:val="nil"/>
              <w:right w:val="nil"/>
            </w:tcBorders>
            <w:shd w:val="clear" w:color="auto" w:fill="auto"/>
            <w:vAlign w:val="center"/>
          </w:tcPr>
          <w:p w14:paraId="3B6C1E34" w14:textId="2A62AA12"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610" w:type="dxa"/>
            <w:tcBorders>
              <w:top w:val="nil"/>
              <w:left w:val="nil"/>
              <w:bottom w:val="nil"/>
              <w:right w:val="nil"/>
            </w:tcBorders>
            <w:shd w:val="clear" w:color="auto" w:fill="auto"/>
            <w:vAlign w:val="center"/>
          </w:tcPr>
          <w:p w14:paraId="3DCF9392" w14:textId="26232B63"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r>
      <w:tr w:rsidR="00934795" w:rsidRPr="00872D7E" w14:paraId="617FF8AC" w14:textId="77777777" w:rsidTr="00B47307">
        <w:trPr>
          <w:cantSplit/>
          <w:trHeight w:val="170"/>
        </w:trPr>
        <w:tc>
          <w:tcPr>
            <w:tcW w:w="3574" w:type="dxa"/>
            <w:vAlign w:val="center"/>
          </w:tcPr>
          <w:p w14:paraId="142E57CD" w14:textId="77777777" w:rsidR="00934795" w:rsidRPr="00872D7E" w:rsidRDefault="00934795" w:rsidP="00934795">
            <w:pPr>
              <w:rPr>
                <w:rFonts w:eastAsia="Arial Unicode MS"/>
                <w:sz w:val="18"/>
                <w:szCs w:val="18"/>
              </w:rPr>
            </w:pPr>
            <w:r w:rsidRPr="00872D7E">
              <w:rPr>
                <w:sz w:val="18"/>
                <w:szCs w:val="18"/>
              </w:rPr>
              <w:t>Cirolar</w:t>
            </w:r>
          </w:p>
        </w:tc>
        <w:tc>
          <w:tcPr>
            <w:tcW w:w="1226" w:type="dxa"/>
            <w:tcBorders>
              <w:top w:val="nil"/>
              <w:left w:val="nil"/>
              <w:bottom w:val="nil"/>
              <w:right w:val="nil"/>
            </w:tcBorders>
            <w:shd w:val="clear" w:color="auto" w:fill="auto"/>
            <w:vAlign w:val="center"/>
          </w:tcPr>
          <w:p w14:paraId="50EB012E" w14:textId="2E444D4F"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415" w:type="dxa"/>
            <w:tcBorders>
              <w:top w:val="nil"/>
              <w:left w:val="nil"/>
              <w:bottom w:val="nil"/>
              <w:right w:val="nil"/>
            </w:tcBorders>
            <w:shd w:val="clear" w:color="auto" w:fill="auto"/>
            <w:vAlign w:val="center"/>
          </w:tcPr>
          <w:p w14:paraId="629913E8" w14:textId="0D568919"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559" w:type="dxa"/>
            <w:tcBorders>
              <w:top w:val="nil"/>
              <w:left w:val="nil"/>
              <w:bottom w:val="nil"/>
              <w:right w:val="nil"/>
            </w:tcBorders>
            <w:shd w:val="clear" w:color="auto" w:fill="auto"/>
            <w:vAlign w:val="center"/>
          </w:tcPr>
          <w:p w14:paraId="259D8F16" w14:textId="4BD63CCD"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610" w:type="dxa"/>
            <w:tcBorders>
              <w:top w:val="nil"/>
              <w:left w:val="nil"/>
              <w:bottom w:val="nil"/>
              <w:right w:val="nil"/>
            </w:tcBorders>
            <w:shd w:val="clear" w:color="auto" w:fill="auto"/>
            <w:vAlign w:val="center"/>
          </w:tcPr>
          <w:p w14:paraId="288716BC" w14:textId="74E77191"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r>
      <w:tr w:rsidR="00934795" w:rsidRPr="00872D7E" w14:paraId="2F780808" w14:textId="77777777" w:rsidTr="00B47307">
        <w:trPr>
          <w:cantSplit/>
          <w:trHeight w:val="170"/>
        </w:trPr>
        <w:tc>
          <w:tcPr>
            <w:tcW w:w="3574" w:type="dxa"/>
            <w:vAlign w:val="center"/>
          </w:tcPr>
          <w:p w14:paraId="0573B82D" w14:textId="77777777" w:rsidR="00934795" w:rsidRPr="00872D7E" w:rsidRDefault="00934795" w:rsidP="00934795">
            <w:pPr>
              <w:rPr>
                <w:rFonts w:eastAsia="Arial Unicode MS"/>
                <w:bCs/>
                <w:sz w:val="18"/>
                <w:szCs w:val="18"/>
              </w:rPr>
            </w:pPr>
            <w:r w:rsidRPr="00872D7E">
              <w:rPr>
                <w:bCs/>
                <w:sz w:val="18"/>
                <w:szCs w:val="18"/>
              </w:rPr>
              <w:t xml:space="preserve">Menkul kıymet ihracında satın alma garantileri </w:t>
            </w:r>
          </w:p>
        </w:tc>
        <w:tc>
          <w:tcPr>
            <w:tcW w:w="1226" w:type="dxa"/>
            <w:tcBorders>
              <w:top w:val="nil"/>
              <w:left w:val="nil"/>
              <w:bottom w:val="nil"/>
              <w:right w:val="nil"/>
            </w:tcBorders>
            <w:shd w:val="clear" w:color="auto" w:fill="auto"/>
            <w:vAlign w:val="center"/>
          </w:tcPr>
          <w:p w14:paraId="436D5A15" w14:textId="6DFCB37F"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415" w:type="dxa"/>
            <w:tcBorders>
              <w:top w:val="nil"/>
              <w:left w:val="nil"/>
              <w:bottom w:val="nil"/>
              <w:right w:val="nil"/>
            </w:tcBorders>
            <w:shd w:val="clear" w:color="auto" w:fill="auto"/>
            <w:vAlign w:val="center"/>
          </w:tcPr>
          <w:p w14:paraId="5525B942" w14:textId="127EF7AA"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559" w:type="dxa"/>
            <w:tcBorders>
              <w:top w:val="nil"/>
              <w:left w:val="nil"/>
              <w:bottom w:val="nil"/>
              <w:right w:val="nil"/>
            </w:tcBorders>
            <w:shd w:val="clear" w:color="auto" w:fill="auto"/>
            <w:vAlign w:val="center"/>
          </w:tcPr>
          <w:p w14:paraId="23410CD1" w14:textId="2BEFF739"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610" w:type="dxa"/>
            <w:tcBorders>
              <w:top w:val="nil"/>
              <w:left w:val="nil"/>
              <w:bottom w:val="nil"/>
              <w:right w:val="nil"/>
            </w:tcBorders>
            <w:shd w:val="clear" w:color="auto" w:fill="auto"/>
            <w:vAlign w:val="center"/>
          </w:tcPr>
          <w:p w14:paraId="119580BA" w14:textId="2FEBFD9B"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r>
      <w:tr w:rsidR="00934795" w:rsidRPr="00872D7E" w14:paraId="26584DB7" w14:textId="77777777" w:rsidTr="00683052">
        <w:trPr>
          <w:cantSplit/>
          <w:trHeight w:val="80"/>
        </w:trPr>
        <w:tc>
          <w:tcPr>
            <w:tcW w:w="3574" w:type="dxa"/>
            <w:vAlign w:val="center"/>
          </w:tcPr>
          <w:p w14:paraId="2AD8F80B" w14:textId="77777777" w:rsidR="00934795" w:rsidRPr="00872D7E" w:rsidRDefault="00934795" w:rsidP="00934795">
            <w:pPr>
              <w:rPr>
                <w:sz w:val="18"/>
                <w:szCs w:val="18"/>
              </w:rPr>
            </w:pPr>
            <w:proofErr w:type="spellStart"/>
            <w:r w:rsidRPr="00872D7E">
              <w:rPr>
                <w:bCs/>
                <w:sz w:val="18"/>
                <w:szCs w:val="18"/>
              </w:rPr>
              <w:t>Faktoring</w:t>
            </w:r>
            <w:proofErr w:type="spellEnd"/>
            <w:r w:rsidRPr="00872D7E">
              <w:rPr>
                <w:bCs/>
                <w:sz w:val="18"/>
                <w:szCs w:val="18"/>
              </w:rPr>
              <w:t xml:space="preserve"> garantileri</w:t>
            </w:r>
          </w:p>
        </w:tc>
        <w:tc>
          <w:tcPr>
            <w:tcW w:w="1226" w:type="dxa"/>
            <w:tcBorders>
              <w:top w:val="nil"/>
              <w:left w:val="nil"/>
              <w:right w:val="nil"/>
            </w:tcBorders>
            <w:shd w:val="clear" w:color="auto" w:fill="auto"/>
            <w:vAlign w:val="center"/>
          </w:tcPr>
          <w:p w14:paraId="60B08F5E" w14:textId="0B6CEA1F"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415" w:type="dxa"/>
            <w:tcBorders>
              <w:top w:val="nil"/>
              <w:left w:val="nil"/>
              <w:right w:val="nil"/>
            </w:tcBorders>
            <w:shd w:val="clear" w:color="auto" w:fill="auto"/>
            <w:vAlign w:val="center"/>
          </w:tcPr>
          <w:p w14:paraId="7078ED06" w14:textId="6C5E4D53"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559" w:type="dxa"/>
            <w:tcBorders>
              <w:top w:val="nil"/>
              <w:left w:val="nil"/>
              <w:right w:val="nil"/>
            </w:tcBorders>
            <w:shd w:val="clear" w:color="auto" w:fill="auto"/>
            <w:vAlign w:val="center"/>
          </w:tcPr>
          <w:p w14:paraId="6A2A0440" w14:textId="78C94D7A"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610" w:type="dxa"/>
            <w:tcBorders>
              <w:top w:val="nil"/>
              <w:left w:val="nil"/>
              <w:right w:val="nil"/>
            </w:tcBorders>
            <w:shd w:val="clear" w:color="auto" w:fill="auto"/>
            <w:vAlign w:val="center"/>
          </w:tcPr>
          <w:p w14:paraId="68F1FBDD" w14:textId="5DAE49EA"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r>
      <w:tr w:rsidR="00934795" w:rsidRPr="00872D7E" w14:paraId="789769EA" w14:textId="77777777" w:rsidTr="00683052">
        <w:trPr>
          <w:cantSplit/>
          <w:trHeight w:val="80"/>
        </w:trPr>
        <w:tc>
          <w:tcPr>
            <w:tcW w:w="3574" w:type="dxa"/>
            <w:tcBorders>
              <w:bottom w:val="single" w:sz="4" w:space="0" w:color="auto"/>
            </w:tcBorders>
            <w:shd w:val="clear" w:color="auto" w:fill="auto"/>
            <w:vAlign w:val="center"/>
          </w:tcPr>
          <w:p w14:paraId="24AA25B2" w14:textId="77777777" w:rsidR="00934795" w:rsidRPr="00872D7E" w:rsidRDefault="00934795" w:rsidP="00934795">
            <w:pPr>
              <w:rPr>
                <w:rFonts w:eastAsia="Arial Unicode MS"/>
                <w:sz w:val="18"/>
                <w:szCs w:val="18"/>
              </w:rPr>
            </w:pPr>
            <w:r w:rsidRPr="00872D7E">
              <w:rPr>
                <w:sz w:val="18"/>
                <w:szCs w:val="18"/>
              </w:rPr>
              <w:t>Diğer garanti ve kefaletler</w:t>
            </w:r>
          </w:p>
        </w:tc>
        <w:tc>
          <w:tcPr>
            <w:tcW w:w="1226" w:type="dxa"/>
            <w:tcBorders>
              <w:top w:val="nil"/>
              <w:left w:val="nil"/>
              <w:bottom w:val="single" w:sz="4" w:space="0" w:color="auto"/>
              <w:right w:val="nil"/>
            </w:tcBorders>
            <w:shd w:val="clear" w:color="auto" w:fill="auto"/>
            <w:vAlign w:val="center"/>
          </w:tcPr>
          <w:p w14:paraId="2E74EAB1" w14:textId="025674F2"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415" w:type="dxa"/>
            <w:tcBorders>
              <w:top w:val="nil"/>
              <w:left w:val="nil"/>
              <w:bottom w:val="single" w:sz="4" w:space="0" w:color="auto"/>
              <w:right w:val="nil"/>
            </w:tcBorders>
            <w:shd w:val="clear" w:color="auto" w:fill="auto"/>
            <w:vAlign w:val="center"/>
          </w:tcPr>
          <w:p w14:paraId="565C57A6" w14:textId="49D120B6"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559" w:type="dxa"/>
            <w:tcBorders>
              <w:top w:val="nil"/>
              <w:left w:val="nil"/>
              <w:bottom w:val="single" w:sz="4" w:space="0" w:color="auto"/>
              <w:right w:val="nil"/>
            </w:tcBorders>
            <w:shd w:val="clear" w:color="auto" w:fill="auto"/>
            <w:vAlign w:val="center"/>
          </w:tcPr>
          <w:p w14:paraId="2F9B62DB" w14:textId="76E0B3D1"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c>
          <w:tcPr>
            <w:tcW w:w="1610" w:type="dxa"/>
            <w:tcBorders>
              <w:top w:val="nil"/>
              <w:left w:val="nil"/>
              <w:bottom w:val="single" w:sz="4" w:space="0" w:color="auto"/>
              <w:right w:val="nil"/>
            </w:tcBorders>
            <w:shd w:val="clear" w:color="auto" w:fill="auto"/>
            <w:vAlign w:val="center"/>
          </w:tcPr>
          <w:p w14:paraId="772C4672" w14:textId="255F57A2" w:rsidR="00934795" w:rsidRPr="00872D7E" w:rsidRDefault="00934795" w:rsidP="00934795">
            <w:pPr>
              <w:ind w:right="91" w:firstLineChars="100" w:firstLine="180"/>
              <w:jc w:val="right"/>
              <w:rPr>
                <w:color w:val="000000"/>
                <w:sz w:val="18"/>
                <w:szCs w:val="18"/>
              </w:rPr>
            </w:pPr>
            <w:r w:rsidRPr="00872D7E">
              <w:rPr>
                <w:color w:val="000000"/>
                <w:sz w:val="18"/>
                <w:szCs w:val="18"/>
              </w:rPr>
              <w:t>-</w:t>
            </w:r>
          </w:p>
        </w:tc>
      </w:tr>
    </w:tbl>
    <w:p w14:paraId="3CEBC350" w14:textId="77777777" w:rsidR="00965649" w:rsidRPr="00872D7E" w:rsidRDefault="00965649">
      <w:pPr>
        <w:rPr>
          <w:b/>
          <w:szCs w:val="20"/>
        </w:rPr>
      </w:pPr>
      <w:r w:rsidRPr="00872D7E">
        <w:rPr>
          <w:b/>
          <w:szCs w:val="20"/>
        </w:rPr>
        <w:br w:type="page"/>
      </w:r>
    </w:p>
    <w:p w14:paraId="185706F7" w14:textId="54B4F36F" w:rsidR="009B0E8B" w:rsidRPr="00872D7E" w:rsidRDefault="009B0E8B" w:rsidP="009B0E8B">
      <w:pPr>
        <w:widowControl w:val="0"/>
        <w:spacing w:line="228" w:lineRule="auto"/>
        <w:jc w:val="both"/>
        <w:rPr>
          <w:b/>
          <w:szCs w:val="20"/>
        </w:rPr>
      </w:pPr>
      <w:r w:rsidRPr="00872D7E">
        <w:rPr>
          <w:b/>
          <w:szCs w:val="20"/>
        </w:rPr>
        <w:lastRenderedPageBreak/>
        <w:t>KONSOLİDE OLMAYAN FİNANSAL TABLOLARA İLİŞKİN AÇIKLAMA VE DİPNOTLAR (Devamı)</w:t>
      </w:r>
    </w:p>
    <w:p w14:paraId="5DB2E1E8" w14:textId="77777777" w:rsidR="009B0E8B" w:rsidRPr="00872D7E" w:rsidRDefault="009B0E8B" w:rsidP="009B0E8B">
      <w:pPr>
        <w:widowControl w:val="0"/>
        <w:spacing w:line="228" w:lineRule="auto"/>
        <w:ind w:left="-14" w:hanging="504"/>
        <w:jc w:val="both"/>
        <w:rPr>
          <w:b/>
          <w:szCs w:val="20"/>
        </w:rPr>
      </w:pPr>
    </w:p>
    <w:p w14:paraId="3291799E" w14:textId="77777777" w:rsidR="009B0E8B" w:rsidRPr="00872D7E" w:rsidRDefault="009B0E8B" w:rsidP="009B0E8B">
      <w:pPr>
        <w:widowControl w:val="0"/>
        <w:spacing w:line="228" w:lineRule="auto"/>
        <w:ind w:left="851" w:hanging="851"/>
        <w:jc w:val="both"/>
        <w:rPr>
          <w:b/>
          <w:szCs w:val="20"/>
        </w:rPr>
      </w:pPr>
      <w:r w:rsidRPr="00872D7E">
        <w:rPr>
          <w:b/>
          <w:szCs w:val="20"/>
        </w:rPr>
        <w:t xml:space="preserve">III. </w:t>
      </w:r>
      <w:r w:rsidRPr="00872D7E">
        <w:rPr>
          <w:b/>
          <w:szCs w:val="20"/>
        </w:rPr>
        <w:tab/>
        <w:t>NAZIM HESAPLARA İLİŞKİN AÇIKLAMA VE DİPNOTLAR (Devamı)</w:t>
      </w:r>
    </w:p>
    <w:p w14:paraId="70AC2D69" w14:textId="77777777" w:rsidR="009B0E8B" w:rsidRPr="00872D7E" w:rsidRDefault="009B0E8B" w:rsidP="00934795"/>
    <w:p w14:paraId="682AA619" w14:textId="465B614F" w:rsidR="007F484C" w:rsidRPr="00872D7E" w:rsidRDefault="00B56215" w:rsidP="00DF282B">
      <w:pPr>
        <w:pStyle w:val="ListParagraph"/>
        <w:widowControl w:val="0"/>
        <w:numPr>
          <w:ilvl w:val="0"/>
          <w:numId w:val="53"/>
        </w:numPr>
        <w:spacing w:after="120" w:line="216" w:lineRule="auto"/>
        <w:ind w:left="851" w:hanging="851"/>
        <w:jc w:val="both"/>
        <w:rPr>
          <w:b/>
          <w:szCs w:val="20"/>
        </w:rPr>
      </w:pPr>
      <w:r w:rsidRPr="00872D7E">
        <w:rPr>
          <w:b/>
          <w:szCs w:val="20"/>
        </w:rPr>
        <w:t>Türev işlemlere ilişkin açıklamalar:</w:t>
      </w: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097720" w:rsidRPr="00872D7E" w14:paraId="15048C33" w14:textId="77777777" w:rsidTr="008B3274">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2FB40649" w14:textId="77777777" w:rsidR="00097720" w:rsidRPr="00872D7E" w:rsidRDefault="00097720" w:rsidP="008B3274">
            <w:pPr>
              <w:rPr>
                <w:sz w:val="18"/>
                <w:szCs w:val="18"/>
              </w:rPr>
            </w:pPr>
            <w:r w:rsidRPr="00872D7E">
              <w:rPr>
                <w:sz w:val="18"/>
                <w:szCs w:val="18"/>
              </w:rPr>
              <w:t> </w:t>
            </w:r>
          </w:p>
        </w:tc>
        <w:tc>
          <w:tcPr>
            <w:tcW w:w="2240" w:type="dxa"/>
            <w:tcBorders>
              <w:top w:val="single" w:sz="4" w:space="0" w:color="auto"/>
              <w:left w:val="nil"/>
              <w:bottom w:val="single" w:sz="4" w:space="0" w:color="auto"/>
              <w:right w:val="nil"/>
            </w:tcBorders>
            <w:shd w:val="clear" w:color="auto" w:fill="auto"/>
            <w:vAlign w:val="bottom"/>
          </w:tcPr>
          <w:p w14:paraId="2861EF99" w14:textId="77777777" w:rsidR="00097720" w:rsidRPr="00872D7E" w:rsidRDefault="00097720" w:rsidP="008B3274">
            <w:pPr>
              <w:jc w:val="right"/>
              <w:rPr>
                <w:b/>
                <w:bCs/>
                <w:sz w:val="18"/>
                <w:szCs w:val="18"/>
              </w:rPr>
            </w:pPr>
            <w:r w:rsidRPr="00872D7E">
              <w:rPr>
                <w:b/>
                <w:bCs/>
                <w:sz w:val="18"/>
                <w:szCs w:val="18"/>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5031793A" w14:textId="77777777" w:rsidR="00097720" w:rsidRPr="00872D7E" w:rsidRDefault="00097720" w:rsidP="008B3274">
            <w:pPr>
              <w:jc w:val="right"/>
              <w:rPr>
                <w:b/>
                <w:bCs/>
                <w:sz w:val="18"/>
                <w:szCs w:val="18"/>
              </w:rPr>
            </w:pPr>
            <w:r w:rsidRPr="00872D7E">
              <w:rPr>
                <w:b/>
                <w:bCs/>
                <w:sz w:val="18"/>
                <w:szCs w:val="18"/>
              </w:rPr>
              <w:t>Amaçlarına göre türev işlemler</w:t>
            </w:r>
          </w:p>
        </w:tc>
      </w:tr>
      <w:tr w:rsidR="0023738A" w:rsidRPr="00872D7E" w14:paraId="21217370" w14:textId="77777777" w:rsidTr="008B3274">
        <w:trPr>
          <w:trHeight w:val="20"/>
        </w:trPr>
        <w:tc>
          <w:tcPr>
            <w:tcW w:w="5033" w:type="dxa"/>
            <w:tcBorders>
              <w:top w:val="nil"/>
              <w:left w:val="nil"/>
              <w:bottom w:val="single" w:sz="4" w:space="0" w:color="auto"/>
              <w:right w:val="nil"/>
            </w:tcBorders>
            <w:shd w:val="clear" w:color="auto" w:fill="auto"/>
            <w:noWrap/>
            <w:vAlign w:val="bottom"/>
            <w:hideMark/>
          </w:tcPr>
          <w:p w14:paraId="6A834A1B" w14:textId="77777777" w:rsidR="0023738A" w:rsidRPr="00872D7E" w:rsidRDefault="0023738A" w:rsidP="008B3274">
            <w:pPr>
              <w:rPr>
                <w:b/>
                <w:bCs/>
                <w:sz w:val="18"/>
                <w:szCs w:val="18"/>
              </w:rPr>
            </w:pPr>
            <w:r w:rsidRPr="00872D7E">
              <w:rPr>
                <w:b/>
                <w:bCs/>
                <w:sz w:val="18"/>
                <w:szCs w:val="18"/>
              </w:rPr>
              <w:t> </w:t>
            </w:r>
          </w:p>
        </w:tc>
        <w:tc>
          <w:tcPr>
            <w:tcW w:w="2240" w:type="dxa"/>
            <w:tcBorders>
              <w:top w:val="nil"/>
              <w:left w:val="nil"/>
              <w:bottom w:val="single" w:sz="4" w:space="0" w:color="auto"/>
              <w:right w:val="nil"/>
            </w:tcBorders>
            <w:shd w:val="clear" w:color="auto" w:fill="auto"/>
          </w:tcPr>
          <w:p w14:paraId="49BED5E2" w14:textId="526C9E21" w:rsidR="0023738A" w:rsidRPr="00872D7E" w:rsidRDefault="0023738A" w:rsidP="008B3274">
            <w:pPr>
              <w:ind w:right="56" w:firstLine="661"/>
              <w:jc w:val="right"/>
              <w:rPr>
                <w:b/>
                <w:bCs/>
                <w:sz w:val="18"/>
                <w:szCs w:val="18"/>
              </w:rPr>
            </w:pPr>
            <w:r w:rsidRPr="00872D7E">
              <w:rPr>
                <w:b/>
                <w:bCs/>
                <w:sz w:val="18"/>
                <w:szCs w:val="18"/>
              </w:rPr>
              <w:t>31 Aralık 2024</w:t>
            </w:r>
          </w:p>
        </w:tc>
        <w:tc>
          <w:tcPr>
            <w:tcW w:w="2240" w:type="dxa"/>
            <w:tcBorders>
              <w:top w:val="nil"/>
              <w:left w:val="nil"/>
              <w:bottom w:val="single" w:sz="4" w:space="0" w:color="auto"/>
              <w:right w:val="nil"/>
            </w:tcBorders>
            <w:shd w:val="clear" w:color="auto" w:fill="auto"/>
            <w:noWrap/>
            <w:hideMark/>
          </w:tcPr>
          <w:p w14:paraId="39202468" w14:textId="6142C633" w:rsidR="0023738A" w:rsidRPr="00872D7E" w:rsidRDefault="0023738A" w:rsidP="008B3274">
            <w:pPr>
              <w:ind w:right="56" w:firstLine="661"/>
              <w:jc w:val="right"/>
              <w:rPr>
                <w:b/>
                <w:bCs/>
                <w:sz w:val="18"/>
                <w:szCs w:val="18"/>
              </w:rPr>
            </w:pPr>
            <w:r w:rsidRPr="00872D7E">
              <w:rPr>
                <w:b/>
                <w:bCs/>
                <w:sz w:val="18"/>
                <w:szCs w:val="18"/>
              </w:rPr>
              <w:t>1 Ocak 2024</w:t>
            </w:r>
          </w:p>
        </w:tc>
      </w:tr>
      <w:tr w:rsidR="00097720" w:rsidRPr="00872D7E" w14:paraId="3C5004CE" w14:textId="77777777" w:rsidTr="008B3274">
        <w:trPr>
          <w:trHeight w:val="20"/>
        </w:trPr>
        <w:tc>
          <w:tcPr>
            <w:tcW w:w="5033" w:type="dxa"/>
            <w:tcBorders>
              <w:top w:val="nil"/>
              <w:left w:val="nil"/>
              <w:bottom w:val="nil"/>
              <w:right w:val="nil"/>
            </w:tcBorders>
            <w:shd w:val="clear" w:color="auto" w:fill="auto"/>
            <w:noWrap/>
            <w:vAlign w:val="bottom"/>
            <w:hideMark/>
          </w:tcPr>
          <w:p w14:paraId="1B56585F" w14:textId="77777777" w:rsidR="00097720" w:rsidRPr="00872D7E" w:rsidRDefault="00097720" w:rsidP="008B3274">
            <w:pPr>
              <w:rPr>
                <w:b/>
                <w:bCs/>
                <w:sz w:val="18"/>
                <w:szCs w:val="18"/>
              </w:rPr>
            </w:pPr>
            <w:r w:rsidRPr="00872D7E">
              <w:rPr>
                <w:b/>
                <w:bCs/>
                <w:sz w:val="18"/>
                <w:szCs w:val="18"/>
              </w:rPr>
              <w:t xml:space="preserve">Alım satım amaçlı işlemlerin türleri </w:t>
            </w:r>
          </w:p>
        </w:tc>
        <w:tc>
          <w:tcPr>
            <w:tcW w:w="2240" w:type="dxa"/>
            <w:tcBorders>
              <w:top w:val="nil"/>
              <w:left w:val="nil"/>
              <w:bottom w:val="nil"/>
              <w:right w:val="nil"/>
            </w:tcBorders>
            <w:shd w:val="clear" w:color="auto" w:fill="auto"/>
            <w:vAlign w:val="bottom"/>
          </w:tcPr>
          <w:p w14:paraId="5A88EF54" w14:textId="77777777" w:rsidR="00097720" w:rsidRPr="00872D7E" w:rsidRDefault="00097720" w:rsidP="008B3274">
            <w:pPr>
              <w:ind w:right="56"/>
              <w:jc w:val="right"/>
              <w:rPr>
                <w:b/>
                <w:bCs/>
                <w:sz w:val="18"/>
                <w:szCs w:val="18"/>
              </w:rPr>
            </w:pPr>
          </w:p>
        </w:tc>
        <w:tc>
          <w:tcPr>
            <w:tcW w:w="2240" w:type="dxa"/>
            <w:tcBorders>
              <w:top w:val="nil"/>
              <w:left w:val="nil"/>
              <w:bottom w:val="nil"/>
              <w:right w:val="nil"/>
            </w:tcBorders>
            <w:shd w:val="clear" w:color="auto" w:fill="auto"/>
            <w:noWrap/>
            <w:vAlign w:val="bottom"/>
            <w:hideMark/>
          </w:tcPr>
          <w:p w14:paraId="525259E8" w14:textId="77777777" w:rsidR="00097720" w:rsidRPr="00872D7E" w:rsidRDefault="00097720" w:rsidP="008B3274">
            <w:pPr>
              <w:ind w:right="56"/>
              <w:jc w:val="right"/>
              <w:rPr>
                <w:b/>
                <w:bCs/>
                <w:sz w:val="18"/>
                <w:szCs w:val="18"/>
              </w:rPr>
            </w:pPr>
          </w:p>
        </w:tc>
      </w:tr>
      <w:tr w:rsidR="0023738A" w:rsidRPr="00872D7E" w14:paraId="0011CF18" w14:textId="77777777" w:rsidTr="008B3274">
        <w:trPr>
          <w:trHeight w:val="20"/>
        </w:trPr>
        <w:tc>
          <w:tcPr>
            <w:tcW w:w="5033" w:type="dxa"/>
            <w:tcBorders>
              <w:top w:val="nil"/>
              <w:left w:val="nil"/>
              <w:bottom w:val="nil"/>
              <w:right w:val="nil"/>
            </w:tcBorders>
            <w:shd w:val="clear" w:color="auto" w:fill="auto"/>
            <w:noWrap/>
            <w:vAlign w:val="bottom"/>
            <w:hideMark/>
          </w:tcPr>
          <w:p w14:paraId="64D51F69" w14:textId="77777777" w:rsidR="0023738A" w:rsidRPr="00872D7E" w:rsidRDefault="0023738A" w:rsidP="008B3274">
            <w:pPr>
              <w:rPr>
                <w:b/>
                <w:bCs/>
                <w:sz w:val="18"/>
                <w:szCs w:val="18"/>
              </w:rPr>
            </w:pPr>
            <w:r w:rsidRPr="00872D7E">
              <w:rPr>
                <w:b/>
                <w:bCs/>
                <w:sz w:val="18"/>
                <w:szCs w:val="18"/>
              </w:rPr>
              <w:t>Döviz ile ilgili türev işlemler (I)</w:t>
            </w:r>
          </w:p>
        </w:tc>
        <w:tc>
          <w:tcPr>
            <w:tcW w:w="2240" w:type="dxa"/>
            <w:tcBorders>
              <w:top w:val="nil"/>
              <w:left w:val="nil"/>
              <w:bottom w:val="nil"/>
              <w:right w:val="nil"/>
            </w:tcBorders>
            <w:shd w:val="clear" w:color="auto" w:fill="auto"/>
            <w:vAlign w:val="bottom"/>
          </w:tcPr>
          <w:p w14:paraId="5F22F169" w14:textId="2ED397F2" w:rsidR="0023738A" w:rsidRPr="00872D7E" w:rsidRDefault="0023738A" w:rsidP="008B3274">
            <w:pPr>
              <w:spacing w:before="100" w:beforeAutospacing="1" w:after="100" w:afterAutospacing="1"/>
              <w:ind w:right="56"/>
              <w:jc w:val="right"/>
              <w:rPr>
                <w:b/>
                <w:bCs/>
                <w:sz w:val="18"/>
                <w:szCs w:val="18"/>
              </w:rPr>
            </w:pPr>
            <w:r w:rsidRPr="00872D7E">
              <w:rPr>
                <w:b/>
                <w:bCs/>
                <w:sz w:val="18"/>
                <w:szCs w:val="18"/>
              </w:rPr>
              <w:t>15.368.077</w:t>
            </w:r>
          </w:p>
        </w:tc>
        <w:tc>
          <w:tcPr>
            <w:tcW w:w="2240" w:type="dxa"/>
            <w:tcBorders>
              <w:top w:val="nil"/>
              <w:left w:val="nil"/>
              <w:bottom w:val="nil"/>
              <w:right w:val="nil"/>
            </w:tcBorders>
            <w:shd w:val="clear" w:color="auto" w:fill="auto"/>
            <w:noWrap/>
            <w:vAlign w:val="bottom"/>
          </w:tcPr>
          <w:p w14:paraId="5A94230F" w14:textId="16CB7A07" w:rsidR="0023738A" w:rsidRPr="00872D7E" w:rsidRDefault="00934795" w:rsidP="008B3274">
            <w:pPr>
              <w:spacing w:before="100" w:beforeAutospacing="1" w:after="100" w:afterAutospacing="1"/>
              <w:ind w:right="56"/>
              <w:jc w:val="right"/>
              <w:rPr>
                <w:b/>
                <w:sz w:val="18"/>
                <w:szCs w:val="18"/>
              </w:rPr>
            </w:pPr>
            <w:r w:rsidRPr="00872D7E">
              <w:rPr>
                <w:b/>
                <w:sz w:val="18"/>
                <w:szCs w:val="18"/>
              </w:rPr>
              <w:t>-</w:t>
            </w:r>
          </w:p>
        </w:tc>
      </w:tr>
      <w:tr w:rsidR="00934795" w:rsidRPr="00872D7E" w14:paraId="0FEAD3D3" w14:textId="77777777" w:rsidTr="00271A62">
        <w:trPr>
          <w:trHeight w:val="20"/>
        </w:trPr>
        <w:tc>
          <w:tcPr>
            <w:tcW w:w="5033" w:type="dxa"/>
            <w:tcBorders>
              <w:top w:val="nil"/>
              <w:left w:val="nil"/>
              <w:bottom w:val="nil"/>
              <w:right w:val="nil"/>
            </w:tcBorders>
            <w:shd w:val="clear" w:color="auto" w:fill="auto"/>
            <w:noWrap/>
            <w:vAlign w:val="bottom"/>
            <w:hideMark/>
          </w:tcPr>
          <w:p w14:paraId="46427AA0" w14:textId="77777777" w:rsidR="00934795" w:rsidRPr="00872D7E" w:rsidRDefault="00934795" w:rsidP="00934795">
            <w:pPr>
              <w:ind w:firstLineChars="100" w:firstLine="180"/>
              <w:rPr>
                <w:sz w:val="18"/>
                <w:szCs w:val="18"/>
              </w:rPr>
            </w:pPr>
            <w:r w:rsidRPr="00872D7E">
              <w:rPr>
                <w:sz w:val="18"/>
                <w:szCs w:val="18"/>
              </w:rPr>
              <w:t>Vadeli döviz alım satım işlemleri</w:t>
            </w:r>
          </w:p>
        </w:tc>
        <w:tc>
          <w:tcPr>
            <w:tcW w:w="2240" w:type="dxa"/>
            <w:tcBorders>
              <w:top w:val="nil"/>
              <w:left w:val="nil"/>
              <w:bottom w:val="nil"/>
              <w:right w:val="nil"/>
            </w:tcBorders>
            <w:shd w:val="clear" w:color="auto" w:fill="auto"/>
            <w:vAlign w:val="bottom"/>
          </w:tcPr>
          <w:p w14:paraId="7F671AB9" w14:textId="0678E01B" w:rsidR="00934795" w:rsidRPr="00872D7E" w:rsidRDefault="00934795" w:rsidP="00934795">
            <w:pPr>
              <w:spacing w:before="100" w:beforeAutospacing="1" w:after="100" w:afterAutospacing="1"/>
              <w:ind w:right="56"/>
              <w:jc w:val="right"/>
              <w:rPr>
                <w:sz w:val="18"/>
                <w:szCs w:val="18"/>
              </w:rPr>
            </w:pPr>
            <w:r w:rsidRPr="00872D7E">
              <w:rPr>
                <w:sz w:val="18"/>
                <w:szCs w:val="18"/>
              </w:rPr>
              <w:t>5.111.010</w:t>
            </w:r>
          </w:p>
        </w:tc>
        <w:tc>
          <w:tcPr>
            <w:tcW w:w="2240" w:type="dxa"/>
            <w:tcBorders>
              <w:top w:val="nil"/>
              <w:left w:val="nil"/>
              <w:bottom w:val="nil"/>
              <w:right w:val="nil"/>
            </w:tcBorders>
            <w:shd w:val="clear" w:color="auto" w:fill="auto"/>
            <w:noWrap/>
          </w:tcPr>
          <w:p w14:paraId="31792770" w14:textId="47F62EF5" w:rsidR="00934795" w:rsidRPr="00872D7E" w:rsidRDefault="00934795" w:rsidP="00934795">
            <w:pPr>
              <w:spacing w:before="100" w:beforeAutospacing="1" w:after="100" w:afterAutospacing="1"/>
              <w:ind w:right="56"/>
              <w:jc w:val="right"/>
              <w:rPr>
                <w:sz w:val="18"/>
                <w:szCs w:val="18"/>
              </w:rPr>
            </w:pPr>
            <w:r w:rsidRPr="00872D7E">
              <w:rPr>
                <w:b/>
                <w:sz w:val="18"/>
                <w:szCs w:val="18"/>
              </w:rPr>
              <w:t>-</w:t>
            </w:r>
          </w:p>
        </w:tc>
      </w:tr>
      <w:tr w:rsidR="00934795" w:rsidRPr="00872D7E" w14:paraId="60DE15E8" w14:textId="77777777" w:rsidTr="00271A62">
        <w:trPr>
          <w:trHeight w:val="20"/>
        </w:trPr>
        <w:tc>
          <w:tcPr>
            <w:tcW w:w="5033" w:type="dxa"/>
            <w:tcBorders>
              <w:top w:val="nil"/>
              <w:left w:val="nil"/>
              <w:bottom w:val="nil"/>
              <w:right w:val="nil"/>
            </w:tcBorders>
            <w:shd w:val="clear" w:color="auto" w:fill="auto"/>
            <w:noWrap/>
            <w:vAlign w:val="bottom"/>
            <w:hideMark/>
          </w:tcPr>
          <w:p w14:paraId="3ECCFADA" w14:textId="77777777" w:rsidR="00934795" w:rsidRPr="00872D7E" w:rsidRDefault="00934795" w:rsidP="00934795">
            <w:pPr>
              <w:ind w:firstLineChars="100" w:firstLine="180"/>
              <w:rPr>
                <w:sz w:val="18"/>
                <w:szCs w:val="18"/>
              </w:rPr>
            </w:pPr>
            <w:r w:rsidRPr="00872D7E">
              <w:rPr>
                <w:sz w:val="18"/>
                <w:szCs w:val="18"/>
              </w:rPr>
              <w:t>Swap para alım satım işlemleri</w:t>
            </w:r>
          </w:p>
        </w:tc>
        <w:tc>
          <w:tcPr>
            <w:tcW w:w="2240" w:type="dxa"/>
            <w:tcBorders>
              <w:top w:val="nil"/>
              <w:left w:val="nil"/>
              <w:bottom w:val="nil"/>
              <w:right w:val="nil"/>
            </w:tcBorders>
            <w:shd w:val="clear" w:color="auto" w:fill="auto"/>
            <w:vAlign w:val="bottom"/>
          </w:tcPr>
          <w:p w14:paraId="58C055AF" w14:textId="663A2055" w:rsidR="00934795" w:rsidRPr="00872D7E" w:rsidRDefault="00934795" w:rsidP="00934795">
            <w:pPr>
              <w:spacing w:before="100" w:beforeAutospacing="1" w:after="100" w:afterAutospacing="1"/>
              <w:ind w:right="56"/>
              <w:jc w:val="right"/>
              <w:rPr>
                <w:sz w:val="18"/>
                <w:szCs w:val="18"/>
              </w:rPr>
            </w:pPr>
            <w:r w:rsidRPr="00872D7E">
              <w:rPr>
                <w:sz w:val="18"/>
                <w:szCs w:val="18"/>
              </w:rPr>
              <w:t>10.257.067</w:t>
            </w:r>
          </w:p>
        </w:tc>
        <w:tc>
          <w:tcPr>
            <w:tcW w:w="2240" w:type="dxa"/>
            <w:tcBorders>
              <w:top w:val="nil"/>
              <w:left w:val="nil"/>
              <w:bottom w:val="nil"/>
              <w:right w:val="nil"/>
            </w:tcBorders>
            <w:shd w:val="clear" w:color="auto" w:fill="auto"/>
            <w:noWrap/>
          </w:tcPr>
          <w:p w14:paraId="65A40844" w14:textId="4A744A37" w:rsidR="00934795" w:rsidRPr="00872D7E" w:rsidRDefault="00934795" w:rsidP="00934795">
            <w:pPr>
              <w:spacing w:before="100" w:beforeAutospacing="1" w:after="100" w:afterAutospacing="1"/>
              <w:ind w:right="56"/>
              <w:jc w:val="right"/>
              <w:rPr>
                <w:sz w:val="18"/>
                <w:szCs w:val="18"/>
              </w:rPr>
            </w:pPr>
            <w:r w:rsidRPr="00872D7E">
              <w:rPr>
                <w:b/>
                <w:sz w:val="18"/>
                <w:szCs w:val="18"/>
              </w:rPr>
              <w:t>-</w:t>
            </w:r>
          </w:p>
        </w:tc>
      </w:tr>
      <w:tr w:rsidR="00934795" w:rsidRPr="00872D7E" w14:paraId="598A5558" w14:textId="77777777" w:rsidTr="00271A62">
        <w:trPr>
          <w:trHeight w:val="20"/>
        </w:trPr>
        <w:tc>
          <w:tcPr>
            <w:tcW w:w="5033" w:type="dxa"/>
            <w:tcBorders>
              <w:top w:val="nil"/>
              <w:left w:val="nil"/>
              <w:bottom w:val="nil"/>
              <w:right w:val="nil"/>
            </w:tcBorders>
            <w:shd w:val="clear" w:color="auto" w:fill="auto"/>
            <w:noWrap/>
            <w:vAlign w:val="bottom"/>
            <w:hideMark/>
          </w:tcPr>
          <w:p w14:paraId="42FB5320" w14:textId="77777777" w:rsidR="00934795" w:rsidRPr="00872D7E" w:rsidRDefault="00934795" w:rsidP="00934795">
            <w:pPr>
              <w:ind w:firstLineChars="100" w:firstLine="180"/>
              <w:rPr>
                <w:sz w:val="18"/>
                <w:szCs w:val="18"/>
              </w:rPr>
            </w:pPr>
            <w:r w:rsidRPr="00872D7E">
              <w:rPr>
                <w:sz w:val="18"/>
                <w:szCs w:val="18"/>
              </w:rPr>
              <w:t xml:space="preserve">Futures para işlemleri </w:t>
            </w:r>
          </w:p>
        </w:tc>
        <w:tc>
          <w:tcPr>
            <w:tcW w:w="2240" w:type="dxa"/>
            <w:tcBorders>
              <w:top w:val="nil"/>
              <w:left w:val="nil"/>
              <w:bottom w:val="nil"/>
              <w:right w:val="nil"/>
            </w:tcBorders>
            <w:shd w:val="clear" w:color="auto" w:fill="auto"/>
            <w:vAlign w:val="bottom"/>
          </w:tcPr>
          <w:p w14:paraId="3EB0D767" w14:textId="5EF74361" w:rsidR="00934795" w:rsidRPr="00872D7E" w:rsidRDefault="00934795" w:rsidP="00934795">
            <w:pPr>
              <w:spacing w:before="100" w:beforeAutospacing="1" w:after="100" w:afterAutospacing="1"/>
              <w:ind w:right="56"/>
              <w:jc w:val="right"/>
              <w:rPr>
                <w:sz w:val="18"/>
                <w:szCs w:val="18"/>
              </w:rPr>
            </w:pPr>
            <w:r w:rsidRPr="00872D7E">
              <w:rPr>
                <w:sz w:val="18"/>
                <w:szCs w:val="18"/>
              </w:rPr>
              <w:t>-</w:t>
            </w:r>
          </w:p>
        </w:tc>
        <w:tc>
          <w:tcPr>
            <w:tcW w:w="2240" w:type="dxa"/>
            <w:tcBorders>
              <w:top w:val="nil"/>
              <w:left w:val="nil"/>
              <w:bottom w:val="nil"/>
              <w:right w:val="nil"/>
            </w:tcBorders>
            <w:shd w:val="clear" w:color="auto" w:fill="auto"/>
            <w:noWrap/>
          </w:tcPr>
          <w:p w14:paraId="21447006" w14:textId="6A4FF852" w:rsidR="00934795" w:rsidRPr="00872D7E" w:rsidRDefault="00934795" w:rsidP="00934795">
            <w:pPr>
              <w:spacing w:before="100" w:beforeAutospacing="1" w:after="100" w:afterAutospacing="1"/>
              <w:ind w:right="56"/>
              <w:jc w:val="right"/>
              <w:rPr>
                <w:sz w:val="18"/>
                <w:szCs w:val="18"/>
              </w:rPr>
            </w:pPr>
            <w:r w:rsidRPr="00872D7E">
              <w:rPr>
                <w:b/>
                <w:sz w:val="18"/>
                <w:szCs w:val="18"/>
              </w:rPr>
              <w:t>-</w:t>
            </w:r>
          </w:p>
        </w:tc>
      </w:tr>
      <w:tr w:rsidR="00934795" w:rsidRPr="00872D7E" w14:paraId="30E0466B" w14:textId="77777777" w:rsidTr="00271A62">
        <w:trPr>
          <w:trHeight w:val="20"/>
        </w:trPr>
        <w:tc>
          <w:tcPr>
            <w:tcW w:w="5033" w:type="dxa"/>
            <w:tcBorders>
              <w:top w:val="nil"/>
              <w:left w:val="nil"/>
              <w:bottom w:val="nil"/>
              <w:right w:val="nil"/>
            </w:tcBorders>
            <w:shd w:val="clear" w:color="auto" w:fill="auto"/>
            <w:noWrap/>
            <w:vAlign w:val="bottom"/>
            <w:hideMark/>
          </w:tcPr>
          <w:p w14:paraId="2AF8EF88" w14:textId="77777777" w:rsidR="00934795" w:rsidRPr="00872D7E" w:rsidRDefault="00934795" w:rsidP="00934795">
            <w:pPr>
              <w:ind w:firstLineChars="100" w:firstLine="180"/>
              <w:rPr>
                <w:sz w:val="18"/>
                <w:szCs w:val="18"/>
              </w:rPr>
            </w:pPr>
            <w:r w:rsidRPr="00872D7E">
              <w:rPr>
                <w:sz w:val="18"/>
                <w:szCs w:val="18"/>
              </w:rPr>
              <w:t>Para alım satım opsiyonları</w:t>
            </w:r>
          </w:p>
        </w:tc>
        <w:tc>
          <w:tcPr>
            <w:tcW w:w="2240" w:type="dxa"/>
            <w:tcBorders>
              <w:top w:val="nil"/>
              <w:left w:val="nil"/>
              <w:bottom w:val="nil"/>
              <w:right w:val="nil"/>
            </w:tcBorders>
            <w:shd w:val="clear" w:color="auto" w:fill="auto"/>
            <w:vAlign w:val="bottom"/>
          </w:tcPr>
          <w:p w14:paraId="2B09F0BA" w14:textId="4EE0CCA9" w:rsidR="00934795" w:rsidRPr="00872D7E" w:rsidRDefault="00934795" w:rsidP="00934795">
            <w:pPr>
              <w:ind w:right="56" w:firstLineChars="100" w:firstLine="180"/>
              <w:jc w:val="right"/>
              <w:rPr>
                <w:sz w:val="18"/>
                <w:szCs w:val="18"/>
              </w:rPr>
            </w:pPr>
            <w:r w:rsidRPr="00872D7E">
              <w:rPr>
                <w:sz w:val="18"/>
                <w:szCs w:val="18"/>
              </w:rPr>
              <w:t>-</w:t>
            </w:r>
          </w:p>
        </w:tc>
        <w:tc>
          <w:tcPr>
            <w:tcW w:w="2240" w:type="dxa"/>
            <w:tcBorders>
              <w:top w:val="nil"/>
              <w:left w:val="nil"/>
              <w:bottom w:val="nil"/>
              <w:right w:val="nil"/>
            </w:tcBorders>
            <w:shd w:val="clear" w:color="auto" w:fill="auto"/>
            <w:noWrap/>
          </w:tcPr>
          <w:p w14:paraId="3764CB84" w14:textId="18F6418D" w:rsidR="00934795" w:rsidRPr="00872D7E" w:rsidRDefault="00934795" w:rsidP="00934795">
            <w:pPr>
              <w:ind w:right="56" w:firstLineChars="100" w:firstLine="181"/>
              <w:jc w:val="right"/>
              <w:rPr>
                <w:sz w:val="18"/>
                <w:szCs w:val="18"/>
              </w:rPr>
            </w:pPr>
            <w:r w:rsidRPr="00872D7E">
              <w:rPr>
                <w:b/>
                <w:sz w:val="18"/>
                <w:szCs w:val="18"/>
              </w:rPr>
              <w:t>-</w:t>
            </w:r>
          </w:p>
        </w:tc>
      </w:tr>
      <w:tr w:rsidR="00934795" w:rsidRPr="00872D7E" w14:paraId="382CDF8B" w14:textId="77777777" w:rsidTr="00271A62">
        <w:trPr>
          <w:trHeight w:val="20"/>
        </w:trPr>
        <w:tc>
          <w:tcPr>
            <w:tcW w:w="5033" w:type="dxa"/>
            <w:tcBorders>
              <w:top w:val="nil"/>
              <w:left w:val="nil"/>
              <w:bottom w:val="nil"/>
              <w:right w:val="nil"/>
            </w:tcBorders>
            <w:shd w:val="clear" w:color="auto" w:fill="auto"/>
            <w:noWrap/>
            <w:vAlign w:val="bottom"/>
            <w:hideMark/>
          </w:tcPr>
          <w:p w14:paraId="26FA4AF1" w14:textId="77777777" w:rsidR="00934795" w:rsidRPr="00872D7E" w:rsidRDefault="00934795" w:rsidP="00934795">
            <w:pPr>
              <w:rPr>
                <w:b/>
                <w:bCs/>
                <w:sz w:val="18"/>
                <w:szCs w:val="18"/>
              </w:rPr>
            </w:pPr>
            <w:r w:rsidRPr="00872D7E">
              <w:rPr>
                <w:b/>
                <w:bCs/>
                <w:sz w:val="18"/>
                <w:szCs w:val="18"/>
              </w:rPr>
              <w:t>Kar Payı ile ilgili türev işlemler (II)</w:t>
            </w:r>
          </w:p>
        </w:tc>
        <w:tc>
          <w:tcPr>
            <w:tcW w:w="2240" w:type="dxa"/>
            <w:tcBorders>
              <w:top w:val="nil"/>
              <w:left w:val="nil"/>
              <w:bottom w:val="nil"/>
              <w:right w:val="nil"/>
            </w:tcBorders>
            <w:shd w:val="clear" w:color="auto" w:fill="auto"/>
            <w:vAlign w:val="bottom"/>
          </w:tcPr>
          <w:p w14:paraId="6B19D1BF" w14:textId="211842DE" w:rsidR="00934795" w:rsidRPr="00872D7E" w:rsidRDefault="00934795" w:rsidP="00934795">
            <w:pPr>
              <w:ind w:right="56"/>
              <w:jc w:val="right"/>
              <w:rPr>
                <w:b/>
                <w:bCs/>
                <w:sz w:val="18"/>
                <w:szCs w:val="18"/>
              </w:rPr>
            </w:pPr>
            <w:r w:rsidRPr="00872D7E">
              <w:rPr>
                <w:sz w:val="18"/>
                <w:szCs w:val="18"/>
              </w:rPr>
              <w:t>-</w:t>
            </w:r>
          </w:p>
        </w:tc>
        <w:tc>
          <w:tcPr>
            <w:tcW w:w="2240" w:type="dxa"/>
            <w:tcBorders>
              <w:top w:val="nil"/>
              <w:left w:val="nil"/>
              <w:bottom w:val="nil"/>
              <w:right w:val="nil"/>
            </w:tcBorders>
            <w:shd w:val="clear" w:color="auto" w:fill="auto"/>
            <w:noWrap/>
          </w:tcPr>
          <w:p w14:paraId="58907031" w14:textId="3A3D76F2" w:rsidR="00934795" w:rsidRPr="00872D7E" w:rsidRDefault="00934795" w:rsidP="00934795">
            <w:pPr>
              <w:ind w:right="56"/>
              <w:jc w:val="right"/>
              <w:rPr>
                <w:b/>
                <w:bCs/>
                <w:sz w:val="18"/>
                <w:szCs w:val="18"/>
              </w:rPr>
            </w:pPr>
            <w:r w:rsidRPr="00872D7E">
              <w:rPr>
                <w:b/>
                <w:sz w:val="18"/>
                <w:szCs w:val="18"/>
              </w:rPr>
              <w:t>-</w:t>
            </w:r>
          </w:p>
        </w:tc>
      </w:tr>
      <w:tr w:rsidR="00934795" w:rsidRPr="00872D7E" w14:paraId="38A9F342" w14:textId="77777777" w:rsidTr="00271A62">
        <w:trPr>
          <w:trHeight w:val="20"/>
        </w:trPr>
        <w:tc>
          <w:tcPr>
            <w:tcW w:w="5033" w:type="dxa"/>
            <w:tcBorders>
              <w:top w:val="nil"/>
              <w:left w:val="nil"/>
              <w:bottom w:val="nil"/>
              <w:right w:val="nil"/>
            </w:tcBorders>
            <w:shd w:val="clear" w:color="auto" w:fill="auto"/>
            <w:noWrap/>
            <w:vAlign w:val="bottom"/>
            <w:hideMark/>
          </w:tcPr>
          <w:p w14:paraId="2C88A5DF" w14:textId="77777777" w:rsidR="00934795" w:rsidRPr="00872D7E" w:rsidRDefault="00934795" w:rsidP="00934795">
            <w:pPr>
              <w:ind w:firstLineChars="100" w:firstLine="180"/>
              <w:rPr>
                <w:sz w:val="18"/>
                <w:szCs w:val="18"/>
              </w:rPr>
            </w:pPr>
            <w:r w:rsidRPr="00872D7E">
              <w:rPr>
                <w:sz w:val="18"/>
                <w:szCs w:val="18"/>
              </w:rPr>
              <w:t xml:space="preserve">Vadeli </w:t>
            </w:r>
            <w:proofErr w:type="gramStart"/>
            <w:r w:rsidRPr="00872D7E">
              <w:rPr>
                <w:sz w:val="18"/>
                <w:szCs w:val="18"/>
              </w:rPr>
              <w:t>kar</w:t>
            </w:r>
            <w:proofErr w:type="gramEnd"/>
            <w:r w:rsidRPr="00872D7E">
              <w:rPr>
                <w:sz w:val="18"/>
                <w:szCs w:val="18"/>
              </w:rPr>
              <w:t xml:space="preserve"> payı sözleşmesi alım satım işlemleri </w:t>
            </w:r>
          </w:p>
        </w:tc>
        <w:tc>
          <w:tcPr>
            <w:tcW w:w="2240" w:type="dxa"/>
            <w:tcBorders>
              <w:top w:val="nil"/>
              <w:left w:val="nil"/>
              <w:bottom w:val="nil"/>
              <w:right w:val="nil"/>
            </w:tcBorders>
            <w:shd w:val="clear" w:color="auto" w:fill="auto"/>
            <w:vAlign w:val="bottom"/>
          </w:tcPr>
          <w:p w14:paraId="115035B4" w14:textId="3AC9FF76" w:rsidR="00934795" w:rsidRPr="00872D7E" w:rsidRDefault="00934795" w:rsidP="00934795">
            <w:pPr>
              <w:ind w:right="56" w:firstLineChars="100" w:firstLine="180"/>
              <w:jc w:val="right"/>
              <w:rPr>
                <w:sz w:val="18"/>
                <w:szCs w:val="18"/>
              </w:rPr>
            </w:pPr>
            <w:r w:rsidRPr="00872D7E">
              <w:rPr>
                <w:sz w:val="18"/>
                <w:szCs w:val="18"/>
              </w:rPr>
              <w:t>-</w:t>
            </w:r>
          </w:p>
        </w:tc>
        <w:tc>
          <w:tcPr>
            <w:tcW w:w="2240" w:type="dxa"/>
            <w:tcBorders>
              <w:top w:val="nil"/>
              <w:left w:val="nil"/>
              <w:bottom w:val="nil"/>
              <w:right w:val="nil"/>
            </w:tcBorders>
            <w:shd w:val="clear" w:color="auto" w:fill="auto"/>
            <w:noWrap/>
          </w:tcPr>
          <w:p w14:paraId="4D28FE20" w14:textId="6308E8A5" w:rsidR="00934795" w:rsidRPr="00872D7E" w:rsidRDefault="00934795" w:rsidP="00934795">
            <w:pPr>
              <w:ind w:right="56" w:firstLineChars="100" w:firstLine="181"/>
              <w:jc w:val="right"/>
              <w:rPr>
                <w:sz w:val="18"/>
                <w:szCs w:val="18"/>
              </w:rPr>
            </w:pPr>
            <w:r w:rsidRPr="00872D7E">
              <w:rPr>
                <w:b/>
                <w:sz w:val="18"/>
                <w:szCs w:val="18"/>
              </w:rPr>
              <w:t>-</w:t>
            </w:r>
          </w:p>
        </w:tc>
      </w:tr>
      <w:tr w:rsidR="00934795" w:rsidRPr="00872D7E" w14:paraId="4484CA19" w14:textId="77777777" w:rsidTr="00271A62">
        <w:trPr>
          <w:trHeight w:val="20"/>
        </w:trPr>
        <w:tc>
          <w:tcPr>
            <w:tcW w:w="5033" w:type="dxa"/>
            <w:tcBorders>
              <w:top w:val="nil"/>
              <w:left w:val="nil"/>
              <w:bottom w:val="nil"/>
              <w:right w:val="nil"/>
            </w:tcBorders>
            <w:shd w:val="clear" w:color="auto" w:fill="auto"/>
            <w:noWrap/>
            <w:vAlign w:val="bottom"/>
            <w:hideMark/>
          </w:tcPr>
          <w:p w14:paraId="6AE5F873" w14:textId="77777777" w:rsidR="00934795" w:rsidRPr="00872D7E" w:rsidRDefault="00934795" w:rsidP="00934795">
            <w:pPr>
              <w:ind w:firstLineChars="100" w:firstLine="180"/>
              <w:rPr>
                <w:sz w:val="18"/>
                <w:szCs w:val="18"/>
              </w:rPr>
            </w:pPr>
            <w:r w:rsidRPr="00872D7E">
              <w:rPr>
                <w:sz w:val="18"/>
                <w:szCs w:val="18"/>
              </w:rPr>
              <w:t xml:space="preserve">Swap </w:t>
            </w:r>
            <w:proofErr w:type="gramStart"/>
            <w:r w:rsidRPr="00872D7E">
              <w:rPr>
                <w:sz w:val="18"/>
                <w:szCs w:val="18"/>
              </w:rPr>
              <w:t>kar</w:t>
            </w:r>
            <w:proofErr w:type="gramEnd"/>
            <w:r w:rsidRPr="00872D7E">
              <w:rPr>
                <w:sz w:val="18"/>
                <w:szCs w:val="18"/>
              </w:rPr>
              <w:t xml:space="preserve"> payı alım satım işlemleri</w:t>
            </w:r>
          </w:p>
        </w:tc>
        <w:tc>
          <w:tcPr>
            <w:tcW w:w="2240" w:type="dxa"/>
            <w:tcBorders>
              <w:top w:val="nil"/>
              <w:left w:val="nil"/>
              <w:bottom w:val="nil"/>
              <w:right w:val="nil"/>
            </w:tcBorders>
            <w:shd w:val="clear" w:color="auto" w:fill="auto"/>
            <w:vAlign w:val="bottom"/>
          </w:tcPr>
          <w:p w14:paraId="13794CF0" w14:textId="725A3046" w:rsidR="00934795" w:rsidRPr="00872D7E" w:rsidRDefault="00934795" w:rsidP="00934795">
            <w:pPr>
              <w:ind w:right="56" w:firstLineChars="100" w:firstLine="180"/>
              <w:jc w:val="right"/>
              <w:rPr>
                <w:sz w:val="18"/>
                <w:szCs w:val="18"/>
              </w:rPr>
            </w:pPr>
            <w:r w:rsidRPr="00872D7E">
              <w:rPr>
                <w:sz w:val="18"/>
                <w:szCs w:val="18"/>
              </w:rPr>
              <w:t>-</w:t>
            </w:r>
          </w:p>
        </w:tc>
        <w:tc>
          <w:tcPr>
            <w:tcW w:w="2240" w:type="dxa"/>
            <w:tcBorders>
              <w:top w:val="nil"/>
              <w:left w:val="nil"/>
              <w:bottom w:val="nil"/>
              <w:right w:val="nil"/>
            </w:tcBorders>
            <w:shd w:val="clear" w:color="auto" w:fill="auto"/>
            <w:noWrap/>
          </w:tcPr>
          <w:p w14:paraId="2F896217" w14:textId="67D1EDC3" w:rsidR="00934795" w:rsidRPr="00872D7E" w:rsidRDefault="00934795" w:rsidP="00934795">
            <w:pPr>
              <w:ind w:right="56" w:firstLineChars="100" w:firstLine="181"/>
              <w:jc w:val="right"/>
              <w:rPr>
                <w:sz w:val="18"/>
                <w:szCs w:val="18"/>
              </w:rPr>
            </w:pPr>
            <w:r w:rsidRPr="00872D7E">
              <w:rPr>
                <w:b/>
                <w:sz w:val="18"/>
                <w:szCs w:val="18"/>
              </w:rPr>
              <w:t>-</w:t>
            </w:r>
          </w:p>
        </w:tc>
      </w:tr>
      <w:tr w:rsidR="00934795" w:rsidRPr="00872D7E" w14:paraId="6316E038" w14:textId="77777777" w:rsidTr="00271A62">
        <w:trPr>
          <w:trHeight w:val="20"/>
        </w:trPr>
        <w:tc>
          <w:tcPr>
            <w:tcW w:w="5033" w:type="dxa"/>
            <w:tcBorders>
              <w:top w:val="nil"/>
              <w:left w:val="nil"/>
              <w:bottom w:val="nil"/>
              <w:right w:val="nil"/>
            </w:tcBorders>
            <w:shd w:val="clear" w:color="auto" w:fill="auto"/>
            <w:noWrap/>
            <w:vAlign w:val="bottom"/>
            <w:hideMark/>
          </w:tcPr>
          <w:p w14:paraId="3549EE56" w14:textId="77777777" w:rsidR="00934795" w:rsidRPr="00872D7E" w:rsidRDefault="00934795" w:rsidP="00934795">
            <w:pPr>
              <w:ind w:firstLineChars="100" w:firstLine="180"/>
              <w:rPr>
                <w:sz w:val="18"/>
                <w:szCs w:val="18"/>
              </w:rPr>
            </w:pPr>
            <w:proofErr w:type="gramStart"/>
            <w:r w:rsidRPr="00872D7E">
              <w:rPr>
                <w:sz w:val="18"/>
                <w:szCs w:val="18"/>
              </w:rPr>
              <w:t>Kar</w:t>
            </w:r>
            <w:proofErr w:type="gramEnd"/>
            <w:r w:rsidRPr="00872D7E">
              <w:rPr>
                <w:sz w:val="18"/>
                <w:szCs w:val="18"/>
              </w:rPr>
              <w:t xml:space="preserve"> payı alım satım opsiyonları</w:t>
            </w:r>
          </w:p>
        </w:tc>
        <w:tc>
          <w:tcPr>
            <w:tcW w:w="2240" w:type="dxa"/>
            <w:tcBorders>
              <w:top w:val="nil"/>
              <w:left w:val="nil"/>
              <w:bottom w:val="nil"/>
              <w:right w:val="nil"/>
            </w:tcBorders>
            <w:shd w:val="clear" w:color="auto" w:fill="auto"/>
            <w:vAlign w:val="bottom"/>
          </w:tcPr>
          <w:p w14:paraId="70491721" w14:textId="08FAE88A" w:rsidR="00934795" w:rsidRPr="00872D7E" w:rsidRDefault="00934795" w:rsidP="00934795">
            <w:pPr>
              <w:ind w:right="56" w:firstLineChars="100" w:firstLine="180"/>
              <w:jc w:val="right"/>
              <w:rPr>
                <w:sz w:val="18"/>
                <w:szCs w:val="18"/>
              </w:rPr>
            </w:pPr>
            <w:r w:rsidRPr="00872D7E">
              <w:rPr>
                <w:sz w:val="18"/>
                <w:szCs w:val="18"/>
              </w:rPr>
              <w:t>-</w:t>
            </w:r>
          </w:p>
        </w:tc>
        <w:tc>
          <w:tcPr>
            <w:tcW w:w="2240" w:type="dxa"/>
            <w:tcBorders>
              <w:top w:val="nil"/>
              <w:left w:val="nil"/>
              <w:bottom w:val="nil"/>
              <w:right w:val="nil"/>
            </w:tcBorders>
            <w:shd w:val="clear" w:color="auto" w:fill="auto"/>
            <w:noWrap/>
          </w:tcPr>
          <w:p w14:paraId="3F094E8A" w14:textId="7B9B3A49" w:rsidR="00934795" w:rsidRPr="00872D7E" w:rsidRDefault="00934795" w:rsidP="00934795">
            <w:pPr>
              <w:ind w:right="56" w:firstLineChars="100" w:firstLine="181"/>
              <w:jc w:val="right"/>
              <w:rPr>
                <w:sz w:val="18"/>
                <w:szCs w:val="18"/>
              </w:rPr>
            </w:pPr>
            <w:r w:rsidRPr="00872D7E">
              <w:rPr>
                <w:b/>
                <w:sz w:val="18"/>
                <w:szCs w:val="18"/>
              </w:rPr>
              <w:t>-</w:t>
            </w:r>
          </w:p>
        </w:tc>
      </w:tr>
      <w:tr w:rsidR="00934795" w:rsidRPr="00872D7E" w14:paraId="13CAD2ED" w14:textId="77777777" w:rsidTr="00271A62">
        <w:trPr>
          <w:trHeight w:val="20"/>
        </w:trPr>
        <w:tc>
          <w:tcPr>
            <w:tcW w:w="5033" w:type="dxa"/>
            <w:tcBorders>
              <w:top w:val="nil"/>
              <w:left w:val="nil"/>
              <w:bottom w:val="nil"/>
              <w:right w:val="nil"/>
            </w:tcBorders>
            <w:shd w:val="clear" w:color="auto" w:fill="auto"/>
            <w:noWrap/>
            <w:vAlign w:val="bottom"/>
            <w:hideMark/>
          </w:tcPr>
          <w:p w14:paraId="7FA4A73F" w14:textId="77777777" w:rsidR="00934795" w:rsidRPr="00872D7E" w:rsidRDefault="00934795" w:rsidP="00934795">
            <w:pPr>
              <w:ind w:firstLineChars="100" w:firstLine="180"/>
              <w:rPr>
                <w:sz w:val="18"/>
                <w:szCs w:val="18"/>
              </w:rPr>
            </w:pPr>
            <w:r w:rsidRPr="00872D7E">
              <w:rPr>
                <w:sz w:val="18"/>
                <w:szCs w:val="18"/>
              </w:rPr>
              <w:t xml:space="preserve">Futures </w:t>
            </w:r>
            <w:proofErr w:type="gramStart"/>
            <w:r w:rsidRPr="00872D7E">
              <w:rPr>
                <w:sz w:val="18"/>
                <w:szCs w:val="18"/>
              </w:rPr>
              <w:t>kar</w:t>
            </w:r>
            <w:proofErr w:type="gramEnd"/>
            <w:r w:rsidRPr="00872D7E">
              <w:rPr>
                <w:sz w:val="18"/>
                <w:szCs w:val="18"/>
              </w:rPr>
              <w:t xml:space="preserve"> payı alım satım işlemleri</w:t>
            </w:r>
          </w:p>
        </w:tc>
        <w:tc>
          <w:tcPr>
            <w:tcW w:w="2240" w:type="dxa"/>
            <w:tcBorders>
              <w:top w:val="nil"/>
              <w:left w:val="nil"/>
              <w:bottom w:val="nil"/>
              <w:right w:val="nil"/>
            </w:tcBorders>
            <w:shd w:val="clear" w:color="auto" w:fill="auto"/>
            <w:vAlign w:val="bottom"/>
          </w:tcPr>
          <w:p w14:paraId="6AB11318" w14:textId="1CB7BA65" w:rsidR="00934795" w:rsidRPr="00872D7E" w:rsidRDefault="00934795" w:rsidP="00934795">
            <w:pPr>
              <w:ind w:right="56" w:firstLineChars="100" w:firstLine="180"/>
              <w:jc w:val="right"/>
              <w:rPr>
                <w:sz w:val="18"/>
                <w:szCs w:val="18"/>
              </w:rPr>
            </w:pPr>
            <w:r w:rsidRPr="00872D7E">
              <w:rPr>
                <w:sz w:val="18"/>
                <w:szCs w:val="18"/>
              </w:rPr>
              <w:t>-</w:t>
            </w:r>
          </w:p>
        </w:tc>
        <w:tc>
          <w:tcPr>
            <w:tcW w:w="2240" w:type="dxa"/>
            <w:tcBorders>
              <w:top w:val="nil"/>
              <w:left w:val="nil"/>
              <w:bottom w:val="nil"/>
              <w:right w:val="nil"/>
            </w:tcBorders>
            <w:shd w:val="clear" w:color="auto" w:fill="auto"/>
            <w:noWrap/>
          </w:tcPr>
          <w:p w14:paraId="26367FA0" w14:textId="0D180AAB" w:rsidR="00934795" w:rsidRPr="00872D7E" w:rsidRDefault="00934795" w:rsidP="00934795">
            <w:pPr>
              <w:ind w:right="56" w:firstLineChars="100" w:firstLine="181"/>
              <w:jc w:val="right"/>
              <w:rPr>
                <w:sz w:val="18"/>
                <w:szCs w:val="18"/>
              </w:rPr>
            </w:pPr>
            <w:r w:rsidRPr="00872D7E">
              <w:rPr>
                <w:b/>
                <w:sz w:val="18"/>
                <w:szCs w:val="18"/>
              </w:rPr>
              <w:t>-</w:t>
            </w:r>
          </w:p>
        </w:tc>
      </w:tr>
      <w:tr w:rsidR="00934795" w:rsidRPr="00872D7E" w14:paraId="0090A6DE" w14:textId="77777777" w:rsidTr="00271A62">
        <w:trPr>
          <w:trHeight w:val="20"/>
        </w:trPr>
        <w:tc>
          <w:tcPr>
            <w:tcW w:w="5033" w:type="dxa"/>
            <w:tcBorders>
              <w:top w:val="nil"/>
              <w:left w:val="nil"/>
              <w:bottom w:val="nil"/>
              <w:right w:val="nil"/>
            </w:tcBorders>
            <w:shd w:val="clear" w:color="auto" w:fill="auto"/>
            <w:noWrap/>
            <w:vAlign w:val="bottom"/>
            <w:hideMark/>
          </w:tcPr>
          <w:p w14:paraId="670A919B" w14:textId="77777777" w:rsidR="00934795" w:rsidRPr="00872D7E" w:rsidRDefault="00934795" w:rsidP="00934795">
            <w:pPr>
              <w:rPr>
                <w:b/>
                <w:bCs/>
                <w:sz w:val="18"/>
                <w:szCs w:val="18"/>
              </w:rPr>
            </w:pPr>
            <w:r w:rsidRPr="00872D7E">
              <w:rPr>
                <w:b/>
                <w:bCs/>
                <w:sz w:val="18"/>
                <w:szCs w:val="18"/>
              </w:rPr>
              <w:t>Diğer alım-satım amaçlı türev işlemler (III)</w:t>
            </w:r>
          </w:p>
        </w:tc>
        <w:tc>
          <w:tcPr>
            <w:tcW w:w="2240" w:type="dxa"/>
            <w:tcBorders>
              <w:top w:val="nil"/>
              <w:left w:val="nil"/>
              <w:bottom w:val="nil"/>
              <w:right w:val="nil"/>
            </w:tcBorders>
            <w:shd w:val="clear" w:color="auto" w:fill="auto"/>
            <w:vAlign w:val="bottom"/>
          </w:tcPr>
          <w:p w14:paraId="1B80DA67" w14:textId="4F767A60" w:rsidR="00934795" w:rsidRPr="00872D7E" w:rsidRDefault="00934795" w:rsidP="00934795">
            <w:pPr>
              <w:ind w:right="56"/>
              <w:jc w:val="right"/>
              <w:rPr>
                <w:b/>
                <w:bCs/>
                <w:sz w:val="18"/>
                <w:szCs w:val="18"/>
              </w:rPr>
            </w:pPr>
            <w:r w:rsidRPr="00872D7E">
              <w:rPr>
                <w:sz w:val="18"/>
                <w:szCs w:val="18"/>
              </w:rPr>
              <w:t>-</w:t>
            </w:r>
          </w:p>
        </w:tc>
        <w:tc>
          <w:tcPr>
            <w:tcW w:w="2240" w:type="dxa"/>
            <w:tcBorders>
              <w:top w:val="nil"/>
              <w:left w:val="nil"/>
              <w:bottom w:val="nil"/>
              <w:right w:val="nil"/>
            </w:tcBorders>
            <w:shd w:val="clear" w:color="auto" w:fill="auto"/>
            <w:noWrap/>
          </w:tcPr>
          <w:p w14:paraId="394754E5" w14:textId="6E5DF73E" w:rsidR="00934795" w:rsidRPr="00872D7E" w:rsidRDefault="00934795" w:rsidP="00934795">
            <w:pPr>
              <w:ind w:right="56"/>
              <w:jc w:val="right"/>
              <w:rPr>
                <w:b/>
                <w:bCs/>
                <w:sz w:val="18"/>
                <w:szCs w:val="18"/>
              </w:rPr>
            </w:pPr>
            <w:r w:rsidRPr="00872D7E">
              <w:rPr>
                <w:b/>
                <w:sz w:val="18"/>
                <w:szCs w:val="18"/>
              </w:rPr>
              <w:t>-</w:t>
            </w:r>
          </w:p>
        </w:tc>
      </w:tr>
      <w:tr w:rsidR="00934795" w:rsidRPr="00872D7E" w14:paraId="211B8539" w14:textId="77777777" w:rsidTr="00271A62">
        <w:trPr>
          <w:trHeight w:val="20"/>
        </w:trPr>
        <w:tc>
          <w:tcPr>
            <w:tcW w:w="5033" w:type="dxa"/>
            <w:tcBorders>
              <w:top w:val="nil"/>
              <w:left w:val="nil"/>
              <w:bottom w:val="nil"/>
              <w:right w:val="nil"/>
            </w:tcBorders>
            <w:shd w:val="clear" w:color="auto" w:fill="auto"/>
            <w:noWrap/>
            <w:vAlign w:val="bottom"/>
            <w:hideMark/>
          </w:tcPr>
          <w:p w14:paraId="485E45AD" w14:textId="77777777" w:rsidR="00934795" w:rsidRPr="00872D7E" w:rsidRDefault="00934795" w:rsidP="00934795">
            <w:pPr>
              <w:rPr>
                <w:b/>
                <w:bCs/>
                <w:sz w:val="18"/>
                <w:szCs w:val="18"/>
              </w:rPr>
            </w:pPr>
            <w:r w:rsidRPr="00872D7E">
              <w:rPr>
                <w:b/>
                <w:bCs/>
                <w:sz w:val="18"/>
                <w:szCs w:val="18"/>
              </w:rPr>
              <w:t>A. Toplam alım satım amaçlı türev işlemler (I+II+III)</w:t>
            </w:r>
          </w:p>
        </w:tc>
        <w:tc>
          <w:tcPr>
            <w:tcW w:w="2240" w:type="dxa"/>
            <w:tcBorders>
              <w:top w:val="nil"/>
              <w:left w:val="nil"/>
              <w:bottom w:val="nil"/>
              <w:right w:val="nil"/>
            </w:tcBorders>
            <w:shd w:val="clear" w:color="auto" w:fill="auto"/>
            <w:vAlign w:val="bottom"/>
          </w:tcPr>
          <w:p w14:paraId="63A3CC12" w14:textId="0F418BDF" w:rsidR="00934795" w:rsidRPr="00872D7E" w:rsidRDefault="00934795" w:rsidP="00934795">
            <w:pPr>
              <w:ind w:right="56"/>
              <w:jc w:val="right"/>
              <w:rPr>
                <w:b/>
                <w:sz w:val="18"/>
                <w:szCs w:val="18"/>
              </w:rPr>
            </w:pPr>
            <w:r w:rsidRPr="00872D7E">
              <w:rPr>
                <w:sz w:val="18"/>
                <w:szCs w:val="18"/>
              </w:rPr>
              <w:t>15.368.077</w:t>
            </w:r>
          </w:p>
        </w:tc>
        <w:tc>
          <w:tcPr>
            <w:tcW w:w="2240" w:type="dxa"/>
            <w:tcBorders>
              <w:top w:val="nil"/>
              <w:left w:val="nil"/>
              <w:bottom w:val="nil"/>
              <w:right w:val="nil"/>
            </w:tcBorders>
            <w:shd w:val="clear" w:color="auto" w:fill="auto"/>
            <w:noWrap/>
          </w:tcPr>
          <w:p w14:paraId="1DD8CC1F" w14:textId="25E2FD69" w:rsidR="00934795" w:rsidRPr="00872D7E" w:rsidRDefault="00934795" w:rsidP="00934795">
            <w:pPr>
              <w:ind w:right="56"/>
              <w:jc w:val="right"/>
              <w:rPr>
                <w:b/>
                <w:sz w:val="18"/>
                <w:szCs w:val="18"/>
              </w:rPr>
            </w:pPr>
            <w:r w:rsidRPr="00872D7E">
              <w:rPr>
                <w:b/>
                <w:sz w:val="18"/>
                <w:szCs w:val="18"/>
              </w:rPr>
              <w:t>-</w:t>
            </w:r>
          </w:p>
        </w:tc>
      </w:tr>
      <w:tr w:rsidR="00934795" w:rsidRPr="00872D7E" w14:paraId="140FBD2E" w14:textId="77777777" w:rsidTr="00271A62">
        <w:trPr>
          <w:trHeight w:val="20"/>
        </w:trPr>
        <w:tc>
          <w:tcPr>
            <w:tcW w:w="5033" w:type="dxa"/>
            <w:tcBorders>
              <w:top w:val="nil"/>
              <w:left w:val="nil"/>
              <w:bottom w:val="nil"/>
              <w:right w:val="nil"/>
            </w:tcBorders>
            <w:shd w:val="clear" w:color="auto" w:fill="auto"/>
            <w:noWrap/>
            <w:vAlign w:val="bottom"/>
            <w:hideMark/>
          </w:tcPr>
          <w:p w14:paraId="37D2ABE2" w14:textId="77777777" w:rsidR="00934795" w:rsidRPr="00872D7E" w:rsidRDefault="00934795" w:rsidP="00934795">
            <w:pPr>
              <w:rPr>
                <w:sz w:val="18"/>
                <w:szCs w:val="18"/>
              </w:rPr>
            </w:pPr>
          </w:p>
        </w:tc>
        <w:tc>
          <w:tcPr>
            <w:tcW w:w="2240" w:type="dxa"/>
            <w:tcBorders>
              <w:top w:val="nil"/>
              <w:left w:val="nil"/>
              <w:bottom w:val="nil"/>
              <w:right w:val="nil"/>
            </w:tcBorders>
            <w:shd w:val="clear" w:color="auto" w:fill="auto"/>
            <w:vAlign w:val="bottom"/>
          </w:tcPr>
          <w:p w14:paraId="2818BE37" w14:textId="77777777" w:rsidR="00934795" w:rsidRPr="00872D7E" w:rsidRDefault="00934795" w:rsidP="00934795">
            <w:pPr>
              <w:ind w:right="56"/>
              <w:jc w:val="right"/>
              <w:rPr>
                <w:sz w:val="18"/>
                <w:szCs w:val="18"/>
              </w:rPr>
            </w:pPr>
          </w:p>
        </w:tc>
        <w:tc>
          <w:tcPr>
            <w:tcW w:w="2240" w:type="dxa"/>
            <w:tcBorders>
              <w:top w:val="nil"/>
              <w:left w:val="nil"/>
              <w:bottom w:val="nil"/>
              <w:right w:val="nil"/>
            </w:tcBorders>
            <w:shd w:val="clear" w:color="auto" w:fill="auto"/>
            <w:noWrap/>
          </w:tcPr>
          <w:p w14:paraId="584617E6" w14:textId="1020709A" w:rsidR="00934795" w:rsidRPr="00872D7E" w:rsidRDefault="00934795" w:rsidP="00934795">
            <w:pPr>
              <w:ind w:right="56"/>
              <w:jc w:val="right"/>
              <w:rPr>
                <w:sz w:val="18"/>
                <w:szCs w:val="18"/>
              </w:rPr>
            </w:pPr>
            <w:r w:rsidRPr="00872D7E">
              <w:rPr>
                <w:b/>
                <w:sz w:val="18"/>
                <w:szCs w:val="18"/>
              </w:rPr>
              <w:t>-</w:t>
            </w:r>
          </w:p>
        </w:tc>
      </w:tr>
      <w:tr w:rsidR="00934795" w:rsidRPr="00872D7E" w14:paraId="535922CF" w14:textId="77777777" w:rsidTr="00271A62">
        <w:trPr>
          <w:trHeight w:val="20"/>
        </w:trPr>
        <w:tc>
          <w:tcPr>
            <w:tcW w:w="5033" w:type="dxa"/>
            <w:tcBorders>
              <w:top w:val="nil"/>
              <w:left w:val="nil"/>
              <w:bottom w:val="nil"/>
              <w:right w:val="nil"/>
            </w:tcBorders>
            <w:shd w:val="clear" w:color="auto" w:fill="auto"/>
            <w:noWrap/>
            <w:vAlign w:val="bottom"/>
            <w:hideMark/>
          </w:tcPr>
          <w:p w14:paraId="3AD95365" w14:textId="77777777" w:rsidR="00934795" w:rsidRPr="00872D7E" w:rsidRDefault="00934795" w:rsidP="00934795">
            <w:pPr>
              <w:rPr>
                <w:b/>
                <w:bCs/>
                <w:sz w:val="18"/>
                <w:szCs w:val="18"/>
              </w:rPr>
            </w:pPr>
            <w:r w:rsidRPr="00872D7E">
              <w:rPr>
                <w:b/>
                <w:bCs/>
                <w:sz w:val="18"/>
                <w:szCs w:val="18"/>
              </w:rPr>
              <w:t>Riskten korunma amaçlı türev işlem türleri</w:t>
            </w:r>
          </w:p>
        </w:tc>
        <w:tc>
          <w:tcPr>
            <w:tcW w:w="2240" w:type="dxa"/>
            <w:tcBorders>
              <w:top w:val="nil"/>
              <w:left w:val="nil"/>
              <w:bottom w:val="nil"/>
              <w:right w:val="nil"/>
            </w:tcBorders>
            <w:shd w:val="clear" w:color="auto" w:fill="auto"/>
            <w:vAlign w:val="bottom"/>
          </w:tcPr>
          <w:p w14:paraId="3E6120AF" w14:textId="609F9911" w:rsidR="00934795" w:rsidRPr="00872D7E" w:rsidRDefault="00934795" w:rsidP="00934795">
            <w:pPr>
              <w:ind w:right="56"/>
              <w:jc w:val="right"/>
              <w:rPr>
                <w:b/>
                <w:bCs/>
                <w:sz w:val="18"/>
                <w:szCs w:val="18"/>
              </w:rPr>
            </w:pPr>
            <w:r w:rsidRPr="00872D7E">
              <w:rPr>
                <w:sz w:val="18"/>
                <w:szCs w:val="18"/>
              </w:rPr>
              <w:t>-</w:t>
            </w:r>
          </w:p>
        </w:tc>
        <w:tc>
          <w:tcPr>
            <w:tcW w:w="2240" w:type="dxa"/>
            <w:tcBorders>
              <w:top w:val="nil"/>
              <w:left w:val="nil"/>
              <w:bottom w:val="nil"/>
              <w:right w:val="nil"/>
            </w:tcBorders>
            <w:shd w:val="clear" w:color="auto" w:fill="auto"/>
            <w:noWrap/>
          </w:tcPr>
          <w:p w14:paraId="2F2FAEFE" w14:textId="478C740D" w:rsidR="00934795" w:rsidRPr="00872D7E" w:rsidRDefault="00934795" w:rsidP="00934795">
            <w:pPr>
              <w:ind w:right="56"/>
              <w:jc w:val="right"/>
              <w:rPr>
                <w:b/>
                <w:bCs/>
                <w:sz w:val="18"/>
                <w:szCs w:val="18"/>
              </w:rPr>
            </w:pPr>
            <w:r w:rsidRPr="00872D7E">
              <w:rPr>
                <w:b/>
                <w:sz w:val="18"/>
                <w:szCs w:val="18"/>
              </w:rPr>
              <w:t>-</w:t>
            </w:r>
          </w:p>
        </w:tc>
      </w:tr>
      <w:tr w:rsidR="00934795" w:rsidRPr="00872D7E" w14:paraId="40C17AA8" w14:textId="77777777" w:rsidTr="00271A62">
        <w:trPr>
          <w:trHeight w:val="20"/>
        </w:trPr>
        <w:tc>
          <w:tcPr>
            <w:tcW w:w="5033" w:type="dxa"/>
            <w:tcBorders>
              <w:top w:val="nil"/>
              <w:left w:val="nil"/>
              <w:bottom w:val="nil"/>
              <w:right w:val="nil"/>
            </w:tcBorders>
            <w:shd w:val="clear" w:color="auto" w:fill="auto"/>
            <w:noWrap/>
            <w:vAlign w:val="bottom"/>
            <w:hideMark/>
          </w:tcPr>
          <w:p w14:paraId="1D99458E" w14:textId="77777777" w:rsidR="00934795" w:rsidRPr="00872D7E" w:rsidRDefault="00934795" w:rsidP="00934795">
            <w:pPr>
              <w:ind w:firstLineChars="100" w:firstLine="180"/>
              <w:rPr>
                <w:sz w:val="18"/>
                <w:szCs w:val="18"/>
              </w:rPr>
            </w:pPr>
            <w:r w:rsidRPr="00872D7E">
              <w:rPr>
                <w:sz w:val="18"/>
                <w:szCs w:val="18"/>
              </w:rPr>
              <w:t>Gerçeğe uygun değer değişikliği riskinden korunma amaçlı</w:t>
            </w:r>
          </w:p>
        </w:tc>
        <w:tc>
          <w:tcPr>
            <w:tcW w:w="2240" w:type="dxa"/>
            <w:tcBorders>
              <w:top w:val="nil"/>
              <w:left w:val="nil"/>
              <w:bottom w:val="nil"/>
              <w:right w:val="nil"/>
            </w:tcBorders>
            <w:shd w:val="clear" w:color="auto" w:fill="auto"/>
            <w:vAlign w:val="bottom"/>
          </w:tcPr>
          <w:p w14:paraId="1C0E10B6" w14:textId="65BFFDB6" w:rsidR="00934795" w:rsidRPr="00872D7E" w:rsidRDefault="00934795" w:rsidP="00934795">
            <w:pPr>
              <w:ind w:right="56" w:firstLineChars="100" w:firstLine="180"/>
              <w:jc w:val="right"/>
              <w:rPr>
                <w:sz w:val="18"/>
                <w:szCs w:val="18"/>
              </w:rPr>
            </w:pPr>
            <w:r w:rsidRPr="00872D7E">
              <w:rPr>
                <w:sz w:val="18"/>
                <w:szCs w:val="18"/>
              </w:rPr>
              <w:t>-</w:t>
            </w:r>
          </w:p>
        </w:tc>
        <w:tc>
          <w:tcPr>
            <w:tcW w:w="2240" w:type="dxa"/>
            <w:tcBorders>
              <w:top w:val="nil"/>
              <w:left w:val="nil"/>
              <w:bottom w:val="nil"/>
              <w:right w:val="nil"/>
            </w:tcBorders>
            <w:shd w:val="clear" w:color="auto" w:fill="auto"/>
            <w:noWrap/>
          </w:tcPr>
          <w:p w14:paraId="62A3CB77" w14:textId="724CE1B9" w:rsidR="00934795" w:rsidRPr="00872D7E" w:rsidRDefault="00934795" w:rsidP="00934795">
            <w:pPr>
              <w:ind w:right="56" w:firstLineChars="100" w:firstLine="181"/>
              <w:jc w:val="right"/>
              <w:rPr>
                <w:sz w:val="18"/>
                <w:szCs w:val="18"/>
              </w:rPr>
            </w:pPr>
            <w:r w:rsidRPr="00872D7E">
              <w:rPr>
                <w:b/>
                <w:sz w:val="18"/>
                <w:szCs w:val="18"/>
              </w:rPr>
              <w:t>-</w:t>
            </w:r>
          </w:p>
        </w:tc>
      </w:tr>
      <w:tr w:rsidR="00934795" w:rsidRPr="00872D7E" w14:paraId="2655BF63" w14:textId="77777777" w:rsidTr="00271A62">
        <w:trPr>
          <w:trHeight w:val="20"/>
        </w:trPr>
        <w:tc>
          <w:tcPr>
            <w:tcW w:w="5033" w:type="dxa"/>
            <w:tcBorders>
              <w:top w:val="nil"/>
              <w:left w:val="nil"/>
              <w:bottom w:val="nil"/>
              <w:right w:val="nil"/>
            </w:tcBorders>
            <w:shd w:val="clear" w:color="auto" w:fill="auto"/>
            <w:noWrap/>
            <w:vAlign w:val="bottom"/>
            <w:hideMark/>
          </w:tcPr>
          <w:p w14:paraId="598B647C" w14:textId="77777777" w:rsidR="00934795" w:rsidRPr="00872D7E" w:rsidRDefault="00934795" w:rsidP="00934795">
            <w:pPr>
              <w:ind w:firstLineChars="100" w:firstLine="180"/>
              <w:rPr>
                <w:sz w:val="18"/>
                <w:szCs w:val="18"/>
              </w:rPr>
            </w:pPr>
            <w:r w:rsidRPr="00872D7E">
              <w:rPr>
                <w:sz w:val="18"/>
                <w:szCs w:val="18"/>
              </w:rPr>
              <w:t>Nakit akış riskinden korunma amaçlı</w:t>
            </w:r>
          </w:p>
        </w:tc>
        <w:tc>
          <w:tcPr>
            <w:tcW w:w="2240" w:type="dxa"/>
            <w:tcBorders>
              <w:top w:val="nil"/>
              <w:left w:val="nil"/>
              <w:bottom w:val="nil"/>
              <w:right w:val="nil"/>
            </w:tcBorders>
            <w:shd w:val="clear" w:color="auto" w:fill="auto"/>
            <w:vAlign w:val="bottom"/>
          </w:tcPr>
          <w:p w14:paraId="539AC0A3" w14:textId="11751579" w:rsidR="00934795" w:rsidRPr="00872D7E" w:rsidRDefault="00934795" w:rsidP="00934795">
            <w:pPr>
              <w:ind w:right="56" w:firstLineChars="100" w:firstLine="180"/>
              <w:jc w:val="right"/>
              <w:rPr>
                <w:sz w:val="18"/>
                <w:szCs w:val="18"/>
              </w:rPr>
            </w:pPr>
            <w:r w:rsidRPr="00872D7E">
              <w:rPr>
                <w:sz w:val="18"/>
                <w:szCs w:val="18"/>
              </w:rPr>
              <w:t>-</w:t>
            </w:r>
          </w:p>
        </w:tc>
        <w:tc>
          <w:tcPr>
            <w:tcW w:w="2240" w:type="dxa"/>
            <w:tcBorders>
              <w:top w:val="nil"/>
              <w:left w:val="nil"/>
              <w:bottom w:val="nil"/>
              <w:right w:val="nil"/>
            </w:tcBorders>
            <w:shd w:val="clear" w:color="auto" w:fill="auto"/>
            <w:noWrap/>
          </w:tcPr>
          <w:p w14:paraId="72DD1404" w14:textId="0A7C6F98" w:rsidR="00934795" w:rsidRPr="00872D7E" w:rsidRDefault="00934795" w:rsidP="00934795">
            <w:pPr>
              <w:ind w:right="56" w:firstLineChars="100" w:firstLine="181"/>
              <w:jc w:val="right"/>
              <w:rPr>
                <w:sz w:val="18"/>
                <w:szCs w:val="18"/>
              </w:rPr>
            </w:pPr>
            <w:r w:rsidRPr="00872D7E">
              <w:rPr>
                <w:b/>
                <w:sz w:val="18"/>
                <w:szCs w:val="18"/>
              </w:rPr>
              <w:t>-</w:t>
            </w:r>
          </w:p>
        </w:tc>
      </w:tr>
      <w:tr w:rsidR="00934795" w:rsidRPr="00872D7E" w14:paraId="4F154C0F" w14:textId="77777777" w:rsidTr="00683052">
        <w:trPr>
          <w:trHeight w:val="20"/>
        </w:trPr>
        <w:tc>
          <w:tcPr>
            <w:tcW w:w="5033" w:type="dxa"/>
            <w:tcBorders>
              <w:top w:val="nil"/>
              <w:left w:val="nil"/>
              <w:right w:val="nil"/>
            </w:tcBorders>
            <w:shd w:val="clear" w:color="auto" w:fill="auto"/>
            <w:noWrap/>
            <w:vAlign w:val="bottom"/>
            <w:hideMark/>
          </w:tcPr>
          <w:p w14:paraId="429BFC07" w14:textId="77777777" w:rsidR="00934795" w:rsidRPr="00872D7E" w:rsidRDefault="00934795" w:rsidP="00934795">
            <w:pPr>
              <w:ind w:firstLineChars="100" w:firstLine="180"/>
              <w:rPr>
                <w:sz w:val="18"/>
                <w:szCs w:val="18"/>
              </w:rPr>
            </w:pPr>
            <w:r w:rsidRPr="00872D7E">
              <w:rPr>
                <w:sz w:val="18"/>
                <w:szCs w:val="18"/>
              </w:rPr>
              <w:t>YP üzerinden yapılan iştirak yatırımları riskinden korunma amaçlı</w:t>
            </w:r>
          </w:p>
        </w:tc>
        <w:tc>
          <w:tcPr>
            <w:tcW w:w="2240" w:type="dxa"/>
            <w:tcBorders>
              <w:top w:val="nil"/>
              <w:left w:val="nil"/>
              <w:right w:val="nil"/>
            </w:tcBorders>
            <w:shd w:val="clear" w:color="auto" w:fill="auto"/>
            <w:vAlign w:val="bottom"/>
          </w:tcPr>
          <w:p w14:paraId="752061D2" w14:textId="53C57B14" w:rsidR="00934795" w:rsidRPr="00872D7E" w:rsidRDefault="00934795" w:rsidP="00934795">
            <w:pPr>
              <w:ind w:right="56" w:firstLineChars="100" w:firstLine="180"/>
              <w:jc w:val="right"/>
              <w:rPr>
                <w:sz w:val="18"/>
                <w:szCs w:val="18"/>
              </w:rPr>
            </w:pPr>
            <w:r w:rsidRPr="00872D7E">
              <w:rPr>
                <w:sz w:val="18"/>
                <w:szCs w:val="18"/>
              </w:rPr>
              <w:t>-</w:t>
            </w:r>
          </w:p>
        </w:tc>
        <w:tc>
          <w:tcPr>
            <w:tcW w:w="2240" w:type="dxa"/>
            <w:tcBorders>
              <w:top w:val="nil"/>
              <w:left w:val="nil"/>
              <w:right w:val="nil"/>
            </w:tcBorders>
            <w:shd w:val="clear" w:color="auto" w:fill="auto"/>
            <w:noWrap/>
          </w:tcPr>
          <w:p w14:paraId="7655A7DA" w14:textId="62D1D795" w:rsidR="00934795" w:rsidRPr="00872D7E" w:rsidRDefault="00934795" w:rsidP="00934795">
            <w:pPr>
              <w:ind w:right="56" w:firstLineChars="100" w:firstLine="181"/>
              <w:jc w:val="right"/>
              <w:rPr>
                <w:sz w:val="18"/>
                <w:szCs w:val="18"/>
              </w:rPr>
            </w:pPr>
            <w:r w:rsidRPr="00872D7E">
              <w:rPr>
                <w:b/>
                <w:sz w:val="18"/>
                <w:szCs w:val="18"/>
              </w:rPr>
              <w:t>-</w:t>
            </w:r>
          </w:p>
        </w:tc>
      </w:tr>
      <w:tr w:rsidR="00934795" w:rsidRPr="00872D7E" w14:paraId="46DB1941" w14:textId="77777777" w:rsidTr="00683052">
        <w:trPr>
          <w:trHeight w:val="20"/>
        </w:trPr>
        <w:tc>
          <w:tcPr>
            <w:tcW w:w="5033" w:type="dxa"/>
            <w:tcBorders>
              <w:top w:val="nil"/>
              <w:left w:val="nil"/>
              <w:bottom w:val="single" w:sz="4" w:space="0" w:color="auto"/>
              <w:right w:val="nil"/>
            </w:tcBorders>
            <w:shd w:val="clear" w:color="auto" w:fill="auto"/>
            <w:noWrap/>
            <w:vAlign w:val="bottom"/>
            <w:hideMark/>
          </w:tcPr>
          <w:p w14:paraId="7F13AAA5" w14:textId="77777777" w:rsidR="00934795" w:rsidRPr="00872D7E" w:rsidRDefault="00934795" w:rsidP="00934795">
            <w:pPr>
              <w:rPr>
                <w:b/>
                <w:bCs/>
                <w:sz w:val="18"/>
                <w:szCs w:val="18"/>
              </w:rPr>
            </w:pPr>
            <w:r w:rsidRPr="00872D7E">
              <w:rPr>
                <w:b/>
                <w:bCs/>
                <w:sz w:val="18"/>
                <w:szCs w:val="18"/>
              </w:rPr>
              <w:t>B. Toplam riskten korunma amaçlı türev işlemler</w:t>
            </w:r>
          </w:p>
        </w:tc>
        <w:tc>
          <w:tcPr>
            <w:tcW w:w="2240" w:type="dxa"/>
            <w:tcBorders>
              <w:top w:val="nil"/>
              <w:left w:val="nil"/>
              <w:bottom w:val="single" w:sz="4" w:space="0" w:color="auto"/>
              <w:right w:val="nil"/>
            </w:tcBorders>
            <w:shd w:val="clear" w:color="auto" w:fill="auto"/>
            <w:vAlign w:val="bottom"/>
          </w:tcPr>
          <w:p w14:paraId="30867BEC" w14:textId="5A0F89FA" w:rsidR="00934795" w:rsidRPr="00872D7E" w:rsidRDefault="00934795" w:rsidP="00934795">
            <w:pPr>
              <w:spacing w:before="100" w:beforeAutospacing="1" w:after="100" w:afterAutospacing="1"/>
              <w:ind w:right="56"/>
              <w:jc w:val="right"/>
              <w:rPr>
                <w:b/>
                <w:sz w:val="18"/>
                <w:szCs w:val="18"/>
              </w:rPr>
            </w:pPr>
            <w:r w:rsidRPr="00872D7E">
              <w:rPr>
                <w:sz w:val="18"/>
                <w:szCs w:val="18"/>
              </w:rPr>
              <w:t>-</w:t>
            </w:r>
          </w:p>
        </w:tc>
        <w:tc>
          <w:tcPr>
            <w:tcW w:w="2240" w:type="dxa"/>
            <w:tcBorders>
              <w:top w:val="nil"/>
              <w:left w:val="nil"/>
              <w:bottom w:val="single" w:sz="4" w:space="0" w:color="auto"/>
              <w:right w:val="nil"/>
            </w:tcBorders>
            <w:shd w:val="clear" w:color="auto" w:fill="auto"/>
            <w:noWrap/>
          </w:tcPr>
          <w:p w14:paraId="324CC981" w14:textId="27486644" w:rsidR="00934795" w:rsidRPr="00872D7E" w:rsidRDefault="00934795" w:rsidP="00934795">
            <w:pPr>
              <w:spacing w:before="100" w:beforeAutospacing="1" w:after="100" w:afterAutospacing="1"/>
              <w:ind w:right="56"/>
              <w:jc w:val="right"/>
              <w:rPr>
                <w:b/>
                <w:sz w:val="18"/>
                <w:szCs w:val="18"/>
              </w:rPr>
            </w:pPr>
            <w:r w:rsidRPr="00872D7E">
              <w:rPr>
                <w:b/>
                <w:sz w:val="18"/>
                <w:szCs w:val="18"/>
              </w:rPr>
              <w:t>-</w:t>
            </w:r>
          </w:p>
        </w:tc>
      </w:tr>
      <w:tr w:rsidR="0023738A" w:rsidRPr="00872D7E" w14:paraId="37CDF765" w14:textId="77777777" w:rsidTr="00683052">
        <w:trPr>
          <w:trHeight w:val="20"/>
        </w:trPr>
        <w:tc>
          <w:tcPr>
            <w:tcW w:w="5033" w:type="dxa"/>
            <w:tcBorders>
              <w:top w:val="single" w:sz="4" w:space="0" w:color="auto"/>
              <w:left w:val="nil"/>
              <w:right w:val="nil"/>
            </w:tcBorders>
            <w:shd w:val="clear" w:color="auto" w:fill="auto"/>
            <w:noWrap/>
            <w:vAlign w:val="bottom"/>
          </w:tcPr>
          <w:p w14:paraId="5E649FB7" w14:textId="77777777" w:rsidR="0023738A" w:rsidRPr="00872D7E" w:rsidRDefault="0023738A" w:rsidP="008B3274">
            <w:pPr>
              <w:rPr>
                <w:b/>
                <w:bCs/>
                <w:sz w:val="18"/>
                <w:szCs w:val="18"/>
              </w:rPr>
            </w:pPr>
          </w:p>
        </w:tc>
        <w:tc>
          <w:tcPr>
            <w:tcW w:w="2240" w:type="dxa"/>
            <w:tcBorders>
              <w:top w:val="single" w:sz="4" w:space="0" w:color="auto"/>
              <w:left w:val="nil"/>
              <w:right w:val="nil"/>
            </w:tcBorders>
            <w:shd w:val="clear" w:color="auto" w:fill="auto"/>
            <w:vAlign w:val="bottom"/>
          </w:tcPr>
          <w:p w14:paraId="555005CC" w14:textId="77777777" w:rsidR="0023738A" w:rsidRPr="00872D7E" w:rsidRDefault="0023738A" w:rsidP="008B3274">
            <w:pPr>
              <w:spacing w:before="100" w:beforeAutospacing="1" w:after="100" w:afterAutospacing="1"/>
              <w:ind w:right="56"/>
              <w:jc w:val="right"/>
              <w:rPr>
                <w:b/>
                <w:sz w:val="18"/>
                <w:szCs w:val="18"/>
              </w:rPr>
            </w:pPr>
          </w:p>
        </w:tc>
        <w:tc>
          <w:tcPr>
            <w:tcW w:w="2240" w:type="dxa"/>
            <w:tcBorders>
              <w:top w:val="single" w:sz="4" w:space="0" w:color="auto"/>
              <w:left w:val="nil"/>
              <w:right w:val="nil"/>
            </w:tcBorders>
            <w:shd w:val="clear" w:color="auto" w:fill="auto"/>
            <w:noWrap/>
            <w:vAlign w:val="bottom"/>
          </w:tcPr>
          <w:p w14:paraId="79FB4689" w14:textId="77777777" w:rsidR="0023738A" w:rsidRPr="00872D7E" w:rsidRDefault="0023738A" w:rsidP="008B3274">
            <w:pPr>
              <w:spacing w:before="100" w:beforeAutospacing="1" w:after="100" w:afterAutospacing="1"/>
              <w:ind w:right="56"/>
              <w:jc w:val="right"/>
              <w:rPr>
                <w:b/>
                <w:sz w:val="18"/>
                <w:szCs w:val="18"/>
              </w:rPr>
            </w:pPr>
          </w:p>
        </w:tc>
      </w:tr>
      <w:tr w:rsidR="0023738A" w:rsidRPr="00872D7E" w14:paraId="259FAA25" w14:textId="77777777" w:rsidTr="00683052">
        <w:trPr>
          <w:trHeight w:val="20"/>
        </w:trPr>
        <w:tc>
          <w:tcPr>
            <w:tcW w:w="5033" w:type="dxa"/>
            <w:tcBorders>
              <w:left w:val="nil"/>
              <w:bottom w:val="single" w:sz="12" w:space="0" w:color="auto"/>
              <w:right w:val="nil"/>
            </w:tcBorders>
            <w:shd w:val="clear" w:color="auto" w:fill="auto"/>
            <w:noWrap/>
            <w:vAlign w:val="bottom"/>
            <w:hideMark/>
          </w:tcPr>
          <w:p w14:paraId="7398C0D2" w14:textId="77777777" w:rsidR="0023738A" w:rsidRPr="00872D7E" w:rsidRDefault="0023738A" w:rsidP="008B3274">
            <w:pPr>
              <w:rPr>
                <w:b/>
                <w:bCs/>
                <w:sz w:val="18"/>
                <w:szCs w:val="18"/>
              </w:rPr>
            </w:pPr>
            <w:r w:rsidRPr="00872D7E">
              <w:rPr>
                <w:b/>
                <w:bCs/>
                <w:sz w:val="18"/>
                <w:szCs w:val="18"/>
              </w:rPr>
              <w:t>Türev işlemler toplamı (A+B)</w:t>
            </w:r>
          </w:p>
        </w:tc>
        <w:tc>
          <w:tcPr>
            <w:tcW w:w="2240" w:type="dxa"/>
            <w:tcBorders>
              <w:left w:val="nil"/>
              <w:bottom w:val="single" w:sz="12" w:space="0" w:color="auto"/>
              <w:right w:val="nil"/>
            </w:tcBorders>
            <w:shd w:val="clear" w:color="auto" w:fill="auto"/>
            <w:vAlign w:val="bottom"/>
          </w:tcPr>
          <w:p w14:paraId="462A1E0B" w14:textId="212D2240" w:rsidR="0023738A" w:rsidRPr="00872D7E" w:rsidRDefault="0023738A" w:rsidP="008B3274">
            <w:pPr>
              <w:ind w:right="56"/>
              <w:jc w:val="right"/>
              <w:rPr>
                <w:b/>
                <w:bCs/>
                <w:sz w:val="18"/>
                <w:szCs w:val="18"/>
              </w:rPr>
            </w:pPr>
            <w:r w:rsidRPr="00872D7E">
              <w:rPr>
                <w:b/>
                <w:bCs/>
                <w:sz w:val="18"/>
                <w:szCs w:val="18"/>
              </w:rPr>
              <w:t>15.368.077</w:t>
            </w:r>
          </w:p>
        </w:tc>
        <w:tc>
          <w:tcPr>
            <w:tcW w:w="2240" w:type="dxa"/>
            <w:tcBorders>
              <w:left w:val="nil"/>
              <w:bottom w:val="single" w:sz="12" w:space="0" w:color="auto"/>
              <w:right w:val="nil"/>
            </w:tcBorders>
            <w:shd w:val="clear" w:color="auto" w:fill="auto"/>
            <w:noWrap/>
            <w:vAlign w:val="bottom"/>
          </w:tcPr>
          <w:p w14:paraId="58CF593F" w14:textId="1541C13F" w:rsidR="0023738A" w:rsidRPr="00872D7E" w:rsidRDefault="005E5BE5" w:rsidP="008B3274">
            <w:pPr>
              <w:ind w:right="56"/>
              <w:jc w:val="right"/>
              <w:rPr>
                <w:b/>
                <w:bCs/>
                <w:sz w:val="18"/>
                <w:szCs w:val="18"/>
              </w:rPr>
            </w:pPr>
            <w:r w:rsidRPr="00872D7E">
              <w:rPr>
                <w:b/>
                <w:bCs/>
                <w:sz w:val="18"/>
                <w:szCs w:val="18"/>
              </w:rPr>
              <w:t>-</w:t>
            </w:r>
          </w:p>
        </w:tc>
      </w:tr>
    </w:tbl>
    <w:p w14:paraId="697C4D4A" w14:textId="77777777" w:rsidR="00CD770B" w:rsidRPr="00872D7E" w:rsidRDefault="00CD770B" w:rsidP="008B3274"/>
    <w:p w14:paraId="6E4E3480" w14:textId="57B8AD2F" w:rsidR="00C04B97" w:rsidRPr="00872D7E" w:rsidRDefault="00175559" w:rsidP="0006728D">
      <w:pPr>
        <w:pStyle w:val="ListParagraph"/>
        <w:widowControl w:val="0"/>
        <w:numPr>
          <w:ilvl w:val="0"/>
          <w:numId w:val="53"/>
        </w:numPr>
        <w:spacing w:line="216" w:lineRule="auto"/>
        <w:ind w:left="851" w:hanging="851"/>
        <w:jc w:val="both"/>
        <w:rPr>
          <w:b/>
          <w:szCs w:val="20"/>
        </w:rPr>
      </w:pPr>
      <w:bookmarkStart w:id="93" w:name="_Hlk190090640"/>
      <w:r w:rsidRPr="00872D7E">
        <w:rPr>
          <w:b/>
          <w:szCs w:val="20"/>
        </w:rPr>
        <w:t>Koşullu borçlar ve varlıklara ilişkin açıklamalar:</w:t>
      </w:r>
    </w:p>
    <w:p w14:paraId="11896E0D" w14:textId="608FDAED" w:rsidR="00097720" w:rsidRPr="00872D7E" w:rsidRDefault="002443BB" w:rsidP="003B796D">
      <w:pPr>
        <w:pStyle w:val="xl81"/>
        <w:pBdr>
          <w:left w:val="none" w:sz="0" w:space="0" w:color="auto"/>
        </w:pBdr>
        <w:spacing w:before="120" w:beforeAutospacing="0" w:after="120" w:afterAutospacing="0"/>
        <w:ind w:left="851" w:right="210"/>
        <w:jc w:val="both"/>
        <w:textAlignment w:val="auto"/>
        <w:rPr>
          <w:rFonts w:eastAsia="Times New Roman"/>
          <w:b/>
          <w:sz w:val="20"/>
          <w:szCs w:val="20"/>
        </w:rPr>
      </w:pPr>
      <w:r w:rsidRPr="00872D7E">
        <w:rPr>
          <w:sz w:val="20"/>
          <w:szCs w:val="20"/>
        </w:rPr>
        <w:t>Bulunmamaktadır.</w:t>
      </w:r>
    </w:p>
    <w:p w14:paraId="660F7312" w14:textId="77777777" w:rsidR="00CD770B" w:rsidRPr="00872D7E" w:rsidRDefault="00CD770B" w:rsidP="000D6A42">
      <w:pPr>
        <w:widowControl w:val="0"/>
        <w:spacing w:line="216" w:lineRule="auto"/>
        <w:ind w:right="324"/>
        <w:jc w:val="both"/>
        <w:rPr>
          <w:iCs/>
          <w:sz w:val="16"/>
          <w:szCs w:val="16"/>
        </w:rPr>
      </w:pPr>
    </w:p>
    <w:bookmarkEnd w:id="93"/>
    <w:p w14:paraId="4B429FC9" w14:textId="6BF36016" w:rsidR="00B56215" w:rsidRPr="00872D7E" w:rsidRDefault="00B56215" w:rsidP="00DF282B">
      <w:pPr>
        <w:pStyle w:val="ListParagraph"/>
        <w:widowControl w:val="0"/>
        <w:numPr>
          <w:ilvl w:val="0"/>
          <w:numId w:val="53"/>
        </w:numPr>
        <w:spacing w:line="216" w:lineRule="auto"/>
        <w:ind w:left="851" w:hanging="851"/>
        <w:jc w:val="both"/>
        <w:rPr>
          <w:b/>
          <w:szCs w:val="20"/>
        </w:rPr>
      </w:pPr>
      <w:r w:rsidRPr="00872D7E">
        <w:rPr>
          <w:b/>
          <w:szCs w:val="20"/>
        </w:rPr>
        <w:t>Başkaları nam ve hesabına verilen hizmetlere ilişkin açıklamalar:</w:t>
      </w:r>
    </w:p>
    <w:p w14:paraId="16943646" w14:textId="77777777" w:rsidR="00CD770B" w:rsidRPr="00872D7E" w:rsidRDefault="00CD770B" w:rsidP="000D6A42">
      <w:pPr>
        <w:widowControl w:val="0"/>
        <w:autoSpaceDE w:val="0"/>
        <w:autoSpaceDN w:val="0"/>
        <w:adjustRightInd w:val="0"/>
        <w:spacing w:line="216" w:lineRule="auto"/>
        <w:ind w:left="14" w:right="210"/>
        <w:jc w:val="both"/>
        <w:rPr>
          <w:sz w:val="16"/>
          <w:szCs w:val="16"/>
        </w:rPr>
      </w:pPr>
    </w:p>
    <w:p w14:paraId="3CBB94F6" w14:textId="79BE5A1E" w:rsidR="007F484C" w:rsidRPr="00872D7E" w:rsidRDefault="007F484C" w:rsidP="000D6A42">
      <w:pPr>
        <w:pStyle w:val="BASLIK2"/>
        <w:spacing w:before="0" w:after="0" w:line="216" w:lineRule="auto"/>
        <w:ind w:left="851" w:firstLine="0"/>
        <w:rPr>
          <w:b w:val="0"/>
          <w:bCs w:val="0"/>
          <w:sz w:val="20"/>
          <w:szCs w:val="20"/>
        </w:rPr>
      </w:pPr>
      <w:r w:rsidRPr="00872D7E">
        <w:rPr>
          <w:b w:val="0"/>
          <w:bCs w:val="0"/>
          <w:sz w:val="20"/>
          <w:szCs w:val="20"/>
        </w:rPr>
        <w:t>Banka’nın gerçek ve tüzel kişiler, vakıflar, emeklilik sigortası fonları ve diğer kurumlar adına plasmanda bulunma gibi faaliyetleri bulunmamaktadır.</w:t>
      </w:r>
    </w:p>
    <w:p w14:paraId="3D0000FA" w14:textId="77777777" w:rsidR="00FA5061" w:rsidRPr="00872D7E" w:rsidRDefault="00FA5061" w:rsidP="000D6A42">
      <w:pPr>
        <w:pStyle w:val="BASLIK2"/>
        <w:spacing w:before="0" w:after="0" w:line="216" w:lineRule="auto"/>
        <w:ind w:left="851" w:firstLine="0"/>
        <w:rPr>
          <w:b w:val="0"/>
          <w:bCs w:val="0"/>
          <w:sz w:val="16"/>
          <w:szCs w:val="16"/>
        </w:rPr>
      </w:pPr>
    </w:p>
    <w:p w14:paraId="5941B595" w14:textId="3E321E1C" w:rsidR="00FA5061" w:rsidRPr="00872D7E" w:rsidRDefault="00FA5061" w:rsidP="000D6A42">
      <w:pPr>
        <w:pStyle w:val="BASLIK2"/>
        <w:tabs>
          <w:tab w:val="left" w:pos="851"/>
        </w:tabs>
        <w:spacing w:before="0" w:after="0" w:line="216" w:lineRule="auto"/>
        <w:ind w:left="14" w:firstLine="0"/>
        <w:rPr>
          <w:bCs w:val="0"/>
          <w:sz w:val="20"/>
          <w:szCs w:val="20"/>
          <w:lang w:eastAsia="tr-TR"/>
        </w:rPr>
      </w:pPr>
      <w:bookmarkStart w:id="94" w:name="_Hlk189814462"/>
      <w:r w:rsidRPr="00872D7E">
        <w:rPr>
          <w:bCs w:val="0"/>
          <w:sz w:val="20"/>
          <w:szCs w:val="20"/>
          <w:lang w:eastAsia="tr-TR"/>
        </w:rPr>
        <w:t>5.</w:t>
      </w:r>
      <w:r w:rsidRPr="00872D7E">
        <w:rPr>
          <w:bCs w:val="0"/>
          <w:sz w:val="20"/>
          <w:szCs w:val="20"/>
          <w:lang w:eastAsia="tr-TR"/>
        </w:rPr>
        <w:tab/>
        <w:t>Diğer</w:t>
      </w:r>
    </w:p>
    <w:p w14:paraId="24575150" w14:textId="77777777" w:rsidR="00FA5061" w:rsidRPr="00872D7E" w:rsidRDefault="00FA5061" w:rsidP="000D6A42">
      <w:pPr>
        <w:pStyle w:val="BASLIK2"/>
        <w:spacing w:before="0" w:after="0" w:line="216" w:lineRule="auto"/>
        <w:ind w:left="14" w:firstLine="0"/>
        <w:rPr>
          <w:bCs w:val="0"/>
          <w:sz w:val="16"/>
          <w:szCs w:val="16"/>
          <w:lang w:eastAsia="tr-TR"/>
        </w:rPr>
      </w:pPr>
    </w:p>
    <w:p w14:paraId="543D9E2F" w14:textId="6F269D22" w:rsidR="009B0E8B" w:rsidRPr="00872D7E" w:rsidRDefault="00AE0B9A" w:rsidP="000D6A42">
      <w:pPr>
        <w:autoSpaceDE w:val="0"/>
        <w:autoSpaceDN w:val="0"/>
        <w:adjustRightInd w:val="0"/>
        <w:snapToGrid w:val="0"/>
        <w:spacing w:line="216" w:lineRule="auto"/>
        <w:ind w:left="840"/>
        <w:jc w:val="both"/>
        <w:rPr>
          <w:color w:val="000000"/>
          <w:szCs w:val="20"/>
        </w:rPr>
      </w:pPr>
      <w:r w:rsidRPr="00872D7E">
        <w:rPr>
          <w:color w:val="000000"/>
          <w:szCs w:val="20"/>
        </w:rPr>
        <w:t>31 Aralık</w:t>
      </w:r>
      <w:r w:rsidR="00706956" w:rsidRPr="00872D7E">
        <w:rPr>
          <w:color w:val="000000"/>
          <w:szCs w:val="20"/>
        </w:rPr>
        <w:t xml:space="preserve"> </w:t>
      </w:r>
      <w:r w:rsidR="003F71C9" w:rsidRPr="00872D7E">
        <w:rPr>
          <w:color w:val="000000"/>
          <w:szCs w:val="20"/>
        </w:rPr>
        <w:t xml:space="preserve">2024 </w:t>
      </w:r>
      <w:r w:rsidR="00FA5061" w:rsidRPr="00872D7E">
        <w:rPr>
          <w:color w:val="000000"/>
          <w:szCs w:val="20"/>
        </w:rPr>
        <w:t xml:space="preserve">tarihi itibarıyla, Uzan Grubuna ait eski şirketlere verilmiş olan </w:t>
      </w:r>
      <w:r w:rsidR="00850AF1" w:rsidRPr="00872D7E">
        <w:rPr>
          <w:color w:val="000000"/>
          <w:szCs w:val="20"/>
        </w:rPr>
        <w:t>6.516</w:t>
      </w:r>
      <w:r w:rsidR="00FA5061" w:rsidRPr="00872D7E">
        <w:rPr>
          <w:color w:val="000000"/>
          <w:szCs w:val="20"/>
        </w:rPr>
        <w:t xml:space="preserve"> TL tutarında teminat mektupları mevcut olup ilgili teminat mektuplarının </w:t>
      </w:r>
      <w:r w:rsidR="00850AF1" w:rsidRPr="00872D7E">
        <w:rPr>
          <w:color w:val="000000"/>
          <w:szCs w:val="20"/>
        </w:rPr>
        <w:t>6.514</w:t>
      </w:r>
      <w:r w:rsidR="003B7FDE" w:rsidRPr="00872D7E">
        <w:rPr>
          <w:color w:val="000000"/>
          <w:szCs w:val="20"/>
        </w:rPr>
        <w:t xml:space="preserve"> </w:t>
      </w:r>
      <w:r w:rsidR="00FA5061" w:rsidRPr="00872D7E">
        <w:rPr>
          <w:color w:val="000000"/>
          <w:szCs w:val="20"/>
        </w:rPr>
        <w:t xml:space="preserve">TL tutarındaki kısmı için herhangi bir teminat bulunmamaktadır. </w:t>
      </w:r>
      <w:r w:rsidRPr="00872D7E">
        <w:rPr>
          <w:color w:val="000000"/>
          <w:szCs w:val="20"/>
        </w:rPr>
        <w:t>31 Aralık</w:t>
      </w:r>
      <w:r w:rsidR="00C160E4" w:rsidRPr="00872D7E">
        <w:rPr>
          <w:color w:val="000000"/>
          <w:szCs w:val="20"/>
        </w:rPr>
        <w:t xml:space="preserve"> </w:t>
      </w:r>
      <w:r w:rsidR="003F71C9" w:rsidRPr="00872D7E">
        <w:rPr>
          <w:color w:val="000000"/>
          <w:szCs w:val="20"/>
        </w:rPr>
        <w:t xml:space="preserve">2024 </w:t>
      </w:r>
      <w:r w:rsidR="00FA5061" w:rsidRPr="00872D7E">
        <w:rPr>
          <w:color w:val="000000"/>
          <w:szCs w:val="20"/>
        </w:rPr>
        <w:t>tarihi itibarıyla ekteki konsolide olmayan mali tablolarda bu hususla ilgili olarak karşılık ayrılmamıştır. Bu teminat mektuplarının finansal tablolara muhtemel etkileri, ilgili davaların sonucuna göre belli olacak olup, banka mali tabloları üzerinde olumsuz bir etkisi olması beklenmemektedir.</w:t>
      </w:r>
    </w:p>
    <w:p w14:paraId="376723A7" w14:textId="77777777" w:rsidR="009B0E8B" w:rsidRPr="00872D7E" w:rsidRDefault="009B0E8B">
      <w:pPr>
        <w:rPr>
          <w:color w:val="000000"/>
          <w:szCs w:val="20"/>
        </w:rPr>
      </w:pPr>
      <w:r w:rsidRPr="00872D7E">
        <w:rPr>
          <w:color w:val="000000"/>
          <w:szCs w:val="20"/>
        </w:rPr>
        <w:br w:type="page"/>
      </w:r>
    </w:p>
    <w:bookmarkEnd w:id="94"/>
    <w:p w14:paraId="13BA5CD6" w14:textId="4FD17182" w:rsidR="00136C29" w:rsidRPr="00872D7E" w:rsidRDefault="004F235F" w:rsidP="00212E4A">
      <w:pPr>
        <w:pStyle w:val="BodyTextIndent"/>
        <w:widowControl w:val="0"/>
        <w:numPr>
          <w:ilvl w:val="0"/>
          <w:numId w:val="34"/>
        </w:numPr>
        <w:spacing w:line="216" w:lineRule="auto"/>
        <w:ind w:left="851" w:right="206" w:hanging="851"/>
        <w:rPr>
          <w:b/>
          <w:iCs/>
          <w:szCs w:val="20"/>
        </w:rPr>
      </w:pPr>
      <w:r w:rsidRPr="00872D7E">
        <w:rPr>
          <w:b/>
          <w:iCs/>
          <w:szCs w:val="20"/>
        </w:rPr>
        <w:lastRenderedPageBreak/>
        <w:t>KAR VEYA ZARAR TABLOSUNA İLİŞKİN AÇIKLAMA VE DİPNOTLAR</w:t>
      </w:r>
    </w:p>
    <w:p w14:paraId="349BF1DA" w14:textId="77777777" w:rsidR="00CD770B" w:rsidRPr="00872D7E" w:rsidRDefault="00CD770B" w:rsidP="000D6A42">
      <w:pPr>
        <w:widowControl w:val="0"/>
        <w:tabs>
          <w:tab w:val="left" w:pos="360"/>
        </w:tabs>
        <w:autoSpaceDE w:val="0"/>
        <w:autoSpaceDN w:val="0"/>
        <w:adjustRightInd w:val="0"/>
        <w:spacing w:line="216" w:lineRule="auto"/>
        <w:ind w:hanging="504"/>
        <w:jc w:val="both"/>
        <w:rPr>
          <w:rFonts w:eastAsia="Arial Unicode MS"/>
          <w:b/>
          <w:sz w:val="16"/>
          <w:szCs w:val="16"/>
        </w:rPr>
      </w:pPr>
    </w:p>
    <w:p w14:paraId="6F884320" w14:textId="4DB1AF39" w:rsidR="00136C29" w:rsidRPr="00872D7E" w:rsidRDefault="00014477" w:rsidP="000D6A42">
      <w:pPr>
        <w:widowControl w:val="0"/>
        <w:autoSpaceDE w:val="0"/>
        <w:autoSpaceDN w:val="0"/>
        <w:adjustRightInd w:val="0"/>
        <w:spacing w:line="216" w:lineRule="auto"/>
        <w:ind w:left="851" w:hanging="851"/>
        <w:jc w:val="both"/>
        <w:rPr>
          <w:rFonts w:eastAsia="Arial Unicode MS"/>
          <w:szCs w:val="20"/>
        </w:rPr>
      </w:pPr>
      <w:r w:rsidRPr="00872D7E">
        <w:rPr>
          <w:rFonts w:eastAsia="Arial Unicode MS"/>
          <w:b/>
          <w:szCs w:val="20"/>
        </w:rPr>
        <w:t>1</w:t>
      </w:r>
      <w:r w:rsidR="00136C29" w:rsidRPr="00872D7E">
        <w:rPr>
          <w:rFonts w:eastAsia="Arial Unicode MS"/>
          <w:b/>
          <w:szCs w:val="20"/>
        </w:rPr>
        <w:t>.</w:t>
      </w:r>
      <w:r w:rsidR="00136C29" w:rsidRPr="00872D7E">
        <w:rPr>
          <w:rFonts w:eastAsia="Arial Unicode MS"/>
          <w:szCs w:val="20"/>
        </w:rPr>
        <w:tab/>
      </w:r>
      <w:proofErr w:type="gramStart"/>
      <w:r w:rsidR="00136C29" w:rsidRPr="00872D7E">
        <w:rPr>
          <w:rFonts w:eastAsia="Arial Unicode MS"/>
          <w:b/>
          <w:szCs w:val="20"/>
        </w:rPr>
        <w:t>Kar</w:t>
      </w:r>
      <w:proofErr w:type="gramEnd"/>
      <w:r w:rsidR="00136C29" w:rsidRPr="00872D7E">
        <w:rPr>
          <w:rFonts w:eastAsia="Arial Unicode MS"/>
          <w:b/>
          <w:szCs w:val="20"/>
        </w:rPr>
        <w:t xml:space="preserve"> payı gelirlerine ilişkin bilgiler:</w:t>
      </w:r>
    </w:p>
    <w:p w14:paraId="7A98D61A" w14:textId="77777777" w:rsidR="00CD770B" w:rsidRPr="00872D7E" w:rsidRDefault="00CD770B" w:rsidP="000D6A42">
      <w:pPr>
        <w:widowControl w:val="0"/>
        <w:tabs>
          <w:tab w:val="left" w:pos="180"/>
        </w:tabs>
        <w:spacing w:line="216" w:lineRule="auto"/>
        <w:ind w:left="851" w:hanging="851"/>
        <w:jc w:val="both"/>
        <w:rPr>
          <w:b/>
          <w:sz w:val="16"/>
          <w:szCs w:val="16"/>
        </w:rPr>
      </w:pPr>
      <w:bookmarkStart w:id="95" w:name="_Hlk126853299"/>
    </w:p>
    <w:p w14:paraId="5984041B" w14:textId="357859BC" w:rsidR="00136C29" w:rsidRPr="00872D7E" w:rsidRDefault="00136C29" w:rsidP="00212E4A">
      <w:pPr>
        <w:pStyle w:val="ListParagraph"/>
        <w:widowControl w:val="0"/>
        <w:numPr>
          <w:ilvl w:val="0"/>
          <w:numId w:val="35"/>
        </w:numPr>
        <w:spacing w:line="216" w:lineRule="auto"/>
        <w:ind w:left="1276" w:hanging="425"/>
        <w:jc w:val="both"/>
        <w:rPr>
          <w:b/>
          <w:szCs w:val="20"/>
        </w:rPr>
      </w:pPr>
      <w:r w:rsidRPr="00872D7E">
        <w:rPr>
          <w:b/>
          <w:szCs w:val="20"/>
        </w:rPr>
        <w:t xml:space="preserve">Kredilerden alınan </w:t>
      </w:r>
      <w:proofErr w:type="gramStart"/>
      <w:r w:rsidRPr="00872D7E">
        <w:rPr>
          <w:b/>
          <w:szCs w:val="20"/>
        </w:rPr>
        <w:t>kar</w:t>
      </w:r>
      <w:proofErr w:type="gramEnd"/>
      <w:r w:rsidRPr="00872D7E">
        <w:rPr>
          <w:b/>
          <w:szCs w:val="20"/>
        </w:rPr>
        <w:t xml:space="preserve"> payı gelirlerine ilişkin bilgiler:</w:t>
      </w:r>
    </w:p>
    <w:p w14:paraId="600374A6" w14:textId="6B318E40" w:rsidR="00862A01" w:rsidRPr="00872D7E" w:rsidRDefault="00862A01" w:rsidP="000D6A42">
      <w:pPr>
        <w:widowControl w:val="0"/>
        <w:spacing w:line="216" w:lineRule="auto"/>
        <w:ind w:left="199" w:hanging="227"/>
        <w:jc w:val="both"/>
        <w:rPr>
          <w:szCs w:val="20"/>
        </w:rPr>
      </w:pPr>
    </w:p>
    <w:tbl>
      <w:tblPr>
        <w:tblW w:w="5000" w:type="pct"/>
        <w:tblCellMar>
          <w:left w:w="70" w:type="dxa"/>
          <w:right w:w="70" w:type="dxa"/>
        </w:tblCellMar>
        <w:tblLook w:val="04A0" w:firstRow="1" w:lastRow="0" w:firstColumn="1" w:lastColumn="0" w:noHBand="0" w:noVBand="1"/>
      </w:tblPr>
      <w:tblGrid>
        <w:gridCol w:w="5998"/>
        <w:gridCol w:w="1673"/>
        <w:gridCol w:w="1684"/>
      </w:tblGrid>
      <w:tr w:rsidR="00862A01" w:rsidRPr="00872D7E" w14:paraId="3AF1D20F" w14:textId="77777777" w:rsidTr="00862A01">
        <w:trPr>
          <w:divId w:val="764883311"/>
          <w:trHeight w:val="227"/>
        </w:trPr>
        <w:tc>
          <w:tcPr>
            <w:tcW w:w="3206" w:type="pct"/>
            <w:tcBorders>
              <w:top w:val="nil"/>
              <w:left w:val="nil"/>
              <w:bottom w:val="nil"/>
              <w:right w:val="nil"/>
            </w:tcBorders>
            <w:shd w:val="clear" w:color="auto" w:fill="auto"/>
            <w:hideMark/>
          </w:tcPr>
          <w:p w14:paraId="0E37FF07" w14:textId="5C9BCC8F" w:rsidR="00862A01" w:rsidRPr="00872D7E" w:rsidRDefault="00862A01" w:rsidP="00862A01"/>
        </w:tc>
        <w:tc>
          <w:tcPr>
            <w:tcW w:w="1794" w:type="pct"/>
            <w:gridSpan w:val="2"/>
            <w:tcBorders>
              <w:top w:val="nil"/>
              <w:left w:val="nil"/>
              <w:bottom w:val="single" w:sz="4" w:space="0" w:color="auto"/>
              <w:right w:val="nil"/>
            </w:tcBorders>
            <w:shd w:val="clear" w:color="auto" w:fill="auto"/>
            <w:noWrap/>
            <w:vAlign w:val="center"/>
            <w:hideMark/>
          </w:tcPr>
          <w:p w14:paraId="153F5D7A" w14:textId="77777777" w:rsidR="00862A01" w:rsidRPr="00872D7E" w:rsidRDefault="00862A01" w:rsidP="00862A01">
            <w:pPr>
              <w:jc w:val="center"/>
              <w:rPr>
                <w:b/>
                <w:bCs/>
                <w:color w:val="000000"/>
                <w:szCs w:val="20"/>
              </w:rPr>
            </w:pPr>
            <w:r w:rsidRPr="00872D7E">
              <w:rPr>
                <w:b/>
                <w:bCs/>
                <w:color w:val="000000"/>
                <w:szCs w:val="20"/>
              </w:rPr>
              <w:t xml:space="preserve">1 </w:t>
            </w:r>
            <w:proofErr w:type="gramStart"/>
            <w:r w:rsidRPr="00872D7E">
              <w:rPr>
                <w:b/>
                <w:bCs/>
                <w:color w:val="000000"/>
                <w:szCs w:val="20"/>
              </w:rPr>
              <w:t>Ocak -</w:t>
            </w:r>
            <w:proofErr w:type="gramEnd"/>
            <w:r w:rsidRPr="00872D7E">
              <w:rPr>
                <w:b/>
                <w:bCs/>
                <w:color w:val="000000"/>
                <w:szCs w:val="20"/>
              </w:rPr>
              <w:t xml:space="preserve"> 31 Aralık 2024</w:t>
            </w:r>
          </w:p>
        </w:tc>
      </w:tr>
      <w:tr w:rsidR="00862A01" w:rsidRPr="00872D7E" w14:paraId="3A98F58F" w14:textId="77777777" w:rsidTr="00862A01">
        <w:trPr>
          <w:divId w:val="764883311"/>
          <w:trHeight w:val="227"/>
        </w:trPr>
        <w:tc>
          <w:tcPr>
            <w:tcW w:w="3206" w:type="pct"/>
            <w:tcBorders>
              <w:top w:val="nil"/>
              <w:left w:val="nil"/>
              <w:bottom w:val="single" w:sz="4" w:space="0" w:color="auto"/>
              <w:right w:val="nil"/>
            </w:tcBorders>
            <w:shd w:val="clear" w:color="auto" w:fill="auto"/>
            <w:hideMark/>
          </w:tcPr>
          <w:p w14:paraId="6A1460E3" w14:textId="77777777" w:rsidR="00862A01" w:rsidRPr="00872D7E" w:rsidRDefault="00862A01" w:rsidP="00862A01">
            <w:pPr>
              <w:jc w:val="both"/>
              <w:rPr>
                <w:b/>
                <w:bCs/>
                <w:color w:val="000000"/>
                <w:szCs w:val="20"/>
              </w:rPr>
            </w:pPr>
            <w:r w:rsidRPr="00872D7E">
              <w:rPr>
                <w:b/>
                <w:bCs/>
                <w:color w:val="000000"/>
                <w:szCs w:val="20"/>
              </w:rPr>
              <w:t> </w:t>
            </w:r>
          </w:p>
        </w:tc>
        <w:tc>
          <w:tcPr>
            <w:tcW w:w="894" w:type="pct"/>
            <w:tcBorders>
              <w:top w:val="nil"/>
              <w:left w:val="nil"/>
              <w:bottom w:val="single" w:sz="4" w:space="0" w:color="auto"/>
              <w:right w:val="nil"/>
            </w:tcBorders>
            <w:shd w:val="clear" w:color="auto" w:fill="auto"/>
            <w:hideMark/>
          </w:tcPr>
          <w:p w14:paraId="2AD5E3B2" w14:textId="77777777" w:rsidR="00862A01" w:rsidRPr="00872D7E" w:rsidRDefault="00862A01" w:rsidP="00862A01">
            <w:pPr>
              <w:jc w:val="right"/>
              <w:rPr>
                <w:b/>
                <w:bCs/>
                <w:color w:val="000000"/>
                <w:szCs w:val="20"/>
              </w:rPr>
            </w:pPr>
            <w:r w:rsidRPr="00872D7E">
              <w:rPr>
                <w:b/>
                <w:bCs/>
                <w:color w:val="000000"/>
                <w:szCs w:val="20"/>
              </w:rPr>
              <w:t>TP</w:t>
            </w:r>
          </w:p>
        </w:tc>
        <w:tc>
          <w:tcPr>
            <w:tcW w:w="900" w:type="pct"/>
            <w:tcBorders>
              <w:top w:val="nil"/>
              <w:left w:val="nil"/>
              <w:bottom w:val="single" w:sz="4" w:space="0" w:color="auto"/>
              <w:right w:val="nil"/>
            </w:tcBorders>
            <w:shd w:val="clear" w:color="auto" w:fill="auto"/>
            <w:hideMark/>
          </w:tcPr>
          <w:p w14:paraId="6A8CE779" w14:textId="77777777" w:rsidR="00862A01" w:rsidRPr="00872D7E" w:rsidRDefault="00862A01" w:rsidP="00862A01">
            <w:pPr>
              <w:jc w:val="right"/>
              <w:rPr>
                <w:b/>
                <w:bCs/>
                <w:color w:val="000000"/>
                <w:szCs w:val="20"/>
              </w:rPr>
            </w:pPr>
            <w:r w:rsidRPr="00872D7E">
              <w:rPr>
                <w:b/>
                <w:bCs/>
                <w:color w:val="000000"/>
                <w:szCs w:val="20"/>
              </w:rPr>
              <w:t>YP</w:t>
            </w:r>
          </w:p>
        </w:tc>
      </w:tr>
      <w:tr w:rsidR="00862A01" w:rsidRPr="00872D7E" w14:paraId="754A8AEF" w14:textId="77777777" w:rsidTr="00862A01">
        <w:trPr>
          <w:divId w:val="764883311"/>
          <w:trHeight w:val="227"/>
        </w:trPr>
        <w:tc>
          <w:tcPr>
            <w:tcW w:w="3206" w:type="pct"/>
            <w:tcBorders>
              <w:top w:val="nil"/>
              <w:left w:val="nil"/>
              <w:bottom w:val="nil"/>
              <w:right w:val="nil"/>
            </w:tcBorders>
            <w:shd w:val="clear" w:color="auto" w:fill="auto"/>
            <w:hideMark/>
          </w:tcPr>
          <w:p w14:paraId="1911384F" w14:textId="77777777" w:rsidR="00862A01" w:rsidRPr="00872D7E" w:rsidRDefault="00862A01" w:rsidP="00862A01">
            <w:pPr>
              <w:jc w:val="right"/>
              <w:rPr>
                <w:b/>
                <w:bCs/>
                <w:color w:val="000000"/>
                <w:szCs w:val="20"/>
              </w:rPr>
            </w:pPr>
          </w:p>
        </w:tc>
        <w:tc>
          <w:tcPr>
            <w:tcW w:w="894" w:type="pct"/>
            <w:tcBorders>
              <w:top w:val="nil"/>
              <w:left w:val="nil"/>
              <w:bottom w:val="nil"/>
              <w:right w:val="nil"/>
            </w:tcBorders>
            <w:shd w:val="clear" w:color="auto" w:fill="auto"/>
            <w:hideMark/>
          </w:tcPr>
          <w:p w14:paraId="44A9DB82" w14:textId="77777777" w:rsidR="00862A01" w:rsidRPr="00872D7E" w:rsidRDefault="00862A01" w:rsidP="00862A01">
            <w:pPr>
              <w:jc w:val="both"/>
              <w:rPr>
                <w:szCs w:val="20"/>
              </w:rPr>
            </w:pPr>
          </w:p>
        </w:tc>
        <w:tc>
          <w:tcPr>
            <w:tcW w:w="900" w:type="pct"/>
            <w:tcBorders>
              <w:top w:val="nil"/>
              <w:left w:val="nil"/>
              <w:bottom w:val="nil"/>
              <w:right w:val="nil"/>
            </w:tcBorders>
            <w:shd w:val="clear" w:color="auto" w:fill="auto"/>
            <w:hideMark/>
          </w:tcPr>
          <w:p w14:paraId="4356D588" w14:textId="77777777" w:rsidR="00862A01" w:rsidRPr="00872D7E" w:rsidRDefault="00862A01" w:rsidP="00862A01">
            <w:pPr>
              <w:jc w:val="both"/>
              <w:rPr>
                <w:szCs w:val="20"/>
              </w:rPr>
            </w:pPr>
          </w:p>
        </w:tc>
      </w:tr>
      <w:tr w:rsidR="00862A01" w:rsidRPr="00872D7E" w14:paraId="699F4AC8" w14:textId="77777777" w:rsidTr="00862A01">
        <w:trPr>
          <w:divId w:val="764883311"/>
          <w:trHeight w:val="227"/>
        </w:trPr>
        <w:tc>
          <w:tcPr>
            <w:tcW w:w="3206" w:type="pct"/>
            <w:tcBorders>
              <w:top w:val="nil"/>
              <w:left w:val="nil"/>
              <w:bottom w:val="nil"/>
              <w:right w:val="nil"/>
            </w:tcBorders>
            <w:shd w:val="clear" w:color="auto" w:fill="auto"/>
            <w:hideMark/>
          </w:tcPr>
          <w:p w14:paraId="47C0EC6F" w14:textId="77777777" w:rsidR="00862A01" w:rsidRPr="00872D7E" w:rsidRDefault="00862A01" w:rsidP="00862A01">
            <w:pPr>
              <w:jc w:val="both"/>
              <w:rPr>
                <w:b/>
                <w:bCs/>
                <w:color w:val="000000"/>
                <w:szCs w:val="20"/>
              </w:rPr>
            </w:pPr>
            <w:r w:rsidRPr="00872D7E">
              <w:rPr>
                <w:b/>
                <w:bCs/>
                <w:color w:val="000000"/>
                <w:szCs w:val="20"/>
              </w:rPr>
              <w:t xml:space="preserve">Kredilerden alınan kar </w:t>
            </w:r>
            <w:proofErr w:type="gramStart"/>
            <w:r w:rsidRPr="00872D7E">
              <w:rPr>
                <w:b/>
                <w:bCs/>
                <w:color w:val="000000"/>
                <w:szCs w:val="20"/>
              </w:rPr>
              <w:t>payları</w:t>
            </w:r>
            <w:r w:rsidRPr="00872D7E">
              <w:rPr>
                <w:b/>
                <w:bCs/>
                <w:color w:val="000000"/>
                <w:szCs w:val="20"/>
                <w:vertAlign w:val="superscript"/>
              </w:rPr>
              <w:t>(</w:t>
            </w:r>
            <w:proofErr w:type="gramEnd"/>
            <w:r w:rsidRPr="00872D7E">
              <w:rPr>
                <w:b/>
                <w:bCs/>
                <w:color w:val="000000"/>
                <w:szCs w:val="20"/>
                <w:vertAlign w:val="superscript"/>
              </w:rPr>
              <w:t>*)</w:t>
            </w:r>
          </w:p>
        </w:tc>
        <w:tc>
          <w:tcPr>
            <w:tcW w:w="894" w:type="pct"/>
            <w:tcBorders>
              <w:top w:val="nil"/>
              <w:left w:val="nil"/>
              <w:bottom w:val="nil"/>
              <w:right w:val="nil"/>
            </w:tcBorders>
            <w:shd w:val="clear" w:color="auto" w:fill="auto"/>
            <w:noWrap/>
            <w:vAlign w:val="bottom"/>
            <w:hideMark/>
          </w:tcPr>
          <w:p w14:paraId="4F3B30AB" w14:textId="77777777" w:rsidR="00862A01" w:rsidRPr="00872D7E" w:rsidRDefault="00862A01" w:rsidP="00862A01">
            <w:pPr>
              <w:jc w:val="both"/>
              <w:rPr>
                <w:b/>
                <w:bCs/>
                <w:color w:val="000000"/>
                <w:szCs w:val="20"/>
              </w:rPr>
            </w:pPr>
          </w:p>
        </w:tc>
        <w:tc>
          <w:tcPr>
            <w:tcW w:w="900" w:type="pct"/>
            <w:tcBorders>
              <w:top w:val="nil"/>
              <w:left w:val="nil"/>
              <w:bottom w:val="nil"/>
              <w:right w:val="nil"/>
            </w:tcBorders>
            <w:shd w:val="clear" w:color="auto" w:fill="auto"/>
            <w:noWrap/>
            <w:vAlign w:val="bottom"/>
            <w:hideMark/>
          </w:tcPr>
          <w:p w14:paraId="2CC701DD" w14:textId="77777777" w:rsidR="00862A01" w:rsidRPr="00872D7E" w:rsidRDefault="00862A01" w:rsidP="00862A01">
            <w:pPr>
              <w:rPr>
                <w:szCs w:val="20"/>
              </w:rPr>
            </w:pPr>
          </w:p>
        </w:tc>
      </w:tr>
      <w:tr w:rsidR="00862A01" w:rsidRPr="00872D7E" w14:paraId="17F494E7" w14:textId="77777777" w:rsidTr="00862A01">
        <w:trPr>
          <w:divId w:val="764883311"/>
          <w:trHeight w:val="227"/>
        </w:trPr>
        <w:tc>
          <w:tcPr>
            <w:tcW w:w="3206" w:type="pct"/>
            <w:tcBorders>
              <w:top w:val="nil"/>
              <w:left w:val="nil"/>
              <w:bottom w:val="nil"/>
              <w:right w:val="nil"/>
            </w:tcBorders>
            <w:shd w:val="clear" w:color="auto" w:fill="auto"/>
            <w:vAlign w:val="bottom"/>
            <w:hideMark/>
          </w:tcPr>
          <w:p w14:paraId="1F04D025" w14:textId="77777777" w:rsidR="00862A01" w:rsidRPr="00872D7E" w:rsidRDefault="00862A01" w:rsidP="00862A01">
            <w:pPr>
              <w:rPr>
                <w:color w:val="000000"/>
                <w:szCs w:val="20"/>
              </w:rPr>
            </w:pPr>
            <w:r w:rsidRPr="00872D7E">
              <w:rPr>
                <w:color w:val="000000"/>
                <w:szCs w:val="20"/>
              </w:rPr>
              <w:t>Kısa Vadeli Kredilerden</w:t>
            </w:r>
          </w:p>
        </w:tc>
        <w:tc>
          <w:tcPr>
            <w:tcW w:w="894" w:type="pct"/>
            <w:tcBorders>
              <w:top w:val="nil"/>
              <w:left w:val="nil"/>
              <w:bottom w:val="nil"/>
              <w:right w:val="nil"/>
            </w:tcBorders>
            <w:shd w:val="clear" w:color="auto" w:fill="auto"/>
            <w:noWrap/>
            <w:vAlign w:val="center"/>
            <w:hideMark/>
          </w:tcPr>
          <w:p w14:paraId="16B1EE17" w14:textId="77777777" w:rsidR="00862A01" w:rsidRPr="00872D7E" w:rsidRDefault="00862A01" w:rsidP="00862A01">
            <w:pPr>
              <w:jc w:val="right"/>
              <w:rPr>
                <w:color w:val="000000"/>
                <w:szCs w:val="20"/>
              </w:rPr>
            </w:pPr>
            <w:r w:rsidRPr="00872D7E">
              <w:rPr>
                <w:color w:val="000000"/>
                <w:szCs w:val="20"/>
              </w:rPr>
              <w:t>2.294.679</w:t>
            </w:r>
          </w:p>
        </w:tc>
        <w:tc>
          <w:tcPr>
            <w:tcW w:w="900" w:type="pct"/>
            <w:tcBorders>
              <w:top w:val="nil"/>
              <w:left w:val="nil"/>
              <w:bottom w:val="nil"/>
              <w:right w:val="nil"/>
            </w:tcBorders>
            <w:shd w:val="clear" w:color="auto" w:fill="auto"/>
            <w:noWrap/>
            <w:vAlign w:val="center"/>
            <w:hideMark/>
          </w:tcPr>
          <w:p w14:paraId="4307A93E" w14:textId="77777777" w:rsidR="00862A01" w:rsidRPr="00872D7E" w:rsidRDefault="00862A01" w:rsidP="00862A01">
            <w:pPr>
              <w:jc w:val="right"/>
              <w:rPr>
                <w:color w:val="000000"/>
                <w:szCs w:val="20"/>
              </w:rPr>
            </w:pPr>
            <w:r w:rsidRPr="00872D7E">
              <w:rPr>
                <w:color w:val="000000"/>
                <w:szCs w:val="20"/>
              </w:rPr>
              <w:t>101.040</w:t>
            </w:r>
          </w:p>
        </w:tc>
      </w:tr>
      <w:tr w:rsidR="00862A01" w:rsidRPr="00872D7E" w14:paraId="211E6D73" w14:textId="77777777" w:rsidTr="00862A01">
        <w:trPr>
          <w:divId w:val="764883311"/>
          <w:trHeight w:val="227"/>
        </w:trPr>
        <w:tc>
          <w:tcPr>
            <w:tcW w:w="3206" w:type="pct"/>
            <w:tcBorders>
              <w:top w:val="nil"/>
              <w:left w:val="nil"/>
              <w:bottom w:val="nil"/>
              <w:right w:val="nil"/>
            </w:tcBorders>
            <w:shd w:val="clear" w:color="auto" w:fill="auto"/>
            <w:vAlign w:val="bottom"/>
            <w:hideMark/>
          </w:tcPr>
          <w:p w14:paraId="1D01328B" w14:textId="77777777" w:rsidR="00862A01" w:rsidRPr="00872D7E" w:rsidRDefault="00862A01" w:rsidP="00862A01">
            <w:pPr>
              <w:rPr>
                <w:color w:val="000000"/>
                <w:szCs w:val="20"/>
              </w:rPr>
            </w:pPr>
            <w:r w:rsidRPr="00872D7E">
              <w:rPr>
                <w:color w:val="000000"/>
                <w:szCs w:val="20"/>
              </w:rPr>
              <w:t>Orta ve Uzun Vadeli Kredilerden</w:t>
            </w:r>
          </w:p>
        </w:tc>
        <w:tc>
          <w:tcPr>
            <w:tcW w:w="894" w:type="pct"/>
            <w:tcBorders>
              <w:top w:val="nil"/>
              <w:left w:val="nil"/>
              <w:bottom w:val="nil"/>
              <w:right w:val="nil"/>
            </w:tcBorders>
            <w:shd w:val="clear" w:color="auto" w:fill="auto"/>
            <w:noWrap/>
            <w:vAlign w:val="center"/>
            <w:hideMark/>
          </w:tcPr>
          <w:p w14:paraId="51FCC30E" w14:textId="77777777" w:rsidR="00862A01" w:rsidRPr="00872D7E" w:rsidRDefault="00862A01" w:rsidP="00862A01">
            <w:pPr>
              <w:jc w:val="right"/>
              <w:rPr>
                <w:color w:val="000000"/>
                <w:szCs w:val="20"/>
              </w:rPr>
            </w:pPr>
            <w:r w:rsidRPr="00872D7E">
              <w:rPr>
                <w:color w:val="000000"/>
                <w:szCs w:val="20"/>
              </w:rPr>
              <w:t>536.826</w:t>
            </w:r>
          </w:p>
        </w:tc>
        <w:tc>
          <w:tcPr>
            <w:tcW w:w="900" w:type="pct"/>
            <w:tcBorders>
              <w:top w:val="nil"/>
              <w:left w:val="nil"/>
              <w:bottom w:val="nil"/>
              <w:right w:val="nil"/>
            </w:tcBorders>
            <w:shd w:val="clear" w:color="auto" w:fill="auto"/>
            <w:noWrap/>
            <w:vAlign w:val="center"/>
            <w:hideMark/>
          </w:tcPr>
          <w:p w14:paraId="68D3D1A4" w14:textId="77777777" w:rsidR="00862A01" w:rsidRPr="00872D7E" w:rsidRDefault="00862A01" w:rsidP="00862A01">
            <w:pPr>
              <w:jc w:val="right"/>
              <w:rPr>
                <w:color w:val="000000"/>
                <w:szCs w:val="20"/>
              </w:rPr>
            </w:pPr>
            <w:r w:rsidRPr="00872D7E">
              <w:rPr>
                <w:color w:val="000000"/>
                <w:szCs w:val="20"/>
              </w:rPr>
              <w:t>62.507</w:t>
            </w:r>
          </w:p>
        </w:tc>
      </w:tr>
      <w:tr w:rsidR="00862A01" w:rsidRPr="00872D7E" w14:paraId="7EF2DCC6" w14:textId="77777777" w:rsidTr="00862A01">
        <w:trPr>
          <w:divId w:val="764883311"/>
          <w:trHeight w:val="227"/>
        </w:trPr>
        <w:tc>
          <w:tcPr>
            <w:tcW w:w="3206" w:type="pct"/>
            <w:tcBorders>
              <w:top w:val="nil"/>
              <w:left w:val="nil"/>
              <w:bottom w:val="nil"/>
              <w:right w:val="nil"/>
            </w:tcBorders>
            <w:shd w:val="clear" w:color="auto" w:fill="auto"/>
            <w:vAlign w:val="bottom"/>
            <w:hideMark/>
          </w:tcPr>
          <w:p w14:paraId="2759ABB2" w14:textId="77777777" w:rsidR="00862A01" w:rsidRPr="00872D7E" w:rsidRDefault="00862A01" w:rsidP="00862A01">
            <w:pPr>
              <w:rPr>
                <w:color w:val="000000"/>
                <w:szCs w:val="20"/>
              </w:rPr>
            </w:pPr>
            <w:r w:rsidRPr="00872D7E">
              <w:rPr>
                <w:color w:val="000000"/>
                <w:szCs w:val="20"/>
              </w:rPr>
              <w:t>Takipteki Alacaklardan Alınan Kar Payları</w:t>
            </w:r>
          </w:p>
        </w:tc>
        <w:tc>
          <w:tcPr>
            <w:tcW w:w="894" w:type="pct"/>
            <w:tcBorders>
              <w:top w:val="nil"/>
              <w:left w:val="nil"/>
              <w:bottom w:val="nil"/>
              <w:right w:val="nil"/>
            </w:tcBorders>
            <w:shd w:val="clear" w:color="auto" w:fill="auto"/>
            <w:noWrap/>
            <w:vAlign w:val="center"/>
            <w:hideMark/>
          </w:tcPr>
          <w:p w14:paraId="361C9A1D" w14:textId="77777777" w:rsidR="00862A01" w:rsidRPr="00872D7E" w:rsidRDefault="00862A01" w:rsidP="00862A01">
            <w:pPr>
              <w:jc w:val="right"/>
              <w:rPr>
                <w:color w:val="000000"/>
                <w:szCs w:val="20"/>
              </w:rPr>
            </w:pPr>
            <w:r w:rsidRPr="00872D7E">
              <w:rPr>
                <w:color w:val="000000"/>
                <w:szCs w:val="20"/>
              </w:rPr>
              <w:t>-</w:t>
            </w:r>
          </w:p>
        </w:tc>
        <w:tc>
          <w:tcPr>
            <w:tcW w:w="900" w:type="pct"/>
            <w:tcBorders>
              <w:top w:val="nil"/>
              <w:left w:val="nil"/>
              <w:bottom w:val="nil"/>
              <w:right w:val="nil"/>
            </w:tcBorders>
            <w:shd w:val="clear" w:color="auto" w:fill="auto"/>
            <w:noWrap/>
            <w:vAlign w:val="center"/>
            <w:hideMark/>
          </w:tcPr>
          <w:p w14:paraId="02512B32" w14:textId="77777777" w:rsidR="00862A01" w:rsidRPr="00872D7E" w:rsidRDefault="00862A01" w:rsidP="00862A01">
            <w:pPr>
              <w:jc w:val="right"/>
              <w:rPr>
                <w:color w:val="000000"/>
                <w:szCs w:val="20"/>
              </w:rPr>
            </w:pPr>
            <w:r w:rsidRPr="00872D7E">
              <w:rPr>
                <w:color w:val="000000"/>
                <w:szCs w:val="20"/>
              </w:rPr>
              <w:t>-</w:t>
            </w:r>
          </w:p>
        </w:tc>
      </w:tr>
      <w:tr w:rsidR="00862A01" w:rsidRPr="00872D7E" w14:paraId="1B8250D8" w14:textId="77777777" w:rsidTr="00862A01">
        <w:trPr>
          <w:divId w:val="764883311"/>
          <w:trHeight w:val="227"/>
        </w:trPr>
        <w:tc>
          <w:tcPr>
            <w:tcW w:w="3206" w:type="pct"/>
            <w:tcBorders>
              <w:top w:val="nil"/>
              <w:left w:val="nil"/>
              <w:bottom w:val="single" w:sz="4" w:space="0" w:color="auto"/>
              <w:right w:val="nil"/>
            </w:tcBorders>
            <w:shd w:val="clear" w:color="auto" w:fill="auto"/>
            <w:vAlign w:val="bottom"/>
            <w:hideMark/>
          </w:tcPr>
          <w:p w14:paraId="460CA04D" w14:textId="77777777" w:rsidR="00862A01" w:rsidRPr="00872D7E" w:rsidRDefault="00862A01" w:rsidP="00862A01">
            <w:pPr>
              <w:rPr>
                <w:color w:val="000000"/>
                <w:szCs w:val="20"/>
              </w:rPr>
            </w:pPr>
            <w:r w:rsidRPr="00872D7E">
              <w:rPr>
                <w:color w:val="000000"/>
                <w:szCs w:val="20"/>
              </w:rPr>
              <w:t>Kaynak Kul. Destekleme Fonundan Alınan Primler</w:t>
            </w:r>
          </w:p>
        </w:tc>
        <w:tc>
          <w:tcPr>
            <w:tcW w:w="894" w:type="pct"/>
            <w:tcBorders>
              <w:top w:val="nil"/>
              <w:left w:val="nil"/>
              <w:bottom w:val="single" w:sz="4" w:space="0" w:color="auto"/>
              <w:right w:val="nil"/>
            </w:tcBorders>
            <w:shd w:val="clear" w:color="auto" w:fill="auto"/>
            <w:noWrap/>
            <w:vAlign w:val="center"/>
            <w:hideMark/>
          </w:tcPr>
          <w:p w14:paraId="6D6E8B01" w14:textId="77777777" w:rsidR="00862A01" w:rsidRPr="00872D7E" w:rsidRDefault="00862A01" w:rsidP="00862A01">
            <w:pPr>
              <w:jc w:val="right"/>
              <w:rPr>
                <w:color w:val="000000"/>
                <w:szCs w:val="20"/>
              </w:rPr>
            </w:pPr>
            <w:r w:rsidRPr="00872D7E">
              <w:rPr>
                <w:color w:val="000000"/>
                <w:szCs w:val="20"/>
              </w:rPr>
              <w:t>-</w:t>
            </w:r>
          </w:p>
        </w:tc>
        <w:tc>
          <w:tcPr>
            <w:tcW w:w="900" w:type="pct"/>
            <w:tcBorders>
              <w:top w:val="nil"/>
              <w:left w:val="nil"/>
              <w:bottom w:val="single" w:sz="4" w:space="0" w:color="auto"/>
              <w:right w:val="nil"/>
            </w:tcBorders>
            <w:shd w:val="clear" w:color="auto" w:fill="auto"/>
            <w:noWrap/>
            <w:vAlign w:val="center"/>
            <w:hideMark/>
          </w:tcPr>
          <w:p w14:paraId="44D787D2" w14:textId="77777777" w:rsidR="00862A01" w:rsidRPr="00872D7E" w:rsidRDefault="00862A01" w:rsidP="00862A01">
            <w:pPr>
              <w:jc w:val="right"/>
              <w:rPr>
                <w:color w:val="000000"/>
                <w:szCs w:val="20"/>
              </w:rPr>
            </w:pPr>
            <w:r w:rsidRPr="00872D7E">
              <w:rPr>
                <w:color w:val="000000"/>
                <w:szCs w:val="20"/>
              </w:rPr>
              <w:t>-</w:t>
            </w:r>
          </w:p>
        </w:tc>
      </w:tr>
      <w:tr w:rsidR="00862A01" w:rsidRPr="00872D7E" w14:paraId="16D384FF" w14:textId="77777777" w:rsidTr="00862A01">
        <w:trPr>
          <w:divId w:val="764883311"/>
          <w:trHeight w:val="227"/>
        </w:trPr>
        <w:tc>
          <w:tcPr>
            <w:tcW w:w="3206" w:type="pct"/>
            <w:tcBorders>
              <w:top w:val="nil"/>
              <w:left w:val="nil"/>
              <w:bottom w:val="nil"/>
              <w:right w:val="nil"/>
            </w:tcBorders>
            <w:shd w:val="clear" w:color="auto" w:fill="auto"/>
            <w:noWrap/>
            <w:vAlign w:val="bottom"/>
            <w:hideMark/>
          </w:tcPr>
          <w:p w14:paraId="716421DE" w14:textId="77777777" w:rsidR="00862A01" w:rsidRPr="00872D7E" w:rsidRDefault="00862A01" w:rsidP="00862A01">
            <w:pPr>
              <w:jc w:val="right"/>
              <w:rPr>
                <w:color w:val="000000"/>
                <w:szCs w:val="20"/>
              </w:rPr>
            </w:pPr>
          </w:p>
        </w:tc>
        <w:tc>
          <w:tcPr>
            <w:tcW w:w="894" w:type="pct"/>
            <w:tcBorders>
              <w:top w:val="nil"/>
              <w:left w:val="nil"/>
              <w:bottom w:val="nil"/>
              <w:right w:val="nil"/>
            </w:tcBorders>
            <w:shd w:val="clear" w:color="auto" w:fill="auto"/>
            <w:noWrap/>
            <w:vAlign w:val="bottom"/>
            <w:hideMark/>
          </w:tcPr>
          <w:p w14:paraId="297432B8" w14:textId="77777777" w:rsidR="00862A01" w:rsidRPr="00872D7E" w:rsidRDefault="00862A01" w:rsidP="00862A01">
            <w:pPr>
              <w:rPr>
                <w:szCs w:val="20"/>
              </w:rPr>
            </w:pPr>
          </w:p>
        </w:tc>
        <w:tc>
          <w:tcPr>
            <w:tcW w:w="900" w:type="pct"/>
            <w:tcBorders>
              <w:top w:val="nil"/>
              <w:left w:val="nil"/>
              <w:bottom w:val="nil"/>
              <w:right w:val="nil"/>
            </w:tcBorders>
            <w:shd w:val="clear" w:color="auto" w:fill="auto"/>
            <w:noWrap/>
            <w:vAlign w:val="bottom"/>
            <w:hideMark/>
          </w:tcPr>
          <w:p w14:paraId="69CA7410" w14:textId="77777777" w:rsidR="00862A01" w:rsidRPr="00872D7E" w:rsidRDefault="00862A01" w:rsidP="00862A01">
            <w:pPr>
              <w:rPr>
                <w:szCs w:val="20"/>
              </w:rPr>
            </w:pPr>
          </w:p>
        </w:tc>
      </w:tr>
      <w:tr w:rsidR="00862A01" w:rsidRPr="00872D7E" w14:paraId="45F73A3E" w14:textId="77777777" w:rsidTr="00862A01">
        <w:trPr>
          <w:divId w:val="764883311"/>
          <w:trHeight w:val="227"/>
        </w:trPr>
        <w:tc>
          <w:tcPr>
            <w:tcW w:w="3206" w:type="pct"/>
            <w:tcBorders>
              <w:top w:val="nil"/>
              <w:left w:val="nil"/>
              <w:bottom w:val="single" w:sz="12" w:space="0" w:color="auto"/>
              <w:right w:val="nil"/>
            </w:tcBorders>
            <w:shd w:val="clear" w:color="auto" w:fill="auto"/>
            <w:noWrap/>
            <w:vAlign w:val="bottom"/>
            <w:hideMark/>
          </w:tcPr>
          <w:p w14:paraId="4BA1F5CA" w14:textId="77777777" w:rsidR="00862A01" w:rsidRPr="00872D7E" w:rsidRDefault="00862A01" w:rsidP="00862A01">
            <w:pPr>
              <w:rPr>
                <w:b/>
                <w:bCs/>
                <w:color w:val="000000"/>
                <w:szCs w:val="20"/>
              </w:rPr>
            </w:pPr>
            <w:r w:rsidRPr="00872D7E">
              <w:rPr>
                <w:rFonts w:eastAsia="Arial Unicode MS"/>
                <w:b/>
                <w:bCs/>
                <w:color w:val="000000"/>
                <w:szCs w:val="20"/>
              </w:rPr>
              <w:t>Toplam</w:t>
            </w:r>
          </w:p>
        </w:tc>
        <w:tc>
          <w:tcPr>
            <w:tcW w:w="894" w:type="pct"/>
            <w:tcBorders>
              <w:top w:val="nil"/>
              <w:left w:val="nil"/>
              <w:bottom w:val="single" w:sz="12" w:space="0" w:color="auto"/>
              <w:right w:val="nil"/>
            </w:tcBorders>
            <w:shd w:val="clear" w:color="auto" w:fill="auto"/>
            <w:noWrap/>
            <w:vAlign w:val="center"/>
            <w:hideMark/>
          </w:tcPr>
          <w:p w14:paraId="1F5F2758" w14:textId="77777777" w:rsidR="00862A01" w:rsidRPr="00872D7E" w:rsidRDefault="00862A01" w:rsidP="00862A01">
            <w:pPr>
              <w:jc w:val="right"/>
              <w:rPr>
                <w:b/>
                <w:bCs/>
                <w:color w:val="000000"/>
                <w:szCs w:val="20"/>
              </w:rPr>
            </w:pPr>
            <w:r w:rsidRPr="00872D7E">
              <w:rPr>
                <w:b/>
                <w:bCs/>
                <w:color w:val="000000"/>
                <w:szCs w:val="20"/>
              </w:rPr>
              <w:t>2.831.505</w:t>
            </w:r>
          </w:p>
        </w:tc>
        <w:tc>
          <w:tcPr>
            <w:tcW w:w="900" w:type="pct"/>
            <w:tcBorders>
              <w:top w:val="nil"/>
              <w:left w:val="nil"/>
              <w:bottom w:val="single" w:sz="12" w:space="0" w:color="auto"/>
              <w:right w:val="nil"/>
            </w:tcBorders>
            <w:shd w:val="clear" w:color="auto" w:fill="auto"/>
            <w:noWrap/>
            <w:vAlign w:val="center"/>
            <w:hideMark/>
          </w:tcPr>
          <w:p w14:paraId="20751018" w14:textId="77777777" w:rsidR="00862A01" w:rsidRPr="00872D7E" w:rsidRDefault="00862A01" w:rsidP="00862A01">
            <w:pPr>
              <w:jc w:val="right"/>
              <w:rPr>
                <w:b/>
                <w:bCs/>
                <w:color w:val="000000"/>
                <w:szCs w:val="20"/>
              </w:rPr>
            </w:pPr>
            <w:r w:rsidRPr="00872D7E">
              <w:rPr>
                <w:b/>
                <w:bCs/>
                <w:color w:val="000000"/>
                <w:szCs w:val="20"/>
              </w:rPr>
              <w:t>163.547</w:t>
            </w:r>
          </w:p>
        </w:tc>
      </w:tr>
    </w:tbl>
    <w:p w14:paraId="7B3D3281" w14:textId="020A9638" w:rsidR="00CD770B" w:rsidRPr="00872D7E" w:rsidRDefault="00CD770B" w:rsidP="000D6A42">
      <w:pPr>
        <w:widowControl w:val="0"/>
        <w:spacing w:line="216" w:lineRule="auto"/>
        <w:ind w:left="199" w:hanging="227"/>
        <w:jc w:val="both"/>
        <w:rPr>
          <w:sz w:val="14"/>
          <w:szCs w:val="14"/>
        </w:rPr>
      </w:pPr>
    </w:p>
    <w:p w14:paraId="00C64029" w14:textId="77777777" w:rsidR="008D0EC5" w:rsidRPr="00872D7E" w:rsidRDefault="00970DF8" w:rsidP="000D6A42">
      <w:pPr>
        <w:widowControl w:val="0"/>
        <w:spacing w:line="216" w:lineRule="auto"/>
        <w:ind w:left="1276" w:hanging="425"/>
        <w:jc w:val="both"/>
        <w:rPr>
          <w:sz w:val="18"/>
          <w:szCs w:val="18"/>
        </w:rPr>
      </w:pPr>
      <w:r w:rsidRPr="00872D7E">
        <w:rPr>
          <w:sz w:val="18"/>
          <w:szCs w:val="18"/>
          <w:vertAlign w:val="superscript"/>
        </w:rPr>
        <w:t>(*)</w:t>
      </w:r>
      <w:r w:rsidR="00CD770B" w:rsidRPr="00872D7E">
        <w:rPr>
          <w:sz w:val="18"/>
          <w:szCs w:val="18"/>
        </w:rPr>
        <w:tab/>
      </w:r>
      <w:r w:rsidRPr="00872D7E">
        <w:rPr>
          <w:sz w:val="18"/>
          <w:szCs w:val="18"/>
        </w:rPr>
        <w:t>Nakdi kredilere ilişkin ücret ve komisyon gelirlerini de içermektedir.</w:t>
      </w:r>
    </w:p>
    <w:p w14:paraId="75730B9D" w14:textId="77777777" w:rsidR="008D0EC5" w:rsidRPr="00872D7E" w:rsidRDefault="008D0EC5" w:rsidP="000D6A42">
      <w:pPr>
        <w:widowControl w:val="0"/>
        <w:spacing w:line="216" w:lineRule="auto"/>
        <w:ind w:left="1276" w:hanging="425"/>
        <w:jc w:val="both"/>
        <w:rPr>
          <w:sz w:val="16"/>
          <w:szCs w:val="16"/>
        </w:rPr>
      </w:pPr>
    </w:p>
    <w:bookmarkEnd w:id="95"/>
    <w:p w14:paraId="60CD775D" w14:textId="1730C5CA" w:rsidR="00136C29" w:rsidRPr="00872D7E" w:rsidRDefault="00136C29" w:rsidP="00212E4A">
      <w:pPr>
        <w:pStyle w:val="ListParagraph"/>
        <w:widowControl w:val="0"/>
        <w:numPr>
          <w:ilvl w:val="0"/>
          <w:numId w:val="35"/>
        </w:numPr>
        <w:spacing w:line="216" w:lineRule="auto"/>
        <w:ind w:left="1276" w:hanging="425"/>
        <w:jc w:val="both"/>
        <w:rPr>
          <w:b/>
          <w:szCs w:val="20"/>
        </w:rPr>
      </w:pPr>
      <w:r w:rsidRPr="00872D7E">
        <w:rPr>
          <w:b/>
          <w:szCs w:val="20"/>
        </w:rPr>
        <w:t xml:space="preserve">Bankalardan alınan </w:t>
      </w:r>
      <w:proofErr w:type="gramStart"/>
      <w:r w:rsidRPr="00872D7E">
        <w:rPr>
          <w:b/>
          <w:szCs w:val="20"/>
        </w:rPr>
        <w:t>kar</w:t>
      </w:r>
      <w:proofErr w:type="gramEnd"/>
      <w:r w:rsidRPr="00872D7E">
        <w:rPr>
          <w:b/>
          <w:szCs w:val="20"/>
        </w:rPr>
        <w:t xml:space="preserve"> payı gelirlerine ilişkin bilgiler:</w:t>
      </w:r>
    </w:p>
    <w:p w14:paraId="4092D612" w14:textId="6623AF57" w:rsidR="00862A01" w:rsidRPr="00872D7E" w:rsidRDefault="00862A01" w:rsidP="000D6A42">
      <w:pPr>
        <w:widowControl w:val="0"/>
        <w:spacing w:line="216" w:lineRule="auto"/>
        <w:ind w:left="-14" w:hanging="476"/>
        <w:jc w:val="both"/>
        <w:rPr>
          <w:szCs w:val="20"/>
        </w:rPr>
      </w:pPr>
    </w:p>
    <w:tbl>
      <w:tblPr>
        <w:tblW w:w="5000" w:type="pct"/>
        <w:tblCellMar>
          <w:left w:w="70" w:type="dxa"/>
          <w:right w:w="70" w:type="dxa"/>
        </w:tblCellMar>
        <w:tblLook w:val="04A0" w:firstRow="1" w:lastRow="0" w:firstColumn="1" w:lastColumn="0" w:noHBand="0" w:noVBand="1"/>
      </w:tblPr>
      <w:tblGrid>
        <w:gridCol w:w="5980"/>
        <w:gridCol w:w="1678"/>
        <w:gridCol w:w="1697"/>
      </w:tblGrid>
      <w:tr w:rsidR="00862A01" w:rsidRPr="00872D7E" w14:paraId="3F1F5819" w14:textId="77777777" w:rsidTr="00862A01">
        <w:trPr>
          <w:divId w:val="772095577"/>
          <w:trHeight w:val="227"/>
        </w:trPr>
        <w:tc>
          <w:tcPr>
            <w:tcW w:w="3196" w:type="pct"/>
            <w:tcBorders>
              <w:top w:val="nil"/>
              <w:left w:val="nil"/>
              <w:bottom w:val="nil"/>
              <w:right w:val="nil"/>
            </w:tcBorders>
            <w:shd w:val="clear" w:color="auto" w:fill="auto"/>
            <w:hideMark/>
          </w:tcPr>
          <w:p w14:paraId="07A69E18" w14:textId="1CF6BBE4" w:rsidR="00862A01" w:rsidRPr="00872D7E" w:rsidRDefault="00862A01" w:rsidP="00862A01"/>
        </w:tc>
        <w:tc>
          <w:tcPr>
            <w:tcW w:w="1804" w:type="pct"/>
            <w:gridSpan w:val="2"/>
            <w:tcBorders>
              <w:top w:val="nil"/>
              <w:left w:val="nil"/>
              <w:bottom w:val="single" w:sz="4" w:space="0" w:color="auto"/>
              <w:right w:val="nil"/>
            </w:tcBorders>
            <w:shd w:val="clear" w:color="auto" w:fill="auto"/>
            <w:noWrap/>
            <w:vAlign w:val="center"/>
            <w:hideMark/>
          </w:tcPr>
          <w:p w14:paraId="1E0BA0AA" w14:textId="77777777" w:rsidR="00862A01" w:rsidRPr="00872D7E" w:rsidRDefault="00862A01" w:rsidP="00862A01">
            <w:pPr>
              <w:jc w:val="center"/>
              <w:rPr>
                <w:b/>
                <w:bCs/>
                <w:color w:val="000000"/>
                <w:szCs w:val="20"/>
              </w:rPr>
            </w:pPr>
            <w:r w:rsidRPr="00872D7E">
              <w:rPr>
                <w:b/>
                <w:bCs/>
                <w:color w:val="000000"/>
                <w:szCs w:val="20"/>
              </w:rPr>
              <w:t xml:space="preserve">1 </w:t>
            </w:r>
            <w:proofErr w:type="gramStart"/>
            <w:r w:rsidRPr="00872D7E">
              <w:rPr>
                <w:b/>
                <w:bCs/>
                <w:color w:val="000000"/>
                <w:szCs w:val="20"/>
              </w:rPr>
              <w:t>Ocak -</w:t>
            </w:r>
            <w:proofErr w:type="gramEnd"/>
            <w:r w:rsidRPr="00872D7E">
              <w:rPr>
                <w:b/>
                <w:bCs/>
                <w:color w:val="000000"/>
                <w:szCs w:val="20"/>
              </w:rPr>
              <w:t xml:space="preserve"> 31 Aralık 2024</w:t>
            </w:r>
          </w:p>
        </w:tc>
      </w:tr>
      <w:tr w:rsidR="00862A01" w:rsidRPr="00872D7E" w14:paraId="678F7D2F" w14:textId="77777777" w:rsidTr="00862A01">
        <w:trPr>
          <w:divId w:val="772095577"/>
          <w:trHeight w:val="227"/>
        </w:trPr>
        <w:tc>
          <w:tcPr>
            <w:tcW w:w="3196" w:type="pct"/>
            <w:tcBorders>
              <w:top w:val="nil"/>
              <w:left w:val="nil"/>
              <w:bottom w:val="single" w:sz="4" w:space="0" w:color="auto"/>
              <w:right w:val="nil"/>
            </w:tcBorders>
            <w:shd w:val="clear" w:color="auto" w:fill="auto"/>
            <w:hideMark/>
          </w:tcPr>
          <w:p w14:paraId="308395B8" w14:textId="77777777" w:rsidR="00862A01" w:rsidRPr="00872D7E" w:rsidRDefault="00862A01" w:rsidP="00862A01">
            <w:pPr>
              <w:jc w:val="both"/>
              <w:rPr>
                <w:color w:val="000000"/>
                <w:szCs w:val="20"/>
              </w:rPr>
            </w:pPr>
            <w:r w:rsidRPr="00872D7E">
              <w:rPr>
                <w:color w:val="000000"/>
                <w:szCs w:val="20"/>
              </w:rPr>
              <w:t> </w:t>
            </w:r>
          </w:p>
        </w:tc>
        <w:tc>
          <w:tcPr>
            <w:tcW w:w="897" w:type="pct"/>
            <w:tcBorders>
              <w:top w:val="nil"/>
              <w:left w:val="nil"/>
              <w:bottom w:val="single" w:sz="4" w:space="0" w:color="auto"/>
              <w:right w:val="nil"/>
            </w:tcBorders>
            <w:shd w:val="clear" w:color="auto" w:fill="auto"/>
            <w:hideMark/>
          </w:tcPr>
          <w:p w14:paraId="43137721" w14:textId="77777777" w:rsidR="00862A01" w:rsidRPr="00872D7E" w:rsidRDefault="00862A01" w:rsidP="00862A01">
            <w:pPr>
              <w:jc w:val="right"/>
              <w:rPr>
                <w:b/>
                <w:bCs/>
                <w:color w:val="000000"/>
                <w:szCs w:val="20"/>
              </w:rPr>
            </w:pPr>
            <w:r w:rsidRPr="00872D7E">
              <w:rPr>
                <w:b/>
                <w:bCs/>
                <w:color w:val="000000"/>
                <w:szCs w:val="20"/>
              </w:rPr>
              <w:t>TP</w:t>
            </w:r>
          </w:p>
        </w:tc>
        <w:tc>
          <w:tcPr>
            <w:tcW w:w="907" w:type="pct"/>
            <w:tcBorders>
              <w:top w:val="nil"/>
              <w:left w:val="nil"/>
              <w:bottom w:val="single" w:sz="4" w:space="0" w:color="auto"/>
              <w:right w:val="nil"/>
            </w:tcBorders>
            <w:shd w:val="clear" w:color="auto" w:fill="auto"/>
            <w:hideMark/>
          </w:tcPr>
          <w:p w14:paraId="5CCE0B2C" w14:textId="77777777" w:rsidR="00862A01" w:rsidRPr="00872D7E" w:rsidRDefault="00862A01" w:rsidP="00862A01">
            <w:pPr>
              <w:jc w:val="right"/>
              <w:rPr>
                <w:b/>
                <w:bCs/>
                <w:color w:val="000000"/>
                <w:szCs w:val="20"/>
              </w:rPr>
            </w:pPr>
            <w:r w:rsidRPr="00872D7E">
              <w:rPr>
                <w:b/>
                <w:bCs/>
                <w:color w:val="000000"/>
                <w:szCs w:val="20"/>
              </w:rPr>
              <w:t>YP</w:t>
            </w:r>
          </w:p>
        </w:tc>
      </w:tr>
      <w:tr w:rsidR="00862A01" w:rsidRPr="00872D7E" w14:paraId="745F1FEA" w14:textId="77777777" w:rsidTr="00862A01">
        <w:trPr>
          <w:divId w:val="772095577"/>
          <w:trHeight w:val="227"/>
        </w:trPr>
        <w:tc>
          <w:tcPr>
            <w:tcW w:w="3196" w:type="pct"/>
            <w:tcBorders>
              <w:top w:val="nil"/>
              <w:left w:val="nil"/>
              <w:bottom w:val="nil"/>
              <w:right w:val="nil"/>
            </w:tcBorders>
            <w:shd w:val="clear" w:color="auto" w:fill="auto"/>
            <w:hideMark/>
          </w:tcPr>
          <w:p w14:paraId="06C26AFD" w14:textId="77777777" w:rsidR="00862A01" w:rsidRPr="00872D7E" w:rsidRDefault="00862A01" w:rsidP="00862A01">
            <w:pPr>
              <w:jc w:val="right"/>
              <w:rPr>
                <w:b/>
                <w:bCs/>
                <w:color w:val="000000"/>
                <w:szCs w:val="20"/>
              </w:rPr>
            </w:pPr>
          </w:p>
        </w:tc>
        <w:tc>
          <w:tcPr>
            <w:tcW w:w="897" w:type="pct"/>
            <w:tcBorders>
              <w:top w:val="nil"/>
              <w:left w:val="nil"/>
              <w:bottom w:val="nil"/>
              <w:right w:val="nil"/>
            </w:tcBorders>
            <w:shd w:val="clear" w:color="auto" w:fill="auto"/>
            <w:vAlign w:val="bottom"/>
            <w:hideMark/>
          </w:tcPr>
          <w:p w14:paraId="6B8F2980" w14:textId="77777777" w:rsidR="00862A01" w:rsidRPr="00872D7E" w:rsidRDefault="00862A01" w:rsidP="00862A01">
            <w:pPr>
              <w:jc w:val="both"/>
              <w:rPr>
                <w:szCs w:val="20"/>
              </w:rPr>
            </w:pPr>
          </w:p>
        </w:tc>
        <w:tc>
          <w:tcPr>
            <w:tcW w:w="907" w:type="pct"/>
            <w:tcBorders>
              <w:top w:val="nil"/>
              <w:left w:val="nil"/>
              <w:bottom w:val="nil"/>
              <w:right w:val="nil"/>
            </w:tcBorders>
            <w:shd w:val="clear" w:color="auto" w:fill="auto"/>
            <w:vAlign w:val="bottom"/>
            <w:hideMark/>
          </w:tcPr>
          <w:p w14:paraId="6E37F92D" w14:textId="77777777" w:rsidR="00862A01" w:rsidRPr="00872D7E" w:rsidRDefault="00862A01" w:rsidP="00862A01">
            <w:pPr>
              <w:jc w:val="right"/>
              <w:rPr>
                <w:szCs w:val="20"/>
              </w:rPr>
            </w:pPr>
          </w:p>
        </w:tc>
      </w:tr>
      <w:tr w:rsidR="00862A01" w:rsidRPr="00872D7E" w14:paraId="08E17D9E" w14:textId="77777777" w:rsidTr="00862A01">
        <w:trPr>
          <w:divId w:val="772095577"/>
          <w:trHeight w:val="227"/>
        </w:trPr>
        <w:tc>
          <w:tcPr>
            <w:tcW w:w="3196" w:type="pct"/>
            <w:tcBorders>
              <w:top w:val="nil"/>
              <w:left w:val="nil"/>
              <w:bottom w:val="nil"/>
              <w:right w:val="nil"/>
            </w:tcBorders>
            <w:shd w:val="clear" w:color="auto" w:fill="auto"/>
            <w:vAlign w:val="bottom"/>
            <w:hideMark/>
          </w:tcPr>
          <w:p w14:paraId="00585BDB" w14:textId="77777777" w:rsidR="00862A01" w:rsidRPr="00872D7E" w:rsidRDefault="00862A01" w:rsidP="00862A01">
            <w:pPr>
              <w:rPr>
                <w:color w:val="000000"/>
                <w:szCs w:val="20"/>
              </w:rPr>
            </w:pPr>
            <w:r w:rsidRPr="00872D7E">
              <w:rPr>
                <w:color w:val="000000"/>
                <w:szCs w:val="20"/>
              </w:rPr>
              <w:t>T.C. Merkez Bankasından</w:t>
            </w:r>
          </w:p>
        </w:tc>
        <w:tc>
          <w:tcPr>
            <w:tcW w:w="897" w:type="pct"/>
            <w:tcBorders>
              <w:top w:val="nil"/>
              <w:left w:val="nil"/>
              <w:bottom w:val="nil"/>
              <w:right w:val="nil"/>
            </w:tcBorders>
            <w:shd w:val="clear" w:color="auto" w:fill="auto"/>
            <w:noWrap/>
            <w:vAlign w:val="center"/>
            <w:hideMark/>
          </w:tcPr>
          <w:p w14:paraId="58C8A02C" w14:textId="77777777" w:rsidR="00862A01" w:rsidRPr="00872D7E" w:rsidRDefault="00862A01" w:rsidP="00862A01">
            <w:pPr>
              <w:jc w:val="right"/>
              <w:rPr>
                <w:color w:val="000000"/>
                <w:szCs w:val="20"/>
              </w:rPr>
            </w:pPr>
            <w:r w:rsidRPr="00872D7E">
              <w:rPr>
                <w:color w:val="000000"/>
                <w:szCs w:val="20"/>
              </w:rPr>
              <w:t>-</w:t>
            </w:r>
          </w:p>
        </w:tc>
        <w:tc>
          <w:tcPr>
            <w:tcW w:w="907" w:type="pct"/>
            <w:tcBorders>
              <w:top w:val="nil"/>
              <w:left w:val="nil"/>
              <w:bottom w:val="nil"/>
              <w:right w:val="nil"/>
            </w:tcBorders>
            <w:shd w:val="clear" w:color="auto" w:fill="auto"/>
            <w:noWrap/>
            <w:vAlign w:val="center"/>
            <w:hideMark/>
          </w:tcPr>
          <w:p w14:paraId="23B599FE" w14:textId="77777777" w:rsidR="00862A01" w:rsidRPr="00872D7E" w:rsidRDefault="00862A01" w:rsidP="00862A01">
            <w:pPr>
              <w:jc w:val="right"/>
              <w:rPr>
                <w:color w:val="000000"/>
                <w:szCs w:val="20"/>
              </w:rPr>
            </w:pPr>
            <w:r w:rsidRPr="00872D7E">
              <w:rPr>
                <w:color w:val="000000"/>
                <w:szCs w:val="20"/>
              </w:rPr>
              <w:t>48.654</w:t>
            </w:r>
          </w:p>
        </w:tc>
      </w:tr>
      <w:tr w:rsidR="00862A01" w:rsidRPr="00872D7E" w14:paraId="4020ECFE" w14:textId="77777777" w:rsidTr="00862A01">
        <w:trPr>
          <w:divId w:val="772095577"/>
          <w:trHeight w:val="227"/>
        </w:trPr>
        <w:tc>
          <w:tcPr>
            <w:tcW w:w="3196" w:type="pct"/>
            <w:tcBorders>
              <w:top w:val="nil"/>
              <w:left w:val="nil"/>
              <w:bottom w:val="nil"/>
              <w:right w:val="nil"/>
            </w:tcBorders>
            <w:shd w:val="clear" w:color="auto" w:fill="auto"/>
            <w:vAlign w:val="bottom"/>
            <w:hideMark/>
          </w:tcPr>
          <w:p w14:paraId="4D9CCFCB" w14:textId="77777777" w:rsidR="00862A01" w:rsidRPr="00872D7E" w:rsidRDefault="00862A01" w:rsidP="00862A01">
            <w:pPr>
              <w:rPr>
                <w:color w:val="000000"/>
                <w:szCs w:val="20"/>
              </w:rPr>
            </w:pPr>
            <w:r w:rsidRPr="00872D7E">
              <w:rPr>
                <w:color w:val="000000"/>
                <w:szCs w:val="20"/>
              </w:rPr>
              <w:t>Yurtiçi Bankalardan</w:t>
            </w:r>
          </w:p>
        </w:tc>
        <w:tc>
          <w:tcPr>
            <w:tcW w:w="897" w:type="pct"/>
            <w:tcBorders>
              <w:top w:val="nil"/>
              <w:left w:val="nil"/>
              <w:bottom w:val="nil"/>
              <w:right w:val="nil"/>
            </w:tcBorders>
            <w:shd w:val="clear" w:color="auto" w:fill="auto"/>
            <w:noWrap/>
            <w:vAlign w:val="center"/>
            <w:hideMark/>
          </w:tcPr>
          <w:p w14:paraId="13DC7DD5" w14:textId="77777777" w:rsidR="00862A01" w:rsidRPr="00872D7E" w:rsidRDefault="00862A01" w:rsidP="00862A01">
            <w:pPr>
              <w:jc w:val="right"/>
              <w:rPr>
                <w:color w:val="000000"/>
                <w:szCs w:val="20"/>
              </w:rPr>
            </w:pPr>
            <w:r w:rsidRPr="00872D7E">
              <w:rPr>
                <w:color w:val="000000"/>
                <w:szCs w:val="20"/>
              </w:rPr>
              <w:t>394.257</w:t>
            </w:r>
          </w:p>
        </w:tc>
        <w:tc>
          <w:tcPr>
            <w:tcW w:w="907" w:type="pct"/>
            <w:tcBorders>
              <w:top w:val="nil"/>
              <w:left w:val="nil"/>
              <w:bottom w:val="nil"/>
              <w:right w:val="nil"/>
            </w:tcBorders>
            <w:shd w:val="clear" w:color="auto" w:fill="auto"/>
            <w:noWrap/>
            <w:vAlign w:val="center"/>
            <w:hideMark/>
          </w:tcPr>
          <w:p w14:paraId="0CD41B1D" w14:textId="77777777" w:rsidR="00862A01" w:rsidRPr="00872D7E" w:rsidRDefault="00862A01" w:rsidP="00862A01">
            <w:pPr>
              <w:jc w:val="right"/>
              <w:rPr>
                <w:color w:val="000000"/>
                <w:szCs w:val="20"/>
              </w:rPr>
            </w:pPr>
            <w:r w:rsidRPr="00872D7E">
              <w:rPr>
                <w:color w:val="000000"/>
                <w:szCs w:val="20"/>
              </w:rPr>
              <w:t>281</w:t>
            </w:r>
          </w:p>
        </w:tc>
      </w:tr>
      <w:tr w:rsidR="00862A01" w:rsidRPr="00872D7E" w14:paraId="13EF39B6" w14:textId="77777777" w:rsidTr="00862A01">
        <w:trPr>
          <w:divId w:val="772095577"/>
          <w:trHeight w:val="227"/>
        </w:trPr>
        <w:tc>
          <w:tcPr>
            <w:tcW w:w="3196" w:type="pct"/>
            <w:tcBorders>
              <w:top w:val="nil"/>
              <w:left w:val="nil"/>
              <w:bottom w:val="nil"/>
              <w:right w:val="nil"/>
            </w:tcBorders>
            <w:shd w:val="clear" w:color="auto" w:fill="auto"/>
            <w:vAlign w:val="bottom"/>
            <w:hideMark/>
          </w:tcPr>
          <w:p w14:paraId="4A30B4B9" w14:textId="77777777" w:rsidR="00862A01" w:rsidRPr="00872D7E" w:rsidRDefault="00862A01" w:rsidP="00862A01">
            <w:pPr>
              <w:rPr>
                <w:color w:val="000000"/>
                <w:szCs w:val="20"/>
              </w:rPr>
            </w:pPr>
            <w:r w:rsidRPr="00872D7E">
              <w:rPr>
                <w:color w:val="000000"/>
                <w:szCs w:val="20"/>
              </w:rPr>
              <w:t>Yurtdışı Bankalardan</w:t>
            </w:r>
          </w:p>
        </w:tc>
        <w:tc>
          <w:tcPr>
            <w:tcW w:w="897" w:type="pct"/>
            <w:tcBorders>
              <w:top w:val="nil"/>
              <w:left w:val="nil"/>
              <w:bottom w:val="nil"/>
              <w:right w:val="nil"/>
            </w:tcBorders>
            <w:shd w:val="clear" w:color="auto" w:fill="auto"/>
            <w:noWrap/>
            <w:vAlign w:val="center"/>
            <w:hideMark/>
          </w:tcPr>
          <w:p w14:paraId="4991FEFD" w14:textId="77777777" w:rsidR="00862A01" w:rsidRPr="00872D7E" w:rsidRDefault="00862A01" w:rsidP="00862A01">
            <w:pPr>
              <w:jc w:val="right"/>
              <w:rPr>
                <w:color w:val="000000"/>
                <w:szCs w:val="20"/>
              </w:rPr>
            </w:pPr>
            <w:r w:rsidRPr="00872D7E">
              <w:rPr>
                <w:color w:val="000000"/>
                <w:szCs w:val="20"/>
              </w:rPr>
              <w:t>-</w:t>
            </w:r>
          </w:p>
        </w:tc>
        <w:tc>
          <w:tcPr>
            <w:tcW w:w="907" w:type="pct"/>
            <w:tcBorders>
              <w:top w:val="nil"/>
              <w:left w:val="nil"/>
              <w:bottom w:val="nil"/>
              <w:right w:val="nil"/>
            </w:tcBorders>
            <w:shd w:val="clear" w:color="auto" w:fill="auto"/>
            <w:noWrap/>
            <w:vAlign w:val="center"/>
            <w:hideMark/>
          </w:tcPr>
          <w:p w14:paraId="00F00B54" w14:textId="77777777" w:rsidR="00862A01" w:rsidRPr="00872D7E" w:rsidRDefault="00862A01" w:rsidP="00862A01">
            <w:pPr>
              <w:jc w:val="right"/>
              <w:rPr>
                <w:color w:val="000000"/>
                <w:szCs w:val="20"/>
              </w:rPr>
            </w:pPr>
            <w:r w:rsidRPr="00872D7E">
              <w:rPr>
                <w:color w:val="000000"/>
                <w:szCs w:val="20"/>
              </w:rPr>
              <w:t>1.482</w:t>
            </w:r>
          </w:p>
        </w:tc>
      </w:tr>
      <w:tr w:rsidR="00862A01" w:rsidRPr="00872D7E" w14:paraId="72DB66F0" w14:textId="77777777" w:rsidTr="00862A01">
        <w:trPr>
          <w:divId w:val="772095577"/>
          <w:trHeight w:val="227"/>
        </w:trPr>
        <w:tc>
          <w:tcPr>
            <w:tcW w:w="3196" w:type="pct"/>
            <w:tcBorders>
              <w:top w:val="nil"/>
              <w:left w:val="nil"/>
              <w:bottom w:val="single" w:sz="4" w:space="0" w:color="auto"/>
              <w:right w:val="nil"/>
            </w:tcBorders>
            <w:shd w:val="clear" w:color="auto" w:fill="auto"/>
            <w:vAlign w:val="bottom"/>
            <w:hideMark/>
          </w:tcPr>
          <w:p w14:paraId="5B85A454" w14:textId="77777777" w:rsidR="00862A01" w:rsidRPr="00872D7E" w:rsidRDefault="00862A01" w:rsidP="00862A01">
            <w:pPr>
              <w:rPr>
                <w:color w:val="000000"/>
                <w:szCs w:val="20"/>
              </w:rPr>
            </w:pPr>
            <w:r w:rsidRPr="00872D7E">
              <w:rPr>
                <w:color w:val="000000"/>
                <w:szCs w:val="20"/>
              </w:rPr>
              <w:t>Yurtdışı Merkez ve Şubelerden</w:t>
            </w:r>
          </w:p>
        </w:tc>
        <w:tc>
          <w:tcPr>
            <w:tcW w:w="897" w:type="pct"/>
            <w:tcBorders>
              <w:top w:val="nil"/>
              <w:left w:val="nil"/>
              <w:bottom w:val="single" w:sz="4" w:space="0" w:color="auto"/>
              <w:right w:val="nil"/>
            </w:tcBorders>
            <w:shd w:val="clear" w:color="auto" w:fill="auto"/>
            <w:noWrap/>
            <w:vAlign w:val="center"/>
            <w:hideMark/>
          </w:tcPr>
          <w:p w14:paraId="30FE0C1C" w14:textId="77777777" w:rsidR="00862A01" w:rsidRPr="00872D7E" w:rsidRDefault="00862A01" w:rsidP="00862A01">
            <w:pPr>
              <w:jc w:val="right"/>
              <w:rPr>
                <w:color w:val="000000"/>
                <w:szCs w:val="20"/>
              </w:rPr>
            </w:pPr>
            <w:r w:rsidRPr="00872D7E">
              <w:rPr>
                <w:color w:val="000000"/>
                <w:szCs w:val="20"/>
              </w:rPr>
              <w:t>-</w:t>
            </w:r>
          </w:p>
        </w:tc>
        <w:tc>
          <w:tcPr>
            <w:tcW w:w="907" w:type="pct"/>
            <w:tcBorders>
              <w:top w:val="nil"/>
              <w:left w:val="nil"/>
              <w:bottom w:val="single" w:sz="4" w:space="0" w:color="auto"/>
              <w:right w:val="nil"/>
            </w:tcBorders>
            <w:shd w:val="clear" w:color="auto" w:fill="auto"/>
            <w:noWrap/>
            <w:vAlign w:val="center"/>
            <w:hideMark/>
          </w:tcPr>
          <w:p w14:paraId="1D236B63" w14:textId="77777777" w:rsidR="00862A01" w:rsidRPr="00872D7E" w:rsidRDefault="00862A01" w:rsidP="00862A01">
            <w:pPr>
              <w:jc w:val="right"/>
              <w:rPr>
                <w:color w:val="000000"/>
                <w:szCs w:val="20"/>
              </w:rPr>
            </w:pPr>
            <w:r w:rsidRPr="00872D7E">
              <w:rPr>
                <w:color w:val="000000"/>
                <w:szCs w:val="20"/>
              </w:rPr>
              <w:t>-</w:t>
            </w:r>
          </w:p>
        </w:tc>
      </w:tr>
      <w:tr w:rsidR="00862A01" w:rsidRPr="00872D7E" w14:paraId="63160A5A" w14:textId="77777777" w:rsidTr="00862A01">
        <w:trPr>
          <w:divId w:val="772095577"/>
          <w:trHeight w:val="227"/>
        </w:trPr>
        <w:tc>
          <w:tcPr>
            <w:tcW w:w="3196" w:type="pct"/>
            <w:tcBorders>
              <w:top w:val="nil"/>
              <w:left w:val="nil"/>
              <w:bottom w:val="nil"/>
              <w:right w:val="nil"/>
            </w:tcBorders>
            <w:shd w:val="clear" w:color="auto" w:fill="auto"/>
            <w:hideMark/>
          </w:tcPr>
          <w:p w14:paraId="66090B4F" w14:textId="77777777" w:rsidR="00862A01" w:rsidRPr="00872D7E" w:rsidRDefault="00862A01" w:rsidP="00862A01">
            <w:pPr>
              <w:jc w:val="right"/>
              <w:rPr>
                <w:color w:val="000000"/>
                <w:szCs w:val="20"/>
              </w:rPr>
            </w:pPr>
          </w:p>
        </w:tc>
        <w:tc>
          <w:tcPr>
            <w:tcW w:w="897" w:type="pct"/>
            <w:tcBorders>
              <w:top w:val="nil"/>
              <w:left w:val="nil"/>
              <w:bottom w:val="nil"/>
              <w:right w:val="nil"/>
            </w:tcBorders>
            <w:shd w:val="clear" w:color="auto" w:fill="auto"/>
            <w:vAlign w:val="center"/>
            <w:hideMark/>
          </w:tcPr>
          <w:p w14:paraId="0403B4F0" w14:textId="77777777" w:rsidR="00862A01" w:rsidRPr="00872D7E" w:rsidRDefault="00862A01" w:rsidP="00862A01">
            <w:pPr>
              <w:jc w:val="both"/>
              <w:rPr>
                <w:szCs w:val="20"/>
              </w:rPr>
            </w:pPr>
          </w:p>
        </w:tc>
        <w:tc>
          <w:tcPr>
            <w:tcW w:w="907" w:type="pct"/>
            <w:tcBorders>
              <w:top w:val="nil"/>
              <w:left w:val="nil"/>
              <w:bottom w:val="nil"/>
              <w:right w:val="nil"/>
            </w:tcBorders>
            <w:shd w:val="clear" w:color="auto" w:fill="auto"/>
            <w:vAlign w:val="center"/>
            <w:hideMark/>
          </w:tcPr>
          <w:p w14:paraId="1D41097F" w14:textId="77777777" w:rsidR="00862A01" w:rsidRPr="00872D7E" w:rsidRDefault="00862A01" w:rsidP="00862A01">
            <w:pPr>
              <w:jc w:val="right"/>
              <w:rPr>
                <w:szCs w:val="20"/>
              </w:rPr>
            </w:pPr>
          </w:p>
        </w:tc>
      </w:tr>
      <w:tr w:rsidR="00862A01" w:rsidRPr="00872D7E" w14:paraId="575757D8" w14:textId="77777777" w:rsidTr="00862A01">
        <w:trPr>
          <w:divId w:val="772095577"/>
          <w:trHeight w:val="227"/>
        </w:trPr>
        <w:tc>
          <w:tcPr>
            <w:tcW w:w="3196" w:type="pct"/>
            <w:tcBorders>
              <w:top w:val="nil"/>
              <w:left w:val="nil"/>
              <w:bottom w:val="single" w:sz="12" w:space="0" w:color="auto"/>
              <w:right w:val="nil"/>
            </w:tcBorders>
            <w:shd w:val="clear" w:color="auto" w:fill="auto"/>
            <w:hideMark/>
          </w:tcPr>
          <w:p w14:paraId="5F9807E5" w14:textId="77777777" w:rsidR="00862A01" w:rsidRPr="00872D7E" w:rsidRDefault="00862A01" w:rsidP="00862A01">
            <w:pPr>
              <w:jc w:val="both"/>
              <w:rPr>
                <w:b/>
                <w:bCs/>
                <w:color w:val="000000"/>
                <w:szCs w:val="20"/>
              </w:rPr>
            </w:pPr>
            <w:r w:rsidRPr="00872D7E">
              <w:rPr>
                <w:b/>
                <w:bCs/>
                <w:color w:val="000000"/>
                <w:szCs w:val="20"/>
              </w:rPr>
              <w:t>Toplam</w:t>
            </w:r>
          </w:p>
        </w:tc>
        <w:tc>
          <w:tcPr>
            <w:tcW w:w="897" w:type="pct"/>
            <w:tcBorders>
              <w:top w:val="nil"/>
              <w:left w:val="nil"/>
              <w:bottom w:val="single" w:sz="12" w:space="0" w:color="auto"/>
              <w:right w:val="nil"/>
            </w:tcBorders>
            <w:shd w:val="clear" w:color="auto" w:fill="auto"/>
            <w:noWrap/>
            <w:vAlign w:val="center"/>
            <w:hideMark/>
          </w:tcPr>
          <w:p w14:paraId="6673B6ED" w14:textId="77777777" w:rsidR="00862A01" w:rsidRPr="00872D7E" w:rsidRDefault="00862A01" w:rsidP="00862A01">
            <w:pPr>
              <w:jc w:val="right"/>
              <w:rPr>
                <w:b/>
                <w:bCs/>
                <w:color w:val="000000"/>
                <w:szCs w:val="20"/>
              </w:rPr>
            </w:pPr>
            <w:r w:rsidRPr="00872D7E">
              <w:rPr>
                <w:b/>
                <w:bCs/>
                <w:color w:val="000000"/>
                <w:szCs w:val="20"/>
              </w:rPr>
              <w:t>394.257</w:t>
            </w:r>
          </w:p>
        </w:tc>
        <w:tc>
          <w:tcPr>
            <w:tcW w:w="907" w:type="pct"/>
            <w:tcBorders>
              <w:top w:val="nil"/>
              <w:left w:val="nil"/>
              <w:bottom w:val="single" w:sz="12" w:space="0" w:color="auto"/>
              <w:right w:val="nil"/>
            </w:tcBorders>
            <w:shd w:val="clear" w:color="auto" w:fill="auto"/>
            <w:noWrap/>
            <w:vAlign w:val="center"/>
            <w:hideMark/>
          </w:tcPr>
          <w:p w14:paraId="003DA108" w14:textId="77777777" w:rsidR="00862A01" w:rsidRPr="00872D7E" w:rsidRDefault="00862A01" w:rsidP="00862A01">
            <w:pPr>
              <w:jc w:val="right"/>
              <w:rPr>
                <w:b/>
                <w:bCs/>
                <w:color w:val="000000"/>
                <w:szCs w:val="20"/>
              </w:rPr>
            </w:pPr>
            <w:r w:rsidRPr="00872D7E">
              <w:rPr>
                <w:b/>
                <w:bCs/>
                <w:color w:val="000000"/>
                <w:szCs w:val="20"/>
              </w:rPr>
              <w:t>50.417</w:t>
            </w:r>
          </w:p>
        </w:tc>
      </w:tr>
    </w:tbl>
    <w:p w14:paraId="23FB34C5" w14:textId="6EFC750F" w:rsidR="00CD770B" w:rsidRPr="00872D7E" w:rsidRDefault="00CD770B" w:rsidP="000D6A42">
      <w:pPr>
        <w:widowControl w:val="0"/>
        <w:spacing w:line="216" w:lineRule="auto"/>
        <w:ind w:left="-14" w:hanging="476"/>
        <w:jc w:val="both"/>
        <w:rPr>
          <w:b/>
          <w:sz w:val="16"/>
          <w:szCs w:val="16"/>
        </w:rPr>
      </w:pPr>
    </w:p>
    <w:p w14:paraId="7339C121" w14:textId="77777777" w:rsidR="00000466" w:rsidRPr="00872D7E" w:rsidRDefault="00000466" w:rsidP="00000466">
      <w:pPr>
        <w:rPr>
          <w:b/>
          <w:szCs w:val="20"/>
        </w:rPr>
      </w:pPr>
    </w:p>
    <w:p w14:paraId="09B30AB3" w14:textId="77777777" w:rsidR="00000466" w:rsidRPr="00872D7E" w:rsidRDefault="00000466" w:rsidP="00000466">
      <w:pPr>
        <w:pStyle w:val="ListParagraph"/>
        <w:widowControl w:val="0"/>
        <w:numPr>
          <w:ilvl w:val="0"/>
          <w:numId w:val="35"/>
        </w:numPr>
        <w:spacing w:line="216" w:lineRule="auto"/>
        <w:ind w:left="1276" w:hanging="425"/>
        <w:jc w:val="both"/>
        <w:rPr>
          <w:b/>
          <w:szCs w:val="20"/>
        </w:rPr>
      </w:pPr>
      <w:r w:rsidRPr="00872D7E">
        <w:rPr>
          <w:b/>
          <w:szCs w:val="20"/>
        </w:rPr>
        <w:t xml:space="preserve">Menkul değerlerden alınan </w:t>
      </w:r>
      <w:proofErr w:type="gramStart"/>
      <w:r w:rsidRPr="00872D7E">
        <w:rPr>
          <w:b/>
          <w:szCs w:val="20"/>
        </w:rPr>
        <w:t>kar</w:t>
      </w:r>
      <w:proofErr w:type="gramEnd"/>
      <w:r w:rsidRPr="00872D7E">
        <w:rPr>
          <w:b/>
          <w:szCs w:val="20"/>
        </w:rPr>
        <w:t xml:space="preserve"> payı gelirlerine ilişkin bilgiler:</w:t>
      </w:r>
    </w:p>
    <w:p w14:paraId="34AE244F" w14:textId="536BF0A9" w:rsidR="00000466" w:rsidRPr="00872D7E" w:rsidRDefault="00000466" w:rsidP="00000466">
      <w:pPr>
        <w:widowControl w:val="0"/>
        <w:spacing w:line="216" w:lineRule="auto"/>
        <w:ind w:hanging="490"/>
        <w:jc w:val="both"/>
        <w:rPr>
          <w:szCs w:val="20"/>
        </w:rPr>
      </w:pPr>
    </w:p>
    <w:tbl>
      <w:tblPr>
        <w:tblW w:w="5000" w:type="pct"/>
        <w:tblCellMar>
          <w:left w:w="70" w:type="dxa"/>
          <w:right w:w="70" w:type="dxa"/>
        </w:tblCellMar>
        <w:tblLook w:val="04A0" w:firstRow="1" w:lastRow="0" w:firstColumn="1" w:lastColumn="0" w:noHBand="0" w:noVBand="1"/>
      </w:tblPr>
      <w:tblGrid>
        <w:gridCol w:w="6578"/>
        <w:gridCol w:w="1443"/>
        <w:gridCol w:w="1334"/>
      </w:tblGrid>
      <w:tr w:rsidR="00000466" w:rsidRPr="00872D7E" w14:paraId="22DA42C4" w14:textId="77777777" w:rsidTr="00336F42">
        <w:trPr>
          <w:trHeight w:val="255"/>
        </w:trPr>
        <w:tc>
          <w:tcPr>
            <w:tcW w:w="3516" w:type="pct"/>
            <w:tcBorders>
              <w:top w:val="nil"/>
              <w:left w:val="nil"/>
              <w:bottom w:val="nil"/>
              <w:right w:val="nil"/>
            </w:tcBorders>
            <w:shd w:val="clear" w:color="auto" w:fill="auto"/>
            <w:hideMark/>
          </w:tcPr>
          <w:p w14:paraId="17B3B5C8" w14:textId="77777777" w:rsidR="00000466" w:rsidRPr="00872D7E" w:rsidRDefault="00000466" w:rsidP="00336F42"/>
        </w:tc>
        <w:tc>
          <w:tcPr>
            <w:tcW w:w="1484" w:type="pct"/>
            <w:gridSpan w:val="2"/>
            <w:tcBorders>
              <w:top w:val="nil"/>
              <w:left w:val="nil"/>
              <w:bottom w:val="single" w:sz="4" w:space="0" w:color="auto"/>
              <w:right w:val="nil"/>
            </w:tcBorders>
            <w:shd w:val="clear" w:color="auto" w:fill="auto"/>
            <w:noWrap/>
            <w:vAlign w:val="center"/>
            <w:hideMark/>
          </w:tcPr>
          <w:p w14:paraId="64516D48" w14:textId="77777777" w:rsidR="00000466" w:rsidRPr="00872D7E" w:rsidRDefault="00000466" w:rsidP="00336F42">
            <w:pPr>
              <w:jc w:val="center"/>
              <w:rPr>
                <w:b/>
                <w:bCs/>
                <w:color w:val="000000"/>
                <w:szCs w:val="20"/>
              </w:rPr>
            </w:pPr>
            <w:r w:rsidRPr="00872D7E">
              <w:rPr>
                <w:b/>
                <w:bCs/>
                <w:color w:val="000000"/>
                <w:szCs w:val="20"/>
              </w:rPr>
              <w:t xml:space="preserve">1 </w:t>
            </w:r>
            <w:proofErr w:type="gramStart"/>
            <w:r w:rsidRPr="00872D7E">
              <w:rPr>
                <w:b/>
                <w:bCs/>
                <w:color w:val="000000"/>
                <w:szCs w:val="20"/>
              </w:rPr>
              <w:t>Ocak -</w:t>
            </w:r>
            <w:proofErr w:type="gramEnd"/>
            <w:r w:rsidRPr="00872D7E">
              <w:rPr>
                <w:b/>
                <w:bCs/>
                <w:color w:val="000000"/>
                <w:szCs w:val="20"/>
              </w:rPr>
              <w:t xml:space="preserve"> 31 Aralık 2024</w:t>
            </w:r>
          </w:p>
        </w:tc>
      </w:tr>
      <w:tr w:rsidR="00000466" w:rsidRPr="00872D7E" w14:paraId="68CB7B5E" w14:textId="77777777" w:rsidTr="00336F42">
        <w:trPr>
          <w:trHeight w:val="255"/>
        </w:trPr>
        <w:tc>
          <w:tcPr>
            <w:tcW w:w="3516" w:type="pct"/>
            <w:tcBorders>
              <w:top w:val="nil"/>
              <w:left w:val="nil"/>
              <w:bottom w:val="single" w:sz="4" w:space="0" w:color="auto"/>
              <w:right w:val="nil"/>
            </w:tcBorders>
            <w:shd w:val="clear" w:color="auto" w:fill="auto"/>
            <w:vAlign w:val="center"/>
            <w:hideMark/>
          </w:tcPr>
          <w:p w14:paraId="2A402A5A" w14:textId="77777777" w:rsidR="00000466" w:rsidRPr="00872D7E" w:rsidRDefault="00000466" w:rsidP="00336F42">
            <w:pPr>
              <w:jc w:val="both"/>
              <w:rPr>
                <w:color w:val="000000"/>
                <w:szCs w:val="20"/>
              </w:rPr>
            </w:pPr>
            <w:r w:rsidRPr="00872D7E">
              <w:rPr>
                <w:color w:val="000000"/>
                <w:szCs w:val="20"/>
              </w:rPr>
              <w:t> </w:t>
            </w:r>
          </w:p>
        </w:tc>
        <w:tc>
          <w:tcPr>
            <w:tcW w:w="771" w:type="pct"/>
            <w:tcBorders>
              <w:top w:val="nil"/>
              <w:left w:val="nil"/>
              <w:bottom w:val="single" w:sz="4" w:space="0" w:color="auto"/>
              <w:right w:val="nil"/>
            </w:tcBorders>
            <w:shd w:val="clear" w:color="auto" w:fill="auto"/>
            <w:vAlign w:val="center"/>
            <w:hideMark/>
          </w:tcPr>
          <w:p w14:paraId="7AA58DAB" w14:textId="77777777" w:rsidR="00000466" w:rsidRPr="00872D7E" w:rsidRDefault="00000466" w:rsidP="00336F42">
            <w:pPr>
              <w:jc w:val="right"/>
              <w:rPr>
                <w:b/>
                <w:bCs/>
                <w:color w:val="000000"/>
                <w:szCs w:val="20"/>
              </w:rPr>
            </w:pPr>
            <w:r w:rsidRPr="00872D7E">
              <w:rPr>
                <w:b/>
                <w:bCs/>
                <w:color w:val="000000"/>
                <w:szCs w:val="20"/>
              </w:rPr>
              <w:t>TP</w:t>
            </w:r>
          </w:p>
        </w:tc>
        <w:tc>
          <w:tcPr>
            <w:tcW w:w="713" w:type="pct"/>
            <w:tcBorders>
              <w:top w:val="nil"/>
              <w:left w:val="nil"/>
              <w:bottom w:val="single" w:sz="4" w:space="0" w:color="auto"/>
              <w:right w:val="nil"/>
            </w:tcBorders>
            <w:shd w:val="clear" w:color="auto" w:fill="auto"/>
            <w:vAlign w:val="center"/>
            <w:hideMark/>
          </w:tcPr>
          <w:p w14:paraId="3C38C432" w14:textId="77777777" w:rsidR="00000466" w:rsidRPr="00872D7E" w:rsidRDefault="00000466" w:rsidP="00336F42">
            <w:pPr>
              <w:jc w:val="right"/>
              <w:rPr>
                <w:b/>
                <w:bCs/>
                <w:color w:val="000000"/>
                <w:szCs w:val="20"/>
              </w:rPr>
            </w:pPr>
            <w:r w:rsidRPr="00872D7E">
              <w:rPr>
                <w:b/>
                <w:bCs/>
                <w:color w:val="000000"/>
                <w:szCs w:val="20"/>
              </w:rPr>
              <w:t>YP</w:t>
            </w:r>
          </w:p>
        </w:tc>
      </w:tr>
      <w:tr w:rsidR="00000466" w:rsidRPr="00872D7E" w14:paraId="6CFB3E98" w14:textId="77777777" w:rsidTr="00336F42">
        <w:trPr>
          <w:trHeight w:val="255"/>
        </w:trPr>
        <w:tc>
          <w:tcPr>
            <w:tcW w:w="3516" w:type="pct"/>
            <w:tcBorders>
              <w:top w:val="nil"/>
              <w:left w:val="nil"/>
              <w:bottom w:val="nil"/>
              <w:right w:val="nil"/>
            </w:tcBorders>
            <w:shd w:val="clear" w:color="auto" w:fill="auto"/>
            <w:noWrap/>
            <w:vAlign w:val="bottom"/>
            <w:hideMark/>
          </w:tcPr>
          <w:p w14:paraId="6148B0BE" w14:textId="77777777" w:rsidR="00000466" w:rsidRPr="00872D7E" w:rsidRDefault="00000466" w:rsidP="00336F42">
            <w:pPr>
              <w:jc w:val="right"/>
              <w:rPr>
                <w:b/>
                <w:bCs/>
                <w:color w:val="000000"/>
                <w:szCs w:val="20"/>
              </w:rPr>
            </w:pPr>
          </w:p>
        </w:tc>
        <w:tc>
          <w:tcPr>
            <w:tcW w:w="771" w:type="pct"/>
            <w:tcBorders>
              <w:top w:val="nil"/>
              <w:left w:val="nil"/>
              <w:bottom w:val="nil"/>
              <w:right w:val="nil"/>
            </w:tcBorders>
            <w:shd w:val="clear" w:color="auto" w:fill="auto"/>
            <w:noWrap/>
            <w:vAlign w:val="bottom"/>
            <w:hideMark/>
          </w:tcPr>
          <w:p w14:paraId="3CB162EF" w14:textId="77777777" w:rsidR="00000466" w:rsidRPr="00872D7E" w:rsidRDefault="00000466" w:rsidP="00336F42">
            <w:pPr>
              <w:rPr>
                <w:szCs w:val="20"/>
              </w:rPr>
            </w:pPr>
          </w:p>
        </w:tc>
        <w:tc>
          <w:tcPr>
            <w:tcW w:w="713" w:type="pct"/>
            <w:tcBorders>
              <w:top w:val="nil"/>
              <w:left w:val="nil"/>
              <w:bottom w:val="nil"/>
              <w:right w:val="nil"/>
            </w:tcBorders>
            <w:shd w:val="clear" w:color="auto" w:fill="auto"/>
            <w:noWrap/>
            <w:vAlign w:val="bottom"/>
            <w:hideMark/>
          </w:tcPr>
          <w:p w14:paraId="7C2D329A" w14:textId="77777777" w:rsidR="00000466" w:rsidRPr="00872D7E" w:rsidRDefault="00000466" w:rsidP="00336F42">
            <w:pPr>
              <w:rPr>
                <w:szCs w:val="20"/>
              </w:rPr>
            </w:pPr>
          </w:p>
        </w:tc>
      </w:tr>
      <w:tr w:rsidR="00000466" w:rsidRPr="00872D7E" w14:paraId="308DFBE7" w14:textId="77777777" w:rsidTr="00336F42">
        <w:trPr>
          <w:trHeight w:val="255"/>
        </w:trPr>
        <w:tc>
          <w:tcPr>
            <w:tcW w:w="3516" w:type="pct"/>
            <w:tcBorders>
              <w:top w:val="nil"/>
              <w:left w:val="nil"/>
              <w:bottom w:val="nil"/>
              <w:right w:val="nil"/>
            </w:tcBorders>
            <w:shd w:val="clear" w:color="auto" w:fill="auto"/>
            <w:vAlign w:val="center"/>
            <w:hideMark/>
          </w:tcPr>
          <w:p w14:paraId="7D9D48C6" w14:textId="77777777" w:rsidR="00000466" w:rsidRPr="00872D7E" w:rsidRDefault="00000466" w:rsidP="00336F42">
            <w:pPr>
              <w:rPr>
                <w:color w:val="000000"/>
                <w:sz w:val="18"/>
                <w:szCs w:val="18"/>
              </w:rPr>
            </w:pPr>
            <w:r w:rsidRPr="00872D7E">
              <w:rPr>
                <w:color w:val="000000"/>
                <w:sz w:val="18"/>
                <w:szCs w:val="18"/>
              </w:rPr>
              <w:t xml:space="preserve">Gerçeğe uygun değer farkı kar veya zarara yansıtılan finansal varlıklar </w:t>
            </w:r>
          </w:p>
        </w:tc>
        <w:tc>
          <w:tcPr>
            <w:tcW w:w="771" w:type="pct"/>
            <w:tcBorders>
              <w:top w:val="nil"/>
              <w:left w:val="nil"/>
              <w:bottom w:val="nil"/>
              <w:right w:val="nil"/>
            </w:tcBorders>
            <w:shd w:val="clear" w:color="auto" w:fill="auto"/>
            <w:noWrap/>
            <w:vAlign w:val="center"/>
            <w:hideMark/>
          </w:tcPr>
          <w:p w14:paraId="15FDC201" w14:textId="77777777" w:rsidR="00000466" w:rsidRPr="00872D7E" w:rsidRDefault="00000466" w:rsidP="00336F42">
            <w:pPr>
              <w:jc w:val="right"/>
              <w:rPr>
                <w:color w:val="000000"/>
                <w:sz w:val="18"/>
                <w:szCs w:val="18"/>
              </w:rPr>
            </w:pPr>
            <w:r w:rsidRPr="00872D7E">
              <w:rPr>
                <w:color w:val="000000"/>
                <w:sz w:val="18"/>
                <w:szCs w:val="18"/>
              </w:rPr>
              <w:t>-</w:t>
            </w:r>
          </w:p>
        </w:tc>
        <w:tc>
          <w:tcPr>
            <w:tcW w:w="713" w:type="pct"/>
            <w:tcBorders>
              <w:top w:val="nil"/>
              <w:left w:val="nil"/>
              <w:bottom w:val="nil"/>
              <w:right w:val="nil"/>
            </w:tcBorders>
            <w:shd w:val="clear" w:color="auto" w:fill="auto"/>
            <w:noWrap/>
            <w:vAlign w:val="center"/>
            <w:hideMark/>
          </w:tcPr>
          <w:p w14:paraId="43084D65" w14:textId="77777777" w:rsidR="00000466" w:rsidRPr="00872D7E" w:rsidRDefault="00000466" w:rsidP="00336F42">
            <w:pPr>
              <w:jc w:val="right"/>
              <w:rPr>
                <w:color w:val="000000"/>
                <w:sz w:val="18"/>
                <w:szCs w:val="18"/>
              </w:rPr>
            </w:pPr>
            <w:r w:rsidRPr="00872D7E">
              <w:rPr>
                <w:color w:val="000000"/>
                <w:sz w:val="18"/>
                <w:szCs w:val="18"/>
              </w:rPr>
              <w:t>333</w:t>
            </w:r>
          </w:p>
        </w:tc>
      </w:tr>
      <w:tr w:rsidR="00000466" w:rsidRPr="00872D7E" w14:paraId="4A6AFD18" w14:textId="77777777" w:rsidTr="00336F42">
        <w:trPr>
          <w:trHeight w:val="255"/>
        </w:trPr>
        <w:tc>
          <w:tcPr>
            <w:tcW w:w="3516" w:type="pct"/>
            <w:tcBorders>
              <w:top w:val="nil"/>
              <w:left w:val="nil"/>
              <w:bottom w:val="nil"/>
              <w:right w:val="nil"/>
            </w:tcBorders>
            <w:shd w:val="clear" w:color="auto" w:fill="auto"/>
            <w:vAlign w:val="center"/>
            <w:hideMark/>
          </w:tcPr>
          <w:p w14:paraId="52058916" w14:textId="77777777" w:rsidR="00000466" w:rsidRPr="00872D7E" w:rsidRDefault="00000466" w:rsidP="00336F42">
            <w:pPr>
              <w:rPr>
                <w:color w:val="000000"/>
                <w:sz w:val="18"/>
                <w:szCs w:val="18"/>
              </w:rPr>
            </w:pPr>
            <w:r w:rsidRPr="00872D7E">
              <w:rPr>
                <w:color w:val="000000"/>
                <w:sz w:val="18"/>
                <w:szCs w:val="18"/>
              </w:rPr>
              <w:t xml:space="preserve">Gerçeğe uygun değer farkı diğer kapsamlı gelire yansıtılan finansal varlıklar </w:t>
            </w:r>
          </w:p>
        </w:tc>
        <w:tc>
          <w:tcPr>
            <w:tcW w:w="771" w:type="pct"/>
            <w:tcBorders>
              <w:top w:val="nil"/>
              <w:left w:val="nil"/>
              <w:bottom w:val="nil"/>
              <w:right w:val="nil"/>
            </w:tcBorders>
            <w:shd w:val="clear" w:color="auto" w:fill="auto"/>
            <w:noWrap/>
            <w:vAlign w:val="center"/>
            <w:hideMark/>
          </w:tcPr>
          <w:p w14:paraId="3968E55D" w14:textId="77777777" w:rsidR="00000466" w:rsidRPr="00872D7E" w:rsidRDefault="00000466" w:rsidP="00336F42">
            <w:pPr>
              <w:jc w:val="right"/>
              <w:rPr>
                <w:color w:val="000000"/>
                <w:sz w:val="18"/>
                <w:szCs w:val="18"/>
              </w:rPr>
            </w:pPr>
            <w:r w:rsidRPr="00872D7E">
              <w:rPr>
                <w:color w:val="000000"/>
                <w:sz w:val="18"/>
                <w:szCs w:val="18"/>
              </w:rPr>
              <w:t>121.965</w:t>
            </w:r>
          </w:p>
        </w:tc>
        <w:tc>
          <w:tcPr>
            <w:tcW w:w="713" w:type="pct"/>
            <w:tcBorders>
              <w:top w:val="nil"/>
              <w:left w:val="nil"/>
              <w:bottom w:val="nil"/>
              <w:right w:val="nil"/>
            </w:tcBorders>
            <w:shd w:val="clear" w:color="auto" w:fill="auto"/>
            <w:noWrap/>
            <w:vAlign w:val="center"/>
            <w:hideMark/>
          </w:tcPr>
          <w:p w14:paraId="0833E87F" w14:textId="77777777" w:rsidR="00000466" w:rsidRPr="00872D7E" w:rsidRDefault="00000466" w:rsidP="00336F42">
            <w:pPr>
              <w:jc w:val="right"/>
              <w:rPr>
                <w:color w:val="000000"/>
                <w:sz w:val="18"/>
                <w:szCs w:val="18"/>
              </w:rPr>
            </w:pPr>
            <w:r w:rsidRPr="00872D7E">
              <w:rPr>
                <w:color w:val="000000"/>
                <w:sz w:val="18"/>
                <w:szCs w:val="18"/>
              </w:rPr>
              <w:t>-</w:t>
            </w:r>
          </w:p>
        </w:tc>
      </w:tr>
      <w:tr w:rsidR="00000466" w:rsidRPr="00872D7E" w14:paraId="299D3BC6" w14:textId="77777777" w:rsidTr="00336F42">
        <w:trPr>
          <w:trHeight w:val="255"/>
        </w:trPr>
        <w:tc>
          <w:tcPr>
            <w:tcW w:w="3516" w:type="pct"/>
            <w:tcBorders>
              <w:top w:val="nil"/>
              <w:left w:val="nil"/>
              <w:bottom w:val="single" w:sz="4" w:space="0" w:color="auto"/>
              <w:right w:val="nil"/>
            </w:tcBorders>
            <w:shd w:val="clear" w:color="auto" w:fill="auto"/>
            <w:vAlign w:val="center"/>
            <w:hideMark/>
          </w:tcPr>
          <w:p w14:paraId="057C5AF6" w14:textId="77777777" w:rsidR="00000466" w:rsidRPr="00872D7E" w:rsidRDefault="00000466" w:rsidP="00336F42">
            <w:pPr>
              <w:rPr>
                <w:color w:val="000000"/>
                <w:sz w:val="18"/>
                <w:szCs w:val="18"/>
              </w:rPr>
            </w:pPr>
            <w:r w:rsidRPr="00872D7E">
              <w:rPr>
                <w:color w:val="000000"/>
                <w:sz w:val="18"/>
                <w:szCs w:val="18"/>
              </w:rPr>
              <w:t>İtfa edilmiş maliyet üzerinden değerlenen finansal varlıklar</w:t>
            </w:r>
          </w:p>
        </w:tc>
        <w:tc>
          <w:tcPr>
            <w:tcW w:w="771" w:type="pct"/>
            <w:tcBorders>
              <w:top w:val="nil"/>
              <w:left w:val="nil"/>
              <w:bottom w:val="single" w:sz="4" w:space="0" w:color="auto"/>
              <w:right w:val="nil"/>
            </w:tcBorders>
            <w:shd w:val="clear" w:color="auto" w:fill="auto"/>
            <w:noWrap/>
            <w:vAlign w:val="center"/>
            <w:hideMark/>
          </w:tcPr>
          <w:p w14:paraId="0EBA4FA9" w14:textId="77777777" w:rsidR="00000466" w:rsidRPr="00872D7E" w:rsidRDefault="00000466" w:rsidP="00336F42">
            <w:pPr>
              <w:jc w:val="right"/>
              <w:rPr>
                <w:color w:val="000000"/>
                <w:sz w:val="18"/>
                <w:szCs w:val="18"/>
              </w:rPr>
            </w:pPr>
            <w:r w:rsidRPr="00872D7E">
              <w:rPr>
                <w:color w:val="000000"/>
                <w:sz w:val="18"/>
                <w:szCs w:val="18"/>
              </w:rPr>
              <w:t>93.805</w:t>
            </w:r>
          </w:p>
        </w:tc>
        <w:tc>
          <w:tcPr>
            <w:tcW w:w="713" w:type="pct"/>
            <w:tcBorders>
              <w:top w:val="nil"/>
              <w:left w:val="nil"/>
              <w:bottom w:val="single" w:sz="4" w:space="0" w:color="auto"/>
              <w:right w:val="nil"/>
            </w:tcBorders>
            <w:shd w:val="clear" w:color="auto" w:fill="auto"/>
            <w:noWrap/>
            <w:vAlign w:val="center"/>
            <w:hideMark/>
          </w:tcPr>
          <w:p w14:paraId="1C8EB407" w14:textId="77777777" w:rsidR="00000466" w:rsidRPr="00872D7E" w:rsidRDefault="00000466" w:rsidP="00336F42">
            <w:pPr>
              <w:jc w:val="right"/>
              <w:rPr>
                <w:color w:val="000000"/>
                <w:sz w:val="18"/>
                <w:szCs w:val="18"/>
              </w:rPr>
            </w:pPr>
            <w:r w:rsidRPr="00872D7E">
              <w:rPr>
                <w:color w:val="000000"/>
                <w:sz w:val="18"/>
                <w:szCs w:val="18"/>
              </w:rPr>
              <w:t>-</w:t>
            </w:r>
          </w:p>
        </w:tc>
      </w:tr>
      <w:tr w:rsidR="00000466" w:rsidRPr="00872D7E" w14:paraId="036769C1" w14:textId="77777777" w:rsidTr="00336F42">
        <w:trPr>
          <w:trHeight w:val="255"/>
        </w:trPr>
        <w:tc>
          <w:tcPr>
            <w:tcW w:w="3516" w:type="pct"/>
            <w:tcBorders>
              <w:top w:val="nil"/>
              <w:left w:val="nil"/>
              <w:right w:val="nil"/>
            </w:tcBorders>
            <w:shd w:val="clear" w:color="auto" w:fill="auto"/>
            <w:vAlign w:val="center"/>
            <w:hideMark/>
          </w:tcPr>
          <w:p w14:paraId="100ADC7F" w14:textId="77777777" w:rsidR="00000466" w:rsidRPr="00872D7E" w:rsidRDefault="00000466" w:rsidP="00336F42">
            <w:pPr>
              <w:jc w:val="right"/>
              <w:rPr>
                <w:color w:val="000000"/>
                <w:sz w:val="18"/>
                <w:szCs w:val="18"/>
              </w:rPr>
            </w:pPr>
          </w:p>
        </w:tc>
        <w:tc>
          <w:tcPr>
            <w:tcW w:w="771" w:type="pct"/>
            <w:tcBorders>
              <w:top w:val="nil"/>
              <w:left w:val="nil"/>
              <w:right w:val="nil"/>
            </w:tcBorders>
            <w:shd w:val="clear" w:color="auto" w:fill="auto"/>
            <w:noWrap/>
            <w:vAlign w:val="bottom"/>
            <w:hideMark/>
          </w:tcPr>
          <w:p w14:paraId="0BB9A525" w14:textId="77777777" w:rsidR="00000466" w:rsidRPr="00872D7E" w:rsidRDefault="00000466" w:rsidP="00336F42">
            <w:pPr>
              <w:jc w:val="right"/>
              <w:rPr>
                <w:szCs w:val="20"/>
              </w:rPr>
            </w:pPr>
          </w:p>
        </w:tc>
        <w:tc>
          <w:tcPr>
            <w:tcW w:w="713" w:type="pct"/>
            <w:tcBorders>
              <w:top w:val="nil"/>
              <w:left w:val="nil"/>
              <w:right w:val="nil"/>
            </w:tcBorders>
            <w:shd w:val="clear" w:color="auto" w:fill="auto"/>
            <w:noWrap/>
            <w:vAlign w:val="bottom"/>
            <w:hideMark/>
          </w:tcPr>
          <w:p w14:paraId="6C0127F9" w14:textId="77777777" w:rsidR="00000466" w:rsidRPr="00872D7E" w:rsidRDefault="00000466" w:rsidP="00336F42">
            <w:pPr>
              <w:jc w:val="right"/>
              <w:rPr>
                <w:szCs w:val="20"/>
              </w:rPr>
            </w:pPr>
          </w:p>
        </w:tc>
      </w:tr>
      <w:tr w:rsidR="00000466" w:rsidRPr="00872D7E" w14:paraId="7C08317A" w14:textId="77777777" w:rsidTr="00336F42">
        <w:trPr>
          <w:trHeight w:val="270"/>
        </w:trPr>
        <w:tc>
          <w:tcPr>
            <w:tcW w:w="3516" w:type="pct"/>
            <w:tcBorders>
              <w:top w:val="nil"/>
              <w:left w:val="nil"/>
              <w:bottom w:val="single" w:sz="12" w:space="0" w:color="auto"/>
              <w:right w:val="nil"/>
            </w:tcBorders>
            <w:shd w:val="clear" w:color="auto" w:fill="auto"/>
            <w:vAlign w:val="center"/>
            <w:hideMark/>
          </w:tcPr>
          <w:p w14:paraId="3150D2FA" w14:textId="77777777" w:rsidR="00000466" w:rsidRPr="00872D7E" w:rsidRDefault="00000466" w:rsidP="00336F42">
            <w:pPr>
              <w:jc w:val="both"/>
              <w:rPr>
                <w:b/>
                <w:bCs/>
                <w:color w:val="000000"/>
                <w:sz w:val="18"/>
                <w:szCs w:val="18"/>
              </w:rPr>
            </w:pPr>
            <w:r w:rsidRPr="00872D7E">
              <w:rPr>
                <w:b/>
                <w:bCs/>
                <w:color w:val="000000"/>
                <w:sz w:val="18"/>
                <w:szCs w:val="18"/>
              </w:rPr>
              <w:t>Toplam</w:t>
            </w:r>
          </w:p>
        </w:tc>
        <w:tc>
          <w:tcPr>
            <w:tcW w:w="771" w:type="pct"/>
            <w:tcBorders>
              <w:top w:val="nil"/>
              <w:left w:val="nil"/>
              <w:bottom w:val="single" w:sz="12" w:space="0" w:color="auto"/>
              <w:right w:val="nil"/>
            </w:tcBorders>
            <w:shd w:val="clear" w:color="auto" w:fill="auto"/>
            <w:noWrap/>
            <w:vAlign w:val="center"/>
            <w:hideMark/>
          </w:tcPr>
          <w:p w14:paraId="04BA8DB3" w14:textId="77777777" w:rsidR="00000466" w:rsidRPr="00872D7E" w:rsidRDefault="00000466" w:rsidP="00336F42">
            <w:pPr>
              <w:jc w:val="right"/>
              <w:rPr>
                <w:b/>
                <w:bCs/>
                <w:color w:val="000000"/>
                <w:sz w:val="18"/>
                <w:szCs w:val="18"/>
              </w:rPr>
            </w:pPr>
            <w:r w:rsidRPr="00872D7E">
              <w:rPr>
                <w:b/>
                <w:bCs/>
                <w:color w:val="000000"/>
                <w:sz w:val="18"/>
                <w:szCs w:val="18"/>
              </w:rPr>
              <w:t>215.770</w:t>
            </w:r>
          </w:p>
        </w:tc>
        <w:tc>
          <w:tcPr>
            <w:tcW w:w="713" w:type="pct"/>
            <w:tcBorders>
              <w:top w:val="nil"/>
              <w:left w:val="nil"/>
              <w:bottom w:val="single" w:sz="12" w:space="0" w:color="auto"/>
              <w:right w:val="nil"/>
            </w:tcBorders>
            <w:shd w:val="clear" w:color="auto" w:fill="auto"/>
            <w:noWrap/>
            <w:vAlign w:val="center"/>
            <w:hideMark/>
          </w:tcPr>
          <w:p w14:paraId="03DACD72" w14:textId="77777777" w:rsidR="00000466" w:rsidRPr="00872D7E" w:rsidRDefault="00000466" w:rsidP="00336F42">
            <w:pPr>
              <w:jc w:val="right"/>
              <w:rPr>
                <w:b/>
                <w:bCs/>
                <w:color w:val="000000"/>
                <w:sz w:val="18"/>
                <w:szCs w:val="18"/>
              </w:rPr>
            </w:pPr>
            <w:r w:rsidRPr="00872D7E">
              <w:rPr>
                <w:b/>
                <w:bCs/>
                <w:color w:val="000000"/>
                <w:sz w:val="18"/>
                <w:szCs w:val="18"/>
              </w:rPr>
              <w:t>333</w:t>
            </w:r>
          </w:p>
        </w:tc>
      </w:tr>
    </w:tbl>
    <w:p w14:paraId="615F15D2" w14:textId="553AFF96" w:rsidR="00000466" w:rsidRPr="00872D7E" w:rsidRDefault="00000466" w:rsidP="00000466">
      <w:pPr>
        <w:widowControl w:val="0"/>
        <w:spacing w:line="216" w:lineRule="auto"/>
        <w:ind w:hanging="490"/>
        <w:jc w:val="both"/>
        <w:rPr>
          <w:b/>
          <w:sz w:val="14"/>
          <w:szCs w:val="14"/>
        </w:rPr>
      </w:pPr>
    </w:p>
    <w:p w14:paraId="17D506E9" w14:textId="77777777" w:rsidR="00000466" w:rsidRPr="00872D7E" w:rsidRDefault="00000466" w:rsidP="00000466">
      <w:pPr>
        <w:widowControl w:val="0"/>
        <w:spacing w:line="216" w:lineRule="auto"/>
        <w:ind w:left="1276" w:hanging="425"/>
        <w:jc w:val="both"/>
        <w:rPr>
          <w:b/>
          <w:szCs w:val="20"/>
        </w:rPr>
      </w:pPr>
      <w:r w:rsidRPr="00872D7E">
        <w:rPr>
          <w:b/>
          <w:szCs w:val="20"/>
        </w:rPr>
        <w:t>ç.</w:t>
      </w:r>
      <w:r w:rsidRPr="00872D7E">
        <w:rPr>
          <w:b/>
          <w:szCs w:val="20"/>
        </w:rPr>
        <w:tab/>
        <w:t xml:space="preserve">İştirak ve bağlı ortaklıklardan alınan </w:t>
      </w:r>
      <w:proofErr w:type="gramStart"/>
      <w:r w:rsidRPr="00872D7E">
        <w:rPr>
          <w:b/>
          <w:szCs w:val="20"/>
        </w:rPr>
        <w:t>kar</w:t>
      </w:r>
      <w:proofErr w:type="gramEnd"/>
      <w:r w:rsidRPr="00872D7E">
        <w:rPr>
          <w:b/>
          <w:szCs w:val="20"/>
        </w:rPr>
        <w:t xml:space="preserve"> payı gelirlerine ilişkin bilgiler:</w:t>
      </w:r>
    </w:p>
    <w:p w14:paraId="6276E884" w14:textId="77777777" w:rsidR="00000466" w:rsidRPr="00872D7E" w:rsidRDefault="00000466" w:rsidP="00000466">
      <w:pPr>
        <w:widowControl w:val="0"/>
        <w:spacing w:line="216" w:lineRule="auto"/>
        <w:ind w:hanging="490"/>
        <w:jc w:val="both"/>
        <w:rPr>
          <w:color w:val="FF0000"/>
          <w:sz w:val="14"/>
          <w:szCs w:val="14"/>
        </w:rPr>
      </w:pPr>
    </w:p>
    <w:p w14:paraId="06C301EC" w14:textId="77777777" w:rsidR="00000466" w:rsidRPr="00872D7E" w:rsidRDefault="00000466" w:rsidP="00000466">
      <w:pPr>
        <w:widowControl w:val="0"/>
        <w:spacing w:line="216" w:lineRule="auto"/>
        <w:ind w:left="851"/>
        <w:jc w:val="both"/>
        <w:rPr>
          <w:szCs w:val="20"/>
        </w:rPr>
      </w:pPr>
      <w:r w:rsidRPr="00872D7E">
        <w:rPr>
          <w:szCs w:val="20"/>
        </w:rPr>
        <w:t>Bulunmamaktadır.</w:t>
      </w:r>
    </w:p>
    <w:p w14:paraId="304F3B52" w14:textId="5D5AE2F0" w:rsidR="00C76290" w:rsidRPr="00872D7E" w:rsidRDefault="00C76290">
      <w:pPr>
        <w:rPr>
          <w:b/>
          <w:szCs w:val="20"/>
        </w:rPr>
      </w:pPr>
      <w:r w:rsidRPr="00872D7E">
        <w:rPr>
          <w:b/>
          <w:szCs w:val="20"/>
        </w:rPr>
        <w:br w:type="page"/>
      </w:r>
    </w:p>
    <w:p w14:paraId="3FA32A98" w14:textId="77777777" w:rsidR="00584460" w:rsidRPr="00872D7E" w:rsidRDefault="00584460" w:rsidP="00584460">
      <w:pPr>
        <w:widowControl w:val="0"/>
        <w:ind w:left="720" w:hanging="720"/>
        <w:jc w:val="both"/>
        <w:rPr>
          <w:b/>
          <w:szCs w:val="20"/>
        </w:rPr>
      </w:pPr>
      <w:r w:rsidRPr="00872D7E">
        <w:rPr>
          <w:b/>
          <w:szCs w:val="20"/>
        </w:rPr>
        <w:lastRenderedPageBreak/>
        <w:t>KONSOLİDE OLMAYAN FİNANSAL TABLOLARA İLİŞKİN AÇIKLAMA VE DİPNOTLAR (Devamı)</w:t>
      </w:r>
    </w:p>
    <w:p w14:paraId="71A5D0A0" w14:textId="77777777" w:rsidR="00584460" w:rsidRPr="00872D7E" w:rsidRDefault="00584460" w:rsidP="00584460">
      <w:pPr>
        <w:widowControl w:val="0"/>
        <w:autoSpaceDE w:val="0"/>
        <w:autoSpaceDN w:val="0"/>
        <w:adjustRightInd w:val="0"/>
        <w:ind w:left="14" w:right="210"/>
        <w:jc w:val="both"/>
        <w:rPr>
          <w:szCs w:val="20"/>
        </w:rPr>
      </w:pPr>
    </w:p>
    <w:p w14:paraId="01417EF1" w14:textId="4EF2B332" w:rsidR="00584460" w:rsidRPr="00872D7E" w:rsidRDefault="00584460" w:rsidP="00DF282B">
      <w:pPr>
        <w:pStyle w:val="BodyTextIndent"/>
        <w:widowControl w:val="0"/>
        <w:numPr>
          <w:ilvl w:val="0"/>
          <w:numId w:val="54"/>
        </w:numPr>
        <w:ind w:left="851" w:right="206" w:hanging="851"/>
        <w:rPr>
          <w:b/>
          <w:iCs/>
          <w:szCs w:val="20"/>
        </w:rPr>
      </w:pPr>
      <w:r w:rsidRPr="00872D7E">
        <w:rPr>
          <w:b/>
          <w:iCs/>
          <w:szCs w:val="20"/>
        </w:rPr>
        <w:t>KAR VEYA ZARAR TABLOSUNA İLİŞKİN AÇIKLAMA VE DİPNOTLAR (Devamı)</w:t>
      </w:r>
    </w:p>
    <w:p w14:paraId="7940BE13" w14:textId="43C8DC08" w:rsidR="00584460" w:rsidRPr="00872D7E" w:rsidRDefault="00584460" w:rsidP="00584460">
      <w:pPr>
        <w:pStyle w:val="BodyTextIndent"/>
        <w:widowControl w:val="0"/>
        <w:ind w:right="206"/>
        <w:rPr>
          <w:b/>
          <w:iCs/>
          <w:szCs w:val="20"/>
        </w:rPr>
      </w:pPr>
    </w:p>
    <w:p w14:paraId="7ABACB91" w14:textId="2BF9CC7D" w:rsidR="00136C29" w:rsidRPr="00872D7E" w:rsidRDefault="00136C29" w:rsidP="009F6E11">
      <w:pPr>
        <w:widowControl w:val="0"/>
        <w:autoSpaceDE w:val="0"/>
        <w:autoSpaceDN w:val="0"/>
        <w:adjustRightInd w:val="0"/>
        <w:ind w:left="851" w:hanging="851"/>
        <w:jc w:val="both"/>
        <w:rPr>
          <w:rFonts w:eastAsia="Arial Unicode MS"/>
          <w:b/>
          <w:szCs w:val="20"/>
        </w:rPr>
      </w:pPr>
      <w:r w:rsidRPr="00872D7E">
        <w:rPr>
          <w:rFonts w:eastAsia="Arial Unicode MS"/>
          <w:b/>
          <w:szCs w:val="20"/>
        </w:rPr>
        <w:t>2.</w:t>
      </w:r>
      <w:r w:rsidRPr="00872D7E">
        <w:rPr>
          <w:rFonts w:eastAsia="Arial Unicode MS"/>
          <w:b/>
          <w:szCs w:val="20"/>
        </w:rPr>
        <w:tab/>
      </w:r>
      <w:proofErr w:type="gramStart"/>
      <w:r w:rsidRPr="00872D7E">
        <w:rPr>
          <w:rFonts w:eastAsia="Arial Unicode MS"/>
          <w:b/>
          <w:szCs w:val="20"/>
        </w:rPr>
        <w:t>Kar</w:t>
      </w:r>
      <w:proofErr w:type="gramEnd"/>
      <w:r w:rsidRPr="00872D7E">
        <w:rPr>
          <w:rFonts w:eastAsia="Arial Unicode MS"/>
          <w:b/>
          <w:szCs w:val="20"/>
        </w:rPr>
        <w:t xml:space="preserve"> payı giderlerine ilişkin bilgiler:</w:t>
      </w:r>
    </w:p>
    <w:p w14:paraId="5CCD9B1C" w14:textId="77777777" w:rsidR="00CD770B" w:rsidRPr="00872D7E" w:rsidRDefault="00CD770B" w:rsidP="00CD770B">
      <w:pPr>
        <w:widowControl w:val="0"/>
        <w:ind w:left="-567"/>
        <w:rPr>
          <w:b/>
          <w:color w:val="000000" w:themeColor="text1"/>
          <w:szCs w:val="20"/>
        </w:rPr>
      </w:pPr>
    </w:p>
    <w:p w14:paraId="5C27DF5F" w14:textId="1A056B32" w:rsidR="004805FF" w:rsidRPr="00872D7E" w:rsidRDefault="004805FF" w:rsidP="00212E4A">
      <w:pPr>
        <w:pStyle w:val="ListParagraph"/>
        <w:widowControl w:val="0"/>
        <w:numPr>
          <w:ilvl w:val="0"/>
          <w:numId w:val="36"/>
        </w:numPr>
        <w:ind w:left="1276" w:hanging="425"/>
        <w:rPr>
          <w:b/>
          <w:color w:val="000000" w:themeColor="text1"/>
          <w:szCs w:val="20"/>
        </w:rPr>
      </w:pPr>
      <w:r w:rsidRPr="00872D7E">
        <w:rPr>
          <w:b/>
          <w:color w:val="000000" w:themeColor="text1"/>
          <w:szCs w:val="20"/>
        </w:rPr>
        <w:t>Katılma hesaplarına ödenen kar paylarının vade yapısına göre gösterimi:</w:t>
      </w:r>
    </w:p>
    <w:p w14:paraId="0802D097" w14:textId="5DE5D576" w:rsidR="00862A01" w:rsidRPr="00872D7E" w:rsidRDefault="00862A01" w:rsidP="009F6E11">
      <w:pPr>
        <w:widowControl w:val="0"/>
        <w:rPr>
          <w:szCs w:val="20"/>
        </w:rPr>
      </w:pPr>
    </w:p>
    <w:tbl>
      <w:tblPr>
        <w:tblW w:w="5000" w:type="pct"/>
        <w:tblCellMar>
          <w:left w:w="70" w:type="dxa"/>
          <w:right w:w="70" w:type="dxa"/>
        </w:tblCellMar>
        <w:tblLook w:val="04A0" w:firstRow="1" w:lastRow="0" w:firstColumn="1" w:lastColumn="0" w:noHBand="0" w:noVBand="1"/>
      </w:tblPr>
      <w:tblGrid>
        <w:gridCol w:w="2965"/>
        <w:gridCol w:w="833"/>
        <w:gridCol w:w="732"/>
        <w:gridCol w:w="876"/>
        <w:gridCol w:w="732"/>
        <w:gridCol w:w="732"/>
        <w:gridCol w:w="730"/>
        <w:gridCol w:w="788"/>
        <w:gridCol w:w="967"/>
      </w:tblGrid>
      <w:tr w:rsidR="00862A01" w:rsidRPr="00872D7E" w14:paraId="0500687C" w14:textId="77777777" w:rsidTr="00862A01">
        <w:trPr>
          <w:divId w:val="1958220956"/>
          <w:trHeight w:val="170"/>
        </w:trPr>
        <w:tc>
          <w:tcPr>
            <w:tcW w:w="1585" w:type="pct"/>
            <w:tcBorders>
              <w:top w:val="nil"/>
              <w:left w:val="nil"/>
              <w:bottom w:val="single" w:sz="4" w:space="0" w:color="auto"/>
              <w:right w:val="nil"/>
            </w:tcBorders>
            <w:shd w:val="clear" w:color="auto" w:fill="auto"/>
            <w:noWrap/>
            <w:vAlign w:val="bottom"/>
            <w:hideMark/>
          </w:tcPr>
          <w:p w14:paraId="3123FEC9" w14:textId="58E944D7" w:rsidR="00862A01" w:rsidRPr="00872D7E" w:rsidRDefault="00862A01" w:rsidP="00862A01">
            <w:pPr>
              <w:rPr>
                <w:b/>
                <w:bCs/>
                <w:color w:val="000000"/>
                <w:sz w:val="16"/>
                <w:szCs w:val="16"/>
              </w:rPr>
            </w:pPr>
            <w:r w:rsidRPr="00872D7E">
              <w:rPr>
                <w:b/>
                <w:bCs/>
                <w:color w:val="000000"/>
                <w:sz w:val="16"/>
                <w:szCs w:val="16"/>
              </w:rPr>
              <w:t xml:space="preserve">1 </w:t>
            </w:r>
            <w:proofErr w:type="gramStart"/>
            <w:r w:rsidRPr="00872D7E">
              <w:rPr>
                <w:b/>
                <w:bCs/>
                <w:color w:val="000000"/>
                <w:sz w:val="16"/>
                <w:szCs w:val="16"/>
              </w:rPr>
              <w:t>Ocak -</w:t>
            </w:r>
            <w:proofErr w:type="gramEnd"/>
            <w:r w:rsidRPr="00872D7E">
              <w:rPr>
                <w:b/>
                <w:bCs/>
                <w:color w:val="000000"/>
                <w:sz w:val="16"/>
                <w:szCs w:val="16"/>
              </w:rPr>
              <w:t xml:space="preserve"> 31 Aralık 2024</w:t>
            </w:r>
          </w:p>
        </w:tc>
        <w:tc>
          <w:tcPr>
            <w:tcW w:w="3415" w:type="pct"/>
            <w:gridSpan w:val="8"/>
            <w:tcBorders>
              <w:top w:val="nil"/>
              <w:left w:val="nil"/>
              <w:bottom w:val="single" w:sz="4" w:space="0" w:color="auto"/>
              <w:right w:val="nil"/>
            </w:tcBorders>
            <w:shd w:val="clear" w:color="auto" w:fill="auto"/>
            <w:noWrap/>
            <w:vAlign w:val="center"/>
            <w:hideMark/>
          </w:tcPr>
          <w:p w14:paraId="4CF242FB" w14:textId="77777777" w:rsidR="00862A01" w:rsidRPr="00872D7E" w:rsidRDefault="00862A01" w:rsidP="00862A01">
            <w:pPr>
              <w:jc w:val="center"/>
              <w:rPr>
                <w:b/>
                <w:bCs/>
                <w:color w:val="000000"/>
                <w:sz w:val="16"/>
                <w:szCs w:val="16"/>
              </w:rPr>
            </w:pPr>
            <w:r w:rsidRPr="00872D7E">
              <w:rPr>
                <w:b/>
                <w:bCs/>
                <w:color w:val="000000"/>
                <w:sz w:val="16"/>
                <w:szCs w:val="16"/>
              </w:rPr>
              <w:t>Katılma hesapları</w:t>
            </w:r>
          </w:p>
        </w:tc>
      </w:tr>
      <w:tr w:rsidR="00862A01" w:rsidRPr="00872D7E" w14:paraId="0BF402A0"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7BB51397" w14:textId="77777777" w:rsidR="00862A01" w:rsidRPr="00872D7E" w:rsidRDefault="00862A01" w:rsidP="00862A01">
            <w:pPr>
              <w:jc w:val="center"/>
              <w:rPr>
                <w:b/>
                <w:bCs/>
                <w:color w:val="000000"/>
                <w:sz w:val="16"/>
                <w:szCs w:val="16"/>
              </w:rPr>
            </w:pPr>
          </w:p>
        </w:tc>
        <w:tc>
          <w:tcPr>
            <w:tcW w:w="446" w:type="pct"/>
            <w:tcBorders>
              <w:top w:val="nil"/>
              <w:left w:val="nil"/>
              <w:bottom w:val="nil"/>
              <w:right w:val="nil"/>
            </w:tcBorders>
            <w:shd w:val="clear" w:color="auto" w:fill="auto"/>
            <w:noWrap/>
            <w:vAlign w:val="center"/>
            <w:hideMark/>
          </w:tcPr>
          <w:p w14:paraId="6CBD910C"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noWrap/>
            <w:vAlign w:val="center"/>
            <w:hideMark/>
          </w:tcPr>
          <w:p w14:paraId="3F7269AD" w14:textId="77777777" w:rsidR="00862A01" w:rsidRPr="00872D7E" w:rsidRDefault="00862A01" w:rsidP="00862A01">
            <w:pPr>
              <w:jc w:val="right"/>
              <w:rPr>
                <w:szCs w:val="20"/>
              </w:rPr>
            </w:pPr>
          </w:p>
        </w:tc>
        <w:tc>
          <w:tcPr>
            <w:tcW w:w="468" w:type="pct"/>
            <w:tcBorders>
              <w:top w:val="nil"/>
              <w:left w:val="nil"/>
              <w:bottom w:val="nil"/>
              <w:right w:val="nil"/>
            </w:tcBorders>
            <w:shd w:val="clear" w:color="auto" w:fill="auto"/>
            <w:noWrap/>
            <w:vAlign w:val="center"/>
            <w:hideMark/>
          </w:tcPr>
          <w:p w14:paraId="234CF67A"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noWrap/>
            <w:vAlign w:val="center"/>
            <w:hideMark/>
          </w:tcPr>
          <w:p w14:paraId="5A987DFC"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noWrap/>
            <w:vAlign w:val="center"/>
            <w:hideMark/>
          </w:tcPr>
          <w:p w14:paraId="27261A52" w14:textId="77777777" w:rsidR="00862A01" w:rsidRPr="00872D7E" w:rsidRDefault="00862A01" w:rsidP="00862A01">
            <w:pPr>
              <w:jc w:val="right"/>
              <w:rPr>
                <w:szCs w:val="20"/>
              </w:rPr>
            </w:pPr>
          </w:p>
        </w:tc>
        <w:tc>
          <w:tcPr>
            <w:tcW w:w="390" w:type="pct"/>
            <w:tcBorders>
              <w:top w:val="nil"/>
              <w:left w:val="nil"/>
              <w:bottom w:val="nil"/>
              <w:right w:val="nil"/>
            </w:tcBorders>
            <w:shd w:val="clear" w:color="auto" w:fill="auto"/>
            <w:noWrap/>
            <w:vAlign w:val="center"/>
            <w:hideMark/>
          </w:tcPr>
          <w:p w14:paraId="7BCC733C" w14:textId="77777777" w:rsidR="00862A01" w:rsidRPr="00872D7E" w:rsidRDefault="00862A01" w:rsidP="00862A01">
            <w:pPr>
              <w:jc w:val="right"/>
              <w:rPr>
                <w:szCs w:val="20"/>
              </w:rPr>
            </w:pPr>
          </w:p>
        </w:tc>
        <w:tc>
          <w:tcPr>
            <w:tcW w:w="421" w:type="pct"/>
            <w:tcBorders>
              <w:top w:val="nil"/>
              <w:left w:val="nil"/>
              <w:bottom w:val="nil"/>
              <w:right w:val="nil"/>
            </w:tcBorders>
            <w:shd w:val="clear" w:color="auto" w:fill="auto"/>
            <w:noWrap/>
            <w:vAlign w:val="center"/>
            <w:hideMark/>
          </w:tcPr>
          <w:p w14:paraId="6D6DAE85" w14:textId="77777777" w:rsidR="00862A01" w:rsidRPr="00872D7E" w:rsidRDefault="00862A01" w:rsidP="00862A01">
            <w:pPr>
              <w:jc w:val="right"/>
              <w:rPr>
                <w:b/>
                <w:bCs/>
                <w:color w:val="000000"/>
                <w:sz w:val="16"/>
                <w:szCs w:val="16"/>
              </w:rPr>
            </w:pPr>
            <w:r w:rsidRPr="00872D7E">
              <w:rPr>
                <w:b/>
                <w:bCs/>
                <w:iCs/>
                <w:color w:val="000000"/>
                <w:sz w:val="16"/>
                <w:szCs w:val="16"/>
              </w:rPr>
              <w:t>Birikimli</w:t>
            </w:r>
          </w:p>
        </w:tc>
        <w:tc>
          <w:tcPr>
            <w:tcW w:w="517" w:type="pct"/>
            <w:tcBorders>
              <w:top w:val="nil"/>
              <w:left w:val="nil"/>
              <w:bottom w:val="nil"/>
              <w:right w:val="nil"/>
            </w:tcBorders>
            <w:shd w:val="clear" w:color="auto" w:fill="auto"/>
            <w:noWrap/>
            <w:vAlign w:val="center"/>
            <w:hideMark/>
          </w:tcPr>
          <w:p w14:paraId="23CD098C" w14:textId="77777777" w:rsidR="00862A01" w:rsidRPr="00872D7E" w:rsidRDefault="00862A01" w:rsidP="00862A01">
            <w:pPr>
              <w:jc w:val="right"/>
              <w:rPr>
                <w:b/>
                <w:bCs/>
                <w:color w:val="000000"/>
                <w:sz w:val="16"/>
                <w:szCs w:val="16"/>
              </w:rPr>
            </w:pPr>
          </w:p>
        </w:tc>
      </w:tr>
      <w:tr w:rsidR="00862A01" w:rsidRPr="00872D7E" w14:paraId="32234541"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2B156188" w14:textId="77777777" w:rsidR="00862A01" w:rsidRPr="00872D7E" w:rsidRDefault="00862A01" w:rsidP="00862A01">
            <w:pPr>
              <w:jc w:val="right"/>
              <w:rPr>
                <w:szCs w:val="20"/>
              </w:rPr>
            </w:pPr>
          </w:p>
        </w:tc>
        <w:tc>
          <w:tcPr>
            <w:tcW w:w="446" w:type="pct"/>
            <w:tcBorders>
              <w:top w:val="nil"/>
              <w:left w:val="nil"/>
              <w:bottom w:val="nil"/>
              <w:right w:val="nil"/>
            </w:tcBorders>
            <w:shd w:val="clear" w:color="auto" w:fill="auto"/>
            <w:noWrap/>
            <w:vAlign w:val="center"/>
            <w:hideMark/>
          </w:tcPr>
          <w:p w14:paraId="6E4B7B17" w14:textId="77777777" w:rsidR="00862A01" w:rsidRPr="00872D7E" w:rsidRDefault="00862A01" w:rsidP="00862A01">
            <w:pPr>
              <w:jc w:val="right"/>
              <w:rPr>
                <w:b/>
                <w:bCs/>
                <w:color w:val="000000"/>
                <w:sz w:val="16"/>
                <w:szCs w:val="16"/>
              </w:rPr>
            </w:pPr>
            <w:r w:rsidRPr="00872D7E">
              <w:rPr>
                <w:b/>
                <w:bCs/>
                <w:iCs/>
                <w:color w:val="000000"/>
                <w:sz w:val="16"/>
                <w:szCs w:val="16"/>
              </w:rPr>
              <w:t>1 aya</w:t>
            </w:r>
          </w:p>
        </w:tc>
        <w:tc>
          <w:tcPr>
            <w:tcW w:w="391" w:type="pct"/>
            <w:tcBorders>
              <w:top w:val="nil"/>
              <w:left w:val="nil"/>
              <w:bottom w:val="nil"/>
              <w:right w:val="nil"/>
            </w:tcBorders>
            <w:shd w:val="clear" w:color="auto" w:fill="auto"/>
            <w:noWrap/>
            <w:vAlign w:val="center"/>
            <w:hideMark/>
          </w:tcPr>
          <w:p w14:paraId="60BE15A4" w14:textId="77777777" w:rsidR="00862A01" w:rsidRPr="00872D7E" w:rsidRDefault="00862A01" w:rsidP="00862A01">
            <w:pPr>
              <w:jc w:val="right"/>
              <w:rPr>
                <w:b/>
                <w:bCs/>
                <w:color w:val="000000"/>
                <w:sz w:val="16"/>
                <w:szCs w:val="16"/>
              </w:rPr>
            </w:pPr>
            <w:r w:rsidRPr="00872D7E">
              <w:rPr>
                <w:b/>
                <w:bCs/>
                <w:iCs/>
                <w:color w:val="000000"/>
                <w:sz w:val="16"/>
                <w:szCs w:val="16"/>
              </w:rPr>
              <w:t>3 aya</w:t>
            </w:r>
          </w:p>
        </w:tc>
        <w:tc>
          <w:tcPr>
            <w:tcW w:w="468" w:type="pct"/>
            <w:tcBorders>
              <w:top w:val="nil"/>
              <w:left w:val="nil"/>
              <w:bottom w:val="nil"/>
              <w:right w:val="nil"/>
            </w:tcBorders>
            <w:shd w:val="clear" w:color="auto" w:fill="auto"/>
            <w:noWrap/>
            <w:vAlign w:val="center"/>
            <w:hideMark/>
          </w:tcPr>
          <w:p w14:paraId="7751312E" w14:textId="77777777" w:rsidR="00862A01" w:rsidRPr="00872D7E" w:rsidRDefault="00862A01" w:rsidP="00862A01">
            <w:pPr>
              <w:jc w:val="right"/>
              <w:rPr>
                <w:b/>
                <w:bCs/>
                <w:color w:val="000000"/>
                <w:sz w:val="16"/>
                <w:szCs w:val="16"/>
              </w:rPr>
            </w:pPr>
            <w:r w:rsidRPr="00872D7E">
              <w:rPr>
                <w:b/>
                <w:bCs/>
                <w:iCs/>
                <w:color w:val="000000"/>
                <w:sz w:val="16"/>
                <w:szCs w:val="16"/>
              </w:rPr>
              <w:t>6 aya</w:t>
            </w:r>
          </w:p>
        </w:tc>
        <w:tc>
          <w:tcPr>
            <w:tcW w:w="391" w:type="pct"/>
            <w:tcBorders>
              <w:top w:val="nil"/>
              <w:left w:val="nil"/>
              <w:bottom w:val="nil"/>
              <w:right w:val="nil"/>
            </w:tcBorders>
            <w:shd w:val="clear" w:color="auto" w:fill="auto"/>
            <w:noWrap/>
            <w:vAlign w:val="center"/>
            <w:hideMark/>
          </w:tcPr>
          <w:p w14:paraId="00D8B48A" w14:textId="77777777" w:rsidR="00862A01" w:rsidRPr="00872D7E" w:rsidRDefault="00862A01" w:rsidP="00862A01">
            <w:pPr>
              <w:jc w:val="right"/>
              <w:rPr>
                <w:b/>
                <w:bCs/>
                <w:color w:val="000000"/>
                <w:sz w:val="16"/>
                <w:szCs w:val="16"/>
              </w:rPr>
            </w:pPr>
            <w:r w:rsidRPr="00872D7E">
              <w:rPr>
                <w:b/>
                <w:bCs/>
                <w:iCs/>
                <w:color w:val="000000"/>
                <w:sz w:val="16"/>
                <w:szCs w:val="16"/>
              </w:rPr>
              <w:t>9 aya</w:t>
            </w:r>
          </w:p>
        </w:tc>
        <w:tc>
          <w:tcPr>
            <w:tcW w:w="391" w:type="pct"/>
            <w:tcBorders>
              <w:top w:val="nil"/>
              <w:left w:val="nil"/>
              <w:bottom w:val="nil"/>
              <w:right w:val="nil"/>
            </w:tcBorders>
            <w:shd w:val="clear" w:color="auto" w:fill="auto"/>
            <w:noWrap/>
            <w:vAlign w:val="center"/>
            <w:hideMark/>
          </w:tcPr>
          <w:p w14:paraId="1492CB4E" w14:textId="77777777" w:rsidR="00862A01" w:rsidRPr="00872D7E" w:rsidRDefault="00862A01" w:rsidP="00862A01">
            <w:pPr>
              <w:jc w:val="right"/>
              <w:rPr>
                <w:b/>
                <w:bCs/>
                <w:color w:val="000000"/>
                <w:sz w:val="16"/>
                <w:szCs w:val="16"/>
              </w:rPr>
            </w:pPr>
            <w:r w:rsidRPr="00872D7E">
              <w:rPr>
                <w:b/>
                <w:bCs/>
                <w:iCs/>
                <w:color w:val="000000"/>
                <w:sz w:val="16"/>
                <w:szCs w:val="16"/>
              </w:rPr>
              <w:t>1 yıla</w:t>
            </w:r>
          </w:p>
        </w:tc>
        <w:tc>
          <w:tcPr>
            <w:tcW w:w="390" w:type="pct"/>
            <w:tcBorders>
              <w:top w:val="nil"/>
              <w:left w:val="nil"/>
              <w:bottom w:val="nil"/>
              <w:right w:val="nil"/>
            </w:tcBorders>
            <w:shd w:val="clear" w:color="auto" w:fill="auto"/>
            <w:noWrap/>
            <w:vAlign w:val="center"/>
            <w:hideMark/>
          </w:tcPr>
          <w:p w14:paraId="5E8E3984" w14:textId="77777777" w:rsidR="00862A01" w:rsidRPr="00872D7E" w:rsidRDefault="00862A01" w:rsidP="00862A01">
            <w:pPr>
              <w:jc w:val="right"/>
              <w:rPr>
                <w:b/>
                <w:bCs/>
                <w:color w:val="000000"/>
                <w:sz w:val="16"/>
                <w:szCs w:val="16"/>
              </w:rPr>
            </w:pPr>
            <w:r w:rsidRPr="00872D7E">
              <w:rPr>
                <w:b/>
                <w:bCs/>
                <w:iCs/>
                <w:color w:val="000000"/>
                <w:sz w:val="16"/>
                <w:szCs w:val="16"/>
              </w:rPr>
              <w:t>1 yıldan</w:t>
            </w:r>
          </w:p>
        </w:tc>
        <w:tc>
          <w:tcPr>
            <w:tcW w:w="421" w:type="pct"/>
            <w:tcBorders>
              <w:top w:val="nil"/>
              <w:left w:val="nil"/>
              <w:bottom w:val="nil"/>
              <w:right w:val="nil"/>
            </w:tcBorders>
            <w:shd w:val="clear" w:color="auto" w:fill="auto"/>
            <w:noWrap/>
            <w:vAlign w:val="center"/>
            <w:hideMark/>
          </w:tcPr>
          <w:p w14:paraId="11415B8E" w14:textId="77777777" w:rsidR="00862A01" w:rsidRPr="00872D7E" w:rsidRDefault="00862A01" w:rsidP="00862A01">
            <w:pPr>
              <w:jc w:val="right"/>
              <w:rPr>
                <w:b/>
                <w:bCs/>
                <w:color w:val="000000"/>
                <w:sz w:val="16"/>
                <w:szCs w:val="16"/>
              </w:rPr>
            </w:pPr>
            <w:proofErr w:type="gramStart"/>
            <w:r w:rsidRPr="00872D7E">
              <w:rPr>
                <w:b/>
                <w:bCs/>
                <w:iCs/>
                <w:color w:val="000000"/>
                <w:sz w:val="16"/>
                <w:szCs w:val="16"/>
              </w:rPr>
              <w:t>katılma</w:t>
            </w:r>
            <w:proofErr w:type="gramEnd"/>
          </w:p>
        </w:tc>
        <w:tc>
          <w:tcPr>
            <w:tcW w:w="517" w:type="pct"/>
            <w:tcBorders>
              <w:top w:val="nil"/>
              <w:left w:val="nil"/>
              <w:bottom w:val="nil"/>
              <w:right w:val="nil"/>
            </w:tcBorders>
            <w:shd w:val="clear" w:color="auto" w:fill="auto"/>
            <w:noWrap/>
            <w:vAlign w:val="center"/>
            <w:hideMark/>
          </w:tcPr>
          <w:p w14:paraId="1362033F" w14:textId="77777777" w:rsidR="00862A01" w:rsidRPr="00872D7E" w:rsidRDefault="00862A01" w:rsidP="00862A01">
            <w:pPr>
              <w:jc w:val="right"/>
              <w:rPr>
                <w:b/>
                <w:bCs/>
                <w:color w:val="000000"/>
                <w:sz w:val="16"/>
                <w:szCs w:val="16"/>
              </w:rPr>
            </w:pPr>
          </w:p>
        </w:tc>
      </w:tr>
      <w:tr w:rsidR="00862A01" w:rsidRPr="00872D7E" w14:paraId="5FAFCEBC" w14:textId="77777777" w:rsidTr="00862A01">
        <w:trPr>
          <w:divId w:val="1958220956"/>
          <w:trHeight w:val="170"/>
        </w:trPr>
        <w:tc>
          <w:tcPr>
            <w:tcW w:w="1585" w:type="pct"/>
            <w:tcBorders>
              <w:top w:val="nil"/>
              <w:left w:val="nil"/>
              <w:bottom w:val="single" w:sz="4" w:space="0" w:color="auto"/>
              <w:right w:val="nil"/>
            </w:tcBorders>
            <w:shd w:val="clear" w:color="auto" w:fill="auto"/>
            <w:noWrap/>
            <w:vAlign w:val="bottom"/>
            <w:hideMark/>
          </w:tcPr>
          <w:p w14:paraId="0E249F64" w14:textId="77777777" w:rsidR="00862A01" w:rsidRPr="00872D7E" w:rsidRDefault="00862A01" w:rsidP="00862A01">
            <w:pPr>
              <w:rPr>
                <w:b/>
                <w:bCs/>
                <w:color w:val="000000"/>
                <w:sz w:val="16"/>
                <w:szCs w:val="16"/>
              </w:rPr>
            </w:pPr>
            <w:r w:rsidRPr="00872D7E">
              <w:rPr>
                <w:b/>
                <w:bCs/>
                <w:color w:val="000000"/>
                <w:sz w:val="16"/>
                <w:szCs w:val="16"/>
              </w:rPr>
              <w:t>Hesap adı</w:t>
            </w:r>
          </w:p>
        </w:tc>
        <w:tc>
          <w:tcPr>
            <w:tcW w:w="446" w:type="pct"/>
            <w:tcBorders>
              <w:top w:val="nil"/>
              <w:left w:val="nil"/>
              <w:bottom w:val="single" w:sz="4" w:space="0" w:color="auto"/>
              <w:right w:val="nil"/>
            </w:tcBorders>
            <w:shd w:val="clear" w:color="auto" w:fill="auto"/>
            <w:noWrap/>
            <w:vAlign w:val="center"/>
            <w:hideMark/>
          </w:tcPr>
          <w:p w14:paraId="2E036B76" w14:textId="77777777" w:rsidR="00862A01" w:rsidRPr="00872D7E" w:rsidRDefault="00862A01" w:rsidP="00862A01">
            <w:pPr>
              <w:jc w:val="right"/>
              <w:rPr>
                <w:b/>
                <w:bCs/>
                <w:color w:val="000000"/>
                <w:sz w:val="16"/>
                <w:szCs w:val="16"/>
              </w:rPr>
            </w:pPr>
            <w:proofErr w:type="gramStart"/>
            <w:r w:rsidRPr="00872D7E">
              <w:rPr>
                <w:b/>
                <w:bCs/>
                <w:iCs/>
                <w:color w:val="000000"/>
                <w:sz w:val="16"/>
                <w:szCs w:val="16"/>
              </w:rPr>
              <w:t>kadar</w:t>
            </w:r>
            <w:proofErr w:type="gramEnd"/>
          </w:p>
        </w:tc>
        <w:tc>
          <w:tcPr>
            <w:tcW w:w="391" w:type="pct"/>
            <w:tcBorders>
              <w:top w:val="nil"/>
              <w:left w:val="nil"/>
              <w:bottom w:val="single" w:sz="4" w:space="0" w:color="auto"/>
              <w:right w:val="nil"/>
            </w:tcBorders>
            <w:shd w:val="clear" w:color="auto" w:fill="auto"/>
            <w:noWrap/>
            <w:vAlign w:val="center"/>
            <w:hideMark/>
          </w:tcPr>
          <w:p w14:paraId="543E672E" w14:textId="77777777" w:rsidR="00862A01" w:rsidRPr="00872D7E" w:rsidRDefault="00862A01" w:rsidP="00862A01">
            <w:pPr>
              <w:jc w:val="right"/>
              <w:rPr>
                <w:b/>
                <w:bCs/>
                <w:color w:val="000000"/>
                <w:sz w:val="16"/>
                <w:szCs w:val="16"/>
              </w:rPr>
            </w:pPr>
            <w:proofErr w:type="gramStart"/>
            <w:r w:rsidRPr="00872D7E">
              <w:rPr>
                <w:b/>
                <w:bCs/>
                <w:iCs/>
                <w:color w:val="000000"/>
                <w:sz w:val="16"/>
                <w:szCs w:val="16"/>
              </w:rPr>
              <w:t>kadar</w:t>
            </w:r>
            <w:proofErr w:type="gramEnd"/>
          </w:p>
        </w:tc>
        <w:tc>
          <w:tcPr>
            <w:tcW w:w="468" w:type="pct"/>
            <w:tcBorders>
              <w:top w:val="nil"/>
              <w:left w:val="nil"/>
              <w:bottom w:val="single" w:sz="4" w:space="0" w:color="auto"/>
              <w:right w:val="nil"/>
            </w:tcBorders>
            <w:shd w:val="clear" w:color="auto" w:fill="auto"/>
            <w:noWrap/>
            <w:vAlign w:val="center"/>
            <w:hideMark/>
          </w:tcPr>
          <w:p w14:paraId="79093D54" w14:textId="77777777" w:rsidR="00862A01" w:rsidRPr="00872D7E" w:rsidRDefault="00862A01" w:rsidP="00862A01">
            <w:pPr>
              <w:jc w:val="right"/>
              <w:rPr>
                <w:b/>
                <w:bCs/>
                <w:color w:val="000000"/>
                <w:sz w:val="16"/>
                <w:szCs w:val="16"/>
              </w:rPr>
            </w:pPr>
            <w:proofErr w:type="gramStart"/>
            <w:r w:rsidRPr="00872D7E">
              <w:rPr>
                <w:b/>
                <w:bCs/>
                <w:iCs/>
                <w:color w:val="000000"/>
                <w:sz w:val="16"/>
                <w:szCs w:val="16"/>
              </w:rPr>
              <w:t>kadar</w:t>
            </w:r>
            <w:proofErr w:type="gramEnd"/>
          </w:p>
        </w:tc>
        <w:tc>
          <w:tcPr>
            <w:tcW w:w="391" w:type="pct"/>
            <w:tcBorders>
              <w:top w:val="nil"/>
              <w:left w:val="nil"/>
              <w:bottom w:val="single" w:sz="4" w:space="0" w:color="auto"/>
              <w:right w:val="nil"/>
            </w:tcBorders>
            <w:shd w:val="clear" w:color="auto" w:fill="auto"/>
            <w:noWrap/>
            <w:vAlign w:val="center"/>
            <w:hideMark/>
          </w:tcPr>
          <w:p w14:paraId="7282B5C0" w14:textId="77777777" w:rsidR="00862A01" w:rsidRPr="00872D7E" w:rsidRDefault="00862A01" w:rsidP="00862A01">
            <w:pPr>
              <w:jc w:val="right"/>
              <w:rPr>
                <w:b/>
                <w:bCs/>
                <w:color w:val="000000"/>
                <w:sz w:val="16"/>
                <w:szCs w:val="16"/>
              </w:rPr>
            </w:pPr>
            <w:proofErr w:type="gramStart"/>
            <w:r w:rsidRPr="00872D7E">
              <w:rPr>
                <w:b/>
                <w:bCs/>
                <w:iCs/>
                <w:color w:val="000000"/>
                <w:sz w:val="16"/>
                <w:szCs w:val="16"/>
              </w:rPr>
              <w:t>kadar</w:t>
            </w:r>
            <w:proofErr w:type="gramEnd"/>
          </w:p>
        </w:tc>
        <w:tc>
          <w:tcPr>
            <w:tcW w:w="391" w:type="pct"/>
            <w:tcBorders>
              <w:top w:val="nil"/>
              <w:left w:val="nil"/>
              <w:bottom w:val="single" w:sz="4" w:space="0" w:color="auto"/>
              <w:right w:val="nil"/>
            </w:tcBorders>
            <w:shd w:val="clear" w:color="auto" w:fill="auto"/>
            <w:noWrap/>
            <w:vAlign w:val="center"/>
            <w:hideMark/>
          </w:tcPr>
          <w:p w14:paraId="1B8378DE" w14:textId="77777777" w:rsidR="00862A01" w:rsidRPr="00872D7E" w:rsidRDefault="00862A01" w:rsidP="00862A01">
            <w:pPr>
              <w:jc w:val="right"/>
              <w:rPr>
                <w:b/>
                <w:bCs/>
                <w:color w:val="000000"/>
                <w:sz w:val="16"/>
                <w:szCs w:val="16"/>
              </w:rPr>
            </w:pPr>
            <w:proofErr w:type="gramStart"/>
            <w:r w:rsidRPr="00872D7E">
              <w:rPr>
                <w:b/>
                <w:bCs/>
                <w:iCs/>
                <w:color w:val="000000"/>
                <w:sz w:val="16"/>
                <w:szCs w:val="16"/>
              </w:rPr>
              <w:t>kadar</w:t>
            </w:r>
            <w:proofErr w:type="gramEnd"/>
          </w:p>
        </w:tc>
        <w:tc>
          <w:tcPr>
            <w:tcW w:w="390" w:type="pct"/>
            <w:tcBorders>
              <w:top w:val="nil"/>
              <w:left w:val="nil"/>
              <w:bottom w:val="single" w:sz="4" w:space="0" w:color="auto"/>
              <w:right w:val="nil"/>
            </w:tcBorders>
            <w:shd w:val="clear" w:color="auto" w:fill="auto"/>
            <w:noWrap/>
            <w:vAlign w:val="center"/>
            <w:hideMark/>
          </w:tcPr>
          <w:p w14:paraId="1DC0A8B4" w14:textId="77777777" w:rsidR="00862A01" w:rsidRPr="00872D7E" w:rsidRDefault="00862A01" w:rsidP="00862A01">
            <w:pPr>
              <w:jc w:val="right"/>
              <w:rPr>
                <w:b/>
                <w:bCs/>
                <w:color w:val="000000"/>
                <w:sz w:val="16"/>
                <w:szCs w:val="16"/>
              </w:rPr>
            </w:pPr>
            <w:proofErr w:type="gramStart"/>
            <w:r w:rsidRPr="00872D7E">
              <w:rPr>
                <w:b/>
                <w:bCs/>
                <w:iCs/>
                <w:color w:val="000000"/>
                <w:sz w:val="16"/>
                <w:szCs w:val="16"/>
              </w:rPr>
              <w:t>uzun</w:t>
            </w:r>
            <w:proofErr w:type="gramEnd"/>
          </w:p>
        </w:tc>
        <w:tc>
          <w:tcPr>
            <w:tcW w:w="421" w:type="pct"/>
            <w:tcBorders>
              <w:top w:val="nil"/>
              <w:left w:val="nil"/>
              <w:bottom w:val="single" w:sz="4" w:space="0" w:color="auto"/>
              <w:right w:val="nil"/>
            </w:tcBorders>
            <w:shd w:val="clear" w:color="auto" w:fill="auto"/>
            <w:noWrap/>
            <w:vAlign w:val="center"/>
            <w:hideMark/>
          </w:tcPr>
          <w:p w14:paraId="0314C2E2" w14:textId="77777777" w:rsidR="00862A01" w:rsidRPr="00872D7E" w:rsidRDefault="00862A01" w:rsidP="00862A01">
            <w:pPr>
              <w:jc w:val="right"/>
              <w:rPr>
                <w:b/>
                <w:bCs/>
                <w:color w:val="000000"/>
                <w:sz w:val="16"/>
                <w:szCs w:val="16"/>
              </w:rPr>
            </w:pPr>
            <w:proofErr w:type="gramStart"/>
            <w:r w:rsidRPr="00872D7E">
              <w:rPr>
                <w:b/>
                <w:bCs/>
                <w:iCs/>
                <w:color w:val="000000"/>
                <w:sz w:val="16"/>
                <w:szCs w:val="16"/>
              </w:rPr>
              <w:t>hesabı</w:t>
            </w:r>
            <w:proofErr w:type="gramEnd"/>
          </w:p>
        </w:tc>
        <w:tc>
          <w:tcPr>
            <w:tcW w:w="517" w:type="pct"/>
            <w:tcBorders>
              <w:top w:val="nil"/>
              <w:left w:val="nil"/>
              <w:bottom w:val="single" w:sz="4" w:space="0" w:color="auto"/>
              <w:right w:val="nil"/>
            </w:tcBorders>
            <w:shd w:val="clear" w:color="auto" w:fill="auto"/>
            <w:noWrap/>
            <w:vAlign w:val="center"/>
            <w:hideMark/>
          </w:tcPr>
          <w:p w14:paraId="4E850223" w14:textId="77777777" w:rsidR="00862A01" w:rsidRPr="00872D7E" w:rsidRDefault="00862A01" w:rsidP="00862A01">
            <w:pPr>
              <w:jc w:val="right"/>
              <w:rPr>
                <w:b/>
                <w:bCs/>
                <w:color w:val="000000"/>
                <w:sz w:val="16"/>
                <w:szCs w:val="16"/>
              </w:rPr>
            </w:pPr>
            <w:r w:rsidRPr="00872D7E">
              <w:rPr>
                <w:b/>
                <w:bCs/>
                <w:iCs/>
                <w:color w:val="000000"/>
                <w:sz w:val="16"/>
                <w:szCs w:val="16"/>
              </w:rPr>
              <w:t>Toplam</w:t>
            </w:r>
          </w:p>
        </w:tc>
      </w:tr>
      <w:tr w:rsidR="00862A01" w:rsidRPr="00872D7E" w14:paraId="035898A5"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769AE0DA" w14:textId="77777777" w:rsidR="00862A01" w:rsidRPr="00872D7E" w:rsidRDefault="00862A01" w:rsidP="00862A01">
            <w:pPr>
              <w:jc w:val="right"/>
              <w:rPr>
                <w:b/>
                <w:bCs/>
                <w:color w:val="000000"/>
                <w:sz w:val="16"/>
                <w:szCs w:val="16"/>
              </w:rPr>
            </w:pPr>
          </w:p>
        </w:tc>
        <w:tc>
          <w:tcPr>
            <w:tcW w:w="446" w:type="pct"/>
            <w:tcBorders>
              <w:top w:val="nil"/>
              <w:left w:val="nil"/>
              <w:bottom w:val="nil"/>
              <w:right w:val="nil"/>
            </w:tcBorders>
            <w:shd w:val="clear" w:color="auto" w:fill="auto"/>
            <w:noWrap/>
            <w:vAlign w:val="bottom"/>
            <w:hideMark/>
          </w:tcPr>
          <w:p w14:paraId="2EB1143E" w14:textId="77777777" w:rsidR="00862A01" w:rsidRPr="00872D7E" w:rsidRDefault="00862A01" w:rsidP="00862A01">
            <w:pPr>
              <w:rPr>
                <w:szCs w:val="20"/>
              </w:rPr>
            </w:pPr>
          </w:p>
        </w:tc>
        <w:tc>
          <w:tcPr>
            <w:tcW w:w="391" w:type="pct"/>
            <w:tcBorders>
              <w:top w:val="nil"/>
              <w:left w:val="nil"/>
              <w:bottom w:val="nil"/>
              <w:right w:val="nil"/>
            </w:tcBorders>
            <w:shd w:val="clear" w:color="auto" w:fill="auto"/>
            <w:noWrap/>
            <w:vAlign w:val="bottom"/>
            <w:hideMark/>
          </w:tcPr>
          <w:p w14:paraId="5A624A8A" w14:textId="77777777" w:rsidR="00862A01" w:rsidRPr="00872D7E" w:rsidRDefault="00862A01" w:rsidP="00862A01">
            <w:pPr>
              <w:rPr>
                <w:szCs w:val="20"/>
              </w:rPr>
            </w:pPr>
          </w:p>
        </w:tc>
        <w:tc>
          <w:tcPr>
            <w:tcW w:w="468" w:type="pct"/>
            <w:tcBorders>
              <w:top w:val="nil"/>
              <w:left w:val="nil"/>
              <w:bottom w:val="nil"/>
              <w:right w:val="nil"/>
            </w:tcBorders>
            <w:shd w:val="clear" w:color="auto" w:fill="auto"/>
            <w:noWrap/>
            <w:vAlign w:val="bottom"/>
            <w:hideMark/>
          </w:tcPr>
          <w:p w14:paraId="07D27CEF" w14:textId="77777777" w:rsidR="00862A01" w:rsidRPr="00872D7E" w:rsidRDefault="00862A01" w:rsidP="00862A01">
            <w:pPr>
              <w:rPr>
                <w:szCs w:val="20"/>
              </w:rPr>
            </w:pPr>
          </w:p>
        </w:tc>
        <w:tc>
          <w:tcPr>
            <w:tcW w:w="391" w:type="pct"/>
            <w:tcBorders>
              <w:top w:val="nil"/>
              <w:left w:val="nil"/>
              <w:bottom w:val="nil"/>
              <w:right w:val="nil"/>
            </w:tcBorders>
            <w:shd w:val="clear" w:color="auto" w:fill="auto"/>
            <w:noWrap/>
            <w:vAlign w:val="bottom"/>
            <w:hideMark/>
          </w:tcPr>
          <w:p w14:paraId="310F8669" w14:textId="77777777" w:rsidR="00862A01" w:rsidRPr="00872D7E" w:rsidRDefault="00862A01" w:rsidP="00862A01">
            <w:pPr>
              <w:rPr>
                <w:szCs w:val="20"/>
              </w:rPr>
            </w:pPr>
          </w:p>
        </w:tc>
        <w:tc>
          <w:tcPr>
            <w:tcW w:w="391" w:type="pct"/>
            <w:tcBorders>
              <w:top w:val="nil"/>
              <w:left w:val="nil"/>
              <w:bottom w:val="nil"/>
              <w:right w:val="nil"/>
            </w:tcBorders>
            <w:shd w:val="clear" w:color="auto" w:fill="auto"/>
            <w:noWrap/>
            <w:vAlign w:val="bottom"/>
            <w:hideMark/>
          </w:tcPr>
          <w:p w14:paraId="3BA43CB7" w14:textId="77777777" w:rsidR="00862A01" w:rsidRPr="00872D7E" w:rsidRDefault="00862A01" w:rsidP="00862A01">
            <w:pPr>
              <w:rPr>
                <w:szCs w:val="20"/>
              </w:rPr>
            </w:pPr>
          </w:p>
        </w:tc>
        <w:tc>
          <w:tcPr>
            <w:tcW w:w="390" w:type="pct"/>
            <w:tcBorders>
              <w:top w:val="nil"/>
              <w:left w:val="nil"/>
              <w:bottom w:val="nil"/>
              <w:right w:val="nil"/>
            </w:tcBorders>
            <w:shd w:val="clear" w:color="auto" w:fill="auto"/>
            <w:noWrap/>
            <w:vAlign w:val="bottom"/>
            <w:hideMark/>
          </w:tcPr>
          <w:p w14:paraId="26BA18C4" w14:textId="77777777" w:rsidR="00862A01" w:rsidRPr="00872D7E" w:rsidRDefault="00862A01" w:rsidP="00862A01">
            <w:pPr>
              <w:rPr>
                <w:szCs w:val="20"/>
              </w:rPr>
            </w:pPr>
          </w:p>
        </w:tc>
        <w:tc>
          <w:tcPr>
            <w:tcW w:w="421" w:type="pct"/>
            <w:tcBorders>
              <w:top w:val="nil"/>
              <w:left w:val="nil"/>
              <w:bottom w:val="nil"/>
              <w:right w:val="nil"/>
            </w:tcBorders>
            <w:shd w:val="clear" w:color="auto" w:fill="auto"/>
            <w:noWrap/>
            <w:vAlign w:val="bottom"/>
            <w:hideMark/>
          </w:tcPr>
          <w:p w14:paraId="4C54DA57" w14:textId="77777777" w:rsidR="00862A01" w:rsidRPr="00872D7E" w:rsidRDefault="00862A01" w:rsidP="00862A01">
            <w:pPr>
              <w:rPr>
                <w:szCs w:val="20"/>
              </w:rPr>
            </w:pPr>
          </w:p>
        </w:tc>
        <w:tc>
          <w:tcPr>
            <w:tcW w:w="517" w:type="pct"/>
            <w:tcBorders>
              <w:top w:val="nil"/>
              <w:left w:val="nil"/>
              <w:bottom w:val="nil"/>
              <w:right w:val="nil"/>
            </w:tcBorders>
            <w:shd w:val="clear" w:color="auto" w:fill="auto"/>
            <w:noWrap/>
            <w:vAlign w:val="bottom"/>
            <w:hideMark/>
          </w:tcPr>
          <w:p w14:paraId="6E490BDA" w14:textId="77777777" w:rsidR="00862A01" w:rsidRPr="00872D7E" w:rsidRDefault="00862A01" w:rsidP="00862A01">
            <w:pPr>
              <w:rPr>
                <w:szCs w:val="20"/>
              </w:rPr>
            </w:pPr>
          </w:p>
        </w:tc>
      </w:tr>
      <w:tr w:rsidR="00862A01" w:rsidRPr="00872D7E" w14:paraId="7480CFD6"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78E49B86" w14:textId="77777777" w:rsidR="00862A01" w:rsidRPr="00872D7E" w:rsidRDefault="00862A01" w:rsidP="00862A01">
            <w:pPr>
              <w:rPr>
                <w:b/>
                <w:bCs/>
                <w:color w:val="000000"/>
                <w:sz w:val="16"/>
                <w:szCs w:val="16"/>
              </w:rPr>
            </w:pPr>
            <w:r w:rsidRPr="00872D7E">
              <w:rPr>
                <w:b/>
                <w:bCs/>
                <w:color w:val="000000"/>
                <w:sz w:val="16"/>
                <w:szCs w:val="16"/>
              </w:rPr>
              <w:t>Türk parası</w:t>
            </w:r>
          </w:p>
        </w:tc>
        <w:tc>
          <w:tcPr>
            <w:tcW w:w="446" w:type="pct"/>
            <w:tcBorders>
              <w:top w:val="nil"/>
              <w:left w:val="nil"/>
              <w:bottom w:val="nil"/>
              <w:right w:val="nil"/>
            </w:tcBorders>
            <w:shd w:val="clear" w:color="auto" w:fill="auto"/>
            <w:noWrap/>
            <w:vAlign w:val="bottom"/>
            <w:hideMark/>
          </w:tcPr>
          <w:p w14:paraId="752F5C9C" w14:textId="77777777" w:rsidR="00862A01" w:rsidRPr="00872D7E" w:rsidRDefault="00862A01" w:rsidP="00862A01">
            <w:pPr>
              <w:rPr>
                <w:b/>
                <w:bCs/>
                <w:color w:val="000000"/>
                <w:sz w:val="16"/>
                <w:szCs w:val="16"/>
              </w:rPr>
            </w:pPr>
          </w:p>
        </w:tc>
        <w:tc>
          <w:tcPr>
            <w:tcW w:w="391" w:type="pct"/>
            <w:tcBorders>
              <w:top w:val="nil"/>
              <w:left w:val="nil"/>
              <w:bottom w:val="nil"/>
              <w:right w:val="nil"/>
            </w:tcBorders>
            <w:shd w:val="clear" w:color="auto" w:fill="auto"/>
            <w:noWrap/>
            <w:vAlign w:val="bottom"/>
            <w:hideMark/>
          </w:tcPr>
          <w:p w14:paraId="3500D378" w14:textId="77777777" w:rsidR="00862A01" w:rsidRPr="00872D7E" w:rsidRDefault="00862A01" w:rsidP="00862A01">
            <w:pPr>
              <w:rPr>
                <w:szCs w:val="20"/>
              </w:rPr>
            </w:pPr>
          </w:p>
        </w:tc>
        <w:tc>
          <w:tcPr>
            <w:tcW w:w="468" w:type="pct"/>
            <w:tcBorders>
              <w:top w:val="nil"/>
              <w:left w:val="nil"/>
              <w:bottom w:val="nil"/>
              <w:right w:val="nil"/>
            </w:tcBorders>
            <w:shd w:val="clear" w:color="auto" w:fill="auto"/>
            <w:noWrap/>
            <w:vAlign w:val="bottom"/>
            <w:hideMark/>
          </w:tcPr>
          <w:p w14:paraId="7BBD73BD" w14:textId="77777777" w:rsidR="00862A01" w:rsidRPr="00872D7E" w:rsidRDefault="00862A01" w:rsidP="00862A01">
            <w:pPr>
              <w:rPr>
                <w:szCs w:val="20"/>
              </w:rPr>
            </w:pPr>
          </w:p>
        </w:tc>
        <w:tc>
          <w:tcPr>
            <w:tcW w:w="391" w:type="pct"/>
            <w:tcBorders>
              <w:top w:val="nil"/>
              <w:left w:val="nil"/>
              <w:bottom w:val="nil"/>
              <w:right w:val="nil"/>
            </w:tcBorders>
            <w:shd w:val="clear" w:color="auto" w:fill="auto"/>
            <w:noWrap/>
            <w:vAlign w:val="bottom"/>
            <w:hideMark/>
          </w:tcPr>
          <w:p w14:paraId="2E0E0F00" w14:textId="77777777" w:rsidR="00862A01" w:rsidRPr="00872D7E" w:rsidRDefault="00862A01" w:rsidP="00862A01">
            <w:pPr>
              <w:rPr>
                <w:szCs w:val="20"/>
              </w:rPr>
            </w:pPr>
          </w:p>
        </w:tc>
        <w:tc>
          <w:tcPr>
            <w:tcW w:w="391" w:type="pct"/>
            <w:tcBorders>
              <w:top w:val="nil"/>
              <w:left w:val="nil"/>
              <w:bottom w:val="nil"/>
              <w:right w:val="nil"/>
            </w:tcBorders>
            <w:shd w:val="clear" w:color="auto" w:fill="auto"/>
            <w:noWrap/>
            <w:vAlign w:val="bottom"/>
            <w:hideMark/>
          </w:tcPr>
          <w:p w14:paraId="6C6237DB" w14:textId="77777777" w:rsidR="00862A01" w:rsidRPr="00872D7E" w:rsidRDefault="00862A01" w:rsidP="00862A01">
            <w:pPr>
              <w:rPr>
                <w:szCs w:val="20"/>
              </w:rPr>
            </w:pPr>
          </w:p>
        </w:tc>
        <w:tc>
          <w:tcPr>
            <w:tcW w:w="390" w:type="pct"/>
            <w:tcBorders>
              <w:top w:val="nil"/>
              <w:left w:val="nil"/>
              <w:bottom w:val="nil"/>
              <w:right w:val="nil"/>
            </w:tcBorders>
            <w:shd w:val="clear" w:color="auto" w:fill="auto"/>
            <w:noWrap/>
            <w:vAlign w:val="bottom"/>
            <w:hideMark/>
          </w:tcPr>
          <w:p w14:paraId="0F05C9FE" w14:textId="77777777" w:rsidR="00862A01" w:rsidRPr="00872D7E" w:rsidRDefault="00862A01" w:rsidP="00862A01">
            <w:pPr>
              <w:rPr>
                <w:szCs w:val="20"/>
              </w:rPr>
            </w:pPr>
          </w:p>
        </w:tc>
        <w:tc>
          <w:tcPr>
            <w:tcW w:w="421" w:type="pct"/>
            <w:tcBorders>
              <w:top w:val="nil"/>
              <w:left w:val="nil"/>
              <w:bottom w:val="nil"/>
              <w:right w:val="nil"/>
            </w:tcBorders>
            <w:shd w:val="clear" w:color="auto" w:fill="auto"/>
            <w:noWrap/>
            <w:vAlign w:val="bottom"/>
            <w:hideMark/>
          </w:tcPr>
          <w:p w14:paraId="6C22CB72" w14:textId="77777777" w:rsidR="00862A01" w:rsidRPr="00872D7E" w:rsidRDefault="00862A01" w:rsidP="00862A01">
            <w:pPr>
              <w:rPr>
                <w:szCs w:val="20"/>
              </w:rPr>
            </w:pPr>
          </w:p>
        </w:tc>
        <w:tc>
          <w:tcPr>
            <w:tcW w:w="517" w:type="pct"/>
            <w:tcBorders>
              <w:top w:val="nil"/>
              <w:left w:val="nil"/>
              <w:bottom w:val="nil"/>
              <w:right w:val="nil"/>
            </w:tcBorders>
            <w:shd w:val="clear" w:color="auto" w:fill="auto"/>
            <w:noWrap/>
            <w:vAlign w:val="bottom"/>
            <w:hideMark/>
          </w:tcPr>
          <w:p w14:paraId="0DE3BAC5" w14:textId="77777777" w:rsidR="00862A01" w:rsidRPr="00872D7E" w:rsidRDefault="00862A01" w:rsidP="00862A01">
            <w:pPr>
              <w:rPr>
                <w:szCs w:val="20"/>
              </w:rPr>
            </w:pPr>
          </w:p>
        </w:tc>
      </w:tr>
      <w:tr w:rsidR="00862A01" w:rsidRPr="00872D7E" w14:paraId="0C34807F" w14:textId="77777777" w:rsidTr="00862A01">
        <w:trPr>
          <w:divId w:val="1958220956"/>
          <w:trHeight w:val="170"/>
        </w:trPr>
        <w:tc>
          <w:tcPr>
            <w:tcW w:w="1585" w:type="pct"/>
            <w:tcBorders>
              <w:top w:val="nil"/>
              <w:left w:val="nil"/>
              <w:bottom w:val="nil"/>
              <w:right w:val="nil"/>
            </w:tcBorders>
            <w:shd w:val="clear" w:color="auto" w:fill="auto"/>
            <w:vAlign w:val="bottom"/>
            <w:hideMark/>
          </w:tcPr>
          <w:p w14:paraId="0CB22E65" w14:textId="77777777" w:rsidR="00862A01" w:rsidRPr="00872D7E" w:rsidRDefault="00862A01" w:rsidP="00862A01">
            <w:pPr>
              <w:rPr>
                <w:color w:val="000000"/>
                <w:sz w:val="16"/>
                <w:szCs w:val="16"/>
              </w:rPr>
            </w:pPr>
            <w:r w:rsidRPr="00872D7E">
              <w:rPr>
                <w:bCs/>
                <w:iCs/>
                <w:color w:val="000000"/>
                <w:sz w:val="16"/>
                <w:szCs w:val="16"/>
              </w:rPr>
              <w:t xml:space="preserve">Özel cari hesap ve katılma </w:t>
            </w:r>
            <w:r w:rsidRPr="00872D7E">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2AAA90AA"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6C7C9788" w14:textId="77777777" w:rsidR="00862A01" w:rsidRPr="00872D7E" w:rsidRDefault="00862A01" w:rsidP="00862A01">
            <w:pPr>
              <w:jc w:val="right"/>
              <w:rPr>
                <w:color w:val="000000"/>
                <w:sz w:val="16"/>
                <w:szCs w:val="16"/>
              </w:rPr>
            </w:pPr>
            <w:r w:rsidRPr="00872D7E">
              <w:rPr>
                <w:color w:val="000000"/>
                <w:sz w:val="16"/>
                <w:szCs w:val="16"/>
              </w:rPr>
              <w:t>-</w:t>
            </w:r>
          </w:p>
        </w:tc>
        <w:tc>
          <w:tcPr>
            <w:tcW w:w="468" w:type="pct"/>
            <w:tcBorders>
              <w:top w:val="nil"/>
              <w:left w:val="nil"/>
              <w:bottom w:val="nil"/>
              <w:right w:val="nil"/>
            </w:tcBorders>
            <w:shd w:val="clear" w:color="auto" w:fill="auto"/>
            <w:noWrap/>
            <w:vAlign w:val="center"/>
            <w:hideMark/>
          </w:tcPr>
          <w:p w14:paraId="02CE2B14"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3A575CAE"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448B64D1" w14:textId="77777777" w:rsidR="00862A01" w:rsidRPr="00872D7E" w:rsidRDefault="00862A01" w:rsidP="00862A01">
            <w:pPr>
              <w:jc w:val="right"/>
              <w:rPr>
                <w:color w:val="000000"/>
                <w:sz w:val="16"/>
                <w:szCs w:val="16"/>
              </w:rPr>
            </w:pPr>
            <w:r w:rsidRPr="00872D7E">
              <w:rPr>
                <w:color w:val="000000"/>
                <w:sz w:val="16"/>
                <w:szCs w:val="16"/>
              </w:rPr>
              <w:t>-</w:t>
            </w:r>
          </w:p>
        </w:tc>
        <w:tc>
          <w:tcPr>
            <w:tcW w:w="390" w:type="pct"/>
            <w:tcBorders>
              <w:top w:val="nil"/>
              <w:left w:val="nil"/>
              <w:bottom w:val="nil"/>
              <w:right w:val="nil"/>
            </w:tcBorders>
            <w:shd w:val="clear" w:color="auto" w:fill="auto"/>
            <w:noWrap/>
            <w:vAlign w:val="center"/>
            <w:hideMark/>
          </w:tcPr>
          <w:p w14:paraId="32A77C18" w14:textId="77777777" w:rsidR="00862A01" w:rsidRPr="00872D7E" w:rsidRDefault="00862A01" w:rsidP="00862A01">
            <w:pPr>
              <w:jc w:val="right"/>
              <w:rPr>
                <w:color w:val="000000"/>
                <w:sz w:val="16"/>
                <w:szCs w:val="16"/>
              </w:rPr>
            </w:pPr>
            <w:r w:rsidRPr="00872D7E">
              <w:rPr>
                <w:color w:val="000000"/>
                <w:sz w:val="16"/>
                <w:szCs w:val="16"/>
              </w:rPr>
              <w:t>-</w:t>
            </w:r>
          </w:p>
        </w:tc>
        <w:tc>
          <w:tcPr>
            <w:tcW w:w="421" w:type="pct"/>
            <w:tcBorders>
              <w:top w:val="nil"/>
              <w:left w:val="nil"/>
              <w:bottom w:val="nil"/>
              <w:right w:val="nil"/>
            </w:tcBorders>
            <w:shd w:val="clear" w:color="auto" w:fill="auto"/>
            <w:noWrap/>
            <w:vAlign w:val="center"/>
            <w:hideMark/>
          </w:tcPr>
          <w:p w14:paraId="5E507A36"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nil"/>
              <w:right w:val="nil"/>
            </w:tcBorders>
            <w:shd w:val="clear" w:color="auto" w:fill="auto"/>
            <w:noWrap/>
            <w:vAlign w:val="center"/>
            <w:hideMark/>
          </w:tcPr>
          <w:p w14:paraId="506D4D1F"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38102C57"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553240A2" w14:textId="77777777" w:rsidR="00862A01" w:rsidRPr="00872D7E" w:rsidRDefault="00862A01" w:rsidP="00862A01">
            <w:pPr>
              <w:rPr>
                <w:color w:val="000000"/>
                <w:sz w:val="16"/>
                <w:szCs w:val="16"/>
              </w:rPr>
            </w:pPr>
            <w:r w:rsidRPr="00872D7E">
              <w:rPr>
                <w:bCs/>
                <w:iCs/>
                <w:color w:val="000000"/>
                <w:sz w:val="16"/>
                <w:szCs w:val="16"/>
              </w:rPr>
              <w:t xml:space="preserve">Gerçek kişilerin ticari olmayan katılma </w:t>
            </w:r>
            <w:proofErr w:type="spellStart"/>
            <w:r w:rsidRPr="00872D7E">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03E65F0C" w14:textId="77777777" w:rsidR="00862A01" w:rsidRPr="00872D7E" w:rsidRDefault="00862A01" w:rsidP="00862A01">
            <w:pPr>
              <w:jc w:val="right"/>
              <w:rPr>
                <w:color w:val="000000"/>
                <w:sz w:val="16"/>
                <w:szCs w:val="16"/>
              </w:rPr>
            </w:pPr>
            <w:r w:rsidRPr="00872D7E">
              <w:rPr>
                <w:color w:val="000000"/>
                <w:sz w:val="16"/>
                <w:szCs w:val="16"/>
              </w:rPr>
              <w:t>10.295</w:t>
            </w:r>
          </w:p>
        </w:tc>
        <w:tc>
          <w:tcPr>
            <w:tcW w:w="391" w:type="pct"/>
            <w:tcBorders>
              <w:top w:val="nil"/>
              <w:left w:val="nil"/>
              <w:bottom w:val="nil"/>
              <w:right w:val="nil"/>
            </w:tcBorders>
            <w:shd w:val="clear" w:color="auto" w:fill="auto"/>
            <w:noWrap/>
            <w:vAlign w:val="center"/>
            <w:hideMark/>
          </w:tcPr>
          <w:p w14:paraId="37D8FAD2" w14:textId="77777777" w:rsidR="00862A01" w:rsidRPr="00872D7E" w:rsidRDefault="00862A01" w:rsidP="00862A01">
            <w:pPr>
              <w:jc w:val="right"/>
              <w:rPr>
                <w:color w:val="000000"/>
                <w:sz w:val="16"/>
                <w:szCs w:val="16"/>
              </w:rPr>
            </w:pPr>
            <w:r w:rsidRPr="00872D7E">
              <w:rPr>
                <w:color w:val="000000"/>
                <w:sz w:val="16"/>
                <w:szCs w:val="16"/>
              </w:rPr>
              <w:t>42.889</w:t>
            </w:r>
          </w:p>
        </w:tc>
        <w:tc>
          <w:tcPr>
            <w:tcW w:w="468" w:type="pct"/>
            <w:tcBorders>
              <w:top w:val="nil"/>
              <w:left w:val="nil"/>
              <w:bottom w:val="nil"/>
              <w:right w:val="nil"/>
            </w:tcBorders>
            <w:shd w:val="clear" w:color="auto" w:fill="auto"/>
            <w:noWrap/>
            <w:vAlign w:val="center"/>
            <w:hideMark/>
          </w:tcPr>
          <w:p w14:paraId="1A1B0B41" w14:textId="77777777" w:rsidR="00862A01" w:rsidRPr="00872D7E" w:rsidRDefault="00862A01" w:rsidP="00862A01">
            <w:pPr>
              <w:jc w:val="right"/>
              <w:rPr>
                <w:color w:val="000000"/>
                <w:sz w:val="16"/>
                <w:szCs w:val="16"/>
              </w:rPr>
            </w:pPr>
            <w:r w:rsidRPr="00872D7E">
              <w:rPr>
                <w:color w:val="000000"/>
                <w:sz w:val="16"/>
                <w:szCs w:val="16"/>
              </w:rPr>
              <w:t>1.582</w:t>
            </w:r>
          </w:p>
        </w:tc>
        <w:tc>
          <w:tcPr>
            <w:tcW w:w="391" w:type="pct"/>
            <w:tcBorders>
              <w:top w:val="nil"/>
              <w:left w:val="nil"/>
              <w:bottom w:val="nil"/>
              <w:right w:val="nil"/>
            </w:tcBorders>
            <w:shd w:val="clear" w:color="auto" w:fill="auto"/>
            <w:noWrap/>
            <w:vAlign w:val="center"/>
            <w:hideMark/>
          </w:tcPr>
          <w:p w14:paraId="1A8B8299"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751DF415" w14:textId="77777777" w:rsidR="00862A01" w:rsidRPr="00872D7E" w:rsidRDefault="00862A01" w:rsidP="00862A01">
            <w:pPr>
              <w:jc w:val="right"/>
              <w:rPr>
                <w:color w:val="000000"/>
                <w:sz w:val="16"/>
                <w:szCs w:val="16"/>
              </w:rPr>
            </w:pPr>
            <w:r w:rsidRPr="00872D7E">
              <w:rPr>
                <w:color w:val="000000"/>
                <w:sz w:val="16"/>
                <w:szCs w:val="16"/>
              </w:rPr>
              <w:t>1.193</w:t>
            </w:r>
          </w:p>
        </w:tc>
        <w:tc>
          <w:tcPr>
            <w:tcW w:w="390" w:type="pct"/>
            <w:tcBorders>
              <w:top w:val="nil"/>
              <w:left w:val="nil"/>
              <w:bottom w:val="nil"/>
              <w:right w:val="nil"/>
            </w:tcBorders>
            <w:shd w:val="clear" w:color="auto" w:fill="auto"/>
            <w:noWrap/>
            <w:vAlign w:val="center"/>
            <w:hideMark/>
          </w:tcPr>
          <w:p w14:paraId="1929B4EE" w14:textId="77777777" w:rsidR="00862A01" w:rsidRPr="00872D7E" w:rsidRDefault="00862A01" w:rsidP="00862A01">
            <w:pPr>
              <w:jc w:val="right"/>
              <w:rPr>
                <w:color w:val="000000"/>
                <w:sz w:val="16"/>
                <w:szCs w:val="16"/>
              </w:rPr>
            </w:pPr>
            <w:r w:rsidRPr="00872D7E">
              <w:rPr>
                <w:color w:val="000000"/>
                <w:sz w:val="16"/>
                <w:szCs w:val="16"/>
              </w:rPr>
              <w:t>721.766</w:t>
            </w:r>
          </w:p>
        </w:tc>
        <w:tc>
          <w:tcPr>
            <w:tcW w:w="421" w:type="pct"/>
            <w:tcBorders>
              <w:top w:val="nil"/>
              <w:left w:val="nil"/>
              <w:bottom w:val="nil"/>
              <w:right w:val="nil"/>
            </w:tcBorders>
            <w:shd w:val="clear" w:color="auto" w:fill="auto"/>
            <w:noWrap/>
            <w:vAlign w:val="center"/>
            <w:hideMark/>
          </w:tcPr>
          <w:p w14:paraId="700EC621"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nil"/>
              <w:right w:val="nil"/>
            </w:tcBorders>
            <w:shd w:val="clear" w:color="auto" w:fill="auto"/>
            <w:noWrap/>
            <w:vAlign w:val="center"/>
            <w:hideMark/>
          </w:tcPr>
          <w:p w14:paraId="01D3DE9F" w14:textId="77777777" w:rsidR="00862A01" w:rsidRPr="00872D7E" w:rsidRDefault="00862A01" w:rsidP="00862A01">
            <w:pPr>
              <w:jc w:val="right"/>
              <w:rPr>
                <w:color w:val="000000"/>
                <w:sz w:val="16"/>
                <w:szCs w:val="16"/>
              </w:rPr>
            </w:pPr>
            <w:r w:rsidRPr="00872D7E">
              <w:rPr>
                <w:color w:val="000000"/>
                <w:sz w:val="16"/>
                <w:szCs w:val="16"/>
              </w:rPr>
              <w:t>777.725</w:t>
            </w:r>
          </w:p>
        </w:tc>
      </w:tr>
      <w:tr w:rsidR="00862A01" w:rsidRPr="00872D7E" w14:paraId="0E6E27B8"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5F81D062" w14:textId="77777777" w:rsidR="00862A01" w:rsidRPr="00872D7E" w:rsidRDefault="00862A01" w:rsidP="00862A01">
            <w:pPr>
              <w:rPr>
                <w:color w:val="000000"/>
                <w:sz w:val="16"/>
                <w:szCs w:val="16"/>
              </w:rPr>
            </w:pPr>
            <w:r w:rsidRPr="00872D7E">
              <w:rPr>
                <w:bCs/>
                <w:iCs/>
                <w:color w:val="000000"/>
                <w:sz w:val="16"/>
                <w:szCs w:val="16"/>
              </w:rPr>
              <w:t xml:space="preserve">Resmi kuruluş katılma </w:t>
            </w:r>
            <w:proofErr w:type="spellStart"/>
            <w:r w:rsidRPr="00872D7E">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12243B16"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12FB7BA9" w14:textId="77777777" w:rsidR="00862A01" w:rsidRPr="00872D7E" w:rsidRDefault="00862A01" w:rsidP="00862A01">
            <w:pPr>
              <w:jc w:val="right"/>
              <w:rPr>
                <w:color w:val="000000"/>
                <w:sz w:val="16"/>
                <w:szCs w:val="16"/>
              </w:rPr>
            </w:pPr>
            <w:r w:rsidRPr="00872D7E">
              <w:rPr>
                <w:color w:val="000000"/>
                <w:sz w:val="16"/>
                <w:szCs w:val="16"/>
              </w:rPr>
              <w:t>-</w:t>
            </w:r>
          </w:p>
        </w:tc>
        <w:tc>
          <w:tcPr>
            <w:tcW w:w="468" w:type="pct"/>
            <w:tcBorders>
              <w:top w:val="nil"/>
              <w:left w:val="nil"/>
              <w:bottom w:val="nil"/>
              <w:right w:val="nil"/>
            </w:tcBorders>
            <w:shd w:val="clear" w:color="auto" w:fill="auto"/>
            <w:noWrap/>
            <w:vAlign w:val="center"/>
            <w:hideMark/>
          </w:tcPr>
          <w:p w14:paraId="54C3AC81"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71BDADD9"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14C347A2" w14:textId="77777777" w:rsidR="00862A01" w:rsidRPr="00872D7E" w:rsidRDefault="00862A01" w:rsidP="00862A01">
            <w:pPr>
              <w:jc w:val="right"/>
              <w:rPr>
                <w:color w:val="000000"/>
                <w:sz w:val="16"/>
                <w:szCs w:val="16"/>
              </w:rPr>
            </w:pPr>
            <w:r w:rsidRPr="00872D7E">
              <w:rPr>
                <w:color w:val="000000"/>
                <w:sz w:val="16"/>
                <w:szCs w:val="16"/>
              </w:rPr>
              <w:t>-</w:t>
            </w:r>
          </w:p>
        </w:tc>
        <w:tc>
          <w:tcPr>
            <w:tcW w:w="390" w:type="pct"/>
            <w:tcBorders>
              <w:top w:val="nil"/>
              <w:left w:val="nil"/>
              <w:bottom w:val="nil"/>
              <w:right w:val="nil"/>
            </w:tcBorders>
            <w:shd w:val="clear" w:color="auto" w:fill="auto"/>
            <w:noWrap/>
            <w:vAlign w:val="center"/>
            <w:hideMark/>
          </w:tcPr>
          <w:p w14:paraId="229FD79D" w14:textId="77777777" w:rsidR="00862A01" w:rsidRPr="00872D7E" w:rsidRDefault="00862A01" w:rsidP="00862A01">
            <w:pPr>
              <w:jc w:val="right"/>
              <w:rPr>
                <w:color w:val="000000"/>
                <w:sz w:val="16"/>
                <w:szCs w:val="16"/>
              </w:rPr>
            </w:pPr>
            <w:r w:rsidRPr="00872D7E">
              <w:rPr>
                <w:color w:val="000000"/>
                <w:sz w:val="16"/>
                <w:szCs w:val="16"/>
              </w:rPr>
              <w:t>-</w:t>
            </w:r>
          </w:p>
        </w:tc>
        <w:tc>
          <w:tcPr>
            <w:tcW w:w="421" w:type="pct"/>
            <w:tcBorders>
              <w:top w:val="nil"/>
              <w:left w:val="nil"/>
              <w:bottom w:val="nil"/>
              <w:right w:val="nil"/>
            </w:tcBorders>
            <w:shd w:val="clear" w:color="auto" w:fill="auto"/>
            <w:noWrap/>
            <w:vAlign w:val="center"/>
            <w:hideMark/>
          </w:tcPr>
          <w:p w14:paraId="691F59A1"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nil"/>
              <w:right w:val="nil"/>
            </w:tcBorders>
            <w:shd w:val="clear" w:color="auto" w:fill="auto"/>
            <w:noWrap/>
            <w:vAlign w:val="center"/>
            <w:hideMark/>
          </w:tcPr>
          <w:p w14:paraId="72BE6D25"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0F3B2F33"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32F67A50" w14:textId="77777777" w:rsidR="00862A01" w:rsidRPr="00872D7E" w:rsidRDefault="00862A01" w:rsidP="00862A01">
            <w:pPr>
              <w:rPr>
                <w:color w:val="000000"/>
                <w:sz w:val="16"/>
                <w:szCs w:val="16"/>
              </w:rPr>
            </w:pPr>
            <w:r w:rsidRPr="00872D7E">
              <w:rPr>
                <w:bCs/>
                <w:iCs/>
                <w:color w:val="000000"/>
                <w:sz w:val="16"/>
                <w:szCs w:val="16"/>
              </w:rPr>
              <w:t xml:space="preserve">Ticari kuruluş katılma </w:t>
            </w:r>
            <w:proofErr w:type="spellStart"/>
            <w:r w:rsidRPr="00872D7E">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34BF18F1" w14:textId="77777777" w:rsidR="00862A01" w:rsidRPr="00872D7E" w:rsidRDefault="00862A01" w:rsidP="00862A01">
            <w:pPr>
              <w:jc w:val="right"/>
              <w:rPr>
                <w:color w:val="000000"/>
                <w:sz w:val="16"/>
                <w:szCs w:val="16"/>
              </w:rPr>
            </w:pPr>
            <w:r w:rsidRPr="00872D7E">
              <w:rPr>
                <w:color w:val="000000"/>
                <w:sz w:val="16"/>
                <w:szCs w:val="16"/>
              </w:rPr>
              <w:t>540.915</w:t>
            </w:r>
          </w:p>
        </w:tc>
        <w:tc>
          <w:tcPr>
            <w:tcW w:w="391" w:type="pct"/>
            <w:tcBorders>
              <w:top w:val="nil"/>
              <w:left w:val="nil"/>
              <w:bottom w:val="nil"/>
              <w:right w:val="nil"/>
            </w:tcBorders>
            <w:shd w:val="clear" w:color="auto" w:fill="auto"/>
            <w:noWrap/>
            <w:vAlign w:val="center"/>
            <w:hideMark/>
          </w:tcPr>
          <w:p w14:paraId="222CB323" w14:textId="77777777" w:rsidR="00862A01" w:rsidRPr="00872D7E" w:rsidRDefault="00862A01" w:rsidP="00862A01">
            <w:pPr>
              <w:jc w:val="right"/>
              <w:rPr>
                <w:color w:val="000000"/>
                <w:sz w:val="16"/>
                <w:szCs w:val="16"/>
              </w:rPr>
            </w:pPr>
            <w:r w:rsidRPr="00872D7E">
              <w:rPr>
                <w:color w:val="000000"/>
                <w:sz w:val="16"/>
                <w:szCs w:val="16"/>
              </w:rPr>
              <w:t>150.816</w:t>
            </w:r>
          </w:p>
        </w:tc>
        <w:tc>
          <w:tcPr>
            <w:tcW w:w="468" w:type="pct"/>
            <w:tcBorders>
              <w:top w:val="nil"/>
              <w:left w:val="nil"/>
              <w:bottom w:val="nil"/>
              <w:right w:val="nil"/>
            </w:tcBorders>
            <w:shd w:val="clear" w:color="auto" w:fill="auto"/>
            <w:noWrap/>
            <w:vAlign w:val="center"/>
            <w:hideMark/>
          </w:tcPr>
          <w:p w14:paraId="27E11A89" w14:textId="77777777" w:rsidR="00862A01" w:rsidRPr="00872D7E" w:rsidRDefault="00862A01" w:rsidP="00862A01">
            <w:pPr>
              <w:jc w:val="right"/>
              <w:rPr>
                <w:color w:val="000000"/>
                <w:sz w:val="16"/>
                <w:szCs w:val="16"/>
              </w:rPr>
            </w:pPr>
            <w:r w:rsidRPr="00872D7E">
              <w:rPr>
                <w:color w:val="000000"/>
                <w:sz w:val="16"/>
                <w:szCs w:val="16"/>
              </w:rPr>
              <w:t>330.054</w:t>
            </w:r>
          </w:p>
        </w:tc>
        <w:tc>
          <w:tcPr>
            <w:tcW w:w="391" w:type="pct"/>
            <w:tcBorders>
              <w:top w:val="nil"/>
              <w:left w:val="nil"/>
              <w:bottom w:val="nil"/>
              <w:right w:val="nil"/>
            </w:tcBorders>
            <w:shd w:val="clear" w:color="auto" w:fill="auto"/>
            <w:noWrap/>
            <w:vAlign w:val="center"/>
            <w:hideMark/>
          </w:tcPr>
          <w:p w14:paraId="01C3C4ED"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4E6672B1" w14:textId="77777777" w:rsidR="00862A01" w:rsidRPr="00872D7E" w:rsidRDefault="00862A01" w:rsidP="00862A01">
            <w:pPr>
              <w:jc w:val="right"/>
              <w:rPr>
                <w:color w:val="000000"/>
                <w:sz w:val="16"/>
                <w:szCs w:val="16"/>
              </w:rPr>
            </w:pPr>
            <w:r w:rsidRPr="00872D7E">
              <w:rPr>
                <w:color w:val="000000"/>
                <w:sz w:val="16"/>
                <w:szCs w:val="16"/>
              </w:rPr>
              <w:t>28.541</w:t>
            </w:r>
          </w:p>
        </w:tc>
        <w:tc>
          <w:tcPr>
            <w:tcW w:w="390" w:type="pct"/>
            <w:tcBorders>
              <w:top w:val="nil"/>
              <w:left w:val="nil"/>
              <w:bottom w:val="nil"/>
              <w:right w:val="nil"/>
            </w:tcBorders>
            <w:shd w:val="clear" w:color="auto" w:fill="auto"/>
            <w:noWrap/>
            <w:vAlign w:val="center"/>
            <w:hideMark/>
          </w:tcPr>
          <w:p w14:paraId="4B4ACBCA" w14:textId="77777777" w:rsidR="00862A01" w:rsidRPr="00872D7E" w:rsidRDefault="00862A01" w:rsidP="00862A01">
            <w:pPr>
              <w:jc w:val="right"/>
              <w:rPr>
                <w:color w:val="000000"/>
                <w:sz w:val="16"/>
                <w:szCs w:val="16"/>
              </w:rPr>
            </w:pPr>
            <w:r w:rsidRPr="00872D7E">
              <w:rPr>
                <w:color w:val="000000"/>
                <w:sz w:val="16"/>
                <w:szCs w:val="16"/>
              </w:rPr>
              <w:t>-</w:t>
            </w:r>
          </w:p>
        </w:tc>
        <w:tc>
          <w:tcPr>
            <w:tcW w:w="421" w:type="pct"/>
            <w:tcBorders>
              <w:top w:val="nil"/>
              <w:left w:val="nil"/>
              <w:bottom w:val="nil"/>
              <w:right w:val="nil"/>
            </w:tcBorders>
            <w:shd w:val="clear" w:color="auto" w:fill="auto"/>
            <w:noWrap/>
            <w:vAlign w:val="center"/>
            <w:hideMark/>
          </w:tcPr>
          <w:p w14:paraId="0F78ECE9"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nil"/>
              <w:right w:val="nil"/>
            </w:tcBorders>
            <w:shd w:val="clear" w:color="auto" w:fill="auto"/>
            <w:noWrap/>
            <w:vAlign w:val="center"/>
            <w:hideMark/>
          </w:tcPr>
          <w:p w14:paraId="2D256908" w14:textId="77777777" w:rsidR="00862A01" w:rsidRPr="00872D7E" w:rsidRDefault="00862A01" w:rsidP="00862A01">
            <w:pPr>
              <w:jc w:val="right"/>
              <w:rPr>
                <w:color w:val="000000"/>
                <w:sz w:val="16"/>
                <w:szCs w:val="16"/>
              </w:rPr>
            </w:pPr>
            <w:r w:rsidRPr="00872D7E">
              <w:rPr>
                <w:color w:val="000000"/>
                <w:sz w:val="16"/>
                <w:szCs w:val="16"/>
              </w:rPr>
              <w:t>1.050.326</w:t>
            </w:r>
          </w:p>
        </w:tc>
      </w:tr>
      <w:tr w:rsidR="00862A01" w:rsidRPr="00872D7E" w14:paraId="7B69B142" w14:textId="77777777" w:rsidTr="00862A01">
        <w:trPr>
          <w:divId w:val="1958220956"/>
          <w:trHeight w:val="170"/>
        </w:trPr>
        <w:tc>
          <w:tcPr>
            <w:tcW w:w="1585" w:type="pct"/>
            <w:tcBorders>
              <w:top w:val="nil"/>
              <w:left w:val="nil"/>
              <w:bottom w:val="single" w:sz="4" w:space="0" w:color="auto"/>
              <w:right w:val="nil"/>
            </w:tcBorders>
            <w:shd w:val="clear" w:color="auto" w:fill="auto"/>
            <w:noWrap/>
            <w:vAlign w:val="bottom"/>
            <w:hideMark/>
          </w:tcPr>
          <w:p w14:paraId="6C8E8274" w14:textId="77777777" w:rsidR="00862A01" w:rsidRPr="00872D7E" w:rsidRDefault="00862A01" w:rsidP="00862A01">
            <w:pPr>
              <w:rPr>
                <w:color w:val="000000"/>
                <w:sz w:val="16"/>
                <w:szCs w:val="16"/>
              </w:rPr>
            </w:pPr>
            <w:r w:rsidRPr="00872D7E">
              <w:rPr>
                <w:bCs/>
                <w:iCs/>
                <w:color w:val="000000"/>
                <w:sz w:val="16"/>
                <w:szCs w:val="16"/>
              </w:rPr>
              <w:t xml:space="preserve">Diğer kuruluş katılma </w:t>
            </w:r>
            <w:proofErr w:type="spellStart"/>
            <w:r w:rsidRPr="00872D7E">
              <w:rPr>
                <w:bCs/>
                <w:iCs/>
                <w:color w:val="000000"/>
                <w:sz w:val="16"/>
                <w:szCs w:val="16"/>
              </w:rPr>
              <w:t>hs.</w:t>
            </w:r>
            <w:proofErr w:type="spellEnd"/>
          </w:p>
        </w:tc>
        <w:tc>
          <w:tcPr>
            <w:tcW w:w="446" w:type="pct"/>
            <w:tcBorders>
              <w:top w:val="nil"/>
              <w:left w:val="nil"/>
              <w:bottom w:val="single" w:sz="4" w:space="0" w:color="auto"/>
              <w:right w:val="nil"/>
            </w:tcBorders>
            <w:shd w:val="clear" w:color="auto" w:fill="auto"/>
            <w:noWrap/>
            <w:vAlign w:val="center"/>
            <w:hideMark/>
          </w:tcPr>
          <w:p w14:paraId="322F8E8F" w14:textId="77777777" w:rsidR="00862A01" w:rsidRPr="00872D7E" w:rsidRDefault="00862A01" w:rsidP="00862A01">
            <w:pPr>
              <w:jc w:val="right"/>
              <w:rPr>
                <w:color w:val="000000"/>
                <w:sz w:val="16"/>
                <w:szCs w:val="16"/>
              </w:rPr>
            </w:pPr>
            <w:r w:rsidRPr="00872D7E">
              <w:rPr>
                <w:color w:val="000000"/>
                <w:sz w:val="16"/>
                <w:szCs w:val="16"/>
              </w:rPr>
              <w:t>883</w:t>
            </w:r>
          </w:p>
        </w:tc>
        <w:tc>
          <w:tcPr>
            <w:tcW w:w="391" w:type="pct"/>
            <w:tcBorders>
              <w:top w:val="nil"/>
              <w:left w:val="nil"/>
              <w:bottom w:val="single" w:sz="4" w:space="0" w:color="auto"/>
              <w:right w:val="nil"/>
            </w:tcBorders>
            <w:shd w:val="clear" w:color="auto" w:fill="auto"/>
            <w:noWrap/>
            <w:vAlign w:val="center"/>
            <w:hideMark/>
          </w:tcPr>
          <w:p w14:paraId="657CC582" w14:textId="77777777" w:rsidR="00862A01" w:rsidRPr="00872D7E" w:rsidRDefault="00862A01" w:rsidP="00862A01">
            <w:pPr>
              <w:jc w:val="right"/>
              <w:rPr>
                <w:color w:val="000000"/>
                <w:sz w:val="16"/>
                <w:szCs w:val="16"/>
              </w:rPr>
            </w:pPr>
            <w:r w:rsidRPr="00872D7E">
              <w:rPr>
                <w:color w:val="000000"/>
                <w:sz w:val="16"/>
                <w:szCs w:val="16"/>
              </w:rPr>
              <w:t>93.693</w:t>
            </w:r>
          </w:p>
        </w:tc>
        <w:tc>
          <w:tcPr>
            <w:tcW w:w="468" w:type="pct"/>
            <w:tcBorders>
              <w:top w:val="nil"/>
              <w:left w:val="nil"/>
              <w:bottom w:val="single" w:sz="4" w:space="0" w:color="auto"/>
              <w:right w:val="nil"/>
            </w:tcBorders>
            <w:shd w:val="clear" w:color="auto" w:fill="auto"/>
            <w:noWrap/>
            <w:vAlign w:val="center"/>
            <w:hideMark/>
          </w:tcPr>
          <w:p w14:paraId="7EB209F4"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0F34CDE7"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77CBDEEC" w14:textId="77777777" w:rsidR="00862A01" w:rsidRPr="00872D7E" w:rsidRDefault="00862A01" w:rsidP="00862A01">
            <w:pPr>
              <w:jc w:val="right"/>
              <w:rPr>
                <w:color w:val="000000"/>
                <w:sz w:val="16"/>
                <w:szCs w:val="16"/>
              </w:rPr>
            </w:pPr>
            <w:r w:rsidRPr="00872D7E">
              <w:rPr>
                <w:color w:val="000000"/>
                <w:sz w:val="16"/>
                <w:szCs w:val="16"/>
              </w:rPr>
              <w:t>-</w:t>
            </w:r>
          </w:p>
        </w:tc>
        <w:tc>
          <w:tcPr>
            <w:tcW w:w="390" w:type="pct"/>
            <w:tcBorders>
              <w:top w:val="nil"/>
              <w:left w:val="nil"/>
              <w:bottom w:val="single" w:sz="4" w:space="0" w:color="auto"/>
              <w:right w:val="nil"/>
            </w:tcBorders>
            <w:shd w:val="clear" w:color="auto" w:fill="auto"/>
            <w:noWrap/>
            <w:vAlign w:val="center"/>
            <w:hideMark/>
          </w:tcPr>
          <w:p w14:paraId="6333F2ED" w14:textId="77777777" w:rsidR="00862A01" w:rsidRPr="00872D7E" w:rsidRDefault="00862A01" w:rsidP="00862A01">
            <w:pPr>
              <w:jc w:val="right"/>
              <w:rPr>
                <w:color w:val="000000"/>
                <w:sz w:val="16"/>
                <w:szCs w:val="16"/>
              </w:rPr>
            </w:pPr>
            <w:r w:rsidRPr="00872D7E">
              <w:rPr>
                <w:color w:val="000000"/>
                <w:sz w:val="16"/>
                <w:szCs w:val="16"/>
              </w:rPr>
              <w:t>-</w:t>
            </w:r>
          </w:p>
        </w:tc>
        <w:tc>
          <w:tcPr>
            <w:tcW w:w="421" w:type="pct"/>
            <w:tcBorders>
              <w:top w:val="nil"/>
              <w:left w:val="nil"/>
              <w:bottom w:val="single" w:sz="4" w:space="0" w:color="auto"/>
              <w:right w:val="nil"/>
            </w:tcBorders>
            <w:shd w:val="clear" w:color="auto" w:fill="auto"/>
            <w:noWrap/>
            <w:vAlign w:val="center"/>
            <w:hideMark/>
          </w:tcPr>
          <w:p w14:paraId="5AFB5D37"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7833EF21" w14:textId="77777777" w:rsidR="00862A01" w:rsidRPr="00872D7E" w:rsidRDefault="00862A01" w:rsidP="00862A01">
            <w:pPr>
              <w:jc w:val="right"/>
              <w:rPr>
                <w:color w:val="000000"/>
                <w:sz w:val="16"/>
                <w:szCs w:val="16"/>
              </w:rPr>
            </w:pPr>
            <w:r w:rsidRPr="00872D7E">
              <w:rPr>
                <w:color w:val="000000"/>
                <w:sz w:val="16"/>
                <w:szCs w:val="16"/>
              </w:rPr>
              <w:t>94.576</w:t>
            </w:r>
          </w:p>
        </w:tc>
      </w:tr>
      <w:tr w:rsidR="00862A01" w:rsidRPr="00872D7E" w14:paraId="7E28E592" w14:textId="77777777" w:rsidTr="00862A01">
        <w:trPr>
          <w:divId w:val="1958220956"/>
          <w:trHeight w:val="170"/>
        </w:trPr>
        <w:tc>
          <w:tcPr>
            <w:tcW w:w="1585" w:type="pct"/>
            <w:tcBorders>
              <w:top w:val="nil"/>
              <w:left w:val="nil"/>
              <w:bottom w:val="nil"/>
              <w:right w:val="nil"/>
            </w:tcBorders>
            <w:shd w:val="clear" w:color="auto" w:fill="auto"/>
            <w:vAlign w:val="center"/>
            <w:hideMark/>
          </w:tcPr>
          <w:p w14:paraId="20C21CF3" w14:textId="77777777" w:rsidR="00862A01" w:rsidRPr="00872D7E" w:rsidRDefault="00862A01" w:rsidP="00862A01">
            <w:pPr>
              <w:jc w:val="right"/>
              <w:rPr>
                <w:color w:val="000000"/>
                <w:sz w:val="16"/>
                <w:szCs w:val="16"/>
              </w:rPr>
            </w:pPr>
          </w:p>
        </w:tc>
        <w:tc>
          <w:tcPr>
            <w:tcW w:w="446" w:type="pct"/>
            <w:tcBorders>
              <w:top w:val="nil"/>
              <w:left w:val="nil"/>
              <w:bottom w:val="nil"/>
              <w:right w:val="nil"/>
            </w:tcBorders>
            <w:shd w:val="clear" w:color="auto" w:fill="auto"/>
            <w:vAlign w:val="center"/>
            <w:hideMark/>
          </w:tcPr>
          <w:p w14:paraId="51DD6660"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35AD5162" w14:textId="77777777" w:rsidR="00862A01" w:rsidRPr="00872D7E" w:rsidRDefault="00862A01" w:rsidP="00862A01">
            <w:pPr>
              <w:jc w:val="right"/>
              <w:rPr>
                <w:szCs w:val="20"/>
              </w:rPr>
            </w:pPr>
          </w:p>
        </w:tc>
        <w:tc>
          <w:tcPr>
            <w:tcW w:w="468" w:type="pct"/>
            <w:tcBorders>
              <w:top w:val="nil"/>
              <w:left w:val="nil"/>
              <w:bottom w:val="nil"/>
              <w:right w:val="nil"/>
            </w:tcBorders>
            <w:shd w:val="clear" w:color="auto" w:fill="auto"/>
            <w:vAlign w:val="center"/>
            <w:hideMark/>
          </w:tcPr>
          <w:p w14:paraId="5517F4A4"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131121D4"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134B8B39" w14:textId="77777777" w:rsidR="00862A01" w:rsidRPr="00872D7E" w:rsidRDefault="00862A01" w:rsidP="00862A01">
            <w:pPr>
              <w:jc w:val="right"/>
              <w:rPr>
                <w:szCs w:val="20"/>
              </w:rPr>
            </w:pPr>
          </w:p>
        </w:tc>
        <w:tc>
          <w:tcPr>
            <w:tcW w:w="390" w:type="pct"/>
            <w:tcBorders>
              <w:top w:val="nil"/>
              <w:left w:val="nil"/>
              <w:bottom w:val="nil"/>
              <w:right w:val="nil"/>
            </w:tcBorders>
            <w:shd w:val="clear" w:color="auto" w:fill="auto"/>
            <w:vAlign w:val="center"/>
            <w:hideMark/>
          </w:tcPr>
          <w:p w14:paraId="5428CEF1" w14:textId="77777777" w:rsidR="00862A01" w:rsidRPr="00872D7E" w:rsidRDefault="00862A01" w:rsidP="00862A01">
            <w:pPr>
              <w:jc w:val="right"/>
              <w:rPr>
                <w:szCs w:val="20"/>
              </w:rPr>
            </w:pPr>
          </w:p>
        </w:tc>
        <w:tc>
          <w:tcPr>
            <w:tcW w:w="421" w:type="pct"/>
            <w:tcBorders>
              <w:top w:val="nil"/>
              <w:left w:val="nil"/>
              <w:bottom w:val="nil"/>
              <w:right w:val="nil"/>
            </w:tcBorders>
            <w:shd w:val="clear" w:color="auto" w:fill="auto"/>
            <w:vAlign w:val="center"/>
            <w:hideMark/>
          </w:tcPr>
          <w:p w14:paraId="3C97C719" w14:textId="77777777" w:rsidR="00862A01" w:rsidRPr="00872D7E" w:rsidRDefault="00862A01" w:rsidP="00862A01">
            <w:pPr>
              <w:jc w:val="right"/>
              <w:rPr>
                <w:szCs w:val="20"/>
              </w:rPr>
            </w:pPr>
          </w:p>
        </w:tc>
        <w:tc>
          <w:tcPr>
            <w:tcW w:w="517" w:type="pct"/>
            <w:tcBorders>
              <w:top w:val="nil"/>
              <w:left w:val="nil"/>
              <w:bottom w:val="nil"/>
              <w:right w:val="nil"/>
            </w:tcBorders>
            <w:shd w:val="clear" w:color="auto" w:fill="auto"/>
            <w:vAlign w:val="center"/>
            <w:hideMark/>
          </w:tcPr>
          <w:p w14:paraId="25BDD1DE" w14:textId="77777777" w:rsidR="00862A01" w:rsidRPr="00872D7E" w:rsidRDefault="00862A01" w:rsidP="00862A01">
            <w:pPr>
              <w:jc w:val="right"/>
              <w:rPr>
                <w:szCs w:val="20"/>
              </w:rPr>
            </w:pPr>
          </w:p>
        </w:tc>
      </w:tr>
      <w:tr w:rsidR="00862A01" w:rsidRPr="00872D7E" w14:paraId="639E01C9" w14:textId="77777777" w:rsidTr="00862A01">
        <w:trPr>
          <w:divId w:val="1958220956"/>
          <w:trHeight w:val="170"/>
        </w:trPr>
        <w:tc>
          <w:tcPr>
            <w:tcW w:w="1585" w:type="pct"/>
            <w:tcBorders>
              <w:top w:val="nil"/>
              <w:left w:val="nil"/>
              <w:bottom w:val="single" w:sz="8" w:space="0" w:color="auto"/>
              <w:right w:val="nil"/>
            </w:tcBorders>
            <w:shd w:val="clear" w:color="auto" w:fill="auto"/>
            <w:vAlign w:val="center"/>
            <w:hideMark/>
          </w:tcPr>
          <w:p w14:paraId="01FC0D86" w14:textId="77777777" w:rsidR="00862A01" w:rsidRPr="00872D7E" w:rsidRDefault="00862A01" w:rsidP="00862A01">
            <w:pPr>
              <w:rPr>
                <w:b/>
                <w:bCs/>
                <w:color w:val="000000"/>
                <w:sz w:val="16"/>
                <w:szCs w:val="16"/>
              </w:rPr>
            </w:pPr>
            <w:r w:rsidRPr="00872D7E">
              <w:rPr>
                <w:b/>
                <w:b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3D9F8E58" w14:textId="77777777" w:rsidR="00862A01" w:rsidRPr="00872D7E" w:rsidRDefault="00862A01" w:rsidP="00862A01">
            <w:pPr>
              <w:jc w:val="right"/>
              <w:rPr>
                <w:b/>
                <w:bCs/>
                <w:sz w:val="16"/>
                <w:szCs w:val="16"/>
              </w:rPr>
            </w:pPr>
            <w:r w:rsidRPr="00872D7E">
              <w:rPr>
                <w:b/>
                <w:bCs/>
                <w:sz w:val="16"/>
                <w:szCs w:val="16"/>
              </w:rPr>
              <w:t>552.093</w:t>
            </w:r>
          </w:p>
        </w:tc>
        <w:tc>
          <w:tcPr>
            <w:tcW w:w="391" w:type="pct"/>
            <w:tcBorders>
              <w:top w:val="nil"/>
              <w:left w:val="nil"/>
              <w:bottom w:val="single" w:sz="8" w:space="0" w:color="auto"/>
              <w:right w:val="nil"/>
            </w:tcBorders>
            <w:shd w:val="clear" w:color="auto" w:fill="auto"/>
            <w:noWrap/>
            <w:vAlign w:val="center"/>
            <w:hideMark/>
          </w:tcPr>
          <w:p w14:paraId="2D249672" w14:textId="77777777" w:rsidR="00862A01" w:rsidRPr="00872D7E" w:rsidRDefault="00862A01" w:rsidP="00862A01">
            <w:pPr>
              <w:jc w:val="right"/>
              <w:rPr>
                <w:b/>
                <w:bCs/>
                <w:sz w:val="16"/>
                <w:szCs w:val="16"/>
              </w:rPr>
            </w:pPr>
            <w:r w:rsidRPr="00872D7E">
              <w:rPr>
                <w:b/>
                <w:bCs/>
                <w:sz w:val="16"/>
                <w:szCs w:val="16"/>
              </w:rPr>
              <w:t>287.398</w:t>
            </w:r>
          </w:p>
        </w:tc>
        <w:tc>
          <w:tcPr>
            <w:tcW w:w="468" w:type="pct"/>
            <w:tcBorders>
              <w:top w:val="nil"/>
              <w:left w:val="nil"/>
              <w:bottom w:val="single" w:sz="8" w:space="0" w:color="auto"/>
              <w:right w:val="nil"/>
            </w:tcBorders>
            <w:shd w:val="clear" w:color="auto" w:fill="auto"/>
            <w:noWrap/>
            <w:vAlign w:val="center"/>
            <w:hideMark/>
          </w:tcPr>
          <w:p w14:paraId="6FAC610A" w14:textId="77777777" w:rsidR="00862A01" w:rsidRPr="00872D7E" w:rsidRDefault="00862A01" w:rsidP="00862A01">
            <w:pPr>
              <w:jc w:val="right"/>
              <w:rPr>
                <w:b/>
                <w:bCs/>
                <w:sz w:val="16"/>
                <w:szCs w:val="16"/>
              </w:rPr>
            </w:pPr>
            <w:r w:rsidRPr="00872D7E">
              <w:rPr>
                <w:b/>
                <w:bCs/>
                <w:sz w:val="16"/>
                <w:szCs w:val="16"/>
              </w:rPr>
              <w:t>331.636</w:t>
            </w:r>
          </w:p>
        </w:tc>
        <w:tc>
          <w:tcPr>
            <w:tcW w:w="391" w:type="pct"/>
            <w:tcBorders>
              <w:top w:val="nil"/>
              <w:left w:val="nil"/>
              <w:bottom w:val="single" w:sz="8" w:space="0" w:color="auto"/>
              <w:right w:val="nil"/>
            </w:tcBorders>
            <w:shd w:val="clear" w:color="auto" w:fill="auto"/>
            <w:noWrap/>
            <w:vAlign w:val="center"/>
            <w:hideMark/>
          </w:tcPr>
          <w:p w14:paraId="43139D5E" w14:textId="77777777" w:rsidR="00862A01" w:rsidRPr="00872D7E" w:rsidRDefault="00862A01" w:rsidP="00862A01">
            <w:pPr>
              <w:jc w:val="right"/>
              <w:rPr>
                <w:b/>
                <w:bCs/>
                <w:sz w:val="16"/>
                <w:szCs w:val="16"/>
              </w:rPr>
            </w:pPr>
            <w:r w:rsidRPr="00872D7E">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6288E5CE" w14:textId="77777777" w:rsidR="00862A01" w:rsidRPr="00872D7E" w:rsidRDefault="00862A01" w:rsidP="00862A01">
            <w:pPr>
              <w:jc w:val="right"/>
              <w:rPr>
                <w:b/>
                <w:bCs/>
                <w:sz w:val="16"/>
                <w:szCs w:val="16"/>
              </w:rPr>
            </w:pPr>
            <w:r w:rsidRPr="00872D7E">
              <w:rPr>
                <w:b/>
                <w:bCs/>
                <w:sz w:val="16"/>
                <w:szCs w:val="16"/>
              </w:rPr>
              <w:t>29.734</w:t>
            </w:r>
          </w:p>
        </w:tc>
        <w:tc>
          <w:tcPr>
            <w:tcW w:w="390" w:type="pct"/>
            <w:tcBorders>
              <w:top w:val="nil"/>
              <w:left w:val="nil"/>
              <w:bottom w:val="single" w:sz="8" w:space="0" w:color="auto"/>
              <w:right w:val="nil"/>
            </w:tcBorders>
            <w:shd w:val="clear" w:color="auto" w:fill="auto"/>
            <w:noWrap/>
            <w:vAlign w:val="center"/>
            <w:hideMark/>
          </w:tcPr>
          <w:p w14:paraId="38E4F4B1" w14:textId="77777777" w:rsidR="00862A01" w:rsidRPr="00872D7E" w:rsidRDefault="00862A01" w:rsidP="00862A01">
            <w:pPr>
              <w:jc w:val="right"/>
              <w:rPr>
                <w:b/>
                <w:bCs/>
                <w:sz w:val="16"/>
                <w:szCs w:val="16"/>
              </w:rPr>
            </w:pPr>
            <w:r w:rsidRPr="00872D7E">
              <w:rPr>
                <w:b/>
                <w:bCs/>
                <w:sz w:val="16"/>
                <w:szCs w:val="16"/>
              </w:rPr>
              <w:t>721.766</w:t>
            </w:r>
          </w:p>
        </w:tc>
        <w:tc>
          <w:tcPr>
            <w:tcW w:w="421" w:type="pct"/>
            <w:tcBorders>
              <w:top w:val="nil"/>
              <w:left w:val="nil"/>
              <w:bottom w:val="single" w:sz="8" w:space="0" w:color="auto"/>
              <w:right w:val="nil"/>
            </w:tcBorders>
            <w:shd w:val="clear" w:color="auto" w:fill="auto"/>
            <w:noWrap/>
            <w:vAlign w:val="center"/>
            <w:hideMark/>
          </w:tcPr>
          <w:p w14:paraId="428BF082" w14:textId="77777777" w:rsidR="00862A01" w:rsidRPr="00872D7E" w:rsidRDefault="00862A01" w:rsidP="00862A01">
            <w:pPr>
              <w:jc w:val="right"/>
              <w:rPr>
                <w:b/>
                <w:bCs/>
                <w:sz w:val="16"/>
                <w:szCs w:val="16"/>
              </w:rPr>
            </w:pPr>
            <w:r w:rsidRPr="00872D7E">
              <w:rPr>
                <w:b/>
                <w:bCs/>
                <w:sz w:val="16"/>
                <w:szCs w:val="16"/>
              </w:rPr>
              <w:t>-</w:t>
            </w:r>
          </w:p>
        </w:tc>
        <w:tc>
          <w:tcPr>
            <w:tcW w:w="517" w:type="pct"/>
            <w:tcBorders>
              <w:top w:val="nil"/>
              <w:left w:val="nil"/>
              <w:bottom w:val="single" w:sz="8" w:space="0" w:color="auto"/>
              <w:right w:val="nil"/>
            </w:tcBorders>
            <w:shd w:val="clear" w:color="auto" w:fill="auto"/>
            <w:noWrap/>
            <w:vAlign w:val="center"/>
            <w:hideMark/>
          </w:tcPr>
          <w:p w14:paraId="0D968CA3" w14:textId="77777777" w:rsidR="00862A01" w:rsidRPr="00872D7E" w:rsidRDefault="00862A01" w:rsidP="00862A01">
            <w:pPr>
              <w:jc w:val="right"/>
              <w:rPr>
                <w:b/>
                <w:bCs/>
                <w:sz w:val="16"/>
                <w:szCs w:val="16"/>
              </w:rPr>
            </w:pPr>
            <w:r w:rsidRPr="00872D7E">
              <w:rPr>
                <w:b/>
                <w:bCs/>
                <w:sz w:val="16"/>
                <w:szCs w:val="16"/>
              </w:rPr>
              <w:t>1.922.627</w:t>
            </w:r>
          </w:p>
        </w:tc>
      </w:tr>
      <w:tr w:rsidR="00862A01" w:rsidRPr="00872D7E" w14:paraId="290796DB"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3FB75B2E" w14:textId="77777777" w:rsidR="00862A01" w:rsidRPr="00872D7E" w:rsidRDefault="00862A01" w:rsidP="00862A01">
            <w:pPr>
              <w:jc w:val="right"/>
              <w:rPr>
                <w:b/>
                <w:bCs/>
                <w:sz w:val="16"/>
                <w:szCs w:val="16"/>
              </w:rPr>
            </w:pPr>
          </w:p>
        </w:tc>
        <w:tc>
          <w:tcPr>
            <w:tcW w:w="446" w:type="pct"/>
            <w:tcBorders>
              <w:top w:val="nil"/>
              <w:left w:val="nil"/>
              <w:bottom w:val="nil"/>
              <w:right w:val="nil"/>
            </w:tcBorders>
            <w:shd w:val="clear" w:color="auto" w:fill="auto"/>
            <w:vAlign w:val="center"/>
            <w:hideMark/>
          </w:tcPr>
          <w:p w14:paraId="7831C169"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27D5C0D9" w14:textId="77777777" w:rsidR="00862A01" w:rsidRPr="00872D7E" w:rsidRDefault="00862A01" w:rsidP="00862A01">
            <w:pPr>
              <w:jc w:val="right"/>
              <w:rPr>
                <w:szCs w:val="20"/>
              </w:rPr>
            </w:pPr>
          </w:p>
        </w:tc>
        <w:tc>
          <w:tcPr>
            <w:tcW w:w="468" w:type="pct"/>
            <w:tcBorders>
              <w:top w:val="nil"/>
              <w:left w:val="nil"/>
              <w:bottom w:val="nil"/>
              <w:right w:val="nil"/>
            </w:tcBorders>
            <w:shd w:val="clear" w:color="auto" w:fill="auto"/>
            <w:vAlign w:val="center"/>
            <w:hideMark/>
          </w:tcPr>
          <w:p w14:paraId="4E54074B"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08A8A682"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49089009" w14:textId="77777777" w:rsidR="00862A01" w:rsidRPr="00872D7E" w:rsidRDefault="00862A01" w:rsidP="00862A01">
            <w:pPr>
              <w:jc w:val="right"/>
              <w:rPr>
                <w:szCs w:val="20"/>
              </w:rPr>
            </w:pPr>
          </w:p>
        </w:tc>
        <w:tc>
          <w:tcPr>
            <w:tcW w:w="390" w:type="pct"/>
            <w:tcBorders>
              <w:top w:val="nil"/>
              <w:left w:val="nil"/>
              <w:bottom w:val="nil"/>
              <w:right w:val="nil"/>
            </w:tcBorders>
            <w:shd w:val="clear" w:color="auto" w:fill="auto"/>
            <w:vAlign w:val="center"/>
            <w:hideMark/>
          </w:tcPr>
          <w:p w14:paraId="688A75B2" w14:textId="77777777" w:rsidR="00862A01" w:rsidRPr="00872D7E" w:rsidRDefault="00862A01" w:rsidP="00862A01">
            <w:pPr>
              <w:jc w:val="right"/>
              <w:rPr>
                <w:szCs w:val="20"/>
              </w:rPr>
            </w:pPr>
          </w:p>
        </w:tc>
        <w:tc>
          <w:tcPr>
            <w:tcW w:w="421" w:type="pct"/>
            <w:tcBorders>
              <w:top w:val="nil"/>
              <w:left w:val="nil"/>
              <w:bottom w:val="nil"/>
              <w:right w:val="nil"/>
            </w:tcBorders>
            <w:shd w:val="clear" w:color="auto" w:fill="auto"/>
            <w:vAlign w:val="center"/>
            <w:hideMark/>
          </w:tcPr>
          <w:p w14:paraId="22D211FF" w14:textId="77777777" w:rsidR="00862A01" w:rsidRPr="00872D7E" w:rsidRDefault="00862A01" w:rsidP="00862A01">
            <w:pPr>
              <w:jc w:val="right"/>
              <w:rPr>
                <w:szCs w:val="20"/>
              </w:rPr>
            </w:pPr>
          </w:p>
        </w:tc>
        <w:tc>
          <w:tcPr>
            <w:tcW w:w="517" w:type="pct"/>
            <w:tcBorders>
              <w:top w:val="nil"/>
              <w:left w:val="nil"/>
              <w:bottom w:val="nil"/>
              <w:right w:val="nil"/>
            </w:tcBorders>
            <w:shd w:val="clear" w:color="auto" w:fill="auto"/>
            <w:vAlign w:val="center"/>
            <w:hideMark/>
          </w:tcPr>
          <w:p w14:paraId="70091F6D" w14:textId="77777777" w:rsidR="00862A01" w:rsidRPr="00872D7E" w:rsidRDefault="00862A01" w:rsidP="00862A01">
            <w:pPr>
              <w:jc w:val="right"/>
              <w:rPr>
                <w:szCs w:val="20"/>
              </w:rPr>
            </w:pPr>
          </w:p>
        </w:tc>
      </w:tr>
      <w:tr w:rsidR="00862A01" w:rsidRPr="00872D7E" w14:paraId="0DAE0CE7"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23330595" w14:textId="77777777" w:rsidR="00862A01" w:rsidRPr="00872D7E" w:rsidRDefault="00862A01" w:rsidP="00862A01">
            <w:pPr>
              <w:rPr>
                <w:b/>
                <w:bCs/>
                <w:color w:val="000000"/>
                <w:sz w:val="16"/>
                <w:szCs w:val="16"/>
              </w:rPr>
            </w:pPr>
            <w:r w:rsidRPr="00872D7E">
              <w:rPr>
                <w:b/>
                <w:bCs/>
                <w:color w:val="000000"/>
                <w:sz w:val="16"/>
                <w:szCs w:val="16"/>
              </w:rPr>
              <w:t>Yabancı para</w:t>
            </w:r>
          </w:p>
        </w:tc>
        <w:tc>
          <w:tcPr>
            <w:tcW w:w="446" w:type="pct"/>
            <w:tcBorders>
              <w:top w:val="nil"/>
              <w:left w:val="nil"/>
              <w:bottom w:val="nil"/>
              <w:right w:val="nil"/>
            </w:tcBorders>
            <w:shd w:val="clear" w:color="auto" w:fill="auto"/>
            <w:vAlign w:val="center"/>
            <w:hideMark/>
          </w:tcPr>
          <w:p w14:paraId="7769FD8B" w14:textId="77777777" w:rsidR="00862A01" w:rsidRPr="00872D7E" w:rsidRDefault="00862A01" w:rsidP="00862A01">
            <w:pPr>
              <w:jc w:val="right"/>
              <w:rPr>
                <w:b/>
                <w:bCs/>
                <w:color w:val="000000"/>
                <w:sz w:val="16"/>
                <w:szCs w:val="16"/>
              </w:rPr>
            </w:pPr>
          </w:p>
        </w:tc>
        <w:tc>
          <w:tcPr>
            <w:tcW w:w="391" w:type="pct"/>
            <w:tcBorders>
              <w:top w:val="nil"/>
              <w:left w:val="nil"/>
              <w:bottom w:val="nil"/>
              <w:right w:val="nil"/>
            </w:tcBorders>
            <w:shd w:val="clear" w:color="auto" w:fill="auto"/>
            <w:vAlign w:val="center"/>
            <w:hideMark/>
          </w:tcPr>
          <w:p w14:paraId="3830A439" w14:textId="77777777" w:rsidR="00862A01" w:rsidRPr="00872D7E" w:rsidRDefault="00862A01" w:rsidP="00862A01">
            <w:pPr>
              <w:jc w:val="right"/>
              <w:rPr>
                <w:szCs w:val="20"/>
              </w:rPr>
            </w:pPr>
          </w:p>
        </w:tc>
        <w:tc>
          <w:tcPr>
            <w:tcW w:w="468" w:type="pct"/>
            <w:tcBorders>
              <w:top w:val="nil"/>
              <w:left w:val="nil"/>
              <w:bottom w:val="nil"/>
              <w:right w:val="nil"/>
            </w:tcBorders>
            <w:shd w:val="clear" w:color="auto" w:fill="auto"/>
            <w:vAlign w:val="center"/>
            <w:hideMark/>
          </w:tcPr>
          <w:p w14:paraId="3D18F9BF"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0231E277"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4EC9AD0C" w14:textId="77777777" w:rsidR="00862A01" w:rsidRPr="00872D7E" w:rsidRDefault="00862A01" w:rsidP="00862A01">
            <w:pPr>
              <w:jc w:val="right"/>
              <w:rPr>
                <w:szCs w:val="20"/>
              </w:rPr>
            </w:pPr>
          </w:p>
        </w:tc>
        <w:tc>
          <w:tcPr>
            <w:tcW w:w="390" w:type="pct"/>
            <w:tcBorders>
              <w:top w:val="nil"/>
              <w:left w:val="nil"/>
              <w:bottom w:val="nil"/>
              <w:right w:val="nil"/>
            </w:tcBorders>
            <w:shd w:val="clear" w:color="auto" w:fill="auto"/>
            <w:vAlign w:val="center"/>
            <w:hideMark/>
          </w:tcPr>
          <w:p w14:paraId="2A007995" w14:textId="77777777" w:rsidR="00862A01" w:rsidRPr="00872D7E" w:rsidRDefault="00862A01" w:rsidP="00862A01">
            <w:pPr>
              <w:jc w:val="right"/>
              <w:rPr>
                <w:szCs w:val="20"/>
              </w:rPr>
            </w:pPr>
          </w:p>
        </w:tc>
        <w:tc>
          <w:tcPr>
            <w:tcW w:w="421" w:type="pct"/>
            <w:tcBorders>
              <w:top w:val="nil"/>
              <w:left w:val="nil"/>
              <w:bottom w:val="nil"/>
              <w:right w:val="nil"/>
            </w:tcBorders>
            <w:shd w:val="clear" w:color="auto" w:fill="auto"/>
            <w:vAlign w:val="center"/>
            <w:hideMark/>
          </w:tcPr>
          <w:p w14:paraId="6F4519E6" w14:textId="77777777" w:rsidR="00862A01" w:rsidRPr="00872D7E" w:rsidRDefault="00862A01" w:rsidP="00862A01">
            <w:pPr>
              <w:jc w:val="right"/>
              <w:rPr>
                <w:szCs w:val="20"/>
              </w:rPr>
            </w:pPr>
          </w:p>
        </w:tc>
        <w:tc>
          <w:tcPr>
            <w:tcW w:w="517" w:type="pct"/>
            <w:tcBorders>
              <w:top w:val="nil"/>
              <w:left w:val="nil"/>
              <w:bottom w:val="nil"/>
              <w:right w:val="nil"/>
            </w:tcBorders>
            <w:shd w:val="clear" w:color="auto" w:fill="auto"/>
            <w:vAlign w:val="center"/>
            <w:hideMark/>
          </w:tcPr>
          <w:p w14:paraId="48FF856A" w14:textId="77777777" w:rsidR="00862A01" w:rsidRPr="00872D7E" w:rsidRDefault="00862A01" w:rsidP="00862A01">
            <w:pPr>
              <w:jc w:val="right"/>
              <w:rPr>
                <w:szCs w:val="20"/>
              </w:rPr>
            </w:pPr>
          </w:p>
        </w:tc>
      </w:tr>
      <w:tr w:rsidR="00862A01" w:rsidRPr="00872D7E" w14:paraId="5056294E" w14:textId="77777777" w:rsidTr="00862A01">
        <w:trPr>
          <w:divId w:val="1958220956"/>
          <w:trHeight w:val="170"/>
        </w:trPr>
        <w:tc>
          <w:tcPr>
            <w:tcW w:w="1585" w:type="pct"/>
            <w:tcBorders>
              <w:top w:val="nil"/>
              <w:left w:val="nil"/>
              <w:bottom w:val="nil"/>
              <w:right w:val="nil"/>
            </w:tcBorders>
            <w:shd w:val="clear" w:color="auto" w:fill="auto"/>
            <w:vAlign w:val="bottom"/>
            <w:hideMark/>
          </w:tcPr>
          <w:p w14:paraId="6931A1C7" w14:textId="77777777" w:rsidR="00862A01" w:rsidRPr="00872D7E" w:rsidRDefault="00862A01" w:rsidP="00862A01">
            <w:pPr>
              <w:rPr>
                <w:color w:val="000000"/>
                <w:sz w:val="16"/>
                <w:szCs w:val="16"/>
              </w:rPr>
            </w:pPr>
            <w:r w:rsidRPr="00872D7E">
              <w:rPr>
                <w:bCs/>
                <w:iCs/>
                <w:color w:val="000000"/>
                <w:sz w:val="16"/>
                <w:szCs w:val="16"/>
              </w:rPr>
              <w:t xml:space="preserve">Özel cari hesap ve katılma </w:t>
            </w:r>
            <w:r w:rsidRPr="00872D7E">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30184169"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2D922520" w14:textId="77777777" w:rsidR="00862A01" w:rsidRPr="00872D7E" w:rsidRDefault="00862A01" w:rsidP="00862A01">
            <w:pPr>
              <w:jc w:val="right"/>
              <w:rPr>
                <w:color w:val="000000"/>
                <w:sz w:val="16"/>
                <w:szCs w:val="16"/>
              </w:rPr>
            </w:pPr>
            <w:r w:rsidRPr="00872D7E">
              <w:rPr>
                <w:color w:val="000000"/>
                <w:sz w:val="16"/>
                <w:szCs w:val="16"/>
              </w:rPr>
              <w:t>-</w:t>
            </w:r>
          </w:p>
        </w:tc>
        <w:tc>
          <w:tcPr>
            <w:tcW w:w="468" w:type="pct"/>
            <w:tcBorders>
              <w:top w:val="nil"/>
              <w:left w:val="nil"/>
              <w:bottom w:val="nil"/>
              <w:right w:val="nil"/>
            </w:tcBorders>
            <w:shd w:val="clear" w:color="auto" w:fill="auto"/>
            <w:noWrap/>
            <w:vAlign w:val="center"/>
            <w:hideMark/>
          </w:tcPr>
          <w:p w14:paraId="5AA6F725"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52641AF6"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656B2502" w14:textId="77777777" w:rsidR="00862A01" w:rsidRPr="00872D7E" w:rsidRDefault="00862A01" w:rsidP="00862A01">
            <w:pPr>
              <w:jc w:val="right"/>
              <w:rPr>
                <w:color w:val="000000"/>
                <w:sz w:val="16"/>
                <w:szCs w:val="16"/>
              </w:rPr>
            </w:pPr>
            <w:r w:rsidRPr="00872D7E">
              <w:rPr>
                <w:color w:val="000000"/>
                <w:sz w:val="16"/>
                <w:szCs w:val="16"/>
              </w:rPr>
              <w:t>-</w:t>
            </w:r>
          </w:p>
        </w:tc>
        <w:tc>
          <w:tcPr>
            <w:tcW w:w="390" w:type="pct"/>
            <w:tcBorders>
              <w:top w:val="nil"/>
              <w:left w:val="nil"/>
              <w:bottom w:val="nil"/>
              <w:right w:val="nil"/>
            </w:tcBorders>
            <w:shd w:val="clear" w:color="auto" w:fill="auto"/>
            <w:noWrap/>
            <w:vAlign w:val="center"/>
            <w:hideMark/>
          </w:tcPr>
          <w:p w14:paraId="5A77AF2B" w14:textId="77777777" w:rsidR="00862A01" w:rsidRPr="00872D7E" w:rsidRDefault="00862A01" w:rsidP="00862A01">
            <w:pPr>
              <w:jc w:val="right"/>
              <w:rPr>
                <w:color w:val="000000"/>
                <w:sz w:val="16"/>
                <w:szCs w:val="16"/>
              </w:rPr>
            </w:pPr>
            <w:r w:rsidRPr="00872D7E">
              <w:rPr>
                <w:color w:val="000000"/>
                <w:sz w:val="16"/>
                <w:szCs w:val="16"/>
              </w:rPr>
              <w:t>-</w:t>
            </w:r>
          </w:p>
        </w:tc>
        <w:tc>
          <w:tcPr>
            <w:tcW w:w="421" w:type="pct"/>
            <w:tcBorders>
              <w:top w:val="nil"/>
              <w:left w:val="nil"/>
              <w:bottom w:val="nil"/>
              <w:right w:val="nil"/>
            </w:tcBorders>
            <w:shd w:val="clear" w:color="auto" w:fill="auto"/>
            <w:noWrap/>
            <w:vAlign w:val="center"/>
            <w:hideMark/>
          </w:tcPr>
          <w:p w14:paraId="3C87DE9C"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nil"/>
              <w:right w:val="nil"/>
            </w:tcBorders>
            <w:shd w:val="clear" w:color="auto" w:fill="auto"/>
            <w:noWrap/>
            <w:vAlign w:val="center"/>
            <w:hideMark/>
          </w:tcPr>
          <w:p w14:paraId="4373E648"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48293ECF"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147B6450" w14:textId="77777777" w:rsidR="00862A01" w:rsidRPr="00872D7E" w:rsidRDefault="00862A01" w:rsidP="00862A01">
            <w:pPr>
              <w:rPr>
                <w:color w:val="000000"/>
                <w:sz w:val="16"/>
                <w:szCs w:val="16"/>
              </w:rPr>
            </w:pPr>
            <w:r w:rsidRPr="00872D7E">
              <w:rPr>
                <w:bCs/>
                <w:iCs/>
                <w:color w:val="000000"/>
                <w:sz w:val="16"/>
                <w:szCs w:val="16"/>
              </w:rPr>
              <w:t xml:space="preserve">Gerçek kişilerin ticari olmayan katılma </w:t>
            </w:r>
            <w:proofErr w:type="spellStart"/>
            <w:r w:rsidRPr="00872D7E">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5CC415C5" w14:textId="77777777" w:rsidR="00862A01" w:rsidRPr="00872D7E" w:rsidRDefault="00862A01" w:rsidP="00862A01">
            <w:pPr>
              <w:jc w:val="right"/>
              <w:rPr>
                <w:color w:val="000000"/>
                <w:sz w:val="16"/>
                <w:szCs w:val="16"/>
              </w:rPr>
            </w:pPr>
            <w:r w:rsidRPr="00872D7E">
              <w:rPr>
                <w:color w:val="000000"/>
                <w:sz w:val="16"/>
                <w:szCs w:val="16"/>
              </w:rPr>
              <w:t>134</w:t>
            </w:r>
          </w:p>
        </w:tc>
        <w:tc>
          <w:tcPr>
            <w:tcW w:w="391" w:type="pct"/>
            <w:tcBorders>
              <w:top w:val="nil"/>
              <w:left w:val="nil"/>
              <w:bottom w:val="nil"/>
              <w:right w:val="nil"/>
            </w:tcBorders>
            <w:shd w:val="clear" w:color="auto" w:fill="auto"/>
            <w:noWrap/>
            <w:vAlign w:val="center"/>
            <w:hideMark/>
          </w:tcPr>
          <w:p w14:paraId="6984160F" w14:textId="77777777" w:rsidR="00862A01" w:rsidRPr="00872D7E" w:rsidRDefault="00862A01" w:rsidP="00862A01">
            <w:pPr>
              <w:jc w:val="right"/>
              <w:rPr>
                <w:color w:val="000000"/>
                <w:sz w:val="16"/>
                <w:szCs w:val="16"/>
              </w:rPr>
            </w:pPr>
            <w:r w:rsidRPr="00872D7E">
              <w:rPr>
                <w:color w:val="000000"/>
                <w:sz w:val="16"/>
                <w:szCs w:val="16"/>
              </w:rPr>
              <w:t>374</w:t>
            </w:r>
          </w:p>
        </w:tc>
        <w:tc>
          <w:tcPr>
            <w:tcW w:w="468" w:type="pct"/>
            <w:tcBorders>
              <w:top w:val="nil"/>
              <w:left w:val="nil"/>
              <w:bottom w:val="nil"/>
              <w:right w:val="nil"/>
            </w:tcBorders>
            <w:shd w:val="clear" w:color="auto" w:fill="auto"/>
            <w:noWrap/>
            <w:vAlign w:val="center"/>
            <w:hideMark/>
          </w:tcPr>
          <w:p w14:paraId="0B4F2215" w14:textId="77777777" w:rsidR="00862A01" w:rsidRPr="00872D7E" w:rsidRDefault="00862A01" w:rsidP="00862A01">
            <w:pPr>
              <w:jc w:val="right"/>
              <w:rPr>
                <w:color w:val="000000"/>
                <w:sz w:val="16"/>
                <w:szCs w:val="16"/>
              </w:rPr>
            </w:pPr>
            <w:r w:rsidRPr="00872D7E">
              <w:rPr>
                <w:color w:val="000000"/>
                <w:sz w:val="16"/>
                <w:szCs w:val="16"/>
              </w:rPr>
              <w:t>321</w:t>
            </w:r>
          </w:p>
        </w:tc>
        <w:tc>
          <w:tcPr>
            <w:tcW w:w="391" w:type="pct"/>
            <w:tcBorders>
              <w:top w:val="nil"/>
              <w:left w:val="nil"/>
              <w:bottom w:val="nil"/>
              <w:right w:val="nil"/>
            </w:tcBorders>
            <w:shd w:val="clear" w:color="auto" w:fill="auto"/>
            <w:noWrap/>
            <w:vAlign w:val="center"/>
            <w:hideMark/>
          </w:tcPr>
          <w:p w14:paraId="75DB30EE"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74F1083A" w14:textId="77777777" w:rsidR="00862A01" w:rsidRPr="00872D7E" w:rsidRDefault="00862A01" w:rsidP="00862A01">
            <w:pPr>
              <w:jc w:val="right"/>
              <w:rPr>
                <w:color w:val="000000"/>
                <w:sz w:val="16"/>
                <w:szCs w:val="16"/>
              </w:rPr>
            </w:pPr>
            <w:r w:rsidRPr="00872D7E">
              <w:rPr>
                <w:color w:val="000000"/>
                <w:sz w:val="16"/>
                <w:szCs w:val="16"/>
              </w:rPr>
              <w:t>-</w:t>
            </w:r>
          </w:p>
        </w:tc>
        <w:tc>
          <w:tcPr>
            <w:tcW w:w="390" w:type="pct"/>
            <w:tcBorders>
              <w:top w:val="nil"/>
              <w:left w:val="nil"/>
              <w:bottom w:val="nil"/>
              <w:right w:val="nil"/>
            </w:tcBorders>
            <w:shd w:val="clear" w:color="auto" w:fill="auto"/>
            <w:noWrap/>
            <w:vAlign w:val="center"/>
            <w:hideMark/>
          </w:tcPr>
          <w:p w14:paraId="5DD59D51" w14:textId="77777777" w:rsidR="00862A01" w:rsidRPr="00872D7E" w:rsidRDefault="00862A01" w:rsidP="00862A01">
            <w:pPr>
              <w:jc w:val="right"/>
              <w:rPr>
                <w:color w:val="000000"/>
                <w:sz w:val="16"/>
                <w:szCs w:val="16"/>
              </w:rPr>
            </w:pPr>
            <w:r w:rsidRPr="00872D7E">
              <w:rPr>
                <w:color w:val="000000"/>
                <w:sz w:val="16"/>
                <w:szCs w:val="16"/>
              </w:rPr>
              <w:t>-</w:t>
            </w:r>
          </w:p>
        </w:tc>
        <w:tc>
          <w:tcPr>
            <w:tcW w:w="421" w:type="pct"/>
            <w:tcBorders>
              <w:top w:val="nil"/>
              <w:left w:val="nil"/>
              <w:bottom w:val="nil"/>
              <w:right w:val="nil"/>
            </w:tcBorders>
            <w:shd w:val="clear" w:color="auto" w:fill="auto"/>
            <w:noWrap/>
            <w:vAlign w:val="center"/>
            <w:hideMark/>
          </w:tcPr>
          <w:p w14:paraId="67011D31"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nil"/>
              <w:right w:val="nil"/>
            </w:tcBorders>
            <w:shd w:val="clear" w:color="auto" w:fill="auto"/>
            <w:noWrap/>
            <w:vAlign w:val="center"/>
            <w:hideMark/>
          </w:tcPr>
          <w:p w14:paraId="30C9C8CD" w14:textId="77777777" w:rsidR="00862A01" w:rsidRPr="00872D7E" w:rsidRDefault="00862A01" w:rsidP="00862A01">
            <w:pPr>
              <w:jc w:val="right"/>
              <w:rPr>
                <w:color w:val="000000"/>
                <w:sz w:val="16"/>
                <w:szCs w:val="16"/>
              </w:rPr>
            </w:pPr>
            <w:r w:rsidRPr="00872D7E">
              <w:rPr>
                <w:color w:val="000000"/>
                <w:sz w:val="16"/>
                <w:szCs w:val="16"/>
              </w:rPr>
              <w:t>829</w:t>
            </w:r>
          </w:p>
        </w:tc>
      </w:tr>
      <w:tr w:rsidR="00862A01" w:rsidRPr="00872D7E" w14:paraId="627EAEF0"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715B58F9" w14:textId="77777777" w:rsidR="00862A01" w:rsidRPr="00872D7E" w:rsidRDefault="00862A01" w:rsidP="00862A01">
            <w:pPr>
              <w:rPr>
                <w:color w:val="000000"/>
                <w:sz w:val="16"/>
                <w:szCs w:val="16"/>
              </w:rPr>
            </w:pPr>
            <w:r w:rsidRPr="00872D7E">
              <w:rPr>
                <w:bCs/>
                <w:iCs/>
                <w:color w:val="000000"/>
                <w:sz w:val="16"/>
                <w:szCs w:val="16"/>
              </w:rPr>
              <w:t xml:space="preserve">Resmi kuruluş katılma </w:t>
            </w:r>
            <w:proofErr w:type="spellStart"/>
            <w:r w:rsidRPr="00872D7E">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58713720"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0A5CAB68" w14:textId="77777777" w:rsidR="00862A01" w:rsidRPr="00872D7E" w:rsidRDefault="00862A01" w:rsidP="00862A01">
            <w:pPr>
              <w:jc w:val="right"/>
              <w:rPr>
                <w:color w:val="000000"/>
                <w:sz w:val="16"/>
                <w:szCs w:val="16"/>
              </w:rPr>
            </w:pPr>
            <w:r w:rsidRPr="00872D7E">
              <w:rPr>
                <w:color w:val="000000"/>
                <w:sz w:val="16"/>
                <w:szCs w:val="16"/>
              </w:rPr>
              <w:t>-</w:t>
            </w:r>
          </w:p>
        </w:tc>
        <w:tc>
          <w:tcPr>
            <w:tcW w:w="468" w:type="pct"/>
            <w:tcBorders>
              <w:top w:val="nil"/>
              <w:left w:val="nil"/>
              <w:bottom w:val="nil"/>
              <w:right w:val="nil"/>
            </w:tcBorders>
            <w:shd w:val="clear" w:color="auto" w:fill="auto"/>
            <w:noWrap/>
            <w:vAlign w:val="center"/>
            <w:hideMark/>
          </w:tcPr>
          <w:p w14:paraId="20287406"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4AF7C958"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1EF41388" w14:textId="77777777" w:rsidR="00862A01" w:rsidRPr="00872D7E" w:rsidRDefault="00862A01" w:rsidP="00862A01">
            <w:pPr>
              <w:jc w:val="right"/>
              <w:rPr>
                <w:color w:val="000000"/>
                <w:sz w:val="16"/>
                <w:szCs w:val="16"/>
              </w:rPr>
            </w:pPr>
            <w:r w:rsidRPr="00872D7E">
              <w:rPr>
                <w:color w:val="000000"/>
                <w:sz w:val="16"/>
                <w:szCs w:val="16"/>
              </w:rPr>
              <w:t>-</w:t>
            </w:r>
          </w:p>
        </w:tc>
        <w:tc>
          <w:tcPr>
            <w:tcW w:w="390" w:type="pct"/>
            <w:tcBorders>
              <w:top w:val="nil"/>
              <w:left w:val="nil"/>
              <w:bottom w:val="nil"/>
              <w:right w:val="nil"/>
            </w:tcBorders>
            <w:shd w:val="clear" w:color="auto" w:fill="auto"/>
            <w:noWrap/>
            <w:vAlign w:val="center"/>
            <w:hideMark/>
          </w:tcPr>
          <w:p w14:paraId="149E04BA" w14:textId="77777777" w:rsidR="00862A01" w:rsidRPr="00872D7E" w:rsidRDefault="00862A01" w:rsidP="00862A01">
            <w:pPr>
              <w:jc w:val="right"/>
              <w:rPr>
                <w:color w:val="000000"/>
                <w:sz w:val="16"/>
                <w:szCs w:val="16"/>
              </w:rPr>
            </w:pPr>
            <w:r w:rsidRPr="00872D7E">
              <w:rPr>
                <w:color w:val="000000"/>
                <w:sz w:val="16"/>
                <w:szCs w:val="16"/>
              </w:rPr>
              <w:t>-</w:t>
            </w:r>
          </w:p>
        </w:tc>
        <w:tc>
          <w:tcPr>
            <w:tcW w:w="421" w:type="pct"/>
            <w:tcBorders>
              <w:top w:val="nil"/>
              <w:left w:val="nil"/>
              <w:bottom w:val="nil"/>
              <w:right w:val="nil"/>
            </w:tcBorders>
            <w:shd w:val="clear" w:color="auto" w:fill="auto"/>
            <w:noWrap/>
            <w:vAlign w:val="center"/>
            <w:hideMark/>
          </w:tcPr>
          <w:p w14:paraId="0D280F84"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nil"/>
              <w:right w:val="nil"/>
            </w:tcBorders>
            <w:shd w:val="clear" w:color="auto" w:fill="auto"/>
            <w:noWrap/>
            <w:vAlign w:val="center"/>
            <w:hideMark/>
          </w:tcPr>
          <w:p w14:paraId="54E7FA6B" w14:textId="77777777" w:rsidR="00862A01" w:rsidRPr="00872D7E" w:rsidRDefault="00862A01" w:rsidP="00862A01">
            <w:pPr>
              <w:jc w:val="right"/>
              <w:rPr>
                <w:color w:val="000000"/>
                <w:sz w:val="16"/>
                <w:szCs w:val="16"/>
              </w:rPr>
            </w:pPr>
            <w:r w:rsidRPr="00872D7E">
              <w:rPr>
                <w:color w:val="000000"/>
                <w:sz w:val="16"/>
                <w:szCs w:val="16"/>
              </w:rPr>
              <w:t>-</w:t>
            </w:r>
          </w:p>
        </w:tc>
      </w:tr>
      <w:tr w:rsidR="00862A01" w:rsidRPr="00872D7E" w14:paraId="1EDA060A"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310A25C0" w14:textId="77777777" w:rsidR="00862A01" w:rsidRPr="00872D7E" w:rsidRDefault="00862A01" w:rsidP="00862A01">
            <w:pPr>
              <w:rPr>
                <w:color w:val="000000"/>
                <w:sz w:val="16"/>
                <w:szCs w:val="16"/>
              </w:rPr>
            </w:pPr>
            <w:r w:rsidRPr="00872D7E">
              <w:rPr>
                <w:bCs/>
                <w:iCs/>
                <w:color w:val="000000"/>
                <w:sz w:val="16"/>
                <w:szCs w:val="16"/>
              </w:rPr>
              <w:t xml:space="preserve">Ticari kuruluş katılma </w:t>
            </w:r>
            <w:proofErr w:type="spellStart"/>
            <w:r w:rsidRPr="00872D7E">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6D56F430" w14:textId="77777777" w:rsidR="00862A01" w:rsidRPr="00872D7E" w:rsidRDefault="00862A01" w:rsidP="00862A01">
            <w:pPr>
              <w:jc w:val="right"/>
              <w:rPr>
                <w:color w:val="000000"/>
                <w:sz w:val="16"/>
                <w:szCs w:val="16"/>
              </w:rPr>
            </w:pPr>
            <w:r w:rsidRPr="00872D7E">
              <w:rPr>
                <w:color w:val="000000"/>
                <w:sz w:val="16"/>
                <w:szCs w:val="16"/>
              </w:rPr>
              <w:t>11.640</w:t>
            </w:r>
          </w:p>
        </w:tc>
        <w:tc>
          <w:tcPr>
            <w:tcW w:w="391" w:type="pct"/>
            <w:tcBorders>
              <w:top w:val="nil"/>
              <w:left w:val="nil"/>
              <w:bottom w:val="nil"/>
              <w:right w:val="nil"/>
            </w:tcBorders>
            <w:shd w:val="clear" w:color="auto" w:fill="auto"/>
            <w:noWrap/>
            <w:vAlign w:val="center"/>
            <w:hideMark/>
          </w:tcPr>
          <w:p w14:paraId="3BE2D38B" w14:textId="77777777" w:rsidR="00862A01" w:rsidRPr="00872D7E" w:rsidRDefault="00862A01" w:rsidP="00862A01">
            <w:pPr>
              <w:jc w:val="right"/>
              <w:rPr>
                <w:color w:val="000000"/>
                <w:sz w:val="16"/>
                <w:szCs w:val="16"/>
              </w:rPr>
            </w:pPr>
            <w:r w:rsidRPr="00872D7E">
              <w:rPr>
                <w:color w:val="000000"/>
                <w:sz w:val="16"/>
                <w:szCs w:val="16"/>
              </w:rPr>
              <w:t>29.347</w:t>
            </w:r>
          </w:p>
        </w:tc>
        <w:tc>
          <w:tcPr>
            <w:tcW w:w="468" w:type="pct"/>
            <w:tcBorders>
              <w:top w:val="nil"/>
              <w:left w:val="nil"/>
              <w:bottom w:val="nil"/>
              <w:right w:val="nil"/>
            </w:tcBorders>
            <w:shd w:val="clear" w:color="auto" w:fill="auto"/>
            <w:noWrap/>
            <w:vAlign w:val="center"/>
            <w:hideMark/>
          </w:tcPr>
          <w:p w14:paraId="07DA49F3" w14:textId="77777777" w:rsidR="00862A01" w:rsidRPr="00872D7E" w:rsidRDefault="00862A01" w:rsidP="00862A01">
            <w:pPr>
              <w:jc w:val="right"/>
              <w:rPr>
                <w:color w:val="000000"/>
                <w:sz w:val="16"/>
                <w:szCs w:val="16"/>
              </w:rPr>
            </w:pPr>
            <w:r w:rsidRPr="00872D7E">
              <w:rPr>
                <w:color w:val="000000"/>
                <w:sz w:val="16"/>
                <w:szCs w:val="16"/>
              </w:rPr>
              <w:t>15.151</w:t>
            </w:r>
          </w:p>
        </w:tc>
        <w:tc>
          <w:tcPr>
            <w:tcW w:w="391" w:type="pct"/>
            <w:tcBorders>
              <w:top w:val="nil"/>
              <w:left w:val="nil"/>
              <w:bottom w:val="nil"/>
              <w:right w:val="nil"/>
            </w:tcBorders>
            <w:shd w:val="clear" w:color="auto" w:fill="auto"/>
            <w:noWrap/>
            <w:vAlign w:val="center"/>
            <w:hideMark/>
          </w:tcPr>
          <w:p w14:paraId="5C53A992"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109D2C05" w14:textId="77777777" w:rsidR="00862A01" w:rsidRPr="00872D7E" w:rsidRDefault="00862A01" w:rsidP="00862A01">
            <w:pPr>
              <w:jc w:val="right"/>
              <w:rPr>
                <w:color w:val="000000"/>
                <w:sz w:val="16"/>
                <w:szCs w:val="16"/>
              </w:rPr>
            </w:pPr>
            <w:r w:rsidRPr="00872D7E">
              <w:rPr>
                <w:color w:val="000000"/>
                <w:sz w:val="16"/>
                <w:szCs w:val="16"/>
              </w:rPr>
              <w:t>139</w:t>
            </w:r>
          </w:p>
        </w:tc>
        <w:tc>
          <w:tcPr>
            <w:tcW w:w="390" w:type="pct"/>
            <w:tcBorders>
              <w:top w:val="nil"/>
              <w:left w:val="nil"/>
              <w:bottom w:val="nil"/>
              <w:right w:val="nil"/>
            </w:tcBorders>
            <w:shd w:val="clear" w:color="auto" w:fill="auto"/>
            <w:noWrap/>
            <w:vAlign w:val="center"/>
            <w:hideMark/>
          </w:tcPr>
          <w:p w14:paraId="78AE7775" w14:textId="77777777" w:rsidR="00862A01" w:rsidRPr="00872D7E" w:rsidRDefault="00862A01" w:rsidP="00862A01">
            <w:pPr>
              <w:jc w:val="right"/>
              <w:rPr>
                <w:color w:val="000000"/>
                <w:sz w:val="16"/>
                <w:szCs w:val="16"/>
              </w:rPr>
            </w:pPr>
            <w:r w:rsidRPr="00872D7E">
              <w:rPr>
                <w:color w:val="000000"/>
                <w:sz w:val="16"/>
                <w:szCs w:val="16"/>
              </w:rPr>
              <w:t>2.701</w:t>
            </w:r>
          </w:p>
        </w:tc>
        <w:tc>
          <w:tcPr>
            <w:tcW w:w="421" w:type="pct"/>
            <w:tcBorders>
              <w:top w:val="nil"/>
              <w:left w:val="nil"/>
              <w:bottom w:val="nil"/>
              <w:right w:val="nil"/>
            </w:tcBorders>
            <w:shd w:val="clear" w:color="auto" w:fill="auto"/>
            <w:noWrap/>
            <w:vAlign w:val="center"/>
            <w:hideMark/>
          </w:tcPr>
          <w:p w14:paraId="5829B3D2"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nil"/>
              <w:right w:val="nil"/>
            </w:tcBorders>
            <w:shd w:val="clear" w:color="auto" w:fill="auto"/>
            <w:noWrap/>
            <w:vAlign w:val="center"/>
            <w:hideMark/>
          </w:tcPr>
          <w:p w14:paraId="52E463EB" w14:textId="77777777" w:rsidR="00862A01" w:rsidRPr="00872D7E" w:rsidRDefault="00862A01" w:rsidP="00862A01">
            <w:pPr>
              <w:jc w:val="right"/>
              <w:rPr>
                <w:color w:val="000000"/>
                <w:sz w:val="16"/>
                <w:szCs w:val="16"/>
              </w:rPr>
            </w:pPr>
            <w:r w:rsidRPr="00872D7E">
              <w:rPr>
                <w:color w:val="000000"/>
                <w:sz w:val="16"/>
                <w:szCs w:val="16"/>
              </w:rPr>
              <w:t>58.978</w:t>
            </w:r>
          </w:p>
        </w:tc>
      </w:tr>
      <w:tr w:rsidR="00862A01" w:rsidRPr="00872D7E" w14:paraId="09BBAD2E" w14:textId="77777777" w:rsidTr="00862A01">
        <w:trPr>
          <w:divId w:val="1958220956"/>
          <w:trHeight w:val="170"/>
        </w:trPr>
        <w:tc>
          <w:tcPr>
            <w:tcW w:w="1585" w:type="pct"/>
            <w:tcBorders>
              <w:top w:val="nil"/>
              <w:left w:val="nil"/>
              <w:bottom w:val="nil"/>
              <w:right w:val="nil"/>
            </w:tcBorders>
            <w:shd w:val="clear" w:color="auto" w:fill="auto"/>
            <w:noWrap/>
            <w:vAlign w:val="bottom"/>
            <w:hideMark/>
          </w:tcPr>
          <w:p w14:paraId="2D26750A" w14:textId="77777777" w:rsidR="00862A01" w:rsidRPr="00872D7E" w:rsidRDefault="00862A01" w:rsidP="00862A01">
            <w:pPr>
              <w:rPr>
                <w:color w:val="000000"/>
                <w:sz w:val="16"/>
                <w:szCs w:val="16"/>
              </w:rPr>
            </w:pPr>
            <w:r w:rsidRPr="00872D7E">
              <w:rPr>
                <w:bCs/>
                <w:iCs/>
                <w:color w:val="000000"/>
                <w:sz w:val="16"/>
                <w:szCs w:val="16"/>
              </w:rPr>
              <w:t xml:space="preserve">Diğer kuruluş katılma </w:t>
            </w:r>
            <w:proofErr w:type="spellStart"/>
            <w:r w:rsidRPr="00872D7E">
              <w:rPr>
                <w:bCs/>
                <w:iCs/>
                <w:color w:val="000000"/>
                <w:sz w:val="16"/>
                <w:szCs w:val="16"/>
              </w:rPr>
              <w:t>hs.</w:t>
            </w:r>
            <w:proofErr w:type="spellEnd"/>
            <w:r w:rsidRPr="00872D7E">
              <w:rPr>
                <w:bCs/>
                <w:iCs/>
                <w:color w:val="000000"/>
                <w:sz w:val="16"/>
                <w:szCs w:val="16"/>
              </w:rPr>
              <w:t xml:space="preserve"> </w:t>
            </w:r>
          </w:p>
        </w:tc>
        <w:tc>
          <w:tcPr>
            <w:tcW w:w="446" w:type="pct"/>
            <w:tcBorders>
              <w:top w:val="nil"/>
              <w:left w:val="nil"/>
              <w:bottom w:val="nil"/>
              <w:right w:val="nil"/>
            </w:tcBorders>
            <w:shd w:val="clear" w:color="auto" w:fill="auto"/>
            <w:noWrap/>
            <w:vAlign w:val="center"/>
            <w:hideMark/>
          </w:tcPr>
          <w:p w14:paraId="3764DE72"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33B67EC7" w14:textId="77777777" w:rsidR="00862A01" w:rsidRPr="00872D7E" w:rsidRDefault="00862A01" w:rsidP="00862A01">
            <w:pPr>
              <w:jc w:val="right"/>
              <w:rPr>
                <w:color w:val="000000"/>
                <w:sz w:val="16"/>
                <w:szCs w:val="16"/>
              </w:rPr>
            </w:pPr>
            <w:r w:rsidRPr="00872D7E">
              <w:rPr>
                <w:color w:val="000000"/>
                <w:sz w:val="16"/>
                <w:szCs w:val="16"/>
              </w:rPr>
              <w:t>1.211</w:t>
            </w:r>
          </w:p>
        </w:tc>
        <w:tc>
          <w:tcPr>
            <w:tcW w:w="468" w:type="pct"/>
            <w:tcBorders>
              <w:top w:val="nil"/>
              <w:left w:val="nil"/>
              <w:bottom w:val="nil"/>
              <w:right w:val="nil"/>
            </w:tcBorders>
            <w:shd w:val="clear" w:color="auto" w:fill="auto"/>
            <w:noWrap/>
            <w:vAlign w:val="center"/>
            <w:hideMark/>
          </w:tcPr>
          <w:p w14:paraId="7B2A5714" w14:textId="77777777" w:rsidR="00862A01" w:rsidRPr="00872D7E" w:rsidRDefault="00862A01" w:rsidP="00862A01">
            <w:pPr>
              <w:jc w:val="right"/>
              <w:rPr>
                <w:color w:val="000000"/>
                <w:sz w:val="16"/>
                <w:szCs w:val="16"/>
              </w:rPr>
            </w:pPr>
            <w:r w:rsidRPr="00872D7E">
              <w:rPr>
                <w:color w:val="000000"/>
                <w:sz w:val="16"/>
                <w:szCs w:val="16"/>
              </w:rPr>
              <w:t>277</w:t>
            </w:r>
          </w:p>
        </w:tc>
        <w:tc>
          <w:tcPr>
            <w:tcW w:w="391" w:type="pct"/>
            <w:tcBorders>
              <w:top w:val="nil"/>
              <w:left w:val="nil"/>
              <w:bottom w:val="nil"/>
              <w:right w:val="nil"/>
            </w:tcBorders>
            <w:shd w:val="clear" w:color="auto" w:fill="auto"/>
            <w:noWrap/>
            <w:vAlign w:val="center"/>
            <w:hideMark/>
          </w:tcPr>
          <w:p w14:paraId="225BA2B6"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nil"/>
              <w:right w:val="nil"/>
            </w:tcBorders>
            <w:shd w:val="clear" w:color="auto" w:fill="auto"/>
            <w:noWrap/>
            <w:vAlign w:val="center"/>
            <w:hideMark/>
          </w:tcPr>
          <w:p w14:paraId="307DF11E" w14:textId="77777777" w:rsidR="00862A01" w:rsidRPr="00872D7E" w:rsidRDefault="00862A01" w:rsidP="00862A01">
            <w:pPr>
              <w:jc w:val="right"/>
              <w:rPr>
                <w:color w:val="000000"/>
                <w:sz w:val="16"/>
                <w:szCs w:val="16"/>
              </w:rPr>
            </w:pPr>
            <w:r w:rsidRPr="00872D7E">
              <w:rPr>
                <w:color w:val="000000"/>
                <w:sz w:val="16"/>
                <w:szCs w:val="16"/>
              </w:rPr>
              <w:t>-</w:t>
            </w:r>
          </w:p>
        </w:tc>
        <w:tc>
          <w:tcPr>
            <w:tcW w:w="390" w:type="pct"/>
            <w:tcBorders>
              <w:top w:val="nil"/>
              <w:left w:val="nil"/>
              <w:bottom w:val="nil"/>
              <w:right w:val="nil"/>
            </w:tcBorders>
            <w:shd w:val="clear" w:color="auto" w:fill="auto"/>
            <w:noWrap/>
            <w:vAlign w:val="center"/>
            <w:hideMark/>
          </w:tcPr>
          <w:p w14:paraId="6A97CCEF" w14:textId="77777777" w:rsidR="00862A01" w:rsidRPr="00872D7E" w:rsidRDefault="00862A01" w:rsidP="00862A01">
            <w:pPr>
              <w:jc w:val="right"/>
              <w:rPr>
                <w:color w:val="000000"/>
                <w:sz w:val="16"/>
                <w:szCs w:val="16"/>
              </w:rPr>
            </w:pPr>
            <w:r w:rsidRPr="00872D7E">
              <w:rPr>
                <w:color w:val="000000"/>
                <w:sz w:val="16"/>
                <w:szCs w:val="16"/>
              </w:rPr>
              <w:t>522</w:t>
            </w:r>
          </w:p>
        </w:tc>
        <w:tc>
          <w:tcPr>
            <w:tcW w:w="421" w:type="pct"/>
            <w:tcBorders>
              <w:top w:val="nil"/>
              <w:left w:val="nil"/>
              <w:bottom w:val="nil"/>
              <w:right w:val="nil"/>
            </w:tcBorders>
            <w:shd w:val="clear" w:color="auto" w:fill="auto"/>
            <w:noWrap/>
            <w:vAlign w:val="center"/>
            <w:hideMark/>
          </w:tcPr>
          <w:p w14:paraId="5C9DE023"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nil"/>
              <w:right w:val="nil"/>
            </w:tcBorders>
            <w:shd w:val="clear" w:color="auto" w:fill="auto"/>
            <w:noWrap/>
            <w:vAlign w:val="center"/>
            <w:hideMark/>
          </w:tcPr>
          <w:p w14:paraId="2FAC8D76" w14:textId="77777777" w:rsidR="00862A01" w:rsidRPr="00872D7E" w:rsidRDefault="00862A01" w:rsidP="00862A01">
            <w:pPr>
              <w:jc w:val="right"/>
              <w:rPr>
                <w:color w:val="000000"/>
                <w:sz w:val="16"/>
                <w:szCs w:val="16"/>
              </w:rPr>
            </w:pPr>
            <w:r w:rsidRPr="00872D7E">
              <w:rPr>
                <w:color w:val="000000"/>
                <w:sz w:val="16"/>
                <w:szCs w:val="16"/>
              </w:rPr>
              <w:t>2.010</w:t>
            </w:r>
          </w:p>
        </w:tc>
      </w:tr>
      <w:tr w:rsidR="00862A01" w:rsidRPr="00872D7E" w14:paraId="5016F664" w14:textId="77777777" w:rsidTr="00862A01">
        <w:trPr>
          <w:divId w:val="1958220956"/>
          <w:trHeight w:val="170"/>
        </w:trPr>
        <w:tc>
          <w:tcPr>
            <w:tcW w:w="1585" w:type="pct"/>
            <w:tcBorders>
              <w:top w:val="nil"/>
              <w:left w:val="nil"/>
              <w:bottom w:val="single" w:sz="4" w:space="0" w:color="auto"/>
              <w:right w:val="nil"/>
            </w:tcBorders>
            <w:shd w:val="clear" w:color="auto" w:fill="auto"/>
            <w:noWrap/>
            <w:vAlign w:val="bottom"/>
            <w:hideMark/>
          </w:tcPr>
          <w:p w14:paraId="7FEF71DC" w14:textId="77777777" w:rsidR="00862A01" w:rsidRPr="00872D7E" w:rsidRDefault="00862A01" w:rsidP="00862A01">
            <w:pPr>
              <w:rPr>
                <w:color w:val="000000"/>
                <w:sz w:val="16"/>
                <w:szCs w:val="16"/>
              </w:rPr>
            </w:pPr>
            <w:r w:rsidRPr="00872D7E">
              <w:rPr>
                <w:bCs/>
                <w:iCs/>
                <w:color w:val="000000"/>
                <w:sz w:val="16"/>
                <w:szCs w:val="16"/>
              </w:rPr>
              <w:t xml:space="preserve">Kıymetli maden depo </w:t>
            </w:r>
            <w:proofErr w:type="spellStart"/>
            <w:r w:rsidRPr="00872D7E">
              <w:rPr>
                <w:bCs/>
                <w:iCs/>
                <w:color w:val="000000"/>
                <w:sz w:val="16"/>
                <w:szCs w:val="16"/>
              </w:rPr>
              <w:t>hs.</w:t>
            </w:r>
            <w:proofErr w:type="spellEnd"/>
          </w:p>
        </w:tc>
        <w:tc>
          <w:tcPr>
            <w:tcW w:w="446" w:type="pct"/>
            <w:tcBorders>
              <w:top w:val="nil"/>
              <w:left w:val="nil"/>
              <w:bottom w:val="single" w:sz="4" w:space="0" w:color="auto"/>
              <w:right w:val="nil"/>
            </w:tcBorders>
            <w:shd w:val="clear" w:color="auto" w:fill="auto"/>
            <w:noWrap/>
            <w:vAlign w:val="center"/>
            <w:hideMark/>
          </w:tcPr>
          <w:p w14:paraId="1FEFEEF3" w14:textId="77777777" w:rsidR="00862A01" w:rsidRPr="00872D7E" w:rsidRDefault="00862A01" w:rsidP="00862A01">
            <w:pPr>
              <w:jc w:val="right"/>
              <w:rPr>
                <w:color w:val="000000"/>
                <w:sz w:val="16"/>
                <w:szCs w:val="16"/>
              </w:rPr>
            </w:pPr>
            <w:r w:rsidRPr="00872D7E">
              <w:rPr>
                <w:color w:val="000000"/>
                <w:sz w:val="16"/>
                <w:szCs w:val="16"/>
              </w:rPr>
              <w:t>1</w:t>
            </w:r>
          </w:p>
        </w:tc>
        <w:tc>
          <w:tcPr>
            <w:tcW w:w="391" w:type="pct"/>
            <w:tcBorders>
              <w:top w:val="nil"/>
              <w:left w:val="nil"/>
              <w:bottom w:val="single" w:sz="4" w:space="0" w:color="auto"/>
              <w:right w:val="nil"/>
            </w:tcBorders>
            <w:shd w:val="clear" w:color="auto" w:fill="auto"/>
            <w:noWrap/>
            <w:vAlign w:val="center"/>
            <w:hideMark/>
          </w:tcPr>
          <w:p w14:paraId="52AE94A7" w14:textId="77777777" w:rsidR="00862A01" w:rsidRPr="00872D7E" w:rsidRDefault="00862A01" w:rsidP="00862A01">
            <w:pPr>
              <w:jc w:val="right"/>
              <w:rPr>
                <w:color w:val="000000"/>
                <w:sz w:val="16"/>
                <w:szCs w:val="16"/>
              </w:rPr>
            </w:pPr>
            <w:r w:rsidRPr="00872D7E">
              <w:rPr>
                <w:color w:val="000000"/>
                <w:sz w:val="16"/>
                <w:szCs w:val="16"/>
              </w:rPr>
              <w:t>972</w:t>
            </w:r>
          </w:p>
        </w:tc>
        <w:tc>
          <w:tcPr>
            <w:tcW w:w="468" w:type="pct"/>
            <w:tcBorders>
              <w:top w:val="nil"/>
              <w:left w:val="nil"/>
              <w:bottom w:val="single" w:sz="4" w:space="0" w:color="auto"/>
              <w:right w:val="nil"/>
            </w:tcBorders>
            <w:shd w:val="clear" w:color="auto" w:fill="auto"/>
            <w:noWrap/>
            <w:vAlign w:val="center"/>
            <w:hideMark/>
          </w:tcPr>
          <w:p w14:paraId="0E89A33D" w14:textId="77777777" w:rsidR="00862A01" w:rsidRPr="00872D7E" w:rsidRDefault="00862A01" w:rsidP="00862A01">
            <w:pPr>
              <w:jc w:val="right"/>
              <w:rPr>
                <w:color w:val="000000"/>
                <w:sz w:val="16"/>
                <w:szCs w:val="16"/>
              </w:rPr>
            </w:pPr>
            <w:r w:rsidRPr="00872D7E">
              <w:rPr>
                <w:color w:val="000000"/>
                <w:sz w:val="16"/>
                <w:szCs w:val="16"/>
              </w:rPr>
              <w:t>579</w:t>
            </w:r>
          </w:p>
        </w:tc>
        <w:tc>
          <w:tcPr>
            <w:tcW w:w="391" w:type="pct"/>
            <w:tcBorders>
              <w:top w:val="nil"/>
              <w:left w:val="nil"/>
              <w:bottom w:val="single" w:sz="4" w:space="0" w:color="auto"/>
              <w:right w:val="nil"/>
            </w:tcBorders>
            <w:shd w:val="clear" w:color="auto" w:fill="auto"/>
            <w:noWrap/>
            <w:vAlign w:val="center"/>
            <w:hideMark/>
          </w:tcPr>
          <w:p w14:paraId="51480319" w14:textId="77777777" w:rsidR="00862A01" w:rsidRPr="00872D7E" w:rsidRDefault="00862A01" w:rsidP="00862A01">
            <w:pPr>
              <w:jc w:val="right"/>
              <w:rPr>
                <w:color w:val="000000"/>
                <w:sz w:val="16"/>
                <w:szCs w:val="16"/>
              </w:rPr>
            </w:pPr>
            <w:r w:rsidRPr="00872D7E">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52ABA8CD" w14:textId="77777777" w:rsidR="00862A01" w:rsidRPr="00872D7E" w:rsidRDefault="00862A01" w:rsidP="00862A01">
            <w:pPr>
              <w:jc w:val="right"/>
              <w:rPr>
                <w:color w:val="000000"/>
                <w:sz w:val="16"/>
                <w:szCs w:val="16"/>
              </w:rPr>
            </w:pPr>
            <w:r w:rsidRPr="00872D7E">
              <w:rPr>
                <w:color w:val="000000"/>
                <w:sz w:val="16"/>
                <w:szCs w:val="16"/>
              </w:rPr>
              <w:t>33</w:t>
            </w:r>
          </w:p>
        </w:tc>
        <w:tc>
          <w:tcPr>
            <w:tcW w:w="390" w:type="pct"/>
            <w:tcBorders>
              <w:top w:val="nil"/>
              <w:left w:val="nil"/>
              <w:bottom w:val="single" w:sz="4" w:space="0" w:color="auto"/>
              <w:right w:val="nil"/>
            </w:tcBorders>
            <w:shd w:val="clear" w:color="auto" w:fill="auto"/>
            <w:noWrap/>
            <w:vAlign w:val="center"/>
            <w:hideMark/>
          </w:tcPr>
          <w:p w14:paraId="1E77AEB2" w14:textId="77777777" w:rsidR="00862A01" w:rsidRPr="00872D7E" w:rsidRDefault="00862A01" w:rsidP="00862A01">
            <w:pPr>
              <w:jc w:val="right"/>
              <w:rPr>
                <w:color w:val="000000"/>
                <w:sz w:val="16"/>
                <w:szCs w:val="16"/>
              </w:rPr>
            </w:pPr>
            <w:r w:rsidRPr="00872D7E">
              <w:rPr>
                <w:color w:val="000000"/>
                <w:sz w:val="16"/>
                <w:szCs w:val="16"/>
              </w:rPr>
              <w:t>6</w:t>
            </w:r>
          </w:p>
        </w:tc>
        <w:tc>
          <w:tcPr>
            <w:tcW w:w="421" w:type="pct"/>
            <w:tcBorders>
              <w:top w:val="nil"/>
              <w:left w:val="nil"/>
              <w:bottom w:val="single" w:sz="4" w:space="0" w:color="auto"/>
              <w:right w:val="nil"/>
            </w:tcBorders>
            <w:shd w:val="clear" w:color="auto" w:fill="auto"/>
            <w:noWrap/>
            <w:vAlign w:val="center"/>
            <w:hideMark/>
          </w:tcPr>
          <w:p w14:paraId="70759D8E" w14:textId="77777777" w:rsidR="00862A01" w:rsidRPr="00872D7E" w:rsidRDefault="00862A01" w:rsidP="00862A01">
            <w:pPr>
              <w:jc w:val="right"/>
              <w:rPr>
                <w:color w:val="000000"/>
                <w:sz w:val="16"/>
                <w:szCs w:val="16"/>
              </w:rPr>
            </w:pPr>
            <w:r w:rsidRPr="00872D7E">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6B2A47F2" w14:textId="77777777" w:rsidR="00862A01" w:rsidRPr="00872D7E" w:rsidRDefault="00862A01" w:rsidP="00862A01">
            <w:pPr>
              <w:jc w:val="right"/>
              <w:rPr>
                <w:color w:val="000000"/>
                <w:sz w:val="16"/>
                <w:szCs w:val="16"/>
              </w:rPr>
            </w:pPr>
            <w:r w:rsidRPr="00872D7E">
              <w:rPr>
                <w:color w:val="000000"/>
                <w:sz w:val="16"/>
                <w:szCs w:val="16"/>
              </w:rPr>
              <w:t>1.591</w:t>
            </w:r>
          </w:p>
        </w:tc>
      </w:tr>
      <w:tr w:rsidR="00862A01" w:rsidRPr="00872D7E" w14:paraId="64680BA6" w14:textId="77777777" w:rsidTr="00862A01">
        <w:trPr>
          <w:divId w:val="1958220956"/>
          <w:trHeight w:val="170"/>
        </w:trPr>
        <w:tc>
          <w:tcPr>
            <w:tcW w:w="1585" w:type="pct"/>
            <w:tcBorders>
              <w:top w:val="nil"/>
              <w:left w:val="nil"/>
              <w:bottom w:val="nil"/>
              <w:right w:val="nil"/>
            </w:tcBorders>
            <w:shd w:val="clear" w:color="auto" w:fill="auto"/>
            <w:vAlign w:val="center"/>
            <w:hideMark/>
          </w:tcPr>
          <w:p w14:paraId="1BF72E53" w14:textId="77777777" w:rsidR="00862A01" w:rsidRPr="00872D7E" w:rsidRDefault="00862A01" w:rsidP="00862A01">
            <w:pPr>
              <w:jc w:val="right"/>
              <w:rPr>
                <w:color w:val="000000"/>
                <w:sz w:val="16"/>
                <w:szCs w:val="16"/>
              </w:rPr>
            </w:pPr>
          </w:p>
        </w:tc>
        <w:tc>
          <w:tcPr>
            <w:tcW w:w="446" w:type="pct"/>
            <w:tcBorders>
              <w:top w:val="nil"/>
              <w:left w:val="nil"/>
              <w:bottom w:val="nil"/>
              <w:right w:val="nil"/>
            </w:tcBorders>
            <w:shd w:val="clear" w:color="auto" w:fill="auto"/>
            <w:vAlign w:val="center"/>
            <w:hideMark/>
          </w:tcPr>
          <w:p w14:paraId="74B8F161"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7610FE29" w14:textId="77777777" w:rsidR="00862A01" w:rsidRPr="00872D7E" w:rsidRDefault="00862A01" w:rsidP="00862A01">
            <w:pPr>
              <w:jc w:val="right"/>
              <w:rPr>
                <w:szCs w:val="20"/>
              </w:rPr>
            </w:pPr>
          </w:p>
        </w:tc>
        <w:tc>
          <w:tcPr>
            <w:tcW w:w="468" w:type="pct"/>
            <w:tcBorders>
              <w:top w:val="nil"/>
              <w:left w:val="nil"/>
              <w:bottom w:val="nil"/>
              <w:right w:val="nil"/>
            </w:tcBorders>
            <w:shd w:val="clear" w:color="auto" w:fill="auto"/>
            <w:vAlign w:val="center"/>
            <w:hideMark/>
          </w:tcPr>
          <w:p w14:paraId="04F368B4"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090473F9" w14:textId="77777777" w:rsidR="00862A01" w:rsidRPr="00872D7E" w:rsidRDefault="00862A01" w:rsidP="00862A01">
            <w:pPr>
              <w:jc w:val="right"/>
              <w:rPr>
                <w:szCs w:val="20"/>
              </w:rPr>
            </w:pPr>
          </w:p>
        </w:tc>
        <w:tc>
          <w:tcPr>
            <w:tcW w:w="391" w:type="pct"/>
            <w:tcBorders>
              <w:top w:val="nil"/>
              <w:left w:val="nil"/>
              <w:bottom w:val="nil"/>
              <w:right w:val="nil"/>
            </w:tcBorders>
            <w:shd w:val="clear" w:color="auto" w:fill="auto"/>
            <w:vAlign w:val="center"/>
            <w:hideMark/>
          </w:tcPr>
          <w:p w14:paraId="0AE1BBE0" w14:textId="77777777" w:rsidR="00862A01" w:rsidRPr="00872D7E" w:rsidRDefault="00862A01" w:rsidP="00862A01">
            <w:pPr>
              <w:jc w:val="right"/>
              <w:rPr>
                <w:szCs w:val="20"/>
              </w:rPr>
            </w:pPr>
          </w:p>
        </w:tc>
        <w:tc>
          <w:tcPr>
            <w:tcW w:w="390" w:type="pct"/>
            <w:tcBorders>
              <w:top w:val="nil"/>
              <w:left w:val="nil"/>
              <w:bottom w:val="nil"/>
              <w:right w:val="nil"/>
            </w:tcBorders>
            <w:shd w:val="clear" w:color="auto" w:fill="auto"/>
            <w:vAlign w:val="center"/>
            <w:hideMark/>
          </w:tcPr>
          <w:p w14:paraId="10F13E7E" w14:textId="77777777" w:rsidR="00862A01" w:rsidRPr="00872D7E" w:rsidRDefault="00862A01" w:rsidP="00862A01">
            <w:pPr>
              <w:jc w:val="right"/>
              <w:rPr>
                <w:szCs w:val="20"/>
              </w:rPr>
            </w:pPr>
          </w:p>
        </w:tc>
        <w:tc>
          <w:tcPr>
            <w:tcW w:w="421" w:type="pct"/>
            <w:tcBorders>
              <w:top w:val="nil"/>
              <w:left w:val="nil"/>
              <w:bottom w:val="nil"/>
              <w:right w:val="nil"/>
            </w:tcBorders>
            <w:shd w:val="clear" w:color="auto" w:fill="auto"/>
            <w:vAlign w:val="center"/>
            <w:hideMark/>
          </w:tcPr>
          <w:p w14:paraId="11F73182" w14:textId="77777777" w:rsidR="00862A01" w:rsidRPr="00872D7E" w:rsidRDefault="00862A01" w:rsidP="00862A01">
            <w:pPr>
              <w:jc w:val="right"/>
              <w:rPr>
                <w:szCs w:val="20"/>
              </w:rPr>
            </w:pPr>
          </w:p>
        </w:tc>
        <w:tc>
          <w:tcPr>
            <w:tcW w:w="517" w:type="pct"/>
            <w:tcBorders>
              <w:top w:val="nil"/>
              <w:left w:val="nil"/>
              <w:bottom w:val="nil"/>
              <w:right w:val="nil"/>
            </w:tcBorders>
            <w:shd w:val="clear" w:color="auto" w:fill="auto"/>
            <w:vAlign w:val="center"/>
            <w:hideMark/>
          </w:tcPr>
          <w:p w14:paraId="5332F183" w14:textId="77777777" w:rsidR="00862A01" w:rsidRPr="00872D7E" w:rsidRDefault="00862A01" w:rsidP="00862A01">
            <w:pPr>
              <w:jc w:val="right"/>
              <w:rPr>
                <w:szCs w:val="20"/>
              </w:rPr>
            </w:pPr>
          </w:p>
        </w:tc>
      </w:tr>
      <w:tr w:rsidR="00862A01" w:rsidRPr="00872D7E" w14:paraId="7F53DD5E" w14:textId="77777777" w:rsidTr="00862A01">
        <w:trPr>
          <w:divId w:val="1958220956"/>
          <w:trHeight w:val="170"/>
        </w:trPr>
        <w:tc>
          <w:tcPr>
            <w:tcW w:w="1585" w:type="pct"/>
            <w:tcBorders>
              <w:top w:val="nil"/>
              <w:left w:val="nil"/>
              <w:bottom w:val="single" w:sz="8" w:space="0" w:color="auto"/>
              <w:right w:val="nil"/>
            </w:tcBorders>
            <w:shd w:val="clear" w:color="auto" w:fill="auto"/>
            <w:vAlign w:val="center"/>
            <w:hideMark/>
          </w:tcPr>
          <w:p w14:paraId="0693D013" w14:textId="77777777" w:rsidR="00862A01" w:rsidRPr="00872D7E" w:rsidRDefault="00862A01" w:rsidP="00862A01">
            <w:pPr>
              <w:rPr>
                <w:b/>
                <w:bCs/>
                <w:color w:val="000000"/>
                <w:sz w:val="16"/>
                <w:szCs w:val="16"/>
              </w:rPr>
            </w:pPr>
            <w:r w:rsidRPr="00872D7E">
              <w:rPr>
                <w:b/>
                <w:bCs/>
                <w:i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6FA22A89" w14:textId="77777777" w:rsidR="00862A01" w:rsidRPr="00872D7E" w:rsidRDefault="00862A01" w:rsidP="00862A01">
            <w:pPr>
              <w:jc w:val="right"/>
              <w:rPr>
                <w:b/>
                <w:bCs/>
                <w:sz w:val="16"/>
                <w:szCs w:val="16"/>
              </w:rPr>
            </w:pPr>
            <w:r w:rsidRPr="00872D7E">
              <w:rPr>
                <w:b/>
                <w:bCs/>
                <w:sz w:val="16"/>
                <w:szCs w:val="16"/>
              </w:rPr>
              <w:t>11.775</w:t>
            </w:r>
          </w:p>
        </w:tc>
        <w:tc>
          <w:tcPr>
            <w:tcW w:w="391" w:type="pct"/>
            <w:tcBorders>
              <w:top w:val="nil"/>
              <w:left w:val="nil"/>
              <w:bottom w:val="single" w:sz="8" w:space="0" w:color="auto"/>
              <w:right w:val="nil"/>
            </w:tcBorders>
            <w:shd w:val="clear" w:color="auto" w:fill="auto"/>
            <w:noWrap/>
            <w:vAlign w:val="center"/>
            <w:hideMark/>
          </w:tcPr>
          <w:p w14:paraId="3B46CE78" w14:textId="77777777" w:rsidR="00862A01" w:rsidRPr="00872D7E" w:rsidRDefault="00862A01" w:rsidP="00862A01">
            <w:pPr>
              <w:jc w:val="right"/>
              <w:rPr>
                <w:b/>
                <w:bCs/>
                <w:sz w:val="16"/>
                <w:szCs w:val="16"/>
              </w:rPr>
            </w:pPr>
            <w:r w:rsidRPr="00872D7E">
              <w:rPr>
                <w:b/>
                <w:bCs/>
                <w:sz w:val="16"/>
                <w:szCs w:val="16"/>
              </w:rPr>
              <w:t>31.904</w:t>
            </w:r>
          </w:p>
        </w:tc>
        <w:tc>
          <w:tcPr>
            <w:tcW w:w="468" w:type="pct"/>
            <w:tcBorders>
              <w:top w:val="nil"/>
              <w:left w:val="nil"/>
              <w:bottom w:val="single" w:sz="8" w:space="0" w:color="auto"/>
              <w:right w:val="nil"/>
            </w:tcBorders>
            <w:shd w:val="clear" w:color="auto" w:fill="auto"/>
            <w:noWrap/>
            <w:vAlign w:val="center"/>
            <w:hideMark/>
          </w:tcPr>
          <w:p w14:paraId="266B9F72" w14:textId="77777777" w:rsidR="00862A01" w:rsidRPr="00872D7E" w:rsidRDefault="00862A01" w:rsidP="00862A01">
            <w:pPr>
              <w:jc w:val="right"/>
              <w:rPr>
                <w:b/>
                <w:bCs/>
                <w:sz w:val="16"/>
                <w:szCs w:val="16"/>
              </w:rPr>
            </w:pPr>
            <w:r w:rsidRPr="00872D7E">
              <w:rPr>
                <w:b/>
                <w:bCs/>
                <w:sz w:val="16"/>
                <w:szCs w:val="16"/>
              </w:rPr>
              <w:t>16.328</w:t>
            </w:r>
          </w:p>
        </w:tc>
        <w:tc>
          <w:tcPr>
            <w:tcW w:w="391" w:type="pct"/>
            <w:tcBorders>
              <w:top w:val="nil"/>
              <w:left w:val="nil"/>
              <w:bottom w:val="single" w:sz="8" w:space="0" w:color="auto"/>
              <w:right w:val="nil"/>
            </w:tcBorders>
            <w:shd w:val="clear" w:color="auto" w:fill="auto"/>
            <w:noWrap/>
            <w:vAlign w:val="center"/>
            <w:hideMark/>
          </w:tcPr>
          <w:p w14:paraId="09D0A7B1" w14:textId="77777777" w:rsidR="00862A01" w:rsidRPr="00872D7E" w:rsidRDefault="00862A01" w:rsidP="00862A01">
            <w:pPr>
              <w:jc w:val="right"/>
              <w:rPr>
                <w:b/>
                <w:bCs/>
                <w:sz w:val="16"/>
                <w:szCs w:val="16"/>
              </w:rPr>
            </w:pPr>
            <w:r w:rsidRPr="00872D7E">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24BDEB86" w14:textId="77777777" w:rsidR="00862A01" w:rsidRPr="00872D7E" w:rsidRDefault="00862A01" w:rsidP="00862A01">
            <w:pPr>
              <w:jc w:val="right"/>
              <w:rPr>
                <w:b/>
                <w:bCs/>
                <w:sz w:val="16"/>
                <w:szCs w:val="16"/>
              </w:rPr>
            </w:pPr>
            <w:r w:rsidRPr="00872D7E">
              <w:rPr>
                <w:b/>
                <w:bCs/>
                <w:sz w:val="16"/>
                <w:szCs w:val="16"/>
              </w:rPr>
              <w:t>172</w:t>
            </w:r>
          </w:p>
        </w:tc>
        <w:tc>
          <w:tcPr>
            <w:tcW w:w="390" w:type="pct"/>
            <w:tcBorders>
              <w:top w:val="nil"/>
              <w:left w:val="nil"/>
              <w:bottom w:val="single" w:sz="8" w:space="0" w:color="auto"/>
              <w:right w:val="nil"/>
            </w:tcBorders>
            <w:shd w:val="clear" w:color="auto" w:fill="auto"/>
            <w:noWrap/>
            <w:vAlign w:val="center"/>
            <w:hideMark/>
          </w:tcPr>
          <w:p w14:paraId="25012C54" w14:textId="77777777" w:rsidR="00862A01" w:rsidRPr="00872D7E" w:rsidRDefault="00862A01" w:rsidP="00862A01">
            <w:pPr>
              <w:jc w:val="right"/>
              <w:rPr>
                <w:b/>
                <w:bCs/>
                <w:sz w:val="16"/>
                <w:szCs w:val="16"/>
              </w:rPr>
            </w:pPr>
            <w:r w:rsidRPr="00872D7E">
              <w:rPr>
                <w:b/>
                <w:bCs/>
                <w:sz w:val="16"/>
                <w:szCs w:val="16"/>
              </w:rPr>
              <w:t>3.229</w:t>
            </w:r>
          </w:p>
        </w:tc>
        <w:tc>
          <w:tcPr>
            <w:tcW w:w="421" w:type="pct"/>
            <w:tcBorders>
              <w:top w:val="nil"/>
              <w:left w:val="nil"/>
              <w:bottom w:val="single" w:sz="8" w:space="0" w:color="auto"/>
              <w:right w:val="nil"/>
            </w:tcBorders>
            <w:shd w:val="clear" w:color="auto" w:fill="auto"/>
            <w:noWrap/>
            <w:vAlign w:val="center"/>
            <w:hideMark/>
          </w:tcPr>
          <w:p w14:paraId="390E5248" w14:textId="77777777" w:rsidR="00862A01" w:rsidRPr="00872D7E" w:rsidRDefault="00862A01" w:rsidP="00862A01">
            <w:pPr>
              <w:jc w:val="right"/>
              <w:rPr>
                <w:b/>
                <w:bCs/>
                <w:sz w:val="16"/>
                <w:szCs w:val="16"/>
              </w:rPr>
            </w:pPr>
            <w:r w:rsidRPr="00872D7E">
              <w:rPr>
                <w:b/>
                <w:bCs/>
                <w:sz w:val="16"/>
                <w:szCs w:val="16"/>
              </w:rPr>
              <w:t>-</w:t>
            </w:r>
          </w:p>
        </w:tc>
        <w:tc>
          <w:tcPr>
            <w:tcW w:w="517" w:type="pct"/>
            <w:tcBorders>
              <w:top w:val="nil"/>
              <w:left w:val="nil"/>
              <w:bottom w:val="single" w:sz="8" w:space="0" w:color="auto"/>
              <w:right w:val="nil"/>
            </w:tcBorders>
            <w:shd w:val="clear" w:color="auto" w:fill="auto"/>
            <w:noWrap/>
            <w:vAlign w:val="center"/>
            <w:hideMark/>
          </w:tcPr>
          <w:p w14:paraId="75775DBC" w14:textId="77777777" w:rsidR="00862A01" w:rsidRPr="00872D7E" w:rsidRDefault="00862A01" w:rsidP="00862A01">
            <w:pPr>
              <w:jc w:val="right"/>
              <w:rPr>
                <w:b/>
                <w:bCs/>
                <w:sz w:val="16"/>
                <w:szCs w:val="16"/>
              </w:rPr>
            </w:pPr>
            <w:r w:rsidRPr="00872D7E">
              <w:rPr>
                <w:b/>
                <w:bCs/>
                <w:sz w:val="16"/>
                <w:szCs w:val="16"/>
              </w:rPr>
              <w:t>63.408</w:t>
            </w:r>
          </w:p>
        </w:tc>
      </w:tr>
      <w:tr w:rsidR="00862A01" w:rsidRPr="00872D7E" w14:paraId="79BE3AA1" w14:textId="77777777" w:rsidTr="00862A01">
        <w:trPr>
          <w:divId w:val="1958220956"/>
          <w:trHeight w:val="170"/>
        </w:trPr>
        <w:tc>
          <w:tcPr>
            <w:tcW w:w="1585" w:type="pct"/>
            <w:tcBorders>
              <w:top w:val="nil"/>
              <w:left w:val="nil"/>
              <w:right w:val="nil"/>
            </w:tcBorders>
            <w:shd w:val="clear" w:color="auto" w:fill="auto"/>
            <w:vAlign w:val="center"/>
            <w:hideMark/>
          </w:tcPr>
          <w:p w14:paraId="4F606AE4" w14:textId="77777777" w:rsidR="00862A01" w:rsidRPr="00872D7E" w:rsidRDefault="00862A01" w:rsidP="00862A01">
            <w:pPr>
              <w:jc w:val="right"/>
              <w:rPr>
                <w:b/>
                <w:bCs/>
                <w:sz w:val="16"/>
                <w:szCs w:val="16"/>
              </w:rPr>
            </w:pPr>
          </w:p>
        </w:tc>
        <w:tc>
          <w:tcPr>
            <w:tcW w:w="446" w:type="pct"/>
            <w:tcBorders>
              <w:top w:val="nil"/>
              <w:left w:val="nil"/>
              <w:right w:val="nil"/>
            </w:tcBorders>
            <w:shd w:val="clear" w:color="auto" w:fill="auto"/>
            <w:vAlign w:val="center"/>
            <w:hideMark/>
          </w:tcPr>
          <w:p w14:paraId="40F17D87" w14:textId="77777777" w:rsidR="00862A01" w:rsidRPr="00872D7E" w:rsidRDefault="00862A01" w:rsidP="00862A01">
            <w:pPr>
              <w:jc w:val="right"/>
              <w:rPr>
                <w:szCs w:val="20"/>
              </w:rPr>
            </w:pPr>
          </w:p>
        </w:tc>
        <w:tc>
          <w:tcPr>
            <w:tcW w:w="391" w:type="pct"/>
            <w:tcBorders>
              <w:top w:val="nil"/>
              <w:left w:val="nil"/>
              <w:right w:val="nil"/>
            </w:tcBorders>
            <w:shd w:val="clear" w:color="auto" w:fill="auto"/>
            <w:vAlign w:val="center"/>
            <w:hideMark/>
          </w:tcPr>
          <w:p w14:paraId="0B696F93" w14:textId="77777777" w:rsidR="00862A01" w:rsidRPr="00872D7E" w:rsidRDefault="00862A01" w:rsidP="00862A01">
            <w:pPr>
              <w:jc w:val="right"/>
              <w:rPr>
                <w:szCs w:val="20"/>
              </w:rPr>
            </w:pPr>
          </w:p>
        </w:tc>
        <w:tc>
          <w:tcPr>
            <w:tcW w:w="468" w:type="pct"/>
            <w:tcBorders>
              <w:top w:val="nil"/>
              <w:left w:val="nil"/>
              <w:right w:val="nil"/>
            </w:tcBorders>
            <w:shd w:val="clear" w:color="auto" w:fill="auto"/>
            <w:vAlign w:val="center"/>
            <w:hideMark/>
          </w:tcPr>
          <w:p w14:paraId="66EA1179" w14:textId="77777777" w:rsidR="00862A01" w:rsidRPr="00872D7E" w:rsidRDefault="00862A01" w:rsidP="00862A01">
            <w:pPr>
              <w:jc w:val="right"/>
              <w:rPr>
                <w:szCs w:val="20"/>
              </w:rPr>
            </w:pPr>
          </w:p>
        </w:tc>
        <w:tc>
          <w:tcPr>
            <w:tcW w:w="391" w:type="pct"/>
            <w:tcBorders>
              <w:top w:val="nil"/>
              <w:left w:val="nil"/>
              <w:right w:val="nil"/>
            </w:tcBorders>
            <w:shd w:val="clear" w:color="auto" w:fill="auto"/>
            <w:vAlign w:val="center"/>
            <w:hideMark/>
          </w:tcPr>
          <w:p w14:paraId="3CAD3C34" w14:textId="77777777" w:rsidR="00862A01" w:rsidRPr="00872D7E" w:rsidRDefault="00862A01" w:rsidP="00862A01">
            <w:pPr>
              <w:jc w:val="right"/>
              <w:rPr>
                <w:szCs w:val="20"/>
              </w:rPr>
            </w:pPr>
          </w:p>
        </w:tc>
        <w:tc>
          <w:tcPr>
            <w:tcW w:w="391" w:type="pct"/>
            <w:tcBorders>
              <w:top w:val="nil"/>
              <w:left w:val="nil"/>
              <w:right w:val="nil"/>
            </w:tcBorders>
            <w:shd w:val="clear" w:color="auto" w:fill="auto"/>
            <w:vAlign w:val="center"/>
            <w:hideMark/>
          </w:tcPr>
          <w:p w14:paraId="5CEB6A49" w14:textId="77777777" w:rsidR="00862A01" w:rsidRPr="00872D7E" w:rsidRDefault="00862A01" w:rsidP="00862A01">
            <w:pPr>
              <w:jc w:val="right"/>
              <w:rPr>
                <w:szCs w:val="20"/>
              </w:rPr>
            </w:pPr>
          </w:p>
        </w:tc>
        <w:tc>
          <w:tcPr>
            <w:tcW w:w="390" w:type="pct"/>
            <w:tcBorders>
              <w:top w:val="nil"/>
              <w:left w:val="nil"/>
              <w:right w:val="nil"/>
            </w:tcBorders>
            <w:shd w:val="clear" w:color="auto" w:fill="auto"/>
            <w:vAlign w:val="center"/>
            <w:hideMark/>
          </w:tcPr>
          <w:p w14:paraId="4E5952BA" w14:textId="77777777" w:rsidR="00862A01" w:rsidRPr="00872D7E" w:rsidRDefault="00862A01" w:rsidP="00862A01">
            <w:pPr>
              <w:jc w:val="right"/>
              <w:rPr>
                <w:szCs w:val="20"/>
              </w:rPr>
            </w:pPr>
          </w:p>
        </w:tc>
        <w:tc>
          <w:tcPr>
            <w:tcW w:w="421" w:type="pct"/>
            <w:tcBorders>
              <w:top w:val="nil"/>
              <w:left w:val="nil"/>
              <w:right w:val="nil"/>
            </w:tcBorders>
            <w:shd w:val="clear" w:color="auto" w:fill="auto"/>
            <w:vAlign w:val="center"/>
            <w:hideMark/>
          </w:tcPr>
          <w:p w14:paraId="53C78C1A" w14:textId="77777777" w:rsidR="00862A01" w:rsidRPr="00872D7E" w:rsidRDefault="00862A01" w:rsidP="00862A01">
            <w:pPr>
              <w:jc w:val="right"/>
              <w:rPr>
                <w:szCs w:val="20"/>
              </w:rPr>
            </w:pPr>
          </w:p>
        </w:tc>
        <w:tc>
          <w:tcPr>
            <w:tcW w:w="517" w:type="pct"/>
            <w:tcBorders>
              <w:top w:val="nil"/>
              <w:left w:val="nil"/>
              <w:right w:val="nil"/>
            </w:tcBorders>
            <w:shd w:val="clear" w:color="auto" w:fill="auto"/>
            <w:vAlign w:val="center"/>
            <w:hideMark/>
          </w:tcPr>
          <w:p w14:paraId="295695D1" w14:textId="77777777" w:rsidR="00862A01" w:rsidRPr="00872D7E" w:rsidRDefault="00862A01" w:rsidP="00862A01">
            <w:pPr>
              <w:jc w:val="right"/>
              <w:rPr>
                <w:szCs w:val="20"/>
              </w:rPr>
            </w:pPr>
          </w:p>
        </w:tc>
      </w:tr>
      <w:tr w:rsidR="00862A01" w:rsidRPr="00872D7E" w14:paraId="1064AFBE" w14:textId="77777777" w:rsidTr="00862A01">
        <w:trPr>
          <w:divId w:val="1958220956"/>
          <w:trHeight w:val="170"/>
        </w:trPr>
        <w:tc>
          <w:tcPr>
            <w:tcW w:w="1585" w:type="pct"/>
            <w:tcBorders>
              <w:top w:val="nil"/>
              <w:left w:val="nil"/>
              <w:bottom w:val="single" w:sz="12" w:space="0" w:color="auto"/>
              <w:right w:val="nil"/>
            </w:tcBorders>
            <w:shd w:val="clear" w:color="auto" w:fill="auto"/>
            <w:vAlign w:val="center"/>
            <w:hideMark/>
          </w:tcPr>
          <w:p w14:paraId="11DC2C2D" w14:textId="77777777" w:rsidR="00862A01" w:rsidRPr="00872D7E" w:rsidRDefault="00862A01" w:rsidP="00862A01">
            <w:pPr>
              <w:rPr>
                <w:b/>
                <w:bCs/>
                <w:color w:val="000000"/>
                <w:sz w:val="16"/>
                <w:szCs w:val="16"/>
              </w:rPr>
            </w:pPr>
            <w:r w:rsidRPr="00872D7E">
              <w:rPr>
                <w:b/>
                <w:bCs/>
                <w:color w:val="000000"/>
                <w:sz w:val="16"/>
                <w:szCs w:val="16"/>
              </w:rPr>
              <w:t>Genel toplam</w:t>
            </w:r>
          </w:p>
        </w:tc>
        <w:tc>
          <w:tcPr>
            <w:tcW w:w="446" w:type="pct"/>
            <w:tcBorders>
              <w:top w:val="nil"/>
              <w:left w:val="nil"/>
              <w:bottom w:val="single" w:sz="12" w:space="0" w:color="auto"/>
              <w:right w:val="nil"/>
            </w:tcBorders>
            <w:shd w:val="clear" w:color="auto" w:fill="auto"/>
            <w:noWrap/>
            <w:vAlign w:val="center"/>
            <w:hideMark/>
          </w:tcPr>
          <w:p w14:paraId="46976D39" w14:textId="77777777" w:rsidR="00862A01" w:rsidRPr="00872D7E" w:rsidRDefault="00862A01" w:rsidP="00862A01">
            <w:pPr>
              <w:jc w:val="right"/>
              <w:rPr>
                <w:b/>
                <w:bCs/>
                <w:color w:val="000000"/>
                <w:sz w:val="16"/>
                <w:szCs w:val="16"/>
              </w:rPr>
            </w:pPr>
            <w:r w:rsidRPr="00872D7E">
              <w:rPr>
                <w:b/>
                <w:bCs/>
                <w:color w:val="000000"/>
                <w:sz w:val="16"/>
                <w:szCs w:val="16"/>
              </w:rPr>
              <w:t>563.868</w:t>
            </w:r>
          </w:p>
        </w:tc>
        <w:tc>
          <w:tcPr>
            <w:tcW w:w="391" w:type="pct"/>
            <w:tcBorders>
              <w:top w:val="nil"/>
              <w:left w:val="nil"/>
              <w:bottom w:val="single" w:sz="12" w:space="0" w:color="auto"/>
              <w:right w:val="nil"/>
            </w:tcBorders>
            <w:shd w:val="clear" w:color="auto" w:fill="auto"/>
            <w:noWrap/>
            <w:vAlign w:val="center"/>
            <w:hideMark/>
          </w:tcPr>
          <w:p w14:paraId="3A460A5C" w14:textId="77777777" w:rsidR="00862A01" w:rsidRPr="00872D7E" w:rsidRDefault="00862A01" w:rsidP="00862A01">
            <w:pPr>
              <w:jc w:val="right"/>
              <w:rPr>
                <w:b/>
                <w:bCs/>
                <w:color w:val="000000"/>
                <w:sz w:val="16"/>
                <w:szCs w:val="16"/>
              </w:rPr>
            </w:pPr>
            <w:r w:rsidRPr="00872D7E">
              <w:rPr>
                <w:b/>
                <w:bCs/>
                <w:color w:val="000000"/>
                <w:sz w:val="16"/>
                <w:szCs w:val="16"/>
              </w:rPr>
              <w:t>319.302</w:t>
            </w:r>
          </w:p>
        </w:tc>
        <w:tc>
          <w:tcPr>
            <w:tcW w:w="468" w:type="pct"/>
            <w:tcBorders>
              <w:top w:val="nil"/>
              <w:left w:val="nil"/>
              <w:bottom w:val="single" w:sz="12" w:space="0" w:color="auto"/>
              <w:right w:val="nil"/>
            </w:tcBorders>
            <w:shd w:val="clear" w:color="auto" w:fill="auto"/>
            <w:noWrap/>
            <w:vAlign w:val="center"/>
            <w:hideMark/>
          </w:tcPr>
          <w:p w14:paraId="2C083F6B" w14:textId="77777777" w:rsidR="00862A01" w:rsidRPr="00872D7E" w:rsidRDefault="00862A01" w:rsidP="00862A01">
            <w:pPr>
              <w:jc w:val="right"/>
              <w:rPr>
                <w:b/>
                <w:bCs/>
                <w:color w:val="000000"/>
                <w:sz w:val="16"/>
                <w:szCs w:val="16"/>
              </w:rPr>
            </w:pPr>
            <w:r w:rsidRPr="00872D7E">
              <w:rPr>
                <w:b/>
                <w:bCs/>
                <w:color w:val="000000"/>
                <w:sz w:val="16"/>
                <w:szCs w:val="16"/>
              </w:rPr>
              <w:t>347.964</w:t>
            </w:r>
          </w:p>
        </w:tc>
        <w:tc>
          <w:tcPr>
            <w:tcW w:w="391" w:type="pct"/>
            <w:tcBorders>
              <w:top w:val="nil"/>
              <w:left w:val="nil"/>
              <w:bottom w:val="single" w:sz="12" w:space="0" w:color="auto"/>
              <w:right w:val="nil"/>
            </w:tcBorders>
            <w:shd w:val="clear" w:color="auto" w:fill="auto"/>
            <w:noWrap/>
            <w:vAlign w:val="center"/>
            <w:hideMark/>
          </w:tcPr>
          <w:p w14:paraId="5375B719" w14:textId="77777777" w:rsidR="00862A01" w:rsidRPr="00872D7E" w:rsidRDefault="00862A01" w:rsidP="00862A01">
            <w:pPr>
              <w:jc w:val="right"/>
              <w:rPr>
                <w:b/>
                <w:bCs/>
                <w:color w:val="000000"/>
                <w:sz w:val="16"/>
                <w:szCs w:val="16"/>
              </w:rPr>
            </w:pPr>
            <w:r w:rsidRPr="00872D7E">
              <w:rPr>
                <w:b/>
                <w:bCs/>
                <w:color w:val="000000"/>
                <w:sz w:val="16"/>
                <w:szCs w:val="16"/>
              </w:rPr>
              <w:t>-</w:t>
            </w:r>
          </w:p>
        </w:tc>
        <w:tc>
          <w:tcPr>
            <w:tcW w:w="391" w:type="pct"/>
            <w:tcBorders>
              <w:top w:val="nil"/>
              <w:left w:val="nil"/>
              <w:bottom w:val="single" w:sz="12" w:space="0" w:color="auto"/>
              <w:right w:val="nil"/>
            </w:tcBorders>
            <w:shd w:val="clear" w:color="auto" w:fill="auto"/>
            <w:noWrap/>
            <w:vAlign w:val="center"/>
            <w:hideMark/>
          </w:tcPr>
          <w:p w14:paraId="65FE2201" w14:textId="77777777" w:rsidR="00862A01" w:rsidRPr="00872D7E" w:rsidRDefault="00862A01" w:rsidP="00862A01">
            <w:pPr>
              <w:jc w:val="right"/>
              <w:rPr>
                <w:b/>
                <w:bCs/>
                <w:color w:val="000000"/>
                <w:sz w:val="16"/>
                <w:szCs w:val="16"/>
              </w:rPr>
            </w:pPr>
            <w:r w:rsidRPr="00872D7E">
              <w:rPr>
                <w:b/>
                <w:bCs/>
                <w:color w:val="000000"/>
                <w:sz w:val="16"/>
                <w:szCs w:val="16"/>
              </w:rPr>
              <w:t>29.906</w:t>
            </w:r>
          </w:p>
        </w:tc>
        <w:tc>
          <w:tcPr>
            <w:tcW w:w="390" w:type="pct"/>
            <w:tcBorders>
              <w:top w:val="nil"/>
              <w:left w:val="nil"/>
              <w:bottom w:val="single" w:sz="12" w:space="0" w:color="auto"/>
              <w:right w:val="nil"/>
            </w:tcBorders>
            <w:shd w:val="clear" w:color="auto" w:fill="auto"/>
            <w:noWrap/>
            <w:vAlign w:val="center"/>
            <w:hideMark/>
          </w:tcPr>
          <w:p w14:paraId="616B7E17" w14:textId="77777777" w:rsidR="00862A01" w:rsidRPr="00872D7E" w:rsidRDefault="00862A01" w:rsidP="00862A01">
            <w:pPr>
              <w:jc w:val="right"/>
              <w:rPr>
                <w:b/>
                <w:bCs/>
                <w:color w:val="000000"/>
                <w:sz w:val="16"/>
                <w:szCs w:val="16"/>
              </w:rPr>
            </w:pPr>
            <w:r w:rsidRPr="00872D7E">
              <w:rPr>
                <w:b/>
                <w:bCs/>
                <w:color w:val="000000"/>
                <w:sz w:val="16"/>
                <w:szCs w:val="16"/>
              </w:rPr>
              <w:t>724.995</w:t>
            </w:r>
          </w:p>
        </w:tc>
        <w:tc>
          <w:tcPr>
            <w:tcW w:w="421" w:type="pct"/>
            <w:tcBorders>
              <w:top w:val="nil"/>
              <w:left w:val="nil"/>
              <w:bottom w:val="single" w:sz="12" w:space="0" w:color="auto"/>
              <w:right w:val="nil"/>
            </w:tcBorders>
            <w:shd w:val="clear" w:color="auto" w:fill="auto"/>
            <w:noWrap/>
            <w:vAlign w:val="center"/>
            <w:hideMark/>
          </w:tcPr>
          <w:p w14:paraId="73D1309D" w14:textId="77777777" w:rsidR="00862A01" w:rsidRPr="00872D7E" w:rsidRDefault="00862A01" w:rsidP="00862A01">
            <w:pPr>
              <w:jc w:val="right"/>
              <w:rPr>
                <w:b/>
                <w:bCs/>
                <w:color w:val="000000"/>
                <w:sz w:val="16"/>
                <w:szCs w:val="16"/>
              </w:rPr>
            </w:pPr>
            <w:r w:rsidRPr="00872D7E">
              <w:rPr>
                <w:b/>
                <w:bCs/>
                <w:color w:val="000000"/>
                <w:sz w:val="16"/>
                <w:szCs w:val="16"/>
              </w:rPr>
              <w:t>-</w:t>
            </w:r>
          </w:p>
        </w:tc>
        <w:tc>
          <w:tcPr>
            <w:tcW w:w="517" w:type="pct"/>
            <w:tcBorders>
              <w:top w:val="nil"/>
              <w:left w:val="nil"/>
              <w:bottom w:val="single" w:sz="12" w:space="0" w:color="auto"/>
              <w:right w:val="nil"/>
            </w:tcBorders>
            <w:shd w:val="clear" w:color="auto" w:fill="auto"/>
            <w:noWrap/>
            <w:vAlign w:val="center"/>
            <w:hideMark/>
          </w:tcPr>
          <w:p w14:paraId="3B42E555" w14:textId="77777777" w:rsidR="00862A01" w:rsidRPr="00872D7E" w:rsidRDefault="00862A01" w:rsidP="00862A01">
            <w:pPr>
              <w:jc w:val="right"/>
              <w:rPr>
                <w:b/>
                <w:bCs/>
                <w:color w:val="000000"/>
                <w:sz w:val="16"/>
                <w:szCs w:val="16"/>
              </w:rPr>
            </w:pPr>
            <w:r w:rsidRPr="00872D7E">
              <w:rPr>
                <w:b/>
                <w:bCs/>
                <w:color w:val="000000"/>
                <w:sz w:val="16"/>
                <w:szCs w:val="16"/>
              </w:rPr>
              <w:t>1.986.035</w:t>
            </w:r>
          </w:p>
        </w:tc>
      </w:tr>
    </w:tbl>
    <w:p w14:paraId="5C951FD7" w14:textId="13527882" w:rsidR="00B849AA" w:rsidRPr="00872D7E" w:rsidRDefault="00B849AA" w:rsidP="009F6E11">
      <w:pPr>
        <w:widowControl w:val="0"/>
        <w:rPr>
          <w:b/>
          <w:szCs w:val="20"/>
        </w:rPr>
      </w:pPr>
    </w:p>
    <w:p w14:paraId="403FF045" w14:textId="77777777" w:rsidR="00000466" w:rsidRPr="00872D7E" w:rsidRDefault="00000466" w:rsidP="00000466">
      <w:pPr>
        <w:pStyle w:val="ListParagraph"/>
        <w:widowControl w:val="0"/>
        <w:numPr>
          <w:ilvl w:val="0"/>
          <w:numId w:val="36"/>
        </w:numPr>
        <w:ind w:left="1276" w:hanging="425"/>
        <w:rPr>
          <w:b/>
          <w:color w:val="000000" w:themeColor="text1"/>
          <w:szCs w:val="20"/>
        </w:rPr>
      </w:pPr>
      <w:r w:rsidRPr="00872D7E">
        <w:rPr>
          <w:b/>
          <w:color w:val="000000" w:themeColor="text1"/>
          <w:szCs w:val="20"/>
        </w:rPr>
        <w:t xml:space="preserve">Kullanılan kredilere verilen </w:t>
      </w:r>
      <w:proofErr w:type="gramStart"/>
      <w:r w:rsidRPr="00872D7E">
        <w:rPr>
          <w:b/>
          <w:color w:val="000000" w:themeColor="text1"/>
          <w:szCs w:val="20"/>
        </w:rPr>
        <w:t>kar</w:t>
      </w:r>
      <w:proofErr w:type="gramEnd"/>
      <w:r w:rsidRPr="00872D7E">
        <w:rPr>
          <w:b/>
          <w:color w:val="000000" w:themeColor="text1"/>
          <w:szCs w:val="20"/>
        </w:rPr>
        <w:t xml:space="preserve"> payı giderlerine ilişkin bilgiler:</w:t>
      </w:r>
    </w:p>
    <w:p w14:paraId="6FF15151" w14:textId="4E259859" w:rsidR="00000466" w:rsidRPr="00872D7E" w:rsidRDefault="00000466" w:rsidP="00000466">
      <w:pPr>
        <w:widowControl w:val="0"/>
        <w:ind w:left="56" w:hanging="560"/>
        <w:jc w:val="both"/>
        <w:rPr>
          <w:szCs w:val="20"/>
        </w:rPr>
      </w:pPr>
    </w:p>
    <w:tbl>
      <w:tblPr>
        <w:tblW w:w="5000" w:type="pct"/>
        <w:tblCellMar>
          <w:left w:w="70" w:type="dxa"/>
          <w:right w:w="70" w:type="dxa"/>
        </w:tblCellMar>
        <w:tblLook w:val="04A0" w:firstRow="1" w:lastRow="0" w:firstColumn="1" w:lastColumn="0" w:noHBand="0" w:noVBand="1"/>
      </w:tblPr>
      <w:tblGrid>
        <w:gridCol w:w="6593"/>
        <w:gridCol w:w="1368"/>
        <w:gridCol w:w="1394"/>
      </w:tblGrid>
      <w:tr w:rsidR="00000466" w:rsidRPr="00872D7E" w14:paraId="2AD5F5B3" w14:textId="77777777" w:rsidTr="00336F42">
        <w:trPr>
          <w:trHeight w:val="227"/>
        </w:trPr>
        <w:tc>
          <w:tcPr>
            <w:tcW w:w="3524" w:type="pct"/>
            <w:tcBorders>
              <w:top w:val="nil"/>
              <w:left w:val="nil"/>
              <w:bottom w:val="nil"/>
              <w:right w:val="nil"/>
            </w:tcBorders>
            <w:shd w:val="clear" w:color="auto" w:fill="auto"/>
            <w:hideMark/>
          </w:tcPr>
          <w:p w14:paraId="17C990DB" w14:textId="77777777" w:rsidR="00000466" w:rsidRPr="00872D7E" w:rsidRDefault="00000466" w:rsidP="00336F42"/>
        </w:tc>
        <w:tc>
          <w:tcPr>
            <w:tcW w:w="1476" w:type="pct"/>
            <w:gridSpan w:val="2"/>
            <w:tcBorders>
              <w:top w:val="nil"/>
              <w:left w:val="nil"/>
              <w:bottom w:val="single" w:sz="4" w:space="0" w:color="auto"/>
              <w:right w:val="nil"/>
            </w:tcBorders>
            <w:shd w:val="clear" w:color="auto" w:fill="auto"/>
            <w:noWrap/>
            <w:vAlign w:val="bottom"/>
            <w:hideMark/>
          </w:tcPr>
          <w:p w14:paraId="2AC6E1EC" w14:textId="77777777" w:rsidR="00000466" w:rsidRPr="00872D7E" w:rsidRDefault="00000466" w:rsidP="00336F42">
            <w:pPr>
              <w:jc w:val="center"/>
              <w:rPr>
                <w:b/>
                <w:bCs/>
                <w:color w:val="000000"/>
                <w:szCs w:val="20"/>
              </w:rPr>
            </w:pPr>
            <w:r w:rsidRPr="00872D7E">
              <w:rPr>
                <w:b/>
                <w:bCs/>
                <w:color w:val="000000"/>
                <w:szCs w:val="20"/>
              </w:rPr>
              <w:t xml:space="preserve">1 </w:t>
            </w:r>
            <w:proofErr w:type="gramStart"/>
            <w:r w:rsidRPr="00872D7E">
              <w:rPr>
                <w:b/>
                <w:bCs/>
                <w:color w:val="000000"/>
                <w:szCs w:val="20"/>
              </w:rPr>
              <w:t>Ocak -</w:t>
            </w:r>
            <w:proofErr w:type="gramEnd"/>
            <w:r w:rsidRPr="00872D7E">
              <w:rPr>
                <w:b/>
                <w:bCs/>
                <w:color w:val="000000"/>
                <w:szCs w:val="20"/>
              </w:rPr>
              <w:t xml:space="preserve"> 31 Aralık 2024</w:t>
            </w:r>
          </w:p>
        </w:tc>
      </w:tr>
      <w:tr w:rsidR="00000466" w:rsidRPr="00872D7E" w14:paraId="35B4BE3F" w14:textId="77777777" w:rsidTr="00336F42">
        <w:trPr>
          <w:trHeight w:val="227"/>
        </w:trPr>
        <w:tc>
          <w:tcPr>
            <w:tcW w:w="3524" w:type="pct"/>
            <w:tcBorders>
              <w:top w:val="nil"/>
              <w:left w:val="nil"/>
              <w:bottom w:val="single" w:sz="4" w:space="0" w:color="auto"/>
              <w:right w:val="nil"/>
            </w:tcBorders>
            <w:shd w:val="clear" w:color="auto" w:fill="auto"/>
            <w:hideMark/>
          </w:tcPr>
          <w:p w14:paraId="6D3F9B22" w14:textId="77777777" w:rsidR="00000466" w:rsidRPr="00872D7E" w:rsidRDefault="00000466" w:rsidP="00336F42">
            <w:pPr>
              <w:jc w:val="both"/>
              <w:rPr>
                <w:color w:val="000000"/>
                <w:szCs w:val="20"/>
              </w:rPr>
            </w:pPr>
            <w:r w:rsidRPr="00872D7E">
              <w:rPr>
                <w:color w:val="000000"/>
                <w:szCs w:val="20"/>
              </w:rPr>
              <w:t> </w:t>
            </w:r>
          </w:p>
        </w:tc>
        <w:tc>
          <w:tcPr>
            <w:tcW w:w="731" w:type="pct"/>
            <w:tcBorders>
              <w:top w:val="nil"/>
              <w:left w:val="nil"/>
              <w:bottom w:val="single" w:sz="4" w:space="0" w:color="auto"/>
              <w:right w:val="nil"/>
            </w:tcBorders>
            <w:shd w:val="clear" w:color="auto" w:fill="auto"/>
            <w:hideMark/>
          </w:tcPr>
          <w:p w14:paraId="3C2F4FA7" w14:textId="77777777" w:rsidR="00000466" w:rsidRPr="00872D7E" w:rsidRDefault="00000466" w:rsidP="00336F42">
            <w:pPr>
              <w:jc w:val="right"/>
              <w:rPr>
                <w:b/>
                <w:bCs/>
                <w:color w:val="000000"/>
                <w:szCs w:val="20"/>
              </w:rPr>
            </w:pPr>
            <w:r w:rsidRPr="00872D7E">
              <w:rPr>
                <w:b/>
                <w:bCs/>
                <w:color w:val="000000"/>
                <w:szCs w:val="20"/>
              </w:rPr>
              <w:t>TP</w:t>
            </w:r>
          </w:p>
        </w:tc>
        <w:tc>
          <w:tcPr>
            <w:tcW w:w="745" w:type="pct"/>
            <w:tcBorders>
              <w:top w:val="nil"/>
              <w:left w:val="nil"/>
              <w:bottom w:val="single" w:sz="4" w:space="0" w:color="auto"/>
              <w:right w:val="nil"/>
            </w:tcBorders>
            <w:shd w:val="clear" w:color="auto" w:fill="auto"/>
            <w:hideMark/>
          </w:tcPr>
          <w:p w14:paraId="7E0F8D82" w14:textId="77777777" w:rsidR="00000466" w:rsidRPr="00872D7E" w:rsidRDefault="00000466" w:rsidP="00336F42">
            <w:pPr>
              <w:jc w:val="right"/>
              <w:rPr>
                <w:b/>
                <w:bCs/>
                <w:color w:val="000000"/>
                <w:szCs w:val="20"/>
              </w:rPr>
            </w:pPr>
            <w:r w:rsidRPr="00872D7E">
              <w:rPr>
                <w:b/>
                <w:bCs/>
                <w:color w:val="000000"/>
                <w:szCs w:val="20"/>
              </w:rPr>
              <w:t>YP</w:t>
            </w:r>
          </w:p>
        </w:tc>
      </w:tr>
      <w:tr w:rsidR="00000466" w:rsidRPr="00872D7E" w14:paraId="2D2073FD" w14:textId="77777777" w:rsidTr="00336F42">
        <w:trPr>
          <w:trHeight w:val="227"/>
        </w:trPr>
        <w:tc>
          <w:tcPr>
            <w:tcW w:w="3524" w:type="pct"/>
            <w:tcBorders>
              <w:top w:val="nil"/>
              <w:left w:val="nil"/>
              <w:bottom w:val="nil"/>
              <w:right w:val="nil"/>
            </w:tcBorders>
            <w:shd w:val="clear" w:color="auto" w:fill="auto"/>
            <w:hideMark/>
          </w:tcPr>
          <w:p w14:paraId="71F340D7" w14:textId="77777777" w:rsidR="00000466" w:rsidRPr="00872D7E" w:rsidRDefault="00000466" w:rsidP="00336F42">
            <w:pPr>
              <w:jc w:val="right"/>
              <w:rPr>
                <w:b/>
                <w:bCs/>
                <w:color w:val="000000"/>
                <w:szCs w:val="20"/>
              </w:rPr>
            </w:pPr>
          </w:p>
        </w:tc>
        <w:tc>
          <w:tcPr>
            <w:tcW w:w="731" w:type="pct"/>
            <w:tcBorders>
              <w:top w:val="nil"/>
              <w:left w:val="nil"/>
              <w:bottom w:val="nil"/>
              <w:right w:val="nil"/>
            </w:tcBorders>
            <w:shd w:val="clear" w:color="auto" w:fill="auto"/>
            <w:hideMark/>
          </w:tcPr>
          <w:p w14:paraId="1C0B5CA9" w14:textId="77777777" w:rsidR="00000466" w:rsidRPr="00872D7E" w:rsidRDefault="00000466" w:rsidP="00336F42">
            <w:pPr>
              <w:jc w:val="both"/>
              <w:rPr>
                <w:szCs w:val="20"/>
              </w:rPr>
            </w:pPr>
          </w:p>
        </w:tc>
        <w:tc>
          <w:tcPr>
            <w:tcW w:w="745" w:type="pct"/>
            <w:tcBorders>
              <w:top w:val="nil"/>
              <w:left w:val="nil"/>
              <w:bottom w:val="nil"/>
              <w:right w:val="nil"/>
            </w:tcBorders>
            <w:shd w:val="clear" w:color="auto" w:fill="auto"/>
            <w:hideMark/>
          </w:tcPr>
          <w:p w14:paraId="7AEE903D" w14:textId="77777777" w:rsidR="00000466" w:rsidRPr="00872D7E" w:rsidRDefault="00000466" w:rsidP="00336F42">
            <w:pPr>
              <w:jc w:val="right"/>
              <w:rPr>
                <w:szCs w:val="20"/>
              </w:rPr>
            </w:pPr>
          </w:p>
        </w:tc>
      </w:tr>
      <w:tr w:rsidR="00000466" w:rsidRPr="00872D7E" w14:paraId="5E39252F" w14:textId="77777777" w:rsidTr="00336F42">
        <w:trPr>
          <w:trHeight w:val="227"/>
        </w:trPr>
        <w:tc>
          <w:tcPr>
            <w:tcW w:w="3524" w:type="pct"/>
            <w:tcBorders>
              <w:top w:val="nil"/>
              <w:left w:val="nil"/>
              <w:bottom w:val="nil"/>
              <w:right w:val="nil"/>
            </w:tcBorders>
            <w:shd w:val="clear" w:color="auto" w:fill="auto"/>
            <w:vAlign w:val="bottom"/>
            <w:hideMark/>
          </w:tcPr>
          <w:p w14:paraId="510E8641" w14:textId="77777777" w:rsidR="00000466" w:rsidRPr="00872D7E" w:rsidRDefault="00000466" w:rsidP="00336F42">
            <w:pPr>
              <w:rPr>
                <w:color w:val="000000"/>
                <w:szCs w:val="20"/>
              </w:rPr>
            </w:pPr>
            <w:r w:rsidRPr="00872D7E">
              <w:rPr>
                <w:color w:val="000000"/>
                <w:szCs w:val="20"/>
              </w:rPr>
              <w:t>Bankalara</w:t>
            </w:r>
          </w:p>
        </w:tc>
        <w:tc>
          <w:tcPr>
            <w:tcW w:w="731" w:type="pct"/>
            <w:tcBorders>
              <w:top w:val="nil"/>
              <w:left w:val="nil"/>
              <w:bottom w:val="nil"/>
              <w:right w:val="nil"/>
            </w:tcBorders>
            <w:shd w:val="clear" w:color="auto" w:fill="auto"/>
            <w:noWrap/>
            <w:vAlign w:val="center"/>
            <w:hideMark/>
          </w:tcPr>
          <w:p w14:paraId="3541412F" w14:textId="77777777" w:rsidR="00000466" w:rsidRPr="00872D7E" w:rsidRDefault="00000466" w:rsidP="00336F42">
            <w:pPr>
              <w:jc w:val="right"/>
              <w:rPr>
                <w:color w:val="000000"/>
                <w:szCs w:val="20"/>
              </w:rPr>
            </w:pPr>
            <w:r w:rsidRPr="00872D7E">
              <w:rPr>
                <w:color w:val="000000"/>
                <w:szCs w:val="20"/>
              </w:rPr>
              <w:t>-</w:t>
            </w:r>
          </w:p>
        </w:tc>
        <w:tc>
          <w:tcPr>
            <w:tcW w:w="745" w:type="pct"/>
            <w:tcBorders>
              <w:top w:val="nil"/>
              <w:left w:val="nil"/>
              <w:bottom w:val="nil"/>
              <w:right w:val="nil"/>
            </w:tcBorders>
            <w:shd w:val="clear" w:color="auto" w:fill="auto"/>
            <w:noWrap/>
            <w:vAlign w:val="center"/>
            <w:hideMark/>
          </w:tcPr>
          <w:p w14:paraId="236E6C30" w14:textId="77777777" w:rsidR="00000466" w:rsidRPr="00872D7E" w:rsidRDefault="00000466" w:rsidP="00336F42">
            <w:pPr>
              <w:jc w:val="right"/>
              <w:rPr>
                <w:color w:val="000000"/>
                <w:szCs w:val="20"/>
              </w:rPr>
            </w:pPr>
            <w:r w:rsidRPr="00872D7E">
              <w:rPr>
                <w:color w:val="000000"/>
                <w:szCs w:val="20"/>
              </w:rPr>
              <w:t>14.695</w:t>
            </w:r>
          </w:p>
        </w:tc>
      </w:tr>
      <w:tr w:rsidR="00000466" w:rsidRPr="00872D7E" w14:paraId="054647C6" w14:textId="77777777" w:rsidTr="00336F42">
        <w:trPr>
          <w:trHeight w:val="227"/>
        </w:trPr>
        <w:tc>
          <w:tcPr>
            <w:tcW w:w="3524" w:type="pct"/>
            <w:tcBorders>
              <w:top w:val="nil"/>
              <w:left w:val="nil"/>
              <w:bottom w:val="nil"/>
              <w:right w:val="nil"/>
            </w:tcBorders>
            <w:shd w:val="clear" w:color="auto" w:fill="auto"/>
            <w:vAlign w:val="bottom"/>
            <w:hideMark/>
          </w:tcPr>
          <w:p w14:paraId="51545B4F" w14:textId="77777777" w:rsidR="00000466" w:rsidRPr="00872D7E" w:rsidRDefault="00000466" w:rsidP="00336F42">
            <w:pPr>
              <w:ind w:firstLineChars="200" w:firstLine="400"/>
              <w:rPr>
                <w:color w:val="000000"/>
                <w:szCs w:val="20"/>
              </w:rPr>
            </w:pPr>
            <w:r w:rsidRPr="00872D7E">
              <w:rPr>
                <w:color w:val="000000"/>
                <w:szCs w:val="20"/>
              </w:rPr>
              <w:t>T.C. Merkez Bankasına</w:t>
            </w:r>
          </w:p>
        </w:tc>
        <w:tc>
          <w:tcPr>
            <w:tcW w:w="731" w:type="pct"/>
            <w:tcBorders>
              <w:top w:val="nil"/>
              <w:left w:val="nil"/>
              <w:bottom w:val="nil"/>
              <w:right w:val="nil"/>
            </w:tcBorders>
            <w:shd w:val="clear" w:color="auto" w:fill="auto"/>
            <w:noWrap/>
            <w:vAlign w:val="center"/>
            <w:hideMark/>
          </w:tcPr>
          <w:p w14:paraId="2C3FBA5F" w14:textId="77777777" w:rsidR="00000466" w:rsidRPr="00872D7E" w:rsidRDefault="00000466" w:rsidP="00336F42">
            <w:pPr>
              <w:jc w:val="right"/>
              <w:rPr>
                <w:color w:val="000000"/>
                <w:szCs w:val="20"/>
              </w:rPr>
            </w:pPr>
            <w:r w:rsidRPr="00872D7E">
              <w:rPr>
                <w:color w:val="000000"/>
                <w:szCs w:val="20"/>
              </w:rPr>
              <w:t>-</w:t>
            </w:r>
          </w:p>
        </w:tc>
        <w:tc>
          <w:tcPr>
            <w:tcW w:w="745" w:type="pct"/>
            <w:tcBorders>
              <w:top w:val="nil"/>
              <w:left w:val="nil"/>
              <w:bottom w:val="nil"/>
              <w:right w:val="nil"/>
            </w:tcBorders>
            <w:shd w:val="clear" w:color="auto" w:fill="auto"/>
            <w:noWrap/>
            <w:vAlign w:val="center"/>
            <w:hideMark/>
          </w:tcPr>
          <w:p w14:paraId="23DD8BBB" w14:textId="77777777" w:rsidR="00000466" w:rsidRPr="00872D7E" w:rsidRDefault="00000466" w:rsidP="00336F42">
            <w:pPr>
              <w:jc w:val="right"/>
              <w:rPr>
                <w:color w:val="000000"/>
                <w:szCs w:val="20"/>
              </w:rPr>
            </w:pPr>
            <w:r w:rsidRPr="00872D7E">
              <w:rPr>
                <w:color w:val="000000"/>
                <w:szCs w:val="20"/>
              </w:rPr>
              <w:t>-</w:t>
            </w:r>
          </w:p>
        </w:tc>
      </w:tr>
      <w:tr w:rsidR="00000466" w:rsidRPr="00872D7E" w14:paraId="17CCD1CF" w14:textId="77777777" w:rsidTr="00336F42">
        <w:trPr>
          <w:trHeight w:val="227"/>
        </w:trPr>
        <w:tc>
          <w:tcPr>
            <w:tcW w:w="3524" w:type="pct"/>
            <w:tcBorders>
              <w:top w:val="nil"/>
              <w:left w:val="nil"/>
              <w:bottom w:val="nil"/>
              <w:right w:val="nil"/>
            </w:tcBorders>
            <w:shd w:val="clear" w:color="auto" w:fill="auto"/>
            <w:vAlign w:val="bottom"/>
            <w:hideMark/>
          </w:tcPr>
          <w:p w14:paraId="743C2B4D" w14:textId="77777777" w:rsidR="00000466" w:rsidRPr="00872D7E" w:rsidRDefault="00000466" w:rsidP="00336F42">
            <w:pPr>
              <w:ind w:firstLineChars="200" w:firstLine="400"/>
              <w:rPr>
                <w:color w:val="000000"/>
                <w:szCs w:val="20"/>
              </w:rPr>
            </w:pPr>
            <w:r w:rsidRPr="00872D7E">
              <w:rPr>
                <w:color w:val="000000"/>
                <w:szCs w:val="20"/>
              </w:rPr>
              <w:t>Yurtiçi Bankalara</w:t>
            </w:r>
          </w:p>
        </w:tc>
        <w:tc>
          <w:tcPr>
            <w:tcW w:w="731" w:type="pct"/>
            <w:tcBorders>
              <w:top w:val="nil"/>
              <w:left w:val="nil"/>
              <w:bottom w:val="nil"/>
              <w:right w:val="nil"/>
            </w:tcBorders>
            <w:shd w:val="clear" w:color="auto" w:fill="auto"/>
            <w:noWrap/>
            <w:vAlign w:val="center"/>
            <w:hideMark/>
          </w:tcPr>
          <w:p w14:paraId="435627E7" w14:textId="77777777" w:rsidR="00000466" w:rsidRPr="00872D7E" w:rsidRDefault="00000466" w:rsidP="00336F42">
            <w:pPr>
              <w:jc w:val="right"/>
              <w:rPr>
                <w:color w:val="000000"/>
                <w:szCs w:val="20"/>
              </w:rPr>
            </w:pPr>
            <w:r w:rsidRPr="00872D7E">
              <w:rPr>
                <w:color w:val="000000"/>
                <w:szCs w:val="20"/>
              </w:rPr>
              <w:t>-</w:t>
            </w:r>
          </w:p>
        </w:tc>
        <w:tc>
          <w:tcPr>
            <w:tcW w:w="745" w:type="pct"/>
            <w:tcBorders>
              <w:top w:val="nil"/>
              <w:left w:val="nil"/>
              <w:bottom w:val="nil"/>
              <w:right w:val="nil"/>
            </w:tcBorders>
            <w:shd w:val="clear" w:color="auto" w:fill="auto"/>
            <w:noWrap/>
            <w:vAlign w:val="center"/>
            <w:hideMark/>
          </w:tcPr>
          <w:p w14:paraId="5B45975E" w14:textId="77777777" w:rsidR="00000466" w:rsidRPr="00872D7E" w:rsidRDefault="00000466" w:rsidP="00336F42">
            <w:pPr>
              <w:jc w:val="right"/>
              <w:rPr>
                <w:color w:val="000000"/>
                <w:szCs w:val="20"/>
              </w:rPr>
            </w:pPr>
            <w:r w:rsidRPr="00872D7E">
              <w:rPr>
                <w:color w:val="000000"/>
                <w:szCs w:val="20"/>
              </w:rPr>
              <w:t>14.695</w:t>
            </w:r>
          </w:p>
        </w:tc>
      </w:tr>
      <w:tr w:rsidR="00000466" w:rsidRPr="00872D7E" w14:paraId="657E60D3" w14:textId="77777777" w:rsidTr="00336F42">
        <w:trPr>
          <w:trHeight w:val="227"/>
        </w:trPr>
        <w:tc>
          <w:tcPr>
            <w:tcW w:w="3524" w:type="pct"/>
            <w:tcBorders>
              <w:top w:val="nil"/>
              <w:left w:val="nil"/>
              <w:bottom w:val="nil"/>
              <w:right w:val="nil"/>
            </w:tcBorders>
            <w:shd w:val="clear" w:color="auto" w:fill="auto"/>
            <w:vAlign w:val="bottom"/>
            <w:hideMark/>
          </w:tcPr>
          <w:p w14:paraId="2799B1D1" w14:textId="77777777" w:rsidR="00000466" w:rsidRPr="00872D7E" w:rsidRDefault="00000466" w:rsidP="00336F42">
            <w:pPr>
              <w:ind w:firstLineChars="200" w:firstLine="400"/>
              <w:rPr>
                <w:color w:val="000000"/>
                <w:szCs w:val="20"/>
              </w:rPr>
            </w:pPr>
            <w:r w:rsidRPr="00872D7E">
              <w:rPr>
                <w:color w:val="000000"/>
                <w:szCs w:val="20"/>
              </w:rPr>
              <w:t>Yurtdışı Bankalara</w:t>
            </w:r>
          </w:p>
        </w:tc>
        <w:tc>
          <w:tcPr>
            <w:tcW w:w="731" w:type="pct"/>
            <w:tcBorders>
              <w:top w:val="nil"/>
              <w:left w:val="nil"/>
              <w:bottom w:val="nil"/>
              <w:right w:val="nil"/>
            </w:tcBorders>
            <w:shd w:val="clear" w:color="auto" w:fill="auto"/>
            <w:noWrap/>
            <w:vAlign w:val="center"/>
            <w:hideMark/>
          </w:tcPr>
          <w:p w14:paraId="4E475A91" w14:textId="77777777" w:rsidR="00000466" w:rsidRPr="00872D7E" w:rsidRDefault="00000466" w:rsidP="00336F42">
            <w:pPr>
              <w:jc w:val="right"/>
              <w:rPr>
                <w:color w:val="000000"/>
                <w:szCs w:val="20"/>
              </w:rPr>
            </w:pPr>
            <w:r w:rsidRPr="00872D7E">
              <w:rPr>
                <w:color w:val="000000"/>
                <w:szCs w:val="20"/>
              </w:rPr>
              <w:t>-</w:t>
            </w:r>
          </w:p>
        </w:tc>
        <w:tc>
          <w:tcPr>
            <w:tcW w:w="745" w:type="pct"/>
            <w:tcBorders>
              <w:top w:val="nil"/>
              <w:left w:val="nil"/>
              <w:bottom w:val="nil"/>
              <w:right w:val="nil"/>
            </w:tcBorders>
            <w:shd w:val="clear" w:color="auto" w:fill="auto"/>
            <w:noWrap/>
            <w:vAlign w:val="center"/>
            <w:hideMark/>
          </w:tcPr>
          <w:p w14:paraId="226A5CFF" w14:textId="77777777" w:rsidR="00000466" w:rsidRPr="00872D7E" w:rsidRDefault="00000466" w:rsidP="00336F42">
            <w:pPr>
              <w:jc w:val="right"/>
              <w:rPr>
                <w:color w:val="000000"/>
                <w:szCs w:val="20"/>
              </w:rPr>
            </w:pPr>
            <w:r w:rsidRPr="00872D7E">
              <w:rPr>
                <w:color w:val="000000"/>
                <w:szCs w:val="20"/>
              </w:rPr>
              <w:t>-</w:t>
            </w:r>
          </w:p>
        </w:tc>
      </w:tr>
      <w:tr w:rsidR="00000466" w:rsidRPr="00872D7E" w14:paraId="0F169525" w14:textId="77777777" w:rsidTr="00336F42">
        <w:trPr>
          <w:trHeight w:val="227"/>
        </w:trPr>
        <w:tc>
          <w:tcPr>
            <w:tcW w:w="3524" w:type="pct"/>
            <w:tcBorders>
              <w:top w:val="nil"/>
              <w:left w:val="nil"/>
              <w:bottom w:val="nil"/>
              <w:right w:val="nil"/>
            </w:tcBorders>
            <w:shd w:val="clear" w:color="auto" w:fill="auto"/>
            <w:vAlign w:val="bottom"/>
            <w:hideMark/>
          </w:tcPr>
          <w:p w14:paraId="3C5575B7" w14:textId="77777777" w:rsidR="00000466" w:rsidRPr="00872D7E" w:rsidRDefault="00000466" w:rsidP="00336F42">
            <w:pPr>
              <w:ind w:firstLineChars="200" w:firstLine="400"/>
              <w:rPr>
                <w:color w:val="000000"/>
                <w:szCs w:val="20"/>
              </w:rPr>
            </w:pPr>
            <w:r w:rsidRPr="00872D7E">
              <w:rPr>
                <w:color w:val="000000"/>
                <w:szCs w:val="20"/>
              </w:rPr>
              <w:t>Yurtdışı Merkez ve Şubelere</w:t>
            </w:r>
          </w:p>
        </w:tc>
        <w:tc>
          <w:tcPr>
            <w:tcW w:w="731" w:type="pct"/>
            <w:tcBorders>
              <w:top w:val="nil"/>
              <w:left w:val="nil"/>
              <w:bottom w:val="nil"/>
              <w:right w:val="nil"/>
            </w:tcBorders>
            <w:shd w:val="clear" w:color="auto" w:fill="auto"/>
            <w:noWrap/>
            <w:vAlign w:val="center"/>
            <w:hideMark/>
          </w:tcPr>
          <w:p w14:paraId="3591B902" w14:textId="77777777" w:rsidR="00000466" w:rsidRPr="00872D7E" w:rsidRDefault="00000466" w:rsidP="00336F42">
            <w:pPr>
              <w:jc w:val="right"/>
              <w:rPr>
                <w:color w:val="000000"/>
                <w:szCs w:val="20"/>
              </w:rPr>
            </w:pPr>
            <w:r w:rsidRPr="00872D7E">
              <w:rPr>
                <w:color w:val="000000"/>
                <w:szCs w:val="20"/>
              </w:rPr>
              <w:t>-</w:t>
            </w:r>
          </w:p>
        </w:tc>
        <w:tc>
          <w:tcPr>
            <w:tcW w:w="745" w:type="pct"/>
            <w:tcBorders>
              <w:top w:val="nil"/>
              <w:left w:val="nil"/>
              <w:bottom w:val="nil"/>
              <w:right w:val="nil"/>
            </w:tcBorders>
            <w:shd w:val="clear" w:color="auto" w:fill="auto"/>
            <w:noWrap/>
            <w:vAlign w:val="center"/>
            <w:hideMark/>
          </w:tcPr>
          <w:p w14:paraId="32735F2A" w14:textId="77777777" w:rsidR="00000466" w:rsidRPr="00872D7E" w:rsidRDefault="00000466" w:rsidP="00336F42">
            <w:pPr>
              <w:jc w:val="right"/>
              <w:rPr>
                <w:color w:val="000000"/>
                <w:szCs w:val="20"/>
              </w:rPr>
            </w:pPr>
            <w:r w:rsidRPr="00872D7E">
              <w:rPr>
                <w:color w:val="000000"/>
                <w:szCs w:val="20"/>
              </w:rPr>
              <w:t>-</w:t>
            </w:r>
          </w:p>
        </w:tc>
      </w:tr>
      <w:tr w:rsidR="00000466" w:rsidRPr="00872D7E" w14:paraId="6A20C1C0" w14:textId="77777777" w:rsidTr="00336F42">
        <w:trPr>
          <w:trHeight w:val="227"/>
        </w:trPr>
        <w:tc>
          <w:tcPr>
            <w:tcW w:w="3524" w:type="pct"/>
            <w:tcBorders>
              <w:top w:val="nil"/>
              <w:left w:val="nil"/>
              <w:bottom w:val="single" w:sz="4" w:space="0" w:color="auto"/>
              <w:right w:val="nil"/>
            </w:tcBorders>
            <w:shd w:val="clear" w:color="auto" w:fill="auto"/>
            <w:hideMark/>
          </w:tcPr>
          <w:p w14:paraId="70645978" w14:textId="77777777" w:rsidR="00000466" w:rsidRPr="00872D7E" w:rsidRDefault="00000466" w:rsidP="00336F42">
            <w:pPr>
              <w:jc w:val="both"/>
              <w:rPr>
                <w:color w:val="000000"/>
                <w:szCs w:val="20"/>
              </w:rPr>
            </w:pPr>
            <w:r w:rsidRPr="00872D7E">
              <w:rPr>
                <w:color w:val="000000"/>
                <w:szCs w:val="20"/>
              </w:rPr>
              <w:t xml:space="preserve">Diğer kuruluşlara </w:t>
            </w:r>
          </w:p>
        </w:tc>
        <w:tc>
          <w:tcPr>
            <w:tcW w:w="731" w:type="pct"/>
            <w:tcBorders>
              <w:top w:val="nil"/>
              <w:left w:val="nil"/>
              <w:bottom w:val="single" w:sz="4" w:space="0" w:color="auto"/>
              <w:right w:val="nil"/>
            </w:tcBorders>
            <w:shd w:val="clear" w:color="auto" w:fill="auto"/>
            <w:noWrap/>
            <w:vAlign w:val="center"/>
            <w:hideMark/>
          </w:tcPr>
          <w:p w14:paraId="54C9572A" w14:textId="77777777" w:rsidR="00000466" w:rsidRPr="00872D7E" w:rsidRDefault="00000466" w:rsidP="00336F42">
            <w:pPr>
              <w:jc w:val="right"/>
              <w:rPr>
                <w:color w:val="000000"/>
                <w:szCs w:val="20"/>
              </w:rPr>
            </w:pPr>
            <w:r w:rsidRPr="00872D7E">
              <w:rPr>
                <w:color w:val="000000"/>
                <w:szCs w:val="20"/>
              </w:rPr>
              <w:t>44.255</w:t>
            </w:r>
          </w:p>
        </w:tc>
        <w:tc>
          <w:tcPr>
            <w:tcW w:w="745" w:type="pct"/>
            <w:tcBorders>
              <w:top w:val="nil"/>
              <w:left w:val="nil"/>
              <w:bottom w:val="single" w:sz="4" w:space="0" w:color="auto"/>
              <w:right w:val="nil"/>
            </w:tcBorders>
            <w:shd w:val="clear" w:color="auto" w:fill="auto"/>
            <w:noWrap/>
            <w:vAlign w:val="center"/>
            <w:hideMark/>
          </w:tcPr>
          <w:p w14:paraId="4B21C8CA" w14:textId="77777777" w:rsidR="00000466" w:rsidRPr="00872D7E" w:rsidRDefault="00000466" w:rsidP="00336F42">
            <w:pPr>
              <w:jc w:val="right"/>
              <w:rPr>
                <w:color w:val="000000"/>
                <w:szCs w:val="20"/>
              </w:rPr>
            </w:pPr>
            <w:r w:rsidRPr="00872D7E">
              <w:rPr>
                <w:color w:val="000000"/>
                <w:szCs w:val="20"/>
              </w:rPr>
              <w:t>-</w:t>
            </w:r>
          </w:p>
        </w:tc>
      </w:tr>
      <w:tr w:rsidR="00000466" w:rsidRPr="00872D7E" w14:paraId="6D01794B" w14:textId="77777777" w:rsidTr="00336F42">
        <w:trPr>
          <w:trHeight w:val="227"/>
        </w:trPr>
        <w:tc>
          <w:tcPr>
            <w:tcW w:w="3524" w:type="pct"/>
            <w:tcBorders>
              <w:top w:val="nil"/>
              <w:left w:val="nil"/>
              <w:right w:val="nil"/>
            </w:tcBorders>
            <w:shd w:val="clear" w:color="auto" w:fill="auto"/>
            <w:hideMark/>
          </w:tcPr>
          <w:p w14:paraId="05B5D0D3" w14:textId="77777777" w:rsidR="00000466" w:rsidRPr="00872D7E" w:rsidRDefault="00000466" w:rsidP="00336F42">
            <w:pPr>
              <w:jc w:val="right"/>
              <w:rPr>
                <w:color w:val="000000"/>
                <w:szCs w:val="20"/>
              </w:rPr>
            </w:pPr>
          </w:p>
        </w:tc>
        <w:tc>
          <w:tcPr>
            <w:tcW w:w="731" w:type="pct"/>
            <w:tcBorders>
              <w:top w:val="nil"/>
              <w:left w:val="nil"/>
              <w:right w:val="nil"/>
            </w:tcBorders>
            <w:shd w:val="clear" w:color="auto" w:fill="auto"/>
            <w:vAlign w:val="center"/>
            <w:hideMark/>
          </w:tcPr>
          <w:p w14:paraId="2B18DB9C" w14:textId="77777777" w:rsidR="00000466" w:rsidRPr="00872D7E" w:rsidRDefault="00000466" w:rsidP="00336F42">
            <w:pPr>
              <w:jc w:val="both"/>
              <w:rPr>
                <w:szCs w:val="20"/>
              </w:rPr>
            </w:pPr>
          </w:p>
        </w:tc>
        <w:tc>
          <w:tcPr>
            <w:tcW w:w="745" w:type="pct"/>
            <w:tcBorders>
              <w:top w:val="nil"/>
              <w:left w:val="nil"/>
              <w:right w:val="nil"/>
            </w:tcBorders>
            <w:shd w:val="clear" w:color="auto" w:fill="auto"/>
            <w:vAlign w:val="center"/>
            <w:hideMark/>
          </w:tcPr>
          <w:p w14:paraId="73ADC8E9" w14:textId="77777777" w:rsidR="00000466" w:rsidRPr="00872D7E" w:rsidRDefault="00000466" w:rsidP="00336F42">
            <w:pPr>
              <w:jc w:val="right"/>
              <w:rPr>
                <w:szCs w:val="20"/>
              </w:rPr>
            </w:pPr>
          </w:p>
        </w:tc>
      </w:tr>
      <w:tr w:rsidR="00000466" w:rsidRPr="00872D7E" w14:paraId="00F58A47" w14:textId="77777777" w:rsidTr="00336F42">
        <w:trPr>
          <w:trHeight w:val="227"/>
        </w:trPr>
        <w:tc>
          <w:tcPr>
            <w:tcW w:w="3524" w:type="pct"/>
            <w:tcBorders>
              <w:top w:val="nil"/>
              <w:left w:val="nil"/>
              <w:bottom w:val="single" w:sz="12" w:space="0" w:color="auto"/>
              <w:right w:val="nil"/>
            </w:tcBorders>
            <w:shd w:val="clear" w:color="auto" w:fill="auto"/>
            <w:vAlign w:val="center"/>
            <w:hideMark/>
          </w:tcPr>
          <w:p w14:paraId="6C972CC0" w14:textId="77777777" w:rsidR="00000466" w:rsidRPr="00872D7E" w:rsidRDefault="00000466" w:rsidP="00336F42">
            <w:pPr>
              <w:jc w:val="both"/>
              <w:rPr>
                <w:b/>
                <w:bCs/>
                <w:color w:val="000000"/>
                <w:szCs w:val="20"/>
              </w:rPr>
            </w:pPr>
            <w:r w:rsidRPr="00872D7E">
              <w:rPr>
                <w:b/>
                <w:bCs/>
                <w:color w:val="000000"/>
                <w:szCs w:val="20"/>
              </w:rPr>
              <w:t>Toplam</w:t>
            </w:r>
          </w:p>
        </w:tc>
        <w:tc>
          <w:tcPr>
            <w:tcW w:w="731" w:type="pct"/>
            <w:tcBorders>
              <w:top w:val="nil"/>
              <w:left w:val="nil"/>
              <w:bottom w:val="single" w:sz="12" w:space="0" w:color="auto"/>
              <w:right w:val="nil"/>
            </w:tcBorders>
            <w:shd w:val="clear" w:color="auto" w:fill="auto"/>
            <w:noWrap/>
            <w:vAlign w:val="center"/>
            <w:hideMark/>
          </w:tcPr>
          <w:p w14:paraId="7E9CC159" w14:textId="77777777" w:rsidR="00000466" w:rsidRPr="00872D7E" w:rsidRDefault="00000466" w:rsidP="00336F42">
            <w:pPr>
              <w:jc w:val="right"/>
              <w:rPr>
                <w:b/>
                <w:bCs/>
                <w:color w:val="000000"/>
                <w:szCs w:val="20"/>
              </w:rPr>
            </w:pPr>
            <w:r w:rsidRPr="00872D7E">
              <w:rPr>
                <w:b/>
                <w:bCs/>
                <w:color w:val="000000"/>
                <w:szCs w:val="20"/>
              </w:rPr>
              <w:t>44.255</w:t>
            </w:r>
          </w:p>
        </w:tc>
        <w:tc>
          <w:tcPr>
            <w:tcW w:w="745" w:type="pct"/>
            <w:tcBorders>
              <w:top w:val="nil"/>
              <w:left w:val="nil"/>
              <w:bottom w:val="single" w:sz="12" w:space="0" w:color="auto"/>
              <w:right w:val="nil"/>
            </w:tcBorders>
            <w:shd w:val="clear" w:color="auto" w:fill="auto"/>
            <w:noWrap/>
            <w:vAlign w:val="center"/>
            <w:hideMark/>
          </w:tcPr>
          <w:p w14:paraId="5EB2806C" w14:textId="77777777" w:rsidR="00000466" w:rsidRPr="00872D7E" w:rsidRDefault="00000466" w:rsidP="00336F42">
            <w:pPr>
              <w:jc w:val="right"/>
              <w:rPr>
                <w:b/>
                <w:bCs/>
                <w:color w:val="000000"/>
                <w:szCs w:val="20"/>
              </w:rPr>
            </w:pPr>
            <w:r w:rsidRPr="00872D7E">
              <w:rPr>
                <w:b/>
                <w:bCs/>
                <w:color w:val="000000"/>
                <w:szCs w:val="20"/>
              </w:rPr>
              <w:t>14.695</w:t>
            </w:r>
          </w:p>
        </w:tc>
      </w:tr>
    </w:tbl>
    <w:p w14:paraId="66C66D81" w14:textId="43F94DAC" w:rsidR="00000466" w:rsidRPr="00872D7E" w:rsidRDefault="00000466" w:rsidP="00000466">
      <w:pPr>
        <w:widowControl w:val="0"/>
        <w:ind w:left="56" w:hanging="560"/>
        <w:jc w:val="both"/>
        <w:rPr>
          <w:b/>
          <w:sz w:val="16"/>
          <w:szCs w:val="16"/>
        </w:rPr>
      </w:pPr>
    </w:p>
    <w:p w14:paraId="7A7908F9" w14:textId="77777777" w:rsidR="00F36B28" w:rsidRPr="00872D7E" w:rsidRDefault="00F36B28">
      <w:pPr>
        <w:rPr>
          <w:b/>
          <w:szCs w:val="20"/>
        </w:rPr>
      </w:pPr>
      <w:r w:rsidRPr="00872D7E">
        <w:rPr>
          <w:b/>
          <w:szCs w:val="20"/>
        </w:rPr>
        <w:br w:type="page"/>
      </w:r>
    </w:p>
    <w:p w14:paraId="2FD2F24C" w14:textId="77777777" w:rsidR="00F36B28" w:rsidRPr="00872D7E" w:rsidRDefault="00F36B28" w:rsidP="00F36B28">
      <w:pPr>
        <w:widowControl w:val="0"/>
        <w:ind w:left="720" w:hanging="720"/>
        <w:jc w:val="both"/>
        <w:rPr>
          <w:b/>
          <w:szCs w:val="20"/>
        </w:rPr>
      </w:pPr>
      <w:r w:rsidRPr="00872D7E">
        <w:rPr>
          <w:b/>
          <w:szCs w:val="20"/>
        </w:rPr>
        <w:lastRenderedPageBreak/>
        <w:t>KONSOLİDE OLMAYAN FİNANSAL TABLOLARA İLİŞKİN AÇIKLAMA VE DİPNOTLAR (Devamı)</w:t>
      </w:r>
    </w:p>
    <w:p w14:paraId="4AA60C79" w14:textId="77777777" w:rsidR="00F36B28" w:rsidRPr="00872D7E" w:rsidRDefault="00F36B28" w:rsidP="00F36B28">
      <w:pPr>
        <w:widowControl w:val="0"/>
        <w:autoSpaceDE w:val="0"/>
        <w:autoSpaceDN w:val="0"/>
        <w:adjustRightInd w:val="0"/>
        <w:ind w:left="14" w:right="210"/>
        <w:jc w:val="both"/>
        <w:rPr>
          <w:szCs w:val="20"/>
        </w:rPr>
      </w:pPr>
    </w:p>
    <w:p w14:paraId="5F396701" w14:textId="07EA9F6C" w:rsidR="00F36B28" w:rsidRPr="00872D7E" w:rsidRDefault="00F36B28" w:rsidP="00DF282B">
      <w:pPr>
        <w:pStyle w:val="BodyTextIndent"/>
        <w:widowControl w:val="0"/>
        <w:numPr>
          <w:ilvl w:val="0"/>
          <w:numId w:val="52"/>
        </w:numPr>
        <w:ind w:left="851" w:right="206" w:hanging="851"/>
        <w:rPr>
          <w:b/>
          <w:iCs/>
          <w:szCs w:val="20"/>
        </w:rPr>
      </w:pPr>
      <w:r w:rsidRPr="00872D7E">
        <w:rPr>
          <w:b/>
          <w:iCs/>
          <w:szCs w:val="20"/>
        </w:rPr>
        <w:t>KAR VEYA ZARAR TABLOSUNA İLİŞKİN AÇIKLAMA VE DİPNOTLAR (Devamı)</w:t>
      </w:r>
    </w:p>
    <w:p w14:paraId="58682EA9" w14:textId="77777777" w:rsidR="00F36B28" w:rsidRPr="00872D7E" w:rsidRDefault="00F36B28" w:rsidP="00F36B28">
      <w:pPr>
        <w:pStyle w:val="ListParagraph"/>
        <w:widowControl w:val="0"/>
        <w:ind w:left="1276"/>
        <w:jc w:val="both"/>
        <w:rPr>
          <w:b/>
          <w:szCs w:val="20"/>
        </w:rPr>
      </w:pPr>
    </w:p>
    <w:p w14:paraId="6D541282" w14:textId="7462A102" w:rsidR="00136C29" w:rsidRPr="00872D7E" w:rsidRDefault="00136C29" w:rsidP="00000466">
      <w:pPr>
        <w:pStyle w:val="ListParagraph"/>
        <w:widowControl w:val="0"/>
        <w:numPr>
          <w:ilvl w:val="0"/>
          <w:numId w:val="36"/>
        </w:numPr>
        <w:ind w:left="1276" w:hanging="425"/>
        <w:rPr>
          <w:b/>
          <w:color w:val="000000" w:themeColor="text1"/>
          <w:szCs w:val="20"/>
        </w:rPr>
      </w:pPr>
      <w:bookmarkStart w:id="96" w:name="_Hlk99381590"/>
      <w:r w:rsidRPr="00872D7E">
        <w:rPr>
          <w:b/>
          <w:color w:val="000000" w:themeColor="text1"/>
          <w:szCs w:val="20"/>
        </w:rPr>
        <w:t xml:space="preserve">İştirakler ve bağlı ortaklıklara verilen </w:t>
      </w:r>
      <w:proofErr w:type="gramStart"/>
      <w:r w:rsidRPr="00872D7E">
        <w:rPr>
          <w:b/>
          <w:color w:val="000000" w:themeColor="text1"/>
          <w:szCs w:val="20"/>
        </w:rPr>
        <w:t>kar</w:t>
      </w:r>
      <w:proofErr w:type="gramEnd"/>
      <w:r w:rsidRPr="00872D7E">
        <w:rPr>
          <w:b/>
          <w:color w:val="000000" w:themeColor="text1"/>
          <w:szCs w:val="20"/>
        </w:rPr>
        <w:t xml:space="preserve"> payı giderlerine ilişkin bilgiler: </w:t>
      </w:r>
    </w:p>
    <w:p w14:paraId="2E316F6D" w14:textId="77777777" w:rsidR="00CD770B" w:rsidRPr="00872D7E" w:rsidRDefault="00CD770B" w:rsidP="00CD770B">
      <w:pPr>
        <w:widowControl w:val="0"/>
        <w:ind w:left="-567"/>
        <w:jc w:val="both"/>
        <w:rPr>
          <w:b/>
          <w:szCs w:val="20"/>
        </w:rPr>
      </w:pPr>
    </w:p>
    <w:bookmarkEnd w:id="96"/>
    <w:tbl>
      <w:tblPr>
        <w:tblW w:w="5000" w:type="pct"/>
        <w:tblLook w:val="01E0" w:firstRow="1" w:lastRow="1" w:firstColumn="1" w:lastColumn="1" w:noHBand="0" w:noVBand="0"/>
      </w:tblPr>
      <w:tblGrid>
        <w:gridCol w:w="6440"/>
        <w:gridCol w:w="1529"/>
        <w:gridCol w:w="1386"/>
      </w:tblGrid>
      <w:tr w:rsidR="0089146A" w:rsidRPr="00872D7E" w14:paraId="16E88872" w14:textId="77777777" w:rsidTr="0089146A">
        <w:tc>
          <w:tcPr>
            <w:tcW w:w="3442" w:type="pct"/>
            <w:tcBorders>
              <w:top w:val="single" w:sz="4" w:space="0" w:color="auto"/>
              <w:bottom w:val="single" w:sz="4" w:space="0" w:color="auto"/>
            </w:tcBorders>
          </w:tcPr>
          <w:p w14:paraId="34C46239" w14:textId="77777777" w:rsidR="0089146A" w:rsidRPr="00872D7E" w:rsidRDefault="0089146A" w:rsidP="00824B8D">
            <w:pPr>
              <w:tabs>
                <w:tab w:val="left" w:pos="180"/>
              </w:tabs>
              <w:jc w:val="both"/>
              <w:rPr>
                <w:szCs w:val="20"/>
              </w:rPr>
            </w:pPr>
          </w:p>
        </w:tc>
        <w:tc>
          <w:tcPr>
            <w:tcW w:w="1558" w:type="pct"/>
            <w:gridSpan w:val="2"/>
            <w:tcBorders>
              <w:top w:val="single" w:sz="4" w:space="0" w:color="auto"/>
              <w:bottom w:val="single" w:sz="4" w:space="0" w:color="auto"/>
            </w:tcBorders>
            <w:vAlign w:val="bottom"/>
          </w:tcPr>
          <w:p w14:paraId="6CF8FC25" w14:textId="68ACBCD5" w:rsidR="0089146A" w:rsidRPr="00872D7E" w:rsidRDefault="0054320B" w:rsidP="00824B8D">
            <w:pPr>
              <w:tabs>
                <w:tab w:val="left" w:pos="180"/>
              </w:tabs>
              <w:ind w:left="387"/>
              <w:jc w:val="center"/>
              <w:rPr>
                <w:b/>
                <w:szCs w:val="20"/>
              </w:rPr>
            </w:pPr>
            <w:r w:rsidRPr="00872D7E">
              <w:rPr>
                <w:b/>
                <w:szCs w:val="20"/>
              </w:rPr>
              <w:t xml:space="preserve">1 </w:t>
            </w:r>
            <w:proofErr w:type="gramStart"/>
            <w:r w:rsidRPr="00872D7E">
              <w:rPr>
                <w:b/>
                <w:szCs w:val="20"/>
              </w:rPr>
              <w:t>Ocak -</w:t>
            </w:r>
            <w:proofErr w:type="gramEnd"/>
            <w:r w:rsidRPr="00872D7E">
              <w:rPr>
                <w:b/>
                <w:szCs w:val="20"/>
              </w:rPr>
              <w:t xml:space="preserve"> 31 Aralık 2024</w:t>
            </w:r>
          </w:p>
        </w:tc>
      </w:tr>
      <w:tr w:rsidR="0089146A" w:rsidRPr="00872D7E" w14:paraId="6DEE1173" w14:textId="77777777" w:rsidTr="0089146A">
        <w:tc>
          <w:tcPr>
            <w:tcW w:w="3442" w:type="pct"/>
            <w:tcBorders>
              <w:top w:val="single" w:sz="4" w:space="0" w:color="auto"/>
              <w:bottom w:val="single" w:sz="4" w:space="0" w:color="auto"/>
            </w:tcBorders>
          </w:tcPr>
          <w:p w14:paraId="71C74D96" w14:textId="77777777" w:rsidR="0089146A" w:rsidRPr="00872D7E" w:rsidRDefault="0089146A" w:rsidP="00824B8D">
            <w:pPr>
              <w:tabs>
                <w:tab w:val="left" w:pos="180"/>
              </w:tabs>
              <w:jc w:val="both"/>
              <w:rPr>
                <w:b/>
                <w:szCs w:val="20"/>
              </w:rPr>
            </w:pPr>
          </w:p>
        </w:tc>
        <w:tc>
          <w:tcPr>
            <w:tcW w:w="817" w:type="pct"/>
            <w:tcBorders>
              <w:top w:val="single" w:sz="4" w:space="0" w:color="auto"/>
              <w:bottom w:val="single" w:sz="4" w:space="0" w:color="auto"/>
            </w:tcBorders>
          </w:tcPr>
          <w:p w14:paraId="05F85AF9" w14:textId="77777777" w:rsidR="0089146A" w:rsidRPr="00872D7E" w:rsidRDefault="0089146A" w:rsidP="00824B8D">
            <w:pPr>
              <w:jc w:val="right"/>
              <w:rPr>
                <w:b/>
                <w:color w:val="000000"/>
                <w:szCs w:val="20"/>
              </w:rPr>
            </w:pPr>
            <w:r w:rsidRPr="00872D7E">
              <w:rPr>
                <w:b/>
                <w:color w:val="000000"/>
                <w:szCs w:val="20"/>
              </w:rPr>
              <w:t>TP</w:t>
            </w:r>
          </w:p>
        </w:tc>
        <w:tc>
          <w:tcPr>
            <w:tcW w:w="741" w:type="pct"/>
            <w:tcBorders>
              <w:top w:val="single" w:sz="4" w:space="0" w:color="auto"/>
              <w:bottom w:val="single" w:sz="4" w:space="0" w:color="auto"/>
            </w:tcBorders>
          </w:tcPr>
          <w:p w14:paraId="23C6B017" w14:textId="77777777" w:rsidR="0089146A" w:rsidRPr="00872D7E" w:rsidRDefault="0089146A" w:rsidP="00824B8D">
            <w:pPr>
              <w:jc w:val="right"/>
              <w:rPr>
                <w:b/>
                <w:color w:val="000000"/>
                <w:szCs w:val="20"/>
              </w:rPr>
            </w:pPr>
            <w:r w:rsidRPr="00872D7E">
              <w:rPr>
                <w:b/>
                <w:color w:val="000000"/>
                <w:szCs w:val="20"/>
              </w:rPr>
              <w:t>YP</w:t>
            </w:r>
          </w:p>
        </w:tc>
      </w:tr>
      <w:tr w:rsidR="0089146A" w:rsidRPr="00872D7E" w14:paraId="4828026C" w14:textId="77777777" w:rsidTr="00683052">
        <w:tc>
          <w:tcPr>
            <w:tcW w:w="3442" w:type="pct"/>
            <w:tcBorders>
              <w:top w:val="single" w:sz="4" w:space="0" w:color="auto"/>
            </w:tcBorders>
          </w:tcPr>
          <w:p w14:paraId="6120612F" w14:textId="77777777" w:rsidR="0089146A" w:rsidRPr="00872D7E" w:rsidRDefault="0089146A" w:rsidP="00824B8D">
            <w:pPr>
              <w:tabs>
                <w:tab w:val="left" w:pos="180"/>
              </w:tabs>
              <w:jc w:val="both"/>
              <w:rPr>
                <w:szCs w:val="20"/>
              </w:rPr>
            </w:pPr>
          </w:p>
        </w:tc>
        <w:tc>
          <w:tcPr>
            <w:tcW w:w="817" w:type="pct"/>
            <w:tcBorders>
              <w:top w:val="single" w:sz="4" w:space="0" w:color="auto"/>
            </w:tcBorders>
          </w:tcPr>
          <w:p w14:paraId="323D4462" w14:textId="77777777" w:rsidR="0089146A" w:rsidRPr="00872D7E" w:rsidRDefault="0089146A" w:rsidP="00824B8D">
            <w:pPr>
              <w:jc w:val="right"/>
              <w:rPr>
                <w:color w:val="000000"/>
                <w:szCs w:val="20"/>
              </w:rPr>
            </w:pPr>
          </w:p>
        </w:tc>
        <w:tc>
          <w:tcPr>
            <w:tcW w:w="741" w:type="pct"/>
            <w:tcBorders>
              <w:top w:val="single" w:sz="4" w:space="0" w:color="auto"/>
            </w:tcBorders>
          </w:tcPr>
          <w:p w14:paraId="73752430" w14:textId="77777777" w:rsidR="0089146A" w:rsidRPr="00872D7E" w:rsidRDefault="0089146A" w:rsidP="00824B8D">
            <w:pPr>
              <w:jc w:val="right"/>
              <w:rPr>
                <w:color w:val="000000"/>
                <w:szCs w:val="20"/>
              </w:rPr>
            </w:pPr>
          </w:p>
        </w:tc>
      </w:tr>
      <w:tr w:rsidR="0089146A" w:rsidRPr="00872D7E" w14:paraId="54EC5A83" w14:textId="77777777" w:rsidTr="00683052">
        <w:tc>
          <w:tcPr>
            <w:tcW w:w="3442" w:type="pct"/>
            <w:tcBorders>
              <w:bottom w:val="single" w:sz="4" w:space="0" w:color="auto"/>
            </w:tcBorders>
            <w:vAlign w:val="center"/>
          </w:tcPr>
          <w:p w14:paraId="41F1B570" w14:textId="77777777" w:rsidR="0089146A" w:rsidRPr="00872D7E" w:rsidRDefault="0089146A" w:rsidP="00824B8D">
            <w:pPr>
              <w:rPr>
                <w:szCs w:val="20"/>
              </w:rPr>
            </w:pPr>
            <w:r w:rsidRPr="00872D7E">
              <w:rPr>
                <w:szCs w:val="20"/>
              </w:rPr>
              <w:t xml:space="preserve">İştirak ve Bağlı Ortaklıklara Verilen Kar Payları </w:t>
            </w:r>
          </w:p>
        </w:tc>
        <w:tc>
          <w:tcPr>
            <w:tcW w:w="817" w:type="pct"/>
            <w:tcBorders>
              <w:bottom w:val="single" w:sz="4" w:space="0" w:color="auto"/>
            </w:tcBorders>
            <w:vAlign w:val="center"/>
          </w:tcPr>
          <w:p w14:paraId="70CA591C" w14:textId="1A42880C" w:rsidR="0089146A" w:rsidRPr="00872D7E" w:rsidRDefault="004A5E7E" w:rsidP="00824B8D">
            <w:pPr>
              <w:jc w:val="right"/>
              <w:rPr>
                <w:color w:val="000000"/>
                <w:szCs w:val="20"/>
              </w:rPr>
            </w:pPr>
            <w:r w:rsidRPr="00872D7E">
              <w:rPr>
                <w:color w:val="000000"/>
                <w:szCs w:val="20"/>
              </w:rPr>
              <w:t>418</w:t>
            </w:r>
          </w:p>
        </w:tc>
        <w:tc>
          <w:tcPr>
            <w:tcW w:w="741" w:type="pct"/>
            <w:tcBorders>
              <w:bottom w:val="single" w:sz="4" w:space="0" w:color="auto"/>
            </w:tcBorders>
            <w:vAlign w:val="center"/>
          </w:tcPr>
          <w:p w14:paraId="1DC975B2" w14:textId="40EDC27C" w:rsidR="0089146A" w:rsidRPr="00872D7E" w:rsidRDefault="004A5E7E" w:rsidP="00824B8D">
            <w:pPr>
              <w:jc w:val="right"/>
              <w:rPr>
                <w:color w:val="000000"/>
                <w:szCs w:val="20"/>
              </w:rPr>
            </w:pPr>
            <w:r w:rsidRPr="00872D7E">
              <w:rPr>
                <w:color w:val="000000"/>
                <w:szCs w:val="20"/>
              </w:rPr>
              <w:t>-</w:t>
            </w:r>
          </w:p>
        </w:tc>
      </w:tr>
      <w:tr w:rsidR="0089146A" w:rsidRPr="00872D7E" w14:paraId="24C5B406" w14:textId="77777777" w:rsidTr="00683052">
        <w:tc>
          <w:tcPr>
            <w:tcW w:w="3442" w:type="pct"/>
            <w:tcBorders>
              <w:top w:val="single" w:sz="4" w:space="0" w:color="auto"/>
            </w:tcBorders>
            <w:vAlign w:val="center"/>
          </w:tcPr>
          <w:p w14:paraId="0A593932" w14:textId="77777777" w:rsidR="0089146A" w:rsidRPr="00872D7E" w:rsidRDefault="0089146A" w:rsidP="00824B8D">
            <w:pPr>
              <w:rPr>
                <w:szCs w:val="20"/>
              </w:rPr>
            </w:pPr>
          </w:p>
        </w:tc>
        <w:tc>
          <w:tcPr>
            <w:tcW w:w="817" w:type="pct"/>
            <w:tcBorders>
              <w:top w:val="single" w:sz="4" w:space="0" w:color="auto"/>
            </w:tcBorders>
            <w:vAlign w:val="center"/>
          </w:tcPr>
          <w:p w14:paraId="1BF3F255" w14:textId="0CC0FE35" w:rsidR="0089146A" w:rsidRPr="00872D7E" w:rsidRDefault="0089146A" w:rsidP="00824B8D">
            <w:pPr>
              <w:jc w:val="right"/>
              <w:rPr>
                <w:color w:val="000000"/>
                <w:szCs w:val="20"/>
              </w:rPr>
            </w:pPr>
          </w:p>
        </w:tc>
        <w:tc>
          <w:tcPr>
            <w:tcW w:w="741" w:type="pct"/>
            <w:tcBorders>
              <w:top w:val="single" w:sz="4" w:space="0" w:color="auto"/>
            </w:tcBorders>
            <w:vAlign w:val="center"/>
          </w:tcPr>
          <w:p w14:paraId="78A45F12" w14:textId="21426FA0" w:rsidR="0089146A" w:rsidRPr="00872D7E" w:rsidRDefault="0089146A" w:rsidP="00824B8D">
            <w:pPr>
              <w:jc w:val="right"/>
              <w:rPr>
                <w:color w:val="000000"/>
                <w:szCs w:val="20"/>
              </w:rPr>
            </w:pPr>
          </w:p>
        </w:tc>
      </w:tr>
      <w:tr w:rsidR="0089146A" w:rsidRPr="00872D7E" w14:paraId="33547A0F" w14:textId="77777777" w:rsidTr="00683052">
        <w:tc>
          <w:tcPr>
            <w:tcW w:w="3442" w:type="pct"/>
            <w:tcBorders>
              <w:bottom w:val="single" w:sz="12" w:space="0" w:color="auto"/>
            </w:tcBorders>
            <w:vAlign w:val="center"/>
          </w:tcPr>
          <w:p w14:paraId="4F981A21" w14:textId="77777777" w:rsidR="0089146A" w:rsidRPr="00872D7E" w:rsidRDefault="0089146A" w:rsidP="00824B8D">
            <w:pPr>
              <w:tabs>
                <w:tab w:val="left" w:pos="0"/>
              </w:tabs>
              <w:jc w:val="both"/>
              <w:rPr>
                <w:b/>
                <w:szCs w:val="20"/>
              </w:rPr>
            </w:pPr>
            <w:r w:rsidRPr="00872D7E">
              <w:rPr>
                <w:b/>
                <w:szCs w:val="20"/>
              </w:rPr>
              <w:t>Toplam</w:t>
            </w:r>
          </w:p>
        </w:tc>
        <w:tc>
          <w:tcPr>
            <w:tcW w:w="817" w:type="pct"/>
            <w:tcBorders>
              <w:bottom w:val="single" w:sz="12" w:space="0" w:color="auto"/>
            </w:tcBorders>
            <w:vAlign w:val="center"/>
          </w:tcPr>
          <w:p w14:paraId="192F3690" w14:textId="239294ED" w:rsidR="0089146A" w:rsidRPr="00872D7E" w:rsidRDefault="004A5E7E" w:rsidP="00824B8D">
            <w:pPr>
              <w:jc w:val="right"/>
              <w:rPr>
                <w:b/>
                <w:color w:val="000000"/>
                <w:szCs w:val="20"/>
              </w:rPr>
            </w:pPr>
            <w:r w:rsidRPr="00872D7E">
              <w:rPr>
                <w:b/>
                <w:color w:val="000000"/>
                <w:szCs w:val="20"/>
              </w:rPr>
              <w:t>418</w:t>
            </w:r>
          </w:p>
        </w:tc>
        <w:tc>
          <w:tcPr>
            <w:tcW w:w="741" w:type="pct"/>
            <w:tcBorders>
              <w:bottom w:val="single" w:sz="12" w:space="0" w:color="auto"/>
            </w:tcBorders>
            <w:vAlign w:val="center"/>
          </w:tcPr>
          <w:p w14:paraId="434CEC3B" w14:textId="7C4AE9DB" w:rsidR="0089146A" w:rsidRPr="00872D7E" w:rsidRDefault="004A5E7E" w:rsidP="00824B8D">
            <w:pPr>
              <w:jc w:val="right"/>
              <w:rPr>
                <w:color w:val="000000"/>
                <w:szCs w:val="20"/>
              </w:rPr>
            </w:pPr>
            <w:r w:rsidRPr="00872D7E">
              <w:rPr>
                <w:color w:val="000000"/>
                <w:szCs w:val="20"/>
              </w:rPr>
              <w:t>-</w:t>
            </w:r>
          </w:p>
        </w:tc>
      </w:tr>
    </w:tbl>
    <w:p w14:paraId="12B46AFA" w14:textId="2E78A39B" w:rsidR="0089146A" w:rsidRPr="00872D7E" w:rsidRDefault="0089146A" w:rsidP="00DB0B4F">
      <w:pPr>
        <w:widowControl w:val="0"/>
        <w:ind w:left="1383" w:hanging="532"/>
        <w:jc w:val="both"/>
        <w:rPr>
          <w:b/>
          <w:sz w:val="16"/>
          <w:szCs w:val="16"/>
        </w:rPr>
      </w:pPr>
    </w:p>
    <w:p w14:paraId="5CC6B5D4" w14:textId="464397BE" w:rsidR="00136C29" w:rsidRPr="00872D7E" w:rsidRDefault="00136C29" w:rsidP="00000466">
      <w:pPr>
        <w:pStyle w:val="ListParagraph"/>
        <w:widowControl w:val="0"/>
        <w:numPr>
          <w:ilvl w:val="0"/>
          <w:numId w:val="36"/>
        </w:numPr>
        <w:ind w:left="1276" w:hanging="425"/>
        <w:rPr>
          <w:b/>
          <w:color w:val="000000" w:themeColor="text1"/>
          <w:szCs w:val="20"/>
        </w:rPr>
      </w:pPr>
      <w:r w:rsidRPr="00872D7E">
        <w:rPr>
          <w:b/>
          <w:color w:val="000000" w:themeColor="text1"/>
          <w:szCs w:val="20"/>
        </w:rPr>
        <w:t xml:space="preserve">İhraç edilen menkul kıymetlere verilen </w:t>
      </w:r>
      <w:proofErr w:type="gramStart"/>
      <w:r w:rsidRPr="00872D7E">
        <w:rPr>
          <w:b/>
          <w:color w:val="000000" w:themeColor="text1"/>
          <w:szCs w:val="20"/>
        </w:rPr>
        <w:t>kar</w:t>
      </w:r>
      <w:proofErr w:type="gramEnd"/>
      <w:r w:rsidRPr="00872D7E">
        <w:rPr>
          <w:b/>
          <w:color w:val="000000" w:themeColor="text1"/>
          <w:szCs w:val="20"/>
        </w:rPr>
        <w:t xml:space="preserve"> payı giderlerine ilişkin bilgiler: </w:t>
      </w:r>
    </w:p>
    <w:p w14:paraId="6354D77A" w14:textId="77777777" w:rsidR="00CD770B" w:rsidRPr="00872D7E" w:rsidRDefault="00CD770B" w:rsidP="00CD770B">
      <w:pPr>
        <w:widowControl w:val="0"/>
        <w:ind w:left="84" w:hanging="28"/>
        <w:jc w:val="both"/>
        <w:rPr>
          <w:szCs w:val="20"/>
        </w:rPr>
      </w:pPr>
    </w:p>
    <w:p w14:paraId="0FCE41FD" w14:textId="701D1647" w:rsidR="00600036" w:rsidRPr="00872D7E" w:rsidRDefault="003833C5" w:rsidP="00CD770B">
      <w:pPr>
        <w:widowControl w:val="0"/>
        <w:ind w:left="851"/>
        <w:jc w:val="both"/>
        <w:rPr>
          <w:szCs w:val="20"/>
        </w:rPr>
      </w:pPr>
      <w:r w:rsidRPr="00872D7E">
        <w:rPr>
          <w:szCs w:val="20"/>
        </w:rPr>
        <w:t>B</w:t>
      </w:r>
      <w:r w:rsidR="00440C51" w:rsidRPr="00872D7E">
        <w:rPr>
          <w:szCs w:val="20"/>
        </w:rPr>
        <w:t>ulunmamaktadır</w:t>
      </w:r>
      <w:r w:rsidR="00DB0B4F" w:rsidRPr="00872D7E">
        <w:rPr>
          <w:szCs w:val="20"/>
        </w:rPr>
        <w:t>.</w:t>
      </w:r>
    </w:p>
    <w:p w14:paraId="23FE7E6B" w14:textId="77777777" w:rsidR="005D3B2E" w:rsidRPr="00872D7E" w:rsidRDefault="005D3B2E" w:rsidP="00CD770B">
      <w:pPr>
        <w:widowControl w:val="0"/>
        <w:ind w:left="851"/>
        <w:jc w:val="both"/>
        <w:rPr>
          <w:szCs w:val="20"/>
        </w:rPr>
      </w:pPr>
    </w:p>
    <w:p w14:paraId="3A72CCF3" w14:textId="228381DE" w:rsidR="005428F8" w:rsidRPr="00872D7E" w:rsidRDefault="00605F24" w:rsidP="003B796D">
      <w:pPr>
        <w:pStyle w:val="ListParagraph"/>
        <w:widowControl w:val="0"/>
        <w:numPr>
          <w:ilvl w:val="0"/>
          <w:numId w:val="31"/>
        </w:numPr>
        <w:autoSpaceDE w:val="0"/>
        <w:autoSpaceDN w:val="0"/>
        <w:adjustRightInd w:val="0"/>
        <w:ind w:left="851" w:hanging="851"/>
        <w:jc w:val="both"/>
        <w:rPr>
          <w:b/>
          <w:szCs w:val="20"/>
        </w:rPr>
      </w:pPr>
      <w:bookmarkStart w:id="97" w:name="_Hlk99381808"/>
      <w:r w:rsidRPr="00872D7E">
        <w:rPr>
          <w:b/>
          <w:szCs w:val="20"/>
        </w:rPr>
        <w:t xml:space="preserve">Net Ücret ve Komisyon Gelirleri / Giderleri kaleminde yer alan </w:t>
      </w:r>
      <w:r w:rsidR="005428F8" w:rsidRPr="00872D7E">
        <w:rPr>
          <w:b/>
          <w:szCs w:val="20"/>
        </w:rPr>
        <w:t>diğer kalemlerin, gelir tablosu toplamının %10’unu aşması halinde bu kalemlerin en az %20’sini oluşturan alt hesaplar</w:t>
      </w:r>
      <w:r w:rsidR="00291E1E" w:rsidRPr="00872D7E">
        <w:rPr>
          <w:b/>
          <w:szCs w:val="20"/>
        </w:rPr>
        <w:t>:</w:t>
      </w:r>
      <w:r w:rsidR="005428F8" w:rsidRPr="00872D7E">
        <w:rPr>
          <w:b/>
          <w:szCs w:val="20"/>
        </w:rPr>
        <w:t xml:space="preserve"> </w:t>
      </w:r>
    </w:p>
    <w:p w14:paraId="1E0842B3" w14:textId="77777777" w:rsidR="00BD7D86" w:rsidRPr="00872D7E" w:rsidRDefault="00BD7D86" w:rsidP="00BD7D86">
      <w:pPr>
        <w:widowControl w:val="0"/>
        <w:ind w:left="14" w:right="114" w:hanging="490"/>
        <w:jc w:val="both"/>
        <w:rPr>
          <w:b/>
          <w:bCs/>
          <w:iCs/>
          <w:szCs w:val="20"/>
        </w:rPr>
      </w:pPr>
    </w:p>
    <w:tbl>
      <w:tblPr>
        <w:tblW w:w="5000" w:type="pct"/>
        <w:tblCellMar>
          <w:left w:w="70" w:type="dxa"/>
          <w:right w:w="70" w:type="dxa"/>
        </w:tblCellMar>
        <w:tblLook w:val="0000" w:firstRow="0" w:lastRow="0" w:firstColumn="0" w:lastColumn="0" w:noHBand="0" w:noVBand="0"/>
      </w:tblPr>
      <w:tblGrid>
        <w:gridCol w:w="6477"/>
        <w:gridCol w:w="2878"/>
      </w:tblGrid>
      <w:tr w:rsidR="00614477" w:rsidRPr="00872D7E" w14:paraId="19FB0403" w14:textId="2B659CE1" w:rsidTr="00584460">
        <w:trPr>
          <w:trHeight w:val="113"/>
        </w:trPr>
        <w:tc>
          <w:tcPr>
            <w:tcW w:w="3462" w:type="pct"/>
            <w:shd w:val="clear" w:color="auto" w:fill="FFFFFF"/>
            <w:noWrap/>
            <w:vAlign w:val="bottom"/>
          </w:tcPr>
          <w:p w14:paraId="612D65E2" w14:textId="77777777" w:rsidR="00614477" w:rsidRPr="00872D7E" w:rsidRDefault="00614477" w:rsidP="009F6E11">
            <w:pPr>
              <w:widowControl w:val="0"/>
              <w:rPr>
                <w:b/>
                <w:bCs/>
                <w:szCs w:val="20"/>
              </w:rPr>
            </w:pPr>
            <w:bookmarkStart w:id="98" w:name="OLE_LINK7"/>
            <w:r w:rsidRPr="00872D7E">
              <w:rPr>
                <w:b/>
                <w:bCs/>
                <w:szCs w:val="20"/>
              </w:rPr>
              <w:t xml:space="preserve">Diğer Alınan Ücret ve Komisyonlar </w:t>
            </w:r>
          </w:p>
        </w:tc>
        <w:tc>
          <w:tcPr>
            <w:tcW w:w="1538" w:type="pct"/>
            <w:shd w:val="clear" w:color="auto" w:fill="FFFFFF"/>
            <w:noWrap/>
            <w:vAlign w:val="bottom"/>
          </w:tcPr>
          <w:p w14:paraId="25AA869D" w14:textId="37EEF8B2" w:rsidR="00614477" w:rsidRPr="00872D7E" w:rsidRDefault="00241FA0" w:rsidP="009F6E11">
            <w:pPr>
              <w:widowControl w:val="0"/>
              <w:ind w:right="44"/>
              <w:jc w:val="right"/>
              <w:rPr>
                <w:b/>
                <w:szCs w:val="20"/>
              </w:rPr>
            </w:pPr>
            <w:r w:rsidRPr="00872D7E">
              <w:rPr>
                <w:b/>
                <w:szCs w:val="20"/>
              </w:rPr>
              <w:t>1 Ocak-</w:t>
            </w:r>
            <w:r w:rsidR="00D5602E" w:rsidRPr="00872D7E">
              <w:rPr>
                <w:b/>
                <w:szCs w:val="20"/>
              </w:rPr>
              <w:t xml:space="preserve"> </w:t>
            </w:r>
            <w:r w:rsidR="00AE0B9A" w:rsidRPr="00872D7E">
              <w:rPr>
                <w:b/>
                <w:szCs w:val="20"/>
              </w:rPr>
              <w:t>31 Aralık</w:t>
            </w:r>
            <w:r w:rsidR="00C160E4" w:rsidRPr="00872D7E">
              <w:rPr>
                <w:b/>
                <w:szCs w:val="20"/>
              </w:rPr>
              <w:t xml:space="preserve"> </w:t>
            </w:r>
            <w:r w:rsidR="003F71C9" w:rsidRPr="00872D7E">
              <w:rPr>
                <w:b/>
                <w:szCs w:val="20"/>
              </w:rPr>
              <w:t>2024</w:t>
            </w:r>
          </w:p>
        </w:tc>
      </w:tr>
      <w:tr w:rsidR="00614477" w:rsidRPr="00872D7E" w14:paraId="601A1893" w14:textId="5AA4C0B1" w:rsidTr="00584460">
        <w:trPr>
          <w:trHeight w:val="113"/>
        </w:trPr>
        <w:tc>
          <w:tcPr>
            <w:tcW w:w="3462" w:type="pct"/>
            <w:shd w:val="clear" w:color="auto" w:fill="FFFFFF"/>
            <w:noWrap/>
            <w:vAlign w:val="bottom"/>
          </w:tcPr>
          <w:p w14:paraId="4DD5ABCC" w14:textId="77777777" w:rsidR="00614477" w:rsidRPr="00872D7E" w:rsidRDefault="00614477" w:rsidP="009F6E11">
            <w:pPr>
              <w:widowControl w:val="0"/>
              <w:rPr>
                <w:szCs w:val="20"/>
              </w:rPr>
            </w:pPr>
          </w:p>
        </w:tc>
        <w:tc>
          <w:tcPr>
            <w:tcW w:w="1538" w:type="pct"/>
            <w:shd w:val="clear" w:color="auto" w:fill="FFFFFF"/>
            <w:noWrap/>
            <w:vAlign w:val="bottom"/>
          </w:tcPr>
          <w:p w14:paraId="192CA09B" w14:textId="77777777" w:rsidR="00614477" w:rsidRPr="00872D7E" w:rsidRDefault="00614477" w:rsidP="009F6E11">
            <w:pPr>
              <w:widowControl w:val="0"/>
              <w:ind w:right="44"/>
              <w:jc w:val="right"/>
              <w:rPr>
                <w:szCs w:val="20"/>
              </w:rPr>
            </w:pPr>
          </w:p>
        </w:tc>
      </w:tr>
      <w:tr w:rsidR="002A337F" w:rsidRPr="00872D7E" w14:paraId="350CA5BA" w14:textId="61DCA728" w:rsidTr="009147C5">
        <w:trPr>
          <w:trHeight w:val="113"/>
        </w:trPr>
        <w:tc>
          <w:tcPr>
            <w:tcW w:w="3462" w:type="pct"/>
            <w:shd w:val="clear" w:color="auto" w:fill="FFFFFF"/>
            <w:noWrap/>
          </w:tcPr>
          <w:p w14:paraId="642D9711" w14:textId="61B12B8F" w:rsidR="002A337F" w:rsidRPr="00872D7E" w:rsidRDefault="002A337F" w:rsidP="002A337F">
            <w:pPr>
              <w:widowControl w:val="0"/>
              <w:rPr>
                <w:szCs w:val="20"/>
              </w:rPr>
            </w:pPr>
            <w:r w:rsidRPr="00872D7E">
              <w:t>Bankacılık Hizmet Paketi Satış Gelirleri</w:t>
            </w:r>
          </w:p>
        </w:tc>
        <w:tc>
          <w:tcPr>
            <w:tcW w:w="1538" w:type="pct"/>
            <w:shd w:val="clear" w:color="auto" w:fill="FFFFFF"/>
            <w:noWrap/>
          </w:tcPr>
          <w:p w14:paraId="440954F2" w14:textId="204B55C2" w:rsidR="002A337F" w:rsidRPr="00872D7E" w:rsidRDefault="002A337F" w:rsidP="002A337F">
            <w:pPr>
              <w:widowControl w:val="0"/>
              <w:jc w:val="right"/>
              <w:rPr>
                <w:szCs w:val="20"/>
              </w:rPr>
            </w:pPr>
            <w:r w:rsidRPr="00872D7E">
              <w:t>137.672</w:t>
            </w:r>
          </w:p>
        </w:tc>
      </w:tr>
      <w:tr w:rsidR="002A337F" w:rsidRPr="00872D7E" w14:paraId="6CB378C2" w14:textId="77777777" w:rsidTr="009147C5">
        <w:trPr>
          <w:trHeight w:val="113"/>
        </w:trPr>
        <w:tc>
          <w:tcPr>
            <w:tcW w:w="3462" w:type="pct"/>
            <w:shd w:val="clear" w:color="auto" w:fill="FFFFFF"/>
            <w:noWrap/>
          </w:tcPr>
          <w:p w14:paraId="178AF658" w14:textId="64E10A14" w:rsidR="002A337F" w:rsidRPr="00872D7E" w:rsidRDefault="002A337F" w:rsidP="002A337F">
            <w:pPr>
              <w:widowControl w:val="0"/>
              <w:rPr>
                <w:szCs w:val="20"/>
              </w:rPr>
            </w:pPr>
            <w:r w:rsidRPr="00872D7E">
              <w:t>Sigorta ve Aracılık Komisyonları</w:t>
            </w:r>
          </w:p>
        </w:tc>
        <w:tc>
          <w:tcPr>
            <w:tcW w:w="1538" w:type="pct"/>
            <w:shd w:val="clear" w:color="auto" w:fill="FFFFFF"/>
            <w:noWrap/>
          </w:tcPr>
          <w:p w14:paraId="49195A8C" w14:textId="0525C168" w:rsidR="002A337F" w:rsidRPr="00872D7E" w:rsidRDefault="002A337F" w:rsidP="002A337F">
            <w:pPr>
              <w:widowControl w:val="0"/>
              <w:jc w:val="right"/>
            </w:pPr>
            <w:r w:rsidRPr="00872D7E">
              <w:t>36.015</w:t>
            </w:r>
          </w:p>
        </w:tc>
      </w:tr>
      <w:tr w:rsidR="002A337F" w:rsidRPr="00872D7E" w14:paraId="7E3CB7C7" w14:textId="77777777" w:rsidTr="009147C5">
        <w:trPr>
          <w:trHeight w:val="113"/>
        </w:trPr>
        <w:tc>
          <w:tcPr>
            <w:tcW w:w="3462" w:type="pct"/>
            <w:shd w:val="clear" w:color="auto" w:fill="FFFFFF"/>
            <w:noWrap/>
          </w:tcPr>
          <w:p w14:paraId="294C1407" w14:textId="1B0FB5FB" w:rsidR="002A337F" w:rsidRPr="00872D7E" w:rsidRDefault="002A337F" w:rsidP="002A337F">
            <w:pPr>
              <w:widowControl w:val="0"/>
              <w:rPr>
                <w:szCs w:val="20"/>
              </w:rPr>
            </w:pPr>
            <w:r w:rsidRPr="00872D7E">
              <w:t>Diğer</w:t>
            </w:r>
          </w:p>
        </w:tc>
        <w:tc>
          <w:tcPr>
            <w:tcW w:w="1538" w:type="pct"/>
            <w:shd w:val="clear" w:color="auto" w:fill="FFFFFF"/>
            <w:noWrap/>
          </w:tcPr>
          <w:p w14:paraId="66A90BF6" w14:textId="0FCAC9DC" w:rsidR="002A337F" w:rsidRPr="00872D7E" w:rsidRDefault="002A337F" w:rsidP="002A337F">
            <w:pPr>
              <w:widowControl w:val="0"/>
              <w:jc w:val="right"/>
              <w:rPr>
                <w:szCs w:val="20"/>
              </w:rPr>
            </w:pPr>
            <w:r w:rsidRPr="00872D7E">
              <w:t>7.773</w:t>
            </w:r>
          </w:p>
        </w:tc>
      </w:tr>
      <w:tr w:rsidR="002A337F" w:rsidRPr="00872D7E" w14:paraId="46733EA3" w14:textId="4ACEF392" w:rsidTr="00584460">
        <w:trPr>
          <w:trHeight w:val="113"/>
        </w:trPr>
        <w:tc>
          <w:tcPr>
            <w:tcW w:w="3462" w:type="pct"/>
            <w:tcBorders>
              <w:top w:val="single" w:sz="4" w:space="0" w:color="auto"/>
            </w:tcBorders>
            <w:shd w:val="clear" w:color="auto" w:fill="FFFFFF"/>
            <w:noWrap/>
            <w:vAlign w:val="bottom"/>
          </w:tcPr>
          <w:p w14:paraId="2576322B" w14:textId="77777777" w:rsidR="002A337F" w:rsidRPr="00872D7E" w:rsidRDefault="002A337F" w:rsidP="002A337F">
            <w:pPr>
              <w:widowControl w:val="0"/>
              <w:rPr>
                <w:szCs w:val="20"/>
              </w:rPr>
            </w:pPr>
          </w:p>
        </w:tc>
        <w:tc>
          <w:tcPr>
            <w:tcW w:w="1538" w:type="pct"/>
            <w:tcBorders>
              <w:top w:val="single" w:sz="4" w:space="0" w:color="auto"/>
            </w:tcBorders>
            <w:shd w:val="clear" w:color="auto" w:fill="FFFFFF"/>
            <w:noWrap/>
          </w:tcPr>
          <w:p w14:paraId="426F649A" w14:textId="77777777" w:rsidR="002A337F" w:rsidRPr="00872D7E" w:rsidRDefault="002A337F" w:rsidP="002A337F">
            <w:pPr>
              <w:widowControl w:val="0"/>
              <w:jc w:val="right"/>
              <w:rPr>
                <w:szCs w:val="20"/>
              </w:rPr>
            </w:pPr>
          </w:p>
        </w:tc>
      </w:tr>
      <w:tr w:rsidR="002A337F" w:rsidRPr="00872D7E" w14:paraId="5BF86402" w14:textId="6FD63738" w:rsidTr="00584460">
        <w:trPr>
          <w:trHeight w:val="113"/>
        </w:trPr>
        <w:tc>
          <w:tcPr>
            <w:tcW w:w="3462" w:type="pct"/>
            <w:tcBorders>
              <w:bottom w:val="single" w:sz="12" w:space="0" w:color="auto"/>
            </w:tcBorders>
            <w:shd w:val="clear" w:color="auto" w:fill="FFFFFF"/>
            <w:noWrap/>
            <w:vAlign w:val="bottom"/>
          </w:tcPr>
          <w:p w14:paraId="4E36D31F" w14:textId="77777777" w:rsidR="002A337F" w:rsidRPr="00872D7E" w:rsidRDefault="002A337F" w:rsidP="002A337F">
            <w:pPr>
              <w:widowControl w:val="0"/>
              <w:rPr>
                <w:b/>
                <w:szCs w:val="20"/>
              </w:rPr>
            </w:pPr>
            <w:r w:rsidRPr="00872D7E">
              <w:rPr>
                <w:b/>
                <w:szCs w:val="20"/>
              </w:rPr>
              <w:t>Toplam</w:t>
            </w:r>
          </w:p>
        </w:tc>
        <w:tc>
          <w:tcPr>
            <w:tcW w:w="1538" w:type="pct"/>
            <w:tcBorders>
              <w:bottom w:val="single" w:sz="12" w:space="0" w:color="auto"/>
            </w:tcBorders>
            <w:shd w:val="clear" w:color="auto" w:fill="FFFFFF"/>
            <w:noWrap/>
          </w:tcPr>
          <w:p w14:paraId="284E3949" w14:textId="5686C128" w:rsidR="002A337F" w:rsidRPr="00872D7E" w:rsidRDefault="002A337F" w:rsidP="002A337F">
            <w:pPr>
              <w:widowControl w:val="0"/>
              <w:jc w:val="right"/>
              <w:rPr>
                <w:b/>
                <w:szCs w:val="20"/>
              </w:rPr>
            </w:pPr>
            <w:r w:rsidRPr="00872D7E">
              <w:rPr>
                <w:b/>
              </w:rPr>
              <w:t>181.460</w:t>
            </w:r>
          </w:p>
        </w:tc>
      </w:tr>
      <w:bookmarkEnd w:id="97"/>
      <w:bookmarkEnd w:id="98"/>
    </w:tbl>
    <w:p w14:paraId="63218D4C" w14:textId="77777777" w:rsidR="005428F8" w:rsidRPr="00872D7E" w:rsidRDefault="005428F8" w:rsidP="009F6E11">
      <w:pPr>
        <w:widowControl w:val="0"/>
        <w:rPr>
          <w:szCs w:val="20"/>
        </w:rPr>
      </w:pPr>
    </w:p>
    <w:tbl>
      <w:tblPr>
        <w:tblW w:w="5000" w:type="pct"/>
        <w:tblCellMar>
          <w:left w:w="70" w:type="dxa"/>
          <w:right w:w="70" w:type="dxa"/>
        </w:tblCellMar>
        <w:tblLook w:val="0000" w:firstRow="0" w:lastRow="0" w:firstColumn="0" w:lastColumn="0" w:noHBand="0" w:noVBand="0"/>
      </w:tblPr>
      <w:tblGrid>
        <w:gridCol w:w="6477"/>
        <w:gridCol w:w="2878"/>
      </w:tblGrid>
      <w:tr w:rsidR="00614477" w:rsidRPr="00872D7E" w14:paraId="5F399BA0" w14:textId="2708BC4C" w:rsidTr="00D5602E">
        <w:trPr>
          <w:trHeight w:val="113"/>
        </w:trPr>
        <w:tc>
          <w:tcPr>
            <w:tcW w:w="3462" w:type="pct"/>
            <w:shd w:val="clear" w:color="auto" w:fill="FFFFFF"/>
            <w:noWrap/>
            <w:vAlign w:val="bottom"/>
          </w:tcPr>
          <w:p w14:paraId="7C4FC44F" w14:textId="77777777" w:rsidR="00614477" w:rsidRPr="00872D7E" w:rsidRDefault="00614477" w:rsidP="009F6E11">
            <w:pPr>
              <w:widowControl w:val="0"/>
              <w:rPr>
                <w:b/>
                <w:bCs/>
                <w:szCs w:val="20"/>
              </w:rPr>
            </w:pPr>
            <w:r w:rsidRPr="00872D7E">
              <w:rPr>
                <w:b/>
                <w:bCs/>
                <w:szCs w:val="20"/>
              </w:rPr>
              <w:t>Diğer Verilen Ücret ve Komisyonlar</w:t>
            </w:r>
          </w:p>
        </w:tc>
        <w:tc>
          <w:tcPr>
            <w:tcW w:w="1538" w:type="pct"/>
            <w:shd w:val="clear" w:color="auto" w:fill="FFFFFF"/>
            <w:noWrap/>
            <w:vAlign w:val="bottom"/>
          </w:tcPr>
          <w:p w14:paraId="1B2B17B8" w14:textId="130449AE" w:rsidR="00614477" w:rsidRPr="00872D7E" w:rsidRDefault="00241FA0" w:rsidP="009F6E11">
            <w:pPr>
              <w:widowControl w:val="0"/>
              <w:jc w:val="right"/>
              <w:rPr>
                <w:b/>
                <w:szCs w:val="20"/>
              </w:rPr>
            </w:pPr>
            <w:r w:rsidRPr="00872D7E">
              <w:rPr>
                <w:b/>
                <w:szCs w:val="20"/>
              </w:rPr>
              <w:t>1 Ocak-</w:t>
            </w:r>
            <w:r w:rsidR="00D5602E" w:rsidRPr="00872D7E">
              <w:rPr>
                <w:b/>
                <w:szCs w:val="20"/>
              </w:rPr>
              <w:t xml:space="preserve"> </w:t>
            </w:r>
            <w:r w:rsidR="00AE0B9A" w:rsidRPr="00872D7E">
              <w:rPr>
                <w:b/>
                <w:szCs w:val="20"/>
              </w:rPr>
              <w:t>31 Aralık</w:t>
            </w:r>
            <w:r w:rsidR="00C160E4" w:rsidRPr="00872D7E">
              <w:rPr>
                <w:b/>
                <w:szCs w:val="20"/>
              </w:rPr>
              <w:t xml:space="preserve"> </w:t>
            </w:r>
            <w:r w:rsidR="003F71C9" w:rsidRPr="00872D7E">
              <w:rPr>
                <w:b/>
                <w:szCs w:val="20"/>
              </w:rPr>
              <w:t>2024</w:t>
            </w:r>
          </w:p>
        </w:tc>
      </w:tr>
      <w:tr w:rsidR="00614477" w:rsidRPr="00872D7E" w14:paraId="4619850D" w14:textId="77777777" w:rsidTr="00D5602E">
        <w:trPr>
          <w:trHeight w:val="113"/>
        </w:trPr>
        <w:tc>
          <w:tcPr>
            <w:tcW w:w="3462" w:type="pct"/>
            <w:shd w:val="clear" w:color="auto" w:fill="FFFFFF"/>
            <w:noWrap/>
            <w:vAlign w:val="bottom"/>
          </w:tcPr>
          <w:p w14:paraId="156593E4" w14:textId="77777777" w:rsidR="00614477" w:rsidRPr="00872D7E" w:rsidRDefault="00614477" w:rsidP="009F6E11">
            <w:pPr>
              <w:widowControl w:val="0"/>
              <w:rPr>
                <w:b/>
                <w:bCs/>
                <w:szCs w:val="20"/>
              </w:rPr>
            </w:pPr>
          </w:p>
        </w:tc>
        <w:tc>
          <w:tcPr>
            <w:tcW w:w="1538" w:type="pct"/>
            <w:shd w:val="clear" w:color="auto" w:fill="FFFFFF"/>
            <w:noWrap/>
            <w:vAlign w:val="bottom"/>
          </w:tcPr>
          <w:p w14:paraId="74E74407" w14:textId="77777777" w:rsidR="00614477" w:rsidRPr="00872D7E" w:rsidRDefault="00614477" w:rsidP="009F6E11">
            <w:pPr>
              <w:widowControl w:val="0"/>
              <w:jc w:val="right"/>
              <w:rPr>
                <w:b/>
                <w:szCs w:val="20"/>
              </w:rPr>
            </w:pPr>
          </w:p>
        </w:tc>
      </w:tr>
      <w:tr w:rsidR="002A337F" w:rsidRPr="00872D7E" w14:paraId="61868BB3" w14:textId="77777777" w:rsidTr="00D5602E">
        <w:trPr>
          <w:trHeight w:val="113"/>
        </w:trPr>
        <w:tc>
          <w:tcPr>
            <w:tcW w:w="3462" w:type="pct"/>
            <w:shd w:val="clear" w:color="auto" w:fill="FFFFFF"/>
            <w:noWrap/>
            <w:vAlign w:val="bottom"/>
          </w:tcPr>
          <w:p w14:paraId="68DC7176" w14:textId="5947BADB" w:rsidR="002A337F" w:rsidRPr="00872D7E" w:rsidRDefault="002A337F" w:rsidP="002A337F">
            <w:pPr>
              <w:widowControl w:val="0"/>
              <w:rPr>
                <w:szCs w:val="20"/>
              </w:rPr>
            </w:pPr>
            <w:r w:rsidRPr="00872D7E">
              <w:rPr>
                <w:szCs w:val="20"/>
              </w:rPr>
              <w:t>Kredi kartı ücret komisyonları</w:t>
            </w:r>
          </w:p>
        </w:tc>
        <w:tc>
          <w:tcPr>
            <w:tcW w:w="1538" w:type="pct"/>
            <w:shd w:val="clear" w:color="auto" w:fill="FFFFFF"/>
            <w:noWrap/>
          </w:tcPr>
          <w:p w14:paraId="6BF9999A" w14:textId="6FC435FD" w:rsidR="002A337F" w:rsidRPr="00872D7E" w:rsidRDefault="002A337F" w:rsidP="002A337F">
            <w:pPr>
              <w:widowControl w:val="0"/>
              <w:jc w:val="right"/>
              <w:rPr>
                <w:szCs w:val="20"/>
              </w:rPr>
            </w:pPr>
            <w:r w:rsidRPr="00872D7E">
              <w:t>3.479</w:t>
            </w:r>
          </w:p>
        </w:tc>
      </w:tr>
      <w:tr w:rsidR="002A337F" w:rsidRPr="00872D7E" w14:paraId="6DD015A8" w14:textId="68168870" w:rsidTr="00D5602E">
        <w:trPr>
          <w:trHeight w:val="113"/>
        </w:trPr>
        <w:tc>
          <w:tcPr>
            <w:tcW w:w="3462" w:type="pct"/>
            <w:shd w:val="clear" w:color="auto" w:fill="FFFFFF"/>
            <w:noWrap/>
            <w:vAlign w:val="center"/>
          </w:tcPr>
          <w:p w14:paraId="74CB60F9" w14:textId="0CDF5253" w:rsidR="002A337F" w:rsidRPr="00872D7E" w:rsidRDefault="002A337F" w:rsidP="002A337F">
            <w:pPr>
              <w:widowControl w:val="0"/>
              <w:rPr>
                <w:bCs/>
                <w:szCs w:val="20"/>
              </w:rPr>
            </w:pPr>
            <w:r w:rsidRPr="00872D7E">
              <w:rPr>
                <w:color w:val="000000"/>
                <w:szCs w:val="20"/>
              </w:rPr>
              <w:t>Swift, EFT ve havale için verilen ücret ve komisyonlar</w:t>
            </w:r>
          </w:p>
        </w:tc>
        <w:tc>
          <w:tcPr>
            <w:tcW w:w="1538" w:type="pct"/>
            <w:shd w:val="clear" w:color="auto" w:fill="auto"/>
            <w:noWrap/>
          </w:tcPr>
          <w:p w14:paraId="3954305C" w14:textId="3191F3D5" w:rsidR="002A337F" w:rsidRPr="00872D7E" w:rsidRDefault="002A337F" w:rsidP="002A337F">
            <w:pPr>
              <w:widowControl w:val="0"/>
              <w:jc w:val="right"/>
              <w:rPr>
                <w:color w:val="000000"/>
                <w:szCs w:val="20"/>
              </w:rPr>
            </w:pPr>
            <w:r w:rsidRPr="00872D7E">
              <w:t>2.062</w:t>
            </w:r>
          </w:p>
        </w:tc>
      </w:tr>
      <w:tr w:rsidR="002A337F" w:rsidRPr="00872D7E" w14:paraId="14629234" w14:textId="77777777" w:rsidTr="00D5602E">
        <w:trPr>
          <w:trHeight w:val="113"/>
        </w:trPr>
        <w:tc>
          <w:tcPr>
            <w:tcW w:w="3462" w:type="pct"/>
            <w:shd w:val="clear" w:color="auto" w:fill="FFFFFF"/>
            <w:noWrap/>
            <w:vAlign w:val="center"/>
          </w:tcPr>
          <w:p w14:paraId="44AEA120" w14:textId="6686C22E" w:rsidR="002A337F" w:rsidRPr="00872D7E" w:rsidRDefault="002A337F" w:rsidP="002A337F">
            <w:pPr>
              <w:widowControl w:val="0"/>
              <w:rPr>
                <w:szCs w:val="20"/>
              </w:rPr>
            </w:pPr>
            <w:r w:rsidRPr="00872D7E">
              <w:rPr>
                <w:szCs w:val="20"/>
              </w:rPr>
              <w:t>Kiralama işlemleri aracılık komisyonu</w:t>
            </w:r>
          </w:p>
        </w:tc>
        <w:tc>
          <w:tcPr>
            <w:tcW w:w="1538" w:type="pct"/>
            <w:shd w:val="clear" w:color="auto" w:fill="auto"/>
            <w:noWrap/>
          </w:tcPr>
          <w:p w14:paraId="7A681174" w14:textId="18E32E87" w:rsidR="002A337F" w:rsidRPr="00872D7E" w:rsidRDefault="002A337F" w:rsidP="002A337F">
            <w:pPr>
              <w:widowControl w:val="0"/>
              <w:jc w:val="right"/>
              <w:rPr>
                <w:color w:val="000000"/>
                <w:szCs w:val="20"/>
              </w:rPr>
            </w:pPr>
            <w:r w:rsidRPr="00872D7E">
              <w:t>1.166</w:t>
            </w:r>
          </w:p>
        </w:tc>
      </w:tr>
      <w:tr w:rsidR="002A337F" w:rsidRPr="00872D7E" w14:paraId="51258342" w14:textId="77777777" w:rsidTr="00D5602E">
        <w:trPr>
          <w:trHeight w:val="113"/>
        </w:trPr>
        <w:tc>
          <w:tcPr>
            <w:tcW w:w="3462" w:type="pct"/>
            <w:shd w:val="clear" w:color="auto" w:fill="FFFFFF"/>
            <w:noWrap/>
            <w:vAlign w:val="center"/>
          </w:tcPr>
          <w:p w14:paraId="0B20BA25" w14:textId="0F918987" w:rsidR="002A337F" w:rsidRPr="00872D7E" w:rsidRDefault="002A337F" w:rsidP="002A337F">
            <w:pPr>
              <w:widowControl w:val="0"/>
              <w:rPr>
                <w:szCs w:val="20"/>
              </w:rPr>
            </w:pPr>
            <w:r w:rsidRPr="00872D7E">
              <w:rPr>
                <w:szCs w:val="20"/>
              </w:rPr>
              <w:t>Takas odasına verilen komisyon ve ücretler</w:t>
            </w:r>
          </w:p>
        </w:tc>
        <w:tc>
          <w:tcPr>
            <w:tcW w:w="1538" w:type="pct"/>
            <w:shd w:val="clear" w:color="auto" w:fill="auto"/>
            <w:noWrap/>
          </w:tcPr>
          <w:p w14:paraId="0191CB00" w14:textId="6F41AE2B" w:rsidR="002A337F" w:rsidRPr="00872D7E" w:rsidRDefault="002A337F" w:rsidP="002A337F">
            <w:pPr>
              <w:widowControl w:val="0"/>
              <w:jc w:val="right"/>
              <w:rPr>
                <w:szCs w:val="20"/>
              </w:rPr>
            </w:pPr>
            <w:r w:rsidRPr="00872D7E">
              <w:t>1.156</w:t>
            </w:r>
          </w:p>
        </w:tc>
      </w:tr>
      <w:tr w:rsidR="002A337F" w:rsidRPr="00872D7E" w14:paraId="13E80FED" w14:textId="77777777" w:rsidTr="00D5602E">
        <w:trPr>
          <w:trHeight w:val="113"/>
        </w:trPr>
        <w:tc>
          <w:tcPr>
            <w:tcW w:w="3462" w:type="pct"/>
            <w:shd w:val="clear" w:color="auto" w:fill="FFFFFF"/>
            <w:noWrap/>
            <w:vAlign w:val="center"/>
          </w:tcPr>
          <w:p w14:paraId="4A223120" w14:textId="3F892DB4" w:rsidR="002A337F" w:rsidRPr="00872D7E" w:rsidRDefault="002A337F" w:rsidP="002A337F">
            <w:pPr>
              <w:widowControl w:val="0"/>
              <w:rPr>
                <w:szCs w:val="20"/>
              </w:rPr>
            </w:pPr>
            <w:r w:rsidRPr="00872D7E">
              <w:rPr>
                <w:szCs w:val="20"/>
              </w:rPr>
              <w:t>Grup nakillerine verilen ücret ve komisyonlar</w:t>
            </w:r>
          </w:p>
        </w:tc>
        <w:tc>
          <w:tcPr>
            <w:tcW w:w="1538" w:type="pct"/>
            <w:shd w:val="clear" w:color="auto" w:fill="auto"/>
            <w:noWrap/>
          </w:tcPr>
          <w:p w14:paraId="1CC38593" w14:textId="45C38761" w:rsidR="002A337F" w:rsidRPr="00872D7E" w:rsidRDefault="002A337F" w:rsidP="002A337F">
            <w:pPr>
              <w:widowControl w:val="0"/>
              <w:jc w:val="right"/>
            </w:pPr>
            <w:r w:rsidRPr="00872D7E">
              <w:t>596</w:t>
            </w:r>
          </w:p>
        </w:tc>
      </w:tr>
      <w:tr w:rsidR="002A337F" w:rsidRPr="00872D7E" w14:paraId="3D49BAAD" w14:textId="76024875" w:rsidTr="00D5602E">
        <w:trPr>
          <w:trHeight w:val="113"/>
        </w:trPr>
        <w:tc>
          <w:tcPr>
            <w:tcW w:w="3462" w:type="pct"/>
            <w:tcBorders>
              <w:bottom w:val="single" w:sz="4" w:space="0" w:color="auto"/>
            </w:tcBorders>
            <w:shd w:val="clear" w:color="auto" w:fill="FFFFFF"/>
            <w:noWrap/>
            <w:vAlign w:val="center"/>
          </w:tcPr>
          <w:p w14:paraId="4F7C07A5" w14:textId="01415809" w:rsidR="002A337F" w:rsidRPr="00872D7E" w:rsidRDefault="002A337F" w:rsidP="002A337F">
            <w:pPr>
              <w:widowControl w:val="0"/>
              <w:rPr>
                <w:szCs w:val="20"/>
              </w:rPr>
            </w:pPr>
            <w:r w:rsidRPr="00872D7E">
              <w:rPr>
                <w:color w:val="000000"/>
                <w:szCs w:val="20"/>
              </w:rPr>
              <w:t>Diğer</w:t>
            </w:r>
          </w:p>
        </w:tc>
        <w:tc>
          <w:tcPr>
            <w:tcW w:w="1538" w:type="pct"/>
            <w:tcBorders>
              <w:bottom w:val="single" w:sz="4" w:space="0" w:color="auto"/>
            </w:tcBorders>
            <w:shd w:val="clear" w:color="auto" w:fill="auto"/>
            <w:noWrap/>
          </w:tcPr>
          <w:p w14:paraId="643E18C9" w14:textId="5FB3BDA0" w:rsidR="002A337F" w:rsidRPr="00872D7E" w:rsidRDefault="002A337F" w:rsidP="002A337F">
            <w:pPr>
              <w:widowControl w:val="0"/>
              <w:jc w:val="right"/>
              <w:rPr>
                <w:color w:val="000000"/>
                <w:szCs w:val="20"/>
              </w:rPr>
            </w:pPr>
            <w:r w:rsidRPr="00872D7E">
              <w:t>827</w:t>
            </w:r>
          </w:p>
        </w:tc>
      </w:tr>
      <w:tr w:rsidR="002A337F" w:rsidRPr="00872D7E" w14:paraId="44EED9E1" w14:textId="77777777" w:rsidTr="00D5602E">
        <w:trPr>
          <w:trHeight w:val="113"/>
        </w:trPr>
        <w:tc>
          <w:tcPr>
            <w:tcW w:w="3462" w:type="pct"/>
            <w:tcBorders>
              <w:top w:val="single" w:sz="4" w:space="0" w:color="auto"/>
            </w:tcBorders>
            <w:shd w:val="clear" w:color="auto" w:fill="FFFFFF"/>
            <w:noWrap/>
            <w:vAlign w:val="bottom"/>
          </w:tcPr>
          <w:p w14:paraId="49AE5228" w14:textId="77777777" w:rsidR="002A337F" w:rsidRPr="00872D7E" w:rsidRDefault="002A337F" w:rsidP="002A337F">
            <w:pPr>
              <w:widowControl w:val="0"/>
              <w:rPr>
                <w:szCs w:val="20"/>
              </w:rPr>
            </w:pPr>
          </w:p>
        </w:tc>
        <w:tc>
          <w:tcPr>
            <w:tcW w:w="1538" w:type="pct"/>
            <w:tcBorders>
              <w:top w:val="single" w:sz="4" w:space="0" w:color="auto"/>
            </w:tcBorders>
            <w:shd w:val="clear" w:color="auto" w:fill="auto"/>
            <w:noWrap/>
          </w:tcPr>
          <w:p w14:paraId="3F9297CE" w14:textId="77777777" w:rsidR="002A337F" w:rsidRPr="00872D7E" w:rsidRDefault="002A337F" w:rsidP="002A337F">
            <w:pPr>
              <w:widowControl w:val="0"/>
              <w:jc w:val="right"/>
              <w:rPr>
                <w:color w:val="000000"/>
                <w:szCs w:val="20"/>
              </w:rPr>
            </w:pPr>
          </w:p>
        </w:tc>
      </w:tr>
      <w:tr w:rsidR="002A337F" w:rsidRPr="00872D7E" w14:paraId="35A261F7" w14:textId="54D82FCD" w:rsidTr="00D5602E">
        <w:trPr>
          <w:trHeight w:val="113"/>
        </w:trPr>
        <w:tc>
          <w:tcPr>
            <w:tcW w:w="3462" w:type="pct"/>
            <w:tcBorders>
              <w:bottom w:val="single" w:sz="12" w:space="0" w:color="auto"/>
            </w:tcBorders>
            <w:shd w:val="clear" w:color="auto" w:fill="FFFFFF"/>
            <w:noWrap/>
            <w:vAlign w:val="bottom"/>
          </w:tcPr>
          <w:p w14:paraId="5D746BA5" w14:textId="77777777" w:rsidR="002A337F" w:rsidRPr="00872D7E" w:rsidRDefault="002A337F" w:rsidP="002A337F">
            <w:pPr>
              <w:widowControl w:val="0"/>
              <w:rPr>
                <w:b/>
                <w:szCs w:val="20"/>
              </w:rPr>
            </w:pPr>
            <w:r w:rsidRPr="00872D7E">
              <w:rPr>
                <w:b/>
                <w:szCs w:val="20"/>
              </w:rPr>
              <w:t>Toplam</w:t>
            </w:r>
          </w:p>
        </w:tc>
        <w:tc>
          <w:tcPr>
            <w:tcW w:w="1538" w:type="pct"/>
            <w:tcBorders>
              <w:bottom w:val="single" w:sz="12" w:space="0" w:color="auto"/>
            </w:tcBorders>
            <w:shd w:val="clear" w:color="auto" w:fill="auto"/>
            <w:noWrap/>
          </w:tcPr>
          <w:p w14:paraId="56527D6B" w14:textId="4A085055" w:rsidR="002A337F" w:rsidRPr="00872D7E" w:rsidRDefault="002A337F" w:rsidP="002A337F">
            <w:pPr>
              <w:widowControl w:val="0"/>
              <w:jc w:val="right"/>
              <w:rPr>
                <w:b/>
                <w:color w:val="000000"/>
                <w:szCs w:val="20"/>
              </w:rPr>
            </w:pPr>
            <w:r w:rsidRPr="00872D7E">
              <w:rPr>
                <w:b/>
              </w:rPr>
              <w:t>9.286</w:t>
            </w:r>
          </w:p>
        </w:tc>
      </w:tr>
    </w:tbl>
    <w:p w14:paraId="2CF4AD1D" w14:textId="6FB7F9DF" w:rsidR="00D14DEB" w:rsidRPr="00872D7E" w:rsidRDefault="00D14DEB" w:rsidP="009F6E11">
      <w:pPr>
        <w:widowControl w:val="0"/>
        <w:rPr>
          <w:b/>
          <w:szCs w:val="20"/>
        </w:rPr>
      </w:pPr>
    </w:p>
    <w:p w14:paraId="181E3F58" w14:textId="77777777" w:rsidR="00000466" w:rsidRPr="00872D7E" w:rsidRDefault="00000466" w:rsidP="00000466">
      <w:pPr>
        <w:pStyle w:val="ListParagraph"/>
        <w:widowControl w:val="0"/>
        <w:numPr>
          <w:ilvl w:val="0"/>
          <w:numId w:val="31"/>
        </w:numPr>
        <w:autoSpaceDE w:val="0"/>
        <w:autoSpaceDN w:val="0"/>
        <w:adjustRightInd w:val="0"/>
        <w:ind w:left="851" w:hanging="851"/>
        <w:rPr>
          <w:b/>
          <w:szCs w:val="20"/>
        </w:rPr>
      </w:pPr>
      <w:r w:rsidRPr="00872D7E">
        <w:rPr>
          <w:b/>
          <w:szCs w:val="20"/>
        </w:rPr>
        <w:t>Temettü gelirlerine ilişkin açıklamalar:</w:t>
      </w:r>
    </w:p>
    <w:p w14:paraId="5B70D401" w14:textId="57391577" w:rsidR="00000466" w:rsidRPr="00872D7E" w:rsidRDefault="00000466" w:rsidP="00000466"/>
    <w:tbl>
      <w:tblPr>
        <w:tblW w:w="5000" w:type="pct"/>
        <w:tblCellMar>
          <w:left w:w="70" w:type="dxa"/>
          <w:right w:w="70" w:type="dxa"/>
        </w:tblCellMar>
        <w:tblLook w:val="04A0" w:firstRow="1" w:lastRow="0" w:firstColumn="1" w:lastColumn="0" w:noHBand="0" w:noVBand="1"/>
      </w:tblPr>
      <w:tblGrid>
        <w:gridCol w:w="6763"/>
        <w:gridCol w:w="1439"/>
        <w:gridCol w:w="1153"/>
      </w:tblGrid>
      <w:tr w:rsidR="00000466" w:rsidRPr="00872D7E" w14:paraId="7754E086" w14:textId="77777777" w:rsidTr="00336F42">
        <w:trPr>
          <w:trHeight w:val="227"/>
        </w:trPr>
        <w:tc>
          <w:tcPr>
            <w:tcW w:w="3615" w:type="pct"/>
            <w:tcBorders>
              <w:top w:val="nil"/>
              <w:left w:val="nil"/>
              <w:bottom w:val="nil"/>
              <w:right w:val="nil"/>
            </w:tcBorders>
            <w:shd w:val="clear" w:color="auto" w:fill="auto"/>
            <w:vAlign w:val="center"/>
            <w:hideMark/>
          </w:tcPr>
          <w:p w14:paraId="12821DAE" w14:textId="77777777" w:rsidR="00000466" w:rsidRPr="00872D7E" w:rsidRDefault="00000466" w:rsidP="00336F42">
            <w:pPr>
              <w:rPr>
                <w:szCs w:val="20"/>
                <w:lang w:eastAsia="tr-TR"/>
              </w:rPr>
            </w:pPr>
          </w:p>
        </w:tc>
        <w:tc>
          <w:tcPr>
            <w:tcW w:w="1385" w:type="pct"/>
            <w:gridSpan w:val="2"/>
            <w:tcBorders>
              <w:top w:val="nil"/>
              <w:left w:val="nil"/>
              <w:bottom w:val="single" w:sz="4" w:space="0" w:color="auto"/>
              <w:right w:val="nil"/>
            </w:tcBorders>
            <w:shd w:val="clear" w:color="auto" w:fill="auto"/>
            <w:noWrap/>
            <w:vAlign w:val="center"/>
            <w:hideMark/>
          </w:tcPr>
          <w:p w14:paraId="24B96498" w14:textId="77777777" w:rsidR="00000466" w:rsidRPr="00872D7E" w:rsidRDefault="00000466" w:rsidP="00336F42">
            <w:pPr>
              <w:jc w:val="center"/>
              <w:rPr>
                <w:b/>
                <w:bCs/>
                <w:color w:val="000000"/>
                <w:szCs w:val="20"/>
                <w:lang w:eastAsia="tr-TR"/>
              </w:rPr>
            </w:pPr>
            <w:r w:rsidRPr="00872D7E">
              <w:rPr>
                <w:b/>
                <w:bCs/>
                <w:color w:val="000000"/>
                <w:szCs w:val="20"/>
                <w:lang w:eastAsia="tr-TR"/>
              </w:rPr>
              <w:t xml:space="preserve">1 </w:t>
            </w:r>
            <w:proofErr w:type="gramStart"/>
            <w:r w:rsidRPr="00872D7E">
              <w:rPr>
                <w:b/>
                <w:bCs/>
                <w:color w:val="000000"/>
                <w:szCs w:val="20"/>
                <w:lang w:eastAsia="tr-TR"/>
              </w:rPr>
              <w:t>Ocak -</w:t>
            </w:r>
            <w:proofErr w:type="gramEnd"/>
            <w:r w:rsidRPr="00872D7E">
              <w:rPr>
                <w:b/>
                <w:bCs/>
                <w:color w:val="000000"/>
                <w:szCs w:val="20"/>
                <w:lang w:eastAsia="tr-TR"/>
              </w:rPr>
              <w:t xml:space="preserve"> 31 Aralık 2024</w:t>
            </w:r>
          </w:p>
        </w:tc>
      </w:tr>
      <w:tr w:rsidR="00000466" w:rsidRPr="00872D7E" w14:paraId="3482E5D7" w14:textId="77777777" w:rsidTr="00336F42">
        <w:trPr>
          <w:trHeight w:val="227"/>
        </w:trPr>
        <w:tc>
          <w:tcPr>
            <w:tcW w:w="3615" w:type="pct"/>
            <w:tcBorders>
              <w:top w:val="nil"/>
              <w:left w:val="nil"/>
              <w:bottom w:val="single" w:sz="4" w:space="0" w:color="auto"/>
              <w:right w:val="nil"/>
            </w:tcBorders>
            <w:shd w:val="clear" w:color="auto" w:fill="auto"/>
            <w:vAlign w:val="center"/>
            <w:hideMark/>
          </w:tcPr>
          <w:p w14:paraId="0E36758F" w14:textId="77777777" w:rsidR="00000466" w:rsidRPr="00872D7E" w:rsidRDefault="00000466" w:rsidP="00336F42">
            <w:pPr>
              <w:jc w:val="right"/>
              <w:rPr>
                <w:color w:val="000000"/>
                <w:szCs w:val="20"/>
                <w:lang w:eastAsia="tr-TR"/>
              </w:rPr>
            </w:pPr>
            <w:r w:rsidRPr="00872D7E">
              <w:rPr>
                <w:color w:val="000000"/>
                <w:szCs w:val="20"/>
                <w:lang w:eastAsia="tr-TR"/>
              </w:rPr>
              <w:t> </w:t>
            </w:r>
          </w:p>
        </w:tc>
        <w:tc>
          <w:tcPr>
            <w:tcW w:w="769" w:type="pct"/>
            <w:tcBorders>
              <w:top w:val="nil"/>
              <w:left w:val="nil"/>
              <w:bottom w:val="single" w:sz="4" w:space="0" w:color="auto"/>
              <w:right w:val="nil"/>
            </w:tcBorders>
            <w:shd w:val="clear" w:color="auto" w:fill="auto"/>
            <w:noWrap/>
            <w:vAlign w:val="center"/>
            <w:hideMark/>
          </w:tcPr>
          <w:p w14:paraId="5A48B29C" w14:textId="77777777" w:rsidR="00000466" w:rsidRPr="00872D7E" w:rsidRDefault="00000466" w:rsidP="00336F42">
            <w:pPr>
              <w:jc w:val="right"/>
              <w:rPr>
                <w:b/>
                <w:bCs/>
                <w:color w:val="000000"/>
                <w:szCs w:val="20"/>
                <w:lang w:eastAsia="tr-TR"/>
              </w:rPr>
            </w:pPr>
            <w:r w:rsidRPr="00872D7E">
              <w:rPr>
                <w:b/>
                <w:bCs/>
                <w:color w:val="000000"/>
                <w:szCs w:val="20"/>
                <w:lang w:eastAsia="tr-TR"/>
              </w:rPr>
              <w:t>TP</w:t>
            </w:r>
          </w:p>
        </w:tc>
        <w:tc>
          <w:tcPr>
            <w:tcW w:w="616" w:type="pct"/>
            <w:tcBorders>
              <w:top w:val="nil"/>
              <w:left w:val="nil"/>
              <w:bottom w:val="single" w:sz="4" w:space="0" w:color="auto"/>
              <w:right w:val="nil"/>
            </w:tcBorders>
            <w:shd w:val="clear" w:color="auto" w:fill="auto"/>
            <w:noWrap/>
            <w:vAlign w:val="center"/>
            <w:hideMark/>
          </w:tcPr>
          <w:p w14:paraId="31F8E556" w14:textId="77777777" w:rsidR="00000466" w:rsidRPr="00872D7E" w:rsidRDefault="00000466" w:rsidP="00336F42">
            <w:pPr>
              <w:jc w:val="right"/>
              <w:rPr>
                <w:b/>
                <w:bCs/>
                <w:color w:val="000000"/>
                <w:szCs w:val="20"/>
                <w:lang w:eastAsia="tr-TR"/>
              </w:rPr>
            </w:pPr>
            <w:r w:rsidRPr="00872D7E">
              <w:rPr>
                <w:b/>
                <w:bCs/>
                <w:color w:val="000000"/>
                <w:szCs w:val="20"/>
                <w:lang w:eastAsia="tr-TR"/>
              </w:rPr>
              <w:t>YP</w:t>
            </w:r>
          </w:p>
        </w:tc>
      </w:tr>
      <w:tr w:rsidR="00000466" w:rsidRPr="00872D7E" w14:paraId="19069641" w14:textId="77777777" w:rsidTr="00336F42">
        <w:trPr>
          <w:trHeight w:val="227"/>
        </w:trPr>
        <w:tc>
          <w:tcPr>
            <w:tcW w:w="3615" w:type="pct"/>
            <w:tcBorders>
              <w:top w:val="nil"/>
              <w:left w:val="nil"/>
              <w:bottom w:val="nil"/>
              <w:right w:val="nil"/>
            </w:tcBorders>
            <w:shd w:val="clear" w:color="auto" w:fill="auto"/>
            <w:vAlign w:val="center"/>
            <w:hideMark/>
          </w:tcPr>
          <w:p w14:paraId="1CB83B87" w14:textId="77777777" w:rsidR="00000466" w:rsidRPr="00872D7E" w:rsidRDefault="00000466" w:rsidP="00336F42">
            <w:pPr>
              <w:jc w:val="right"/>
              <w:rPr>
                <w:b/>
                <w:bCs/>
                <w:color w:val="000000"/>
                <w:szCs w:val="20"/>
                <w:lang w:eastAsia="tr-TR"/>
              </w:rPr>
            </w:pPr>
          </w:p>
        </w:tc>
        <w:tc>
          <w:tcPr>
            <w:tcW w:w="769" w:type="pct"/>
            <w:tcBorders>
              <w:top w:val="nil"/>
              <w:left w:val="nil"/>
              <w:bottom w:val="nil"/>
              <w:right w:val="nil"/>
            </w:tcBorders>
            <w:shd w:val="clear" w:color="auto" w:fill="auto"/>
            <w:noWrap/>
            <w:vAlign w:val="center"/>
            <w:hideMark/>
          </w:tcPr>
          <w:p w14:paraId="62D07C63" w14:textId="77777777" w:rsidR="00000466" w:rsidRPr="00872D7E" w:rsidRDefault="00000466" w:rsidP="00336F42">
            <w:pPr>
              <w:jc w:val="right"/>
              <w:rPr>
                <w:szCs w:val="20"/>
                <w:lang w:eastAsia="tr-TR"/>
              </w:rPr>
            </w:pPr>
          </w:p>
        </w:tc>
        <w:tc>
          <w:tcPr>
            <w:tcW w:w="616" w:type="pct"/>
            <w:tcBorders>
              <w:top w:val="nil"/>
              <w:left w:val="nil"/>
              <w:bottom w:val="nil"/>
              <w:right w:val="nil"/>
            </w:tcBorders>
            <w:shd w:val="clear" w:color="auto" w:fill="auto"/>
            <w:noWrap/>
            <w:vAlign w:val="center"/>
            <w:hideMark/>
          </w:tcPr>
          <w:p w14:paraId="7340D3B4" w14:textId="77777777" w:rsidR="00000466" w:rsidRPr="00872D7E" w:rsidRDefault="00000466" w:rsidP="00336F42">
            <w:pPr>
              <w:jc w:val="right"/>
              <w:rPr>
                <w:szCs w:val="20"/>
                <w:lang w:eastAsia="tr-TR"/>
              </w:rPr>
            </w:pPr>
          </w:p>
        </w:tc>
      </w:tr>
      <w:tr w:rsidR="00000466" w:rsidRPr="00872D7E" w14:paraId="48F2CA13" w14:textId="77777777" w:rsidTr="00336F42">
        <w:trPr>
          <w:trHeight w:val="227"/>
        </w:trPr>
        <w:tc>
          <w:tcPr>
            <w:tcW w:w="3615" w:type="pct"/>
            <w:tcBorders>
              <w:top w:val="nil"/>
              <w:left w:val="nil"/>
              <w:bottom w:val="nil"/>
              <w:right w:val="nil"/>
            </w:tcBorders>
            <w:shd w:val="clear" w:color="auto" w:fill="auto"/>
            <w:vAlign w:val="center"/>
            <w:hideMark/>
          </w:tcPr>
          <w:p w14:paraId="2CBF0AD0" w14:textId="77777777" w:rsidR="00000466" w:rsidRPr="00872D7E" w:rsidRDefault="00000466" w:rsidP="00336F42">
            <w:pPr>
              <w:rPr>
                <w:color w:val="000000"/>
                <w:szCs w:val="20"/>
                <w:lang w:eastAsia="tr-TR"/>
              </w:rPr>
            </w:pPr>
            <w:r w:rsidRPr="00872D7E">
              <w:rPr>
                <w:color w:val="000000"/>
                <w:szCs w:val="20"/>
                <w:lang w:eastAsia="tr-TR"/>
              </w:rPr>
              <w:t>Gerçeğe Uygun Değer Farkı Kâr veya Zarara Yansıtılan Finansal Varlıklar</w:t>
            </w:r>
          </w:p>
        </w:tc>
        <w:tc>
          <w:tcPr>
            <w:tcW w:w="769" w:type="pct"/>
            <w:tcBorders>
              <w:top w:val="nil"/>
              <w:left w:val="nil"/>
              <w:bottom w:val="nil"/>
              <w:right w:val="nil"/>
            </w:tcBorders>
            <w:shd w:val="clear" w:color="auto" w:fill="auto"/>
            <w:noWrap/>
            <w:vAlign w:val="center"/>
            <w:hideMark/>
          </w:tcPr>
          <w:p w14:paraId="380EA72D" w14:textId="77777777" w:rsidR="00000466" w:rsidRPr="00872D7E" w:rsidRDefault="00000466" w:rsidP="00336F42">
            <w:pPr>
              <w:jc w:val="right"/>
              <w:rPr>
                <w:color w:val="000000"/>
                <w:szCs w:val="20"/>
                <w:lang w:eastAsia="tr-TR"/>
              </w:rPr>
            </w:pPr>
            <w:r w:rsidRPr="00872D7E">
              <w:rPr>
                <w:color w:val="000000"/>
                <w:szCs w:val="20"/>
                <w:lang w:eastAsia="tr-TR"/>
              </w:rPr>
              <w:t>52</w:t>
            </w:r>
          </w:p>
        </w:tc>
        <w:tc>
          <w:tcPr>
            <w:tcW w:w="616" w:type="pct"/>
            <w:tcBorders>
              <w:top w:val="nil"/>
              <w:left w:val="nil"/>
              <w:bottom w:val="nil"/>
              <w:right w:val="nil"/>
            </w:tcBorders>
            <w:shd w:val="clear" w:color="auto" w:fill="auto"/>
            <w:noWrap/>
            <w:vAlign w:val="center"/>
            <w:hideMark/>
          </w:tcPr>
          <w:p w14:paraId="25304C7B" w14:textId="77777777" w:rsidR="00000466" w:rsidRPr="00872D7E" w:rsidRDefault="00000466" w:rsidP="00336F42">
            <w:pPr>
              <w:jc w:val="right"/>
              <w:rPr>
                <w:color w:val="000000"/>
                <w:szCs w:val="20"/>
                <w:lang w:eastAsia="tr-TR"/>
              </w:rPr>
            </w:pPr>
            <w:r w:rsidRPr="00872D7E">
              <w:rPr>
                <w:color w:val="000000"/>
                <w:szCs w:val="20"/>
                <w:lang w:eastAsia="tr-TR"/>
              </w:rPr>
              <w:t>-</w:t>
            </w:r>
          </w:p>
        </w:tc>
      </w:tr>
      <w:tr w:rsidR="00000466" w:rsidRPr="00872D7E" w14:paraId="2889D0EB" w14:textId="77777777" w:rsidTr="00336F42">
        <w:trPr>
          <w:trHeight w:val="227"/>
        </w:trPr>
        <w:tc>
          <w:tcPr>
            <w:tcW w:w="3615" w:type="pct"/>
            <w:tcBorders>
              <w:top w:val="nil"/>
              <w:left w:val="nil"/>
              <w:bottom w:val="nil"/>
              <w:right w:val="nil"/>
            </w:tcBorders>
            <w:shd w:val="clear" w:color="auto" w:fill="auto"/>
            <w:vAlign w:val="center"/>
            <w:hideMark/>
          </w:tcPr>
          <w:p w14:paraId="253F0801" w14:textId="77777777" w:rsidR="00000466" w:rsidRPr="00872D7E" w:rsidRDefault="00000466" w:rsidP="00336F42">
            <w:pPr>
              <w:rPr>
                <w:color w:val="000000"/>
                <w:szCs w:val="20"/>
                <w:lang w:eastAsia="tr-TR"/>
              </w:rPr>
            </w:pPr>
            <w:r w:rsidRPr="00872D7E">
              <w:rPr>
                <w:color w:val="000000"/>
                <w:szCs w:val="20"/>
                <w:lang w:eastAsia="tr-TR"/>
              </w:rPr>
              <w:t>Gerçeğe Uygun Değer Farkı Diğer Kapsamlı Gelire Yansıtılan Finansal Varlıklar</w:t>
            </w:r>
          </w:p>
        </w:tc>
        <w:tc>
          <w:tcPr>
            <w:tcW w:w="769" w:type="pct"/>
            <w:tcBorders>
              <w:top w:val="nil"/>
              <w:left w:val="nil"/>
              <w:bottom w:val="nil"/>
              <w:right w:val="nil"/>
            </w:tcBorders>
            <w:shd w:val="clear" w:color="auto" w:fill="auto"/>
            <w:noWrap/>
            <w:vAlign w:val="center"/>
            <w:hideMark/>
          </w:tcPr>
          <w:p w14:paraId="7E22E4AD" w14:textId="77777777" w:rsidR="00000466" w:rsidRPr="00872D7E" w:rsidRDefault="00000466" w:rsidP="00336F42">
            <w:pPr>
              <w:jc w:val="right"/>
              <w:rPr>
                <w:color w:val="000000"/>
                <w:szCs w:val="20"/>
                <w:lang w:eastAsia="tr-TR"/>
              </w:rPr>
            </w:pPr>
            <w:r w:rsidRPr="00872D7E">
              <w:rPr>
                <w:color w:val="000000"/>
                <w:szCs w:val="20"/>
                <w:lang w:eastAsia="tr-TR"/>
              </w:rPr>
              <w:t>-</w:t>
            </w:r>
          </w:p>
        </w:tc>
        <w:tc>
          <w:tcPr>
            <w:tcW w:w="616" w:type="pct"/>
            <w:tcBorders>
              <w:top w:val="nil"/>
              <w:left w:val="nil"/>
              <w:bottom w:val="nil"/>
              <w:right w:val="nil"/>
            </w:tcBorders>
            <w:shd w:val="clear" w:color="auto" w:fill="auto"/>
            <w:noWrap/>
            <w:vAlign w:val="center"/>
            <w:hideMark/>
          </w:tcPr>
          <w:p w14:paraId="1BABCAA5" w14:textId="77777777" w:rsidR="00000466" w:rsidRPr="00872D7E" w:rsidRDefault="00000466" w:rsidP="00336F42">
            <w:pPr>
              <w:jc w:val="right"/>
              <w:rPr>
                <w:color w:val="000000"/>
                <w:szCs w:val="20"/>
                <w:lang w:eastAsia="tr-TR"/>
              </w:rPr>
            </w:pPr>
            <w:r w:rsidRPr="00872D7E">
              <w:rPr>
                <w:color w:val="000000"/>
                <w:szCs w:val="20"/>
                <w:lang w:eastAsia="tr-TR"/>
              </w:rPr>
              <w:t>-</w:t>
            </w:r>
          </w:p>
        </w:tc>
      </w:tr>
      <w:tr w:rsidR="00000466" w:rsidRPr="00872D7E" w14:paraId="5ABB856F" w14:textId="77777777" w:rsidTr="00336F42">
        <w:trPr>
          <w:trHeight w:val="227"/>
        </w:trPr>
        <w:tc>
          <w:tcPr>
            <w:tcW w:w="3615" w:type="pct"/>
            <w:tcBorders>
              <w:top w:val="nil"/>
              <w:left w:val="nil"/>
              <w:bottom w:val="single" w:sz="4" w:space="0" w:color="auto"/>
              <w:right w:val="nil"/>
            </w:tcBorders>
            <w:shd w:val="clear" w:color="auto" w:fill="auto"/>
            <w:vAlign w:val="center"/>
            <w:hideMark/>
          </w:tcPr>
          <w:p w14:paraId="4A208AF5" w14:textId="77777777" w:rsidR="00000466" w:rsidRPr="00872D7E" w:rsidRDefault="00000466" w:rsidP="00336F42">
            <w:pPr>
              <w:rPr>
                <w:color w:val="000000"/>
                <w:szCs w:val="20"/>
                <w:lang w:eastAsia="tr-TR"/>
              </w:rPr>
            </w:pPr>
            <w:r w:rsidRPr="00872D7E">
              <w:rPr>
                <w:color w:val="000000"/>
                <w:szCs w:val="20"/>
                <w:lang w:eastAsia="tr-TR"/>
              </w:rPr>
              <w:t>Diğer</w:t>
            </w:r>
          </w:p>
        </w:tc>
        <w:tc>
          <w:tcPr>
            <w:tcW w:w="769" w:type="pct"/>
            <w:tcBorders>
              <w:top w:val="nil"/>
              <w:left w:val="nil"/>
              <w:bottom w:val="single" w:sz="4" w:space="0" w:color="auto"/>
              <w:right w:val="nil"/>
            </w:tcBorders>
            <w:shd w:val="clear" w:color="auto" w:fill="auto"/>
            <w:noWrap/>
            <w:vAlign w:val="center"/>
            <w:hideMark/>
          </w:tcPr>
          <w:p w14:paraId="5D7FACB3" w14:textId="77777777" w:rsidR="00000466" w:rsidRPr="00872D7E" w:rsidRDefault="00000466" w:rsidP="00336F42">
            <w:pPr>
              <w:jc w:val="right"/>
              <w:rPr>
                <w:color w:val="000000"/>
                <w:szCs w:val="20"/>
                <w:lang w:eastAsia="tr-TR"/>
              </w:rPr>
            </w:pPr>
            <w:r w:rsidRPr="00872D7E">
              <w:rPr>
                <w:color w:val="000000"/>
                <w:szCs w:val="20"/>
                <w:lang w:eastAsia="tr-TR"/>
              </w:rPr>
              <w:t>-</w:t>
            </w:r>
          </w:p>
        </w:tc>
        <w:tc>
          <w:tcPr>
            <w:tcW w:w="616" w:type="pct"/>
            <w:tcBorders>
              <w:top w:val="nil"/>
              <w:left w:val="nil"/>
              <w:bottom w:val="single" w:sz="4" w:space="0" w:color="auto"/>
              <w:right w:val="nil"/>
            </w:tcBorders>
            <w:shd w:val="clear" w:color="auto" w:fill="auto"/>
            <w:noWrap/>
            <w:vAlign w:val="center"/>
            <w:hideMark/>
          </w:tcPr>
          <w:p w14:paraId="061124C0" w14:textId="77777777" w:rsidR="00000466" w:rsidRPr="00872D7E" w:rsidRDefault="00000466" w:rsidP="00336F42">
            <w:pPr>
              <w:jc w:val="right"/>
              <w:rPr>
                <w:color w:val="000000"/>
                <w:szCs w:val="20"/>
                <w:lang w:eastAsia="tr-TR"/>
              </w:rPr>
            </w:pPr>
            <w:r w:rsidRPr="00872D7E">
              <w:rPr>
                <w:color w:val="000000"/>
                <w:szCs w:val="20"/>
                <w:lang w:eastAsia="tr-TR"/>
              </w:rPr>
              <w:t>-</w:t>
            </w:r>
          </w:p>
        </w:tc>
      </w:tr>
      <w:tr w:rsidR="00000466" w:rsidRPr="00872D7E" w14:paraId="2C2D72AD" w14:textId="77777777" w:rsidTr="004664F9">
        <w:trPr>
          <w:trHeight w:val="227"/>
        </w:trPr>
        <w:tc>
          <w:tcPr>
            <w:tcW w:w="3615" w:type="pct"/>
            <w:tcBorders>
              <w:top w:val="nil"/>
              <w:left w:val="nil"/>
              <w:right w:val="nil"/>
            </w:tcBorders>
            <w:shd w:val="clear" w:color="auto" w:fill="auto"/>
            <w:vAlign w:val="center"/>
            <w:hideMark/>
          </w:tcPr>
          <w:p w14:paraId="66FAC931" w14:textId="77777777" w:rsidR="00000466" w:rsidRPr="00872D7E" w:rsidRDefault="00000466" w:rsidP="00336F42">
            <w:pPr>
              <w:jc w:val="right"/>
              <w:rPr>
                <w:color w:val="000000"/>
                <w:szCs w:val="20"/>
                <w:lang w:eastAsia="tr-TR"/>
              </w:rPr>
            </w:pPr>
          </w:p>
        </w:tc>
        <w:tc>
          <w:tcPr>
            <w:tcW w:w="769" w:type="pct"/>
            <w:tcBorders>
              <w:top w:val="nil"/>
              <w:left w:val="nil"/>
              <w:right w:val="nil"/>
            </w:tcBorders>
            <w:shd w:val="clear" w:color="auto" w:fill="auto"/>
            <w:noWrap/>
            <w:vAlign w:val="center"/>
            <w:hideMark/>
          </w:tcPr>
          <w:p w14:paraId="3E053CC9" w14:textId="77777777" w:rsidR="00000466" w:rsidRPr="00872D7E" w:rsidRDefault="00000466" w:rsidP="00336F42">
            <w:pPr>
              <w:rPr>
                <w:szCs w:val="20"/>
                <w:lang w:eastAsia="tr-TR"/>
              </w:rPr>
            </w:pPr>
          </w:p>
        </w:tc>
        <w:tc>
          <w:tcPr>
            <w:tcW w:w="616" w:type="pct"/>
            <w:tcBorders>
              <w:top w:val="nil"/>
              <w:left w:val="nil"/>
              <w:right w:val="nil"/>
            </w:tcBorders>
            <w:shd w:val="clear" w:color="auto" w:fill="auto"/>
            <w:noWrap/>
            <w:vAlign w:val="center"/>
            <w:hideMark/>
          </w:tcPr>
          <w:p w14:paraId="69F9B8A5" w14:textId="77777777" w:rsidR="00000466" w:rsidRPr="00872D7E" w:rsidRDefault="00000466" w:rsidP="00336F42">
            <w:pPr>
              <w:jc w:val="right"/>
              <w:rPr>
                <w:szCs w:val="20"/>
                <w:lang w:eastAsia="tr-TR"/>
              </w:rPr>
            </w:pPr>
          </w:p>
        </w:tc>
      </w:tr>
      <w:tr w:rsidR="00000466" w:rsidRPr="00872D7E" w14:paraId="76942AED" w14:textId="77777777" w:rsidTr="004664F9">
        <w:trPr>
          <w:trHeight w:val="227"/>
        </w:trPr>
        <w:tc>
          <w:tcPr>
            <w:tcW w:w="3615" w:type="pct"/>
            <w:tcBorders>
              <w:top w:val="nil"/>
              <w:left w:val="nil"/>
              <w:bottom w:val="single" w:sz="12" w:space="0" w:color="auto"/>
              <w:right w:val="nil"/>
            </w:tcBorders>
            <w:shd w:val="clear" w:color="auto" w:fill="auto"/>
            <w:vAlign w:val="center"/>
            <w:hideMark/>
          </w:tcPr>
          <w:p w14:paraId="66951D6E" w14:textId="77777777" w:rsidR="00000466" w:rsidRPr="00872D7E" w:rsidRDefault="00000466" w:rsidP="00336F42">
            <w:pPr>
              <w:rPr>
                <w:b/>
                <w:bCs/>
                <w:color w:val="000000"/>
                <w:szCs w:val="20"/>
                <w:lang w:eastAsia="tr-TR"/>
              </w:rPr>
            </w:pPr>
            <w:r w:rsidRPr="00872D7E">
              <w:rPr>
                <w:b/>
                <w:bCs/>
                <w:color w:val="000000"/>
                <w:szCs w:val="20"/>
                <w:lang w:eastAsia="tr-TR"/>
              </w:rPr>
              <w:t>Toplam</w:t>
            </w:r>
          </w:p>
        </w:tc>
        <w:tc>
          <w:tcPr>
            <w:tcW w:w="769" w:type="pct"/>
            <w:tcBorders>
              <w:top w:val="nil"/>
              <w:left w:val="nil"/>
              <w:bottom w:val="single" w:sz="12" w:space="0" w:color="auto"/>
              <w:right w:val="nil"/>
            </w:tcBorders>
            <w:shd w:val="clear" w:color="auto" w:fill="auto"/>
            <w:noWrap/>
            <w:vAlign w:val="center"/>
            <w:hideMark/>
          </w:tcPr>
          <w:p w14:paraId="0196E2DA" w14:textId="77777777" w:rsidR="00000466" w:rsidRPr="00872D7E" w:rsidRDefault="00000466" w:rsidP="00336F42">
            <w:pPr>
              <w:jc w:val="right"/>
              <w:rPr>
                <w:b/>
                <w:bCs/>
                <w:color w:val="000000"/>
                <w:szCs w:val="20"/>
                <w:lang w:eastAsia="tr-TR"/>
              </w:rPr>
            </w:pPr>
            <w:r w:rsidRPr="00872D7E">
              <w:rPr>
                <w:b/>
                <w:bCs/>
                <w:color w:val="000000"/>
                <w:szCs w:val="20"/>
                <w:lang w:eastAsia="tr-TR"/>
              </w:rPr>
              <w:t>52</w:t>
            </w:r>
          </w:p>
        </w:tc>
        <w:tc>
          <w:tcPr>
            <w:tcW w:w="616" w:type="pct"/>
            <w:tcBorders>
              <w:top w:val="nil"/>
              <w:left w:val="nil"/>
              <w:bottom w:val="single" w:sz="12" w:space="0" w:color="auto"/>
              <w:right w:val="nil"/>
            </w:tcBorders>
            <w:shd w:val="clear" w:color="auto" w:fill="auto"/>
            <w:noWrap/>
            <w:vAlign w:val="center"/>
            <w:hideMark/>
          </w:tcPr>
          <w:p w14:paraId="1489692A" w14:textId="77777777" w:rsidR="00000466" w:rsidRPr="00872D7E" w:rsidRDefault="00000466" w:rsidP="00336F42">
            <w:pPr>
              <w:jc w:val="right"/>
              <w:rPr>
                <w:b/>
                <w:bCs/>
                <w:color w:val="000000"/>
                <w:szCs w:val="20"/>
                <w:lang w:eastAsia="tr-TR"/>
              </w:rPr>
            </w:pPr>
            <w:r w:rsidRPr="00872D7E">
              <w:rPr>
                <w:b/>
                <w:bCs/>
                <w:color w:val="000000"/>
                <w:szCs w:val="20"/>
                <w:lang w:eastAsia="tr-TR"/>
              </w:rPr>
              <w:t>-</w:t>
            </w:r>
          </w:p>
        </w:tc>
      </w:tr>
    </w:tbl>
    <w:p w14:paraId="7FF9CCE1" w14:textId="7DE1B711" w:rsidR="00D14DEB" w:rsidRPr="00872D7E" w:rsidRDefault="00D14DEB">
      <w:pPr>
        <w:rPr>
          <w:b/>
          <w:szCs w:val="20"/>
        </w:rPr>
      </w:pPr>
      <w:r w:rsidRPr="00872D7E">
        <w:rPr>
          <w:b/>
          <w:szCs w:val="20"/>
        </w:rPr>
        <w:br w:type="page"/>
      </w:r>
    </w:p>
    <w:p w14:paraId="09EF0A20" w14:textId="77777777" w:rsidR="00D14DEB" w:rsidRPr="00872D7E" w:rsidRDefault="00D14DEB" w:rsidP="00D14DEB">
      <w:pPr>
        <w:widowControl w:val="0"/>
        <w:ind w:left="720" w:hanging="720"/>
        <w:jc w:val="both"/>
        <w:rPr>
          <w:b/>
          <w:szCs w:val="20"/>
        </w:rPr>
      </w:pPr>
      <w:r w:rsidRPr="00872D7E">
        <w:rPr>
          <w:b/>
          <w:szCs w:val="20"/>
        </w:rPr>
        <w:lastRenderedPageBreak/>
        <w:t>KONSOLİDE OLMAYAN FİNANSAL TABLOLARA İLİŞKİN AÇIKLAMA VE DİPNOTLAR (Devamı)</w:t>
      </w:r>
    </w:p>
    <w:p w14:paraId="3264297E" w14:textId="77777777" w:rsidR="00D14DEB" w:rsidRPr="00872D7E" w:rsidRDefault="00D14DEB" w:rsidP="00D14DEB">
      <w:pPr>
        <w:widowControl w:val="0"/>
        <w:autoSpaceDE w:val="0"/>
        <w:autoSpaceDN w:val="0"/>
        <w:adjustRightInd w:val="0"/>
        <w:ind w:left="14" w:right="210"/>
        <w:jc w:val="both"/>
        <w:rPr>
          <w:szCs w:val="20"/>
        </w:rPr>
      </w:pPr>
    </w:p>
    <w:p w14:paraId="4042BFE4" w14:textId="793BD86C" w:rsidR="0098597B" w:rsidRPr="00872D7E" w:rsidRDefault="0098597B" w:rsidP="003B796D">
      <w:pPr>
        <w:pStyle w:val="BodyTextIndent"/>
        <w:widowControl w:val="0"/>
        <w:numPr>
          <w:ilvl w:val="0"/>
          <w:numId w:val="65"/>
        </w:numPr>
        <w:ind w:left="851" w:right="206" w:hanging="862"/>
        <w:rPr>
          <w:b/>
          <w:iCs/>
          <w:szCs w:val="20"/>
        </w:rPr>
      </w:pPr>
      <w:r w:rsidRPr="00872D7E">
        <w:rPr>
          <w:b/>
          <w:iCs/>
          <w:szCs w:val="20"/>
        </w:rPr>
        <w:t>KAR VEYA ZARAR TABLOSUNA İLİŞKİN AÇIKLAMA VE DİPNOTLAR (Devamı)</w:t>
      </w:r>
    </w:p>
    <w:p w14:paraId="4952F915" w14:textId="41489238" w:rsidR="003A1992" w:rsidRPr="00872D7E" w:rsidRDefault="003A1992" w:rsidP="003A1992"/>
    <w:p w14:paraId="4E8F22BA" w14:textId="77777777" w:rsidR="00AB5801" w:rsidRPr="00872D7E" w:rsidRDefault="00AB5801" w:rsidP="00212E4A">
      <w:pPr>
        <w:pStyle w:val="ListParagraph"/>
        <w:widowControl w:val="0"/>
        <w:numPr>
          <w:ilvl w:val="0"/>
          <w:numId w:val="31"/>
        </w:numPr>
        <w:spacing w:line="211" w:lineRule="auto"/>
        <w:ind w:left="851" w:hanging="851"/>
        <w:jc w:val="both"/>
        <w:rPr>
          <w:b/>
          <w:szCs w:val="20"/>
        </w:rPr>
      </w:pPr>
      <w:r w:rsidRPr="00872D7E">
        <w:rPr>
          <w:b/>
          <w:szCs w:val="20"/>
        </w:rPr>
        <w:t>Ticari kar/zarara ilişkin açıklamalar (net):</w:t>
      </w:r>
    </w:p>
    <w:p w14:paraId="48415E8B" w14:textId="36372DB8" w:rsidR="00862A01" w:rsidRPr="00872D7E" w:rsidRDefault="00862A01" w:rsidP="00AB5801">
      <w:pPr>
        <w:widowControl w:val="0"/>
        <w:spacing w:line="211" w:lineRule="auto"/>
        <w:ind w:left="14" w:hanging="532"/>
        <w:jc w:val="both"/>
        <w:rPr>
          <w:szCs w:val="20"/>
        </w:rPr>
      </w:pPr>
    </w:p>
    <w:tbl>
      <w:tblPr>
        <w:tblW w:w="5000" w:type="pct"/>
        <w:tblCellMar>
          <w:left w:w="70" w:type="dxa"/>
          <w:right w:w="70" w:type="dxa"/>
        </w:tblCellMar>
        <w:tblLook w:val="04A0" w:firstRow="1" w:lastRow="0" w:firstColumn="1" w:lastColumn="0" w:noHBand="0" w:noVBand="1"/>
      </w:tblPr>
      <w:tblGrid>
        <w:gridCol w:w="6621"/>
        <w:gridCol w:w="2734"/>
      </w:tblGrid>
      <w:tr w:rsidR="00862A01" w:rsidRPr="00872D7E" w14:paraId="2F19E9B4" w14:textId="77777777" w:rsidTr="00862A01">
        <w:trPr>
          <w:divId w:val="744644440"/>
          <w:trHeight w:val="227"/>
        </w:trPr>
        <w:tc>
          <w:tcPr>
            <w:tcW w:w="3539" w:type="pct"/>
            <w:tcBorders>
              <w:top w:val="nil"/>
              <w:left w:val="nil"/>
              <w:bottom w:val="nil"/>
              <w:right w:val="nil"/>
            </w:tcBorders>
            <w:shd w:val="clear" w:color="auto" w:fill="auto"/>
            <w:hideMark/>
          </w:tcPr>
          <w:p w14:paraId="64C73295" w14:textId="0707908E" w:rsidR="00862A01" w:rsidRPr="00872D7E" w:rsidRDefault="00862A01" w:rsidP="00862A01">
            <w:pPr>
              <w:rPr>
                <w:szCs w:val="20"/>
              </w:rPr>
            </w:pPr>
          </w:p>
        </w:tc>
        <w:tc>
          <w:tcPr>
            <w:tcW w:w="1461" w:type="pct"/>
            <w:tcBorders>
              <w:top w:val="nil"/>
              <w:left w:val="nil"/>
              <w:bottom w:val="single" w:sz="4" w:space="0" w:color="auto"/>
              <w:right w:val="nil"/>
            </w:tcBorders>
            <w:shd w:val="clear" w:color="auto" w:fill="auto"/>
            <w:hideMark/>
          </w:tcPr>
          <w:p w14:paraId="48EC5F89" w14:textId="77777777" w:rsidR="00862A01" w:rsidRPr="00872D7E" w:rsidRDefault="00862A01" w:rsidP="00862A01">
            <w:pPr>
              <w:jc w:val="right"/>
              <w:rPr>
                <w:b/>
                <w:bCs/>
                <w:color w:val="000000"/>
                <w:szCs w:val="20"/>
              </w:rPr>
            </w:pPr>
            <w:r w:rsidRPr="00872D7E">
              <w:rPr>
                <w:b/>
                <w:bCs/>
                <w:color w:val="000000"/>
                <w:szCs w:val="20"/>
              </w:rPr>
              <w:t xml:space="preserve">1 </w:t>
            </w:r>
            <w:proofErr w:type="gramStart"/>
            <w:r w:rsidRPr="00872D7E">
              <w:rPr>
                <w:b/>
                <w:bCs/>
                <w:color w:val="000000"/>
                <w:szCs w:val="20"/>
              </w:rPr>
              <w:t>Ocak -</w:t>
            </w:r>
            <w:proofErr w:type="gramEnd"/>
            <w:r w:rsidRPr="00872D7E">
              <w:rPr>
                <w:b/>
                <w:bCs/>
                <w:color w:val="000000"/>
                <w:szCs w:val="20"/>
              </w:rPr>
              <w:t xml:space="preserve"> 31 Aralık 2024</w:t>
            </w:r>
          </w:p>
        </w:tc>
      </w:tr>
      <w:tr w:rsidR="00862A01" w:rsidRPr="00872D7E" w14:paraId="1921E070" w14:textId="77777777" w:rsidTr="00862A01">
        <w:trPr>
          <w:divId w:val="744644440"/>
          <w:trHeight w:val="227"/>
        </w:trPr>
        <w:tc>
          <w:tcPr>
            <w:tcW w:w="3539" w:type="pct"/>
            <w:tcBorders>
              <w:top w:val="nil"/>
              <w:left w:val="nil"/>
              <w:bottom w:val="nil"/>
              <w:right w:val="nil"/>
            </w:tcBorders>
            <w:shd w:val="clear" w:color="auto" w:fill="auto"/>
            <w:hideMark/>
          </w:tcPr>
          <w:p w14:paraId="10277D8E" w14:textId="77777777" w:rsidR="00862A01" w:rsidRPr="00872D7E" w:rsidRDefault="00862A01" w:rsidP="00862A01">
            <w:pPr>
              <w:jc w:val="right"/>
              <w:rPr>
                <w:b/>
                <w:bCs/>
                <w:color w:val="000000"/>
                <w:szCs w:val="20"/>
              </w:rPr>
            </w:pPr>
          </w:p>
        </w:tc>
        <w:tc>
          <w:tcPr>
            <w:tcW w:w="1461" w:type="pct"/>
            <w:tcBorders>
              <w:top w:val="nil"/>
              <w:left w:val="nil"/>
              <w:bottom w:val="nil"/>
              <w:right w:val="nil"/>
            </w:tcBorders>
            <w:shd w:val="clear" w:color="auto" w:fill="auto"/>
            <w:noWrap/>
            <w:vAlign w:val="bottom"/>
            <w:hideMark/>
          </w:tcPr>
          <w:p w14:paraId="560857EC" w14:textId="77777777" w:rsidR="00862A01" w:rsidRPr="00872D7E" w:rsidRDefault="00862A01" w:rsidP="00862A01">
            <w:pPr>
              <w:jc w:val="both"/>
              <w:rPr>
                <w:szCs w:val="20"/>
              </w:rPr>
            </w:pPr>
          </w:p>
        </w:tc>
      </w:tr>
      <w:tr w:rsidR="00862A01" w:rsidRPr="00872D7E" w14:paraId="15A825FC" w14:textId="77777777" w:rsidTr="00862A01">
        <w:trPr>
          <w:divId w:val="744644440"/>
          <w:trHeight w:val="227"/>
        </w:trPr>
        <w:tc>
          <w:tcPr>
            <w:tcW w:w="3539" w:type="pct"/>
            <w:tcBorders>
              <w:top w:val="nil"/>
              <w:left w:val="nil"/>
              <w:bottom w:val="nil"/>
              <w:right w:val="nil"/>
            </w:tcBorders>
            <w:shd w:val="clear" w:color="auto" w:fill="auto"/>
            <w:vAlign w:val="bottom"/>
            <w:hideMark/>
          </w:tcPr>
          <w:p w14:paraId="43ABEB26" w14:textId="77777777" w:rsidR="00862A01" w:rsidRPr="00872D7E" w:rsidRDefault="00862A01" w:rsidP="00862A01">
            <w:pPr>
              <w:rPr>
                <w:b/>
                <w:bCs/>
                <w:color w:val="000000"/>
                <w:szCs w:val="20"/>
              </w:rPr>
            </w:pPr>
            <w:r w:rsidRPr="00872D7E">
              <w:rPr>
                <w:rFonts w:eastAsia="Arial Unicode MS"/>
                <w:b/>
                <w:bCs/>
                <w:color w:val="000000"/>
                <w:szCs w:val="20"/>
              </w:rPr>
              <w:t>Kar</w:t>
            </w:r>
          </w:p>
        </w:tc>
        <w:tc>
          <w:tcPr>
            <w:tcW w:w="1461" w:type="pct"/>
            <w:tcBorders>
              <w:top w:val="nil"/>
              <w:left w:val="nil"/>
              <w:bottom w:val="nil"/>
              <w:right w:val="nil"/>
            </w:tcBorders>
            <w:shd w:val="clear" w:color="auto" w:fill="auto"/>
            <w:noWrap/>
            <w:vAlign w:val="center"/>
            <w:hideMark/>
          </w:tcPr>
          <w:p w14:paraId="3568EF11" w14:textId="77777777" w:rsidR="00862A01" w:rsidRPr="00872D7E" w:rsidRDefault="00862A01" w:rsidP="00862A01">
            <w:pPr>
              <w:jc w:val="right"/>
              <w:rPr>
                <w:b/>
                <w:bCs/>
                <w:color w:val="000000"/>
                <w:szCs w:val="20"/>
              </w:rPr>
            </w:pPr>
            <w:r w:rsidRPr="00872D7E">
              <w:rPr>
                <w:b/>
                <w:bCs/>
                <w:color w:val="000000"/>
                <w:szCs w:val="20"/>
              </w:rPr>
              <w:t>27.218.502</w:t>
            </w:r>
          </w:p>
        </w:tc>
      </w:tr>
      <w:tr w:rsidR="00862A01" w:rsidRPr="00872D7E" w14:paraId="1795E541" w14:textId="77777777" w:rsidTr="00862A01">
        <w:trPr>
          <w:divId w:val="744644440"/>
          <w:trHeight w:val="227"/>
        </w:trPr>
        <w:tc>
          <w:tcPr>
            <w:tcW w:w="3539" w:type="pct"/>
            <w:tcBorders>
              <w:top w:val="nil"/>
              <w:left w:val="nil"/>
              <w:bottom w:val="nil"/>
              <w:right w:val="nil"/>
            </w:tcBorders>
            <w:shd w:val="clear" w:color="auto" w:fill="auto"/>
            <w:vAlign w:val="bottom"/>
            <w:hideMark/>
          </w:tcPr>
          <w:p w14:paraId="6EC600F9" w14:textId="77777777" w:rsidR="00862A01" w:rsidRPr="00872D7E" w:rsidRDefault="00862A01" w:rsidP="00862A01">
            <w:pPr>
              <w:jc w:val="right"/>
              <w:rPr>
                <w:b/>
                <w:bCs/>
                <w:color w:val="000000"/>
                <w:szCs w:val="20"/>
              </w:rPr>
            </w:pPr>
          </w:p>
        </w:tc>
        <w:tc>
          <w:tcPr>
            <w:tcW w:w="1461" w:type="pct"/>
            <w:tcBorders>
              <w:top w:val="nil"/>
              <w:left w:val="nil"/>
              <w:bottom w:val="nil"/>
              <w:right w:val="nil"/>
            </w:tcBorders>
            <w:shd w:val="clear" w:color="auto" w:fill="auto"/>
            <w:noWrap/>
            <w:vAlign w:val="bottom"/>
            <w:hideMark/>
          </w:tcPr>
          <w:p w14:paraId="3D2034C9" w14:textId="77777777" w:rsidR="00862A01" w:rsidRPr="00872D7E" w:rsidRDefault="00862A01" w:rsidP="00862A01">
            <w:pPr>
              <w:jc w:val="right"/>
              <w:rPr>
                <w:szCs w:val="20"/>
              </w:rPr>
            </w:pPr>
          </w:p>
        </w:tc>
      </w:tr>
      <w:tr w:rsidR="00862A01" w:rsidRPr="00872D7E" w14:paraId="2B5D82AF" w14:textId="77777777" w:rsidTr="00862A01">
        <w:trPr>
          <w:divId w:val="744644440"/>
          <w:trHeight w:val="227"/>
        </w:trPr>
        <w:tc>
          <w:tcPr>
            <w:tcW w:w="3539" w:type="pct"/>
            <w:tcBorders>
              <w:top w:val="nil"/>
              <w:left w:val="nil"/>
              <w:bottom w:val="nil"/>
              <w:right w:val="nil"/>
            </w:tcBorders>
            <w:shd w:val="clear" w:color="auto" w:fill="auto"/>
            <w:vAlign w:val="bottom"/>
            <w:hideMark/>
          </w:tcPr>
          <w:p w14:paraId="6C88A71B" w14:textId="77777777" w:rsidR="00862A01" w:rsidRPr="00872D7E" w:rsidRDefault="00862A01" w:rsidP="00862A01">
            <w:pPr>
              <w:rPr>
                <w:color w:val="000000"/>
                <w:szCs w:val="20"/>
              </w:rPr>
            </w:pPr>
            <w:r w:rsidRPr="00872D7E">
              <w:rPr>
                <w:rFonts w:eastAsia="Arial Unicode MS"/>
                <w:color w:val="000000"/>
                <w:szCs w:val="20"/>
              </w:rPr>
              <w:t>Sermaye piyasası işlemleri karı</w:t>
            </w:r>
          </w:p>
        </w:tc>
        <w:tc>
          <w:tcPr>
            <w:tcW w:w="1461" w:type="pct"/>
            <w:tcBorders>
              <w:top w:val="nil"/>
              <w:left w:val="nil"/>
              <w:bottom w:val="nil"/>
              <w:right w:val="nil"/>
            </w:tcBorders>
            <w:shd w:val="clear" w:color="auto" w:fill="auto"/>
            <w:noWrap/>
            <w:vAlign w:val="center"/>
            <w:hideMark/>
          </w:tcPr>
          <w:p w14:paraId="517FB55D" w14:textId="77777777" w:rsidR="00862A01" w:rsidRPr="00872D7E" w:rsidRDefault="00862A01" w:rsidP="00862A01">
            <w:pPr>
              <w:jc w:val="right"/>
              <w:rPr>
                <w:color w:val="000000"/>
                <w:szCs w:val="20"/>
              </w:rPr>
            </w:pPr>
            <w:r w:rsidRPr="00872D7E">
              <w:rPr>
                <w:color w:val="000000"/>
                <w:szCs w:val="20"/>
              </w:rPr>
              <w:t>807.338</w:t>
            </w:r>
          </w:p>
        </w:tc>
      </w:tr>
      <w:tr w:rsidR="00862A01" w:rsidRPr="00872D7E" w14:paraId="2794BB3C" w14:textId="77777777" w:rsidTr="00862A01">
        <w:trPr>
          <w:divId w:val="744644440"/>
          <w:trHeight w:val="227"/>
        </w:trPr>
        <w:tc>
          <w:tcPr>
            <w:tcW w:w="3539" w:type="pct"/>
            <w:tcBorders>
              <w:top w:val="nil"/>
              <w:left w:val="nil"/>
              <w:bottom w:val="nil"/>
              <w:right w:val="nil"/>
            </w:tcBorders>
            <w:shd w:val="clear" w:color="auto" w:fill="auto"/>
            <w:vAlign w:val="bottom"/>
            <w:hideMark/>
          </w:tcPr>
          <w:p w14:paraId="3D6B3B82" w14:textId="77777777" w:rsidR="00862A01" w:rsidRPr="00872D7E" w:rsidRDefault="00862A01" w:rsidP="00862A01">
            <w:pPr>
              <w:rPr>
                <w:color w:val="000000"/>
                <w:szCs w:val="20"/>
              </w:rPr>
            </w:pPr>
            <w:r w:rsidRPr="00872D7E">
              <w:rPr>
                <w:rFonts w:eastAsia="Arial Unicode MS"/>
                <w:color w:val="000000"/>
                <w:szCs w:val="20"/>
              </w:rPr>
              <w:t>Türev finansal işlemlerden kar</w:t>
            </w:r>
          </w:p>
        </w:tc>
        <w:tc>
          <w:tcPr>
            <w:tcW w:w="1461" w:type="pct"/>
            <w:tcBorders>
              <w:top w:val="nil"/>
              <w:left w:val="nil"/>
              <w:bottom w:val="nil"/>
              <w:right w:val="nil"/>
            </w:tcBorders>
            <w:shd w:val="clear" w:color="auto" w:fill="auto"/>
            <w:noWrap/>
            <w:vAlign w:val="center"/>
            <w:hideMark/>
          </w:tcPr>
          <w:p w14:paraId="55D6AC16" w14:textId="77777777" w:rsidR="00862A01" w:rsidRPr="00872D7E" w:rsidRDefault="00862A01" w:rsidP="00862A01">
            <w:pPr>
              <w:jc w:val="right"/>
              <w:rPr>
                <w:color w:val="000000"/>
                <w:szCs w:val="20"/>
              </w:rPr>
            </w:pPr>
            <w:r w:rsidRPr="00872D7E">
              <w:rPr>
                <w:color w:val="000000"/>
                <w:szCs w:val="20"/>
              </w:rPr>
              <w:t>1.072.860</w:t>
            </w:r>
          </w:p>
        </w:tc>
      </w:tr>
      <w:tr w:rsidR="00862A01" w:rsidRPr="00872D7E" w14:paraId="7720017F" w14:textId="77777777" w:rsidTr="00862A01">
        <w:trPr>
          <w:divId w:val="744644440"/>
          <w:trHeight w:val="227"/>
        </w:trPr>
        <w:tc>
          <w:tcPr>
            <w:tcW w:w="3539" w:type="pct"/>
            <w:tcBorders>
              <w:top w:val="nil"/>
              <w:left w:val="nil"/>
              <w:bottom w:val="single" w:sz="4" w:space="0" w:color="auto"/>
              <w:right w:val="nil"/>
            </w:tcBorders>
            <w:shd w:val="clear" w:color="auto" w:fill="auto"/>
            <w:vAlign w:val="bottom"/>
            <w:hideMark/>
          </w:tcPr>
          <w:p w14:paraId="0FDFAE36" w14:textId="77777777" w:rsidR="00862A01" w:rsidRPr="00872D7E" w:rsidRDefault="00862A01" w:rsidP="00862A01">
            <w:pPr>
              <w:rPr>
                <w:color w:val="000000"/>
                <w:szCs w:val="20"/>
              </w:rPr>
            </w:pPr>
            <w:r w:rsidRPr="00872D7E">
              <w:rPr>
                <w:rFonts w:eastAsia="Arial Unicode MS"/>
                <w:color w:val="000000"/>
                <w:szCs w:val="20"/>
              </w:rPr>
              <w:t>Kambiyo İşlemlerinden Kar</w:t>
            </w:r>
          </w:p>
        </w:tc>
        <w:tc>
          <w:tcPr>
            <w:tcW w:w="1461" w:type="pct"/>
            <w:tcBorders>
              <w:top w:val="nil"/>
              <w:left w:val="nil"/>
              <w:bottom w:val="single" w:sz="4" w:space="0" w:color="auto"/>
              <w:right w:val="nil"/>
            </w:tcBorders>
            <w:shd w:val="clear" w:color="auto" w:fill="auto"/>
            <w:noWrap/>
            <w:vAlign w:val="center"/>
            <w:hideMark/>
          </w:tcPr>
          <w:p w14:paraId="132B170D" w14:textId="77777777" w:rsidR="00862A01" w:rsidRPr="00872D7E" w:rsidRDefault="00862A01" w:rsidP="00862A01">
            <w:pPr>
              <w:jc w:val="right"/>
              <w:rPr>
                <w:color w:val="000000"/>
                <w:szCs w:val="20"/>
              </w:rPr>
            </w:pPr>
            <w:r w:rsidRPr="00872D7E">
              <w:rPr>
                <w:color w:val="000000"/>
                <w:szCs w:val="20"/>
              </w:rPr>
              <w:t>25.338.304</w:t>
            </w:r>
          </w:p>
        </w:tc>
      </w:tr>
      <w:tr w:rsidR="00862A01" w:rsidRPr="00872D7E" w14:paraId="18FD1A27" w14:textId="77777777" w:rsidTr="00683052">
        <w:trPr>
          <w:divId w:val="744644440"/>
          <w:trHeight w:val="227"/>
        </w:trPr>
        <w:tc>
          <w:tcPr>
            <w:tcW w:w="3539" w:type="pct"/>
            <w:tcBorders>
              <w:top w:val="nil"/>
              <w:left w:val="nil"/>
              <w:right w:val="nil"/>
            </w:tcBorders>
            <w:shd w:val="clear" w:color="auto" w:fill="auto"/>
            <w:hideMark/>
          </w:tcPr>
          <w:p w14:paraId="21E652AF" w14:textId="77777777" w:rsidR="00862A01" w:rsidRPr="00872D7E" w:rsidRDefault="00862A01" w:rsidP="00862A01">
            <w:pPr>
              <w:jc w:val="right"/>
              <w:rPr>
                <w:color w:val="000000"/>
                <w:szCs w:val="20"/>
              </w:rPr>
            </w:pPr>
          </w:p>
        </w:tc>
        <w:tc>
          <w:tcPr>
            <w:tcW w:w="1461" w:type="pct"/>
            <w:tcBorders>
              <w:top w:val="nil"/>
              <w:left w:val="nil"/>
              <w:right w:val="nil"/>
            </w:tcBorders>
            <w:shd w:val="clear" w:color="auto" w:fill="auto"/>
            <w:vAlign w:val="center"/>
            <w:hideMark/>
          </w:tcPr>
          <w:p w14:paraId="1BFECCA2" w14:textId="77777777" w:rsidR="00862A01" w:rsidRPr="00872D7E" w:rsidRDefault="00862A01" w:rsidP="00862A01">
            <w:pPr>
              <w:jc w:val="right"/>
              <w:rPr>
                <w:szCs w:val="20"/>
              </w:rPr>
            </w:pPr>
          </w:p>
        </w:tc>
      </w:tr>
      <w:tr w:rsidR="00862A01" w:rsidRPr="00872D7E" w14:paraId="0C004596" w14:textId="77777777" w:rsidTr="00683052">
        <w:trPr>
          <w:divId w:val="744644440"/>
          <w:trHeight w:val="227"/>
        </w:trPr>
        <w:tc>
          <w:tcPr>
            <w:tcW w:w="3539" w:type="pct"/>
            <w:tcBorders>
              <w:top w:val="nil"/>
              <w:left w:val="nil"/>
              <w:bottom w:val="single" w:sz="4" w:space="0" w:color="auto"/>
              <w:right w:val="nil"/>
            </w:tcBorders>
            <w:shd w:val="clear" w:color="auto" w:fill="auto"/>
            <w:vAlign w:val="bottom"/>
            <w:hideMark/>
          </w:tcPr>
          <w:p w14:paraId="40E0FF98" w14:textId="77777777" w:rsidR="00862A01" w:rsidRPr="00872D7E" w:rsidRDefault="00862A01" w:rsidP="00862A01">
            <w:pPr>
              <w:rPr>
                <w:b/>
                <w:bCs/>
                <w:color w:val="000000"/>
                <w:szCs w:val="20"/>
              </w:rPr>
            </w:pPr>
            <w:r w:rsidRPr="00872D7E">
              <w:rPr>
                <w:rFonts w:eastAsia="Arial Unicode MS"/>
                <w:b/>
                <w:bCs/>
                <w:color w:val="000000"/>
                <w:szCs w:val="20"/>
              </w:rPr>
              <w:t>Zarar (-)</w:t>
            </w:r>
          </w:p>
        </w:tc>
        <w:tc>
          <w:tcPr>
            <w:tcW w:w="1461" w:type="pct"/>
            <w:tcBorders>
              <w:top w:val="nil"/>
              <w:left w:val="nil"/>
              <w:bottom w:val="single" w:sz="4" w:space="0" w:color="auto"/>
              <w:right w:val="nil"/>
            </w:tcBorders>
            <w:shd w:val="clear" w:color="auto" w:fill="auto"/>
            <w:noWrap/>
            <w:vAlign w:val="center"/>
            <w:hideMark/>
          </w:tcPr>
          <w:p w14:paraId="12BA3141" w14:textId="77777777" w:rsidR="00862A01" w:rsidRPr="00872D7E" w:rsidRDefault="00862A01" w:rsidP="00862A01">
            <w:pPr>
              <w:jc w:val="right"/>
              <w:rPr>
                <w:b/>
                <w:bCs/>
                <w:color w:val="000000"/>
                <w:szCs w:val="20"/>
              </w:rPr>
            </w:pPr>
            <w:r w:rsidRPr="00872D7E">
              <w:rPr>
                <w:b/>
                <w:bCs/>
                <w:color w:val="000000"/>
                <w:szCs w:val="20"/>
              </w:rPr>
              <w:t>25.838.848</w:t>
            </w:r>
          </w:p>
        </w:tc>
      </w:tr>
      <w:tr w:rsidR="00862A01" w:rsidRPr="00872D7E" w14:paraId="4D74BE54" w14:textId="77777777" w:rsidTr="00683052">
        <w:trPr>
          <w:divId w:val="744644440"/>
          <w:trHeight w:val="227"/>
        </w:trPr>
        <w:tc>
          <w:tcPr>
            <w:tcW w:w="3539" w:type="pct"/>
            <w:tcBorders>
              <w:top w:val="single" w:sz="4" w:space="0" w:color="auto"/>
              <w:left w:val="nil"/>
              <w:bottom w:val="nil"/>
              <w:right w:val="nil"/>
            </w:tcBorders>
            <w:shd w:val="clear" w:color="auto" w:fill="auto"/>
            <w:vAlign w:val="bottom"/>
            <w:hideMark/>
          </w:tcPr>
          <w:p w14:paraId="017A3D19" w14:textId="77777777" w:rsidR="00862A01" w:rsidRPr="00872D7E" w:rsidRDefault="00862A01" w:rsidP="00862A01">
            <w:pPr>
              <w:jc w:val="right"/>
              <w:rPr>
                <w:b/>
                <w:bCs/>
                <w:color w:val="000000"/>
                <w:szCs w:val="20"/>
              </w:rPr>
            </w:pPr>
          </w:p>
        </w:tc>
        <w:tc>
          <w:tcPr>
            <w:tcW w:w="1461" w:type="pct"/>
            <w:tcBorders>
              <w:top w:val="single" w:sz="4" w:space="0" w:color="auto"/>
              <w:left w:val="nil"/>
              <w:bottom w:val="nil"/>
              <w:right w:val="nil"/>
            </w:tcBorders>
            <w:shd w:val="clear" w:color="auto" w:fill="auto"/>
            <w:noWrap/>
            <w:vAlign w:val="bottom"/>
            <w:hideMark/>
          </w:tcPr>
          <w:p w14:paraId="4986A500" w14:textId="77777777" w:rsidR="00862A01" w:rsidRPr="00872D7E" w:rsidRDefault="00862A01" w:rsidP="00862A01">
            <w:pPr>
              <w:jc w:val="right"/>
              <w:rPr>
                <w:szCs w:val="20"/>
              </w:rPr>
            </w:pPr>
          </w:p>
        </w:tc>
      </w:tr>
      <w:tr w:rsidR="00862A01" w:rsidRPr="00872D7E" w14:paraId="1C6F2136" w14:textId="77777777" w:rsidTr="00862A01">
        <w:trPr>
          <w:divId w:val="744644440"/>
          <w:trHeight w:val="227"/>
        </w:trPr>
        <w:tc>
          <w:tcPr>
            <w:tcW w:w="3539" w:type="pct"/>
            <w:tcBorders>
              <w:top w:val="nil"/>
              <w:left w:val="nil"/>
              <w:bottom w:val="nil"/>
              <w:right w:val="nil"/>
            </w:tcBorders>
            <w:shd w:val="clear" w:color="auto" w:fill="auto"/>
            <w:vAlign w:val="bottom"/>
            <w:hideMark/>
          </w:tcPr>
          <w:p w14:paraId="12B66CD8" w14:textId="77777777" w:rsidR="00862A01" w:rsidRPr="00872D7E" w:rsidRDefault="00862A01" w:rsidP="00862A01">
            <w:pPr>
              <w:rPr>
                <w:color w:val="000000"/>
                <w:szCs w:val="20"/>
              </w:rPr>
            </w:pPr>
            <w:r w:rsidRPr="00872D7E">
              <w:rPr>
                <w:rFonts w:eastAsia="Arial Unicode MS"/>
                <w:color w:val="000000"/>
                <w:szCs w:val="20"/>
              </w:rPr>
              <w:t>Sermaye piyasası işlemleri zararı</w:t>
            </w:r>
          </w:p>
        </w:tc>
        <w:tc>
          <w:tcPr>
            <w:tcW w:w="1461" w:type="pct"/>
            <w:tcBorders>
              <w:top w:val="nil"/>
              <w:left w:val="nil"/>
              <w:bottom w:val="nil"/>
              <w:right w:val="nil"/>
            </w:tcBorders>
            <w:shd w:val="clear" w:color="auto" w:fill="auto"/>
            <w:noWrap/>
            <w:vAlign w:val="center"/>
            <w:hideMark/>
          </w:tcPr>
          <w:p w14:paraId="7B7A4327" w14:textId="77777777" w:rsidR="00862A01" w:rsidRPr="00872D7E" w:rsidRDefault="00862A01" w:rsidP="00862A01">
            <w:pPr>
              <w:jc w:val="right"/>
              <w:rPr>
                <w:color w:val="000000"/>
                <w:szCs w:val="20"/>
              </w:rPr>
            </w:pPr>
            <w:r w:rsidRPr="00872D7E">
              <w:rPr>
                <w:color w:val="000000"/>
                <w:szCs w:val="20"/>
              </w:rPr>
              <w:t>677</w:t>
            </w:r>
          </w:p>
        </w:tc>
      </w:tr>
      <w:tr w:rsidR="00862A01" w:rsidRPr="00872D7E" w14:paraId="2DDDFE11" w14:textId="77777777" w:rsidTr="00862A01">
        <w:trPr>
          <w:divId w:val="744644440"/>
          <w:trHeight w:val="227"/>
        </w:trPr>
        <w:tc>
          <w:tcPr>
            <w:tcW w:w="3539" w:type="pct"/>
            <w:tcBorders>
              <w:top w:val="nil"/>
              <w:left w:val="nil"/>
              <w:bottom w:val="nil"/>
              <w:right w:val="nil"/>
            </w:tcBorders>
            <w:shd w:val="clear" w:color="auto" w:fill="auto"/>
            <w:vAlign w:val="bottom"/>
            <w:hideMark/>
          </w:tcPr>
          <w:p w14:paraId="6E59D9C6" w14:textId="77777777" w:rsidR="00862A01" w:rsidRPr="00872D7E" w:rsidRDefault="00862A01" w:rsidP="00862A01">
            <w:pPr>
              <w:rPr>
                <w:color w:val="000000"/>
                <w:szCs w:val="20"/>
              </w:rPr>
            </w:pPr>
            <w:r w:rsidRPr="00872D7E">
              <w:rPr>
                <w:rFonts w:eastAsia="Arial Unicode MS"/>
                <w:color w:val="000000"/>
                <w:szCs w:val="20"/>
              </w:rPr>
              <w:t>Türev finansal işlemlerden zarar</w:t>
            </w:r>
          </w:p>
        </w:tc>
        <w:tc>
          <w:tcPr>
            <w:tcW w:w="1461" w:type="pct"/>
            <w:tcBorders>
              <w:top w:val="nil"/>
              <w:left w:val="nil"/>
              <w:bottom w:val="nil"/>
              <w:right w:val="nil"/>
            </w:tcBorders>
            <w:shd w:val="clear" w:color="auto" w:fill="auto"/>
            <w:noWrap/>
            <w:vAlign w:val="center"/>
            <w:hideMark/>
          </w:tcPr>
          <w:p w14:paraId="080473E0" w14:textId="77777777" w:rsidR="00862A01" w:rsidRPr="00872D7E" w:rsidRDefault="00862A01" w:rsidP="00862A01">
            <w:pPr>
              <w:jc w:val="right"/>
              <w:rPr>
                <w:color w:val="000000"/>
                <w:szCs w:val="20"/>
              </w:rPr>
            </w:pPr>
            <w:r w:rsidRPr="00872D7E">
              <w:rPr>
                <w:color w:val="000000"/>
                <w:szCs w:val="20"/>
              </w:rPr>
              <w:t>618.519</w:t>
            </w:r>
          </w:p>
        </w:tc>
      </w:tr>
      <w:tr w:rsidR="00862A01" w:rsidRPr="00872D7E" w14:paraId="529A218C" w14:textId="77777777" w:rsidTr="00862A01">
        <w:trPr>
          <w:divId w:val="744644440"/>
          <w:trHeight w:val="227"/>
        </w:trPr>
        <w:tc>
          <w:tcPr>
            <w:tcW w:w="3539" w:type="pct"/>
            <w:tcBorders>
              <w:top w:val="nil"/>
              <w:left w:val="nil"/>
              <w:bottom w:val="single" w:sz="4" w:space="0" w:color="auto"/>
              <w:right w:val="nil"/>
            </w:tcBorders>
            <w:shd w:val="clear" w:color="auto" w:fill="auto"/>
            <w:vAlign w:val="bottom"/>
            <w:hideMark/>
          </w:tcPr>
          <w:p w14:paraId="386893AA" w14:textId="77777777" w:rsidR="00862A01" w:rsidRPr="00872D7E" w:rsidRDefault="00862A01" w:rsidP="00862A01">
            <w:pPr>
              <w:rPr>
                <w:color w:val="000000"/>
                <w:szCs w:val="20"/>
              </w:rPr>
            </w:pPr>
            <w:r w:rsidRPr="00872D7E">
              <w:rPr>
                <w:rFonts w:eastAsia="Arial Unicode MS"/>
                <w:color w:val="000000"/>
                <w:szCs w:val="20"/>
              </w:rPr>
              <w:t>Kambiyo işlemlerinden zarar</w:t>
            </w:r>
          </w:p>
        </w:tc>
        <w:tc>
          <w:tcPr>
            <w:tcW w:w="1461" w:type="pct"/>
            <w:tcBorders>
              <w:top w:val="nil"/>
              <w:left w:val="nil"/>
              <w:bottom w:val="single" w:sz="4" w:space="0" w:color="auto"/>
              <w:right w:val="nil"/>
            </w:tcBorders>
            <w:shd w:val="clear" w:color="auto" w:fill="auto"/>
            <w:noWrap/>
            <w:vAlign w:val="center"/>
            <w:hideMark/>
          </w:tcPr>
          <w:p w14:paraId="1EF5B129" w14:textId="77777777" w:rsidR="00862A01" w:rsidRPr="00872D7E" w:rsidRDefault="00862A01" w:rsidP="00862A01">
            <w:pPr>
              <w:jc w:val="right"/>
              <w:rPr>
                <w:color w:val="000000"/>
                <w:szCs w:val="20"/>
              </w:rPr>
            </w:pPr>
            <w:r w:rsidRPr="00872D7E">
              <w:rPr>
                <w:color w:val="000000"/>
                <w:szCs w:val="20"/>
              </w:rPr>
              <w:t>25.219.652</w:t>
            </w:r>
          </w:p>
        </w:tc>
      </w:tr>
      <w:tr w:rsidR="00862A01" w:rsidRPr="00872D7E" w14:paraId="797B3443" w14:textId="77777777" w:rsidTr="004664F9">
        <w:trPr>
          <w:divId w:val="744644440"/>
          <w:trHeight w:val="227"/>
        </w:trPr>
        <w:tc>
          <w:tcPr>
            <w:tcW w:w="3539" w:type="pct"/>
            <w:tcBorders>
              <w:top w:val="nil"/>
              <w:left w:val="nil"/>
              <w:right w:val="nil"/>
            </w:tcBorders>
            <w:shd w:val="clear" w:color="auto" w:fill="auto"/>
            <w:hideMark/>
          </w:tcPr>
          <w:p w14:paraId="7E05E5C7" w14:textId="77777777" w:rsidR="00862A01" w:rsidRPr="00872D7E" w:rsidRDefault="00862A01" w:rsidP="00862A01">
            <w:pPr>
              <w:jc w:val="right"/>
              <w:rPr>
                <w:color w:val="000000"/>
                <w:szCs w:val="20"/>
              </w:rPr>
            </w:pPr>
          </w:p>
        </w:tc>
        <w:tc>
          <w:tcPr>
            <w:tcW w:w="1461" w:type="pct"/>
            <w:tcBorders>
              <w:top w:val="nil"/>
              <w:left w:val="nil"/>
              <w:right w:val="nil"/>
            </w:tcBorders>
            <w:shd w:val="clear" w:color="auto" w:fill="auto"/>
            <w:noWrap/>
            <w:vAlign w:val="bottom"/>
            <w:hideMark/>
          </w:tcPr>
          <w:p w14:paraId="434CEF0A" w14:textId="77777777" w:rsidR="00862A01" w:rsidRPr="00872D7E" w:rsidRDefault="00862A01" w:rsidP="00862A01">
            <w:pPr>
              <w:jc w:val="right"/>
              <w:rPr>
                <w:szCs w:val="20"/>
              </w:rPr>
            </w:pPr>
          </w:p>
        </w:tc>
      </w:tr>
      <w:tr w:rsidR="00862A01" w:rsidRPr="00872D7E" w14:paraId="1B14F6CC" w14:textId="77777777" w:rsidTr="004664F9">
        <w:trPr>
          <w:divId w:val="744644440"/>
          <w:trHeight w:val="227"/>
        </w:trPr>
        <w:tc>
          <w:tcPr>
            <w:tcW w:w="3539" w:type="pct"/>
            <w:tcBorders>
              <w:top w:val="nil"/>
              <w:left w:val="nil"/>
              <w:bottom w:val="single" w:sz="12" w:space="0" w:color="auto"/>
              <w:right w:val="nil"/>
            </w:tcBorders>
            <w:shd w:val="clear" w:color="auto" w:fill="auto"/>
            <w:hideMark/>
          </w:tcPr>
          <w:p w14:paraId="0690E22F" w14:textId="77777777" w:rsidR="00862A01" w:rsidRPr="00872D7E" w:rsidRDefault="00862A01" w:rsidP="00862A01">
            <w:pPr>
              <w:jc w:val="both"/>
              <w:rPr>
                <w:b/>
                <w:bCs/>
                <w:color w:val="000000"/>
                <w:szCs w:val="20"/>
              </w:rPr>
            </w:pPr>
            <w:r w:rsidRPr="00872D7E">
              <w:rPr>
                <w:b/>
                <w:bCs/>
                <w:color w:val="000000"/>
                <w:szCs w:val="20"/>
              </w:rPr>
              <w:t>Ticari Kar/Zarar (net)</w:t>
            </w:r>
          </w:p>
        </w:tc>
        <w:tc>
          <w:tcPr>
            <w:tcW w:w="1461" w:type="pct"/>
            <w:tcBorders>
              <w:top w:val="nil"/>
              <w:left w:val="nil"/>
              <w:bottom w:val="single" w:sz="12" w:space="0" w:color="auto"/>
              <w:right w:val="nil"/>
            </w:tcBorders>
            <w:shd w:val="clear" w:color="auto" w:fill="auto"/>
            <w:noWrap/>
            <w:vAlign w:val="center"/>
            <w:hideMark/>
          </w:tcPr>
          <w:p w14:paraId="7F41D1A7" w14:textId="77777777" w:rsidR="00862A01" w:rsidRPr="00872D7E" w:rsidRDefault="00862A01" w:rsidP="00862A01">
            <w:pPr>
              <w:jc w:val="right"/>
              <w:rPr>
                <w:b/>
                <w:bCs/>
                <w:color w:val="000000"/>
                <w:szCs w:val="20"/>
              </w:rPr>
            </w:pPr>
            <w:r w:rsidRPr="00872D7E">
              <w:rPr>
                <w:b/>
                <w:bCs/>
                <w:color w:val="000000"/>
                <w:szCs w:val="20"/>
              </w:rPr>
              <w:t>1.379.654</w:t>
            </w:r>
          </w:p>
        </w:tc>
      </w:tr>
    </w:tbl>
    <w:p w14:paraId="6AC11C4C" w14:textId="6595930C" w:rsidR="00AB5801" w:rsidRPr="00872D7E" w:rsidRDefault="00AB5801" w:rsidP="00AB5801">
      <w:pPr>
        <w:widowControl w:val="0"/>
        <w:spacing w:line="211" w:lineRule="auto"/>
        <w:ind w:left="14" w:hanging="532"/>
        <w:jc w:val="both"/>
        <w:rPr>
          <w:b/>
          <w:szCs w:val="20"/>
        </w:rPr>
      </w:pPr>
    </w:p>
    <w:p w14:paraId="0D67816E" w14:textId="77777777" w:rsidR="00AB5801" w:rsidRPr="00872D7E" w:rsidRDefault="00AB5801" w:rsidP="00212E4A">
      <w:pPr>
        <w:pStyle w:val="ListParagraph"/>
        <w:widowControl w:val="0"/>
        <w:numPr>
          <w:ilvl w:val="0"/>
          <w:numId w:val="31"/>
        </w:numPr>
        <w:spacing w:line="211" w:lineRule="auto"/>
        <w:ind w:left="851" w:hanging="851"/>
        <w:jc w:val="both"/>
        <w:rPr>
          <w:b/>
          <w:szCs w:val="20"/>
        </w:rPr>
      </w:pPr>
      <w:r w:rsidRPr="00872D7E">
        <w:rPr>
          <w:b/>
          <w:szCs w:val="20"/>
        </w:rPr>
        <w:t xml:space="preserve">Diğer faaliyet gelirlerine ilişkin bilgiler: </w:t>
      </w:r>
    </w:p>
    <w:p w14:paraId="0E8C3451" w14:textId="69470B9E" w:rsidR="00862A01" w:rsidRPr="00872D7E" w:rsidRDefault="00862A01" w:rsidP="00DB0B4F">
      <w:pPr>
        <w:widowControl w:val="0"/>
        <w:ind w:left="1341" w:hanging="490"/>
        <w:jc w:val="both"/>
        <w:rPr>
          <w:szCs w:val="20"/>
        </w:rPr>
      </w:pPr>
    </w:p>
    <w:tbl>
      <w:tblPr>
        <w:tblW w:w="5000" w:type="pct"/>
        <w:tblCellMar>
          <w:left w:w="70" w:type="dxa"/>
          <w:right w:w="70" w:type="dxa"/>
        </w:tblCellMar>
        <w:tblLook w:val="04A0" w:firstRow="1" w:lastRow="0" w:firstColumn="1" w:lastColumn="0" w:noHBand="0" w:noVBand="1"/>
      </w:tblPr>
      <w:tblGrid>
        <w:gridCol w:w="6393"/>
        <w:gridCol w:w="2962"/>
      </w:tblGrid>
      <w:tr w:rsidR="00862A01" w:rsidRPr="00872D7E" w14:paraId="57E60B98" w14:textId="77777777" w:rsidTr="00862A01">
        <w:trPr>
          <w:divId w:val="1125735130"/>
          <w:trHeight w:val="247"/>
        </w:trPr>
        <w:tc>
          <w:tcPr>
            <w:tcW w:w="3417" w:type="pct"/>
            <w:tcBorders>
              <w:top w:val="nil"/>
              <w:left w:val="nil"/>
              <w:bottom w:val="nil"/>
              <w:right w:val="nil"/>
            </w:tcBorders>
            <w:shd w:val="clear" w:color="auto" w:fill="auto"/>
            <w:hideMark/>
          </w:tcPr>
          <w:p w14:paraId="0AA9078C" w14:textId="448A73E0" w:rsidR="00862A01" w:rsidRPr="00872D7E" w:rsidRDefault="00862A01" w:rsidP="00862A01">
            <w:pPr>
              <w:rPr>
                <w:szCs w:val="20"/>
              </w:rPr>
            </w:pPr>
          </w:p>
        </w:tc>
        <w:tc>
          <w:tcPr>
            <w:tcW w:w="1583" w:type="pct"/>
            <w:tcBorders>
              <w:top w:val="nil"/>
              <w:left w:val="nil"/>
              <w:bottom w:val="single" w:sz="4" w:space="0" w:color="auto"/>
              <w:right w:val="nil"/>
            </w:tcBorders>
            <w:shd w:val="clear" w:color="auto" w:fill="auto"/>
            <w:noWrap/>
            <w:hideMark/>
          </w:tcPr>
          <w:p w14:paraId="1193385D" w14:textId="77777777" w:rsidR="00862A01" w:rsidRPr="00872D7E" w:rsidRDefault="00862A01" w:rsidP="00862A01">
            <w:pPr>
              <w:jc w:val="right"/>
              <w:rPr>
                <w:b/>
                <w:bCs/>
                <w:color w:val="000000"/>
                <w:szCs w:val="20"/>
              </w:rPr>
            </w:pPr>
            <w:r w:rsidRPr="00872D7E">
              <w:rPr>
                <w:b/>
                <w:bCs/>
                <w:color w:val="000000"/>
                <w:szCs w:val="20"/>
              </w:rPr>
              <w:t xml:space="preserve">1 </w:t>
            </w:r>
            <w:proofErr w:type="gramStart"/>
            <w:r w:rsidRPr="00872D7E">
              <w:rPr>
                <w:b/>
                <w:bCs/>
                <w:color w:val="000000"/>
                <w:szCs w:val="20"/>
              </w:rPr>
              <w:t>Ocak -</w:t>
            </w:r>
            <w:proofErr w:type="gramEnd"/>
            <w:r w:rsidRPr="00872D7E">
              <w:rPr>
                <w:b/>
                <w:bCs/>
                <w:color w:val="000000"/>
                <w:szCs w:val="20"/>
              </w:rPr>
              <w:t xml:space="preserve"> 31 Aralık 2024</w:t>
            </w:r>
          </w:p>
        </w:tc>
      </w:tr>
      <w:tr w:rsidR="00862A01" w:rsidRPr="00872D7E" w14:paraId="452CC81D" w14:textId="77777777" w:rsidTr="00862A01">
        <w:trPr>
          <w:divId w:val="1125735130"/>
          <w:trHeight w:val="247"/>
        </w:trPr>
        <w:tc>
          <w:tcPr>
            <w:tcW w:w="3417" w:type="pct"/>
            <w:tcBorders>
              <w:top w:val="nil"/>
              <w:left w:val="nil"/>
              <w:bottom w:val="nil"/>
              <w:right w:val="nil"/>
            </w:tcBorders>
            <w:shd w:val="clear" w:color="auto" w:fill="auto"/>
            <w:hideMark/>
          </w:tcPr>
          <w:p w14:paraId="2F57AED2" w14:textId="77777777" w:rsidR="00862A01" w:rsidRPr="00872D7E" w:rsidRDefault="00862A01" w:rsidP="00862A01">
            <w:pPr>
              <w:rPr>
                <w:b/>
                <w:bCs/>
                <w:color w:val="000000"/>
                <w:szCs w:val="20"/>
              </w:rPr>
            </w:pPr>
          </w:p>
        </w:tc>
        <w:tc>
          <w:tcPr>
            <w:tcW w:w="1583" w:type="pct"/>
            <w:tcBorders>
              <w:top w:val="nil"/>
              <w:left w:val="nil"/>
              <w:bottom w:val="nil"/>
              <w:right w:val="nil"/>
            </w:tcBorders>
            <w:shd w:val="clear" w:color="auto" w:fill="auto"/>
            <w:hideMark/>
          </w:tcPr>
          <w:p w14:paraId="51DA77A5" w14:textId="77777777" w:rsidR="00862A01" w:rsidRPr="00872D7E" w:rsidRDefault="00862A01" w:rsidP="00862A01">
            <w:pPr>
              <w:jc w:val="right"/>
              <w:rPr>
                <w:szCs w:val="20"/>
              </w:rPr>
            </w:pPr>
          </w:p>
        </w:tc>
      </w:tr>
      <w:tr w:rsidR="00862A01" w:rsidRPr="00872D7E" w14:paraId="5AE9A375" w14:textId="77777777" w:rsidTr="00862A01">
        <w:trPr>
          <w:divId w:val="1125735130"/>
          <w:trHeight w:val="247"/>
        </w:trPr>
        <w:tc>
          <w:tcPr>
            <w:tcW w:w="3417" w:type="pct"/>
            <w:tcBorders>
              <w:top w:val="nil"/>
              <w:left w:val="nil"/>
              <w:bottom w:val="nil"/>
              <w:right w:val="nil"/>
            </w:tcBorders>
            <w:shd w:val="clear" w:color="auto" w:fill="auto"/>
            <w:vAlign w:val="center"/>
            <w:hideMark/>
          </w:tcPr>
          <w:p w14:paraId="6205CBD6" w14:textId="77777777" w:rsidR="00862A01" w:rsidRPr="00872D7E" w:rsidRDefault="00862A01" w:rsidP="00862A01">
            <w:pPr>
              <w:rPr>
                <w:color w:val="000000"/>
                <w:szCs w:val="20"/>
              </w:rPr>
            </w:pPr>
            <w:r w:rsidRPr="00872D7E">
              <w:rPr>
                <w:rFonts w:eastAsia="Arial Unicode MS"/>
                <w:color w:val="000000"/>
                <w:szCs w:val="20"/>
              </w:rPr>
              <w:t>İptal edilen karşılıklar</w:t>
            </w:r>
          </w:p>
        </w:tc>
        <w:tc>
          <w:tcPr>
            <w:tcW w:w="1583" w:type="pct"/>
            <w:tcBorders>
              <w:top w:val="nil"/>
              <w:left w:val="nil"/>
              <w:bottom w:val="nil"/>
              <w:right w:val="nil"/>
            </w:tcBorders>
            <w:shd w:val="clear" w:color="auto" w:fill="auto"/>
            <w:noWrap/>
            <w:vAlign w:val="center"/>
            <w:hideMark/>
          </w:tcPr>
          <w:p w14:paraId="1369BFA4" w14:textId="77777777" w:rsidR="00862A01" w:rsidRPr="00872D7E" w:rsidRDefault="00862A01" w:rsidP="00862A01">
            <w:pPr>
              <w:jc w:val="right"/>
              <w:rPr>
                <w:color w:val="000000"/>
                <w:szCs w:val="20"/>
              </w:rPr>
            </w:pPr>
            <w:r w:rsidRPr="00872D7E">
              <w:rPr>
                <w:color w:val="000000"/>
                <w:szCs w:val="20"/>
              </w:rPr>
              <w:t>8.508</w:t>
            </w:r>
          </w:p>
        </w:tc>
      </w:tr>
      <w:tr w:rsidR="00862A01" w:rsidRPr="00872D7E" w14:paraId="58E6EC07" w14:textId="77777777" w:rsidTr="00862A01">
        <w:trPr>
          <w:divId w:val="1125735130"/>
          <w:trHeight w:val="247"/>
        </w:trPr>
        <w:tc>
          <w:tcPr>
            <w:tcW w:w="3417" w:type="pct"/>
            <w:tcBorders>
              <w:top w:val="nil"/>
              <w:left w:val="nil"/>
              <w:right w:val="nil"/>
            </w:tcBorders>
            <w:shd w:val="clear" w:color="auto" w:fill="auto"/>
            <w:vAlign w:val="center"/>
            <w:hideMark/>
          </w:tcPr>
          <w:p w14:paraId="5030B823" w14:textId="77777777" w:rsidR="00862A01" w:rsidRPr="00872D7E" w:rsidRDefault="00862A01" w:rsidP="00862A01">
            <w:pPr>
              <w:rPr>
                <w:color w:val="000000"/>
                <w:szCs w:val="20"/>
              </w:rPr>
            </w:pPr>
            <w:r w:rsidRPr="00872D7E">
              <w:rPr>
                <w:rFonts w:eastAsia="Arial Unicode MS"/>
                <w:color w:val="000000"/>
                <w:szCs w:val="20"/>
              </w:rPr>
              <w:t xml:space="preserve">Faaliyet kiralaması gelirleri </w:t>
            </w:r>
          </w:p>
        </w:tc>
        <w:tc>
          <w:tcPr>
            <w:tcW w:w="1583" w:type="pct"/>
            <w:tcBorders>
              <w:top w:val="nil"/>
              <w:left w:val="nil"/>
              <w:right w:val="nil"/>
            </w:tcBorders>
            <w:shd w:val="clear" w:color="auto" w:fill="auto"/>
            <w:noWrap/>
            <w:vAlign w:val="center"/>
            <w:hideMark/>
          </w:tcPr>
          <w:p w14:paraId="7815017C" w14:textId="77777777" w:rsidR="00862A01" w:rsidRPr="00872D7E" w:rsidRDefault="00862A01" w:rsidP="00862A01">
            <w:pPr>
              <w:jc w:val="right"/>
              <w:rPr>
                <w:color w:val="000000"/>
                <w:szCs w:val="20"/>
              </w:rPr>
            </w:pPr>
            <w:r w:rsidRPr="00872D7E">
              <w:rPr>
                <w:color w:val="000000"/>
                <w:szCs w:val="20"/>
              </w:rPr>
              <w:t>981</w:t>
            </w:r>
          </w:p>
        </w:tc>
      </w:tr>
      <w:tr w:rsidR="00862A01" w:rsidRPr="00872D7E" w14:paraId="18F3F606" w14:textId="77777777" w:rsidTr="00862A01">
        <w:trPr>
          <w:divId w:val="1125735130"/>
          <w:trHeight w:val="247"/>
        </w:trPr>
        <w:tc>
          <w:tcPr>
            <w:tcW w:w="3417" w:type="pct"/>
            <w:tcBorders>
              <w:top w:val="nil"/>
              <w:left w:val="nil"/>
              <w:right w:val="nil"/>
            </w:tcBorders>
            <w:shd w:val="clear" w:color="auto" w:fill="auto"/>
            <w:vAlign w:val="center"/>
            <w:hideMark/>
          </w:tcPr>
          <w:p w14:paraId="2DF9BDA8" w14:textId="77777777" w:rsidR="00862A01" w:rsidRPr="00872D7E" w:rsidRDefault="00862A01" w:rsidP="00862A01">
            <w:pPr>
              <w:rPr>
                <w:color w:val="000000"/>
                <w:szCs w:val="20"/>
                <w:lang w:eastAsia="tr-TR"/>
              </w:rPr>
            </w:pPr>
            <w:r w:rsidRPr="00872D7E">
              <w:rPr>
                <w:rFonts w:eastAsia="Arial Unicode MS"/>
                <w:color w:val="000000"/>
                <w:szCs w:val="20"/>
              </w:rPr>
              <w:t>Masraf</w:t>
            </w:r>
            <w:r w:rsidRPr="00872D7E">
              <w:rPr>
                <w:color w:val="000000"/>
                <w:szCs w:val="20"/>
                <w:lang w:eastAsia="tr-TR"/>
              </w:rPr>
              <w:t xml:space="preserve"> yansıtmaları</w:t>
            </w:r>
          </w:p>
        </w:tc>
        <w:tc>
          <w:tcPr>
            <w:tcW w:w="1583" w:type="pct"/>
            <w:tcBorders>
              <w:top w:val="nil"/>
              <w:left w:val="nil"/>
              <w:right w:val="nil"/>
            </w:tcBorders>
            <w:shd w:val="clear" w:color="auto" w:fill="auto"/>
            <w:noWrap/>
            <w:vAlign w:val="center"/>
            <w:hideMark/>
          </w:tcPr>
          <w:p w14:paraId="60EDAC32" w14:textId="77777777" w:rsidR="00862A01" w:rsidRPr="00872D7E" w:rsidRDefault="00862A01" w:rsidP="00862A01">
            <w:pPr>
              <w:jc w:val="right"/>
              <w:rPr>
                <w:color w:val="000000"/>
                <w:szCs w:val="20"/>
              </w:rPr>
            </w:pPr>
            <w:r w:rsidRPr="00872D7E">
              <w:rPr>
                <w:color w:val="000000"/>
                <w:szCs w:val="20"/>
              </w:rPr>
              <w:t>2.860</w:t>
            </w:r>
          </w:p>
        </w:tc>
      </w:tr>
      <w:tr w:rsidR="00862A01" w:rsidRPr="00872D7E" w14:paraId="72BA63AC" w14:textId="77777777" w:rsidTr="00862A01">
        <w:trPr>
          <w:divId w:val="1125735130"/>
          <w:trHeight w:val="247"/>
        </w:trPr>
        <w:tc>
          <w:tcPr>
            <w:tcW w:w="3417" w:type="pct"/>
            <w:tcBorders>
              <w:left w:val="nil"/>
              <w:bottom w:val="single" w:sz="4" w:space="0" w:color="auto"/>
              <w:right w:val="nil"/>
            </w:tcBorders>
            <w:shd w:val="clear" w:color="auto" w:fill="auto"/>
            <w:vAlign w:val="center"/>
            <w:hideMark/>
          </w:tcPr>
          <w:p w14:paraId="62320152" w14:textId="77777777" w:rsidR="00862A01" w:rsidRPr="00872D7E" w:rsidRDefault="00862A01" w:rsidP="00862A01">
            <w:pPr>
              <w:rPr>
                <w:color w:val="000000"/>
                <w:szCs w:val="20"/>
                <w:lang w:eastAsia="tr-TR"/>
              </w:rPr>
            </w:pPr>
            <w:r w:rsidRPr="00872D7E">
              <w:rPr>
                <w:color w:val="000000"/>
                <w:szCs w:val="20"/>
              </w:rPr>
              <w:t>Diğer</w:t>
            </w:r>
            <w:r w:rsidRPr="00872D7E">
              <w:rPr>
                <w:color w:val="000000"/>
                <w:szCs w:val="20"/>
                <w:lang w:eastAsia="tr-TR"/>
              </w:rPr>
              <w:t xml:space="preserve"> gelirler</w:t>
            </w:r>
          </w:p>
        </w:tc>
        <w:tc>
          <w:tcPr>
            <w:tcW w:w="1583" w:type="pct"/>
            <w:tcBorders>
              <w:left w:val="nil"/>
              <w:bottom w:val="single" w:sz="4" w:space="0" w:color="auto"/>
              <w:right w:val="nil"/>
            </w:tcBorders>
            <w:shd w:val="clear" w:color="auto" w:fill="auto"/>
            <w:noWrap/>
            <w:vAlign w:val="center"/>
            <w:hideMark/>
          </w:tcPr>
          <w:p w14:paraId="33698905" w14:textId="77777777" w:rsidR="00862A01" w:rsidRPr="00872D7E" w:rsidRDefault="00862A01" w:rsidP="00862A01">
            <w:pPr>
              <w:jc w:val="right"/>
              <w:rPr>
                <w:color w:val="000000"/>
                <w:szCs w:val="20"/>
                <w:lang w:eastAsia="tr-TR"/>
              </w:rPr>
            </w:pPr>
            <w:r w:rsidRPr="00872D7E">
              <w:rPr>
                <w:szCs w:val="20"/>
              </w:rPr>
              <w:t>376</w:t>
            </w:r>
          </w:p>
        </w:tc>
      </w:tr>
      <w:tr w:rsidR="00862A01" w:rsidRPr="00872D7E" w14:paraId="6F383269" w14:textId="77777777" w:rsidTr="004664F9">
        <w:trPr>
          <w:divId w:val="1125735130"/>
          <w:trHeight w:val="247"/>
        </w:trPr>
        <w:tc>
          <w:tcPr>
            <w:tcW w:w="3417" w:type="pct"/>
            <w:tcBorders>
              <w:top w:val="single" w:sz="4" w:space="0" w:color="auto"/>
              <w:left w:val="nil"/>
              <w:right w:val="nil"/>
            </w:tcBorders>
            <w:shd w:val="clear" w:color="auto" w:fill="auto"/>
            <w:vAlign w:val="center"/>
            <w:hideMark/>
          </w:tcPr>
          <w:p w14:paraId="738EBC09" w14:textId="77777777" w:rsidR="00862A01" w:rsidRPr="00872D7E" w:rsidRDefault="00862A01" w:rsidP="00862A01">
            <w:pPr>
              <w:rPr>
                <w:b/>
                <w:bCs/>
                <w:color w:val="000000"/>
                <w:szCs w:val="20"/>
              </w:rPr>
            </w:pPr>
          </w:p>
        </w:tc>
        <w:tc>
          <w:tcPr>
            <w:tcW w:w="1583" w:type="pct"/>
            <w:tcBorders>
              <w:top w:val="single" w:sz="4" w:space="0" w:color="auto"/>
              <w:left w:val="nil"/>
              <w:right w:val="nil"/>
            </w:tcBorders>
            <w:shd w:val="clear" w:color="auto" w:fill="auto"/>
            <w:vAlign w:val="center"/>
            <w:hideMark/>
          </w:tcPr>
          <w:p w14:paraId="45D09D88" w14:textId="77777777" w:rsidR="00862A01" w:rsidRPr="00872D7E" w:rsidRDefault="00862A01" w:rsidP="00862A01">
            <w:pPr>
              <w:jc w:val="right"/>
              <w:rPr>
                <w:b/>
                <w:bCs/>
                <w:color w:val="000000"/>
                <w:szCs w:val="20"/>
              </w:rPr>
            </w:pPr>
          </w:p>
        </w:tc>
      </w:tr>
      <w:tr w:rsidR="00862A01" w:rsidRPr="00872D7E" w14:paraId="1A923893" w14:textId="77777777" w:rsidTr="004664F9">
        <w:trPr>
          <w:divId w:val="1125735130"/>
          <w:trHeight w:val="247"/>
        </w:trPr>
        <w:tc>
          <w:tcPr>
            <w:tcW w:w="3417" w:type="pct"/>
            <w:tcBorders>
              <w:left w:val="nil"/>
              <w:bottom w:val="single" w:sz="12" w:space="0" w:color="auto"/>
              <w:right w:val="nil"/>
            </w:tcBorders>
            <w:shd w:val="clear" w:color="auto" w:fill="auto"/>
            <w:vAlign w:val="center"/>
            <w:hideMark/>
          </w:tcPr>
          <w:p w14:paraId="59F2D556" w14:textId="77777777" w:rsidR="00862A01" w:rsidRPr="00872D7E" w:rsidRDefault="00862A01" w:rsidP="00862A01">
            <w:pPr>
              <w:rPr>
                <w:b/>
                <w:bCs/>
                <w:color w:val="000000"/>
                <w:szCs w:val="20"/>
                <w:lang w:eastAsia="tr-TR"/>
              </w:rPr>
            </w:pPr>
            <w:r w:rsidRPr="00872D7E">
              <w:rPr>
                <w:b/>
                <w:bCs/>
                <w:color w:val="000000"/>
                <w:szCs w:val="20"/>
                <w:lang w:eastAsia="tr-TR"/>
              </w:rPr>
              <w:t>Toplam</w:t>
            </w:r>
          </w:p>
        </w:tc>
        <w:tc>
          <w:tcPr>
            <w:tcW w:w="1583" w:type="pct"/>
            <w:tcBorders>
              <w:left w:val="nil"/>
              <w:bottom w:val="single" w:sz="12" w:space="0" w:color="auto"/>
              <w:right w:val="nil"/>
            </w:tcBorders>
            <w:shd w:val="clear" w:color="auto" w:fill="auto"/>
            <w:noWrap/>
            <w:vAlign w:val="center"/>
            <w:hideMark/>
          </w:tcPr>
          <w:p w14:paraId="53EF335C" w14:textId="77777777" w:rsidR="00862A01" w:rsidRPr="00872D7E" w:rsidRDefault="00862A01" w:rsidP="00862A01">
            <w:pPr>
              <w:jc w:val="right"/>
              <w:rPr>
                <w:b/>
                <w:bCs/>
                <w:color w:val="000000"/>
                <w:szCs w:val="20"/>
                <w:lang w:eastAsia="tr-TR"/>
              </w:rPr>
            </w:pPr>
            <w:r w:rsidRPr="00872D7E">
              <w:rPr>
                <w:b/>
                <w:bCs/>
                <w:color w:val="000000"/>
                <w:szCs w:val="20"/>
                <w:lang w:eastAsia="tr-TR"/>
              </w:rPr>
              <w:t>12.725</w:t>
            </w:r>
          </w:p>
        </w:tc>
      </w:tr>
    </w:tbl>
    <w:p w14:paraId="0C204F4E" w14:textId="5570F3D5" w:rsidR="00AB5801" w:rsidRPr="00872D7E" w:rsidRDefault="00AB5801" w:rsidP="00DB0B4F">
      <w:pPr>
        <w:widowControl w:val="0"/>
        <w:ind w:left="1341" w:hanging="490"/>
        <w:jc w:val="both"/>
        <w:rPr>
          <w:bCs/>
          <w:szCs w:val="20"/>
        </w:rPr>
      </w:pPr>
    </w:p>
    <w:p w14:paraId="747DC6C9" w14:textId="77777777" w:rsidR="00000466" w:rsidRPr="00872D7E" w:rsidRDefault="00000466" w:rsidP="00000466">
      <w:pPr>
        <w:pStyle w:val="ListParagraph"/>
        <w:widowControl w:val="0"/>
        <w:numPr>
          <w:ilvl w:val="0"/>
          <w:numId w:val="31"/>
        </w:numPr>
        <w:spacing w:line="211" w:lineRule="auto"/>
        <w:ind w:left="851" w:hanging="851"/>
        <w:jc w:val="both"/>
        <w:rPr>
          <w:b/>
          <w:szCs w:val="20"/>
        </w:rPr>
      </w:pPr>
      <w:r w:rsidRPr="00872D7E">
        <w:rPr>
          <w:b/>
          <w:szCs w:val="20"/>
        </w:rPr>
        <w:t>Banka’nın kredi ve diğer alacaklarına ilişkin değer düşüş karşılık giderleri</w:t>
      </w:r>
    </w:p>
    <w:p w14:paraId="183FF433" w14:textId="77777777" w:rsidR="00000466" w:rsidRPr="00872D7E" w:rsidRDefault="00000466" w:rsidP="00000466"/>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054"/>
        <w:gridCol w:w="2301"/>
      </w:tblGrid>
      <w:tr w:rsidR="00000466" w:rsidRPr="00872D7E" w14:paraId="0C72CBE2" w14:textId="77777777" w:rsidTr="00336F42">
        <w:tc>
          <w:tcPr>
            <w:tcW w:w="3770" w:type="pct"/>
            <w:tcBorders>
              <w:top w:val="nil"/>
              <w:left w:val="nil"/>
              <w:bottom w:val="nil"/>
              <w:right w:val="nil"/>
            </w:tcBorders>
            <w:vAlign w:val="center"/>
          </w:tcPr>
          <w:p w14:paraId="688800A6" w14:textId="77777777" w:rsidR="00000466" w:rsidRPr="00872D7E" w:rsidRDefault="00000466" w:rsidP="00336F42">
            <w:pPr>
              <w:rPr>
                <w:color w:val="000000"/>
                <w:szCs w:val="20"/>
                <w:lang w:eastAsia="tr-TR"/>
              </w:rPr>
            </w:pPr>
          </w:p>
        </w:tc>
        <w:tc>
          <w:tcPr>
            <w:tcW w:w="1230" w:type="pct"/>
            <w:tcBorders>
              <w:top w:val="nil"/>
              <w:left w:val="nil"/>
              <w:bottom w:val="single" w:sz="4" w:space="0" w:color="auto"/>
              <w:right w:val="nil"/>
            </w:tcBorders>
            <w:vAlign w:val="bottom"/>
          </w:tcPr>
          <w:p w14:paraId="448DBC04" w14:textId="77777777" w:rsidR="00000466" w:rsidRPr="00872D7E" w:rsidRDefault="00000466" w:rsidP="00336F42">
            <w:pPr>
              <w:jc w:val="right"/>
              <w:rPr>
                <w:color w:val="000000"/>
                <w:szCs w:val="20"/>
                <w:lang w:eastAsia="tr-TR"/>
              </w:rPr>
            </w:pPr>
            <w:r w:rsidRPr="00872D7E">
              <w:rPr>
                <w:b/>
                <w:bCs/>
                <w:color w:val="000000"/>
                <w:szCs w:val="20"/>
              </w:rPr>
              <w:t xml:space="preserve">1 </w:t>
            </w:r>
            <w:proofErr w:type="gramStart"/>
            <w:r w:rsidRPr="00872D7E">
              <w:rPr>
                <w:b/>
                <w:bCs/>
                <w:color w:val="000000"/>
                <w:szCs w:val="20"/>
              </w:rPr>
              <w:t>Ocak -</w:t>
            </w:r>
            <w:proofErr w:type="gramEnd"/>
            <w:r w:rsidRPr="00872D7E">
              <w:rPr>
                <w:b/>
                <w:bCs/>
                <w:color w:val="000000"/>
                <w:szCs w:val="20"/>
              </w:rPr>
              <w:t xml:space="preserve"> 31 Aralık 2024</w:t>
            </w:r>
          </w:p>
        </w:tc>
      </w:tr>
      <w:tr w:rsidR="00000466" w:rsidRPr="00872D7E" w14:paraId="12C33222" w14:textId="77777777" w:rsidTr="00336F42">
        <w:tc>
          <w:tcPr>
            <w:tcW w:w="3770" w:type="pct"/>
            <w:tcBorders>
              <w:top w:val="nil"/>
              <w:left w:val="nil"/>
              <w:bottom w:val="nil"/>
              <w:right w:val="nil"/>
            </w:tcBorders>
            <w:vAlign w:val="center"/>
          </w:tcPr>
          <w:p w14:paraId="2B045C31" w14:textId="77777777" w:rsidR="00000466" w:rsidRPr="00872D7E" w:rsidRDefault="00000466" w:rsidP="00336F42">
            <w:pPr>
              <w:rPr>
                <w:b/>
                <w:bCs/>
                <w:color w:val="000000"/>
                <w:szCs w:val="20"/>
                <w:lang w:eastAsia="tr-TR"/>
              </w:rPr>
            </w:pPr>
          </w:p>
        </w:tc>
        <w:tc>
          <w:tcPr>
            <w:tcW w:w="1230" w:type="pct"/>
            <w:tcBorders>
              <w:top w:val="single" w:sz="4" w:space="0" w:color="auto"/>
              <w:left w:val="nil"/>
              <w:bottom w:val="nil"/>
              <w:right w:val="nil"/>
            </w:tcBorders>
            <w:vAlign w:val="center"/>
          </w:tcPr>
          <w:p w14:paraId="61519B64" w14:textId="77777777" w:rsidR="00000466" w:rsidRPr="00872D7E" w:rsidRDefault="00000466" w:rsidP="00336F42">
            <w:pPr>
              <w:jc w:val="right"/>
              <w:rPr>
                <w:b/>
                <w:bCs/>
                <w:color w:val="000000"/>
                <w:szCs w:val="20"/>
              </w:rPr>
            </w:pPr>
          </w:p>
        </w:tc>
      </w:tr>
      <w:tr w:rsidR="00000466" w:rsidRPr="00872D7E" w14:paraId="0A09C086" w14:textId="77777777" w:rsidTr="00336F42">
        <w:tc>
          <w:tcPr>
            <w:tcW w:w="3770" w:type="pct"/>
            <w:tcBorders>
              <w:top w:val="nil"/>
              <w:left w:val="nil"/>
              <w:bottom w:val="nil"/>
              <w:right w:val="nil"/>
            </w:tcBorders>
            <w:vAlign w:val="center"/>
            <w:hideMark/>
          </w:tcPr>
          <w:p w14:paraId="6566FDEB" w14:textId="77777777" w:rsidR="00000466" w:rsidRPr="00872D7E" w:rsidRDefault="00000466" w:rsidP="00336F42">
            <w:pPr>
              <w:rPr>
                <w:b/>
                <w:bCs/>
                <w:color w:val="000000"/>
                <w:szCs w:val="20"/>
                <w:lang w:eastAsia="tr-TR"/>
              </w:rPr>
            </w:pPr>
            <w:r w:rsidRPr="00872D7E">
              <w:rPr>
                <w:b/>
                <w:bCs/>
                <w:color w:val="000000"/>
                <w:szCs w:val="20"/>
                <w:lang w:eastAsia="tr-TR"/>
              </w:rPr>
              <w:t>Özel Karşılıklar</w:t>
            </w:r>
          </w:p>
        </w:tc>
        <w:tc>
          <w:tcPr>
            <w:tcW w:w="1230" w:type="pct"/>
            <w:tcBorders>
              <w:top w:val="nil"/>
              <w:left w:val="nil"/>
              <w:bottom w:val="nil"/>
              <w:right w:val="nil"/>
            </w:tcBorders>
            <w:vAlign w:val="center"/>
          </w:tcPr>
          <w:p w14:paraId="3B2809B9" w14:textId="77777777" w:rsidR="00000466" w:rsidRPr="00872D7E" w:rsidRDefault="00000466" w:rsidP="00336F42">
            <w:pPr>
              <w:jc w:val="right"/>
              <w:rPr>
                <w:b/>
                <w:bCs/>
                <w:color w:val="000000"/>
                <w:szCs w:val="20"/>
                <w:lang w:eastAsia="tr-TR"/>
              </w:rPr>
            </w:pPr>
            <w:r w:rsidRPr="00872D7E">
              <w:rPr>
                <w:b/>
                <w:bCs/>
                <w:color w:val="000000"/>
                <w:szCs w:val="20"/>
              </w:rPr>
              <w:t>-</w:t>
            </w:r>
          </w:p>
        </w:tc>
      </w:tr>
      <w:tr w:rsidR="00000466" w:rsidRPr="00872D7E" w14:paraId="4F71742A" w14:textId="77777777" w:rsidTr="00336F42">
        <w:tc>
          <w:tcPr>
            <w:tcW w:w="3770" w:type="pct"/>
            <w:tcBorders>
              <w:top w:val="nil"/>
              <w:left w:val="nil"/>
              <w:bottom w:val="nil"/>
              <w:right w:val="nil"/>
            </w:tcBorders>
            <w:vAlign w:val="center"/>
            <w:hideMark/>
          </w:tcPr>
          <w:p w14:paraId="332B7EA4" w14:textId="77777777" w:rsidR="00000466" w:rsidRPr="00872D7E" w:rsidRDefault="00000466" w:rsidP="00336F42">
            <w:pPr>
              <w:ind w:firstLine="463"/>
              <w:rPr>
                <w:color w:val="000000"/>
                <w:szCs w:val="20"/>
                <w:lang w:eastAsia="tr-TR"/>
              </w:rPr>
            </w:pPr>
            <w:r w:rsidRPr="00872D7E">
              <w:rPr>
                <w:color w:val="000000"/>
                <w:szCs w:val="20"/>
                <w:lang w:eastAsia="tr-TR"/>
              </w:rPr>
              <w:t>Tahsil İmkânı Sınırlı Krediler İçin Ayrılanlar</w:t>
            </w:r>
          </w:p>
        </w:tc>
        <w:tc>
          <w:tcPr>
            <w:tcW w:w="1230" w:type="pct"/>
            <w:tcBorders>
              <w:top w:val="nil"/>
              <w:left w:val="nil"/>
              <w:bottom w:val="nil"/>
              <w:right w:val="nil"/>
            </w:tcBorders>
            <w:vAlign w:val="center"/>
          </w:tcPr>
          <w:p w14:paraId="26A628A1" w14:textId="77777777" w:rsidR="00000466" w:rsidRPr="00872D7E" w:rsidRDefault="00000466" w:rsidP="00336F42">
            <w:pPr>
              <w:jc w:val="right"/>
              <w:rPr>
                <w:color w:val="000000"/>
                <w:szCs w:val="20"/>
                <w:lang w:eastAsia="tr-TR"/>
              </w:rPr>
            </w:pPr>
            <w:r w:rsidRPr="00872D7E">
              <w:rPr>
                <w:color w:val="000000"/>
                <w:szCs w:val="20"/>
              </w:rPr>
              <w:t>-</w:t>
            </w:r>
          </w:p>
        </w:tc>
      </w:tr>
      <w:tr w:rsidR="00000466" w:rsidRPr="00872D7E" w14:paraId="7D1B30EA" w14:textId="77777777" w:rsidTr="00336F42">
        <w:tc>
          <w:tcPr>
            <w:tcW w:w="3770" w:type="pct"/>
            <w:tcBorders>
              <w:top w:val="nil"/>
              <w:left w:val="nil"/>
              <w:bottom w:val="nil"/>
              <w:right w:val="nil"/>
            </w:tcBorders>
            <w:vAlign w:val="center"/>
            <w:hideMark/>
          </w:tcPr>
          <w:p w14:paraId="4E825AA1" w14:textId="77777777" w:rsidR="00000466" w:rsidRPr="00872D7E" w:rsidRDefault="00000466" w:rsidP="00336F42">
            <w:pPr>
              <w:ind w:firstLine="463"/>
              <w:rPr>
                <w:color w:val="000000"/>
                <w:szCs w:val="20"/>
                <w:lang w:eastAsia="tr-TR"/>
              </w:rPr>
            </w:pPr>
            <w:r w:rsidRPr="00872D7E">
              <w:rPr>
                <w:color w:val="000000"/>
                <w:szCs w:val="20"/>
                <w:lang w:eastAsia="tr-TR"/>
              </w:rPr>
              <w:t>Tahsili Şüpheli Krediler İçin Ayrılanlar</w:t>
            </w:r>
          </w:p>
        </w:tc>
        <w:tc>
          <w:tcPr>
            <w:tcW w:w="1230" w:type="pct"/>
            <w:tcBorders>
              <w:top w:val="nil"/>
              <w:left w:val="nil"/>
              <w:bottom w:val="nil"/>
              <w:right w:val="nil"/>
            </w:tcBorders>
            <w:vAlign w:val="center"/>
          </w:tcPr>
          <w:p w14:paraId="79DBB77D" w14:textId="77777777" w:rsidR="00000466" w:rsidRPr="00872D7E" w:rsidRDefault="00000466" w:rsidP="00336F42">
            <w:pPr>
              <w:jc w:val="right"/>
              <w:rPr>
                <w:color w:val="000000"/>
                <w:szCs w:val="20"/>
                <w:lang w:eastAsia="tr-TR"/>
              </w:rPr>
            </w:pPr>
            <w:r w:rsidRPr="00872D7E">
              <w:rPr>
                <w:color w:val="000000"/>
                <w:szCs w:val="20"/>
              </w:rPr>
              <w:t>-</w:t>
            </w:r>
          </w:p>
        </w:tc>
      </w:tr>
      <w:tr w:rsidR="00000466" w:rsidRPr="00872D7E" w14:paraId="5D686F04" w14:textId="77777777" w:rsidTr="00336F42">
        <w:tc>
          <w:tcPr>
            <w:tcW w:w="3770" w:type="pct"/>
            <w:tcBorders>
              <w:top w:val="nil"/>
              <w:left w:val="nil"/>
              <w:bottom w:val="nil"/>
              <w:right w:val="nil"/>
            </w:tcBorders>
            <w:vAlign w:val="center"/>
            <w:hideMark/>
          </w:tcPr>
          <w:p w14:paraId="1730809D" w14:textId="77777777" w:rsidR="00000466" w:rsidRPr="00872D7E" w:rsidRDefault="00000466" w:rsidP="00336F42">
            <w:pPr>
              <w:ind w:firstLine="463"/>
              <w:rPr>
                <w:color w:val="000000"/>
                <w:szCs w:val="20"/>
                <w:lang w:eastAsia="tr-TR"/>
              </w:rPr>
            </w:pPr>
            <w:r w:rsidRPr="00872D7E">
              <w:rPr>
                <w:color w:val="000000"/>
                <w:szCs w:val="20"/>
                <w:lang w:eastAsia="tr-TR"/>
              </w:rPr>
              <w:t>Zarar Niteliğindeki Krediler İçin Ayrılanlar</w:t>
            </w:r>
          </w:p>
        </w:tc>
        <w:tc>
          <w:tcPr>
            <w:tcW w:w="1230" w:type="pct"/>
            <w:tcBorders>
              <w:top w:val="nil"/>
              <w:left w:val="nil"/>
              <w:bottom w:val="nil"/>
              <w:right w:val="nil"/>
            </w:tcBorders>
            <w:vAlign w:val="center"/>
          </w:tcPr>
          <w:p w14:paraId="3AC2C766" w14:textId="77777777" w:rsidR="00000466" w:rsidRPr="00872D7E" w:rsidRDefault="00000466" w:rsidP="00336F42">
            <w:pPr>
              <w:jc w:val="right"/>
              <w:rPr>
                <w:color w:val="000000"/>
                <w:szCs w:val="20"/>
                <w:lang w:eastAsia="tr-TR"/>
              </w:rPr>
            </w:pPr>
            <w:r w:rsidRPr="00872D7E">
              <w:rPr>
                <w:color w:val="000000"/>
                <w:szCs w:val="20"/>
              </w:rPr>
              <w:t>-</w:t>
            </w:r>
          </w:p>
        </w:tc>
      </w:tr>
      <w:tr w:rsidR="00000466" w:rsidRPr="00872D7E" w14:paraId="4049FC1D" w14:textId="77777777" w:rsidTr="00336F42">
        <w:tc>
          <w:tcPr>
            <w:tcW w:w="3770" w:type="pct"/>
            <w:tcBorders>
              <w:top w:val="nil"/>
              <w:left w:val="nil"/>
              <w:bottom w:val="nil"/>
              <w:right w:val="nil"/>
            </w:tcBorders>
            <w:vAlign w:val="center"/>
            <w:hideMark/>
          </w:tcPr>
          <w:p w14:paraId="0A77D9ED" w14:textId="77777777" w:rsidR="00000466" w:rsidRPr="00872D7E" w:rsidRDefault="00000466" w:rsidP="00336F42">
            <w:pPr>
              <w:rPr>
                <w:b/>
                <w:bCs/>
                <w:color w:val="000000"/>
                <w:szCs w:val="20"/>
                <w:lang w:eastAsia="tr-TR"/>
              </w:rPr>
            </w:pPr>
            <w:r w:rsidRPr="00872D7E">
              <w:rPr>
                <w:b/>
                <w:bCs/>
                <w:color w:val="000000"/>
                <w:szCs w:val="20"/>
                <w:lang w:eastAsia="tr-TR"/>
              </w:rPr>
              <w:t>Genel Karşılıklar</w:t>
            </w:r>
          </w:p>
        </w:tc>
        <w:tc>
          <w:tcPr>
            <w:tcW w:w="1230" w:type="pct"/>
            <w:tcBorders>
              <w:top w:val="nil"/>
              <w:left w:val="nil"/>
              <w:bottom w:val="nil"/>
              <w:right w:val="nil"/>
            </w:tcBorders>
            <w:vAlign w:val="center"/>
          </w:tcPr>
          <w:p w14:paraId="32F01B09" w14:textId="77777777" w:rsidR="00000466" w:rsidRPr="00872D7E" w:rsidRDefault="00000466" w:rsidP="00336F42">
            <w:pPr>
              <w:jc w:val="right"/>
              <w:rPr>
                <w:b/>
                <w:bCs/>
                <w:color w:val="000000"/>
                <w:szCs w:val="20"/>
                <w:lang w:eastAsia="tr-TR"/>
              </w:rPr>
            </w:pPr>
            <w:r w:rsidRPr="00872D7E">
              <w:rPr>
                <w:b/>
                <w:bCs/>
                <w:color w:val="000000"/>
                <w:szCs w:val="20"/>
              </w:rPr>
              <w:t>369.935</w:t>
            </w:r>
          </w:p>
        </w:tc>
      </w:tr>
      <w:tr w:rsidR="00000466" w:rsidRPr="00872D7E" w14:paraId="6E801600" w14:textId="77777777" w:rsidTr="00336F42">
        <w:tc>
          <w:tcPr>
            <w:tcW w:w="3770" w:type="pct"/>
            <w:tcBorders>
              <w:top w:val="nil"/>
              <w:left w:val="nil"/>
              <w:bottom w:val="nil"/>
              <w:right w:val="nil"/>
            </w:tcBorders>
            <w:vAlign w:val="center"/>
            <w:hideMark/>
          </w:tcPr>
          <w:p w14:paraId="7159C830" w14:textId="77777777" w:rsidR="00000466" w:rsidRPr="00872D7E" w:rsidRDefault="00000466" w:rsidP="00336F42">
            <w:pPr>
              <w:rPr>
                <w:b/>
                <w:bCs/>
                <w:color w:val="000000"/>
                <w:szCs w:val="20"/>
                <w:lang w:eastAsia="tr-TR"/>
              </w:rPr>
            </w:pPr>
            <w:r w:rsidRPr="00872D7E">
              <w:rPr>
                <w:b/>
                <w:bCs/>
                <w:color w:val="000000"/>
                <w:szCs w:val="20"/>
                <w:lang w:eastAsia="tr-TR"/>
              </w:rPr>
              <w:t>Menkul Değerler Değer Düşüş Karşılıkları</w:t>
            </w:r>
          </w:p>
        </w:tc>
        <w:tc>
          <w:tcPr>
            <w:tcW w:w="1230" w:type="pct"/>
            <w:tcBorders>
              <w:top w:val="nil"/>
              <w:left w:val="nil"/>
              <w:bottom w:val="nil"/>
              <w:right w:val="nil"/>
            </w:tcBorders>
            <w:vAlign w:val="center"/>
          </w:tcPr>
          <w:p w14:paraId="1C61C99C" w14:textId="77777777" w:rsidR="00000466" w:rsidRPr="00872D7E" w:rsidRDefault="00000466" w:rsidP="00336F42">
            <w:pPr>
              <w:jc w:val="right"/>
              <w:rPr>
                <w:b/>
                <w:bCs/>
                <w:color w:val="000000"/>
                <w:szCs w:val="20"/>
                <w:lang w:eastAsia="tr-TR"/>
              </w:rPr>
            </w:pPr>
            <w:r w:rsidRPr="00872D7E">
              <w:rPr>
                <w:b/>
                <w:bCs/>
                <w:color w:val="000000"/>
                <w:szCs w:val="20"/>
              </w:rPr>
              <w:t>-</w:t>
            </w:r>
          </w:p>
        </w:tc>
      </w:tr>
      <w:tr w:rsidR="00000466" w:rsidRPr="00872D7E" w14:paraId="0A2040D4" w14:textId="77777777" w:rsidTr="00336F42">
        <w:tc>
          <w:tcPr>
            <w:tcW w:w="3770" w:type="pct"/>
            <w:tcBorders>
              <w:top w:val="nil"/>
              <w:left w:val="nil"/>
              <w:bottom w:val="nil"/>
              <w:right w:val="nil"/>
            </w:tcBorders>
            <w:vAlign w:val="center"/>
            <w:hideMark/>
          </w:tcPr>
          <w:p w14:paraId="42D8DDE9" w14:textId="77777777" w:rsidR="00000466" w:rsidRPr="00872D7E" w:rsidRDefault="00000466" w:rsidP="00336F42">
            <w:pPr>
              <w:ind w:firstLine="484"/>
              <w:rPr>
                <w:color w:val="000000"/>
                <w:szCs w:val="20"/>
                <w:lang w:eastAsia="tr-TR"/>
              </w:rPr>
            </w:pPr>
            <w:r w:rsidRPr="00872D7E">
              <w:rPr>
                <w:color w:val="000000"/>
                <w:szCs w:val="20"/>
                <w:lang w:eastAsia="tr-TR"/>
              </w:rPr>
              <w:t>Gerçeğe Uygun Değer Farkı Kâr veya Zarara Yansıtılan Finansal Varlıklar</w:t>
            </w:r>
          </w:p>
        </w:tc>
        <w:tc>
          <w:tcPr>
            <w:tcW w:w="1230" w:type="pct"/>
            <w:tcBorders>
              <w:top w:val="nil"/>
              <w:left w:val="nil"/>
              <w:bottom w:val="nil"/>
              <w:right w:val="nil"/>
            </w:tcBorders>
            <w:vAlign w:val="center"/>
          </w:tcPr>
          <w:p w14:paraId="14C5FA4E" w14:textId="77777777" w:rsidR="00000466" w:rsidRPr="00872D7E" w:rsidRDefault="00000466" w:rsidP="00336F42">
            <w:pPr>
              <w:jc w:val="right"/>
              <w:rPr>
                <w:color w:val="000000"/>
                <w:szCs w:val="20"/>
                <w:lang w:eastAsia="tr-TR"/>
              </w:rPr>
            </w:pPr>
            <w:r w:rsidRPr="00872D7E">
              <w:rPr>
                <w:color w:val="000000"/>
                <w:szCs w:val="20"/>
              </w:rPr>
              <w:t>-</w:t>
            </w:r>
          </w:p>
        </w:tc>
      </w:tr>
      <w:tr w:rsidR="00000466" w:rsidRPr="00872D7E" w14:paraId="321AD678" w14:textId="77777777" w:rsidTr="00336F42">
        <w:tc>
          <w:tcPr>
            <w:tcW w:w="3770" w:type="pct"/>
            <w:tcBorders>
              <w:top w:val="nil"/>
              <w:left w:val="nil"/>
              <w:bottom w:val="nil"/>
              <w:right w:val="nil"/>
            </w:tcBorders>
            <w:vAlign w:val="center"/>
            <w:hideMark/>
          </w:tcPr>
          <w:p w14:paraId="1263CB3A" w14:textId="77777777" w:rsidR="00000466" w:rsidRPr="00872D7E" w:rsidRDefault="00000466" w:rsidP="00336F42">
            <w:pPr>
              <w:ind w:firstLine="484"/>
              <w:rPr>
                <w:color w:val="000000"/>
                <w:szCs w:val="20"/>
                <w:lang w:eastAsia="tr-TR"/>
              </w:rPr>
            </w:pPr>
            <w:r w:rsidRPr="00872D7E">
              <w:rPr>
                <w:color w:val="000000"/>
                <w:szCs w:val="20"/>
                <w:lang w:eastAsia="tr-TR"/>
              </w:rPr>
              <w:t>Gerçeğe Uygun Değer Farkı Diğer Kapsamlı Gelire Yansıtılan Varlıklar</w:t>
            </w:r>
          </w:p>
        </w:tc>
        <w:tc>
          <w:tcPr>
            <w:tcW w:w="1230" w:type="pct"/>
            <w:tcBorders>
              <w:top w:val="nil"/>
              <w:left w:val="nil"/>
              <w:bottom w:val="nil"/>
              <w:right w:val="nil"/>
            </w:tcBorders>
            <w:vAlign w:val="center"/>
          </w:tcPr>
          <w:p w14:paraId="19782B1E" w14:textId="77777777" w:rsidR="00000466" w:rsidRPr="00872D7E" w:rsidRDefault="00000466" w:rsidP="00336F42">
            <w:pPr>
              <w:jc w:val="right"/>
              <w:rPr>
                <w:color w:val="000000"/>
                <w:szCs w:val="20"/>
                <w:lang w:eastAsia="tr-TR"/>
              </w:rPr>
            </w:pPr>
            <w:r w:rsidRPr="00872D7E">
              <w:rPr>
                <w:color w:val="000000"/>
                <w:szCs w:val="20"/>
              </w:rPr>
              <w:t>-</w:t>
            </w:r>
          </w:p>
        </w:tc>
      </w:tr>
      <w:tr w:rsidR="00000466" w:rsidRPr="00872D7E" w14:paraId="36ABA044" w14:textId="77777777" w:rsidTr="00336F42">
        <w:tc>
          <w:tcPr>
            <w:tcW w:w="3770" w:type="pct"/>
            <w:tcBorders>
              <w:top w:val="nil"/>
              <w:left w:val="nil"/>
              <w:bottom w:val="nil"/>
              <w:right w:val="nil"/>
            </w:tcBorders>
            <w:vAlign w:val="center"/>
            <w:hideMark/>
          </w:tcPr>
          <w:p w14:paraId="4AA298C1" w14:textId="77777777" w:rsidR="00000466" w:rsidRPr="00872D7E" w:rsidRDefault="00000466" w:rsidP="00336F42">
            <w:pPr>
              <w:rPr>
                <w:b/>
                <w:bCs/>
                <w:color w:val="000000"/>
                <w:szCs w:val="20"/>
                <w:lang w:eastAsia="tr-TR"/>
              </w:rPr>
            </w:pPr>
            <w:r w:rsidRPr="00872D7E">
              <w:rPr>
                <w:b/>
                <w:bCs/>
                <w:color w:val="000000"/>
                <w:szCs w:val="20"/>
                <w:lang w:eastAsia="tr-TR"/>
              </w:rPr>
              <w:t>İştirakler, Bağlı Ortaklıklar ve Birlikte Kontrol Edilen Ortaklıklar Değer Düşüş Karşılıkları</w:t>
            </w:r>
          </w:p>
        </w:tc>
        <w:tc>
          <w:tcPr>
            <w:tcW w:w="1230" w:type="pct"/>
            <w:tcBorders>
              <w:top w:val="nil"/>
              <w:left w:val="nil"/>
              <w:bottom w:val="nil"/>
              <w:right w:val="nil"/>
            </w:tcBorders>
            <w:vAlign w:val="center"/>
          </w:tcPr>
          <w:p w14:paraId="5ACAF1D0" w14:textId="77777777" w:rsidR="00000466" w:rsidRPr="00872D7E" w:rsidRDefault="00000466" w:rsidP="00336F42">
            <w:pPr>
              <w:jc w:val="right"/>
              <w:rPr>
                <w:b/>
                <w:bCs/>
                <w:color w:val="000000"/>
                <w:szCs w:val="20"/>
                <w:lang w:eastAsia="tr-TR"/>
              </w:rPr>
            </w:pPr>
            <w:r w:rsidRPr="00872D7E">
              <w:rPr>
                <w:b/>
                <w:bCs/>
                <w:color w:val="000000"/>
                <w:szCs w:val="20"/>
              </w:rPr>
              <w:t>-</w:t>
            </w:r>
          </w:p>
        </w:tc>
      </w:tr>
      <w:tr w:rsidR="00000466" w:rsidRPr="00872D7E" w14:paraId="52F28546" w14:textId="77777777" w:rsidTr="00336F42">
        <w:tc>
          <w:tcPr>
            <w:tcW w:w="3770" w:type="pct"/>
            <w:tcBorders>
              <w:top w:val="nil"/>
              <w:left w:val="nil"/>
              <w:bottom w:val="nil"/>
              <w:right w:val="nil"/>
            </w:tcBorders>
            <w:vAlign w:val="center"/>
            <w:hideMark/>
          </w:tcPr>
          <w:p w14:paraId="71301329" w14:textId="77777777" w:rsidR="00000466" w:rsidRPr="00872D7E" w:rsidRDefault="00000466" w:rsidP="00336F42">
            <w:pPr>
              <w:ind w:firstLine="484"/>
              <w:rPr>
                <w:color w:val="000000"/>
                <w:szCs w:val="20"/>
                <w:lang w:eastAsia="tr-TR"/>
              </w:rPr>
            </w:pPr>
            <w:r w:rsidRPr="00872D7E">
              <w:rPr>
                <w:color w:val="000000"/>
                <w:szCs w:val="20"/>
                <w:lang w:eastAsia="tr-TR"/>
              </w:rPr>
              <w:t>İştirakler</w:t>
            </w:r>
          </w:p>
        </w:tc>
        <w:tc>
          <w:tcPr>
            <w:tcW w:w="1230" w:type="pct"/>
            <w:tcBorders>
              <w:top w:val="nil"/>
              <w:left w:val="nil"/>
              <w:bottom w:val="nil"/>
              <w:right w:val="nil"/>
            </w:tcBorders>
            <w:vAlign w:val="center"/>
          </w:tcPr>
          <w:p w14:paraId="5C5C1084" w14:textId="77777777" w:rsidR="00000466" w:rsidRPr="00872D7E" w:rsidRDefault="00000466" w:rsidP="00336F42">
            <w:pPr>
              <w:jc w:val="right"/>
              <w:rPr>
                <w:color w:val="000000"/>
                <w:szCs w:val="20"/>
                <w:lang w:eastAsia="tr-TR"/>
              </w:rPr>
            </w:pPr>
            <w:r w:rsidRPr="00872D7E">
              <w:rPr>
                <w:color w:val="000000"/>
                <w:szCs w:val="20"/>
              </w:rPr>
              <w:t>-</w:t>
            </w:r>
          </w:p>
        </w:tc>
      </w:tr>
      <w:tr w:rsidR="00000466" w:rsidRPr="00872D7E" w14:paraId="05A2814A" w14:textId="77777777" w:rsidTr="00336F42">
        <w:tc>
          <w:tcPr>
            <w:tcW w:w="3770" w:type="pct"/>
            <w:tcBorders>
              <w:top w:val="nil"/>
              <w:left w:val="nil"/>
              <w:bottom w:val="nil"/>
              <w:right w:val="nil"/>
            </w:tcBorders>
            <w:vAlign w:val="center"/>
            <w:hideMark/>
          </w:tcPr>
          <w:p w14:paraId="3CEFA8CB" w14:textId="77777777" w:rsidR="00000466" w:rsidRPr="00872D7E" w:rsidRDefault="00000466" w:rsidP="00336F42">
            <w:pPr>
              <w:ind w:firstLine="484"/>
              <w:rPr>
                <w:color w:val="000000"/>
                <w:szCs w:val="20"/>
                <w:lang w:eastAsia="tr-TR"/>
              </w:rPr>
            </w:pPr>
            <w:r w:rsidRPr="00872D7E">
              <w:rPr>
                <w:color w:val="000000"/>
                <w:szCs w:val="20"/>
                <w:lang w:eastAsia="tr-TR"/>
              </w:rPr>
              <w:t>Bağlı Ortaklıklar</w:t>
            </w:r>
          </w:p>
        </w:tc>
        <w:tc>
          <w:tcPr>
            <w:tcW w:w="1230" w:type="pct"/>
            <w:tcBorders>
              <w:top w:val="nil"/>
              <w:left w:val="nil"/>
              <w:bottom w:val="nil"/>
              <w:right w:val="nil"/>
            </w:tcBorders>
            <w:vAlign w:val="center"/>
          </w:tcPr>
          <w:p w14:paraId="512B4FD5" w14:textId="77777777" w:rsidR="00000466" w:rsidRPr="00872D7E" w:rsidRDefault="00000466" w:rsidP="00336F42">
            <w:pPr>
              <w:jc w:val="right"/>
              <w:rPr>
                <w:color w:val="000000"/>
                <w:szCs w:val="20"/>
                <w:lang w:eastAsia="tr-TR"/>
              </w:rPr>
            </w:pPr>
            <w:r w:rsidRPr="00872D7E">
              <w:rPr>
                <w:color w:val="000000"/>
                <w:szCs w:val="20"/>
              </w:rPr>
              <w:t>-</w:t>
            </w:r>
          </w:p>
        </w:tc>
      </w:tr>
      <w:tr w:rsidR="00000466" w:rsidRPr="00872D7E" w14:paraId="257F3D3B" w14:textId="77777777" w:rsidTr="00336F42">
        <w:tc>
          <w:tcPr>
            <w:tcW w:w="3770" w:type="pct"/>
            <w:tcBorders>
              <w:top w:val="nil"/>
              <w:left w:val="nil"/>
              <w:bottom w:val="nil"/>
              <w:right w:val="nil"/>
            </w:tcBorders>
            <w:vAlign w:val="center"/>
            <w:hideMark/>
          </w:tcPr>
          <w:p w14:paraId="46469E5E" w14:textId="77777777" w:rsidR="00000466" w:rsidRPr="00872D7E" w:rsidRDefault="00000466" w:rsidP="00336F42">
            <w:pPr>
              <w:ind w:firstLine="484"/>
              <w:rPr>
                <w:color w:val="000000"/>
                <w:szCs w:val="20"/>
                <w:lang w:eastAsia="tr-TR"/>
              </w:rPr>
            </w:pPr>
            <w:r w:rsidRPr="00872D7E">
              <w:rPr>
                <w:color w:val="000000"/>
                <w:szCs w:val="20"/>
                <w:lang w:eastAsia="tr-TR"/>
              </w:rPr>
              <w:t>Birlikte Kontrol Edilen Ortaklıklar</w:t>
            </w:r>
          </w:p>
        </w:tc>
        <w:tc>
          <w:tcPr>
            <w:tcW w:w="1230" w:type="pct"/>
            <w:tcBorders>
              <w:top w:val="nil"/>
              <w:left w:val="nil"/>
              <w:bottom w:val="nil"/>
              <w:right w:val="nil"/>
            </w:tcBorders>
            <w:vAlign w:val="center"/>
          </w:tcPr>
          <w:p w14:paraId="1E36559D" w14:textId="77777777" w:rsidR="00000466" w:rsidRPr="00872D7E" w:rsidRDefault="00000466" w:rsidP="00336F42">
            <w:pPr>
              <w:jc w:val="right"/>
              <w:rPr>
                <w:color w:val="000000"/>
                <w:szCs w:val="20"/>
                <w:lang w:eastAsia="tr-TR"/>
              </w:rPr>
            </w:pPr>
            <w:r w:rsidRPr="00872D7E">
              <w:rPr>
                <w:color w:val="000000"/>
                <w:szCs w:val="20"/>
              </w:rPr>
              <w:t>-</w:t>
            </w:r>
          </w:p>
        </w:tc>
      </w:tr>
      <w:tr w:rsidR="00000466" w:rsidRPr="00872D7E" w14:paraId="7C451866" w14:textId="77777777" w:rsidTr="00336F42">
        <w:tc>
          <w:tcPr>
            <w:tcW w:w="3770" w:type="pct"/>
            <w:tcBorders>
              <w:top w:val="nil"/>
              <w:left w:val="nil"/>
              <w:bottom w:val="single" w:sz="4" w:space="0" w:color="auto"/>
              <w:right w:val="nil"/>
            </w:tcBorders>
            <w:vAlign w:val="center"/>
            <w:hideMark/>
          </w:tcPr>
          <w:p w14:paraId="1D5CC811" w14:textId="77777777" w:rsidR="00000466" w:rsidRPr="00872D7E" w:rsidRDefault="00000466" w:rsidP="00336F42">
            <w:pPr>
              <w:rPr>
                <w:b/>
                <w:bCs/>
                <w:color w:val="000000"/>
                <w:szCs w:val="20"/>
                <w:lang w:eastAsia="tr-TR"/>
              </w:rPr>
            </w:pPr>
            <w:r w:rsidRPr="00872D7E">
              <w:rPr>
                <w:b/>
                <w:bCs/>
                <w:color w:val="000000"/>
                <w:szCs w:val="20"/>
                <w:lang w:eastAsia="tr-TR"/>
              </w:rPr>
              <w:t>Diğer</w:t>
            </w:r>
          </w:p>
        </w:tc>
        <w:tc>
          <w:tcPr>
            <w:tcW w:w="1230" w:type="pct"/>
            <w:tcBorders>
              <w:top w:val="nil"/>
              <w:left w:val="nil"/>
              <w:bottom w:val="single" w:sz="4" w:space="0" w:color="auto"/>
              <w:right w:val="nil"/>
            </w:tcBorders>
            <w:vAlign w:val="center"/>
          </w:tcPr>
          <w:p w14:paraId="0B740088" w14:textId="77777777" w:rsidR="00000466" w:rsidRPr="00872D7E" w:rsidRDefault="00000466" w:rsidP="00336F42">
            <w:pPr>
              <w:jc w:val="right"/>
              <w:rPr>
                <w:color w:val="000000"/>
                <w:szCs w:val="20"/>
                <w:lang w:eastAsia="tr-TR"/>
              </w:rPr>
            </w:pPr>
            <w:r w:rsidRPr="00872D7E">
              <w:rPr>
                <w:color w:val="000000"/>
                <w:szCs w:val="20"/>
              </w:rPr>
              <w:t>-</w:t>
            </w:r>
          </w:p>
        </w:tc>
      </w:tr>
      <w:tr w:rsidR="00000466" w:rsidRPr="00872D7E" w14:paraId="2522CD6B" w14:textId="77777777" w:rsidTr="004664F9">
        <w:tc>
          <w:tcPr>
            <w:tcW w:w="3770" w:type="pct"/>
            <w:tcBorders>
              <w:top w:val="single" w:sz="4" w:space="0" w:color="auto"/>
              <w:left w:val="nil"/>
              <w:bottom w:val="nil"/>
              <w:right w:val="nil"/>
            </w:tcBorders>
            <w:vAlign w:val="center"/>
          </w:tcPr>
          <w:p w14:paraId="01C60DB3" w14:textId="77777777" w:rsidR="00000466" w:rsidRPr="00872D7E" w:rsidRDefault="00000466" w:rsidP="00336F42">
            <w:pPr>
              <w:rPr>
                <w:b/>
                <w:bCs/>
                <w:color w:val="000000"/>
                <w:szCs w:val="20"/>
                <w:lang w:eastAsia="tr-TR"/>
              </w:rPr>
            </w:pPr>
          </w:p>
        </w:tc>
        <w:tc>
          <w:tcPr>
            <w:tcW w:w="1230" w:type="pct"/>
            <w:tcBorders>
              <w:top w:val="single" w:sz="4" w:space="0" w:color="auto"/>
              <w:left w:val="nil"/>
              <w:bottom w:val="nil"/>
              <w:right w:val="nil"/>
            </w:tcBorders>
            <w:vAlign w:val="center"/>
          </w:tcPr>
          <w:p w14:paraId="26083D42" w14:textId="77777777" w:rsidR="00000466" w:rsidRPr="00872D7E" w:rsidRDefault="00000466" w:rsidP="00336F42">
            <w:pPr>
              <w:jc w:val="right"/>
              <w:rPr>
                <w:color w:val="000000"/>
                <w:szCs w:val="20"/>
                <w:lang w:eastAsia="tr-TR"/>
              </w:rPr>
            </w:pPr>
          </w:p>
        </w:tc>
      </w:tr>
      <w:tr w:rsidR="00000466" w:rsidRPr="00872D7E" w14:paraId="3ED4CD61" w14:textId="77777777" w:rsidTr="004664F9">
        <w:tc>
          <w:tcPr>
            <w:tcW w:w="3770" w:type="pct"/>
            <w:tcBorders>
              <w:top w:val="nil"/>
              <w:left w:val="nil"/>
              <w:bottom w:val="single" w:sz="12" w:space="0" w:color="auto"/>
              <w:right w:val="nil"/>
            </w:tcBorders>
            <w:vAlign w:val="center"/>
            <w:hideMark/>
          </w:tcPr>
          <w:p w14:paraId="432F5471" w14:textId="77777777" w:rsidR="00000466" w:rsidRPr="00872D7E" w:rsidRDefault="00000466" w:rsidP="00336F42">
            <w:pPr>
              <w:rPr>
                <w:b/>
                <w:bCs/>
                <w:szCs w:val="20"/>
                <w:lang w:eastAsia="tr-TR"/>
              </w:rPr>
            </w:pPr>
            <w:r w:rsidRPr="00872D7E">
              <w:rPr>
                <w:b/>
                <w:bCs/>
                <w:color w:val="000000"/>
                <w:szCs w:val="20"/>
                <w:lang w:eastAsia="tr-TR"/>
              </w:rPr>
              <w:t>Toplam</w:t>
            </w:r>
          </w:p>
        </w:tc>
        <w:tc>
          <w:tcPr>
            <w:tcW w:w="1230" w:type="pct"/>
            <w:tcBorders>
              <w:top w:val="nil"/>
              <w:left w:val="nil"/>
              <w:bottom w:val="single" w:sz="12" w:space="0" w:color="auto"/>
              <w:right w:val="nil"/>
            </w:tcBorders>
            <w:vAlign w:val="center"/>
          </w:tcPr>
          <w:p w14:paraId="09C75356" w14:textId="77777777" w:rsidR="00000466" w:rsidRPr="00872D7E" w:rsidRDefault="00000466" w:rsidP="00336F42">
            <w:pPr>
              <w:jc w:val="right"/>
              <w:rPr>
                <w:b/>
                <w:bCs/>
                <w:color w:val="000000"/>
                <w:szCs w:val="20"/>
                <w:lang w:eastAsia="tr-TR"/>
              </w:rPr>
            </w:pPr>
            <w:r w:rsidRPr="00872D7E">
              <w:rPr>
                <w:b/>
                <w:bCs/>
                <w:color w:val="000000"/>
                <w:szCs w:val="20"/>
              </w:rPr>
              <w:t>369.935</w:t>
            </w:r>
          </w:p>
        </w:tc>
      </w:tr>
    </w:tbl>
    <w:p w14:paraId="04D7D27E" w14:textId="77777777" w:rsidR="00000466" w:rsidRPr="00872D7E" w:rsidRDefault="00000466" w:rsidP="00000466"/>
    <w:p w14:paraId="38314A33" w14:textId="77777777" w:rsidR="00B416BE" w:rsidRPr="00872D7E" w:rsidRDefault="00D5602E" w:rsidP="00B416BE">
      <w:r w:rsidRPr="00872D7E">
        <w:br w:type="page"/>
      </w:r>
    </w:p>
    <w:p w14:paraId="16640602" w14:textId="77777777" w:rsidR="00B416BE" w:rsidRPr="00872D7E" w:rsidRDefault="00B416BE" w:rsidP="00B416BE">
      <w:pPr>
        <w:widowControl w:val="0"/>
        <w:spacing w:line="221" w:lineRule="auto"/>
        <w:ind w:left="720" w:hanging="720"/>
        <w:jc w:val="both"/>
        <w:rPr>
          <w:b/>
          <w:szCs w:val="20"/>
        </w:rPr>
      </w:pPr>
      <w:r w:rsidRPr="00872D7E">
        <w:rPr>
          <w:b/>
          <w:szCs w:val="20"/>
        </w:rPr>
        <w:lastRenderedPageBreak/>
        <w:t>KONSOLİDE OLMAYAN FİNANSAL TABLOLARA İLİŞKİN AÇIKLAMA VE DİPNOTLAR (Devamı)</w:t>
      </w:r>
    </w:p>
    <w:p w14:paraId="1647450F" w14:textId="77777777" w:rsidR="00B416BE" w:rsidRPr="00872D7E" w:rsidRDefault="00B416BE" w:rsidP="00B416BE">
      <w:pPr>
        <w:widowControl w:val="0"/>
        <w:autoSpaceDE w:val="0"/>
        <w:autoSpaceDN w:val="0"/>
        <w:adjustRightInd w:val="0"/>
        <w:spacing w:line="221" w:lineRule="auto"/>
        <w:ind w:left="14" w:right="210"/>
        <w:jc w:val="both"/>
        <w:rPr>
          <w:szCs w:val="20"/>
        </w:rPr>
      </w:pPr>
    </w:p>
    <w:p w14:paraId="47310B1E" w14:textId="5EEB056C" w:rsidR="00B416BE" w:rsidRPr="00872D7E" w:rsidRDefault="00B416BE" w:rsidP="00DF282B">
      <w:pPr>
        <w:pStyle w:val="BodyTextIndent"/>
        <w:widowControl w:val="0"/>
        <w:numPr>
          <w:ilvl w:val="0"/>
          <w:numId w:val="55"/>
        </w:numPr>
        <w:spacing w:line="221" w:lineRule="auto"/>
        <w:ind w:left="851" w:right="206" w:hanging="851"/>
        <w:rPr>
          <w:b/>
          <w:iCs/>
          <w:szCs w:val="20"/>
        </w:rPr>
      </w:pPr>
      <w:r w:rsidRPr="00872D7E">
        <w:rPr>
          <w:b/>
          <w:iCs/>
          <w:szCs w:val="20"/>
        </w:rPr>
        <w:t>KAR VEYA ZARAR TABLOSUNA İLİŞKİN AÇIKLAMA VE DİPNOTLAR (Devamı)</w:t>
      </w:r>
    </w:p>
    <w:p w14:paraId="1889FB9D" w14:textId="77777777" w:rsidR="00BD7D86" w:rsidRPr="00872D7E" w:rsidRDefault="00BD7D86" w:rsidP="004140F6">
      <w:pPr>
        <w:spacing w:line="221" w:lineRule="auto"/>
        <w:rPr>
          <w:b/>
          <w:sz w:val="16"/>
          <w:szCs w:val="16"/>
        </w:rPr>
      </w:pPr>
    </w:p>
    <w:p w14:paraId="54D8A82E" w14:textId="77777777" w:rsidR="00AB5801" w:rsidRPr="00872D7E" w:rsidRDefault="00AB5801" w:rsidP="00B361CA">
      <w:pPr>
        <w:pStyle w:val="ListParagraph"/>
        <w:widowControl w:val="0"/>
        <w:numPr>
          <w:ilvl w:val="0"/>
          <w:numId w:val="31"/>
        </w:numPr>
        <w:spacing w:line="211" w:lineRule="auto"/>
        <w:ind w:left="851" w:hanging="851"/>
        <w:jc w:val="both"/>
        <w:rPr>
          <w:b/>
          <w:szCs w:val="20"/>
        </w:rPr>
      </w:pPr>
      <w:r w:rsidRPr="00872D7E">
        <w:rPr>
          <w:b/>
          <w:szCs w:val="20"/>
        </w:rPr>
        <w:t>Diğer faaliyet giderlerine ilişkin bilgiler:</w:t>
      </w:r>
    </w:p>
    <w:p w14:paraId="456E271A" w14:textId="5E07345E" w:rsidR="00862A01" w:rsidRPr="00872D7E" w:rsidRDefault="00862A01" w:rsidP="004A26DC">
      <w:pPr>
        <w:pStyle w:val="BodyTextIndent"/>
        <w:widowControl w:val="0"/>
        <w:ind w:left="851" w:right="206" w:firstLine="0"/>
        <w:rPr>
          <w:szCs w:val="20"/>
        </w:rPr>
      </w:pPr>
    </w:p>
    <w:tbl>
      <w:tblPr>
        <w:tblW w:w="5000" w:type="pct"/>
        <w:tblCellMar>
          <w:left w:w="70" w:type="dxa"/>
          <w:right w:w="70" w:type="dxa"/>
        </w:tblCellMar>
        <w:tblLook w:val="04A0" w:firstRow="1" w:lastRow="0" w:firstColumn="1" w:lastColumn="0" w:noHBand="0" w:noVBand="1"/>
      </w:tblPr>
      <w:tblGrid>
        <w:gridCol w:w="6844"/>
        <w:gridCol w:w="2511"/>
      </w:tblGrid>
      <w:tr w:rsidR="00862A01" w:rsidRPr="00872D7E" w14:paraId="48591EA0" w14:textId="77777777" w:rsidTr="006170A3">
        <w:trPr>
          <w:divId w:val="550465270"/>
          <w:trHeight w:val="227"/>
        </w:trPr>
        <w:tc>
          <w:tcPr>
            <w:tcW w:w="3658" w:type="pct"/>
            <w:tcBorders>
              <w:top w:val="nil"/>
              <w:left w:val="nil"/>
              <w:bottom w:val="nil"/>
              <w:right w:val="nil"/>
            </w:tcBorders>
            <w:shd w:val="clear" w:color="auto" w:fill="auto"/>
            <w:vAlign w:val="bottom"/>
            <w:hideMark/>
          </w:tcPr>
          <w:p w14:paraId="74778386" w14:textId="6B3AAF90" w:rsidR="00862A01" w:rsidRPr="00872D7E" w:rsidRDefault="00862A01" w:rsidP="00862A01">
            <w:pPr>
              <w:rPr>
                <w:b/>
                <w:bCs/>
                <w:szCs w:val="20"/>
              </w:rPr>
            </w:pPr>
          </w:p>
        </w:tc>
        <w:tc>
          <w:tcPr>
            <w:tcW w:w="1342" w:type="pct"/>
            <w:tcBorders>
              <w:top w:val="nil"/>
              <w:left w:val="nil"/>
              <w:bottom w:val="single" w:sz="4" w:space="0" w:color="auto"/>
              <w:right w:val="nil"/>
            </w:tcBorders>
            <w:shd w:val="clear" w:color="auto" w:fill="auto"/>
            <w:vAlign w:val="bottom"/>
            <w:hideMark/>
          </w:tcPr>
          <w:p w14:paraId="27FDA2BE" w14:textId="23CAD693" w:rsidR="00862A01" w:rsidRPr="00872D7E" w:rsidRDefault="00862A01" w:rsidP="006170A3">
            <w:pPr>
              <w:jc w:val="right"/>
              <w:rPr>
                <w:b/>
                <w:bCs/>
                <w:szCs w:val="20"/>
              </w:rPr>
            </w:pPr>
            <w:r w:rsidRPr="00872D7E">
              <w:rPr>
                <w:b/>
                <w:bCs/>
                <w:szCs w:val="20"/>
              </w:rPr>
              <w:t xml:space="preserve">1 Ocak </w:t>
            </w:r>
            <w:r w:rsidR="006170A3" w:rsidRPr="00872D7E">
              <w:rPr>
                <w:b/>
                <w:bCs/>
                <w:szCs w:val="20"/>
              </w:rPr>
              <w:t>–</w:t>
            </w:r>
            <w:r w:rsidRPr="00872D7E">
              <w:rPr>
                <w:b/>
                <w:bCs/>
                <w:szCs w:val="20"/>
              </w:rPr>
              <w:t>31 Aralık 2024</w:t>
            </w:r>
          </w:p>
        </w:tc>
      </w:tr>
      <w:tr w:rsidR="00862A01" w:rsidRPr="00872D7E" w14:paraId="4E7B3D64"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1DF8C488" w14:textId="77777777" w:rsidR="00862A01" w:rsidRPr="00872D7E" w:rsidRDefault="00862A01" w:rsidP="00862A01">
            <w:pPr>
              <w:rPr>
                <w:szCs w:val="20"/>
              </w:rPr>
            </w:pPr>
          </w:p>
        </w:tc>
        <w:tc>
          <w:tcPr>
            <w:tcW w:w="1342" w:type="pct"/>
            <w:tcBorders>
              <w:top w:val="nil"/>
              <w:left w:val="nil"/>
              <w:bottom w:val="nil"/>
              <w:right w:val="nil"/>
            </w:tcBorders>
            <w:shd w:val="clear" w:color="auto" w:fill="auto"/>
            <w:noWrap/>
            <w:vAlign w:val="bottom"/>
            <w:hideMark/>
          </w:tcPr>
          <w:p w14:paraId="6B98582A" w14:textId="77777777" w:rsidR="00862A01" w:rsidRPr="00872D7E" w:rsidRDefault="00862A01" w:rsidP="006170A3">
            <w:pPr>
              <w:jc w:val="right"/>
              <w:rPr>
                <w:szCs w:val="20"/>
              </w:rPr>
            </w:pPr>
          </w:p>
        </w:tc>
      </w:tr>
      <w:tr w:rsidR="00862A01" w:rsidRPr="00872D7E" w14:paraId="1EF33044"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68EF0229" w14:textId="77777777" w:rsidR="00862A01" w:rsidRPr="00872D7E" w:rsidRDefault="00862A01" w:rsidP="00862A01">
            <w:pPr>
              <w:rPr>
                <w:szCs w:val="20"/>
              </w:rPr>
            </w:pPr>
            <w:r w:rsidRPr="00872D7E">
              <w:rPr>
                <w:szCs w:val="20"/>
              </w:rPr>
              <w:t>Kıdem tazminatı karşılığı</w:t>
            </w:r>
          </w:p>
        </w:tc>
        <w:tc>
          <w:tcPr>
            <w:tcW w:w="1342" w:type="pct"/>
            <w:tcBorders>
              <w:top w:val="nil"/>
              <w:left w:val="nil"/>
              <w:bottom w:val="nil"/>
              <w:right w:val="nil"/>
            </w:tcBorders>
            <w:shd w:val="clear" w:color="auto" w:fill="auto"/>
            <w:noWrap/>
            <w:vAlign w:val="bottom"/>
            <w:hideMark/>
          </w:tcPr>
          <w:p w14:paraId="3432E11F" w14:textId="77777777" w:rsidR="00862A01" w:rsidRPr="00872D7E" w:rsidRDefault="00862A01" w:rsidP="006170A3">
            <w:pPr>
              <w:jc w:val="right"/>
              <w:rPr>
                <w:szCs w:val="20"/>
              </w:rPr>
            </w:pPr>
            <w:r w:rsidRPr="00872D7E">
              <w:rPr>
                <w:szCs w:val="20"/>
              </w:rPr>
              <w:t>-</w:t>
            </w:r>
          </w:p>
        </w:tc>
      </w:tr>
      <w:tr w:rsidR="00862A01" w:rsidRPr="00872D7E" w14:paraId="30363826"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728F578C" w14:textId="77777777" w:rsidR="00862A01" w:rsidRPr="00872D7E" w:rsidRDefault="00862A01" w:rsidP="00862A01">
            <w:pPr>
              <w:rPr>
                <w:szCs w:val="20"/>
              </w:rPr>
            </w:pPr>
            <w:r w:rsidRPr="00872D7E">
              <w:rPr>
                <w:szCs w:val="20"/>
              </w:rPr>
              <w:t>Banka sosyal yardım sandığı varlık açıkları karşılığı</w:t>
            </w:r>
          </w:p>
        </w:tc>
        <w:tc>
          <w:tcPr>
            <w:tcW w:w="1342" w:type="pct"/>
            <w:tcBorders>
              <w:top w:val="nil"/>
              <w:left w:val="nil"/>
              <w:bottom w:val="nil"/>
              <w:right w:val="nil"/>
            </w:tcBorders>
            <w:shd w:val="clear" w:color="auto" w:fill="auto"/>
            <w:noWrap/>
            <w:vAlign w:val="bottom"/>
            <w:hideMark/>
          </w:tcPr>
          <w:p w14:paraId="001E9491" w14:textId="77777777" w:rsidR="00862A01" w:rsidRPr="00872D7E" w:rsidRDefault="00862A01" w:rsidP="006170A3">
            <w:pPr>
              <w:jc w:val="right"/>
              <w:rPr>
                <w:szCs w:val="20"/>
              </w:rPr>
            </w:pPr>
            <w:r w:rsidRPr="00872D7E">
              <w:rPr>
                <w:szCs w:val="20"/>
              </w:rPr>
              <w:t>-</w:t>
            </w:r>
          </w:p>
        </w:tc>
      </w:tr>
      <w:tr w:rsidR="00862A01" w:rsidRPr="00872D7E" w14:paraId="5290A5C0"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2B14C97F" w14:textId="77777777" w:rsidR="00862A01" w:rsidRPr="00872D7E" w:rsidRDefault="00862A01" w:rsidP="00862A01">
            <w:pPr>
              <w:rPr>
                <w:szCs w:val="20"/>
              </w:rPr>
            </w:pPr>
            <w:r w:rsidRPr="00872D7E">
              <w:rPr>
                <w:szCs w:val="20"/>
              </w:rPr>
              <w:t xml:space="preserve">Maddi duran varlık değer düşüş giderleri </w:t>
            </w:r>
          </w:p>
        </w:tc>
        <w:tc>
          <w:tcPr>
            <w:tcW w:w="1342" w:type="pct"/>
            <w:tcBorders>
              <w:top w:val="nil"/>
              <w:left w:val="nil"/>
              <w:bottom w:val="nil"/>
              <w:right w:val="nil"/>
            </w:tcBorders>
            <w:shd w:val="clear" w:color="auto" w:fill="auto"/>
            <w:noWrap/>
            <w:vAlign w:val="bottom"/>
            <w:hideMark/>
          </w:tcPr>
          <w:p w14:paraId="5782DE22" w14:textId="77777777" w:rsidR="00862A01" w:rsidRPr="00872D7E" w:rsidRDefault="00862A01" w:rsidP="006170A3">
            <w:pPr>
              <w:jc w:val="right"/>
              <w:rPr>
                <w:szCs w:val="20"/>
              </w:rPr>
            </w:pPr>
            <w:r w:rsidRPr="00872D7E">
              <w:rPr>
                <w:szCs w:val="20"/>
              </w:rPr>
              <w:t>-</w:t>
            </w:r>
          </w:p>
        </w:tc>
      </w:tr>
      <w:tr w:rsidR="00862A01" w:rsidRPr="00872D7E" w14:paraId="7B3E3141"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1233AA11" w14:textId="77777777" w:rsidR="00862A01" w:rsidRPr="00872D7E" w:rsidRDefault="00862A01" w:rsidP="00862A01">
            <w:pPr>
              <w:rPr>
                <w:szCs w:val="20"/>
              </w:rPr>
            </w:pPr>
            <w:r w:rsidRPr="00872D7E">
              <w:rPr>
                <w:szCs w:val="20"/>
              </w:rPr>
              <w:t>Maddi duran varlık amortisman giderleri</w:t>
            </w:r>
          </w:p>
        </w:tc>
        <w:tc>
          <w:tcPr>
            <w:tcW w:w="1342" w:type="pct"/>
            <w:tcBorders>
              <w:top w:val="nil"/>
              <w:left w:val="nil"/>
              <w:bottom w:val="nil"/>
              <w:right w:val="nil"/>
            </w:tcBorders>
            <w:shd w:val="clear" w:color="auto" w:fill="auto"/>
            <w:noWrap/>
            <w:vAlign w:val="bottom"/>
            <w:hideMark/>
          </w:tcPr>
          <w:p w14:paraId="6310168E" w14:textId="77777777" w:rsidR="00862A01" w:rsidRPr="00872D7E" w:rsidRDefault="00862A01" w:rsidP="006170A3">
            <w:pPr>
              <w:jc w:val="right"/>
              <w:rPr>
                <w:szCs w:val="20"/>
              </w:rPr>
            </w:pPr>
            <w:r w:rsidRPr="00872D7E">
              <w:rPr>
                <w:szCs w:val="20"/>
              </w:rPr>
              <w:t>68.565</w:t>
            </w:r>
          </w:p>
        </w:tc>
      </w:tr>
      <w:tr w:rsidR="00862A01" w:rsidRPr="00872D7E" w14:paraId="5ABA90FC"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1BF48B7E" w14:textId="77777777" w:rsidR="00862A01" w:rsidRPr="00872D7E" w:rsidRDefault="00862A01" w:rsidP="00862A01">
            <w:pPr>
              <w:rPr>
                <w:szCs w:val="20"/>
              </w:rPr>
            </w:pPr>
            <w:r w:rsidRPr="00872D7E">
              <w:rPr>
                <w:szCs w:val="20"/>
              </w:rPr>
              <w:t>Maddi olmayan duran varlık değer düşüş giderleri</w:t>
            </w:r>
          </w:p>
        </w:tc>
        <w:tc>
          <w:tcPr>
            <w:tcW w:w="1342" w:type="pct"/>
            <w:tcBorders>
              <w:top w:val="nil"/>
              <w:left w:val="nil"/>
              <w:bottom w:val="nil"/>
              <w:right w:val="nil"/>
            </w:tcBorders>
            <w:shd w:val="clear" w:color="auto" w:fill="auto"/>
            <w:noWrap/>
            <w:vAlign w:val="bottom"/>
            <w:hideMark/>
          </w:tcPr>
          <w:p w14:paraId="0F982470" w14:textId="77777777" w:rsidR="00862A01" w:rsidRPr="00872D7E" w:rsidRDefault="00862A01" w:rsidP="006170A3">
            <w:pPr>
              <w:jc w:val="right"/>
              <w:rPr>
                <w:szCs w:val="20"/>
              </w:rPr>
            </w:pPr>
            <w:r w:rsidRPr="00872D7E">
              <w:rPr>
                <w:szCs w:val="20"/>
              </w:rPr>
              <w:t>-</w:t>
            </w:r>
          </w:p>
        </w:tc>
      </w:tr>
      <w:tr w:rsidR="00862A01" w:rsidRPr="00872D7E" w14:paraId="4B584EA7"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42590B82" w14:textId="77777777" w:rsidR="00862A01" w:rsidRPr="00872D7E" w:rsidRDefault="00862A01" w:rsidP="00862A01">
            <w:pPr>
              <w:rPr>
                <w:szCs w:val="20"/>
              </w:rPr>
            </w:pPr>
            <w:r w:rsidRPr="00872D7E">
              <w:rPr>
                <w:szCs w:val="20"/>
              </w:rPr>
              <w:t>Şerefiye değer düşüş gideri</w:t>
            </w:r>
          </w:p>
        </w:tc>
        <w:tc>
          <w:tcPr>
            <w:tcW w:w="1342" w:type="pct"/>
            <w:tcBorders>
              <w:top w:val="nil"/>
              <w:left w:val="nil"/>
              <w:bottom w:val="nil"/>
              <w:right w:val="nil"/>
            </w:tcBorders>
            <w:shd w:val="clear" w:color="auto" w:fill="auto"/>
            <w:noWrap/>
            <w:vAlign w:val="bottom"/>
            <w:hideMark/>
          </w:tcPr>
          <w:p w14:paraId="6D1B4CA5" w14:textId="77777777" w:rsidR="00862A01" w:rsidRPr="00872D7E" w:rsidRDefault="00862A01" w:rsidP="006170A3">
            <w:pPr>
              <w:jc w:val="right"/>
              <w:rPr>
                <w:szCs w:val="20"/>
              </w:rPr>
            </w:pPr>
            <w:r w:rsidRPr="00872D7E">
              <w:rPr>
                <w:szCs w:val="20"/>
              </w:rPr>
              <w:t>-</w:t>
            </w:r>
          </w:p>
        </w:tc>
      </w:tr>
      <w:tr w:rsidR="00862A01" w:rsidRPr="00872D7E" w14:paraId="3329E7F0"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15CE2820" w14:textId="77777777" w:rsidR="00862A01" w:rsidRPr="00872D7E" w:rsidRDefault="00862A01" w:rsidP="00862A01">
            <w:pPr>
              <w:rPr>
                <w:szCs w:val="20"/>
              </w:rPr>
            </w:pPr>
            <w:r w:rsidRPr="00872D7E">
              <w:rPr>
                <w:szCs w:val="20"/>
              </w:rPr>
              <w:t>Maddi olmayan duran varlık amortisman giderleri</w:t>
            </w:r>
          </w:p>
        </w:tc>
        <w:tc>
          <w:tcPr>
            <w:tcW w:w="1342" w:type="pct"/>
            <w:tcBorders>
              <w:top w:val="nil"/>
              <w:left w:val="nil"/>
              <w:bottom w:val="nil"/>
              <w:right w:val="nil"/>
            </w:tcBorders>
            <w:shd w:val="clear" w:color="auto" w:fill="auto"/>
            <w:noWrap/>
            <w:vAlign w:val="bottom"/>
            <w:hideMark/>
          </w:tcPr>
          <w:p w14:paraId="20E603BB" w14:textId="77777777" w:rsidR="00862A01" w:rsidRPr="00872D7E" w:rsidRDefault="00862A01" w:rsidP="006170A3">
            <w:pPr>
              <w:jc w:val="right"/>
              <w:rPr>
                <w:szCs w:val="20"/>
              </w:rPr>
            </w:pPr>
            <w:r w:rsidRPr="00872D7E">
              <w:rPr>
                <w:szCs w:val="20"/>
              </w:rPr>
              <w:t>32.750</w:t>
            </w:r>
          </w:p>
        </w:tc>
      </w:tr>
      <w:tr w:rsidR="00862A01" w:rsidRPr="00872D7E" w14:paraId="3EF5B552"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69B3B535" w14:textId="77777777" w:rsidR="00862A01" w:rsidRPr="00872D7E" w:rsidRDefault="00862A01" w:rsidP="00862A01">
            <w:pPr>
              <w:rPr>
                <w:szCs w:val="20"/>
              </w:rPr>
            </w:pPr>
            <w:r w:rsidRPr="00872D7E">
              <w:rPr>
                <w:szCs w:val="20"/>
              </w:rPr>
              <w:t>Özkaynak yöntemi uygulanan ortaklık payları değer düşüş gideri</w:t>
            </w:r>
          </w:p>
        </w:tc>
        <w:tc>
          <w:tcPr>
            <w:tcW w:w="1342" w:type="pct"/>
            <w:tcBorders>
              <w:top w:val="nil"/>
              <w:left w:val="nil"/>
              <w:bottom w:val="nil"/>
              <w:right w:val="nil"/>
            </w:tcBorders>
            <w:shd w:val="clear" w:color="auto" w:fill="auto"/>
            <w:noWrap/>
            <w:vAlign w:val="bottom"/>
            <w:hideMark/>
          </w:tcPr>
          <w:p w14:paraId="2E3B95FC" w14:textId="77777777" w:rsidR="00862A01" w:rsidRPr="00872D7E" w:rsidRDefault="00862A01" w:rsidP="006170A3">
            <w:pPr>
              <w:jc w:val="right"/>
              <w:rPr>
                <w:szCs w:val="20"/>
              </w:rPr>
            </w:pPr>
            <w:r w:rsidRPr="00872D7E">
              <w:rPr>
                <w:szCs w:val="20"/>
              </w:rPr>
              <w:t>-</w:t>
            </w:r>
          </w:p>
        </w:tc>
      </w:tr>
      <w:tr w:rsidR="00862A01" w:rsidRPr="00872D7E" w14:paraId="0E3E6301"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7339DD48" w14:textId="77777777" w:rsidR="00862A01" w:rsidRPr="00872D7E" w:rsidRDefault="00862A01" w:rsidP="00862A01">
            <w:pPr>
              <w:rPr>
                <w:szCs w:val="20"/>
              </w:rPr>
            </w:pPr>
            <w:r w:rsidRPr="00872D7E">
              <w:rPr>
                <w:szCs w:val="20"/>
              </w:rPr>
              <w:t>Elden çıkarılacak kıymetler değer düşüş giderleri</w:t>
            </w:r>
          </w:p>
        </w:tc>
        <w:tc>
          <w:tcPr>
            <w:tcW w:w="1342" w:type="pct"/>
            <w:tcBorders>
              <w:top w:val="nil"/>
              <w:left w:val="nil"/>
              <w:bottom w:val="nil"/>
              <w:right w:val="nil"/>
            </w:tcBorders>
            <w:shd w:val="clear" w:color="auto" w:fill="auto"/>
            <w:noWrap/>
            <w:vAlign w:val="bottom"/>
            <w:hideMark/>
          </w:tcPr>
          <w:p w14:paraId="0DEB12D6" w14:textId="77777777" w:rsidR="00862A01" w:rsidRPr="00872D7E" w:rsidRDefault="00862A01" w:rsidP="006170A3">
            <w:pPr>
              <w:jc w:val="right"/>
              <w:rPr>
                <w:szCs w:val="20"/>
              </w:rPr>
            </w:pPr>
            <w:r w:rsidRPr="00872D7E">
              <w:rPr>
                <w:szCs w:val="20"/>
              </w:rPr>
              <w:t>-</w:t>
            </w:r>
          </w:p>
        </w:tc>
      </w:tr>
      <w:tr w:rsidR="00862A01" w:rsidRPr="00872D7E" w14:paraId="1D233D3A"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0A68C6E1" w14:textId="77777777" w:rsidR="00862A01" w:rsidRPr="00872D7E" w:rsidRDefault="00862A01" w:rsidP="00862A01">
            <w:pPr>
              <w:rPr>
                <w:szCs w:val="20"/>
              </w:rPr>
            </w:pPr>
            <w:r w:rsidRPr="00872D7E">
              <w:rPr>
                <w:szCs w:val="20"/>
              </w:rPr>
              <w:t>Elden çıkarılacak kıymetler amortisman giderleri</w:t>
            </w:r>
          </w:p>
        </w:tc>
        <w:tc>
          <w:tcPr>
            <w:tcW w:w="1342" w:type="pct"/>
            <w:tcBorders>
              <w:top w:val="nil"/>
              <w:left w:val="nil"/>
              <w:bottom w:val="nil"/>
              <w:right w:val="nil"/>
            </w:tcBorders>
            <w:shd w:val="clear" w:color="auto" w:fill="auto"/>
            <w:noWrap/>
            <w:vAlign w:val="bottom"/>
            <w:hideMark/>
          </w:tcPr>
          <w:p w14:paraId="70A24AFA" w14:textId="77777777" w:rsidR="00862A01" w:rsidRPr="00872D7E" w:rsidRDefault="00862A01" w:rsidP="006170A3">
            <w:pPr>
              <w:jc w:val="right"/>
              <w:rPr>
                <w:szCs w:val="20"/>
              </w:rPr>
            </w:pPr>
            <w:r w:rsidRPr="00872D7E">
              <w:rPr>
                <w:szCs w:val="20"/>
              </w:rPr>
              <w:t>-</w:t>
            </w:r>
          </w:p>
        </w:tc>
      </w:tr>
      <w:tr w:rsidR="00862A01" w:rsidRPr="00872D7E" w14:paraId="65C46DA4"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5F590BF5" w14:textId="77777777" w:rsidR="006170A3" w:rsidRPr="00872D7E" w:rsidRDefault="00862A01" w:rsidP="00862A01">
            <w:pPr>
              <w:rPr>
                <w:szCs w:val="20"/>
              </w:rPr>
            </w:pPr>
            <w:r w:rsidRPr="00872D7E">
              <w:rPr>
                <w:szCs w:val="20"/>
              </w:rPr>
              <w:t xml:space="preserve">Satış amaçlı elde tutulan ve durdurulan faaliyetlere ilişkin duran </w:t>
            </w:r>
          </w:p>
          <w:p w14:paraId="6BF09CD4" w14:textId="0A8A2851" w:rsidR="00862A01" w:rsidRPr="00872D7E" w:rsidRDefault="006170A3" w:rsidP="00862A01">
            <w:pPr>
              <w:rPr>
                <w:szCs w:val="20"/>
              </w:rPr>
            </w:pPr>
            <w:r w:rsidRPr="00872D7E">
              <w:rPr>
                <w:szCs w:val="20"/>
              </w:rPr>
              <w:t xml:space="preserve">    </w:t>
            </w:r>
            <w:proofErr w:type="gramStart"/>
            <w:r w:rsidR="00862A01" w:rsidRPr="00872D7E">
              <w:rPr>
                <w:szCs w:val="20"/>
              </w:rPr>
              <w:t>varlıklar</w:t>
            </w:r>
            <w:proofErr w:type="gramEnd"/>
            <w:r w:rsidR="00862A01" w:rsidRPr="00872D7E">
              <w:rPr>
                <w:szCs w:val="20"/>
              </w:rPr>
              <w:t xml:space="preserve"> değer düşüş giderleri</w:t>
            </w:r>
          </w:p>
        </w:tc>
        <w:tc>
          <w:tcPr>
            <w:tcW w:w="1342" w:type="pct"/>
            <w:tcBorders>
              <w:top w:val="nil"/>
              <w:left w:val="nil"/>
              <w:bottom w:val="nil"/>
              <w:right w:val="nil"/>
            </w:tcBorders>
            <w:shd w:val="clear" w:color="auto" w:fill="auto"/>
            <w:noWrap/>
            <w:vAlign w:val="bottom"/>
            <w:hideMark/>
          </w:tcPr>
          <w:p w14:paraId="08BD6B27" w14:textId="77777777" w:rsidR="00862A01" w:rsidRPr="00872D7E" w:rsidRDefault="00862A01" w:rsidP="006170A3">
            <w:pPr>
              <w:jc w:val="right"/>
              <w:rPr>
                <w:szCs w:val="20"/>
              </w:rPr>
            </w:pPr>
            <w:r w:rsidRPr="00872D7E">
              <w:rPr>
                <w:szCs w:val="20"/>
              </w:rPr>
              <w:t>-</w:t>
            </w:r>
          </w:p>
        </w:tc>
      </w:tr>
      <w:tr w:rsidR="00862A01" w:rsidRPr="00872D7E" w14:paraId="6C3FC0EE"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3BAF0871" w14:textId="77777777" w:rsidR="00862A01" w:rsidRPr="00872D7E" w:rsidRDefault="00862A01" w:rsidP="00862A01">
            <w:pPr>
              <w:rPr>
                <w:szCs w:val="20"/>
              </w:rPr>
            </w:pPr>
            <w:r w:rsidRPr="00872D7E">
              <w:rPr>
                <w:szCs w:val="20"/>
              </w:rPr>
              <w:t>Diğer işletme giderleri</w:t>
            </w:r>
          </w:p>
        </w:tc>
        <w:tc>
          <w:tcPr>
            <w:tcW w:w="1342" w:type="pct"/>
            <w:tcBorders>
              <w:top w:val="nil"/>
              <w:left w:val="nil"/>
              <w:bottom w:val="nil"/>
              <w:right w:val="nil"/>
            </w:tcBorders>
            <w:shd w:val="clear" w:color="auto" w:fill="auto"/>
            <w:noWrap/>
            <w:vAlign w:val="bottom"/>
            <w:hideMark/>
          </w:tcPr>
          <w:p w14:paraId="44E3A50D" w14:textId="77777777" w:rsidR="00862A01" w:rsidRPr="00872D7E" w:rsidRDefault="00862A01" w:rsidP="006170A3">
            <w:pPr>
              <w:jc w:val="right"/>
              <w:rPr>
                <w:szCs w:val="20"/>
              </w:rPr>
            </w:pPr>
            <w:r w:rsidRPr="00872D7E">
              <w:rPr>
                <w:szCs w:val="20"/>
              </w:rPr>
              <w:t>208.622</w:t>
            </w:r>
          </w:p>
        </w:tc>
      </w:tr>
      <w:tr w:rsidR="00862A01" w:rsidRPr="00872D7E" w14:paraId="51A16868"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64D9692A" w14:textId="77777777" w:rsidR="00862A01" w:rsidRPr="00872D7E" w:rsidRDefault="00862A01" w:rsidP="00862A01">
            <w:pPr>
              <w:ind w:firstLine="209"/>
              <w:rPr>
                <w:szCs w:val="20"/>
              </w:rPr>
            </w:pPr>
            <w:r w:rsidRPr="00872D7E">
              <w:rPr>
                <w:rFonts w:eastAsia="Arial Unicode MS"/>
                <w:szCs w:val="20"/>
              </w:rPr>
              <w:t>TFRS 16 istisnalarına ilişkin kiralama giderleri</w:t>
            </w:r>
          </w:p>
        </w:tc>
        <w:tc>
          <w:tcPr>
            <w:tcW w:w="1342" w:type="pct"/>
            <w:tcBorders>
              <w:top w:val="nil"/>
              <w:left w:val="nil"/>
              <w:bottom w:val="nil"/>
              <w:right w:val="nil"/>
            </w:tcBorders>
            <w:shd w:val="clear" w:color="auto" w:fill="auto"/>
            <w:noWrap/>
            <w:vAlign w:val="bottom"/>
            <w:hideMark/>
          </w:tcPr>
          <w:p w14:paraId="03A45018" w14:textId="77777777" w:rsidR="00862A01" w:rsidRPr="00872D7E" w:rsidRDefault="00862A01" w:rsidP="006170A3">
            <w:pPr>
              <w:jc w:val="right"/>
              <w:rPr>
                <w:szCs w:val="20"/>
              </w:rPr>
            </w:pPr>
            <w:r w:rsidRPr="00872D7E">
              <w:rPr>
                <w:szCs w:val="20"/>
              </w:rPr>
              <w:t>59.416</w:t>
            </w:r>
          </w:p>
        </w:tc>
      </w:tr>
      <w:tr w:rsidR="00862A01" w:rsidRPr="00872D7E" w14:paraId="6D2829A0"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382F46C2" w14:textId="77777777" w:rsidR="00862A01" w:rsidRPr="00872D7E" w:rsidRDefault="00862A01" w:rsidP="00862A01">
            <w:pPr>
              <w:ind w:firstLine="209"/>
              <w:rPr>
                <w:szCs w:val="20"/>
              </w:rPr>
            </w:pPr>
            <w:r w:rsidRPr="00872D7E">
              <w:rPr>
                <w:rFonts w:eastAsia="Arial Unicode MS"/>
                <w:szCs w:val="20"/>
              </w:rPr>
              <w:t>Bakım ve onarım giderleri</w:t>
            </w:r>
          </w:p>
        </w:tc>
        <w:tc>
          <w:tcPr>
            <w:tcW w:w="1342" w:type="pct"/>
            <w:tcBorders>
              <w:top w:val="nil"/>
              <w:left w:val="nil"/>
              <w:bottom w:val="nil"/>
              <w:right w:val="nil"/>
            </w:tcBorders>
            <w:shd w:val="clear" w:color="auto" w:fill="auto"/>
            <w:noWrap/>
            <w:vAlign w:val="bottom"/>
            <w:hideMark/>
          </w:tcPr>
          <w:p w14:paraId="08BA4650" w14:textId="77777777" w:rsidR="00862A01" w:rsidRPr="00872D7E" w:rsidRDefault="00862A01" w:rsidP="006170A3">
            <w:pPr>
              <w:jc w:val="right"/>
              <w:rPr>
                <w:szCs w:val="20"/>
              </w:rPr>
            </w:pPr>
            <w:r w:rsidRPr="00872D7E">
              <w:rPr>
                <w:szCs w:val="20"/>
              </w:rPr>
              <w:t>7.830</w:t>
            </w:r>
          </w:p>
        </w:tc>
      </w:tr>
      <w:tr w:rsidR="00862A01" w:rsidRPr="00872D7E" w14:paraId="5BB3C20B"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38D1D2AA" w14:textId="77777777" w:rsidR="00862A01" w:rsidRPr="00872D7E" w:rsidRDefault="00862A01" w:rsidP="00862A01">
            <w:pPr>
              <w:ind w:firstLine="209"/>
              <w:rPr>
                <w:szCs w:val="20"/>
              </w:rPr>
            </w:pPr>
            <w:r w:rsidRPr="00872D7E">
              <w:rPr>
                <w:rFonts w:eastAsia="Arial Unicode MS"/>
                <w:szCs w:val="20"/>
              </w:rPr>
              <w:t>Reklam ve ilan giderleri</w:t>
            </w:r>
          </w:p>
        </w:tc>
        <w:tc>
          <w:tcPr>
            <w:tcW w:w="1342" w:type="pct"/>
            <w:tcBorders>
              <w:top w:val="nil"/>
              <w:left w:val="nil"/>
              <w:bottom w:val="nil"/>
              <w:right w:val="nil"/>
            </w:tcBorders>
            <w:shd w:val="clear" w:color="auto" w:fill="auto"/>
            <w:noWrap/>
            <w:vAlign w:val="bottom"/>
            <w:hideMark/>
          </w:tcPr>
          <w:p w14:paraId="648BA131" w14:textId="77777777" w:rsidR="00862A01" w:rsidRPr="00872D7E" w:rsidRDefault="00862A01" w:rsidP="006170A3">
            <w:pPr>
              <w:jc w:val="right"/>
              <w:rPr>
                <w:szCs w:val="20"/>
              </w:rPr>
            </w:pPr>
            <w:r w:rsidRPr="00872D7E">
              <w:rPr>
                <w:szCs w:val="20"/>
              </w:rPr>
              <w:t>10.766</w:t>
            </w:r>
          </w:p>
        </w:tc>
      </w:tr>
      <w:tr w:rsidR="00862A01" w:rsidRPr="00872D7E" w14:paraId="7880E951"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1A2819C2" w14:textId="77777777" w:rsidR="00862A01" w:rsidRPr="00872D7E" w:rsidRDefault="00862A01" w:rsidP="00862A01">
            <w:pPr>
              <w:ind w:firstLine="209"/>
              <w:rPr>
                <w:szCs w:val="20"/>
              </w:rPr>
            </w:pPr>
            <w:r w:rsidRPr="00872D7E">
              <w:rPr>
                <w:szCs w:val="20"/>
              </w:rPr>
              <w:t xml:space="preserve">Diğer </w:t>
            </w:r>
            <w:proofErr w:type="gramStart"/>
            <w:r w:rsidRPr="00872D7E">
              <w:rPr>
                <w:szCs w:val="20"/>
              </w:rPr>
              <w:t>giderler</w:t>
            </w:r>
            <w:r w:rsidRPr="00872D7E">
              <w:rPr>
                <w:szCs w:val="20"/>
                <w:vertAlign w:val="superscript"/>
              </w:rPr>
              <w:t>(</w:t>
            </w:r>
            <w:proofErr w:type="gramEnd"/>
            <w:r w:rsidRPr="00872D7E">
              <w:rPr>
                <w:szCs w:val="20"/>
                <w:vertAlign w:val="superscript"/>
              </w:rPr>
              <w:t>*)</w:t>
            </w:r>
          </w:p>
        </w:tc>
        <w:tc>
          <w:tcPr>
            <w:tcW w:w="1342" w:type="pct"/>
            <w:tcBorders>
              <w:top w:val="nil"/>
              <w:left w:val="nil"/>
              <w:bottom w:val="nil"/>
              <w:right w:val="nil"/>
            </w:tcBorders>
            <w:shd w:val="clear" w:color="auto" w:fill="auto"/>
            <w:noWrap/>
            <w:vAlign w:val="bottom"/>
            <w:hideMark/>
          </w:tcPr>
          <w:p w14:paraId="0F70E153" w14:textId="77777777" w:rsidR="00862A01" w:rsidRPr="00872D7E" w:rsidRDefault="00862A01" w:rsidP="006170A3">
            <w:pPr>
              <w:jc w:val="right"/>
              <w:rPr>
                <w:szCs w:val="20"/>
              </w:rPr>
            </w:pPr>
            <w:r w:rsidRPr="00872D7E">
              <w:rPr>
                <w:szCs w:val="20"/>
              </w:rPr>
              <w:t>130.610</w:t>
            </w:r>
          </w:p>
        </w:tc>
      </w:tr>
      <w:tr w:rsidR="00862A01" w:rsidRPr="00872D7E" w14:paraId="0F7C7E03" w14:textId="77777777" w:rsidTr="006170A3">
        <w:trPr>
          <w:divId w:val="550465270"/>
          <w:trHeight w:val="227"/>
        </w:trPr>
        <w:tc>
          <w:tcPr>
            <w:tcW w:w="3658" w:type="pct"/>
            <w:tcBorders>
              <w:top w:val="nil"/>
              <w:left w:val="nil"/>
              <w:bottom w:val="nil"/>
              <w:right w:val="nil"/>
            </w:tcBorders>
            <w:shd w:val="clear" w:color="auto" w:fill="auto"/>
            <w:noWrap/>
            <w:vAlign w:val="bottom"/>
            <w:hideMark/>
          </w:tcPr>
          <w:p w14:paraId="0483C32A" w14:textId="77777777" w:rsidR="00862A01" w:rsidRPr="00872D7E" w:rsidRDefault="00862A01" w:rsidP="00862A01">
            <w:pPr>
              <w:rPr>
                <w:szCs w:val="20"/>
              </w:rPr>
            </w:pPr>
            <w:r w:rsidRPr="00872D7E">
              <w:rPr>
                <w:szCs w:val="20"/>
              </w:rPr>
              <w:t>Aktiflerin satışından doğan zararlar</w:t>
            </w:r>
          </w:p>
        </w:tc>
        <w:tc>
          <w:tcPr>
            <w:tcW w:w="1342" w:type="pct"/>
            <w:tcBorders>
              <w:top w:val="nil"/>
              <w:left w:val="nil"/>
              <w:bottom w:val="nil"/>
              <w:right w:val="nil"/>
            </w:tcBorders>
            <w:shd w:val="clear" w:color="auto" w:fill="auto"/>
            <w:noWrap/>
            <w:vAlign w:val="bottom"/>
            <w:hideMark/>
          </w:tcPr>
          <w:p w14:paraId="4DE2C3C0" w14:textId="77777777" w:rsidR="00862A01" w:rsidRPr="00872D7E" w:rsidRDefault="00862A01" w:rsidP="006170A3">
            <w:pPr>
              <w:jc w:val="right"/>
              <w:rPr>
                <w:szCs w:val="20"/>
              </w:rPr>
            </w:pPr>
            <w:r w:rsidRPr="00872D7E">
              <w:rPr>
                <w:szCs w:val="20"/>
              </w:rPr>
              <w:t>8</w:t>
            </w:r>
          </w:p>
        </w:tc>
      </w:tr>
      <w:tr w:rsidR="00862A01" w:rsidRPr="00872D7E" w14:paraId="7939889F" w14:textId="77777777" w:rsidTr="006170A3">
        <w:trPr>
          <w:divId w:val="550465270"/>
          <w:trHeight w:val="227"/>
        </w:trPr>
        <w:tc>
          <w:tcPr>
            <w:tcW w:w="3658" w:type="pct"/>
            <w:tcBorders>
              <w:top w:val="nil"/>
              <w:left w:val="nil"/>
              <w:bottom w:val="single" w:sz="4" w:space="0" w:color="auto"/>
              <w:right w:val="nil"/>
            </w:tcBorders>
            <w:shd w:val="clear" w:color="auto" w:fill="auto"/>
            <w:noWrap/>
            <w:vAlign w:val="bottom"/>
            <w:hideMark/>
          </w:tcPr>
          <w:p w14:paraId="35FAE3BA" w14:textId="77777777" w:rsidR="00862A01" w:rsidRPr="00872D7E" w:rsidRDefault="00862A01" w:rsidP="00862A01">
            <w:pPr>
              <w:rPr>
                <w:szCs w:val="20"/>
              </w:rPr>
            </w:pPr>
            <w:proofErr w:type="gramStart"/>
            <w:r w:rsidRPr="00872D7E">
              <w:rPr>
                <w:rFonts w:eastAsia="Arial Unicode MS"/>
                <w:szCs w:val="20"/>
              </w:rPr>
              <w:t>Diğer</w:t>
            </w:r>
            <w:r w:rsidRPr="00872D7E">
              <w:rPr>
                <w:rFonts w:eastAsia="Arial Unicode MS"/>
                <w:szCs w:val="20"/>
                <w:vertAlign w:val="superscript"/>
              </w:rPr>
              <w:t>(</w:t>
            </w:r>
            <w:proofErr w:type="gramEnd"/>
            <w:r w:rsidRPr="00872D7E">
              <w:rPr>
                <w:rFonts w:eastAsia="Arial Unicode MS"/>
                <w:szCs w:val="20"/>
                <w:vertAlign w:val="superscript"/>
              </w:rPr>
              <w:t>**)</w:t>
            </w:r>
          </w:p>
        </w:tc>
        <w:tc>
          <w:tcPr>
            <w:tcW w:w="1342" w:type="pct"/>
            <w:tcBorders>
              <w:top w:val="nil"/>
              <w:left w:val="nil"/>
              <w:bottom w:val="single" w:sz="4" w:space="0" w:color="auto"/>
              <w:right w:val="nil"/>
            </w:tcBorders>
            <w:shd w:val="clear" w:color="auto" w:fill="auto"/>
            <w:noWrap/>
            <w:vAlign w:val="bottom"/>
            <w:hideMark/>
          </w:tcPr>
          <w:p w14:paraId="74FF179B" w14:textId="77777777" w:rsidR="00862A01" w:rsidRPr="00872D7E" w:rsidRDefault="00862A01" w:rsidP="006170A3">
            <w:pPr>
              <w:jc w:val="right"/>
              <w:rPr>
                <w:szCs w:val="20"/>
              </w:rPr>
            </w:pPr>
            <w:r w:rsidRPr="00872D7E">
              <w:rPr>
                <w:szCs w:val="20"/>
              </w:rPr>
              <w:t>122.873</w:t>
            </w:r>
          </w:p>
        </w:tc>
      </w:tr>
      <w:tr w:rsidR="00862A01" w:rsidRPr="00872D7E" w14:paraId="4717E60B" w14:textId="77777777" w:rsidTr="006170A3">
        <w:trPr>
          <w:divId w:val="550465270"/>
          <w:trHeight w:val="227"/>
        </w:trPr>
        <w:tc>
          <w:tcPr>
            <w:tcW w:w="3658" w:type="pct"/>
            <w:tcBorders>
              <w:top w:val="nil"/>
              <w:left w:val="nil"/>
              <w:right w:val="nil"/>
            </w:tcBorders>
            <w:shd w:val="clear" w:color="auto" w:fill="auto"/>
            <w:vAlign w:val="bottom"/>
            <w:hideMark/>
          </w:tcPr>
          <w:p w14:paraId="2F3B2A95" w14:textId="77777777" w:rsidR="00862A01" w:rsidRPr="00872D7E" w:rsidRDefault="00862A01" w:rsidP="00862A01">
            <w:pPr>
              <w:rPr>
                <w:szCs w:val="20"/>
              </w:rPr>
            </w:pPr>
          </w:p>
        </w:tc>
        <w:tc>
          <w:tcPr>
            <w:tcW w:w="1342" w:type="pct"/>
            <w:tcBorders>
              <w:top w:val="nil"/>
              <w:left w:val="nil"/>
              <w:right w:val="nil"/>
            </w:tcBorders>
            <w:shd w:val="clear" w:color="auto" w:fill="auto"/>
            <w:noWrap/>
            <w:vAlign w:val="bottom"/>
            <w:hideMark/>
          </w:tcPr>
          <w:p w14:paraId="0BDD627C" w14:textId="77777777" w:rsidR="00862A01" w:rsidRPr="00872D7E" w:rsidRDefault="00862A01" w:rsidP="006170A3">
            <w:pPr>
              <w:jc w:val="right"/>
              <w:rPr>
                <w:szCs w:val="20"/>
              </w:rPr>
            </w:pPr>
          </w:p>
        </w:tc>
      </w:tr>
      <w:tr w:rsidR="00862A01" w:rsidRPr="00872D7E" w14:paraId="7A1211BE" w14:textId="77777777" w:rsidTr="006170A3">
        <w:trPr>
          <w:divId w:val="550465270"/>
          <w:trHeight w:val="227"/>
        </w:trPr>
        <w:tc>
          <w:tcPr>
            <w:tcW w:w="3658" w:type="pct"/>
            <w:tcBorders>
              <w:top w:val="nil"/>
              <w:left w:val="nil"/>
              <w:bottom w:val="single" w:sz="4" w:space="0" w:color="auto"/>
              <w:right w:val="nil"/>
            </w:tcBorders>
            <w:shd w:val="clear" w:color="auto" w:fill="auto"/>
            <w:vAlign w:val="bottom"/>
            <w:hideMark/>
          </w:tcPr>
          <w:p w14:paraId="7AE11A45" w14:textId="77777777" w:rsidR="00862A01" w:rsidRPr="00872D7E" w:rsidRDefault="00862A01" w:rsidP="00862A01">
            <w:pPr>
              <w:rPr>
                <w:b/>
                <w:bCs/>
                <w:szCs w:val="20"/>
              </w:rPr>
            </w:pPr>
            <w:r w:rsidRPr="00872D7E">
              <w:rPr>
                <w:b/>
                <w:bCs/>
                <w:szCs w:val="20"/>
              </w:rPr>
              <w:t>Toplam</w:t>
            </w:r>
          </w:p>
        </w:tc>
        <w:tc>
          <w:tcPr>
            <w:tcW w:w="1342" w:type="pct"/>
            <w:tcBorders>
              <w:top w:val="nil"/>
              <w:left w:val="nil"/>
              <w:bottom w:val="single" w:sz="4" w:space="0" w:color="auto"/>
              <w:right w:val="nil"/>
            </w:tcBorders>
            <w:shd w:val="clear" w:color="auto" w:fill="auto"/>
            <w:noWrap/>
            <w:vAlign w:val="bottom"/>
            <w:hideMark/>
          </w:tcPr>
          <w:p w14:paraId="28B9C6F3" w14:textId="77777777" w:rsidR="00862A01" w:rsidRPr="00872D7E" w:rsidRDefault="00862A01" w:rsidP="006170A3">
            <w:pPr>
              <w:jc w:val="right"/>
              <w:rPr>
                <w:b/>
                <w:bCs/>
                <w:szCs w:val="20"/>
              </w:rPr>
            </w:pPr>
            <w:r w:rsidRPr="00872D7E">
              <w:rPr>
                <w:b/>
                <w:bCs/>
                <w:szCs w:val="20"/>
              </w:rPr>
              <w:t>432.818</w:t>
            </w:r>
          </w:p>
        </w:tc>
      </w:tr>
    </w:tbl>
    <w:p w14:paraId="35A5E392" w14:textId="68E2C0B1" w:rsidR="00DC6D3B" w:rsidRPr="00872D7E" w:rsidRDefault="00DC6D3B" w:rsidP="00000466">
      <w:pPr>
        <w:pStyle w:val="BodyTextIndent"/>
        <w:widowControl w:val="0"/>
        <w:ind w:left="851" w:right="206" w:firstLine="0"/>
        <w:rPr>
          <w:iCs/>
          <w:szCs w:val="20"/>
          <w:vertAlign w:val="superscript"/>
        </w:rPr>
      </w:pPr>
    </w:p>
    <w:p w14:paraId="2F26AEB0" w14:textId="4E809376" w:rsidR="004A26DC" w:rsidRPr="00872D7E" w:rsidRDefault="00E7156E" w:rsidP="004A26DC">
      <w:pPr>
        <w:tabs>
          <w:tab w:val="left" w:pos="1276"/>
        </w:tabs>
        <w:ind w:left="851"/>
        <w:jc w:val="both"/>
        <w:rPr>
          <w:iCs/>
          <w:szCs w:val="20"/>
        </w:rPr>
      </w:pPr>
      <w:r w:rsidRPr="00872D7E">
        <w:rPr>
          <w:iCs/>
          <w:szCs w:val="20"/>
          <w:vertAlign w:val="superscript"/>
        </w:rPr>
        <w:t>(*)</w:t>
      </w:r>
      <w:r w:rsidR="004A26DC" w:rsidRPr="00872D7E">
        <w:rPr>
          <w:iCs/>
          <w:szCs w:val="20"/>
        </w:rPr>
        <w:tab/>
      </w:r>
      <w:r w:rsidRPr="00872D7E">
        <w:rPr>
          <w:iCs/>
          <w:szCs w:val="20"/>
        </w:rPr>
        <w:t xml:space="preserve">Diğer İşletme Giderleri altındaki “Diğer Giderler” bakiyesinin detayları aşağıdaki tablodaki gibidir: </w:t>
      </w:r>
    </w:p>
    <w:p w14:paraId="2A5D280D" w14:textId="48B1D26F" w:rsidR="00862A01" w:rsidRPr="00872D7E" w:rsidRDefault="00862A01" w:rsidP="006F23C1"/>
    <w:tbl>
      <w:tblPr>
        <w:tblW w:w="5000" w:type="pct"/>
        <w:tblCellMar>
          <w:left w:w="70" w:type="dxa"/>
          <w:right w:w="70" w:type="dxa"/>
        </w:tblCellMar>
        <w:tblLook w:val="04A0" w:firstRow="1" w:lastRow="0" w:firstColumn="1" w:lastColumn="0" w:noHBand="0" w:noVBand="1"/>
      </w:tblPr>
      <w:tblGrid>
        <w:gridCol w:w="6857"/>
        <w:gridCol w:w="2498"/>
      </w:tblGrid>
      <w:tr w:rsidR="00862A01" w:rsidRPr="00872D7E" w14:paraId="2E42E9A5" w14:textId="77777777" w:rsidTr="00862A01">
        <w:trPr>
          <w:divId w:val="700474634"/>
          <w:trHeight w:val="227"/>
        </w:trPr>
        <w:tc>
          <w:tcPr>
            <w:tcW w:w="3665" w:type="pct"/>
            <w:tcBorders>
              <w:top w:val="nil"/>
              <w:left w:val="nil"/>
              <w:bottom w:val="nil"/>
              <w:right w:val="nil"/>
            </w:tcBorders>
            <w:shd w:val="clear" w:color="auto" w:fill="auto"/>
            <w:noWrap/>
            <w:vAlign w:val="bottom"/>
            <w:hideMark/>
          </w:tcPr>
          <w:p w14:paraId="4E31F722" w14:textId="12282D43" w:rsidR="00862A01" w:rsidRPr="00872D7E" w:rsidRDefault="00862A01" w:rsidP="00862A01">
            <w:pPr>
              <w:rPr>
                <w:szCs w:val="20"/>
                <w:lang w:eastAsia="tr-TR"/>
              </w:rPr>
            </w:pPr>
          </w:p>
        </w:tc>
        <w:tc>
          <w:tcPr>
            <w:tcW w:w="1335" w:type="pct"/>
            <w:tcBorders>
              <w:top w:val="nil"/>
              <w:left w:val="nil"/>
              <w:bottom w:val="single" w:sz="4" w:space="0" w:color="auto"/>
              <w:right w:val="nil"/>
            </w:tcBorders>
            <w:shd w:val="clear" w:color="auto" w:fill="auto"/>
            <w:vAlign w:val="center"/>
            <w:hideMark/>
          </w:tcPr>
          <w:p w14:paraId="6DE2BB93" w14:textId="77777777" w:rsidR="00862A01" w:rsidRPr="00872D7E" w:rsidRDefault="00862A01" w:rsidP="00862A01">
            <w:pPr>
              <w:jc w:val="right"/>
              <w:rPr>
                <w:b/>
                <w:bCs/>
                <w:color w:val="000000"/>
                <w:szCs w:val="20"/>
                <w:lang w:eastAsia="tr-TR"/>
              </w:rPr>
            </w:pPr>
            <w:r w:rsidRPr="00872D7E">
              <w:rPr>
                <w:b/>
                <w:bCs/>
                <w:color w:val="000000"/>
                <w:szCs w:val="20"/>
                <w:lang w:eastAsia="tr-TR"/>
              </w:rPr>
              <w:t xml:space="preserve">1 </w:t>
            </w:r>
            <w:proofErr w:type="gramStart"/>
            <w:r w:rsidRPr="00872D7E">
              <w:rPr>
                <w:b/>
                <w:bCs/>
                <w:color w:val="000000"/>
                <w:szCs w:val="20"/>
                <w:lang w:eastAsia="tr-TR"/>
              </w:rPr>
              <w:t>Ocak -</w:t>
            </w:r>
            <w:proofErr w:type="gramEnd"/>
            <w:r w:rsidRPr="00872D7E">
              <w:rPr>
                <w:b/>
                <w:bCs/>
                <w:color w:val="000000"/>
                <w:szCs w:val="20"/>
                <w:lang w:eastAsia="tr-TR"/>
              </w:rPr>
              <w:t xml:space="preserve"> 31 Aralık 2024</w:t>
            </w:r>
          </w:p>
        </w:tc>
      </w:tr>
      <w:tr w:rsidR="00862A01" w:rsidRPr="00872D7E" w14:paraId="35E0C555" w14:textId="77777777" w:rsidTr="00862A01">
        <w:trPr>
          <w:divId w:val="700474634"/>
          <w:trHeight w:val="227"/>
        </w:trPr>
        <w:tc>
          <w:tcPr>
            <w:tcW w:w="3665" w:type="pct"/>
            <w:tcBorders>
              <w:top w:val="nil"/>
              <w:left w:val="nil"/>
              <w:bottom w:val="nil"/>
              <w:right w:val="nil"/>
            </w:tcBorders>
            <w:shd w:val="clear" w:color="auto" w:fill="auto"/>
            <w:vAlign w:val="center"/>
            <w:hideMark/>
          </w:tcPr>
          <w:p w14:paraId="580A2081" w14:textId="77777777" w:rsidR="00862A01" w:rsidRPr="00872D7E" w:rsidRDefault="00862A01" w:rsidP="00862A01">
            <w:pPr>
              <w:jc w:val="center"/>
              <w:rPr>
                <w:b/>
                <w:bCs/>
                <w:color w:val="000000"/>
                <w:szCs w:val="20"/>
                <w:lang w:eastAsia="tr-TR"/>
              </w:rPr>
            </w:pPr>
          </w:p>
        </w:tc>
        <w:tc>
          <w:tcPr>
            <w:tcW w:w="1335" w:type="pct"/>
            <w:tcBorders>
              <w:top w:val="nil"/>
              <w:left w:val="nil"/>
              <w:bottom w:val="nil"/>
              <w:right w:val="nil"/>
            </w:tcBorders>
            <w:shd w:val="clear" w:color="auto" w:fill="auto"/>
            <w:noWrap/>
            <w:vAlign w:val="center"/>
            <w:hideMark/>
          </w:tcPr>
          <w:p w14:paraId="178DCC3C" w14:textId="77777777" w:rsidR="00862A01" w:rsidRPr="00872D7E" w:rsidRDefault="00862A01" w:rsidP="00862A01">
            <w:pPr>
              <w:jc w:val="right"/>
              <w:rPr>
                <w:szCs w:val="20"/>
                <w:lang w:eastAsia="tr-TR"/>
              </w:rPr>
            </w:pPr>
          </w:p>
        </w:tc>
      </w:tr>
      <w:tr w:rsidR="00862A01" w:rsidRPr="00872D7E" w14:paraId="1F08B87A" w14:textId="77777777" w:rsidTr="00862A01">
        <w:trPr>
          <w:divId w:val="700474634"/>
          <w:trHeight w:val="227"/>
        </w:trPr>
        <w:tc>
          <w:tcPr>
            <w:tcW w:w="3665" w:type="pct"/>
            <w:tcBorders>
              <w:top w:val="nil"/>
              <w:left w:val="nil"/>
              <w:bottom w:val="nil"/>
              <w:right w:val="nil"/>
            </w:tcBorders>
            <w:shd w:val="clear" w:color="auto" w:fill="auto"/>
            <w:vAlign w:val="center"/>
            <w:hideMark/>
          </w:tcPr>
          <w:p w14:paraId="0AFF15D0" w14:textId="77777777" w:rsidR="00862A01" w:rsidRPr="00872D7E" w:rsidRDefault="00862A01" w:rsidP="00862A01">
            <w:pPr>
              <w:jc w:val="both"/>
              <w:rPr>
                <w:color w:val="000000"/>
                <w:szCs w:val="20"/>
                <w:lang w:eastAsia="tr-TR"/>
              </w:rPr>
            </w:pPr>
            <w:r w:rsidRPr="00872D7E">
              <w:rPr>
                <w:color w:val="000000"/>
                <w:szCs w:val="20"/>
                <w:lang w:eastAsia="tr-TR"/>
              </w:rPr>
              <w:t>Aidatlar</w:t>
            </w:r>
          </w:p>
        </w:tc>
        <w:tc>
          <w:tcPr>
            <w:tcW w:w="1335" w:type="pct"/>
            <w:tcBorders>
              <w:top w:val="nil"/>
              <w:left w:val="nil"/>
              <w:bottom w:val="nil"/>
              <w:right w:val="nil"/>
            </w:tcBorders>
            <w:shd w:val="clear" w:color="auto" w:fill="auto"/>
            <w:noWrap/>
            <w:vAlign w:val="center"/>
            <w:hideMark/>
          </w:tcPr>
          <w:p w14:paraId="76F48E6C" w14:textId="77777777" w:rsidR="00862A01" w:rsidRPr="00872D7E" w:rsidRDefault="00862A01" w:rsidP="00862A01">
            <w:pPr>
              <w:jc w:val="right"/>
              <w:rPr>
                <w:color w:val="000000"/>
                <w:szCs w:val="20"/>
                <w:lang w:eastAsia="tr-TR"/>
              </w:rPr>
            </w:pPr>
            <w:r w:rsidRPr="00872D7E">
              <w:rPr>
                <w:color w:val="000000"/>
                <w:szCs w:val="20"/>
                <w:lang w:eastAsia="tr-TR"/>
              </w:rPr>
              <w:t>22.225</w:t>
            </w:r>
          </w:p>
        </w:tc>
      </w:tr>
      <w:tr w:rsidR="00862A01" w:rsidRPr="00872D7E" w14:paraId="68E3377D" w14:textId="77777777" w:rsidTr="00862A01">
        <w:trPr>
          <w:divId w:val="700474634"/>
          <w:trHeight w:val="227"/>
        </w:trPr>
        <w:tc>
          <w:tcPr>
            <w:tcW w:w="3665" w:type="pct"/>
            <w:tcBorders>
              <w:top w:val="nil"/>
              <w:left w:val="nil"/>
              <w:bottom w:val="nil"/>
              <w:right w:val="nil"/>
            </w:tcBorders>
            <w:shd w:val="clear" w:color="auto" w:fill="auto"/>
            <w:noWrap/>
            <w:vAlign w:val="center"/>
            <w:hideMark/>
          </w:tcPr>
          <w:p w14:paraId="2C99E1E2" w14:textId="77777777" w:rsidR="00862A01" w:rsidRPr="00872D7E" w:rsidRDefault="00862A01" w:rsidP="00862A01">
            <w:pPr>
              <w:rPr>
                <w:color w:val="000000"/>
                <w:szCs w:val="20"/>
                <w:lang w:eastAsia="tr-TR"/>
              </w:rPr>
            </w:pPr>
            <w:r w:rsidRPr="00872D7E">
              <w:rPr>
                <w:color w:val="000000"/>
                <w:szCs w:val="20"/>
                <w:lang w:eastAsia="tr-TR"/>
              </w:rPr>
              <w:t>Haberleşme giderleri</w:t>
            </w:r>
          </w:p>
        </w:tc>
        <w:tc>
          <w:tcPr>
            <w:tcW w:w="1335" w:type="pct"/>
            <w:tcBorders>
              <w:top w:val="nil"/>
              <w:left w:val="nil"/>
              <w:bottom w:val="nil"/>
              <w:right w:val="nil"/>
            </w:tcBorders>
            <w:shd w:val="clear" w:color="auto" w:fill="auto"/>
            <w:noWrap/>
            <w:vAlign w:val="center"/>
            <w:hideMark/>
          </w:tcPr>
          <w:p w14:paraId="267B7278" w14:textId="77777777" w:rsidR="00862A01" w:rsidRPr="00872D7E" w:rsidRDefault="00862A01" w:rsidP="00862A01">
            <w:pPr>
              <w:jc w:val="right"/>
              <w:rPr>
                <w:color w:val="000000"/>
                <w:szCs w:val="20"/>
                <w:lang w:eastAsia="tr-TR"/>
              </w:rPr>
            </w:pPr>
            <w:r w:rsidRPr="00872D7E">
              <w:rPr>
                <w:color w:val="000000"/>
                <w:szCs w:val="20"/>
                <w:lang w:eastAsia="tr-TR"/>
              </w:rPr>
              <w:t>9.498</w:t>
            </w:r>
          </w:p>
        </w:tc>
      </w:tr>
      <w:tr w:rsidR="00862A01" w:rsidRPr="00872D7E" w14:paraId="0B0FFB5A" w14:textId="77777777" w:rsidTr="00862A01">
        <w:trPr>
          <w:divId w:val="700474634"/>
          <w:trHeight w:val="227"/>
        </w:trPr>
        <w:tc>
          <w:tcPr>
            <w:tcW w:w="3665" w:type="pct"/>
            <w:tcBorders>
              <w:top w:val="nil"/>
              <w:left w:val="nil"/>
              <w:bottom w:val="nil"/>
              <w:right w:val="nil"/>
            </w:tcBorders>
            <w:shd w:val="clear" w:color="auto" w:fill="auto"/>
            <w:noWrap/>
            <w:vAlign w:val="center"/>
            <w:hideMark/>
          </w:tcPr>
          <w:p w14:paraId="6FD4A4B4" w14:textId="77777777" w:rsidR="00862A01" w:rsidRPr="00872D7E" w:rsidRDefault="00862A01" w:rsidP="00862A01">
            <w:pPr>
              <w:rPr>
                <w:color w:val="000000"/>
                <w:szCs w:val="20"/>
                <w:lang w:eastAsia="tr-TR"/>
              </w:rPr>
            </w:pPr>
            <w:r w:rsidRPr="00872D7E">
              <w:rPr>
                <w:color w:val="000000"/>
                <w:szCs w:val="20"/>
                <w:lang w:eastAsia="tr-TR"/>
              </w:rPr>
              <w:t>Temizlik giderleri</w:t>
            </w:r>
          </w:p>
        </w:tc>
        <w:tc>
          <w:tcPr>
            <w:tcW w:w="1335" w:type="pct"/>
            <w:tcBorders>
              <w:top w:val="nil"/>
              <w:left w:val="nil"/>
              <w:bottom w:val="nil"/>
              <w:right w:val="nil"/>
            </w:tcBorders>
            <w:shd w:val="clear" w:color="auto" w:fill="auto"/>
            <w:noWrap/>
            <w:vAlign w:val="center"/>
            <w:hideMark/>
          </w:tcPr>
          <w:p w14:paraId="4BBF759E" w14:textId="77777777" w:rsidR="00862A01" w:rsidRPr="00872D7E" w:rsidRDefault="00862A01" w:rsidP="00862A01">
            <w:pPr>
              <w:jc w:val="right"/>
              <w:rPr>
                <w:color w:val="000000"/>
                <w:szCs w:val="20"/>
                <w:lang w:eastAsia="tr-TR"/>
              </w:rPr>
            </w:pPr>
            <w:r w:rsidRPr="00872D7E">
              <w:rPr>
                <w:color w:val="000000"/>
                <w:szCs w:val="20"/>
                <w:lang w:eastAsia="tr-TR"/>
              </w:rPr>
              <w:t>17.821</w:t>
            </w:r>
          </w:p>
        </w:tc>
      </w:tr>
      <w:tr w:rsidR="00862A01" w:rsidRPr="00872D7E" w14:paraId="02EE29FF" w14:textId="77777777" w:rsidTr="00862A01">
        <w:trPr>
          <w:divId w:val="700474634"/>
          <w:trHeight w:val="227"/>
        </w:trPr>
        <w:tc>
          <w:tcPr>
            <w:tcW w:w="3665" w:type="pct"/>
            <w:tcBorders>
              <w:top w:val="nil"/>
              <w:left w:val="nil"/>
              <w:bottom w:val="nil"/>
              <w:right w:val="nil"/>
            </w:tcBorders>
            <w:shd w:val="clear" w:color="auto" w:fill="auto"/>
            <w:noWrap/>
            <w:vAlign w:val="center"/>
            <w:hideMark/>
          </w:tcPr>
          <w:p w14:paraId="7F2A7413" w14:textId="77777777" w:rsidR="00862A01" w:rsidRPr="00872D7E" w:rsidRDefault="00862A01" w:rsidP="00862A01">
            <w:pPr>
              <w:rPr>
                <w:color w:val="000000"/>
                <w:szCs w:val="20"/>
                <w:lang w:eastAsia="tr-TR"/>
              </w:rPr>
            </w:pPr>
            <w:r w:rsidRPr="00872D7E">
              <w:rPr>
                <w:color w:val="000000"/>
                <w:szCs w:val="20"/>
                <w:lang w:eastAsia="tr-TR"/>
              </w:rPr>
              <w:t>Isıtma aydınlatma ve su giderleri</w:t>
            </w:r>
          </w:p>
        </w:tc>
        <w:tc>
          <w:tcPr>
            <w:tcW w:w="1335" w:type="pct"/>
            <w:tcBorders>
              <w:top w:val="nil"/>
              <w:left w:val="nil"/>
              <w:bottom w:val="nil"/>
              <w:right w:val="nil"/>
            </w:tcBorders>
            <w:shd w:val="clear" w:color="auto" w:fill="auto"/>
            <w:noWrap/>
            <w:vAlign w:val="center"/>
            <w:hideMark/>
          </w:tcPr>
          <w:p w14:paraId="1AB3E894" w14:textId="77777777" w:rsidR="00862A01" w:rsidRPr="00872D7E" w:rsidRDefault="00862A01" w:rsidP="00862A01">
            <w:pPr>
              <w:jc w:val="right"/>
              <w:rPr>
                <w:color w:val="000000"/>
                <w:szCs w:val="20"/>
                <w:lang w:eastAsia="tr-TR"/>
              </w:rPr>
            </w:pPr>
            <w:r w:rsidRPr="00872D7E">
              <w:rPr>
                <w:color w:val="000000"/>
                <w:szCs w:val="20"/>
                <w:lang w:eastAsia="tr-TR"/>
              </w:rPr>
              <w:t>7.541</w:t>
            </w:r>
          </w:p>
        </w:tc>
      </w:tr>
      <w:tr w:rsidR="00862A01" w:rsidRPr="00872D7E" w14:paraId="7C21B2D4" w14:textId="77777777" w:rsidTr="00862A01">
        <w:trPr>
          <w:divId w:val="700474634"/>
          <w:trHeight w:val="227"/>
        </w:trPr>
        <w:tc>
          <w:tcPr>
            <w:tcW w:w="3665" w:type="pct"/>
            <w:tcBorders>
              <w:top w:val="nil"/>
              <w:left w:val="nil"/>
              <w:bottom w:val="nil"/>
              <w:right w:val="nil"/>
            </w:tcBorders>
            <w:shd w:val="clear" w:color="auto" w:fill="auto"/>
            <w:noWrap/>
            <w:vAlign w:val="center"/>
            <w:hideMark/>
          </w:tcPr>
          <w:p w14:paraId="05CDBFE8" w14:textId="77777777" w:rsidR="00862A01" w:rsidRPr="00872D7E" w:rsidRDefault="00862A01" w:rsidP="00862A01">
            <w:pPr>
              <w:rPr>
                <w:color w:val="000000"/>
                <w:szCs w:val="20"/>
                <w:lang w:eastAsia="tr-TR"/>
              </w:rPr>
            </w:pPr>
            <w:r w:rsidRPr="00872D7E">
              <w:rPr>
                <w:color w:val="000000"/>
                <w:szCs w:val="20"/>
                <w:lang w:eastAsia="tr-TR"/>
              </w:rPr>
              <w:t>Temsil ve ağırlama giderleri</w:t>
            </w:r>
          </w:p>
        </w:tc>
        <w:tc>
          <w:tcPr>
            <w:tcW w:w="1335" w:type="pct"/>
            <w:tcBorders>
              <w:top w:val="nil"/>
              <w:left w:val="nil"/>
              <w:bottom w:val="nil"/>
              <w:right w:val="nil"/>
            </w:tcBorders>
            <w:shd w:val="clear" w:color="auto" w:fill="auto"/>
            <w:noWrap/>
            <w:vAlign w:val="center"/>
            <w:hideMark/>
          </w:tcPr>
          <w:p w14:paraId="4147D776" w14:textId="77777777" w:rsidR="00862A01" w:rsidRPr="00872D7E" w:rsidRDefault="00862A01" w:rsidP="00862A01">
            <w:pPr>
              <w:jc w:val="right"/>
              <w:rPr>
                <w:color w:val="000000"/>
                <w:szCs w:val="20"/>
                <w:lang w:eastAsia="tr-TR"/>
              </w:rPr>
            </w:pPr>
            <w:r w:rsidRPr="00872D7E">
              <w:rPr>
                <w:color w:val="000000"/>
                <w:szCs w:val="20"/>
                <w:lang w:eastAsia="tr-TR"/>
              </w:rPr>
              <w:t>9.153</w:t>
            </w:r>
          </w:p>
        </w:tc>
      </w:tr>
      <w:tr w:rsidR="00862A01" w:rsidRPr="00872D7E" w14:paraId="155D2D5D" w14:textId="77777777" w:rsidTr="00862A01">
        <w:trPr>
          <w:divId w:val="700474634"/>
          <w:trHeight w:val="227"/>
        </w:trPr>
        <w:tc>
          <w:tcPr>
            <w:tcW w:w="3665" w:type="pct"/>
            <w:tcBorders>
              <w:top w:val="nil"/>
              <w:left w:val="nil"/>
              <w:bottom w:val="nil"/>
              <w:right w:val="nil"/>
            </w:tcBorders>
            <w:shd w:val="clear" w:color="auto" w:fill="auto"/>
            <w:noWrap/>
            <w:vAlign w:val="center"/>
            <w:hideMark/>
          </w:tcPr>
          <w:p w14:paraId="33D6724B" w14:textId="77777777" w:rsidR="00862A01" w:rsidRPr="00872D7E" w:rsidRDefault="00862A01" w:rsidP="00862A01">
            <w:pPr>
              <w:rPr>
                <w:color w:val="000000"/>
                <w:szCs w:val="20"/>
                <w:lang w:eastAsia="tr-TR"/>
              </w:rPr>
            </w:pPr>
            <w:r w:rsidRPr="00872D7E">
              <w:rPr>
                <w:color w:val="000000"/>
                <w:szCs w:val="20"/>
                <w:lang w:eastAsia="tr-TR"/>
              </w:rPr>
              <w:t>Taşıt aracı giderleri</w:t>
            </w:r>
          </w:p>
        </w:tc>
        <w:tc>
          <w:tcPr>
            <w:tcW w:w="1335" w:type="pct"/>
            <w:tcBorders>
              <w:top w:val="nil"/>
              <w:left w:val="nil"/>
              <w:bottom w:val="nil"/>
              <w:right w:val="nil"/>
            </w:tcBorders>
            <w:shd w:val="clear" w:color="auto" w:fill="auto"/>
            <w:noWrap/>
            <w:vAlign w:val="center"/>
            <w:hideMark/>
          </w:tcPr>
          <w:p w14:paraId="44EB63B7" w14:textId="77777777" w:rsidR="00862A01" w:rsidRPr="00872D7E" w:rsidRDefault="00862A01" w:rsidP="00862A01">
            <w:pPr>
              <w:jc w:val="right"/>
              <w:rPr>
                <w:color w:val="000000"/>
                <w:szCs w:val="20"/>
                <w:lang w:eastAsia="tr-TR"/>
              </w:rPr>
            </w:pPr>
            <w:r w:rsidRPr="00872D7E">
              <w:rPr>
                <w:color w:val="000000"/>
                <w:szCs w:val="20"/>
                <w:lang w:eastAsia="tr-TR"/>
              </w:rPr>
              <w:t>11.211</w:t>
            </w:r>
          </w:p>
        </w:tc>
      </w:tr>
      <w:tr w:rsidR="00862A01" w:rsidRPr="00872D7E" w14:paraId="3CFEC303" w14:textId="77777777" w:rsidTr="00862A01">
        <w:trPr>
          <w:divId w:val="700474634"/>
          <w:trHeight w:val="227"/>
        </w:trPr>
        <w:tc>
          <w:tcPr>
            <w:tcW w:w="3665" w:type="pct"/>
            <w:tcBorders>
              <w:top w:val="nil"/>
              <w:left w:val="nil"/>
              <w:bottom w:val="nil"/>
              <w:right w:val="nil"/>
            </w:tcBorders>
            <w:shd w:val="clear" w:color="auto" w:fill="auto"/>
            <w:noWrap/>
            <w:vAlign w:val="bottom"/>
            <w:hideMark/>
          </w:tcPr>
          <w:p w14:paraId="32A20002" w14:textId="77777777" w:rsidR="00862A01" w:rsidRPr="00872D7E" w:rsidRDefault="00862A01" w:rsidP="00862A01">
            <w:pPr>
              <w:rPr>
                <w:color w:val="000000"/>
                <w:szCs w:val="20"/>
                <w:lang w:eastAsia="tr-TR"/>
              </w:rPr>
            </w:pPr>
            <w:r w:rsidRPr="00872D7E">
              <w:rPr>
                <w:color w:val="000000"/>
                <w:szCs w:val="20"/>
                <w:lang w:eastAsia="tr-TR"/>
              </w:rPr>
              <w:t>Kırtasiye giderleri</w:t>
            </w:r>
          </w:p>
        </w:tc>
        <w:tc>
          <w:tcPr>
            <w:tcW w:w="1335" w:type="pct"/>
            <w:tcBorders>
              <w:top w:val="nil"/>
              <w:left w:val="nil"/>
              <w:bottom w:val="nil"/>
              <w:right w:val="nil"/>
            </w:tcBorders>
            <w:shd w:val="clear" w:color="auto" w:fill="auto"/>
            <w:noWrap/>
            <w:vAlign w:val="center"/>
            <w:hideMark/>
          </w:tcPr>
          <w:p w14:paraId="0BE7218D" w14:textId="77777777" w:rsidR="00862A01" w:rsidRPr="00872D7E" w:rsidRDefault="00862A01" w:rsidP="00862A01">
            <w:pPr>
              <w:jc w:val="right"/>
              <w:rPr>
                <w:color w:val="000000"/>
                <w:szCs w:val="20"/>
                <w:lang w:eastAsia="tr-TR"/>
              </w:rPr>
            </w:pPr>
            <w:r w:rsidRPr="00872D7E">
              <w:rPr>
                <w:color w:val="000000"/>
                <w:szCs w:val="20"/>
                <w:lang w:eastAsia="tr-TR"/>
              </w:rPr>
              <w:t>2.871</w:t>
            </w:r>
          </w:p>
        </w:tc>
      </w:tr>
      <w:tr w:rsidR="00862A01" w:rsidRPr="00872D7E" w14:paraId="4F16C45A" w14:textId="77777777" w:rsidTr="00862A01">
        <w:trPr>
          <w:divId w:val="700474634"/>
          <w:trHeight w:val="227"/>
        </w:trPr>
        <w:tc>
          <w:tcPr>
            <w:tcW w:w="3665" w:type="pct"/>
            <w:tcBorders>
              <w:top w:val="nil"/>
              <w:left w:val="nil"/>
              <w:bottom w:val="nil"/>
              <w:right w:val="nil"/>
            </w:tcBorders>
            <w:shd w:val="clear" w:color="auto" w:fill="auto"/>
            <w:noWrap/>
            <w:vAlign w:val="bottom"/>
            <w:hideMark/>
          </w:tcPr>
          <w:p w14:paraId="148C2B0D" w14:textId="77777777" w:rsidR="00862A01" w:rsidRPr="00872D7E" w:rsidRDefault="00862A01" w:rsidP="00862A01">
            <w:pPr>
              <w:rPr>
                <w:color w:val="000000"/>
                <w:szCs w:val="20"/>
                <w:lang w:eastAsia="tr-TR"/>
              </w:rPr>
            </w:pPr>
            <w:r w:rsidRPr="00872D7E">
              <w:rPr>
                <w:color w:val="000000"/>
                <w:szCs w:val="20"/>
                <w:lang w:eastAsia="tr-TR"/>
              </w:rPr>
              <w:t>Bilgisayar kullanım giderleri</w:t>
            </w:r>
          </w:p>
        </w:tc>
        <w:tc>
          <w:tcPr>
            <w:tcW w:w="1335" w:type="pct"/>
            <w:tcBorders>
              <w:top w:val="nil"/>
              <w:left w:val="nil"/>
              <w:bottom w:val="nil"/>
              <w:right w:val="nil"/>
            </w:tcBorders>
            <w:shd w:val="clear" w:color="auto" w:fill="auto"/>
            <w:noWrap/>
            <w:vAlign w:val="center"/>
            <w:hideMark/>
          </w:tcPr>
          <w:p w14:paraId="605C46D8" w14:textId="77777777" w:rsidR="00862A01" w:rsidRPr="00872D7E" w:rsidRDefault="00862A01" w:rsidP="00862A01">
            <w:pPr>
              <w:jc w:val="right"/>
              <w:rPr>
                <w:color w:val="000000"/>
                <w:szCs w:val="20"/>
                <w:lang w:eastAsia="tr-TR"/>
              </w:rPr>
            </w:pPr>
            <w:r w:rsidRPr="00872D7E">
              <w:rPr>
                <w:color w:val="000000"/>
                <w:szCs w:val="20"/>
                <w:lang w:eastAsia="tr-TR"/>
              </w:rPr>
              <w:t>27.554</w:t>
            </w:r>
          </w:p>
        </w:tc>
      </w:tr>
      <w:tr w:rsidR="00862A01" w:rsidRPr="00872D7E" w14:paraId="0532D475" w14:textId="77777777" w:rsidTr="00862A01">
        <w:trPr>
          <w:divId w:val="700474634"/>
          <w:trHeight w:val="227"/>
        </w:trPr>
        <w:tc>
          <w:tcPr>
            <w:tcW w:w="3665" w:type="pct"/>
            <w:tcBorders>
              <w:top w:val="nil"/>
              <w:left w:val="nil"/>
              <w:bottom w:val="nil"/>
              <w:right w:val="nil"/>
            </w:tcBorders>
            <w:shd w:val="clear" w:color="auto" w:fill="auto"/>
            <w:noWrap/>
            <w:vAlign w:val="bottom"/>
            <w:hideMark/>
          </w:tcPr>
          <w:p w14:paraId="3777A283" w14:textId="77777777" w:rsidR="00862A01" w:rsidRPr="00872D7E" w:rsidRDefault="00862A01" w:rsidP="00862A01">
            <w:pPr>
              <w:rPr>
                <w:color w:val="000000"/>
                <w:szCs w:val="20"/>
                <w:lang w:eastAsia="tr-TR"/>
              </w:rPr>
            </w:pPr>
            <w:r w:rsidRPr="00872D7E">
              <w:rPr>
                <w:color w:val="000000"/>
                <w:szCs w:val="20"/>
                <w:lang w:eastAsia="tr-TR"/>
              </w:rPr>
              <w:t>Güvenlik hizmet giderleri</w:t>
            </w:r>
          </w:p>
        </w:tc>
        <w:tc>
          <w:tcPr>
            <w:tcW w:w="1335" w:type="pct"/>
            <w:tcBorders>
              <w:top w:val="nil"/>
              <w:left w:val="nil"/>
              <w:bottom w:val="nil"/>
              <w:right w:val="nil"/>
            </w:tcBorders>
            <w:shd w:val="clear" w:color="auto" w:fill="auto"/>
            <w:noWrap/>
            <w:vAlign w:val="center"/>
            <w:hideMark/>
          </w:tcPr>
          <w:p w14:paraId="03A25210" w14:textId="77777777" w:rsidR="00862A01" w:rsidRPr="00872D7E" w:rsidRDefault="00862A01" w:rsidP="00862A01">
            <w:pPr>
              <w:jc w:val="right"/>
              <w:rPr>
                <w:color w:val="000000"/>
                <w:szCs w:val="20"/>
                <w:lang w:eastAsia="tr-TR"/>
              </w:rPr>
            </w:pPr>
            <w:r w:rsidRPr="00872D7E">
              <w:rPr>
                <w:color w:val="000000"/>
                <w:szCs w:val="20"/>
                <w:lang w:eastAsia="tr-TR"/>
              </w:rPr>
              <w:t>8.812</w:t>
            </w:r>
          </w:p>
        </w:tc>
      </w:tr>
      <w:tr w:rsidR="00862A01" w:rsidRPr="00872D7E" w14:paraId="72B573E5" w14:textId="77777777" w:rsidTr="00862A01">
        <w:trPr>
          <w:divId w:val="700474634"/>
          <w:trHeight w:val="227"/>
        </w:trPr>
        <w:tc>
          <w:tcPr>
            <w:tcW w:w="3665" w:type="pct"/>
            <w:tcBorders>
              <w:top w:val="nil"/>
              <w:left w:val="nil"/>
              <w:right w:val="nil"/>
            </w:tcBorders>
            <w:shd w:val="clear" w:color="auto" w:fill="auto"/>
            <w:noWrap/>
            <w:vAlign w:val="bottom"/>
            <w:hideMark/>
          </w:tcPr>
          <w:p w14:paraId="0A0D392A" w14:textId="77777777" w:rsidR="00862A01" w:rsidRPr="00872D7E" w:rsidRDefault="00862A01" w:rsidP="00862A01">
            <w:pPr>
              <w:rPr>
                <w:color w:val="000000"/>
                <w:szCs w:val="20"/>
                <w:lang w:eastAsia="tr-TR"/>
              </w:rPr>
            </w:pPr>
            <w:r w:rsidRPr="00872D7E">
              <w:rPr>
                <w:color w:val="000000"/>
                <w:szCs w:val="20"/>
                <w:lang w:eastAsia="tr-TR"/>
              </w:rPr>
              <w:t>Nakliye, hamaliye ve küçük demirbaş giderleri</w:t>
            </w:r>
          </w:p>
        </w:tc>
        <w:tc>
          <w:tcPr>
            <w:tcW w:w="1335" w:type="pct"/>
            <w:tcBorders>
              <w:top w:val="nil"/>
              <w:left w:val="nil"/>
              <w:right w:val="nil"/>
            </w:tcBorders>
            <w:shd w:val="clear" w:color="auto" w:fill="auto"/>
            <w:noWrap/>
            <w:vAlign w:val="bottom"/>
            <w:hideMark/>
          </w:tcPr>
          <w:p w14:paraId="3856BDA0" w14:textId="77777777" w:rsidR="00862A01" w:rsidRPr="00872D7E" w:rsidRDefault="00862A01" w:rsidP="00862A01">
            <w:pPr>
              <w:jc w:val="right"/>
              <w:rPr>
                <w:color w:val="000000"/>
                <w:szCs w:val="20"/>
                <w:lang w:eastAsia="tr-TR"/>
              </w:rPr>
            </w:pPr>
            <w:r w:rsidRPr="00872D7E">
              <w:rPr>
                <w:color w:val="000000"/>
                <w:szCs w:val="20"/>
                <w:lang w:eastAsia="tr-TR"/>
              </w:rPr>
              <w:t>2.332</w:t>
            </w:r>
          </w:p>
        </w:tc>
      </w:tr>
      <w:tr w:rsidR="00862A01" w:rsidRPr="00872D7E" w14:paraId="61DF9BC2" w14:textId="77777777" w:rsidTr="00862A01">
        <w:trPr>
          <w:divId w:val="700474634"/>
          <w:trHeight w:val="227"/>
        </w:trPr>
        <w:tc>
          <w:tcPr>
            <w:tcW w:w="3665" w:type="pct"/>
            <w:tcBorders>
              <w:top w:val="nil"/>
              <w:left w:val="nil"/>
              <w:bottom w:val="single" w:sz="4" w:space="0" w:color="auto"/>
              <w:right w:val="nil"/>
            </w:tcBorders>
            <w:shd w:val="clear" w:color="auto" w:fill="auto"/>
            <w:noWrap/>
            <w:vAlign w:val="center"/>
            <w:hideMark/>
          </w:tcPr>
          <w:p w14:paraId="362C110D" w14:textId="77777777" w:rsidR="00862A01" w:rsidRPr="00872D7E" w:rsidRDefault="00862A01" w:rsidP="00862A01">
            <w:pPr>
              <w:rPr>
                <w:color w:val="000000"/>
                <w:szCs w:val="20"/>
                <w:lang w:eastAsia="tr-TR"/>
              </w:rPr>
            </w:pPr>
            <w:r w:rsidRPr="00872D7E">
              <w:rPr>
                <w:color w:val="000000"/>
                <w:szCs w:val="20"/>
                <w:lang w:eastAsia="tr-TR"/>
              </w:rPr>
              <w:t>Diğer</w:t>
            </w:r>
          </w:p>
        </w:tc>
        <w:tc>
          <w:tcPr>
            <w:tcW w:w="1335" w:type="pct"/>
            <w:tcBorders>
              <w:top w:val="nil"/>
              <w:left w:val="nil"/>
              <w:bottom w:val="single" w:sz="4" w:space="0" w:color="auto"/>
              <w:right w:val="nil"/>
            </w:tcBorders>
            <w:shd w:val="clear" w:color="auto" w:fill="auto"/>
            <w:noWrap/>
            <w:vAlign w:val="center"/>
            <w:hideMark/>
          </w:tcPr>
          <w:p w14:paraId="5396F91C" w14:textId="77777777" w:rsidR="00862A01" w:rsidRPr="00872D7E" w:rsidRDefault="00862A01" w:rsidP="00862A01">
            <w:pPr>
              <w:jc w:val="right"/>
              <w:rPr>
                <w:color w:val="000000"/>
                <w:szCs w:val="20"/>
                <w:lang w:eastAsia="tr-TR"/>
              </w:rPr>
            </w:pPr>
            <w:r w:rsidRPr="00872D7E">
              <w:rPr>
                <w:color w:val="000000"/>
                <w:szCs w:val="20"/>
                <w:lang w:eastAsia="tr-TR"/>
              </w:rPr>
              <w:t>11.592</w:t>
            </w:r>
          </w:p>
        </w:tc>
      </w:tr>
      <w:tr w:rsidR="00862A01" w:rsidRPr="00872D7E" w14:paraId="6F39F10B" w14:textId="77777777" w:rsidTr="004664F9">
        <w:trPr>
          <w:divId w:val="700474634"/>
          <w:trHeight w:val="227"/>
        </w:trPr>
        <w:tc>
          <w:tcPr>
            <w:tcW w:w="3665" w:type="pct"/>
            <w:tcBorders>
              <w:top w:val="single" w:sz="4" w:space="0" w:color="auto"/>
              <w:left w:val="nil"/>
              <w:right w:val="nil"/>
            </w:tcBorders>
            <w:shd w:val="clear" w:color="auto" w:fill="auto"/>
            <w:vAlign w:val="center"/>
            <w:hideMark/>
          </w:tcPr>
          <w:p w14:paraId="5A675397" w14:textId="77777777" w:rsidR="00862A01" w:rsidRPr="00872D7E" w:rsidRDefault="00862A01" w:rsidP="00862A01">
            <w:pPr>
              <w:rPr>
                <w:color w:val="000000"/>
                <w:szCs w:val="20"/>
                <w:lang w:eastAsia="tr-TR"/>
              </w:rPr>
            </w:pPr>
            <w:r w:rsidRPr="00872D7E">
              <w:rPr>
                <w:color w:val="000000"/>
                <w:szCs w:val="20"/>
                <w:lang w:eastAsia="tr-TR"/>
              </w:rPr>
              <w:t> </w:t>
            </w:r>
          </w:p>
        </w:tc>
        <w:tc>
          <w:tcPr>
            <w:tcW w:w="1335" w:type="pct"/>
            <w:tcBorders>
              <w:top w:val="single" w:sz="4" w:space="0" w:color="auto"/>
              <w:left w:val="nil"/>
              <w:right w:val="nil"/>
            </w:tcBorders>
            <w:shd w:val="clear" w:color="auto" w:fill="auto"/>
            <w:noWrap/>
            <w:vAlign w:val="center"/>
            <w:hideMark/>
          </w:tcPr>
          <w:p w14:paraId="48FEBA32" w14:textId="77777777" w:rsidR="00862A01" w:rsidRPr="00872D7E" w:rsidRDefault="00862A01" w:rsidP="00862A01">
            <w:pPr>
              <w:jc w:val="right"/>
              <w:rPr>
                <w:color w:val="000000"/>
                <w:szCs w:val="20"/>
                <w:lang w:eastAsia="tr-TR"/>
              </w:rPr>
            </w:pPr>
            <w:r w:rsidRPr="00872D7E">
              <w:rPr>
                <w:color w:val="000000"/>
                <w:szCs w:val="20"/>
                <w:lang w:eastAsia="tr-TR"/>
              </w:rPr>
              <w:t> </w:t>
            </w:r>
          </w:p>
        </w:tc>
      </w:tr>
      <w:tr w:rsidR="00862A01" w:rsidRPr="00872D7E" w14:paraId="61F808AE" w14:textId="77777777" w:rsidTr="004664F9">
        <w:trPr>
          <w:divId w:val="700474634"/>
          <w:trHeight w:val="227"/>
        </w:trPr>
        <w:tc>
          <w:tcPr>
            <w:tcW w:w="3665" w:type="pct"/>
            <w:tcBorders>
              <w:left w:val="nil"/>
              <w:bottom w:val="single" w:sz="12" w:space="0" w:color="auto"/>
              <w:right w:val="nil"/>
            </w:tcBorders>
            <w:shd w:val="clear" w:color="auto" w:fill="auto"/>
            <w:vAlign w:val="center"/>
            <w:hideMark/>
          </w:tcPr>
          <w:p w14:paraId="1CE12DE2" w14:textId="77777777" w:rsidR="00862A01" w:rsidRPr="00872D7E" w:rsidRDefault="00862A01" w:rsidP="00862A01">
            <w:pPr>
              <w:rPr>
                <w:b/>
                <w:bCs/>
                <w:color w:val="000000"/>
                <w:szCs w:val="20"/>
                <w:lang w:eastAsia="tr-TR"/>
              </w:rPr>
            </w:pPr>
            <w:r w:rsidRPr="00872D7E">
              <w:rPr>
                <w:b/>
                <w:bCs/>
                <w:color w:val="000000"/>
                <w:szCs w:val="20"/>
                <w:lang w:eastAsia="tr-TR"/>
              </w:rPr>
              <w:t>Toplam</w:t>
            </w:r>
          </w:p>
        </w:tc>
        <w:tc>
          <w:tcPr>
            <w:tcW w:w="1335" w:type="pct"/>
            <w:tcBorders>
              <w:left w:val="nil"/>
              <w:bottom w:val="single" w:sz="12" w:space="0" w:color="auto"/>
              <w:right w:val="nil"/>
            </w:tcBorders>
            <w:shd w:val="clear" w:color="auto" w:fill="auto"/>
            <w:noWrap/>
            <w:vAlign w:val="center"/>
            <w:hideMark/>
          </w:tcPr>
          <w:p w14:paraId="05A9E663" w14:textId="77777777" w:rsidR="00862A01" w:rsidRPr="00872D7E" w:rsidRDefault="00862A01" w:rsidP="00862A01">
            <w:pPr>
              <w:jc w:val="right"/>
              <w:rPr>
                <w:b/>
                <w:bCs/>
                <w:color w:val="000000"/>
                <w:szCs w:val="20"/>
                <w:lang w:eastAsia="tr-TR"/>
              </w:rPr>
            </w:pPr>
            <w:r w:rsidRPr="00872D7E">
              <w:rPr>
                <w:b/>
                <w:bCs/>
                <w:color w:val="000000"/>
                <w:szCs w:val="20"/>
                <w:lang w:eastAsia="tr-TR"/>
              </w:rPr>
              <w:t>130.610</w:t>
            </w:r>
          </w:p>
        </w:tc>
      </w:tr>
    </w:tbl>
    <w:p w14:paraId="19673587" w14:textId="50FB0313" w:rsidR="00E7156E" w:rsidRPr="00872D7E" w:rsidRDefault="00E7156E" w:rsidP="006F23C1"/>
    <w:p w14:paraId="49562619" w14:textId="77777777" w:rsidR="00E7156E" w:rsidRPr="00872D7E" w:rsidRDefault="00E7156E" w:rsidP="00E7156E">
      <w:pPr>
        <w:widowControl w:val="0"/>
        <w:ind w:left="70"/>
        <w:rPr>
          <w:i/>
          <w:szCs w:val="20"/>
        </w:rPr>
      </w:pPr>
    </w:p>
    <w:p w14:paraId="716A8708" w14:textId="77777777" w:rsidR="00E7156E" w:rsidRPr="00872D7E" w:rsidRDefault="00E7156E" w:rsidP="00E7156E">
      <w:pPr>
        <w:widowControl w:val="0"/>
        <w:ind w:left="70"/>
        <w:rPr>
          <w:i/>
          <w:szCs w:val="20"/>
        </w:rPr>
      </w:pPr>
    </w:p>
    <w:p w14:paraId="72ADD16F" w14:textId="77777777" w:rsidR="00E7156E" w:rsidRPr="00872D7E" w:rsidRDefault="00E7156E" w:rsidP="00E7156E">
      <w:pPr>
        <w:widowControl w:val="0"/>
        <w:ind w:left="70"/>
        <w:rPr>
          <w:i/>
          <w:szCs w:val="20"/>
        </w:rPr>
      </w:pPr>
    </w:p>
    <w:p w14:paraId="499F9282" w14:textId="07157E11" w:rsidR="00A5090E" w:rsidRPr="00872D7E" w:rsidRDefault="00A5090E" w:rsidP="004140F6">
      <w:pPr>
        <w:widowControl w:val="0"/>
        <w:tabs>
          <w:tab w:val="left" w:pos="0"/>
        </w:tabs>
        <w:spacing w:line="221" w:lineRule="auto"/>
        <w:ind w:left="-426" w:hanging="141"/>
        <w:rPr>
          <w:b/>
          <w:i/>
          <w:szCs w:val="20"/>
        </w:rPr>
      </w:pPr>
      <w:r w:rsidRPr="00872D7E">
        <w:rPr>
          <w:b/>
          <w:i/>
          <w:szCs w:val="20"/>
        </w:rPr>
        <w:br w:type="page"/>
      </w:r>
    </w:p>
    <w:p w14:paraId="3ED21175" w14:textId="77777777" w:rsidR="001812EC" w:rsidRPr="00872D7E" w:rsidRDefault="001812EC" w:rsidP="00BE0395">
      <w:pPr>
        <w:widowControl w:val="0"/>
        <w:spacing w:line="214" w:lineRule="auto"/>
        <w:ind w:left="720" w:hanging="720"/>
        <w:jc w:val="both"/>
        <w:rPr>
          <w:b/>
          <w:szCs w:val="20"/>
        </w:rPr>
      </w:pPr>
      <w:r w:rsidRPr="00872D7E">
        <w:rPr>
          <w:b/>
          <w:szCs w:val="20"/>
        </w:rPr>
        <w:lastRenderedPageBreak/>
        <w:t>KONSOLİDE OLMAYAN FİNANSAL TABLOLARA İLİŞKİN AÇIKLAMA VE DİPNOTLAR (Devamı)</w:t>
      </w:r>
    </w:p>
    <w:p w14:paraId="1BF492CB" w14:textId="77777777" w:rsidR="001812EC" w:rsidRPr="00872D7E" w:rsidRDefault="001812EC" w:rsidP="00BE0395">
      <w:pPr>
        <w:widowControl w:val="0"/>
        <w:autoSpaceDE w:val="0"/>
        <w:autoSpaceDN w:val="0"/>
        <w:adjustRightInd w:val="0"/>
        <w:spacing w:line="214" w:lineRule="auto"/>
        <w:ind w:left="14" w:right="210"/>
        <w:jc w:val="both"/>
        <w:rPr>
          <w:sz w:val="16"/>
          <w:szCs w:val="16"/>
        </w:rPr>
      </w:pPr>
    </w:p>
    <w:p w14:paraId="10B02EB2" w14:textId="4F7537D0" w:rsidR="001812EC" w:rsidRPr="00872D7E" w:rsidRDefault="001812EC" w:rsidP="00BE0395">
      <w:pPr>
        <w:pStyle w:val="BodyTextIndent"/>
        <w:widowControl w:val="0"/>
        <w:numPr>
          <w:ilvl w:val="0"/>
          <w:numId w:val="56"/>
        </w:numPr>
        <w:spacing w:line="214" w:lineRule="auto"/>
        <w:ind w:left="851" w:right="206" w:hanging="851"/>
        <w:rPr>
          <w:b/>
          <w:iCs/>
          <w:szCs w:val="20"/>
        </w:rPr>
      </w:pPr>
      <w:r w:rsidRPr="00872D7E">
        <w:rPr>
          <w:b/>
          <w:iCs/>
          <w:szCs w:val="20"/>
        </w:rPr>
        <w:t>KAR VEYA ZARAR TABLOSUNA İLİŞKİN AÇIKLAMA VE DİPNOTLAR (Devamı)</w:t>
      </w:r>
    </w:p>
    <w:p w14:paraId="2860983C" w14:textId="77777777" w:rsidR="00E7156E" w:rsidRPr="00872D7E" w:rsidRDefault="00E7156E" w:rsidP="00BE0395">
      <w:pPr>
        <w:pStyle w:val="BodyTextIndent"/>
        <w:widowControl w:val="0"/>
        <w:spacing w:line="214" w:lineRule="auto"/>
        <w:ind w:right="206"/>
        <w:rPr>
          <w:b/>
          <w:iCs/>
          <w:sz w:val="14"/>
          <w:szCs w:val="14"/>
        </w:rPr>
      </w:pPr>
    </w:p>
    <w:p w14:paraId="4E74F740" w14:textId="77093619" w:rsidR="00E7156E" w:rsidRPr="00872D7E" w:rsidRDefault="00E7156E" w:rsidP="00BE0395">
      <w:pPr>
        <w:pStyle w:val="ListParagraph"/>
        <w:widowControl w:val="0"/>
        <w:numPr>
          <w:ilvl w:val="0"/>
          <w:numId w:val="84"/>
        </w:numPr>
        <w:spacing w:line="214" w:lineRule="auto"/>
        <w:ind w:left="851" w:hanging="851"/>
        <w:jc w:val="both"/>
        <w:rPr>
          <w:b/>
          <w:szCs w:val="20"/>
        </w:rPr>
      </w:pPr>
      <w:r w:rsidRPr="00872D7E">
        <w:rPr>
          <w:b/>
          <w:szCs w:val="20"/>
        </w:rPr>
        <w:t xml:space="preserve">Diğer faaliyet giderlerine ilişkin bilgiler (Devamı) </w:t>
      </w:r>
    </w:p>
    <w:p w14:paraId="6CF2458F" w14:textId="77777777" w:rsidR="002B71EA" w:rsidRPr="00872D7E" w:rsidRDefault="002B71EA" w:rsidP="00BE0395">
      <w:pPr>
        <w:pStyle w:val="ListParagraph"/>
        <w:widowControl w:val="0"/>
        <w:tabs>
          <w:tab w:val="left" w:pos="851"/>
        </w:tabs>
        <w:autoSpaceDE w:val="0"/>
        <w:autoSpaceDN w:val="0"/>
        <w:adjustRightInd w:val="0"/>
        <w:spacing w:line="214" w:lineRule="auto"/>
        <w:ind w:left="31"/>
        <w:jc w:val="both"/>
        <w:rPr>
          <w:b/>
          <w:bCs/>
          <w:iCs/>
          <w:sz w:val="14"/>
          <w:szCs w:val="14"/>
        </w:rPr>
      </w:pPr>
    </w:p>
    <w:p w14:paraId="36CF3CEB" w14:textId="4878A4AA" w:rsidR="00E7156E" w:rsidRPr="00872D7E" w:rsidRDefault="00E7156E" w:rsidP="00BE0395">
      <w:pPr>
        <w:spacing w:line="214" w:lineRule="auto"/>
        <w:ind w:left="1276" w:hanging="425"/>
        <w:rPr>
          <w:b/>
          <w:iCs/>
          <w:szCs w:val="20"/>
        </w:rPr>
      </w:pPr>
      <w:r w:rsidRPr="00872D7E">
        <w:rPr>
          <w:iCs/>
          <w:szCs w:val="20"/>
          <w:vertAlign w:val="superscript"/>
        </w:rPr>
        <w:t>(**)</w:t>
      </w:r>
      <w:r w:rsidR="002B71EA" w:rsidRPr="00872D7E">
        <w:rPr>
          <w:iCs/>
          <w:szCs w:val="20"/>
        </w:rPr>
        <w:tab/>
      </w:r>
      <w:r w:rsidRPr="00872D7E">
        <w:rPr>
          <w:iCs/>
          <w:szCs w:val="20"/>
        </w:rPr>
        <w:t>Diğer bakiyesinin detayları aşağıdaki tablodaki gibidir:</w:t>
      </w:r>
      <w:r w:rsidRPr="00872D7E">
        <w:rPr>
          <w:b/>
          <w:iCs/>
          <w:szCs w:val="20"/>
        </w:rPr>
        <w:t xml:space="preserve"> </w:t>
      </w:r>
    </w:p>
    <w:p w14:paraId="4B92E67E" w14:textId="501F0476" w:rsidR="00862A01" w:rsidRPr="00872D7E" w:rsidRDefault="00862A01" w:rsidP="00BE0395">
      <w:pPr>
        <w:spacing w:line="214" w:lineRule="auto"/>
        <w:rPr>
          <w:sz w:val="14"/>
          <w:szCs w:val="18"/>
        </w:rPr>
      </w:pPr>
    </w:p>
    <w:tbl>
      <w:tblPr>
        <w:tblW w:w="5000" w:type="pct"/>
        <w:tblCellMar>
          <w:left w:w="70" w:type="dxa"/>
          <w:right w:w="70" w:type="dxa"/>
        </w:tblCellMar>
        <w:tblLook w:val="04A0" w:firstRow="1" w:lastRow="0" w:firstColumn="1" w:lastColumn="0" w:noHBand="0" w:noVBand="1"/>
      </w:tblPr>
      <w:tblGrid>
        <w:gridCol w:w="6853"/>
        <w:gridCol w:w="2502"/>
      </w:tblGrid>
      <w:tr w:rsidR="00862A01" w:rsidRPr="00872D7E" w14:paraId="380B2F64" w14:textId="77777777" w:rsidTr="00862A01">
        <w:trPr>
          <w:divId w:val="1963920259"/>
          <w:trHeight w:val="227"/>
        </w:trPr>
        <w:tc>
          <w:tcPr>
            <w:tcW w:w="3663" w:type="pct"/>
            <w:tcBorders>
              <w:top w:val="nil"/>
              <w:left w:val="nil"/>
              <w:bottom w:val="nil"/>
              <w:right w:val="nil"/>
            </w:tcBorders>
            <w:shd w:val="clear" w:color="auto" w:fill="auto"/>
            <w:noWrap/>
            <w:vAlign w:val="bottom"/>
            <w:hideMark/>
          </w:tcPr>
          <w:p w14:paraId="36456578" w14:textId="037F7407" w:rsidR="00862A01" w:rsidRPr="00872D7E" w:rsidRDefault="00862A01" w:rsidP="00BE0395">
            <w:pPr>
              <w:spacing w:line="214" w:lineRule="auto"/>
              <w:rPr>
                <w:szCs w:val="20"/>
                <w:lang w:eastAsia="tr-TR"/>
              </w:rPr>
            </w:pPr>
          </w:p>
        </w:tc>
        <w:tc>
          <w:tcPr>
            <w:tcW w:w="1337" w:type="pct"/>
            <w:tcBorders>
              <w:top w:val="nil"/>
              <w:left w:val="nil"/>
              <w:bottom w:val="single" w:sz="4" w:space="0" w:color="auto"/>
              <w:right w:val="nil"/>
            </w:tcBorders>
            <w:shd w:val="clear" w:color="auto" w:fill="auto"/>
            <w:vAlign w:val="center"/>
            <w:hideMark/>
          </w:tcPr>
          <w:p w14:paraId="1F526C23" w14:textId="77777777" w:rsidR="00862A01" w:rsidRPr="00872D7E" w:rsidRDefault="00862A01" w:rsidP="00BE0395">
            <w:pPr>
              <w:spacing w:line="214" w:lineRule="auto"/>
              <w:jc w:val="right"/>
              <w:rPr>
                <w:b/>
                <w:bCs/>
                <w:color w:val="000000"/>
                <w:szCs w:val="20"/>
                <w:lang w:eastAsia="tr-TR"/>
              </w:rPr>
            </w:pPr>
            <w:r w:rsidRPr="00872D7E">
              <w:rPr>
                <w:b/>
                <w:bCs/>
                <w:color w:val="000000"/>
                <w:szCs w:val="20"/>
                <w:lang w:eastAsia="tr-TR"/>
              </w:rPr>
              <w:t xml:space="preserve">1 </w:t>
            </w:r>
            <w:proofErr w:type="gramStart"/>
            <w:r w:rsidRPr="00872D7E">
              <w:rPr>
                <w:b/>
                <w:bCs/>
                <w:color w:val="000000"/>
                <w:szCs w:val="20"/>
                <w:lang w:eastAsia="tr-TR"/>
              </w:rPr>
              <w:t>Ocak -</w:t>
            </w:r>
            <w:proofErr w:type="gramEnd"/>
            <w:r w:rsidRPr="00872D7E">
              <w:rPr>
                <w:b/>
                <w:bCs/>
                <w:color w:val="000000"/>
                <w:szCs w:val="20"/>
                <w:lang w:eastAsia="tr-TR"/>
              </w:rPr>
              <w:t xml:space="preserve"> 31 Aralık 2024</w:t>
            </w:r>
          </w:p>
        </w:tc>
      </w:tr>
      <w:tr w:rsidR="00862A01" w:rsidRPr="00872D7E" w14:paraId="3DA36DCD" w14:textId="77777777" w:rsidTr="00862A01">
        <w:trPr>
          <w:divId w:val="1963920259"/>
          <w:trHeight w:val="227"/>
        </w:trPr>
        <w:tc>
          <w:tcPr>
            <w:tcW w:w="3663" w:type="pct"/>
            <w:tcBorders>
              <w:top w:val="nil"/>
              <w:left w:val="nil"/>
              <w:bottom w:val="nil"/>
              <w:right w:val="nil"/>
            </w:tcBorders>
            <w:shd w:val="clear" w:color="auto" w:fill="auto"/>
            <w:noWrap/>
            <w:vAlign w:val="bottom"/>
            <w:hideMark/>
          </w:tcPr>
          <w:p w14:paraId="2025DD68" w14:textId="77777777" w:rsidR="00862A01" w:rsidRPr="00872D7E" w:rsidRDefault="00862A01" w:rsidP="00BE0395">
            <w:pPr>
              <w:spacing w:line="214" w:lineRule="auto"/>
              <w:rPr>
                <w:b/>
                <w:bCs/>
                <w:color w:val="000000"/>
                <w:szCs w:val="20"/>
                <w:lang w:eastAsia="tr-TR"/>
              </w:rPr>
            </w:pPr>
          </w:p>
        </w:tc>
        <w:tc>
          <w:tcPr>
            <w:tcW w:w="1337" w:type="pct"/>
            <w:tcBorders>
              <w:top w:val="nil"/>
              <w:left w:val="nil"/>
              <w:bottom w:val="nil"/>
              <w:right w:val="nil"/>
            </w:tcBorders>
            <w:shd w:val="clear" w:color="auto" w:fill="auto"/>
            <w:noWrap/>
            <w:vAlign w:val="bottom"/>
            <w:hideMark/>
          </w:tcPr>
          <w:p w14:paraId="67AB9C98" w14:textId="77777777" w:rsidR="00862A01" w:rsidRPr="00872D7E" w:rsidRDefault="00862A01" w:rsidP="00BE0395">
            <w:pPr>
              <w:spacing w:line="214" w:lineRule="auto"/>
              <w:jc w:val="right"/>
              <w:rPr>
                <w:szCs w:val="20"/>
                <w:lang w:eastAsia="tr-TR"/>
              </w:rPr>
            </w:pPr>
          </w:p>
        </w:tc>
      </w:tr>
      <w:tr w:rsidR="00862A01" w:rsidRPr="00872D7E" w14:paraId="77335D80" w14:textId="77777777" w:rsidTr="00862A01">
        <w:trPr>
          <w:divId w:val="1963920259"/>
          <w:trHeight w:val="227"/>
        </w:trPr>
        <w:tc>
          <w:tcPr>
            <w:tcW w:w="3663" w:type="pct"/>
            <w:tcBorders>
              <w:top w:val="nil"/>
              <w:left w:val="nil"/>
              <w:bottom w:val="nil"/>
              <w:right w:val="nil"/>
            </w:tcBorders>
            <w:shd w:val="clear" w:color="auto" w:fill="auto"/>
            <w:noWrap/>
            <w:vAlign w:val="center"/>
            <w:hideMark/>
          </w:tcPr>
          <w:p w14:paraId="41B8319B" w14:textId="77777777" w:rsidR="00862A01" w:rsidRPr="00872D7E" w:rsidRDefault="00862A01" w:rsidP="00BE0395">
            <w:pPr>
              <w:spacing w:line="214" w:lineRule="auto"/>
              <w:rPr>
                <w:color w:val="000000"/>
                <w:szCs w:val="20"/>
                <w:lang w:eastAsia="tr-TR"/>
              </w:rPr>
            </w:pPr>
            <w:r w:rsidRPr="00872D7E">
              <w:rPr>
                <w:color w:val="000000"/>
                <w:szCs w:val="20"/>
                <w:lang w:eastAsia="tr-TR"/>
              </w:rPr>
              <w:t>Vergi, Resim, Harçlar ve Fonlar</w:t>
            </w:r>
          </w:p>
        </w:tc>
        <w:tc>
          <w:tcPr>
            <w:tcW w:w="1337" w:type="pct"/>
            <w:tcBorders>
              <w:top w:val="nil"/>
              <w:left w:val="nil"/>
              <w:bottom w:val="nil"/>
              <w:right w:val="nil"/>
            </w:tcBorders>
            <w:shd w:val="clear" w:color="auto" w:fill="auto"/>
            <w:noWrap/>
            <w:vAlign w:val="center"/>
            <w:hideMark/>
          </w:tcPr>
          <w:p w14:paraId="5253E2DF" w14:textId="77777777" w:rsidR="00862A01" w:rsidRPr="00872D7E" w:rsidRDefault="00862A01" w:rsidP="00BE0395">
            <w:pPr>
              <w:spacing w:line="214" w:lineRule="auto"/>
              <w:jc w:val="right"/>
              <w:rPr>
                <w:color w:val="000000"/>
                <w:szCs w:val="20"/>
                <w:lang w:eastAsia="tr-TR"/>
              </w:rPr>
            </w:pPr>
            <w:r w:rsidRPr="00872D7E">
              <w:rPr>
                <w:color w:val="000000"/>
                <w:szCs w:val="20"/>
                <w:lang w:eastAsia="tr-TR"/>
              </w:rPr>
              <w:t>77.856</w:t>
            </w:r>
          </w:p>
        </w:tc>
      </w:tr>
      <w:tr w:rsidR="00862A01" w:rsidRPr="00872D7E" w14:paraId="7698C235" w14:textId="77777777" w:rsidTr="00862A01">
        <w:trPr>
          <w:divId w:val="1963920259"/>
          <w:trHeight w:val="227"/>
        </w:trPr>
        <w:tc>
          <w:tcPr>
            <w:tcW w:w="3663" w:type="pct"/>
            <w:tcBorders>
              <w:top w:val="nil"/>
              <w:left w:val="nil"/>
              <w:bottom w:val="nil"/>
              <w:right w:val="nil"/>
            </w:tcBorders>
            <w:shd w:val="clear" w:color="auto" w:fill="auto"/>
            <w:noWrap/>
            <w:vAlign w:val="center"/>
            <w:hideMark/>
          </w:tcPr>
          <w:p w14:paraId="0896E533" w14:textId="77777777" w:rsidR="00862A01" w:rsidRPr="00872D7E" w:rsidRDefault="00862A01" w:rsidP="00BE0395">
            <w:pPr>
              <w:spacing w:line="214" w:lineRule="auto"/>
              <w:rPr>
                <w:color w:val="000000"/>
                <w:szCs w:val="20"/>
                <w:lang w:eastAsia="tr-TR"/>
              </w:rPr>
            </w:pPr>
            <w:r w:rsidRPr="00872D7E">
              <w:rPr>
                <w:color w:val="000000"/>
                <w:szCs w:val="20"/>
                <w:lang w:eastAsia="tr-TR"/>
              </w:rPr>
              <w:t>Denetim ve Müşavirlik Ücretleri</w:t>
            </w:r>
          </w:p>
        </w:tc>
        <w:tc>
          <w:tcPr>
            <w:tcW w:w="1337" w:type="pct"/>
            <w:tcBorders>
              <w:top w:val="nil"/>
              <w:left w:val="nil"/>
              <w:bottom w:val="nil"/>
              <w:right w:val="nil"/>
            </w:tcBorders>
            <w:shd w:val="clear" w:color="auto" w:fill="auto"/>
            <w:noWrap/>
            <w:vAlign w:val="center"/>
            <w:hideMark/>
          </w:tcPr>
          <w:p w14:paraId="1FE38602" w14:textId="77777777" w:rsidR="00862A01" w:rsidRPr="00872D7E" w:rsidRDefault="00862A01" w:rsidP="00BE0395">
            <w:pPr>
              <w:spacing w:line="214" w:lineRule="auto"/>
              <w:jc w:val="right"/>
              <w:rPr>
                <w:color w:val="000000"/>
                <w:szCs w:val="20"/>
                <w:lang w:eastAsia="tr-TR"/>
              </w:rPr>
            </w:pPr>
            <w:r w:rsidRPr="00872D7E">
              <w:rPr>
                <w:color w:val="000000"/>
                <w:szCs w:val="20"/>
                <w:lang w:eastAsia="tr-TR"/>
              </w:rPr>
              <w:t>29.474</w:t>
            </w:r>
          </w:p>
        </w:tc>
      </w:tr>
      <w:tr w:rsidR="00862A01" w:rsidRPr="00872D7E" w14:paraId="64B7C8A0" w14:textId="77777777" w:rsidTr="00862A01">
        <w:trPr>
          <w:divId w:val="1963920259"/>
          <w:trHeight w:val="227"/>
        </w:trPr>
        <w:tc>
          <w:tcPr>
            <w:tcW w:w="3663" w:type="pct"/>
            <w:tcBorders>
              <w:top w:val="nil"/>
              <w:left w:val="nil"/>
              <w:right w:val="nil"/>
            </w:tcBorders>
            <w:shd w:val="clear" w:color="auto" w:fill="auto"/>
            <w:noWrap/>
            <w:vAlign w:val="center"/>
            <w:hideMark/>
          </w:tcPr>
          <w:p w14:paraId="5D5F5008" w14:textId="77777777" w:rsidR="00862A01" w:rsidRPr="00872D7E" w:rsidRDefault="00862A01" w:rsidP="00BE0395">
            <w:pPr>
              <w:spacing w:line="214" w:lineRule="auto"/>
              <w:rPr>
                <w:color w:val="000000"/>
                <w:szCs w:val="20"/>
                <w:lang w:eastAsia="tr-TR"/>
              </w:rPr>
            </w:pPr>
            <w:r w:rsidRPr="00872D7E">
              <w:rPr>
                <w:color w:val="000000"/>
                <w:szCs w:val="20"/>
                <w:lang w:eastAsia="tr-TR"/>
              </w:rPr>
              <w:t>Kurum ve Birlik Katılım Payı</w:t>
            </w:r>
          </w:p>
        </w:tc>
        <w:tc>
          <w:tcPr>
            <w:tcW w:w="1337" w:type="pct"/>
            <w:tcBorders>
              <w:top w:val="nil"/>
              <w:left w:val="nil"/>
              <w:right w:val="nil"/>
            </w:tcBorders>
            <w:shd w:val="clear" w:color="auto" w:fill="auto"/>
            <w:noWrap/>
            <w:vAlign w:val="center"/>
            <w:hideMark/>
          </w:tcPr>
          <w:p w14:paraId="2C8E2896" w14:textId="77777777" w:rsidR="00862A01" w:rsidRPr="00872D7E" w:rsidRDefault="00862A01" w:rsidP="00BE0395">
            <w:pPr>
              <w:spacing w:line="214" w:lineRule="auto"/>
              <w:jc w:val="right"/>
              <w:rPr>
                <w:color w:val="000000"/>
                <w:szCs w:val="20"/>
                <w:lang w:eastAsia="tr-TR"/>
              </w:rPr>
            </w:pPr>
            <w:r w:rsidRPr="00872D7E">
              <w:rPr>
                <w:color w:val="000000"/>
                <w:szCs w:val="20"/>
                <w:lang w:eastAsia="tr-TR"/>
              </w:rPr>
              <w:t>9.149</w:t>
            </w:r>
          </w:p>
        </w:tc>
      </w:tr>
      <w:tr w:rsidR="00862A01" w:rsidRPr="00872D7E" w14:paraId="248F8C16" w14:textId="77777777" w:rsidTr="00862A01">
        <w:trPr>
          <w:divId w:val="1963920259"/>
          <w:trHeight w:val="227"/>
        </w:trPr>
        <w:tc>
          <w:tcPr>
            <w:tcW w:w="3663" w:type="pct"/>
            <w:tcBorders>
              <w:top w:val="nil"/>
              <w:left w:val="nil"/>
              <w:bottom w:val="single" w:sz="4" w:space="0" w:color="auto"/>
              <w:right w:val="nil"/>
            </w:tcBorders>
            <w:shd w:val="clear" w:color="auto" w:fill="auto"/>
            <w:noWrap/>
            <w:vAlign w:val="center"/>
            <w:hideMark/>
          </w:tcPr>
          <w:p w14:paraId="79987C8F" w14:textId="77777777" w:rsidR="00862A01" w:rsidRPr="00872D7E" w:rsidRDefault="00862A01" w:rsidP="00BE0395">
            <w:pPr>
              <w:spacing w:line="214" w:lineRule="auto"/>
              <w:rPr>
                <w:color w:val="000000"/>
                <w:szCs w:val="20"/>
                <w:lang w:eastAsia="tr-TR"/>
              </w:rPr>
            </w:pPr>
            <w:r w:rsidRPr="00872D7E">
              <w:rPr>
                <w:color w:val="000000"/>
                <w:szCs w:val="20"/>
                <w:lang w:eastAsia="tr-TR"/>
              </w:rPr>
              <w:t>Diğer</w:t>
            </w:r>
          </w:p>
        </w:tc>
        <w:tc>
          <w:tcPr>
            <w:tcW w:w="1337" w:type="pct"/>
            <w:tcBorders>
              <w:top w:val="nil"/>
              <w:left w:val="nil"/>
              <w:bottom w:val="single" w:sz="4" w:space="0" w:color="auto"/>
              <w:right w:val="nil"/>
            </w:tcBorders>
            <w:shd w:val="clear" w:color="auto" w:fill="auto"/>
            <w:noWrap/>
            <w:vAlign w:val="center"/>
            <w:hideMark/>
          </w:tcPr>
          <w:p w14:paraId="69EF835E" w14:textId="77777777" w:rsidR="00862A01" w:rsidRPr="00872D7E" w:rsidRDefault="00862A01" w:rsidP="00BE0395">
            <w:pPr>
              <w:spacing w:line="214" w:lineRule="auto"/>
              <w:jc w:val="right"/>
              <w:rPr>
                <w:color w:val="000000"/>
                <w:szCs w:val="20"/>
                <w:lang w:eastAsia="tr-TR"/>
              </w:rPr>
            </w:pPr>
            <w:r w:rsidRPr="00872D7E">
              <w:rPr>
                <w:color w:val="000000"/>
                <w:szCs w:val="20"/>
                <w:lang w:eastAsia="tr-TR"/>
              </w:rPr>
              <w:t>6.394</w:t>
            </w:r>
          </w:p>
        </w:tc>
      </w:tr>
      <w:tr w:rsidR="00862A01" w:rsidRPr="00872D7E" w14:paraId="2D3CD455" w14:textId="77777777" w:rsidTr="004664F9">
        <w:trPr>
          <w:divId w:val="1963920259"/>
          <w:trHeight w:val="227"/>
        </w:trPr>
        <w:tc>
          <w:tcPr>
            <w:tcW w:w="3663" w:type="pct"/>
            <w:tcBorders>
              <w:top w:val="single" w:sz="4" w:space="0" w:color="auto"/>
              <w:left w:val="nil"/>
              <w:right w:val="nil"/>
            </w:tcBorders>
            <w:shd w:val="clear" w:color="auto" w:fill="auto"/>
            <w:vAlign w:val="center"/>
            <w:hideMark/>
          </w:tcPr>
          <w:p w14:paraId="31FDE0CA" w14:textId="77777777" w:rsidR="00862A01" w:rsidRPr="00872D7E" w:rsidRDefault="00862A01" w:rsidP="00BE0395">
            <w:pPr>
              <w:spacing w:line="214" w:lineRule="auto"/>
              <w:rPr>
                <w:color w:val="000000"/>
                <w:szCs w:val="20"/>
                <w:lang w:eastAsia="tr-TR"/>
              </w:rPr>
            </w:pPr>
          </w:p>
        </w:tc>
        <w:tc>
          <w:tcPr>
            <w:tcW w:w="1337" w:type="pct"/>
            <w:tcBorders>
              <w:top w:val="single" w:sz="4" w:space="0" w:color="auto"/>
              <w:left w:val="nil"/>
              <w:right w:val="nil"/>
            </w:tcBorders>
            <w:shd w:val="clear" w:color="auto" w:fill="auto"/>
            <w:vAlign w:val="center"/>
            <w:hideMark/>
          </w:tcPr>
          <w:p w14:paraId="73A57315" w14:textId="77777777" w:rsidR="00862A01" w:rsidRPr="00872D7E" w:rsidRDefault="00862A01" w:rsidP="00BE0395">
            <w:pPr>
              <w:spacing w:line="214" w:lineRule="auto"/>
              <w:jc w:val="right"/>
              <w:rPr>
                <w:color w:val="000000"/>
                <w:szCs w:val="20"/>
                <w:lang w:eastAsia="tr-TR"/>
              </w:rPr>
            </w:pPr>
          </w:p>
        </w:tc>
      </w:tr>
      <w:tr w:rsidR="00862A01" w:rsidRPr="00872D7E" w14:paraId="4A78D175" w14:textId="77777777" w:rsidTr="004664F9">
        <w:trPr>
          <w:divId w:val="1963920259"/>
          <w:trHeight w:val="227"/>
        </w:trPr>
        <w:tc>
          <w:tcPr>
            <w:tcW w:w="3663" w:type="pct"/>
            <w:tcBorders>
              <w:top w:val="nil"/>
              <w:left w:val="nil"/>
              <w:bottom w:val="single" w:sz="12" w:space="0" w:color="auto"/>
              <w:right w:val="nil"/>
            </w:tcBorders>
            <w:shd w:val="clear" w:color="auto" w:fill="auto"/>
            <w:vAlign w:val="center"/>
            <w:hideMark/>
          </w:tcPr>
          <w:p w14:paraId="11AA8358" w14:textId="77777777" w:rsidR="00862A01" w:rsidRPr="00872D7E" w:rsidRDefault="00862A01" w:rsidP="00BE0395">
            <w:pPr>
              <w:spacing w:line="214" w:lineRule="auto"/>
              <w:rPr>
                <w:b/>
                <w:bCs/>
                <w:color w:val="000000"/>
                <w:szCs w:val="20"/>
                <w:lang w:eastAsia="tr-TR"/>
              </w:rPr>
            </w:pPr>
            <w:r w:rsidRPr="00872D7E">
              <w:rPr>
                <w:b/>
                <w:bCs/>
                <w:color w:val="000000"/>
                <w:szCs w:val="20"/>
                <w:lang w:eastAsia="tr-TR"/>
              </w:rPr>
              <w:t>Toplam</w:t>
            </w:r>
          </w:p>
        </w:tc>
        <w:tc>
          <w:tcPr>
            <w:tcW w:w="1337" w:type="pct"/>
            <w:tcBorders>
              <w:top w:val="nil"/>
              <w:left w:val="nil"/>
              <w:bottom w:val="single" w:sz="12" w:space="0" w:color="auto"/>
              <w:right w:val="nil"/>
            </w:tcBorders>
            <w:shd w:val="clear" w:color="auto" w:fill="auto"/>
            <w:noWrap/>
            <w:vAlign w:val="center"/>
            <w:hideMark/>
          </w:tcPr>
          <w:p w14:paraId="557D7EDD" w14:textId="77777777" w:rsidR="00862A01" w:rsidRPr="00872D7E" w:rsidRDefault="00862A01" w:rsidP="00BE0395">
            <w:pPr>
              <w:spacing w:line="214" w:lineRule="auto"/>
              <w:jc w:val="right"/>
              <w:rPr>
                <w:b/>
                <w:bCs/>
                <w:color w:val="000000"/>
                <w:szCs w:val="20"/>
                <w:lang w:eastAsia="tr-TR"/>
              </w:rPr>
            </w:pPr>
            <w:r w:rsidRPr="00872D7E">
              <w:rPr>
                <w:b/>
                <w:bCs/>
                <w:szCs w:val="20"/>
                <w:lang w:eastAsia="tr-TR"/>
              </w:rPr>
              <w:t>122.873</w:t>
            </w:r>
          </w:p>
        </w:tc>
      </w:tr>
    </w:tbl>
    <w:p w14:paraId="40ECAA48" w14:textId="21B5A245" w:rsidR="00EF451B" w:rsidRPr="00872D7E" w:rsidRDefault="00EF451B" w:rsidP="00BE0395">
      <w:pPr>
        <w:spacing w:line="214" w:lineRule="auto"/>
        <w:rPr>
          <w:b/>
          <w:iCs/>
          <w:szCs w:val="20"/>
        </w:rPr>
      </w:pPr>
    </w:p>
    <w:p w14:paraId="06AE386C" w14:textId="2DB0026A" w:rsidR="008B5287" w:rsidRPr="00872D7E" w:rsidRDefault="008B5287" w:rsidP="00BE0395">
      <w:pPr>
        <w:pStyle w:val="ListParagraph"/>
        <w:widowControl w:val="0"/>
        <w:numPr>
          <w:ilvl w:val="0"/>
          <w:numId w:val="84"/>
        </w:numPr>
        <w:autoSpaceDE w:val="0"/>
        <w:autoSpaceDN w:val="0"/>
        <w:adjustRightInd w:val="0"/>
        <w:spacing w:line="214" w:lineRule="auto"/>
        <w:ind w:left="851" w:hanging="851"/>
        <w:jc w:val="both"/>
        <w:rPr>
          <w:b/>
          <w:bCs/>
          <w:iCs/>
          <w:szCs w:val="20"/>
        </w:rPr>
      </w:pPr>
      <w:r w:rsidRPr="00872D7E">
        <w:rPr>
          <w:b/>
          <w:bCs/>
          <w:iCs/>
          <w:szCs w:val="20"/>
        </w:rPr>
        <w:t>Bağımsız Denetçi / Bağımsız Denetim Kuruluşundan Alınan Hizmetlere İlişkin Ücretler:</w:t>
      </w:r>
    </w:p>
    <w:p w14:paraId="545965DD" w14:textId="3B1FC4F5" w:rsidR="008B5287" w:rsidRPr="00872D7E" w:rsidRDefault="008B5287" w:rsidP="00BE0395">
      <w:pPr>
        <w:widowControl w:val="0"/>
        <w:autoSpaceDE w:val="0"/>
        <w:autoSpaceDN w:val="0"/>
        <w:adjustRightInd w:val="0"/>
        <w:spacing w:line="214" w:lineRule="auto"/>
        <w:jc w:val="both"/>
        <w:rPr>
          <w:b/>
          <w:bCs/>
          <w:iCs/>
          <w:sz w:val="16"/>
          <w:szCs w:val="16"/>
        </w:rPr>
      </w:pPr>
    </w:p>
    <w:p w14:paraId="791DF55B" w14:textId="69C350D7" w:rsidR="008B5287" w:rsidRPr="00872D7E" w:rsidRDefault="008B5287" w:rsidP="00BE0395">
      <w:pPr>
        <w:spacing w:line="214" w:lineRule="auto"/>
        <w:ind w:left="851"/>
      </w:pPr>
      <w:proofErr w:type="spellStart"/>
      <w:r w:rsidRPr="00872D7E">
        <w:t>KGK’nın</w:t>
      </w:r>
      <w:proofErr w:type="spellEnd"/>
      <w:r w:rsidRPr="00872D7E">
        <w:t xml:space="preserve"> 26 Mart 2021 tarihli kararı gereği bağımsız denetçi veya bağımsız denetim kuruluşundan alınan hizmetlere ilişkin raporlama dönemine ait ücret bilgisi KDV hariç tutarlar üzerinden aşağıdaki tabloda verilmiştir.</w:t>
      </w:r>
    </w:p>
    <w:p w14:paraId="68708A9B" w14:textId="4082480E" w:rsidR="00007B9F" w:rsidRPr="00872D7E" w:rsidRDefault="00007B9F" w:rsidP="00BE0395">
      <w:pPr>
        <w:spacing w:line="214" w:lineRule="auto"/>
        <w:ind w:left="567"/>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4"/>
        <w:gridCol w:w="2511"/>
      </w:tblGrid>
      <w:tr w:rsidR="00007B9F" w:rsidRPr="00872D7E" w14:paraId="0D6C8A2D" w14:textId="77777777" w:rsidTr="00683052">
        <w:tc>
          <w:tcPr>
            <w:tcW w:w="3658" w:type="pct"/>
          </w:tcPr>
          <w:p w14:paraId="21BAB88A" w14:textId="77777777" w:rsidR="00007B9F" w:rsidRPr="00872D7E" w:rsidRDefault="00007B9F" w:rsidP="00BE0395">
            <w:pPr>
              <w:spacing w:line="214" w:lineRule="auto"/>
              <w:rPr>
                <w:color w:val="000000"/>
                <w:szCs w:val="20"/>
                <w:lang w:eastAsia="tr-TR"/>
              </w:rPr>
            </w:pPr>
          </w:p>
        </w:tc>
        <w:tc>
          <w:tcPr>
            <w:tcW w:w="1342" w:type="pct"/>
            <w:tcBorders>
              <w:bottom w:val="single" w:sz="4" w:space="0" w:color="auto"/>
            </w:tcBorders>
            <w:vAlign w:val="bottom"/>
          </w:tcPr>
          <w:p w14:paraId="13465D0D" w14:textId="1A404B19" w:rsidR="00007B9F" w:rsidRPr="00872D7E" w:rsidRDefault="00007B9F" w:rsidP="00BE0395">
            <w:pPr>
              <w:spacing w:line="214" w:lineRule="auto"/>
              <w:jc w:val="right"/>
              <w:rPr>
                <w:b/>
                <w:bCs/>
                <w:szCs w:val="20"/>
              </w:rPr>
            </w:pPr>
            <w:r w:rsidRPr="00872D7E">
              <w:rPr>
                <w:b/>
                <w:bCs/>
                <w:szCs w:val="20"/>
              </w:rPr>
              <w:t>31 Aralık 2024</w:t>
            </w:r>
          </w:p>
        </w:tc>
      </w:tr>
      <w:tr w:rsidR="00007B9F" w:rsidRPr="00872D7E" w14:paraId="556B4057" w14:textId="77777777" w:rsidTr="00683052">
        <w:tc>
          <w:tcPr>
            <w:tcW w:w="3658" w:type="pct"/>
          </w:tcPr>
          <w:p w14:paraId="60DE0A45" w14:textId="7FC9F9C5" w:rsidR="00007B9F" w:rsidRPr="00872D7E" w:rsidRDefault="00AA1890" w:rsidP="00BE0395">
            <w:pPr>
              <w:spacing w:line="214" w:lineRule="auto"/>
              <w:rPr>
                <w:szCs w:val="20"/>
              </w:rPr>
            </w:pPr>
            <w:r w:rsidRPr="00872D7E">
              <w:rPr>
                <w:color w:val="000000"/>
                <w:szCs w:val="20"/>
                <w:lang w:eastAsia="tr-TR"/>
              </w:rPr>
              <w:t>Bağımsız Denetim Ücreti</w:t>
            </w:r>
          </w:p>
        </w:tc>
        <w:tc>
          <w:tcPr>
            <w:tcW w:w="1342" w:type="pct"/>
            <w:tcBorders>
              <w:top w:val="single" w:sz="4" w:space="0" w:color="auto"/>
            </w:tcBorders>
            <w:vAlign w:val="bottom"/>
          </w:tcPr>
          <w:p w14:paraId="413CD2AE" w14:textId="7BA86B6B" w:rsidR="00007B9F" w:rsidRPr="00872D7E" w:rsidRDefault="00266420" w:rsidP="00BE0395">
            <w:pPr>
              <w:spacing w:line="214" w:lineRule="auto"/>
              <w:jc w:val="right"/>
              <w:rPr>
                <w:szCs w:val="20"/>
              </w:rPr>
            </w:pPr>
            <w:r w:rsidRPr="00872D7E">
              <w:rPr>
                <w:szCs w:val="20"/>
              </w:rPr>
              <w:t>8</w:t>
            </w:r>
            <w:r w:rsidR="00EF1A53" w:rsidRPr="00872D7E">
              <w:rPr>
                <w:szCs w:val="20"/>
              </w:rPr>
              <w:t>.200</w:t>
            </w:r>
          </w:p>
        </w:tc>
      </w:tr>
      <w:tr w:rsidR="00AA1890" w:rsidRPr="00872D7E" w14:paraId="22442F97" w14:textId="77777777" w:rsidTr="00683052">
        <w:tc>
          <w:tcPr>
            <w:tcW w:w="3658" w:type="pct"/>
          </w:tcPr>
          <w:p w14:paraId="24CD7861" w14:textId="54FD1618" w:rsidR="00AA1890" w:rsidRPr="00872D7E" w:rsidRDefault="00AA1890" w:rsidP="00BE0395">
            <w:pPr>
              <w:spacing w:line="214" w:lineRule="auto"/>
              <w:rPr>
                <w:color w:val="000000"/>
                <w:szCs w:val="20"/>
                <w:lang w:eastAsia="tr-TR"/>
              </w:rPr>
            </w:pPr>
            <w:r w:rsidRPr="00872D7E">
              <w:rPr>
                <w:color w:val="000000"/>
                <w:szCs w:val="20"/>
                <w:lang w:eastAsia="tr-TR"/>
              </w:rPr>
              <w:t>Diğer Güvence Hizmetlerine İlişkin Ücret</w:t>
            </w:r>
          </w:p>
        </w:tc>
        <w:tc>
          <w:tcPr>
            <w:tcW w:w="1342" w:type="pct"/>
            <w:vAlign w:val="bottom"/>
          </w:tcPr>
          <w:p w14:paraId="798FF202" w14:textId="259684B1" w:rsidR="00AA1890" w:rsidRPr="00872D7E" w:rsidRDefault="00892CE2" w:rsidP="00BE0395">
            <w:pPr>
              <w:spacing w:line="214" w:lineRule="auto"/>
              <w:jc w:val="right"/>
              <w:rPr>
                <w:szCs w:val="20"/>
              </w:rPr>
            </w:pPr>
            <w:r w:rsidRPr="00872D7E">
              <w:rPr>
                <w:szCs w:val="20"/>
              </w:rPr>
              <w:t>-</w:t>
            </w:r>
          </w:p>
        </w:tc>
      </w:tr>
      <w:tr w:rsidR="00007B9F" w:rsidRPr="00872D7E" w14:paraId="053B26DF" w14:textId="77777777" w:rsidTr="00683052">
        <w:tc>
          <w:tcPr>
            <w:tcW w:w="3658" w:type="pct"/>
          </w:tcPr>
          <w:p w14:paraId="14C06159" w14:textId="1BB43A97" w:rsidR="00007B9F" w:rsidRPr="00872D7E" w:rsidRDefault="00AA1890" w:rsidP="00BE0395">
            <w:pPr>
              <w:spacing w:line="214" w:lineRule="auto"/>
              <w:rPr>
                <w:color w:val="000000"/>
                <w:szCs w:val="20"/>
                <w:lang w:eastAsia="tr-TR"/>
              </w:rPr>
            </w:pPr>
            <w:r w:rsidRPr="00872D7E">
              <w:rPr>
                <w:color w:val="000000"/>
                <w:szCs w:val="20"/>
                <w:lang w:eastAsia="tr-TR"/>
              </w:rPr>
              <w:t>Vergi Danışmanlık Hizmetlerine İlişkin Ücret</w:t>
            </w:r>
          </w:p>
        </w:tc>
        <w:tc>
          <w:tcPr>
            <w:tcW w:w="1342" w:type="pct"/>
            <w:vAlign w:val="bottom"/>
          </w:tcPr>
          <w:p w14:paraId="33635831" w14:textId="49484071" w:rsidR="00007B9F" w:rsidRPr="00872D7E" w:rsidRDefault="008D1EEC" w:rsidP="00BE0395">
            <w:pPr>
              <w:spacing w:line="214" w:lineRule="auto"/>
              <w:jc w:val="right"/>
              <w:rPr>
                <w:szCs w:val="20"/>
              </w:rPr>
            </w:pPr>
            <w:r w:rsidRPr="00872D7E">
              <w:rPr>
                <w:szCs w:val="20"/>
              </w:rPr>
              <w:t>260</w:t>
            </w:r>
          </w:p>
        </w:tc>
      </w:tr>
      <w:tr w:rsidR="00007B9F" w:rsidRPr="00872D7E" w14:paraId="33D40BAB" w14:textId="77777777" w:rsidTr="00683052">
        <w:tc>
          <w:tcPr>
            <w:tcW w:w="3658" w:type="pct"/>
            <w:tcBorders>
              <w:bottom w:val="single" w:sz="4" w:space="0" w:color="auto"/>
            </w:tcBorders>
            <w:vAlign w:val="center"/>
          </w:tcPr>
          <w:p w14:paraId="560ACD11" w14:textId="3D571E9A" w:rsidR="00007B9F" w:rsidRPr="00872D7E" w:rsidRDefault="00892CE2" w:rsidP="00BE0395">
            <w:pPr>
              <w:spacing w:line="214" w:lineRule="auto"/>
              <w:rPr>
                <w:szCs w:val="20"/>
              </w:rPr>
            </w:pPr>
            <w:r w:rsidRPr="00872D7E">
              <w:rPr>
                <w:color w:val="000000"/>
                <w:szCs w:val="20"/>
                <w:lang w:eastAsia="tr-TR"/>
              </w:rPr>
              <w:t>Bağımsız Denetim Dışı Diğer Hizmetlere İlişkin Ücretler</w:t>
            </w:r>
          </w:p>
        </w:tc>
        <w:tc>
          <w:tcPr>
            <w:tcW w:w="1342" w:type="pct"/>
            <w:tcBorders>
              <w:bottom w:val="single" w:sz="4" w:space="0" w:color="auto"/>
            </w:tcBorders>
            <w:vAlign w:val="bottom"/>
          </w:tcPr>
          <w:p w14:paraId="7769E06F" w14:textId="0ADAA814" w:rsidR="00007B9F" w:rsidRPr="00872D7E" w:rsidRDefault="00371A4F" w:rsidP="00BE0395">
            <w:pPr>
              <w:spacing w:line="214" w:lineRule="auto"/>
              <w:jc w:val="right"/>
              <w:rPr>
                <w:szCs w:val="20"/>
              </w:rPr>
            </w:pPr>
            <w:r w:rsidRPr="00872D7E">
              <w:rPr>
                <w:szCs w:val="20"/>
              </w:rPr>
              <w:t>-</w:t>
            </w:r>
          </w:p>
        </w:tc>
      </w:tr>
      <w:tr w:rsidR="00007B9F" w:rsidRPr="00872D7E" w14:paraId="55CB9E1D" w14:textId="77777777" w:rsidTr="00683052">
        <w:tc>
          <w:tcPr>
            <w:tcW w:w="3658" w:type="pct"/>
            <w:tcBorders>
              <w:top w:val="single" w:sz="4" w:space="0" w:color="auto"/>
            </w:tcBorders>
            <w:vAlign w:val="center"/>
          </w:tcPr>
          <w:p w14:paraId="02968480" w14:textId="77777777" w:rsidR="00007B9F" w:rsidRPr="00872D7E" w:rsidRDefault="00007B9F" w:rsidP="00BE0395">
            <w:pPr>
              <w:spacing w:line="214" w:lineRule="auto"/>
              <w:rPr>
                <w:color w:val="000000"/>
                <w:szCs w:val="20"/>
                <w:lang w:eastAsia="tr-TR"/>
              </w:rPr>
            </w:pPr>
          </w:p>
        </w:tc>
        <w:tc>
          <w:tcPr>
            <w:tcW w:w="1342" w:type="pct"/>
            <w:tcBorders>
              <w:top w:val="single" w:sz="4" w:space="0" w:color="auto"/>
            </w:tcBorders>
            <w:vAlign w:val="bottom"/>
          </w:tcPr>
          <w:p w14:paraId="6365DC91" w14:textId="77777777" w:rsidR="00007B9F" w:rsidRPr="00872D7E" w:rsidRDefault="00007B9F" w:rsidP="00BE0395">
            <w:pPr>
              <w:spacing w:line="214" w:lineRule="auto"/>
              <w:jc w:val="right"/>
              <w:rPr>
                <w:szCs w:val="20"/>
              </w:rPr>
            </w:pPr>
          </w:p>
        </w:tc>
      </w:tr>
      <w:tr w:rsidR="00007B9F" w:rsidRPr="00872D7E" w14:paraId="31CCCB93" w14:textId="77777777" w:rsidTr="00683052">
        <w:tc>
          <w:tcPr>
            <w:tcW w:w="3658" w:type="pct"/>
            <w:tcBorders>
              <w:bottom w:val="single" w:sz="4" w:space="0" w:color="auto"/>
            </w:tcBorders>
            <w:vAlign w:val="center"/>
          </w:tcPr>
          <w:p w14:paraId="718A9AC7" w14:textId="5F8D90A6" w:rsidR="00007B9F" w:rsidRPr="00872D7E" w:rsidRDefault="00007B9F" w:rsidP="00BE0395">
            <w:pPr>
              <w:spacing w:line="214" w:lineRule="auto"/>
              <w:rPr>
                <w:b/>
                <w:bCs/>
                <w:color w:val="000000"/>
                <w:szCs w:val="20"/>
                <w:lang w:eastAsia="tr-TR"/>
              </w:rPr>
            </w:pPr>
            <w:r w:rsidRPr="00872D7E">
              <w:rPr>
                <w:b/>
                <w:bCs/>
                <w:color w:val="000000"/>
                <w:szCs w:val="20"/>
                <w:lang w:eastAsia="tr-TR"/>
              </w:rPr>
              <w:t>Toplam</w:t>
            </w:r>
          </w:p>
        </w:tc>
        <w:tc>
          <w:tcPr>
            <w:tcW w:w="1342" w:type="pct"/>
            <w:tcBorders>
              <w:bottom w:val="single" w:sz="4" w:space="0" w:color="auto"/>
            </w:tcBorders>
            <w:vAlign w:val="bottom"/>
          </w:tcPr>
          <w:p w14:paraId="6D60B356" w14:textId="23E1292F" w:rsidR="00007B9F" w:rsidRPr="00872D7E" w:rsidRDefault="008D1EEC" w:rsidP="00BE0395">
            <w:pPr>
              <w:spacing w:line="214" w:lineRule="auto"/>
              <w:jc w:val="right"/>
              <w:rPr>
                <w:b/>
                <w:bCs/>
                <w:szCs w:val="20"/>
              </w:rPr>
            </w:pPr>
            <w:r w:rsidRPr="00872D7E">
              <w:rPr>
                <w:b/>
                <w:bCs/>
                <w:szCs w:val="20"/>
              </w:rPr>
              <w:t>8.460</w:t>
            </w:r>
          </w:p>
        </w:tc>
      </w:tr>
    </w:tbl>
    <w:p w14:paraId="61132291" w14:textId="3621FA94" w:rsidR="00007B9F" w:rsidRPr="00872D7E" w:rsidRDefault="00007B9F" w:rsidP="00BE0395">
      <w:pPr>
        <w:spacing w:line="214" w:lineRule="auto"/>
        <w:ind w:left="567"/>
      </w:pPr>
    </w:p>
    <w:p w14:paraId="55BD8D69" w14:textId="4BE5500A" w:rsidR="00A72F0A" w:rsidRPr="00872D7E" w:rsidRDefault="00A72F0A" w:rsidP="00BE0395">
      <w:pPr>
        <w:pStyle w:val="ListParagraph"/>
        <w:widowControl w:val="0"/>
        <w:numPr>
          <w:ilvl w:val="0"/>
          <w:numId w:val="84"/>
        </w:numPr>
        <w:autoSpaceDE w:val="0"/>
        <w:autoSpaceDN w:val="0"/>
        <w:adjustRightInd w:val="0"/>
        <w:spacing w:line="214" w:lineRule="auto"/>
        <w:ind w:left="851" w:hanging="851"/>
        <w:jc w:val="both"/>
        <w:rPr>
          <w:b/>
          <w:bCs/>
          <w:iCs/>
          <w:szCs w:val="20"/>
        </w:rPr>
      </w:pPr>
      <w:r w:rsidRPr="00872D7E">
        <w:rPr>
          <w:b/>
          <w:bCs/>
          <w:iCs/>
          <w:szCs w:val="20"/>
        </w:rPr>
        <w:t>Sürdürülen faaliyetler ile durdurulan faaliyetler vergi öncesi kar/zararına ilişkin açıklama:</w:t>
      </w:r>
    </w:p>
    <w:p w14:paraId="66D3F736" w14:textId="77777777" w:rsidR="00EF451B" w:rsidRPr="00872D7E" w:rsidRDefault="00EF451B" w:rsidP="00BE0395">
      <w:pPr>
        <w:spacing w:line="214" w:lineRule="auto"/>
        <w:rPr>
          <w:sz w:val="14"/>
          <w:szCs w:val="18"/>
        </w:rPr>
      </w:pPr>
    </w:p>
    <w:p w14:paraId="3F87476C" w14:textId="77777777" w:rsidR="009C28A1" w:rsidRPr="00872D7E" w:rsidRDefault="009C28A1" w:rsidP="00BE0395">
      <w:pPr>
        <w:spacing w:line="214" w:lineRule="auto"/>
        <w:ind w:left="851"/>
        <w:jc w:val="both"/>
      </w:pPr>
      <w:r w:rsidRPr="00872D7E">
        <w:t>Banka’nın durdurulan faaliyeti bulunmadığı için vergi öncesi kar/zararına ilişkin açıklaması yoktur.</w:t>
      </w:r>
    </w:p>
    <w:p w14:paraId="76EE6AA4" w14:textId="77777777" w:rsidR="00BE0395" w:rsidRPr="00872D7E" w:rsidRDefault="00BE0395" w:rsidP="00BE0395">
      <w:pPr>
        <w:spacing w:line="214" w:lineRule="auto"/>
        <w:ind w:left="851"/>
        <w:jc w:val="both"/>
      </w:pPr>
    </w:p>
    <w:p w14:paraId="144CE7E1" w14:textId="7422D7A9" w:rsidR="00EF451B" w:rsidRPr="00872D7E" w:rsidRDefault="009C28A1" w:rsidP="00BE0395">
      <w:pPr>
        <w:spacing w:line="214" w:lineRule="auto"/>
        <w:ind w:left="851"/>
        <w:jc w:val="both"/>
      </w:pPr>
      <w:r w:rsidRPr="00872D7E">
        <w:t xml:space="preserve">Banka’nın vergi öncesi karı </w:t>
      </w:r>
      <w:r w:rsidR="00137B91" w:rsidRPr="00872D7E">
        <w:t xml:space="preserve">1.616.235 </w:t>
      </w:r>
      <w:r w:rsidRPr="00872D7E">
        <w:t xml:space="preserve">TL olarak gerçekleşmiştir. Vergi öncesi karın </w:t>
      </w:r>
      <w:r w:rsidR="00B4500B" w:rsidRPr="00872D7E">
        <w:t xml:space="preserve">1.602.593 </w:t>
      </w:r>
      <w:r w:rsidRPr="00872D7E">
        <w:t xml:space="preserve">TL’lik kısmı net </w:t>
      </w:r>
      <w:r w:rsidR="008B5287" w:rsidRPr="00872D7E">
        <w:t>kâr</w:t>
      </w:r>
      <w:r w:rsidRPr="00872D7E">
        <w:t xml:space="preserve"> payı gelirlerinden, </w:t>
      </w:r>
      <w:r w:rsidR="00B4500B" w:rsidRPr="00872D7E">
        <w:t xml:space="preserve">188.995 </w:t>
      </w:r>
      <w:r w:rsidRPr="00872D7E">
        <w:t xml:space="preserve">TL’si ise net ücret ve komisyon gelirlerinden oluşmaktadır. Diğer faaliyet giderlerinin toplamı ise </w:t>
      </w:r>
      <w:r w:rsidR="00B4500B" w:rsidRPr="00872D7E">
        <w:t xml:space="preserve">432.818 </w:t>
      </w:r>
      <w:r w:rsidRPr="00872D7E">
        <w:t>TL’dir.</w:t>
      </w:r>
    </w:p>
    <w:p w14:paraId="1FC94D7F" w14:textId="77777777" w:rsidR="009C28A1" w:rsidRPr="00872D7E" w:rsidRDefault="009C28A1" w:rsidP="00BE0395">
      <w:pPr>
        <w:spacing w:line="214" w:lineRule="auto"/>
        <w:rPr>
          <w:sz w:val="18"/>
          <w:szCs w:val="22"/>
        </w:rPr>
      </w:pPr>
    </w:p>
    <w:p w14:paraId="075A2CFE" w14:textId="084CAB51" w:rsidR="00472C25" w:rsidRPr="00872D7E" w:rsidRDefault="00472C25" w:rsidP="00BE0395">
      <w:pPr>
        <w:pStyle w:val="ListParagraph"/>
        <w:widowControl w:val="0"/>
        <w:numPr>
          <w:ilvl w:val="0"/>
          <w:numId w:val="84"/>
        </w:numPr>
        <w:autoSpaceDE w:val="0"/>
        <w:autoSpaceDN w:val="0"/>
        <w:adjustRightInd w:val="0"/>
        <w:spacing w:line="214" w:lineRule="auto"/>
        <w:ind w:left="851" w:hanging="851"/>
        <w:jc w:val="both"/>
        <w:rPr>
          <w:b/>
          <w:bCs/>
          <w:iCs/>
          <w:szCs w:val="20"/>
        </w:rPr>
      </w:pPr>
      <w:r w:rsidRPr="00872D7E">
        <w:rPr>
          <w:b/>
          <w:bCs/>
          <w:iCs/>
          <w:szCs w:val="20"/>
        </w:rPr>
        <w:t>Sürdürülen faaliyetler ile durdurulan faaliyetler vergi karşılığına ilişkin açıklama:</w:t>
      </w:r>
    </w:p>
    <w:p w14:paraId="71CE2A79" w14:textId="77777777" w:rsidR="00EF451B" w:rsidRPr="00872D7E" w:rsidRDefault="00EF451B" w:rsidP="00BE0395">
      <w:pPr>
        <w:widowControl w:val="0"/>
        <w:spacing w:line="214" w:lineRule="auto"/>
        <w:ind w:left="-14"/>
        <w:jc w:val="both"/>
        <w:rPr>
          <w:szCs w:val="20"/>
        </w:rPr>
      </w:pPr>
    </w:p>
    <w:p w14:paraId="566CB6C2" w14:textId="65686A98" w:rsidR="00195FC2" w:rsidRPr="00872D7E" w:rsidRDefault="00195FC2" w:rsidP="00BE0395">
      <w:pPr>
        <w:widowControl w:val="0"/>
        <w:spacing w:line="214" w:lineRule="auto"/>
        <w:ind w:left="851"/>
        <w:jc w:val="both"/>
        <w:rPr>
          <w:szCs w:val="20"/>
        </w:rPr>
      </w:pPr>
      <w:r w:rsidRPr="00872D7E">
        <w:rPr>
          <w:szCs w:val="20"/>
        </w:rPr>
        <w:t>Banka’nın durdurulan faaliyeti bulunmadığı için buna ilişkin vergi karşılığı da bulunmamaktadır.</w:t>
      </w:r>
    </w:p>
    <w:p w14:paraId="4993AA5D" w14:textId="77777777" w:rsidR="00EF451B" w:rsidRPr="00872D7E" w:rsidRDefault="00EF451B" w:rsidP="00BE0395">
      <w:pPr>
        <w:widowControl w:val="0"/>
        <w:spacing w:line="214" w:lineRule="auto"/>
        <w:ind w:left="851"/>
        <w:jc w:val="both"/>
        <w:rPr>
          <w:szCs w:val="20"/>
        </w:rPr>
      </w:pPr>
    </w:p>
    <w:p w14:paraId="0B9E0952" w14:textId="02AECD75" w:rsidR="00031E86" w:rsidRPr="00872D7E" w:rsidRDefault="00AE0B9A" w:rsidP="00BE0395">
      <w:pPr>
        <w:widowControl w:val="0"/>
        <w:spacing w:line="214" w:lineRule="auto"/>
        <w:ind w:left="851" w:right="154"/>
        <w:jc w:val="both"/>
        <w:rPr>
          <w:szCs w:val="20"/>
        </w:rPr>
      </w:pPr>
      <w:r w:rsidRPr="00872D7E">
        <w:rPr>
          <w:szCs w:val="20"/>
        </w:rPr>
        <w:t>31 Aralık</w:t>
      </w:r>
      <w:r w:rsidR="00C160E4" w:rsidRPr="00872D7E">
        <w:rPr>
          <w:szCs w:val="20"/>
        </w:rPr>
        <w:t xml:space="preserve"> </w:t>
      </w:r>
      <w:r w:rsidR="008A2AE2" w:rsidRPr="00872D7E">
        <w:rPr>
          <w:szCs w:val="20"/>
        </w:rPr>
        <w:t>2024</w:t>
      </w:r>
      <w:r w:rsidR="00031E86" w:rsidRPr="00872D7E">
        <w:rPr>
          <w:szCs w:val="20"/>
        </w:rPr>
        <w:t xml:space="preserve"> tarihi itibariyle Banka’nın </w:t>
      </w:r>
      <w:bookmarkStart w:id="99" w:name="_Hlk181209637"/>
      <w:r w:rsidR="00207A78" w:rsidRPr="00872D7E">
        <w:rPr>
          <w:szCs w:val="20"/>
        </w:rPr>
        <w:t>190.766</w:t>
      </w:r>
      <w:r w:rsidR="00031E86" w:rsidRPr="00872D7E">
        <w:rPr>
          <w:szCs w:val="20"/>
        </w:rPr>
        <w:t xml:space="preserve"> </w:t>
      </w:r>
      <w:bookmarkEnd w:id="99"/>
      <w:r w:rsidR="00031E86" w:rsidRPr="00872D7E">
        <w:rPr>
          <w:szCs w:val="20"/>
        </w:rPr>
        <w:t xml:space="preserve">TL ertelenmiş vergi geliri, </w:t>
      </w:r>
      <w:bookmarkStart w:id="100" w:name="_Hlk181209645"/>
      <w:r w:rsidR="00207A78" w:rsidRPr="00872D7E">
        <w:rPr>
          <w:szCs w:val="20"/>
        </w:rPr>
        <w:t>118.531</w:t>
      </w:r>
      <w:r w:rsidR="00031E86" w:rsidRPr="00872D7E">
        <w:rPr>
          <w:szCs w:val="20"/>
        </w:rPr>
        <w:t xml:space="preserve"> </w:t>
      </w:r>
      <w:bookmarkEnd w:id="100"/>
      <w:r w:rsidR="00031E86" w:rsidRPr="00872D7E">
        <w:rPr>
          <w:szCs w:val="20"/>
        </w:rPr>
        <w:t xml:space="preserve">TL ertelenmiş vergi gideri bulunmaktadır. Cari vergi karşılığı </w:t>
      </w:r>
      <w:bookmarkStart w:id="101" w:name="_Hlk181209651"/>
      <w:r w:rsidR="00207A78" w:rsidRPr="00872D7E">
        <w:rPr>
          <w:szCs w:val="20"/>
        </w:rPr>
        <w:t>334.828</w:t>
      </w:r>
      <w:r w:rsidR="00031E86" w:rsidRPr="00872D7E">
        <w:rPr>
          <w:szCs w:val="20"/>
        </w:rPr>
        <w:t xml:space="preserve"> </w:t>
      </w:r>
      <w:bookmarkEnd w:id="101"/>
      <w:r w:rsidR="00031E86" w:rsidRPr="00872D7E">
        <w:rPr>
          <w:szCs w:val="20"/>
        </w:rPr>
        <w:t>TL’dir.</w:t>
      </w:r>
    </w:p>
    <w:p w14:paraId="78FC19E6" w14:textId="1C2EDAA7" w:rsidR="00EF451B" w:rsidRPr="00872D7E" w:rsidRDefault="00EF451B" w:rsidP="00BE0395">
      <w:pPr>
        <w:spacing w:line="214" w:lineRule="auto"/>
        <w:rPr>
          <w:sz w:val="16"/>
          <w:szCs w:val="16"/>
        </w:rPr>
      </w:pPr>
    </w:p>
    <w:p w14:paraId="3168E9CA" w14:textId="17584BC3" w:rsidR="00472C25" w:rsidRPr="00872D7E" w:rsidRDefault="00472C25" w:rsidP="00BE0395">
      <w:pPr>
        <w:pStyle w:val="ListParagraph"/>
        <w:widowControl w:val="0"/>
        <w:numPr>
          <w:ilvl w:val="0"/>
          <w:numId w:val="84"/>
        </w:numPr>
        <w:autoSpaceDE w:val="0"/>
        <w:autoSpaceDN w:val="0"/>
        <w:adjustRightInd w:val="0"/>
        <w:spacing w:line="214" w:lineRule="auto"/>
        <w:ind w:left="851" w:hanging="851"/>
        <w:jc w:val="both"/>
        <w:rPr>
          <w:b/>
          <w:bCs/>
          <w:iCs/>
          <w:szCs w:val="20"/>
        </w:rPr>
      </w:pPr>
      <w:r w:rsidRPr="00872D7E">
        <w:rPr>
          <w:b/>
          <w:bCs/>
          <w:iCs/>
          <w:szCs w:val="20"/>
        </w:rPr>
        <w:t>Sürdürülen faaliyetler ile durdurulan faaliyetler dönem net kar/zararına ilişkin açıklama:</w:t>
      </w:r>
    </w:p>
    <w:p w14:paraId="0FE5AB3F" w14:textId="77777777" w:rsidR="00EF451B" w:rsidRPr="00872D7E" w:rsidRDefault="00EF451B" w:rsidP="00BE0395">
      <w:pPr>
        <w:spacing w:line="214" w:lineRule="auto"/>
      </w:pPr>
    </w:p>
    <w:p w14:paraId="59C86733" w14:textId="06DBD1E0" w:rsidR="00EF451B" w:rsidRPr="00872D7E" w:rsidRDefault="009C28A1" w:rsidP="00BE0395">
      <w:pPr>
        <w:widowControl w:val="0"/>
        <w:tabs>
          <w:tab w:val="left" w:pos="284"/>
        </w:tabs>
        <w:spacing w:line="214" w:lineRule="auto"/>
        <w:ind w:left="851"/>
        <w:jc w:val="both"/>
        <w:rPr>
          <w:szCs w:val="20"/>
        </w:rPr>
      </w:pPr>
      <w:r w:rsidRPr="00872D7E">
        <w:rPr>
          <w:szCs w:val="20"/>
        </w:rPr>
        <w:t xml:space="preserve">Banka’nın durdurulan faaliyeti bulunmamaktadır. Sürdürülen faaliyet karı </w:t>
      </w:r>
      <w:r w:rsidR="00207A78" w:rsidRPr="00872D7E">
        <w:rPr>
          <w:szCs w:val="20"/>
        </w:rPr>
        <w:t xml:space="preserve">1.616.235 </w:t>
      </w:r>
      <w:r w:rsidRPr="00872D7E">
        <w:rPr>
          <w:szCs w:val="20"/>
        </w:rPr>
        <w:t xml:space="preserve">TL’den </w:t>
      </w:r>
      <w:r w:rsidR="00207A78" w:rsidRPr="00872D7E">
        <w:rPr>
          <w:szCs w:val="20"/>
        </w:rPr>
        <w:t>262.593</w:t>
      </w:r>
      <w:r w:rsidRPr="00872D7E">
        <w:rPr>
          <w:szCs w:val="20"/>
        </w:rPr>
        <w:t>TL sürdürülen faaliyetler vergi giderinin düşülmesi sonucu</w:t>
      </w:r>
      <w:r w:rsidR="00207A78" w:rsidRPr="00872D7E">
        <w:rPr>
          <w:szCs w:val="20"/>
        </w:rPr>
        <w:t xml:space="preserve"> </w:t>
      </w:r>
      <w:r w:rsidRPr="00872D7E">
        <w:rPr>
          <w:szCs w:val="20"/>
        </w:rPr>
        <w:t>net dönem karı</w:t>
      </w:r>
      <w:r w:rsidR="00207A78" w:rsidRPr="00872D7E">
        <w:rPr>
          <w:szCs w:val="20"/>
        </w:rPr>
        <w:t xml:space="preserve"> 1.353.642 </w:t>
      </w:r>
      <w:r w:rsidRPr="00872D7E">
        <w:rPr>
          <w:szCs w:val="20"/>
        </w:rPr>
        <w:t>TL olarak gerçekleşmiştir.</w:t>
      </w:r>
    </w:p>
    <w:p w14:paraId="61CFC35C" w14:textId="77777777" w:rsidR="009C28A1" w:rsidRPr="00872D7E" w:rsidRDefault="009C28A1" w:rsidP="00BE0395">
      <w:pPr>
        <w:spacing w:line="214" w:lineRule="auto"/>
        <w:rPr>
          <w:sz w:val="16"/>
          <w:szCs w:val="20"/>
        </w:rPr>
      </w:pPr>
    </w:p>
    <w:p w14:paraId="77AF0583" w14:textId="6AFA4AB8" w:rsidR="00472C25" w:rsidRPr="00872D7E" w:rsidRDefault="00472C25" w:rsidP="00BD7366">
      <w:pPr>
        <w:pStyle w:val="ListParagraph"/>
        <w:widowControl w:val="0"/>
        <w:numPr>
          <w:ilvl w:val="0"/>
          <w:numId w:val="84"/>
        </w:numPr>
        <w:autoSpaceDE w:val="0"/>
        <w:autoSpaceDN w:val="0"/>
        <w:adjustRightInd w:val="0"/>
        <w:spacing w:line="214" w:lineRule="auto"/>
        <w:ind w:left="851" w:hanging="851"/>
        <w:jc w:val="both"/>
        <w:rPr>
          <w:b/>
          <w:bCs/>
          <w:iCs/>
          <w:szCs w:val="20"/>
        </w:rPr>
      </w:pPr>
      <w:r w:rsidRPr="00872D7E">
        <w:rPr>
          <w:b/>
          <w:bCs/>
          <w:iCs/>
          <w:szCs w:val="20"/>
        </w:rPr>
        <w:t xml:space="preserve">Net dönem kar/zararına ilişkin açıklamalar: </w:t>
      </w:r>
    </w:p>
    <w:p w14:paraId="00BF1F6A" w14:textId="77777777" w:rsidR="00EF451B" w:rsidRPr="00872D7E" w:rsidRDefault="00EF451B" w:rsidP="00BE0395">
      <w:pPr>
        <w:widowControl w:val="0"/>
        <w:spacing w:line="214" w:lineRule="auto"/>
        <w:ind w:left="-28" w:right="206" w:hanging="434"/>
        <w:jc w:val="both"/>
        <w:rPr>
          <w:b/>
          <w:sz w:val="14"/>
          <w:szCs w:val="14"/>
        </w:rPr>
      </w:pPr>
    </w:p>
    <w:p w14:paraId="10737172" w14:textId="0C38F942" w:rsidR="00472C25" w:rsidRPr="00872D7E" w:rsidRDefault="00472C25" w:rsidP="00BE0395">
      <w:pPr>
        <w:widowControl w:val="0"/>
        <w:spacing w:line="214" w:lineRule="auto"/>
        <w:ind w:left="1276" w:hanging="425"/>
        <w:jc w:val="both"/>
        <w:rPr>
          <w:b/>
          <w:szCs w:val="20"/>
        </w:rPr>
      </w:pPr>
      <w:r w:rsidRPr="00872D7E">
        <w:rPr>
          <w:b/>
          <w:szCs w:val="20"/>
        </w:rPr>
        <w:t>a.</w:t>
      </w:r>
      <w:r w:rsidRPr="00872D7E">
        <w:rPr>
          <w:b/>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2299E4C" w14:textId="77777777" w:rsidR="00EF451B" w:rsidRPr="00872D7E" w:rsidRDefault="00EF451B" w:rsidP="00BE0395">
      <w:pPr>
        <w:widowControl w:val="0"/>
        <w:spacing w:line="214" w:lineRule="auto"/>
        <w:ind w:left="-42"/>
        <w:jc w:val="both"/>
        <w:rPr>
          <w:sz w:val="14"/>
          <w:szCs w:val="14"/>
        </w:rPr>
      </w:pPr>
    </w:p>
    <w:p w14:paraId="4CA452AC" w14:textId="3F24CF18" w:rsidR="00B66462" w:rsidRPr="00872D7E" w:rsidRDefault="00B66462" w:rsidP="00BD7366">
      <w:pPr>
        <w:widowControl w:val="0"/>
        <w:spacing w:line="214" w:lineRule="auto"/>
        <w:ind w:left="851"/>
        <w:jc w:val="both"/>
        <w:rPr>
          <w:szCs w:val="20"/>
        </w:rPr>
      </w:pPr>
      <w:r w:rsidRPr="00872D7E">
        <w:rPr>
          <w:szCs w:val="20"/>
        </w:rPr>
        <w:t>Bulunmamaktadır.</w:t>
      </w:r>
    </w:p>
    <w:p w14:paraId="731075A6" w14:textId="77777777" w:rsidR="00EF451B" w:rsidRPr="00872D7E" w:rsidRDefault="00EF451B" w:rsidP="00BE0395">
      <w:pPr>
        <w:widowControl w:val="0"/>
        <w:spacing w:line="214" w:lineRule="auto"/>
        <w:ind w:left="-42"/>
        <w:jc w:val="both"/>
        <w:rPr>
          <w:sz w:val="16"/>
          <w:szCs w:val="16"/>
        </w:rPr>
      </w:pPr>
    </w:p>
    <w:p w14:paraId="57BDFB19" w14:textId="77777777" w:rsidR="00472C25" w:rsidRPr="00872D7E" w:rsidRDefault="00472C25" w:rsidP="00BE0395">
      <w:pPr>
        <w:widowControl w:val="0"/>
        <w:spacing w:line="214" w:lineRule="auto"/>
        <w:ind w:left="1276" w:hanging="425"/>
        <w:jc w:val="both"/>
        <w:rPr>
          <w:b/>
          <w:szCs w:val="20"/>
        </w:rPr>
      </w:pPr>
      <w:r w:rsidRPr="00872D7E">
        <w:rPr>
          <w:b/>
          <w:szCs w:val="20"/>
        </w:rPr>
        <w:t>b.</w:t>
      </w:r>
      <w:r w:rsidRPr="00872D7E">
        <w:rPr>
          <w:b/>
          <w:szCs w:val="20"/>
        </w:rPr>
        <w:tab/>
        <w:t xml:space="preserve">Finansal tablo kalemlerine ilişkin olarak yapılan bir tahmindeki değişikliğin kâr/zarara etkisi, daha sonraki dönemleri de etkilemesi olasılığı varsa, o dönemleri de kapsayacak şekilde belirtilmesi: </w:t>
      </w:r>
    </w:p>
    <w:p w14:paraId="517CC9F9" w14:textId="77777777" w:rsidR="00EF451B" w:rsidRPr="00872D7E" w:rsidRDefault="00EF451B" w:rsidP="00BE0395">
      <w:pPr>
        <w:widowControl w:val="0"/>
        <w:spacing w:line="214" w:lineRule="auto"/>
        <w:ind w:left="-42"/>
        <w:jc w:val="both"/>
        <w:rPr>
          <w:sz w:val="14"/>
          <w:szCs w:val="14"/>
        </w:rPr>
      </w:pPr>
    </w:p>
    <w:p w14:paraId="2E56D7CF" w14:textId="5CF482B7" w:rsidR="00BD7366" w:rsidRPr="00872D7E" w:rsidRDefault="00472C25" w:rsidP="00BE0395">
      <w:pPr>
        <w:widowControl w:val="0"/>
        <w:spacing w:line="214" w:lineRule="auto"/>
        <w:ind w:left="851"/>
        <w:jc w:val="both"/>
        <w:rPr>
          <w:szCs w:val="20"/>
        </w:rPr>
      </w:pPr>
      <w:r w:rsidRPr="00872D7E">
        <w:rPr>
          <w:szCs w:val="20"/>
        </w:rPr>
        <w:t>Bulunmamaktadır.</w:t>
      </w:r>
      <w:r w:rsidR="00BD7366" w:rsidRPr="00872D7E">
        <w:rPr>
          <w:szCs w:val="20"/>
        </w:rPr>
        <w:br w:type="page"/>
      </w:r>
    </w:p>
    <w:p w14:paraId="41110EA3" w14:textId="77777777" w:rsidR="00BD7366" w:rsidRPr="00872D7E" w:rsidRDefault="00BD7366" w:rsidP="00BD7366">
      <w:pPr>
        <w:widowControl w:val="0"/>
        <w:spacing w:line="214" w:lineRule="auto"/>
        <w:ind w:left="720" w:hanging="720"/>
        <w:jc w:val="both"/>
        <w:rPr>
          <w:b/>
          <w:szCs w:val="20"/>
        </w:rPr>
      </w:pPr>
      <w:r w:rsidRPr="00872D7E">
        <w:rPr>
          <w:b/>
          <w:szCs w:val="20"/>
        </w:rPr>
        <w:lastRenderedPageBreak/>
        <w:t>KONSOLİDE OLMAYAN FİNANSAL TABLOLARA İLİŞKİN AÇIKLAMA VE DİPNOTLAR (Devamı)</w:t>
      </w:r>
    </w:p>
    <w:p w14:paraId="5AD75F31" w14:textId="77777777" w:rsidR="00BD7366" w:rsidRPr="00872D7E" w:rsidRDefault="00BD7366" w:rsidP="00BD7366">
      <w:pPr>
        <w:widowControl w:val="0"/>
        <w:spacing w:line="214" w:lineRule="auto"/>
        <w:jc w:val="both"/>
        <w:rPr>
          <w:szCs w:val="20"/>
        </w:rPr>
      </w:pPr>
    </w:p>
    <w:p w14:paraId="6C2D65F4" w14:textId="40B08899" w:rsidR="002152D0" w:rsidRPr="00872D7E" w:rsidRDefault="004E242C" w:rsidP="00DF282B">
      <w:pPr>
        <w:pStyle w:val="BodyTextIndent"/>
        <w:widowControl w:val="0"/>
        <w:numPr>
          <w:ilvl w:val="0"/>
          <w:numId w:val="56"/>
        </w:numPr>
        <w:ind w:left="851" w:right="206" w:hanging="851"/>
        <w:rPr>
          <w:b/>
          <w:iCs/>
          <w:szCs w:val="20"/>
        </w:rPr>
      </w:pPr>
      <w:bookmarkStart w:id="102" w:name="_Hlk189818347"/>
      <w:r w:rsidRPr="00872D7E">
        <w:rPr>
          <w:b/>
          <w:iCs/>
          <w:szCs w:val="20"/>
        </w:rPr>
        <w:t>ÖZKAYNAK DEĞİŞİM TABLOSUNA İLİŞKİN AÇIKLAMA VE DİPNOTLAR</w:t>
      </w:r>
    </w:p>
    <w:p w14:paraId="38EF9768" w14:textId="77777777" w:rsidR="002152D0" w:rsidRPr="00872D7E" w:rsidRDefault="002152D0" w:rsidP="001B29B3"/>
    <w:p w14:paraId="08C2BB47" w14:textId="77777777" w:rsidR="009C28A1" w:rsidRPr="00872D7E" w:rsidRDefault="009C28A1" w:rsidP="00BD7366">
      <w:pPr>
        <w:widowControl w:val="0"/>
        <w:ind w:left="851" w:hanging="851"/>
        <w:jc w:val="both"/>
        <w:rPr>
          <w:szCs w:val="20"/>
        </w:rPr>
      </w:pPr>
      <w:r w:rsidRPr="00872D7E">
        <w:rPr>
          <w:szCs w:val="20"/>
        </w:rPr>
        <w:t>a)</w:t>
      </w:r>
      <w:r w:rsidRPr="00872D7E">
        <w:rPr>
          <w:szCs w:val="20"/>
        </w:rPr>
        <w:tab/>
        <w:t>Bilanço tarihinden sonra ancak finansal tabloların ilanından önce bildirim yapılmış kâr payları tutarı bulunmamaktadır.</w:t>
      </w:r>
    </w:p>
    <w:p w14:paraId="05D062F7" w14:textId="77777777" w:rsidR="00BD7366" w:rsidRPr="00872D7E" w:rsidRDefault="00BD7366" w:rsidP="00BD7366">
      <w:pPr>
        <w:widowControl w:val="0"/>
        <w:ind w:left="851"/>
        <w:jc w:val="both"/>
        <w:rPr>
          <w:szCs w:val="20"/>
        </w:rPr>
      </w:pPr>
    </w:p>
    <w:p w14:paraId="31975794" w14:textId="4EEA1910" w:rsidR="009C28A1" w:rsidRPr="00872D7E" w:rsidRDefault="00007B9F" w:rsidP="00BD7366">
      <w:pPr>
        <w:widowControl w:val="0"/>
        <w:ind w:left="851"/>
        <w:jc w:val="both"/>
        <w:rPr>
          <w:szCs w:val="20"/>
        </w:rPr>
      </w:pPr>
      <w:r w:rsidRPr="00872D7E">
        <w:rPr>
          <w:szCs w:val="20"/>
        </w:rPr>
        <w:t>Kâr</w:t>
      </w:r>
      <w:r w:rsidR="009C28A1" w:rsidRPr="00872D7E">
        <w:rPr>
          <w:szCs w:val="20"/>
        </w:rPr>
        <w:t xml:space="preserve"> payı dağıtımına Genel Kurul toplantısında karar verilecek olup, Genel Kurul, ekli finansal tabloların kesinleştiği tarih itibarıyla henüz yapılmamıştır.</w:t>
      </w:r>
    </w:p>
    <w:p w14:paraId="160798DE" w14:textId="56C08D1A" w:rsidR="009C28A1" w:rsidRPr="00872D7E" w:rsidRDefault="009C28A1" w:rsidP="00BD7366">
      <w:pPr>
        <w:widowControl w:val="0"/>
        <w:spacing w:before="120"/>
        <w:ind w:left="851" w:hanging="851"/>
        <w:jc w:val="both"/>
        <w:rPr>
          <w:szCs w:val="20"/>
        </w:rPr>
      </w:pPr>
      <w:r w:rsidRPr="00872D7E">
        <w:rPr>
          <w:szCs w:val="20"/>
        </w:rPr>
        <w:t>b)</w:t>
      </w:r>
      <w:r w:rsidRPr="00872D7E">
        <w:rPr>
          <w:szCs w:val="20"/>
        </w:rPr>
        <w:tab/>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“kar veya zararda yeniden sınıflandırılacak birikmiş diğer kapsamlı gelirler ve giderler” hesabında muhasebeleştirilmektedir. Gerçeğe uygun değer farkı diğer kapsamlı gelire yansıtılan finansal varlıkların yeniden değerlendirilmesinden sonra meydana gelen ertelenmiş vergi öncesi </w:t>
      </w:r>
      <w:r w:rsidR="00DB6956" w:rsidRPr="00872D7E">
        <w:rPr>
          <w:szCs w:val="20"/>
        </w:rPr>
        <w:t xml:space="preserve">11.861 </w:t>
      </w:r>
      <w:r w:rsidRPr="00872D7E">
        <w:rPr>
          <w:szCs w:val="20"/>
        </w:rPr>
        <w:t>TL artış bulunmaktadır.</w:t>
      </w:r>
    </w:p>
    <w:p w14:paraId="3C8036CB" w14:textId="77777777" w:rsidR="009C28A1" w:rsidRPr="00872D7E" w:rsidRDefault="009C28A1" w:rsidP="00BD7366">
      <w:pPr>
        <w:widowControl w:val="0"/>
        <w:spacing w:before="120"/>
        <w:ind w:left="851" w:hanging="851"/>
        <w:jc w:val="both"/>
        <w:rPr>
          <w:szCs w:val="20"/>
        </w:rPr>
      </w:pPr>
      <w:r w:rsidRPr="00872D7E">
        <w:rPr>
          <w:szCs w:val="20"/>
        </w:rPr>
        <w:t>c)</w:t>
      </w:r>
      <w:r w:rsidRPr="00872D7E">
        <w:rPr>
          <w:szCs w:val="20"/>
        </w:rPr>
        <w:tab/>
        <w:t>Maddi ve maddi olmayan duran varlıklara ilişkin değerleme farkları özkaynaklar altında maddi ve maddi olmayan duran varlıklar yeniden değerleme farkları hesabında muhasebeleştirilmektedir.</w:t>
      </w:r>
    </w:p>
    <w:bookmarkEnd w:id="102"/>
    <w:p w14:paraId="7A2F0E45" w14:textId="77777777" w:rsidR="009C28A1" w:rsidRPr="00872D7E" w:rsidRDefault="009C28A1" w:rsidP="003514F7"/>
    <w:p w14:paraId="1ED25EB1" w14:textId="365E3657" w:rsidR="002152D0" w:rsidRPr="00872D7E" w:rsidRDefault="000F52B1" w:rsidP="00DF282B">
      <w:pPr>
        <w:pStyle w:val="BodyTextIndent"/>
        <w:widowControl w:val="0"/>
        <w:numPr>
          <w:ilvl w:val="0"/>
          <w:numId w:val="56"/>
        </w:numPr>
        <w:ind w:left="851" w:right="206" w:hanging="851"/>
        <w:rPr>
          <w:b/>
          <w:iCs/>
          <w:szCs w:val="20"/>
        </w:rPr>
      </w:pPr>
      <w:r w:rsidRPr="00872D7E">
        <w:rPr>
          <w:b/>
          <w:iCs/>
          <w:szCs w:val="20"/>
        </w:rPr>
        <w:t>NAKİT AKIŞ TABLOSUNA İLİŞKİN AÇIKLAMA VE DİPNOTLAR</w:t>
      </w:r>
    </w:p>
    <w:p w14:paraId="59CF77EB" w14:textId="77777777" w:rsidR="009C28A1" w:rsidRPr="00872D7E" w:rsidRDefault="009C28A1" w:rsidP="001B29B3">
      <w:pPr>
        <w:spacing w:before="120"/>
        <w:ind w:right="49"/>
        <w:jc w:val="both"/>
        <w:rPr>
          <w:szCs w:val="20"/>
        </w:rPr>
      </w:pPr>
      <w:r w:rsidRPr="00872D7E">
        <w:rPr>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073865C4" w14:textId="7D21068C" w:rsidR="009C28A1" w:rsidRPr="00872D7E" w:rsidRDefault="009C28A1" w:rsidP="00BD7366">
      <w:pPr>
        <w:autoSpaceDE w:val="0"/>
        <w:autoSpaceDN w:val="0"/>
        <w:adjustRightInd w:val="0"/>
        <w:spacing w:before="120" w:after="120"/>
        <w:ind w:left="851" w:hanging="851"/>
        <w:jc w:val="both"/>
        <w:rPr>
          <w:szCs w:val="20"/>
        </w:rPr>
      </w:pPr>
      <w:r w:rsidRPr="00872D7E">
        <w:rPr>
          <w:szCs w:val="20"/>
        </w:rPr>
        <w:t>(a)</w:t>
      </w:r>
      <w:r w:rsidRPr="00872D7E">
        <w:rPr>
          <w:szCs w:val="20"/>
        </w:rPr>
        <w:tab/>
        <w:t>Dönem başındaki nakit ve nakde eşdeğer varlıklar</w:t>
      </w:r>
      <w:r w:rsidR="00827BED" w:rsidRPr="00872D7E">
        <w:rPr>
          <w:szCs w:val="20"/>
        </w:rPr>
        <w:t>:</w:t>
      </w:r>
    </w:p>
    <w:tbl>
      <w:tblPr>
        <w:tblW w:w="5000" w:type="pct"/>
        <w:tblLook w:val="0000" w:firstRow="0" w:lastRow="0" w:firstColumn="0" w:lastColumn="0" w:noHBand="0" w:noVBand="0"/>
      </w:tblPr>
      <w:tblGrid>
        <w:gridCol w:w="7491"/>
        <w:gridCol w:w="1864"/>
      </w:tblGrid>
      <w:tr w:rsidR="00752369" w:rsidRPr="00872D7E" w14:paraId="30F04E31" w14:textId="77777777" w:rsidTr="00683052">
        <w:trPr>
          <w:trHeight w:hRule="exact" w:val="249"/>
        </w:trPr>
        <w:tc>
          <w:tcPr>
            <w:tcW w:w="4004" w:type="pct"/>
            <w:tcBorders>
              <w:left w:val="nil"/>
              <w:right w:val="nil"/>
            </w:tcBorders>
            <w:shd w:val="clear" w:color="auto" w:fill="auto"/>
            <w:noWrap/>
            <w:vAlign w:val="bottom"/>
          </w:tcPr>
          <w:p w14:paraId="19A4B931" w14:textId="77777777" w:rsidR="00752369" w:rsidRPr="00872D7E" w:rsidRDefault="00752369" w:rsidP="009A1D11">
            <w:pPr>
              <w:jc w:val="both"/>
              <w:rPr>
                <w:b/>
                <w:bCs/>
                <w:szCs w:val="20"/>
              </w:rPr>
            </w:pPr>
          </w:p>
        </w:tc>
        <w:tc>
          <w:tcPr>
            <w:tcW w:w="996" w:type="pct"/>
            <w:tcBorders>
              <w:left w:val="nil"/>
              <w:right w:val="nil"/>
            </w:tcBorders>
            <w:shd w:val="clear" w:color="auto" w:fill="auto"/>
            <w:vAlign w:val="bottom"/>
          </w:tcPr>
          <w:p w14:paraId="5F614DFD" w14:textId="7D03DE15" w:rsidR="00752369" w:rsidRPr="00872D7E" w:rsidRDefault="008B5287" w:rsidP="009A1D11">
            <w:pPr>
              <w:jc w:val="right"/>
              <w:rPr>
                <w:b/>
                <w:bCs/>
                <w:szCs w:val="20"/>
              </w:rPr>
            </w:pPr>
            <w:r w:rsidRPr="00872D7E">
              <w:rPr>
                <w:b/>
                <w:bCs/>
                <w:szCs w:val="20"/>
              </w:rPr>
              <w:t>31 Aralık 2024</w:t>
            </w:r>
          </w:p>
          <w:p w14:paraId="32F9BDCD" w14:textId="77777777" w:rsidR="00752369" w:rsidRPr="00872D7E" w:rsidRDefault="00752369" w:rsidP="009A1D11">
            <w:pPr>
              <w:jc w:val="right"/>
              <w:rPr>
                <w:b/>
                <w:bCs/>
                <w:szCs w:val="20"/>
              </w:rPr>
            </w:pPr>
          </w:p>
        </w:tc>
      </w:tr>
      <w:tr w:rsidR="00752369" w:rsidRPr="00872D7E" w14:paraId="54875E27" w14:textId="77777777" w:rsidTr="00683052">
        <w:trPr>
          <w:trHeight w:val="134"/>
        </w:trPr>
        <w:tc>
          <w:tcPr>
            <w:tcW w:w="4004" w:type="pct"/>
            <w:tcBorders>
              <w:left w:val="nil"/>
              <w:bottom w:val="nil"/>
              <w:right w:val="nil"/>
            </w:tcBorders>
            <w:shd w:val="clear" w:color="auto" w:fill="auto"/>
            <w:noWrap/>
            <w:vAlign w:val="bottom"/>
          </w:tcPr>
          <w:p w14:paraId="0DF46E9E" w14:textId="77777777" w:rsidR="00752369" w:rsidRPr="00872D7E" w:rsidRDefault="00752369" w:rsidP="009A1D11">
            <w:pPr>
              <w:jc w:val="both"/>
              <w:rPr>
                <w:szCs w:val="20"/>
              </w:rPr>
            </w:pPr>
          </w:p>
        </w:tc>
        <w:tc>
          <w:tcPr>
            <w:tcW w:w="996" w:type="pct"/>
            <w:tcBorders>
              <w:left w:val="nil"/>
              <w:right w:val="nil"/>
            </w:tcBorders>
            <w:shd w:val="clear" w:color="auto" w:fill="auto"/>
          </w:tcPr>
          <w:p w14:paraId="75445B71" w14:textId="77777777" w:rsidR="00752369" w:rsidRPr="00872D7E" w:rsidRDefault="00752369" w:rsidP="009A1D11">
            <w:pPr>
              <w:jc w:val="right"/>
              <w:rPr>
                <w:szCs w:val="20"/>
              </w:rPr>
            </w:pPr>
          </w:p>
        </w:tc>
      </w:tr>
      <w:tr w:rsidR="003B79F3" w:rsidRPr="00872D7E" w14:paraId="230824EA" w14:textId="77777777" w:rsidTr="00E162BD">
        <w:trPr>
          <w:trHeight w:val="134"/>
        </w:trPr>
        <w:tc>
          <w:tcPr>
            <w:tcW w:w="4004" w:type="pct"/>
            <w:tcBorders>
              <w:top w:val="nil"/>
              <w:left w:val="nil"/>
              <w:bottom w:val="nil"/>
              <w:right w:val="nil"/>
            </w:tcBorders>
            <w:shd w:val="clear" w:color="auto" w:fill="auto"/>
            <w:noWrap/>
            <w:vAlign w:val="bottom"/>
          </w:tcPr>
          <w:p w14:paraId="6833EA36" w14:textId="77777777" w:rsidR="003B79F3" w:rsidRPr="00872D7E" w:rsidRDefault="003B79F3" w:rsidP="003B79F3">
            <w:pPr>
              <w:jc w:val="both"/>
              <w:rPr>
                <w:b/>
                <w:szCs w:val="20"/>
              </w:rPr>
            </w:pPr>
            <w:r w:rsidRPr="00872D7E">
              <w:rPr>
                <w:b/>
                <w:szCs w:val="20"/>
              </w:rPr>
              <w:t>Nakit</w:t>
            </w:r>
          </w:p>
        </w:tc>
        <w:tc>
          <w:tcPr>
            <w:tcW w:w="996" w:type="pct"/>
            <w:tcBorders>
              <w:top w:val="nil"/>
              <w:left w:val="nil"/>
              <w:bottom w:val="nil"/>
              <w:right w:val="nil"/>
            </w:tcBorders>
            <w:shd w:val="clear" w:color="auto" w:fill="auto"/>
            <w:vAlign w:val="center"/>
          </w:tcPr>
          <w:p w14:paraId="2AAD16F9" w14:textId="43972C6F" w:rsidR="003B79F3" w:rsidRPr="00872D7E" w:rsidRDefault="003B79F3" w:rsidP="003B79F3">
            <w:pPr>
              <w:jc w:val="right"/>
              <w:rPr>
                <w:b/>
                <w:bCs/>
                <w:szCs w:val="20"/>
              </w:rPr>
            </w:pPr>
            <w:r w:rsidRPr="00872D7E">
              <w:rPr>
                <w:b/>
                <w:bCs/>
                <w:color w:val="000000"/>
                <w:szCs w:val="20"/>
              </w:rPr>
              <w:t>1.166</w:t>
            </w:r>
          </w:p>
        </w:tc>
      </w:tr>
      <w:tr w:rsidR="003B79F3" w:rsidRPr="00872D7E" w14:paraId="78BAA7E2" w14:textId="77777777" w:rsidTr="00E162BD">
        <w:trPr>
          <w:trHeight w:val="134"/>
        </w:trPr>
        <w:tc>
          <w:tcPr>
            <w:tcW w:w="4004" w:type="pct"/>
            <w:tcBorders>
              <w:top w:val="nil"/>
              <w:left w:val="nil"/>
              <w:bottom w:val="nil"/>
              <w:right w:val="nil"/>
            </w:tcBorders>
            <w:shd w:val="clear" w:color="auto" w:fill="auto"/>
            <w:noWrap/>
            <w:vAlign w:val="bottom"/>
          </w:tcPr>
          <w:p w14:paraId="0A7CE500" w14:textId="77777777" w:rsidR="003B79F3" w:rsidRPr="00872D7E" w:rsidRDefault="003B79F3" w:rsidP="003B79F3">
            <w:pPr>
              <w:jc w:val="both"/>
              <w:rPr>
                <w:szCs w:val="20"/>
              </w:rPr>
            </w:pPr>
            <w:r w:rsidRPr="00872D7E">
              <w:rPr>
                <w:szCs w:val="20"/>
              </w:rPr>
              <w:t xml:space="preserve">Kasa ve efektif deposu </w:t>
            </w:r>
          </w:p>
        </w:tc>
        <w:tc>
          <w:tcPr>
            <w:tcW w:w="996" w:type="pct"/>
            <w:tcBorders>
              <w:top w:val="nil"/>
              <w:left w:val="nil"/>
              <w:bottom w:val="nil"/>
              <w:right w:val="nil"/>
            </w:tcBorders>
            <w:shd w:val="clear" w:color="auto" w:fill="auto"/>
            <w:vAlign w:val="center"/>
          </w:tcPr>
          <w:p w14:paraId="7469E91E" w14:textId="6BCFDE4D" w:rsidR="003B79F3" w:rsidRPr="00872D7E" w:rsidRDefault="003B79F3" w:rsidP="003B79F3">
            <w:pPr>
              <w:jc w:val="right"/>
              <w:rPr>
                <w:bCs/>
                <w:szCs w:val="20"/>
              </w:rPr>
            </w:pPr>
            <w:r w:rsidRPr="00872D7E">
              <w:rPr>
                <w:color w:val="000000"/>
                <w:szCs w:val="20"/>
              </w:rPr>
              <w:t>-</w:t>
            </w:r>
          </w:p>
        </w:tc>
      </w:tr>
      <w:tr w:rsidR="003B79F3" w:rsidRPr="00872D7E" w14:paraId="2AC2D585" w14:textId="77777777" w:rsidTr="00E162BD">
        <w:trPr>
          <w:trHeight w:val="134"/>
        </w:trPr>
        <w:tc>
          <w:tcPr>
            <w:tcW w:w="4004" w:type="pct"/>
            <w:tcBorders>
              <w:top w:val="nil"/>
              <w:left w:val="nil"/>
              <w:bottom w:val="nil"/>
              <w:right w:val="nil"/>
            </w:tcBorders>
            <w:shd w:val="clear" w:color="auto" w:fill="auto"/>
            <w:noWrap/>
            <w:vAlign w:val="bottom"/>
          </w:tcPr>
          <w:p w14:paraId="2BC76E8E" w14:textId="77777777" w:rsidR="003B79F3" w:rsidRPr="00872D7E" w:rsidRDefault="003B79F3" w:rsidP="003B79F3">
            <w:pPr>
              <w:jc w:val="both"/>
              <w:rPr>
                <w:szCs w:val="20"/>
              </w:rPr>
            </w:pPr>
            <w:r w:rsidRPr="00872D7E">
              <w:rPr>
                <w:szCs w:val="20"/>
              </w:rPr>
              <w:t>Yoldaki paralar</w:t>
            </w:r>
          </w:p>
        </w:tc>
        <w:tc>
          <w:tcPr>
            <w:tcW w:w="996" w:type="pct"/>
            <w:tcBorders>
              <w:top w:val="nil"/>
              <w:left w:val="nil"/>
              <w:bottom w:val="nil"/>
              <w:right w:val="nil"/>
            </w:tcBorders>
            <w:shd w:val="clear" w:color="auto" w:fill="auto"/>
            <w:vAlign w:val="center"/>
          </w:tcPr>
          <w:p w14:paraId="1CE91554" w14:textId="5416DCCE" w:rsidR="003B79F3" w:rsidRPr="00872D7E" w:rsidRDefault="003B79F3" w:rsidP="003B79F3">
            <w:pPr>
              <w:jc w:val="right"/>
              <w:rPr>
                <w:bCs/>
                <w:szCs w:val="20"/>
              </w:rPr>
            </w:pPr>
            <w:r w:rsidRPr="00872D7E">
              <w:rPr>
                <w:color w:val="000000"/>
                <w:szCs w:val="20"/>
              </w:rPr>
              <w:t>-</w:t>
            </w:r>
          </w:p>
        </w:tc>
      </w:tr>
      <w:tr w:rsidR="003B79F3" w:rsidRPr="00872D7E" w14:paraId="72FADD90" w14:textId="77777777" w:rsidTr="00E162BD">
        <w:trPr>
          <w:trHeight w:val="134"/>
        </w:trPr>
        <w:tc>
          <w:tcPr>
            <w:tcW w:w="4004" w:type="pct"/>
            <w:tcBorders>
              <w:top w:val="nil"/>
              <w:left w:val="nil"/>
              <w:bottom w:val="nil"/>
              <w:right w:val="nil"/>
            </w:tcBorders>
            <w:shd w:val="clear" w:color="auto" w:fill="auto"/>
            <w:noWrap/>
            <w:vAlign w:val="bottom"/>
          </w:tcPr>
          <w:p w14:paraId="0F86130E" w14:textId="77777777" w:rsidR="003B79F3" w:rsidRPr="00872D7E" w:rsidRDefault="003B79F3" w:rsidP="003B79F3">
            <w:pPr>
              <w:jc w:val="both"/>
              <w:rPr>
                <w:szCs w:val="20"/>
              </w:rPr>
            </w:pPr>
            <w:r w:rsidRPr="00872D7E">
              <w:rPr>
                <w:szCs w:val="20"/>
              </w:rPr>
              <w:t>T.C. Merkez Bankası</w:t>
            </w:r>
          </w:p>
        </w:tc>
        <w:tc>
          <w:tcPr>
            <w:tcW w:w="996" w:type="pct"/>
            <w:tcBorders>
              <w:top w:val="nil"/>
              <w:left w:val="nil"/>
              <w:bottom w:val="nil"/>
              <w:right w:val="nil"/>
            </w:tcBorders>
            <w:shd w:val="clear" w:color="auto" w:fill="auto"/>
            <w:vAlign w:val="center"/>
          </w:tcPr>
          <w:p w14:paraId="2595BB5B" w14:textId="7EE68F77" w:rsidR="003B79F3" w:rsidRPr="00872D7E" w:rsidRDefault="003B79F3" w:rsidP="003B79F3">
            <w:pPr>
              <w:jc w:val="right"/>
              <w:rPr>
                <w:bCs/>
                <w:szCs w:val="20"/>
              </w:rPr>
            </w:pPr>
            <w:r w:rsidRPr="00872D7E">
              <w:rPr>
                <w:color w:val="000000"/>
                <w:szCs w:val="20"/>
              </w:rPr>
              <w:t>1.166</w:t>
            </w:r>
          </w:p>
        </w:tc>
      </w:tr>
      <w:tr w:rsidR="003B79F3" w:rsidRPr="00872D7E" w14:paraId="75275B76" w14:textId="77777777" w:rsidTr="00E162BD">
        <w:trPr>
          <w:trHeight w:val="134"/>
        </w:trPr>
        <w:tc>
          <w:tcPr>
            <w:tcW w:w="4004" w:type="pct"/>
            <w:tcBorders>
              <w:top w:val="nil"/>
              <w:left w:val="nil"/>
              <w:bottom w:val="nil"/>
              <w:right w:val="nil"/>
            </w:tcBorders>
            <w:shd w:val="clear" w:color="auto" w:fill="auto"/>
            <w:noWrap/>
            <w:vAlign w:val="bottom"/>
          </w:tcPr>
          <w:p w14:paraId="1D12D294" w14:textId="77777777" w:rsidR="003B79F3" w:rsidRPr="00872D7E" w:rsidRDefault="003B79F3" w:rsidP="003B79F3">
            <w:pPr>
              <w:jc w:val="both"/>
              <w:rPr>
                <w:b/>
                <w:szCs w:val="20"/>
              </w:rPr>
            </w:pPr>
            <w:r w:rsidRPr="00872D7E">
              <w:rPr>
                <w:b/>
                <w:szCs w:val="20"/>
              </w:rPr>
              <w:t>Nakde eşdeğer varlıklar</w:t>
            </w:r>
          </w:p>
        </w:tc>
        <w:tc>
          <w:tcPr>
            <w:tcW w:w="996" w:type="pct"/>
            <w:tcBorders>
              <w:top w:val="nil"/>
              <w:left w:val="nil"/>
              <w:bottom w:val="nil"/>
              <w:right w:val="nil"/>
            </w:tcBorders>
            <w:shd w:val="clear" w:color="auto" w:fill="auto"/>
            <w:vAlign w:val="center"/>
          </w:tcPr>
          <w:p w14:paraId="76253594" w14:textId="6E1AB89F" w:rsidR="003B79F3" w:rsidRPr="00872D7E" w:rsidRDefault="003B79F3" w:rsidP="003B79F3">
            <w:pPr>
              <w:jc w:val="right"/>
              <w:rPr>
                <w:b/>
                <w:bCs/>
                <w:szCs w:val="20"/>
              </w:rPr>
            </w:pPr>
            <w:r w:rsidRPr="00872D7E">
              <w:rPr>
                <w:b/>
                <w:bCs/>
                <w:color w:val="000000"/>
                <w:szCs w:val="20"/>
              </w:rPr>
              <w:t>428.607</w:t>
            </w:r>
          </w:p>
        </w:tc>
      </w:tr>
      <w:tr w:rsidR="003B79F3" w:rsidRPr="00872D7E" w14:paraId="7D892179" w14:textId="77777777" w:rsidTr="00683052">
        <w:trPr>
          <w:trHeight w:val="134"/>
        </w:trPr>
        <w:tc>
          <w:tcPr>
            <w:tcW w:w="4004" w:type="pct"/>
            <w:tcBorders>
              <w:top w:val="nil"/>
              <w:left w:val="nil"/>
              <w:right w:val="nil"/>
            </w:tcBorders>
            <w:shd w:val="clear" w:color="auto" w:fill="auto"/>
            <w:noWrap/>
            <w:vAlign w:val="bottom"/>
          </w:tcPr>
          <w:p w14:paraId="01ECBFCC" w14:textId="77777777" w:rsidR="003B79F3" w:rsidRPr="00872D7E" w:rsidRDefault="003B79F3" w:rsidP="003B79F3">
            <w:pPr>
              <w:jc w:val="both"/>
              <w:rPr>
                <w:szCs w:val="20"/>
              </w:rPr>
            </w:pPr>
            <w:r w:rsidRPr="00872D7E">
              <w:rPr>
                <w:szCs w:val="20"/>
              </w:rPr>
              <w:t>Yurtiçi bankalar</w:t>
            </w:r>
          </w:p>
        </w:tc>
        <w:tc>
          <w:tcPr>
            <w:tcW w:w="996" w:type="pct"/>
            <w:tcBorders>
              <w:top w:val="nil"/>
              <w:left w:val="nil"/>
              <w:right w:val="nil"/>
            </w:tcBorders>
            <w:shd w:val="clear" w:color="auto" w:fill="auto"/>
            <w:vAlign w:val="center"/>
          </w:tcPr>
          <w:p w14:paraId="7286A762" w14:textId="12299749" w:rsidR="003B79F3" w:rsidRPr="00872D7E" w:rsidRDefault="003B79F3" w:rsidP="003B79F3">
            <w:pPr>
              <w:jc w:val="right"/>
              <w:rPr>
                <w:bCs/>
                <w:szCs w:val="20"/>
              </w:rPr>
            </w:pPr>
            <w:r w:rsidRPr="00872D7E">
              <w:rPr>
                <w:color w:val="000000"/>
                <w:szCs w:val="20"/>
              </w:rPr>
              <w:t>428.607</w:t>
            </w:r>
          </w:p>
        </w:tc>
      </w:tr>
      <w:tr w:rsidR="003B79F3" w:rsidRPr="00872D7E" w14:paraId="2A187A3A" w14:textId="77777777" w:rsidTr="00683052">
        <w:trPr>
          <w:trHeight w:val="134"/>
        </w:trPr>
        <w:tc>
          <w:tcPr>
            <w:tcW w:w="4004" w:type="pct"/>
            <w:tcBorders>
              <w:top w:val="nil"/>
              <w:left w:val="nil"/>
              <w:bottom w:val="single" w:sz="4" w:space="0" w:color="auto"/>
              <w:right w:val="nil"/>
            </w:tcBorders>
            <w:shd w:val="clear" w:color="auto" w:fill="auto"/>
            <w:noWrap/>
            <w:vAlign w:val="bottom"/>
          </w:tcPr>
          <w:p w14:paraId="10D60B75" w14:textId="77777777" w:rsidR="003B79F3" w:rsidRPr="00872D7E" w:rsidRDefault="003B79F3" w:rsidP="003B79F3">
            <w:pPr>
              <w:jc w:val="both"/>
              <w:rPr>
                <w:szCs w:val="20"/>
              </w:rPr>
            </w:pPr>
            <w:r w:rsidRPr="00872D7E">
              <w:rPr>
                <w:szCs w:val="20"/>
              </w:rPr>
              <w:t>Yurtdışı bankalar</w:t>
            </w:r>
          </w:p>
        </w:tc>
        <w:tc>
          <w:tcPr>
            <w:tcW w:w="996" w:type="pct"/>
            <w:tcBorders>
              <w:top w:val="nil"/>
              <w:left w:val="nil"/>
              <w:bottom w:val="single" w:sz="4" w:space="0" w:color="auto"/>
              <w:right w:val="nil"/>
            </w:tcBorders>
            <w:shd w:val="clear" w:color="auto" w:fill="auto"/>
            <w:vAlign w:val="center"/>
          </w:tcPr>
          <w:p w14:paraId="7E823B93" w14:textId="01D1315C" w:rsidR="003B79F3" w:rsidRPr="00872D7E" w:rsidRDefault="003B79F3" w:rsidP="003B79F3">
            <w:pPr>
              <w:jc w:val="right"/>
              <w:rPr>
                <w:bCs/>
                <w:szCs w:val="20"/>
              </w:rPr>
            </w:pPr>
            <w:r w:rsidRPr="00872D7E">
              <w:rPr>
                <w:color w:val="000000"/>
                <w:szCs w:val="20"/>
              </w:rPr>
              <w:t>-</w:t>
            </w:r>
          </w:p>
        </w:tc>
      </w:tr>
      <w:tr w:rsidR="003B79F3" w:rsidRPr="00872D7E" w14:paraId="64C56ABB" w14:textId="77777777" w:rsidTr="00683052">
        <w:trPr>
          <w:trHeight w:val="134"/>
        </w:trPr>
        <w:tc>
          <w:tcPr>
            <w:tcW w:w="4004" w:type="pct"/>
            <w:tcBorders>
              <w:top w:val="single" w:sz="4" w:space="0" w:color="auto"/>
              <w:left w:val="nil"/>
              <w:right w:val="nil"/>
            </w:tcBorders>
            <w:shd w:val="clear" w:color="auto" w:fill="auto"/>
            <w:noWrap/>
            <w:vAlign w:val="bottom"/>
          </w:tcPr>
          <w:p w14:paraId="0815BBDF" w14:textId="77777777" w:rsidR="003B79F3" w:rsidRPr="00872D7E" w:rsidRDefault="003B79F3" w:rsidP="003B79F3">
            <w:pPr>
              <w:jc w:val="both"/>
              <w:rPr>
                <w:szCs w:val="20"/>
              </w:rPr>
            </w:pPr>
          </w:p>
        </w:tc>
        <w:tc>
          <w:tcPr>
            <w:tcW w:w="996" w:type="pct"/>
            <w:tcBorders>
              <w:top w:val="single" w:sz="4" w:space="0" w:color="auto"/>
              <w:left w:val="nil"/>
              <w:right w:val="nil"/>
            </w:tcBorders>
            <w:shd w:val="clear" w:color="auto" w:fill="auto"/>
            <w:vAlign w:val="center"/>
          </w:tcPr>
          <w:p w14:paraId="44D50159" w14:textId="18E3A2DC" w:rsidR="003B79F3" w:rsidRPr="00872D7E" w:rsidRDefault="003B79F3" w:rsidP="003B79F3">
            <w:pPr>
              <w:jc w:val="right"/>
              <w:rPr>
                <w:b/>
                <w:bCs/>
                <w:szCs w:val="20"/>
              </w:rPr>
            </w:pPr>
            <w:r w:rsidRPr="00872D7E">
              <w:rPr>
                <w:color w:val="000000"/>
                <w:szCs w:val="20"/>
              </w:rPr>
              <w:t> </w:t>
            </w:r>
          </w:p>
        </w:tc>
      </w:tr>
      <w:tr w:rsidR="003B79F3" w:rsidRPr="00872D7E" w14:paraId="3A66506E" w14:textId="77777777" w:rsidTr="00683052">
        <w:trPr>
          <w:trHeight w:val="134"/>
        </w:trPr>
        <w:tc>
          <w:tcPr>
            <w:tcW w:w="4004" w:type="pct"/>
            <w:tcBorders>
              <w:left w:val="nil"/>
              <w:bottom w:val="single" w:sz="12" w:space="0" w:color="auto"/>
              <w:right w:val="nil"/>
            </w:tcBorders>
            <w:shd w:val="clear" w:color="auto" w:fill="auto"/>
            <w:noWrap/>
            <w:vAlign w:val="bottom"/>
          </w:tcPr>
          <w:p w14:paraId="049C6633" w14:textId="77777777" w:rsidR="003B79F3" w:rsidRPr="00872D7E" w:rsidRDefault="003B79F3" w:rsidP="003B79F3">
            <w:pPr>
              <w:jc w:val="both"/>
              <w:rPr>
                <w:b/>
                <w:bCs/>
                <w:szCs w:val="20"/>
              </w:rPr>
            </w:pPr>
            <w:r w:rsidRPr="00872D7E">
              <w:rPr>
                <w:b/>
                <w:bCs/>
                <w:szCs w:val="20"/>
              </w:rPr>
              <w:t>Toplam nakit ve nakde eşdeğer varlıklar</w:t>
            </w:r>
          </w:p>
        </w:tc>
        <w:tc>
          <w:tcPr>
            <w:tcW w:w="996" w:type="pct"/>
            <w:tcBorders>
              <w:left w:val="nil"/>
              <w:bottom w:val="single" w:sz="12" w:space="0" w:color="auto"/>
              <w:right w:val="nil"/>
            </w:tcBorders>
            <w:shd w:val="clear" w:color="auto" w:fill="auto"/>
            <w:vAlign w:val="center"/>
          </w:tcPr>
          <w:p w14:paraId="7F0952F8" w14:textId="38CE32B6" w:rsidR="003B79F3" w:rsidRPr="00872D7E" w:rsidRDefault="003B79F3" w:rsidP="003B79F3">
            <w:pPr>
              <w:jc w:val="right"/>
              <w:rPr>
                <w:b/>
                <w:bCs/>
                <w:szCs w:val="20"/>
              </w:rPr>
            </w:pPr>
            <w:r w:rsidRPr="00872D7E">
              <w:rPr>
                <w:b/>
                <w:bCs/>
                <w:color w:val="000000"/>
                <w:szCs w:val="20"/>
              </w:rPr>
              <w:t>429.773</w:t>
            </w:r>
          </w:p>
        </w:tc>
      </w:tr>
    </w:tbl>
    <w:p w14:paraId="02286E1F" w14:textId="77777777" w:rsidR="009C28A1" w:rsidRPr="00872D7E" w:rsidRDefault="009C28A1" w:rsidP="00BD7366">
      <w:pPr>
        <w:autoSpaceDE w:val="0"/>
        <w:autoSpaceDN w:val="0"/>
        <w:adjustRightInd w:val="0"/>
        <w:spacing w:before="120" w:after="120"/>
        <w:ind w:left="851" w:hanging="851"/>
        <w:jc w:val="both"/>
        <w:rPr>
          <w:szCs w:val="20"/>
        </w:rPr>
      </w:pPr>
      <w:r w:rsidRPr="00872D7E">
        <w:rPr>
          <w:szCs w:val="20"/>
        </w:rPr>
        <w:t>(b)</w:t>
      </w:r>
      <w:r w:rsidRPr="00872D7E">
        <w:rPr>
          <w:szCs w:val="20"/>
        </w:rPr>
        <w:tab/>
        <w:t>Dönem sonundaki nakit ve nakde eşdeğer varlıklar:</w:t>
      </w:r>
    </w:p>
    <w:tbl>
      <w:tblPr>
        <w:tblW w:w="5000" w:type="pct"/>
        <w:tblLook w:val="0000" w:firstRow="0" w:lastRow="0" w:firstColumn="0" w:lastColumn="0" w:noHBand="0" w:noVBand="0"/>
      </w:tblPr>
      <w:tblGrid>
        <w:gridCol w:w="7437"/>
        <w:gridCol w:w="1918"/>
      </w:tblGrid>
      <w:tr w:rsidR="00752369" w:rsidRPr="00872D7E" w14:paraId="468008A9" w14:textId="77777777" w:rsidTr="00683052">
        <w:trPr>
          <w:trHeight w:hRule="exact" w:val="247"/>
        </w:trPr>
        <w:tc>
          <w:tcPr>
            <w:tcW w:w="3975" w:type="pct"/>
            <w:tcBorders>
              <w:left w:val="nil"/>
              <w:right w:val="nil"/>
            </w:tcBorders>
            <w:shd w:val="clear" w:color="auto" w:fill="auto"/>
            <w:noWrap/>
            <w:vAlign w:val="bottom"/>
          </w:tcPr>
          <w:p w14:paraId="64154CCA" w14:textId="77777777" w:rsidR="00752369" w:rsidRPr="00872D7E" w:rsidRDefault="00752369" w:rsidP="009A1D11">
            <w:pPr>
              <w:jc w:val="both"/>
              <w:rPr>
                <w:b/>
                <w:bCs/>
                <w:szCs w:val="20"/>
              </w:rPr>
            </w:pPr>
          </w:p>
        </w:tc>
        <w:tc>
          <w:tcPr>
            <w:tcW w:w="1025" w:type="pct"/>
            <w:tcBorders>
              <w:left w:val="nil"/>
              <w:right w:val="nil"/>
            </w:tcBorders>
            <w:shd w:val="clear" w:color="auto" w:fill="auto"/>
            <w:vAlign w:val="bottom"/>
          </w:tcPr>
          <w:p w14:paraId="202FBDB3" w14:textId="615995AB" w:rsidR="00752369" w:rsidRPr="00872D7E" w:rsidRDefault="008B5287" w:rsidP="009A1D11">
            <w:pPr>
              <w:jc w:val="right"/>
              <w:rPr>
                <w:b/>
                <w:bCs/>
                <w:szCs w:val="20"/>
              </w:rPr>
            </w:pPr>
            <w:r w:rsidRPr="00872D7E">
              <w:rPr>
                <w:b/>
                <w:bCs/>
                <w:szCs w:val="20"/>
              </w:rPr>
              <w:t>31 Aralık 2024</w:t>
            </w:r>
          </w:p>
          <w:p w14:paraId="628D3E1D" w14:textId="77777777" w:rsidR="00752369" w:rsidRPr="00872D7E" w:rsidRDefault="00752369" w:rsidP="009A1D11">
            <w:pPr>
              <w:jc w:val="right"/>
              <w:rPr>
                <w:b/>
                <w:bCs/>
                <w:szCs w:val="20"/>
              </w:rPr>
            </w:pPr>
          </w:p>
        </w:tc>
      </w:tr>
      <w:tr w:rsidR="00752369" w:rsidRPr="00872D7E" w14:paraId="179E99FF" w14:textId="77777777" w:rsidTr="00683052">
        <w:trPr>
          <w:trHeight w:val="124"/>
        </w:trPr>
        <w:tc>
          <w:tcPr>
            <w:tcW w:w="3975" w:type="pct"/>
            <w:tcBorders>
              <w:left w:val="nil"/>
              <w:bottom w:val="nil"/>
              <w:right w:val="nil"/>
            </w:tcBorders>
            <w:shd w:val="clear" w:color="auto" w:fill="auto"/>
            <w:noWrap/>
            <w:vAlign w:val="bottom"/>
          </w:tcPr>
          <w:p w14:paraId="38D90AF8" w14:textId="77777777" w:rsidR="00752369" w:rsidRPr="00872D7E" w:rsidRDefault="00752369" w:rsidP="009A1D11">
            <w:pPr>
              <w:jc w:val="both"/>
              <w:rPr>
                <w:szCs w:val="20"/>
              </w:rPr>
            </w:pPr>
          </w:p>
        </w:tc>
        <w:tc>
          <w:tcPr>
            <w:tcW w:w="1025" w:type="pct"/>
            <w:tcBorders>
              <w:left w:val="nil"/>
              <w:bottom w:val="nil"/>
              <w:right w:val="nil"/>
            </w:tcBorders>
            <w:shd w:val="clear" w:color="auto" w:fill="auto"/>
          </w:tcPr>
          <w:p w14:paraId="7986A22F" w14:textId="77777777" w:rsidR="00752369" w:rsidRPr="00872D7E" w:rsidRDefault="00752369" w:rsidP="009A1D11">
            <w:pPr>
              <w:jc w:val="right"/>
              <w:rPr>
                <w:szCs w:val="20"/>
              </w:rPr>
            </w:pPr>
          </w:p>
        </w:tc>
      </w:tr>
      <w:tr w:rsidR="00FB2841" w:rsidRPr="00872D7E" w14:paraId="0FE8E4DE" w14:textId="77777777" w:rsidTr="00672F4A">
        <w:trPr>
          <w:trHeight w:val="124"/>
        </w:trPr>
        <w:tc>
          <w:tcPr>
            <w:tcW w:w="3975" w:type="pct"/>
            <w:tcBorders>
              <w:top w:val="nil"/>
              <w:left w:val="nil"/>
              <w:bottom w:val="nil"/>
              <w:right w:val="nil"/>
            </w:tcBorders>
            <w:shd w:val="clear" w:color="auto" w:fill="auto"/>
            <w:noWrap/>
            <w:vAlign w:val="bottom"/>
          </w:tcPr>
          <w:p w14:paraId="3A868721" w14:textId="77777777" w:rsidR="00FB2841" w:rsidRPr="00872D7E" w:rsidRDefault="00FB2841" w:rsidP="00FB2841">
            <w:pPr>
              <w:jc w:val="both"/>
              <w:rPr>
                <w:b/>
                <w:szCs w:val="20"/>
              </w:rPr>
            </w:pPr>
            <w:r w:rsidRPr="00872D7E">
              <w:rPr>
                <w:b/>
                <w:szCs w:val="20"/>
              </w:rPr>
              <w:t>Nakit</w:t>
            </w:r>
          </w:p>
        </w:tc>
        <w:tc>
          <w:tcPr>
            <w:tcW w:w="1025" w:type="pct"/>
            <w:tcBorders>
              <w:top w:val="nil"/>
              <w:left w:val="nil"/>
              <w:bottom w:val="nil"/>
              <w:right w:val="nil"/>
            </w:tcBorders>
            <w:shd w:val="clear" w:color="auto" w:fill="auto"/>
          </w:tcPr>
          <w:p w14:paraId="55FADF5E" w14:textId="57523C4E" w:rsidR="00FB2841" w:rsidRPr="00872D7E" w:rsidRDefault="00FB2841" w:rsidP="00FB2841">
            <w:pPr>
              <w:jc w:val="right"/>
              <w:rPr>
                <w:b/>
                <w:bCs/>
                <w:szCs w:val="20"/>
              </w:rPr>
            </w:pPr>
            <w:r w:rsidRPr="00872D7E">
              <w:rPr>
                <w:b/>
                <w:bCs/>
              </w:rPr>
              <w:t>2.616.774</w:t>
            </w:r>
          </w:p>
        </w:tc>
      </w:tr>
      <w:tr w:rsidR="00FB2841" w:rsidRPr="00872D7E" w14:paraId="3B42B46E" w14:textId="77777777" w:rsidTr="00672F4A">
        <w:trPr>
          <w:trHeight w:val="124"/>
        </w:trPr>
        <w:tc>
          <w:tcPr>
            <w:tcW w:w="3975" w:type="pct"/>
            <w:tcBorders>
              <w:top w:val="nil"/>
              <w:left w:val="nil"/>
              <w:bottom w:val="nil"/>
              <w:right w:val="nil"/>
            </w:tcBorders>
            <w:shd w:val="clear" w:color="auto" w:fill="auto"/>
            <w:noWrap/>
            <w:vAlign w:val="bottom"/>
          </w:tcPr>
          <w:p w14:paraId="74A0C4DA" w14:textId="77777777" w:rsidR="00FB2841" w:rsidRPr="00872D7E" w:rsidRDefault="00FB2841" w:rsidP="00FB2841">
            <w:pPr>
              <w:jc w:val="both"/>
              <w:rPr>
                <w:szCs w:val="20"/>
              </w:rPr>
            </w:pPr>
            <w:r w:rsidRPr="00872D7E">
              <w:rPr>
                <w:szCs w:val="20"/>
              </w:rPr>
              <w:t xml:space="preserve">Kasa ve efektif deposu </w:t>
            </w:r>
          </w:p>
        </w:tc>
        <w:tc>
          <w:tcPr>
            <w:tcW w:w="1025" w:type="pct"/>
            <w:tcBorders>
              <w:top w:val="nil"/>
              <w:left w:val="nil"/>
              <w:bottom w:val="nil"/>
              <w:right w:val="nil"/>
            </w:tcBorders>
            <w:shd w:val="clear" w:color="auto" w:fill="auto"/>
          </w:tcPr>
          <w:p w14:paraId="56ACE5D7" w14:textId="08E07247" w:rsidR="00FB2841" w:rsidRPr="00872D7E" w:rsidRDefault="00FB2841" w:rsidP="00FB2841">
            <w:pPr>
              <w:jc w:val="right"/>
              <w:rPr>
                <w:bCs/>
                <w:szCs w:val="20"/>
              </w:rPr>
            </w:pPr>
            <w:r w:rsidRPr="00872D7E">
              <w:t>527.548</w:t>
            </w:r>
          </w:p>
        </w:tc>
      </w:tr>
      <w:tr w:rsidR="00FB2841" w:rsidRPr="00872D7E" w14:paraId="11948966" w14:textId="77777777" w:rsidTr="00672F4A">
        <w:trPr>
          <w:trHeight w:val="124"/>
        </w:trPr>
        <w:tc>
          <w:tcPr>
            <w:tcW w:w="3975" w:type="pct"/>
            <w:tcBorders>
              <w:top w:val="nil"/>
              <w:left w:val="nil"/>
              <w:bottom w:val="nil"/>
              <w:right w:val="nil"/>
            </w:tcBorders>
            <w:shd w:val="clear" w:color="auto" w:fill="auto"/>
            <w:noWrap/>
            <w:vAlign w:val="bottom"/>
          </w:tcPr>
          <w:p w14:paraId="0910A3ED" w14:textId="77777777" w:rsidR="00FB2841" w:rsidRPr="00872D7E" w:rsidRDefault="00FB2841" w:rsidP="00FB2841">
            <w:pPr>
              <w:jc w:val="both"/>
              <w:rPr>
                <w:szCs w:val="20"/>
              </w:rPr>
            </w:pPr>
            <w:r w:rsidRPr="00872D7E">
              <w:rPr>
                <w:szCs w:val="20"/>
              </w:rPr>
              <w:t>Yoldaki paralar</w:t>
            </w:r>
          </w:p>
        </w:tc>
        <w:tc>
          <w:tcPr>
            <w:tcW w:w="1025" w:type="pct"/>
            <w:tcBorders>
              <w:top w:val="nil"/>
              <w:left w:val="nil"/>
              <w:bottom w:val="nil"/>
              <w:right w:val="nil"/>
            </w:tcBorders>
            <w:shd w:val="clear" w:color="auto" w:fill="auto"/>
          </w:tcPr>
          <w:p w14:paraId="5E6D64E8" w14:textId="52D6F6CD" w:rsidR="00FB2841" w:rsidRPr="00872D7E" w:rsidRDefault="00FB2841" w:rsidP="00FB2841">
            <w:pPr>
              <w:jc w:val="right"/>
              <w:rPr>
                <w:bCs/>
                <w:szCs w:val="20"/>
              </w:rPr>
            </w:pPr>
            <w:r w:rsidRPr="00872D7E">
              <w:t>-</w:t>
            </w:r>
          </w:p>
        </w:tc>
      </w:tr>
      <w:tr w:rsidR="00FB2841" w:rsidRPr="00872D7E" w14:paraId="5F4470AD" w14:textId="77777777" w:rsidTr="00672F4A">
        <w:trPr>
          <w:trHeight w:val="124"/>
        </w:trPr>
        <w:tc>
          <w:tcPr>
            <w:tcW w:w="3975" w:type="pct"/>
            <w:tcBorders>
              <w:top w:val="nil"/>
              <w:left w:val="nil"/>
              <w:bottom w:val="nil"/>
              <w:right w:val="nil"/>
            </w:tcBorders>
            <w:shd w:val="clear" w:color="auto" w:fill="auto"/>
            <w:noWrap/>
            <w:vAlign w:val="bottom"/>
          </w:tcPr>
          <w:p w14:paraId="0A67D251" w14:textId="77777777" w:rsidR="00FB2841" w:rsidRPr="00872D7E" w:rsidRDefault="00FB2841" w:rsidP="00FB2841">
            <w:pPr>
              <w:jc w:val="both"/>
              <w:rPr>
                <w:szCs w:val="20"/>
              </w:rPr>
            </w:pPr>
            <w:r w:rsidRPr="00872D7E">
              <w:rPr>
                <w:szCs w:val="20"/>
              </w:rPr>
              <w:t>T.C. Merkez Bankası</w:t>
            </w:r>
          </w:p>
        </w:tc>
        <w:tc>
          <w:tcPr>
            <w:tcW w:w="1025" w:type="pct"/>
            <w:tcBorders>
              <w:top w:val="nil"/>
              <w:left w:val="nil"/>
              <w:bottom w:val="nil"/>
              <w:right w:val="nil"/>
            </w:tcBorders>
            <w:shd w:val="clear" w:color="auto" w:fill="auto"/>
          </w:tcPr>
          <w:p w14:paraId="4BFC331C" w14:textId="234F8C35" w:rsidR="00FB2841" w:rsidRPr="00872D7E" w:rsidRDefault="00FB2841" w:rsidP="00FB2841">
            <w:pPr>
              <w:jc w:val="right"/>
              <w:rPr>
                <w:bCs/>
                <w:szCs w:val="20"/>
              </w:rPr>
            </w:pPr>
            <w:r w:rsidRPr="00872D7E">
              <w:t>2.089.226</w:t>
            </w:r>
          </w:p>
        </w:tc>
      </w:tr>
      <w:tr w:rsidR="00FB2841" w:rsidRPr="00872D7E" w14:paraId="72E35456" w14:textId="77777777" w:rsidTr="00672F4A">
        <w:trPr>
          <w:trHeight w:val="124"/>
        </w:trPr>
        <w:tc>
          <w:tcPr>
            <w:tcW w:w="3975" w:type="pct"/>
            <w:tcBorders>
              <w:top w:val="nil"/>
              <w:left w:val="nil"/>
              <w:bottom w:val="nil"/>
              <w:right w:val="nil"/>
            </w:tcBorders>
            <w:shd w:val="clear" w:color="auto" w:fill="auto"/>
            <w:noWrap/>
            <w:vAlign w:val="bottom"/>
          </w:tcPr>
          <w:p w14:paraId="5FA37962" w14:textId="77777777" w:rsidR="00FB2841" w:rsidRPr="00872D7E" w:rsidRDefault="00FB2841" w:rsidP="00FB2841">
            <w:pPr>
              <w:jc w:val="both"/>
              <w:rPr>
                <w:b/>
                <w:szCs w:val="20"/>
              </w:rPr>
            </w:pPr>
            <w:r w:rsidRPr="00872D7E">
              <w:rPr>
                <w:b/>
                <w:szCs w:val="20"/>
              </w:rPr>
              <w:t>Nakde eşdeğer varlıklar</w:t>
            </w:r>
          </w:p>
        </w:tc>
        <w:tc>
          <w:tcPr>
            <w:tcW w:w="1025" w:type="pct"/>
            <w:tcBorders>
              <w:top w:val="nil"/>
              <w:left w:val="nil"/>
              <w:bottom w:val="nil"/>
              <w:right w:val="nil"/>
            </w:tcBorders>
            <w:shd w:val="clear" w:color="auto" w:fill="auto"/>
          </w:tcPr>
          <w:p w14:paraId="1D748AF5" w14:textId="3DC28E84" w:rsidR="00FB2841" w:rsidRPr="00872D7E" w:rsidRDefault="00FB2841" w:rsidP="00FB2841">
            <w:pPr>
              <w:jc w:val="right"/>
              <w:rPr>
                <w:b/>
                <w:bCs/>
                <w:szCs w:val="20"/>
              </w:rPr>
            </w:pPr>
            <w:r w:rsidRPr="00872D7E">
              <w:rPr>
                <w:b/>
                <w:bCs/>
              </w:rPr>
              <w:t>4.411.073</w:t>
            </w:r>
          </w:p>
        </w:tc>
      </w:tr>
      <w:tr w:rsidR="00FB2841" w:rsidRPr="00872D7E" w14:paraId="2873F51E" w14:textId="77777777" w:rsidTr="00683052">
        <w:trPr>
          <w:trHeight w:val="124"/>
        </w:trPr>
        <w:tc>
          <w:tcPr>
            <w:tcW w:w="3975" w:type="pct"/>
            <w:tcBorders>
              <w:top w:val="nil"/>
              <w:left w:val="nil"/>
              <w:right w:val="nil"/>
            </w:tcBorders>
            <w:shd w:val="clear" w:color="auto" w:fill="auto"/>
            <w:noWrap/>
            <w:vAlign w:val="bottom"/>
          </w:tcPr>
          <w:p w14:paraId="16274DAC" w14:textId="77777777" w:rsidR="00FB2841" w:rsidRPr="00872D7E" w:rsidRDefault="00FB2841" w:rsidP="00FB2841">
            <w:pPr>
              <w:jc w:val="both"/>
              <w:rPr>
                <w:szCs w:val="20"/>
              </w:rPr>
            </w:pPr>
            <w:r w:rsidRPr="00872D7E">
              <w:rPr>
                <w:szCs w:val="20"/>
              </w:rPr>
              <w:t xml:space="preserve">Yurtiçi bankalar </w:t>
            </w:r>
          </w:p>
        </w:tc>
        <w:tc>
          <w:tcPr>
            <w:tcW w:w="1025" w:type="pct"/>
            <w:tcBorders>
              <w:top w:val="nil"/>
              <w:left w:val="nil"/>
              <w:right w:val="nil"/>
            </w:tcBorders>
            <w:shd w:val="clear" w:color="auto" w:fill="auto"/>
          </w:tcPr>
          <w:p w14:paraId="7CDB7EA5" w14:textId="6BE23FCF" w:rsidR="00FB2841" w:rsidRPr="00872D7E" w:rsidRDefault="00FB2841" w:rsidP="00FB2841">
            <w:pPr>
              <w:jc w:val="right"/>
              <w:rPr>
                <w:bCs/>
                <w:szCs w:val="20"/>
              </w:rPr>
            </w:pPr>
            <w:r w:rsidRPr="00872D7E">
              <w:t>3.344.020</w:t>
            </w:r>
          </w:p>
        </w:tc>
      </w:tr>
      <w:tr w:rsidR="00FB2841" w:rsidRPr="00872D7E" w14:paraId="7A5DE919" w14:textId="77777777" w:rsidTr="00683052">
        <w:trPr>
          <w:trHeight w:val="124"/>
        </w:trPr>
        <w:tc>
          <w:tcPr>
            <w:tcW w:w="3975" w:type="pct"/>
            <w:tcBorders>
              <w:top w:val="nil"/>
              <w:left w:val="nil"/>
              <w:bottom w:val="single" w:sz="4" w:space="0" w:color="auto"/>
              <w:right w:val="nil"/>
            </w:tcBorders>
            <w:shd w:val="clear" w:color="auto" w:fill="auto"/>
            <w:noWrap/>
            <w:vAlign w:val="bottom"/>
          </w:tcPr>
          <w:p w14:paraId="038F49C8" w14:textId="77777777" w:rsidR="00FB2841" w:rsidRPr="00872D7E" w:rsidRDefault="00FB2841" w:rsidP="00FB2841">
            <w:pPr>
              <w:jc w:val="both"/>
              <w:rPr>
                <w:szCs w:val="20"/>
              </w:rPr>
            </w:pPr>
            <w:r w:rsidRPr="00872D7E">
              <w:rPr>
                <w:szCs w:val="20"/>
              </w:rPr>
              <w:t>Yurtdışı bankalar</w:t>
            </w:r>
          </w:p>
        </w:tc>
        <w:tc>
          <w:tcPr>
            <w:tcW w:w="1025" w:type="pct"/>
            <w:tcBorders>
              <w:top w:val="nil"/>
              <w:left w:val="nil"/>
              <w:bottom w:val="single" w:sz="4" w:space="0" w:color="auto"/>
              <w:right w:val="nil"/>
            </w:tcBorders>
            <w:shd w:val="clear" w:color="auto" w:fill="auto"/>
          </w:tcPr>
          <w:p w14:paraId="2B0E34E1" w14:textId="61B6CA94" w:rsidR="00FB2841" w:rsidRPr="00872D7E" w:rsidRDefault="00FB2841" w:rsidP="00FB2841">
            <w:pPr>
              <w:jc w:val="right"/>
              <w:rPr>
                <w:bCs/>
                <w:szCs w:val="20"/>
              </w:rPr>
            </w:pPr>
            <w:r w:rsidRPr="00872D7E">
              <w:t>1.067.053</w:t>
            </w:r>
          </w:p>
        </w:tc>
      </w:tr>
      <w:tr w:rsidR="00FB2841" w:rsidRPr="00872D7E" w14:paraId="6D68AFF0" w14:textId="77777777" w:rsidTr="00683052">
        <w:trPr>
          <w:trHeight w:val="124"/>
        </w:trPr>
        <w:tc>
          <w:tcPr>
            <w:tcW w:w="3975" w:type="pct"/>
            <w:tcBorders>
              <w:top w:val="single" w:sz="4" w:space="0" w:color="auto"/>
              <w:left w:val="nil"/>
              <w:right w:val="nil"/>
            </w:tcBorders>
            <w:shd w:val="clear" w:color="auto" w:fill="auto"/>
            <w:noWrap/>
            <w:vAlign w:val="bottom"/>
          </w:tcPr>
          <w:p w14:paraId="7FC46B66" w14:textId="77777777" w:rsidR="00FB2841" w:rsidRPr="00872D7E" w:rsidRDefault="00FB2841" w:rsidP="00FB2841">
            <w:pPr>
              <w:jc w:val="both"/>
              <w:rPr>
                <w:szCs w:val="20"/>
              </w:rPr>
            </w:pPr>
          </w:p>
        </w:tc>
        <w:tc>
          <w:tcPr>
            <w:tcW w:w="1025" w:type="pct"/>
            <w:tcBorders>
              <w:top w:val="single" w:sz="4" w:space="0" w:color="auto"/>
              <w:left w:val="nil"/>
              <w:right w:val="nil"/>
            </w:tcBorders>
            <w:shd w:val="clear" w:color="auto" w:fill="auto"/>
          </w:tcPr>
          <w:p w14:paraId="2D592A0F" w14:textId="77777777" w:rsidR="00FB2841" w:rsidRPr="00872D7E" w:rsidRDefault="00FB2841" w:rsidP="00FB2841">
            <w:pPr>
              <w:jc w:val="right"/>
              <w:rPr>
                <w:bCs/>
                <w:szCs w:val="20"/>
              </w:rPr>
            </w:pPr>
          </w:p>
        </w:tc>
      </w:tr>
      <w:tr w:rsidR="00FB2841" w:rsidRPr="00872D7E" w14:paraId="4D264732" w14:textId="77777777" w:rsidTr="00683052">
        <w:trPr>
          <w:trHeight w:val="124"/>
        </w:trPr>
        <w:tc>
          <w:tcPr>
            <w:tcW w:w="3975" w:type="pct"/>
            <w:tcBorders>
              <w:left w:val="nil"/>
              <w:bottom w:val="single" w:sz="12" w:space="0" w:color="auto"/>
              <w:right w:val="nil"/>
            </w:tcBorders>
            <w:shd w:val="clear" w:color="auto" w:fill="auto"/>
            <w:noWrap/>
            <w:vAlign w:val="bottom"/>
          </w:tcPr>
          <w:p w14:paraId="643283A5" w14:textId="77777777" w:rsidR="00FB2841" w:rsidRPr="00872D7E" w:rsidRDefault="00FB2841" w:rsidP="00FB2841">
            <w:pPr>
              <w:jc w:val="both"/>
              <w:rPr>
                <w:b/>
                <w:bCs/>
                <w:szCs w:val="20"/>
              </w:rPr>
            </w:pPr>
            <w:r w:rsidRPr="00872D7E">
              <w:rPr>
                <w:b/>
                <w:bCs/>
                <w:szCs w:val="20"/>
              </w:rPr>
              <w:t>Toplam nakit ve nakde eşdeğer varlıklar</w:t>
            </w:r>
          </w:p>
        </w:tc>
        <w:tc>
          <w:tcPr>
            <w:tcW w:w="1025" w:type="pct"/>
            <w:tcBorders>
              <w:left w:val="nil"/>
              <w:bottom w:val="single" w:sz="12" w:space="0" w:color="auto"/>
              <w:right w:val="nil"/>
            </w:tcBorders>
            <w:shd w:val="clear" w:color="auto" w:fill="auto"/>
          </w:tcPr>
          <w:p w14:paraId="00F13BB8" w14:textId="3C867CA3" w:rsidR="00FB2841" w:rsidRPr="00872D7E" w:rsidRDefault="00FB2841" w:rsidP="00FB2841">
            <w:pPr>
              <w:jc w:val="right"/>
              <w:rPr>
                <w:b/>
                <w:bCs/>
                <w:szCs w:val="20"/>
              </w:rPr>
            </w:pPr>
            <w:r w:rsidRPr="00872D7E">
              <w:rPr>
                <w:b/>
                <w:bCs/>
              </w:rPr>
              <w:t>7.027.847</w:t>
            </w:r>
          </w:p>
        </w:tc>
      </w:tr>
    </w:tbl>
    <w:p w14:paraId="14F80E80" w14:textId="77777777" w:rsidR="00000466" w:rsidRPr="00872D7E" w:rsidRDefault="00000466" w:rsidP="00BD7366">
      <w:pPr>
        <w:spacing w:before="120"/>
        <w:ind w:left="851" w:right="6" w:hanging="851"/>
        <w:jc w:val="both"/>
        <w:rPr>
          <w:b/>
          <w:szCs w:val="20"/>
        </w:rPr>
      </w:pPr>
      <w:r w:rsidRPr="00872D7E">
        <w:rPr>
          <w:b/>
          <w:szCs w:val="20"/>
        </w:rPr>
        <w:t xml:space="preserve">2. </w:t>
      </w:r>
      <w:r w:rsidRPr="00872D7E">
        <w:rPr>
          <w:b/>
          <w:szCs w:val="20"/>
        </w:rPr>
        <w:tab/>
        <w:t xml:space="preserve">Banka’nın elinde bulunan ancak, yasal sınırlamalar veya diğer nedenlerle Banka’nın serbest kullanımında olmayan nakit ve nakde eşdeğer varlık mevcuduna ilişkin bilgi: </w:t>
      </w:r>
    </w:p>
    <w:p w14:paraId="44EEFDE5" w14:textId="4F439345" w:rsidR="009C28A1" w:rsidRPr="00872D7E" w:rsidRDefault="00000466" w:rsidP="00BD7366">
      <w:pPr>
        <w:autoSpaceDE w:val="0"/>
        <w:autoSpaceDN w:val="0"/>
        <w:adjustRightInd w:val="0"/>
        <w:spacing w:before="120"/>
        <w:ind w:left="851" w:right="6"/>
        <w:jc w:val="both"/>
      </w:pPr>
      <w:r w:rsidRPr="00872D7E">
        <w:rPr>
          <w:szCs w:val="20"/>
        </w:rPr>
        <w:t>Merkez Bankası nezdinde tutulan vadeli serbest olmayan hesaplar nakit ve nakde eşdeğer varlık olarak nitelendirilmemektedir.</w:t>
      </w:r>
      <w:r w:rsidR="009C28A1" w:rsidRPr="00872D7E">
        <w:br w:type="page"/>
      </w:r>
    </w:p>
    <w:p w14:paraId="6934B153" w14:textId="77777777" w:rsidR="00BD7366" w:rsidRPr="00872D7E" w:rsidRDefault="00BD7366" w:rsidP="00BD7366">
      <w:pPr>
        <w:widowControl w:val="0"/>
        <w:spacing w:line="214" w:lineRule="auto"/>
        <w:ind w:left="720" w:hanging="720"/>
        <w:jc w:val="both"/>
        <w:rPr>
          <w:b/>
          <w:szCs w:val="20"/>
        </w:rPr>
      </w:pPr>
      <w:r w:rsidRPr="00872D7E">
        <w:rPr>
          <w:b/>
          <w:szCs w:val="20"/>
        </w:rPr>
        <w:lastRenderedPageBreak/>
        <w:t>KONSOLİDE OLMAYAN FİNANSAL TABLOLARA İLİŞKİN AÇIKLAMA VE DİPNOTLAR (Devamı)</w:t>
      </w:r>
    </w:p>
    <w:p w14:paraId="33C6C91F" w14:textId="77777777" w:rsidR="00BD7366" w:rsidRPr="00872D7E" w:rsidRDefault="00BD7366" w:rsidP="00BD7366">
      <w:pPr>
        <w:autoSpaceDE w:val="0"/>
        <w:autoSpaceDN w:val="0"/>
        <w:adjustRightInd w:val="0"/>
        <w:spacing w:before="120"/>
        <w:ind w:right="6"/>
        <w:jc w:val="both"/>
        <w:rPr>
          <w:szCs w:val="20"/>
        </w:rPr>
      </w:pPr>
    </w:p>
    <w:p w14:paraId="17C7C116" w14:textId="25FE096B" w:rsidR="00F27192" w:rsidRPr="00872D7E" w:rsidRDefault="00F27192" w:rsidP="00BD7366">
      <w:pPr>
        <w:ind w:left="851" w:hanging="851"/>
        <w:rPr>
          <w:b/>
          <w:iCs/>
          <w:szCs w:val="20"/>
        </w:rPr>
      </w:pPr>
      <w:r w:rsidRPr="00872D7E">
        <w:rPr>
          <w:b/>
          <w:iCs/>
          <w:szCs w:val="20"/>
        </w:rPr>
        <w:t>VI.</w:t>
      </w:r>
      <w:r w:rsidRPr="00872D7E">
        <w:rPr>
          <w:b/>
          <w:iCs/>
          <w:szCs w:val="20"/>
        </w:rPr>
        <w:tab/>
        <w:t>NAKİT AKIŞ TABLOSUNA İLİŞKİN AÇIKLAMA VE DİPNOTLAR</w:t>
      </w:r>
    </w:p>
    <w:p w14:paraId="66F88DBC" w14:textId="4EA4846A" w:rsidR="009C28A1" w:rsidRPr="00872D7E" w:rsidRDefault="009C28A1" w:rsidP="00BD7366">
      <w:pPr>
        <w:pStyle w:val="ListParagraph"/>
        <w:spacing w:before="120"/>
        <w:ind w:left="851" w:right="6" w:hanging="851"/>
        <w:jc w:val="both"/>
        <w:rPr>
          <w:b/>
          <w:szCs w:val="20"/>
        </w:rPr>
      </w:pPr>
      <w:r w:rsidRPr="00872D7E">
        <w:rPr>
          <w:b/>
          <w:szCs w:val="20"/>
        </w:rPr>
        <w:t>3.</w:t>
      </w:r>
      <w:r w:rsidRPr="00872D7E">
        <w:rPr>
          <w:b/>
          <w:szCs w:val="20"/>
        </w:rPr>
        <w:tab/>
        <w:t xml:space="preserve">Nakit akış tablosunda yer alan diğer kalemleri ve döviz kurundaki değişimin nakit ve nakde eşdeğer varlıklar üzerindeki etkisi kalemine ilişkin açıklamalar: </w:t>
      </w:r>
    </w:p>
    <w:p w14:paraId="68625CFE" w14:textId="4CDFC6AD" w:rsidR="009C28A1" w:rsidRPr="00872D7E" w:rsidRDefault="009C28A1" w:rsidP="00BD7366">
      <w:pPr>
        <w:spacing w:before="120"/>
        <w:ind w:left="851" w:right="6"/>
        <w:jc w:val="both"/>
        <w:rPr>
          <w:szCs w:val="20"/>
        </w:rPr>
      </w:pPr>
      <w:r w:rsidRPr="00872D7E">
        <w:rPr>
          <w:szCs w:val="20"/>
        </w:rPr>
        <w:t xml:space="preserve">“Bankacılık faaliyet konusu varlık ve yükümlülüklerdeki değişim öncesi faaliyet kârı” içinde yer alan </w:t>
      </w:r>
      <w:r w:rsidRPr="00872D7E">
        <w:rPr>
          <w:szCs w:val="20"/>
        </w:rPr>
        <w:br/>
      </w:r>
      <w:r w:rsidR="00BB71A3" w:rsidRPr="00872D7E">
        <w:rPr>
          <w:szCs w:val="20"/>
        </w:rPr>
        <w:t>791.966</w:t>
      </w:r>
      <w:r w:rsidR="00475F85" w:rsidRPr="00872D7E">
        <w:rPr>
          <w:szCs w:val="20"/>
        </w:rPr>
        <w:t xml:space="preserve"> </w:t>
      </w:r>
      <w:r w:rsidRPr="00872D7E">
        <w:rPr>
          <w:szCs w:val="20"/>
        </w:rPr>
        <w:t xml:space="preserve">TL tutarındaki “Diğer” kalemi, esas olarak personel giderleri ve amortisman giderleri hariç diğer işletme giderlerinden oluşmaktadır. </w:t>
      </w:r>
    </w:p>
    <w:p w14:paraId="20966FD1" w14:textId="5E76D0BE" w:rsidR="009C28A1" w:rsidRPr="00872D7E" w:rsidRDefault="009C28A1" w:rsidP="00BD7366">
      <w:pPr>
        <w:spacing w:before="120"/>
        <w:ind w:left="851" w:right="6"/>
        <w:jc w:val="both"/>
        <w:rPr>
          <w:szCs w:val="20"/>
        </w:rPr>
      </w:pPr>
      <w:r w:rsidRPr="00872D7E">
        <w:rPr>
          <w:szCs w:val="20"/>
        </w:rPr>
        <w:t>“Bankacılık faaliyetleri konusu varlık ve yükümlülüklerdeki değişim” içinde yer alan</w:t>
      </w:r>
      <w:r w:rsidR="00475F85" w:rsidRPr="00872D7E">
        <w:rPr>
          <w:szCs w:val="20"/>
        </w:rPr>
        <w:t xml:space="preserve"> </w:t>
      </w:r>
      <w:r w:rsidR="00BB71A3" w:rsidRPr="00872D7E">
        <w:rPr>
          <w:szCs w:val="20"/>
        </w:rPr>
        <w:t>879.920</w:t>
      </w:r>
      <w:r w:rsidRPr="00872D7E">
        <w:rPr>
          <w:szCs w:val="20"/>
        </w:rPr>
        <w:t xml:space="preserve"> TL tutarındaki “Diğer borçlardaki net artış /azalış” kalemi muhtelif borçlar, diğer yabancı kaynaklar ve ödenecek vergi, resim, harç ve primlerdeki değişimlerden oluşmaktadır.</w:t>
      </w:r>
    </w:p>
    <w:p w14:paraId="464C5BD9" w14:textId="027DF97A" w:rsidR="009C28A1" w:rsidRPr="00872D7E" w:rsidRDefault="009C28A1" w:rsidP="00BD7366">
      <w:pPr>
        <w:autoSpaceDE w:val="0"/>
        <w:autoSpaceDN w:val="0"/>
        <w:adjustRightInd w:val="0"/>
        <w:spacing w:before="120" w:after="120"/>
        <w:ind w:left="851" w:right="6"/>
        <w:jc w:val="both"/>
        <w:rPr>
          <w:szCs w:val="20"/>
        </w:rPr>
      </w:pPr>
      <w:r w:rsidRPr="00872D7E">
        <w:rPr>
          <w:szCs w:val="20"/>
        </w:rPr>
        <w:t>Döviz kurundaki değişimin nakit ve nakde eş değer varlıklar üzerindeki etkisi 31 Aralık 202</w:t>
      </w:r>
      <w:r w:rsidR="00475F85" w:rsidRPr="00872D7E">
        <w:rPr>
          <w:szCs w:val="20"/>
        </w:rPr>
        <w:t>4</w:t>
      </w:r>
      <w:r w:rsidRPr="00872D7E">
        <w:rPr>
          <w:szCs w:val="20"/>
        </w:rPr>
        <w:t xml:space="preserve"> tarihinde sona eren hesap döneminde yaklaşık </w:t>
      </w:r>
      <w:r w:rsidR="00475F85" w:rsidRPr="00872D7E">
        <w:rPr>
          <w:szCs w:val="20"/>
        </w:rPr>
        <w:t xml:space="preserve">143.448 </w:t>
      </w:r>
      <w:r w:rsidRPr="00872D7E">
        <w:rPr>
          <w:szCs w:val="20"/>
        </w:rPr>
        <w:t>TL olarak tespit edilmiştir.</w:t>
      </w:r>
    </w:p>
    <w:p w14:paraId="301693D3" w14:textId="2D3AB7F9" w:rsidR="002152D0" w:rsidRPr="00872D7E" w:rsidRDefault="000F52B1" w:rsidP="00DF282B">
      <w:pPr>
        <w:pStyle w:val="BodyTextIndent"/>
        <w:widowControl w:val="0"/>
        <w:numPr>
          <w:ilvl w:val="0"/>
          <w:numId w:val="56"/>
        </w:numPr>
        <w:ind w:left="851" w:right="206" w:hanging="851"/>
        <w:rPr>
          <w:b/>
          <w:iCs/>
          <w:szCs w:val="20"/>
        </w:rPr>
      </w:pPr>
      <w:bookmarkStart w:id="103" w:name="_Hlk188878248"/>
      <w:r w:rsidRPr="00872D7E">
        <w:rPr>
          <w:b/>
          <w:iCs/>
          <w:szCs w:val="20"/>
        </w:rPr>
        <w:t>BANKA’NIN DAHİL OLDUĞUN RİSK GRUBUNA İLİŞKİN AÇIKLAMALAR</w:t>
      </w:r>
    </w:p>
    <w:p w14:paraId="714322A8" w14:textId="77777777" w:rsidR="002152D0" w:rsidRPr="00872D7E" w:rsidRDefault="002152D0" w:rsidP="000A320F">
      <w:pPr>
        <w:spacing w:before="120" w:after="60"/>
        <w:ind w:left="851" w:hanging="851"/>
        <w:jc w:val="both"/>
        <w:rPr>
          <w:b/>
          <w:szCs w:val="20"/>
        </w:rPr>
      </w:pPr>
      <w:r w:rsidRPr="00872D7E">
        <w:rPr>
          <w:b/>
          <w:szCs w:val="20"/>
        </w:rPr>
        <w:t>1.</w:t>
      </w:r>
      <w:r w:rsidRPr="00872D7E">
        <w:rPr>
          <w:b/>
          <w:szCs w:val="20"/>
        </w:rPr>
        <w:tab/>
        <w:t>Banka’nın dahil olduğu risk grubuna ilişkin işlemlerin hacmi, dönem sonunda sonuçlanmamış kredi ve toplanan fon işlemleri, döneme ilişkin gelir ve giderler:</w:t>
      </w:r>
    </w:p>
    <w:p w14:paraId="65CE55BC" w14:textId="7BEDDB17" w:rsidR="00CB118D" w:rsidRPr="00872D7E" w:rsidRDefault="00CB118D" w:rsidP="00221305">
      <w:pPr>
        <w:pStyle w:val="ListParagraph"/>
        <w:numPr>
          <w:ilvl w:val="1"/>
          <w:numId w:val="2"/>
        </w:numPr>
        <w:tabs>
          <w:tab w:val="clear" w:pos="1440"/>
        </w:tabs>
        <w:ind w:left="851" w:hanging="851"/>
        <w:rPr>
          <w:b/>
          <w:bCs/>
        </w:rPr>
      </w:pPr>
      <w:r w:rsidRPr="00872D7E">
        <w:rPr>
          <w:b/>
          <w:bCs/>
        </w:rPr>
        <w:t>Banka’nın dahil olduğu risk grubuna ait kredilere ilişkin bilgiler:</w:t>
      </w:r>
    </w:p>
    <w:p w14:paraId="0F76EA90" w14:textId="77777777" w:rsidR="00CB118D" w:rsidRPr="00872D7E" w:rsidRDefault="00CB118D" w:rsidP="00CB118D">
      <w:pPr>
        <w:pStyle w:val="ListParagraph"/>
        <w:ind w:left="0"/>
        <w:rPr>
          <w:b/>
          <w:bCs/>
        </w:rPr>
      </w:pPr>
    </w:p>
    <w:tbl>
      <w:tblPr>
        <w:tblW w:w="5000" w:type="pct"/>
        <w:tblCellMar>
          <w:left w:w="0" w:type="dxa"/>
          <w:right w:w="0" w:type="dxa"/>
        </w:tblCellMar>
        <w:tblLook w:val="0000" w:firstRow="0" w:lastRow="0" w:firstColumn="0" w:lastColumn="0" w:noHBand="0" w:noVBand="0"/>
      </w:tblPr>
      <w:tblGrid>
        <w:gridCol w:w="3157"/>
        <w:gridCol w:w="1100"/>
        <w:gridCol w:w="965"/>
        <w:gridCol w:w="964"/>
        <w:gridCol w:w="1102"/>
        <w:gridCol w:w="1102"/>
        <w:gridCol w:w="965"/>
      </w:tblGrid>
      <w:tr w:rsidR="002152D0" w:rsidRPr="00872D7E" w14:paraId="6104B7B8" w14:textId="77777777" w:rsidTr="00D80152">
        <w:trPr>
          <w:trHeight w:val="126"/>
        </w:trPr>
        <w:tc>
          <w:tcPr>
            <w:tcW w:w="1687" w:type="pct"/>
            <w:tcBorders>
              <w:top w:val="single" w:sz="4" w:space="0" w:color="auto"/>
              <w:bottom w:val="single" w:sz="4" w:space="0" w:color="auto"/>
            </w:tcBorders>
            <w:shd w:val="clear" w:color="auto" w:fill="FFFFFF"/>
            <w:vAlign w:val="bottom"/>
          </w:tcPr>
          <w:p w14:paraId="7740A68A" w14:textId="77777777" w:rsidR="002B6E75" w:rsidRPr="00872D7E" w:rsidRDefault="002B6E75" w:rsidP="00BB0581">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bookmarkStart w:id="104" w:name="_Hlk133833860"/>
          </w:p>
          <w:p w14:paraId="3BBDE75A" w14:textId="49086D77" w:rsidR="002B6E75" w:rsidRPr="00872D7E" w:rsidRDefault="00AE0B9A" w:rsidP="002B6E75">
            <w:pPr>
              <w:pStyle w:val="xl79"/>
              <w:pBdr>
                <w:left w:val="none" w:sz="0" w:space="0" w:color="auto"/>
                <w:bottom w:val="none" w:sz="0" w:space="0" w:color="auto"/>
                <w:right w:val="none" w:sz="0" w:space="0" w:color="auto"/>
              </w:pBdr>
              <w:spacing w:before="0" w:beforeAutospacing="0" w:after="0" w:afterAutospacing="0"/>
              <w:rPr>
                <w:b/>
                <w:bCs/>
              </w:rPr>
            </w:pPr>
            <w:r w:rsidRPr="00872D7E">
              <w:rPr>
                <w:b/>
                <w:bCs/>
              </w:rPr>
              <w:t>31 Aralık</w:t>
            </w:r>
            <w:r w:rsidR="00C160E4" w:rsidRPr="00872D7E">
              <w:rPr>
                <w:b/>
                <w:bCs/>
              </w:rPr>
              <w:t xml:space="preserve"> </w:t>
            </w:r>
            <w:r w:rsidR="002B6E75" w:rsidRPr="00872D7E">
              <w:rPr>
                <w:b/>
                <w:bCs/>
              </w:rPr>
              <w:t>2024</w:t>
            </w:r>
          </w:p>
          <w:p w14:paraId="5066DE97" w14:textId="77777777" w:rsidR="002B6E75" w:rsidRPr="00872D7E" w:rsidRDefault="002B6E75" w:rsidP="00BB0581">
            <w:pPr>
              <w:pStyle w:val="xl79"/>
              <w:pBdr>
                <w:left w:val="none" w:sz="0" w:space="0" w:color="auto"/>
                <w:bottom w:val="none" w:sz="0" w:space="0" w:color="auto"/>
                <w:right w:val="none" w:sz="0" w:space="0" w:color="auto"/>
              </w:pBdr>
              <w:spacing w:before="0" w:beforeAutospacing="0" w:after="0" w:afterAutospacing="0"/>
              <w:rPr>
                <w:b/>
                <w:bCs/>
                <w:iCs/>
              </w:rPr>
            </w:pPr>
          </w:p>
          <w:p w14:paraId="7B6F7D33" w14:textId="15761768" w:rsidR="002B6E75" w:rsidRPr="00872D7E"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872D7E">
              <w:rPr>
                <w:rFonts w:eastAsia="Times New Roman"/>
                <w:b/>
                <w:bCs/>
                <w:iCs/>
                <w:noProof w:val="0"/>
              </w:rPr>
              <w:t>Banka’nın Dahil Olduğu Risk Grubu</w:t>
            </w:r>
          </w:p>
        </w:tc>
        <w:tc>
          <w:tcPr>
            <w:tcW w:w="1104" w:type="pct"/>
            <w:gridSpan w:val="2"/>
            <w:tcBorders>
              <w:top w:val="single" w:sz="4" w:space="0" w:color="auto"/>
              <w:bottom w:val="single" w:sz="4" w:space="0" w:color="auto"/>
            </w:tcBorders>
            <w:shd w:val="clear" w:color="auto" w:fill="FFFFFF"/>
            <w:vAlign w:val="bottom"/>
          </w:tcPr>
          <w:p w14:paraId="7F230C27" w14:textId="77777777" w:rsidR="002152D0" w:rsidRPr="00872D7E" w:rsidRDefault="002152D0" w:rsidP="00D80152">
            <w:pPr>
              <w:jc w:val="right"/>
              <w:rPr>
                <w:b/>
                <w:bCs/>
                <w:iCs/>
                <w:sz w:val="18"/>
                <w:szCs w:val="18"/>
              </w:rPr>
            </w:pPr>
            <w:r w:rsidRPr="00872D7E">
              <w:rPr>
                <w:b/>
                <w:bCs/>
                <w:iCs/>
                <w:sz w:val="18"/>
                <w:szCs w:val="18"/>
              </w:rPr>
              <w:t>İştirak, Bağlı Ortaklık ve Birlikte Kontrol Edilen Ortaklıklar (İş Ortaklıkları)</w:t>
            </w:r>
          </w:p>
        </w:tc>
        <w:tc>
          <w:tcPr>
            <w:tcW w:w="1104" w:type="pct"/>
            <w:gridSpan w:val="2"/>
            <w:tcBorders>
              <w:top w:val="single" w:sz="4" w:space="0" w:color="auto"/>
              <w:bottom w:val="single" w:sz="4" w:space="0" w:color="auto"/>
            </w:tcBorders>
            <w:shd w:val="clear" w:color="auto" w:fill="FFFFFF"/>
            <w:vAlign w:val="bottom"/>
          </w:tcPr>
          <w:p w14:paraId="7E963378" w14:textId="77777777" w:rsidR="002152D0" w:rsidRPr="00872D7E" w:rsidRDefault="002152D0" w:rsidP="00D80152">
            <w:pPr>
              <w:jc w:val="right"/>
              <w:rPr>
                <w:b/>
                <w:bCs/>
                <w:iCs/>
                <w:sz w:val="18"/>
                <w:szCs w:val="18"/>
              </w:rPr>
            </w:pPr>
            <w:r w:rsidRPr="00872D7E">
              <w:rPr>
                <w:b/>
                <w:bCs/>
                <w:iCs/>
                <w:sz w:val="18"/>
                <w:szCs w:val="18"/>
              </w:rPr>
              <w:t>Banka’nın Doğrudan ve Dolaylı Ortakları</w:t>
            </w:r>
          </w:p>
        </w:tc>
        <w:tc>
          <w:tcPr>
            <w:tcW w:w="1105" w:type="pct"/>
            <w:gridSpan w:val="2"/>
            <w:tcBorders>
              <w:top w:val="single" w:sz="4" w:space="0" w:color="auto"/>
            </w:tcBorders>
            <w:shd w:val="clear" w:color="auto" w:fill="FFFFFF"/>
            <w:vAlign w:val="bottom"/>
          </w:tcPr>
          <w:p w14:paraId="634173CF" w14:textId="77777777" w:rsidR="002152D0" w:rsidRPr="00872D7E" w:rsidRDefault="002152D0" w:rsidP="00D80152">
            <w:pPr>
              <w:jc w:val="right"/>
              <w:rPr>
                <w:b/>
                <w:bCs/>
                <w:iCs/>
                <w:sz w:val="18"/>
                <w:szCs w:val="18"/>
              </w:rPr>
            </w:pPr>
            <w:r w:rsidRPr="00872D7E">
              <w:rPr>
                <w:b/>
                <w:bCs/>
                <w:iCs/>
                <w:sz w:val="18"/>
                <w:szCs w:val="18"/>
              </w:rPr>
              <w:t>Risk Grubuna Dahil Olan Diğer Gerçek ve Tüzel Kişiler</w:t>
            </w:r>
          </w:p>
        </w:tc>
      </w:tr>
      <w:tr w:rsidR="002152D0" w:rsidRPr="00872D7E" w14:paraId="432D7900" w14:textId="77777777" w:rsidTr="00D80152">
        <w:trPr>
          <w:trHeight w:val="126"/>
        </w:trPr>
        <w:tc>
          <w:tcPr>
            <w:tcW w:w="1687" w:type="pct"/>
            <w:tcBorders>
              <w:top w:val="single" w:sz="4" w:space="0" w:color="auto"/>
              <w:bottom w:val="single" w:sz="4" w:space="0" w:color="auto"/>
            </w:tcBorders>
            <w:shd w:val="clear" w:color="auto" w:fill="FFFFFF"/>
            <w:vAlign w:val="bottom"/>
          </w:tcPr>
          <w:p w14:paraId="0D0900CA" w14:textId="77777777" w:rsidR="002152D0" w:rsidRPr="00872D7E"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bottom w:val="single" w:sz="4" w:space="0" w:color="auto"/>
            </w:tcBorders>
            <w:shd w:val="clear" w:color="auto" w:fill="FFFFFF"/>
            <w:vAlign w:val="bottom"/>
          </w:tcPr>
          <w:p w14:paraId="2D6FEAEC" w14:textId="77777777" w:rsidR="002152D0" w:rsidRPr="00872D7E" w:rsidRDefault="002152D0" w:rsidP="00D80152">
            <w:pPr>
              <w:ind w:right="94"/>
              <w:jc w:val="right"/>
              <w:rPr>
                <w:rFonts w:eastAsia="Arial Unicode MS"/>
                <w:b/>
                <w:sz w:val="18"/>
                <w:szCs w:val="18"/>
              </w:rPr>
            </w:pPr>
            <w:r w:rsidRPr="00872D7E">
              <w:rPr>
                <w:b/>
                <w:sz w:val="18"/>
                <w:szCs w:val="18"/>
              </w:rPr>
              <w:t>Nakdi</w:t>
            </w:r>
          </w:p>
        </w:tc>
        <w:tc>
          <w:tcPr>
            <w:tcW w:w="516" w:type="pct"/>
            <w:tcBorders>
              <w:top w:val="single" w:sz="4" w:space="0" w:color="auto"/>
              <w:bottom w:val="single" w:sz="4" w:space="0" w:color="auto"/>
            </w:tcBorders>
            <w:shd w:val="clear" w:color="auto" w:fill="FFFFFF"/>
            <w:vAlign w:val="bottom"/>
          </w:tcPr>
          <w:p w14:paraId="399439A6" w14:textId="77777777" w:rsidR="002152D0" w:rsidRPr="00872D7E" w:rsidRDefault="002152D0" w:rsidP="00D80152">
            <w:pPr>
              <w:ind w:right="94"/>
              <w:jc w:val="right"/>
              <w:rPr>
                <w:rFonts w:eastAsia="Arial Unicode MS"/>
                <w:b/>
                <w:sz w:val="18"/>
                <w:szCs w:val="18"/>
              </w:rPr>
            </w:pPr>
            <w:proofErr w:type="spellStart"/>
            <w:proofErr w:type="gramStart"/>
            <w:r w:rsidRPr="00872D7E">
              <w:rPr>
                <w:b/>
                <w:sz w:val="18"/>
                <w:szCs w:val="18"/>
              </w:rPr>
              <w:t>G.Nakdi</w:t>
            </w:r>
            <w:proofErr w:type="spellEnd"/>
            <w:proofErr w:type="gramEnd"/>
          </w:p>
        </w:tc>
        <w:tc>
          <w:tcPr>
            <w:tcW w:w="515" w:type="pct"/>
            <w:tcBorders>
              <w:top w:val="single" w:sz="4" w:space="0" w:color="auto"/>
              <w:bottom w:val="single" w:sz="4" w:space="0" w:color="auto"/>
            </w:tcBorders>
            <w:shd w:val="clear" w:color="auto" w:fill="FFFFFF"/>
            <w:vAlign w:val="bottom"/>
          </w:tcPr>
          <w:p w14:paraId="06746DF3" w14:textId="77777777" w:rsidR="002152D0" w:rsidRPr="00872D7E" w:rsidRDefault="002152D0" w:rsidP="00D80152">
            <w:pPr>
              <w:ind w:right="94"/>
              <w:jc w:val="right"/>
              <w:rPr>
                <w:rFonts w:eastAsia="Arial Unicode MS"/>
                <w:b/>
                <w:sz w:val="18"/>
                <w:szCs w:val="18"/>
              </w:rPr>
            </w:pPr>
            <w:r w:rsidRPr="00872D7E">
              <w:rPr>
                <w:b/>
                <w:sz w:val="18"/>
                <w:szCs w:val="18"/>
              </w:rPr>
              <w:t>Nakdi</w:t>
            </w:r>
          </w:p>
        </w:tc>
        <w:tc>
          <w:tcPr>
            <w:tcW w:w="589" w:type="pct"/>
            <w:tcBorders>
              <w:top w:val="single" w:sz="4" w:space="0" w:color="auto"/>
              <w:bottom w:val="single" w:sz="4" w:space="0" w:color="auto"/>
            </w:tcBorders>
            <w:shd w:val="clear" w:color="auto" w:fill="FFFFFF"/>
            <w:vAlign w:val="bottom"/>
          </w:tcPr>
          <w:p w14:paraId="3BAAB22F" w14:textId="77777777" w:rsidR="002152D0" w:rsidRPr="00872D7E" w:rsidRDefault="002152D0" w:rsidP="00D80152">
            <w:pPr>
              <w:ind w:right="94"/>
              <w:jc w:val="right"/>
              <w:rPr>
                <w:rFonts w:eastAsia="Arial Unicode MS"/>
                <w:b/>
                <w:sz w:val="18"/>
                <w:szCs w:val="18"/>
              </w:rPr>
            </w:pPr>
            <w:proofErr w:type="spellStart"/>
            <w:proofErr w:type="gramStart"/>
            <w:r w:rsidRPr="00872D7E">
              <w:rPr>
                <w:b/>
                <w:sz w:val="18"/>
                <w:szCs w:val="18"/>
              </w:rPr>
              <w:t>G.Nakdi</w:t>
            </w:r>
            <w:proofErr w:type="spellEnd"/>
            <w:proofErr w:type="gramEnd"/>
          </w:p>
        </w:tc>
        <w:tc>
          <w:tcPr>
            <w:tcW w:w="589" w:type="pct"/>
            <w:tcBorders>
              <w:top w:val="single" w:sz="4" w:space="0" w:color="auto"/>
              <w:bottom w:val="single" w:sz="4" w:space="0" w:color="auto"/>
            </w:tcBorders>
            <w:shd w:val="clear" w:color="auto" w:fill="FFFFFF"/>
            <w:vAlign w:val="bottom"/>
          </w:tcPr>
          <w:p w14:paraId="1E8283AD" w14:textId="77777777" w:rsidR="002152D0" w:rsidRPr="00872D7E" w:rsidRDefault="002152D0" w:rsidP="00D80152">
            <w:pPr>
              <w:ind w:right="94"/>
              <w:jc w:val="right"/>
              <w:rPr>
                <w:rFonts w:eastAsia="Arial Unicode MS"/>
                <w:b/>
                <w:sz w:val="18"/>
                <w:szCs w:val="18"/>
              </w:rPr>
            </w:pPr>
            <w:r w:rsidRPr="00872D7E">
              <w:rPr>
                <w:b/>
                <w:sz w:val="18"/>
                <w:szCs w:val="18"/>
              </w:rPr>
              <w:t>Nakdi</w:t>
            </w:r>
          </w:p>
        </w:tc>
        <w:tc>
          <w:tcPr>
            <w:tcW w:w="516" w:type="pct"/>
            <w:tcBorders>
              <w:top w:val="single" w:sz="4" w:space="0" w:color="auto"/>
              <w:bottom w:val="single" w:sz="4" w:space="0" w:color="auto"/>
            </w:tcBorders>
            <w:shd w:val="clear" w:color="auto" w:fill="FFFFFF"/>
            <w:vAlign w:val="bottom"/>
          </w:tcPr>
          <w:p w14:paraId="10024C15" w14:textId="77777777" w:rsidR="002152D0" w:rsidRPr="00872D7E" w:rsidRDefault="002152D0" w:rsidP="00D80152">
            <w:pPr>
              <w:ind w:right="94"/>
              <w:jc w:val="right"/>
              <w:rPr>
                <w:rFonts w:eastAsia="Arial Unicode MS"/>
                <w:b/>
                <w:sz w:val="18"/>
                <w:szCs w:val="18"/>
              </w:rPr>
            </w:pPr>
            <w:proofErr w:type="spellStart"/>
            <w:proofErr w:type="gramStart"/>
            <w:r w:rsidRPr="00872D7E">
              <w:rPr>
                <w:b/>
                <w:sz w:val="18"/>
                <w:szCs w:val="18"/>
              </w:rPr>
              <w:t>G.Nakdi</w:t>
            </w:r>
            <w:proofErr w:type="spellEnd"/>
            <w:proofErr w:type="gramEnd"/>
          </w:p>
        </w:tc>
      </w:tr>
      <w:tr w:rsidR="002152D0" w:rsidRPr="00872D7E" w14:paraId="76B1DFE4" w14:textId="77777777" w:rsidTr="00D80152">
        <w:trPr>
          <w:trHeight w:val="126"/>
        </w:trPr>
        <w:tc>
          <w:tcPr>
            <w:tcW w:w="1687" w:type="pct"/>
            <w:tcBorders>
              <w:top w:val="single" w:sz="4" w:space="0" w:color="auto"/>
            </w:tcBorders>
            <w:shd w:val="clear" w:color="auto" w:fill="FFFFFF"/>
            <w:vAlign w:val="bottom"/>
          </w:tcPr>
          <w:p w14:paraId="4287D7C1" w14:textId="77777777" w:rsidR="002152D0" w:rsidRPr="00872D7E"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tcBorders>
            <w:shd w:val="clear" w:color="auto" w:fill="FFFFFF"/>
            <w:vAlign w:val="bottom"/>
          </w:tcPr>
          <w:p w14:paraId="706CF063" w14:textId="77777777" w:rsidR="002152D0" w:rsidRPr="00872D7E" w:rsidRDefault="002152D0" w:rsidP="00D80152">
            <w:pPr>
              <w:ind w:right="94"/>
              <w:jc w:val="right"/>
              <w:rPr>
                <w:b/>
                <w:sz w:val="18"/>
                <w:szCs w:val="18"/>
              </w:rPr>
            </w:pPr>
          </w:p>
        </w:tc>
        <w:tc>
          <w:tcPr>
            <w:tcW w:w="516" w:type="pct"/>
            <w:tcBorders>
              <w:top w:val="single" w:sz="4" w:space="0" w:color="auto"/>
            </w:tcBorders>
            <w:shd w:val="clear" w:color="auto" w:fill="FFFFFF"/>
            <w:vAlign w:val="bottom"/>
          </w:tcPr>
          <w:p w14:paraId="1E4EE7AC" w14:textId="77777777" w:rsidR="002152D0" w:rsidRPr="00872D7E" w:rsidRDefault="002152D0" w:rsidP="00D80152">
            <w:pPr>
              <w:ind w:right="94"/>
              <w:jc w:val="right"/>
              <w:rPr>
                <w:b/>
                <w:sz w:val="18"/>
                <w:szCs w:val="18"/>
              </w:rPr>
            </w:pPr>
          </w:p>
        </w:tc>
        <w:tc>
          <w:tcPr>
            <w:tcW w:w="515" w:type="pct"/>
            <w:tcBorders>
              <w:top w:val="single" w:sz="4" w:space="0" w:color="auto"/>
            </w:tcBorders>
            <w:shd w:val="clear" w:color="auto" w:fill="FFFFFF"/>
            <w:vAlign w:val="bottom"/>
          </w:tcPr>
          <w:p w14:paraId="541A85ED" w14:textId="77777777" w:rsidR="002152D0" w:rsidRPr="00872D7E" w:rsidRDefault="002152D0" w:rsidP="00D80152">
            <w:pPr>
              <w:ind w:right="94"/>
              <w:jc w:val="right"/>
              <w:rPr>
                <w:b/>
                <w:sz w:val="18"/>
                <w:szCs w:val="18"/>
              </w:rPr>
            </w:pPr>
          </w:p>
        </w:tc>
        <w:tc>
          <w:tcPr>
            <w:tcW w:w="589" w:type="pct"/>
            <w:tcBorders>
              <w:top w:val="single" w:sz="4" w:space="0" w:color="auto"/>
            </w:tcBorders>
            <w:shd w:val="clear" w:color="auto" w:fill="FFFFFF"/>
            <w:vAlign w:val="bottom"/>
          </w:tcPr>
          <w:p w14:paraId="1890CA23" w14:textId="77777777" w:rsidR="002152D0" w:rsidRPr="00872D7E" w:rsidRDefault="002152D0" w:rsidP="00D80152">
            <w:pPr>
              <w:ind w:right="94"/>
              <w:jc w:val="right"/>
              <w:rPr>
                <w:b/>
                <w:sz w:val="18"/>
                <w:szCs w:val="18"/>
              </w:rPr>
            </w:pPr>
          </w:p>
        </w:tc>
        <w:tc>
          <w:tcPr>
            <w:tcW w:w="589" w:type="pct"/>
            <w:tcBorders>
              <w:top w:val="single" w:sz="4" w:space="0" w:color="auto"/>
            </w:tcBorders>
            <w:shd w:val="clear" w:color="auto" w:fill="FFFFFF"/>
            <w:vAlign w:val="bottom"/>
          </w:tcPr>
          <w:p w14:paraId="05A76FEB" w14:textId="77777777" w:rsidR="002152D0" w:rsidRPr="00872D7E" w:rsidRDefault="002152D0" w:rsidP="00D80152">
            <w:pPr>
              <w:ind w:right="94"/>
              <w:jc w:val="right"/>
              <w:rPr>
                <w:b/>
                <w:sz w:val="18"/>
                <w:szCs w:val="18"/>
              </w:rPr>
            </w:pPr>
          </w:p>
        </w:tc>
        <w:tc>
          <w:tcPr>
            <w:tcW w:w="516" w:type="pct"/>
            <w:tcBorders>
              <w:top w:val="single" w:sz="4" w:space="0" w:color="auto"/>
            </w:tcBorders>
            <w:shd w:val="clear" w:color="auto" w:fill="FFFFFF"/>
            <w:vAlign w:val="bottom"/>
          </w:tcPr>
          <w:p w14:paraId="037D3DA0" w14:textId="77777777" w:rsidR="002152D0" w:rsidRPr="00872D7E" w:rsidRDefault="002152D0" w:rsidP="00D80152">
            <w:pPr>
              <w:ind w:right="94"/>
              <w:jc w:val="right"/>
              <w:rPr>
                <w:b/>
                <w:sz w:val="18"/>
                <w:szCs w:val="18"/>
              </w:rPr>
            </w:pPr>
          </w:p>
        </w:tc>
      </w:tr>
      <w:bookmarkEnd w:id="104"/>
      <w:tr w:rsidR="002152D0" w:rsidRPr="00872D7E" w14:paraId="25A77A84" w14:textId="77777777" w:rsidTr="00D80152">
        <w:trPr>
          <w:trHeight w:val="89"/>
        </w:trPr>
        <w:tc>
          <w:tcPr>
            <w:tcW w:w="1687" w:type="pct"/>
            <w:shd w:val="clear" w:color="auto" w:fill="FFFFFF"/>
            <w:vAlign w:val="bottom"/>
          </w:tcPr>
          <w:p w14:paraId="20E71395" w14:textId="77777777" w:rsidR="002152D0" w:rsidRPr="00872D7E" w:rsidRDefault="002152D0" w:rsidP="00BB0581">
            <w:pPr>
              <w:rPr>
                <w:bCs/>
                <w:iCs/>
                <w:sz w:val="18"/>
                <w:szCs w:val="18"/>
              </w:rPr>
            </w:pPr>
            <w:r w:rsidRPr="00872D7E">
              <w:rPr>
                <w:b/>
                <w:bCs/>
                <w:iCs/>
                <w:sz w:val="18"/>
                <w:szCs w:val="18"/>
              </w:rPr>
              <w:t xml:space="preserve">Krediler </w:t>
            </w:r>
          </w:p>
        </w:tc>
        <w:tc>
          <w:tcPr>
            <w:tcW w:w="588" w:type="pct"/>
            <w:shd w:val="clear" w:color="auto" w:fill="FFFFFF"/>
            <w:vAlign w:val="bottom"/>
          </w:tcPr>
          <w:p w14:paraId="5BE70861" w14:textId="77777777" w:rsidR="002152D0" w:rsidRPr="00872D7E" w:rsidRDefault="002152D0" w:rsidP="00D80152">
            <w:pPr>
              <w:tabs>
                <w:tab w:val="center" w:pos="564"/>
                <w:tab w:val="left" w:pos="1010"/>
                <w:tab w:val="right" w:pos="1128"/>
              </w:tabs>
              <w:ind w:right="105"/>
              <w:jc w:val="right"/>
              <w:rPr>
                <w:sz w:val="18"/>
                <w:szCs w:val="18"/>
              </w:rPr>
            </w:pPr>
          </w:p>
        </w:tc>
        <w:tc>
          <w:tcPr>
            <w:tcW w:w="516" w:type="pct"/>
            <w:shd w:val="clear" w:color="auto" w:fill="FFFFFF"/>
            <w:vAlign w:val="bottom"/>
          </w:tcPr>
          <w:p w14:paraId="4939557E" w14:textId="77777777" w:rsidR="002152D0" w:rsidRPr="00872D7E" w:rsidRDefault="002152D0" w:rsidP="00D80152">
            <w:pPr>
              <w:tabs>
                <w:tab w:val="center" w:pos="564"/>
                <w:tab w:val="left" w:pos="1010"/>
                <w:tab w:val="right" w:pos="1128"/>
              </w:tabs>
              <w:ind w:right="105"/>
              <w:jc w:val="right"/>
              <w:rPr>
                <w:sz w:val="18"/>
                <w:szCs w:val="18"/>
              </w:rPr>
            </w:pPr>
          </w:p>
        </w:tc>
        <w:tc>
          <w:tcPr>
            <w:tcW w:w="515" w:type="pct"/>
            <w:shd w:val="clear" w:color="auto" w:fill="FFFFFF"/>
            <w:vAlign w:val="bottom"/>
          </w:tcPr>
          <w:p w14:paraId="37919DF6" w14:textId="77777777" w:rsidR="002152D0" w:rsidRPr="00872D7E" w:rsidRDefault="002152D0" w:rsidP="00D80152">
            <w:pPr>
              <w:tabs>
                <w:tab w:val="center" w:pos="564"/>
                <w:tab w:val="left" w:pos="1010"/>
                <w:tab w:val="right" w:pos="1128"/>
              </w:tabs>
              <w:ind w:right="105"/>
              <w:jc w:val="right"/>
              <w:rPr>
                <w:sz w:val="18"/>
                <w:szCs w:val="18"/>
              </w:rPr>
            </w:pPr>
          </w:p>
        </w:tc>
        <w:tc>
          <w:tcPr>
            <w:tcW w:w="589" w:type="pct"/>
            <w:shd w:val="clear" w:color="auto" w:fill="FFFFFF"/>
            <w:vAlign w:val="bottom"/>
          </w:tcPr>
          <w:p w14:paraId="6865C261" w14:textId="77777777" w:rsidR="002152D0" w:rsidRPr="00872D7E" w:rsidRDefault="002152D0" w:rsidP="00D80152">
            <w:pPr>
              <w:tabs>
                <w:tab w:val="center" w:pos="564"/>
                <w:tab w:val="left" w:pos="1010"/>
                <w:tab w:val="right" w:pos="1128"/>
              </w:tabs>
              <w:ind w:right="105"/>
              <w:jc w:val="right"/>
              <w:rPr>
                <w:sz w:val="18"/>
                <w:szCs w:val="18"/>
              </w:rPr>
            </w:pPr>
          </w:p>
        </w:tc>
        <w:tc>
          <w:tcPr>
            <w:tcW w:w="589" w:type="pct"/>
            <w:shd w:val="clear" w:color="auto" w:fill="FFFFFF"/>
            <w:vAlign w:val="bottom"/>
          </w:tcPr>
          <w:p w14:paraId="22DEDF2D" w14:textId="77777777" w:rsidR="002152D0" w:rsidRPr="00872D7E" w:rsidRDefault="002152D0" w:rsidP="00D80152">
            <w:pPr>
              <w:tabs>
                <w:tab w:val="center" w:pos="564"/>
                <w:tab w:val="left" w:pos="1010"/>
                <w:tab w:val="right" w:pos="1128"/>
              </w:tabs>
              <w:ind w:right="105"/>
              <w:jc w:val="right"/>
              <w:rPr>
                <w:sz w:val="18"/>
                <w:szCs w:val="18"/>
              </w:rPr>
            </w:pPr>
          </w:p>
        </w:tc>
        <w:tc>
          <w:tcPr>
            <w:tcW w:w="516" w:type="pct"/>
            <w:shd w:val="clear" w:color="auto" w:fill="FFFFFF"/>
            <w:vAlign w:val="bottom"/>
          </w:tcPr>
          <w:p w14:paraId="5B249651" w14:textId="77777777" w:rsidR="002152D0" w:rsidRPr="00872D7E" w:rsidRDefault="002152D0" w:rsidP="00D80152">
            <w:pPr>
              <w:tabs>
                <w:tab w:val="center" w:pos="564"/>
                <w:tab w:val="left" w:pos="1010"/>
                <w:tab w:val="right" w:pos="1128"/>
              </w:tabs>
              <w:ind w:right="105"/>
              <w:jc w:val="right"/>
              <w:rPr>
                <w:sz w:val="18"/>
                <w:szCs w:val="18"/>
              </w:rPr>
            </w:pPr>
          </w:p>
        </w:tc>
      </w:tr>
      <w:tr w:rsidR="00F63086" w:rsidRPr="00872D7E" w14:paraId="0F669016" w14:textId="77777777" w:rsidTr="00D80152">
        <w:trPr>
          <w:trHeight w:val="126"/>
        </w:trPr>
        <w:tc>
          <w:tcPr>
            <w:tcW w:w="1687" w:type="pct"/>
            <w:shd w:val="clear" w:color="auto" w:fill="FFFFFF"/>
            <w:vAlign w:val="bottom"/>
          </w:tcPr>
          <w:p w14:paraId="2513F2AC" w14:textId="77777777" w:rsidR="00F63086" w:rsidRPr="00872D7E" w:rsidRDefault="00F63086" w:rsidP="00F63086">
            <w:pPr>
              <w:ind w:left="235"/>
              <w:rPr>
                <w:bCs/>
                <w:iCs/>
                <w:sz w:val="18"/>
                <w:szCs w:val="18"/>
              </w:rPr>
            </w:pPr>
            <w:r w:rsidRPr="00872D7E">
              <w:rPr>
                <w:bCs/>
                <w:iCs/>
                <w:sz w:val="18"/>
                <w:szCs w:val="18"/>
              </w:rPr>
              <w:t xml:space="preserve">Dönem Başı Bakiyesi </w:t>
            </w:r>
          </w:p>
        </w:tc>
        <w:tc>
          <w:tcPr>
            <w:tcW w:w="588" w:type="pct"/>
            <w:tcBorders>
              <w:top w:val="nil"/>
              <w:left w:val="nil"/>
              <w:right w:val="nil"/>
            </w:tcBorders>
            <w:shd w:val="clear" w:color="auto" w:fill="auto"/>
            <w:vAlign w:val="bottom"/>
          </w:tcPr>
          <w:p w14:paraId="0951665D" w14:textId="4773B1AE"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516" w:type="pct"/>
            <w:tcBorders>
              <w:top w:val="nil"/>
              <w:left w:val="nil"/>
              <w:right w:val="nil"/>
            </w:tcBorders>
            <w:shd w:val="clear" w:color="auto" w:fill="auto"/>
            <w:vAlign w:val="bottom"/>
          </w:tcPr>
          <w:p w14:paraId="12D0A1E7" w14:textId="54ACB652"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515" w:type="pct"/>
            <w:tcBorders>
              <w:top w:val="nil"/>
              <w:left w:val="nil"/>
              <w:right w:val="nil"/>
            </w:tcBorders>
            <w:shd w:val="clear" w:color="auto" w:fill="auto"/>
            <w:vAlign w:val="bottom"/>
          </w:tcPr>
          <w:p w14:paraId="68DFE385" w14:textId="78713823"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589" w:type="pct"/>
            <w:tcBorders>
              <w:top w:val="nil"/>
              <w:left w:val="nil"/>
              <w:right w:val="nil"/>
            </w:tcBorders>
            <w:shd w:val="clear" w:color="auto" w:fill="auto"/>
            <w:vAlign w:val="bottom"/>
          </w:tcPr>
          <w:p w14:paraId="702865E4" w14:textId="147E1B74"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589" w:type="pct"/>
            <w:tcBorders>
              <w:top w:val="nil"/>
              <w:left w:val="nil"/>
              <w:right w:val="nil"/>
            </w:tcBorders>
            <w:shd w:val="clear" w:color="auto" w:fill="auto"/>
            <w:vAlign w:val="bottom"/>
          </w:tcPr>
          <w:p w14:paraId="58D9D057" w14:textId="44B49574"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516" w:type="pct"/>
            <w:tcBorders>
              <w:top w:val="nil"/>
              <w:left w:val="nil"/>
              <w:right w:val="nil"/>
            </w:tcBorders>
            <w:shd w:val="clear" w:color="auto" w:fill="auto"/>
            <w:vAlign w:val="bottom"/>
          </w:tcPr>
          <w:p w14:paraId="371A84D4" w14:textId="62F5E11E"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r>
      <w:tr w:rsidR="00F63086" w:rsidRPr="00872D7E" w14:paraId="372BB1A3" w14:textId="77777777" w:rsidTr="00683052">
        <w:trPr>
          <w:trHeight w:val="126"/>
        </w:trPr>
        <w:tc>
          <w:tcPr>
            <w:tcW w:w="1687" w:type="pct"/>
            <w:shd w:val="clear" w:color="auto" w:fill="FFFFFF"/>
            <w:vAlign w:val="bottom"/>
          </w:tcPr>
          <w:p w14:paraId="6CB25203" w14:textId="77777777" w:rsidR="00F63086" w:rsidRPr="00872D7E" w:rsidRDefault="00F63086" w:rsidP="00F63086">
            <w:pPr>
              <w:ind w:left="235"/>
              <w:rPr>
                <w:bCs/>
                <w:iCs/>
                <w:sz w:val="18"/>
                <w:szCs w:val="18"/>
              </w:rPr>
            </w:pPr>
            <w:r w:rsidRPr="00872D7E">
              <w:rPr>
                <w:bCs/>
                <w:iCs/>
                <w:sz w:val="18"/>
                <w:szCs w:val="18"/>
              </w:rPr>
              <w:t>Dönem Sonu Bakiyesi</w:t>
            </w:r>
          </w:p>
        </w:tc>
        <w:tc>
          <w:tcPr>
            <w:tcW w:w="588" w:type="pct"/>
            <w:tcBorders>
              <w:top w:val="nil"/>
              <w:left w:val="nil"/>
              <w:right w:val="nil"/>
            </w:tcBorders>
            <w:shd w:val="clear" w:color="auto" w:fill="auto"/>
            <w:vAlign w:val="bottom"/>
          </w:tcPr>
          <w:p w14:paraId="10013BDF" w14:textId="20347CDB"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516" w:type="pct"/>
            <w:tcBorders>
              <w:top w:val="nil"/>
              <w:left w:val="nil"/>
              <w:right w:val="nil"/>
            </w:tcBorders>
            <w:shd w:val="clear" w:color="auto" w:fill="auto"/>
            <w:vAlign w:val="bottom"/>
          </w:tcPr>
          <w:p w14:paraId="1A629A61" w14:textId="4B305FC2"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515" w:type="pct"/>
            <w:tcBorders>
              <w:top w:val="nil"/>
              <w:left w:val="nil"/>
              <w:right w:val="nil"/>
            </w:tcBorders>
            <w:shd w:val="clear" w:color="auto" w:fill="auto"/>
            <w:vAlign w:val="bottom"/>
          </w:tcPr>
          <w:p w14:paraId="53C92FD6" w14:textId="51E6AEB1"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589" w:type="pct"/>
            <w:tcBorders>
              <w:top w:val="nil"/>
              <w:left w:val="nil"/>
              <w:right w:val="nil"/>
            </w:tcBorders>
            <w:shd w:val="clear" w:color="auto" w:fill="auto"/>
            <w:vAlign w:val="bottom"/>
          </w:tcPr>
          <w:p w14:paraId="683D1236" w14:textId="41E3B5D7"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589" w:type="pct"/>
            <w:tcBorders>
              <w:top w:val="nil"/>
              <w:left w:val="nil"/>
              <w:right w:val="nil"/>
            </w:tcBorders>
            <w:shd w:val="clear" w:color="auto" w:fill="auto"/>
            <w:vAlign w:val="bottom"/>
          </w:tcPr>
          <w:p w14:paraId="09F089EC" w14:textId="104F2AC5"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739.947</w:t>
            </w:r>
          </w:p>
        </w:tc>
        <w:tc>
          <w:tcPr>
            <w:tcW w:w="516" w:type="pct"/>
            <w:tcBorders>
              <w:top w:val="nil"/>
              <w:left w:val="nil"/>
              <w:right w:val="nil"/>
            </w:tcBorders>
            <w:shd w:val="clear" w:color="auto" w:fill="auto"/>
            <w:vAlign w:val="bottom"/>
          </w:tcPr>
          <w:p w14:paraId="6BE7D037" w14:textId="5241DAF9"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r>
      <w:tr w:rsidR="00F63086" w:rsidRPr="00872D7E" w14:paraId="49C93099" w14:textId="77777777" w:rsidTr="00683052">
        <w:trPr>
          <w:trHeight w:val="126"/>
        </w:trPr>
        <w:tc>
          <w:tcPr>
            <w:tcW w:w="1687" w:type="pct"/>
            <w:tcBorders>
              <w:bottom w:val="single" w:sz="4" w:space="0" w:color="auto"/>
            </w:tcBorders>
            <w:shd w:val="clear" w:color="auto" w:fill="FFFFFF"/>
            <w:vAlign w:val="bottom"/>
          </w:tcPr>
          <w:p w14:paraId="224A842C" w14:textId="77777777" w:rsidR="00F63086" w:rsidRPr="00872D7E" w:rsidRDefault="00F63086" w:rsidP="00F63086">
            <w:pPr>
              <w:rPr>
                <w:b/>
                <w:bCs/>
                <w:iCs/>
                <w:sz w:val="18"/>
                <w:szCs w:val="18"/>
              </w:rPr>
            </w:pPr>
            <w:r w:rsidRPr="00872D7E">
              <w:rPr>
                <w:b/>
                <w:bCs/>
                <w:iCs/>
                <w:sz w:val="18"/>
                <w:szCs w:val="18"/>
              </w:rPr>
              <w:t>Alınan Kar Payı ve Komisyon Gelirleri</w:t>
            </w:r>
          </w:p>
        </w:tc>
        <w:tc>
          <w:tcPr>
            <w:tcW w:w="588" w:type="pct"/>
            <w:tcBorders>
              <w:top w:val="nil"/>
              <w:left w:val="nil"/>
              <w:bottom w:val="single" w:sz="4" w:space="0" w:color="auto"/>
              <w:right w:val="nil"/>
            </w:tcBorders>
            <w:shd w:val="clear" w:color="auto" w:fill="auto"/>
            <w:vAlign w:val="bottom"/>
          </w:tcPr>
          <w:p w14:paraId="1FBD4A2D" w14:textId="475C0AFB" w:rsidR="00F63086" w:rsidRPr="00872D7E" w:rsidRDefault="00F63086" w:rsidP="00D80152">
            <w:pPr>
              <w:tabs>
                <w:tab w:val="center" w:pos="564"/>
                <w:tab w:val="left" w:pos="1010"/>
                <w:tab w:val="right" w:pos="1128"/>
              </w:tabs>
              <w:ind w:right="105"/>
              <w:jc w:val="right"/>
              <w:rPr>
                <w:b/>
                <w:sz w:val="18"/>
                <w:szCs w:val="18"/>
              </w:rPr>
            </w:pPr>
            <w:r w:rsidRPr="00872D7E">
              <w:rPr>
                <w:b/>
                <w:bCs/>
                <w:color w:val="000000"/>
                <w:sz w:val="18"/>
                <w:szCs w:val="18"/>
              </w:rPr>
              <w:t>-</w:t>
            </w:r>
          </w:p>
        </w:tc>
        <w:tc>
          <w:tcPr>
            <w:tcW w:w="516" w:type="pct"/>
            <w:tcBorders>
              <w:top w:val="nil"/>
              <w:left w:val="nil"/>
              <w:bottom w:val="single" w:sz="4" w:space="0" w:color="auto"/>
              <w:right w:val="nil"/>
            </w:tcBorders>
            <w:shd w:val="clear" w:color="auto" w:fill="auto"/>
            <w:vAlign w:val="bottom"/>
          </w:tcPr>
          <w:p w14:paraId="3BD3710C" w14:textId="6AF4E9E0" w:rsidR="00F63086" w:rsidRPr="00872D7E" w:rsidRDefault="00F63086" w:rsidP="00D80152">
            <w:pPr>
              <w:tabs>
                <w:tab w:val="center" w:pos="564"/>
                <w:tab w:val="left" w:pos="1010"/>
                <w:tab w:val="right" w:pos="1128"/>
              </w:tabs>
              <w:ind w:right="105"/>
              <w:jc w:val="right"/>
              <w:rPr>
                <w:b/>
                <w:sz w:val="18"/>
                <w:szCs w:val="18"/>
              </w:rPr>
            </w:pPr>
            <w:r w:rsidRPr="00872D7E">
              <w:rPr>
                <w:b/>
                <w:bCs/>
                <w:color w:val="000000"/>
                <w:sz w:val="18"/>
                <w:szCs w:val="18"/>
              </w:rPr>
              <w:t>-</w:t>
            </w:r>
          </w:p>
        </w:tc>
        <w:tc>
          <w:tcPr>
            <w:tcW w:w="515" w:type="pct"/>
            <w:tcBorders>
              <w:top w:val="nil"/>
              <w:left w:val="nil"/>
              <w:bottom w:val="single" w:sz="4" w:space="0" w:color="auto"/>
              <w:right w:val="nil"/>
            </w:tcBorders>
            <w:shd w:val="clear" w:color="auto" w:fill="auto"/>
            <w:vAlign w:val="bottom"/>
          </w:tcPr>
          <w:p w14:paraId="39A4A4E3" w14:textId="031D9D63" w:rsidR="00F63086" w:rsidRPr="00872D7E" w:rsidRDefault="00F63086" w:rsidP="00D80152">
            <w:pPr>
              <w:tabs>
                <w:tab w:val="center" w:pos="564"/>
                <w:tab w:val="left" w:pos="1010"/>
                <w:tab w:val="right" w:pos="1128"/>
              </w:tabs>
              <w:ind w:right="105"/>
              <w:jc w:val="right"/>
              <w:rPr>
                <w:b/>
                <w:sz w:val="18"/>
                <w:szCs w:val="18"/>
              </w:rPr>
            </w:pPr>
            <w:r w:rsidRPr="00872D7E">
              <w:rPr>
                <w:b/>
                <w:bCs/>
                <w:color w:val="000000"/>
                <w:sz w:val="18"/>
                <w:szCs w:val="18"/>
              </w:rPr>
              <w:t>-</w:t>
            </w:r>
          </w:p>
        </w:tc>
        <w:tc>
          <w:tcPr>
            <w:tcW w:w="589" w:type="pct"/>
            <w:tcBorders>
              <w:top w:val="nil"/>
              <w:left w:val="nil"/>
              <w:bottom w:val="single" w:sz="4" w:space="0" w:color="auto"/>
              <w:right w:val="nil"/>
            </w:tcBorders>
            <w:shd w:val="clear" w:color="auto" w:fill="auto"/>
            <w:vAlign w:val="bottom"/>
          </w:tcPr>
          <w:p w14:paraId="7C5675E6" w14:textId="79DD8A68" w:rsidR="00F63086" w:rsidRPr="00872D7E" w:rsidRDefault="00F63086" w:rsidP="00D80152">
            <w:pPr>
              <w:tabs>
                <w:tab w:val="center" w:pos="564"/>
                <w:tab w:val="left" w:pos="1010"/>
                <w:tab w:val="right" w:pos="1128"/>
              </w:tabs>
              <w:ind w:right="105"/>
              <w:jc w:val="right"/>
              <w:rPr>
                <w:b/>
                <w:sz w:val="18"/>
                <w:szCs w:val="18"/>
              </w:rPr>
            </w:pPr>
            <w:r w:rsidRPr="00872D7E">
              <w:rPr>
                <w:b/>
                <w:bCs/>
                <w:color w:val="000000"/>
                <w:sz w:val="18"/>
                <w:szCs w:val="18"/>
              </w:rPr>
              <w:t>-</w:t>
            </w:r>
          </w:p>
        </w:tc>
        <w:tc>
          <w:tcPr>
            <w:tcW w:w="589" w:type="pct"/>
            <w:tcBorders>
              <w:top w:val="nil"/>
              <w:left w:val="nil"/>
              <w:bottom w:val="single" w:sz="4" w:space="0" w:color="auto"/>
              <w:right w:val="nil"/>
            </w:tcBorders>
            <w:shd w:val="clear" w:color="auto" w:fill="auto"/>
            <w:vAlign w:val="bottom"/>
          </w:tcPr>
          <w:p w14:paraId="1BF5E5CD" w14:textId="65FC1680" w:rsidR="00F63086" w:rsidRPr="00872D7E" w:rsidRDefault="00F63086" w:rsidP="00D80152">
            <w:pPr>
              <w:tabs>
                <w:tab w:val="center" w:pos="564"/>
                <w:tab w:val="left" w:pos="1010"/>
                <w:tab w:val="right" w:pos="1128"/>
              </w:tabs>
              <w:ind w:right="105"/>
              <w:jc w:val="right"/>
              <w:rPr>
                <w:b/>
                <w:sz w:val="18"/>
                <w:szCs w:val="18"/>
              </w:rPr>
            </w:pPr>
            <w:r w:rsidRPr="00872D7E">
              <w:rPr>
                <w:b/>
                <w:bCs/>
                <w:color w:val="000000"/>
                <w:sz w:val="18"/>
                <w:szCs w:val="18"/>
              </w:rPr>
              <w:t>66.453</w:t>
            </w:r>
          </w:p>
        </w:tc>
        <w:tc>
          <w:tcPr>
            <w:tcW w:w="516" w:type="pct"/>
            <w:tcBorders>
              <w:top w:val="nil"/>
              <w:left w:val="nil"/>
              <w:bottom w:val="single" w:sz="4" w:space="0" w:color="auto"/>
              <w:right w:val="nil"/>
            </w:tcBorders>
            <w:shd w:val="clear" w:color="auto" w:fill="auto"/>
            <w:vAlign w:val="bottom"/>
          </w:tcPr>
          <w:p w14:paraId="437DBD05" w14:textId="51F813AE" w:rsidR="00F63086" w:rsidRPr="00872D7E" w:rsidRDefault="00F63086" w:rsidP="00D80152">
            <w:pPr>
              <w:tabs>
                <w:tab w:val="center" w:pos="564"/>
                <w:tab w:val="left" w:pos="1010"/>
                <w:tab w:val="right" w:pos="1128"/>
              </w:tabs>
              <w:ind w:right="105"/>
              <w:jc w:val="right"/>
              <w:rPr>
                <w:b/>
                <w:sz w:val="18"/>
                <w:szCs w:val="18"/>
              </w:rPr>
            </w:pPr>
            <w:r w:rsidRPr="00872D7E">
              <w:rPr>
                <w:b/>
                <w:bCs/>
                <w:color w:val="000000"/>
                <w:sz w:val="18"/>
                <w:szCs w:val="18"/>
              </w:rPr>
              <w:t>-</w:t>
            </w:r>
          </w:p>
        </w:tc>
      </w:tr>
    </w:tbl>
    <w:p w14:paraId="4FF74912" w14:textId="1D63F019" w:rsidR="002152D0" w:rsidRPr="00872D7E" w:rsidRDefault="002152D0" w:rsidP="002152D0">
      <w:pPr>
        <w:pStyle w:val="BodyTextIndent"/>
        <w:widowControl w:val="0"/>
        <w:ind w:right="206"/>
        <w:rPr>
          <w:b/>
          <w:iCs/>
          <w:szCs w:val="20"/>
        </w:rPr>
      </w:pPr>
    </w:p>
    <w:p w14:paraId="19EF22A4" w14:textId="43755FA2" w:rsidR="002152D0" w:rsidRPr="00872D7E" w:rsidRDefault="002152D0" w:rsidP="00221305">
      <w:pPr>
        <w:pStyle w:val="ListParagraph"/>
        <w:numPr>
          <w:ilvl w:val="1"/>
          <w:numId w:val="2"/>
        </w:numPr>
        <w:tabs>
          <w:tab w:val="clear" w:pos="1440"/>
        </w:tabs>
        <w:ind w:left="851" w:hanging="851"/>
        <w:rPr>
          <w:b/>
          <w:bCs/>
        </w:rPr>
      </w:pPr>
      <w:r w:rsidRPr="00872D7E">
        <w:rPr>
          <w:b/>
          <w:bCs/>
        </w:rPr>
        <w:t>Banka’nın dahil olduğu risk grubuna ait özel cari ve katılma hesaplarına ilişkin bilgiler:</w:t>
      </w:r>
    </w:p>
    <w:p w14:paraId="08E2A9C3" w14:textId="77777777" w:rsidR="001118CB" w:rsidRPr="00872D7E" w:rsidRDefault="001118CB" w:rsidP="001118CB">
      <w:pPr>
        <w:pStyle w:val="ListParagraph"/>
        <w:ind w:left="0"/>
        <w:rPr>
          <w:b/>
          <w:bCs/>
        </w:rPr>
      </w:pPr>
    </w:p>
    <w:tbl>
      <w:tblPr>
        <w:tblW w:w="5000" w:type="pct"/>
        <w:tblCellMar>
          <w:left w:w="0" w:type="dxa"/>
          <w:right w:w="0" w:type="dxa"/>
        </w:tblCellMar>
        <w:tblLook w:val="0000" w:firstRow="0" w:lastRow="0" w:firstColumn="0" w:lastColumn="0" w:noHBand="0" w:noVBand="0"/>
      </w:tblPr>
      <w:tblGrid>
        <w:gridCol w:w="3152"/>
        <w:gridCol w:w="2067"/>
        <w:gridCol w:w="2069"/>
        <w:gridCol w:w="2067"/>
      </w:tblGrid>
      <w:tr w:rsidR="00CD5F48" w:rsidRPr="00872D7E" w14:paraId="668BDB8B" w14:textId="77777777" w:rsidTr="00683052">
        <w:trPr>
          <w:trHeight w:val="113"/>
        </w:trPr>
        <w:tc>
          <w:tcPr>
            <w:tcW w:w="1684" w:type="pct"/>
            <w:tcBorders>
              <w:top w:val="single" w:sz="4" w:space="0" w:color="auto"/>
              <w:bottom w:val="single" w:sz="4" w:space="0" w:color="auto"/>
            </w:tcBorders>
            <w:noWrap/>
            <w:tcMar>
              <w:top w:w="15" w:type="dxa"/>
              <w:left w:w="15" w:type="dxa"/>
              <w:bottom w:w="0" w:type="dxa"/>
              <w:right w:w="15" w:type="dxa"/>
            </w:tcMar>
            <w:vAlign w:val="bottom"/>
          </w:tcPr>
          <w:p w14:paraId="0610AE8B" w14:textId="14030441" w:rsidR="00CD5F48" w:rsidRPr="00872D7E" w:rsidRDefault="00CD5F48" w:rsidP="00BB0581">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872D7E">
              <w:rPr>
                <w:rFonts w:eastAsia="Times New Roman"/>
                <w:b/>
                <w:bCs/>
                <w:iCs/>
                <w:noProof w:val="0"/>
              </w:rPr>
              <w:t>Banka’nın Dahil Olduğu Risk Grubu</w:t>
            </w:r>
          </w:p>
        </w:tc>
        <w:tc>
          <w:tcPr>
            <w:tcW w:w="1105" w:type="pct"/>
            <w:tcBorders>
              <w:top w:val="single" w:sz="4" w:space="0" w:color="auto"/>
              <w:bottom w:val="single" w:sz="4" w:space="0" w:color="auto"/>
            </w:tcBorders>
            <w:vAlign w:val="bottom"/>
          </w:tcPr>
          <w:p w14:paraId="34269E10" w14:textId="1833ACA9" w:rsidR="00CD5F48" w:rsidRPr="00872D7E" w:rsidRDefault="00CD5F48" w:rsidP="00D80152">
            <w:pPr>
              <w:jc w:val="right"/>
              <w:rPr>
                <w:b/>
                <w:bCs/>
                <w:iCs/>
                <w:sz w:val="18"/>
                <w:szCs w:val="18"/>
              </w:rPr>
            </w:pPr>
            <w:r w:rsidRPr="00872D7E">
              <w:rPr>
                <w:b/>
                <w:bCs/>
                <w:iCs/>
                <w:sz w:val="18"/>
                <w:szCs w:val="18"/>
              </w:rPr>
              <w:t>İştirak, Bağlı Ortaklık ve Birlikte Kontrol Edilen Ortaklıklar (İş Ortaklıkları)</w:t>
            </w:r>
          </w:p>
        </w:tc>
        <w:tc>
          <w:tcPr>
            <w:tcW w:w="1106" w:type="pct"/>
            <w:tcBorders>
              <w:top w:val="single" w:sz="4" w:space="0" w:color="auto"/>
              <w:bottom w:val="single" w:sz="4" w:space="0" w:color="auto"/>
            </w:tcBorders>
            <w:vAlign w:val="bottom"/>
          </w:tcPr>
          <w:p w14:paraId="32F46126" w14:textId="08916C6F" w:rsidR="00CD5F48" w:rsidRPr="00872D7E" w:rsidRDefault="00CD5F48" w:rsidP="00D80152">
            <w:pPr>
              <w:jc w:val="right"/>
              <w:rPr>
                <w:b/>
                <w:bCs/>
                <w:iCs/>
                <w:sz w:val="18"/>
                <w:szCs w:val="18"/>
              </w:rPr>
            </w:pPr>
            <w:r w:rsidRPr="00872D7E">
              <w:rPr>
                <w:b/>
                <w:bCs/>
                <w:iCs/>
                <w:sz w:val="18"/>
                <w:szCs w:val="18"/>
              </w:rPr>
              <w:t>Banka’nın Doğrudan ve Dolaylı Ortakları</w:t>
            </w:r>
          </w:p>
        </w:tc>
        <w:tc>
          <w:tcPr>
            <w:tcW w:w="1106" w:type="pct"/>
            <w:tcBorders>
              <w:top w:val="single" w:sz="4" w:space="0" w:color="auto"/>
              <w:bottom w:val="single" w:sz="4" w:space="0" w:color="auto"/>
            </w:tcBorders>
            <w:vAlign w:val="bottom"/>
          </w:tcPr>
          <w:p w14:paraId="774D22D5" w14:textId="4EE53E56" w:rsidR="00CD5F48" w:rsidRPr="00872D7E" w:rsidRDefault="00CD5F48" w:rsidP="00D80152">
            <w:pPr>
              <w:jc w:val="right"/>
              <w:rPr>
                <w:b/>
                <w:bCs/>
                <w:iCs/>
                <w:sz w:val="18"/>
                <w:szCs w:val="18"/>
              </w:rPr>
            </w:pPr>
            <w:r w:rsidRPr="00872D7E">
              <w:rPr>
                <w:b/>
                <w:bCs/>
                <w:iCs/>
                <w:sz w:val="18"/>
                <w:szCs w:val="18"/>
              </w:rPr>
              <w:t>Risk Grubuna Dahil Olan Diğer Gerçek ve Tüzel Kişiler</w:t>
            </w:r>
          </w:p>
        </w:tc>
      </w:tr>
      <w:tr w:rsidR="00CD5F48" w:rsidRPr="00872D7E" w14:paraId="4A391201" w14:textId="77777777" w:rsidTr="00683052">
        <w:trPr>
          <w:trHeight w:val="113"/>
        </w:trPr>
        <w:tc>
          <w:tcPr>
            <w:tcW w:w="1684" w:type="pct"/>
            <w:tcBorders>
              <w:top w:val="single" w:sz="4" w:space="0" w:color="auto"/>
              <w:bottom w:val="single" w:sz="4" w:space="0" w:color="auto"/>
            </w:tcBorders>
            <w:noWrap/>
            <w:tcMar>
              <w:top w:w="15" w:type="dxa"/>
              <w:left w:w="15" w:type="dxa"/>
              <w:bottom w:w="0" w:type="dxa"/>
              <w:right w:w="15" w:type="dxa"/>
            </w:tcMar>
            <w:vAlign w:val="bottom"/>
          </w:tcPr>
          <w:p w14:paraId="1E726221" w14:textId="77777777" w:rsidR="00CD5F48" w:rsidRPr="00872D7E" w:rsidRDefault="00CD5F48" w:rsidP="00CD5F48">
            <w:pPr>
              <w:jc w:val="both"/>
              <w:rPr>
                <w:rFonts w:eastAsia="Arial Unicode MS"/>
                <w:b/>
                <w:sz w:val="18"/>
                <w:szCs w:val="18"/>
              </w:rPr>
            </w:pPr>
          </w:p>
        </w:tc>
        <w:tc>
          <w:tcPr>
            <w:tcW w:w="1105" w:type="pct"/>
            <w:tcBorders>
              <w:top w:val="single" w:sz="4" w:space="0" w:color="auto"/>
              <w:bottom w:val="single" w:sz="4" w:space="0" w:color="auto"/>
            </w:tcBorders>
            <w:vAlign w:val="bottom"/>
          </w:tcPr>
          <w:p w14:paraId="084CDD00" w14:textId="08D031C7" w:rsidR="00CD5F48" w:rsidRPr="00872D7E" w:rsidRDefault="00AE0B9A" w:rsidP="00D80152">
            <w:pPr>
              <w:ind w:right="94"/>
              <w:jc w:val="right"/>
              <w:rPr>
                <w:b/>
                <w:bCs/>
                <w:iCs/>
                <w:sz w:val="18"/>
                <w:szCs w:val="18"/>
              </w:rPr>
            </w:pPr>
            <w:r w:rsidRPr="00872D7E">
              <w:rPr>
                <w:b/>
                <w:bCs/>
                <w:iCs/>
                <w:sz w:val="18"/>
                <w:szCs w:val="18"/>
              </w:rPr>
              <w:t>31 Aralık</w:t>
            </w:r>
            <w:r w:rsidR="00C160E4" w:rsidRPr="00872D7E">
              <w:rPr>
                <w:b/>
                <w:bCs/>
                <w:iCs/>
                <w:sz w:val="18"/>
                <w:szCs w:val="18"/>
              </w:rPr>
              <w:t xml:space="preserve"> </w:t>
            </w:r>
            <w:r w:rsidR="00164814" w:rsidRPr="00872D7E">
              <w:rPr>
                <w:b/>
                <w:bCs/>
                <w:iCs/>
                <w:sz w:val="18"/>
                <w:szCs w:val="18"/>
              </w:rPr>
              <w:t>2024</w:t>
            </w:r>
          </w:p>
        </w:tc>
        <w:tc>
          <w:tcPr>
            <w:tcW w:w="1106" w:type="pct"/>
            <w:tcBorders>
              <w:top w:val="single" w:sz="4" w:space="0" w:color="auto"/>
              <w:bottom w:val="single" w:sz="4" w:space="0" w:color="auto"/>
            </w:tcBorders>
            <w:vAlign w:val="bottom"/>
          </w:tcPr>
          <w:p w14:paraId="79B72503" w14:textId="0D256B56" w:rsidR="00CD5F48" w:rsidRPr="00872D7E" w:rsidRDefault="00AE0B9A" w:rsidP="00D80152">
            <w:pPr>
              <w:ind w:right="94"/>
              <w:jc w:val="right"/>
              <w:rPr>
                <w:b/>
                <w:bCs/>
                <w:iCs/>
                <w:sz w:val="18"/>
                <w:szCs w:val="18"/>
              </w:rPr>
            </w:pPr>
            <w:r w:rsidRPr="00872D7E">
              <w:rPr>
                <w:b/>
                <w:bCs/>
                <w:iCs/>
                <w:sz w:val="18"/>
                <w:szCs w:val="18"/>
              </w:rPr>
              <w:t>31 Aralık</w:t>
            </w:r>
            <w:r w:rsidR="00C160E4" w:rsidRPr="00872D7E">
              <w:rPr>
                <w:b/>
                <w:bCs/>
                <w:iCs/>
                <w:sz w:val="18"/>
                <w:szCs w:val="18"/>
              </w:rPr>
              <w:t xml:space="preserve"> </w:t>
            </w:r>
            <w:r w:rsidR="00164814" w:rsidRPr="00872D7E">
              <w:rPr>
                <w:b/>
                <w:bCs/>
                <w:iCs/>
                <w:sz w:val="18"/>
                <w:szCs w:val="18"/>
              </w:rPr>
              <w:t>2024</w:t>
            </w:r>
          </w:p>
        </w:tc>
        <w:tc>
          <w:tcPr>
            <w:tcW w:w="1106" w:type="pct"/>
            <w:tcBorders>
              <w:top w:val="single" w:sz="4" w:space="0" w:color="auto"/>
              <w:bottom w:val="single" w:sz="4" w:space="0" w:color="auto"/>
            </w:tcBorders>
            <w:vAlign w:val="bottom"/>
          </w:tcPr>
          <w:p w14:paraId="1E039947" w14:textId="0464E39F" w:rsidR="00CD5F48" w:rsidRPr="00872D7E" w:rsidRDefault="00AE0B9A" w:rsidP="00D80152">
            <w:pPr>
              <w:ind w:right="94"/>
              <w:jc w:val="right"/>
              <w:rPr>
                <w:b/>
                <w:bCs/>
                <w:iCs/>
                <w:sz w:val="18"/>
                <w:szCs w:val="18"/>
              </w:rPr>
            </w:pPr>
            <w:r w:rsidRPr="00872D7E">
              <w:rPr>
                <w:b/>
                <w:bCs/>
                <w:iCs/>
                <w:sz w:val="18"/>
                <w:szCs w:val="18"/>
              </w:rPr>
              <w:t>31 Aralık</w:t>
            </w:r>
            <w:r w:rsidR="00C160E4" w:rsidRPr="00872D7E">
              <w:rPr>
                <w:b/>
                <w:bCs/>
                <w:iCs/>
                <w:sz w:val="18"/>
                <w:szCs w:val="18"/>
              </w:rPr>
              <w:t xml:space="preserve"> </w:t>
            </w:r>
            <w:r w:rsidR="00164814" w:rsidRPr="00872D7E">
              <w:rPr>
                <w:b/>
                <w:bCs/>
                <w:iCs/>
                <w:sz w:val="18"/>
                <w:szCs w:val="18"/>
              </w:rPr>
              <w:t>2024</w:t>
            </w:r>
          </w:p>
        </w:tc>
      </w:tr>
      <w:tr w:rsidR="00CD5F48" w:rsidRPr="00872D7E" w14:paraId="019DDF10" w14:textId="77777777" w:rsidTr="00683052">
        <w:trPr>
          <w:trHeight w:val="113"/>
        </w:trPr>
        <w:tc>
          <w:tcPr>
            <w:tcW w:w="1684" w:type="pct"/>
            <w:tcBorders>
              <w:top w:val="single" w:sz="4" w:space="0" w:color="auto"/>
            </w:tcBorders>
            <w:shd w:val="clear" w:color="auto" w:fill="auto"/>
            <w:noWrap/>
            <w:tcMar>
              <w:top w:w="15" w:type="dxa"/>
              <w:left w:w="15" w:type="dxa"/>
              <w:bottom w:w="0" w:type="dxa"/>
              <w:right w:w="15" w:type="dxa"/>
            </w:tcMar>
            <w:vAlign w:val="bottom"/>
          </w:tcPr>
          <w:p w14:paraId="0A748FAD" w14:textId="77777777" w:rsidR="00CD5F48" w:rsidRPr="00872D7E" w:rsidRDefault="00CD5F48" w:rsidP="00CD5F48">
            <w:pPr>
              <w:jc w:val="both"/>
              <w:rPr>
                <w:b/>
                <w:sz w:val="18"/>
                <w:szCs w:val="18"/>
              </w:rPr>
            </w:pPr>
          </w:p>
        </w:tc>
        <w:tc>
          <w:tcPr>
            <w:tcW w:w="1105" w:type="pct"/>
            <w:tcBorders>
              <w:top w:val="single" w:sz="4" w:space="0" w:color="auto"/>
            </w:tcBorders>
            <w:shd w:val="clear" w:color="auto" w:fill="auto"/>
            <w:vAlign w:val="bottom"/>
          </w:tcPr>
          <w:p w14:paraId="79A2510A" w14:textId="77777777" w:rsidR="00CD5F48" w:rsidRPr="00872D7E" w:rsidRDefault="00CD5F48" w:rsidP="00D80152">
            <w:pPr>
              <w:ind w:right="94"/>
              <w:jc w:val="right"/>
              <w:rPr>
                <w:bCs/>
                <w:iCs/>
                <w:sz w:val="18"/>
                <w:szCs w:val="18"/>
              </w:rPr>
            </w:pPr>
          </w:p>
        </w:tc>
        <w:tc>
          <w:tcPr>
            <w:tcW w:w="1106" w:type="pct"/>
            <w:tcBorders>
              <w:top w:val="single" w:sz="4" w:space="0" w:color="auto"/>
            </w:tcBorders>
            <w:shd w:val="clear" w:color="auto" w:fill="auto"/>
            <w:vAlign w:val="bottom"/>
          </w:tcPr>
          <w:p w14:paraId="504C6171" w14:textId="77777777" w:rsidR="00CD5F48" w:rsidRPr="00872D7E" w:rsidRDefault="00CD5F48" w:rsidP="00D80152">
            <w:pPr>
              <w:ind w:right="94"/>
              <w:jc w:val="right"/>
              <w:rPr>
                <w:bCs/>
                <w:iCs/>
                <w:sz w:val="18"/>
                <w:szCs w:val="18"/>
              </w:rPr>
            </w:pPr>
          </w:p>
        </w:tc>
        <w:tc>
          <w:tcPr>
            <w:tcW w:w="1106" w:type="pct"/>
            <w:tcBorders>
              <w:top w:val="single" w:sz="4" w:space="0" w:color="auto"/>
            </w:tcBorders>
            <w:shd w:val="clear" w:color="auto" w:fill="auto"/>
            <w:vAlign w:val="bottom"/>
          </w:tcPr>
          <w:p w14:paraId="4D8B1377" w14:textId="77777777" w:rsidR="00CD5F48" w:rsidRPr="00872D7E" w:rsidRDefault="00CD5F48" w:rsidP="00D80152">
            <w:pPr>
              <w:ind w:right="94"/>
              <w:jc w:val="right"/>
              <w:rPr>
                <w:bCs/>
                <w:iCs/>
                <w:sz w:val="18"/>
                <w:szCs w:val="18"/>
              </w:rPr>
            </w:pPr>
          </w:p>
        </w:tc>
      </w:tr>
      <w:tr w:rsidR="00CD5F48" w:rsidRPr="00872D7E" w14:paraId="3596AB15" w14:textId="77777777" w:rsidTr="00683052">
        <w:trPr>
          <w:trHeight w:val="55"/>
        </w:trPr>
        <w:tc>
          <w:tcPr>
            <w:tcW w:w="1684" w:type="pct"/>
            <w:shd w:val="clear" w:color="auto" w:fill="auto"/>
            <w:noWrap/>
            <w:tcMar>
              <w:top w:w="15" w:type="dxa"/>
              <w:left w:w="15" w:type="dxa"/>
              <w:bottom w:w="0" w:type="dxa"/>
              <w:right w:w="15" w:type="dxa"/>
            </w:tcMar>
            <w:vAlign w:val="bottom"/>
          </w:tcPr>
          <w:p w14:paraId="2083165F" w14:textId="77777777" w:rsidR="00CD5F48" w:rsidRPr="00872D7E" w:rsidRDefault="00CD5F48" w:rsidP="00CD5F48">
            <w:pPr>
              <w:jc w:val="both"/>
              <w:rPr>
                <w:sz w:val="18"/>
                <w:szCs w:val="18"/>
              </w:rPr>
            </w:pPr>
            <w:r w:rsidRPr="00872D7E">
              <w:rPr>
                <w:b/>
                <w:sz w:val="18"/>
                <w:szCs w:val="18"/>
              </w:rPr>
              <w:t>Özel Cari ve Katılma Hesapları</w:t>
            </w:r>
          </w:p>
        </w:tc>
        <w:tc>
          <w:tcPr>
            <w:tcW w:w="1105" w:type="pct"/>
            <w:shd w:val="clear" w:color="auto" w:fill="auto"/>
            <w:vAlign w:val="bottom"/>
          </w:tcPr>
          <w:p w14:paraId="59283AE8" w14:textId="77777777" w:rsidR="00CD5F48" w:rsidRPr="00872D7E" w:rsidRDefault="00CD5F48" w:rsidP="00D80152">
            <w:pPr>
              <w:ind w:right="94"/>
              <w:jc w:val="right"/>
              <w:rPr>
                <w:bCs/>
                <w:iCs/>
                <w:sz w:val="18"/>
                <w:szCs w:val="18"/>
              </w:rPr>
            </w:pPr>
          </w:p>
        </w:tc>
        <w:tc>
          <w:tcPr>
            <w:tcW w:w="1106" w:type="pct"/>
            <w:shd w:val="clear" w:color="auto" w:fill="auto"/>
            <w:vAlign w:val="bottom"/>
          </w:tcPr>
          <w:p w14:paraId="2E968C65" w14:textId="77777777" w:rsidR="00CD5F48" w:rsidRPr="00872D7E" w:rsidRDefault="00CD5F48" w:rsidP="00D80152">
            <w:pPr>
              <w:ind w:right="94"/>
              <w:jc w:val="right"/>
              <w:rPr>
                <w:bCs/>
                <w:iCs/>
                <w:sz w:val="18"/>
                <w:szCs w:val="18"/>
              </w:rPr>
            </w:pPr>
          </w:p>
        </w:tc>
        <w:tc>
          <w:tcPr>
            <w:tcW w:w="1106" w:type="pct"/>
            <w:shd w:val="clear" w:color="auto" w:fill="auto"/>
            <w:vAlign w:val="bottom"/>
          </w:tcPr>
          <w:p w14:paraId="3FC11E34" w14:textId="77777777" w:rsidR="00CD5F48" w:rsidRPr="00872D7E" w:rsidRDefault="00CD5F48" w:rsidP="00D80152">
            <w:pPr>
              <w:ind w:right="94"/>
              <w:jc w:val="right"/>
              <w:rPr>
                <w:bCs/>
                <w:iCs/>
                <w:sz w:val="18"/>
                <w:szCs w:val="18"/>
              </w:rPr>
            </w:pPr>
          </w:p>
        </w:tc>
      </w:tr>
      <w:tr w:rsidR="00F63086" w:rsidRPr="00872D7E" w14:paraId="09890F5F" w14:textId="77777777" w:rsidTr="00683052">
        <w:trPr>
          <w:trHeight w:val="113"/>
        </w:trPr>
        <w:tc>
          <w:tcPr>
            <w:tcW w:w="1684" w:type="pct"/>
            <w:shd w:val="clear" w:color="auto" w:fill="auto"/>
            <w:noWrap/>
            <w:tcMar>
              <w:top w:w="15" w:type="dxa"/>
              <w:left w:w="15" w:type="dxa"/>
              <w:bottom w:w="0" w:type="dxa"/>
              <w:right w:w="15" w:type="dxa"/>
            </w:tcMar>
            <w:vAlign w:val="bottom"/>
          </w:tcPr>
          <w:p w14:paraId="702E0B0F" w14:textId="77777777" w:rsidR="00F63086" w:rsidRPr="00872D7E" w:rsidRDefault="00F63086" w:rsidP="00F63086">
            <w:pPr>
              <w:ind w:left="111"/>
              <w:jc w:val="both"/>
              <w:rPr>
                <w:sz w:val="18"/>
                <w:szCs w:val="18"/>
              </w:rPr>
            </w:pPr>
            <w:r w:rsidRPr="00872D7E">
              <w:rPr>
                <w:sz w:val="18"/>
                <w:szCs w:val="18"/>
              </w:rPr>
              <w:t>Dönem Başı Bakiyesi</w:t>
            </w:r>
          </w:p>
        </w:tc>
        <w:tc>
          <w:tcPr>
            <w:tcW w:w="1105" w:type="pct"/>
            <w:tcBorders>
              <w:right w:val="nil"/>
            </w:tcBorders>
            <w:shd w:val="clear" w:color="auto" w:fill="auto"/>
            <w:vAlign w:val="bottom"/>
          </w:tcPr>
          <w:p w14:paraId="05E60AB0" w14:textId="78124F7E"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c>
          <w:tcPr>
            <w:tcW w:w="1106" w:type="pct"/>
            <w:shd w:val="clear" w:color="auto" w:fill="auto"/>
            <w:vAlign w:val="bottom"/>
          </w:tcPr>
          <w:p w14:paraId="4544591E" w14:textId="036FA8E7" w:rsidR="00F63086" w:rsidRPr="00872D7E" w:rsidRDefault="00F63086" w:rsidP="00D80152">
            <w:pPr>
              <w:tabs>
                <w:tab w:val="center" w:pos="564"/>
                <w:tab w:val="left" w:pos="1010"/>
                <w:tab w:val="right" w:pos="1128"/>
              </w:tabs>
              <w:ind w:right="105"/>
              <w:jc w:val="right"/>
              <w:rPr>
                <w:sz w:val="18"/>
                <w:szCs w:val="18"/>
              </w:rPr>
            </w:pPr>
            <w:r w:rsidRPr="00872D7E">
              <w:rPr>
                <w:sz w:val="18"/>
                <w:szCs w:val="18"/>
              </w:rPr>
              <w:t>-</w:t>
            </w:r>
          </w:p>
        </w:tc>
        <w:tc>
          <w:tcPr>
            <w:tcW w:w="1106" w:type="pct"/>
            <w:shd w:val="clear" w:color="auto" w:fill="auto"/>
            <w:vAlign w:val="bottom"/>
          </w:tcPr>
          <w:p w14:paraId="03D2D01D" w14:textId="22790A2B"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w:t>
            </w:r>
          </w:p>
        </w:tc>
      </w:tr>
      <w:tr w:rsidR="00F63086" w:rsidRPr="00872D7E" w14:paraId="24619FB0" w14:textId="77777777" w:rsidTr="00683052">
        <w:trPr>
          <w:trHeight w:val="113"/>
        </w:trPr>
        <w:tc>
          <w:tcPr>
            <w:tcW w:w="1684" w:type="pct"/>
            <w:shd w:val="clear" w:color="auto" w:fill="auto"/>
            <w:noWrap/>
            <w:tcMar>
              <w:top w:w="15" w:type="dxa"/>
              <w:left w:w="15" w:type="dxa"/>
              <w:bottom w:w="0" w:type="dxa"/>
              <w:right w:w="15" w:type="dxa"/>
            </w:tcMar>
            <w:vAlign w:val="bottom"/>
          </w:tcPr>
          <w:p w14:paraId="6A1F6F59" w14:textId="77777777" w:rsidR="00F63086" w:rsidRPr="00872D7E" w:rsidRDefault="00F63086" w:rsidP="00F63086">
            <w:pPr>
              <w:ind w:left="111" w:firstLine="15"/>
              <w:jc w:val="both"/>
              <w:rPr>
                <w:rFonts w:eastAsia="Arial Unicode MS"/>
                <w:sz w:val="18"/>
                <w:szCs w:val="18"/>
              </w:rPr>
            </w:pPr>
            <w:r w:rsidRPr="00872D7E">
              <w:rPr>
                <w:sz w:val="18"/>
                <w:szCs w:val="18"/>
              </w:rPr>
              <w:t>Dönem Sonu Bakiyesi</w:t>
            </w:r>
          </w:p>
        </w:tc>
        <w:tc>
          <w:tcPr>
            <w:tcW w:w="1105" w:type="pct"/>
            <w:tcBorders>
              <w:right w:val="nil"/>
            </w:tcBorders>
            <w:shd w:val="clear" w:color="auto" w:fill="auto"/>
            <w:vAlign w:val="bottom"/>
          </w:tcPr>
          <w:p w14:paraId="32BBAE32" w14:textId="6AD4E41A"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1.496</w:t>
            </w:r>
          </w:p>
        </w:tc>
        <w:tc>
          <w:tcPr>
            <w:tcW w:w="1106" w:type="pct"/>
            <w:shd w:val="clear" w:color="auto" w:fill="auto"/>
            <w:vAlign w:val="bottom"/>
          </w:tcPr>
          <w:p w14:paraId="44382E12" w14:textId="6DAF60CF" w:rsidR="00F63086" w:rsidRPr="00872D7E" w:rsidRDefault="00F63086" w:rsidP="00D80152">
            <w:pPr>
              <w:tabs>
                <w:tab w:val="center" w:pos="564"/>
                <w:tab w:val="left" w:pos="1010"/>
                <w:tab w:val="right" w:pos="1128"/>
              </w:tabs>
              <w:ind w:right="105"/>
              <w:jc w:val="right"/>
              <w:rPr>
                <w:sz w:val="18"/>
                <w:szCs w:val="18"/>
              </w:rPr>
            </w:pPr>
            <w:r w:rsidRPr="00872D7E">
              <w:rPr>
                <w:sz w:val="18"/>
                <w:szCs w:val="18"/>
              </w:rPr>
              <w:t>-</w:t>
            </w:r>
          </w:p>
        </w:tc>
        <w:tc>
          <w:tcPr>
            <w:tcW w:w="1106" w:type="pct"/>
            <w:shd w:val="clear" w:color="auto" w:fill="auto"/>
            <w:vAlign w:val="bottom"/>
          </w:tcPr>
          <w:p w14:paraId="4A4485F9" w14:textId="2DAB67B6" w:rsidR="00F63086" w:rsidRPr="00872D7E" w:rsidRDefault="00F63086" w:rsidP="00D80152">
            <w:pPr>
              <w:tabs>
                <w:tab w:val="center" w:pos="564"/>
                <w:tab w:val="left" w:pos="1010"/>
                <w:tab w:val="right" w:pos="1128"/>
              </w:tabs>
              <w:ind w:right="105"/>
              <w:jc w:val="right"/>
              <w:rPr>
                <w:sz w:val="18"/>
                <w:szCs w:val="18"/>
              </w:rPr>
            </w:pPr>
            <w:r w:rsidRPr="00872D7E">
              <w:rPr>
                <w:color w:val="000000"/>
                <w:sz w:val="18"/>
                <w:szCs w:val="18"/>
              </w:rPr>
              <w:t>1.030.705</w:t>
            </w:r>
          </w:p>
        </w:tc>
      </w:tr>
      <w:tr w:rsidR="00F63086" w:rsidRPr="00872D7E" w14:paraId="4B9D6C9D" w14:textId="77777777" w:rsidTr="00683052">
        <w:trPr>
          <w:trHeight w:val="113"/>
        </w:trPr>
        <w:tc>
          <w:tcPr>
            <w:tcW w:w="1684" w:type="pct"/>
            <w:tcBorders>
              <w:bottom w:val="single" w:sz="4" w:space="0" w:color="auto"/>
            </w:tcBorders>
            <w:shd w:val="clear" w:color="auto" w:fill="auto"/>
            <w:noWrap/>
            <w:tcMar>
              <w:top w:w="15" w:type="dxa"/>
              <w:left w:w="15" w:type="dxa"/>
              <w:bottom w:w="0" w:type="dxa"/>
              <w:right w:w="15" w:type="dxa"/>
            </w:tcMar>
            <w:vAlign w:val="bottom"/>
          </w:tcPr>
          <w:p w14:paraId="5037E373" w14:textId="77777777" w:rsidR="00F63086" w:rsidRPr="00872D7E" w:rsidRDefault="00F63086" w:rsidP="00F63086">
            <w:pPr>
              <w:ind w:firstLine="15"/>
              <w:jc w:val="both"/>
              <w:rPr>
                <w:b/>
                <w:sz w:val="18"/>
                <w:szCs w:val="18"/>
              </w:rPr>
            </w:pPr>
            <w:r w:rsidRPr="00872D7E">
              <w:rPr>
                <w:b/>
                <w:sz w:val="18"/>
                <w:szCs w:val="18"/>
              </w:rPr>
              <w:t xml:space="preserve">Katılma Hesabı Kar Payı Gideri </w:t>
            </w:r>
          </w:p>
        </w:tc>
        <w:tc>
          <w:tcPr>
            <w:tcW w:w="1105" w:type="pct"/>
            <w:tcBorders>
              <w:bottom w:val="single" w:sz="4" w:space="0" w:color="auto"/>
              <w:right w:val="nil"/>
            </w:tcBorders>
            <w:shd w:val="clear" w:color="auto" w:fill="auto"/>
            <w:vAlign w:val="bottom"/>
          </w:tcPr>
          <w:p w14:paraId="2E66819F" w14:textId="1A29B96B" w:rsidR="00F63086" w:rsidRPr="00872D7E" w:rsidRDefault="00F63086" w:rsidP="00D80152">
            <w:pPr>
              <w:tabs>
                <w:tab w:val="center" w:pos="564"/>
                <w:tab w:val="left" w:pos="1010"/>
                <w:tab w:val="right" w:pos="1128"/>
              </w:tabs>
              <w:ind w:right="105"/>
              <w:jc w:val="right"/>
              <w:rPr>
                <w:b/>
                <w:bCs/>
                <w:sz w:val="18"/>
                <w:szCs w:val="18"/>
              </w:rPr>
            </w:pPr>
            <w:r w:rsidRPr="00872D7E">
              <w:rPr>
                <w:b/>
                <w:bCs/>
                <w:color w:val="000000"/>
                <w:sz w:val="18"/>
                <w:szCs w:val="18"/>
              </w:rPr>
              <w:t>418</w:t>
            </w:r>
          </w:p>
        </w:tc>
        <w:tc>
          <w:tcPr>
            <w:tcW w:w="1106" w:type="pct"/>
            <w:tcBorders>
              <w:bottom w:val="single" w:sz="4" w:space="0" w:color="auto"/>
            </w:tcBorders>
            <w:shd w:val="clear" w:color="auto" w:fill="auto"/>
            <w:vAlign w:val="bottom"/>
          </w:tcPr>
          <w:p w14:paraId="1C674038" w14:textId="7C21DC8F" w:rsidR="00F63086" w:rsidRPr="00872D7E" w:rsidRDefault="00F63086" w:rsidP="00D80152">
            <w:pPr>
              <w:tabs>
                <w:tab w:val="center" w:pos="564"/>
                <w:tab w:val="left" w:pos="1010"/>
                <w:tab w:val="right" w:pos="1128"/>
              </w:tabs>
              <w:ind w:right="105"/>
              <w:jc w:val="right"/>
              <w:rPr>
                <w:b/>
                <w:bCs/>
                <w:sz w:val="18"/>
                <w:szCs w:val="18"/>
              </w:rPr>
            </w:pPr>
            <w:r w:rsidRPr="00872D7E">
              <w:rPr>
                <w:b/>
                <w:bCs/>
                <w:sz w:val="18"/>
                <w:szCs w:val="18"/>
              </w:rPr>
              <w:t>-</w:t>
            </w:r>
          </w:p>
        </w:tc>
        <w:tc>
          <w:tcPr>
            <w:tcW w:w="1106" w:type="pct"/>
            <w:tcBorders>
              <w:bottom w:val="single" w:sz="4" w:space="0" w:color="auto"/>
            </w:tcBorders>
            <w:shd w:val="clear" w:color="auto" w:fill="auto"/>
            <w:vAlign w:val="bottom"/>
          </w:tcPr>
          <w:p w14:paraId="0D463E69" w14:textId="292F3685" w:rsidR="00F63086" w:rsidRPr="00872D7E" w:rsidRDefault="00F63086" w:rsidP="00D80152">
            <w:pPr>
              <w:tabs>
                <w:tab w:val="center" w:pos="564"/>
                <w:tab w:val="left" w:pos="1010"/>
                <w:tab w:val="right" w:pos="1128"/>
              </w:tabs>
              <w:ind w:right="105"/>
              <w:jc w:val="right"/>
              <w:rPr>
                <w:b/>
                <w:bCs/>
                <w:sz w:val="18"/>
                <w:szCs w:val="18"/>
              </w:rPr>
            </w:pPr>
            <w:r w:rsidRPr="00872D7E">
              <w:rPr>
                <w:b/>
                <w:bCs/>
                <w:color w:val="000000"/>
                <w:sz w:val="18"/>
                <w:szCs w:val="18"/>
              </w:rPr>
              <w:t>37.004</w:t>
            </w:r>
          </w:p>
        </w:tc>
      </w:tr>
    </w:tbl>
    <w:p w14:paraId="68891B0B" w14:textId="77777777" w:rsidR="001118CB" w:rsidRPr="00872D7E" w:rsidRDefault="001118CB" w:rsidP="007B0DBF"/>
    <w:p w14:paraId="7761AA4C" w14:textId="6EDF51E8" w:rsidR="002152D0" w:rsidRPr="00872D7E" w:rsidRDefault="002152D0" w:rsidP="00221305">
      <w:pPr>
        <w:pStyle w:val="ListParagraph"/>
        <w:numPr>
          <w:ilvl w:val="1"/>
          <w:numId w:val="2"/>
        </w:numPr>
        <w:tabs>
          <w:tab w:val="clear" w:pos="1440"/>
        </w:tabs>
        <w:ind w:left="851" w:hanging="851"/>
        <w:jc w:val="both"/>
        <w:rPr>
          <w:b/>
          <w:bCs/>
        </w:rPr>
      </w:pPr>
      <w:r w:rsidRPr="00872D7E">
        <w:rPr>
          <w:b/>
          <w:bCs/>
        </w:rPr>
        <w:t>Banka’nın dahil olduğu risk grubu ile yaptığı vadeli işlemler ile opsiyon sözleşmeleri ile benzeri diğer sözleşmelere ilişkin bilgiler:</w:t>
      </w:r>
    </w:p>
    <w:p w14:paraId="0856141E" w14:textId="77777777" w:rsidR="001118CB" w:rsidRPr="00872D7E" w:rsidRDefault="001118CB" w:rsidP="001118CB">
      <w:pPr>
        <w:pStyle w:val="ListParagraph"/>
        <w:ind w:left="0"/>
        <w:rPr>
          <w:b/>
          <w:bCs/>
        </w:rPr>
      </w:pPr>
    </w:p>
    <w:p w14:paraId="78CF18C5" w14:textId="1307400B" w:rsidR="002152D0" w:rsidRPr="00872D7E" w:rsidRDefault="002152D0" w:rsidP="00221305">
      <w:pPr>
        <w:ind w:left="851"/>
        <w:rPr>
          <w:szCs w:val="20"/>
        </w:rPr>
      </w:pPr>
      <w:r w:rsidRPr="00872D7E">
        <w:rPr>
          <w:szCs w:val="20"/>
        </w:rPr>
        <w:t>Banka’nın dahil olduğu risk grubu ile yaptığı vadeli döviz alım/satım sözleşmesi bulunmamaktadır.</w:t>
      </w:r>
    </w:p>
    <w:bookmarkEnd w:id="103"/>
    <w:p w14:paraId="1830A52A" w14:textId="77777777" w:rsidR="001118CB" w:rsidRPr="00872D7E" w:rsidRDefault="001118CB" w:rsidP="00221305">
      <w:pPr>
        <w:ind w:left="851"/>
      </w:pPr>
    </w:p>
    <w:p w14:paraId="3BF644D0" w14:textId="0EC10B23" w:rsidR="00D82661" w:rsidRPr="00872D7E" w:rsidRDefault="00C2662E" w:rsidP="00221305">
      <w:pPr>
        <w:ind w:left="851"/>
      </w:pPr>
      <w:bookmarkStart w:id="105" w:name="_Hlk180487637"/>
      <w:r w:rsidRPr="00872D7E">
        <w:t>1 Ocak-</w:t>
      </w:r>
      <w:r w:rsidR="00AE0B9A" w:rsidRPr="00872D7E">
        <w:t>31 Aralık</w:t>
      </w:r>
      <w:r w:rsidR="00C160E4" w:rsidRPr="00872D7E">
        <w:t xml:space="preserve"> </w:t>
      </w:r>
      <w:r w:rsidRPr="00872D7E">
        <w:t xml:space="preserve">2024 döneminde Banka üst yönetimine </w:t>
      </w:r>
      <w:r w:rsidR="00530C36" w:rsidRPr="00872D7E">
        <w:t xml:space="preserve">93.312 </w:t>
      </w:r>
      <w:r w:rsidRPr="00872D7E">
        <w:t>TL tutarında ödeme yapılmıştır.</w:t>
      </w:r>
    </w:p>
    <w:p w14:paraId="1ED4FD08" w14:textId="77777777" w:rsidR="00D82661" w:rsidRPr="00872D7E" w:rsidRDefault="00D82661">
      <w:r w:rsidRPr="00872D7E">
        <w:br w:type="page"/>
      </w:r>
    </w:p>
    <w:p w14:paraId="51B38F99" w14:textId="77777777" w:rsidR="003E7CA7" w:rsidRPr="00872D7E" w:rsidRDefault="003E7CA7" w:rsidP="003E7CA7">
      <w:pPr>
        <w:widowControl w:val="0"/>
        <w:spacing w:line="214" w:lineRule="auto"/>
        <w:ind w:left="720" w:hanging="720"/>
        <w:jc w:val="both"/>
        <w:rPr>
          <w:b/>
          <w:szCs w:val="20"/>
        </w:rPr>
      </w:pPr>
      <w:r w:rsidRPr="00872D7E">
        <w:rPr>
          <w:b/>
          <w:szCs w:val="20"/>
        </w:rPr>
        <w:lastRenderedPageBreak/>
        <w:t>KONSOLİDE OLMAYAN FİNANSAL TABLOLARA İLİŞKİN AÇIKLAMA VE DİPNOTLAR (Devamı)</w:t>
      </w:r>
    </w:p>
    <w:p w14:paraId="1FDBE381" w14:textId="77777777" w:rsidR="003E7CA7" w:rsidRPr="00872D7E" w:rsidRDefault="003E7CA7"/>
    <w:p w14:paraId="12EB8B14" w14:textId="1D9F8124" w:rsidR="00D82661" w:rsidRPr="00872D7E" w:rsidRDefault="00AD55D3" w:rsidP="00DF282B">
      <w:pPr>
        <w:pStyle w:val="BodyTextIndent"/>
        <w:widowControl w:val="0"/>
        <w:numPr>
          <w:ilvl w:val="0"/>
          <w:numId w:val="56"/>
        </w:numPr>
        <w:ind w:left="851" w:right="206" w:hanging="851"/>
        <w:rPr>
          <w:b/>
          <w:iCs/>
          <w:szCs w:val="20"/>
        </w:rPr>
      </w:pPr>
      <w:r w:rsidRPr="00872D7E">
        <w:rPr>
          <w:b/>
          <w:iCs/>
          <w:szCs w:val="20"/>
        </w:rPr>
        <w:t>BANKA’NIN YURTİÇİ, YURTDIŞI, KIYI BANKACILIĞI BÖLGELERİNDEKİ ŞUBE VEYA İŞTİRAKLER İLE YURTDIŞI TEMSİLCİLİKLERİNE İLİŞKİN AÇIKLAMALAR</w:t>
      </w:r>
    </w:p>
    <w:p w14:paraId="71433EC7" w14:textId="01A66DA5" w:rsidR="00D82661" w:rsidRPr="00872D7E" w:rsidRDefault="00D82661" w:rsidP="009D2340">
      <w:pPr>
        <w:pStyle w:val="EndnoteText"/>
        <w:numPr>
          <w:ilvl w:val="0"/>
          <w:numId w:val="85"/>
        </w:numPr>
        <w:tabs>
          <w:tab w:val="left" w:pos="2409"/>
        </w:tabs>
        <w:autoSpaceDE w:val="0"/>
        <w:autoSpaceDN w:val="0"/>
        <w:adjustRightInd w:val="0"/>
        <w:spacing w:before="120" w:after="120"/>
        <w:ind w:left="851" w:hanging="830"/>
        <w:jc w:val="both"/>
        <w:rPr>
          <w:b/>
        </w:rPr>
      </w:pPr>
      <w:r w:rsidRPr="00872D7E">
        <w:rPr>
          <w:b/>
        </w:rPr>
        <w:t>Banka’nın yurtiçi ve yurtdışı şube ve temsilciliklerine ilişkin bilgiler</w:t>
      </w:r>
    </w:p>
    <w:tbl>
      <w:tblPr>
        <w:tblW w:w="5000" w:type="pct"/>
        <w:tblLook w:val="0000" w:firstRow="0" w:lastRow="0" w:firstColumn="0" w:lastColumn="0" w:noHBand="0" w:noVBand="0"/>
      </w:tblPr>
      <w:tblGrid>
        <w:gridCol w:w="1890"/>
        <w:gridCol w:w="602"/>
        <w:gridCol w:w="1400"/>
        <w:gridCol w:w="1882"/>
        <w:gridCol w:w="1704"/>
        <w:gridCol w:w="1877"/>
      </w:tblGrid>
      <w:tr w:rsidR="00D82661" w:rsidRPr="00872D7E" w14:paraId="0945BF06" w14:textId="77777777" w:rsidTr="00CF13B9">
        <w:trPr>
          <w:gridAfter w:val="3"/>
          <w:wAfter w:w="2920" w:type="pct"/>
          <w:trHeight w:val="126"/>
        </w:trPr>
        <w:tc>
          <w:tcPr>
            <w:tcW w:w="1010" w:type="pct"/>
            <w:tcBorders>
              <w:bottom w:val="single" w:sz="4" w:space="0" w:color="auto"/>
            </w:tcBorders>
            <w:vAlign w:val="center"/>
          </w:tcPr>
          <w:p w14:paraId="3BCC4131" w14:textId="77777777" w:rsidR="00D82661" w:rsidRPr="00872D7E" w:rsidRDefault="00D82661" w:rsidP="0037368F">
            <w:pPr>
              <w:ind w:left="-108"/>
              <w:rPr>
                <w:b/>
                <w:szCs w:val="20"/>
              </w:rPr>
            </w:pPr>
            <w:bookmarkStart w:id="106" w:name="_Hlk190333013"/>
            <w:bookmarkStart w:id="107" w:name="_Hlk125117885"/>
          </w:p>
        </w:tc>
        <w:tc>
          <w:tcPr>
            <w:tcW w:w="322" w:type="pct"/>
            <w:tcBorders>
              <w:bottom w:val="single" w:sz="4" w:space="0" w:color="auto"/>
            </w:tcBorders>
            <w:vAlign w:val="bottom"/>
          </w:tcPr>
          <w:p w14:paraId="25EDDA08" w14:textId="77777777" w:rsidR="00D82661" w:rsidRPr="00872D7E" w:rsidRDefault="00D82661" w:rsidP="00D80152">
            <w:pPr>
              <w:ind w:left="-81" w:right="-15" w:firstLine="45"/>
              <w:jc w:val="right"/>
              <w:rPr>
                <w:b/>
                <w:bCs/>
                <w:iCs/>
                <w:szCs w:val="20"/>
              </w:rPr>
            </w:pPr>
            <w:r w:rsidRPr="00872D7E">
              <w:rPr>
                <w:b/>
                <w:bCs/>
                <w:iCs/>
                <w:szCs w:val="20"/>
              </w:rPr>
              <w:t>Sayı</w:t>
            </w:r>
          </w:p>
        </w:tc>
        <w:tc>
          <w:tcPr>
            <w:tcW w:w="748" w:type="pct"/>
            <w:tcBorders>
              <w:bottom w:val="single" w:sz="4" w:space="0" w:color="auto"/>
            </w:tcBorders>
            <w:vAlign w:val="bottom"/>
          </w:tcPr>
          <w:p w14:paraId="30D22798" w14:textId="536BED0B" w:rsidR="00D82661" w:rsidRPr="00872D7E" w:rsidRDefault="00D82661" w:rsidP="00D80152">
            <w:pPr>
              <w:ind w:left="-81" w:right="-15" w:firstLine="45"/>
              <w:jc w:val="right"/>
              <w:rPr>
                <w:b/>
                <w:szCs w:val="20"/>
              </w:rPr>
            </w:pPr>
            <w:r w:rsidRPr="00872D7E">
              <w:rPr>
                <w:b/>
                <w:bCs/>
                <w:iCs/>
                <w:szCs w:val="20"/>
              </w:rPr>
              <w:t>Çalışan Sayısı</w:t>
            </w:r>
          </w:p>
        </w:tc>
      </w:tr>
      <w:tr w:rsidR="00D82661" w:rsidRPr="00872D7E" w14:paraId="37778DBD" w14:textId="77777777" w:rsidTr="00CF13B9">
        <w:trPr>
          <w:gridAfter w:val="3"/>
          <w:wAfter w:w="2920" w:type="pct"/>
          <w:trHeight w:val="126"/>
        </w:trPr>
        <w:tc>
          <w:tcPr>
            <w:tcW w:w="1010" w:type="pct"/>
            <w:tcBorders>
              <w:top w:val="single" w:sz="4" w:space="0" w:color="auto"/>
            </w:tcBorders>
            <w:vAlign w:val="center"/>
          </w:tcPr>
          <w:p w14:paraId="53BE039F" w14:textId="77777777" w:rsidR="00D82661" w:rsidRPr="00872D7E" w:rsidRDefault="00D82661" w:rsidP="0037368F">
            <w:pPr>
              <w:ind w:left="-108"/>
              <w:rPr>
                <w:szCs w:val="20"/>
              </w:rPr>
            </w:pPr>
            <w:r w:rsidRPr="00872D7E">
              <w:rPr>
                <w:szCs w:val="20"/>
              </w:rPr>
              <w:t>Yurtiçi şube</w:t>
            </w:r>
          </w:p>
        </w:tc>
        <w:tc>
          <w:tcPr>
            <w:tcW w:w="322" w:type="pct"/>
            <w:tcBorders>
              <w:top w:val="single" w:sz="4" w:space="0" w:color="auto"/>
            </w:tcBorders>
            <w:vAlign w:val="bottom"/>
          </w:tcPr>
          <w:p w14:paraId="3B9DDEAD" w14:textId="210C6448" w:rsidR="00D82661" w:rsidRPr="00872D7E" w:rsidRDefault="003972CD" w:rsidP="00D80152">
            <w:pPr>
              <w:ind w:left="-81" w:right="-15" w:firstLine="45"/>
              <w:jc w:val="right"/>
              <w:rPr>
                <w:szCs w:val="20"/>
              </w:rPr>
            </w:pPr>
            <w:r w:rsidRPr="00872D7E">
              <w:rPr>
                <w:szCs w:val="20"/>
              </w:rPr>
              <w:t>17</w:t>
            </w:r>
          </w:p>
        </w:tc>
        <w:tc>
          <w:tcPr>
            <w:tcW w:w="748" w:type="pct"/>
            <w:tcBorders>
              <w:top w:val="single" w:sz="4" w:space="0" w:color="auto"/>
            </w:tcBorders>
            <w:vAlign w:val="bottom"/>
          </w:tcPr>
          <w:p w14:paraId="32746C9D" w14:textId="24352FB0" w:rsidR="00D82661" w:rsidRPr="00872D7E" w:rsidRDefault="00220674" w:rsidP="00D80152">
            <w:pPr>
              <w:ind w:left="-81" w:right="-15" w:firstLine="45"/>
              <w:jc w:val="right"/>
              <w:rPr>
                <w:szCs w:val="20"/>
              </w:rPr>
            </w:pPr>
            <w:r w:rsidRPr="00872D7E">
              <w:rPr>
                <w:szCs w:val="20"/>
              </w:rPr>
              <w:t>156</w:t>
            </w:r>
          </w:p>
        </w:tc>
      </w:tr>
      <w:bookmarkEnd w:id="106"/>
      <w:tr w:rsidR="006A22AD" w:rsidRPr="00872D7E" w14:paraId="6F95216D" w14:textId="77777777" w:rsidTr="00CF13B9">
        <w:trPr>
          <w:gridAfter w:val="2"/>
          <w:wAfter w:w="1914" w:type="pct"/>
          <w:trHeight w:val="126"/>
        </w:trPr>
        <w:tc>
          <w:tcPr>
            <w:tcW w:w="1010" w:type="pct"/>
            <w:tcBorders>
              <w:bottom w:val="single" w:sz="4" w:space="0" w:color="auto"/>
            </w:tcBorders>
            <w:vAlign w:val="center"/>
          </w:tcPr>
          <w:p w14:paraId="0085692D" w14:textId="77777777" w:rsidR="00D82661" w:rsidRPr="00872D7E" w:rsidRDefault="00D82661" w:rsidP="0037368F">
            <w:pPr>
              <w:ind w:left="-108"/>
              <w:rPr>
                <w:b/>
                <w:szCs w:val="20"/>
              </w:rPr>
            </w:pPr>
          </w:p>
        </w:tc>
        <w:tc>
          <w:tcPr>
            <w:tcW w:w="322" w:type="pct"/>
            <w:tcBorders>
              <w:bottom w:val="single" w:sz="4" w:space="0" w:color="auto"/>
            </w:tcBorders>
            <w:vAlign w:val="bottom"/>
          </w:tcPr>
          <w:p w14:paraId="19208AD6" w14:textId="77777777" w:rsidR="00D82661" w:rsidRPr="00872D7E" w:rsidRDefault="00D82661" w:rsidP="00D80152">
            <w:pPr>
              <w:ind w:left="-81" w:right="-15" w:firstLine="45"/>
              <w:jc w:val="right"/>
              <w:rPr>
                <w:b/>
                <w:szCs w:val="20"/>
              </w:rPr>
            </w:pPr>
          </w:p>
        </w:tc>
        <w:tc>
          <w:tcPr>
            <w:tcW w:w="748" w:type="pct"/>
            <w:tcBorders>
              <w:bottom w:val="single" w:sz="4" w:space="0" w:color="auto"/>
            </w:tcBorders>
            <w:vAlign w:val="bottom"/>
          </w:tcPr>
          <w:p w14:paraId="107B0305" w14:textId="77777777" w:rsidR="00D82661" w:rsidRPr="00872D7E" w:rsidRDefault="00D82661" w:rsidP="00D80152">
            <w:pPr>
              <w:ind w:left="-81" w:right="-15" w:firstLine="45"/>
              <w:jc w:val="right"/>
              <w:rPr>
                <w:b/>
                <w:szCs w:val="20"/>
              </w:rPr>
            </w:pPr>
          </w:p>
        </w:tc>
        <w:tc>
          <w:tcPr>
            <w:tcW w:w="1006" w:type="pct"/>
            <w:tcBorders>
              <w:bottom w:val="single" w:sz="4" w:space="0" w:color="auto"/>
            </w:tcBorders>
            <w:vAlign w:val="bottom"/>
          </w:tcPr>
          <w:p w14:paraId="5A2F9C89" w14:textId="15B0CA8C" w:rsidR="00D82661" w:rsidRPr="00872D7E" w:rsidRDefault="00D82661" w:rsidP="00D80152">
            <w:pPr>
              <w:jc w:val="right"/>
              <w:rPr>
                <w:b/>
                <w:szCs w:val="20"/>
              </w:rPr>
            </w:pPr>
            <w:r w:rsidRPr="00872D7E">
              <w:rPr>
                <w:b/>
                <w:bCs/>
                <w:iCs/>
                <w:szCs w:val="20"/>
              </w:rPr>
              <w:t>Bulunduğu Ülke</w:t>
            </w:r>
          </w:p>
        </w:tc>
      </w:tr>
      <w:tr w:rsidR="006A22AD" w:rsidRPr="00872D7E" w14:paraId="46B7D392" w14:textId="77777777" w:rsidTr="00CF13B9">
        <w:trPr>
          <w:gridAfter w:val="2"/>
          <w:wAfter w:w="1914" w:type="pct"/>
          <w:trHeight w:val="126"/>
        </w:trPr>
        <w:tc>
          <w:tcPr>
            <w:tcW w:w="1010" w:type="pct"/>
            <w:tcBorders>
              <w:top w:val="single" w:sz="4" w:space="0" w:color="auto"/>
            </w:tcBorders>
            <w:vAlign w:val="center"/>
          </w:tcPr>
          <w:p w14:paraId="47303919" w14:textId="77777777" w:rsidR="00D82661" w:rsidRPr="00872D7E" w:rsidRDefault="00D82661" w:rsidP="0037368F">
            <w:pPr>
              <w:ind w:left="-108"/>
              <w:rPr>
                <w:szCs w:val="20"/>
              </w:rPr>
            </w:pPr>
            <w:r w:rsidRPr="00872D7E">
              <w:rPr>
                <w:szCs w:val="20"/>
              </w:rPr>
              <w:t>Yurtdışı temsilcilikler</w:t>
            </w:r>
          </w:p>
        </w:tc>
        <w:tc>
          <w:tcPr>
            <w:tcW w:w="322" w:type="pct"/>
            <w:tcBorders>
              <w:top w:val="single" w:sz="4" w:space="0" w:color="auto"/>
            </w:tcBorders>
            <w:vAlign w:val="bottom"/>
          </w:tcPr>
          <w:p w14:paraId="200B6081" w14:textId="77777777" w:rsidR="00D82661" w:rsidRPr="00872D7E" w:rsidRDefault="00D82661" w:rsidP="00D80152">
            <w:pPr>
              <w:ind w:left="-81" w:right="-15" w:firstLine="45"/>
              <w:jc w:val="right"/>
              <w:rPr>
                <w:szCs w:val="20"/>
              </w:rPr>
            </w:pPr>
            <w:r w:rsidRPr="00872D7E">
              <w:rPr>
                <w:szCs w:val="20"/>
              </w:rPr>
              <w:t>-</w:t>
            </w:r>
          </w:p>
        </w:tc>
        <w:tc>
          <w:tcPr>
            <w:tcW w:w="748" w:type="pct"/>
            <w:tcBorders>
              <w:top w:val="single" w:sz="4" w:space="0" w:color="auto"/>
            </w:tcBorders>
            <w:vAlign w:val="bottom"/>
          </w:tcPr>
          <w:p w14:paraId="6F820855" w14:textId="77777777" w:rsidR="00D82661" w:rsidRPr="00872D7E" w:rsidRDefault="00D82661" w:rsidP="00D80152">
            <w:pPr>
              <w:ind w:left="-81" w:right="-15" w:firstLine="45"/>
              <w:jc w:val="right"/>
              <w:rPr>
                <w:szCs w:val="20"/>
              </w:rPr>
            </w:pPr>
            <w:r w:rsidRPr="00872D7E">
              <w:rPr>
                <w:szCs w:val="20"/>
              </w:rPr>
              <w:t>-</w:t>
            </w:r>
          </w:p>
        </w:tc>
        <w:tc>
          <w:tcPr>
            <w:tcW w:w="1006" w:type="pct"/>
            <w:tcBorders>
              <w:top w:val="single" w:sz="4" w:space="0" w:color="auto"/>
            </w:tcBorders>
            <w:vAlign w:val="bottom"/>
          </w:tcPr>
          <w:p w14:paraId="6A868C0E" w14:textId="77777777" w:rsidR="00D82661" w:rsidRPr="00872D7E" w:rsidRDefault="00D82661" w:rsidP="00D80152">
            <w:pPr>
              <w:jc w:val="right"/>
              <w:rPr>
                <w:szCs w:val="20"/>
              </w:rPr>
            </w:pPr>
            <w:r w:rsidRPr="00872D7E">
              <w:rPr>
                <w:szCs w:val="20"/>
              </w:rPr>
              <w:t>-</w:t>
            </w:r>
          </w:p>
        </w:tc>
      </w:tr>
      <w:tr w:rsidR="006A22AD" w:rsidRPr="00872D7E" w14:paraId="2C56C69E" w14:textId="77777777" w:rsidTr="00CF13B9">
        <w:trPr>
          <w:gridAfter w:val="2"/>
          <w:wAfter w:w="1914" w:type="pct"/>
          <w:trHeight w:val="126"/>
        </w:trPr>
        <w:tc>
          <w:tcPr>
            <w:tcW w:w="1010" w:type="pct"/>
            <w:vAlign w:val="center"/>
          </w:tcPr>
          <w:p w14:paraId="153C63C1" w14:textId="77777777" w:rsidR="00D82661" w:rsidRPr="00872D7E" w:rsidRDefault="00D82661" w:rsidP="0037368F">
            <w:pPr>
              <w:ind w:left="-108"/>
              <w:rPr>
                <w:szCs w:val="20"/>
              </w:rPr>
            </w:pPr>
          </w:p>
        </w:tc>
        <w:tc>
          <w:tcPr>
            <w:tcW w:w="322" w:type="pct"/>
            <w:vAlign w:val="bottom"/>
          </w:tcPr>
          <w:p w14:paraId="48CBA32D" w14:textId="77777777" w:rsidR="00D82661" w:rsidRPr="00872D7E" w:rsidRDefault="00D82661" w:rsidP="00D80152">
            <w:pPr>
              <w:ind w:left="-81" w:right="-15" w:firstLine="45"/>
              <w:jc w:val="right"/>
              <w:rPr>
                <w:szCs w:val="20"/>
              </w:rPr>
            </w:pPr>
          </w:p>
        </w:tc>
        <w:tc>
          <w:tcPr>
            <w:tcW w:w="748" w:type="pct"/>
            <w:vAlign w:val="bottom"/>
          </w:tcPr>
          <w:p w14:paraId="473FDACD" w14:textId="77777777" w:rsidR="00D82661" w:rsidRPr="00872D7E" w:rsidRDefault="00D82661" w:rsidP="00D80152">
            <w:pPr>
              <w:ind w:left="-81" w:right="-15" w:firstLine="45"/>
              <w:jc w:val="right"/>
              <w:rPr>
                <w:szCs w:val="20"/>
              </w:rPr>
            </w:pPr>
          </w:p>
        </w:tc>
        <w:tc>
          <w:tcPr>
            <w:tcW w:w="1006" w:type="pct"/>
            <w:vAlign w:val="bottom"/>
          </w:tcPr>
          <w:p w14:paraId="77B9C210" w14:textId="77777777" w:rsidR="00D82661" w:rsidRPr="00872D7E" w:rsidRDefault="00D82661" w:rsidP="00D80152">
            <w:pPr>
              <w:jc w:val="right"/>
              <w:rPr>
                <w:szCs w:val="20"/>
              </w:rPr>
            </w:pPr>
          </w:p>
        </w:tc>
      </w:tr>
      <w:tr w:rsidR="006A22AD" w:rsidRPr="00872D7E" w14:paraId="0FBC1D02" w14:textId="77777777" w:rsidTr="00CF13B9">
        <w:trPr>
          <w:trHeight w:val="126"/>
        </w:trPr>
        <w:tc>
          <w:tcPr>
            <w:tcW w:w="1010" w:type="pct"/>
            <w:tcBorders>
              <w:bottom w:val="single" w:sz="4" w:space="0" w:color="auto"/>
            </w:tcBorders>
            <w:vAlign w:val="center"/>
          </w:tcPr>
          <w:p w14:paraId="180E56F8" w14:textId="77777777" w:rsidR="00D82661" w:rsidRPr="00872D7E" w:rsidRDefault="00D82661" w:rsidP="0037368F">
            <w:pPr>
              <w:ind w:left="-108"/>
              <w:rPr>
                <w:b/>
                <w:szCs w:val="20"/>
              </w:rPr>
            </w:pPr>
            <w:bookmarkStart w:id="108" w:name="_Hlk125118493"/>
          </w:p>
        </w:tc>
        <w:tc>
          <w:tcPr>
            <w:tcW w:w="322" w:type="pct"/>
            <w:tcBorders>
              <w:bottom w:val="single" w:sz="4" w:space="0" w:color="auto"/>
            </w:tcBorders>
            <w:vAlign w:val="bottom"/>
          </w:tcPr>
          <w:p w14:paraId="792B2B14" w14:textId="77777777" w:rsidR="00D82661" w:rsidRPr="00872D7E" w:rsidRDefault="00D82661" w:rsidP="00D80152">
            <w:pPr>
              <w:ind w:left="-81" w:right="-15" w:firstLine="45"/>
              <w:jc w:val="right"/>
              <w:rPr>
                <w:b/>
                <w:szCs w:val="20"/>
              </w:rPr>
            </w:pPr>
          </w:p>
        </w:tc>
        <w:tc>
          <w:tcPr>
            <w:tcW w:w="748" w:type="pct"/>
            <w:tcBorders>
              <w:bottom w:val="single" w:sz="4" w:space="0" w:color="auto"/>
            </w:tcBorders>
            <w:vAlign w:val="bottom"/>
          </w:tcPr>
          <w:p w14:paraId="082086F2" w14:textId="77777777" w:rsidR="00D82661" w:rsidRPr="00872D7E" w:rsidRDefault="00D82661" w:rsidP="00D80152">
            <w:pPr>
              <w:ind w:left="-81" w:right="-15" w:firstLine="45"/>
              <w:jc w:val="right"/>
              <w:rPr>
                <w:b/>
                <w:szCs w:val="20"/>
              </w:rPr>
            </w:pPr>
          </w:p>
        </w:tc>
        <w:tc>
          <w:tcPr>
            <w:tcW w:w="1006" w:type="pct"/>
            <w:tcBorders>
              <w:bottom w:val="single" w:sz="4" w:space="0" w:color="auto"/>
            </w:tcBorders>
            <w:vAlign w:val="bottom"/>
          </w:tcPr>
          <w:p w14:paraId="62E59BF2" w14:textId="77777777" w:rsidR="00D82661" w:rsidRPr="00872D7E" w:rsidRDefault="00D82661" w:rsidP="00D80152">
            <w:pPr>
              <w:jc w:val="right"/>
              <w:rPr>
                <w:b/>
                <w:szCs w:val="20"/>
              </w:rPr>
            </w:pPr>
          </w:p>
        </w:tc>
        <w:tc>
          <w:tcPr>
            <w:tcW w:w="911" w:type="pct"/>
            <w:tcBorders>
              <w:bottom w:val="single" w:sz="4" w:space="0" w:color="auto"/>
            </w:tcBorders>
            <w:vAlign w:val="bottom"/>
          </w:tcPr>
          <w:p w14:paraId="1D9C8F4C" w14:textId="4387660D" w:rsidR="00D82661" w:rsidRPr="00872D7E" w:rsidRDefault="00D82661" w:rsidP="00D80152">
            <w:pPr>
              <w:jc w:val="right"/>
              <w:rPr>
                <w:b/>
                <w:szCs w:val="20"/>
              </w:rPr>
            </w:pPr>
            <w:r w:rsidRPr="00872D7E">
              <w:rPr>
                <w:b/>
                <w:szCs w:val="20"/>
              </w:rPr>
              <w:t xml:space="preserve">Aktif </w:t>
            </w:r>
            <w:r w:rsidR="006A22AD" w:rsidRPr="00872D7E">
              <w:rPr>
                <w:b/>
                <w:szCs w:val="20"/>
              </w:rPr>
              <w:t>Toplamı</w:t>
            </w:r>
          </w:p>
        </w:tc>
        <w:tc>
          <w:tcPr>
            <w:tcW w:w="1003" w:type="pct"/>
            <w:tcBorders>
              <w:bottom w:val="single" w:sz="4" w:space="0" w:color="auto"/>
            </w:tcBorders>
            <w:shd w:val="clear" w:color="auto" w:fill="auto"/>
            <w:vAlign w:val="bottom"/>
          </w:tcPr>
          <w:p w14:paraId="1A321E2B" w14:textId="1164AD2C" w:rsidR="00D82661" w:rsidRPr="00872D7E" w:rsidRDefault="00D82661" w:rsidP="00D80152">
            <w:pPr>
              <w:jc w:val="right"/>
              <w:rPr>
                <w:b/>
                <w:szCs w:val="20"/>
              </w:rPr>
            </w:pPr>
            <w:r w:rsidRPr="00872D7E">
              <w:rPr>
                <w:b/>
                <w:szCs w:val="20"/>
              </w:rPr>
              <w:t xml:space="preserve">Yasal </w:t>
            </w:r>
            <w:r w:rsidR="006A22AD" w:rsidRPr="00872D7E">
              <w:rPr>
                <w:b/>
                <w:szCs w:val="20"/>
              </w:rPr>
              <w:t>Sermaye</w:t>
            </w:r>
          </w:p>
        </w:tc>
      </w:tr>
      <w:tr w:rsidR="006A22AD" w:rsidRPr="00872D7E" w14:paraId="297911DD" w14:textId="77777777" w:rsidTr="00CF13B9">
        <w:trPr>
          <w:trHeight w:val="126"/>
        </w:trPr>
        <w:tc>
          <w:tcPr>
            <w:tcW w:w="1010" w:type="pct"/>
            <w:tcBorders>
              <w:top w:val="single" w:sz="4" w:space="0" w:color="auto"/>
            </w:tcBorders>
            <w:vAlign w:val="center"/>
          </w:tcPr>
          <w:p w14:paraId="3EB190D8" w14:textId="77777777" w:rsidR="00D82661" w:rsidRPr="00872D7E" w:rsidRDefault="00D82661" w:rsidP="0037368F">
            <w:pPr>
              <w:ind w:left="-108"/>
              <w:rPr>
                <w:szCs w:val="20"/>
              </w:rPr>
            </w:pPr>
            <w:r w:rsidRPr="00872D7E">
              <w:rPr>
                <w:szCs w:val="20"/>
              </w:rPr>
              <w:t>Yurtdışı şubeler</w:t>
            </w:r>
          </w:p>
        </w:tc>
        <w:tc>
          <w:tcPr>
            <w:tcW w:w="322" w:type="pct"/>
            <w:tcBorders>
              <w:top w:val="single" w:sz="4" w:space="0" w:color="auto"/>
            </w:tcBorders>
            <w:vAlign w:val="bottom"/>
          </w:tcPr>
          <w:p w14:paraId="3D0E945F" w14:textId="389E0A05" w:rsidR="00D82661" w:rsidRPr="00872D7E" w:rsidRDefault="006A22AD" w:rsidP="00D80152">
            <w:pPr>
              <w:ind w:left="-81" w:right="-15" w:firstLine="45"/>
              <w:jc w:val="right"/>
              <w:rPr>
                <w:szCs w:val="20"/>
              </w:rPr>
            </w:pPr>
            <w:r w:rsidRPr="00872D7E">
              <w:rPr>
                <w:szCs w:val="20"/>
              </w:rPr>
              <w:t>-</w:t>
            </w:r>
          </w:p>
        </w:tc>
        <w:tc>
          <w:tcPr>
            <w:tcW w:w="748" w:type="pct"/>
            <w:tcBorders>
              <w:top w:val="single" w:sz="4" w:space="0" w:color="auto"/>
            </w:tcBorders>
            <w:vAlign w:val="bottom"/>
          </w:tcPr>
          <w:p w14:paraId="735EDB8C" w14:textId="07BDD651" w:rsidR="00D82661" w:rsidRPr="00872D7E" w:rsidRDefault="006A22AD" w:rsidP="00D80152">
            <w:pPr>
              <w:ind w:left="-81" w:right="-15" w:firstLine="45"/>
              <w:jc w:val="right"/>
              <w:rPr>
                <w:szCs w:val="20"/>
              </w:rPr>
            </w:pPr>
            <w:r w:rsidRPr="00872D7E">
              <w:rPr>
                <w:szCs w:val="20"/>
              </w:rPr>
              <w:t>-</w:t>
            </w:r>
          </w:p>
        </w:tc>
        <w:tc>
          <w:tcPr>
            <w:tcW w:w="1006" w:type="pct"/>
            <w:tcBorders>
              <w:top w:val="single" w:sz="4" w:space="0" w:color="auto"/>
            </w:tcBorders>
            <w:shd w:val="clear" w:color="auto" w:fill="auto"/>
            <w:vAlign w:val="bottom"/>
          </w:tcPr>
          <w:p w14:paraId="19197E4D" w14:textId="06664637" w:rsidR="00D82661" w:rsidRPr="00872D7E" w:rsidRDefault="006A22AD" w:rsidP="00D80152">
            <w:pPr>
              <w:jc w:val="right"/>
              <w:rPr>
                <w:szCs w:val="20"/>
              </w:rPr>
            </w:pPr>
            <w:r w:rsidRPr="00872D7E">
              <w:rPr>
                <w:szCs w:val="20"/>
              </w:rPr>
              <w:t>-</w:t>
            </w:r>
          </w:p>
        </w:tc>
        <w:tc>
          <w:tcPr>
            <w:tcW w:w="911" w:type="pct"/>
            <w:tcBorders>
              <w:top w:val="single" w:sz="4" w:space="0" w:color="auto"/>
            </w:tcBorders>
            <w:shd w:val="clear" w:color="auto" w:fill="auto"/>
            <w:vAlign w:val="bottom"/>
          </w:tcPr>
          <w:p w14:paraId="020F0DF1" w14:textId="521B7EEA" w:rsidR="00D82661" w:rsidRPr="00872D7E" w:rsidRDefault="006A22AD" w:rsidP="00D80152">
            <w:pPr>
              <w:jc w:val="right"/>
              <w:rPr>
                <w:szCs w:val="20"/>
              </w:rPr>
            </w:pPr>
            <w:r w:rsidRPr="00872D7E">
              <w:rPr>
                <w:szCs w:val="20"/>
              </w:rPr>
              <w:t>-</w:t>
            </w:r>
          </w:p>
        </w:tc>
        <w:tc>
          <w:tcPr>
            <w:tcW w:w="1003" w:type="pct"/>
            <w:tcBorders>
              <w:top w:val="single" w:sz="4" w:space="0" w:color="auto"/>
            </w:tcBorders>
            <w:shd w:val="clear" w:color="auto" w:fill="auto"/>
            <w:vAlign w:val="bottom"/>
          </w:tcPr>
          <w:p w14:paraId="16969259" w14:textId="5D12D055" w:rsidR="00D82661" w:rsidRPr="00872D7E" w:rsidRDefault="006A22AD" w:rsidP="00D80152">
            <w:pPr>
              <w:jc w:val="right"/>
              <w:rPr>
                <w:szCs w:val="20"/>
              </w:rPr>
            </w:pPr>
            <w:r w:rsidRPr="00872D7E">
              <w:rPr>
                <w:szCs w:val="20"/>
              </w:rPr>
              <w:t>-</w:t>
            </w:r>
          </w:p>
        </w:tc>
      </w:tr>
      <w:bookmarkEnd w:id="108"/>
      <w:tr w:rsidR="006A22AD" w:rsidRPr="00872D7E" w14:paraId="2A12DE02" w14:textId="77777777" w:rsidTr="00CF13B9">
        <w:trPr>
          <w:trHeight w:val="126"/>
        </w:trPr>
        <w:tc>
          <w:tcPr>
            <w:tcW w:w="1010" w:type="pct"/>
            <w:vAlign w:val="center"/>
          </w:tcPr>
          <w:p w14:paraId="24AF183D" w14:textId="77777777" w:rsidR="00D82661" w:rsidRPr="00872D7E" w:rsidRDefault="00D82661" w:rsidP="0037368F">
            <w:pPr>
              <w:ind w:left="-108"/>
              <w:rPr>
                <w:szCs w:val="20"/>
              </w:rPr>
            </w:pPr>
          </w:p>
        </w:tc>
        <w:tc>
          <w:tcPr>
            <w:tcW w:w="322" w:type="pct"/>
            <w:vAlign w:val="bottom"/>
          </w:tcPr>
          <w:p w14:paraId="6C41A48A" w14:textId="77777777" w:rsidR="00D82661" w:rsidRPr="00872D7E" w:rsidRDefault="00D82661" w:rsidP="00D80152">
            <w:pPr>
              <w:ind w:left="-81" w:right="-15" w:firstLine="45"/>
              <w:jc w:val="right"/>
              <w:rPr>
                <w:szCs w:val="20"/>
              </w:rPr>
            </w:pPr>
          </w:p>
        </w:tc>
        <w:tc>
          <w:tcPr>
            <w:tcW w:w="748" w:type="pct"/>
            <w:vAlign w:val="bottom"/>
          </w:tcPr>
          <w:p w14:paraId="2D522DCE" w14:textId="77777777" w:rsidR="00D82661" w:rsidRPr="00872D7E" w:rsidRDefault="00D82661" w:rsidP="00D80152">
            <w:pPr>
              <w:ind w:left="-81" w:right="-15" w:firstLine="45"/>
              <w:jc w:val="right"/>
              <w:rPr>
                <w:szCs w:val="20"/>
              </w:rPr>
            </w:pPr>
          </w:p>
        </w:tc>
        <w:tc>
          <w:tcPr>
            <w:tcW w:w="1006" w:type="pct"/>
            <w:vAlign w:val="bottom"/>
          </w:tcPr>
          <w:p w14:paraId="44B4126D" w14:textId="77777777" w:rsidR="00D82661" w:rsidRPr="00872D7E" w:rsidRDefault="00D82661" w:rsidP="00D80152">
            <w:pPr>
              <w:jc w:val="right"/>
              <w:rPr>
                <w:szCs w:val="20"/>
              </w:rPr>
            </w:pPr>
          </w:p>
        </w:tc>
        <w:tc>
          <w:tcPr>
            <w:tcW w:w="911" w:type="pct"/>
            <w:vAlign w:val="bottom"/>
          </w:tcPr>
          <w:p w14:paraId="4B33AA3A" w14:textId="77777777" w:rsidR="00D82661" w:rsidRPr="00872D7E" w:rsidRDefault="00D82661" w:rsidP="00D80152">
            <w:pPr>
              <w:jc w:val="right"/>
              <w:rPr>
                <w:szCs w:val="20"/>
              </w:rPr>
            </w:pPr>
          </w:p>
        </w:tc>
        <w:tc>
          <w:tcPr>
            <w:tcW w:w="1003" w:type="pct"/>
            <w:shd w:val="clear" w:color="auto" w:fill="auto"/>
            <w:vAlign w:val="bottom"/>
          </w:tcPr>
          <w:p w14:paraId="1816499E" w14:textId="77777777" w:rsidR="00D82661" w:rsidRPr="00872D7E" w:rsidRDefault="00D82661" w:rsidP="00D80152">
            <w:pPr>
              <w:jc w:val="right"/>
              <w:rPr>
                <w:szCs w:val="20"/>
              </w:rPr>
            </w:pPr>
          </w:p>
        </w:tc>
      </w:tr>
      <w:tr w:rsidR="006A22AD" w:rsidRPr="00872D7E" w14:paraId="1C3F4774" w14:textId="77777777" w:rsidTr="00CF13B9">
        <w:trPr>
          <w:trHeight w:val="126"/>
        </w:trPr>
        <w:tc>
          <w:tcPr>
            <w:tcW w:w="1010" w:type="pct"/>
            <w:tcBorders>
              <w:bottom w:val="single" w:sz="4" w:space="0" w:color="auto"/>
            </w:tcBorders>
            <w:vAlign w:val="center"/>
          </w:tcPr>
          <w:p w14:paraId="6948ECE5" w14:textId="283FCE07" w:rsidR="00D82661" w:rsidRPr="00872D7E" w:rsidRDefault="006A22AD" w:rsidP="0037368F">
            <w:pPr>
              <w:ind w:left="-108"/>
              <w:rPr>
                <w:szCs w:val="20"/>
              </w:rPr>
            </w:pPr>
            <w:r w:rsidRPr="00872D7E">
              <w:rPr>
                <w:szCs w:val="20"/>
              </w:rPr>
              <w:t>Kıyı Bankacılığı Bölgesindeki Şubeler</w:t>
            </w:r>
          </w:p>
        </w:tc>
        <w:tc>
          <w:tcPr>
            <w:tcW w:w="322" w:type="pct"/>
            <w:tcBorders>
              <w:bottom w:val="single" w:sz="4" w:space="0" w:color="auto"/>
            </w:tcBorders>
            <w:vAlign w:val="bottom"/>
          </w:tcPr>
          <w:p w14:paraId="2DB50F0B" w14:textId="77777777" w:rsidR="00D82661" w:rsidRPr="00872D7E" w:rsidRDefault="00D82661" w:rsidP="00D80152">
            <w:pPr>
              <w:ind w:left="-81" w:right="-15" w:firstLine="45"/>
              <w:jc w:val="right"/>
              <w:rPr>
                <w:szCs w:val="20"/>
              </w:rPr>
            </w:pPr>
            <w:r w:rsidRPr="00872D7E">
              <w:rPr>
                <w:szCs w:val="20"/>
              </w:rPr>
              <w:t>-</w:t>
            </w:r>
          </w:p>
        </w:tc>
        <w:tc>
          <w:tcPr>
            <w:tcW w:w="748" w:type="pct"/>
            <w:tcBorders>
              <w:bottom w:val="single" w:sz="4" w:space="0" w:color="auto"/>
            </w:tcBorders>
            <w:vAlign w:val="bottom"/>
          </w:tcPr>
          <w:p w14:paraId="160EEA85" w14:textId="77777777" w:rsidR="00D82661" w:rsidRPr="00872D7E" w:rsidRDefault="00D82661" w:rsidP="00D80152">
            <w:pPr>
              <w:ind w:left="-81" w:right="-15" w:firstLine="45"/>
              <w:jc w:val="right"/>
              <w:rPr>
                <w:szCs w:val="20"/>
              </w:rPr>
            </w:pPr>
            <w:r w:rsidRPr="00872D7E">
              <w:rPr>
                <w:szCs w:val="20"/>
              </w:rPr>
              <w:t>-</w:t>
            </w:r>
          </w:p>
        </w:tc>
        <w:tc>
          <w:tcPr>
            <w:tcW w:w="1006" w:type="pct"/>
            <w:tcBorders>
              <w:bottom w:val="single" w:sz="4" w:space="0" w:color="auto"/>
            </w:tcBorders>
            <w:vAlign w:val="bottom"/>
          </w:tcPr>
          <w:p w14:paraId="5547BBC5" w14:textId="77777777" w:rsidR="00D82661" w:rsidRPr="00872D7E" w:rsidRDefault="00D82661" w:rsidP="00D80152">
            <w:pPr>
              <w:jc w:val="right"/>
              <w:rPr>
                <w:szCs w:val="20"/>
              </w:rPr>
            </w:pPr>
            <w:r w:rsidRPr="00872D7E">
              <w:rPr>
                <w:szCs w:val="20"/>
              </w:rPr>
              <w:t>-</w:t>
            </w:r>
          </w:p>
        </w:tc>
        <w:tc>
          <w:tcPr>
            <w:tcW w:w="911" w:type="pct"/>
            <w:tcBorders>
              <w:bottom w:val="single" w:sz="4" w:space="0" w:color="auto"/>
            </w:tcBorders>
            <w:vAlign w:val="bottom"/>
          </w:tcPr>
          <w:p w14:paraId="3BFB4B09" w14:textId="77777777" w:rsidR="00D82661" w:rsidRPr="00872D7E" w:rsidRDefault="00D82661" w:rsidP="00D80152">
            <w:pPr>
              <w:jc w:val="right"/>
              <w:rPr>
                <w:szCs w:val="20"/>
              </w:rPr>
            </w:pPr>
            <w:r w:rsidRPr="00872D7E">
              <w:rPr>
                <w:szCs w:val="20"/>
              </w:rPr>
              <w:t>-</w:t>
            </w:r>
          </w:p>
        </w:tc>
        <w:tc>
          <w:tcPr>
            <w:tcW w:w="1003" w:type="pct"/>
            <w:tcBorders>
              <w:bottom w:val="single" w:sz="4" w:space="0" w:color="auto"/>
            </w:tcBorders>
            <w:vAlign w:val="bottom"/>
          </w:tcPr>
          <w:p w14:paraId="327A6346" w14:textId="77777777" w:rsidR="00D82661" w:rsidRPr="00872D7E" w:rsidRDefault="00D82661" w:rsidP="00D80152">
            <w:pPr>
              <w:jc w:val="right"/>
              <w:rPr>
                <w:szCs w:val="20"/>
              </w:rPr>
            </w:pPr>
            <w:r w:rsidRPr="00872D7E">
              <w:rPr>
                <w:szCs w:val="20"/>
              </w:rPr>
              <w:t>-</w:t>
            </w:r>
          </w:p>
        </w:tc>
      </w:tr>
    </w:tbl>
    <w:bookmarkEnd w:id="107"/>
    <w:p w14:paraId="42A4EA82" w14:textId="77777777" w:rsidR="00D82661" w:rsidRPr="00872D7E" w:rsidRDefault="00D82661" w:rsidP="009D2340">
      <w:pPr>
        <w:pStyle w:val="EndnoteText"/>
        <w:numPr>
          <w:ilvl w:val="0"/>
          <w:numId w:val="85"/>
        </w:numPr>
        <w:tabs>
          <w:tab w:val="left" w:pos="2409"/>
        </w:tabs>
        <w:autoSpaceDE w:val="0"/>
        <w:autoSpaceDN w:val="0"/>
        <w:adjustRightInd w:val="0"/>
        <w:spacing w:before="120" w:after="120"/>
        <w:ind w:left="851" w:hanging="830"/>
        <w:jc w:val="both"/>
        <w:rPr>
          <w:b/>
        </w:rPr>
      </w:pPr>
      <w:r w:rsidRPr="00872D7E">
        <w:rPr>
          <w:b/>
        </w:rPr>
        <w:t>Banka’nın yurtiçinde ve yurtdışında şube veya temsilcilik açması, kapatması, organizasyonunu önemli ölçüde değiştirmesine ilişkin açıklamalar</w:t>
      </w:r>
    </w:p>
    <w:p w14:paraId="4BC54E00" w14:textId="59431DCC" w:rsidR="00D82661" w:rsidRPr="00872D7E" w:rsidRDefault="00D82661" w:rsidP="009D2340">
      <w:pPr>
        <w:pStyle w:val="EndnoteText"/>
        <w:autoSpaceDE w:val="0"/>
        <w:autoSpaceDN w:val="0"/>
        <w:adjustRightInd w:val="0"/>
        <w:spacing w:before="120" w:after="120"/>
        <w:ind w:left="851" w:right="188"/>
        <w:jc w:val="both"/>
        <w:rPr>
          <w:bCs/>
          <w:iCs/>
        </w:rPr>
      </w:pPr>
      <w:r w:rsidRPr="00872D7E">
        <w:t xml:space="preserve">Banka, </w:t>
      </w:r>
      <w:r w:rsidR="006A22AD" w:rsidRPr="00872D7E">
        <w:t>2024</w:t>
      </w:r>
      <w:r w:rsidRPr="00872D7E">
        <w:t xml:space="preserve"> yılında yurt içinde</w:t>
      </w:r>
      <w:r w:rsidR="003972CD" w:rsidRPr="00872D7E">
        <w:t xml:space="preserve"> 17</w:t>
      </w:r>
      <w:r w:rsidRPr="00872D7E">
        <w:t xml:space="preserve"> şube açmış</w:t>
      </w:r>
      <w:r w:rsidR="003972CD" w:rsidRPr="00872D7E">
        <w:t>tır</w:t>
      </w:r>
      <w:r w:rsidRPr="00872D7E">
        <w:t>. Banka, 202</w:t>
      </w:r>
      <w:r w:rsidR="003972CD" w:rsidRPr="00872D7E">
        <w:t>4</w:t>
      </w:r>
      <w:r w:rsidRPr="00872D7E">
        <w:t xml:space="preserve"> yılı içerisinde yurtdışında şube açmamış veya kapatmamıştır.</w:t>
      </w:r>
    </w:p>
    <w:p w14:paraId="5D5D261D" w14:textId="77777777" w:rsidR="00000466" w:rsidRPr="00872D7E" w:rsidRDefault="00000466" w:rsidP="00522A6A">
      <w:pPr>
        <w:pStyle w:val="BodyTextIndent"/>
        <w:widowControl w:val="0"/>
        <w:numPr>
          <w:ilvl w:val="0"/>
          <w:numId w:val="56"/>
        </w:numPr>
        <w:spacing w:line="233" w:lineRule="auto"/>
        <w:ind w:left="851" w:right="206" w:hanging="851"/>
        <w:rPr>
          <w:b/>
          <w:iCs/>
          <w:szCs w:val="20"/>
        </w:rPr>
      </w:pPr>
      <w:bookmarkStart w:id="109" w:name="_Hlk170922075"/>
      <w:r w:rsidRPr="00872D7E">
        <w:rPr>
          <w:b/>
          <w:iCs/>
          <w:szCs w:val="20"/>
        </w:rPr>
        <w:t>B</w:t>
      </w:r>
      <w:bookmarkStart w:id="110" w:name="_Hlk167289980"/>
      <w:r w:rsidRPr="00872D7E">
        <w:rPr>
          <w:b/>
          <w:iCs/>
          <w:szCs w:val="20"/>
        </w:rPr>
        <w:t>İLANÇO SONRASI HUSUSLARA İLİŞKİN AÇIKLAMA VE DİPNOTLAR</w:t>
      </w:r>
      <w:bookmarkEnd w:id="110"/>
    </w:p>
    <w:bookmarkEnd w:id="105"/>
    <w:bookmarkEnd w:id="109"/>
    <w:p w14:paraId="6E32DD22" w14:textId="234BDA6B" w:rsidR="00BF34BB" w:rsidRPr="00872D7E" w:rsidRDefault="00BF34BB" w:rsidP="00BF34BB">
      <w:pPr>
        <w:rPr>
          <w:rFonts w:eastAsia="Arial Unicode MS"/>
        </w:rPr>
      </w:pPr>
    </w:p>
    <w:p w14:paraId="132A1B45" w14:textId="3DAA93DC" w:rsidR="003E7CA7" w:rsidRPr="00872D7E" w:rsidRDefault="00BF34BB" w:rsidP="00522A6A">
      <w:pPr>
        <w:ind w:left="851"/>
        <w:jc w:val="both"/>
        <w:rPr>
          <w:rFonts w:eastAsia="Arial Unicode MS"/>
        </w:rPr>
      </w:pPr>
      <w:r w:rsidRPr="00872D7E">
        <w:rPr>
          <w:rFonts w:eastAsia="Arial Unicode MS"/>
        </w:rPr>
        <w:t xml:space="preserve">Banka, Bağlı ortaklık edinimi </w:t>
      </w:r>
      <w:r w:rsidR="00F91F7A" w:rsidRPr="00872D7E">
        <w:rPr>
          <w:rFonts w:eastAsia="Arial Unicode MS"/>
        </w:rPr>
        <w:t>kapsamında 4 Şubat 2025 tarihinde 200.000 TL sermayeli DK Girişim Sermayesi Yatırım Ortaklığı A.Ş.,</w:t>
      </w:r>
      <w:r w:rsidRPr="00872D7E">
        <w:rPr>
          <w:rFonts w:eastAsia="Arial Unicode MS"/>
        </w:rPr>
        <w:t xml:space="preserve"> </w:t>
      </w:r>
      <w:r w:rsidR="00504643" w:rsidRPr="00872D7E">
        <w:rPr>
          <w:rFonts w:eastAsia="Arial Unicode MS"/>
        </w:rPr>
        <w:t xml:space="preserve">5 Şubat 2025 tarihinde </w:t>
      </w:r>
      <w:r w:rsidRPr="00872D7E">
        <w:rPr>
          <w:rFonts w:eastAsia="Arial Unicode MS"/>
        </w:rPr>
        <w:t>500.000 TL sermayeli DK Portföy Yönetimi A.Ş</w:t>
      </w:r>
      <w:r w:rsidR="00504643" w:rsidRPr="00872D7E">
        <w:rPr>
          <w:rFonts w:eastAsia="Arial Unicode MS"/>
        </w:rPr>
        <w:t>.</w:t>
      </w:r>
      <w:r w:rsidR="00F91F7A" w:rsidRPr="00872D7E">
        <w:rPr>
          <w:rFonts w:eastAsia="Arial Unicode MS"/>
        </w:rPr>
        <w:t xml:space="preserve"> ve</w:t>
      </w:r>
      <w:r w:rsidR="00504643" w:rsidRPr="00872D7E">
        <w:rPr>
          <w:rFonts w:eastAsia="Arial Unicode MS"/>
        </w:rPr>
        <w:t xml:space="preserve"> 6 Şubat 2025 tarihinde </w:t>
      </w:r>
      <w:r w:rsidRPr="00872D7E">
        <w:rPr>
          <w:rFonts w:eastAsia="Arial Unicode MS"/>
        </w:rPr>
        <w:t>250 TL sermayeli DK Varlık Kiralama A.Ş</w:t>
      </w:r>
      <w:r w:rsidR="00504643" w:rsidRPr="00872D7E">
        <w:rPr>
          <w:rFonts w:eastAsia="Arial Unicode MS"/>
        </w:rPr>
        <w:t xml:space="preserve"> </w:t>
      </w:r>
      <w:r w:rsidRPr="00872D7E">
        <w:rPr>
          <w:rFonts w:eastAsia="Arial Unicode MS"/>
        </w:rPr>
        <w:t>ünvanlı bağlı ortaklıkları nakit sermaye ödeme yoluyla kurmuştur. Söz konusu bağlı ortaklıkların Ticaret Sicil tescil işlemleri tamamlanmış olup, faaliyet izinleri için Sermaye Piyasası Kuruluna başvuruda bulunulmuştur.</w:t>
      </w:r>
    </w:p>
    <w:p w14:paraId="0FDB1A0C" w14:textId="77777777" w:rsidR="003E7CA7" w:rsidRPr="00872D7E" w:rsidRDefault="003E7CA7">
      <w:pPr>
        <w:rPr>
          <w:rFonts w:eastAsia="Arial Unicode MS"/>
        </w:rPr>
      </w:pPr>
      <w:r w:rsidRPr="00872D7E">
        <w:rPr>
          <w:rFonts w:eastAsia="Arial Unicode MS"/>
        </w:rPr>
        <w:br w:type="page"/>
      </w:r>
    </w:p>
    <w:p w14:paraId="78AC0326" w14:textId="5164D845" w:rsidR="00136C29" w:rsidRPr="00872D7E" w:rsidRDefault="00DF09EB" w:rsidP="00827BED">
      <w:pPr>
        <w:spacing w:before="120"/>
        <w:jc w:val="center"/>
        <w:rPr>
          <w:rFonts w:eastAsia="Arial Unicode MS"/>
          <w:b/>
          <w:bCs/>
        </w:rPr>
      </w:pPr>
      <w:r w:rsidRPr="00872D7E">
        <w:rPr>
          <w:rFonts w:eastAsia="Arial Unicode MS"/>
          <w:b/>
          <w:bCs/>
        </w:rPr>
        <w:lastRenderedPageBreak/>
        <w:t>ALTINCI</w:t>
      </w:r>
      <w:r w:rsidR="00BE064F" w:rsidRPr="00872D7E">
        <w:rPr>
          <w:rFonts w:eastAsia="Arial Unicode MS"/>
          <w:b/>
          <w:bCs/>
        </w:rPr>
        <w:t xml:space="preserve"> BÖLÜM</w:t>
      </w:r>
    </w:p>
    <w:p w14:paraId="6DBE786F" w14:textId="39DBC5E5" w:rsidR="00644272" w:rsidRPr="00872D7E" w:rsidRDefault="00644272" w:rsidP="005077D7">
      <w:pPr>
        <w:jc w:val="center"/>
        <w:rPr>
          <w:rFonts w:eastAsia="Arial Unicode MS"/>
          <w:b/>
          <w:bCs/>
        </w:rPr>
      </w:pPr>
      <w:r w:rsidRPr="00872D7E">
        <w:rPr>
          <w:rFonts w:eastAsia="Arial Unicode MS"/>
          <w:b/>
          <w:bCs/>
        </w:rPr>
        <w:t>DİĞER AÇIKLAMALAR</w:t>
      </w:r>
    </w:p>
    <w:p w14:paraId="3F43AFBE" w14:textId="77777777" w:rsidR="00644272" w:rsidRPr="00872D7E" w:rsidRDefault="00644272" w:rsidP="00644272">
      <w:pPr>
        <w:pStyle w:val="EndnoteText"/>
        <w:widowControl w:val="0"/>
        <w:autoSpaceDE w:val="0"/>
        <w:autoSpaceDN w:val="0"/>
        <w:adjustRightInd w:val="0"/>
        <w:ind w:left="-28" w:firstLine="28"/>
        <w:jc w:val="center"/>
        <w:rPr>
          <w:rFonts w:eastAsia="Arial Unicode MS"/>
          <w:b/>
        </w:rPr>
      </w:pPr>
    </w:p>
    <w:p w14:paraId="3F1F253F" w14:textId="5B976736" w:rsidR="00644272" w:rsidRPr="00872D7E" w:rsidRDefault="00644272" w:rsidP="003E7CA7">
      <w:pPr>
        <w:pStyle w:val="ListParagraph"/>
        <w:widowControl w:val="0"/>
        <w:numPr>
          <w:ilvl w:val="0"/>
          <w:numId w:val="83"/>
        </w:numPr>
        <w:ind w:left="851" w:hanging="851"/>
        <w:jc w:val="both"/>
        <w:rPr>
          <w:b/>
          <w:szCs w:val="20"/>
        </w:rPr>
      </w:pPr>
      <w:r w:rsidRPr="00872D7E">
        <w:rPr>
          <w:b/>
          <w:szCs w:val="20"/>
        </w:rPr>
        <w:t>BANKA’NIN FAALİYETLERİNE İLİŞKİN DİĞER AÇIKLAMALAR</w:t>
      </w:r>
    </w:p>
    <w:p w14:paraId="5E1EAB1C" w14:textId="75E7111E" w:rsidR="003E7CA7" w:rsidRPr="00872D7E" w:rsidRDefault="00644272" w:rsidP="003E7CA7">
      <w:pPr>
        <w:spacing w:before="120"/>
        <w:ind w:left="851"/>
        <w:jc w:val="both"/>
        <w:rPr>
          <w:szCs w:val="20"/>
        </w:rPr>
      </w:pPr>
      <w:r w:rsidRPr="00872D7E">
        <w:rPr>
          <w:szCs w:val="20"/>
        </w:rPr>
        <w:t>Bulunmamaktadır.</w:t>
      </w:r>
    </w:p>
    <w:p w14:paraId="3C88915A" w14:textId="77777777" w:rsidR="003E7CA7" w:rsidRPr="00872D7E" w:rsidRDefault="003E7CA7">
      <w:pPr>
        <w:rPr>
          <w:szCs w:val="20"/>
        </w:rPr>
      </w:pPr>
      <w:r w:rsidRPr="00872D7E">
        <w:rPr>
          <w:szCs w:val="20"/>
        </w:rPr>
        <w:br w:type="page"/>
      </w:r>
    </w:p>
    <w:p w14:paraId="6309669F" w14:textId="66CF4D77" w:rsidR="00644272" w:rsidRPr="00872D7E" w:rsidRDefault="00644272" w:rsidP="001B4666">
      <w:pPr>
        <w:jc w:val="center"/>
        <w:rPr>
          <w:rFonts w:eastAsia="Arial Unicode MS"/>
          <w:b/>
          <w:bCs/>
        </w:rPr>
      </w:pPr>
      <w:r w:rsidRPr="00872D7E">
        <w:rPr>
          <w:rFonts w:eastAsia="Arial Unicode MS"/>
          <w:b/>
          <w:bCs/>
        </w:rPr>
        <w:lastRenderedPageBreak/>
        <w:t>YEDİNCİ BÖLÜM</w:t>
      </w:r>
    </w:p>
    <w:p w14:paraId="4C9A5213" w14:textId="77777777" w:rsidR="009C129C" w:rsidRPr="00872D7E" w:rsidRDefault="009C129C" w:rsidP="001B4666">
      <w:pPr>
        <w:jc w:val="center"/>
        <w:rPr>
          <w:rFonts w:eastAsia="Arial Unicode MS"/>
          <w:b/>
          <w:bCs/>
        </w:rPr>
      </w:pPr>
    </w:p>
    <w:p w14:paraId="3491D018" w14:textId="1C26203A" w:rsidR="00CD3846" w:rsidRPr="00872D7E" w:rsidRDefault="00CF70DD" w:rsidP="001B4666">
      <w:pPr>
        <w:jc w:val="center"/>
        <w:rPr>
          <w:b/>
          <w:bCs/>
        </w:rPr>
      </w:pPr>
      <w:r w:rsidRPr="00872D7E">
        <w:rPr>
          <w:b/>
          <w:bCs/>
        </w:rPr>
        <w:t>BAĞIMSIZ</w:t>
      </w:r>
      <w:r w:rsidR="005D3B2E" w:rsidRPr="00872D7E">
        <w:rPr>
          <w:b/>
          <w:bCs/>
        </w:rPr>
        <w:t xml:space="preserve"> DENETİM RAPORU</w:t>
      </w:r>
    </w:p>
    <w:p w14:paraId="02D2AB80" w14:textId="77777777" w:rsidR="00795F5E" w:rsidRPr="00872D7E" w:rsidRDefault="00795F5E" w:rsidP="001B4666">
      <w:pPr>
        <w:widowControl w:val="0"/>
        <w:tabs>
          <w:tab w:val="left" w:pos="0"/>
        </w:tabs>
        <w:jc w:val="both"/>
        <w:rPr>
          <w:b/>
          <w:szCs w:val="20"/>
        </w:rPr>
      </w:pPr>
    </w:p>
    <w:p w14:paraId="305B5121" w14:textId="7BE36B37" w:rsidR="00136C29" w:rsidRPr="00872D7E" w:rsidRDefault="00CF70DD" w:rsidP="001B4666">
      <w:pPr>
        <w:pStyle w:val="ListParagraph"/>
        <w:widowControl w:val="0"/>
        <w:numPr>
          <w:ilvl w:val="0"/>
          <w:numId w:val="82"/>
        </w:numPr>
        <w:ind w:left="851" w:hanging="851"/>
        <w:jc w:val="both"/>
        <w:rPr>
          <w:b/>
          <w:szCs w:val="20"/>
        </w:rPr>
      </w:pPr>
      <w:r w:rsidRPr="00872D7E">
        <w:rPr>
          <w:b/>
          <w:szCs w:val="20"/>
        </w:rPr>
        <w:t>BAĞIMSIZ</w:t>
      </w:r>
      <w:r w:rsidR="005D3B2E" w:rsidRPr="00872D7E">
        <w:rPr>
          <w:b/>
          <w:szCs w:val="20"/>
        </w:rPr>
        <w:t xml:space="preserve"> DENETİM RAPORUNA İLİŞKİN OLARAK AÇIKLANMASI GEREKEN HUSUSLAR</w:t>
      </w:r>
    </w:p>
    <w:p w14:paraId="6491D205" w14:textId="77777777" w:rsidR="001B4666" w:rsidRPr="00872D7E" w:rsidRDefault="001B4666" w:rsidP="001B4666">
      <w:pPr>
        <w:widowControl w:val="0"/>
        <w:ind w:left="851"/>
        <w:jc w:val="both"/>
        <w:rPr>
          <w:szCs w:val="20"/>
        </w:rPr>
      </w:pPr>
    </w:p>
    <w:p w14:paraId="3A442ABE" w14:textId="45B8FB69" w:rsidR="001525AE" w:rsidRPr="00872D7E" w:rsidRDefault="007D46CE" w:rsidP="001B4666">
      <w:pPr>
        <w:widowControl w:val="0"/>
        <w:ind w:left="851"/>
        <w:jc w:val="both"/>
        <w:rPr>
          <w:szCs w:val="20"/>
        </w:rPr>
      </w:pPr>
      <w:r w:rsidRPr="00872D7E">
        <w:rPr>
          <w:szCs w:val="20"/>
        </w:rPr>
        <w:t xml:space="preserve">Banka’nın kamuya açıklanan </w:t>
      </w:r>
      <w:r w:rsidR="00CF70DD" w:rsidRPr="00872D7E">
        <w:rPr>
          <w:szCs w:val="20"/>
        </w:rPr>
        <w:t xml:space="preserve">31 Aralık </w:t>
      </w:r>
      <w:r w:rsidR="008A2AE2" w:rsidRPr="00872D7E">
        <w:rPr>
          <w:szCs w:val="20"/>
        </w:rPr>
        <w:t xml:space="preserve">2024 </w:t>
      </w:r>
      <w:r w:rsidR="00DE7993" w:rsidRPr="00872D7E">
        <w:rPr>
          <w:szCs w:val="20"/>
        </w:rPr>
        <w:t xml:space="preserve">tarihi itibarıyla ve aynı tarihte sona eren döneme ilişkin </w:t>
      </w:r>
      <w:r w:rsidR="002A3D04" w:rsidRPr="00872D7E">
        <w:rPr>
          <w:szCs w:val="20"/>
        </w:rPr>
        <w:t xml:space="preserve">konsolide olmayan </w:t>
      </w:r>
      <w:r w:rsidR="00DE7993" w:rsidRPr="00872D7E">
        <w:rPr>
          <w:szCs w:val="20"/>
        </w:rPr>
        <w:t>finansal</w:t>
      </w:r>
      <w:r w:rsidR="00FB25E9" w:rsidRPr="00872D7E">
        <w:rPr>
          <w:szCs w:val="20"/>
        </w:rPr>
        <w:t xml:space="preserve"> tablo</w:t>
      </w:r>
      <w:r w:rsidR="007A1F48" w:rsidRPr="00872D7E">
        <w:rPr>
          <w:szCs w:val="20"/>
        </w:rPr>
        <w:t>lar</w:t>
      </w:r>
      <w:r w:rsidR="003E0081" w:rsidRPr="00872D7E">
        <w:rPr>
          <w:szCs w:val="20"/>
        </w:rPr>
        <w:t>ı</w:t>
      </w:r>
      <w:r w:rsidR="007A1F48" w:rsidRPr="00872D7E">
        <w:rPr>
          <w:szCs w:val="20"/>
        </w:rPr>
        <w:t xml:space="preserve"> </w:t>
      </w:r>
      <w:r w:rsidR="00FB25E9" w:rsidRPr="00872D7E">
        <w:rPr>
          <w:szCs w:val="20"/>
        </w:rPr>
        <w:t>“</w:t>
      </w:r>
      <w:r w:rsidR="00E660A0" w:rsidRPr="00872D7E">
        <w:rPr>
          <w:szCs w:val="20"/>
        </w:rPr>
        <w:t>P</w:t>
      </w:r>
      <w:r w:rsidR="002A3D04" w:rsidRPr="00872D7E">
        <w:rPr>
          <w:szCs w:val="20"/>
        </w:rPr>
        <w:t>w</w:t>
      </w:r>
      <w:r w:rsidR="00E660A0" w:rsidRPr="00872D7E">
        <w:rPr>
          <w:szCs w:val="20"/>
        </w:rPr>
        <w:t xml:space="preserve">C Bağımsız Denetim ve Serbest Muhasebeci Mali Müşavirlik Anonim Şirketi” </w:t>
      </w:r>
      <w:r w:rsidR="007A1F48" w:rsidRPr="00872D7E">
        <w:rPr>
          <w:szCs w:val="20"/>
        </w:rPr>
        <w:t>tarafından</w:t>
      </w:r>
      <w:r w:rsidR="00FB25E9" w:rsidRPr="00872D7E">
        <w:rPr>
          <w:szCs w:val="20"/>
        </w:rPr>
        <w:t xml:space="preserve"> </w:t>
      </w:r>
      <w:r w:rsidR="00CF70DD" w:rsidRPr="00872D7E">
        <w:rPr>
          <w:szCs w:val="20"/>
        </w:rPr>
        <w:t>bağımsız</w:t>
      </w:r>
      <w:r w:rsidR="00CD3846" w:rsidRPr="00872D7E">
        <w:rPr>
          <w:szCs w:val="20"/>
        </w:rPr>
        <w:t xml:space="preserve"> </w:t>
      </w:r>
      <w:r w:rsidR="00DE7993" w:rsidRPr="00872D7E">
        <w:rPr>
          <w:szCs w:val="20"/>
        </w:rPr>
        <w:t>denetime tabi tutulmuş olup,</w:t>
      </w:r>
      <w:r w:rsidR="00CA3431" w:rsidRPr="00872D7E">
        <w:rPr>
          <w:szCs w:val="20"/>
        </w:rPr>
        <w:t xml:space="preserve"> </w:t>
      </w:r>
      <w:r w:rsidR="003019B4" w:rsidRPr="00872D7E">
        <w:rPr>
          <w:szCs w:val="20"/>
        </w:rPr>
        <w:t>18</w:t>
      </w:r>
      <w:r w:rsidR="00122EC9" w:rsidRPr="00872D7E">
        <w:rPr>
          <w:szCs w:val="20"/>
        </w:rPr>
        <w:t xml:space="preserve"> </w:t>
      </w:r>
      <w:r w:rsidR="003C7E5F" w:rsidRPr="00872D7E">
        <w:rPr>
          <w:szCs w:val="20"/>
        </w:rPr>
        <w:t>Şubat</w:t>
      </w:r>
      <w:r w:rsidR="00122EC9" w:rsidRPr="00872D7E">
        <w:rPr>
          <w:szCs w:val="20"/>
        </w:rPr>
        <w:t xml:space="preserve"> </w:t>
      </w:r>
      <w:r w:rsidR="003C7E5F" w:rsidRPr="00872D7E">
        <w:rPr>
          <w:szCs w:val="20"/>
        </w:rPr>
        <w:t>2025</w:t>
      </w:r>
      <w:r w:rsidR="00DE7993" w:rsidRPr="00872D7E">
        <w:rPr>
          <w:szCs w:val="20"/>
        </w:rPr>
        <w:t xml:space="preserve"> tarihli </w:t>
      </w:r>
      <w:r w:rsidR="00CF70DD" w:rsidRPr="00872D7E">
        <w:rPr>
          <w:szCs w:val="20"/>
        </w:rPr>
        <w:t>bağımsız</w:t>
      </w:r>
      <w:r w:rsidR="00CD3846" w:rsidRPr="00872D7E">
        <w:rPr>
          <w:szCs w:val="20"/>
        </w:rPr>
        <w:t xml:space="preserve"> </w:t>
      </w:r>
      <w:r w:rsidR="00DE7993" w:rsidRPr="00872D7E">
        <w:rPr>
          <w:szCs w:val="20"/>
        </w:rPr>
        <w:t>denetim raporu finansal tabloların önünde sunulmuştur</w:t>
      </w:r>
      <w:r w:rsidR="001525AE" w:rsidRPr="00872D7E">
        <w:rPr>
          <w:szCs w:val="20"/>
        </w:rPr>
        <w:t>.</w:t>
      </w:r>
    </w:p>
    <w:p w14:paraId="72ED348A" w14:textId="77777777" w:rsidR="00795F5E" w:rsidRPr="00872D7E" w:rsidRDefault="00795F5E" w:rsidP="001B4666">
      <w:pPr>
        <w:widowControl w:val="0"/>
        <w:jc w:val="both"/>
        <w:rPr>
          <w:szCs w:val="20"/>
        </w:rPr>
      </w:pPr>
    </w:p>
    <w:p w14:paraId="64288700" w14:textId="202F59FE" w:rsidR="00136C29" w:rsidRPr="00872D7E" w:rsidRDefault="005D3B2E" w:rsidP="001B4666">
      <w:pPr>
        <w:pStyle w:val="ListParagraph"/>
        <w:widowControl w:val="0"/>
        <w:numPr>
          <w:ilvl w:val="0"/>
          <w:numId w:val="82"/>
        </w:numPr>
        <w:ind w:left="851" w:hanging="851"/>
        <w:jc w:val="both"/>
        <w:rPr>
          <w:b/>
          <w:szCs w:val="20"/>
        </w:rPr>
      </w:pPr>
      <w:r w:rsidRPr="00872D7E">
        <w:rPr>
          <w:b/>
          <w:szCs w:val="20"/>
        </w:rPr>
        <w:t>BAĞIMSIZ DENETÇİ TARAFINDAN HAZIRLANAN AÇIKLAMA VE DİPNOTLAR</w:t>
      </w:r>
    </w:p>
    <w:p w14:paraId="42963BB5" w14:textId="77777777" w:rsidR="001B4666" w:rsidRPr="00872D7E" w:rsidRDefault="001B4666" w:rsidP="001B4666">
      <w:pPr>
        <w:widowControl w:val="0"/>
        <w:ind w:left="851"/>
        <w:jc w:val="both"/>
        <w:rPr>
          <w:szCs w:val="20"/>
        </w:rPr>
      </w:pPr>
    </w:p>
    <w:p w14:paraId="01CFEBE3" w14:textId="4932F2B7" w:rsidR="0025172F" w:rsidRPr="00AD55D3" w:rsidRDefault="00084DC2" w:rsidP="001B4666">
      <w:pPr>
        <w:widowControl w:val="0"/>
        <w:ind w:left="851"/>
        <w:jc w:val="both"/>
        <w:rPr>
          <w:szCs w:val="20"/>
        </w:rPr>
      </w:pPr>
      <w:r w:rsidRPr="00872D7E">
        <w:rPr>
          <w:szCs w:val="20"/>
        </w:rPr>
        <w:t>Bulunmamaktadır</w:t>
      </w:r>
      <w:r w:rsidR="00136C29" w:rsidRPr="00872D7E">
        <w:rPr>
          <w:szCs w:val="20"/>
        </w:rPr>
        <w:t>.</w:t>
      </w:r>
    </w:p>
    <w:sectPr w:rsidR="0025172F" w:rsidRPr="00AD55D3" w:rsidSect="00983227">
      <w:pgSz w:w="11907" w:h="16840" w:code="9"/>
      <w:pgMar w:top="1134" w:right="1134" w:bottom="1134" w:left="1418"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0A71F" w14:textId="77777777" w:rsidR="00720240" w:rsidRDefault="00720240">
      <w:r>
        <w:separator/>
      </w:r>
    </w:p>
  </w:endnote>
  <w:endnote w:type="continuationSeparator" w:id="0">
    <w:p w14:paraId="706CEFBF" w14:textId="77777777" w:rsidR="00720240" w:rsidRDefault="00720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DINPro-Medium">
    <w:altName w:val="Cambria"/>
    <w:panose1 w:val="00000000000000000000"/>
    <w:charset w:val="00"/>
    <w:family w:val="roman"/>
    <w:notTrueType/>
    <w:pitch w:val="default"/>
  </w:font>
  <w:font w:name="Microsoft Himalaya">
    <w:panose1 w:val="01010100010101010101"/>
    <w:charset w:val="00"/>
    <w:family w:val="auto"/>
    <w:pitch w:val="variable"/>
    <w:sig w:usb0="80000003" w:usb1="00010000" w:usb2="00000040" w:usb3="00000000" w:csb0="00000001" w:csb1="00000000"/>
  </w:font>
  <w:font w:name="Univers for KPMG Light">
    <w:altName w:val="Corbel"/>
    <w:charset w:val="A2"/>
    <w:family w:val="swiss"/>
    <w:pitch w:val="variable"/>
    <w:sig w:usb0="800002AF" w:usb1="5000204A"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3D3AB" w14:textId="77777777" w:rsidR="00A97BD3" w:rsidRDefault="00A97BD3" w:rsidP="00A97BD3">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3600" behindDoc="0" locked="1" layoutInCell="1" allowOverlap="1" wp14:anchorId="096AB5A7" wp14:editId="5DC7772C">
              <wp:simplePos x="0" y="0"/>
              <wp:positionH relativeFrom="page">
                <wp:posOffset>1115695</wp:posOffset>
              </wp:positionH>
              <wp:positionV relativeFrom="page">
                <wp:posOffset>9144000</wp:posOffset>
              </wp:positionV>
              <wp:extent cx="6116955" cy="144145"/>
              <wp:effectExtent l="10795" t="9525" r="15875" b="8255"/>
              <wp:wrapNone/>
              <wp:docPr id="139587696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2E515" id="Freeform: Shape 2" o:spid="_x0000_s1026" style="position:absolute;margin-left:87.85pt;margin-top:10in;width:481.65pt;height:11.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722C39C2" w14:textId="77777777" w:rsidR="00A97BD3" w:rsidRPr="000D5196" w:rsidRDefault="00A97BD3" w:rsidP="00A97BD3">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25B0C462" w14:textId="77777777" w:rsidR="00A97BD3" w:rsidRPr="00707B68" w:rsidRDefault="00A97BD3" w:rsidP="00A97BD3">
    <w:pPr>
      <w:pStyle w:val="PwCAddress"/>
      <w:rPr>
        <w:rFonts w:ascii="Times New Roman" w:hAnsi="Times New Roman"/>
        <w:szCs w:val="18"/>
        <w:lang w:val="tr-TR"/>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14BC9" w14:textId="4343390E" w:rsidR="00A966D3" w:rsidRPr="002F6A72" w:rsidRDefault="002E35B0" w:rsidP="006A1146">
    <w:pPr>
      <w:pStyle w:val="Footer"/>
      <w:jc w:val="center"/>
      <w:rPr>
        <w:iCs w:val="0"/>
        <w:noProof w:val="0"/>
        <w:szCs w:val="22"/>
        <w:lang w:eastAsia="tr-TR"/>
      </w:rPr>
    </w:pPr>
    <w:r w:rsidRPr="002F6A72">
      <w:rPr>
        <w:iCs w:val="0"/>
        <w:noProof w:val="0"/>
        <w:szCs w:val="22"/>
        <w:lang w:eastAsia="tr-TR"/>
      </w:rPr>
      <w:t>3</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329673132"/>
      <w:docPartObj>
        <w:docPartGallery w:val="Page Numbers (Bottom of Page)"/>
        <w:docPartUnique/>
      </w:docPartObj>
    </w:sdtPr>
    <w:sdtEndPr>
      <w:rPr>
        <w:noProof/>
      </w:rPr>
    </w:sdtEndPr>
    <w:sdtContent>
      <w:p w14:paraId="6B3BEA1B" w14:textId="0D421BDC" w:rsidR="00A966D3" w:rsidRPr="003D5CB7" w:rsidRDefault="003D5CB7" w:rsidP="003D5CB7">
        <w:pPr>
          <w:pStyle w:val="Footer"/>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8E0F4" w14:textId="29D31EF5" w:rsidR="003D5CB7" w:rsidRPr="00236E51" w:rsidRDefault="003D5CB7" w:rsidP="00236E51"/>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845199411"/>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Times New Roman" w:hAnsi="Times New Roman" w:cs="Times New Roman"/>
            <w:sz w:val="20"/>
          </w:rPr>
        </w:sdtEndPr>
        <w:sdtContent>
          <w:p w14:paraId="677A6DC4" w14:textId="651D27C5" w:rsidR="00A966D3" w:rsidRPr="00EA756E" w:rsidRDefault="00A966D3" w:rsidP="00967785">
            <w:pPr>
              <w:pStyle w:val="Footer"/>
              <w:jc w:val="center"/>
              <w:rPr>
                <w:iCs w:val="0"/>
                <w:szCs w:val="22"/>
              </w:rPr>
            </w:pPr>
            <w:r w:rsidRPr="00EA756E">
              <w:rPr>
                <w:iCs w:val="0"/>
                <w:noProof w:val="0"/>
                <w:szCs w:val="22"/>
                <w:lang w:eastAsia="tr-TR"/>
              </w:rPr>
              <w:fldChar w:fldCharType="begin"/>
            </w:r>
            <w:r w:rsidRPr="00EA756E">
              <w:rPr>
                <w:iCs w:val="0"/>
                <w:noProof w:val="0"/>
                <w:szCs w:val="22"/>
                <w:lang w:eastAsia="tr-TR"/>
              </w:rPr>
              <w:instrText xml:space="preserve"> PAGE   \* MERGEFORMAT </w:instrText>
            </w:r>
            <w:r w:rsidRPr="00EA756E">
              <w:rPr>
                <w:iCs w:val="0"/>
                <w:noProof w:val="0"/>
                <w:szCs w:val="22"/>
                <w:lang w:eastAsia="tr-TR"/>
              </w:rPr>
              <w:fldChar w:fldCharType="separate"/>
            </w:r>
            <w:r w:rsidRPr="00EA756E">
              <w:rPr>
                <w:iCs w:val="0"/>
                <w:szCs w:val="22"/>
                <w:lang w:eastAsia="tr-TR"/>
              </w:rPr>
              <w:t>6</w:t>
            </w:r>
            <w:r w:rsidRPr="00EA756E">
              <w:rPr>
                <w:iCs w:val="0"/>
                <w:noProof w:val="0"/>
                <w:szCs w:val="22"/>
                <w:lang w:eastAsia="tr-TR"/>
              </w:rPr>
              <w:fldChar w:fldCharType="end"/>
            </w:r>
          </w:p>
        </w:sdtContent>
      </w:sdt>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62991739"/>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Times New Roman" w:hAnsi="Times New Roman" w:cs="Times New Roman"/>
            <w:sz w:val="20"/>
            <w:szCs w:val="20"/>
          </w:rPr>
        </w:sdtEndPr>
        <w:sdtContent>
          <w:p w14:paraId="7ABB8F64" w14:textId="4417B8ED" w:rsidR="00A966D3" w:rsidRPr="00830635" w:rsidRDefault="002E35B0" w:rsidP="0009203B">
            <w:pPr>
              <w:pStyle w:val="Footer"/>
              <w:jc w:val="center"/>
              <w:rPr>
                <w:iCs w:val="0"/>
              </w:rPr>
            </w:pPr>
            <w:r>
              <w:rPr>
                <w:iCs w:val="0"/>
                <w:noProof w:val="0"/>
                <w:lang w:eastAsia="tr-TR"/>
              </w:rPr>
              <w:t>6</w:t>
            </w:r>
          </w:p>
        </w:sdtContent>
      </w:sdt>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469518071"/>
      <w:docPartObj>
        <w:docPartGallery w:val="Page Numbers (Bottom of Page)"/>
        <w:docPartUnique/>
      </w:docPartObj>
    </w:sdtPr>
    <w:sdtEndPr>
      <w:rPr>
        <w:noProof/>
      </w:rPr>
    </w:sdtEndPr>
    <w:sdtContent>
      <w:p w14:paraId="263DC748" w14:textId="4B707C29" w:rsidR="00C907C3" w:rsidRPr="003D5CB7" w:rsidRDefault="003D5CB7" w:rsidP="003D5CB7">
        <w:pPr>
          <w:pStyle w:val="Footer"/>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2F916" w14:textId="2C7217FA" w:rsidR="00A966D3" w:rsidRDefault="00A966D3" w:rsidP="009A22B8">
    <w:pPr>
      <w:pStyle w:val="Footer"/>
      <w:jc w:val="center"/>
      <w:rPr>
        <w:rFonts w:ascii="Arial" w:hAnsi="Arial" w:cs="Arial"/>
      </w:rPr>
    </w:pPr>
  </w:p>
  <w:sdt>
    <w:sdtPr>
      <w:rPr>
        <w:rFonts w:ascii="Arial" w:hAnsi="Arial" w:cs="Arial"/>
      </w:rPr>
      <w:id w:val="1502853637"/>
      <w:docPartObj>
        <w:docPartGallery w:val="Page Numbers (Bottom of Page)"/>
        <w:docPartUnique/>
      </w:docPartObj>
    </w:sdtPr>
    <w:sdtContent>
      <w:p w14:paraId="40EC426A" w14:textId="72DAA46E" w:rsidR="00A966D3" w:rsidRPr="0009203B" w:rsidRDefault="00A966D3" w:rsidP="00967785">
        <w:pPr>
          <w:pStyle w:val="Footer"/>
          <w:jc w:val="center"/>
          <w:rPr>
            <w:rFonts w:ascii="Arial" w:hAnsi="Arial" w:cs="Arial"/>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A966D3" w:rsidRPr="0009203B" w:rsidRDefault="00A966D3" w:rsidP="00967785">
            <w:pPr>
              <w:pStyle w:val="Footer"/>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8</w:t>
            </w:r>
            <w:r w:rsidRPr="00297D55">
              <w:rPr>
                <w:rFonts w:ascii="Arial" w:hAnsi="Arial" w:cs="Arial"/>
                <w:iCs w:val="0"/>
                <w:noProof w:val="0"/>
                <w:szCs w:val="22"/>
                <w:lang w:eastAsia="tr-TR"/>
              </w:rPr>
              <w:fldChar w:fldCharType="end"/>
            </w:r>
          </w:p>
        </w:sdtContent>
      </w:sdt>
    </w:sdtContent>
  </w:sdt>
  <w:p w14:paraId="5D2220B3" w14:textId="77777777" w:rsidR="00A966D3" w:rsidRPr="00297D55" w:rsidRDefault="00A966D3" w:rsidP="00967785">
    <w:pPr>
      <w:pStyle w:val="Footer"/>
      <w:rPr>
        <w:rFonts w:ascii="Arial" w:hAnsi="Arial" w:cs="Arial"/>
        <w:iCs w:val="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43125" w14:textId="02CA33FB" w:rsidR="00A966D3" w:rsidRDefault="00A966D3" w:rsidP="009A22B8">
    <w:pPr>
      <w:pStyle w:val="Footer"/>
      <w:jc w:val="center"/>
      <w:rPr>
        <w:rFonts w:ascii="Arial" w:hAnsi="Arial" w:cs="Arial"/>
      </w:rPr>
    </w:pPr>
  </w:p>
  <w:sdt>
    <w:sdtPr>
      <w:rPr>
        <w:rFonts w:ascii="Arial" w:hAnsi="Arial" w:cs="Arial"/>
      </w:rPr>
      <w:id w:val="-2043355555"/>
      <w:docPartObj>
        <w:docPartGallery w:val="Page Numbers (Bottom of Page)"/>
        <w:docPartUnique/>
      </w:docPartObj>
    </w:sdtPr>
    <w:sdtContent>
      <w:p w14:paraId="0E2333C2" w14:textId="5E5E49DB" w:rsidR="00A966D3" w:rsidRPr="0009203B" w:rsidRDefault="00A966D3">
        <w:pPr>
          <w:pStyle w:val="Footer"/>
          <w:jc w:val="center"/>
          <w:rPr>
            <w:rFonts w:ascii="Arial" w:hAnsi="Arial" w:cs="Arial"/>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A966D3" w:rsidRPr="0009203B" w:rsidRDefault="00A966D3" w:rsidP="0009203B">
            <w:pPr>
              <w:pStyle w:val="Footer"/>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7</w:t>
            </w:r>
            <w:r w:rsidRPr="00297D55">
              <w:rPr>
                <w:rFonts w:ascii="Arial" w:hAnsi="Arial" w:cs="Arial"/>
                <w:iCs w:val="0"/>
                <w:noProof w:val="0"/>
                <w:szCs w:val="22"/>
                <w:lang w:eastAsia="tr-TR"/>
              </w:rPr>
              <w:fldChar w:fldCharType="end"/>
            </w:r>
          </w:p>
        </w:sdtContent>
      </w:sdt>
    </w:sdtContent>
  </w:sdt>
  <w:p w14:paraId="4F5EE464" w14:textId="77777777" w:rsidR="00A966D3" w:rsidRPr="00297D55" w:rsidRDefault="00A966D3" w:rsidP="00297D55">
    <w:pPr>
      <w:pStyle w:val="Footer"/>
      <w:rPr>
        <w:rFonts w:ascii="Arial" w:hAnsi="Arial" w:cs="Arial"/>
        <w:iCs w:val="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E757E" w14:textId="5D3154A7" w:rsidR="00A966D3" w:rsidRDefault="00A966D3" w:rsidP="009A22B8">
    <w:pPr>
      <w:pStyle w:val="Footer"/>
      <w:jc w:val="center"/>
    </w:pPr>
  </w:p>
  <w:p w14:paraId="342DB5BA" w14:textId="74540F5E" w:rsidR="00A966D3" w:rsidRPr="003F23DA" w:rsidRDefault="00000000" w:rsidP="00967785">
    <w:pPr>
      <w:pStyle w:val="Footer"/>
      <w:jc w:val="center"/>
    </w:pPr>
    <w:sdt>
      <w:sdtPr>
        <w:id w:val="968083340"/>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8</w:t>
            </w:r>
            <w:r w:rsidR="00A966D3" w:rsidRPr="00297D55">
              <w:rPr>
                <w:rFonts w:ascii="Arial" w:hAnsi="Arial" w:cs="Arial"/>
                <w:iCs w:val="0"/>
                <w:noProof w:val="0"/>
                <w:szCs w:val="22"/>
                <w:lang w:eastAsia="tr-TR"/>
              </w:rPr>
              <w:fldChar w:fldCharType="end"/>
            </w:r>
          </w:sdtContent>
        </w:sdt>
      </w:sdtContent>
    </w:sdt>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24026" w14:textId="25DE44D1" w:rsidR="00A966D3" w:rsidRDefault="00A966D3" w:rsidP="009A22B8">
    <w:pPr>
      <w:pStyle w:val="Footer"/>
      <w:jc w:val="center"/>
    </w:pPr>
  </w:p>
  <w:p w14:paraId="2A537049" w14:textId="51D25B37" w:rsidR="00A966D3" w:rsidRPr="003F23DA" w:rsidRDefault="00000000">
    <w:pPr>
      <w:pStyle w:val="Footer"/>
      <w:jc w:val="center"/>
    </w:pPr>
    <w:sdt>
      <w:sdtPr>
        <w:id w:val="-903137339"/>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79D33" w14:textId="77777777" w:rsidR="002C7C18" w:rsidRDefault="002C7C18" w:rsidP="000606F3">
    <w:pPr>
      <w:pStyle w:val="PwCAddress"/>
      <w:rPr>
        <w:rFonts w:ascii="Times New Roman" w:hAnsi="Times New Roman"/>
        <w:szCs w:val="18"/>
      </w:rPr>
    </w:pPr>
    <w:bookmarkStart w:id="1" w:name="FirstPageFooter"/>
    <w:bookmarkStart w:id="2" w:name="_Hlk123215800"/>
    <w:bookmarkStart w:id="3" w:name="_Hlk123215801"/>
    <w:bookmarkStart w:id="4" w:name="_Hlk123215807"/>
    <w:bookmarkStart w:id="5" w:name="_Hlk123215808"/>
    <w:bookmarkEnd w:id="1"/>
    <w:r w:rsidRPr="002322DE">
      <w:rPr>
        <w:rFonts w:ascii="Times New Roman" w:hAnsi="Times New Roman"/>
        <w:szCs w:val="18"/>
        <w:lang w:val="en-US" w:eastAsia="en-US"/>
      </w:rPr>
      <mc:AlternateContent>
        <mc:Choice Requires="wps">
          <w:drawing>
            <wp:anchor distT="0" distB="0" distL="114300" distR="114300" simplePos="0" relativeHeight="251665408" behindDoc="0" locked="1" layoutInCell="1" allowOverlap="1" wp14:anchorId="3D66FE9E" wp14:editId="3342DB7A">
              <wp:simplePos x="0" y="0"/>
              <wp:positionH relativeFrom="page">
                <wp:posOffset>1115695</wp:posOffset>
              </wp:positionH>
              <wp:positionV relativeFrom="page">
                <wp:posOffset>9144000</wp:posOffset>
              </wp:positionV>
              <wp:extent cx="6116955" cy="144145"/>
              <wp:effectExtent l="10795" t="9525" r="15875" b="8255"/>
              <wp:wrapNone/>
              <wp:docPr id="1521242353"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ED347" id="Freeform: Shape 2" o:spid="_x0000_s1026" style="position:absolute;margin-left:87.85pt;margin-top:10in;width:481.65pt;height:11.3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6FA698AC" w14:textId="77777777" w:rsidR="002C7C18" w:rsidRPr="000D5196" w:rsidRDefault="002C7C18" w:rsidP="000606F3">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653BF4F2" w14:textId="77777777" w:rsidR="002C7C18" w:rsidRPr="00707B68" w:rsidRDefault="002C7C18" w:rsidP="000606F3">
    <w:pPr>
      <w:pStyle w:val="PwCAddress"/>
      <w:rPr>
        <w:rFonts w:ascii="Times New Roman" w:hAnsi="Times New Roman"/>
        <w:szCs w:val="18"/>
        <w:lang w:val="tr-TR"/>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bookmarkStart w:id="6"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2"/>
    <w:bookmarkEnd w:id="3"/>
    <w:bookmarkEnd w:id="4"/>
    <w:bookmarkEnd w:id="5"/>
    <w:bookmarkEnd w:id="6"/>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DCE06" w14:textId="29EEAFC2" w:rsidR="00A966D3" w:rsidRPr="00830635" w:rsidRDefault="00000000" w:rsidP="00F6263E">
    <w:pPr>
      <w:pStyle w:val="Footer"/>
      <w:jc w:val="center"/>
    </w:pPr>
    <w:sdt>
      <w:sdtPr>
        <w:id w:val="1808510346"/>
        <w:docPartObj>
          <w:docPartGallery w:val="Page Numbers (Bottom of Page)"/>
          <w:docPartUnique/>
        </w:docPartObj>
      </w:sdt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8</w:t>
            </w:r>
          </w:sdtContent>
        </w:sdt>
      </w:sdtContent>
    </w:sdt>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6F096" w14:textId="35747C82" w:rsidR="00A966D3" w:rsidRDefault="00A966D3" w:rsidP="009A22B8">
    <w:pPr>
      <w:pStyle w:val="Footer"/>
      <w:jc w:val="center"/>
    </w:pPr>
  </w:p>
  <w:sdt>
    <w:sdtPr>
      <w:id w:val="1223940623"/>
      <w:docPartObj>
        <w:docPartGallery w:val="Page Numbers (Bottom of Page)"/>
        <w:docPartUnique/>
      </w:docPartObj>
    </w:sdtPr>
    <w:sdtEndPr>
      <w:rPr>
        <w:rFonts w:ascii="Arial" w:hAnsi="Arial" w:cs="Arial"/>
      </w:rPr>
    </w:sdtEndPr>
    <w:sdtContent>
      <w:p w14:paraId="336AD387" w14:textId="0EA905FA" w:rsidR="00A966D3" w:rsidRDefault="00000000" w:rsidP="00967785">
        <w:pPr>
          <w:pStyle w:val="Footer"/>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10</w:t>
            </w:r>
            <w:r w:rsidR="00A966D3" w:rsidRPr="00297D55">
              <w:rPr>
                <w:rFonts w:ascii="Arial" w:hAnsi="Arial" w:cs="Arial"/>
                <w:iCs w:val="0"/>
                <w:noProof w:val="0"/>
                <w:szCs w:val="22"/>
                <w:lang w:eastAsia="tr-TR"/>
              </w:rPr>
              <w:fldChar w:fldCharType="end"/>
            </w:r>
          </w:sdtContent>
        </w:sdt>
      </w:p>
      <w:p w14:paraId="2441ACF9" w14:textId="77777777" w:rsidR="00A966D3" w:rsidRPr="003F23DA" w:rsidRDefault="00000000" w:rsidP="00967785">
        <w:pPr>
          <w:pStyle w:val="Footer"/>
          <w:jc w:val="center"/>
        </w:pPr>
      </w:p>
    </w:sdtContent>
  </w:sdt>
  <w:p w14:paraId="06959883" w14:textId="77777777" w:rsidR="00A966D3" w:rsidRPr="00297D55" w:rsidRDefault="00A966D3" w:rsidP="00967785">
    <w:pPr>
      <w:pStyle w:val="Footer"/>
      <w:rPr>
        <w:rFonts w:ascii="Arial" w:hAnsi="Arial" w:cs="Arial"/>
        <w:iCs w:val="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C8EC7" w14:textId="2355DB09" w:rsidR="00A966D3" w:rsidRDefault="00A966D3" w:rsidP="009A22B8">
    <w:pPr>
      <w:pStyle w:val="Footer"/>
      <w:jc w:val="center"/>
    </w:pPr>
  </w:p>
  <w:sdt>
    <w:sdtPr>
      <w:id w:val="1196423094"/>
      <w:docPartObj>
        <w:docPartGallery w:val="Page Numbers (Bottom of Page)"/>
        <w:docPartUnique/>
      </w:docPartObj>
    </w:sdtPr>
    <w:sdtEndPr>
      <w:rPr>
        <w:rFonts w:ascii="Arial" w:hAnsi="Arial" w:cs="Arial"/>
      </w:rPr>
    </w:sdtEndPr>
    <w:sdtContent>
      <w:p w14:paraId="03BC3498" w14:textId="079B7538" w:rsidR="00A966D3" w:rsidRDefault="00000000">
        <w:pPr>
          <w:pStyle w:val="Footer"/>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p>
      <w:p w14:paraId="663A6669" w14:textId="77777777" w:rsidR="00A966D3" w:rsidRPr="003F23DA" w:rsidRDefault="00000000">
        <w:pPr>
          <w:pStyle w:val="Footer"/>
          <w:jc w:val="center"/>
        </w:pPr>
      </w:p>
    </w:sdtContent>
  </w:sdt>
  <w:p w14:paraId="6977B703" w14:textId="77777777" w:rsidR="00A966D3" w:rsidRPr="00297D55" w:rsidRDefault="00A966D3" w:rsidP="00297D55">
    <w:pPr>
      <w:pStyle w:val="Footer"/>
      <w:rPr>
        <w:rFonts w:ascii="Arial" w:hAnsi="Arial" w:cs="Arial"/>
        <w:iCs w:val="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Cs w:val="0"/>
        <w:noProof w:val="0"/>
        <w:szCs w:val="24"/>
        <w:lang w:eastAsia="tr-TR"/>
      </w:rPr>
      <w:id w:val="1337267873"/>
      <w:docPartObj>
        <w:docPartGallery w:val="Page Numbers (Bottom of Page)"/>
        <w:docPartUnique/>
      </w:docPartObj>
    </w:sdtPr>
    <w:sdtEndPr>
      <w:rPr>
        <w:rFonts w:ascii="Arial" w:hAnsi="Arial" w:cs="Arial"/>
        <w:iCs/>
        <w:noProof/>
        <w:szCs w:val="20"/>
        <w:lang w:eastAsia="en-US"/>
      </w:rPr>
    </w:sdtEndPr>
    <w:sdtContent>
      <w:p w14:paraId="07D346EB" w14:textId="762D22F6" w:rsidR="00CA2BAE" w:rsidRDefault="00000000" w:rsidP="002C16CB">
        <w:pPr>
          <w:pStyle w:val="Footer"/>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9</w:t>
            </w:r>
          </w:sdtContent>
        </w:sdt>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6AF09" w14:textId="062F5072" w:rsidR="00A966D3" w:rsidRDefault="00A966D3" w:rsidP="009A22B8">
    <w:pPr>
      <w:pStyle w:val="Footer"/>
      <w:jc w:val="center"/>
    </w:pPr>
  </w:p>
  <w:sdt>
    <w:sdtPr>
      <w:id w:val="1073469809"/>
      <w:docPartObj>
        <w:docPartGallery w:val="Page Numbers (Bottom of Page)"/>
        <w:docPartUnique/>
      </w:docPartObj>
    </w:sdtPr>
    <w:sdtEndPr>
      <w:rPr>
        <w:rFonts w:ascii="Arial" w:hAnsi="Arial" w:cs="Arial"/>
      </w:rPr>
    </w:sdtEndPr>
    <w:sdtContent>
      <w:p w14:paraId="5266A1EF" w14:textId="53305481" w:rsidR="00A966D3" w:rsidRDefault="00000000" w:rsidP="00967785">
        <w:pPr>
          <w:pStyle w:val="Footer"/>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12</w:t>
            </w:r>
            <w:r w:rsidR="00A966D3" w:rsidRPr="00297D55">
              <w:rPr>
                <w:rFonts w:ascii="Arial" w:hAnsi="Arial" w:cs="Arial"/>
                <w:iCs w:val="0"/>
                <w:noProof w:val="0"/>
                <w:szCs w:val="22"/>
                <w:lang w:eastAsia="tr-TR"/>
              </w:rPr>
              <w:fldChar w:fldCharType="end"/>
            </w:r>
          </w:sdtContent>
        </w:sdt>
      </w:p>
      <w:p w14:paraId="465F2677" w14:textId="77777777" w:rsidR="00A966D3" w:rsidRPr="003F23DA" w:rsidRDefault="00000000" w:rsidP="00967785">
        <w:pPr>
          <w:pStyle w:val="Footer"/>
          <w:jc w:val="center"/>
        </w:pPr>
      </w:p>
    </w:sdtContent>
  </w:sdt>
  <w:p w14:paraId="4B537880" w14:textId="77777777" w:rsidR="00A966D3" w:rsidRPr="00297D55" w:rsidRDefault="00A966D3" w:rsidP="00967785">
    <w:pPr>
      <w:pStyle w:val="Footer"/>
      <w:rPr>
        <w:rFonts w:ascii="Arial" w:hAnsi="Arial" w:cs="Arial"/>
        <w:iCs w:val="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8C49F" w14:textId="67FE3F65" w:rsidR="00A966D3" w:rsidRDefault="00A966D3" w:rsidP="009A22B8">
    <w:pPr>
      <w:pStyle w:val="Footer"/>
      <w:jc w:val="center"/>
    </w:pPr>
  </w:p>
  <w:sdt>
    <w:sdtPr>
      <w:id w:val="-913709790"/>
      <w:docPartObj>
        <w:docPartGallery w:val="Page Numbers (Bottom of Page)"/>
        <w:docPartUnique/>
      </w:docPartObj>
    </w:sdtPr>
    <w:sdtEndPr>
      <w:rPr>
        <w:rFonts w:ascii="Arial" w:hAnsi="Arial" w:cs="Arial"/>
      </w:rPr>
    </w:sdtEndPr>
    <w:sdtContent>
      <w:p w14:paraId="452C6AE1" w14:textId="79032E6B" w:rsidR="00A966D3" w:rsidRDefault="00000000">
        <w:pPr>
          <w:pStyle w:val="Footer"/>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11</w:t>
            </w:r>
            <w:r w:rsidR="00A966D3" w:rsidRPr="00297D55">
              <w:rPr>
                <w:rFonts w:ascii="Arial" w:hAnsi="Arial" w:cs="Arial"/>
                <w:iCs w:val="0"/>
                <w:noProof w:val="0"/>
                <w:szCs w:val="22"/>
                <w:lang w:eastAsia="tr-TR"/>
              </w:rPr>
              <w:fldChar w:fldCharType="end"/>
            </w:r>
          </w:sdtContent>
        </w:sdt>
      </w:p>
      <w:p w14:paraId="540D23FC" w14:textId="77777777" w:rsidR="00A966D3" w:rsidRPr="003F23DA" w:rsidRDefault="00000000">
        <w:pPr>
          <w:pStyle w:val="Footer"/>
          <w:jc w:val="center"/>
        </w:pPr>
      </w:p>
    </w:sdtContent>
  </w:sdt>
  <w:p w14:paraId="172A6A1E" w14:textId="77777777" w:rsidR="00A966D3" w:rsidRPr="00297D55" w:rsidRDefault="00A966D3" w:rsidP="00297D55">
    <w:pPr>
      <w:pStyle w:val="Footer"/>
      <w:rPr>
        <w:rFonts w:ascii="Arial" w:hAnsi="Arial" w:cs="Arial"/>
        <w:iCs w:val="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171169862"/>
      <w:docPartObj>
        <w:docPartGallery w:val="Page Numbers (Bottom of Page)"/>
        <w:docPartUnique/>
      </w:docPartObj>
    </w:sdtPr>
    <w:sdtEndPr>
      <w:rPr>
        <w:noProof/>
        <w:szCs w:val="16"/>
      </w:rPr>
    </w:sdtEndPr>
    <w:sdtContent>
      <w:p w14:paraId="0C6311C4" w14:textId="5BC78020" w:rsidR="00A966D3" w:rsidRPr="003D5CB7" w:rsidRDefault="003D5CB7" w:rsidP="003D5CB7">
        <w:pPr>
          <w:pStyle w:val="Footer"/>
          <w:jc w:val="center"/>
          <w:rPr>
            <w:szCs w:val="16"/>
          </w:rPr>
        </w:pPr>
        <w:r w:rsidRPr="003D5CB7">
          <w:rPr>
            <w:noProof w:val="0"/>
            <w:szCs w:val="16"/>
          </w:rPr>
          <w:fldChar w:fldCharType="begin"/>
        </w:r>
        <w:r w:rsidRPr="003D5CB7">
          <w:rPr>
            <w:szCs w:val="16"/>
          </w:rPr>
          <w:instrText xml:space="preserve"> PAGE   \* MERGEFORMAT </w:instrText>
        </w:r>
        <w:r w:rsidRPr="003D5CB7">
          <w:rPr>
            <w:noProof w:val="0"/>
            <w:szCs w:val="16"/>
          </w:rPr>
          <w:fldChar w:fldCharType="separate"/>
        </w:r>
        <w:r w:rsidRPr="003D5CB7">
          <w:rPr>
            <w:szCs w:val="16"/>
          </w:rPr>
          <w:t>2</w:t>
        </w:r>
        <w:r w:rsidRPr="003D5CB7">
          <w:rPr>
            <w:szCs w:val="16"/>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281920615"/>
      <w:docPartObj>
        <w:docPartGallery w:val="Page Numbers (Bottom of Page)"/>
        <w:docPartUnique/>
      </w:docPartObj>
    </w:sdtPr>
    <w:sdtEndPr>
      <w:rPr>
        <w:rFonts w:ascii="Times New Roman" w:hAnsi="Times New Roman" w:cs="Times New Roman"/>
      </w:rPr>
    </w:sdtEndPr>
    <w:sdtContent>
      <w:p w14:paraId="1254EFCB" w14:textId="77777777" w:rsidR="00A966D3" w:rsidRPr="00EA756E" w:rsidRDefault="00A966D3" w:rsidP="00967785">
        <w:pPr>
          <w:pStyle w:val="Footer"/>
          <w:jc w:val="center"/>
        </w:pPr>
        <w:r w:rsidRPr="00EA756E">
          <w:fldChar w:fldCharType="begin"/>
        </w:r>
        <w:r w:rsidRPr="00EA756E">
          <w:instrText xml:space="preserve"> PAGE   \* MERGEFORMAT </w:instrText>
        </w:r>
        <w:r w:rsidRPr="00EA756E">
          <w:fldChar w:fldCharType="separate"/>
        </w:r>
        <w:r w:rsidRPr="00EA756E">
          <w:t>54</w:t>
        </w:r>
        <w:r w:rsidRPr="00EA756E">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93368351"/>
      <w:docPartObj>
        <w:docPartGallery w:val="Page Numbers (Bottom of Page)"/>
        <w:docPartUnique/>
      </w:docPartObj>
    </w:sdtPr>
    <w:sdtEndPr>
      <w:rPr>
        <w:rFonts w:ascii="Times New Roman" w:hAnsi="Times New Roman" w:cs="Times New Roman"/>
      </w:rPr>
    </w:sdtEndPr>
    <w:sdtContent>
      <w:p w14:paraId="43889A54" w14:textId="77777777" w:rsidR="00A966D3" w:rsidRPr="00EA756E" w:rsidRDefault="00A966D3" w:rsidP="00737582">
        <w:pPr>
          <w:pStyle w:val="Footer"/>
          <w:jc w:val="center"/>
        </w:pPr>
        <w:r w:rsidRPr="00EA756E">
          <w:fldChar w:fldCharType="begin"/>
        </w:r>
        <w:r w:rsidRPr="00EA756E">
          <w:instrText xml:space="preserve"> PAGE   \* MERGEFORMAT </w:instrText>
        </w:r>
        <w:r w:rsidRPr="00EA756E">
          <w:fldChar w:fldCharType="separate"/>
        </w:r>
        <w:r w:rsidRPr="00EA756E">
          <w:t>55</w:t>
        </w:r>
        <w:r w:rsidRPr="00EA756E">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146272591"/>
      <w:docPartObj>
        <w:docPartGallery w:val="Page Numbers (Bottom of Page)"/>
        <w:docPartUnique/>
      </w:docPartObj>
    </w:sdtPr>
    <w:sdtEndPr>
      <w:rPr>
        <w:rFonts w:ascii="Times New Roman" w:hAnsi="Times New Roman" w:cs="Times New Roman"/>
      </w:rPr>
    </w:sdtEndPr>
    <w:sdtContent>
      <w:p w14:paraId="174AD591" w14:textId="77777777" w:rsidR="00A966D3" w:rsidRPr="00EA756E" w:rsidRDefault="00A966D3" w:rsidP="00967785">
        <w:pPr>
          <w:pStyle w:val="Footer"/>
          <w:jc w:val="center"/>
        </w:pPr>
        <w:r w:rsidRPr="00EA756E">
          <w:fldChar w:fldCharType="begin"/>
        </w:r>
        <w:r w:rsidRPr="00EA756E">
          <w:instrText xml:space="preserve"> PAGE   \* MERGEFORMAT </w:instrText>
        </w:r>
        <w:r w:rsidRPr="00EA756E">
          <w:fldChar w:fldCharType="separate"/>
        </w:r>
        <w:r w:rsidRPr="00EA756E">
          <w:t>54</w:t>
        </w:r>
        <w:r w:rsidRPr="00EA756E">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1B8CC" w14:textId="32AFE74A" w:rsidR="00A97BD3" w:rsidRPr="00A97BD3" w:rsidRDefault="00A97BD3" w:rsidP="00A97BD3">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100250060"/>
      <w:docPartObj>
        <w:docPartGallery w:val="Page Numbers (Bottom of Page)"/>
        <w:docPartUnique/>
      </w:docPartObj>
    </w:sdtPr>
    <w:sdtEndPr>
      <w:rPr>
        <w:rFonts w:ascii="Times New Roman" w:hAnsi="Times New Roman" w:cs="Times New Roman"/>
      </w:rPr>
    </w:sdtEndPr>
    <w:sdtContent>
      <w:p w14:paraId="73026EDD" w14:textId="77777777" w:rsidR="00A966D3" w:rsidRPr="00EA756E" w:rsidRDefault="00A966D3" w:rsidP="00737582">
        <w:pPr>
          <w:pStyle w:val="Footer"/>
          <w:jc w:val="center"/>
        </w:pPr>
        <w:r w:rsidRPr="00EA756E">
          <w:fldChar w:fldCharType="begin"/>
        </w:r>
        <w:r w:rsidRPr="00EA756E">
          <w:instrText xml:space="preserve"> PAGE   \* MERGEFORMAT </w:instrText>
        </w:r>
        <w:r w:rsidRPr="00EA756E">
          <w:fldChar w:fldCharType="separate"/>
        </w:r>
        <w:r w:rsidRPr="00EA756E">
          <w:t>55</w:t>
        </w:r>
        <w:r w:rsidRPr="00EA756E">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438E9" w14:textId="656D8B40" w:rsidR="002C7C18" w:rsidRPr="002C7C18" w:rsidRDefault="002C7C18" w:rsidP="002C7C1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FB517" w14:textId="40B0FD63" w:rsidR="00A966D3" w:rsidRPr="008B3CB7" w:rsidRDefault="00A966D3" w:rsidP="009A22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1BEFC" w14:textId="7EF879A8" w:rsidR="00A966D3" w:rsidRPr="008B3CB7" w:rsidRDefault="00A966D3" w:rsidP="009A22B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9557D" w14:textId="77777777" w:rsidR="00A966D3" w:rsidRPr="00236E51" w:rsidRDefault="00A966D3" w:rsidP="00236E5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C7EC2" w14:textId="77777777" w:rsidR="00236E51" w:rsidRPr="00236E51" w:rsidRDefault="00236E51" w:rsidP="00236E5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390725243"/>
      <w:docPartObj>
        <w:docPartGallery w:val="Page Numbers (Bottom of Page)"/>
        <w:docPartUnique/>
      </w:docPartObj>
    </w:sdtPr>
    <w:sdtEndPr>
      <w:rPr>
        <w:noProof/>
      </w:rPr>
    </w:sdtEndPr>
    <w:sdtContent>
      <w:p w14:paraId="447CE726" w14:textId="1FCD2B47" w:rsidR="000D643D" w:rsidRPr="002F6A72" w:rsidRDefault="002F6A72" w:rsidP="002F6A72">
        <w:pPr>
          <w:pStyle w:val="Footer"/>
          <w:jc w:val="center"/>
        </w:pPr>
        <w:r w:rsidRPr="002F6A72">
          <w:rPr>
            <w:noProof w:val="0"/>
          </w:rPr>
          <w:fldChar w:fldCharType="begin"/>
        </w:r>
        <w:r w:rsidRPr="002F6A72">
          <w:instrText xml:space="preserve"> PAGE   \* MERGEFORMAT </w:instrText>
        </w:r>
        <w:r w:rsidRPr="002F6A72">
          <w:rPr>
            <w:noProof w:val="0"/>
          </w:rPr>
          <w:fldChar w:fldCharType="separate"/>
        </w:r>
        <w:r w:rsidRPr="002F6A72">
          <w:t>2</w:t>
        </w:r>
        <w:r w:rsidRPr="002F6A72">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E157F" w14:textId="77777777" w:rsidR="00720240" w:rsidRPr="00995289" w:rsidRDefault="00720240" w:rsidP="00995289">
      <w:pPr>
        <w:pStyle w:val="Footer"/>
      </w:pPr>
    </w:p>
  </w:footnote>
  <w:footnote w:type="continuationSeparator" w:id="0">
    <w:p w14:paraId="45F96E8A" w14:textId="77777777" w:rsidR="00720240" w:rsidRDefault="00720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2BB40" w14:textId="2556CD07" w:rsidR="00A966D3" w:rsidRDefault="00A966D3">
    <w:pPr>
      <w:pStyle w:val="Header"/>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32FC" w14:textId="77777777" w:rsidR="00057F69" w:rsidRPr="00672906" w:rsidRDefault="00057F69" w:rsidP="00057F69">
    <w:pPr>
      <w:ind w:right="-1"/>
      <w:jc w:val="both"/>
      <w:rPr>
        <w:b/>
        <w:bCs/>
        <w:sz w:val="24"/>
        <w:szCs w:val="32"/>
      </w:rPr>
    </w:pPr>
    <w:r w:rsidRPr="00672906">
      <w:rPr>
        <w:b/>
        <w:bCs/>
        <w:sz w:val="24"/>
        <w:szCs w:val="32"/>
      </w:rPr>
      <w:t>DÜNYA KATILIM BANKASI A.Ş.</w:t>
    </w:r>
  </w:p>
  <w:p w14:paraId="3EA5CD72" w14:textId="77777777" w:rsidR="00057F69" w:rsidRPr="00672906" w:rsidRDefault="00057F69" w:rsidP="00057F69">
    <w:pPr>
      <w:ind w:right="-1"/>
      <w:jc w:val="both"/>
      <w:rPr>
        <w:b/>
        <w:bCs/>
        <w:sz w:val="24"/>
        <w:szCs w:val="32"/>
      </w:rPr>
    </w:pPr>
  </w:p>
  <w:p w14:paraId="79C76C25" w14:textId="0D115177" w:rsidR="00057F69" w:rsidRPr="00672906" w:rsidRDefault="00DD14D6" w:rsidP="00057F69">
    <w:pPr>
      <w:autoSpaceDE w:val="0"/>
      <w:autoSpaceDN w:val="0"/>
      <w:adjustRightInd w:val="0"/>
      <w:rPr>
        <w:b/>
        <w:sz w:val="24"/>
        <w:szCs w:val="32"/>
      </w:rPr>
    </w:pPr>
    <w:r w:rsidRPr="00DD14D6">
      <w:rPr>
        <w:b/>
        <w:sz w:val="24"/>
        <w:szCs w:val="32"/>
      </w:rPr>
      <w:t>31 ARALIK</w:t>
    </w:r>
    <w:r w:rsidR="006C66D3" w:rsidRPr="00672906">
      <w:rPr>
        <w:b/>
        <w:sz w:val="24"/>
        <w:szCs w:val="32"/>
      </w:rPr>
      <w:t xml:space="preserve"> </w:t>
    </w:r>
    <w:r w:rsidR="00057F69" w:rsidRPr="00672906">
      <w:rPr>
        <w:b/>
        <w:sz w:val="24"/>
        <w:szCs w:val="32"/>
      </w:rPr>
      <w:t xml:space="preserve">2024 TARİHİNDE SONA EREN HESAP DÖNEMİNE AİT </w:t>
    </w:r>
  </w:p>
  <w:p w14:paraId="728CD08F" w14:textId="77777777" w:rsidR="00057F69" w:rsidRPr="00672906" w:rsidRDefault="00057F69" w:rsidP="00057F69">
    <w:pPr>
      <w:autoSpaceDE w:val="0"/>
      <w:autoSpaceDN w:val="0"/>
      <w:adjustRightInd w:val="0"/>
      <w:rPr>
        <w:b/>
        <w:sz w:val="24"/>
        <w:szCs w:val="32"/>
      </w:rPr>
    </w:pPr>
    <w:r w:rsidRPr="00672906">
      <w:rPr>
        <w:b/>
        <w:sz w:val="24"/>
        <w:szCs w:val="32"/>
      </w:rPr>
      <w:t>KONSOLİDE OLMAYAN FİNANSAL TABLOLARA İLİŞKİN AÇIKLAMA VE DİPNOTLAR</w:t>
    </w:r>
  </w:p>
  <w:p w14:paraId="1F29E760" w14:textId="77777777" w:rsidR="00057F69" w:rsidRPr="003C6E16" w:rsidRDefault="00057F69" w:rsidP="00057F69">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68324094" w14:textId="77777777" w:rsidR="00324789" w:rsidRPr="003C6E16" w:rsidRDefault="00324789" w:rsidP="009F6E11">
    <w:pPr>
      <w:autoSpaceDE w:val="0"/>
      <w:autoSpaceDN w:val="0"/>
      <w:adjustRightInd w:val="0"/>
      <w:rPr>
        <w:i/>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0631A" w14:textId="77777777" w:rsidR="007445D4" w:rsidRPr="00672906" w:rsidRDefault="007445D4" w:rsidP="007445D4">
    <w:pPr>
      <w:ind w:right="-1"/>
      <w:jc w:val="both"/>
      <w:rPr>
        <w:b/>
        <w:bCs/>
        <w:sz w:val="24"/>
        <w:szCs w:val="32"/>
      </w:rPr>
    </w:pPr>
    <w:r w:rsidRPr="00672906">
      <w:rPr>
        <w:b/>
        <w:bCs/>
        <w:sz w:val="24"/>
        <w:szCs w:val="32"/>
      </w:rPr>
      <w:t>DÜNYA KATILIM BANKASI A.Ş.</w:t>
    </w:r>
  </w:p>
  <w:p w14:paraId="55B6CC9D" w14:textId="77777777" w:rsidR="007445D4" w:rsidRPr="00672906" w:rsidRDefault="007445D4" w:rsidP="007445D4">
    <w:pPr>
      <w:ind w:right="-1"/>
      <w:jc w:val="both"/>
      <w:rPr>
        <w:b/>
        <w:bCs/>
        <w:sz w:val="24"/>
        <w:szCs w:val="32"/>
      </w:rPr>
    </w:pPr>
  </w:p>
  <w:p w14:paraId="60D479BA" w14:textId="067D2068" w:rsidR="007445D4" w:rsidRPr="00672906" w:rsidRDefault="00DD14D6" w:rsidP="007445D4">
    <w:pPr>
      <w:autoSpaceDE w:val="0"/>
      <w:autoSpaceDN w:val="0"/>
      <w:adjustRightInd w:val="0"/>
      <w:rPr>
        <w:b/>
        <w:sz w:val="24"/>
        <w:szCs w:val="32"/>
      </w:rPr>
    </w:pPr>
    <w:bookmarkStart w:id="15" w:name="_Hlk184047127"/>
    <w:r>
      <w:rPr>
        <w:b/>
        <w:sz w:val="24"/>
        <w:szCs w:val="32"/>
      </w:rPr>
      <w:t>31</w:t>
    </w:r>
    <w:r w:rsidR="00D71C83" w:rsidRPr="00672906">
      <w:rPr>
        <w:b/>
        <w:sz w:val="24"/>
        <w:szCs w:val="32"/>
      </w:rPr>
      <w:t xml:space="preserve"> </w:t>
    </w:r>
    <w:r>
      <w:rPr>
        <w:b/>
        <w:sz w:val="24"/>
        <w:szCs w:val="32"/>
      </w:rPr>
      <w:t>ARALIK</w:t>
    </w:r>
    <w:bookmarkEnd w:id="15"/>
    <w:r w:rsidR="007445D4" w:rsidRPr="00672906">
      <w:rPr>
        <w:b/>
        <w:sz w:val="24"/>
        <w:szCs w:val="32"/>
      </w:rPr>
      <w:t xml:space="preserve"> 2024 TARİHİNDE SONA EREN HESAP DÖNEMİNE AİT </w:t>
    </w:r>
  </w:p>
  <w:p w14:paraId="524EB47A" w14:textId="77777777" w:rsidR="007445D4" w:rsidRPr="00672906" w:rsidRDefault="007445D4" w:rsidP="007445D4">
    <w:pPr>
      <w:autoSpaceDE w:val="0"/>
      <w:autoSpaceDN w:val="0"/>
      <w:adjustRightInd w:val="0"/>
      <w:rPr>
        <w:b/>
        <w:sz w:val="24"/>
        <w:szCs w:val="32"/>
      </w:rPr>
    </w:pPr>
    <w:r w:rsidRPr="00672906">
      <w:rPr>
        <w:b/>
        <w:sz w:val="24"/>
        <w:szCs w:val="32"/>
      </w:rPr>
      <w:t>KONSOLİDE OLMAYAN FİNANSAL TABLOLARA İLİŞKİN AÇIKLAMA VE DİPNOTLAR</w:t>
    </w:r>
  </w:p>
  <w:p w14:paraId="306E9958" w14:textId="77777777" w:rsidR="007445D4" w:rsidRPr="009F6E11" w:rsidRDefault="007445D4" w:rsidP="007445D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DCFF7FD" w14:textId="38AC1B15" w:rsidR="001B6D11" w:rsidRPr="007445D4" w:rsidRDefault="001B6D11" w:rsidP="007445D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0476D" w14:textId="77777777" w:rsidR="00FB1FF5" w:rsidRPr="00236E51" w:rsidRDefault="00FB1FF5" w:rsidP="00236E5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BE1B6" w14:textId="5C8B62BE" w:rsidR="00A966D3" w:rsidRPr="00672906" w:rsidRDefault="00841CB2"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871024E" w14:textId="77777777" w:rsidR="00324789" w:rsidRPr="00672906" w:rsidRDefault="00324789" w:rsidP="009F6E11">
    <w:pPr>
      <w:ind w:right="-1"/>
      <w:jc w:val="both"/>
      <w:rPr>
        <w:b/>
        <w:bCs/>
        <w:sz w:val="24"/>
        <w:szCs w:val="32"/>
      </w:rPr>
    </w:pPr>
  </w:p>
  <w:p w14:paraId="549EB7A4" w14:textId="2A457398" w:rsidR="00A966D3" w:rsidRPr="00672906" w:rsidRDefault="00DD14D6" w:rsidP="009F6E11">
    <w:pPr>
      <w:ind w:right="-1"/>
      <w:jc w:val="both"/>
      <w:rPr>
        <w:b/>
        <w:bCs/>
        <w:sz w:val="24"/>
        <w:szCs w:val="32"/>
      </w:rPr>
    </w:pPr>
    <w:r w:rsidRPr="00DD14D6">
      <w:rPr>
        <w:b/>
        <w:bCs/>
        <w:sz w:val="24"/>
        <w:szCs w:val="32"/>
      </w:rPr>
      <w:t xml:space="preserve">31 ARALIK </w:t>
    </w:r>
    <w:r w:rsidR="00A966D3" w:rsidRPr="00672906">
      <w:rPr>
        <w:b/>
        <w:bCs/>
        <w:sz w:val="24"/>
        <w:szCs w:val="32"/>
      </w:rPr>
      <w:t>202</w:t>
    </w:r>
    <w:r w:rsidR="00841CB2" w:rsidRPr="00672906">
      <w:rPr>
        <w:b/>
        <w:bCs/>
        <w:sz w:val="24"/>
        <w:szCs w:val="32"/>
      </w:rPr>
      <w:t>4</w:t>
    </w:r>
    <w:r w:rsidR="00A966D3" w:rsidRPr="00672906">
      <w:rPr>
        <w:b/>
        <w:bCs/>
        <w:sz w:val="24"/>
        <w:szCs w:val="32"/>
      </w:rPr>
      <w:t xml:space="preserve"> TARİHİ İTİBARIYLA </w:t>
    </w:r>
  </w:p>
  <w:p w14:paraId="67F7F514" w14:textId="77777777" w:rsidR="00A966D3" w:rsidRPr="00672906" w:rsidRDefault="00A966D3" w:rsidP="009F6E11">
    <w:pPr>
      <w:ind w:right="-1"/>
      <w:jc w:val="both"/>
      <w:rPr>
        <w:b/>
        <w:bCs/>
        <w:sz w:val="24"/>
        <w:szCs w:val="32"/>
      </w:rPr>
    </w:pPr>
    <w:r w:rsidRPr="00672906">
      <w:rPr>
        <w:b/>
        <w:bCs/>
        <w:sz w:val="24"/>
        <w:szCs w:val="32"/>
      </w:rPr>
      <w:t>KONSOLİDE OLMAYAN BİLANÇO (FİNANSAL DURUM TABLOSU)</w:t>
    </w:r>
  </w:p>
  <w:p w14:paraId="2E81ECB0"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4961EF68" w14:textId="77777777" w:rsidR="00A966D3" w:rsidRPr="009F6E11" w:rsidRDefault="00A966D3">
    <w:pPr>
      <w:pStyle w:val="Header"/>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60094" w14:textId="77777777" w:rsidR="00A966D3" w:rsidRPr="004330E8" w:rsidRDefault="00A966D3" w:rsidP="004330E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AE28" w14:textId="77777777" w:rsidR="004D5979" w:rsidRPr="00672906" w:rsidRDefault="004D5979" w:rsidP="004D5979">
    <w:pPr>
      <w:ind w:right="-1"/>
      <w:jc w:val="both"/>
      <w:rPr>
        <w:b/>
        <w:bCs/>
        <w:sz w:val="24"/>
        <w:szCs w:val="32"/>
      </w:rPr>
    </w:pPr>
    <w:r w:rsidRPr="00672906">
      <w:rPr>
        <w:b/>
        <w:bCs/>
        <w:sz w:val="24"/>
        <w:szCs w:val="32"/>
      </w:rPr>
      <w:t>DÜNYA KATILIM BANKASI A.Ş.</w:t>
    </w:r>
  </w:p>
  <w:p w14:paraId="1E020708" w14:textId="77777777" w:rsidR="004D5979" w:rsidRPr="00672906" w:rsidRDefault="004D5979" w:rsidP="004D5979">
    <w:pPr>
      <w:ind w:right="-1"/>
      <w:jc w:val="both"/>
      <w:rPr>
        <w:b/>
        <w:bCs/>
        <w:sz w:val="24"/>
        <w:szCs w:val="32"/>
      </w:rPr>
    </w:pPr>
  </w:p>
  <w:p w14:paraId="4ED470DB" w14:textId="725CB8CA" w:rsidR="004D5979" w:rsidRPr="00672906" w:rsidRDefault="00DD14D6" w:rsidP="004D5979">
    <w:pPr>
      <w:ind w:right="-1"/>
      <w:jc w:val="both"/>
      <w:rPr>
        <w:b/>
        <w:bCs/>
        <w:sz w:val="24"/>
        <w:szCs w:val="32"/>
      </w:rPr>
    </w:pPr>
    <w:r w:rsidRPr="00DD14D6">
      <w:rPr>
        <w:b/>
        <w:bCs/>
        <w:sz w:val="24"/>
        <w:szCs w:val="32"/>
      </w:rPr>
      <w:t>31 ARALIK</w:t>
    </w:r>
    <w:r w:rsidR="006C66D3" w:rsidRPr="00672906">
      <w:rPr>
        <w:b/>
        <w:sz w:val="24"/>
        <w:szCs w:val="32"/>
      </w:rPr>
      <w:t xml:space="preserve"> </w:t>
    </w:r>
    <w:r w:rsidR="004D5979" w:rsidRPr="00672906">
      <w:rPr>
        <w:b/>
        <w:bCs/>
        <w:sz w:val="24"/>
        <w:szCs w:val="32"/>
      </w:rPr>
      <w:t xml:space="preserve">2024 TARİHİ İTİBARIYLA </w:t>
    </w:r>
  </w:p>
  <w:p w14:paraId="46FA6F2E" w14:textId="77777777" w:rsidR="004D5979" w:rsidRPr="00672906" w:rsidRDefault="004D5979" w:rsidP="004D5979">
    <w:pPr>
      <w:ind w:right="-1"/>
      <w:jc w:val="both"/>
      <w:rPr>
        <w:b/>
        <w:bCs/>
        <w:sz w:val="24"/>
        <w:szCs w:val="32"/>
      </w:rPr>
    </w:pPr>
    <w:r w:rsidRPr="00672906">
      <w:rPr>
        <w:b/>
        <w:bCs/>
        <w:sz w:val="24"/>
        <w:szCs w:val="32"/>
      </w:rPr>
      <w:t>KONSOLİDE OLMAYAN BİLANÇO (FİNANSAL DURUM TABLOSU)</w:t>
    </w:r>
  </w:p>
  <w:p w14:paraId="10880796" w14:textId="77777777" w:rsidR="004D5979" w:rsidRPr="009F6E11" w:rsidRDefault="004D5979" w:rsidP="004D5979">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078BDCE" w14:textId="77777777" w:rsidR="004D5979" w:rsidRPr="004D5979" w:rsidRDefault="004D5979" w:rsidP="004D59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41047" w14:textId="77777777" w:rsidR="00A966D3" w:rsidRPr="00F4267A" w:rsidRDefault="00A966D3" w:rsidP="00F4267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FE20A" w14:textId="77777777" w:rsidR="00A966D3" w:rsidRPr="0037132C" w:rsidRDefault="00A966D3" w:rsidP="0037132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0F41" w14:textId="3E841B9C" w:rsidR="00A966D3" w:rsidRPr="00672906" w:rsidRDefault="00122A5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13A5E00" w14:textId="77777777" w:rsidR="00324789" w:rsidRPr="00672906" w:rsidRDefault="00324789" w:rsidP="009F6E11">
    <w:pPr>
      <w:ind w:right="-1"/>
      <w:jc w:val="both"/>
      <w:rPr>
        <w:b/>
        <w:bCs/>
        <w:sz w:val="24"/>
        <w:szCs w:val="32"/>
      </w:rPr>
    </w:pPr>
  </w:p>
  <w:p w14:paraId="4D70341D" w14:textId="08B0BB3F" w:rsidR="00A966D3" w:rsidRPr="00672906" w:rsidRDefault="00DD14D6" w:rsidP="009F6E11">
    <w:pPr>
      <w:ind w:right="-1"/>
      <w:jc w:val="both"/>
      <w:rPr>
        <w:b/>
        <w:bCs/>
        <w:sz w:val="24"/>
        <w:szCs w:val="32"/>
      </w:rPr>
    </w:pPr>
    <w:r w:rsidRPr="00DD14D6">
      <w:rPr>
        <w:b/>
        <w:bCs/>
        <w:sz w:val="24"/>
        <w:szCs w:val="32"/>
      </w:rPr>
      <w:t>31 ARALIK</w:t>
    </w:r>
    <w:r w:rsidR="006C66D3" w:rsidRPr="00672906">
      <w:rPr>
        <w:b/>
        <w:sz w:val="24"/>
        <w:szCs w:val="32"/>
      </w:rPr>
      <w:t xml:space="preserve"> </w:t>
    </w:r>
    <w:r w:rsidR="00A966D3" w:rsidRPr="00672906">
      <w:rPr>
        <w:b/>
        <w:bCs/>
        <w:sz w:val="24"/>
        <w:szCs w:val="32"/>
      </w:rPr>
      <w:t>202</w:t>
    </w:r>
    <w:r w:rsidR="005A0ADB" w:rsidRPr="00672906">
      <w:rPr>
        <w:b/>
        <w:bCs/>
        <w:sz w:val="24"/>
        <w:szCs w:val="32"/>
      </w:rPr>
      <w:t>4</w:t>
    </w:r>
    <w:r w:rsidR="00A966D3" w:rsidRPr="00672906">
      <w:rPr>
        <w:b/>
        <w:bCs/>
        <w:sz w:val="24"/>
        <w:szCs w:val="32"/>
      </w:rPr>
      <w:t xml:space="preserve"> TARİHİ İTİBARIYLA </w:t>
    </w:r>
  </w:p>
  <w:p w14:paraId="648C0DFB" w14:textId="77777777" w:rsidR="00A966D3" w:rsidRPr="00672906" w:rsidRDefault="00A966D3" w:rsidP="009F6E11">
    <w:pPr>
      <w:ind w:right="-1"/>
      <w:jc w:val="both"/>
      <w:rPr>
        <w:b/>
        <w:bCs/>
        <w:sz w:val="24"/>
        <w:szCs w:val="32"/>
      </w:rPr>
    </w:pPr>
    <w:r w:rsidRPr="00672906">
      <w:rPr>
        <w:b/>
        <w:bCs/>
        <w:sz w:val="24"/>
        <w:szCs w:val="32"/>
      </w:rPr>
      <w:t>KONSOLİDE OLMAYAN NAZIM HESAPLAR TABLOSU</w:t>
    </w:r>
  </w:p>
  <w:p w14:paraId="6C014107" w14:textId="77777777" w:rsidR="00A966D3"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79665B7D" w14:textId="77777777" w:rsidR="00296257" w:rsidRPr="00296257" w:rsidRDefault="00296257" w:rsidP="00296257">
    <w:pPr>
      <w:autoSpaceDE w:val="0"/>
      <w:autoSpaceDN w:val="0"/>
      <w:adjustRightInd w:val="0"/>
      <w:rPr>
        <w:iCs/>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D5D4D" w14:textId="77777777" w:rsidR="00A966D3" w:rsidRPr="0037132C" w:rsidRDefault="00A966D3" w:rsidP="003713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825D8" w14:textId="77777777" w:rsidR="002C7C18" w:rsidRDefault="002C7C18">
    <w:pPr>
      <w:pStyle w:val="Header"/>
    </w:pPr>
    <w:r>
      <w:drawing>
        <wp:anchor distT="0" distB="0" distL="114300" distR="114300" simplePos="0" relativeHeight="251669504" behindDoc="0" locked="1" layoutInCell="1" allowOverlap="1" wp14:anchorId="2A4091EF" wp14:editId="0A2B35B9">
          <wp:simplePos x="0" y="0"/>
          <wp:positionH relativeFrom="page">
            <wp:posOffset>454025</wp:posOffset>
          </wp:positionH>
          <wp:positionV relativeFrom="page">
            <wp:posOffset>474345</wp:posOffset>
          </wp:positionV>
          <wp:extent cx="1409700" cy="1190625"/>
          <wp:effectExtent l="0" t="0" r="0" b="0"/>
          <wp:wrapNone/>
          <wp:docPr id="6745198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55108" w14:textId="77777777" w:rsidR="00A966D3" w:rsidRPr="004905DD" w:rsidRDefault="00A966D3" w:rsidP="006913F0">
    <w:pPr>
      <w:autoSpaceDE w:val="0"/>
      <w:autoSpaceDN w:val="0"/>
      <w:adjustRightInd w:val="0"/>
      <w:rPr>
        <w:rFonts w:ascii="Arial" w:hAnsi="Arial" w:cs="Arial"/>
        <w:i/>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C2A22" w14:textId="415552BF" w:rsidR="00A966D3" w:rsidRPr="00672906" w:rsidRDefault="00122A5B" w:rsidP="00324789">
    <w:pPr>
      <w:tabs>
        <w:tab w:val="left" w:pos="5355"/>
      </w:tabs>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9D157CF" w14:textId="77777777" w:rsidR="00324789" w:rsidRPr="00672906" w:rsidRDefault="00324789" w:rsidP="009F6E11">
    <w:pPr>
      <w:tabs>
        <w:tab w:val="left" w:pos="5355"/>
      </w:tabs>
      <w:ind w:right="-1"/>
      <w:jc w:val="both"/>
      <w:rPr>
        <w:b/>
        <w:bCs/>
        <w:sz w:val="24"/>
        <w:szCs w:val="32"/>
      </w:rPr>
    </w:pPr>
  </w:p>
  <w:p w14:paraId="2859286E" w14:textId="17825C5C" w:rsidR="00A966D3" w:rsidRPr="00672906" w:rsidRDefault="00DD14D6" w:rsidP="009F6E11">
    <w:pPr>
      <w:ind w:right="-1"/>
      <w:jc w:val="both"/>
      <w:rPr>
        <w:b/>
        <w:bCs/>
        <w:sz w:val="24"/>
        <w:szCs w:val="32"/>
      </w:rPr>
    </w:pPr>
    <w:r w:rsidRPr="00DD14D6">
      <w:rPr>
        <w:b/>
        <w:bCs/>
        <w:sz w:val="24"/>
        <w:szCs w:val="32"/>
      </w:rPr>
      <w:t>31 ARALIK</w:t>
    </w:r>
    <w:r w:rsidR="006C66D3" w:rsidRPr="00672906">
      <w:rPr>
        <w:b/>
        <w:sz w:val="24"/>
        <w:szCs w:val="32"/>
      </w:rPr>
      <w:t xml:space="preserve"> </w:t>
    </w:r>
    <w:r w:rsidR="00A966D3" w:rsidRPr="00672906">
      <w:rPr>
        <w:b/>
        <w:sz w:val="24"/>
        <w:szCs w:val="32"/>
      </w:rPr>
      <w:t>202</w:t>
    </w:r>
    <w:r w:rsidR="00BE77A2" w:rsidRPr="00672906">
      <w:rPr>
        <w:b/>
        <w:sz w:val="24"/>
        <w:szCs w:val="32"/>
      </w:rPr>
      <w:t>4</w:t>
    </w:r>
    <w:r w:rsidR="00A966D3" w:rsidRPr="00672906">
      <w:rPr>
        <w:b/>
        <w:sz w:val="24"/>
        <w:szCs w:val="32"/>
      </w:rPr>
      <w:t xml:space="preserve"> </w:t>
    </w:r>
    <w:r w:rsidR="00A966D3" w:rsidRPr="00672906">
      <w:rPr>
        <w:b/>
        <w:bCs/>
        <w:sz w:val="24"/>
        <w:szCs w:val="32"/>
      </w:rPr>
      <w:t xml:space="preserve">TARİHİNDE SONA EREN HESAP DÖNEMİNE AİT </w:t>
    </w:r>
  </w:p>
  <w:p w14:paraId="7F70C1C6" w14:textId="77777777" w:rsidR="00A966D3" w:rsidRPr="00672906" w:rsidRDefault="00A966D3" w:rsidP="009F6E11">
    <w:pPr>
      <w:ind w:right="-1"/>
      <w:jc w:val="both"/>
      <w:rPr>
        <w:b/>
        <w:bCs/>
        <w:sz w:val="24"/>
        <w:szCs w:val="32"/>
      </w:rPr>
    </w:pPr>
    <w:r w:rsidRPr="00672906">
      <w:rPr>
        <w:b/>
        <w:bCs/>
        <w:sz w:val="24"/>
        <w:szCs w:val="32"/>
      </w:rPr>
      <w:t>KONSOLİDE OLMAYAN KAR VEYA ZARAR TABLOSU</w:t>
    </w:r>
  </w:p>
  <w:p w14:paraId="23C6C384"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77B1BA59" w14:textId="77777777" w:rsidR="00A966D3" w:rsidRPr="009F6E11" w:rsidRDefault="00A966D3">
    <w:pPr>
      <w:autoSpaceDE w:val="0"/>
      <w:autoSpaceDN w:val="0"/>
      <w:adjustRightInd w:val="0"/>
      <w:rPr>
        <w:i/>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76458" w14:textId="77777777" w:rsidR="00A966D3" w:rsidRPr="004905DD" w:rsidRDefault="00A966D3" w:rsidP="00967785">
    <w:pPr>
      <w:autoSpaceDE w:val="0"/>
      <w:autoSpaceDN w:val="0"/>
      <w:adjustRightInd w:val="0"/>
      <w:rPr>
        <w:rFonts w:ascii="Arial" w:hAnsi="Arial" w:cs="Arial"/>
        <w:i/>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93AB8" w14:textId="77777777" w:rsidR="00A966D3" w:rsidRPr="0037132C" w:rsidRDefault="00A966D3" w:rsidP="0037132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B833F" w14:textId="3937723D" w:rsidR="00A966D3" w:rsidRPr="00672906" w:rsidRDefault="00122A5B" w:rsidP="00324789">
    <w:pPr>
      <w:ind w:right="-1"/>
      <w:jc w:val="both"/>
      <w:rPr>
        <w:b/>
        <w:bCs/>
        <w:sz w:val="24"/>
        <w:szCs w:val="32"/>
      </w:rPr>
    </w:pPr>
    <w:r w:rsidRPr="00672906">
      <w:rPr>
        <w:b/>
        <w:bCs/>
        <w:sz w:val="24"/>
        <w:szCs w:val="32"/>
      </w:rPr>
      <w:t xml:space="preserve">DÜNYA </w:t>
    </w:r>
    <w:r w:rsidR="00A966D3" w:rsidRPr="00672906">
      <w:rPr>
        <w:b/>
        <w:bCs/>
        <w:sz w:val="24"/>
        <w:szCs w:val="32"/>
      </w:rPr>
      <w:t>KATILIM BANKASI A.Ş.</w:t>
    </w:r>
  </w:p>
  <w:p w14:paraId="5D73A3F9" w14:textId="77777777" w:rsidR="00324789" w:rsidRPr="00672906" w:rsidRDefault="00324789" w:rsidP="009F6E11">
    <w:pPr>
      <w:ind w:right="-1"/>
      <w:jc w:val="both"/>
      <w:rPr>
        <w:b/>
        <w:bCs/>
        <w:sz w:val="24"/>
        <w:szCs w:val="32"/>
      </w:rPr>
    </w:pPr>
  </w:p>
  <w:p w14:paraId="02A6BEAA" w14:textId="692E13B7" w:rsidR="00A966D3" w:rsidRPr="00672906" w:rsidRDefault="00DD14D6" w:rsidP="009F6E11">
    <w:pPr>
      <w:ind w:right="-1"/>
      <w:jc w:val="both"/>
      <w:rPr>
        <w:b/>
        <w:bCs/>
        <w:sz w:val="24"/>
        <w:szCs w:val="32"/>
      </w:rPr>
    </w:pPr>
    <w:r w:rsidRPr="00DD14D6">
      <w:rPr>
        <w:b/>
        <w:bCs/>
        <w:sz w:val="24"/>
        <w:szCs w:val="32"/>
      </w:rPr>
      <w:t>31 ARALIK</w:t>
    </w:r>
    <w:r w:rsidR="006C66D3" w:rsidRPr="00672906">
      <w:rPr>
        <w:b/>
        <w:sz w:val="24"/>
        <w:szCs w:val="32"/>
      </w:rPr>
      <w:t xml:space="preserve"> </w:t>
    </w:r>
    <w:r w:rsidR="00A966D3" w:rsidRPr="00672906">
      <w:rPr>
        <w:b/>
        <w:sz w:val="24"/>
        <w:szCs w:val="32"/>
      </w:rPr>
      <w:t>202</w:t>
    </w:r>
    <w:r w:rsidR="00BE77A2" w:rsidRPr="00672906">
      <w:rPr>
        <w:b/>
        <w:sz w:val="24"/>
        <w:szCs w:val="32"/>
      </w:rPr>
      <w:t>4</w:t>
    </w:r>
    <w:r w:rsidR="00A966D3" w:rsidRPr="00672906">
      <w:rPr>
        <w:b/>
        <w:sz w:val="24"/>
        <w:szCs w:val="32"/>
      </w:rPr>
      <w:t xml:space="preserve"> </w:t>
    </w:r>
    <w:r w:rsidR="00A966D3" w:rsidRPr="00672906">
      <w:rPr>
        <w:b/>
        <w:bCs/>
        <w:sz w:val="24"/>
        <w:szCs w:val="32"/>
      </w:rPr>
      <w:t xml:space="preserve">TARİHİNDE SONA EREN HESAP DÖNEMİNE AİT </w:t>
    </w:r>
  </w:p>
  <w:p w14:paraId="51ED2AC4" w14:textId="74F25D16" w:rsidR="00A966D3" w:rsidRPr="00672906" w:rsidRDefault="00A966D3" w:rsidP="009F6E11">
    <w:pPr>
      <w:ind w:right="-1"/>
      <w:jc w:val="both"/>
      <w:rPr>
        <w:b/>
        <w:bCs/>
        <w:sz w:val="24"/>
        <w:szCs w:val="32"/>
      </w:rPr>
    </w:pPr>
    <w:r w:rsidRPr="00672906">
      <w:rPr>
        <w:b/>
        <w:bCs/>
        <w:sz w:val="24"/>
        <w:szCs w:val="32"/>
      </w:rPr>
      <w:t xml:space="preserve">KONSOLİDE OLMAYAN </w:t>
    </w:r>
    <w:r w:rsidR="003F0D0A" w:rsidRPr="00672906">
      <w:rPr>
        <w:b/>
        <w:bCs/>
        <w:sz w:val="24"/>
        <w:szCs w:val="32"/>
      </w:rPr>
      <w:t>KAR VEYA ZARAR VE DİĞER KAPSAMLI GELİR TABLOSU</w:t>
    </w:r>
  </w:p>
  <w:p w14:paraId="128E8517"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0946C58" w14:textId="77777777" w:rsidR="00A966D3" w:rsidRPr="009F6E11" w:rsidRDefault="00A966D3">
    <w:pPr>
      <w:autoSpaceDE w:val="0"/>
      <w:autoSpaceDN w:val="0"/>
      <w:adjustRightInd w:val="0"/>
      <w:rPr>
        <w:i/>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30B32" w14:textId="77777777" w:rsidR="00A966D3" w:rsidRPr="004905DD" w:rsidRDefault="00A966D3" w:rsidP="00967785">
    <w:pPr>
      <w:ind w:right="-1"/>
      <w:jc w:val="both"/>
      <w:rPr>
        <w:rFonts w:ascii="Arial" w:hAnsi="Arial" w:cs="Arial"/>
        <w:b/>
        <w:bCs/>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6C095" w14:textId="77777777" w:rsidR="00A966D3" w:rsidRPr="0037132C" w:rsidRDefault="00A966D3" w:rsidP="0037132C">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31D6E" w14:textId="77777777" w:rsidR="003F0D0A" w:rsidRPr="00672906" w:rsidRDefault="003F0D0A" w:rsidP="00324789">
    <w:pPr>
      <w:ind w:right="-1"/>
      <w:jc w:val="both"/>
      <w:rPr>
        <w:b/>
        <w:bCs/>
        <w:sz w:val="24"/>
        <w:szCs w:val="32"/>
      </w:rPr>
    </w:pPr>
    <w:r w:rsidRPr="00672906">
      <w:rPr>
        <w:b/>
        <w:bCs/>
        <w:sz w:val="24"/>
        <w:szCs w:val="32"/>
      </w:rPr>
      <w:t>DÜNYA KATILIM BANKASI A.Ş.</w:t>
    </w:r>
  </w:p>
  <w:p w14:paraId="3F6CD43C" w14:textId="77777777" w:rsidR="003F0D0A" w:rsidRPr="00672906" w:rsidRDefault="003F0D0A" w:rsidP="009F6E11">
    <w:pPr>
      <w:ind w:right="-1"/>
      <w:jc w:val="both"/>
      <w:rPr>
        <w:b/>
        <w:bCs/>
        <w:sz w:val="24"/>
        <w:szCs w:val="32"/>
      </w:rPr>
    </w:pPr>
  </w:p>
  <w:p w14:paraId="4D16E261" w14:textId="1C6399C7" w:rsidR="003F0D0A" w:rsidRPr="00672906" w:rsidRDefault="00DD14D6" w:rsidP="009F6E11">
    <w:pPr>
      <w:ind w:right="-1"/>
      <w:jc w:val="both"/>
      <w:rPr>
        <w:b/>
        <w:bCs/>
        <w:sz w:val="24"/>
        <w:szCs w:val="32"/>
      </w:rPr>
    </w:pPr>
    <w:r w:rsidRPr="00DD14D6">
      <w:rPr>
        <w:b/>
        <w:bCs/>
        <w:sz w:val="24"/>
        <w:szCs w:val="32"/>
      </w:rPr>
      <w:t>31 ARALIK</w:t>
    </w:r>
    <w:r w:rsidR="006C66D3" w:rsidRPr="00672906">
      <w:rPr>
        <w:b/>
        <w:sz w:val="24"/>
        <w:szCs w:val="32"/>
      </w:rPr>
      <w:t xml:space="preserve"> </w:t>
    </w:r>
    <w:r w:rsidR="003F0D0A" w:rsidRPr="00672906">
      <w:rPr>
        <w:b/>
        <w:sz w:val="24"/>
        <w:szCs w:val="32"/>
      </w:rPr>
      <w:t xml:space="preserve">2024 </w:t>
    </w:r>
    <w:r w:rsidR="003F0D0A" w:rsidRPr="00672906">
      <w:rPr>
        <w:b/>
        <w:bCs/>
        <w:sz w:val="24"/>
        <w:szCs w:val="32"/>
      </w:rPr>
      <w:t xml:space="preserve">TARİHİNDE SONA EREN HESAP DÖNEMİNE AİT </w:t>
    </w:r>
  </w:p>
  <w:p w14:paraId="01F78240" w14:textId="77777777" w:rsidR="003F0D0A" w:rsidRPr="00672906" w:rsidRDefault="003F0D0A" w:rsidP="009F6E11">
    <w:pPr>
      <w:ind w:right="-1"/>
      <w:jc w:val="both"/>
      <w:rPr>
        <w:b/>
        <w:bCs/>
        <w:sz w:val="24"/>
        <w:szCs w:val="32"/>
      </w:rPr>
    </w:pPr>
    <w:r w:rsidRPr="00672906">
      <w:rPr>
        <w:b/>
        <w:bCs/>
        <w:sz w:val="24"/>
        <w:szCs w:val="32"/>
      </w:rPr>
      <w:t>KONSOLİDE OLMAYAN ÖZKAYNAKLAR DEĞİŞİM TABLOSU</w:t>
    </w:r>
  </w:p>
  <w:p w14:paraId="0F4C9104" w14:textId="77777777" w:rsidR="003F0D0A" w:rsidRPr="009F6E11" w:rsidRDefault="003F0D0A"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764100A" w14:textId="77777777" w:rsidR="003F0D0A" w:rsidRPr="009F6E11" w:rsidRDefault="003F0D0A">
    <w:pPr>
      <w:autoSpaceDE w:val="0"/>
      <w:autoSpaceDN w:val="0"/>
      <w:adjustRightInd w:val="0"/>
      <w:rPr>
        <w:i/>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5F5DC" w14:textId="77777777" w:rsidR="005C30A0" w:rsidRPr="00672906" w:rsidRDefault="005C30A0" w:rsidP="00CA03CE">
    <w:pPr>
      <w:ind w:right="-1"/>
      <w:jc w:val="both"/>
      <w:rPr>
        <w:b/>
        <w:bCs/>
        <w:sz w:val="24"/>
        <w:szCs w:val="32"/>
      </w:rPr>
    </w:pPr>
    <w:r w:rsidRPr="00672906">
      <w:rPr>
        <w:b/>
        <w:bCs/>
        <w:sz w:val="24"/>
        <w:szCs w:val="32"/>
      </w:rPr>
      <w:t>DÜNYA KATILIM BANKASI A.Ş.</w:t>
    </w:r>
  </w:p>
  <w:p w14:paraId="2215D755" w14:textId="77777777" w:rsidR="005C30A0" w:rsidRPr="00672906" w:rsidRDefault="005C30A0" w:rsidP="00CA03CE">
    <w:pPr>
      <w:ind w:right="-1"/>
      <w:jc w:val="both"/>
      <w:rPr>
        <w:b/>
        <w:bCs/>
        <w:sz w:val="24"/>
        <w:szCs w:val="32"/>
      </w:rPr>
    </w:pPr>
  </w:p>
  <w:p w14:paraId="3AF2ACA0" w14:textId="3274625F" w:rsidR="005C30A0" w:rsidRPr="00672906" w:rsidRDefault="00DD14D6" w:rsidP="00CA03CE">
    <w:pPr>
      <w:autoSpaceDE w:val="0"/>
      <w:autoSpaceDN w:val="0"/>
      <w:adjustRightInd w:val="0"/>
      <w:rPr>
        <w:b/>
        <w:sz w:val="24"/>
        <w:szCs w:val="32"/>
      </w:rPr>
    </w:pPr>
    <w:r w:rsidRPr="00DD14D6">
      <w:rPr>
        <w:b/>
        <w:sz w:val="24"/>
        <w:szCs w:val="32"/>
      </w:rPr>
      <w:t>31 ARALIK</w:t>
    </w:r>
    <w:r w:rsidR="006C66D3" w:rsidRPr="00672906">
      <w:rPr>
        <w:b/>
        <w:sz w:val="24"/>
        <w:szCs w:val="32"/>
      </w:rPr>
      <w:t xml:space="preserve"> </w:t>
    </w:r>
    <w:r w:rsidR="005C30A0" w:rsidRPr="00672906">
      <w:rPr>
        <w:b/>
        <w:sz w:val="24"/>
        <w:szCs w:val="32"/>
      </w:rPr>
      <w:t xml:space="preserve">2024 TARİHİNDE SONA EREN HESAP DÖNEMİNE AİT </w:t>
    </w:r>
  </w:p>
  <w:p w14:paraId="0AD53A50" w14:textId="6CF52F07" w:rsidR="005C30A0" w:rsidRPr="00672906" w:rsidRDefault="00D07B06" w:rsidP="00CA03CE">
    <w:pPr>
      <w:autoSpaceDE w:val="0"/>
      <w:autoSpaceDN w:val="0"/>
      <w:adjustRightInd w:val="0"/>
      <w:jc w:val="both"/>
      <w:rPr>
        <w:b/>
        <w:sz w:val="24"/>
        <w:szCs w:val="32"/>
      </w:rPr>
    </w:pPr>
    <w:r w:rsidRPr="00D07B06">
      <w:rPr>
        <w:b/>
        <w:sz w:val="24"/>
        <w:szCs w:val="32"/>
      </w:rPr>
      <w:t>KONSOLİDE OLMAYAN KAR DAĞITIM TABLOSU</w:t>
    </w:r>
  </w:p>
  <w:p w14:paraId="312ACDC7" w14:textId="77777777" w:rsidR="005C30A0" w:rsidRDefault="005C30A0" w:rsidP="00CA03CE">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18FBC2C1" w14:textId="77777777" w:rsidR="00CA03CE" w:rsidRPr="00CA03CE" w:rsidRDefault="00CA03CE" w:rsidP="00CA03CE">
    <w:pPr>
      <w:autoSpaceDE w:val="0"/>
      <w:autoSpaceDN w:val="0"/>
      <w:adjustRightInd w:val="0"/>
      <w:rPr>
        <w:iCs/>
        <w:sz w:val="22"/>
        <w:szCs w:val="2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AEB8C" w14:textId="69EDA547" w:rsidR="00A966D3" w:rsidRPr="00672906" w:rsidRDefault="00122A5B" w:rsidP="00CA03CE">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628FB37" w14:textId="77777777" w:rsidR="00324789" w:rsidRPr="00672906" w:rsidRDefault="00324789" w:rsidP="00CA03CE">
    <w:pPr>
      <w:ind w:right="-1"/>
      <w:jc w:val="both"/>
      <w:rPr>
        <w:b/>
        <w:bCs/>
        <w:sz w:val="24"/>
        <w:szCs w:val="32"/>
      </w:rPr>
    </w:pPr>
  </w:p>
  <w:p w14:paraId="0F7B472F" w14:textId="56AEBD0D" w:rsidR="00A966D3" w:rsidRPr="00672906" w:rsidRDefault="00DD14D6" w:rsidP="00CA03CE">
    <w:pPr>
      <w:autoSpaceDE w:val="0"/>
      <w:autoSpaceDN w:val="0"/>
      <w:adjustRightInd w:val="0"/>
      <w:rPr>
        <w:b/>
        <w:sz w:val="24"/>
        <w:szCs w:val="32"/>
      </w:rPr>
    </w:pPr>
    <w:r w:rsidRPr="00DD14D6">
      <w:rPr>
        <w:b/>
        <w:sz w:val="24"/>
        <w:szCs w:val="32"/>
      </w:rPr>
      <w:t>31 ARALIK</w:t>
    </w:r>
    <w:r w:rsidR="006C66D3" w:rsidRPr="00672906">
      <w:rPr>
        <w:b/>
        <w:sz w:val="24"/>
        <w:szCs w:val="32"/>
      </w:rPr>
      <w:t xml:space="preserve"> </w:t>
    </w:r>
    <w:r w:rsidR="00A966D3" w:rsidRPr="00672906">
      <w:rPr>
        <w:b/>
        <w:sz w:val="24"/>
        <w:szCs w:val="32"/>
      </w:rPr>
      <w:t>202</w:t>
    </w:r>
    <w:r w:rsidR="000A410D" w:rsidRPr="00672906">
      <w:rPr>
        <w:b/>
        <w:sz w:val="24"/>
        <w:szCs w:val="32"/>
      </w:rPr>
      <w:t>4</w:t>
    </w:r>
    <w:r w:rsidR="00A966D3" w:rsidRPr="00672906">
      <w:rPr>
        <w:b/>
        <w:sz w:val="24"/>
        <w:szCs w:val="32"/>
      </w:rPr>
      <w:t xml:space="preserve"> TARİHİNDE SONA EREN HESAP DÖNEMİNE AİT </w:t>
    </w:r>
  </w:p>
  <w:p w14:paraId="07668A27" w14:textId="77777777" w:rsidR="00A966D3" w:rsidRPr="00672906" w:rsidRDefault="00A966D3" w:rsidP="00CA03CE">
    <w:pPr>
      <w:autoSpaceDE w:val="0"/>
      <w:autoSpaceDN w:val="0"/>
      <w:adjustRightInd w:val="0"/>
      <w:jc w:val="both"/>
      <w:rPr>
        <w:b/>
        <w:sz w:val="24"/>
        <w:szCs w:val="32"/>
      </w:rPr>
    </w:pPr>
    <w:r w:rsidRPr="00672906">
      <w:rPr>
        <w:b/>
        <w:sz w:val="24"/>
        <w:szCs w:val="32"/>
      </w:rPr>
      <w:t>KONSOLİDE OLMAYAN FİNANSAL TABLOLARA İLİŞKİN AÇIKLAMA VE DİPNOTLAR</w:t>
    </w:r>
  </w:p>
  <w:p w14:paraId="1C9AE76D" w14:textId="4799A49C" w:rsidR="00324789" w:rsidRDefault="00A966D3" w:rsidP="00CA03CE">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640A8B1E" w14:textId="77777777" w:rsidR="00CA03CE" w:rsidRPr="00CA03CE" w:rsidRDefault="00CA03CE" w:rsidP="00CA03CE">
    <w:pPr>
      <w:autoSpaceDE w:val="0"/>
      <w:autoSpaceDN w:val="0"/>
      <w:adjustRightInd w:val="0"/>
      <w:rPr>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88782" w14:textId="77777777" w:rsidR="002C7C18" w:rsidRDefault="002C7C18">
    <w:pPr>
      <w:pStyle w:val="Header"/>
    </w:pPr>
    <w:r>
      <w:drawing>
        <wp:anchor distT="0" distB="0" distL="114300" distR="114300" simplePos="0" relativeHeight="251664384" behindDoc="0" locked="1" layoutInCell="1" allowOverlap="1" wp14:anchorId="12888F26" wp14:editId="1BE86492">
          <wp:simplePos x="0" y="0"/>
          <wp:positionH relativeFrom="page">
            <wp:posOffset>428625</wp:posOffset>
          </wp:positionH>
          <wp:positionV relativeFrom="page">
            <wp:posOffset>532765</wp:posOffset>
          </wp:positionV>
          <wp:extent cx="1409700" cy="1190625"/>
          <wp:effectExtent l="0" t="0" r="0" b="0"/>
          <wp:wrapNone/>
          <wp:docPr id="2121316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FEA09" w14:textId="3A9EC6F5" w:rsidR="00A966D3" w:rsidRPr="00672906" w:rsidRDefault="00122A5B">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35A8F623" w14:textId="77777777" w:rsidR="00324789" w:rsidRPr="00672906" w:rsidRDefault="00324789">
    <w:pPr>
      <w:ind w:right="-1"/>
      <w:jc w:val="both"/>
      <w:rPr>
        <w:b/>
        <w:bCs/>
        <w:sz w:val="24"/>
        <w:szCs w:val="32"/>
      </w:rPr>
    </w:pPr>
  </w:p>
  <w:p w14:paraId="0C825269" w14:textId="0E40C9EA" w:rsidR="00A966D3" w:rsidRPr="00672906" w:rsidRDefault="00DD14D6">
    <w:pPr>
      <w:autoSpaceDE w:val="0"/>
      <w:autoSpaceDN w:val="0"/>
      <w:adjustRightInd w:val="0"/>
      <w:rPr>
        <w:b/>
        <w:sz w:val="24"/>
        <w:szCs w:val="32"/>
      </w:rPr>
    </w:pPr>
    <w:r w:rsidRPr="00DD14D6">
      <w:rPr>
        <w:b/>
        <w:bCs/>
        <w:sz w:val="24"/>
        <w:szCs w:val="32"/>
      </w:rPr>
      <w:t>31 ARALIK</w:t>
    </w:r>
    <w:r w:rsidR="006C66D3" w:rsidRPr="00672906">
      <w:rPr>
        <w:b/>
        <w:sz w:val="24"/>
        <w:szCs w:val="32"/>
      </w:rPr>
      <w:t xml:space="preserve"> </w:t>
    </w:r>
    <w:r w:rsidR="00A966D3" w:rsidRPr="00672906">
      <w:rPr>
        <w:b/>
        <w:sz w:val="24"/>
        <w:szCs w:val="32"/>
      </w:rPr>
      <w:t>202</w:t>
    </w:r>
    <w:r w:rsidR="00BE77A2" w:rsidRPr="00672906">
      <w:rPr>
        <w:b/>
        <w:sz w:val="24"/>
        <w:szCs w:val="32"/>
      </w:rPr>
      <w:t>4</w:t>
    </w:r>
    <w:r w:rsidR="00A966D3" w:rsidRPr="00672906">
      <w:rPr>
        <w:b/>
        <w:sz w:val="24"/>
        <w:szCs w:val="32"/>
      </w:rPr>
      <w:t xml:space="preserve"> TARİHİNDE SONA EREN HESAP DÖNEMİNE AİT </w:t>
    </w:r>
  </w:p>
  <w:p w14:paraId="31C73FFC" w14:textId="77777777" w:rsidR="00A966D3" w:rsidRPr="00672906" w:rsidRDefault="00A966D3">
    <w:pPr>
      <w:autoSpaceDE w:val="0"/>
      <w:autoSpaceDN w:val="0"/>
      <w:adjustRightInd w:val="0"/>
      <w:rPr>
        <w:b/>
        <w:sz w:val="24"/>
        <w:szCs w:val="32"/>
      </w:rPr>
    </w:pPr>
    <w:r w:rsidRPr="00672906">
      <w:rPr>
        <w:b/>
        <w:sz w:val="24"/>
        <w:szCs w:val="32"/>
      </w:rPr>
      <w:t>KONSOLİDE OLMAYAN NAKİT AKIŞ TABLOSU</w:t>
    </w:r>
  </w:p>
  <w:p w14:paraId="62BB66D9" w14:textId="2B539A98" w:rsidR="00A966D3"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2C3AF0AA" w14:textId="77777777" w:rsidR="00324789" w:rsidRPr="009F6E11" w:rsidRDefault="00324789" w:rsidP="009F6E11">
    <w:pPr>
      <w:autoSpaceDE w:val="0"/>
      <w:autoSpaceDN w:val="0"/>
      <w:adjustRightInd w:val="0"/>
      <w:rPr>
        <w:b/>
        <w:iCs/>
        <w:sz w:val="22"/>
        <w:szCs w:val="22"/>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96828" w14:textId="77777777" w:rsidR="00042B01" w:rsidRPr="00672906" w:rsidRDefault="00042B01" w:rsidP="00CA03CE">
    <w:pPr>
      <w:ind w:right="-1"/>
      <w:jc w:val="both"/>
      <w:rPr>
        <w:b/>
        <w:bCs/>
        <w:sz w:val="24"/>
        <w:szCs w:val="32"/>
      </w:rPr>
    </w:pPr>
    <w:r w:rsidRPr="00672906">
      <w:rPr>
        <w:b/>
        <w:bCs/>
        <w:sz w:val="24"/>
        <w:szCs w:val="32"/>
      </w:rPr>
      <w:t>DÜNYA KATILIM BANKASI A.Ş.</w:t>
    </w:r>
  </w:p>
  <w:p w14:paraId="4F8D6E78" w14:textId="77777777" w:rsidR="00042B01" w:rsidRPr="00672906" w:rsidRDefault="00042B01" w:rsidP="00CA03CE">
    <w:pPr>
      <w:ind w:right="-1"/>
      <w:jc w:val="both"/>
      <w:rPr>
        <w:b/>
        <w:bCs/>
        <w:sz w:val="24"/>
        <w:szCs w:val="32"/>
      </w:rPr>
    </w:pPr>
  </w:p>
  <w:p w14:paraId="353DCABD" w14:textId="77777777" w:rsidR="00042B01" w:rsidRPr="00672906" w:rsidRDefault="00042B01" w:rsidP="00CA03CE">
    <w:pPr>
      <w:autoSpaceDE w:val="0"/>
      <w:autoSpaceDN w:val="0"/>
      <w:adjustRightInd w:val="0"/>
      <w:rPr>
        <w:b/>
        <w:sz w:val="24"/>
        <w:szCs w:val="32"/>
      </w:rPr>
    </w:pPr>
    <w:r w:rsidRPr="00DD14D6">
      <w:rPr>
        <w:b/>
        <w:sz w:val="24"/>
        <w:szCs w:val="32"/>
      </w:rPr>
      <w:t>31 ARALIK</w:t>
    </w:r>
    <w:r w:rsidRPr="00672906">
      <w:rPr>
        <w:b/>
        <w:sz w:val="24"/>
        <w:szCs w:val="32"/>
      </w:rPr>
      <w:t xml:space="preserve"> 2024 TARİHİNDE SONA EREN HESAP DÖNEMİNE AİT </w:t>
    </w:r>
  </w:p>
  <w:p w14:paraId="1E977720" w14:textId="77777777" w:rsidR="00042B01" w:rsidRPr="00672906" w:rsidRDefault="00042B01" w:rsidP="00CA03CE">
    <w:pPr>
      <w:autoSpaceDE w:val="0"/>
      <w:autoSpaceDN w:val="0"/>
      <w:adjustRightInd w:val="0"/>
      <w:jc w:val="both"/>
      <w:rPr>
        <w:b/>
        <w:sz w:val="24"/>
        <w:szCs w:val="32"/>
      </w:rPr>
    </w:pPr>
    <w:r w:rsidRPr="00672906">
      <w:rPr>
        <w:b/>
        <w:sz w:val="24"/>
        <w:szCs w:val="32"/>
      </w:rPr>
      <w:t>KONSOLİDE OLMAYAN FİNANSAL TABLOLARA İLİŞKİN AÇIKLAMA VE DİPNOTLAR</w:t>
    </w:r>
  </w:p>
  <w:p w14:paraId="1927D5A9" w14:textId="77777777" w:rsidR="00042B01" w:rsidRDefault="00042B01" w:rsidP="00CA03CE">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7E1CB76C" w14:textId="77777777" w:rsidR="00CA03CE" w:rsidRPr="00CA03CE" w:rsidRDefault="00CA03CE" w:rsidP="00CA03CE">
    <w:pPr>
      <w:autoSpaceDE w:val="0"/>
      <w:autoSpaceDN w:val="0"/>
      <w:adjustRightInd w:val="0"/>
      <w:rPr>
        <w:iCs/>
        <w:sz w:val="22"/>
        <w:szCs w:val="22"/>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403A5" w14:textId="7C70325B" w:rsidR="00A966D3" w:rsidRPr="00672906" w:rsidRDefault="00555920" w:rsidP="00CA03CE">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DD9D708" w14:textId="77777777" w:rsidR="00324789" w:rsidRPr="00672906" w:rsidRDefault="00324789" w:rsidP="00CA03CE">
    <w:pPr>
      <w:ind w:right="-1"/>
      <w:jc w:val="both"/>
      <w:rPr>
        <w:b/>
        <w:bCs/>
        <w:sz w:val="24"/>
        <w:szCs w:val="32"/>
      </w:rPr>
    </w:pPr>
  </w:p>
  <w:p w14:paraId="3CECC408" w14:textId="193A61FC" w:rsidR="00A966D3" w:rsidRPr="00672906" w:rsidRDefault="00DD14D6" w:rsidP="00CA03CE">
    <w:pPr>
      <w:autoSpaceDE w:val="0"/>
      <w:autoSpaceDN w:val="0"/>
      <w:adjustRightInd w:val="0"/>
      <w:jc w:val="both"/>
      <w:rPr>
        <w:b/>
        <w:sz w:val="24"/>
        <w:szCs w:val="32"/>
      </w:rPr>
    </w:pPr>
    <w:r w:rsidRPr="00DD14D6">
      <w:rPr>
        <w:b/>
        <w:sz w:val="24"/>
        <w:szCs w:val="32"/>
      </w:rPr>
      <w:t>31 ARALIK</w:t>
    </w:r>
    <w:r w:rsidR="006C66D3" w:rsidRPr="00672906">
      <w:rPr>
        <w:b/>
        <w:sz w:val="24"/>
        <w:szCs w:val="32"/>
      </w:rPr>
      <w:t xml:space="preserve"> </w:t>
    </w:r>
    <w:r w:rsidR="00A966D3" w:rsidRPr="00672906">
      <w:rPr>
        <w:b/>
        <w:sz w:val="24"/>
        <w:szCs w:val="32"/>
      </w:rPr>
      <w:t>202</w:t>
    </w:r>
    <w:r w:rsidR="00555920" w:rsidRPr="00672906">
      <w:rPr>
        <w:b/>
        <w:sz w:val="24"/>
        <w:szCs w:val="32"/>
      </w:rPr>
      <w:t>4</w:t>
    </w:r>
    <w:r w:rsidR="00A966D3" w:rsidRPr="00672906">
      <w:rPr>
        <w:b/>
        <w:sz w:val="24"/>
        <w:szCs w:val="32"/>
      </w:rPr>
      <w:t xml:space="preserve"> TARİHİNDE SONA EREN HESAP DÖNEMİNE AİT </w:t>
    </w:r>
  </w:p>
  <w:p w14:paraId="622940BE" w14:textId="77777777" w:rsidR="00A966D3" w:rsidRPr="00672906" w:rsidRDefault="00A966D3" w:rsidP="00CA03CE">
    <w:pPr>
      <w:autoSpaceDE w:val="0"/>
      <w:autoSpaceDN w:val="0"/>
      <w:adjustRightInd w:val="0"/>
      <w:jc w:val="both"/>
      <w:rPr>
        <w:b/>
        <w:sz w:val="24"/>
        <w:szCs w:val="32"/>
      </w:rPr>
    </w:pPr>
    <w:r w:rsidRPr="00672906">
      <w:rPr>
        <w:b/>
        <w:sz w:val="24"/>
        <w:szCs w:val="32"/>
      </w:rPr>
      <w:t>KONSOLİDE OLMAYAN FİNANSAL TABLOLARA İLİŞKİN AÇIKLAMA VE DİPNOTLAR</w:t>
    </w:r>
  </w:p>
  <w:p w14:paraId="63A5B10F" w14:textId="77777777" w:rsidR="00A966D3" w:rsidRDefault="00A966D3" w:rsidP="00CA03CE">
    <w:pPr>
      <w:pBdr>
        <w:bottom w:val="single" w:sz="4" w:space="1" w:color="auto"/>
      </w:pBdr>
      <w:autoSpaceDE w:val="0"/>
      <w:autoSpaceDN w:val="0"/>
      <w:adjustRightInd w:val="0"/>
      <w:jc w:val="both"/>
      <w:rPr>
        <w:iCs/>
        <w:sz w:val="18"/>
        <w:szCs w:val="18"/>
      </w:rPr>
    </w:pPr>
    <w:r w:rsidRPr="009F6E11">
      <w:rPr>
        <w:iCs/>
        <w:sz w:val="18"/>
        <w:szCs w:val="18"/>
      </w:rPr>
      <w:t>(Tutarlar aksi belirtilmedikçe Bin Türk Lirası (TL) olarak ifade edilmiştir.)</w:t>
    </w:r>
  </w:p>
  <w:p w14:paraId="33BF83D3" w14:textId="77777777" w:rsidR="00CA03CE" w:rsidRPr="00CA03CE" w:rsidRDefault="00CA03CE" w:rsidP="00CA03CE">
    <w:pPr>
      <w:autoSpaceDE w:val="0"/>
      <w:autoSpaceDN w:val="0"/>
      <w:adjustRightInd w:val="0"/>
      <w:jc w:val="both"/>
      <w:rPr>
        <w:iCs/>
        <w:sz w:val="22"/>
        <w:szCs w:val="22"/>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D2082" w14:textId="77777777" w:rsidR="00344C7A" w:rsidRPr="00672906" w:rsidRDefault="00344C7A" w:rsidP="00DD14D6">
    <w:pPr>
      <w:ind w:right="-1"/>
      <w:jc w:val="both"/>
      <w:rPr>
        <w:b/>
        <w:bCs/>
        <w:sz w:val="24"/>
        <w:szCs w:val="32"/>
      </w:rPr>
    </w:pPr>
    <w:r w:rsidRPr="00672906">
      <w:rPr>
        <w:b/>
        <w:bCs/>
        <w:sz w:val="24"/>
        <w:szCs w:val="32"/>
      </w:rPr>
      <w:t>DÜNYA KATILIM BANKASI A.Ş.</w:t>
    </w:r>
  </w:p>
  <w:p w14:paraId="6F64CBC7" w14:textId="77777777" w:rsidR="00344C7A" w:rsidRPr="00672906" w:rsidRDefault="00344C7A" w:rsidP="00DD14D6">
    <w:pPr>
      <w:ind w:right="-1"/>
      <w:jc w:val="both"/>
      <w:rPr>
        <w:b/>
        <w:bCs/>
        <w:sz w:val="24"/>
        <w:szCs w:val="32"/>
      </w:rPr>
    </w:pPr>
  </w:p>
  <w:p w14:paraId="08EA861C" w14:textId="03682182" w:rsidR="00344C7A" w:rsidRPr="00672906" w:rsidRDefault="00DD14D6" w:rsidP="00DD14D6">
    <w:pPr>
      <w:autoSpaceDE w:val="0"/>
      <w:autoSpaceDN w:val="0"/>
      <w:adjustRightInd w:val="0"/>
      <w:rPr>
        <w:b/>
        <w:sz w:val="24"/>
        <w:szCs w:val="32"/>
      </w:rPr>
    </w:pPr>
    <w:r w:rsidRPr="00DD14D6">
      <w:rPr>
        <w:b/>
        <w:sz w:val="24"/>
        <w:szCs w:val="32"/>
      </w:rPr>
      <w:t>31 ARALIK</w:t>
    </w:r>
    <w:r w:rsidR="00344C7A" w:rsidRPr="00672906">
      <w:rPr>
        <w:b/>
        <w:sz w:val="24"/>
        <w:szCs w:val="32"/>
      </w:rPr>
      <w:t xml:space="preserve"> 2024 TARİHİNDE SONA EREN HESAP DÖNEMİNE AİT </w:t>
    </w:r>
  </w:p>
  <w:p w14:paraId="28279A8B" w14:textId="77777777" w:rsidR="00344C7A" w:rsidRPr="00672906" w:rsidRDefault="00344C7A" w:rsidP="00DD14D6">
    <w:pPr>
      <w:autoSpaceDE w:val="0"/>
      <w:autoSpaceDN w:val="0"/>
      <w:adjustRightInd w:val="0"/>
      <w:jc w:val="both"/>
      <w:rPr>
        <w:b/>
        <w:sz w:val="24"/>
        <w:szCs w:val="32"/>
      </w:rPr>
    </w:pPr>
    <w:r w:rsidRPr="00672906">
      <w:rPr>
        <w:b/>
        <w:sz w:val="24"/>
        <w:szCs w:val="32"/>
      </w:rPr>
      <w:t>KONSOLİDE OLMAYAN FİNANSAL TABLOLARA İLİŞKİN AÇIKLAMA VE DİPNOTLAR</w:t>
    </w:r>
  </w:p>
  <w:p w14:paraId="12608D15" w14:textId="77777777" w:rsidR="00344C7A" w:rsidRPr="009F6E11" w:rsidRDefault="00344C7A" w:rsidP="00DD14D6">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D111627" w14:textId="77777777" w:rsidR="00344C7A" w:rsidRPr="009F6E11" w:rsidRDefault="00344C7A" w:rsidP="00DD14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311B2" w14:textId="622F4046" w:rsidR="0068425D" w:rsidRDefault="0068425D">
    <w:pPr>
      <w:pStyle w:val="Header"/>
    </w:pPr>
    <w:r>
      <w:drawing>
        <wp:anchor distT="0" distB="0" distL="114300" distR="114300" simplePos="0" relativeHeight="251671552" behindDoc="0" locked="1" layoutInCell="1" allowOverlap="1" wp14:anchorId="49C1AAD3" wp14:editId="54DADBEE">
          <wp:simplePos x="0" y="0"/>
          <wp:positionH relativeFrom="page">
            <wp:posOffset>140335</wp:posOffset>
          </wp:positionH>
          <wp:positionV relativeFrom="page">
            <wp:posOffset>588645</wp:posOffset>
          </wp:positionV>
          <wp:extent cx="1409700" cy="1190625"/>
          <wp:effectExtent l="0" t="0" r="0" b="0"/>
          <wp:wrapNone/>
          <wp:docPr id="55192263" name="Picture 3" descr="A pixelated butterfly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92263" name="Picture 3" descr="A pixelated butterfly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5DFB" w14:textId="77777777" w:rsidR="00A966D3" w:rsidRDefault="00A966D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EF8E9" w14:textId="77777777" w:rsidR="00A966D3" w:rsidRDefault="00A966D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EEE8E" w14:textId="64F3B15B" w:rsidR="00A966D3" w:rsidRPr="00236E51" w:rsidRDefault="00A966D3" w:rsidP="00236E5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E2F38" w14:textId="27BFA9F8" w:rsidR="000D7066" w:rsidRPr="00236E51" w:rsidRDefault="000D7066" w:rsidP="00236E5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2D69A" w14:textId="227E4EBB" w:rsidR="00A966D3" w:rsidRPr="00672906" w:rsidRDefault="00C476C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4C153E5C" w14:textId="77777777" w:rsidR="00324789" w:rsidRPr="00672906" w:rsidRDefault="00324789" w:rsidP="00324789">
    <w:pPr>
      <w:ind w:right="-1"/>
      <w:jc w:val="both"/>
      <w:rPr>
        <w:b/>
        <w:bCs/>
        <w:sz w:val="24"/>
        <w:szCs w:val="32"/>
      </w:rPr>
    </w:pPr>
  </w:p>
  <w:p w14:paraId="7AAF80EC" w14:textId="126176E8" w:rsidR="00A966D3" w:rsidRPr="00672906" w:rsidRDefault="00DD14D6" w:rsidP="00324789">
    <w:pPr>
      <w:autoSpaceDE w:val="0"/>
      <w:autoSpaceDN w:val="0"/>
      <w:adjustRightInd w:val="0"/>
      <w:rPr>
        <w:b/>
        <w:sz w:val="24"/>
        <w:szCs w:val="32"/>
      </w:rPr>
    </w:pPr>
    <w:r w:rsidRPr="00DD14D6">
      <w:rPr>
        <w:b/>
        <w:sz w:val="24"/>
        <w:szCs w:val="32"/>
      </w:rPr>
      <w:t>31 ARALIK</w:t>
    </w:r>
    <w:r w:rsidR="00A966D3" w:rsidRPr="00672906">
      <w:rPr>
        <w:b/>
        <w:sz w:val="24"/>
        <w:szCs w:val="32"/>
      </w:rPr>
      <w:t xml:space="preserve"> 202</w:t>
    </w:r>
    <w:r w:rsidR="0030541C" w:rsidRPr="00672906">
      <w:rPr>
        <w:b/>
        <w:sz w:val="24"/>
        <w:szCs w:val="32"/>
      </w:rPr>
      <w:t>4</w:t>
    </w:r>
    <w:r w:rsidR="00A966D3" w:rsidRPr="00672906">
      <w:rPr>
        <w:b/>
        <w:sz w:val="24"/>
        <w:szCs w:val="32"/>
      </w:rPr>
      <w:t xml:space="preserve"> TARİHİNDE SONA EREN HESAP DÖNEMİNE AİT </w:t>
    </w:r>
  </w:p>
  <w:p w14:paraId="39F1D9AB" w14:textId="77777777" w:rsidR="00A966D3" w:rsidRPr="00672906" w:rsidRDefault="00A966D3" w:rsidP="00324789">
    <w:pPr>
      <w:autoSpaceDE w:val="0"/>
      <w:autoSpaceDN w:val="0"/>
      <w:adjustRightInd w:val="0"/>
      <w:rPr>
        <w:b/>
        <w:sz w:val="24"/>
        <w:szCs w:val="32"/>
      </w:rPr>
    </w:pPr>
    <w:r w:rsidRPr="00672906">
      <w:rPr>
        <w:b/>
        <w:sz w:val="24"/>
        <w:szCs w:val="32"/>
      </w:rPr>
      <w:t>KONSOLİDE OLMAYAN FİNANSAL TABLOLARA İLİŞKİN AÇIKLAMA VE DİPNOTLAR</w:t>
    </w:r>
  </w:p>
  <w:p w14:paraId="0BF85E29" w14:textId="1DFE2A4A"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2CA20B85" w14:textId="77777777" w:rsidR="00324789" w:rsidRPr="009F6E11" w:rsidRDefault="00324789" w:rsidP="009F6E11">
    <w:pPr>
      <w:autoSpaceDE w:val="0"/>
      <w:autoSpaceDN w:val="0"/>
      <w:adjustRightInd w:val="0"/>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952E3"/>
    <w:multiLevelType w:val="hybridMultilevel"/>
    <w:tmpl w:val="A62C8BDE"/>
    <w:lvl w:ilvl="0" w:tplc="B60A1C80">
      <w:start w:val="1"/>
      <w:numFmt w:val="lowerLetter"/>
      <w:lvlText w:val="%1."/>
      <w:lvlJc w:val="left"/>
      <w:pPr>
        <w:ind w:left="668" w:hanging="585"/>
      </w:pPr>
      <w:rPr>
        <w:rFonts w:hint="default"/>
      </w:rPr>
    </w:lvl>
    <w:lvl w:ilvl="1" w:tplc="04090019" w:tentative="1">
      <w:start w:val="1"/>
      <w:numFmt w:val="lowerLetter"/>
      <w:lvlText w:val="%2."/>
      <w:lvlJc w:val="left"/>
      <w:pPr>
        <w:ind w:left="1163" w:hanging="360"/>
      </w:pPr>
    </w:lvl>
    <w:lvl w:ilvl="2" w:tplc="0409001B" w:tentative="1">
      <w:start w:val="1"/>
      <w:numFmt w:val="lowerRoman"/>
      <w:lvlText w:val="%3."/>
      <w:lvlJc w:val="right"/>
      <w:pPr>
        <w:ind w:left="1883" w:hanging="180"/>
      </w:pPr>
    </w:lvl>
    <w:lvl w:ilvl="3" w:tplc="0409000F" w:tentative="1">
      <w:start w:val="1"/>
      <w:numFmt w:val="decimal"/>
      <w:lvlText w:val="%4."/>
      <w:lvlJc w:val="left"/>
      <w:pPr>
        <w:ind w:left="2603" w:hanging="360"/>
      </w:pPr>
    </w:lvl>
    <w:lvl w:ilvl="4" w:tplc="04090019" w:tentative="1">
      <w:start w:val="1"/>
      <w:numFmt w:val="lowerLetter"/>
      <w:lvlText w:val="%5."/>
      <w:lvlJc w:val="left"/>
      <w:pPr>
        <w:ind w:left="3323" w:hanging="360"/>
      </w:pPr>
    </w:lvl>
    <w:lvl w:ilvl="5" w:tplc="0409001B" w:tentative="1">
      <w:start w:val="1"/>
      <w:numFmt w:val="lowerRoman"/>
      <w:lvlText w:val="%6."/>
      <w:lvlJc w:val="right"/>
      <w:pPr>
        <w:ind w:left="4043" w:hanging="180"/>
      </w:pPr>
    </w:lvl>
    <w:lvl w:ilvl="6" w:tplc="0409000F" w:tentative="1">
      <w:start w:val="1"/>
      <w:numFmt w:val="decimal"/>
      <w:lvlText w:val="%7."/>
      <w:lvlJc w:val="left"/>
      <w:pPr>
        <w:ind w:left="4763" w:hanging="360"/>
      </w:pPr>
    </w:lvl>
    <w:lvl w:ilvl="7" w:tplc="04090019" w:tentative="1">
      <w:start w:val="1"/>
      <w:numFmt w:val="lowerLetter"/>
      <w:lvlText w:val="%8."/>
      <w:lvlJc w:val="left"/>
      <w:pPr>
        <w:ind w:left="5483" w:hanging="360"/>
      </w:pPr>
    </w:lvl>
    <w:lvl w:ilvl="8" w:tplc="0409001B" w:tentative="1">
      <w:start w:val="1"/>
      <w:numFmt w:val="lowerRoman"/>
      <w:lvlText w:val="%9."/>
      <w:lvlJc w:val="right"/>
      <w:pPr>
        <w:ind w:left="6203" w:hanging="180"/>
      </w:pPr>
    </w:lvl>
  </w:abstractNum>
  <w:abstractNum w:abstractNumId="1" w15:restartNumberingAfterBreak="0">
    <w:nsid w:val="02E35E23"/>
    <w:multiLevelType w:val="hybridMultilevel"/>
    <w:tmpl w:val="B1FCBE06"/>
    <w:lvl w:ilvl="0" w:tplc="CA3A894A">
      <w:start w:val="7"/>
      <w:numFmt w:val="none"/>
      <w:lvlText w:val="9."/>
      <w:lvlJc w:val="left"/>
      <w:pPr>
        <w:tabs>
          <w:tab w:val="num" w:pos="720"/>
        </w:tabs>
        <w:ind w:left="720" w:hanging="720"/>
      </w:pPr>
      <w:rPr>
        <w:rFonts w:cs="Times New Roman" w:hint="default"/>
        <w:b/>
        <w:i w:val="0"/>
      </w:rPr>
    </w:lvl>
    <w:lvl w:ilvl="1" w:tplc="7B8AD5F4">
      <w:start w:val="7"/>
      <w:numFmt w:val="none"/>
      <w:lvlText w:val="10."/>
      <w:lvlJc w:val="left"/>
      <w:pPr>
        <w:tabs>
          <w:tab w:val="num" w:pos="2520"/>
        </w:tabs>
        <w:ind w:left="2520" w:hanging="720"/>
      </w:pPr>
      <w:rPr>
        <w:rFonts w:cs="Times New Roman" w:hint="default"/>
        <w:b/>
        <w:i w:val="0"/>
      </w:rPr>
    </w:lvl>
    <w:lvl w:ilvl="2" w:tplc="9D58CFCE">
      <w:start w:val="1"/>
      <w:numFmt w:val="lowerLetter"/>
      <w:lvlText w:val="%3."/>
      <w:lvlJc w:val="left"/>
      <w:pPr>
        <w:ind w:left="3210" w:hanging="510"/>
      </w:pPr>
      <w:rPr>
        <w:rFonts w:hint="default"/>
      </w:rPr>
    </w:lvl>
    <w:lvl w:ilvl="3" w:tplc="2BA234D4" w:tentative="1">
      <w:start w:val="1"/>
      <w:numFmt w:val="decimal"/>
      <w:lvlText w:val="%4."/>
      <w:lvlJc w:val="left"/>
      <w:pPr>
        <w:tabs>
          <w:tab w:val="num" w:pos="3600"/>
        </w:tabs>
        <w:ind w:left="3600" w:hanging="360"/>
      </w:pPr>
      <w:rPr>
        <w:rFonts w:cs="Times New Roman"/>
      </w:rPr>
    </w:lvl>
    <w:lvl w:ilvl="4" w:tplc="3B581F6A" w:tentative="1">
      <w:start w:val="1"/>
      <w:numFmt w:val="lowerLetter"/>
      <w:lvlText w:val="%5."/>
      <w:lvlJc w:val="left"/>
      <w:pPr>
        <w:tabs>
          <w:tab w:val="num" w:pos="4320"/>
        </w:tabs>
        <w:ind w:left="4320" w:hanging="360"/>
      </w:pPr>
      <w:rPr>
        <w:rFonts w:cs="Times New Roman"/>
      </w:rPr>
    </w:lvl>
    <w:lvl w:ilvl="5" w:tplc="6A3E2616" w:tentative="1">
      <w:start w:val="1"/>
      <w:numFmt w:val="lowerRoman"/>
      <w:lvlText w:val="%6."/>
      <w:lvlJc w:val="right"/>
      <w:pPr>
        <w:tabs>
          <w:tab w:val="num" w:pos="5040"/>
        </w:tabs>
        <w:ind w:left="5040" w:hanging="180"/>
      </w:pPr>
      <w:rPr>
        <w:rFonts w:cs="Times New Roman"/>
      </w:rPr>
    </w:lvl>
    <w:lvl w:ilvl="6" w:tplc="6ED8E120" w:tentative="1">
      <w:start w:val="1"/>
      <w:numFmt w:val="decimal"/>
      <w:lvlText w:val="%7."/>
      <w:lvlJc w:val="left"/>
      <w:pPr>
        <w:tabs>
          <w:tab w:val="num" w:pos="5760"/>
        </w:tabs>
        <w:ind w:left="5760" w:hanging="360"/>
      </w:pPr>
      <w:rPr>
        <w:rFonts w:cs="Times New Roman"/>
      </w:rPr>
    </w:lvl>
    <w:lvl w:ilvl="7" w:tplc="20663B0C" w:tentative="1">
      <w:start w:val="1"/>
      <w:numFmt w:val="lowerLetter"/>
      <w:lvlText w:val="%8."/>
      <w:lvlJc w:val="left"/>
      <w:pPr>
        <w:tabs>
          <w:tab w:val="num" w:pos="6480"/>
        </w:tabs>
        <w:ind w:left="6480" w:hanging="360"/>
      </w:pPr>
      <w:rPr>
        <w:rFonts w:cs="Times New Roman"/>
      </w:rPr>
    </w:lvl>
    <w:lvl w:ilvl="8" w:tplc="95486E42" w:tentative="1">
      <w:start w:val="1"/>
      <w:numFmt w:val="lowerRoman"/>
      <w:lvlText w:val="%9."/>
      <w:lvlJc w:val="right"/>
      <w:pPr>
        <w:tabs>
          <w:tab w:val="num" w:pos="7200"/>
        </w:tabs>
        <w:ind w:left="7200" w:hanging="180"/>
      </w:pPr>
      <w:rPr>
        <w:rFonts w:cs="Times New Roman"/>
      </w:rPr>
    </w:lvl>
  </w:abstractNum>
  <w:abstractNum w:abstractNumId="2" w15:restartNumberingAfterBreak="0">
    <w:nsid w:val="03C7200B"/>
    <w:multiLevelType w:val="hybridMultilevel"/>
    <w:tmpl w:val="EA7412EE"/>
    <w:lvl w:ilvl="0" w:tplc="1D408216">
      <w:start w:val="1"/>
      <w:numFmt w:val="decimal"/>
      <w:lvlText w:val="(%1)"/>
      <w:lvlJc w:val="left"/>
      <w:pPr>
        <w:ind w:left="-207" w:hanging="36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06354BFE"/>
    <w:multiLevelType w:val="multilevel"/>
    <w:tmpl w:val="2CE2677E"/>
    <w:styleLink w:val="CurrentList1"/>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4" w15:restartNumberingAfterBreak="0">
    <w:nsid w:val="066211D3"/>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9919F7"/>
    <w:multiLevelType w:val="hybridMultilevel"/>
    <w:tmpl w:val="97B0DFA4"/>
    <w:lvl w:ilvl="0" w:tplc="4F8C4262">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B550EF"/>
    <w:multiLevelType w:val="hybridMultilevel"/>
    <w:tmpl w:val="19FE77B4"/>
    <w:lvl w:ilvl="0" w:tplc="C36A461C">
      <w:start w:val="1"/>
      <w:numFmt w:val="decimal"/>
      <w:lvlText w:val="%1."/>
      <w:lvlJc w:val="left"/>
      <w:pPr>
        <w:ind w:left="-3" w:hanging="585"/>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7"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15:restartNumberingAfterBreak="0">
    <w:nsid w:val="10024F32"/>
    <w:multiLevelType w:val="multilevel"/>
    <w:tmpl w:val="2CE2677E"/>
    <w:styleLink w:val="Style2"/>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9" w15:restartNumberingAfterBreak="0">
    <w:nsid w:val="117B5A33"/>
    <w:multiLevelType w:val="multilevel"/>
    <w:tmpl w:val="041F001D"/>
    <w:styleLink w:val="Style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15:restartNumberingAfterBreak="0">
    <w:nsid w:val="127137FF"/>
    <w:multiLevelType w:val="hybridMultilevel"/>
    <w:tmpl w:val="030E917E"/>
    <w:lvl w:ilvl="0" w:tplc="5422FADA">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4152550"/>
    <w:multiLevelType w:val="multilevel"/>
    <w:tmpl w:val="041F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14454BBE"/>
    <w:multiLevelType w:val="multilevel"/>
    <w:tmpl w:val="5BD45A32"/>
    <w:lvl w:ilvl="0">
      <w:start w:val="1"/>
      <w:numFmt w:val="decimal"/>
      <w:lvlText w:val="%1."/>
      <w:lvlJc w:val="left"/>
      <w:pPr>
        <w:ind w:left="1571"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14"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E2F3A18"/>
    <w:multiLevelType w:val="hybridMultilevel"/>
    <w:tmpl w:val="D668142A"/>
    <w:lvl w:ilvl="0" w:tplc="6C3A502A">
      <w:start w:val="1"/>
      <w:numFmt w:val="upperRoman"/>
      <w:lvlText w:val="%1."/>
      <w:lvlJc w:val="left"/>
      <w:pPr>
        <w:ind w:left="4680" w:hanging="72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6" w15:restartNumberingAfterBreak="0">
    <w:nsid w:val="1E945620"/>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C6373D"/>
    <w:multiLevelType w:val="hybridMultilevel"/>
    <w:tmpl w:val="DB5CE1A4"/>
    <w:lvl w:ilvl="0" w:tplc="BD3E82CC">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33D0A2C"/>
    <w:multiLevelType w:val="hybridMultilevel"/>
    <w:tmpl w:val="D52CB020"/>
    <w:lvl w:ilvl="0" w:tplc="A792106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BD1FEE"/>
    <w:multiLevelType w:val="multilevel"/>
    <w:tmpl w:val="041F001D"/>
    <w:styleLink w:val="Style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7186AF8"/>
    <w:multiLevelType w:val="hybridMultilevel"/>
    <w:tmpl w:val="A73E9CD8"/>
    <w:lvl w:ilvl="0" w:tplc="663C9230">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1" w15:restartNumberingAfterBreak="0">
    <w:nsid w:val="27AA6098"/>
    <w:multiLevelType w:val="hybridMultilevel"/>
    <w:tmpl w:val="DD8E1B2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A4607B3"/>
    <w:multiLevelType w:val="hybridMultilevel"/>
    <w:tmpl w:val="3BF8EFF0"/>
    <w:lvl w:ilvl="0" w:tplc="0FA45732">
      <w:start w:val="7"/>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8F786B"/>
    <w:multiLevelType w:val="hybridMultilevel"/>
    <w:tmpl w:val="CB2E4A3E"/>
    <w:lvl w:ilvl="0" w:tplc="24AC549C">
      <w:start w:val="1"/>
      <w:numFmt w:val="decimal"/>
      <w:lvlText w:val="%1."/>
      <w:lvlJc w:val="left"/>
      <w:pPr>
        <w:ind w:left="157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AAB1EA1"/>
    <w:multiLevelType w:val="multilevel"/>
    <w:tmpl w:val="2CE2677E"/>
    <w:styleLink w:val="Style3"/>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25" w15:restartNumberingAfterBreak="0">
    <w:nsid w:val="2C94531C"/>
    <w:multiLevelType w:val="multilevel"/>
    <w:tmpl w:val="041F001D"/>
    <w:styleLink w:val="Style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2D99018A"/>
    <w:multiLevelType w:val="hybridMultilevel"/>
    <w:tmpl w:val="79682438"/>
    <w:lvl w:ilvl="0" w:tplc="FFD884C8">
      <w:start w:val="2"/>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DBE0A23"/>
    <w:multiLevelType w:val="hybridMultilevel"/>
    <w:tmpl w:val="3C7266B6"/>
    <w:lvl w:ilvl="0" w:tplc="9A9E2128">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E066ADA"/>
    <w:multiLevelType w:val="multilevel"/>
    <w:tmpl w:val="8528F140"/>
    <w:lvl w:ilvl="0">
      <w:start w:val="1"/>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29" w15:restartNumberingAfterBreak="0">
    <w:nsid w:val="2E1D435E"/>
    <w:multiLevelType w:val="hybridMultilevel"/>
    <w:tmpl w:val="702828E2"/>
    <w:lvl w:ilvl="0" w:tplc="BC36ED18">
      <w:start w:val="1"/>
      <w:numFmt w:val="decimal"/>
      <w:lvlText w:val="%1."/>
      <w:lvlJc w:val="left"/>
      <w:pPr>
        <w:ind w:left="157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F620B86"/>
    <w:multiLevelType w:val="hybridMultilevel"/>
    <w:tmpl w:val="F3D27C42"/>
    <w:lvl w:ilvl="0" w:tplc="FFFFFFFF">
      <w:start w:val="1"/>
      <w:numFmt w:val="upperRoman"/>
      <w:lvlText w:val="%1."/>
      <w:lvlJc w:val="left"/>
      <w:pPr>
        <w:ind w:left="1080" w:hanging="720"/>
      </w:pPr>
      <w:rPr>
        <w:rFonts w:hint="default"/>
      </w:rPr>
    </w:lvl>
    <w:lvl w:ilvl="1" w:tplc="8ABE1D30">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FA176ED"/>
    <w:multiLevelType w:val="multilevel"/>
    <w:tmpl w:val="556A32F4"/>
    <w:styleLink w:val="LFO2"/>
    <w:lvl w:ilvl="0">
      <w:numFmt w:val="bullet"/>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2FC4380D"/>
    <w:multiLevelType w:val="hybridMultilevel"/>
    <w:tmpl w:val="286C376C"/>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3" w15:restartNumberingAfterBreak="0">
    <w:nsid w:val="2FDC37C4"/>
    <w:multiLevelType w:val="hybridMultilevel"/>
    <w:tmpl w:val="400A4E58"/>
    <w:lvl w:ilvl="0" w:tplc="0CF0C670">
      <w:start w:val="4"/>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35" w15:restartNumberingAfterBreak="0">
    <w:nsid w:val="315721D4"/>
    <w:multiLevelType w:val="hybridMultilevel"/>
    <w:tmpl w:val="127A43F8"/>
    <w:lvl w:ilvl="0" w:tplc="F24A9CA8">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450236E"/>
    <w:multiLevelType w:val="hybridMultilevel"/>
    <w:tmpl w:val="C3B818EC"/>
    <w:lvl w:ilvl="0" w:tplc="1DD6141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50676A8"/>
    <w:multiLevelType w:val="multilevel"/>
    <w:tmpl w:val="BA6E8AF6"/>
    <w:styleLink w:val="WWOutlineListStyle"/>
    <w:lvl w:ilvl="0">
      <w:start w:val="1"/>
      <w:numFmt w:val="upperRoman"/>
      <w:pStyle w:val="berschrift11"/>
      <w:lvlText w:val="%1."/>
      <w:lvlJc w:val="left"/>
      <w:rPr>
        <w:rFonts w:cs="Times New Roman"/>
      </w:rPr>
    </w:lvl>
    <w:lvl w:ilvl="1">
      <w:start w:val="1"/>
      <w:numFmt w:val="none"/>
      <w:lvlText w:val="%2"/>
      <w:lvlJc w:val="left"/>
      <w:pPr>
        <w:ind w:left="720" w:firstLine="0"/>
      </w:pPr>
      <w:rPr>
        <w:rFonts w:cs="Times New Roman"/>
      </w:rPr>
    </w:lvl>
    <w:lvl w:ilvl="2">
      <w:start w:val="1"/>
      <w:numFmt w:val="none"/>
      <w:lvlText w:val="%3"/>
      <w:lvlJc w:val="left"/>
    </w:lvl>
    <w:lvl w:ilvl="3">
      <w:start w:val="1"/>
      <w:numFmt w:val="lowerLetter"/>
      <w:pStyle w:val="berschrift41"/>
      <w:lvlText w:val="%4)"/>
      <w:lvlJc w:val="left"/>
      <w:pPr>
        <w:ind w:left="2160" w:firstLine="0"/>
      </w:pPr>
      <w:rPr>
        <w:rFonts w:cs="Times New Roman"/>
      </w:rPr>
    </w:lvl>
    <w:lvl w:ilvl="4">
      <w:start w:val="1"/>
      <w:numFmt w:val="none"/>
      <w:lvlText w:val="%5"/>
      <w:lvlJc w:val="left"/>
      <w:pPr>
        <w:ind w:left="2880" w:firstLine="0"/>
      </w:pPr>
      <w:rPr>
        <w:rFonts w:cs="Times New Roman"/>
      </w:rPr>
    </w:lvl>
    <w:lvl w:ilvl="5">
      <w:start w:val="1"/>
      <w:numFmt w:val="none"/>
      <w:lvlText w:val="%6"/>
      <w:lvlJc w:val="left"/>
      <w:rPr>
        <w:rFonts w:cs="Times New Roman"/>
      </w:rPr>
    </w:lvl>
    <w:lvl w:ilvl="6">
      <w:start w:val="1"/>
      <w:numFmt w:val="lowerRoman"/>
      <w:pStyle w:val="berschrift71"/>
      <w:lvlText w:val="(%7)"/>
      <w:lvlJc w:val="left"/>
      <w:pPr>
        <w:ind w:left="4320" w:firstLine="0"/>
      </w:pPr>
      <w:rPr>
        <w:rFonts w:cs="Times New Roman"/>
      </w:rPr>
    </w:lvl>
    <w:lvl w:ilvl="7">
      <w:start w:val="1"/>
      <w:numFmt w:val="lowerLetter"/>
      <w:pStyle w:val="berschrift81"/>
      <w:lvlText w:val="(%8)"/>
      <w:lvlJc w:val="left"/>
      <w:pPr>
        <w:ind w:left="5040" w:firstLine="0"/>
      </w:pPr>
      <w:rPr>
        <w:rFonts w:cs="Times New Roman"/>
      </w:rPr>
    </w:lvl>
    <w:lvl w:ilvl="8">
      <w:start w:val="1"/>
      <w:numFmt w:val="none"/>
      <w:lvlText w:val="%9"/>
      <w:lvlJc w:val="left"/>
      <w:pPr>
        <w:ind w:left="5760" w:firstLine="0"/>
      </w:pPr>
      <w:rPr>
        <w:rFonts w:cs="Times New Roman"/>
      </w:rPr>
    </w:lvl>
  </w:abstractNum>
  <w:abstractNum w:abstractNumId="38" w15:restartNumberingAfterBreak="0">
    <w:nsid w:val="390A6823"/>
    <w:multiLevelType w:val="hybridMultilevel"/>
    <w:tmpl w:val="B5CE3590"/>
    <w:lvl w:ilvl="0" w:tplc="D8C0E7F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9" w15:restartNumberingAfterBreak="0">
    <w:nsid w:val="3AEC38A3"/>
    <w:multiLevelType w:val="hybridMultilevel"/>
    <w:tmpl w:val="B8C03434"/>
    <w:lvl w:ilvl="0" w:tplc="1FF419F2">
      <w:start w:val="1"/>
      <w:numFmt w:val="lowerLetter"/>
      <w:lvlText w:val="%1."/>
      <w:lvlJc w:val="left"/>
      <w:pPr>
        <w:tabs>
          <w:tab w:val="num" w:pos="540"/>
        </w:tabs>
        <w:ind w:left="540" w:hanging="360"/>
      </w:pPr>
      <w:rPr>
        <w:rFonts w:hint="default"/>
        <w:b/>
        <w:bCs w:val="0"/>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0" w15:restartNumberingAfterBreak="0">
    <w:nsid w:val="3B7660B1"/>
    <w:multiLevelType w:val="hybridMultilevel"/>
    <w:tmpl w:val="BDF01882"/>
    <w:lvl w:ilvl="0" w:tplc="DA94F358">
      <w:start w:val="1"/>
      <w:numFmt w:val="lowerLetter"/>
      <w:lvlText w:val="%1."/>
      <w:lvlJc w:val="left"/>
      <w:pPr>
        <w:ind w:left="-21" w:hanging="525"/>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41" w15:restartNumberingAfterBreak="0">
    <w:nsid w:val="3F51474E"/>
    <w:multiLevelType w:val="hybridMultilevel"/>
    <w:tmpl w:val="AEEC44DA"/>
    <w:lvl w:ilvl="0" w:tplc="7D6AEF0E">
      <w:start w:val="1"/>
      <w:numFmt w:val="lowerLetter"/>
      <w:lvlText w:val="%1."/>
      <w:lvlJc w:val="left"/>
      <w:pPr>
        <w:ind w:left="360" w:hanging="360"/>
      </w:pPr>
      <w:rPr>
        <w:rFonts w:eastAsia="Arial Unicode MS"/>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42" w15:restartNumberingAfterBreak="0">
    <w:nsid w:val="3F862B58"/>
    <w:multiLevelType w:val="multilevel"/>
    <w:tmpl w:val="4C58270C"/>
    <w:lvl w:ilvl="0">
      <w:start w:val="2"/>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43" w15:restartNumberingAfterBreak="0">
    <w:nsid w:val="3FA60C69"/>
    <w:multiLevelType w:val="multilevel"/>
    <w:tmpl w:val="0C28B5DE"/>
    <w:lvl w:ilvl="0">
      <w:start w:val="7"/>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44" w15:restartNumberingAfterBreak="0">
    <w:nsid w:val="3FEE5D7A"/>
    <w:multiLevelType w:val="hybridMultilevel"/>
    <w:tmpl w:val="D5385120"/>
    <w:lvl w:ilvl="0" w:tplc="A06E28AE">
      <w:start w:val="1"/>
      <w:numFmt w:val="lowerLetter"/>
      <w:lvlText w:val="%1."/>
      <w:lvlJc w:val="left"/>
      <w:pPr>
        <w:ind w:left="1997" w:hanging="360"/>
      </w:pPr>
      <w:rPr>
        <w:b/>
        <w:bCs/>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45" w15:restartNumberingAfterBreak="0">
    <w:nsid w:val="404A21C7"/>
    <w:multiLevelType w:val="multilevel"/>
    <w:tmpl w:val="E44CE8DA"/>
    <w:styleLink w:val="Style4"/>
    <w:lvl w:ilvl="0">
      <w:start w:val="10"/>
      <w:numFmt w:val="decimal"/>
      <w:lvlText w:val="%1"/>
      <w:lvlJc w:val="left"/>
      <w:pPr>
        <w:tabs>
          <w:tab w:val="num" w:pos="435"/>
        </w:tabs>
        <w:ind w:left="435" w:hanging="435"/>
      </w:pPr>
      <w:rPr>
        <w:rFonts w:cs="Times New Roman" w:hint="default"/>
        <w:color w:val="auto"/>
      </w:rPr>
    </w:lvl>
    <w:lvl w:ilvl="1">
      <w:start w:val="9"/>
      <w:numFmt w:val="decimal"/>
      <w:lvlText w:val="%1.%2"/>
      <w:lvlJc w:val="left"/>
      <w:pPr>
        <w:tabs>
          <w:tab w:val="num" w:pos="32"/>
        </w:tabs>
        <w:ind w:left="32" w:hanging="435"/>
      </w:pPr>
      <w:rPr>
        <w:rFonts w:cs="Times New Roman" w:hint="default"/>
      </w:rPr>
    </w:lvl>
    <w:lvl w:ilvl="2">
      <w:start w:val="2"/>
      <w:numFmt w:val="decimal"/>
      <w:lvlText w:val="%1.%2.%3"/>
      <w:lvlJc w:val="left"/>
      <w:pPr>
        <w:tabs>
          <w:tab w:val="num" w:pos="-86"/>
        </w:tabs>
        <w:ind w:left="-86" w:hanging="720"/>
      </w:pPr>
      <w:rPr>
        <w:rFonts w:cs="Times New Roman" w:hint="default"/>
      </w:rPr>
    </w:lvl>
    <w:lvl w:ilvl="3">
      <w:start w:val="1"/>
      <w:numFmt w:val="decimal"/>
      <w:lvlText w:val="%1.%2.%3.%4"/>
      <w:lvlJc w:val="left"/>
      <w:pPr>
        <w:tabs>
          <w:tab w:val="num" w:pos="-489"/>
        </w:tabs>
        <w:ind w:left="-489" w:hanging="720"/>
      </w:pPr>
      <w:rPr>
        <w:rFonts w:cs="Times New Roman" w:hint="default"/>
      </w:rPr>
    </w:lvl>
    <w:lvl w:ilvl="4">
      <w:start w:val="1"/>
      <w:numFmt w:val="decimal"/>
      <w:lvlText w:val="%1.%2.%3.%4.%5"/>
      <w:lvlJc w:val="left"/>
      <w:pPr>
        <w:tabs>
          <w:tab w:val="num" w:pos="-532"/>
        </w:tabs>
        <w:ind w:left="-532" w:hanging="1080"/>
      </w:pPr>
      <w:rPr>
        <w:rFonts w:cs="Times New Roman" w:hint="default"/>
      </w:rPr>
    </w:lvl>
    <w:lvl w:ilvl="5">
      <w:start w:val="1"/>
      <w:numFmt w:val="decimal"/>
      <w:lvlText w:val="%1.%2.%3.%4.%5.%6"/>
      <w:lvlJc w:val="left"/>
      <w:pPr>
        <w:tabs>
          <w:tab w:val="num" w:pos="-935"/>
        </w:tabs>
        <w:ind w:left="-935" w:hanging="1080"/>
      </w:pPr>
      <w:rPr>
        <w:rFonts w:cs="Times New Roman" w:hint="default"/>
      </w:rPr>
    </w:lvl>
    <w:lvl w:ilvl="6">
      <w:start w:val="1"/>
      <w:numFmt w:val="decimal"/>
      <w:lvlText w:val="%1.%2.%3.%4.%5.%6.%7"/>
      <w:lvlJc w:val="left"/>
      <w:pPr>
        <w:tabs>
          <w:tab w:val="num" w:pos="-978"/>
        </w:tabs>
        <w:ind w:left="-978" w:hanging="1440"/>
      </w:pPr>
      <w:rPr>
        <w:rFonts w:cs="Times New Roman" w:hint="default"/>
      </w:rPr>
    </w:lvl>
    <w:lvl w:ilvl="7">
      <w:start w:val="1"/>
      <w:numFmt w:val="decimal"/>
      <w:lvlText w:val="%1.%2.%3.%4.%5.%6.%7.%8"/>
      <w:lvlJc w:val="left"/>
      <w:pPr>
        <w:tabs>
          <w:tab w:val="num" w:pos="-1381"/>
        </w:tabs>
        <w:ind w:left="-1381" w:hanging="1440"/>
      </w:pPr>
      <w:rPr>
        <w:rFonts w:cs="Times New Roman" w:hint="default"/>
      </w:rPr>
    </w:lvl>
    <w:lvl w:ilvl="8">
      <w:start w:val="1"/>
      <w:numFmt w:val="decimal"/>
      <w:lvlText w:val="%1.%2.%3.%4.%5.%6.%7.%8.%9"/>
      <w:lvlJc w:val="left"/>
      <w:pPr>
        <w:tabs>
          <w:tab w:val="num" w:pos="-1784"/>
        </w:tabs>
        <w:ind w:left="-1784" w:hanging="1440"/>
      </w:pPr>
      <w:rPr>
        <w:rFonts w:cs="Times New Roman" w:hint="default"/>
      </w:rPr>
    </w:lvl>
  </w:abstractNum>
  <w:abstractNum w:abstractNumId="46" w15:restartNumberingAfterBreak="0">
    <w:nsid w:val="41FC3056"/>
    <w:multiLevelType w:val="hybridMultilevel"/>
    <w:tmpl w:val="6980BB48"/>
    <w:lvl w:ilvl="0" w:tplc="3758752A">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21431FC"/>
    <w:multiLevelType w:val="hybridMultilevel"/>
    <w:tmpl w:val="31363AC0"/>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9" w15:restartNumberingAfterBreak="0">
    <w:nsid w:val="45C2782E"/>
    <w:multiLevelType w:val="hybridMultilevel"/>
    <w:tmpl w:val="A8E02916"/>
    <w:lvl w:ilvl="0" w:tplc="5B8C7C64">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7F3567"/>
    <w:multiLevelType w:val="hybridMultilevel"/>
    <w:tmpl w:val="7778D7F8"/>
    <w:lvl w:ilvl="0" w:tplc="7982116A">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46C37B5C"/>
    <w:multiLevelType w:val="hybridMultilevel"/>
    <w:tmpl w:val="91AA8C58"/>
    <w:lvl w:ilvl="0" w:tplc="441AEDA8">
      <w:start w:val="3"/>
      <w:numFmt w:val="lowerLetter"/>
      <w:lvlText w:val="%1."/>
      <w:lvlJc w:val="left"/>
      <w:pPr>
        <w:ind w:left="321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875716E"/>
    <w:multiLevelType w:val="hybridMultilevel"/>
    <w:tmpl w:val="98904968"/>
    <w:lvl w:ilvl="0" w:tplc="EDF433C2">
      <w:start w:val="1"/>
      <w:numFmt w:val="lowerLetter"/>
      <w:lvlText w:val="%1."/>
      <w:lvlJc w:val="left"/>
      <w:pPr>
        <w:ind w:left="668"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start w:val="1"/>
      <w:numFmt w:val="lowerRoman"/>
      <w:lvlText w:val="%3."/>
      <w:lvlJc w:val="right"/>
      <w:pPr>
        <w:tabs>
          <w:tab w:val="num" w:pos="1800"/>
        </w:tabs>
        <w:ind w:left="1800" w:hanging="180"/>
      </w:pPr>
    </w:lvl>
    <w:lvl w:ilvl="3" w:tplc="041F000F">
      <w:start w:val="1"/>
      <w:numFmt w:val="decimal"/>
      <w:lvlText w:val="%4."/>
      <w:lvlJc w:val="left"/>
      <w:pPr>
        <w:tabs>
          <w:tab w:val="num" w:pos="2520"/>
        </w:tabs>
        <w:ind w:left="2520" w:hanging="360"/>
      </w:pPr>
    </w:lvl>
    <w:lvl w:ilvl="4" w:tplc="041F0019">
      <w:start w:val="1"/>
      <w:numFmt w:val="lowerLetter"/>
      <w:lvlText w:val="%5."/>
      <w:lvlJc w:val="left"/>
      <w:pPr>
        <w:tabs>
          <w:tab w:val="num" w:pos="3240"/>
        </w:tabs>
        <w:ind w:left="3240" w:hanging="360"/>
      </w:pPr>
    </w:lvl>
    <w:lvl w:ilvl="5" w:tplc="041F001B">
      <w:start w:val="1"/>
      <w:numFmt w:val="lowerRoman"/>
      <w:lvlText w:val="%6."/>
      <w:lvlJc w:val="right"/>
      <w:pPr>
        <w:tabs>
          <w:tab w:val="num" w:pos="3960"/>
        </w:tabs>
        <w:ind w:left="3960" w:hanging="180"/>
      </w:pPr>
    </w:lvl>
    <w:lvl w:ilvl="6" w:tplc="041F000F">
      <w:start w:val="1"/>
      <w:numFmt w:val="decimal"/>
      <w:lvlText w:val="%7."/>
      <w:lvlJc w:val="left"/>
      <w:pPr>
        <w:tabs>
          <w:tab w:val="num" w:pos="4680"/>
        </w:tabs>
        <w:ind w:left="4680" w:hanging="360"/>
      </w:pPr>
    </w:lvl>
    <w:lvl w:ilvl="7" w:tplc="041F0019">
      <w:start w:val="1"/>
      <w:numFmt w:val="lowerLetter"/>
      <w:lvlText w:val="%8."/>
      <w:lvlJc w:val="left"/>
      <w:pPr>
        <w:tabs>
          <w:tab w:val="num" w:pos="5400"/>
        </w:tabs>
        <w:ind w:left="5400" w:hanging="360"/>
      </w:pPr>
    </w:lvl>
    <w:lvl w:ilvl="8" w:tplc="041F001B">
      <w:start w:val="1"/>
      <w:numFmt w:val="lowerRoman"/>
      <w:lvlText w:val="%9."/>
      <w:lvlJc w:val="right"/>
      <w:pPr>
        <w:tabs>
          <w:tab w:val="num" w:pos="6120"/>
        </w:tabs>
        <w:ind w:left="6120" w:hanging="180"/>
      </w:pPr>
    </w:lvl>
  </w:abstractNum>
  <w:abstractNum w:abstractNumId="54" w15:restartNumberingAfterBreak="0">
    <w:nsid w:val="48C86BF4"/>
    <w:multiLevelType w:val="hybridMultilevel"/>
    <w:tmpl w:val="E1AE9294"/>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upp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6"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7" w15:restartNumberingAfterBreak="0">
    <w:nsid w:val="4AA01ED4"/>
    <w:multiLevelType w:val="hybridMultilevel"/>
    <w:tmpl w:val="BE5AFE30"/>
    <w:lvl w:ilvl="0" w:tplc="353C9C2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EE14600"/>
    <w:multiLevelType w:val="hybridMultilevel"/>
    <w:tmpl w:val="509A7DA2"/>
    <w:lvl w:ilvl="0" w:tplc="9AFEA9BE">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F054A09"/>
    <w:multiLevelType w:val="multilevel"/>
    <w:tmpl w:val="FA1E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3C50233"/>
    <w:multiLevelType w:val="multilevel"/>
    <w:tmpl w:val="42A05994"/>
    <w:lvl w:ilvl="0">
      <w:start w:val="1"/>
      <w:numFmt w:val="lowerLetter"/>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547A07E2"/>
    <w:multiLevelType w:val="hybridMultilevel"/>
    <w:tmpl w:val="47D40750"/>
    <w:lvl w:ilvl="0" w:tplc="06041B2C">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55306CD4"/>
    <w:multiLevelType w:val="multilevel"/>
    <w:tmpl w:val="8FCAC3B0"/>
    <w:styleLink w:val="Style7"/>
    <w:lvl w:ilvl="0">
      <w:start w:val="1"/>
      <w:numFmt w:val="upperRoman"/>
      <w:suff w:val="space"/>
      <w:lvlText w:val="%1."/>
      <w:lvlJc w:val="center"/>
      <w:pPr>
        <w:ind w:left="624" w:hanging="62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555D1F2C"/>
    <w:multiLevelType w:val="hybridMultilevel"/>
    <w:tmpl w:val="27BEFBCE"/>
    <w:lvl w:ilvl="0" w:tplc="4E323156">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4" w15:restartNumberingAfterBreak="0">
    <w:nsid w:val="57DC68A9"/>
    <w:multiLevelType w:val="hybridMultilevel"/>
    <w:tmpl w:val="BA3ABDCA"/>
    <w:lvl w:ilvl="0" w:tplc="E93646CA">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A345640"/>
    <w:multiLevelType w:val="hybridMultilevel"/>
    <w:tmpl w:val="47887B24"/>
    <w:lvl w:ilvl="0" w:tplc="5CB620C6">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5A5E1B6F"/>
    <w:multiLevelType w:val="hybridMultilevel"/>
    <w:tmpl w:val="BC1E416C"/>
    <w:lvl w:ilvl="0" w:tplc="98DCB622">
      <w:start w:val="1"/>
      <w:numFmt w:val="upp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67" w15:restartNumberingAfterBreak="0">
    <w:nsid w:val="5A6935E4"/>
    <w:multiLevelType w:val="hybridMultilevel"/>
    <w:tmpl w:val="5110699A"/>
    <w:lvl w:ilvl="0" w:tplc="A9523C40">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5A8977EF"/>
    <w:multiLevelType w:val="multilevel"/>
    <w:tmpl w:val="041F001D"/>
    <w:styleLink w:val="Sti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15:restartNumberingAfterBreak="0">
    <w:nsid w:val="5C0911E4"/>
    <w:multiLevelType w:val="hybridMultilevel"/>
    <w:tmpl w:val="0F5A3C8C"/>
    <w:lvl w:ilvl="0" w:tplc="B664C100">
      <w:start w:val="1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C29527C"/>
    <w:multiLevelType w:val="hybridMultilevel"/>
    <w:tmpl w:val="33140776"/>
    <w:lvl w:ilvl="0" w:tplc="F572BB20">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1" w15:restartNumberingAfterBreak="0">
    <w:nsid w:val="5E941711"/>
    <w:multiLevelType w:val="hybridMultilevel"/>
    <w:tmpl w:val="FACAD09A"/>
    <w:lvl w:ilvl="0" w:tplc="93DA818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604E4C91"/>
    <w:multiLevelType w:val="hybridMultilevel"/>
    <w:tmpl w:val="746A913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60556C4B"/>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18F0228"/>
    <w:multiLevelType w:val="hybridMultilevel"/>
    <w:tmpl w:val="BEFE85D4"/>
    <w:lvl w:ilvl="0" w:tplc="E52AFF6E">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6" w15:restartNumberingAfterBreak="0">
    <w:nsid w:val="631744D5"/>
    <w:multiLevelType w:val="hybridMultilevel"/>
    <w:tmpl w:val="5BC2B338"/>
    <w:lvl w:ilvl="0" w:tplc="041F0019">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77" w15:restartNumberingAfterBreak="0">
    <w:nsid w:val="638B1154"/>
    <w:multiLevelType w:val="hybridMultilevel"/>
    <w:tmpl w:val="070CCE9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8" w15:restartNumberingAfterBreak="0">
    <w:nsid w:val="63E359FC"/>
    <w:multiLevelType w:val="hybridMultilevel"/>
    <w:tmpl w:val="E28803C4"/>
    <w:lvl w:ilvl="0" w:tplc="EDB82DCA">
      <w:start w:val="2"/>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4FE1EC3"/>
    <w:multiLevelType w:val="hybridMultilevel"/>
    <w:tmpl w:val="030E917E"/>
    <w:lvl w:ilvl="0" w:tplc="5422FADA">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67277F85"/>
    <w:multiLevelType w:val="hybridMultilevel"/>
    <w:tmpl w:val="D48CB5F6"/>
    <w:lvl w:ilvl="0" w:tplc="3796BEA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6B0D2A47"/>
    <w:multiLevelType w:val="hybridMultilevel"/>
    <w:tmpl w:val="2834A1EE"/>
    <w:lvl w:ilvl="0" w:tplc="F702C9DA">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F4B583C"/>
    <w:multiLevelType w:val="multilevel"/>
    <w:tmpl w:val="798A44B4"/>
    <w:styleLink w:val="Style9"/>
    <w:lvl w:ilvl="0">
      <w:start w:val="12"/>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0"/>
        </w:tabs>
        <w:ind w:hanging="720"/>
      </w:pPr>
      <w:rPr>
        <w:rFonts w:cs="Times New Roman" w:hint="default"/>
      </w:rPr>
    </w:lvl>
    <w:lvl w:ilvl="3">
      <w:start w:val="1"/>
      <w:numFmt w:val="decimal"/>
      <w:isLgl/>
      <w:lvlText w:val="%1.%2.%3.%4"/>
      <w:lvlJc w:val="left"/>
      <w:pPr>
        <w:tabs>
          <w:tab w:val="num" w:pos="0"/>
        </w:tabs>
        <w:ind w:hanging="720"/>
      </w:pPr>
      <w:rPr>
        <w:rFonts w:cs="Times New Roman" w:hint="default"/>
      </w:rPr>
    </w:lvl>
    <w:lvl w:ilvl="4">
      <w:start w:val="1"/>
      <w:numFmt w:val="decimal"/>
      <w:isLgl/>
      <w:lvlText w:val="%1.%2.%3.%4.%5"/>
      <w:lvlJc w:val="left"/>
      <w:pPr>
        <w:tabs>
          <w:tab w:val="num" w:pos="360"/>
        </w:tabs>
        <w:ind w:left="360" w:hanging="1080"/>
      </w:pPr>
      <w:rPr>
        <w:rFonts w:cs="Times New Roman" w:hint="default"/>
      </w:rPr>
    </w:lvl>
    <w:lvl w:ilvl="5">
      <w:start w:val="1"/>
      <w:numFmt w:val="decimal"/>
      <w:isLgl/>
      <w:lvlText w:val="%1.%2.%3.%4.%5.%6"/>
      <w:lvlJc w:val="left"/>
      <w:pPr>
        <w:tabs>
          <w:tab w:val="num" w:pos="360"/>
        </w:tabs>
        <w:ind w:left="360" w:hanging="1080"/>
      </w:pPr>
      <w:rPr>
        <w:rFonts w:cs="Times New Roman" w:hint="default"/>
      </w:rPr>
    </w:lvl>
    <w:lvl w:ilvl="6">
      <w:start w:val="1"/>
      <w:numFmt w:val="decimal"/>
      <w:isLgl/>
      <w:lvlText w:val="%1.%2.%3.%4.%5.%6.%7"/>
      <w:lvlJc w:val="left"/>
      <w:pPr>
        <w:tabs>
          <w:tab w:val="num" w:pos="720"/>
        </w:tabs>
        <w:ind w:left="720" w:hanging="1440"/>
      </w:pPr>
      <w:rPr>
        <w:rFonts w:cs="Times New Roman" w:hint="default"/>
      </w:rPr>
    </w:lvl>
    <w:lvl w:ilvl="7">
      <w:start w:val="1"/>
      <w:numFmt w:val="decimal"/>
      <w:isLgl/>
      <w:lvlText w:val="%1.%2.%3.%4.%5.%6.%7.%8"/>
      <w:lvlJc w:val="left"/>
      <w:pPr>
        <w:tabs>
          <w:tab w:val="num" w:pos="720"/>
        </w:tabs>
        <w:ind w:left="720" w:hanging="1440"/>
      </w:pPr>
      <w:rPr>
        <w:rFonts w:cs="Times New Roman" w:hint="default"/>
      </w:rPr>
    </w:lvl>
    <w:lvl w:ilvl="8">
      <w:start w:val="1"/>
      <w:numFmt w:val="decimal"/>
      <w:isLgl/>
      <w:lvlText w:val="%1.%2.%3.%4.%5.%6.%7.%8.%9"/>
      <w:lvlJc w:val="left"/>
      <w:pPr>
        <w:tabs>
          <w:tab w:val="num" w:pos="720"/>
        </w:tabs>
        <w:ind w:left="720" w:hanging="1440"/>
      </w:pPr>
      <w:rPr>
        <w:rFonts w:cs="Times New Roman" w:hint="default"/>
      </w:rPr>
    </w:lvl>
  </w:abstractNum>
  <w:abstractNum w:abstractNumId="84" w15:restartNumberingAfterBreak="0">
    <w:nsid w:val="70110588"/>
    <w:multiLevelType w:val="hybridMultilevel"/>
    <w:tmpl w:val="EA6E00DE"/>
    <w:lvl w:ilvl="0" w:tplc="5DCE3A1A">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214368D"/>
    <w:multiLevelType w:val="hybridMultilevel"/>
    <w:tmpl w:val="23AC025A"/>
    <w:lvl w:ilvl="0" w:tplc="6F22E274">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86" w15:restartNumberingAfterBreak="0">
    <w:nsid w:val="72934F86"/>
    <w:multiLevelType w:val="multilevel"/>
    <w:tmpl w:val="666CD87A"/>
    <w:styleLink w:val="Style8"/>
    <w:lvl w:ilvl="0">
      <w:start w:val="1"/>
      <w:numFmt w:val="decimal"/>
      <w:lvlText w:val="%1."/>
      <w:lvlJc w:val="center"/>
      <w:pPr>
        <w:tabs>
          <w:tab w:val="num" w:pos="360"/>
        </w:tabs>
        <w:ind w:left="907" w:hanging="907"/>
      </w:pPr>
      <w:rPr>
        <w:rFonts w:cs="Times New Roman" w:hint="default"/>
      </w:rPr>
    </w:lvl>
    <w:lvl w:ilvl="1">
      <w:start w:val="1"/>
      <w:numFmt w:val="decimal"/>
      <w:lvlText w:val="1%1.%2."/>
      <w:lvlJc w:val="left"/>
      <w:pPr>
        <w:tabs>
          <w:tab w:val="num" w:pos="792"/>
        </w:tabs>
        <w:ind w:left="2155" w:hanging="215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76B3795F"/>
    <w:multiLevelType w:val="hybridMultilevel"/>
    <w:tmpl w:val="1ADE014E"/>
    <w:lvl w:ilvl="0" w:tplc="AA6C94DE">
      <w:start w:val="1"/>
      <w:numFmt w:val="decimal"/>
      <w:lvlText w:val="%1."/>
      <w:lvlJc w:val="left"/>
      <w:pPr>
        <w:tabs>
          <w:tab w:val="num" w:pos="900"/>
        </w:tabs>
        <w:ind w:left="900" w:hanging="720"/>
      </w:pPr>
      <w:rPr>
        <w:rFonts w:hint="default"/>
      </w:rPr>
    </w:lvl>
    <w:lvl w:ilvl="1" w:tplc="A85EB66E">
      <w:start w:val="1"/>
      <w:numFmt w:val="lowerLetter"/>
      <w:lvlText w:val="%2."/>
      <w:lvlJc w:val="left"/>
      <w:pPr>
        <w:tabs>
          <w:tab w:val="num" w:pos="360"/>
        </w:tabs>
        <w:ind w:left="360" w:hanging="360"/>
      </w:pPr>
      <w:rPr>
        <w:rFonts w:hint="default"/>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5B24ECBE">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15:restartNumberingAfterBreak="0">
    <w:nsid w:val="79947C09"/>
    <w:multiLevelType w:val="hybridMultilevel"/>
    <w:tmpl w:val="81DC489E"/>
    <w:lvl w:ilvl="0" w:tplc="89FC1D82">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ED62F03"/>
    <w:multiLevelType w:val="hybridMultilevel"/>
    <w:tmpl w:val="89807B78"/>
    <w:lvl w:ilvl="0" w:tplc="2BE2C6D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F995231"/>
    <w:multiLevelType w:val="hybridMultilevel"/>
    <w:tmpl w:val="876CE4B8"/>
    <w:lvl w:ilvl="0" w:tplc="0FC4130C">
      <w:start w:val="8"/>
      <w:numFmt w:val="decimal"/>
      <w:lvlText w:val="%1."/>
      <w:lvlJc w:val="left"/>
      <w:pPr>
        <w:ind w:left="-3" w:hanging="58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1" w15:restartNumberingAfterBreak="0">
    <w:nsid w:val="7FF6424D"/>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7669206">
    <w:abstractNumId w:val="81"/>
  </w:num>
  <w:num w:numId="2" w16cid:durableId="1760101610">
    <w:abstractNumId w:val="48"/>
  </w:num>
  <w:num w:numId="3" w16cid:durableId="1334920714">
    <w:abstractNumId w:val="7"/>
  </w:num>
  <w:num w:numId="4" w16cid:durableId="1155144584">
    <w:abstractNumId w:val="87"/>
  </w:num>
  <w:num w:numId="5" w16cid:durableId="167647315">
    <w:abstractNumId w:val="32"/>
  </w:num>
  <w:num w:numId="6" w16cid:durableId="1526167937">
    <w:abstractNumId w:val="39"/>
  </w:num>
  <w:num w:numId="7" w16cid:durableId="636183928">
    <w:abstractNumId w:val="34"/>
  </w:num>
  <w:num w:numId="8" w16cid:durableId="1295019404">
    <w:abstractNumId w:val="10"/>
  </w:num>
  <w:num w:numId="9" w16cid:durableId="1403991066">
    <w:abstractNumId w:val="83"/>
  </w:num>
  <w:num w:numId="10" w16cid:durableId="1096244515">
    <w:abstractNumId w:val="25"/>
  </w:num>
  <w:num w:numId="11" w16cid:durableId="168760227">
    <w:abstractNumId w:val="3"/>
  </w:num>
  <w:num w:numId="12" w16cid:durableId="1484348536">
    <w:abstractNumId w:val="8"/>
  </w:num>
  <w:num w:numId="13" w16cid:durableId="286357717">
    <w:abstractNumId w:val="24"/>
  </w:num>
  <w:num w:numId="14" w16cid:durableId="1420517365">
    <w:abstractNumId w:val="45"/>
  </w:num>
  <w:num w:numId="15" w16cid:durableId="388848993">
    <w:abstractNumId w:val="19"/>
  </w:num>
  <w:num w:numId="16" w16cid:durableId="1849908212">
    <w:abstractNumId w:val="12"/>
  </w:num>
  <w:num w:numId="17" w16cid:durableId="2037733844">
    <w:abstractNumId w:val="55"/>
  </w:num>
  <w:num w:numId="18" w16cid:durableId="359748735">
    <w:abstractNumId w:val="62"/>
  </w:num>
  <w:num w:numId="19" w16cid:durableId="1466506633">
    <w:abstractNumId w:val="86"/>
  </w:num>
  <w:num w:numId="20" w16cid:durableId="1882017546">
    <w:abstractNumId w:val="9"/>
  </w:num>
  <w:num w:numId="21" w16cid:durableId="1669090303">
    <w:abstractNumId w:val="68"/>
  </w:num>
  <w:num w:numId="22" w16cid:durableId="1406299249">
    <w:abstractNumId w:val="37"/>
  </w:num>
  <w:num w:numId="23" w16cid:durableId="953051948">
    <w:abstractNumId w:val="31"/>
  </w:num>
  <w:num w:numId="24" w16cid:durableId="1025446905">
    <w:abstractNumId w:val="1"/>
  </w:num>
  <w:num w:numId="25" w16cid:durableId="2039965259">
    <w:abstractNumId w:val="70"/>
  </w:num>
  <w:num w:numId="26" w16cid:durableId="960113442">
    <w:abstractNumId w:val="33"/>
  </w:num>
  <w:num w:numId="27" w16cid:durableId="1132210311">
    <w:abstractNumId w:val="50"/>
  </w:num>
  <w:num w:numId="28" w16cid:durableId="310134443">
    <w:abstractNumId w:val="0"/>
  </w:num>
  <w:num w:numId="29" w16cid:durableId="450242330">
    <w:abstractNumId w:val="44"/>
  </w:num>
  <w:num w:numId="30" w16cid:durableId="2085059067">
    <w:abstractNumId w:val="46"/>
  </w:num>
  <w:num w:numId="31" w16cid:durableId="1033918442">
    <w:abstractNumId w:val="6"/>
  </w:num>
  <w:num w:numId="32" w16cid:durableId="2114472838">
    <w:abstractNumId w:val="76"/>
  </w:num>
  <w:num w:numId="33" w16cid:durableId="438574573">
    <w:abstractNumId w:val="51"/>
  </w:num>
  <w:num w:numId="34" w16cid:durableId="773062798">
    <w:abstractNumId w:val="64"/>
  </w:num>
  <w:num w:numId="35" w16cid:durableId="700129091">
    <w:abstractNumId w:val="40"/>
  </w:num>
  <w:num w:numId="36" w16cid:durableId="1211071110">
    <w:abstractNumId w:val="20"/>
  </w:num>
  <w:num w:numId="37" w16cid:durableId="2042658469">
    <w:abstractNumId w:val="72"/>
  </w:num>
  <w:num w:numId="38" w16cid:durableId="1201934486">
    <w:abstractNumId w:val="88"/>
  </w:num>
  <w:num w:numId="39" w16cid:durableId="1400328652">
    <w:abstractNumId w:val="28"/>
  </w:num>
  <w:num w:numId="40" w16cid:durableId="720787255">
    <w:abstractNumId w:val="30"/>
  </w:num>
  <w:num w:numId="41" w16cid:durableId="1949771370">
    <w:abstractNumId w:val="63"/>
  </w:num>
  <w:num w:numId="42" w16cid:durableId="236862150">
    <w:abstractNumId w:val="43"/>
  </w:num>
  <w:num w:numId="43" w16cid:durableId="2137985491">
    <w:abstractNumId w:val="22"/>
  </w:num>
  <w:num w:numId="44" w16cid:durableId="1519461660">
    <w:abstractNumId w:val="15"/>
  </w:num>
  <w:num w:numId="45" w16cid:durableId="1261641610">
    <w:abstractNumId w:val="38"/>
  </w:num>
  <w:num w:numId="46" w16cid:durableId="1789273964">
    <w:abstractNumId w:val="82"/>
  </w:num>
  <w:num w:numId="47" w16cid:durableId="764494803">
    <w:abstractNumId w:val="52"/>
  </w:num>
  <w:num w:numId="48" w16cid:durableId="1466048164">
    <w:abstractNumId w:val="16"/>
  </w:num>
  <w:num w:numId="49" w16cid:durableId="25378258">
    <w:abstractNumId w:val="57"/>
  </w:num>
  <w:num w:numId="50" w16cid:durableId="1426145148">
    <w:abstractNumId w:val="13"/>
  </w:num>
  <w:num w:numId="51" w16cid:durableId="1610310818">
    <w:abstractNumId w:val="85"/>
  </w:num>
  <w:num w:numId="52" w16cid:durableId="882906487">
    <w:abstractNumId w:val="58"/>
  </w:num>
  <w:num w:numId="53" w16cid:durableId="160393743">
    <w:abstractNumId w:val="78"/>
  </w:num>
  <w:num w:numId="54" w16cid:durableId="1250239582">
    <w:abstractNumId w:val="36"/>
  </w:num>
  <w:num w:numId="55" w16cid:durableId="958728261">
    <w:abstractNumId w:val="49"/>
  </w:num>
  <w:num w:numId="56" w16cid:durableId="560949842">
    <w:abstractNumId w:val="18"/>
  </w:num>
  <w:num w:numId="57" w16cid:durableId="843664662">
    <w:abstractNumId w:val="73"/>
  </w:num>
  <w:num w:numId="58" w16cid:durableId="385379848">
    <w:abstractNumId w:val="89"/>
  </w:num>
  <w:num w:numId="59" w16cid:durableId="950893830">
    <w:abstractNumId w:val="69"/>
  </w:num>
  <w:num w:numId="60" w16cid:durableId="671446261">
    <w:abstractNumId w:val="84"/>
  </w:num>
  <w:num w:numId="61" w16cid:durableId="1444418653">
    <w:abstractNumId w:val="21"/>
  </w:num>
  <w:num w:numId="62" w16cid:durableId="463546508">
    <w:abstractNumId w:val="80"/>
  </w:num>
  <w:num w:numId="63" w16cid:durableId="1345206391">
    <w:abstractNumId w:val="35"/>
  </w:num>
  <w:num w:numId="64" w16cid:durableId="1132941413">
    <w:abstractNumId w:val="67"/>
  </w:num>
  <w:num w:numId="65" w16cid:durableId="1589003235">
    <w:abstractNumId w:val="5"/>
  </w:num>
  <w:num w:numId="66" w16cid:durableId="753891692">
    <w:abstractNumId w:val="23"/>
  </w:num>
  <w:num w:numId="67" w16cid:durableId="963997131">
    <w:abstractNumId w:val="42"/>
  </w:num>
  <w:num w:numId="68" w16cid:durableId="619459756">
    <w:abstractNumId w:val="26"/>
  </w:num>
  <w:num w:numId="69" w16cid:durableId="893084987">
    <w:abstractNumId w:val="11"/>
  </w:num>
  <w:num w:numId="70" w16cid:durableId="2135516777">
    <w:abstractNumId w:val="65"/>
  </w:num>
  <w:num w:numId="71" w16cid:durableId="427389626">
    <w:abstractNumId w:val="74"/>
  </w:num>
  <w:num w:numId="72" w16cid:durableId="1253323117">
    <w:abstractNumId w:val="17"/>
  </w:num>
  <w:num w:numId="73" w16cid:durableId="1656033853">
    <w:abstractNumId w:val="61"/>
  </w:num>
  <w:num w:numId="74" w16cid:durableId="931015835">
    <w:abstractNumId w:val="27"/>
  </w:num>
  <w:num w:numId="75" w16cid:durableId="1193807245">
    <w:abstractNumId w:val="2"/>
  </w:num>
  <w:num w:numId="76" w16cid:durableId="20443624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828298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7372792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94845151">
    <w:abstractNumId w:val="56"/>
  </w:num>
  <w:num w:numId="80" w16cid:durableId="133258947">
    <w:abstractNumId w:val="59"/>
  </w:num>
  <w:num w:numId="81" w16cid:durableId="110824293">
    <w:abstractNumId w:val="60"/>
  </w:num>
  <w:num w:numId="82" w16cid:durableId="1192955835">
    <w:abstractNumId w:val="71"/>
  </w:num>
  <w:num w:numId="83" w16cid:durableId="191765339">
    <w:abstractNumId w:val="66"/>
  </w:num>
  <w:num w:numId="84" w16cid:durableId="353577784">
    <w:abstractNumId w:val="90"/>
  </w:num>
  <w:num w:numId="85" w16cid:durableId="1251543758">
    <w:abstractNumId w:val="14"/>
  </w:num>
  <w:num w:numId="86" w16cid:durableId="2010480394">
    <w:abstractNumId w:val="79"/>
  </w:num>
  <w:num w:numId="87" w16cid:durableId="1578319474">
    <w:abstractNumId w:val="4"/>
  </w:num>
  <w:num w:numId="88" w16cid:durableId="490293157">
    <w:abstractNumId w:val="91"/>
  </w:num>
  <w:num w:numId="89" w16cid:durableId="1121604746">
    <w:abstractNumId w:val="29"/>
  </w:num>
  <w:num w:numId="90" w16cid:durableId="1279265184">
    <w:abstractNumId w:val="77"/>
  </w:num>
  <w:num w:numId="91" w16cid:durableId="865101423">
    <w:abstractNumId w:val="54"/>
  </w:num>
  <w:num w:numId="92" w16cid:durableId="1939753002">
    <w:abstractNumId w:val="4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466"/>
    <w:rsid w:val="000006B4"/>
    <w:rsid w:val="000007E2"/>
    <w:rsid w:val="00000A13"/>
    <w:rsid w:val="00000A1E"/>
    <w:rsid w:val="00000AE7"/>
    <w:rsid w:val="00000B9A"/>
    <w:rsid w:val="00000BBB"/>
    <w:rsid w:val="00000C0D"/>
    <w:rsid w:val="00000C32"/>
    <w:rsid w:val="00000DDA"/>
    <w:rsid w:val="00000E92"/>
    <w:rsid w:val="00000EB6"/>
    <w:rsid w:val="00000F68"/>
    <w:rsid w:val="00000FD5"/>
    <w:rsid w:val="0000108B"/>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4E5"/>
    <w:rsid w:val="00002563"/>
    <w:rsid w:val="000025A1"/>
    <w:rsid w:val="000025E7"/>
    <w:rsid w:val="0000261E"/>
    <w:rsid w:val="0000263A"/>
    <w:rsid w:val="00002A1D"/>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7E"/>
    <w:rsid w:val="0000568B"/>
    <w:rsid w:val="00005844"/>
    <w:rsid w:val="00005923"/>
    <w:rsid w:val="00005985"/>
    <w:rsid w:val="00005BC6"/>
    <w:rsid w:val="00005E2A"/>
    <w:rsid w:val="00005EB9"/>
    <w:rsid w:val="00005ED9"/>
    <w:rsid w:val="00005FD1"/>
    <w:rsid w:val="000061B7"/>
    <w:rsid w:val="00006271"/>
    <w:rsid w:val="000062A2"/>
    <w:rsid w:val="00006320"/>
    <w:rsid w:val="00006342"/>
    <w:rsid w:val="000063DA"/>
    <w:rsid w:val="0000640D"/>
    <w:rsid w:val="000064AC"/>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B9F"/>
    <w:rsid w:val="00007C1D"/>
    <w:rsid w:val="00007DC0"/>
    <w:rsid w:val="000101FC"/>
    <w:rsid w:val="000102FE"/>
    <w:rsid w:val="00010412"/>
    <w:rsid w:val="00010447"/>
    <w:rsid w:val="0001047F"/>
    <w:rsid w:val="000105A4"/>
    <w:rsid w:val="0001063E"/>
    <w:rsid w:val="00010713"/>
    <w:rsid w:val="00010B08"/>
    <w:rsid w:val="00010F39"/>
    <w:rsid w:val="000111A9"/>
    <w:rsid w:val="000112D6"/>
    <w:rsid w:val="00011306"/>
    <w:rsid w:val="000114F3"/>
    <w:rsid w:val="000115F0"/>
    <w:rsid w:val="00011674"/>
    <w:rsid w:val="000116F6"/>
    <w:rsid w:val="00011B18"/>
    <w:rsid w:val="00011B9B"/>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7D"/>
    <w:rsid w:val="0001283F"/>
    <w:rsid w:val="00012BF0"/>
    <w:rsid w:val="00012D66"/>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A22"/>
    <w:rsid w:val="00016B58"/>
    <w:rsid w:val="00016CF4"/>
    <w:rsid w:val="00016D07"/>
    <w:rsid w:val="00016FAF"/>
    <w:rsid w:val="00017179"/>
    <w:rsid w:val="000174D2"/>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D5C"/>
    <w:rsid w:val="00020E53"/>
    <w:rsid w:val="000210BF"/>
    <w:rsid w:val="00021124"/>
    <w:rsid w:val="00021207"/>
    <w:rsid w:val="0002129C"/>
    <w:rsid w:val="000213B1"/>
    <w:rsid w:val="0002141E"/>
    <w:rsid w:val="00021431"/>
    <w:rsid w:val="000217C5"/>
    <w:rsid w:val="00021834"/>
    <w:rsid w:val="00021AC9"/>
    <w:rsid w:val="0002204D"/>
    <w:rsid w:val="000220BE"/>
    <w:rsid w:val="000222AB"/>
    <w:rsid w:val="000222C7"/>
    <w:rsid w:val="00022417"/>
    <w:rsid w:val="000224DA"/>
    <w:rsid w:val="000224EB"/>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75E"/>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D73"/>
    <w:rsid w:val="00027E0F"/>
    <w:rsid w:val="00027E28"/>
    <w:rsid w:val="00030023"/>
    <w:rsid w:val="00030101"/>
    <w:rsid w:val="0003012D"/>
    <w:rsid w:val="000302A5"/>
    <w:rsid w:val="00030436"/>
    <w:rsid w:val="00030490"/>
    <w:rsid w:val="00030615"/>
    <w:rsid w:val="000306E2"/>
    <w:rsid w:val="0003087D"/>
    <w:rsid w:val="000308D4"/>
    <w:rsid w:val="0003091A"/>
    <w:rsid w:val="00030938"/>
    <w:rsid w:val="00030A59"/>
    <w:rsid w:val="00030D40"/>
    <w:rsid w:val="00030EB3"/>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1E86"/>
    <w:rsid w:val="00032015"/>
    <w:rsid w:val="000320E1"/>
    <w:rsid w:val="0003210C"/>
    <w:rsid w:val="0003219A"/>
    <w:rsid w:val="0003226F"/>
    <w:rsid w:val="000322D3"/>
    <w:rsid w:val="00032369"/>
    <w:rsid w:val="00032461"/>
    <w:rsid w:val="000324AA"/>
    <w:rsid w:val="00032584"/>
    <w:rsid w:val="000325A0"/>
    <w:rsid w:val="0003266B"/>
    <w:rsid w:val="00032798"/>
    <w:rsid w:val="000327DF"/>
    <w:rsid w:val="00032852"/>
    <w:rsid w:val="0003289C"/>
    <w:rsid w:val="000328BE"/>
    <w:rsid w:val="000328CD"/>
    <w:rsid w:val="000329BA"/>
    <w:rsid w:val="000329F7"/>
    <w:rsid w:val="00032BB0"/>
    <w:rsid w:val="00032C7B"/>
    <w:rsid w:val="00032F8A"/>
    <w:rsid w:val="00033082"/>
    <w:rsid w:val="000330DB"/>
    <w:rsid w:val="000330F8"/>
    <w:rsid w:val="0003330C"/>
    <w:rsid w:val="00033576"/>
    <w:rsid w:val="0003357E"/>
    <w:rsid w:val="000336FF"/>
    <w:rsid w:val="00033707"/>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81"/>
    <w:rsid w:val="00034DA5"/>
    <w:rsid w:val="00034F13"/>
    <w:rsid w:val="000350F9"/>
    <w:rsid w:val="00035114"/>
    <w:rsid w:val="000352B3"/>
    <w:rsid w:val="00035453"/>
    <w:rsid w:val="00035556"/>
    <w:rsid w:val="000355C0"/>
    <w:rsid w:val="00035615"/>
    <w:rsid w:val="000356EE"/>
    <w:rsid w:val="00035878"/>
    <w:rsid w:val="0003595E"/>
    <w:rsid w:val="000359A0"/>
    <w:rsid w:val="00035C6C"/>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1D"/>
    <w:rsid w:val="0004063A"/>
    <w:rsid w:val="00040663"/>
    <w:rsid w:val="00040671"/>
    <w:rsid w:val="0004069E"/>
    <w:rsid w:val="000406D2"/>
    <w:rsid w:val="00040703"/>
    <w:rsid w:val="00040779"/>
    <w:rsid w:val="000407AD"/>
    <w:rsid w:val="00040B3B"/>
    <w:rsid w:val="00040C0E"/>
    <w:rsid w:val="00040D57"/>
    <w:rsid w:val="00040DBA"/>
    <w:rsid w:val="00040DD3"/>
    <w:rsid w:val="00040F19"/>
    <w:rsid w:val="0004114F"/>
    <w:rsid w:val="000411A7"/>
    <w:rsid w:val="00041296"/>
    <w:rsid w:val="00041307"/>
    <w:rsid w:val="00041387"/>
    <w:rsid w:val="000414FA"/>
    <w:rsid w:val="000416CE"/>
    <w:rsid w:val="0004173F"/>
    <w:rsid w:val="00041759"/>
    <w:rsid w:val="00041885"/>
    <w:rsid w:val="00041990"/>
    <w:rsid w:val="00041A97"/>
    <w:rsid w:val="00041AA0"/>
    <w:rsid w:val="00041BF5"/>
    <w:rsid w:val="00041C0E"/>
    <w:rsid w:val="00041C41"/>
    <w:rsid w:val="00041D55"/>
    <w:rsid w:val="00041E53"/>
    <w:rsid w:val="00041EE6"/>
    <w:rsid w:val="00041F46"/>
    <w:rsid w:val="00042116"/>
    <w:rsid w:val="000422ED"/>
    <w:rsid w:val="0004261E"/>
    <w:rsid w:val="000426B8"/>
    <w:rsid w:val="00042724"/>
    <w:rsid w:val="0004273A"/>
    <w:rsid w:val="00042755"/>
    <w:rsid w:val="000427BE"/>
    <w:rsid w:val="00042814"/>
    <w:rsid w:val="0004296C"/>
    <w:rsid w:val="0004298C"/>
    <w:rsid w:val="00042B01"/>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29F"/>
    <w:rsid w:val="00047359"/>
    <w:rsid w:val="0004736B"/>
    <w:rsid w:val="00047515"/>
    <w:rsid w:val="0004759B"/>
    <w:rsid w:val="000476A5"/>
    <w:rsid w:val="000477A2"/>
    <w:rsid w:val="00047866"/>
    <w:rsid w:val="00047AF7"/>
    <w:rsid w:val="00047B3A"/>
    <w:rsid w:val="00047C6F"/>
    <w:rsid w:val="00047CE7"/>
    <w:rsid w:val="00047CF9"/>
    <w:rsid w:val="00047E36"/>
    <w:rsid w:val="00050157"/>
    <w:rsid w:val="000501B7"/>
    <w:rsid w:val="00050247"/>
    <w:rsid w:val="00050391"/>
    <w:rsid w:val="0005044C"/>
    <w:rsid w:val="000504E5"/>
    <w:rsid w:val="0005055F"/>
    <w:rsid w:val="000505B8"/>
    <w:rsid w:val="000505D5"/>
    <w:rsid w:val="000508FE"/>
    <w:rsid w:val="00050917"/>
    <w:rsid w:val="00050941"/>
    <w:rsid w:val="00050989"/>
    <w:rsid w:val="000509D5"/>
    <w:rsid w:val="00050A8C"/>
    <w:rsid w:val="00050B8C"/>
    <w:rsid w:val="00050C04"/>
    <w:rsid w:val="00050C4C"/>
    <w:rsid w:val="00050C53"/>
    <w:rsid w:val="00050D27"/>
    <w:rsid w:val="00050EE0"/>
    <w:rsid w:val="000511DF"/>
    <w:rsid w:val="000511F9"/>
    <w:rsid w:val="00051335"/>
    <w:rsid w:val="000513AE"/>
    <w:rsid w:val="00051500"/>
    <w:rsid w:val="000515DC"/>
    <w:rsid w:val="000515FC"/>
    <w:rsid w:val="00051633"/>
    <w:rsid w:val="000516C2"/>
    <w:rsid w:val="00051783"/>
    <w:rsid w:val="000518C1"/>
    <w:rsid w:val="000518F2"/>
    <w:rsid w:val="00051A28"/>
    <w:rsid w:val="00051AFA"/>
    <w:rsid w:val="00051B78"/>
    <w:rsid w:val="00051D1C"/>
    <w:rsid w:val="00051D47"/>
    <w:rsid w:val="00051F92"/>
    <w:rsid w:val="000521A6"/>
    <w:rsid w:val="00052245"/>
    <w:rsid w:val="00052253"/>
    <w:rsid w:val="0005232A"/>
    <w:rsid w:val="0005236B"/>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02"/>
    <w:rsid w:val="00054881"/>
    <w:rsid w:val="00054AC8"/>
    <w:rsid w:val="00054D53"/>
    <w:rsid w:val="00054DF7"/>
    <w:rsid w:val="00054FC3"/>
    <w:rsid w:val="0005502A"/>
    <w:rsid w:val="000550DC"/>
    <w:rsid w:val="0005510B"/>
    <w:rsid w:val="000551B8"/>
    <w:rsid w:val="0005531E"/>
    <w:rsid w:val="00055344"/>
    <w:rsid w:val="0005563F"/>
    <w:rsid w:val="00055703"/>
    <w:rsid w:val="00055BEC"/>
    <w:rsid w:val="00055E63"/>
    <w:rsid w:val="00055E83"/>
    <w:rsid w:val="00055FC7"/>
    <w:rsid w:val="0005602D"/>
    <w:rsid w:val="000561C5"/>
    <w:rsid w:val="000562CD"/>
    <w:rsid w:val="000562FB"/>
    <w:rsid w:val="000565A5"/>
    <w:rsid w:val="00056696"/>
    <w:rsid w:val="000566FF"/>
    <w:rsid w:val="0005672B"/>
    <w:rsid w:val="000568B3"/>
    <w:rsid w:val="00056A00"/>
    <w:rsid w:val="00056A91"/>
    <w:rsid w:val="00056B03"/>
    <w:rsid w:val="00056CAC"/>
    <w:rsid w:val="00056DBD"/>
    <w:rsid w:val="00056DD2"/>
    <w:rsid w:val="00056E71"/>
    <w:rsid w:val="000570DF"/>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69"/>
    <w:rsid w:val="000601FA"/>
    <w:rsid w:val="00060248"/>
    <w:rsid w:val="00060318"/>
    <w:rsid w:val="00060345"/>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1FB7"/>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CC1"/>
    <w:rsid w:val="00062D40"/>
    <w:rsid w:val="00062E6E"/>
    <w:rsid w:val="00062F47"/>
    <w:rsid w:val="000633F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6E0"/>
    <w:rsid w:val="00064727"/>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80C"/>
    <w:rsid w:val="00066A8E"/>
    <w:rsid w:val="00066B06"/>
    <w:rsid w:val="00066B91"/>
    <w:rsid w:val="00066BE2"/>
    <w:rsid w:val="00066CB7"/>
    <w:rsid w:val="00066DB3"/>
    <w:rsid w:val="0006728B"/>
    <w:rsid w:val="0006728D"/>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E91"/>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75A"/>
    <w:rsid w:val="0007385D"/>
    <w:rsid w:val="0007388E"/>
    <w:rsid w:val="000738B1"/>
    <w:rsid w:val="000738DB"/>
    <w:rsid w:val="0007391E"/>
    <w:rsid w:val="00073994"/>
    <w:rsid w:val="00073B9B"/>
    <w:rsid w:val="00073C4D"/>
    <w:rsid w:val="00073C6C"/>
    <w:rsid w:val="00073CAC"/>
    <w:rsid w:val="00073D23"/>
    <w:rsid w:val="00073DDA"/>
    <w:rsid w:val="00073F62"/>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70FF"/>
    <w:rsid w:val="00077110"/>
    <w:rsid w:val="000771A1"/>
    <w:rsid w:val="000771F8"/>
    <w:rsid w:val="00077258"/>
    <w:rsid w:val="000772A4"/>
    <w:rsid w:val="00077428"/>
    <w:rsid w:val="000774CA"/>
    <w:rsid w:val="0007769C"/>
    <w:rsid w:val="00077705"/>
    <w:rsid w:val="000778FB"/>
    <w:rsid w:val="00077A32"/>
    <w:rsid w:val="00077A40"/>
    <w:rsid w:val="00077B33"/>
    <w:rsid w:val="00077BE8"/>
    <w:rsid w:val="00077C07"/>
    <w:rsid w:val="00077E6F"/>
    <w:rsid w:val="00077EB6"/>
    <w:rsid w:val="00077FE0"/>
    <w:rsid w:val="0008001B"/>
    <w:rsid w:val="00080113"/>
    <w:rsid w:val="000801A0"/>
    <w:rsid w:val="000802C1"/>
    <w:rsid w:val="000802EF"/>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58"/>
    <w:rsid w:val="000815D0"/>
    <w:rsid w:val="00081738"/>
    <w:rsid w:val="000817FB"/>
    <w:rsid w:val="00081831"/>
    <w:rsid w:val="00081A66"/>
    <w:rsid w:val="00081AD4"/>
    <w:rsid w:val="00081BDA"/>
    <w:rsid w:val="00081BF2"/>
    <w:rsid w:val="00081CC0"/>
    <w:rsid w:val="00081D28"/>
    <w:rsid w:val="00081D44"/>
    <w:rsid w:val="00081D71"/>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BB1"/>
    <w:rsid w:val="00083C38"/>
    <w:rsid w:val="00083C4D"/>
    <w:rsid w:val="00083C5B"/>
    <w:rsid w:val="00083D1F"/>
    <w:rsid w:val="00083FF2"/>
    <w:rsid w:val="00084026"/>
    <w:rsid w:val="000842DF"/>
    <w:rsid w:val="0008446F"/>
    <w:rsid w:val="00084476"/>
    <w:rsid w:val="000844BC"/>
    <w:rsid w:val="0008455D"/>
    <w:rsid w:val="00084645"/>
    <w:rsid w:val="0008464B"/>
    <w:rsid w:val="00084669"/>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519"/>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203B"/>
    <w:rsid w:val="00092141"/>
    <w:rsid w:val="0009220A"/>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0F0"/>
    <w:rsid w:val="000931CB"/>
    <w:rsid w:val="000931F8"/>
    <w:rsid w:val="00093318"/>
    <w:rsid w:val="000934FE"/>
    <w:rsid w:val="0009357B"/>
    <w:rsid w:val="00093620"/>
    <w:rsid w:val="00093680"/>
    <w:rsid w:val="0009368F"/>
    <w:rsid w:val="00093730"/>
    <w:rsid w:val="00093B5A"/>
    <w:rsid w:val="00093ECF"/>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974"/>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5E2C"/>
    <w:rsid w:val="0009613D"/>
    <w:rsid w:val="0009617B"/>
    <w:rsid w:val="00096216"/>
    <w:rsid w:val="000962B3"/>
    <w:rsid w:val="000963C5"/>
    <w:rsid w:val="0009643F"/>
    <w:rsid w:val="00096633"/>
    <w:rsid w:val="00096662"/>
    <w:rsid w:val="00096695"/>
    <w:rsid w:val="000966BD"/>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720"/>
    <w:rsid w:val="00097803"/>
    <w:rsid w:val="00097A47"/>
    <w:rsid w:val="00097B4A"/>
    <w:rsid w:val="00097B5E"/>
    <w:rsid w:val="00097C2C"/>
    <w:rsid w:val="00097EFF"/>
    <w:rsid w:val="00097F4D"/>
    <w:rsid w:val="00097FF2"/>
    <w:rsid w:val="000A005F"/>
    <w:rsid w:val="000A0070"/>
    <w:rsid w:val="000A016D"/>
    <w:rsid w:val="000A0530"/>
    <w:rsid w:val="000A05E7"/>
    <w:rsid w:val="000A07E6"/>
    <w:rsid w:val="000A0803"/>
    <w:rsid w:val="000A0827"/>
    <w:rsid w:val="000A09F0"/>
    <w:rsid w:val="000A0A4B"/>
    <w:rsid w:val="000A0B30"/>
    <w:rsid w:val="000A0BA9"/>
    <w:rsid w:val="000A0D57"/>
    <w:rsid w:val="000A0E81"/>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868"/>
    <w:rsid w:val="000A2A7D"/>
    <w:rsid w:val="000A2F74"/>
    <w:rsid w:val="000A2F98"/>
    <w:rsid w:val="000A320F"/>
    <w:rsid w:val="000A3298"/>
    <w:rsid w:val="000A3338"/>
    <w:rsid w:val="000A3759"/>
    <w:rsid w:val="000A37B5"/>
    <w:rsid w:val="000A3869"/>
    <w:rsid w:val="000A3BE4"/>
    <w:rsid w:val="000A3E36"/>
    <w:rsid w:val="000A410D"/>
    <w:rsid w:val="000A42A7"/>
    <w:rsid w:val="000A4354"/>
    <w:rsid w:val="000A436A"/>
    <w:rsid w:val="000A4442"/>
    <w:rsid w:val="000A47B6"/>
    <w:rsid w:val="000A47C1"/>
    <w:rsid w:val="000A48BF"/>
    <w:rsid w:val="000A48EA"/>
    <w:rsid w:val="000A4B2E"/>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757"/>
    <w:rsid w:val="000A6796"/>
    <w:rsid w:val="000A69E2"/>
    <w:rsid w:val="000A6B74"/>
    <w:rsid w:val="000A6D19"/>
    <w:rsid w:val="000A6D68"/>
    <w:rsid w:val="000A6E36"/>
    <w:rsid w:val="000A6F08"/>
    <w:rsid w:val="000A6F2D"/>
    <w:rsid w:val="000A72B0"/>
    <w:rsid w:val="000A7303"/>
    <w:rsid w:val="000A7469"/>
    <w:rsid w:val="000A74AE"/>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0D8D"/>
    <w:rsid w:val="000B0EE6"/>
    <w:rsid w:val="000B1052"/>
    <w:rsid w:val="000B10B9"/>
    <w:rsid w:val="000B1220"/>
    <w:rsid w:val="000B1251"/>
    <w:rsid w:val="000B13A9"/>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CB"/>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4E7"/>
    <w:rsid w:val="000B65E2"/>
    <w:rsid w:val="000B6670"/>
    <w:rsid w:val="000B66EC"/>
    <w:rsid w:val="000B67FD"/>
    <w:rsid w:val="000B6908"/>
    <w:rsid w:val="000B6A49"/>
    <w:rsid w:val="000B6AC3"/>
    <w:rsid w:val="000B6ACF"/>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2"/>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9E0"/>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BD8"/>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763"/>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35B"/>
    <w:rsid w:val="000C64BB"/>
    <w:rsid w:val="000C65FA"/>
    <w:rsid w:val="000C66AC"/>
    <w:rsid w:val="000C66B1"/>
    <w:rsid w:val="000C66BF"/>
    <w:rsid w:val="000C678B"/>
    <w:rsid w:val="000C67D3"/>
    <w:rsid w:val="000C6833"/>
    <w:rsid w:val="000C68AF"/>
    <w:rsid w:val="000C6BB7"/>
    <w:rsid w:val="000C6C05"/>
    <w:rsid w:val="000C6C44"/>
    <w:rsid w:val="000C6E98"/>
    <w:rsid w:val="000C6EC0"/>
    <w:rsid w:val="000C7382"/>
    <w:rsid w:val="000C73FA"/>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76"/>
    <w:rsid w:val="000D268C"/>
    <w:rsid w:val="000D28D9"/>
    <w:rsid w:val="000D2C0A"/>
    <w:rsid w:val="000D2C51"/>
    <w:rsid w:val="000D2DA9"/>
    <w:rsid w:val="000D2EB8"/>
    <w:rsid w:val="000D3530"/>
    <w:rsid w:val="000D36CB"/>
    <w:rsid w:val="000D36D4"/>
    <w:rsid w:val="000D377D"/>
    <w:rsid w:val="000D3905"/>
    <w:rsid w:val="000D3934"/>
    <w:rsid w:val="000D39D4"/>
    <w:rsid w:val="000D3A2F"/>
    <w:rsid w:val="000D3A81"/>
    <w:rsid w:val="000D3C04"/>
    <w:rsid w:val="000D3D29"/>
    <w:rsid w:val="000D3DE9"/>
    <w:rsid w:val="000D3FAA"/>
    <w:rsid w:val="000D4043"/>
    <w:rsid w:val="000D40E3"/>
    <w:rsid w:val="000D42E2"/>
    <w:rsid w:val="000D447B"/>
    <w:rsid w:val="000D45F7"/>
    <w:rsid w:val="000D46BB"/>
    <w:rsid w:val="000D472E"/>
    <w:rsid w:val="000D47A6"/>
    <w:rsid w:val="000D47E3"/>
    <w:rsid w:val="000D4870"/>
    <w:rsid w:val="000D4881"/>
    <w:rsid w:val="000D4A99"/>
    <w:rsid w:val="000D4B0B"/>
    <w:rsid w:val="000D4B81"/>
    <w:rsid w:val="000D4BEC"/>
    <w:rsid w:val="000D4D9E"/>
    <w:rsid w:val="000D50D8"/>
    <w:rsid w:val="000D517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081"/>
    <w:rsid w:val="000D63CB"/>
    <w:rsid w:val="000D63E0"/>
    <w:rsid w:val="000D643D"/>
    <w:rsid w:val="000D6462"/>
    <w:rsid w:val="000D6659"/>
    <w:rsid w:val="000D66C6"/>
    <w:rsid w:val="000D675C"/>
    <w:rsid w:val="000D69B9"/>
    <w:rsid w:val="000D69F7"/>
    <w:rsid w:val="000D6A42"/>
    <w:rsid w:val="000D6AEE"/>
    <w:rsid w:val="000D6B65"/>
    <w:rsid w:val="000D6C65"/>
    <w:rsid w:val="000D6DA3"/>
    <w:rsid w:val="000D6FBB"/>
    <w:rsid w:val="000D6FFD"/>
    <w:rsid w:val="000D7066"/>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46B"/>
    <w:rsid w:val="000E05AB"/>
    <w:rsid w:val="000E05C6"/>
    <w:rsid w:val="000E0672"/>
    <w:rsid w:val="000E0D1A"/>
    <w:rsid w:val="000E0DC3"/>
    <w:rsid w:val="000E0DDF"/>
    <w:rsid w:val="000E0EBF"/>
    <w:rsid w:val="000E0FEA"/>
    <w:rsid w:val="000E0FF3"/>
    <w:rsid w:val="000E0FFE"/>
    <w:rsid w:val="000E109B"/>
    <w:rsid w:val="000E10DF"/>
    <w:rsid w:val="000E1158"/>
    <w:rsid w:val="000E1173"/>
    <w:rsid w:val="000E117D"/>
    <w:rsid w:val="000E129E"/>
    <w:rsid w:val="000E13E4"/>
    <w:rsid w:val="000E1470"/>
    <w:rsid w:val="000E15CC"/>
    <w:rsid w:val="000E171B"/>
    <w:rsid w:val="000E175C"/>
    <w:rsid w:val="000E1823"/>
    <w:rsid w:val="000E193A"/>
    <w:rsid w:val="000E19BA"/>
    <w:rsid w:val="000E1A00"/>
    <w:rsid w:val="000E1A63"/>
    <w:rsid w:val="000E1B9C"/>
    <w:rsid w:val="000E1BD6"/>
    <w:rsid w:val="000E1C63"/>
    <w:rsid w:val="000E1D24"/>
    <w:rsid w:val="000E1D27"/>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3B"/>
    <w:rsid w:val="000E4698"/>
    <w:rsid w:val="000E480F"/>
    <w:rsid w:val="000E4A2B"/>
    <w:rsid w:val="000E4B6C"/>
    <w:rsid w:val="000E4DC8"/>
    <w:rsid w:val="000E4DD2"/>
    <w:rsid w:val="000E4EB0"/>
    <w:rsid w:val="000E4F51"/>
    <w:rsid w:val="000E508A"/>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139"/>
    <w:rsid w:val="000E62CC"/>
    <w:rsid w:val="000E62E2"/>
    <w:rsid w:val="000E684F"/>
    <w:rsid w:val="000E6891"/>
    <w:rsid w:val="000E68E8"/>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CB2"/>
    <w:rsid w:val="000E7DDE"/>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35"/>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18F"/>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69E"/>
    <w:rsid w:val="000F469F"/>
    <w:rsid w:val="000F46E8"/>
    <w:rsid w:val="000F484F"/>
    <w:rsid w:val="000F4A13"/>
    <w:rsid w:val="000F4A21"/>
    <w:rsid w:val="000F4AF0"/>
    <w:rsid w:val="000F4DC8"/>
    <w:rsid w:val="000F4E16"/>
    <w:rsid w:val="000F506C"/>
    <w:rsid w:val="000F5116"/>
    <w:rsid w:val="000F522E"/>
    <w:rsid w:val="000F5259"/>
    <w:rsid w:val="000F52B1"/>
    <w:rsid w:val="000F5322"/>
    <w:rsid w:val="000F567D"/>
    <w:rsid w:val="000F572A"/>
    <w:rsid w:val="000F57C3"/>
    <w:rsid w:val="000F5825"/>
    <w:rsid w:val="000F5961"/>
    <w:rsid w:val="000F59F2"/>
    <w:rsid w:val="000F5A2A"/>
    <w:rsid w:val="000F5BD2"/>
    <w:rsid w:val="000F5E8F"/>
    <w:rsid w:val="000F5EC0"/>
    <w:rsid w:val="000F5F32"/>
    <w:rsid w:val="000F5FD3"/>
    <w:rsid w:val="000F5FE3"/>
    <w:rsid w:val="000F6072"/>
    <w:rsid w:val="000F60B6"/>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0A"/>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CF"/>
    <w:rsid w:val="001025D4"/>
    <w:rsid w:val="00102616"/>
    <w:rsid w:val="001027F7"/>
    <w:rsid w:val="0010295C"/>
    <w:rsid w:val="001029AD"/>
    <w:rsid w:val="00102E7D"/>
    <w:rsid w:val="0010333B"/>
    <w:rsid w:val="0010339F"/>
    <w:rsid w:val="0010340C"/>
    <w:rsid w:val="00103524"/>
    <w:rsid w:val="00103562"/>
    <w:rsid w:val="001037AE"/>
    <w:rsid w:val="00103891"/>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4DB4"/>
    <w:rsid w:val="001050F9"/>
    <w:rsid w:val="001051C6"/>
    <w:rsid w:val="0010535D"/>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BF3"/>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8CB"/>
    <w:rsid w:val="001118EB"/>
    <w:rsid w:val="0011191A"/>
    <w:rsid w:val="00111960"/>
    <w:rsid w:val="00111977"/>
    <w:rsid w:val="001119ED"/>
    <w:rsid w:val="00111BFF"/>
    <w:rsid w:val="00111EEC"/>
    <w:rsid w:val="00111FAA"/>
    <w:rsid w:val="00111FED"/>
    <w:rsid w:val="00112109"/>
    <w:rsid w:val="00112110"/>
    <w:rsid w:val="00112322"/>
    <w:rsid w:val="00112364"/>
    <w:rsid w:val="001124DF"/>
    <w:rsid w:val="001125FB"/>
    <w:rsid w:val="00112608"/>
    <w:rsid w:val="00112807"/>
    <w:rsid w:val="00112A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CCC"/>
    <w:rsid w:val="00115DBA"/>
    <w:rsid w:val="00115F4B"/>
    <w:rsid w:val="00115F7D"/>
    <w:rsid w:val="001160F2"/>
    <w:rsid w:val="0011618A"/>
    <w:rsid w:val="0011622E"/>
    <w:rsid w:val="00116258"/>
    <w:rsid w:val="0011639D"/>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43B"/>
    <w:rsid w:val="0011750D"/>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0F7F"/>
    <w:rsid w:val="00121046"/>
    <w:rsid w:val="001212BC"/>
    <w:rsid w:val="00121366"/>
    <w:rsid w:val="0012147F"/>
    <w:rsid w:val="001215BC"/>
    <w:rsid w:val="00121711"/>
    <w:rsid w:val="001217D8"/>
    <w:rsid w:val="00121865"/>
    <w:rsid w:val="00121875"/>
    <w:rsid w:val="00121960"/>
    <w:rsid w:val="00121992"/>
    <w:rsid w:val="00121CCA"/>
    <w:rsid w:val="0012205C"/>
    <w:rsid w:val="00122215"/>
    <w:rsid w:val="00122229"/>
    <w:rsid w:val="0012226E"/>
    <w:rsid w:val="0012244E"/>
    <w:rsid w:val="00122543"/>
    <w:rsid w:val="00122754"/>
    <w:rsid w:val="001227F3"/>
    <w:rsid w:val="00122880"/>
    <w:rsid w:val="00122A5B"/>
    <w:rsid w:val="00122AB7"/>
    <w:rsid w:val="00122C72"/>
    <w:rsid w:val="00122D92"/>
    <w:rsid w:val="00122E93"/>
    <w:rsid w:val="00122EC9"/>
    <w:rsid w:val="00122EF4"/>
    <w:rsid w:val="00122EF7"/>
    <w:rsid w:val="00123063"/>
    <w:rsid w:val="00123236"/>
    <w:rsid w:val="00123262"/>
    <w:rsid w:val="001234F4"/>
    <w:rsid w:val="001234FC"/>
    <w:rsid w:val="00123541"/>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AB3"/>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476"/>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AA6"/>
    <w:rsid w:val="00130AAD"/>
    <w:rsid w:val="00130DD5"/>
    <w:rsid w:val="00130EAB"/>
    <w:rsid w:val="00131121"/>
    <w:rsid w:val="00131257"/>
    <w:rsid w:val="00131515"/>
    <w:rsid w:val="00131732"/>
    <w:rsid w:val="0013189D"/>
    <w:rsid w:val="001319BA"/>
    <w:rsid w:val="00131A74"/>
    <w:rsid w:val="00131C22"/>
    <w:rsid w:val="00131D92"/>
    <w:rsid w:val="00131DCF"/>
    <w:rsid w:val="00131EB7"/>
    <w:rsid w:val="001321CE"/>
    <w:rsid w:val="0013222E"/>
    <w:rsid w:val="001322E3"/>
    <w:rsid w:val="00132517"/>
    <w:rsid w:val="00132569"/>
    <w:rsid w:val="00132776"/>
    <w:rsid w:val="001328CA"/>
    <w:rsid w:val="00132B6E"/>
    <w:rsid w:val="00132C50"/>
    <w:rsid w:val="00132CF2"/>
    <w:rsid w:val="00132DDA"/>
    <w:rsid w:val="00132DF5"/>
    <w:rsid w:val="00132E83"/>
    <w:rsid w:val="00133004"/>
    <w:rsid w:val="001330A1"/>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95"/>
    <w:rsid w:val="001343EA"/>
    <w:rsid w:val="00134458"/>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0F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78"/>
    <w:rsid w:val="0013629D"/>
    <w:rsid w:val="00136333"/>
    <w:rsid w:val="00136341"/>
    <w:rsid w:val="001364DE"/>
    <w:rsid w:val="0013656B"/>
    <w:rsid w:val="00136676"/>
    <w:rsid w:val="00136677"/>
    <w:rsid w:val="0013672A"/>
    <w:rsid w:val="00136774"/>
    <w:rsid w:val="00136811"/>
    <w:rsid w:val="00136833"/>
    <w:rsid w:val="001368FB"/>
    <w:rsid w:val="001369A3"/>
    <w:rsid w:val="001369D0"/>
    <w:rsid w:val="00136A57"/>
    <w:rsid w:val="00136A88"/>
    <w:rsid w:val="00136ACF"/>
    <w:rsid w:val="00136C29"/>
    <w:rsid w:val="00136C2D"/>
    <w:rsid w:val="00136CA2"/>
    <w:rsid w:val="00136D7B"/>
    <w:rsid w:val="00136D9E"/>
    <w:rsid w:val="00136F5B"/>
    <w:rsid w:val="00136F8D"/>
    <w:rsid w:val="0013706B"/>
    <w:rsid w:val="001371C3"/>
    <w:rsid w:val="001376CC"/>
    <w:rsid w:val="001376E0"/>
    <w:rsid w:val="001377FD"/>
    <w:rsid w:val="0013788D"/>
    <w:rsid w:val="0013799A"/>
    <w:rsid w:val="00137AEC"/>
    <w:rsid w:val="00137B91"/>
    <w:rsid w:val="00137C15"/>
    <w:rsid w:val="00137CE7"/>
    <w:rsid w:val="00137D3D"/>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1E"/>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8CC"/>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0FF"/>
    <w:rsid w:val="00146311"/>
    <w:rsid w:val="00146507"/>
    <w:rsid w:val="00146594"/>
    <w:rsid w:val="001466C5"/>
    <w:rsid w:val="001466CF"/>
    <w:rsid w:val="001466D9"/>
    <w:rsid w:val="001467FD"/>
    <w:rsid w:val="001468D3"/>
    <w:rsid w:val="001469AE"/>
    <w:rsid w:val="00146B78"/>
    <w:rsid w:val="00146C65"/>
    <w:rsid w:val="00146E3A"/>
    <w:rsid w:val="00146F0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2C"/>
    <w:rsid w:val="0015076E"/>
    <w:rsid w:val="001509DD"/>
    <w:rsid w:val="00150A8F"/>
    <w:rsid w:val="00150B6D"/>
    <w:rsid w:val="00150BA2"/>
    <w:rsid w:val="00150D14"/>
    <w:rsid w:val="00150D23"/>
    <w:rsid w:val="00150DC7"/>
    <w:rsid w:val="00150E08"/>
    <w:rsid w:val="00150E5F"/>
    <w:rsid w:val="0015106D"/>
    <w:rsid w:val="001510EB"/>
    <w:rsid w:val="00151217"/>
    <w:rsid w:val="001512EB"/>
    <w:rsid w:val="00151417"/>
    <w:rsid w:val="001514D9"/>
    <w:rsid w:val="001514F6"/>
    <w:rsid w:val="00151523"/>
    <w:rsid w:val="0015155A"/>
    <w:rsid w:val="001515AA"/>
    <w:rsid w:val="00151637"/>
    <w:rsid w:val="001516E2"/>
    <w:rsid w:val="001517EC"/>
    <w:rsid w:val="001518B3"/>
    <w:rsid w:val="00151A02"/>
    <w:rsid w:val="00151C6E"/>
    <w:rsid w:val="00151DD9"/>
    <w:rsid w:val="00151E6C"/>
    <w:rsid w:val="00151F72"/>
    <w:rsid w:val="00151FD7"/>
    <w:rsid w:val="00151FDB"/>
    <w:rsid w:val="0015202D"/>
    <w:rsid w:val="001522FF"/>
    <w:rsid w:val="00152335"/>
    <w:rsid w:val="0015236F"/>
    <w:rsid w:val="00152435"/>
    <w:rsid w:val="001524E3"/>
    <w:rsid w:val="001525AE"/>
    <w:rsid w:val="001526DB"/>
    <w:rsid w:val="00152764"/>
    <w:rsid w:val="00152886"/>
    <w:rsid w:val="001528AC"/>
    <w:rsid w:val="001528E4"/>
    <w:rsid w:val="00152A80"/>
    <w:rsid w:val="00152AE9"/>
    <w:rsid w:val="00152D06"/>
    <w:rsid w:val="00152DBC"/>
    <w:rsid w:val="0015325E"/>
    <w:rsid w:val="0015376F"/>
    <w:rsid w:val="001537BC"/>
    <w:rsid w:val="00153883"/>
    <w:rsid w:val="001538E8"/>
    <w:rsid w:val="00153AB0"/>
    <w:rsid w:val="00153C13"/>
    <w:rsid w:val="00153CCA"/>
    <w:rsid w:val="00153D8D"/>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DA9"/>
    <w:rsid w:val="00154E4C"/>
    <w:rsid w:val="00154FF3"/>
    <w:rsid w:val="001550A9"/>
    <w:rsid w:val="0015512D"/>
    <w:rsid w:val="0015521B"/>
    <w:rsid w:val="00155253"/>
    <w:rsid w:val="00155338"/>
    <w:rsid w:val="0015558B"/>
    <w:rsid w:val="001555F9"/>
    <w:rsid w:val="00155687"/>
    <w:rsid w:val="001556AF"/>
    <w:rsid w:val="001557BB"/>
    <w:rsid w:val="00155958"/>
    <w:rsid w:val="00155A0C"/>
    <w:rsid w:val="00155AF7"/>
    <w:rsid w:val="00155B87"/>
    <w:rsid w:val="00155C4D"/>
    <w:rsid w:val="00155D49"/>
    <w:rsid w:val="00155D90"/>
    <w:rsid w:val="00155E14"/>
    <w:rsid w:val="00155ED9"/>
    <w:rsid w:val="00155F24"/>
    <w:rsid w:val="00155F42"/>
    <w:rsid w:val="0015620E"/>
    <w:rsid w:val="00156230"/>
    <w:rsid w:val="00156292"/>
    <w:rsid w:val="001562AC"/>
    <w:rsid w:val="001564BA"/>
    <w:rsid w:val="00156532"/>
    <w:rsid w:val="0015666F"/>
    <w:rsid w:val="00156758"/>
    <w:rsid w:val="001567E7"/>
    <w:rsid w:val="00156AB3"/>
    <w:rsid w:val="00156C4D"/>
    <w:rsid w:val="00156E3B"/>
    <w:rsid w:val="00156E55"/>
    <w:rsid w:val="00156E88"/>
    <w:rsid w:val="00156EBA"/>
    <w:rsid w:val="00156F96"/>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CF1"/>
    <w:rsid w:val="00160E60"/>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4D"/>
    <w:rsid w:val="001634CB"/>
    <w:rsid w:val="0016385E"/>
    <w:rsid w:val="00163986"/>
    <w:rsid w:val="00163A15"/>
    <w:rsid w:val="00163A96"/>
    <w:rsid w:val="00163BDE"/>
    <w:rsid w:val="00163D45"/>
    <w:rsid w:val="00163D74"/>
    <w:rsid w:val="00163EBF"/>
    <w:rsid w:val="00164053"/>
    <w:rsid w:val="001640B1"/>
    <w:rsid w:val="00164307"/>
    <w:rsid w:val="001644CB"/>
    <w:rsid w:val="001645A1"/>
    <w:rsid w:val="001646C9"/>
    <w:rsid w:val="00164814"/>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DE"/>
    <w:rsid w:val="001664E9"/>
    <w:rsid w:val="001664EA"/>
    <w:rsid w:val="00166794"/>
    <w:rsid w:val="00166808"/>
    <w:rsid w:val="001668D1"/>
    <w:rsid w:val="00166A9A"/>
    <w:rsid w:val="00166ACA"/>
    <w:rsid w:val="00166BA6"/>
    <w:rsid w:val="00166D6B"/>
    <w:rsid w:val="00166E6C"/>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EB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D31"/>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28"/>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5E49"/>
    <w:rsid w:val="00176214"/>
    <w:rsid w:val="0017624D"/>
    <w:rsid w:val="001763CC"/>
    <w:rsid w:val="001764AF"/>
    <w:rsid w:val="0017657A"/>
    <w:rsid w:val="00176659"/>
    <w:rsid w:val="0017685E"/>
    <w:rsid w:val="001768FC"/>
    <w:rsid w:val="00176979"/>
    <w:rsid w:val="00176988"/>
    <w:rsid w:val="00176C30"/>
    <w:rsid w:val="00176D5B"/>
    <w:rsid w:val="00176DC0"/>
    <w:rsid w:val="00176E19"/>
    <w:rsid w:val="0017711E"/>
    <w:rsid w:val="0017714A"/>
    <w:rsid w:val="00177171"/>
    <w:rsid w:val="001771A7"/>
    <w:rsid w:val="0017736E"/>
    <w:rsid w:val="001774EB"/>
    <w:rsid w:val="00177666"/>
    <w:rsid w:val="001778D2"/>
    <w:rsid w:val="00177AC7"/>
    <w:rsid w:val="00177BDD"/>
    <w:rsid w:val="00177C95"/>
    <w:rsid w:val="0018010C"/>
    <w:rsid w:val="001801AF"/>
    <w:rsid w:val="001801E3"/>
    <w:rsid w:val="001803CD"/>
    <w:rsid w:val="00180414"/>
    <w:rsid w:val="00180484"/>
    <w:rsid w:val="00180552"/>
    <w:rsid w:val="00180A30"/>
    <w:rsid w:val="00180ABC"/>
    <w:rsid w:val="00180C56"/>
    <w:rsid w:val="00180C77"/>
    <w:rsid w:val="00180E7B"/>
    <w:rsid w:val="00180F76"/>
    <w:rsid w:val="001810D5"/>
    <w:rsid w:val="00181235"/>
    <w:rsid w:val="001812B0"/>
    <w:rsid w:val="001812C3"/>
    <w:rsid w:val="001812EC"/>
    <w:rsid w:val="0018130A"/>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7F7"/>
    <w:rsid w:val="00182831"/>
    <w:rsid w:val="001829BF"/>
    <w:rsid w:val="00182A1E"/>
    <w:rsid w:val="00182A72"/>
    <w:rsid w:val="00182ADE"/>
    <w:rsid w:val="00182BC2"/>
    <w:rsid w:val="00182C40"/>
    <w:rsid w:val="00182D1D"/>
    <w:rsid w:val="00182D3C"/>
    <w:rsid w:val="00182E1E"/>
    <w:rsid w:val="00182EBC"/>
    <w:rsid w:val="00182EE2"/>
    <w:rsid w:val="001830B5"/>
    <w:rsid w:val="00183563"/>
    <w:rsid w:val="0018393F"/>
    <w:rsid w:val="00183959"/>
    <w:rsid w:val="0018397C"/>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BB7"/>
    <w:rsid w:val="00184D37"/>
    <w:rsid w:val="00184E13"/>
    <w:rsid w:val="00184E35"/>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CE8"/>
    <w:rsid w:val="00185D1E"/>
    <w:rsid w:val="00185D41"/>
    <w:rsid w:val="00185DE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2D"/>
    <w:rsid w:val="00190C38"/>
    <w:rsid w:val="00190D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EF2"/>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88"/>
    <w:rsid w:val="00192EB0"/>
    <w:rsid w:val="00192EF4"/>
    <w:rsid w:val="001930C6"/>
    <w:rsid w:val="00193125"/>
    <w:rsid w:val="001932CA"/>
    <w:rsid w:val="001932E7"/>
    <w:rsid w:val="0019335C"/>
    <w:rsid w:val="001933F4"/>
    <w:rsid w:val="00193449"/>
    <w:rsid w:val="00193487"/>
    <w:rsid w:val="001934E5"/>
    <w:rsid w:val="00193600"/>
    <w:rsid w:val="0019378D"/>
    <w:rsid w:val="001938BF"/>
    <w:rsid w:val="00193A13"/>
    <w:rsid w:val="00193A2F"/>
    <w:rsid w:val="00193BB1"/>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BCB"/>
    <w:rsid w:val="00194F67"/>
    <w:rsid w:val="00194FD4"/>
    <w:rsid w:val="001950A4"/>
    <w:rsid w:val="001950E6"/>
    <w:rsid w:val="00195155"/>
    <w:rsid w:val="001951BF"/>
    <w:rsid w:val="0019530A"/>
    <w:rsid w:val="00195544"/>
    <w:rsid w:val="0019559E"/>
    <w:rsid w:val="0019564B"/>
    <w:rsid w:val="00195808"/>
    <w:rsid w:val="001958C6"/>
    <w:rsid w:val="00195A18"/>
    <w:rsid w:val="00195AAF"/>
    <w:rsid w:val="00195B8C"/>
    <w:rsid w:val="00195D2F"/>
    <w:rsid w:val="00195F0A"/>
    <w:rsid w:val="00195FC2"/>
    <w:rsid w:val="00196317"/>
    <w:rsid w:val="001963EE"/>
    <w:rsid w:val="00196463"/>
    <w:rsid w:val="001964AA"/>
    <w:rsid w:val="00196651"/>
    <w:rsid w:val="001966B2"/>
    <w:rsid w:val="001967AA"/>
    <w:rsid w:val="00196AF4"/>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1D"/>
    <w:rsid w:val="001A12A0"/>
    <w:rsid w:val="001A12FE"/>
    <w:rsid w:val="001A173D"/>
    <w:rsid w:val="001A19A2"/>
    <w:rsid w:val="001A19BF"/>
    <w:rsid w:val="001A1A42"/>
    <w:rsid w:val="001A1D16"/>
    <w:rsid w:val="001A1E4B"/>
    <w:rsid w:val="001A1FB7"/>
    <w:rsid w:val="001A2003"/>
    <w:rsid w:val="001A2037"/>
    <w:rsid w:val="001A2082"/>
    <w:rsid w:val="001A208F"/>
    <w:rsid w:val="001A20AB"/>
    <w:rsid w:val="001A22D2"/>
    <w:rsid w:val="001A231C"/>
    <w:rsid w:val="001A2900"/>
    <w:rsid w:val="001A2A2E"/>
    <w:rsid w:val="001A2A3B"/>
    <w:rsid w:val="001A2B98"/>
    <w:rsid w:val="001A2BCF"/>
    <w:rsid w:val="001A2CFB"/>
    <w:rsid w:val="001A2EAB"/>
    <w:rsid w:val="001A2F2D"/>
    <w:rsid w:val="001A2F2E"/>
    <w:rsid w:val="001A31DE"/>
    <w:rsid w:val="001A327E"/>
    <w:rsid w:val="001A3289"/>
    <w:rsid w:val="001A335F"/>
    <w:rsid w:val="001A33B6"/>
    <w:rsid w:val="001A33E5"/>
    <w:rsid w:val="001A34C6"/>
    <w:rsid w:val="001A34E5"/>
    <w:rsid w:val="001A362E"/>
    <w:rsid w:val="001A3632"/>
    <w:rsid w:val="001A371C"/>
    <w:rsid w:val="001A37EC"/>
    <w:rsid w:val="001A3828"/>
    <w:rsid w:val="001A3BB0"/>
    <w:rsid w:val="001A3D0C"/>
    <w:rsid w:val="001A3DEF"/>
    <w:rsid w:val="001A3E71"/>
    <w:rsid w:val="001A3EA8"/>
    <w:rsid w:val="001A3EAE"/>
    <w:rsid w:val="001A3FB8"/>
    <w:rsid w:val="001A4017"/>
    <w:rsid w:val="001A402D"/>
    <w:rsid w:val="001A4056"/>
    <w:rsid w:val="001A42C9"/>
    <w:rsid w:val="001A43C1"/>
    <w:rsid w:val="001A44BA"/>
    <w:rsid w:val="001A4684"/>
    <w:rsid w:val="001A4785"/>
    <w:rsid w:val="001A47B1"/>
    <w:rsid w:val="001A4843"/>
    <w:rsid w:val="001A4943"/>
    <w:rsid w:val="001A4B1D"/>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55B"/>
    <w:rsid w:val="001A7880"/>
    <w:rsid w:val="001A78A7"/>
    <w:rsid w:val="001A7A40"/>
    <w:rsid w:val="001A7A44"/>
    <w:rsid w:val="001A7B79"/>
    <w:rsid w:val="001A7C14"/>
    <w:rsid w:val="001A7C16"/>
    <w:rsid w:val="001A7CD7"/>
    <w:rsid w:val="001A7E5A"/>
    <w:rsid w:val="001A7FBA"/>
    <w:rsid w:val="001B0092"/>
    <w:rsid w:val="001B0309"/>
    <w:rsid w:val="001B03CD"/>
    <w:rsid w:val="001B0567"/>
    <w:rsid w:val="001B083B"/>
    <w:rsid w:val="001B0A04"/>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76"/>
    <w:rsid w:val="001B27D0"/>
    <w:rsid w:val="001B28A1"/>
    <w:rsid w:val="001B28E8"/>
    <w:rsid w:val="001B2930"/>
    <w:rsid w:val="001B29B3"/>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66"/>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8A"/>
    <w:rsid w:val="001B4FBC"/>
    <w:rsid w:val="001B5078"/>
    <w:rsid w:val="001B5133"/>
    <w:rsid w:val="001B51A2"/>
    <w:rsid w:val="001B5285"/>
    <w:rsid w:val="001B5316"/>
    <w:rsid w:val="001B5441"/>
    <w:rsid w:val="001B5446"/>
    <w:rsid w:val="001B54BB"/>
    <w:rsid w:val="001B54C6"/>
    <w:rsid w:val="001B58B3"/>
    <w:rsid w:val="001B5DB3"/>
    <w:rsid w:val="001B5E03"/>
    <w:rsid w:val="001B5F66"/>
    <w:rsid w:val="001B601A"/>
    <w:rsid w:val="001B606E"/>
    <w:rsid w:val="001B61C8"/>
    <w:rsid w:val="001B6209"/>
    <w:rsid w:val="001B628C"/>
    <w:rsid w:val="001B6599"/>
    <w:rsid w:val="001B6623"/>
    <w:rsid w:val="001B666D"/>
    <w:rsid w:val="001B679E"/>
    <w:rsid w:val="001B6805"/>
    <w:rsid w:val="001B69AF"/>
    <w:rsid w:val="001B6A7C"/>
    <w:rsid w:val="001B6D11"/>
    <w:rsid w:val="001B6D33"/>
    <w:rsid w:val="001B6DBF"/>
    <w:rsid w:val="001B6F1E"/>
    <w:rsid w:val="001B6FAF"/>
    <w:rsid w:val="001B701F"/>
    <w:rsid w:val="001B71FF"/>
    <w:rsid w:val="001B7225"/>
    <w:rsid w:val="001B72E2"/>
    <w:rsid w:val="001B73E4"/>
    <w:rsid w:val="001B748A"/>
    <w:rsid w:val="001B764D"/>
    <w:rsid w:val="001B76C3"/>
    <w:rsid w:val="001B76FF"/>
    <w:rsid w:val="001B77AA"/>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A0F"/>
    <w:rsid w:val="001C1BD0"/>
    <w:rsid w:val="001C1C01"/>
    <w:rsid w:val="001C1D4A"/>
    <w:rsid w:val="001C1E3F"/>
    <w:rsid w:val="001C203A"/>
    <w:rsid w:val="001C208D"/>
    <w:rsid w:val="001C20F7"/>
    <w:rsid w:val="001C2229"/>
    <w:rsid w:val="001C23B1"/>
    <w:rsid w:val="001C24CE"/>
    <w:rsid w:val="001C2572"/>
    <w:rsid w:val="001C25EA"/>
    <w:rsid w:val="001C2609"/>
    <w:rsid w:val="001C279D"/>
    <w:rsid w:val="001C27B5"/>
    <w:rsid w:val="001C2C04"/>
    <w:rsid w:val="001C2C24"/>
    <w:rsid w:val="001C2D4C"/>
    <w:rsid w:val="001C2E8D"/>
    <w:rsid w:val="001C2EA0"/>
    <w:rsid w:val="001C2EE4"/>
    <w:rsid w:val="001C2F1A"/>
    <w:rsid w:val="001C302A"/>
    <w:rsid w:val="001C312E"/>
    <w:rsid w:val="001C337D"/>
    <w:rsid w:val="001C3412"/>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30"/>
    <w:rsid w:val="001C4162"/>
    <w:rsid w:val="001C425F"/>
    <w:rsid w:val="001C426E"/>
    <w:rsid w:val="001C4290"/>
    <w:rsid w:val="001C4319"/>
    <w:rsid w:val="001C43E8"/>
    <w:rsid w:val="001C459E"/>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91C"/>
    <w:rsid w:val="001C5AC5"/>
    <w:rsid w:val="001C5B15"/>
    <w:rsid w:val="001C5BE4"/>
    <w:rsid w:val="001C5C2A"/>
    <w:rsid w:val="001C5CA8"/>
    <w:rsid w:val="001C5E62"/>
    <w:rsid w:val="001C5E6E"/>
    <w:rsid w:val="001C5FF4"/>
    <w:rsid w:val="001C607F"/>
    <w:rsid w:val="001C60CA"/>
    <w:rsid w:val="001C61B1"/>
    <w:rsid w:val="001C6283"/>
    <w:rsid w:val="001C63FC"/>
    <w:rsid w:val="001C6469"/>
    <w:rsid w:val="001C6530"/>
    <w:rsid w:val="001C654D"/>
    <w:rsid w:val="001C66EB"/>
    <w:rsid w:val="001C677F"/>
    <w:rsid w:val="001C6895"/>
    <w:rsid w:val="001C6953"/>
    <w:rsid w:val="001C69CD"/>
    <w:rsid w:val="001C6B37"/>
    <w:rsid w:val="001C6B64"/>
    <w:rsid w:val="001C6EC7"/>
    <w:rsid w:val="001C7030"/>
    <w:rsid w:val="001C7099"/>
    <w:rsid w:val="001C7192"/>
    <w:rsid w:val="001C7427"/>
    <w:rsid w:val="001C742F"/>
    <w:rsid w:val="001C74A1"/>
    <w:rsid w:val="001C75BC"/>
    <w:rsid w:val="001C77C2"/>
    <w:rsid w:val="001C77EC"/>
    <w:rsid w:val="001C7892"/>
    <w:rsid w:val="001C7909"/>
    <w:rsid w:val="001C79A7"/>
    <w:rsid w:val="001C79DD"/>
    <w:rsid w:val="001C7A12"/>
    <w:rsid w:val="001C7BA0"/>
    <w:rsid w:val="001C7D5F"/>
    <w:rsid w:val="001C7DEC"/>
    <w:rsid w:val="001C7DF8"/>
    <w:rsid w:val="001C7F25"/>
    <w:rsid w:val="001C7F63"/>
    <w:rsid w:val="001C7FD5"/>
    <w:rsid w:val="001C7FE9"/>
    <w:rsid w:val="001D008C"/>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2F9B"/>
    <w:rsid w:val="001D3192"/>
    <w:rsid w:val="001D3612"/>
    <w:rsid w:val="001D3640"/>
    <w:rsid w:val="001D364A"/>
    <w:rsid w:val="001D370A"/>
    <w:rsid w:val="001D37B2"/>
    <w:rsid w:val="001D3870"/>
    <w:rsid w:val="001D390E"/>
    <w:rsid w:val="001D3E27"/>
    <w:rsid w:val="001D3F88"/>
    <w:rsid w:val="001D40BD"/>
    <w:rsid w:val="001D4117"/>
    <w:rsid w:val="001D414F"/>
    <w:rsid w:val="001D42F0"/>
    <w:rsid w:val="001D437D"/>
    <w:rsid w:val="001D45FA"/>
    <w:rsid w:val="001D4647"/>
    <w:rsid w:val="001D46E4"/>
    <w:rsid w:val="001D4725"/>
    <w:rsid w:val="001D4840"/>
    <w:rsid w:val="001D4920"/>
    <w:rsid w:val="001D4A95"/>
    <w:rsid w:val="001D4AB6"/>
    <w:rsid w:val="001D4C99"/>
    <w:rsid w:val="001D50A7"/>
    <w:rsid w:val="001D51C7"/>
    <w:rsid w:val="001D5274"/>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9"/>
    <w:rsid w:val="001D672E"/>
    <w:rsid w:val="001D6752"/>
    <w:rsid w:val="001D6786"/>
    <w:rsid w:val="001D6810"/>
    <w:rsid w:val="001D6840"/>
    <w:rsid w:val="001D6A38"/>
    <w:rsid w:val="001D6A60"/>
    <w:rsid w:val="001D6E96"/>
    <w:rsid w:val="001D6FB1"/>
    <w:rsid w:val="001D7290"/>
    <w:rsid w:val="001D74B0"/>
    <w:rsid w:val="001D76F8"/>
    <w:rsid w:val="001D77B1"/>
    <w:rsid w:val="001D7919"/>
    <w:rsid w:val="001D7B8F"/>
    <w:rsid w:val="001D7C8A"/>
    <w:rsid w:val="001D7D00"/>
    <w:rsid w:val="001D7E36"/>
    <w:rsid w:val="001D7EF4"/>
    <w:rsid w:val="001E031D"/>
    <w:rsid w:val="001E03DA"/>
    <w:rsid w:val="001E0764"/>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D7E"/>
    <w:rsid w:val="001E1D83"/>
    <w:rsid w:val="001E1F73"/>
    <w:rsid w:val="001E1F98"/>
    <w:rsid w:val="001E1FC8"/>
    <w:rsid w:val="001E2000"/>
    <w:rsid w:val="001E202C"/>
    <w:rsid w:val="001E20BF"/>
    <w:rsid w:val="001E20CE"/>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A0C"/>
    <w:rsid w:val="001E6BB0"/>
    <w:rsid w:val="001E6CB4"/>
    <w:rsid w:val="001E6E9B"/>
    <w:rsid w:val="001E6EB1"/>
    <w:rsid w:val="001E6F4C"/>
    <w:rsid w:val="001E6F54"/>
    <w:rsid w:val="001E6F85"/>
    <w:rsid w:val="001E6F8B"/>
    <w:rsid w:val="001E70AC"/>
    <w:rsid w:val="001E72A6"/>
    <w:rsid w:val="001E7511"/>
    <w:rsid w:val="001E75BA"/>
    <w:rsid w:val="001E75C0"/>
    <w:rsid w:val="001E7C0C"/>
    <w:rsid w:val="001E7D7B"/>
    <w:rsid w:val="001E7E91"/>
    <w:rsid w:val="001E7FE1"/>
    <w:rsid w:val="001F0095"/>
    <w:rsid w:val="001F0302"/>
    <w:rsid w:val="001F0392"/>
    <w:rsid w:val="001F0428"/>
    <w:rsid w:val="001F0473"/>
    <w:rsid w:val="001F0501"/>
    <w:rsid w:val="001F0622"/>
    <w:rsid w:val="001F06E4"/>
    <w:rsid w:val="001F07A6"/>
    <w:rsid w:val="001F0880"/>
    <w:rsid w:val="001F0920"/>
    <w:rsid w:val="001F0CF8"/>
    <w:rsid w:val="001F0DA9"/>
    <w:rsid w:val="001F0DD6"/>
    <w:rsid w:val="001F0E24"/>
    <w:rsid w:val="001F0E3C"/>
    <w:rsid w:val="001F0F33"/>
    <w:rsid w:val="001F10D8"/>
    <w:rsid w:val="001F1148"/>
    <w:rsid w:val="001F1484"/>
    <w:rsid w:val="001F1512"/>
    <w:rsid w:val="001F1592"/>
    <w:rsid w:val="001F1666"/>
    <w:rsid w:val="001F18C1"/>
    <w:rsid w:val="001F18D0"/>
    <w:rsid w:val="001F1AB0"/>
    <w:rsid w:val="001F1B63"/>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588"/>
    <w:rsid w:val="001F2636"/>
    <w:rsid w:val="001F2648"/>
    <w:rsid w:val="001F26DF"/>
    <w:rsid w:val="001F2755"/>
    <w:rsid w:val="001F2858"/>
    <w:rsid w:val="001F29DF"/>
    <w:rsid w:val="001F2AC2"/>
    <w:rsid w:val="001F2B54"/>
    <w:rsid w:val="001F2F0C"/>
    <w:rsid w:val="001F2F29"/>
    <w:rsid w:val="001F2F4C"/>
    <w:rsid w:val="001F2F6C"/>
    <w:rsid w:val="001F2FAD"/>
    <w:rsid w:val="001F30C7"/>
    <w:rsid w:val="001F30D0"/>
    <w:rsid w:val="001F3292"/>
    <w:rsid w:val="001F32C7"/>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B1B"/>
    <w:rsid w:val="001F4C21"/>
    <w:rsid w:val="001F4EA0"/>
    <w:rsid w:val="001F4EE1"/>
    <w:rsid w:val="001F4F0B"/>
    <w:rsid w:val="001F4F86"/>
    <w:rsid w:val="001F4FB0"/>
    <w:rsid w:val="001F5008"/>
    <w:rsid w:val="001F502B"/>
    <w:rsid w:val="001F509D"/>
    <w:rsid w:val="001F50C1"/>
    <w:rsid w:val="001F5207"/>
    <w:rsid w:val="001F5237"/>
    <w:rsid w:val="001F5352"/>
    <w:rsid w:val="001F5353"/>
    <w:rsid w:val="001F5800"/>
    <w:rsid w:val="001F5923"/>
    <w:rsid w:val="001F59F4"/>
    <w:rsid w:val="001F5A0E"/>
    <w:rsid w:val="001F5BBF"/>
    <w:rsid w:val="001F5BD2"/>
    <w:rsid w:val="001F5D4B"/>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7A6"/>
    <w:rsid w:val="001F781C"/>
    <w:rsid w:val="001F7854"/>
    <w:rsid w:val="001F78D5"/>
    <w:rsid w:val="001F79DF"/>
    <w:rsid w:val="001F7A46"/>
    <w:rsid w:val="001F7A52"/>
    <w:rsid w:val="001F7BCD"/>
    <w:rsid w:val="001F7DE3"/>
    <w:rsid w:val="001F7F98"/>
    <w:rsid w:val="0020019A"/>
    <w:rsid w:val="00200229"/>
    <w:rsid w:val="00200286"/>
    <w:rsid w:val="00200348"/>
    <w:rsid w:val="00200412"/>
    <w:rsid w:val="0020052A"/>
    <w:rsid w:val="002005E8"/>
    <w:rsid w:val="00200631"/>
    <w:rsid w:val="00200B5B"/>
    <w:rsid w:val="00200DFF"/>
    <w:rsid w:val="0020115C"/>
    <w:rsid w:val="00201161"/>
    <w:rsid w:val="00201338"/>
    <w:rsid w:val="0020137A"/>
    <w:rsid w:val="002016BF"/>
    <w:rsid w:val="0020187D"/>
    <w:rsid w:val="002018C2"/>
    <w:rsid w:val="00201900"/>
    <w:rsid w:val="00201ADD"/>
    <w:rsid w:val="00201D29"/>
    <w:rsid w:val="00201DEA"/>
    <w:rsid w:val="00201E8E"/>
    <w:rsid w:val="00202091"/>
    <w:rsid w:val="002020C1"/>
    <w:rsid w:val="00202122"/>
    <w:rsid w:val="0020226C"/>
    <w:rsid w:val="0020252A"/>
    <w:rsid w:val="00202569"/>
    <w:rsid w:val="00202704"/>
    <w:rsid w:val="0020298E"/>
    <w:rsid w:val="002029A4"/>
    <w:rsid w:val="00202C9C"/>
    <w:rsid w:val="00202CB8"/>
    <w:rsid w:val="00202E12"/>
    <w:rsid w:val="00202EF6"/>
    <w:rsid w:val="00203115"/>
    <w:rsid w:val="00203118"/>
    <w:rsid w:val="002034B2"/>
    <w:rsid w:val="00203588"/>
    <w:rsid w:val="00203653"/>
    <w:rsid w:val="0020368B"/>
    <w:rsid w:val="0020375A"/>
    <w:rsid w:val="0020378B"/>
    <w:rsid w:val="002037F1"/>
    <w:rsid w:val="00203932"/>
    <w:rsid w:val="00203A33"/>
    <w:rsid w:val="00203A7A"/>
    <w:rsid w:val="00203AE8"/>
    <w:rsid w:val="00203C04"/>
    <w:rsid w:val="00203CCC"/>
    <w:rsid w:val="00203D83"/>
    <w:rsid w:val="00203DDB"/>
    <w:rsid w:val="00203F93"/>
    <w:rsid w:val="00204048"/>
    <w:rsid w:val="002040D4"/>
    <w:rsid w:val="002040FA"/>
    <w:rsid w:val="00204287"/>
    <w:rsid w:val="002042CC"/>
    <w:rsid w:val="0020436D"/>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4A"/>
    <w:rsid w:val="00205959"/>
    <w:rsid w:val="00205A59"/>
    <w:rsid w:val="00205BF2"/>
    <w:rsid w:val="00205BFF"/>
    <w:rsid w:val="00205D3A"/>
    <w:rsid w:val="00205D52"/>
    <w:rsid w:val="00205F53"/>
    <w:rsid w:val="00205FC9"/>
    <w:rsid w:val="00205FDA"/>
    <w:rsid w:val="002061DB"/>
    <w:rsid w:val="00206303"/>
    <w:rsid w:val="0020639C"/>
    <w:rsid w:val="002063C5"/>
    <w:rsid w:val="00206430"/>
    <w:rsid w:val="002064BF"/>
    <w:rsid w:val="00206741"/>
    <w:rsid w:val="00206AF3"/>
    <w:rsid w:val="00206E8F"/>
    <w:rsid w:val="00206EAD"/>
    <w:rsid w:val="00206EB6"/>
    <w:rsid w:val="00207095"/>
    <w:rsid w:val="00207139"/>
    <w:rsid w:val="0020716A"/>
    <w:rsid w:val="0020732C"/>
    <w:rsid w:val="0020749A"/>
    <w:rsid w:val="002074C8"/>
    <w:rsid w:val="002075BB"/>
    <w:rsid w:val="002075C4"/>
    <w:rsid w:val="0020779B"/>
    <w:rsid w:val="00207A78"/>
    <w:rsid w:val="00207B77"/>
    <w:rsid w:val="00207D51"/>
    <w:rsid w:val="00207DB0"/>
    <w:rsid w:val="00207F45"/>
    <w:rsid w:val="002100C4"/>
    <w:rsid w:val="0021024A"/>
    <w:rsid w:val="00210630"/>
    <w:rsid w:val="0021070D"/>
    <w:rsid w:val="0021075C"/>
    <w:rsid w:val="002108A0"/>
    <w:rsid w:val="002108A1"/>
    <w:rsid w:val="0021090F"/>
    <w:rsid w:val="00210A11"/>
    <w:rsid w:val="00210C61"/>
    <w:rsid w:val="00210F35"/>
    <w:rsid w:val="00210F36"/>
    <w:rsid w:val="00210F5D"/>
    <w:rsid w:val="0021100F"/>
    <w:rsid w:val="00211237"/>
    <w:rsid w:val="002112B6"/>
    <w:rsid w:val="00211327"/>
    <w:rsid w:val="00211365"/>
    <w:rsid w:val="0021138E"/>
    <w:rsid w:val="002113B0"/>
    <w:rsid w:val="00211484"/>
    <w:rsid w:val="00211547"/>
    <w:rsid w:val="00211763"/>
    <w:rsid w:val="002117A3"/>
    <w:rsid w:val="00211989"/>
    <w:rsid w:val="002119EC"/>
    <w:rsid w:val="002119EF"/>
    <w:rsid w:val="00211B5D"/>
    <w:rsid w:val="00211CCB"/>
    <w:rsid w:val="00211D20"/>
    <w:rsid w:val="00212034"/>
    <w:rsid w:val="00212070"/>
    <w:rsid w:val="0021221E"/>
    <w:rsid w:val="0021245F"/>
    <w:rsid w:val="0021246B"/>
    <w:rsid w:val="002125F4"/>
    <w:rsid w:val="002126C3"/>
    <w:rsid w:val="00212727"/>
    <w:rsid w:val="00212C49"/>
    <w:rsid w:val="00212C51"/>
    <w:rsid w:val="00212D2C"/>
    <w:rsid w:val="00212D6C"/>
    <w:rsid w:val="00212E4A"/>
    <w:rsid w:val="00212E93"/>
    <w:rsid w:val="00212FF1"/>
    <w:rsid w:val="00213022"/>
    <w:rsid w:val="00213356"/>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7E8"/>
    <w:rsid w:val="00214943"/>
    <w:rsid w:val="00214B07"/>
    <w:rsid w:val="00214BA6"/>
    <w:rsid w:val="00214BC6"/>
    <w:rsid w:val="00214CC7"/>
    <w:rsid w:val="00214DC7"/>
    <w:rsid w:val="00214E34"/>
    <w:rsid w:val="00214EC3"/>
    <w:rsid w:val="00214FD0"/>
    <w:rsid w:val="00215069"/>
    <w:rsid w:val="0021518F"/>
    <w:rsid w:val="002152D0"/>
    <w:rsid w:val="00215356"/>
    <w:rsid w:val="002153C7"/>
    <w:rsid w:val="002153EE"/>
    <w:rsid w:val="002154AD"/>
    <w:rsid w:val="0021566C"/>
    <w:rsid w:val="002156D7"/>
    <w:rsid w:val="00215AB4"/>
    <w:rsid w:val="00215BF0"/>
    <w:rsid w:val="00215C47"/>
    <w:rsid w:val="00215EB9"/>
    <w:rsid w:val="00215ED8"/>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DB9"/>
    <w:rsid w:val="00216EC6"/>
    <w:rsid w:val="00217051"/>
    <w:rsid w:val="002170A9"/>
    <w:rsid w:val="002170AA"/>
    <w:rsid w:val="002172DF"/>
    <w:rsid w:val="0021741C"/>
    <w:rsid w:val="002174A2"/>
    <w:rsid w:val="002174BC"/>
    <w:rsid w:val="00217563"/>
    <w:rsid w:val="002177CD"/>
    <w:rsid w:val="002178ED"/>
    <w:rsid w:val="002179FD"/>
    <w:rsid w:val="00217C62"/>
    <w:rsid w:val="00217E72"/>
    <w:rsid w:val="00220082"/>
    <w:rsid w:val="0022014B"/>
    <w:rsid w:val="002201B5"/>
    <w:rsid w:val="00220335"/>
    <w:rsid w:val="00220460"/>
    <w:rsid w:val="00220665"/>
    <w:rsid w:val="00220674"/>
    <w:rsid w:val="0022068D"/>
    <w:rsid w:val="0022085A"/>
    <w:rsid w:val="00220931"/>
    <w:rsid w:val="002209C4"/>
    <w:rsid w:val="00220AF9"/>
    <w:rsid w:val="00220BB5"/>
    <w:rsid w:val="00220C40"/>
    <w:rsid w:val="00220C76"/>
    <w:rsid w:val="00220C9C"/>
    <w:rsid w:val="00220EA1"/>
    <w:rsid w:val="00221019"/>
    <w:rsid w:val="00221090"/>
    <w:rsid w:val="00221191"/>
    <w:rsid w:val="00221305"/>
    <w:rsid w:val="002213BE"/>
    <w:rsid w:val="002213D3"/>
    <w:rsid w:val="002214AF"/>
    <w:rsid w:val="002214F5"/>
    <w:rsid w:val="0022151B"/>
    <w:rsid w:val="002218A7"/>
    <w:rsid w:val="00221A18"/>
    <w:rsid w:val="00221A84"/>
    <w:rsid w:val="00221DF5"/>
    <w:rsid w:val="00221DFB"/>
    <w:rsid w:val="00221E33"/>
    <w:rsid w:val="00221E3E"/>
    <w:rsid w:val="00221E58"/>
    <w:rsid w:val="002220E2"/>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32A"/>
    <w:rsid w:val="00223445"/>
    <w:rsid w:val="0022347C"/>
    <w:rsid w:val="00223497"/>
    <w:rsid w:val="0022349F"/>
    <w:rsid w:val="002235D0"/>
    <w:rsid w:val="002235EF"/>
    <w:rsid w:val="00223841"/>
    <w:rsid w:val="00223943"/>
    <w:rsid w:val="00223B0B"/>
    <w:rsid w:val="00223B75"/>
    <w:rsid w:val="00223C8A"/>
    <w:rsid w:val="00223D23"/>
    <w:rsid w:val="00223EB1"/>
    <w:rsid w:val="00223F75"/>
    <w:rsid w:val="0022422B"/>
    <w:rsid w:val="0022432A"/>
    <w:rsid w:val="002243E4"/>
    <w:rsid w:val="00224437"/>
    <w:rsid w:val="00224445"/>
    <w:rsid w:val="0022460F"/>
    <w:rsid w:val="00224784"/>
    <w:rsid w:val="0022479C"/>
    <w:rsid w:val="00224898"/>
    <w:rsid w:val="00224A62"/>
    <w:rsid w:val="00224CD4"/>
    <w:rsid w:val="00224CF8"/>
    <w:rsid w:val="00224D87"/>
    <w:rsid w:val="00224E68"/>
    <w:rsid w:val="00224EBE"/>
    <w:rsid w:val="00224EC3"/>
    <w:rsid w:val="00225164"/>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4A2"/>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0F75"/>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3FE"/>
    <w:rsid w:val="0023252E"/>
    <w:rsid w:val="00232667"/>
    <w:rsid w:val="00232876"/>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2CD"/>
    <w:rsid w:val="0023338B"/>
    <w:rsid w:val="002333F2"/>
    <w:rsid w:val="00233482"/>
    <w:rsid w:val="00233487"/>
    <w:rsid w:val="002335E5"/>
    <w:rsid w:val="00233745"/>
    <w:rsid w:val="002337CE"/>
    <w:rsid w:val="0023389E"/>
    <w:rsid w:val="002338A0"/>
    <w:rsid w:val="002338E0"/>
    <w:rsid w:val="0023396B"/>
    <w:rsid w:val="00233A1A"/>
    <w:rsid w:val="00233CE5"/>
    <w:rsid w:val="00233D31"/>
    <w:rsid w:val="00233D55"/>
    <w:rsid w:val="00233EB0"/>
    <w:rsid w:val="00233EEC"/>
    <w:rsid w:val="002340A6"/>
    <w:rsid w:val="002340C5"/>
    <w:rsid w:val="00234233"/>
    <w:rsid w:val="00234487"/>
    <w:rsid w:val="00234731"/>
    <w:rsid w:val="00234907"/>
    <w:rsid w:val="0023497E"/>
    <w:rsid w:val="00234C1E"/>
    <w:rsid w:val="00234CB8"/>
    <w:rsid w:val="00234DFA"/>
    <w:rsid w:val="00234F1E"/>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7D1"/>
    <w:rsid w:val="00236B8C"/>
    <w:rsid w:val="00236C13"/>
    <w:rsid w:val="00236D34"/>
    <w:rsid w:val="00236E3B"/>
    <w:rsid w:val="00236E51"/>
    <w:rsid w:val="00236F5B"/>
    <w:rsid w:val="00237237"/>
    <w:rsid w:val="0023737C"/>
    <w:rsid w:val="0023738A"/>
    <w:rsid w:val="002373A2"/>
    <w:rsid w:val="0023741C"/>
    <w:rsid w:val="002376C4"/>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289"/>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1FA0"/>
    <w:rsid w:val="002420B0"/>
    <w:rsid w:val="00242284"/>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A2C"/>
    <w:rsid w:val="00243B73"/>
    <w:rsid w:val="00243D88"/>
    <w:rsid w:val="00243D94"/>
    <w:rsid w:val="00243DFA"/>
    <w:rsid w:val="00244066"/>
    <w:rsid w:val="00244103"/>
    <w:rsid w:val="002441CA"/>
    <w:rsid w:val="002443BB"/>
    <w:rsid w:val="002443F4"/>
    <w:rsid w:val="00244557"/>
    <w:rsid w:val="00244706"/>
    <w:rsid w:val="002447E7"/>
    <w:rsid w:val="00244818"/>
    <w:rsid w:val="00244ABA"/>
    <w:rsid w:val="00244BD4"/>
    <w:rsid w:val="00244C63"/>
    <w:rsid w:val="00244D32"/>
    <w:rsid w:val="00244F83"/>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EDD"/>
    <w:rsid w:val="00245F19"/>
    <w:rsid w:val="00245F35"/>
    <w:rsid w:val="00246081"/>
    <w:rsid w:val="002461B6"/>
    <w:rsid w:val="002461E0"/>
    <w:rsid w:val="002461F7"/>
    <w:rsid w:val="00246526"/>
    <w:rsid w:val="002465C8"/>
    <w:rsid w:val="00246653"/>
    <w:rsid w:val="00246741"/>
    <w:rsid w:val="0024691D"/>
    <w:rsid w:val="00246A10"/>
    <w:rsid w:val="00246A28"/>
    <w:rsid w:val="00246B09"/>
    <w:rsid w:val="00246C36"/>
    <w:rsid w:val="00246D0F"/>
    <w:rsid w:val="00246D33"/>
    <w:rsid w:val="002472F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37D"/>
    <w:rsid w:val="002524CD"/>
    <w:rsid w:val="0025253D"/>
    <w:rsid w:val="002527A7"/>
    <w:rsid w:val="0025282A"/>
    <w:rsid w:val="002529B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7A2"/>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1C7"/>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B96"/>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C50"/>
    <w:rsid w:val="00261DF6"/>
    <w:rsid w:val="00261EBA"/>
    <w:rsid w:val="00262005"/>
    <w:rsid w:val="00262262"/>
    <w:rsid w:val="002622F0"/>
    <w:rsid w:val="002625E7"/>
    <w:rsid w:val="0026278D"/>
    <w:rsid w:val="0026279B"/>
    <w:rsid w:val="0026293E"/>
    <w:rsid w:val="00262A6A"/>
    <w:rsid w:val="00262AFD"/>
    <w:rsid w:val="00262B11"/>
    <w:rsid w:val="00262B75"/>
    <w:rsid w:val="00262C5A"/>
    <w:rsid w:val="00262CAB"/>
    <w:rsid w:val="00262D33"/>
    <w:rsid w:val="00262E46"/>
    <w:rsid w:val="002630C0"/>
    <w:rsid w:val="00263304"/>
    <w:rsid w:val="0026336A"/>
    <w:rsid w:val="002633CC"/>
    <w:rsid w:val="002634C9"/>
    <w:rsid w:val="00263589"/>
    <w:rsid w:val="00263617"/>
    <w:rsid w:val="0026365F"/>
    <w:rsid w:val="0026367E"/>
    <w:rsid w:val="00263808"/>
    <w:rsid w:val="0026382B"/>
    <w:rsid w:val="00263A00"/>
    <w:rsid w:val="00263AA8"/>
    <w:rsid w:val="00263CEC"/>
    <w:rsid w:val="00263CF3"/>
    <w:rsid w:val="00263DCC"/>
    <w:rsid w:val="00263E9D"/>
    <w:rsid w:val="00263EA2"/>
    <w:rsid w:val="00263EC2"/>
    <w:rsid w:val="00263F99"/>
    <w:rsid w:val="00263FD2"/>
    <w:rsid w:val="002643A2"/>
    <w:rsid w:val="002643B5"/>
    <w:rsid w:val="00264473"/>
    <w:rsid w:val="00264895"/>
    <w:rsid w:val="002648A7"/>
    <w:rsid w:val="002649B5"/>
    <w:rsid w:val="00264AC4"/>
    <w:rsid w:val="00264C42"/>
    <w:rsid w:val="00264C9D"/>
    <w:rsid w:val="00264F44"/>
    <w:rsid w:val="00264FD1"/>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420"/>
    <w:rsid w:val="00266602"/>
    <w:rsid w:val="00266659"/>
    <w:rsid w:val="002668F2"/>
    <w:rsid w:val="0026696C"/>
    <w:rsid w:val="00266B47"/>
    <w:rsid w:val="00266C08"/>
    <w:rsid w:val="00266C2F"/>
    <w:rsid w:val="00266C3C"/>
    <w:rsid w:val="00266E78"/>
    <w:rsid w:val="00266F3A"/>
    <w:rsid w:val="00266F48"/>
    <w:rsid w:val="00267056"/>
    <w:rsid w:val="002671B0"/>
    <w:rsid w:val="00267224"/>
    <w:rsid w:val="0026729C"/>
    <w:rsid w:val="002672BC"/>
    <w:rsid w:val="002672D5"/>
    <w:rsid w:val="00267342"/>
    <w:rsid w:val="002673D7"/>
    <w:rsid w:val="002673FF"/>
    <w:rsid w:val="0026745D"/>
    <w:rsid w:val="002675F9"/>
    <w:rsid w:val="00267768"/>
    <w:rsid w:val="00267780"/>
    <w:rsid w:val="002677E8"/>
    <w:rsid w:val="0026784D"/>
    <w:rsid w:val="0026786F"/>
    <w:rsid w:val="0026789B"/>
    <w:rsid w:val="00267A77"/>
    <w:rsid w:val="00267ADC"/>
    <w:rsid w:val="00267C5B"/>
    <w:rsid w:val="00267C75"/>
    <w:rsid w:val="00267CCD"/>
    <w:rsid w:val="00267D69"/>
    <w:rsid w:val="00267D75"/>
    <w:rsid w:val="00267F05"/>
    <w:rsid w:val="002700B0"/>
    <w:rsid w:val="002700C4"/>
    <w:rsid w:val="00270108"/>
    <w:rsid w:val="00270205"/>
    <w:rsid w:val="00270321"/>
    <w:rsid w:val="0027051D"/>
    <w:rsid w:val="002706B0"/>
    <w:rsid w:val="00270823"/>
    <w:rsid w:val="00270931"/>
    <w:rsid w:val="00270969"/>
    <w:rsid w:val="00270A20"/>
    <w:rsid w:val="00270A5E"/>
    <w:rsid w:val="00270CCF"/>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9F"/>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57C"/>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8A"/>
    <w:rsid w:val="002751BF"/>
    <w:rsid w:val="002751E5"/>
    <w:rsid w:val="002752DD"/>
    <w:rsid w:val="002754DA"/>
    <w:rsid w:val="00275651"/>
    <w:rsid w:val="00275726"/>
    <w:rsid w:val="00275AC2"/>
    <w:rsid w:val="00275BDB"/>
    <w:rsid w:val="00275D2A"/>
    <w:rsid w:val="00275E47"/>
    <w:rsid w:val="00275E49"/>
    <w:rsid w:val="00275F3E"/>
    <w:rsid w:val="00275F95"/>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4FC"/>
    <w:rsid w:val="00277549"/>
    <w:rsid w:val="0027769C"/>
    <w:rsid w:val="0027783B"/>
    <w:rsid w:val="0027799C"/>
    <w:rsid w:val="00277B50"/>
    <w:rsid w:val="00277C59"/>
    <w:rsid w:val="00277F2F"/>
    <w:rsid w:val="00277F7E"/>
    <w:rsid w:val="0028005D"/>
    <w:rsid w:val="00280114"/>
    <w:rsid w:val="002802B3"/>
    <w:rsid w:val="0028038E"/>
    <w:rsid w:val="0028043A"/>
    <w:rsid w:val="00280506"/>
    <w:rsid w:val="0028055A"/>
    <w:rsid w:val="002806C5"/>
    <w:rsid w:val="002809BB"/>
    <w:rsid w:val="002809E5"/>
    <w:rsid w:val="00280AE8"/>
    <w:rsid w:val="00280B58"/>
    <w:rsid w:val="00280BE2"/>
    <w:rsid w:val="0028101F"/>
    <w:rsid w:val="00281034"/>
    <w:rsid w:val="0028118B"/>
    <w:rsid w:val="002811AD"/>
    <w:rsid w:val="002812C9"/>
    <w:rsid w:val="00281456"/>
    <w:rsid w:val="002817F4"/>
    <w:rsid w:val="002818D9"/>
    <w:rsid w:val="00281A18"/>
    <w:rsid w:val="00281C6E"/>
    <w:rsid w:val="00281D25"/>
    <w:rsid w:val="00281E19"/>
    <w:rsid w:val="00281EFB"/>
    <w:rsid w:val="00281F94"/>
    <w:rsid w:val="00282096"/>
    <w:rsid w:val="002820CC"/>
    <w:rsid w:val="002820D7"/>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1B"/>
    <w:rsid w:val="002849EB"/>
    <w:rsid w:val="002849F3"/>
    <w:rsid w:val="00284A35"/>
    <w:rsid w:val="00284D0D"/>
    <w:rsid w:val="00284D2D"/>
    <w:rsid w:val="00284D3E"/>
    <w:rsid w:val="00284FE5"/>
    <w:rsid w:val="0028507E"/>
    <w:rsid w:val="0028509F"/>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AC5"/>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A92"/>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3"/>
    <w:rsid w:val="002908F4"/>
    <w:rsid w:val="00290C98"/>
    <w:rsid w:val="00290EB3"/>
    <w:rsid w:val="00290F7C"/>
    <w:rsid w:val="00290FAD"/>
    <w:rsid w:val="00291160"/>
    <w:rsid w:val="00291268"/>
    <w:rsid w:val="00291279"/>
    <w:rsid w:val="002913B0"/>
    <w:rsid w:val="00291421"/>
    <w:rsid w:val="002918A3"/>
    <w:rsid w:val="00291E1E"/>
    <w:rsid w:val="00291E4B"/>
    <w:rsid w:val="00291EA5"/>
    <w:rsid w:val="00292089"/>
    <w:rsid w:val="002920B2"/>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257"/>
    <w:rsid w:val="00296359"/>
    <w:rsid w:val="00296382"/>
    <w:rsid w:val="0029638A"/>
    <w:rsid w:val="0029652B"/>
    <w:rsid w:val="002965A6"/>
    <w:rsid w:val="0029665E"/>
    <w:rsid w:val="00296790"/>
    <w:rsid w:val="002967A0"/>
    <w:rsid w:val="00296860"/>
    <w:rsid w:val="00296F9F"/>
    <w:rsid w:val="002970D5"/>
    <w:rsid w:val="00297160"/>
    <w:rsid w:val="002971B0"/>
    <w:rsid w:val="0029727D"/>
    <w:rsid w:val="0029737B"/>
    <w:rsid w:val="0029751D"/>
    <w:rsid w:val="002975DE"/>
    <w:rsid w:val="002976C0"/>
    <w:rsid w:val="00297729"/>
    <w:rsid w:val="0029774E"/>
    <w:rsid w:val="00297792"/>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7F"/>
    <w:rsid w:val="002A3393"/>
    <w:rsid w:val="002A3579"/>
    <w:rsid w:val="002A3707"/>
    <w:rsid w:val="002A3944"/>
    <w:rsid w:val="002A3BA0"/>
    <w:rsid w:val="002A3C56"/>
    <w:rsid w:val="002A3CC7"/>
    <w:rsid w:val="002A3CDC"/>
    <w:rsid w:val="002A3D04"/>
    <w:rsid w:val="002A3D27"/>
    <w:rsid w:val="002A3D5D"/>
    <w:rsid w:val="002A3EE7"/>
    <w:rsid w:val="002A3F56"/>
    <w:rsid w:val="002A3F7B"/>
    <w:rsid w:val="002A4029"/>
    <w:rsid w:val="002A4178"/>
    <w:rsid w:val="002A418C"/>
    <w:rsid w:val="002A419A"/>
    <w:rsid w:val="002A42EC"/>
    <w:rsid w:val="002A4319"/>
    <w:rsid w:val="002A4422"/>
    <w:rsid w:val="002A45E3"/>
    <w:rsid w:val="002A462D"/>
    <w:rsid w:val="002A4666"/>
    <w:rsid w:val="002A49AA"/>
    <w:rsid w:val="002A49B3"/>
    <w:rsid w:val="002A4AFA"/>
    <w:rsid w:val="002A4C99"/>
    <w:rsid w:val="002A4CAF"/>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0CD"/>
    <w:rsid w:val="002A61E6"/>
    <w:rsid w:val="002A622B"/>
    <w:rsid w:val="002A625A"/>
    <w:rsid w:val="002A6445"/>
    <w:rsid w:val="002A66A0"/>
    <w:rsid w:val="002A66CF"/>
    <w:rsid w:val="002A6742"/>
    <w:rsid w:val="002A68EC"/>
    <w:rsid w:val="002A68FB"/>
    <w:rsid w:val="002A6B42"/>
    <w:rsid w:val="002A6BC0"/>
    <w:rsid w:val="002A6BE1"/>
    <w:rsid w:val="002A6BEF"/>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DE6"/>
    <w:rsid w:val="002A7EC4"/>
    <w:rsid w:val="002A7F7B"/>
    <w:rsid w:val="002B001F"/>
    <w:rsid w:val="002B0192"/>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04"/>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27C"/>
    <w:rsid w:val="002B3338"/>
    <w:rsid w:val="002B3446"/>
    <w:rsid w:val="002B358D"/>
    <w:rsid w:val="002B35A0"/>
    <w:rsid w:val="002B3650"/>
    <w:rsid w:val="002B37A9"/>
    <w:rsid w:val="002B3906"/>
    <w:rsid w:val="002B3972"/>
    <w:rsid w:val="002B3B96"/>
    <w:rsid w:val="002B3BD9"/>
    <w:rsid w:val="002B3C6C"/>
    <w:rsid w:val="002B3D76"/>
    <w:rsid w:val="002B3E71"/>
    <w:rsid w:val="002B4237"/>
    <w:rsid w:val="002B42C1"/>
    <w:rsid w:val="002B42D2"/>
    <w:rsid w:val="002B43E7"/>
    <w:rsid w:val="002B443A"/>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09"/>
    <w:rsid w:val="002B55B3"/>
    <w:rsid w:val="002B563A"/>
    <w:rsid w:val="002B5753"/>
    <w:rsid w:val="002B57BA"/>
    <w:rsid w:val="002B591E"/>
    <w:rsid w:val="002B5A9A"/>
    <w:rsid w:val="002B5C7A"/>
    <w:rsid w:val="002B5F85"/>
    <w:rsid w:val="002B601C"/>
    <w:rsid w:val="002B61D7"/>
    <w:rsid w:val="002B628D"/>
    <w:rsid w:val="002B649F"/>
    <w:rsid w:val="002B6504"/>
    <w:rsid w:val="002B6697"/>
    <w:rsid w:val="002B66C9"/>
    <w:rsid w:val="002B673C"/>
    <w:rsid w:val="002B6742"/>
    <w:rsid w:val="002B6793"/>
    <w:rsid w:val="002B67F3"/>
    <w:rsid w:val="002B68E2"/>
    <w:rsid w:val="002B6A53"/>
    <w:rsid w:val="002B6BD7"/>
    <w:rsid w:val="002B6C52"/>
    <w:rsid w:val="002B6E17"/>
    <w:rsid w:val="002B6E75"/>
    <w:rsid w:val="002B6EC5"/>
    <w:rsid w:val="002B71E3"/>
    <w:rsid w:val="002B71EA"/>
    <w:rsid w:val="002B751F"/>
    <w:rsid w:val="002B75F5"/>
    <w:rsid w:val="002B76BF"/>
    <w:rsid w:val="002B7704"/>
    <w:rsid w:val="002B7756"/>
    <w:rsid w:val="002B787F"/>
    <w:rsid w:val="002B7953"/>
    <w:rsid w:val="002B7BBE"/>
    <w:rsid w:val="002B7CEF"/>
    <w:rsid w:val="002B7CF2"/>
    <w:rsid w:val="002C000E"/>
    <w:rsid w:val="002C001D"/>
    <w:rsid w:val="002C0050"/>
    <w:rsid w:val="002C0056"/>
    <w:rsid w:val="002C0175"/>
    <w:rsid w:val="002C0205"/>
    <w:rsid w:val="002C0284"/>
    <w:rsid w:val="002C0390"/>
    <w:rsid w:val="002C03DB"/>
    <w:rsid w:val="002C05C1"/>
    <w:rsid w:val="002C05FA"/>
    <w:rsid w:val="002C083A"/>
    <w:rsid w:val="002C0954"/>
    <w:rsid w:val="002C0A2E"/>
    <w:rsid w:val="002C0A51"/>
    <w:rsid w:val="002C0B42"/>
    <w:rsid w:val="002C0BBF"/>
    <w:rsid w:val="002C0DA2"/>
    <w:rsid w:val="002C0E7B"/>
    <w:rsid w:val="002C0EBB"/>
    <w:rsid w:val="002C0ED4"/>
    <w:rsid w:val="002C0F70"/>
    <w:rsid w:val="002C129B"/>
    <w:rsid w:val="002C12B1"/>
    <w:rsid w:val="002C1318"/>
    <w:rsid w:val="002C1370"/>
    <w:rsid w:val="002C1452"/>
    <w:rsid w:val="002C1570"/>
    <w:rsid w:val="002C1593"/>
    <w:rsid w:val="002C16CB"/>
    <w:rsid w:val="002C1720"/>
    <w:rsid w:val="002C17EF"/>
    <w:rsid w:val="002C1848"/>
    <w:rsid w:val="002C1AB1"/>
    <w:rsid w:val="002C1ADF"/>
    <w:rsid w:val="002C1B09"/>
    <w:rsid w:val="002C1B8A"/>
    <w:rsid w:val="002C1D1E"/>
    <w:rsid w:val="002C1DAB"/>
    <w:rsid w:val="002C1E59"/>
    <w:rsid w:val="002C1EB8"/>
    <w:rsid w:val="002C1EE8"/>
    <w:rsid w:val="002C1F63"/>
    <w:rsid w:val="002C2116"/>
    <w:rsid w:val="002C2268"/>
    <w:rsid w:val="002C2295"/>
    <w:rsid w:val="002C2344"/>
    <w:rsid w:val="002C2407"/>
    <w:rsid w:val="002C26EE"/>
    <w:rsid w:val="002C2B0C"/>
    <w:rsid w:val="002C2B15"/>
    <w:rsid w:val="002C2D15"/>
    <w:rsid w:val="002C2D32"/>
    <w:rsid w:val="002C2FFF"/>
    <w:rsid w:val="002C308C"/>
    <w:rsid w:val="002C309F"/>
    <w:rsid w:val="002C32A2"/>
    <w:rsid w:val="002C3349"/>
    <w:rsid w:val="002C33CD"/>
    <w:rsid w:val="002C345E"/>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616"/>
    <w:rsid w:val="002C4A1D"/>
    <w:rsid w:val="002C4B45"/>
    <w:rsid w:val="002C4BBB"/>
    <w:rsid w:val="002C4C52"/>
    <w:rsid w:val="002C4C8D"/>
    <w:rsid w:val="002C4D3E"/>
    <w:rsid w:val="002C4FCB"/>
    <w:rsid w:val="002C5041"/>
    <w:rsid w:val="002C506C"/>
    <w:rsid w:val="002C51EC"/>
    <w:rsid w:val="002C52B9"/>
    <w:rsid w:val="002C531A"/>
    <w:rsid w:val="002C539C"/>
    <w:rsid w:val="002C53E4"/>
    <w:rsid w:val="002C550D"/>
    <w:rsid w:val="002C55F5"/>
    <w:rsid w:val="002C573C"/>
    <w:rsid w:val="002C5821"/>
    <w:rsid w:val="002C5835"/>
    <w:rsid w:val="002C5862"/>
    <w:rsid w:val="002C59FE"/>
    <w:rsid w:val="002C5B91"/>
    <w:rsid w:val="002C5C96"/>
    <w:rsid w:val="002C5E80"/>
    <w:rsid w:val="002C5E9D"/>
    <w:rsid w:val="002C5F75"/>
    <w:rsid w:val="002C6024"/>
    <w:rsid w:val="002C618B"/>
    <w:rsid w:val="002C6255"/>
    <w:rsid w:val="002C6487"/>
    <w:rsid w:val="002C64AE"/>
    <w:rsid w:val="002C6653"/>
    <w:rsid w:val="002C6681"/>
    <w:rsid w:val="002C6695"/>
    <w:rsid w:val="002C66A8"/>
    <w:rsid w:val="002C6713"/>
    <w:rsid w:val="002C68B5"/>
    <w:rsid w:val="002C6B03"/>
    <w:rsid w:val="002C6B64"/>
    <w:rsid w:val="002C6DED"/>
    <w:rsid w:val="002C6E36"/>
    <w:rsid w:val="002C7010"/>
    <w:rsid w:val="002C704C"/>
    <w:rsid w:val="002C72AD"/>
    <w:rsid w:val="002C7538"/>
    <w:rsid w:val="002C75E0"/>
    <w:rsid w:val="002C773B"/>
    <w:rsid w:val="002C78C6"/>
    <w:rsid w:val="002C7A31"/>
    <w:rsid w:val="002C7AD8"/>
    <w:rsid w:val="002C7BB5"/>
    <w:rsid w:val="002C7C18"/>
    <w:rsid w:val="002C7C4E"/>
    <w:rsid w:val="002C7E29"/>
    <w:rsid w:val="002C7EEF"/>
    <w:rsid w:val="002D0084"/>
    <w:rsid w:val="002D0098"/>
    <w:rsid w:val="002D0355"/>
    <w:rsid w:val="002D03B5"/>
    <w:rsid w:val="002D04A4"/>
    <w:rsid w:val="002D0549"/>
    <w:rsid w:val="002D063F"/>
    <w:rsid w:val="002D06A5"/>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DAB"/>
    <w:rsid w:val="002D1E43"/>
    <w:rsid w:val="002D216C"/>
    <w:rsid w:val="002D21C2"/>
    <w:rsid w:val="002D23D0"/>
    <w:rsid w:val="002D24B1"/>
    <w:rsid w:val="002D269D"/>
    <w:rsid w:val="002D26A9"/>
    <w:rsid w:val="002D290F"/>
    <w:rsid w:val="002D2A4A"/>
    <w:rsid w:val="002D2AEA"/>
    <w:rsid w:val="002D2B1D"/>
    <w:rsid w:val="002D2B92"/>
    <w:rsid w:val="002D2DB3"/>
    <w:rsid w:val="002D2E77"/>
    <w:rsid w:val="002D2EA2"/>
    <w:rsid w:val="002D314E"/>
    <w:rsid w:val="002D31A9"/>
    <w:rsid w:val="002D31BF"/>
    <w:rsid w:val="002D336E"/>
    <w:rsid w:val="002D3591"/>
    <w:rsid w:val="002D36EC"/>
    <w:rsid w:val="002D3865"/>
    <w:rsid w:val="002D38AC"/>
    <w:rsid w:val="002D38C1"/>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DA0"/>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CDD"/>
    <w:rsid w:val="002D6D33"/>
    <w:rsid w:val="002D6D38"/>
    <w:rsid w:val="002D6DBD"/>
    <w:rsid w:val="002D6E6F"/>
    <w:rsid w:val="002D6F69"/>
    <w:rsid w:val="002D703E"/>
    <w:rsid w:val="002D70DA"/>
    <w:rsid w:val="002D70F1"/>
    <w:rsid w:val="002D734C"/>
    <w:rsid w:val="002D741E"/>
    <w:rsid w:val="002D7431"/>
    <w:rsid w:val="002D74BA"/>
    <w:rsid w:val="002D7557"/>
    <w:rsid w:val="002D75F0"/>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1D9"/>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04"/>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12"/>
    <w:rsid w:val="002E3372"/>
    <w:rsid w:val="002E3584"/>
    <w:rsid w:val="002E35B0"/>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63"/>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21E"/>
    <w:rsid w:val="002E63E5"/>
    <w:rsid w:val="002E64D1"/>
    <w:rsid w:val="002E6579"/>
    <w:rsid w:val="002E66E4"/>
    <w:rsid w:val="002E68DC"/>
    <w:rsid w:val="002E6B4D"/>
    <w:rsid w:val="002E6CB6"/>
    <w:rsid w:val="002E6DD8"/>
    <w:rsid w:val="002E6E06"/>
    <w:rsid w:val="002E6EFC"/>
    <w:rsid w:val="002E6FC9"/>
    <w:rsid w:val="002E70BC"/>
    <w:rsid w:val="002E70BF"/>
    <w:rsid w:val="002E72EF"/>
    <w:rsid w:val="002E732F"/>
    <w:rsid w:val="002E7540"/>
    <w:rsid w:val="002E7571"/>
    <w:rsid w:val="002E7626"/>
    <w:rsid w:val="002E76F1"/>
    <w:rsid w:val="002E78E3"/>
    <w:rsid w:val="002E78F5"/>
    <w:rsid w:val="002E7936"/>
    <w:rsid w:val="002E7953"/>
    <w:rsid w:val="002E7972"/>
    <w:rsid w:val="002E798C"/>
    <w:rsid w:val="002E7A65"/>
    <w:rsid w:val="002E7BD8"/>
    <w:rsid w:val="002E7C84"/>
    <w:rsid w:val="002E7D98"/>
    <w:rsid w:val="002E7DC9"/>
    <w:rsid w:val="002E7E19"/>
    <w:rsid w:val="002E7F81"/>
    <w:rsid w:val="002F00B0"/>
    <w:rsid w:val="002F00D5"/>
    <w:rsid w:val="002F0204"/>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CF7"/>
    <w:rsid w:val="002F0DFD"/>
    <w:rsid w:val="002F0E9A"/>
    <w:rsid w:val="002F0F3C"/>
    <w:rsid w:val="002F1014"/>
    <w:rsid w:val="002F10C2"/>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1E57"/>
    <w:rsid w:val="002F2151"/>
    <w:rsid w:val="002F221A"/>
    <w:rsid w:val="002F2230"/>
    <w:rsid w:val="002F2257"/>
    <w:rsid w:val="002F2392"/>
    <w:rsid w:val="002F257A"/>
    <w:rsid w:val="002F25BE"/>
    <w:rsid w:val="002F2628"/>
    <w:rsid w:val="002F267F"/>
    <w:rsid w:val="002F2774"/>
    <w:rsid w:val="002F289C"/>
    <w:rsid w:val="002F28C5"/>
    <w:rsid w:val="002F2ADE"/>
    <w:rsid w:val="002F2B21"/>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7CF"/>
    <w:rsid w:val="002F38A4"/>
    <w:rsid w:val="002F38BF"/>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00"/>
    <w:rsid w:val="002F4F70"/>
    <w:rsid w:val="002F5042"/>
    <w:rsid w:val="002F50A4"/>
    <w:rsid w:val="002F5118"/>
    <w:rsid w:val="002F51FC"/>
    <w:rsid w:val="002F52C0"/>
    <w:rsid w:val="002F5327"/>
    <w:rsid w:val="002F539A"/>
    <w:rsid w:val="002F54D9"/>
    <w:rsid w:val="002F5608"/>
    <w:rsid w:val="002F56ED"/>
    <w:rsid w:val="002F5715"/>
    <w:rsid w:val="002F577F"/>
    <w:rsid w:val="002F5A19"/>
    <w:rsid w:val="002F5B7D"/>
    <w:rsid w:val="002F5D43"/>
    <w:rsid w:val="002F5DF7"/>
    <w:rsid w:val="002F61ED"/>
    <w:rsid w:val="002F628C"/>
    <w:rsid w:val="002F62B5"/>
    <w:rsid w:val="002F649B"/>
    <w:rsid w:val="002F6809"/>
    <w:rsid w:val="002F6847"/>
    <w:rsid w:val="002F6A4C"/>
    <w:rsid w:val="002F6A72"/>
    <w:rsid w:val="002F6D2A"/>
    <w:rsid w:val="002F6D43"/>
    <w:rsid w:val="002F6D4A"/>
    <w:rsid w:val="002F6D5B"/>
    <w:rsid w:val="002F6EC6"/>
    <w:rsid w:val="002F6EC9"/>
    <w:rsid w:val="002F6ED9"/>
    <w:rsid w:val="002F70C5"/>
    <w:rsid w:val="002F716F"/>
    <w:rsid w:val="002F717A"/>
    <w:rsid w:val="002F719B"/>
    <w:rsid w:val="002F73B2"/>
    <w:rsid w:val="002F7556"/>
    <w:rsid w:val="002F75A1"/>
    <w:rsid w:val="002F7610"/>
    <w:rsid w:val="002F767E"/>
    <w:rsid w:val="002F76CB"/>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93A"/>
    <w:rsid w:val="00300DDE"/>
    <w:rsid w:val="003011AC"/>
    <w:rsid w:val="003013DC"/>
    <w:rsid w:val="003013F5"/>
    <w:rsid w:val="003013FE"/>
    <w:rsid w:val="003014A6"/>
    <w:rsid w:val="003015F4"/>
    <w:rsid w:val="00301629"/>
    <w:rsid w:val="003016B9"/>
    <w:rsid w:val="00301795"/>
    <w:rsid w:val="0030194B"/>
    <w:rsid w:val="003019B4"/>
    <w:rsid w:val="003019C9"/>
    <w:rsid w:val="00301B2E"/>
    <w:rsid w:val="00301BD8"/>
    <w:rsid w:val="00301DB0"/>
    <w:rsid w:val="00301ED7"/>
    <w:rsid w:val="00301EE8"/>
    <w:rsid w:val="0030216F"/>
    <w:rsid w:val="0030225E"/>
    <w:rsid w:val="00302263"/>
    <w:rsid w:val="003022B6"/>
    <w:rsid w:val="003024BE"/>
    <w:rsid w:val="003025AD"/>
    <w:rsid w:val="0030270E"/>
    <w:rsid w:val="00302714"/>
    <w:rsid w:val="00302982"/>
    <w:rsid w:val="00302B97"/>
    <w:rsid w:val="00302F3F"/>
    <w:rsid w:val="00302FF9"/>
    <w:rsid w:val="00303025"/>
    <w:rsid w:val="00303061"/>
    <w:rsid w:val="00303103"/>
    <w:rsid w:val="00303139"/>
    <w:rsid w:val="0030313D"/>
    <w:rsid w:val="00303373"/>
    <w:rsid w:val="003033FA"/>
    <w:rsid w:val="0030346E"/>
    <w:rsid w:val="00303523"/>
    <w:rsid w:val="003035CD"/>
    <w:rsid w:val="00303603"/>
    <w:rsid w:val="00303606"/>
    <w:rsid w:val="003038F3"/>
    <w:rsid w:val="00303A4F"/>
    <w:rsid w:val="00303A54"/>
    <w:rsid w:val="00303B23"/>
    <w:rsid w:val="00303C88"/>
    <w:rsid w:val="00303E35"/>
    <w:rsid w:val="0030423D"/>
    <w:rsid w:val="003042AD"/>
    <w:rsid w:val="003044E8"/>
    <w:rsid w:val="0030455D"/>
    <w:rsid w:val="003046ED"/>
    <w:rsid w:val="0030478C"/>
    <w:rsid w:val="00304ABE"/>
    <w:rsid w:val="00304C51"/>
    <w:rsid w:val="00304C5D"/>
    <w:rsid w:val="00304CC7"/>
    <w:rsid w:val="00304D40"/>
    <w:rsid w:val="00304D5D"/>
    <w:rsid w:val="00304F55"/>
    <w:rsid w:val="00304F59"/>
    <w:rsid w:val="003051B9"/>
    <w:rsid w:val="003051D7"/>
    <w:rsid w:val="00305245"/>
    <w:rsid w:val="0030532D"/>
    <w:rsid w:val="0030538B"/>
    <w:rsid w:val="0030541C"/>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8CE"/>
    <w:rsid w:val="0030699A"/>
    <w:rsid w:val="00306A68"/>
    <w:rsid w:val="00306B89"/>
    <w:rsid w:val="00306CC1"/>
    <w:rsid w:val="00306DAE"/>
    <w:rsid w:val="00306E65"/>
    <w:rsid w:val="00306EBE"/>
    <w:rsid w:val="00306FB0"/>
    <w:rsid w:val="00307007"/>
    <w:rsid w:val="0030715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9BD"/>
    <w:rsid w:val="00312ABD"/>
    <w:rsid w:val="00312B0A"/>
    <w:rsid w:val="00312B11"/>
    <w:rsid w:val="00312C92"/>
    <w:rsid w:val="00312D33"/>
    <w:rsid w:val="00312D79"/>
    <w:rsid w:val="00312DDC"/>
    <w:rsid w:val="00312EF5"/>
    <w:rsid w:val="00312F5C"/>
    <w:rsid w:val="00313096"/>
    <w:rsid w:val="003130C7"/>
    <w:rsid w:val="003130DB"/>
    <w:rsid w:val="00313134"/>
    <w:rsid w:val="003131DE"/>
    <w:rsid w:val="00313342"/>
    <w:rsid w:val="0031339B"/>
    <w:rsid w:val="003133F3"/>
    <w:rsid w:val="00313575"/>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609"/>
    <w:rsid w:val="00314880"/>
    <w:rsid w:val="00314AE1"/>
    <w:rsid w:val="00314B74"/>
    <w:rsid w:val="00314B86"/>
    <w:rsid w:val="00314C47"/>
    <w:rsid w:val="00314E23"/>
    <w:rsid w:val="00315153"/>
    <w:rsid w:val="003151EA"/>
    <w:rsid w:val="00315217"/>
    <w:rsid w:val="003155A7"/>
    <w:rsid w:val="00315612"/>
    <w:rsid w:val="00315701"/>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DC"/>
    <w:rsid w:val="00316759"/>
    <w:rsid w:val="00316775"/>
    <w:rsid w:val="003169EA"/>
    <w:rsid w:val="00316A92"/>
    <w:rsid w:val="00316AE2"/>
    <w:rsid w:val="00316BF9"/>
    <w:rsid w:val="00316C89"/>
    <w:rsid w:val="00316D96"/>
    <w:rsid w:val="00316DF2"/>
    <w:rsid w:val="00316E17"/>
    <w:rsid w:val="00316E3F"/>
    <w:rsid w:val="00316E5B"/>
    <w:rsid w:val="00316F46"/>
    <w:rsid w:val="00316FB7"/>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A15"/>
    <w:rsid w:val="00321A4C"/>
    <w:rsid w:val="00321B61"/>
    <w:rsid w:val="00321E91"/>
    <w:rsid w:val="0032219B"/>
    <w:rsid w:val="003221F4"/>
    <w:rsid w:val="0032248D"/>
    <w:rsid w:val="0032254B"/>
    <w:rsid w:val="00322576"/>
    <w:rsid w:val="003226AD"/>
    <w:rsid w:val="003228BC"/>
    <w:rsid w:val="00322960"/>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0D0"/>
    <w:rsid w:val="003243AC"/>
    <w:rsid w:val="0032443D"/>
    <w:rsid w:val="003244AB"/>
    <w:rsid w:val="0032471B"/>
    <w:rsid w:val="00324789"/>
    <w:rsid w:val="0032483D"/>
    <w:rsid w:val="003249DF"/>
    <w:rsid w:val="00324A79"/>
    <w:rsid w:val="00324C2C"/>
    <w:rsid w:val="00324C7F"/>
    <w:rsid w:val="00324CBC"/>
    <w:rsid w:val="00324D93"/>
    <w:rsid w:val="00324F7A"/>
    <w:rsid w:val="00325097"/>
    <w:rsid w:val="003250C0"/>
    <w:rsid w:val="003251DF"/>
    <w:rsid w:val="00325416"/>
    <w:rsid w:val="0032550E"/>
    <w:rsid w:val="003255E6"/>
    <w:rsid w:val="003257AF"/>
    <w:rsid w:val="0032583C"/>
    <w:rsid w:val="003258BA"/>
    <w:rsid w:val="00325919"/>
    <w:rsid w:val="00325923"/>
    <w:rsid w:val="003259DA"/>
    <w:rsid w:val="003259E3"/>
    <w:rsid w:val="00325BFA"/>
    <w:rsid w:val="00325C2C"/>
    <w:rsid w:val="00325C93"/>
    <w:rsid w:val="00325D00"/>
    <w:rsid w:val="0032604E"/>
    <w:rsid w:val="0032616E"/>
    <w:rsid w:val="00326250"/>
    <w:rsid w:val="0032629D"/>
    <w:rsid w:val="0032634F"/>
    <w:rsid w:val="0032640F"/>
    <w:rsid w:val="00326486"/>
    <w:rsid w:val="003264DF"/>
    <w:rsid w:val="0032668C"/>
    <w:rsid w:val="0032675C"/>
    <w:rsid w:val="00326795"/>
    <w:rsid w:val="00326A4A"/>
    <w:rsid w:val="00326B34"/>
    <w:rsid w:val="00326C4A"/>
    <w:rsid w:val="00326C86"/>
    <w:rsid w:val="00326D35"/>
    <w:rsid w:val="00326D4D"/>
    <w:rsid w:val="00326F57"/>
    <w:rsid w:val="00327019"/>
    <w:rsid w:val="00327051"/>
    <w:rsid w:val="00327210"/>
    <w:rsid w:val="00327458"/>
    <w:rsid w:val="00327499"/>
    <w:rsid w:val="003274EA"/>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075"/>
    <w:rsid w:val="0033213D"/>
    <w:rsid w:val="0033250D"/>
    <w:rsid w:val="003326A9"/>
    <w:rsid w:val="003326E7"/>
    <w:rsid w:val="00332B3C"/>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7F0"/>
    <w:rsid w:val="003359D7"/>
    <w:rsid w:val="00335AE8"/>
    <w:rsid w:val="00335D04"/>
    <w:rsid w:val="00335D71"/>
    <w:rsid w:val="00335D9B"/>
    <w:rsid w:val="00335DEF"/>
    <w:rsid w:val="0033607F"/>
    <w:rsid w:val="003361E9"/>
    <w:rsid w:val="00336433"/>
    <w:rsid w:val="00336538"/>
    <w:rsid w:val="0033677B"/>
    <w:rsid w:val="0033686D"/>
    <w:rsid w:val="00336917"/>
    <w:rsid w:val="0033695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0C"/>
    <w:rsid w:val="00337AC7"/>
    <w:rsid w:val="00337B11"/>
    <w:rsid w:val="00337B21"/>
    <w:rsid w:val="00337BAE"/>
    <w:rsid w:val="00337C7A"/>
    <w:rsid w:val="00337CEB"/>
    <w:rsid w:val="00337ECC"/>
    <w:rsid w:val="00337F49"/>
    <w:rsid w:val="00337FDE"/>
    <w:rsid w:val="00340009"/>
    <w:rsid w:val="003401B6"/>
    <w:rsid w:val="003401F9"/>
    <w:rsid w:val="00340352"/>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79"/>
    <w:rsid w:val="003422F2"/>
    <w:rsid w:val="00342374"/>
    <w:rsid w:val="00342408"/>
    <w:rsid w:val="003424E0"/>
    <w:rsid w:val="00342618"/>
    <w:rsid w:val="003426C1"/>
    <w:rsid w:val="00342775"/>
    <w:rsid w:val="0034290E"/>
    <w:rsid w:val="003429B5"/>
    <w:rsid w:val="00342D8F"/>
    <w:rsid w:val="00342DC4"/>
    <w:rsid w:val="00342DE4"/>
    <w:rsid w:val="00342ED4"/>
    <w:rsid w:val="00342EDB"/>
    <w:rsid w:val="00342F2C"/>
    <w:rsid w:val="00343053"/>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776"/>
    <w:rsid w:val="0034486D"/>
    <w:rsid w:val="00344924"/>
    <w:rsid w:val="00344925"/>
    <w:rsid w:val="00344C7A"/>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CC1"/>
    <w:rsid w:val="00345DB3"/>
    <w:rsid w:val="00345F26"/>
    <w:rsid w:val="00345F49"/>
    <w:rsid w:val="00345FE7"/>
    <w:rsid w:val="00346018"/>
    <w:rsid w:val="003462A6"/>
    <w:rsid w:val="003462E5"/>
    <w:rsid w:val="003463C0"/>
    <w:rsid w:val="003463FF"/>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2BA"/>
    <w:rsid w:val="00347402"/>
    <w:rsid w:val="0034747C"/>
    <w:rsid w:val="003474FB"/>
    <w:rsid w:val="00347519"/>
    <w:rsid w:val="003475BA"/>
    <w:rsid w:val="003476D3"/>
    <w:rsid w:val="003479C4"/>
    <w:rsid w:val="00347B26"/>
    <w:rsid w:val="00347B66"/>
    <w:rsid w:val="00347BF5"/>
    <w:rsid w:val="00347D6D"/>
    <w:rsid w:val="00347E0B"/>
    <w:rsid w:val="00347E1B"/>
    <w:rsid w:val="00350103"/>
    <w:rsid w:val="00350188"/>
    <w:rsid w:val="003503E7"/>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4F7"/>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5F"/>
    <w:rsid w:val="003529E6"/>
    <w:rsid w:val="00352BA9"/>
    <w:rsid w:val="00352DFD"/>
    <w:rsid w:val="003531AA"/>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3B"/>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5D"/>
    <w:rsid w:val="00357FAF"/>
    <w:rsid w:val="00360019"/>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50"/>
    <w:rsid w:val="003612AD"/>
    <w:rsid w:val="0036130A"/>
    <w:rsid w:val="0036143E"/>
    <w:rsid w:val="0036153D"/>
    <w:rsid w:val="0036154D"/>
    <w:rsid w:val="0036170A"/>
    <w:rsid w:val="0036178A"/>
    <w:rsid w:val="0036184B"/>
    <w:rsid w:val="00361853"/>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D84"/>
    <w:rsid w:val="00362E69"/>
    <w:rsid w:val="00362E87"/>
    <w:rsid w:val="00362F71"/>
    <w:rsid w:val="003630A8"/>
    <w:rsid w:val="00363249"/>
    <w:rsid w:val="003633D6"/>
    <w:rsid w:val="003634C3"/>
    <w:rsid w:val="0036357A"/>
    <w:rsid w:val="003635BD"/>
    <w:rsid w:val="00363659"/>
    <w:rsid w:val="0036368C"/>
    <w:rsid w:val="0036368D"/>
    <w:rsid w:val="003638BD"/>
    <w:rsid w:val="003638F4"/>
    <w:rsid w:val="00363948"/>
    <w:rsid w:val="00363A07"/>
    <w:rsid w:val="00363A59"/>
    <w:rsid w:val="00363BD8"/>
    <w:rsid w:val="00363BFF"/>
    <w:rsid w:val="00363C53"/>
    <w:rsid w:val="00363C93"/>
    <w:rsid w:val="00363E63"/>
    <w:rsid w:val="00363EA0"/>
    <w:rsid w:val="00363EBB"/>
    <w:rsid w:val="00363FD0"/>
    <w:rsid w:val="00364133"/>
    <w:rsid w:val="003641DD"/>
    <w:rsid w:val="0036440F"/>
    <w:rsid w:val="0036443E"/>
    <w:rsid w:val="00364531"/>
    <w:rsid w:val="00364544"/>
    <w:rsid w:val="0036462C"/>
    <w:rsid w:val="003647B2"/>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08"/>
    <w:rsid w:val="00366211"/>
    <w:rsid w:val="00366227"/>
    <w:rsid w:val="0036636F"/>
    <w:rsid w:val="003663F4"/>
    <w:rsid w:val="0036640A"/>
    <w:rsid w:val="00366599"/>
    <w:rsid w:val="003666A6"/>
    <w:rsid w:val="003668DB"/>
    <w:rsid w:val="003668EB"/>
    <w:rsid w:val="00366A32"/>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0E8"/>
    <w:rsid w:val="003700F4"/>
    <w:rsid w:val="0037010B"/>
    <w:rsid w:val="00370366"/>
    <w:rsid w:val="00370397"/>
    <w:rsid w:val="0037067B"/>
    <w:rsid w:val="003706B2"/>
    <w:rsid w:val="003706C2"/>
    <w:rsid w:val="00370740"/>
    <w:rsid w:val="00370787"/>
    <w:rsid w:val="003707FD"/>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2C"/>
    <w:rsid w:val="003713F9"/>
    <w:rsid w:val="003714D6"/>
    <w:rsid w:val="00371657"/>
    <w:rsid w:val="00371791"/>
    <w:rsid w:val="003717F7"/>
    <w:rsid w:val="00371A43"/>
    <w:rsid w:val="00371A4F"/>
    <w:rsid w:val="00371BBD"/>
    <w:rsid w:val="00371C12"/>
    <w:rsid w:val="00371DA8"/>
    <w:rsid w:val="00371DEC"/>
    <w:rsid w:val="00371E4B"/>
    <w:rsid w:val="00371F79"/>
    <w:rsid w:val="003720D3"/>
    <w:rsid w:val="00372190"/>
    <w:rsid w:val="00372383"/>
    <w:rsid w:val="00372545"/>
    <w:rsid w:val="00372645"/>
    <w:rsid w:val="003726C2"/>
    <w:rsid w:val="00372819"/>
    <w:rsid w:val="003728BA"/>
    <w:rsid w:val="00372911"/>
    <w:rsid w:val="003729AC"/>
    <w:rsid w:val="00372A87"/>
    <w:rsid w:val="00372B0F"/>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08B"/>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214"/>
    <w:rsid w:val="003773C4"/>
    <w:rsid w:val="003773DB"/>
    <w:rsid w:val="003773E3"/>
    <w:rsid w:val="003773F5"/>
    <w:rsid w:val="0037764D"/>
    <w:rsid w:val="003778B2"/>
    <w:rsid w:val="003778DF"/>
    <w:rsid w:val="00377A8A"/>
    <w:rsid w:val="00377C2E"/>
    <w:rsid w:val="00377C3C"/>
    <w:rsid w:val="00377CF4"/>
    <w:rsid w:val="00377D8C"/>
    <w:rsid w:val="00377EE6"/>
    <w:rsid w:val="00377EF6"/>
    <w:rsid w:val="00377F08"/>
    <w:rsid w:val="00380185"/>
    <w:rsid w:val="0038051D"/>
    <w:rsid w:val="0038076F"/>
    <w:rsid w:val="003807A0"/>
    <w:rsid w:val="0038085D"/>
    <w:rsid w:val="003808B6"/>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390"/>
    <w:rsid w:val="003814C7"/>
    <w:rsid w:val="003815F2"/>
    <w:rsid w:val="003816A5"/>
    <w:rsid w:val="003816D3"/>
    <w:rsid w:val="00381BF6"/>
    <w:rsid w:val="00381C28"/>
    <w:rsid w:val="00381C54"/>
    <w:rsid w:val="00381C7F"/>
    <w:rsid w:val="00381CB0"/>
    <w:rsid w:val="00381CEA"/>
    <w:rsid w:val="00381EA5"/>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77"/>
    <w:rsid w:val="003843AE"/>
    <w:rsid w:val="003843BA"/>
    <w:rsid w:val="00384588"/>
    <w:rsid w:val="003845E1"/>
    <w:rsid w:val="003845F5"/>
    <w:rsid w:val="0038478D"/>
    <w:rsid w:val="0038486A"/>
    <w:rsid w:val="00384888"/>
    <w:rsid w:val="00384915"/>
    <w:rsid w:val="00384928"/>
    <w:rsid w:val="00384BC7"/>
    <w:rsid w:val="00384C74"/>
    <w:rsid w:val="00384C89"/>
    <w:rsid w:val="00384C98"/>
    <w:rsid w:val="00384CB1"/>
    <w:rsid w:val="00384D3F"/>
    <w:rsid w:val="00384DC1"/>
    <w:rsid w:val="00384DDD"/>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EE"/>
    <w:rsid w:val="00386707"/>
    <w:rsid w:val="0038671D"/>
    <w:rsid w:val="003867BA"/>
    <w:rsid w:val="0038693C"/>
    <w:rsid w:val="003869A1"/>
    <w:rsid w:val="00386A21"/>
    <w:rsid w:val="00386C45"/>
    <w:rsid w:val="00386CAF"/>
    <w:rsid w:val="00386F93"/>
    <w:rsid w:val="003872EB"/>
    <w:rsid w:val="003874BF"/>
    <w:rsid w:val="0038753C"/>
    <w:rsid w:val="003878C5"/>
    <w:rsid w:val="00387BF5"/>
    <w:rsid w:val="00387C74"/>
    <w:rsid w:val="00387D87"/>
    <w:rsid w:val="00387E62"/>
    <w:rsid w:val="00387EDC"/>
    <w:rsid w:val="0039006A"/>
    <w:rsid w:val="003900B2"/>
    <w:rsid w:val="003900E6"/>
    <w:rsid w:val="00390163"/>
    <w:rsid w:val="003902A5"/>
    <w:rsid w:val="00390362"/>
    <w:rsid w:val="00390503"/>
    <w:rsid w:val="003906C4"/>
    <w:rsid w:val="00390700"/>
    <w:rsid w:val="003907B9"/>
    <w:rsid w:val="003908D8"/>
    <w:rsid w:val="003908F8"/>
    <w:rsid w:val="003909A5"/>
    <w:rsid w:val="003909E9"/>
    <w:rsid w:val="00390B47"/>
    <w:rsid w:val="00390B8F"/>
    <w:rsid w:val="00390C0C"/>
    <w:rsid w:val="00390CAC"/>
    <w:rsid w:val="0039104F"/>
    <w:rsid w:val="0039109F"/>
    <w:rsid w:val="00391216"/>
    <w:rsid w:val="00391341"/>
    <w:rsid w:val="0039149F"/>
    <w:rsid w:val="003915D1"/>
    <w:rsid w:val="00391663"/>
    <w:rsid w:val="0039179A"/>
    <w:rsid w:val="003917C6"/>
    <w:rsid w:val="0039180D"/>
    <w:rsid w:val="00391831"/>
    <w:rsid w:val="003919A2"/>
    <w:rsid w:val="003919DB"/>
    <w:rsid w:val="00391A86"/>
    <w:rsid w:val="00391BC2"/>
    <w:rsid w:val="0039201B"/>
    <w:rsid w:val="0039202E"/>
    <w:rsid w:val="003922B7"/>
    <w:rsid w:val="003922F2"/>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A9"/>
    <w:rsid w:val="00392FE3"/>
    <w:rsid w:val="003930B0"/>
    <w:rsid w:val="00393187"/>
    <w:rsid w:val="003932C3"/>
    <w:rsid w:val="0039333E"/>
    <w:rsid w:val="00393461"/>
    <w:rsid w:val="003938C1"/>
    <w:rsid w:val="003938F8"/>
    <w:rsid w:val="00393907"/>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48"/>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775"/>
    <w:rsid w:val="00396842"/>
    <w:rsid w:val="00396B4F"/>
    <w:rsid w:val="00396BA6"/>
    <w:rsid w:val="00396D37"/>
    <w:rsid w:val="00396DDB"/>
    <w:rsid w:val="00396E46"/>
    <w:rsid w:val="003971BC"/>
    <w:rsid w:val="003972CD"/>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90D"/>
    <w:rsid w:val="003A1992"/>
    <w:rsid w:val="003A1A10"/>
    <w:rsid w:val="003A1AA2"/>
    <w:rsid w:val="003A1B03"/>
    <w:rsid w:val="003A1D13"/>
    <w:rsid w:val="003A1D6A"/>
    <w:rsid w:val="003A1EA4"/>
    <w:rsid w:val="003A1EDF"/>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4A59"/>
    <w:rsid w:val="003A50A0"/>
    <w:rsid w:val="003A51D2"/>
    <w:rsid w:val="003A53E0"/>
    <w:rsid w:val="003A5466"/>
    <w:rsid w:val="003A557D"/>
    <w:rsid w:val="003A5587"/>
    <w:rsid w:val="003A579F"/>
    <w:rsid w:val="003A593C"/>
    <w:rsid w:val="003A5985"/>
    <w:rsid w:val="003A59B4"/>
    <w:rsid w:val="003A5B06"/>
    <w:rsid w:val="003A5B57"/>
    <w:rsid w:val="003A5C19"/>
    <w:rsid w:val="003A5CE6"/>
    <w:rsid w:val="003A5E18"/>
    <w:rsid w:val="003A6092"/>
    <w:rsid w:val="003A6281"/>
    <w:rsid w:val="003A65A7"/>
    <w:rsid w:val="003A6613"/>
    <w:rsid w:val="003A6799"/>
    <w:rsid w:val="003A67BE"/>
    <w:rsid w:val="003A6874"/>
    <w:rsid w:val="003A689D"/>
    <w:rsid w:val="003A6A60"/>
    <w:rsid w:val="003A6B34"/>
    <w:rsid w:val="003A6C62"/>
    <w:rsid w:val="003A7144"/>
    <w:rsid w:val="003A7365"/>
    <w:rsid w:val="003A741A"/>
    <w:rsid w:val="003A74E8"/>
    <w:rsid w:val="003A77BE"/>
    <w:rsid w:val="003A7A8C"/>
    <w:rsid w:val="003A7AA3"/>
    <w:rsid w:val="003A7C3A"/>
    <w:rsid w:val="003A7CD2"/>
    <w:rsid w:val="003A7E3F"/>
    <w:rsid w:val="003A7FA0"/>
    <w:rsid w:val="003B01D2"/>
    <w:rsid w:val="003B03DD"/>
    <w:rsid w:val="003B041C"/>
    <w:rsid w:val="003B0463"/>
    <w:rsid w:val="003B054F"/>
    <w:rsid w:val="003B055A"/>
    <w:rsid w:val="003B067B"/>
    <w:rsid w:val="003B0713"/>
    <w:rsid w:val="003B079B"/>
    <w:rsid w:val="003B097B"/>
    <w:rsid w:val="003B09C0"/>
    <w:rsid w:val="003B0A1F"/>
    <w:rsid w:val="003B0BC4"/>
    <w:rsid w:val="003B0CAD"/>
    <w:rsid w:val="003B0CEE"/>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65B"/>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826"/>
    <w:rsid w:val="003B3B99"/>
    <w:rsid w:val="003B3C95"/>
    <w:rsid w:val="003B3D7C"/>
    <w:rsid w:val="003B3E1D"/>
    <w:rsid w:val="003B3E2D"/>
    <w:rsid w:val="003B3E3A"/>
    <w:rsid w:val="003B3F00"/>
    <w:rsid w:val="003B4044"/>
    <w:rsid w:val="003B421E"/>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937"/>
    <w:rsid w:val="003B6B15"/>
    <w:rsid w:val="003B6B34"/>
    <w:rsid w:val="003B6DA4"/>
    <w:rsid w:val="003B6DC1"/>
    <w:rsid w:val="003B6F0E"/>
    <w:rsid w:val="003B701D"/>
    <w:rsid w:val="003B7026"/>
    <w:rsid w:val="003B71E3"/>
    <w:rsid w:val="003B7223"/>
    <w:rsid w:val="003B7289"/>
    <w:rsid w:val="003B735F"/>
    <w:rsid w:val="003B75CF"/>
    <w:rsid w:val="003B7820"/>
    <w:rsid w:val="003B796D"/>
    <w:rsid w:val="003B79F3"/>
    <w:rsid w:val="003B7A3D"/>
    <w:rsid w:val="003B7BBD"/>
    <w:rsid w:val="003B7C09"/>
    <w:rsid w:val="003B7C51"/>
    <w:rsid w:val="003B7DF3"/>
    <w:rsid w:val="003B7ECD"/>
    <w:rsid w:val="003B7FDE"/>
    <w:rsid w:val="003C0099"/>
    <w:rsid w:val="003C010E"/>
    <w:rsid w:val="003C014E"/>
    <w:rsid w:val="003C016B"/>
    <w:rsid w:val="003C028B"/>
    <w:rsid w:val="003C02F1"/>
    <w:rsid w:val="003C035B"/>
    <w:rsid w:val="003C0478"/>
    <w:rsid w:val="003C0590"/>
    <w:rsid w:val="003C0602"/>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A98"/>
    <w:rsid w:val="003C2B95"/>
    <w:rsid w:val="003C2D82"/>
    <w:rsid w:val="003C2DC1"/>
    <w:rsid w:val="003C2E5F"/>
    <w:rsid w:val="003C3084"/>
    <w:rsid w:val="003C3109"/>
    <w:rsid w:val="003C3213"/>
    <w:rsid w:val="003C33FB"/>
    <w:rsid w:val="003C35C7"/>
    <w:rsid w:val="003C35D8"/>
    <w:rsid w:val="003C3A03"/>
    <w:rsid w:val="003C3BFA"/>
    <w:rsid w:val="003C3C19"/>
    <w:rsid w:val="003C3DF3"/>
    <w:rsid w:val="003C3DFB"/>
    <w:rsid w:val="003C3DFD"/>
    <w:rsid w:val="003C3E02"/>
    <w:rsid w:val="003C3E83"/>
    <w:rsid w:val="003C3EFA"/>
    <w:rsid w:val="003C406F"/>
    <w:rsid w:val="003C4146"/>
    <w:rsid w:val="003C41F2"/>
    <w:rsid w:val="003C431D"/>
    <w:rsid w:val="003C4682"/>
    <w:rsid w:val="003C4837"/>
    <w:rsid w:val="003C48E9"/>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23A"/>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16"/>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C7E5F"/>
    <w:rsid w:val="003D0075"/>
    <w:rsid w:val="003D029E"/>
    <w:rsid w:val="003D0593"/>
    <w:rsid w:val="003D05CE"/>
    <w:rsid w:val="003D09C3"/>
    <w:rsid w:val="003D09DA"/>
    <w:rsid w:val="003D0A12"/>
    <w:rsid w:val="003D0AAF"/>
    <w:rsid w:val="003D0BC3"/>
    <w:rsid w:val="003D0CCF"/>
    <w:rsid w:val="003D0E54"/>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18"/>
    <w:rsid w:val="003D24DB"/>
    <w:rsid w:val="003D2553"/>
    <w:rsid w:val="003D273C"/>
    <w:rsid w:val="003D2929"/>
    <w:rsid w:val="003D2A41"/>
    <w:rsid w:val="003D2CD9"/>
    <w:rsid w:val="003D2D3D"/>
    <w:rsid w:val="003D2E89"/>
    <w:rsid w:val="003D2EB9"/>
    <w:rsid w:val="003D2FE4"/>
    <w:rsid w:val="003D3006"/>
    <w:rsid w:val="003D33FC"/>
    <w:rsid w:val="003D342D"/>
    <w:rsid w:val="003D3455"/>
    <w:rsid w:val="003D34FC"/>
    <w:rsid w:val="003D3513"/>
    <w:rsid w:val="003D3699"/>
    <w:rsid w:val="003D373E"/>
    <w:rsid w:val="003D37E9"/>
    <w:rsid w:val="003D38EE"/>
    <w:rsid w:val="003D39B2"/>
    <w:rsid w:val="003D3A37"/>
    <w:rsid w:val="003D3AAA"/>
    <w:rsid w:val="003D3AEE"/>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A41"/>
    <w:rsid w:val="003D5A72"/>
    <w:rsid w:val="003D5B7A"/>
    <w:rsid w:val="003D5C50"/>
    <w:rsid w:val="003D5C57"/>
    <w:rsid w:val="003D5CB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C"/>
    <w:rsid w:val="003D7A95"/>
    <w:rsid w:val="003D7C09"/>
    <w:rsid w:val="003D7CF6"/>
    <w:rsid w:val="003D7D1B"/>
    <w:rsid w:val="003D7D1D"/>
    <w:rsid w:val="003D7D8B"/>
    <w:rsid w:val="003D7FAB"/>
    <w:rsid w:val="003E0081"/>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00E"/>
    <w:rsid w:val="003E1171"/>
    <w:rsid w:val="003E1348"/>
    <w:rsid w:val="003E1511"/>
    <w:rsid w:val="003E15D3"/>
    <w:rsid w:val="003E1620"/>
    <w:rsid w:val="003E1904"/>
    <w:rsid w:val="003E1A9F"/>
    <w:rsid w:val="003E1B26"/>
    <w:rsid w:val="003E1BAE"/>
    <w:rsid w:val="003E1D90"/>
    <w:rsid w:val="003E1DCF"/>
    <w:rsid w:val="003E1E35"/>
    <w:rsid w:val="003E1F93"/>
    <w:rsid w:val="003E205E"/>
    <w:rsid w:val="003E2083"/>
    <w:rsid w:val="003E2207"/>
    <w:rsid w:val="003E2310"/>
    <w:rsid w:val="003E2330"/>
    <w:rsid w:val="003E23BE"/>
    <w:rsid w:val="003E240C"/>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BB0"/>
    <w:rsid w:val="003E4D7F"/>
    <w:rsid w:val="003E4F21"/>
    <w:rsid w:val="003E4F26"/>
    <w:rsid w:val="003E4FBE"/>
    <w:rsid w:val="003E5003"/>
    <w:rsid w:val="003E52A3"/>
    <w:rsid w:val="003E5383"/>
    <w:rsid w:val="003E565E"/>
    <w:rsid w:val="003E576B"/>
    <w:rsid w:val="003E5802"/>
    <w:rsid w:val="003E5CBC"/>
    <w:rsid w:val="003E5D0E"/>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90"/>
    <w:rsid w:val="003E70DD"/>
    <w:rsid w:val="003E71C5"/>
    <w:rsid w:val="003E7251"/>
    <w:rsid w:val="003E7370"/>
    <w:rsid w:val="003E73B9"/>
    <w:rsid w:val="003E75DA"/>
    <w:rsid w:val="003E7633"/>
    <w:rsid w:val="003E7649"/>
    <w:rsid w:val="003E76CD"/>
    <w:rsid w:val="003E77B0"/>
    <w:rsid w:val="003E79F2"/>
    <w:rsid w:val="003E7A3B"/>
    <w:rsid w:val="003E7AAD"/>
    <w:rsid w:val="003E7AB2"/>
    <w:rsid w:val="003E7B7F"/>
    <w:rsid w:val="003E7CA7"/>
    <w:rsid w:val="003E7D9D"/>
    <w:rsid w:val="003E7DD9"/>
    <w:rsid w:val="003E7E2A"/>
    <w:rsid w:val="003F007C"/>
    <w:rsid w:val="003F0126"/>
    <w:rsid w:val="003F019E"/>
    <w:rsid w:val="003F02F7"/>
    <w:rsid w:val="003F0418"/>
    <w:rsid w:val="003F05BB"/>
    <w:rsid w:val="003F063D"/>
    <w:rsid w:val="003F071C"/>
    <w:rsid w:val="003F0933"/>
    <w:rsid w:val="003F0BD2"/>
    <w:rsid w:val="003F0D0A"/>
    <w:rsid w:val="003F0D1A"/>
    <w:rsid w:val="003F0D66"/>
    <w:rsid w:val="003F0DF1"/>
    <w:rsid w:val="003F0F93"/>
    <w:rsid w:val="003F0FF9"/>
    <w:rsid w:val="003F10BA"/>
    <w:rsid w:val="003F1267"/>
    <w:rsid w:val="003F137C"/>
    <w:rsid w:val="003F13F6"/>
    <w:rsid w:val="003F14D1"/>
    <w:rsid w:val="003F1594"/>
    <w:rsid w:val="003F15E5"/>
    <w:rsid w:val="003F1605"/>
    <w:rsid w:val="003F1901"/>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C4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3C"/>
    <w:rsid w:val="003F62CC"/>
    <w:rsid w:val="003F631C"/>
    <w:rsid w:val="003F69CA"/>
    <w:rsid w:val="003F6A0B"/>
    <w:rsid w:val="003F6A16"/>
    <w:rsid w:val="003F6A7B"/>
    <w:rsid w:val="003F6B95"/>
    <w:rsid w:val="003F6D90"/>
    <w:rsid w:val="003F6EFA"/>
    <w:rsid w:val="003F7025"/>
    <w:rsid w:val="003F713E"/>
    <w:rsid w:val="003F7177"/>
    <w:rsid w:val="003F71C9"/>
    <w:rsid w:val="003F71E2"/>
    <w:rsid w:val="003F71EA"/>
    <w:rsid w:val="003F71ED"/>
    <w:rsid w:val="003F72AE"/>
    <w:rsid w:val="003F7355"/>
    <w:rsid w:val="003F738A"/>
    <w:rsid w:val="003F75F6"/>
    <w:rsid w:val="003F766C"/>
    <w:rsid w:val="003F76CA"/>
    <w:rsid w:val="003F76F1"/>
    <w:rsid w:val="003F7765"/>
    <w:rsid w:val="003F7888"/>
    <w:rsid w:val="003F79E6"/>
    <w:rsid w:val="003F7B02"/>
    <w:rsid w:val="003F7C76"/>
    <w:rsid w:val="003F7D98"/>
    <w:rsid w:val="003F7FAD"/>
    <w:rsid w:val="0040005F"/>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02"/>
    <w:rsid w:val="0040227D"/>
    <w:rsid w:val="004022B2"/>
    <w:rsid w:val="00402383"/>
    <w:rsid w:val="004023F5"/>
    <w:rsid w:val="0040241B"/>
    <w:rsid w:val="004024EC"/>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C2F"/>
    <w:rsid w:val="00403D76"/>
    <w:rsid w:val="00403F83"/>
    <w:rsid w:val="004040B2"/>
    <w:rsid w:val="004040B5"/>
    <w:rsid w:val="004040BC"/>
    <w:rsid w:val="00404128"/>
    <w:rsid w:val="00404265"/>
    <w:rsid w:val="0040448F"/>
    <w:rsid w:val="00404613"/>
    <w:rsid w:val="00404798"/>
    <w:rsid w:val="00404A17"/>
    <w:rsid w:val="00404B0D"/>
    <w:rsid w:val="00404B33"/>
    <w:rsid w:val="00404CD1"/>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014"/>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28"/>
    <w:rsid w:val="0040743E"/>
    <w:rsid w:val="00407599"/>
    <w:rsid w:val="00407715"/>
    <w:rsid w:val="0040786B"/>
    <w:rsid w:val="0040788C"/>
    <w:rsid w:val="004078E5"/>
    <w:rsid w:val="004079A9"/>
    <w:rsid w:val="00407AAB"/>
    <w:rsid w:val="00407B1B"/>
    <w:rsid w:val="00407B62"/>
    <w:rsid w:val="00407BB2"/>
    <w:rsid w:val="00407BB8"/>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58D"/>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22"/>
    <w:rsid w:val="004135DA"/>
    <w:rsid w:val="00413665"/>
    <w:rsid w:val="004136B0"/>
    <w:rsid w:val="004138F7"/>
    <w:rsid w:val="00413982"/>
    <w:rsid w:val="0041399F"/>
    <w:rsid w:val="00413B9F"/>
    <w:rsid w:val="00413CB3"/>
    <w:rsid w:val="00413DE7"/>
    <w:rsid w:val="00413E8E"/>
    <w:rsid w:val="004140F6"/>
    <w:rsid w:val="00414323"/>
    <w:rsid w:val="004143C4"/>
    <w:rsid w:val="004144D4"/>
    <w:rsid w:val="00414591"/>
    <w:rsid w:val="00414655"/>
    <w:rsid w:val="004146AF"/>
    <w:rsid w:val="0041476B"/>
    <w:rsid w:val="0041478F"/>
    <w:rsid w:val="004147E2"/>
    <w:rsid w:val="0041491F"/>
    <w:rsid w:val="00414ABD"/>
    <w:rsid w:val="00414B4B"/>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2D"/>
    <w:rsid w:val="00415999"/>
    <w:rsid w:val="00415CC8"/>
    <w:rsid w:val="00415DBD"/>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00"/>
    <w:rsid w:val="00416C36"/>
    <w:rsid w:val="00416CB7"/>
    <w:rsid w:val="00416CF1"/>
    <w:rsid w:val="00416D1E"/>
    <w:rsid w:val="00416EED"/>
    <w:rsid w:val="00417006"/>
    <w:rsid w:val="0041702D"/>
    <w:rsid w:val="004171B4"/>
    <w:rsid w:val="004171C2"/>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8A"/>
    <w:rsid w:val="00420BC0"/>
    <w:rsid w:val="00420E5D"/>
    <w:rsid w:val="00420E88"/>
    <w:rsid w:val="00420F11"/>
    <w:rsid w:val="00421087"/>
    <w:rsid w:val="004210BC"/>
    <w:rsid w:val="0042113A"/>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6D0"/>
    <w:rsid w:val="004227A3"/>
    <w:rsid w:val="00422C27"/>
    <w:rsid w:val="00422C34"/>
    <w:rsid w:val="00422EB0"/>
    <w:rsid w:val="00422F16"/>
    <w:rsid w:val="00422FB7"/>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EE"/>
    <w:rsid w:val="00424C3C"/>
    <w:rsid w:val="00424D1A"/>
    <w:rsid w:val="00424DC6"/>
    <w:rsid w:val="00424E71"/>
    <w:rsid w:val="00425009"/>
    <w:rsid w:val="004255FA"/>
    <w:rsid w:val="00425948"/>
    <w:rsid w:val="00425B34"/>
    <w:rsid w:val="00425B7F"/>
    <w:rsid w:val="00425FC4"/>
    <w:rsid w:val="0042608D"/>
    <w:rsid w:val="0042615D"/>
    <w:rsid w:val="00426249"/>
    <w:rsid w:val="00426250"/>
    <w:rsid w:val="004262DE"/>
    <w:rsid w:val="004263AA"/>
    <w:rsid w:val="004264C0"/>
    <w:rsid w:val="00426918"/>
    <w:rsid w:val="00426961"/>
    <w:rsid w:val="00426972"/>
    <w:rsid w:val="00426C04"/>
    <w:rsid w:val="00426D1D"/>
    <w:rsid w:val="00426EBB"/>
    <w:rsid w:val="00426FB6"/>
    <w:rsid w:val="0042705C"/>
    <w:rsid w:val="00427080"/>
    <w:rsid w:val="004273BB"/>
    <w:rsid w:val="004276C9"/>
    <w:rsid w:val="00427A7E"/>
    <w:rsid w:val="00427ADF"/>
    <w:rsid w:val="00427CE8"/>
    <w:rsid w:val="00427F5C"/>
    <w:rsid w:val="00430020"/>
    <w:rsid w:val="0043029D"/>
    <w:rsid w:val="00430328"/>
    <w:rsid w:val="00430652"/>
    <w:rsid w:val="00430905"/>
    <w:rsid w:val="00430AC2"/>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ADD"/>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0E8"/>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39B"/>
    <w:rsid w:val="0043649D"/>
    <w:rsid w:val="00436631"/>
    <w:rsid w:val="00436797"/>
    <w:rsid w:val="004367B5"/>
    <w:rsid w:val="004367E2"/>
    <w:rsid w:val="004369C4"/>
    <w:rsid w:val="00436A99"/>
    <w:rsid w:val="00436ABF"/>
    <w:rsid w:val="00436ACA"/>
    <w:rsid w:val="00436C53"/>
    <w:rsid w:val="00436CF2"/>
    <w:rsid w:val="00436D2E"/>
    <w:rsid w:val="00436FCF"/>
    <w:rsid w:val="00437037"/>
    <w:rsid w:val="00437574"/>
    <w:rsid w:val="00437A66"/>
    <w:rsid w:val="00437AAB"/>
    <w:rsid w:val="00437BDB"/>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08A"/>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D4B"/>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69"/>
    <w:rsid w:val="00445BE6"/>
    <w:rsid w:val="00445C90"/>
    <w:rsid w:val="00445E07"/>
    <w:rsid w:val="00445F95"/>
    <w:rsid w:val="00445FB5"/>
    <w:rsid w:val="00446078"/>
    <w:rsid w:val="00446140"/>
    <w:rsid w:val="00446230"/>
    <w:rsid w:val="00446353"/>
    <w:rsid w:val="004463C3"/>
    <w:rsid w:val="004463DF"/>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7CD"/>
    <w:rsid w:val="00447A8D"/>
    <w:rsid w:val="00447B43"/>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59E"/>
    <w:rsid w:val="00451820"/>
    <w:rsid w:val="0045193F"/>
    <w:rsid w:val="00451A8B"/>
    <w:rsid w:val="00451AAB"/>
    <w:rsid w:val="00451BC9"/>
    <w:rsid w:val="00451C69"/>
    <w:rsid w:val="00451DC1"/>
    <w:rsid w:val="00451EE9"/>
    <w:rsid w:val="00451EED"/>
    <w:rsid w:val="0045207F"/>
    <w:rsid w:val="004520F3"/>
    <w:rsid w:val="0045216F"/>
    <w:rsid w:val="004523BE"/>
    <w:rsid w:val="00452440"/>
    <w:rsid w:val="00452455"/>
    <w:rsid w:val="00452502"/>
    <w:rsid w:val="0045252C"/>
    <w:rsid w:val="00452586"/>
    <w:rsid w:val="00452655"/>
    <w:rsid w:val="004529DE"/>
    <w:rsid w:val="00452A14"/>
    <w:rsid w:val="00452A5C"/>
    <w:rsid w:val="00452AA0"/>
    <w:rsid w:val="00452B0D"/>
    <w:rsid w:val="00452BC6"/>
    <w:rsid w:val="00452DC6"/>
    <w:rsid w:val="00452E90"/>
    <w:rsid w:val="00452FEB"/>
    <w:rsid w:val="0045306D"/>
    <w:rsid w:val="004530DB"/>
    <w:rsid w:val="00453215"/>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0CB"/>
    <w:rsid w:val="00454171"/>
    <w:rsid w:val="0045421A"/>
    <w:rsid w:val="004542ED"/>
    <w:rsid w:val="00454682"/>
    <w:rsid w:val="004546AC"/>
    <w:rsid w:val="004546E0"/>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954"/>
    <w:rsid w:val="00456A6F"/>
    <w:rsid w:val="00456AD3"/>
    <w:rsid w:val="00456AEE"/>
    <w:rsid w:val="00456C36"/>
    <w:rsid w:val="00456CA5"/>
    <w:rsid w:val="00456D5C"/>
    <w:rsid w:val="00456E24"/>
    <w:rsid w:val="00456F5D"/>
    <w:rsid w:val="00457185"/>
    <w:rsid w:val="004572B6"/>
    <w:rsid w:val="004572FC"/>
    <w:rsid w:val="0045738B"/>
    <w:rsid w:val="00457409"/>
    <w:rsid w:val="00457831"/>
    <w:rsid w:val="0045790F"/>
    <w:rsid w:val="00457B69"/>
    <w:rsid w:val="00457C38"/>
    <w:rsid w:val="00457C82"/>
    <w:rsid w:val="00457C93"/>
    <w:rsid w:val="00457CDE"/>
    <w:rsid w:val="00457CE3"/>
    <w:rsid w:val="00457EC1"/>
    <w:rsid w:val="00457EFB"/>
    <w:rsid w:val="00460041"/>
    <w:rsid w:val="00460144"/>
    <w:rsid w:val="00460154"/>
    <w:rsid w:val="004601FA"/>
    <w:rsid w:val="004602AB"/>
    <w:rsid w:val="004602D0"/>
    <w:rsid w:val="004603D8"/>
    <w:rsid w:val="0046053E"/>
    <w:rsid w:val="004605B6"/>
    <w:rsid w:val="00460608"/>
    <w:rsid w:val="004606B3"/>
    <w:rsid w:val="004607B3"/>
    <w:rsid w:val="00460856"/>
    <w:rsid w:val="0046085C"/>
    <w:rsid w:val="004609AE"/>
    <w:rsid w:val="00460BAC"/>
    <w:rsid w:val="00460C38"/>
    <w:rsid w:val="00460C5E"/>
    <w:rsid w:val="00460C61"/>
    <w:rsid w:val="00460EC9"/>
    <w:rsid w:val="00460FE5"/>
    <w:rsid w:val="004610D7"/>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2C86"/>
    <w:rsid w:val="00463157"/>
    <w:rsid w:val="00463169"/>
    <w:rsid w:val="004635AC"/>
    <w:rsid w:val="004635FE"/>
    <w:rsid w:val="0046395D"/>
    <w:rsid w:val="004639AA"/>
    <w:rsid w:val="004639FB"/>
    <w:rsid w:val="00463C40"/>
    <w:rsid w:val="00463D32"/>
    <w:rsid w:val="00463D48"/>
    <w:rsid w:val="00463EBE"/>
    <w:rsid w:val="00463ECA"/>
    <w:rsid w:val="00464042"/>
    <w:rsid w:val="00464128"/>
    <w:rsid w:val="0046413C"/>
    <w:rsid w:val="0046426B"/>
    <w:rsid w:val="00464296"/>
    <w:rsid w:val="004642B5"/>
    <w:rsid w:val="00464455"/>
    <w:rsid w:val="00464514"/>
    <w:rsid w:val="00464623"/>
    <w:rsid w:val="00464778"/>
    <w:rsid w:val="0046478C"/>
    <w:rsid w:val="00464B8D"/>
    <w:rsid w:val="00464BE9"/>
    <w:rsid w:val="00464EE9"/>
    <w:rsid w:val="00464FC4"/>
    <w:rsid w:val="00465104"/>
    <w:rsid w:val="00465228"/>
    <w:rsid w:val="00465445"/>
    <w:rsid w:val="004654C6"/>
    <w:rsid w:val="004654F0"/>
    <w:rsid w:val="00465529"/>
    <w:rsid w:val="00465788"/>
    <w:rsid w:val="004659DC"/>
    <w:rsid w:val="00465B5D"/>
    <w:rsid w:val="00465FD3"/>
    <w:rsid w:val="00465FF8"/>
    <w:rsid w:val="00466174"/>
    <w:rsid w:val="0046620A"/>
    <w:rsid w:val="00466259"/>
    <w:rsid w:val="00466295"/>
    <w:rsid w:val="004664F2"/>
    <w:rsid w:val="004664F9"/>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A0C"/>
    <w:rsid w:val="00467B0B"/>
    <w:rsid w:val="00467C87"/>
    <w:rsid w:val="00467CAA"/>
    <w:rsid w:val="00467E4E"/>
    <w:rsid w:val="00470130"/>
    <w:rsid w:val="004701AF"/>
    <w:rsid w:val="004702B3"/>
    <w:rsid w:val="0047038B"/>
    <w:rsid w:val="00470444"/>
    <w:rsid w:val="00470492"/>
    <w:rsid w:val="0047058E"/>
    <w:rsid w:val="00470632"/>
    <w:rsid w:val="0047086B"/>
    <w:rsid w:val="00470ABC"/>
    <w:rsid w:val="00470B82"/>
    <w:rsid w:val="00470C04"/>
    <w:rsid w:val="00470D60"/>
    <w:rsid w:val="00470E9F"/>
    <w:rsid w:val="00470F4A"/>
    <w:rsid w:val="00470F9C"/>
    <w:rsid w:val="00471069"/>
    <w:rsid w:val="0047121B"/>
    <w:rsid w:val="00471221"/>
    <w:rsid w:val="0047126C"/>
    <w:rsid w:val="004714E7"/>
    <w:rsid w:val="0047150B"/>
    <w:rsid w:val="0047155C"/>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45D"/>
    <w:rsid w:val="0047245F"/>
    <w:rsid w:val="0047247A"/>
    <w:rsid w:val="004725AE"/>
    <w:rsid w:val="00472611"/>
    <w:rsid w:val="0047278D"/>
    <w:rsid w:val="00472905"/>
    <w:rsid w:val="00472A9E"/>
    <w:rsid w:val="00472BF0"/>
    <w:rsid w:val="00472C25"/>
    <w:rsid w:val="00472D1F"/>
    <w:rsid w:val="00472F44"/>
    <w:rsid w:val="004730E5"/>
    <w:rsid w:val="00473232"/>
    <w:rsid w:val="00473298"/>
    <w:rsid w:val="00473326"/>
    <w:rsid w:val="004733CD"/>
    <w:rsid w:val="004735E4"/>
    <w:rsid w:val="004735F0"/>
    <w:rsid w:val="00473821"/>
    <w:rsid w:val="00473A0F"/>
    <w:rsid w:val="00473A11"/>
    <w:rsid w:val="00473B33"/>
    <w:rsid w:val="00473CE2"/>
    <w:rsid w:val="00473D20"/>
    <w:rsid w:val="00473E4D"/>
    <w:rsid w:val="00473EA7"/>
    <w:rsid w:val="0047410C"/>
    <w:rsid w:val="0047427B"/>
    <w:rsid w:val="0047441A"/>
    <w:rsid w:val="00474472"/>
    <w:rsid w:val="004745B5"/>
    <w:rsid w:val="004745BD"/>
    <w:rsid w:val="004745C6"/>
    <w:rsid w:val="00474705"/>
    <w:rsid w:val="00474709"/>
    <w:rsid w:val="004749EE"/>
    <w:rsid w:val="004749FB"/>
    <w:rsid w:val="00474A2A"/>
    <w:rsid w:val="00474A4E"/>
    <w:rsid w:val="00474C2E"/>
    <w:rsid w:val="00474FA8"/>
    <w:rsid w:val="004750C8"/>
    <w:rsid w:val="004752C8"/>
    <w:rsid w:val="004753A3"/>
    <w:rsid w:val="004755B2"/>
    <w:rsid w:val="0047561B"/>
    <w:rsid w:val="00475B7F"/>
    <w:rsid w:val="00475BBD"/>
    <w:rsid w:val="00475BD0"/>
    <w:rsid w:val="00475BFE"/>
    <w:rsid w:val="00475D7B"/>
    <w:rsid w:val="00475DE5"/>
    <w:rsid w:val="00475EBE"/>
    <w:rsid w:val="00475F02"/>
    <w:rsid w:val="00475F85"/>
    <w:rsid w:val="00476109"/>
    <w:rsid w:val="0047612E"/>
    <w:rsid w:val="004763EB"/>
    <w:rsid w:val="00476410"/>
    <w:rsid w:val="004766E8"/>
    <w:rsid w:val="00476779"/>
    <w:rsid w:val="00476840"/>
    <w:rsid w:val="0047685D"/>
    <w:rsid w:val="004768A5"/>
    <w:rsid w:val="00476966"/>
    <w:rsid w:val="00476AA0"/>
    <w:rsid w:val="00476CBE"/>
    <w:rsid w:val="00476DDF"/>
    <w:rsid w:val="00476E8C"/>
    <w:rsid w:val="00476F40"/>
    <w:rsid w:val="00476FB0"/>
    <w:rsid w:val="00477039"/>
    <w:rsid w:val="00477107"/>
    <w:rsid w:val="004773C4"/>
    <w:rsid w:val="004774E9"/>
    <w:rsid w:val="004774F7"/>
    <w:rsid w:val="004776F4"/>
    <w:rsid w:val="00477779"/>
    <w:rsid w:val="00477B08"/>
    <w:rsid w:val="00477C3B"/>
    <w:rsid w:val="00477E43"/>
    <w:rsid w:val="00477ED2"/>
    <w:rsid w:val="00477FFE"/>
    <w:rsid w:val="004800DB"/>
    <w:rsid w:val="00480111"/>
    <w:rsid w:val="0048012D"/>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1E"/>
    <w:rsid w:val="004826E5"/>
    <w:rsid w:val="004826EA"/>
    <w:rsid w:val="004827D3"/>
    <w:rsid w:val="004828E0"/>
    <w:rsid w:val="004829DA"/>
    <w:rsid w:val="00482A8C"/>
    <w:rsid w:val="00482AAB"/>
    <w:rsid w:val="00482AEB"/>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0E"/>
    <w:rsid w:val="0048494B"/>
    <w:rsid w:val="00484989"/>
    <w:rsid w:val="00484B2B"/>
    <w:rsid w:val="00484E6F"/>
    <w:rsid w:val="00484E86"/>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911"/>
    <w:rsid w:val="00487AFE"/>
    <w:rsid w:val="00487B23"/>
    <w:rsid w:val="00487CFB"/>
    <w:rsid w:val="00487D38"/>
    <w:rsid w:val="00490254"/>
    <w:rsid w:val="004902B0"/>
    <w:rsid w:val="00490515"/>
    <w:rsid w:val="004905DD"/>
    <w:rsid w:val="00490604"/>
    <w:rsid w:val="0049089A"/>
    <w:rsid w:val="004908E9"/>
    <w:rsid w:val="0049092E"/>
    <w:rsid w:val="004909A3"/>
    <w:rsid w:val="004909CE"/>
    <w:rsid w:val="004909EA"/>
    <w:rsid w:val="00490A8C"/>
    <w:rsid w:val="00490CD2"/>
    <w:rsid w:val="00490DD3"/>
    <w:rsid w:val="00490DF4"/>
    <w:rsid w:val="0049113A"/>
    <w:rsid w:val="00491223"/>
    <w:rsid w:val="00491510"/>
    <w:rsid w:val="00491561"/>
    <w:rsid w:val="0049161B"/>
    <w:rsid w:val="00491673"/>
    <w:rsid w:val="004916D6"/>
    <w:rsid w:val="004916F4"/>
    <w:rsid w:val="00491A76"/>
    <w:rsid w:val="00491B00"/>
    <w:rsid w:val="00491E4F"/>
    <w:rsid w:val="00491F78"/>
    <w:rsid w:val="004922DB"/>
    <w:rsid w:val="0049250C"/>
    <w:rsid w:val="004925AD"/>
    <w:rsid w:val="0049288C"/>
    <w:rsid w:val="00492B2C"/>
    <w:rsid w:val="00493100"/>
    <w:rsid w:val="00493108"/>
    <w:rsid w:val="0049397B"/>
    <w:rsid w:val="00493AA2"/>
    <w:rsid w:val="00493AD4"/>
    <w:rsid w:val="00493C94"/>
    <w:rsid w:val="00493F06"/>
    <w:rsid w:val="00493F09"/>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8F6"/>
    <w:rsid w:val="00495B0F"/>
    <w:rsid w:val="00495BC0"/>
    <w:rsid w:val="00495C6D"/>
    <w:rsid w:val="00495E37"/>
    <w:rsid w:val="00495EF8"/>
    <w:rsid w:val="00495F40"/>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66"/>
    <w:rsid w:val="004A009C"/>
    <w:rsid w:val="004A00DF"/>
    <w:rsid w:val="004A0437"/>
    <w:rsid w:val="004A059A"/>
    <w:rsid w:val="004A06A4"/>
    <w:rsid w:val="004A0776"/>
    <w:rsid w:val="004A07A6"/>
    <w:rsid w:val="004A0838"/>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1FC3"/>
    <w:rsid w:val="004A21D9"/>
    <w:rsid w:val="004A21FA"/>
    <w:rsid w:val="004A21FC"/>
    <w:rsid w:val="004A220A"/>
    <w:rsid w:val="004A2504"/>
    <w:rsid w:val="004A2583"/>
    <w:rsid w:val="004A2698"/>
    <w:rsid w:val="004A26DC"/>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755"/>
    <w:rsid w:val="004A47CA"/>
    <w:rsid w:val="004A4851"/>
    <w:rsid w:val="004A48E4"/>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7FD"/>
    <w:rsid w:val="004A59D4"/>
    <w:rsid w:val="004A5A7B"/>
    <w:rsid w:val="004A5B56"/>
    <w:rsid w:val="004A5BE1"/>
    <w:rsid w:val="004A5C2A"/>
    <w:rsid w:val="004A5E7E"/>
    <w:rsid w:val="004A5EA3"/>
    <w:rsid w:val="004A6067"/>
    <w:rsid w:val="004A6089"/>
    <w:rsid w:val="004A6154"/>
    <w:rsid w:val="004A61AE"/>
    <w:rsid w:val="004A62FB"/>
    <w:rsid w:val="004A646C"/>
    <w:rsid w:val="004A6534"/>
    <w:rsid w:val="004A65A0"/>
    <w:rsid w:val="004A6675"/>
    <w:rsid w:val="004A6697"/>
    <w:rsid w:val="004A66AC"/>
    <w:rsid w:val="004A67AC"/>
    <w:rsid w:val="004A67F1"/>
    <w:rsid w:val="004A6866"/>
    <w:rsid w:val="004A69CC"/>
    <w:rsid w:val="004A6A06"/>
    <w:rsid w:val="004A6A16"/>
    <w:rsid w:val="004A6B43"/>
    <w:rsid w:val="004A6B6C"/>
    <w:rsid w:val="004A6E8B"/>
    <w:rsid w:val="004A6ECA"/>
    <w:rsid w:val="004A6FB1"/>
    <w:rsid w:val="004A7103"/>
    <w:rsid w:val="004A7139"/>
    <w:rsid w:val="004A71A5"/>
    <w:rsid w:val="004A744B"/>
    <w:rsid w:val="004A7549"/>
    <w:rsid w:val="004A75D3"/>
    <w:rsid w:val="004A76C8"/>
    <w:rsid w:val="004A7712"/>
    <w:rsid w:val="004A77F9"/>
    <w:rsid w:val="004A78AE"/>
    <w:rsid w:val="004A7B0D"/>
    <w:rsid w:val="004A7B90"/>
    <w:rsid w:val="004A7BCB"/>
    <w:rsid w:val="004A7BD9"/>
    <w:rsid w:val="004A7C55"/>
    <w:rsid w:val="004A7D26"/>
    <w:rsid w:val="004A7E9E"/>
    <w:rsid w:val="004A7FFC"/>
    <w:rsid w:val="004B029B"/>
    <w:rsid w:val="004B07B1"/>
    <w:rsid w:val="004B0AAF"/>
    <w:rsid w:val="004B0BD4"/>
    <w:rsid w:val="004B0C55"/>
    <w:rsid w:val="004B0C81"/>
    <w:rsid w:val="004B0DC9"/>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A98"/>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7D"/>
    <w:rsid w:val="004B2992"/>
    <w:rsid w:val="004B29BA"/>
    <w:rsid w:val="004B29DD"/>
    <w:rsid w:val="004B2AA7"/>
    <w:rsid w:val="004B2FC2"/>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BA"/>
    <w:rsid w:val="004B39F6"/>
    <w:rsid w:val="004B3A5A"/>
    <w:rsid w:val="004B3CB1"/>
    <w:rsid w:val="004B3F89"/>
    <w:rsid w:val="004B4005"/>
    <w:rsid w:val="004B44F2"/>
    <w:rsid w:val="004B450D"/>
    <w:rsid w:val="004B4592"/>
    <w:rsid w:val="004B4636"/>
    <w:rsid w:val="004B4750"/>
    <w:rsid w:val="004B480F"/>
    <w:rsid w:val="004B4994"/>
    <w:rsid w:val="004B4AED"/>
    <w:rsid w:val="004B4CD3"/>
    <w:rsid w:val="004B4D22"/>
    <w:rsid w:val="004B4DB8"/>
    <w:rsid w:val="004B506F"/>
    <w:rsid w:val="004B50BA"/>
    <w:rsid w:val="004B5177"/>
    <w:rsid w:val="004B52CA"/>
    <w:rsid w:val="004B52DD"/>
    <w:rsid w:val="004B53DD"/>
    <w:rsid w:val="004B5496"/>
    <w:rsid w:val="004B5528"/>
    <w:rsid w:val="004B55C8"/>
    <w:rsid w:val="004B56C9"/>
    <w:rsid w:val="004B5700"/>
    <w:rsid w:val="004B58C7"/>
    <w:rsid w:val="004B5A6A"/>
    <w:rsid w:val="004B5C2A"/>
    <w:rsid w:val="004B5C9B"/>
    <w:rsid w:val="004B5D89"/>
    <w:rsid w:val="004B5F42"/>
    <w:rsid w:val="004B5F82"/>
    <w:rsid w:val="004B5F95"/>
    <w:rsid w:val="004B60CB"/>
    <w:rsid w:val="004B6154"/>
    <w:rsid w:val="004B6190"/>
    <w:rsid w:val="004B619F"/>
    <w:rsid w:val="004B61CB"/>
    <w:rsid w:val="004B61D0"/>
    <w:rsid w:val="004B6334"/>
    <w:rsid w:val="004B657E"/>
    <w:rsid w:val="004B667C"/>
    <w:rsid w:val="004B67FE"/>
    <w:rsid w:val="004B6822"/>
    <w:rsid w:val="004B6951"/>
    <w:rsid w:val="004B69EF"/>
    <w:rsid w:val="004B6AB5"/>
    <w:rsid w:val="004B6D47"/>
    <w:rsid w:val="004B6F25"/>
    <w:rsid w:val="004B6FFE"/>
    <w:rsid w:val="004B7052"/>
    <w:rsid w:val="004B7126"/>
    <w:rsid w:val="004B7261"/>
    <w:rsid w:val="004B7288"/>
    <w:rsid w:val="004B731D"/>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0FB0"/>
    <w:rsid w:val="004C1128"/>
    <w:rsid w:val="004C11A7"/>
    <w:rsid w:val="004C11B9"/>
    <w:rsid w:val="004C141A"/>
    <w:rsid w:val="004C14D7"/>
    <w:rsid w:val="004C1682"/>
    <w:rsid w:val="004C178F"/>
    <w:rsid w:val="004C184E"/>
    <w:rsid w:val="004C1855"/>
    <w:rsid w:val="004C18DE"/>
    <w:rsid w:val="004C1919"/>
    <w:rsid w:val="004C19D3"/>
    <w:rsid w:val="004C1AE4"/>
    <w:rsid w:val="004C1B88"/>
    <w:rsid w:val="004C1C7C"/>
    <w:rsid w:val="004C1CB5"/>
    <w:rsid w:val="004C1D47"/>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C53"/>
    <w:rsid w:val="004C3DDE"/>
    <w:rsid w:val="004C3F1C"/>
    <w:rsid w:val="004C4070"/>
    <w:rsid w:val="004C40F6"/>
    <w:rsid w:val="004C430B"/>
    <w:rsid w:val="004C4354"/>
    <w:rsid w:val="004C4528"/>
    <w:rsid w:val="004C49D4"/>
    <w:rsid w:val="004C4A49"/>
    <w:rsid w:val="004C4AC9"/>
    <w:rsid w:val="004C4B73"/>
    <w:rsid w:val="004C4B96"/>
    <w:rsid w:val="004C4D91"/>
    <w:rsid w:val="004C4E92"/>
    <w:rsid w:val="004C4EB6"/>
    <w:rsid w:val="004C4FDF"/>
    <w:rsid w:val="004C5067"/>
    <w:rsid w:val="004C50DE"/>
    <w:rsid w:val="004C53CE"/>
    <w:rsid w:val="004C53F5"/>
    <w:rsid w:val="004C56BA"/>
    <w:rsid w:val="004C573B"/>
    <w:rsid w:val="004C5855"/>
    <w:rsid w:val="004C5936"/>
    <w:rsid w:val="004C5A9B"/>
    <w:rsid w:val="004C5B05"/>
    <w:rsid w:val="004C5B89"/>
    <w:rsid w:val="004C5C4B"/>
    <w:rsid w:val="004C5C94"/>
    <w:rsid w:val="004C5D7D"/>
    <w:rsid w:val="004C5EFD"/>
    <w:rsid w:val="004C605C"/>
    <w:rsid w:val="004C61E5"/>
    <w:rsid w:val="004C625A"/>
    <w:rsid w:val="004C62AD"/>
    <w:rsid w:val="004C6357"/>
    <w:rsid w:val="004C63A4"/>
    <w:rsid w:val="004C63BE"/>
    <w:rsid w:val="004C645C"/>
    <w:rsid w:val="004C65E8"/>
    <w:rsid w:val="004C660D"/>
    <w:rsid w:val="004C66BB"/>
    <w:rsid w:val="004C6743"/>
    <w:rsid w:val="004C6801"/>
    <w:rsid w:val="004C6986"/>
    <w:rsid w:val="004C6BEB"/>
    <w:rsid w:val="004C6D15"/>
    <w:rsid w:val="004C6D6D"/>
    <w:rsid w:val="004C6DEB"/>
    <w:rsid w:val="004C6EA2"/>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735"/>
    <w:rsid w:val="004D07CB"/>
    <w:rsid w:val="004D0908"/>
    <w:rsid w:val="004D09AA"/>
    <w:rsid w:val="004D0A5E"/>
    <w:rsid w:val="004D0CDC"/>
    <w:rsid w:val="004D0E29"/>
    <w:rsid w:val="004D0EB5"/>
    <w:rsid w:val="004D0EBB"/>
    <w:rsid w:val="004D0EC6"/>
    <w:rsid w:val="004D0F7C"/>
    <w:rsid w:val="004D1002"/>
    <w:rsid w:val="004D10A5"/>
    <w:rsid w:val="004D116A"/>
    <w:rsid w:val="004D1290"/>
    <w:rsid w:val="004D12FF"/>
    <w:rsid w:val="004D13B7"/>
    <w:rsid w:val="004D194E"/>
    <w:rsid w:val="004D1A35"/>
    <w:rsid w:val="004D1C5A"/>
    <w:rsid w:val="004D1CC7"/>
    <w:rsid w:val="004D1DBC"/>
    <w:rsid w:val="004D1F2E"/>
    <w:rsid w:val="004D2224"/>
    <w:rsid w:val="004D2492"/>
    <w:rsid w:val="004D2596"/>
    <w:rsid w:val="004D26AB"/>
    <w:rsid w:val="004D26F1"/>
    <w:rsid w:val="004D2893"/>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03"/>
    <w:rsid w:val="004D3F34"/>
    <w:rsid w:val="004D40BF"/>
    <w:rsid w:val="004D41A2"/>
    <w:rsid w:val="004D426A"/>
    <w:rsid w:val="004D430F"/>
    <w:rsid w:val="004D434D"/>
    <w:rsid w:val="004D4354"/>
    <w:rsid w:val="004D4508"/>
    <w:rsid w:val="004D4530"/>
    <w:rsid w:val="004D45B1"/>
    <w:rsid w:val="004D45F5"/>
    <w:rsid w:val="004D462D"/>
    <w:rsid w:val="004D4650"/>
    <w:rsid w:val="004D46BA"/>
    <w:rsid w:val="004D49E0"/>
    <w:rsid w:val="004D4B31"/>
    <w:rsid w:val="004D4BD1"/>
    <w:rsid w:val="004D4CB1"/>
    <w:rsid w:val="004D506E"/>
    <w:rsid w:val="004D5109"/>
    <w:rsid w:val="004D5127"/>
    <w:rsid w:val="004D518D"/>
    <w:rsid w:val="004D51B8"/>
    <w:rsid w:val="004D528B"/>
    <w:rsid w:val="004D52A3"/>
    <w:rsid w:val="004D539F"/>
    <w:rsid w:val="004D549A"/>
    <w:rsid w:val="004D54F7"/>
    <w:rsid w:val="004D5662"/>
    <w:rsid w:val="004D570B"/>
    <w:rsid w:val="004D58DE"/>
    <w:rsid w:val="004D590C"/>
    <w:rsid w:val="004D5979"/>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33"/>
    <w:rsid w:val="004E017C"/>
    <w:rsid w:val="004E01AE"/>
    <w:rsid w:val="004E01CE"/>
    <w:rsid w:val="004E0440"/>
    <w:rsid w:val="004E0619"/>
    <w:rsid w:val="004E0698"/>
    <w:rsid w:val="004E06FC"/>
    <w:rsid w:val="004E07A6"/>
    <w:rsid w:val="004E08FC"/>
    <w:rsid w:val="004E0AF7"/>
    <w:rsid w:val="004E0C24"/>
    <w:rsid w:val="004E0D33"/>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B8F"/>
    <w:rsid w:val="004E1D95"/>
    <w:rsid w:val="004E1DB0"/>
    <w:rsid w:val="004E1E5F"/>
    <w:rsid w:val="004E1EB1"/>
    <w:rsid w:val="004E1F43"/>
    <w:rsid w:val="004E1F73"/>
    <w:rsid w:val="004E1FBF"/>
    <w:rsid w:val="004E20C0"/>
    <w:rsid w:val="004E221A"/>
    <w:rsid w:val="004E23B9"/>
    <w:rsid w:val="004E23D5"/>
    <w:rsid w:val="004E242C"/>
    <w:rsid w:val="004E2733"/>
    <w:rsid w:val="004E278D"/>
    <w:rsid w:val="004E27F1"/>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052"/>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BC8"/>
    <w:rsid w:val="004E6E4A"/>
    <w:rsid w:val="004E6F59"/>
    <w:rsid w:val="004E7095"/>
    <w:rsid w:val="004E7131"/>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FA"/>
    <w:rsid w:val="004F22D8"/>
    <w:rsid w:val="004F233E"/>
    <w:rsid w:val="004F235F"/>
    <w:rsid w:val="004F2444"/>
    <w:rsid w:val="004F24CF"/>
    <w:rsid w:val="004F250D"/>
    <w:rsid w:val="004F252C"/>
    <w:rsid w:val="004F2960"/>
    <w:rsid w:val="004F2A0F"/>
    <w:rsid w:val="004F2BE5"/>
    <w:rsid w:val="004F2C1A"/>
    <w:rsid w:val="004F2C42"/>
    <w:rsid w:val="004F2D2D"/>
    <w:rsid w:val="004F2E66"/>
    <w:rsid w:val="004F2EBB"/>
    <w:rsid w:val="004F2F46"/>
    <w:rsid w:val="004F30AC"/>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8C7"/>
    <w:rsid w:val="004F5B7C"/>
    <w:rsid w:val="004F5C1F"/>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AD7"/>
    <w:rsid w:val="004F7B5B"/>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4DA"/>
    <w:rsid w:val="00502700"/>
    <w:rsid w:val="00502960"/>
    <w:rsid w:val="00502A4A"/>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643"/>
    <w:rsid w:val="00504705"/>
    <w:rsid w:val="00504891"/>
    <w:rsid w:val="005048AA"/>
    <w:rsid w:val="00504979"/>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474"/>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7D"/>
    <w:rsid w:val="005076C0"/>
    <w:rsid w:val="005077D7"/>
    <w:rsid w:val="00507A5D"/>
    <w:rsid w:val="00507ADD"/>
    <w:rsid w:val="00507B1C"/>
    <w:rsid w:val="00507C0F"/>
    <w:rsid w:val="00507CE0"/>
    <w:rsid w:val="00507F28"/>
    <w:rsid w:val="00507F2D"/>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3C1"/>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1F53"/>
    <w:rsid w:val="00512153"/>
    <w:rsid w:val="0051228D"/>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4EB"/>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398"/>
    <w:rsid w:val="005165F3"/>
    <w:rsid w:val="005166D1"/>
    <w:rsid w:val="005166D6"/>
    <w:rsid w:val="00516822"/>
    <w:rsid w:val="00516846"/>
    <w:rsid w:val="005168FF"/>
    <w:rsid w:val="005169DB"/>
    <w:rsid w:val="00516A39"/>
    <w:rsid w:val="00516BA0"/>
    <w:rsid w:val="00516C44"/>
    <w:rsid w:val="00516C83"/>
    <w:rsid w:val="00516D06"/>
    <w:rsid w:val="00516D48"/>
    <w:rsid w:val="00516E95"/>
    <w:rsid w:val="00516ED0"/>
    <w:rsid w:val="00516FF1"/>
    <w:rsid w:val="00517122"/>
    <w:rsid w:val="0051716E"/>
    <w:rsid w:val="00517208"/>
    <w:rsid w:val="00517357"/>
    <w:rsid w:val="00517586"/>
    <w:rsid w:val="005175C3"/>
    <w:rsid w:val="0051763E"/>
    <w:rsid w:val="0051777C"/>
    <w:rsid w:val="00517914"/>
    <w:rsid w:val="00517A0A"/>
    <w:rsid w:val="00517A45"/>
    <w:rsid w:val="00517C86"/>
    <w:rsid w:val="00517D2C"/>
    <w:rsid w:val="00517EBB"/>
    <w:rsid w:val="0052003B"/>
    <w:rsid w:val="00520400"/>
    <w:rsid w:val="00520441"/>
    <w:rsid w:val="0052044B"/>
    <w:rsid w:val="0052075F"/>
    <w:rsid w:val="00520767"/>
    <w:rsid w:val="005208E8"/>
    <w:rsid w:val="005209D6"/>
    <w:rsid w:val="005209F1"/>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26B"/>
    <w:rsid w:val="00522452"/>
    <w:rsid w:val="00522491"/>
    <w:rsid w:val="005226C3"/>
    <w:rsid w:val="00522769"/>
    <w:rsid w:val="0052278A"/>
    <w:rsid w:val="005228AC"/>
    <w:rsid w:val="0052296F"/>
    <w:rsid w:val="0052299F"/>
    <w:rsid w:val="00522A6A"/>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C6F"/>
    <w:rsid w:val="00525C98"/>
    <w:rsid w:val="00525D1C"/>
    <w:rsid w:val="00525EA4"/>
    <w:rsid w:val="00525F95"/>
    <w:rsid w:val="00526337"/>
    <w:rsid w:val="00526677"/>
    <w:rsid w:val="00526772"/>
    <w:rsid w:val="005267E8"/>
    <w:rsid w:val="00526813"/>
    <w:rsid w:val="00526818"/>
    <w:rsid w:val="0052685F"/>
    <w:rsid w:val="0052692A"/>
    <w:rsid w:val="0052699C"/>
    <w:rsid w:val="005269E3"/>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366"/>
    <w:rsid w:val="00530482"/>
    <w:rsid w:val="005304AF"/>
    <w:rsid w:val="005304D7"/>
    <w:rsid w:val="00530502"/>
    <w:rsid w:val="005305DF"/>
    <w:rsid w:val="005307C9"/>
    <w:rsid w:val="005309E0"/>
    <w:rsid w:val="00530A00"/>
    <w:rsid w:val="00530B31"/>
    <w:rsid w:val="00530C36"/>
    <w:rsid w:val="00530E7D"/>
    <w:rsid w:val="00530E9F"/>
    <w:rsid w:val="0053137F"/>
    <w:rsid w:val="00531754"/>
    <w:rsid w:val="0053189B"/>
    <w:rsid w:val="005319EE"/>
    <w:rsid w:val="00531A1F"/>
    <w:rsid w:val="00531A5A"/>
    <w:rsid w:val="00531AE7"/>
    <w:rsid w:val="00531C10"/>
    <w:rsid w:val="00531CFE"/>
    <w:rsid w:val="00531F5D"/>
    <w:rsid w:val="0053225C"/>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09E"/>
    <w:rsid w:val="00535207"/>
    <w:rsid w:val="00535298"/>
    <w:rsid w:val="005353C4"/>
    <w:rsid w:val="005353F2"/>
    <w:rsid w:val="0053544F"/>
    <w:rsid w:val="005355DE"/>
    <w:rsid w:val="00535740"/>
    <w:rsid w:val="00535745"/>
    <w:rsid w:val="005358BE"/>
    <w:rsid w:val="005358E2"/>
    <w:rsid w:val="00535A4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170"/>
    <w:rsid w:val="00537297"/>
    <w:rsid w:val="0053746E"/>
    <w:rsid w:val="00537487"/>
    <w:rsid w:val="005374CE"/>
    <w:rsid w:val="005374E2"/>
    <w:rsid w:val="005376B3"/>
    <w:rsid w:val="00537771"/>
    <w:rsid w:val="00537886"/>
    <w:rsid w:val="005378E8"/>
    <w:rsid w:val="00537977"/>
    <w:rsid w:val="005379AF"/>
    <w:rsid w:val="005379B6"/>
    <w:rsid w:val="00537BBB"/>
    <w:rsid w:val="00537C37"/>
    <w:rsid w:val="00537C3E"/>
    <w:rsid w:val="00537D15"/>
    <w:rsid w:val="00537D28"/>
    <w:rsid w:val="00537DA0"/>
    <w:rsid w:val="00537DB3"/>
    <w:rsid w:val="00537F0D"/>
    <w:rsid w:val="00537FA1"/>
    <w:rsid w:val="0054015A"/>
    <w:rsid w:val="00540197"/>
    <w:rsid w:val="005401EB"/>
    <w:rsid w:val="00540287"/>
    <w:rsid w:val="0054030D"/>
    <w:rsid w:val="005403C7"/>
    <w:rsid w:val="00540461"/>
    <w:rsid w:val="00540639"/>
    <w:rsid w:val="0054067E"/>
    <w:rsid w:val="0054070E"/>
    <w:rsid w:val="0054074F"/>
    <w:rsid w:val="005409ED"/>
    <w:rsid w:val="00540A1F"/>
    <w:rsid w:val="00540BCF"/>
    <w:rsid w:val="00540E28"/>
    <w:rsid w:val="00540E42"/>
    <w:rsid w:val="00540E81"/>
    <w:rsid w:val="00540FE0"/>
    <w:rsid w:val="005410AF"/>
    <w:rsid w:val="00541209"/>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20B"/>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11A"/>
    <w:rsid w:val="005442CB"/>
    <w:rsid w:val="0054430B"/>
    <w:rsid w:val="005445C2"/>
    <w:rsid w:val="00544755"/>
    <w:rsid w:val="00544798"/>
    <w:rsid w:val="0054483F"/>
    <w:rsid w:val="005449FB"/>
    <w:rsid w:val="00544A85"/>
    <w:rsid w:val="00544BB7"/>
    <w:rsid w:val="00544BE4"/>
    <w:rsid w:val="00544C57"/>
    <w:rsid w:val="00544DF5"/>
    <w:rsid w:val="00544EE2"/>
    <w:rsid w:val="00545115"/>
    <w:rsid w:val="00545145"/>
    <w:rsid w:val="005451E8"/>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D6D"/>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6"/>
    <w:rsid w:val="0055106A"/>
    <w:rsid w:val="00551131"/>
    <w:rsid w:val="00551171"/>
    <w:rsid w:val="00551184"/>
    <w:rsid w:val="00551251"/>
    <w:rsid w:val="005512CB"/>
    <w:rsid w:val="005513B1"/>
    <w:rsid w:val="005513F9"/>
    <w:rsid w:val="00551429"/>
    <w:rsid w:val="005514BD"/>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3"/>
    <w:rsid w:val="0055319B"/>
    <w:rsid w:val="005531B7"/>
    <w:rsid w:val="005532B2"/>
    <w:rsid w:val="00553321"/>
    <w:rsid w:val="00553363"/>
    <w:rsid w:val="005534B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3A6"/>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54D"/>
    <w:rsid w:val="00555672"/>
    <w:rsid w:val="00555725"/>
    <w:rsid w:val="00555920"/>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5C1"/>
    <w:rsid w:val="005619A6"/>
    <w:rsid w:val="005619B4"/>
    <w:rsid w:val="00561A63"/>
    <w:rsid w:val="00561BF1"/>
    <w:rsid w:val="00561D65"/>
    <w:rsid w:val="00561DB8"/>
    <w:rsid w:val="005620BC"/>
    <w:rsid w:val="0056224E"/>
    <w:rsid w:val="0056273B"/>
    <w:rsid w:val="00562A5F"/>
    <w:rsid w:val="00562CF6"/>
    <w:rsid w:val="00562D0A"/>
    <w:rsid w:val="00562E49"/>
    <w:rsid w:val="00562EA9"/>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185"/>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921"/>
    <w:rsid w:val="00566C37"/>
    <w:rsid w:val="00566C71"/>
    <w:rsid w:val="00566C7B"/>
    <w:rsid w:val="00566CAE"/>
    <w:rsid w:val="00566DD8"/>
    <w:rsid w:val="00566E1D"/>
    <w:rsid w:val="00566E44"/>
    <w:rsid w:val="00566F57"/>
    <w:rsid w:val="00567066"/>
    <w:rsid w:val="005670DB"/>
    <w:rsid w:val="00567272"/>
    <w:rsid w:val="005673EE"/>
    <w:rsid w:val="00567478"/>
    <w:rsid w:val="005674EF"/>
    <w:rsid w:val="005675CF"/>
    <w:rsid w:val="00567643"/>
    <w:rsid w:val="00567670"/>
    <w:rsid w:val="00567786"/>
    <w:rsid w:val="005677A4"/>
    <w:rsid w:val="00567814"/>
    <w:rsid w:val="00567924"/>
    <w:rsid w:val="005679C6"/>
    <w:rsid w:val="00567A9C"/>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C0D"/>
    <w:rsid w:val="00570D7B"/>
    <w:rsid w:val="00570DEA"/>
    <w:rsid w:val="00570E07"/>
    <w:rsid w:val="00570F91"/>
    <w:rsid w:val="00571016"/>
    <w:rsid w:val="005711C3"/>
    <w:rsid w:val="005712CA"/>
    <w:rsid w:val="00571352"/>
    <w:rsid w:val="00571467"/>
    <w:rsid w:val="0057152F"/>
    <w:rsid w:val="00571560"/>
    <w:rsid w:val="005716B0"/>
    <w:rsid w:val="0057184F"/>
    <w:rsid w:val="00571856"/>
    <w:rsid w:val="0057196B"/>
    <w:rsid w:val="00571A4C"/>
    <w:rsid w:val="00571C08"/>
    <w:rsid w:val="00571DA4"/>
    <w:rsid w:val="00571DD5"/>
    <w:rsid w:val="00571FC7"/>
    <w:rsid w:val="00571FF8"/>
    <w:rsid w:val="00572066"/>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D47"/>
    <w:rsid w:val="00574EC9"/>
    <w:rsid w:val="00574EE2"/>
    <w:rsid w:val="00574F03"/>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6BCF"/>
    <w:rsid w:val="00576BD5"/>
    <w:rsid w:val="0057705D"/>
    <w:rsid w:val="00577105"/>
    <w:rsid w:val="00577206"/>
    <w:rsid w:val="00577241"/>
    <w:rsid w:val="0057730E"/>
    <w:rsid w:val="00577340"/>
    <w:rsid w:val="005774E3"/>
    <w:rsid w:val="00577525"/>
    <w:rsid w:val="005776BD"/>
    <w:rsid w:val="005777BA"/>
    <w:rsid w:val="0057792C"/>
    <w:rsid w:val="00577AD8"/>
    <w:rsid w:val="00577B99"/>
    <w:rsid w:val="00577D5E"/>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C"/>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8EC"/>
    <w:rsid w:val="005839CC"/>
    <w:rsid w:val="00583CC6"/>
    <w:rsid w:val="00583CE5"/>
    <w:rsid w:val="00583D19"/>
    <w:rsid w:val="00583DFC"/>
    <w:rsid w:val="00583E67"/>
    <w:rsid w:val="00584251"/>
    <w:rsid w:val="005843F5"/>
    <w:rsid w:val="00584414"/>
    <w:rsid w:val="00584460"/>
    <w:rsid w:val="005844B2"/>
    <w:rsid w:val="005848C4"/>
    <w:rsid w:val="00584C35"/>
    <w:rsid w:val="00584D54"/>
    <w:rsid w:val="00584D84"/>
    <w:rsid w:val="00584F22"/>
    <w:rsid w:val="00584F31"/>
    <w:rsid w:val="005850A1"/>
    <w:rsid w:val="005851FE"/>
    <w:rsid w:val="00585201"/>
    <w:rsid w:val="0058538E"/>
    <w:rsid w:val="00585631"/>
    <w:rsid w:val="00585645"/>
    <w:rsid w:val="00585713"/>
    <w:rsid w:val="00585727"/>
    <w:rsid w:val="0058572A"/>
    <w:rsid w:val="005857D7"/>
    <w:rsid w:val="00585812"/>
    <w:rsid w:val="0058583E"/>
    <w:rsid w:val="00585894"/>
    <w:rsid w:val="00585BD9"/>
    <w:rsid w:val="00585C38"/>
    <w:rsid w:val="00585C87"/>
    <w:rsid w:val="00585CE8"/>
    <w:rsid w:val="00585D58"/>
    <w:rsid w:val="00585F88"/>
    <w:rsid w:val="00585FB1"/>
    <w:rsid w:val="00586005"/>
    <w:rsid w:val="00586214"/>
    <w:rsid w:val="00586391"/>
    <w:rsid w:val="00586402"/>
    <w:rsid w:val="005867D2"/>
    <w:rsid w:val="0058683B"/>
    <w:rsid w:val="00586863"/>
    <w:rsid w:val="00586880"/>
    <w:rsid w:val="00586E07"/>
    <w:rsid w:val="00586E0D"/>
    <w:rsid w:val="00586E8C"/>
    <w:rsid w:val="00587135"/>
    <w:rsid w:val="005871D8"/>
    <w:rsid w:val="0058726C"/>
    <w:rsid w:val="00587326"/>
    <w:rsid w:val="0058736E"/>
    <w:rsid w:val="005874AE"/>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A3"/>
    <w:rsid w:val="005903B5"/>
    <w:rsid w:val="005903E8"/>
    <w:rsid w:val="0059048A"/>
    <w:rsid w:val="0059083E"/>
    <w:rsid w:val="00590898"/>
    <w:rsid w:val="005908FC"/>
    <w:rsid w:val="00590BE8"/>
    <w:rsid w:val="00590BFD"/>
    <w:rsid w:val="00590C86"/>
    <w:rsid w:val="00590D61"/>
    <w:rsid w:val="00590DF6"/>
    <w:rsid w:val="00590E7E"/>
    <w:rsid w:val="00590EC4"/>
    <w:rsid w:val="00591168"/>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DE0"/>
    <w:rsid w:val="00592E8A"/>
    <w:rsid w:val="00592F4D"/>
    <w:rsid w:val="0059324F"/>
    <w:rsid w:val="005933A9"/>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D1F"/>
    <w:rsid w:val="00594E7E"/>
    <w:rsid w:val="00594EB3"/>
    <w:rsid w:val="00594EF2"/>
    <w:rsid w:val="00594FDB"/>
    <w:rsid w:val="0059500E"/>
    <w:rsid w:val="00595054"/>
    <w:rsid w:val="005951D9"/>
    <w:rsid w:val="00595208"/>
    <w:rsid w:val="00595275"/>
    <w:rsid w:val="005952EA"/>
    <w:rsid w:val="005952F6"/>
    <w:rsid w:val="00595552"/>
    <w:rsid w:val="005956CA"/>
    <w:rsid w:val="0059581B"/>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8AC"/>
    <w:rsid w:val="005969C3"/>
    <w:rsid w:val="005969FF"/>
    <w:rsid w:val="00596BF9"/>
    <w:rsid w:val="00596C9E"/>
    <w:rsid w:val="00596CAB"/>
    <w:rsid w:val="00596CDD"/>
    <w:rsid w:val="0059701E"/>
    <w:rsid w:val="00597083"/>
    <w:rsid w:val="0059723F"/>
    <w:rsid w:val="0059727F"/>
    <w:rsid w:val="005972A7"/>
    <w:rsid w:val="005972B2"/>
    <w:rsid w:val="00597516"/>
    <w:rsid w:val="00597542"/>
    <w:rsid w:val="005977E3"/>
    <w:rsid w:val="00597889"/>
    <w:rsid w:val="005979BB"/>
    <w:rsid w:val="005979E2"/>
    <w:rsid w:val="00597AE8"/>
    <w:rsid w:val="00597B24"/>
    <w:rsid w:val="00597B58"/>
    <w:rsid w:val="00597C40"/>
    <w:rsid w:val="00597ED5"/>
    <w:rsid w:val="00597F55"/>
    <w:rsid w:val="005A0034"/>
    <w:rsid w:val="005A0045"/>
    <w:rsid w:val="005A02E5"/>
    <w:rsid w:val="005A04DE"/>
    <w:rsid w:val="005A0994"/>
    <w:rsid w:val="005A0ADB"/>
    <w:rsid w:val="005A0B19"/>
    <w:rsid w:val="005A0BEB"/>
    <w:rsid w:val="005A0D98"/>
    <w:rsid w:val="005A0E88"/>
    <w:rsid w:val="005A1158"/>
    <w:rsid w:val="005A12A5"/>
    <w:rsid w:val="005A15B4"/>
    <w:rsid w:val="005A16DD"/>
    <w:rsid w:val="005A17D4"/>
    <w:rsid w:val="005A1A77"/>
    <w:rsid w:val="005A1B0B"/>
    <w:rsid w:val="005A1B1E"/>
    <w:rsid w:val="005A1B35"/>
    <w:rsid w:val="005A1DF2"/>
    <w:rsid w:val="005A1E29"/>
    <w:rsid w:val="005A1E52"/>
    <w:rsid w:val="005A1FE4"/>
    <w:rsid w:val="005A1FF0"/>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5A2"/>
    <w:rsid w:val="005A3810"/>
    <w:rsid w:val="005A382A"/>
    <w:rsid w:val="005A3903"/>
    <w:rsid w:val="005A3928"/>
    <w:rsid w:val="005A3AED"/>
    <w:rsid w:val="005A3CBB"/>
    <w:rsid w:val="005A3E44"/>
    <w:rsid w:val="005A3E65"/>
    <w:rsid w:val="005A3E9F"/>
    <w:rsid w:val="005A3F57"/>
    <w:rsid w:val="005A4024"/>
    <w:rsid w:val="005A4171"/>
    <w:rsid w:val="005A4399"/>
    <w:rsid w:val="005A43BA"/>
    <w:rsid w:val="005A4673"/>
    <w:rsid w:val="005A469D"/>
    <w:rsid w:val="005A46A2"/>
    <w:rsid w:val="005A4714"/>
    <w:rsid w:val="005A4793"/>
    <w:rsid w:val="005A47B3"/>
    <w:rsid w:val="005A4B16"/>
    <w:rsid w:val="005A4B77"/>
    <w:rsid w:val="005A4C15"/>
    <w:rsid w:val="005A4C96"/>
    <w:rsid w:val="005A4F83"/>
    <w:rsid w:val="005A504F"/>
    <w:rsid w:val="005A52DA"/>
    <w:rsid w:val="005A5476"/>
    <w:rsid w:val="005A557A"/>
    <w:rsid w:val="005A55ED"/>
    <w:rsid w:val="005A581C"/>
    <w:rsid w:val="005A5A54"/>
    <w:rsid w:val="005A5A7F"/>
    <w:rsid w:val="005A5AED"/>
    <w:rsid w:val="005A5B3F"/>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27"/>
    <w:rsid w:val="005B0AC3"/>
    <w:rsid w:val="005B0AD7"/>
    <w:rsid w:val="005B0B11"/>
    <w:rsid w:val="005B10DE"/>
    <w:rsid w:val="005B1125"/>
    <w:rsid w:val="005B11B2"/>
    <w:rsid w:val="005B1533"/>
    <w:rsid w:val="005B16CD"/>
    <w:rsid w:val="005B17BB"/>
    <w:rsid w:val="005B19AD"/>
    <w:rsid w:val="005B19DA"/>
    <w:rsid w:val="005B19E6"/>
    <w:rsid w:val="005B1AB2"/>
    <w:rsid w:val="005B1B0C"/>
    <w:rsid w:val="005B1B40"/>
    <w:rsid w:val="005B1E3E"/>
    <w:rsid w:val="005B1EE4"/>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26"/>
    <w:rsid w:val="005B369B"/>
    <w:rsid w:val="005B3707"/>
    <w:rsid w:val="005B3874"/>
    <w:rsid w:val="005B39B3"/>
    <w:rsid w:val="005B3A3E"/>
    <w:rsid w:val="005B3B11"/>
    <w:rsid w:val="005B3B8D"/>
    <w:rsid w:val="005B3C8C"/>
    <w:rsid w:val="005B3D99"/>
    <w:rsid w:val="005B3DE3"/>
    <w:rsid w:val="005B3ED5"/>
    <w:rsid w:val="005B40DA"/>
    <w:rsid w:val="005B41A4"/>
    <w:rsid w:val="005B4202"/>
    <w:rsid w:val="005B4321"/>
    <w:rsid w:val="005B43BD"/>
    <w:rsid w:val="005B4425"/>
    <w:rsid w:val="005B442A"/>
    <w:rsid w:val="005B4531"/>
    <w:rsid w:val="005B457D"/>
    <w:rsid w:val="005B45E4"/>
    <w:rsid w:val="005B4A85"/>
    <w:rsid w:val="005B4B0A"/>
    <w:rsid w:val="005B4CED"/>
    <w:rsid w:val="005B4F63"/>
    <w:rsid w:val="005B520C"/>
    <w:rsid w:val="005B5292"/>
    <w:rsid w:val="005B52FB"/>
    <w:rsid w:val="005B5309"/>
    <w:rsid w:val="005B55B1"/>
    <w:rsid w:val="005B55E3"/>
    <w:rsid w:val="005B56E4"/>
    <w:rsid w:val="005B5787"/>
    <w:rsid w:val="005B5807"/>
    <w:rsid w:val="005B58FB"/>
    <w:rsid w:val="005B59C8"/>
    <w:rsid w:val="005B59EE"/>
    <w:rsid w:val="005B5AD7"/>
    <w:rsid w:val="005B5B73"/>
    <w:rsid w:val="005B5CB4"/>
    <w:rsid w:val="005B5D67"/>
    <w:rsid w:val="005B5E15"/>
    <w:rsid w:val="005B5F68"/>
    <w:rsid w:val="005B6023"/>
    <w:rsid w:val="005B6263"/>
    <w:rsid w:val="005B6375"/>
    <w:rsid w:val="005B648E"/>
    <w:rsid w:val="005B667A"/>
    <w:rsid w:val="005B66F0"/>
    <w:rsid w:val="005B67A2"/>
    <w:rsid w:val="005B698F"/>
    <w:rsid w:val="005B6B61"/>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B71"/>
    <w:rsid w:val="005C0DAB"/>
    <w:rsid w:val="005C0DDB"/>
    <w:rsid w:val="005C0E57"/>
    <w:rsid w:val="005C0EE0"/>
    <w:rsid w:val="005C1210"/>
    <w:rsid w:val="005C12E8"/>
    <w:rsid w:val="005C130C"/>
    <w:rsid w:val="005C154C"/>
    <w:rsid w:val="005C1633"/>
    <w:rsid w:val="005C1780"/>
    <w:rsid w:val="005C17CA"/>
    <w:rsid w:val="005C1845"/>
    <w:rsid w:val="005C1A06"/>
    <w:rsid w:val="005C1A2B"/>
    <w:rsid w:val="005C1B02"/>
    <w:rsid w:val="005C1B6D"/>
    <w:rsid w:val="005C1B70"/>
    <w:rsid w:val="005C1C10"/>
    <w:rsid w:val="005C1CBB"/>
    <w:rsid w:val="005C1D16"/>
    <w:rsid w:val="005C1D6C"/>
    <w:rsid w:val="005C1E7F"/>
    <w:rsid w:val="005C1F72"/>
    <w:rsid w:val="005C20FE"/>
    <w:rsid w:val="005C2175"/>
    <w:rsid w:val="005C22C5"/>
    <w:rsid w:val="005C2407"/>
    <w:rsid w:val="005C270F"/>
    <w:rsid w:val="005C2A68"/>
    <w:rsid w:val="005C2AC4"/>
    <w:rsid w:val="005C2BF1"/>
    <w:rsid w:val="005C2D0F"/>
    <w:rsid w:val="005C2DBA"/>
    <w:rsid w:val="005C2ED0"/>
    <w:rsid w:val="005C2FF5"/>
    <w:rsid w:val="005C30A0"/>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3FC0"/>
    <w:rsid w:val="005C4280"/>
    <w:rsid w:val="005C42D1"/>
    <w:rsid w:val="005C437F"/>
    <w:rsid w:val="005C4454"/>
    <w:rsid w:val="005C45FD"/>
    <w:rsid w:val="005C462B"/>
    <w:rsid w:val="005C4780"/>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5ED"/>
    <w:rsid w:val="005C6649"/>
    <w:rsid w:val="005C671C"/>
    <w:rsid w:val="005C67A6"/>
    <w:rsid w:val="005C6810"/>
    <w:rsid w:val="005C6BC7"/>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17"/>
    <w:rsid w:val="005D0A5D"/>
    <w:rsid w:val="005D0A96"/>
    <w:rsid w:val="005D0AEB"/>
    <w:rsid w:val="005D0BA9"/>
    <w:rsid w:val="005D0BFB"/>
    <w:rsid w:val="005D0C95"/>
    <w:rsid w:val="005D0D31"/>
    <w:rsid w:val="005D0E78"/>
    <w:rsid w:val="005D176E"/>
    <w:rsid w:val="005D1A1D"/>
    <w:rsid w:val="005D1E40"/>
    <w:rsid w:val="005D1FD9"/>
    <w:rsid w:val="005D211F"/>
    <w:rsid w:val="005D216C"/>
    <w:rsid w:val="005D2326"/>
    <w:rsid w:val="005D2388"/>
    <w:rsid w:val="005D2399"/>
    <w:rsid w:val="005D2423"/>
    <w:rsid w:val="005D24A5"/>
    <w:rsid w:val="005D24FE"/>
    <w:rsid w:val="005D2776"/>
    <w:rsid w:val="005D2867"/>
    <w:rsid w:val="005D2A3F"/>
    <w:rsid w:val="005D2B02"/>
    <w:rsid w:val="005D2C4C"/>
    <w:rsid w:val="005D2F4B"/>
    <w:rsid w:val="005D2F82"/>
    <w:rsid w:val="005D305D"/>
    <w:rsid w:val="005D3064"/>
    <w:rsid w:val="005D3079"/>
    <w:rsid w:val="005D3087"/>
    <w:rsid w:val="005D313B"/>
    <w:rsid w:val="005D31E7"/>
    <w:rsid w:val="005D34B0"/>
    <w:rsid w:val="005D35C9"/>
    <w:rsid w:val="005D361F"/>
    <w:rsid w:val="005D36B3"/>
    <w:rsid w:val="005D3725"/>
    <w:rsid w:val="005D3767"/>
    <w:rsid w:val="005D3783"/>
    <w:rsid w:val="005D3A22"/>
    <w:rsid w:val="005D3B17"/>
    <w:rsid w:val="005D3B2E"/>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EF6"/>
    <w:rsid w:val="005D4FF8"/>
    <w:rsid w:val="005D5176"/>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699"/>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A74"/>
    <w:rsid w:val="005E0C83"/>
    <w:rsid w:val="005E0CD9"/>
    <w:rsid w:val="005E0D60"/>
    <w:rsid w:val="005E0D8A"/>
    <w:rsid w:val="005E0F12"/>
    <w:rsid w:val="005E0F37"/>
    <w:rsid w:val="005E100A"/>
    <w:rsid w:val="005E1019"/>
    <w:rsid w:val="005E1058"/>
    <w:rsid w:val="005E1062"/>
    <w:rsid w:val="005E1092"/>
    <w:rsid w:val="005E11E3"/>
    <w:rsid w:val="005E11FA"/>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2CE"/>
    <w:rsid w:val="005E231D"/>
    <w:rsid w:val="005E25EA"/>
    <w:rsid w:val="005E26FB"/>
    <w:rsid w:val="005E27AC"/>
    <w:rsid w:val="005E29CB"/>
    <w:rsid w:val="005E29D6"/>
    <w:rsid w:val="005E2A88"/>
    <w:rsid w:val="005E2BE4"/>
    <w:rsid w:val="005E2BEC"/>
    <w:rsid w:val="005E2C28"/>
    <w:rsid w:val="005E2C6D"/>
    <w:rsid w:val="005E2CB3"/>
    <w:rsid w:val="005E2D92"/>
    <w:rsid w:val="005E2E57"/>
    <w:rsid w:val="005E3049"/>
    <w:rsid w:val="005E309F"/>
    <w:rsid w:val="005E32DB"/>
    <w:rsid w:val="005E3322"/>
    <w:rsid w:val="005E3324"/>
    <w:rsid w:val="005E3379"/>
    <w:rsid w:val="005E3386"/>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7B"/>
    <w:rsid w:val="005E499A"/>
    <w:rsid w:val="005E49A6"/>
    <w:rsid w:val="005E4B65"/>
    <w:rsid w:val="005E4B85"/>
    <w:rsid w:val="005E4CE4"/>
    <w:rsid w:val="005E4D7A"/>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BE5"/>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36"/>
    <w:rsid w:val="005F0A58"/>
    <w:rsid w:val="005F0B06"/>
    <w:rsid w:val="005F0BAA"/>
    <w:rsid w:val="005F0C47"/>
    <w:rsid w:val="005F0FA2"/>
    <w:rsid w:val="005F13AB"/>
    <w:rsid w:val="005F1458"/>
    <w:rsid w:val="005F1468"/>
    <w:rsid w:val="005F156C"/>
    <w:rsid w:val="005F161B"/>
    <w:rsid w:val="005F16F6"/>
    <w:rsid w:val="005F170C"/>
    <w:rsid w:val="005F1726"/>
    <w:rsid w:val="005F18F2"/>
    <w:rsid w:val="005F1A3E"/>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13"/>
    <w:rsid w:val="005F31CD"/>
    <w:rsid w:val="005F3259"/>
    <w:rsid w:val="005F3464"/>
    <w:rsid w:val="005F357E"/>
    <w:rsid w:val="005F35DF"/>
    <w:rsid w:val="005F3636"/>
    <w:rsid w:val="005F36BC"/>
    <w:rsid w:val="005F378D"/>
    <w:rsid w:val="005F37AE"/>
    <w:rsid w:val="005F3849"/>
    <w:rsid w:val="005F38DB"/>
    <w:rsid w:val="005F3A38"/>
    <w:rsid w:val="005F3ABD"/>
    <w:rsid w:val="005F3AC9"/>
    <w:rsid w:val="005F3B41"/>
    <w:rsid w:val="005F3C20"/>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5C"/>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036"/>
    <w:rsid w:val="00600194"/>
    <w:rsid w:val="00600296"/>
    <w:rsid w:val="00600402"/>
    <w:rsid w:val="00600437"/>
    <w:rsid w:val="00600664"/>
    <w:rsid w:val="006007F3"/>
    <w:rsid w:val="0060081F"/>
    <w:rsid w:val="006008A3"/>
    <w:rsid w:val="00600902"/>
    <w:rsid w:val="00600A94"/>
    <w:rsid w:val="00600EA0"/>
    <w:rsid w:val="00600F31"/>
    <w:rsid w:val="00600FF2"/>
    <w:rsid w:val="0060104F"/>
    <w:rsid w:val="0060108E"/>
    <w:rsid w:val="006010CC"/>
    <w:rsid w:val="006010E7"/>
    <w:rsid w:val="0060112E"/>
    <w:rsid w:val="006011B3"/>
    <w:rsid w:val="006011D9"/>
    <w:rsid w:val="0060139D"/>
    <w:rsid w:val="006013D7"/>
    <w:rsid w:val="006014E0"/>
    <w:rsid w:val="00601569"/>
    <w:rsid w:val="0060166F"/>
    <w:rsid w:val="006016DC"/>
    <w:rsid w:val="006019B9"/>
    <w:rsid w:val="00601A87"/>
    <w:rsid w:val="00601C51"/>
    <w:rsid w:val="00601DB6"/>
    <w:rsid w:val="00601E15"/>
    <w:rsid w:val="00601E43"/>
    <w:rsid w:val="00601E76"/>
    <w:rsid w:val="00601EE8"/>
    <w:rsid w:val="006020C3"/>
    <w:rsid w:val="0060224A"/>
    <w:rsid w:val="00602253"/>
    <w:rsid w:val="00602285"/>
    <w:rsid w:val="00602410"/>
    <w:rsid w:val="00602428"/>
    <w:rsid w:val="006024AB"/>
    <w:rsid w:val="00602522"/>
    <w:rsid w:val="0060256D"/>
    <w:rsid w:val="0060257D"/>
    <w:rsid w:val="006026E5"/>
    <w:rsid w:val="00602930"/>
    <w:rsid w:val="006029D5"/>
    <w:rsid w:val="00602C06"/>
    <w:rsid w:val="00602EDB"/>
    <w:rsid w:val="006030B7"/>
    <w:rsid w:val="00603106"/>
    <w:rsid w:val="006031CD"/>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C16"/>
    <w:rsid w:val="00604C21"/>
    <w:rsid w:val="00604C86"/>
    <w:rsid w:val="00604CD3"/>
    <w:rsid w:val="00604E25"/>
    <w:rsid w:val="00604E3A"/>
    <w:rsid w:val="00604F40"/>
    <w:rsid w:val="00604FC7"/>
    <w:rsid w:val="00605401"/>
    <w:rsid w:val="006054C7"/>
    <w:rsid w:val="00605579"/>
    <w:rsid w:val="00605857"/>
    <w:rsid w:val="00605A67"/>
    <w:rsid w:val="00605B95"/>
    <w:rsid w:val="00605BEB"/>
    <w:rsid w:val="00605C01"/>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32"/>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C6F"/>
    <w:rsid w:val="00611DA5"/>
    <w:rsid w:val="00611DCC"/>
    <w:rsid w:val="00611E0F"/>
    <w:rsid w:val="00611E27"/>
    <w:rsid w:val="00612034"/>
    <w:rsid w:val="00612325"/>
    <w:rsid w:val="006123B7"/>
    <w:rsid w:val="0061244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46"/>
    <w:rsid w:val="0061359E"/>
    <w:rsid w:val="006135D4"/>
    <w:rsid w:val="00613896"/>
    <w:rsid w:val="00613EB2"/>
    <w:rsid w:val="00613FF1"/>
    <w:rsid w:val="00614115"/>
    <w:rsid w:val="00614194"/>
    <w:rsid w:val="00614211"/>
    <w:rsid w:val="00614309"/>
    <w:rsid w:val="00614343"/>
    <w:rsid w:val="00614477"/>
    <w:rsid w:val="006145AF"/>
    <w:rsid w:val="006146A7"/>
    <w:rsid w:val="006146D0"/>
    <w:rsid w:val="00614832"/>
    <w:rsid w:val="00614857"/>
    <w:rsid w:val="006149AB"/>
    <w:rsid w:val="00614A8C"/>
    <w:rsid w:val="00614C9E"/>
    <w:rsid w:val="00614E06"/>
    <w:rsid w:val="00614EB9"/>
    <w:rsid w:val="00614FA5"/>
    <w:rsid w:val="00615209"/>
    <w:rsid w:val="006152FD"/>
    <w:rsid w:val="0061541E"/>
    <w:rsid w:val="006157C8"/>
    <w:rsid w:val="00615865"/>
    <w:rsid w:val="0061586B"/>
    <w:rsid w:val="0061596D"/>
    <w:rsid w:val="00615980"/>
    <w:rsid w:val="00615989"/>
    <w:rsid w:val="00615AEA"/>
    <w:rsid w:val="00615B58"/>
    <w:rsid w:val="00615B95"/>
    <w:rsid w:val="00615C25"/>
    <w:rsid w:val="00615D95"/>
    <w:rsid w:val="00615DCA"/>
    <w:rsid w:val="00615E04"/>
    <w:rsid w:val="00615E87"/>
    <w:rsid w:val="00615F9F"/>
    <w:rsid w:val="00615FCF"/>
    <w:rsid w:val="0061615B"/>
    <w:rsid w:val="0061623E"/>
    <w:rsid w:val="0061624F"/>
    <w:rsid w:val="00616352"/>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00E"/>
    <w:rsid w:val="006170A3"/>
    <w:rsid w:val="006171C5"/>
    <w:rsid w:val="006171DE"/>
    <w:rsid w:val="0061740F"/>
    <w:rsid w:val="00617411"/>
    <w:rsid w:val="00617445"/>
    <w:rsid w:val="0061744E"/>
    <w:rsid w:val="0061752E"/>
    <w:rsid w:val="006175F3"/>
    <w:rsid w:val="00617756"/>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A3"/>
    <w:rsid w:val="00620ADE"/>
    <w:rsid w:val="00620B19"/>
    <w:rsid w:val="00620D8A"/>
    <w:rsid w:val="00620E1D"/>
    <w:rsid w:val="006210C5"/>
    <w:rsid w:val="00621216"/>
    <w:rsid w:val="0062127C"/>
    <w:rsid w:val="006212B0"/>
    <w:rsid w:val="006213A0"/>
    <w:rsid w:val="006216B0"/>
    <w:rsid w:val="0062173A"/>
    <w:rsid w:val="0062178B"/>
    <w:rsid w:val="006218A6"/>
    <w:rsid w:val="006218A8"/>
    <w:rsid w:val="006219B3"/>
    <w:rsid w:val="006219D9"/>
    <w:rsid w:val="00621B67"/>
    <w:rsid w:val="00621B74"/>
    <w:rsid w:val="00621C7D"/>
    <w:rsid w:val="00621FB8"/>
    <w:rsid w:val="00622017"/>
    <w:rsid w:val="00622230"/>
    <w:rsid w:val="00622358"/>
    <w:rsid w:val="006225F1"/>
    <w:rsid w:val="006227BD"/>
    <w:rsid w:val="00622856"/>
    <w:rsid w:val="006228D8"/>
    <w:rsid w:val="0062295E"/>
    <w:rsid w:val="00622B8F"/>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A7"/>
    <w:rsid w:val="00624426"/>
    <w:rsid w:val="0062450F"/>
    <w:rsid w:val="00624545"/>
    <w:rsid w:val="006247D5"/>
    <w:rsid w:val="0062487C"/>
    <w:rsid w:val="00624885"/>
    <w:rsid w:val="006248D5"/>
    <w:rsid w:val="00624985"/>
    <w:rsid w:val="00624A09"/>
    <w:rsid w:val="00624BFB"/>
    <w:rsid w:val="00624D3B"/>
    <w:rsid w:val="00624E0A"/>
    <w:rsid w:val="00624EF8"/>
    <w:rsid w:val="00624FF2"/>
    <w:rsid w:val="006250E3"/>
    <w:rsid w:val="0062518F"/>
    <w:rsid w:val="00625287"/>
    <w:rsid w:val="00625441"/>
    <w:rsid w:val="0062573E"/>
    <w:rsid w:val="006259BC"/>
    <w:rsid w:val="00625A27"/>
    <w:rsid w:val="00625AAF"/>
    <w:rsid w:val="00625B7A"/>
    <w:rsid w:val="00625B83"/>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5D"/>
    <w:rsid w:val="00626BFE"/>
    <w:rsid w:val="00626CAF"/>
    <w:rsid w:val="00626D6A"/>
    <w:rsid w:val="00626FBC"/>
    <w:rsid w:val="00627237"/>
    <w:rsid w:val="00627293"/>
    <w:rsid w:val="0062740D"/>
    <w:rsid w:val="006275A2"/>
    <w:rsid w:val="006275A5"/>
    <w:rsid w:val="0062760B"/>
    <w:rsid w:val="006276AE"/>
    <w:rsid w:val="006277E3"/>
    <w:rsid w:val="00627A28"/>
    <w:rsid w:val="00627AF0"/>
    <w:rsid w:val="00627AFC"/>
    <w:rsid w:val="00627B32"/>
    <w:rsid w:val="00627B47"/>
    <w:rsid w:val="00627C17"/>
    <w:rsid w:val="00627EEE"/>
    <w:rsid w:val="00627EF3"/>
    <w:rsid w:val="00627EFB"/>
    <w:rsid w:val="00627FF9"/>
    <w:rsid w:val="006301A2"/>
    <w:rsid w:val="00630223"/>
    <w:rsid w:val="0063022D"/>
    <w:rsid w:val="00630237"/>
    <w:rsid w:val="00630459"/>
    <w:rsid w:val="006304C1"/>
    <w:rsid w:val="006306EE"/>
    <w:rsid w:val="0063087A"/>
    <w:rsid w:val="0063092D"/>
    <w:rsid w:val="00630AA5"/>
    <w:rsid w:val="00630AFD"/>
    <w:rsid w:val="00630B1A"/>
    <w:rsid w:val="00630C39"/>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1F14"/>
    <w:rsid w:val="0063200D"/>
    <w:rsid w:val="00632080"/>
    <w:rsid w:val="0063217F"/>
    <w:rsid w:val="006323AB"/>
    <w:rsid w:val="00632571"/>
    <w:rsid w:val="006327E4"/>
    <w:rsid w:val="00632C10"/>
    <w:rsid w:val="00632C2B"/>
    <w:rsid w:val="00632D27"/>
    <w:rsid w:val="00632DD2"/>
    <w:rsid w:val="00632DFE"/>
    <w:rsid w:val="006331A0"/>
    <w:rsid w:val="006331C0"/>
    <w:rsid w:val="006331E1"/>
    <w:rsid w:val="0063324F"/>
    <w:rsid w:val="00633262"/>
    <w:rsid w:val="0063327A"/>
    <w:rsid w:val="0063345B"/>
    <w:rsid w:val="006334A1"/>
    <w:rsid w:val="006334C5"/>
    <w:rsid w:val="00633506"/>
    <w:rsid w:val="00633766"/>
    <w:rsid w:val="00633997"/>
    <w:rsid w:val="006339E5"/>
    <w:rsid w:val="00633A65"/>
    <w:rsid w:val="00633B88"/>
    <w:rsid w:val="00633D45"/>
    <w:rsid w:val="00633DD3"/>
    <w:rsid w:val="00634006"/>
    <w:rsid w:val="0063416E"/>
    <w:rsid w:val="00634197"/>
    <w:rsid w:val="00634291"/>
    <w:rsid w:val="00634555"/>
    <w:rsid w:val="00634671"/>
    <w:rsid w:val="0063475B"/>
    <w:rsid w:val="00634828"/>
    <w:rsid w:val="00634829"/>
    <w:rsid w:val="006348D6"/>
    <w:rsid w:val="00634962"/>
    <w:rsid w:val="006349AE"/>
    <w:rsid w:val="00634B39"/>
    <w:rsid w:val="00634B74"/>
    <w:rsid w:val="00634D04"/>
    <w:rsid w:val="00634DA1"/>
    <w:rsid w:val="00634E07"/>
    <w:rsid w:val="00634E1C"/>
    <w:rsid w:val="00634FB5"/>
    <w:rsid w:val="00635058"/>
    <w:rsid w:val="006351B2"/>
    <w:rsid w:val="00635311"/>
    <w:rsid w:val="006353D9"/>
    <w:rsid w:val="006353E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1B6"/>
    <w:rsid w:val="00637215"/>
    <w:rsid w:val="00637376"/>
    <w:rsid w:val="00637436"/>
    <w:rsid w:val="00637444"/>
    <w:rsid w:val="006374C1"/>
    <w:rsid w:val="00637537"/>
    <w:rsid w:val="0063777F"/>
    <w:rsid w:val="006379A5"/>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868"/>
    <w:rsid w:val="00640A80"/>
    <w:rsid w:val="00640AB4"/>
    <w:rsid w:val="00640AB6"/>
    <w:rsid w:val="00640E92"/>
    <w:rsid w:val="00640FD5"/>
    <w:rsid w:val="006410CB"/>
    <w:rsid w:val="0064110A"/>
    <w:rsid w:val="006412F3"/>
    <w:rsid w:val="00641455"/>
    <w:rsid w:val="0064146E"/>
    <w:rsid w:val="006415FF"/>
    <w:rsid w:val="00641661"/>
    <w:rsid w:val="0064176E"/>
    <w:rsid w:val="00641796"/>
    <w:rsid w:val="006418CA"/>
    <w:rsid w:val="00641AA7"/>
    <w:rsid w:val="00641AB8"/>
    <w:rsid w:val="00641B40"/>
    <w:rsid w:val="00641B80"/>
    <w:rsid w:val="00641CDA"/>
    <w:rsid w:val="00641D66"/>
    <w:rsid w:val="00641EF8"/>
    <w:rsid w:val="006420E9"/>
    <w:rsid w:val="0064212B"/>
    <w:rsid w:val="00642423"/>
    <w:rsid w:val="006424B2"/>
    <w:rsid w:val="00642697"/>
    <w:rsid w:val="006426CA"/>
    <w:rsid w:val="006426DF"/>
    <w:rsid w:val="0064275C"/>
    <w:rsid w:val="006427C3"/>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8E"/>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272"/>
    <w:rsid w:val="006443AB"/>
    <w:rsid w:val="00644409"/>
    <w:rsid w:val="00644425"/>
    <w:rsid w:val="0064442A"/>
    <w:rsid w:val="00644433"/>
    <w:rsid w:val="006446A6"/>
    <w:rsid w:val="00644735"/>
    <w:rsid w:val="00644769"/>
    <w:rsid w:val="006447EC"/>
    <w:rsid w:val="00644841"/>
    <w:rsid w:val="00644901"/>
    <w:rsid w:val="0064491F"/>
    <w:rsid w:val="00644982"/>
    <w:rsid w:val="00644BF1"/>
    <w:rsid w:val="00644F25"/>
    <w:rsid w:val="00644FE0"/>
    <w:rsid w:val="0064500B"/>
    <w:rsid w:val="00645071"/>
    <w:rsid w:val="006452BA"/>
    <w:rsid w:val="006452CA"/>
    <w:rsid w:val="0064538A"/>
    <w:rsid w:val="0064539D"/>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C91"/>
    <w:rsid w:val="00647D5E"/>
    <w:rsid w:val="00647DC1"/>
    <w:rsid w:val="00647E52"/>
    <w:rsid w:val="00647F12"/>
    <w:rsid w:val="00647FB4"/>
    <w:rsid w:val="00647FF3"/>
    <w:rsid w:val="00650061"/>
    <w:rsid w:val="00650151"/>
    <w:rsid w:val="006502D1"/>
    <w:rsid w:val="00650747"/>
    <w:rsid w:val="00650754"/>
    <w:rsid w:val="00650766"/>
    <w:rsid w:val="00650841"/>
    <w:rsid w:val="00650848"/>
    <w:rsid w:val="006508F7"/>
    <w:rsid w:val="00650A6F"/>
    <w:rsid w:val="00650A8F"/>
    <w:rsid w:val="00650BBC"/>
    <w:rsid w:val="00650C24"/>
    <w:rsid w:val="00650C63"/>
    <w:rsid w:val="00650D8A"/>
    <w:rsid w:val="00650DD4"/>
    <w:rsid w:val="00650F99"/>
    <w:rsid w:val="00651045"/>
    <w:rsid w:val="00651116"/>
    <w:rsid w:val="00651179"/>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35"/>
    <w:rsid w:val="0065214D"/>
    <w:rsid w:val="006522B1"/>
    <w:rsid w:val="0065231D"/>
    <w:rsid w:val="006526C9"/>
    <w:rsid w:val="006528D9"/>
    <w:rsid w:val="00652994"/>
    <w:rsid w:val="006529D2"/>
    <w:rsid w:val="006529F0"/>
    <w:rsid w:val="00652A08"/>
    <w:rsid w:val="00652AD3"/>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B"/>
    <w:rsid w:val="0065440F"/>
    <w:rsid w:val="00654639"/>
    <w:rsid w:val="00654D4C"/>
    <w:rsid w:val="00654D6B"/>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E2E"/>
    <w:rsid w:val="00655F98"/>
    <w:rsid w:val="0065620F"/>
    <w:rsid w:val="00656254"/>
    <w:rsid w:val="00656312"/>
    <w:rsid w:val="00656402"/>
    <w:rsid w:val="00656444"/>
    <w:rsid w:val="00656508"/>
    <w:rsid w:val="0065677E"/>
    <w:rsid w:val="006567B0"/>
    <w:rsid w:val="00656804"/>
    <w:rsid w:val="0065680A"/>
    <w:rsid w:val="006568B0"/>
    <w:rsid w:val="006569AF"/>
    <w:rsid w:val="00656A11"/>
    <w:rsid w:val="00656AC7"/>
    <w:rsid w:val="00656B60"/>
    <w:rsid w:val="00656C15"/>
    <w:rsid w:val="00656DC5"/>
    <w:rsid w:val="00656F44"/>
    <w:rsid w:val="0065709B"/>
    <w:rsid w:val="0065711A"/>
    <w:rsid w:val="00657182"/>
    <w:rsid w:val="00657295"/>
    <w:rsid w:val="00657323"/>
    <w:rsid w:val="006573FA"/>
    <w:rsid w:val="006575E4"/>
    <w:rsid w:val="006575E5"/>
    <w:rsid w:val="006575F0"/>
    <w:rsid w:val="00657A1E"/>
    <w:rsid w:val="00657A77"/>
    <w:rsid w:val="00657B1C"/>
    <w:rsid w:val="00657B21"/>
    <w:rsid w:val="00657B43"/>
    <w:rsid w:val="00657C46"/>
    <w:rsid w:val="00657EEA"/>
    <w:rsid w:val="006601BE"/>
    <w:rsid w:val="006602AD"/>
    <w:rsid w:val="006602BE"/>
    <w:rsid w:val="00660324"/>
    <w:rsid w:val="006604B4"/>
    <w:rsid w:val="00660583"/>
    <w:rsid w:val="006605C8"/>
    <w:rsid w:val="006606F0"/>
    <w:rsid w:val="00660722"/>
    <w:rsid w:val="00660A09"/>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1F22"/>
    <w:rsid w:val="00662029"/>
    <w:rsid w:val="006620A9"/>
    <w:rsid w:val="006620EA"/>
    <w:rsid w:val="00662325"/>
    <w:rsid w:val="00662382"/>
    <w:rsid w:val="006623FB"/>
    <w:rsid w:val="00662651"/>
    <w:rsid w:val="006626A0"/>
    <w:rsid w:val="006627E3"/>
    <w:rsid w:val="006627FC"/>
    <w:rsid w:val="00662917"/>
    <w:rsid w:val="00662B52"/>
    <w:rsid w:val="00662B66"/>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2C6"/>
    <w:rsid w:val="00664307"/>
    <w:rsid w:val="00664347"/>
    <w:rsid w:val="00664364"/>
    <w:rsid w:val="00664381"/>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0D"/>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8D"/>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E17"/>
    <w:rsid w:val="00670FAA"/>
    <w:rsid w:val="00671068"/>
    <w:rsid w:val="006710D7"/>
    <w:rsid w:val="00671247"/>
    <w:rsid w:val="00671259"/>
    <w:rsid w:val="006717C5"/>
    <w:rsid w:val="00671897"/>
    <w:rsid w:val="00671967"/>
    <w:rsid w:val="00671A41"/>
    <w:rsid w:val="00671AA7"/>
    <w:rsid w:val="00671AAF"/>
    <w:rsid w:val="00671B3C"/>
    <w:rsid w:val="00671B62"/>
    <w:rsid w:val="00671B9F"/>
    <w:rsid w:val="00671C75"/>
    <w:rsid w:val="00671F41"/>
    <w:rsid w:val="00671F65"/>
    <w:rsid w:val="00671F93"/>
    <w:rsid w:val="00671FF7"/>
    <w:rsid w:val="0067209F"/>
    <w:rsid w:val="00672113"/>
    <w:rsid w:val="006722A7"/>
    <w:rsid w:val="006723A1"/>
    <w:rsid w:val="00672500"/>
    <w:rsid w:val="006725B7"/>
    <w:rsid w:val="00672906"/>
    <w:rsid w:val="00672912"/>
    <w:rsid w:val="006729F3"/>
    <w:rsid w:val="00672A5D"/>
    <w:rsid w:val="00672AEB"/>
    <w:rsid w:val="00672AF1"/>
    <w:rsid w:val="00672D3A"/>
    <w:rsid w:val="00672DC0"/>
    <w:rsid w:val="00672EA2"/>
    <w:rsid w:val="00672F40"/>
    <w:rsid w:val="00672FD4"/>
    <w:rsid w:val="0067310F"/>
    <w:rsid w:val="0067316C"/>
    <w:rsid w:val="006731EF"/>
    <w:rsid w:val="00673225"/>
    <w:rsid w:val="006732F4"/>
    <w:rsid w:val="006732F7"/>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4EE"/>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23"/>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C3"/>
    <w:rsid w:val="00680AF5"/>
    <w:rsid w:val="00680CD5"/>
    <w:rsid w:val="00680CDA"/>
    <w:rsid w:val="00680D58"/>
    <w:rsid w:val="00680DEC"/>
    <w:rsid w:val="00680EB9"/>
    <w:rsid w:val="00680EF2"/>
    <w:rsid w:val="00680F46"/>
    <w:rsid w:val="006810B1"/>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188"/>
    <w:rsid w:val="00682728"/>
    <w:rsid w:val="006828EE"/>
    <w:rsid w:val="00682916"/>
    <w:rsid w:val="0068299A"/>
    <w:rsid w:val="00682A01"/>
    <w:rsid w:val="00682C7F"/>
    <w:rsid w:val="00682E33"/>
    <w:rsid w:val="00682E6D"/>
    <w:rsid w:val="00682F73"/>
    <w:rsid w:val="00682FEE"/>
    <w:rsid w:val="00683052"/>
    <w:rsid w:val="00683157"/>
    <w:rsid w:val="00683249"/>
    <w:rsid w:val="006833BF"/>
    <w:rsid w:val="006834E2"/>
    <w:rsid w:val="00683579"/>
    <w:rsid w:val="0068359C"/>
    <w:rsid w:val="006835A3"/>
    <w:rsid w:val="00683672"/>
    <w:rsid w:val="00683728"/>
    <w:rsid w:val="0068382B"/>
    <w:rsid w:val="0068389F"/>
    <w:rsid w:val="00683927"/>
    <w:rsid w:val="006839AB"/>
    <w:rsid w:val="00683E1F"/>
    <w:rsid w:val="00683FE7"/>
    <w:rsid w:val="0068423D"/>
    <w:rsid w:val="0068425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33"/>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7E"/>
    <w:rsid w:val="00687287"/>
    <w:rsid w:val="006872B1"/>
    <w:rsid w:val="0068731F"/>
    <w:rsid w:val="0068733E"/>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4E6"/>
    <w:rsid w:val="006915C6"/>
    <w:rsid w:val="00691656"/>
    <w:rsid w:val="00691914"/>
    <w:rsid w:val="0069194C"/>
    <w:rsid w:val="00691C60"/>
    <w:rsid w:val="00691CB6"/>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3F33"/>
    <w:rsid w:val="00694291"/>
    <w:rsid w:val="006942EE"/>
    <w:rsid w:val="00694514"/>
    <w:rsid w:val="00694657"/>
    <w:rsid w:val="00694797"/>
    <w:rsid w:val="006947BE"/>
    <w:rsid w:val="0069482F"/>
    <w:rsid w:val="00694834"/>
    <w:rsid w:val="00694A48"/>
    <w:rsid w:val="00694D17"/>
    <w:rsid w:val="00694D68"/>
    <w:rsid w:val="00694E4C"/>
    <w:rsid w:val="00694F7D"/>
    <w:rsid w:val="00694F84"/>
    <w:rsid w:val="00694FE0"/>
    <w:rsid w:val="006950ED"/>
    <w:rsid w:val="00695177"/>
    <w:rsid w:val="0069537D"/>
    <w:rsid w:val="00695387"/>
    <w:rsid w:val="00695450"/>
    <w:rsid w:val="006954CA"/>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EA0"/>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15A"/>
    <w:rsid w:val="006A13E1"/>
    <w:rsid w:val="006A13F7"/>
    <w:rsid w:val="006A1445"/>
    <w:rsid w:val="006A150D"/>
    <w:rsid w:val="006A1583"/>
    <w:rsid w:val="006A15BF"/>
    <w:rsid w:val="006A17E2"/>
    <w:rsid w:val="006A184C"/>
    <w:rsid w:val="006A18DF"/>
    <w:rsid w:val="006A18EE"/>
    <w:rsid w:val="006A196F"/>
    <w:rsid w:val="006A1BBA"/>
    <w:rsid w:val="006A1EAD"/>
    <w:rsid w:val="006A1F3F"/>
    <w:rsid w:val="006A1F85"/>
    <w:rsid w:val="006A1F9F"/>
    <w:rsid w:val="006A1FBA"/>
    <w:rsid w:val="006A203E"/>
    <w:rsid w:val="006A2232"/>
    <w:rsid w:val="006A22AD"/>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640"/>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354"/>
    <w:rsid w:val="006A5426"/>
    <w:rsid w:val="006A54D6"/>
    <w:rsid w:val="006A555C"/>
    <w:rsid w:val="006A5994"/>
    <w:rsid w:val="006A5A52"/>
    <w:rsid w:val="006A5AC2"/>
    <w:rsid w:val="006A5DFA"/>
    <w:rsid w:val="006A5E89"/>
    <w:rsid w:val="006A6012"/>
    <w:rsid w:val="006A612B"/>
    <w:rsid w:val="006A6176"/>
    <w:rsid w:val="006A619F"/>
    <w:rsid w:val="006A61C6"/>
    <w:rsid w:val="006A61E3"/>
    <w:rsid w:val="006A65D3"/>
    <w:rsid w:val="006A666C"/>
    <w:rsid w:val="006A6670"/>
    <w:rsid w:val="006A68E1"/>
    <w:rsid w:val="006A698F"/>
    <w:rsid w:val="006A6A4E"/>
    <w:rsid w:val="006A6BDC"/>
    <w:rsid w:val="006A6CF6"/>
    <w:rsid w:val="006A6F19"/>
    <w:rsid w:val="006A6F92"/>
    <w:rsid w:val="006A7025"/>
    <w:rsid w:val="006A7036"/>
    <w:rsid w:val="006A70C0"/>
    <w:rsid w:val="006A7143"/>
    <w:rsid w:val="006A724A"/>
    <w:rsid w:val="006A7292"/>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2E7"/>
    <w:rsid w:val="006B073D"/>
    <w:rsid w:val="006B088E"/>
    <w:rsid w:val="006B0A92"/>
    <w:rsid w:val="006B0ACC"/>
    <w:rsid w:val="006B0CD5"/>
    <w:rsid w:val="006B0D5E"/>
    <w:rsid w:val="006B0F40"/>
    <w:rsid w:val="006B0FA0"/>
    <w:rsid w:val="006B0FC7"/>
    <w:rsid w:val="006B1044"/>
    <w:rsid w:val="006B1065"/>
    <w:rsid w:val="006B1155"/>
    <w:rsid w:val="006B1382"/>
    <w:rsid w:val="006B138B"/>
    <w:rsid w:val="006B1584"/>
    <w:rsid w:val="006B163A"/>
    <w:rsid w:val="006B17E5"/>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7E8"/>
    <w:rsid w:val="006B281C"/>
    <w:rsid w:val="006B28CD"/>
    <w:rsid w:val="006B298A"/>
    <w:rsid w:val="006B2A10"/>
    <w:rsid w:val="006B2BEC"/>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8BC"/>
    <w:rsid w:val="006B4B08"/>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9D9"/>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AF7"/>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276"/>
    <w:rsid w:val="006C14B2"/>
    <w:rsid w:val="006C1595"/>
    <w:rsid w:val="006C1605"/>
    <w:rsid w:val="006C16A7"/>
    <w:rsid w:val="006C1804"/>
    <w:rsid w:val="006C182E"/>
    <w:rsid w:val="006C1859"/>
    <w:rsid w:val="006C19FA"/>
    <w:rsid w:val="006C1B8D"/>
    <w:rsid w:val="006C1C98"/>
    <w:rsid w:val="006C1DBB"/>
    <w:rsid w:val="006C1EF5"/>
    <w:rsid w:val="006C1F73"/>
    <w:rsid w:val="006C20D1"/>
    <w:rsid w:val="006C20D8"/>
    <w:rsid w:val="006C21F8"/>
    <w:rsid w:val="006C2379"/>
    <w:rsid w:val="006C2427"/>
    <w:rsid w:val="006C26C9"/>
    <w:rsid w:val="006C2719"/>
    <w:rsid w:val="006C2865"/>
    <w:rsid w:val="006C28A4"/>
    <w:rsid w:val="006C29B3"/>
    <w:rsid w:val="006C2A89"/>
    <w:rsid w:val="006C2C17"/>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BFD"/>
    <w:rsid w:val="006C4C40"/>
    <w:rsid w:val="006C4D2A"/>
    <w:rsid w:val="006C4D53"/>
    <w:rsid w:val="006C4DB9"/>
    <w:rsid w:val="006C4E4D"/>
    <w:rsid w:val="006C52D1"/>
    <w:rsid w:val="006C53CE"/>
    <w:rsid w:val="006C554D"/>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6D3"/>
    <w:rsid w:val="006C68C1"/>
    <w:rsid w:val="006C69B9"/>
    <w:rsid w:val="006C6A80"/>
    <w:rsid w:val="006C6AE4"/>
    <w:rsid w:val="006C6BC1"/>
    <w:rsid w:val="006C6D8F"/>
    <w:rsid w:val="006C6E2D"/>
    <w:rsid w:val="006C6F28"/>
    <w:rsid w:val="006C701A"/>
    <w:rsid w:val="006C7058"/>
    <w:rsid w:val="006C7073"/>
    <w:rsid w:val="006C7154"/>
    <w:rsid w:val="006C718F"/>
    <w:rsid w:val="006C7247"/>
    <w:rsid w:val="006C738E"/>
    <w:rsid w:val="006C7413"/>
    <w:rsid w:val="006C74FD"/>
    <w:rsid w:val="006C7601"/>
    <w:rsid w:val="006C76B5"/>
    <w:rsid w:val="006C799F"/>
    <w:rsid w:val="006C7C1A"/>
    <w:rsid w:val="006C7D81"/>
    <w:rsid w:val="006C7F1F"/>
    <w:rsid w:val="006D0034"/>
    <w:rsid w:val="006D0046"/>
    <w:rsid w:val="006D0102"/>
    <w:rsid w:val="006D0129"/>
    <w:rsid w:val="006D021D"/>
    <w:rsid w:val="006D024B"/>
    <w:rsid w:val="006D0502"/>
    <w:rsid w:val="006D0615"/>
    <w:rsid w:val="006D062D"/>
    <w:rsid w:val="006D069C"/>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46D"/>
    <w:rsid w:val="006D353B"/>
    <w:rsid w:val="006D3550"/>
    <w:rsid w:val="006D36DE"/>
    <w:rsid w:val="006D3750"/>
    <w:rsid w:val="006D38AB"/>
    <w:rsid w:val="006D3BC1"/>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7F9"/>
    <w:rsid w:val="006D4815"/>
    <w:rsid w:val="006D4916"/>
    <w:rsid w:val="006D4E0A"/>
    <w:rsid w:val="006D4E77"/>
    <w:rsid w:val="006D5054"/>
    <w:rsid w:val="006D5149"/>
    <w:rsid w:val="006D51D2"/>
    <w:rsid w:val="006D5333"/>
    <w:rsid w:val="006D5402"/>
    <w:rsid w:val="006D553A"/>
    <w:rsid w:val="006D553E"/>
    <w:rsid w:val="006D590B"/>
    <w:rsid w:val="006D5B82"/>
    <w:rsid w:val="006D5FA3"/>
    <w:rsid w:val="006D6058"/>
    <w:rsid w:val="006D60C2"/>
    <w:rsid w:val="006D6138"/>
    <w:rsid w:val="006D616F"/>
    <w:rsid w:val="006D6206"/>
    <w:rsid w:val="006D6335"/>
    <w:rsid w:val="006D6743"/>
    <w:rsid w:val="006D6885"/>
    <w:rsid w:val="006D6894"/>
    <w:rsid w:val="006D69C3"/>
    <w:rsid w:val="006D6A28"/>
    <w:rsid w:val="006D6AAC"/>
    <w:rsid w:val="006D6B0E"/>
    <w:rsid w:val="006D6B13"/>
    <w:rsid w:val="006D6DA0"/>
    <w:rsid w:val="006D70FF"/>
    <w:rsid w:val="006D7186"/>
    <w:rsid w:val="006D7263"/>
    <w:rsid w:val="006D72BE"/>
    <w:rsid w:val="006D759D"/>
    <w:rsid w:val="006D75AE"/>
    <w:rsid w:val="006D75E2"/>
    <w:rsid w:val="006D7623"/>
    <w:rsid w:val="006D7688"/>
    <w:rsid w:val="006D76D4"/>
    <w:rsid w:val="006D76FA"/>
    <w:rsid w:val="006D77AC"/>
    <w:rsid w:val="006D78FD"/>
    <w:rsid w:val="006D79DE"/>
    <w:rsid w:val="006D7B0F"/>
    <w:rsid w:val="006D7B29"/>
    <w:rsid w:val="006D7C4B"/>
    <w:rsid w:val="006D7F9C"/>
    <w:rsid w:val="006E0086"/>
    <w:rsid w:val="006E0091"/>
    <w:rsid w:val="006E00E2"/>
    <w:rsid w:val="006E01D5"/>
    <w:rsid w:val="006E03F9"/>
    <w:rsid w:val="006E0450"/>
    <w:rsid w:val="006E052B"/>
    <w:rsid w:val="006E05E5"/>
    <w:rsid w:val="006E065A"/>
    <w:rsid w:val="006E0732"/>
    <w:rsid w:val="006E07EA"/>
    <w:rsid w:val="006E0830"/>
    <w:rsid w:val="006E084C"/>
    <w:rsid w:val="006E08AD"/>
    <w:rsid w:val="006E097C"/>
    <w:rsid w:val="006E0BFC"/>
    <w:rsid w:val="006E0C53"/>
    <w:rsid w:val="006E0CBC"/>
    <w:rsid w:val="006E0CD9"/>
    <w:rsid w:val="006E0DC7"/>
    <w:rsid w:val="006E0DEC"/>
    <w:rsid w:val="006E0EEA"/>
    <w:rsid w:val="006E0EF5"/>
    <w:rsid w:val="006E0F9D"/>
    <w:rsid w:val="006E14F4"/>
    <w:rsid w:val="006E15C8"/>
    <w:rsid w:val="006E16D5"/>
    <w:rsid w:val="006E16F7"/>
    <w:rsid w:val="006E1734"/>
    <w:rsid w:val="006E1755"/>
    <w:rsid w:val="006E190D"/>
    <w:rsid w:val="006E1B84"/>
    <w:rsid w:val="006E1C02"/>
    <w:rsid w:val="006E1C9C"/>
    <w:rsid w:val="006E1CA7"/>
    <w:rsid w:val="006E1E0C"/>
    <w:rsid w:val="006E1EF0"/>
    <w:rsid w:val="006E1F12"/>
    <w:rsid w:val="006E1F16"/>
    <w:rsid w:val="006E2005"/>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124"/>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3A"/>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0E25"/>
    <w:rsid w:val="006F0EF1"/>
    <w:rsid w:val="006F1024"/>
    <w:rsid w:val="006F11E1"/>
    <w:rsid w:val="006F12A5"/>
    <w:rsid w:val="006F13DB"/>
    <w:rsid w:val="006F16C4"/>
    <w:rsid w:val="006F1771"/>
    <w:rsid w:val="006F1806"/>
    <w:rsid w:val="006F1A7B"/>
    <w:rsid w:val="006F1AAA"/>
    <w:rsid w:val="006F1AB6"/>
    <w:rsid w:val="006F1B60"/>
    <w:rsid w:val="006F1BCD"/>
    <w:rsid w:val="006F1C72"/>
    <w:rsid w:val="006F1CF2"/>
    <w:rsid w:val="006F20CB"/>
    <w:rsid w:val="006F2282"/>
    <w:rsid w:val="006F22C4"/>
    <w:rsid w:val="006F22DB"/>
    <w:rsid w:val="006F236B"/>
    <w:rsid w:val="006F23C1"/>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6FB"/>
    <w:rsid w:val="006F573D"/>
    <w:rsid w:val="006F57C6"/>
    <w:rsid w:val="006F5865"/>
    <w:rsid w:val="006F58DD"/>
    <w:rsid w:val="006F5935"/>
    <w:rsid w:val="006F5965"/>
    <w:rsid w:val="006F5A22"/>
    <w:rsid w:val="006F5A9A"/>
    <w:rsid w:val="006F5ADB"/>
    <w:rsid w:val="006F5CF3"/>
    <w:rsid w:val="006F60F6"/>
    <w:rsid w:val="006F61BC"/>
    <w:rsid w:val="006F61E0"/>
    <w:rsid w:val="006F62F2"/>
    <w:rsid w:val="006F6404"/>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23"/>
    <w:rsid w:val="006F767A"/>
    <w:rsid w:val="006F779B"/>
    <w:rsid w:val="006F7829"/>
    <w:rsid w:val="006F7995"/>
    <w:rsid w:val="006F7A24"/>
    <w:rsid w:val="006F7A30"/>
    <w:rsid w:val="006F7A4F"/>
    <w:rsid w:val="006F7B8E"/>
    <w:rsid w:val="006F7E00"/>
    <w:rsid w:val="006F7ECF"/>
    <w:rsid w:val="007000AD"/>
    <w:rsid w:val="007001F3"/>
    <w:rsid w:val="007002C3"/>
    <w:rsid w:val="00700318"/>
    <w:rsid w:val="0070033B"/>
    <w:rsid w:val="007003C5"/>
    <w:rsid w:val="007004B2"/>
    <w:rsid w:val="007004B9"/>
    <w:rsid w:val="00700567"/>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53E"/>
    <w:rsid w:val="00701616"/>
    <w:rsid w:val="0070163A"/>
    <w:rsid w:val="0070168B"/>
    <w:rsid w:val="00701847"/>
    <w:rsid w:val="00701863"/>
    <w:rsid w:val="00701997"/>
    <w:rsid w:val="00701A6D"/>
    <w:rsid w:val="00701BC2"/>
    <w:rsid w:val="00701BDF"/>
    <w:rsid w:val="00701C67"/>
    <w:rsid w:val="00701D7A"/>
    <w:rsid w:val="00701E38"/>
    <w:rsid w:val="00701E5B"/>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EE3"/>
    <w:rsid w:val="00702F0B"/>
    <w:rsid w:val="00702FC5"/>
    <w:rsid w:val="007030D7"/>
    <w:rsid w:val="00703115"/>
    <w:rsid w:val="007031AE"/>
    <w:rsid w:val="00703314"/>
    <w:rsid w:val="007034D3"/>
    <w:rsid w:val="0070356D"/>
    <w:rsid w:val="007036BE"/>
    <w:rsid w:val="00703774"/>
    <w:rsid w:val="0070387E"/>
    <w:rsid w:val="007038A0"/>
    <w:rsid w:val="00703C1C"/>
    <w:rsid w:val="00703C46"/>
    <w:rsid w:val="00703D45"/>
    <w:rsid w:val="00703E75"/>
    <w:rsid w:val="00703E7B"/>
    <w:rsid w:val="00703EBB"/>
    <w:rsid w:val="00703EE5"/>
    <w:rsid w:val="00703F3C"/>
    <w:rsid w:val="00703FD1"/>
    <w:rsid w:val="007041D0"/>
    <w:rsid w:val="0070426F"/>
    <w:rsid w:val="007042AF"/>
    <w:rsid w:val="007048D2"/>
    <w:rsid w:val="00704A25"/>
    <w:rsid w:val="00704BAE"/>
    <w:rsid w:val="00704E51"/>
    <w:rsid w:val="00704E95"/>
    <w:rsid w:val="00704ED4"/>
    <w:rsid w:val="00704FF8"/>
    <w:rsid w:val="00705059"/>
    <w:rsid w:val="007050C0"/>
    <w:rsid w:val="007050E5"/>
    <w:rsid w:val="00705265"/>
    <w:rsid w:val="007052F4"/>
    <w:rsid w:val="00705414"/>
    <w:rsid w:val="00705483"/>
    <w:rsid w:val="00705693"/>
    <w:rsid w:val="007057B3"/>
    <w:rsid w:val="00705881"/>
    <w:rsid w:val="007058C3"/>
    <w:rsid w:val="00705903"/>
    <w:rsid w:val="00705D65"/>
    <w:rsid w:val="00705DCA"/>
    <w:rsid w:val="00705DD0"/>
    <w:rsid w:val="00705FA8"/>
    <w:rsid w:val="007064A9"/>
    <w:rsid w:val="007065B6"/>
    <w:rsid w:val="007066EC"/>
    <w:rsid w:val="00706750"/>
    <w:rsid w:val="00706864"/>
    <w:rsid w:val="00706956"/>
    <w:rsid w:val="00706DBA"/>
    <w:rsid w:val="00706DBF"/>
    <w:rsid w:val="00706ECA"/>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9D"/>
    <w:rsid w:val="00707CE8"/>
    <w:rsid w:val="00707CFF"/>
    <w:rsid w:val="00707DB1"/>
    <w:rsid w:val="007100A9"/>
    <w:rsid w:val="007101F5"/>
    <w:rsid w:val="0071020A"/>
    <w:rsid w:val="007103F6"/>
    <w:rsid w:val="007104FA"/>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BE2"/>
    <w:rsid w:val="00711C9C"/>
    <w:rsid w:val="00711D4F"/>
    <w:rsid w:val="00711E2B"/>
    <w:rsid w:val="00711F94"/>
    <w:rsid w:val="00712052"/>
    <w:rsid w:val="00712181"/>
    <w:rsid w:val="007121A0"/>
    <w:rsid w:val="007122C4"/>
    <w:rsid w:val="007122D9"/>
    <w:rsid w:val="00712319"/>
    <w:rsid w:val="007123C1"/>
    <w:rsid w:val="00712424"/>
    <w:rsid w:val="0071254F"/>
    <w:rsid w:val="0071256C"/>
    <w:rsid w:val="007127C0"/>
    <w:rsid w:val="007128F1"/>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75E"/>
    <w:rsid w:val="00716832"/>
    <w:rsid w:val="00716855"/>
    <w:rsid w:val="00716A0B"/>
    <w:rsid w:val="00716B91"/>
    <w:rsid w:val="00716D2A"/>
    <w:rsid w:val="00716D4F"/>
    <w:rsid w:val="00716E48"/>
    <w:rsid w:val="00716EDF"/>
    <w:rsid w:val="00717147"/>
    <w:rsid w:val="0071716A"/>
    <w:rsid w:val="007171E7"/>
    <w:rsid w:val="00717357"/>
    <w:rsid w:val="00717447"/>
    <w:rsid w:val="0071747E"/>
    <w:rsid w:val="0071757E"/>
    <w:rsid w:val="0071776E"/>
    <w:rsid w:val="007177AF"/>
    <w:rsid w:val="007177D5"/>
    <w:rsid w:val="00717D1A"/>
    <w:rsid w:val="00717DEF"/>
    <w:rsid w:val="00717E00"/>
    <w:rsid w:val="00717E4C"/>
    <w:rsid w:val="00717F7F"/>
    <w:rsid w:val="00717F86"/>
    <w:rsid w:val="007200AB"/>
    <w:rsid w:val="00720240"/>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60"/>
    <w:rsid w:val="0072189D"/>
    <w:rsid w:val="007218D6"/>
    <w:rsid w:val="0072191C"/>
    <w:rsid w:val="00721967"/>
    <w:rsid w:val="0072198E"/>
    <w:rsid w:val="00721F45"/>
    <w:rsid w:val="00721F58"/>
    <w:rsid w:val="00721FBD"/>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5C"/>
    <w:rsid w:val="00723270"/>
    <w:rsid w:val="0072329D"/>
    <w:rsid w:val="00723331"/>
    <w:rsid w:val="00723342"/>
    <w:rsid w:val="00723531"/>
    <w:rsid w:val="007235A2"/>
    <w:rsid w:val="00723624"/>
    <w:rsid w:val="0072362A"/>
    <w:rsid w:val="00723704"/>
    <w:rsid w:val="00723838"/>
    <w:rsid w:val="00723901"/>
    <w:rsid w:val="00723A8B"/>
    <w:rsid w:val="00723C66"/>
    <w:rsid w:val="00723F48"/>
    <w:rsid w:val="0072438E"/>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0"/>
    <w:rsid w:val="00725664"/>
    <w:rsid w:val="0072573A"/>
    <w:rsid w:val="00725927"/>
    <w:rsid w:val="007259C8"/>
    <w:rsid w:val="00725AE1"/>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01"/>
    <w:rsid w:val="007269C9"/>
    <w:rsid w:val="00726D91"/>
    <w:rsid w:val="00726E1E"/>
    <w:rsid w:val="00726E63"/>
    <w:rsid w:val="00726EB8"/>
    <w:rsid w:val="00726F6F"/>
    <w:rsid w:val="00727328"/>
    <w:rsid w:val="007273D2"/>
    <w:rsid w:val="00727451"/>
    <w:rsid w:val="00727604"/>
    <w:rsid w:val="007278FA"/>
    <w:rsid w:val="00727B76"/>
    <w:rsid w:val="00727BB6"/>
    <w:rsid w:val="00727BE6"/>
    <w:rsid w:val="00727C0F"/>
    <w:rsid w:val="00727D83"/>
    <w:rsid w:val="007301E4"/>
    <w:rsid w:val="00730278"/>
    <w:rsid w:val="00730392"/>
    <w:rsid w:val="00730421"/>
    <w:rsid w:val="0073043A"/>
    <w:rsid w:val="00730525"/>
    <w:rsid w:val="00730612"/>
    <w:rsid w:val="00730675"/>
    <w:rsid w:val="0073067F"/>
    <w:rsid w:val="007307A0"/>
    <w:rsid w:val="007307B1"/>
    <w:rsid w:val="007307E2"/>
    <w:rsid w:val="007308A0"/>
    <w:rsid w:val="007309E1"/>
    <w:rsid w:val="00730C4D"/>
    <w:rsid w:val="00730CA1"/>
    <w:rsid w:val="00730D92"/>
    <w:rsid w:val="00730EF2"/>
    <w:rsid w:val="0073108E"/>
    <w:rsid w:val="00731179"/>
    <w:rsid w:val="0073125B"/>
    <w:rsid w:val="007312F6"/>
    <w:rsid w:val="0073131F"/>
    <w:rsid w:val="007313EB"/>
    <w:rsid w:val="007314D5"/>
    <w:rsid w:val="00731561"/>
    <w:rsid w:val="00731563"/>
    <w:rsid w:val="00731838"/>
    <w:rsid w:val="00731A9E"/>
    <w:rsid w:val="00731B0F"/>
    <w:rsid w:val="00731F2F"/>
    <w:rsid w:val="00731FCF"/>
    <w:rsid w:val="007321B5"/>
    <w:rsid w:val="0073225A"/>
    <w:rsid w:val="0073226C"/>
    <w:rsid w:val="00732273"/>
    <w:rsid w:val="007322D6"/>
    <w:rsid w:val="007322E2"/>
    <w:rsid w:val="00732358"/>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B91"/>
    <w:rsid w:val="00734CAB"/>
    <w:rsid w:val="00734CAC"/>
    <w:rsid w:val="00734CFE"/>
    <w:rsid w:val="00734D2A"/>
    <w:rsid w:val="00734D73"/>
    <w:rsid w:val="007352F0"/>
    <w:rsid w:val="007354B4"/>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C2A"/>
    <w:rsid w:val="00736D89"/>
    <w:rsid w:val="00736EEF"/>
    <w:rsid w:val="00736F97"/>
    <w:rsid w:val="00736FB4"/>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0"/>
    <w:rsid w:val="00740693"/>
    <w:rsid w:val="007409C0"/>
    <w:rsid w:val="00740BBE"/>
    <w:rsid w:val="00740C9D"/>
    <w:rsid w:val="00740CAF"/>
    <w:rsid w:val="00740D1B"/>
    <w:rsid w:val="00740F4B"/>
    <w:rsid w:val="00741180"/>
    <w:rsid w:val="00741185"/>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71"/>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5D4"/>
    <w:rsid w:val="0074461E"/>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EF4"/>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48"/>
    <w:rsid w:val="00750563"/>
    <w:rsid w:val="00750664"/>
    <w:rsid w:val="00750715"/>
    <w:rsid w:val="00750764"/>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25D"/>
    <w:rsid w:val="00752344"/>
    <w:rsid w:val="00752369"/>
    <w:rsid w:val="0075249C"/>
    <w:rsid w:val="007525B9"/>
    <w:rsid w:val="00752825"/>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475"/>
    <w:rsid w:val="00754512"/>
    <w:rsid w:val="0075451D"/>
    <w:rsid w:val="00754568"/>
    <w:rsid w:val="00754672"/>
    <w:rsid w:val="007547DF"/>
    <w:rsid w:val="007548D8"/>
    <w:rsid w:val="00754901"/>
    <w:rsid w:val="00754914"/>
    <w:rsid w:val="00754A98"/>
    <w:rsid w:val="00754ABD"/>
    <w:rsid w:val="00754AEF"/>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383"/>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EE5"/>
    <w:rsid w:val="00756FC8"/>
    <w:rsid w:val="00757147"/>
    <w:rsid w:val="007571B5"/>
    <w:rsid w:val="00757304"/>
    <w:rsid w:val="007573C3"/>
    <w:rsid w:val="007574AF"/>
    <w:rsid w:val="007574C8"/>
    <w:rsid w:val="0075751A"/>
    <w:rsid w:val="0075771F"/>
    <w:rsid w:val="00757884"/>
    <w:rsid w:val="007578F5"/>
    <w:rsid w:val="00757C15"/>
    <w:rsid w:val="00757C56"/>
    <w:rsid w:val="00757DAD"/>
    <w:rsid w:val="00757EC6"/>
    <w:rsid w:val="00757ED3"/>
    <w:rsid w:val="00757FA0"/>
    <w:rsid w:val="00760136"/>
    <w:rsid w:val="00760592"/>
    <w:rsid w:val="0076060F"/>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443"/>
    <w:rsid w:val="00763852"/>
    <w:rsid w:val="0076386F"/>
    <w:rsid w:val="0076389B"/>
    <w:rsid w:val="007638B9"/>
    <w:rsid w:val="0076392F"/>
    <w:rsid w:val="0076397D"/>
    <w:rsid w:val="00763C2B"/>
    <w:rsid w:val="00763C65"/>
    <w:rsid w:val="00763D68"/>
    <w:rsid w:val="00763E37"/>
    <w:rsid w:val="00763F5D"/>
    <w:rsid w:val="00763F9E"/>
    <w:rsid w:val="00764013"/>
    <w:rsid w:val="0076416C"/>
    <w:rsid w:val="0076426D"/>
    <w:rsid w:val="007642F3"/>
    <w:rsid w:val="0076433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08"/>
    <w:rsid w:val="00765D7A"/>
    <w:rsid w:val="00765EC0"/>
    <w:rsid w:val="00765F04"/>
    <w:rsid w:val="007661D6"/>
    <w:rsid w:val="0076628A"/>
    <w:rsid w:val="00766392"/>
    <w:rsid w:val="0076644F"/>
    <w:rsid w:val="0076650B"/>
    <w:rsid w:val="00766978"/>
    <w:rsid w:val="00766C36"/>
    <w:rsid w:val="00766C39"/>
    <w:rsid w:val="00766CF2"/>
    <w:rsid w:val="00766D67"/>
    <w:rsid w:val="0076754A"/>
    <w:rsid w:val="00767611"/>
    <w:rsid w:val="0076761C"/>
    <w:rsid w:val="007676B3"/>
    <w:rsid w:val="007677CF"/>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1F8"/>
    <w:rsid w:val="007712EF"/>
    <w:rsid w:val="0077136A"/>
    <w:rsid w:val="00771385"/>
    <w:rsid w:val="00771515"/>
    <w:rsid w:val="0077158B"/>
    <w:rsid w:val="007716F7"/>
    <w:rsid w:val="0077177D"/>
    <w:rsid w:val="00771921"/>
    <w:rsid w:val="00771D84"/>
    <w:rsid w:val="00771E75"/>
    <w:rsid w:val="007723FF"/>
    <w:rsid w:val="00772567"/>
    <w:rsid w:val="00772638"/>
    <w:rsid w:val="00772697"/>
    <w:rsid w:val="0077272C"/>
    <w:rsid w:val="007727C0"/>
    <w:rsid w:val="0077284D"/>
    <w:rsid w:val="0077286A"/>
    <w:rsid w:val="0077287B"/>
    <w:rsid w:val="007728C9"/>
    <w:rsid w:val="007728EA"/>
    <w:rsid w:val="00772943"/>
    <w:rsid w:val="007729E8"/>
    <w:rsid w:val="00772A1C"/>
    <w:rsid w:val="00772A94"/>
    <w:rsid w:val="00772B96"/>
    <w:rsid w:val="00772DEB"/>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4E4E"/>
    <w:rsid w:val="007751BB"/>
    <w:rsid w:val="0077523F"/>
    <w:rsid w:val="007752B7"/>
    <w:rsid w:val="00775369"/>
    <w:rsid w:val="0077553B"/>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3E"/>
    <w:rsid w:val="007768BF"/>
    <w:rsid w:val="0077690E"/>
    <w:rsid w:val="007769C3"/>
    <w:rsid w:val="00776AA4"/>
    <w:rsid w:val="00776AAD"/>
    <w:rsid w:val="00776B14"/>
    <w:rsid w:val="00776C50"/>
    <w:rsid w:val="00776D36"/>
    <w:rsid w:val="00776E48"/>
    <w:rsid w:val="0077732B"/>
    <w:rsid w:val="007773A9"/>
    <w:rsid w:val="0077741B"/>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E21"/>
    <w:rsid w:val="00780E3C"/>
    <w:rsid w:val="007810F7"/>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88"/>
    <w:rsid w:val="00782594"/>
    <w:rsid w:val="007825AC"/>
    <w:rsid w:val="0078286A"/>
    <w:rsid w:val="00782881"/>
    <w:rsid w:val="0078291B"/>
    <w:rsid w:val="0078292F"/>
    <w:rsid w:val="00782D34"/>
    <w:rsid w:val="00782F2F"/>
    <w:rsid w:val="00783206"/>
    <w:rsid w:val="00783275"/>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CC"/>
    <w:rsid w:val="007852BC"/>
    <w:rsid w:val="00785320"/>
    <w:rsid w:val="00785393"/>
    <w:rsid w:val="0078546E"/>
    <w:rsid w:val="00785526"/>
    <w:rsid w:val="00785612"/>
    <w:rsid w:val="00785665"/>
    <w:rsid w:val="0078571A"/>
    <w:rsid w:val="00785765"/>
    <w:rsid w:val="00785826"/>
    <w:rsid w:val="007858BC"/>
    <w:rsid w:val="00785AE3"/>
    <w:rsid w:val="00785ED0"/>
    <w:rsid w:val="00785F8B"/>
    <w:rsid w:val="00785FC0"/>
    <w:rsid w:val="0078607F"/>
    <w:rsid w:val="007860A6"/>
    <w:rsid w:val="007860D8"/>
    <w:rsid w:val="00786155"/>
    <w:rsid w:val="00786244"/>
    <w:rsid w:val="00786324"/>
    <w:rsid w:val="0078636D"/>
    <w:rsid w:val="007863D0"/>
    <w:rsid w:val="00786656"/>
    <w:rsid w:val="007866E5"/>
    <w:rsid w:val="007867AC"/>
    <w:rsid w:val="007867CB"/>
    <w:rsid w:val="00786841"/>
    <w:rsid w:val="00786A99"/>
    <w:rsid w:val="00786C23"/>
    <w:rsid w:val="00786C54"/>
    <w:rsid w:val="00786D1D"/>
    <w:rsid w:val="00787287"/>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6E7"/>
    <w:rsid w:val="0079074E"/>
    <w:rsid w:val="00790829"/>
    <w:rsid w:val="0079093C"/>
    <w:rsid w:val="00790A59"/>
    <w:rsid w:val="00790A98"/>
    <w:rsid w:val="00790C33"/>
    <w:rsid w:val="00790D83"/>
    <w:rsid w:val="00790E44"/>
    <w:rsid w:val="00790EF7"/>
    <w:rsid w:val="00790F08"/>
    <w:rsid w:val="007910A6"/>
    <w:rsid w:val="0079156A"/>
    <w:rsid w:val="007916B3"/>
    <w:rsid w:val="0079176A"/>
    <w:rsid w:val="007917F5"/>
    <w:rsid w:val="0079195A"/>
    <w:rsid w:val="00791A10"/>
    <w:rsid w:val="00791BDE"/>
    <w:rsid w:val="00791BE2"/>
    <w:rsid w:val="00791D4C"/>
    <w:rsid w:val="00791D5A"/>
    <w:rsid w:val="00791EF1"/>
    <w:rsid w:val="00791F26"/>
    <w:rsid w:val="0079208C"/>
    <w:rsid w:val="00792242"/>
    <w:rsid w:val="00792303"/>
    <w:rsid w:val="00792536"/>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15D"/>
    <w:rsid w:val="00793218"/>
    <w:rsid w:val="00793360"/>
    <w:rsid w:val="00793428"/>
    <w:rsid w:val="007934A2"/>
    <w:rsid w:val="00793529"/>
    <w:rsid w:val="0079358D"/>
    <w:rsid w:val="007936FE"/>
    <w:rsid w:val="007937D4"/>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4F92"/>
    <w:rsid w:val="0079501D"/>
    <w:rsid w:val="007951C4"/>
    <w:rsid w:val="007951ED"/>
    <w:rsid w:val="0079535C"/>
    <w:rsid w:val="00795392"/>
    <w:rsid w:val="00795565"/>
    <w:rsid w:val="0079565E"/>
    <w:rsid w:val="0079576A"/>
    <w:rsid w:val="00795780"/>
    <w:rsid w:val="007957CE"/>
    <w:rsid w:val="007958B0"/>
    <w:rsid w:val="00795AE9"/>
    <w:rsid w:val="00795B7F"/>
    <w:rsid w:val="00795DB8"/>
    <w:rsid w:val="00795E13"/>
    <w:rsid w:val="00795F58"/>
    <w:rsid w:val="00795F5E"/>
    <w:rsid w:val="00795F67"/>
    <w:rsid w:val="00796259"/>
    <w:rsid w:val="00796342"/>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D5"/>
    <w:rsid w:val="007A1200"/>
    <w:rsid w:val="007A1221"/>
    <w:rsid w:val="007A14B5"/>
    <w:rsid w:val="007A1765"/>
    <w:rsid w:val="007A1A0F"/>
    <w:rsid w:val="007A1D09"/>
    <w:rsid w:val="007A1DAA"/>
    <w:rsid w:val="007A1F26"/>
    <w:rsid w:val="007A1F48"/>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3C"/>
    <w:rsid w:val="007A2DB2"/>
    <w:rsid w:val="007A2DE3"/>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E56"/>
    <w:rsid w:val="007A3EE4"/>
    <w:rsid w:val="007A3F1F"/>
    <w:rsid w:val="007A3F4C"/>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E2F"/>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0B"/>
    <w:rsid w:val="007B026E"/>
    <w:rsid w:val="007B0395"/>
    <w:rsid w:val="007B03BF"/>
    <w:rsid w:val="007B041F"/>
    <w:rsid w:val="007B0456"/>
    <w:rsid w:val="007B04BE"/>
    <w:rsid w:val="007B0601"/>
    <w:rsid w:val="007B063E"/>
    <w:rsid w:val="007B0820"/>
    <w:rsid w:val="007B09F3"/>
    <w:rsid w:val="007B0A26"/>
    <w:rsid w:val="007B0AB8"/>
    <w:rsid w:val="007B0B81"/>
    <w:rsid w:val="007B0C7A"/>
    <w:rsid w:val="007B0DBF"/>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591"/>
    <w:rsid w:val="007B2629"/>
    <w:rsid w:val="007B26BE"/>
    <w:rsid w:val="007B2740"/>
    <w:rsid w:val="007B27AB"/>
    <w:rsid w:val="007B27D2"/>
    <w:rsid w:val="007B27F8"/>
    <w:rsid w:val="007B2A5F"/>
    <w:rsid w:val="007B2BB4"/>
    <w:rsid w:val="007B2C04"/>
    <w:rsid w:val="007B2C78"/>
    <w:rsid w:val="007B2DEF"/>
    <w:rsid w:val="007B2EB3"/>
    <w:rsid w:val="007B31DE"/>
    <w:rsid w:val="007B3489"/>
    <w:rsid w:val="007B34A0"/>
    <w:rsid w:val="007B34C1"/>
    <w:rsid w:val="007B3530"/>
    <w:rsid w:val="007B364C"/>
    <w:rsid w:val="007B3667"/>
    <w:rsid w:val="007B3816"/>
    <w:rsid w:val="007B3939"/>
    <w:rsid w:val="007B399E"/>
    <w:rsid w:val="007B39E0"/>
    <w:rsid w:val="007B3B62"/>
    <w:rsid w:val="007B3CC7"/>
    <w:rsid w:val="007B3E17"/>
    <w:rsid w:val="007B3EB7"/>
    <w:rsid w:val="007B3EBA"/>
    <w:rsid w:val="007B3F1F"/>
    <w:rsid w:val="007B4079"/>
    <w:rsid w:val="007B40D7"/>
    <w:rsid w:val="007B4274"/>
    <w:rsid w:val="007B431C"/>
    <w:rsid w:val="007B43D4"/>
    <w:rsid w:val="007B4545"/>
    <w:rsid w:val="007B47B6"/>
    <w:rsid w:val="007B47C4"/>
    <w:rsid w:val="007B49E5"/>
    <w:rsid w:val="007B4A35"/>
    <w:rsid w:val="007B4A94"/>
    <w:rsid w:val="007B4B37"/>
    <w:rsid w:val="007B4B9E"/>
    <w:rsid w:val="007B4EB2"/>
    <w:rsid w:val="007B4ECE"/>
    <w:rsid w:val="007B4F61"/>
    <w:rsid w:val="007B51D6"/>
    <w:rsid w:val="007B52C7"/>
    <w:rsid w:val="007B53C5"/>
    <w:rsid w:val="007B5640"/>
    <w:rsid w:val="007B56A0"/>
    <w:rsid w:val="007B56B8"/>
    <w:rsid w:val="007B5756"/>
    <w:rsid w:val="007B57B3"/>
    <w:rsid w:val="007B5998"/>
    <w:rsid w:val="007B59F4"/>
    <w:rsid w:val="007B5A7F"/>
    <w:rsid w:val="007B5AC2"/>
    <w:rsid w:val="007B5B03"/>
    <w:rsid w:val="007B5B84"/>
    <w:rsid w:val="007B5C17"/>
    <w:rsid w:val="007B5DBB"/>
    <w:rsid w:val="007B6202"/>
    <w:rsid w:val="007B64EE"/>
    <w:rsid w:val="007B6519"/>
    <w:rsid w:val="007B655D"/>
    <w:rsid w:val="007B67EC"/>
    <w:rsid w:val="007B6864"/>
    <w:rsid w:val="007B6898"/>
    <w:rsid w:val="007B69E9"/>
    <w:rsid w:val="007B6B3B"/>
    <w:rsid w:val="007B6DA6"/>
    <w:rsid w:val="007B6E28"/>
    <w:rsid w:val="007B6E51"/>
    <w:rsid w:val="007B70DC"/>
    <w:rsid w:val="007B7338"/>
    <w:rsid w:val="007B73AC"/>
    <w:rsid w:val="007B7555"/>
    <w:rsid w:val="007B795D"/>
    <w:rsid w:val="007B7AC3"/>
    <w:rsid w:val="007B7B09"/>
    <w:rsid w:val="007B7BA2"/>
    <w:rsid w:val="007B7C65"/>
    <w:rsid w:val="007B7D0E"/>
    <w:rsid w:val="007C0240"/>
    <w:rsid w:val="007C02B7"/>
    <w:rsid w:val="007C02C8"/>
    <w:rsid w:val="007C03E0"/>
    <w:rsid w:val="007C04FA"/>
    <w:rsid w:val="007C08A1"/>
    <w:rsid w:val="007C08BE"/>
    <w:rsid w:val="007C0B21"/>
    <w:rsid w:val="007C0B31"/>
    <w:rsid w:val="007C0C11"/>
    <w:rsid w:val="007C0EF5"/>
    <w:rsid w:val="007C115A"/>
    <w:rsid w:val="007C116D"/>
    <w:rsid w:val="007C140F"/>
    <w:rsid w:val="007C199A"/>
    <w:rsid w:val="007C19A1"/>
    <w:rsid w:val="007C1A08"/>
    <w:rsid w:val="007C1BDC"/>
    <w:rsid w:val="007C1EDA"/>
    <w:rsid w:val="007C229E"/>
    <w:rsid w:val="007C25B7"/>
    <w:rsid w:val="007C29A8"/>
    <w:rsid w:val="007C2A1E"/>
    <w:rsid w:val="007C2C15"/>
    <w:rsid w:val="007C2CD6"/>
    <w:rsid w:val="007C2D66"/>
    <w:rsid w:val="007C2D6C"/>
    <w:rsid w:val="007C2FBA"/>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6BA"/>
    <w:rsid w:val="007C496C"/>
    <w:rsid w:val="007C497A"/>
    <w:rsid w:val="007C4A58"/>
    <w:rsid w:val="007C4BFC"/>
    <w:rsid w:val="007C4D2E"/>
    <w:rsid w:val="007C4D4B"/>
    <w:rsid w:val="007C4F11"/>
    <w:rsid w:val="007C51A5"/>
    <w:rsid w:val="007C525B"/>
    <w:rsid w:val="007C531D"/>
    <w:rsid w:val="007C53D5"/>
    <w:rsid w:val="007C54B5"/>
    <w:rsid w:val="007C57B8"/>
    <w:rsid w:val="007C593C"/>
    <w:rsid w:val="007C5A0D"/>
    <w:rsid w:val="007C5A80"/>
    <w:rsid w:val="007C5B9B"/>
    <w:rsid w:val="007C5C6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5EE"/>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D84"/>
    <w:rsid w:val="007D1E14"/>
    <w:rsid w:val="007D1E9E"/>
    <w:rsid w:val="007D20A7"/>
    <w:rsid w:val="007D210F"/>
    <w:rsid w:val="007D2352"/>
    <w:rsid w:val="007D2502"/>
    <w:rsid w:val="007D26D8"/>
    <w:rsid w:val="007D2730"/>
    <w:rsid w:val="007D2735"/>
    <w:rsid w:val="007D27BC"/>
    <w:rsid w:val="007D293E"/>
    <w:rsid w:val="007D2AFB"/>
    <w:rsid w:val="007D2B0B"/>
    <w:rsid w:val="007D2BCF"/>
    <w:rsid w:val="007D2C76"/>
    <w:rsid w:val="007D2CBE"/>
    <w:rsid w:val="007D2D78"/>
    <w:rsid w:val="007D2D81"/>
    <w:rsid w:val="007D2DB1"/>
    <w:rsid w:val="007D2EAB"/>
    <w:rsid w:val="007D2EF2"/>
    <w:rsid w:val="007D2F82"/>
    <w:rsid w:val="007D3087"/>
    <w:rsid w:val="007D308C"/>
    <w:rsid w:val="007D3348"/>
    <w:rsid w:val="007D3376"/>
    <w:rsid w:val="007D33F4"/>
    <w:rsid w:val="007D360E"/>
    <w:rsid w:val="007D3634"/>
    <w:rsid w:val="007D3724"/>
    <w:rsid w:val="007D3844"/>
    <w:rsid w:val="007D3914"/>
    <w:rsid w:val="007D3A17"/>
    <w:rsid w:val="007D4059"/>
    <w:rsid w:val="007D4086"/>
    <w:rsid w:val="007D411F"/>
    <w:rsid w:val="007D41BE"/>
    <w:rsid w:val="007D4261"/>
    <w:rsid w:val="007D448C"/>
    <w:rsid w:val="007D4588"/>
    <w:rsid w:val="007D4607"/>
    <w:rsid w:val="007D46CE"/>
    <w:rsid w:val="007D47A4"/>
    <w:rsid w:val="007D4BBB"/>
    <w:rsid w:val="007D4D4C"/>
    <w:rsid w:val="007D4D98"/>
    <w:rsid w:val="007D4DA4"/>
    <w:rsid w:val="007D4F50"/>
    <w:rsid w:val="007D4F92"/>
    <w:rsid w:val="007D4FC2"/>
    <w:rsid w:val="007D504D"/>
    <w:rsid w:val="007D5094"/>
    <w:rsid w:val="007D5132"/>
    <w:rsid w:val="007D5253"/>
    <w:rsid w:val="007D525B"/>
    <w:rsid w:val="007D5418"/>
    <w:rsid w:val="007D5428"/>
    <w:rsid w:val="007D5445"/>
    <w:rsid w:val="007D54DB"/>
    <w:rsid w:val="007D54F7"/>
    <w:rsid w:val="007D572E"/>
    <w:rsid w:val="007D5A69"/>
    <w:rsid w:val="007D5AB6"/>
    <w:rsid w:val="007D5BA6"/>
    <w:rsid w:val="007D5C55"/>
    <w:rsid w:val="007D5C5A"/>
    <w:rsid w:val="007D6075"/>
    <w:rsid w:val="007D6157"/>
    <w:rsid w:val="007D618F"/>
    <w:rsid w:val="007D6287"/>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5B9"/>
    <w:rsid w:val="007E061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83"/>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89C"/>
    <w:rsid w:val="007E599A"/>
    <w:rsid w:val="007E5B32"/>
    <w:rsid w:val="007E5D28"/>
    <w:rsid w:val="007E5D80"/>
    <w:rsid w:val="007E5F7E"/>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39B"/>
    <w:rsid w:val="007E761F"/>
    <w:rsid w:val="007E77E0"/>
    <w:rsid w:val="007E77EF"/>
    <w:rsid w:val="007E7A3C"/>
    <w:rsid w:val="007E7C36"/>
    <w:rsid w:val="007E7E10"/>
    <w:rsid w:val="007E7E78"/>
    <w:rsid w:val="007E7E9E"/>
    <w:rsid w:val="007F006B"/>
    <w:rsid w:val="007F00E6"/>
    <w:rsid w:val="007F0101"/>
    <w:rsid w:val="007F02E1"/>
    <w:rsid w:val="007F0371"/>
    <w:rsid w:val="007F05BD"/>
    <w:rsid w:val="007F05EC"/>
    <w:rsid w:val="007F071E"/>
    <w:rsid w:val="007F079B"/>
    <w:rsid w:val="007F08F4"/>
    <w:rsid w:val="007F09B1"/>
    <w:rsid w:val="007F0A2D"/>
    <w:rsid w:val="007F0AB9"/>
    <w:rsid w:val="007F0B37"/>
    <w:rsid w:val="007F0CF5"/>
    <w:rsid w:val="007F0D91"/>
    <w:rsid w:val="007F0E62"/>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6D"/>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1D9"/>
    <w:rsid w:val="007F52DD"/>
    <w:rsid w:val="007F540F"/>
    <w:rsid w:val="007F55DA"/>
    <w:rsid w:val="007F5725"/>
    <w:rsid w:val="007F5881"/>
    <w:rsid w:val="007F594F"/>
    <w:rsid w:val="007F5A06"/>
    <w:rsid w:val="007F5AB1"/>
    <w:rsid w:val="007F5F8E"/>
    <w:rsid w:val="007F604A"/>
    <w:rsid w:val="007F615A"/>
    <w:rsid w:val="007F61C8"/>
    <w:rsid w:val="007F6414"/>
    <w:rsid w:val="007F65A4"/>
    <w:rsid w:val="007F6642"/>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CE"/>
    <w:rsid w:val="00802AD5"/>
    <w:rsid w:val="00802BA1"/>
    <w:rsid w:val="00802E58"/>
    <w:rsid w:val="00802EAF"/>
    <w:rsid w:val="00803080"/>
    <w:rsid w:val="008030AC"/>
    <w:rsid w:val="008030B4"/>
    <w:rsid w:val="0080316A"/>
    <w:rsid w:val="00803303"/>
    <w:rsid w:val="00803308"/>
    <w:rsid w:val="0080343F"/>
    <w:rsid w:val="008036D6"/>
    <w:rsid w:val="00803C27"/>
    <w:rsid w:val="00803C3D"/>
    <w:rsid w:val="00803D7D"/>
    <w:rsid w:val="00803DAA"/>
    <w:rsid w:val="00804022"/>
    <w:rsid w:val="008040B6"/>
    <w:rsid w:val="0080411C"/>
    <w:rsid w:val="008043A5"/>
    <w:rsid w:val="008043E5"/>
    <w:rsid w:val="0080448B"/>
    <w:rsid w:val="008044CA"/>
    <w:rsid w:val="0080484C"/>
    <w:rsid w:val="008048AA"/>
    <w:rsid w:val="00804A9E"/>
    <w:rsid w:val="00804BAE"/>
    <w:rsid w:val="00804CCF"/>
    <w:rsid w:val="00804D9D"/>
    <w:rsid w:val="00804ECC"/>
    <w:rsid w:val="00804F29"/>
    <w:rsid w:val="0080510F"/>
    <w:rsid w:val="00805368"/>
    <w:rsid w:val="008054A0"/>
    <w:rsid w:val="0080578A"/>
    <w:rsid w:val="008058EA"/>
    <w:rsid w:val="00805993"/>
    <w:rsid w:val="00805A34"/>
    <w:rsid w:val="00805A8E"/>
    <w:rsid w:val="00805AB3"/>
    <w:rsid w:val="00805B7E"/>
    <w:rsid w:val="00805C9B"/>
    <w:rsid w:val="00805DE3"/>
    <w:rsid w:val="00805DF1"/>
    <w:rsid w:val="00805FA6"/>
    <w:rsid w:val="00806182"/>
    <w:rsid w:val="008061C5"/>
    <w:rsid w:val="00806309"/>
    <w:rsid w:val="00806335"/>
    <w:rsid w:val="008068AA"/>
    <w:rsid w:val="00806981"/>
    <w:rsid w:val="00806994"/>
    <w:rsid w:val="00806C17"/>
    <w:rsid w:val="00806C9F"/>
    <w:rsid w:val="00806E44"/>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51"/>
    <w:rsid w:val="008137C4"/>
    <w:rsid w:val="008138A8"/>
    <w:rsid w:val="00813980"/>
    <w:rsid w:val="00813A94"/>
    <w:rsid w:val="00813BA8"/>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76C"/>
    <w:rsid w:val="008147CC"/>
    <w:rsid w:val="00814802"/>
    <w:rsid w:val="0081484E"/>
    <w:rsid w:val="0081485D"/>
    <w:rsid w:val="00814883"/>
    <w:rsid w:val="008148D9"/>
    <w:rsid w:val="008149B0"/>
    <w:rsid w:val="00814A6E"/>
    <w:rsid w:val="00814BFD"/>
    <w:rsid w:val="00814CBA"/>
    <w:rsid w:val="00814DDC"/>
    <w:rsid w:val="00814FBA"/>
    <w:rsid w:val="008150D7"/>
    <w:rsid w:val="00815129"/>
    <w:rsid w:val="0081512D"/>
    <w:rsid w:val="00815196"/>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D18"/>
    <w:rsid w:val="00817F95"/>
    <w:rsid w:val="008200FA"/>
    <w:rsid w:val="008201AC"/>
    <w:rsid w:val="008202B1"/>
    <w:rsid w:val="008203ED"/>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499"/>
    <w:rsid w:val="00821519"/>
    <w:rsid w:val="00821524"/>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AED"/>
    <w:rsid w:val="00822D54"/>
    <w:rsid w:val="00822FB0"/>
    <w:rsid w:val="0082305E"/>
    <w:rsid w:val="0082306D"/>
    <w:rsid w:val="008230AE"/>
    <w:rsid w:val="00823108"/>
    <w:rsid w:val="008232C8"/>
    <w:rsid w:val="008234CF"/>
    <w:rsid w:val="00823689"/>
    <w:rsid w:val="00823993"/>
    <w:rsid w:val="00823A7F"/>
    <w:rsid w:val="00823B51"/>
    <w:rsid w:val="00823D0D"/>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37C"/>
    <w:rsid w:val="008274C8"/>
    <w:rsid w:val="008274EE"/>
    <w:rsid w:val="0082759B"/>
    <w:rsid w:val="008275D8"/>
    <w:rsid w:val="00827604"/>
    <w:rsid w:val="0082774F"/>
    <w:rsid w:val="00827782"/>
    <w:rsid w:val="0082783B"/>
    <w:rsid w:val="008278FC"/>
    <w:rsid w:val="00827A6F"/>
    <w:rsid w:val="00827BED"/>
    <w:rsid w:val="00827CD4"/>
    <w:rsid w:val="00827F2A"/>
    <w:rsid w:val="00827FA5"/>
    <w:rsid w:val="008300AA"/>
    <w:rsid w:val="0083042A"/>
    <w:rsid w:val="00830433"/>
    <w:rsid w:val="0083045A"/>
    <w:rsid w:val="00830628"/>
    <w:rsid w:val="00830635"/>
    <w:rsid w:val="0083063D"/>
    <w:rsid w:val="0083068B"/>
    <w:rsid w:val="008308A1"/>
    <w:rsid w:val="0083092B"/>
    <w:rsid w:val="00830A05"/>
    <w:rsid w:val="00830C6A"/>
    <w:rsid w:val="00830CBC"/>
    <w:rsid w:val="00830D21"/>
    <w:rsid w:val="00830F13"/>
    <w:rsid w:val="00831098"/>
    <w:rsid w:val="0083122F"/>
    <w:rsid w:val="00831266"/>
    <w:rsid w:val="0083132A"/>
    <w:rsid w:val="008313E2"/>
    <w:rsid w:val="00831439"/>
    <w:rsid w:val="0083148D"/>
    <w:rsid w:val="00831622"/>
    <w:rsid w:val="00831666"/>
    <w:rsid w:val="008316B0"/>
    <w:rsid w:val="008319D7"/>
    <w:rsid w:val="00831BAB"/>
    <w:rsid w:val="00831CB2"/>
    <w:rsid w:val="00831D80"/>
    <w:rsid w:val="00831E22"/>
    <w:rsid w:val="00831EF9"/>
    <w:rsid w:val="00832057"/>
    <w:rsid w:val="00832171"/>
    <w:rsid w:val="00832289"/>
    <w:rsid w:val="0083234C"/>
    <w:rsid w:val="0083236B"/>
    <w:rsid w:val="0083237E"/>
    <w:rsid w:val="00832444"/>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47"/>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C82"/>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01"/>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880"/>
    <w:rsid w:val="00840A65"/>
    <w:rsid w:val="00840ADD"/>
    <w:rsid w:val="00840B1E"/>
    <w:rsid w:val="00840BB1"/>
    <w:rsid w:val="00840FB6"/>
    <w:rsid w:val="0084100A"/>
    <w:rsid w:val="00841066"/>
    <w:rsid w:val="008410A8"/>
    <w:rsid w:val="00841104"/>
    <w:rsid w:val="00841472"/>
    <w:rsid w:val="00841570"/>
    <w:rsid w:val="00841693"/>
    <w:rsid w:val="00841807"/>
    <w:rsid w:val="008418BE"/>
    <w:rsid w:val="00841AAE"/>
    <w:rsid w:val="00841AFE"/>
    <w:rsid w:val="00841B5F"/>
    <w:rsid w:val="00841BC3"/>
    <w:rsid w:val="00841CB2"/>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19"/>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EF9"/>
    <w:rsid w:val="00843F86"/>
    <w:rsid w:val="008441EB"/>
    <w:rsid w:val="00844346"/>
    <w:rsid w:val="0084445A"/>
    <w:rsid w:val="008444D4"/>
    <w:rsid w:val="00844596"/>
    <w:rsid w:val="0084473B"/>
    <w:rsid w:val="008447CF"/>
    <w:rsid w:val="00844954"/>
    <w:rsid w:val="00844BC4"/>
    <w:rsid w:val="00844C38"/>
    <w:rsid w:val="00844E18"/>
    <w:rsid w:val="00844E44"/>
    <w:rsid w:val="00844F73"/>
    <w:rsid w:val="00844FA3"/>
    <w:rsid w:val="008450DD"/>
    <w:rsid w:val="00845162"/>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642"/>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A8C"/>
    <w:rsid w:val="00850AF1"/>
    <w:rsid w:val="00850B45"/>
    <w:rsid w:val="00850D55"/>
    <w:rsid w:val="00850E2E"/>
    <w:rsid w:val="00850F3C"/>
    <w:rsid w:val="00850F43"/>
    <w:rsid w:val="0085109F"/>
    <w:rsid w:val="00851144"/>
    <w:rsid w:val="008511DE"/>
    <w:rsid w:val="00851209"/>
    <w:rsid w:val="00851222"/>
    <w:rsid w:val="008516A9"/>
    <w:rsid w:val="008516DB"/>
    <w:rsid w:val="0085171D"/>
    <w:rsid w:val="0085171E"/>
    <w:rsid w:val="00851781"/>
    <w:rsid w:val="00851925"/>
    <w:rsid w:val="00851962"/>
    <w:rsid w:val="00851A1C"/>
    <w:rsid w:val="00851B86"/>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71"/>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D63"/>
    <w:rsid w:val="00856DE5"/>
    <w:rsid w:val="00856E2F"/>
    <w:rsid w:val="00856F0D"/>
    <w:rsid w:val="00856F4B"/>
    <w:rsid w:val="00856FFF"/>
    <w:rsid w:val="008570E1"/>
    <w:rsid w:val="008571F1"/>
    <w:rsid w:val="00857271"/>
    <w:rsid w:val="00857283"/>
    <w:rsid w:val="008572E8"/>
    <w:rsid w:val="00857483"/>
    <w:rsid w:val="008574A2"/>
    <w:rsid w:val="00857540"/>
    <w:rsid w:val="00857600"/>
    <w:rsid w:val="008576B3"/>
    <w:rsid w:val="008577C8"/>
    <w:rsid w:val="008578DA"/>
    <w:rsid w:val="008579E9"/>
    <w:rsid w:val="00857BEA"/>
    <w:rsid w:val="00857CB1"/>
    <w:rsid w:val="00857E44"/>
    <w:rsid w:val="00860128"/>
    <w:rsid w:val="008602B4"/>
    <w:rsid w:val="008603B7"/>
    <w:rsid w:val="00860547"/>
    <w:rsid w:val="00860666"/>
    <w:rsid w:val="00860705"/>
    <w:rsid w:val="00860779"/>
    <w:rsid w:val="00860AB2"/>
    <w:rsid w:val="00860B08"/>
    <w:rsid w:val="00860B24"/>
    <w:rsid w:val="00860F8E"/>
    <w:rsid w:val="00860FEE"/>
    <w:rsid w:val="0086100D"/>
    <w:rsid w:val="00861038"/>
    <w:rsid w:val="00861056"/>
    <w:rsid w:val="008615C3"/>
    <w:rsid w:val="00861617"/>
    <w:rsid w:val="0086168D"/>
    <w:rsid w:val="00861861"/>
    <w:rsid w:val="00861C67"/>
    <w:rsid w:val="00861D21"/>
    <w:rsid w:val="00861E0B"/>
    <w:rsid w:val="00861E6B"/>
    <w:rsid w:val="00861FB5"/>
    <w:rsid w:val="008620C2"/>
    <w:rsid w:val="00862357"/>
    <w:rsid w:val="008624D8"/>
    <w:rsid w:val="008625F8"/>
    <w:rsid w:val="0086266A"/>
    <w:rsid w:val="008626C2"/>
    <w:rsid w:val="00862816"/>
    <w:rsid w:val="008628AA"/>
    <w:rsid w:val="00862944"/>
    <w:rsid w:val="00862A01"/>
    <w:rsid w:val="00862C04"/>
    <w:rsid w:val="00862C99"/>
    <w:rsid w:val="00862DEC"/>
    <w:rsid w:val="00862EE3"/>
    <w:rsid w:val="00863144"/>
    <w:rsid w:val="00863199"/>
    <w:rsid w:val="00863487"/>
    <w:rsid w:val="008634EF"/>
    <w:rsid w:val="00863530"/>
    <w:rsid w:val="008637A1"/>
    <w:rsid w:val="008637BB"/>
    <w:rsid w:val="00863968"/>
    <w:rsid w:val="00863AC4"/>
    <w:rsid w:val="00863B79"/>
    <w:rsid w:val="00863CF1"/>
    <w:rsid w:val="00864042"/>
    <w:rsid w:val="008641B0"/>
    <w:rsid w:val="00864215"/>
    <w:rsid w:val="00864230"/>
    <w:rsid w:val="00864281"/>
    <w:rsid w:val="0086443E"/>
    <w:rsid w:val="008644AE"/>
    <w:rsid w:val="00864553"/>
    <w:rsid w:val="008646BE"/>
    <w:rsid w:val="00864762"/>
    <w:rsid w:val="0086476C"/>
    <w:rsid w:val="00864888"/>
    <w:rsid w:val="008648F8"/>
    <w:rsid w:val="00864993"/>
    <w:rsid w:val="0086499A"/>
    <w:rsid w:val="008649DF"/>
    <w:rsid w:val="008649F6"/>
    <w:rsid w:val="00864AF2"/>
    <w:rsid w:val="00864C1B"/>
    <w:rsid w:val="00864D65"/>
    <w:rsid w:val="00864D70"/>
    <w:rsid w:val="00864DA8"/>
    <w:rsid w:val="00864EAC"/>
    <w:rsid w:val="00864EAE"/>
    <w:rsid w:val="00864F55"/>
    <w:rsid w:val="00864F96"/>
    <w:rsid w:val="0086505A"/>
    <w:rsid w:val="00865161"/>
    <w:rsid w:val="008652F3"/>
    <w:rsid w:val="008654AD"/>
    <w:rsid w:val="00865547"/>
    <w:rsid w:val="00865790"/>
    <w:rsid w:val="00865AFD"/>
    <w:rsid w:val="00865B4E"/>
    <w:rsid w:val="00865F4C"/>
    <w:rsid w:val="008660BE"/>
    <w:rsid w:val="008662FD"/>
    <w:rsid w:val="0086640B"/>
    <w:rsid w:val="008664C8"/>
    <w:rsid w:val="008667BF"/>
    <w:rsid w:val="00866A25"/>
    <w:rsid w:val="00866B87"/>
    <w:rsid w:val="00866C6F"/>
    <w:rsid w:val="00866D23"/>
    <w:rsid w:val="00866D34"/>
    <w:rsid w:val="00866E0C"/>
    <w:rsid w:val="00866E48"/>
    <w:rsid w:val="00866EF1"/>
    <w:rsid w:val="00866FB2"/>
    <w:rsid w:val="00866FE1"/>
    <w:rsid w:val="00867064"/>
    <w:rsid w:val="00867304"/>
    <w:rsid w:val="00867324"/>
    <w:rsid w:val="0086747B"/>
    <w:rsid w:val="00867702"/>
    <w:rsid w:val="00867763"/>
    <w:rsid w:val="0086779B"/>
    <w:rsid w:val="00867801"/>
    <w:rsid w:val="0086780B"/>
    <w:rsid w:val="00867914"/>
    <w:rsid w:val="00867963"/>
    <w:rsid w:val="00867A1C"/>
    <w:rsid w:val="00867A73"/>
    <w:rsid w:val="00867E93"/>
    <w:rsid w:val="00867F3E"/>
    <w:rsid w:val="00867FD8"/>
    <w:rsid w:val="00870008"/>
    <w:rsid w:val="00870066"/>
    <w:rsid w:val="008703FE"/>
    <w:rsid w:val="008705AB"/>
    <w:rsid w:val="008705CB"/>
    <w:rsid w:val="008706F1"/>
    <w:rsid w:val="00870790"/>
    <w:rsid w:val="008707C2"/>
    <w:rsid w:val="008707E4"/>
    <w:rsid w:val="0087087F"/>
    <w:rsid w:val="008708A9"/>
    <w:rsid w:val="008709B4"/>
    <w:rsid w:val="00870ACB"/>
    <w:rsid w:val="00870CB9"/>
    <w:rsid w:val="00870DFB"/>
    <w:rsid w:val="00870F68"/>
    <w:rsid w:val="008712FA"/>
    <w:rsid w:val="0087132D"/>
    <w:rsid w:val="008713BE"/>
    <w:rsid w:val="00871540"/>
    <w:rsid w:val="0087155A"/>
    <w:rsid w:val="008718AF"/>
    <w:rsid w:val="00871A2A"/>
    <w:rsid w:val="00871B09"/>
    <w:rsid w:val="00871B2E"/>
    <w:rsid w:val="00871B30"/>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D7E"/>
    <w:rsid w:val="00872EE0"/>
    <w:rsid w:val="00872F13"/>
    <w:rsid w:val="00872F4A"/>
    <w:rsid w:val="008730CC"/>
    <w:rsid w:val="008730D6"/>
    <w:rsid w:val="008733EE"/>
    <w:rsid w:val="00873575"/>
    <w:rsid w:val="008736EC"/>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EF7"/>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B89"/>
    <w:rsid w:val="00877C0D"/>
    <w:rsid w:val="00877CE8"/>
    <w:rsid w:val="00877E6A"/>
    <w:rsid w:val="00877EC2"/>
    <w:rsid w:val="00877EF4"/>
    <w:rsid w:val="0088024A"/>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0F61"/>
    <w:rsid w:val="008810B1"/>
    <w:rsid w:val="008812F0"/>
    <w:rsid w:val="00881430"/>
    <w:rsid w:val="008815F7"/>
    <w:rsid w:val="00881806"/>
    <w:rsid w:val="008818D5"/>
    <w:rsid w:val="00881910"/>
    <w:rsid w:val="00881992"/>
    <w:rsid w:val="00881A50"/>
    <w:rsid w:val="00881CF9"/>
    <w:rsid w:val="00881EE3"/>
    <w:rsid w:val="00881F39"/>
    <w:rsid w:val="0088201F"/>
    <w:rsid w:val="00882319"/>
    <w:rsid w:val="0088234D"/>
    <w:rsid w:val="00882369"/>
    <w:rsid w:val="00882408"/>
    <w:rsid w:val="00882512"/>
    <w:rsid w:val="008825A0"/>
    <w:rsid w:val="0088263E"/>
    <w:rsid w:val="008826C1"/>
    <w:rsid w:val="00882770"/>
    <w:rsid w:val="0088278E"/>
    <w:rsid w:val="008827C6"/>
    <w:rsid w:val="0088291C"/>
    <w:rsid w:val="00882950"/>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B69"/>
    <w:rsid w:val="00883D9A"/>
    <w:rsid w:val="00883F0A"/>
    <w:rsid w:val="00884069"/>
    <w:rsid w:val="008843FD"/>
    <w:rsid w:val="008844D7"/>
    <w:rsid w:val="00884588"/>
    <w:rsid w:val="008847CF"/>
    <w:rsid w:val="00884825"/>
    <w:rsid w:val="00884833"/>
    <w:rsid w:val="00884A2C"/>
    <w:rsid w:val="00884BE2"/>
    <w:rsid w:val="00884CAF"/>
    <w:rsid w:val="00884E0F"/>
    <w:rsid w:val="00884EE3"/>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D2"/>
    <w:rsid w:val="00885CE0"/>
    <w:rsid w:val="00885D89"/>
    <w:rsid w:val="00885E52"/>
    <w:rsid w:val="00885F66"/>
    <w:rsid w:val="00885FF8"/>
    <w:rsid w:val="008861E8"/>
    <w:rsid w:val="008862BF"/>
    <w:rsid w:val="0088635E"/>
    <w:rsid w:val="008863D4"/>
    <w:rsid w:val="00886532"/>
    <w:rsid w:val="008866C5"/>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CDF"/>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C5"/>
    <w:rsid w:val="00890E00"/>
    <w:rsid w:val="00890E1A"/>
    <w:rsid w:val="00890E91"/>
    <w:rsid w:val="00890F1C"/>
    <w:rsid w:val="00890F42"/>
    <w:rsid w:val="008910B4"/>
    <w:rsid w:val="0089111F"/>
    <w:rsid w:val="0089146A"/>
    <w:rsid w:val="008915C2"/>
    <w:rsid w:val="008916FC"/>
    <w:rsid w:val="0089186E"/>
    <w:rsid w:val="00891944"/>
    <w:rsid w:val="00891B66"/>
    <w:rsid w:val="00891C48"/>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CE2"/>
    <w:rsid w:val="00892D23"/>
    <w:rsid w:val="00892D3E"/>
    <w:rsid w:val="00892E8E"/>
    <w:rsid w:val="00892EE4"/>
    <w:rsid w:val="00892F4A"/>
    <w:rsid w:val="00893096"/>
    <w:rsid w:val="008930CF"/>
    <w:rsid w:val="0089313A"/>
    <w:rsid w:val="00893155"/>
    <w:rsid w:val="0089351C"/>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C14"/>
    <w:rsid w:val="00894FEC"/>
    <w:rsid w:val="00895424"/>
    <w:rsid w:val="00895846"/>
    <w:rsid w:val="00895898"/>
    <w:rsid w:val="00895917"/>
    <w:rsid w:val="0089595B"/>
    <w:rsid w:val="00895A8A"/>
    <w:rsid w:val="00895AC4"/>
    <w:rsid w:val="00895BB2"/>
    <w:rsid w:val="00895E6E"/>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833"/>
    <w:rsid w:val="00897957"/>
    <w:rsid w:val="00897B83"/>
    <w:rsid w:val="00897D9C"/>
    <w:rsid w:val="00897DD5"/>
    <w:rsid w:val="00897ED6"/>
    <w:rsid w:val="00897FCD"/>
    <w:rsid w:val="008A018B"/>
    <w:rsid w:val="008A021E"/>
    <w:rsid w:val="008A028F"/>
    <w:rsid w:val="008A02A2"/>
    <w:rsid w:val="008A05A6"/>
    <w:rsid w:val="008A065A"/>
    <w:rsid w:val="008A07A3"/>
    <w:rsid w:val="008A09A2"/>
    <w:rsid w:val="008A0B65"/>
    <w:rsid w:val="008A0C18"/>
    <w:rsid w:val="008A0D33"/>
    <w:rsid w:val="008A0D55"/>
    <w:rsid w:val="008A0E29"/>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B9E"/>
    <w:rsid w:val="008A1CD0"/>
    <w:rsid w:val="008A1F4C"/>
    <w:rsid w:val="008A1F9F"/>
    <w:rsid w:val="008A1FE3"/>
    <w:rsid w:val="008A2115"/>
    <w:rsid w:val="008A2191"/>
    <w:rsid w:val="008A2206"/>
    <w:rsid w:val="008A23E4"/>
    <w:rsid w:val="008A246D"/>
    <w:rsid w:val="008A28DD"/>
    <w:rsid w:val="008A2AE2"/>
    <w:rsid w:val="008A2CBE"/>
    <w:rsid w:val="008A2CD3"/>
    <w:rsid w:val="008A2DCF"/>
    <w:rsid w:val="008A2F9E"/>
    <w:rsid w:val="008A3010"/>
    <w:rsid w:val="008A3022"/>
    <w:rsid w:val="008A308E"/>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FF"/>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EBD"/>
    <w:rsid w:val="008A5FDA"/>
    <w:rsid w:val="008A6043"/>
    <w:rsid w:val="008A6084"/>
    <w:rsid w:val="008A60EC"/>
    <w:rsid w:val="008A6107"/>
    <w:rsid w:val="008A6124"/>
    <w:rsid w:val="008A61B7"/>
    <w:rsid w:val="008A631E"/>
    <w:rsid w:val="008A6400"/>
    <w:rsid w:val="008A6419"/>
    <w:rsid w:val="008A6518"/>
    <w:rsid w:val="008A652E"/>
    <w:rsid w:val="008A6569"/>
    <w:rsid w:val="008A6576"/>
    <w:rsid w:val="008A658E"/>
    <w:rsid w:val="008A68AE"/>
    <w:rsid w:val="008A68F2"/>
    <w:rsid w:val="008A690E"/>
    <w:rsid w:val="008A69C6"/>
    <w:rsid w:val="008A6B6F"/>
    <w:rsid w:val="008A6BD5"/>
    <w:rsid w:val="008A6CFE"/>
    <w:rsid w:val="008A6D71"/>
    <w:rsid w:val="008A6DCD"/>
    <w:rsid w:val="008A6E1A"/>
    <w:rsid w:val="008A7243"/>
    <w:rsid w:val="008A728A"/>
    <w:rsid w:val="008A72A2"/>
    <w:rsid w:val="008A72D7"/>
    <w:rsid w:val="008A72F3"/>
    <w:rsid w:val="008A7412"/>
    <w:rsid w:val="008A7422"/>
    <w:rsid w:val="008A74BC"/>
    <w:rsid w:val="008A74E7"/>
    <w:rsid w:val="008A75F1"/>
    <w:rsid w:val="008A764A"/>
    <w:rsid w:val="008A76C1"/>
    <w:rsid w:val="008A76C7"/>
    <w:rsid w:val="008A78A0"/>
    <w:rsid w:val="008A79F0"/>
    <w:rsid w:val="008A7B2F"/>
    <w:rsid w:val="008A7BB2"/>
    <w:rsid w:val="008A7C52"/>
    <w:rsid w:val="008A7CCF"/>
    <w:rsid w:val="008A7F00"/>
    <w:rsid w:val="008B0175"/>
    <w:rsid w:val="008B01F2"/>
    <w:rsid w:val="008B0424"/>
    <w:rsid w:val="008B04E0"/>
    <w:rsid w:val="008B0549"/>
    <w:rsid w:val="008B0610"/>
    <w:rsid w:val="008B065D"/>
    <w:rsid w:val="008B07FF"/>
    <w:rsid w:val="008B082B"/>
    <w:rsid w:val="008B0AF4"/>
    <w:rsid w:val="008B0C23"/>
    <w:rsid w:val="008B0C62"/>
    <w:rsid w:val="008B0C90"/>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1F77"/>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27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67"/>
    <w:rsid w:val="008B4B72"/>
    <w:rsid w:val="008B4BEC"/>
    <w:rsid w:val="008B4CB1"/>
    <w:rsid w:val="008B4D5B"/>
    <w:rsid w:val="008B4D76"/>
    <w:rsid w:val="008B4E0D"/>
    <w:rsid w:val="008B4FF6"/>
    <w:rsid w:val="008B503F"/>
    <w:rsid w:val="008B5148"/>
    <w:rsid w:val="008B5287"/>
    <w:rsid w:val="008B53A5"/>
    <w:rsid w:val="008B54FF"/>
    <w:rsid w:val="008B559D"/>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ADA"/>
    <w:rsid w:val="008B6B5F"/>
    <w:rsid w:val="008B6BF4"/>
    <w:rsid w:val="008B6C04"/>
    <w:rsid w:val="008B6C97"/>
    <w:rsid w:val="008B6CB5"/>
    <w:rsid w:val="008B6F0C"/>
    <w:rsid w:val="008B6F61"/>
    <w:rsid w:val="008B70FB"/>
    <w:rsid w:val="008B71E1"/>
    <w:rsid w:val="008B71F3"/>
    <w:rsid w:val="008B7215"/>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16"/>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A3"/>
    <w:rsid w:val="008C2353"/>
    <w:rsid w:val="008C2403"/>
    <w:rsid w:val="008C2502"/>
    <w:rsid w:val="008C2572"/>
    <w:rsid w:val="008C26AB"/>
    <w:rsid w:val="008C26E9"/>
    <w:rsid w:val="008C2B53"/>
    <w:rsid w:val="008C2D62"/>
    <w:rsid w:val="008C2DD4"/>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909"/>
    <w:rsid w:val="008C4A08"/>
    <w:rsid w:val="008C4A32"/>
    <w:rsid w:val="008C4A45"/>
    <w:rsid w:val="008C4B2E"/>
    <w:rsid w:val="008C5041"/>
    <w:rsid w:val="008C5157"/>
    <w:rsid w:val="008C522A"/>
    <w:rsid w:val="008C53BF"/>
    <w:rsid w:val="008C5672"/>
    <w:rsid w:val="008C56BC"/>
    <w:rsid w:val="008C5815"/>
    <w:rsid w:val="008C5880"/>
    <w:rsid w:val="008C5881"/>
    <w:rsid w:val="008C59D2"/>
    <w:rsid w:val="008C5C45"/>
    <w:rsid w:val="008C5D25"/>
    <w:rsid w:val="008C5DC5"/>
    <w:rsid w:val="008C5F09"/>
    <w:rsid w:val="008C5F0F"/>
    <w:rsid w:val="008C606E"/>
    <w:rsid w:val="008C60F6"/>
    <w:rsid w:val="008C611E"/>
    <w:rsid w:val="008C61DF"/>
    <w:rsid w:val="008C62BD"/>
    <w:rsid w:val="008C6332"/>
    <w:rsid w:val="008C6349"/>
    <w:rsid w:val="008C6425"/>
    <w:rsid w:val="008C6574"/>
    <w:rsid w:val="008C662C"/>
    <w:rsid w:val="008C6709"/>
    <w:rsid w:val="008C6792"/>
    <w:rsid w:val="008C6A10"/>
    <w:rsid w:val="008C6A6C"/>
    <w:rsid w:val="008C6B7A"/>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2B8"/>
    <w:rsid w:val="008D0424"/>
    <w:rsid w:val="008D04C8"/>
    <w:rsid w:val="008D052C"/>
    <w:rsid w:val="008D0666"/>
    <w:rsid w:val="008D0769"/>
    <w:rsid w:val="008D07EF"/>
    <w:rsid w:val="008D08AB"/>
    <w:rsid w:val="008D0908"/>
    <w:rsid w:val="008D0BFE"/>
    <w:rsid w:val="008D0CED"/>
    <w:rsid w:val="008D0EC5"/>
    <w:rsid w:val="008D0EFC"/>
    <w:rsid w:val="008D0FEB"/>
    <w:rsid w:val="008D10E3"/>
    <w:rsid w:val="008D14B7"/>
    <w:rsid w:val="008D18E8"/>
    <w:rsid w:val="008D195F"/>
    <w:rsid w:val="008D1983"/>
    <w:rsid w:val="008D1AB5"/>
    <w:rsid w:val="008D1B58"/>
    <w:rsid w:val="008D1C47"/>
    <w:rsid w:val="008D1CEB"/>
    <w:rsid w:val="008D1D7A"/>
    <w:rsid w:val="008D1E29"/>
    <w:rsid w:val="008D1E2C"/>
    <w:rsid w:val="008D1E2F"/>
    <w:rsid w:val="008D1E47"/>
    <w:rsid w:val="008D1EEC"/>
    <w:rsid w:val="008D20C7"/>
    <w:rsid w:val="008D23DE"/>
    <w:rsid w:val="008D248F"/>
    <w:rsid w:val="008D24AC"/>
    <w:rsid w:val="008D24EB"/>
    <w:rsid w:val="008D2584"/>
    <w:rsid w:val="008D2734"/>
    <w:rsid w:val="008D2825"/>
    <w:rsid w:val="008D293A"/>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7EC"/>
    <w:rsid w:val="008D4995"/>
    <w:rsid w:val="008D4A31"/>
    <w:rsid w:val="008D4AC0"/>
    <w:rsid w:val="008D4ADC"/>
    <w:rsid w:val="008D4B43"/>
    <w:rsid w:val="008D4BAB"/>
    <w:rsid w:val="008D4C08"/>
    <w:rsid w:val="008D4C5A"/>
    <w:rsid w:val="008D4E78"/>
    <w:rsid w:val="008D4ECD"/>
    <w:rsid w:val="008D4ED4"/>
    <w:rsid w:val="008D4F43"/>
    <w:rsid w:val="008D4F8D"/>
    <w:rsid w:val="008D4FA1"/>
    <w:rsid w:val="008D503B"/>
    <w:rsid w:val="008D50C8"/>
    <w:rsid w:val="008D5296"/>
    <w:rsid w:val="008D53DB"/>
    <w:rsid w:val="008D55B9"/>
    <w:rsid w:val="008D561B"/>
    <w:rsid w:val="008D563E"/>
    <w:rsid w:val="008D5A6A"/>
    <w:rsid w:val="008D5C28"/>
    <w:rsid w:val="008D5C69"/>
    <w:rsid w:val="008D5CA1"/>
    <w:rsid w:val="008D5CD3"/>
    <w:rsid w:val="008D5CFE"/>
    <w:rsid w:val="008D5FD9"/>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6FA8"/>
    <w:rsid w:val="008D72D0"/>
    <w:rsid w:val="008D749D"/>
    <w:rsid w:val="008D753D"/>
    <w:rsid w:val="008D757A"/>
    <w:rsid w:val="008D75E3"/>
    <w:rsid w:val="008D7723"/>
    <w:rsid w:val="008D7759"/>
    <w:rsid w:val="008D7B10"/>
    <w:rsid w:val="008D7BD8"/>
    <w:rsid w:val="008D7CBE"/>
    <w:rsid w:val="008D7E59"/>
    <w:rsid w:val="008D7F07"/>
    <w:rsid w:val="008D7F69"/>
    <w:rsid w:val="008D7FD8"/>
    <w:rsid w:val="008E0021"/>
    <w:rsid w:val="008E0143"/>
    <w:rsid w:val="008E01FE"/>
    <w:rsid w:val="008E03E4"/>
    <w:rsid w:val="008E0452"/>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44"/>
    <w:rsid w:val="008E4191"/>
    <w:rsid w:val="008E41D4"/>
    <w:rsid w:val="008E43B7"/>
    <w:rsid w:val="008E444E"/>
    <w:rsid w:val="008E4508"/>
    <w:rsid w:val="008E4781"/>
    <w:rsid w:val="008E493C"/>
    <w:rsid w:val="008E49B3"/>
    <w:rsid w:val="008E49B7"/>
    <w:rsid w:val="008E4AA3"/>
    <w:rsid w:val="008E4BE7"/>
    <w:rsid w:val="008E4CA9"/>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0C0"/>
    <w:rsid w:val="008E712B"/>
    <w:rsid w:val="008E7159"/>
    <w:rsid w:val="008E719C"/>
    <w:rsid w:val="008E71F4"/>
    <w:rsid w:val="008E72A6"/>
    <w:rsid w:val="008E72EC"/>
    <w:rsid w:val="008E72F9"/>
    <w:rsid w:val="008E7307"/>
    <w:rsid w:val="008E737D"/>
    <w:rsid w:val="008E742A"/>
    <w:rsid w:val="008E753F"/>
    <w:rsid w:val="008E779F"/>
    <w:rsid w:val="008E77B6"/>
    <w:rsid w:val="008E77F3"/>
    <w:rsid w:val="008E787B"/>
    <w:rsid w:val="008E78F6"/>
    <w:rsid w:val="008E7978"/>
    <w:rsid w:val="008E7A0C"/>
    <w:rsid w:val="008E7AB2"/>
    <w:rsid w:val="008E7ACD"/>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86E"/>
    <w:rsid w:val="008F2B45"/>
    <w:rsid w:val="008F2B62"/>
    <w:rsid w:val="008F2BE5"/>
    <w:rsid w:val="008F2C25"/>
    <w:rsid w:val="008F2C5C"/>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E92"/>
    <w:rsid w:val="008F4F1E"/>
    <w:rsid w:val="008F51AD"/>
    <w:rsid w:val="008F527C"/>
    <w:rsid w:val="008F5282"/>
    <w:rsid w:val="008F5289"/>
    <w:rsid w:val="008F549C"/>
    <w:rsid w:val="008F549D"/>
    <w:rsid w:val="008F5599"/>
    <w:rsid w:val="008F55D0"/>
    <w:rsid w:val="008F573B"/>
    <w:rsid w:val="008F5890"/>
    <w:rsid w:val="008F58B6"/>
    <w:rsid w:val="008F5963"/>
    <w:rsid w:val="008F5992"/>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E3A"/>
    <w:rsid w:val="008F6F23"/>
    <w:rsid w:val="008F6F9B"/>
    <w:rsid w:val="008F7005"/>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3E94"/>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375"/>
    <w:rsid w:val="00905410"/>
    <w:rsid w:val="00905824"/>
    <w:rsid w:val="00905BF3"/>
    <w:rsid w:val="00905BF6"/>
    <w:rsid w:val="00905E1A"/>
    <w:rsid w:val="00905E35"/>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C4"/>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4D"/>
    <w:rsid w:val="00910181"/>
    <w:rsid w:val="009101F7"/>
    <w:rsid w:val="00910256"/>
    <w:rsid w:val="0091056F"/>
    <w:rsid w:val="009105B5"/>
    <w:rsid w:val="00910600"/>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31"/>
    <w:rsid w:val="0091199A"/>
    <w:rsid w:val="00911B9C"/>
    <w:rsid w:val="00911DD2"/>
    <w:rsid w:val="00911E4F"/>
    <w:rsid w:val="00911EB2"/>
    <w:rsid w:val="00912060"/>
    <w:rsid w:val="009121F8"/>
    <w:rsid w:val="00912266"/>
    <w:rsid w:val="0091236E"/>
    <w:rsid w:val="00912422"/>
    <w:rsid w:val="0091257C"/>
    <w:rsid w:val="0091259F"/>
    <w:rsid w:val="009125C1"/>
    <w:rsid w:val="00912605"/>
    <w:rsid w:val="00912634"/>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4DE"/>
    <w:rsid w:val="00913976"/>
    <w:rsid w:val="00913A87"/>
    <w:rsid w:val="00913AA9"/>
    <w:rsid w:val="00913B73"/>
    <w:rsid w:val="00913C26"/>
    <w:rsid w:val="00913D2B"/>
    <w:rsid w:val="00913E35"/>
    <w:rsid w:val="00913E73"/>
    <w:rsid w:val="00913FC9"/>
    <w:rsid w:val="0091400E"/>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23"/>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6EC7"/>
    <w:rsid w:val="00917075"/>
    <w:rsid w:val="009171AE"/>
    <w:rsid w:val="0091728C"/>
    <w:rsid w:val="00917328"/>
    <w:rsid w:val="009173D3"/>
    <w:rsid w:val="009174FF"/>
    <w:rsid w:val="0091755C"/>
    <w:rsid w:val="009175D1"/>
    <w:rsid w:val="009176B1"/>
    <w:rsid w:val="0091779A"/>
    <w:rsid w:val="00917A64"/>
    <w:rsid w:val="00917AE6"/>
    <w:rsid w:val="00917B4B"/>
    <w:rsid w:val="00917C41"/>
    <w:rsid w:val="00917D49"/>
    <w:rsid w:val="00917F55"/>
    <w:rsid w:val="00917FD7"/>
    <w:rsid w:val="00920199"/>
    <w:rsid w:val="0092020E"/>
    <w:rsid w:val="00920273"/>
    <w:rsid w:val="009202F1"/>
    <w:rsid w:val="0092031E"/>
    <w:rsid w:val="0092081F"/>
    <w:rsid w:val="00920A2E"/>
    <w:rsid w:val="00920A5C"/>
    <w:rsid w:val="00920B72"/>
    <w:rsid w:val="00920C26"/>
    <w:rsid w:val="00920C2D"/>
    <w:rsid w:val="00920C2E"/>
    <w:rsid w:val="00920CBD"/>
    <w:rsid w:val="00920E80"/>
    <w:rsid w:val="00920EFC"/>
    <w:rsid w:val="00921027"/>
    <w:rsid w:val="009213CC"/>
    <w:rsid w:val="009213E5"/>
    <w:rsid w:val="00921469"/>
    <w:rsid w:val="009214ED"/>
    <w:rsid w:val="00921505"/>
    <w:rsid w:val="0092155C"/>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980"/>
    <w:rsid w:val="00922A0C"/>
    <w:rsid w:val="00922A61"/>
    <w:rsid w:val="00922A76"/>
    <w:rsid w:val="00922AFC"/>
    <w:rsid w:val="00922B16"/>
    <w:rsid w:val="00922C39"/>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9F7"/>
    <w:rsid w:val="00923BD2"/>
    <w:rsid w:val="00923D53"/>
    <w:rsid w:val="00924174"/>
    <w:rsid w:val="0092436D"/>
    <w:rsid w:val="00924527"/>
    <w:rsid w:val="00924530"/>
    <w:rsid w:val="00924561"/>
    <w:rsid w:val="009245E5"/>
    <w:rsid w:val="009245FF"/>
    <w:rsid w:val="00924688"/>
    <w:rsid w:val="009247F6"/>
    <w:rsid w:val="0092481A"/>
    <w:rsid w:val="00924BD5"/>
    <w:rsid w:val="00924BFB"/>
    <w:rsid w:val="0092511A"/>
    <w:rsid w:val="009251C5"/>
    <w:rsid w:val="00925348"/>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19"/>
    <w:rsid w:val="00926E94"/>
    <w:rsid w:val="00926EB7"/>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55"/>
    <w:rsid w:val="009306C8"/>
    <w:rsid w:val="009307B8"/>
    <w:rsid w:val="00930946"/>
    <w:rsid w:val="00930A58"/>
    <w:rsid w:val="00930B2B"/>
    <w:rsid w:val="00930BF3"/>
    <w:rsid w:val="00930C75"/>
    <w:rsid w:val="00930C92"/>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78A"/>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C4E"/>
    <w:rsid w:val="00933D3B"/>
    <w:rsid w:val="00933E89"/>
    <w:rsid w:val="00934073"/>
    <w:rsid w:val="009340AB"/>
    <w:rsid w:val="00934132"/>
    <w:rsid w:val="0093434B"/>
    <w:rsid w:val="009343E8"/>
    <w:rsid w:val="009344F7"/>
    <w:rsid w:val="00934678"/>
    <w:rsid w:val="00934718"/>
    <w:rsid w:val="0093474B"/>
    <w:rsid w:val="0093475A"/>
    <w:rsid w:val="00934789"/>
    <w:rsid w:val="00934795"/>
    <w:rsid w:val="009349F6"/>
    <w:rsid w:val="00934B9B"/>
    <w:rsid w:val="00934CDA"/>
    <w:rsid w:val="00934E63"/>
    <w:rsid w:val="00934EB8"/>
    <w:rsid w:val="00935024"/>
    <w:rsid w:val="009350F8"/>
    <w:rsid w:val="0093525B"/>
    <w:rsid w:val="009352B5"/>
    <w:rsid w:val="009353BD"/>
    <w:rsid w:val="00935475"/>
    <w:rsid w:val="009354B2"/>
    <w:rsid w:val="00935511"/>
    <w:rsid w:val="00935628"/>
    <w:rsid w:val="009356AD"/>
    <w:rsid w:val="00935734"/>
    <w:rsid w:val="009357D3"/>
    <w:rsid w:val="00935BAC"/>
    <w:rsid w:val="00935C8D"/>
    <w:rsid w:val="00935D62"/>
    <w:rsid w:val="00935E3B"/>
    <w:rsid w:val="00935EF3"/>
    <w:rsid w:val="009361C9"/>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10"/>
    <w:rsid w:val="00937820"/>
    <w:rsid w:val="00937854"/>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C2C"/>
    <w:rsid w:val="00940FE6"/>
    <w:rsid w:val="0094100D"/>
    <w:rsid w:val="00941043"/>
    <w:rsid w:val="00941091"/>
    <w:rsid w:val="009410D7"/>
    <w:rsid w:val="009412A0"/>
    <w:rsid w:val="009412CB"/>
    <w:rsid w:val="009413DA"/>
    <w:rsid w:val="009414F8"/>
    <w:rsid w:val="009415C4"/>
    <w:rsid w:val="00941C9D"/>
    <w:rsid w:val="0094210D"/>
    <w:rsid w:val="0094215A"/>
    <w:rsid w:val="009422D1"/>
    <w:rsid w:val="009425F4"/>
    <w:rsid w:val="00942650"/>
    <w:rsid w:val="00942669"/>
    <w:rsid w:val="009426C0"/>
    <w:rsid w:val="00942705"/>
    <w:rsid w:val="00942719"/>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85D"/>
    <w:rsid w:val="0094697A"/>
    <w:rsid w:val="00946A77"/>
    <w:rsid w:val="00946AC1"/>
    <w:rsid w:val="00946B6E"/>
    <w:rsid w:val="00946C05"/>
    <w:rsid w:val="00946D84"/>
    <w:rsid w:val="00947082"/>
    <w:rsid w:val="009470CF"/>
    <w:rsid w:val="00947165"/>
    <w:rsid w:val="009471E2"/>
    <w:rsid w:val="009471FB"/>
    <w:rsid w:val="009472AF"/>
    <w:rsid w:val="00947399"/>
    <w:rsid w:val="009473DC"/>
    <w:rsid w:val="009475B7"/>
    <w:rsid w:val="00947710"/>
    <w:rsid w:val="00947BB0"/>
    <w:rsid w:val="00947CEB"/>
    <w:rsid w:val="00947E81"/>
    <w:rsid w:val="00947F6E"/>
    <w:rsid w:val="00947FE3"/>
    <w:rsid w:val="0095021A"/>
    <w:rsid w:val="00950296"/>
    <w:rsid w:val="009502EB"/>
    <w:rsid w:val="00950394"/>
    <w:rsid w:val="009503BB"/>
    <w:rsid w:val="00950696"/>
    <w:rsid w:val="0095074C"/>
    <w:rsid w:val="00950772"/>
    <w:rsid w:val="0095077A"/>
    <w:rsid w:val="00950953"/>
    <w:rsid w:val="00950A37"/>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9E1"/>
    <w:rsid w:val="00951C45"/>
    <w:rsid w:val="00951C93"/>
    <w:rsid w:val="00951F3F"/>
    <w:rsid w:val="00952016"/>
    <w:rsid w:val="0095221F"/>
    <w:rsid w:val="00952384"/>
    <w:rsid w:val="00952512"/>
    <w:rsid w:val="00952587"/>
    <w:rsid w:val="009527EE"/>
    <w:rsid w:val="009527F4"/>
    <w:rsid w:val="009528FA"/>
    <w:rsid w:val="00952949"/>
    <w:rsid w:val="00952A66"/>
    <w:rsid w:val="00952D7B"/>
    <w:rsid w:val="00952EED"/>
    <w:rsid w:val="00952F14"/>
    <w:rsid w:val="00952F31"/>
    <w:rsid w:val="00952F93"/>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AC3"/>
    <w:rsid w:val="00953B30"/>
    <w:rsid w:val="00953BB8"/>
    <w:rsid w:val="00953C1F"/>
    <w:rsid w:val="00954058"/>
    <w:rsid w:val="009541A0"/>
    <w:rsid w:val="009542D6"/>
    <w:rsid w:val="009543ED"/>
    <w:rsid w:val="0095454C"/>
    <w:rsid w:val="00954579"/>
    <w:rsid w:val="00954683"/>
    <w:rsid w:val="009546DA"/>
    <w:rsid w:val="0095471C"/>
    <w:rsid w:val="0095480C"/>
    <w:rsid w:val="0095487D"/>
    <w:rsid w:val="009548D9"/>
    <w:rsid w:val="009549AB"/>
    <w:rsid w:val="009549C8"/>
    <w:rsid w:val="00954B8E"/>
    <w:rsid w:val="00954C04"/>
    <w:rsid w:val="00954D8B"/>
    <w:rsid w:val="00954E0B"/>
    <w:rsid w:val="00954EFC"/>
    <w:rsid w:val="00955245"/>
    <w:rsid w:val="0095539A"/>
    <w:rsid w:val="009554D9"/>
    <w:rsid w:val="00955523"/>
    <w:rsid w:val="009555E3"/>
    <w:rsid w:val="009555E6"/>
    <w:rsid w:val="00955735"/>
    <w:rsid w:val="0095587C"/>
    <w:rsid w:val="0095593A"/>
    <w:rsid w:val="00955A44"/>
    <w:rsid w:val="00955CDF"/>
    <w:rsid w:val="00955DD2"/>
    <w:rsid w:val="00955DD4"/>
    <w:rsid w:val="00955E8A"/>
    <w:rsid w:val="00955FBD"/>
    <w:rsid w:val="00955FE4"/>
    <w:rsid w:val="0095607E"/>
    <w:rsid w:val="009560C4"/>
    <w:rsid w:val="0095611B"/>
    <w:rsid w:val="0095618F"/>
    <w:rsid w:val="00956193"/>
    <w:rsid w:val="00956303"/>
    <w:rsid w:val="00956453"/>
    <w:rsid w:val="00956496"/>
    <w:rsid w:val="0095654E"/>
    <w:rsid w:val="009568B6"/>
    <w:rsid w:val="00956C55"/>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AA9"/>
    <w:rsid w:val="00960D53"/>
    <w:rsid w:val="00960DAA"/>
    <w:rsid w:val="00960E17"/>
    <w:rsid w:val="00960FA9"/>
    <w:rsid w:val="00961347"/>
    <w:rsid w:val="0096150B"/>
    <w:rsid w:val="00961574"/>
    <w:rsid w:val="009615AF"/>
    <w:rsid w:val="00961795"/>
    <w:rsid w:val="009617F5"/>
    <w:rsid w:val="00961814"/>
    <w:rsid w:val="0096193F"/>
    <w:rsid w:val="00961B0C"/>
    <w:rsid w:val="00961B89"/>
    <w:rsid w:val="00961E64"/>
    <w:rsid w:val="009620E1"/>
    <w:rsid w:val="009621C6"/>
    <w:rsid w:val="009622E6"/>
    <w:rsid w:val="00962450"/>
    <w:rsid w:val="00962451"/>
    <w:rsid w:val="009626A3"/>
    <w:rsid w:val="009626DA"/>
    <w:rsid w:val="0096275B"/>
    <w:rsid w:val="00962866"/>
    <w:rsid w:val="0096288B"/>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7B0"/>
    <w:rsid w:val="0096480C"/>
    <w:rsid w:val="0096481E"/>
    <w:rsid w:val="00964BC2"/>
    <w:rsid w:val="00964CA4"/>
    <w:rsid w:val="00964DCF"/>
    <w:rsid w:val="009651DB"/>
    <w:rsid w:val="00965354"/>
    <w:rsid w:val="00965359"/>
    <w:rsid w:val="0096540C"/>
    <w:rsid w:val="0096543F"/>
    <w:rsid w:val="0096552E"/>
    <w:rsid w:val="009655A3"/>
    <w:rsid w:val="00965649"/>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0D"/>
    <w:rsid w:val="00966871"/>
    <w:rsid w:val="009669C9"/>
    <w:rsid w:val="00966A3D"/>
    <w:rsid w:val="00966A59"/>
    <w:rsid w:val="00966AAF"/>
    <w:rsid w:val="00966ACC"/>
    <w:rsid w:val="00966BE1"/>
    <w:rsid w:val="00966EA9"/>
    <w:rsid w:val="00967381"/>
    <w:rsid w:val="0096753B"/>
    <w:rsid w:val="009675F2"/>
    <w:rsid w:val="00967785"/>
    <w:rsid w:val="009677A6"/>
    <w:rsid w:val="009677E6"/>
    <w:rsid w:val="0096781F"/>
    <w:rsid w:val="0096787C"/>
    <w:rsid w:val="00967977"/>
    <w:rsid w:val="00967AAD"/>
    <w:rsid w:val="00967B85"/>
    <w:rsid w:val="00967BC7"/>
    <w:rsid w:val="00967BDE"/>
    <w:rsid w:val="00967D88"/>
    <w:rsid w:val="00970257"/>
    <w:rsid w:val="009704F7"/>
    <w:rsid w:val="0097088A"/>
    <w:rsid w:val="009709C4"/>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591"/>
    <w:rsid w:val="009746A1"/>
    <w:rsid w:val="009747E6"/>
    <w:rsid w:val="00974A13"/>
    <w:rsid w:val="00974A1C"/>
    <w:rsid w:val="00974B0A"/>
    <w:rsid w:val="00974C9B"/>
    <w:rsid w:val="00974D74"/>
    <w:rsid w:val="00974DA5"/>
    <w:rsid w:val="00974DD8"/>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5D"/>
    <w:rsid w:val="009768EC"/>
    <w:rsid w:val="00976949"/>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D60"/>
    <w:rsid w:val="00977FE7"/>
    <w:rsid w:val="00980200"/>
    <w:rsid w:val="0098025E"/>
    <w:rsid w:val="00980326"/>
    <w:rsid w:val="0098050E"/>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A9A"/>
    <w:rsid w:val="00982BEC"/>
    <w:rsid w:val="00982D27"/>
    <w:rsid w:val="00982D3F"/>
    <w:rsid w:val="00982EDA"/>
    <w:rsid w:val="00982FB5"/>
    <w:rsid w:val="0098308B"/>
    <w:rsid w:val="009830A5"/>
    <w:rsid w:val="00983227"/>
    <w:rsid w:val="009832AF"/>
    <w:rsid w:val="0098356F"/>
    <w:rsid w:val="009835F7"/>
    <w:rsid w:val="0098360C"/>
    <w:rsid w:val="00983846"/>
    <w:rsid w:val="00983B9C"/>
    <w:rsid w:val="00983BE4"/>
    <w:rsid w:val="00983C3F"/>
    <w:rsid w:val="00983DA3"/>
    <w:rsid w:val="00983F3D"/>
    <w:rsid w:val="00983F5F"/>
    <w:rsid w:val="009840A0"/>
    <w:rsid w:val="00984185"/>
    <w:rsid w:val="00984607"/>
    <w:rsid w:val="00984AF4"/>
    <w:rsid w:val="00984D52"/>
    <w:rsid w:val="00985290"/>
    <w:rsid w:val="00985359"/>
    <w:rsid w:val="00985369"/>
    <w:rsid w:val="0098539E"/>
    <w:rsid w:val="009853D0"/>
    <w:rsid w:val="009853FC"/>
    <w:rsid w:val="009857A7"/>
    <w:rsid w:val="0098594A"/>
    <w:rsid w:val="0098597B"/>
    <w:rsid w:val="00985C88"/>
    <w:rsid w:val="00985D86"/>
    <w:rsid w:val="00985E0B"/>
    <w:rsid w:val="00985E2C"/>
    <w:rsid w:val="00985E36"/>
    <w:rsid w:val="00985F07"/>
    <w:rsid w:val="00986111"/>
    <w:rsid w:val="0098618F"/>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410"/>
    <w:rsid w:val="009874A2"/>
    <w:rsid w:val="00987503"/>
    <w:rsid w:val="00987532"/>
    <w:rsid w:val="00987586"/>
    <w:rsid w:val="009875C6"/>
    <w:rsid w:val="0098763D"/>
    <w:rsid w:val="009876DA"/>
    <w:rsid w:val="00987A0E"/>
    <w:rsid w:val="00987C37"/>
    <w:rsid w:val="00987CB4"/>
    <w:rsid w:val="00987D4C"/>
    <w:rsid w:val="00987DF6"/>
    <w:rsid w:val="00987E11"/>
    <w:rsid w:val="00987FB6"/>
    <w:rsid w:val="0099008D"/>
    <w:rsid w:val="00990208"/>
    <w:rsid w:val="009904E2"/>
    <w:rsid w:val="0099053D"/>
    <w:rsid w:val="009905B6"/>
    <w:rsid w:val="009905F4"/>
    <w:rsid w:val="0099060D"/>
    <w:rsid w:val="0099062A"/>
    <w:rsid w:val="0099066C"/>
    <w:rsid w:val="0099069F"/>
    <w:rsid w:val="0099078C"/>
    <w:rsid w:val="0099086F"/>
    <w:rsid w:val="00990886"/>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D02"/>
    <w:rsid w:val="00991ECA"/>
    <w:rsid w:val="00991EEC"/>
    <w:rsid w:val="00991FAD"/>
    <w:rsid w:val="00992011"/>
    <w:rsid w:val="00992041"/>
    <w:rsid w:val="009920E3"/>
    <w:rsid w:val="009923C0"/>
    <w:rsid w:val="009925A1"/>
    <w:rsid w:val="009926D0"/>
    <w:rsid w:val="0099280E"/>
    <w:rsid w:val="00992A3A"/>
    <w:rsid w:val="00992BE1"/>
    <w:rsid w:val="00992D34"/>
    <w:rsid w:val="00992E19"/>
    <w:rsid w:val="00992E27"/>
    <w:rsid w:val="00992EC6"/>
    <w:rsid w:val="00992F02"/>
    <w:rsid w:val="00993050"/>
    <w:rsid w:val="00993353"/>
    <w:rsid w:val="009933EA"/>
    <w:rsid w:val="00993539"/>
    <w:rsid w:val="00993557"/>
    <w:rsid w:val="00993616"/>
    <w:rsid w:val="009936AC"/>
    <w:rsid w:val="00993873"/>
    <w:rsid w:val="00993A91"/>
    <w:rsid w:val="00993AE6"/>
    <w:rsid w:val="00993B7C"/>
    <w:rsid w:val="00993C19"/>
    <w:rsid w:val="00993CD8"/>
    <w:rsid w:val="00993CF2"/>
    <w:rsid w:val="00993D5E"/>
    <w:rsid w:val="00994016"/>
    <w:rsid w:val="009940C4"/>
    <w:rsid w:val="00994164"/>
    <w:rsid w:val="009941BC"/>
    <w:rsid w:val="00994291"/>
    <w:rsid w:val="009942FA"/>
    <w:rsid w:val="0099430C"/>
    <w:rsid w:val="0099441A"/>
    <w:rsid w:val="0099448D"/>
    <w:rsid w:val="00994494"/>
    <w:rsid w:val="00994551"/>
    <w:rsid w:val="009945AE"/>
    <w:rsid w:val="0099466C"/>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086"/>
    <w:rsid w:val="0099716D"/>
    <w:rsid w:val="009971E9"/>
    <w:rsid w:val="0099723D"/>
    <w:rsid w:val="009973DF"/>
    <w:rsid w:val="009974FE"/>
    <w:rsid w:val="009975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1D11"/>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CE"/>
    <w:rsid w:val="009A47E2"/>
    <w:rsid w:val="009A4824"/>
    <w:rsid w:val="009A4832"/>
    <w:rsid w:val="009A4969"/>
    <w:rsid w:val="009A49CE"/>
    <w:rsid w:val="009A4B8B"/>
    <w:rsid w:val="009A4CB7"/>
    <w:rsid w:val="009A4CF3"/>
    <w:rsid w:val="009A4D7D"/>
    <w:rsid w:val="009A5045"/>
    <w:rsid w:val="009A51E6"/>
    <w:rsid w:val="009A5292"/>
    <w:rsid w:val="009A532E"/>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8DC"/>
    <w:rsid w:val="009A69F3"/>
    <w:rsid w:val="009A6BD8"/>
    <w:rsid w:val="009A6CD7"/>
    <w:rsid w:val="009A6E32"/>
    <w:rsid w:val="009A6F83"/>
    <w:rsid w:val="009A7004"/>
    <w:rsid w:val="009A70AD"/>
    <w:rsid w:val="009A721C"/>
    <w:rsid w:val="009A738E"/>
    <w:rsid w:val="009A7883"/>
    <w:rsid w:val="009A7899"/>
    <w:rsid w:val="009A795E"/>
    <w:rsid w:val="009A7979"/>
    <w:rsid w:val="009A79CE"/>
    <w:rsid w:val="009A7AB3"/>
    <w:rsid w:val="009A7B11"/>
    <w:rsid w:val="009A7C1A"/>
    <w:rsid w:val="009A7C22"/>
    <w:rsid w:val="009A7C39"/>
    <w:rsid w:val="009A7C43"/>
    <w:rsid w:val="009A7E26"/>
    <w:rsid w:val="009A7EBA"/>
    <w:rsid w:val="009A7F87"/>
    <w:rsid w:val="009B012A"/>
    <w:rsid w:val="009B0138"/>
    <w:rsid w:val="009B014C"/>
    <w:rsid w:val="009B019E"/>
    <w:rsid w:val="009B0222"/>
    <w:rsid w:val="009B022A"/>
    <w:rsid w:val="009B03F6"/>
    <w:rsid w:val="009B048A"/>
    <w:rsid w:val="009B074E"/>
    <w:rsid w:val="009B08E8"/>
    <w:rsid w:val="009B08EA"/>
    <w:rsid w:val="009B094C"/>
    <w:rsid w:val="009B0B5E"/>
    <w:rsid w:val="009B0B67"/>
    <w:rsid w:val="009B0BC1"/>
    <w:rsid w:val="009B0BC3"/>
    <w:rsid w:val="009B0C6D"/>
    <w:rsid w:val="009B0CC7"/>
    <w:rsid w:val="009B0CE6"/>
    <w:rsid w:val="009B0D46"/>
    <w:rsid w:val="009B0E64"/>
    <w:rsid w:val="009B0E8B"/>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128"/>
    <w:rsid w:val="009B2295"/>
    <w:rsid w:val="009B23FE"/>
    <w:rsid w:val="009B243C"/>
    <w:rsid w:val="009B2524"/>
    <w:rsid w:val="009B25C8"/>
    <w:rsid w:val="009B25FB"/>
    <w:rsid w:val="009B2617"/>
    <w:rsid w:val="009B263E"/>
    <w:rsid w:val="009B275E"/>
    <w:rsid w:val="009B29F0"/>
    <w:rsid w:val="009B2B99"/>
    <w:rsid w:val="009B2C1E"/>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C1"/>
    <w:rsid w:val="009B43DD"/>
    <w:rsid w:val="009B4594"/>
    <w:rsid w:val="009B46C2"/>
    <w:rsid w:val="009B47BC"/>
    <w:rsid w:val="009B482B"/>
    <w:rsid w:val="009B4A58"/>
    <w:rsid w:val="009B4D5D"/>
    <w:rsid w:val="009B4FD4"/>
    <w:rsid w:val="009B50C7"/>
    <w:rsid w:val="009B51F3"/>
    <w:rsid w:val="009B52B9"/>
    <w:rsid w:val="009B534B"/>
    <w:rsid w:val="009B535E"/>
    <w:rsid w:val="009B54E4"/>
    <w:rsid w:val="009B563F"/>
    <w:rsid w:val="009B5678"/>
    <w:rsid w:val="009B57D3"/>
    <w:rsid w:val="009B58EA"/>
    <w:rsid w:val="009B5993"/>
    <w:rsid w:val="009B5A54"/>
    <w:rsid w:val="009B5ADB"/>
    <w:rsid w:val="009B5C56"/>
    <w:rsid w:val="009B5D56"/>
    <w:rsid w:val="009B5E60"/>
    <w:rsid w:val="009B5EBC"/>
    <w:rsid w:val="009B60F6"/>
    <w:rsid w:val="009B6127"/>
    <w:rsid w:val="009B6181"/>
    <w:rsid w:val="009B61A6"/>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77"/>
    <w:rsid w:val="009C0295"/>
    <w:rsid w:val="009C03DC"/>
    <w:rsid w:val="009C0431"/>
    <w:rsid w:val="009C0516"/>
    <w:rsid w:val="009C0653"/>
    <w:rsid w:val="009C072F"/>
    <w:rsid w:val="009C07DF"/>
    <w:rsid w:val="009C0815"/>
    <w:rsid w:val="009C0894"/>
    <w:rsid w:val="009C0927"/>
    <w:rsid w:val="009C09A1"/>
    <w:rsid w:val="009C0A1C"/>
    <w:rsid w:val="009C0AC5"/>
    <w:rsid w:val="009C0DEC"/>
    <w:rsid w:val="009C105C"/>
    <w:rsid w:val="009C11FA"/>
    <w:rsid w:val="009C129C"/>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2D3"/>
    <w:rsid w:val="009C23AB"/>
    <w:rsid w:val="009C24A1"/>
    <w:rsid w:val="009C2544"/>
    <w:rsid w:val="009C2597"/>
    <w:rsid w:val="009C27D3"/>
    <w:rsid w:val="009C27FA"/>
    <w:rsid w:val="009C28A1"/>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6B6"/>
    <w:rsid w:val="009C38C1"/>
    <w:rsid w:val="009C39A1"/>
    <w:rsid w:val="009C3ADC"/>
    <w:rsid w:val="009C3CEE"/>
    <w:rsid w:val="009C3D66"/>
    <w:rsid w:val="009C3DBF"/>
    <w:rsid w:val="009C3E99"/>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8A6"/>
    <w:rsid w:val="009C494C"/>
    <w:rsid w:val="009C4AD8"/>
    <w:rsid w:val="009C4B7E"/>
    <w:rsid w:val="009C4C0D"/>
    <w:rsid w:val="009C4D59"/>
    <w:rsid w:val="009C4DB8"/>
    <w:rsid w:val="009C4E03"/>
    <w:rsid w:val="009C50EA"/>
    <w:rsid w:val="009C521E"/>
    <w:rsid w:val="009C523B"/>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3F0"/>
    <w:rsid w:val="009C6440"/>
    <w:rsid w:val="009C6464"/>
    <w:rsid w:val="009C64BA"/>
    <w:rsid w:val="009C68CB"/>
    <w:rsid w:val="009C69B1"/>
    <w:rsid w:val="009C69BB"/>
    <w:rsid w:val="009C69D8"/>
    <w:rsid w:val="009C6AC9"/>
    <w:rsid w:val="009C6D0F"/>
    <w:rsid w:val="009C6D7D"/>
    <w:rsid w:val="009C6F44"/>
    <w:rsid w:val="009C6FB6"/>
    <w:rsid w:val="009C7037"/>
    <w:rsid w:val="009C718C"/>
    <w:rsid w:val="009C7324"/>
    <w:rsid w:val="009C7382"/>
    <w:rsid w:val="009C73CA"/>
    <w:rsid w:val="009C7432"/>
    <w:rsid w:val="009C791D"/>
    <w:rsid w:val="009C796C"/>
    <w:rsid w:val="009C799A"/>
    <w:rsid w:val="009C7E04"/>
    <w:rsid w:val="009D00F1"/>
    <w:rsid w:val="009D0165"/>
    <w:rsid w:val="009D0298"/>
    <w:rsid w:val="009D03E6"/>
    <w:rsid w:val="009D0411"/>
    <w:rsid w:val="009D0420"/>
    <w:rsid w:val="009D04CB"/>
    <w:rsid w:val="009D07AD"/>
    <w:rsid w:val="009D0A51"/>
    <w:rsid w:val="009D0ABA"/>
    <w:rsid w:val="009D0E4B"/>
    <w:rsid w:val="009D0E61"/>
    <w:rsid w:val="009D1016"/>
    <w:rsid w:val="009D1201"/>
    <w:rsid w:val="009D120A"/>
    <w:rsid w:val="009D1377"/>
    <w:rsid w:val="009D1450"/>
    <w:rsid w:val="009D15DD"/>
    <w:rsid w:val="009D160C"/>
    <w:rsid w:val="009D16CB"/>
    <w:rsid w:val="009D1738"/>
    <w:rsid w:val="009D178C"/>
    <w:rsid w:val="009D186D"/>
    <w:rsid w:val="009D18C4"/>
    <w:rsid w:val="009D19A0"/>
    <w:rsid w:val="009D1A15"/>
    <w:rsid w:val="009D1A60"/>
    <w:rsid w:val="009D1B23"/>
    <w:rsid w:val="009D1BA3"/>
    <w:rsid w:val="009D1C61"/>
    <w:rsid w:val="009D1C8F"/>
    <w:rsid w:val="009D1CBA"/>
    <w:rsid w:val="009D1D81"/>
    <w:rsid w:val="009D1DEE"/>
    <w:rsid w:val="009D1F98"/>
    <w:rsid w:val="009D20D2"/>
    <w:rsid w:val="009D2203"/>
    <w:rsid w:val="009D2340"/>
    <w:rsid w:val="009D2430"/>
    <w:rsid w:val="009D24BE"/>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CF1"/>
    <w:rsid w:val="009D3EDD"/>
    <w:rsid w:val="009D3F35"/>
    <w:rsid w:val="009D4019"/>
    <w:rsid w:val="009D413F"/>
    <w:rsid w:val="009D4167"/>
    <w:rsid w:val="009D41AB"/>
    <w:rsid w:val="009D44B9"/>
    <w:rsid w:val="009D4607"/>
    <w:rsid w:val="009D476F"/>
    <w:rsid w:val="009D4962"/>
    <w:rsid w:val="009D496D"/>
    <w:rsid w:val="009D49A4"/>
    <w:rsid w:val="009D4BB5"/>
    <w:rsid w:val="009D4CAB"/>
    <w:rsid w:val="009D4D3B"/>
    <w:rsid w:val="009D4EA4"/>
    <w:rsid w:val="009D4EB8"/>
    <w:rsid w:val="009D4FC5"/>
    <w:rsid w:val="009D5035"/>
    <w:rsid w:val="009D513C"/>
    <w:rsid w:val="009D5221"/>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44F"/>
    <w:rsid w:val="009D745D"/>
    <w:rsid w:val="009D7691"/>
    <w:rsid w:val="009D770F"/>
    <w:rsid w:val="009D776D"/>
    <w:rsid w:val="009D7AEB"/>
    <w:rsid w:val="009D7C46"/>
    <w:rsid w:val="009D7CB4"/>
    <w:rsid w:val="009D7D05"/>
    <w:rsid w:val="009D7D5E"/>
    <w:rsid w:val="009D7DAA"/>
    <w:rsid w:val="009D7E48"/>
    <w:rsid w:val="009D7F39"/>
    <w:rsid w:val="009E0027"/>
    <w:rsid w:val="009E003A"/>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BF"/>
    <w:rsid w:val="009E15DD"/>
    <w:rsid w:val="009E1750"/>
    <w:rsid w:val="009E17AF"/>
    <w:rsid w:val="009E17F2"/>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7B0"/>
    <w:rsid w:val="009E2A58"/>
    <w:rsid w:val="009E2B37"/>
    <w:rsid w:val="009E2CC4"/>
    <w:rsid w:val="009E2F8D"/>
    <w:rsid w:val="009E3046"/>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4026"/>
    <w:rsid w:val="009E40FD"/>
    <w:rsid w:val="009E4231"/>
    <w:rsid w:val="009E4288"/>
    <w:rsid w:val="009E4367"/>
    <w:rsid w:val="009E4430"/>
    <w:rsid w:val="009E448A"/>
    <w:rsid w:val="009E44F6"/>
    <w:rsid w:val="009E47B4"/>
    <w:rsid w:val="009E4803"/>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86"/>
    <w:rsid w:val="009E5AF5"/>
    <w:rsid w:val="009E5BAC"/>
    <w:rsid w:val="009E5BFD"/>
    <w:rsid w:val="009E5C0C"/>
    <w:rsid w:val="009E5C6C"/>
    <w:rsid w:val="009E5D63"/>
    <w:rsid w:val="009E5DB3"/>
    <w:rsid w:val="009E5E2B"/>
    <w:rsid w:val="009E5FF9"/>
    <w:rsid w:val="009E6005"/>
    <w:rsid w:val="009E611E"/>
    <w:rsid w:val="009E6269"/>
    <w:rsid w:val="009E6274"/>
    <w:rsid w:val="009E635C"/>
    <w:rsid w:val="009E6585"/>
    <w:rsid w:val="009E6600"/>
    <w:rsid w:val="009E6677"/>
    <w:rsid w:val="009E6905"/>
    <w:rsid w:val="009E6AC4"/>
    <w:rsid w:val="009E6AD9"/>
    <w:rsid w:val="009E6BBB"/>
    <w:rsid w:val="009E6C2E"/>
    <w:rsid w:val="009E6C70"/>
    <w:rsid w:val="009E6DFF"/>
    <w:rsid w:val="009E6E10"/>
    <w:rsid w:val="009E6E43"/>
    <w:rsid w:val="009E6F13"/>
    <w:rsid w:val="009E6F9C"/>
    <w:rsid w:val="009E727F"/>
    <w:rsid w:val="009E72E5"/>
    <w:rsid w:val="009E755C"/>
    <w:rsid w:val="009E75F8"/>
    <w:rsid w:val="009E764D"/>
    <w:rsid w:val="009E76C9"/>
    <w:rsid w:val="009E76F4"/>
    <w:rsid w:val="009E771B"/>
    <w:rsid w:val="009E78EB"/>
    <w:rsid w:val="009E7AF7"/>
    <w:rsid w:val="009E7B2E"/>
    <w:rsid w:val="009E7B97"/>
    <w:rsid w:val="009E7EA0"/>
    <w:rsid w:val="009E7EBF"/>
    <w:rsid w:val="009E7F0C"/>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06E"/>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737"/>
    <w:rsid w:val="009F4748"/>
    <w:rsid w:val="009F47CC"/>
    <w:rsid w:val="009F4B5D"/>
    <w:rsid w:val="009F4B92"/>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340"/>
    <w:rsid w:val="009F6570"/>
    <w:rsid w:val="009F65C6"/>
    <w:rsid w:val="009F65D8"/>
    <w:rsid w:val="009F6643"/>
    <w:rsid w:val="009F664F"/>
    <w:rsid w:val="009F66C6"/>
    <w:rsid w:val="009F6753"/>
    <w:rsid w:val="009F67FD"/>
    <w:rsid w:val="009F684B"/>
    <w:rsid w:val="009F68CA"/>
    <w:rsid w:val="009F68D1"/>
    <w:rsid w:val="009F6ADD"/>
    <w:rsid w:val="009F6C3F"/>
    <w:rsid w:val="009F6C4A"/>
    <w:rsid w:val="009F6D70"/>
    <w:rsid w:val="009F6DE5"/>
    <w:rsid w:val="009F6E11"/>
    <w:rsid w:val="009F6E7F"/>
    <w:rsid w:val="009F6ED7"/>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496"/>
    <w:rsid w:val="00A006C7"/>
    <w:rsid w:val="00A006CE"/>
    <w:rsid w:val="00A00768"/>
    <w:rsid w:val="00A0090C"/>
    <w:rsid w:val="00A00A37"/>
    <w:rsid w:val="00A00BD2"/>
    <w:rsid w:val="00A00C7F"/>
    <w:rsid w:val="00A00CEC"/>
    <w:rsid w:val="00A00E68"/>
    <w:rsid w:val="00A00F2A"/>
    <w:rsid w:val="00A00F9A"/>
    <w:rsid w:val="00A01125"/>
    <w:rsid w:val="00A01504"/>
    <w:rsid w:val="00A01750"/>
    <w:rsid w:val="00A0181C"/>
    <w:rsid w:val="00A018EB"/>
    <w:rsid w:val="00A019F0"/>
    <w:rsid w:val="00A01A27"/>
    <w:rsid w:val="00A01E3D"/>
    <w:rsid w:val="00A01F22"/>
    <w:rsid w:val="00A01FED"/>
    <w:rsid w:val="00A020A4"/>
    <w:rsid w:val="00A02143"/>
    <w:rsid w:val="00A022B0"/>
    <w:rsid w:val="00A023E7"/>
    <w:rsid w:val="00A02421"/>
    <w:rsid w:val="00A02506"/>
    <w:rsid w:val="00A0256A"/>
    <w:rsid w:val="00A02672"/>
    <w:rsid w:val="00A027EB"/>
    <w:rsid w:val="00A02A5D"/>
    <w:rsid w:val="00A02AEA"/>
    <w:rsid w:val="00A02AFF"/>
    <w:rsid w:val="00A02C38"/>
    <w:rsid w:val="00A02D03"/>
    <w:rsid w:val="00A03014"/>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23"/>
    <w:rsid w:val="00A04632"/>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EC4"/>
    <w:rsid w:val="00A05FF0"/>
    <w:rsid w:val="00A06060"/>
    <w:rsid w:val="00A0608F"/>
    <w:rsid w:val="00A06204"/>
    <w:rsid w:val="00A06384"/>
    <w:rsid w:val="00A06451"/>
    <w:rsid w:val="00A064F6"/>
    <w:rsid w:val="00A065C1"/>
    <w:rsid w:val="00A06737"/>
    <w:rsid w:val="00A067D2"/>
    <w:rsid w:val="00A06829"/>
    <w:rsid w:val="00A06917"/>
    <w:rsid w:val="00A0691F"/>
    <w:rsid w:val="00A06ACF"/>
    <w:rsid w:val="00A06C4A"/>
    <w:rsid w:val="00A06CAE"/>
    <w:rsid w:val="00A06D66"/>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B0"/>
    <w:rsid w:val="00A10656"/>
    <w:rsid w:val="00A1066F"/>
    <w:rsid w:val="00A10694"/>
    <w:rsid w:val="00A106C8"/>
    <w:rsid w:val="00A1075D"/>
    <w:rsid w:val="00A10966"/>
    <w:rsid w:val="00A10A7F"/>
    <w:rsid w:val="00A10C1F"/>
    <w:rsid w:val="00A11031"/>
    <w:rsid w:val="00A11074"/>
    <w:rsid w:val="00A1134B"/>
    <w:rsid w:val="00A1156D"/>
    <w:rsid w:val="00A115D3"/>
    <w:rsid w:val="00A11C2E"/>
    <w:rsid w:val="00A11DAC"/>
    <w:rsid w:val="00A12055"/>
    <w:rsid w:val="00A120E6"/>
    <w:rsid w:val="00A12177"/>
    <w:rsid w:val="00A12183"/>
    <w:rsid w:val="00A1218E"/>
    <w:rsid w:val="00A121BA"/>
    <w:rsid w:val="00A1225C"/>
    <w:rsid w:val="00A124A3"/>
    <w:rsid w:val="00A12636"/>
    <w:rsid w:val="00A1273F"/>
    <w:rsid w:val="00A1279D"/>
    <w:rsid w:val="00A12834"/>
    <w:rsid w:val="00A12AD1"/>
    <w:rsid w:val="00A12AF9"/>
    <w:rsid w:val="00A12B25"/>
    <w:rsid w:val="00A12B97"/>
    <w:rsid w:val="00A12BB7"/>
    <w:rsid w:val="00A12D1B"/>
    <w:rsid w:val="00A12D29"/>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2AB"/>
    <w:rsid w:val="00A14302"/>
    <w:rsid w:val="00A1433C"/>
    <w:rsid w:val="00A14538"/>
    <w:rsid w:val="00A147EB"/>
    <w:rsid w:val="00A148DA"/>
    <w:rsid w:val="00A1497A"/>
    <w:rsid w:val="00A14983"/>
    <w:rsid w:val="00A14A10"/>
    <w:rsid w:val="00A14AE7"/>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2E4"/>
    <w:rsid w:val="00A20316"/>
    <w:rsid w:val="00A20423"/>
    <w:rsid w:val="00A20672"/>
    <w:rsid w:val="00A20A64"/>
    <w:rsid w:val="00A20D79"/>
    <w:rsid w:val="00A20DAF"/>
    <w:rsid w:val="00A20DFE"/>
    <w:rsid w:val="00A20EC2"/>
    <w:rsid w:val="00A20FA0"/>
    <w:rsid w:val="00A211FA"/>
    <w:rsid w:val="00A21465"/>
    <w:rsid w:val="00A21584"/>
    <w:rsid w:val="00A2184A"/>
    <w:rsid w:val="00A218B4"/>
    <w:rsid w:val="00A21975"/>
    <w:rsid w:val="00A21A0D"/>
    <w:rsid w:val="00A21ADF"/>
    <w:rsid w:val="00A21C9A"/>
    <w:rsid w:val="00A21D35"/>
    <w:rsid w:val="00A21DA3"/>
    <w:rsid w:val="00A21DC3"/>
    <w:rsid w:val="00A21E4E"/>
    <w:rsid w:val="00A21F14"/>
    <w:rsid w:val="00A21F69"/>
    <w:rsid w:val="00A22004"/>
    <w:rsid w:val="00A220BE"/>
    <w:rsid w:val="00A22503"/>
    <w:rsid w:val="00A225E1"/>
    <w:rsid w:val="00A227E1"/>
    <w:rsid w:val="00A228E5"/>
    <w:rsid w:val="00A22B3C"/>
    <w:rsid w:val="00A22B48"/>
    <w:rsid w:val="00A22B6C"/>
    <w:rsid w:val="00A22BE3"/>
    <w:rsid w:val="00A22C60"/>
    <w:rsid w:val="00A22D71"/>
    <w:rsid w:val="00A22D80"/>
    <w:rsid w:val="00A22F16"/>
    <w:rsid w:val="00A22F63"/>
    <w:rsid w:val="00A22FD9"/>
    <w:rsid w:val="00A231DA"/>
    <w:rsid w:val="00A232BA"/>
    <w:rsid w:val="00A2346A"/>
    <w:rsid w:val="00A23510"/>
    <w:rsid w:val="00A236E4"/>
    <w:rsid w:val="00A236E5"/>
    <w:rsid w:val="00A237EE"/>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135"/>
    <w:rsid w:val="00A25256"/>
    <w:rsid w:val="00A252E5"/>
    <w:rsid w:val="00A255CD"/>
    <w:rsid w:val="00A255D3"/>
    <w:rsid w:val="00A256C8"/>
    <w:rsid w:val="00A256D5"/>
    <w:rsid w:val="00A257EC"/>
    <w:rsid w:val="00A2582E"/>
    <w:rsid w:val="00A25883"/>
    <w:rsid w:val="00A258FB"/>
    <w:rsid w:val="00A25B1E"/>
    <w:rsid w:val="00A25D0D"/>
    <w:rsid w:val="00A25E65"/>
    <w:rsid w:val="00A25F26"/>
    <w:rsid w:val="00A25F6D"/>
    <w:rsid w:val="00A25F7C"/>
    <w:rsid w:val="00A26256"/>
    <w:rsid w:val="00A263BD"/>
    <w:rsid w:val="00A26600"/>
    <w:rsid w:val="00A26620"/>
    <w:rsid w:val="00A266F1"/>
    <w:rsid w:val="00A26718"/>
    <w:rsid w:val="00A269F1"/>
    <w:rsid w:val="00A26A25"/>
    <w:rsid w:val="00A26C3E"/>
    <w:rsid w:val="00A26D15"/>
    <w:rsid w:val="00A26D6F"/>
    <w:rsid w:val="00A26D99"/>
    <w:rsid w:val="00A26DF6"/>
    <w:rsid w:val="00A26E05"/>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75"/>
    <w:rsid w:val="00A27C7D"/>
    <w:rsid w:val="00A27D84"/>
    <w:rsid w:val="00A27EF6"/>
    <w:rsid w:val="00A27F5A"/>
    <w:rsid w:val="00A300D4"/>
    <w:rsid w:val="00A30288"/>
    <w:rsid w:val="00A30656"/>
    <w:rsid w:val="00A306BF"/>
    <w:rsid w:val="00A3085D"/>
    <w:rsid w:val="00A308EB"/>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49"/>
    <w:rsid w:val="00A31779"/>
    <w:rsid w:val="00A317CD"/>
    <w:rsid w:val="00A318C6"/>
    <w:rsid w:val="00A318FB"/>
    <w:rsid w:val="00A31A66"/>
    <w:rsid w:val="00A31A94"/>
    <w:rsid w:val="00A31BDA"/>
    <w:rsid w:val="00A31C4B"/>
    <w:rsid w:val="00A31DA3"/>
    <w:rsid w:val="00A31F39"/>
    <w:rsid w:val="00A32020"/>
    <w:rsid w:val="00A320AA"/>
    <w:rsid w:val="00A32127"/>
    <w:rsid w:val="00A321C8"/>
    <w:rsid w:val="00A321E9"/>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98F"/>
    <w:rsid w:val="00A34BF3"/>
    <w:rsid w:val="00A34D39"/>
    <w:rsid w:val="00A34DE2"/>
    <w:rsid w:val="00A34F60"/>
    <w:rsid w:val="00A34FF3"/>
    <w:rsid w:val="00A35305"/>
    <w:rsid w:val="00A35604"/>
    <w:rsid w:val="00A3560F"/>
    <w:rsid w:val="00A35675"/>
    <w:rsid w:val="00A35687"/>
    <w:rsid w:val="00A357AB"/>
    <w:rsid w:val="00A359DD"/>
    <w:rsid w:val="00A35A68"/>
    <w:rsid w:val="00A35BBA"/>
    <w:rsid w:val="00A35DC8"/>
    <w:rsid w:val="00A35DE4"/>
    <w:rsid w:val="00A35E6D"/>
    <w:rsid w:val="00A35E8B"/>
    <w:rsid w:val="00A35F35"/>
    <w:rsid w:val="00A35F88"/>
    <w:rsid w:val="00A35FBD"/>
    <w:rsid w:val="00A3604F"/>
    <w:rsid w:val="00A3610D"/>
    <w:rsid w:val="00A36159"/>
    <w:rsid w:val="00A36755"/>
    <w:rsid w:val="00A36943"/>
    <w:rsid w:val="00A36AF9"/>
    <w:rsid w:val="00A36B08"/>
    <w:rsid w:val="00A36B0D"/>
    <w:rsid w:val="00A36B77"/>
    <w:rsid w:val="00A36C4A"/>
    <w:rsid w:val="00A36CD8"/>
    <w:rsid w:val="00A36FC2"/>
    <w:rsid w:val="00A3704B"/>
    <w:rsid w:val="00A370A3"/>
    <w:rsid w:val="00A37158"/>
    <w:rsid w:val="00A37418"/>
    <w:rsid w:val="00A37495"/>
    <w:rsid w:val="00A378DC"/>
    <w:rsid w:val="00A378E2"/>
    <w:rsid w:val="00A378E5"/>
    <w:rsid w:val="00A37A66"/>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752"/>
    <w:rsid w:val="00A41804"/>
    <w:rsid w:val="00A418A2"/>
    <w:rsid w:val="00A41943"/>
    <w:rsid w:val="00A419F1"/>
    <w:rsid w:val="00A41A84"/>
    <w:rsid w:val="00A41BC6"/>
    <w:rsid w:val="00A41CA0"/>
    <w:rsid w:val="00A41D04"/>
    <w:rsid w:val="00A41D62"/>
    <w:rsid w:val="00A41D77"/>
    <w:rsid w:val="00A41F14"/>
    <w:rsid w:val="00A41FCB"/>
    <w:rsid w:val="00A42003"/>
    <w:rsid w:val="00A4200A"/>
    <w:rsid w:val="00A4204C"/>
    <w:rsid w:val="00A42172"/>
    <w:rsid w:val="00A42282"/>
    <w:rsid w:val="00A4229B"/>
    <w:rsid w:val="00A4245A"/>
    <w:rsid w:val="00A4255D"/>
    <w:rsid w:val="00A425E1"/>
    <w:rsid w:val="00A42609"/>
    <w:rsid w:val="00A42677"/>
    <w:rsid w:val="00A42750"/>
    <w:rsid w:val="00A4286F"/>
    <w:rsid w:val="00A4289B"/>
    <w:rsid w:val="00A428DC"/>
    <w:rsid w:val="00A4297C"/>
    <w:rsid w:val="00A42A5F"/>
    <w:rsid w:val="00A42C87"/>
    <w:rsid w:val="00A42DA0"/>
    <w:rsid w:val="00A42EF6"/>
    <w:rsid w:val="00A42F62"/>
    <w:rsid w:val="00A42F68"/>
    <w:rsid w:val="00A42FA6"/>
    <w:rsid w:val="00A43091"/>
    <w:rsid w:val="00A43100"/>
    <w:rsid w:val="00A43125"/>
    <w:rsid w:val="00A43206"/>
    <w:rsid w:val="00A432CA"/>
    <w:rsid w:val="00A434E4"/>
    <w:rsid w:val="00A4350D"/>
    <w:rsid w:val="00A435BA"/>
    <w:rsid w:val="00A435C4"/>
    <w:rsid w:val="00A43638"/>
    <w:rsid w:val="00A43643"/>
    <w:rsid w:val="00A4371C"/>
    <w:rsid w:val="00A438FA"/>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5BA"/>
    <w:rsid w:val="00A447B4"/>
    <w:rsid w:val="00A448E2"/>
    <w:rsid w:val="00A449D6"/>
    <w:rsid w:val="00A449F0"/>
    <w:rsid w:val="00A44B8E"/>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6C"/>
    <w:rsid w:val="00A47072"/>
    <w:rsid w:val="00A471F3"/>
    <w:rsid w:val="00A4724C"/>
    <w:rsid w:val="00A4756F"/>
    <w:rsid w:val="00A47724"/>
    <w:rsid w:val="00A479B7"/>
    <w:rsid w:val="00A479DC"/>
    <w:rsid w:val="00A479FE"/>
    <w:rsid w:val="00A47AC1"/>
    <w:rsid w:val="00A47AC8"/>
    <w:rsid w:val="00A47AD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07"/>
    <w:rsid w:val="00A5090E"/>
    <w:rsid w:val="00A50966"/>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E9D"/>
    <w:rsid w:val="00A52FE9"/>
    <w:rsid w:val="00A53016"/>
    <w:rsid w:val="00A53066"/>
    <w:rsid w:val="00A53081"/>
    <w:rsid w:val="00A530F1"/>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23"/>
    <w:rsid w:val="00A60741"/>
    <w:rsid w:val="00A60754"/>
    <w:rsid w:val="00A6078C"/>
    <w:rsid w:val="00A60794"/>
    <w:rsid w:val="00A607ED"/>
    <w:rsid w:val="00A609A6"/>
    <w:rsid w:val="00A609C9"/>
    <w:rsid w:val="00A60C7A"/>
    <w:rsid w:val="00A60CBF"/>
    <w:rsid w:val="00A61098"/>
    <w:rsid w:val="00A6119C"/>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630"/>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E09"/>
    <w:rsid w:val="00A64F16"/>
    <w:rsid w:val="00A65120"/>
    <w:rsid w:val="00A651F9"/>
    <w:rsid w:val="00A652EE"/>
    <w:rsid w:val="00A65357"/>
    <w:rsid w:val="00A65672"/>
    <w:rsid w:val="00A656FE"/>
    <w:rsid w:val="00A65964"/>
    <w:rsid w:val="00A65998"/>
    <w:rsid w:val="00A659EF"/>
    <w:rsid w:val="00A65C93"/>
    <w:rsid w:val="00A65DB4"/>
    <w:rsid w:val="00A65F44"/>
    <w:rsid w:val="00A65FE0"/>
    <w:rsid w:val="00A66006"/>
    <w:rsid w:val="00A660C7"/>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306"/>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CE"/>
    <w:rsid w:val="00A71BF2"/>
    <w:rsid w:val="00A71C94"/>
    <w:rsid w:val="00A71E4E"/>
    <w:rsid w:val="00A7233F"/>
    <w:rsid w:val="00A72622"/>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DA"/>
    <w:rsid w:val="00A73408"/>
    <w:rsid w:val="00A734F4"/>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D8"/>
    <w:rsid w:val="00A74709"/>
    <w:rsid w:val="00A74D8D"/>
    <w:rsid w:val="00A74FFE"/>
    <w:rsid w:val="00A7546B"/>
    <w:rsid w:val="00A754AC"/>
    <w:rsid w:val="00A75549"/>
    <w:rsid w:val="00A757FE"/>
    <w:rsid w:val="00A75969"/>
    <w:rsid w:val="00A7599F"/>
    <w:rsid w:val="00A75AB9"/>
    <w:rsid w:val="00A75B00"/>
    <w:rsid w:val="00A75BBC"/>
    <w:rsid w:val="00A75C5A"/>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405"/>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6E"/>
    <w:rsid w:val="00A808AD"/>
    <w:rsid w:val="00A809C9"/>
    <w:rsid w:val="00A80CBD"/>
    <w:rsid w:val="00A80D60"/>
    <w:rsid w:val="00A80D6B"/>
    <w:rsid w:val="00A80ED8"/>
    <w:rsid w:val="00A80F36"/>
    <w:rsid w:val="00A80F62"/>
    <w:rsid w:val="00A8110B"/>
    <w:rsid w:val="00A811FD"/>
    <w:rsid w:val="00A81300"/>
    <w:rsid w:val="00A81347"/>
    <w:rsid w:val="00A813D7"/>
    <w:rsid w:val="00A815C1"/>
    <w:rsid w:val="00A8160D"/>
    <w:rsid w:val="00A81724"/>
    <w:rsid w:val="00A8188C"/>
    <w:rsid w:val="00A818E4"/>
    <w:rsid w:val="00A81901"/>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B9C"/>
    <w:rsid w:val="00A82C3D"/>
    <w:rsid w:val="00A82E06"/>
    <w:rsid w:val="00A82E5A"/>
    <w:rsid w:val="00A82E86"/>
    <w:rsid w:val="00A82FF8"/>
    <w:rsid w:val="00A83003"/>
    <w:rsid w:val="00A832D7"/>
    <w:rsid w:val="00A83367"/>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2AB"/>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AF"/>
    <w:rsid w:val="00A874C7"/>
    <w:rsid w:val="00A87501"/>
    <w:rsid w:val="00A876AA"/>
    <w:rsid w:val="00A876E3"/>
    <w:rsid w:val="00A87748"/>
    <w:rsid w:val="00A87901"/>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3F"/>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05"/>
    <w:rsid w:val="00A94043"/>
    <w:rsid w:val="00A940E8"/>
    <w:rsid w:val="00A94190"/>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7E"/>
    <w:rsid w:val="00A950BF"/>
    <w:rsid w:val="00A95434"/>
    <w:rsid w:val="00A955B2"/>
    <w:rsid w:val="00A95656"/>
    <w:rsid w:val="00A9568F"/>
    <w:rsid w:val="00A95736"/>
    <w:rsid w:val="00A957EC"/>
    <w:rsid w:val="00A95890"/>
    <w:rsid w:val="00A95B05"/>
    <w:rsid w:val="00A95B24"/>
    <w:rsid w:val="00A95BB8"/>
    <w:rsid w:val="00A95D2E"/>
    <w:rsid w:val="00A95D78"/>
    <w:rsid w:val="00A95FB3"/>
    <w:rsid w:val="00A96024"/>
    <w:rsid w:val="00A96093"/>
    <w:rsid w:val="00A96151"/>
    <w:rsid w:val="00A96369"/>
    <w:rsid w:val="00A9643C"/>
    <w:rsid w:val="00A9644E"/>
    <w:rsid w:val="00A96478"/>
    <w:rsid w:val="00A96540"/>
    <w:rsid w:val="00A966D3"/>
    <w:rsid w:val="00A968D7"/>
    <w:rsid w:val="00A96B27"/>
    <w:rsid w:val="00A96B6A"/>
    <w:rsid w:val="00A96BCE"/>
    <w:rsid w:val="00A96E29"/>
    <w:rsid w:val="00A96E91"/>
    <w:rsid w:val="00A96F52"/>
    <w:rsid w:val="00A96F96"/>
    <w:rsid w:val="00A9722D"/>
    <w:rsid w:val="00A97276"/>
    <w:rsid w:val="00A9728F"/>
    <w:rsid w:val="00A9737A"/>
    <w:rsid w:val="00A973F4"/>
    <w:rsid w:val="00A9765E"/>
    <w:rsid w:val="00A97664"/>
    <w:rsid w:val="00A976FC"/>
    <w:rsid w:val="00A97823"/>
    <w:rsid w:val="00A97952"/>
    <w:rsid w:val="00A97966"/>
    <w:rsid w:val="00A97B2E"/>
    <w:rsid w:val="00A97BD3"/>
    <w:rsid w:val="00A97D28"/>
    <w:rsid w:val="00A97E1A"/>
    <w:rsid w:val="00A97E4B"/>
    <w:rsid w:val="00A97E90"/>
    <w:rsid w:val="00AA0043"/>
    <w:rsid w:val="00AA007E"/>
    <w:rsid w:val="00AA0276"/>
    <w:rsid w:val="00AA02B5"/>
    <w:rsid w:val="00AA02E5"/>
    <w:rsid w:val="00AA07AC"/>
    <w:rsid w:val="00AA0977"/>
    <w:rsid w:val="00AA0A59"/>
    <w:rsid w:val="00AA0B01"/>
    <w:rsid w:val="00AA0B58"/>
    <w:rsid w:val="00AA0BC7"/>
    <w:rsid w:val="00AA0C8D"/>
    <w:rsid w:val="00AA0E0E"/>
    <w:rsid w:val="00AA0E64"/>
    <w:rsid w:val="00AA0FE1"/>
    <w:rsid w:val="00AA1026"/>
    <w:rsid w:val="00AA1237"/>
    <w:rsid w:val="00AA12A5"/>
    <w:rsid w:val="00AA12B1"/>
    <w:rsid w:val="00AA1397"/>
    <w:rsid w:val="00AA1433"/>
    <w:rsid w:val="00AA15B2"/>
    <w:rsid w:val="00AA1622"/>
    <w:rsid w:val="00AA17C3"/>
    <w:rsid w:val="00AA185E"/>
    <w:rsid w:val="00AA1877"/>
    <w:rsid w:val="00AA1890"/>
    <w:rsid w:val="00AA1921"/>
    <w:rsid w:val="00AA1B3F"/>
    <w:rsid w:val="00AA1B75"/>
    <w:rsid w:val="00AA1BAA"/>
    <w:rsid w:val="00AA1CBE"/>
    <w:rsid w:val="00AA1F06"/>
    <w:rsid w:val="00AA1F85"/>
    <w:rsid w:val="00AA206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3C8"/>
    <w:rsid w:val="00AA4471"/>
    <w:rsid w:val="00AA4514"/>
    <w:rsid w:val="00AA466A"/>
    <w:rsid w:val="00AA4738"/>
    <w:rsid w:val="00AA47FF"/>
    <w:rsid w:val="00AA48D6"/>
    <w:rsid w:val="00AA48ED"/>
    <w:rsid w:val="00AA4CC1"/>
    <w:rsid w:val="00AA4F1D"/>
    <w:rsid w:val="00AA500D"/>
    <w:rsid w:val="00AA50B7"/>
    <w:rsid w:val="00AA5216"/>
    <w:rsid w:val="00AA527F"/>
    <w:rsid w:val="00AA52F7"/>
    <w:rsid w:val="00AA5535"/>
    <w:rsid w:val="00AA5539"/>
    <w:rsid w:val="00AA58DD"/>
    <w:rsid w:val="00AA5B20"/>
    <w:rsid w:val="00AA5CC4"/>
    <w:rsid w:val="00AA5CFA"/>
    <w:rsid w:val="00AA5E4E"/>
    <w:rsid w:val="00AA5EDC"/>
    <w:rsid w:val="00AA5F7C"/>
    <w:rsid w:val="00AA6016"/>
    <w:rsid w:val="00AA60C8"/>
    <w:rsid w:val="00AA61A9"/>
    <w:rsid w:val="00AA6229"/>
    <w:rsid w:val="00AA62B5"/>
    <w:rsid w:val="00AA62C2"/>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C8E"/>
    <w:rsid w:val="00AB0E39"/>
    <w:rsid w:val="00AB0E4B"/>
    <w:rsid w:val="00AB0F28"/>
    <w:rsid w:val="00AB0FA9"/>
    <w:rsid w:val="00AB104A"/>
    <w:rsid w:val="00AB1086"/>
    <w:rsid w:val="00AB113C"/>
    <w:rsid w:val="00AB1289"/>
    <w:rsid w:val="00AB15D9"/>
    <w:rsid w:val="00AB1664"/>
    <w:rsid w:val="00AB16F3"/>
    <w:rsid w:val="00AB1715"/>
    <w:rsid w:val="00AB17A0"/>
    <w:rsid w:val="00AB180C"/>
    <w:rsid w:val="00AB1925"/>
    <w:rsid w:val="00AB194D"/>
    <w:rsid w:val="00AB1A5B"/>
    <w:rsid w:val="00AB1AAF"/>
    <w:rsid w:val="00AB1ABE"/>
    <w:rsid w:val="00AB20A9"/>
    <w:rsid w:val="00AB221F"/>
    <w:rsid w:val="00AB2340"/>
    <w:rsid w:val="00AB23A6"/>
    <w:rsid w:val="00AB257F"/>
    <w:rsid w:val="00AB259D"/>
    <w:rsid w:val="00AB2688"/>
    <w:rsid w:val="00AB2739"/>
    <w:rsid w:val="00AB27B5"/>
    <w:rsid w:val="00AB2803"/>
    <w:rsid w:val="00AB28CC"/>
    <w:rsid w:val="00AB2964"/>
    <w:rsid w:val="00AB2AC7"/>
    <w:rsid w:val="00AB2B83"/>
    <w:rsid w:val="00AB2B8E"/>
    <w:rsid w:val="00AB2DF3"/>
    <w:rsid w:val="00AB2E14"/>
    <w:rsid w:val="00AB2E5C"/>
    <w:rsid w:val="00AB3005"/>
    <w:rsid w:val="00AB30B0"/>
    <w:rsid w:val="00AB3141"/>
    <w:rsid w:val="00AB32B9"/>
    <w:rsid w:val="00AB3525"/>
    <w:rsid w:val="00AB37E4"/>
    <w:rsid w:val="00AB3888"/>
    <w:rsid w:val="00AB38A6"/>
    <w:rsid w:val="00AB38AA"/>
    <w:rsid w:val="00AB3AD1"/>
    <w:rsid w:val="00AB3BA4"/>
    <w:rsid w:val="00AB3C20"/>
    <w:rsid w:val="00AB3DAE"/>
    <w:rsid w:val="00AB3F8D"/>
    <w:rsid w:val="00AB404D"/>
    <w:rsid w:val="00AB4059"/>
    <w:rsid w:val="00AB40D3"/>
    <w:rsid w:val="00AB40FA"/>
    <w:rsid w:val="00AB4122"/>
    <w:rsid w:val="00AB415C"/>
    <w:rsid w:val="00AB4268"/>
    <w:rsid w:val="00AB427F"/>
    <w:rsid w:val="00AB42BB"/>
    <w:rsid w:val="00AB4446"/>
    <w:rsid w:val="00AB4471"/>
    <w:rsid w:val="00AB44A8"/>
    <w:rsid w:val="00AB4530"/>
    <w:rsid w:val="00AB45B0"/>
    <w:rsid w:val="00AB485E"/>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801"/>
    <w:rsid w:val="00AB593B"/>
    <w:rsid w:val="00AB5B9B"/>
    <w:rsid w:val="00AB61FD"/>
    <w:rsid w:val="00AB64F6"/>
    <w:rsid w:val="00AB660C"/>
    <w:rsid w:val="00AB66E3"/>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43"/>
    <w:rsid w:val="00AB7B6C"/>
    <w:rsid w:val="00AB7B9E"/>
    <w:rsid w:val="00AB7C77"/>
    <w:rsid w:val="00AB7F92"/>
    <w:rsid w:val="00AC0038"/>
    <w:rsid w:val="00AC003E"/>
    <w:rsid w:val="00AC00EC"/>
    <w:rsid w:val="00AC0272"/>
    <w:rsid w:val="00AC0369"/>
    <w:rsid w:val="00AC0512"/>
    <w:rsid w:val="00AC05F8"/>
    <w:rsid w:val="00AC068C"/>
    <w:rsid w:val="00AC076A"/>
    <w:rsid w:val="00AC0837"/>
    <w:rsid w:val="00AC0853"/>
    <w:rsid w:val="00AC0923"/>
    <w:rsid w:val="00AC09C1"/>
    <w:rsid w:val="00AC09C3"/>
    <w:rsid w:val="00AC0ADB"/>
    <w:rsid w:val="00AC0B1F"/>
    <w:rsid w:val="00AC0BE4"/>
    <w:rsid w:val="00AC0C4C"/>
    <w:rsid w:val="00AC0C82"/>
    <w:rsid w:val="00AC0D5E"/>
    <w:rsid w:val="00AC0DC3"/>
    <w:rsid w:val="00AC12A3"/>
    <w:rsid w:val="00AC12D7"/>
    <w:rsid w:val="00AC1453"/>
    <w:rsid w:val="00AC145B"/>
    <w:rsid w:val="00AC1469"/>
    <w:rsid w:val="00AC14B7"/>
    <w:rsid w:val="00AC15FE"/>
    <w:rsid w:val="00AC161C"/>
    <w:rsid w:val="00AC1831"/>
    <w:rsid w:val="00AC19CA"/>
    <w:rsid w:val="00AC19F7"/>
    <w:rsid w:val="00AC1B5D"/>
    <w:rsid w:val="00AC1C5F"/>
    <w:rsid w:val="00AC1D57"/>
    <w:rsid w:val="00AC1D61"/>
    <w:rsid w:val="00AC1E24"/>
    <w:rsid w:val="00AC1FC8"/>
    <w:rsid w:val="00AC2150"/>
    <w:rsid w:val="00AC265D"/>
    <w:rsid w:val="00AC2871"/>
    <w:rsid w:val="00AC28B1"/>
    <w:rsid w:val="00AC29FE"/>
    <w:rsid w:val="00AC2A7F"/>
    <w:rsid w:val="00AC2A89"/>
    <w:rsid w:val="00AC2D9C"/>
    <w:rsid w:val="00AC2E38"/>
    <w:rsid w:val="00AC2EF0"/>
    <w:rsid w:val="00AC304E"/>
    <w:rsid w:val="00AC306C"/>
    <w:rsid w:val="00AC310F"/>
    <w:rsid w:val="00AC3228"/>
    <w:rsid w:val="00AC3423"/>
    <w:rsid w:val="00AC34DC"/>
    <w:rsid w:val="00AC366B"/>
    <w:rsid w:val="00AC36A2"/>
    <w:rsid w:val="00AC376B"/>
    <w:rsid w:val="00AC3838"/>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8A"/>
    <w:rsid w:val="00AC4F8C"/>
    <w:rsid w:val="00AC4FAD"/>
    <w:rsid w:val="00AC4FB5"/>
    <w:rsid w:val="00AC5049"/>
    <w:rsid w:val="00AC5081"/>
    <w:rsid w:val="00AC5093"/>
    <w:rsid w:val="00AC50D6"/>
    <w:rsid w:val="00AC51FD"/>
    <w:rsid w:val="00AC53B6"/>
    <w:rsid w:val="00AC53F0"/>
    <w:rsid w:val="00AC5427"/>
    <w:rsid w:val="00AC5694"/>
    <w:rsid w:val="00AC56A7"/>
    <w:rsid w:val="00AC57E3"/>
    <w:rsid w:val="00AC583B"/>
    <w:rsid w:val="00AC586F"/>
    <w:rsid w:val="00AC5BA1"/>
    <w:rsid w:val="00AC5C0F"/>
    <w:rsid w:val="00AC5DCA"/>
    <w:rsid w:val="00AC5DFA"/>
    <w:rsid w:val="00AC5ECD"/>
    <w:rsid w:val="00AC5EE7"/>
    <w:rsid w:val="00AC6050"/>
    <w:rsid w:val="00AC60A3"/>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6DB"/>
    <w:rsid w:val="00AD073A"/>
    <w:rsid w:val="00AD077B"/>
    <w:rsid w:val="00AD07A0"/>
    <w:rsid w:val="00AD0840"/>
    <w:rsid w:val="00AD087B"/>
    <w:rsid w:val="00AD09BD"/>
    <w:rsid w:val="00AD0C6B"/>
    <w:rsid w:val="00AD0E2C"/>
    <w:rsid w:val="00AD137D"/>
    <w:rsid w:val="00AD150A"/>
    <w:rsid w:val="00AD171A"/>
    <w:rsid w:val="00AD18A4"/>
    <w:rsid w:val="00AD198D"/>
    <w:rsid w:val="00AD1A4B"/>
    <w:rsid w:val="00AD1A9B"/>
    <w:rsid w:val="00AD1AA3"/>
    <w:rsid w:val="00AD1C34"/>
    <w:rsid w:val="00AD1D4A"/>
    <w:rsid w:val="00AD1E3A"/>
    <w:rsid w:val="00AD2055"/>
    <w:rsid w:val="00AD20EF"/>
    <w:rsid w:val="00AD239B"/>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5D3"/>
    <w:rsid w:val="00AD5622"/>
    <w:rsid w:val="00AD566E"/>
    <w:rsid w:val="00AD5674"/>
    <w:rsid w:val="00AD56D9"/>
    <w:rsid w:val="00AD5742"/>
    <w:rsid w:val="00AD57A2"/>
    <w:rsid w:val="00AD57C2"/>
    <w:rsid w:val="00AD57D1"/>
    <w:rsid w:val="00AD5920"/>
    <w:rsid w:val="00AD5965"/>
    <w:rsid w:val="00AD5C75"/>
    <w:rsid w:val="00AD5CE1"/>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6DF"/>
    <w:rsid w:val="00AD7712"/>
    <w:rsid w:val="00AD7A39"/>
    <w:rsid w:val="00AD7BEE"/>
    <w:rsid w:val="00AD7D3B"/>
    <w:rsid w:val="00AD7E1D"/>
    <w:rsid w:val="00AD7E53"/>
    <w:rsid w:val="00AD7F88"/>
    <w:rsid w:val="00AE008D"/>
    <w:rsid w:val="00AE04C5"/>
    <w:rsid w:val="00AE050D"/>
    <w:rsid w:val="00AE050F"/>
    <w:rsid w:val="00AE05C7"/>
    <w:rsid w:val="00AE0799"/>
    <w:rsid w:val="00AE0850"/>
    <w:rsid w:val="00AE0899"/>
    <w:rsid w:val="00AE08FD"/>
    <w:rsid w:val="00AE0A53"/>
    <w:rsid w:val="00AE0A58"/>
    <w:rsid w:val="00AE0B4C"/>
    <w:rsid w:val="00AE0B9A"/>
    <w:rsid w:val="00AE0C2B"/>
    <w:rsid w:val="00AE0CAF"/>
    <w:rsid w:val="00AE0E24"/>
    <w:rsid w:val="00AE12D6"/>
    <w:rsid w:val="00AE1302"/>
    <w:rsid w:val="00AE1403"/>
    <w:rsid w:val="00AE1498"/>
    <w:rsid w:val="00AE16CB"/>
    <w:rsid w:val="00AE177E"/>
    <w:rsid w:val="00AE1B00"/>
    <w:rsid w:val="00AE1B58"/>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AF0"/>
    <w:rsid w:val="00AE2C56"/>
    <w:rsid w:val="00AE2EEB"/>
    <w:rsid w:val="00AE2FD6"/>
    <w:rsid w:val="00AE3055"/>
    <w:rsid w:val="00AE31A7"/>
    <w:rsid w:val="00AE3252"/>
    <w:rsid w:val="00AE34D7"/>
    <w:rsid w:val="00AE352F"/>
    <w:rsid w:val="00AE3562"/>
    <w:rsid w:val="00AE35F8"/>
    <w:rsid w:val="00AE3616"/>
    <w:rsid w:val="00AE36CE"/>
    <w:rsid w:val="00AE3709"/>
    <w:rsid w:val="00AE37B1"/>
    <w:rsid w:val="00AE3844"/>
    <w:rsid w:val="00AE38DA"/>
    <w:rsid w:val="00AE3977"/>
    <w:rsid w:val="00AE3A64"/>
    <w:rsid w:val="00AE3E08"/>
    <w:rsid w:val="00AE3EC3"/>
    <w:rsid w:val="00AE3F4C"/>
    <w:rsid w:val="00AE3FA0"/>
    <w:rsid w:val="00AE3FE4"/>
    <w:rsid w:val="00AE4027"/>
    <w:rsid w:val="00AE41B0"/>
    <w:rsid w:val="00AE41BD"/>
    <w:rsid w:val="00AE41DF"/>
    <w:rsid w:val="00AE420E"/>
    <w:rsid w:val="00AE439B"/>
    <w:rsid w:val="00AE46AC"/>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B2"/>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379"/>
    <w:rsid w:val="00AF05FD"/>
    <w:rsid w:val="00AF084B"/>
    <w:rsid w:val="00AF0A52"/>
    <w:rsid w:val="00AF0A9F"/>
    <w:rsid w:val="00AF0D27"/>
    <w:rsid w:val="00AF0E43"/>
    <w:rsid w:val="00AF0EBB"/>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DFE"/>
    <w:rsid w:val="00AF3F8D"/>
    <w:rsid w:val="00AF40AC"/>
    <w:rsid w:val="00AF4132"/>
    <w:rsid w:val="00AF43B5"/>
    <w:rsid w:val="00AF4437"/>
    <w:rsid w:val="00AF46C8"/>
    <w:rsid w:val="00AF48A8"/>
    <w:rsid w:val="00AF4AA3"/>
    <w:rsid w:val="00AF4AD0"/>
    <w:rsid w:val="00AF4B02"/>
    <w:rsid w:val="00AF4F17"/>
    <w:rsid w:val="00AF4F20"/>
    <w:rsid w:val="00AF526A"/>
    <w:rsid w:val="00AF53C8"/>
    <w:rsid w:val="00AF5584"/>
    <w:rsid w:val="00AF55F3"/>
    <w:rsid w:val="00AF565A"/>
    <w:rsid w:val="00AF57D5"/>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D40"/>
    <w:rsid w:val="00AF6E65"/>
    <w:rsid w:val="00AF6EF3"/>
    <w:rsid w:val="00AF701D"/>
    <w:rsid w:val="00AF71EC"/>
    <w:rsid w:val="00AF7282"/>
    <w:rsid w:val="00AF7358"/>
    <w:rsid w:val="00AF7399"/>
    <w:rsid w:val="00AF75AA"/>
    <w:rsid w:val="00AF7983"/>
    <w:rsid w:val="00AF79D0"/>
    <w:rsid w:val="00AF7A08"/>
    <w:rsid w:val="00AF7BD1"/>
    <w:rsid w:val="00AF7CE1"/>
    <w:rsid w:val="00AF7D09"/>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54B"/>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983"/>
    <w:rsid w:val="00B04A10"/>
    <w:rsid w:val="00B04B43"/>
    <w:rsid w:val="00B04B62"/>
    <w:rsid w:val="00B04C21"/>
    <w:rsid w:val="00B04D43"/>
    <w:rsid w:val="00B04D93"/>
    <w:rsid w:val="00B04D99"/>
    <w:rsid w:val="00B04DA6"/>
    <w:rsid w:val="00B04E74"/>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002"/>
    <w:rsid w:val="00B07127"/>
    <w:rsid w:val="00B072C6"/>
    <w:rsid w:val="00B0748E"/>
    <w:rsid w:val="00B07547"/>
    <w:rsid w:val="00B07644"/>
    <w:rsid w:val="00B0766D"/>
    <w:rsid w:val="00B0778F"/>
    <w:rsid w:val="00B07792"/>
    <w:rsid w:val="00B0783D"/>
    <w:rsid w:val="00B07B36"/>
    <w:rsid w:val="00B07BAF"/>
    <w:rsid w:val="00B07D0B"/>
    <w:rsid w:val="00B07DEF"/>
    <w:rsid w:val="00B07E17"/>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6"/>
    <w:rsid w:val="00B11D9D"/>
    <w:rsid w:val="00B11E0F"/>
    <w:rsid w:val="00B11EEF"/>
    <w:rsid w:val="00B120F3"/>
    <w:rsid w:val="00B1211A"/>
    <w:rsid w:val="00B12290"/>
    <w:rsid w:val="00B1230E"/>
    <w:rsid w:val="00B1232B"/>
    <w:rsid w:val="00B12457"/>
    <w:rsid w:val="00B1285D"/>
    <w:rsid w:val="00B12888"/>
    <w:rsid w:val="00B1299E"/>
    <w:rsid w:val="00B12B2A"/>
    <w:rsid w:val="00B12CBB"/>
    <w:rsid w:val="00B12EC8"/>
    <w:rsid w:val="00B1317A"/>
    <w:rsid w:val="00B13226"/>
    <w:rsid w:val="00B13242"/>
    <w:rsid w:val="00B133A7"/>
    <w:rsid w:val="00B134E1"/>
    <w:rsid w:val="00B1357D"/>
    <w:rsid w:val="00B13715"/>
    <w:rsid w:val="00B138DF"/>
    <w:rsid w:val="00B1390D"/>
    <w:rsid w:val="00B13D27"/>
    <w:rsid w:val="00B13D48"/>
    <w:rsid w:val="00B13D98"/>
    <w:rsid w:val="00B13E65"/>
    <w:rsid w:val="00B13F36"/>
    <w:rsid w:val="00B13F4C"/>
    <w:rsid w:val="00B1403A"/>
    <w:rsid w:val="00B140A2"/>
    <w:rsid w:val="00B140D3"/>
    <w:rsid w:val="00B141E0"/>
    <w:rsid w:val="00B144F3"/>
    <w:rsid w:val="00B146A6"/>
    <w:rsid w:val="00B146A9"/>
    <w:rsid w:val="00B146FA"/>
    <w:rsid w:val="00B1476F"/>
    <w:rsid w:val="00B1485C"/>
    <w:rsid w:val="00B14EF2"/>
    <w:rsid w:val="00B150D4"/>
    <w:rsid w:val="00B15139"/>
    <w:rsid w:val="00B15238"/>
    <w:rsid w:val="00B15243"/>
    <w:rsid w:val="00B15369"/>
    <w:rsid w:val="00B15484"/>
    <w:rsid w:val="00B1555A"/>
    <w:rsid w:val="00B1556F"/>
    <w:rsid w:val="00B15582"/>
    <w:rsid w:val="00B155FF"/>
    <w:rsid w:val="00B15620"/>
    <w:rsid w:val="00B156E2"/>
    <w:rsid w:val="00B1575A"/>
    <w:rsid w:val="00B1575F"/>
    <w:rsid w:val="00B1587D"/>
    <w:rsid w:val="00B158DA"/>
    <w:rsid w:val="00B1593B"/>
    <w:rsid w:val="00B15956"/>
    <w:rsid w:val="00B159B7"/>
    <w:rsid w:val="00B15D28"/>
    <w:rsid w:val="00B15D59"/>
    <w:rsid w:val="00B15DBB"/>
    <w:rsid w:val="00B15E56"/>
    <w:rsid w:val="00B15E6A"/>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6ED6"/>
    <w:rsid w:val="00B16F94"/>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AE8"/>
    <w:rsid w:val="00B21C31"/>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20"/>
    <w:rsid w:val="00B23E89"/>
    <w:rsid w:val="00B241C4"/>
    <w:rsid w:val="00B2420D"/>
    <w:rsid w:val="00B24510"/>
    <w:rsid w:val="00B24739"/>
    <w:rsid w:val="00B24823"/>
    <w:rsid w:val="00B24A80"/>
    <w:rsid w:val="00B24B18"/>
    <w:rsid w:val="00B24C04"/>
    <w:rsid w:val="00B24DEC"/>
    <w:rsid w:val="00B24F50"/>
    <w:rsid w:val="00B24F59"/>
    <w:rsid w:val="00B2501F"/>
    <w:rsid w:val="00B25065"/>
    <w:rsid w:val="00B25186"/>
    <w:rsid w:val="00B25245"/>
    <w:rsid w:val="00B252B3"/>
    <w:rsid w:val="00B25479"/>
    <w:rsid w:val="00B255EB"/>
    <w:rsid w:val="00B25683"/>
    <w:rsid w:val="00B256E7"/>
    <w:rsid w:val="00B256F2"/>
    <w:rsid w:val="00B257AC"/>
    <w:rsid w:val="00B257B0"/>
    <w:rsid w:val="00B25A4B"/>
    <w:rsid w:val="00B25D03"/>
    <w:rsid w:val="00B25DEF"/>
    <w:rsid w:val="00B25E68"/>
    <w:rsid w:val="00B260C9"/>
    <w:rsid w:val="00B261D0"/>
    <w:rsid w:val="00B2637D"/>
    <w:rsid w:val="00B26475"/>
    <w:rsid w:val="00B2649A"/>
    <w:rsid w:val="00B26528"/>
    <w:rsid w:val="00B2656E"/>
    <w:rsid w:val="00B265D4"/>
    <w:rsid w:val="00B26686"/>
    <w:rsid w:val="00B266BF"/>
    <w:rsid w:val="00B26732"/>
    <w:rsid w:val="00B26A23"/>
    <w:rsid w:val="00B26AA0"/>
    <w:rsid w:val="00B26ABF"/>
    <w:rsid w:val="00B26B84"/>
    <w:rsid w:val="00B26C8A"/>
    <w:rsid w:val="00B26CC8"/>
    <w:rsid w:val="00B26CCF"/>
    <w:rsid w:val="00B26D18"/>
    <w:rsid w:val="00B26FBF"/>
    <w:rsid w:val="00B270FF"/>
    <w:rsid w:val="00B27141"/>
    <w:rsid w:val="00B271B1"/>
    <w:rsid w:val="00B27294"/>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AFC"/>
    <w:rsid w:val="00B27B3D"/>
    <w:rsid w:val="00B27B3F"/>
    <w:rsid w:val="00B27CDA"/>
    <w:rsid w:val="00B27D99"/>
    <w:rsid w:val="00B30127"/>
    <w:rsid w:val="00B301C0"/>
    <w:rsid w:val="00B301EB"/>
    <w:rsid w:val="00B302D3"/>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B63"/>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B67"/>
    <w:rsid w:val="00B34C1D"/>
    <w:rsid w:val="00B34C71"/>
    <w:rsid w:val="00B34D0A"/>
    <w:rsid w:val="00B34E99"/>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DDB"/>
    <w:rsid w:val="00B35E89"/>
    <w:rsid w:val="00B35F42"/>
    <w:rsid w:val="00B35F49"/>
    <w:rsid w:val="00B35F69"/>
    <w:rsid w:val="00B3607F"/>
    <w:rsid w:val="00B360CE"/>
    <w:rsid w:val="00B360D7"/>
    <w:rsid w:val="00B361CA"/>
    <w:rsid w:val="00B362FC"/>
    <w:rsid w:val="00B36304"/>
    <w:rsid w:val="00B363E2"/>
    <w:rsid w:val="00B363EF"/>
    <w:rsid w:val="00B367B1"/>
    <w:rsid w:val="00B367F1"/>
    <w:rsid w:val="00B368EB"/>
    <w:rsid w:val="00B36A5B"/>
    <w:rsid w:val="00B36BFB"/>
    <w:rsid w:val="00B36C4B"/>
    <w:rsid w:val="00B36E3C"/>
    <w:rsid w:val="00B36EEC"/>
    <w:rsid w:val="00B36F97"/>
    <w:rsid w:val="00B37007"/>
    <w:rsid w:val="00B3719C"/>
    <w:rsid w:val="00B3743D"/>
    <w:rsid w:val="00B374C6"/>
    <w:rsid w:val="00B3753D"/>
    <w:rsid w:val="00B37667"/>
    <w:rsid w:val="00B376D3"/>
    <w:rsid w:val="00B37978"/>
    <w:rsid w:val="00B37980"/>
    <w:rsid w:val="00B379F1"/>
    <w:rsid w:val="00B37A2B"/>
    <w:rsid w:val="00B37BC0"/>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1C"/>
    <w:rsid w:val="00B40DD3"/>
    <w:rsid w:val="00B41104"/>
    <w:rsid w:val="00B41191"/>
    <w:rsid w:val="00B41202"/>
    <w:rsid w:val="00B414D5"/>
    <w:rsid w:val="00B414E9"/>
    <w:rsid w:val="00B41527"/>
    <w:rsid w:val="00B41534"/>
    <w:rsid w:val="00B41576"/>
    <w:rsid w:val="00B415D7"/>
    <w:rsid w:val="00B4168C"/>
    <w:rsid w:val="00B416BE"/>
    <w:rsid w:val="00B416DE"/>
    <w:rsid w:val="00B417EF"/>
    <w:rsid w:val="00B41833"/>
    <w:rsid w:val="00B41A99"/>
    <w:rsid w:val="00B41CF6"/>
    <w:rsid w:val="00B41D82"/>
    <w:rsid w:val="00B41F3D"/>
    <w:rsid w:val="00B4201E"/>
    <w:rsid w:val="00B4224B"/>
    <w:rsid w:val="00B4241F"/>
    <w:rsid w:val="00B426CB"/>
    <w:rsid w:val="00B429CD"/>
    <w:rsid w:val="00B42A4C"/>
    <w:rsid w:val="00B42B3A"/>
    <w:rsid w:val="00B42DE2"/>
    <w:rsid w:val="00B42E89"/>
    <w:rsid w:val="00B42EE4"/>
    <w:rsid w:val="00B42EE5"/>
    <w:rsid w:val="00B42F4C"/>
    <w:rsid w:val="00B430D8"/>
    <w:rsid w:val="00B4316E"/>
    <w:rsid w:val="00B433B0"/>
    <w:rsid w:val="00B433E3"/>
    <w:rsid w:val="00B4364F"/>
    <w:rsid w:val="00B437AA"/>
    <w:rsid w:val="00B4395F"/>
    <w:rsid w:val="00B43978"/>
    <w:rsid w:val="00B43AF4"/>
    <w:rsid w:val="00B43BED"/>
    <w:rsid w:val="00B43EC9"/>
    <w:rsid w:val="00B4410C"/>
    <w:rsid w:val="00B44138"/>
    <w:rsid w:val="00B441C5"/>
    <w:rsid w:val="00B4465B"/>
    <w:rsid w:val="00B446D2"/>
    <w:rsid w:val="00B4472D"/>
    <w:rsid w:val="00B447FE"/>
    <w:rsid w:val="00B44A16"/>
    <w:rsid w:val="00B44C11"/>
    <w:rsid w:val="00B44C4B"/>
    <w:rsid w:val="00B44CEB"/>
    <w:rsid w:val="00B44D63"/>
    <w:rsid w:val="00B44D8D"/>
    <w:rsid w:val="00B45002"/>
    <w:rsid w:val="00B4500B"/>
    <w:rsid w:val="00B4501C"/>
    <w:rsid w:val="00B4507E"/>
    <w:rsid w:val="00B450B4"/>
    <w:rsid w:val="00B45216"/>
    <w:rsid w:val="00B45339"/>
    <w:rsid w:val="00B453B2"/>
    <w:rsid w:val="00B4555C"/>
    <w:rsid w:val="00B455A4"/>
    <w:rsid w:val="00B455DE"/>
    <w:rsid w:val="00B456DC"/>
    <w:rsid w:val="00B4578B"/>
    <w:rsid w:val="00B4578E"/>
    <w:rsid w:val="00B459CF"/>
    <w:rsid w:val="00B45A0D"/>
    <w:rsid w:val="00B45A40"/>
    <w:rsid w:val="00B45E26"/>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5C0"/>
    <w:rsid w:val="00B50676"/>
    <w:rsid w:val="00B5077F"/>
    <w:rsid w:val="00B508D5"/>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CC"/>
    <w:rsid w:val="00B52FBC"/>
    <w:rsid w:val="00B53074"/>
    <w:rsid w:val="00B53134"/>
    <w:rsid w:val="00B531B4"/>
    <w:rsid w:val="00B5346D"/>
    <w:rsid w:val="00B53638"/>
    <w:rsid w:val="00B53783"/>
    <w:rsid w:val="00B537AC"/>
    <w:rsid w:val="00B5396D"/>
    <w:rsid w:val="00B53A5A"/>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23"/>
    <w:rsid w:val="00B55262"/>
    <w:rsid w:val="00B552A0"/>
    <w:rsid w:val="00B552A2"/>
    <w:rsid w:val="00B55383"/>
    <w:rsid w:val="00B55397"/>
    <w:rsid w:val="00B55440"/>
    <w:rsid w:val="00B554EA"/>
    <w:rsid w:val="00B55504"/>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AC"/>
    <w:rsid w:val="00B56792"/>
    <w:rsid w:val="00B567B6"/>
    <w:rsid w:val="00B567F4"/>
    <w:rsid w:val="00B56B0F"/>
    <w:rsid w:val="00B56B25"/>
    <w:rsid w:val="00B56C1A"/>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10"/>
    <w:rsid w:val="00B57E52"/>
    <w:rsid w:val="00B57EEA"/>
    <w:rsid w:val="00B57F02"/>
    <w:rsid w:val="00B57F65"/>
    <w:rsid w:val="00B57FF2"/>
    <w:rsid w:val="00B60416"/>
    <w:rsid w:val="00B605E1"/>
    <w:rsid w:val="00B6063B"/>
    <w:rsid w:val="00B60791"/>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67"/>
    <w:rsid w:val="00B63FA8"/>
    <w:rsid w:val="00B63FB6"/>
    <w:rsid w:val="00B64001"/>
    <w:rsid w:val="00B64112"/>
    <w:rsid w:val="00B6413D"/>
    <w:rsid w:val="00B64214"/>
    <w:rsid w:val="00B643E0"/>
    <w:rsid w:val="00B64537"/>
    <w:rsid w:val="00B645E4"/>
    <w:rsid w:val="00B646AD"/>
    <w:rsid w:val="00B64701"/>
    <w:rsid w:val="00B64729"/>
    <w:rsid w:val="00B6479D"/>
    <w:rsid w:val="00B6481F"/>
    <w:rsid w:val="00B6486F"/>
    <w:rsid w:val="00B6488B"/>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29F"/>
    <w:rsid w:val="00B662A0"/>
    <w:rsid w:val="00B6630B"/>
    <w:rsid w:val="00B6635A"/>
    <w:rsid w:val="00B66462"/>
    <w:rsid w:val="00B664CF"/>
    <w:rsid w:val="00B66585"/>
    <w:rsid w:val="00B66682"/>
    <w:rsid w:val="00B6687C"/>
    <w:rsid w:val="00B6688A"/>
    <w:rsid w:val="00B66A70"/>
    <w:rsid w:val="00B66B26"/>
    <w:rsid w:val="00B66BA4"/>
    <w:rsid w:val="00B66C92"/>
    <w:rsid w:val="00B66CD6"/>
    <w:rsid w:val="00B66CF4"/>
    <w:rsid w:val="00B66DE0"/>
    <w:rsid w:val="00B66E33"/>
    <w:rsid w:val="00B66EFE"/>
    <w:rsid w:val="00B670BC"/>
    <w:rsid w:val="00B671B3"/>
    <w:rsid w:val="00B67219"/>
    <w:rsid w:val="00B672BC"/>
    <w:rsid w:val="00B673A0"/>
    <w:rsid w:val="00B673FB"/>
    <w:rsid w:val="00B67659"/>
    <w:rsid w:val="00B6784F"/>
    <w:rsid w:val="00B679B0"/>
    <w:rsid w:val="00B67BC4"/>
    <w:rsid w:val="00B67C41"/>
    <w:rsid w:val="00B67C67"/>
    <w:rsid w:val="00B67D61"/>
    <w:rsid w:val="00B700BA"/>
    <w:rsid w:val="00B701D4"/>
    <w:rsid w:val="00B70201"/>
    <w:rsid w:val="00B704B6"/>
    <w:rsid w:val="00B704D5"/>
    <w:rsid w:val="00B704DE"/>
    <w:rsid w:val="00B70564"/>
    <w:rsid w:val="00B705CC"/>
    <w:rsid w:val="00B70671"/>
    <w:rsid w:val="00B706BA"/>
    <w:rsid w:val="00B70721"/>
    <w:rsid w:val="00B70749"/>
    <w:rsid w:val="00B708B6"/>
    <w:rsid w:val="00B70920"/>
    <w:rsid w:val="00B70981"/>
    <w:rsid w:val="00B70A24"/>
    <w:rsid w:val="00B70A84"/>
    <w:rsid w:val="00B70B00"/>
    <w:rsid w:val="00B70E5C"/>
    <w:rsid w:val="00B70EF3"/>
    <w:rsid w:val="00B710A6"/>
    <w:rsid w:val="00B7122B"/>
    <w:rsid w:val="00B712F7"/>
    <w:rsid w:val="00B71303"/>
    <w:rsid w:val="00B71306"/>
    <w:rsid w:val="00B7144B"/>
    <w:rsid w:val="00B71470"/>
    <w:rsid w:val="00B714DA"/>
    <w:rsid w:val="00B71611"/>
    <w:rsid w:val="00B716EF"/>
    <w:rsid w:val="00B7174B"/>
    <w:rsid w:val="00B7176E"/>
    <w:rsid w:val="00B71772"/>
    <w:rsid w:val="00B71790"/>
    <w:rsid w:val="00B71A25"/>
    <w:rsid w:val="00B71B9F"/>
    <w:rsid w:val="00B71E81"/>
    <w:rsid w:val="00B71F6E"/>
    <w:rsid w:val="00B72145"/>
    <w:rsid w:val="00B72272"/>
    <w:rsid w:val="00B722D4"/>
    <w:rsid w:val="00B72338"/>
    <w:rsid w:val="00B72340"/>
    <w:rsid w:val="00B7249A"/>
    <w:rsid w:val="00B724BD"/>
    <w:rsid w:val="00B72538"/>
    <w:rsid w:val="00B7255F"/>
    <w:rsid w:val="00B72592"/>
    <w:rsid w:val="00B72600"/>
    <w:rsid w:val="00B726A9"/>
    <w:rsid w:val="00B728CD"/>
    <w:rsid w:val="00B728D6"/>
    <w:rsid w:val="00B72A9C"/>
    <w:rsid w:val="00B72BDB"/>
    <w:rsid w:val="00B72C2C"/>
    <w:rsid w:val="00B72C7A"/>
    <w:rsid w:val="00B72EC6"/>
    <w:rsid w:val="00B72F70"/>
    <w:rsid w:val="00B73010"/>
    <w:rsid w:val="00B730B4"/>
    <w:rsid w:val="00B73123"/>
    <w:rsid w:val="00B73124"/>
    <w:rsid w:val="00B732A3"/>
    <w:rsid w:val="00B732E3"/>
    <w:rsid w:val="00B73302"/>
    <w:rsid w:val="00B73726"/>
    <w:rsid w:val="00B73761"/>
    <w:rsid w:val="00B73992"/>
    <w:rsid w:val="00B73CC8"/>
    <w:rsid w:val="00B73D99"/>
    <w:rsid w:val="00B73E97"/>
    <w:rsid w:val="00B73F43"/>
    <w:rsid w:val="00B740C3"/>
    <w:rsid w:val="00B74123"/>
    <w:rsid w:val="00B7414B"/>
    <w:rsid w:val="00B741DF"/>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FBB"/>
    <w:rsid w:val="00B770A3"/>
    <w:rsid w:val="00B77468"/>
    <w:rsid w:val="00B775B3"/>
    <w:rsid w:val="00B775EF"/>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F8"/>
    <w:rsid w:val="00B81652"/>
    <w:rsid w:val="00B816A1"/>
    <w:rsid w:val="00B819EC"/>
    <w:rsid w:val="00B81B7B"/>
    <w:rsid w:val="00B81B87"/>
    <w:rsid w:val="00B82017"/>
    <w:rsid w:val="00B820B7"/>
    <w:rsid w:val="00B821F7"/>
    <w:rsid w:val="00B822DB"/>
    <w:rsid w:val="00B8241F"/>
    <w:rsid w:val="00B824A2"/>
    <w:rsid w:val="00B82919"/>
    <w:rsid w:val="00B82A57"/>
    <w:rsid w:val="00B82AFD"/>
    <w:rsid w:val="00B82C98"/>
    <w:rsid w:val="00B82CB8"/>
    <w:rsid w:val="00B82CD0"/>
    <w:rsid w:val="00B82E5E"/>
    <w:rsid w:val="00B82F6A"/>
    <w:rsid w:val="00B82FBE"/>
    <w:rsid w:val="00B83111"/>
    <w:rsid w:val="00B83138"/>
    <w:rsid w:val="00B832F0"/>
    <w:rsid w:val="00B83348"/>
    <w:rsid w:val="00B83530"/>
    <w:rsid w:val="00B835A1"/>
    <w:rsid w:val="00B83AAC"/>
    <w:rsid w:val="00B83BC6"/>
    <w:rsid w:val="00B83BDF"/>
    <w:rsid w:val="00B83CD5"/>
    <w:rsid w:val="00B83F5F"/>
    <w:rsid w:val="00B83F84"/>
    <w:rsid w:val="00B83F92"/>
    <w:rsid w:val="00B83F97"/>
    <w:rsid w:val="00B84359"/>
    <w:rsid w:val="00B844F3"/>
    <w:rsid w:val="00B84523"/>
    <w:rsid w:val="00B84686"/>
    <w:rsid w:val="00B84838"/>
    <w:rsid w:val="00B848B0"/>
    <w:rsid w:val="00B849A0"/>
    <w:rsid w:val="00B849A5"/>
    <w:rsid w:val="00B849AA"/>
    <w:rsid w:val="00B84A4B"/>
    <w:rsid w:val="00B84CD4"/>
    <w:rsid w:val="00B84DDD"/>
    <w:rsid w:val="00B84EB2"/>
    <w:rsid w:val="00B84ECF"/>
    <w:rsid w:val="00B851CB"/>
    <w:rsid w:val="00B85238"/>
    <w:rsid w:val="00B852C2"/>
    <w:rsid w:val="00B853E4"/>
    <w:rsid w:val="00B853E5"/>
    <w:rsid w:val="00B8549D"/>
    <w:rsid w:val="00B854DF"/>
    <w:rsid w:val="00B85679"/>
    <w:rsid w:val="00B85683"/>
    <w:rsid w:val="00B85746"/>
    <w:rsid w:val="00B85751"/>
    <w:rsid w:val="00B857EA"/>
    <w:rsid w:val="00B85823"/>
    <w:rsid w:val="00B859E2"/>
    <w:rsid w:val="00B85A31"/>
    <w:rsid w:val="00B85AEA"/>
    <w:rsid w:val="00B85BA3"/>
    <w:rsid w:val="00B85D04"/>
    <w:rsid w:val="00B85D0D"/>
    <w:rsid w:val="00B85D50"/>
    <w:rsid w:val="00B85DC6"/>
    <w:rsid w:val="00B85DD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6DE3"/>
    <w:rsid w:val="00B871A0"/>
    <w:rsid w:val="00B873A3"/>
    <w:rsid w:val="00B876DB"/>
    <w:rsid w:val="00B87826"/>
    <w:rsid w:val="00B87851"/>
    <w:rsid w:val="00B878B6"/>
    <w:rsid w:val="00B8799C"/>
    <w:rsid w:val="00B87B0E"/>
    <w:rsid w:val="00B87CE4"/>
    <w:rsid w:val="00B87D60"/>
    <w:rsid w:val="00B87D90"/>
    <w:rsid w:val="00B87DF8"/>
    <w:rsid w:val="00B87F45"/>
    <w:rsid w:val="00B87FEA"/>
    <w:rsid w:val="00B900D9"/>
    <w:rsid w:val="00B90104"/>
    <w:rsid w:val="00B90136"/>
    <w:rsid w:val="00B901B0"/>
    <w:rsid w:val="00B902B4"/>
    <w:rsid w:val="00B90386"/>
    <w:rsid w:val="00B904B9"/>
    <w:rsid w:val="00B908C5"/>
    <w:rsid w:val="00B9091F"/>
    <w:rsid w:val="00B9094B"/>
    <w:rsid w:val="00B909A7"/>
    <w:rsid w:val="00B909C1"/>
    <w:rsid w:val="00B90B24"/>
    <w:rsid w:val="00B90D32"/>
    <w:rsid w:val="00B90F0D"/>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51"/>
    <w:rsid w:val="00B922CB"/>
    <w:rsid w:val="00B9257F"/>
    <w:rsid w:val="00B9269D"/>
    <w:rsid w:val="00B9272B"/>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2F1"/>
    <w:rsid w:val="00B93672"/>
    <w:rsid w:val="00B93786"/>
    <w:rsid w:val="00B93ADF"/>
    <w:rsid w:val="00B93CEE"/>
    <w:rsid w:val="00B93CF9"/>
    <w:rsid w:val="00B93E0F"/>
    <w:rsid w:val="00B93F29"/>
    <w:rsid w:val="00B93FC4"/>
    <w:rsid w:val="00B942E3"/>
    <w:rsid w:val="00B943A0"/>
    <w:rsid w:val="00B94609"/>
    <w:rsid w:val="00B94657"/>
    <w:rsid w:val="00B946A0"/>
    <w:rsid w:val="00B94793"/>
    <w:rsid w:val="00B94834"/>
    <w:rsid w:val="00B94867"/>
    <w:rsid w:val="00B94A17"/>
    <w:rsid w:val="00B94B0B"/>
    <w:rsid w:val="00B94F29"/>
    <w:rsid w:val="00B94FDB"/>
    <w:rsid w:val="00B95002"/>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BEF"/>
    <w:rsid w:val="00B96C84"/>
    <w:rsid w:val="00B96CE8"/>
    <w:rsid w:val="00B96D34"/>
    <w:rsid w:val="00B97024"/>
    <w:rsid w:val="00B97065"/>
    <w:rsid w:val="00B970BB"/>
    <w:rsid w:val="00B9717A"/>
    <w:rsid w:val="00B971B7"/>
    <w:rsid w:val="00B97355"/>
    <w:rsid w:val="00B97462"/>
    <w:rsid w:val="00B974F1"/>
    <w:rsid w:val="00B975E8"/>
    <w:rsid w:val="00B975F7"/>
    <w:rsid w:val="00B97699"/>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16"/>
    <w:rsid w:val="00BA0E5B"/>
    <w:rsid w:val="00BA0F0A"/>
    <w:rsid w:val="00BA0FBE"/>
    <w:rsid w:val="00BA0FEB"/>
    <w:rsid w:val="00BA1049"/>
    <w:rsid w:val="00BA1124"/>
    <w:rsid w:val="00BA119C"/>
    <w:rsid w:val="00BA1396"/>
    <w:rsid w:val="00BA13A0"/>
    <w:rsid w:val="00BA1547"/>
    <w:rsid w:val="00BA168C"/>
    <w:rsid w:val="00BA16DB"/>
    <w:rsid w:val="00BA172D"/>
    <w:rsid w:val="00BA183A"/>
    <w:rsid w:val="00BA1938"/>
    <w:rsid w:val="00BA1998"/>
    <w:rsid w:val="00BA1AC7"/>
    <w:rsid w:val="00BA1C9C"/>
    <w:rsid w:val="00BA1DBA"/>
    <w:rsid w:val="00BA2037"/>
    <w:rsid w:val="00BA209C"/>
    <w:rsid w:val="00BA219C"/>
    <w:rsid w:val="00BA21AD"/>
    <w:rsid w:val="00BA2252"/>
    <w:rsid w:val="00BA226A"/>
    <w:rsid w:val="00BA23F0"/>
    <w:rsid w:val="00BA23FF"/>
    <w:rsid w:val="00BA249B"/>
    <w:rsid w:val="00BA2680"/>
    <w:rsid w:val="00BA26F1"/>
    <w:rsid w:val="00BA27A1"/>
    <w:rsid w:val="00BA27BF"/>
    <w:rsid w:val="00BA27D8"/>
    <w:rsid w:val="00BA283E"/>
    <w:rsid w:val="00BA2A1C"/>
    <w:rsid w:val="00BA2A83"/>
    <w:rsid w:val="00BA2ACA"/>
    <w:rsid w:val="00BA2B03"/>
    <w:rsid w:val="00BA2E27"/>
    <w:rsid w:val="00BA2E44"/>
    <w:rsid w:val="00BA2F4A"/>
    <w:rsid w:val="00BA2F67"/>
    <w:rsid w:val="00BA2F92"/>
    <w:rsid w:val="00BA3165"/>
    <w:rsid w:val="00BA330A"/>
    <w:rsid w:val="00BA333C"/>
    <w:rsid w:val="00BA3371"/>
    <w:rsid w:val="00BA33CA"/>
    <w:rsid w:val="00BA33F9"/>
    <w:rsid w:val="00BA37E4"/>
    <w:rsid w:val="00BA380B"/>
    <w:rsid w:val="00BA3889"/>
    <w:rsid w:val="00BA38A0"/>
    <w:rsid w:val="00BA399B"/>
    <w:rsid w:val="00BA3A3A"/>
    <w:rsid w:val="00BA3A7C"/>
    <w:rsid w:val="00BA3CAC"/>
    <w:rsid w:val="00BA3D69"/>
    <w:rsid w:val="00BA3E25"/>
    <w:rsid w:val="00BA3ED1"/>
    <w:rsid w:val="00BA4107"/>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7D9"/>
    <w:rsid w:val="00BA5881"/>
    <w:rsid w:val="00BA58E0"/>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6F9"/>
    <w:rsid w:val="00BA67BD"/>
    <w:rsid w:val="00BA67C4"/>
    <w:rsid w:val="00BA67E4"/>
    <w:rsid w:val="00BA6912"/>
    <w:rsid w:val="00BA698B"/>
    <w:rsid w:val="00BA6ABE"/>
    <w:rsid w:val="00BA6B82"/>
    <w:rsid w:val="00BA6C3C"/>
    <w:rsid w:val="00BA6E80"/>
    <w:rsid w:val="00BA6FA9"/>
    <w:rsid w:val="00BA7001"/>
    <w:rsid w:val="00BA70E9"/>
    <w:rsid w:val="00BA7176"/>
    <w:rsid w:val="00BA7240"/>
    <w:rsid w:val="00BA72EF"/>
    <w:rsid w:val="00BA7461"/>
    <w:rsid w:val="00BA791D"/>
    <w:rsid w:val="00BA79B0"/>
    <w:rsid w:val="00BA79B4"/>
    <w:rsid w:val="00BA7CE9"/>
    <w:rsid w:val="00BA7DA4"/>
    <w:rsid w:val="00BA7F25"/>
    <w:rsid w:val="00BB008E"/>
    <w:rsid w:val="00BB0349"/>
    <w:rsid w:val="00BB03DB"/>
    <w:rsid w:val="00BB0744"/>
    <w:rsid w:val="00BB074B"/>
    <w:rsid w:val="00BB07F8"/>
    <w:rsid w:val="00BB097F"/>
    <w:rsid w:val="00BB0A7A"/>
    <w:rsid w:val="00BB0B17"/>
    <w:rsid w:val="00BB1014"/>
    <w:rsid w:val="00BB11A0"/>
    <w:rsid w:val="00BB1392"/>
    <w:rsid w:val="00BB1551"/>
    <w:rsid w:val="00BB162D"/>
    <w:rsid w:val="00BB165C"/>
    <w:rsid w:val="00BB1703"/>
    <w:rsid w:val="00BB18DC"/>
    <w:rsid w:val="00BB1FF4"/>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D67"/>
    <w:rsid w:val="00BB2E26"/>
    <w:rsid w:val="00BB2EA4"/>
    <w:rsid w:val="00BB2EBD"/>
    <w:rsid w:val="00BB31F9"/>
    <w:rsid w:val="00BB3201"/>
    <w:rsid w:val="00BB33DF"/>
    <w:rsid w:val="00BB35CA"/>
    <w:rsid w:val="00BB391C"/>
    <w:rsid w:val="00BB3964"/>
    <w:rsid w:val="00BB3B57"/>
    <w:rsid w:val="00BB3BBE"/>
    <w:rsid w:val="00BB3E78"/>
    <w:rsid w:val="00BB3FB7"/>
    <w:rsid w:val="00BB40B6"/>
    <w:rsid w:val="00BB433F"/>
    <w:rsid w:val="00BB438D"/>
    <w:rsid w:val="00BB474C"/>
    <w:rsid w:val="00BB47E0"/>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C2E"/>
    <w:rsid w:val="00BB5D05"/>
    <w:rsid w:val="00BB5D0D"/>
    <w:rsid w:val="00BB5DD8"/>
    <w:rsid w:val="00BB5E1D"/>
    <w:rsid w:val="00BB5E39"/>
    <w:rsid w:val="00BB600E"/>
    <w:rsid w:val="00BB6066"/>
    <w:rsid w:val="00BB6199"/>
    <w:rsid w:val="00BB6301"/>
    <w:rsid w:val="00BB6331"/>
    <w:rsid w:val="00BB63A2"/>
    <w:rsid w:val="00BB63CA"/>
    <w:rsid w:val="00BB642D"/>
    <w:rsid w:val="00BB6439"/>
    <w:rsid w:val="00BB64DD"/>
    <w:rsid w:val="00BB6531"/>
    <w:rsid w:val="00BB65D7"/>
    <w:rsid w:val="00BB662E"/>
    <w:rsid w:val="00BB66FC"/>
    <w:rsid w:val="00BB6722"/>
    <w:rsid w:val="00BB672B"/>
    <w:rsid w:val="00BB67D4"/>
    <w:rsid w:val="00BB6833"/>
    <w:rsid w:val="00BB68C8"/>
    <w:rsid w:val="00BB68FA"/>
    <w:rsid w:val="00BB6978"/>
    <w:rsid w:val="00BB6A6F"/>
    <w:rsid w:val="00BB6C48"/>
    <w:rsid w:val="00BB6D16"/>
    <w:rsid w:val="00BB6D1C"/>
    <w:rsid w:val="00BB6FF5"/>
    <w:rsid w:val="00BB7153"/>
    <w:rsid w:val="00BB71A3"/>
    <w:rsid w:val="00BB72FB"/>
    <w:rsid w:val="00BB73B1"/>
    <w:rsid w:val="00BB73BD"/>
    <w:rsid w:val="00BB7480"/>
    <w:rsid w:val="00BB75BD"/>
    <w:rsid w:val="00BB764B"/>
    <w:rsid w:val="00BB7689"/>
    <w:rsid w:val="00BB7698"/>
    <w:rsid w:val="00BB77C5"/>
    <w:rsid w:val="00BB7889"/>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CC7"/>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88"/>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A9E"/>
    <w:rsid w:val="00BC5CFA"/>
    <w:rsid w:val="00BC5E48"/>
    <w:rsid w:val="00BC5E5B"/>
    <w:rsid w:val="00BC5F2B"/>
    <w:rsid w:val="00BC61D3"/>
    <w:rsid w:val="00BC63BB"/>
    <w:rsid w:val="00BC6488"/>
    <w:rsid w:val="00BC6650"/>
    <w:rsid w:val="00BC6667"/>
    <w:rsid w:val="00BC669D"/>
    <w:rsid w:val="00BC67EF"/>
    <w:rsid w:val="00BC6B20"/>
    <w:rsid w:val="00BC6B36"/>
    <w:rsid w:val="00BC6C25"/>
    <w:rsid w:val="00BC7012"/>
    <w:rsid w:val="00BC7077"/>
    <w:rsid w:val="00BC70C8"/>
    <w:rsid w:val="00BC7292"/>
    <w:rsid w:val="00BC729A"/>
    <w:rsid w:val="00BC7431"/>
    <w:rsid w:val="00BC75DC"/>
    <w:rsid w:val="00BC75F8"/>
    <w:rsid w:val="00BC760D"/>
    <w:rsid w:val="00BC7799"/>
    <w:rsid w:val="00BC7812"/>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B00"/>
    <w:rsid w:val="00BD3E39"/>
    <w:rsid w:val="00BD3F6E"/>
    <w:rsid w:val="00BD434B"/>
    <w:rsid w:val="00BD45D7"/>
    <w:rsid w:val="00BD4600"/>
    <w:rsid w:val="00BD4662"/>
    <w:rsid w:val="00BD46F3"/>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5ADF"/>
    <w:rsid w:val="00BD5D79"/>
    <w:rsid w:val="00BD60BB"/>
    <w:rsid w:val="00BD62DD"/>
    <w:rsid w:val="00BD6464"/>
    <w:rsid w:val="00BD6478"/>
    <w:rsid w:val="00BD65DA"/>
    <w:rsid w:val="00BD69FB"/>
    <w:rsid w:val="00BD6A11"/>
    <w:rsid w:val="00BD6B41"/>
    <w:rsid w:val="00BD6F95"/>
    <w:rsid w:val="00BD6F99"/>
    <w:rsid w:val="00BD7026"/>
    <w:rsid w:val="00BD70CB"/>
    <w:rsid w:val="00BD70F2"/>
    <w:rsid w:val="00BD712E"/>
    <w:rsid w:val="00BD7366"/>
    <w:rsid w:val="00BD7401"/>
    <w:rsid w:val="00BD78D1"/>
    <w:rsid w:val="00BD7A3D"/>
    <w:rsid w:val="00BD7AD8"/>
    <w:rsid w:val="00BD7B96"/>
    <w:rsid w:val="00BD7C8C"/>
    <w:rsid w:val="00BD7D86"/>
    <w:rsid w:val="00BD7E5B"/>
    <w:rsid w:val="00BE0150"/>
    <w:rsid w:val="00BE031B"/>
    <w:rsid w:val="00BE0395"/>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4CD"/>
    <w:rsid w:val="00BE2712"/>
    <w:rsid w:val="00BE280F"/>
    <w:rsid w:val="00BE2AF9"/>
    <w:rsid w:val="00BE2C88"/>
    <w:rsid w:val="00BE2D1B"/>
    <w:rsid w:val="00BE2E7B"/>
    <w:rsid w:val="00BE2EA0"/>
    <w:rsid w:val="00BE2EAA"/>
    <w:rsid w:val="00BE305F"/>
    <w:rsid w:val="00BE31C8"/>
    <w:rsid w:val="00BE31E7"/>
    <w:rsid w:val="00BE3275"/>
    <w:rsid w:val="00BE3327"/>
    <w:rsid w:val="00BE3493"/>
    <w:rsid w:val="00BE35D3"/>
    <w:rsid w:val="00BE37B1"/>
    <w:rsid w:val="00BE3AAB"/>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1C"/>
    <w:rsid w:val="00BE5CC1"/>
    <w:rsid w:val="00BE5CDB"/>
    <w:rsid w:val="00BE5D11"/>
    <w:rsid w:val="00BE5D50"/>
    <w:rsid w:val="00BE5D69"/>
    <w:rsid w:val="00BE5F15"/>
    <w:rsid w:val="00BE60B3"/>
    <w:rsid w:val="00BE61AD"/>
    <w:rsid w:val="00BE61B5"/>
    <w:rsid w:val="00BE62CF"/>
    <w:rsid w:val="00BE636F"/>
    <w:rsid w:val="00BE646E"/>
    <w:rsid w:val="00BE6688"/>
    <w:rsid w:val="00BE6697"/>
    <w:rsid w:val="00BE69ED"/>
    <w:rsid w:val="00BE6A3B"/>
    <w:rsid w:val="00BE6BD9"/>
    <w:rsid w:val="00BE6D59"/>
    <w:rsid w:val="00BE6DA1"/>
    <w:rsid w:val="00BE6E47"/>
    <w:rsid w:val="00BE6EF7"/>
    <w:rsid w:val="00BE706B"/>
    <w:rsid w:val="00BE7073"/>
    <w:rsid w:val="00BE7177"/>
    <w:rsid w:val="00BE71B9"/>
    <w:rsid w:val="00BE71F0"/>
    <w:rsid w:val="00BE725C"/>
    <w:rsid w:val="00BE726C"/>
    <w:rsid w:val="00BE75E6"/>
    <w:rsid w:val="00BE76AC"/>
    <w:rsid w:val="00BE7741"/>
    <w:rsid w:val="00BE777D"/>
    <w:rsid w:val="00BE77A2"/>
    <w:rsid w:val="00BE783C"/>
    <w:rsid w:val="00BE7872"/>
    <w:rsid w:val="00BE79F0"/>
    <w:rsid w:val="00BE7E48"/>
    <w:rsid w:val="00BE7E5A"/>
    <w:rsid w:val="00BE7F7D"/>
    <w:rsid w:val="00BE7FA1"/>
    <w:rsid w:val="00BF017F"/>
    <w:rsid w:val="00BF01BE"/>
    <w:rsid w:val="00BF01F0"/>
    <w:rsid w:val="00BF0222"/>
    <w:rsid w:val="00BF0326"/>
    <w:rsid w:val="00BF0344"/>
    <w:rsid w:val="00BF03C9"/>
    <w:rsid w:val="00BF045E"/>
    <w:rsid w:val="00BF04E3"/>
    <w:rsid w:val="00BF0642"/>
    <w:rsid w:val="00BF0646"/>
    <w:rsid w:val="00BF06A7"/>
    <w:rsid w:val="00BF06ED"/>
    <w:rsid w:val="00BF07E6"/>
    <w:rsid w:val="00BF0825"/>
    <w:rsid w:val="00BF0891"/>
    <w:rsid w:val="00BF0922"/>
    <w:rsid w:val="00BF0A15"/>
    <w:rsid w:val="00BF0ACB"/>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4B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57"/>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AEB"/>
    <w:rsid w:val="00C03B0E"/>
    <w:rsid w:val="00C03C5C"/>
    <w:rsid w:val="00C03D4C"/>
    <w:rsid w:val="00C03D6D"/>
    <w:rsid w:val="00C03D78"/>
    <w:rsid w:val="00C03E1C"/>
    <w:rsid w:val="00C03ED8"/>
    <w:rsid w:val="00C03F4F"/>
    <w:rsid w:val="00C03FFF"/>
    <w:rsid w:val="00C0415D"/>
    <w:rsid w:val="00C042BF"/>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24B"/>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631"/>
    <w:rsid w:val="00C067EB"/>
    <w:rsid w:val="00C06835"/>
    <w:rsid w:val="00C06918"/>
    <w:rsid w:val="00C06A2F"/>
    <w:rsid w:val="00C06A82"/>
    <w:rsid w:val="00C06D62"/>
    <w:rsid w:val="00C06D7F"/>
    <w:rsid w:val="00C06E63"/>
    <w:rsid w:val="00C06EB2"/>
    <w:rsid w:val="00C07049"/>
    <w:rsid w:val="00C070B7"/>
    <w:rsid w:val="00C0717E"/>
    <w:rsid w:val="00C07235"/>
    <w:rsid w:val="00C0728D"/>
    <w:rsid w:val="00C075EB"/>
    <w:rsid w:val="00C07762"/>
    <w:rsid w:val="00C077B9"/>
    <w:rsid w:val="00C077C6"/>
    <w:rsid w:val="00C07814"/>
    <w:rsid w:val="00C07842"/>
    <w:rsid w:val="00C07A4C"/>
    <w:rsid w:val="00C07B05"/>
    <w:rsid w:val="00C07B41"/>
    <w:rsid w:val="00C07C7E"/>
    <w:rsid w:val="00C07D3B"/>
    <w:rsid w:val="00C07D8B"/>
    <w:rsid w:val="00C07E5A"/>
    <w:rsid w:val="00C07F39"/>
    <w:rsid w:val="00C1005A"/>
    <w:rsid w:val="00C100AB"/>
    <w:rsid w:val="00C100CE"/>
    <w:rsid w:val="00C100E5"/>
    <w:rsid w:val="00C10114"/>
    <w:rsid w:val="00C106FC"/>
    <w:rsid w:val="00C107B0"/>
    <w:rsid w:val="00C109A1"/>
    <w:rsid w:val="00C10B01"/>
    <w:rsid w:val="00C10DF3"/>
    <w:rsid w:val="00C10F42"/>
    <w:rsid w:val="00C10FDA"/>
    <w:rsid w:val="00C11061"/>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7A"/>
    <w:rsid w:val="00C12484"/>
    <w:rsid w:val="00C12580"/>
    <w:rsid w:val="00C126A7"/>
    <w:rsid w:val="00C1273B"/>
    <w:rsid w:val="00C12817"/>
    <w:rsid w:val="00C128A7"/>
    <w:rsid w:val="00C12A1C"/>
    <w:rsid w:val="00C12AC2"/>
    <w:rsid w:val="00C12CBD"/>
    <w:rsid w:val="00C12EBF"/>
    <w:rsid w:val="00C12ED8"/>
    <w:rsid w:val="00C12EDB"/>
    <w:rsid w:val="00C130FE"/>
    <w:rsid w:val="00C13145"/>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A8"/>
    <w:rsid w:val="00C149F3"/>
    <w:rsid w:val="00C14A2C"/>
    <w:rsid w:val="00C14B75"/>
    <w:rsid w:val="00C14F12"/>
    <w:rsid w:val="00C14F14"/>
    <w:rsid w:val="00C14F21"/>
    <w:rsid w:val="00C14F41"/>
    <w:rsid w:val="00C14F58"/>
    <w:rsid w:val="00C1510D"/>
    <w:rsid w:val="00C15282"/>
    <w:rsid w:val="00C15466"/>
    <w:rsid w:val="00C15626"/>
    <w:rsid w:val="00C15817"/>
    <w:rsid w:val="00C15A49"/>
    <w:rsid w:val="00C15CB5"/>
    <w:rsid w:val="00C15D69"/>
    <w:rsid w:val="00C15E64"/>
    <w:rsid w:val="00C15E76"/>
    <w:rsid w:val="00C15FD4"/>
    <w:rsid w:val="00C160E4"/>
    <w:rsid w:val="00C161A7"/>
    <w:rsid w:val="00C16222"/>
    <w:rsid w:val="00C162F5"/>
    <w:rsid w:val="00C1633E"/>
    <w:rsid w:val="00C1681C"/>
    <w:rsid w:val="00C16C9C"/>
    <w:rsid w:val="00C16CAD"/>
    <w:rsid w:val="00C16DC5"/>
    <w:rsid w:val="00C16F93"/>
    <w:rsid w:val="00C1706C"/>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B76"/>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2F"/>
    <w:rsid w:val="00C22998"/>
    <w:rsid w:val="00C22C20"/>
    <w:rsid w:val="00C22C3C"/>
    <w:rsid w:val="00C22D32"/>
    <w:rsid w:val="00C22D6F"/>
    <w:rsid w:val="00C22EB9"/>
    <w:rsid w:val="00C22FE0"/>
    <w:rsid w:val="00C23049"/>
    <w:rsid w:val="00C23092"/>
    <w:rsid w:val="00C2326E"/>
    <w:rsid w:val="00C23429"/>
    <w:rsid w:val="00C2364D"/>
    <w:rsid w:val="00C2370E"/>
    <w:rsid w:val="00C23763"/>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A4"/>
    <w:rsid w:val="00C24BB5"/>
    <w:rsid w:val="00C24C1A"/>
    <w:rsid w:val="00C24FC3"/>
    <w:rsid w:val="00C250BD"/>
    <w:rsid w:val="00C250DF"/>
    <w:rsid w:val="00C25110"/>
    <w:rsid w:val="00C25317"/>
    <w:rsid w:val="00C25378"/>
    <w:rsid w:val="00C253B8"/>
    <w:rsid w:val="00C255CF"/>
    <w:rsid w:val="00C2575B"/>
    <w:rsid w:val="00C257A8"/>
    <w:rsid w:val="00C258F3"/>
    <w:rsid w:val="00C2592F"/>
    <w:rsid w:val="00C25A15"/>
    <w:rsid w:val="00C25A1D"/>
    <w:rsid w:val="00C25BA1"/>
    <w:rsid w:val="00C25F2A"/>
    <w:rsid w:val="00C25FA5"/>
    <w:rsid w:val="00C26178"/>
    <w:rsid w:val="00C261DF"/>
    <w:rsid w:val="00C26320"/>
    <w:rsid w:val="00C2658E"/>
    <w:rsid w:val="00C265EC"/>
    <w:rsid w:val="00C2662E"/>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74"/>
    <w:rsid w:val="00C30C9F"/>
    <w:rsid w:val="00C30CD7"/>
    <w:rsid w:val="00C30D81"/>
    <w:rsid w:val="00C30DA2"/>
    <w:rsid w:val="00C30EE4"/>
    <w:rsid w:val="00C30F0F"/>
    <w:rsid w:val="00C31035"/>
    <w:rsid w:val="00C31170"/>
    <w:rsid w:val="00C3121E"/>
    <w:rsid w:val="00C313DF"/>
    <w:rsid w:val="00C3162D"/>
    <w:rsid w:val="00C31781"/>
    <w:rsid w:val="00C317FA"/>
    <w:rsid w:val="00C31B58"/>
    <w:rsid w:val="00C31C72"/>
    <w:rsid w:val="00C31CB9"/>
    <w:rsid w:val="00C31D66"/>
    <w:rsid w:val="00C31D80"/>
    <w:rsid w:val="00C31DAA"/>
    <w:rsid w:val="00C31DD3"/>
    <w:rsid w:val="00C31E4B"/>
    <w:rsid w:val="00C32167"/>
    <w:rsid w:val="00C3217B"/>
    <w:rsid w:val="00C3220B"/>
    <w:rsid w:val="00C32579"/>
    <w:rsid w:val="00C3266A"/>
    <w:rsid w:val="00C326EC"/>
    <w:rsid w:val="00C32724"/>
    <w:rsid w:val="00C329CD"/>
    <w:rsid w:val="00C32B21"/>
    <w:rsid w:val="00C32C37"/>
    <w:rsid w:val="00C32C38"/>
    <w:rsid w:val="00C32CAB"/>
    <w:rsid w:val="00C32DB6"/>
    <w:rsid w:val="00C32E8F"/>
    <w:rsid w:val="00C32F01"/>
    <w:rsid w:val="00C33603"/>
    <w:rsid w:val="00C338CE"/>
    <w:rsid w:val="00C338D7"/>
    <w:rsid w:val="00C33A20"/>
    <w:rsid w:val="00C33A69"/>
    <w:rsid w:val="00C33B1F"/>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AFA"/>
    <w:rsid w:val="00C34DB6"/>
    <w:rsid w:val="00C34E93"/>
    <w:rsid w:val="00C34EF4"/>
    <w:rsid w:val="00C34F66"/>
    <w:rsid w:val="00C35020"/>
    <w:rsid w:val="00C35180"/>
    <w:rsid w:val="00C351B9"/>
    <w:rsid w:val="00C35559"/>
    <w:rsid w:val="00C3561E"/>
    <w:rsid w:val="00C35F0A"/>
    <w:rsid w:val="00C35F91"/>
    <w:rsid w:val="00C36085"/>
    <w:rsid w:val="00C361A4"/>
    <w:rsid w:val="00C36393"/>
    <w:rsid w:val="00C363CF"/>
    <w:rsid w:val="00C364BF"/>
    <w:rsid w:val="00C366EE"/>
    <w:rsid w:val="00C36A29"/>
    <w:rsid w:val="00C36CF9"/>
    <w:rsid w:val="00C36DF5"/>
    <w:rsid w:val="00C36F70"/>
    <w:rsid w:val="00C36FC0"/>
    <w:rsid w:val="00C37072"/>
    <w:rsid w:val="00C371AB"/>
    <w:rsid w:val="00C372BD"/>
    <w:rsid w:val="00C37326"/>
    <w:rsid w:val="00C3736D"/>
    <w:rsid w:val="00C3762D"/>
    <w:rsid w:val="00C3763B"/>
    <w:rsid w:val="00C3772C"/>
    <w:rsid w:val="00C37947"/>
    <w:rsid w:val="00C37A08"/>
    <w:rsid w:val="00C37A1D"/>
    <w:rsid w:val="00C37A5E"/>
    <w:rsid w:val="00C37AAB"/>
    <w:rsid w:val="00C37AB2"/>
    <w:rsid w:val="00C37B9D"/>
    <w:rsid w:val="00C37C17"/>
    <w:rsid w:val="00C37C34"/>
    <w:rsid w:val="00C37EB4"/>
    <w:rsid w:val="00C37F82"/>
    <w:rsid w:val="00C4005A"/>
    <w:rsid w:val="00C400AD"/>
    <w:rsid w:val="00C400DA"/>
    <w:rsid w:val="00C400EB"/>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221F"/>
    <w:rsid w:val="00C423C8"/>
    <w:rsid w:val="00C42428"/>
    <w:rsid w:val="00C42538"/>
    <w:rsid w:val="00C425EA"/>
    <w:rsid w:val="00C427C2"/>
    <w:rsid w:val="00C427F0"/>
    <w:rsid w:val="00C42949"/>
    <w:rsid w:val="00C42A4C"/>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3C"/>
    <w:rsid w:val="00C44A40"/>
    <w:rsid w:val="00C44AC2"/>
    <w:rsid w:val="00C44AFF"/>
    <w:rsid w:val="00C45050"/>
    <w:rsid w:val="00C451B1"/>
    <w:rsid w:val="00C45232"/>
    <w:rsid w:val="00C45253"/>
    <w:rsid w:val="00C4527B"/>
    <w:rsid w:val="00C45324"/>
    <w:rsid w:val="00C453B8"/>
    <w:rsid w:val="00C455DF"/>
    <w:rsid w:val="00C457E5"/>
    <w:rsid w:val="00C4583C"/>
    <w:rsid w:val="00C458C5"/>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FC"/>
    <w:rsid w:val="00C46564"/>
    <w:rsid w:val="00C46654"/>
    <w:rsid w:val="00C46827"/>
    <w:rsid w:val="00C4685A"/>
    <w:rsid w:val="00C468DB"/>
    <w:rsid w:val="00C46A5A"/>
    <w:rsid w:val="00C46B1F"/>
    <w:rsid w:val="00C46BDD"/>
    <w:rsid w:val="00C46BE6"/>
    <w:rsid w:val="00C46C1A"/>
    <w:rsid w:val="00C46CA5"/>
    <w:rsid w:val="00C46EC7"/>
    <w:rsid w:val="00C46F58"/>
    <w:rsid w:val="00C470C1"/>
    <w:rsid w:val="00C47166"/>
    <w:rsid w:val="00C471C5"/>
    <w:rsid w:val="00C47204"/>
    <w:rsid w:val="00C47228"/>
    <w:rsid w:val="00C4726F"/>
    <w:rsid w:val="00C47388"/>
    <w:rsid w:val="00C473F0"/>
    <w:rsid w:val="00C47429"/>
    <w:rsid w:val="00C47582"/>
    <w:rsid w:val="00C475EA"/>
    <w:rsid w:val="00C47620"/>
    <w:rsid w:val="00C476CB"/>
    <w:rsid w:val="00C476F6"/>
    <w:rsid w:val="00C47749"/>
    <w:rsid w:val="00C4776A"/>
    <w:rsid w:val="00C4778E"/>
    <w:rsid w:val="00C479E6"/>
    <w:rsid w:val="00C47A33"/>
    <w:rsid w:val="00C47AFD"/>
    <w:rsid w:val="00C47B87"/>
    <w:rsid w:val="00C47DD7"/>
    <w:rsid w:val="00C47F01"/>
    <w:rsid w:val="00C47F9A"/>
    <w:rsid w:val="00C50369"/>
    <w:rsid w:val="00C50459"/>
    <w:rsid w:val="00C504F2"/>
    <w:rsid w:val="00C5055C"/>
    <w:rsid w:val="00C507C1"/>
    <w:rsid w:val="00C50828"/>
    <w:rsid w:val="00C50980"/>
    <w:rsid w:val="00C509CC"/>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16"/>
    <w:rsid w:val="00C51DF4"/>
    <w:rsid w:val="00C51E06"/>
    <w:rsid w:val="00C51E0A"/>
    <w:rsid w:val="00C51E83"/>
    <w:rsid w:val="00C52050"/>
    <w:rsid w:val="00C5209B"/>
    <w:rsid w:val="00C52257"/>
    <w:rsid w:val="00C5230B"/>
    <w:rsid w:val="00C52323"/>
    <w:rsid w:val="00C52337"/>
    <w:rsid w:val="00C52375"/>
    <w:rsid w:val="00C523AE"/>
    <w:rsid w:val="00C523C3"/>
    <w:rsid w:val="00C524F4"/>
    <w:rsid w:val="00C5250D"/>
    <w:rsid w:val="00C52607"/>
    <w:rsid w:val="00C5269A"/>
    <w:rsid w:val="00C52705"/>
    <w:rsid w:val="00C5279D"/>
    <w:rsid w:val="00C528E1"/>
    <w:rsid w:val="00C52A82"/>
    <w:rsid w:val="00C52CFE"/>
    <w:rsid w:val="00C52D2D"/>
    <w:rsid w:val="00C52EE0"/>
    <w:rsid w:val="00C52EF3"/>
    <w:rsid w:val="00C53059"/>
    <w:rsid w:val="00C53357"/>
    <w:rsid w:val="00C53359"/>
    <w:rsid w:val="00C534B0"/>
    <w:rsid w:val="00C53597"/>
    <w:rsid w:val="00C5367E"/>
    <w:rsid w:val="00C538EB"/>
    <w:rsid w:val="00C53A4B"/>
    <w:rsid w:val="00C53B03"/>
    <w:rsid w:val="00C53B07"/>
    <w:rsid w:val="00C53CFC"/>
    <w:rsid w:val="00C53D46"/>
    <w:rsid w:val="00C53DC6"/>
    <w:rsid w:val="00C53E50"/>
    <w:rsid w:val="00C53F59"/>
    <w:rsid w:val="00C54115"/>
    <w:rsid w:val="00C5442E"/>
    <w:rsid w:val="00C54479"/>
    <w:rsid w:val="00C54480"/>
    <w:rsid w:val="00C5463E"/>
    <w:rsid w:val="00C5467E"/>
    <w:rsid w:val="00C547BB"/>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5FFA"/>
    <w:rsid w:val="00C560C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9"/>
    <w:rsid w:val="00C6223D"/>
    <w:rsid w:val="00C622EC"/>
    <w:rsid w:val="00C62599"/>
    <w:rsid w:val="00C625D7"/>
    <w:rsid w:val="00C62AF0"/>
    <w:rsid w:val="00C62BD1"/>
    <w:rsid w:val="00C62C87"/>
    <w:rsid w:val="00C62D4D"/>
    <w:rsid w:val="00C62DED"/>
    <w:rsid w:val="00C62EE0"/>
    <w:rsid w:val="00C62F10"/>
    <w:rsid w:val="00C62FE2"/>
    <w:rsid w:val="00C6318F"/>
    <w:rsid w:val="00C6321B"/>
    <w:rsid w:val="00C63257"/>
    <w:rsid w:val="00C632CE"/>
    <w:rsid w:val="00C63430"/>
    <w:rsid w:val="00C634C1"/>
    <w:rsid w:val="00C636A7"/>
    <w:rsid w:val="00C6370C"/>
    <w:rsid w:val="00C6379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AA"/>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CCF"/>
    <w:rsid w:val="00C67D88"/>
    <w:rsid w:val="00C67DAF"/>
    <w:rsid w:val="00C67E97"/>
    <w:rsid w:val="00C67EA7"/>
    <w:rsid w:val="00C67EFF"/>
    <w:rsid w:val="00C67FDE"/>
    <w:rsid w:val="00C7001F"/>
    <w:rsid w:val="00C70034"/>
    <w:rsid w:val="00C70123"/>
    <w:rsid w:val="00C7025D"/>
    <w:rsid w:val="00C702CC"/>
    <w:rsid w:val="00C7033E"/>
    <w:rsid w:val="00C706F3"/>
    <w:rsid w:val="00C70833"/>
    <w:rsid w:val="00C708F1"/>
    <w:rsid w:val="00C708FA"/>
    <w:rsid w:val="00C70910"/>
    <w:rsid w:val="00C70928"/>
    <w:rsid w:val="00C70ACA"/>
    <w:rsid w:val="00C70B38"/>
    <w:rsid w:val="00C70B5A"/>
    <w:rsid w:val="00C70D23"/>
    <w:rsid w:val="00C70D9C"/>
    <w:rsid w:val="00C70F9C"/>
    <w:rsid w:val="00C70FC2"/>
    <w:rsid w:val="00C70FDD"/>
    <w:rsid w:val="00C7116E"/>
    <w:rsid w:val="00C7117B"/>
    <w:rsid w:val="00C71252"/>
    <w:rsid w:val="00C71476"/>
    <w:rsid w:val="00C714D1"/>
    <w:rsid w:val="00C714EC"/>
    <w:rsid w:val="00C71596"/>
    <w:rsid w:val="00C7166E"/>
    <w:rsid w:val="00C71740"/>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DD"/>
    <w:rsid w:val="00C744E6"/>
    <w:rsid w:val="00C744FB"/>
    <w:rsid w:val="00C745EE"/>
    <w:rsid w:val="00C7472D"/>
    <w:rsid w:val="00C7482A"/>
    <w:rsid w:val="00C74A4F"/>
    <w:rsid w:val="00C74D65"/>
    <w:rsid w:val="00C74E62"/>
    <w:rsid w:val="00C74FB8"/>
    <w:rsid w:val="00C75151"/>
    <w:rsid w:val="00C75224"/>
    <w:rsid w:val="00C75306"/>
    <w:rsid w:val="00C7554F"/>
    <w:rsid w:val="00C75611"/>
    <w:rsid w:val="00C758BF"/>
    <w:rsid w:val="00C75950"/>
    <w:rsid w:val="00C75AED"/>
    <w:rsid w:val="00C75B1B"/>
    <w:rsid w:val="00C75E7E"/>
    <w:rsid w:val="00C75E85"/>
    <w:rsid w:val="00C760F5"/>
    <w:rsid w:val="00C76129"/>
    <w:rsid w:val="00C7612C"/>
    <w:rsid w:val="00C76159"/>
    <w:rsid w:val="00C76189"/>
    <w:rsid w:val="00C76290"/>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35"/>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463"/>
    <w:rsid w:val="00C83605"/>
    <w:rsid w:val="00C838D9"/>
    <w:rsid w:val="00C83901"/>
    <w:rsid w:val="00C8394C"/>
    <w:rsid w:val="00C8399B"/>
    <w:rsid w:val="00C839E0"/>
    <w:rsid w:val="00C83B26"/>
    <w:rsid w:val="00C83B94"/>
    <w:rsid w:val="00C83C03"/>
    <w:rsid w:val="00C83E0A"/>
    <w:rsid w:val="00C83E16"/>
    <w:rsid w:val="00C83E39"/>
    <w:rsid w:val="00C83E5C"/>
    <w:rsid w:val="00C840FA"/>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3E2"/>
    <w:rsid w:val="00C854FA"/>
    <w:rsid w:val="00C854FF"/>
    <w:rsid w:val="00C8563A"/>
    <w:rsid w:val="00C856B8"/>
    <w:rsid w:val="00C857CB"/>
    <w:rsid w:val="00C857CF"/>
    <w:rsid w:val="00C85934"/>
    <w:rsid w:val="00C85B06"/>
    <w:rsid w:val="00C85C4B"/>
    <w:rsid w:val="00C861A1"/>
    <w:rsid w:val="00C86213"/>
    <w:rsid w:val="00C86480"/>
    <w:rsid w:val="00C864AD"/>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921"/>
    <w:rsid w:val="00C87A3C"/>
    <w:rsid w:val="00C87B32"/>
    <w:rsid w:val="00C87C63"/>
    <w:rsid w:val="00C87D9C"/>
    <w:rsid w:val="00C87E3D"/>
    <w:rsid w:val="00C87E92"/>
    <w:rsid w:val="00C900E6"/>
    <w:rsid w:val="00C9071E"/>
    <w:rsid w:val="00C907C3"/>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7CE"/>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B58"/>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80"/>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5F6"/>
    <w:rsid w:val="00C9485C"/>
    <w:rsid w:val="00C94872"/>
    <w:rsid w:val="00C948D9"/>
    <w:rsid w:val="00C94972"/>
    <w:rsid w:val="00C94B0D"/>
    <w:rsid w:val="00C94B83"/>
    <w:rsid w:val="00C94BEA"/>
    <w:rsid w:val="00C94C2B"/>
    <w:rsid w:val="00C94C58"/>
    <w:rsid w:val="00C953A9"/>
    <w:rsid w:val="00C9548A"/>
    <w:rsid w:val="00C954AB"/>
    <w:rsid w:val="00C95615"/>
    <w:rsid w:val="00C95741"/>
    <w:rsid w:val="00C9586C"/>
    <w:rsid w:val="00C959BE"/>
    <w:rsid w:val="00C95B1A"/>
    <w:rsid w:val="00C95C76"/>
    <w:rsid w:val="00C95D3A"/>
    <w:rsid w:val="00C95D50"/>
    <w:rsid w:val="00C95E52"/>
    <w:rsid w:val="00C95EE6"/>
    <w:rsid w:val="00C96008"/>
    <w:rsid w:val="00C961D6"/>
    <w:rsid w:val="00C96242"/>
    <w:rsid w:val="00C96415"/>
    <w:rsid w:val="00C9642D"/>
    <w:rsid w:val="00C967D4"/>
    <w:rsid w:val="00C967F3"/>
    <w:rsid w:val="00C968F5"/>
    <w:rsid w:val="00C9699C"/>
    <w:rsid w:val="00C96A3C"/>
    <w:rsid w:val="00C96B05"/>
    <w:rsid w:val="00C96B99"/>
    <w:rsid w:val="00C96C7C"/>
    <w:rsid w:val="00C96DCC"/>
    <w:rsid w:val="00C96F6A"/>
    <w:rsid w:val="00C9702E"/>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E4"/>
    <w:rsid w:val="00C97FF2"/>
    <w:rsid w:val="00CA00F4"/>
    <w:rsid w:val="00CA00FB"/>
    <w:rsid w:val="00CA022C"/>
    <w:rsid w:val="00CA035E"/>
    <w:rsid w:val="00CA03CE"/>
    <w:rsid w:val="00CA0433"/>
    <w:rsid w:val="00CA04CB"/>
    <w:rsid w:val="00CA04E2"/>
    <w:rsid w:val="00CA0706"/>
    <w:rsid w:val="00CA07BE"/>
    <w:rsid w:val="00CA085F"/>
    <w:rsid w:val="00CA08E3"/>
    <w:rsid w:val="00CA09FE"/>
    <w:rsid w:val="00CA0A2C"/>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1E"/>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BAE"/>
    <w:rsid w:val="00CA2EF0"/>
    <w:rsid w:val="00CA2F65"/>
    <w:rsid w:val="00CA318B"/>
    <w:rsid w:val="00CA3214"/>
    <w:rsid w:val="00CA3221"/>
    <w:rsid w:val="00CA323F"/>
    <w:rsid w:val="00CA3321"/>
    <w:rsid w:val="00CA3431"/>
    <w:rsid w:val="00CA35F5"/>
    <w:rsid w:val="00CA3680"/>
    <w:rsid w:val="00CA3719"/>
    <w:rsid w:val="00CA3845"/>
    <w:rsid w:val="00CA3906"/>
    <w:rsid w:val="00CA3AAA"/>
    <w:rsid w:val="00CA3C3C"/>
    <w:rsid w:val="00CA3FB3"/>
    <w:rsid w:val="00CA40DB"/>
    <w:rsid w:val="00CA4152"/>
    <w:rsid w:val="00CA421A"/>
    <w:rsid w:val="00CA42BD"/>
    <w:rsid w:val="00CA42E2"/>
    <w:rsid w:val="00CA436C"/>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B0D"/>
    <w:rsid w:val="00CA5D0F"/>
    <w:rsid w:val="00CA5D36"/>
    <w:rsid w:val="00CA5DB4"/>
    <w:rsid w:val="00CA61FD"/>
    <w:rsid w:val="00CA62AA"/>
    <w:rsid w:val="00CA62E8"/>
    <w:rsid w:val="00CA63EA"/>
    <w:rsid w:val="00CA6423"/>
    <w:rsid w:val="00CA6446"/>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7B"/>
    <w:rsid w:val="00CB0C8E"/>
    <w:rsid w:val="00CB0E3C"/>
    <w:rsid w:val="00CB0E87"/>
    <w:rsid w:val="00CB0EFF"/>
    <w:rsid w:val="00CB108E"/>
    <w:rsid w:val="00CB1102"/>
    <w:rsid w:val="00CB118D"/>
    <w:rsid w:val="00CB1384"/>
    <w:rsid w:val="00CB145B"/>
    <w:rsid w:val="00CB148D"/>
    <w:rsid w:val="00CB1530"/>
    <w:rsid w:val="00CB159C"/>
    <w:rsid w:val="00CB1763"/>
    <w:rsid w:val="00CB184B"/>
    <w:rsid w:val="00CB1909"/>
    <w:rsid w:val="00CB194D"/>
    <w:rsid w:val="00CB1A58"/>
    <w:rsid w:val="00CB1B55"/>
    <w:rsid w:val="00CB1B79"/>
    <w:rsid w:val="00CB1C27"/>
    <w:rsid w:val="00CB2024"/>
    <w:rsid w:val="00CB2130"/>
    <w:rsid w:val="00CB213F"/>
    <w:rsid w:val="00CB21F7"/>
    <w:rsid w:val="00CB288A"/>
    <w:rsid w:val="00CB294D"/>
    <w:rsid w:val="00CB298B"/>
    <w:rsid w:val="00CB2B1C"/>
    <w:rsid w:val="00CB2CDA"/>
    <w:rsid w:val="00CB2EAC"/>
    <w:rsid w:val="00CB2F3E"/>
    <w:rsid w:val="00CB300F"/>
    <w:rsid w:val="00CB3051"/>
    <w:rsid w:val="00CB306F"/>
    <w:rsid w:val="00CB319C"/>
    <w:rsid w:val="00CB366A"/>
    <w:rsid w:val="00CB3740"/>
    <w:rsid w:val="00CB3878"/>
    <w:rsid w:val="00CB389B"/>
    <w:rsid w:val="00CB39ED"/>
    <w:rsid w:val="00CB3A68"/>
    <w:rsid w:val="00CB3D04"/>
    <w:rsid w:val="00CB3EF9"/>
    <w:rsid w:val="00CB3F32"/>
    <w:rsid w:val="00CB3FE2"/>
    <w:rsid w:val="00CB40E6"/>
    <w:rsid w:val="00CB4267"/>
    <w:rsid w:val="00CB426A"/>
    <w:rsid w:val="00CB448A"/>
    <w:rsid w:val="00CB4495"/>
    <w:rsid w:val="00CB45D4"/>
    <w:rsid w:val="00CB469B"/>
    <w:rsid w:val="00CB46E2"/>
    <w:rsid w:val="00CB49E1"/>
    <w:rsid w:val="00CB49EB"/>
    <w:rsid w:val="00CB4AD4"/>
    <w:rsid w:val="00CB4BB1"/>
    <w:rsid w:val="00CB4D8C"/>
    <w:rsid w:val="00CB5021"/>
    <w:rsid w:val="00CB51A2"/>
    <w:rsid w:val="00CB51DD"/>
    <w:rsid w:val="00CB53CC"/>
    <w:rsid w:val="00CB5508"/>
    <w:rsid w:val="00CB570A"/>
    <w:rsid w:val="00CB57B1"/>
    <w:rsid w:val="00CB58D3"/>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48"/>
    <w:rsid w:val="00CB66D8"/>
    <w:rsid w:val="00CB6B66"/>
    <w:rsid w:val="00CB6D30"/>
    <w:rsid w:val="00CB6F1A"/>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2DD"/>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C6E"/>
    <w:rsid w:val="00CC1D89"/>
    <w:rsid w:val="00CC1E0B"/>
    <w:rsid w:val="00CC1E58"/>
    <w:rsid w:val="00CC213B"/>
    <w:rsid w:val="00CC21B9"/>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1DB"/>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9C4"/>
    <w:rsid w:val="00CC5B39"/>
    <w:rsid w:val="00CC5BB7"/>
    <w:rsid w:val="00CC5C58"/>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BB"/>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5C3"/>
    <w:rsid w:val="00CD068B"/>
    <w:rsid w:val="00CD06F0"/>
    <w:rsid w:val="00CD0869"/>
    <w:rsid w:val="00CD087F"/>
    <w:rsid w:val="00CD0B44"/>
    <w:rsid w:val="00CD0BA6"/>
    <w:rsid w:val="00CD0C69"/>
    <w:rsid w:val="00CD0E13"/>
    <w:rsid w:val="00CD0F10"/>
    <w:rsid w:val="00CD0F78"/>
    <w:rsid w:val="00CD0F80"/>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4EF"/>
    <w:rsid w:val="00CD2531"/>
    <w:rsid w:val="00CD27FF"/>
    <w:rsid w:val="00CD2BE1"/>
    <w:rsid w:val="00CD2C64"/>
    <w:rsid w:val="00CD2EDE"/>
    <w:rsid w:val="00CD30C7"/>
    <w:rsid w:val="00CD3160"/>
    <w:rsid w:val="00CD3187"/>
    <w:rsid w:val="00CD334C"/>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35"/>
    <w:rsid w:val="00CD48FB"/>
    <w:rsid w:val="00CD4A17"/>
    <w:rsid w:val="00CD4CAA"/>
    <w:rsid w:val="00CD4D88"/>
    <w:rsid w:val="00CD4D8B"/>
    <w:rsid w:val="00CD4EF3"/>
    <w:rsid w:val="00CD5102"/>
    <w:rsid w:val="00CD52AE"/>
    <w:rsid w:val="00CD52E9"/>
    <w:rsid w:val="00CD53BA"/>
    <w:rsid w:val="00CD543F"/>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DF5"/>
    <w:rsid w:val="00CD5EAA"/>
    <w:rsid w:val="00CD5F48"/>
    <w:rsid w:val="00CD6104"/>
    <w:rsid w:val="00CD61D3"/>
    <w:rsid w:val="00CD61D9"/>
    <w:rsid w:val="00CD620F"/>
    <w:rsid w:val="00CD635C"/>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4EA"/>
    <w:rsid w:val="00CD74FB"/>
    <w:rsid w:val="00CD7578"/>
    <w:rsid w:val="00CD770B"/>
    <w:rsid w:val="00CD7724"/>
    <w:rsid w:val="00CD776C"/>
    <w:rsid w:val="00CD79F4"/>
    <w:rsid w:val="00CD7A95"/>
    <w:rsid w:val="00CD7C12"/>
    <w:rsid w:val="00CD7D9C"/>
    <w:rsid w:val="00CD7E89"/>
    <w:rsid w:val="00CD7EDC"/>
    <w:rsid w:val="00CD7F37"/>
    <w:rsid w:val="00CD7FC0"/>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DC1"/>
    <w:rsid w:val="00CE0E43"/>
    <w:rsid w:val="00CE0E70"/>
    <w:rsid w:val="00CE103E"/>
    <w:rsid w:val="00CE10A3"/>
    <w:rsid w:val="00CE1285"/>
    <w:rsid w:val="00CE12F5"/>
    <w:rsid w:val="00CE1380"/>
    <w:rsid w:val="00CE144A"/>
    <w:rsid w:val="00CE15C0"/>
    <w:rsid w:val="00CE16C3"/>
    <w:rsid w:val="00CE183A"/>
    <w:rsid w:val="00CE1A74"/>
    <w:rsid w:val="00CE1A9E"/>
    <w:rsid w:val="00CE1B99"/>
    <w:rsid w:val="00CE1D0A"/>
    <w:rsid w:val="00CE1D89"/>
    <w:rsid w:val="00CE1DEC"/>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09"/>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D0"/>
    <w:rsid w:val="00CE4201"/>
    <w:rsid w:val="00CE4309"/>
    <w:rsid w:val="00CE4350"/>
    <w:rsid w:val="00CE440C"/>
    <w:rsid w:val="00CE452D"/>
    <w:rsid w:val="00CE4554"/>
    <w:rsid w:val="00CE45F6"/>
    <w:rsid w:val="00CE4623"/>
    <w:rsid w:val="00CE46F0"/>
    <w:rsid w:val="00CE477A"/>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F"/>
    <w:rsid w:val="00CE5E62"/>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194"/>
    <w:rsid w:val="00CE72C0"/>
    <w:rsid w:val="00CE73B1"/>
    <w:rsid w:val="00CE73DC"/>
    <w:rsid w:val="00CE73E0"/>
    <w:rsid w:val="00CE73FF"/>
    <w:rsid w:val="00CE7413"/>
    <w:rsid w:val="00CE7515"/>
    <w:rsid w:val="00CE7518"/>
    <w:rsid w:val="00CE7522"/>
    <w:rsid w:val="00CE7648"/>
    <w:rsid w:val="00CE7651"/>
    <w:rsid w:val="00CE7730"/>
    <w:rsid w:val="00CE7770"/>
    <w:rsid w:val="00CE77FC"/>
    <w:rsid w:val="00CE7973"/>
    <w:rsid w:val="00CE7A71"/>
    <w:rsid w:val="00CE7AEC"/>
    <w:rsid w:val="00CE7B05"/>
    <w:rsid w:val="00CE7C0B"/>
    <w:rsid w:val="00CE7C6F"/>
    <w:rsid w:val="00CE7D6B"/>
    <w:rsid w:val="00CE7E28"/>
    <w:rsid w:val="00CE7E7F"/>
    <w:rsid w:val="00CE7F46"/>
    <w:rsid w:val="00CE7FDA"/>
    <w:rsid w:val="00CF007B"/>
    <w:rsid w:val="00CF00BC"/>
    <w:rsid w:val="00CF00F1"/>
    <w:rsid w:val="00CF0104"/>
    <w:rsid w:val="00CF0149"/>
    <w:rsid w:val="00CF01F7"/>
    <w:rsid w:val="00CF03A9"/>
    <w:rsid w:val="00CF03AB"/>
    <w:rsid w:val="00CF0413"/>
    <w:rsid w:val="00CF0484"/>
    <w:rsid w:val="00CF0519"/>
    <w:rsid w:val="00CF06AF"/>
    <w:rsid w:val="00CF07E2"/>
    <w:rsid w:val="00CF0A94"/>
    <w:rsid w:val="00CF0B26"/>
    <w:rsid w:val="00CF0C1E"/>
    <w:rsid w:val="00CF0E16"/>
    <w:rsid w:val="00CF107F"/>
    <w:rsid w:val="00CF134F"/>
    <w:rsid w:val="00CF13B9"/>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AE"/>
    <w:rsid w:val="00CF39B8"/>
    <w:rsid w:val="00CF3A50"/>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40D"/>
    <w:rsid w:val="00CF5538"/>
    <w:rsid w:val="00CF5590"/>
    <w:rsid w:val="00CF55DD"/>
    <w:rsid w:val="00CF593D"/>
    <w:rsid w:val="00CF59BA"/>
    <w:rsid w:val="00CF5B67"/>
    <w:rsid w:val="00CF5D29"/>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D"/>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F4"/>
    <w:rsid w:val="00D0020C"/>
    <w:rsid w:val="00D00529"/>
    <w:rsid w:val="00D0092A"/>
    <w:rsid w:val="00D009BE"/>
    <w:rsid w:val="00D009F9"/>
    <w:rsid w:val="00D00ADA"/>
    <w:rsid w:val="00D00B90"/>
    <w:rsid w:val="00D00C38"/>
    <w:rsid w:val="00D00C67"/>
    <w:rsid w:val="00D00E49"/>
    <w:rsid w:val="00D00E77"/>
    <w:rsid w:val="00D00E9A"/>
    <w:rsid w:val="00D00EE7"/>
    <w:rsid w:val="00D01167"/>
    <w:rsid w:val="00D0138C"/>
    <w:rsid w:val="00D0140D"/>
    <w:rsid w:val="00D014FF"/>
    <w:rsid w:val="00D015F4"/>
    <w:rsid w:val="00D01720"/>
    <w:rsid w:val="00D017D0"/>
    <w:rsid w:val="00D018CD"/>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7FB"/>
    <w:rsid w:val="00D049D8"/>
    <w:rsid w:val="00D049FD"/>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CB5"/>
    <w:rsid w:val="00D05D8F"/>
    <w:rsid w:val="00D05E05"/>
    <w:rsid w:val="00D05EC6"/>
    <w:rsid w:val="00D06101"/>
    <w:rsid w:val="00D061EA"/>
    <w:rsid w:val="00D06395"/>
    <w:rsid w:val="00D063AB"/>
    <w:rsid w:val="00D063F0"/>
    <w:rsid w:val="00D064F3"/>
    <w:rsid w:val="00D065A9"/>
    <w:rsid w:val="00D065AB"/>
    <w:rsid w:val="00D065DE"/>
    <w:rsid w:val="00D0686B"/>
    <w:rsid w:val="00D068C9"/>
    <w:rsid w:val="00D06B26"/>
    <w:rsid w:val="00D06FB3"/>
    <w:rsid w:val="00D06FF6"/>
    <w:rsid w:val="00D072ED"/>
    <w:rsid w:val="00D0734F"/>
    <w:rsid w:val="00D07371"/>
    <w:rsid w:val="00D073B0"/>
    <w:rsid w:val="00D073E4"/>
    <w:rsid w:val="00D074A6"/>
    <w:rsid w:val="00D075CE"/>
    <w:rsid w:val="00D076D0"/>
    <w:rsid w:val="00D07790"/>
    <w:rsid w:val="00D07896"/>
    <w:rsid w:val="00D07972"/>
    <w:rsid w:val="00D07AC8"/>
    <w:rsid w:val="00D07B06"/>
    <w:rsid w:val="00D07B7E"/>
    <w:rsid w:val="00D07E95"/>
    <w:rsid w:val="00D07EBB"/>
    <w:rsid w:val="00D10044"/>
    <w:rsid w:val="00D10188"/>
    <w:rsid w:val="00D1028E"/>
    <w:rsid w:val="00D1040D"/>
    <w:rsid w:val="00D10437"/>
    <w:rsid w:val="00D1046A"/>
    <w:rsid w:val="00D10523"/>
    <w:rsid w:val="00D106F3"/>
    <w:rsid w:val="00D10707"/>
    <w:rsid w:val="00D1076F"/>
    <w:rsid w:val="00D1078E"/>
    <w:rsid w:val="00D10957"/>
    <w:rsid w:val="00D10962"/>
    <w:rsid w:val="00D109FF"/>
    <w:rsid w:val="00D10A0D"/>
    <w:rsid w:val="00D10AEA"/>
    <w:rsid w:val="00D10BEA"/>
    <w:rsid w:val="00D10C7A"/>
    <w:rsid w:val="00D10CAB"/>
    <w:rsid w:val="00D10CC1"/>
    <w:rsid w:val="00D1117C"/>
    <w:rsid w:val="00D112EE"/>
    <w:rsid w:val="00D1155E"/>
    <w:rsid w:val="00D1174A"/>
    <w:rsid w:val="00D1178F"/>
    <w:rsid w:val="00D11881"/>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C0A"/>
    <w:rsid w:val="00D12D20"/>
    <w:rsid w:val="00D12DE0"/>
    <w:rsid w:val="00D12F13"/>
    <w:rsid w:val="00D1316D"/>
    <w:rsid w:val="00D1340E"/>
    <w:rsid w:val="00D13464"/>
    <w:rsid w:val="00D1351D"/>
    <w:rsid w:val="00D136C8"/>
    <w:rsid w:val="00D13869"/>
    <w:rsid w:val="00D1396D"/>
    <w:rsid w:val="00D13975"/>
    <w:rsid w:val="00D13982"/>
    <w:rsid w:val="00D13B90"/>
    <w:rsid w:val="00D13BCF"/>
    <w:rsid w:val="00D13C62"/>
    <w:rsid w:val="00D13C63"/>
    <w:rsid w:val="00D13D40"/>
    <w:rsid w:val="00D141AC"/>
    <w:rsid w:val="00D142BF"/>
    <w:rsid w:val="00D145A6"/>
    <w:rsid w:val="00D145D0"/>
    <w:rsid w:val="00D147D8"/>
    <w:rsid w:val="00D14816"/>
    <w:rsid w:val="00D14865"/>
    <w:rsid w:val="00D148B4"/>
    <w:rsid w:val="00D149EC"/>
    <w:rsid w:val="00D14A1A"/>
    <w:rsid w:val="00D14ACD"/>
    <w:rsid w:val="00D14D90"/>
    <w:rsid w:val="00D14DEB"/>
    <w:rsid w:val="00D14E03"/>
    <w:rsid w:val="00D14F54"/>
    <w:rsid w:val="00D14FEE"/>
    <w:rsid w:val="00D15123"/>
    <w:rsid w:val="00D151AE"/>
    <w:rsid w:val="00D152CC"/>
    <w:rsid w:val="00D1534F"/>
    <w:rsid w:val="00D15494"/>
    <w:rsid w:val="00D15622"/>
    <w:rsid w:val="00D156D0"/>
    <w:rsid w:val="00D157D9"/>
    <w:rsid w:val="00D158DD"/>
    <w:rsid w:val="00D158DE"/>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09C"/>
    <w:rsid w:val="00D1726A"/>
    <w:rsid w:val="00D1733C"/>
    <w:rsid w:val="00D17422"/>
    <w:rsid w:val="00D1745B"/>
    <w:rsid w:val="00D1752A"/>
    <w:rsid w:val="00D17692"/>
    <w:rsid w:val="00D17755"/>
    <w:rsid w:val="00D17775"/>
    <w:rsid w:val="00D177B3"/>
    <w:rsid w:val="00D17B72"/>
    <w:rsid w:val="00D17CBA"/>
    <w:rsid w:val="00D17D76"/>
    <w:rsid w:val="00D17DE1"/>
    <w:rsid w:val="00D17F0B"/>
    <w:rsid w:val="00D17FB2"/>
    <w:rsid w:val="00D17FD7"/>
    <w:rsid w:val="00D2000B"/>
    <w:rsid w:val="00D20090"/>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053"/>
    <w:rsid w:val="00D211C3"/>
    <w:rsid w:val="00D21408"/>
    <w:rsid w:val="00D2155F"/>
    <w:rsid w:val="00D2170E"/>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8E"/>
    <w:rsid w:val="00D22ABF"/>
    <w:rsid w:val="00D22B7A"/>
    <w:rsid w:val="00D22B8B"/>
    <w:rsid w:val="00D22CFB"/>
    <w:rsid w:val="00D22DEE"/>
    <w:rsid w:val="00D2302A"/>
    <w:rsid w:val="00D2305C"/>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A8"/>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41B"/>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0D1A"/>
    <w:rsid w:val="00D310E1"/>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7B"/>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8"/>
    <w:rsid w:val="00D35098"/>
    <w:rsid w:val="00D35159"/>
    <w:rsid w:val="00D352E7"/>
    <w:rsid w:val="00D35333"/>
    <w:rsid w:val="00D35428"/>
    <w:rsid w:val="00D35438"/>
    <w:rsid w:val="00D35473"/>
    <w:rsid w:val="00D355AB"/>
    <w:rsid w:val="00D35627"/>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0B"/>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21"/>
    <w:rsid w:val="00D3733A"/>
    <w:rsid w:val="00D3733B"/>
    <w:rsid w:val="00D37488"/>
    <w:rsid w:val="00D3750A"/>
    <w:rsid w:val="00D375A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10"/>
    <w:rsid w:val="00D4373A"/>
    <w:rsid w:val="00D438DF"/>
    <w:rsid w:val="00D43913"/>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6DD"/>
    <w:rsid w:val="00D45707"/>
    <w:rsid w:val="00D457AF"/>
    <w:rsid w:val="00D45887"/>
    <w:rsid w:val="00D459B9"/>
    <w:rsid w:val="00D45A89"/>
    <w:rsid w:val="00D45A9F"/>
    <w:rsid w:val="00D45C20"/>
    <w:rsid w:val="00D45D70"/>
    <w:rsid w:val="00D45D9E"/>
    <w:rsid w:val="00D46036"/>
    <w:rsid w:val="00D46291"/>
    <w:rsid w:val="00D4642A"/>
    <w:rsid w:val="00D46445"/>
    <w:rsid w:val="00D4647F"/>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7FB"/>
    <w:rsid w:val="00D52878"/>
    <w:rsid w:val="00D52C4C"/>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70"/>
    <w:rsid w:val="00D544A1"/>
    <w:rsid w:val="00D544BD"/>
    <w:rsid w:val="00D546A7"/>
    <w:rsid w:val="00D54844"/>
    <w:rsid w:val="00D549D1"/>
    <w:rsid w:val="00D54BD3"/>
    <w:rsid w:val="00D54C09"/>
    <w:rsid w:val="00D54CFA"/>
    <w:rsid w:val="00D54D7F"/>
    <w:rsid w:val="00D54E9E"/>
    <w:rsid w:val="00D55063"/>
    <w:rsid w:val="00D550C1"/>
    <w:rsid w:val="00D550DE"/>
    <w:rsid w:val="00D55429"/>
    <w:rsid w:val="00D554BE"/>
    <w:rsid w:val="00D554FD"/>
    <w:rsid w:val="00D555FA"/>
    <w:rsid w:val="00D557CE"/>
    <w:rsid w:val="00D558DB"/>
    <w:rsid w:val="00D55B34"/>
    <w:rsid w:val="00D55BF6"/>
    <w:rsid w:val="00D55CFE"/>
    <w:rsid w:val="00D55D93"/>
    <w:rsid w:val="00D55DB5"/>
    <w:rsid w:val="00D5602E"/>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DD"/>
    <w:rsid w:val="00D57A6C"/>
    <w:rsid w:val="00D57B89"/>
    <w:rsid w:val="00D57C07"/>
    <w:rsid w:val="00D57CBE"/>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BCD"/>
    <w:rsid w:val="00D60E4F"/>
    <w:rsid w:val="00D60E9C"/>
    <w:rsid w:val="00D60FB7"/>
    <w:rsid w:val="00D61165"/>
    <w:rsid w:val="00D6124D"/>
    <w:rsid w:val="00D612B1"/>
    <w:rsid w:val="00D612BD"/>
    <w:rsid w:val="00D6148A"/>
    <w:rsid w:val="00D6157D"/>
    <w:rsid w:val="00D61676"/>
    <w:rsid w:val="00D61989"/>
    <w:rsid w:val="00D619A4"/>
    <w:rsid w:val="00D61ADE"/>
    <w:rsid w:val="00D61B34"/>
    <w:rsid w:val="00D61B51"/>
    <w:rsid w:val="00D61C23"/>
    <w:rsid w:val="00D61E6C"/>
    <w:rsid w:val="00D61EC9"/>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DC6"/>
    <w:rsid w:val="00D63F70"/>
    <w:rsid w:val="00D63FD2"/>
    <w:rsid w:val="00D64003"/>
    <w:rsid w:val="00D64197"/>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88"/>
    <w:rsid w:val="00D66CCF"/>
    <w:rsid w:val="00D66CFE"/>
    <w:rsid w:val="00D66E1A"/>
    <w:rsid w:val="00D67153"/>
    <w:rsid w:val="00D6721D"/>
    <w:rsid w:val="00D672C8"/>
    <w:rsid w:val="00D677BD"/>
    <w:rsid w:val="00D67917"/>
    <w:rsid w:val="00D67B87"/>
    <w:rsid w:val="00D67C8B"/>
    <w:rsid w:val="00D67CBE"/>
    <w:rsid w:val="00D67D1E"/>
    <w:rsid w:val="00D67E53"/>
    <w:rsid w:val="00D67F22"/>
    <w:rsid w:val="00D70056"/>
    <w:rsid w:val="00D70133"/>
    <w:rsid w:val="00D70150"/>
    <w:rsid w:val="00D7020A"/>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3A7"/>
    <w:rsid w:val="00D71432"/>
    <w:rsid w:val="00D7156A"/>
    <w:rsid w:val="00D715F0"/>
    <w:rsid w:val="00D7161C"/>
    <w:rsid w:val="00D716AB"/>
    <w:rsid w:val="00D716BA"/>
    <w:rsid w:val="00D7170A"/>
    <w:rsid w:val="00D71741"/>
    <w:rsid w:val="00D71885"/>
    <w:rsid w:val="00D71C1F"/>
    <w:rsid w:val="00D71C83"/>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C1"/>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5AF"/>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152"/>
    <w:rsid w:val="00D80296"/>
    <w:rsid w:val="00D802FE"/>
    <w:rsid w:val="00D80515"/>
    <w:rsid w:val="00D80606"/>
    <w:rsid w:val="00D80643"/>
    <w:rsid w:val="00D806C5"/>
    <w:rsid w:val="00D80722"/>
    <w:rsid w:val="00D80A1A"/>
    <w:rsid w:val="00D80A7E"/>
    <w:rsid w:val="00D80AD9"/>
    <w:rsid w:val="00D80D2E"/>
    <w:rsid w:val="00D80D3F"/>
    <w:rsid w:val="00D80D7F"/>
    <w:rsid w:val="00D80DE6"/>
    <w:rsid w:val="00D81037"/>
    <w:rsid w:val="00D812C4"/>
    <w:rsid w:val="00D81332"/>
    <w:rsid w:val="00D814C8"/>
    <w:rsid w:val="00D81543"/>
    <w:rsid w:val="00D8154F"/>
    <w:rsid w:val="00D81556"/>
    <w:rsid w:val="00D816A4"/>
    <w:rsid w:val="00D816B0"/>
    <w:rsid w:val="00D816C2"/>
    <w:rsid w:val="00D817BD"/>
    <w:rsid w:val="00D817E3"/>
    <w:rsid w:val="00D81880"/>
    <w:rsid w:val="00D81B08"/>
    <w:rsid w:val="00D81BD7"/>
    <w:rsid w:val="00D81D8F"/>
    <w:rsid w:val="00D81EDE"/>
    <w:rsid w:val="00D823F6"/>
    <w:rsid w:val="00D823FF"/>
    <w:rsid w:val="00D82479"/>
    <w:rsid w:val="00D825BF"/>
    <w:rsid w:val="00D82661"/>
    <w:rsid w:val="00D82731"/>
    <w:rsid w:val="00D8277E"/>
    <w:rsid w:val="00D827D0"/>
    <w:rsid w:val="00D827DC"/>
    <w:rsid w:val="00D827DE"/>
    <w:rsid w:val="00D828F3"/>
    <w:rsid w:val="00D82962"/>
    <w:rsid w:val="00D82AF9"/>
    <w:rsid w:val="00D82B46"/>
    <w:rsid w:val="00D82BEB"/>
    <w:rsid w:val="00D82CC7"/>
    <w:rsid w:val="00D82DA6"/>
    <w:rsid w:val="00D82ED3"/>
    <w:rsid w:val="00D82F1E"/>
    <w:rsid w:val="00D82FFC"/>
    <w:rsid w:val="00D83005"/>
    <w:rsid w:val="00D8304E"/>
    <w:rsid w:val="00D8308A"/>
    <w:rsid w:val="00D830DA"/>
    <w:rsid w:val="00D830E2"/>
    <w:rsid w:val="00D83160"/>
    <w:rsid w:val="00D833D7"/>
    <w:rsid w:val="00D8346D"/>
    <w:rsid w:val="00D8348D"/>
    <w:rsid w:val="00D83506"/>
    <w:rsid w:val="00D8352C"/>
    <w:rsid w:val="00D8364B"/>
    <w:rsid w:val="00D8383E"/>
    <w:rsid w:val="00D83864"/>
    <w:rsid w:val="00D83A9F"/>
    <w:rsid w:val="00D83D04"/>
    <w:rsid w:val="00D83DA3"/>
    <w:rsid w:val="00D83E6D"/>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CF5"/>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8B"/>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C95"/>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C78"/>
    <w:rsid w:val="00D90D52"/>
    <w:rsid w:val="00D90EB6"/>
    <w:rsid w:val="00D910CD"/>
    <w:rsid w:val="00D9137C"/>
    <w:rsid w:val="00D9138E"/>
    <w:rsid w:val="00D918D5"/>
    <w:rsid w:val="00D91ADB"/>
    <w:rsid w:val="00D91BFF"/>
    <w:rsid w:val="00D91C16"/>
    <w:rsid w:val="00D91D48"/>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A3B"/>
    <w:rsid w:val="00D92B4F"/>
    <w:rsid w:val="00D92BCE"/>
    <w:rsid w:val="00D92E14"/>
    <w:rsid w:val="00D92F08"/>
    <w:rsid w:val="00D9301C"/>
    <w:rsid w:val="00D93055"/>
    <w:rsid w:val="00D9308A"/>
    <w:rsid w:val="00D9329B"/>
    <w:rsid w:val="00D93349"/>
    <w:rsid w:val="00D93387"/>
    <w:rsid w:val="00D933D1"/>
    <w:rsid w:val="00D9345E"/>
    <w:rsid w:val="00D9357F"/>
    <w:rsid w:val="00D93624"/>
    <w:rsid w:val="00D936E2"/>
    <w:rsid w:val="00D938A0"/>
    <w:rsid w:val="00D93941"/>
    <w:rsid w:val="00D9399C"/>
    <w:rsid w:val="00D93BC0"/>
    <w:rsid w:val="00D93E1D"/>
    <w:rsid w:val="00D93F15"/>
    <w:rsid w:val="00D93FE2"/>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7B8"/>
    <w:rsid w:val="00D97835"/>
    <w:rsid w:val="00D978A1"/>
    <w:rsid w:val="00D97928"/>
    <w:rsid w:val="00D97A20"/>
    <w:rsid w:val="00D97A86"/>
    <w:rsid w:val="00D97BE5"/>
    <w:rsid w:val="00D97BFD"/>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54F"/>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70E"/>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46"/>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5E2"/>
    <w:rsid w:val="00DA76E6"/>
    <w:rsid w:val="00DA79D4"/>
    <w:rsid w:val="00DA7A4A"/>
    <w:rsid w:val="00DA7B62"/>
    <w:rsid w:val="00DA7C92"/>
    <w:rsid w:val="00DA7D27"/>
    <w:rsid w:val="00DA7F77"/>
    <w:rsid w:val="00DA7FA2"/>
    <w:rsid w:val="00DA7FB7"/>
    <w:rsid w:val="00DA7FCB"/>
    <w:rsid w:val="00DA7FED"/>
    <w:rsid w:val="00DB015E"/>
    <w:rsid w:val="00DB0248"/>
    <w:rsid w:val="00DB0271"/>
    <w:rsid w:val="00DB02FF"/>
    <w:rsid w:val="00DB0332"/>
    <w:rsid w:val="00DB0380"/>
    <w:rsid w:val="00DB05AA"/>
    <w:rsid w:val="00DB0986"/>
    <w:rsid w:val="00DB0B4F"/>
    <w:rsid w:val="00DB0C58"/>
    <w:rsid w:val="00DB0DB0"/>
    <w:rsid w:val="00DB0DBD"/>
    <w:rsid w:val="00DB0EAB"/>
    <w:rsid w:val="00DB1084"/>
    <w:rsid w:val="00DB11B4"/>
    <w:rsid w:val="00DB12D8"/>
    <w:rsid w:val="00DB134C"/>
    <w:rsid w:val="00DB1454"/>
    <w:rsid w:val="00DB1535"/>
    <w:rsid w:val="00DB1602"/>
    <w:rsid w:val="00DB1825"/>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48E"/>
    <w:rsid w:val="00DB25DF"/>
    <w:rsid w:val="00DB26FE"/>
    <w:rsid w:val="00DB273F"/>
    <w:rsid w:val="00DB2A41"/>
    <w:rsid w:val="00DB2A4D"/>
    <w:rsid w:val="00DB2A80"/>
    <w:rsid w:val="00DB2AD8"/>
    <w:rsid w:val="00DB2F95"/>
    <w:rsid w:val="00DB30C3"/>
    <w:rsid w:val="00DB31F9"/>
    <w:rsid w:val="00DB3209"/>
    <w:rsid w:val="00DB32E5"/>
    <w:rsid w:val="00DB3307"/>
    <w:rsid w:val="00DB335F"/>
    <w:rsid w:val="00DB3374"/>
    <w:rsid w:val="00DB3554"/>
    <w:rsid w:val="00DB362D"/>
    <w:rsid w:val="00DB39DA"/>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8EB"/>
    <w:rsid w:val="00DB5952"/>
    <w:rsid w:val="00DB59B1"/>
    <w:rsid w:val="00DB5B6B"/>
    <w:rsid w:val="00DB5BF9"/>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79E"/>
    <w:rsid w:val="00DB6956"/>
    <w:rsid w:val="00DB6A4A"/>
    <w:rsid w:val="00DB6BCB"/>
    <w:rsid w:val="00DB6BD7"/>
    <w:rsid w:val="00DB6C21"/>
    <w:rsid w:val="00DB6C2B"/>
    <w:rsid w:val="00DB6D46"/>
    <w:rsid w:val="00DB6E2B"/>
    <w:rsid w:val="00DB6E65"/>
    <w:rsid w:val="00DB6EF3"/>
    <w:rsid w:val="00DB72A1"/>
    <w:rsid w:val="00DB7395"/>
    <w:rsid w:val="00DB741F"/>
    <w:rsid w:val="00DB74BA"/>
    <w:rsid w:val="00DB7585"/>
    <w:rsid w:val="00DB75DB"/>
    <w:rsid w:val="00DB761E"/>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20"/>
    <w:rsid w:val="00DC0B3B"/>
    <w:rsid w:val="00DC0B43"/>
    <w:rsid w:val="00DC0B88"/>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036"/>
    <w:rsid w:val="00DC2107"/>
    <w:rsid w:val="00DC2405"/>
    <w:rsid w:val="00DC2544"/>
    <w:rsid w:val="00DC26BA"/>
    <w:rsid w:val="00DC2A82"/>
    <w:rsid w:val="00DC2D68"/>
    <w:rsid w:val="00DC2E7B"/>
    <w:rsid w:val="00DC2EB1"/>
    <w:rsid w:val="00DC2F0E"/>
    <w:rsid w:val="00DC3013"/>
    <w:rsid w:val="00DC3067"/>
    <w:rsid w:val="00DC306A"/>
    <w:rsid w:val="00DC3143"/>
    <w:rsid w:val="00DC338F"/>
    <w:rsid w:val="00DC345E"/>
    <w:rsid w:val="00DC3674"/>
    <w:rsid w:val="00DC36A8"/>
    <w:rsid w:val="00DC36F7"/>
    <w:rsid w:val="00DC37D7"/>
    <w:rsid w:val="00DC3889"/>
    <w:rsid w:val="00DC3B76"/>
    <w:rsid w:val="00DC3C69"/>
    <w:rsid w:val="00DC3CC0"/>
    <w:rsid w:val="00DC3CF5"/>
    <w:rsid w:val="00DC3CFE"/>
    <w:rsid w:val="00DC3D65"/>
    <w:rsid w:val="00DC3E8A"/>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5D1"/>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4F5"/>
    <w:rsid w:val="00DC653B"/>
    <w:rsid w:val="00DC6600"/>
    <w:rsid w:val="00DC6605"/>
    <w:rsid w:val="00DC660F"/>
    <w:rsid w:val="00DC6721"/>
    <w:rsid w:val="00DC6728"/>
    <w:rsid w:val="00DC6856"/>
    <w:rsid w:val="00DC6977"/>
    <w:rsid w:val="00DC6A06"/>
    <w:rsid w:val="00DC6A83"/>
    <w:rsid w:val="00DC6ACB"/>
    <w:rsid w:val="00DC6CCD"/>
    <w:rsid w:val="00DC6D3B"/>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B30"/>
    <w:rsid w:val="00DD0C75"/>
    <w:rsid w:val="00DD0E14"/>
    <w:rsid w:val="00DD0FDF"/>
    <w:rsid w:val="00DD1097"/>
    <w:rsid w:val="00DD10B3"/>
    <w:rsid w:val="00DD113E"/>
    <w:rsid w:val="00DD1227"/>
    <w:rsid w:val="00DD131A"/>
    <w:rsid w:val="00DD14D6"/>
    <w:rsid w:val="00DD15D2"/>
    <w:rsid w:val="00DD1654"/>
    <w:rsid w:val="00DD1668"/>
    <w:rsid w:val="00DD1734"/>
    <w:rsid w:val="00DD1738"/>
    <w:rsid w:val="00DD17A1"/>
    <w:rsid w:val="00DD17B4"/>
    <w:rsid w:val="00DD17F5"/>
    <w:rsid w:val="00DD1A60"/>
    <w:rsid w:val="00DD1A7D"/>
    <w:rsid w:val="00DD1BC2"/>
    <w:rsid w:val="00DD1C5A"/>
    <w:rsid w:val="00DD1D70"/>
    <w:rsid w:val="00DD1EDA"/>
    <w:rsid w:val="00DD2094"/>
    <w:rsid w:val="00DD20AB"/>
    <w:rsid w:val="00DD213D"/>
    <w:rsid w:val="00DD2284"/>
    <w:rsid w:val="00DD2308"/>
    <w:rsid w:val="00DD23B4"/>
    <w:rsid w:val="00DD240C"/>
    <w:rsid w:val="00DD242F"/>
    <w:rsid w:val="00DD25BC"/>
    <w:rsid w:val="00DD26AD"/>
    <w:rsid w:val="00DD2894"/>
    <w:rsid w:val="00DD2942"/>
    <w:rsid w:val="00DD2956"/>
    <w:rsid w:val="00DD2994"/>
    <w:rsid w:val="00DD2A25"/>
    <w:rsid w:val="00DD2CBE"/>
    <w:rsid w:val="00DD2CE8"/>
    <w:rsid w:val="00DD2D24"/>
    <w:rsid w:val="00DD2DB9"/>
    <w:rsid w:val="00DD2E8D"/>
    <w:rsid w:val="00DD2ED7"/>
    <w:rsid w:val="00DD2EFB"/>
    <w:rsid w:val="00DD30D2"/>
    <w:rsid w:val="00DD32E0"/>
    <w:rsid w:val="00DD32F9"/>
    <w:rsid w:val="00DD34ED"/>
    <w:rsid w:val="00DD3508"/>
    <w:rsid w:val="00DD3558"/>
    <w:rsid w:val="00DD3698"/>
    <w:rsid w:val="00DD37A6"/>
    <w:rsid w:val="00DD39A1"/>
    <w:rsid w:val="00DD3A95"/>
    <w:rsid w:val="00DD3C2A"/>
    <w:rsid w:val="00DD3C78"/>
    <w:rsid w:val="00DD3CA5"/>
    <w:rsid w:val="00DD3D6B"/>
    <w:rsid w:val="00DD3DCE"/>
    <w:rsid w:val="00DD3E24"/>
    <w:rsid w:val="00DD3F28"/>
    <w:rsid w:val="00DD3F4D"/>
    <w:rsid w:val="00DD4039"/>
    <w:rsid w:val="00DD4193"/>
    <w:rsid w:val="00DD4270"/>
    <w:rsid w:val="00DD4377"/>
    <w:rsid w:val="00DD451D"/>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5B"/>
    <w:rsid w:val="00DD6173"/>
    <w:rsid w:val="00DD6203"/>
    <w:rsid w:val="00DD62B0"/>
    <w:rsid w:val="00DD6309"/>
    <w:rsid w:val="00DD632D"/>
    <w:rsid w:val="00DD651B"/>
    <w:rsid w:val="00DD6520"/>
    <w:rsid w:val="00DD669F"/>
    <w:rsid w:val="00DD6734"/>
    <w:rsid w:val="00DD67D1"/>
    <w:rsid w:val="00DD6914"/>
    <w:rsid w:val="00DD6996"/>
    <w:rsid w:val="00DD6C9D"/>
    <w:rsid w:val="00DD6CA4"/>
    <w:rsid w:val="00DD6CCD"/>
    <w:rsid w:val="00DD6FF9"/>
    <w:rsid w:val="00DD7034"/>
    <w:rsid w:val="00DD70ED"/>
    <w:rsid w:val="00DD7300"/>
    <w:rsid w:val="00DD75FC"/>
    <w:rsid w:val="00DD761F"/>
    <w:rsid w:val="00DD78B0"/>
    <w:rsid w:val="00DD7A05"/>
    <w:rsid w:val="00DD7C42"/>
    <w:rsid w:val="00DD7E1B"/>
    <w:rsid w:val="00DD7E2F"/>
    <w:rsid w:val="00DD7EAC"/>
    <w:rsid w:val="00DE0013"/>
    <w:rsid w:val="00DE0115"/>
    <w:rsid w:val="00DE0303"/>
    <w:rsid w:val="00DE04B4"/>
    <w:rsid w:val="00DE0550"/>
    <w:rsid w:val="00DE05C6"/>
    <w:rsid w:val="00DE06A2"/>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3F3E"/>
    <w:rsid w:val="00DE4272"/>
    <w:rsid w:val="00DE4311"/>
    <w:rsid w:val="00DE4441"/>
    <w:rsid w:val="00DE4518"/>
    <w:rsid w:val="00DE464D"/>
    <w:rsid w:val="00DE46BA"/>
    <w:rsid w:val="00DE4779"/>
    <w:rsid w:val="00DE477B"/>
    <w:rsid w:val="00DE4A14"/>
    <w:rsid w:val="00DE4A24"/>
    <w:rsid w:val="00DE4BA8"/>
    <w:rsid w:val="00DE4C47"/>
    <w:rsid w:val="00DE4F2A"/>
    <w:rsid w:val="00DE5063"/>
    <w:rsid w:val="00DE525F"/>
    <w:rsid w:val="00DE55C3"/>
    <w:rsid w:val="00DE56C8"/>
    <w:rsid w:val="00DE5706"/>
    <w:rsid w:val="00DE5756"/>
    <w:rsid w:val="00DE58DA"/>
    <w:rsid w:val="00DE59C1"/>
    <w:rsid w:val="00DE5ACE"/>
    <w:rsid w:val="00DE5C74"/>
    <w:rsid w:val="00DE5D2F"/>
    <w:rsid w:val="00DE5DE1"/>
    <w:rsid w:val="00DE5F01"/>
    <w:rsid w:val="00DE5FFF"/>
    <w:rsid w:val="00DE606E"/>
    <w:rsid w:val="00DE60B7"/>
    <w:rsid w:val="00DE6223"/>
    <w:rsid w:val="00DE6224"/>
    <w:rsid w:val="00DE6381"/>
    <w:rsid w:val="00DE63D8"/>
    <w:rsid w:val="00DE6564"/>
    <w:rsid w:val="00DE658F"/>
    <w:rsid w:val="00DE6692"/>
    <w:rsid w:val="00DE66BD"/>
    <w:rsid w:val="00DE685D"/>
    <w:rsid w:val="00DE6938"/>
    <w:rsid w:val="00DE69DD"/>
    <w:rsid w:val="00DE69E1"/>
    <w:rsid w:val="00DE6B84"/>
    <w:rsid w:val="00DE6C32"/>
    <w:rsid w:val="00DE6C4C"/>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C9"/>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2B"/>
    <w:rsid w:val="00DF28E0"/>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832"/>
    <w:rsid w:val="00DF39EB"/>
    <w:rsid w:val="00DF3B9F"/>
    <w:rsid w:val="00DF3BC1"/>
    <w:rsid w:val="00DF3BC7"/>
    <w:rsid w:val="00DF3C2A"/>
    <w:rsid w:val="00DF3D22"/>
    <w:rsid w:val="00DF3DAB"/>
    <w:rsid w:val="00DF3EDE"/>
    <w:rsid w:val="00DF405D"/>
    <w:rsid w:val="00DF411B"/>
    <w:rsid w:val="00DF415D"/>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69"/>
    <w:rsid w:val="00DF7774"/>
    <w:rsid w:val="00DF77EF"/>
    <w:rsid w:val="00DF7921"/>
    <w:rsid w:val="00DF7A5E"/>
    <w:rsid w:val="00DF7AD2"/>
    <w:rsid w:val="00DF7AFD"/>
    <w:rsid w:val="00DF7B03"/>
    <w:rsid w:val="00DF7B70"/>
    <w:rsid w:val="00DF7CA5"/>
    <w:rsid w:val="00DF7EFE"/>
    <w:rsid w:val="00E000C5"/>
    <w:rsid w:val="00E000D3"/>
    <w:rsid w:val="00E0010B"/>
    <w:rsid w:val="00E0012F"/>
    <w:rsid w:val="00E001E3"/>
    <w:rsid w:val="00E00321"/>
    <w:rsid w:val="00E003C2"/>
    <w:rsid w:val="00E00656"/>
    <w:rsid w:val="00E006E4"/>
    <w:rsid w:val="00E0081F"/>
    <w:rsid w:val="00E008E0"/>
    <w:rsid w:val="00E009D9"/>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09"/>
    <w:rsid w:val="00E01C79"/>
    <w:rsid w:val="00E01C8F"/>
    <w:rsid w:val="00E01CE9"/>
    <w:rsid w:val="00E01D79"/>
    <w:rsid w:val="00E01D99"/>
    <w:rsid w:val="00E01DCB"/>
    <w:rsid w:val="00E020C0"/>
    <w:rsid w:val="00E020CE"/>
    <w:rsid w:val="00E02140"/>
    <w:rsid w:val="00E0215C"/>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6AC"/>
    <w:rsid w:val="00E04781"/>
    <w:rsid w:val="00E0491C"/>
    <w:rsid w:val="00E04A3B"/>
    <w:rsid w:val="00E04A83"/>
    <w:rsid w:val="00E04B74"/>
    <w:rsid w:val="00E04B7E"/>
    <w:rsid w:val="00E04BD7"/>
    <w:rsid w:val="00E04BE8"/>
    <w:rsid w:val="00E04CC3"/>
    <w:rsid w:val="00E04D93"/>
    <w:rsid w:val="00E04E7B"/>
    <w:rsid w:val="00E0500C"/>
    <w:rsid w:val="00E05092"/>
    <w:rsid w:val="00E050D5"/>
    <w:rsid w:val="00E05191"/>
    <w:rsid w:val="00E051A6"/>
    <w:rsid w:val="00E05230"/>
    <w:rsid w:val="00E0574E"/>
    <w:rsid w:val="00E057F5"/>
    <w:rsid w:val="00E05A1B"/>
    <w:rsid w:val="00E05B15"/>
    <w:rsid w:val="00E05B2A"/>
    <w:rsid w:val="00E05DE9"/>
    <w:rsid w:val="00E05E5D"/>
    <w:rsid w:val="00E05E88"/>
    <w:rsid w:val="00E05EC3"/>
    <w:rsid w:val="00E05FCC"/>
    <w:rsid w:val="00E0604F"/>
    <w:rsid w:val="00E0606C"/>
    <w:rsid w:val="00E06269"/>
    <w:rsid w:val="00E063A7"/>
    <w:rsid w:val="00E0656E"/>
    <w:rsid w:val="00E0657F"/>
    <w:rsid w:val="00E06675"/>
    <w:rsid w:val="00E066C8"/>
    <w:rsid w:val="00E069BF"/>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07A62"/>
    <w:rsid w:val="00E10019"/>
    <w:rsid w:val="00E10575"/>
    <w:rsid w:val="00E10809"/>
    <w:rsid w:val="00E10822"/>
    <w:rsid w:val="00E10A1A"/>
    <w:rsid w:val="00E10B50"/>
    <w:rsid w:val="00E10C25"/>
    <w:rsid w:val="00E10E12"/>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0D"/>
    <w:rsid w:val="00E120F0"/>
    <w:rsid w:val="00E120F7"/>
    <w:rsid w:val="00E12284"/>
    <w:rsid w:val="00E122C6"/>
    <w:rsid w:val="00E122CA"/>
    <w:rsid w:val="00E1275A"/>
    <w:rsid w:val="00E128C2"/>
    <w:rsid w:val="00E128E7"/>
    <w:rsid w:val="00E12A8B"/>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4E"/>
    <w:rsid w:val="00E148BE"/>
    <w:rsid w:val="00E148F6"/>
    <w:rsid w:val="00E14B3F"/>
    <w:rsid w:val="00E14B5F"/>
    <w:rsid w:val="00E14B6D"/>
    <w:rsid w:val="00E14C1D"/>
    <w:rsid w:val="00E14C3F"/>
    <w:rsid w:val="00E14CE0"/>
    <w:rsid w:val="00E14FC7"/>
    <w:rsid w:val="00E15080"/>
    <w:rsid w:val="00E15236"/>
    <w:rsid w:val="00E15418"/>
    <w:rsid w:val="00E15495"/>
    <w:rsid w:val="00E1549C"/>
    <w:rsid w:val="00E15647"/>
    <w:rsid w:val="00E156E1"/>
    <w:rsid w:val="00E1574F"/>
    <w:rsid w:val="00E1577C"/>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B3"/>
    <w:rsid w:val="00E17DE0"/>
    <w:rsid w:val="00E201AA"/>
    <w:rsid w:val="00E20418"/>
    <w:rsid w:val="00E20578"/>
    <w:rsid w:val="00E20670"/>
    <w:rsid w:val="00E20724"/>
    <w:rsid w:val="00E20746"/>
    <w:rsid w:val="00E20905"/>
    <w:rsid w:val="00E20A7F"/>
    <w:rsid w:val="00E20D73"/>
    <w:rsid w:val="00E20EFD"/>
    <w:rsid w:val="00E21045"/>
    <w:rsid w:val="00E2107D"/>
    <w:rsid w:val="00E210EC"/>
    <w:rsid w:val="00E21115"/>
    <w:rsid w:val="00E211A4"/>
    <w:rsid w:val="00E21304"/>
    <w:rsid w:val="00E214C7"/>
    <w:rsid w:val="00E214CF"/>
    <w:rsid w:val="00E215F6"/>
    <w:rsid w:val="00E21607"/>
    <w:rsid w:val="00E21619"/>
    <w:rsid w:val="00E217A4"/>
    <w:rsid w:val="00E21AD6"/>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5E9"/>
    <w:rsid w:val="00E2561C"/>
    <w:rsid w:val="00E2573A"/>
    <w:rsid w:val="00E2574F"/>
    <w:rsid w:val="00E258DB"/>
    <w:rsid w:val="00E25A43"/>
    <w:rsid w:val="00E25B4B"/>
    <w:rsid w:val="00E25B5E"/>
    <w:rsid w:val="00E25B8C"/>
    <w:rsid w:val="00E25C05"/>
    <w:rsid w:val="00E25C2F"/>
    <w:rsid w:val="00E25C90"/>
    <w:rsid w:val="00E25DAD"/>
    <w:rsid w:val="00E25DB7"/>
    <w:rsid w:val="00E25F77"/>
    <w:rsid w:val="00E261C8"/>
    <w:rsid w:val="00E26211"/>
    <w:rsid w:val="00E26279"/>
    <w:rsid w:val="00E262BC"/>
    <w:rsid w:val="00E2658D"/>
    <w:rsid w:val="00E26866"/>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39"/>
    <w:rsid w:val="00E27E93"/>
    <w:rsid w:val="00E301E2"/>
    <w:rsid w:val="00E30203"/>
    <w:rsid w:val="00E30231"/>
    <w:rsid w:val="00E30271"/>
    <w:rsid w:val="00E30348"/>
    <w:rsid w:val="00E3038D"/>
    <w:rsid w:val="00E30474"/>
    <w:rsid w:val="00E30544"/>
    <w:rsid w:val="00E3059D"/>
    <w:rsid w:val="00E305B2"/>
    <w:rsid w:val="00E30621"/>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361"/>
    <w:rsid w:val="00E343A0"/>
    <w:rsid w:val="00E344C6"/>
    <w:rsid w:val="00E34569"/>
    <w:rsid w:val="00E3458F"/>
    <w:rsid w:val="00E34594"/>
    <w:rsid w:val="00E34683"/>
    <w:rsid w:val="00E34711"/>
    <w:rsid w:val="00E34830"/>
    <w:rsid w:val="00E3484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9B2"/>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37FCD"/>
    <w:rsid w:val="00E400B4"/>
    <w:rsid w:val="00E402D6"/>
    <w:rsid w:val="00E4032E"/>
    <w:rsid w:val="00E40524"/>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66F"/>
    <w:rsid w:val="00E42737"/>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24"/>
    <w:rsid w:val="00E44A79"/>
    <w:rsid w:val="00E44B00"/>
    <w:rsid w:val="00E44B09"/>
    <w:rsid w:val="00E44BA5"/>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CAB"/>
    <w:rsid w:val="00E45DB9"/>
    <w:rsid w:val="00E45DF3"/>
    <w:rsid w:val="00E45ED9"/>
    <w:rsid w:val="00E45FB8"/>
    <w:rsid w:val="00E46166"/>
    <w:rsid w:val="00E4619B"/>
    <w:rsid w:val="00E4652A"/>
    <w:rsid w:val="00E46573"/>
    <w:rsid w:val="00E46605"/>
    <w:rsid w:val="00E46858"/>
    <w:rsid w:val="00E46881"/>
    <w:rsid w:val="00E46AAE"/>
    <w:rsid w:val="00E46B73"/>
    <w:rsid w:val="00E46BD2"/>
    <w:rsid w:val="00E46C6A"/>
    <w:rsid w:val="00E46D5D"/>
    <w:rsid w:val="00E46DB4"/>
    <w:rsid w:val="00E47049"/>
    <w:rsid w:val="00E47065"/>
    <w:rsid w:val="00E4716A"/>
    <w:rsid w:val="00E47173"/>
    <w:rsid w:val="00E47210"/>
    <w:rsid w:val="00E4739C"/>
    <w:rsid w:val="00E4744D"/>
    <w:rsid w:val="00E47487"/>
    <w:rsid w:val="00E476A5"/>
    <w:rsid w:val="00E479F4"/>
    <w:rsid w:val="00E47CD6"/>
    <w:rsid w:val="00E47DCE"/>
    <w:rsid w:val="00E47DE5"/>
    <w:rsid w:val="00E47E73"/>
    <w:rsid w:val="00E47EF7"/>
    <w:rsid w:val="00E47FB0"/>
    <w:rsid w:val="00E50012"/>
    <w:rsid w:val="00E5007D"/>
    <w:rsid w:val="00E500F5"/>
    <w:rsid w:val="00E500FF"/>
    <w:rsid w:val="00E5022B"/>
    <w:rsid w:val="00E50493"/>
    <w:rsid w:val="00E50634"/>
    <w:rsid w:val="00E508CC"/>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8AB"/>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8F"/>
    <w:rsid w:val="00E53CA8"/>
    <w:rsid w:val="00E53CDD"/>
    <w:rsid w:val="00E53F36"/>
    <w:rsid w:val="00E53F4E"/>
    <w:rsid w:val="00E5400B"/>
    <w:rsid w:val="00E54065"/>
    <w:rsid w:val="00E5418D"/>
    <w:rsid w:val="00E544F3"/>
    <w:rsid w:val="00E54652"/>
    <w:rsid w:val="00E5466D"/>
    <w:rsid w:val="00E54AFF"/>
    <w:rsid w:val="00E54FF5"/>
    <w:rsid w:val="00E55105"/>
    <w:rsid w:val="00E5511C"/>
    <w:rsid w:val="00E5513F"/>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23D"/>
    <w:rsid w:val="00E5664B"/>
    <w:rsid w:val="00E5687F"/>
    <w:rsid w:val="00E56900"/>
    <w:rsid w:val="00E569D2"/>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E2A"/>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BB9"/>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87C"/>
    <w:rsid w:val="00E6188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1E"/>
    <w:rsid w:val="00E62866"/>
    <w:rsid w:val="00E62874"/>
    <w:rsid w:val="00E6290B"/>
    <w:rsid w:val="00E629BE"/>
    <w:rsid w:val="00E62B8C"/>
    <w:rsid w:val="00E62C00"/>
    <w:rsid w:val="00E62C5C"/>
    <w:rsid w:val="00E62ECB"/>
    <w:rsid w:val="00E63027"/>
    <w:rsid w:val="00E6325F"/>
    <w:rsid w:val="00E633EA"/>
    <w:rsid w:val="00E633FE"/>
    <w:rsid w:val="00E6364F"/>
    <w:rsid w:val="00E636B5"/>
    <w:rsid w:val="00E638DD"/>
    <w:rsid w:val="00E63B01"/>
    <w:rsid w:val="00E63B3F"/>
    <w:rsid w:val="00E63B62"/>
    <w:rsid w:val="00E63D21"/>
    <w:rsid w:val="00E63D5F"/>
    <w:rsid w:val="00E63E05"/>
    <w:rsid w:val="00E64193"/>
    <w:rsid w:val="00E642BC"/>
    <w:rsid w:val="00E64307"/>
    <w:rsid w:val="00E64330"/>
    <w:rsid w:val="00E645EE"/>
    <w:rsid w:val="00E645FC"/>
    <w:rsid w:val="00E646BA"/>
    <w:rsid w:val="00E64717"/>
    <w:rsid w:val="00E64768"/>
    <w:rsid w:val="00E64848"/>
    <w:rsid w:val="00E6487E"/>
    <w:rsid w:val="00E648DB"/>
    <w:rsid w:val="00E64954"/>
    <w:rsid w:val="00E6495F"/>
    <w:rsid w:val="00E64985"/>
    <w:rsid w:val="00E64C1A"/>
    <w:rsid w:val="00E64C8F"/>
    <w:rsid w:val="00E64E68"/>
    <w:rsid w:val="00E64F41"/>
    <w:rsid w:val="00E650BD"/>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577"/>
    <w:rsid w:val="00E66673"/>
    <w:rsid w:val="00E6668F"/>
    <w:rsid w:val="00E666E7"/>
    <w:rsid w:val="00E6672B"/>
    <w:rsid w:val="00E6681D"/>
    <w:rsid w:val="00E66820"/>
    <w:rsid w:val="00E6693C"/>
    <w:rsid w:val="00E669DA"/>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6E"/>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E33"/>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4F"/>
    <w:rsid w:val="00E75866"/>
    <w:rsid w:val="00E758B8"/>
    <w:rsid w:val="00E759D8"/>
    <w:rsid w:val="00E75A1F"/>
    <w:rsid w:val="00E75C13"/>
    <w:rsid w:val="00E75DF4"/>
    <w:rsid w:val="00E75E45"/>
    <w:rsid w:val="00E76042"/>
    <w:rsid w:val="00E7622B"/>
    <w:rsid w:val="00E762A4"/>
    <w:rsid w:val="00E763E2"/>
    <w:rsid w:val="00E7658B"/>
    <w:rsid w:val="00E76875"/>
    <w:rsid w:val="00E76BF1"/>
    <w:rsid w:val="00E76C6A"/>
    <w:rsid w:val="00E76C8A"/>
    <w:rsid w:val="00E76E78"/>
    <w:rsid w:val="00E7741F"/>
    <w:rsid w:val="00E77462"/>
    <w:rsid w:val="00E774DA"/>
    <w:rsid w:val="00E774F7"/>
    <w:rsid w:val="00E77816"/>
    <w:rsid w:val="00E77855"/>
    <w:rsid w:val="00E779EA"/>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31"/>
    <w:rsid w:val="00E806AE"/>
    <w:rsid w:val="00E80711"/>
    <w:rsid w:val="00E8074D"/>
    <w:rsid w:val="00E8098F"/>
    <w:rsid w:val="00E80D05"/>
    <w:rsid w:val="00E80D3B"/>
    <w:rsid w:val="00E80FF5"/>
    <w:rsid w:val="00E81061"/>
    <w:rsid w:val="00E8107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648"/>
    <w:rsid w:val="00E8278C"/>
    <w:rsid w:val="00E828C1"/>
    <w:rsid w:val="00E82903"/>
    <w:rsid w:val="00E82988"/>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27"/>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A7D"/>
    <w:rsid w:val="00E84C11"/>
    <w:rsid w:val="00E84CDC"/>
    <w:rsid w:val="00E84E3A"/>
    <w:rsid w:val="00E8510B"/>
    <w:rsid w:val="00E853D9"/>
    <w:rsid w:val="00E85496"/>
    <w:rsid w:val="00E855E3"/>
    <w:rsid w:val="00E8560C"/>
    <w:rsid w:val="00E858A3"/>
    <w:rsid w:val="00E85B7B"/>
    <w:rsid w:val="00E85BD6"/>
    <w:rsid w:val="00E85CAC"/>
    <w:rsid w:val="00E85D26"/>
    <w:rsid w:val="00E8601A"/>
    <w:rsid w:val="00E86045"/>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ABC"/>
    <w:rsid w:val="00E87CA6"/>
    <w:rsid w:val="00E87F01"/>
    <w:rsid w:val="00E87F40"/>
    <w:rsid w:val="00E90257"/>
    <w:rsid w:val="00E90294"/>
    <w:rsid w:val="00E902CC"/>
    <w:rsid w:val="00E90632"/>
    <w:rsid w:val="00E9074B"/>
    <w:rsid w:val="00E90887"/>
    <w:rsid w:val="00E909B1"/>
    <w:rsid w:val="00E90A5B"/>
    <w:rsid w:val="00E90C29"/>
    <w:rsid w:val="00E90C60"/>
    <w:rsid w:val="00E90C6F"/>
    <w:rsid w:val="00E912FD"/>
    <w:rsid w:val="00E91318"/>
    <w:rsid w:val="00E915B6"/>
    <w:rsid w:val="00E916A8"/>
    <w:rsid w:val="00E91929"/>
    <w:rsid w:val="00E91984"/>
    <w:rsid w:val="00E91A26"/>
    <w:rsid w:val="00E91BB4"/>
    <w:rsid w:val="00E91BD3"/>
    <w:rsid w:val="00E91DEA"/>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1F6"/>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CD"/>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DBA"/>
    <w:rsid w:val="00E96E7B"/>
    <w:rsid w:val="00E96EB6"/>
    <w:rsid w:val="00E96ED4"/>
    <w:rsid w:val="00E96EE0"/>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4CD"/>
    <w:rsid w:val="00EA05C7"/>
    <w:rsid w:val="00EA068B"/>
    <w:rsid w:val="00EA07C8"/>
    <w:rsid w:val="00EA0809"/>
    <w:rsid w:val="00EA0966"/>
    <w:rsid w:val="00EA0A86"/>
    <w:rsid w:val="00EA0AA4"/>
    <w:rsid w:val="00EA0AAB"/>
    <w:rsid w:val="00EA0BBF"/>
    <w:rsid w:val="00EA0C80"/>
    <w:rsid w:val="00EA0DB0"/>
    <w:rsid w:val="00EA0FE2"/>
    <w:rsid w:val="00EA10F4"/>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C42"/>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33"/>
    <w:rsid w:val="00EA50D4"/>
    <w:rsid w:val="00EA5125"/>
    <w:rsid w:val="00EA5222"/>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6B4"/>
    <w:rsid w:val="00EA6711"/>
    <w:rsid w:val="00EA689A"/>
    <w:rsid w:val="00EA693D"/>
    <w:rsid w:val="00EA6A71"/>
    <w:rsid w:val="00EA6B40"/>
    <w:rsid w:val="00EA6FA8"/>
    <w:rsid w:val="00EA7315"/>
    <w:rsid w:val="00EA7356"/>
    <w:rsid w:val="00EA756E"/>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8B9"/>
    <w:rsid w:val="00EB09B4"/>
    <w:rsid w:val="00EB0B4F"/>
    <w:rsid w:val="00EB0EA6"/>
    <w:rsid w:val="00EB0EB2"/>
    <w:rsid w:val="00EB0F42"/>
    <w:rsid w:val="00EB1011"/>
    <w:rsid w:val="00EB118C"/>
    <w:rsid w:val="00EB11D3"/>
    <w:rsid w:val="00EB120C"/>
    <w:rsid w:val="00EB13B2"/>
    <w:rsid w:val="00EB145C"/>
    <w:rsid w:val="00EB147C"/>
    <w:rsid w:val="00EB1565"/>
    <w:rsid w:val="00EB1589"/>
    <w:rsid w:val="00EB175F"/>
    <w:rsid w:val="00EB18E7"/>
    <w:rsid w:val="00EB1980"/>
    <w:rsid w:val="00EB1C12"/>
    <w:rsid w:val="00EB1CB6"/>
    <w:rsid w:val="00EB1D4F"/>
    <w:rsid w:val="00EB1E27"/>
    <w:rsid w:val="00EB1E5D"/>
    <w:rsid w:val="00EB1ED1"/>
    <w:rsid w:val="00EB204D"/>
    <w:rsid w:val="00EB21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468"/>
    <w:rsid w:val="00EB359F"/>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3A"/>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0E95"/>
    <w:rsid w:val="00EC110B"/>
    <w:rsid w:val="00EC118B"/>
    <w:rsid w:val="00EC11CB"/>
    <w:rsid w:val="00EC1415"/>
    <w:rsid w:val="00EC143C"/>
    <w:rsid w:val="00EC151E"/>
    <w:rsid w:val="00EC164E"/>
    <w:rsid w:val="00EC193B"/>
    <w:rsid w:val="00EC1975"/>
    <w:rsid w:val="00EC1A38"/>
    <w:rsid w:val="00EC1B62"/>
    <w:rsid w:val="00EC1C14"/>
    <w:rsid w:val="00EC1C5C"/>
    <w:rsid w:val="00EC2050"/>
    <w:rsid w:val="00EC20A2"/>
    <w:rsid w:val="00EC214F"/>
    <w:rsid w:val="00EC2185"/>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8"/>
    <w:rsid w:val="00EC3998"/>
    <w:rsid w:val="00EC3ABD"/>
    <w:rsid w:val="00EC3AD8"/>
    <w:rsid w:val="00EC3F81"/>
    <w:rsid w:val="00EC4046"/>
    <w:rsid w:val="00EC407B"/>
    <w:rsid w:val="00EC423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01"/>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6E"/>
    <w:rsid w:val="00EC7EA9"/>
    <w:rsid w:val="00EC7F2D"/>
    <w:rsid w:val="00EC7F63"/>
    <w:rsid w:val="00ED0124"/>
    <w:rsid w:val="00ED01CF"/>
    <w:rsid w:val="00ED01D7"/>
    <w:rsid w:val="00ED0329"/>
    <w:rsid w:val="00ED034C"/>
    <w:rsid w:val="00ED0594"/>
    <w:rsid w:val="00ED059C"/>
    <w:rsid w:val="00ED0648"/>
    <w:rsid w:val="00ED080E"/>
    <w:rsid w:val="00ED0CA3"/>
    <w:rsid w:val="00ED0D62"/>
    <w:rsid w:val="00ED0FA4"/>
    <w:rsid w:val="00ED1269"/>
    <w:rsid w:val="00ED13A7"/>
    <w:rsid w:val="00ED13F9"/>
    <w:rsid w:val="00ED1405"/>
    <w:rsid w:val="00ED143F"/>
    <w:rsid w:val="00ED146F"/>
    <w:rsid w:val="00ED1680"/>
    <w:rsid w:val="00ED1CEA"/>
    <w:rsid w:val="00ED1D59"/>
    <w:rsid w:val="00ED1ED0"/>
    <w:rsid w:val="00ED1F69"/>
    <w:rsid w:val="00ED1FB4"/>
    <w:rsid w:val="00ED1FB8"/>
    <w:rsid w:val="00ED2014"/>
    <w:rsid w:val="00ED2040"/>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D91"/>
    <w:rsid w:val="00ED4E5B"/>
    <w:rsid w:val="00ED4E72"/>
    <w:rsid w:val="00ED4F10"/>
    <w:rsid w:val="00ED4F8F"/>
    <w:rsid w:val="00ED4F9C"/>
    <w:rsid w:val="00ED507B"/>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A64"/>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7CC"/>
    <w:rsid w:val="00EE1889"/>
    <w:rsid w:val="00EE1B00"/>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794"/>
    <w:rsid w:val="00EE4940"/>
    <w:rsid w:val="00EE49C2"/>
    <w:rsid w:val="00EE49D3"/>
    <w:rsid w:val="00EE4DDF"/>
    <w:rsid w:val="00EE4F7D"/>
    <w:rsid w:val="00EE4F97"/>
    <w:rsid w:val="00EE52A4"/>
    <w:rsid w:val="00EE5313"/>
    <w:rsid w:val="00EE537C"/>
    <w:rsid w:val="00EE5413"/>
    <w:rsid w:val="00EE544F"/>
    <w:rsid w:val="00EE54E2"/>
    <w:rsid w:val="00EE5764"/>
    <w:rsid w:val="00EE57E8"/>
    <w:rsid w:val="00EE584D"/>
    <w:rsid w:val="00EE59A0"/>
    <w:rsid w:val="00EE5A9C"/>
    <w:rsid w:val="00EE5C8E"/>
    <w:rsid w:val="00EE5CA4"/>
    <w:rsid w:val="00EE5CCC"/>
    <w:rsid w:val="00EE5D14"/>
    <w:rsid w:val="00EE5E77"/>
    <w:rsid w:val="00EE6106"/>
    <w:rsid w:val="00EE6399"/>
    <w:rsid w:val="00EE65C8"/>
    <w:rsid w:val="00EE6726"/>
    <w:rsid w:val="00EE679B"/>
    <w:rsid w:val="00EE685A"/>
    <w:rsid w:val="00EE6955"/>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17E"/>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A53"/>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3CE"/>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51B"/>
    <w:rsid w:val="00EF4612"/>
    <w:rsid w:val="00EF47DB"/>
    <w:rsid w:val="00EF493E"/>
    <w:rsid w:val="00EF4A29"/>
    <w:rsid w:val="00EF4BBE"/>
    <w:rsid w:val="00EF4C47"/>
    <w:rsid w:val="00EF4DB8"/>
    <w:rsid w:val="00EF4F80"/>
    <w:rsid w:val="00EF5097"/>
    <w:rsid w:val="00EF514B"/>
    <w:rsid w:val="00EF51B5"/>
    <w:rsid w:val="00EF5264"/>
    <w:rsid w:val="00EF5335"/>
    <w:rsid w:val="00EF53FB"/>
    <w:rsid w:val="00EF55AD"/>
    <w:rsid w:val="00EF5617"/>
    <w:rsid w:val="00EF57F4"/>
    <w:rsid w:val="00EF57FA"/>
    <w:rsid w:val="00EF5801"/>
    <w:rsid w:val="00EF5D17"/>
    <w:rsid w:val="00EF5E2A"/>
    <w:rsid w:val="00EF5F0A"/>
    <w:rsid w:val="00EF6119"/>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DF4"/>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1DA"/>
    <w:rsid w:val="00F04230"/>
    <w:rsid w:val="00F04351"/>
    <w:rsid w:val="00F0449D"/>
    <w:rsid w:val="00F045BB"/>
    <w:rsid w:val="00F04723"/>
    <w:rsid w:val="00F0475B"/>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1BE"/>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264"/>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3AF"/>
    <w:rsid w:val="00F114ED"/>
    <w:rsid w:val="00F11565"/>
    <w:rsid w:val="00F115AC"/>
    <w:rsid w:val="00F115B8"/>
    <w:rsid w:val="00F117BB"/>
    <w:rsid w:val="00F117F1"/>
    <w:rsid w:val="00F11949"/>
    <w:rsid w:val="00F11C08"/>
    <w:rsid w:val="00F11C1B"/>
    <w:rsid w:val="00F11C27"/>
    <w:rsid w:val="00F11CAA"/>
    <w:rsid w:val="00F11CE1"/>
    <w:rsid w:val="00F11FDD"/>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9ED"/>
    <w:rsid w:val="00F13A53"/>
    <w:rsid w:val="00F13A87"/>
    <w:rsid w:val="00F13CBF"/>
    <w:rsid w:val="00F13D2E"/>
    <w:rsid w:val="00F13DD8"/>
    <w:rsid w:val="00F13E4F"/>
    <w:rsid w:val="00F13E7C"/>
    <w:rsid w:val="00F13EBD"/>
    <w:rsid w:val="00F1401B"/>
    <w:rsid w:val="00F14027"/>
    <w:rsid w:val="00F14042"/>
    <w:rsid w:val="00F14098"/>
    <w:rsid w:val="00F140C9"/>
    <w:rsid w:val="00F1417B"/>
    <w:rsid w:val="00F145F1"/>
    <w:rsid w:val="00F146BD"/>
    <w:rsid w:val="00F14970"/>
    <w:rsid w:val="00F14A4B"/>
    <w:rsid w:val="00F14A90"/>
    <w:rsid w:val="00F14AAF"/>
    <w:rsid w:val="00F14BE7"/>
    <w:rsid w:val="00F14C61"/>
    <w:rsid w:val="00F14D6F"/>
    <w:rsid w:val="00F14E01"/>
    <w:rsid w:val="00F14F09"/>
    <w:rsid w:val="00F15309"/>
    <w:rsid w:val="00F1549E"/>
    <w:rsid w:val="00F154CB"/>
    <w:rsid w:val="00F15571"/>
    <w:rsid w:val="00F155C1"/>
    <w:rsid w:val="00F155D9"/>
    <w:rsid w:val="00F15618"/>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3E"/>
    <w:rsid w:val="00F1734D"/>
    <w:rsid w:val="00F173DE"/>
    <w:rsid w:val="00F1753F"/>
    <w:rsid w:val="00F175F1"/>
    <w:rsid w:val="00F17614"/>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8F1"/>
    <w:rsid w:val="00F20A11"/>
    <w:rsid w:val="00F20A2F"/>
    <w:rsid w:val="00F20B9D"/>
    <w:rsid w:val="00F20C13"/>
    <w:rsid w:val="00F20C24"/>
    <w:rsid w:val="00F20CDF"/>
    <w:rsid w:val="00F20CE7"/>
    <w:rsid w:val="00F20DC2"/>
    <w:rsid w:val="00F20DD8"/>
    <w:rsid w:val="00F20E64"/>
    <w:rsid w:val="00F20E82"/>
    <w:rsid w:val="00F21005"/>
    <w:rsid w:val="00F211C2"/>
    <w:rsid w:val="00F212B1"/>
    <w:rsid w:val="00F2132A"/>
    <w:rsid w:val="00F213AC"/>
    <w:rsid w:val="00F214FF"/>
    <w:rsid w:val="00F21661"/>
    <w:rsid w:val="00F2166E"/>
    <w:rsid w:val="00F2184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577"/>
    <w:rsid w:val="00F24649"/>
    <w:rsid w:val="00F2468C"/>
    <w:rsid w:val="00F247AB"/>
    <w:rsid w:val="00F24802"/>
    <w:rsid w:val="00F24847"/>
    <w:rsid w:val="00F24868"/>
    <w:rsid w:val="00F24895"/>
    <w:rsid w:val="00F24A58"/>
    <w:rsid w:val="00F24A96"/>
    <w:rsid w:val="00F24AC1"/>
    <w:rsid w:val="00F24D1A"/>
    <w:rsid w:val="00F24D7E"/>
    <w:rsid w:val="00F2500F"/>
    <w:rsid w:val="00F251BD"/>
    <w:rsid w:val="00F2522E"/>
    <w:rsid w:val="00F25284"/>
    <w:rsid w:val="00F25294"/>
    <w:rsid w:val="00F255FC"/>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92"/>
    <w:rsid w:val="00F271BA"/>
    <w:rsid w:val="00F27417"/>
    <w:rsid w:val="00F27440"/>
    <w:rsid w:val="00F27509"/>
    <w:rsid w:val="00F276A2"/>
    <w:rsid w:val="00F277E7"/>
    <w:rsid w:val="00F27827"/>
    <w:rsid w:val="00F27A7B"/>
    <w:rsid w:val="00F27ABE"/>
    <w:rsid w:val="00F27B2E"/>
    <w:rsid w:val="00F27BE1"/>
    <w:rsid w:val="00F27C5B"/>
    <w:rsid w:val="00F27C6F"/>
    <w:rsid w:val="00F27CD3"/>
    <w:rsid w:val="00F27CDE"/>
    <w:rsid w:val="00F27E1D"/>
    <w:rsid w:val="00F27F4F"/>
    <w:rsid w:val="00F27F89"/>
    <w:rsid w:val="00F30126"/>
    <w:rsid w:val="00F3013E"/>
    <w:rsid w:val="00F3050A"/>
    <w:rsid w:val="00F3056D"/>
    <w:rsid w:val="00F30618"/>
    <w:rsid w:val="00F307C2"/>
    <w:rsid w:val="00F3096D"/>
    <w:rsid w:val="00F30992"/>
    <w:rsid w:val="00F30D3D"/>
    <w:rsid w:val="00F30D98"/>
    <w:rsid w:val="00F30E83"/>
    <w:rsid w:val="00F31228"/>
    <w:rsid w:val="00F314AC"/>
    <w:rsid w:val="00F31657"/>
    <w:rsid w:val="00F3177C"/>
    <w:rsid w:val="00F317A0"/>
    <w:rsid w:val="00F317E4"/>
    <w:rsid w:val="00F317E6"/>
    <w:rsid w:val="00F3189A"/>
    <w:rsid w:val="00F31B33"/>
    <w:rsid w:val="00F31C22"/>
    <w:rsid w:val="00F31C71"/>
    <w:rsid w:val="00F31C7A"/>
    <w:rsid w:val="00F31D71"/>
    <w:rsid w:val="00F31DD3"/>
    <w:rsid w:val="00F31F3E"/>
    <w:rsid w:val="00F31FC3"/>
    <w:rsid w:val="00F320BF"/>
    <w:rsid w:val="00F32141"/>
    <w:rsid w:val="00F321E8"/>
    <w:rsid w:val="00F323B2"/>
    <w:rsid w:val="00F3263A"/>
    <w:rsid w:val="00F32709"/>
    <w:rsid w:val="00F3274D"/>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5B3"/>
    <w:rsid w:val="00F34632"/>
    <w:rsid w:val="00F3469E"/>
    <w:rsid w:val="00F3469F"/>
    <w:rsid w:val="00F3497C"/>
    <w:rsid w:val="00F34A4B"/>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8"/>
    <w:rsid w:val="00F36B29"/>
    <w:rsid w:val="00F36BD0"/>
    <w:rsid w:val="00F36CB1"/>
    <w:rsid w:val="00F36F25"/>
    <w:rsid w:val="00F36FBD"/>
    <w:rsid w:val="00F370E6"/>
    <w:rsid w:val="00F37154"/>
    <w:rsid w:val="00F37168"/>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E57"/>
    <w:rsid w:val="00F37FC0"/>
    <w:rsid w:val="00F40190"/>
    <w:rsid w:val="00F401BB"/>
    <w:rsid w:val="00F40483"/>
    <w:rsid w:val="00F405AE"/>
    <w:rsid w:val="00F405C7"/>
    <w:rsid w:val="00F4068C"/>
    <w:rsid w:val="00F406F2"/>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14"/>
    <w:rsid w:val="00F42675"/>
    <w:rsid w:val="00F4267A"/>
    <w:rsid w:val="00F42685"/>
    <w:rsid w:val="00F427BE"/>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AF1"/>
    <w:rsid w:val="00F43D34"/>
    <w:rsid w:val="00F43E60"/>
    <w:rsid w:val="00F43FBD"/>
    <w:rsid w:val="00F440D1"/>
    <w:rsid w:val="00F440D3"/>
    <w:rsid w:val="00F44290"/>
    <w:rsid w:val="00F444B0"/>
    <w:rsid w:val="00F4455D"/>
    <w:rsid w:val="00F44563"/>
    <w:rsid w:val="00F446C3"/>
    <w:rsid w:val="00F446EE"/>
    <w:rsid w:val="00F44947"/>
    <w:rsid w:val="00F44958"/>
    <w:rsid w:val="00F44985"/>
    <w:rsid w:val="00F449F6"/>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1FA"/>
    <w:rsid w:val="00F4628A"/>
    <w:rsid w:val="00F462D8"/>
    <w:rsid w:val="00F462F3"/>
    <w:rsid w:val="00F463C1"/>
    <w:rsid w:val="00F46617"/>
    <w:rsid w:val="00F46A54"/>
    <w:rsid w:val="00F46B01"/>
    <w:rsid w:val="00F46BFC"/>
    <w:rsid w:val="00F46C55"/>
    <w:rsid w:val="00F46E3C"/>
    <w:rsid w:val="00F46EE7"/>
    <w:rsid w:val="00F4721A"/>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274"/>
    <w:rsid w:val="00F50381"/>
    <w:rsid w:val="00F503D1"/>
    <w:rsid w:val="00F50436"/>
    <w:rsid w:val="00F50505"/>
    <w:rsid w:val="00F5077D"/>
    <w:rsid w:val="00F507B5"/>
    <w:rsid w:val="00F5082B"/>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F8B"/>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5DE"/>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37"/>
    <w:rsid w:val="00F56899"/>
    <w:rsid w:val="00F568B8"/>
    <w:rsid w:val="00F56A90"/>
    <w:rsid w:val="00F56C1E"/>
    <w:rsid w:val="00F56D0D"/>
    <w:rsid w:val="00F56D67"/>
    <w:rsid w:val="00F56DB8"/>
    <w:rsid w:val="00F571AD"/>
    <w:rsid w:val="00F571C2"/>
    <w:rsid w:val="00F57294"/>
    <w:rsid w:val="00F57346"/>
    <w:rsid w:val="00F575A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513"/>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086"/>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09"/>
    <w:rsid w:val="00F6434B"/>
    <w:rsid w:val="00F643BF"/>
    <w:rsid w:val="00F64437"/>
    <w:rsid w:val="00F6445B"/>
    <w:rsid w:val="00F6459C"/>
    <w:rsid w:val="00F647A5"/>
    <w:rsid w:val="00F647C8"/>
    <w:rsid w:val="00F64A48"/>
    <w:rsid w:val="00F64B01"/>
    <w:rsid w:val="00F64BA9"/>
    <w:rsid w:val="00F64C95"/>
    <w:rsid w:val="00F64CA7"/>
    <w:rsid w:val="00F64D32"/>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8A2"/>
    <w:rsid w:val="00F6690D"/>
    <w:rsid w:val="00F66A30"/>
    <w:rsid w:val="00F66AEF"/>
    <w:rsid w:val="00F66B3E"/>
    <w:rsid w:val="00F66E71"/>
    <w:rsid w:val="00F66F46"/>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8BA"/>
    <w:rsid w:val="00F7199F"/>
    <w:rsid w:val="00F719F3"/>
    <w:rsid w:val="00F71BA5"/>
    <w:rsid w:val="00F71CB4"/>
    <w:rsid w:val="00F71FB4"/>
    <w:rsid w:val="00F72004"/>
    <w:rsid w:val="00F72243"/>
    <w:rsid w:val="00F72340"/>
    <w:rsid w:val="00F723EF"/>
    <w:rsid w:val="00F72558"/>
    <w:rsid w:val="00F72712"/>
    <w:rsid w:val="00F72838"/>
    <w:rsid w:val="00F7283B"/>
    <w:rsid w:val="00F729AB"/>
    <w:rsid w:val="00F72B66"/>
    <w:rsid w:val="00F72CA9"/>
    <w:rsid w:val="00F72ED5"/>
    <w:rsid w:val="00F72EDC"/>
    <w:rsid w:val="00F72F9B"/>
    <w:rsid w:val="00F7307B"/>
    <w:rsid w:val="00F733E9"/>
    <w:rsid w:val="00F7370F"/>
    <w:rsid w:val="00F73710"/>
    <w:rsid w:val="00F7373D"/>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36"/>
    <w:rsid w:val="00F74FE9"/>
    <w:rsid w:val="00F7501A"/>
    <w:rsid w:val="00F75250"/>
    <w:rsid w:val="00F75252"/>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73"/>
    <w:rsid w:val="00F76F22"/>
    <w:rsid w:val="00F76FF1"/>
    <w:rsid w:val="00F7701C"/>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BD9"/>
    <w:rsid w:val="00F80D0D"/>
    <w:rsid w:val="00F80D91"/>
    <w:rsid w:val="00F80DA8"/>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079"/>
    <w:rsid w:val="00F8324D"/>
    <w:rsid w:val="00F832B3"/>
    <w:rsid w:val="00F8333B"/>
    <w:rsid w:val="00F834EE"/>
    <w:rsid w:val="00F83568"/>
    <w:rsid w:val="00F836FB"/>
    <w:rsid w:val="00F8382C"/>
    <w:rsid w:val="00F839B6"/>
    <w:rsid w:val="00F839D0"/>
    <w:rsid w:val="00F83A5B"/>
    <w:rsid w:val="00F83B5A"/>
    <w:rsid w:val="00F83BAC"/>
    <w:rsid w:val="00F83CCF"/>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52"/>
    <w:rsid w:val="00F84FE6"/>
    <w:rsid w:val="00F85035"/>
    <w:rsid w:val="00F850D1"/>
    <w:rsid w:val="00F851DB"/>
    <w:rsid w:val="00F852D6"/>
    <w:rsid w:val="00F852DA"/>
    <w:rsid w:val="00F85329"/>
    <w:rsid w:val="00F8559E"/>
    <w:rsid w:val="00F85659"/>
    <w:rsid w:val="00F856B2"/>
    <w:rsid w:val="00F8574E"/>
    <w:rsid w:val="00F857EB"/>
    <w:rsid w:val="00F85888"/>
    <w:rsid w:val="00F858B3"/>
    <w:rsid w:val="00F858C4"/>
    <w:rsid w:val="00F8595E"/>
    <w:rsid w:val="00F85AEB"/>
    <w:rsid w:val="00F85CC1"/>
    <w:rsid w:val="00F85EC5"/>
    <w:rsid w:val="00F85EEC"/>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6FB5"/>
    <w:rsid w:val="00F870FA"/>
    <w:rsid w:val="00F87118"/>
    <w:rsid w:val="00F8718C"/>
    <w:rsid w:val="00F8722C"/>
    <w:rsid w:val="00F872B5"/>
    <w:rsid w:val="00F872FA"/>
    <w:rsid w:val="00F87307"/>
    <w:rsid w:val="00F87459"/>
    <w:rsid w:val="00F874DE"/>
    <w:rsid w:val="00F87677"/>
    <w:rsid w:val="00F87789"/>
    <w:rsid w:val="00F8787F"/>
    <w:rsid w:val="00F87AD3"/>
    <w:rsid w:val="00F87CF2"/>
    <w:rsid w:val="00F87E32"/>
    <w:rsid w:val="00F87EA0"/>
    <w:rsid w:val="00F87F05"/>
    <w:rsid w:val="00F90029"/>
    <w:rsid w:val="00F90071"/>
    <w:rsid w:val="00F901E6"/>
    <w:rsid w:val="00F90343"/>
    <w:rsid w:val="00F90472"/>
    <w:rsid w:val="00F90631"/>
    <w:rsid w:val="00F9067A"/>
    <w:rsid w:val="00F90725"/>
    <w:rsid w:val="00F90726"/>
    <w:rsid w:val="00F9072A"/>
    <w:rsid w:val="00F908F4"/>
    <w:rsid w:val="00F90AEA"/>
    <w:rsid w:val="00F90C64"/>
    <w:rsid w:val="00F90C83"/>
    <w:rsid w:val="00F90E26"/>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1A"/>
    <w:rsid w:val="00F91F7A"/>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4"/>
    <w:rsid w:val="00F93FDF"/>
    <w:rsid w:val="00F94070"/>
    <w:rsid w:val="00F940E1"/>
    <w:rsid w:val="00F941C2"/>
    <w:rsid w:val="00F94383"/>
    <w:rsid w:val="00F94498"/>
    <w:rsid w:val="00F947CA"/>
    <w:rsid w:val="00F948F6"/>
    <w:rsid w:val="00F94963"/>
    <w:rsid w:val="00F949E3"/>
    <w:rsid w:val="00F94EDA"/>
    <w:rsid w:val="00F95068"/>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92"/>
    <w:rsid w:val="00FA167F"/>
    <w:rsid w:val="00FA16C0"/>
    <w:rsid w:val="00FA16E7"/>
    <w:rsid w:val="00FA1800"/>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DF5"/>
    <w:rsid w:val="00FA3E87"/>
    <w:rsid w:val="00FA3EA2"/>
    <w:rsid w:val="00FA3EF3"/>
    <w:rsid w:val="00FA3FCE"/>
    <w:rsid w:val="00FA40AE"/>
    <w:rsid w:val="00FA40D7"/>
    <w:rsid w:val="00FA44AA"/>
    <w:rsid w:val="00FA44F2"/>
    <w:rsid w:val="00FA455A"/>
    <w:rsid w:val="00FA4652"/>
    <w:rsid w:val="00FA4828"/>
    <w:rsid w:val="00FA48B5"/>
    <w:rsid w:val="00FA49C7"/>
    <w:rsid w:val="00FA4A39"/>
    <w:rsid w:val="00FA4A45"/>
    <w:rsid w:val="00FA4DAD"/>
    <w:rsid w:val="00FA5061"/>
    <w:rsid w:val="00FA50F2"/>
    <w:rsid w:val="00FA5247"/>
    <w:rsid w:val="00FA52CA"/>
    <w:rsid w:val="00FA5705"/>
    <w:rsid w:val="00FA5711"/>
    <w:rsid w:val="00FA575C"/>
    <w:rsid w:val="00FA58F1"/>
    <w:rsid w:val="00FA5B61"/>
    <w:rsid w:val="00FA5C8D"/>
    <w:rsid w:val="00FA5D3C"/>
    <w:rsid w:val="00FA5E04"/>
    <w:rsid w:val="00FA5E5A"/>
    <w:rsid w:val="00FA5EB6"/>
    <w:rsid w:val="00FA5EE0"/>
    <w:rsid w:val="00FA603D"/>
    <w:rsid w:val="00FA60BA"/>
    <w:rsid w:val="00FA61FF"/>
    <w:rsid w:val="00FA62B6"/>
    <w:rsid w:val="00FA6401"/>
    <w:rsid w:val="00FA65F3"/>
    <w:rsid w:val="00FA66E5"/>
    <w:rsid w:val="00FA6719"/>
    <w:rsid w:val="00FA6A84"/>
    <w:rsid w:val="00FA6D9F"/>
    <w:rsid w:val="00FA6F47"/>
    <w:rsid w:val="00FA6F5C"/>
    <w:rsid w:val="00FA7000"/>
    <w:rsid w:val="00FA719B"/>
    <w:rsid w:val="00FA739E"/>
    <w:rsid w:val="00FA7561"/>
    <w:rsid w:val="00FA7604"/>
    <w:rsid w:val="00FA7754"/>
    <w:rsid w:val="00FA777A"/>
    <w:rsid w:val="00FA77BB"/>
    <w:rsid w:val="00FA7821"/>
    <w:rsid w:val="00FA79DE"/>
    <w:rsid w:val="00FA7AD2"/>
    <w:rsid w:val="00FA7AF4"/>
    <w:rsid w:val="00FA7DF7"/>
    <w:rsid w:val="00FA7F19"/>
    <w:rsid w:val="00FA7FA1"/>
    <w:rsid w:val="00FB0020"/>
    <w:rsid w:val="00FB0025"/>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58"/>
    <w:rsid w:val="00FB18D5"/>
    <w:rsid w:val="00FB190F"/>
    <w:rsid w:val="00FB1A3E"/>
    <w:rsid w:val="00FB1AE8"/>
    <w:rsid w:val="00FB1B59"/>
    <w:rsid w:val="00FB1B79"/>
    <w:rsid w:val="00FB1D63"/>
    <w:rsid w:val="00FB1F1F"/>
    <w:rsid w:val="00FB1FF5"/>
    <w:rsid w:val="00FB216E"/>
    <w:rsid w:val="00FB21A1"/>
    <w:rsid w:val="00FB220A"/>
    <w:rsid w:val="00FB2238"/>
    <w:rsid w:val="00FB226A"/>
    <w:rsid w:val="00FB25E9"/>
    <w:rsid w:val="00FB2841"/>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C4E"/>
    <w:rsid w:val="00FB428A"/>
    <w:rsid w:val="00FB4424"/>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80"/>
    <w:rsid w:val="00FB6697"/>
    <w:rsid w:val="00FB6735"/>
    <w:rsid w:val="00FB6A7B"/>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3FE"/>
    <w:rsid w:val="00FC060B"/>
    <w:rsid w:val="00FC062D"/>
    <w:rsid w:val="00FC0707"/>
    <w:rsid w:val="00FC07B8"/>
    <w:rsid w:val="00FC0872"/>
    <w:rsid w:val="00FC08FC"/>
    <w:rsid w:val="00FC0A2D"/>
    <w:rsid w:val="00FC0A80"/>
    <w:rsid w:val="00FC0A83"/>
    <w:rsid w:val="00FC0CDE"/>
    <w:rsid w:val="00FC0E1B"/>
    <w:rsid w:val="00FC0E46"/>
    <w:rsid w:val="00FC12AA"/>
    <w:rsid w:val="00FC135E"/>
    <w:rsid w:val="00FC150A"/>
    <w:rsid w:val="00FC157B"/>
    <w:rsid w:val="00FC1641"/>
    <w:rsid w:val="00FC1800"/>
    <w:rsid w:val="00FC18F3"/>
    <w:rsid w:val="00FC197E"/>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641"/>
    <w:rsid w:val="00FC2702"/>
    <w:rsid w:val="00FC2889"/>
    <w:rsid w:val="00FC28DF"/>
    <w:rsid w:val="00FC2A02"/>
    <w:rsid w:val="00FC2A9D"/>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63"/>
    <w:rsid w:val="00FC35ED"/>
    <w:rsid w:val="00FC372B"/>
    <w:rsid w:val="00FC37FE"/>
    <w:rsid w:val="00FC38B6"/>
    <w:rsid w:val="00FC39E9"/>
    <w:rsid w:val="00FC3A0A"/>
    <w:rsid w:val="00FC3C65"/>
    <w:rsid w:val="00FC3C76"/>
    <w:rsid w:val="00FC3CC0"/>
    <w:rsid w:val="00FC3CEB"/>
    <w:rsid w:val="00FC3D1F"/>
    <w:rsid w:val="00FC3DCB"/>
    <w:rsid w:val="00FC3F3C"/>
    <w:rsid w:val="00FC3F9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B2"/>
    <w:rsid w:val="00FC56AF"/>
    <w:rsid w:val="00FC5779"/>
    <w:rsid w:val="00FC5973"/>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411"/>
    <w:rsid w:val="00FD0639"/>
    <w:rsid w:val="00FD07EF"/>
    <w:rsid w:val="00FD081E"/>
    <w:rsid w:val="00FD09E3"/>
    <w:rsid w:val="00FD09F4"/>
    <w:rsid w:val="00FD0AE5"/>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9AC"/>
    <w:rsid w:val="00FD1D50"/>
    <w:rsid w:val="00FD1D96"/>
    <w:rsid w:val="00FD1E71"/>
    <w:rsid w:val="00FD1E9E"/>
    <w:rsid w:val="00FD2275"/>
    <w:rsid w:val="00FD2464"/>
    <w:rsid w:val="00FD24FB"/>
    <w:rsid w:val="00FD26CF"/>
    <w:rsid w:val="00FD27D5"/>
    <w:rsid w:val="00FD28E6"/>
    <w:rsid w:val="00FD29E1"/>
    <w:rsid w:val="00FD2AA7"/>
    <w:rsid w:val="00FD2ACB"/>
    <w:rsid w:val="00FD2ADF"/>
    <w:rsid w:val="00FD3049"/>
    <w:rsid w:val="00FD325B"/>
    <w:rsid w:val="00FD33AA"/>
    <w:rsid w:val="00FD3596"/>
    <w:rsid w:val="00FD35BF"/>
    <w:rsid w:val="00FD3669"/>
    <w:rsid w:val="00FD3766"/>
    <w:rsid w:val="00FD3820"/>
    <w:rsid w:val="00FD3C36"/>
    <w:rsid w:val="00FD4030"/>
    <w:rsid w:val="00FD4082"/>
    <w:rsid w:val="00FD40A8"/>
    <w:rsid w:val="00FD40E8"/>
    <w:rsid w:val="00FD41B8"/>
    <w:rsid w:val="00FD4240"/>
    <w:rsid w:val="00FD42EC"/>
    <w:rsid w:val="00FD4452"/>
    <w:rsid w:val="00FD4577"/>
    <w:rsid w:val="00FD4786"/>
    <w:rsid w:val="00FD47A5"/>
    <w:rsid w:val="00FD4868"/>
    <w:rsid w:val="00FD4AB9"/>
    <w:rsid w:val="00FD4AD7"/>
    <w:rsid w:val="00FD4C37"/>
    <w:rsid w:val="00FD4C6C"/>
    <w:rsid w:val="00FD4C7D"/>
    <w:rsid w:val="00FD4CE2"/>
    <w:rsid w:val="00FD5073"/>
    <w:rsid w:val="00FD5272"/>
    <w:rsid w:val="00FD54B5"/>
    <w:rsid w:val="00FD5582"/>
    <w:rsid w:val="00FD5634"/>
    <w:rsid w:val="00FD5670"/>
    <w:rsid w:val="00FD5708"/>
    <w:rsid w:val="00FD5876"/>
    <w:rsid w:val="00FD5926"/>
    <w:rsid w:val="00FD5EEA"/>
    <w:rsid w:val="00FD5FA4"/>
    <w:rsid w:val="00FD5FE9"/>
    <w:rsid w:val="00FD61B7"/>
    <w:rsid w:val="00FD62CB"/>
    <w:rsid w:val="00FD652F"/>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B7"/>
    <w:rsid w:val="00FD7DFD"/>
    <w:rsid w:val="00FD7E60"/>
    <w:rsid w:val="00FD7FE8"/>
    <w:rsid w:val="00FE02AB"/>
    <w:rsid w:val="00FE0367"/>
    <w:rsid w:val="00FE04F7"/>
    <w:rsid w:val="00FE050D"/>
    <w:rsid w:val="00FE058E"/>
    <w:rsid w:val="00FE0840"/>
    <w:rsid w:val="00FE08B8"/>
    <w:rsid w:val="00FE097F"/>
    <w:rsid w:val="00FE09C4"/>
    <w:rsid w:val="00FE0C11"/>
    <w:rsid w:val="00FE0E26"/>
    <w:rsid w:val="00FE0EAA"/>
    <w:rsid w:val="00FE0F27"/>
    <w:rsid w:val="00FE0FE6"/>
    <w:rsid w:val="00FE11AD"/>
    <w:rsid w:val="00FE1361"/>
    <w:rsid w:val="00FE1407"/>
    <w:rsid w:val="00FE16E4"/>
    <w:rsid w:val="00FE1781"/>
    <w:rsid w:val="00FE1791"/>
    <w:rsid w:val="00FE17B1"/>
    <w:rsid w:val="00FE1B78"/>
    <w:rsid w:val="00FE1BBE"/>
    <w:rsid w:val="00FE1C07"/>
    <w:rsid w:val="00FE1E83"/>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DD8"/>
    <w:rsid w:val="00FE2DE6"/>
    <w:rsid w:val="00FE2EF8"/>
    <w:rsid w:val="00FE2F55"/>
    <w:rsid w:val="00FE2F5E"/>
    <w:rsid w:val="00FE2F85"/>
    <w:rsid w:val="00FE30F3"/>
    <w:rsid w:val="00FE31F4"/>
    <w:rsid w:val="00FE3209"/>
    <w:rsid w:val="00FE3266"/>
    <w:rsid w:val="00FE335E"/>
    <w:rsid w:val="00FE3472"/>
    <w:rsid w:val="00FE3552"/>
    <w:rsid w:val="00FE363A"/>
    <w:rsid w:val="00FE3767"/>
    <w:rsid w:val="00FE3778"/>
    <w:rsid w:val="00FE37AC"/>
    <w:rsid w:val="00FE3BEA"/>
    <w:rsid w:val="00FE3C51"/>
    <w:rsid w:val="00FE3C62"/>
    <w:rsid w:val="00FE3D10"/>
    <w:rsid w:val="00FE3F65"/>
    <w:rsid w:val="00FE40CC"/>
    <w:rsid w:val="00FE40D6"/>
    <w:rsid w:val="00FE40D8"/>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9DA"/>
    <w:rsid w:val="00FE5B99"/>
    <w:rsid w:val="00FE5BAF"/>
    <w:rsid w:val="00FE5C4E"/>
    <w:rsid w:val="00FE5C66"/>
    <w:rsid w:val="00FE5D41"/>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73F"/>
    <w:rsid w:val="00FE7929"/>
    <w:rsid w:val="00FE7CE9"/>
    <w:rsid w:val="00FE7E24"/>
    <w:rsid w:val="00FE7E84"/>
    <w:rsid w:val="00FE7FA0"/>
    <w:rsid w:val="00FF0006"/>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0FEC"/>
    <w:rsid w:val="00FF1198"/>
    <w:rsid w:val="00FF11B0"/>
    <w:rsid w:val="00FF12F6"/>
    <w:rsid w:val="00FF13FE"/>
    <w:rsid w:val="00FF144B"/>
    <w:rsid w:val="00FF1565"/>
    <w:rsid w:val="00FF1593"/>
    <w:rsid w:val="00FF15F8"/>
    <w:rsid w:val="00FF1753"/>
    <w:rsid w:val="00FF17AF"/>
    <w:rsid w:val="00FF18EB"/>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3E"/>
    <w:rsid w:val="00FF37F8"/>
    <w:rsid w:val="00FF37FA"/>
    <w:rsid w:val="00FF3B5D"/>
    <w:rsid w:val="00FF3B85"/>
    <w:rsid w:val="00FF3B92"/>
    <w:rsid w:val="00FF3BAD"/>
    <w:rsid w:val="00FF3CF0"/>
    <w:rsid w:val="00FF3F58"/>
    <w:rsid w:val="00FF40A8"/>
    <w:rsid w:val="00FF4180"/>
    <w:rsid w:val="00FF41D6"/>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6C3"/>
    <w:rsid w:val="00FF572E"/>
    <w:rsid w:val="00FF5978"/>
    <w:rsid w:val="00FF5A4B"/>
    <w:rsid w:val="00FF5BDF"/>
    <w:rsid w:val="00FF5BE6"/>
    <w:rsid w:val="00FF5CCA"/>
    <w:rsid w:val="00FF5DBA"/>
    <w:rsid w:val="00FF5DF6"/>
    <w:rsid w:val="00FF5F7C"/>
    <w:rsid w:val="00FF6027"/>
    <w:rsid w:val="00FF61C1"/>
    <w:rsid w:val="00FF6233"/>
    <w:rsid w:val="00FF6381"/>
    <w:rsid w:val="00FF64BC"/>
    <w:rsid w:val="00FF6583"/>
    <w:rsid w:val="00FF65A2"/>
    <w:rsid w:val="00FF6781"/>
    <w:rsid w:val="00FF683A"/>
    <w:rsid w:val="00FF68F2"/>
    <w:rsid w:val="00FF6A2F"/>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4A"/>
    <w:rsid w:val="00FF7ADE"/>
    <w:rsid w:val="00FF7BAA"/>
    <w:rsid w:val="00FF7C31"/>
    <w:rsid w:val="00FF7CA7"/>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C1"/>
    <w:rPr>
      <w:lang w:val="tr-TR"/>
    </w:rPr>
  </w:style>
  <w:style w:type="paragraph" w:styleId="Heading1">
    <w:name w:val="heading 1"/>
    <w:aliases w:val="h1"/>
    <w:basedOn w:val="Normal"/>
    <w:next w:val="Normal"/>
    <w:link w:val="Heading1Char"/>
    <w:qFormat/>
    <w:rsid w:val="002C6E36"/>
    <w:pPr>
      <w:spacing w:before="240"/>
      <w:outlineLvl w:val="0"/>
    </w:pPr>
    <w:rPr>
      <w:rFonts w:ascii="Univers (WN)" w:hAnsi="Univers (WN)"/>
      <w:b/>
      <w:noProof/>
      <w:szCs w:val="20"/>
      <w:u w:val="single"/>
    </w:rPr>
  </w:style>
  <w:style w:type="paragraph" w:styleId="Heading2">
    <w:name w:val="heading 2"/>
    <w:aliases w:val="h2"/>
    <w:basedOn w:val="Normal"/>
    <w:next w:val="Normal"/>
    <w:link w:val="Heading2Char"/>
    <w:qFormat/>
    <w:rsid w:val="002C6E36"/>
    <w:pPr>
      <w:spacing w:before="120"/>
      <w:outlineLvl w:val="1"/>
    </w:pPr>
    <w:rPr>
      <w:rFonts w:ascii="Univers (WN)" w:hAnsi="Univers (WN)"/>
      <w:b/>
      <w:noProof/>
      <w:szCs w:val="20"/>
    </w:rPr>
  </w:style>
  <w:style w:type="paragraph" w:styleId="Heading3">
    <w:name w:val="heading 3"/>
    <w:aliases w:val="h3"/>
    <w:basedOn w:val="Normal"/>
    <w:next w:val="NormalIndent"/>
    <w:link w:val="Heading3Char"/>
    <w:uiPriority w:val="9"/>
    <w:qFormat/>
    <w:rsid w:val="002C6E36"/>
    <w:pPr>
      <w:ind w:left="360"/>
      <w:outlineLvl w:val="2"/>
    </w:pPr>
    <w:rPr>
      <w:rFonts w:ascii="CG Times (WN)" w:hAnsi="CG Times (WN)"/>
      <w:b/>
      <w:noProof/>
      <w:szCs w:val="20"/>
    </w:rPr>
  </w:style>
  <w:style w:type="paragraph" w:styleId="Heading4">
    <w:name w:val="heading 4"/>
    <w:aliases w:val="h4"/>
    <w:basedOn w:val="Normal"/>
    <w:next w:val="Normal"/>
    <w:link w:val="Heading4Char"/>
    <w:qFormat/>
    <w:rsid w:val="002C6E36"/>
    <w:pPr>
      <w:keepNext/>
      <w:jc w:val="both"/>
      <w:outlineLvl w:val="3"/>
    </w:pPr>
    <w:rPr>
      <w:b/>
      <w:bCs/>
    </w:rPr>
  </w:style>
  <w:style w:type="paragraph" w:styleId="Heading5">
    <w:name w:val="heading 5"/>
    <w:basedOn w:val="Normal"/>
    <w:next w:val="NormalIndent"/>
    <w:link w:val="Heading5Char"/>
    <w:qFormat/>
    <w:rsid w:val="002C6E36"/>
    <w:pPr>
      <w:ind w:left="720"/>
      <w:outlineLvl w:val="4"/>
    </w:pPr>
    <w:rPr>
      <w:rFonts w:ascii="CG Times (WN)" w:hAnsi="CG Times (WN)"/>
      <w:b/>
      <w:noProof/>
      <w:szCs w:val="20"/>
    </w:rPr>
  </w:style>
  <w:style w:type="paragraph" w:styleId="Heading6">
    <w:name w:val="heading 6"/>
    <w:basedOn w:val="Normal"/>
    <w:next w:val="NormalIndent"/>
    <w:link w:val="Heading6Char"/>
    <w:qFormat/>
    <w:rsid w:val="002C6E36"/>
    <w:pPr>
      <w:ind w:left="720"/>
      <w:outlineLvl w:val="5"/>
    </w:pPr>
    <w:rPr>
      <w:rFonts w:ascii="CG Times (WN)" w:hAnsi="CG Times (WN)"/>
      <w:noProof/>
      <w:szCs w:val="20"/>
      <w:u w:val="single"/>
    </w:rPr>
  </w:style>
  <w:style w:type="paragraph" w:styleId="Heading7">
    <w:name w:val="heading 7"/>
    <w:basedOn w:val="Normal"/>
    <w:next w:val="NormalIndent"/>
    <w:link w:val="Heading7Char"/>
    <w:qFormat/>
    <w:rsid w:val="002C6E36"/>
    <w:pPr>
      <w:ind w:left="720"/>
      <w:outlineLvl w:val="6"/>
    </w:pPr>
    <w:rPr>
      <w:rFonts w:ascii="CG Times (WN)" w:hAnsi="CG Times (WN)"/>
      <w:i/>
      <w:noProof/>
      <w:szCs w:val="20"/>
    </w:rPr>
  </w:style>
  <w:style w:type="paragraph" w:styleId="Heading8">
    <w:name w:val="heading 8"/>
    <w:basedOn w:val="Normal"/>
    <w:next w:val="NormalIndent"/>
    <w:link w:val="Heading8Char"/>
    <w:qFormat/>
    <w:rsid w:val="002C6E36"/>
    <w:pPr>
      <w:ind w:left="720"/>
      <w:outlineLvl w:val="7"/>
    </w:pPr>
    <w:rPr>
      <w:rFonts w:ascii="CG Times (WN)" w:hAnsi="CG Times (WN)"/>
      <w:i/>
      <w:noProof/>
      <w:szCs w:val="20"/>
    </w:rPr>
  </w:style>
  <w:style w:type="paragraph" w:styleId="Heading9">
    <w:name w:val="heading 9"/>
    <w:basedOn w:val="Normal"/>
    <w:next w:val="Normal"/>
    <w:link w:val="Heading9Char"/>
    <w:qFormat/>
    <w:rsid w:val="002C6E36"/>
    <w:pPr>
      <w:keepNext/>
      <w:outlineLvl w:val="8"/>
    </w:pPr>
    <w:rPr>
      <w:b/>
      <w:bC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NormalIndentChar"/>
    <w:uiPriority w:val="99"/>
    <w:rsid w:val="002C6E36"/>
    <w:pPr>
      <w:ind w:left="720"/>
    </w:pPr>
    <w:rPr>
      <w:noProof/>
      <w:szCs w:val="20"/>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rPr>
  </w:style>
  <w:style w:type="paragraph" w:styleId="FootnoteText">
    <w:name w:val="footnote text"/>
    <w:basedOn w:val="Normal"/>
    <w:link w:val="FootnoteTextChar"/>
    <w:semiHidden/>
    <w:rsid w:val="002C6E36"/>
    <w:rPr>
      <w:rFonts w:ascii="Courier New" w:hAnsi="Courier New"/>
      <w:szCs w:val="20"/>
      <w:lang w:val="en-AU"/>
    </w:rPr>
  </w:style>
  <w:style w:type="paragraph" w:styleId="BodyTextIndent">
    <w:name w:val="Body Text Indent"/>
    <w:basedOn w:val="Normal"/>
    <w:link w:val="BodyTextIndentChar"/>
    <w:rsid w:val="002C6E36"/>
    <w:pPr>
      <w:ind w:firstLine="720"/>
      <w:jc w:val="both"/>
    </w:pPr>
  </w:style>
  <w:style w:type="paragraph" w:styleId="BodyText">
    <w:name w:val="Body Text"/>
    <w:basedOn w:val="Normal"/>
    <w:link w:val="BodyTextChar"/>
    <w:uiPriority w:val="99"/>
    <w:rsid w:val="002C6E36"/>
    <w:pPr>
      <w:tabs>
        <w:tab w:val="left" w:pos="0"/>
        <w:tab w:val="left" w:pos="567"/>
        <w:tab w:val="left" w:pos="720"/>
      </w:tabs>
      <w:jc w:val="both"/>
    </w:pPr>
    <w:rPr>
      <w:color w:val="800000"/>
      <w:szCs w:val="20"/>
    </w:rPr>
  </w:style>
  <w:style w:type="paragraph" w:styleId="BodyText3">
    <w:name w:val="Body Text 3"/>
    <w:basedOn w:val="Normal"/>
    <w:link w:val="BodyText3Char"/>
    <w:uiPriority w:val="99"/>
    <w:rsid w:val="002C6E36"/>
    <w:pPr>
      <w:tabs>
        <w:tab w:val="center" w:pos="539"/>
        <w:tab w:val="center" w:pos="5310"/>
        <w:tab w:val="center" w:pos="7560"/>
      </w:tabs>
    </w:pPr>
    <w:rPr>
      <w:bCs/>
      <w:i/>
      <w:iCs/>
      <w:sz w:val="22"/>
      <w:szCs w:val="20"/>
    </w:rPr>
  </w:style>
  <w:style w:type="paragraph" w:customStyle="1" w:styleId="1tipi">
    <w:name w:val="(1) tipi"/>
    <w:basedOn w:val="Normal"/>
    <w:uiPriority w:val="99"/>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rPr>
  </w:style>
  <w:style w:type="paragraph" w:styleId="EndnoteText">
    <w:name w:val="endnote text"/>
    <w:basedOn w:val="Normal"/>
    <w:link w:val="EndnoteTextChar"/>
    <w:semiHidden/>
    <w:rsid w:val="002C6E36"/>
    <w:rPr>
      <w:szCs w:val="20"/>
    </w:rPr>
  </w:style>
  <w:style w:type="paragraph" w:styleId="BodyTextIndent2">
    <w:name w:val="Body Text Indent 2"/>
    <w:basedOn w:val="Normal"/>
    <w:link w:val="BodyTextIndent2Char"/>
    <w:rsid w:val="002C6E36"/>
    <w:pPr>
      <w:ind w:left="426" w:firstLine="708"/>
      <w:jc w:val="both"/>
    </w:pPr>
    <w:rPr>
      <w:noProof/>
      <w:szCs w:val="20"/>
    </w:rPr>
  </w:style>
  <w:style w:type="paragraph" w:styleId="List">
    <w:name w:val="List"/>
    <w:basedOn w:val="Normal"/>
    <w:rsid w:val="002C6E36"/>
    <w:pPr>
      <w:ind w:left="283" w:hanging="283"/>
    </w:pPr>
    <w:rPr>
      <w:noProof/>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rPr>
  </w:style>
  <w:style w:type="paragraph" w:styleId="Header">
    <w:name w:val="header"/>
    <w:basedOn w:val="Normal"/>
    <w:link w:val="HeaderChar"/>
    <w:uiPriority w:val="99"/>
    <w:rsid w:val="002C6E36"/>
    <w:pPr>
      <w:tabs>
        <w:tab w:val="center" w:pos="4536"/>
        <w:tab w:val="right" w:pos="9072"/>
      </w:tabs>
    </w:pPr>
    <w:rPr>
      <w:iCs/>
      <w:noProof/>
      <w:szCs w:val="20"/>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rPr>
  </w:style>
  <w:style w:type="paragraph" w:customStyle="1" w:styleId="WW-BodyText2">
    <w:name w:val="WW-Body Text 2"/>
    <w:basedOn w:val="Normal"/>
    <w:rsid w:val="002C6E36"/>
    <w:pPr>
      <w:suppressAutoHyphens/>
      <w:jc w:val="both"/>
    </w:pPr>
    <w:rPr>
      <w:b/>
      <w:szCs w:val="20"/>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rPr>
  </w:style>
  <w:style w:type="paragraph" w:styleId="Caption">
    <w:name w:val="caption"/>
    <w:basedOn w:val="Normal"/>
    <w:next w:val="Normal"/>
    <w:qFormat/>
    <w:rsid w:val="002C6E36"/>
    <w:pPr>
      <w:tabs>
        <w:tab w:val="left" w:pos="720"/>
      </w:tabs>
      <w:jc w:val="both"/>
    </w:pPr>
    <w:rPr>
      <w:b/>
      <w:sz w:val="22"/>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uiPriority w:val="99"/>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rPr>
  </w:style>
  <w:style w:type="paragraph" w:customStyle="1" w:styleId="ABLOCKPARA9">
    <w:name w:val="A BLOCK PARA 9"/>
    <w:basedOn w:val="Normal"/>
    <w:rsid w:val="002C6E36"/>
    <w:pPr>
      <w:spacing w:line="200" w:lineRule="exact"/>
    </w:pPr>
    <w:rPr>
      <w:rFonts w:ascii="Book Antiqua" w:hAnsi="Book Antiqua"/>
      <w:noProof/>
      <w:sz w:val="18"/>
      <w:szCs w:val="20"/>
    </w:rPr>
  </w:style>
  <w:style w:type="paragraph" w:customStyle="1" w:styleId="ABLOCKPARA">
    <w:name w:val="A BLOCK PARA"/>
    <w:basedOn w:val="Normal"/>
    <w:rsid w:val="002C6E36"/>
    <w:rPr>
      <w:rFonts w:ascii="Book Antiqua" w:hAnsi="Book Antiqua"/>
      <w:noProof/>
      <w:sz w:val="22"/>
      <w:szCs w:val="20"/>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rPr>
  </w:style>
  <w:style w:type="paragraph" w:styleId="BalloonText">
    <w:name w:val="Balloon Text"/>
    <w:basedOn w:val="Normal"/>
    <w:link w:val="BalloonTextChar"/>
    <w:uiPriority w:val="99"/>
    <w:semiHidden/>
    <w:rsid w:val="002C6E36"/>
    <w:rPr>
      <w:rFonts w:ascii="Tahoma" w:hAnsi="Tahoma" w:cs="Tahoma"/>
      <w:noProof/>
      <w:sz w:val="16"/>
      <w:szCs w:val="16"/>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Cs w:val="20"/>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Cs w:val="20"/>
    </w:rPr>
  </w:style>
  <w:style w:type="paragraph" w:customStyle="1" w:styleId="Biem1">
    <w:name w:val="Biçem1"/>
    <w:basedOn w:val="Normal"/>
    <w:autoRedefine/>
    <w:rsid w:val="0028491B"/>
    <w:pPr>
      <w:jc w:val="both"/>
    </w:pPr>
    <w:rPr>
      <w:color w:val="000000"/>
      <w:szCs w:val="20"/>
    </w:rPr>
  </w:style>
  <w:style w:type="paragraph" w:styleId="CommentSubject">
    <w:name w:val="annotation subject"/>
    <w:basedOn w:val="CommentText"/>
    <w:next w:val="CommentText"/>
    <w:link w:val="CommentSubjectChar"/>
    <w:uiPriority w:val="99"/>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uiPriority w:val="99"/>
    <w:rsid w:val="00A61C43"/>
    <w:rPr>
      <w:lang w:val="tr-TR" w:eastAsia="tr-TR" w:bidi="ar-SA"/>
    </w:rPr>
  </w:style>
  <w:style w:type="paragraph" w:customStyle="1" w:styleId="Default">
    <w:name w:val="Default"/>
    <w:rsid w:val="00470B82"/>
    <w:pPr>
      <w:autoSpaceDE w:val="0"/>
      <w:autoSpaceDN w:val="0"/>
      <w:adjustRightInd w:val="0"/>
    </w:pPr>
    <w:rPr>
      <w:color w:val="000000"/>
      <w:sz w:val="24"/>
      <w:lang w:val="tr-TR" w:eastAsia="tr-TR"/>
    </w:rPr>
  </w:style>
  <w:style w:type="paragraph" w:customStyle="1" w:styleId="Revision1">
    <w:name w:val="Revision1"/>
    <w:hidden/>
    <w:uiPriority w:val="99"/>
    <w:semiHidden/>
    <w:rsid w:val="00B85683"/>
    <w:rPr>
      <w:sz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aliases w:val="h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rPr>
  </w:style>
  <w:style w:type="paragraph" w:customStyle="1" w:styleId="Dzeltme1">
    <w:name w:val="Düzeltme1"/>
    <w:hidden/>
    <w:semiHidden/>
    <w:rsid w:val="00F42370"/>
    <w:rPr>
      <w:sz w:val="24"/>
      <w:lang w:val="tr-TR" w:eastAsia="tr-TR"/>
    </w:rPr>
  </w:style>
  <w:style w:type="paragraph" w:styleId="Revision">
    <w:name w:val="Revision"/>
    <w:hidden/>
    <w:uiPriority w:val="99"/>
    <w:semiHidden/>
    <w:rsid w:val="00892F4A"/>
    <w:rPr>
      <w:sz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aliases w:val="h2 Char"/>
    <w:link w:val="Heading2"/>
    <w:locked/>
    <w:rsid w:val="000A5066"/>
    <w:rPr>
      <w:rFonts w:ascii="Univers (WN)" w:hAnsi="Univers (WN)"/>
      <w:b/>
      <w:noProof/>
      <w:sz w:val="24"/>
      <w:lang w:eastAsia="en-US"/>
    </w:rPr>
  </w:style>
  <w:style w:type="paragraph" w:styleId="ListParagraph">
    <w:name w:val="List Paragraph"/>
    <w:aliases w:val="içindekiler vb,AK List num,Bullet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bidi="en-US"/>
    </w:rPr>
  </w:style>
  <w:style w:type="character" w:customStyle="1" w:styleId="HeaderChar">
    <w:name w:val="Header Char"/>
    <w:basedOn w:val="DefaultParagraphFont"/>
    <w:link w:val="Header"/>
    <w:uiPriority w:val="99"/>
    <w:rsid w:val="004B5D89"/>
    <w:rPr>
      <w:iCs/>
      <w:noProof/>
      <w:sz w:val="24"/>
      <w:lang w:val="tr-TR"/>
    </w:rPr>
  </w:style>
  <w:style w:type="paragraph" w:customStyle="1" w:styleId="msonormalindent0">
    <w:name w:val="msonormalindent"/>
    <w:basedOn w:val="Normal"/>
    <w:rsid w:val="006F1AB6"/>
    <w:pPr>
      <w:ind w:left="720"/>
    </w:pPr>
    <w:rPr>
      <w:noProof/>
      <w:szCs w:val="20"/>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rPr>
  </w:style>
  <w:style w:type="paragraph" w:customStyle="1" w:styleId="KAMKNormal">
    <w:name w:val="KAMKNormal"/>
    <w:basedOn w:val="Normal"/>
    <w:link w:val="KAMKNormalChar"/>
    <w:qFormat/>
    <w:rsid w:val="00196B1E"/>
    <w:pPr>
      <w:spacing w:before="120" w:after="120"/>
    </w:pPr>
    <w:rPr>
      <w:rFonts w:ascii="Tahoma" w:hAnsi="Tahoma"/>
      <w:color w:val="000000"/>
      <w:sz w:val="22"/>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UnresolvedMention">
    <w:name w:val="Unresolved Mention"/>
    <w:basedOn w:val="DefaultParagraphFont"/>
    <w:uiPriority w:val="99"/>
    <w:semiHidden/>
    <w:unhideWhenUsed/>
    <w:rsid w:val="0025172F"/>
    <w:rPr>
      <w:color w:val="605E5C"/>
      <w:shd w:val="clear" w:color="auto" w:fill="E1DFDD"/>
    </w:rPr>
  </w:style>
  <w:style w:type="character" w:customStyle="1" w:styleId="Heading1Char">
    <w:name w:val="Heading 1 Char"/>
    <w:aliases w:val="h1 Char"/>
    <w:basedOn w:val="DefaultParagraphFont"/>
    <w:link w:val="Heading1"/>
    <w:rsid w:val="00E128E7"/>
    <w:rPr>
      <w:rFonts w:ascii="Univers (WN)" w:hAnsi="Univers (WN)"/>
      <w:b/>
      <w:noProof/>
      <w:sz w:val="24"/>
      <w:u w:val="single"/>
      <w:lang w:val="tr-TR"/>
    </w:rPr>
  </w:style>
  <w:style w:type="character" w:customStyle="1" w:styleId="Heading3Char">
    <w:name w:val="Heading 3 Char"/>
    <w:aliases w:val="h3 Char"/>
    <w:basedOn w:val="DefaultParagraphFont"/>
    <w:link w:val="Heading3"/>
    <w:uiPriority w:val="9"/>
    <w:rsid w:val="00E128E7"/>
    <w:rPr>
      <w:rFonts w:ascii="CG Times (WN)" w:hAnsi="CG Times (WN)"/>
      <w:b/>
      <w:noProof/>
      <w:sz w:val="24"/>
      <w:lang w:val="tr-TR"/>
    </w:rPr>
  </w:style>
  <w:style w:type="character" w:customStyle="1" w:styleId="Heading5Char">
    <w:name w:val="Heading 5 Char"/>
    <w:basedOn w:val="DefaultParagraphFont"/>
    <w:link w:val="Heading5"/>
    <w:uiPriority w:val="9"/>
    <w:rsid w:val="00E128E7"/>
    <w:rPr>
      <w:rFonts w:ascii="CG Times (WN)" w:hAnsi="CG Times (WN)"/>
      <w:b/>
      <w:noProof/>
      <w:lang w:val="tr-TR"/>
    </w:rPr>
  </w:style>
  <w:style w:type="character" w:customStyle="1" w:styleId="Heading6Char">
    <w:name w:val="Heading 6 Char"/>
    <w:basedOn w:val="DefaultParagraphFont"/>
    <w:link w:val="Heading6"/>
    <w:rsid w:val="00E128E7"/>
    <w:rPr>
      <w:rFonts w:ascii="CG Times (WN)" w:hAnsi="CG Times (WN)"/>
      <w:noProof/>
      <w:u w:val="single"/>
      <w:lang w:val="tr-TR"/>
    </w:rPr>
  </w:style>
  <w:style w:type="character" w:customStyle="1" w:styleId="Heading7Char">
    <w:name w:val="Heading 7 Char"/>
    <w:basedOn w:val="DefaultParagraphFont"/>
    <w:link w:val="Heading7"/>
    <w:rsid w:val="00E128E7"/>
    <w:rPr>
      <w:rFonts w:ascii="CG Times (WN)" w:hAnsi="CG Times (WN)"/>
      <w:i/>
      <w:noProof/>
      <w:lang w:val="tr-TR"/>
    </w:rPr>
  </w:style>
  <w:style w:type="character" w:customStyle="1" w:styleId="Heading8Char">
    <w:name w:val="Heading 8 Char"/>
    <w:basedOn w:val="DefaultParagraphFont"/>
    <w:link w:val="Heading8"/>
    <w:rsid w:val="00E128E7"/>
    <w:rPr>
      <w:rFonts w:ascii="CG Times (WN)" w:hAnsi="CG Times (WN)"/>
      <w:i/>
      <w:noProof/>
      <w:lang w:val="tr-TR"/>
    </w:rPr>
  </w:style>
  <w:style w:type="character" w:customStyle="1" w:styleId="BodyTextIndent3Char">
    <w:name w:val="Body Text Indent 3 Char"/>
    <w:basedOn w:val="DefaultParagraphFont"/>
    <w:link w:val="BodyTextIndent3"/>
    <w:rsid w:val="00E128E7"/>
    <w:rPr>
      <w:sz w:val="22"/>
      <w:szCs w:val="24"/>
      <w:lang w:val="tr-TR"/>
    </w:rPr>
  </w:style>
  <w:style w:type="character" w:customStyle="1" w:styleId="FootnoteTextChar">
    <w:name w:val="Footnote Text Char"/>
    <w:basedOn w:val="DefaultParagraphFont"/>
    <w:link w:val="FootnoteText"/>
    <w:semiHidden/>
    <w:rsid w:val="00E128E7"/>
    <w:rPr>
      <w:rFonts w:ascii="Courier New" w:hAnsi="Courier New"/>
      <w:sz w:val="24"/>
      <w:lang w:val="en-AU"/>
    </w:rPr>
  </w:style>
  <w:style w:type="character" w:customStyle="1" w:styleId="BodyTextChar">
    <w:name w:val="Body Text Char"/>
    <w:basedOn w:val="DefaultParagraphFont"/>
    <w:link w:val="BodyText"/>
    <w:uiPriority w:val="99"/>
    <w:rsid w:val="00E128E7"/>
    <w:rPr>
      <w:color w:val="800000"/>
      <w:sz w:val="24"/>
      <w:lang w:val="tr-TR"/>
    </w:rPr>
  </w:style>
  <w:style w:type="character" w:customStyle="1" w:styleId="BodyText3Char">
    <w:name w:val="Body Text 3 Char"/>
    <w:basedOn w:val="DefaultParagraphFont"/>
    <w:link w:val="BodyText3"/>
    <w:uiPriority w:val="99"/>
    <w:rsid w:val="00E128E7"/>
    <w:rPr>
      <w:bCs/>
      <w:i/>
      <w:iCs/>
      <w:sz w:val="22"/>
      <w:lang w:val="tr-TR"/>
    </w:rPr>
  </w:style>
  <w:style w:type="character" w:customStyle="1" w:styleId="BodyTextIndent2Char">
    <w:name w:val="Body Text Indent 2 Char"/>
    <w:basedOn w:val="DefaultParagraphFont"/>
    <w:link w:val="BodyTextIndent2"/>
    <w:rsid w:val="00E128E7"/>
    <w:rPr>
      <w:noProof/>
      <w:sz w:val="24"/>
      <w:lang w:val="tr-TR"/>
    </w:rPr>
  </w:style>
  <w:style w:type="character" w:customStyle="1" w:styleId="BalloonTextChar">
    <w:name w:val="Balloon Text Char"/>
    <w:basedOn w:val="DefaultParagraphFont"/>
    <w:link w:val="BalloonText"/>
    <w:uiPriority w:val="99"/>
    <w:semiHidden/>
    <w:rsid w:val="00E128E7"/>
    <w:rPr>
      <w:rFonts w:ascii="Tahoma" w:hAnsi="Tahoma" w:cs="Tahoma"/>
      <w:noProof/>
      <w:sz w:val="16"/>
      <w:szCs w:val="16"/>
      <w:lang w:val="tr-TR"/>
    </w:rPr>
  </w:style>
  <w:style w:type="character" w:customStyle="1" w:styleId="DocumentMapChar">
    <w:name w:val="Document Map Char"/>
    <w:basedOn w:val="DefaultParagraphFont"/>
    <w:link w:val="DocumentMap"/>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6312F5"/>
    <w:rPr>
      <w:rFonts w:asciiTheme="minorHAnsi" w:eastAsiaTheme="minorHAnsi" w:hAnsiTheme="minorHAnsi" w:cstheme="minorBidi"/>
      <w:sz w:val="22"/>
      <w:szCs w:val="22"/>
    </w:rPr>
  </w:style>
  <w:style w:type="paragraph" w:customStyle="1" w:styleId="Standard1">
    <w:name w:val="Standard1"/>
    <w:rsid w:val="0054067E"/>
    <w:pPr>
      <w:suppressAutoHyphens/>
      <w:autoSpaceDN w:val="0"/>
      <w:textAlignment w:val="baseline"/>
    </w:pPr>
    <w:rPr>
      <w:sz w:val="24"/>
      <w:lang w:val="tr-TR" w:eastAsia="tr-TR"/>
    </w:rPr>
  </w:style>
  <w:style w:type="paragraph" w:customStyle="1" w:styleId="SonnotMetni">
    <w:name w:val="Sonnot Metni"/>
    <w:basedOn w:val="Normal"/>
    <w:link w:val="SonnotMetniChar"/>
    <w:rsid w:val="00482A8C"/>
    <w:rPr>
      <w:szCs w:val="20"/>
      <w:lang w:eastAsia="x-none"/>
    </w:rPr>
  </w:style>
  <w:style w:type="paragraph" w:customStyle="1" w:styleId="Altbilgi">
    <w:name w:val="Altbilgi"/>
    <w:basedOn w:val="Normal"/>
    <w:link w:val="AltbilgiChar"/>
    <w:uiPriority w:val="99"/>
    <w:rsid w:val="00482A8C"/>
    <w:pPr>
      <w:tabs>
        <w:tab w:val="center" w:pos="4536"/>
        <w:tab w:val="right" w:pos="9072"/>
      </w:tabs>
    </w:pPr>
  </w:style>
  <w:style w:type="paragraph" w:customStyle="1" w:styleId="stbilgi">
    <w:name w:val="Üstbilgi"/>
    <w:basedOn w:val="Normal"/>
    <w:link w:val="stbilgiChar"/>
    <w:uiPriority w:val="99"/>
    <w:rsid w:val="00482A8C"/>
    <w:pPr>
      <w:tabs>
        <w:tab w:val="center" w:pos="4536"/>
        <w:tab w:val="right" w:pos="9072"/>
      </w:tabs>
    </w:pPr>
  </w:style>
  <w:style w:type="paragraph" w:customStyle="1" w:styleId="BodyText21">
    <w:name w:val="Body Text 21"/>
    <w:basedOn w:val="Normal"/>
    <w:rsid w:val="00482A8C"/>
    <w:pPr>
      <w:tabs>
        <w:tab w:val="left" w:pos="720"/>
      </w:tabs>
      <w:jc w:val="both"/>
    </w:pPr>
    <w:rPr>
      <w:rFonts w:ascii="Arial" w:hAnsi="Arial" w:cs="Arial"/>
    </w:rPr>
  </w:style>
  <w:style w:type="paragraph" w:customStyle="1" w:styleId="xl23">
    <w:name w:val="xl23"/>
    <w:basedOn w:val="Normal"/>
    <w:rsid w:val="00482A8C"/>
    <w:pPr>
      <w:pBdr>
        <w:right w:val="single" w:sz="4" w:space="0" w:color="auto"/>
      </w:pBdr>
      <w:spacing w:before="100" w:beforeAutospacing="1" w:after="100" w:afterAutospacing="1"/>
    </w:pPr>
    <w:rPr>
      <w:rFonts w:eastAsia="Arial Unicode MS"/>
      <w:b/>
      <w:bCs/>
      <w:szCs w:val="20"/>
    </w:rPr>
  </w:style>
  <w:style w:type="paragraph" w:customStyle="1" w:styleId="Body">
    <w:name w:val="Body"/>
    <w:aliases w:val="by,BD,bd"/>
    <w:rsid w:val="00482A8C"/>
    <w:pPr>
      <w:keepLines/>
      <w:spacing w:after="130" w:line="260" w:lineRule="exact"/>
      <w:ind w:hanging="810"/>
      <w:jc w:val="both"/>
    </w:pPr>
    <w:rPr>
      <w:rFonts w:ascii="Times" w:hAnsi="Times"/>
      <w:sz w:val="22"/>
      <w:lang w:val="en-GB"/>
    </w:rPr>
  </w:style>
  <w:style w:type="paragraph" w:customStyle="1" w:styleId="Head1">
    <w:name w:val="Head 1"/>
    <w:basedOn w:val="Heading1"/>
    <w:uiPriority w:val="99"/>
    <w:rsid w:val="00482A8C"/>
    <w:pPr>
      <w:keepNext/>
      <w:keepLines/>
      <w:spacing w:before="130" w:after="130" w:line="280" w:lineRule="atLeast"/>
      <w:ind w:hanging="810"/>
    </w:pPr>
    <w:rPr>
      <w:rFonts w:ascii="Times New Roman" w:hAnsi="Times New Roman"/>
      <w:noProof w:val="0"/>
      <w:u w:val="none"/>
    </w:rPr>
  </w:style>
  <w:style w:type="paragraph" w:customStyle="1" w:styleId="Head2">
    <w:name w:val="Head 2"/>
    <w:basedOn w:val="Heading2"/>
    <w:rsid w:val="00482A8C"/>
    <w:pPr>
      <w:keepNext/>
      <w:keepLines/>
      <w:spacing w:before="0" w:after="130" w:line="280" w:lineRule="atLeast"/>
      <w:ind w:hanging="810"/>
    </w:pPr>
    <w:rPr>
      <w:rFonts w:ascii="Times New Roman" w:hAnsi="Times New Roman"/>
      <w:iCs/>
      <w:noProof w:val="0"/>
      <w:sz w:val="22"/>
      <w:lang w:eastAsia="x-none"/>
    </w:rPr>
  </w:style>
  <w:style w:type="paragraph" w:customStyle="1" w:styleId="tableline1">
    <w:name w:val="table line 1"/>
    <w:basedOn w:val="Normal"/>
    <w:rsid w:val="00482A8C"/>
    <w:pPr>
      <w:keepLines/>
      <w:tabs>
        <w:tab w:val="right" w:pos="5130"/>
        <w:tab w:val="right" w:pos="6570"/>
        <w:tab w:val="right" w:pos="8010"/>
      </w:tabs>
      <w:spacing w:line="260" w:lineRule="atLeast"/>
      <w:ind w:left="360" w:hanging="360"/>
      <w:jc w:val="both"/>
    </w:pPr>
    <w:rPr>
      <w:rFonts w:ascii="Times" w:hAnsi="Times"/>
      <w:sz w:val="22"/>
      <w:szCs w:val="20"/>
      <w:lang w:val="en-GB"/>
    </w:rPr>
  </w:style>
  <w:style w:type="paragraph" w:customStyle="1" w:styleId="YAZI">
    <w:name w:val="YAZI"/>
    <w:basedOn w:val="BodyTextIndent"/>
    <w:link w:val="YAZIChar"/>
    <w:rsid w:val="00482A8C"/>
    <w:pPr>
      <w:tabs>
        <w:tab w:val="left" w:pos="900"/>
      </w:tabs>
      <w:spacing w:after="120" w:line="260" w:lineRule="exact"/>
      <w:ind w:firstLine="0"/>
    </w:pPr>
    <w:rPr>
      <w:noProof/>
      <w:sz w:val="22"/>
      <w:szCs w:val="22"/>
      <w:lang w:eastAsia="tr-TR"/>
    </w:rPr>
  </w:style>
  <w:style w:type="character" w:customStyle="1" w:styleId="YAZIChar">
    <w:name w:val="YAZI Char"/>
    <w:link w:val="YAZI"/>
    <w:locked/>
    <w:rsid w:val="00482A8C"/>
    <w:rPr>
      <w:noProof/>
      <w:sz w:val="22"/>
      <w:szCs w:val="22"/>
      <w:lang w:val="tr-TR" w:eastAsia="tr-TR"/>
    </w:rPr>
  </w:style>
  <w:style w:type="paragraph" w:customStyle="1" w:styleId="BASLIK2">
    <w:name w:val="BASLIK2"/>
    <w:basedOn w:val="Normal"/>
    <w:link w:val="BASLIK2Char"/>
    <w:rsid w:val="00482A8C"/>
    <w:pPr>
      <w:widowControl w:val="0"/>
      <w:spacing w:before="240" w:after="120" w:line="260" w:lineRule="exact"/>
      <w:ind w:hanging="720"/>
      <w:jc w:val="both"/>
    </w:pPr>
    <w:rPr>
      <w:b/>
      <w:bCs/>
      <w:sz w:val="22"/>
      <w:szCs w:val="22"/>
    </w:rPr>
  </w:style>
  <w:style w:type="character" w:customStyle="1" w:styleId="BASLIK2Char">
    <w:name w:val="BASLIK2 Char"/>
    <w:link w:val="BASLIK2"/>
    <w:uiPriority w:val="99"/>
    <w:locked/>
    <w:rsid w:val="00482A8C"/>
    <w:rPr>
      <w:b/>
      <w:bCs/>
      <w:sz w:val="22"/>
      <w:szCs w:val="22"/>
      <w:lang w:val="tr-TR"/>
    </w:rPr>
  </w:style>
  <w:style w:type="paragraph" w:customStyle="1" w:styleId="Head31">
    <w:name w:val="Head3.1"/>
    <w:basedOn w:val="Normal"/>
    <w:rsid w:val="00482A8C"/>
    <w:pPr>
      <w:keepNext/>
      <w:keepLines/>
      <w:spacing w:line="260" w:lineRule="exact"/>
      <w:ind w:hanging="810"/>
      <w:jc w:val="both"/>
    </w:pPr>
    <w:rPr>
      <w:b/>
      <w:bCs/>
      <w:i/>
      <w:iCs/>
      <w:sz w:val="22"/>
      <w:szCs w:val="22"/>
    </w:rPr>
  </w:style>
  <w:style w:type="paragraph" w:customStyle="1" w:styleId="Head3">
    <w:name w:val="Head3"/>
    <w:basedOn w:val="Normal"/>
    <w:link w:val="Head3Char"/>
    <w:rsid w:val="00482A8C"/>
    <w:pPr>
      <w:keepNext/>
      <w:keepLines/>
      <w:spacing w:before="60" w:after="120" w:line="260" w:lineRule="exact"/>
      <w:ind w:right="-45" w:hanging="900"/>
      <w:jc w:val="both"/>
    </w:pPr>
    <w:rPr>
      <w:b/>
      <w:bCs/>
      <w:i/>
      <w:iCs/>
      <w:sz w:val="22"/>
      <w:szCs w:val="22"/>
    </w:rPr>
  </w:style>
  <w:style w:type="character" w:customStyle="1" w:styleId="Head3Char">
    <w:name w:val="Head3 Char"/>
    <w:link w:val="Head3"/>
    <w:locked/>
    <w:rsid w:val="00482A8C"/>
    <w:rPr>
      <w:b/>
      <w:bCs/>
      <w:i/>
      <w:iCs/>
      <w:sz w:val="22"/>
      <w:szCs w:val="22"/>
      <w:lang w:val="tr-TR"/>
    </w:rPr>
  </w:style>
  <w:style w:type="paragraph" w:customStyle="1" w:styleId="BASLIK1">
    <w:name w:val="BASLIK1"/>
    <w:basedOn w:val="BodyTextIndent"/>
    <w:link w:val="BASLIK1Char"/>
    <w:rsid w:val="00482A8C"/>
    <w:pPr>
      <w:tabs>
        <w:tab w:val="left" w:pos="900"/>
      </w:tabs>
      <w:spacing w:before="240" w:after="120"/>
      <w:ind w:hanging="720"/>
    </w:pPr>
    <w:rPr>
      <w:b/>
      <w:bCs/>
      <w:sz w:val="22"/>
      <w:szCs w:val="22"/>
      <w:lang w:eastAsia="tr-TR"/>
    </w:rPr>
  </w:style>
  <w:style w:type="character" w:customStyle="1" w:styleId="BASLIK1Char">
    <w:name w:val="BASLIK1 Char"/>
    <w:link w:val="BASLIK1"/>
    <w:locked/>
    <w:rsid w:val="00482A8C"/>
    <w:rPr>
      <w:b/>
      <w:bCs/>
      <w:sz w:val="22"/>
      <w:szCs w:val="22"/>
      <w:lang w:val="tr-TR" w:eastAsia="tr-TR"/>
    </w:rPr>
  </w:style>
  <w:style w:type="paragraph" w:customStyle="1" w:styleId="Head4">
    <w:name w:val="Head4"/>
    <w:basedOn w:val="Head3"/>
    <w:rsid w:val="00482A8C"/>
    <w:pPr>
      <w:tabs>
        <w:tab w:val="num" w:pos="340"/>
        <w:tab w:val="num" w:pos="540"/>
      </w:tabs>
      <w:ind w:left="340" w:right="0" w:hanging="340"/>
    </w:pPr>
    <w:rPr>
      <w:b w:val="0"/>
      <w:bCs w:val="0"/>
    </w:rPr>
  </w:style>
  <w:style w:type="paragraph" w:customStyle="1" w:styleId="H2">
    <w:name w:val="H2"/>
    <w:basedOn w:val="Head3"/>
    <w:link w:val="H2Char"/>
    <w:rsid w:val="00482A8C"/>
    <w:pPr>
      <w:keepNext w:val="0"/>
      <w:keepLines w:val="0"/>
      <w:spacing w:before="240" w:line="240" w:lineRule="auto"/>
      <w:ind w:right="0" w:hanging="720"/>
    </w:pPr>
  </w:style>
  <w:style w:type="character" w:customStyle="1" w:styleId="H2Char">
    <w:name w:val="H2 Char"/>
    <w:basedOn w:val="Head3Char"/>
    <w:link w:val="H2"/>
    <w:locked/>
    <w:rsid w:val="00482A8C"/>
    <w:rPr>
      <w:b/>
      <w:bCs/>
      <w:i/>
      <w:iCs/>
      <w:sz w:val="22"/>
      <w:szCs w:val="22"/>
      <w:lang w:val="tr-TR"/>
    </w:rPr>
  </w:style>
  <w:style w:type="paragraph" w:customStyle="1" w:styleId="yazi0">
    <w:name w:val="yazi"/>
    <w:basedOn w:val="Normal"/>
    <w:rsid w:val="00482A8C"/>
    <w:pPr>
      <w:spacing w:after="120" w:line="260" w:lineRule="atLeast"/>
      <w:jc w:val="both"/>
    </w:pPr>
    <w:rPr>
      <w:sz w:val="22"/>
      <w:szCs w:val="22"/>
    </w:rPr>
  </w:style>
  <w:style w:type="paragraph" w:styleId="Signature">
    <w:name w:val="Signature"/>
    <w:basedOn w:val="Normal"/>
    <w:link w:val="SignatureChar"/>
    <w:rsid w:val="00482A8C"/>
    <w:rPr>
      <w:sz w:val="22"/>
      <w:szCs w:val="22"/>
      <w:lang w:val="en-GB"/>
    </w:rPr>
  </w:style>
  <w:style w:type="character" w:customStyle="1" w:styleId="SignatureChar">
    <w:name w:val="Signature Char"/>
    <w:basedOn w:val="DefaultParagraphFont"/>
    <w:link w:val="Signature"/>
    <w:rsid w:val="00482A8C"/>
    <w:rPr>
      <w:sz w:val="22"/>
      <w:szCs w:val="22"/>
      <w:lang w:val="en-GB"/>
    </w:rPr>
  </w:style>
  <w:style w:type="paragraph" w:customStyle="1" w:styleId="head30">
    <w:name w:val="head3"/>
    <w:basedOn w:val="Normal"/>
    <w:rsid w:val="00482A8C"/>
    <w:pPr>
      <w:keepNext/>
      <w:spacing w:before="60" w:after="120" w:line="260" w:lineRule="atLeast"/>
      <w:ind w:right="-45" w:hanging="900"/>
      <w:jc w:val="both"/>
    </w:pPr>
    <w:rPr>
      <w:b/>
      <w:bCs/>
      <w:i/>
      <w:iCs/>
      <w:sz w:val="22"/>
      <w:szCs w:val="22"/>
    </w:rPr>
  </w:style>
  <w:style w:type="paragraph" w:customStyle="1" w:styleId="CoverClientName">
    <w:name w:val="Cover Client Name"/>
    <w:aliases w:val="ccn"/>
    <w:basedOn w:val="Normal"/>
    <w:rsid w:val="00482A8C"/>
    <w:pPr>
      <w:framePr w:w="5999" w:hSpace="180" w:vSpace="180" w:wrap="auto" w:vAnchor="page" w:hAnchor="text" w:xAlign="center" w:y="3841"/>
      <w:tabs>
        <w:tab w:val="left" w:pos="-140"/>
      </w:tabs>
      <w:spacing w:before="80" w:after="520"/>
      <w:ind w:left="1720"/>
    </w:pPr>
    <w:rPr>
      <w:rFonts w:ascii="New York" w:hAnsi="New York"/>
      <w:b/>
      <w:bCs/>
      <w:sz w:val="26"/>
      <w:szCs w:val="26"/>
      <w:lang w:val="en-GB"/>
    </w:rPr>
  </w:style>
  <w:style w:type="paragraph" w:customStyle="1" w:styleId="Head">
    <w:name w:val="Head"/>
    <w:basedOn w:val="Heading2"/>
    <w:rsid w:val="00482A8C"/>
    <w:pPr>
      <w:keepNext/>
      <w:keepLines/>
      <w:numPr>
        <w:ilvl w:val="1"/>
      </w:numPr>
      <w:tabs>
        <w:tab w:val="num" w:pos="1080"/>
      </w:tabs>
      <w:spacing w:before="130" w:line="280" w:lineRule="atLeast"/>
      <w:ind w:left="720"/>
    </w:pPr>
    <w:rPr>
      <w:rFonts w:ascii="Times New Roman" w:hAnsi="Times New Roman"/>
      <w:bCs/>
      <w:noProof w:val="0"/>
      <w:sz w:val="30"/>
      <w:szCs w:val="30"/>
      <w:lang w:eastAsia="x-none"/>
    </w:rPr>
  </w:style>
  <w:style w:type="paragraph" w:customStyle="1" w:styleId="xl22">
    <w:name w:val="xl22"/>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Arial Unicode MS"/>
    </w:rPr>
  </w:style>
  <w:style w:type="paragraph" w:customStyle="1" w:styleId="xl24">
    <w:name w:val="xl24"/>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rPr>
  </w:style>
  <w:style w:type="paragraph" w:customStyle="1" w:styleId="Subhead">
    <w:name w:val="Subhead"/>
    <w:basedOn w:val="Heading2"/>
    <w:rsid w:val="00482A8C"/>
    <w:pPr>
      <w:keepNext/>
      <w:keepLines/>
      <w:numPr>
        <w:ilvl w:val="1"/>
      </w:numPr>
      <w:tabs>
        <w:tab w:val="num" w:pos="1080"/>
      </w:tabs>
      <w:spacing w:before="130" w:line="280" w:lineRule="atLeast"/>
      <w:ind w:left="720"/>
    </w:pPr>
    <w:rPr>
      <w:rFonts w:ascii="Times New Roman" w:hAnsi="Times New Roman"/>
      <w:b w:val="0"/>
      <w:noProof w:val="0"/>
      <w:sz w:val="30"/>
      <w:szCs w:val="30"/>
      <w:lang w:eastAsia="x-none"/>
    </w:rPr>
  </w:style>
  <w:style w:type="paragraph" w:customStyle="1" w:styleId="te">
    <w:name w:val="te"/>
    <w:basedOn w:val="BodybyBD"/>
    <w:rsid w:val="00482A8C"/>
    <w:pPr>
      <w:keepLines w:val="0"/>
      <w:spacing w:before="0" w:after="80" w:line="240" w:lineRule="exact"/>
    </w:pPr>
    <w:rPr>
      <w:sz w:val="18"/>
      <w:szCs w:val="18"/>
    </w:rPr>
  </w:style>
  <w:style w:type="paragraph" w:customStyle="1" w:styleId="bodybybd0">
    <w:name w:val="bodybybd"/>
    <w:basedOn w:val="Normal"/>
    <w:rsid w:val="00482A8C"/>
    <w:pPr>
      <w:spacing w:before="130" w:after="130" w:line="260" w:lineRule="atLeast"/>
      <w:jc w:val="both"/>
    </w:pPr>
    <w:rPr>
      <w:sz w:val="22"/>
      <w:szCs w:val="22"/>
    </w:rPr>
  </w:style>
  <w:style w:type="paragraph" w:customStyle="1" w:styleId="balk">
    <w:name w:val="başlık"/>
    <w:basedOn w:val="BodybyBD"/>
    <w:rsid w:val="00482A8C"/>
    <w:pPr>
      <w:keepNext/>
    </w:pPr>
    <w:rPr>
      <w:i/>
      <w:iCs/>
      <w:szCs w:val="22"/>
    </w:rPr>
  </w:style>
  <w:style w:type="paragraph" w:customStyle="1" w:styleId="H1">
    <w:name w:val="H1"/>
    <w:basedOn w:val="BodyTextIndent"/>
    <w:rsid w:val="00482A8C"/>
    <w:pPr>
      <w:pageBreakBefore/>
      <w:tabs>
        <w:tab w:val="left" w:pos="900"/>
      </w:tabs>
      <w:spacing w:before="120" w:after="240" w:line="260" w:lineRule="exact"/>
      <w:ind w:hanging="720"/>
      <w:jc w:val="left"/>
    </w:pPr>
    <w:rPr>
      <w:b/>
      <w:bCs/>
      <w:sz w:val="22"/>
      <w:szCs w:val="22"/>
      <w:lang w:eastAsia="tr-TR"/>
    </w:rPr>
  </w:style>
  <w:style w:type="character" w:customStyle="1" w:styleId="BodyTextIndentChar1">
    <w:name w:val="Body Text Indent Char1"/>
    <w:locked/>
    <w:rsid w:val="00482A8C"/>
    <w:rPr>
      <w:rFonts w:cs="Times New Roman"/>
      <w:lang w:val="tr-TR" w:eastAsia="en-US" w:bidi="ar-SA"/>
    </w:rPr>
  </w:style>
  <w:style w:type="paragraph" w:customStyle="1" w:styleId="baslik20">
    <w:name w:val="baslik2"/>
    <w:basedOn w:val="Normal"/>
    <w:rsid w:val="00482A8C"/>
    <w:pPr>
      <w:spacing w:before="240" w:after="120" w:line="260" w:lineRule="atLeast"/>
      <w:ind w:hanging="720"/>
      <w:jc w:val="both"/>
    </w:pPr>
    <w:rPr>
      <w:b/>
      <w:bCs/>
      <w:sz w:val="22"/>
      <w:szCs w:val="22"/>
    </w:rPr>
  </w:style>
  <w:style w:type="paragraph" w:customStyle="1" w:styleId="xl83">
    <w:name w:val="xl83"/>
    <w:basedOn w:val="Normal"/>
    <w:rsid w:val="00482A8C"/>
    <w:pPr>
      <w:pBdr>
        <w:right w:val="single" w:sz="4" w:space="0" w:color="auto"/>
      </w:pBdr>
      <w:spacing w:before="100" w:beforeAutospacing="1" w:after="100" w:afterAutospacing="1"/>
    </w:pPr>
    <w:rPr>
      <w:sz w:val="16"/>
      <w:szCs w:val="16"/>
    </w:rPr>
  </w:style>
  <w:style w:type="paragraph" w:customStyle="1" w:styleId="xl84">
    <w:name w:val="xl8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5">
    <w:name w:val="xl85"/>
    <w:basedOn w:val="Normal"/>
    <w:rsid w:val="00482A8C"/>
    <w:pPr>
      <w:pBdr>
        <w:left w:val="single" w:sz="4" w:space="0" w:color="auto"/>
      </w:pBdr>
      <w:spacing w:before="100" w:beforeAutospacing="1" w:after="100" w:afterAutospacing="1"/>
    </w:pPr>
    <w:rPr>
      <w:b/>
      <w:bCs/>
      <w:sz w:val="16"/>
      <w:szCs w:val="16"/>
    </w:rPr>
  </w:style>
  <w:style w:type="paragraph" w:customStyle="1" w:styleId="xl86">
    <w:name w:val="xl86"/>
    <w:basedOn w:val="Normal"/>
    <w:rsid w:val="00482A8C"/>
    <w:pPr>
      <w:pBdr>
        <w:right w:val="single" w:sz="4" w:space="0" w:color="auto"/>
      </w:pBdr>
      <w:spacing w:before="100" w:beforeAutospacing="1" w:after="100" w:afterAutospacing="1"/>
    </w:pPr>
    <w:rPr>
      <w:b/>
      <w:bCs/>
      <w:sz w:val="16"/>
      <w:szCs w:val="16"/>
    </w:rPr>
  </w:style>
  <w:style w:type="paragraph" w:customStyle="1" w:styleId="xl87">
    <w:name w:val="xl87"/>
    <w:basedOn w:val="Normal"/>
    <w:rsid w:val="00482A8C"/>
    <w:pPr>
      <w:pBdr>
        <w:top w:val="single" w:sz="4" w:space="0" w:color="auto"/>
        <w:left w:val="dotted" w:sz="4" w:space="0" w:color="auto"/>
        <w:right w:val="dotted" w:sz="4" w:space="0" w:color="auto"/>
      </w:pBdr>
      <w:spacing w:before="100" w:beforeAutospacing="1" w:after="100" w:afterAutospacing="1"/>
    </w:pPr>
    <w:rPr>
      <w:b/>
      <w:bCs/>
      <w:sz w:val="16"/>
      <w:szCs w:val="16"/>
    </w:rPr>
  </w:style>
  <w:style w:type="paragraph" w:customStyle="1" w:styleId="xl88">
    <w:name w:val="xl88"/>
    <w:basedOn w:val="Normal"/>
    <w:rsid w:val="00482A8C"/>
    <w:pPr>
      <w:pBdr>
        <w:top w:val="single" w:sz="4" w:space="0" w:color="auto"/>
        <w:right w:val="dotted" w:sz="4" w:space="0" w:color="auto"/>
      </w:pBdr>
      <w:spacing w:before="100" w:beforeAutospacing="1" w:after="100" w:afterAutospacing="1"/>
    </w:pPr>
    <w:rPr>
      <w:b/>
      <w:bCs/>
      <w:sz w:val="16"/>
      <w:szCs w:val="16"/>
    </w:rPr>
  </w:style>
  <w:style w:type="paragraph" w:customStyle="1" w:styleId="xl89">
    <w:name w:val="xl89"/>
    <w:basedOn w:val="Normal"/>
    <w:rsid w:val="00482A8C"/>
    <w:pPr>
      <w:pBdr>
        <w:top w:val="single" w:sz="4" w:space="0" w:color="auto"/>
      </w:pBdr>
      <w:spacing w:before="100" w:beforeAutospacing="1" w:after="100" w:afterAutospacing="1"/>
    </w:pPr>
    <w:rPr>
      <w:b/>
      <w:bCs/>
      <w:sz w:val="16"/>
      <w:szCs w:val="16"/>
    </w:rPr>
  </w:style>
  <w:style w:type="paragraph" w:customStyle="1" w:styleId="xl90">
    <w:name w:val="xl90"/>
    <w:basedOn w:val="Normal"/>
    <w:rsid w:val="00482A8C"/>
    <w:pPr>
      <w:pBdr>
        <w:top w:val="single" w:sz="4" w:space="0" w:color="auto"/>
        <w:left w:val="dotted" w:sz="4" w:space="0" w:color="auto"/>
      </w:pBdr>
      <w:spacing w:before="100" w:beforeAutospacing="1" w:after="100" w:afterAutospacing="1"/>
    </w:pPr>
    <w:rPr>
      <w:b/>
      <w:bCs/>
      <w:sz w:val="16"/>
      <w:szCs w:val="16"/>
    </w:rPr>
  </w:style>
  <w:style w:type="paragraph" w:customStyle="1" w:styleId="xl91">
    <w:name w:val="xl91"/>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92">
    <w:name w:val="xl92"/>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3">
    <w:name w:val="xl93"/>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4">
    <w:name w:val="xl94"/>
    <w:basedOn w:val="Normal"/>
    <w:rsid w:val="00482A8C"/>
    <w:pPr>
      <w:pBdr>
        <w:left w:val="single" w:sz="4" w:space="0" w:color="auto"/>
        <w:bottom w:val="single" w:sz="4" w:space="0" w:color="auto"/>
      </w:pBdr>
      <w:spacing w:before="100" w:beforeAutospacing="1" w:after="100" w:afterAutospacing="1"/>
    </w:pPr>
    <w:rPr>
      <w:sz w:val="16"/>
      <w:szCs w:val="16"/>
    </w:rPr>
  </w:style>
  <w:style w:type="paragraph" w:customStyle="1" w:styleId="xl95">
    <w:name w:val="xl95"/>
    <w:basedOn w:val="Normal"/>
    <w:rsid w:val="00482A8C"/>
    <w:pPr>
      <w:pBdr>
        <w:bottom w:val="single" w:sz="4" w:space="0" w:color="auto"/>
      </w:pBdr>
      <w:spacing w:before="100" w:beforeAutospacing="1" w:after="100" w:afterAutospacing="1"/>
    </w:pPr>
    <w:rPr>
      <w:b/>
      <w:bCs/>
      <w:sz w:val="16"/>
      <w:szCs w:val="16"/>
    </w:rPr>
  </w:style>
  <w:style w:type="paragraph" w:customStyle="1" w:styleId="xl96">
    <w:name w:val="xl96"/>
    <w:basedOn w:val="Normal"/>
    <w:rsid w:val="00482A8C"/>
    <w:pPr>
      <w:pBdr>
        <w:bottom w:val="single" w:sz="4" w:space="0" w:color="auto"/>
        <w:right w:val="single" w:sz="4" w:space="0" w:color="auto"/>
      </w:pBdr>
      <w:spacing w:before="100" w:beforeAutospacing="1" w:after="100" w:afterAutospacing="1"/>
    </w:pPr>
    <w:rPr>
      <w:b/>
      <w:bCs/>
      <w:sz w:val="16"/>
      <w:szCs w:val="16"/>
    </w:rPr>
  </w:style>
  <w:style w:type="paragraph" w:customStyle="1" w:styleId="xl97">
    <w:name w:val="xl97"/>
    <w:basedOn w:val="Normal"/>
    <w:rsid w:val="00482A8C"/>
    <w:pPr>
      <w:pBdr>
        <w:left w:val="single" w:sz="4" w:space="0" w:color="auto"/>
        <w:bottom w:val="single" w:sz="4" w:space="0" w:color="auto"/>
      </w:pBdr>
      <w:spacing w:before="100" w:beforeAutospacing="1" w:after="100" w:afterAutospacing="1"/>
      <w:jc w:val="center"/>
    </w:pPr>
    <w:rPr>
      <w:b/>
      <w:bCs/>
      <w:sz w:val="16"/>
      <w:szCs w:val="16"/>
    </w:rPr>
  </w:style>
  <w:style w:type="paragraph" w:customStyle="1" w:styleId="xl98">
    <w:name w:val="xl98"/>
    <w:basedOn w:val="Normal"/>
    <w:rsid w:val="00482A8C"/>
    <w:pPr>
      <w:pBdr>
        <w:left w:val="dotted" w:sz="4" w:space="0" w:color="auto"/>
        <w:bottom w:val="single" w:sz="4" w:space="0" w:color="auto"/>
        <w:right w:val="dotted" w:sz="4" w:space="0" w:color="auto"/>
      </w:pBdr>
      <w:spacing w:before="100" w:beforeAutospacing="1" w:after="100" w:afterAutospacing="1"/>
    </w:pPr>
    <w:rPr>
      <w:sz w:val="16"/>
      <w:szCs w:val="16"/>
    </w:rPr>
  </w:style>
  <w:style w:type="paragraph" w:customStyle="1" w:styleId="xl99">
    <w:name w:val="xl99"/>
    <w:basedOn w:val="Normal"/>
    <w:rsid w:val="00482A8C"/>
    <w:pPr>
      <w:pBdr>
        <w:bottom w:val="single" w:sz="4" w:space="0" w:color="auto"/>
        <w:right w:val="dotted" w:sz="4" w:space="0" w:color="auto"/>
      </w:pBdr>
      <w:spacing w:before="100" w:beforeAutospacing="1" w:after="100" w:afterAutospacing="1"/>
    </w:pPr>
    <w:rPr>
      <w:sz w:val="16"/>
      <w:szCs w:val="16"/>
    </w:rPr>
  </w:style>
  <w:style w:type="paragraph" w:customStyle="1" w:styleId="xl100">
    <w:name w:val="xl100"/>
    <w:basedOn w:val="Normal"/>
    <w:rsid w:val="00482A8C"/>
    <w:pPr>
      <w:pBdr>
        <w:bottom w:val="single" w:sz="4" w:space="0" w:color="auto"/>
      </w:pBdr>
      <w:spacing w:before="100" w:beforeAutospacing="1" w:after="100" w:afterAutospacing="1"/>
    </w:pPr>
    <w:rPr>
      <w:sz w:val="16"/>
      <w:szCs w:val="16"/>
    </w:rPr>
  </w:style>
  <w:style w:type="paragraph" w:customStyle="1" w:styleId="xl101">
    <w:name w:val="xl101"/>
    <w:basedOn w:val="Normal"/>
    <w:rsid w:val="00482A8C"/>
    <w:pPr>
      <w:pBdr>
        <w:left w:val="dotted" w:sz="4" w:space="0" w:color="auto"/>
        <w:bottom w:val="single" w:sz="4" w:space="0" w:color="auto"/>
      </w:pBdr>
      <w:spacing w:before="100" w:beforeAutospacing="1" w:after="100" w:afterAutospacing="1"/>
    </w:pPr>
    <w:rPr>
      <w:sz w:val="16"/>
      <w:szCs w:val="16"/>
    </w:rPr>
  </w:style>
  <w:style w:type="paragraph" w:customStyle="1" w:styleId="xl102">
    <w:name w:val="xl102"/>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4">
    <w:name w:val="xl10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5">
    <w:name w:val="xl105"/>
    <w:basedOn w:val="Normal"/>
    <w:rsid w:val="00482A8C"/>
    <w:pPr>
      <w:pBdr>
        <w:right w:val="dotted" w:sz="4" w:space="0" w:color="auto"/>
      </w:pBdr>
      <w:spacing w:before="100" w:beforeAutospacing="1" w:after="100" w:afterAutospacing="1"/>
    </w:pPr>
    <w:rPr>
      <w:b/>
      <w:bCs/>
      <w:sz w:val="16"/>
      <w:szCs w:val="16"/>
    </w:rPr>
  </w:style>
  <w:style w:type="paragraph" w:customStyle="1" w:styleId="xl106">
    <w:name w:val="xl106"/>
    <w:basedOn w:val="Normal"/>
    <w:rsid w:val="00482A8C"/>
    <w:pPr>
      <w:pBdr>
        <w:left w:val="dotted" w:sz="4" w:space="0" w:color="auto"/>
      </w:pBdr>
      <w:spacing w:before="100" w:beforeAutospacing="1" w:after="100" w:afterAutospacing="1"/>
    </w:pPr>
    <w:rPr>
      <w:b/>
      <w:bCs/>
      <w:sz w:val="16"/>
      <w:szCs w:val="16"/>
    </w:rPr>
  </w:style>
  <w:style w:type="paragraph" w:customStyle="1" w:styleId="xl107">
    <w:name w:val="xl107"/>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108">
    <w:name w:val="xl108"/>
    <w:basedOn w:val="Normal"/>
    <w:rsid w:val="00482A8C"/>
    <w:pPr>
      <w:spacing w:before="100" w:beforeAutospacing="1" w:after="100" w:afterAutospacing="1"/>
    </w:pPr>
    <w:rPr>
      <w:sz w:val="16"/>
      <w:szCs w:val="16"/>
    </w:rPr>
  </w:style>
  <w:style w:type="paragraph" w:customStyle="1" w:styleId="xl109">
    <w:name w:val="xl109"/>
    <w:basedOn w:val="Normal"/>
    <w:rsid w:val="00482A8C"/>
    <w:pPr>
      <w:pBdr>
        <w:left w:val="single" w:sz="4" w:space="0" w:color="auto"/>
        <w:bottom w:val="single" w:sz="4" w:space="0" w:color="auto"/>
      </w:pBdr>
      <w:spacing w:before="100" w:beforeAutospacing="1" w:after="100" w:afterAutospacing="1"/>
    </w:pPr>
    <w:rPr>
      <w:b/>
      <w:bCs/>
      <w:sz w:val="16"/>
      <w:szCs w:val="16"/>
    </w:rPr>
  </w:style>
  <w:style w:type="paragraph" w:customStyle="1" w:styleId="xl110">
    <w:name w:val="xl110"/>
    <w:basedOn w:val="Normal"/>
    <w:rsid w:val="00482A8C"/>
    <w:pPr>
      <w:pBdr>
        <w:bottom w:val="single" w:sz="4" w:space="0" w:color="auto"/>
        <w:right w:val="single" w:sz="4" w:space="0" w:color="auto"/>
      </w:pBdr>
      <w:spacing w:before="100" w:beforeAutospacing="1" w:after="100" w:afterAutospacing="1"/>
      <w:jc w:val="both"/>
    </w:pPr>
    <w:rPr>
      <w:b/>
      <w:bCs/>
      <w:sz w:val="16"/>
      <w:szCs w:val="16"/>
    </w:rPr>
  </w:style>
  <w:style w:type="paragraph" w:customStyle="1" w:styleId="xl111">
    <w:name w:val="xl111"/>
    <w:basedOn w:val="Normal"/>
    <w:rsid w:val="00482A8C"/>
    <w:pPr>
      <w:pBdr>
        <w:bottom w:val="single" w:sz="4" w:space="0" w:color="auto"/>
      </w:pBdr>
      <w:spacing w:before="100" w:beforeAutospacing="1" w:after="100" w:afterAutospacing="1"/>
      <w:jc w:val="center"/>
    </w:pPr>
    <w:rPr>
      <w:b/>
      <w:bCs/>
      <w:sz w:val="16"/>
      <w:szCs w:val="16"/>
    </w:rPr>
  </w:style>
  <w:style w:type="paragraph" w:customStyle="1" w:styleId="xl112">
    <w:name w:val="xl112"/>
    <w:basedOn w:val="Normal"/>
    <w:rsid w:val="00482A8C"/>
    <w:pPr>
      <w:pBdr>
        <w:top w:val="single" w:sz="4" w:space="0" w:color="auto"/>
        <w:left w:val="dotted"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3">
    <w:name w:val="xl113"/>
    <w:basedOn w:val="Normal"/>
    <w:rsid w:val="00482A8C"/>
    <w:pPr>
      <w:pBdr>
        <w:top w:val="single"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4">
    <w:name w:val="xl114"/>
    <w:basedOn w:val="Normal"/>
    <w:rsid w:val="00482A8C"/>
    <w:pPr>
      <w:pBdr>
        <w:top w:val="single" w:sz="4" w:space="0" w:color="auto"/>
        <w:left w:val="dotted" w:sz="4" w:space="0" w:color="auto"/>
        <w:bottom w:val="single" w:sz="4" w:space="0" w:color="auto"/>
      </w:pBdr>
      <w:spacing w:before="100" w:beforeAutospacing="1" w:after="100" w:afterAutospacing="1"/>
    </w:pPr>
    <w:rPr>
      <w:b/>
      <w:bCs/>
      <w:sz w:val="16"/>
      <w:szCs w:val="16"/>
    </w:rPr>
  </w:style>
  <w:style w:type="paragraph" w:customStyle="1" w:styleId="xl115">
    <w:name w:val="xl115"/>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6">
    <w:name w:val="xl116"/>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7">
    <w:name w:val="xl117"/>
    <w:basedOn w:val="Normal"/>
    <w:rsid w:val="00482A8C"/>
    <w:pPr>
      <w:spacing w:before="100" w:beforeAutospacing="1" w:after="100" w:afterAutospacing="1"/>
      <w:jc w:val="both"/>
    </w:pPr>
    <w:rPr>
      <w:sz w:val="16"/>
      <w:szCs w:val="16"/>
    </w:rPr>
  </w:style>
  <w:style w:type="paragraph" w:customStyle="1" w:styleId="xl118">
    <w:name w:val="xl118"/>
    <w:basedOn w:val="Normal"/>
    <w:rsid w:val="00482A8C"/>
    <w:pPr>
      <w:spacing w:before="100" w:beforeAutospacing="1" w:after="100" w:afterAutospacing="1"/>
      <w:jc w:val="both"/>
    </w:pPr>
    <w:rPr>
      <w:sz w:val="16"/>
      <w:szCs w:val="16"/>
    </w:rPr>
  </w:style>
  <w:style w:type="paragraph" w:customStyle="1" w:styleId="xl119">
    <w:name w:val="xl119"/>
    <w:basedOn w:val="Normal"/>
    <w:rsid w:val="00482A8C"/>
    <w:pPr>
      <w:pBdr>
        <w:top w:val="single" w:sz="4" w:space="0" w:color="auto"/>
        <w:bottom w:val="single" w:sz="4" w:space="0" w:color="auto"/>
      </w:pBdr>
      <w:spacing w:before="100" w:beforeAutospacing="1" w:after="100" w:afterAutospacing="1"/>
    </w:pPr>
    <w:rPr>
      <w:sz w:val="16"/>
      <w:szCs w:val="16"/>
    </w:rPr>
  </w:style>
  <w:style w:type="paragraph" w:customStyle="1" w:styleId="xl120">
    <w:name w:val="xl120"/>
    <w:basedOn w:val="Normal"/>
    <w:rsid w:val="00482A8C"/>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1">
    <w:name w:val="xl121"/>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al"/>
    <w:rsid w:val="00482A8C"/>
    <w:pPr>
      <w:spacing w:before="100" w:beforeAutospacing="1" w:after="100" w:afterAutospacing="1"/>
    </w:pPr>
    <w:rPr>
      <w:sz w:val="16"/>
      <w:szCs w:val="16"/>
    </w:rPr>
  </w:style>
  <w:style w:type="paragraph" w:customStyle="1" w:styleId="AltKonuBal">
    <w:name w:val="Alt Konu Başlığı"/>
    <w:basedOn w:val="Normal"/>
    <w:qFormat/>
    <w:rsid w:val="00482A8C"/>
    <w:pPr>
      <w:jc w:val="center"/>
    </w:pPr>
    <w:rPr>
      <w:b/>
    </w:rPr>
  </w:style>
  <w:style w:type="paragraph" w:customStyle="1" w:styleId="DefaultParagraphFontParaCharChar">
    <w:name w:val="Default Paragraph Font Para Char Char"/>
    <w:aliases w:val="Default Paragraph Font Para Char Para Char Char"/>
    <w:basedOn w:val="Normal"/>
    <w:rsid w:val="00482A8C"/>
    <w:rPr>
      <w:szCs w:val="20"/>
    </w:rPr>
  </w:style>
  <w:style w:type="paragraph" w:customStyle="1" w:styleId="IASBPrinciple">
    <w:name w:val="IASB Principle"/>
    <w:basedOn w:val="Normal"/>
    <w:rsid w:val="00482A8C"/>
    <w:pPr>
      <w:spacing w:before="100" w:after="100"/>
      <w:jc w:val="both"/>
    </w:pPr>
    <w:rPr>
      <w:b/>
      <w:bCs/>
      <w:sz w:val="22"/>
      <w:szCs w:val="22"/>
    </w:rPr>
  </w:style>
  <w:style w:type="paragraph" w:customStyle="1" w:styleId="1tipi0">
    <w:name w:val="1tipi"/>
    <w:basedOn w:val="Normal"/>
    <w:rsid w:val="00482A8C"/>
    <w:pPr>
      <w:snapToGrid w:val="0"/>
      <w:jc w:val="both"/>
    </w:pPr>
    <w:rPr>
      <w:rFonts w:ascii="Arial" w:hAnsi="Arial" w:cs="Arial"/>
    </w:rPr>
  </w:style>
  <w:style w:type="character" w:styleId="Strong">
    <w:name w:val="Strong"/>
    <w:uiPriority w:val="22"/>
    <w:qFormat/>
    <w:rsid w:val="00482A8C"/>
    <w:rPr>
      <w:rFonts w:ascii="Times New Roman" w:hAnsi="Times New Roman" w:cs="Times New Roman"/>
      <w:b/>
      <w:bCs/>
    </w:rPr>
  </w:style>
  <w:style w:type="paragraph" w:customStyle="1" w:styleId="ListeParagraf1">
    <w:name w:val="Liste Paragraf1"/>
    <w:basedOn w:val="Normal"/>
    <w:qFormat/>
    <w:rsid w:val="00482A8C"/>
    <w:pPr>
      <w:ind w:left="720"/>
      <w:contextualSpacing/>
    </w:pPr>
    <w:rPr>
      <w:szCs w:val="20"/>
    </w:rPr>
  </w:style>
  <w:style w:type="character" w:customStyle="1" w:styleId="SonnotMetniChar">
    <w:name w:val="Sonnot Metni Char"/>
    <w:link w:val="SonnotMetni"/>
    <w:locked/>
    <w:rsid w:val="00482A8C"/>
    <w:rPr>
      <w:lang w:val="tr-TR" w:eastAsia="x-none"/>
    </w:rPr>
  </w:style>
  <w:style w:type="character" w:customStyle="1" w:styleId="NormalIndentChar">
    <w:name w:val="Normal Indent Char"/>
    <w:link w:val="NormalIndent"/>
    <w:uiPriority w:val="99"/>
    <w:locked/>
    <w:rsid w:val="00482A8C"/>
    <w:rPr>
      <w:noProof/>
      <w:lang w:val="tr-TR"/>
    </w:rPr>
  </w:style>
  <w:style w:type="paragraph" w:customStyle="1" w:styleId="1tipi00">
    <w:name w:val="1tipi0"/>
    <w:basedOn w:val="Normal"/>
    <w:rsid w:val="00482A8C"/>
    <w:pPr>
      <w:snapToGrid w:val="0"/>
      <w:jc w:val="both"/>
    </w:pPr>
    <w:rPr>
      <w:rFonts w:ascii="Arial" w:hAnsi="Arial" w:cs="Arial"/>
    </w:rPr>
  </w:style>
  <w:style w:type="paragraph" w:customStyle="1" w:styleId="1tipi000">
    <w:name w:val="1tipi00"/>
    <w:basedOn w:val="Normal"/>
    <w:rsid w:val="00482A8C"/>
    <w:pPr>
      <w:snapToGrid w:val="0"/>
      <w:jc w:val="both"/>
    </w:pPr>
    <w:rPr>
      <w:rFonts w:ascii="Arial" w:hAnsi="Arial" w:cs="Arial"/>
    </w:rPr>
  </w:style>
  <w:style w:type="paragraph" w:customStyle="1" w:styleId="Textkrper1">
    <w:name w:val="Textkörper1"/>
    <w:basedOn w:val="Normal"/>
    <w:rsid w:val="00482A8C"/>
    <w:pPr>
      <w:suppressAutoHyphens/>
      <w:autoSpaceDN w:val="0"/>
      <w:spacing w:before="130" w:after="130" w:line="260" w:lineRule="atLeast"/>
      <w:textAlignment w:val="baseline"/>
    </w:pPr>
    <w:rPr>
      <w:sz w:val="22"/>
      <w:szCs w:val="22"/>
      <w:lang w:val="en-GB"/>
    </w:rPr>
  </w:style>
  <w:style w:type="numbering" w:customStyle="1" w:styleId="CurrentList1">
    <w:name w:val="Current List1"/>
    <w:rsid w:val="00482A8C"/>
    <w:pPr>
      <w:numPr>
        <w:numId w:val="11"/>
      </w:numPr>
    </w:pPr>
  </w:style>
  <w:style w:type="numbering" w:customStyle="1" w:styleId="Style2">
    <w:name w:val="Style2"/>
    <w:rsid w:val="00482A8C"/>
    <w:pPr>
      <w:numPr>
        <w:numId w:val="12"/>
      </w:numPr>
    </w:pPr>
  </w:style>
  <w:style w:type="numbering" w:customStyle="1" w:styleId="Style10">
    <w:name w:val="Style10"/>
    <w:rsid w:val="00482A8C"/>
    <w:pPr>
      <w:numPr>
        <w:numId w:val="20"/>
      </w:numPr>
    </w:pPr>
  </w:style>
  <w:style w:type="numbering" w:styleId="1ai">
    <w:name w:val="Outline List 1"/>
    <w:basedOn w:val="NoList"/>
    <w:rsid w:val="00482A8C"/>
    <w:pPr>
      <w:numPr>
        <w:numId w:val="16"/>
      </w:numPr>
    </w:pPr>
  </w:style>
  <w:style w:type="numbering" w:customStyle="1" w:styleId="Style5">
    <w:name w:val="Style5"/>
    <w:rsid w:val="00482A8C"/>
    <w:pPr>
      <w:numPr>
        <w:numId w:val="15"/>
      </w:numPr>
    </w:pPr>
  </w:style>
  <w:style w:type="numbering" w:customStyle="1" w:styleId="Style3">
    <w:name w:val="Style3"/>
    <w:rsid w:val="00482A8C"/>
    <w:pPr>
      <w:numPr>
        <w:numId w:val="13"/>
      </w:numPr>
    </w:pPr>
  </w:style>
  <w:style w:type="numbering" w:customStyle="1" w:styleId="Style1">
    <w:name w:val="Style1"/>
    <w:rsid w:val="00482A8C"/>
    <w:pPr>
      <w:numPr>
        <w:numId w:val="10"/>
      </w:numPr>
    </w:pPr>
  </w:style>
  <w:style w:type="numbering" w:customStyle="1" w:styleId="Style4">
    <w:name w:val="Style4"/>
    <w:rsid w:val="00482A8C"/>
    <w:pPr>
      <w:numPr>
        <w:numId w:val="14"/>
      </w:numPr>
    </w:pPr>
  </w:style>
  <w:style w:type="numbering" w:customStyle="1" w:styleId="Style6">
    <w:name w:val="Style6"/>
    <w:rsid w:val="00482A8C"/>
    <w:pPr>
      <w:numPr>
        <w:numId w:val="17"/>
      </w:numPr>
    </w:pPr>
  </w:style>
  <w:style w:type="numbering" w:customStyle="1" w:styleId="Style7">
    <w:name w:val="Style7"/>
    <w:rsid w:val="00482A8C"/>
    <w:pPr>
      <w:numPr>
        <w:numId w:val="18"/>
      </w:numPr>
    </w:pPr>
  </w:style>
  <w:style w:type="numbering" w:customStyle="1" w:styleId="Stil1">
    <w:name w:val="Stil1"/>
    <w:rsid w:val="00482A8C"/>
    <w:pPr>
      <w:numPr>
        <w:numId w:val="21"/>
      </w:numPr>
    </w:pPr>
  </w:style>
  <w:style w:type="numbering" w:customStyle="1" w:styleId="Style9">
    <w:name w:val="Style9"/>
    <w:rsid w:val="00482A8C"/>
    <w:pPr>
      <w:numPr>
        <w:numId w:val="9"/>
      </w:numPr>
    </w:pPr>
  </w:style>
  <w:style w:type="numbering" w:customStyle="1" w:styleId="Style8">
    <w:name w:val="Style8"/>
    <w:rsid w:val="00482A8C"/>
    <w:pPr>
      <w:numPr>
        <w:numId w:val="19"/>
      </w:numPr>
    </w:pPr>
  </w:style>
  <w:style w:type="character" w:customStyle="1" w:styleId="stbilgiChar">
    <w:name w:val="Üstbilgi Char"/>
    <w:link w:val="stbilgi"/>
    <w:uiPriority w:val="99"/>
    <w:rsid w:val="00482A8C"/>
    <w:rPr>
      <w:sz w:val="24"/>
      <w:szCs w:val="24"/>
    </w:rPr>
  </w:style>
  <w:style w:type="character" w:customStyle="1" w:styleId="AltbilgiChar">
    <w:name w:val="Altbilgi Char"/>
    <w:link w:val="Altbilgi"/>
    <w:uiPriority w:val="99"/>
    <w:rsid w:val="00482A8C"/>
    <w:rPr>
      <w:sz w:val="24"/>
      <w:szCs w:val="24"/>
    </w:rPr>
  </w:style>
  <w:style w:type="character" w:customStyle="1" w:styleId="FontStyle162">
    <w:name w:val="Font Style162"/>
    <w:uiPriority w:val="99"/>
    <w:rsid w:val="00482A8C"/>
    <w:rPr>
      <w:rFonts w:ascii="Century Gothic" w:hAnsi="Century Gothic" w:cs="Century Gothic"/>
      <w:color w:val="000000"/>
      <w:sz w:val="16"/>
      <w:szCs w:val="16"/>
    </w:rPr>
  </w:style>
  <w:style w:type="paragraph" w:customStyle="1" w:styleId="Style19">
    <w:name w:val="Style19"/>
    <w:basedOn w:val="Normal"/>
    <w:uiPriority w:val="99"/>
    <w:rsid w:val="00482A8C"/>
    <w:pPr>
      <w:widowControl w:val="0"/>
      <w:autoSpaceDE w:val="0"/>
      <w:autoSpaceDN w:val="0"/>
      <w:adjustRightInd w:val="0"/>
      <w:spacing w:line="306" w:lineRule="exact"/>
      <w:jc w:val="both"/>
    </w:pPr>
    <w:rPr>
      <w:rFonts w:ascii="Century Gothic" w:hAnsi="Century Gothic"/>
    </w:rPr>
  </w:style>
  <w:style w:type="paragraph" w:customStyle="1" w:styleId="mcntmsonospacing">
    <w:name w:val="mcntmsonospacing"/>
    <w:basedOn w:val="Normal"/>
    <w:rsid w:val="00482A8C"/>
    <w:pPr>
      <w:spacing w:before="100" w:beforeAutospacing="1" w:after="100" w:afterAutospacing="1"/>
    </w:pPr>
  </w:style>
  <w:style w:type="paragraph" w:customStyle="1" w:styleId="mcntmsonormal">
    <w:name w:val="mcntmsonormal"/>
    <w:basedOn w:val="Normal"/>
    <w:rsid w:val="00482A8C"/>
    <w:pPr>
      <w:spacing w:before="100" w:beforeAutospacing="1" w:after="100" w:afterAutospacing="1"/>
    </w:pPr>
  </w:style>
  <w:style w:type="character" w:customStyle="1" w:styleId="AltBilgiChar0">
    <w:name w:val="Alt Bilgi Char"/>
    <w:basedOn w:val="DefaultParagraphFont"/>
    <w:uiPriority w:val="99"/>
    <w:rsid w:val="00482A8C"/>
  </w:style>
  <w:style w:type="character" w:customStyle="1" w:styleId="stBilgiChar0">
    <w:name w:val="Üst Bilgi Char"/>
    <w:basedOn w:val="DefaultParagraphFont"/>
    <w:uiPriority w:val="99"/>
    <w:rsid w:val="00482A8C"/>
  </w:style>
  <w:style w:type="character" w:styleId="LineNumber">
    <w:name w:val="line number"/>
    <w:basedOn w:val="DefaultParagraphFont"/>
    <w:rsid w:val="00482A8C"/>
  </w:style>
  <w:style w:type="paragraph" w:customStyle="1" w:styleId="ListeParagraf2">
    <w:name w:val="Liste Paragraf2"/>
    <w:basedOn w:val="Normal"/>
    <w:qFormat/>
    <w:rsid w:val="00482A8C"/>
    <w:pPr>
      <w:ind w:left="720"/>
      <w:contextualSpacing/>
    </w:pPr>
    <w:rPr>
      <w:szCs w:val="20"/>
    </w:rPr>
  </w:style>
  <w:style w:type="paragraph" w:customStyle="1" w:styleId="berschrift21">
    <w:name w:val="Überschrift 21"/>
    <w:basedOn w:val="Standard1"/>
    <w:next w:val="Standard1"/>
    <w:rsid w:val="00482A8C"/>
    <w:pPr>
      <w:keepNext/>
      <w:spacing w:before="240" w:after="60"/>
      <w:outlineLvl w:val="1"/>
    </w:pPr>
    <w:rPr>
      <w:rFonts w:ascii="Arial" w:hAnsi="Arial"/>
      <w:b/>
      <w:bCs/>
      <w:i/>
      <w:iCs/>
      <w:sz w:val="28"/>
      <w:szCs w:val="28"/>
    </w:rPr>
  </w:style>
  <w:style w:type="character" w:customStyle="1" w:styleId="Absatz-Standardschriftart1">
    <w:name w:val="Absatz-Standardschriftart1"/>
    <w:rsid w:val="00482A8C"/>
  </w:style>
  <w:style w:type="paragraph" w:customStyle="1" w:styleId="Kopfzeile1">
    <w:name w:val="Kopfzeile1"/>
    <w:basedOn w:val="Standard1"/>
    <w:rsid w:val="00482A8C"/>
    <w:pPr>
      <w:tabs>
        <w:tab w:val="center" w:pos="4536"/>
        <w:tab w:val="right" w:pos="9072"/>
      </w:tabs>
    </w:pPr>
    <w:rPr>
      <w:lang w:val="en-US" w:eastAsia="en-US"/>
    </w:rPr>
  </w:style>
  <w:style w:type="paragraph" w:customStyle="1" w:styleId="Fuzeile1">
    <w:name w:val="Fußzeile1"/>
    <w:basedOn w:val="Standard1"/>
    <w:rsid w:val="00482A8C"/>
    <w:pPr>
      <w:tabs>
        <w:tab w:val="center" w:pos="4536"/>
        <w:tab w:val="right" w:pos="9072"/>
      </w:tabs>
    </w:pPr>
    <w:rPr>
      <w:lang w:eastAsia="en-US"/>
    </w:rPr>
  </w:style>
  <w:style w:type="numbering" w:customStyle="1" w:styleId="WWOutlineListStyle">
    <w:name w:val="WW_OutlineListStyle"/>
    <w:basedOn w:val="NoList"/>
    <w:rsid w:val="00482A8C"/>
    <w:pPr>
      <w:numPr>
        <w:numId w:val="22"/>
      </w:numPr>
    </w:pPr>
  </w:style>
  <w:style w:type="paragraph" w:customStyle="1" w:styleId="berschrift11">
    <w:name w:val="Überschrift 11"/>
    <w:basedOn w:val="Standard1"/>
    <w:next w:val="Standard1"/>
    <w:rsid w:val="00482A8C"/>
    <w:pPr>
      <w:numPr>
        <w:numId w:val="22"/>
      </w:numPr>
      <w:spacing w:before="240"/>
      <w:outlineLvl w:val="0"/>
    </w:pPr>
    <w:rPr>
      <w:rFonts w:ascii="Univers (WN)" w:hAnsi="Univers (WN)"/>
      <w:b/>
      <w:bCs/>
      <w:u w:val="single"/>
      <w:lang w:val="en-US" w:eastAsia="en-US"/>
    </w:rPr>
  </w:style>
  <w:style w:type="paragraph" w:customStyle="1" w:styleId="berschrift41">
    <w:name w:val="Überschrift 41"/>
    <w:basedOn w:val="Standard1"/>
    <w:next w:val="Standard1"/>
    <w:rsid w:val="00482A8C"/>
    <w:pPr>
      <w:keepNext/>
      <w:numPr>
        <w:ilvl w:val="3"/>
        <w:numId w:val="22"/>
      </w:numPr>
      <w:jc w:val="center"/>
      <w:outlineLvl w:val="3"/>
    </w:pPr>
    <w:rPr>
      <w:b/>
      <w:bCs/>
      <w:lang w:eastAsia="en-US"/>
    </w:rPr>
  </w:style>
  <w:style w:type="paragraph" w:customStyle="1" w:styleId="berschrift71">
    <w:name w:val="Überschrift 71"/>
    <w:basedOn w:val="Standard1"/>
    <w:next w:val="Normal"/>
    <w:rsid w:val="00482A8C"/>
    <w:pPr>
      <w:numPr>
        <w:ilvl w:val="6"/>
        <w:numId w:val="22"/>
      </w:numPr>
      <w:outlineLvl w:val="6"/>
    </w:pPr>
    <w:rPr>
      <w:rFonts w:ascii="CG Times (WN)" w:hAnsi="CG Times (WN)"/>
      <w:i/>
      <w:iCs/>
      <w:sz w:val="20"/>
      <w:szCs w:val="20"/>
      <w:lang w:val="en-US" w:eastAsia="en-US"/>
    </w:rPr>
  </w:style>
  <w:style w:type="paragraph" w:customStyle="1" w:styleId="berschrift81">
    <w:name w:val="Überschrift 81"/>
    <w:basedOn w:val="Standard1"/>
    <w:next w:val="Normal"/>
    <w:rsid w:val="00482A8C"/>
    <w:pPr>
      <w:numPr>
        <w:ilvl w:val="7"/>
        <w:numId w:val="22"/>
      </w:numPr>
      <w:outlineLvl w:val="7"/>
    </w:pPr>
    <w:rPr>
      <w:rFonts w:ascii="CG Times (WN)" w:hAnsi="CG Times (WN)"/>
      <w:i/>
      <w:iCs/>
      <w:sz w:val="20"/>
      <w:szCs w:val="20"/>
      <w:lang w:val="en-US" w:eastAsia="en-US"/>
    </w:rPr>
  </w:style>
  <w:style w:type="paragraph" w:customStyle="1" w:styleId="Textkrper-Einzug31">
    <w:name w:val="Textkörper-Einzug 31"/>
    <w:basedOn w:val="Standard1"/>
    <w:rsid w:val="00482A8C"/>
    <w:pPr>
      <w:spacing w:before="80" w:line="220" w:lineRule="exact"/>
      <w:ind w:firstLine="567"/>
      <w:jc w:val="both"/>
    </w:pPr>
    <w:rPr>
      <w:lang w:val="en-US" w:eastAsia="en-US"/>
    </w:rPr>
  </w:style>
  <w:style w:type="paragraph" w:customStyle="1" w:styleId="Textkrper-Zeileneinzug1">
    <w:name w:val="Textkörper-Zeileneinzug1"/>
    <w:basedOn w:val="Standard1"/>
    <w:rsid w:val="00482A8C"/>
    <w:pPr>
      <w:spacing w:after="120"/>
      <w:ind w:left="283"/>
    </w:pPr>
  </w:style>
  <w:style w:type="paragraph" w:customStyle="1" w:styleId="Beschriftung1">
    <w:name w:val="Beschriftung1"/>
    <w:basedOn w:val="Standard1"/>
    <w:next w:val="Standard1"/>
    <w:rsid w:val="00482A8C"/>
    <w:pPr>
      <w:autoSpaceDE w:val="0"/>
    </w:pPr>
    <w:rPr>
      <w:rFonts w:eastAsia="Arial Unicode MS"/>
      <w:b/>
      <w:bCs/>
      <w:sz w:val="20"/>
      <w:szCs w:val="20"/>
      <w:lang w:eastAsia="en-US"/>
    </w:rPr>
  </w:style>
  <w:style w:type="paragraph" w:customStyle="1" w:styleId="berschrift31">
    <w:name w:val="Überschrift 31"/>
    <w:basedOn w:val="Standard1"/>
    <w:next w:val="Normal"/>
    <w:rsid w:val="00482A8C"/>
    <w:pPr>
      <w:outlineLvl w:val="2"/>
    </w:pPr>
    <w:rPr>
      <w:rFonts w:ascii="CG Times (WN)" w:hAnsi="CG Times (WN)"/>
      <w:b/>
      <w:bCs/>
      <w:lang w:val="en-US" w:eastAsia="en-US"/>
    </w:rPr>
  </w:style>
  <w:style w:type="paragraph" w:customStyle="1" w:styleId="Textkrper31">
    <w:name w:val="Textkörper 31"/>
    <w:basedOn w:val="Standard1"/>
    <w:uiPriority w:val="99"/>
    <w:rsid w:val="00482A8C"/>
    <w:pPr>
      <w:spacing w:after="120"/>
    </w:pPr>
    <w:rPr>
      <w:sz w:val="16"/>
      <w:szCs w:val="16"/>
    </w:rPr>
  </w:style>
  <w:style w:type="paragraph" w:customStyle="1" w:styleId="Listenabsatz1">
    <w:name w:val="Listenabsatz1"/>
    <w:basedOn w:val="Standard1"/>
    <w:rsid w:val="00482A8C"/>
    <w:pPr>
      <w:ind w:left="720"/>
    </w:pPr>
  </w:style>
  <w:style w:type="numbering" w:customStyle="1" w:styleId="LFO2">
    <w:name w:val="LFO2"/>
    <w:basedOn w:val="NoList"/>
    <w:rsid w:val="00482A8C"/>
    <w:pPr>
      <w:numPr>
        <w:numId w:val="23"/>
      </w:numPr>
    </w:pPr>
  </w:style>
  <w:style w:type="paragraph" w:customStyle="1" w:styleId="berschrift91">
    <w:name w:val="Überschrift 91"/>
    <w:basedOn w:val="Standard1"/>
    <w:next w:val="Standard1"/>
    <w:rsid w:val="00482A8C"/>
    <w:pPr>
      <w:keepNext/>
      <w:outlineLvl w:val="8"/>
    </w:pPr>
    <w:rPr>
      <w:b/>
      <w:bCs/>
      <w:sz w:val="18"/>
      <w:szCs w:val="18"/>
      <w:lang w:eastAsia="en-US"/>
    </w:rPr>
  </w:style>
  <w:style w:type="paragraph" w:customStyle="1" w:styleId="Standardeinzug1">
    <w:name w:val="Standardeinzug1"/>
    <w:basedOn w:val="Standard1"/>
    <w:rsid w:val="00482A8C"/>
    <w:pPr>
      <w:ind w:left="720"/>
    </w:pPr>
    <w:rPr>
      <w:sz w:val="20"/>
      <w:szCs w:val="20"/>
      <w:lang w:val="en-US" w:eastAsia="en-US"/>
    </w:rPr>
  </w:style>
  <w:style w:type="paragraph" w:customStyle="1" w:styleId="Textkrper-Einzug21">
    <w:name w:val="Textkörper-Einzug 21"/>
    <w:basedOn w:val="Standard1"/>
    <w:rsid w:val="00482A8C"/>
    <w:pPr>
      <w:spacing w:after="120" w:line="480" w:lineRule="auto"/>
      <w:ind w:left="283"/>
    </w:pPr>
  </w:style>
  <w:style w:type="paragraph" w:customStyle="1" w:styleId="Endnotentext1">
    <w:name w:val="Endnotentext1"/>
    <w:basedOn w:val="Standard1"/>
    <w:rsid w:val="00482A8C"/>
    <w:rPr>
      <w:sz w:val="20"/>
      <w:szCs w:val="20"/>
      <w:lang w:eastAsia="en-US"/>
    </w:rPr>
  </w:style>
  <w:style w:type="character" w:customStyle="1" w:styleId="Style9Char">
    <w:name w:val="Style9 Char"/>
    <w:rsid w:val="00482A8C"/>
    <w:rPr>
      <w:rFonts w:ascii="Times New Roman" w:eastAsia="Times New Roman" w:hAnsi="Times New Roman" w:cs="Times New Roman"/>
      <w:b/>
      <w:bCs/>
      <w:color w:val="17365D"/>
      <w:sz w:val="32"/>
      <w:szCs w:val="32"/>
      <w:lang w:eastAsia="tr-TR"/>
    </w:rPr>
  </w:style>
  <w:style w:type="character" w:customStyle="1" w:styleId="zmlenmeyenBahsetme1">
    <w:name w:val="Çözümlenmeyen Bahsetme1"/>
    <w:basedOn w:val="DefaultParagraphFont"/>
    <w:uiPriority w:val="99"/>
    <w:semiHidden/>
    <w:unhideWhenUsed/>
    <w:rsid w:val="00482A8C"/>
    <w:rPr>
      <w:color w:val="605E5C"/>
      <w:shd w:val="clear" w:color="auto" w:fill="E1DFDD"/>
    </w:rPr>
  </w:style>
  <w:style w:type="character" w:customStyle="1" w:styleId="ui-provider">
    <w:name w:val="ui-provider"/>
    <w:basedOn w:val="DefaultParagraphFont"/>
    <w:rsid w:val="000966BD"/>
  </w:style>
  <w:style w:type="character" w:customStyle="1" w:styleId="fontstyle01">
    <w:name w:val="fontstyle01"/>
    <w:basedOn w:val="DefaultParagraphFont"/>
    <w:rsid w:val="00B416B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8B5287"/>
    <w:rPr>
      <w:rFonts w:ascii="DINPro-Medium" w:hAnsi="DIN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824">
      <w:bodyDiv w:val="1"/>
      <w:marLeft w:val="0"/>
      <w:marRight w:val="0"/>
      <w:marTop w:val="0"/>
      <w:marBottom w:val="0"/>
      <w:divBdr>
        <w:top w:val="none" w:sz="0" w:space="0" w:color="auto"/>
        <w:left w:val="none" w:sz="0" w:space="0" w:color="auto"/>
        <w:bottom w:val="none" w:sz="0" w:space="0" w:color="auto"/>
        <w:right w:val="none" w:sz="0" w:space="0" w:color="auto"/>
      </w:divBdr>
    </w:div>
    <w:div w:id="1247475">
      <w:bodyDiv w:val="1"/>
      <w:marLeft w:val="0"/>
      <w:marRight w:val="0"/>
      <w:marTop w:val="0"/>
      <w:marBottom w:val="0"/>
      <w:divBdr>
        <w:top w:val="none" w:sz="0" w:space="0" w:color="auto"/>
        <w:left w:val="none" w:sz="0" w:space="0" w:color="auto"/>
        <w:bottom w:val="none" w:sz="0" w:space="0" w:color="auto"/>
        <w:right w:val="none" w:sz="0" w:space="0" w:color="auto"/>
      </w:divBdr>
    </w:div>
    <w:div w:id="1444903">
      <w:bodyDiv w:val="1"/>
      <w:marLeft w:val="0"/>
      <w:marRight w:val="0"/>
      <w:marTop w:val="0"/>
      <w:marBottom w:val="0"/>
      <w:divBdr>
        <w:top w:val="none" w:sz="0" w:space="0" w:color="auto"/>
        <w:left w:val="none" w:sz="0" w:space="0" w:color="auto"/>
        <w:bottom w:val="none" w:sz="0" w:space="0" w:color="auto"/>
        <w:right w:val="none" w:sz="0" w:space="0" w:color="auto"/>
      </w:divBdr>
    </w:div>
    <w:div w:id="1472910">
      <w:bodyDiv w:val="1"/>
      <w:marLeft w:val="0"/>
      <w:marRight w:val="0"/>
      <w:marTop w:val="0"/>
      <w:marBottom w:val="0"/>
      <w:divBdr>
        <w:top w:val="none" w:sz="0" w:space="0" w:color="auto"/>
        <w:left w:val="none" w:sz="0" w:space="0" w:color="auto"/>
        <w:bottom w:val="none" w:sz="0" w:space="0" w:color="auto"/>
        <w:right w:val="none" w:sz="0" w:space="0" w:color="auto"/>
      </w:divBdr>
    </w:div>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2904319">
      <w:bodyDiv w:val="1"/>
      <w:marLeft w:val="0"/>
      <w:marRight w:val="0"/>
      <w:marTop w:val="0"/>
      <w:marBottom w:val="0"/>
      <w:divBdr>
        <w:top w:val="none" w:sz="0" w:space="0" w:color="auto"/>
        <w:left w:val="none" w:sz="0" w:space="0" w:color="auto"/>
        <w:bottom w:val="none" w:sz="0" w:space="0" w:color="auto"/>
        <w:right w:val="none" w:sz="0" w:space="0" w:color="auto"/>
      </w:divBdr>
    </w:div>
    <w:div w:id="4207396">
      <w:bodyDiv w:val="1"/>
      <w:marLeft w:val="0"/>
      <w:marRight w:val="0"/>
      <w:marTop w:val="0"/>
      <w:marBottom w:val="0"/>
      <w:divBdr>
        <w:top w:val="none" w:sz="0" w:space="0" w:color="auto"/>
        <w:left w:val="none" w:sz="0" w:space="0" w:color="auto"/>
        <w:bottom w:val="none" w:sz="0" w:space="0" w:color="auto"/>
        <w:right w:val="none" w:sz="0" w:space="0" w:color="auto"/>
      </w:divBdr>
    </w:div>
    <w:div w:id="7224225">
      <w:bodyDiv w:val="1"/>
      <w:marLeft w:val="0"/>
      <w:marRight w:val="0"/>
      <w:marTop w:val="0"/>
      <w:marBottom w:val="0"/>
      <w:divBdr>
        <w:top w:val="none" w:sz="0" w:space="0" w:color="auto"/>
        <w:left w:val="none" w:sz="0" w:space="0" w:color="auto"/>
        <w:bottom w:val="none" w:sz="0" w:space="0" w:color="auto"/>
        <w:right w:val="none" w:sz="0" w:space="0" w:color="auto"/>
      </w:divBdr>
    </w:div>
    <w:div w:id="8027072">
      <w:bodyDiv w:val="1"/>
      <w:marLeft w:val="0"/>
      <w:marRight w:val="0"/>
      <w:marTop w:val="0"/>
      <w:marBottom w:val="0"/>
      <w:divBdr>
        <w:top w:val="none" w:sz="0" w:space="0" w:color="auto"/>
        <w:left w:val="none" w:sz="0" w:space="0" w:color="auto"/>
        <w:bottom w:val="none" w:sz="0" w:space="0" w:color="auto"/>
        <w:right w:val="none" w:sz="0" w:space="0" w:color="auto"/>
      </w:divBdr>
    </w:div>
    <w:div w:id="8601856">
      <w:bodyDiv w:val="1"/>
      <w:marLeft w:val="0"/>
      <w:marRight w:val="0"/>
      <w:marTop w:val="0"/>
      <w:marBottom w:val="0"/>
      <w:divBdr>
        <w:top w:val="none" w:sz="0" w:space="0" w:color="auto"/>
        <w:left w:val="none" w:sz="0" w:space="0" w:color="auto"/>
        <w:bottom w:val="none" w:sz="0" w:space="0" w:color="auto"/>
        <w:right w:val="none" w:sz="0" w:space="0" w:color="auto"/>
      </w:divBdr>
    </w:div>
    <w:div w:id="9064506">
      <w:bodyDiv w:val="1"/>
      <w:marLeft w:val="0"/>
      <w:marRight w:val="0"/>
      <w:marTop w:val="0"/>
      <w:marBottom w:val="0"/>
      <w:divBdr>
        <w:top w:val="none" w:sz="0" w:space="0" w:color="auto"/>
        <w:left w:val="none" w:sz="0" w:space="0" w:color="auto"/>
        <w:bottom w:val="none" w:sz="0" w:space="0" w:color="auto"/>
        <w:right w:val="none" w:sz="0" w:space="0" w:color="auto"/>
      </w:divBdr>
    </w:div>
    <w:div w:id="9184135">
      <w:bodyDiv w:val="1"/>
      <w:marLeft w:val="0"/>
      <w:marRight w:val="0"/>
      <w:marTop w:val="0"/>
      <w:marBottom w:val="0"/>
      <w:divBdr>
        <w:top w:val="none" w:sz="0" w:space="0" w:color="auto"/>
        <w:left w:val="none" w:sz="0" w:space="0" w:color="auto"/>
        <w:bottom w:val="none" w:sz="0" w:space="0" w:color="auto"/>
        <w:right w:val="none" w:sz="0" w:space="0" w:color="auto"/>
      </w:divBdr>
    </w:div>
    <w:div w:id="10298715">
      <w:bodyDiv w:val="1"/>
      <w:marLeft w:val="0"/>
      <w:marRight w:val="0"/>
      <w:marTop w:val="0"/>
      <w:marBottom w:val="0"/>
      <w:divBdr>
        <w:top w:val="none" w:sz="0" w:space="0" w:color="auto"/>
        <w:left w:val="none" w:sz="0" w:space="0" w:color="auto"/>
        <w:bottom w:val="none" w:sz="0" w:space="0" w:color="auto"/>
        <w:right w:val="none" w:sz="0" w:space="0" w:color="auto"/>
      </w:divBdr>
    </w:div>
    <w:div w:id="10495022">
      <w:bodyDiv w:val="1"/>
      <w:marLeft w:val="0"/>
      <w:marRight w:val="0"/>
      <w:marTop w:val="0"/>
      <w:marBottom w:val="0"/>
      <w:divBdr>
        <w:top w:val="none" w:sz="0" w:space="0" w:color="auto"/>
        <w:left w:val="none" w:sz="0" w:space="0" w:color="auto"/>
        <w:bottom w:val="none" w:sz="0" w:space="0" w:color="auto"/>
        <w:right w:val="none" w:sz="0" w:space="0" w:color="auto"/>
      </w:divBdr>
    </w:div>
    <w:div w:id="11733857">
      <w:bodyDiv w:val="1"/>
      <w:marLeft w:val="0"/>
      <w:marRight w:val="0"/>
      <w:marTop w:val="0"/>
      <w:marBottom w:val="0"/>
      <w:divBdr>
        <w:top w:val="none" w:sz="0" w:space="0" w:color="auto"/>
        <w:left w:val="none" w:sz="0" w:space="0" w:color="auto"/>
        <w:bottom w:val="none" w:sz="0" w:space="0" w:color="auto"/>
        <w:right w:val="none" w:sz="0" w:space="0" w:color="auto"/>
      </w:divBdr>
    </w:div>
    <w:div w:id="11809581">
      <w:bodyDiv w:val="1"/>
      <w:marLeft w:val="0"/>
      <w:marRight w:val="0"/>
      <w:marTop w:val="0"/>
      <w:marBottom w:val="0"/>
      <w:divBdr>
        <w:top w:val="none" w:sz="0" w:space="0" w:color="auto"/>
        <w:left w:val="none" w:sz="0" w:space="0" w:color="auto"/>
        <w:bottom w:val="none" w:sz="0" w:space="0" w:color="auto"/>
        <w:right w:val="none" w:sz="0" w:space="0" w:color="auto"/>
      </w:divBdr>
    </w:div>
    <w:div w:id="1199730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2806009">
      <w:bodyDiv w:val="1"/>
      <w:marLeft w:val="0"/>
      <w:marRight w:val="0"/>
      <w:marTop w:val="0"/>
      <w:marBottom w:val="0"/>
      <w:divBdr>
        <w:top w:val="none" w:sz="0" w:space="0" w:color="auto"/>
        <w:left w:val="none" w:sz="0" w:space="0" w:color="auto"/>
        <w:bottom w:val="none" w:sz="0" w:space="0" w:color="auto"/>
        <w:right w:val="none" w:sz="0" w:space="0" w:color="auto"/>
      </w:divBdr>
    </w:div>
    <w:div w:id="13042648">
      <w:bodyDiv w:val="1"/>
      <w:marLeft w:val="0"/>
      <w:marRight w:val="0"/>
      <w:marTop w:val="0"/>
      <w:marBottom w:val="0"/>
      <w:divBdr>
        <w:top w:val="none" w:sz="0" w:space="0" w:color="auto"/>
        <w:left w:val="none" w:sz="0" w:space="0" w:color="auto"/>
        <w:bottom w:val="none" w:sz="0" w:space="0" w:color="auto"/>
        <w:right w:val="none" w:sz="0" w:space="0" w:color="auto"/>
      </w:divBdr>
    </w:div>
    <w:div w:id="14353727">
      <w:bodyDiv w:val="1"/>
      <w:marLeft w:val="0"/>
      <w:marRight w:val="0"/>
      <w:marTop w:val="0"/>
      <w:marBottom w:val="0"/>
      <w:divBdr>
        <w:top w:val="none" w:sz="0" w:space="0" w:color="auto"/>
        <w:left w:val="none" w:sz="0" w:space="0" w:color="auto"/>
        <w:bottom w:val="none" w:sz="0" w:space="0" w:color="auto"/>
        <w:right w:val="none" w:sz="0" w:space="0" w:color="auto"/>
      </w:divBdr>
    </w:div>
    <w:div w:id="14813264">
      <w:bodyDiv w:val="1"/>
      <w:marLeft w:val="0"/>
      <w:marRight w:val="0"/>
      <w:marTop w:val="0"/>
      <w:marBottom w:val="0"/>
      <w:divBdr>
        <w:top w:val="none" w:sz="0" w:space="0" w:color="auto"/>
        <w:left w:val="none" w:sz="0" w:space="0" w:color="auto"/>
        <w:bottom w:val="none" w:sz="0" w:space="0" w:color="auto"/>
        <w:right w:val="none" w:sz="0" w:space="0" w:color="auto"/>
      </w:divBdr>
    </w:div>
    <w:div w:id="15425432">
      <w:bodyDiv w:val="1"/>
      <w:marLeft w:val="0"/>
      <w:marRight w:val="0"/>
      <w:marTop w:val="0"/>
      <w:marBottom w:val="0"/>
      <w:divBdr>
        <w:top w:val="none" w:sz="0" w:space="0" w:color="auto"/>
        <w:left w:val="none" w:sz="0" w:space="0" w:color="auto"/>
        <w:bottom w:val="none" w:sz="0" w:space="0" w:color="auto"/>
        <w:right w:val="none" w:sz="0" w:space="0" w:color="auto"/>
      </w:divBdr>
    </w:div>
    <w:div w:id="16271100">
      <w:bodyDiv w:val="1"/>
      <w:marLeft w:val="0"/>
      <w:marRight w:val="0"/>
      <w:marTop w:val="0"/>
      <w:marBottom w:val="0"/>
      <w:divBdr>
        <w:top w:val="none" w:sz="0" w:space="0" w:color="auto"/>
        <w:left w:val="none" w:sz="0" w:space="0" w:color="auto"/>
        <w:bottom w:val="none" w:sz="0" w:space="0" w:color="auto"/>
        <w:right w:val="none" w:sz="0" w:space="0" w:color="auto"/>
      </w:divBdr>
    </w:div>
    <w:div w:id="16977012">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7977069">
      <w:bodyDiv w:val="1"/>
      <w:marLeft w:val="0"/>
      <w:marRight w:val="0"/>
      <w:marTop w:val="0"/>
      <w:marBottom w:val="0"/>
      <w:divBdr>
        <w:top w:val="none" w:sz="0" w:space="0" w:color="auto"/>
        <w:left w:val="none" w:sz="0" w:space="0" w:color="auto"/>
        <w:bottom w:val="none" w:sz="0" w:space="0" w:color="auto"/>
        <w:right w:val="none" w:sz="0" w:space="0" w:color="auto"/>
      </w:divBdr>
    </w:div>
    <w:div w:id="18043461">
      <w:bodyDiv w:val="1"/>
      <w:marLeft w:val="0"/>
      <w:marRight w:val="0"/>
      <w:marTop w:val="0"/>
      <w:marBottom w:val="0"/>
      <w:divBdr>
        <w:top w:val="none" w:sz="0" w:space="0" w:color="auto"/>
        <w:left w:val="none" w:sz="0" w:space="0" w:color="auto"/>
        <w:bottom w:val="none" w:sz="0" w:space="0" w:color="auto"/>
        <w:right w:val="none" w:sz="0" w:space="0" w:color="auto"/>
      </w:divBdr>
    </w:div>
    <w:div w:id="18050515">
      <w:bodyDiv w:val="1"/>
      <w:marLeft w:val="0"/>
      <w:marRight w:val="0"/>
      <w:marTop w:val="0"/>
      <w:marBottom w:val="0"/>
      <w:divBdr>
        <w:top w:val="none" w:sz="0" w:space="0" w:color="auto"/>
        <w:left w:val="none" w:sz="0" w:space="0" w:color="auto"/>
        <w:bottom w:val="none" w:sz="0" w:space="0" w:color="auto"/>
        <w:right w:val="none" w:sz="0" w:space="0" w:color="auto"/>
      </w:divBdr>
    </w:div>
    <w:div w:id="18357889">
      <w:bodyDiv w:val="1"/>
      <w:marLeft w:val="0"/>
      <w:marRight w:val="0"/>
      <w:marTop w:val="0"/>
      <w:marBottom w:val="0"/>
      <w:divBdr>
        <w:top w:val="none" w:sz="0" w:space="0" w:color="auto"/>
        <w:left w:val="none" w:sz="0" w:space="0" w:color="auto"/>
        <w:bottom w:val="none" w:sz="0" w:space="0" w:color="auto"/>
        <w:right w:val="none" w:sz="0" w:space="0" w:color="auto"/>
      </w:divBdr>
    </w:div>
    <w:div w:id="18552981">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18744176">
      <w:bodyDiv w:val="1"/>
      <w:marLeft w:val="0"/>
      <w:marRight w:val="0"/>
      <w:marTop w:val="0"/>
      <w:marBottom w:val="0"/>
      <w:divBdr>
        <w:top w:val="none" w:sz="0" w:space="0" w:color="auto"/>
        <w:left w:val="none" w:sz="0" w:space="0" w:color="auto"/>
        <w:bottom w:val="none" w:sz="0" w:space="0" w:color="auto"/>
        <w:right w:val="none" w:sz="0" w:space="0" w:color="auto"/>
      </w:divBdr>
    </w:div>
    <w:div w:id="20207136">
      <w:bodyDiv w:val="1"/>
      <w:marLeft w:val="0"/>
      <w:marRight w:val="0"/>
      <w:marTop w:val="0"/>
      <w:marBottom w:val="0"/>
      <w:divBdr>
        <w:top w:val="none" w:sz="0" w:space="0" w:color="auto"/>
        <w:left w:val="none" w:sz="0" w:space="0" w:color="auto"/>
        <w:bottom w:val="none" w:sz="0" w:space="0" w:color="auto"/>
        <w:right w:val="none" w:sz="0" w:space="0" w:color="auto"/>
      </w:divBdr>
    </w:div>
    <w:div w:id="20665875">
      <w:bodyDiv w:val="1"/>
      <w:marLeft w:val="0"/>
      <w:marRight w:val="0"/>
      <w:marTop w:val="0"/>
      <w:marBottom w:val="0"/>
      <w:divBdr>
        <w:top w:val="none" w:sz="0" w:space="0" w:color="auto"/>
        <w:left w:val="none" w:sz="0" w:space="0" w:color="auto"/>
        <w:bottom w:val="none" w:sz="0" w:space="0" w:color="auto"/>
        <w:right w:val="none" w:sz="0" w:space="0" w:color="auto"/>
      </w:divBdr>
    </w:div>
    <w:div w:id="21707596">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025919">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756151">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831176">
      <w:bodyDiv w:val="1"/>
      <w:marLeft w:val="0"/>
      <w:marRight w:val="0"/>
      <w:marTop w:val="0"/>
      <w:marBottom w:val="0"/>
      <w:divBdr>
        <w:top w:val="none" w:sz="0" w:space="0" w:color="auto"/>
        <w:left w:val="none" w:sz="0" w:space="0" w:color="auto"/>
        <w:bottom w:val="none" w:sz="0" w:space="0" w:color="auto"/>
        <w:right w:val="none" w:sz="0" w:space="0" w:color="auto"/>
      </w:divBdr>
    </w:div>
    <w:div w:id="2283189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411594">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3987068">
      <w:bodyDiv w:val="1"/>
      <w:marLeft w:val="0"/>
      <w:marRight w:val="0"/>
      <w:marTop w:val="0"/>
      <w:marBottom w:val="0"/>
      <w:divBdr>
        <w:top w:val="none" w:sz="0" w:space="0" w:color="auto"/>
        <w:left w:val="none" w:sz="0" w:space="0" w:color="auto"/>
        <w:bottom w:val="none" w:sz="0" w:space="0" w:color="auto"/>
        <w:right w:val="none" w:sz="0" w:space="0" w:color="auto"/>
      </w:divBdr>
    </w:div>
    <w:div w:id="24259848">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7265730">
      <w:bodyDiv w:val="1"/>
      <w:marLeft w:val="0"/>
      <w:marRight w:val="0"/>
      <w:marTop w:val="0"/>
      <w:marBottom w:val="0"/>
      <w:divBdr>
        <w:top w:val="none" w:sz="0" w:space="0" w:color="auto"/>
        <w:left w:val="none" w:sz="0" w:space="0" w:color="auto"/>
        <w:bottom w:val="none" w:sz="0" w:space="0" w:color="auto"/>
        <w:right w:val="none" w:sz="0" w:space="0" w:color="auto"/>
      </w:divBdr>
    </w:div>
    <w:div w:id="27606836">
      <w:bodyDiv w:val="1"/>
      <w:marLeft w:val="0"/>
      <w:marRight w:val="0"/>
      <w:marTop w:val="0"/>
      <w:marBottom w:val="0"/>
      <w:divBdr>
        <w:top w:val="none" w:sz="0" w:space="0" w:color="auto"/>
        <w:left w:val="none" w:sz="0" w:space="0" w:color="auto"/>
        <w:bottom w:val="none" w:sz="0" w:space="0" w:color="auto"/>
        <w:right w:val="none" w:sz="0" w:space="0" w:color="auto"/>
      </w:divBdr>
    </w:div>
    <w:div w:id="28335753">
      <w:bodyDiv w:val="1"/>
      <w:marLeft w:val="0"/>
      <w:marRight w:val="0"/>
      <w:marTop w:val="0"/>
      <w:marBottom w:val="0"/>
      <w:divBdr>
        <w:top w:val="none" w:sz="0" w:space="0" w:color="auto"/>
        <w:left w:val="none" w:sz="0" w:space="0" w:color="auto"/>
        <w:bottom w:val="none" w:sz="0" w:space="0" w:color="auto"/>
        <w:right w:val="none" w:sz="0" w:space="0" w:color="auto"/>
      </w:divBdr>
    </w:div>
    <w:div w:id="28725780">
      <w:bodyDiv w:val="1"/>
      <w:marLeft w:val="0"/>
      <w:marRight w:val="0"/>
      <w:marTop w:val="0"/>
      <w:marBottom w:val="0"/>
      <w:divBdr>
        <w:top w:val="none" w:sz="0" w:space="0" w:color="auto"/>
        <w:left w:val="none" w:sz="0" w:space="0" w:color="auto"/>
        <w:bottom w:val="none" w:sz="0" w:space="0" w:color="auto"/>
        <w:right w:val="none" w:sz="0" w:space="0" w:color="auto"/>
      </w:divBdr>
    </w:div>
    <w:div w:id="28915767">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29038425">
      <w:bodyDiv w:val="1"/>
      <w:marLeft w:val="0"/>
      <w:marRight w:val="0"/>
      <w:marTop w:val="0"/>
      <w:marBottom w:val="0"/>
      <w:divBdr>
        <w:top w:val="none" w:sz="0" w:space="0" w:color="auto"/>
        <w:left w:val="none" w:sz="0" w:space="0" w:color="auto"/>
        <w:bottom w:val="none" w:sz="0" w:space="0" w:color="auto"/>
        <w:right w:val="none" w:sz="0" w:space="0" w:color="auto"/>
      </w:divBdr>
    </w:div>
    <w:div w:id="29571827">
      <w:bodyDiv w:val="1"/>
      <w:marLeft w:val="0"/>
      <w:marRight w:val="0"/>
      <w:marTop w:val="0"/>
      <w:marBottom w:val="0"/>
      <w:divBdr>
        <w:top w:val="none" w:sz="0" w:space="0" w:color="auto"/>
        <w:left w:val="none" w:sz="0" w:space="0" w:color="auto"/>
        <w:bottom w:val="none" w:sz="0" w:space="0" w:color="auto"/>
        <w:right w:val="none" w:sz="0" w:space="0" w:color="auto"/>
      </w:divBdr>
    </w:div>
    <w:div w:id="30766657">
      <w:bodyDiv w:val="1"/>
      <w:marLeft w:val="0"/>
      <w:marRight w:val="0"/>
      <w:marTop w:val="0"/>
      <w:marBottom w:val="0"/>
      <w:divBdr>
        <w:top w:val="none" w:sz="0" w:space="0" w:color="auto"/>
        <w:left w:val="none" w:sz="0" w:space="0" w:color="auto"/>
        <w:bottom w:val="none" w:sz="0" w:space="0" w:color="auto"/>
        <w:right w:val="none" w:sz="0" w:space="0" w:color="auto"/>
      </w:divBdr>
    </w:div>
    <w:div w:id="31225585">
      <w:bodyDiv w:val="1"/>
      <w:marLeft w:val="0"/>
      <w:marRight w:val="0"/>
      <w:marTop w:val="0"/>
      <w:marBottom w:val="0"/>
      <w:divBdr>
        <w:top w:val="none" w:sz="0" w:space="0" w:color="auto"/>
        <w:left w:val="none" w:sz="0" w:space="0" w:color="auto"/>
        <w:bottom w:val="none" w:sz="0" w:space="0" w:color="auto"/>
        <w:right w:val="none" w:sz="0" w:space="0" w:color="auto"/>
      </w:divBdr>
    </w:div>
    <w:div w:id="31275992">
      <w:bodyDiv w:val="1"/>
      <w:marLeft w:val="0"/>
      <w:marRight w:val="0"/>
      <w:marTop w:val="0"/>
      <w:marBottom w:val="0"/>
      <w:divBdr>
        <w:top w:val="none" w:sz="0" w:space="0" w:color="auto"/>
        <w:left w:val="none" w:sz="0" w:space="0" w:color="auto"/>
        <w:bottom w:val="none" w:sz="0" w:space="0" w:color="auto"/>
        <w:right w:val="none" w:sz="0" w:space="0" w:color="auto"/>
      </w:divBdr>
    </w:div>
    <w:div w:id="31813096">
      <w:bodyDiv w:val="1"/>
      <w:marLeft w:val="0"/>
      <w:marRight w:val="0"/>
      <w:marTop w:val="0"/>
      <w:marBottom w:val="0"/>
      <w:divBdr>
        <w:top w:val="none" w:sz="0" w:space="0" w:color="auto"/>
        <w:left w:val="none" w:sz="0" w:space="0" w:color="auto"/>
        <w:bottom w:val="none" w:sz="0" w:space="0" w:color="auto"/>
        <w:right w:val="none" w:sz="0" w:space="0" w:color="auto"/>
      </w:divBdr>
    </w:div>
    <w:div w:id="32199760">
      <w:bodyDiv w:val="1"/>
      <w:marLeft w:val="0"/>
      <w:marRight w:val="0"/>
      <w:marTop w:val="0"/>
      <w:marBottom w:val="0"/>
      <w:divBdr>
        <w:top w:val="none" w:sz="0" w:space="0" w:color="auto"/>
        <w:left w:val="none" w:sz="0" w:space="0" w:color="auto"/>
        <w:bottom w:val="none" w:sz="0" w:space="0" w:color="auto"/>
        <w:right w:val="none" w:sz="0" w:space="0" w:color="auto"/>
      </w:divBdr>
    </w:div>
    <w:div w:id="32388663">
      <w:bodyDiv w:val="1"/>
      <w:marLeft w:val="0"/>
      <w:marRight w:val="0"/>
      <w:marTop w:val="0"/>
      <w:marBottom w:val="0"/>
      <w:divBdr>
        <w:top w:val="none" w:sz="0" w:space="0" w:color="auto"/>
        <w:left w:val="none" w:sz="0" w:space="0" w:color="auto"/>
        <w:bottom w:val="none" w:sz="0" w:space="0" w:color="auto"/>
        <w:right w:val="none" w:sz="0" w:space="0" w:color="auto"/>
      </w:divBdr>
    </w:div>
    <w:div w:id="33117860">
      <w:bodyDiv w:val="1"/>
      <w:marLeft w:val="0"/>
      <w:marRight w:val="0"/>
      <w:marTop w:val="0"/>
      <w:marBottom w:val="0"/>
      <w:divBdr>
        <w:top w:val="none" w:sz="0" w:space="0" w:color="auto"/>
        <w:left w:val="none" w:sz="0" w:space="0" w:color="auto"/>
        <w:bottom w:val="none" w:sz="0" w:space="0" w:color="auto"/>
        <w:right w:val="none" w:sz="0" w:space="0" w:color="auto"/>
      </w:divBdr>
    </w:div>
    <w:div w:id="33313291">
      <w:bodyDiv w:val="1"/>
      <w:marLeft w:val="0"/>
      <w:marRight w:val="0"/>
      <w:marTop w:val="0"/>
      <w:marBottom w:val="0"/>
      <w:divBdr>
        <w:top w:val="none" w:sz="0" w:space="0" w:color="auto"/>
        <w:left w:val="none" w:sz="0" w:space="0" w:color="auto"/>
        <w:bottom w:val="none" w:sz="0" w:space="0" w:color="auto"/>
        <w:right w:val="none" w:sz="0" w:space="0" w:color="auto"/>
      </w:divBdr>
    </w:div>
    <w:div w:id="33576469">
      <w:bodyDiv w:val="1"/>
      <w:marLeft w:val="0"/>
      <w:marRight w:val="0"/>
      <w:marTop w:val="0"/>
      <w:marBottom w:val="0"/>
      <w:divBdr>
        <w:top w:val="none" w:sz="0" w:space="0" w:color="auto"/>
        <w:left w:val="none" w:sz="0" w:space="0" w:color="auto"/>
        <w:bottom w:val="none" w:sz="0" w:space="0" w:color="auto"/>
        <w:right w:val="none" w:sz="0" w:space="0" w:color="auto"/>
      </w:divBdr>
    </w:div>
    <w:div w:id="34275638">
      <w:bodyDiv w:val="1"/>
      <w:marLeft w:val="0"/>
      <w:marRight w:val="0"/>
      <w:marTop w:val="0"/>
      <w:marBottom w:val="0"/>
      <w:divBdr>
        <w:top w:val="none" w:sz="0" w:space="0" w:color="auto"/>
        <w:left w:val="none" w:sz="0" w:space="0" w:color="auto"/>
        <w:bottom w:val="none" w:sz="0" w:space="0" w:color="auto"/>
        <w:right w:val="none" w:sz="0" w:space="0" w:color="auto"/>
      </w:divBdr>
    </w:div>
    <w:div w:id="34307108">
      <w:bodyDiv w:val="1"/>
      <w:marLeft w:val="0"/>
      <w:marRight w:val="0"/>
      <w:marTop w:val="0"/>
      <w:marBottom w:val="0"/>
      <w:divBdr>
        <w:top w:val="none" w:sz="0" w:space="0" w:color="auto"/>
        <w:left w:val="none" w:sz="0" w:space="0" w:color="auto"/>
        <w:bottom w:val="none" w:sz="0" w:space="0" w:color="auto"/>
        <w:right w:val="none" w:sz="0" w:space="0" w:color="auto"/>
      </w:divBdr>
    </w:div>
    <w:div w:id="34738225">
      <w:bodyDiv w:val="1"/>
      <w:marLeft w:val="0"/>
      <w:marRight w:val="0"/>
      <w:marTop w:val="0"/>
      <w:marBottom w:val="0"/>
      <w:divBdr>
        <w:top w:val="none" w:sz="0" w:space="0" w:color="auto"/>
        <w:left w:val="none" w:sz="0" w:space="0" w:color="auto"/>
        <w:bottom w:val="none" w:sz="0" w:space="0" w:color="auto"/>
        <w:right w:val="none" w:sz="0" w:space="0" w:color="auto"/>
      </w:divBdr>
    </w:div>
    <w:div w:id="34817064">
      <w:bodyDiv w:val="1"/>
      <w:marLeft w:val="0"/>
      <w:marRight w:val="0"/>
      <w:marTop w:val="0"/>
      <w:marBottom w:val="0"/>
      <w:divBdr>
        <w:top w:val="none" w:sz="0" w:space="0" w:color="auto"/>
        <w:left w:val="none" w:sz="0" w:space="0" w:color="auto"/>
        <w:bottom w:val="none" w:sz="0" w:space="0" w:color="auto"/>
        <w:right w:val="none" w:sz="0" w:space="0" w:color="auto"/>
      </w:divBdr>
    </w:div>
    <w:div w:id="35085254">
      <w:bodyDiv w:val="1"/>
      <w:marLeft w:val="0"/>
      <w:marRight w:val="0"/>
      <w:marTop w:val="0"/>
      <w:marBottom w:val="0"/>
      <w:divBdr>
        <w:top w:val="none" w:sz="0" w:space="0" w:color="auto"/>
        <w:left w:val="none" w:sz="0" w:space="0" w:color="auto"/>
        <w:bottom w:val="none" w:sz="0" w:space="0" w:color="auto"/>
        <w:right w:val="none" w:sz="0" w:space="0" w:color="auto"/>
      </w:divBdr>
    </w:div>
    <w:div w:id="35787629">
      <w:bodyDiv w:val="1"/>
      <w:marLeft w:val="0"/>
      <w:marRight w:val="0"/>
      <w:marTop w:val="0"/>
      <w:marBottom w:val="0"/>
      <w:divBdr>
        <w:top w:val="none" w:sz="0" w:space="0" w:color="auto"/>
        <w:left w:val="none" w:sz="0" w:space="0" w:color="auto"/>
        <w:bottom w:val="none" w:sz="0" w:space="0" w:color="auto"/>
        <w:right w:val="none" w:sz="0" w:space="0" w:color="auto"/>
      </w:divBdr>
    </w:div>
    <w:div w:id="36005074">
      <w:bodyDiv w:val="1"/>
      <w:marLeft w:val="0"/>
      <w:marRight w:val="0"/>
      <w:marTop w:val="0"/>
      <w:marBottom w:val="0"/>
      <w:divBdr>
        <w:top w:val="none" w:sz="0" w:space="0" w:color="auto"/>
        <w:left w:val="none" w:sz="0" w:space="0" w:color="auto"/>
        <w:bottom w:val="none" w:sz="0" w:space="0" w:color="auto"/>
        <w:right w:val="none" w:sz="0" w:space="0" w:color="auto"/>
      </w:divBdr>
    </w:div>
    <w:div w:id="36055109">
      <w:bodyDiv w:val="1"/>
      <w:marLeft w:val="0"/>
      <w:marRight w:val="0"/>
      <w:marTop w:val="0"/>
      <w:marBottom w:val="0"/>
      <w:divBdr>
        <w:top w:val="none" w:sz="0" w:space="0" w:color="auto"/>
        <w:left w:val="none" w:sz="0" w:space="0" w:color="auto"/>
        <w:bottom w:val="none" w:sz="0" w:space="0" w:color="auto"/>
        <w:right w:val="none" w:sz="0" w:space="0" w:color="auto"/>
      </w:divBdr>
    </w:div>
    <w:div w:id="36249630">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435139">
      <w:bodyDiv w:val="1"/>
      <w:marLeft w:val="0"/>
      <w:marRight w:val="0"/>
      <w:marTop w:val="0"/>
      <w:marBottom w:val="0"/>
      <w:divBdr>
        <w:top w:val="none" w:sz="0" w:space="0" w:color="auto"/>
        <w:left w:val="none" w:sz="0" w:space="0" w:color="auto"/>
        <w:bottom w:val="none" w:sz="0" w:space="0" w:color="auto"/>
        <w:right w:val="none" w:sz="0" w:space="0" w:color="auto"/>
      </w:divBdr>
    </w:div>
    <w:div w:id="38818810">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134544">
      <w:bodyDiv w:val="1"/>
      <w:marLeft w:val="0"/>
      <w:marRight w:val="0"/>
      <w:marTop w:val="0"/>
      <w:marBottom w:val="0"/>
      <w:divBdr>
        <w:top w:val="none" w:sz="0" w:space="0" w:color="auto"/>
        <w:left w:val="none" w:sz="0" w:space="0" w:color="auto"/>
        <w:bottom w:val="none" w:sz="0" w:space="0" w:color="auto"/>
        <w:right w:val="none" w:sz="0" w:space="0" w:color="auto"/>
      </w:divBdr>
    </w:div>
    <w:div w:id="39518815">
      <w:bodyDiv w:val="1"/>
      <w:marLeft w:val="0"/>
      <w:marRight w:val="0"/>
      <w:marTop w:val="0"/>
      <w:marBottom w:val="0"/>
      <w:divBdr>
        <w:top w:val="none" w:sz="0" w:space="0" w:color="auto"/>
        <w:left w:val="none" w:sz="0" w:space="0" w:color="auto"/>
        <w:bottom w:val="none" w:sz="0" w:space="0" w:color="auto"/>
        <w:right w:val="none" w:sz="0" w:space="0" w:color="auto"/>
      </w:divBdr>
    </w:div>
    <w:div w:id="39519790">
      <w:bodyDiv w:val="1"/>
      <w:marLeft w:val="0"/>
      <w:marRight w:val="0"/>
      <w:marTop w:val="0"/>
      <w:marBottom w:val="0"/>
      <w:divBdr>
        <w:top w:val="none" w:sz="0" w:space="0" w:color="auto"/>
        <w:left w:val="none" w:sz="0" w:space="0" w:color="auto"/>
        <w:bottom w:val="none" w:sz="0" w:space="0" w:color="auto"/>
        <w:right w:val="none" w:sz="0" w:space="0" w:color="auto"/>
      </w:divBdr>
    </w:div>
    <w:div w:id="39786866">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0398154">
      <w:bodyDiv w:val="1"/>
      <w:marLeft w:val="0"/>
      <w:marRight w:val="0"/>
      <w:marTop w:val="0"/>
      <w:marBottom w:val="0"/>
      <w:divBdr>
        <w:top w:val="none" w:sz="0" w:space="0" w:color="auto"/>
        <w:left w:val="none" w:sz="0" w:space="0" w:color="auto"/>
        <w:bottom w:val="none" w:sz="0" w:space="0" w:color="auto"/>
        <w:right w:val="none" w:sz="0" w:space="0" w:color="auto"/>
      </w:divBdr>
    </w:div>
    <w:div w:id="41439701">
      <w:bodyDiv w:val="1"/>
      <w:marLeft w:val="0"/>
      <w:marRight w:val="0"/>
      <w:marTop w:val="0"/>
      <w:marBottom w:val="0"/>
      <w:divBdr>
        <w:top w:val="none" w:sz="0" w:space="0" w:color="auto"/>
        <w:left w:val="none" w:sz="0" w:space="0" w:color="auto"/>
        <w:bottom w:val="none" w:sz="0" w:space="0" w:color="auto"/>
        <w:right w:val="none" w:sz="0" w:space="0" w:color="auto"/>
      </w:divBdr>
    </w:div>
    <w:div w:id="41515893">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602253">
      <w:bodyDiv w:val="1"/>
      <w:marLeft w:val="0"/>
      <w:marRight w:val="0"/>
      <w:marTop w:val="0"/>
      <w:marBottom w:val="0"/>
      <w:divBdr>
        <w:top w:val="none" w:sz="0" w:space="0" w:color="auto"/>
        <w:left w:val="none" w:sz="0" w:space="0" w:color="auto"/>
        <w:bottom w:val="none" w:sz="0" w:space="0" w:color="auto"/>
        <w:right w:val="none" w:sz="0" w:space="0" w:color="auto"/>
      </w:divBdr>
    </w:div>
    <w:div w:id="42604476">
      <w:bodyDiv w:val="1"/>
      <w:marLeft w:val="0"/>
      <w:marRight w:val="0"/>
      <w:marTop w:val="0"/>
      <w:marBottom w:val="0"/>
      <w:divBdr>
        <w:top w:val="none" w:sz="0" w:space="0" w:color="auto"/>
        <w:left w:val="none" w:sz="0" w:space="0" w:color="auto"/>
        <w:bottom w:val="none" w:sz="0" w:space="0" w:color="auto"/>
        <w:right w:val="none" w:sz="0" w:space="0" w:color="auto"/>
      </w:divBdr>
    </w:div>
    <w:div w:id="42678474">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3717338">
      <w:bodyDiv w:val="1"/>
      <w:marLeft w:val="0"/>
      <w:marRight w:val="0"/>
      <w:marTop w:val="0"/>
      <w:marBottom w:val="0"/>
      <w:divBdr>
        <w:top w:val="none" w:sz="0" w:space="0" w:color="auto"/>
        <w:left w:val="none" w:sz="0" w:space="0" w:color="auto"/>
        <w:bottom w:val="none" w:sz="0" w:space="0" w:color="auto"/>
        <w:right w:val="none" w:sz="0" w:space="0" w:color="auto"/>
      </w:divBdr>
    </w:div>
    <w:div w:id="43870700">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7145453">
      <w:bodyDiv w:val="1"/>
      <w:marLeft w:val="0"/>
      <w:marRight w:val="0"/>
      <w:marTop w:val="0"/>
      <w:marBottom w:val="0"/>
      <w:divBdr>
        <w:top w:val="none" w:sz="0" w:space="0" w:color="auto"/>
        <w:left w:val="none" w:sz="0" w:space="0" w:color="auto"/>
        <w:bottom w:val="none" w:sz="0" w:space="0" w:color="auto"/>
        <w:right w:val="none" w:sz="0" w:space="0" w:color="auto"/>
      </w:divBdr>
    </w:div>
    <w:div w:id="47841692">
      <w:bodyDiv w:val="1"/>
      <w:marLeft w:val="0"/>
      <w:marRight w:val="0"/>
      <w:marTop w:val="0"/>
      <w:marBottom w:val="0"/>
      <w:divBdr>
        <w:top w:val="none" w:sz="0" w:space="0" w:color="auto"/>
        <w:left w:val="none" w:sz="0" w:space="0" w:color="auto"/>
        <w:bottom w:val="none" w:sz="0" w:space="0" w:color="auto"/>
        <w:right w:val="none" w:sz="0" w:space="0" w:color="auto"/>
      </w:divBdr>
    </w:div>
    <w:div w:id="47995329">
      <w:bodyDiv w:val="1"/>
      <w:marLeft w:val="0"/>
      <w:marRight w:val="0"/>
      <w:marTop w:val="0"/>
      <w:marBottom w:val="0"/>
      <w:divBdr>
        <w:top w:val="none" w:sz="0" w:space="0" w:color="auto"/>
        <w:left w:val="none" w:sz="0" w:space="0" w:color="auto"/>
        <w:bottom w:val="none" w:sz="0" w:space="0" w:color="auto"/>
        <w:right w:val="none" w:sz="0" w:space="0" w:color="auto"/>
      </w:divBdr>
    </w:div>
    <w:div w:id="49808100">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000248">
      <w:bodyDiv w:val="1"/>
      <w:marLeft w:val="0"/>
      <w:marRight w:val="0"/>
      <w:marTop w:val="0"/>
      <w:marBottom w:val="0"/>
      <w:divBdr>
        <w:top w:val="none" w:sz="0" w:space="0" w:color="auto"/>
        <w:left w:val="none" w:sz="0" w:space="0" w:color="auto"/>
        <w:bottom w:val="none" w:sz="0" w:space="0" w:color="auto"/>
        <w:right w:val="none" w:sz="0" w:space="0" w:color="auto"/>
      </w:divBdr>
    </w:div>
    <w:div w:id="51077139">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1467395">
      <w:bodyDiv w:val="1"/>
      <w:marLeft w:val="0"/>
      <w:marRight w:val="0"/>
      <w:marTop w:val="0"/>
      <w:marBottom w:val="0"/>
      <w:divBdr>
        <w:top w:val="none" w:sz="0" w:space="0" w:color="auto"/>
        <w:left w:val="none" w:sz="0" w:space="0" w:color="auto"/>
        <w:bottom w:val="none" w:sz="0" w:space="0" w:color="auto"/>
        <w:right w:val="none" w:sz="0" w:space="0" w:color="auto"/>
      </w:divBdr>
    </w:div>
    <w:div w:id="51775680">
      <w:bodyDiv w:val="1"/>
      <w:marLeft w:val="0"/>
      <w:marRight w:val="0"/>
      <w:marTop w:val="0"/>
      <w:marBottom w:val="0"/>
      <w:divBdr>
        <w:top w:val="none" w:sz="0" w:space="0" w:color="auto"/>
        <w:left w:val="none" w:sz="0" w:space="0" w:color="auto"/>
        <w:bottom w:val="none" w:sz="0" w:space="0" w:color="auto"/>
        <w:right w:val="none" w:sz="0" w:space="0" w:color="auto"/>
      </w:divBdr>
    </w:div>
    <w:div w:id="51853345">
      <w:bodyDiv w:val="1"/>
      <w:marLeft w:val="0"/>
      <w:marRight w:val="0"/>
      <w:marTop w:val="0"/>
      <w:marBottom w:val="0"/>
      <w:divBdr>
        <w:top w:val="none" w:sz="0" w:space="0" w:color="auto"/>
        <w:left w:val="none" w:sz="0" w:space="0" w:color="auto"/>
        <w:bottom w:val="none" w:sz="0" w:space="0" w:color="auto"/>
        <w:right w:val="none" w:sz="0" w:space="0" w:color="auto"/>
      </w:divBdr>
    </w:div>
    <w:div w:id="52581364">
      <w:bodyDiv w:val="1"/>
      <w:marLeft w:val="0"/>
      <w:marRight w:val="0"/>
      <w:marTop w:val="0"/>
      <w:marBottom w:val="0"/>
      <w:divBdr>
        <w:top w:val="none" w:sz="0" w:space="0" w:color="auto"/>
        <w:left w:val="none" w:sz="0" w:space="0" w:color="auto"/>
        <w:bottom w:val="none" w:sz="0" w:space="0" w:color="auto"/>
        <w:right w:val="none" w:sz="0" w:space="0" w:color="auto"/>
      </w:divBdr>
    </w:div>
    <w:div w:id="52968410">
      <w:bodyDiv w:val="1"/>
      <w:marLeft w:val="0"/>
      <w:marRight w:val="0"/>
      <w:marTop w:val="0"/>
      <w:marBottom w:val="0"/>
      <w:divBdr>
        <w:top w:val="none" w:sz="0" w:space="0" w:color="auto"/>
        <w:left w:val="none" w:sz="0" w:space="0" w:color="auto"/>
        <w:bottom w:val="none" w:sz="0" w:space="0" w:color="auto"/>
        <w:right w:val="none" w:sz="0" w:space="0" w:color="auto"/>
      </w:divBdr>
    </w:div>
    <w:div w:id="53089504">
      <w:bodyDiv w:val="1"/>
      <w:marLeft w:val="0"/>
      <w:marRight w:val="0"/>
      <w:marTop w:val="0"/>
      <w:marBottom w:val="0"/>
      <w:divBdr>
        <w:top w:val="none" w:sz="0" w:space="0" w:color="auto"/>
        <w:left w:val="none" w:sz="0" w:space="0" w:color="auto"/>
        <w:bottom w:val="none" w:sz="0" w:space="0" w:color="auto"/>
        <w:right w:val="none" w:sz="0" w:space="0" w:color="auto"/>
      </w:divBdr>
    </w:div>
    <w:div w:id="54135056">
      <w:bodyDiv w:val="1"/>
      <w:marLeft w:val="0"/>
      <w:marRight w:val="0"/>
      <w:marTop w:val="0"/>
      <w:marBottom w:val="0"/>
      <w:divBdr>
        <w:top w:val="none" w:sz="0" w:space="0" w:color="auto"/>
        <w:left w:val="none" w:sz="0" w:space="0" w:color="auto"/>
        <w:bottom w:val="none" w:sz="0" w:space="0" w:color="auto"/>
        <w:right w:val="none" w:sz="0" w:space="0" w:color="auto"/>
      </w:divBdr>
    </w:div>
    <w:div w:id="54395576">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4857258">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671279">
      <w:bodyDiv w:val="1"/>
      <w:marLeft w:val="0"/>
      <w:marRight w:val="0"/>
      <w:marTop w:val="0"/>
      <w:marBottom w:val="0"/>
      <w:divBdr>
        <w:top w:val="none" w:sz="0" w:space="0" w:color="auto"/>
        <w:left w:val="none" w:sz="0" w:space="0" w:color="auto"/>
        <w:bottom w:val="none" w:sz="0" w:space="0" w:color="auto"/>
        <w:right w:val="none" w:sz="0" w:space="0" w:color="auto"/>
      </w:divBdr>
    </w:div>
    <w:div w:id="57166799">
      <w:bodyDiv w:val="1"/>
      <w:marLeft w:val="0"/>
      <w:marRight w:val="0"/>
      <w:marTop w:val="0"/>
      <w:marBottom w:val="0"/>
      <w:divBdr>
        <w:top w:val="none" w:sz="0" w:space="0" w:color="auto"/>
        <w:left w:val="none" w:sz="0" w:space="0" w:color="auto"/>
        <w:bottom w:val="none" w:sz="0" w:space="0" w:color="auto"/>
        <w:right w:val="none" w:sz="0" w:space="0" w:color="auto"/>
      </w:divBdr>
    </w:div>
    <w:div w:id="57289231">
      <w:bodyDiv w:val="1"/>
      <w:marLeft w:val="0"/>
      <w:marRight w:val="0"/>
      <w:marTop w:val="0"/>
      <w:marBottom w:val="0"/>
      <w:divBdr>
        <w:top w:val="none" w:sz="0" w:space="0" w:color="auto"/>
        <w:left w:val="none" w:sz="0" w:space="0" w:color="auto"/>
        <w:bottom w:val="none" w:sz="0" w:space="0" w:color="auto"/>
        <w:right w:val="none" w:sz="0" w:space="0" w:color="auto"/>
      </w:divBdr>
    </w:div>
    <w:div w:id="57361733">
      <w:bodyDiv w:val="1"/>
      <w:marLeft w:val="0"/>
      <w:marRight w:val="0"/>
      <w:marTop w:val="0"/>
      <w:marBottom w:val="0"/>
      <w:divBdr>
        <w:top w:val="none" w:sz="0" w:space="0" w:color="auto"/>
        <w:left w:val="none" w:sz="0" w:space="0" w:color="auto"/>
        <w:bottom w:val="none" w:sz="0" w:space="0" w:color="auto"/>
        <w:right w:val="none" w:sz="0" w:space="0" w:color="auto"/>
      </w:divBdr>
    </w:div>
    <w:div w:id="57633008">
      <w:bodyDiv w:val="1"/>
      <w:marLeft w:val="0"/>
      <w:marRight w:val="0"/>
      <w:marTop w:val="0"/>
      <w:marBottom w:val="0"/>
      <w:divBdr>
        <w:top w:val="none" w:sz="0" w:space="0" w:color="auto"/>
        <w:left w:val="none" w:sz="0" w:space="0" w:color="auto"/>
        <w:bottom w:val="none" w:sz="0" w:space="0" w:color="auto"/>
        <w:right w:val="none" w:sz="0" w:space="0" w:color="auto"/>
      </w:divBdr>
    </w:div>
    <w:div w:id="576780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141224">
      <w:bodyDiv w:val="1"/>
      <w:marLeft w:val="0"/>
      <w:marRight w:val="0"/>
      <w:marTop w:val="0"/>
      <w:marBottom w:val="0"/>
      <w:divBdr>
        <w:top w:val="none" w:sz="0" w:space="0" w:color="auto"/>
        <w:left w:val="none" w:sz="0" w:space="0" w:color="auto"/>
        <w:bottom w:val="none" w:sz="0" w:space="0" w:color="auto"/>
        <w:right w:val="none" w:sz="0" w:space="0" w:color="auto"/>
      </w:divBdr>
    </w:div>
    <w:div w:id="58405435">
      <w:bodyDiv w:val="1"/>
      <w:marLeft w:val="0"/>
      <w:marRight w:val="0"/>
      <w:marTop w:val="0"/>
      <w:marBottom w:val="0"/>
      <w:divBdr>
        <w:top w:val="none" w:sz="0" w:space="0" w:color="auto"/>
        <w:left w:val="none" w:sz="0" w:space="0" w:color="auto"/>
        <w:bottom w:val="none" w:sz="0" w:space="0" w:color="auto"/>
        <w:right w:val="none" w:sz="0" w:space="0" w:color="auto"/>
      </w:divBdr>
    </w:div>
    <w:div w:id="59137959">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326594">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59407640">
      <w:bodyDiv w:val="1"/>
      <w:marLeft w:val="0"/>
      <w:marRight w:val="0"/>
      <w:marTop w:val="0"/>
      <w:marBottom w:val="0"/>
      <w:divBdr>
        <w:top w:val="none" w:sz="0" w:space="0" w:color="auto"/>
        <w:left w:val="none" w:sz="0" w:space="0" w:color="auto"/>
        <w:bottom w:val="none" w:sz="0" w:space="0" w:color="auto"/>
        <w:right w:val="none" w:sz="0" w:space="0" w:color="auto"/>
      </w:divBdr>
    </w:div>
    <w:div w:id="59712119">
      <w:bodyDiv w:val="1"/>
      <w:marLeft w:val="0"/>
      <w:marRight w:val="0"/>
      <w:marTop w:val="0"/>
      <w:marBottom w:val="0"/>
      <w:divBdr>
        <w:top w:val="none" w:sz="0" w:space="0" w:color="auto"/>
        <w:left w:val="none" w:sz="0" w:space="0" w:color="auto"/>
        <w:bottom w:val="none" w:sz="0" w:space="0" w:color="auto"/>
        <w:right w:val="none" w:sz="0" w:space="0" w:color="auto"/>
      </w:divBdr>
    </w:div>
    <w:div w:id="60098538">
      <w:bodyDiv w:val="1"/>
      <w:marLeft w:val="0"/>
      <w:marRight w:val="0"/>
      <w:marTop w:val="0"/>
      <w:marBottom w:val="0"/>
      <w:divBdr>
        <w:top w:val="none" w:sz="0" w:space="0" w:color="auto"/>
        <w:left w:val="none" w:sz="0" w:space="0" w:color="auto"/>
        <w:bottom w:val="none" w:sz="0" w:space="0" w:color="auto"/>
        <w:right w:val="none" w:sz="0" w:space="0" w:color="auto"/>
      </w:divBdr>
    </w:div>
    <w:div w:id="60373914">
      <w:bodyDiv w:val="1"/>
      <w:marLeft w:val="0"/>
      <w:marRight w:val="0"/>
      <w:marTop w:val="0"/>
      <w:marBottom w:val="0"/>
      <w:divBdr>
        <w:top w:val="none" w:sz="0" w:space="0" w:color="auto"/>
        <w:left w:val="none" w:sz="0" w:space="0" w:color="auto"/>
        <w:bottom w:val="none" w:sz="0" w:space="0" w:color="auto"/>
        <w:right w:val="none" w:sz="0" w:space="0" w:color="auto"/>
      </w:divBdr>
    </w:div>
    <w:div w:id="60443225">
      <w:bodyDiv w:val="1"/>
      <w:marLeft w:val="0"/>
      <w:marRight w:val="0"/>
      <w:marTop w:val="0"/>
      <w:marBottom w:val="0"/>
      <w:divBdr>
        <w:top w:val="none" w:sz="0" w:space="0" w:color="auto"/>
        <w:left w:val="none" w:sz="0" w:space="0" w:color="auto"/>
        <w:bottom w:val="none" w:sz="0" w:space="0" w:color="auto"/>
        <w:right w:val="none" w:sz="0" w:space="0" w:color="auto"/>
      </w:divBdr>
    </w:div>
    <w:div w:id="60712455">
      <w:bodyDiv w:val="1"/>
      <w:marLeft w:val="0"/>
      <w:marRight w:val="0"/>
      <w:marTop w:val="0"/>
      <w:marBottom w:val="0"/>
      <w:divBdr>
        <w:top w:val="none" w:sz="0" w:space="0" w:color="auto"/>
        <w:left w:val="none" w:sz="0" w:space="0" w:color="auto"/>
        <w:bottom w:val="none" w:sz="0" w:space="0" w:color="auto"/>
        <w:right w:val="none" w:sz="0" w:space="0" w:color="auto"/>
      </w:divBdr>
    </w:div>
    <w:div w:id="60837069">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0910555">
      <w:bodyDiv w:val="1"/>
      <w:marLeft w:val="0"/>
      <w:marRight w:val="0"/>
      <w:marTop w:val="0"/>
      <w:marBottom w:val="0"/>
      <w:divBdr>
        <w:top w:val="none" w:sz="0" w:space="0" w:color="auto"/>
        <w:left w:val="none" w:sz="0" w:space="0" w:color="auto"/>
        <w:bottom w:val="none" w:sz="0" w:space="0" w:color="auto"/>
        <w:right w:val="none" w:sz="0" w:space="0" w:color="auto"/>
      </w:divBdr>
    </w:div>
    <w:div w:id="61343289">
      <w:bodyDiv w:val="1"/>
      <w:marLeft w:val="0"/>
      <w:marRight w:val="0"/>
      <w:marTop w:val="0"/>
      <w:marBottom w:val="0"/>
      <w:divBdr>
        <w:top w:val="none" w:sz="0" w:space="0" w:color="auto"/>
        <w:left w:val="none" w:sz="0" w:space="0" w:color="auto"/>
        <w:bottom w:val="none" w:sz="0" w:space="0" w:color="auto"/>
        <w:right w:val="none" w:sz="0" w:space="0" w:color="auto"/>
      </w:divBdr>
    </w:div>
    <w:div w:id="61677864">
      <w:bodyDiv w:val="1"/>
      <w:marLeft w:val="0"/>
      <w:marRight w:val="0"/>
      <w:marTop w:val="0"/>
      <w:marBottom w:val="0"/>
      <w:divBdr>
        <w:top w:val="none" w:sz="0" w:space="0" w:color="auto"/>
        <w:left w:val="none" w:sz="0" w:space="0" w:color="auto"/>
        <w:bottom w:val="none" w:sz="0" w:space="0" w:color="auto"/>
        <w:right w:val="none" w:sz="0" w:space="0" w:color="auto"/>
      </w:divBdr>
    </w:div>
    <w:div w:id="62458112">
      <w:bodyDiv w:val="1"/>
      <w:marLeft w:val="0"/>
      <w:marRight w:val="0"/>
      <w:marTop w:val="0"/>
      <w:marBottom w:val="0"/>
      <w:divBdr>
        <w:top w:val="none" w:sz="0" w:space="0" w:color="auto"/>
        <w:left w:val="none" w:sz="0" w:space="0" w:color="auto"/>
        <w:bottom w:val="none" w:sz="0" w:space="0" w:color="auto"/>
        <w:right w:val="none" w:sz="0" w:space="0" w:color="auto"/>
      </w:divBdr>
    </w:div>
    <w:div w:id="6260237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14154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5699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654404">
      <w:bodyDiv w:val="1"/>
      <w:marLeft w:val="0"/>
      <w:marRight w:val="0"/>
      <w:marTop w:val="0"/>
      <w:marBottom w:val="0"/>
      <w:divBdr>
        <w:top w:val="none" w:sz="0" w:space="0" w:color="auto"/>
        <w:left w:val="none" w:sz="0" w:space="0" w:color="auto"/>
        <w:bottom w:val="none" w:sz="0" w:space="0" w:color="auto"/>
        <w:right w:val="none" w:sz="0" w:space="0" w:color="auto"/>
      </w:divBdr>
    </w:div>
    <w:div w:id="67196797">
      <w:bodyDiv w:val="1"/>
      <w:marLeft w:val="0"/>
      <w:marRight w:val="0"/>
      <w:marTop w:val="0"/>
      <w:marBottom w:val="0"/>
      <w:divBdr>
        <w:top w:val="none" w:sz="0" w:space="0" w:color="auto"/>
        <w:left w:val="none" w:sz="0" w:space="0" w:color="auto"/>
        <w:bottom w:val="none" w:sz="0" w:space="0" w:color="auto"/>
        <w:right w:val="none" w:sz="0" w:space="0" w:color="auto"/>
      </w:divBdr>
    </w:div>
    <w:div w:id="67895298">
      <w:bodyDiv w:val="1"/>
      <w:marLeft w:val="0"/>
      <w:marRight w:val="0"/>
      <w:marTop w:val="0"/>
      <w:marBottom w:val="0"/>
      <w:divBdr>
        <w:top w:val="none" w:sz="0" w:space="0" w:color="auto"/>
        <w:left w:val="none" w:sz="0" w:space="0" w:color="auto"/>
        <w:bottom w:val="none" w:sz="0" w:space="0" w:color="auto"/>
        <w:right w:val="none" w:sz="0" w:space="0" w:color="auto"/>
      </w:divBdr>
    </w:div>
    <w:div w:id="68121929">
      <w:bodyDiv w:val="1"/>
      <w:marLeft w:val="0"/>
      <w:marRight w:val="0"/>
      <w:marTop w:val="0"/>
      <w:marBottom w:val="0"/>
      <w:divBdr>
        <w:top w:val="none" w:sz="0" w:space="0" w:color="auto"/>
        <w:left w:val="none" w:sz="0" w:space="0" w:color="auto"/>
        <w:bottom w:val="none" w:sz="0" w:space="0" w:color="auto"/>
        <w:right w:val="none" w:sz="0" w:space="0" w:color="auto"/>
      </w:divBdr>
    </w:div>
    <w:div w:id="68819409">
      <w:bodyDiv w:val="1"/>
      <w:marLeft w:val="0"/>
      <w:marRight w:val="0"/>
      <w:marTop w:val="0"/>
      <w:marBottom w:val="0"/>
      <w:divBdr>
        <w:top w:val="none" w:sz="0" w:space="0" w:color="auto"/>
        <w:left w:val="none" w:sz="0" w:space="0" w:color="auto"/>
        <w:bottom w:val="none" w:sz="0" w:space="0" w:color="auto"/>
        <w:right w:val="none" w:sz="0" w:space="0" w:color="auto"/>
      </w:divBdr>
    </w:div>
    <w:div w:id="69011496">
      <w:bodyDiv w:val="1"/>
      <w:marLeft w:val="0"/>
      <w:marRight w:val="0"/>
      <w:marTop w:val="0"/>
      <w:marBottom w:val="0"/>
      <w:divBdr>
        <w:top w:val="none" w:sz="0" w:space="0" w:color="auto"/>
        <w:left w:val="none" w:sz="0" w:space="0" w:color="auto"/>
        <w:bottom w:val="none" w:sz="0" w:space="0" w:color="auto"/>
        <w:right w:val="none" w:sz="0" w:space="0" w:color="auto"/>
      </w:divBdr>
    </w:div>
    <w:div w:id="69036256">
      <w:bodyDiv w:val="1"/>
      <w:marLeft w:val="0"/>
      <w:marRight w:val="0"/>
      <w:marTop w:val="0"/>
      <w:marBottom w:val="0"/>
      <w:divBdr>
        <w:top w:val="none" w:sz="0" w:space="0" w:color="auto"/>
        <w:left w:val="none" w:sz="0" w:space="0" w:color="auto"/>
        <w:bottom w:val="none" w:sz="0" w:space="0" w:color="auto"/>
        <w:right w:val="none" w:sz="0" w:space="0" w:color="auto"/>
      </w:divBdr>
    </w:div>
    <w:div w:id="69154909">
      <w:bodyDiv w:val="1"/>
      <w:marLeft w:val="0"/>
      <w:marRight w:val="0"/>
      <w:marTop w:val="0"/>
      <w:marBottom w:val="0"/>
      <w:divBdr>
        <w:top w:val="none" w:sz="0" w:space="0" w:color="auto"/>
        <w:left w:val="none" w:sz="0" w:space="0" w:color="auto"/>
        <w:bottom w:val="none" w:sz="0" w:space="0" w:color="auto"/>
        <w:right w:val="none" w:sz="0" w:space="0" w:color="auto"/>
      </w:divBdr>
    </w:div>
    <w:div w:id="69161093">
      <w:bodyDiv w:val="1"/>
      <w:marLeft w:val="0"/>
      <w:marRight w:val="0"/>
      <w:marTop w:val="0"/>
      <w:marBottom w:val="0"/>
      <w:divBdr>
        <w:top w:val="none" w:sz="0" w:space="0" w:color="auto"/>
        <w:left w:val="none" w:sz="0" w:space="0" w:color="auto"/>
        <w:bottom w:val="none" w:sz="0" w:space="0" w:color="auto"/>
        <w:right w:val="none" w:sz="0" w:space="0" w:color="auto"/>
      </w:divBdr>
    </w:div>
    <w:div w:id="69697369">
      <w:bodyDiv w:val="1"/>
      <w:marLeft w:val="0"/>
      <w:marRight w:val="0"/>
      <w:marTop w:val="0"/>
      <w:marBottom w:val="0"/>
      <w:divBdr>
        <w:top w:val="none" w:sz="0" w:space="0" w:color="auto"/>
        <w:left w:val="none" w:sz="0" w:space="0" w:color="auto"/>
        <w:bottom w:val="none" w:sz="0" w:space="0" w:color="auto"/>
        <w:right w:val="none" w:sz="0" w:space="0" w:color="auto"/>
      </w:divBdr>
    </w:div>
    <w:div w:id="69889653">
      <w:bodyDiv w:val="1"/>
      <w:marLeft w:val="0"/>
      <w:marRight w:val="0"/>
      <w:marTop w:val="0"/>
      <w:marBottom w:val="0"/>
      <w:divBdr>
        <w:top w:val="none" w:sz="0" w:space="0" w:color="auto"/>
        <w:left w:val="none" w:sz="0" w:space="0" w:color="auto"/>
        <w:bottom w:val="none" w:sz="0" w:space="0" w:color="auto"/>
        <w:right w:val="none" w:sz="0" w:space="0" w:color="auto"/>
      </w:divBdr>
    </w:div>
    <w:div w:id="70781883">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3552690">
      <w:bodyDiv w:val="1"/>
      <w:marLeft w:val="0"/>
      <w:marRight w:val="0"/>
      <w:marTop w:val="0"/>
      <w:marBottom w:val="0"/>
      <w:divBdr>
        <w:top w:val="none" w:sz="0" w:space="0" w:color="auto"/>
        <w:left w:val="none" w:sz="0" w:space="0" w:color="auto"/>
        <w:bottom w:val="none" w:sz="0" w:space="0" w:color="auto"/>
        <w:right w:val="none" w:sz="0" w:space="0" w:color="auto"/>
      </w:divBdr>
    </w:div>
    <w:div w:id="74012478">
      <w:bodyDiv w:val="1"/>
      <w:marLeft w:val="0"/>
      <w:marRight w:val="0"/>
      <w:marTop w:val="0"/>
      <w:marBottom w:val="0"/>
      <w:divBdr>
        <w:top w:val="none" w:sz="0" w:space="0" w:color="auto"/>
        <w:left w:val="none" w:sz="0" w:space="0" w:color="auto"/>
        <w:bottom w:val="none" w:sz="0" w:space="0" w:color="auto"/>
        <w:right w:val="none" w:sz="0" w:space="0" w:color="auto"/>
      </w:divBdr>
    </w:div>
    <w:div w:id="74055900">
      <w:bodyDiv w:val="1"/>
      <w:marLeft w:val="0"/>
      <w:marRight w:val="0"/>
      <w:marTop w:val="0"/>
      <w:marBottom w:val="0"/>
      <w:divBdr>
        <w:top w:val="none" w:sz="0" w:space="0" w:color="auto"/>
        <w:left w:val="none" w:sz="0" w:space="0" w:color="auto"/>
        <w:bottom w:val="none" w:sz="0" w:space="0" w:color="auto"/>
        <w:right w:val="none" w:sz="0" w:space="0" w:color="auto"/>
      </w:divBdr>
    </w:div>
    <w:div w:id="74863566">
      <w:bodyDiv w:val="1"/>
      <w:marLeft w:val="0"/>
      <w:marRight w:val="0"/>
      <w:marTop w:val="0"/>
      <w:marBottom w:val="0"/>
      <w:divBdr>
        <w:top w:val="none" w:sz="0" w:space="0" w:color="auto"/>
        <w:left w:val="none" w:sz="0" w:space="0" w:color="auto"/>
        <w:bottom w:val="none" w:sz="0" w:space="0" w:color="auto"/>
        <w:right w:val="none" w:sz="0" w:space="0" w:color="auto"/>
      </w:divBdr>
    </w:div>
    <w:div w:id="75640539">
      <w:bodyDiv w:val="1"/>
      <w:marLeft w:val="0"/>
      <w:marRight w:val="0"/>
      <w:marTop w:val="0"/>
      <w:marBottom w:val="0"/>
      <w:divBdr>
        <w:top w:val="none" w:sz="0" w:space="0" w:color="auto"/>
        <w:left w:val="none" w:sz="0" w:space="0" w:color="auto"/>
        <w:bottom w:val="none" w:sz="0" w:space="0" w:color="auto"/>
        <w:right w:val="none" w:sz="0" w:space="0" w:color="auto"/>
      </w:divBdr>
    </w:div>
    <w:div w:id="75983603">
      <w:bodyDiv w:val="1"/>
      <w:marLeft w:val="0"/>
      <w:marRight w:val="0"/>
      <w:marTop w:val="0"/>
      <w:marBottom w:val="0"/>
      <w:divBdr>
        <w:top w:val="none" w:sz="0" w:space="0" w:color="auto"/>
        <w:left w:val="none" w:sz="0" w:space="0" w:color="auto"/>
        <w:bottom w:val="none" w:sz="0" w:space="0" w:color="auto"/>
        <w:right w:val="none" w:sz="0" w:space="0" w:color="auto"/>
      </w:divBdr>
    </w:div>
    <w:div w:id="77141803">
      <w:bodyDiv w:val="1"/>
      <w:marLeft w:val="0"/>
      <w:marRight w:val="0"/>
      <w:marTop w:val="0"/>
      <w:marBottom w:val="0"/>
      <w:divBdr>
        <w:top w:val="none" w:sz="0" w:space="0" w:color="auto"/>
        <w:left w:val="none" w:sz="0" w:space="0" w:color="auto"/>
        <w:bottom w:val="none" w:sz="0" w:space="0" w:color="auto"/>
        <w:right w:val="none" w:sz="0" w:space="0" w:color="auto"/>
      </w:divBdr>
    </w:div>
    <w:div w:id="77219052">
      <w:bodyDiv w:val="1"/>
      <w:marLeft w:val="0"/>
      <w:marRight w:val="0"/>
      <w:marTop w:val="0"/>
      <w:marBottom w:val="0"/>
      <w:divBdr>
        <w:top w:val="none" w:sz="0" w:space="0" w:color="auto"/>
        <w:left w:val="none" w:sz="0" w:space="0" w:color="auto"/>
        <w:bottom w:val="none" w:sz="0" w:space="0" w:color="auto"/>
        <w:right w:val="none" w:sz="0" w:space="0" w:color="auto"/>
      </w:divBdr>
    </w:div>
    <w:div w:id="77292318">
      <w:bodyDiv w:val="1"/>
      <w:marLeft w:val="0"/>
      <w:marRight w:val="0"/>
      <w:marTop w:val="0"/>
      <w:marBottom w:val="0"/>
      <w:divBdr>
        <w:top w:val="none" w:sz="0" w:space="0" w:color="auto"/>
        <w:left w:val="none" w:sz="0" w:space="0" w:color="auto"/>
        <w:bottom w:val="none" w:sz="0" w:space="0" w:color="auto"/>
        <w:right w:val="none" w:sz="0" w:space="0" w:color="auto"/>
      </w:divBdr>
    </w:div>
    <w:div w:id="77334753">
      <w:bodyDiv w:val="1"/>
      <w:marLeft w:val="0"/>
      <w:marRight w:val="0"/>
      <w:marTop w:val="0"/>
      <w:marBottom w:val="0"/>
      <w:divBdr>
        <w:top w:val="none" w:sz="0" w:space="0" w:color="auto"/>
        <w:left w:val="none" w:sz="0" w:space="0" w:color="auto"/>
        <w:bottom w:val="none" w:sz="0" w:space="0" w:color="auto"/>
        <w:right w:val="none" w:sz="0" w:space="0" w:color="auto"/>
      </w:divBdr>
    </w:div>
    <w:div w:id="78336292">
      <w:bodyDiv w:val="1"/>
      <w:marLeft w:val="0"/>
      <w:marRight w:val="0"/>
      <w:marTop w:val="0"/>
      <w:marBottom w:val="0"/>
      <w:divBdr>
        <w:top w:val="none" w:sz="0" w:space="0" w:color="auto"/>
        <w:left w:val="none" w:sz="0" w:space="0" w:color="auto"/>
        <w:bottom w:val="none" w:sz="0" w:space="0" w:color="auto"/>
        <w:right w:val="none" w:sz="0" w:space="0" w:color="auto"/>
      </w:divBdr>
    </w:div>
    <w:div w:id="78412186">
      <w:bodyDiv w:val="1"/>
      <w:marLeft w:val="0"/>
      <w:marRight w:val="0"/>
      <w:marTop w:val="0"/>
      <w:marBottom w:val="0"/>
      <w:divBdr>
        <w:top w:val="none" w:sz="0" w:space="0" w:color="auto"/>
        <w:left w:val="none" w:sz="0" w:space="0" w:color="auto"/>
        <w:bottom w:val="none" w:sz="0" w:space="0" w:color="auto"/>
        <w:right w:val="none" w:sz="0" w:space="0" w:color="auto"/>
      </w:divBdr>
    </w:div>
    <w:div w:id="79376991">
      <w:bodyDiv w:val="1"/>
      <w:marLeft w:val="0"/>
      <w:marRight w:val="0"/>
      <w:marTop w:val="0"/>
      <w:marBottom w:val="0"/>
      <w:divBdr>
        <w:top w:val="none" w:sz="0" w:space="0" w:color="auto"/>
        <w:left w:val="none" w:sz="0" w:space="0" w:color="auto"/>
        <w:bottom w:val="none" w:sz="0" w:space="0" w:color="auto"/>
        <w:right w:val="none" w:sz="0" w:space="0" w:color="auto"/>
      </w:divBdr>
    </w:div>
    <w:div w:id="79451692">
      <w:bodyDiv w:val="1"/>
      <w:marLeft w:val="0"/>
      <w:marRight w:val="0"/>
      <w:marTop w:val="0"/>
      <w:marBottom w:val="0"/>
      <w:divBdr>
        <w:top w:val="none" w:sz="0" w:space="0" w:color="auto"/>
        <w:left w:val="none" w:sz="0" w:space="0" w:color="auto"/>
        <w:bottom w:val="none" w:sz="0" w:space="0" w:color="auto"/>
        <w:right w:val="none" w:sz="0" w:space="0" w:color="auto"/>
      </w:divBdr>
    </w:div>
    <w:div w:id="79718838">
      <w:bodyDiv w:val="1"/>
      <w:marLeft w:val="0"/>
      <w:marRight w:val="0"/>
      <w:marTop w:val="0"/>
      <w:marBottom w:val="0"/>
      <w:divBdr>
        <w:top w:val="none" w:sz="0" w:space="0" w:color="auto"/>
        <w:left w:val="none" w:sz="0" w:space="0" w:color="auto"/>
        <w:bottom w:val="none" w:sz="0" w:space="0" w:color="auto"/>
        <w:right w:val="none" w:sz="0" w:space="0" w:color="auto"/>
      </w:divBdr>
    </w:div>
    <w:div w:id="80025428">
      <w:bodyDiv w:val="1"/>
      <w:marLeft w:val="0"/>
      <w:marRight w:val="0"/>
      <w:marTop w:val="0"/>
      <w:marBottom w:val="0"/>
      <w:divBdr>
        <w:top w:val="none" w:sz="0" w:space="0" w:color="auto"/>
        <w:left w:val="none" w:sz="0" w:space="0" w:color="auto"/>
        <w:bottom w:val="none" w:sz="0" w:space="0" w:color="auto"/>
        <w:right w:val="none" w:sz="0" w:space="0" w:color="auto"/>
      </w:divBdr>
    </w:div>
    <w:div w:id="80178345">
      <w:bodyDiv w:val="1"/>
      <w:marLeft w:val="0"/>
      <w:marRight w:val="0"/>
      <w:marTop w:val="0"/>
      <w:marBottom w:val="0"/>
      <w:divBdr>
        <w:top w:val="none" w:sz="0" w:space="0" w:color="auto"/>
        <w:left w:val="none" w:sz="0" w:space="0" w:color="auto"/>
        <w:bottom w:val="none" w:sz="0" w:space="0" w:color="auto"/>
        <w:right w:val="none" w:sz="0" w:space="0" w:color="auto"/>
      </w:divBdr>
    </w:div>
    <w:div w:id="80378486">
      <w:bodyDiv w:val="1"/>
      <w:marLeft w:val="0"/>
      <w:marRight w:val="0"/>
      <w:marTop w:val="0"/>
      <w:marBottom w:val="0"/>
      <w:divBdr>
        <w:top w:val="none" w:sz="0" w:space="0" w:color="auto"/>
        <w:left w:val="none" w:sz="0" w:space="0" w:color="auto"/>
        <w:bottom w:val="none" w:sz="0" w:space="0" w:color="auto"/>
        <w:right w:val="none" w:sz="0" w:space="0" w:color="auto"/>
      </w:divBdr>
      <w:divsChild>
        <w:div w:id="343097552">
          <w:marLeft w:val="0"/>
          <w:marRight w:val="0"/>
          <w:marTop w:val="0"/>
          <w:marBottom w:val="0"/>
          <w:divBdr>
            <w:top w:val="none" w:sz="0" w:space="0" w:color="auto"/>
            <w:left w:val="none" w:sz="0" w:space="0" w:color="auto"/>
            <w:bottom w:val="none" w:sz="0" w:space="0" w:color="auto"/>
            <w:right w:val="none" w:sz="0" w:space="0" w:color="auto"/>
          </w:divBdr>
        </w:div>
      </w:divsChild>
    </w:div>
    <w:div w:id="80496002">
      <w:bodyDiv w:val="1"/>
      <w:marLeft w:val="0"/>
      <w:marRight w:val="0"/>
      <w:marTop w:val="0"/>
      <w:marBottom w:val="0"/>
      <w:divBdr>
        <w:top w:val="none" w:sz="0" w:space="0" w:color="auto"/>
        <w:left w:val="none" w:sz="0" w:space="0" w:color="auto"/>
        <w:bottom w:val="none" w:sz="0" w:space="0" w:color="auto"/>
        <w:right w:val="none" w:sz="0" w:space="0" w:color="auto"/>
      </w:divBdr>
    </w:div>
    <w:div w:id="80571788">
      <w:bodyDiv w:val="1"/>
      <w:marLeft w:val="0"/>
      <w:marRight w:val="0"/>
      <w:marTop w:val="0"/>
      <w:marBottom w:val="0"/>
      <w:divBdr>
        <w:top w:val="none" w:sz="0" w:space="0" w:color="auto"/>
        <w:left w:val="none" w:sz="0" w:space="0" w:color="auto"/>
        <w:bottom w:val="none" w:sz="0" w:space="0" w:color="auto"/>
        <w:right w:val="none" w:sz="0" w:space="0" w:color="auto"/>
      </w:divBdr>
    </w:div>
    <w:div w:id="80685768">
      <w:bodyDiv w:val="1"/>
      <w:marLeft w:val="0"/>
      <w:marRight w:val="0"/>
      <w:marTop w:val="0"/>
      <w:marBottom w:val="0"/>
      <w:divBdr>
        <w:top w:val="none" w:sz="0" w:space="0" w:color="auto"/>
        <w:left w:val="none" w:sz="0" w:space="0" w:color="auto"/>
        <w:bottom w:val="none" w:sz="0" w:space="0" w:color="auto"/>
        <w:right w:val="none" w:sz="0" w:space="0" w:color="auto"/>
      </w:divBdr>
    </w:div>
    <w:div w:id="80831233">
      <w:bodyDiv w:val="1"/>
      <w:marLeft w:val="0"/>
      <w:marRight w:val="0"/>
      <w:marTop w:val="0"/>
      <w:marBottom w:val="0"/>
      <w:divBdr>
        <w:top w:val="none" w:sz="0" w:space="0" w:color="auto"/>
        <w:left w:val="none" w:sz="0" w:space="0" w:color="auto"/>
        <w:bottom w:val="none" w:sz="0" w:space="0" w:color="auto"/>
        <w:right w:val="none" w:sz="0" w:space="0" w:color="auto"/>
      </w:divBdr>
    </w:div>
    <w:div w:id="80877583">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218385">
      <w:bodyDiv w:val="1"/>
      <w:marLeft w:val="0"/>
      <w:marRight w:val="0"/>
      <w:marTop w:val="0"/>
      <w:marBottom w:val="0"/>
      <w:divBdr>
        <w:top w:val="none" w:sz="0" w:space="0" w:color="auto"/>
        <w:left w:val="none" w:sz="0" w:space="0" w:color="auto"/>
        <w:bottom w:val="none" w:sz="0" w:space="0" w:color="auto"/>
        <w:right w:val="none" w:sz="0" w:space="0" w:color="auto"/>
      </w:divBdr>
    </w:div>
    <w:div w:id="82341351">
      <w:bodyDiv w:val="1"/>
      <w:marLeft w:val="0"/>
      <w:marRight w:val="0"/>
      <w:marTop w:val="0"/>
      <w:marBottom w:val="0"/>
      <w:divBdr>
        <w:top w:val="none" w:sz="0" w:space="0" w:color="auto"/>
        <w:left w:val="none" w:sz="0" w:space="0" w:color="auto"/>
        <w:bottom w:val="none" w:sz="0" w:space="0" w:color="auto"/>
        <w:right w:val="none" w:sz="0" w:space="0" w:color="auto"/>
      </w:divBdr>
    </w:div>
    <w:div w:id="82579649">
      <w:bodyDiv w:val="1"/>
      <w:marLeft w:val="0"/>
      <w:marRight w:val="0"/>
      <w:marTop w:val="0"/>
      <w:marBottom w:val="0"/>
      <w:divBdr>
        <w:top w:val="none" w:sz="0" w:space="0" w:color="auto"/>
        <w:left w:val="none" w:sz="0" w:space="0" w:color="auto"/>
        <w:bottom w:val="none" w:sz="0" w:space="0" w:color="auto"/>
        <w:right w:val="none" w:sz="0" w:space="0" w:color="auto"/>
      </w:divBdr>
    </w:div>
    <w:div w:id="83452527">
      <w:bodyDiv w:val="1"/>
      <w:marLeft w:val="0"/>
      <w:marRight w:val="0"/>
      <w:marTop w:val="0"/>
      <w:marBottom w:val="0"/>
      <w:divBdr>
        <w:top w:val="none" w:sz="0" w:space="0" w:color="auto"/>
        <w:left w:val="none" w:sz="0" w:space="0" w:color="auto"/>
        <w:bottom w:val="none" w:sz="0" w:space="0" w:color="auto"/>
        <w:right w:val="none" w:sz="0" w:space="0" w:color="auto"/>
      </w:divBdr>
    </w:div>
    <w:div w:id="84764193">
      <w:bodyDiv w:val="1"/>
      <w:marLeft w:val="0"/>
      <w:marRight w:val="0"/>
      <w:marTop w:val="0"/>
      <w:marBottom w:val="0"/>
      <w:divBdr>
        <w:top w:val="none" w:sz="0" w:space="0" w:color="auto"/>
        <w:left w:val="none" w:sz="0" w:space="0" w:color="auto"/>
        <w:bottom w:val="none" w:sz="0" w:space="0" w:color="auto"/>
        <w:right w:val="none" w:sz="0" w:space="0" w:color="auto"/>
      </w:divBdr>
    </w:div>
    <w:div w:id="85081492">
      <w:bodyDiv w:val="1"/>
      <w:marLeft w:val="0"/>
      <w:marRight w:val="0"/>
      <w:marTop w:val="0"/>
      <w:marBottom w:val="0"/>
      <w:divBdr>
        <w:top w:val="none" w:sz="0" w:space="0" w:color="auto"/>
        <w:left w:val="none" w:sz="0" w:space="0" w:color="auto"/>
        <w:bottom w:val="none" w:sz="0" w:space="0" w:color="auto"/>
        <w:right w:val="none" w:sz="0" w:space="0" w:color="auto"/>
      </w:divBdr>
    </w:div>
    <w:div w:id="85224924">
      <w:bodyDiv w:val="1"/>
      <w:marLeft w:val="0"/>
      <w:marRight w:val="0"/>
      <w:marTop w:val="0"/>
      <w:marBottom w:val="0"/>
      <w:divBdr>
        <w:top w:val="none" w:sz="0" w:space="0" w:color="auto"/>
        <w:left w:val="none" w:sz="0" w:space="0" w:color="auto"/>
        <w:bottom w:val="none" w:sz="0" w:space="0" w:color="auto"/>
        <w:right w:val="none" w:sz="0" w:space="0" w:color="auto"/>
      </w:divBdr>
    </w:div>
    <w:div w:id="85276472">
      <w:bodyDiv w:val="1"/>
      <w:marLeft w:val="0"/>
      <w:marRight w:val="0"/>
      <w:marTop w:val="0"/>
      <w:marBottom w:val="0"/>
      <w:divBdr>
        <w:top w:val="none" w:sz="0" w:space="0" w:color="auto"/>
        <w:left w:val="none" w:sz="0" w:space="0" w:color="auto"/>
        <w:bottom w:val="none" w:sz="0" w:space="0" w:color="auto"/>
        <w:right w:val="none" w:sz="0" w:space="0" w:color="auto"/>
      </w:divBdr>
    </w:div>
    <w:div w:id="85612487">
      <w:bodyDiv w:val="1"/>
      <w:marLeft w:val="0"/>
      <w:marRight w:val="0"/>
      <w:marTop w:val="0"/>
      <w:marBottom w:val="0"/>
      <w:divBdr>
        <w:top w:val="none" w:sz="0" w:space="0" w:color="auto"/>
        <w:left w:val="none" w:sz="0" w:space="0" w:color="auto"/>
        <w:bottom w:val="none" w:sz="0" w:space="0" w:color="auto"/>
        <w:right w:val="none" w:sz="0" w:space="0" w:color="auto"/>
      </w:divBdr>
    </w:div>
    <w:div w:id="8585239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5867">
      <w:bodyDiv w:val="1"/>
      <w:marLeft w:val="0"/>
      <w:marRight w:val="0"/>
      <w:marTop w:val="0"/>
      <w:marBottom w:val="0"/>
      <w:divBdr>
        <w:top w:val="none" w:sz="0" w:space="0" w:color="auto"/>
        <w:left w:val="none" w:sz="0" w:space="0" w:color="auto"/>
        <w:bottom w:val="none" w:sz="0" w:space="0" w:color="auto"/>
        <w:right w:val="none" w:sz="0" w:space="0" w:color="auto"/>
      </w:divBdr>
    </w:div>
    <w:div w:id="8769893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89741731">
      <w:bodyDiv w:val="1"/>
      <w:marLeft w:val="0"/>
      <w:marRight w:val="0"/>
      <w:marTop w:val="0"/>
      <w:marBottom w:val="0"/>
      <w:divBdr>
        <w:top w:val="none" w:sz="0" w:space="0" w:color="auto"/>
        <w:left w:val="none" w:sz="0" w:space="0" w:color="auto"/>
        <w:bottom w:val="none" w:sz="0" w:space="0" w:color="auto"/>
        <w:right w:val="none" w:sz="0" w:space="0" w:color="auto"/>
      </w:divBdr>
    </w:div>
    <w:div w:id="90013566">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324505">
      <w:bodyDiv w:val="1"/>
      <w:marLeft w:val="0"/>
      <w:marRight w:val="0"/>
      <w:marTop w:val="0"/>
      <w:marBottom w:val="0"/>
      <w:divBdr>
        <w:top w:val="none" w:sz="0" w:space="0" w:color="auto"/>
        <w:left w:val="none" w:sz="0" w:space="0" w:color="auto"/>
        <w:bottom w:val="none" w:sz="0" w:space="0" w:color="auto"/>
        <w:right w:val="none" w:sz="0" w:space="0" w:color="auto"/>
      </w:divBdr>
    </w:div>
    <w:div w:id="91047005">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2095823">
      <w:bodyDiv w:val="1"/>
      <w:marLeft w:val="0"/>
      <w:marRight w:val="0"/>
      <w:marTop w:val="0"/>
      <w:marBottom w:val="0"/>
      <w:divBdr>
        <w:top w:val="none" w:sz="0" w:space="0" w:color="auto"/>
        <w:left w:val="none" w:sz="0" w:space="0" w:color="auto"/>
        <w:bottom w:val="none" w:sz="0" w:space="0" w:color="auto"/>
        <w:right w:val="none" w:sz="0" w:space="0" w:color="auto"/>
      </w:divBdr>
    </w:div>
    <w:div w:id="94177629">
      <w:bodyDiv w:val="1"/>
      <w:marLeft w:val="0"/>
      <w:marRight w:val="0"/>
      <w:marTop w:val="0"/>
      <w:marBottom w:val="0"/>
      <w:divBdr>
        <w:top w:val="none" w:sz="0" w:space="0" w:color="auto"/>
        <w:left w:val="none" w:sz="0" w:space="0" w:color="auto"/>
        <w:bottom w:val="none" w:sz="0" w:space="0" w:color="auto"/>
        <w:right w:val="none" w:sz="0" w:space="0" w:color="auto"/>
      </w:divBdr>
    </w:div>
    <w:div w:id="94402744">
      <w:bodyDiv w:val="1"/>
      <w:marLeft w:val="0"/>
      <w:marRight w:val="0"/>
      <w:marTop w:val="0"/>
      <w:marBottom w:val="0"/>
      <w:divBdr>
        <w:top w:val="none" w:sz="0" w:space="0" w:color="auto"/>
        <w:left w:val="none" w:sz="0" w:space="0" w:color="auto"/>
        <w:bottom w:val="none" w:sz="0" w:space="0" w:color="auto"/>
        <w:right w:val="none" w:sz="0" w:space="0" w:color="auto"/>
      </w:divBdr>
    </w:div>
    <w:div w:id="94594514">
      <w:bodyDiv w:val="1"/>
      <w:marLeft w:val="0"/>
      <w:marRight w:val="0"/>
      <w:marTop w:val="0"/>
      <w:marBottom w:val="0"/>
      <w:divBdr>
        <w:top w:val="none" w:sz="0" w:space="0" w:color="auto"/>
        <w:left w:val="none" w:sz="0" w:space="0" w:color="auto"/>
        <w:bottom w:val="none" w:sz="0" w:space="0" w:color="auto"/>
        <w:right w:val="none" w:sz="0" w:space="0" w:color="auto"/>
      </w:divBdr>
    </w:div>
    <w:div w:id="95711206">
      <w:bodyDiv w:val="1"/>
      <w:marLeft w:val="0"/>
      <w:marRight w:val="0"/>
      <w:marTop w:val="0"/>
      <w:marBottom w:val="0"/>
      <w:divBdr>
        <w:top w:val="none" w:sz="0" w:space="0" w:color="auto"/>
        <w:left w:val="none" w:sz="0" w:space="0" w:color="auto"/>
        <w:bottom w:val="none" w:sz="0" w:space="0" w:color="auto"/>
        <w:right w:val="none" w:sz="0" w:space="0" w:color="auto"/>
      </w:divBdr>
    </w:div>
    <w:div w:id="96953260">
      <w:bodyDiv w:val="1"/>
      <w:marLeft w:val="0"/>
      <w:marRight w:val="0"/>
      <w:marTop w:val="0"/>
      <w:marBottom w:val="0"/>
      <w:divBdr>
        <w:top w:val="none" w:sz="0" w:space="0" w:color="auto"/>
        <w:left w:val="none" w:sz="0" w:space="0" w:color="auto"/>
        <w:bottom w:val="none" w:sz="0" w:space="0" w:color="auto"/>
        <w:right w:val="none" w:sz="0" w:space="0" w:color="auto"/>
      </w:divBdr>
    </w:div>
    <w:div w:id="97406374">
      <w:bodyDiv w:val="1"/>
      <w:marLeft w:val="0"/>
      <w:marRight w:val="0"/>
      <w:marTop w:val="0"/>
      <w:marBottom w:val="0"/>
      <w:divBdr>
        <w:top w:val="none" w:sz="0" w:space="0" w:color="auto"/>
        <w:left w:val="none" w:sz="0" w:space="0" w:color="auto"/>
        <w:bottom w:val="none" w:sz="0" w:space="0" w:color="auto"/>
        <w:right w:val="none" w:sz="0" w:space="0" w:color="auto"/>
      </w:divBdr>
    </w:div>
    <w:div w:id="98062176">
      <w:bodyDiv w:val="1"/>
      <w:marLeft w:val="0"/>
      <w:marRight w:val="0"/>
      <w:marTop w:val="0"/>
      <w:marBottom w:val="0"/>
      <w:divBdr>
        <w:top w:val="none" w:sz="0" w:space="0" w:color="auto"/>
        <w:left w:val="none" w:sz="0" w:space="0" w:color="auto"/>
        <w:bottom w:val="none" w:sz="0" w:space="0" w:color="auto"/>
        <w:right w:val="none" w:sz="0" w:space="0" w:color="auto"/>
      </w:divBdr>
    </w:div>
    <w:div w:id="99572668">
      <w:bodyDiv w:val="1"/>
      <w:marLeft w:val="0"/>
      <w:marRight w:val="0"/>
      <w:marTop w:val="0"/>
      <w:marBottom w:val="0"/>
      <w:divBdr>
        <w:top w:val="none" w:sz="0" w:space="0" w:color="auto"/>
        <w:left w:val="none" w:sz="0" w:space="0" w:color="auto"/>
        <w:bottom w:val="none" w:sz="0" w:space="0" w:color="auto"/>
        <w:right w:val="none" w:sz="0" w:space="0" w:color="auto"/>
      </w:divBdr>
    </w:div>
    <w:div w:id="99952506">
      <w:bodyDiv w:val="1"/>
      <w:marLeft w:val="0"/>
      <w:marRight w:val="0"/>
      <w:marTop w:val="0"/>
      <w:marBottom w:val="0"/>
      <w:divBdr>
        <w:top w:val="none" w:sz="0" w:space="0" w:color="auto"/>
        <w:left w:val="none" w:sz="0" w:space="0" w:color="auto"/>
        <w:bottom w:val="none" w:sz="0" w:space="0" w:color="auto"/>
        <w:right w:val="none" w:sz="0" w:space="0" w:color="auto"/>
      </w:divBdr>
    </w:div>
    <w:div w:id="100491553">
      <w:bodyDiv w:val="1"/>
      <w:marLeft w:val="0"/>
      <w:marRight w:val="0"/>
      <w:marTop w:val="0"/>
      <w:marBottom w:val="0"/>
      <w:divBdr>
        <w:top w:val="none" w:sz="0" w:space="0" w:color="auto"/>
        <w:left w:val="none" w:sz="0" w:space="0" w:color="auto"/>
        <w:bottom w:val="none" w:sz="0" w:space="0" w:color="auto"/>
        <w:right w:val="none" w:sz="0" w:space="0" w:color="auto"/>
      </w:divBdr>
    </w:div>
    <w:div w:id="100540170">
      <w:bodyDiv w:val="1"/>
      <w:marLeft w:val="0"/>
      <w:marRight w:val="0"/>
      <w:marTop w:val="0"/>
      <w:marBottom w:val="0"/>
      <w:divBdr>
        <w:top w:val="none" w:sz="0" w:space="0" w:color="auto"/>
        <w:left w:val="none" w:sz="0" w:space="0" w:color="auto"/>
        <w:bottom w:val="none" w:sz="0" w:space="0" w:color="auto"/>
        <w:right w:val="none" w:sz="0" w:space="0" w:color="auto"/>
      </w:divBdr>
    </w:div>
    <w:div w:id="100682945">
      <w:bodyDiv w:val="1"/>
      <w:marLeft w:val="0"/>
      <w:marRight w:val="0"/>
      <w:marTop w:val="0"/>
      <w:marBottom w:val="0"/>
      <w:divBdr>
        <w:top w:val="none" w:sz="0" w:space="0" w:color="auto"/>
        <w:left w:val="none" w:sz="0" w:space="0" w:color="auto"/>
        <w:bottom w:val="none" w:sz="0" w:space="0" w:color="auto"/>
        <w:right w:val="none" w:sz="0" w:space="0" w:color="auto"/>
      </w:divBdr>
    </w:div>
    <w:div w:id="100952643">
      <w:bodyDiv w:val="1"/>
      <w:marLeft w:val="0"/>
      <w:marRight w:val="0"/>
      <w:marTop w:val="0"/>
      <w:marBottom w:val="0"/>
      <w:divBdr>
        <w:top w:val="none" w:sz="0" w:space="0" w:color="auto"/>
        <w:left w:val="none" w:sz="0" w:space="0" w:color="auto"/>
        <w:bottom w:val="none" w:sz="0" w:space="0" w:color="auto"/>
        <w:right w:val="none" w:sz="0" w:space="0" w:color="auto"/>
      </w:divBdr>
    </w:div>
    <w:div w:id="101070562">
      <w:bodyDiv w:val="1"/>
      <w:marLeft w:val="0"/>
      <w:marRight w:val="0"/>
      <w:marTop w:val="0"/>
      <w:marBottom w:val="0"/>
      <w:divBdr>
        <w:top w:val="none" w:sz="0" w:space="0" w:color="auto"/>
        <w:left w:val="none" w:sz="0" w:space="0" w:color="auto"/>
        <w:bottom w:val="none" w:sz="0" w:space="0" w:color="auto"/>
        <w:right w:val="none" w:sz="0" w:space="0" w:color="auto"/>
      </w:divBdr>
    </w:div>
    <w:div w:id="101148666">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3815750">
      <w:bodyDiv w:val="1"/>
      <w:marLeft w:val="0"/>
      <w:marRight w:val="0"/>
      <w:marTop w:val="0"/>
      <w:marBottom w:val="0"/>
      <w:divBdr>
        <w:top w:val="none" w:sz="0" w:space="0" w:color="auto"/>
        <w:left w:val="none" w:sz="0" w:space="0" w:color="auto"/>
        <w:bottom w:val="none" w:sz="0" w:space="0" w:color="auto"/>
        <w:right w:val="none" w:sz="0" w:space="0" w:color="auto"/>
      </w:divBdr>
    </w:div>
    <w:div w:id="104735057">
      <w:bodyDiv w:val="1"/>
      <w:marLeft w:val="0"/>
      <w:marRight w:val="0"/>
      <w:marTop w:val="0"/>
      <w:marBottom w:val="0"/>
      <w:divBdr>
        <w:top w:val="none" w:sz="0" w:space="0" w:color="auto"/>
        <w:left w:val="none" w:sz="0" w:space="0" w:color="auto"/>
        <w:bottom w:val="none" w:sz="0" w:space="0" w:color="auto"/>
        <w:right w:val="none" w:sz="0" w:space="0" w:color="auto"/>
      </w:divBdr>
    </w:div>
    <w:div w:id="104886991">
      <w:bodyDiv w:val="1"/>
      <w:marLeft w:val="0"/>
      <w:marRight w:val="0"/>
      <w:marTop w:val="0"/>
      <w:marBottom w:val="0"/>
      <w:divBdr>
        <w:top w:val="none" w:sz="0" w:space="0" w:color="auto"/>
        <w:left w:val="none" w:sz="0" w:space="0" w:color="auto"/>
        <w:bottom w:val="none" w:sz="0" w:space="0" w:color="auto"/>
        <w:right w:val="none" w:sz="0" w:space="0" w:color="auto"/>
      </w:divBdr>
    </w:div>
    <w:div w:id="105395979">
      <w:bodyDiv w:val="1"/>
      <w:marLeft w:val="0"/>
      <w:marRight w:val="0"/>
      <w:marTop w:val="0"/>
      <w:marBottom w:val="0"/>
      <w:divBdr>
        <w:top w:val="none" w:sz="0" w:space="0" w:color="auto"/>
        <w:left w:val="none" w:sz="0" w:space="0" w:color="auto"/>
        <w:bottom w:val="none" w:sz="0" w:space="0" w:color="auto"/>
        <w:right w:val="none" w:sz="0" w:space="0" w:color="auto"/>
      </w:divBdr>
    </w:div>
    <w:div w:id="106657157">
      <w:bodyDiv w:val="1"/>
      <w:marLeft w:val="0"/>
      <w:marRight w:val="0"/>
      <w:marTop w:val="0"/>
      <w:marBottom w:val="0"/>
      <w:divBdr>
        <w:top w:val="none" w:sz="0" w:space="0" w:color="auto"/>
        <w:left w:val="none" w:sz="0" w:space="0" w:color="auto"/>
        <w:bottom w:val="none" w:sz="0" w:space="0" w:color="auto"/>
        <w:right w:val="none" w:sz="0" w:space="0" w:color="auto"/>
      </w:divBdr>
    </w:div>
    <w:div w:id="106973133">
      <w:bodyDiv w:val="1"/>
      <w:marLeft w:val="0"/>
      <w:marRight w:val="0"/>
      <w:marTop w:val="0"/>
      <w:marBottom w:val="0"/>
      <w:divBdr>
        <w:top w:val="none" w:sz="0" w:space="0" w:color="auto"/>
        <w:left w:val="none" w:sz="0" w:space="0" w:color="auto"/>
        <w:bottom w:val="none" w:sz="0" w:space="0" w:color="auto"/>
        <w:right w:val="none" w:sz="0" w:space="0" w:color="auto"/>
      </w:divBdr>
    </w:div>
    <w:div w:id="107354609">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471396">
      <w:bodyDiv w:val="1"/>
      <w:marLeft w:val="0"/>
      <w:marRight w:val="0"/>
      <w:marTop w:val="0"/>
      <w:marBottom w:val="0"/>
      <w:divBdr>
        <w:top w:val="none" w:sz="0" w:space="0" w:color="auto"/>
        <w:left w:val="none" w:sz="0" w:space="0" w:color="auto"/>
        <w:bottom w:val="none" w:sz="0" w:space="0" w:color="auto"/>
        <w:right w:val="none" w:sz="0" w:space="0" w:color="auto"/>
      </w:divBdr>
    </w:div>
    <w:div w:id="109787050">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1634633">
      <w:bodyDiv w:val="1"/>
      <w:marLeft w:val="0"/>
      <w:marRight w:val="0"/>
      <w:marTop w:val="0"/>
      <w:marBottom w:val="0"/>
      <w:divBdr>
        <w:top w:val="none" w:sz="0" w:space="0" w:color="auto"/>
        <w:left w:val="none" w:sz="0" w:space="0" w:color="auto"/>
        <w:bottom w:val="none" w:sz="0" w:space="0" w:color="auto"/>
        <w:right w:val="none" w:sz="0" w:space="0" w:color="auto"/>
      </w:divBdr>
    </w:div>
    <w:div w:id="111751734">
      <w:bodyDiv w:val="1"/>
      <w:marLeft w:val="0"/>
      <w:marRight w:val="0"/>
      <w:marTop w:val="0"/>
      <w:marBottom w:val="0"/>
      <w:divBdr>
        <w:top w:val="none" w:sz="0" w:space="0" w:color="auto"/>
        <w:left w:val="none" w:sz="0" w:space="0" w:color="auto"/>
        <w:bottom w:val="none" w:sz="0" w:space="0" w:color="auto"/>
        <w:right w:val="none" w:sz="0" w:space="0" w:color="auto"/>
      </w:divBdr>
    </w:div>
    <w:div w:id="112290258">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4639187">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5881405">
      <w:bodyDiv w:val="1"/>
      <w:marLeft w:val="0"/>
      <w:marRight w:val="0"/>
      <w:marTop w:val="0"/>
      <w:marBottom w:val="0"/>
      <w:divBdr>
        <w:top w:val="none" w:sz="0" w:space="0" w:color="auto"/>
        <w:left w:val="none" w:sz="0" w:space="0" w:color="auto"/>
        <w:bottom w:val="none" w:sz="0" w:space="0" w:color="auto"/>
        <w:right w:val="none" w:sz="0" w:space="0" w:color="auto"/>
      </w:divBdr>
    </w:div>
    <w:div w:id="116292069">
      <w:bodyDiv w:val="1"/>
      <w:marLeft w:val="0"/>
      <w:marRight w:val="0"/>
      <w:marTop w:val="0"/>
      <w:marBottom w:val="0"/>
      <w:divBdr>
        <w:top w:val="none" w:sz="0" w:space="0" w:color="auto"/>
        <w:left w:val="none" w:sz="0" w:space="0" w:color="auto"/>
        <w:bottom w:val="none" w:sz="0" w:space="0" w:color="auto"/>
        <w:right w:val="none" w:sz="0" w:space="0" w:color="auto"/>
      </w:divBdr>
    </w:div>
    <w:div w:id="1166051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8183822">
      <w:bodyDiv w:val="1"/>
      <w:marLeft w:val="0"/>
      <w:marRight w:val="0"/>
      <w:marTop w:val="0"/>
      <w:marBottom w:val="0"/>
      <w:divBdr>
        <w:top w:val="none" w:sz="0" w:space="0" w:color="auto"/>
        <w:left w:val="none" w:sz="0" w:space="0" w:color="auto"/>
        <w:bottom w:val="none" w:sz="0" w:space="0" w:color="auto"/>
        <w:right w:val="none" w:sz="0" w:space="0" w:color="auto"/>
      </w:divBdr>
    </w:div>
    <w:div w:id="119959566">
      <w:bodyDiv w:val="1"/>
      <w:marLeft w:val="0"/>
      <w:marRight w:val="0"/>
      <w:marTop w:val="0"/>
      <w:marBottom w:val="0"/>
      <w:divBdr>
        <w:top w:val="none" w:sz="0" w:space="0" w:color="auto"/>
        <w:left w:val="none" w:sz="0" w:space="0" w:color="auto"/>
        <w:bottom w:val="none" w:sz="0" w:space="0" w:color="auto"/>
        <w:right w:val="none" w:sz="0" w:space="0" w:color="auto"/>
      </w:divBdr>
    </w:div>
    <w:div w:id="121192140">
      <w:bodyDiv w:val="1"/>
      <w:marLeft w:val="0"/>
      <w:marRight w:val="0"/>
      <w:marTop w:val="0"/>
      <w:marBottom w:val="0"/>
      <w:divBdr>
        <w:top w:val="none" w:sz="0" w:space="0" w:color="auto"/>
        <w:left w:val="none" w:sz="0" w:space="0" w:color="auto"/>
        <w:bottom w:val="none" w:sz="0" w:space="0" w:color="auto"/>
        <w:right w:val="none" w:sz="0" w:space="0" w:color="auto"/>
      </w:divBdr>
    </w:div>
    <w:div w:id="122433178">
      <w:bodyDiv w:val="1"/>
      <w:marLeft w:val="0"/>
      <w:marRight w:val="0"/>
      <w:marTop w:val="0"/>
      <w:marBottom w:val="0"/>
      <w:divBdr>
        <w:top w:val="none" w:sz="0" w:space="0" w:color="auto"/>
        <w:left w:val="none" w:sz="0" w:space="0" w:color="auto"/>
        <w:bottom w:val="none" w:sz="0" w:space="0" w:color="auto"/>
        <w:right w:val="none" w:sz="0" w:space="0" w:color="auto"/>
      </w:divBdr>
    </w:div>
    <w:div w:id="123082731">
      <w:bodyDiv w:val="1"/>
      <w:marLeft w:val="0"/>
      <w:marRight w:val="0"/>
      <w:marTop w:val="0"/>
      <w:marBottom w:val="0"/>
      <w:divBdr>
        <w:top w:val="none" w:sz="0" w:space="0" w:color="auto"/>
        <w:left w:val="none" w:sz="0" w:space="0" w:color="auto"/>
        <w:bottom w:val="none" w:sz="0" w:space="0" w:color="auto"/>
        <w:right w:val="none" w:sz="0" w:space="0" w:color="auto"/>
      </w:divBdr>
    </w:div>
    <w:div w:id="12308468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4811759">
      <w:bodyDiv w:val="1"/>
      <w:marLeft w:val="0"/>
      <w:marRight w:val="0"/>
      <w:marTop w:val="0"/>
      <w:marBottom w:val="0"/>
      <w:divBdr>
        <w:top w:val="none" w:sz="0" w:space="0" w:color="auto"/>
        <w:left w:val="none" w:sz="0" w:space="0" w:color="auto"/>
        <w:bottom w:val="none" w:sz="0" w:space="0" w:color="auto"/>
        <w:right w:val="none" w:sz="0" w:space="0" w:color="auto"/>
      </w:divBdr>
    </w:div>
    <w:div w:id="125438807">
      <w:bodyDiv w:val="1"/>
      <w:marLeft w:val="0"/>
      <w:marRight w:val="0"/>
      <w:marTop w:val="0"/>
      <w:marBottom w:val="0"/>
      <w:divBdr>
        <w:top w:val="none" w:sz="0" w:space="0" w:color="auto"/>
        <w:left w:val="none" w:sz="0" w:space="0" w:color="auto"/>
        <w:bottom w:val="none" w:sz="0" w:space="0" w:color="auto"/>
        <w:right w:val="none" w:sz="0" w:space="0" w:color="auto"/>
      </w:divBdr>
    </w:div>
    <w:div w:id="127093341">
      <w:bodyDiv w:val="1"/>
      <w:marLeft w:val="0"/>
      <w:marRight w:val="0"/>
      <w:marTop w:val="0"/>
      <w:marBottom w:val="0"/>
      <w:divBdr>
        <w:top w:val="none" w:sz="0" w:space="0" w:color="auto"/>
        <w:left w:val="none" w:sz="0" w:space="0" w:color="auto"/>
        <w:bottom w:val="none" w:sz="0" w:space="0" w:color="auto"/>
        <w:right w:val="none" w:sz="0" w:space="0" w:color="auto"/>
      </w:divBdr>
    </w:div>
    <w:div w:id="127285033">
      <w:bodyDiv w:val="1"/>
      <w:marLeft w:val="0"/>
      <w:marRight w:val="0"/>
      <w:marTop w:val="0"/>
      <w:marBottom w:val="0"/>
      <w:divBdr>
        <w:top w:val="none" w:sz="0" w:space="0" w:color="auto"/>
        <w:left w:val="none" w:sz="0" w:space="0" w:color="auto"/>
        <w:bottom w:val="none" w:sz="0" w:space="0" w:color="auto"/>
        <w:right w:val="none" w:sz="0" w:space="0" w:color="auto"/>
      </w:divBdr>
    </w:div>
    <w:div w:id="127406835">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8207019">
      <w:bodyDiv w:val="1"/>
      <w:marLeft w:val="0"/>
      <w:marRight w:val="0"/>
      <w:marTop w:val="0"/>
      <w:marBottom w:val="0"/>
      <w:divBdr>
        <w:top w:val="none" w:sz="0" w:space="0" w:color="auto"/>
        <w:left w:val="none" w:sz="0" w:space="0" w:color="auto"/>
        <w:bottom w:val="none" w:sz="0" w:space="0" w:color="auto"/>
        <w:right w:val="none" w:sz="0" w:space="0" w:color="auto"/>
      </w:divBdr>
    </w:div>
    <w:div w:id="128714560">
      <w:bodyDiv w:val="1"/>
      <w:marLeft w:val="0"/>
      <w:marRight w:val="0"/>
      <w:marTop w:val="0"/>
      <w:marBottom w:val="0"/>
      <w:divBdr>
        <w:top w:val="none" w:sz="0" w:space="0" w:color="auto"/>
        <w:left w:val="none" w:sz="0" w:space="0" w:color="auto"/>
        <w:bottom w:val="none" w:sz="0" w:space="0" w:color="auto"/>
        <w:right w:val="none" w:sz="0" w:space="0" w:color="auto"/>
      </w:divBdr>
    </w:div>
    <w:div w:id="129321116">
      <w:bodyDiv w:val="1"/>
      <w:marLeft w:val="0"/>
      <w:marRight w:val="0"/>
      <w:marTop w:val="0"/>
      <w:marBottom w:val="0"/>
      <w:divBdr>
        <w:top w:val="none" w:sz="0" w:space="0" w:color="auto"/>
        <w:left w:val="none" w:sz="0" w:space="0" w:color="auto"/>
        <w:bottom w:val="none" w:sz="0" w:space="0" w:color="auto"/>
        <w:right w:val="none" w:sz="0" w:space="0" w:color="auto"/>
      </w:divBdr>
    </w:div>
    <w:div w:id="129370600">
      <w:bodyDiv w:val="1"/>
      <w:marLeft w:val="0"/>
      <w:marRight w:val="0"/>
      <w:marTop w:val="0"/>
      <w:marBottom w:val="0"/>
      <w:divBdr>
        <w:top w:val="none" w:sz="0" w:space="0" w:color="auto"/>
        <w:left w:val="none" w:sz="0" w:space="0" w:color="auto"/>
        <w:bottom w:val="none" w:sz="0" w:space="0" w:color="auto"/>
        <w:right w:val="none" w:sz="0" w:space="0" w:color="auto"/>
      </w:divBdr>
    </w:div>
    <w:div w:id="129632272">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368096">
      <w:bodyDiv w:val="1"/>
      <w:marLeft w:val="0"/>
      <w:marRight w:val="0"/>
      <w:marTop w:val="0"/>
      <w:marBottom w:val="0"/>
      <w:divBdr>
        <w:top w:val="none" w:sz="0" w:space="0" w:color="auto"/>
        <w:left w:val="none" w:sz="0" w:space="0" w:color="auto"/>
        <w:bottom w:val="none" w:sz="0" w:space="0" w:color="auto"/>
        <w:right w:val="none" w:sz="0" w:space="0" w:color="auto"/>
      </w:divBdr>
    </w:div>
    <w:div w:id="130370599">
      <w:bodyDiv w:val="1"/>
      <w:marLeft w:val="0"/>
      <w:marRight w:val="0"/>
      <w:marTop w:val="0"/>
      <w:marBottom w:val="0"/>
      <w:divBdr>
        <w:top w:val="none" w:sz="0" w:space="0" w:color="auto"/>
        <w:left w:val="none" w:sz="0" w:space="0" w:color="auto"/>
        <w:bottom w:val="none" w:sz="0" w:space="0" w:color="auto"/>
        <w:right w:val="none" w:sz="0" w:space="0" w:color="auto"/>
      </w:divBdr>
    </w:div>
    <w:div w:id="130557260">
      <w:bodyDiv w:val="1"/>
      <w:marLeft w:val="0"/>
      <w:marRight w:val="0"/>
      <w:marTop w:val="0"/>
      <w:marBottom w:val="0"/>
      <w:divBdr>
        <w:top w:val="none" w:sz="0" w:space="0" w:color="auto"/>
        <w:left w:val="none" w:sz="0" w:space="0" w:color="auto"/>
        <w:bottom w:val="none" w:sz="0" w:space="0" w:color="auto"/>
        <w:right w:val="none" w:sz="0" w:space="0" w:color="auto"/>
      </w:divBdr>
    </w:div>
    <w:div w:id="13113912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1796582">
      <w:bodyDiv w:val="1"/>
      <w:marLeft w:val="0"/>
      <w:marRight w:val="0"/>
      <w:marTop w:val="0"/>
      <w:marBottom w:val="0"/>
      <w:divBdr>
        <w:top w:val="none" w:sz="0" w:space="0" w:color="auto"/>
        <w:left w:val="none" w:sz="0" w:space="0" w:color="auto"/>
        <w:bottom w:val="none" w:sz="0" w:space="0" w:color="auto"/>
        <w:right w:val="none" w:sz="0" w:space="0" w:color="auto"/>
      </w:divBdr>
    </w:div>
    <w:div w:id="131989768">
      <w:bodyDiv w:val="1"/>
      <w:marLeft w:val="0"/>
      <w:marRight w:val="0"/>
      <w:marTop w:val="0"/>
      <w:marBottom w:val="0"/>
      <w:divBdr>
        <w:top w:val="none" w:sz="0" w:space="0" w:color="auto"/>
        <w:left w:val="none" w:sz="0" w:space="0" w:color="auto"/>
        <w:bottom w:val="none" w:sz="0" w:space="0" w:color="auto"/>
        <w:right w:val="none" w:sz="0" w:space="0" w:color="auto"/>
      </w:divBdr>
    </w:div>
    <w:div w:id="132254291">
      <w:bodyDiv w:val="1"/>
      <w:marLeft w:val="0"/>
      <w:marRight w:val="0"/>
      <w:marTop w:val="0"/>
      <w:marBottom w:val="0"/>
      <w:divBdr>
        <w:top w:val="none" w:sz="0" w:space="0" w:color="auto"/>
        <w:left w:val="none" w:sz="0" w:space="0" w:color="auto"/>
        <w:bottom w:val="none" w:sz="0" w:space="0" w:color="auto"/>
        <w:right w:val="none" w:sz="0" w:space="0" w:color="auto"/>
      </w:divBdr>
    </w:div>
    <w:div w:id="132333346">
      <w:bodyDiv w:val="1"/>
      <w:marLeft w:val="0"/>
      <w:marRight w:val="0"/>
      <w:marTop w:val="0"/>
      <w:marBottom w:val="0"/>
      <w:divBdr>
        <w:top w:val="none" w:sz="0" w:space="0" w:color="auto"/>
        <w:left w:val="none" w:sz="0" w:space="0" w:color="auto"/>
        <w:bottom w:val="none" w:sz="0" w:space="0" w:color="auto"/>
        <w:right w:val="none" w:sz="0" w:space="0" w:color="auto"/>
      </w:divBdr>
    </w:div>
    <w:div w:id="132409517">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183413">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073936">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35802660">
      <w:bodyDiv w:val="1"/>
      <w:marLeft w:val="0"/>
      <w:marRight w:val="0"/>
      <w:marTop w:val="0"/>
      <w:marBottom w:val="0"/>
      <w:divBdr>
        <w:top w:val="none" w:sz="0" w:space="0" w:color="auto"/>
        <w:left w:val="none" w:sz="0" w:space="0" w:color="auto"/>
        <w:bottom w:val="none" w:sz="0" w:space="0" w:color="auto"/>
        <w:right w:val="none" w:sz="0" w:space="0" w:color="auto"/>
      </w:divBdr>
    </w:div>
    <w:div w:id="136192006">
      <w:bodyDiv w:val="1"/>
      <w:marLeft w:val="0"/>
      <w:marRight w:val="0"/>
      <w:marTop w:val="0"/>
      <w:marBottom w:val="0"/>
      <w:divBdr>
        <w:top w:val="none" w:sz="0" w:space="0" w:color="auto"/>
        <w:left w:val="none" w:sz="0" w:space="0" w:color="auto"/>
        <w:bottom w:val="none" w:sz="0" w:space="0" w:color="auto"/>
        <w:right w:val="none" w:sz="0" w:space="0" w:color="auto"/>
      </w:divBdr>
    </w:div>
    <w:div w:id="136340377">
      <w:bodyDiv w:val="1"/>
      <w:marLeft w:val="0"/>
      <w:marRight w:val="0"/>
      <w:marTop w:val="0"/>
      <w:marBottom w:val="0"/>
      <w:divBdr>
        <w:top w:val="none" w:sz="0" w:space="0" w:color="auto"/>
        <w:left w:val="none" w:sz="0" w:space="0" w:color="auto"/>
        <w:bottom w:val="none" w:sz="0" w:space="0" w:color="auto"/>
        <w:right w:val="none" w:sz="0" w:space="0" w:color="auto"/>
      </w:divBdr>
    </w:div>
    <w:div w:id="136651222">
      <w:bodyDiv w:val="1"/>
      <w:marLeft w:val="0"/>
      <w:marRight w:val="0"/>
      <w:marTop w:val="0"/>
      <w:marBottom w:val="0"/>
      <w:divBdr>
        <w:top w:val="none" w:sz="0" w:space="0" w:color="auto"/>
        <w:left w:val="none" w:sz="0" w:space="0" w:color="auto"/>
        <w:bottom w:val="none" w:sz="0" w:space="0" w:color="auto"/>
        <w:right w:val="none" w:sz="0" w:space="0" w:color="auto"/>
      </w:divBdr>
    </w:div>
    <w:div w:id="136843578">
      <w:bodyDiv w:val="1"/>
      <w:marLeft w:val="0"/>
      <w:marRight w:val="0"/>
      <w:marTop w:val="0"/>
      <w:marBottom w:val="0"/>
      <w:divBdr>
        <w:top w:val="none" w:sz="0" w:space="0" w:color="auto"/>
        <w:left w:val="none" w:sz="0" w:space="0" w:color="auto"/>
        <w:bottom w:val="none" w:sz="0" w:space="0" w:color="auto"/>
        <w:right w:val="none" w:sz="0" w:space="0" w:color="auto"/>
      </w:divBdr>
    </w:div>
    <w:div w:id="136999819">
      <w:bodyDiv w:val="1"/>
      <w:marLeft w:val="0"/>
      <w:marRight w:val="0"/>
      <w:marTop w:val="0"/>
      <w:marBottom w:val="0"/>
      <w:divBdr>
        <w:top w:val="none" w:sz="0" w:space="0" w:color="auto"/>
        <w:left w:val="none" w:sz="0" w:space="0" w:color="auto"/>
        <w:bottom w:val="none" w:sz="0" w:space="0" w:color="auto"/>
        <w:right w:val="none" w:sz="0" w:space="0" w:color="auto"/>
      </w:divBdr>
    </w:div>
    <w:div w:id="137574463">
      <w:bodyDiv w:val="1"/>
      <w:marLeft w:val="0"/>
      <w:marRight w:val="0"/>
      <w:marTop w:val="0"/>
      <w:marBottom w:val="0"/>
      <w:divBdr>
        <w:top w:val="none" w:sz="0" w:space="0" w:color="auto"/>
        <w:left w:val="none" w:sz="0" w:space="0" w:color="auto"/>
        <w:bottom w:val="none" w:sz="0" w:space="0" w:color="auto"/>
        <w:right w:val="none" w:sz="0" w:space="0" w:color="auto"/>
      </w:divBdr>
    </w:div>
    <w:div w:id="137647130">
      <w:bodyDiv w:val="1"/>
      <w:marLeft w:val="0"/>
      <w:marRight w:val="0"/>
      <w:marTop w:val="0"/>
      <w:marBottom w:val="0"/>
      <w:divBdr>
        <w:top w:val="none" w:sz="0" w:space="0" w:color="auto"/>
        <w:left w:val="none" w:sz="0" w:space="0" w:color="auto"/>
        <w:bottom w:val="none" w:sz="0" w:space="0" w:color="auto"/>
        <w:right w:val="none" w:sz="0" w:space="0" w:color="auto"/>
      </w:divBdr>
    </w:div>
    <w:div w:id="138038975">
      <w:bodyDiv w:val="1"/>
      <w:marLeft w:val="0"/>
      <w:marRight w:val="0"/>
      <w:marTop w:val="0"/>
      <w:marBottom w:val="0"/>
      <w:divBdr>
        <w:top w:val="none" w:sz="0" w:space="0" w:color="auto"/>
        <w:left w:val="none" w:sz="0" w:space="0" w:color="auto"/>
        <w:bottom w:val="none" w:sz="0" w:space="0" w:color="auto"/>
        <w:right w:val="none" w:sz="0" w:space="0" w:color="auto"/>
      </w:divBdr>
    </w:div>
    <w:div w:id="139470192">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661740">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313830">
      <w:bodyDiv w:val="1"/>
      <w:marLeft w:val="0"/>
      <w:marRight w:val="0"/>
      <w:marTop w:val="0"/>
      <w:marBottom w:val="0"/>
      <w:divBdr>
        <w:top w:val="none" w:sz="0" w:space="0" w:color="auto"/>
        <w:left w:val="none" w:sz="0" w:space="0" w:color="auto"/>
        <w:bottom w:val="none" w:sz="0" w:space="0" w:color="auto"/>
        <w:right w:val="none" w:sz="0" w:space="0" w:color="auto"/>
      </w:divBdr>
    </w:div>
    <w:div w:id="141774422">
      <w:bodyDiv w:val="1"/>
      <w:marLeft w:val="0"/>
      <w:marRight w:val="0"/>
      <w:marTop w:val="0"/>
      <w:marBottom w:val="0"/>
      <w:divBdr>
        <w:top w:val="none" w:sz="0" w:space="0" w:color="auto"/>
        <w:left w:val="none" w:sz="0" w:space="0" w:color="auto"/>
        <w:bottom w:val="none" w:sz="0" w:space="0" w:color="auto"/>
        <w:right w:val="none" w:sz="0" w:space="0" w:color="auto"/>
      </w:divBdr>
    </w:div>
    <w:div w:id="141776341">
      <w:bodyDiv w:val="1"/>
      <w:marLeft w:val="0"/>
      <w:marRight w:val="0"/>
      <w:marTop w:val="0"/>
      <w:marBottom w:val="0"/>
      <w:divBdr>
        <w:top w:val="none" w:sz="0" w:space="0" w:color="auto"/>
        <w:left w:val="none" w:sz="0" w:space="0" w:color="auto"/>
        <w:bottom w:val="none" w:sz="0" w:space="0" w:color="auto"/>
        <w:right w:val="none" w:sz="0" w:space="0" w:color="auto"/>
      </w:divBdr>
    </w:div>
    <w:div w:id="142740043">
      <w:bodyDiv w:val="1"/>
      <w:marLeft w:val="0"/>
      <w:marRight w:val="0"/>
      <w:marTop w:val="0"/>
      <w:marBottom w:val="0"/>
      <w:divBdr>
        <w:top w:val="none" w:sz="0" w:space="0" w:color="auto"/>
        <w:left w:val="none" w:sz="0" w:space="0" w:color="auto"/>
        <w:bottom w:val="none" w:sz="0" w:space="0" w:color="auto"/>
        <w:right w:val="none" w:sz="0" w:space="0" w:color="auto"/>
      </w:divBdr>
    </w:div>
    <w:div w:id="142890617">
      <w:bodyDiv w:val="1"/>
      <w:marLeft w:val="0"/>
      <w:marRight w:val="0"/>
      <w:marTop w:val="0"/>
      <w:marBottom w:val="0"/>
      <w:divBdr>
        <w:top w:val="none" w:sz="0" w:space="0" w:color="auto"/>
        <w:left w:val="none" w:sz="0" w:space="0" w:color="auto"/>
        <w:bottom w:val="none" w:sz="0" w:space="0" w:color="auto"/>
        <w:right w:val="none" w:sz="0" w:space="0" w:color="auto"/>
      </w:divBdr>
    </w:div>
    <w:div w:id="143090928">
      <w:bodyDiv w:val="1"/>
      <w:marLeft w:val="0"/>
      <w:marRight w:val="0"/>
      <w:marTop w:val="0"/>
      <w:marBottom w:val="0"/>
      <w:divBdr>
        <w:top w:val="none" w:sz="0" w:space="0" w:color="auto"/>
        <w:left w:val="none" w:sz="0" w:space="0" w:color="auto"/>
        <w:bottom w:val="none" w:sz="0" w:space="0" w:color="auto"/>
        <w:right w:val="none" w:sz="0" w:space="0" w:color="auto"/>
      </w:divBdr>
    </w:div>
    <w:div w:id="144518828">
      <w:bodyDiv w:val="1"/>
      <w:marLeft w:val="0"/>
      <w:marRight w:val="0"/>
      <w:marTop w:val="0"/>
      <w:marBottom w:val="0"/>
      <w:divBdr>
        <w:top w:val="none" w:sz="0" w:space="0" w:color="auto"/>
        <w:left w:val="none" w:sz="0" w:space="0" w:color="auto"/>
        <w:bottom w:val="none" w:sz="0" w:space="0" w:color="auto"/>
        <w:right w:val="none" w:sz="0" w:space="0" w:color="auto"/>
      </w:divBdr>
    </w:div>
    <w:div w:id="144784578">
      <w:bodyDiv w:val="1"/>
      <w:marLeft w:val="0"/>
      <w:marRight w:val="0"/>
      <w:marTop w:val="0"/>
      <w:marBottom w:val="0"/>
      <w:divBdr>
        <w:top w:val="none" w:sz="0" w:space="0" w:color="auto"/>
        <w:left w:val="none" w:sz="0" w:space="0" w:color="auto"/>
        <w:bottom w:val="none" w:sz="0" w:space="0" w:color="auto"/>
        <w:right w:val="none" w:sz="0" w:space="0" w:color="auto"/>
      </w:divBdr>
    </w:div>
    <w:div w:id="145052606">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5362561">
      <w:bodyDiv w:val="1"/>
      <w:marLeft w:val="0"/>
      <w:marRight w:val="0"/>
      <w:marTop w:val="0"/>
      <w:marBottom w:val="0"/>
      <w:divBdr>
        <w:top w:val="none" w:sz="0" w:space="0" w:color="auto"/>
        <w:left w:val="none" w:sz="0" w:space="0" w:color="auto"/>
        <w:bottom w:val="none" w:sz="0" w:space="0" w:color="auto"/>
        <w:right w:val="none" w:sz="0" w:space="0" w:color="auto"/>
      </w:divBdr>
    </w:div>
    <w:div w:id="146669904">
      <w:bodyDiv w:val="1"/>
      <w:marLeft w:val="0"/>
      <w:marRight w:val="0"/>
      <w:marTop w:val="0"/>
      <w:marBottom w:val="0"/>
      <w:divBdr>
        <w:top w:val="none" w:sz="0" w:space="0" w:color="auto"/>
        <w:left w:val="none" w:sz="0" w:space="0" w:color="auto"/>
        <w:bottom w:val="none" w:sz="0" w:space="0" w:color="auto"/>
        <w:right w:val="none" w:sz="0" w:space="0" w:color="auto"/>
      </w:divBdr>
    </w:div>
    <w:div w:id="148445875">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49947769">
      <w:bodyDiv w:val="1"/>
      <w:marLeft w:val="0"/>
      <w:marRight w:val="0"/>
      <w:marTop w:val="0"/>
      <w:marBottom w:val="0"/>
      <w:divBdr>
        <w:top w:val="none" w:sz="0" w:space="0" w:color="auto"/>
        <w:left w:val="none" w:sz="0" w:space="0" w:color="auto"/>
        <w:bottom w:val="none" w:sz="0" w:space="0" w:color="auto"/>
        <w:right w:val="none" w:sz="0" w:space="0" w:color="auto"/>
      </w:divBdr>
    </w:div>
    <w:div w:id="150561232">
      <w:bodyDiv w:val="1"/>
      <w:marLeft w:val="0"/>
      <w:marRight w:val="0"/>
      <w:marTop w:val="0"/>
      <w:marBottom w:val="0"/>
      <w:divBdr>
        <w:top w:val="none" w:sz="0" w:space="0" w:color="auto"/>
        <w:left w:val="none" w:sz="0" w:space="0" w:color="auto"/>
        <w:bottom w:val="none" w:sz="0" w:space="0" w:color="auto"/>
        <w:right w:val="none" w:sz="0" w:space="0" w:color="auto"/>
      </w:divBdr>
    </w:div>
    <w:div w:id="150603923">
      <w:bodyDiv w:val="1"/>
      <w:marLeft w:val="0"/>
      <w:marRight w:val="0"/>
      <w:marTop w:val="0"/>
      <w:marBottom w:val="0"/>
      <w:divBdr>
        <w:top w:val="none" w:sz="0" w:space="0" w:color="auto"/>
        <w:left w:val="none" w:sz="0" w:space="0" w:color="auto"/>
        <w:bottom w:val="none" w:sz="0" w:space="0" w:color="auto"/>
        <w:right w:val="none" w:sz="0" w:space="0" w:color="auto"/>
      </w:divBdr>
    </w:div>
    <w:div w:id="150951978">
      <w:bodyDiv w:val="1"/>
      <w:marLeft w:val="0"/>
      <w:marRight w:val="0"/>
      <w:marTop w:val="0"/>
      <w:marBottom w:val="0"/>
      <w:divBdr>
        <w:top w:val="none" w:sz="0" w:space="0" w:color="auto"/>
        <w:left w:val="none" w:sz="0" w:space="0" w:color="auto"/>
        <w:bottom w:val="none" w:sz="0" w:space="0" w:color="auto"/>
        <w:right w:val="none" w:sz="0" w:space="0" w:color="auto"/>
      </w:divBdr>
    </w:div>
    <w:div w:id="151141627">
      <w:bodyDiv w:val="1"/>
      <w:marLeft w:val="0"/>
      <w:marRight w:val="0"/>
      <w:marTop w:val="0"/>
      <w:marBottom w:val="0"/>
      <w:divBdr>
        <w:top w:val="none" w:sz="0" w:space="0" w:color="auto"/>
        <w:left w:val="none" w:sz="0" w:space="0" w:color="auto"/>
        <w:bottom w:val="none" w:sz="0" w:space="0" w:color="auto"/>
        <w:right w:val="none" w:sz="0" w:space="0" w:color="auto"/>
      </w:divBdr>
    </w:div>
    <w:div w:id="151722680">
      <w:bodyDiv w:val="1"/>
      <w:marLeft w:val="0"/>
      <w:marRight w:val="0"/>
      <w:marTop w:val="0"/>
      <w:marBottom w:val="0"/>
      <w:divBdr>
        <w:top w:val="none" w:sz="0" w:space="0" w:color="auto"/>
        <w:left w:val="none" w:sz="0" w:space="0" w:color="auto"/>
        <w:bottom w:val="none" w:sz="0" w:space="0" w:color="auto"/>
        <w:right w:val="none" w:sz="0" w:space="0" w:color="auto"/>
      </w:divBdr>
    </w:div>
    <w:div w:id="152725004">
      <w:bodyDiv w:val="1"/>
      <w:marLeft w:val="0"/>
      <w:marRight w:val="0"/>
      <w:marTop w:val="0"/>
      <w:marBottom w:val="0"/>
      <w:divBdr>
        <w:top w:val="none" w:sz="0" w:space="0" w:color="auto"/>
        <w:left w:val="none" w:sz="0" w:space="0" w:color="auto"/>
        <w:bottom w:val="none" w:sz="0" w:space="0" w:color="auto"/>
        <w:right w:val="none" w:sz="0" w:space="0" w:color="auto"/>
      </w:divBdr>
    </w:div>
    <w:div w:id="152838165">
      <w:bodyDiv w:val="1"/>
      <w:marLeft w:val="0"/>
      <w:marRight w:val="0"/>
      <w:marTop w:val="0"/>
      <w:marBottom w:val="0"/>
      <w:divBdr>
        <w:top w:val="none" w:sz="0" w:space="0" w:color="auto"/>
        <w:left w:val="none" w:sz="0" w:space="0" w:color="auto"/>
        <w:bottom w:val="none" w:sz="0" w:space="0" w:color="auto"/>
        <w:right w:val="none" w:sz="0" w:space="0" w:color="auto"/>
      </w:divBdr>
    </w:div>
    <w:div w:id="154031766">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442124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9505">
      <w:bodyDiv w:val="1"/>
      <w:marLeft w:val="0"/>
      <w:marRight w:val="0"/>
      <w:marTop w:val="0"/>
      <w:marBottom w:val="0"/>
      <w:divBdr>
        <w:top w:val="none" w:sz="0" w:space="0" w:color="auto"/>
        <w:left w:val="none" w:sz="0" w:space="0" w:color="auto"/>
        <w:bottom w:val="none" w:sz="0" w:space="0" w:color="auto"/>
        <w:right w:val="none" w:sz="0" w:space="0" w:color="auto"/>
      </w:divBdr>
    </w:div>
    <w:div w:id="156269209">
      <w:bodyDiv w:val="1"/>
      <w:marLeft w:val="0"/>
      <w:marRight w:val="0"/>
      <w:marTop w:val="0"/>
      <w:marBottom w:val="0"/>
      <w:divBdr>
        <w:top w:val="none" w:sz="0" w:space="0" w:color="auto"/>
        <w:left w:val="none" w:sz="0" w:space="0" w:color="auto"/>
        <w:bottom w:val="none" w:sz="0" w:space="0" w:color="auto"/>
        <w:right w:val="none" w:sz="0" w:space="0" w:color="auto"/>
      </w:divBdr>
    </w:div>
    <w:div w:id="156506027">
      <w:bodyDiv w:val="1"/>
      <w:marLeft w:val="0"/>
      <w:marRight w:val="0"/>
      <w:marTop w:val="0"/>
      <w:marBottom w:val="0"/>
      <w:divBdr>
        <w:top w:val="none" w:sz="0" w:space="0" w:color="auto"/>
        <w:left w:val="none" w:sz="0" w:space="0" w:color="auto"/>
        <w:bottom w:val="none" w:sz="0" w:space="0" w:color="auto"/>
        <w:right w:val="none" w:sz="0" w:space="0" w:color="auto"/>
      </w:divBdr>
    </w:div>
    <w:div w:id="156969307">
      <w:bodyDiv w:val="1"/>
      <w:marLeft w:val="0"/>
      <w:marRight w:val="0"/>
      <w:marTop w:val="0"/>
      <w:marBottom w:val="0"/>
      <w:divBdr>
        <w:top w:val="none" w:sz="0" w:space="0" w:color="auto"/>
        <w:left w:val="none" w:sz="0" w:space="0" w:color="auto"/>
        <w:bottom w:val="none" w:sz="0" w:space="0" w:color="auto"/>
        <w:right w:val="none" w:sz="0" w:space="0" w:color="auto"/>
      </w:divBdr>
    </w:div>
    <w:div w:id="158086475">
      <w:bodyDiv w:val="1"/>
      <w:marLeft w:val="0"/>
      <w:marRight w:val="0"/>
      <w:marTop w:val="0"/>
      <w:marBottom w:val="0"/>
      <w:divBdr>
        <w:top w:val="none" w:sz="0" w:space="0" w:color="auto"/>
        <w:left w:val="none" w:sz="0" w:space="0" w:color="auto"/>
        <w:bottom w:val="none" w:sz="0" w:space="0" w:color="auto"/>
        <w:right w:val="none" w:sz="0" w:space="0" w:color="auto"/>
      </w:divBdr>
    </w:div>
    <w:div w:id="158155017">
      <w:bodyDiv w:val="1"/>
      <w:marLeft w:val="0"/>
      <w:marRight w:val="0"/>
      <w:marTop w:val="0"/>
      <w:marBottom w:val="0"/>
      <w:divBdr>
        <w:top w:val="none" w:sz="0" w:space="0" w:color="auto"/>
        <w:left w:val="none" w:sz="0" w:space="0" w:color="auto"/>
        <w:bottom w:val="none" w:sz="0" w:space="0" w:color="auto"/>
        <w:right w:val="none" w:sz="0" w:space="0" w:color="auto"/>
      </w:divBdr>
    </w:div>
    <w:div w:id="159153521">
      <w:bodyDiv w:val="1"/>
      <w:marLeft w:val="0"/>
      <w:marRight w:val="0"/>
      <w:marTop w:val="0"/>
      <w:marBottom w:val="0"/>
      <w:divBdr>
        <w:top w:val="none" w:sz="0" w:space="0" w:color="auto"/>
        <w:left w:val="none" w:sz="0" w:space="0" w:color="auto"/>
        <w:bottom w:val="none" w:sz="0" w:space="0" w:color="auto"/>
        <w:right w:val="none" w:sz="0" w:space="0" w:color="auto"/>
      </w:divBdr>
    </w:div>
    <w:div w:id="159464797">
      <w:bodyDiv w:val="1"/>
      <w:marLeft w:val="0"/>
      <w:marRight w:val="0"/>
      <w:marTop w:val="0"/>
      <w:marBottom w:val="0"/>
      <w:divBdr>
        <w:top w:val="none" w:sz="0" w:space="0" w:color="auto"/>
        <w:left w:val="none" w:sz="0" w:space="0" w:color="auto"/>
        <w:bottom w:val="none" w:sz="0" w:space="0" w:color="auto"/>
        <w:right w:val="none" w:sz="0" w:space="0" w:color="auto"/>
      </w:divBdr>
    </w:div>
    <w:div w:id="159736766">
      <w:bodyDiv w:val="1"/>
      <w:marLeft w:val="0"/>
      <w:marRight w:val="0"/>
      <w:marTop w:val="0"/>
      <w:marBottom w:val="0"/>
      <w:divBdr>
        <w:top w:val="none" w:sz="0" w:space="0" w:color="auto"/>
        <w:left w:val="none" w:sz="0" w:space="0" w:color="auto"/>
        <w:bottom w:val="none" w:sz="0" w:space="0" w:color="auto"/>
        <w:right w:val="none" w:sz="0" w:space="0" w:color="auto"/>
      </w:divBdr>
    </w:div>
    <w:div w:id="159925435">
      <w:bodyDiv w:val="1"/>
      <w:marLeft w:val="0"/>
      <w:marRight w:val="0"/>
      <w:marTop w:val="0"/>
      <w:marBottom w:val="0"/>
      <w:divBdr>
        <w:top w:val="none" w:sz="0" w:space="0" w:color="auto"/>
        <w:left w:val="none" w:sz="0" w:space="0" w:color="auto"/>
        <w:bottom w:val="none" w:sz="0" w:space="0" w:color="auto"/>
        <w:right w:val="none" w:sz="0" w:space="0" w:color="auto"/>
      </w:divBdr>
    </w:div>
    <w:div w:id="159932318">
      <w:bodyDiv w:val="1"/>
      <w:marLeft w:val="0"/>
      <w:marRight w:val="0"/>
      <w:marTop w:val="0"/>
      <w:marBottom w:val="0"/>
      <w:divBdr>
        <w:top w:val="none" w:sz="0" w:space="0" w:color="auto"/>
        <w:left w:val="none" w:sz="0" w:space="0" w:color="auto"/>
        <w:bottom w:val="none" w:sz="0" w:space="0" w:color="auto"/>
        <w:right w:val="none" w:sz="0" w:space="0" w:color="auto"/>
      </w:divBdr>
    </w:div>
    <w:div w:id="160392246">
      <w:bodyDiv w:val="1"/>
      <w:marLeft w:val="0"/>
      <w:marRight w:val="0"/>
      <w:marTop w:val="0"/>
      <w:marBottom w:val="0"/>
      <w:divBdr>
        <w:top w:val="none" w:sz="0" w:space="0" w:color="auto"/>
        <w:left w:val="none" w:sz="0" w:space="0" w:color="auto"/>
        <w:bottom w:val="none" w:sz="0" w:space="0" w:color="auto"/>
        <w:right w:val="none" w:sz="0" w:space="0" w:color="auto"/>
      </w:divBdr>
    </w:div>
    <w:div w:id="160631018">
      <w:bodyDiv w:val="1"/>
      <w:marLeft w:val="0"/>
      <w:marRight w:val="0"/>
      <w:marTop w:val="0"/>
      <w:marBottom w:val="0"/>
      <w:divBdr>
        <w:top w:val="none" w:sz="0" w:space="0" w:color="auto"/>
        <w:left w:val="none" w:sz="0" w:space="0" w:color="auto"/>
        <w:bottom w:val="none" w:sz="0" w:space="0" w:color="auto"/>
        <w:right w:val="none" w:sz="0" w:space="0" w:color="auto"/>
      </w:divBdr>
    </w:div>
    <w:div w:id="160858050">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1894376">
      <w:bodyDiv w:val="1"/>
      <w:marLeft w:val="0"/>
      <w:marRight w:val="0"/>
      <w:marTop w:val="0"/>
      <w:marBottom w:val="0"/>
      <w:divBdr>
        <w:top w:val="none" w:sz="0" w:space="0" w:color="auto"/>
        <w:left w:val="none" w:sz="0" w:space="0" w:color="auto"/>
        <w:bottom w:val="none" w:sz="0" w:space="0" w:color="auto"/>
        <w:right w:val="none" w:sz="0" w:space="0" w:color="auto"/>
      </w:divBdr>
    </w:div>
    <w:div w:id="161898856">
      <w:bodyDiv w:val="1"/>
      <w:marLeft w:val="0"/>
      <w:marRight w:val="0"/>
      <w:marTop w:val="0"/>
      <w:marBottom w:val="0"/>
      <w:divBdr>
        <w:top w:val="none" w:sz="0" w:space="0" w:color="auto"/>
        <w:left w:val="none" w:sz="0" w:space="0" w:color="auto"/>
        <w:bottom w:val="none" w:sz="0" w:space="0" w:color="auto"/>
        <w:right w:val="none" w:sz="0" w:space="0" w:color="auto"/>
      </w:divBdr>
    </w:div>
    <w:div w:id="163132658">
      <w:bodyDiv w:val="1"/>
      <w:marLeft w:val="0"/>
      <w:marRight w:val="0"/>
      <w:marTop w:val="0"/>
      <w:marBottom w:val="0"/>
      <w:divBdr>
        <w:top w:val="none" w:sz="0" w:space="0" w:color="auto"/>
        <w:left w:val="none" w:sz="0" w:space="0" w:color="auto"/>
        <w:bottom w:val="none" w:sz="0" w:space="0" w:color="auto"/>
        <w:right w:val="none" w:sz="0" w:space="0" w:color="auto"/>
      </w:divBdr>
    </w:div>
    <w:div w:id="163208712">
      <w:bodyDiv w:val="1"/>
      <w:marLeft w:val="0"/>
      <w:marRight w:val="0"/>
      <w:marTop w:val="0"/>
      <w:marBottom w:val="0"/>
      <w:divBdr>
        <w:top w:val="none" w:sz="0" w:space="0" w:color="auto"/>
        <w:left w:val="none" w:sz="0" w:space="0" w:color="auto"/>
        <w:bottom w:val="none" w:sz="0" w:space="0" w:color="auto"/>
        <w:right w:val="none" w:sz="0" w:space="0" w:color="auto"/>
      </w:divBdr>
    </w:div>
    <w:div w:id="163327415">
      <w:bodyDiv w:val="1"/>
      <w:marLeft w:val="0"/>
      <w:marRight w:val="0"/>
      <w:marTop w:val="0"/>
      <w:marBottom w:val="0"/>
      <w:divBdr>
        <w:top w:val="none" w:sz="0" w:space="0" w:color="auto"/>
        <w:left w:val="none" w:sz="0" w:space="0" w:color="auto"/>
        <w:bottom w:val="none" w:sz="0" w:space="0" w:color="auto"/>
        <w:right w:val="none" w:sz="0" w:space="0" w:color="auto"/>
      </w:divBdr>
    </w:div>
    <w:div w:id="163592809">
      <w:bodyDiv w:val="1"/>
      <w:marLeft w:val="0"/>
      <w:marRight w:val="0"/>
      <w:marTop w:val="0"/>
      <w:marBottom w:val="0"/>
      <w:divBdr>
        <w:top w:val="none" w:sz="0" w:space="0" w:color="auto"/>
        <w:left w:val="none" w:sz="0" w:space="0" w:color="auto"/>
        <w:bottom w:val="none" w:sz="0" w:space="0" w:color="auto"/>
        <w:right w:val="none" w:sz="0" w:space="0" w:color="auto"/>
      </w:divBdr>
    </w:div>
    <w:div w:id="163711646">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3857486">
      <w:bodyDiv w:val="1"/>
      <w:marLeft w:val="0"/>
      <w:marRight w:val="0"/>
      <w:marTop w:val="0"/>
      <w:marBottom w:val="0"/>
      <w:divBdr>
        <w:top w:val="none" w:sz="0" w:space="0" w:color="auto"/>
        <w:left w:val="none" w:sz="0" w:space="0" w:color="auto"/>
        <w:bottom w:val="none" w:sz="0" w:space="0" w:color="auto"/>
        <w:right w:val="none" w:sz="0" w:space="0" w:color="auto"/>
      </w:divBdr>
    </w:div>
    <w:div w:id="166291831">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7407277">
      <w:bodyDiv w:val="1"/>
      <w:marLeft w:val="0"/>
      <w:marRight w:val="0"/>
      <w:marTop w:val="0"/>
      <w:marBottom w:val="0"/>
      <w:divBdr>
        <w:top w:val="none" w:sz="0" w:space="0" w:color="auto"/>
        <w:left w:val="none" w:sz="0" w:space="0" w:color="auto"/>
        <w:bottom w:val="none" w:sz="0" w:space="0" w:color="auto"/>
        <w:right w:val="none" w:sz="0" w:space="0" w:color="auto"/>
      </w:divBdr>
    </w:div>
    <w:div w:id="167453290">
      <w:bodyDiv w:val="1"/>
      <w:marLeft w:val="0"/>
      <w:marRight w:val="0"/>
      <w:marTop w:val="0"/>
      <w:marBottom w:val="0"/>
      <w:divBdr>
        <w:top w:val="none" w:sz="0" w:space="0" w:color="auto"/>
        <w:left w:val="none" w:sz="0" w:space="0" w:color="auto"/>
        <w:bottom w:val="none" w:sz="0" w:space="0" w:color="auto"/>
        <w:right w:val="none" w:sz="0" w:space="0" w:color="auto"/>
      </w:divBdr>
    </w:div>
    <w:div w:id="167907063">
      <w:bodyDiv w:val="1"/>
      <w:marLeft w:val="0"/>
      <w:marRight w:val="0"/>
      <w:marTop w:val="0"/>
      <w:marBottom w:val="0"/>
      <w:divBdr>
        <w:top w:val="none" w:sz="0" w:space="0" w:color="auto"/>
        <w:left w:val="none" w:sz="0" w:space="0" w:color="auto"/>
        <w:bottom w:val="none" w:sz="0" w:space="0" w:color="auto"/>
        <w:right w:val="none" w:sz="0" w:space="0" w:color="auto"/>
      </w:divBdr>
    </w:div>
    <w:div w:id="168562727">
      <w:bodyDiv w:val="1"/>
      <w:marLeft w:val="0"/>
      <w:marRight w:val="0"/>
      <w:marTop w:val="0"/>
      <w:marBottom w:val="0"/>
      <w:divBdr>
        <w:top w:val="none" w:sz="0" w:space="0" w:color="auto"/>
        <w:left w:val="none" w:sz="0" w:space="0" w:color="auto"/>
        <w:bottom w:val="none" w:sz="0" w:space="0" w:color="auto"/>
        <w:right w:val="none" w:sz="0" w:space="0" w:color="auto"/>
      </w:divBdr>
    </w:div>
    <w:div w:id="169150730">
      <w:bodyDiv w:val="1"/>
      <w:marLeft w:val="0"/>
      <w:marRight w:val="0"/>
      <w:marTop w:val="0"/>
      <w:marBottom w:val="0"/>
      <w:divBdr>
        <w:top w:val="none" w:sz="0" w:space="0" w:color="auto"/>
        <w:left w:val="none" w:sz="0" w:space="0" w:color="auto"/>
        <w:bottom w:val="none" w:sz="0" w:space="0" w:color="auto"/>
        <w:right w:val="none" w:sz="0" w:space="0" w:color="auto"/>
      </w:divBdr>
    </w:div>
    <w:div w:id="170998181">
      <w:bodyDiv w:val="1"/>
      <w:marLeft w:val="0"/>
      <w:marRight w:val="0"/>
      <w:marTop w:val="0"/>
      <w:marBottom w:val="0"/>
      <w:divBdr>
        <w:top w:val="none" w:sz="0" w:space="0" w:color="auto"/>
        <w:left w:val="none" w:sz="0" w:space="0" w:color="auto"/>
        <w:bottom w:val="none" w:sz="0" w:space="0" w:color="auto"/>
        <w:right w:val="none" w:sz="0" w:space="0" w:color="auto"/>
      </w:divBdr>
    </w:div>
    <w:div w:id="172426017">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52919">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4542584">
      <w:bodyDiv w:val="1"/>
      <w:marLeft w:val="0"/>
      <w:marRight w:val="0"/>
      <w:marTop w:val="0"/>
      <w:marBottom w:val="0"/>
      <w:divBdr>
        <w:top w:val="none" w:sz="0" w:space="0" w:color="auto"/>
        <w:left w:val="none" w:sz="0" w:space="0" w:color="auto"/>
        <w:bottom w:val="none" w:sz="0" w:space="0" w:color="auto"/>
        <w:right w:val="none" w:sz="0" w:space="0" w:color="auto"/>
      </w:divBdr>
    </w:div>
    <w:div w:id="174619108">
      <w:bodyDiv w:val="1"/>
      <w:marLeft w:val="0"/>
      <w:marRight w:val="0"/>
      <w:marTop w:val="0"/>
      <w:marBottom w:val="0"/>
      <w:divBdr>
        <w:top w:val="none" w:sz="0" w:space="0" w:color="auto"/>
        <w:left w:val="none" w:sz="0" w:space="0" w:color="auto"/>
        <w:bottom w:val="none" w:sz="0" w:space="0" w:color="auto"/>
        <w:right w:val="none" w:sz="0" w:space="0" w:color="auto"/>
      </w:divBdr>
    </w:div>
    <w:div w:id="174733338">
      <w:bodyDiv w:val="1"/>
      <w:marLeft w:val="0"/>
      <w:marRight w:val="0"/>
      <w:marTop w:val="0"/>
      <w:marBottom w:val="0"/>
      <w:divBdr>
        <w:top w:val="none" w:sz="0" w:space="0" w:color="auto"/>
        <w:left w:val="none" w:sz="0" w:space="0" w:color="auto"/>
        <w:bottom w:val="none" w:sz="0" w:space="0" w:color="auto"/>
        <w:right w:val="none" w:sz="0" w:space="0" w:color="auto"/>
      </w:divBdr>
    </w:div>
    <w:div w:id="176308587">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6890658">
      <w:bodyDiv w:val="1"/>
      <w:marLeft w:val="0"/>
      <w:marRight w:val="0"/>
      <w:marTop w:val="0"/>
      <w:marBottom w:val="0"/>
      <w:divBdr>
        <w:top w:val="none" w:sz="0" w:space="0" w:color="auto"/>
        <w:left w:val="none" w:sz="0" w:space="0" w:color="auto"/>
        <w:bottom w:val="none" w:sz="0" w:space="0" w:color="auto"/>
        <w:right w:val="none" w:sz="0" w:space="0" w:color="auto"/>
      </w:divBdr>
    </w:div>
    <w:div w:id="177084388">
      <w:bodyDiv w:val="1"/>
      <w:marLeft w:val="0"/>
      <w:marRight w:val="0"/>
      <w:marTop w:val="0"/>
      <w:marBottom w:val="0"/>
      <w:divBdr>
        <w:top w:val="none" w:sz="0" w:space="0" w:color="auto"/>
        <w:left w:val="none" w:sz="0" w:space="0" w:color="auto"/>
        <w:bottom w:val="none" w:sz="0" w:space="0" w:color="auto"/>
        <w:right w:val="none" w:sz="0" w:space="0" w:color="auto"/>
      </w:divBdr>
    </w:div>
    <w:div w:id="177352498">
      <w:bodyDiv w:val="1"/>
      <w:marLeft w:val="0"/>
      <w:marRight w:val="0"/>
      <w:marTop w:val="0"/>
      <w:marBottom w:val="0"/>
      <w:divBdr>
        <w:top w:val="none" w:sz="0" w:space="0" w:color="auto"/>
        <w:left w:val="none" w:sz="0" w:space="0" w:color="auto"/>
        <w:bottom w:val="none" w:sz="0" w:space="0" w:color="auto"/>
        <w:right w:val="none" w:sz="0" w:space="0" w:color="auto"/>
      </w:divBdr>
    </w:div>
    <w:div w:id="177695236">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78397851">
      <w:bodyDiv w:val="1"/>
      <w:marLeft w:val="0"/>
      <w:marRight w:val="0"/>
      <w:marTop w:val="0"/>
      <w:marBottom w:val="0"/>
      <w:divBdr>
        <w:top w:val="none" w:sz="0" w:space="0" w:color="auto"/>
        <w:left w:val="none" w:sz="0" w:space="0" w:color="auto"/>
        <w:bottom w:val="none" w:sz="0" w:space="0" w:color="auto"/>
        <w:right w:val="none" w:sz="0" w:space="0" w:color="auto"/>
      </w:divBdr>
    </w:div>
    <w:div w:id="179786226">
      <w:bodyDiv w:val="1"/>
      <w:marLeft w:val="0"/>
      <w:marRight w:val="0"/>
      <w:marTop w:val="0"/>
      <w:marBottom w:val="0"/>
      <w:divBdr>
        <w:top w:val="none" w:sz="0" w:space="0" w:color="auto"/>
        <w:left w:val="none" w:sz="0" w:space="0" w:color="auto"/>
        <w:bottom w:val="none" w:sz="0" w:space="0" w:color="auto"/>
        <w:right w:val="none" w:sz="0" w:space="0" w:color="auto"/>
      </w:divBdr>
    </w:div>
    <w:div w:id="179902770">
      <w:bodyDiv w:val="1"/>
      <w:marLeft w:val="0"/>
      <w:marRight w:val="0"/>
      <w:marTop w:val="0"/>
      <w:marBottom w:val="0"/>
      <w:divBdr>
        <w:top w:val="none" w:sz="0" w:space="0" w:color="auto"/>
        <w:left w:val="none" w:sz="0" w:space="0" w:color="auto"/>
        <w:bottom w:val="none" w:sz="0" w:space="0" w:color="auto"/>
        <w:right w:val="none" w:sz="0" w:space="0" w:color="auto"/>
      </w:divBdr>
    </w:div>
    <w:div w:id="180823648">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2479691">
      <w:bodyDiv w:val="1"/>
      <w:marLeft w:val="0"/>
      <w:marRight w:val="0"/>
      <w:marTop w:val="0"/>
      <w:marBottom w:val="0"/>
      <w:divBdr>
        <w:top w:val="none" w:sz="0" w:space="0" w:color="auto"/>
        <w:left w:val="none" w:sz="0" w:space="0" w:color="auto"/>
        <w:bottom w:val="none" w:sz="0" w:space="0" w:color="auto"/>
        <w:right w:val="none" w:sz="0" w:space="0" w:color="auto"/>
      </w:divBdr>
    </w:div>
    <w:div w:id="182785615">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288267">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5602676">
      <w:bodyDiv w:val="1"/>
      <w:marLeft w:val="0"/>
      <w:marRight w:val="0"/>
      <w:marTop w:val="0"/>
      <w:marBottom w:val="0"/>
      <w:divBdr>
        <w:top w:val="none" w:sz="0" w:space="0" w:color="auto"/>
        <w:left w:val="none" w:sz="0" w:space="0" w:color="auto"/>
        <w:bottom w:val="none" w:sz="0" w:space="0" w:color="auto"/>
        <w:right w:val="none" w:sz="0" w:space="0" w:color="auto"/>
      </w:divBdr>
    </w:div>
    <w:div w:id="185755940">
      <w:bodyDiv w:val="1"/>
      <w:marLeft w:val="0"/>
      <w:marRight w:val="0"/>
      <w:marTop w:val="0"/>
      <w:marBottom w:val="0"/>
      <w:divBdr>
        <w:top w:val="none" w:sz="0" w:space="0" w:color="auto"/>
        <w:left w:val="none" w:sz="0" w:space="0" w:color="auto"/>
        <w:bottom w:val="none" w:sz="0" w:space="0" w:color="auto"/>
        <w:right w:val="none" w:sz="0" w:space="0" w:color="auto"/>
      </w:divBdr>
    </w:div>
    <w:div w:id="187065749">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180390">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88952047">
      <w:bodyDiv w:val="1"/>
      <w:marLeft w:val="0"/>
      <w:marRight w:val="0"/>
      <w:marTop w:val="0"/>
      <w:marBottom w:val="0"/>
      <w:divBdr>
        <w:top w:val="none" w:sz="0" w:space="0" w:color="auto"/>
        <w:left w:val="none" w:sz="0" w:space="0" w:color="auto"/>
        <w:bottom w:val="none" w:sz="0" w:space="0" w:color="auto"/>
        <w:right w:val="none" w:sz="0" w:space="0" w:color="auto"/>
      </w:divBdr>
    </w:div>
    <w:div w:id="189686200">
      <w:bodyDiv w:val="1"/>
      <w:marLeft w:val="0"/>
      <w:marRight w:val="0"/>
      <w:marTop w:val="0"/>
      <w:marBottom w:val="0"/>
      <w:divBdr>
        <w:top w:val="none" w:sz="0" w:space="0" w:color="auto"/>
        <w:left w:val="none" w:sz="0" w:space="0" w:color="auto"/>
        <w:bottom w:val="none" w:sz="0" w:space="0" w:color="auto"/>
        <w:right w:val="none" w:sz="0" w:space="0" w:color="auto"/>
      </w:divBdr>
    </w:div>
    <w:div w:id="189733241">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190806868">
      <w:bodyDiv w:val="1"/>
      <w:marLeft w:val="0"/>
      <w:marRight w:val="0"/>
      <w:marTop w:val="0"/>
      <w:marBottom w:val="0"/>
      <w:divBdr>
        <w:top w:val="none" w:sz="0" w:space="0" w:color="auto"/>
        <w:left w:val="none" w:sz="0" w:space="0" w:color="auto"/>
        <w:bottom w:val="none" w:sz="0" w:space="0" w:color="auto"/>
        <w:right w:val="none" w:sz="0" w:space="0" w:color="auto"/>
      </w:divBdr>
    </w:div>
    <w:div w:id="191571986">
      <w:bodyDiv w:val="1"/>
      <w:marLeft w:val="0"/>
      <w:marRight w:val="0"/>
      <w:marTop w:val="0"/>
      <w:marBottom w:val="0"/>
      <w:divBdr>
        <w:top w:val="none" w:sz="0" w:space="0" w:color="auto"/>
        <w:left w:val="none" w:sz="0" w:space="0" w:color="auto"/>
        <w:bottom w:val="none" w:sz="0" w:space="0" w:color="auto"/>
        <w:right w:val="none" w:sz="0" w:space="0" w:color="auto"/>
      </w:divBdr>
    </w:div>
    <w:div w:id="192159177">
      <w:bodyDiv w:val="1"/>
      <w:marLeft w:val="0"/>
      <w:marRight w:val="0"/>
      <w:marTop w:val="0"/>
      <w:marBottom w:val="0"/>
      <w:divBdr>
        <w:top w:val="none" w:sz="0" w:space="0" w:color="auto"/>
        <w:left w:val="none" w:sz="0" w:space="0" w:color="auto"/>
        <w:bottom w:val="none" w:sz="0" w:space="0" w:color="auto"/>
        <w:right w:val="none" w:sz="0" w:space="0" w:color="auto"/>
      </w:divBdr>
    </w:div>
    <w:div w:id="192698577">
      <w:bodyDiv w:val="1"/>
      <w:marLeft w:val="0"/>
      <w:marRight w:val="0"/>
      <w:marTop w:val="0"/>
      <w:marBottom w:val="0"/>
      <w:divBdr>
        <w:top w:val="none" w:sz="0" w:space="0" w:color="auto"/>
        <w:left w:val="none" w:sz="0" w:space="0" w:color="auto"/>
        <w:bottom w:val="none" w:sz="0" w:space="0" w:color="auto"/>
        <w:right w:val="none" w:sz="0" w:space="0" w:color="auto"/>
      </w:divBdr>
    </w:div>
    <w:div w:id="193076570">
      <w:bodyDiv w:val="1"/>
      <w:marLeft w:val="0"/>
      <w:marRight w:val="0"/>
      <w:marTop w:val="0"/>
      <w:marBottom w:val="0"/>
      <w:divBdr>
        <w:top w:val="none" w:sz="0" w:space="0" w:color="auto"/>
        <w:left w:val="none" w:sz="0" w:space="0" w:color="auto"/>
        <w:bottom w:val="none" w:sz="0" w:space="0" w:color="auto"/>
        <w:right w:val="none" w:sz="0" w:space="0" w:color="auto"/>
      </w:divBdr>
    </w:div>
    <w:div w:id="195822702">
      <w:bodyDiv w:val="1"/>
      <w:marLeft w:val="0"/>
      <w:marRight w:val="0"/>
      <w:marTop w:val="0"/>
      <w:marBottom w:val="0"/>
      <w:divBdr>
        <w:top w:val="none" w:sz="0" w:space="0" w:color="auto"/>
        <w:left w:val="none" w:sz="0" w:space="0" w:color="auto"/>
        <w:bottom w:val="none" w:sz="0" w:space="0" w:color="auto"/>
        <w:right w:val="none" w:sz="0" w:space="0" w:color="auto"/>
      </w:divBdr>
    </w:div>
    <w:div w:id="196160436">
      <w:bodyDiv w:val="1"/>
      <w:marLeft w:val="0"/>
      <w:marRight w:val="0"/>
      <w:marTop w:val="0"/>
      <w:marBottom w:val="0"/>
      <w:divBdr>
        <w:top w:val="none" w:sz="0" w:space="0" w:color="auto"/>
        <w:left w:val="none" w:sz="0" w:space="0" w:color="auto"/>
        <w:bottom w:val="none" w:sz="0" w:space="0" w:color="auto"/>
        <w:right w:val="none" w:sz="0" w:space="0" w:color="auto"/>
      </w:divBdr>
    </w:div>
    <w:div w:id="196745853">
      <w:bodyDiv w:val="1"/>
      <w:marLeft w:val="0"/>
      <w:marRight w:val="0"/>
      <w:marTop w:val="0"/>
      <w:marBottom w:val="0"/>
      <w:divBdr>
        <w:top w:val="none" w:sz="0" w:space="0" w:color="auto"/>
        <w:left w:val="none" w:sz="0" w:space="0" w:color="auto"/>
        <w:bottom w:val="none" w:sz="0" w:space="0" w:color="auto"/>
        <w:right w:val="none" w:sz="0" w:space="0" w:color="auto"/>
      </w:divBdr>
    </w:div>
    <w:div w:id="197355470">
      <w:bodyDiv w:val="1"/>
      <w:marLeft w:val="0"/>
      <w:marRight w:val="0"/>
      <w:marTop w:val="0"/>
      <w:marBottom w:val="0"/>
      <w:divBdr>
        <w:top w:val="none" w:sz="0" w:space="0" w:color="auto"/>
        <w:left w:val="none" w:sz="0" w:space="0" w:color="auto"/>
        <w:bottom w:val="none" w:sz="0" w:space="0" w:color="auto"/>
        <w:right w:val="none" w:sz="0" w:space="0" w:color="auto"/>
      </w:divBdr>
    </w:div>
    <w:div w:id="197931808">
      <w:bodyDiv w:val="1"/>
      <w:marLeft w:val="0"/>
      <w:marRight w:val="0"/>
      <w:marTop w:val="0"/>
      <w:marBottom w:val="0"/>
      <w:divBdr>
        <w:top w:val="none" w:sz="0" w:space="0" w:color="auto"/>
        <w:left w:val="none" w:sz="0" w:space="0" w:color="auto"/>
        <w:bottom w:val="none" w:sz="0" w:space="0" w:color="auto"/>
        <w:right w:val="none" w:sz="0" w:space="0" w:color="auto"/>
      </w:divBdr>
    </w:div>
    <w:div w:id="199049530">
      <w:bodyDiv w:val="1"/>
      <w:marLeft w:val="0"/>
      <w:marRight w:val="0"/>
      <w:marTop w:val="0"/>
      <w:marBottom w:val="0"/>
      <w:divBdr>
        <w:top w:val="none" w:sz="0" w:space="0" w:color="auto"/>
        <w:left w:val="none" w:sz="0" w:space="0" w:color="auto"/>
        <w:bottom w:val="none" w:sz="0" w:space="0" w:color="auto"/>
        <w:right w:val="none" w:sz="0" w:space="0" w:color="auto"/>
      </w:divBdr>
    </w:div>
    <w:div w:id="199704253">
      <w:bodyDiv w:val="1"/>
      <w:marLeft w:val="0"/>
      <w:marRight w:val="0"/>
      <w:marTop w:val="0"/>
      <w:marBottom w:val="0"/>
      <w:divBdr>
        <w:top w:val="none" w:sz="0" w:space="0" w:color="auto"/>
        <w:left w:val="none" w:sz="0" w:space="0" w:color="auto"/>
        <w:bottom w:val="none" w:sz="0" w:space="0" w:color="auto"/>
        <w:right w:val="none" w:sz="0" w:space="0" w:color="auto"/>
      </w:divBdr>
    </w:div>
    <w:div w:id="199829854">
      <w:bodyDiv w:val="1"/>
      <w:marLeft w:val="0"/>
      <w:marRight w:val="0"/>
      <w:marTop w:val="0"/>
      <w:marBottom w:val="0"/>
      <w:divBdr>
        <w:top w:val="none" w:sz="0" w:space="0" w:color="auto"/>
        <w:left w:val="none" w:sz="0" w:space="0" w:color="auto"/>
        <w:bottom w:val="none" w:sz="0" w:space="0" w:color="auto"/>
        <w:right w:val="none" w:sz="0" w:space="0" w:color="auto"/>
      </w:divBdr>
    </w:div>
    <w:div w:id="199973213">
      <w:bodyDiv w:val="1"/>
      <w:marLeft w:val="0"/>
      <w:marRight w:val="0"/>
      <w:marTop w:val="0"/>
      <w:marBottom w:val="0"/>
      <w:divBdr>
        <w:top w:val="none" w:sz="0" w:space="0" w:color="auto"/>
        <w:left w:val="none" w:sz="0" w:space="0" w:color="auto"/>
        <w:bottom w:val="none" w:sz="0" w:space="0" w:color="auto"/>
        <w:right w:val="none" w:sz="0" w:space="0" w:color="auto"/>
      </w:divBdr>
    </w:div>
    <w:div w:id="199979352">
      <w:bodyDiv w:val="1"/>
      <w:marLeft w:val="0"/>
      <w:marRight w:val="0"/>
      <w:marTop w:val="0"/>
      <w:marBottom w:val="0"/>
      <w:divBdr>
        <w:top w:val="none" w:sz="0" w:space="0" w:color="auto"/>
        <w:left w:val="none" w:sz="0" w:space="0" w:color="auto"/>
        <w:bottom w:val="none" w:sz="0" w:space="0" w:color="auto"/>
        <w:right w:val="none" w:sz="0" w:space="0" w:color="auto"/>
      </w:divBdr>
    </w:div>
    <w:div w:id="200944408">
      <w:bodyDiv w:val="1"/>
      <w:marLeft w:val="0"/>
      <w:marRight w:val="0"/>
      <w:marTop w:val="0"/>
      <w:marBottom w:val="0"/>
      <w:divBdr>
        <w:top w:val="none" w:sz="0" w:space="0" w:color="auto"/>
        <w:left w:val="none" w:sz="0" w:space="0" w:color="auto"/>
        <w:bottom w:val="none" w:sz="0" w:space="0" w:color="auto"/>
        <w:right w:val="none" w:sz="0" w:space="0" w:color="auto"/>
      </w:divBdr>
    </w:div>
    <w:div w:id="201286766">
      <w:bodyDiv w:val="1"/>
      <w:marLeft w:val="0"/>
      <w:marRight w:val="0"/>
      <w:marTop w:val="0"/>
      <w:marBottom w:val="0"/>
      <w:divBdr>
        <w:top w:val="none" w:sz="0" w:space="0" w:color="auto"/>
        <w:left w:val="none" w:sz="0" w:space="0" w:color="auto"/>
        <w:bottom w:val="none" w:sz="0" w:space="0" w:color="auto"/>
        <w:right w:val="none" w:sz="0" w:space="0" w:color="auto"/>
      </w:divBdr>
    </w:div>
    <w:div w:id="202596714">
      <w:bodyDiv w:val="1"/>
      <w:marLeft w:val="0"/>
      <w:marRight w:val="0"/>
      <w:marTop w:val="0"/>
      <w:marBottom w:val="0"/>
      <w:divBdr>
        <w:top w:val="none" w:sz="0" w:space="0" w:color="auto"/>
        <w:left w:val="none" w:sz="0" w:space="0" w:color="auto"/>
        <w:bottom w:val="none" w:sz="0" w:space="0" w:color="auto"/>
        <w:right w:val="none" w:sz="0" w:space="0" w:color="auto"/>
      </w:divBdr>
    </w:div>
    <w:div w:id="202838850">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29415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908272">
      <w:bodyDiv w:val="1"/>
      <w:marLeft w:val="0"/>
      <w:marRight w:val="0"/>
      <w:marTop w:val="0"/>
      <w:marBottom w:val="0"/>
      <w:divBdr>
        <w:top w:val="none" w:sz="0" w:space="0" w:color="auto"/>
        <w:left w:val="none" w:sz="0" w:space="0" w:color="auto"/>
        <w:bottom w:val="none" w:sz="0" w:space="0" w:color="auto"/>
        <w:right w:val="none" w:sz="0" w:space="0" w:color="auto"/>
      </w:divBdr>
    </w:div>
    <w:div w:id="204483705">
      <w:bodyDiv w:val="1"/>
      <w:marLeft w:val="0"/>
      <w:marRight w:val="0"/>
      <w:marTop w:val="0"/>
      <w:marBottom w:val="0"/>
      <w:divBdr>
        <w:top w:val="none" w:sz="0" w:space="0" w:color="auto"/>
        <w:left w:val="none" w:sz="0" w:space="0" w:color="auto"/>
        <w:bottom w:val="none" w:sz="0" w:space="0" w:color="auto"/>
        <w:right w:val="none" w:sz="0" w:space="0" w:color="auto"/>
      </w:divBdr>
    </w:div>
    <w:div w:id="204685424">
      <w:bodyDiv w:val="1"/>
      <w:marLeft w:val="0"/>
      <w:marRight w:val="0"/>
      <w:marTop w:val="0"/>
      <w:marBottom w:val="0"/>
      <w:divBdr>
        <w:top w:val="none" w:sz="0" w:space="0" w:color="auto"/>
        <w:left w:val="none" w:sz="0" w:space="0" w:color="auto"/>
        <w:bottom w:val="none" w:sz="0" w:space="0" w:color="auto"/>
        <w:right w:val="none" w:sz="0" w:space="0" w:color="auto"/>
      </w:divBdr>
    </w:div>
    <w:div w:id="205795116">
      <w:bodyDiv w:val="1"/>
      <w:marLeft w:val="0"/>
      <w:marRight w:val="0"/>
      <w:marTop w:val="0"/>
      <w:marBottom w:val="0"/>
      <w:divBdr>
        <w:top w:val="none" w:sz="0" w:space="0" w:color="auto"/>
        <w:left w:val="none" w:sz="0" w:space="0" w:color="auto"/>
        <w:bottom w:val="none" w:sz="0" w:space="0" w:color="auto"/>
        <w:right w:val="none" w:sz="0" w:space="0" w:color="auto"/>
      </w:divBdr>
    </w:div>
    <w:div w:id="206726345">
      <w:bodyDiv w:val="1"/>
      <w:marLeft w:val="0"/>
      <w:marRight w:val="0"/>
      <w:marTop w:val="0"/>
      <w:marBottom w:val="0"/>
      <w:divBdr>
        <w:top w:val="none" w:sz="0" w:space="0" w:color="auto"/>
        <w:left w:val="none" w:sz="0" w:space="0" w:color="auto"/>
        <w:bottom w:val="none" w:sz="0" w:space="0" w:color="auto"/>
        <w:right w:val="none" w:sz="0" w:space="0" w:color="auto"/>
      </w:divBdr>
    </w:div>
    <w:div w:id="208498451">
      <w:bodyDiv w:val="1"/>
      <w:marLeft w:val="0"/>
      <w:marRight w:val="0"/>
      <w:marTop w:val="0"/>
      <w:marBottom w:val="0"/>
      <w:divBdr>
        <w:top w:val="none" w:sz="0" w:space="0" w:color="auto"/>
        <w:left w:val="none" w:sz="0" w:space="0" w:color="auto"/>
        <w:bottom w:val="none" w:sz="0" w:space="0" w:color="auto"/>
        <w:right w:val="none" w:sz="0" w:space="0" w:color="auto"/>
      </w:divBdr>
    </w:div>
    <w:div w:id="209195849">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1306106">
      <w:bodyDiv w:val="1"/>
      <w:marLeft w:val="0"/>
      <w:marRight w:val="0"/>
      <w:marTop w:val="0"/>
      <w:marBottom w:val="0"/>
      <w:divBdr>
        <w:top w:val="none" w:sz="0" w:space="0" w:color="auto"/>
        <w:left w:val="none" w:sz="0" w:space="0" w:color="auto"/>
        <w:bottom w:val="none" w:sz="0" w:space="0" w:color="auto"/>
        <w:right w:val="none" w:sz="0" w:space="0" w:color="auto"/>
      </w:divBdr>
    </w:div>
    <w:div w:id="211306490">
      <w:bodyDiv w:val="1"/>
      <w:marLeft w:val="0"/>
      <w:marRight w:val="0"/>
      <w:marTop w:val="0"/>
      <w:marBottom w:val="0"/>
      <w:divBdr>
        <w:top w:val="none" w:sz="0" w:space="0" w:color="auto"/>
        <w:left w:val="none" w:sz="0" w:space="0" w:color="auto"/>
        <w:bottom w:val="none" w:sz="0" w:space="0" w:color="auto"/>
        <w:right w:val="none" w:sz="0" w:space="0" w:color="auto"/>
      </w:divBdr>
    </w:div>
    <w:div w:id="211431463">
      <w:bodyDiv w:val="1"/>
      <w:marLeft w:val="0"/>
      <w:marRight w:val="0"/>
      <w:marTop w:val="0"/>
      <w:marBottom w:val="0"/>
      <w:divBdr>
        <w:top w:val="none" w:sz="0" w:space="0" w:color="auto"/>
        <w:left w:val="none" w:sz="0" w:space="0" w:color="auto"/>
        <w:bottom w:val="none" w:sz="0" w:space="0" w:color="auto"/>
        <w:right w:val="none" w:sz="0" w:space="0" w:color="auto"/>
      </w:divBdr>
    </w:div>
    <w:div w:id="213126553">
      <w:bodyDiv w:val="1"/>
      <w:marLeft w:val="0"/>
      <w:marRight w:val="0"/>
      <w:marTop w:val="0"/>
      <w:marBottom w:val="0"/>
      <w:divBdr>
        <w:top w:val="none" w:sz="0" w:space="0" w:color="auto"/>
        <w:left w:val="none" w:sz="0" w:space="0" w:color="auto"/>
        <w:bottom w:val="none" w:sz="0" w:space="0" w:color="auto"/>
        <w:right w:val="none" w:sz="0" w:space="0" w:color="auto"/>
      </w:divBdr>
    </w:div>
    <w:div w:id="214045431">
      <w:bodyDiv w:val="1"/>
      <w:marLeft w:val="0"/>
      <w:marRight w:val="0"/>
      <w:marTop w:val="0"/>
      <w:marBottom w:val="0"/>
      <w:divBdr>
        <w:top w:val="none" w:sz="0" w:space="0" w:color="auto"/>
        <w:left w:val="none" w:sz="0" w:space="0" w:color="auto"/>
        <w:bottom w:val="none" w:sz="0" w:space="0" w:color="auto"/>
        <w:right w:val="none" w:sz="0" w:space="0" w:color="auto"/>
      </w:divBdr>
    </w:div>
    <w:div w:id="214894834">
      <w:bodyDiv w:val="1"/>
      <w:marLeft w:val="0"/>
      <w:marRight w:val="0"/>
      <w:marTop w:val="0"/>
      <w:marBottom w:val="0"/>
      <w:divBdr>
        <w:top w:val="none" w:sz="0" w:space="0" w:color="auto"/>
        <w:left w:val="none" w:sz="0" w:space="0" w:color="auto"/>
        <w:bottom w:val="none" w:sz="0" w:space="0" w:color="auto"/>
        <w:right w:val="none" w:sz="0" w:space="0" w:color="auto"/>
      </w:divBdr>
    </w:div>
    <w:div w:id="215747593">
      <w:bodyDiv w:val="1"/>
      <w:marLeft w:val="0"/>
      <w:marRight w:val="0"/>
      <w:marTop w:val="0"/>
      <w:marBottom w:val="0"/>
      <w:divBdr>
        <w:top w:val="none" w:sz="0" w:space="0" w:color="auto"/>
        <w:left w:val="none" w:sz="0" w:space="0" w:color="auto"/>
        <w:bottom w:val="none" w:sz="0" w:space="0" w:color="auto"/>
        <w:right w:val="none" w:sz="0" w:space="0" w:color="auto"/>
      </w:divBdr>
    </w:div>
    <w:div w:id="215774777">
      <w:bodyDiv w:val="1"/>
      <w:marLeft w:val="0"/>
      <w:marRight w:val="0"/>
      <w:marTop w:val="0"/>
      <w:marBottom w:val="0"/>
      <w:divBdr>
        <w:top w:val="none" w:sz="0" w:space="0" w:color="auto"/>
        <w:left w:val="none" w:sz="0" w:space="0" w:color="auto"/>
        <w:bottom w:val="none" w:sz="0" w:space="0" w:color="auto"/>
        <w:right w:val="none" w:sz="0" w:space="0" w:color="auto"/>
      </w:divBdr>
    </w:div>
    <w:div w:id="215894099">
      <w:bodyDiv w:val="1"/>
      <w:marLeft w:val="0"/>
      <w:marRight w:val="0"/>
      <w:marTop w:val="0"/>
      <w:marBottom w:val="0"/>
      <w:divBdr>
        <w:top w:val="none" w:sz="0" w:space="0" w:color="auto"/>
        <w:left w:val="none" w:sz="0" w:space="0" w:color="auto"/>
        <w:bottom w:val="none" w:sz="0" w:space="0" w:color="auto"/>
        <w:right w:val="none" w:sz="0" w:space="0" w:color="auto"/>
      </w:divBdr>
    </w:div>
    <w:div w:id="217009789">
      <w:bodyDiv w:val="1"/>
      <w:marLeft w:val="0"/>
      <w:marRight w:val="0"/>
      <w:marTop w:val="0"/>
      <w:marBottom w:val="0"/>
      <w:divBdr>
        <w:top w:val="none" w:sz="0" w:space="0" w:color="auto"/>
        <w:left w:val="none" w:sz="0" w:space="0" w:color="auto"/>
        <w:bottom w:val="none" w:sz="0" w:space="0" w:color="auto"/>
        <w:right w:val="none" w:sz="0" w:space="0" w:color="auto"/>
      </w:divBdr>
    </w:div>
    <w:div w:id="217595857">
      <w:bodyDiv w:val="1"/>
      <w:marLeft w:val="0"/>
      <w:marRight w:val="0"/>
      <w:marTop w:val="0"/>
      <w:marBottom w:val="0"/>
      <w:divBdr>
        <w:top w:val="none" w:sz="0" w:space="0" w:color="auto"/>
        <w:left w:val="none" w:sz="0" w:space="0" w:color="auto"/>
        <w:bottom w:val="none" w:sz="0" w:space="0" w:color="auto"/>
        <w:right w:val="none" w:sz="0" w:space="0" w:color="auto"/>
      </w:divBdr>
    </w:div>
    <w:div w:id="218562752">
      <w:bodyDiv w:val="1"/>
      <w:marLeft w:val="0"/>
      <w:marRight w:val="0"/>
      <w:marTop w:val="0"/>
      <w:marBottom w:val="0"/>
      <w:divBdr>
        <w:top w:val="none" w:sz="0" w:space="0" w:color="auto"/>
        <w:left w:val="none" w:sz="0" w:space="0" w:color="auto"/>
        <w:bottom w:val="none" w:sz="0" w:space="0" w:color="auto"/>
        <w:right w:val="none" w:sz="0" w:space="0" w:color="auto"/>
      </w:divBdr>
    </w:div>
    <w:div w:id="219171971">
      <w:bodyDiv w:val="1"/>
      <w:marLeft w:val="0"/>
      <w:marRight w:val="0"/>
      <w:marTop w:val="0"/>
      <w:marBottom w:val="0"/>
      <w:divBdr>
        <w:top w:val="none" w:sz="0" w:space="0" w:color="auto"/>
        <w:left w:val="none" w:sz="0" w:space="0" w:color="auto"/>
        <w:bottom w:val="none" w:sz="0" w:space="0" w:color="auto"/>
        <w:right w:val="none" w:sz="0" w:space="0" w:color="auto"/>
      </w:divBdr>
    </w:div>
    <w:div w:id="219175454">
      <w:bodyDiv w:val="1"/>
      <w:marLeft w:val="0"/>
      <w:marRight w:val="0"/>
      <w:marTop w:val="0"/>
      <w:marBottom w:val="0"/>
      <w:divBdr>
        <w:top w:val="none" w:sz="0" w:space="0" w:color="auto"/>
        <w:left w:val="none" w:sz="0" w:space="0" w:color="auto"/>
        <w:bottom w:val="none" w:sz="0" w:space="0" w:color="auto"/>
        <w:right w:val="none" w:sz="0" w:space="0" w:color="auto"/>
      </w:divBdr>
    </w:div>
    <w:div w:id="219244501">
      <w:bodyDiv w:val="1"/>
      <w:marLeft w:val="0"/>
      <w:marRight w:val="0"/>
      <w:marTop w:val="0"/>
      <w:marBottom w:val="0"/>
      <w:divBdr>
        <w:top w:val="none" w:sz="0" w:space="0" w:color="auto"/>
        <w:left w:val="none" w:sz="0" w:space="0" w:color="auto"/>
        <w:bottom w:val="none" w:sz="0" w:space="0" w:color="auto"/>
        <w:right w:val="none" w:sz="0" w:space="0" w:color="auto"/>
      </w:divBdr>
    </w:div>
    <w:div w:id="220097233">
      <w:bodyDiv w:val="1"/>
      <w:marLeft w:val="0"/>
      <w:marRight w:val="0"/>
      <w:marTop w:val="0"/>
      <w:marBottom w:val="0"/>
      <w:divBdr>
        <w:top w:val="none" w:sz="0" w:space="0" w:color="auto"/>
        <w:left w:val="none" w:sz="0" w:space="0" w:color="auto"/>
        <w:bottom w:val="none" w:sz="0" w:space="0" w:color="auto"/>
        <w:right w:val="none" w:sz="0" w:space="0" w:color="auto"/>
      </w:divBdr>
    </w:div>
    <w:div w:id="220097316">
      <w:bodyDiv w:val="1"/>
      <w:marLeft w:val="0"/>
      <w:marRight w:val="0"/>
      <w:marTop w:val="0"/>
      <w:marBottom w:val="0"/>
      <w:divBdr>
        <w:top w:val="none" w:sz="0" w:space="0" w:color="auto"/>
        <w:left w:val="none" w:sz="0" w:space="0" w:color="auto"/>
        <w:bottom w:val="none" w:sz="0" w:space="0" w:color="auto"/>
        <w:right w:val="none" w:sz="0" w:space="0" w:color="auto"/>
      </w:divBdr>
    </w:div>
    <w:div w:id="220676741">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714938">
      <w:bodyDiv w:val="1"/>
      <w:marLeft w:val="0"/>
      <w:marRight w:val="0"/>
      <w:marTop w:val="0"/>
      <w:marBottom w:val="0"/>
      <w:divBdr>
        <w:top w:val="none" w:sz="0" w:space="0" w:color="auto"/>
        <w:left w:val="none" w:sz="0" w:space="0" w:color="auto"/>
        <w:bottom w:val="none" w:sz="0" w:space="0" w:color="auto"/>
        <w:right w:val="none" w:sz="0" w:space="0" w:color="auto"/>
      </w:divBdr>
    </w:div>
    <w:div w:id="222524022">
      <w:bodyDiv w:val="1"/>
      <w:marLeft w:val="0"/>
      <w:marRight w:val="0"/>
      <w:marTop w:val="0"/>
      <w:marBottom w:val="0"/>
      <w:divBdr>
        <w:top w:val="none" w:sz="0" w:space="0" w:color="auto"/>
        <w:left w:val="none" w:sz="0" w:space="0" w:color="auto"/>
        <w:bottom w:val="none" w:sz="0" w:space="0" w:color="auto"/>
        <w:right w:val="none" w:sz="0" w:space="0" w:color="auto"/>
      </w:divBdr>
    </w:div>
    <w:div w:id="222957953">
      <w:bodyDiv w:val="1"/>
      <w:marLeft w:val="0"/>
      <w:marRight w:val="0"/>
      <w:marTop w:val="0"/>
      <w:marBottom w:val="0"/>
      <w:divBdr>
        <w:top w:val="none" w:sz="0" w:space="0" w:color="auto"/>
        <w:left w:val="none" w:sz="0" w:space="0" w:color="auto"/>
        <w:bottom w:val="none" w:sz="0" w:space="0" w:color="auto"/>
        <w:right w:val="none" w:sz="0" w:space="0" w:color="auto"/>
      </w:divBdr>
    </w:div>
    <w:div w:id="224680391">
      <w:bodyDiv w:val="1"/>
      <w:marLeft w:val="0"/>
      <w:marRight w:val="0"/>
      <w:marTop w:val="0"/>
      <w:marBottom w:val="0"/>
      <w:divBdr>
        <w:top w:val="none" w:sz="0" w:space="0" w:color="auto"/>
        <w:left w:val="none" w:sz="0" w:space="0" w:color="auto"/>
        <w:bottom w:val="none" w:sz="0" w:space="0" w:color="auto"/>
        <w:right w:val="none" w:sz="0" w:space="0" w:color="auto"/>
      </w:divBdr>
    </w:div>
    <w:div w:id="226110563">
      <w:bodyDiv w:val="1"/>
      <w:marLeft w:val="0"/>
      <w:marRight w:val="0"/>
      <w:marTop w:val="0"/>
      <w:marBottom w:val="0"/>
      <w:divBdr>
        <w:top w:val="none" w:sz="0" w:space="0" w:color="auto"/>
        <w:left w:val="none" w:sz="0" w:space="0" w:color="auto"/>
        <w:bottom w:val="none" w:sz="0" w:space="0" w:color="auto"/>
        <w:right w:val="none" w:sz="0" w:space="0" w:color="auto"/>
      </w:divBdr>
    </w:div>
    <w:div w:id="228349434">
      <w:bodyDiv w:val="1"/>
      <w:marLeft w:val="0"/>
      <w:marRight w:val="0"/>
      <w:marTop w:val="0"/>
      <w:marBottom w:val="0"/>
      <w:divBdr>
        <w:top w:val="none" w:sz="0" w:space="0" w:color="auto"/>
        <w:left w:val="none" w:sz="0" w:space="0" w:color="auto"/>
        <w:bottom w:val="none" w:sz="0" w:space="0" w:color="auto"/>
        <w:right w:val="none" w:sz="0" w:space="0" w:color="auto"/>
      </w:divBdr>
    </w:div>
    <w:div w:id="228417337">
      <w:bodyDiv w:val="1"/>
      <w:marLeft w:val="0"/>
      <w:marRight w:val="0"/>
      <w:marTop w:val="0"/>
      <w:marBottom w:val="0"/>
      <w:divBdr>
        <w:top w:val="none" w:sz="0" w:space="0" w:color="auto"/>
        <w:left w:val="none" w:sz="0" w:space="0" w:color="auto"/>
        <w:bottom w:val="none" w:sz="0" w:space="0" w:color="auto"/>
        <w:right w:val="none" w:sz="0" w:space="0" w:color="auto"/>
      </w:divBdr>
    </w:div>
    <w:div w:id="229465810">
      <w:bodyDiv w:val="1"/>
      <w:marLeft w:val="0"/>
      <w:marRight w:val="0"/>
      <w:marTop w:val="0"/>
      <w:marBottom w:val="0"/>
      <w:divBdr>
        <w:top w:val="none" w:sz="0" w:space="0" w:color="auto"/>
        <w:left w:val="none" w:sz="0" w:space="0" w:color="auto"/>
        <w:bottom w:val="none" w:sz="0" w:space="0" w:color="auto"/>
        <w:right w:val="none" w:sz="0" w:space="0" w:color="auto"/>
      </w:divBdr>
    </w:div>
    <w:div w:id="230506071">
      <w:bodyDiv w:val="1"/>
      <w:marLeft w:val="0"/>
      <w:marRight w:val="0"/>
      <w:marTop w:val="0"/>
      <w:marBottom w:val="0"/>
      <w:divBdr>
        <w:top w:val="none" w:sz="0" w:space="0" w:color="auto"/>
        <w:left w:val="none" w:sz="0" w:space="0" w:color="auto"/>
        <w:bottom w:val="none" w:sz="0" w:space="0" w:color="auto"/>
        <w:right w:val="none" w:sz="0" w:space="0" w:color="auto"/>
      </w:divBdr>
    </w:div>
    <w:div w:id="230700994">
      <w:bodyDiv w:val="1"/>
      <w:marLeft w:val="0"/>
      <w:marRight w:val="0"/>
      <w:marTop w:val="0"/>
      <w:marBottom w:val="0"/>
      <w:divBdr>
        <w:top w:val="none" w:sz="0" w:space="0" w:color="auto"/>
        <w:left w:val="none" w:sz="0" w:space="0" w:color="auto"/>
        <w:bottom w:val="none" w:sz="0" w:space="0" w:color="auto"/>
        <w:right w:val="none" w:sz="0" w:space="0" w:color="auto"/>
      </w:divBdr>
    </w:div>
    <w:div w:id="231932058">
      <w:bodyDiv w:val="1"/>
      <w:marLeft w:val="0"/>
      <w:marRight w:val="0"/>
      <w:marTop w:val="0"/>
      <w:marBottom w:val="0"/>
      <w:divBdr>
        <w:top w:val="none" w:sz="0" w:space="0" w:color="auto"/>
        <w:left w:val="none" w:sz="0" w:space="0" w:color="auto"/>
        <w:bottom w:val="none" w:sz="0" w:space="0" w:color="auto"/>
        <w:right w:val="none" w:sz="0" w:space="0" w:color="auto"/>
      </w:divBdr>
    </w:div>
    <w:div w:id="232203079">
      <w:bodyDiv w:val="1"/>
      <w:marLeft w:val="0"/>
      <w:marRight w:val="0"/>
      <w:marTop w:val="0"/>
      <w:marBottom w:val="0"/>
      <w:divBdr>
        <w:top w:val="none" w:sz="0" w:space="0" w:color="auto"/>
        <w:left w:val="none" w:sz="0" w:space="0" w:color="auto"/>
        <w:bottom w:val="none" w:sz="0" w:space="0" w:color="auto"/>
        <w:right w:val="none" w:sz="0" w:space="0" w:color="auto"/>
      </w:divBdr>
    </w:div>
    <w:div w:id="232856636">
      <w:bodyDiv w:val="1"/>
      <w:marLeft w:val="0"/>
      <w:marRight w:val="0"/>
      <w:marTop w:val="0"/>
      <w:marBottom w:val="0"/>
      <w:divBdr>
        <w:top w:val="none" w:sz="0" w:space="0" w:color="auto"/>
        <w:left w:val="none" w:sz="0" w:space="0" w:color="auto"/>
        <w:bottom w:val="none" w:sz="0" w:space="0" w:color="auto"/>
        <w:right w:val="none" w:sz="0" w:space="0" w:color="auto"/>
      </w:divBdr>
    </w:div>
    <w:div w:id="234901801">
      <w:bodyDiv w:val="1"/>
      <w:marLeft w:val="0"/>
      <w:marRight w:val="0"/>
      <w:marTop w:val="0"/>
      <w:marBottom w:val="0"/>
      <w:divBdr>
        <w:top w:val="none" w:sz="0" w:space="0" w:color="auto"/>
        <w:left w:val="none" w:sz="0" w:space="0" w:color="auto"/>
        <w:bottom w:val="none" w:sz="0" w:space="0" w:color="auto"/>
        <w:right w:val="none" w:sz="0" w:space="0" w:color="auto"/>
      </w:divBdr>
    </w:div>
    <w:div w:id="235365659">
      <w:bodyDiv w:val="1"/>
      <w:marLeft w:val="0"/>
      <w:marRight w:val="0"/>
      <w:marTop w:val="0"/>
      <w:marBottom w:val="0"/>
      <w:divBdr>
        <w:top w:val="none" w:sz="0" w:space="0" w:color="auto"/>
        <w:left w:val="none" w:sz="0" w:space="0" w:color="auto"/>
        <w:bottom w:val="none" w:sz="0" w:space="0" w:color="auto"/>
        <w:right w:val="none" w:sz="0" w:space="0" w:color="auto"/>
      </w:divBdr>
    </w:div>
    <w:div w:id="236136853">
      <w:bodyDiv w:val="1"/>
      <w:marLeft w:val="0"/>
      <w:marRight w:val="0"/>
      <w:marTop w:val="0"/>
      <w:marBottom w:val="0"/>
      <w:divBdr>
        <w:top w:val="none" w:sz="0" w:space="0" w:color="auto"/>
        <w:left w:val="none" w:sz="0" w:space="0" w:color="auto"/>
        <w:bottom w:val="none" w:sz="0" w:space="0" w:color="auto"/>
        <w:right w:val="none" w:sz="0" w:space="0" w:color="auto"/>
      </w:divBdr>
    </w:div>
    <w:div w:id="236937783">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448370">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39366637">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0871639">
      <w:bodyDiv w:val="1"/>
      <w:marLeft w:val="0"/>
      <w:marRight w:val="0"/>
      <w:marTop w:val="0"/>
      <w:marBottom w:val="0"/>
      <w:divBdr>
        <w:top w:val="none" w:sz="0" w:space="0" w:color="auto"/>
        <w:left w:val="none" w:sz="0" w:space="0" w:color="auto"/>
        <w:bottom w:val="none" w:sz="0" w:space="0" w:color="auto"/>
        <w:right w:val="none" w:sz="0" w:space="0" w:color="auto"/>
      </w:divBdr>
    </w:div>
    <w:div w:id="243270298">
      <w:bodyDiv w:val="1"/>
      <w:marLeft w:val="0"/>
      <w:marRight w:val="0"/>
      <w:marTop w:val="0"/>
      <w:marBottom w:val="0"/>
      <w:divBdr>
        <w:top w:val="none" w:sz="0" w:space="0" w:color="auto"/>
        <w:left w:val="none" w:sz="0" w:space="0" w:color="auto"/>
        <w:bottom w:val="none" w:sz="0" w:space="0" w:color="auto"/>
        <w:right w:val="none" w:sz="0" w:space="0" w:color="auto"/>
      </w:divBdr>
    </w:div>
    <w:div w:id="244268761">
      <w:bodyDiv w:val="1"/>
      <w:marLeft w:val="0"/>
      <w:marRight w:val="0"/>
      <w:marTop w:val="0"/>
      <w:marBottom w:val="0"/>
      <w:divBdr>
        <w:top w:val="none" w:sz="0" w:space="0" w:color="auto"/>
        <w:left w:val="none" w:sz="0" w:space="0" w:color="auto"/>
        <w:bottom w:val="none" w:sz="0" w:space="0" w:color="auto"/>
        <w:right w:val="none" w:sz="0" w:space="0" w:color="auto"/>
      </w:divBdr>
    </w:div>
    <w:div w:id="245044612">
      <w:bodyDiv w:val="1"/>
      <w:marLeft w:val="0"/>
      <w:marRight w:val="0"/>
      <w:marTop w:val="0"/>
      <w:marBottom w:val="0"/>
      <w:divBdr>
        <w:top w:val="none" w:sz="0" w:space="0" w:color="auto"/>
        <w:left w:val="none" w:sz="0" w:space="0" w:color="auto"/>
        <w:bottom w:val="none" w:sz="0" w:space="0" w:color="auto"/>
        <w:right w:val="none" w:sz="0" w:space="0" w:color="auto"/>
      </w:divBdr>
    </w:div>
    <w:div w:id="245968512">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7158898">
      <w:bodyDiv w:val="1"/>
      <w:marLeft w:val="0"/>
      <w:marRight w:val="0"/>
      <w:marTop w:val="0"/>
      <w:marBottom w:val="0"/>
      <w:divBdr>
        <w:top w:val="none" w:sz="0" w:space="0" w:color="auto"/>
        <w:left w:val="none" w:sz="0" w:space="0" w:color="auto"/>
        <w:bottom w:val="none" w:sz="0" w:space="0" w:color="auto"/>
        <w:right w:val="none" w:sz="0" w:space="0" w:color="auto"/>
      </w:divBdr>
    </w:div>
    <w:div w:id="247622478">
      <w:bodyDiv w:val="1"/>
      <w:marLeft w:val="0"/>
      <w:marRight w:val="0"/>
      <w:marTop w:val="0"/>
      <w:marBottom w:val="0"/>
      <w:divBdr>
        <w:top w:val="none" w:sz="0" w:space="0" w:color="auto"/>
        <w:left w:val="none" w:sz="0" w:space="0" w:color="auto"/>
        <w:bottom w:val="none" w:sz="0" w:space="0" w:color="auto"/>
        <w:right w:val="none" w:sz="0" w:space="0" w:color="auto"/>
      </w:divBdr>
    </w:div>
    <w:div w:id="248076486">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0507504">
      <w:bodyDiv w:val="1"/>
      <w:marLeft w:val="0"/>
      <w:marRight w:val="0"/>
      <w:marTop w:val="0"/>
      <w:marBottom w:val="0"/>
      <w:divBdr>
        <w:top w:val="none" w:sz="0" w:space="0" w:color="auto"/>
        <w:left w:val="none" w:sz="0" w:space="0" w:color="auto"/>
        <w:bottom w:val="none" w:sz="0" w:space="0" w:color="auto"/>
        <w:right w:val="none" w:sz="0" w:space="0" w:color="auto"/>
      </w:divBdr>
    </w:div>
    <w:div w:id="250699956">
      <w:bodyDiv w:val="1"/>
      <w:marLeft w:val="0"/>
      <w:marRight w:val="0"/>
      <w:marTop w:val="0"/>
      <w:marBottom w:val="0"/>
      <w:divBdr>
        <w:top w:val="none" w:sz="0" w:space="0" w:color="auto"/>
        <w:left w:val="none" w:sz="0" w:space="0" w:color="auto"/>
        <w:bottom w:val="none" w:sz="0" w:space="0" w:color="auto"/>
        <w:right w:val="none" w:sz="0" w:space="0" w:color="auto"/>
      </w:divBdr>
    </w:div>
    <w:div w:id="25147604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1664477">
      <w:bodyDiv w:val="1"/>
      <w:marLeft w:val="0"/>
      <w:marRight w:val="0"/>
      <w:marTop w:val="0"/>
      <w:marBottom w:val="0"/>
      <w:divBdr>
        <w:top w:val="none" w:sz="0" w:space="0" w:color="auto"/>
        <w:left w:val="none" w:sz="0" w:space="0" w:color="auto"/>
        <w:bottom w:val="none" w:sz="0" w:space="0" w:color="auto"/>
        <w:right w:val="none" w:sz="0" w:space="0" w:color="auto"/>
      </w:divBdr>
    </w:div>
    <w:div w:id="251857025">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2670445">
      <w:bodyDiv w:val="1"/>
      <w:marLeft w:val="0"/>
      <w:marRight w:val="0"/>
      <w:marTop w:val="0"/>
      <w:marBottom w:val="0"/>
      <w:divBdr>
        <w:top w:val="none" w:sz="0" w:space="0" w:color="auto"/>
        <w:left w:val="none" w:sz="0" w:space="0" w:color="auto"/>
        <w:bottom w:val="none" w:sz="0" w:space="0" w:color="auto"/>
        <w:right w:val="none" w:sz="0" w:space="0" w:color="auto"/>
      </w:divBdr>
    </w:div>
    <w:div w:id="253587130">
      <w:bodyDiv w:val="1"/>
      <w:marLeft w:val="0"/>
      <w:marRight w:val="0"/>
      <w:marTop w:val="0"/>
      <w:marBottom w:val="0"/>
      <w:divBdr>
        <w:top w:val="none" w:sz="0" w:space="0" w:color="auto"/>
        <w:left w:val="none" w:sz="0" w:space="0" w:color="auto"/>
        <w:bottom w:val="none" w:sz="0" w:space="0" w:color="auto"/>
        <w:right w:val="none" w:sz="0" w:space="0" w:color="auto"/>
      </w:divBdr>
    </w:div>
    <w:div w:id="253636254">
      <w:bodyDiv w:val="1"/>
      <w:marLeft w:val="0"/>
      <w:marRight w:val="0"/>
      <w:marTop w:val="0"/>
      <w:marBottom w:val="0"/>
      <w:divBdr>
        <w:top w:val="none" w:sz="0" w:space="0" w:color="auto"/>
        <w:left w:val="none" w:sz="0" w:space="0" w:color="auto"/>
        <w:bottom w:val="none" w:sz="0" w:space="0" w:color="auto"/>
        <w:right w:val="none" w:sz="0" w:space="0" w:color="auto"/>
      </w:divBdr>
    </w:div>
    <w:div w:id="253637621">
      <w:bodyDiv w:val="1"/>
      <w:marLeft w:val="0"/>
      <w:marRight w:val="0"/>
      <w:marTop w:val="0"/>
      <w:marBottom w:val="0"/>
      <w:divBdr>
        <w:top w:val="none" w:sz="0" w:space="0" w:color="auto"/>
        <w:left w:val="none" w:sz="0" w:space="0" w:color="auto"/>
        <w:bottom w:val="none" w:sz="0" w:space="0" w:color="auto"/>
        <w:right w:val="none" w:sz="0" w:space="0" w:color="auto"/>
      </w:divBdr>
    </w:div>
    <w:div w:id="25378119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4364070">
      <w:bodyDiv w:val="1"/>
      <w:marLeft w:val="0"/>
      <w:marRight w:val="0"/>
      <w:marTop w:val="0"/>
      <w:marBottom w:val="0"/>
      <w:divBdr>
        <w:top w:val="none" w:sz="0" w:space="0" w:color="auto"/>
        <w:left w:val="none" w:sz="0" w:space="0" w:color="auto"/>
        <w:bottom w:val="none" w:sz="0" w:space="0" w:color="auto"/>
        <w:right w:val="none" w:sz="0" w:space="0" w:color="auto"/>
      </w:divBdr>
    </w:div>
    <w:div w:id="255405596">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11862">
      <w:bodyDiv w:val="1"/>
      <w:marLeft w:val="0"/>
      <w:marRight w:val="0"/>
      <w:marTop w:val="0"/>
      <w:marBottom w:val="0"/>
      <w:divBdr>
        <w:top w:val="none" w:sz="0" w:space="0" w:color="auto"/>
        <w:left w:val="none" w:sz="0" w:space="0" w:color="auto"/>
        <w:bottom w:val="none" w:sz="0" w:space="0" w:color="auto"/>
        <w:right w:val="none" w:sz="0" w:space="0" w:color="auto"/>
      </w:divBdr>
    </w:div>
    <w:div w:id="25678792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7637958">
      <w:bodyDiv w:val="1"/>
      <w:marLeft w:val="0"/>
      <w:marRight w:val="0"/>
      <w:marTop w:val="0"/>
      <w:marBottom w:val="0"/>
      <w:divBdr>
        <w:top w:val="none" w:sz="0" w:space="0" w:color="auto"/>
        <w:left w:val="none" w:sz="0" w:space="0" w:color="auto"/>
        <w:bottom w:val="none" w:sz="0" w:space="0" w:color="auto"/>
        <w:right w:val="none" w:sz="0" w:space="0" w:color="auto"/>
      </w:divBdr>
    </w:div>
    <w:div w:id="258099037">
      <w:bodyDiv w:val="1"/>
      <w:marLeft w:val="0"/>
      <w:marRight w:val="0"/>
      <w:marTop w:val="0"/>
      <w:marBottom w:val="0"/>
      <w:divBdr>
        <w:top w:val="none" w:sz="0" w:space="0" w:color="auto"/>
        <w:left w:val="none" w:sz="0" w:space="0" w:color="auto"/>
        <w:bottom w:val="none" w:sz="0" w:space="0" w:color="auto"/>
        <w:right w:val="none" w:sz="0" w:space="0" w:color="auto"/>
      </w:divBdr>
    </w:div>
    <w:div w:id="258373309">
      <w:bodyDiv w:val="1"/>
      <w:marLeft w:val="0"/>
      <w:marRight w:val="0"/>
      <w:marTop w:val="0"/>
      <w:marBottom w:val="0"/>
      <w:divBdr>
        <w:top w:val="none" w:sz="0" w:space="0" w:color="auto"/>
        <w:left w:val="none" w:sz="0" w:space="0" w:color="auto"/>
        <w:bottom w:val="none" w:sz="0" w:space="0" w:color="auto"/>
        <w:right w:val="none" w:sz="0" w:space="0" w:color="auto"/>
      </w:divBdr>
    </w:div>
    <w:div w:id="259030948">
      <w:bodyDiv w:val="1"/>
      <w:marLeft w:val="0"/>
      <w:marRight w:val="0"/>
      <w:marTop w:val="0"/>
      <w:marBottom w:val="0"/>
      <w:divBdr>
        <w:top w:val="none" w:sz="0" w:space="0" w:color="auto"/>
        <w:left w:val="none" w:sz="0" w:space="0" w:color="auto"/>
        <w:bottom w:val="none" w:sz="0" w:space="0" w:color="auto"/>
        <w:right w:val="none" w:sz="0" w:space="0" w:color="auto"/>
      </w:divBdr>
    </w:div>
    <w:div w:id="259221135">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0530621">
      <w:bodyDiv w:val="1"/>
      <w:marLeft w:val="0"/>
      <w:marRight w:val="0"/>
      <w:marTop w:val="0"/>
      <w:marBottom w:val="0"/>
      <w:divBdr>
        <w:top w:val="none" w:sz="0" w:space="0" w:color="auto"/>
        <w:left w:val="none" w:sz="0" w:space="0" w:color="auto"/>
        <w:bottom w:val="none" w:sz="0" w:space="0" w:color="auto"/>
        <w:right w:val="none" w:sz="0" w:space="0" w:color="auto"/>
      </w:divBdr>
    </w:div>
    <w:div w:id="260647367">
      <w:bodyDiv w:val="1"/>
      <w:marLeft w:val="0"/>
      <w:marRight w:val="0"/>
      <w:marTop w:val="0"/>
      <w:marBottom w:val="0"/>
      <w:divBdr>
        <w:top w:val="none" w:sz="0" w:space="0" w:color="auto"/>
        <w:left w:val="none" w:sz="0" w:space="0" w:color="auto"/>
        <w:bottom w:val="none" w:sz="0" w:space="0" w:color="auto"/>
        <w:right w:val="none" w:sz="0" w:space="0" w:color="auto"/>
      </w:divBdr>
    </w:div>
    <w:div w:id="261227431">
      <w:bodyDiv w:val="1"/>
      <w:marLeft w:val="0"/>
      <w:marRight w:val="0"/>
      <w:marTop w:val="0"/>
      <w:marBottom w:val="0"/>
      <w:divBdr>
        <w:top w:val="none" w:sz="0" w:space="0" w:color="auto"/>
        <w:left w:val="none" w:sz="0" w:space="0" w:color="auto"/>
        <w:bottom w:val="none" w:sz="0" w:space="0" w:color="auto"/>
        <w:right w:val="none" w:sz="0" w:space="0" w:color="auto"/>
      </w:divBdr>
    </w:div>
    <w:div w:id="261228092">
      <w:bodyDiv w:val="1"/>
      <w:marLeft w:val="0"/>
      <w:marRight w:val="0"/>
      <w:marTop w:val="0"/>
      <w:marBottom w:val="0"/>
      <w:divBdr>
        <w:top w:val="none" w:sz="0" w:space="0" w:color="auto"/>
        <w:left w:val="none" w:sz="0" w:space="0" w:color="auto"/>
        <w:bottom w:val="none" w:sz="0" w:space="0" w:color="auto"/>
        <w:right w:val="none" w:sz="0" w:space="0" w:color="auto"/>
      </w:divBdr>
    </w:div>
    <w:div w:id="261301768">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2955380">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4535254">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5701598">
      <w:bodyDiv w:val="1"/>
      <w:marLeft w:val="0"/>
      <w:marRight w:val="0"/>
      <w:marTop w:val="0"/>
      <w:marBottom w:val="0"/>
      <w:divBdr>
        <w:top w:val="none" w:sz="0" w:space="0" w:color="auto"/>
        <w:left w:val="none" w:sz="0" w:space="0" w:color="auto"/>
        <w:bottom w:val="none" w:sz="0" w:space="0" w:color="auto"/>
        <w:right w:val="none" w:sz="0" w:space="0" w:color="auto"/>
      </w:divBdr>
    </w:div>
    <w:div w:id="266158238">
      <w:bodyDiv w:val="1"/>
      <w:marLeft w:val="0"/>
      <w:marRight w:val="0"/>
      <w:marTop w:val="0"/>
      <w:marBottom w:val="0"/>
      <w:divBdr>
        <w:top w:val="none" w:sz="0" w:space="0" w:color="auto"/>
        <w:left w:val="none" w:sz="0" w:space="0" w:color="auto"/>
        <w:bottom w:val="none" w:sz="0" w:space="0" w:color="auto"/>
        <w:right w:val="none" w:sz="0" w:space="0" w:color="auto"/>
      </w:divBdr>
    </w:div>
    <w:div w:id="266696225">
      <w:bodyDiv w:val="1"/>
      <w:marLeft w:val="0"/>
      <w:marRight w:val="0"/>
      <w:marTop w:val="0"/>
      <w:marBottom w:val="0"/>
      <w:divBdr>
        <w:top w:val="none" w:sz="0" w:space="0" w:color="auto"/>
        <w:left w:val="none" w:sz="0" w:space="0" w:color="auto"/>
        <w:bottom w:val="none" w:sz="0" w:space="0" w:color="auto"/>
        <w:right w:val="none" w:sz="0" w:space="0" w:color="auto"/>
      </w:divBdr>
    </w:div>
    <w:div w:id="267083491">
      <w:bodyDiv w:val="1"/>
      <w:marLeft w:val="0"/>
      <w:marRight w:val="0"/>
      <w:marTop w:val="0"/>
      <w:marBottom w:val="0"/>
      <w:divBdr>
        <w:top w:val="none" w:sz="0" w:space="0" w:color="auto"/>
        <w:left w:val="none" w:sz="0" w:space="0" w:color="auto"/>
        <w:bottom w:val="none" w:sz="0" w:space="0" w:color="auto"/>
        <w:right w:val="none" w:sz="0" w:space="0" w:color="auto"/>
      </w:divBdr>
    </w:div>
    <w:div w:id="267541979">
      <w:bodyDiv w:val="1"/>
      <w:marLeft w:val="0"/>
      <w:marRight w:val="0"/>
      <w:marTop w:val="0"/>
      <w:marBottom w:val="0"/>
      <w:divBdr>
        <w:top w:val="none" w:sz="0" w:space="0" w:color="auto"/>
        <w:left w:val="none" w:sz="0" w:space="0" w:color="auto"/>
        <w:bottom w:val="none" w:sz="0" w:space="0" w:color="auto"/>
        <w:right w:val="none" w:sz="0" w:space="0" w:color="auto"/>
      </w:divBdr>
    </w:div>
    <w:div w:id="268902422">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239894">
      <w:bodyDiv w:val="1"/>
      <w:marLeft w:val="0"/>
      <w:marRight w:val="0"/>
      <w:marTop w:val="0"/>
      <w:marBottom w:val="0"/>
      <w:divBdr>
        <w:top w:val="none" w:sz="0" w:space="0" w:color="auto"/>
        <w:left w:val="none" w:sz="0" w:space="0" w:color="auto"/>
        <w:bottom w:val="none" w:sz="0" w:space="0" w:color="auto"/>
        <w:right w:val="none" w:sz="0" w:space="0" w:color="auto"/>
      </w:divBdr>
    </w:div>
    <w:div w:id="269513104">
      <w:bodyDiv w:val="1"/>
      <w:marLeft w:val="0"/>
      <w:marRight w:val="0"/>
      <w:marTop w:val="0"/>
      <w:marBottom w:val="0"/>
      <w:divBdr>
        <w:top w:val="none" w:sz="0" w:space="0" w:color="auto"/>
        <w:left w:val="none" w:sz="0" w:space="0" w:color="auto"/>
        <w:bottom w:val="none" w:sz="0" w:space="0" w:color="auto"/>
        <w:right w:val="none" w:sz="0" w:space="0" w:color="auto"/>
      </w:divBdr>
    </w:div>
    <w:div w:id="269969562">
      <w:bodyDiv w:val="1"/>
      <w:marLeft w:val="0"/>
      <w:marRight w:val="0"/>
      <w:marTop w:val="0"/>
      <w:marBottom w:val="0"/>
      <w:divBdr>
        <w:top w:val="none" w:sz="0" w:space="0" w:color="auto"/>
        <w:left w:val="none" w:sz="0" w:space="0" w:color="auto"/>
        <w:bottom w:val="none" w:sz="0" w:space="0" w:color="auto"/>
        <w:right w:val="none" w:sz="0" w:space="0" w:color="auto"/>
      </w:divBdr>
    </w:div>
    <w:div w:id="270095555">
      <w:bodyDiv w:val="1"/>
      <w:marLeft w:val="0"/>
      <w:marRight w:val="0"/>
      <w:marTop w:val="0"/>
      <w:marBottom w:val="0"/>
      <w:divBdr>
        <w:top w:val="none" w:sz="0" w:space="0" w:color="auto"/>
        <w:left w:val="none" w:sz="0" w:space="0" w:color="auto"/>
        <w:bottom w:val="none" w:sz="0" w:space="0" w:color="auto"/>
        <w:right w:val="none" w:sz="0" w:space="0" w:color="auto"/>
      </w:divBdr>
    </w:div>
    <w:div w:id="270745732">
      <w:bodyDiv w:val="1"/>
      <w:marLeft w:val="0"/>
      <w:marRight w:val="0"/>
      <w:marTop w:val="0"/>
      <w:marBottom w:val="0"/>
      <w:divBdr>
        <w:top w:val="none" w:sz="0" w:space="0" w:color="auto"/>
        <w:left w:val="none" w:sz="0" w:space="0" w:color="auto"/>
        <w:bottom w:val="none" w:sz="0" w:space="0" w:color="auto"/>
        <w:right w:val="none" w:sz="0" w:space="0" w:color="auto"/>
      </w:divBdr>
    </w:div>
    <w:div w:id="271016996">
      <w:bodyDiv w:val="1"/>
      <w:marLeft w:val="0"/>
      <w:marRight w:val="0"/>
      <w:marTop w:val="0"/>
      <w:marBottom w:val="0"/>
      <w:divBdr>
        <w:top w:val="none" w:sz="0" w:space="0" w:color="auto"/>
        <w:left w:val="none" w:sz="0" w:space="0" w:color="auto"/>
        <w:bottom w:val="none" w:sz="0" w:space="0" w:color="auto"/>
        <w:right w:val="none" w:sz="0" w:space="0" w:color="auto"/>
      </w:divBdr>
    </w:div>
    <w:div w:id="271403989">
      <w:bodyDiv w:val="1"/>
      <w:marLeft w:val="0"/>
      <w:marRight w:val="0"/>
      <w:marTop w:val="0"/>
      <w:marBottom w:val="0"/>
      <w:divBdr>
        <w:top w:val="none" w:sz="0" w:space="0" w:color="auto"/>
        <w:left w:val="none" w:sz="0" w:space="0" w:color="auto"/>
        <w:bottom w:val="none" w:sz="0" w:space="0" w:color="auto"/>
        <w:right w:val="none" w:sz="0" w:space="0" w:color="auto"/>
      </w:divBdr>
    </w:div>
    <w:div w:id="271594212">
      <w:bodyDiv w:val="1"/>
      <w:marLeft w:val="0"/>
      <w:marRight w:val="0"/>
      <w:marTop w:val="0"/>
      <w:marBottom w:val="0"/>
      <w:divBdr>
        <w:top w:val="none" w:sz="0" w:space="0" w:color="auto"/>
        <w:left w:val="none" w:sz="0" w:space="0" w:color="auto"/>
        <w:bottom w:val="none" w:sz="0" w:space="0" w:color="auto"/>
        <w:right w:val="none" w:sz="0" w:space="0" w:color="auto"/>
      </w:divBdr>
    </w:div>
    <w:div w:id="271741517">
      <w:bodyDiv w:val="1"/>
      <w:marLeft w:val="0"/>
      <w:marRight w:val="0"/>
      <w:marTop w:val="0"/>
      <w:marBottom w:val="0"/>
      <w:divBdr>
        <w:top w:val="none" w:sz="0" w:space="0" w:color="auto"/>
        <w:left w:val="none" w:sz="0" w:space="0" w:color="auto"/>
        <w:bottom w:val="none" w:sz="0" w:space="0" w:color="auto"/>
        <w:right w:val="none" w:sz="0" w:space="0" w:color="auto"/>
      </w:divBdr>
    </w:div>
    <w:div w:id="271743956">
      <w:bodyDiv w:val="1"/>
      <w:marLeft w:val="0"/>
      <w:marRight w:val="0"/>
      <w:marTop w:val="0"/>
      <w:marBottom w:val="0"/>
      <w:divBdr>
        <w:top w:val="none" w:sz="0" w:space="0" w:color="auto"/>
        <w:left w:val="none" w:sz="0" w:space="0" w:color="auto"/>
        <w:bottom w:val="none" w:sz="0" w:space="0" w:color="auto"/>
        <w:right w:val="none" w:sz="0" w:space="0" w:color="auto"/>
      </w:divBdr>
    </w:div>
    <w:div w:id="273630915">
      <w:bodyDiv w:val="1"/>
      <w:marLeft w:val="0"/>
      <w:marRight w:val="0"/>
      <w:marTop w:val="0"/>
      <w:marBottom w:val="0"/>
      <w:divBdr>
        <w:top w:val="none" w:sz="0" w:space="0" w:color="auto"/>
        <w:left w:val="none" w:sz="0" w:space="0" w:color="auto"/>
        <w:bottom w:val="none" w:sz="0" w:space="0" w:color="auto"/>
        <w:right w:val="none" w:sz="0" w:space="0" w:color="auto"/>
      </w:divBdr>
    </w:div>
    <w:div w:id="273679303">
      <w:bodyDiv w:val="1"/>
      <w:marLeft w:val="0"/>
      <w:marRight w:val="0"/>
      <w:marTop w:val="0"/>
      <w:marBottom w:val="0"/>
      <w:divBdr>
        <w:top w:val="none" w:sz="0" w:space="0" w:color="auto"/>
        <w:left w:val="none" w:sz="0" w:space="0" w:color="auto"/>
        <w:bottom w:val="none" w:sz="0" w:space="0" w:color="auto"/>
        <w:right w:val="none" w:sz="0" w:space="0" w:color="auto"/>
      </w:divBdr>
    </w:div>
    <w:div w:id="273708954">
      <w:bodyDiv w:val="1"/>
      <w:marLeft w:val="0"/>
      <w:marRight w:val="0"/>
      <w:marTop w:val="0"/>
      <w:marBottom w:val="0"/>
      <w:divBdr>
        <w:top w:val="none" w:sz="0" w:space="0" w:color="auto"/>
        <w:left w:val="none" w:sz="0" w:space="0" w:color="auto"/>
        <w:bottom w:val="none" w:sz="0" w:space="0" w:color="auto"/>
        <w:right w:val="none" w:sz="0" w:space="0" w:color="auto"/>
      </w:divBdr>
    </w:div>
    <w:div w:id="27383331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4992544">
      <w:bodyDiv w:val="1"/>
      <w:marLeft w:val="0"/>
      <w:marRight w:val="0"/>
      <w:marTop w:val="0"/>
      <w:marBottom w:val="0"/>
      <w:divBdr>
        <w:top w:val="none" w:sz="0" w:space="0" w:color="auto"/>
        <w:left w:val="none" w:sz="0" w:space="0" w:color="auto"/>
        <w:bottom w:val="none" w:sz="0" w:space="0" w:color="auto"/>
        <w:right w:val="none" w:sz="0" w:space="0" w:color="auto"/>
      </w:divBdr>
    </w:div>
    <w:div w:id="275408653">
      <w:bodyDiv w:val="1"/>
      <w:marLeft w:val="0"/>
      <w:marRight w:val="0"/>
      <w:marTop w:val="0"/>
      <w:marBottom w:val="0"/>
      <w:divBdr>
        <w:top w:val="none" w:sz="0" w:space="0" w:color="auto"/>
        <w:left w:val="none" w:sz="0" w:space="0" w:color="auto"/>
        <w:bottom w:val="none" w:sz="0" w:space="0" w:color="auto"/>
        <w:right w:val="none" w:sz="0" w:space="0" w:color="auto"/>
      </w:divBdr>
    </w:div>
    <w:div w:id="275528366">
      <w:bodyDiv w:val="1"/>
      <w:marLeft w:val="0"/>
      <w:marRight w:val="0"/>
      <w:marTop w:val="0"/>
      <w:marBottom w:val="0"/>
      <w:divBdr>
        <w:top w:val="none" w:sz="0" w:space="0" w:color="auto"/>
        <w:left w:val="none" w:sz="0" w:space="0" w:color="auto"/>
        <w:bottom w:val="none" w:sz="0" w:space="0" w:color="auto"/>
        <w:right w:val="none" w:sz="0" w:space="0" w:color="auto"/>
      </w:divBdr>
    </w:div>
    <w:div w:id="27560555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7106323">
      <w:bodyDiv w:val="1"/>
      <w:marLeft w:val="0"/>
      <w:marRight w:val="0"/>
      <w:marTop w:val="0"/>
      <w:marBottom w:val="0"/>
      <w:divBdr>
        <w:top w:val="none" w:sz="0" w:space="0" w:color="auto"/>
        <w:left w:val="none" w:sz="0" w:space="0" w:color="auto"/>
        <w:bottom w:val="none" w:sz="0" w:space="0" w:color="auto"/>
        <w:right w:val="none" w:sz="0" w:space="0" w:color="auto"/>
      </w:divBdr>
    </w:div>
    <w:div w:id="277220284">
      <w:bodyDiv w:val="1"/>
      <w:marLeft w:val="0"/>
      <w:marRight w:val="0"/>
      <w:marTop w:val="0"/>
      <w:marBottom w:val="0"/>
      <w:divBdr>
        <w:top w:val="none" w:sz="0" w:space="0" w:color="auto"/>
        <w:left w:val="none" w:sz="0" w:space="0" w:color="auto"/>
        <w:bottom w:val="none" w:sz="0" w:space="0" w:color="auto"/>
        <w:right w:val="none" w:sz="0" w:space="0" w:color="auto"/>
      </w:divBdr>
    </w:div>
    <w:div w:id="278033782">
      <w:bodyDiv w:val="1"/>
      <w:marLeft w:val="0"/>
      <w:marRight w:val="0"/>
      <w:marTop w:val="0"/>
      <w:marBottom w:val="0"/>
      <w:divBdr>
        <w:top w:val="none" w:sz="0" w:space="0" w:color="auto"/>
        <w:left w:val="none" w:sz="0" w:space="0" w:color="auto"/>
        <w:bottom w:val="none" w:sz="0" w:space="0" w:color="auto"/>
        <w:right w:val="none" w:sz="0" w:space="0" w:color="auto"/>
      </w:divBdr>
    </w:div>
    <w:div w:id="278993667">
      <w:bodyDiv w:val="1"/>
      <w:marLeft w:val="0"/>
      <w:marRight w:val="0"/>
      <w:marTop w:val="0"/>
      <w:marBottom w:val="0"/>
      <w:divBdr>
        <w:top w:val="none" w:sz="0" w:space="0" w:color="auto"/>
        <w:left w:val="none" w:sz="0" w:space="0" w:color="auto"/>
        <w:bottom w:val="none" w:sz="0" w:space="0" w:color="auto"/>
        <w:right w:val="none" w:sz="0" w:space="0" w:color="auto"/>
      </w:divBdr>
    </w:div>
    <w:div w:id="279455109">
      <w:bodyDiv w:val="1"/>
      <w:marLeft w:val="0"/>
      <w:marRight w:val="0"/>
      <w:marTop w:val="0"/>
      <w:marBottom w:val="0"/>
      <w:divBdr>
        <w:top w:val="none" w:sz="0" w:space="0" w:color="auto"/>
        <w:left w:val="none" w:sz="0" w:space="0" w:color="auto"/>
        <w:bottom w:val="none" w:sz="0" w:space="0" w:color="auto"/>
        <w:right w:val="none" w:sz="0" w:space="0" w:color="auto"/>
      </w:divBdr>
    </w:div>
    <w:div w:id="279919303">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79991934">
      <w:bodyDiv w:val="1"/>
      <w:marLeft w:val="0"/>
      <w:marRight w:val="0"/>
      <w:marTop w:val="0"/>
      <w:marBottom w:val="0"/>
      <w:divBdr>
        <w:top w:val="none" w:sz="0" w:space="0" w:color="auto"/>
        <w:left w:val="none" w:sz="0" w:space="0" w:color="auto"/>
        <w:bottom w:val="none" w:sz="0" w:space="0" w:color="auto"/>
        <w:right w:val="none" w:sz="0" w:space="0" w:color="auto"/>
      </w:divBdr>
    </w:div>
    <w:div w:id="280458609">
      <w:bodyDiv w:val="1"/>
      <w:marLeft w:val="0"/>
      <w:marRight w:val="0"/>
      <w:marTop w:val="0"/>
      <w:marBottom w:val="0"/>
      <w:divBdr>
        <w:top w:val="none" w:sz="0" w:space="0" w:color="auto"/>
        <w:left w:val="none" w:sz="0" w:space="0" w:color="auto"/>
        <w:bottom w:val="none" w:sz="0" w:space="0" w:color="auto"/>
        <w:right w:val="none" w:sz="0" w:space="0" w:color="auto"/>
      </w:divBdr>
    </w:div>
    <w:div w:id="280579724">
      <w:bodyDiv w:val="1"/>
      <w:marLeft w:val="0"/>
      <w:marRight w:val="0"/>
      <w:marTop w:val="0"/>
      <w:marBottom w:val="0"/>
      <w:divBdr>
        <w:top w:val="none" w:sz="0" w:space="0" w:color="auto"/>
        <w:left w:val="none" w:sz="0" w:space="0" w:color="auto"/>
        <w:bottom w:val="none" w:sz="0" w:space="0" w:color="auto"/>
        <w:right w:val="none" w:sz="0" w:space="0" w:color="auto"/>
      </w:divBdr>
    </w:div>
    <w:div w:id="281033356">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226528">
      <w:bodyDiv w:val="1"/>
      <w:marLeft w:val="0"/>
      <w:marRight w:val="0"/>
      <w:marTop w:val="0"/>
      <w:marBottom w:val="0"/>
      <w:divBdr>
        <w:top w:val="none" w:sz="0" w:space="0" w:color="auto"/>
        <w:left w:val="none" w:sz="0" w:space="0" w:color="auto"/>
        <w:bottom w:val="none" w:sz="0" w:space="0" w:color="auto"/>
        <w:right w:val="none" w:sz="0" w:space="0" w:color="auto"/>
      </w:divBdr>
    </w:div>
    <w:div w:id="281234591">
      <w:bodyDiv w:val="1"/>
      <w:marLeft w:val="0"/>
      <w:marRight w:val="0"/>
      <w:marTop w:val="0"/>
      <w:marBottom w:val="0"/>
      <w:divBdr>
        <w:top w:val="none" w:sz="0" w:space="0" w:color="auto"/>
        <w:left w:val="none" w:sz="0" w:space="0" w:color="auto"/>
        <w:bottom w:val="none" w:sz="0" w:space="0" w:color="auto"/>
        <w:right w:val="none" w:sz="0" w:space="0" w:color="auto"/>
      </w:divBdr>
    </w:div>
    <w:div w:id="281815026">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268838">
      <w:bodyDiv w:val="1"/>
      <w:marLeft w:val="0"/>
      <w:marRight w:val="0"/>
      <w:marTop w:val="0"/>
      <w:marBottom w:val="0"/>
      <w:divBdr>
        <w:top w:val="none" w:sz="0" w:space="0" w:color="auto"/>
        <w:left w:val="none" w:sz="0" w:space="0" w:color="auto"/>
        <w:bottom w:val="none" w:sz="0" w:space="0" w:color="auto"/>
        <w:right w:val="none" w:sz="0" w:space="0" w:color="auto"/>
      </w:divBdr>
    </w:div>
    <w:div w:id="282344115">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00120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3662466">
      <w:bodyDiv w:val="1"/>
      <w:marLeft w:val="0"/>
      <w:marRight w:val="0"/>
      <w:marTop w:val="0"/>
      <w:marBottom w:val="0"/>
      <w:divBdr>
        <w:top w:val="none" w:sz="0" w:space="0" w:color="auto"/>
        <w:left w:val="none" w:sz="0" w:space="0" w:color="auto"/>
        <w:bottom w:val="none" w:sz="0" w:space="0" w:color="auto"/>
        <w:right w:val="none" w:sz="0" w:space="0" w:color="auto"/>
      </w:divBdr>
    </w:div>
    <w:div w:id="284391535">
      <w:bodyDiv w:val="1"/>
      <w:marLeft w:val="0"/>
      <w:marRight w:val="0"/>
      <w:marTop w:val="0"/>
      <w:marBottom w:val="0"/>
      <w:divBdr>
        <w:top w:val="none" w:sz="0" w:space="0" w:color="auto"/>
        <w:left w:val="none" w:sz="0" w:space="0" w:color="auto"/>
        <w:bottom w:val="none" w:sz="0" w:space="0" w:color="auto"/>
        <w:right w:val="none" w:sz="0" w:space="0" w:color="auto"/>
      </w:divBdr>
    </w:div>
    <w:div w:id="284434153">
      <w:bodyDiv w:val="1"/>
      <w:marLeft w:val="0"/>
      <w:marRight w:val="0"/>
      <w:marTop w:val="0"/>
      <w:marBottom w:val="0"/>
      <w:divBdr>
        <w:top w:val="none" w:sz="0" w:space="0" w:color="auto"/>
        <w:left w:val="none" w:sz="0" w:space="0" w:color="auto"/>
        <w:bottom w:val="none" w:sz="0" w:space="0" w:color="auto"/>
        <w:right w:val="none" w:sz="0" w:space="0" w:color="auto"/>
      </w:divBdr>
    </w:div>
    <w:div w:id="284510978">
      <w:bodyDiv w:val="1"/>
      <w:marLeft w:val="0"/>
      <w:marRight w:val="0"/>
      <w:marTop w:val="0"/>
      <w:marBottom w:val="0"/>
      <w:divBdr>
        <w:top w:val="none" w:sz="0" w:space="0" w:color="auto"/>
        <w:left w:val="none" w:sz="0" w:space="0" w:color="auto"/>
        <w:bottom w:val="none" w:sz="0" w:space="0" w:color="auto"/>
        <w:right w:val="none" w:sz="0" w:space="0" w:color="auto"/>
      </w:divBdr>
    </w:div>
    <w:div w:id="285890732">
      <w:bodyDiv w:val="1"/>
      <w:marLeft w:val="0"/>
      <w:marRight w:val="0"/>
      <w:marTop w:val="0"/>
      <w:marBottom w:val="0"/>
      <w:divBdr>
        <w:top w:val="none" w:sz="0" w:space="0" w:color="auto"/>
        <w:left w:val="none" w:sz="0" w:space="0" w:color="auto"/>
        <w:bottom w:val="none" w:sz="0" w:space="0" w:color="auto"/>
        <w:right w:val="none" w:sz="0" w:space="0" w:color="auto"/>
      </w:divBdr>
    </w:div>
    <w:div w:id="286401505">
      <w:bodyDiv w:val="1"/>
      <w:marLeft w:val="0"/>
      <w:marRight w:val="0"/>
      <w:marTop w:val="0"/>
      <w:marBottom w:val="0"/>
      <w:divBdr>
        <w:top w:val="none" w:sz="0" w:space="0" w:color="auto"/>
        <w:left w:val="none" w:sz="0" w:space="0" w:color="auto"/>
        <w:bottom w:val="none" w:sz="0" w:space="0" w:color="auto"/>
        <w:right w:val="none" w:sz="0" w:space="0" w:color="auto"/>
      </w:divBdr>
    </w:div>
    <w:div w:id="286812214">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7011015">
      <w:bodyDiv w:val="1"/>
      <w:marLeft w:val="0"/>
      <w:marRight w:val="0"/>
      <w:marTop w:val="0"/>
      <w:marBottom w:val="0"/>
      <w:divBdr>
        <w:top w:val="none" w:sz="0" w:space="0" w:color="auto"/>
        <w:left w:val="none" w:sz="0" w:space="0" w:color="auto"/>
        <w:bottom w:val="none" w:sz="0" w:space="0" w:color="auto"/>
        <w:right w:val="none" w:sz="0" w:space="0" w:color="auto"/>
      </w:divBdr>
    </w:div>
    <w:div w:id="287250227">
      <w:bodyDiv w:val="1"/>
      <w:marLeft w:val="0"/>
      <w:marRight w:val="0"/>
      <w:marTop w:val="0"/>
      <w:marBottom w:val="0"/>
      <w:divBdr>
        <w:top w:val="none" w:sz="0" w:space="0" w:color="auto"/>
        <w:left w:val="none" w:sz="0" w:space="0" w:color="auto"/>
        <w:bottom w:val="none" w:sz="0" w:space="0" w:color="auto"/>
        <w:right w:val="none" w:sz="0" w:space="0" w:color="auto"/>
      </w:divBdr>
    </w:div>
    <w:div w:id="288826318">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088833">
      <w:bodyDiv w:val="1"/>
      <w:marLeft w:val="0"/>
      <w:marRight w:val="0"/>
      <w:marTop w:val="0"/>
      <w:marBottom w:val="0"/>
      <w:divBdr>
        <w:top w:val="none" w:sz="0" w:space="0" w:color="auto"/>
        <w:left w:val="none" w:sz="0" w:space="0" w:color="auto"/>
        <w:bottom w:val="none" w:sz="0" w:space="0" w:color="auto"/>
        <w:right w:val="none" w:sz="0" w:space="0" w:color="auto"/>
      </w:divBdr>
    </w:div>
    <w:div w:id="289554075">
      <w:bodyDiv w:val="1"/>
      <w:marLeft w:val="0"/>
      <w:marRight w:val="0"/>
      <w:marTop w:val="0"/>
      <w:marBottom w:val="0"/>
      <w:divBdr>
        <w:top w:val="none" w:sz="0" w:space="0" w:color="auto"/>
        <w:left w:val="none" w:sz="0" w:space="0" w:color="auto"/>
        <w:bottom w:val="none" w:sz="0" w:space="0" w:color="auto"/>
        <w:right w:val="none" w:sz="0" w:space="0" w:color="auto"/>
      </w:divBdr>
    </w:div>
    <w:div w:id="289676994">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0479482">
      <w:bodyDiv w:val="1"/>
      <w:marLeft w:val="0"/>
      <w:marRight w:val="0"/>
      <w:marTop w:val="0"/>
      <w:marBottom w:val="0"/>
      <w:divBdr>
        <w:top w:val="none" w:sz="0" w:space="0" w:color="auto"/>
        <w:left w:val="none" w:sz="0" w:space="0" w:color="auto"/>
        <w:bottom w:val="none" w:sz="0" w:space="0" w:color="auto"/>
        <w:right w:val="none" w:sz="0" w:space="0" w:color="auto"/>
      </w:divBdr>
    </w:div>
    <w:div w:id="290790354">
      <w:bodyDiv w:val="1"/>
      <w:marLeft w:val="0"/>
      <w:marRight w:val="0"/>
      <w:marTop w:val="0"/>
      <w:marBottom w:val="0"/>
      <w:divBdr>
        <w:top w:val="none" w:sz="0" w:space="0" w:color="auto"/>
        <w:left w:val="none" w:sz="0" w:space="0" w:color="auto"/>
        <w:bottom w:val="none" w:sz="0" w:space="0" w:color="auto"/>
        <w:right w:val="none" w:sz="0" w:space="0" w:color="auto"/>
      </w:divBdr>
    </w:div>
    <w:div w:id="292684511">
      <w:bodyDiv w:val="1"/>
      <w:marLeft w:val="0"/>
      <w:marRight w:val="0"/>
      <w:marTop w:val="0"/>
      <w:marBottom w:val="0"/>
      <w:divBdr>
        <w:top w:val="none" w:sz="0" w:space="0" w:color="auto"/>
        <w:left w:val="none" w:sz="0" w:space="0" w:color="auto"/>
        <w:bottom w:val="none" w:sz="0" w:space="0" w:color="auto"/>
        <w:right w:val="none" w:sz="0" w:space="0" w:color="auto"/>
      </w:divBdr>
    </w:div>
    <w:div w:id="292761174">
      <w:bodyDiv w:val="1"/>
      <w:marLeft w:val="0"/>
      <w:marRight w:val="0"/>
      <w:marTop w:val="0"/>
      <w:marBottom w:val="0"/>
      <w:divBdr>
        <w:top w:val="none" w:sz="0" w:space="0" w:color="auto"/>
        <w:left w:val="none" w:sz="0" w:space="0" w:color="auto"/>
        <w:bottom w:val="none" w:sz="0" w:space="0" w:color="auto"/>
        <w:right w:val="none" w:sz="0" w:space="0" w:color="auto"/>
      </w:divBdr>
    </w:div>
    <w:div w:id="293486811">
      <w:bodyDiv w:val="1"/>
      <w:marLeft w:val="0"/>
      <w:marRight w:val="0"/>
      <w:marTop w:val="0"/>
      <w:marBottom w:val="0"/>
      <w:divBdr>
        <w:top w:val="none" w:sz="0" w:space="0" w:color="auto"/>
        <w:left w:val="none" w:sz="0" w:space="0" w:color="auto"/>
        <w:bottom w:val="none" w:sz="0" w:space="0" w:color="auto"/>
        <w:right w:val="none" w:sz="0" w:space="0" w:color="auto"/>
      </w:divBdr>
    </w:div>
    <w:div w:id="294725825">
      <w:bodyDiv w:val="1"/>
      <w:marLeft w:val="0"/>
      <w:marRight w:val="0"/>
      <w:marTop w:val="0"/>
      <w:marBottom w:val="0"/>
      <w:divBdr>
        <w:top w:val="none" w:sz="0" w:space="0" w:color="auto"/>
        <w:left w:val="none" w:sz="0" w:space="0" w:color="auto"/>
        <w:bottom w:val="none" w:sz="0" w:space="0" w:color="auto"/>
        <w:right w:val="none" w:sz="0" w:space="0" w:color="auto"/>
      </w:divBdr>
    </w:div>
    <w:div w:id="294989906">
      <w:bodyDiv w:val="1"/>
      <w:marLeft w:val="0"/>
      <w:marRight w:val="0"/>
      <w:marTop w:val="0"/>
      <w:marBottom w:val="0"/>
      <w:divBdr>
        <w:top w:val="none" w:sz="0" w:space="0" w:color="auto"/>
        <w:left w:val="none" w:sz="0" w:space="0" w:color="auto"/>
        <w:bottom w:val="none" w:sz="0" w:space="0" w:color="auto"/>
        <w:right w:val="none" w:sz="0" w:space="0" w:color="auto"/>
      </w:divBdr>
    </w:div>
    <w:div w:id="295262941">
      <w:bodyDiv w:val="1"/>
      <w:marLeft w:val="0"/>
      <w:marRight w:val="0"/>
      <w:marTop w:val="0"/>
      <w:marBottom w:val="0"/>
      <w:divBdr>
        <w:top w:val="none" w:sz="0" w:space="0" w:color="auto"/>
        <w:left w:val="none" w:sz="0" w:space="0" w:color="auto"/>
        <w:bottom w:val="none" w:sz="0" w:space="0" w:color="auto"/>
        <w:right w:val="none" w:sz="0" w:space="0" w:color="auto"/>
      </w:divBdr>
    </w:div>
    <w:div w:id="295532061">
      <w:bodyDiv w:val="1"/>
      <w:marLeft w:val="0"/>
      <w:marRight w:val="0"/>
      <w:marTop w:val="0"/>
      <w:marBottom w:val="0"/>
      <w:divBdr>
        <w:top w:val="none" w:sz="0" w:space="0" w:color="auto"/>
        <w:left w:val="none" w:sz="0" w:space="0" w:color="auto"/>
        <w:bottom w:val="none" w:sz="0" w:space="0" w:color="auto"/>
        <w:right w:val="none" w:sz="0" w:space="0" w:color="auto"/>
      </w:divBdr>
    </w:div>
    <w:div w:id="298654006">
      <w:bodyDiv w:val="1"/>
      <w:marLeft w:val="0"/>
      <w:marRight w:val="0"/>
      <w:marTop w:val="0"/>
      <w:marBottom w:val="0"/>
      <w:divBdr>
        <w:top w:val="none" w:sz="0" w:space="0" w:color="auto"/>
        <w:left w:val="none" w:sz="0" w:space="0" w:color="auto"/>
        <w:bottom w:val="none" w:sz="0" w:space="0" w:color="auto"/>
        <w:right w:val="none" w:sz="0" w:space="0" w:color="auto"/>
      </w:divBdr>
    </w:div>
    <w:div w:id="300158700">
      <w:bodyDiv w:val="1"/>
      <w:marLeft w:val="0"/>
      <w:marRight w:val="0"/>
      <w:marTop w:val="0"/>
      <w:marBottom w:val="0"/>
      <w:divBdr>
        <w:top w:val="none" w:sz="0" w:space="0" w:color="auto"/>
        <w:left w:val="none" w:sz="0" w:space="0" w:color="auto"/>
        <w:bottom w:val="none" w:sz="0" w:space="0" w:color="auto"/>
        <w:right w:val="none" w:sz="0" w:space="0" w:color="auto"/>
      </w:divBdr>
    </w:div>
    <w:div w:id="300430755">
      <w:bodyDiv w:val="1"/>
      <w:marLeft w:val="0"/>
      <w:marRight w:val="0"/>
      <w:marTop w:val="0"/>
      <w:marBottom w:val="0"/>
      <w:divBdr>
        <w:top w:val="none" w:sz="0" w:space="0" w:color="auto"/>
        <w:left w:val="none" w:sz="0" w:space="0" w:color="auto"/>
        <w:bottom w:val="none" w:sz="0" w:space="0" w:color="auto"/>
        <w:right w:val="none" w:sz="0" w:space="0" w:color="auto"/>
      </w:divBdr>
    </w:div>
    <w:div w:id="300965301">
      <w:bodyDiv w:val="1"/>
      <w:marLeft w:val="0"/>
      <w:marRight w:val="0"/>
      <w:marTop w:val="0"/>
      <w:marBottom w:val="0"/>
      <w:divBdr>
        <w:top w:val="none" w:sz="0" w:space="0" w:color="auto"/>
        <w:left w:val="none" w:sz="0" w:space="0" w:color="auto"/>
        <w:bottom w:val="none" w:sz="0" w:space="0" w:color="auto"/>
        <w:right w:val="none" w:sz="0" w:space="0" w:color="auto"/>
      </w:divBdr>
    </w:div>
    <w:div w:id="301085029">
      <w:bodyDiv w:val="1"/>
      <w:marLeft w:val="0"/>
      <w:marRight w:val="0"/>
      <w:marTop w:val="0"/>
      <w:marBottom w:val="0"/>
      <w:divBdr>
        <w:top w:val="none" w:sz="0" w:space="0" w:color="auto"/>
        <w:left w:val="none" w:sz="0" w:space="0" w:color="auto"/>
        <w:bottom w:val="none" w:sz="0" w:space="0" w:color="auto"/>
        <w:right w:val="none" w:sz="0" w:space="0" w:color="auto"/>
      </w:divBdr>
    </w:div>
    <w:div w:id="301622844">
      <w:bodyDiv w:val="1"/>
      <w:marLeft w:val="0"/>
      <w:marRight w:val="0"/>
      <w:marTop w:val="0"/>
      <w:marBottom w:val="0"/>
      <w:divBdr>
        <w:top w:val="none" w:sz="0" w:space="0" w:color="auto"/>
        <w:left w:val="none" w:sz="0" w:space="0" w:color="auto"/>
        <w:bottom w:val="none" w:sz="0" w:space="0" w:color="auto"/>
        <w:right w:val="none" w:sz="0" w:space="0" w:color="auto"/>
      </w:divBdr>
    </w:div>
    <w:div w:id="304236064">
      <w:bodyDiv w:val="1"/>
      <w:marLeft w:val="0"/>
      <w:marRight w:val="0"/>
      <w:marTop w:val="0"/>
      <w:marBottom w:val="0"/>
      <w:divBdr>
        <w:top w:val="none" w:sz="0" w:space="0" w:color="auto"/>
        <w:left w:val="none" w:sz="0" w:space="0" w:color="auto"/>
        <w:bottom w:val="none" w:sz="0" w:space="0" w:color="auto"/>
        <w:right w:val="none" w:sz="0" w:space="0" w:color="auto"/>
      </w:divBdr>
    </w:div>
    <w:div w:id="304627869">
      <w:bodyDiv w:val="1"/>
      <w:marLeft w:val="0"/>
      <w:marRight w:val="0"/>
      <w:marTop w:val="0"/>
      <w:marBottom w:val="0"/>
      <w:divBdr>
        <w:top w:val="none" w:sz="0" w:space="0" w:color="auto"/>
        <w:left w:val="none" w:sz="0" w:space="0" w:color="auto"/>
        <w:bottom w:val="none" w:sz="0" w:space="0" w:color="auto"/>
        <w:right w:val="none" w:sz="0" w:space="0" w:color="auto"/>
      </w:divBdr>
    </w:div>
    <w:div w:id="305356990">
      <w:bodyDiv w:val="1"/>
      <w:marLeft w:val="0"/>
      <w:marRight w:val="0"/>
      <w:marTop w:val="0"/>
      <w:marBottom w:val="0"/>
      <w:divBdr>
        <w:top w:val="none" w:sz="0" w:space="0" w:color="auto"/>
        <w:left w:val="none" w:sz="0" w:space="0" w:color="auto"/>
        <w:bottom w:val="none" w:sz="0" w:space="0" w:color="auto"/>
        <w:right w:val="none" w:sz="0" w:space="0" w:color="auto"/>
      </w:divBdr>
    </w:div>
    <w:div w:id="305739444">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05858040">
      <w:bodyDiv w:val="1"/>
      <w:marLeft w:val="0"/>
      <w:marRight w:val="0"/>
      <w:marTop w:val="0"/>
      <w:marBottom w:val="0"/>
      <w:divBdr>
        <w:top w:val="none" w:sz="0" w:space="0" w:color="auto"/>
        <w:left w:val="none" w:sz="0" w:space="0" w:color="auto"/>
        <w:bottom w:val="none" w:sz="0" w:space="0" w:color="auto"/>
        <w:right w:val="none" w:sz="0" w:space="0" w:color="auto"/>
      </w:divBdr>
    </w:div>
    <w:div w:id="306056184">
      <w:bodyDiv w:val="1"/>
      <w:marLeft w:val="0"/>
      <w:marRight w:val="0"/>
      <w:marTop w:val="0"/>
      <w:marBottom w:val="0"/>
      <w:divBdr>
        <w:top w:val="none" w:sz="0" w:space="0" w:color="auto"/>
        <w:left w:val="none" w:sz="0" w:space="0" w:color="auto"/>
        <w:bottom w:val="none" w:sz="0" w:space="0" w:color="auto"/>
        <w:right w:val="none" w:sz="0" w:space="0" w:color="auto"/>
      </w:divBdr>
    </w:div>
    <w:div w:id="307514323">
      <w:bodyDiv w:val="1"/>
      <w:marLeft w:val="0"/>
      <w:marRight w:val="0"/>
      <w:marTop w:val="0"/>
      <w:marBottom w:val="0"/>
      <w:divBdr>
        <w:top w:val="none" w:sz="0" w:space="0" w:color="auto"/>
        <w:left w:val="none" w:sz="0" w:space="0" w:color="auto"/>
        <w:bottom w:val="none" w:sz="0" w:space="0" w:color="auto"/>
        <w:right w:val="none" w:sz="0" w:space="0" w:color="auto"/>
      </w:divBdr>
    </w:div>
    <w:div w:id="307561274">
      <w:bodyDiv w:val="1"/>
      <w:marLeft w:val="0"/>
      <w:marRight w:val="0"/>
      <w:marTop w:val="0"/>
      <w:marBottom w:val="0"/>
      <w:divBdr>
        <w:top w:val="none" w:sz="0" w:space="0" w:color="auto"/>
        <w:left w:val="none" w:sz="0" w:space="0" w:color="auto"/>
        <w:bottom w:val="none" w:sz="0" w:space="0" w:color="auto"/>
        <w:right w:val="none" w:sz="0" w:space="0" w:color="auto"/>
      </w:divBdr>
    </w:div>
    <w:div w:id="307832318">
      <w:bodyDiv w:val="1"/>
      <w:marLeft w:val="0"/>
      <w:marRight w:val="0"/>
      <w:marTop w:val="0"/>
      <w:marBottom w:val="0"/>
      <w:divBdr>
        <w:top w:val="none" w:sz="0" w:space="0" w:color="auto"/>
        <w:left w:val="none" w:sz="0" w:space="0" w:color="auto"/>
        <w:bottom w:val="none" w:sz="0" w:space="0" w:color="auto"/>
        <w:right w:val="none" w:sz="0" w:space="0" w:color="auto"/>
      </w:divBdr>
    </w:div>
    <w:div w:id="308293928">
      <w:bodyDiv w:val="1"/>
      <w:marLeft w:val="0"/>
      <w:marRight w:val="0"/>
      <w:marTop w:val="0"/>
      <w:marBottom w:val="0"/>
      <w:divBdr>
        <w:top w:val="none" w:sz="0" w:space="0" w:color="auto"/>
        <w:left w:val="none" w:sz="0" w:space="0" w:color="auto"/>
        <w:bottom w:val="none" w:sz="0" w:space="0" w:color="auto"/>
        <w:right w:val="none" w:sz="0" w:space="0" w:color="auto"/>
      </w:divBdr>
    </w:div>
    <w:div w:id="308367623">
      <w:bodyDiv w:val="1"/>
      <w:marLeft w:val="0"/>
      <w:marRight w:val="0"/>
      <w:marTop w:val="0"/>
      <w:marBottom w:val="0"/>
      <w:divBdr>
        <w:top w:val="none" w:sz="0" w:space="0" w:color="auto"/>
        <w:left w:val="none" w:sz="0" w:space="0" w:color="auto"/>
        <w:bottom w:val="none" w:sz="0" w:space="0" w:color="auto"/>
        <w:right w:val="none" w:sz="0" w:space="0" w:color="auto"/>
      </w:divBdr>
    </w:div>
    <w:div w:id="308482343">
      <w:bodyDiv w:val="1"/>
      <w:marLeft w:val="0"/>
      <w:marRight w:val="0"/>
      <w:marTop w:val="0"/>
      <w:marBottom w:val="0"/>
      <w:divBdr>
        <w:top w:val="none" w:sz="0" w:space="0" w:color="auto"/>
        <w:left w:val="none" w:sz="0" w:space="0" w:color="auto"/>
        <w:bottom w:val="none" w:sz="0" w:space="0" w:color="auto"/>
        <w:right w:val="none" w:sz="0" w:space="0" w:color="auto"/>
      </w:divBdr>
    </w:div>
    <w:div w:id="308637538">
      <w:bodyDiv w:val="1"/>
      <w:marLeft w:val="0"/>
      <w:marRight w:val="0"/>
      <w:marTop w:val="0"/>
      <w:marBottom w:val="0"/>
      <w:divBdr>
        <w:top w:val="none" w:sz="0" w:space="0" w:color="auto"/>
        <w:left w:val="none" w:sz="0" w:space="0" w:color="auto"/>
        <w:bottom w:val="none" w:sz="0" w:space="0" w:color="auto"/>
        <w:right w:val="none" w:sz="0" w:space="0" w:color="auto"/>
      </w:divBdr>
    </w:div>
    <w:div w:id="308825079">
      <w:bodyDiv w:val="1"/>
      <w:marLeft w:val="0"/>
      <w:marRight w:val="0"/>
      <w:marTop w:val="0"/>
      <w:marBottom w:val="0"/>
      <w:divBdr>
        <w:top w:val="none" w:sz="0" w:space="0" w:color="auto"/>
        <w:left w:val="none" w:sz="0" w:space="0" w:color="auto"/>
        <w:bottom w:val="none" w:sz="0" w:space="0" w:color="auto"/>
        <w:right w:val="none" w:sz="0" w:space="0" w:color="auto"/>
      </w:divBdr>
    </w:div>
    <w:div w:id="308897950">
      <w:bodyDiv w:val="1"/>
      <w:marLeft w:val="0"/>
      <w:marRight w:val="0"/>
      <w:marTop w:val="0"/>
      <w:marBottom w:val="0"/>
      <w:divBdr>
        <w:top w:val="none" w:sz="0" w:space="0" w:color="auto"/>
        <w:left w:val="none" w:sz="0" w:space="0" w:color="auto"/>
        <w:bottom w:val="none" w:sz="0" w:space="0" w:color="auto"/>
        <w:right w:val="none" w:sz="0" w:space="0" w:color="auto"/>
      </w:divBdr>
    </w:div>
    <w:div w:id="308942786">
      <w:bodyDiv w:val="1"/>
      <w:marLeft w:val="0"/>
      <w:marRight w:val="0"/>
      <w:marTop w:val="0"/>
      <w:marBottom w:val="0"/>
      <w:divBdr>
        <w:top w:val="none" w:sz="0" w:space="0" w:color="auto"/>
        <w:left w:val="none" w:sz="0" w:space="0" w:color="auto"/>
        <w:bottom w:val="none" w:sz="0" w:space="0" w:color="auto"/>
        <w:right w:val="none" w:sz="0" w:space="0" w:color="auto"/>
      </w:divBdr>
    </w:div>
    <w:div w:id="310713117">
      <w:bodyDiv w:val="1"/>
      <w:marLeft w:val="0"/>
      <w:marRight w:val="0"/>
      <w:marTop w:val="0"/>
      <w:marBottom w:val="0"/>
      <w:divBdr>
        <w:top w:val="none" w:sz="0" w:space="0" w:color="auto"/>
        <w:left w:val="none" w:sz="0" w:space="0" w:color="auto"/>
        <w:bottom w:val="none" w:sz="0" w:space="0" w:color="auto"/>
        <w:right w:val="none" w:sz="0" w:space="0" w:color="auto"/>
      </w:divBdr>
    </w:div>
    <w:div w:id="311717726">
      <w:bodyDiv w:val="1"/>
      <w:marLeft w:val="0"/>
      <w:marRight w:val="0"/>
      <w:marTop w:val="0"/>
      <w:marBottom w:val="0"/>
      <w:divBdr>
        <w:top w:val="none" w:sz="0" w:space="0" w:color="auto"/>
        <w:left w:val="none" w:sz="0" w:space="0" w:color="auto"/>
        <w:bottom w:val="none" w:sz="0" w:space="0" w:color="auto"/>
        <w:right w:val="none" w:sz="0" w:space="0" w:color="auto"/>
      </w:divBdr>
    </w:div>
    <w:div w:id="312220209">
      <w:bodyDiv w:val="1"/>
      <w:marLeft w:val="0"/>
      <w:marRight w:val="0"/>
      <w:marTop w:val="0"/>
      <w:marBottom w:val="0"/>
      <w:divBdr>
        <w:top w:val="none" w:sz="0" w:space="0" w:color="auto"/>
        <w:left w:val="none" w:sz="0" w:space="0" w:color="auto"/>
        <w:bottom w:val="none" w:sz="0" w:space="0" w:color="auto"/>
        <w:right w:val="none" w:sz="0" w:space="0" w:color="auto"/>
      </w:divBdr>
    </w:div>
    <w:div w:id="312374555">
      <w:bodyDiv w:val="1"/>
      <w:marLeft w:val="0"/>
      <w:marRight w:val="0"/>
      <w:marTop w:val="0"/>
      <w:marBottom w:val="0"/>
      <w:divBdr>
        <w:top w:val="none" w:sz="0" w:space="0" w:color="auto"/>
        <w:left w:val="none" w:sz="0" w:space="0" w:color="auto"/>
        <w:bottom w:val="none" w:sz="0" w:space="0" w:color="auto"/>
        <w:right w:val="none" w:sz="0" w:space="0" w:color="auto"/>
      </w:divBdr>
    </w:div>
    <w:div w:id="313879288">
      <w:bodyDiv w:val="1"/>
      <w:marLeft w:val="0"/>
      <w:marRight w:val="0"/>
      <w:marTop w:val="0"/>
      <w:marBottom w:val="0"/>
      <w:divBdr>
        <w:top w:val="none" w:sz="0" w:space="0" w:color="auto"/>
        <w:left w:val="none" w:sz="0" w:space="0" w:color="auto"/>
        <w:bottom w:val="none" w:sz="0" w:space="0" w:color="auto"/>
        <w:right w:val="none" w:sz="0" w:space="0" w:color="auto"/>
      </w:divBdr>
    </w:div>
    <w:div w:id="314114196">
      <w:bodyDiv w:val="1"/>
      <w:marLeft w:val="0"/>
      <w:marRight w:val="0"/>
      <w:marTop w:val="0"/>
      <w:marBottom w:val="0"/>
      <w:divBdr>
        <w:top w:val="none" w:sz="0" w:space="0" w:color="auto"/>
        <w:left w:val="none" w:sz="0" w:space="0" w:color="auto"/>
        <w:bottom w:val="none" w:sz="0" w:space="0" w:color="auto"/>
        <w:right w:val="none" w:sz="0" w:space="0" w:color="auto"/>
      </w:divBdr>
    </w:div>
    <w:div w:id="314144991">
      <w:bodyDiv w:val="1"/>
      <w:marLeft w:val="0"/>
      <w:marRight w:val="0"/>
      <w:marTop w:val="0"/>
      <w:marBottom w:val="0"/>
      <w:divBdr>
        <w:top w:val="none" w:sz="0" w:space="0" w:color="auto"/>
        <w:left w:val="none" w:sz="0" w:space="0" w:color="auto"/>
        <w:bottom w:val="none" w:sz="0" w:space="0" w:color="auto"/>
        <w:right w:val="none" w:sz="0" w:space="0" w:color="auto"/>
      </w:divBdr>
    </w:div>
    <w:div w:id="315189034">
      <w:bodyDiv w:val="1"/>
      <w:marLeft w:val="0"/>
      <w:marRight w:val="0"/>
      <w:marTop w:val="0"/>
      <w:marBottom w:val="0"/>
      <w:divBdr>
        <w:top w:val="none" w:sz="0" w:space="0" w:color="auto"/>
        <w:left w:val="none" w:sz="0" w:space="0" w:color="auto"/>
        <w:bottom w:val="none" w:sz="0" w:space="0" w:color="auto"/>
        <w:right w:val="none" w:sz="0" w:space="0" w:color="auto"/>
      </w:divBdr>
    </w:div>
    <w:div w:id="31603105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5739">
      <w:bodyDiv w:val="1"/>
      <w:marLeft w:val="0"/>
      <w:marRight w:val="0"/>
      <w:marTop w:val="0"/>
      <w:marBottom w:val="0"/>
      <w:divBdr>
        <w:top w:val="none" w:sz="0" w:space="0" w:color="auto"/>
        <w:left w:val="none" w:sz="0" w:space="0" w:color="auto"/>
        <w:bottom w:val="none" w:sz="0" w:space="0" w:color="auto"/>
        <w:right w:val="none" w:sz="0" w:space="0" w:color="auto"/>
      </w:divBdr>
    </w:div>
    <w:div w:id="318192718">
      <w:bodyDiv w:val="1"/>
      <w:marLeft w:val="0"/>
      <w:marRight w:val="0"/>
      <w:marTop w:val="0"/>
      <w:marBottom w:val="0"/>
      <w:divBdr>
        <w:top w:val="none" w:sz="0" w:space="0" w:color="auto"/>
        <w:left w:val="none" w:sz="0" w:space="0" w:color="auto"/>
        <w:bottom w:val="none" w:sz="0" w:space="0" w:color="auto"/>
        <w:right w:val="none" w:sz="0" w:space="0" w:color="auto"/>
      </w:divBdr>
    </w:div>
    <w:div w:id="318195459">
      <w:bodyDiv w:val="1"/>
      <w:marLeft w:val="0"/>
      <w:marRight w:val="0"/>
      <w:marTop w:val="0"/>
      <w:marBottom w:val="0"/>
      <w:divBdr>
        <w:top w:val="none" w:sz="0" w:space="0" w:color="auto"/>
        <w:left w:val="none" w:sz="0" w:space="0" w:color="auto"/>
        <w:bottom w:val="none" w:sz="0" w:space="0" w:color="auto"/>
        <w:right w:val="none" w:sz="0" w:space="0" w:color="auto"/>
      </w:divBdr>
    </w:div>
    <w:div w:id="319045780">
      <w:bodyDiv w:val="1"/>
      <w:marLeft w:val="0"/>
      <w:marRight w:val="0"/>
      <w:marTop w:val="0"/>
      <w:marBottom w:val="0"/>
      <w:divBdr>
        <w:top w:val="none" w:sz="0" w:space="0" w:color="auto"/>
        <w:left w:val="none" w:sz="0" w:space="0" w:color="auto"/>
        <w:bottom w:val="none" w:sz="0" w:space="0" w:color="auto"/>
        <w:right w:val="none" w:sz="0" w:space="0" w:color="auto"/>
      </w:divBdr>
    </w:div>
    <w:div w:id="319233358">
      <w:bodyDiv w:val="1"/>
      <w:marLeft w:val="0"/>
      <w:marRight w:val="0"/>
      <w:marTop w:val="0"/>
      <w:marBottom w:val="0"/>
      <w:divBdr>
        <w:top w:val="none" w:sz="0" w:space="0" w:color="auto"/>
        <w:left w:val="none" w:sz="0" w:space="0" w:color="auto"/>
        <w:bottom w:val="none" w:sz="0" w:space="0" w:color="auto"/>
        <w:right w:val="none" w:sz="0" w:space="0" w:color="auto"/>
      </w:divBdr>
    </w:div>
    <w:div w:id="320080222">
      <w:bodyDiv w:val="1"/>
      <w:marLeft w:val="0"/>
      <w:marRight w:val="0"/>
      <w:marTop w:val="0"/>
      <w:marBottom w:val="0"/>
      <w:divBdr>
        <w:top w:val="none" w:sz="0" w:space="0" w:color="auto"/>
        <w:left w:val="none" w:sz="0" w:space="0" w:color="auto"/>
        <w:bottom w:val="none" w:sz="0" w:space="0" w:color="auto"/>
        <w:right w:val="none" w:sz="0" w:space="0" w:color="auto"/>
      </w:divBdr>
    </w:div>
    <w:div w:id="320081069">
      <w:bodyDiv w:val="1"/>
      <w:marLeft w:val="0"/>
      <w:marRight w:val="0"/>
      <w:marTop w:val="0"/>
      <w:marBottom w:val="0"/>
      <w:divBdr>
        <w:top w:val="none" w:sz="0" w:space="0" w:color="auto"/>
        <w:left w:val="none" w:sz="0" w:space="0" w:color="auto"/>
        <w:bottom w:val="none" w:sz="0" w:space="0" w:color="auto"/>
        <w:right w:val="none" w:sz="0" w:space="0" w:color="auto"/>
      </w:divBdr>
    </w:div>
    <w:div w:id="320356588">
      <w:bodyDiv w:val="1"/>
      <w:marLeft w:val="0"/>
      <w:marRight w:val="0"/>
      <w:marTop w:val="0"/>
      <w:marBottom w:val="0"/>
      <w:divBdr>
        <w:top w:val="none" w:sz="0" w:space="0" w:color="auto"/>
        <w:left w:val="none" w:sz="0" w:space="0" w:color="auto"/>
        <w:bottom w:val="none" w:sz="0" w:space="0" w:color="auto"/>
        <w:right w:val="none" w:sz="0" w:space="0" w:color="auto"/>
      </w:divBdr>
    </w:div>
    <w:div w:id="321156943">
      <w:bodyDiv w:val="1"/>
      <w:marLeft w:val="0"/>
      <w:marRight w:val="0"/>
      <w:marTop w:val="0"/>
      <w:marBottom w:val="0"/>
      <w:divBdr>
        <w:top w:val="none" w:sz="0" w:space="0" w:color="auto"/>
        <w:left w:val="none" w:sz="0" w:space="0" w:color="auto"/>
        <w:bottom w:val="none" w:sz="0" w:space="0" w:color="auto"/>
        <w:right w:val="none" w:sz="0" w:space="0" w:color="auto"/>
      </w:divBdr>
    </w:div>
    <w:div w:id="321661970">
      <w:bodyDiv w:val="1"/>
      <w:marLeft w:val="0"/>
      <w:marRight w:val="0"/>
      <w:marTop w:val="0"/>
      <w:marBottom w:val="0"/>
      <w:divBdr>
        <w:top w:val="none" w:sz="0" w:space="0" w:color="auto"/>
        <w:left w:val="none" w:sz="0" w:space="0" w:color="auto"/>
        <w:bottom w:val="none" w:sz="0" w:space="0" w:color="auto"/>
        <w:right w:val="none" w:sz="0" w:space="0" w:color="auto"/>
      </w:divBdr>
    </w:div>
    <w:div w:id="321855857">
      <w:bodyDiv w:val="1"/>
      <w:marLeft w:val="0"/>
      <w:marRight w:val="0"/>
      <w:marTop w:val="0"/>
      <w:marBottom w:val="0"/>
      <w:divBdr>
        <w:top w:val="none" w:sz="0" w:space="0" w:color="auto"/>
        <w:left w:val="none" w:sz="0" w:space="0" w:color="auto"/>
        <w:bottom w:val="none" w:sz="0" w:space="0" w:color="auto"/>
        <w:right w:val="none" w:sz="0" w:space="0" w:color="auto"/>
      </w:divBdr>
    </w:div>
    <w:div w:id="321928358">
      <w:bodyDiv w:val="1"/>
      <w:marLeft w:val="0"/>
      <w:marRight w:val="0"/>
      <w:marTop w:val="0"/>
      <w:marBottom w:val="0"/>
      <w:divBdr>
        <w:top w:val="none" w:sz="0" w:space="0" w:color="auto"/>
        <w:left w:val="none" w:sz="0" w:space="0" w:color="auto"/>
        <w:bottom w:val="none" w:sz="0" w:space="0" w:color="auto"/>
        <w:right w:val="none" w:sz="0" w:space="0" w:color="auto"/>
      </w:divBdr>
    </w:div>
    <w:div w:id="3229020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4477069">
      <w:bodyDiv w:val="1"/>
      <w:marLeft w:val="0"/>
      <w:marRight w:val="0"/>
      <w:marTop w:val="0"/>
      <w:marBottom w:val="0"/>
      <w:divBdr>
        <w:top w:val="none" w:sz="0" w:space="0" w:color="auto"/>
        <w:left w:val="none" w:sz="0" w:space="0" w:color="auto"/>
        <w:bottom w:val="none" w:sz="0" w:space="0" w:color="auto"/>
        <w:right w:val="none" w:sz="0" w:space="0" w:color="auto"/>
      </w:divBdr>
    </w:div>
    <w:div w:id="326062073">
      <w:bodyDiv w:val="1"/>
      <w:marLeft w:val="0"/>
      <w:marRight w:val="0"/>
      <w:marTop w:val="0"/>
      <w:marBottom w:val="0"/>
      <w:divBdr>
        <w:top w:val="none" w:sz="0" w:space="0" w:color="auto"/>
        <w:left w:val="none" w:sz="0" w:space="0" w:color="auto"/>
        <w:bottom w:val="none" w:sz="0" w:space="0" w:color="auto"/>
        <w:right w:val="none" w:sz="0" w:space="0" w:color="auto"/>
      </w:divBdr>
    </w:div>
    <w:div w:id="326785723">
      <w:bodyDiv w:val="1"/>
      <w:marLeft w:val="0"/>
      <w:marRight w:val="0"/>
      <w:marTop w:val="0"/>
      <w:marBottom w:val="0"/>
      <w:divBdr>
        <w:top w:val="none" w:sz="0" w:space="0" w:color="auto"/>
        <w:left w:val="none" w:sz="0" w:space="0" w:color="auto"/>
        <w:bottom w:val="none" w:sz="0" w:space="0" w:color="auto"/>
        <w:right w:val="none" w:sz="0" w:space="0" w:color="auto"/>
      </w:divBdr>
    </w:div>
    <w:div w:id="327641310">
      <w:bodyDiv w:val="1"/>
      <w:marLeft w:val="0"/>
      <w:marRight w:val="0"/>
      <w:marTop w:val="0"/>
      <w:marBottom w:val="0"/>
      <w:divBdr>
        <w:top w:val="none" w:sz="0" w:space="0" w:color="auto"/>
        <w:left w:val="none" w:sz="0" w:space="0" w:color="auto"/>
        <w:bottom w:val="none" w:sz="0" w:space="0" w:color="auto"/>
        <w:right w:val="none" w:sz="0" w:space="0" w:color="auto"/>
      </w:divBdr>
    </w:div>
    <w:div w:id="327681620">
      <w:bodyDiv w:val="1"/>
      <w:marLeft w:val="0"/>
      <w:marRight w:val="0"/>
      <w:marTop w:val="0"/>
      <w:marBottom w:val="0"/>
      <w:divBdr>
        <w:top w:val="none" w:sz="0" w:space="0" w:color="auto"/>
        <w:left w:val="none" w:sz="0" w:space="0" w:color="auto"/>
        <w:bottom w:val="none" w:sz="0" w:space="0" w:color="auto"/>
        <w:right w:val="none" w:sz="0" w:space="0" w:color="auto"/>
      </w:divBdr>
    </w:div>
    <w:div w:id="327754020">
      <w:bodyDiv w:val="1"/>
      <w:marLeft w:val="0"/>
      <w:marRight w:val="0"/>
      <w:marTop w:val="0"/>
      <w:marBottom w:val="0"/>
      <w:divBdr>
        <w:top w:val="none" w:sz="0" w:space="0" w:color="auto"/>
        <w:left w:val="none" w:sz="0" w:space="0" w:color="auto"/>
        <w:bottom w:val="none" w:sz="0" w:space="0" w:color="auto"/>
        <w:right w:val="none" w:sz="0" w:space="0" w:color="auto"/>
      </w:divBdr>
    </w:div>
    <w:div w:id="327829605">
      <w:bodyDiv w:val="1"/>
      <w:marLeft w:val="0"/>
      <w:marRight w:val="0"/>
      <w:marTop w:val="0"/>
      <w:marBottom w:val="0"/>
      <w:divBdr>
        <w:top w:val="none" w:sz="0" w:space="0" w:color="auto"/>
        <w:left w:val="none" w:sz="0" w:space="0" w:color="auto"/>
        <w:bottom w:val="none" w:sz="0" w:space="0" w:color="auto"/>
        <w:right w:val="none" w:sz="0" w:space="0" w:color="auto"/>
      </w:divBdr>
    </w:div>
    <w:div w:id="327945978">
      <w:bodyDiv w:val="1"/>
      <w:marLeft w:val="0"/>
      <w:marRight w:val="0"/>
      <w:marTop w:val="0"/>
      <w:marBottom w:val="0"/>
      <w:divBdr>
        <w:top w:val="none" w:sz="0" w:space="0" w:color="auto"/>
        <w:left w:val="none" w:sz="0" w:space="0" w:color="auto"/>
        <w:bottom w:val="none" w:sz="0" w:space="0" w:color="auto"/>
        <w:right w:val="none" w:sz="0" w:space="0" w:color="auto"/>
      </w:divBdr>
    </w:div>
    <w:div w:id="328138908">
      <w:bodyDiv w:val="1"/>
      <w:marLeft w:val="0"/>
      <w:marRight w:val="0"/>
      <w:marTop w:val="0"/>
      <w:marBottom w:val="0"/>
      <w:divBdr>
        <w:top w:val="none" w:sz="0" w:space="0" w:color="auto"/>
        <w:left w:val="none" w:sz="0" w:space="0" w:color="auto"/>
        <w:bottom w:val="none" w:sz="0" w:space="0" w:color="auto"/>
        <w:right w:val="none" w:sz="0" w:space="0" w:color="auto"/>
      </w:divBdr>
    </w:div>
    <w:div w:id="329988732">
      <w:bodyDiv w:val="1"/>
      <w:marLeft w:val="0"/>
      <w:marRight w:val="0"/>
      <w:marTop w:val="0"/>
      <w:marBottom w:val="0"/>
      <w:divBdr>
        <w:top w:val="none" w:sz="0" w:space="0" w:color="auto"/>
        <w:left w:val="none" w:sz="0" w:space="0" w:color="auto"/>
        <w:bottom w:val="none" w:sz="0" w:space="0" w:color="auto"/>
        <w:right w:val="none" w:sz="0" w:space="0" w:color="auto"/>
      </w:divBdr>
    </w:div>
    <w:div w:id="330107036">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116884">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4308094">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691051">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5966049">
      <w:bodyDiv w:val="1"/>
      <w:marLeft w:val="0"/>
      <w:marRight w:val="0"/>
      <w:marTop w:val="0"/>
      <w:marBottom w:val="0"/>
      <w:divBdr>
        <w:top w:val="none" w:sz="0" w:space="0" w:color="auto"/>
        <w:left w:val="none" w:sz="0" w:space="0" w:color="auto"/>
        <w:bottom w:val="none" w:sz="0" w:space="0" w:color="auto"/>
        <w:right w:val="none" w:sz="0" w:space="0" w:color="auto"/>
      </w:divBdr>
    </w:div>
    <w:div w:id="336232438">
      <w:bodyDiv w:val="1"/>
      <w:marLeft w:val="0"/>
      <w:marRight w:val="0"/>
      <w:marTop w:val="0"/>
      <w:marBottom w:val="0"/>
      <w:divBdr>
        <w:top w:val="none" w:sz="0" w:space="0" w:color="auto"/>
        <w:left w:val="none" w:sz="0" w:space="0" w:color="auto"/>
        <w:bottom w:val="none" w:sz="0" w:space="0" w:color="auto"/>
        <w:right w:val="none" w:sz="0" w:space="0" w:color="auto"/>
      </w:divBdr>
    </w:div>
    <w:div w:id="336663777">
      <w:bodyDiv w:val="1"/>
      <w:marLeft w:val="0"/>
      <w:marRight w:val="0"/>
      <w:marTop w:val="0"/>
      <w:marBottom w:val="0"/>
      <w:divBdr>
        <w:top w:val="none" w:sz="0" w:space="0" w:color="auto"/>
        <w:left w:val="none" w:sz="0" w:space="0" w:color="auto"/>
        <w:bottom w:val="none" w:sz="0" w:space="0" w:color="auto"/>
        <w:right w:val="none" w:sz="0" w:space="0" w:color="auto"/>
      </w:divBdr>
    </w:div>
    <w:div w:id="336886436">
      <w:bodyDiv w:val="1"/>
      <w:marLeft w:val="0"/>
      <w:marRight w:val="0"/>
      <w:marTop w:val="0"/>
      <w:marBottom w:val="0"/>
      <w:divBdr>
        <w:top w:val="none" w:sz="0" w:space="0" w:color="auto"/>
        <w:left w:val="none" w:sz="0" w:space="0" w:color="auto"/>
        <w:bottom w:val="none" w:sz="0" w:space="0" w:color="auto"/>
        <w:right w:val="none" w:sz="0" w:space="0" w:color="auto"/>
      </w:divBdr>
    </w:div>
    <w:div w:id="337079755">
      <w:bodyDiv w:val="1"/>
      <w:marLeft w:val="0"/>
      <w:marRight w:val="0"/>
      <w:marTop w:val="0"/>
      <w:marBottom w:val="0"/>
      <w:divBdr>
        <w:top w:val="none" w:sz="0" w:space="0" w:color="auto"/>
        <w:left w:val="none" w:sz="0" w:space="0" w:color="auto"/>
        <w:bottom w:val="none" w:sz="0" w:space="0" w:color="auto"/>
        <w:right w:val="none" w:sz="0" w:space="0" w:color="auto"/>
      </w:divBdr>
    </w:div>
    <w:div w:id="337317370">
      <w:bodyDiv w:val="1"/>
      <w:marLeft w:val="0"/>
      <w:marRight w:val="0"/>
      <w:marTop w:val="0"/>
      <w:marBottom w:val="0"/>
      <w:divBdr>
        <w:top w:val="none" w:sz="0" w:space="0" w:color="auto"/>
        <w:left w:val="none" w:sz="0" w:space="0" w:color="auto"/>
        <w:bottom w:val="none" w:sz="0" w:space="0" w:color="auto"/>
        <w:right w:val="none" w:sz="0" w:space="0" w:color="auto"/>
      </w:divBdr>
    </w:div>
    <w:div w:id="337393019">
      <w:bodyDiv w:val="1"/>
      <w:marLeft w:val="0"/>
      <w:marRight w:val="0"/>
      <w:marTop w:val="0"/>
      <w:marBottom w:val="0"/>
      <w:divBdr>
        <w:top w:val="none" w:sz="0" w:space="0" w:color="auto"/>
        <w:left w:val="none" w:sz="0" w:space="0" w:color="auto"/>
        <w:bottom w:val="none" w:sz="0" w:space="0" w:color="auto"/>
        <w:right w:val="none" w:sz="0" w:space="0" w:color="auto"/>
      </w:divBdr>
    </w:div>
    <w:div w:id="337775961">
      <w:bodyDiv w:val="1"/>
      <w:marLeft w:val="0"/>
      <w:marRight w:val="0"/>
      <w:marTop w:val="0"/>
      <w:marBottom w:val="0"/>
      <w:divBdr>
        <w:top w:val="none" w:sz="0" w:space="0" w:color="auto"/>
        <w:left w:val="none" w:sz="0" w:space="0" w:color="auto"/>
        <w:bottom w:val="none" w:sz="0" w:space="0" w:color="auto"/>
        <w:right w:val="none" w:sz="0" w:space="0" w:color="auto"/>
      </w:divBdr>
    </w:div>
    <w:div w:id="337853690">
      <w:bodyDiv w:val="1"/>
      <w:marLeft w:val="0"/>
      <w:marRight w:val="0"/>
      <w:marTop w:val="0"/>
      <w:marBottom w:val="0"/>
      <w:divBdr>
        <w:top w:val="none" w:sz="0" w:space="0" w:color="auto"/>
        <w:left w:val="none" w:sz="0" w:space="0" w:color="auto"/>
        <w:bottom w:val="none" w:sz="0" w:space="0" w:color="auto"/>
        <w:right w:val="none" w:sz="0" w:space="0" w:color="auto"/>
      </w:divBdr>
    </w:div>
    <w:div w:id="337973755">
      <w:bodyDiv w:val="1"/>
      <w:marLeft w:val="0"/>
      <w:marRight w:val="0"/>
      <w:marTop w:val="0"/>
      <w:marBottom w:val="0"/>
      <w:divBdr>
        <w:top w:val="none" w:sz="0" w:space="0" w:color="auto"/>
        <w:left w:val="none" w:sz="0" w:space="0" w:color="auto"/>
        <w:bottom w:val="none" w:sz="0" w:space="0" w:color="auto"/>
        <w:right w:val="none" w:sz="0" w:space="0" w:color="auto"/>
      </w:divBdr>
    </w:div>
    <w:div w:id="33882343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517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39433887">
      <w:bodyDiv w:val="1"/>
      <w:marLeft w:val="0"/>
      <w:marRight w:val="0"/>
      <w:marTop w:val="0"/>
      <w:marBottom w:val="0"/>
      <w:divBdr>
        <w:top w:val="none" w:sz="0" w:space="0" w:color="auto"/>
        <w:left w:val="none" w:sz="0" w:space="0" w:color="auto"/>
        <w:bottom w:val="none" w:sz="0" w:space="0" w:color="auto"/>
        <w:right w:val="none" w:sz="0" w:space="0" w:color="auto"/>
      </w:divBdr>
    </w:div>
    <w:div w:id="341247413">
      <w:bodyDiv w:val="1"/>
      <w:marLeft w:val="0"/>
      <w:marRight w:val="0"/>
      <w:marTop w:val="0"/>
      <w:marBottom w:val="0"/>
      <w:divBdr>
        <w:top w:val="none" w:sz="0" w:space="0" w:color="auto"/>
        <w:left w:val="none" w:sz="0" w:space="0" w:color="auto"/>
        <w:bottom w:val="none" w:sz="0" w:space="0" w:color="auto"/>
        <w:right w:val="none" w:sz="0" w:space="0" w:color="auto"/>
      </w:divBdr>
    </w:div>
    <w:div w:id="344526535">
      <w:bodyDiv w:val="1"/>
      <w:marLeft w:val="0"/>
      <w:marRight w:val="0"/>
      <w:marTop w:val="0"/>
      <w:marBottom w:val="0"/>
      <w:divBdr>
        <w:top w:val="none" w:sz="0" w:space="0" w:color="auto"/>
        <w:left w:val="none" w:sz="0" w:space="0" w:color="auto"/>
        <w:bottom w:val="none" w:sz="0" w:space="0" w:color="auto"/>
        <w:right w:val="none" w:sz="0" w:space="0" w:color="auto"/>
      </w:divBdr>
    </w:div>
    <w:div w:id="344668925">
      <w:bodyDiv w:val="1"/>
      <w:marLeft w:val="0"/>
      <w:marRight w:val="0"/>
      <w:marTop w:val="0"/>
      <w:marBottom w:val="0"/>
      <w:divBdr>
        <w:top w:val="none" w:sz="0" w:space="0" w:color="auto"/>
        <w:left w:val="none" w:sz="0" w:space="0" w:color="auto"/>
        <w:bottom w:val="none" w:sz="0" w:space="0" w:color="auto"/>
        <w:right w:val="none" w:sz="0" w:space="0" w:color="auto"/>
      </w:divBdr>
    </w:div>
    <w:div w:id="344673173">
      <w:bodyDiv w:val="1"/>
      <w:marLeft w:val="0"/>
      <w:marRight w:val="0"/>
      <w:marTop w:val="0"/>
      <w:marBottom w:val="0"/>
      <w:divBdr>
        <w:top w:val="none" w:sz="0" w:space="0" w:color="auto"/>
        <w:left w:val="none" w:sz="0" w:space="0" w:color="auto"/>
        <w:bottom w:val="none" w:sz="0" w:space="0" w:color="auto"/>
        <w:right w:val="none" w:sz="0" w:space="0" w:color="auto"/>
      </w:divBdr>
    </w:div>
    <w:div w:id="344789257">
      <w:bodyDiv w:val="1"/>
      <w:marLeft w:val="0"/>
      <w:marRight w:val="0"/>
      <w:marTop w:val="0"/>
      <w:marBottom w:val="0"/>
      <w:divBdr>
        <w:top w:val="none" w:sz="0" w:space="0" w:color="auto"/>
        <w:left w:val="none" w:sz="0" w:space="0" w:color="auto"/>
        <w:bottom w:val="none" w:sz="0" w:space="0" w:color="auto"/>
        <w:right w:val="none" w:sz="0" w:space="0" w:color="auto"/>
      </w:divBdr>
    </w:div>
    <w:div w:id="345139125">
      <w:bodyDiv w:val="1"/>
      <w:marLeft w:val="0"/>
      <w:marRight w:val="0"/>
      <w:marTop w:val="0"/>
      <w:marBottom w:val="0"/>
      <w:divBdr>
        <w:top w:val="none" w:sz="0" w:space="0" w:color="auto"/>
        <w:left w:val="none" w:sz="0" w:space="0" w:color="auto"/>
        <w:bottom w:val="none" w:sz="0" w:space="0" w:color="auto"/>
        <w:right w:val="none" w:sz="0" w:space="0" w:color="auto"/>
      </w:divBdr>
    </w:div>
    <w:div w:id="345447566">
      <w:bodyDiv w:val="1"/>
      <w:marLeft w:val="0"/>
      <w:marRight w:val="0"/>
      <w:marTop w:val="0"/>
      <w:marBottom w:val="0"/>
      <w:divBdr>
        <w:top w:val="none" w:sz="0" w:space="0" w:color="auto"/>
        <w:left w:val="none" w:sz="0" w:space="0" w:color="auto"/>
        <w:bottom w:val="none" w:sz="0" w:space="0" w:color="auto"/>
        <w:right w:val="none" w:sz="0" w:space="0" w:color="auto"/>
      </w:divBdr>
    </w:div>
    <w:div w:id="346489948">
      <w:bodyDiv w:val="1"/>
      <w:marLeft w:val="0"/>
      <w:marRight w:val="0"/>
      <w:marTop w:val="0"/>
      <w:marBottom w:val="0"/>
      <w:divBdr>
        <w:top w:val="none" w:sz="0" w:space="0" w:color="auto"/>
        <w:left w:val="none" w:sz="0" w:space="0" w:color="auto"/>
        <w:bottom w:val="none" w:sz="0" w:space="0" w:color="auto"/>
        <w:right w:val="none" w:sz="0" w:space="0" w:color="auto"/>
      </w:divBdr>
    </w:div>
    <w:div w:id="347872173">
      <w:bodyDiv w:val="1"/>
      <w:marLeft w:val="0"/>
      <w:marRight w:val="0"/>
      <w:marTop w:val="0"/>
      <w:marBottom w:val="0"/>
      <w:divBdr>
        <w:top w:val="none" w:sz="0" w:space="0" w:color="auto"/>
        <w:left w:val="none" w:sz="0" w:space="0" w:color="auto"/>
        <w:bottom w:val="none" w:sz="0" w:space="0" w:color="auto"/>
        <w:right w:val="none" w:sz="0" w:space="0" w:color="auto"/>
      </w:divBdr>
    </w:div>
    <w:div w:id="348147994">
      <w:bodyDiv w:val="1"/>
      <w:marLeft w:val="0"/>
      <w:marRight w:val="0"/>
      <w:marTop w:val="0"/>
      <w:marBottom w:val="0"/>
      <w:divBdr>
        <w:top w:val="none" w:sz="0" w:space="0" w:color="auto"/>
        <w:left w:val="none" w:sz="0" w:space="0" w:color="auto"/>
        <w:bottom w:val="none" w:sz="0" w:space="0" w:color="auto"/>
        <w:right w:val="none" w:sz="0" w:space="0" w:color="auto"/>
      </w:divBdr>
    </w:div>
    <w:div w:id="349843363">
      <w:bodyDiv w:val="1"/>
      <w:marLeft w:val="0"/>
      <w:marRight w:val="0"/>
      <w:marTop w:val="0"/>
      <w:marBottom w:val="0"/>
      <w:divBdr>
        <w:top w:val="none" w:sz="0" w:space="0" w:color="auto"/>
        <w:left w:val="none" w:sz="0" w:space="0" w:color="auto"/>
        <w:bottom w:val="none" w:sz="0" w:space="0" w:color="auto"/>
        <w:right w:val="none" w:sz="0" w:space="0" w:color="auto"/>
      </w:divBdr>
    </w:div>
    <w:div w:id="350566445">
      <w:bodyDiv w:val="1"/>
      <w:marLeft w:val="0"/>
      <w:marRight w:val="0"/>
      <w:marTop w:val="0"/>
      <w:marBottom w:val="0"/>
      <w:divBdr>
        <w:top w:val="none" w:sz="0" w:space="0" w:color="auto"/>
        <w:left w:val="none" w:sz="0" w:space="0" w:color="auto"/>
        <w:bottom w:val="none" w:sz="0" w:space="0" w:color="auto"/>
        <w:right w:val="none" w:sz="0" w:space="0" w:color="auto"/>
      </w:divBdr>
    </w:div>
    <w:div w:id="351422942">
      <w:bodyDiv w:val="1"/>
      <w:marLeft w:val="0"/>
      <w:marRight w:val="0"/>
      <w:marTop w:val="0"/>
      <w:marBottom w:val="0"/>
      <w:divBdr>
        <w:top w:val="none" w:sz="0" w:space="0" w:color="auto"/>
        <w:left w:val="none" w:sz="0" w:space="0" w:color="auto"/>
        <w:bottom w:val="none" w:sz="0" w:space="0" w:color="auto"/>
        <w:right w:val="none" w:sz="0" w:space="0" w:color="auto"/>
      </w:divBdr>
    </w:div>
    <w:div w:id="351807092">
      <w:bodyDiv w:val="1"/>
      <w:marLeft w:val="0"/>
      <w:marRight w:val="0"/>
      <w:marTop w:val="0"/>
      <w:marBottom w:val="0"/>
      <w:divBdr>
        <w:top w:val="none" w:sz="0" w:space="0" w:color="auto"/>
        <w:left w:val="none" w:sz="0" w:space="0" w:color="auto"/>
        <w:bottom w:val="none" w:sz="0" w:space="0" w:color="auto"/>
        <w:right w:val="none" w:sz="0" w:space="0" w:color="auto"/>
      </w:divBdr>
    </w:div>
    <w:div w:id="352264843">
      <w:bodyDiv w:val="1"/>
      <w:marLeft w:val="0"/>
      <w:marRight w:val="0"/>
      <w:marTop w:val="0"/>
      <w:marBottom w:val="0"/>
      <w:divBdr>
        <w:top w:val="none" w:sz="0" w:space="0" w:color="auto"/>
        <w:left w:val="none" w:sz="0" w:space="0" w:color="auto"/>
        <w:bottom w:val="none" w:sz="0" w:space="0" w:color="auto"/>
        <w:right w:val="none" w:sz="0" w:space="0" w:color="auto"/>
      </w:divBdr>
    </w:div>
    <w:div w:id="352657057">
      <w:bodyDiv w:val="1"/>
      <w:marLeft w:val="0"/>
      <w:marRight w:val="0"/>
      <w:marTop w:val="0"/>
      <w:marBottom w:val="0"/>
      <w:divBdr>
        <w:top w:val="none" w:sz="0" w:space="0" w:color="auto"/>
        <w:left w:val="none" w:sz="0" w:space="0" w:color="auto"/>
        <w:bottom w:val="none" w:sz="0" w:space="0" w:color="auto"/>
        <w:right w:val="none" w:sz="0" w:space="0" w:color="auto"/>
      </w:divBdr>
    </w:div>
    <w:div w:id="353119528">
      <w:bodyDiv w:val="1"/>
      <w:marLeft w:val="0"/>
      <w:marRight w:val="0"/>
      <w:marTop w:val="0"/>
      <w:marBottom w:val="0"/>
      <w:divBdr>
        <w:top w:val="none" w:sz="0" w:space="0" w:color="auto"/>
        <w:left w:val="none" w:sz="0" w:space="0" w:color="auto"/>
        <w:bottom w:val="none" w:sz="0" w:space="0" w:color="auto"/>
        <w:right w:val="none" w:sz="0" w:space="0" w:color="auto"/>
      </w:divBdr>
    </w:div>
    <w:div w:id="353843205">
      <w:bodyDiv w:val="1"/>
      <w:marLeft w:val="0"/>
      <w:marRight w:val="0"/>
      <w:marTop w:val="0"/>
      <w:marBottom w:val="0"/>
      <w:divBdr>
        <w:top w:val="none" w:sz="0" w:space="0" w:color="auto"/>
        <w:left w:val="none" w:sz="0" w:space="0" w:color="auto"/>
        <w:bottom w:val="none" w:sz="0" w:space="0" w:color="auto"/>
        <w:right w:val="none" w:sz="0" w:space="0" w:color="auto"/>
      </w:divBdr>
    </w:div>
    <w:div w:id="355934173">
      <w:bodyDiv w:val="1"/>
      <w:marLeft w:val="0"/>
      <w:marRight w:val="0"/>
      <w:marTop w:val="0"/>
      <w:marBottom w:val="0"/>
      <w:divBdr>
        <w:top w:val="none" w:sz="0" w:space="0" w:color="auto"/>
        <w:left w:val="none" w:sz="0" w:space="0" w:color="auto"/>
        <w:bottom w:val="none" w:sz="0" w:space="0" w:color="auto"/>
        <w:right w:val="none" w:sz="0" w:space="0" w:color="auto"/>
      </w:divBdr>
    </w:div>
    <w:div w:id="356852005">
      <w:bodyDiv w:val="1"/>
      <w:marLeft w:val="0"/>
      <w:marRight w:val="0"/>
      <w:marTop w:val="0"/>
      <w:marBottom w:val="0"/>
      <w:divBdr>
        <w:top w:val="none" w:sz="0" w:space="0" w:color="auto"/>
        <w:left w:val="none" w:sz="0" w:space="0" w:color="auto"/>
        <w:bottom w:val="none" w:sz="0" w:space="0" w:color="auto"/>
        <w:right w:val="none" w:sz="0" w:space="0" w:color="auto"/>
      </w:divBdr>
    </w:div>
    <w:div w:id="357506364">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506638">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085339">
      <w:bodyDiv w:val="1"/>
      <w:marLeft w:val="0"/>
      <w:marRight w:val="0"/>
      <w:marTop w:val="0"/>
      <w:marBottom w:val="0"/>
      <w:divBdr>
        <w:top w:val="none" w:sz="0" w:space="0" w:color="auto"/>
        <w:left w:val="none" w:sz="0" w:space="0" w:color="auto"/>
        <w:bottom w:val="none" w:sz="0" w:space="0" w:color="auto"/>
        <w:right w:val="none" w:sz="0" w:space="0" w:color="auto"/>
      </w:divBdr>
    </w:div>
    <w:div w:id="359163506">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82284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0323962">
      <w:bodyDiv w:val="1"/>
      <w:marLeft w:val="0"/>
      <w:marRight w:val="0"/>
      <w:marTop w:val="0"/>
      <w:marBottom w:val="0"/>
      <w:divBdr>
        <w:top w:val="none" w:sz="0" w:space="0" w:color="auto"/>
        <w:left w:val="none" w:sz="0" w:space="0" w:color="auto"/>
        <w:bottom w:val="none" w:sz="0" w:space="0" w:color="auto"/>
        <w:right w:val="none" w:sz="0" w:space="0" w:color="auto"/>
      </w:divBdr>
    </w:div>
    <w:div w:id="360329394">
      <w:bodyDiv w:val="1"/>
      <w:marLeft w:val="0"/>
      <w:marRight w:val="0"/>
      <w:marTop w:val="0"/>
      <w:marBottom w:val="0"/>
      <w:divBdr>
        <w:top w:val="none" w:sz="0" w:space="0" w:color="auto"/>
        <w:left w:val="none" w:sz="0" w:space="0" w:color="auto"/>
        <w:bottom w:val="none" w:sz="0" w:space="0" w:color="auto"/>
        <w:right w:val="none" w:sz="0" w:space="0" w:color="auto"/>
      </w:divBdr>
    </w:div>
    <w:div w:id="360672309">
      <w:bodyDiv w:val="1"/>
      <w:marLeft w:val="0"/>
      <w:marRight w:val="0"/>
      <w:marTop w:val="0"/>
      <w:marBottom w:val="0"/>
      <w:divBdr>
        <w:top w:val="none" w:sz="0" w:space="0" w:color="auto"/>
        <w:left w:val="none" w:sz="0" w:space="0" w:color="auto"/>
        <w:bottom w:val="none" w:sz="0" w:space="0" w:color="auto"/>
        <w:right w:val="none" w:sz="0" w:space="0" w:color="auto"/>
      </w:divBdr>
    </w:div>
    <w:div w:id="360740217">
      <w:bodyDiv w:val="1"/>
      <w:marLeft w:val="0"/>
      <w:marRight w:val="0"/>
      <w:marTop w:val="0"/>
      <w:marBottom w:val="0"/>
      <w:divBdr>
        <w:top w:val="none" w:sz="0" w:space="0" w:color="auto"/>
        <w:left w:val="none" w:sz="0" w:space="0" w:color="auto"/>
        <w:bottom w:val="none" w:sz="0" w:space="0" w:color="auto"/>
        <w:right w:val="none" w:sz="0" w:space="0" w:color="auto"/>
      </w:divBdr>
    </w:div>
    <w:div w:id="360783316">
      <w:bodyDiv w:val="1"/>
      <w:marLeft w:val="0"/>
      <w:marRight w:val="0"/>
      <w:marTop w:val="0"/>
      <w:marBottom w:val="0"/>
      <w:divBdr>
        <w:top w:val="none" w:sz="0" w:space="0" w:color="auto"/>
        <w:left w:val="none" w:sz="0" w:space="0" w:color="auto"/>
        <w:bottom w:val="none" w:sz="0" w:space="0" w:color="auto"/>
        <w:right w:val="none" w:sz="0" w:space="0" w:color="auto"/>
      </w:divBdr>
    </w:div>
    <w:div w:id="360864572">
      <w:bodyDiv w:val="1"/>
      <w:marLeft w:val="0"/>
      <w:marRight w:val="0"/>
      <w:marTop w:val="0"/>
      <w:marBottom w:val="0"/>
      <w:divBdr>
        <w:top w:val="none" w:sz="0" w:space="0" w:color="auto"/>
        <w:left w:val="none" w:sz="0" w:space="0" w:color="auto"/>
        <w:bottom w:val="none" w:sz="0" w:space="0" w:color="auto"/>
        <w:right w:val="none" w:sz="0" w:space="0" w:color="auto"/>
      </w:divBdr>
    </w:div>
    <w:div w:id="361175442">
      <w:bodyDiv w:val="1"/>
      <w:marLeft w:val="0"/>
      <w:marRight w:val="0"/>
      <w:marTop w:val="0"/>
      <w:marBottom w:val="0"/>
      <w:divBdr>
        <w:top w:val="none" w:sz="0" w:space="0" w:color="auto"/>
        <w:left w:val="none" w:sz="0" w:space="0" w:color="auto"/>
        <w:bottom w:val="none" w:sz="0" w:space="0" w:color="auto"/>
        <w:right w:val="none" w:sz="0" w:space="0" w:color="auto"/>
      </w:divBdr>
    </w:div>
    <w:div w:id="361512424">
      <w:bodyDiv w:val="1"/>
      <w:marLeft w:val="0"/>
      <w:marRight w:val="0"/>
      <w:marTop w:val="0"/>
      <w:marBottom w:val="0"/>
      <w:divBdr>
        <w:top w:val="none" w:sz="0" w:space="0" w:color="auto"/>
        <w:left w:val="none" w:sz="0" w:space="0" w:color="auto"/>
        <w:bottom w:val="none" w:sz="0" w:space="0" w:color="auto"/>
        <w:right w:val="none" w:sz="0" w:space="0" w:color="auto"/>
      </w:divBdr>
    </w:div>
    <w:div w:id="361563771">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2360950">
      <w:bodyDiv w:val="1"/>
      <w:marLeft w:val="0"/>
      <w:marRight w:val="0"/>
      <w:marTop w:val="0"/>
      <w:marBottom w:val="0"/>
      <w:divBdr>
        <w:top w:val="none" w:sz="0" w:space="0" w:color="auto"/>
        <w:left w:val="none" w:sz="0" w:space="0" w:color="auto"/>
        <w:bottom w:val="none" w:sz="0" w:space="0" w:color="auto"/>
        <w:right w:val="none" w:sz="0" w:space="0" w:color="auto"/>
      </w:divBdr>
    </w:div>
    <w:div w:id="362831668">
      <w:bodyDiv w:val="1"/>
      <w:marLeft w:val="0"/>
      <w:marRight w:val="0"/>
      <w:marTop w:val="0"/>
      <w:marBottom w:val="0"/>
      <w:divBdr>
        <w:top w:val="none" w:sz="0" w:space="0" w:color="auto"/>
        <w:left w:val="none" w:sz="0" w:space="0" w:color="auto"/>
        <w:bottom w:val="none" w:sz="0" w:space="0" w:color="auto"/>
        <w:right w:val="none" w:sz="0" w:space="0" w:color="auto"/>
      </w:divBdr>
    </w:div>
    <w:div w:id="362942864">
      <w:bodyDiv w:val="1"/>
      <w:marLeft w:val="0"/>
      <w:marRight w:val="0"/>
      <w:marTop w:val="0"/>
      <w:marBottom w:val="0"/>
      <w:divBdr>
        <w:top w:val="none" w:sz="0" w:space="0" w:color="auto"/>
        <w:left w:val="none" w:sz="0" w:space="0" w:color="auto"/>
        <w:bottom w:val="none" w:sz="0" w:space="0" w:color="auto"/>
        <w:right w:val="none" w:sz="0" w:space="0" w:color="auto"/>
      </w:divBdr>
    </w:div>
    <w:div w:id="363217956">
      <w:bodyDiv w:val="1"/>
      <w:marLeft w:val="0"/>
      <w:marRight w:val="0"/>
      <w:marTop w:val="0"/>
      <w:marBottom w:val="0"/>
      <w:divBdr>
        <w:top w:val="none" w:sz="0" w:space="0" w:color="auto"/>
        <w:left w:val="none" w:sz="0" w:space="0" w:color="auto"/>
        <w:bottom w:val="none" w:sz="0" w:space="0" w:color="auto"/>
        <w:right w:val="none" w:sz="0" w:space="0" w:color="auto"/>
      </w:divBdr>
    </w:div>
    <w:div w:id="365180362">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221024">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6954059">
      <w:bodyDiv w:val="1"/>
      <w:marLeft w:val="0"/>
      <w:marRight w:val="0"/>
      <w:marTop w:val="0"/>
      <w:marBottom w:val="0"/>
      <w:divBdr>
        <w:top w:val="none" w:sz="0" w:space="0" w:color="auto"/>
        <w:left w:val="none" w:sz="0" w:space="0" w:color="auto"/>
        <w:bottom w:val="none" w:sz="0" w:space="0" w:color="auto"/>
        <w:right w:val="none" w:sz="0" w:space="0" w:color="auto"/>
      </w:divBdr>
    </w:div>
    <w:div w:id="367343674">
      <w:bodyDiv w:val="1"/>
      <w:marLeft w:val="0"/>
      <w:marRight w:val="0"/>
      <w:marTop w:val="0"/>
      <w:marBottom w:val="0"/>
      <w:divBdr>
        <w:top w:val="none" w:sz="0" w:space="0" w:color="auto"/>
        <w:left w:val="none" w:sz="0" w:space="0" w:color="auto"/>
        <w:bottom w:val="none" w:sz="0" w:space="0" w:color="auto"/>
        <w:right w:val="none" w:sz="0" w:space="0" w:color="auto"/>
      </w:divBdr>
    </w:div>
    <w:div w:id="367605154">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68381551">
      <w:bodyDiv w:val="1"/>
      <w:marLeft w:val="0"/>
      <w:marRight w:val="0"/>
      <w:marTop w:val="0"/>
      <w:marBottom w:val="0"/>
      <w:divBdr>
        <w:top w:val="none" w:sz="0" w:space="0" w:color="auto"/>
        <w:left w:val="none" w:sz="0" w:space="0" w:color="auto"/>
        <w:bottom w:val="none" w:sz="0" w:space="0" w:color="auto"/>
        <w:right w:val="none" w:sz="0" w:space="0" w:color="auto"/>
      </w:divBdr>
    </w:div>
    <w:div w:id="368847163">
      <w:bodyDiv w:val="1"/>
      <w:marLeft w:val="0"/>
      <w:marRight w:val="0"/>
      <w:marTop w:val="0"/>
      <w:marBottom w:val="0"/>
      <w:divBdr>
        <w:top w:val="none" w:sz="0" w:space="0" w:color="auto"/>
        <w:left w:val="none" w:sz="0" w:space="0" w:color="auto"/>
        <w:bottom w:val="none" w:sz="0" w:space="0" w:color="auto"/>
        <w:right w:val="none" w:sz="0" w:space="0" w:color="auto"/>
      </w:divBdr>
    </w:div>
    <w:div w:id="369914197">
      <w:bodyDiv w:val="1"/>
      <w:marLeft w:val="0"/>
      <w:marRight w:val="0"/>
      <w:marTop w:val="0"/>
      <w:marBottom w:val="0"/>
      <w:divBdr>
        <w:top w:val="none" w:sz="0" w:space="0" w:color="auto"/>
        <w:left w:val="none" w:sz="0" w:space="0" w:color="auto"/>
        <w:bottom w:val="none" w:sz="0" w:space="0" w:color="auto"/>
        <w:right w:val="none" w:sz="0" w:space="0" w:color="auto"/>
      </w:divBdr>
    </w:div>
    <w:div w:id="370616374">
      <w:bodyDiv w:val="1"/>
      <w:marLeft w:val="0"/>
      <w:marRight w:val="0"/>
      <w:marTop w:val="0"/>
      <w:marBottom w:val="0"/>
      <w:divBdr>
        <w:top w:val="none" w:sz="0" w:space="0" w:color="auto"/>
        <w:left w:val="none" w:sz="0" w:space="0" w:color="auto"/>
        <w:bottom w:val="none" w:sz="0" w:space="0" w:color="auto"/>
        <w:right w:val="none" w:sz="0" w:space="0" w:color="auto"/>
      </w:divBdr>
    </w:div>
    <w:div w:id="370959773">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1852599">
      <w:bodyDiv w:val="1"/>
      <w:marLeft w:val="0"/>
      <w:marRight w:val="0"/>
      <w:marTop w:val="0"/>
      <w:marBottom w:val="0"/>
      <w:divBdr>
        <w:top w:val="none" w:sz="0" w:space="0" w:color="auto"/>
        <w:left w:val="none" w:sz="0" w:space="0" w:color="auto"/>
        <w:bottom w:val="none" w:sz="0" w:space="0" w:color="auto"/>
        <w:right w:val="none" w:sz="0" w:space="0" w:color="auto"/>
      </w:divBdr>
    </w:div>
    <w:div w:id="372079958">
      <w:bodyDiv w:val="1"/>
      <w:marLeft w:val="0"/>
      <w:marRight w:val="0"/>
      <w:marTop w:val="0"/>
      <w:marBottom w:val="0"/>
      <w:divBdr>
        <w:top w:val="none" w:sz="0" w:space="0" w:color="auto"/>
        <w:left w:val="none" w:sz="0" w:space="0" w:color="auto"/>
        <w:bottom w:val="none" w:sz="0" w:space="0" w:color="auto"/>
        <w:right w:val="none" w:sz="0" w:space="0" w:color="auto"/>
      </w:divBdr>
    </w:div>
    <w:div w:id="373237306">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4043792">
      <w:bodyDiv w:val="1"/>
      <w:marLeft w:val="0"/>
      <w:marRight w:val="0"/>
      <w:marTop w:val="0"/>
      <w:marBottom w:val="0"/>
      <w:divBdr>
        <w:top w:val="none" w:sz="0" w:space="0" w:color="auto"/>
        <w:left w:val="none" w:sz="0" w:space="0" w:color="auto"/>
        <w:bottom w:val="none" w:sz="0" w:space="0" w:color="auto"/>
        <w:right w:val="none" w:sz="0" w:space="0" w:color="auto"/>
      </w:divBdr>
    </w:div>
    <w:div w:id="374429469">
      <w:bodyDiv w:val="1"/>
      <w:marLeft w:val="0"/>
      <w:marRight w:val="0"/>
      <w:marTop w:val="0"/>
      <w:marBottom w:val="0"/>
      <w:divBdr>
        <w:top w:val="none" w:sz="0" w:space="0" w:color="auto"/>
        <w:left w:val="none" w:sz="0" w:space="0" w:color="auto"/>
        <w:bottom w:val="none" w:sz="0" w:space="0" w:color="auto"/>
        <w:right w:val="none" w:sz="0" w:space="0" w:color="auto"/>
      </w:divBdr>
    </w:div>
    <w:div w:id="375088761">
      <w:bodyDiv w:val="1"/>
      <w:marLeft w:val="0"/>
      <w:marRight w:val="0"/>
      <w:marTop w:val="0"/>
      <w:marBottom w:val="0"/>
      <w:divBdr>
        <w:top w:val="none" w:sz="0" w:space="0" w:color="auto"/>
        <w:left w:val="none" w:sz="0" w:space="0" w:color="auto"/>
        <w:bottom w:val="none" w:sz="0" w:space="0" w:color="auto"/>
        <w:right w:val="none" w:sz="0" w:space="0" w:color="auto"/>
      </w:divBdr>
    </w:div>
    <w:div w:id="375545740">
      <w:bodyDiv w:val="1"/>
      <w:marLeft w:val="0"/>
      <w:marRight w:val="0"/>
      <w:marTop w:val="0"/>
      <w:marBottom w:val="0"/>
      <w:divBdr>
        <w:top w:val="none" w:sz="0" w:space="0" w:color="auto"/>
        <w:left w:val="none" w:sz="0" w:space="0" w:color="auto"/>
        <w:bottom w:val="none" w:sz="0" w:space="0" w:color="auto"/>
        <w:right w:val="none" w:sz="0" w:space="0" w:color="auto"/>
      </w:divBdr>
    </w:div>
    <w:div w:id="375550217">
      <w:bodyDiv w:val="1"/>
      <w:marLeft w:val="0"/>
      <w:marRight w:val="0"/>
      <w:marTop w:val="0"/>
      <w:marBottom w:val="0"/>
      <w:divBdr>
        <w:top w:val="none" w:sz="0" w:space="0" w:color="auto"/>
        <w:left w:val="none" w:sz="0" w:space="0" w:color="auto"/>
        <w:bottom w:val="none" w:sz="0" w:space="0" w:color="auto"/>
        <w:right w:val="none" w:sz="0" w:space="0" w:color="auto"/>
      </w:divBdr>
    </w:div>
    <w:div w:id="376706575">
      <w:bodyDiv w:val="1"/>
      <w:marLeft w:val="0"/>
      <w:marRight w:val="0"/>
      <w:marTop w:val="0"/>
      <w:marBottom w:val="0"/>
      <w:divBdr>
        <w:top w:val="none" w:sz="0" w:space="0" w:color="auto"/>
        <w:left w:val="none" w:sz="0" w:space="0" w:color="auto"/>
        <w:bottom w:val="none" w:sz="0" w:space="0" w:color="auto"/>
        <w:right w:val="none" w:sz="0" w:space="0" w:color="auto"/>
      </w:divBdr>
    </w:div>
    <w:div w:id="377314560">
      <w:bodyDiv w:val="1"/>
      <w:marLeft w:val="0"/>
      <w:marRight w:val="0"/>
      <w:marTop w:val="0"/>
      <w:marBottom w:val="0"/>
      <w:divBdr>
        <w:top w:val="none" w:sz="0" w:space="0" w:color="auto"/>
        <w:left w:val="none" w:sz="0" w:space="0" w:color="auto"/>
        <w:bottom w:val="none" w:sz="0" w:space="0" w:color="auto"/>
        <w:right w:val="none" w:sz="0" w:space="0" w:color="auto"/>
      </w:divBdr>
    </w:div>
    <w:div w:id="37758321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78092252">
      <w:bodyDiv w:val="1"/>
      <w:marLeft w:val="0"/>
      <w:marRight w:val="0"/>
      <w:marTop w:val="0"/>
      <w:marBottom w:val="0"/>
      <w:divBdr>
        <w:top w:val="none" w:sz="0" w:space="0" w:color="auto"/>
        <w:left w:val="none" w:sz="0" w:space="0" w:color="auto"/>
        <w:bottom w:val="none" w:sz="0" w:space="0" w:color="auto"/>
        <w:right w:val="none" w:sz="0" w:space="0" w:color="auto"/>
      </w:divBdr>
    </w:div>
    <w:div w:id="378361589">
      <w:bodyDiv w:val="1"/>
      <w:marLeft w:val="0"/>
      <w:marRight w:val="0"/>
      <w:marTop w:val="0"/>
      <w:marBottom w:val="0"/>
      <w:divBdr>
        <w:top w:val="none" w:sz="0" w:space="0" w:color="auto"/>
        <w:left w:val="none" w:sz="0" w:space="0" w:color="auto"/>
        <w:bottom w:val="none" w:sz="0" w:space="0" w:color="auto"/>
        <w:right w:val="none" w:sz="0" w:space="0" w:color="auto"/>
      </w:divBdr>
    </w:div>
    <w:div w:id="378436854">
      <w:bodyDiv w:val="1"/>
      <w:marLeft w:val="0"/>
      <w:marRight w:val="0"/>
      <w:marTop w:val="0"/>
      <w:marBottom w:val="0"/>
      <w:divBdr>
        <w:top w:val="none" w:sz="0" w:space="0" w:color="auto"/>
        <w:left w:val="none" w:sz="0" w:space="0" w:color="auto"/>
        <w:bottom w:val="none" w:sz="0" w:space="0" w:color="auto"/>
        <w:right w:val="none" w:sz="0" w:space="0" w:color="auto"/>
      </w:divBdr>
    </w:div>
    <w:div w:id="378477492">
      <w:bodyDiv w:val="1"/>
      <w:marLeft w:val="0"/>
      <w:marRight w:val="0"/>
      <w:marTop w:val="0"/>
      <w:marBottom w:val="0"/>
      <w:divBdr>
        <w:top w:val="none" w:sz="0" w:space="0" w:color="auto"/>
        <w:left w:val="none" w:sz="0" w:space="0" w:color="auto"/>
        <w:bottom w:val="none" w:sz="0" w:space="0" w:color="auto"/>
        <w:right w:val="none" w:sz="0" w:space="0" w:color="auto"/>
      </w:divBdr>
    </w:div>
    <w:div w:id="378673529">
      <w:bodyDiv w:val="1"/>
      <w:marLeft w:val="0"/>
      <w:marRight w:val="0"/>
      <w:marTop w:val="0"/>
      <w:marBottom w:val="0"/>
      <w:divBdr>
        <w:top w:val="none" w:sz="0" w:space="0" w:color="auto"/>
        <w:left w:val="none" w:sz="0" w:space="0" w:color="auto"/>
        <w:bottom w:val="none" w:sz="0" w:space="0" w:color="auto"/>
        <w:right w:val="none" w:sz="0" w:space="0" w:color="auto"/>
      </w:divBdr>
    </w:div>
    <w:div w:id="379210991">
      <w:bodyDiv w:val="1"/>
      <w:marLeft w:val="0"/>
      <w:marRight w:val="0"/>
      <w:marTop w:val="0"/>
      <w:marBottom w:val="0"/>
      <w:divBdr>
        <w:top w:val="none" w:sz="0" w:space="0" w:color="auto"/>
        <w:left w:val="none" w:sz="0" w:space="0" w:color="auto"/>
        <w:bottom w:val="none" w:sz="0" w:space="0" w:color="auto"/>
        <w:right w:val="none" w:sz="0" w:space="0" w:color="auto"/>
      </w:divBdr>
    </w:div>
    <w:div w:id="379211179">
      <w:bodyDiv w:val="1"/>
      <w:marLeft w:val="0"/>
      <w:marRight w:val="0"/>
      <w:marTop w:val="0"/>
      <w:marBottom w:val="0"/>
      <w:divBdr>
        <w:top w:val="none" w:sz="0" w:space="0" w:color="auto"/>
        <w:left w:val="none" w:sz="0" w:space="0" w:color="auto"/>
        <w:bottom w:val="none" w:sz="0" w:space="0" w:color="auto"/>
        <w:right w:val="none" w:sz="0" w:space="0" w:color="auto"/>
      </w:divBdr>
    </w:div>
    <w:div w:id="380639784">
      <w:bodyDiv w:val="1"/>
      <w:marLeft w:val="0"/>
      <w:marRight w:val="0"/>
      <w:marTop w:val="0"/>
      <w:marBottom w:val="0"/>
      <w:divBdr>
        <w:top w:val="none" w:sz="0" w:space="0" w:color="auto"/>
        <w:left w:val="none" w:sz="0" w:space="0" w:color="auto"/>
        <w:bottom w:val="none" w:sz="0" w:space="0" w:color="auto"/>
        <w:right w:val="none" w:sz="0" w:space="0" w:color="auto"/>
      </w:divBdr>
    </w:div>
    <w:div w:id="381439226">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145715">
      <w:bodyDiv w:val="1"/>
      <w:marLeft w:val="0"/>
      <w:marRight w:val="0"/>
      <w:marTop w:val="0"/>
      <w:marBottom w:val="0"/>
      <w:divBdr>
        <w:top w:val="none" w:sz="0" w:space="0" w:color="auto"/>
        <w:left w:val="none" w:sz="0" w:space="0" w:color="auto"/>
        <w:bottom w:val="none" w:sz="0" w:space="0" w:color="auto"/>
        <w:right w:val="none" w:sz="0" w:space="0" w:color="auto"/>
      </w:divBdr>
    </w:div>
    <w:div w:id="382872155">
      <w:bodyDiv w:val="1"/>
      <w:marLeft w:val="0"/>
      <w:marRight w:val="0"/>
      <w:marTop w:val="0"/>
      <w:marBottom w:val="0"/>
      <w:divBdr>
        <w:top w:val="none" w:sz="0" w:space="0" w:color="auto"/>
        <w:left w:val="none" w:sz="0" w:space="0" w:color="auto"/>
        <w:bottom w:val="none" w:sz="0" w:space="0" w:color="auto"/>
        <w:right w:val="none" w:sz="0" w:space="0" w:color="auto"/>
      </w:divBdr>
    </w:div>
    <w:div w:id="383024634">
      <w:bodyDiv w:val="1"/>
      <w:marLeft w:val="0"/>
      <w:marRight w:val="0"/>
      <w:marTop w:val="0"/>
      <w:marBottom w:val="0"/>
      <w:divBdr>
        <w:top w:val="none" w:sz="0" w:space="0" w:color="auto"/>
        <w:left w:val="none" w:sz="0" w:space="0" w:color="auto"/>
        <w:bottom w:val="none" w:sz="0" w:space="0" w:color="auto"/>
        <w:right w:val="none" w:sz="0" w:space="0" w:color="auto"/>
      </w:divBdr>
    </w:div>
    <w:div w:id="383070292">
      <w:bodyDiv w:val="1"/>
      <w:marLeft w:val="0"/>
      <w:marRight w:val="0"/>
      <w:marTop w:val="0"/>
      <w:marBottom w:val="0"/>
      <w:divBdr>
        <w:top w:val="none" w:sz="0" w:space="0" w:color="auto"/>
        <w:left w:val="none" w:sz="0" w:space="0" w:color="auto"/>
        <w:bottom w:val="none" w:sz="0" w:space="0" w:color="auto"/>
        <w:right w:val="none" w:sz="0" w:space="0" w:color="auto"/>
      </w:divBdr>
    </w:div>
    <w:div w:id="383259524">
      <w:bodyDiv w:val="1"/>
      <w:marLeft w:val="0"/>
      <w:marRight w:val="0"/>
      <w:marTop w:val="0"/>
      <w:marBottom w:val="0"/>
      <w:divBdr>
        <w:top w:val="none" w:sz="0" w:space="0" w:color="auto"/>
        <w:left w:val="none" w:sz="0" w:space="0" w:color="auto"/>
        <w:bottom w:val="none" w:sz="0" w:space="0" w:color="auto"/>
        <w:right w:val="none" w:sz="0" w:space="0" w:color="auto"/>
      </w:divBdr>
    </w:div>
    <w:div w:id="383452223">
      <w:bodyDiv w:val="1"/>
      <w:marLeft w:val="0"/>
      <w:marRight w:val="0"/>
      <w:marTop w:val="0"/>
      <w:marBottom w:val="0"/>
      <w:divBdr>
        <w:top w:val="none" w:sz="0" w:space="0" w:color="auto"/>
        <w:left w:val="none" w:sz="0" w:space="0" w:color="auto"/>
        <w:bottom w:val="none" w:sz="0" w:space="0" w:color="auto"/>
        <w:right w:val="none" w:sz="0" w:space="0" w:color="auto"/>
      </w:divBdr>
    </w:div>
    <w:div w:id="384572899">
      <w:bodyDiv w:val="1"/>
      <w:marLeft w:val="0"/>
      <w:marRight w:val="0"/>
      <w:marTop w:val="0"/>
      <w:marBottom w:val="0"/>
      <w:divBdr>
        <w:top w:val="none" w:sz="0" w:space="0" w:color="auto"/>
        <w:left w:val="none" w:sz="0" w:space="0" w:color="auto"/>
        <w:bottom w:val="none" w:sz="0" w:space="0" w:color="auto"/>
        <w:right w:val="none" w:sz="0" w:space="0" w:color="auto"/>
      </w:divBdr>
    </w:div>
    <w:div w:id="385102408">
      <w:bodyDiv w:val="1"/>
      <w:marLeft w:val="0"/>
      <w:marRight w:val="0"/>
      <w:marTop w:val="0"/>
      <w:marBottom w:val="0"/>
      <w:divBdr>
        <w:top w:val="none" w:sz="0" w:space="0" w:color="auto"/>
        <w:left w:val="none" w:sz="0" w:space="0" w:color="auto"/>
        <w:bottom w:val="none" w:sz="0" w:space="0" w:color="auto"/>
        <w:right w:val="none" w:sz="0" w:space="0" w:color="auto"/>
      </w:divBdr>
    </w:div>
    <w:div w:id="385225559">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605842">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7804345">
      <w:bodyDiv w:val="1"/>
      <w:marLeft w:val="0"/>
      <w:marRight w:val="0"/>
      <w:marTop w:val="0"/>
      <w:marBottom w:val="0"/>
      <w:divBdr>
        <w:top w:val="none" w:sz="0" w:space="0" w:color="auto"/>
        <w:left w:val="none" w:sz="0" w:space="0" w:color="auto"/>
        <w:bottom w:val="none" w:sz="0" w:space="0" w:color="auto"/>
        <w:right w:val="none" w:sz="0" w:space="0" w:color="auto"/>
      </w:divBdr>
    </w:div>
    <w:div w:id="388696996">
      <w:bodyDiv w:val="1"/>
      <w:marLeft w:val="0"/>
      <w:marRight w:val="0"/>
      <w:marTop w:val="0"/>
      <w:marBottom w:val="0"/>
      <w:divBdr>
        <w:top w:val="none" w:sz="0" w:space="0" w:color="auto"/>
        <w:left w:val="none" w:sz="0" w:space="0" w:color="auto"/>
        <w:bottom w:val="none" w:sz="0" w:space="0" w:color="auto"/>
        <w:right w:val="none" w:sz="0" w:space="0" w:color="auto"/>
      </w:divBdr>
    </w:div>
    <w:div w:id="388771256">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0271022">
      <w:bodyDiv w:val="1"/>
      <w:marLeft w:val="0"/>
      <w:marRight w:val="0"/>
      <w:marTop w:val="0"/>
      <w:marBottom w:val="0"/>
      <w:divBdr>
        <w:top w:val="none" w:sz="0" w:space="0" w:color="auto"/>
        <w:left w:val="none" w:sz="0" w:space="0" w:color="auto"/>
        <w:bottom w:val="none" w:sz="0" w:space="0" w:color="auto"/>
        <w:right w:val="none" w:sz="0" w:space="0" w:color="auto"/>
      </w:divBdr>
    </w:div>
    <w:div w:id="390736934">
      <w:bodyDiv w:val="1"/>
      <w:marLeft w:val="0"/>
      <w:marRight w:val="0"/>
      <w:marTop w:val="0"/>
      <w:marBottom w:val="0"/>
      <w:divBdr>
        <w:top w:val="none" w:sz="0" w:space="0" w:color="auto"/>
        <w:left w:val="none" w:sz="0" w:space="0" w:color="auto"/>
        <w:bottom w:val="none" w:sz="0" w:space="0" w:color="auto"/>
        <w:right w:val="none" w:sz="0" w:space="0" w:color="auto"/>
      </w:divBdr>
    </w:div>
    <w:div w:id="391003506">
      <w:bodyDiv w:val="1"/>
      <w:marLeft w:val="0"/>
      <w:marRight w:val="0"/>
      <w:marTop w:val="0"/>
      <w:marBottom w:val="0"/>
      <w:divBdr>
        <w:top w:val="none" w:sz="0" w:space="0" w:color="auto"/>
        <w:left w:val="none" w:sz="0" w:space="0" w:color="auto"/>
        <w:bottom w:val="none" w:sz="0" w:space="0" w:color="auto"/>
        <w:right w:val="none" w:sz="0" w:space="0" w:color="auto"/>
      </w:divBdr>
    </w:div>
    <w:div w:id="391662684">
      <w:bodyDiv w:val="1"/>
      <w:marLeft w:val="0"/>
      <w:marRight w:val="0"/>
      <w:marTop w:val="0"/>
      <w:marBottom w:val="0"/>
      <w:divBdr>
        <w:top w:val="none" w:sz="0" w:space="0" w:color="auto"/>
        <w:left w:val="none" w:sz="0" w:space="0" w:color="auto"/>
        <w:bottom w:val="none" w:sz="0" w:space="0" w:color="auto"/>
        <w:right w:val="none" w:sz="0" w:space="0" w:color="auto"/>
      </w:divBdr>
    </w:div>
    <w:div w:id="391971572">
      <w:bodyDiv w:val="1"/>
      <w:marLeft w:val="0"/>
      <w:marRight w:val="0"/>
      <w:marTop w:val="0"/>
      <w:marBottom w:val="0"/>
      <w:divBdr>
        <w:top w:val="none" w:sz="0" w:space="0" w:color="auto"/>
        <w:left w:val="none" w:sz="0" w:space="0" w:color="auto"/>
        <w:bottom w:val="none" w:sz="0" w:space="0" w:color="auto"/>
        <w:right w:val="none" w:sz="0" w:space="0" w:color="auto"/>
      </w:divBdr>
    </w:div>
    <w:div w:id="393358610">
      <w:bodyDiv w:val="1"/>
      <w:marLeft w:val="0"/>
      <w:marRight w:val="0"/>
      <w:marTop w:val="0"/>
      <w:marBottom w:val="0"/>
      <w:divBdr>
        <w:top w:val="none" w:sz="0" w:space="0" w:color="auto"/>
        <w:left w:val="none" w:sz="0" w:space="0" w:color="auto"/>
        <w:bottom w:val="none" w:sz="0" w:space="0" w:color="auto"/>
        <w:right w:val="none" w:sz="0" w:space="0" w:color="auto"/>
      </w:divBdr>
    </w:div>
    <w:div w:id="393429392">
      <w:bodyDiv w:val="1"/>
      <w:marLeft w:val="0"/>
      <w:marRight w:val="0"/>
      <w:marTop w:val="0"/>
      <w:marBottom w:val="0"/>
      <w:divBdr>
        <w:top w:val="none" w:sz="0" w:space="0" w:color="auto"/>
        <w:left w:val="none" w:sz="0" w:space="0" w:color="auto"/>
        <w:bottom w:val="none" w:sz="0" w:space="0" w:color="auto"/>
        <w:right w:val="none" w:sz="0" w:space="0" w:color="auto"/>
      </w:divBdr>
    </w:div>
    <w:div w:id="393897908">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4478655">
      <w:bodyDiv w:val="1"/>
      <w:marLeft w:val="0"/>
      <w:marRight w:val="0"/>
      <w:marTop w:val="0"/>
      <w:marBottom w:val="0"/>
      <w:divBdr>
        <w:top w:val="none" w:sz="0" w:space="0" w:color="auto"/>
        <w:left w:val="none" w:sz="0" w:space="0" w:color="auto"/>
        <w:bottom w:val="none" w:sz="0" w:space="0" w:color="auto"/>
        <w:right w:val="none" w:sz="0" w:space="0" w:color="auto"/>
      </w:divBdr>
    </w:div>
    <w:div w:id="394668595">
      <w:bodyDiv w:val="1"/>
      <w:marLeft w:val="0"/>
      <w:marRight w:val="0"/>
      <w:marTop w:val="0"/>
      <w:marBottom w:val="0"/>
      <w:divBdr>
        <w:top w:val="none" w:sz="0" w:space="0" w:color="auto"/>
        <w:left w:val="none" w:sz="0" w:space="0" w:color="auto"/>
        <w:bottom w:val="none" w:sz="0" w:space="0" w:color="auto"/>
        <w:right w:val="none" w:sz="0" w:space="0" w:color="auto"/>
      </w:divBdr>
    </w:div>
    <w:div w:id="395932032">
      <w:bodyDiv w:val="1"/>
      <w:marLeft w:val="0"/>
      <w:marRight w:val="0"/>
      <w:marTop w:val="0"/>
      <w:marBottom w:val="0"/>
      <w:divBdr>
        <w:top w:val="none" w:sz="0" w:space="0" w:color="auto"/>
        <w:left w:val="none" w:sz="0" w:space="0" w:color="auto"/>
        <w:bottom w:val="none" w:sz="0" w:space="0" w:color="auto"/>
        <w:right w:val="none" w:sz="0" w:space="0" w:color="auto"/>
      </w:divBdr>
    </w:div>
    <w:div w:id="396057672">
      <w:bodyDiv w:val="1"/>
      <w:marLeft w:val="0"/>
      <w:marRight w:val="0"/>
      <w:marTop w:val="0"/>
      <w:marBottom w:val="0"/>
      <w:divBdr>
        <w:top w:val="none" w:sz="0" w:space="0" w:color="auto"/>
        <w:left w:val="none" w:sz="0" w:space="0" w:color="auto"/>
        <w:bottom w:val="none" w:sz="0" w:space="0" w:color="auto"/>
        <w:right w:val="none" w:sz="0" w:space="0" w:color="auto"/>
      </w:divBdr>
    </w:div>
    <w:div w:id="399711595">
      <w:bodyDiv w:val="1"/>
      <w:marLeft w:val="0"/>
      <w:marRight w:val="0"/>
      <w:marTop w:val="0"/>
      <w:marBottom w:val="0"/>
      <w:divBdr>
        <w:top w:val="none" w:sz="0" w:space="0" w:color="auto"/>
        <w:left w:val="none" w:sz="0" w:space="0" w:color="auto"/>
        <w:bottom w:val="none" w:sz="0" w:space="0" w:color="auto"/>
        <w:right w:val="none" w:sz="0" w:space="0" w:color="auto"/>
      </w:divBdr>
    </w:div>
    <w:div w:id="400639152">
      <w:bodyDiv w:val="1"/>
      <w:marLeft w:val="0"/>
      <w:marRight w:val="0"/>
      <w:marTop w:val="0"/>
      <w:marBottom w:val="0"/>
      <w:divBdr>
        <w:top w:val="none" w:sz="0" w:space="0" w:color="auto"/>
        <w:left w:val="none" w:sz="0" w:space="0" w:color="auto"/>
        <w:bottom w:val="none" w:sz="0" w:space="0" w:color="auto"/>
        <w:right w:val="none" w:sz="0" w:space="0" w:color="auto"/>
      </w:divBdr>
    </w:div>
    <w:div w:id="401297132">
      <w:bodyDiv w:val="1"/>
      <w:marLeft w:val="0"/>
      <w:marRight w:val="0"/>
      <w:marTop w:val="0"/>
      <w:marBottom w:val="0"/>
      <w:divBdr>
        <w:top w:val="none" w:sz="0" w:space="0" w:color="auto"/>
        <w:left w:val="none" w:sz="0" w:space="0" w:color="auto"/>
        <w:bottom w:val="none" w:sz="0" w:space="0" w:color="auto"/>
        <w:right w:val="none" w:sz="0" w:space="0" w:color="auto"/>
      </w:divBdr>
    </w:div>
    <w:div w:id="403770143">
      <w:bodyDiv w:val="1"/>
      <w:marLeft w:val="0"/>
      <w:marRight w:val="0"/>
      <w:marTop w:val="0"/>
      <w:marBottom w:val="0"/>
      <w:divBdr>
        <w:top w:val="none" w:sz="0" w:space="0" w:color="auto"/>
        <w:left w:val="none" w:sz="0" w:space="0" w:color="auto"/>
        <w:bottom w:val="none" w:sz="0" w:space="0" w:color="auto"/>
        <w:right w:val="none" w:sz="0" w:space="0" w:color="auto"/>
      </w:divBdr>
    </w:div>
    <w:div w:id="403844444">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6028135">
      <w:bodyDiv w:val="1"/>
      <w:marLeft w:val="0"/>
      <w:marRight w:val="0"/>
      <w:marTop w:val="0"/>
      <w:marBottom w:val="0"/>
      <w:divBdr>
        <w:top w:val="none" w:sz="0" w:space="0" w:color="auto"/>
        <w:left w:val="none" w:sz="0" w:space="0" w:color="auto"/>
        <w:bottom w:val="none" w:sz="0" w:space="0" w:color="auto"/>
        <w:right w:val="none" w:sz="0" w:space="0" w:color="auto"/>
      </w:divBdr>
    </w:div>
    <w:div w:id="406154164">
      <w:bodyDiv w:val="1"/>
      <w:marLeft w:val="0"/>
      <w:marRight w:val="0"/>
      <w:marTop w:val="0"/>
      <w:marBottom w:val="0"/>
      <w:divBdr>
        <w:top w:val="none" w:sz="0" w:space="0" w:color="auto"/>
        <w:left w:val="none" w:sz="0" w:space="0" w:color="auto"/>
        <w:bottom w:val="none" w:sz="0" w:space="0" w:color="auto"/>
        <w:right w:val="none" w:sz="0" w:space="0" w:color="auto"/>
      </w:divBdr>
    </w:div>
    <w:div w:id="407263510">
      <w:bodyDiv w:val="1"/>
      <w:marLeft w:val="0"/>
      <w:marRight w:val="0"/>
      <w:marTop w:val="0"/>
      <w:marBottom w:val="0"/>
      <w:divBdr>
        <w:top w:val="none" w:sz="0" w:space="0" w:color="auto"/>
        <w:left w:val="none" w:sz="0" w:space="0" w:color="auto"/>
        <w:bottom w:val="none" w:sz="0" w:space="0" w:color="auto"/>
        <w:right w:val="none" w:sz="0" w:space="0" w:color="auto"/>
      </w:divBdr>
    </w:div>
    <w:div w:id="408117348">
      <w:bodyDiv w:val="1"/>
      <w:marLeft w:val="0"/>
      <w:marRight w:val="0"/>
      <w:marTop w:val="0"/>
      <w:marBottom w:val="0"/>
      <w:divBdr>
        <w:top w:val="none" w:sz="0" w:space="0" w:color="auto"/>
        <w:left w:val="none" w:sz="0" w:space="0" w:color="auto"/>
        <w:bottom w:val="none" w:sz="0" w:space="0" w:color="auto"/>
        <w:right w:val="none" w:sz="0" w:space="0" w:color="auto"/>
      </w:divBdr>
    </w:div>
    <w:div w:id="408649099">
      <w:bodyDiv w:val="1"/>
      <w:marLeft w:val="0"/>
      <w:marRight w:val="0"/>
      <w:marTop w:val="0"/>
      <w:marBottom w:val="0"/>
      <w:divBdr>
        <w:top w:val="none" w:sz="0" w:space="0" w:color="auto"/>
        <w:left w:val="none" w:sz="0" w:space="0" w:color="auto"/>
        <w:bottom w:val="none" w:sz="0" w:space="0" w:color="auto"/>
        <w:right w:val="none" w:sz="0" w:space="0" w:color="auto"/>
      </w:divBdr>
    </w:div>
    <w:div w:id="408818531">
      <w:bodyDiv w:val="1"/>
      <w:marLeft w:val="0"/>
      <w:marRight w:val="0"/>
      <w:marTop w:val="0"/>
      <w:marBottom w:val="0"/>
      <w:divBdr>
        <w:top w:val="none" w:sz="0" w:space="0" w:color="auto"/>
        <w:left w:val="none" w:sz="0" w:space="0" w:color="auto"/>
        <w:bottom w:val="none" w:sz="0" w:space="0" w:color="auto"/>
        <w:right w:val="none" w:sz="0" w:space="0" w:color="auto"/>
      </w:divBdr>
    </w:div>
    <w:div w:id="411589374">
      <w:bodyDiv w:val="1"/>
      <w:marLeft w:val="0"/>
      <w:marRight w:val="0"/>
      <w:marTop w:val="0"/>
      <w:marBottom w:val="0"/>
      <w:divBdr>
        <w:top w:val="none" w:sz="0" w:space="0" w:color="auto"/>
        <w:left w:val="none" w:sz="0" w:space="0" w:color="auto"/>
        <w:bottom w:val="none" w:sz="0" w:space="0" w:color="auto"/>
        <w:right w:val="none" w:sz="0" w:space="0" w:color="auto"/>
      </w:divBdr>
    </w:div>
    <w:div w:id="411973839">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2359158">
      <w:bodyDiv w:val="1"/>
      <w:marLeft w:val="0"/>
      <w:marRight w:val="0"/>
      <w:marTop w:val="0"/>
      <w:marBottom w:val="0"/>
      <w:divBdr>
        <w:top w:val="none" w:sz="0" w:space="0" w:color="auto"/>
        <w:left w:val="none" w:sz="0" w:space="0" w:color="auto"/>
        <w:bottom w:val="none" w:sz="0" w:space="0" w:color="auto"/>
        <w:right w:val="none" w:sz="0" w:space="0" w:color="auto"/>
      </w:divBdr>
    </w:div>
    <w:div w:id="413212197">
      <w:bodyDiv w:val="1"/>
      <w:marLeft w:val="0"/>
      <w:marRight w:val="0"/>
      <w:marTop w:val="0"/>
      <w:marBottom w:val="0"/>
      <w:divBdr>
        <w:top w:val="none" w:sz="0" w:space="0" w:color="auto"/>
        <w:left w:val="none" w:sz="0" w:space="0" w:color="auto"/>
        <w:bottom w:val="none" w:sz="0" w:space="0" w:color="auto"/>
        <w:right w:val="none" w:sz="0" w:space="0" w:color="auto"/>
      </w:divBdr>
    </w:div>
    <w:div w:id="413402621">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3942603">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285103">
      <w:bodyDiv w:val="1"/>
      <w:marLeft w:val="0"/>
      <w:marRight w:val="0"/>
      <w:marTop w:val="0"/>
      <w:marBottom w:val="0"/>
      <w:divBdr>
        <w:top w:val="none" w:sz="0" w:space="0" w:color="auto"/>
        <w:left w:val="none" w:sz="0" w:space="0" w:color="auto"/>
        <w:bottom w:val="none" w:sz="0" w:space="0" w:color="auto"/>
        <w:right w:val="none" w:sz="0" w:space="0" w:color="auto"/>
      </w:divBdr>
    </w:div>
    <w:div w:id="414515702">
      <w:bodyDiv w:val="1"/>
      <w:marLeft w:val="0"/>
      <w:marRight w:val="0"/>
      <w:marTop w:val="0"/>
      <w:marBottom w:val="0"/>
      <w:divBdr>
        <w:top w:val="none" w:sz="0" w:space="0" w:color="auto"/>
        <w:left w:val="none" w:sz="0" w:space="0" w:color="auto"/>
        <w:bottom w:val="none" w:sz="0" w:space="0" w:color="auto"/>
        <w:right w:val="none" w:sz="0" w:space="0" w:color="auto"/>
      </w:divBdr>
    </w:div>
    <w:div w:id="414592358">
      <w:bodyDiv w:val="1"/>
      <w:marLeft w:val="0"/>
      <w:marRight w:val="0"/>
      <w:marTop w:val="0"/>
      <w:marBottom w:val="0"/>
      <w:divBdr>
        <w:top w:val="none" w:sz="0" w:space="0" w:color="auto"/>
        <w:left w:val="none" w:sz="0" w:space="0" w:color="auto"/>
        <w:bottom w:val="none" w:sz="0" w:space="0" w:color="auto"/>
        <w:right w:val="none" w:sz="0" w:space="0" w:color="auto"/>
      </w:divBdr>
    </w:div>
    <w:div w:id="41663398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556860">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7947112">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18791099">
      <w:bodyDiv w:val="1"/>
      <w:marLeft w:val="0"/>
      <w:marRight w:val="0"/>
      <w:marTop w:val="0"/>
      <w:marBottom w:val="0"/>
      <w:divBdr>
        <w:top w:val="none" w:sz="0" w:space="0" w:color="auto"/>
        <w:left w:val="none" w:sz="0" w:space="0" w:color="auto"/>
        <w:bottom w:val="none" w:sz="0" w:space="0" w:color="auto"/>
        <w:right w:val="none" w:sz="0" w:space="0" w:color="auto"/>
      </w:divBdr>
    </w:div>
    <w:div w:id="418792764">
      <w:bodyDiv w:val="1"/>
      <w:marLeft w:val="0"/>
      <w:marRight w:val="0"/>
      <w:marTop w:val="0"/>
      <w:marBottom w:val="0"/>
      <w:divBdr>
        <w:top w:val="none" w:sz="0" w:space="0" w:color="auto"/>
        <w:left w:val="none" w:sz="0" w:space="0" w:color="auto"/>
        <w:bottom w:val="none" w:sz="0" w:space="0" w:color="auto"/>
        <w:right w:val="none" w:sz="0" w:space="0" w:color="auto"/>
      </w:divBdr>
    </w:div>
    <w:div w:id="418914350">
      <w:bodyDiv w:val="1"/>
      <w:marLeft w:val="0"/>
      <w:marRight w:val="0"/>
      <w:marTop w:val="0"/>
      <w:marBottom w:val="0"/>
      <w:divBdr>
        <w:top w:val="none" w:sz="0" w:space="0" w:color="auto"/>
        <w:left w:val="none" w:sz="0" w:space="0" w:color="auto"/>
        <w:bottom w:val="none" w:sz="0" w:space="0" w:color="auto"/>
        <w:right w:val="none" w:sz="0" w:space="0" w:color="auto"/>
      </w:divBdr>
    </w:div>
    <w:div w:id="419177592">
      <w:bodyDiv w:val="1"/>
      <w:marLeft w:val="0"/>
      <w:marRight w:val="0"/>
      <w:marTop w:val="0"/>
      <w:marBottom w:val="0"/>
      <w:divBdr>
        <w:top w:val="none" w:sz="0" w:space="0" w:color="auto"/>
        <w:left w:val="none" w:sz="0" w:space="0" w:color="auto"/>
        <w:bottom w:val="none" w:sz="0" w:space="0" w:color="auto"/>
        <w:right w:val="none" w:sz="0" w:space="0" w:color="auto"/>
      </w:divBdr>
    </w:div>
    <w:div w:id="419445233">
      <w:bodyDiv w:val="1"/>
      <w:marLeft w:val="0"/>
      <w:marRight w:val="0"/>
      <w:marTop w:val="0"/>
      <w:marBottom w:val="0"/>
      <w:divBdr>
        <w:top w:val="none" w:sz="0" w:space="0" w:color="auto"/>
        <w:left w:val="none" w:sz="0" w:space="0" w:color="auto"/>
        <w:bottom w:val="none" w:sz="0" w:space="0" w:color="auto"/>
        <w:right w:val="none" w:sz="0" w:space="0" w:color="auto"/>
      </w:divBdr>
    </w:div>
    <w:div w:id="419566466">
      <w:bodyDiv w:val="1"/>
      <w:marLeft w:val="0"/>
      <w:marRight w:val="0"/>
      <w:marTop w:val="0"/>
      <w:marBottom w:val="0"/>
      <w:divBdr>
        <w:top w:val="none" w:sz="0" w:space="0" w:color="auto"/>
        <w:left w:val="none" w:sz="0" w:space="0" w:color="auto"/>
        <w:bottom w:val="none" w:sz="0" w:space="0" w:color="auto"/>
        <w:right w:val="none" w:sz="0" w:space="0" w:color="auto"/>
      </w:divBdr>
    </w:div>
    <w:div w:id="419908554">
      <w:bodyDiv w:val="1"/>
      <w:marLeft w:val="0"/>
      <w:marRight w:val="0"/>
      <w:marTop w:val="0"/>
      <w:marBottom w:val="0"/>
      <w:divBdr>
        <w:top w:val="none" w:sz="0" w:space="0" w:color="auto"/>
        <w:left w:val="none" w:sz="0" w:space="0" w:color="auto"/>
        <w:bottom w:val="none" w:sz="0" w:space="0" w:color="auto"/>
        <w:right w:val="none" w:sz="0" w:space="0" w:color="auto"/>
      </w:divBdr>
    </w:div>
    <w:div w:id="421268931">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2454388">
      <w:bodyDiv w:val="1"/>
      <w:marLeft w:val="0"/>
      <w:marRight w:val="0"/>
      <w:marTop w:val="0"/>
      <w:marBottom w:val="0"/>
      <w:divBdr>
        <w:top w:val="none" w:sz="0" w:space="0" w:color="auto"/>
        <w:left w:val="none" w:sz="0" w:space="0" w:color="auto"/>
        <w:bottom w:val="none" w:sz="0" w:space="0" w:color="auto"/>
        <w:right w:val="none" w:sz="0" w:space="0" w:color="auto"/>
      </w:divBdr>
    </w:div>
    <w:div w:id="422996022">
      <w:bodyDiv w:val="1"/>
      <w:marLeft w:val="0"/>
      <w:marRight w:val="0"/>
      <w:marTop w:val="0"/>
      <w:marBottom w:val="0"/>
      <w:divBdr>
        <w:top w:val="none" w:sz="0" w:space="0" w:color="auto"/>
        <w:left w:val="none" w:sz="0" w:space="0" w:color="auto"/>
        <w:bottom w:val="none" w:sz="0" w:space="0" w:color="auto"/>
        <w:right w:val="none" w:sz="0" w:space="0" w:color="auto"/>
      </w:divBdr>
    </w:div>
    <w:div w:id="425226098">
      <w:bodyDiv w:val="1"/>
      <w:marLeft w:val="0"/>
      <w:marRight w:val="0"/>
      <w:marTop w:val="0"/>
      <w:marBottom w:val="0"/>
      <w:divBdr>
        <w:top w:val="none" w:sz="0" w:space="0" w:color="auto"/>
        <w:left w:val="none" w:sz="0" w:space="0" w:color="auto"/>
        <w:bottom w:val="none" w:sz="0" w:space="0" w:color="auto"/>
        <w:right w:val="none" w:sz="0" w:space="0" w:color="auto"/>
      </w:divBdr>
    </w:div>
    <w:div w:id="425733656">
      <w:bodyDiv w:val="1"/>
      <w:marLeft w:val="0"/>
      <w:marRight w:val="0"/>
      <w:marTop w:val="0"/>
      <w:marBottom w:val="0"/>
      <w:divBdr>
        <w:top w:val="none" w:sz="0" w:space="0" w:color="auto"/>
        <w:left w:val="none" w:sz="0" w:space="0" w:color="auto"/>
        <w:bottom w:val="none" w:sz="0" w:space="0" w:color="auto"/>
        <w:right w:val="none" w:sz="0" w:space="0" w:color="auto"/>
      </w:divBdr>
    </w:div>
    <w:div w:id="426080939">
      <w:bodyDiv w:val="1"/>
      <w:marLeft w:val="0"/>
      <w:marRight w:val="0"/>
      <w:marTop w:val="0"/>
      <w:marBottom w:val="0"/>
      <w:divBdr>
        <w:top w:val="none" w:sz="0" w:space="0" w:color="auto"/>
        <w:left w:val="none" w:sz="0" w:space="0" w:color="auto"/>
        <w:bottom w:val="none" w:sz="0" w:space="0" w:color="auto"/>
        <w:right w:val="none" w:sz="0" w:space="0" w:color="auto"/>
      </w:divBdr>
    </w:div>
    <w:div w:id="426508708">
      <w:bodyDiv w:val="1"/>
      <w:marLeft w:val="0"/>
      <w:marRight w:val="0"/>
      <w:marTop w:val="0"/>
      <w:marBottom w:val="0"/>
      <w:divBdr>
        <w:top w:val="none" w:sz="0" w:space="0" w:color="auto"/>
        <w:left w:val="none" w:sz="0" w:space="0" w:color="auto"/>
        <w:bottom w:val="none" w:sz="0" w:space="0" w:color="auto"/>
        <w:right w:val="none" w:sz="0" w:space="0" w:color="auto"/>
      </w:divBdr>
    </w:div>
    <w:div w:id="426922747">
      <w:bodyDiv w:val="1"/>
      <w:marLeft w:val="0"/>
      <w:marRight w:val="0"/>
      <w:marTop w:val="0"/>
      <w:marBottom w:val="0"/>
      <w:divBdr>
        <w:top w:val="none" w:sz="0" w:space="0" w:color="auto"/>
        <w:left w:val="none" w:sz="0" w:space="0" w:color="auto"/>
        <w:bottom w:val="none" w:sz="0" w:space="0" w:color="auto"/>
        <w:right w:val="none" w:sz="0" w:space="0" w:color="auto"/>
      </w:divBdr>
    </w:div>
    <w:div w:id="427313077">
      <w:bodyDiv w:val="1"/>
      <w:marLeft w:val="0"/>
      <w:marRight w:val="0"/>
      <w:marTop w:val="0"/>
      <w:marBottom w:val="0"/>
      <w:divBdr>
        <w:top w:val="none" w:sz="0" w:space="0" w:color="auto"/>
        <w:left w:val="none" w:sz="0" w:space="0" w:color="auto"/>
        <w:bottom w:val="none" w:sz="0" w:space="0" w:color="auto"/>
        <w:right w:val="none" w:sz="0" w:space="0" w:color="auto"/>
      </w:divBdr>
    </w:div>
    <w:div w:id="427389032">
      <w:bodyDiv w:val="1"/>
      <w:marLeft w:val="0"/>
      <w:marRight w:val="0"/>
      <w:marTop w:val="0"/>
      <w:marBottom w:val="0"/>
      <w:divBdr>
        <w:top w:val="none" w:sz="0" w:space="0" w:color="auto"/>
        <w:left w:val="none" w:sz="0" w:space="0" w:color="auto"/>
        <w:bottom w:val="none" w:sz="0" w:space="0" w:color="auto"/>
        <w:right w:val="none" w:sz="0" w:space="0" w:color="auto"/>
      </w:divBdr>
    </w:div>
    <w:div w:id="428702371">
      <w:bodyDiv w:val="1"/>
      <w:marLeft w:val="0"/>
      <w:marRight w:val="0"/>
      <w:marTop w:val="0"/>
      <w:marBottom w:val="0"/>
      <w:divBdr>
        <w:top w:val="none" w:sz="0" w:space="0" w:color="auto"/>
        <w:left w:val="none" w:sz="0" w:space="0" w:color="auto"/>
        <w:bottom w:val="none" w:sz="0" w:space="0" w:color="auto"/>
        <w:right w:val="none" w:sz="0" w:space="0" w:color="auto"/>
      </w:divBdr>
    </w:div>
    <w:div w:id="4291586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29815970">
      <w:bodyDiv w:val="1"/>
      <w:marLeft w:val="0"/>
      <w:marRight w:val="0"/>
      <w:marTop w:val="0"/>
      <w:marBottom w:val="0"/>
      <w:divBdr>
        <w:top w:val="none" w:sz="0" w:space="0" w:color="auto"/>
        <w:left w:val="none" w:sz="0" w:space="0" w:color="auto"/>
        <w:bottom w:val="none" w:sz="0" w:space="0" w:color="auto"/>
        <w:right w:val="none" w:sz="0" w:space="0" w:color="auto"/>
      </w:divBdr>
    </w:div>
    <w:div w:id="430466842">
      <w:bodyDiv w:val="1"/>
      <w:marLeft w:val="0"/>
      <w:marRight w:val="0"/>
      <w:marTop w:val="0"/>
      <w:marBottom w:val="0"/>
      <w:divBdr>
        <w:top w:val="none" w:sz="0" w:space="0" w:color="auto"/>
        <w:left w:val="none" w:sz="0" w:space="0" w:color="auto"/>
        <w:bottom w:val="none" w:sz="0" w:space="0" w:color="auto"/>
        <w:right w:val="none" w:sz="0" w:space="0" w:color="auto"/>
      </w:divBdr>
    </w:div>
    <w:div w:id="430471675">
      <w:bodyDiv w:val="1"/>
      <w:marLeft w:val="0"/>
      <w:marRight w:val="0"/>
      <w:marTop w:val="0"/>
      <w:marBottom w:val="0"/>
      <w:divBdr>
        <w:top w:val="none" w:sz="0" w:space="0" w:color="auto"/>
        <w:left w:val="none" w:sz="0" w:space="0" w:color="auto"/>
        <w:bottom w:val="none" w:sz="0" w:space="0" w:color="auto"/>
        <w:right w:val="none" w:sz="0" w:space="0" w:color="auto"/>
      </w:divBdr>
    </w:div>
    <w:div w:id="431128181">
      <w:bodyDiv w:val="1"/>
      <w:marLeft w:val="0"/>
      <w:marRight w:val="0"/>
      <w:marTop w:val="0"/>
      <w:marBottom w:val="0"/>
      <w:divBdr>
        <w:top w:val="none" w:sz="0" w:space="0" w:color="auto"/>
        <w:left w:val="none" w:sz="0" w:space="0" w:color="auto"/>
        <w:bottom w:val="none" w:sz="0" w:space="0" w:color="auto"/>
        <w:right w:val="none" w:sz="0" w:space="0" w:color="auto"/>
      </w:divBdr>
    </w:div>
    <w:div w:id="432482780">
      <w:bodyDiv w:val="1"/>
      <w:marLeft w:val="0"/>
      <w:marRight w:val="0"/>
      <w:marTop w:val="0"/>
      <w:marBottom w:val="0"/>
      <w:divBdr>
        <w:top w:val="none" w:sz="0" w:space="0" w:color="auto"/>
        <w:left w:val="none" w:sz="0" w:space="0" w:color="auto"/>
        <w:bottom w:val="none" w:sz="0" w:space="0" w:color="auto"/>
        <w:right w:val="none" w:sz="0" w:space="0" w:color="auto"/>
      </w:divBdr>
    </w:div>
    <w:div w:id="432556703">
      <w:bodyDiv w:val="1"/>
      <w:marLeft w:val="0"/>
      <w:marRight w:val="0"/>
      <w:marTop w:val="0"/>
      <w:marBottom w:val="0"/>
      <w:divBdr>
        <w:top w:val="none" w:sz="0" w:space="0" w:color="auto"/>
        <w:left w:val="none" w:sz="0" w:space="0" w:color="auto"/>
        <w:bottom w:val="none" w:sz="0" w:space="0" w:color="auto"/>
        <w:right w:val="none" w:sz="0" w:space="0" w:color="auto"/>
      </w:divBdr>
    </w:div>
    <w:div w:id="433331039">
      <w:bodyDiv w:val="1"/>
      <w:marLeft w:val="0"/>
      <w:marRight w:val="0"/>
      <w:marTop w:val="0"/>
      <w:marBottom w:val="0"/>
      <w:divBdr>
        <w:top w:val="none" w:sz="0" w:space="0" w:color="auto"/>
        <w:left w:val="none" w:sz="0" w:space="0" w:color="auto"/>
        <w:bottom w:val="none" w:sz="0" w:space="0" w:color="auto"/>
        <w:right w:val="none" w:sz="0" w:space="0" w:color="auto"/>
      </w:divBdr>
    </w:div>
    <w:div w:id="433482842">
      <w:bodyDiv w:val="1"/>
      <w:marLeft w:val="0"/>
      <w:marRight w:val="0"/>
      <w:marTop w:val="0"/>
      <w:marBottom w:val="0"/>
      <w:divBdr>
        <w:top w:val="none" w:sz="0" w:space="0" w:color="auto"/>
        <w:left w:val="none" w:sz="0" w:space="0" w:color="auto"/>
        <w:bottom w:val="none" w:sz="0" w:space="0" w:color="auto"/>
        <w:right w:val="none" w:sz="0" w:space="0" w:color="auto"/>
      </w:divBdr>
    </w:div>
    <w:div w:id="433551116">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788279">
      <w:bodyDiv w:val="1"/>
      <w:marLeft w:val="0"/>
      <w:marRight w:val="0"/>
      <w:marTop w:val="0"/>
      <w:marBottom w:val="0"/>
      <w:divBdr>
        <w:top w:val="none" w:sz="0" w:space="0" w:color="auto"/>
        <w:left w:val="none" w:sz="0" w:space="0" w:color="auto"/>
        <w:bottom w:val="none" w:sz="0" w:space="0" w:color="auto"/>
        <w:right w:val="none" w:sz="0" w:space="0" w:color="auto"/>
      </w:divBdr>
    </w:div>
    <w:div w:id="434636781">
      <w:bodyDiv w:val="1"/>
      <w:marLeft w:val="0"/>
      <w:marRight w:val="0"/>
      <w:marTop w:val="0"/>
      <w:marBottom w:val="0"/>
      <w:divBdr>
        <w:top w:val="none" w:sz="0" w:space="0" w:color="auto"/>
        <w:left w:val="none" w:sz="0" w:space="0" w:color="auto"/>
        <w:bottom w:val="none" w:sz="0" w:space="0" w:color="auto"/>
        <w:right w:val="none" w:sz="0" w:space="0" w:color="auto"/>
      </w:divBdr>
    </w:div>
    <w:div w:id="434638393">
      <w:bodyDiv w:val="1"/>
      <w:marLeft w:val="0"/>
      <w:marRight w:val="0"/>
      <w:marTop w:val="0"/>
      <w:marBottom w:val="0"/>
      <w:divBdr>
        <w:top w:val="none" w:sz="0" w:space="0" w:color="auto"/>
        <w:left w:val="none" w:sz="0" w:space="0" w:color="auto"/>
        <w:bottom w:val="none" w:sz="0" w:space="0" w:color="auto"/>
        <w:right w:val="none" w:sz="0" w:space="0" w:color="auto"/>
      </w:divBdr>
    </w:div>
    <w:div w:id="434639711">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602159">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7870183">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230144">
      <w:bodyDiv w:val="1"/>
      <w:marLeft w:val="0"/>
      <w:marRight w:val="0"/>
      <w:marTop w:val="0"/>
      <w:marBottom w:val="0"/>
      <w:divBdr>
        <w:top w:val="none" w:sz="0" w:space="0" w:color="auto"/>
        <w:left w:val="none" w:sz="0" w:space="0" w:color="auto"/>
        <w:bottom w:val="none" w:sz="0" w:space="0" w:color="auto"/>
        <w:right w:val="none" w:sz="0" w:space="0" w:color="auto"/>
      </w:divBdr>
    </w:div>
    <w:div w:id="440421417">
      <w:bodyDiv w:val="1"/>
      <w:marLeft w:val="0"/>
      <w:marRight w:val="0"/>
      <w:marTop w:val="0"/>
      <w:marBottom w:val="0"/>
      <w:divBdr>
        <w:top w:val="none" w:sz="0" w:space="0" w:color="auto"/>
        <w:left w:val="none" w:sz="0" w:space="0" w:color="auto"/>
        <w:bottom w:val="none" w:sz="0" w:space="0" w:color="auto"/>
        <w:right w:val="none" w:sz="0" w:space="0" w:color="auto"/>
      </w:divBdr>
    </w:div>
    <w:div w:id="440610018">
      <w:bodyDiv w:val="1"/>
      <w:marLeft w:val="0"/>
      <w:marRight w:val="0"/>
      <w:marTop w:val="0"/>
      <w:marBottom w:val="0"/>
      <w:divBdr>
        <w:top w:val="none" w:sz="0" w:space="0" w:color="auto"/>
        <w:left w:val="none" w:sz="0" w:space="0" w:color="auto"/>
        <w:bottom w:val="none" w:sz="0" w:space="0" w:color="auto"/>
        <w:right w:val="none" w:sz="0" w:space="0" w:color="auto"/>
      </w:divBdr>
    </w:div>
    <w:div w:id="441806880">
      <w:bodyDiv w:val="1"/>
      <w:marLeft w:val="0"/>
      <w:marRight w:val="0"/>
      <w:marTop w:val="0"/>
      <w:marBottom w:val="0"/>
      <w:divBdr>
        <w:top w:val="none" w:sz="0" w:space="0" w:color="auto"/>
        <w:left w:val="none" w:sz="0" w:space="0" w:color="auto"/>
        <w:bottom w:val="none" w:sz="0" w:space="0" w:color="auto"/>
        <w:right w:val="none" w:sz="0" w:space="0" w:color="auto"/>
      </w:divBdr>
    </w:div>
    <w:div w:id="442072905">
      <w:bodyDiv w:val="1"/>
      <w:marLeft w:val="0"/>
      <w:marRight w:val="0"/>
      <w:marTop w:val="0"/>
      <w:marBottom w:val="0"/>
      <w:divBdr>
        <w:top w:val="none" w:sz="0" w:space="0" w:color="auto"/>
        <w:left w:val="none" w:sz="0" w:space="0" w:color="auto"/>
        <w:bottom w:val="none" w:sz="0" w:space="0" w:color="auto"/>
        <w:right w:val="none" w:sz="0" w:space="0" w:color="auto"/>
      </w:divBdr>
    </w:div>
    <w:div w:id="442115333">
      <w:bodyDiv w:val="1"/>
      <w:marLeft w:val="0"/>
      <w:marRight w:val="0"/>
      <w:marTop w:val="0"/>
      <w:marBottom w:val="0"/>
      <w:divBdr>
        <w:top w:val="none" w:sz="0" w:space="0" w:color="auto"/>
        <w:left w:val="none" w:sz="0" w:space="0" w:color="auto"/>
        <w:bottom w:val="none" w:sz="0" w:space="0" w:color="auto"/>
        <w:right w:val="none" w:sz="0" w:space="0" w:color="auto"/>
      </w:divBdr>
    </w:div>
    <w:div w:id="442458198">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621581">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198990">
      <w:bodyDiv w:val="1"/>
      <w:marLeft w:val="0"/>
      <w:marRight w:val="0"/>
      <w:marTop w:val="0"/>
      <w:marBottom w:val="0"/>
      <w:divBdr>
        <w:top w:val="none" w:sz="0" w:space="0" w:color="auto"/>
        <w:left w:val="none" w:sz="0" w:space="0" w:color="auto"/>
        <w:bottom w:val="none" w:sz="0" w:space="0" w:color="auto"/>
        <w:right w:val="none" w:sz="0" w:space="0" w:color="auto"/>
      </w:divBdr>
    </w:div>
    <w:div w:id="446311984">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47746072">
      <w:bodyDiv w:val="1"/>
      <w:marLeft w:val="0"/>
      <w:marRight w:val="0"/>
      <w:marTop w:val="0"/>
      <w:marBottom w:val="0"/>
      <w:divBdr>
        <w:top w:val="none" w:sz="0" w:space="0" w:color="auto"/>
        <w:left w:val="none" w:sz="0" w:space="0" w:color="auto"/>
        <w:bottom w:val="none" w:sz="0" w:space="0" w:color="auto"/>
        <w:right w:val="none" w:sz="0" w:space="0" w:color="auto"/>
      </w:divBdr>
    </w:div>
    <w:div w:id="448429550">
      <w:bodyDiv w:val="1"/>
      <w:marLeft w:val="0"/>
      <w:marRight w:val="0"/>
      <w:marTop w:val="0"/>
      <w:marBottom w:val="0"/>
      <w:divBdr>
        <w:top w:val="none" w:sz="0" w:space="0" w:color="auto"/>
        <w:left w:val="none" w:sz="0" w:space="0" w:color="auto"/>
        <w:bottom w:val="none" w:sz="0" w:space="0" w:color="auto"/>
        <w:right w:val="none" w:sz="0" w:space="0" w:color="auto"/>
      </w:divBdr>
    </w:div>
    <w:div w:id="450638055">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2408421">
      <w:bodyDiv w:val="1"/>
      <w:marLeft w:val="0"/>
      <w:marRight w:val="0"/>
      <w:marTop w:val="0"/>
      <w:marBottom w:val="0"/>
      <w:divBdr>
        <w:top w:val="none" w:sz="0" w:space="0" w:color="auto"/>
        <w:left w:val="none" w:sz="0" w:space="0" w:color="auto"/>
        <w:bottom w:val="none" w:sz="0" w:space="0" w:color="auto"/>
        <w:right w:val="none" w:sz="0" w:space="0" w:color="auto"/>
      </w:divBdr>
    </w:div>
    <w:div w:id="452753084">
      <w:bodyDiv w:val="1"/>
      <w:marLeft w:val="0"/>
      <w:marRight w:val="0"/>
      <w:marTop w:val="0"/>
      <w:marBottom w:val="0"/>
      <w:divBdr>
        <w:top w:val="none" w:sz="0" w:space="0" w:color="auto"/>
        <w:left w:val="none" w:sz="0" w:space="0" w:color="auto"/>
        <w:bottom w:val="none" w:sz="0" w:space="0" w:color="auto"/>
        <w:right w:val="none" w:sz="0" w:space="0" w:color="auto"/>
      </w:divBdr>
    </w:div>
    <w:div w:id="45278879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3863456">
      <w:bodyDiv w:val="1"/>
      <w:marLeft w:val="0"/>
      <w:marRight w:val="0"/>
      <w:marTop w:val="0"/>
      <w:marBottom w:val="0"/>
      <w:divBdr>
        <w:top w:val="none" w:sz="0" w:space="0" w:color="auto"/>
        <w:left w:val="none" w:sz="0" w:space="0" w:color="auto"/>
        <w:bottom w:val="none" w:sz="0" w:space="0" w:color="auto"/>
        <w:right w:val="none" w:sz="0" w:space="0" w:color="auto"/>
      </w:divBdr>
    </w:div>
    <w:div w:id="454058193">
      <w:bodyDiv w:val="1"/>
      <w:marLeft w:val="0"/>
      <w:marRight w:val="0"/>
      <w:marTop w:val="0"/>
      <w:marBottom w:val="0"/>
      <w:divBdr>
        <w:top w:val="none" w:sz="0" w:space="0" w:color="auto"/>
        <w:left w:val="none" w:sz="0" w:space="0" w:color="auto"/>
        <w:bottom w:val="none" w:sz="0" w:space="0" w:color="auto"/>
        <w:right w:val="none" w:sz="0" w:space="0" w:color="auto"/>
      </w:divBdr>
    </w:div>
    <w:div w:id="455682201">
      <w:bodyDiv w:val="1"/>
      <w:marLeft w:val="0"/>
      <w:marRight w:val="0"/>
      <w:marTop w:val="0"/>
      <w:marBottom w:val="0"/>
      <w:divBdr>
        <w:top w:val="none" w:sz="0" w:space="0" w:color="auto"/>
        <w:left w:val="none" w:sz="0" w:space="0" w:color="auto"/>
        <w:bottom w:val="none" w:sz="0" w:space="0" w:color="auto"/>
        <w:right w:val="none" w:sz="0" w:space="0" w:color="auto"/>
      </w:divBdr>
    </w:div>
    <w:div w:id="456677278">
      <w:bodyDiv w:val="1"/>
      <w:marLeft w:val="0"/>
      <w:marRight w:val="0"/>
      <w:marTop w:val="0"/>
      <w:marBottom w:val="0"/>
      <w:divBdr>
        <w:top w:val="none" w:sz="0" w:space="0" w:color="auto"/>
        <w:left w:val="none" w:sz="0" w:space="0" w:color="auto"/>
        <w:bottom w:val="none" w:sz="0" w:space="0" w:color="auto"/>
        <w:right w:val="none" w:sz="0" w:space="0" w:color="auto"/>
      </w:divBdr>
    </w:div>
    <w:div w:id="457261018">
      <w:bodyDiv w:val="1"/>
      <w:marLeft w:val="0"/>
      <w:marRight w:val="0"/>
      <w:marTop w:val="0"/>
      <w:marBottom w:val="0"/>
      <w:divBdr>
        <w:top w:val="none" w:sz="0" w:space="0" w:color="auto"/>
        <w:left w:val="none" w:sz="0" w:space="0" w:color="auto"/>
        <w:bottom w:val="none" w:sz="0" w:space="0" w:color="auto"/>
        <w:right w:val="none" w:sz="0" w:space="0" w:color="auto"/>
      </w:divBdr>
    </w:div>
    <w:div w:id="45737775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7843887">
      <w:bodyDiv w:val="1"/>
      <w:marLeft w:val="0"/>
      <w:marRight w:val="0"/>
      <w:marTop w:val="0"/>
      <w:marBottom w:val="0"/>
      <w:divBdr>
        <w:top w:val="none" w:sz="0" w:space="0" w:color="auto"/>
        <w:left w:val="none" w:sz="0" w:space="0" w:color="auto"/>
        <w:bottom w:val="none" w:sz="0" w:space="0" w:color="auto"/>
        <w:right w:val="none" w:sz="0" w:space="0" w:color="auto"/>
      </w:divBdr>
    </w:div>
    <w:div w:id="458644927">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59420550">
      <w:bodyDiv w:val="1"/>
      <w:marLeft w:val="0"/>
      <w:marRight w:val="0"/>
      <w:marTop w:val="0"/>
      <w:marBottom w:val="0"/>
      <w:divBdr>
        <w:top w:val="none" w:sz="0" w:space="0" w:color="auto"/>
        <w:left w:val="none" w:sz="0" w:space="0" w:color="auto"/>
        <w:bottom w:val="none" w:sz="0" w:space="0" w:color="auto"/>
        <w:right w:val="none" w:sz="0" w:space="0" w:color="auto"/>
      </w:divBdr>
    </w:div>
    <w:div w:id="460077414">
      <w:bodyDiv w:val="1"/>
      <w:marLeft w:val="0"/>
      <w:marRight w:val="0"/>
      <w:marTop w:val="0"/>
      <w:marBottom w:val="0"/>
      <w:divBdr>
        <w:top w:val="none" w:sz="0" w:space="0" w:color="auto"/>
        <w:left w:val="none" w:sz="0" w:space="0" w:color="auto"/>
        <w:bottom w:val="none" w:sz="0" w:space="0" w:color="auto"/>
        <w:right w:val="none" w:sz="0" w:space="0" w:color="auto"/>
      </w:divBdr>
    </w:div>
    <w:div w:id="46099579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1775741">
      <w:bodyDiv w:val="1"/>
      <w:marLeft w:val="0"/>
      <w:marRight w:val="0"/>
      <w:marTop w:val="0"/>
      <w:marBottom w:val="0"/>
      <w:divBdr>
        <w:top w:val="none" w:sz="0" w:space="0" w:color="auto"/>
        <w:left w:val="none" w:sz="0" w:space="0" w:color="auto"/>
        <w:bottom w:val="none" w:sz="0" w:space="0" w:color="auto"/>
        <w:right w:val="none" w:sz="0" w:space="0" w:color="auto"/>
      </w:divBdr>
    </w:div>
    <w:div w:id="462233638">
      <w:bodyDiv w:val="1"/>
      <w:marLeft w:val="0"/>
      <w:marRight w:val="0"/>
      <w:marTop w:val="0"/>
      <w:marBottom w:val="0"/>
      <w:divBdr>
        <w:top w:val="none" w:sz="0" w:space="0" w:color="auto"/>
        <w:left w:val="none" w:sz="0" w:space="0" w:color="auto"/>
        <w:bottom w:val="none" w:sz="0" w:space="0" w:color="auto"/>
        <w:right w:val="none" w:sz="0" w:space="0" w:color="auto"/>
      </w:divBdr>
    </w:div>
    <w:div w:id="462651286">
      <w:bodyDiv w:val="1"/>
      <w:marLeft w:val="0"/>
      <w:marRight w:val="0"/>
      <w:marTop w:val="0"/>
      <w:marBottom w:val="0"/>
      <w:divBdr>
        <w:top w:val="none" w:sz="0" w:space="0" w:color="auto"/>
        <w:left w:val="none" w:sz="0" w:space="0" w:color="auto"/>
        <w:bottom w:val="none" w:sz="0" w:space="0" w:color="auto"/>
        <w:right w:val="none" w:sz="0" w:space="0" w:color="auto"/>
      </w:divBdr>
    </w:div>
    <w:div w:id="462845843">
      <w:bodyDiv w:val="1"/>
      <w:marLeft w:val="0"/>
      <w:marRight w:val="0"/>
      <w:marTop w:val="0"/>
      <w:marBottom w:val="0"/>
      <w:divBdr>
        <w:top w:val="none" w:sz="0" w:space="0" w:color="auto"/>
        <w:left w:val="none" w:sz="0" w:space="0" w:color="auto"/>
        <w:bottom w:val="none" w:sz="0" w:space="0" w:color="auto"/>
        <w:right w:val="none" w:sz="0" w:space="0" w:color="auto"/>
      </w:divBdr>
    </w:div>
    <w:div w:id="46316170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3890114">
      <w:bodyDiv w:val="1"/>
      <w:marLeft w:val="0"/>
      <w:marRight w:val="0"/>
      <w:marTop w:val="0"/>
      <w:marBottom w:val="0"/>
      <w:divBdr>
        <w:top w:val="none" w:sz="0" w:space="0" w:color="auto"/>
        <w:left w:val="none" w:sz="0" w:space="0" w:color="auto"/>
        <w:bottom w:val="none" w:sz="0" w:space="0" w:color="auto"/>
        <w:right w:val="none" w:sz="0" w:space="0" w:color="auto"/>
      </w:divBdr>
    </w:div>
    <w:div w:id="463891649">
      <w:bodyDiv w:val="1"/>
      <w:marLeft w:val="0"/>
      <w:marRight w:val="0"/>
      <w:marTop w:val="0"/>
      <w:marBottom w:val="0"/>
      <w:divBdr>
        <w:top w:val="none" w:sz="0" w:space="0" w:color="auto"/>
        <w:left w:val="none" w:sz="0" w:space="0" w:color="auto"/>
        <w:bottom w:val="none" w:sz="0" w:space="0" w:color="auto"/>
        <w:right w:val="none" w:sz="0" w:space="0" w:color="auto"/>
      </w:divBdr>
    </w:div>
    <w:div w:id="466778942">
      <w:bodyDiv w:val="1"/>
      <w:marLeft w:val="0"/>
      <w:marRight w:val="0"/>
      <w:marTop w:val="0"/>
      <w:marBottom w:val="0"/>
      <w:divBdr>
        <w:top w:val="none" w:sz="0" w:space="0" w:color="auto"/>
        <w:left w:val="none" w:sz="0" w:space="0" w:color="auto"/>
        <w:bottom w:val="none" w:sz="0" w:space="0" w:color="auto"/>
        <w:right w:val="none" w:sz="0" w:space="0" w:color="auto"/>
      </w:divBdr>
    </w:div>
    <w:div w:id="468060098">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69520756">
      <w:bodyDiv w:val="1"/>
      <w:marLeft w:val="0"/>
      <w:marRight w:val="0"/>
      <w:marTop w:val="0"/>
      <w:marBottom w:val="0"/>
      <w:divBdr>
        <w:top w:val="none" w:sz="0" w:space="0" w:color="auto"/>
        <w:left w:val="none" w:sz="0" w:space="0" w:color="auto"/>
        <w:bottom w:val="none" w:sz="0" w:space="0" w:color="auto"/>
        <w:right w:val="none" w:sz="0" w:space="0" w:color="auto"/>
      </w:divBdr>
    </w:div>
    <w:div w:id="469905273">
      <w:bodyDiv w:val="1"/>
      <w:marLeft w:val="0"/>
      <w:marRight w:val="0"/>
      <w:marTop w:val="0"/>
      <w:marBottom w:val="0"/>
      <w:divBdr>
        <w:top w:val="none" w:sz="0" w:space="0" w:color="auto"/>
        <w:left w:val="none" w:sz="0" w:space="0" w:color="auto"/>
        <w:bottom w:val="none" w:sz="0" w:space="0" w:color="auto"/>
        <w:right w:val="none" w:sz="0" w:space="0" w:color="auto"/>
      </w:divBdr>
    </w:div>
    <w:div w:id="470446409">
      <w:bodyDiv w:val="1"/>
      <w:marLeft w:val="0"/>
      <w:marRight w:val="0"/>
      <w:marTop w:val="0"/>
      <w:marBottom w:val="0"/>
      <w:divBdr>
        <w:top w:val="none" w:sz="0" w:space="0" w:color="auto"/>
        <w:left w:val="none" w:sz="0" w:space="0" w:color="auto"/>
        <w:bottom w:val="none" w:sz="0" w:space="0" w:color="auto"/>
        <w:right w:val="none" w:sz="0" w:space="0" w:color="auto"/>
      </w:divBdr>
    </w:div>
    <w:div w:id="471676118">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3521674">
      <w:bodyDiv w:val="1"/>
      <w:marLeft w:val="0"/>
      <w:marRight w:val="0"/>
      <w:marTop w:val="0"/>
      <w:marBottom w:val="0"/>
      <w:divBdr>
        <w:top w:val="none" w:sz="0" w:space="0" w:color="auto"/>
        <w:left w:val="none" w:sz="0" w:space="0" w:color="auto"/>
        <w:bottom w:val="none" w:sz="0" w:space="0" w:color="auto"/>
        <w:right w:val="none" w:sz="0" w:space="0" w:color="auto"/>
      </w:divBdr>
    </w:div>
    <w:div w:id="473641631">
      <w:bodyDiv w:val="1"/>
      <w:marLeft w:val="0"/>
      <w:marRight w:val="0"/>
      <w:marTop w:val="0"/>
      <w:marBottom w:val="0"/>
      <w:divBdr>
        <w:top w:val="none" w:sz="0" w:space="0" w:color="auto"/>
        <w:left w:val="none" w:sz="0" w:space="0" w:color="auto"/>
        <w:bottom w:val="none" w:sz="0" w:space="0" w:color="auto"/>
        <w:right w:val="none" w:sz="0" w:space="0" w:color="auto"/>
      </w:divBdr>
    </w:div>
    <w:div w:id="474028372">
      <w:bodyDiv w:val="1"/>
      <w:marLeft w:val="0"/>
      <w:marRight w:val="0"/>
      <w:marTop w:val="0"/>
      <w:marBottom w:val="0"/>
      <w:divBdr>
        <w:top w:val="none" w:sz="0" w:space="0" w:color="auto"/>
        <w:left w:val="none" w:sz="0" w:space="0" w:color="auto"/>
        <w:bottom w:val="none" w:sz="0" w:space="0" w:color="auto"/>
        <w:right w:val="none" w:sz="0" w:space="0" w:color="auto"/>
      </w:divBdr>
    </w:div>
    <w:div w:id="474371225">
      <w:bodyDiv w:val="1"/>
      <w:marLeft w:val="0"/>
      <w:marRight w:val="0"/>
      <w:marTop w:val="0"/>
      <w:marBottom w:val="0"/>
      <w:divBdr>
        <w:top w:val="none" w:sz="0" w:space="0" w:color="auto"/>
        <w:left w:val="none" w:sz="0" w:space="0" w:color="auto"/>
        <w:bottom w:val="none" w:sz="0" w:space="0" w:color="auto"/>
        <w:right w:val="none" w:sz="0" w:space="0" w:color="auto"/>
      </w:divBdr>
    </w:div>
    <w:div w:id="475144921">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75950845">
      <w:bodyDiv w:val="1"/>
      <w:marLeft w:val="0"/>
      <w:marRight w:val="0"/>
      <w:marTop w:val="0"/>
      <w:marBottom w:val="0"/>
      <w:divBdr>
        <w:top w:val="none" w:sz="0" w:space="0" w:color="auto"/>
        <w:left w:val="none" w:sz="0" w:space="0" w:color="auto"/>
        <w:bottom w:val="none" w:sz="0" w:space="0" w:color="auto"/>
        <w:right w:val="none" w:sz="0" w:space="0" w:color="auto"/>
      </w:divBdr>
    </w:div>
    <w:div w:id="475993053">
      <w:bodyDiv w:val="1"/>
      <w:marLeft w:val="0"/>
      <w:marRight w:val="0"/>
      <w:marTop w:val="0"/>
      <w:marBottom w:val="0"/>
      <w:divBdr>
        <w:top w:val="none" w:sz="0" w:space="0" w:color="auto"/>
        <w:left w:val="none" w:sz="0" w:space="0" w:color="auto"/>
        <w:bottom w:val="none" w:sz="0" w:space="0" w:color="auto"/>
        <w:right w:val="none" w:sz="0" w:space="0" w:color="auto"/>
      </w:divBdr>
    </w:div>
    <w:div w:id="476070149">
      <w:bodyDiv w:val="1"/>
      <w:marLeft w:val="0"/>
      <w:marRight w:val="0"/>
      <w:marTop w:val="0"/>
      <w:marBottom w:val="0"/>
      <w:divBdr>
        <w:top w:val="none" w:sz="0" w:space="0" w:color="auto"/>
        <w:left w:val="none" w:sz="0" w:space="0" w:color="auto"/>
        <w:bottom w:val="none" w:sz="0" w:space="0" w:color="auto"/>
        <w:right w:val="none" w:sz="0" w:space="0" w:color="auto"/>
      </w:divBdr>
    </w:div>
    <w:div w:id="477192618">
      <w:bodyDiv w:val="1"/>
      <w:marLeft w:val="0"/>
      <w:marRight w:val="0"/>
      <w:marTop w:val="0"/>
      <w:marBottom w:val="0"/>
      <w:divBdr>
        <w:top w:val="none" w:sz="0" w:space="0" w:color="auto"/>
        <w:left w:val="none" w:sz="0" w:space="0" w:color="auto"/>
        <w:bottom w:val="none" w:sz="0" w:space="0" w:color="auto"/>
        <w:right w:val="none" w:sz="0" w:space="0" w:color="auto"/>
      </w:divBdr>
    </w:div>
    <w:div w:id="477723495">
      <w:bodyDiv w:val="1"/>
      <w:marLeft w:val="0"/>
      <w:marRight w:val="0"/>
      <w:marTop w:val="0"/>
      <w:marBottom w:val="0"/>
      <w:divBdr>
        <w:top w:val="none" w:sz="0" w:space="0" w:color="auto"/>
        <w:left w:val="none" w:sz="0" w:space="0" w:color="auto"/>
        <w:bottom w:val="none" w:sz="0" w:space="0" w:color="auto"/>
        <w:right w:val="none" w:sz="0" w:space="0" w:color="auto"/>
      </w:divBdr>
    </w:div>
    <w:div w:id="479658830">
      <w:bodyDiv w:val="1"/>
      <w:marLeft w:val="0"/>
      <w:marRight w:val="0"/>
      <w:marTop w:val="0"/>
      <w:marBottom w:val="0"/>
      <w:divBdr>
        <w:top w:val="none" w:sz="0" w:space="0" w:color="auto"/>
        <w:left w:val="none" w:sz="0" w:space="0" w:color="auto"/>
        <w:bottom w:val="none" w:sz="0" w:space="0" w:color="auto"/>
        <w:right w:val="none" w:sz="0" w:space="0" w:color="auto"/>
      </w:divBdr>
    </w:div>
    <w:div w:id="479886128">
      <w:bodyDiv w:val="1"/>
      <w:marLeft w:val="0"/>
      <w:marRight w:val="0"/>
      <w:marTop w:val="0"/>
      <w:marBottom w:val="0"/>
      <w:divBdr>
        <w:top w:val="none" w:sz="0" w:space="0" w:color="auto"/>
        <w:left w:val="none" w:sz="0" w:space="0" w:color="auto"/>
        <w:bottom w:val="none" w:sz="0" w:space="0" w:color="auto"/>
        <w:right w:val="none" w:sz="0" w:space="0" w:color="auto"/>
      </w:divBdr>
    </w:div>
    <w:div w:id="479927627">
      <w:bodyDiv w:val="1"/>
      <w:marLeft w:val="0"/>
      <w:marRight w:val="0"/>
      <w:marTop w:val="0"/>
      <w:marBottom w:val="0"/>
      <w:divBdr>
        <w:top w:val="none" w:sz="0" w:space="0" w:color="auto"/>
        <w:left w:val="none" w:sz="0" w:space="0" w:color="auto"/>
        <w:bottom w:val="none" w:sz="0" w:space="0" w:color="auto"/>
        <w:right w:val="none" w:sz="0" w:space="0" w:color="auto"/>
      </w:divBdr>
    </w:div>
    <w:div w:id="480853117">
      <w:bodyDiv w:val="1"/>
      <w:marLeft w:val="0"/>
      <w:marRight w:val="0"/>
      <w:marTop w:val="0"/>
      <w:marBottom w:val="0"/>
      <w:divBdr>
        <w:top w:val="none" w:sz="0" w:space="0" w:color="auto"/>
        <w:left w:val="none" w:sz="0" w:space="0" w:color="auto"/>
        <w:bottom w:val="none" w:sz="0" w:space="0" w:color="auto"/>
        <w:right w:val="none" w:sz="0" w:space="0" w:color="auto"/>
      </w:divBdr>
    </w:div>
    <w:div w:id="481119561">
      <w:bodyDiv w:val="1"/>
      <w:marLeft w:val="0"/>
      <w:marRight w:val="0"/>
      <w:marTop w:val="0"/>
      <w:marBottom w:val="0"/>
      <w:divBdr>
        <w:top w:val="none" w:sz="0" w:space="0" w:color="auto"/>
        <w:left w:val="none" w:sz="0" w:space="0" w:color="auto"/>
        <w:bottom w:val="none" w:sz="0" w:space="0" w:color="auto"/>
        <w:right w:val="none" w:sz="0" w:space="0" w:color="auto"/>
      </w:divBdr>
    </w:div>
    <w:div w:id="481197213">
      <w:bodyDiv w:val="1"/>
      <w:marLeft w:val="0"/>
      <w:marRight w:val="0"/>
      <w:marTop w:val="0"/>
      <w:marBottom w:val="0"/>
      <w:divBdr>
        <w:top w:val="none" w:sz="0" w:space="0" w:color="auto"/>
        <w:left w:val="none" w:sz="0" w:space="0" w:color="auto"/>
        <w:bottom w:val="none" w:sz="0" w:space="0" w:color="auto"/>
        <w:right w:val="none" w:sz="0" w:space="0" w:color="auto"/>
      </w:divBdr>
    </w:div>
    <w:div w:id="481313549">
      <w:bodyDiv w:val="1"/>
      <w:marLeft w:val="0"/>
      <w:marRight w:val="0"/>
      <w:marTop w:val="0"/>
      <w:marBottom w:val="0"/>
      <w:divBdr>
        <w:top w:val="none" w:sz="0" w:space="0" w:color="auto"/>
        <w:left w:val="none" w:sz="0" w:space="0" w:color="auto"/>
        <w:bottom w:val="none" w:sz="0" w:space="0" w:color="auto"/>
        <w:right w:val="none" w:sz="0" w:space="0" w:color="auto"/>
      </w:divBdr>
    </w:div>
    <w:div w:id="482238741">
      <w:bodyDiv w:val="1"/>
      <w:marLeft w:val="0"/>
      <w:marRight w:val="0"/>
      <w:marTop w:val="0"/>
      <w:marBottom w:val="0"/>
      <w:divBdr>
        <w:top w:val="none" w:sz="0" w:space="0" w:color="auto"/>
        <w:left w:val="none" w:sz="0" w:space="0" w:color="auto"/>
        <w:bottom w:val="none" w:sz="0" w:space="0" w:color="auto"/>
        <w:right w:val="none" w:sz="0" w:space="0" w:color="auto"/>
      </w:divBdr>
    </w:div>
    <w:div w:id="48235703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3396355">
      <w:bodyDiv w:val="1"/>
      <w:marLeft w:val="0"/>
      <w:marRight w:val="0"/>
      <w:marTop w:val="0"/>
      <w:marBottom w:val="0"/>
      <w:divBdr>
        <w:top w:val="none" w:sz="0" w:space="0" w:color="auto"/>
        <w:left w:val="none" w:sz="0" w:space="0" w:color="auto"/>
        <w:bottom w:val="none" w:sz="0" w:space="0" w:color="auto"/>
        <w:right w:val="none" w:sz="0" w:space="0" w:color="auto"/>
      </w:divBdr>
    </w:div>
    <w:div w:id="484051497">
      <w:bodyDiv w:val="1"/>
      <w:marLeft w:val="0"/>
      <w:marRight w:val="0"/>
      <w:marTop w:val="0"/>
      <w:marBottom w:val="0"/>
      <w:divBdr>
        <w:top w:val="none" w:sz="0" w:space="0" w:color="auto"/>
        <w:left w:val="none" w:sz="0" w:space="0" w:color="auto"/>
        <w:bottom w:val="none" w:sz="0" w:space="0" w:color="auto"/>
        <w:right w:val="none" w:sz="0" w:space="0" w:color="auto"/>
      </w:divBdr>
    </w:div>
    <w:div w:id="484126406">
      <w:bodyDiv w:val="1"/>
      <w:marLeft w:val="0"/>
      <w:marRight w:val="0"/>
      <w:marTop w:val="0"/>
      <w:marBottom w:val="0"/>
      <w:divBdr>
        <w:top w:val="none" w:sz="0" w:space="0" w:color="auto"/>
        <w:left w:val="none" w:sz="0" w:space="0" w:color="auto"/>
        <w:bottom w:val="none" w:sz="0" w:space="0" w:color="auto"/>
        <w:right w:val="none" w:sz="0" w:space="0" w:color="auto"/>
      </w:divBdr>
    </w:div>
    <w:div w:id="484779395">
      <w:bodyDiv w:val="1"/>
      <w:marLeft w:val="0"/>
      <w:marRight w:val="0"/>
      <w:marTop w:val="0"/>
      <w:marBottom w:val="0"/>
      <w:divBdr>
        <w:top w:val="none" w:sz="0" w:space="0" w:color="auto"/>
        <w:left w:val="none" w:sz="0" w:space="0" w:color="auto"/>
        <w:bottom w:val="none" w:sz="0" w:space="0" w:color="auto"/>
        <w:right w:val="none" w:sz="0" w:space="0" w:color="auto"/>
      </w:divBdr>
    </w:div>
    <w:div w:id="484904855">
      <w:bodyDiv w:val="1"/>
      <w:marLeft w:val="0"/>
      <w:marRight w:val="0"/>
      <w:marTop w:val="0"/>
      <w:marBottom w:val="0"/>
      <w:divBdr>
        <w:top w:val="none" w:sz="0" w:space="0" w:color="auto"/>
        <w:left w:val="none" w:sz="0" w:space="0" w:color="auto"/>
        <w:bottom w:val="none" w:sz="0" w:space="0" w:color="auto"/>
        <w:right w:val="none" w:sz="0" w:space="0" w:color="auto"/>
      </w:divBdr>
    </w:div>
    <w:div w:id="484978097">
      <w:bodyDiv w:val="1"/>
      <w:marLeft w:val="0"/>
      <w:marRight w:val="0"/>
      <w:marTop w:val="0"/>
      <w:marBottom w:val="0"/>
      <w:divBdr>
        <w:top w:val="none" w:sz="0" w:space="0" w:color="auto"/>
        <w:left w:val="none" w:sz="0" w:space="0" w:color="auto"/>
        <w:bottom w:val="none" w:sz="0" w:space="0" w:color="auto"/>
        <w:right w:val="none" w:sz="0" w:space="0" w:color="auto"/>
      </w:divBdr>
    </w:div>
    <w:div w:id="48524136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093780">
      <w:bodyDiv w:val="1"/>
      <w:marLeft w:val="0"/>
      <w:marRight w:val="0"/>
      <w:marTop w:val="0"/>
      <w:marBottom w:val="0"/>
      <w:divBdr>
        <w:top w:val="none" w:sz="0" w:space="0" w:color="auto"/>
        <w:left w:val="none" w:sz="0" w:space="0" w:color="auto"/>
        <w:bottom w:val="none" w:sz="0" w:space="0" w:color="auto"/>
        <w:right w:val="none" w:sz="0" w:space="0" w:color="auto"/>
      </w:divBdr>
    </w:div>
    <w:div w:id="486164629">
      <w:bodyDiv w:val="1"/>
      <w:marLeft w:val="0"/>
      <w:marRight w:val="0"/>
      <w:marTop w:val="0"/>
      <w:marBottom w:val="0"/>
      <w:divBdr>
        <w:top w:val="none" w:sz="0" w:space="0" w:color="auto"/>
        <w:left w:val="none" w:sz="0" w:space="0" w:color="auto"/>
        <w:bottom w:val="none" w:sz="0" w:space="0" w:color="auto"/>
        <w:right w:val="none" w:sz="0" w:space="0" w:color="auto"/>
      </w:divBdr>
    </w:div>
    <w:div w:id="486282789">
      <w:bodyDiv w:val="1"/>
      <w:marLeft w:val="0"/>
      <w:marRight w:val="0"/>
      <w:marTop w:val="0"/>
      <w:marBottom w:val="0"/>
      <w:divBdr>
        <w:top w:val="none" w:sz="0" w:space="0" w:color="auto"/>
        <w:left w:val="none" w:sz="0" w:space="0" w:color="auto"/>
        <w:bottom w:val="none" w:sz="0" w:space="0" w:color="auto"/>
        <w:right w:val="none" w:sz="0" w:space="0" w:color="auto"/>
      </w:divBdr>
    </w:div>
    <w:div w:id="487551313">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88637213">
      <w:bodyDiv w:val="1"/>
      <w:marLeft w:val="0"/>
      <w:marRight w:val="0"/>
      <w:marTop w:val="0"/>
      <w:marBottom w:val="0"/>
      <w:divBdr>
        <w:top w:val="none" w:sz="0" w:space="0" w:color="auto"/>
        <w:left w:val="none" w:sz="0" w:space="0" w:color="auto"/>
        <w:bottom w:val="none" w:sz="0" w:space="0" w:color="auto"/>
        <w:right w:val="none" w:sz="0" w:space="0" w:color="auto"/>
      </w:divBdr>
    </w:div>
    <w:div w:id="488793247">
      <w:bodyDiv w:val="1"/>
      <w:marLeft w:val="0"/>
      <w:marRight w:val="0"/>
      <w:marTop w:val="0"/>
      <w:marBottom w:val="0"/>
      <w:divBdr>
        <w:top w:val="none" w:sz="0" w:space="0" w:color="auto"/>
        <w:left w:val="none" w:sz="0" w:space="0" w:color="auto"/>
        <w:bottom w:val="none" w:sz="0" w:space="0" w:color="auto"/>
        <w:right w:val="none" w:sz="0" w:space="0" w:color="auto"/>
      </w:divBdr>
    </w:div>
    <w:div w:id="489098295">
      <w:bodyDiv w:val="1"/>
      <w:marLeft w:val="0"/>
      <w:marRight w:val="0"/>
      <w:marTop w:val="0"/>
      <w:marBottom w:val="0"/>
      <w:divBdr>
        <w:top w:val="none" w:sz="0" w:space="0" w:color="auto"/>
        <w:left w:val="none" w:sz="0" w:space="0" w:color="auto"/>
        <w:bottom w:val="none" w:sz="0" w:space="0" w:color="auto"/>
        <w:right w:val="none" w:sz="0" w:space="0" w:color="auto"/>
      </w:divBdr>
    </w:div>
    <w:div w:id="489371183">
      <w:bodyDiv w:val="1"/>
      <w:marLeft w:val="0"/>
      <w:marRight w:val="0"/>
      <w:marTop w:val="0"/>
      <w:marBottom w:val="0"/>
      <w:divBdr>
        <w:top w:val="none" w:sz="0" w:space="0" w:color="auto"/>
        <w:left w:val="none" w:sz="0" w:space="0" w:color="auto"/>
        <w:bottom w:val="none" w:sz="0" w:space="0" w:color="auto"/>
        <w:right w:val="none" w:sz="0" w:space="0" w:color="auto"/>
      </w:divBdr>
    </w:div>
    <w:div w:id="489374556">
      <w:bodyDiv w:val="1"/>
      <w:marLeft w:val="0"/>
      <w:marRight w:val="0"/>
      <w:marTop w:val="0"/>
      <w:marBottom w:val="0"/>
      <w:divBdr>
        <w:top w:val="none" w:sz="0" w:space="0" w:color="auto"/>
        <w:left w:val="none" w:sz="0" w:space="0" w:color="auto"/>
        <w:bottom w:val="none" w:sz="0" w:space="0" w:color="auto"/>
        <w:right w:val="none" w:sz="0" w:space="0" w:color="auto"/>
      </w:divBdr>
    </w:div>
    <w:div w:id="490370452">
      <w:bodyDiv w:val="1"/>
      <w:marLeft w:val="0"/>
      <w:marRight w:val="0"/>
      <w:marTop w:val="0"/>
      <w:marBottom w:val="0"/>
      <w:divBdr>
        <w:top w:val="none" w:sz="0" w:space="0" w:color="auto"/>
        <w:left w:val="none" w:sz="0" w:space="0" w:color="auto"/>
        <w:bottom w:val="none" w:sz="0" w:space="0" w:color="auto"/>
        <w:right w:val="none" w:sz="0" w:space="0" w:color="auto"/>
      </w:divBdr>
    </w:div>
    <w:div w:id="491409964">
      <w:bodyDiv w:val="1"/>
      <w:marLeft w:val="0"/>
      <w:marRight w:val="0"/>
      <w:marTop w:val="0"/>
      <w:marBottom w:val="0"/>
      <w:divBdr>
        <w:top w:val="none" w:sz="0" w:space="0" w:color="auto"/>
        <w:left w:val="none" w:sz="0" w:space="0" w:color="auto"/>
        <w:bottom w:val="none" w:sz="0" w:space="0" w:color="auto"/>
        <w:right w:val="none" w:sz="0" w:space="0" w:color="auto"/>
      </w:divBdr>
    </w:div>
    <w:div w:id="491457929">
      <w:bodyDiv w:val="1"/>
      <w:marLeft w:val="0"/>
      <w:marRight w:val="0"/>
      <w:marTop w:val="0"/>
      <w:marBottom w:val="0"/>
      <w:divBdr>
        <w:top w:val="none" w:sz="0" w:space="0" w:color="auto"/>
        <w:left w:val="none" w:sz="0" w:space="0" w:color="auto"/>
        <w:bottom w:val="none" w:sz="0" w:space="0" w:color="auto"/>
        <w:right w:val="none" w:sz="0" w:space="0" w:color="auto"/>
      </w:divBdr>
    </w:div>
    <w:div w:id="492642103">
      <w:bodyDiv w:val="1"/>
      <w:marLeft w:val="0"/>
      <w:marRight w:val="0"/>
      <w:marTop w:val="0"/>
      <w:marBottom w:val="0"/>
      <w:divBdr>
        <w:top w:val="none" w:sz="0" w:space="0" w:color="auto"/>
        <w:left w:val="none" w:sz="0" w:space="0" w:color="auto"/>
        <w:bottom w:val="none" w:sz="0" w:space="0" w:color="auto"/>
        <w:right w:val="none" w:sz="0" w:space="0" w:color="auto"/>
      </w:divBdr>
    </w:div>
    <w:div w:id="492765912">
      <w:bodyDiv w:val="1"/>
      <w:marLeft w:val="0"/>
      <w:marRight w:val="0"/>
      <w:marTop w:val="0"/>
      <w:marBottom w:val="0"/>
      <w:divBdr>
        <w:top w:val="none" w:sz="0" w:space="0" w:color="auto"/>
        <w:left w:val="none" w:sz="0" w:space="0" w:color="auto"/>
        <w:bottom w:val="none" w:sz="0" w:space="0" w:color="auto"/>
        <w:right w:val="none" w:sz="0" w:space="0" w:color="auto"/>
      </w:divBdr>
    </w:div>
    <w:div w:id="493495823">
      <w:bodyDiv w:val="1"/>
      <w:marLeft w:val="0"/>
      <w:marRight w:val="0"/>
      <w:marTop w:val="0"/>
      <w:marBottom w:val="0"/>
      <w:divBdr>
        <w:top w:val="none" w:sz="0" w:space="0" w:color="auto"/>
        <w:left w:val="none" w:sz="0" w:space="0" w:color="auto"/>
        <w:bottom w:val="none" w:sz="0" w:space="0" w:color="auto"/>
        <w:right w:val="none" w:sz="0" w:space="0" w:color="auto"/>
      </w:divBdr>
    </w:div>
    <w:div w:id="493572895">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494612028">
      <w:bodyDiv w:val="1"/>
      <w:marLeft w:val="0"/>
      <w:marRight w:val="0"/>
      <w:marTop w:val="0"/>
      <w:marBottom w:val="0"/>
      <w:divBdr>
        <w:top w:val="none" w:sz="0" w:space="0" w:color="auto"/>
        <w:left w:val="none" w:sz="0" w:space="0" w:color="auto"/>
        <w:bottom w:val="none" w:sz="0" w:space="0" w:color="auto"/>
        <w:right w:val="none" w:sz="0" w:space="0" w:color="auto"/>
      </w:divBdr>
    </w:div>
    <w:div w:id="494760275">
      <w:bodyDiv w:val="1"/>
      <w:marLeft w:val="0"/>
      <w:marRight w:val="0"/>
      <w:marTop w:val="0"/>
      <w:marBottom w:val="0"/>
      <w:divBdr>
        <w:top w:val="none" w:sz="0" w:space="0" w:color="auto"/>
        <w:left w:val="none" w:sz="0" w:space="0" w:color="auto"/>
        <w:bottom w:val="none" w:sz="0" w:space="0" w:color="auto"/>
        <w:right w:val="none" w:sz="0" w:space="0" w:color="auto"/>
      </w:divBdr>
    </w:div>
    <w:div w:id="496385244">
      <w:bodyDiv w:val="1"/>
      <w:marLeft w:val="0"/>
      <w:marRight w:val="0"/>
      <w:marTop w:val="0"/>
      <w:marBottom w:val="0"/>
      <w:divBdr>
        <w:top w:val="none" w:sz="0" w:space="0" w:color="auto"/>
        <w:left w:val="none" w:sz="0" w:space="0" w:color="auto"/>
        <w:bottom w:val="none" w:sz="0" w:space="0" w:color="auto"/>
        <w:right w:val="none" w:sz="0" w:space="0" w:color="auto"/>
      </w:divBdr>
    </w:div>
    <w:div w:id="497119041">
      <w:bodyDiv w:val="1"/>
      <w:marLeft w:val="0"/>
      <w:marRight w:val="0"/>
      <w:marTop w:val="0"/>
      <w:marBottom w:val="0"/>
      <w:divBdr>
        <w:top w:val="none" w:sz="0" w:space="0" w:color="auto"/>
        <w:left w:val="none" w:sz="0" w:space="0" w:color="auto"/>
        <w:bottom w:val="none" w:sz="0" w:space="0" w:color="auto"/>
        <w:right w:val="none" w:sz="0" w:space="0" w:color="auto"/>
      </w:divBdr>
    </w:div>
    <w:div w:id="497233203">
      <w:bodyDiv w:val="1"/>
      <w:marLeft w:val="0"/>
      <w:marRight w:val="0"/>
      <w:marTop w:val="0"/>
      <w:marBottom w:val="0"/>
      <w:divBdr>
        <w:top w:val="none" w:sz="0" w:space="0" w:color="auto"/>
        <w:left w:val="none" w:sz="0" w:space="0" w:color="auto"/>
        <w:bottom w:val="none" w:sz="0" w:space="0" w:color="auto"/>
        <w:right w:val="none" w:sz="0" w:space="0" w:color="auto"/>
      </w:divBdr>
    </w:div>
    <w:div w:id="497423408">
      <w:bodyDiv w:val="1"/>
      <w:marLeft w:val="0"/>
      <w:marRight w:val="0"/>
      <w:marTop w:val="0"/>
      <w:marBottom w:val="0"/>
      <w:divBdr>
        <w:top w:val="none" w:sz="0" w:space="0" w:color="auto"/>
        <w:left w:val="none" w:sz="0" w:space="0" w:color="auto"/>
        <w:bottom w:val="none" w:sz="0" w:space="0" w:color="auto"/>
        <w:right w:val="none" w:sz="0" w:space="0" w:color="auto"/>
      </w:divBdr>
    </w:div>
    <w:div w:id="499082903">
      <w:bodyDiv w:val="1"/>
      <w:marLeft w:val="0"/>
      <w:marRight w:val="0"/>
      <w:marTop w:val="0"/>
      <w:marBottom w:val="0"/>
      <w:divBdr>
        <w:top w:val="none" w:sz="0" w:space="0" w:color="auto"/>
        <w:left w:val="none" w:sz="0" w:space="0" w:color="auto"/>
        <w:bottom w:val="none" w:sz="0" w:space="0" w:color="auto"/>
        <w:right w:val="none" w:sz="0" w:space="0" w:color="auto"/>
      </w:divBdr>
    </w:div>
    <w:div w:id="500201652">
      <w:bodyDiv w:val="1"/>
      <w:marLeft w:val="0"/>
      <w:marRight w:val="0"/>
      <w:marTop w:val="0"/>
      <w:marBottom w:val="0"/>
      <w:divBdr>
        <w:top w:val="none" w:sz="0" w:space="0" w:color="auto"/>
        <w:left w:val="none" w:sz="0" w:space="0" w:color="auto"/>
        <w:bottom w:val="none" w:sz="0" w:space="0" w:color="auto"/>
        <w:right w:val="none" w:sz="0" w:space="0" w:color="auto"/>
      </w:divBdr>
    </w:div>
    <w:div w:id="500661474">
      <w:bodyDiv w:val="1"/>
      <w:marLeft w:val="0"/>
      <w:marRight w:val="0"/>
      <w:marTop w:val="0"/>
      <w:marBottom w:val="0"/>
      <w:divBdr>
        <w:top w:val="none" w:sz="0" w:space="0" w:color="auto"/>
        <w:left w:val="none" w:sz="0" w:space="0" w:color="auto"/>
        <w:bottom w:val="none" w:sz="0" w:space="0" w:color="auto"/>
        <w:right w:val="none" w:sz="0" w:space="0" w:color="auto"/>
      </w:divBdr>
    </w:div>
    <w:div w:id="500698876">
      <w:bodyDiv w:val="1"/>
      <w:marLeft w:val="0"/>
      <w:marRight w:val="0"/>
      <w:marTop w:val="0"/>
      <w:marBottom w:val="0"/>
      <w:divBdr>
        <w:top w:val="none" w:sz="0" w:space="0" w:color="auto"/>
        <w:left w:val="none" w:sz="0" w:space="0" w:color="auto"/>
        <w:bottom w:val="none" w:sz="0" w:space="0" w:color="auto"/>
        <w:right w:val="none" w:sz="0" w:space="0" w:color="auto"/>
      </w:divBdr>
    </w:div>
    <w:div w:id="501047852">
      <w:bodyDiv w:val="1"/>
      <w:marLeft w:val="0"/>
      <w:marRight w:val="0"/>
      <w:marTop w:val="0"/>
      <w:marBottom w:val="0"/>
      <w:divBdr>
        <w:top w:val="none" w:sz="0" w:space="0" w:color="auto"/>
        <w:left w:val="none" w:sz="0" w:space="0" w:color="auto"/>
        <w:bottom w:val="none" w:sz="0" w:space="0" w:color="auto"/>
        <w:right w:val="none" w:sz="0" w:space="0" w:color="auto"/>
      </w:divBdr>
    </w:div>
    <w:div w:id="502202794">
      <w:bodyDiv w:val="1"/>
      <w:marLeft w:val="0"/>
      <w:marRight w:val="0"/>
      <w:marTop w:val="0"/>
      <w:marBottom w:val="0"/>
      <w:divBdr>
        <w:top w:val="none" w:sz="0" w:space="0" w:color="auto"/>
        <w:left w:val="none" w:sz="0" w:space="0" w:color="auto"/>
        <w:bottom w:val="none" w:sz="0" w:space="0" w:color="auto"/>
        <w:right w:val="none" w:sz="0" w:space="0" w:color="auto"/>
      </w:divBdr>
    </w:div>
    <w:div w:id="502211092">
      <w:bodyDiv w:val="1"/>
      <w:marLeft w:val="0"/>
      <w:marRight w:val="0"/>
      <w:marTop w:val="0"/>
      <w:marBottom w:val="0"/>
      <w:divBdr>
        <w:top w:val="none" w:sz="0" w:space="0" w:color="auto"/>
        <w:left w:val="none" w:sz="0" w:space="0" w:color="auto"/>
        <w:bottom w:val="none" w:sz="0" w:space="0" w:color="auto"/>
        <w:right w:val="none" w:sz="0" w:space="0" w:color="auto"/>
      </w:divBdr>
    </w:div>
    <w:div w:id="502474202">
      <w:bodyDiv w:val="1"/>
      <w:marLeft w:val="0"/>
      <w:marRight w:val="0"/>
      <w:marTop w:val="0"/>
      <w:marBottom w:val="0"/>
      <w:divBdr>
        <w:top w:val="none" w:sz="0" w:space="0" w:color="auto"/>
        <w:left w:val="none" w:sz="0" w:space="0" w:color="auto"/>
        <w:bottom w:val="none" w:sz="0" w:space="0" w:color="auto"/>
        <w:right w:val="none" w:sz="0" w:space="0" w:color="auto"/>
      </w:divBdr>
    </w:div>
    <w:div w:id="502865207">
      <w:bodyDiv w:val="1"/>
      <w:marLeft w:val="0"/>
      <w:marRight w:val="0"/>
      <w:marTop w:val="0"/>
      <w:marBottom w:val="0"/>
      <w:divBdr>
        <w:top w:val="none" w:sz="0" w:space="0" w:color="auto"/>
        <w:left w:val="none" w:sz="0" w:space="0" w:color="auto"/>
        <w:bottom w:val="none" w:sz="0" w:space="0" w:color="auto"/>
        <w:right w:val="none" w:sz="0" w:space="0" w:color="auto"/>
      </w:divBdr>
    </w:div>
    <w:div w:id="502866896">
      <w:bodyDiv w:val="1"/>
      <w:marLeft w:val="0"/>
      <w:marRight w:val="0"/>
      <w:marTop w:val="0"/>
      <w:marBottom w:val="0"/>
      <w:divBdr>
        <w:top w:val="none" w:sz="0" w:space="0" w:color="auto"/>
        <w:left w:val="none" w:sz="0" w:space="0" w:color="auto"/>
        <w:bottom w:val="none" w:sz="0" w:space="0" w:color="auto"/>
        <w:right w:val="none" w:sz="0" w:space="0" w:color="auto"/>
      </w:divBdr>
    </w:div>
    <w:div w:id="503134300">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6291120">
      <w:bodyDiv w:val="1"/>
      <w:marLeft w:val="0"/>
      <w:marRight w:val="0"/>
      <w:marTop w:val="0"/>
      <w:marBottom w:val="0"/>
      <w:divBdr>
        <w:top w:val="none" w:sz="0" w:space="0" w:color="auto"/>
        <w:left w:val="none" w:sz="0" w:space="0" w:color="auto"/>
        <w:bottom w:val="none" w:sz="0" w:space="0" w:color="auto"/>
        <w:right w:val="none" w:sz="0" w:space="0" w:color="auto"/>
      </w:divBdr>
    </w:div>
    <w:div w:id="506559668">
      <w:bodyDiv w:val="1"/>
      <w:marLeft w:val="0"/>
      <w:marRight w:val="0"/>
      <w:marTop w:val="0"/>
      <w:marBottom w:val="0"/>
      <w:divBdr>
        <w:top w:val="none" w:sz="0" w:space="0" w:color="auto"/>
        <w:left w:val="none" w:sz="0" w:space="0" w:color="auto"/>
        <w:bottom w:val="none" w:sz="0" w:space="0" w:color="auto"/>
        <w:right w:val="none" w:sz="0" w:space="0" w:color="auto"/>
      </w:divBdr>
    </w:div>
    <w:div w:id="507058874">
      <w:bodyDiv w:val="1"/>
      <w:marLeft w:val="0"/>
      <w:marRight w:val="0"/>
      <w:marTop w:val="0"/>
      <w:marBottom w:val="0"/>
      <w:divBdr>
        <w:top w:val="none" w:sz="0" w:space="0" w:color="auto"/>
        <w:left w:val="none" w:sz="0" w:space="0" w:color="auto"/>
        <w:bottom w:val="none" w:sz="0" w:space="0" w:color="auto"/>
        <w:right w:val="none" w:sz="0" w:space="0" w:color="auto"/>
      </w:divBdr>
    </w:div>
    <w:div w:id="507451035">
      <w:bodyDiv w:val="1"/>
      <w:marLeft w:val="0"/>
      <w:marRight w:val="0"/>
      <w:marTop w:val="0"/>
      <w:marBottom w:val="0"/>
      <w:divBdr>
        <w:top w:val="none" w:sz="0" w:space="0" w:color="auto"/>
        <w:left w:val="none" w:sz="0" w:space="0" w:color="auto"/>
        <w:bottom w:val="none" w:sz="0" w:space="0" w:color="auto"/>
        <w:right w:val="none" w:sz="0" w:space="0" w:color="auto"/>
      </w:divBdr>
    </w:div>
    <w:div w:id="507909165">
      <w:bodyDiv w:val="1"/>
      <w:marLeft w:val="0"/>
      <w:marRight w:val="0"/>
      <w:marTop w:val="0"/>
      <w:marBottom w:val="0"/>
      <w:divBdr>
        <w:top w:val="none" w:sz="0" w:space="0" w:color="auto"/>
        <w:left w:val="none" w:sz="0" w:space="0" w:color="auto"/>
        <w:bottom w:val="none" w:sz="0" w:space="0" w:color="auto"/>
        <w:right w:val="none" w:sz="0" w:space="0" w:color="auto"/>
      </w:divBdr>
    </w:div>
    <w:div w:id="508299090">
      <w:bodyDiv w:val="1"/>
      <w:marLeft w:val="0"/>
      <w:marRight w:val="0"/>
      <w:marTop w:val="0"/>
      <w:marBottom w:val="0"/>
      <w:divBdr>
        <w:top w:val="none" w:sz="0" w:space="0" w:color="auto"/>
        <w:left w:val="none" w:sz="0" w:space="0" w:color="auto"/>
        <w:bottom w:val="none" w:sz="0" w:space="0" w:color="auto"/>
        <w:right w:val="none" w:sz="0" w:space="0" w:color="auto"/>
      </w:divBdr>
    </w:div>
    <w:div w:id="508907016">
      <w:bodyDiv w:val="1"/>
      <w:marLeft w:val="0"/>
      <w:marRight w:val="0"/>
      <w:marTop w:val="0"/>
      <w:marBottom w:val="0"/>
      <w:divBdr>
        <w:top w:val="none" w:sz="0" w:space="0" w:color="auto"/>
        <w:left w:val="none" w:sz="0" w:space="0" w:color="auto"/>
        <w:bottom w:val="none" w:sz="0" w:space="0" w:color="auto"/>
        <w:right w:val="none" w:sz="0" w:space="0" w:color="auto"/>
      </w:divBdr>
    </w:div>
    <w:div w:id="509224541">
      <w:bodyDiv w:val="1"/>
      <w:marLeft w:val="0"/>
      <w:marRight w:val="0"/>
      <w:marTop w:val="0"/>
      <w:marBottom w:val="0"/>
      <w:divBdr>
        <w:top w:val="none" w:sz="0" w:space="0" w:color="auto"/>
        <w:left w:val="none" w:sz="0" w:space="0" w:color="auto"/>
        <w:bottom w:val="none" w:sz="0" w:space="0" w:color="auto"/>
        <w:right w:val="none" w:sz="0" w:space="0" w:color="auto"/>
      </w:divBdr>
    </w:div>
    <w:div w:id="509494631">
      <w:bodyDiv w:val="1"/>
      <w:marLeft w:val="0"/>
      <w:marRight w:val="0"/>
      <w:marTop w:val="0"/>
      <w:marBottom w:val="0"/>
      <w:divBdr>
        <w:top w:val="none" w:sz="0" w:space="0" w:color="auto"/>
        <w:left w:val="none" w:sz="0" w:space="0" w:color="auto"/>
        <w:bottom w:val="none" w:sz="0" w:space="0" w:color="auto"/>
        <w:right w:val="none" w:sz="0" w:space="0" w:color="auto"/>
      </w:divBdr>
    </w:div>
    <w:div w:id="510722155">
      <w:bodyDiv w:val="1"/>
      <w:marLeft w:val="0"/>
      <w:marRight w:val="0"/>
      <w:marTop w:val="0"/>
      <w:marBottom w:val="0"/>
      <w:divBdr>
        <w:top w:val="none" w:sz="0" w:space="0" w:color="auto"/>
        <w:left w:val="none" w:sz="0" w:space="0" w:color="auto"/>
        <w:bottom w:val="none" w:sz="0" w:space="0" w:color="auto"/>
        <w:right w:val="none" w:sz="0" w:space="0" w:color="auto"/>
      </w:divBdr>
    </w:div>
    <w:div w:id="511653033">
      <w:bodyDiv w:val="1"/>
      <w:marLeft w:val="0"/>
      <w:marRight w:val="0"/>
      <w:marTop w:val="0"/>
      <w:marBottom w:val="0"/>
      <w:divBdr>
        <w:top w:val="none" w:sz="0" w:space="0" w:color="auto"/>
        <w:left w:val="none" w:sz="0" w:space="0" w:color="auto"/>
        <w:bottom w:val="none" w:sz="0" w:space="0" w:color="auto"/>
        <w:right w:val="none" w:sz="0" w:space="0" w:color="auto"/>
      </w:divBdr>
    </w:div>
    <w:div w:id="512650924">
      <w:bodyDiv w:val="1"/>
      <w:marLeft w:val="0"/>
      <w:marRight w:val="0"/>
      <w:marTop w:val="0"/>
      <w:marBottom w:val="0"/>
      <w:divBdr>
        <w:top w:val="none" w:sz="0" w:space="0" w:color="auto"/>
        <w:left w:val="none" w:sz="0" w:space="0" w:color="auto"/>
        <w:bottom w:val="none" w:sz="0" w:space="0" w:color="auto"/>
        <w:right w:val="none" w:sz="0" w:space="0" w:color="auto"/>
      </w:divBdr>
    </w:div>
    <w:div w:id="512689261">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040132">
      <w:bodyDiv w:val="1"/>
      <w:marLeft w:val="0"/>
      <w:marRight w:val="0"/>
      <w:marTop w:val="0"/>
      <w:marBottom w:val="0"/>
      <w:divBdr>
        <w:top w:val="none" w:sz="0" w:space="0" w:color="auto"/>
        <w:left w:val="none" w:sz="0" w:space="0" w:color="auto"/>
        <w:bottom w:val="none" w:sz="0" w:space="0" w:color="auto"/>
        <w:right w:val="none" w:sz="0" w:space="0" w:color="auto"/>
      </w:divBdr>
    </w:div>
    <w:div w:id="516820192">
      <w:bodyDiv w:val="1"/>
      <w:marLeft w:val="0"/>
      <w:marRight w:val="0"/>
      <w:marTop w:val="0"/>
      <w:marBottom w:val="0"/>
      <w:divBdr>
        <w:top w:val="none" w:sz="0" w:space="0" w:color="auto"/>
        <w:left w:val="none" w:sz="0" w:space="0" w:color="auto"/>
        <w:bottom w:val="none" w:sz="0" w:space="0" w:color="auto"/>
        <w:right w:val="none" w:sz="0" w:space="0" w:color="auto"/>
      </w:divBdr>
    </w:div>
    <w:div w:id="516847226">
      <w:bodyDiv w:val="1"/>
      <w:marLeft w:val="0"/>
      <w:marRight w:val="0"/>
      <w:marTop w:val="0"/>
      <w:marBottom w:val="0"/>
      <w:divBdr>
        <w:top w:val="none" w:sz="0" w:space="0" w:color="auto"/>
        <w:left w:val="none" w:sz="0" w:space="0" w:color="auto"/>
        <w:bottom w:val="none" w:sz="0" w:space="0" w:color="auto"/>
        <w:right w:val="none" w:sz="0" w:space="0" w:color="auto"/>
      </w:divBdr>
    </w:div>
    <w:div w:id="517161291">
      <w:bodyDiv w:val="1"/>
      <w:marLeft w:val="0"/>
      <w:marRight w:val="0"/>
      <w:marTop w:val="0"/>
      <w:marBottom w:val="0"/>
      <w:divBdr>
        <w:top w:val="none" w:sz="0" w:space="0" w:color="auto"/>
        <w:left w:val="none" w:sz="0" w:space="0" w:color="auto"/>
        <w:bottom w:val="none" w:sz="0" w:space="0" w:color="auto"/>
        <w:right w:val="none" w:sz="0" w:space="0" w:color="auto"/>
      </w:divBdr>
    </w:div>
    <w:div w:id="518009906">
      <w:bodyDiv w:val="1"/>
      <w:marLeft w:val="0"/>
      <w:marRight w:val="0"/>
      <w:marTop w:val="0"/>
      <w:marBottom w:val="0"/>
      <w:divBdr>
        <w:top w:val="none" w:sz="0" w:space="0" w:color="auto"/>
        <w:left w:val="none" w:sz="0" w:space="0" w:color="auto"/>
        <w:bottom w:val="none" w:sz="0" w:space="0" w:color="auto"/>
        <w:right w:val="none" w:sz="0" w:space="0" w:color="auto"/>
      </w:divBdr>
    </w:div>
    <w:div w:id="519468152">
      <w:bodyDiv w:val="1"/>
      <w:marLeft w:val="0"/>
      <w:marRight w:val="0"/>
      <w:marTop w:val="0"/>
      <w:marBottom w:val="0"/>
      <w:divBdr>
        <w:top w:val="none" w:sz="0" w:space="0" w:color="auto"/>
        <w:left w:val="none" w:sz="0" w:space="0" w:color="auto"/>
        <w:bottom w:val="none" w:sz="0" w:space="0" w:color="auto"/>
        <w:right w:val="none" w:sz="0" w:space="0" w:color="auto"/>
      </w:divBdr>
    </w:div>
    <w:div w:id="52036377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1164044">
      <w:bodyDiv w:val="1"/>
      <w:marLeft w:val="0"/>
      <w:marRight w:val="0"/>
      <w:marTop w:val="0"/>
      <w:marBottom w:val="0"/>
      <w:divBdr>
        <w:top w:val="none" w:sz="0" w:space="0" w:color="auto"/>
        <w:left w:val="none" w:sz="0" w:space="0" w:color="auto"/>
        <w:bottom w:val="none" w:sz="0" w:space="0" w:color="auto"/>
        <w:right w:val="none" w:sz="0" w:space="0" w:color="auto"/>
      </w:divBdr>
    </w:div>
    <w:div w:id="521675480">
      <w:bodyDiv w:val="1"/>
      <w:marLeft w:val="0"/>
      <w:marRight w:val="0"/>
      <w:marTop w:val="0"/>
      <w:marBottom w:val="0"/>
      <w:divBdr>
        <w:top w:val="none" w:sz="0" w:space="0" w:color="auto"/>
        <w:left w:val="none" w:sz="0" w:space="0" w:color="auto"/>
        <w:bottom w:val="none" w:sz="0" w:space="0" w:color="auto"/>
        <w:right w:val="none" w:sz="0" w:space="0" w:color="auto"/>
      </w:divBdr>
    </w:div>
    <w:div w:id="521825186">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17928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5171842">
      <w:bodyDiv w:val="1"/>
      <w:marLeft w:val="0"/>
      <w:marRight w:val="0"/>
      <w:marTop w:val="0"/>
      <w:marBottom w:val="0"/>
      <w:divBdr>
        <w:top w:val="none" w:sz="0" w:space="0" w:color="auto"/>
        <w:left w:val="none" w:sz="0" w:space="0" w:color="auto"/>
        <w:bottom w:val="none" w:sz="0" w:space="0" w:color="auto"/>
        <w:right w:val="none" w:sz="0" w:space="0" w:color="auto"/>
      </w:divBdr>
    </w:div>
    <w:div w:id="525338352">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6600485">
      <w:bodyDiv w:val="1"/>
      <w:marLeft w:val="0"/>
      <w:marRight w:val="0"/>
      <w:marTop w:val="0"/>
      <w:marBottom w:val="0"/>
      <w:divBdr>
        <w:top w:val="none" w:sz="0" w:space="0" w:color="auto"/>
        <w:left w:val="none" w:sz="0" w:space="0" w:color="auto"/>
        <w:bottom w:val="none" w:sz="0" w:space="0" w:color="auto"/>
        <w:right w:val="none" w:sz="0" w:space="0" w:color="auto"/>
      </w:divBdr>
    </w:div>
    <w:div w:id="526871008">
      <w:bodyDiv w:val="1"/>
      <w:marLeft w:val="0"/>
      <w:marRight w:val="0"/>
      <w:marTop w:val="0"/>
      <w:marBottom w:val="0"/>
      <w:divBdr>
        <w:top w:val="none" w:sz="0" w:space="0" w:color="auto"/>
        <w:left w:val="none" w:sz="0" w:space="0" w:color="auto"/>
        <w:bottom w:val="none" w:sz="0" w:space="0" w:color="auto"/>
        <w:right w:val="none" w:sz="0" w:space="0" w:color="auto"/>
      </w:divBdr>
    </w:div>
    <w:div w:id="527260467">
      <w:bodyDiv w:val="1"/>
      <w:marLeft w:val="0"/>
      <w:marRight w:val="0"/>
      <w:marTop w:val="0"/>
      <w:marBottom w:val="0"/>
      <w:divBdr>
        <w:top w:val="none" w:sz="0" w:space="0" w:color="auto"/>
        <w:left w:val="none" w:sz="0" w:space="0" w:color="auto"/>
        <w:bottom w:val="none" w:sz="0" w:space="0" w:color="auto"/>
        <w:right w:val="none" w:sz="0" w:space="0" w:color="auto"/>
      </w:divBdr>
    </w:div>
    <w:div w:id="527333097">
      <w:bodyDiv w:val="1"/>
      <w:marLeft w:val="0"/>
      <w:marRight w:val="0"/>
      <w:marTop w:val="0"/>
      <w:marBottom w:val="0"/>
      <w:divBdr>
        <w:top w:val="none" w:sz="0" w:space="0" w:color="auto"/>
        <w:left w:val="none" w:sz="0" w:space="0" w:color="auto"/>
        <w:bottom w:val="none" w:sz="0" w:space="0" w:color="auto"/>
        <w:right w:val="none" w:sz="0" w:space="0" w:color="auto"/>
      </w:divBdr>
    </w:div>
    <w:div w:id="527838307">
      <w:bodyDiv w:val="1"/>
      <w:marLeft w:val="0"/>
      <w:marRight w:val="0"/>
      <w:marTop w:val="0"/>
      <w:marBottom w:val="0"/>
      <w:divBdr>
        <w:top w:val="none" w:sz="0" w:space="0" w:color="auto"/>
        <w:left w:val="none" w:sz="0" w:space="0" w:color="auto"/>
        <w:bottom w:val="none" w:sz="0" w:space="0" w:color="auto"/>
        <w:right w:val="none" w:sz="0" w:space="0" w:color="auto"/>
      </w:divBdr>
    </w:div>
    <w:div w:id="527913159">
      <w:bodyDiv w:val="1"/>
      <w:marLeft w:val="0"/>
      <w:marRight w:val="0"/>
      <w:marTop w:val="0"/>
      <w:marBottom w:val="0"/>
      <w:divBdr>
        <w:top w:val="none" w:sz="0" w:space="0" w:color="auto"/>
        <w:left w:val="none" w:sz="0" w:space="0" w:color="auto"/>
        <w:bottom w:val="none" w:sz="0" w:space="0" w:color="auto"/>
        <w:right w:val="none" w:sz="0" w:space="0" w:color="auto"/>
      </w:divBdr>
    </w:div>
    <w:div w:id="529074852">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37919">
      <w:bodyDiv w:val="1"/>
      <w:marLeft w:val="0"/>
      <w:marRight w:val="0"/>
      <w:marTop w:val="0"/>
      <w:marBottom w:val="0"/>
      <w:divBdr>
        <w:top w:val="none" w:sz="0" w:space="0" w:color="auto"/>
        <w:left w:val="none" w:sz="0" w:space="0" w:color="auto"/>
        <w:bottom w:val="none" w:sz="0" w:space="0" w:color="auto"/>
        <w:right w:val="none" w:sz="0" w:space="0" w:color="auto"/>
      </w:divBdr>
    </w:div>
    <w:div w:id="531501044">
      <w:bodyDiv w:val="1"/>
      <w:marLeft w:val="0"/>
      <w:marRight w:val="0"/>
      <w:marTop w:val="0"/>
      <w:marBottom w:val="0"/>
      <w:divBdr>
        <w:top w:val="none" w:sz="0" w:space="0" w:color="auto"/>
        <w:left w:val="none" w:sz="0" w:space="0" w:color="auto"/>
        <w:bottom w:val="none" w:sz="0" w:space="0" w:color="auto"/>
        <w:right w:val="none" w:sz="0" w:space="0" w:color="auto"/>
      </w:divBdr>
    </w:div>
    <w:div w:id="531916455">
      <w:bodyDiv w:val="1"/>
      <w:marLeft w:val="0"/>
      <w:marRight w:val="0"/>
      <w:marTop w:val="0"/>
      <w:marBottom w:val="0"/>
      <w:divBdr>
        <w:top w:val="none" w:sz="0" w:space="0" w:color="auto"/>
        <w:left w:val="none" w:sz="0" w:space="0" w:color="auto"/>
        <w:bottom w:val="none" w:sz="0" w:space="0" w:color="auto"/>
        <w:right w:val="none" w:sz="0" w:space="0" w:color="auto"/>
      </w:divBdr>
    </w:div>
    <w:div w:id="533036137">
      <w:bodyDiv w:val="1"/>
      <w:marLeft w:val="0"/>
      <w:marRight w:val="0"/>
      <w:marTop w:val="0"/>
      <w:marBottom w:val="0"/>
      <w:divBdr>
        <w:top w:val="none" w:sz="0" w:space="0" w:color="auto"/>
        <w:left w:val="none" w:sz="0" w:space="0" w:color="auto"/>
        <w:bottom w:val="none" w:sz="0" w:space="0" w:color="auto"/>
        <w:right w:val="none" w:sz="0" w:space="0" w:color="auto"/>
      </w:divBdr>
    </w:div>
    <w:div w:id="534317224">
      <w:bodyDiv w:val="1"/>
      <w:marLeft w:val="0"/>
      <w:marRight w:val="0"/>
      <w:marTop w:val="0"/>
      <w:marBottom w:val="0"/>
      <w:divBdr>
        <w:top w:val="none" w:sz="0" w:space="0" w:color="auto"/>
        <w:left w:val="none" w:sz="0" w:space="0" w:color="auto"/>
        <w:bottom w:val="none" w:sz="0" w:space="0" w:color="auto"/>
        <w:right w:val="none" w:sz="0" w:space="0" w:color="auto"/>
      </w:divBdr>
    </w:div>
    <w:div w:id="535312720">
      <w:bodyDiv w:val="1"/>
      <w:marLeft w:val="0"/>
      <w:marRight w:val="0"/>
      <w:marTop w:val="0"/>
      <w:marBottom w:val="0"/>
      <w:divBdr>
        <w:top w:val="none" w:sz="0" w:space="0" w:color="auto"/>
        <w:left w:val="none" w:sz="0" w:space="0" w:color="auto"/>
        <w:bottom w:val="none" w:sz="0" w:space="0" w:color="auto"/>
        <w:right w:val="none" w:sz="0" w:space="0" w:color="auto"/>
      </w:divBdr>
    </w:div>
    <w:div w:id="535313148">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35774788">
      <w:bodyDiv w:val="1"/>
      <w:marLeft w:val="0"/>
      <w:marRight w:val="0"/>
      <w:marTop w:val="0"/>
      <w:marBottom w:val="0"/>
      <w:divBdr>
        <w:top w:val="none" w:sz="0" w:space="0" w:color="auto"/>
        <w:left w:val="none" w:sz="0" w:space="0" w:color="auto"/>
        <w:bottom w:val="none" w:sz="0" w:space="0" w:color="auto"/>
        <w:right w:val="none" w:sz="0" w:space="0" w:color="auto"/>
      </w:divBdr>
    </w:div>
    <w:div w:id="536282563">
      <w:bodyDiv w:val="1"/>
      <w:marLeft w:val="0"/>
      <w:marRight w:val="0"/>
      <w:marTop w:val="0"/>
      <w:marBottom w:val="0"/>
      <w:divBdr>
        <w:top w:val="none" w:sz="0" w:space="0" w:color="auto"/>
        <w:left w:val="none" w:sz="0" w:space="0" w:color="auto"/>
        <w:bottom w:val="none" w:sz="0" w:space="0" w:color="auto"/>
        <w:right w:val="none" w:sz="0" w:space="0" w:color="auto"/>
      </w:divBdr>
    </w:div>
    <w:div w:id="536702358">
      <w:bodyDiv w:val="1"/>
      <w:marLeft w:val="0"/>
      <w:marRight w:val="0"/>
      <w:marTop w:val="0"/>
      <w:marBottom w:val="0"/>
      <w:divBdr>
        <w:top w:val="none" w:sz="0" w:space="0" w:color="auto"/>
        <w:left w:val="none" w:sz="0" w:space="0" w:color="auto"/>
        <w:bottom w:val="none" w:sz="0" w:space="0" w:color="auto"/>
        <w:right w:val="none" w:sz="0" w:space="0" w:color="auto"/>
      </w:divBdr>
    </w:div>
    <w:div w:id="536703745">
      <w:bodyDiv w:val="1"/>
      <w:marLeft w:val="0"/>
      <w:marRight w:val="0"/>
      <w:marTop w:val="0"/>
      <w:marBottom w:val="0"/>
      <w:divBdr>
        <w:top w:val="none" w:sz="0" w:space="0" w:color="auto"/>
        <w:left w:val="none" w:sz="0" w:space="0" w:color="auto"/>
        <w:bottom w:val="none" w:sz="0" w:space="0" w:color="auto"/>
        <w:right w:val="none" w:sz="0" w:space="0" w:color="auto"/>
      </w:divBdr>
    </w:div>
    <w:div w:id="536704066">
      <w:bodyDiv w:val="1"/>
      <w:marLeft w:val="0"/>
      <w:marRight w:val="0"/>
      <w:marTop w:val="0"/>
      <w:marBottom w:val="0"/>
      <w:divBdr>
        <w:top w:val="none" w:sz="0" w:space="0" w:color="auto"/>
        <w:left w:val="none" w:sz="0" w:space="0" w:color="auto"/>
        <w:bottom w:val="none" w:sz="0" w:space="0" w:color="auto"/>
        <w:right w:val="none" w:sz="0" w:space="0" w:color="auto"/>
      </w:divBdr>
    </w:div>
    <w:div w:id="537619997">
      <w:bodyDiv w:val="1"/>
      <w:marLeft w:val="0"/>
      <w:marRight w:val="0"/>
      <w:marTop w:val="0"/>
      <w:marBottom w:val="0"/>
      <w:divBdr>
        <w:top w:val="none" w:sz="0" w:space="0" w:color="auto"/>
        <w:left w:val="none" w:sz="0" w:space="0" w:color="auto"/>
        <w:bottom w:val="none" w:sz="0" w:space="0" w:color="auto"/>
        <w:right w:val="none" w:sz="0" w:space="0" w:color="auto"/>
      </w:divBdr>
    </w:div>
    <w:div w:id="538586221">
      <w:bodyDiv w:val="1"/>
      <w:marLeft w:val="0"/>
      <w:marRight w:val="0"/>
      <w:marTop w:val="0"/>
      <w:marBottom w:val="0"/>
      <w:divBdr>
        <w:top w:val="none" w:sz="0" w:space="0" w:color="auto"/>
        <w:left w:val="none" w:sz="0" w:space="0" w:color="auto"/>
        <w:bottom w:val="none" w:sz="0" w:space="0" w:color="auto"/>
        <w:right w:val="none" w:sz="0" w:space="0" w:color="auto"/>
      </w:divBdr>
    </w:div>
    <w:div w:id="538862715">
      <w:bodyDiv w:val="1"/>
      <w:marLeft w:val="0"/>
      <w:marRight w:val="0"/>
      <w:marTop w:val="0"/>
      <w:marBottom w:val="0"/>
      <w:divBdr>
        <w:top w:val="none" w:sz="0" w:space="0" w:color="auto"/>
        <w:left w:val="none" w:sz="0" w:space="0" w:color="auto"/>
        <w:bottom w:val="none" w:sz="0" w:space="0" w:color="auto"/>
        <w:right w:val="none" w:sz="0" w:space="0" w:color="auto"/>
      </w:divBdr>
    </w:div>
    <w:div w:id="538972302">
      <w:bodyDiv w:val="1"/>
      <w:marLeft w:val="0"/>
      <w:marRight w:val="0"/>
      <w:marTop w:val="0"/>
      <w:marBottom w:val="0"/>
      <w:divBdr>
        <w:top w:val="none" w:sz="0" w:space="0" w:color="auto"/>
        <w:left w:val="none" w:sz="0" w:space="0" w:color="auto"/>
        <w:bottom w:val="none" w:sz="0" w:space="0" w:color="auto"/>
        <w:right w:val="none" w:sz="0" w:space="0" w:color="auto"/>
      </w:divBdr>
    </w:div>
    <w:div w:id="539126779">
      <w:bodyDiv w:val="1"/>
      <w:marLeft w:val="0"/>
      <w:marRight w:val="0"/>
      <w:marTop w:val="0"/>
      <w:marBottom w:val="0"/>
      <w:divBdr>
        <w:top w:val="none" w:sz="0" w:space="0" w:color="auto"/>
        <w:left w:val="none" w:sz="0" w:space="0" w:color="auto"/>
        <w:bottom w:val="none" w:sz="0" w:space="0" w:color="auto"/>
        <w:right w:val="none" w:sz="0" w:space="0" w:color="auto"/>
      </w:divBdr>
    </w:div>
    <w:div w:id="539905256">
      <w:bodyDiv w:val="1"/>
      <w:marLeft w:val="0"/>
      <w:marRight w:val="0"/>
      <w:marTop w:val="0"/>
      <w:marBottom w:val="0"/>
      <w:divBdr>
        <w:top w:val="none" w:sz="0" w:space="0" w:color="auto"/>
        <w:left w:val="none" w:sz="0" w:space="0" w:color="auto"/>
        <w:bottom w:val="none" w:sz="0" w:space="0" w:color="auto"/>
        <w:right w:val="none" w:sz="0" w:space="0" w:color="auto"/>
      </w:divBdr>
    </w:div>
    <w:div w:id="540017347">
      <w:bodyDiv w:val="1"/>
      <w:marLeft w:val="0"/>
      <w:marRight w:val="0"/>
      <w:marTop w:val="0"/>
      <w:marBottom w:val="0"/>
      <w:divBdr>
        <w:top w:val="none" w:sz="0" w:space="0" w:color="auto"/>
        <w:left w:val="none" w:sz="0" w:space="0" w:color="auto"/>
        <w:bottom w:val="none" w:sz="0" w:space="0" w:color="auto"/>
        <w:right w:val="none" w:sz="0" w:space="0" w:color="auto"/>
      </w:divBdr>
    </w:div>
    <w:div w:id="540047484">
      <w:bodyDiv w:val="1"/>
      <w:marLeft w:val="0"/>
      <w:marRight w:val="0"/>
      <w:marTop w:val="0"/>
      <w:marBottom w:val="0"/>
      <w:divBdr>
        <w:top w:val="none" w:sz="0" w:space="0" w:color="auto"/>
        <w:left w:val="none" w:sz="0" w:space="0" w:color="auto"/>
        <w:bottom w:val="none" w:sz="0" w:space="0" w:color="auto"/>
        <w:right w:val="none" w:sz="0" w:space="0" w:color="auto"/>
      </w:divBdr>
    </w:div>
    <w:div w:id="540436309">
      <w:bodyDiv w:val="1"/>
      <w:marLeft w:val="0"/>
      <w:marRight w:val="0"/>
      <w:marTop w:val="0"/>
      <w:marBottom w:val="0"/>
      <w:divBdr>
        <w:top w:val="none" w:sz="0" w:space="0" w:color="auto"/>
        <w:left w:val="none" w:sz="0" w:space="0" w:color="auto"/>
        <w:bottom w:val="none" w:sz="0" w:space="0" w:color="auto"/>
        <w:right w:val="none" w:sz="0" w:space="0" w:color="auto"/>
      </w:divBdr>
    </w:div>
    <w:div w:id="540438564">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091318">
      <w:bodyDiv w:val="1"/>
      <w:marLeft w:val="0"/>
      <w:marRight w:val="0"/>
      <w:marTop w:val="0"/>
      <w:marBottom w:val="0"/>
      <w:divBdr>
        <w:top w:val="none" w:sz="0" w:space="0" w:color="auto"/>
        <w:left w:val="none" w:sz="0" w:space="0" w:color="auto"/>
        <w:bottom w:val="none" w:sz="0" w:space="0" w:color="auto"/>
        <w:right w:val="none" w:sz="0" w:space="0" w:color="auto"/>
      </w:divBdr>
    </w:div>
    <w:div w:id="541479652">
      <w:bodyDiv w:val="1"/>
      <w:marLeft w:val="0"/>
      <w:marRight w:val="0"/>
      <w:marTop w:val="0"/>
      <w:marBottom w:val="0"/>
      <w:divBdr>
        <w:top w:val="none" w:sz="0" w:space="0" w:color="auto"/>
        <w:left w:val="none" w:sz="0" w:space="0" w:color="auto"/>
        <w:bottom w:val="none" w:sz="0" w:space="0" w:color="auto"/>
        <w:right w:val="none" w:sz="0" w:space="0" w:color="auto"/>
      </w:divBdr>
    </w:div>
    <w:div w:id="541750653">
      <w:bodyDiv w:val="1"/>
      <w:marLeft w:val="0"/>
      <w:marRight w:val="0"/>
      <w:marTop w:val="0"/>
      <w:marBottom w:val="0"/>
      <w:divBdr>
        <w:top w:val="none" w:sz="0" w:space="0" w:color="auto"/>
        <w:left w:val="none" w:sz="0" w:space="0" w:color="auto"/>
        <w:bottom w:val="none" w:sz="0" w:space="0" w:color="auto"/>
        <w:right w:val="none" w:sz="0" w:space="0" w:color="auto"/>
      </w:divBdr>
    </w:div>
    <w:div w:id="54186369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713237">
      <w:bodyDiv w:val="1"/>
      <w:marLeft w:val="0"/>
      <w:marRight w:val="0"/>
      <w:marTop w:val="0"/>
      <w:marBottom w:val="0"/>
      <w:divBdr>
        <w:top w:val="none" w:sz="0" w:space="0" w:color="auto"/>
        <w:left w:val="none" w:sz="0" w:space="0" w:color="auto"/>
        <w:bottom w:val="none" w:sz="0" w:space="0" w:color="auto"/>
        <w:right w:val="none" w:sz="0" w:space="0" w:color="auto"/>
      </w:divBdr>
    </w:div>
    <w:div w:id="543715401">
      <w:bodyDiv w:val="1"/>
      <w:marLeft w:val="0"/>
      <w:marRight w:val="0"/>
      <w:marTop w:val="0"/>
      <w:marBottom w:val="0"/>
      <w:divBdr>
        <w:top w:val="none" w:sz="0" w:space="0" w:color="auto"/>
        <w:left w:val="none" w:sz="0" w:space="0" w:color="auto"/>
        <w:bottom w:val="none" w:sz="0" w:space="0" w:color="auto"/>
        <w:right w:val="none" w:sz="0" w:space="0" w:color="auto"/>
      </w:divBdr>
    </w:div>
    <w:div w:id="544103905">
      <w:bodyDiv w:val="1"/>
      <w:marLeft w:val="0"/>
      <w:marRight w:val="0"/>
      <w:marTop w:val="0"/>
      <w:marBottom w:val="0"/>
      <w:divBdr>
        <w:top w:val="none" w:sz="0" w:space="0" w:color="auto"/>
        <w:left w:val="none" w:sz="0" w:space="0" w:color="auto"/>
        <w:bottom w:val="none" w:sz="0" w:space="0" w:color="auto"/>
        <w:right w:val="none" w:sz="0" w:space="0" w:color="auto"/>
      </w:divBdr>
    </w:div>
    <w:div w:id="544560409">
      <w:bodyDiv w:val="1"/>
      <w:marLeft w:val="0"/>
      <w:marRight w:val="0"/>
      <w:marTop w:val="0"/>
      <w:marBottom w:val="0"/>
      <w:divBdr>
        <w:top w:val="none" w:sz="0" w:space="0" w:color="auto"/>
        <w:left w:val="none" w:sz="0" w:space="0" w:color="auto"/>
        <w:bottom w:val="none" w:sz="0" w:space="0" w:color="auto"/>
        <w:right w:val="none" w:sz="0" w:space="0" w:color="auto"/>
      </w:divBdr>
    </w:div>
    <w:div w:id="544683319">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5485369">
      <w:bodyDiv w:val="1"/>
      <w:marLeft w:val="0"/>
      <w:marRight w:val="0"/>
      <w:marTop w:val="0"/>
      <w:marBottom w:val="0"/>
      <w:divBdr>
        <w:top w:val="none" w:sz="0" w:space="0" w:color="auto"/>
        <w:left w:val="none" w:sz="0" w:space="0" w:color="auto"/>
        <w:bottom w:val="none" w:sz="0" w:space="0" w:color="auto"/>
        <w:right w:val="none" w:sz="0" w:space="0" w:color="auto"/>
      </w:divBdr>
    </w:div>
    <w:div w:id="545720638">
      <w:bodyDiv w:val="1"/>
      <w:marLeft w:val="0"/>
      <w:marRight w:val="0"/>
      <w:marTop w:val="0"/>
      <w:marBottom w:val="0"/>
      <w:divBdr>
        <w:top w:val="none" w:sz="0" w:space="0" w:color="auto"/>
        <w:left w:val="none" w:sz="0" w:space="0" w:color="auto"/>
        <w:bottom w:val="none" w:sz="0" w:space="0" w:color="auto"/>
        <w:right w:val="none" w:sz="0" w:space="0" w:color="auto"/>
      </w:divBdr>
    </w:div>
    <w:div w:id="545794523">
      <w:bodyDiv w:val="1"/>
      <w:marLeft w:val="0"/>
      <w:marRight w:val="0"/>
      <w:marTop w:val="0"/>
      <w:marBottom w:val="0"/>
      <w:divBdr>
        <w:top w:val="none" w:sz="0" w:space="0" w:color="auto"/>
        <w:left w:val="none" w:sz="0" w:space="0" w:color="auto"/>
        <w:bottom w:val="none" w:sz="0" w:space="0" w:color="auto"/>
        <w:right w:val="none" w:sz="0" w:space="0" w:color="auto"/>
      </w:divBdr>
    </w:div>
    <w:div w:id="54657434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033438">
      <w:bodyDiv w:val="1"/>
      <w:marLeft w:val="0"/>
      <w:marRight w:val="0"/>
      <w:marTop w:val="0"/>
      <w:marBottom w:val="0"/>
      <w:divBdr>
        <w:top w:val="none" w:sz="0" w:space="0" w:color="auto"/>
        <w:left w:val="none" w:sz="0" w:space="0" w:color="auto"/>
        <w:bottom w:val="none" w:sz="0" w:space="0" w:color="auto"/>
        <w:right w:val="none" w:sz="0" w:space="0" w:color="auto"/>
      </w:divBdr>
    </w:div>
    <w:div w:id="548803509">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610750">
      <w:bodyDiv w:val="1"/>
      <w:marLeft w:val="0"/>
      <w:marRight w:val="0"/>
      <w:marTop w:val="0"/>
      <w:marBottom w:val="0"/>
      <w:divBdr>
        <w:top w:val="none" w:sz="0" w:space="0" w:color="auto"/>
        <w:left w:val="none" w:sz="0" w:space="0" w:color="auto"/>
        <w:bottom w:val="none" w:sz="0" w:space="0" w:color="auto"/>
        <w:right w:val="none" w:sz="0" w:space="0" w:color="auto"/>
      </w:divBdr>
    </w:div>
    <w:div w:id="549806946">
      <w:bodyDiv w:val="1"/>
      <w:marLeft w:val="0"/>
      <w:marRight w:val="0"/>
      <w:marTop w:val="0"/>
      <w:marBottom w:val="0"/>
      <w:divBdr>
        <w:top w:val="none" w:sz="0" w:space="0" w:color="auto"/>
        <w:left w:val="none" w:sz="0" w:space="0" w:color="auto"/>
        <w:bottom w:val="none" w:sz="0" w:space="0" w:color="auto"/>
        <w:right w:val="none" w:sz="0" w:space="0" w:color="auto"/>
      </w:divBdr>
    </w:div>
    <w:div w:id="550044074">
      <w:bodyDiv w:val="1"/>
      <w:marLeft w:val="0"/>
      <w:marRight w:val="0"/>
      <w:marTop w:val="0"/>
      <w:marBottom w:val="0"/>
      <w:divBdr>
        <w:top w:val="none" w:sz="0" w:space="0" w:color="auto"/>
        <w:left w:val="none" w:sz="0" w:space="0" w:color="auto"/>
        <w:bottom w:val="none" w:sz="0" w:space="0" w:color="auto"/>
        <w:right w:val="none" w:sz="0" w:space="0" w:color="auto"/>
      </w:divBdr>
    </w:div>
    <w:div w:id="550388127">
      <w:bodyDiv w:val="1"/>
      <w:marLeft w:val="0"/>
      <w:marRight w:val="0"/>
      <w:marTop w:val="0"/>
      <w:marBottom w:val="0"/>
      <w:divBdr>
        <w:top w:val="none" w:sz="0" w:space="0" w:color="auto"/>
        <w:left w:val="none" w:sz="0" w:space="0" w:color="auto"/>
        <w:bottom w:val="none" w:sz="0" w:space="0" w:color="auto"/>
        <w:right w:val="none" w:sz="0" w:space="0" w:color="auto"/>
      </w:divBdr>
    </w:div>
    <w:div w:id="550465270">
      <w:bodyDiv w:val="1"/>
      <w:marLeft w:val="0"/>
      <w:marRight w:val="0"/>
      <w:marTop w:val="0"/>
      <w:marBottom w:val="0"/>
      <w:divBdr>
        <w:top w:val="none" w:sz="0" w:space="0" w:color="auto"/>
        <w:left w:val="none" w:sz="0" w:space="0" w:color="auto"/>
        <w:bottom w:val="none" w:sz="0" w:space="0" w:color="auto"/>
        <w:right w:val="none" w:sz="0" w:space="0" w:color="auto"/>
      </w:divBdr>
    </w:div>
    <w:div w:id="550505707">
      <w:bodyDiv w:val="1"/>
      <w:marLeft w:val="0"/>
      <w:marRight w:val="0"/>
      <w:marTop w:val="0"/>
      <w:marBottom w:val="0"/>
      <w:divBdr>
        <w:top w:val="none" w:sz="0" w:space="0" w:color="auto"/>
        <w:left w:val="none" w:sz="0" w:space="0" w:color="auto"/>
        <w:bottom w:val="none" w:sz="0" w:space="0" w:color="auto"/>
        <w:right w:val="none" w:sz="0" w:space="0" w:color="auto"/>
      </w:divBdr>
    </w:div>
    <w:div w:id="552346732">
      <w:bodyDiv w:val="1"/>
      <w:marLeft w:val="0"/>
      <w:marRight w:val="0"/>
      <w:marTop w:val="0"/>
      <w:marBottom w:val="0"/>
      <w:divBdr>
        <w:top w:val="none" w:sz="0" w:space="0" w:color="auto"/>
        <w:left w:val="none" w:sz="0" w:space="0" w:color="auto"/>
        <w:bottom w:val="none" w:sz="0" w:space="0" w:color="auto"/>
        <w:right w:val="none" w:sz="0" w:space="0" w:color="auto"/>
      </w:divBdr>
    </w:div>
    <w:div w:id="552354591">
      <w:bodyDiv w:val="1"/>
      <w:marLeft w:val="0"/>
      <w:marRight w:val="0"/>
      <w:marTop w:val="0"/>
      <w:marBottom w:val="0"/>
      <w:divBdr>
        <w:top w:val="none" w:sz="0" w:space="0" w:color="auto"/>
        <w:left w:val="none" w:sz="0" w:space="0" w:color="auto"/>
        <w:bottom w:val="none" w:sz="0" w:space="0" w:color="auto"/>
        <w:right w:val="none" w:sz="0" w:space="0" w:color="auto"/>
      </w:divBdr>
    </w:div>
    <w:div w:id="5524976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2436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4317712">
      <w:bodyDiv w:val="1"/>
      <w:marLeft w:val="0"/>
      <w:marRight w:val="0"/>
      <w:marTop w:val="0"/>
      <w:marBottom w:val="0"/>
      <w:divBdr>
        <w:top w:val="none" w:sz="0" w:space="0" w:color="auto"/>
        <w:left w:val="none" w:sz="0" w:space="0" w:color="auto"/>
        <w:bottom w:val="none" w:sz="0" w:space="0" w:color="auto"/>
        <w:right w:val="none" w:sz="0" w:space="0" w:color="auto"/>
      </w:divBdr>
    </w:div>
    <w:div w:id="554899775">
      <w:bodyDiv w:val="1"/>
      <w:marLeft w:val="0"/>
      <w:marRight w:val="0"/>
      <w:marTop w:val="0"/>
      <w:marBottom w:val="0"/>
      <w:divBdr>
        <w:top w:val="none" w:sz="0" w:space="0" w:color="auto"/>
        <w:left w:val="none" w:sz="0" w:space="0" w:color="auto"/>
        <w:bottom w:val="none" w:sz="0" w:space="0" w:color="auto"/>
        <w:right w:val="none" w:sz="0" w:space="0" w:color="auto"/>
      </w:divBdr>
    </w:div>
    <w:div w:id="554974657">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5899231">
      <w:bodyDiv w:val="1"/>
      <w:marLeft w:val="0"/>
      <w:marRight w:val="0"/>
      <w:marTop w:val="0"/>
      <w:marBottom w:val="0"/>
      <w:divBdr>
        <w:top w:val="none" w:sz="0" w:space="0" w:color="auto"/>
        <w:left w:val="none" w:sz="0" w:space="0" w:color="auto"/>
        <w:bottom w:val="none" w:sz="0" w:space="0" w:color="auto"/>
        <w:right w:val="none" w:sz="0" w:space="0" w:color="auto"/>
      </w:divBdr>
    </w:div>
    <w:div w:id="557324335">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055133">
      <w:bodyDiv w:val="1"/>
      <w:marLeft w:val="0"/>
      <w:marRight w:val="0"/>
      <w:marTop w:val="0"/>
      <w:marBottom w:val="0"/>
      <w:divBdr>
        <w:top w:val="none" w:sz="0" w:space="0" w:color="auto"/>
        <w:left w:val="none" w:sz="0" w:space="0" w:color="auto"/>
        <w:bottom w:val="none" w:sz="0" w:space="0" w:color="auto"/>
        <w:right w:val="none" w:sz="0" w:space="0" w:color="auto"/>
      </w:divBdr>
    </w:div>
    <w:div w:id="559481456">
      <w:bodyDiv w:val="1"/>
      <w:marLeft w:val="0"/>
      <w:marRight w:val="0"/>
      <w:marTop w:val="0"/>
      <w:marBottom w:val="0"/>
      <w:divBdr>
        <w:top w:val="none" w:sz="0" w:space="0" w:color="auto"/>
        <w:left w:val="none" w:sz="0" w:space="0" w:color="auto"/>
        <w:bottom w:val="none" w:sz="0" w:space="0" w:color="auto"/>
        <w:right w:val="none" w:sz="0" w:space="0" w:color="auto"/>
      </w:divBdr>
    </w:div>
    <w:div w:id="55948712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0947763">
      <w:bodyDiv w:val="1"/>
      <w:marLeft w:val="0"/>
      <w:marRight w:val="0"/>
      <w:marTop w:val="0"/>
      <w:marBottom w:val="0"/>
      <w:divBdr>
        <w:top w:val="none" w:sz="0" w:space="0" w:color="auto"/>
        <w:left w:val="none" w:sz="0" w:space="0" w:color="auto"/>
        <w:bottom w:val="none" w:sz="0" w:space="0" w:color="auto"/>
        <w:right w:val="none" w:sz="0" w:space="0" w:color="auto"/>
      </w:divBdr>
    </w:div>
    <w:div w:id="562064128">
      <w:bodyDiv w:val="1"/>
      <w:marLeft w:val="0"/>
      <w:marRight w:val="0"/>
      <w:marTop w:val="0"/>
      <w:marBottom w:val="0"/>
      <w:divBdr>
        <w:top w:val="none" w:sz="0" w:space="0" w:color="auto"/>
        <w:left w:val="none" w:sz="0" w:space="0" w:color="auto"/>
        <w:bottom w:val="none" w:sz="0" w:space="0" w:color="auto"/>
        <w:right w:val="none" w:sz="0" w:space="0" w:color="auto"/>
      </w:divBdr>
    </w:div>
    <w:div w:id="562109530">
      <w:bodyDiv w:val="1"/>
      <w:marLeft w:val="0"/>
      <w:marRight w:val="0"/>
      <w:marTop w:val="0"/>
      <w:marBottom w:val="0"/>
      <w:divBdr>
        <w:top w:val="none" w:sz="0" w:space="0" w:color="auto"/>
        <w:left w:val="none" w:sz="0" w:space="0" w:color="auto"/>
        <w:bottom w:val="none" w:sz="0" w:space="0" w:color="auto"/>
        <w:right w:val="none" w:sz="0" w:space="0" w:color="auto"/>
      </w:divBdr>
    </w:div>
    <w:div w:id="562522057">
      <w:bodyDiv w:val="1"/>
      <w:marLeft w:val="0"/>
      <w:marRight w:val="0"/>
      <w:marTop w:val="0"/>
      <w:marBottom w:val="0"/>
      <w:divBdr>
        <w:top w:val="none" w:sz="0" w:space="0" w:color="auto"/>
        <w:left w:val="none" w:sz="0" w:space="0" w:color="auto"/>
        <w:bottom w:val="none" w:sz="0" w:space="0" w:color="auto"/>
        <w:right w:val="none" w:sz="0" w:space="0" w:color="auto"/>
      </w:divBdr>
    </w:div>
    <w:div w:id="563220885">
      <w:bodyDiv w:val="1"/>
      <w:marLeft w:val="0"/>
      <w:marRight w:val="0"/>
      <w:marTop w:val="0"/>
      <w:marBottom w:val="0"/>
      <w:divBdr>
        <w:top w:val="none" w:sz="0" w:space="0" w:color="auto"/>
        <w:left w:val="none" w:sz="0" w:space="0" w:color="auto"/>
        <w:bottom w:val="none" w:sz="0" w:space="0" w:color="auto"/>
        <w:right w:val="none" w:sz="0" w:space="0" w:color="auto"/>
      </w:divBdr>
    </w:div>
    <w:div w:id="563951060">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4948637">
      <w:bodyDiv w:val="1"/>
      <w:marLeft w:val="0"/>
      <w:marRight w:val="0"/>
      <w:marTop w:val="0"/>
      <w:marBottom w:val="0"/>
      <w:divBdr>
        <w:top w:val="none" w:sz="0" w:space="0" w:color="auto"/>
        <w:left w:val="none" w:sz="0" w:space="0" w:color="auto"/>
        <w:bottom w:val="none" w:sz="0" w:space="0" w:color="auto"/>
        <w:right w:val="none" w:sz="0" w:space="0" w:color="auto"/>
      </w:divBdr>
    </w:div>
    <w:div w:id="565380627">
      <w:bodyDiv w:val="1"/>
      <w:marLeft w:val="0"/>
      <w:marRight w:val="0"/>
      <w:marTop w:val="0"/>
      <w:marBottom w:val="0"/>
      <w:divBdr>
        <w:top w:val="none" w:sz="0" w:space="0" w:color="auto"/>
        <w:left w:val="none" w:sz="0" w:space="0" w:color="auto"/>
        <w:bottom w:val="none" w:sz="0" w:space="0" w:color="auto"/>
        <w:right w:val="none" w:sz="0" w:space="0" w:color="auto"/>
      </w:divBdr>
    </w:div>
    <w:div w:id="567151846">
      <w:bodyDiv w:val="1"/>
      <w:marLeft w:val="0"/>
      <w:marRight w:val="0"/>
      <w:marTop w:val="0"/>
      <w:marBottom w:val="0"/>
      <w:divBdr>
        <w:top w:val="none" w:sz="0" w:space="0" w:color="auto"/>
        <w:left w:val="none" w:sz="0" w:space="0" w:color="auto"/>
        <w:bottom w:val="none" w:sz="0" w:space="0" w:color="auto"/>
        <w:right w:val="none" w:sz="0" w:space="0" w:color="auto"/>
      </w:divBdr>
    </w:div>
    <w:div w:id="567498902">
      <w:bodyDiv w:val="1"/>
      <w:marLeft w:val="0"/>
      <w:marRight w:val="0"/>
      <w:marTop w:val="0"/>
      <w:marBottom w:val="0"/>
      <w:divBdr>
        <w:top w:val="none" w:sz="0" w:space="0" w:color="auto"/>
        <w:left w:val="none" w:sz="0" w:space="0" w:color="auto"/>
        <w:bottom w:val="none" w:sz="0" w:space="0" w:color="auto"/>
        <w:right w:val="none" w:sz="0" w:space="0" w:color="auto"/>
      </w:divBdr>
    </w:div>
    <w:div w:id="567572473">
      <w:bodyDiv w:val="1"/>
      <w:marLeft w:val="0"/>
      <w:marRight w:val="0"/>
      <w:marTop w:val="0"/>
      <w:marBottom w:val="0"/>
      <w:divBdr>
        <w:top w:val="none" w:sz="0" w:space="0" w:color="auto"/>
        <w:left w:val="none" w:sz="0" w:space="0" w:color="auto"/>
        <w:bottom w:val="none" w:sz="0" w:space="0" w:color="auto"/>
        <w:right w:val="none" w:sz="0" w:space="0" w:color="auto"/>
      </w:divBdr>
    </w:div>
    <w:div w:id="567691990">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8928615">
      <w:bodyDiv w:val="1"/>
      <w:marLeft w:val="0"/>
      <w:marRight w:val="0"/>
      <w:marTop w:val="0"/>
      <w:marBottom w:val="0"/>
      <w:divBdr>
        <w:top w:val="none" w:sz="0" w:space="0" w:color="auto"/>
        <w:left w:val="none" w:sz="0" w:space="0" w:color="auto"/>
        <w:bottom w:val="none" w:sz="0" w:space="0" w:color="auto"/>
        <w:right w:val="none" w:sz="0" w:space="0" w:color="auto"/>
      </w:divBdr>
    </w:div>
    <w:div w:id="569968199">
      <w:bodyDiv w:val="1"/>
      <w:marLeft w:val="0"/>
      <w:marRight w:val="0"/>
      <w:marTop w:val="0"/>
      <w:marBottom w:val="0"/>
      <w:divBdr>
        <w:top w:val="none" w:sz="0" w:space="0" w:color="auto"/>
        <w:left w:val="none" w:sz="0" w:space="0" w:color="auto"/>
        <w:bottom w:val="none" w:sz="0" w:space="0" w:color="auto"/>
        <w:right w:val="none" w:sz="0" w:space="0" w:color="auto"/>
      </w:divBdr>
    </w:div>
    <w:div w:id="571157887">
      <w:bodyDiv w:val="1"/>
      <w:marLeft w:val="0"/>
      <w:marRight w:val="0"/>
      <w:marTop w:val="0"/>
      <w:marBottom w:val="0"/>
      <w:divBdr>
        <w:top w:val="none" w:sz="0" w:space="0" w:color="auto"/>
        <w:left w:val="none" w:sz="0" w:space="0" w:color="auto"/>
        <w:bottom w:val="none" w:sz="0" w:space="0" w:color="auto"/>
        <w:right w:val="none" w:sz="0" w:space="0" w:color="auto"/>
      </w:divBdr>
    </w:div>
    <w:div w:id="573397821">
      <w:bodyDiv w:val="1"/>
      <w:marLeft w:val="0"/>
      <w:marRight w:val="0"/>
      <w:marTop w:val="0"/>
      <w:marBottom w:val="0"/>
      <w:divBdr>
        <w:top w:val="none" w:sz="0" w:space="0" w:color="auto"/>
        <w:left w:val="none" w:sz="0" w:space="0" w:color="auto"/>
        <w:bottom w:val="none" w:sz="0" w:space="0" w:color="auto"/>
        <w:right w:val="none" w:sz="0" w:space="0" w:color="auto"/>
      </w:divBdr>
    </w:div>
    <w:div w:id="573515741">
      <w:bodyDiv w:val="1"/>
      <w:marLeft w:val="0"/>
      <w:marRight w:val="0"/>
      <w:marTop w:val="0"/>
      <w:marBottom w:val="0"/>
      <w:divBdr>
        <w:top w:val="none" w:sz="0" w:space="0" w:color="auto"/>
        <w:left w:val="none" w:sz="0" w:space="0" w:color="auto"/>
        <w:bottom w:val="none" w:sz="0" w:space="0" w:color="auto"/>
        <w:right w:val="none" w:sz="0" w:space="0" w:color="auto"/>
      </w:divBdr>
    </w:div>
    <w:div w:id="573592380">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5866634">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6134026">
      <w:bodyDiv w:val="1"/>
      <w:marLeft w:val="0"/>
      <w:marRight w:val="0"/>
      <w:marTop w:val="0"/>
      <w:marBottom w:val="0"/>
      <w:divBdr>
        <w:top w:val="none" w:sz="0" w:space="0" w:color="auto"/>
        <w:left w:val="none" w:sz="0" w:space="0" w:color="auto"/>
        <w:bottom w:val="none" w:sz="0" w:space="0" w:color="auto"/>
        <w:right w:val="none" w:sz="0" w:space="0" w:color="auto"/>
      </w:divBdr>
    </w:div>
    <w:div w:id="577709701">
      <w:bodyDiv w:val="1"/>
      <w:marLeft w:val="0"/>
      <w:marRight w:val="0"/>
      <w:marTop w:val="0"/>
      <w:marBottom w:val="0"/>
      <w:divBdr>
        <w:top w:val="none" w:sz="0" w:space="0" w:color="auto"/>
        <w:left w:val="none" w:sz="0" w:space="0" w:color="auto"/>
        <w:bottom w:val="none" w:sz="0" w:space="0" w:color="auto"/>
        <w:right w:val="none" w:sz="0" w:space="0" w:color="auto"/>
      </w:divBdr>
    </w:div>
    <w:div w:id="578095197">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79484122">
      <w:bodyDiv w:val="1"/>
      <w:marLeft w:val="0"/>
      <w:marRight w:val="0"/>
      <w:marTop w:val="0"/>
      <w:marBottom w:val="0"/>
      <w:divBdr>
        <w:top w:val="none" w:sz="0" w:space="0" w:color="auto"/>
        <w:left w:val="none" w:sz="0" w:space="0" w:color="auto"/>
        <w:bottom w:val="none" w:sz="0" w:space="0" w:color="auto"/>
        <w:right w:val="none" w:sz="0" w:space="0" w:color="auto"/>
      </w:divBdr>
    </w:div>
    <w:div w:id="579560789">
      <w:bodyDiv w:val="1"/>
      <w:marLeft w:val="0"/>
      <w:marRight w:val="0"/>
      <w:marTop w:val="0"/>
      <w:marBottom w:val="0"/>
      <w:divBdr>
        <w:top w:val="none" w:sz="0" w:space="0" w:color="auto"/>
        <w:left w:val="none" w:sz="0" w:space="0" w:color="auto"/>
        <w:bottom w:val="none" w:sz="0" w:space="0" w:color="auto"/>
        <w:right w:val="none" w:sz="0" w:space="0" w:color="auto"/>
      </w:divBdr>
    </w:div>
    <w:div w:id="579753412">
      <w:bodyDiv w:val="1"/>
      <w:marLeft w:val="0"/>
      <w:marRight w:val="0"/>
      <w:marTop w:val="0"/>
      <w:marBottom w:val="0"/>
      <w:divBdr>
        <w:top w:val="none" w:sz="0" w:space="0" w:color="auto"/>
        <w:left w:val="none" w:sz="0" w:space="0" w:color="auto"/>
        <w:bottom w:val="none" w:sz="0" w:space="0" w:color="auto"/>
        <w:right w:val="none" w:sz="0" w:space="0" w:color="auto"/>
      </w:divBdr>
    </w:div>
    <w:div w:id="580456579">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1909101">
      <w:bodyDiv w:val="1"/>
      <w:marLeft w:val="0"/>
      <w:marRight w:val="0"/>
      <w:marTop w:val="0"/>
      <w:marBottom w:val="0"/>
      <w:divBdr>
        <w:top w:val="none" w:sz="0" w:space="0" w:color="auto"/>
        <w:left w:val="none" w:sz="0" w:space="0" w:color="auto"/>
        <w:bottom w:val="none" w:sz="0" w:space="0" w:color="auto"/>
        <w:right w:val="none" w:sz="0" w:space="0" w:color="auto"/>
      </w:divBdr>
    </w:div>
    <w:div w:id="582568400">
      <w:bodyDiv w:val="1"/>
      <w:marLeft w:val="0"/>
      <w:marRight w:val="0"/>
      <w:marTop w:val="0"/>
      <w:marBottom w:val="0"/>
      <w:divBdr>
        <w:top w:val="none" w:sz="0" w:space="0" w:color="auto"/>
        <w:left w:val="none" w:sz="0" w:space="0" w:color="auto"/>
        <w:bottom w:val="none" w:sz="0" w:space="0" w:color="auto"/>
        <w:right w:val="none" w:sz="0" w:space="0" w:color="auto"/>
      </w:divBdr>
    </w:div>
    <w:div w:id="582757403">
      <w:bodyDiv w:val="1"/>
      <w:marLeft w:val="0"/>
      <w:marRight w:val="0"/>
      <w:marTop w:val="0"/>
      <w:marBottom w:val="0"/>
      <w:divBdr>
        <w:top w:val="none" w:sz="0" w:space="0" w:color="auto"/>
        <w:left w:val="none" w:sz="0" w:space="0" w:color="auto"/>
        <w:bottom w:val="none" w:sz="0" w:space="0" w:color="auto"/>
        <w:right w:val="none" w:sz="0" w:space="0" w:color="auto"/>
      </w:divBdr>
    </w:div>
    <w:div w:id="58288354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4268576">
      <w:bodyDiv w:val="1"/>
      <w:marLeft w:val="0"/>
      <w:marRight w:val="0"/>
      <w:marTop w:val="0"/>
      <w:marBottom w:val="0"/>
      <w:divBdr>
        <w:top w:val="none" w:sz="0" w:space="0" w:color="auto"/>
        <w:left w:val="none" w:sz="0" w:space="0" w:color="auto"/>
        <w:bottom w:val="none" w:sz="0" w:space="0" w:color="auto"/>
        <w:right w:val="none" w:sz="0" w:space="0" w:color="auto"/>
      </w:divBdr>
    </w:div>
    <w:div w:id="584531681">
      <w:bodyDiv w:val="1"/>
      <w:marLeft w:val="0"/>
      <w:marRight w:val="0"/>
      <w:marTop w:val="0"/>
      <w:marBottom w:val="0"/>
      <w:divBdr>
        <w:top w:val="none" w:sz="0" w:space="0" w:color="auto"/>
        <w:left w:val="none" w:sz="0" w:space="0" w:color="auto"/>
        <w:bottom w:val="none" w:sz="0" w:space="0" w:color="auto"/>
        <w:right w:val="none" w:sz="0" w:space="0" w:color="auto"/>
      </w:divBdr>
    </w:div>
    <w:div w:id="585188583">
      <w:bodyDiv w:val="1"/>
      <w:marLeft w:val="0"/>
      <w:marRight w:val="0"/>
      <w:marTop w:val="0"/>
      <w:marBottom w:val="0"/>
      <w:divBdr>
        <w:top w:val="none" w:sz="0" w:space="0" w:color="auto"/>
        <w:left w:val="none" w:sz="0" w:space="0" w:color="auto"/>
        <w:bottom w:val="none" w:sz="0" w:space="0" w:color="auto"/>
        <w:right w:val="none" w:sz="0" w:space="0" w:color="auto"/>
      </w:divBdr>
    </w:div>
    <w:div w:id="58546248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86111650">
      <w:bodyDiv w:val="1"/>
      <w:marLeft w:val="0"/>
      <w:marRight w:val="0"/>
      <w:marTop w:val="0"/>
      <w:marBottom w:val="0"/>
      <w:divBdr>
        <w:top w:val="none" w:sz="0" w:space="0" w:color="auto"/>
        <w:left w:val="none" w:sz="0" w:space="0" w:color="auto"/>
        <w:bottom w:val="none" w:sz="0" w:space="0" w:color="auto"/>
        <w:right w:val="none" w:sz="0" w:space="0" w:color="auto"/>
      </w:divBdr>
    </w:div>
    <w:div w:id="586113135">
      <w:bodyDiv w:val="1"/>
      <w:marLeft w:val="0"/>
      <w:marRight w:val="0"/>
      <w:marTop w:val="0"/>
      <w:marBottom w:val="0"/>
      <w:divBdr>
        <w:top w:val="none" w:sz="0" w:space="0" w:color="auto"/>
        <w:left w:val="none" w:sz="0" w:space="0" w:color="auto"/>
        <w:bottom w:val="none" w:sz="0" w:space="0" w:color="auto"/>
        <w:right w:val="none" w:sz="0" w:space="0" w:color="auto"/>
      </w:divBdr>
    </w:div>
    <w:div w:id="586505367">
      <w:bodyDiv w:val="1"/>
      <w:marLeft w:val="0"/>
      <w:marRight w:val="0"/>
      <w:marTop w:val="0"/>
      <w:marBottom w:val="0"/>
      <w:divBdr>
        <w:top w:val="none" w:sz="0" w:space="0" w:color="auto"/>
        <w:left w:val="none" w:sz="0" w:space="0" w:color="auto"/>
        <w:bottom w:val="none" w:sz="0" w:space="0" w:color="auto"/>
        <w:right w:val="none" w:sz="0" w:space="0" w:color="auto"/>
      </w:divBdr>
    </w:div>
    <w:div w:id="586621132">
      <w:bodyDiv w:val="1"/>
      <w:marLeft w:val="0"/>
      <w:marRight w:val="0"/>
      <w:marTop w:val="0"/>
      <w:marBottom w:val="0"/>
      <w:divBdr>
        <w:top w:val="none" w:sz="0" w:space="0" w:color="auto"/>
        <w:left w:val="none" w:sz="0" w:space="0" w:color="auto"/>
        <w:bottom w:val="none" w:sz="0" w:space="0" w:color="auto"/>
        <w:right w:val="none" w:sz="0" w:space="0" w:color="auto"/>
      </w:divBdr>
    </w:div>
    <w:div w:id="588277251">
      <w:bodyDiv w:val="1"/>
      <w:marLeft w:val="0"/>
      <w:marRight w:val="0"/>
      <w:marTop w:val="0"/>
      <w:marBottom w:val="0"/>
      <w:divBdr>
        <w:top w:val="none" w:sz="0" w:space="0" w:color="auto"/>
        <w:left w:val="none" w:sz="0" w:space="0" w:color="auto"/>
        <w:bottom w:val="none" w:sz="0" w:space="0" w:color="auto"/>
        <w:right w:val="none" w:sz="0" w:space="0" w:color="auto"/>
      </w:divBdr>
    </w:div>
    <w:div w:id="588319937">
      <w:bodyDiv w:val="1"/>
      <w:marLeft w:val="0"/>
      <w:marRight w:val="0"/>
      <w:marTop w:val="0"/>
      <w:marBottom w:val="0"/>
      <w:divBdr>
        <w:top w:val="none" w:sz="0" w:space="0" w:color="auto"/>
        <w:left w:val="none" w:sz="0" w:space="0" w:color="auto"/>
        <w:bottom w:val="none" w:sz="0" w:space="0" w:color="auto"/>
        <w:right w:val="none" w:sz="0" w:space="0" w:color="auto"/>
      </w:divBdr>
    </w:div>
    <w:div w:id="588734660">
      <w:bodyDiv w:val="1"/>
      <w:marLeft w:val="0"/>
      <w:marRight w:val="0"/>
      <w:marTop w:val="0"/>
      <w:marBottom w:val="0"/>
      <w:divBdr>
        <w:top w:val="none" w:sz="0" w:space="0" w:color="auto"/>
        <w:left w:val="none" w:sz="0" w:space="0" w:color="auto"/>
        <w:bottom w:val="none" w:sz="0" w:space="0" w:color="auto"/>
        <w:right w:val="none" w:sz="0" w:space="0" w:color="auto"/>
      </w:divBdr>
    </w:div>
    <w:div w:id="589780529">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0160474">
      <w:bodyDiv w:val="1"/>
      <w:marLeft w:val="0"/>
      <w:marRight w:val="0"/>
      <w:marTop w:val="0"/>
      <w:marBottom w:val="0"/>
      <w:divBdr>
        <w:top w:val="none" w:sz="0" w:space="0" w:color="auto"/>
        <w:left w:val="none" w:sz="0" w:space="0" w:color="auto"/>
        <w:bottom w:val="none" w:sz="0" w:space="0" w:color="auto"/>
        <w:right w:val="none" w:sz="0" w:space="0" w:color="auto"/>
      </w:divBdr>
    </w:div>
    <w:div w:id="591209513">
      <w:bodyDiv w:val="1"/>
      <w:marLeft w:val="0"/>
      <w:marRight w:val="0"/>
      <w:marTop w:val="0"/>
      <w:marBottom w:val="0"/>
      <w:divBdr>
        <w:top w:val="none" w:sz="0" w:space="0" w:color="auto"/>
        <w:left w:val="none" w:sz="0" w:space="0" w:color="auto"/>
        <w:bottom w:val="none" w:sz="0" w:space="0" w:color="auto"/>
        <w:right w:val="none" w:sz="0" w:space="0" w:color="auto"/>
      </w:divBdr>
    </w:div>
    <w:div w:id="591663647">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015045">
      <w:bodyDiv w:val="1"/>
      <w:marLeft w:val="0"/>
      <w:marRight w:val="0"/>
      <w:marTop w:val="0"/>
      <w:marBottom w:val="0"/>
      <w:divBdr>
        <w:top w:val="none" w:sz="0" w:space="0" w:color="auto"/>
        <w:left w:val="none" w:sz="0" w:space="0" w:color="auto"/>
        <w:bottom w:val="none" w:sz="0" w:space="0" w:color="auto"/>
        <w:right w:val="none" w:sz="0" w:space="0" w:color="auto"/>
      </w:divBdr>
    </w:div>
    <w:div w:id="592520113">
      <w:bodyDiv w:val="1"/>
      <w:marLeft w:val="0"/>
      <w:marRight w:val="0"/>
      <w:marTop w:val="0"/>
      <w:marBottom w:val="0"/>
      <w:divBdr>
        <w:top w:val="none" w:sz="0" w:space="0" w:color="auto"/>
        <w:left w:val="none" w:sz="0" w:space="0" w:color="auto"/>
        <w:bottom w:val="none" w:sz="0" w:space="0" w:color="auto"/>
        <w:right w:val="none" w:sz="0" w:space="0" w:color="auto"/>
      </w:divBdr>
    </w:div>
    <w:div w:id="592859187">
      <w:bodyDiv w:val="1"/>
      <w:marLeft w:val="0"/>
      <w:marRight w:val="0"/>
      <w:marTop w:val="0"/>
      <w:marBottom w:val="0"/>
      <w:divBdr>
        <w:top w:val="none" w:sz="0" w:space="0" w:color="auto"/>
        <w:left w:val="none" w:sz="0" w:space="0" w:color="auto"/>
        <w:bottom w:val="none" w:sz="0" w:space="0" w:color="auto"/>
        <w:right w:val="none" w:sz="0" w:space="0" w:color="auto"/>
      </w:divBdr>
    </w:div>
    <w:div w:id="593780281">
      <w:bodyDiv w:val="1"/>
      <w:marLeft w:val="0"/>
      <w:marRight w:val="0"/>
      <w:marTop w:val="0"/>
      <w:marBottom w:val="0"/>
      <w:divBdr>
        <w:top w:val="none" w:sz="0" w:space="0" w:color="auto"/>
        <w:left w:val="none" w:sz="0" w:space="0" w:color="auto"/>
        <w:bottom w:val="none" w:sz="0" w:space="0" w:color="auto"/>
        <w:right w:val="none" w:sz="0" w:space="0" w:color="auto"/>
      </w:divBdr>
    </w:div>
    <w:div w:id="593785180">
      <w:bodyDiv w:val="1"/>
      <w:marLeft w:val="0"/>
      <w:marRight w:val="0"/>
      <w:marTop w:val="0"/>
      <w:marBottom w:val="0"/>
      <w:divBdr>
        <w:top w:val="none" w:sz="0" w:space="0" w:color="auto"/>
        <w:left w:val="none" w:sz="0" w:space="0" w:color="auto"/>
        <w:bottom w:val="none" w:sz="0" w:space="0" w:color="auto"/>
        <w:right w:val="none" w:sz="0" w:space="0" w:color="auto"/>
      </w:divBdr>
    </w:div>
    <w:div w:id="594630592">
      <w:bodyDiv w:val="1"/>
      <w:marLeft w:val="0"/>
      <w:marRight w:val="0"/>
      <w:marTop w:val="0"/>
      <w:marBottom w:val="0"/>
      <w:divBdr>
        <w:top w:val="none" w:sz="0" w:space="0" w:color="auto"/>
        <w:left w:val="none" w:sz="0" w:space="0" w:color="auto"/>
        <w:bottom w:val="none" w:sz="0" w:space="0" w:color="auto"/>
        <w:right w:val="none" w:sz="0" w:space="0" w:color="auto"/>
      </w:divBdr>
    </w:div>
    <w:div w:id="594826630">
      <w:bodyDiv w:val="1"/>
      <w:marLeft w:val="0"/>
      <w:marRight w:val="0"/>
      <w:marTop w:val="0"/>
      <w:marBottom w:val="0"/>
      <w:divBdr>
        <w:top w:val="none" w:sz="0" w:space="0" w:color="auto"/>
        <w:left w:val="none" w:sz="0" w:space="0" w:color="auto"/>
        <w:bottom w:val="none" w:sz="0" w:space="0" w:color="auto"/>
        <w:right w:val="none" w:sz="0" w:space="0" w:color="auto"/>
      </w:divBdr>
    </w:div>
    <w:div w:id="595477057">
      <w:bodyDiv w:val="1"/>
      <w:marLeft w:val="0"/>
      <w:marRight w:val="0"/>
      <w:marTop w:val="0"/>
      <w:marBottom w:val="0"/>
      <w:divBdr>
        <w:top w:val="none" w:sz="0" w:space="0" w:color="auto"/>
        <w:left w:val="none" w:sz="0" w:space="0" w:color="auto"/>
        <w:bottom w:val="none" w:sz="0" w:space="0" w:color="auto"/>
        <w:right w:val="none" w:sz="0" w:space="0" w:color="auto"/>
      </w:divBdr>
    </w:div>
    <w:div w:id="59659393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597636761">
      <w:bodyDiv w:val="1"/>
      <w:marLeft w:val="0"/>
      <w:marRight w:val="0"/>
      <w:marTop w:val="0"/>
      <w:marBottom w:val="0"/>
      <w:divBdr>
        <w:top w:val="none" w:sz="0" w:space="0" w:color="auto"/>
        <w:left w:val="none" w:sz="0" w:space="0" w:color="auto"/>
        <w:bottom w:val="none" w:sz="0" w:space="0" w:color="auto"/>
        <w:right w:val="none" w:sz="0" w:space="0" w:color="auto"/>
      </w:divBdr>
    </w:div>
    <w:div w:id="598373391">
      <w:bodyDiv w:val="1"/>
      <w:marLeft w:val="0"/>
      <w:marRight w:val="0"/>
      <w:marTop w:val="0"/>
      <w:marBottom w:val="0"/>
      <w:divBdr>
        <w:top w:val="none" w:sz="0" w:space="0" w:color="auto"/>
        <w:left w:val="none" w:sz="0" w:space="0" w:color="auto"/>
        <w:bottom w:val="none" w:sz="0" w:space="0" w:color="auto"/>
        <w:right w:val="none" w:sz="0" w:space="0" w:color="auto"/>
      </w:divBdr>
    </w:div>
    <w:div w:id="599139507">
      <w:bodyDiv w:val="1"/>
      <w:marLeft w:val="0"/>
      <w:marRight w:val="0"/>
      <w:marTop w:val="0"/>
      <w:marBottom w:val="0"/>
      <w:divBdr>
        <w:top w:val="none" w:sz="0" w:space="0" w:color="auto"/>
        <w:left w:val="none" w:sz="0" w:space="0" w:color="auto"/>
        <w:bottom w:val="none" w:sz="0" w:space="0" w:color="auto"/>
        <w:right w:val="none" w:sz="0" w:space="0" w:color="auto"/>
      </w:divBdr>
    </w:div>
    <w:div w:id="600181127">
      <w:bodyDiv w:val="1"/>
      <w:marLeft w:val="0"/>
      <w:marRight w:val="0"/>
      <w:marTop w:val="0"/>
      <w:marBottom w:val="0"/>
      <w:divBdr>
        <w:top w:val="none" w:sz="0" w:space="0" w:color="auto"/>
        <w:left w:val="none" w:sz="0" w:space="0" w:color="auto"/>
        <w:bottom w:val="none" w:sz="0" w:space="0" w:color="auto"/>
        <w:right w:val="none" w:sz="0" w:space="0" w:color="auto"/>
      </w:divBdr>
    </w:div>
    <w:div w:id="600338062">
      <w:bodyDiv w:val="1"/>
      <w:marLeft w:val="0"/>
      <w:marRight w:val="0"/>
      <w:marTop w:val="0"/>
      <w:marBottom w:val="0"/>
      <w:divBdr>
        <w:top w:val="none" w:sz="0" w:space="0" w:color="auto"/>
        <w:left w:val="none" w:sz="0" w:space="0" w:color="auto"/>
        <w:bottom w:val="none" w:sz="0" w:space="0" w:color="auto"/>
        <w:right w:val="none" w:sz="0" w:space="0" w:color="auto"/>
      </w:divBdr>
    </w:div>
    <w:div w:id="601256510">
      <w:bodyDiv w:val="1"/>
      <w:marLeft w:val="0"/>
      <w:marRight w:val="0"/>
      <w:marTop w:val="0"/>
      <w:marBottom w:val="0"/>
      <w:divBdr>
        <w:top w:val="none" w:sz="0" w:space="0" w:color="auto"/>
        <w:left w:val="none" w:sz="0" w:space="0" w:color="auto"/>
        <w:bottom w:val="none" w:sz="0" w:space="0" w:color="auto"/>
        <w:right w:val="none" w:sz="0" w:space="0" w:color="auto"/>
      </w:divBdr>
    </w:div>
    <w:div w:id="601256938">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3923850">
      <w:bodyDiv w:val="1"/>
      <w:marLeft w:val="0"/>
      <w:marRight w:val="0"/>
      <w:marTop w:val="0"/>
      <w:marBottom w:val="0"/>
      <w:divBdr>
        <w:top w:val="none" w:sz="0" w:space="0" w:color="auto"/>
        <w:left w:val="none" w:sz="0" w:space="0" w:color="auto"/>
        <w:bottom w:val="none" w:sz="0" w:space="0" w:color="auto"/>
        <w:right w:val="none" w:sz="0" w:space="0" w:color="auto"/>
      </w:divBdr>
    </w:div>
    <w:div w:id="605121596">
      <w:bodyDiv w:val="1"/>
      <w:marLeft w:val="0"/>
      <w:marRight w:val="0"/>
      <w:marTop w:val="0"/>
      <w:marBottom w:val="0"/>
      <w:divBdr>
        <w:top w:val="none" w:sz="0" w:space="0" w:color="auto"/>
        <w:left w:val="none" w:sz="0" w:space="0" w:color="auto"/>
        <w:bottom w:val="none" w:sz="0" w:space="0" w:color="auto"/>
        <w:right w:val="none" w:sz="0" w:space="0" w:color="auto"/>
      </w:divBdr>
    </w:div>
    <w:div w:id="605501058">
      <w:bodyDiv w:val="1"/>
      <w:marLeft w:val="0"/>
      <w:marRight w:val="0"/>
      <w:marTop w:val="0"/>
      <w:marBottom w:val="0"/>
      <w:divBdr>
        <w:top w:val="none" w:sz="0" w:space="0" w:color="auto"/>
        <w:left w:val="none" w:sz="0" w:space="0" w:color="auto"/>
        <w:bottom w:val="none" w:sz="0" w:space="0" w:color="auto"/>
        <w:right w:val="none" w:sz="0" w:space="0" w:color="auto"/>
      </w:divBdr>
    </w:div>
    <w:div w:id="605888086">
      <w:bodyDiv w:val="1"/>
      <w:marLeft w:val="0"/>
      <w:marRight w:val="0"/>
      <w:marTop w:val="0"/>
      <w:marBottom w:val="0"/>
      <w:divBdr>
        <w:top w:val="none" w:sz="0" w:space="0" w:color="auto"/>
        <w:left w:val="none" w:sz="0" w:space="0" w:color="auto"/>
        <w:bottom w:val="none" w:sz="0" w:space="0" w:color="auto"/>
        <w:right w:val="none" w:sz="0" w:space="0" w:color="auto"/>
      </w:divBdr>
    </w:div>
    <w:div w:id="605964474">
      <w:bodyDiv w:val="1"/>
      <w:marLeft w:val="0"/>
      <w:marRight w:val="0"/>
      <w:marTop w:val="0"/>
      <w:marBottom w:val="0"/>
      <w:divBdr>
        <w:top w:val="none" w:sz="0" w:space="0" w:color="auto"/>
        <w:left w:val="none" w:sz="0" w:space="0" w:color="auto"/>
        <w:bottom w:val="none" w:sz="0" w:space="0" w:color="auto"/>
        <w:right w:val="none" w:sz="0" w:space="0" w:color="auto"/>
      </w:divBdr>
    </w:div>
    <w:div w:id="606545681">
      <w:bodyDiv w:val="1"/>
      <w:marLeft w:val="0"/>
      <w:marRight w:val="0"/>
      <w:marTop w:val="0"/>
      <w:marBottom w:val="0"/>
      <w:divBdr>
        <w:top w:val="none" w:sz="0" w:space="0" w:color="auto"/>
        <w:left w:val="none" w:sz="0" w:space="0" w:color="auto"/>
        <w:bottom w:val="none" w:sz="0" w:space="0" w:color="auto"/>
        <w:right w:val="none" w:sz="0" w:space="0" w:color="auto"/>
      </w:divBdr>
    </w:div>
    <w:div w:id="607784131">
      <w:bodyDiv w:val="1"/>
      <w:marLeft w:val="0"/>
      <w:marRight w:val="0"/>
      <w:marTop w:val="0"/>
      <w:marBottom w:val="0"/>
      <w:divBdr>
        <w:top w:val="none" w:sz="0" w:space="0" w:color="auto"/>
        <w:left w:val="none" w:sz="0" w:space="0" w:color="auto"/>
        <w:bottom w:val="none" w:sz="0" w:space="0" w:color="auto"/>
        <w:right w:val="none" w:sz="0" w:space="0" w:color="auto"/>
      </w:divBdr>
    </w:div>
    <w:div w:id="608438977">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856371">
      <w:bodyDiv w:val="1"/>
      <w:marLeft w:val="0"/>
      <w:marRight w:val="0"/>
      <w:marTop w:val="0"/>
      <w:marBottom w:val="0"/>
      <w:divBdr>
        <w:top w:val="none" w:sz="0" w:space="0" w:color="auto"/>
        <w:left w:val="none" w:sz="0" w:space="0" w:color="auto"/>
        <w:bottom w:val="none" w:sz="0" w:space="0" w:color="auto"/>
        <w:right w:val="none" w:sz="0" w:space="0" w:color="auto"/>
      </w:divBdr>
    </w:div>
    <w:div w:id="609120241">
      <w:bodyDiv w:val="1"/>
      <w:marLeft w:val="0"/>
      <w:marRight w:val="0"/>
      <w:marTop w:val="0"/>
      <w:marBottom w:val="0"/>
      <w:divBdr>
        <w:top w:val="none" w:sz="0" w:space="0" w:color="auto"/>
        <w:left w:val="none" w:sz="0" w:space="0" w:color="auto"/>
        <w:bottom w:val="none" w:sz="0" w:space="0" w:color="auto"/>
        <w:right w:val="none" w:sz="0" w:space="0" w:color="auto"/>
      </w:divBdr>
    </w:div>
    <w:div w:id="609552393">
      <w:bodyDiv w:val="1"/>
      <w:marLeft w:val="0"/>
      <w:marRight w:val="0"/>
      <w:marTop w:val="0"/>
      <w:marBottom w:val="0"/>
      <w:divBdr>
        <w:top w:val="none" w:sz="0" w:space="0" w:color="auto"/>
        <w:left w:val="none" w:sz="0" w:space="0" w:color="auto"/>
        <w:bottom w:val="none" w:sz="0" w:space="0" w:color="auto"/>
        <w:right w:val="none" w:sz="0" w:space="0" w:color="auto"/>
      </w:divBdr>
    </w:div>
    <w:div w:id="610162807">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666201">
      <w:bodyDiv w:val="1"/>
      <w:marLeft w:val="0"/>
      <w:marRight w:val="0"/>
      <w:marTop w:val="0"/>
      <w:marBottom w:val="0"/>
      <w:divBdr>
        <w:top w:val="none" w:sz="0" w:space="0" w:color="auto"/>
        <w:left w:val="none" w:sz="0" w:space="0" w:color="auto"/>
        <w:bottom w:val="none" w:sz="0" w:space="0" w:color="auto"/>
        <w:right w:val="none" w:sz="0" w:space="0" w:color="auto"/>
      </w:divBdr>
    </w:div>
    <w:div w:id="611203280">
      <w:bodyDiv w:val="1"/>
      <w:marLeft w:val="0"/>
      <w:marRight w:val="0"/>
      <w:marTop w:val="0"/>
      <w:marBottom w:val="0"/>
      <w:divBdr>
        <w:top w:val="none" w:sz="0" w:space="0" w:color="auto"/>
        <w:left w:val="none" w:sz="0" w:space="0" w:color="auto"/>
        <w:bottom w:val="none" w:sz="0" w:space="0" w:color="auto"/>
        <w:right w:val="none" w:sz="0" w:space="0" w:color="auto"/>
      </w:divBdr>
    </w:div>
    <w:div w:id="611283497">
      <w:bodyDiv w:val="1"/>
      <w:marLeft w:val="0"/>
      <w:marRight w:val="0"/>
      <w:marTop w:val="0"/>
      <w:marBottom w:val="0"/>
      <w:divBdr>
        <w:top w:val="none" w:sz="0" w:space="0" w:color="auto"/>
        <w:left w:val="none" w:sz="0" w:space="0" w:color="auto"/>
        <w:bottom w:val="none" w:sz="0" w:space="0" w:color="auto"/>
        <w:right w:val="none" w:sz="0" w:space="0" w:color="auto"/>
      </w:divBdr>
    </w:div>
    <w:div w:id="611478155">
      <w:bodyDiv w:val="1"/>
      <w:marLeft w:val="0"/>
      <w:marRight w:val="0"/>
      <w:marTop w:val="0"/>
      <w:marBottom w:val="0"/>
      <w:divBdr>
        <w:top w:val="none" w:sz="0" w:space="0" w:color="auto"/>
        <w:left w:val="none" w:sz="0" w:space="0" w:color="auto"/>
        <w:bottom w:val="none" w:sz="0" w:space="0" w:color="auto"/>
        <w:right w:val="none" w:sz="0" w:space="0" w:color="auto"/>
      </w:divBdr>
    </w:div>
    <w:div w:id="612172442">
      <w:bodyDiv w:val="1"/>
      <w:marLeft w:val="0"/>
      <w:marRight w:val="0"/>
      <w:marTop w:val="0"/>
      <w:marBottom w:val="0"/>
      <w:divBdr>
        <w:top w:val="none" w:sz="0" w:space="0" w:color="auto"/>
        <w:left w:val="none" w:sz="0" w:space="0" w:color="auto"/>
        <w:bottom w:val="none" w:sz="0" w:space="0" w:color="auto"/>
        <w:right w:val="none" w:sz="0" w:space="0" w:color="auto"/>
      </w:divBdr>
    </w:div>
    <w:div w:id="613025502">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14094701">
      <w:bodyDiv w:val="1"/>
      <w:marLeft w:val="0"/>
      <w:marRight w:val="0"/>
      <w:marTop w:val="0"/>
      <w:marBottom w:val="0"/>
      <w:divBdr>
        <w:top w:val="none" w:sz="0" w:space="0" w:color="auto"/>
        <w:left w:val="none" w:sz="0" w:space="0" w:color="auto"/>
        <w:bottom w:val="none" w:sz="0" w:space="0" w:color="auto"/>
        <w:right w:val="none" w:sz="0" w:space="0" w:color="auto"/>
      </w:divBdr>
    </w:div>
    <w:div w:id="614600363">
      <w:bodyDiv w:val="1"/>
      <w:marLeft w:val="0"/>
      <w:marRight w:val="0"/>
      <w:marTop w:val="0"/>
      <w:marBottom w:val="0"/>
      <w:divBdr>
        <w:top w:val="none" w:sz="0" w:space="0" w:color="auto"/>
        <w:left w:val="none" w:sz="0" w:space="0" w:color="auto"/>
        <w:bottom w:val="none" w:sz="0" w:space="0" w:color="auto"/>
        <w:right w:val="none" w:sz="0" w:space="0" w:color="auto"/>
      </w:divBdr>
    </w:div>
    <w:div w:id="614680035">
      <w:bodyDiv w:val="1"/>
      <w:marLeft w:val="0"/>
      <w:marRight w:val="0"/>
      <w:marTop w:val="0"/>
      <w:marBottom w:val="0"/>
      <w:divBdr>
        <w:top w:val="none" w:sz="0" w:space="0" w:color="auto"/>
        <w:left w:val="none" w:sz="0" w:space="0" w:color="auto"/>
        <w:bottom w:val="none" w:sz="0" w:space="0" w:color="auto"/>
        <w:right w:val="none" w:sz="0" w:space="0" w:color="auto"/>
      </w:divBdr>
    </w:div>
    <w:div w:id="615527748">
      <w:bodyDiv w:val="1"/>
      <w:marLeft w:val="0"/>
      <w:marRight w:val="0"/>
      <w:marTop w:val="0"/>
      <w:marBottom w:val="0"/>
      <w:divBdr>
        <w:top w:val="none" w:sz="0" w:space="0" w:color="auto"/>
        <w:left w:val="none" w:sz="0" w:space="0" w:color="auto"/>
        <w:bottom w:val="none" w:sz="0" w:space="0" w:color="auto"/>
        <w:right w:val="none" w:sz="0" w:space="0" w:color="auto"/>
      </w:divBdr>
    </w:div>
    <w:div w:id="615986213">
      <w:bodyDiv w:val="1"/>
      <w:marLeft w:val="0"/>
      <w:marRight w:val="0"/>
      <w:marTop w:val="0"/>
      <w:marBottom w:val="0"/>
      <w:divBdr>
        <w:top w:val="none" w:sz="0" w:space="0" w:color="auto"/>
        <w:left w:val="none" w:sz="0" w:space="0" w:color="auto"/>
        <w:bottom w:val="none" w:sz="0" w:space="0" w:color="auto"/>
        <w:right w:val="none" w:sz="0" w:space="0" w:color="auto"/>
      </w:divBdr>
    </w:div>
    <w:div w:id="616764834">
      <w:bodyDiv w:val="1"/>
      <w:marLeft w:val="0"/>
      <w:marRight w:val="0"/>
      <w:marTop w:val="0"/>
      <w:marBottom w:val="0"/>
      <w:divBdr>
        <w:top w:val="none" w:sz="0" w:space="0" w:color="auto"/>
        <w:left w:val="none" w:sz="0" w:space="0" w:color="auto"/>
        <w:bottom w:val="none" w:sz="0" w:space="0" w:color="auto"/>
        <w:right w:val="none" w:sz="0" w:space="0" w:color="auto"/>
      </w:divBdr>
    </w:div>
    <w:div w:id="616837860">
      <w:bodyDiv w:val="1"/>
      <w:marLeft w:val="0"/>
      <w:marRight w:val="0"/>
      <w:marTop w:val="0"/>
      <w:marBottom w:val="0"/>
      <w:divBdr>
        <w:top w:val="none" w:sz="0" w:space="0" w:color="auto"/>
        <w:left w:val="none" w:sz="0" w:space="0" w:color="auto"/>
        <w:bottom w:val="none" w:sz="0" w:space="0" w:color="auto"/>
        <w:right w:val="none" w:sz="0" w:space="0" w:color="auto"/>
      </w:divBdr>
    </w:div>
    <w:div w:id="617026926">
      <w:bodyDiv w:val="1"/>
      <w:marLeft w:val="0"/>
      <w:marRight w:val="0"/>
      <w:marTop w:val="0"/>
      <w:marBottom w:val="0"/>
      <w:divBdr>
        <w:top w:val="none" w:sz="0" w:space="0" w:color="auto"/>
        <w:left w:val="none" w:sz="0" w:space="0" w:color="auto"/>
        <w:bottom w:val="none" w:sz="0" w:space="0" w:color="auto"/>
        <w:right w:val="none" w:sz="0" w:space="0" w:color="auto"/>
      </w:divBdr>
    </w:div>
    <w:div w:id="617029391">
      <w:bodyDiv w:val="1"/>
      <w:marLeft w:val="0"/>
      <w:marRight w:val="0"/>
      <w:marTop w:val="0"/>
      <w:marBottom w:val="0"/>
      <w:divBdr>
        <w:top w:val="none" w:sz="0" w:space="0" w:color="auto"/>
        <w:left w:val="none" w:sz="0" w:space="0" w:color="auto"/>
        <w:bottom w:val="none" w:sz="0" w:space="0" w:color="auto"/>
        <w:right w:val="none" w:sz="0" w:space="0" w:color="auto"/>
      </w:divBdr>
    </w:div>
    <w:div w:id="617420404">
      <w:bodyDiv w:val="1"/>
      <w:marLeft w:val="0"/>
      <w:marRight w:val="0"/>
      <w:marTop w:val="0"/>
      <w:marBottom w:val="0"/>
      <w:divBdr>
        <w:top w:val="none" w:sz="0" w:space="0" w:color="auto"/>
        <w:left w:val="none" w:sz="0" w:space="0" w:color="auto"/>
        <w:bottom w:val="none" w:sz="0" w:space="0" w:color="auto"/>
        <w:right w:val="none" w:sz="0" w:space="0" w:color="auto"/>
      </w:divBdr>
    </w:div>
    <w:div w:id="617488270">
      <w:bodyDiv w:val="1"/>
      <w:marLeft w:val="0"/>
      <w:marRight w:val="0"/>
      <w:marTop w:val="0"/>
      <w:marBottom w:val="0"/>
      <w:divBdr>
        <w:top w:val="none" w:sz="0" w:space="0" w:color="auto"/>
        <w:left w:val="none" w:sz="0" w:space="0" w:color="auto"/>
        <w:bottom w:val="none" w:sz="0" w:space="0" w:color="auto"/>
        <w:right w:val="none" w:sz="0" w:space="0" w:color="auto"/>
      </w:divBdr>
    </w:div>
    <w:div w:id="617493881">
      <w:bodyDiv w:val="1"/>
      <w:marLeft w:val="0"/>
      <w:marRight w:val="0"/>
      <w:marTop w:val="0"/>
      <w:marBottom w:val="0"/>
      <w:divBdr>
        <w:top w:val="none" w:sz="0" w:space="0" w:color="auto"/>
        <w:left w:val="none" w:sz="0" w:space="0" w:color="auto"/>
        <w:bottom w:val="none" w:sz="0" w:space="0" w:color="auto"/>
        <w:right w:val="none" w:sz="0" w:space="0" w:color="auto"/>
      </w:divBdr>
    </w:div>
    <w:div w:id="618295660">
      <w:bodyDiv w:val="1"/>
      <w:marLeft w:val="0"/>
      <w:marRight w:val="0"/>
      <w:marTop w:val="0"/>
      <w:marBottom w:val="0"/>
      <w:divBdr>
        <w:top w:val="none" w:sz="0" w:space="0" w:color="auto"/>
        <w:left w:val="none" w:sz="0" w:space="0" w:color="auto"/>
        <w:bottom w:val="none" w:sz="0" w:space="0" w:color="auto"/>
        <w:right w:val="none" w:sz="0" w:space="0" w:color="auto"/>
      </w:divBdr>
    </w:div>
    <w:div w:id="619072745">
      <w:bodyDiv w:val="1"/>
      <w:marLeft w:val="0"/>
      <w:marRight w:val="0"/>
      <w:marTop w:val="0"/>
      <w:marBottom w:val="0"/>
      <w:divBdr>
        <w:top w:val="none" w:sz="0" w:space="0" w:color="auto"/>
        <w:left w:val="none" w:sz="0" w:space="0" w:color="auto"/>
        <w:bottom w:val="none" w:sz="0" w:space="0" w:color="auto"/>
        <w:right w:val="none" w:sz="0" w:space="0" w:color="auto"/>
      </w:divBdr>
    </w:div>
    <w:div w:id="619605691">
      <w:bodyDiv w:val="1"/>
      <w:marLeft w:val="0"/>
      <w:marRight w:val="0"/>
      <w:marTop w:val="0"/>
      <w:marBottom w:val="0"/>
      <w:divBdr>
        <w:top w:val="none" w:sz="0" w:space="0" w:color="auto"/>
        <w:left w:val="none" w:sz="0" w:space="0" w:color="auto"/>
        <w:bottom w:val="none" w:sz="0" w:space="0" w:color="auto"/>
        <w:right w:val="none" w:sz="0" w:space="0" w:color="auto"/>
      </w:divBdr>
    </w:div>
    <w:div w:id="621300579">
      <w:bodyDiv w:val="1"/>
      <w:marLeft w:val="0"/>
      <w:marRight w:val="0"/>
      <w:marTop w:val="0"/>
      <w:marBottom w:val="0"/>
      <w:divBdr>
        <w:top w:val="none" w:sz="0" w:space="0" w:color="auto"/>
        <w:left w:val="none" w:sz="0" w:space="0" w:color="auto"/>
        <w:bottom w:val="none" w:sz="0" w:space="0" w:color="auto"/>
        <w:right w:val="none" w:sz="0" w:space="0" w:color="auto"/>
      </w:divBdr>
    </w:div>
    <w:div w:id="621687344">
      <w:bodyDiv w:val="1"/>
      <w:marLeft w:val="0"/>
      <w:marRight w:val="0"/>
      <w:marTop w:val="0"/>
      <w:marBottom w:val="0"/>
      <w:divBdr>
        <w:top w:val="none" w:sz="0" w:space="0" w:color="auto"/>
        <w:left w:val="none" w:sz="0" w:space="0" w:color="auto"/>
        <w:bottom w:val="none" w:sz="0" w:space="0" w:color="auto"/>
        <w:right w:val="none" w:sz="0" w:space="0" w:color="auto"/>
      </w:divBdr>
    </w:div>
    <w:div w:id="622155084">
      <w:bodyDiv w:val="1"/>
      <w:marLeft w:val="0"/>
      <w:marRight w:val="0"/>
      <w:marTop w:val="0"/>
      <w:marBottom w:val="0"/>
      <w:divBdr>
        <w:top w:val="none" w:sz="0" w:space="0" w:color="auto"/>
        <w:left w:val="none" w:sz="0" w:space="0" w:color="auto"/>
        <w:bottom w:val="none" w:sz="0" w:space="0" w:color="auto"/>
        <w:right w:val="none" w:sz="0" w:space="0" w:color="auto"/>
      </w:divBdr>
    </w:div>
    <w:div w:id="622540157">
      <w:bodyDiv w:val="1"/>
      <w:marLeft w:val="0"/>
      <w:marRight w:val="0"/>
      <w:marTop w:val="0"/>
      <w:marBottom w:val="0"/>
      <w:divBdr>
        <w:top w:val="none" w:sz="0" w:space="0" w:color="auto"/>
        <w:left w:val="none" w:sz="0" w:space="0" w:color="auto"/>
        <w:bottom w:val="none" w:sz="0" w:space="0" w:color="auto"/>
        <w:right w:val="none" w:sz="0" w:space="0" w:color="auto"/>
      </w:divBdr>
    </w:div>
    <w:div w:id="622856198">
      <w:bodyDiv w:val="1"/>
      <w:marLeft w:val="0"/>
      <w:marRight w:val="0"/>
      <w:marTop w:val="0"/>
      <w:marBottom w:val="0"/>
      <w:divBdr>
        <w:top w:val="none" w:sz="0" w:space="0" w:color="auto"/>
        <w:left w:val="none" w:sz="0" w:space="0" w:color="auto"/>
        <w:bottom w:val="none" w:sz="0" w:space="0" w:color="auto"/>
        <w:right w:val="none" w:sz="0" w:space="0" w:color="auto"/>
      </w:divBdr>
    </w:div>
    <w:div w:id="623198709">
      <w:bodyDiv w:val="1"/>
      <w:marLeft w:val="0"/>
      <w:marRight w:val="0"/>
      <w:marTop w:val="0"/>
      <w:marBottom w:val="0"/>
      <w:divBdr>
        <w:top w:val="none" w:sz="0" w:space="0" w:color="auto"/>
        <w:left w:val="none" w:sz="0" w:space="0" w:color="auto"/>
        <w:bottom w:val="none" w:sz="0" w:space="0" w:color="auto"/>
        <w:right w:val="none" w:sz="0" w:space="0" w:color="auto"/>
      </w:divBdr>
    </w:div>
    <w:div w:id="623655153">
      <w:bodyDiv w:val="1"/>
      <w:marLeft w:val="0"/>
      <w:marRight w:val="0"/>
      <w:marTop w:val="0"/>
      <w:marBottom w:val="0"/>
      <w:divBdr>
        <w:top w:val="none" w:sz="0" w:space="0" w:color="auto"/>
        <w:left w:val="none" w:sz="0" w:space="0" w:color="auto"/>
        <w:bottom w:val="none" w:sz="0" w:space="0" w:color="auto"/>
        <w:right w:val="none" w:sz="0" w:space="0" w:color="auto"/>
      </w:divBdr>
    </w:div>
    <w:div w:id="624123738">
      <w:bodyDiv w:val="1"/>
      <w:marLeft w:val="0"/>
      <w:marRight w:val="0"/>
      <w:marTop w:val="0"/>
      <w:marBottom w:val="0"/>
      <w:divBdr>
        <w:top w:val="none" w:sz="0" w:space="0" w:color="auto"/>
        <w:left w:val="none" w:sz="0" w:space="0" w:color="auto"/>
        <w:bottom w:val="none" w:sz="0" w:space="0" w:color="auto"/>
        <w:right w:val="none" w:sz="0" w:space="0" w:color="auto"/>
      </w:divBdr>
    </w:div>
    <w:div w:id="624190615">
      <w:bodyDiv w:val="1"/>
      <w:marLeft w:val="0"/>
      <w:marRight w:val="0"/>
      <w:marTop w:val="0"/>
      <w:marBottom w:val="0"/>
      <w:divBdr>
        <w:top w:val="none" w:sz="0" w:space="0" w:color="auto"/>
        <w:left w:val="none" w:sz="0" w:space="0" w:color="auto"/>
        <w:bottom w:val="none" w:sz="0" w:space="0" w:color="auto"/>
        <w:right w:val="none" w:sz="0" w:space="0" w:color="auto"/>
      </w:divBdr>
    </w:div>
    <w:div w:id="624654937">
      <w:bodyDiv w:val="1"/>
      <w:marLeft w:val="0"/>
      <w:marRight w:val="0"/>
      <w:marTop w:val="0"/>
      <w:marBottom w:val="0"/>
      <w:divBdr>
        <w:top w:val="none" w:sz="0" w:space="0" w:color="auto"/>
        <w:left w:val="none" w:sz="0" w:space="0" w:color="auto"/>
        <w:bottom w:val="none" w:sz="0" w:space="0" w:color="auto"/>
        <w:right w:val="none" w:sz="0" w:space="0" w:color="auto"/>
      </w:divBdr>
    </w:div>
    <w:div w:id="624695848">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241561">
      <w:bodyDiv w:val="1"/>
      <w:marLeft w:val="0"/>
      <w:marRight w:val="0"/>
      <w:marTop w:val="0"/>
      <w:marBottom w:val="0"/>
      <w:divBdr>
        <w:top w:val="none" w:sz="0" w:space="0" w:color="auto"/>
        <w:left w:val="none" w:sz="0" w:space="0" w:color="auto"/>
        <w:bottom w:val="none" w:sz="0" w:space="0" w:color="auto"/>
        <w:right w:val="none" w:sz="0" w:space="0" w:color="auto"/>
      </w:divBdr>
    </w:div>
    <w:div w:id="625543813">
      <w:bodyDiv w:val="1"/>
      <w:marLeft w:val="0"/>
      <w:marRight w:val="0"/>
      <w:marTop w:val="0"/>
      <w:marBottom w:val="0"/>
      <w:divBdr>
        <w:top w:val="none" w:sz="0" w:space="0" w:color="auto"/>
        <w:left w:val="none" w:sz="0" w:space="0" w:color="auto"/>
        <w:bottom w:val="none" w:sz="0" w:space="0" w:color="auto"/>
        <w:right w:val="none" w:sz="0" w:space="0" w:color="auto"/>
      </w:divBdr>
    </w:div>
    <w:div w:id="625546322">
      <w:bodyDiv w:val="1"/>
      <w:marLeft w:val="0"/>
      <w:marRight w:val="0"/>
      <w:marTop w:val="0"/>
      <w:marBottom w:val="0"/>
      <w:divBdr>
        <w:top w:val="none" w:sz="0" w:space="0" w:color="auto"/>
        <w:left w:val="none" w:sz="0" w:space="0" w:color="auto"/>
        <w:bottom w:val="none" w:sz="0" w:space="0" w:color="auto"/>
        <w:right w:val="none" w:sz="0" w:space="0" w:color="auto"/>
      </w:divBdr>
    </w:div>
    <w:div w:id="626811791">
      <w:bodyDiv w:val="1"/>
      <w:marLeft w:val="0"/>
      <w:marRight w:val="0"/>
      <w:marTop w:val="0"/>
      <w:marBottom w:val="0"/>
      <w:divBdr>
        <w:top w:val="none" w:sz="0" w:space="0" w:color="auto"/>
        <w:left w:val="none" w:sz="0" w:space="0" w:color="auto"/>
        <w:bottom w:val="none" w:sz="0" w:space="0" w:color="auto"/>
        <w:right w:val="none" w:sz="0" w:space="0" w:color="auto"/>
      </w:divBdr>
    </w:div>
    <w:div w:id="626861234">
      <w:bodyDiv w:val="1"/>
      <w:marLeft w:val="0"/>
      <w:marRight w:val="0"/>
      <w:marTop w:val="0"/>
      <w:marBottom w:val="0"/>
      <w:divBdr>
        <w:top w:val="none" w:sz="0" w:space="0" w:color="auto"/>
        <w:left w:val="none" w:sz="0" w:space="0" w:color="auto"/>
        <w:bottom w:val="none" w:sz="0" w:space="0" w:color="auto"/>
        <w:right w:val="none" w:sz="0" w:space="0" w:color="auto"/>
      </w:divBdr>
    </w:div>
    <w:div w:id="627080572">
      <w:bodyDiv w:val="1"/>
      <w:marLeft w:val="0"/>
      <w:marRight w:val="0"/>
      <w:marTop w:val="0"/>
      <w:marBottom w:val="0"/>
      <w:divBdr>
        <w:top w:val="none" w:sz="0" w:space="0" w:color="auto"/>
        <w:left w:val="none" w:sz="0" w:space="0" w:color="auto"/>
        <w:bottom w:val="none" w:sz="0" w:space="0" w:color="auto"/>
        <w:right w:val="none" w:sz="0" w:space="0" w:color="auto"/>
      </w:divBdr>
    </w:div>
    <w:div w:id="627324750">
      <w:bodyDiv w:val="1"/>
      <w:marLeft w:val="0"/>
      <w:marRight w:val="0"/>
      <w:marTop w:val="0"/>
      <w:marBottom w:val="0"/>
      <w:divBdr>
        <w:top w:val="none" w:sz="0" w:space="0" w:color="auto"/>
        <w:left w:val="none" w:sz="0" w:space="0" w:color="auto"/>
        <w:bottom w:val="none" w:sz="0" w:space="0" w:color="auto"/>
        <w:right w:val="none" w:sz="0" w:space="0" w:color="auto"/>
      </w:divBdr>
    </w:div>
    <w:div w:id="627705912">
      <w:bodyDiv w:val="1"/>
      <w:marLeft w:val="0"/>
      <w:marRight w:val="0"/>
      <w:marTop w:val="0"/>
      <w:marBottom w:val="0"/>
      <w:divBdr>
        <w:top w:val="none" w:sz="0" w:space="0" w:color="auto"/>
        <w:left w:val="none" w:sz="0" w:space="0" w:color="auto"/>
        <w:bottom w:val="none" w:sz="0" w:space="0" w:color="auto"/>
        <w:right w:val="none" w:sz="0" w:space="0" w:color="auto"/>
      </w:divBdr>
    </w:div>
    <w:div w:id="628361466">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747788">
      <w:bodyDiv w:val="1"/>
      <w:marLeft w:val="0"/>
      <w:marRight w:val="0"/>
      <w:marTop w:val="0"/>
      <w:marBottom w:val="0"/>
      <w:divBdr>
        <w:top w:val="none" w:sz="0" w:space="0" w:color="auto"/>
        <w:left w:val="none" w:sz="0" w:space="0" w:color="auto"/>
        <w:bottom w:val="none" w:sz="0" w:space="0" w:color="auto"/>
        <w:right w:val="none" w:sz="0" w:space="0" w:color="auto"/>
      </w:divBdr>
    </w:div>
    <w:div w:id="631404329">
      <w:bodyDiv w:val="1"/>
      <w:marLeft w:val="0"/>
      <w:marRight w:val="0"/>
      <w:marTop w:val="0"/>
      <w:marBottom w:val="0"/>
      <w:divBdr>
        <w:top w:val="none" w:sz="0" w:space="0" w:color="auto"/>
        <w:left w:val="none" w:sz="0" w:space="0" w:color="auto"/>
        <w:bottom w:val="none" w:sz="0" w:space="0" w:color="auto"/>
        <w:right w:val="none" w:sz="0" w:space="0" w:color="auto"/>
      </w:divBdr>
    </w:div>
    <w:div w:id="634214067">
      <w:bodyDiv w:val="1"/>
      <w:marLeft w:val="0"/>
      <w:marRight w:val="0"/>
      <w:marTop w:val="0"/>
      <w:marBottom w:val="0"/>
      <w:divBdr>
        <w:top w:val="none" w:sz="0" w:space="0" w:color="auto"/>
        <w:left w:val="none" w:sz="0" w:space="0" w:color="auto"/>
        <w:bottom w:val="none" w:sz="0" w:space="0" w:color="auto"/>
        <w:right w:val="none" w:sz="0" w:space="0" w:color="auto"/>
      </w:divBdr>
    </w:div>
    <w:div w:id="634526435">
      <w:bodyDiv w:val="1"/>
      <w:marLeft w:val="0"/>
      <w:marRight w:val="0"/>
      <w:marTop w:val="0"/>
      <w:marBottom w:val="0"/>
      <w:divBdr>
        <w:top w:val="none" w:sz="0" w:space="0" w:color="auto"/>
        <w:left w:val="none" w:sz="0" w:space="0" w:color="auto"/>
        <w:bottom w:val="none" w:sz="0" w:space="0" w:color="auto"/>
        <w:right w:val="none" w:sz="0" w:space="0" w:color="auto"/>
      </w:divBdr>
    </w:div>
    <w:div w:id="634801186">
      <w:bodyDiv w:val="1"/>
      <w:marLeft w:val="0"/>
      <w:marRight w:val="0"/>
      <w:marTop w:val="0"/>
      <w:marBottom w:val="0"/>
      <w:divBdr>
        <w:top w:val="none" w:sz="0" w:space="0" w:color="auto"/>
        <w:left w:val="none" w:sz="0" w:space="0" w:color="auto"/>
        <w:bottom w:val="none" w:sz="0" w:space="0" w:color="auto"/>
        <w:right w:val="none" w:sz="0" w:space="0" w:color="auto"/>
      </w:divBdr>
    </w:div>
    <w:div w:id="635449073">
      <w:bodyDiv w:val="1"/>
      <w:marLeft w:val="0"/>
      <w:marRight w:val="0"/>
      <w:marTop w:val="0"/>
      <w:marBottom w:val="0"/>
      <w:divBdr>
        <w:top w:val="none" w:sz="0" w:space="0" w:color="auto"/>
        <w:left w:val="none" w:sz="0" w:space="0" w:color="auto"/>
        <w:bottom w:val="none" w:sz="0" w:space="0" w:color="auto"/>
        <w:right w:val="none" w:sz="0" w:space="0" w:color="auto"/>
      </w:divBdr>
    </w:div>
    <w:div w:id="635723916">
      <w:bodyDiv w:val="1"/>
      <w:marLeft w:val="0"/>
      <w:marRight w:val="0"/>
      <w:marTop w:val="0"/>
      <w:marBottom w:val="0"/>
      <w:divBdr>
        <w:top w:val="none" w:sz="0" w:space="0" w:color="auto"/>
        <w:left w:val="none" w:sz="0" w:space="0" w:color="auto"/>
        <w:bottom w:val="none" w:sz="0" w:space="0" w:color="auto"/>
        <w:right w:val="none" w:sz="0" w:space="0" w:color="auto"/>
      </w:divBdr>
    </w:div>
    <w:div w:id="636835751">
      <w:bodyDiv w:val="1"/>
      <w:marLeft w:val="0"/>
      <w:marRight w:val="0"/>
      <w:marTop w:val="0"/>
      <w:marBottom w:val="0"/>
      <w:divBdr>
        <w:top w:val="none" w:sz="0" w:space="0" w:color="auto"/>
        <w:left w:val="none" w:sz="0" w:space="0" w:color="auto"/>
        <w:bottom w:val="none" w:sz="0" w:space="0" w:color="auto"/>
        <w:right w:val="none" w:sz="0" w:space="0" w:color="auto"/>
      </w:divBdr>
    </w:div>
    <w:div w:id="637881586">
      <w:bodyDiv w:val="1"/>
      <w:marLeft w:val="0"/>
      <w:marRight w:val="0"/>
      <w:marTop w:val="0"/>
      <w:marBottom w:val="0"/>
      <w:divBdr>
        <w:top w:val="none" w:sz="0" w:space="0" w:color="auto"/>
        <w:left w:val="none" w:sz="0" w:space="0" w:color="auto"/>
        <w:bottom w:val="none" w:sz="0" w:space="0" w:color="auto"/>
        <w:right w:val="none" w:sz="0" w:space="0" w:color="auto"/>
      </w:divBdr>
    </w:div>
    <w:div w:id="637998068">
      <w:bodyDiv w:val="1"/>
      <w:marLeft w:val="0"/>
      <w:marRight w:val="0"/>
      <w:marTop w:val="0"/>
      <w:marBottom w:val="0"/>
      <w:divBdr>
        <w:top w:val="none" w:sz="0" w:space="0" w:color="auto"/>
        <w:left w:val="none" w:sz="0" w:space="0" w:color="auto"/>
        <w:bottom w:val="none" w:sz="0" w:space="0" w:color="auto"/>
        <w:right w:val="none" w:sz="0" w:space="0" w:color="auto"/>
      </w:divBdr>
    </w:div>
    <w:div w:id="63891803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312489">
      <w:bodyDiv w:val="1"/>
      <w:marLeft w:val="0"/>
      <w:marRight w:val="0"/>
      <w:marTop w:val="0"/>
      <w:marBottom w:val="0"/>
      <w:divBdr>
        <w:top w:val="none" w:sz="0" w:space="0" w:color="auto"/>
        <w:left w:val="none" w:sz="0" w:space="0" w:color="auto"/>
        <w:bottom w:val="none" w:sz="0" w:space="0" w:color="auto"/>
        <w:right w:val="none" w:sz="0" w:space="0" w:color="auto"/>
      </w:divBdr>
    </w:div>
    <w:div w:id="642928507">
      <w:bodyDiv w:val="1"/>
      <w:marLeft w:val="0"/>
      <w:marRight w:val="0"/>
      <w:marTop w:val="0"/>
      <w:marBottom w:val="0"/>
      <w:divBdr>
        <w:top w:val="none" w:sz="0" w:space="0" w:color="auto"/>
        <w:left w:val="none" w:sz="0" w:space="0" w:color="auto"/>
        <w:bottom w:val="none" w:sz="0" w:space="0" w:color="auto"/>
        <w:right w:val="none" w:sz="0" w:space="0" w:color="auto"/>
      </w:divBdr>
    </w:div>
    <w:div w:id="643658300">
      <w:bodyDiv w:val="1"/>
      <w:marLeft w:val="0"/>
      <w:marRight w:val="0"/>
      <w:marTop w:val="0"/>
      <w:marBottom w:val="0"/>
      <w:divBdr>
        <w:top w:val="none" w:sz="0" w:space="0" w:color="auto"/>
        <w:left w:val="none" w:sz="0" w:space="0" w:color="auto"/>
        <w:bottom w:val="none" w:sz="0" w:space="0" w:color="auto"/>
        <w:right w:val="none" w:sz="0" w:space="0" w:color="auto"/>
      </w:divBdr>
    </w:div>
    <w:div w:id="643891439">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092645">
      <w:bodyDiv w:val="1"/>
      <w:marLeft w:val="0"/>
      <w:marRight w:val="0"/>
      <w:marTop w:val="0"/>
      <w:marBottom w:val="0"/>
      <w:divBdr>
        <w:top w:val="none" w:sz="0" w:space="0" w:color="auto"/>
        <w:left w:val="none" w:sz="0" w:space="0" w:color="auto"/>
        <w:bottom w:val="none" w:sz="0" w:space="0" w:color="auto"/>
        <w:right w:val="none" w:sz="0" w:space="0" w:color="auto"/>
      </w:divBdr>
    </w:div>
    <w:div w:id="645428742">
      <w:bodyDiv w:val="1"/>
      <w:marLeft w:val="0"/>
      <w:marRight w:val="0"/>
      <w:marTop w:val="0"/>
      <w:marBottom w:val="0"/>
      <w:divBdr>
        <w:top w:val="none" w:sz="0" w:space="0" w:color="auto"/>
        <w:left w:val="none" w:sz="0" w:space="0" w:color="auto"/>
        <w:bottom w:val="none" w:sz="0" w:space="0" w:color="auto"/>
        <w:right w:val="none" w:sz="0" w:space="0" w:color="auto"/>
      </w:divBdr>
    </w:div>
    <w:div w:id="645474663">
      <w:bodyDiv w:val="1"/>
      <w:marLeft w:val="0"/>
      <w:marRight w:val="0"/>
      <w:marTop w:val="0"/>
      <w:marBottom w:val="0"/>
      <w:divBdr>
        <w:top w:val="none" w:sz="0" w:space="0" w:color="auto"/>
        <w:left w:val="none" w:sz="0" w:space="0" w:color="auto"/>
        <w:bottom w:val="none" w:sz="0" w:space="0" w:color="auto"/>
        <w:right w:val="none" w:sz="0" w:space="0" w:color="auto"/>
      </w:divBdr>
    </w:div>
    <w:div w:id="646321545">
      <w:bodyDiv w:val="1"/>
      <w:marLeft w:val="0"/>
      <w:marRight w:val="0"/>
      <w:marTop w:val="0"/>
      <w:marBottom w:val="0"/>
      <w:divBdr>
        <w:top w:val="none" w:sz="0" w:space="0" w:color="auto"/>
        <w:left w:val="none" w:sz="0" w:space="0" w:color="auto"/>
        <w:bottom w:val="none" w:sz="0" w:space="0" w:color="auto"/>
        <w:right w:val="none" w:sz="0" w:space="0" w:color="auto"/>
      </w:divBdr>
    </w:div>
    <w:div w:id="646470321">
      <w:bodyDiv w:val="1"/>
      <w:marLeft w:val="0"/>
      <w:marRight w:val="0"/>
      <w:marTop w:val="0"/>
      <w:marBottom w:val="0"/>
      <w:divBdr>
        <w:top w:val="none" w:sz="0" w:space="0" w:color="auto"/>
        <w:left w:val="none" w:sz="0" w:space="0" w:color="auto"/>
        <w:bottom w:val="none" w:sz="0" w:space="0" w:color="auto"/>
        <w:right w:val="none" w:sz="0" w:space="0" w:color="auto"/>
      </w:divBdr>
    </w:div>
    <w:div w:id="647586621">
      <w:bodyDiv w:val="1"/>
      <w:marLeft w:val="0"/>
      <w:marRight w:val="0"/>
      <w:marTop w:val="0"/>
      <w:marBottom w:val="0"/>
      <w:divBdr>
        <w:top w:val="none" w:sz="0" w:space="0" w:color="auto"/>
        <w:left w:val="none" w:sz="0" w:space="0" w:color="auto"/>
        <w:bottom w:val="none" w:sz="0" w:space="0" w:color="auto"/>
        <w:right w:val="none" w:sz="0" w:space="0" w:color="auto"/>
      </w:divBdr>
    </w:div>
    <w:div w:id="647785386">
      <w:bodyDiv w:val="1"/>
      <w:marLeft w:val="0"/>
      <w:marRight w:val="0"/>
      <w:marTop w:val="0"/>
      <w:marBottom w:val="0"/>
      <w:divBdr>
        <w:top w:val="none" w:sz="0" w:space="0" w:color="auto"/>
        <w:left w:val="none" w:sz="0" w:space="0" w:color="auto"/>
        <w:bottom w:val="none" w:sz="0" w:space="0" w:color="auto"/>
        <w:right w:val="none" w:sz="0" w:space="0" w:color="auto"/>
      </w:divBdr>
    </w:div>
    <w:div w:id="648022692">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50058703">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0447208">
      <w:bodyDiv w:val="1"/>
      <w:marLeft w:val="0"/>
      <w:marRight w:val="0"/>
      <w:marTop w:val="0"/>
      <w:marBottom w:val="0"/>
      <w:divBdr>
        <w:top w:val="none" w:sz="0" w:space="0" w:color="auto"/>
        <w:left w:val="none" w:sz="0" w:space="0" w:color="auto"/>
        <w:bottom w:val="none" w:sz="0" w:space="0" w:color="auto"/>
        <w:right w:val="none" w:sz="0" w:space="0" w:color="auto"/>
      </w:divBdr>
    </w:div>
    <w:div w:id="6510612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2680647">
      <w:bodyDiv w:val="1"/>
      <w:marLeft w:val="0"/>
      <w:marRight w:val="0"/>
      <w:marTop w:val="0"/>
      <w:marBottom w:val="0"/>
      <w:divBdr>
        <w:top w:val="none" w:sz="0" w:space="0" w:color="auto"/>
        <w:left w:val="none" w:sz="0" w:space="0" w:color="auto"/>
        <w:bottom w:val="none" w:sz="0" w:space="0" w:color="auto"/>
        <w:right w:val="none" w:sz="0" w:space="0" w:color="auto"/>
      </w:divBdr>
    </w:div>
    <w:div w:id="652755249">
      <w:bodyDiv w:val="1"/>
      <w:marLeft w:val="0"/>
      <w:marRight w:val="0"/>
      <w:marTop w:val="0"/>
      <w:marBottom w:val="0"/>
      <w:divBdr>
        <w:top w:val="none" w:sz="0" w:space="0" w:color="auto"/>
        <w:left w:val="none" w:sz="0" w:space="0" w:color="auto"/>
        <w:bottom w:val="none" w:sz="0" w:space="0" w:color="auto"/>
        <w:right w:val="none" w:sz="0" w:space="0" w:color="auto"/>
      </w:divBdr>
    </w:div>
    <w:div w:id="653028724">
      <w:bodyDiv w:val="1"/>
      <w:marLeft w:val="0"/>
      <w:marRight w:val="0"/>
      <w:marTop w:val="0"/>
      <w:marBottom w:val="0"/>
      <w:divBdr>
        <w:top w:val="none" w:sz="0" w:space="0" w:color="auto"/>
        <w:left w:val="none" w:sz="0" w:space="0" w:color="auto"/>
        <w:bottom w:val="none" w:sz="0" w:space="0" w:color="auto"/>
        <w:right w:val="none" w:sz="0" w:space="0" w:color="auto"/>
      </w:divBdr>
    </w:div>
    <w:div w:id="653143221">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3727015">
      <w:bodyDiv w:val="1"/>
      <w:marLeft w:val="0"/>
      <w:marRight w:val="0"/>
      <w:marTop w:val="0"/>
      <w:marBottom w:val="0"/>
      <w:divBdr>
        <w:top w:val="none" w:sz="0" w:space="0" w:color="auto"/>
        <w:left w:val="none" w:sz="0" w:space="0" w:color="auto"/>
        <w:bottom w:val="none" w:sz="0" w:space="0" w:color="auto"/>
        <w:right w:val="none" w:sz="0" w:space="0" w:color="auto"/>
      </w:divBdr>
    </w:div>
    <w:div w:id="653799181">
      <w:bodyDiv w:val="1"/>
      <w:marLeft w:val="0"/>
      <w:marRight w:val="0"/>
      <w:marTop w:val="0"/>
      <w:marBottom w:val="0"/>
      <w:divBdr>
        <w:top w:val="none" w:sz="0" w:space="0" w:color="auto"/>
        <w:left w:val="none" w:sz="0" w:space="0" w:color="auto"/>
        <w:bottom w:val="none" w:sz="0" w:space="0" w:color="auto"/>
        <w:right w:val="none" w:sz="0" w:space="0" w:color="auto"/>
      </w:divBdr>
    </w:div>
    <w:div w:id="655769991">
      <w:bodyDiv w:val="1"/>
      <w:marLeft w:val="0"/>
      <w:marRight w:val="0"/>
      <w:marTop w:val="0"/>
      <w:marBottom w:val="0"/>
      <w:divBdr>
        <w:top w:val="none" w:sz="0" w:space="0" w:color="auto"/>
        <w:left w:val="none" w:sz="0" w:space="0" w:color="auto"/>
        <w:bottom w:val="none" w:sz="0" w:space="0" w:color="auto"/>
        <w:right w:val="none" w:sz="0" w:space="0" w:color="auto"/>
      </w:divBdr>
    </w:div>
    <w:div w:id="655843834">
      <w:bodyDiv w:val="1"/>
      <w:marLeft w:val="0"/>
      <w:marRight w:val="0"/>
      <w:marTop w:val="0"/>
      <w:marBottom w:val="0"/>
      <w:divBdr>
        <w:top w:val="none" w:sz="0" w:space="0" w:color="auto"/>
        <w:left w:val="none" w:sz="0" w:space="0" w:color="auto"/>
        <w:bottom w:val="none" w:sz="0" w:space="0" w:color="auto"/>
        <w:right w:val="none" w:sz="0" w:space="0" w:color="auto"/>
      </w:divBdr>
    </w:div>
    <w:div w:id="655961815">
      <w:bodyDiv w:val="1"/>
      <w:marLeft w:val="0"/>
      <w:marRight w:val="0"/>
      <w:marTop w:val="0"/>
      <w:marBottom w:val="0"/>
      <w:divBdr>
        <w:top w:val="none" w:sz="0" w:space="0" w:color="auto"/>
        <w:left w:val="none" w:sz="0" w:space="0" w:color="auto"/>
        <w:bottom w:val="none" w:sz="0" w:space="0" w:color="auto"/>
        <w:right w:val="none" w:sz="0" w:space="0" w:color="auto"/>
      </w:divBdr>
    </w:div>
    <w:div w:id="656038886">
      <w:bodyDiv w:val="1"/>
      <w:marLeft w:val="0"/>
      <w:marRight w:val="0"/>
      <w:marTop w:val="0"/>
      <w:marBottom w:val="0"/>
      <w:divBdr>
        <w:top w:val="none" w:sz="0" w:space="0" w:color="auto"/>
        <w:left w:val="none" w:sz="0" w:space="0" w:color="auto"/>
        <w:bottom w:val="none" w:sz="0" w:space="0" w:color="auto"/>
        <w:right w:val="none" w:sz="0" w:space="0" w:color="auto"/>
      </w:divBdr>
    </w:div>
    <w:div w:id="656111788">
      <w:bodyDiv w:val="1"/>
      <w:marLeft w:val="0"/>
      <w:marRight w:val="0"/>
      <w:marTop w:val="0"/>
      <w:marBottom w:val="0"/>
      <w:divBdr>
        <w:top w:val="none" w:sz="0" w:space="0" w:color="auto"/>
        <w:left w:val="none" w:sz="0" w:space="0" w:color="auto"/>
        <w:bottom w:val="none" w:sz="0" w:space="0" w:color="auto"/>
        <w:right w:val="none" w:sz="0" w:space="0" w:color="auto"/>
      </w:divBdr>
    </w:div>
    <w:div w:id="656615438">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6963066">
      <w:bodyDiv w:val="1"/>
      <w:marLeft w:val="0"/>
      <w:marRight w:val="0"/>
      <w:marTop w:val="0"/>
      <w:marBottom w:val="0"/>
      <w:divBdr>
        <w:top w:val="none" w:sz="0" w:space="0" w:color="auto"/>
        <w:left w:val="none" w:sz="0" w:space="0" w:color="auto"/>
        <w:bottom w:val="none" w:sz="0" w:space="0" w:color="auto"/>
        <w:right w:val="none" w:sz="0" w:space="0" w:color="auto"/>
      </w:divBdr>
    </w:div>
    <w:div w:id="658533651">
      <w:bodyDiv w:val="1"/>
      <w:marLeft w:val="0"/>
      <w:marRight w:val="0"/>
      <w:marTop w:val="0"/>
      <w:marBottom w:val="0"/>
      <w:divBdr>
        <w:top w:val="none" w:sz="0" w:space="0" w:color="auto"/>
        <w:left w:val="none" w:sz="0" w:space="0" w:color="auto"/>
        <w:bottom w:val="none" w:sz="0" w:space="0" w:color="auto"/>
        <w:right w:val="none" w:sz="0" w:space="0" w:color="auto"/>
      </w:divBdr>
    </w:div>
    <w:div w:id="658772734">
      <w:bodyDiv w:val="1"/>
      <w:marLeft w:val="0"/>
      <w:marRight w:val="0"/>
      <w:marTop w:val="0"/>
      <w:marBottom w:val="0"/>
      <w:divBdr>
        <w:top w:val="none" w:sz="0" w:space="0" w:color="auto"/>
        <w:left w:val="none" w:sz="0" w:space="0" w:color="auto"/>
        <w:bottom w:val="none" w:sz="0" w:space="0" w:color="auto"/>
        <w:right w:val="none" w:sz="0" w:space="0" w:color="auto"/>
      </w:divBdr>
    </w:div>
    <w:div w:id="659505004">
      <w:bodyDiv w:val="1"/>
      <w:marLeft w:val="0"/>
      <w:marRight w:val="0"/>
      <w:marTop w:val="0"/>
      <w:marBottom w:val="0"/>
      <w:divBdr>
        <w:top w:val="none" w:sz="0" w:space="0" w:color="auto"/>
        <w:left w:val="none" w:sz="0" w:space="0" w:color="auto"/>
        <w:bottom w:val="none" w:sz="0" w:space="0" w:color="auto"/>
        <w:right w:val="none" w:sz="0" w:space="0" w:color="auto"/>
      </w:divBdr>
    </w:div>
    <w:div w:id="660079608">
      <w:bodyDiv w:val="1"/>
      <w:marLeft w:val="0"/>
      <w:marRight w:val="0"/>
      <w:marTop w:val="0"/>
      <w:marBottom w:val="0"/>
      <w:divBdr>
        <w:top w:val="none" w:sz="0" w:space="0" w:color="auto"/>
        <w:left w:val="none" w:sz="0" w:space="0" w:color="auto"/>
        <w:bottom w:val="none" w:sz="0" w:space="0" w:color="auto"/>
        <w:right w:val="none" w:sz="0" w:space="0" w:color="auto"/>
      </w:divBdr>
    </w:div>
    <w:div w:id="660086842">
      <w:bodyDiv w:val="1"/>
      <w:marLeft w:val="0"/>
      <w:marRight w:val="0"/>
      <w:marTop w:val="0"/>
      <w:marBottom w:val="0"/>
      <w:divBdr>
        <w:top w:val="none" w:sz="0" w:space="0" w:color="auto"/>
        <w:left w:val="none" w:sz="0" w:space="0" w:color="auto"/>
        <w:bottom w:val="none" w:sz="0" w:space="0" w:color="auto"/>
        <w:right w:val="none" w:sz="0" w:space="0" w:color="auto"/>
      </w:divBdr>
    </w:div>
    <w:div w:id="66193209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972914">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4745487">
      <w:bodyDiv w:val="1"/>
      <w:marLeft w:val="0"/>
      <w:marRight w:val="0"/>
      <w:marTop w:val="0"/>
      <w:marBottom w:val="0"/>
      <w:divBdr>
        <w:top w:val="none" w:sz="0" w:space="0" w:color="auto"/>
        <w:left w:val="none" w:sz="0" w:space="0" w:color="auto"/>
        <w:bottom w:val="none" w:sz="0" w:space="0" w:color="auto"/>
        <w:right w:val="none" w:sz="0" w:space="0" w:color="auto"/>
      </w:divBdr>
    </w:div>
    <w:div w:id="665091478">
      <w:bodyDiv w:val="1"/>
      <w:marLeft w:val="0"/>
      <w:marRight w:val="0"/>
      <w:marTop w:val="0"/>
      <w:marBottom w:val="0"/>
      <w:divBdr>
        <w:top w:val="none" w:sz="0" w:space="0" w:color="auto"/>
        <w:left w:val="none" w:sz="0" w:space="0" w:color="auto"/>
        <w:bottom w:val="none" w:sz="0" w:space="0" w:color="auto"/>
        <w:right w:val="none" w:sz="0" w:space="0" w:color="auto"/>
      </w:divBdr>
    </w:div>
    <w:div w:id="665282599">
      <w:bodyDiv w:val="1"/>
      <w:marLeft w:val="0"/>
      <w:marRight w:val="0"/>
      <w:marTop w:val="0"/>
      <w:marBottom w:val="0"/>
      <w:divBdr>
        <w:top w:val="none" w:sz="0" w:space="0" w:color="auto"/>
        <w:left w:val="none" w:sz="0" w:space="0" w:color="auto"/>
        <w:bottom w:val="none" w:sz="0" w:space="0" w:color="auto"/>
        <w:right w:val="none" w:sz="0" w:space="0" w:color="auto"/>
      </w:divBdr>
    </w:div>
    <w:div w:id="666399208">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6784357">
      <w:bodyDiv w:val="1"/>
      <w:marLeft w:val="0"/>
      <w:marRight w:val="0"/>
      <w:marTop w:val="0"/>
      <w:marBottom w:val="0"/>
      <w:divBdr>
        <w:top w:val="none" w:sz="0" w:space="0" w:color="auto"/>
        <w:left w:val="none" w:sz="0" w:space="0" w:color="auto"/>
        <w:bottom w:val="none" w:sz="0" w:space="0" w:color="auto"/>
        <w:right w:val="none" w:sz="0" w:space="0" w:color="auto"/>
      </w:divBdr>
    </w:div>
    <w:div w:id="667098897">
      <w:bodyDiv w:val="1"/>
      <w:marLeft w:val="0"/>
      <w:marRight w:val="0"/>
      <w:marTop w:val="0"/>
      <w:marBottom w:val="0"/>
      <w:divBdr>
        <w:top w:val="none" w:sz="0" w:space="0" w:color="auto"/>
        <w:left w:val="none" w:sz="0" w:space="0" w:color="auto"/>
        <w:bottom w:val="none" w:sz="0" w:space="0" w:color="auto"/>
        <w:right w:val="none" w:sz="0" w:space="0" w:color="auto"/>
      </w:divBdr>
    </w:div>
    <w:div w:id="667363368">
      <w:bodyDiv w:val="1"/>
      <w:marLeft w:val="0"/>
      <w:marRight w:val="0"/>
      <w:marTop w:val="0"/>
      <w:marBottom w:val="0"/>
      <w:divBdr>
        <w:top w:val="none" w:sz="0" w:space="0" w:color="auto"/>
        <w:left w:val="none" w:sz="0" w:space="0" w:color="auto"/>
        <w:bottom w:val="none" w:sz="0" w:space="0" w:color="auto"/>
        <w:right w:val="none" w:sz="0" w:space="0" w:color="auto"/>
      </w:divBdr>
    </w:div>
    <w:div w:id="667753053">
      <w:bodyDiv w:val="1"/>
      <w:marLeft w:val="0"/>
      <w:marRight w:val="0"/>
      <w:marTop w:val="0"/>
      <w:marBottom w:val="0"/>
      <w:divBdr>
        <w:top w:val="none" w:sz="0" w:space="0" w:color="auto"/>
        <w:left w:val="none" w:sz="0" w:space="0" w:color="auto"/>
        <w:bottom w:val="none" w:sz="0" w:space="0" w:color="auto"/>
        <w:right w:val="none" w:sz="0" w:space="0" w:color="auto"/>
      </w:divBdr>
    </w:div>
    <w:div w:id="667909059">
      <w:bodyDiv w:val="1"/>
      <w:marLeft w:val="0"/>
      <w:marRight w:val="0"/>
      <w:marTop w:val="0"/>
      <w:marBottom w:val="0"/>
      <w:divBdr>
        <w:top w:val="none" w:sz="0" w:space="0" w:color="auto"/>
        <w:left w:val="none" w:sz="0" w:space="0" w:color="auto"/>
        <w:bottom w:val="none" w:sz="0" w:space="0" w:color="auto"/>
        <w:right w:val="none" w:sz="0" w:space="0" w:color="auto"/>
      </w:divBdr>
    </w:div>
    <w:div w:id="667951042">
      <w:bodyDiv w:val="1"/>
      <w:marLeft w:val="0"/>
      <w:marRight w:val="0"/>
      <w:marTop w:val="0"/>
      <w:marBottom w:val="0"/>
      <w:divBdr>
        <w:top w:val="none" w:sz="0" w:space="0" w:color="auto"/>
        <w:left w:val="none" w:sz="0" w:space="0" w:color="auto"/>
        <w:bottom w:val="none" w:sz="0" w:space="0" w:color="auto"/>
        <w:right w:val="none" w:sz="0" w:space="0" w:color="auto"/>
      </w:divBdr>
    </w:div>
    <w:div w:id="668362745">
      <w:bodyDiv w:val="1"/>
      <w:marLeft w:val="0"/>
      <w:marRight w:val="0"/>
      <w:marTop w:val="0"/>
      <w:marBottom w:val="0"/>
      <w:divBdr>
        <w:top w:val="none" w:sz="0" w:space="0" w:color="auto"/>
        <w:left w:val="none" w:sz="0" w:space="0" w:color="auto"/>
        <w:bottom w:val="none" w:sz="0" w:space="0" w:color="auto"/>
        <w:right w:val="none" w:sz="0" w:space="0" w:color="auto"/>
      </w:divBdr>
    </w:div>
    <w:div w:id="668363472">
      <w:bodyDiv w:val="1"/>
      <w:marLeft w:val="0"/>
      <w:marRight w:val="0"/>
      <w:marTop w:val="0"/>
      <w:marBottom w:val="0"/>
      <w:divBdr>
        <w:top w:val="none" w:sz="0" w:space="0" w:color="auto"/>
        <w:left w:val="none" w:sz="0" w:space="0" w:color="auto"/>
        <w:bottom w:val="none" w:sz="0" w:space="0" w:color="auto"/>
        <w:right w:val="none" w:sz="0" w:space="0" w:color="auto"/>
      </w:divBdr>
    </w:div>
    <w:div w:id="668603336">
      <w:bodyDiv w:val="1"/>
      <w:marLeft w:val="0"/>
      <w:marRight w:val="0"/>
      <w:marTop w:val="0"/>
      <w:marBottom w:val="0"/>
      <w:divBdr>
        <w:top w:val="none" w:sz="0" w:space="0" w:color="auto"/>
        <w:left w:val="none" w:sz="0" w:space="0" w:color="auto"/>
        <w:bottom w:val="none" w:sz="0" w:space="0" w:color="auto"/>
        <w:right w:val="none" w:sz="0" w:space="0" w:color="auto"/>
      </w:divBdr>
    </w:div>
    <w:div w:id="668799659">
      <w:bodyDiv w:val="1"/>
      <w:marLeft w:val="0"/>
      <w:marRight w:val="0"/>
      <w:marTop w:val="0"/>
      <w:marBottom w:val="0"/>
      <w:divBdr>
        <w:top w:val="none" w:sz="0" w:space="0" w:color="auto"/>
        <w:left w:val="none" w:sz="0" w:space="0" w:color="auto"/>
        <w:bottom w:val="none" w:sz="0" w:space="0" w:color="auto"/>
        <w:right w:val="none" w:sz="0" w:space="0" w:color="auto"/>
      </w:divBdr>
    </w:div>
    <w:div w:id="668875618">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69405895">
      <w:bodyDiv w:val="1"/>
      <w:marLeft w:val="0"/>
      <w:marRight w:val="0"/>
      <w:marTop w:val="0"/>
      <w:marBottom w:val="0"/>
      <w:divBdr>
        <w:top w:val="none" w:sz="0" w:space="0" w:color="auto"/>
        <w:left w:val="none" w:sz="0" w:space="0" w:color="auto"/>
        <w:bottom w:val="none" w:sz="0" w:space="0" w:color="auto"/>
        <w:right w:val="none" w:sz="0" w:space="0" w:color="auto"/>
      </w:divBdr>
    </w:div>
    <w:div w:id="669525828">
      <w:bodyDiv w:val="1"/>
      <w:marLeft w:val="0"/>
      <w:marRight w:val="0"/>
      <w:marTop w:val="0"/>
      <w:marBottom w:val="0"/>
      <w:divBdr>
        <w:top w:val="none" w:sz="0" w:space="0" w:color="auto"/>
        <w:left w:val="none" w:sz="0" w:space="0" w:color="auto"/>
        <w:bottom w:val="none" w:sz="0" w:space="0" w:color="auto"/>
        <w:right w:val="none" w:sz="0" w:space="0" w:color="auto"/>
      </w:divBdr>
    </w:div>
    <w:div w:id="669719445">
      <w:bodyDiv w:val="1"/>
      <w:marLeft w:val="0"/>
      <w:marRight w:val="0"/>
      <w:marTop w:val="0"/>
      <w:marBottom w:val="0"/>
      <w:divBdr>
        <w:top w:val="none" w:sz="0" w:space="0" w:color="auto"/>
        <w:left w:val="none" w:sz="0" w:space="0" w:color="auto"/>
        <w:bottom w:val="none" w:sz="0" w:space="0" w:color="auto"/>
        <w:right w:val="none" w:sz="0" w:space="0" w:color="auto"/>
      </w:divBdr>
    </w:div>
    <w:div w:id="670302650">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0645748">
      <w:bodyDiv w:val="1"/>
      <w:marLeft w:val="0"/>
      <w:marRight w:val="0"/>
      <w:marTop w:val="0"/>
      <w:marBottom w:val="0"/>
      <w:divBdr>
        <w:top w:val="none" w:sz="0" w:space="0" w:color="auto"/>
        <w:left w:val="none" w:sz="0" w:space="0" w:color="auto"/>
        <w:bottom w:val="none" w:sz="0" w:space="0" w:color="auto"/>
        <w:right w:val="none" w:sz="0" w:space="0" w:color="auto"/>
      </w:divBdr>
    </w:div>
    <w:div w:id="671228120">
      <w:bodyDiv w:val="1"/>
      <w:marLeft w:val="0"/>
      <w:marRight w:val="0"/>
      <w:marTop w:val="0"/>
      <w:marBottom w:val="0"/>
      <w:divBdr>
        <w:top w:val="none" w:sz="0" w:space="0" w:color="auto"/>
        <w:left w:val="none" w:sz="0" w:space="0" w:color="auto"/>
        <w:bottom w:val="none" w:sz="0" w:space="0" w:color="auto"/>
        <w:right w:val="none" w:sz="0" w:space="0" w:color="auto"/>
      </w:divBdr>
    </w:div>
    <w:div w:id="672269637">
      <w:bodyDiv w:val="1"/>
      <w:marLeft w:val="0"/>
      <w:marRight w:val="0"/>
      <w:marTop w:val="0"/>
      <w:marBottom w:val="0"/>
      <w:divBdr>
        <w:top w:val="none" w:sz="0" w:space="0" w:color="auto"/>
        <w:left w:val="none" w:sz="0" w:space="0" w:color="auto"/>
        <w:bottom w:val="none" w:sz="0" w:space="0" w:color="auto"/>
        <w:right w:val="none" w:sz="0" w:space="0" w:color="auto"/>
      </w:divBdr>
    </w:div>
    <w:div w:id="672536081">
      <w:bodyDiv w:val="1"/>
      <w:marLeft w:val="0"/>
      <w:marRight w:val="0"/>
      <w:marTop w:val="0"/>
      <w:marBottom w:val="0"/>
      <w:divBdr>
        <w:top w:val="none" w:sz="0" w:space="0" w:color="auto"/>
        <w:left w:val="none" w:sz="0" w:space="0" w:color="auto"/>
        <w:bottom w:val="none" w:sz="0" w:space="0" w:color="auto"/>
        <w:right w:val="none" w:sz="0" w:space="0" w:color="auto"/>
      </w:divBdr>
    </w:div>
    <w:div w:id="672608498">
      <w:bodyDiv w:val="1"/>
      <w:marLeft w:val="0"/>
      <w:marRight w:val="0"/>
      <w:marTop w:val="0"/>
      <w:marBottom w:val="0"/>
      <w:divBdr>
        <w:top w:val="none" w:sz="0" w:space="0" w:color="auto"/>
        <w:left w:val="none" w:sz="0" w:space="0" w:color="auto"/>
        <w:bottom w:val="none" w:sz="0" w:space="0" w:color="auto"/>
        <w:right w:val="none" w:sz="0" w:space="0" w:color="auto"/>
      </w:divBdr>
    </w:div>
    <w:div w:id="672876275">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4067340">
      <w:bodyDiv w:val="1"/>
      <w:marLeft w:val="0"/>
      <w:marRight w:val="0"/>
      <w:marTop w:val="0"/>
      <w:marBottom w:val="0"/>
      <w:divBdr>
        <w:top w:val="none" w:sz="0" w:space="0" w:color="auto"/>
        <w:left w:val="none" w:sz="0" w:space="0" w:color="auto"/>
        <w:bottom w:val="none" w:sz="0" w:space="0" w:color="auto"/>
        <w:right w:val="none" w:sz="0" w:space="0" w:color="auto"/>
      </w:divBdr>
    </w:div>
    <w:div w:id="674570417">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6152451">
      <w:bodyDiv w:val="1"/>
      <w:marLeft w:val="0"/>
      <w:marRight w:val="0"/>
      <w:marTop w:val="0"/>
      <w:marBottom w:val="0"/>
      <w:divBdr>
        <w:top w:val="none" w:sz="0" w:space="0" w:color="auto"/>
        <w:left w:val="none" w:sz="0" w:space="0" w:color="auto"/>
        <w:bottom w:val="none" w:sz="0" w:space="0" w:color="auto"/>
        <w:right w:val="none" w:sz="0" w:space="0" w:color="auto"/>
      </w:divBdr>
    </w:div>
    <w:div w:id="676152953">
      <w:bodyDiv w:val="1"/>
      <w:marLeft w:val="0"/>
      <w:marRight w:val="0"/>
      <w:marTop w:val="0"/>
      <w:marBottom w:val="0"/>
      <w:divBdr>
        <w:top w:val="none" w:sz="0" w:space="0" w:color="auto"/>
        <w:left w:val="none" w:sz="0" w:space="0" w:color="auto"/>
        <w:bottom w:val="none" w:sz="0" w:space="0" w:color="auto"/>
        <w:right w:val="none" w:sz="0" w:space="0" w:color="auto"/>
      </w:divBdr>
    </w:div>
    <w:div w:id="677276582">
      <w:bodyDiv w:val="1"/>
      <w:marLeft w:val="0"/>
      <w:marRight w:val="0"/>
      <w:marTop w:val="0"/>
      <w:marBottom w:val="0"/>
      <w:divBdr>
        <w:top w:val="none" w:sz="0" w:space="0" w:color="auto"/>
        <w:left w:val="none" w:sz="0" w:space="0" w:color="auto"/>
        <w:bottom w:val="none" w:sz="0" w:space="0" w:color="auto"/>
        <w:right w:val="none" w:sz="0" w:space="0" w:color="auto"/>
      </w:divBdr>
    </w:div>
    <w:div w:id="677535475">
      <w:bodyDiv w:val="1"/>
      <w:marLeft w:val="0"/>
      <w:marRight w:val="0"/>
      <w:marTop w:val="0"/>
      <w:marBottom w:val="0"/>
      <w:divBdr>
        <w:top w:val="none" w:sz="0" w:space="0" w:color="auto"/>
        <w:left w:val="none" w:sz="0" w:space="0" w:color="auto"/>
        <w:bottom w:val="none" w:sz="0" w:space="0" w:color="auto"/>
        <w:right w:val="none" w:sz="0" w:space="0" w:color="auto"/>
      </w:divBdr>
    </w:div>
    <w:div w:id="677540758">
      <w:bodyDiv w:val="1"/>
      <w:marLeft w:val="0"/>
      <w:marRight w:val="0"/>
      <w:marTop w:val="0"/>
      <w:marBottom w:val="0"/>
      <w:divBdr>
        <w:top w:val="none" w:sz="0" w:space="0" w:color="auto"/>
        <w:left w:val="none" w:sz="0" w:space="0" w:color="auto"/>
        <w:bottom w:val="none" w:sz="0" w:space="0" w:color="auto"/>
        <w:right w:val="none" w:sz="0" w:space="0" w:color="auto"/>
      </w:divBdr>
    </w:div>
    <w:div w:id="677586643">
      <w:bodyDiv w:val="1"/>
      <w:marLeft w:val="0"/>
      <w:marRight w:val="0"/>
      <w:marTop w:val="0"/>
      <w:marBottom w:val="0"/>
      <w:divBdr>
        <w:top w:val="none" w:sz="0" w:space="0" w:color="auto"/>
        <w:left w:val="none" w:sz="0" w:space="0" w:color="auto"/>
        <w:bottom w:val="none" w:sz="0" w:space="0" w:color="auto"/>
        <w:right w:val="none" w:sz="0" w:space="0" w:color="auto"/>
      </w:divBdr>
    </w:div>
    <w:div w:id="679241571">
      <w:bodyDiv w:val="1"/>
      <w:marLeft w:val="0"/>
      <w:marRight w:val="0"/>
      <w:marTop w:val="0"/>
      <w:marBottom w:val="0"/>
      <w:divBdr>
        <w:top w:val="none" w:sz="0" w:space="0" w:color="auto"/>
        <w:left w:val="none" w:sz="0" w:space="0" w:color="auto"/>
        <w:bottom w:val="none" w:sz="0" w:space="0" w:color="auto"/>
        <w:right w:val="none" w:sz="0" w:space="0" w:color="auto"/>
      </w:divBdr>
    </w:div>
    <w:div w:id="679281120">
      <w:bodyDiv w:val="1"/>
      <w:marLeft w:val="0"/>
      <w:marRight w:val="0"/>
      <w:marTop w:val="0"/>
      <w:marBottom w:val="0"/>
      <w:divBdr>
        <w:top w:val="none" w:sz="0" w:space="0" w:color="auto"/>
        <w:left w:val="none" w:sz="0" w:space="0" w:color="auto"/>
        <w:bottom w:val="none" w:sz="0" w:space="0" w:color="auto"/>
        <w:right w:val="none" w:sz="0" w:space="0" w:color="auto"/>
      </w:divBdr>
    </w:div>
    <w:div w:id="679509407">
      <w:bodyDiv w:val="1"/>
      <w:marLeft w:val="0"/>
      <w:marRight w:val="0"/>
      <w:marTop w:val="0"/>
      <w:marBottom w:val="0"/>
      <w:divBdr>
        <w:top w:val="none" w:sz="0" w:space="0" w:color="auto"/>
        <w:left w:val="none" w:sz="0" w:space="0" w:color="auto"/>
        <w:bottom w:val="none" w:sz="0" w:space="0" w:color="auto"/>
        <w:right w:val="none" w:sz="0" w:space="0" w:color="auto"/>
      </w:divBdr>
    </w:div>
    <w:div w:id="679937147">
      <w:bodyDiv w:val="1"/>
      <w:marLeft w:val="0"/>
      <w:marRight w:val="0"/>
      <w:marTop w:val="0"/>
      <w:marBottom w:val="0"/>
      <w:divBdr>
        <w:top w:val="none" w:sz="0" w:space="0" w:color="auto"/>
        <w:left w:val="none" w:sz="0" w:space="0" w:color="auto"/>
        <w:bottom w:val="none" w:sz="0" w:space="0" w:color="auto"/>
        <w:right w:val="none" w:sz="0" w:space="0" w:color="auto"/>
      </w:divBdr>
    </w:div>
    <w:div w:id="680358991">
      <w:bodyDiv w:val="1"/>
      <w:marLeft w:val="0"/>
      <w:marRight w:val="0"/>
      <w:marTop w:val="0"/>
      <w:marBottom w:val="0"/>
      <w:divBdr>
        <w:top w:val="none" w:sz="0" w:space="0" w:color="auto"/>
        <w:left w:val="none" w:sz="0" w:space="0" w:color="auto"/>
        <w:bottom w:val="none" w:sz="0" w:space="0" w:color="auto"/>
        <w:right w:val="none" w:sz="0" w:space="0" w:color="auto"/>
      </w:divBdr>
    </w:div>
    <w:div w:id="6809389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363525">
      <w:bodyDiv w:val="1"/>
      <w:marLeft w:val="0"/>
      <w:marRight w:val="0"/>
      <w:marTop w:val="0"/>
      <w:marBottom w:val="0"/>
      <w:divBdr>
        <w:top w:val="none" w:sz="0" w:space="0" w:color="auto"/>
        <w:left w:val="none" w:sz="0" w:space="0" w:color="auto"/>
        <w:bottom w:val="none" w:sz="0" w:space="0" w:color="auto"/>
        <w:right w:val="none" w:sz="0" w:space="0" w:color="auto"/>
      </w:divBdr>
    </w:div>
    <w:div w:id="683630763">
      <w:bodyDiv w:val="1"/>
      <w:marLeft w:val="0"/>
      <w:marRight w:val="0"/>
      <w:marTop w:val="0"/>
      <w:marBottom w:val="0"/>
      <w:divBdr>
        <w:top w:val="none" w:sz="0" w:space="0" w:color="auto"/>
        <w:left w:val="none" w:sz="0" w:space="0" w:color="auto"/>
        <w:bottom w:val="none" w:sz="0" w:space="0" w:color="auto"/>
        <w:right w:val="none" w:sz="0" w:space="0" w:color="auto"/>
      </w:divBdr>
    </w:div>
    <w:div w:id="684552062">
      <w:bodyDiv w:val="1"/>
      <w:marLeft w:val="0"/>
      <w:marRight w:val="0"/>
      <w:marTop w:val="0"/>
      <w:marBottom w:val="0"/>
      <w:divBdr>
        <w:top w:val="none" w:sz="0" w:space="0" w:color="auto"/>
        <w:left w:val="none" w:sz="0" w:space="0" w:color="auto"/>
        <w:bottom w:val="none" w:sz="0" w:space="0" w:color="auto"/>
        <w:right w:val="none" w:sz="0" w:space="0" w:color="auto"/>
      </w:divBdr>
    </w:div>
    <w:div w:id="684793649">
      <w:bodyDiv w:val="1"/>
      <w:marLeft w:val="0"/>
      <w:marRight w:val="0"/>
      <w:marTop w:val="0"/>
      <w:marBottom w:val="0"/>
      <w:divBdr>
        <w:top w:val="none" w:sz="0" w:space="0" w:color="auto"/>
        <w:left w:val="none" w:sz="0" w:space="0" w:color="auto"/>
        <w:bottom w:val="none" w:sz="0" w:space="0" w:color="auto"/>
        <w:right w:val="none" w:sz="0" w:space="0" w:color="auto"/>
      </w:divBdr>
    </w:div>
    <w:div w:id="685063400">
      <w:bodyDiv w:val="1"/>
      <w:marLeft w:val="0"/>
      <w:marRight w:val="0"/>
      <w:marTop w:val="0"/>
      <w:marBottom w:val="0"/>
      <w:divBdr>
        <w:top w:val="none" w:sz="0" w:space="0" w:color="auto"/>
        <w:left w:val="none" w:sz="0" w:space="0" w:color="auto"/>
        <w:bottom w:val="none" w:sz="0" w:space="0" w:color="auto"/>
        <w:right w:val="none" w:sz="0" w:space="0" w:color="auto"/>
      </w:divBdr>
    </w:div>
    <w:div w:id="685181756">
      <w:bodyDiv w:val="1"/>
      <w:marLeft w:val="0"/>
      <w:marRight w:val="0"/>
      <w:marTop w:val="0"/>
      <w:marBottom w:val="0"/>
      <w:divBdr>
        <w:top w:val="none" w:sz="0" w:space="0" w:color="auto"/>
        <w:left w:val="none" w:sz="0" w:space="0" w:color="auto"/>
        <w:bottom w:val="none" w:sz="0" w:space="0" w:color="auto"/>
        <w:right w:val="none" w:sz="0" w:space="0" w:color="auto"/>
      </w:divBdr>
    </w:div>
    <w:div w:id="685592083">
      <w:bodyDiv w:val="1"/>
      <w:marLeft w:val="0"/>
      <w:marRight w:val="0"/>
      <w:marTop w:val="0"/>
      <w:marBottom w:val="0"/>
      <w:divBdr>
        <w:top w:val="none" w:sz="0" w:space="0" w:color="auto"/>
        <w:left w:val="none" w:sz="0" w:space="0" w:color="auto"/>
        <w:bottom w:val="none" w:sz="0" w:space="0" w:color="auto"/>
        <w:right w:val="none" w:sz="0" w:space="0" w:color="auto"/>
      </w:divBdr>
    </w:div>
    <w:div w:id="685599825">
      <w:bodyDiv w:val="1"/>
      <w:marLeft w:val="0"/>
      <w:marRight w:val="0"/>
      <w:marTop w:val="0"/>
      <w:marBottom w:val="0"/>
      <w:divBdr>
        <w:top w:val="none" w:sz="0" w:space="0" w:color="auto"/>
        <w:left w:val="none" w:sz="0" w:space="0" w:color="auto"/>
        <w:bottom w:val="none" w:sz="0" w:space="0" w:color="auto"/>
        <w:right w:val="none" w:sz="0" w:space="0" w:color="auto"/>
      </w:divBdr>
    </w:div>
    <w:div w:id="685836821">
      <w:bodyDiv w:val="1"/>
      <w:marLeft w:val="0"/>
      <w:marRight w:val="0"/>
      <w:marTop w:val="0"/>
      <w:marBottom w:val="0"/>
      <w:divBdr>
        <w:top w:val="none" w:sz="0" w:space="0" w:color="auto"/>
        <w:left w:val="none" w:sz="0" w:space="0" w:color="auto"/>
        <w:bottom w:val="none" w:sz="0" w:space="0" w:color="auto"/>
        <w:right w:val="none" w:sz="0" w:space="0" w:color="auto"/>
      </w:divBdr>
    </w:div>
    <w:div w:id="685987814">
      <w:bodyDiv w:val="1"/>
      <w:marLeft w:val="0"/>
      <w:marRight w:val="0"/>
      <w:marTop w:val="0"/>
      <w:marBottom w:val="0"/>
      <w:divBdr>
        <w:top w:val="none" w:sz="0" w:space="0" w:color="auto"/>
        <w:left w:val="none" w:sz="0" w:space="0" w:color="auto"/>
        <w:bottom w:val="none" w:sz="0" w:space="0" w:color="auto"/>
        <w:right w:val="none" w:sz="0" w:space="0" w:color="auto"/>
      </w:divBdr>
    </w:div>
    <w:div w:id="686521358">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171518">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7605573">
      <w:bodyDiv w:val="1"/>
      <w:marLeft w:val="0"/>
      <w:marRight w:val="0"/>
      <w:marTop w:val="0"/>
      <w:marBottom w:val="0"/>
      <w:divBdr>
        <w:top w:val="none" w:sz="0" w:space="0" w:color="auto"/>
        <w:left w:val="none" w:sz="0" w:space="0" w:color="auto"/>
        <w:bottom w:val="none" w:sz="0" w:space="0" w:color="auto"/>
        <w:right w:val="none" w:sz="0" w:space="0" w:color="auto"/>
      </w:divBdr>
    </w:div>
    <w:div w:id="689184178">
      <w:bodyDiv w:val="1"/>
      <w:marLeft w:val="0"/>
      <w:marRight w:val="0"/>
      <w:marTop w:val="0"/>
      <w:marBottom w:val="0"/>
      <w:divBdr>
        <w:top w:val="none" w:sz="0" w:space="0" w:color="auto"/>
        <w:left w:val="none" w:sz="0" w:space="0" w:color="auto"/>
        <w:bottom w:val="none" w:sz="0" w:space="0" w:color="auto"/>
        <w:right w:val="none" w:sz="0" w:space="0" w:color="auto"/>
      </w:divBdr>
    </w:div>
    <w:div w:id="689448848">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642907">
      <w:bodyDiv w:val="1"/>
      <w:marLeft w:val="0"/>
      <w:marRight w:val="0"/>
      <w:marTop w:val="0"/>
      <w:marBottom w:val="0"/>
      <w:divBdr>
        <w:top w:val="none" w:sz="0" w:space="0" w:color="auto"/>
        <w:left w:val="none" w:sz="0" w:space="0" w:color="auto"/>
        <w:bottom w:val="none" w:sz="0" w:space="0" w:color="auto"/>
        <w:right w:val="none" w:sz="0" w:space="0" w:color="auto"/>
      </w:divBdr>
    </w:div>
    <w:div w:id="689918809">
      <w:bodyDiv w:val="1"/>
      <w:marLeft w:val="0"/>
      <w:marRight w:val="0"/>
      <w:marTop w:val="0"/>
      <w:marBottom w:val="0"/>
      <w:divBdr>
        <w:top w:val="none" w:sz="0" w:space="0" w:color="auto"/>
        <w:left w:val="none" w:sz="0" w:space="0" w:color="auto"/>
        <w:bottom w:val="none" w:sz="0" w:space="0" w:color="auto"/>
        <w:right w:val="none" w:sz="0" w:space="0" w:color="auto"/>
      </w:divBdr>
    </w:div>
    <w:div w:id="691535879">
      <w:bodyDiv w:val="1"/>
      <w:marLeft w:val="0"/>
      <w:marRight w:val="0"/>
      <w:marTop w:val="0"/>
      <w:marBottom w:val="0"/>
      <w:divBdr>
        <w:top w:val="none" w:sz="0" w:space="0" w:color="auto"/>
        <w:left w:val="none" w:sz="0" w:space="0" w:color="auto"/>
        <w:bottom w:val="none" w:sz="0" w:space="0" w:color="auto"/>
        <w:right w:val="none" w:sz="0" w:space="0" w:color="auto"/>
      </w:divBdr>
    </w:div>
    <w:div w:id="691806828">
      <w:bodyDiv w:val="1"/>
      <w:marLeft w:val="0"/>
      <w:marRight w:val="0"/>
      <w:marTop w:val="0"/>
      <w:marBottom w:val="0"/>
      <w:divBdr>
        <w:top w:val="none" w:sz="0" w:space="0" w:color="auto"/>
        <w:left w:val="none" w:sz="0" w:space="0" w:color="auto"/>
        <w:bottom w:val="none" w:sz="0" w:space="0" w:color="auto"/>
        <w:right w:val="none" w:sz="0" w:space="0" w:color="auto"/>
      </w:divBdr>
    </w:div>
    <w:div w:id="691952597">
      <w:bodyDiv w:val="1"/>
      <w:marLeft w:val="0"/>
      <w:marRight w:val="0"/>
      <w:marTop w:val="0"/>
      <w:marBottom w:val="0"/>
      <w:divBdr>
        <w:top w:val="none" w:sz="0" w:space="0" w:color="auto"/>
        <w:left w:val="none" w:sz="0" w:space="0" w:color="auto"/>
        <w:bottom w:val="none" w:sz="0" w:space="0" w:color="auto"/>
        <w:right w:val="none" w:sz="0" w:space="0" w:color="auto"/>
      </w:divBdr>
    </w:div>
    <w:div w:id="6929973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189696">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4813056">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587372">
      <w:bodyDiv w:val="1"/>
      <w:marLeft w:val="0"/>
      <w:marRight w:val="0"/>
      <w:marTop w:val="0"/>
      <w:marBottom w:val="0"/>
      <w:divBdr>
        <w:top w:val="none" w:sz="0" w:space="0" w:color="auto"/>
        <w:left w:val="none" w:sz="0" w:space="0" w:color="auto"/>
        <w:bottom w:val="none" w:sz="0" w:space="0" w:color="auto"/>
        <w:right w:val="none" w:sz="0" w:space="0" w:color="auto"/>
      </w:divBdr>
    </w:div>
    <w:div w:id="696781205">
      <w:bodyDiv w:val="1"/>
      <w:marLeft w:val="0"/>
      <w:marRight w:val="0"/>
      <w:marTop w:val="0"/>
      <w:marBottom w:val="0"/>
      <w:divBdr>
        <w:top w:val="none" w:sz="0" w:space="0" w:color="auto"/>
        <w:left w:val="none" w:sz="0" w:space="0" w:color="auto"/>
        <w:bottom w:val="none" w:sz="0" w:space="0" w:color="auto"/>
        <w:right w:val="none" w:sz="0" w:space="0" w:color="auto"/>
      </w:divBdr>
    </w:div>
    <w:div w:id="697582004">
      <w:bodyDiv w:val="1"/>
      <w:marLeft w:val="0"/>
      <w:marRight w:val="0"/>
      <w:marTop w:val="0"/>
      <w:marBottom w:val="0"/>
      <w:divBdr>
        <w:top w:val="none" w:sz="0" w:space="0" w:color="auto"/>
        <w:left w:val="none" w:sz="0" w:space="0" w:color="auto"/>
        <w:bottom w:val="none" w:sz="0" w:space="0" w:color="auto"/>
        <w:right w:val="none" w:sz="0" w:space="0" w:color="auto"/>
      </w:divBdr>
    </w:div>
    <w:div w:id="697702018">
      <w:bodyDiv w:val="1"/>
      <w:marLeft w:val="0"/>
      <w:marRight w:val="0"/>
      <w:marTop w:val="0"/>
      <w:marBottom w:val="0"/>
      <w:divBdr>
        <w:top w:val="none" w:sz="0" w:space="0" w:color="auto"/>
        <w:left w:val="none" w:sz="0" w:space="0" w:color="auto"/>
        <w:bottom w:val="none" w:sz="0" w:space="0" w:color="auto"/>
        <w:right w:val="none" w:sz="0" w:space="0" w:color="auto"/>
      </w:divBdr>
    </w:div>
    <w:div w:id="698360281">
      <w:bodyDiv w:val="1"/>
      <w:marLeft w:val="0"/>
      <w:marRight w:val="0"/>
      <w:marTop w:val="0"/>
      <w:marBottom w:val="0"/>
      <w:divBdr>
        <w:top w:val="none" w:sz="0" w:space="0" w:color="auto"/>
        <w:left w:val="none" w:sz="0" w:space="0" w:color="auto"/>
        <w:bottom w:val="none" w:sz="0" w:space="0" w:color="auto"/>
        <w:right w:val="none" w:sz="0" w:space="0" w:color="auto"/>
      </w:divBdr>
    </w:div>
    <w:div w:id="698624690">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0474634">
      <w:bodyDiv w:val="1"/>
      <w:marLeft w:val="0"/>
      <w:marRight w:val="0"/>
      <w:marTop w:val="0"/>
      <w:marBottom w:val="0"/>
      <w:divBdr>
        <w:top w:val="none" w:sz="0" w:space="0" w:color="auto"/>
        <w:left w:val="none" w:sz="0" w:space="0" w:color="auto"/>
        <w:bottom w:val="none" w:sz="0" w:space="0" w:color="auto"/>
        <w:right w:val="none" w:sz="0" w:space="0" w:color="auto"/>
      </w:divBdr>
    </w:div>
    <w:div w:id="700711559">
      <w:bodyDiv w:val="1"/>
      <w:marLeft w:val="0"/>
      <w:marRight w:val="0"/>
      <w:marTop w:val="0"/>
      <w:marBottom w:val="0"/>
      <w:divBdr>
        <w:top w:val="none" w:sz="0" w:space="0" w:color="auto"/>
        <w:left w:val="none" w:sz="0" w:space="0" w:color="auto"/>
        <w:bottom w:val="none" w:sz="0" w:space="0" w:color="auto"/>
        <w:right w:val="none" w:sz="0" w:space="0" w:color="auto"/>
      </w:divBdr>
    </w:div>
    <w:div w:id="700714356">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2169664">
      <w:bodyDiv w:val="1"/>
      <w:marLeft w:val="0"/>
      <w:marRight w:val="0"/>
      <w:marTop w:val="0"/>
      <w:marBottom w:val="0"/>
      <w:divBdr>
        <w:top w:val="none" w:sz="0" w:space="0" w:color="auto"/>
        <w:left w:val="none" w:sz="0" w:space="0" w:color="auto"/>
        <w:bottom w:val="none" w:sz="0" w:space="0" w:color="auto"/>
        <w:right w:val="none" w:sz="0" w:space="0" w:color="auto"/>
      </w:divBdr>
    </w:div>
    <w:div w:id="702445016">
      <w:bodyDiv w:val="1"/>
      <w:marLeft w:val="0"/>
      <w:marRight w:val="0"/>
      <w:marTop w:val="0"/>
      <w:marBottom w:val="0"/>
      <w:divBdr>
        <w:top w:val="none" w:sz="0" w:space="0" w:color="auto"/>
        <w:left w:val="none" w:sz="0" w:space="0" w:color="auto"/>
        <w:bottom w:val="none" w:sz="0" w:space="0" w:color="auto"/>
        <w:right w:val="none" w:sz="0" w:space="0" w:color="auto"/>
      </w:divBdr>
    </w:div>
    <w:div w:id="702904376">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4521382">
      <w:bodyDiv w:val="1"/>
      <w:marLeft w:val="0"/>
      <w:marRight w:val="0"/>
      <w:marTop w:val="0"/>
      <w:marBottom w:val="0"/>
      <w:divBdr>
        <w:top w:val="none" w:sz="0" w:space="0" w:color="auto"/>
        <w:left w:val="none" w:sz="0" w:space="0" w:color="auto"/>
        <w:bottom w:val="none" w:sz="0" w:space="0" w:color="auto"/>
        <w:right w:val="none" w:sz="0" w:space="0" w:color="auto"/>
      </w:divBdr>
    </w:div>
    <w:div w:id="704981380">
      <w:bodyDiv w:val="1"/>
      <w:marLeft w:val="0"/>
      <w:marRight w:val="0"/>
      <w:marTop w:val="0"/>
      <w:marBottom w:val="0"/>
      <w:divBdr>
        <w:top w:val="none" w:sz="0" w:space="0" w:color="auto"/>
        <w:left w:val="none" w:sz="0" w:space="0" w:color="auto"/>
        <w:bottom w:val="none" w:sz="0" w:space="0" w:color="auto"/>
        <w:right w:val="none" w:sz="0" w:space="0" w:color="auto"/>
      </w:divBdr>
    </w:div>
    <w:div w:id="70518389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5839594">
      <w:bodyDiv w:val="1"/>
      <w:marLeft w:val="0"/>
      <w:marRight w:val="0"/>
      <w:marTop w:val="0"/>
      <w:marBottom w:val="0"/>
      <w:divBdr>
        <w:top w:val="none" w:sz="0" w:space="0" w:color="auto"/>
        <w:left w:val="none" w:sz="0" w:space="0" w:color="auto"/>
        <w:bottom w:val="none" w:sz="0" w:space="0" w:color="auto"/>
        <w:right w:val="none" w:sz="0" w:space="0" w:color="auto"/>
      </w:divBdr>
    </w:div>
    <w:div w:id="706636784">
      <w:bodyDiv w:val="1"/>
      <w:marLeft w:val="0"/>
      <w:marRight w:val="0"/>
      <w:marTop w:val="0"/>
      <w:marBottom w:val="0"/>
      <w:divBdr>
        <w:top w:val="none" w:sz="0" w:space="0" w:color="auto"/>
        <w:left w:val="none" w:sz="0" w:space="0" w:color="auto"/>
        <w:bottom w:val="none" w:sz="0" w:space="0" w:color="auto"/>
        <w:right w:val="none" w:sz="0" w:space="0" w:color="auto"/>
      </w:divBdr>
    </w:div>
    <w:div w:id="706754060">
      <w:bodyDiv w:val="1"/>
      <w:marLeft w:val="0"/>
      <w:marRight w:val="0"/>
      <w:marTop w:val="0"/>
      <w:marBottom w:val="0"/>
      <w:divBdr>
        <w:top w:val="none" w:sz="0" w:space="0" w:color="auto"/>
        <w:left w:val="none" w:sz="0" w:space="0" w:color="auto"/>
        <w:bottom w:val="none" w:sz="0" w:space="0" w:color="auto"/>
        <w:right w:val="none" w:sz="0" w:space="0" w:color="auto"/>
      </w:divBdr>
    </w:div>
    <w:div w:id="707098129">
      <w:bodyDiv w:val="1"/>
      <w:marLeft w:val="0"/>
      <w:marRight w:val="0"/>
      <w:marTop w:val="0"/>
      <w:marBottom w:val="0"/>
      <w:divBdr>
        <w:top w:val="none" w:sz="0" w:space="0" w:color="auto"/>
        <w:left w:val="none" w:sz="0" w:space="0" w:color="auto"/>
        <w:bottom w:val="none" w:sz="0" w:space="0" w:color="auto"/>
        <w:right w:val="none" w:sz="0" w:space="0" w:color="auto"/>
      </w:divBdr>
    </w:div>
    <w:div w:id="708722794">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09692396">
      <w:bodyDiv w:val="1"/>
      <w:marLeft w:val="0"/>
      <w:marRight w:val="0"/>
      <w:marTop w:val="0"/>
      <w:marBottom w:val="0"/>
      <w:divBdr>
        <w:top w:val="none" w:sz="0" w:space="0" w:color="auto"/>
        <w:left w:val="none" w:sz="0" w:space="0" w:color="auto"/>
        <w:bottom w:val="none" w:sz="0" w:space="0" w:color="auto"/>
        <w:right w:val="none" w:sz="0" w:space="0" w:color="auto"/>
      </w:divBdr>
    </w:div>
    <w:div w:id="709692875">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1930456">
      <w:bodyDiv w:val="1"/>
      <w:marLeft w:val="0"/>
      <w:marRight w:val="0"/>
      <w:marTop w:val="0"/>
      <w:marBottom w:val="0"/>
      <w:divBdr>
        <w:top w:val="none" w:sz="0" w:space="0" w:color="auto"/>
        <w:left w:val="none" w:sz="0" w:space="0" w:color="auto"/>
        <w:bottom w:val="none" w:sz="0" w:space="0" w:color="auto"/>
        <w:right w:val="none" w:sz="0" w:space="0" w:color="auto"/>
      </w:divBdr>
    </w:div>
    <w:div w:id="712316243">
      <w:bodyDiv w:val="1"/>
      <w:marLeft w:val="0"/>
      <w:marRight w:val="0"/>
      <w:marTop w:val="0"/>
      <w:marBottom w:val="0"/>
      <w:divBdr>
        <w:top w:val="none" w:sz="0" w:space="0" w:color="auto"/>
        <w:left w:val="none" w:sz="0" w:space="0" w:color="auto"/>
        <w:bottom w:val="none" w:sz="0" w:space="0" w:color="auto"/>
        <w:right w:val="none" w:sz="0" w:space="0" w:color="auto"/>
      </w:divBdr>
    </w:div>
    <w:div w:id="712654769">
      <w:bodyDiv w:val="1"/>
      <w:marLeft w:val="0"/>
      <w:marRight w:val="0"/>
      <w:marTop w:val="0"/>
      <w:marBottom w:val="0"/>
      <w:divBdr>
        <w:top w:val="none" w:sz="0" w:space="0" w:color="auto"/>
        <w:left w:val="none" w:sz="0" w:space="0" w:color="auto"/>
        <w:bottom w:val="none" w:sz="0" w:space="0" w:color="auto"/>
        <w:right w:val="none" w:sz="0" w:space="0" w:color="auto"/>
      </w:divBdr>
    </w:div>
    <w:div w:id="712774870">
      <w:bodyDiv w:val="1"/>
      <w:marLeft w:val="0"/>
      <w:marRight w:val="0"/>
      <w:marTop w:val="0"/>
      <w:marBottom w:val="0"/>
      <w:divBdr>
        <w:top w:val="none" w:sz="0" w:space="0" w:color="auto"/>
        <w:left w:val="none" w:sz="0" w:space="0" w:color="auto"/>
        <w:bottom w:val="none" w:sz="0" w:space="0" w:color="auto"/>
        <w:right w:val="none" w:sz="0" w:space="0" w:color="auto"/>
      </w:divBdr>
    </w:div>
    <w:div w:id="713163589">
      <w:bodyDiv w:val="1"/>
      <w:marLeft w:val="0"/>
      <w:marRight w:val="0"/>
      <w:marTop w:val="0"/>
      <w:marBottom w:val="0"/>
      <w:divBdr>
        <w:top w:val="none" w:sz="0" w:space="0" w:color="auto"/>
        <w:left w:val="none" w:sz="0" w:space="0" w:color="auto"/>
        <w:bottom w:val="none" w:sz="0" w:space="0" w:color="auto"/>
        <w:right w:val="none" w:sz="0" w:space="0" w:color="auto"/>
      </w:divBdr>
    </w:div>
    <w:div w:id="713579110">
      <w:bodyDiv w:val="1"/>
      <w:marLeft w:val="0"/>
      <w:marRight w:val="0"/>
      <w:marTop w:val="0"/>
      <w:marBottom w:val="0"/>
      <w:divBdr>
        <w:top w:val="none" w:sz="0" w:space="0" w:color="auto"/>
        <w:left w:val="none" w:sz="0" w:space="0" w:color="auto"/>
        <w:bottom w:val="none" w:sz="0" w:space="0" w:color="auto"/>
        <w:right w:val="none" w:sz="0" w:space="0" w:color="auto"/>
      </w:divBdr>
    </w:div>
    <w:div w:id="714278080">
      <w:bodyDiv w:val="1"/>
      <w:marLeft w:val="0"/>
      <w:marRight w:val="0"/>
      <w:marTop w:val="0"/>
      <w:marBottom w:val="0"/>
      <w:divBdr>
        <w:top w:val="none" w:sz="0" w:space="0" w:color="auto"/>
        <w:left w:val="none" w:sz="0" w:space="0" w:color="auto"/>
        <w:bottom w:val="none" w:sz="0" w:space="0" w:color="auto"/>
        <w:right w:val="none" w:sz="0" w:space="0" w:color="auto"/>
      </w:divBdr>
    </w:div>
    <w:div w:id="714692739">
      <w:bodyDiv w:val="1"/>
      <w:marLeft w:val="0"/>
      <w:marRight w:val="0"/>
      <w:marTop w:val="0"/>
      <w:marBottom w:val="0"/>
      <w:divBdr>
        <w:top w:val="none" w:sz="0" w:space="0" w:color="auto"/>
        <w:left w:val="none" w:sz="0" w:space="0" w:color="auto"/>
        <w:bottom w:val="none" w:sz="0" w:space="0" w:color="auto"/>
        <w:right w:val="none" w:sz="0" w:space="0" w:color="auto"/>
      </w:divBdr>
    </w:div>
    <w:div w:id="715470775">
      <w:bodyDiv w:val="1"/>
      <w:marLeft w:val="0"/>
      <w:marRight w:val="0"/>
      <w:marTop w:val="0"/>
      <w:marBottom w:val="0"/>
      <w:divBdr>
        <w:top w:val="none" w:sz="0" w:space="0" w:color="auto"/>
        <w:left w:val="none" w:sz="0" w:space="0" w:color="auto"/>
        <w:bottom w:val="none" w:sz="0" w:space="0" w:color="auto"/>
        <w:right w:val="none" w:sz="0" w:space="0" w:color="auto"/>
      </w:divBdr>
    </w:div>
    <w:div w:id="715668555">
      <w:bodyDiv w:val="1"/>
      <w:marLeft w:val="0"/>
      <w:marRight w:val="0"/>
      <w:marTop w:val="0"/>
      <w:marBottom w:val="0"/>
      <w:divBdr>
        <w:top w:val="none" w:sz="0" w:space="0" w:color="auto"/>
        <w:left w:val="none" w:sz="0" w:space="0" w:color="auto"/>
        <w:bottom w:val="none" w:sz="0" w:space="0" w:color="auto"/>
        <w:right w:val="none" w:sz="0" w:space="0" w:color="auto"/>
      </w:divBdr>
    </w:div>
    <w:div w:id="716469362">
      <w:bodyDiv w:val="1"/>
      <w:marLeft w:val="0"/>
      <w:marRight w:val="0"/>
      <w:marTop w:val="0"/>
      <w:marBottom w:val="0"/>
      <w:divBdr>
        <w:top w:val="none" w:sz="0" w:space="0" w:color="auto"/>
        <w:left w:val="none" w:sz="0" w:space="0" w:color="auto"/>
        <w:bottom w:val="none" w:sz="0" w:space="0" w:color="auto"/>
        <w:right w:val="none" w:sz="0" w:space="0" w:color="auto"/>
      </w:divBdr>
    </w:div>
    <w:div w:id="716666851">
      <w:bodyDiv w:val="1"/>
      <w:marLeft w:val="0"/>
      <w:marRight w:val="0"/>
      <w:marTop w:val="0"/>
      <w:marBottom w:val="0"/>
      <w:divBdr>
        <w:top w:val="none" w:sz="0" w:space="0" w:color="auto"/>
        <w:left w:val="none" w:sz="0" w:space="0" w:color="auto"/>
        <w:bottom w:val="none" w:sz="0" w:space="0" w:color="auto"/>
        <w:right w:val="none" w:sz="0" w:space="0" w:color="auto"/>
      </w:divBdr>
    </w:div>
    <w:div w:id="716928710">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8281498">
      <w:bodyDiv w:val="1"/>
      <w:marLeft w:val="0"/>
      <w:marRight w:val="0"/>
      <w:marTop w:val="0"/>
      <w:marBottom w:val="0"/>
      <w:divBdr>
        <w:top w:val="none" w:sz="0" w:space="0" w:color="auto"/>
        <w:left w:val="none" w:sz="0" w:space="0" w:color="auto"/>
        <w:bottom w:val="none" w:sz="0" w:space="0" w:color="auto"/>
        <w:right w:val="none" w:sz="0" w:space="0" w:color="auto"/>
      </w:divBdr>
    </w:div>
    <w:div w:id="718631925">
      <w:bodyDiv w:val="1"/>
      <w:marLeft w:val="0"/>
      <w:marRight w:val="0"/>
      <w:marTop w:val="0"/>
      <w:marBottom w:val="0"/>
      <w:divBdr>
        <w:top w:val="none" w:sz="0" w:space="0" w:color="auto"/>
        <w:left w:val="none" w:sz="0" w:space="0" w:color="auto"/>
        <w:bottom w:val="none" w:sz="0" w:space="0" w:color="auto"/>
        <w:right w:val="none" w:sz="0" w:space="0" w:color="auto"/>
      </w:divBdr>
    </w:div>
    <w:div w:id="719600212">
      <w:bodyDiv w:val="1"/>
      <w:marLeft w:val="0"/>
      <w:marRight w:val="0"/>
      <w:marTop w:val="0"/>
      <w:marBottom w:val="0"/>
      <w:divBdr>
        <w:top w:val="none" w:sz="0" w:space="0" w:color="auto"/>
        <w:left w:val="none" w:sz="0" w:space="0" w:color="auto"/>
        <w:bottom w:val="none" w:sz="0" w:space="0" w:color="auto"/>
        <w:right w:val="none" w:sz="0" w:space="0" w:color="auto"/>
      </w:divBdr>
    </w:div>
    <w:div w:id="720447670">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1177624">
      <w:bodyDiv w:val="1"/>
      <w:marLeft w:val="0"/>
      <w:marRight w:val="0"/>
      <w:marTop w:val="0"/>
      <w:marBottom w:val="0"/>
      <w:divBdr>
        <w:top w:val="none" w:sz="0" w:space="0" w:color="auto"/>
        <w:left w:val="none" w:sz="0" w:space="0" w:color="auto"/>
        <w:bottom w:val="none" w:sz="0" w:space="0" w:color="auto"/>
        <w:right w:val="none" w:sz="0" w:space="0" w:color="auto"/>
      </w:divBdr>
    </w:div>
    <w:div w:id="723139556">
      <w:bodyDiv w:val="1"/>
      <w:marLeft w:val="0"/>
      <w:marRight w:val="0"/>
      <w:marTop w:val="0"/>
      <w:marBottom w:val="0"/>
      <w:divBdr>
        <w:top w:val="none" w:sz="0" w:space="0" w:color="auto"/>
        <w:left w:val="none" w:sz="0" w:space="0" w:color="auto"/>
        <w:bottom w:val="none" w:sz="0" w:space="0" w:color="auto"/>
        <w:right w:val="none" w:sz="0" w:space="0" w:color="auto"/>
      </w:divBdr>
    </w:div>
    <w:div w:id="724763025">
      <w:bodyDiv w:val="1"/>
      <w:marLeft w:val="0"/>
      <w:marRight w:val="0"/>
      <w:marTop w:val="0"/>
      <w:marBottom w:val="0"/>
      <w:divBdr>
        <w:top w:val="none" w:sz="0" w:space="0" w:color="auto"/>
        <w:left w:val="none" w:sz="0" w:space="0" w:color="auto"/>
        <w:bottom w:val="none" w:sz="0" w:space="0" w:color="auto"/>
        <w:right w:val="none" w:sz="0" w:space="0" w:color="auto"/>
      </w:divBdr>
    </w:div>
    <w:div w:id="724790317">
      <w:bodyDiv w:val="1"/>
      <w:marLeft w:val="0"/>
      <w:marRight w:val="0"/>
      <w:marTop w:val="0"/>
      <w:marBottom w:val="0"/>
      <w:divBdr>
        <w:top w:val="none" w:sz="0" w:space="0" w:color="auto"/>
        <w:left w:val="none" w:sz="0" w:space="0" w:color="auto"/>
        <w:bottom w:val="none" w:sz="0" w:space="0" w:color="auto"/>
        <w:right w:val="none" w:sz="0" w:space="0" w:color="auto"/>
      </w:divBdr>
    </w:div>
    <w:div w:id="725761829">
      <w:bodyDiv w:val="1"/>
      <w:marLeft w:val="0"/>
      <w:marRight w:val="0"/>
      <w:marTop w:val="0"/>
      <w:marBottom w:val="0"/>
      <w:divBdr>
        <w:top w:val="none" w:sz="0" w:space="0" w:color="auto"/>
        <w:left w:val="none" w:sz="0" w:space="0" w:color="auto"/>
        <w:bottom w:val="none" w:sz="0" w:space="0" w:color="auto"/>
        <w:right w:val="none" w:sz="0" w:space="0" w:color="auto"/>
      </w:divBdr>
    </w:div>
    <w:div w:id="725882206">
      <w:bodyDiv w:val="1"/>
      <w:marLeft w:val="0"/>
      <w:marRight w:val="0"/>
      <w:marTop w:val="0"/>
      <w:marBottom w:val="0"/>
      <w:divBdr>
        <w:top w:val="none" w:sz="0" w:space="0" w:color="auto"/>
        <w:left w:val="none" w:sz="0" w:space="0" w:color="auto"/>
        <w:bottom w:val="none" w:sz="0" w:space="0" w:color="auto"/>
        <w:right w:val="none" w:sz="0" w:space="0" w:color="auto"/>
      </w:divBdr>
    </w:div>
    <w:div w:id="726297719">
      <w:bodyDiv w:val="1"/>
      <w:marLeft w:val="0"/>
      <w:marRight w:val="0"/>
      <w:marTop w:val="0"/>
      <w:marBottom w:val="0"/>
      <w:divBdr>
        <w:top w:val="none" w:sz="0" w:space="0" w:color="auto"/>
        <w:left w:val="none" w:sz="0" w:space="0" w:color="auto"/>
        <w:bottom w:val="none" w:sz="0" w:space="0" w:color="auto"/>
        <w:right w:val="none" w:sz="0" w:space="0" w:color="auto"/>
      </w:divBdr>
    </w:div>
    <w:div w:id="726998331">
      <w:bodyDiv w:val="1"/>
      <w:marLeft w:val="0"/>
      <w:marRight w:val="0"/>
      <w:marTop w:val="0"/>
      <w:marBottom w:val="0"/>
      <w:divBdr>
        <w:top w:val="none" w:sz="0" w:space="0" w:color="auto"/>
        <w:left w:val="none" w:sz="0" w:space="0" w:color="auto"/>
        <w:bottom w:val="none" w:sz="0" w:space="0" w:color="auto"/>
        <w:right w:val="none" w:sz="0" w:space="0" w:color="auto"/>
      </w:divBdr>
    </w:div>
    <w:div w:id="728115794">
      <w:bodyDiv w:val="1"/>
      <w:marLeft w:val="0"/>
      <w:marRight w:val="0"/>
      <w:marTop w:val="0"/>
      <w:marBottom w:val="0"/>
      <w:divBdr>
        <w:top w:val="none" w:sz="0" w:space="0" w:color="auto"/>
        <w:left w:val="none" w:sz="0" w:space="0" w:color="auto"/>
        <w:bottom w:val="none" w:sz="0" w:space="0" w:color="auto"/>
        <w:right w:val="none" w:sz="0" w:space="0" w:color="auto"/>
      </w:divBdr>
    </w:div>
    <w:div w:id="729233580">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810394">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0546380">
      <w:bodyDiv w:val="1"/>
      <w:marLeft w:val="0"/>
      <w:marRight w:val="0"/>
      <w:marTop w:val="0"/>
      <w:marBottom w:val="0"/>
      <w:divBdr>
        <w:top w:val="none" w:sz="0" w:space="0" w:color="auto"/>
        <w:left w:val="none" w:sz="0" w:space="0" w:color="auto"/>
        <w:bottom w:val="none" w:sz="0" w:space="0" w:color="auto"/>
        <w:right w:val="none" w:sz="0" w:space="0" w:color="auto"/>
      </w:divBdr>
    </w:div>
    <w:div w:id="732117007">
      <w:bodyDiv w:val="1"/>
      <w:marLeft w:val="0"/>
      <w:marRight w:val="0"/>
      <w:marTop w:val="0"/>
      <w:marBottom w:val="0"/>
      <w:divBdr>
        <w:top w:val="none" w:sz="0" w:space="0" w:color="auto"/>
        <w:left w:val="none" w:sz="0" w:space="0" w:color="auto"/>
        <w:bottom w:val="none" w:sz="0" w:space="0" w:color="auto"/>
        <w:right w:val="none" w:sz="0" w:space="0" w:color="auto"/>
      </w:divBdr>
    </w:div>
    <w:div w:id="73270320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33696827">
      <w:bodyDiv w:val="1"/>
      <w:marLeft w:val="0"/>
      <w:marRight w:val="0"/>
      <w:marTop w:val="0"/>
      <w:marBottom w:val="0"/>
      <w:divBdr>
        <w:top w:val="none" w:sz="0" w:space="0" w:color="auto"/>
        <w:left w:val="none" w:sz="0" w:space="0" w:color="auto"/>
        <w:bottom w:val="none" w:sz="0" w:space="0" w:color="auto"/>
        <w:right w:val="none" w:sz="0" w:space="0" w:color="auto"/>
      </w:divBdr>
    </w:div>
    <w:div w:id="733746333">
      <w:bodyDiv w:val="1"/>
      <w:marLeft w:val="0"/>
      <w:marRight w:val="0"/>
      <w:marTop w:val="0"/>
      <w:marBottom w:val="0"/>
      <w:divBdr>
        <w:top w:val="none" w:sz="0" w:space="0" w:color="auto"/>
        <w:left w:val="none" w:sz="0" w:space="0" w:color="auto"/>
        <w:bottom w:val="none" w:sz="0" w:space="0" w:color="auto"/>
        <w:right w:val="none" w:sz="0" w:space="0" w:color="auto"/>
      </w:divBdr>
    </w:div>
    <w:div w:id="734469523">
      <w:bodyDiv w:val="1"/>
      <w:marLeft w:val="0"/>
      <w:marRight w:val="0"/>
      <w:marTop w:val="0"/>
      <w:marBottom w:val="0"/>
      <w:divBdr>
        <w:top w:val="none" w:sz="0" w:space="0" w:color="auto"/>
        <w:left w:val="none" w:sz="0" w:space="0" w:color="auto"/>
        <w:bottom w:val="none" w:sz="0" w:space="0" w:color="auto"/>
        <w:right w:val="none" w:sz="0" w:space="0" w:color="auto"/>
      </w:divBdr>
    </w:div>
    <w:div w:id="734548871">
      <w:bodyDiv w:val="1"/>
      <w:marLeft w:val="0"/>
      <w:marRight w:val="0"/>
      <w:marTop w:val="0"/>
      <w:marBottom w:val="0"/>
      <w:divBdr>
        <w:top w:val="none" w:sz="0" w:space="0" w:color="auto"/>
        <w:left w:val="none" w:sz="0" w:space="0" w:color="auto"/>
        <w:bottom w:val="none" w:sz="0" w:space="0" w:color="auto"/>
        <w:right w:val="none" w:sz="0" w:space="0" w:color="auto"/>
      </w:divBdr>
    </w:div>
    <w:div w:id="73505187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6174781">
      <w:bodyDiv w:val="1"/>
      <w:marLeft w:val="0"/>
      <w:marRight w:val="0"/>
      <w:marTop w:val="0"/>
      <w:marBottom w:val="0"/>
      <w:divBdr>
        <w:top w:val="none" w:sz="0" w:space="0" w:color="auto"/>
        <w:left w:val="none" w:sz="0" w:space="0" w:color="auto"/>
        <w:bottom w:val="none" w:sz="0" w:space="0" w:color="auto"/>
        <w:right w:val="none" w:sz="0" w:space="0" w:color="auto"/>
      </w:divBdr>
    </w:div>
    <w:div w:id="737634984">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357681">
      <w:bodyDiv w:val="1"/>
      <w:marLeft w:val="0"/>
      <w:marRight w:val="0"/>
      <w:marTop w:val="0"/>
      <w:marBottom w:val="0"/>
      <w:divBdr>
        <w:top w:val="none" w:sz="0" w:space="0" w:color="auto"/>
        <w:left w:val="none" w:sz="0" w:space="0" w:color="auto"/>
        <w:bottom w:val="none" w:sz="0" w:space="0" w:color="auto"/>
        <w:right w:val="none" w:sz="0" w:space="0" w:color="auto"/>
      </w:divBdr>
    </w:div>
    <w:div w:id="73847893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0252414">
      <w:bodyDiv w:val="1"/>
      <w:marLeft w:val="0"/>
      <w:marRight w:val="0"/>
      <w:marTop w:val="0"/>
      <w:marBottom w:val="0"/>
      <w:divBdr>
        <w:top w:val="none" w:sz="0" w:space="0" w:color="auto"/>
        <w:left w:val="none" w:sz="0" w:space="0" w:color="auto"/>
        <w:bottom w:val="none" w:sz="0" w:space="0" w:color="auto"/>
        <w:right w:val="none" w:sz="0" w:space="0" w:color="auto"/>
      </w:divBdr>
    </w:div>
    <w:div w:id="740830487">
      <w:bodyDiv w:val="1"/>
      <w:marLeft w:val="0"/>
      <w:marRight w:val="0"/>
      <w:marTop w:val="0"/>
      <w:marBottom w:val="0"/>
      <w:divBdr>
        <w:top w:val="none" w:sz="0" w:space="0" w:color="auto"/>
        <w:left w:val="none" w:sz="0" w:space="0" w:color="auto"/>
        <w:bottom w:val="none" w:sz="0" w:space="0" w:color="auto"/>
        <w:right w:val="none" w:sz="0" w:space="0" w:color="auto"/>
      </w:divBdr>
    </w:div>
    <w:div w:id="740831693">
      <w:bodyDiv w:val="1"/>
      <w:marLeft w:val="0"/>
      <w:marRight w:val="0"/>
      <w:marTop w:val="0"/>
      <w:marBottom w:val="0"/>
      <w:divBdr>
        <w:top w:val="none" w:sz="0" w:space="0" w:color="auto"/>
        <w:left w:val="none" w:sz="0" w:space="0" w:color="auto"/>
        <w:bottom w:val="none" w:sz="0" w:space="0" w:color="auto"/>
        <w:right w:val="none" w:sz="0" w:space="0" w:color="auto"/>
      </w:divBdr>
    </w:div>
    <w:div w:id="742027773">
      <w:bodyDiv w:val="1"/>
      <w:marLeft w:val="0"/>
      <w:marRight w:val="0"/>
      <w:marTop w:val="0"/>
      <w:marBottom w:val="0"/>
      <w:divBdr>
        <w:top w:val="none" w:sz="0" w:space="0" w:color="auto"/>
        <w:left w:val="none" w:sz="0" w:space="0" w:color="auto"/>
        <w:bottom w:val="none" w:sz="0" w:space="0" w:color="auto"/>
        <w:right w:val="none" w:sz="0" w:space="0" w:color="auto"/>
      </w:divBdr>
    </w:div>
    <w:div w:id="742875602">
      <w:bodyDiv w:val="1"/>
      <w:marLeft w:val="0"/>
      <w:marRight w:val="0"/>
      <w:marTop w:val="0"/>
      <w:marBottom w:val="0"/>
      <w:divBdr>
        <w:top w:val="none" w:sz="0" w:space="0" w:color="auto"/>
        <w:left w:val="none" w:sz="0" w:space="0" w:color="auto"/>
        <w:bottom w:val="none" w:sz="0" w:space="0" w:color="auto"/>
        <w:right w:val="none" w:sz="0" w:space="0" w:color="auto"/>
      </w:divBdr>
    </w:div>
    <w:div w:id="74314493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3602879">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4644440">
      <w:bodyDiv w:val="1"/>
      <w:marLeft w:val="0"/>
      <w:marRight w:val="0"/>
      <w:marTop w:val="0"/>
      <w:marBottom w:val="0"/>
      <w:divBdr>
        <w:top w:val="none" w:sz="0" w:space="0" w:color="auto"/>
        <w:left w:val="none" w:sz="0" w:space="0" w:color="auto"/>
        <w:bottom w:val="none" w:sz="0" w:space="0" w:color="auto"/>
        <w:right w:val="none" w:sz="0" w:space="0" w:color="auto"/>
      </w:divBdr>
    </w:div>
    <w:div w:id="744760164">
      <w:bodyDiv w:val="1"/>
      <w:marLeft w:val="0"/>
      <w:marRight w:val="0"/>
      <w:marTop w:val="0"/>
      <w:marBottom w:val="0"/>
      <w:divBdr>
        <w:top w:val="none" w:sz="0" w:space="0" w:color="auto"/>
        <w:left w:val="none" w:sz="0" w:space="0" w:color="auto"/>
        <w:bottom w:val="none" w:sz="0" w:space="0" w:color="auto"/>
        <w:right w:val="none" w:sz="0" w:space="0" w:color="auto"/>
      </w:divBdr>
    </w:div>
    <w:div w:id="745685816">
      <w:bodyDiv w:val="1"/>
      <w:marLeft w:val="0"/>
      <w:marRight w:val="0"/>
      <w:marTop w:val="0"/>
      <w:marBottom w:val="0"/>
      <w:divBdr>
        <w:top w:val="none" w:sz="0" w:space="0" w:color="auto"/>
        <w:left w:val="none" w:sz="0" w:space="0" w:color="auto"/>
        <w:bottom w:val="none" w:sz="0" w:space="0" w:color="auto"/>
        <w:right w:val="none" w:sz="0" w:space="0" w:color="auto"/>
      </w:divBdr>
    </w:div>
    <w:div w:id="745691226">
      <w:bodyDiv w:val="1"/>
      <w:marLeft w:val="0"/>
      <w:marRight w:val="0"/>
      <w:marTop w:val="0"/>
      <w:marBottom w:val="0"/>
      <w:divBdr>
        <w:top w:val="none" w:sz="0" w:space="0" w:color="auto"/>
        <w:left w:val="none" w:sz="0" w:space="0" w:color="auto"/>
        <w:bottom w:val="none" w:sz="0" w:space="0" w:color="auto"/>
        <w:right w:val="none" w:sz="0" w:space="0" w:color="auto"/>
      </w:divBdr>
    </w:div>
    <w:div w:id="745691380">
      <w:bodyDiv w:val="1"/>
      <w:marLeft w:val="0"/>
      <w:marRight w:val="0"/>
      <w:marTop w:val="0"/>
      <w:marBottom w:val="0"/>
      <w:divBdr>
        <w:top w:val="none" w:sz="0" w:space="0" w:color="auto"/>
        <w:left w:val="none" w:sz="0" w:space="0" w:color="auto"/>
        <w:bottom w:val="none" w:sz="0" w:space="0" w:color="auto"/>
        <w:right w:val="none" w:sz="0" w:space="0" w:color="auto"/>
      </w:divBdr>
    </w:div>
    <w:div w:id="745761205">
      <w:bodyDiv w:val="1"/>
      <w:marLeft w:val="0"/>
      <w:marRight w:val="0"/>
      <w:marTop w:val="0"/>
      <w:marBottom w:val="0"/>
      <w:divBdr>
        <w:top w:val="none" w:sz="0" w:space="0" w:color="auto"/>
        <w:left w:val="none" w:sz="0" w:space="0" w:color="auto"/>
        <w:bottom w:val="none" w:sz="0" w:space="0" w:color="auto"/>
        <w:right w:val="none" w:sz="0" w:space="0" w:color="auto"/>
      </w:divBdr>
    </w:div>
    <w:div w:id="745804426">
      <w:bodyDiv w:val="1"/>
      <w:marLeft w:val="0"/>
      <w:marRight w:val="0"/>
      <w:marTop w:val="0"/>
      <w:marBottom w:val="0"/>
      <w:divBdr>
        <w:top w:val="none" w:sz="0" w:space="0" w:color="auto"/>
        <w:left w:val="none" w:sz="0" w:space="0" w:color="auto"/>
        <w:bottom w:val="none" w:sz="0" w:space="0" w:color="auto"/>
        <w:right w:val="none" w:sz="0" w:space="0" w:color="auto"/>
      </w:divBdr>
    </w:div>
    <w:div w:id="745956828">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7115938">
      <w:bodyDiv w:val="1"/>
      <w:marLeft w:val="0"/>
      <w:marRight w:val="0"/>
      <w:marTop w:val="0"/>
      <w:marBottom w:val="0"/>
      <w:divBdr>
        <w:top w:val="none" w:sz="0" w:space="0" w:color="auto"/>
        <w:left w:val="none" w:sz="0" w:space="0" w:color="auto"/>
        <w:bottom w:val="none" w:sz="0" w:space="0" w:color="auto"/>
        <w:right w:val="none" w:sz="0" w:space="0" w:color="auto"/>
      </w:divBdr>
    </w:div>
    <w:div w:id="748625431">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49543641">
      <w:bodyDiv w:val="1"/>
      <w:marLeft w:val="0"/>
      <w:marRight w:val="0"/>
      <w:marTop w:val="0"/>
      <w:marBottom w:val="0"/>
      <w:divBdr>
        <w:top w:val="none" w:sz="0" w:space="0" w:color="auto"/>
        <w:left w:val="none" w:sz="0" w:space="0" w:color="auto"/>
        <w:bottom w:val="none" w:sz="0" w:space="0" w:color="auto"/>
        <w:right w:val="none" w:sz="0" w:space="0" w:color="auto"/>
      </w:divBdr>
    </w:div>
    <w:div w:id="749696925">
      <w:bodyDiv w:val="1"/>
      <w:marLeft w:val="0"/>
      <w:marRight w:val="0"/>
      <w:marTop w:val="0"/>
      <w:marBottom w:val="0"/>
      <w:divBdr>
        <w:top w:val="none" w:sz="0" w:space="0" w:color="auto"/>
        <w:left w:val="none" w:sz="0" w:space="0" w:color="auto"/>
        <w:bottom w:val="none" w:sz="0" w:space="0" w:color="auto"/>
        <w:right w:val="none" w:sz="0" w:space="0" w:color="auto"/>
      </w:divBdr>
    </w:div>
    <w:div w:id="750277297">
      <w:bodyDiv w:val="1"/>
      <w:marLeft w:val="0"/>
      <w:marRight w:val="0"/>
      <w:marTop w:val="0"/>
      <w:marBottom w:val="0"/>
      <w:divBdr>
        <w:top w:val="none" w:sz="0" w:space="0" w:color="auto"/>
        <w:left w:val="none" w:sz="0" w:space="0" w:color="auto"/>
        <w:bottom w:val="none" w:sz="0" w:space="0" w:color="auto"/>
        <w:right w:val="none" w:sz="0" w:space="0" w:color="auto"/>
      </w:divBdr>
    </w:div>
    <w:div w:id="750464169">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435757">
      <w:bodyDiv w:val="1"/>
      <w:marLeft w:val="0"/>
      <w:marRight w:val="0"/>
      <w:marTop w:val="0"/>
      <w:marBottom w:val="0"/>
      <w:divBdr>
        <w:top w:val="none" w:sz="0" w:space="0" w:color="auto"/>
        <w:left w:val="none" w:sz="0" w:space="0" w:color="auto"/>
        <w:bottom w:val="none" w:sz="0" w:space="0" w:color="auto"/>
        <w:right w:val="none" w:sz="0" w:space="0" w:color="auto"/>
      </w:divBdr>
    </w:div>
    <w:div w:id="752698416">
      <w:bodyDiv w:val="1"/>
      <w:marLeft w:val="0"/>
      <w:marRight w:val="0"/>
      <w:marTop w:val="0"/>
      <w:marBottom w:val="0"/>
      <w:divBdr>
        <w:top w:val="none" w:sz="0" w:space="0" w:color="auto"/>
        <w:left w:val="none" w:sz="0" w:space="0" w:color="auto"/>
        <w:bottom w:val="none" w:sz="0" w:space="0" w:color="auto"/>
        <w:right w:val="none" w:sz="0" w:space="0" w:color="auto"/>
      </w:divBdr>
    </w:div>
    <w:div w:id="752819078">
      <w:bodyDiv w:val="1"/>
      <w:marLeft w:val="0"/>
      <w:marRight w:val="0"/>
      <w:marTop w:val="0"/>
      <w:marBottom w:val="0"/>
      <w:divBdr>
        <w:top w:val="none" w:sz="0" w:space="0" w:color="auto"/>
        <w:left w:val="none" w:sz="0" w:space="0" w:color="auto"/>
        <w:bottom w:val="none" w:sz="0" w:space="0" w:color="auto"/>
        <w:right w:val="none" w:sz="0" w:space="0" w:color="auto"/>
      </w:divBdr>
    </w:div>
    <w:div w:id="753891547">
      <w:bodyDiv w:val="1"/>
      <w:marLeft w:val="0"/>
      <w:marRight w:val="0"/>
      <w:marTop w:val="0"/>
      <w:marBottom w:val="0"/>
      <w:divBdr>
        <w:top w:val="none" w:sz="0" w:space="0" w:color="auto"/>
        <w:left w:val="none" w:sz="0" w:space="0" w:color="auto"/>
        <w:bottom w:val="none" w:sz="0" w:space="0" w:color="auto"/>
        <w:right w:val="none" w:sz="0" w:space="0" w:color="auto"/>
      </w:divBdr>
    </w:div>
    <w:div w:id="754209469">
      <w:bodyDiv w:val="1"/>
      <w:marLeft w:val="0"/>
      <w:marRight w:val="0"/>
      <w:marTop w:val="0"/>
      <w:marBottom w:val="0"/>
      <w:divBdr>
        <w:top w:val="none" w:sz="0" w:space="0" w:color="auto"/>
        <w:left w:val="none" w:sz="0" w:space="0" w:color="auto"/>
        <w:bottom w:val="none" w:sz="0" w:space="0" w:color="auto"/>
        <w:right w:val="none" w:sz="0" w:space="0" w:color="auto"/>
      </w:divBdr>
    </w:div>
    <w:div w:id="754211358">
      <w:bodyDiv w:val="1"/>
      <w:marLeft w:val="0"/>
      <w:marRight w:val="0"/>
      <w:marTop w:val="0"/>
      <w:marBottom w:val="0"/>
      <w:divBdr>
        <w:top w:val="none" w:sz="0" w:space="0" w:color="auto"/>
        <w:left w:val="none" w:sz="0" w:space="0" w:color="auto"/>
        <w:bottom w:val="none" w:sz="0" w:space="0" w:color="auto"/>
        <w:right w:val="none" w:sz="0" w:space="0" w:color="auto"/>
      </w:divBdr>
    </w:div>
    <w:div w:id="755057559">
      <w:bodyDiv w:val="1"/>
      <w:marLeft w:val="0"/>
      <w:marRight w:val="0"/>
      <w:marTop w:val="0"/>
      <w:marBottom w:val="0"/>
      <w:divBdr>
        <w:top w:val="none" w:sz="0" w:space="0" w:color="auto"/>
        <w:left w:val="none" w:sz="0" w:space="0" w:color="auto"/>
        <w:bottom w:val="none" w:sz="0" w:space="0" w:color="auto"/>
        <w:right w:val="none" w:sz="0" w:space="0" w:color="auto"/>
      </w:divBdr>
    </w:div>
    <w:div w:id="755906600">
      <w:bodyDiv w:val="1"/>
      <w:marLeft w:val="0"/>
      <w:marRight w:val="0"/>
      <w:marTop w:val="0"/>
      <w:marBottom w:val="0"/>
      <w:divBdr>
        <w:top w:val="none" w:sz="0" w:space="0" w:color="auto"/>
        <w:left w:val="none" w:sz="0" w:space="0" w:color="auto"/>
        <w:bottom w:val="none" w:sz="0" w:space="0" w:color="auto"/>
        <w:right w:val="none" w:sz="0" w:space="0" w:color="auto"/>
      </w:divBdr>
    </w:div>
    <w:div w:id="756099832">
      <w:bodyDiv w:val="1"/>
      <w:marLeft w:val="0"/>
      <w:marRight w:val="0"/>
      <w:marTop w:val="0"/>
      <w:marBottom w:val="0"/>
      <w:divBdr>
        <w:top w:val="none" w:sz="0" w:space="0" w:color="auto"/>
        <w:left w:val="none" w:sz="0" w:space="0" w:color="auto"/>
        <w:bottom w:val="none" w:sz="0" w:space="0" w:color="auto"/>
        <w:right w:val="none" w:sz="0" w:space="0" w:color="auto"/>
      </w:divBdr>
    </w:div>
    <w:div w:id="756446148">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58063995">
      <w:bodyDiv w:val="1"/>
      <w:marLeft w:val="0"/>
      <w:marRight w:val="0"/>
      <w:marTop w:val="0"/>
      <w:marBottom w:val="0"/>
      <w:divBdr>
        <w:top w:val="none" w:sz="0" w:space="0" w:color="auto"/>
        <w:left w:val="none" w:sz="0" w:space="0" w:color="auto"/>
        <w:bottom w:val="none" w:sz="0" w:space="0" w:color="auto"/>
        <w:right w:val="none" w:sz="0" w:space="0" w:color="auto"/>
      </w:divBdr>
    </w:div>
    <w:div w:id="758210685">
      <w:bodyDiv w:val="1"/>
      <w:marLeft w:val="0"/>
      <w:marRight w:val="0"/>
      <w:marTop w:val="0"/>
      <w:marBottom w:val="0"/>
      <w:divBdr>
        <w:top w:val="none" w:sz="0" w:space="0" w:color="auto"/>
        <w:left w:val="none" w:sz="0" w:space="0" w:color="auto"/>
        <w:bottom w:val="none" w:sz="0" w:space="0" w:color="auto"/>
        <w:right w:val="none" w:sz="0" w:space="0" w:color="auto"/>
      </w:divBdr>
    </w:div>
    <w:div w:id="758985442">
      <w:bodyDiv w:val="1"/>
      <w:marLeft w:val="0"/>
      <w:marRight w:val="0"/>
      <w:marTop w:val="0"/>
      <w:marBottom w:val="0"/>
      <w:divBdr>
        <w:top w:val="none" w:sz="0" w:space="0" w:color="auto"/>
        <w:left w:val="none" w:sz="0" w:space="0" w:color="auto"/>
        <w:bottom w:val="none" w:sz="0" w:space="0" w:color="auto"/>
        <w:right w:val="none" w:sz="0" w:space="0" w:color="auto"/>
      </w:divBdr>
    </w:div>
    <w:div w:id="759178743">
      <w:bodyDiv w:val="1"/>
      <w:marLeft w:val="0"/>
      <w:marRight w:val="0"/>
      <w:marTop w:val="0"/>
      <w:marBottom w:val="0"/>
      <w:divBdr>
        <w:top w:val="none" w:sz="0" w:space="0" w:color="auto"/>
        <w:left w:val="none" w:sz="0" w:space="0" w:color="auto"/>
        <w:bottom w:val="none" w:sz="0" w:space="0" w:color="auto"/>
        <w:right w:val="none" w:sz="0" w:space="0" w:color="auto"/>
      </w:divBdr>
    </w:div>
    <w:div w:id="760102797">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1490082">
      <w:bodyDiv w:val="1"/>
      <w:marLeft w:val="0"/>
      <w:marRight w:val="0"/>
      <w:marTop w:val="0"/>
      <w:marBottom w:val="0"/>
      <w:divBdr>
        <w:top w:val="none" w:sz="0" w:space="0" w:color="auto"/>
        <w:left w:val="none" w:sz="0" w:space="0" w:color="auto"/>
        <w:bottom w:val="none" w:sz="0" w:space="0" w:color="auto"/>
        <w:right w:val="none" w:sz="0" w:space="0" w:color="auto"/>
      </w:divBdr>
    </w:div>
    <w:div w:id="761881604">
      <w:bodyDiv w:val="1"/>
      <w:marLeft w:val="0"/>
      <w:marRight w:val="0"/>
      <w:marTop w:val="0"/>
      <w:marBottom w:val="0"/>
      <w:divBdr>
        <w:top w:val="none" w:sz="0" w:space="0" w:color="auto"/>
        <w:left w:val="none" w:sz="0" w:space="0" w:color="auto"/>
        <w:bottom w:val="none" w:sz="0" w:space="0" w:color="auto"/>
        <w:right w:val="none" w:sz="0" w:space="0" w:color="auto"/>
      </w:divBdr>
    </w:div>
    <w:div w:id="761993785">
      <w:bodyDiv w:val="1"/>
      <w:marLeft w:val="0"/>
      <w:marRight w:val="0"/>
      <w:marTop w:val="0"/>
      <w:marBottom w:val="0"/>
      <w:divBdr>
        <w:top w:val="none" w:sz="0" w:space="0" w:color="auto"/>
        <w:left w:val="none" w:sz="0" w:space="0" w:color="auto"/>
        <w:bottom w:val="none" w:sz="0" w:space="0" w:color="auto"/>
        <w:right w:val="none" w:sz="0" w:space="0" w:color="auto"/>
      </w:divBdr>
    </w:div>
    <w:div w:id="762068225">
      <w:bodyDiv w:val="1"/>
      <w:marLeft w:val="0"/>
      <w:marRight w:val="0"/>
      <w:marTop w:val="0"/>
      <w:marBottom w:val="0"/>
      <w:divBdr>
        <w:top w:val="none" w:sz="0" w:space="0" w:color="auto"/>
        <w:left w:val="none" w:sz="0" w:space="0" w:color="auto"/>
        <w:bottom w:val="none" w:sz="0" w:space="0" w:color="auto"/>
        <w:right w:val="none" w:sz="0" w:space="0" w:color="auto"/>
      </w:divBdr>
    </w:div>
    <w:div w:id="763185543">
      <w:bodyDiv w:val="1"/>
      <w:marLeft w:val="0"/>
      <w:marRight w:val="0"/>
      <w:marTop w:val="0"/>
      <w:marBottom w:val="0"/>
      <w:divBdr>
        <w:top w:val="none" w:sz="0" w:space="0" w:color="auto"/>
        <w:left w:val="none" w:sz="0" w:space="0" w:color="auto"/>
        <w:bottom w:val="none" w:sz="0" w:space="0" w:color="auto"/>
        <w:right w:val="none" w:sz="0" w:space="0" w:color="auto"/>
      </w:divBdr>
    </w:div>
    <w:div w:id="763190776">
      <w:bodyDiv w:val="1"/>
      <w:marLeft w:val="0"/>
      <w:marRight w:val="0"/>
      <w:marTop w:val="0"/>
      <w:marBottom w:val="0"/>
      <w:divBdr>
        <w:top w:val="none" w:sz="0" w:space="0" w:color="auto"/>
        <w:left w:val="none" w:sz="0" w:space="0" w:color="auto"/>
        <w:bottom w:val="none" w:sz="0" w:space="0" w:color="auto"/>
        <w:right w:val="none" w:sz="0" w:space="0" w:color="auto"/>
      </w:divBdr>
    </w:div>
    <w:div w:id="764613560">
      <w:bodyDiv w:val="1"/>
      <w:marLeft w:val="0"/>
      <w:marRight w:val="0"/>
      <w:marTop w:val="0"/>
      <w:marBottom w:val="0"/>
      <w:divBdr>
        <w:top w:val="none" w:sz="0" w:space="0" w:color="auto"/>
        <w:left w:val="none" w:sz="0" w:space="0" w:color="auto"/>
        <w:bottom w:val="none" w:sz="0" w:space="0" w:color="auto"/>
        <w:right w:val="none" w:sz="0" w:space="0" w:color="auto"/>
      </w:divBdr>
    </w:div>
    <w:div w:id="764883311">
      <w:bodyDiv w:val="1"/>
      <w:marLeft w:val="0"/>
      <w:marRight w:val="0"/>
      <w:marTop w:val="0"/>
      <w:marBottom w:val="0"/>
      <w:divBdr>
        <w:top w:val="none" w:sz="0" w:space="0" w:color="auto"/>
        <w:left w:val="none" w:sz="0" w:space="0" w:color="auto"/>
        <w:bottom w:val="none" w:sz="0" w:space="0" w:color="auto"/>
        <w:right w:val="none" w:sz="0" w:space="0" w:color="auto"/>
      </w:divBdr>
    </w:div>
    <w:div w:id="765269850">
      <w:bodyDiv w:val="1"/>
      <w:marLeft w:val="0"/>
      <w:marRight w:val="0"/>
      <w:marTop w:val="0"/>
      <w:marBottom w:val="0"/>
      <w:divBdr>
        <w:top w:val="none" w:sz="0" w:space="0" w:color="auto"/>
        <w:left w:val="none" w:sz="0" w:space="0" w:color="auto"/>
        <w:bottom w:val="none" w:sz="0" w:space="0" w:color="auto"/>
        <w:right w:val="none" w:sz="0" w:space="0" w:color="auto"/>
      </w:divBdr>
    </w:div>
    <w:div w:id="765538625">
      <w:bodyDiv w:val="1"/>
      <w:marLeft w:val="0"/>
      <w:marRight w:val="0"/>
      <w:marTop w:val="0"/>
      <w:marBottom w:val="0"/>
      <w:divBdr>
        <w:top w:val="none" w:sz="0" w:space="0" w:color="auto"/>
        <w:left w:val="none" w:sz="0" w:space="0" w:color="auto"/>
        <w:bottom w:val="none" w:sz="0" w:space="0" w:color="auto"/>
        <w:right w:val="none" w:sz="0" w:space="0" w:color="auto"/>
      </w:divBdr>
    </w:div>
    <w:div w:id="765810152">
      <w:bodyDiv w:val="1"/>
      <w:marLeft w:val="0"/>
      <w:marRight w:val="0"/>
      <w:marTop w:val="0"/>
      <w:marBottom w:val="0"/>
      <w:divBdr>
        <w:top w:val="none" w:sz="0" w:space="0" w:color="auto"/>
        <w:left w:val="none" w:sz="0" w:space="0" w:color="auto"/>
        <w:bottom w:val="none" w:sz="0" w:space="0" w:color="auto"/>
        <w:right w:val="none" w:sz="0" w:space="0" w:color="auto"/>
      </w:divBdr>
    </w:div>
    <w:div w:id="766462293">
      <w:bodyDiv w:val="1"/>
      <w:marLeft w:val="0"/>
      <w:marRight w:val="0"/>
      <w:marTop w:val="0"/>
      <w:marBottom w:val="0"/>
      <w:divBdr>
        <w:top w:val="none" w:sz="0" w:space="0" w:color="auto"/>
        <w:left w:val="none" w:sz="0" w:space="0" w:color="auto"/>
        <w:bottom w:val="none" w:sz="0" w:space="0" w:color="auto"/>
        <w:right w:val="none" w:sz="0" w:space="0" w:color="auto"/>
      </w:divBdr>
    </w:div>
    <w:div w:id="767892571">
      <w:bodyDiv w:val="1"/>
      <w:marLeft w:val="0"/>
      <w:marRight w:val="0"/>
      <w:marTop w:val="0"/>
      <w:marBottom w:val="0"/>
      <w:divBdr>
        <w:top w:val="none" w:sz="0" w:space="0" w:color="auto"/>
        <w:left w:val="none" w:sz="0" w:space="0" w:color="auto"/>
        <w:bottom w:val="none" w:sz="0" w:space="0" w:color="auto"/>
        <w:right w:val="none" w:sz="0" w:space="0" w:color="auto"/>
      </w:divBdr>
    </w:div>
    <w:div w:id="767964289">
      <w:bodyDiv w:val="1"/>
      <w:marLeft w:val="0"/>
      <w:marRight w:val="0"/>
      <w:marTop w:val="0"/>
      <w:marBottom w:val="0"/>
      <w:divBdr>
        <w:top w:val="none" w:sz="0" w:space="0" w:color="auto"/>
        <w:left w:val="none" w:sz="0" w:space="0" w:color="auto"/>
        <w:bottom w:val="none" w:sz="0" w:space="0" w:color="auto"/>
        <w:right w:val="none" w:sz="0" w:space="0" w:color="auto"/>
      </w:divBdr>
    </w:div>
    <w:div w:id="768358737">
      <w:bodyDiv w:val="1"/>
      <w:marLeft w:val="0"/>
      <w:marRight w:val="0"/>
      <w:marTop w:val="0"/>
      <w:marBottom w:val="0"/>
      <w:divBdr>
        <w:top w:val="none" w:sz="0" w:space="0" w:color="auto"/>
        <w:left w:val="none" w:sz="0" w:space="0" w:color="auto"/>
        <w:bottom w:val="none" w:sz="0" w:space="0" w:color="auto"/>
        <w:right w:val="none" w:sz="0" w:space="0" w:color="auto"/>
      </w:divBdr>
    </w:div>
    <w:div w:id="769131126">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59871">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69742053">
      <w:bodyDiv w:val="1"/>
      <w:marLeft w:val="0"/>
      <w:marRight w:val="0"/>
      <w:marTop w:val="0"/>
      <w:marBottom w:val="0"/>
      <w:divBdr>
        <w:top w:val="none" w:sz="0" w:space="0" w:color="auto"/>
        <w:left w:val="none" w:sz="0" w:space="0" w:color="auto"/>
        <w:bottom w:val="none" w:sz="0" w:space="0" w:color="auto"/>
        <w:right w:val="none" w:sz="0" w:space="0" w:color="auto"/>
      </w:divBdr>
    </w:div>
    <w:div w:id="770197415">
      <w:bodyDiv w:val="1"/>
      <w:marLeft w:val="0"/>
      <w:marRight w:val="0"/>
      <w:marTop w:val="0"/>
      <w:marBottom w:val="0"/>
      <w:divBdr>
        <w:top w:val="none" w:sz="0" w:space="0" w:color="auto"/>
        <w:left w:val="none" w:sz="0" w:space="0" w:color="auto"/>
        <w:bottom w:val="none" w:sz="0" w:space="0" w:color="auto"/>
        <w:right w:val="none" w:sz="0" w:space="0" w:color="auto"/>
      </w:divBdr>
    </w:div>
    <w:div w:id="770856028">
      <w:bodyDiv w:val="1"/>
      <w:marLeft w:val="0"/>
      <w:marRight w:val="0"/>
      <w:marTop w:val="0"/>
      <w:marBottom w:val="0"/>
      <w:divBdr>
        <w:top w:val="none" w:sz="0" w:space="0" w:color="auto"/>
        <w:left w:val="none" w:sz="0" w:space="0" w:color="auto"/>
        <w:bottom w:val="none" w:sz="0" w:space="0" w:color="auto"/>
        <w:right w:val="none" w:sz="0" w:space="0" w:color="auto"/>
      </w:divBdr>
    </w:div>
    <w:div w:id="770972968">
      <w:bodyDiv w:val="1"/>
      <w:marLeft w:val="0"/>
      <w:marRight w:val="0"/>
      <w:marTop w:val="0"/>
      <w:marBottom w:val="0"/>
      <w:divBdr>
        <w:top w:val="none" w:sz="0" w:space="0" w:color="auto"/>
        <w:left w:val="none" w:sz="0" w:space="0" w:color="auto"/>
        <w:bottom w:val="none" w:sz="0" w:space="0" w:color="auto"/>
        <w:right w:val="none" w:sz="0" w:space="0" w:color="auto"/>
      </w:divBdr>
    </w:div>
    <w:div w:id="771514340">
      <w:bodyDiv w:val="1"/>
      <w:marLeft w:val="0"/>
      <w:marRight w:val="0"/>
      <w:marTop w:val="0"/>
      <w:marBottom w:val="0"/>
      <w:divBdr>
        <w:top w:val="none" w:sz="0" w:space="0" w:color="auto"/>
        <w:left w:val="none" w:sz="0" w:space="0" w:color="auto"/>
        <w:bottom w:val="none" w:sz="0" w:space="0" w:color="auto"/>
        <w:right w:val="none" w:sz="0" w:space="0" w:color="auto"/>
      </w:divBdr>
    </w:div>
    <w:div w:id="771902516">
      <w:bodyDiv w:val="1"/>
      <w:marLeft w:val="0"/>
      <w:marRight w:val="0"/>
      <w:marTop w:val="0"/>
      <w:marBottom w:val="0"/>
      <w:divBdr>
        <w:top w:val="none" w:sz="0" w:space="0" w:color="auto"/>
        <w:left w:val="none" w:sz="0" w:space="0" w:color="auto"/>
        <w:bottom w:val="none" w:sz="0" w:space="0" w:color="auto"/>
        <w:right w:val="none" w:sz="0" w:space="0" w:color="auto"/>
      </w:divBdr>
    </w:div>
    <w:div w:id="771974902">
      <w:bodyDiv w:val="1"/>
      <w:marLeft w:val="0"/>
      <w:marRight w:val="0"/>
      <w:marTop w:val="0"/>
      <w:marBottom w:val="0"/>
      <w:divBdr>
        <w:top w:val="none" w:sz="0" w:space="0" w:color="auto"/>
        <w:left w:val="none" w:sz="0" w:space="0" w:color="auto"/>
        <w:bottom w:val="none" w:sz="0" w:space="0" w:color="auto"/>
        <w:right w:val="none" w:sz="0" w:space="0" w:color="auto"/>
      </w:divBdr>
    </w:div>
    <w:div w:id="771975297">
      <w:bodyDiv w:val="1"/>
      <w:marLeft w:val="0"/>
      <w:marRight w:val="0"/>
      <w:marTop w:val="0"/>
      <w:marBottom w:val="0"/>
      <w:divBdr>
        <w:top w:val="none" w:sz="0" w:space="0" w:color="auto"/>
        <w:left w:val="none" w:sz="0" w:space="0" w:color="auto"/>
        <w:bottom w:val="none" w:sz="0" w:space="0" w:color="auto"/>
        <w:right w:val="none" w:sz="0" w:space="0" w:color="auto"/>
      </w:divBdr>
    </w:div>
    <w:div w:id="772095577">
      <w:bodyDiv w:val="1"/>
      <w:marLeft w:val="0"/>
      <w:marRight w:val="0"/>
      <w:marTop w:val="0"/>
      <w:marBottom w:val="0"/>
      <w:divBdr>
        <w:top w:val="none" w:sz="0" w:space="0" w:color="auto"/>
        <w:left w:val="none" w:sz="0" w:space="0" w:color="auto"/>
        <w:bottom w:val="none" w:sz="0" w:space="0" w:color="auto"/>
        <w:right w:val="none" w:sz="0" w:space="0" w:color="auto"/>
      </w:divBdr>
    </w:div>
    <w:div w:id="773523967">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4639822">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978204">
      <w:bodyDiv w:val="1"/>
      <w:marLeft w:val="0"/>
      <w:marRight w:val="0"/>
      <w:marTop w:val="0"/>
      <w:marBottom w:val="0"/>
      <w:divBdr>
        <w:top w:val="none" w:sz="0" w:space="0" w:color="auto"/>
        <w:left w:val="none" w:sz="0" w:space="0" w:color="auto"/>
        <w:bottom w:val="none" w:sz="0" w:space="0" w:color="auto"/>
        <w:right w:val="none" w:sz="0" w:space="0" w:color="auto"/>
      </w:divBdr>
    </w:div>
    <w:div w:id="776372167">
      <w:bodyDiv w:val="1"/>
      <w:marLeft w:val="0"/>
      <w:marRight w:val="0"/>
      <w:marTop w:val="0"/>
      <w:marBottom w:val="0"/>
      <w:divBdr>
        <w:top w:val="none" w:sz="0" w:space="0" w:color="auto"/>
        <w:left w:val="none" w:sz="0" w:space="0" w:color="auto"/>
        <w:bottom w:val="none" w:sz="0" w:space="0" w:color="auto"/>
        <w:right w:val="none" w:sz="0" w:space="0" w:color="auto"/>
      </w:divBdr>
    </w:div>
    <w:div w:id="776799728">
      <w:bodyDiv w:val="1"/>
      <w:marLeft w:val="0"/>
      <w:marRight w:val="0"/>
      <w:marTop w:val="0"/>
      <w:marBottom w:val="0"/>
      <w:divBdr>
        <w:top w:val="none" w:sz="0" w:space="0" w:color="auto"/>
        <w:left w:val="none" w:sz="0" w:space="0" w:color="auto"/>
        <w:bottom w:val="none" w:sz="0" w:space="0" w:color="auto"/>
        <w:right w:val="none" w:sz="0" w:space="0" w:color="auto"/>
      </w:divBdr>
    </w:div>
    <w:div w:id="778987981">
      <w:bodyDiv w:val="1"/>
      <w:marLeft w:val="0"/>
      <w:marRight w:val="0"/>
      <w:marTop w:val="0"/>
      <w:marBottom w:val="0"/>
      <w:divBdr>
        <w:top w:val="none" w:sz="0" w:space="0" w:color="auto"/>
        <w:left w:val="none" w:sz="0" w:space="0" w:color="auto"/>
        <w:bottom w:val="none" w:sz="0" w:space="0" w:color="auto"/>
        <w:right w:val="none" w:sz="0" w:space="0" w:color="auto"/>
      </w:divBdr>
    </w:div>
    <w:div w:id="779910250">
      <w:bodyDiv w:val="1"/>
      <w:marLeft w:val="0"/>
      <w:marRight w:val="0"/>
      <w:marTop w:val="0"/>
      <w:marBottom w:val="0"/>
      <w:divBdr>
        <w:top w:val="none" w:sz="0" w:space="0" w:color="auto"/>
        <w:left w:val="none" w:sz="0" w:space="0" w:color="auto"/>
        <w:bottom w:val="none" w:sz="0" w:space="0" w:color="auto"/>
        <w:right w:val="none" w:sz="0" w:space="0" w:color="auto"/>
      </w:divBdr>
    </w:div>
    <w:div w:id="7805367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1267764">
      <w:bodyDiv w:val="1"/>
      <w:marLeft w:val="0"/>
      <w:marRight w:val="0"/>
      <w:marTop w:val="0"/>
      <w:marBottom w:val="0"/>
      <w:divBdr>
        <w:top w:val="none" w:sz="0" w:space="0" w:color="auto"/>
        <w:left w:val="none" w:sz="0" w:space="0" w:color="auto"/>
        <w:bottom w:val="none" w:sz="0" w:space="0" w:color="auto"/>
        <w:right w:val="none" w:sz="0" w:space="0" w:color="auto"/>
      </w:divBdr>
    </w:div>
    <w:div w:id="781269184">
      <w:bodyDiv w:val="1"/>
      <w:marLeft w:val="0"/>
      <w:marRight w:val="0"/>
      <w:marTop w:val="0"/>
      <w:marBottom w:val="0"/>
      <w:divBdr>
        <w:top w:val="none" w:sz="0" w:space="0" w:color="auto"/>
        <w:left w:val="none" w:sz="0" w:space="0" w:color="auto"/>
        <w:bottom w:val="none" w:sz="0" w:space="0" w:color="auto"/>
        <w:right w:val="none" w:sz="0" w:space="0" w:color="auto"/>
      </w:divBdr>
    </w:div>
    <w:div w:id="781415268">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
    <w:div w:id="782118865">
      <w:bodyDiv w:val="1"/>
      <w:marLeft w:val="0"/>
      <w:marRight w:val="0"/>
      <w:marTop w:val="0"/>
      <w:marBottom w:val="0"/>
      <w:divBdr>
        <w:top w:val="none" w:sz="0" w:space="0" w:color="auto"/>
        <w:left w:val="none" w:sz="0" w:space="0" w:color="auto"/>
        <w:bottom w:val="none" w:sz="0" w:space="0" w:color="auto"/>
        <w:right w:val="none" w:sz="0" w:space="0" w:color="auto"/>
      </w:divBdr>
    </w:div>
    <w:div w:id="782190173">
      <w:bodyDiv w:val="1"/>
      <w:marLeft w:val="0"/>
      <w:marRight w:val="0"/>
      <w:marTop w:val="0"/>
      <w:marBottom w:val="0"/>
      <w:divBdr>
        <w:top w:val="none" w:sz="0" w:space="0" w:color="auto"/>
        <w:left w:val="none" w:sz="0" w:space="0" w:color="auto"/>
        <w:bottom w:val="none" w:sz="0" w:space="0" w:color="auto"/>
        <w:right w:val="none" w:sz="0" w:space="0" w:color="auto"/>
      </w:divBdr>
    </w:div>
    <w:div w:id="782382827">
      <w:bodyDiv w:val="1"/>
      <w:marLeft w:val="0"/>
      <w:marRight w:val="0"/>
      <w:marTop w:val="0"/>
      <w:marBottom w:val="0"/>
      <w:divBdr>
        <w:top w:val="none" w:sz="0" w:space="0" w:color="auto"/>
        <w:left w:val="none" w:sz="0" w:space="0" w:color="auto"/>
        <w:bottom w:val="none" w:sz="0" w:space="0" w:color="auto"/>
        <w:right w:val="none" w:sz="0" w:space="0" w:color="auto"/>
      </w:divBdr>
    </w:div>
    <w:div w:id="782578505">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919849">
      <w:bodyDiv w:val="1"/>
      <w:marLeft w:val="0"/>
      <w:marRight w:val="0"/>
      <w:marTop w:val="0"/>
      <w:marBottom w:val="0"/>
      <w:divBdr>
        <w:top w:val="none" w:sz="0" w:space="0" w:color="auto"/>
        <w:left w:val="none" w:sz="0" w:space="0" w:color="auto"/>
        <w:bottom w:val="none" w:sz="0" w:space="0" w:color="auto"/>
        <w:right w:val="none" w:sz="0" w:space="0" w:color="auto"/>
      </w:divBdr>
    </w:div>
    <w:div w:id="783236610">
      <w:bodyDiv w:val="1"/>
      <w:marLeft w:val="0"/>
      <w:marRight w:val="0"/>
      <w:marTop w:val="0"/>
      <w:marBottom w:val="0"/>
      <w:divBdr>
        <w:top w:val="none" w:sz="0" w:space="0" w:color="auto"/>
        <w:left w:val="none" w:sz="0" w:space="0" w:color="auto"/>
        <w:bottom w:val="none" w:sz="0" w:space="0" w:color="auto"/>
        <w:right w:val="none" w:sz="0" w:space="0" w:color="auto"/>
      </w:divBdr>
    </w:div>
    <w:div w:id="783690943">
      <w:bodyDiv w:val="1"/>
      <w:marLeft w:val="0"/>
      <w:marRight w:val="0"/>
      <w:marTop w:val="0"/>
      <w:marBottom w:val="0"/>
      <w:divBdr>
        <w:top w:val="none" w:sz="0" w:space="0" w:color="auto"/>
        <w:left w:val="none" w:sz="0" w:space="0" w:color="auto"/>
        <w:bottom w:val="none" w:sz="0" w:space="0" w:color="auto"/>
        <w:right w:val="none" w:sz="0" w:space="0" w:color="auto"/>
      </w:divBdr>
    </w:div>
    <w:div w:id="784350947">
      <w:bodyDiv w:val="1"/>
      <w:marLeft w:val="0"/>
      <w:marRight w:val="0"/>
      <w:marTop w:val="0"/>
      <w:marBottom w:val="0"/>
      <w:divBdr>
        <w:top w:val="none" w:sz="0" w:space="0" w:color="auto"/>
        <w:left w:val="none" w:sz="0" w:space="0" w:color="auto"/>
        <w:bottom w:val="none" w:sz="0" w:space="0" w:color="auto"/>
        <w:right w:val="none" w:sz="0" w:space="0" w:color="auto"/>
      </w:divBdr>
    </w:div>
    <w:div w:id="785002858">
      <w:bodyDiv w:val="1"/>
      <w:marLeft w:val="0"/>
      <w:marRight w:val="0"/>
      <w:marTop w:val="0"/>
      <w:marBottom w:val="0"/>
      <w:divBdr>
        <w:top w:val="none" w:sz="0" w:space="0" w:color="auto"/>
        <w:left w:val="none" w:sz="0" w:space="0" w:color="auto"/>
        <w:bottom w:val="none" w:sz="0" w:space="0" w:color="auto"/>
        <w:right w:val="none" w:sz="0" w:space="0" w:color="auto"/>
      </w:divBdr>
    </w:div>
    <w:div w:id="785466689">
      <w:bodyDiv w:val="1"/>
      <w:marLeft w:val="0"/>
      <w:marRight w:val="0"/>
      <w:marTop w:val="0"/>
      <w:marBottom w:val="0"/>
      <w:divBdr>
        <w:top w:val="none" w:sz="0" w:space="0" w:color="auto"/>
        <w:left w:val="none" w:sz="0" w:space="0" w:color="auto"/>
        <w:bottom w:val="none" w:sz="0" w:space="0" w:color="auto"/>
        <w:right w:val="none" w:sz="0" w:space="0" w:color="auto"/>
      </w:divBdr>
    </w:div>
    <w:div w:id="785655431">
      <w:bodyDiv w:val="1"/>
      <w:marLeft w:val="0"/>
      <w:marRight w:val="0"/>
      <w:marTop w:val="0"/>
      <w:marBottom w:val="0"/>
      <w:divBdr>
        <w:top w:val="none" w:sz="0" w:space="0" w:color="auto"/>
        <w:left w:val="none" w:sz="0" w:space="0" w:color="auto"/>
        <w:bottom w:val="none" w:sz="0" w:space="0" w:color="auto"/>
        <w:right w:val="none" w:sz="0" w:space="0" w:color="auto"/>
      </w:divBdr>
    </w:div>
    <w:div w:id="785735489">
      <w:bodyDiv w:val="1"/>
      <w:marLeft w:val="0"/>
      <w:marRight w:val="0"/>
      <w:marTop w:val="0"/>
      <w:marBottom w:val="0"/>
      <w:divBdr>
        <w:top w:val="none" w:sz="0" w:space="0" w:color="auto"/>
        <w:left w:val="none" w:sz="0" w:space="0" w:color="auto"/>
        <w:bottom w:val="none" w:sz="0" w:space="0" w:color="auto"/>
        <w:right w:val="none" w:sz="0" w:space="0" w:color="auto"/>
      </w:divBdr>
    </w:div>
    <w:div w:id="786587614">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8551659">
      <w:bodyDiv w:val="1"/>
      <w:marLeft w:val="0"/>
      <w:marRight w:val="0"/>
      <w:marTop w:val="0"/>
      <w:marBottom w:val="0"/>
      <w:divBdr>
        <w:top w:val="none" w:sz="0" w:space="0" w:color="auto"/>
        <w:left w:val="none" w:sz="0" w:space="0" w:color="auto"/>
        <w:bottom w:val="none" w:sz="0" w:space="0" w:color="auto"/>
        <w:right w:val="none" w:sz="0" w:space="0" w:color="auto"/>
      </w:divBdr>
    </w:div>
    <w:div w:id="788553225">
      <w:bodyDiv w:val="1"/>
      <w:marLeft w:val="0"/>
      <w:marRight w:val="0"/>
      <w:marTop w:val="0"/>
      <w:marBottom w:val="0"/>
      <w:divBdr>
        <w:top w:val="none" w:sz="0" w:space="0" w:color="auto"/>
        <w:left w:val="none" w:sz="0" w:space="0" w:color="auto"/>
        <w:bottom w:val="none" w:sz="0" w:space="0" w:color="auto"/>
        <w:right w:val="none" w:sz="0" w:space="0" w:color="auto"/>
      </w:divBdr>
    </w:div>
    <w:div w:id="788862443">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633573">
      <w:bodyDiv w:val="1"/>
      <w:marLeft w:val="0"/>
      <w:marRight w:val="0"/>
      <w:marTop w:val="0"/>
      <w:marBottom w:val="0"/>
      <w:divBdr>
        <w:top w:val="none" w:sz="0" w:space="0" w:color="auto"/>
        <w:left w:val="none" w:sz="0" w:space="0" w:color="auto"/>
        <w:bottom w:val="none" w:sz="0" w:space="0" w:color="auto"/>
        <w:right w:val="none" w:sz="0" w:space="0" w:color="auto"/>
      </w:divBdr>
    </w:div>
    <w:div w:id="791284000">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2595804">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3525832">
      <w:bodyDiv w:val="1"/>
      <w:marLeft w:val="0"/>
      <w:marRight w:val="0"/>
      <w:marTop w:val="0"/>
      <w:marBottom w:val="0"/>
      <w:divBdr>
        <w:top w:val="none" w:sz="0" w:space="0" w:color="auto"/>
        <w:left w:val="none" w:sz="0" w:space="0" w:color="auto"/>
        <w:bottom w:val="none" w:sz="0" w:space="0" w:color="auto"/>
        <w:right w:val="none" w:sz="0" w:space="0" w:color="auto"/>
      </w:divBdr>
    </w:div>
    <w:div w:id="79502333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5946943">
      <w:bodyDiv w:val="1"/>
      <w:marLeft w:val="0"/>
      <w:marRight w:val="0"/>
      <w:marTop w:val="0"/>
      <w:marBottom w:val="0"/>
      <w:divBdr>
        <w:top w:val="none" w:sz="0" w:space="0" w:color="auto"/>
        <w:left w:val="none" w:sz="0" w:space="0" w:color="auto"/>
        <w:bottom w:val="none" w:sz="0" w:space="0" w:color="auto"/>
        <w:right w:val="none" w:sz="0" w:space="0" w:color="auto"/>
      </w:divBdr>
    </w:div>
    <w:div w:id="795952773">
      <w:bodyDiv w:val="1"/>
      <w:marLeft w:val="0"/>
      <w:marRight w:val="0"/>
      <w:marTop w:val="0"/>
      <w:marBottom w:val="0"/>
      <w:divBdr>
        <w:top w:val="none" w:sz="0" w:space="0" w:color="auto"/>
        <w:left w:val="none" w:sz="0" w:space="0" w:color="auto"/>
        <w:bottom w:val="none" w:sz="0" w:space="0" w:color="auto"/>
        <w:right w:val="none" w:sz="0" w:space="0" w:color="auto"/>
      </w:divBdr>
    </w:div>
    <w:div w:id="796528434">
      <w:bodyDiv w:val="1"/>
      <w:marLeft w:val="0"/>
      <w:marRight w:val="0"/>
      <w:marTop w:val="0"/>
      <w:marBottom w:val="0"/>
      <w:divBdr>
        <w:top w:val="none" w:sz="0" w:space="0" w:color="auto"/>
        <w:left w:val="none" w:sz="0" w:space="0" w:color="auto"/>
        <w:bottom w:val="none" w:sz="0" w:space="0" w:color="auto"/>
        <w:right w:val="none" w:sz="0" w:space="0" w:color="auto"/>
      </w:divBdr>
    </w:div>
    <w:div w:id="796996239">
      <w:bodyDiv w:val="1"/>
      <w:marLeft w:val="0"/>
      <w:marRight w:val="0"/>
      <w:marTop w:val="0"/>
      <w:marBottom w:val="0"/>
      <w:divBdr>
        <w:top w:val="none" w:sz="0" w:space="0" w:color="auto"/>
        <w:left w:val="none" w:sz="0" w:space="0" w:color="auto"/>
        <w:bottom w:val="none" w:sz="0" w:space="0" w:color="auto"/>
        <w:right w:val="none" w:sz="0" w:space="0" w:color="auto"/>
      </w:divBdr>
    </w:div>
    <w:div w:id="798105157">
      <w:bodyDiv w:val="1"/>
      <w:marLeft w:val="0"/>
      <w:marRight w:val="0"/>
      <w:marTop w:val="0"/>
      <w:marBottom w:val="0"/>
      <w:divBdr>
        <w:top w:val="none" w:sz="0" w:space="0" w:color="auto"/>
        <w:left w:val="none" w:sz="0" w:space="0" w:color="auto"/>
        <w:bottom w:val="none" w:sz="0" w:space="0" w:color="auto"/>
        <w:right w:val="none" w:sz="0" w:space="0" w:color="auto"/>
      </w:divBdr>
    </w:div>
    <w:div w:id="798493272">
      <w:bodyDiv w:val="1"/>
      <w:marLeft w:val="0"/>
      <w:marRight w:val="0"/>
      <w:marTop w:val="0"/>
      <w:marBottom w:val="0"/>
      <w:divBdr>
        <w:top w:val="none" w:sz="0" w:space="0" w:color="auto"/>
        <w:left w:val="none" w:sz="0" w:space="0" w:color="auto"/>
        <w:bottom w:val="none" w:sz="0" w:space="0" w:color="auto"/>
        <w:right w:val="none" w:sz="0" w:space="0" w:color="auto"/>
      </w:divBdr>
    </w:div>
    <w:div w:id="799223147">
      <w:bodyDiv w:val="1"/>
      <w:marLeft w:val="0"/>
      <w:marRight w:val="0"/>
      <w:marTop w:val="0"/>
      <w:marBottom w:val="0"/>
      <w:divBdr>
        <w:top w:val="none" w:sz="0" w:space="0" w:color="auto"/>
        <w:left w:val="none" w:sz="0" w:space="0" w:color="auto"/>
        <w:bottom w:val="none" w:sz="0" w:space="0" w:color="auto"/>
        <w:right w:val="none" w:sz="0" w:space="0" w:color="auto"/>
      </w:divBdr>
    </w:div>
    <w:div w:id="799618249">
      <w:bodyDiv w:val="1"/>
      <w:marLeft w:val="0"/>
      <w:marRight w:val="0"/>
      <w:marTop w:val="0"/>
      <w:marBottom w:val="0"/>
      <w:divBdr>
        <w:top w:val="none" w:sz="0" w:space="0" w:color="auto"/>
        <w:left w:val="none" w:sz="0" w:space="0" w:color="auto"/>
        <w:bottom w:val="none" w:sz="0" w:space="0" w:color="auto"/>
        <w:right w:val="none" w:sz="0" w:space="0" w:color="auto"/>
      </w:divBdr>
    </w:div>
    <w:div w:id="799885629">
      <w:bodyDiv w:val="1"/>
      <w:marLeft w:val="0"/>
      <w:marRight w:val="0"/>
      <w:marTop w:val="0"/>
      <w:marBottom w:val="0"/>
      <w:divBdr>
        <w:top w:val="none" w:sz="0" w:space="0" w:color="auto"/>
        <w:left w:val="none" w:sz="0" w:space="0" w:color="auto"/>
        <w:bottom w:val="none" w:sz="0" w:space="0" w:color="auto"/>
        <w:right w:val="none" w:sz="0" w:space="0" w:color="auto"/>
      </w:divBdr>
    </w:div>
    <w:div w:id="800076238">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1072758">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3933881">
      <w:bodyDiv w:val="1"/>
      <w:marLeft w:val="0"/>
      <w:marRight w:val="0"/>
      <w:marTop w:val="0"/>
      <w:marBottom w:val="0"/>
      <w:divBdr>
        <w:top w:val="none" w:sz="0" w:space="0" w:color="auto"/>
        <w:left w:val="none" w:sz="0" w:space="0" w:color="auto"/>
        <w:bottom w:val="none" w:sz="0" w:space="0" w:color="auto"/>
        <w:right w:val="none" w:sz="0" w:space="0" w:color="auto"/>
      </w:divBdr>
    </w:div>
    <w:div w:id="804466059">
      <w:bodyDiv w:val="1"/>
      <w:marLeft w:val="0"/>
      <w:marRight w:val="0"/>
      <w:marTop w:val="0"/>
      <w:marBottom w:val="0"/>
      <w:divBdr>
        <w:top w:val="none" w:sz="0" w:space="0" w:color="auto"/>
        <w:left w:val="none" w:sz="0" w:space="0" w:color="auto"/>
        <w:bottom w:val="none" w:sz="0" w:space="0" w:color="auto"/>
        <w:right w:val="none" w:sz="0" w:space="0" w:color="auto"/>
      </w:divBdr>
    </w:div>
    <w:div w:id="804617112">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59612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8742088">
      <w:bodyDiv w:val="1"/>
      <w:marLeft w:val="0"/>
      <w:marRight w:val="0"/>
      <w:marTop w:val="0"/>
      <w:marBottom w:val="0"/>
      <w:divBdr>
        <w:top w:val="none" w:sz="0" w:space="0" w:color="auto"/>
        <w:left w:val="none" w:sz="0" w:space="0" w:color="auto"/>
        <w:bottom w:val="none" w:sz="0" w:space="0" w:color="auto"/>
        <w:right w:val="none" w:sz="0" w:space="0" w:color="auto"/>
      </w:divBdr>
    </w:div>
    <w:div w:id="808867317">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515028">
      <w:bodyDiv w:val="1"/>
      <w:marLeft w:val="0"/>
      <w:marRight w:val="0"/>
      <w:marTop w:val="0"/>
      <w:marBottom w:val="0"/>
      <w:divBdr>
        <w:top w:val="none" w:sz="0" w:space="0" w:color="auto"/>
        <w:left w:val="none" w:sz="0" w:space="0" w:color="auto"/>
        <w:bottom w:val="none" w:sz="0" w:space="0" w:color="auto"/>
        <w:right w:val="none" w:sz="0" w:space="0" w:color="auto"/>
      </w:divBdr>
    </w:div>
    <w:div w:id="809908594">
      <w:bodyDiv w:val="1"/>
      <w:marLeft w:val="0"/>
      <w:marRight w:val="0"/>
      <w:marTop w:val="0"/>
      <w:marBottom w:val="0"/>
      <w:divBdr>
        <w:top w:val="none" w:sz="0" w:space="0" w:color="auto"/>
        <w:left w:val="none" w:sz="0" w:space="0" w:color="auto"/>
        <w:bottom w:val="none" w:sz="0" w:space="0" w:color="auto"/>
        <w:right w:val="none" w:sz="0" w:space="0" w:color="auto"/>
      </w:divBdr>
    </w:div>
    <w:div w:id="810512567">
      <w:bodyDiv w:val="1"/>
      <w:marLeft w:val="0"/>
      <w:marRight w:val="0"/>
      <w:marTop w:val="0"/>
      <w:marBottom w:val="0"/>
      <w:divBdr>
        <w:top w:val="none" w:sz="0" w:space="0" w:color="auto"/>
        <w:left w:val="none" w:sz="0" w:space="0" w:color="auto"/>
        <w:bottom w:val="none" w:sz="0" w:space="0" w:color="auto"/>
        <w:right w:val="none" w:sz="0" w:space="0" w:color="auto"/>
      </w:divBdr>
    </w:div>
    <w:div w:id="810754851">
      <w:bodyDiv w:val="1"/>
      <w:marLeft w:val="0"/>
      <w:marRight w:val="0"/>
      <w:marTop w:val="0"/>
      <w:marBottom w:val="0"/>
      <w:divBdr>
        <w:top w:val="none" w:sz="0" w:space="0" w:color="auto"/>
        <w:left w:val="none" w:sz="0" w:space="0" w:color="auto"/>
        <w:bottom w:val="none" w:sz="0" w:space="0" w:color="auto"/>
        <w:right w:val="none" w:sz="0" w:space="0" w:color="auto"/>
      </w:divBdr>
    </w:div>
    <w:div w:id="811219607">
      <w:bodyDiv w:val="1"/>
      <w:marLeft w:val="0"/>
      <w:marRight w:val="0"/>
      <w:marTop w:val="0"/>
      <w:marBottom w:val="0"/>
      <w:divBdr>
        <w:top w:val="none" w:sz="0" w:space="0" w:color="auto"/>
        <w:left w:val="none" w:sz="0" w:space="0" w:color="auto"/>
        <w:bottom w:val="none" w:sz="0" w:space="0" w:color="auto"/>
        <w:right w:val="none" w:sz="0" w:space="0" w:color="auto"/>
      </w:divBdr>
    </w:div>
    <w:div w:id="811364790">
      <w:bodyDiv w:val="1"/>
      <w:marLeft w:val="0"/>
      <w:marRight w:val="0"/>
      <w:marTop w:val="0"/>
      <w:marBottom w:val="0"/>
      <w:divBdr>
        <w:top w:val="none" w:sz="0" w:space="0" w:color="auto"/>
        <w:left w:val="none" w:sz="0" w:space="0" w:color="auto"/>
        <w:bottom w:val="none" w:sz="0" w:space="0" w:color="auto"/>
        <w:right w:val="none" w:sz="0" w:space="0" w:color="auto"/>
      </w:divBdr>
    </w:div>
    <w:div w:id="811555996">
      <w:bodyDiv w:val="1"/>
      <w:marLeft w:val="0"/>
      <w:marRight w:val="0"/>
      <w:marTop w:val="0"/>
      <w:marBottom w:val="0"/>
      <w:divBdr>
        <w:top w:val="none" w:sz="0" w:space="0" w:color="auto"/>
        <w:left w:val="none" w:sz="0" w:space="0" w:color="auto"/>
        <w:bottom w:val="none" w:sz="0" w:space="0" w:color="auto"/>
        <w:right w:val="none" w:sz="0" w:space="0" w:color="auto"/>
      </w:divBdr>
    </w:div>
    <w:div w:id="811673871">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3523166">
      <w:bodyDiv w:val="1"/>
      <w:marLeft w:val="0"/>
      <w:marRight w:val="0"/>
      <w:marTop w:val="0"/>
      <w:marBottom w:val="0"/>
      <w:divBdr>
        <w:top w:val="none" w:sz="0" w:space="0" w:color="auto"/>
        <w:left w:val="none" w:sz="0" w:space="0" w:color="auto"/>
        <w:bottom w:val="none" w:sz="0" w:space="0" w:color="auto"/>
        <w:right w:val="none" w:sz="0" w:space="0" w:color="auto"/>
      </w:divBdr>
    </w:div>
    <w:div w:id="815417579">
      <w:bodyDiv w:val="1"/>
      <w:marLeft w:val="0"/>
      <w:marRight w:val="0"/>
      <w:marTop w:val="0"/>
      <w:marBottom w:val="0"/>
      <w:divBdr>
        <w:top w:val="none" w:sz="0" w:space="0" w:color="auto"/>
        <w:left w:val="none" w:sz="0" w:space="0" w:color="auto"/>
        <w:bottom w:val="none" w:sz="0" w:space="0" w:color="auto"/>
        <w:right w:val="none" w:sz="0" w:space="0" w:color="auto"/>
      </w:divBdr>
    </w:div>
    <w:div w:id="816191039">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7190403">
      <w:bodyDiv w:val="1"/>
      <w:marLeft w:val="0"/>
      <w:marRight w:val="0"/>
      <w:marTop w:val="0"/>
      <w:marBottom w:val="0"/>
      <w:divBdr>
        <w:top w:val="none" w:sz="0" w:space="0" w:color="auto"/>
        <w:left w:val="none" w:sz="0" w:space="0" w:color="auto"/>
        <w:bottom w:val="none" w:sz="0" w:space="0" w:color="auto"/>
        <w:right w:val="none" w:sz="0" w:space="0" w:color="auto"/>
      </w:divBdr>
    </w:div>
    <w:div w:id="819883590">
      <w:bodyDiv w:val="1"/>
      <w:marLeft w:val="0"/>
      <w:marRight w:val="0"/>
      <w:marTop w:val="0"/>
      <w:marBottom w:val="0"/>
      <w:divBdr>
        <w:top w:val="none" w:sz="0" w:space="0" w:color="auto"/>
        <w:left w:val="none" w:sz="0" w:space="0" w:color="auto"/>
        <w:bottom w:val="none" w:sz="0" w:space="0" w:color="auto"/>
        <w:right w:val="none" w:sz="0" w:space="0" w:color="auto"/>
      </w:divBdr>
    </w:div>
    <w:div w:id="820732691">
      <w:bodyDiv w:val="1"/>
      <w:marLeft w:val="0"/>
      <w:marRight w:val="0"/>
      <w:marTop w:val="0"/>
      <w:marBottom w:val="0"/>
      <w:divBdr>
        <w:top w:val="none" w:sz="0" w:space="0" w:color="auto"/>
        <w:left w:val="none" w:sz="0" w:space="0" w:color="auto"/>
        <w:bottom w:val="none" w:sz="0" w:space="0" w:color="auto"/>
        <w:right w:val="none" w:sz="0" w:space="0" w:color="auto"/>
      </w:divBdr>
    </w:div>
    <w:div w:id="820996990">
      <w:bodyDiv w:val="1"/>
      <w:marLeft w:val="0"/>
      <w:marRight w:val="0"/>
      <w:marTop w:val="0"/>
      <w:marBottom w:val="0"/>
      <w:divBdr>
        <w:top w:val="none" w:sz="0" w:space="0" w:color="auto"/>
        <w:left w:val="none" w:sz="0" w:space="0" w:color="auto"/>
        <w:bottom w:val="none" w:sz="0" w:space="0" w:color="auto"/>
        <w:right w:val="none" w:sz="0" w:space="0" w:color="auto"/>
      </w:divBdr>
    </w:div>
    <w:div w:id="822090516">
      <w:bodyDiv w:val="1"/>
      <w:marLeft w:val="0"/>
      <w:marRight w:val="0"/>
      <w:marTop w:val="0"/>
      <w:marBottom w:val="0"/>
      <w:divBdr>
        <w:top w:val="none" w:sz="0" w:space="0" w:color="auto"/>
        <w:left w:val="none" w:sz="0" w:space="0" w:color="auto"/>
        <w:bottom w:val="none" w:sz="0" w:space="0" w:color="auto"/>
        <w:right w:val="none" w:sz="0" w:space="0" w:color="auto"/>
      </w:divBdr>
    </w:div>
    <w:div w:id="822350243">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620300">
      <w:bodyDiv w:val="1"/>
      <w:marLeft w:val="0"/>
      <w:marRight w:val="0"/>
      <w:marTop w:val="0"/>
      <w:marBottom w:val="0"/>
      <w:divBdr>
        <w:top w:val="none" w:sz="0" w:space="0" w:color="auto"/>
        <w:left w:val="none" w:sz="0" w:space="0" w:color="auto"/>
        <w:bottom w:val="none" w:sz="0" w:space="0" w:color="auto"/>
        <w:right w:val="none" w:sz="0" w:space="0" w:color="auto"/>
      </w:divBdr>
    </w:div>
    <w:div w:id="823280870">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1893">
      <w:bodyDiv w:val="1"/>
      <w:marLeft w:val="0"/>
      <w:marRight w:val="0"/>
      <w:marTop w:val="0"/>
      <w:marBottom w:val="0"/>
      <w:divBdr>
        <w:top w:val="none" w:sz="0" w:space="0" w:color="auto"/>
        <w:left w:val="none" w:sz="0" w:space="0" w:color="auto"/>
        <w:bottom w:val="none" w:sz="0" w:space="0" w:color="auto"/>
        <w:right w:val="none" w:sz="0" w:space="0" w:color="auto"/>
      </w:divBdr>
    </w:div>
    <w:div w:id="824587823">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5166634">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6171762">
      <w:bodyDiv w:val="1"/>
      <w:marLeft w:val="0"/>
      <w:marRight w:val="0"/>
      <w:marTop w:val="0"/>
      <w:marBottom w:val="0"/>
      <w:divBdr>
        <w:top w:val="none" w:sz="0" w:space="0" w:color="auto"/>
        <w:left w:val="none" w:sz="0" w:space="0" w:color="auto"/>
        <w:bottom w:val="none" w:sz="0" w:space="0" w:color="auto"/>
        <w:right w:val="none" w:sz="0" w:space="0" w:color="auto"/>
      </w:divBdr>
    </w:div>
    <w:div w:id="826435840">
      <w:bodyDiv w:val="1"/>
      <w:marLeft w:val="0"/>
      <w:marRight w:val="0"/>
      <w:marTop w:val="0"/>
      <w:marBottom w:val="0"/>
      <w:divBdr>
        <w:top w:val="none" w:sz="0" w:space="0" w:color="auto"/>
        <w:left w:val="none" w:sz="0" w:space="0" w:color="auto"/>
        <w:bottom w:val="none" w:sz="0" w:space="0" w:color="auto"/>
        <w:right w:val="none" w:sz="0" w:space="0" w:color="auto"/>
      </w:divBdr>
    </w:div>
    <w:div w:id="828790097">
      <w:bodyDiv w:val="1"/>
      <w:marLeft w:val="0"/>
      <w:marRight w:val="0"/>
      <w:marTop w:val="0"/>
      <w:marBottom w:val="0"/>
      <w:divBdr>
        <w:top w:val="none" w:sz="0" w:space="0" w:color="auto"/>
        <w:left w:val="none" w:sz="0" w:space="0" w:color="auto"/>
        <w:bottom w:val="none" w:sz="0" w:space="0" w:color="auto"/>
        <w:right w:val="none" w:sz="0" w:space="0" w:color="auto"/>
      </w:divBdr>
    </w:div>
    <w:div w:id="828907641">
      <w:bodyDiv w:val="1"/>
      <w:marLeft w:val="0"/>
      <w:marRight w:val="0"/>
      <w:marTop w:val="0"/>
      <w:marBottom w:val="0"/>
      <w:divBdr>
        <w:top w:val="none" w:sz="0" w:space="0" w:color="auto"/>
        <w:left w:val="none" w:sz="0" w:space="0" w:color="auto"/>
        <w:bottom w:val="none" w:sz="0" w:space="0" w:color="auto"/>
        <w:right w:val="none" w:sz="0" w:space="0" w:color="auto"/>
      </w:divBdr>
    </w:div>
    <w:div w:id="828908575">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29909366">
      <w:bodyDiv w:val="1"/>
      <w:marLeft w:val="0"/>
      <w:marRight w:val="0"/>
      <w:marTop w:val="0"/>
      <w:marBottom w:val="0"/>
      <w:divBdr>
        <w:top w:val="none" w:sz="0" w:space="0" w:color="auto"/>
        <w:left w:val="none" w:sz="0" w:space="0" w:color="auto"/>
        <w:bottom w:val="none" w:sz="0" w:space="0" w:color="auto"/>
        <w:right w:val="none" w:sz="0" w:space="0" w:color="auto"/>
      </w:divBdr>
    </w:div>
    <w:div w:id="830560841">
      <w:bodyDiv w:val="1"/>
      <w:marLeft w:val="0"/>
      <w:marRight w:val="0"/>
      <w:marTop w:val="0"/>
      <w:marBottom w:val="0"/>
      <w:divBdr>
        <w:top w:val="none" w:sz="0" w:space="0" w:color="auto"/>
        <w:left w:val="none" w:sz="0" w:space="0" w:color="auto"/>
        <w:bottom w:val="none" w:sz="0" w:space="0" w:color="auto"/>
        <w:right w:val="none" w:sz="0" w:space="0" w:color="auto"/>
      </w:divBdr>
    </w:div>
    <w:div w:id="830635673">
      <w:bodyDiv w:val="1"/>
      <w:marLeft w:val="0"/>
      <w:marRight w:val="0"/>
      <w:marTop w:val="0"/>
      <w:marBottom w:val="0"/>
      <w:divBdr>
        <w:top w:val="none" w:sz="0" w:space="0" w:color="auto"/>
        <w:left w:val="none" w:sz="0" w:space="0" w:color="auto"/>
        <w:bottom w:val="none" w:sz="0" w:space="0" w:color="auto"/>
        <w:right w:val="none" w:sz="0" w:space="0" w:color="auto"/>
      </w:divBdr>
    </w:div>
    <w:div w:id="831331376">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1993972">
      <w:bodyDiv w:val="1"/>
      <w:marLeft w:val="0"/>
      <w:marRight w:val="0"/>
      <w:marTop w:val="0"/>
      <w:marBottom w:val="0"/>
      <w:divBdr>
        <w:top w:val="none" w:sz="0" w:space="0" w:color="auto"/>
        <w:left w:val="none" w:sz="0" w:space="0" w:color="auto"/>
        <w:bottom w:val="none" w:sz="0" w:space="0" w:color="auto"/>
        <w:right w:val="none" w:sz="0" w:space="0" w:color="auto"/>
      </w:divBdr>
    </w:div>
    <w:div w:id="832139206">
      <w:bodyDiv w:val="1"/>
      <w:marLeft w:val="0"/>
      <w:marRight w:val="0"/>
      <w:marTop w:val="0"/>
      <w:marBottom w:val="0"/>
      <w:divBdr>
        <w:top w:val="none" w:sz="0" w:space="0" w:color="auto"/>
        <w:left w:val="none" w:sz="0" w:space="0" w:color="auto"/>
        <w:bottom w:val="none" w:sz="0" w:space="0" w:color="auto"/>
        <w:right w:val="none" w:sz="0" w:space="0" w:color="auto"/>
      </w:divBdr>
    </w:div>
    <w:div w:id="832183437">
      <w:bodyDiv w:val="1"/>
      <w:marLeft w:val="0"/>
      <w:marRight w:val="0"/>
      <w:marTop w:val="0"/>
      <w:marBottom w:val="0"/>
      <w:divBdr>
        <w:top w:val="none" w:sz="0" w:space="0" w:color="auto"/>
        <w:left w:val="none" w:sz="0" w:space="0" w:color="auto"/>
        <w:bottom w:val="none" w:sz="0" w:space="0" w:color="auto"/>
        <w:right w:val="none" w:sz="0" w:space="0" w:color="auto"/>
      </w:divBdr>
    </w:div>
    <w:div w:id="832333359">
      <w:bodyDiv w:val="1"/>
      <w:marLeft w:val="0"/>
      <w:marRight w:val="0"/>
      <w:marTop w:val="0"/>
      <w:marBottom w:val="0"/>
      <w:divBdr>
        <w:top w:val="none" w:sz="0" w:space="0" w:color="auto"/>
        <w:left w:val="none" w:sz="0" w:space="0" w:color="auto"/>
        <w:bottom w:val="none" w:sz="0" w:space="0" w:color="auto"/>
        <w:right w:val="none" w:sz="0" w:space="0" w:color="auto"/>
      </w:divBdr>
    </w:div>
    <w:div w:id="833107852">
      <w:bodyDiv w:val="1"/>
      <w:marLeft w:val="0"/>
      <w:marRight w:val="0"/>
      <w:marTop w:val="0"/>
      <w:marBottom w:val="0"/>
      <w:divBdr>
        <w:top w:val="none" w:sz="0" w:space="0" w:color="auto"/>
        <w:left w:val="none" w:sz="0" w:space="0" w:color="auto"/>
        <w:bottom w:val="none" w:sz="0" w:space="0" w:color="auto"/>
        <w:right w:val="none" w:sz="0" w:space="0" w:color="auto"/>
      </w:divBdr>
    </w:div>
    <w:div w:id="833644567">
      <w:bodyDiv w:val="1"/>
      <w:marLeft w:val="0"/>
      <w:marRight w:val="0"/>
      <w:marTop w:val="0"/>
      <w:marBottom w:val="0"/>
      <w:divBdr>
        <w:top w:val="none" w:sz="0" w:space="0" w:color="auto"/>
        <w:left w:val="none" w:sz="0" w:space="0" w:color="auto"/>
        <w:bottom w:val="none" w:sz="0" w:space="0" w:color="auto"/>
        <w:right w:val="none" w:sz="0" w:space="0" w:color="auto"/>
      </w:divBdr>
    </w:div>
    <w:div w:id="834227831">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4959166">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36503819">
      <w:bodyDiv w:val="1"/>
      <w:marLeft w:val="0"/>
      <w:marRight w:val="0"/>
      <w:marTop w:val="0"/>
      <w:marBottom w:val="0"/>
      <w:divBdr>
        <w:top w:val="none" w:sz="0" w:space="0" w:color="auto"/>
        <w:left w:val="none" w:sz="0" w:space="0" w:color="auto"/>
        <w:bottom w:val="none" w:sz="0" w:space="0" w:color="auto"/>
        <w:right w:val="none" w:sz="0" w:space="0" w:color="auto"/>
      </w:divBdr>
    </w:div>
    <w:div w:id="837116153">
      <w:bodyDiv w:val="1"/>
      <w:marLeft w:val="0"/>
      <w:marRight w:val="0"/>
      <w:marTop w:val="0"/>
      <w:marBottom w:val="0"/>
      <w:divBdr>
        <w:top w:val="none" w:sz="0" w:space="0" w:color="auto"/>
        <w:left w:val="none" w:sz="0" w:space="0" w:color="auto"/>
        <w:bottom w:val="none" w:sz="0" w:space="0" w:color="auto"/>
        <w:right w:val="none" w:sz="0" w:space="0" w:color="auto"/>
      </w:divBdr>
    </w:div>
    <w:div w:id="837499048">
      <w:bodyDiv w:val="1"/>
      <w:marLeft w:val="0"/>
      <w:marRight w:val="0"/>
      <w:marTop w:val="0"/>
      <w:marBottom w:val="0"/>
      <w:divBdr>
        <w:top w:val="none" w:sz="0" w:space="0" w:color="auto"/>
        <w:left w:val="none" w:sz="0" w:space="0" w:color="auto"/>
        <w:bottom w:val="none" w:sz="0" w:space="0" w:color="auto"/>
        <w:right w:val="none" w:sz="0" w:space="0" w:color="auto"/>
      </w:divBdr>
    </w:div>
    <w:div w:id="837771447">
      <w:bodyDiv w:val="1"/>
      <w:marLeft w:val="0"/>
      <w:marRight w:val="0"/>
      <w:marTop w:val="0"/>
      <w:marBottom w:val="0"/>
      <w:divBdr>
        <w:top w:val="none" w:sz="0" w:space="0" w:color="auto"/>
        <w:left w:val="none" w:sz="0" w:space="0" w:color="auto"/>
        <w:bottom w:val="none" w:sz="0" w:space="0" w:color="auto"/>
        <w:right w:val="none" w:sz="0" w:space="0" w:color="auto"/>
      </w:divBdr>
    </w:div>
    <w:div w:id="837966532">
      <w:bodyDiv w:val="1"/>
      <w:marLeft w:val="0"/>
      <w:marRight w:val="0"/>
      <w:marTop w:val="0"/>
      <w:marBottom w:val="0"/>
      <w:divBdr>
        <w:top w:val="none" w:sz="0" w:space="0" w:color="auto"/>
        <w:left w:val="none" w:sz="0" w:space="0" w:color="auto"/>
        <w:bottom w:val="none" w:sz="0" w:space="0" w:color="auto"/>
        <w:right w:val="none" w:sz="0" w:space="0" w:color="auto"/>
      </w:divBdr>
    </w:div>
    <w:div w:id="839198174">
      <w:bodyDiv w:val="1"/>
      <w:marLeft w:val="0"/>
      <w:marRight w:val="0"/>
      <w:marTop w:val="0"/>
      <w:marBottom w:val="0"/>
      <w:divBdr>
        <w:top w:val="none" w:sz="0" w:space="0" w:color="auto"/>
        <w:left w:val="none" w:sz="0" w:space="0" w:color="auto"/>
        <w:bottom w:val="none" w:sz="0" w:space="0" w:color="auto"/>
        <w:right w:val="none" w:sz="0" w:space="0" w:color="auto"/>
      </w:divBdr>
    </w:div>
    <w:div w:id="839659262">
      <w:bodyDiv w:val="1"/>
      <w:marLeft w:val="0"/>
      <w:marRight w:val="0"/>
      <w:marTop w:val="0"/>
      <w:marBottom w:val="0"/>
      <w:divBdr>
        <w:top w:val="none" w:sz="0" w:space="0" w:color="auto"/>
        <w:left w:val="none" w:sz="0" w:space="0" w:color="auto"/>
        <w:bottom w:val="none" w:sz="0" w:space="0" w:color="auto"/>
        <w:right w:val="none" w:sz="0" w:space="0" w:color="auto"/>
      </w:divBdr>
    </w:div>
    <w:div w:id="84000308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972207">
      <w:bodyDiv w:val="1"/>
      <w:marLeft w:val="0"/>
      <w:marRight w:val="0"/>
      <w:marTop w:val="0"/>
      <w:marBottom w:val="0"/>
      <w:divBdr>
        <w:top w:val="none" w:sz="0" w:space="0" w:color="auto"/>
        <w:left w:val="none" w:sz="0" w:space="0" w:color="auto"/>
        <w:bottom w:val="none" w:sz="0" w:space="0" w:color="auto"/>
        <w:right w:val="none" w:sz="0" w:space="0" w:color="auto"/>
      </w:divBdr>
    </w:div>
    <w:div w:id="841357655">
      <w:bodyDiv w:val="1"/>
      <w:marLeft w:val="0"/>
      <w:marRight w:val="0"/>
      <w:marTop w:val="0"/>
      <w:marBottom w:val="0"/>
      <w:divBdr>
        <w:top w:val="none" w:sz="0" w:space="0" w:color="auto"/>
        <w:left w:val="none" w:sz="0" w:space="0" w:color="auto"/>
        <w:bottom w:val="none" w:sz="0" w:space="0" w:color="auto"/>
        <w:right w:val="none" w:sz="0" w:space="0" w:color="auto"/>
      </w:divBdr>
    </w:div>
    <w:div w:id="842203702">
      <w:bodyDiv w:val="1"/>
      <w:marLeft w:val="0"/>
      <w:marRight w:val="0"/>
      <w:marTop w:val="0"/>
      <w:marBottom w:val="0"/>
      <w:divBdr>
        <w:top w:val="none" w:sz="0" w:space="0" w:color="auto"/>
        <w:left w:val="none" w:sz="0" w:space="0" w:color="auto"/>
        <w:bottom w:val="none" w:sz="0" w:space="0" w:color="auto"/>
        <w:right w:val="none" w:sz="0" w:space="0" w:color="auto"/>
      </w:divBdr>
    </w:div>
    <w:div w:id="843469978">
      <w:bodyDiv w:val="1"/>
      <w:marLeft w:val="0"/>
      <w:marRight w:val="0"/>
      <w:marTop w:val="0"/>
      <w:marBottom w:val="0"/>
      <w:divBdr>
        <w:top w:val="none" w:sz="0" w:space="0" w:color="auto"/>
        <w:left w:val="none" w:sz="0" w:space="0" w:color="auto"/>
        <w:bottom w:val="none" w:sz="0" w:space="0" w:color="auto"/>
        <w:right w:val="none" w:sz="0" w:space="0" w:color="auto"/>
      </w:divBdr>
    </w:div>
    <w:div w:id="843591910">
      <w:bodyDiv w:val="1"/>
      <w:marLeft w:val="0"/>
      <w:marRight w:val="0"/>
      <w:marTop w:val="0"/>
      <w:marBottom w:val="0"/>
      <w:divBdr>
        <w:top w:val="none" w:sz="0" w:space="0" w:color="auto"/>
        <w:left w:val="none" w:sz="0" w:space="0" w:color="auto"/>
        <w:bottom w:val="none" w:sz="0" w:space="0" w:color="auto"/>
        <w:right w:val="none" w:sz="0" w:space="0" w:color="auto"/>
      </w:divBdr>
    </w:div>
    <w:div w:id="844200288">
      <w:bodyDiv w:val="1"/>
      <w:marLeft w:val="0"/>
      <w:marRight w:val="0"/>
      <w:marTop w:val="0"/>
      <w:marBottom w:val="0"/>
      <w:divBdr>
        <w:top w:val="none" w:sz="0" w:space="0" w:color="auto"/>
        <w:left w:val="none" w:sz="0" w:space="0" w:color="auto"/>
        <w:bottom w:val="none" w:sz="0" w:space="0" w:color="auto"/>
        <w:right w:val="none" w:sz="0" w:space="0" w:color="auto"/>
      </w:divBdr>
    </w:div>
    <w:div w:id="845369258">
      <w:bodyDiv w:val="1"/>
      <w:marLeft w:val="0"/>
      <w:marRight w:val="0"/>
      <w:marTop w:val="0"/>
      <w:marBottom w:val="0"/>
      <w:divBdr>
        <w:top w:val="none" w:sz="0" w:space="0" w:color="auto"/>
        <w:left w:val="none" w:sz="0" w:space="0" w:color="auto"/>
        <w:bottom w:val="none" w:sz="0" w:space="0" w:color="auto"/>
        <w:right w:val="none" w:sz="0" w:space="0" w:color="auto"/>
      </w:divBdr>
    </w:div>
    <w:div w:id="845747083">
      <w:bodyDiv w:val="1"/>
      <w:marLeft w:val="0"/>
      <w:marRight w:val="0"/>
      <w:marTop w:val="0"/>
      <w:marBottom w:val="0"/>
      <w:divBdr>
        <w:top w:val="none" w:sz="0" w:space="0" w:color="auto"/>
        <w:left w:val="none" w:sz="0" w:space="0" w:color="auto"/>
        <w:bottom w:val="none" w:sz="0" w:space="0" w:color="auto"/>
        <w:right w:val="none" w:sz="0" w:space="0" w:color="auto"/>
      </w:divBdr>
    </w:div>
    <w:div w:id="846362496">
      <w:bodyDiv w:val="1"/>
      <w:marLeft w:val="0"/>
      <w:marRight w:val="0"/>
      <w:marTop w:val="0"/>
      <w:marBottom w:val="0"/>
      <w:divBdr>
        <w:top w:val="none" w:sz="0" w:space="0" w:color="auto"/>
        <w:left w:val="none" w:sz="0" w:space="0" w:color="auto"/>
        <w:bottom w:val="none" w:sz="0" w:space="0" w:color="auto"/>
        <w:right w:val="none" w:sz="0" w:space="0" w:color="auto"/>
      </w:divBdr>
    </w:div>
    <w:div w:id="848180316">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54463">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49372088">
      <w:bodyDiv w:val="1"/>
      <w:marLeft w:val="0"/>
      <w:marRight w:val="0"/>
      <w:marTop w:val="0"/>
      <w:marBottom w:val="0"/>
      <w:divBdr>
        <w:top w:val="none" w:sz="0" w:space="0" w:color="auto"/>
        <w:left w:val="none" w:sz="0" w:space="0" w:color="auto"/>
        <w:bottom w:val="none" w:sz="0" w:space="0" w:color="auto"/>
        <w:right w:val="none" w:sz="0" w:space="0" w:color="auto"/>
      </w:divBdr>
    </w:div>
    <w:div w:id="85048549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1842821">
      <w:bodyDiv w:val="1"/>
      <w:marLeft w:val="0"/>
      <w:marRight w:val="0"/>
      <w:marTop w:val="0"/>
      <w:marBottom w:val="0"/>
      <w:divBdr>
        <w:top w:val="none" w:sz="0" w:space="0" w:color="auto"/>
        <w:left w:val="none" w:sz="0" w:space="0" w:color="auto"/>
        <w:bottom w:val="none" w:sz="0" w:space="0" w:color="auto"/>
        <w:right w:val="none" w:sz="0" w:space="0" w:color="auto"/>
      </w:divBdr>
    </w:div>
    <w:div w:id="852887074">
      <w:bodyDiv w:val="1"/>
      <w:marLeft w:val="0"/>
      <w:marRight w:val="0"/>
      <w:marTop w:val="0"/>
      <w:marBottom w:val="0"/>
      <w:divBdr>
        <w:top w:val="none" w:sz="0" w:space="0" w:color="auto"/>
        <w:left w:val="none" w:sz="0" w:space="0" w:color="auto"/>
        <w:bottom w:val="none" w:sz="0" w:space="0" w:color="auto"/>
        <w:right w:val="none" w:sz="0" w:space="0" w:color="auto"/>
      </w:divBdr>
    </w:div>
    <w:div w:id="853959445">
      <w:bodyDiv w:val="1"/>
      <w:marLeft w:val="0"/>
      <w:marRight w:val="0"/>
      <w:marTop w:val="0"/>
      <w:marBottom w:val="0"/>
      <w:divBdr>
        <w:top w:val="none" w:sz="0" w:space="0" w:color="auto"/>
        <w:left w:val="none" w:sz="0" w:space="0" w:color="auto"/>
        <w:bottom w:val="none" w:sz="0" w:space="0" w:color="auto"/>
        <w:right w:val="none" w:sz="0" w:space="0" w:color="auto"/>
      </w:divBdr>
    </w:div>
    <w:div w:id="854345174">
      <w:bodyDiv w:val="1"/>
      <w:marLeft w:val="0"/>
      <w:marRight w:val="0"/>
      <w:marTop w:val="0"/>
      <w:marBottom w:val="0"/>
      <w:divBdr>
        <w:top w:val="none" w:sz="0" w:space="0" w:color="auto"/>
        <w:left w:val="none" w:sz="0" w:space="0" w:color="auto"/>
        <w:bottom w:val="none" w:sz="0" w:space="0" w:color="auto"/>
        <w:right w:val="none" w:sz="0" w:space="0" w:color="auto"/>
      </w:divBdr>
    </w:div>
    <w:div w:id="855385590">
      <w:bodyDiv w:val="1"/>
      <w:marLeft w:val="0"/>
      <w:marRight w:val="0"/>
      <w:marTop w:val="0"/>
      <w:marBottom w:val="0"/>
      <w:divBdr>
        <w:top w:val="none" w:sz="0" w:space="0" w:color="auto"/>
        <w:left w:val="none" w:sz="0" w:space="0" w:color="auto"/>
        <w:bottom w:val="none" w:sz="0" w:space="0" w:color="auto"/>
        <w:right w:val="none" w:sz="0" w:space="0" w:color="auto"/>
      </w:divBdr>
    </w:div>
    <w:div w:id="855996440">
      <w:bodyDiv w:val="1"/>
      <w:marLeft w:val="0"/>
      <w:marRight w:val="0"/>
      <w:marTop w:val="0"/>
      <w:marBottom w:val="0"/>
      <w:divBdr>
        <w:top w:val="none" w:sz="0" w:space="0" w:color="auto"/>
        <w:left w:val="none" w:sz="0" w:space="0" w:color="auto"/>
        <w:bottom w:val="none" w:sz="0" w:space="0" w:color="auto"/>
        <w:right w:val="none" w:sz="0" w:space="0" w:color="auto"/>
      </w:divBdr>
    </w:div>
    <w:div w:id="857474730">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59703146">
      <w:bodyDiv w:val="1"/>
      <w:marLeft w:val="0"/>
      <w:marRight w:val="0"/>
      <w:marTop w:val="0"/>
      <w:marBottom w:val="0"/>
      <w:divBdr>
        <w:top w:val="none" w:sz="0" w:space="0" w:color="auto"/>
        <w:left w:val="none" w:sz="0" w:space="0" w:color="auto"/>
        <w:bottom w:val="none" w:sz="0" w:space="0" w:color="auto"/>
        <w:right w:val="none" w:sz="0" w:space="0" w:color="auto"/>
      </w:divBdr>
    </w:div>
    <w:div w:id="860706237">
      <w:bodyDiv w:val="1"/>
      <w:marLeft w:val="0"/>
      <w:marRight w:val="0"/>
      <w:marTop w:val="0"/>
      <w:marBottom w:val="0"/>
      <w:divBdr>
        <w:top w:val="none" w:sz="0" w:space="0" w:color="auto"/>
        <w:left w:val="none" w:sz="0" w:space="0" w:color="auto"/>
        <w:bottom w:val="none" w:sz="0" w:space="0" w:color="auto"/>
        <w:right w:val="none" w:sz="0" w:space="0" w:color="auto"/>
      </w:divBdr>
    </w:div>
    <w:div w:id="860707528">
      <w:bodyDiv w:val="1"/>
      <w:marLeft w:val="0"/>
      <w:marRight w:val="0"/>
      <w:marTop w:val="0"/>
      <w:marBottom w:val="0"/>
      <w:divBdr>
        <w:top w:val="none" w:sz="0" w:space="0" w:color="auto"/>
        <w:left w:val="none" w:sz="0" w:space="0" w:color="auto"/>
        <w:bottom w:val="none" w:sz="0" w:space="0" w:color="auto"/>
        <w:right w:val="none" w:sz="0" w:space="0" w:color="auto"/>
      </w:divBdr>
    </w:div>
    <w:div w:id="860777045">
      <w:bodyDiv w:val="1"/>
      <w:marLeft w:val="0"/>
      <w:marRight w:val="0"/>
      <w:marTop w:val="0"/>
      <w:marBottom w:val="0"/>
      <w:divBdr>
        <w:top w:val="none" w:sz="0" w:space="0" w:color="auto"/>
        <w:left w:val="none" w:sz="0" w:space="0" w:color="auto"/>
        <w:bottom w:val="none" w:sz="0" w:space="0" w:color="auto"/>
        <w:right w:val="none" w:sz="0" w:space="0" w:color="auto"/>
      </w:divBdr>
    </w:div>
    <w:div w:id="860902288">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361591">
      <w:bodyDiv w:val="1"/>
      <w:marLeft w:val="0"/>
      <w:marRight w:val="0"/>
      <w:marTop w:val="0"/>
      <w:marBottom w:val="0"/>
      <w:divBdr>
        <w:top w:val="none" w:sz="0" w:space="0" w:color="auto"/>
        <w:left w:val="none" w:sz="0" w:space="0" w:color="auto"/>
        <w:bottom w:val="none" w:sz="0" w:space="0" w:color="auto"/>
        <w:right w:val="none" w:sz="0" w:space="0" w:color="auto"/>
      </w:divBdr>
    </w:div>
    <w:div w:id="862015943">
      <w:bodyDiv w:val="1"/>
      <w:marLeft w:val="0"/>
      <w:marRight w:val="0"/>
      <w:marTop w:val="0"/>
      <w:marBottom w:val="0"/>
      <w:divBdr>
        <w:top w:val="none" w:sz="0" w:space="0" w:color="auto"/>
        <w:left w:val="none" w:sz="0" w:space="0" w:color="auto"/>
        <w:bottom w:val="none" w:sz="0" w:space="0" w:color="auto"/>
        <w:right w:val="none" w:sz="0" w:space="0" w:color="auto"/>
      </w:divBdr>
    </w:div>
    <w:div w:id="862865879">
      <w:bodyDiv w:val="1"/>
      <w:marLeft w:val="0"/>
      <w:marRight w:val="0"/>
      <w:marTop w:val="0"/>
      <w:marBottom w:val="0"/>
      <w:divBdr>
        <w:top w:val="none" w:sz="0" w:space="0" w:color="auto"/>
        <w:left w:val="none" w:sz="0" w:space="0" w:color="auto"/>
        <w:bottom w:val="none" w:sz="0" w:space="0" w:color="auto"/>
        <w:right w:val="none" w:sz="0" w:space="0" w:color="auto"/>
      </w:divBdr>
    </w:div>
    <w:div w:id="863177453">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4320375">
      <w:bodyDiv w:val="1"/>
      <w:marLeft w:val="0"/>
      <w:marRight w:val="0"/>
      <w:marTop w:val="0"/>
      <w:marBottom w:val="0"/>
      <w:divBdr>
        <w:top w:val="none" w:sz="0" w:space="0" w:color="auto"/>
        <w:left w:val="none" w:sz="0" w:space="0" w:color="auto"/>
        <w:bottom w:val="none" w:sz="0" w:space="0" w:color="auto"/>
        <w:right w:val="none" w:sz="0" w:space="0" w:color="auto"/>
      </w:divBdr>
    </w:div>
    <w:div w:id="864707104">
      <w:bodyDiv w:val="1"/>
      <w:marLeft w:val="0"/>
      <w:marRight w:val="0"/>
      <w:marTop w:val="0"/>
      <w:marBottom w:val="0"/>
      <w:divBdr>
        <w:top w:val="none" w:sz="0" w:space="0" w:color="auto"/>
        <w:left w:val="none" w:sz="0" w:space="0" w:color="auto"/>
        <w:bottom w:val="none" w:sz="0" w:space="0" w:color="auto"/>
        <w:right w:val="none" w:sz="0" w:space="0" w:color="auto"/>
      </w:divBdr>
    </w:div>
    <w:div w:id="866409871">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03504">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68878838">
      <w:bodyDiv w:val="1"/>
      <w:marLeft w:val="0"/>
      <w:marRight w:val="0"/>
      <w:marTop w:val="0"/>
      <w:marBottom w:val="0"/>
      <w:divBdr>
        <w:top w:val="none" w:sz="0" w:space="0" w:color="auto"/>
        <w:left w:val="none" w:sz="0" w:space="0" w:color="auto"/>
        <w:bottom w:val="none" w:sz="0" w:space="0" w:color="auto"/>
        <w:right w:val="none" w:sz="0" w:space="0" w:color="auto"/>
      </w:divBdr>
    </w:div>
    <w:div w:id="868951307">
      <w:bodyDiv w:val="1"/>
      <w:marLeft w:val="0"/>
      <w:marRight w:val="0"/>
      <w:marTop w:val="0"/>
      <w:marBottom w:val="0"/>
      <w:divBdr>
        <w:top w:val="none" w:sz="0" w:space="0" w:color="auto"/>
        <w:left w:val="none" w:sz="0" w:space="0" w:color="auto"/>
        <w:bottom w:val="none" w:sz="0" w:space="0" w:color="auto"/>
        <w:right w:val="none" w:sz="0" w:space="0" w:color="auto"/>
      </w:divBdr>
    </w:div>
    <w:div w:id="869798680">
      <w:bodyDiv w:val="1"/>
      <w:marLeft w:val="0"/>
      <w:marRight w:val="0"/>
      <w:marTop w:val="0"/>
      <w:marBottom w:val="0"/>
      <w:divBdr>
        <w:top w:val="none" w:sz="0" w:space="0" w:color="auto"/>
        <w:left w:val="none" w:sz="0" w:space="0" w:color="auto"/>
        <w:bottom w:val="none" w:sz="0" w:space="0" w:color="auto"/>
        <w:right w:val="none" w:sz="0" w:space="0" w:color="auto"/>
      </w:divBdr>
    </w:div>
    <w:div w:id="869953891">
      <w:bodyDiv w:val="1"/>
      <w:marLeft w:val="0"/>
      <w:marRight w:val="0"/>
      <w:marTop w:val="0"/>
      <w:marBottom w:val="0"/>
      <w:divBdr>
        <w:top w:val="none" w:sz="0" w:space="0" w:color="auto"/>
        <w:left w:val="none" w:sz="0" w:space="0" w:color="auto"/>
        <w:bottom w:val="none" w:sz="0" w:space="0" w:color="auto"/>
        <w:right w:val="none" w:sz="0" w:space="0" w:color="auto"/>
      </w:divBdr>
    </w:div>
    <w:div w:id="870268963">
      <w:bodyDiv w:val="1"/>
      <w:marLeft w:val="0"/>
      <w:marRight w:val="0"/>
      <w:marTop w:val="0"/>
      <w:marBottom w:val="0"/>
      <w:divBdr>
        <w:top w:val="none" w:sz="0" w:space="0" w:color="auto"/>
        <w:left w:val="none" w:sz="0" w:space="0" w:color="auto"/>
        <w:bottom w:val="none" w:sz="0" w:space="0" w:color="auto"/>
        <w:right w:val="none" w:sz="0" w:space="0" w:color="auto"/>
      </w:divBdr>
    </w:div>
    <w:div w:id="870655620">
      <w:bodyDiv w:val="1"/>
      <w:marLeft w:val="0"/>
      <w:marRight w:val="0"/>
      <w:marTop w:val="0"/>
      <w:marBottom w:val="0"/>
      <w:divBdr>
        <w:top w:val="none" w:sz="0" w:space="0" w:color="auto"/>
        <w:left w:val="none" w:sz="0" w:space="0" w:color="auto"/>
        <w:bottom w:val="none" w:sz="0" w:space="0" w:color="auto"/>
        <w:right w:val="none" w:sz="0" w:space="0" w:color="auto"/>
      </w:divBdr>
    </w:div>
    <w:div w:id="871460736">
      <w:bodyDiv w:val="1"/>
      <w:marLeft w:val="0"/>
      <w:marRight w:val="0"/>
      <w:marTop w:val="0"/>
      <w:marBottom w:val="0"/>
      <w:divBdr>
        <w:top w:val="none" w:sz="0" w:space="0" w:color="auto"/>
        <w:left w:val="none" w:sz="0" w:space="0" w:color="auto"/>
        <w:bottom w:val="none" w:sz="0" w:space="0" w:color="auto"/>
        <w:right w:val="none" w:sz="0" w:space="0" w:color="auto"/>
      </w:divBdr>
    </w:div>
    <w:div w:id="872811984">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231610">
      <w:bodyDiv w:val="1"/>
      <w:marLeft w:val="0"/>
      <w:marRight w:val="0"/>
      <w:marTop w:val="0"/>
      <w:marBottom w:val="0"/>
      <w:divBdr>
        <w:top w:val="none" w:sz="0" w:space="0" w:color="auto"/>
        <w:left w:val="none" w:sz="0" w:space="0" w:color="auto"/>
        <w:bottom w:val="none" w:sz="0" w:space="0" w:color="auto"/>
        <w:right w:val="none" w:sz="0" w:space="0" w:color="auto"/>
      </w:divBdr>
    </w:div>
    <w:div w:id="873539800">
      <w:bodyDiv w:val="1"/>
      <w:marLeft w:val="0"/>
      <w:marRight w:val="0"/>
      <w:marTop w:val="0"/>
      <w:marBottom w:val="0"/>
      <w:divBdr>
        <w:top w:val="none" w:sz="0" w:space="0" w:color="auto"/>
        <w:left w:val="none" w:sz="0" w:space="0" w:color="auto"/>
        <w:bottom w:val="none" w:sz="0" w:space="0" w:color="auto"/>
        <w:right w:val="none" w:sz="0" w:space="0" w:color="auto"/>
      </w:divBdr>
    </w:div>
    <w:div w:id="873926467">
      <w:bodyDiv w:val="1"/>
      <w:marLeft w:val="0"/>
      <w:marRight w:val="0"/>
      <w:marTop w:val="0"/>
      <w:marBottom w:val="0"/>
      <w:divBdr>
        <w:top w:val="none" w:sz="0" w:space="0" w:color="auto"/>
        <w:left w:val="none" w:sz="0" w:space="0" w:color="auto"/>
        <w:bottom w:val="none" w:sz="0" w:space="0" w:color="auto"/>
        <w:right w:val="none" w:sz="0" w:space="0" w:color="auto"/>
      </w:divBdr>
    </w:div>
    <w:div w:id="874389325">
      <w:bodyDiv w:val="1"/>
      <w:marLeft w:val="0"/>
      <w:marRight w:val="0"/>
      <w:marTop w:val="0"/>
      <w:marBottom w:val="0"/>
      <w:divBdr>
        <w:top w:val="none" w:sz="0" w:space="0" w:color="auto"/>
        <w:left w:val="none" w:sz="0" w:space="0" w:color="auto"/>
        <w:bottom w:val="none" w:sz="0" w:space="0" w:color="auto"/>
        <w:right w:val="none" w:sz="0" w:space="0" w:color="auto"/>
      </w:divBdr>
    </w:div>
    <w:div w:id="874927553">
      <w:bodyDiv w:val="1"/>
      <w:marLeft w:val="0"/>
      <w:marRight w:val="0"/>
      <w:marTop w:val="0"/>
      <w:marBottom w:val="0"/>
      <w:divBdr>
        <w:top w:val="none" w:sz="0" w:space="0" w:color="auto"/>
        <w:left w:val="none" w:sz="0" w:space="0" w:color="auto"/>
        <w:bottom w:val="none" w:sz="0" w:space="0" w:color="auto"/>
        <w:right w:val="none" w:sz="0" w:space="0" w:color="auto"/>
      </w:divBdr>
    </w:div>
    <w:div w:id="875435924">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5771021">
      <w:bodyDiv w:val="1"/>
      <w:marLeft w:val="0"/>
      <w:marRight w:val="0"/>
      <w:marTop w:val="0"/>
      <w:marBottom w:val="0"/>
      <w:divBdr>
        <w:top w:val="none" w:sz="0" w:space="0" w:color="auto"/>
        <w:left w:val="none" w:sz="0" w:space="0" w:color="auto"/>
        <w:bottom w:val="none" w:sz="0" w:space="0" w:color="auto"/>
        <w:right w:val="none" w:sz="0" w:space="0" w:color="auto"/>
      </w:divBdr>
    </w:div>
    <w:div w:id="875778862">
      <w:bodyDiv w:val="1"/>
      <w:marLeft w:val="0"/>
      <w:marRight w:val="0"/>
      <w:marTop w:val="0"/>
      <w:marBottom w:val="0"/>
      <w:divBdr>
        <w:top w:val="none" w:sz="0" w:space="0" w:color="auto"/>
        <w:left w:val="none" w:sz="0" w:space="0" w:color="auto"/>
        <w:bottom w:val="none" w:sz="0" w:space="0" w:color="auto"/>
        <w:right w:val="none" w:sz="0" w:space="0" w:color="auto"/>
      </w:divBdr>
    </w:div>
    <w:div w:id="876158169">
      <w:bodyDiv w:val="1"/>
      <w:marLeft w:val="0"/>
      <w:marRight w:val="0"/>
      <w:marTop w:val="0"/>
      <w:marBottom w:val="0"/>
      <w:divBdr>
        <w:top w:val="none" w:sz="0" w:space="0" w:color="auto"/>
        <w:left w:val="none" w:sz="0" w:space="0" w:color="auto"/>
        <w:bottom w:val="none" w:sz="0" w:space="0" w:color="auto"/>
        <w:right w:val="none" w:sz="0" w:space="0" w:color="auto"/>
      </w:divBdr>
    </w:div>
    <w:div w:id="876820931">
      <w:bodyDiv w:val="1"/>
      <w:marLeft w:val="0"/>
      <w:marRight w:val="0"/>
      <w:marTop w:val="0"/>
      <w:marBottom w:val="0"/>
      <w:divBdr>
        <w:top w:val="none" w:sz="0" w:space="0" w:color="auto"/>
        <w:left w:val="none" w:sz="0" w:space="0" w:color="auto"/>
        <w:bottom w:val="none" w:sz="0" w:space="0" w:color="auto"/>
        <w:right w:val="none" w:sz="0" w:space="0" w:color="auto"/>
      </w:divBdr>
    </w:div>
    <w:div w:id="877401313">
      <w:bodyDiv w:val="1"/>
      <w:marLeft w:val="0"/>
      <w:marRight w:val="0"/>
      <w:marTop w:val="0"/>
      <w:marBottom w:val="0"/>
      <w:divBdr>
        <w:top w:val="none" w:sz="0" w:space="0" w:color="auto"/>
        <w:left w:val="none" w:sz="0" w:space="0" w:color="auto"/>
        <w:bottom w:val="none" w:sz="0" w:space="0" w:color="auto"/>
        <w:right w:val="none" w:sz="0" w:space="0" w:color="auto"/>
      </w:divBdr>
    </w:div>
    <w:div w:id="877468851">
      <w:bodyDiv w:val="1"/>
      <w:marLeft w:val="0"/>
      <w:marRight w:val="0"/>
      <w:marTop w:val="0"/>
      <w:marBottom w:val="0"/>
      <w:divBdr>
        <w:top w:val="none" w:sz="0" w:space="0" w:color="auto"/>
        <w:left w:val="none" w:sz="0" w:space="0" w:color="auto"/>
        <w:bottom w:val="none" w:sz="0" w:space="0" w:color="auto"/>
        <w:right w:val="none" w:sz="0" w:space="0" w:color="auto"/>
      </w:divBdr>
    </w:div>
    <w:div w:id="877551388">
      <w:bodyDiv w:val="1"/>
      <w:marLeft w:val="0"/>
      <w:marRight w:val="0"/>
      <w:marTop w:val="0"/>
      <w:marBottom w:val="0"/>
      <w:divBdr>
        <w:top w:val="none" w:sz="0" w:space="0" w:color="auto"/>
        <w:left w:val="none" w:sz="0" w:space="0" w:color="auto"/>
        <w:bottom w:val="none" w:sz="0" w:space="0" w:color="auto"/>
        <w:right w:val="none" w:sz="0" w:space="0" w:color="auto"/>
      </w:divBdr>
    </w:div>
    <w:div w:id="878127552">
      <w:bodyDiv w:val="1"/>
      <w:marLeft w:val="0"/>
      <w:marRight w:val="0"/>
      <w:marTop w:val="0"/>
      <w:marBottom w:val="0"/>
      <w:divBdr>
        <w:top w:val="none" w:sz="0" w:space="0" w:color="auto"/>
        <w:left w:val="none" w:sz="0" w:space="0" w:color="auto"/>
        <w:bottom w:val="none" w:sz="0" w:space="0" w:color="auto"/>
        <w:right w:val="none" w:sz="0" w:space="0" w:color="auto"/>
      </w:divBdr>
    </w:div>
    <w:div w:id="878514370">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403257">
      <w:bodyDiv w:val="1"/>
      <w:marLeft w:val="0"/>
      <w:marRight w:val="0"/>
      <w:marTop w:val="0"/>
      <w:marBottom w:val="0"/>
      <w:divBdr>
        <w:top w:val="none" w:sz="0" w:space="0" w:color="auto"/>
        <w:left w:val="none" w:sz="0" w:space="0" w:color="auto"/>
        <w:bottom w:val="none" w:sz="0" w:space="0" w:color="auto"/>
        <w:right w:val="none" w:sz="0" w:space="0" w:color="auto"/>
      </w:divBdr>
    </w:div>
    <w:div w:id="882137095">
      <w:bodyDiv w:val="1"/>
      <w:marLeft w:val="0"/>
      <w:marRight w:val="0"/>
      <w:marTop w:val="0"/>
      <w:marBottom w:val="0"/>
      <w:divBdr>
        <w:top w:val="none" w:sz="0" w:space="0" w:color="auto"/>
        <w:left w:val="none" w:sz="0" w:space="0" w:color="auto"/>
        <w:bottom w:val="none" w:sz="0" w:space="0" w:color="auto"/>
        <w:right w:val="none" w:sz="0" w:space="0" w:color="auto"/>
      </w:divBdr>
    </w:div>
    <w:div w:id="883371222">
      <w:bodyDiv w:val="1"/>
      <w:marLeft w:val="0"/>
      <w:marRight w:val="0"/>
      <w:marTop w:val="0"/>
      <w:marBottom w:val="0"/>
      <w:divBdr>
        <w:top w:val="none" w:sz="0" w:space="0" w:color="auto"/>
        <w:left w:val="none" w:sz="0" w:space="0" w:color="auto"/>
        <w:bottom w:val="none" w:sz="0" w:space="0" w:color="auto"/>
        <w:right w:val="none" w:sz="0" w:space="0" w:color="auto"/>
      </w:divBdr>
    </w:div>
    <w:div w:id="883635881">
      <w:bodyDiv w:val="1"/>
      <w:marLeft w:val="0"/>
      <w:marRight w:val="0"/>
      <w:marTop w:val="0"/>
      <w:marBottom w:val="0"/>
      <w:divBdr>
        <w:top w:val="none" w:sz="0" w:space="0" w:color="auto"/>
        <w:left w:val="none" w:sz="0" w:space="0" w:color="auto"/>
        <w:bottom w:val="none" w:sz="0" w:space="0" w:color="auto"/>
        <w:right w:val="none" w:sz="0" w:space="0" w:color="auto"/>
      </w:divBdr>
    </w:div>
    <w:div w:id="883753356">
      <w:bodyDiv w:val="1"/>
      <w:marLeft w:val="0"/>
      <w:marRight w:val="0"/>
      <w:marTop w:val="0"/>
      <w:marBottom w:val="0"/>
      <w:divBdr>
        <w:top w:val="none" w:sz="0" w:space="0" w:color="auto"/>
        <w:left w:val="none" w:sz="0" w:space="0" w:color="auto"/>
        <w:bottom w:val="none" w:sz="0" w:space="0" w:color="auto"/>
        <w:right w:val="none" w:sz="0" w:space="0" w:color="auto"/>
      </w:divBdr>
    </w:div>
    <w:div w:id="885222307">
      <w:bodyDiv w:val="1"/>
      <w:marLeft w:val="0"/>
      <w:marRight w:val="0"/>
      <w:marTop w:val="0"/>
      <w:marBottom w:val="0"/>
      <w:divBdr>
        <w:top w:val="none" w:sz="0" w:space="0" w:color="auto"/>
        <w:left w:val="none" w:sz="0" w:space="0" w:color="auto"/>
        <w:bottom w:val="none" w:sz="0" w:space="0" w:color="auto"/>
        <w:right w:val="none" w:sz="0" w:space="0" w:color="auto"/>
      </w:divBdr>
    </w:div>
    <w:div w:id="885289221">
      <w:bodyDiv w:val="1"/>
      <w:marLeft w:val="0"/>
      <w:marRight w:val="0"/>
      <w:marTop w:val="0"/>
      <w:marBottom w:val="0"/>
      <w:divBdr>
        <w:top w:val="none" w:sz="0" w:space="0" w:color="auto"/>
        <w:left w:val="none" w:sz="0" w:space="0" w:color="auto"/>
        <w:bottom w:val="none" w:sz="0" w:space="0" w:color="auto"/>
        <w:right w:val="none" w:sz="0" w:space="0" w:color="auto"/>
      </w:divBdr>
    </w:div>
    <w:div w:id="88534031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5533169">
      <w:bodyDiv w:val="1"/>
      <w:marLeft w:val="0"/>
      <w:marRight w:val="0"/>
      <w:marTop w:val="0"/>
      <w:marBottom w:val="0"/>
      <w:divBdr>
        <w:top w:val="none" w:sz="0" w:space="0" w:color="auto"/>
        <w:left w:val="none" w:sz="0" w:space="0" w:color="auto"/>
        <w:bottom w:val="none" w:sz="0" w:space="0" w:color="auto"/>
        <w:right w:val="none" w:sz="0" w:space="0" w:color="auto"/>
      </w:divBdr>
    </w:div>
    <w:div w:id="886339224">
      <w:bodyDiv w:val="1"/>
      <w:marLeft w:val="0"/>
      <w:marRight w:val="0"/>
      <w:marTop w:val="0"/>
      <w:marBottom w:val="0"/>
      <w:divBdr>
        <w:top w:val="none" w:sz="0" w:space="0" w:color="auto"/>
        <w:left w:val="none" w:sz="0" w:space="0" w:color="auto"/>
        <w:bottom w:val="none" w:sz="0" w:space="0" w:color="auto"/>
        <w:right w:val="none" w:sz="0" w:space="0" w:color="auto"/>
      </w:divBdr>
    </w:div>
    <w:div w:id="886986649">
      <w:bodyDiv w:val="1"/>
      <w:marLeft w:val="0"/>
      <w:marRight w:val="0"/>
      <w:marTop w:val="0"/>
      <w:marBottom w:val="0"/>
      <w:divBdr>
        <w:top w:val="none" w:sz="0" w:space="0" w:color="auto"/>
        <w:left w:val="none" w:sz="0" w:space="0" w:color="auto"/>
        <w:bottom w:val="none" w:sz="0" w:space="0" w:color="auto"/>
        <w:right w:val="none" w:sz="0" w:space="0" w:color="auto"/>
      </w:divBdr>
    </w:div>
    <w:div w:id="887453245">
      <w:bodyDiv w:val="1"/>
      <w:marLeft w:val="0"/>
      <w:marRight w:val="0"/>
      <w:marTop w:val="0"/>
      <w:marBottom w:val="0"/>
      <w:divBdr>
        <w:top w:val="none" w:sz="0" w:space="0" w:color="auto"/>
        <w:left w:val="none" w:sz="0" w:space="0" w:color="auto"/>
        <w:bottom w:val="none" w:sz="0" w:space="0" w:color="auto"/>
        <w:right w:val="none" w:sz="0" w:space="0" w:color="auto"/>
      </w:divBdr>
    </w:div>
    <w:div w:id="887840538">
      <w:bodyDiv w:val="1"/>
      <w:marLeft w:val="0"/>
      <w:marRight w:val="0"/>
      <w:marTop w:val="0"/>
      <w:marBottom w:val="0"/>
      <w:divBdr>
        <w:top w:val="none" w:sz="0" w:space="0" w:color="auto"/>
        <w:left w:val="none" w:sz="0" w:space="0" w:color="auto"/>
        <w:bottom w:val="none" w:sz="0" w:space="0" w:color="auto"/>
        <w:right w:val="none" w:sz="0" w:space="0" w:color="auto"/>
      </w:divBdr>
    </w:div>
    <w:div w:id="889149367">
      <w:bodyDiv w:val="1"/>
      <w:marLeft w:val="0"/>
      <w:marRight w:val="0"/>
      <w:marTop w:val="0"/>
      <w:marBottom w:val="0"/>
      <w:divBdr>
        <w:top w:val="none" w:sz="0" w:space="0" w:color="auto"/>
        <w:left w:val="none" w:sz="0" w:space="0" w:color="auto"/>
        <w:bottom w:val="none" w:sz="0" w:space="0" w:color="auto"/>
        <w:right w:val="none" w:sz="0" w:space="0" w:color="auto"/>
      </w:divBdr>
    </w:div>
    <w:div w:id="889343727">
      <w:bodyDiv w:val="1"/>
      <w:marLeft w:val="0"/>
      <w:marRight w:val="0"/>
      <w:marTop w:val="0"/>
      <w:marBottom w:val="0"/>
      <w:divBdr>
        <w:top w:val="none" w:sz="0" w:space="0" w:color="auto"/>
        <w:left w:val="none" w:sz="0" w:space="0" w:color="auto"/>
        <w:bottom w:val="none" w:sz="0" w:space="0" w:color="auto"/>
        <w:right w:val="none" w:sz="0" w:space="0" w:color="auto"/>
      </w:divBdr>
    </w:div>
    <w:div w:id="89033766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2276474">
      <w:bodyDiv w:val="1"/>
      <w:marLeft w:val="0"/>
      <w:marRight w:val="0"/>
      <w:marTop w:val="0"/>
      <w:marBottom w:val="0"/>
      <w:divBdr>
        <w:top w:val="none" w:sz="0" w:space="0" w:color="auto"/>
        <w:left w:val="none" w:sz="0" w:space="0" w:color="auto"/>
        <w:bottom w:val="none" w:sz="0" w:space="0" w:color="auto"/>
        <w:right w:val="none" w:sz="0" w:space="0" w:color="auto"/>
      </w:divBdr>
    </w:div>
    <w:div w:id="892933433">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4002063">
      <w:bodyDiv w:val="1"/>
      <w:marLeft w:val="0"/>
      <w:marRight w:val="0"/>
      <w:marTop w:val="0"/>
      <w:marBottom w:val="0"/>
      <w:divBdr>
        <w:top w:val="none" w:sz="0" w:space="0" w:color="auto"/>
        <w:left w:val="none" w:sz="0" w:space="0" w:color="auto"/>
        <w:bottom w:val="none" w:sz="0" w:space="0" w:color="auto"/>
        <w:right w:val="none" w:sz="0" w:space="0" w:color="auto"/>
      </w:divBdr>
    </w:div>
    <w:div w:id="894270853">
      <w:bodyDiv w:val="1"/>
      <w:marLeft w:val="0"/>
      <w:marRight w:val="0"/>
      <w:marTop w:val="0"/>
      <w:marBottom w:val="0"/>
      <w:divBdr>
        <w:top w:val="none" w:sz="0" w:space="0" w:color="auto"/>
        <w:left w:val="none" w:sz="0" w:space="0" w:color="auto"/>
        <w:bottom w:val="none" w:sz="0" w:space="0" w:color="auto"/>
        <w:right w:val="none" w:sz="0" w:space="0" w:color="auto"/>
      </w:divBdr>
    </w:div>
    <w:div w:id="895119839">
      <w:bodyDiv w:val="1"/>
      <w:marLeft w:val="0"/>
      <w:marRight w:val="0"/>
      <w:marTop w:val="0"/>
      <w:marBottom w:val="0"/>
      <w:divBdr>
        <w:top w:val="none" w:sz="0" w:space="0" w:color="auto"/>
        <w:left w:val="none" w:sz="0" w:space="0" w:color="auto"/>
        <w:bottom w:val="none" w:sz="0" w:space="0" w:color="auto"/>
        <w:right w:val="none" w:sz="0" w:space="0" w:color="auto"/>
      </w:divBdr>
    </w:div>
    <w:div w:id="895312683">
      <w:bodyDiv w:val="1"/>
      <w:marLeft w:val="0"/>
      <w:marRight w:val="0"/>
      <w:marTop w:val="0"/>
      <w:marBottom w:val="0"/>
      <w:divBdr>
        <w:top w:val="none" w:sz="0" w:space="0" w:color="auto"/>
        <w:left w:val="none" w:sz="0" w:space="0" w:color="auto"/>
        <w:bottom w:val="none" w:sz="0" w:space="0" w:color="auto"/>
        <w:right w:val="none" w:sz="0" w:space="0" w:color="auto"/>
      </w:divBdr>
    </w:div>
    <w:div w:id="895433345">
      <w:bodyDiv w:val="1"/>
      <w:marLeft w:val="0"/>
      <w:marRight w:val="0"/>
      <w:marTop w:val="0"/>
      <w:marBottom w:val="0"/>
      <w:divBdr>
        <w:top w:val="none" w:sz="0" w:space="0" w:color="auto"/>
        <w:left w:val="none" w:sz="0" w:space="0" w:color="auto"/>
        <w:bottom w:val="none" w:sz="0" w:space="0" w:color="auto"/>
        <w:right w:val="none" w:sz="0" w:space="0" w:color="auto"/>
      </w:divBdr>
    </w:div>
    <w:div w:id="896673675">
      <w:bodyDiv w:val="1"/>
      <w:marLeft w:val="0"/>
      <w:marRight w:val="0"/>
      <w:marTop w:val="0"/>
      <w:marBottom w:val="0"/>
      <w:divBdr>
        <w:top w:val="none" w:sz="0" w:space="0" w:color="auto"/>
        <w:left w:val="none" w:sz="0" w:space="0" w:color="auto"/>
        <w:bottom w:val="none" w:sz="0" w:space="0" w:color="auto"/>
        <w:right w:val="none" w:sz="0" w:space="0" w:color="auto"/>
      </w:divBdr>
    </w:div>
    <w:div w:id="896818547">
      <w:bodyDiv w:val="1"/>
      <w:marLeft w:val="0"/>
      <w:marRight w:val="0"/>
      <w:marTop w:val="0"/>
      <w:marBottom w:val="0"/>
      <w:divBdr>
        <w:top w:val="none" w:sz="0" w:space="0" w:color="auto"/>
        <w:left w:val="none" w:sz="0" w:space="0" w:color="auto"/>
        <w:bottom w:val="none" w:sz="0" w:space="0" w:color="auto"/>
        <w:right w:val="none" w:sz="0" w:space="0" w:color="auto"/>
      </w:divBdr>
    </w:div>
    <w:div w:id="897013612">
      <w:bodyDiv w:val="1"/>
      <w:marLeft w:val="0"/>
      <w:marRight w:val="0"/>
      <w:marTop w:val="0"/>
      <w:marBottom w:val="0"/>
      <w:divBdr>
        <w:top w:val="none" w:sz="0" w:space="0" w:color="auto"/>
        <w:left w:val="none" w:sz="0" w:space="0" w:color="auto"/>
        <w:bottom w:val="none" w:sz="0" w:space="0" w:color="auto"/>
        <w:right w:val="none" w:sz="0" w:space="0" w:color="auto"/>
      </w:divBdr>
    </w:div>
    <w:div w:id="897595297">
      <w:bodyDiv w:val="1"/>
      <w:marLeft w:val="0"/>
      <w:marRight w:val="0"/>
      <w:marTop w:val="0"/>
      <w:marBottom w:val="0"/>
      <w:divBdr>
        <w:top w:val="none" w:sz="0" w:space="0" w:color="auto"/>
        <w:left w:val="none" w:sz="0" w:space="0" w:color="auto"/>
        <w:bottom w:val="none" w:sz="0" w:space="0" w:color="auto"/>
        <w:right w:val="none" w:sz="0" w:space="0" w:color="auto"/>
      </w:divBdr>
    </w:div>
    <w:div w:id="897667525">
      <w:bodyDiv w:val="1"/>
      <w:marLeft w:val="0"/>
      <w:marRight w:val="0"/>
      <w:marTop w:val="0"/>
      <w:marBottom w:val="0"/>
      <w:divBdr>
        <w:top w:val="none" w:sz="0" w:space="0" w:color="auto"/>
        <w:left w:val="none" w:sz="0" w:space="0" w:color="auto"/>
        <w:bottom w:val="none" w:sz="0" w:space="0" w:color="auto"/>
        <w:right w:val="none" w:sz="0" w:space="0" w:color="auto"/>
      </w:divBdr>
    </w:div>
    <w:div w:id="898131059">
      <w:bodyDiv w:val="1"/>
      <w:marLeft w:val="0"/>
      <w:marRight w:val="0"/>
      <w:marTop w:val="0"/>
      <w:marBottom w:val="0"/>
      <w:divBdr>
        <w:top w:val="none" w:sz="0" w:space="0" w:color="auto"/>
        <w:left w:val="none" w:sz="0" w:space="0" w:color="auto"/>
        <w:bottom w:val="none" w:sz="0" w:space="0" w:color="auto"/>
        <w:right w:val="none" w:sz="0" w:space="0" w:color="auto"/>
      </w:divBdr>
    </w:div>
    <w:div w:id="89870908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827381">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2569212">
      <w:bodyDiv w:val="1"/>
      <w:marLeft w:val="0"/>
      <w:marRight w:val="0"/>
      <w:marTop w:val="0"/>
      <w:marBottom w:val="0"/>
      <w:divBdr>
        <w:top w:val="none" w:sz="0" w:space="0" w:color="auto"/>
        <w:left w:val="none" w:sz="0" w:space="0" w:color="auto"/>
        <w:bottom w:val="none" w:sz="0" w:space="0" w:color="auto"/>
        <w:right w:val="none" w:sz="0" w:space="0" w:color="auto"/>
      </w:divBdr>
    </w:div>
    <w:div w:id="903639620">
      <w:bodyDiv w:val="1"/>
      <w:marLeft w:val="0"/>
      <w:marRight w:val="0"/>
      <w:marTop w:val="0"/>
      <w:marBottom w:val="0"/>
      <w:divBdr>
        <w:top w:val="none" w:sz="0" w:space="0" w:color="auto"/>
        <w:left w:val="none" w:sz="0" w:space="0" w:color="auto"/>
        <w:bottom w:val="none" w:sz="0" w:space="0" w:color="auto"/>
        <w:right w:val="none" w:sz="0" w:space="0" w:color="auto"/>
      </w:divBdr>
    </w:div>
    <w:div w:id="904994575">
      <w:bodyDiv w:val="1"/>
      <w:marLeft w:val="0"/>
      <w:marRight w:val="0"/>
      <w:marTop w:val="0"/>
      <w:marBottom w:val="0"/>
      <w:divBdr>
        <w:top w:val="none" w:sz="0" w:space="0" w:color="auto"/>
        <w:left w:val="none" w:sz="0" w:space="0" w:color="auto"/>
        <w:bottom w:val="none" w:sz="0" w:space="0" w:color="auto"/>
        <w:right w:val="none" w:sz="0" w:space="0" w:color="auto"/>
      </w:divBdr>
    </w:div>
    <w:div w:id="905451895">
      <w:bodyDiv w:val="1"/>
      <w:marLeft w:val="0"/>
      <w:marRight w:val="0"/>
      <w:marTop w:val="0"/>
      <w:marBottom w:val="0"/>
      <w:divBdr>
        <w:top w:val="none" w:sz="0" w:space="0" w:color="auto"/>
        <w:left w:val="none" w:sz="0" w:space="0" w:color="auto"/>
        <w:bottom w:val="none" w:sz="0" w:space="0" w:color="auto"/>
        <w:right w:val="none" w:sz="0" w:space="0" w:color="auto"/>
      </w:divBdr>
    </w:div>
    <w:div w:id="906457417">
      <w:bodyDiv w:val="1"/>
      <w:marLeft w:val="0"/>
      <w:marRight w:val="0"/>
      <w:marTop w:val="0"/>
      <w:marBottom w:val="0"/>
      <w:divBdr>
        <w:top w:val="none" w:sz="0" w:space="0" w:color="auto"/>
        <w:left w:val="none" w:sz="0" w:space="0" w:color="auto"/>
        <w:bottom w:val="none" w:sz="0" w:space="0" w:color="auto"/>
        <w:right w:val="none" w:sz="0" w:space="0" w:color="auto"/>
      </w:divBdr>
    </w:div>
    <w:div w:id="906574344">
      <w:bodyDiv w:val="1"/>
      <w:marLeft w:val="0"/>
      <w:marRight w:val="0"/>
      <w:marTop w:val="0"/>
      <w:marBottom w:val="0"/>
      <w:divBdr>
        <w:top w:val="none" w:sz="0" w:space="0" w:color="auto"/>
        <w:left w:val="none" w:sz="0" w:space="0" w:color="auto"/>
        <w:bottom w:val="none" w:sz="0" w:space="0" w:color="auto"/>
        <w:right w:val="none" w:sz="0" w:space="0" w:color="auto"/>
      </w:divBdr>
    </w:div>
    <w:div w:id="907804746">
      <w:bodyDiv w:val="1"/>
      <w:marLeft w:val="0"/>
      <w:marRight w:val="0"/>
      <w:marTop w:val="0"/>
      <w:marBottom w:val="0"/>
      <w:divBdr>
        <w:top w:val="none" w:sz="0" w:space="0" w:color="auto"/>
        <w:left w:val="none" w:sz="0" w:space="0" w:color="auto"/>
        <w:bottom w:val="none" w:sz="0" w:space="0" w:color="auto"/>
        <w:right w:val="none" w:sz="0" w:space="0" w:color="auto"/>
      </w:divBdr>
    </w:div>
    <w:div w:id="909996216">
      <w:bodyDiv w:val="1"/>
      <w:marLeft w:val="0"/>
      <w:marRight w:val="0"/>
      <w:marTop w:val="0"/>
      <w:marBottom w:val="0"/>
      <w:divBdr>
        <w:top w:val="none" w:sz="0" w:space="0" w:color="auto"/>
        <w:left w:val="none" w:sz="0" w:space="0" w:color="auto"/>
        <w:bottom w:val="none" w:sz="0" w:space="0" w:color="auto"/>
        <w:right w:val="none" w:sz="0" w:space="0" w:color="auto"/>
      </w:divBdr>
    </w:div>
    <w:div w:id="909997746">
      <w:bodyDiv w:val="1"/>
      <w:marLeft w:val="0"/>
      <w:marRight w:val="0"/>
      <w:marTop w:val="0"/>
      <w:marBottom w:val="0"/>
      <w:divBdr>
        <w:top w:val="none" w:sz="0" w:space="0" w:color="auto"/>
        <w:left w:val="none" w:sz="0" w:space="0" w:color="auto"/>
        <w:bottom w:val="none" w:sz="0" w:space="0" w:color="auto"/>
        <w:right w:val="none" w:sz="0" w:space="0" w:color="auto"/>
      </w:divBdr>
    </w:div>
    <w:div w:id="910195407">
      <w:bodyDiv w:val="1"/>
      <w:marLeft w:val="0"/>
      <w:marRight w:val="0"/>
      <w:marTop w:val="0"/>
      <w:marBottom w:val="0"/>
      <w:divBdr>
        <w:top w:val="none" w:sz="0" w:space="0" w:color="auto"/>
        <w:left w:val="none" w:sz="0" w:space="0" w:color="auto"/>
        <w:bottom w:val="none" w:sz="0" w:space="0" w:color="auto"/>
        <w:right w:val="none" w:sz="0" w:space="0" w:color="auto"/>
      </w:divBdr>
    </w:div>
    <w:div w:id="910966262">
      <w:bodyDiv w:val="1"/>
      <w:marLeft w:val="0"/>
      <w:marRight w:val="0"/>
      <w:marTop w:val="0"/>
      <w:marBottom w:val="0"/>
      <w:divBdr>
        <w:top w:val="none" w:sz="0" w:space="0" w:color="auto"/>
        <w:left w:val="none" w:sz="0" w:space="0" w:color="auto"/>
        <w:bottom w:val="none" w:sz="0" w:space="0" w:color="auto"/>
        <w:right w:val="none" w:sz="0" w:space="0" w:color="auto"/>
      </w:divBdr>
    </w:div>
    <w:div w:id="911550274">
      <w:bodyDiv w:val="1"/>
      <w:marLeft w:val="0"/>
      <w:marRight w:val="0"/>
      <w:marTop w:val="0"/>
      <w:marBottom w:val="0"/>
      <w:divBdr>
        <w:top w:val="none" w:sz="0" w:space="0" w:color="auto"/>
        <w:left w:val="none" w:sz="0" w:space="0" w:color="auto"/>
        <w:bottom w:val="none" w:sz="0" w:space="0" w:color="auto"/>
        <w:right w:val="none" w:sz="0" w:space="0" w:color="auto"/>
      </w:divBdr>
    </w:div>
    <w:div w:id="911812211">
      <w:bodyDiv w:val="1"/>
      <w:marLeft w:val="0"/>
      <w:marRight w:val="0"/>
      <w:marTop w:val="0"/>
      <w:marBottom w:val="0"/>
      <w:divBdr>
        <w:top w:val="none" w:sz="0" w:space="0" w:color="auto"/>
        <w:left w:val="none" w:sz="0" w:space="0" w:color="auto"/>
        <w:bottom w:val="none" w:sz="0" w:space="0" w:color="auto"/>
        <w:right w:val="none" w:sz="0" w:space="0" w:color="auto"/>
      </w:divBdr>
    </w:div>
    <w:div w:id="911815372">
      <w:bodyDiv w:val="1"/>
      <w:marLeft w:val="0"/>
      <w:marRight w:val="0"/>
      <w:marTop w:val="0"/>
      <w:marBottom w:val="0"/>
      <w:divBdr>
        <w:top w:val="none" w:sz="0" w:space="0" w:color="auto"/>
        <w:left w:val="none" w:sz="0" w:space="0" w:color="auto"/>
        <w:bottom w:val="none" w:sz="0" w:space="0" w:color="auto"/>
        <w:right w:val="none" w:sz="0" w:space="0" w:color="auto"/>
      </w:divBdr>
    </w:div>
    <w:div w:id="912082873">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3129398">
      <w:bodyDiv w:val="1"/>
      <w:marLeft w:val="0"/>
      <w:marRight w:val="0"/>
      <w:marTop w:val="0"/>
      <w:marBottom w:val="0"/>
      <w:divBdr>
        <w:top w:val="none" w:sz="0" w:space="0" w:color="auto"/>
        <w:left w:val="none" w:sz="0" w:space="0" w:color="auto"/>
        <w:bottom w:val="none" w:sz="0" w:space="0" w:color="auto"/>
        <w:right w:val="none" w:sz="0" w:space="0" w:color="auto"/>
      </w:divBdr>
    </w:div>
    <w:div w:id="913274853">
      <w:bodyDiv w:val="1"/>
      <w:marLeft w:val="0"/>
      <w:marRight w:val="0"/>
      <w:marTop w:val="0"/>
      <w:marBottom w:val="0"/>
      <w:divBdr>
        <w:top w:val="none" w:sz="0" w:space="0" w:color="auto"/>
        <w:left w:val="none" w:sz="0" w:space="0" w:color="auto"/>
        <w:bottom w:val="none" w:sz="0" w:space="0" w:color="auto"/>
        <w:right w:val="none" w:sz="0" w:space="0" w:color="auto"/>
      </w:divBdr>
    </w:div>
    <w:div w:id="91424195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5020289">
      <w:bodyDiv w:val="1"/>
      <w:marLeft w:val="0"/>
      <w:marRight w:val="0"/>
      <w:marTop w:val="0"/>
      <w:marBottom w:val="0"/>
      <w:divBdr>
        <w:top w:val="none" w:sz="0" w:space="0" w:color="auto"/>
        <w:left w:val="none" w:sz="0" w:space="0" w:color="auto"/>
        <w:bottom w:val="none" w:sz="0" w:space="0" w:color="auto"/>
        <w:right w:val="none" w:sz="0" w:space="0" w:color="auto"/>
      </w:divBdr>
    </w:div>
    <w:div w:id="915211285">
      <w:bodyDiv w:val="1"/>
      <w:marLeft w:val="0"/>
      <w:marRight w:val="0"/>
      <w:marTop w:val="0"/>
      <w:marBottom w:val="0"/>
      <w:divBdr>
        <w:top w:val="none" w:sz="0" w:space="0" w:color="auto"/>
        <w:left w:val="none" w:sz="0" w:space="0" w:color="auto"/>
        <w:bottom w:val="none" w:sz="0" w:space="0" w:color="auto"/>
        <w:right w:val="none" w:sz="0" w:space="0" w:color="auto"/>
      </w:divBdr>
    </w:div>
    <w:div w:id="915239378">
      <w:bodyDiv w:val="1"/>
      <w:marLeft w:val="0"/>
      <w:marRight w:val="0"/>
      <w:marTop w:val="0"/>
      <w:marBottom w:val="0"/>
      <w:divBdr>
        <w:top w:val="none" w:sz="0" w:space="0" w:color="auto"/>
        <w:left w:val="none" w:sz="0" w:space="0" w:color="auto"/>
        <w:bottom w:val="none" w:sz="0" w:space="0" w:color="auto"/>
        <w:right w:val="none" w:sz="0" w:space="0" w:color="auto"/>
      </w:divBdr>
    </w:div>
    <w:div w:id="915746808">
      <w:bodyDiv w:val="1"/>
      <w:marLeft w:val="0"/>
      <w:marRight w:val="0"/>
      <w:marTop w:val="0"/>
      <w:marBottom w:val="0"/>
      <w:divBdr>
        <w:top w:val="none" w:sz="0" w:space="0" w:color="auto"/>
        <w:left w:val="none" w:sz="0" w:space="0" w:color="auto"/>
        <w:bottom w:val="none" w:sz="0" w:space="0" w:color="auto"/>
        <w:right w:val="none" w:sz="0" w:space="0" w:color="auto"/>
      </w:divBdr>
    </w:div>
    <w:div w:id="916210499">
      <w:bodyDiv w:val="1"/>
      <w:marLeft w:val="0"/>
      <w:marRight w:val="0"/>
      <w:marTop w:val="0"/>
      <w:marBottom w:val="0"/>
      <w:divBdr>
        <w:top w:val="none" w:sz="0" w:space="0" w:color="auto"/>
        <w:left w:val="none" w:sz="0" w:space="0" w:color="auto"/>
        <w:bottom w:val="none" w:sz="0" w:space="0" w:color="auto"/>
        <w:right w:val="none" w:sz="0" w:space="0" w:color="auto"/>
      </w:divBdr>
    </w:div>
    <w:div w:id="916482289">
      <w:bodyDiv w:val="1"/>
      <w:marLeft w:val="0"/>
      <w:marRight w:val="0"/>
      <w:marTop w:val="0"/>
      <w:marBottom w:val="0"/>
      <w:divBdr>
        <w:top w:val="none" w:sz="0" w:space="0" w:color="auto"/>
        <w:left w:val="none" w:sz="0" w:space="0" w:color="auto"/>
        <w:bottom w:val="none" w:sz="0" w:space="0" w:color="auto"/>
        <w:right w:val="none" w:sz="0" w:space="0" w:color="auto"/>
      </w:divBdr>
    </w:div>
    <w:div w:id="916944223">
      <w:bodyDiv w:val="1"/>
      <w:marLeft w:val="0"/>
      <w:marRight w:val="0"/>
      <w:marTop w:val="0"/>
      <w:marBottom w:val="0"/>
      <w:divBdr>
        <w:top w:val="none" w:sz="0" w:space="0" w:color="auto"/>
        <w:left w:val="none" w:sz="0" w:space="0" w:color="auto"/>
        <w:bottom w:val="none" w:sz="0" w:space="0" w:color="auto"/>
        <w:right w:val="none" w:sz="0" w:space="0" w:color="auto"/>
      </w:divBdr>
    </w:div>
    <w:div w:id="917405641">
      <w:bodyDiv w:val="1"/>
      <w:marLeft w:val="0"/>
      <w:marRight w:val="0"/>
      <w:marTop w:val="0"/>
      <w:marBottom w:val="0"/>
      <w:divBdr>
        <w:top w:val="none" w:sz="0" w:space="0" w:color="auto"/>
        <w:left w:val="none" w:sz="0" w:space="0" w:color="auto"/>
        <w:bottom w:val="none" w:sz="0" w:space="0" w:color="auto"/>
        <w:right w:val="none" w:sz="0" w:space="0" w:color="auto"/>
      </w:divBdr>
    </w:div>
    <w:div w:id="917640107">
      <w:bodyDiv w:val="1"/>
      <w:marLeft w:val="0"/>
      <w:marRight w:val="0"/>
      <w:marTop w:val="0"/>
      <w:marBottom w:val="0"/>
      <w:divBdr>
        <w:top w:val="none" w:sz="0" w:space="0" w:color="auto"/>
        <w:left w:val="none" w:sz="0" w:space="0" w:color="auto"/>
        <w:bottom w:val="none" w:sz="0" w:space="0" w:color="auto"/>
        <w:right w:val="none" w:sz="0" w:space="0" w:color="auto"/>
      </w:divBdr>
    </w:div>
    <w:div w:id="917833230">
      <w:bodyDiv w:val="1"/>
      <w:marLeft w:val="0"/>
      <w:marRight w:val="0"/>
      <w:marTop w:val="0"/>
      <w:marBottom w:val="0"/>
      <w:divBdr>
        <w:top w:val="none" w:sz="0" w:space="0" w:color="auto"/>
        <w:left w:val="none" w:sz="0" w:space="0" w:color="auto"/>
        <w:bottom w:val="none" w:sz="0" w:space="0" w:color="auto"/>
        <w:right w:val="none" w:sz="0" w:space="0" w:color="auto"/>
      </w:divBdr>
    </w:div>
    <w:div w:id="918246733">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18516881">
      <w:bodyDiv w:val="1"/>
      <w:marLeft w:val="0"/>
      <w:marRight w:val="0"/>
      <w:marTop w:val="0"/>
      <w:marBottom w:val="0"/>
      <w:divBdr>
        <w:top w:val="none" w:sz="0" w:space="0" w:color="auto"/>
        <w:left w:val="none" w:sz="0" w:space="0" w:color="auto"/>
        <w:bottom w:val="none" w:sz="0" w:space="0" w:color="auto"/>
        <w:right w:val="none" w:sz="0" w:space="0" w:color="auto"/>
      </w:divBdr>
    </w:div>
    <w:div w:id="918564917">
      <w:bodyDiv w:val="1"/>
      <w:marLeft w:val="0"/>
      <w:marRight w:val="0"/>
      <w:marTop w:val="0"/>
      <w:marBottom w:val="0"/>
      <w:divBdr>
        <w:top w:val="none" w:sz="0" w:space="0" w:color="auto"/>
        <w:left w:val="none" w:sz="0" w:space="0" w:color="auto"/>
        <w:bottom w:val="none" w:sz="0" w:space="0" w:color="auto"/>
        <w:right w:val="none" w:sz="0" w:space="0" w:color="auto"/>
      </w:divBdr>
    </w:div>
    <w:div w:id="918952736">
      <w:bodyDiv w:val="1"/>
      <w:marLeft w:val="0"/>
      <w:marRight w:val="0"/>
      <w:marTop w:val="0"/>
      <w:marBottom w:val="0"/>
      <w:divBdr>
        <w:top w:val="none" w:sz="0" w:space="0" w:color="auto"/>
        <w:left w:val="none" w:sz="0" w:space="0" w:color="auto"/>
        <w:bottom w:val="none" w:sz="0" w:space="0" w:color="auto"/>
        <w:right w:val="none" w:sz="0" w:space="0" w:color="auto"/>
      </w:divBdr>
    </w:div>
    <w:div w:id="920798011">
      <w:bodyDiv w:val="1"/>
      <w:marLeft w:val="0"/>
      <w:marRight w:val="0"/>
      <w:marTop w:val="0"/>
      <w:marBottom w:val="0"/>
      <w:divBdr>
        <w:top w:val="none" w:sz="0" w:space="0" w:color="auto"/>
        <w:left w:val="none" w:sz="0" w:space="0" w:color="auto"/>
        <w:bottom w:val="none" w:sz="0" w:space="0" w:color="auto"/>
        <w:right w:val="none" w:sz="0" w:space="0" w:color="auto"/>
      </w:divBdr>
    </w:div>
    <w:div w:id="921960485">
      <w:bodyDiv w:val="1"/>
      <w:marLeft w:val="0"/>
      <w:marRight w:val="0"/>
      <w:marTop w:val="0"/>
      <w:marBottom w:val="0"/>
      <w:divBdr>
        <w:top w:val="none" w:sz="0" w:space="0" w:color="auto"/>
        <w:left w:val="none" w:sz="0" w:space="0" w:color="auto"/>
        <w:bottom w:val="none" w:sz="0" w:space="0" w:color="auto"/>
        <w:right w:val="none" w:sz="0" w:space="0" w:color="auto"/>
      </w:divBdr>
    </w:div>
    <w:div w:id="9222265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2571257">
      <w:bodyDiv w:val="1"/>
      <w:marLeft w:val="0"/>
      <w:marRight w:val="0"/>
      <w:marTop w:val="0"/>
      <w:marBottom w:val="0"/>
      <w:divBdr>
        <w:top w:val="none" w:sz="0" w:space="0" w:color="auto"/>
        <w:left w:val="none" w:sz="0" w:space="0" w:color="auto"/>
        <w:bottom w:val="none" w:sz="0" w:space="0" w:color="auto"/>
        <w:right w:val="none" w:sz="0" w:space="0" w:color="auto"/>
      </w:divBdr>
    </w:div>
    <w:div w:id="923222772">
      <w:bodyDiv w:val="1"/>
      <w:marLeft w:val="0"/>
      <w:marRight w:val="0"/>
      <w:marTop w:val="0"/>
      <w:marBottom w:val="0"/>
      <w:divBdr>
        <w:top w:val="none" w:sz="0" w:space="0" w:color="auto"/>
        <w:left w:val="none" w:sz="0" w:space="0" w:color="auto"/>
        <w:bottom w:val="none" w:sz="0" w:space="0" w:color="auto"/>
        <w:right w:val="none" w:sz="0" w:space="0" w:color="auto"/>
      </w:divBdr>
    </w:div>
    <w:div w:id="923295915">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6618441">
      <w:bodyDiv w:val="1"/>
      <w:marLeft w:val="0"/>
      <w:marRight w:val="0"/>
      <w:marTop w:val="0"/>
      <w:marBottom w:val="0"/>
      <w:divBdr>
        <w:top w:val="none" w:sz="0" w:space="0" w:color="auto"/>
        <w:left w:val="none" w:sz="0" w:space="0" w:color="auto"/>
        <w:bottom w:val="none" w:sz="0" w:space="0" w:color="auto"/>
        <w:right w:val="none" w:sz="0" w:space="0" w:color="auto"/>
      </w:divBdr>
    </w:div>
    <w:div w:id="926689098">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7690877">
      <w:bodyDiv w:val="1"/>
      <w:marLeft w:val="0"/>
      <w:marRight w:val="0"/>
      <w:marTop w:val="0"/>
      <w:marBottom w:val="0"/>
      <w:divBdr>
        <w:top w:val="none" w:sz="0" w:space="0" w:color="auto"/>
        <w:left w:val="none" w:sz="0" w:space="0" w:color="auto"/>
        <w:bottom w:val="none" w:sz="0" w:space="0" w:color="auto"/>
        <w:right w:val="none" w:sz="0" w:space="0" w:color="auto"/>
      </w:divBdr>
    </w:div>
    <w:div w:id="927924394">
      <w:bodyDiv w:val="1"/>
      <w:marLeft w:val="0"/>
      <w:marRight w:val="0"/>
      <w:marTop w:val="0"/>
      <w:marBottom w:val="0"/>
      <w:divBdr>
        <w:top w:val="none" w:sz="0" w:space="0" w:color="auto"/>
        <w:left w:val="none" w:sz="0" w:space="0" w:color="auto"/>
        <w:bottom w:val="none" w:sz="0" w:space="0" w:color="auto"/>
        <w:right w:val="none" w:sz="0" w:space="0" w:color="auto"/>
      </w:divBdr>
    </w:div>
    <w:div w:id="929117708">
      <w:bodyDiv w:val="1"/>
      <w:marLeft w:val="0"/>
      <w:marRight w:val="0"/>
      <w:marTop w:val="0"/>
      <w:marBottom w:val="0"/>
      <w:divBdr>
        <w:top w:val="none" w:sz="0" w:space="0" w:color="auto"/>
        <w:left w:val="none" w:sz="0" w:space="0" w:color="auto"/>
        <w:bottom w:val="none" w:sz="0" w:space="0" w:color="auto"/>
        <w:right w:val="none" w:sz="0" w:space="0" w:color="auto"/>
      </w:divBdr>
    </w:div>
    <w:div w:id="930623623">
      <w:bodyDiv w:val="1"/>
      <w:marLeft w:val="0"/>
      <w:marRight w:val="0"/>
      <w:marTop w:val="0"/>
      <w:marBottom w:val="0"/>
      <w:divBdr>
        <w:top w:val="none" w:sz="0" w:space="0" w:color="auto"/>
        <w:left w:val="none" w:sz="0" w:space="0" w:color="auto"/>
        <w:bottom w:val="none" w:sz="0" w:space="0" w:color="auto"/>
        <w:right w:val="none" w:sz="0" w:space="0" w:color="auto"/>
      </w:divBdr>
    </w:div>
    <w:div w:id="931202879">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2010356">
      <w:bodyDiv w:val="1"/>
      <w:marLeft w:val="0"/>
      <w:marRight w:val="0"/>
      <w:marTop w:val="0"/>
      <w:marBottom w:val="0"/>
      <w:divBdr>
        <w:top w:val="none" w:sz="0" w:space="0" w:color="auto"/>
        <w:left w:val="none" w:sz="0" w:space="0" w:color="auto"/>
        <w:bottom w:val="none" w:sz="0" w:space="0" w:color="auto"/>
        <w:right w:val="none" w:sz="0" w:space="0" w:color="auto"/>
      </w:divBdr>
    </w:div>
    <w:div w:id="932978341">
      <w:bodyDiv w:val="1"/>
      <w:marLeft w:val="0"/>
      <w:marRight w:val="0"/>
      <w:marTop w:val="0"/>
      <w:marBottom w:val="0"/>
      <w:divBdr>
        <w:top w:val="none" w:sz="0" w:space="0" w:color="auto"/>
        <w:left w:val="none" w:sz="0" w:space="0" w:color="auto"/>
        <w:bottom w:val="none" w:sz="0" w:space="0" w:color="auto"/>
        <w:right w:val="none" w:sz="0" w:space="0" w:color="auto"/>
      </w:divBdr>
    </w:div>
    <w:div w:id="934165541">
      <w:bodyDiv w:val="1"/>
      <w:marLeft w:val="0"/>
      <w:marRight w:val="0"/>
      <w:marTop w:val="0"/>
      <w:marBottom w:val="0"/>
      <w:divBdr>
        <w:top w:val="none" w:sz="0" w:space="0" w:color="auto"/>
        <w:left w:val="none" w:sz="0" w:space="0" w:color="auto"/>
        <w:bottom w:val="none" w:sz="0" w:space="0" w:color="auto"/>
        <w:right w:val="none" w:sz="0" w:space="0" w:color="auto"/>
      </w:divBdr>
    </w:div>
    <w:div w:id="934822858">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408692">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414628">
      <w:bodyDiv w:val="1"/>
      <w:marLeft w:val="0"/>
      <w:marRight w:val="0"/>
      <w:marTop w:val="0"/>
      <w:marBottom w:val="0"/>
      <w:divBdr>
        <w:top w:val="none" w:sz="0" w:space="0" w:color="auto"/>
        <w:left w:val="none" w:sz="0" w:space="0" w:color="auto"/>
        <w:bottom w:val="none" w:sz="0" w:space="0" w:color="auto"/>
        <w:right w:val="none" w:sz="0" w:space="0" w:color="auto"/>
      </w:divBdr>
    </w:div>
    <w:div w:id="939416119">
      <w:bodyDiv w:val="1"/>
      <w:marLeft w:val="0"/>
      <w:marRight w:val="0"/>
      <w:marTop w:val="0"/>
      <w:marBottom w:val="0"/>
      <w:divBdr>
        <w:top w:val="none" w:sz="0" w:space="0" w:color="auto"/>
        <w:left w:val="none" w:sz="0" w:space="0" w:color="auto"/>
        <w:bottom w:val="none" w:sz="0" w:space="0" w:color="auto"/>
        <w:right w:val="none" w:sz="0" w:space="0" w:color="auto"/>
      </w:divBdr>
    </w:div>
    <w:div w:id="940070678">
      <w:bodyDiv w:val="1"/>
      <w:marLeft w:val="0"/>
      <w:marRight w:val="0"/>
      <w:marTop w:val="0"/>
      <w:marBottom w:val="0"/>
      <w:divBdr>
        <w:top w:val="none" w:sz="0" w:space="0" w:color="auto"/>
        <w:left w:val="none" w:sz="0" w:space="0" w:color="auto"/>
        <w:bottom w:val="none" w:sz="0" w:space="0" w:color="auto"/>
        <w:right w:val="none" w:sz="0" w:space="0" w:color="auto"/>
      </w:divBdr>
    </w:div>
    <w:div w:id="941492648">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44269524">
      <w:bodyDiv w:val="1"/>
      <w:marLeft w:val="0"/>
      <w:marRight w:val="0"/>
      <w:marTop w:val="0"/>
      <w:marBottom w:val="0"/>
      <w:divBdr>
        <w:top w:val="none" w:sz="0" w:space="0" w:color="auto"/>
        <w:left w:val="none" w:sz="0" w:space="0" w:color="auto"/>
        <w:bottom w:val="none" w:sz="0" w:space="0" w:color="auto"/>
        <w:right w:val="none" w:sz="0" w:space="0" w:color="auto"/>
      </w:divBdr>
    </w:div>
    <w:div w:id="944465782">
      <w:bodyDiv w:val="1"/>
      <w:marLeft w:val="0"/>
      <w:marRight w:val="0"/>
      <w:marTop w:val="0"/>
      <w:marBottom w:val="0"/>
      <w:divBdr>
        <w:top w:val="none" w:sz="0" w:space="0" w:color="auto"/>
        <w:left w:val="none" w:sz="0" w:space="0" w:color="auto"/>
        <w:bottom w:val="none" w:sz="0" w:space="0" w:color="auto"/>
        <w:right w:val="none" w:sz="0" w:space="0" w:color="auto"/>
      </w:divBdr>
    </w:div>
    <w:div w:id="945237537">
      <w:bodyDiv w:val="1"/>
      <w:marLeft w:val="0"/>
      <w:marRight w:val="0"/>
      <w:marTop w:val="0"/>
      <w:marBottom w:val="0"/>
      <w:divBdr>
        <w:top w:val="none" w:sz="0" w:space="0" w:color="auto"/>
        <w:left w:val="none" w:sz="0" w:space="0" w:color="auto"/>
        <w:bottom w:val="none" w:sz="0" w:space="0" w:color="auto"/>
        <w:right w:val="none" w:sz="0" w:space="0" w:color="auto"/>
      </w:divBdr>
    </w:div>
    <w:div w:id="945846693">
      <w:bodyDiv w:val="1"/>
      <w:marLeft w:val="0"/>
      <w:marRight w:val="0"/>
      <w:marTop w:val="0"/>
      <w:marBottom w:val="0"/>
      <w:divBdr>
        <w:top w:val="none" w:sz="0" w:space="0" w:color="auto"/>
        <w:left w:val="none" w:sz="0" w:space="0" w:color="auto"/>
        <w:bottom w:val="none" w:sz="0" w:space="0" w:color="auto"/>
        <w:right w:val="none" w:sz="0" w:space="0" w:color="auto"/>
      </w:divBdr>
    </w:div>
    <w:div w:id="947077693">
      <w:bodyDiv w:val="1"/>
      <w:marLeft w:val="0"/>
      <w:marRight w:val="0"/>
      <w:marTop w:val="0"/>
      <w:marBottom w:val="0"/>
      <w:divBdr>
        <w:top w:val="none" w:sz="0" w:space="0" w:color="auto"/>
        <w:left w:val="none" w:sz="0" w:space="0" w:color="auto"/>
        <w:bottom w:val="none" w:sz="0" w:space="0" w:color="auto"/>
        <w:right w:val="none" w:sz="0" w:space="0" w:color="auto"/>
      </w:divBdr>
    </w:div>
    <w:div w:id="948976074">
      <w:bodyDiv w:val="1"/>
      <w:marLeft w:val="0"/>
      <w:marRight w:val="0"/>
      <w:marTop w:val="0"/>
      <w:marBottom w:val="0"/>
      <w:divBdr>
        <w:top w:val="none" w:sz="0" w:space="0" w:color="auto"/>
        <w:left w:val="none" w:sz="0" w:space="0" w:color="auto"/>
        <w:bottom w:val="none" w:sz="0" w:space="0" w:color="auto"/>
        <w:right w:val="none" w:sz="0" w:space="0" w:color="auto"/>
      </w:divBdr>
    </w:div>
    <w:div w:id="949166692">
      <w:bodyDiv w:val="1"/>
      <w:marLeft w:val="0"/>
      <w:marRight w:val="0"/>
      <w:marTop w:val="0"/>
      <w:marBottom w:val="0"/>
      <w:divBdr>
        <w:top w:val="none" w:sz="0" w:space="0" w:color="auto"/>
        <w:left w:val="none" w:sz="0" w:space="0" w:color="auto"/>
        <w:bottom w:val="none" w:sz="0" w:space="0" w:color="auto"/>
        <w:right w:val="none" w:sz="0" w:space="0" w:color="auto"/>
      </w:divBdr>
    </w:div>
    <w:div w:id="949358991">
      <w:bodyDiv w:val="1"/>
      <w:marLeft w:val="0"/>
      <w:marRight w:val="0"/>
      <w:marTop w:val="0"/>
      <w:marBottom w:val="0"/>
      <w:divBdr>
        <w:top w:val="none" w:sz="0" w:space="0" w:color="auto"/>
        <w:left w:val="none" w:sz="0" w:space="0" w:color="auto"/>
        <w:bottom w:val="none" w:sz="0" w:space="0" w:color="auto"/>
        <w:right w:val="none" w:sz="0" w:space="0" w:color="auto"/>
      </w:divBdr>
    </w:div>
    <w:div w:id="949899935">
      <w:bodyDiv w:val="1"/>
      <w:marLeft w:val="0"/>
      <w:marRight w:val="0"/>
      <w:marTop w:val="0"/>
      <w:marBottom w:val="0"/>
      <w:divBdr>
        <w:top w:val="none" w:sz="0" w:space="0" w:color="auto"/>
        <w:left w:val="none" w:sz="0" w:space="0" w:color="auto"/>
        <w:bottom w:val="none" w:sz="0" w:space="0" w:color="auto"/>
        <w:right w:val="none" w:sz="0" w:space="0" w:color="auto"/>
      </w:divBdr>
    </w:div>
    <w:div w:id="950666618">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24386">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008305">
      <w:bodyDiv w:val="1"/>
      <w:marLeft w:val="0"/>
      <w:marRight w:val="0"/>
      <w:marTop w:val="0"/>
      <w:marBottom w:val="0"/>
      <w:divBdr>
        <w:top w:val="none" w:sz="0" w:space="0" w:color="auto"/>
        <w:left w:val="none" w:sz="0" w:space="0" w:color="auto"/>
        <w:bottom w:val="none" w:sz="0" w:space="0" w:color="auto"/>
        <w:right w:val="none" w:sz="0" w:space="0" w:color="auto"/>
      </w:divBdr>
    </w:div>
    <w:div w:id="952400811">
      <w:bodyDiv w:val="1"/>
      <w:marLeft w:val="0"/>
      <w:marRight w:val="0"/>
      <w:marTop w:val="0"/>
      <w:marBottom w:val="0"/>
      <w:divBdr>
        <w:top w:val="none" w:sz="0" w:space="0" w:color="auto"/>
        <w:left w:val="none" w:sz="0" w:space="0" w:color="auto"/>
        <w:bottom w:val="none" w:sz="0" w:space="0" w:color="auto"/>
        <w:right w:val="none" w:sz="0" w:space="0" w:color="auto"/>
      </w:divBdr>
    </w:div>
    <w:div w:id="952856709">
      <w:bodyDiv w:val="1"/>
      <w:marLeft w:val="0"/>
      <w:marRight w:val="0"/>
      <w:marTop w:val="0"/>
      <w:marBottom w:val="0"/>
      <w:divBdr>
        <w:top w:val="none" w:sz="0" w:space="0" w:color="auto"/>
        <w:left w:val="none" w:sz="0" w:space="0" w:color="auto"/>
        <w:bottom w:val="none" w:sz="0" w:space="0" w:color="auto"/>
        <w:right w:val="none" w:sz="0" w:space="0" w:color="auto"/>
      </w:divBdr>
    </w:div>
    <w:div w:id="953899698">
      <w:bodyDiv w:val="1"/>
      <w:marLeft w:val="0"/>
      <w:marRight w:val="0"/>
      <w:marTop w:val="0"/>
      <w:marBottom w:val="0"/>
      <w:divBdr>
        <w:top w:val="none" w:sz="0" w:space="0" w:color="auto"/>
        <w:left w:val="none" w:sz="0" w:space="0" w:color="auto"/>
        <w:bottom w:val="none" w:sz="0" w:space="0" w:color="auto"/>
        <w:right w:val="none" w:sz="0" w:space="0" w:color="auto"/>
      </w:divBdr>
    </w:div>
    <w:div w:id="953900101">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6134589">
      <w:bodyDiv w:val="1"/>
      <w:marLeft w:val="0"/>
      <w:marRight w:val="0"/>
      <w:marTop w:val="0"/>
      <w:marBottom w:val="0"/>
      <w:divBdr>
        <w:top w:val="none" w:sz="0" w:space="0" w:color="auto"/>
        <w:left w:val="none" w:sz="0" w:space="0" w:color="auto"/>
        <w:bottom w:val="none" w:sz="0" w:space="0" w:color="auto"/>
        <w:right w:val="none" w:sz="0" w:space="0" w:color="auto"/>
      </w:divBdr>
    </w:div>
    <w:div w:id="956373082">
      <w:bodyDiv w:val="1"/>
      <w:marLeft w:val="0"/>
      <w:marRight w:val="0"/>
      <w:marTop w:val="0"/>
      <w:marBottom w:val="0"/>
      <w:divBdr>
        <w:top w:val="none" w:sz="0" w:space="0" w:color="auto"/>
        <w:left w:val="none" w:sz="0" w:space="0" w:color="auto"/>
        <w:bottom w:val="none" w:sz="0" w:space="0" w:color="auto"/>
        <w:right w:val="none" w:sz="0" w:space="0" w:color="auto"/>
      </w:divBdr>
    </w:div>
    <w:div w:id="956835660">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030113">
      <w:bodyDiv w:val="1"/>
      <w:marLeft w:val="0"/>
      <w:marRight w:val="0"/>
      <w:marTop w:val="0"/>
      <w:marBottom w:val="0"/>
      <w:divBdr>
        <w:top w:val="none" w:sz="0" w:space="0" w:color="auto"/>
        <w:left w:val="none" w:sz="0" w:space="0" w:color="auto"/>
        <w:bottom w:val="none" w:sz="0" w:space="0" w:color="auto"/>
        <w:right w:val="none" w:sz="0" w:space="0" w:color="auto"/>
      </w:divBdr>
    </w:div>
    <w:div w:id="958074837">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8412428">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915402">
      <w:bodyDiv w:val="1"/>
      <w:marLeft w:val="0"/>
      <w:marRight w:val="0"/>
      <w:marTop w:val="0"/>
      <w:marBottom w:val="0"/>
      <w:divBdr>
        <w:top w:val="none" w:sz="0" w:space="0" w:color="auto"/>
        <w:left w:val="none" w:sz="0" w:space="0" w:color="auto"/>
        <w:bottom w:val="none" w:sz="0" w:space="0" w:color="auto"/>
        <w:right w:val="none" w:sz="0" w:space="0" w:color="auto"/>
      </w:divBdr>
    </w:div>
    <w:div w:id="960498534">
      <w:bodyDiv w:val="1"/>
      <w:marLeft w:val="0"/>
      <w:marRight w:val="0"/>
      <w:marTop w:val="0"/>
      <w:marBottom w:val="0"/>
      <w:divBdr>
        <w:top w:val="none" w:sz="0" w:space="0" w:color="auto"/>
        <w:left w:val="none" w:sz="0" w:space="0" w:color="auto"/>
        <w:bottom w:val="none" w:sz="0" w:space="0" w:color="auto"/>
        <w:right w:val="none" w:sz="0" w:space="0" w:color="auto"/>
      </w:divBdr>
    </w:div>
    <w:div w:id="960577640">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0957965">
      <w:bodyDiv w:val="1"/>
      <w:marLeft w:val="0"/>
      <w:marRight w:val="0"/>
      <w:marTop w:val="0"/>
      <w:marBottom w:val="0"/>
      <w:divBdr>
        <w:top w:val="none" w:sz="0" w:space="0" w:color="auto"/>
        <w:left w:val="none" w:sz="0" w:space="0" w:color="auto"/>
        <w:bottom w:val="none" w:sz="0" w:space="0" w:color="auto"/>
        <w:right w:val="none" w:sz="0" w:space="0" w:color="auto"/>
      </w:divBdr>
    </w:div>
    <w:div w:id="961494725">
      <w:bodyDiv w:val="1"/>
      <w:marLeft w:val="0"/>
      <w:marRight w:val="0"/>
      <w:marTop w:val="0"/>
      <w:marBottom w:val="0"/>
      <w:divBdr>
        <w:top w:val="none" w:sz="0" w:space="0" w:color="auto"/>
        <w:left w:val="none" w:sz="0" w:space="0" w:color="auto"/>
        <w:bottom w:val="none" w:sz="0" w:space="0" w:color="auto"/>
        <w:right w:val="none" w:sz="0" w:space="0" w:color="auto"/>
      </w:divBdr>
    </w:div>
    <w:div w:id="961501539">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1695693">
      <w:bodyDiv w:val="1"/>
      <w:marLeft w:val="0"/>
      <w:marRight w:val="0"/>
      <w:marTop w:val="0"/>
      <w:marBottom w:val="0"/>
      <w:divBdr>
        <w:top w:val="none" w:sz="0" w:space="0" w:color="auto"/>
        <w:left w:val="none" w:sz="0" w:space="0" w:color="auto"/>
        <w:bottom w:val="none" w:sz="0" w:space="0" w:color="auto"/>
        <w:right w:val="none" w:sz="0" w:space="0" w:color="auto"/>
      </w:divBdr>
    </w:div>
    <w:div w:id="962078101">
      <w:bodyDiv w:val="1"/>
      <w:marLeft w:val="0"/>
      <w:marRight w:val="0"/>
      <w:marTop w:val="0"/>
      <w:marBottom w:val="0"/>
      <w:divBdr>
        <w:top w:val="none" w:sz="0" w:space="0" w:color="auto"/>
        <w:left w:val="none" w:sz="0" w:space="0" w:color="auto"/>
        <w:bottom w:val="none" w:sz="0" w:space="0" w:color="auto"/>
        <w:right w:val="none" w:sz="0" w:space="0" w:color="auto"/>
      </w:divBdr>
    </w:div>
    <w:div w:id="964116714">
      <w:bodyDiv w:val="1"/>
      <w:marLeft w:val="0"/>
      <w:marRight w:val="0"/>
      <w:marTop w:val="0"/>
      <w:marBottom w:val="0"/>
      <w:divBdr>
        <w:top w:val="none" w:sz="0" w:space="0" w:color="auto"/>
        <w:left w:val="none" w:sz="0" w:space="0" w:color="auto"/>
        <w:bottom w:val="none" w:sz="0" w:space="0" w:color="auto"/>
        <w:right w:val="none" w:sz="0" w:space="0" w:color="auto"/>
      </w:divBdr>
    </w:div>
    <w:div w:id="964507794">
      <w:bodyDiv w:val="1"/>
      <w:marLeft w:val="0"/>
      <w:marRight w:val="0"/>
      <w:marTop w:val="0"/>
      <w:marBottom w:val="0"/>
      <w:divBdr>
        <w:top w:val="none" w:sz="0" w:space="0" w:color="auto"/>
        <w:left w:val="none" w:sz="0" w:space="0" w:color="auto"/>
        <w:bottom w:val="none" w:sz="0" w:space="0" w:color="auto"/>
        <w:right w:val="none" w:sz="0" w:space="0" w:color="auto"/>
      </w:divBdr>
    </w:div>
    <w:div w:id="964896450">
      <w:bodyDiv w:val="1"/>
      <w:marLeft w:val="0"/>
      <w:marRight w:val="0"/>
      <w:marTop w:val="0"/>
      <w:marBottom w:val="0"/>
      <w:divBdr>
        <w:top w:val="none" w:sz="0" w:space="0" w:color="auto"/>
        <w:left w:val="none" w:sz="0" w:space="0" w:color="auto"/>
        <w:bottom w:val="none" w:sz="0" w:space="0" w:color="auto"/>
        <w:right w:val="none" w:sz="0" w:space="0" w:color="auto"/>
      </w:divBdr>
    </w:div>
    <w:div w:id="965089750">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6617761">
      <w:bodyDiv w:val="1"/>
      <w:marLeft w:val="0"/>
      <w:marRight w:val="0"/>
      <w:marTop w:val="0"/>
      <w:marBottom w:val="0"/>
      <w:divBdr>
        <w:top w:val="none" w:sz="0" w:space="0" w:color="auto"/>
        <w:left w:val="none" w:sz="0" w:space="0" w:color="auto"/>
        <w:bottom w:val="none" w:sz="0" w:space="0" w:color="auto"/>
        <w:right w:val="none" w:sz="0" w:space="0" w:color="auto"/>
      </w:divBdr>
    </w:div>
    <w:div w:id="966664319">
      <w:bodyDiv w:val="1"/>
      <w:marLeft w:val="0"/>
      <w:marRight w:val="0"/>
      <w:marTop w:val="0"/>
      <w:marBottom w:val="0"/>
      <w:divBdr>
        <w:top w:val="none" w:sz="0" w:space="0" w:color="auto"/>
        <w:left w:val="none" w:sz="0" w:space="0" w:color="auto"/>
        <w:bottom w:val="none" w:sz="0" w:space="0" w:color="auto"/>
        <w:right w:val="none" w:sz="0" w:space="0" w:color="auto"/>
      </w:divBdr>
    </w:div>
    <w:div w:id="967006059">
      <w:bodyDiv w:val="1"/>
      <w:marLeft w:val="0"/>
      <w:marRight w:val="0"/>
      <w:marTop w:val="0"/>
      <w:marBottom w:val="0"/>
      <w:divBdr>
        <w:top w:val="none" w:sz="0" w:space="0" w:color="auto"/>
        <w:left w:val="none" w:sz="0" w:space="0" w:color="auto"/>
        <w:bottom w:val="none" w:sz="0" w:space="0" w:color="auto"/>
        <w:right w:val="none" w:sz="0" w:space="0" w:color="auto"/>
      </w:divBdr>
    </w:div>
    <w:div w:id="967709579">
      <w:bodyDiv w:val="1"/>
      <w:marLeft w:val="0"/>
      <w:marRight w:val="0"/>
      <w:marTop w:val="0"/>
      <w:marBottom w:val="0"/>
      <w:divBdr>
        <w:top w:val="none" w:sz="0" w:space="0" w:color="auto"/>
        <w:left w:val="none" w:sz="0" w:space="0" w:color="auto"/>
        <w:bottom w:val="none" w:sz="0" w:space="0" w:color="auto"/>
        <w:right w:val="none" w:sz="0" w:space="0" w:color="auto"/>
      </w:divBdr>
    </w:div>
    <w:div w:id="967903818">
      <w:bodyDiv w:val="1"/>
      <w:marLeft w:val="0"/>
      <w:marRight w:val="0"/>
      <w:marTop w:val="0"/>
      <w:marBottom w:val="0"/>
      <w:divBdr>
        <w:top w:val="none" w:sz="0" w:space="0" w:color="auto"/>
        <w:left w:val="none" w:sz="0" w:space="0" w:color="auto"/>
        <w:bottom w:val="none" w:sz="0" w:space="0" w:color="auto"/>
        <w:right w:val="none" w:sz="0" w:space="0" w:color="auto"/>
      </w:divBdr>
    </w:div>
    <w:div w:id="968588784">
      <w:bodyDiv w:val="1"/>
      <w:marLeft w:val="0"/>
      <w:marRight w:val="0"/>
      <w:marTop w:val="0"/>
      <w:marBottom w:val="0"/>
      <w:divBdr>
        <w:top w:val="none" w:sz="0" w:space="0" w:color="auto"/>
        <w:left w:val="none" w:sz="0" w:space="0" w:color="auto"/>
        <w:bottom w:val="none" w:sz="0" w:space="0" w:color="auto"/>
        <w:right w:val="none" w:sz="0" w:space="0" w:color="auto"/>
      </w:divBdr>
    </w:div>
    <w:div w:id="969940584">
      <w:bodyDiv w:val="1"/>
      <w:marLeft w:val="0"/>
      <w:marRight w:val="0"/>
      <w:marTop w:val="0"/>
      <w:marBottom w:val="0"/>
      <w:divBdr>
        <w:top w:val="none" w:sz="0" w:space="0" w:color="auto"/>
        <w:left w:val="none" w:sz="0" w:space="0" w:color="auto"/>
        <w:bottom w:val="none" w:sz="0" w:space="0" w:color="auto"/>
        <w:right w:val="none" w:sz="0" w:space="0" w:color="auto"/>
      </w:divBdr>
    </w:div>
    <w:div w:id="97032617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0786029">
      <w:bodyDiv w:val="1"/>
      <w:marLeft w:val="0"/>
      <w:marRight w:val="0"/>
      <w:marTop w:val="0"/>
      <w:marBottom w:val="0"/>
      <w:divBdr>
        <w:top w:val="none" w:sz="0" w:space="0" w:color="auto"/>
        <w:left w:val="none" w:sz="0" w:space="0" w:color="auto"/>
        <w:bottom w:val="none" w:sz="0" w:space="0" w:color="auto"/>
        <w:right w:val="none" w:sz="0" w:space="0" w:color="auto"/>
      </w:divBdr>
    </w:div>
    <w:div w:id="971207251">
      <w:bodyDiv w:val="1"/>
      <w:marLeft w:val="0"/>
      <w:marRight w:val="0"/>
      <w:marTop w:val="0"/>
      <w:marBottom w:val="0"/>
      <w:divBdr>
        <w:top w:val="none" w:sz="0" w:space="0" w:color="auto"/>
        <w:left w:val="none" w:sz="0" w:space="0" w:color="auto"/>
        <w:bottom w:val="none" w:sz="0" w:space="0" w:color="auto"/>
        <w:right w:val="none" w:sz="0" w:space="0" w:color="auto"/>
      </w:divBdr>
    </w:div>
    <w:div w:id="97206069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2757367">
      <w:bodyDiv w:val="1"/>
      <w:marLeft w:val="0"/>
      <w:marRight w:val="0"/>
      <w:marTop w:val="0"/>
      <w:marBottom w:val="0"/>
      <w:divBdr>
        <w:top w:val="none" w:sz="0" w:space="0" w:color="auto"/>
        <w:left w:val="none" w:sz="0" w:space="0" w:color="auto"/>
        <w:bottom w:val="none" w:sz="0" w:space="0" w:color="auto"/>
        <w:right w:val="none" w:sz="0" w:space="0" w:color="auto"/>
      </w:divBdr>
    </w:div>
    <w:div w:id="973484897">
      <w:bodyDiv w:val="1"/>
      <w:marLeft w:val="0"/>
      <w:marRight w:val="0"/>
      <w:marTop w:val="0"/>
      <w:marBottom w:val="0"/>
      <w:divBdr>
        <w:top w:val="none" w:sz="0" w:space="0" w:color="auto"/>
        <w:left w:val="none" w:sz="0" w:space="0" w:color="auto"/>
        <w:bottom w:val="none" w:sz="0" w:space="0" w:color="auto"/>
        <w:right w:val="none" w:sz="0" w:space="0" w:color="auto"/>
      </w:divBdr>
    </w:div>
    <w:div w:id="973950764">
      <w:bodyDiv w:val="1"/>
      <w:marLeft w:val="0"/>
      <w:marRight w:val="0"/>
      <w:marTop w:val="0"/>
      <w:marBottom w:val="0"/>
      <w:divBdr>
        <w:top w:val="none" w:sz="0" w:space="0" w:color="auto"/>
        <w:left w:val="none" w:sz="0" w:space="0" w:color="auto"/>
        <w:bottom w:val="none" w:sz="0" w:space="0" w:color="auto"/>
        <w:right w:val="none" w:sz="0" w:space="0" w:color="auto"/>
      </w:divBdr>
    </w:div>
    <w:div w:id="973950894">
      <w:bodyDiv w:val="1"/>
      <w:marLeft w:val="0"/>
      <w:marRight w:val="0"/>
      <w:marTop w:val="0"/>
      <w:marBottom w:val="0"/>
      <w:divBdr>
        <w:top w:val="none" w:sz="0" w:space="0" w:color="auto"/>
        <w:left w:val="none" w:sz="0" w:space="0" w:color="auto"/>
        <w:bottom w:val="none" w:sz="0" w:space="0" w:color="auto"/>
        <w:right w:val="none" w:sz="0" w:space="0" w:color="auto"/>
      </w:divBdr>
    </w:div>
    <w:div w:id="974526736">
      <w:bodyDiv w:val="1"/>
      <w:marLeft w:val="0"/>
      <w:marRight w:val="0"/>
      <w:marTop w:val="0"/>
      <w:marBottom w:val="0"/>
      <w:divBdr>
        <w:top w:val="none" w:sz="0" w:space="0" w:color="auto"/>
        <w:left w:val="none" w:sz="0" w:space="0" w:color="auto"/>
        <w:bottom w:val="none" w:sz="0" w:space="0" w:color="auto"/>
        <w:right w:val="none" w:sz="0" w:space="0" w:color="auto"/>
      </w:divBdr>
    </w:div>
    <w:div w:id="975526943">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6567715">
      <w:bodyDiv w:val="1"/>
      <w:marLeft w:val="0"/>
      <w:marRight w:val="0"/>
      <w:marTop w:val="0"/>
      <w:marBottom w:val="0"/>
      <w:divBdr>
        <w:top w:val="none" w:sz="0" w:space="0" w:color="auto"/>
        <w:left w:val="none" w:sz="0" w:space="0" w:color="auto"/>
        <w:bottom w:val="none" w:sz="0" w:space="0" w:color="auto"/>
        <w:right w:val="none" w:sz="0" w:space="0" w:color="auto"/>
      </w:divBdr>
    </w:div>
    <w:div w:id="977108585">
      <w:bodyDiv w:val="1"/>
      <w:marLeft w:val="0"/>
      <w:marRight w:val="0"/>
      <w:marTop w:val="0"/>
      <w:marBottom w:val="0"/>
      <w:divBdr>
        <w:top w:val="none" w:sz="0" w:space="0" w:color="auto"/>
        <w:left w:val="none" w:sz="0" w:space="0" w:color="auto"/>
        <w:bottom w:val="none" w:sz="0" w:space="0" w:color="auto"/>
        <w:right w:val="none" w:sz="0" w:space="0" w:color="auto"/>
      </w:divBdr>
    </w:div>
    <w:div w:id="977685894">
      <w:bodyDiv w:val="1"/>
      <w:marLeft w:val="0"/>
      <w:marRight w:val="0"/>
      <w:marTop w:val="0"/>
      <w:marBottom w:val="0"/>
      <w:divBdr>
        <w:top w:val="none" w:sz="0" w:space="0" w:color="auto"/>
        <w:left w:val="none" w:sz="0" w:space="0" w:color="auto"/>
        <w:bottom w:val="none" w:sz="0" w:space="0" w:color="auto"/>
        <w:right w:val="none" w:sz="0" w:space="0" w:color="auto"/>
      </w:divBdr>
    </w:div>
    <w:div w:id="977807521">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79773156">
      <w:bodyDiv w:val="1"/>
      <w:marLeft w:val="0"/>
      <w:marRight w:val="0"/>
      <w:marTop w:val="0"/>
      <w:marBottom w:val="0"/>
      <w:divBdr>
        <w:top w:val="none" w:sz="0" w:space="0" w:color="auto"/>
        <w:left w:val="none" w:sz="0" w:space="0" w:color="auto"/>
        <w:bottom w:val="none" w:sz="0" w:space="0" w:color="auto"/>
        <w:right w:val="none" w:sz="0" w:space="0" w:color="auto"/>
      </w:divBdr>
    </w:div>
    <w:div w:id="979841748">
      <w:bodyDiv w:val="1"/>
      <w:marLeft w:val="0"/>
      <w:marRight w:val="0"/>
      <w:marTop w:val="0"/>
      <w:marBottom w:val="0"/>
      <w:divBdr>
        <w:top w:val="none" w:sz="0" w:space="0" w:color="auto"/>
        <w:left w:val="none" w:sz="0" w:space="0" w:color="auto"/>
        <w:bottom w:val="none" w:sz="0" w:space="0" w:color="auto"/>
        <w:right w:val="none" w:sz="0" w:space="0" w:color="auto"/>
      </w:divBdr>
    </w:div>
    <w:div w:id="980307547">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1809964">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2351734">
      <w:bodyDiv w:val="1"/>
      <w:marLeft w:val="0"/>
      <w:marRight w:val="0"/>
      <w:marTop w:val="0"/>
      <w:marBottom w:val="0"/>
      <w:divBdr>
        <w:top w:val="none" w:sz="0" w:space="0" w:color="auto"/>
        <w:left w:val="none" w:sz="0" w:space="0" w:color="auto"/>
        <w:bottom w:val="none" w:sz="0" w:space="0" w:color="auto"/>
        <w:right w:val="none" w:sz="0" w:space="0" w:color="auto"/>
      </w:divBdr>
    </w:div>
    <w:div w:id="982808107">
      <w:bodyDiv w:val="1"/>
      <w:marLeft w:val="0"/>
      <w:marRight w:val="0"/>
      <w:marTop w:val="0"/>
      <w:marBottom w:val="0"/>
      <w:divBdr>
        <w:top w:val="none" w:sz="0" w:space="0" w:color="auto"/>
        <w:left w:val="none" w:sz="0" w:space="0" w:color="auto"/>
        <w:bottom w:val="none" w:sz="0" w:space="0" w:color="auto"/>
        <w:right w:val="none" w:sz="0" w:space="0" w:color="auto"/>
      </w:divBdr>
    </w:div>
    <w:div w:id="983194433">
      <w:bodyDiv w:val="1"/>
      <w:marLeft w:val="0"/>
      <w:marRight w:val="0"/>
      <w:marTop w:val="0"/>
      <w:marBottom w:val="0"/>
      <w:divBdr>
        <w:top w:val="none" w:sz="0" w:space="0" w:color="auto"/>
        <w:left w:val="none" w:sz="0" w:space="0" w:color="auto"/>
        <w:bottom w:val="none" w:sz="0" w:space="0" w:color="auto"/>
        <w:right w:val="none" w:sz="0" w:space="0" w:color="auto"/>
      </w:divBdr>
    </w:div>
    <w:div w:id="983463241">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84821917">
      <w:bodyDiv w:val="1"/>
      <w:marLeft w:val="0"/>
      <w:marRight w:val="0"/>
      <w:marTop w:val="0"/>
      <w:marBottom w:val="0"/>
      <w:divBdr>
        <w:top w:val="none" w:sz="0" w:space="0" w:color="auto"/>
        <w:left w:val="none" w:sz="0" w:space="0" w:color="auto"/>
        <w:bottom w:val="none" w:sz="0" w:space="0" w:color="auto"/>
        <w:right w:val="none" w:sz="0" w:space="0" w:color="auto"/>
      </w:divBdr>
    </w:div>
    <w:div w:id="986202975">
      <w:bodyDiv w:val="1"/>
      <w:marLeft w:val="0"/>
      <w:marRight w:val="0"/>
      <w:marTop w:val="0"/>
      <w:marBottom w:val="0"/>
      <w:divBdr>
        <w:top w:val="none" w:sz="0" w:space="0" w:color="auto"/>
        <w:left w:val="none" w:sz="0" w:space="0" w:color="auto"/>
        <w:bottom w:val="none" w:sz="0" w:space="0" w:color="auto"/>
        <w:right w:val="none" w:sz="0" w:space="0" w:color="auto"/>
      </w:divBdr>
    </w:div>
    <w:div w:id="987199363">
      <w:bodyDiv w:val="1"/>
      <w:marLeft w:val="0"/>
      <w:marRight w:val="0"/>
      <w:marTop w:val="0"/>
      <w:marBottom w:val="0"/>
      <w:divBdr>
        <w:top w:val="none" w:sz="0" w:space="0" w:color="auto"/>
        <w:left w:val="none" w:sz="0" w:space="0" w:color="auto"/>
        <w:bottom w:val="none" w:sz="0" w:space="0" w:color="auto"/>
        <w:right w:val="none" w:sz="0" w:space="0" w:color="auto"/>
      </w:divBdr>
    </w:div>
    <w:div w:id="987250891">
      <w:bodyDiv w:val="1"/>
      <w:marLeft w:val="0"/>
      <w:marRight w:val="0"/>
      <w:marTop w:val="0"/>
      <w:marBottom w:val="0"/>
      <w:divBdr>
        <w:top w:val="none" w:sz="0" w:space="0" w:color="auto"/>
        <w:left w:val="none" w:sz="0" w:space="0" w:color="auto"/>
        <w:bottom w:val="none" w:sz="0" w:space="0" w:color="auto"/>
        <w:right w:val="none" w:sz="0" w:space="0" w:color="auto"/>
      </w:divBdr>
    </w:div>
    <w:div w:id="988053256">
      <w:bodyDiv w:val="1"/>
      <w:marLeft w:val="0"/>
      <w:marRight w:val="0"/>
      <w:marTop w:val="0"/>
      <w:marBottom w:val="0"/>
      <w:divBdr>
        <w:top w:val="none" w:sz="0" w:space="0" w:color="auto"/>
        <w:left w:val="none" w:sz="0" w:space="0" w:color="auto"/>
        <w:bottom w:val="none" w:sz="0" w:space="0" w:color="auto"/>
        <w:right w:val="none" w:sz="0" w:space="0" w:color="auto"/>
      </w:divBdr>
    </w:div>
    <w:div w:id="988829591">
      <w:bodyDiv w:val="1"/>
      <w:marLeft w:val="0"/>
      <w:marRight w:val="0"/>
      <w:marTop w:val="0"/>
      <w:marBottom w:val="0"/>
      <w:divBdr>
        <w:top w:val="none" w:sz="0" w:space="0" w:color="auto"/>
        <w:left w:val="none" w:sz="0" w:space="0" w:color="auto"/>
        <w:bottom w:val="none" w:sz="0" w:space="0" w:color="auto"/>
        <w:right w:val="none" w:sz="0" w:space="0" w:color="auto"/>
      </w:divBdr>
    </w:div>
    <w:div w:id="989018045">
      <w:bodyDiv w:val="1"/>
      <w:marLeft w:val="0"/>
      <w:marRight w:val="0"/>
      <w:marTop w:val="0"/>
      <w:marBottom w:val="0"/>
      <w:divBdr>
        <w:top w:val="none" w:sz="0" w:space="0" w:color="auto"/>
        <w:left w:val="none" w:sz="0" w:space="0" w:color="auto"/>
        <w:bottom w:val="none" w:sz="0" w:space="0" w:color="auto"/>
        <w:right w:val="none" w:sz="0" w:space="0" w:color="auto"/>
      </w:divBdr>
    </w:div>
    <w:div w:id="989091690">
      <w:bodyDiv w:val="1"/>
      <w:marLeft w:val="0"/>
      <w:marRight w:val="0"/>
      <w:marTop w:val="0"/>
      <w:marBottom w:val="0"/>
      <w:divBdr>
        <w:top w:val="none" w:sz="0" w:space="0" w:color="auto"/>
        <w:left w:val="none" w:sz="0" w:space="0" w:color="auto"/>
        <w:bottom w:val="none" w:sz="0" w:space="0" w:color="auto"/>
        <w:right w:val="none" w:sz="0" w:space="0" w:color="auto"/>
      </w:divBdr>
    </w:div>
    <w:div w:id="989092334">
      <w:bodyDiv w:val="1"/>
      <w:marLeft w:val="0"/>
      <w:marRight w:val="0"/>
      <w:marTop w:val="0"/>
      <w:marBottom w:val="0"/>
      <w:divBdr>
        <w:top w:val="none" w:sz="0" w:space="0" w:color="auto"/>
        <w:left w:val="none" w:sz="0" w:space="0" w:color="auto"/>
        <w:bottom w:val="none" w:sz="0" w:space="0" w:color="auto"/>
        <w:right w:val="none" w:sz="0" w:space="0" w:color="auto"/>
      </w:divBdr>
    </w:div>
    <w:div w:id="989403428">
      <w:bodyDiv w:val="1"/>
      <w:marLeft w:val="0"/>
      <w:marRight w:val="0"/>
      <w:marTop w:val="0"/>
      <w:marBottom w:val="0"/>
      <w:divBdr>
        <w:top w:val="none" w:sz="0" w:space="0" w:color="auto"/>
        <w:left w:val="none" w:sz="0" w:space="0" w:color="auto"/>
        <w:bottom w:val="none" w:sz="0" w:space="0" w:color="auto"/>
        <w:right w:val="none" w:sz="0" w:space="0" w:color="auto"/>
      </w:divBdr>
    </w:div>
    <w:div w:id="989747968">
      <w:bodyDiv w:val="1"/>
      <w:marLeft w:val="0"/>
      <w:marRight w:val="0"/>
      <w:marTop w:val="0"/>
      <w:marBottom w:val="0"/>
      <w:divBdr>
        <w:top w:val="none" w:sz="0" w:space="0" w:color="auto"/>
        <w:left w:val="none" w:sz="0" w:space="0" w:color="auto"/>
        <w:bottom w:val="none" w:sz="0" w:space="0" w:color="auto"/>
        <w:right w:val="none" w:sz="0" w:space="0" w:color="auto"/>
      </w:divBdr>
    </w:div>
    <w:div w:id="989864371">
      <w:bodyDiv w:val="1"/>
      <w:marLeft w:val="0"/>
      <w:marRight w:val="0"/>
      <w:marTop w:val="0"/>
      <w:marBottom w:val="0"/>
      <w:divBdr>
        <w:top w:val="none" w:sz="0" w:space="0" w:color="auto"/>
        <w:left w:val="none" w:sz="0" w:space="0" w:color="auto"/>
        <w:bottom w:val="none" w:sz="0" w:space="0" w:color="auto"/>
        <w:right w:val="none" w:sz="0" w:space="0" w:color="auto"/>
      </w:divBdr>
    </w:div>
    <w:div w:id="990135750">
      <w:bodyDiv w:val="1"/>
      <w:marLeft w:val="0"/>
      <w:marRight w:val="0"/>
      <w:marTop w:val="0"/>
      <w:marBottom w:val="0"/>
      <w:divBdr>
        <w:top w:val="none" w:sz="0" w:space="0" w:color="auto"/>
        <w:left w:val="none" w:sz="0" w:space="0" w:color="auto"/>
        <w:bottom w:val="none" w:sz="0" w:space="0" w:color="auto"/>
        <w:right w:val="none" w:sz="0" w:space="0" w:color="auto"/>
      </w:divBdr>
    </w:div>
    <w:div w:id="99025196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3218">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3530416">
      <w:bodyDiv w:val="1"/>
      <w:marLeft w:val="0"/>
      <w:marRight w:val="0"/>
      <w:marTop w:val="0"/>
      <w:marBottom w:val="0"/>
      <w:divBdr>
        <w:top w:val="none" w:sz="0" w:space="0" w:color="auto"/>
        <w:left w:val="none" w:sz="0" w:space="0" w:color="auto"/>
        <w:bottom w:val="none" w:sz="0" w:space="0" w:color="auto"/>
        <w:right w:val="none" w:sz="0" w:space="0" w:color="auto"/>
      </w:divBdr>
    </w:div>
    <w:div w:id="993684670">
      <w:bodyDiv w:val="1"/>
      <w:marLeft w:val="0"/>
      <w:marRight w:val="0"/>
      <w:marTop w:val="0"/>
      <w:marBottom w:val="0"/>
      <w:divBdr>
        <w:top w:val="none" w:sz="0" w:space="0" w:color="auto"/>
        <w:left w:val="none" w:sz="0" w:space="0" w:color="auto"/>
        <w:bottom w:val="none" w:sz="0" w:space="0" w:color="auto"/>
        <w:right w:val="none" w:sz="0" w:space="0" w:color="auto"/>
      </w:divBdr>
    </w:div>
    <w:div w:id="994526261">
      <w:bodyDiv w:val="1"/>
      <w:marLeft w:val="0"/>
      <w:marRight w:val="0"/>
      <w:marTop w:val="0"/>
      <w:marBottom w:val="0"/>
      <w:divBdr>
        <w:top w:val="none" w:sz="0" w:space="0" w:color="auto"/>
        <w:left w:val="none" w:sz="0" w:space="0" w:color="auto"/>
        <w:bottom w:val="none" w:sz="0" w:space="0" w:color="auto"/>
        <w:right w:val="none" w:sz="0" w:space="0" w:color="auto"/>
      </w:divBdr>
    </w:div>
    <w:div w:id="994840272">
      <w:bodyDiv w:val="1"/>
      <w:marLeft w:val="0"/>
      <w:marRight w:val="0"/>
      <w:marTop w:val="0"/>
      <w:marBottom w:val="0"/>
      <w:divBdr>
        <w:top w:val="none" w:sz="0" w:space="0" w:color="auto"/>
        <w:left w:val="none" w:sz="0" w:space="0" w:color="auto"/>
        <w:bottom w:val="none" w:sz="0" w:space="0" w:color="auto"/>
        <w:right w:val="none" w:sz="0" w:space="0" w:color="auto"/>
      </w:divBdr>
    </w:div>
    <w:div w:id="994914854">
      <w:bodyDiv w:val="1"/>
      <w:marLeft w:val="0"/>
      <w:marRight w:val="0"/>
      <w:marTop w:val="0"/>
      <w:marBottom w:val="0"/>
      <w:divBdr>
        <w:top w:val="none" w:sz="0" w:space="0" w:color="auto"/>
        <w:left w:val="none" w:sz="0" w:space="0" w:color="auto"/>
        <w:bottom w:val="none" w:sz="0" w:space="0" w:color="auto"/>
        <w:right w:val="none" w:sz="0" w:space="0" w:color="auto"/>
      </w:divBdr>
    </w:div>
    <w:div w:id="995183519">
      <w:bodyDiv w:val="1"/>
      <w:marLeft w:val="0"/>
      <w:marRight w:val="0"/>
      <w:marTop w:val="0"/>
      <w:marBottom w:val="0"/>
      <w:divBdr>
        <w:top w:val="none" w:sz="0" w:space="0" w:color="auto"/>
        <w:left w:val="none" w:sz="0" w:space="0" w:color="auto"/>
        <w:bottom w:val="none" w:sz="0" w:space="0" w:color="auto"/>
        <w:right w:val="none" w:sz="0" w:space="0" w:color="auto"/>
      </w:divBdr>
    </w:div>
    <w:div w:id="995376167">
      <w:bodyDiv w:val="1"/>
      <w:marLeft w:val="0"/>
      <w:marRight w:val="0"/>
      <w:marTop w:val="0"/>
      <w:marBottom w:val="0"/>
      <w:divBdr>
        <w:top w:val="none" w:sz="0" w:space="0" w:color="auto"/>
        <w:left w:val="none" w:sz="0" w:space="0" w:color="auto"/>
        <w:bottom w:val="none" w:sz="0" w:space="0" w:color="auto"/>
        <w:right w:val="none" w:sz="0" w:space="0" w:color="auto"/>
      </w:divBdr>
    </w:div>
    <w:div w:id="996034041">
      <w:bodyDiv w:val="1"/>
      <w:marLeft w:val="0"/>
      <w:marRight w:val="0"/>
      <w:marTop w:val="0"/>
      <w:marBottom w:val="0"/>
      <w:divBdr>
        <w:top w:val="none" w:sz="0" w:space="0" w:color="auto"/>
        <w:left w:val="none" w:sz="0" w:space="0" w:color="auto"/>
        <w:bottom w:val="none" w:sz="0" w:space="0" w:color="auto"/>
        <w:right w:val="none" w:sz="0" w:space="0" w:color="auto"/>
      </w:divBdr>
    </w:div>
    <w:div w:id="996422536">
      <w:bodyDiv w:val="1"/>
      <w:marLeft w:val="0"/>
      <w:marRight w:val="0"/>
      <w:marTop w:val="0"/>
      <w:marBottom w:val="0"/>
      <w:divBdr>
        <w:top w:val="none" w:sz="0" w:space="0" w:color="auto"/>
        <w:left w:val="none" w:sz="0" w:space="0" w:color="auto"/>
        <w:bottom w:val="none" w:sz="0" w:space="0" w:color="auto"/>
        <w:right w:val="none" w:sz="0" w:space="0" w:color="auto"/>
      </w:divBdr>
    </w:div>
    <w:div w:id="997196148">
      <w:bodyDiv w:val="1"/>
      <w:marLeft w:val="0"/>
      <w:marRight w:val="0"/>
      <w:marTop w:val="0"/>
      <w:marBottom w:val="0"/>
      <w:divBdr>
        <w:top w:val="none" w:sz="0" w:space="0" w:color="auto"/>
        <w:left w:val="none" w:sz="0" w:space="0" w:color="auto"/>
        <w:bottom w:val="none" w:sz="0" w:space="0" w:color="auto"/>
        <w:right w:val="none" w:sz="0" w:space="0" w:color="auto"/>
      </w:divBdr>
    </w:div>
    <w:div w:id="998265087">
      <w:bodyDiv w:val="1"/>
      <w:marLeft w:val="0"/>
      <w:marRight w:val="0"/>
      <w:marTop w:val="0"/>
      <w:marBottom w:val="0"/>
      <w:divBdr>
        <w:top w:val="none" w:sz="0" w:space="0" w:color="auto"/>
        <w:left w:val="none" w:sz="0" w:space="0" w:color="auto"/>
        <w:bottom w:val="none" w:sz="0" w:space="0" w:color="auto"/>
        <w:right w:val="none" w:sz="0" w:space="0" w:color="auto"/>
      </w:divBdr>
    </w:div>
    <w:div w:id="998270782">
      <w:bodyDiv w:val="1"/>
      <w:marLeft w:val="0"/>
      <w:marRight w:val="0"/>
      <w:marTop w:val="0"/>
      <w:marBottom w:val="0"/>
      <w:divBdr>
        <w:top w:val="none" w:sz="0" w:space="0" w:color="auto"/>
        <w:left w:val="none" w:sz="0" w:space="0" w:color="auto"/>
        <w:bottom w:val="none" w:sz="0" w:space="0" w:color="auto"/>
        <w:right w:val="none" w:sz="0" w:space="0" w:color="auto"/>
      </w:divBdr>
    </w:div>
    <w:div w:id="998727376">
      <w:bodyDiv w:val="1"/>
      <w:marLeft w:val="0"/>
      <w:marRight w:val="0"/>
      <w:marTop w:val="0"/>
      <w:marBottom w:val="0"/>
      <w:divBdr>
        <w:top w:val="none" w:sz="0" w:space="0" w:color="auto"/>
        <w:left w:val="none" w:sz="0" w:space="0" w:color="auto"/>
        <w:bottom w:val="none" w:sz="0" w:space="0" w:color="auto"/>
        <w:right w:val="none" w:sz="0" w:space="0" w:color="auto"/>
      </w:divBdr>
    </w:div>
    <w:div w:id="1000505122">
      <w:bodyDiv w:val="1"/>
      <w:marLeft w:val="0"/>
      <w:marRight w:val="0"/>
      <w:marTop w:val="0"/>
      <w:marBottom w:val="0"/>
      <w:divBdr>
        <w:top w:val="none" w:sz="0" w:space="0" w:color="auto"/>
        <w:left w:val="none" w:sz="0" w:space="0" w:color="auto"/>
        <w:bottom w:val="none" w:sz="0" w:space="0" w:color="auto"/>
        <w:right w:val="none" w:sz="0" w:space="0" w:color="auto"/>
      </w:divBdr>
    </w:div>
    <w:div w:id="1001273202">
      <w:bodyDiv w:val="1"/>
      <w:marLeft w:val="0"/>
      <w:marRight w:val="0"/>
      <w:marTop w:val="0"/>
      <w:marBottom w:val="0"/>
      <w:divBdr>
        <w:top w:val="none" w:sz="0" w:space="0" w:color="auto"/>
        <w:left w:val="none" w:sz="0" w:space="0" w:color="auto"/>
        <w:bottom w:val="none" w:sz="0" w:space="0" w:color="auto"/>
        <w:right w:val="none" w:sz="0" w:space="0" w:color="auto"/>
      </w:divBdr>
    </w:div>
    <w:div w:id="100139194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1737855">
      <w:bodyDiv w:val="1"/>
      <w:marLeft w:val="0"/>
      <w:marRight w:val="0"/>
      <w:marTop w:val="0"/>
      <w:marBottom w:val="0"/>
      <w:divBdr>
        <w:top w:val="none" w:sz="0" w:space="0" w:color="auto"/>
        <w:left w:val="none" w:sz="0" w:space="0" w:color="auto"/>
        <w:bottom w:val="none" w:sz="0" w:space="0" w:color="auto"/>
        <w:right w:val="none" w:sz="0" w:space="0" w:color="auto"/>
      </w:divBdr>
    </w:div>
    <w:div w:id="1001928814">
      <w:bodyDiv w:val="1"/>
      <w:marLeft w:val="0"/>
      <w:marRight w:val="0"/>
      <w:marTop w:val="0"/>
      <w:marBottom w:val="0"/>
      <w:divBdr>
        <w:top w:val="none" w:sz="0" w:space="0" w:color="auto"/>
        <w:left w:val="none" w:sz="0" w:space="0" w:color="auto"/>
        <w:bottom w:val="none" w:sz="0" w:space="0" w:color="auto"/>
        <w:right w:val="none" w:sz="0" w:space="0" w:color="auto"/>
      </w:divBdr>
    </w:div>
    <w:div w:id="1001935485">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21868">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6521047">
      <w:bodyDiv w:val="1"/>
      <w:marLeft w:val="0"/>
      <w:marRight w:val="0"/>
      <w:marTop w:val="0"/>
      <w:marBottom w:val="0"/>
      <w:divBdr>
        <w:top w:val="none" w:sz="0" w:space="0" w:color="auto"/>
        <w:left w:val="none" w:sz="0" w:space="0" w:color="auto"/>
        <w:bottom w:val="none" w:sz="0" w:space="0" w:color="auto"/>
        <w:right w:val="none" w:sz="0" w:space="0" w:color="auto"/>
      </w:divBdr>
    </w:div>
    <w:div w:id="1007176504">
      <w:bodyDiv w:val="1"/>
      <w:marLeft w:val="0"/>
      <w:marRight w:val="0"/>
      <w:marTop w:val="0"/>
      <w:marBottom w:val="0"/>
      <w:divBdr>
        <w:top w:val="none" w:sz="0" w:space="0" w:color="auto"/>
        <w:left w:val="none" w:sz="0" w:space="0" w:color="auto"/>
        <w:bottom w:val="none" w:sz="0" w:space="0" w:color="auto"/>
        <w:right w:val="none" w:sz="0" w:space="0" w:color="auto"/>
      </w:divBdr>
    </w:div>
    <w:div w:id="1007711307">
      <w:bodyDiv w:val="1"/>
      <w:marLeft w:val="0"/>
      <w:marRight w:val="0"/>
      <w:marTop w:val="0"/>
      <w:marBottom w:val="0"/>
      <w:divBdr>
        <w:top w:val="none" w:sz="0" w:space="0" w:color="auto"/>
        <w:left w:val="none" w:sz="0" w:space="0" w:color="auto"/>
        <w:bottom w:val="none" w:sz="0" w:space="0" w:color="auto"/>
        <w:right w:val="none" w:sz="0" w:space="0" w:color="auto"/>
      </w:divBdr>
    </w:div>
    <w:div w:id="1007832917">
      <w:bodyDiv w:val="1"/>
      <w:marLeft w:val="0"/>
      <w:marRight w:val="0"/>
      <w:marTop w:val="0"/>
      <w:marBottom w:val="0"/>
      <w:divBdr>
        <w:top w:val="none" w:sz="0" w:space="0" w:color="auto"/>
        <w:left w:val="none" w:sz="0" w:space="0" w:color="auto"/>
        <w:bottom w:val="none" w:sz="0" w:space="0" w:color="auto"/>
        <w:right w:val="none" w:sz="0" w:space="0" w:color="auto"/>
      </w:divBdr>
    </w:div>
    <w:div w:id="1008369527">
      <w:bodyDiv w:val="1"/>
      <w:marLeft w:val="0"/>
      <w:marRight w:val="0"/>
      <w:marTop w:val="0"/>
      <w:marBottom w:val="0"/>
      <w:divBdr>
        <w:top w:val="none" w:sz="0" w:space="0" w:color="auto"/>
        <w:left w:val="none" w:sz="0" w:space="0" w:color="auto"/>
        <w:bottom w:val="none" w:sz="0" w:space="0" w:color="auto"/>
        <w:right w:val="none" w:sz="0" w:space="0" w:color="auto"/>
      </w:divBdr>
    </w:div>
    <w:div w:id="1008559431">
      <w:bodyDiv w:val="1"/>
      <w:marLeft w:val="0"/>
      <w:marRight w:val="0"/>
      <w:marTop w:val="0"/>
      <w:marBottom w:val="0"/>
      <w:divBdr>
        <w:top w:val="none" w:sz="0" w:space="0" w:color="auto"/>
        <w:left w:val="none" w:sz="0" w:space="0" w:color="auto"/>
        <w:bottom w:val="none" w:sz="0" w:space="0" w:color="auto"/>
        <w:right w:val="none" w:sz="0" w:space="0" w:color="auto"/>
      </w:divBdr>
    </w:div>
    <w:div w:id="1008757289">
      <w:bodyDiv w:val="1"/>
      <w:marLeft w:val="0"/>
      <w:marRight w:val="0"/>
      <w:marTop w:val="0"/>
      <w:marBottom w:val="0"/>
      <w:divBdr>
        <w:top w:val="none" w:sz="0" w:space="0" w:color="auto"/>
        <w:left w:val="none" w:sz="0" w:space="0" w:color="auto"/>
        <w:bottom w:val="none" w:sz="0" w:space="0" w:color="auto"/>
        <w:right w:val="none" w:sz="0" w:space="0" w:color="auto"/>
      </w:divBdr>
    </w:div>
    <w:div w:id="1009210435">
      <w:bodyDiv w:val="1"/>
      <w:marLeft w:val="0"/>
      <w:marRight w:val="0"/>
      <w:marTop w:val="0"/>
      <w:marBottom w:val="0"/>
      <w:divBdr>
        <w:top w:val="none" w:sz="0" w:space="0" w:color="auto"/>
        <w:left w:val="none" w:sz="0" w:space="0" w:color="auto"/>
        <w:bottom w:val="none" w:sz="0" w:space="0" w:color="auto"/>
        <w:right w:val="none" w:sz="0" w:space="0" w:color="auto"/>
      </w:divBdr>
    </w:div>
    <w:div w:id="1009679402">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0987492">
      <w:bodyDiv w:val="1"/>
      <w:marLeft w:val="0"/>
      <w:marRight w:val="0"/>
      <w:marTop w:val="0"/>
      <w:marBottom w:val="0"/>
      <w:divBdr>
        <w:top w:val="none" w:sz="0" w:space="0" w:color="auto"/>
        <w:left w:val="none" w:sz="0" w:space="0" w:color="auto"/>
        <w:bottom w:val="none" w:sz="0" w:space="0" w:color="auto"/>
        <w:right w:val="none" w:sz="0" w:space="0" w:color="auto"/>
      </w:divBdr>
    </w:div>
    <w:div w:id="1011376456">
      <w:bodyDiv w:val="1"/>
      <w:marLeft w:val="0"/>
      <w:marRight w:val="0"/>
      <w:marTop w:val="0"/>
      <w:marBottom w:val="0"/>
      <w:divBdr>
        <w:top w:val="none" w:sz="0" w:space="0" w:color="auto"/>
        <w:left w:val="none" w:sz="0" w:space="0" w:color="auto"/>
        <w:bottom w:val="none" w:sz="0" w:space="0" w:color="auto"/>
        <w:right w:val="none" w:sz="0" w:space="0" w:color="auto"/>
      </w:divBdr>
    </w:div>
    <w:div w:id="1011494522">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3340428">
      <w:bodyDiv w:val="1"/>
      <w:marLeft w:val="0"/>
      <w:marRight w:val="0"/>
      <w:marTop w:val="0"/>
      <w:marBottom w:val="0"/>
      <w:divBdr>
        <w:top w:val="none" w:sz="0" w:space="0" w:color="auto"/>
        <w:left w:val="none" w:sz="0" w:space="0" w:color="auto"/>
        <w:bottom w:val="none" w:sz="0" w:space="0" w:color="auto"/>
        <w:right w:val="none" w:sz="0" w:space="0" w:color="auto"/>
      </w:divBdr>
    </w:div>
    <w:div w:id="101561574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17347484">
      <w:bodyDiv w:val="1"/>
      <w:marLeft w:val="0"/>
      <w:marRight w:val="0"/>
      <w:marTop w:val="0"/>
      <w:marBottom w:val="0"/>
      <w:divBdr>
        <w:top w:val="none" w:sz="0" w:space="0" w:color="auto"/>
        <w:left w:val="none" w:sz="0" w:space="0" w:color="auto"/>
        <w:bottom w:val="none" w:sz="0" w:space="0" w:color="auto"/>
        <w:right w:val="none" w:sz="0" w:space="0" w:color="auto"/>
      </w:divBdr>
    </w:div>
    <w:div w:id="1018704342">
      <w:bodyDiv w:val="1"/>
      <w:marLeft w:val="0"/>
      <w:marRight w:val="0"/>
      <w:marTop w:val="0"/>
      <w:marBottom w:val="0"/>
      <w:divBdr>
        <w:top w:val="none" w:sz="0" w:space="0" w:color="auto"/>
        <w:left w:val="none" w:sz="0" w:space="0" w:color="auto"/>
        <w:bottom w:val="none" w:sz="0" w:space="0" w:color="auto"/>
        <w:right w:val="none" w:sz="0" w:space="0" w:color="auto"/>
      </w:divBdr>
    </w:div>
    <w:div w:id="1019893075">
      <w:bodyDiv w:val="1"/>
      <w:marLeft w:val="0"/>
      <w:marRight w:val="0"/>
      <w:marTop w:val="0"/>
      <w:marBottom w:val="0"/>
      <w:divBdr>
        <w:top w:val="none" w:sz="0" w:space="0" w:color="auto"/>
        <w:left w:val="none" w:sz="0" w:space="0" w:color="auto"/>
        <w:bottom w:val="none" w:sz="0" w:space="0" w:color="auto"/>
        <w:right w:val="none" w:sz="0" w:space="0" w:color="auto"/>
      </w:divBdr>
    </w:div>
    <w:div w:id="1020745028">
      <w:bodyDiv w:val="1"/>
      <w:marLeft w:val="0"/>
      <w:marRight w:val="0"/>
      <w:marTop w:val="0"/>
      <w:marBottom w:val="0"/>
      <w:divBdr>
        <w:top w:val="none" w:sz="0" w:space="0" w:color="auto"/>
        <w:left w:val="none" w:sz="0" w:space="0" w:color="auto"/>
        <w:bottom w:val="none" w:sz="0" w:space="0" w:color="auto"/>
        <w:right w:val="none" w:sz="0" w:space="0" w:color="auto"/>
      </w:divBdr>
    </w:div>
    <w:div w:id="1020932980">
      <w:bodyDiv w:val="1"/>
      <w:marLeft w:val="0"/>
      <w:marRight w:val="0"/>
      <w:marTop w:val="0"/>
      <w:marBottom w:val="0"/>
      <w:divBdr>
        <w:top w:val="none" w:sz="0" w:space="0" w:color="auto"/>
        <w:left w:val="none" w:sz="0" w:space="0" w:color="auto"/>
        <w:bottom w:val="none" w:sz="0" w:space="0" w:color="auto"/>
        <w:right w:val="none" w:sz="0" w:space="0" w:color="auto"/>
      </w:divBdr>
    </w:div>
    <w:div w:id="1021124793">
      <w:bodyDiv w:val="1"/>
      <w:marLeft w:val="0"/>
      <w:marRight w:val="0"/>
      <w:marTop w:val="0"/>
      <w:marBottom w:val="0"/>
      <w:divBdr>
        <w:top w:val="none" w:sz="0" w:space="0" w:color="auto"/>
        <w:left w:val="none" w:sz="0" w:space="0" w:color="auto"/>
        <w:bottom w:val="none" w:sz="0" w:space="0" w:color="auto"/>
        <w:right w:val="none" w:sz="0" w:space="0" w:color="auto"/>
      </w:divBdr>
    </w:div>
    <w:div w:id="1021857791">
      <w:bodyDiv w:val="1"/>
      <w:marLeft w:val="0"/>
      <w:marRight w:val="0"/>
      <w:marTop w:val="0"/>
      <w:marBottom w:val="0"/>
      <w:divBdr>
        <w:top w:val="none" w:sz="0" w:space="0" w:color="auto"/>
        <w:left w:val="none" w:sz="0" w:space="0" w:color="auto"/>
        <w:bottom w:val="none" w:sz="0" w:space="0" w:color="auto"/>
        <w:right w:val="none" w:sz="0" w:space="0" w:color="auto"/>
      </w:divBdr>
    </w:div>
    <w:div w:id="1021978968">
      <w:bodyDiv w:val="1"/>
      <w:marLeft w:val="0"/>
      <w:marRight w:val="0"/>
      <w:marTop w:val="0"/>
      <w:marBottom w:val="0"/>
      <w:divBdr>
        <w:top w:val="none" w:sz="0" w:space="0" w:color="auto"/>
        <w:left w:val="none" w:sz="0" w:space="0" w:color="auto"/>
        <w:bottom w:val="none" w:sz="0" w:space="0" w:color="auto"/>
        <w:right w:val="none" w:sz="0" w:space="0" w:color="auto"/>
      </w:divBdr>
    </w:div>
    <w:div w:id="1022131290">
      <w:bodyDiv w:val="1"/>
      <w:marLeft w:val="0"/>
      <w:marRight w:val="0"/>
      <w:marTop w:val="0"/>
      <w:marBottom w:val="0"/>
      <w:divBdr>
        <w:top w:val="none" w:sz="0" w:space="0" w:color="auto"/>
        <w:left w:val="none" w:sz="0" w:space="0" w:color="auto"/>
        <w:bottom w:val="none" w:sz="0" w:space="0" w:color="auto"/>
        <w:right w:val="none" w:sz="0" w:space="0" w:color="auto"/>
      </w:divBdr>
    </w:div>
    <w:div w:id="1023630950">
      <w:bodyDiv w:val="1"/>
      <w:marLeft w:val="0"/>
      <w:marRight w:val="0"/>
      <w:marTop w:val="0"/>
      <w:marBottom w:val="0"/>
      <w:divBdr>
        <w:top w:val="none" w:sz="0" w:space="0" w:color="auto"/>
        <w:left w:val="none" w:sz="0" w:space="0" w:color="auto"/>
        <w:bottom w:val="none" w:sz="0" w:space="0" w:color="auto"/>
        <w:right w:val="none" w:sz="0" w:space="0" w:color="auto"/>
      </w:divBdr>
    </w:div>
    <w:div w:id="1024016896">
      <w:bodyDiv w:val="1"/>
      <w:marLeft w:val="0"/>
      <w:marRight w:val="0"/>
      <w:marTop w:val="0"/>
      <w:marBottom w:val="0"/>
      <w:divBdr>
        <w:top w:val="none" w:sz="0" w:space="0" w:color="auto"/>
        <w:left w:val="none" w:sz="0" w:space="0" w:color="auto"/>
        <w:bottom w:val="none" w:sz="0" w:space="0" w:color="auto"/>
        <w:right w:val="none" w:sz="0" w:space="0" w:color="auto"/>
      </w:divBdr>
    </w:div>
    <w:div w:id="1024672600">
      <w:bodyDiv w:val="1"/>
      <w:marLeft w:val="0"/>
      <w:marRight w:val="0"/>
      <w:marTop w:val="0"/>
      <w:marBottom w:val="0"/>
      <w:divBdr>
        <w:top w:val="none" w:sz="0" w:space="0" w:color="auto"/>
        <w:left w:val="none" w:sz="0" w:space="0" w:color="auto"/>
        <w:bottom w:val="none" w:sz="0" w:space="0" w:color="auto"/>
        <w:right w:val="none" w:sz="0" w:space="0" w:color="auto"/>
      </w:divBdr>
    </w:div>
    <w:div w:id="1024794565">
      <w:bodyDiv w:val="1"/>
      <w:marLeft w:val="0"/>
      <w:marRight w:val="0"/>
      <w:marTop w:val="0"/>
      <w:marBottom w:val="0"/>
      <w:divBdr>
        <w:top w:val="none" w:sz="0" w:space="0" w:color="auto"/>
        <w:left w:val="none" w:sz="0" w:space="0" w:color="auto"/>
        <w:bottom w:val="none" w:sz="0" w:space="0" w:color="auto"/>
        <w:right w:val="none" w:sz="0" w:space="0" w:color="auto"/>
      </w:divBdr>
    </w:div>
    <w:div w:id="1024860846">
      <w:bodyDiv w:val="1"/>
      <w:marLeft w:val="0"/>
      <w:marRight w:val="0"/>
      <w:marTop w:val="0"/>
      <w:marBottom w:val="0"/>
      <w:divBdr>
        <w:top w:val="none" w:sz="0" w:space="0" w:color="auto"/>
        <w:left w:val="none" w:sz="0" w:space="0" w:color="auto"/>
        <w:bottom w:val="none" w:sz="0" w:space="0" w:color="auto"/>
        <w:right w:val="none" w:sz="0" w:space="0" w:color="auto"/>
      </w:divBdr>
    </w:div>
    <w:div w:id="1024940707">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7373400">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29070591">
      <w:bodyDiv w:val="1"/>
      <w:marLeft w:val="0"/>
      <w:marRight w:val="0"/>
      <w:marTop w:val="0"/>
      <w:marBottom w:val="0"/>
      <w:divBdr>
        <w:top w:val="none" w:sz="0" w:space="0" w:color="auto"/>
        <w:left w:val="none" w:sz="0" w:space="0" w:color="auto"/>
        <w:bottom w:val="none" w:sz="0" w:space="0" w:color="auto"/>
        <w:right w:val="none" w:sz="0" w:space="0" w:color="auto"/>
      </w:divBdr>
    </w:div>
    <w:div w:id="1030960419">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1414135">
      <w:bodyDiv w:val="1"/>
      <w:marLeft w:val="0"/>
      <w:marRight w:val="0"/>
      <w:marTop w:val="0"/>
      <w:marBottom w:val="0"/>
      <w:divBdr>
        <w:top w:val="none" w:sz="0" w:space="0" w:color="auto"/>
        <w:left w:val="none" w:sz="0" w:space="0" w:color="auto"/>
        <w:bottom w:val="none" w:sz="0" w:space="0" w:color="auto"/>
        <w:right w:val="none" w:sz="0" w:space="0" w:color="auto"/>
      </w:divBdr>
    </w:div>
    <w:div w:id="1031806958">
      <w:bodyDiv w:val="1"/>
      <w:marLeft w:val="0"/>
      <w:marRight w:val="0"/>
      <w:marTop w:val="0"/>
      <w:marBottom w:val="0"/>
      <w:divBdr>
        <w:top w:val="none" w:sz="0" w:space="0" w:color="auto"/>
        <w:left w:val="none" w:sz="0" w:space="0" w:color="auto"/>
        <w:bottom w:val="none" w:sz="0" w:space="0" w:color="auto"/>
        <w:right w:val="none" w:sz="0" w:space="0" w:color="auto"/>
      </w:divBdr>
    </w:div>
    <w:div w:id="1032878601">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4885731">
      <w:bodyDiv w:val="1"/>
      <w:marLeft w:val="0"/>
      <w:marRight w:val="0"/>
      <w:marTop w:val="0"/>
      <w:marBottom w:val="0"/>
      <w:divBdr>
        <w:top w:val="none" w:sz="0" w:space="0" w:color="auto"/>
        <w:left w:val="none" w:sz="0" w:space="0" w:color="auto"/>
        <w:bottom w:val="none" w:sz="0" w:space="0" w:color="auto"/>
        <w:right w:val="none" w:sz="0" w:space="0" w:color="auto"/>
      </w:divBdr>
    </w:div>
    <w:div w:id="1035427453">
      <w:bodyDiv w:val="1"/>
      <w:marLeft w:val="0"/>
      <w:marRight w:val="0"/>
      <w:marTop w:val="0"/>
      <w:marBottom w:val="0"/>
      <w:divBdr>
        <w:top w:val="none" w:sz="0" w:space="0" w:color="auto"/>
        <w:left w:val="none" w:sz="0" w:space="0" w:color="auto"/>
        <w:bottom w:val="none" w:sz="0" w:space="0" w:color="auto"/>
        <w:right w:val="none" w:sz="0" w:space="0" w:color="auto"/>
      </w:divBdr>
    </w:div>
    <w:div w:id="1035544386">
      <w:bodyDiv w:val="1"/>
      <w:marLeft w:val="0"/>
      <w:marRight w:val="0"/>
      <w:marTop w:val="0"/>
      <w:marBottom w:val="0"/>
      <w:divBdr>
        <w:top w:val="none" w:sz="0" w:space="0" w:color="auto"/>
        <w:left w:val="none" w:sz="0" w:space="0" w:color="auto"/>
        <w:bottom w:val="none" w:sz="0" w:space="0" w:color="auto"/>
        <w:right w:val="none" w:sz="0" w:space="0" w:color="auto"/>
      </w:divBdr>
    </w:div>
    <w:div w:id="1036272476">
      <w:bodyDiv w:val="1"/>
      <w:marLeft w:val="0"/>
      <w:marRight w:val="0"/>
      <w:marTop w:val="0"/>
      <w:marBottom w:val="0"/>
      <w:divBdr>
        <w:top w:val="none" w:sz="0" w:space="0" w:color="auto"/>
        <w:left w:val="none" w:sz="0" w:space="0" w:color="auto"/>
        <w:bottom w:val="none" w:sz="0" w:space="0" w:color="auto"/>
        <w:right w:val="none" w:sz="0" w:space="0" w:color="auto"/>
      </w:divBdr>
    </w:div>
    <w:div w:id="1037004177">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125761">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7316267">
      <w:bodyDiv w:val="1"/>
      <w:marLeft w:val="0"/>
      <w:marRight w:val="0"/>
      <w:marTop w:val="0"/>
      <w:marBottom w:val="0"/>
      <w:divBdr>
        <w:top w:val="none" w:sz="0" w:space="0" w:color="auto"/>
        <w:left w:val="none" w:sz="0" w:space="0" w:color="auto"/>
        <w:bottom w:val="none" w:sz="0" w:space="0" w:color="auto"/>
        <w:right w:val="none" w:sz="0" w:space="0" w:color="auto"/>
      </w:divBdr>
    </w:div>
    <w:div w:id="1038046531">
      <w:bodyDiv w:val="1"/>
      <w:marLeft w:val="0"/>
      <w:marRight w:val="0"/>
      <w:marTop w:val="0"/>
      <w:marBottom w:val="0"/>
      <w:divBdr>
        <w:top w:val="none" w:sz="0" w:space="0" w:color="auto"/>
        <w:left w:val="none" w:sz="0" w:space="0" w:color="auto"/>
        <w:bottom w:val="none" w:sz="0" w:space="0" w:color="auto"/>
        <w:right w:val="none" w:sz="0" w:space="0" w:color="auto"/>
      </w:divBdr>
    </w:div>
    <w:div w:id="1039017654">
      <w:bodyDiv w:val="1"/>
      <w:marLeft w:val="0"/>
      <w:marRight w:val="0"/>
      <w:marTop w:val="0"/>
      <w:marBottom w:val="0"/>
      <w:divBdr>
        <w:top w:val="none" w:sz="0" w:space="0" w:color="auto"/>
        <w:left w:val="none" w:sz="0" w:space="0" w:color="auto"/>
        <w:bottom w:val="none" w:sz="0" w:space="0" w:color="auto"/>
        <w:right w:val="none" w:sz="0" w:space="0" w:color="auto"/>
      </w:divBdr>
    </w:div>
    <w:div w:id="10392851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0205055">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3552452">
      <w:bodyDiv w:val="1"/>
      <w:marLeft w:val="0"/>
      <w:marRight w:val="0"/>
      <w:marTop w:val="0"/>
      <w:marBottom w:val="0"/>
      <w:divBdr>
        <w:top w:val="none" w:sz="0" w:space="0" w:color="auto"/>
        <w:left w:val="none" w:sz="0" w:space="0" w:color="auto"/>
        <w:bottom w:val="none" w:sz="0" w:space="0" w:color="auto"/>
        <w:right w:val="none" w:sz="0" w:space="0" w:color="auto"/>
      </w:divBdr>
    </w:div>
    <w:div w:id="1044720914">
      <w:bodyDiv w:val="1"/>
      <w:marLeft w:val="0"/>
      <w:marRight w:val="0"/>
      <w:marTop w:val="0"/>
      <w:marBottom w:val="0"/>
      <w:divBdr>
        <w:top w:val="none" w:sz="0" w:space="0" w:color="auto"/>
        <w:left w:val="none" w:sz="0" w:space="0" w:color="auto"/>
        <w:bottom w:val="none" w:sz="0" w:space="0" w:color="auto"/>
        <w:right w:val="none" w:sz="0" w:space="0" w:color="auto"/>
      </w:divBdr>
    </w:div>
    <w:div w:id="1046442909">
      <w:bodyDiv w:val="1"/>
      <w:marLeft w:val="0"/>
      <w:marRight w:val="0"/>
      <w:marTop w:val="0"/>
      <w:marBottom w:val="0"/>
      <w:divBdr>
        <w:top w:val="none" w:sz="0" w:space="0" w:color="auto"/>
        <w:left w:val="none" w:sz="0" w:space="0" w:color="auto"/>
        <w:bottom w:val="none" w:sz="0" w:space="0" w:color="auto"/>
        <w:right w:val="none" w:sz="0" w:space="0" w:color="auto"/>
      </w:divBdr>
    </w:div>
    <w:div w:id="1046565342">
      <w:bodyDiv w:val="1"/>
      <w:marLeft w:val="0"/>
      <w:marRight w:val="0"/>
      <w:marTop w:val="0"/>
      <w:marBottom w:val="0"/>
      <w:divBdr>
        <w:top w:val="none" w:sz="0" w:space="0" w:color="auto"/>
        <w:left w:val="none" w:sz="0" w:space="0" w:color="auto"/>
        <w:bottom w:val="none" w:sz="0" w:space="0" w:color="auto"/>
        <w:right w:val="none" w:sz="0" w:space="0" w:color="auto"/>
      </w:divBdr>
    </w:div>
    <w:div w:id="1047100123">
      <w:bodyDiv w:val="1"/>
      <w:marLeft w:val="0"/>
      <w:marRight w:val="0"/>
      <w:marTop w:val="0"/>
      <w:marBottom w:val="0"/>
      <w:divBdr>
        <w:top w:val="none" w:sz="0" w:space="0" w:color="auto"/>
        <w:left w:val="none" w:sz="0" w:space="0" w:color="auto"/>
        <w:bottom w:val="none" w:sz="0" w:space="0" w:color="auto"/>
        <w:right w:val="none" w:sz="0" w:space="0" w:color="auto"/>
      </w:divBdr>
    </w:div>
    <w:div w:id="1047608167">
      <w:bodyDiv w:val="1"/>
      <w:marLeft w:val="0"/>
      <w:marRight w:val="0"/>
      <w:marTop w:val="0"/>
      <w:marBottom w:val="0"/>
      <w:divBdr>
        <w:top w:val="none" w:sz="0" w:space="0" w:color="auto"/>
        <w:left w:val="none" w:sz="0" w:space="0" w:color="auto"/>
        <w:bottom w:val="none" w:sz="0" w:space="0" w:color="auto"/>
        <w:right w:val="none" w:sz="0" w:space="0" w:color="auto"/>
      </w:divBdr>
    </w:div>
    <w:div w:id="1047679536">
      <w:bodyDiv w:val="1"/>
      <w:marLeft w:val="0"/>
      <w:marRight w:val="0"/>
      <w:marTop w:val="0"/>
      <w:marBottom w:val="0"/>
      <w:divBdr>
        <w:top w:val="none" w:sz="0" w:space="0" w:color="auto"/>
        <w:left w:val="none" w:sz="0" w:space="0" w:color="auto"/>
        <w:bottom w:val="none" w:sz="0" w:space="0" w:color="auto"/>
        <w:right w:val="none" w:sz="0" w:space="0" w:color="auto"/>
      </w:divBdr>
    </w:div>
    <w:div w:id="1048800506">
      <w:bodyDiv w:val="1"/>
      <w:marLeft w:val="0"/>
      <w:marRight w:val="0"/>
      <w:marTop w:val="0"/>
      <w:marBottom w:val="0"/>
      <w:divBdr>
        <w:top w:val="none" w:sz="0" w:space="0" w:color="auto"/>
        <w:left w:val="none" w:sz="0" w:space="0" w:color="auto"/>
        <w:bottom w:val="none" w:sz="0" w:space="0" w:color="auto"/>
        <w:right w:val="none" w:sz="0" w:space="0" w:color="auto"/>
      </w:divBdr>
    </w:div>
    <w:div w:id="1049187599">
      <w:bodyDiv w:val="1"/>
      <w:marLeft w:val="0"/>
      <w:marRight w:val="0"/>
      <w:marTop w:val="0"/>
      <w:marBottom w:val="0"/>
      <w:divBdr>
        <w:top w:val="none" w:sz="0" w:space="0" w:color="auto"/>
        <w:left w:val="none" w:sz="0" w:space="0" w:color="auto"/>
        <w:bottom w:val="none" w:sz="0" w:space="0" w:color="auto"/>
        <w:right w:val="none" w:sz="0" w:space="0" w:color="auto"/>
      </w:divBdr>
    </w:div>
    <w:div w:id="1050036911">
      <w:bodyDiv w:val="1"/>
      <w:marLeft w:val="0"/>
      <w:marRight w:val="0"/>
      <w:marTop w:val="0"/>
      <w:marBottom w:val="0"/>
      <w:divBdr>
        <w:top w:val="none" w:sz="0" w:space="0" w:color="auto"/>
        <w:left w:val="none" w:sz="0" w:space="0" w:color="auto"/>
        <w:bottom w:val="none" w:sz="0" w:space="0" w:color="auto"/>
        <w:right w:val="none" w:sz="0" w:space="0" w:color="auto"/>
      </w:divBdr>
    </w:div>
    <w:div w:id="1050765387">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1002363">
      <w:bodyDiv w:val="1"/>
      <w:marLeft w:val="0"/>
      <w:marRight w:val="0"/>
      <w:marTop w:val="0"/>
      <w:marBottom w:val="0"/>
      <w:divBdr>
        <w:top w:val="none" w:sz="0" w:space="0" w:color="auto"/>
        <w:left w:val="none" w:sz="0" w:space="0" w:color="auto"/>
        <w:bottom w:val="none" w:sz="0" w:space="0" w:color="auto"/>
        <w:right w:val="none" w:sz="0" w:space="0" w:color="auto"/>
      </w:divBdr>
    </w:div>
    <w:div w:id="1051146947">
      <w:bodyDiv w:val="1"/>
      <w:marLeft w:val="0"/>
      <w:marRight w:val="0"/>
      <w:marTop w:val="0"/>
      <w:marBottom w:val="0"/>
      <w:divBdr>
        <w:top w:val="none" w:sz="0" w:space="0" w:color="auto"/>
        <w:left w:val="none" w:sz="0" w:space="0" w:color="auto"/>
        <w:bottom w:val="none" w:sz="0" w:space="0" w:color="auto"/>
        <w:right w:val="none" w:sz="0" w:space="0" w:color="auto"/>
      </w:divBdr>
    </w:div>
    <w:div w:id="105141969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4236397">
      <w:bodyDiv w:val="1"/>
      <w:marLeft w:val="0"/>
      <w:marRight w:val="0"/>
      <w:marTop w:val="0"/>
      <w:marBottom w:val="0"/>
      <w:divBdr>
        <w:top w:val="none" w:sz="0" w:space="0" w:color="auto"/>
        <w:left w:val="none" w:sz="0" w:space="0" w:color="auto"/>
        <w:bottom w:val="none" w:sz="0" w:space="0" w:color="auto"/>
        <w:right w:val="none" w:sz="0" w:space="0" w:color="auto"/>
      </w:divBdr>
    </w:div>
    <w:div w:id="1054503343">
      <w:bodyDiv w:val="1"/>
      <w:marLeft w:val="0"/>
      <w:marRight w:val="0"/>
      <w:marTop w:val="0"/>
      <w:marBottom w:val="0"/>
      <w:divBdr>
        <w:top w:val="none" w:sz="0" w:space="0" w:color="auto"/>
        <w:left w:val="none" w:sz="0" w:space="0" w:color="auto"/>
        <w:bottom w:val="none" w:sz="0" w:space="0" w:color="auto"/>
        <w:right w:val="none" w:sz="0" w:space="0" w:color="auto"/>
      </w:divBdr>
    </w:div>
    <w:div w:id="1054547608">
      <w:bodyDiv w:val="1"/>
      <w:marLeft w:val="0"/>
      <w:marRight w:val="0"/>
      <w:marTop w:val="0"/>
      <w:marBottom w:val="0"/>
      <w:divBdr>
        <w:top w:val="none" w:sz="0" w:space="0" w:color="auto"/>
        <w:left w:val="none" w:sz="0" w:space="0" w:color="auto"/>
        <w:bottom w:val="none" w:sz="0" w:space="0" w:color="auto"/>
        <w:right w:val="none" w:sz="0" w:space="0" w:color="auto"/>
      </w:divBdr>
    </w:div>
    <w:div w:id="1055156839">
      <w:bodyDiv w:val="1"/>
      <w:marLeft w:val="0"/>
      <w:marRight w:val="0"/>
      <w:marTop w:val="0"/>
      <w:marBottom w:val="0"/>
      <w:divBdr>
        <w:top w:val="none" w:sz="0" w:space="0" w:color="auto"/>
        <w:left w:val="none" w:sz="0" w:space="0" w:color="auto"/>
        <w:bottom w:val="none" w:sz="0" w:space="0" w:color="auto"/>
        <w:right w:val="none" w:sz="0" w:space="0" w:color="auto"/>
      </w:divBdr>
    </w:div>
    <w:div w:id="1055547204">
      <w:bodyDiv w:val="1"/>
      <w:marLeft w:val="0"/>
      <w:marRight w:val="0"/>
      <w:marTop w:val="0"/>
      <w:marBottom w:val="0"/>
      <w:divBdr>
        <w:top w:val="none" w:sz="0" w:space="0" w:color="auto"/>
        <w:left w:val="none" w:sz="0" w:space="0" w:color="auto"/>
        <w:bottom w:val="none" w:sz="0" w:space="0" w:color="auto"/>
        <w:right w:val="none" w:sz="0" w:space="0" w:color="auto"/>
      </w:divBdr>
    </w:div>
    <w:div w:id="1056078904">
      <w:bodyDiv w:val="1"/>
      <w:marLeft w:val="0"/>
      <w:marRight w:val="0"/>
      <w:marTop w:val="0"/>
      <w:marBottom w:val="0"/>
      <w:divBdr>
        <w:top w:val="none" w:sz="0" w:space="0" w:color="auto"/>
        <w:left w:val="none" w:sz="0" w:space="0" w:color="auto"/>
        <w:bottom w:val="none" w:sz="0" w:space="0" w:color="auto"/>
        <w:right w:val="none" w:sz="0" w:space="0" w:color="auto"/>
      </w:divBdr>
    </w:div>
    <w:div w:id="1056245530">
      <w:bodyDiv w:val="1"/>
      <w:marLeft w:val="0"/>
      <w:marRight w:val="0"/>
      <w:marTop w:val="0"/>
      <w:marBottom w:val="0"/>
      <w:divBdr>
        <w:top w:val="none" w:sz="0" w:space="0" w:color="auto"/>
        <w:left w:val="none" w:sz="0" w:space="0" w:color="auto"/>
        <w:bottom w:val="none" w:sz="0" w:space="0" w:color="auto"/>
        <w:right w:val="none" w:sz="0" w:space="0" w:color="auto"/>
      </w:divBdr>
    </w:div>
    <w:div w:id="1056860066">
      <w:bodyDiv w:val="1"/>
      <w:marLeft w:val="0"/>
      <w:marRight w:val="0"/>
      <w:marTop w:val="0"/>
      <w:marBottom w:val="0"/>
      <w:divBdr>
        <w:top w:val="none" w:sz="0" w:space="0" w:color="auto"/>
        <w:left w:val="none" w:sz="0" w:space="0" w:color="auto"/>
        <w:bottom w:val="none" w:sz="0" w:space="0" w:color="auto"/>
        <w:right w:val="none" w:sz="0" w:space="0" w:color="auto"/>
      </w:divBdr>
    </w:div>
    <w:div w:id="1057509362">
      <w:bodyDiv w:val="1"/>
      <w:marLeft w:val="0"/>
      <w:marRight w:val="0"/>
      <w:marTop w:val="0"/>
      <w:marBottom w:val="0"/>
      <w:divBdr>
        <w:top w:val="none" w:sz="0" w:space="0" w:color="auto"/>
        <w:left w:val="none" w:sz="0" w:space="0" w:color="auto"/>
        <w:bottom w:val="none" w:sz="0" w:space="0" w:color="auto"/>
        <w:right w:val="none" w:sz="0" w:space="0" w:color="auto"/>
      </w:divBdr>
    </w:div>
    <w:div w:id="1057901395">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0246886">
      <w:bodyDiv w:val="1"/>
      <w:marLeft w:val="0"/>
      <w:marRight w:val="0"/>
      <w:marTop w:val="0"/>
      <w:marBottom w:val="0"/>
      <w:divBdr>
        <w:top w:val="none" w:sz="0" w:space="0" w:color="auto"/>
        <w:left w:val="none" w:sz="0" w:space="0" w:color="auto"/>
        <w:bottom w:val="none" w:sz="0" w:space="0" w:color="auto"/>
        <w:right w:val="none" w:sz="0" w:space="0" w:color="auto"/>
      </w:divBdr>
    </w:div>
    <w:div w:id="1061635647">
      <w:bodyDiv w:val="1"/>
      <w:marLeft w:val="0"/>
      <w:marRight w:val="0"/>
      <w:marTop w:val="0"/>
      <w:marBottom w:val="0"/>
      <w:divBdr>
        <w:top w:val="none" w:sz="0" w:space="0" w:color="auto"/>
        <w:left w:val="none" w:sz="0" w:space="0" w:color="auto"/>
        <w:bottom w:val="none" w:sz="0" w:space="0" w:color="auto"/>
        <w:right w:val="none" w:sz="0" w:space="0" w:color="auto"/>
      </w:divBdr>
    </w:div>
    <w:div w:id="1061905957">
      <w:bodyDiv w:val="1"/>
      <w:marLeft w:val="0"/>
      <w:marRight w:val="0"/>
      <w:marTop w:val="0"/>
      <w:marBottom w:val="0"/>
      <w:divBdr>
        <w:top w:val="none" w:sz="0" w:space="0" w:color="auto"/>
        <w:left w:val="none" w:sz="0" w:space="0" w:color="auto"/>
        <w:bottom w:val="none" w:sz="0" w:space="0" w:color="auto"/>
        <w:right w:val="none" w:sz="0" w:space="0" w:color="auto"/>
      </w:divBdr>
    </w:div>
    <w:div w:id="1062018071">
      <w:bodyDiv w:val="1"/>
      <w:marLeft w:val="0"/>
      <w:marRight w:val="0"/>
      <w:marTop w:val="0"/>
      <w:marBottom w:val="0"/>
      <w:divBdr>
        <w:top w:val="none" w:sz="0" w:space="0" w:color="auto"/>
        <w:left w:val="none" w:sz="0" w:space="0" w:color="auto"/>
        <w:bottom w:val="none" w:sz="0" w:space="0" w:color="auto"/>
        <w:right w:val="none" w:sz="0" w:space="0" w:color="auto"/>
      </w:divBdr>
    </w:div>
    <w:div w:id="1063874232">
      <w:bodyDiv w:val="1"/>
      <w:marLeft w:val="0"/>
      <w:marRight w:val="0"/>
      <w:marTop w:val="0"/>
      <w:marBottom w:val="0"/>
      <w:divBdr>
        <w:top w:val="none" w:sz="0" w:space="0" w:color="auto"/>
        <w:left w:val="none" w:sz="0" w:space="0" w:color="auto"/>
        <w:bottom w:val="none" w:sz="0" w:space="0" w:color="auto"/>
        <w:right w:val="none" w:sz="0" w:space="0" w:color="auto"/>
      </w:divBdr>
    </w:div>
    <w:div w:id="1063917338">
      <w:bodyDiv w:val="1"/>
      <w:marLeft w:val="0"/>
      <w:marRight w:val="0"/>
      <w:marTop w:val="0"/>
      <w:marBottom w:val="0"/>
      <w:divBdr>
        <w:top w:val="none" w:sz="0" w:space="0" w:color="auto"/>
        <w:left w:val="none" w:sz="0" w:space="0" w:color="auto"/>
        <w:bottom w:val="none" w:sz="0" w:space="0" w:color="auto"/>
        <w:right w:val="none" w:sz="0" w:space="0" w:color="auto"/>
      </w:divBdr>
    </w:div>
    <w:div w:id="1064180254">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5837047">
      <w:bodyDiv w:val="1"/>
      <w:marLeft w:val="0"/>
      <w:marRight w:val="0"/>
      <w:marTop w:val="0"/>
      <w:marBottom w:val="0"/>
      <w:divBdr>
        <w:top w:val="none" w:sz="0" w:space="0" w:color="auto"/>
        <w:left w:val="none" w:sz="0" w:space="0" w:color="auto"/>
        <w:bottom w:val="none" w:sz="0" w:space="0" w:color="auto"/>
        <w:right w:val="none" w:sz="0" w:space="0" w:color="auto"/>
      </w:divBdr>
    </w:div>
    <w:div w:id="1066032596">
      <w:bodyDiv w:val="1"/>
      <w:marLeft w:val="0"/>
      <w:marRight w:val="0"/>
      <w:marTop w:val="0"/>
      <w:marBottom w:val="0"/>
      <w:divBdr>
        <w:top w:val="none" w:sz="0" w:space="0" w:color="auto"/>
        <w:left w:val="none" w:sz="0" w:space="0" w:color="auto"/>
        <w:bottom w:val="none" w:sz="0" w:space="0" w:color="auto"/>
        <w:right w:val="none" w:sz="0" w:space="0" w:color="auto"/>
      </w:divBdr>
    </w:div>
    <w:div w:id="1066148695">
      <w:bodyDiv w:val="1"/>
      <w:marLeft w:val="0"/>
      <w:marRight w:val="0"/>
      <w:marTop w:val="0"/>
      <w:marBottom w:val="0"/>
      <w:divBdr>
        <w:top w:val="none" w:sz="0" w:space="0" w:color="auto"/>
        <w:left w:val="none" w:sz="0" w:space="0" w:color="auto"/>
        <w:bottom w:val="none" w:sz="0" w:space="0" w:color="auto"/>
        <w:right w:val="none" w:sz="0" w:space="0" w:color="auto"/>
      </w:divBdr>
    </w:div>
    <w:div w:id="10664959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7529960">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69617865">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3285126">
      <w:bodyDiv w:val="1"/>
      <w:marLeft w:val="0"/>
      <w:marRight w:val="0"/>
      <w:marTop w:val="0"/>
      <w:marBottom w:val="0"/>
      <w:divBdr>
        <w:top w:val="none" w:sz="0" w:space="0" w:color="auto"/>
        <w:left w:val="none" w:sz="0" w:space="0" w:color="auto"/>
        <w:bottom w:val="none" w:sz="0" w:space="0" w:color="auto"/>
        <w:right w:val="none" w:sz="0" w:space="0" w:color="auto"/>
      </w:divBdr>
    </w:div>
    <w:div w:id="1074206562">
      <w:bodyDiv w:val="1"/>
      <w:marLeft w:val="0"/>
      <w:marRight w:val="0"/>
      <w:marTop w:val="0"/>
      <w:marBottom w:val="0"/>
      <w:divBdr>
        <w:top w:val="none" w:sz="0" w:space="0" w:color="auto"/>
        <w:left w:val="none" w:sz="0" w:space="0" w:color="auto"/>
        <w:bottom w:val="none" w:sz="0" w:space="0" w:color="auto"/>
        <w:right w:val="none" w:sz="0" w:space="0" w:color="auto"/>
      </w:divBdr>
    </w:div>
    <w:div w:id="1074619120">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5129562">
      <w:bodyDiv w:val="1"/>
      <w:marLeft w:val="0"/>
      <w:marRight w:val="0"/>
      <w:marTop w:val="0"/>
      <w:marBottom w:val="0"/>
      <w:divBdr>
        <w:top w:val="none" w:sz="0" w:space="0" w:color="auto"/>
        <w:left w:val="none" w:sz="0" w:space="0" w:color="auto"/>
        <w:bottom w:val="none" w:sz="0" w:space="0" w:color="auto"/>
        <w:right w:val="none" w:sz="0" w:space="0" w:color="auto"/>
      </w:divBdr>
    </w:div>
    <w:div w:id="107656074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096615">
      <w:bodyDiv w:val="1"/>
      <w:marLeft w:val="0"/>
      <w:marRight w:val="0"/>
      <w:marTop w:val="0"/>
      <w:marBottom w:val="0"/>
      <w:divBdr>
        <w:top w:val="none" w:sz="0" w:space="0" w:color="auto"/>
        <w:left w:val="none" w:sz="0" w:space="0" w:color="auto"/>
        <w:bottom w:val="none" w:sz="0" w:space="0" w:color="auto"/>
        <w:right w:val="none" w:sz="0" w:space="0" w:color="auto"/>
      </w:divBdr>
    </w:div>
    <w:div w:id="1077752947">
      <w:bodyDiv w:val="1"/>
      <w:marLeft w:val="0"/>
      <w:marRight w:val="0"/>
      <w:marTop w:val="0"/>
      <w:marBottom w:val="0"/>
      <w:divBdr>
        <w:top w:val="none" w:sz="0" w:space="0" w:color="auto"/>
        <w:left w:val="none" w:sz="0" w:space="0" w:color="auto"/>
        <w:bottom w:val="none" w:sz="0" w:space="0" w:color="auto"/>
        <w:right w:val="none" w:sz="0" w:space="0" w:color="auto"/>
      </w:divBdr>
    </w:div>
    <w:div w:id="1077822395">
      <w:bodyDiv w:val="1"/>
      <w:marLeft w:val="0"/>
      <w:marRight w:val="0"/>
      <w:marTop w:val="0"/>
      <w:marBottom w:val="0"/>
      <w:divBdr>
        <w:top w:val="none" w:sz="0" w:space="0" w:color="auto"/>
        <w:left w:val="none" w:sz="0" w:space="0" w:color="auto"/>
        <w:bottom w:val="none" w:sz="0" w:space="0" w:color="auto"/>
        <w:right w:val="none" w:sz="0" w:space="0" w:color="auto"/>
      </w:divBdr>
    </w:div>
    <w:div w:id="107821339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08484">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023078">
      <w:bodyDiv w:val="1"/>
      <w:marLeft w:val="0"/>
      <w:marRight w:val="0"/>
      <w:marTop w:val="0"/>
      <w:marBottom w:val="0"/>
      <w:divBdr>
        <w:top w:val="none" w:sz="0" w:space="0" w:color="auto"/>
        <w:left w:val="none" w:sz="0" w:space="0" w:color="auto"/>
        <w:bottom w:val="none" w:sz="0" w:space="0" w:color="auto"/>
        <w:right w:val="none" w:sz="0" w:space="0" w:color="auto"/>
      </w:divBdr>
    </w:div>
    <w:div w:id="1081372018">
      <w:bodyDiv w:val="1"/>
      <w:marLeft w:val="0"/>
      <w:marRight w:val="0"/>
      <w:marTop w:val="0"/>
      <w:marBottom w:val="0"/>
      <w:divBdr>
        <w:top w:val="none" w:sz="0" w:space="0" w:color="auto"/>
        <w:left w:val="none" w:sz="0" w:space="0" w:color="auto"/>
        <w:bottom w:val="none" w:sz="0" w:space="0" w:color="auto"/>
        <w:right w:val="none" w:sz="0" w:space="0" w:color="auto"/>
      </w:divBdr>
    </w:div>
    <w:div w:id="1081372407">
      <w:bodyDiv w:val="1"/>
      <w:marLeft w:val="0"/>
      <w:marRight w:val="0"/>
      <w:marTop w:val="0"/>
      <w:marBottom w:val="0"/>
      <w:divBdr>
        <w:top w:val="none" w:sz="0" w:space="0" w:color="auto"/>
        <w:left w:val="none" w:sz="0" w:space="0" w:color="auto"/>
        <w:bottom w:val="none" w:sz="0" w:space="0" w:color="auto"/>
        <w:right w:val="none" w:sz="0" w:space="0" w:color="auto"/>
      </w:divBdr>
    </w:div>
    <w:div w:id="1081490906">
      <w:bodyDiv w:val="1"/>
      <w:marLeft w:val="0"/>
      <w:marRight w:val="0"/>
      <w:marTop w:val="0"/>
      <w:marBottom w:val="0"/>
      <w:divBdr>
        <w:top w:val="none" w:sz="0" w:space="0" w:color="auto"/>
        <w:left w:val="none" w:sz="0" w:space="0" w:color="auto"/>
        <w:bottom w:val="none" w:sz="0" w:space="0" w:color="auto"/>
        <w:right w:val="none" w:sz="0" w:space="0" w:color="auto"/>
      </w:divBdr>
    </w:div>
    <w:div w:id="1081566257">
      <w:bodyDiv w:val="1"/>
      <w:marLeft w:val="0"/>
      <w:marRight w:val="0"/>
      <w:marTop w:val="0"/>
      <w:marBottom w:val="0"/>
      <w:divBdr>
        <w:top w:val="none" w:sz="0" w:space="0" w:color="auto"/>
        <w:left w:val="none" w:sz="0" w:space="0" w:color="auto"/>
        <w:bottom w:val="none" w:sz="0" w:space="0" w:color="auto"/>
        <w:right w:val="none" w:sz="0" w:space="0" w:color="auto"/>
      </w:divBdr>
    </w:div>
    <w:div w:id="1081830144">
      <w:bodyDiv w:val="1"/>
      <w:marLeft w:val="0"/>
      <w:marRight w:val="0"/>
      <w:marTop w:val="0"/>
      <w:marBottom w:val="0"/>
      <w:divBdr>
        <w:top w:val="none" w:sz="0" w:space="0" w:color="auto"/>
        <w:left w:val="none" w:sz="0" w:space="0" w:color="auto"/>
        <w:bottom w:val="none" w:sz="0" w:space="0" w:color="auto"/>
        <w:right w:val="none" w:sz="0" w:space="0" w:color="auto"/>
      </w:divBdr>
    </w:div>
    <w:div w:id="1082143743">
      <w:bodyDiv w:val="1"/>
      <w:marLeft w:val="0"/>
      <w:marRight w:val="0"/>
      <w:marTop w:val="0"/>
      <w:marBottom w:val="0"/>
      <w:divBdr>
        <w:top w:val="none" w:sz="0" w:space="0" w:color="auto"/>
        <w:left w:val="none" w:sz="0" w:space="0" w:color="auto"/>
        <w:bottom w:val="none" w:sz="0" w:space="0" w:color="auto"/>
        <w:right w:val="none" w:sz="0" w:space="0" w:color="auto"/>
      </w:divBdr>
    </w:div>
    <w:div w:id="1082529229">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573431">
      <w:bodyDiv w:val="1"/>
      <w:marLeft w:val="0"/>
      <w:marRight w:val="0"/>
      <w:marTop w:val="0"/>
      <w:marBottom w:val="0"/>
      <w:divBdr>
        <w:top w:val="none" w:sz="0" w:space="0" w:color="auto"/>
        <w:left w:val="none" w:sz="0" w:space="0" w:color="auto"/>
        <w:bottom w:val="none" w:sz="0" w:space="0" w:color="auto"/>
        <w:right w:val="none" w:sz="0" w:space="0" w:color="auto"/>
      </w:divBdr>
    </w:div>
    <w:div w:id="1084063545">
      <w:bodyDiv w:val="1"/>
      <w:marLeft w:val="0"/>
      <w:marRight w:val="0"/>
      <w:marTop w:val="0"/>
      <w:marBottom w:val="0"/>
      <w:divBdr>
        <w:top w:val="none" w:sz="0" w:space="0" w:color="auto"/>
        <w:left w:val="none" w:sz="0" w:space="0" w:color="auto"/>
        <w:bottom w:val="none" w:sz="0" w:space="0" w:color="auto"/>
        <w:right w:val="none" w:sz="0" w:space="0" w:color="auto"/>
      </w:divBdr>
    </w:div>
    <w:div w:id="1084961813">
      <w:bodyDiv w:val="1"/>
      <w:marLeft w:val="0"/>
      <w:marRight w:val="0"/>
      <w:marTop w:val="0"/>
      <w:marBottom w:val="0"/>
      <w:divBdr>
        <w:top w:val="none" w:sz="0" w:space="0" w:color="auto"/>
        <w:left w:val="none" w:sz="0" w:space="0" w:color="auto"/>
        <w:bottom w:val="none" w:sz="0" w:space="0" w:color="auto"/>
        <w:right w:val="none" w:sz="0" w:space="0" w:color="auto"/>
      </w:divBdr>
    </w:div>
    <w:div w:id="1085417900">
      <w:bodyDiv w:val="1"/>
      <w:marLeft w:val="0"/>
      <w:marRight w:val="0"/>
      <w:marTop w:val="0"/>
      <w:marBottom w:val="0"/>
      <w:divBdr>
        <w:top w:val="none" w:sz="0" w:space="0" w:color="auto"/>
        <w:left w:val="none" w:sz="0" w:space="0" w:color="auto"/>
        <w:bottom w:val="none" w:sz="0" w:space="0" w:color="auto"/>
        <w:right w:val="none" w:sz="0" w:space="0" w:color="auto"/>
      </w:divBdr>
    </w:div>
    <w:div w:id="1086027366">
      <w:bodyDiv w:val="1"/>
      <w:marLeft w:val="0"/>
      <w:marRight w:val="0"/>
      <w:marTop w:val="0"/>
      <w:marBottom w:val="0"/>
      <w:divBdr>
        <w:top w:val="none" w:sz="0" w:space="0" w:color="auto"/>
        <w:left w:val="none" w:sz="0" w:space="0" w:color="auto"/>
        <w:bottom w:val="none" w:sz="0" w:space="0" w:color="auto"/>
        <w:right w:val="none" w:sz="0" w:space="0" w:color="auto"/>
      </w:divBdr>
    </w:div>
    <w:div w:id="1086342416">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7724898">
      <w:bodyDiv w:val="1"/>
      <w:marLeft w:val="0"/>
      <w:marRight w:val="0"/>
      <w:marTop w:val="0"/>
      <w:marBottom w:val="0"/>
      <w:divBdr>
        <w:top w:val="none" w:sz="0" w:space="0" w:color="auto"/>
        <w:left w:val="none" w:sz="0" w:space="0" w:color="auto"/>
        <w:bottom w:val="none" w:sz="0" w:space="0" w:color="auto"/>
        <w:right w:val="none" w:sz="0" w:space="0" w:color="auto"/>
      </w:divBdr>
    </w:div>
    <w:div w:id="1088233366">
      <w:bodyDiv w:val="1"/>
      <w:marLeft w:val="0"/>
      <w:marRight w:val="0"/>
      <w:marTop w:val="0"/>
      <w:marBottom w:val="0"/>
      <w:divBdr>
        <w:top w:val="none" w:sz="0" w:space="0" w:color="auto"/>
        <w:left w:val="none" w:sz="0" w:space="0" w:color="auto"/>
        <w:bottom w:val="none" w:sz="0" w:space="0" w:color="auto"/>
        <w:right w:val="none" w:sz="0" w:space="0" w:color="auto"/>
      </w:divBdr>
    </w:div>
    <w:div w:id="1088380285">
      <w:bodyDiv w:val="1"/>
      <w:marLeft w:val="0"/>
      <w:marRight w:val="0"/>
      <w:marTop w:val="0"/>
      <w:marBottom w:val="0"/>
      <w:divBdr>
        <w:top w:val="none" w:sz="0" w:space="0" w:color="auto"/>
        <w:left w:val="none" w:sz="0" w:space="0" w:color="auto"/>
        <w:bottom w:val="none" w:sz="0" w:space="0" w:color="auto"/>
        <w:right w:val="none" w:sz="0" w:space="0" w:color="auto"/>
      </w:divBdr>
    </w:div>
    <w:div w:id="1088847849">
      <w:bodyDiv w:val="1"/>
      <w:marLeft w:val="0"/>
      <w:marRight w:val="0"/>
      <w:marTop w:val="0"/>
      <w:marBottom w:val="0"/>
      <w:divBdr>
        <w:top w:val="none" w:sz="0" w:space="0" w:color="auto"/>
        <w:left w:val="none" w:sz="0" w:space="0" w:color="auto"/>
        <w:bottom w:val="none" w:sz="0" w:space="0" w:color="auto"/>
        <w:right w:val="none" w:sz="0" w:space="0" w:color="auto"/>
      </w:divBdr>
    </w:div>
    <w:div w:id="1089157643">
      <w:bodyDiv w:val="1"/>
      <w:marLeft w:val="0"/>
      <w:marRight w:val="0"/>
      <w:marTop w:val="0"/>
      <w:marBottom w:val="0"/>
      <w:divBdr>
        <w:top w:val="none" w:sz="0" w:space="0" w:color="auto"/>
        <w:left w:val="none" w:sz="0" w:space="0" w:color="auto"/>
        <w:bottom w:val="none" w:sz="0" w:space="0" w:color="auto"/>
        <w:right w:val="none" w:sz="0" w:space="0" w:color="auto"/>
      </w:divBdr>
    </w:div>
    <w:div w:id="1089547251">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0001948">
      <w:bodyDiv w:val="1"/>
      <w:marLeft w:val="0"/>
      <w:marRight w:val="0"/>
      <w:marTop w:val="0"/>
      <w:marBottom w:val="0"/>
      <w:divBdr>
        <w:top w:val="none" w:sz="0" w:space="0" w:color="auto"/>
        <w:left w:val="none" w:sz="0" w:space="0" w:color="auto"/>
        <w:bottom w:val="none" w:sz="0" w:space="0" w:color="auto"/>
        <w:right w:val="none" w:sz="0" w:space="0" w:color="auto"/>
      </w:divBdr>
    </w:div>
    <w:div w:id="1090539542">
      <w:bodyDiv w:val="1"/>
      <w:marLeft w:val="0"/>
      <w:marRight w:val="0"/>
      <w:marTop w:val="0"/>
      <w:marBottom w:val="0"/>
      <w:divBdr>
        <w:top w:val="none" w:sz="0" w:space="0" w:color="auto"/>
        <w:left w:val="none" w:sz="0" w:space="0" w:color="auto"/>
        <w:bottom w:val="none" w:sz="0" w:space="0" w:color="auto"/>
        <w:right w:val="none" w:sz="0" w:space="0" w:color="auto"/>
      </w:divBdr>
    </w:div>
    <w:div w:id="1090737687">
      <w:bodyDiv w:val="1"/>
      <w:marLeft w:val="0"/>
      <w:marRight w:val="0"/>
      <w:marTop w:val="0"/>
      <w:marBottom w:val="0"/>
      <w:divBdr>
        <w:top w:val="none" w:sz="0" w:space="0" w:color="auto"/>
        <w:left w:val="none" w:sz="0" w:space="0" w:color="auto"/>
        <w:bottom w:val="none" w:sz="0" w:space="0" w:color="auto"/>
        <w:right w:val="none" w:sz="0" w:space="0" w:color="auto"/>
      </w:divBdr>
    </w:div>
    <w:div w:id="1091046205">
      <w:bodyDiv w:val="1"/>
      <w:marLeft w:val="0"/>
      <w:marRight w:val="0"/>
      <w:marTop w:val="0"/>
      <w:marBottom w:val="0"/>
      <w:divBdr>
        <w:top w:val="none" w:sz="0" w:space="0" w:color="auto"/>
        <w:left w:val="none" w:sz="0" w:space="0" w:color="auto"/>
        <w:bottom w:val="none" w:sz="0" w:space="0" w:color="auto"/>
        <w:right w:val="none" w:sz="0" w:space="0" w:color="auto"/>
      </w:divBdr>
    </w:div>
    <w:div w:id="1092583337">
      <w:bodyDiv w:val="1"/>
      <w:marLeft w:val="0"/>
      <w:marRight w:val="0"/>
      <w:marTop w:val="0"/>
      <w:marBottom w:val="0"/>
      <w:divBdr>
        <w:top w:val="none" w:sz="0" w:space="0" w:color="auto"/>
        <w:left w:val="none" w:sz="0" w:space="0" w:color="auto"/>
        <w:bottom w:val="none" w:sz="0" w:space="0" w:color="auto"/>
        <w:right w:val="none" w:sz="0" w:space="0" w:color="auto"/>
      </w:divBdr>
    </w:div>
    <w:div w:id="1093090893">
      <w:bodyDiv w:val="1"/>
      <w:marLeft w:val="0"/>
      <w:marRight w:val="0"/>
      <w:marTop w:val="0"/>
      <w:marBottom w:val="0"/>
      <w:divBdr>
        <w:top w:val="none" w:sz="0" w:space="0" w:color="auto"/>
        <w:left w:val="none" w:sz="0" w:space="0" w:color="auto"/>
        <w:bottom w:val="none" w:sz="0" w:space="0" w:color="auto"/>
        <w:right w:val="none" w:sz="0" w:space="0" w:color="auto"/>
      </w:divBdr>
    </w:div>
    <w:div w:id="1093286180">
      <w:bodyDiv w:val="1"/>
      <w:marLeft w:val="0"/>
      <w:marRight w:val="0"/>
      <w:marTop w:val="0"/>
      <w:marBottom w:val="0"/>
      <w:divBdr>
        <w:top w:val="none" w:sz="0" w:space="0" w:color="auto"/>
        <w:left w:val="none" w:sz="0" w:space="0" w:color="auto"/>
        <w:bottom w:val="none" w:sz="0" w:space="0" w:color="auto"/>
        <w:right w:val="none" w:sz="0" w:space="0" w:color="auto"/>
      </w:divBdr>
    </w:div>
    <w:div w:id="1093625797">
      <w:bodyDiv w:val="1"/>
      <w:marLeft w:val="0"/>
      <w:marRight w:val="0"/>
      <w:marTop w:val="0"/>
      <w:marBottom w:val="0"/>
      <w:divBdr>
        <w:top w:val="none" w:sz="0" w:space="0" w:color="auto"/>
        <w:left w:val="none" w:sz="0" w:space="0" w:color="auto"/>
        <w:bottom w:val="none" w:sz="0" w:space="0" w:color="auto"/>
        <w:right w:val="none" w:sz="0" w:space="0" w:color="auto"/>
      </w:divBdr>
    </w:div>
    <w:div w:id="1093743083">
      <w:bodyDiv w:val="1"/>
      <w:marLeft w:val="0"/>
      <w:marRight w:val="0"/>
      <w:marTop w:val="0"/>
      <w:marBottom w:val="0"/>
      <w:divBdr>
        <w:top w:val="none" w:sz="0" w:space="0" w:color="auto"/>
        <w:left w:val="none" w:sz="0" w:space="0" w:color="auto"/>
        <w:bottom w:val="none" w:sz="0" w:space="0" w:color="auto"/>
        <w:right w:val="none" w:sz="0" w:space="0" w:color="auto"/>
      </w:divBdr>
    </w:div>
    <w:div w:id="1095201498">
      <w:bodyDiv w:val="1"/>
      <w:marLeft w:val="0"/>
      <w:marRight w:val="0"/>
      <w:marTop w:val="0"/>
      <w:marBottom w:val="0"/>
      <w:divBdr>
        <w:top w:val="none" w:sz="0" w:space="0" w:color="auto"/>
        <w:left w:val="none" w:sz="0" w:space="0" w:color="auto"/>
        <w:bottom w:val="none" w:sz="0" w:space="0" w:color="auto"/>
        <w:right w:val="none" w:sz="0" w:space="0" w:color="auto"/>
      </w:divBdr>
    </w:div>
    <w:div w:id="1097285230">
      <w:bodyDiv w:val="1"/>
      <w:marLeft w:val="0"/>
      <w:marRight w:val="0"/>
      <w:marTop w:val="0"/>
      <w:marBottom w:val="0"/>
      <w:divBdr>
        <w:top w:val="none" w:sz="0" w:space="0" w:color="auto"/>
        <w:left w:val="none" w:sz="0" w:space="0" w:color="auto"/>
        <w:bottom w:val="none" w:sz="0" w:space="0" w:color="auto"/>
        <w:right w:val="none" w:sz="0" w:space="0" w:color="auto"/>
      </w:divBdr>
    </w:div>
    <w:div w:id="1097598542">
      <w:bodyDiv w:val="1"/>
      <w:marLeft w:val="0"/>
      <w:marRight w:val="0"/>
      <w:marTop w:val="0"/>
      <w:marBottom w:val="0"/>
      <w:divBdr>
        <w:top w:val="none" w:sz="0" w:space="0" w:color="auto"/>
        <w:left w:val="none" w:sz="0" w:space="0" w:color="auto"/>
        <w:bottom w:val="none" w:sz="0" w:space="0" w:color="auto"/>
        <w:right w:val="none" w:sz="0" w:space="0" w:color="auto"/>
      </w:divBdr>
    </w:div>
    <w:div w:id="1099330738">
      <w:bodyDiv w:val="1"/>
      <w:marLeft w:val="0"/>
      <w:marRight w:val="0"/>
      <w:marTop w:val="0"/>
      <w:marBottom w:val="0"/>
      <w:divBdr>
        <w:top w:val="none" w:sz="0" w:space="0" w:color="auto"/>
        <w:left w:val="none" w:sz="0" w:space="0" w:color="auto"/>
        <w:bottom w:val="none" w:sz="0" w:space="0" w:color="auto"/>
        <w:right w:val="none" w:sz="0" w:space="0" w:color="auto"/>
      </w:divBdr>
    </w:div>
    <w:div w:id="1100030190">
      <w:bodyDiv w:val="1"/>
      <w:marLeft w:val="0"/>
      <w:marRight w:val="0"/>
      <w:marTop w:val="0"/>
      <w:marBottom w:val="0"/>
      <w:divBdr>
        <w:top w:val="none" w:sz="0" w:space="0" w:color="auto"/>
        <w:left w:val="none" w:sz="0" w:space="0" w:color="auto"/>
        <w:bottom w:val="none" w:sz="0" w:space="0" w:color="auto"/>
        <w:right w:val="none" w:sz="0" w:space="0" w:color="auto"/>
      </w:divBdr>
    </w:div>
    <w:div w:id="1100564922">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147512">
      <w:bodyDiv w:val="1"/>
      <w:marLeft w:val="0"/>
      <w:marRight w:val="0"/>
      <w:marTop w:val="0"/>
      <w:marBottom w:val="0"/>
      <w:divBdr>
        <w:top w:val="none" w:sz="0" w:space="0" w:color="auto"/>
        <w:left w:val="none" w:sz="0" w:space="0" w:color="auto"/>
        <w:bottom w:val="none" w:sz="0" w:space="0" w:color="auto"/>
        <w:right w:val="none" w:sz="0" w:space="0" w:color="auto"/>
      </w:divBdr>
    </w:div>
    <w:div w:id="1102262209">
      <w:bodyDiv w:val="1"/>
      <w:marLeft w:val="0"/>
      <w:marRight w:val="0"/>
      <w:marTop w:val="0"/>
      <w:marBottom w:val="0"/>
      <w:divBdr>
        <w:top w:val="none" w:sz="0" w:space="0" w:color="auto"/>
        <w:left w:val="none" w:sz="0" w:space="0" w:color="auto"/>
        <w:bottom w:val="none" w:sz="0" w:space="0" w:color="auto"/>
        <w:right w:val="none" w:sz="0" w:space="0" w:color="auto"/>
      </w:divBdr>
    </w:div>
    <w:div w:id="1102263264">
      <w:bodyDiv w:val="1"/>
      <w:marLeft w:val="0"/>
      <w:marRight w:val="0"/>
      <w:marTop w:val="0"/>
      <w:marBottom w:val="0"/>
      <w:divBdr>
        <w:top w:val="none" w:sz="0" w:space="0" w:color="auto"/>
        <w:left w:val="none" w:sz="0" w:space="0" w:color="auto"/>
        <w:bottom w:val="none" w:sz="0" w:space="0" w:color="auto"/>
        <w:right w:val="none" w:sz="0" w:space="0" w:color="auto"/>
      </w:divBdr>
    </w:div>
    <w:div w:id="1102453900">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349482">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5613150">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7233794">
      <w:bodyDiv w:val="1"/>
      <w:marLeft w:val="0"/>
      <w:marRight w:val="0"/>
      <w:marTop w:val="0"/>
      <w:marBottom w:val="0"/>
      <w:divBdr>
        <w:top w:val="none" w:sz="0" w:space="0" w:color="auto"/>
        <w:left w:val="none" w:sz="0" w:space="0" w:color="auto"/>
        <w:bottom w:val="none" w:sz="0" w:space="0" w:color="auto"/>
        <w:right w:val="none" w:sz="0" w:space="0" w:color="auto"/>
      </w:divBdr>
    </w:div>
    <w:div w:id="1107459784">
      <w:bodyDiv w:val="1"/>
      <w:marLeft w:val="0"/>
      <w:marRight w:val="0"/>
      <w:marTop w:val="0"/>
      <w:marBottom w:val="0"/>
      <w:divBdr>
        <w:top w:val="none" w:sz="0" w:space="0" w:color="auto"/>
        <w:left w:val="none" w:sz="0" w:space="0" w:color="auto"/>
        <w:bottom w:val="none" w:sz="0" w:space="0" w:color="auto"/>
        <w:right w:val="none" w:sz="0" w:space="0" w:color="auto"/>
      </w:divBdr>
    </w:div>
    <w:div w:id="1108088904">
      <w:bodyDiv w:val="1"/>
      <w:marLeft w:val="0"/>
      <w:marRight w:val="0"/>
      <w:marTop w:val="0"/>
      <w:marBottom w:val="0"/>
      <w:divBdr>
        <w:top w:val="none" w:sz="0" w:space="0" w:color="auto"/>
        <w:left w:val="none" w:sz="0" w:space="0" w:color="auto"/>
        <w:bottom w:val="none" w:sz="0" w:space="0" w:color="auto"/>
        <w:right w:val="none" w:sz="0" w:space="0" w:color="auto"/>
      </w:divBdr>
    </w:div>
    <w:div w:id="1108348987">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620602">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424630">
      <w:bodyDiv w:val="1"/>
      <w:marLeft w:val="0"/>
      <w:marRight w:val="0"/>
      <w:marTop w:val="0"/>
      <w:marBottom w:val="0"/>
      <w:divBdr>
        <w:top w:val="none" w:sz="0" w:space="0" w:color="auto"/>
        <w:left w:val="none" w:sz="0" w:space="0" w:color="auto"/>
        <w:bottom w:val="none" w:sz="0" w:space="0" w:color="auto"/>
        <w:right w:val="none" w:sz="0" w:space="0" w:color="auto"/>
      </w:divBdr>
    </w:div>
    <w:div w:id="1110736283">
      <w:bodyDiv w:val="1"/>
      <w:marLeft w:val="0"/>
      <w:marRight w:val="0"/>
      <w:marTop w:val="0"/>
      <w:marBottom w:val="0"/>
      <w:divBdr>
        <w:top w:val="none" w:sz="0" w:space="0" w:color="auto"/>
        <w:left w:val="none" w:sz="0" w:space="0" w:color="auto"/>
        <w:bottom w:val="none" w:sz="0" w:space="0" w:color="auto"/>
        <w:right w:val="none" w:sz="0" w:space="0" w:color="auto"/>
      </w:divBdr>
    </w:div>
    <w:div w:id="1111240099">
      <w:bodyDiv w:val="1"/>
      <w:marLeft w:val="0"/>
      <w:marRight w:val="0"/>
      <w:marTop w:val="0"/>
      <w:marBottom w:val="0"/>
      <w:divBdr>
        <w:top w:val="none" w:sz="0" w:space="0" w:color="auto"/>
        <w:left w:val="none" w:sz="0" w:space="0" w:color="auto"/>
        <w:bottom w:val="none" w:sz="0" w:space="0" w:color="auto"/>
        <w:right w:val="none" w:sz="0" w:space="0" w:color="auto"/>
      </w:divBdr>
    </w:div>
    <w:div w:id="1112701952">
      <w:bodyDiv w:val="1"/>
      <w:marLeft w:val="0"/>
      <w:marRight w:val="0"/>
      <w:marTop w:val="0"/>
      <w:marBottom w:val="0"/>
      <w:divBdr>
        <w:top w:val="none" w:sz="0" w:space="0" w:color="auto"/>
        <w:left w:val="none" w:sz="0" w:space="0" w:color="auto"/>
        <w:bottom w:val="none" w:sz="0" w:space="0" w:color="auto"/>
        <w:right w:val="none" w:sz="0" w:space="0" w:color="auto"/>
      </w:divBdr>
    </w:div>
    <w:div w:id="1114011847">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249473">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5906246">
      <w:bodyDiv w:val="1"/>
      <w:marLeft w:val="0"/>
      <w:marRight w:val="0"/>
      <w:marTop w:val="0"/>
      <w:marBottom w:val="0"/>
      <w:divBdr>
        <w:top w:val="none" w:sz="0" w:space="0" w:color="auto"/>
        <w:left w:val="none" w:sz="0" w:space="0" w:color="auto"/>
        <w:bottom w:val="none" w:sz="0" w:space="0" w:color="auto"/>
        <w:right w:val="none" w:sz="0" w:space="0" w:color="auto"/>
      </w:divBdr>
    </w:div>
    <w:div w:id="1115909262">
      <w:bodyDiv w:val="1"/>
      <w:marLeft w:val="0"/>
      <w:marRight w:val="0"/>
      <w:marTop w:val="0"/>
      <w:marBottom w:val="0"/>
      <w:divBdr>
        <w:top w:val="none" w:sz="0" w:space="0" w:color="auto"/>
        <w:left w:val="none" w:sz="0" w:space="0" w:color="auto"/>
        <w:bottom w:val="none" w:sz="0" w:space="0" w:color="auto"/>
        <w:right w:val="none" w:sz="0" w:space="0" w:color="auto"/>
      </w:divBdr>
    </w:div>
    <w:div w:id="1116096546">
      <w:bodyDiv w:val="1"/>
      <w:marLeft w:val="0"/>
      <w:marRight w:val="0"/>
      <w:marTop w:val="0"/>
      <w:marBottom w:val="0"/>
      <w:divBdr>
        <w:top w:val="none" w:sz="0" w:space="0" w:color="auto"/>
        <w:left w:val="none" w:sz="0" w:space="0" w:color="auto"/>
        <w:bottom w:val="none" w:sz="0" w:space="0" w:color="auto"/>
        <w:right w:val="none" w:sz="0" w:space="0" w:color="auto"/>
      </w:divBdr>
    </w:div>
    <w:div w:id="1116942661">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8640092">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2308438">
      <w:bodyDiv w:val="1"/>
      <w:marLeft w:val="0"/>
      <w:marRight w:val="0"/>
      <w:marTop w:val="0"/>
      <w:marBottom w:val="0"/>
      <w:divBdr>
        <w:top w:val="none" w:sz="0" w:space="0" w:color="auto"/>
        <w:left w:val="none" w:sz="0" w:space="0" w:color="auto"/>
        <w:bottom w:val="none" w:sz="0" w:space="0" w:color="auto"/>
        <w:right w:val="none" w:sz="0" w:space="0" w:color="auto"/>
      </w:divBdr>
    </w:div>
    <w:div w:id="1123304637">
      <w:bodyDiv w:val="1"/>
      <w:marLeft w:val="0"/>
      <w:marRight w:val="0"/>
      <w:marTop w:val="0"/>
      <w:marBottom w:val="0"/>
      <w:divBdr>
        <w:top w:val="none" w:sz="0" w:space="0" w:color="auto"/>
        <w:left w:val="none" w:sz="0" w:space="0" w:color="auto"/>
        <w:bottom w:val="none" w:sz="0" w:space="0" w:color="auto"/>
        <w:right w:val="none" w:sz="0" w:space="0" w:color="auto"/>
      </w:divBdr>
    </w:div>
    <w:div w:id="1123770227">
      <w:bodyDiv w:val="1"/>
      <w:marLeft w:val="0"/>
      <w:marRight w:val="0"/>
      <w:marTop w:val="0"/>
      <w:marBottom w:val="0"/>
      <w:divBdr>
        <w:top w:val="none" w:sz="0" w:space="0" w:color="auto"/>
        <w:left w:val="none" w:sz="0" w:space="0" w:color="auto"/>
        <w:bottom w:val="none" w:sz="0" w:space="0" w:color="auto"/>
        <w:right w:val="none" w:sz="0" w:space="0" w:color="auto"/>
      </w:divBdr>
    </w:div>
    <w:div w:id="1125343089">
      <w:bodyDiv w:val="1"/>
      <w:marLeft w:val="0"/>
      <w:marRight w:val="0"/>
      <w:marTop w:val="0"/>
      <w:marBottom w:val="0"/>
      <w:divBdr>
        <w:top w:val="none" w:sz="0" w:space="0" w:color="auto"/>
        <w:left w:val="none" w:sz="0" w:space="0" w:color="auto"/>
        <w:bottom w:val="none" w:sz="0" w:space="0" w:color="auto"/>
        <w:right w:val="none" w:sz="0" w:space="0" w:color="auto"/>
      </w:divBdr>
    </w:div>
    <w:div w:id="1125388669">
      <w:bodyDiv w:val="1"/>
      <w:marLeft w:val="0"/>
      <w:marRight w:val="0"/>
      <w:marTop w:val="0"/>
      <w:marBottom w:val="0"/>
      <w:divBdr>
        <w:top w:val="none" w:sz="0" w:space="0" w:color="auto"/>
        <w:left w:val="none" w:sz="0" w:space="0" w:color="auto"/>
        <w:bottom w:val="none" w:sz="0" w:space="0" w:color="auto"/>
        <w:right w:val="none" w:sz="0" w:space="0" w:color="auto"/>
      </w:divBdr>
    </w:div>
    <w:div w:id="112573513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314164">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8553553">
      <w:bodyDiv w:val="1"/>
      <w:marLeft w:val="0"/>
      <w:marRight w:val="0"/>
      <w:marTop w:val="0"/>
      <w:marBottom w:val="0"/>
      <w:divBdr>
        <w:top w:val="none" w:sz="0" w:space="0" w:color="auto"/>
        <w:left w:val="none" w:sz="0" w:space="0" w:color="auto"/>
        <w:bottom w:val="none" w:sz="0" w:space="0" w:color="auto"/>
        <w:right w:val="none" w:sz="0" w:space="0" w:color="auto"/>
      </w:divBdr>
    </w:div>
    <w:div w:id="1128820230">
      <w:bodyDiv w:val="1"/>
      <w:marLeft w:val="0"/>
      <w:marRight w:val="0"/>
      <w:marTop w:val="0"/>
      <w:marBottom w:val="0"/>
      <w:divBdr>
        <w:top w:val="none" w:sz="0" w:space="0" w:color="auto"/>
        <w:left w:val="none" w:sz="0" w:space="0" w:color="auto"/>
        <w:bottom w:val="none" w:sz="0" w:space="0" w:color="auto"/>
        <w:right w:val="none" w:sz="0" w:space="0" w:color="auto"/>
      </w:divBdr>
    </w:div>
    <w:div w:id="1129323381">
      <w:bodyDiv w:val="1"/>
      <w:marLeft w:val="0"/>
      <w:marRight w:val="0"/>
      <w:marTop w:val="0"/>
      <w:marBottom w:val="0"/>
      <w:divBdr>
        <w:top w:val="none" w:sz="0" w:space="0" w:color="auto"/>
        <w:left w:val="none" w:sz="0" w:space="0" w:color="auto"/>
        <w:bottom w:val="none" w:sz="0" w:space="0" w:color="auto"/>
        <w:right w:val="none" w:sz="0" w:space="0" w:color="auto"/>
      </w:divBdr>
    </w:div>
    <w:div w:id="1129786808">
      <w:bodyDiv w:val="1"/>
      <w:marLeft w:val="0"/>
      <w:marRight w:val="0"/>
      <w:marTop w:val="0"/>
      <w:marBottom w:val="0"/>
      <w:divBdr>
        <w:top w:val="none" w:sz="0" w:space="0" w:color="auto"/>
        <w:left w:val="none" w:sz="0" w:space="0" w:color="auto"/>
        <w:bottom w:val="none" w:sz="0" w:space="0" w:color="auto"/>
        <w:right w:val="none" w:sz="0" w:space="0" w:color="auto"/>
      </w:divBdr>
    </w:div>
    <w:div w:id="1129935218">
      <w:bodyDiv w:val="1"/>
      <w:marLeft w:val="0"/>
      <w:marRight w:val="0"/>
      <w:marTop w:val="0"/>
      <w:marBottom w:val="0"/>
      <w:divBdr>
        <w:top w:val="none" w:sz="0" w:space="0" w:color="auto"/>
        <w:left w:val="none" w:sz="0" w:space="0" w:color="auto"/>
        <w:bottom w:val="none" w:sz="0" w:space="0" w:color="auto"/>
        <w:right w:val="none" w:sz="0" w:space="0" w:color="auto"/>
      </w:divBdr>
    </w:div>
    <w:div w:id="1130049510">
      <w:bodyDiv w:val="1"/>
      <w:marLeft w:val="0"/>
      <w:marRight w:val="0"/>
      <w:marTop w:val="0"/>
      <w:marBottom w:val="0"/>
      <w:divBdr>
        <w:top w:val="none" w:sz="0" w:space="0" w:color="auto"/>
        <w:left w:val="none" w:sz="0" w:space="0" w:color="auto"/>
        <w:bottom w:val="none" w:sz="0" w:space="0" w:color="auto"/>
        <w:right w:val="none" w:sz="0" w:space="0" w:color="auto"/>
      </w:divBdr>
    </w:div>
    <w:div w:id="1130053059">
      <w:bodyDiv w:val="1"/>
      <w:marLeft w:val="0"/>
      <w:marRight w:val="0"/>
      <w:marTop w:val="0"/>
      <w:marBottom w:val="0"/>
      <w:divBdr>
        <w:top w:val="none" w:sz="0" w:space="0" w:color="auto"/>
        <w:left w:val="none" w:sz="0" w:space="0" w:color="auto"/>
        <w:bottom w:val="none" w:sz="0" w:space="0" w:color="auto"/>
        <w:right w:val="none" w:sz="0" w:space="0" w:color="auto"/>
      </w:divBdr>
    </w:div>
    <w:div w:id="1130510221">
      <w:bodyDiv w:val="1"/>
      <w:marLeft w:val="0"/>
      <w:marRight w:val="0"/>
      <w:marTop w:val="0"/>
      <w:marBottom w:val="0"/>
      <w:divBdr>
        <w:top w:val="none" w:sz="0" w:space="0" w:color="auto"/>
        <w:left w:val="none" w:sz="0" w:space="0" w:color="auto"/>
        <w:bottom w:val="none" w:sz="0" w:space="0" w:color="auto"/>
        <w:right w:val="none" w:sz="0" w:space="0" w:color="auto"/>
      </w:divBdr>
    </w:div>
    <w:div w:id="1131286432">
      <w:bodyDiv w:val="1"/>
      <w:marLeft w:val="0"/>
      <w:marRight w:val="0"/>
      <w:marTop w:val="0"/>
      <w:marBottom w:val="0"/>
      <w:divBdr>
        <w:top w:val="none" w:sz="0" w:space="0" w:color="auto"/>
        <w:left w:val="none" w:sz="0" w:space="0" w:color="auto"/>
        <w:bottom w:val="none" w:sz="0" w:space="0" w:color="auto"/>
        <w:right w:val="none" w:sz="0" w:space="0" w:color="auto"/>
      </w:divBdr>
    </w:div>
    <w:div w:id="1131367477">
      <w:bodyDiv w:val="1"/>
      <w:marLeft w:val="0"/>
      <w:marRight w:val="0"/>
      <w:marTop w:val="0"/>
      <w:marBottom w:val="0"/>
      <w:divBdr>
        <w:top w:val="none" w:sz="0" w:space="0" w:color="auto"/>
        <w:left w:val="none" w:sz="0" w:space="0" w:color="auto"/>
        <w:bottom w:val="none" w:sz="0" w:space="0" w:color="auto"/>
        <w:right w:val="none" w:sz="0" w:space="0" w:color="auto"/>
      </w:divBdr>
    </w:div>
    <w:div w:id="1132333474">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4179098">
      <w:bodyDiv w:val="1"/>
      <w:marLeft w:val="0"/>
      <w:marRight w:val="0"/>
      <w:marTop w:val="0"/>
      <w:marBottom w:val="0"/>
      <w:divBdr>
        <w:top w:val="none" w:sz="0" w:space="0" w:color="auto"/>
        <w:left w:val="none" w:sz="0" w:space="0" w:color="auto"/>
        <w:bottom w:val="none" w:sz="0" w:space="0" w:color="auto"/>
        <w:right w:val="none" w:sz="0" w:space="0" w:color="auto"/>
      </w:divBdr>
    </w:div>
    <w:div w:id="1134442613">
      <w:bodyDiv w:val="1"/>
      <w:marLeft w:val="0"/>
      <w:marRight w:val="0"/>
      <w:marTop w:val="0"/>
      <w:marBottom w:val="0"/>
      <w:divBdr>
        <w:top w:val="none" w:sz="0" w:space="0" w:color="auto"/>
        <w:left w:val="none" w:sz="0" w:space="0" w:color="auto"/>
        <w:bottom w:val="none" w:sz="0" w:space="0" w:color="auto"/>
        <w:right w:val="none" w:sz="0" w:space="0" w:color="auto"/>
      </w:divBdr>
    </w:div>
    <w:div w:id="1135566953">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7451132">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38719639">
      <w:bodyDiv w:val="1"/>
      <w:marLeft w:val="0"/>
      <w:marRight w:val="0"/>
      <w:marTop w:val="0"/>
      <w:marBottom w:val="0"/>
      <w:divBdr>
        <w:top w:val="none" w:sz="0" w:space="0" w:color="auto"/>
        <w:left w:val="none" w:sz="0" w:space="0" w:color="auto"/>
        <w:bottom w:val="none" w:sz="0" w:space="0" w:color="auto"/>
        <w:right w:val="none" w:sz="0" w:space="0" w:color="auto"/>
      </w:divBdr>
    </w:div>
    <w:div w:id="1138959775">
      <w:bodyDiv w:val="1"/>
      <w:marLeft w:val="0"/>
      <w:marRight w:val="0"/>
      <w:marTop w:val="0"/>
      <w:marBottom w:val="0"/>
      <w:divBdr>
        <w:top w:val="none" w:sz="0" w:space="0" w:color="auto"/>
        <w:left w:val="none" w:sz="0" w:space="0" w:color="auto"/>
        <w:bottom w:val="none" w:sz="0" w:space="0" w:color="auto"/>
        <w:right w:val="none" w:sz="0" w:space="0" w:color="auto"/>
      </w:divBdr>
    </w:div>
    <w:div w:id="1139418678">
      <w:bodyDiv w:val="1"/>
      <w:marLeft w:val="0"/>
      <w:marRight w:val="0"/>
      <w:marTop w:val="0"/>
      <w:marBottom w:val="0"/>
      <w:divBdr>
        <w:top w:val="none" w:sz="0" w:space="0" w:color="auto"/>
        <w:left w:val="none" w:sz="0" w:space="0" w:color="auto"/>
        <w:bottom w:val="none" w:sz="0" w:space="0" w:color="auto"/>
        <w:right w:val="none" w:sz="0" w:space="0" w:color="auto"/>
      </w:divBdr>
    </w:div>
    <w:div w:id="1139572283">
      <w:bodyDiv w:val="1"/>
      <w:marLeft w:val="0"/>
      <w:marRight w:val="0"/>
      <w:marTop w:val="0"/>
      <w:marBottom w:val="0"/>
      <w:divBdr>
        <w:top w:val="none" w:sz="0" w:space="0" w:color="auto"/>
        <w:left w:val="none" w:sz="0" w:space="0" w:color="auto"/>
        <w:bottom w:val="none" w:sz="0" w:space="0" w:color="auto"/>
        <w:right w:val="none" w:sz="0" w:space="0" w:color="auto"/>
      </w:divBdr>
    </w:div>
    <w:div w:id="1140000962">
      <w:bodyDiv w:val="1"/>
      <w:marLeft w:val="0"/>
      <w:marRight w:val="0"/>
      <w:marTop w:val="0"/>
      <w:marBottom w:val="0"/>
      <w:divBdr>
        <w:top w:val="none" w:sz="0" w:space="0" w:color="auto"/>
        <w:left w:val="none" w:sz="0" w:space="0" w:color="auto"/>
        <w:bottom w:val="none" w:sz="0" w:space="0" w:color="auto"/>
        <w:right w:val="none" w:sz="0" w:space="0" w:color="auto"/>
      </w:divBdr>
    </w:div>
    <w:div w:id="1140078200">
      <w:bodyDiv w:val="1"/>
      <w:marLeft w:val="0"/>
      <w:marRight w:val="0"/>
      <w:marTop w:val="0"/>
      <w:marBottom w:val="0"/>
      <w:divBdr>
        <w:top w:val="none" w:sz="0" w:space="0" w:color="auto"/>
        <w:left w:val="none" w:sz="0" w:space="0" w:color="auto"/>
        <w:bottom w:val="none" w:sz="0" w:space="0" w:color="auto"/>
        <w:right w:val="none" w:sz="0" w:space="0" w:color="auto"/>
      </w:divBdr>
    </w:div>
    <w:div w:id="1140537681">
      <w:bodyDiv w:val="1"/>
      <w:marLeft w:val="0"/>
      <w:marRight w:val="0"/>
      <w:marTop w:val="0"/>
      <w:marBottom w:val="0"/>
      <w:divBdr>
        <w:top w:val="none" w:sz="0" w:space="0" w:color="auto"/>
        <w:left w:val="none" w:sz="0" w:space="0" w:color="auto"/>
        <w:bottom w:val="none" w:sz="0" w:space="0" w:color="auto"/>
        <w:right w:val="none" w:sz="0" w:space="0" w:color="auto"/>
      </w:divBdr>
    </w:div>
    <w:div w:id="1142229834">
      <w:bodyDiv w:val="1"/>
      <w:marLeft w:val="0"/>
      <w:marRight w:val="0"/>
      <w:marTop w:val="0"/>
      <w:marBottom w:val="0"/>
      <w:divBdr>
        <w:top w:val="none" w:sz="0" w:space="0" w:color="auto"/>
        <w:left w:val="none" w:sz="0" w:space="0" w:color="auto"/>
        <w:bottom w:val="none" w:sz="0" w:space="0" w:color="auto"/>
        <w:right w:val="none" w:sz="0" w:space="0" w:color="auto"/>
      </w:divBdr>
    </w:div>
    <w:div w:id="1143348328">
      <w:bodyDiv w:val="1"/>
      <w:marLeft w:val="0"/>
      <w:marRight w:val="0"/>
      <w:marTop w:val="0"/>
      <w:marBottom w:val="0"/>
      <w:divBdr>
        <w:top w:val="none" w:sz="0" w:space="0" w:color="auto"/>
        <w:left w:val="none" w:sz="0" w:space="0" w:color="auto"/>
        <w:bottom w:val="none" w:sz="0" w:space="0" w:color="auto"/>
        <w:right w:val="none" w:sz="0" w:space="0" w:color="auto"/>
      </w:divBdr>
    </w:div>
    <w:div w:id="1143542317">
      <w:bodyDiv w:val="1"/>
      <w:marLeft w:val="0"/>
      <w:marRight w:val="0"/>
      <w:marTop w:val="0"/>
      <w:marBottom w:val="0"/>
      <w:divBdr>
        <w:top w:val="none" w:sz="0" w:space="0" w:color="auto"/>
        <w:left w:val="none" w:sz="0" w:space="0" w:color="auto"/>
        <w:bottom w:val="none" w:sz="0" w:space="0" w:color="auto"/>
        <w:right w:val="none" w:sz="0" w:space="0" w:color="auto"/>
      </w:divBdr>
    </w:div>
    <w:div w:id="1143817124">
      <w:bodyDiv w:val="1"/>
      <w:marLeft w:val="0"/>
      <w:marRight w:val="0"/>
      <w:marTop w:val="0"/>
      <w:marBottom w:val="0"/>
      <w:divBdr>
        <w:top w:val="none" w:sz="0" w:space="0" w:color="auto"/>
        <w:left w:val="none" w:sz="0" w:space="0" w:color="auto"/>
        <w:bottom w:val="none" w:sz="0" w:space="0" w:color="auto"/>
        <w:right w:val="none" w:sz="0" w:space="0" w:color="auto"/>
      </w:divBdr>
    </w:div>
    <w:div w:id="1144470354">
      <w:bodyDiv w:val="1"/>
      <w:marLeft w:val="0"/>
      <w:marRight w:val="0"/>
      <w:marTop w:val="0"/>
      <w:marBottom w:val="0"/>
      <w:divBdr>
        <w:top w:val="none" w:sz="0" w:space="0" w:color="auto"/>
        <w:left w:val="none" w:sz="0" w:space="0" w:color="auto"/>
        <w:bottom w:val="none" w:sz="0" w:space="0" w:color="auto"/>
        <w:right w:val="none" w:sz="0" w:space="0" w:color="auto"/>
      </w:divBdr>
    </w:div>
    <w:div w:id="1145004794">
      <w:bodyDiv w:val="1"/>
      <w:marLeft w:val="0"/>
      <w:marRight w:val="0"/>
      <w:marTop w:val="0"/>
      <w:marBottom w:val="0"/>
      <w:divBdr>
        <w:top w:val="none" w:sz="0" w:space="0" w:color="auto"/>
        <w:left w:val="none" w:sz="0" w:space="0" w:color="auto"/>
        <w:bottom w:val="none" w:sz="0" w:space="0" w:color="auto"/>
        <w:right w:val="none" w:sz="0" w:space="0" w:color="auto"/>
      </w:divBdr>
    </w:div>
    <w:div w:id="114570336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743852">
      <w:bodyDiv w:val="1"/>
      <w:marLeft w:val="0"/>
      <w:marRight w:val="0"/>
      <w:marTop w:val="0"/>
      <w:marBottom w:val="0"/>
      <w:divBdr>
        <w:top w:val="none" w:sz="0" w:space="0" w:color="auto"/>
        <w:left w:val="none" w:sz="0" w:space="0" w:color="auto"/>
        <w:bottom w:val="none" w:sz="0" w:space="0" w:color="auto"/>
        <w:right w:val="none" w:sz="0" w:space="0" w:color="auto"/>
      </w:divBdr>
    </w:div>
    <w:div w:id="1149126084">
      <w:bodyDiv w:val="1"/>
      <w:marLeft w:val="0"/>
      <w:marRight w:val="0"/>
      <w:marTop w:val="0"/>
      <w:marBottom w:val="0"/>
      <w:divBdr>
        <w:top w:val="none" w:sz="0" w:space="0" w:color="auto"/>
        <w:left w:val="none" w:sz="0" w:space="0" w:color="auto"/>
        <w:bottom w:val="none" w:sz="0" w:space="0" w:color="auto"/>
        <w:right w:val="none" w:sz="0" w:space="0" w:color="auto"/>
      </w:divBdr>
    </w:div>
    <w:div w:id="1149712053">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517015">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327311">
      <w:bodyDiv w:val="1"/>
      <w:marLeft w:val="0"/>
      <w:marRight w:val="0"/>
      <w:marTop w:val="0"/>
      <w:marBottom w:val="0"/>
      <w:divBdr>
        <w:top w:val="none" w:sz="0" w:space="0" w:color="auto"/>
        <w:left w:val="none" w:sz="0" w:space="0" w:color="auto"/>
        <w:bottom w:val="none" w:sz="0" w:space="0" w:color="auto"/>
        <w:right w:val="none" w:sz="0" w:space="0" w:color="auto"/>
      </w:divBdr>
    </w:div>
    <w:div w:id="1153058355">
      <w:bodyDiv w:val="1"/>
      <w:marLeft w:val="0"/>
      <w:marRight w:val="0"/>
      <w:marTop w:val="0"/>
      <w:marBottom w:val="0"/>
      <w:divBdr>
        <w:top w:val="none" w:sz="0" w:space="0" w:color="auto"/>
        <w:left w:val="none" w:sz="0" w:space="0" w:color="auto"/>
        <w:bottom w:val="none" w:sz="0" w:space="0" w:color="auto"/>
        <w:right w:val="none" w:sz="0" w:space="0" w:color="auto"/>
      </w:divBdr>
    </w:div>
    <w:div w:id="1153109842">
      <w:bodyDiv w:val="1"/>
      <w:marLeft w:val="0"/>
      <w:marRight w:val="0"/>
      <w:marTop w:val="0"/>
      <w:marBottom w:val="0"/>
      <w:divBdr>
        <w:top w:val="none" w:sz="0" w:space="0" w:color="auto"/>
        <w:left w:val="none" w:sz="0" w:space="0" w:color="auto"/>
        <w:bottom w:val="none" w:sz="0" w:space="0" w:color="auto"/>
        <w:right w:val="none" w:sz="0" w:space="0" w:color="auto"/>
      </w:divBdr>
    </w:div>
    <w:div w:id="1153645886">
      <w:bodyDiv w:val="1"/>
      <w:marLeft w:val="0"/>
      <w:marRight w:val="0"/>
      <w:marTop w:val="0"/>
      <w:marBottom w:val="0"/>
      <w:divBdr>
        <w:top w:val="none" w:sz="0" w:space="0" w:color="auto"/>
        <w:left w:val="none" w:sz="0" w:space="0" w:color="auto"/>
        <w:bottom w:val="none" w:sz="0" w:space="0" w:color="auto"/>
        <w:right w:val="none" w:sz="0" w:space="0" w:color="auto"/>
      </w:divBdr>
    </w:div>
    <w:div w:id="1154952198">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6722203">
      <w:bodyDiv w:val="1"/>
      <w:marLeft w:val="0"/>
      <w:marRight w:val="0"/>
      <w:marTop w:val="0"/>
      <w:marBottom w:val="0"/>
      <w:divBdr>
        <w:top w:val="none" w:sz="0" w:space="0" w:color="auto"/>
        <w:left w:val="none" w:sz="0" w:space="0" w:color="auto"/>
        <w:bottom w:val="none" w:sz="0" w:space="0" w:color="auto"/>
        <w:right w:val="none" w:sz="0" w:space="0" w:color="auto"/>
      </w:divBdr>
    </w:div>
    <w:div w:id="1156920172">
      <w:bodyDiv w:val="1"/>
      <w:marLeft w:val="0"/>
      <w:marRight w:val="0"/>
      <w:marTop w:val="0"/>
      <w:marBottom w:val="0"/>
      <w:divBdr>
        <w:top w:val="none" w:sz="0" w:space="0" w:color="auto"/>
        <w:left w:val="none" w:sz="0" w:space="0" w:color="auto"/>
        <w:bottom w:val="none" w:sz="0" w:space="0" w:color="auto"/>
        <w:right w:val="none" w:sz="0" w:space="0" w:color="auto"/>
      </w:divBdr>
    </w:div>
    <w:div w:id="1157768824">
      <w:bodyDiv w:val="1"/>
      <w:marLeft w:val="0"/>
      <w:marRight w:val="0"/>
      <w:marTop w:val="0"/>
      <w:marBottom w:val="0"/>
      <w:divBdr>
        <w:top w:val="none" w:sz="0" w:space="0" w:color="auto"/>
        <w:left w:val="none" w:sz="0" w:space="0" w:color="auto"/>
        <w:bottom w:val="none" w:sz="0" w:space="0" w:color="auto"/>
        <w:right w:val="none" w:sz="0" w:space="0" w:color="auto"/>
      </w:divBdr>
    </w:div>
    <w:div w:id="1157843205">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59420426">
      <w:bodyDiv w:val="1"/>
      <w:marLeft w:val="0"/>
      <w:marRight w:val="0"/>
      <w:marTop w:val="0"/>
      <w:marBottom w:val="0"/>
      <w:divBdr>
        <w:top w:val="none" w:sz="0" w:space="0" w:color="auto"/>
        <w:left w:val="none" w:sz="0" w:space="0" w:color="auto"/>
        <w:bottom w:val="none" w:sz="0" w:space="0" w:color="auto"/>
        <w:right w:val="none" w:sz="0" w:space="0" w:color="auto"/>
      </w:divBdr>
    </w:div>
    <w:div w:id="1160121661">
      <w:bodyDiv w:val="1"/>
      <w:marLeft w:val="0"/>
      <w:marRight w:val="0"/>
      <w:marTop w:val="0"/>
      <w:marBottom w:val="0"/>
      <w:divBdr>
        <w:top w:val="none" w:sz="0" w:space="0" w:color="auto"/>
        <w:left w:val="none" w:sz="0" w:space="0" w:color="auto"/>
        <w:bottom w:val="none" w:sz="0" w:space="0" w:color="auto"/>
        <w:right w:val="none" w:sz="0" w:space="0" w:color="auto"/>
      </w:divBdr>
    </w:div>
    <w:div w:id="1160195957">
      <w:bodyDiv w:val="1"/>
      <w:marLeft w:val="0"/>
      <w:marRight w:val="0"/>
      <w:marTop w:val="0"/>
      <w:marBottom w:val="0"/>
      <w:divBdr>
        <w:top w:val="none" w:sz="0" w:space="0" w:color="auto"/>
        <w:left w:val="none" w:sz="0" w:space="0" w:color="auto"/>
        <w:bottom w:val="none" w:sz="0" w:space="0" w:color="auto"/>
        <w:right w:val="none" w:sz="0" w:space="0" w:color="auto"/>
      </w:divBdr>
    </w:div>
    <w:div w:id="1160198189">
      <w:bodyDiv w:val="1"/>
      <w:marLeft w:val="0"/>
      <w:marRight w:val="0"/>
      <w:marTop w:val="0"/>
      <w:marBottom w:val="0"/>
      <w:divBdr>
        <w:top w:val="none" w:sz="0" w:space="0" w:color="auto"/>
        <w:left w:val="none" w:sz="0" w:space="0" w:color="auto"/>
        <w:bottom w:val="none" w:sz="0" w:space="0" w:color="auto"/>
        <w:right w:val="none" w:sz="0" w:space="0" w:color="auto"/>
      </w:divBdr>
    </w:div>
    <w:div w:id="1160847153">
      <w:bodyDiv w:val="1"/>
      <w:marLeft w:val="0"/>
      <w:marRight w:val="0"/>
      <w:marTop w:val="0"/>
      <w:marBottom w:val="0"/>
      <w:divBdr>
        <w:top w:val="none" w:sz="0" w:space="0" w:color="auto"/>
        <w:left w:val="none" w:sz="0" w:space="0" w:color="auto"/>
        <w:bottom w:val="none" w:sz="0" w:space="0" w:color="auto"/>
        <w:right w:val="none" w:sz="0" w:space="0" w:color="auto"/>
      </w:divBdr>
    </w:div>
    <w:div w:id="1161195523">
      <w:bodyDiv w:val="1"/>
      <w:marLeft w:val="0"/>
      <w:marRight w:val="0"/>
      <w:marTop w:val="0"/>
      <w:marBottom w:val="0"/>
      <w:divBdr>
        <w:top w:val="none" w:sz="0" w:space="0" w:color="auto"/>
        <w:left w:val="none" w:sz="0" w:space="0" w:color="auto"/>
        <w:bottom w:val="none" w:sz="0" w:space="0" w:color="auto"/>
        <w:right w:val="none" w:sz="0" w:space="0" w:color="auto"/>
      </w:divBdr>
    </w:div>
    <w:div w:id="1161505494">
      <w:bodyDiv w:val="1"/>
      <w:marLeft w:val="0"/>
      <w:marRight w:val="0"/>
      <w:marTop w:val="0"/>
      <w:marBottom w:val="0"/>
      <w:divBdr>
        <w:top w:val="none" w:sz="0" w:space="0" w:color="auto"/>
        <w:left w:val="none" w:sz="0" w:space="0" w:color="auto"/>
        <w:bottom w:val="none" w:sz="0" w:space="0" w:color="auto"/>
        <w:right w:val="none" w:sz="0" w:space="0" w:color="auto"/>
      </w:divBdr>
    </w:div>
    <w:div w:id="1162504739">
      <w:bodyDiv w:val="1"/>
      <w:marLeft w:val="0"/>
      <w:marRight w:val="0"/>
      <w:marTop w:val="0"/>
      <w:marBottom w:val="0"/>
      <w:divBdr>
        <w:top w:val="none" w:sz="0" w:space="0" w:color="auto"/>
        <w:left w:val="none" w:sz="0" w:space="0" w:color="auto"/>
        <w:bottom w:val="none" w:sz="0" w:space="0" w:color="auto"/>
        <w:right w:val="none" w:sz="0" w:space="0" w:color="auto"/>
      </w:divBdr>
    </w:div>
    <w:div w:id="1163279266">
      <w:bodyDiv w:val="1"/>
      <w:marLeft w:val="0"/>
      <w:marRight w:val="0"/>
      <w:marTop w:val="0"/>
      <w:marBottom w:val="0"/>
      <w:divBdr>
        <w:top w:val="none" w:sz="0" w:space="0" w:color="auto"/>
        <w:left w:val="none" w:sz="0" w:space="0" w:color="auto"/>
        <w:bottom w:val="none" w:sz="0" w:space="0" w:color="auto"/>
        <w:right w:val="none" w:sz="0" w:space="0" w:color="auto"/>
      </w:divBdr>
    </w:div>
    <w:div w:id="1163544854">
      <w:bodyDiv w:val="1"/>
      <w:marLeft w:val="0"/>
      <w:marRight w:val="0"/>
      <w:marTop w:val="0"/>
      <w:marBottom w:val="0"/>
      <w:divBdr>
        <w:top w:val="none" w:sz="0" w:space="0" w:color="auto"/>
        <w:left w:val="none" w:sz="0" w:space="0" w:color="auto"/>
        <w:bottom w:val="none" w:sz="0" w:space="0" w:color="auto"/>
        <w:right w:val="none" w:sz="0" w:space="0" w:color="auto"/>
      </w:divBdr>
    </w:div>
    <w:div w:id="116450924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5246887">
      <w:bodyDiv w:val="1"/>
      <w:marLeft w:val="0"/>
      <w:marRight w:val="0"/>
      <w:marTop w:val="0"/>
      <w:marBottom w:val="0"/>
      <w:divBdr>
        <w:top w:val="none" w:sz="0" w:space="0" w:color="auto"/>
        <w:left w:val="none" w:sz="0" w:space="0" w:color="auto"/>
        <w:bottom w:val="none" w:sz="0" w:space="0" w:color="auto"/>
        <w:right w:val="none" w:sz="0" w:space="0" w:color="auto"/>
      </w:divBdr>
    </w:div>
    <w:div w:id="1165899572">
      <w:bodyDiv w:val="1"/>
      <w:marLeft w:val="0"/>
      <w:marRight w:val="0"/>
      <w:marTop w:val="0"/>
      <w:marBottom w:val="0"/>
      <w:divBdr>
        <w:top w:val="none" w:sz="0" w:space="0" w:color="auto"/>
        <w:left w:val="none" w:sz="0" w:space="0" w:color="auto"/>
        <w:bottom w:val="none" w:sz="0" w:space="0" w:color="auto"/>
        <w:right w:val="none" w:sz="0" w:space="0" w:color="auto"/>
      </w:divBdr>
    </w:div>
    <w:div w:id="1166676968">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011010">
      <w:bodyDiv w:val="1"/>
      <w:marLeft w:val="0"/>
      <w:marRight w:val="0"/>
      <w:marTop w:val="0"/>
      <w:marBottom w:val="0"/>
      <w:divBdr>
        <w:top w:val="none" w:sz="0" w:space="0" w:color="auto"/>
        <w:left w:val="none" w:sz="0" w:space="0" w:color="auto"/>
        <w:bottom w:val="none" w:sz="0" w:space="0" w:color="auto"/>
        <w:right w:val="none" w:sz="0" w:space="0" w:color="auto"/>
      </w:divBdr>
    </w:div>
    <w:div w:id="1170021345">
      <w:bodyDiv w:val="1"/>
      <w:marLeft w:val="0"/>
      <w:marRight w:val="0"/>
      <w:marTop w:val="0"/>
      <w:marBottom w:val="0"/>
      <w:divBdr>
        <w:top w:val="none" w:sz="0" w:space="0" w:color="auto"/>
        <w:left w:val="none" w:sz="0" w:space="0" w:color="auto"/>
        <w:bottom w:val="none" w:sz="0" w:space="0" w:color="auto"/>
        <w:right w:val="none" w:sz="0" w:space="0" w:color="auto"/>
      </w:divBdr>
    </w:div>
    <w:div w:id="1170146780">
      <w:bodyDiv w:val="1"/>
      <w:marLeft w:val="0"/>
      <w:marRight w:val="0"/>
      <w:marTop w:val="0"/>
      <w:marBottom w:val="0"/>
      <w:divBdr>
        <w:top w:val="none" w:sz="0" w:space="0" w:color="auto"/>
        <w:left w:val="none" w:sz="0" w:space="0" w:color="auto"/>
        <w:bottom w:val="none" w:sz="0" w:space="0" w:color="auto"/>
        <w:right w:val="none" w:sz="0" w:space="0" w:color="auto"/>
      </w:divBdr>
    </w:div>
    <w:div w:id="1170290898">
      <w:bodyDiv w:val="1"/>
      <w:marLeft w:val="0"/>
      <w:marRight w:val="0"/>
      <w:marTop w:val="0"/>
      <w:marBottom w:val="0"/>
      <w:divBdr>
        <w:top w:val="none" w:sz="0" w:space="0" w:color="auto"/>
        <w:left w:val="none" w:sz="0" w:space="0" w:color="auto"/>
        <w:bottom w:val="none" w:sz="0" w:space="0" w:color="auto"/>
        <w:right w:val="none" w:sz="0" w:space="0" w:color="auto"/>
      </w:divBdr>
    </w:div>
    <w:div w:id="1170486441">
      <w:bodyDiv w:val="1"/>
      <w:marLeft w:val="0"/>
      <w:marRight w:val="0"/>
      <w:marTop w:val="0"/>
      <w:marBottom w:val="0"/>
      <w:divBdr>
        <w:top w:val="none" w:sz="0" w:space="0" w:color="auto"/>
        <w:left w:val="none" w:sz="0" w:space="0" w:color="auto"/>
        <w:bottom w:val="none" w:sz="0" w:space="0" w:color="auto"/>
        <w:right w:val="none" w:sz="0" w:space="0" w:color="auto"/>
      </w:divBdr>
    </w:div>
    <w:div w:id="1170562563">
      <w:bodyDiv w:val="1"/>
      <w:marLeft w:val="0"/>
      <w:marRight w:val="0"/>
      <w:marTop w:val="0"/>
      <w:marBottom w:val="0"/>
      <w:divBdr>
        <w:top w:val="none" w:sz="0" w:space="0" w:color="auto"/>
        <w:left w:val="none" w:sz="0" w:space="0" w:color="auto"/>
        <w:bottom w:val="none" w:sz="0" w:space="0" w:color="auto"/>
        <w:right w:val="none" w:sz="0" w:space="0" w:color="auto"/>
      </w:divBdr>
    </w:div>
    <w:div w:id="1172063356">
      <w:bodyDiv w:val="1"/>
      <w:marLeft w:val="0"/>
      <w:marRight w:val="0"/>
      <w:marTop w:val="0"/>
      <w:marBottom w:val="0"/>
      <w:divBdr>
        <w:top w:val="none" w:sz="0" w:space="0" w:color="auto"/>
        <w:left w:val="none" w:sz="0" w:space="0" w:color="auto"/>
        <w:bottom w:val="none" w:sz="0" w:space="0" w:color="auto"/>
        <w:right w:val="none" w:sz="0" w:space="0" w:color="auto"/>
      </w:divBdr>
    </w:div>
    <w:div w:id="1174034467">
      <w:bodyDiv w:val="1"/>
      <w:marLeft w:val="0"/>
      <w:marRight w:val="0"/>
      <w:marTop w:val="0"/>
      <w:marBottom w:val="0"/>
      <w:divBdr>
        <w:top w:val="none" w:sz="0" w:space="0" w:color="auto"/>
        <w:left w:val="none" w:sz="0" w:space="0" w:color="auto"/>
        <w:bottom w:val="none" w:sz="0" w:space="0" w:color="auto"/>
        <w:right w:val="none" w:sz="0" w:space="0" w:color="auto"/>
      </w:divBdr>
    </w:div>
    <w:div w:id="1175464475">
      <w:bodyDiv w:val="1"/>
      <w:marLeft w:val="0"/>
      <w:marRight w:val="0"/>
      <w:marTop w:val="0"/>
      <w:marBottom w:val="0"/>
      <w:divBdr>
        <w:top w:val="none" w:sz="0" w:space="0" w:color="auto"/>
        <w:left w:val="none" w:sz="0" w:space="0" w:color="auto"/>
        <w:bottom w:val="none" w:sz="0" w:space="0" w:color="auto"/>
        <w:right w:val="none" w:sz="0" w:space="0" w:color="auto"/>
      </w:divBdr>
    </w:div>
    <w:div w:id="1175847413">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38326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8084081">
      <w:bodyDiv w:val="1"/>
      <w:marLeft w:val="0"/>
      <w:marRight w:val="0"/>
      <w:marTop w:val="0"/>
      <w:marBottom w:val="0"/>
      <w:divBdr>
        <w:top w:val="none" w:sz="0" w:space="0" w:color="auto"/>
        <w:left w:val="none" w:sz="0" w:space="0" w:color="auto"/>
        <w:bottom w:val="none" w:sz="0" w:space="0" w:color="auto"/>
        <w:right w:val="none" w:sz="0" w:space="0" w:color="auto"/>
      </w:divBdr>
    </w:div>
    <w:div w:id="1178426511">
      <w:bodyDiv w:val="1"/>
      <w:marLeft w:val="0"/>
      <w:marRight w:val="0"/>
      <w:marTop w:val="0"/>
      <w:marBottom w:val="0"/>
      <w:divBdr>
        <w:top w:val="none" w:sz="0" w:space="0" w:color="auto"/>
        <w:left w:val="none" w:sz="0" w:space="0" w:color="auto"/>
        <w:bottom w:val="none" w:sz="0" w:space="0" w:color="auto"/>
        <w:right w:val="none" w:sz="0" w:space="0" w:color="auto"/>
      </w:divBdr>
    </w:div>
    <w:div w:id="1178931089">
      <w:bodyDiv w:val="1"/>
      <w:marLeft w:val="0"/>
      <w:marRight w:val="0"/>
      <w:marTop w:val="0"/>
      <w:marBottom w:val="0"/>
      <w:divBdr>
        <w:top w:val="none" w:sz="0" w:space="0" w:color="auto"/>
        <w:left w:val="none" w:sz="0" w:space="0" w:color="auto"/>
        <w:bottom w:val="none" w:sz="0" w:space="0" w:color="auto"/>
        <w:right w:val="none" w:sz="0" w:space="0" w:color="auto"/>
      </w:divBdr>
    </w:div>
    <w:div w:id="1179388640">
      <w:bodyDiv w:val="1"/>
      <w:marLeft w:val="0"/>
      <w:marRight w:val="0"/>
      <w:marTop w:val="0"/>
      <w:marBottom w:val="0"/>
      <w:divBdr>
        <w:top w:val="none" w:sz="0" w:space="0" w:color="auto"/>
        <w:left w:val="none" w:sz="0" w:space="0" w:color="auto"/>
        <w:bottom w:val="none" w:sz="0" w:space="0" w:color="auto"/>
        <w:right w:val="none" w:sz="0" w:space="0" w:color="auto"/>
      </w:divBdr>
    </w:div>
    <w:div w:id="1179540990">
      <w:bodyDiv w:val="1"/>
      <w:marLeft w:val="0"/>
      <w:marRight w:val="0"/>
      <w:marTop w:val="0"/>
      <w:marBottom w:val="0"/>
      <w:divBdr>
        <w:top w:val="none" w:sz="0" w:space="0" w:color="auto"/>
        <w:left w:val="none" w:sz="0" w:space="0" w:color="auto"/>
        <w:bottom w:val="none" w:sz="0" w:space="0" w:color="auto"/>
        <w:right w:val="none" w:sz="0" w:space="0" w:color="auto"/>
      </w:divBdr>
    </w:div>
    <w:div w:id="1179734180">
      <w:bodyDiv w:val="1"/>
      <w:marLeft w:val="0"/>
      <w:marRight w:val="0"/>
      <w:marTop w:val="0"/>
      <w:marBottom w:val="0"/>
      <w:divBdr>
        <w:top w:val="none" w:sz="0" w:space="0" w:color="auto"/>
        <w:left w:val="none" w:sz="0" w:space="0" w:color="auto"/>
        <w:bottom w:val="none" w:sz="0" w:space="0" w:color="auto"/>
        <w:right w:val="none" w:sz="0" w:space="0" w:color="auto"/>
      </w:divBdr>
    </w:div>
    <w:div w:id="1180505736">
      <w:bodyDiv w:val="1"/>
      <w:marLeft w:val="0"/>
      <w:marRight w:val="0"/>
      <w:marTop w:val="0"/>
      <w:marBottom w:val="0"/>
      <w:divBdr>
        <w:top w:val="none" w:sz="0" w:space="0" w:color="auto"/>
        <w:left w:val="none" w:sz="0" w:space="0" w:color="auto"/>
        <w:bottom w:val="none" w:sz="0" w:space="0" w:color="auto"/>
        <w:right w:val="none" w:sz="0" w:space="0" w:color="auto"/>
      </w:divBdr>
    </w:div>
    <w:div w:id="1181164146">
      <w:bodyDiv w:val="1"/>
      <w:marLeft w:val="0"/>
      <w:marRight w:val="0"/>
      <w:marTop w:val="0"/>
      <w:marBottom w:val="0"/>
      <w:divBdr>
        <w:top w:val="none" w:sz="0" w:space="0" w:color="auto"/>
        <w:left w:val="none" w:sz="0" w:space="0" w:color="auto"/>
        <w:bottom w:val="none" w:sz="0" w:space="0" w:color="auto"/>
        <w:right w:val="none" w:sz="0" w:space="0" w:color="auto"/>
      </w:divBdr>
    </w:div>
    <w:div w:id="1181318222">
      <w:bodyDiv w:val="1"/>
      <w:marLeft w:val="0"/>
      <w:marRight w:val="0"/>
      <w:marTop w:val="0"/>
      <w:marBottom w:val="0"/>
      <w:divBdr>
        <w:top w:val="none" w:sz="0" w:space="0" w:color="auto"/>
        <w:left w:val="none" w:sz="0" w:space="0" w:color="auto"/>
        <w:bottom w:val="none" w:sz="0" w:space="0" w:color="auto"/>
        <w:right w:val="none" w:sz="0" w:space="0" w:color="auto"/>
      </w:divBdr>
    </w:div>
    <w:div w:id="1181504451">
      <w:bodyDiv w:val="1"/>
      <w:marLeft w:val="0"/>
      <w:marRight w:val="0"/>
      <w:marTop w:val="0"/>
      <w:marBottom w:val="0"/>
      <w:divBdr>
        <w:top w:val="none" w:sz="0" w:space="0" w:color="auto"/>
        <w:left w:val="none" w:sz="0" w:space="0" w:color="auto"/>
        <w:bottom w:val="none" w:sz="0" w:space="0" w:color="auto"/>
        <w:right w:val="none" w:sz="0" w:space="0" w:color="auto"/>
      </w:divBdr>
    </w:div>
    <w:div w:id="1181818165">
      <w:bodyDiv w:val="1"/>
      <w:marLeft w:val="0"/>
      <w:marRight w:val="0"/>
      <w:marTop w:val="0"/>
      <w:marBottom w:val="0"/>
      <w:divBdr>
        <w:top w:val="none" w:sz="0" w:space="0" w:color="auto"/>
        <w:left w:val="none" w:sz="0" w:space="0" w:color="auto"/>
        <w:bottom w:val="none" w:sz="0" w:space="0" w:color="auto"/>
        <w:right w:val="none" w:sz="0" w:space="0" w:color="auto"/>
      </w:divBdr>
    </w:div>
    <w:div w:id="1182161534">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3666511">
      <w:bodyDiv w:val="1"/>
      <w:marLeft w:val="0"/>
      <w:marRight w:val="0"/>
      <w:marTop w:val="0"/>
      <w:marBottom w:val="0"/>
      <w:divBdr>
        <w:top w:val="none" w:sz="0" w:space="0" w:color="auto"/>
        <w:left w:val="none" w:sz="0" w:space="0" w:color="auto"/>
        <w:bottom w:val="none" w:sz="0" w:space="0" w:color="auto"/>
        <w:right w:val="none" w:sz="0" w:space="0" w:color="auto"/>
      </w:divBdr>
    </w:div>
    <w:div w:id="1183937544">
      <w:bodyDiv w:val="1"/>
      <w:marLeft w:val="0"/>
      <w:marRight w:val="0"/>
      <w:marTop w:val="0"/>
      <w:marBottom w:val="0"/>
      <w:divBdr>
        <w:top w:val="none" w:sz="0" w:space="0" w:color="auto"/>
        <w:left w:val="none" w:sz="0" w:space="0" w:color="auto"/>
        <w:bottom w:val="none" w:sz="0" w:space="0" w:color="auto"/>
        <w:right w:val="none" w:sz="0" w:space="0" w:color="auto"/>
      </w:divBdr>
    </w:div>
    <w:div w:id="1183974642">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286130">
      <w:bodyDiv w:val="1"/>
      <w:marLeft w:val="0"/>
      <w:marRight w:val="0"/>
      <w:marTop w:val="0"/>
      <w:marBottom w:val="0"/>
      <w:divBdr>
        <w:top w:val="none" w:sz="0" w:space="0" w:color="auto"/>
        <w:left w:val="none" w:sz="0" w:space="0" w:color="auto"/>
        <w:bottom w:val="none" w:sz="0" w:space="0" w:color="auto"/>
        <w:right w:val="none" w:sz="0" w:space="0" w:color="auto"/>
      </w:divBdr>
    </w:div>
    <w:div w:id="1186021059">
      <w:bodyDiv w:val="1"/>
      <w:marLeft w:val="0"/>
      <w:marRight w:val="0"/>
      <w:marTop w:val="0"/>
      <w:marBottom w:val="0"/>
      <w:divBdr>
        <w:top w:val="none" w:sz="0" w:space="0" w:color="auto"/>
        <w:left w:val="none" w:sz="0" w:space="0" w:color="auto"/>
        <w:bottom w:val="none" w:sz="0" w:space="0" w:color="auto"/>
        <w:right w:val="none" w:sz="0" w:space="0" w:color="auto"/>
      </w:divBdr>
    </w:div>
    <w:div w:id="1187403457">
      <w:bodyDiv w:val="1"/>
      <w:marLeft w:val="0"/>
      <w:marRight w:val="0"/>
      <w:marTop w:val="0"/>
      <w:marBottom w:val="0"/>
      <w:divBdr>
        <w:top w:val="none" w:sz="0" w:space="0" w:color="auto"/>
        <w:left w:val="none" w:sz="0" w:space="0" w:color="auto"/>
        <w:bottom w:val="none" w:sz="0" w:space="0" w:color="auto"/>
        <w:right w:val="none" w:sz="0" w:space="0" w:color="auto"/>
      </w:divBdr>
    </w:div>
    <w:div w:id="1187449684">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8566110">
      <w:bodyDiv w:val="1"/>
      <w:marLeft w:val="0"/>
      <w:marRight w:val="0"/>
      <w:marTop w:val="0"/>
      <w:marBottom w:val="0"/>
      <w:divBdr>
        <w:top w:val="none" w:sz="0" w:space="0" w:color="auto"/>
        <w:left w:val="none" w:sz="0" w:space="0" w:color="auto"/>
        <w:bottom w:val="none" w:sz="0" w:space="0" w:color="auto"/>
        <w:right w:val="none" w:sz="0" w:space="0" w:color="auto"/>
      </w:divBdr>
    </w:div>
    <w:div w:id="1189177289">
      <w:bodyDiv w:val="1"/>
      <w:marLeft w:val="0"/>
      <w:marRight w:val="0"/>
      <w:marTop w:val="0"/>
      <w:marBottom w:val="0"/>
      <w:divBdr>
        <w:top w:val="none" w:sz="0" w:space="0" w:color="auto"/>
        <w:left w:val="none" w:sz="0" w:space="0" w:color="auto"/>
        <w:bottom w:val="none" w:sz="0" w:space="0" w:color="auto"/>
        <w:right w:val="none" w:sz="0" w:space="0" w:color="auto"/>
      </w:divBdr>
    </w:div>
    <w:div w:id="1189635221">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294755">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334558">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88111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115021">
      <w:bodyDiv w:val="1"/>
      <w:marLeft w:val="0"/>
      <w:marRight w:val="0"/>
      <w:marTop w:val="0"/>
      <w:marBottom w:val="0"/>
      <w:divBdr>
        <w:top w:val="none" w:sz="0" w:space="0" w:color="auto"/>
        <w:left w:val="none" w:sz="0" w:space="0" w:color="auto"/>
        <w:bottom w:val="none" w:sz="0" w:space="0" w:color="auto"/>
        <w:right w:val="none" w:sz="0" w:space="0" w:color="auto"/>
      </w:divBdr>
    </w:div>
    <w:div w:id="119545689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6649585">
      <w:bodyDiv w:val="1"/>
      <w:marLeft w:val="0"/>
      <w:marRight w:val="0"/>
      <w:marTop w:val="0"/>
      <w:marBottom w:val="0"/>
      <w:divBdr>
        <w:top w:val="none" w:sz="0" w:space="0" w:color="auto"/>
        <w:left w:val="none" w:sz="0" w:space="0" w:color="auto"/>
        <w:bottom w:val="none" w:sz="0" w:space="0" w:color="auto"/>
        <w:right w:val="none" w:sz="0" w:space="0" w:color="auto"/>
      </w:divBdr>
    </w:div>
    <w:div w:id="1197347888">
      <w:bodyDiv w:val="1"/>
      <w:marLeft w:val="0"/>
      <w:marRight w:val="0"/>
      <w:marTop w:val="0"/>
      <w:marBottom w:val="0"/>
      <w:divBdr>
        <w:top w:val="none" w:sz="0" w:space="0" w:color="auto"/>
        <w:left w:val="none" w:sz="0" w:space="0" w:color="auto"/>
        <w:bottom w:val="none" w:sz="0" w:space="0" w:color="auto"/>
        <w:right w:val="none" w:sz="0" w:space="0" w:color="auto"/>
      </w:divBdr>
    </w:div>
    <w:div w:id="1197349507">
      <w:bodyDiv w:val="1"/>
      <w:marLeft w:val="0"/>
      <w:marRight w:val="0"/>
      <w:marTop w:val="0"/>
      <w:marBottom w:val="0"/>
      <w:divBdr>
        <w:top w:val="none" w:sz="0" w:space="0" w:color="auto"/>
        <w:left w:val="none" w:sz="0" w:space="0" w:color="auto"/>
        <w:bottom w:val="none" w:sz="0" w:space="0" w:color="auto"/>
        <w:right w:val="none" w:sz="0" w:space="0" w:color="auto"/>
      </w:divBdr>
    </w:div>
    <w:div w:id="1197743130">
      <w:bodyDiv w:val="1"/>
      <w:marLeft w:val="0"/>
      <w:marRight w:val="0"/>
      <w:marTop w:val="0"/>
      <w:marBottom w:val="0"/>
      <w:divBdr>
        <w:top w:val="none" w:sz="0" w:space="0" w:color="auto"/>
        <w:left w:val="none" w:sz="0" w:space="0" w:color="auto"/>
        <w:bottom w:val="none" w:sz="0" w:space="0" w:color="auto"/>
        <w:right w:val="none" w:sz="0" w:space="0" w:color="auto"/>
      </w:divBdr>
    </w:div>
    <w:div w:id="1197891871">
      <w:bodyDiv w:val="1"/>
      <w:marLeft w:val="0"/>
      <w:marRight w:val="0"/>
      <w:marTop w:val="0"/>
      <w:marBottom w:val="0"/>
      <w:divBdr>
        <w:top w:val="none" w:sz="0" w:space="0" w:color="auto"/>
        <w:left w:val="none" w:sz="0" w:space="0" w:color="auto"/>
        <w:bottom w:val="none" w:sz="0" w:space="0" w:color="auto"/>
        <w:right w:val="none" w:sz="0" w:space="0" w:color="auto"/>
      </w:divBdr>
    </w:div>
    <w:div w:id="1198346644">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8741685">
      <w:bodyDiv w:val="1"/>
      <w:marLeft w:val="0"/>
      <w:marRight w:val="0"/>
      <w:marTop w:val="0"/>
      <w:marBottom w:val="0"/>
      <w:divBdr>
        <w:top w:val="none" w:sz="0" w:space="0" w:color="auto"/>
        <w:left w:val="none" w:sz="0" w:space="0" w:color="auto"/>
        <w:bottom w:val="none" w:sz="0" w:space="0" w:color="auto"/>
        <w:right w:val="none" w:sz="0" w:space="0" w:color="auto"/>
      </w:divBdr>
    </w:div>
    <w:div w:id="1199316312">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783420">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0045069">
      <w:bodyDiv w:val="1"/>
      <w:marLeft w:val="0"/>
      <w:marRight w:val="0"/>
      <w:marTop w:val="0"/>
      <w:marBottom w:val="0"/>
      <w:divBdr>
        <w:top w:val="none" w:sz="0" w:space="0" w:color="auto"/>
        <w:left w:val="none" w:sz="0" w:space="0" w:color="auto"/>
        <w:bottom w:val="none" w:sz="0" w:space="0" w:color="auto"/>
        <w:right w:val="none" w:sz="0" w:space="0" w:color="auto"/>
      </w:divBdr>
    </w:div>
    <w:div w:id="1200631303">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4439622">
      <w:bodyDiv w:val="1"/>
      <w:marLeft w:val="0"/>
      <w:marRight w:val="0"/>
      <w:marTop w:val="0"/>
      <w:marBottom w:val="0"/>
      <w:divBdr>
        <w:top w:val="none" w:sz="0" w:space="0" w:color="auto"/>
        <w:left w:val="none" w:sz="0" w:space="0" w:color="auto"/>
        <w:bottom w:val="none" w:sz="0" w:space="0" w:color="auto"/>
        <w:right w:val="none" w:sz="0" w:space="0" w:color="auto"/>
      </w:divBdr>
    </w:div>
    <w:div w:id="1205482358">
      <w:bodyDiv w:val="1"/>
      <w:marLeft w:val="0"/>
      <w:marRight w:val="0"/>
      <w:marTop w:val="0"/>
      <w:marBottom w:val="0"/>
      <w:divBdr>
        <w:top w:val="none" w:sz="0" w:space="0" w:color="auto"/>
        <w:left w:val="none" w:sz="0" w:space="0" w:color="auto"/>
        <w:bottom w:val="none" w:sz="0" w:space="0" w:color="auto"/>
        <w:right w:val="none" w:sz="0" w:space="0" w:color="auto"/>
      </w:divBdr>
    </w:div>
    <w:div w:id="1205947010">
      <w:bodyDiv w:val="1"/>
      <w:marLeft w:val="0"/>
      <w:marRight w:val="0"/>
      <w:marTop w:val="0"/>
      <w:marBottom w:val="0"/>
      <w:divBdr>
        <w:top w:val="none" w:sz="0" w:space="0" w:color="auto"/>
        <w:left w:val="none" w:sz="0" w:space="0" w:color="auto"/>
        <w:bottom w:val="none" w:sz="0" w:space="0" w:color="auto"/>
        <w:right w:val="none" w:sz="0" w:space="0" w:color="auto"/>
      </w:divBdr>
    </w:div>
    <w:div w:id="1206068058">
      <w:bodyDiv w:val="1"/>
      <w:marLeft w:val="0"/>
      <w:marRight w:val="0"/>
      <w:marTop w:val="0"/>
      <w:marBottom w:val="0"/>
      <w:divBdr>
        <w:top w:val="none" w:sz="0" w:space="0" w:color="auto"/>
        <w:left w:val="none" w:sz="0" w:space="0" w:color="auto"/>
        <w:bottom w:val="none" w:sz="0" w:space="0" w:color="auto"/>
        <w:right w:val="none" w:sz="0" w:space="0" w:color="auto"/>
      </w:divBdr>
    </w:div>
    <w:div w:id="1206330181">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6988819">
      <w:bodyDiv w:val="1"/>
      <w:marLeft w:val="0"/>
      <w:marRight w:val="0"/>
      <w:marTop w:val="0"/>
      <w:marBottom w:val="0"/>
      <w:divBdr>
        <w:top w:val="none" w:sz="0" w:space="0" w:color="auto"/>
        <w:left w:val="none" w:sz="0" w:space="0" w:color="auto"/>
        <w:bottom w:val="none" w:sz="0" w:space="0" w:color="auto"/>
        <w:right w:val="none" w:sz="0" w:space="0" w:color="auto"/>
      </w:divBdr>
    </w:div>
    <w:div w:id="1207644800">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7722030">
      <w:bodyDiv w:val="1"/>
      <w:marLeft w:val="0"/>
      <w:marRight w:val="0"/>
      <w:marTop w:val="0"/>
      <w:marBottom w:val="0"/>
      <w:divBdr>
        <w:top w:val="none" w:sz="0" w:space="0" w:color="auto"/>
        <w:left w:val="none" w:sz="0" w:space="0" w:color="auto"/>
        <w:bottom w:val="none" w:sz="0" w:space="0" w:color="auto"/>
        <w:right w:val="none" w:sz="0" w:space="0" w:color="auto"/>
      </w:divBdr>
    </w:div>
    <w:div w:id="1208763525">
      <w:bodyDiv w:val="1"/>
      <w:marLeft w:val="0"/>
      <w:marRight w:val="0"/>
      <w:marTop w:val="0"/>
      <w:marBottom w:val="0"/>
      <w:divBdr>
        <w:top w:val="none" w:sz="0" w:space="0" w:color="auto"/>
        <w:left w:val="none" w:sz="0" w:space="0" w:color="auto"/>
        <w:bottom w:val="none" w:sz="0" w:space="0" w:color="auto"/>
        <w:right w:val="none" w:sz="0" w:space="0" w:color="auto"/>
      </w:divBdr>
    </w:div>
    <w:div w:id="1209299691">
      <w:bodyDiv w:val="1"/>
      <w:marLeft w:val="0"/>
      <w:marRight w:val="0"/>
      <w:marTop w:val="0"/>
      <w:marBottom w:val="0"/>
      <w:divBdr>
        <w:top w:val="none" w:sz="0" w:space="0" w:color="auto"/>
        <w:left w:val="none" w:sz="0" w:space="0" w:color="auto"/>
        <w:bottom w:val="none" w:sz="0" w:space="0" w:color="auto"/>
        <w:right w:val="none" w:sz="0" w:space="0" w:color="auto"/>
      </w:divBdr>
    </w:div>
    <w:div w:id="1209537482">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991714">
      <w:bodyDiv w:val="1"/>
      <w:marLeft w:val="0"/>
      <w:marRight w:val="0"/>
      <w:marTop w:val="0"/>
      <w:marBottom w:val="0"/>
      <w:divBdr>
        <w:top w:val="none" w:sz="0" w:space="0" w:color="auto"/>
        <w:left w:val="none" w:sz="0" w:space="0" w:color="auto"/>
        <w:bottom w:val="none" w:sz="0" w:space="0" w:color="auto"/>
        <w:right w:val="none" w:sz="0" w:space="0" w:color="auto"/>
      </w:divBdr>
    </w:div>
    <w:div w:id="1211377546">
      <w:bodyDiv w:val="1"/>
      <w:marLeft w:val="0"/>
      <w:marRight w:val="0"/>
      <w:marTop w:val="0"/>
      <w:marBottom w:val="0"/>
      <w:divBdr>
        <w:top w:val="none" w:sz="0" w:space="0" w:color="auto"/>
        <w:left w:val="none" w:sz="0" w:space="0" w:color="auto"/>
        <w:bottom w:val="none" w:sz="0" w:space="0" w:color="auto"/>
        <w:right w:val="none" w:sz="0" w:space="0" w:color="auto"/>
      </w:divBdr>
    </w:div>
    <w:div w:id="1212116056">
      <w:bodyDiv w:val="1"/>
      <w:marLeft w:val="0"/>
      <w:marRight w:val="0"/>
      <w:marTop w:val="0"/>
      <w:marBottom w:val="0"/>
      <w:divBdr>
        <w:top w:val="none" w:sz="0" w:space="0" w:color="auto"/>
        <w:left w:val="none" w:sz="0" w:space="0" w:color="auto"/>
        <w:bottom w:val="none" w:sz="0" w:space="0" w:color="auto"/>
        <w:right w:val="none" w:sz="0" w:space="0" w:color="auto"/>
      </w:divBdr>
    </w:div>
    <w:div w:id="1212301302">
      <w:bodyDiv w:val="1"/>
      <w:marLeft w:val="0"/>
      <w:marRight w:val="0"/>
      <w:marTop w:val="0"/>
      <w:marBottom w:val="0"/>
      <w:divBdr>
        <w:top w:val="none" w:sz="0" w:space="0" w:color="auto"/>
        <w:left w:val="none" w:sz="0" w:space="0" w:color="auto"/>
        <w:bottom w:val="none" w:sz="0" w:space="0" w:color="auto"/>
        <w:right w:val="none" w:sz="0" w:space="0" w:color="auto"/>
      </w:divBdr>
    </w:div>
    <w:div w:id="1214272210">
      <w:bodyDiv w:val="1"/>
      <w:marLeft w:val="0"/>
      <w:marRight w:val="0"/>
      <w:marTop w:val="0"/>
      <w:marBottom w:val="0"/>
      <w:divBdr>
        <w:top w:val="none" w:sz="0" w:space="0" w:color="auto"/>
        <w:left w:val="none" w:sz="0" w:space="0" w:color="auto"/>
        <w:bottom w:val="none" w:sz="0" w:space="0" w:color="auto"/>
        <w:right w:val="none" w:sz="0" w:space="0" w:color="auto"/>
      </w:divBdr>
    </w:div>
    <w:div w:id="1214587246">
      <w:bodyDiv w:val="1"/>
      <w:marLeft w:val="0"/>
      <w:marRight w:val="0"/>
      <w:marTop w:val="0"/>
      <w:marBottom w:val="0"/>
      <w:divBdr>
        <w:top w:val="none" w:sz="0" w:space="0" w:color="auto"/>
        <w:left w:val="none" w:sz="0" w:space="0" w:color="auto"/>
        <w:bottom w:val="none" w:sz="0" w:space="0" w:color="auto"/>
        <w:right w:val="none" w:sz="0" w:space="0" w:color="auto"/>
      </w:divBdr>
    </w:div>
    <w:div w:id="1214731316">
      <w:bodyDiv w:val="1"/>
      <w:marLeft w:val="0"/>
      <w:marRight w:val="0"/>
      <w:marTop w:val="0"/>
      <w:marBottom w:val="0"/>
      <w:divBdr>
        <w:top w:val="none" w:sz="0" w:space="0" w:color="auto"/>
        <w:left w:val="none" w:sz="0" w:space="0" w:color="auto"/>
        <w:bottom w:val="none" w:sz="0" w:space="0" w:color="auto"/>
        <w:right w:val="none" w:sz="0" w:space="0" w:color="auto"/>
      </w:divBdr>
    </w:div>
    <w:div w:id="1214735556">
      <w:bodyDiv w:val="1"/>
      <w:marLeft w:val="0"/>
      <w:marRight w:val="0"/>
      <w:marTop w:val="0"/>
      <w:marBottom w:val="0"/>
      <w:divBdr>
        <w:top w:val="none" w:sz="0" w:space="0" w:color="auto"/>
        <w:left w:val="none" w:sz="0" w:space="0" w:color="auto"/>
        <w:bottom w:val="none" w:sz="0" w:space="0" w:color="auto"/>
        <w:right w:val="none" w:sz="0" w:space="0" w:color="auto"/>
      </w:divBdr>
    </w:div>
    <w:div w:id="1215503692">
      <w:bodyDiv w:val="1"/>
      <w:marLeft w:val="0"/>
      <w:marRight w:val="0"/>
      <w:marTop w:val="0"/>
      <w:marBottom w:val="0"/>
      <w:divBdr>
        <w:top w:val="none" w:sz="0" w:space="0" w:color="auto"/>
        <w:left w:val="none" w:sz="0" w:space="0" w:color="auto"/>
        <w:bottom w:val="none" w:sz="0" w:space="0" w:color="auto"/>
        <w:right w:val="none" w:sz="0" w:space="0" w:color="auto"/>
      </w:divBdr>
    </w:div>
    <w:div w:id="1215893829">
      <w:bodyDiv w:val="1"/>
      <w:marLeft w:val="0"/>
      <w:marRight w:val="0"/>
      <w:marTop w:val="0"/>
      <w:marBottom w:val="0"/>
      <w:divBdr>
        <w:top w:val="none" w:sz="0" w:space="0" w:color="auto"/>
        <w:left w:val="none" w:sz="0" w:space="0" w:color="auto"/>
        <w:bottom w:val="none" w:sz="0" w:space="0" w:color="auto"/>
        <w:right w:val="none" w:sz="0" w:space="0" w:color="auto"/>
      </w:divBdr>
    </w:div>
    <w:div w:id="1216356658">
      <w:bodyDiv w:val="1"/>
      <w:marLeft w:val="0"/>
      <w:marRight w:val="0"/>
      <w:marTop w:val="0"/>
      <w:marBottom w:val="0"/>
      <w:divBdr>
        <w:top w:val="none" w:sz="0" w:space="0" w:color="auto"/>
        <w:left w:val="none" w:sz="0" w:space="0" w:color="auto"/>
        <w:bottom w:val="none" w:sz="0" w:space="0" w:color="auto"/>
        <w:right w:val="none" w:sz="0" w:space="0" w:color="auto"/>
      </w:divBdr>
    </w:div>
    <w:div w:id="1216814511">
      <w:bodyDiv w:val="1"/>
      <w:marLeft w:val="0"/>
      <w:marRight w:val="0"/>
      <w:marTop w:val="0"/>
      <w:marBottom w:val="0"/>
      <w:divBdr>
        <w:top w:val="none" w:sz="0" w:space="0" w:color="auto"/>
        <w:left w:val="none" w:sz="0" w:space="0" w:color="auto"/>
        <w:bottom w:val="none" w:sz="0" w:space="0" w:color="auto"/>
        <w:right w:val="none" w:sz="0" w:space="0" w:color="auto"/>
      </w:divBdr>
    </w:div>
    <w:div w:id="1217162786">
      <w:bodyDiv w:val="1"/>
      <w:marLeft w:val="0"/>
      <w:marRight w:val="0"/>
      <w:marTop w:val="0"/>
      <w:marBottom w:val="0"/>
      <w:divBdr>
        <w:top w:val="none" w:sz="0" w:space="0" w:color="auto"/>
        <w:left w:val="none" w:sz="0" w:space="0" w:color="auto"/>
        <w:bottom w:val="none" w:sz="0" w:space="0" w:color="auto"/>
        <w:right w:val="none" w:sz="0" w:space="0" w:color="auto"/>
      </w:divBdr>
    </w:div>
    <w:div w:id="1217551799">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0240372">
      <w:bodyDiv w:val="1"/>
      <w:marLeft w:val="0"/>
      <w:marRight w:val="0"/>
      <w:marTop w:val="0"/>
      <w:marBottom w:val="0"/>
      <w:divBdr>
        <w:top w:val="none" w:sz="0" w:space="0" w:color="auto"/>
        <w:left w:val="none" w:sz="0" w:space="0" w:color="auto"/>
        <w:bottom w:val="none" w:sz="0" w:space="0" w:color="auto"/>
        <w:right w:val="none" w:sz="0" w:space="0" w:color="auto"/>
      </w:divBdr>
    </w:div>
    <w:div w:id="1220478250">
      <w:bodyDiv w:val="1"/>
      <w:marLeft w:val="0"/>
      <w:marRight w:val="0"/>
      <w:marTop w:val="0"/>
      <w:marBottom w:val="0"/>
      <w:divBdr>
        <w:top w:val="none" w:sz="0" w:space="0" w:color="auto"/>
        <w:left w:val="none" w:sz="0" w:space="0" w:color="auto"/>
        <w:bottom w:val="none" w:sz="0" w:space="0" w:color="auto"/>
        <w:right w:val="none" w:sz="0" w:space="0" w:color="auto"/>
      </w:divBdr>
    </w:div>
    <w:div w:id="1220674529">
      <w:bodyDiv w:val="1"/>
      <w:marLeft w:val="0"/>
      <w:marRight w:val="0"/>
      <w:marTop w:val="0"/>
      <w:marBottom w:val="0"/>
      <w:divBdr>
        <w:top w:val="none" w:sz="0" w:space="0" w:color="auto"/>
        <w:left w:val="none" w:sz="0" w:space="0" w:color="auto"/>
        <w:bottom w:val="none" w:sz="0" w:space="0" w:color="auto"/>
        <w:right w:val="none" w:sz="0" w:space="0" w:color="auto"/>
      </w:divBdr>
    </w:div>
    <w:div w:id="1220677529">
      <w:bodyDiv w:val="1"/>
      <w:marLeft w:val="0"/>
      <w:marRight w:val="0"/>
      <w:marTop w:val="0"/>
      <w:marBottom w:val="0"/>
      <w:divBdr>
        <w:top w:val="none" w:sz="0" w:space="0" w:color="auto"/>
        <w:left w:val="none" w:sz="0" w:space="0" w:color="auto"/>
        <w:bottom w:val="none" w:sz="0" w:space="0" w:color="auto"/>
        <w:right w:val="none" w:sz="0" w:space="0" w:color="auto"/>
      </w:divBdr>
    </w:div>
    <w:div w:id="1221019662">
      <w:bodyDiv w:val="1"/>
      <w:marLeft w:val="0"/>
      <w:marRight w:val="0"/>
      <w:marTop w:val="0"/>
      <w:marBottom w:val="0"/>
      <w:divBdr>
        <w:top w:val="none" w:sz="0" w:space="0" w:color="auto"/>
        <w:left w:val="none" w:sz="0" w:space="0" w:color="auto"/>
        <w:bottom w:val="none" w:sz="0" w:space="0" w:color="auto"/>
        <w:right w:val="none" w:sz="0" w:space="0" w:color="auto"/>
      </w:divBdr>
    </w:div>
    <w:div w:id="1221329773">
      <w:bodyDiv w:val="1"/>
      <w:marLeft w:val="0"/>
      <w:marRight w:val="0"/>
      <w:marTop w:val="0"/>
      <w:marBottom w:val="0"/>
      <w:divBdr>
        <w:top w:val="none" w:sz="0" w:space="0" w:color="auto"/>
        <w:left w:val="none" w:sz="0" w:space="0" w:color="auto"/>
        <w:bottom w:val="none" w:sz="0" w:space="0" w:color="auto"/>
        <w:right w:val="none" w:sz="0" w:space="0" w:color="auto"/>
      </w:divBdr>
    </w:div>
    <w:div w:id="1221408610">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2399941">
      <w:bodyDiv w:val="1"/>
      <w:marLeft w:val="0"/>
      <w:marRight w:val="0"/>
      <w:marTop w:val="0"/>
      <w:marBottom w:val="0"/>
      <w:divBdr>
        <w:top w:val="none" w:sz="0" w:space="0" w:color="auto"/>
        <w:left w:val="none" w:sz="0" w:space="0" w:color="auto"/>
        <w:bottom w:val="none" w:sz="0" w:space="0" w:color="auto"/>
        <w:right w:val="none" w:sz="0" w:space="0" w:color="auto"/>
      </w:divBdr>
    </w:div>
    <w:div w:id="1222403482">
      <w:bodyDiv w:val="1"/>
      <w:marLeft w:val="0"/>
      <w:marRight w:val="0"/>
      <w:marTop w:val="0"/>
      <w:marBottom w:val="0"/>
      <w:divBdr>
        <w:top w:val="none" w:sz="0" w:space="0" w:color="auto"/>
        <w:left w:val="none" w:sz="0" w:space="0" w:color="auto"/>
        <w:bottom w:val="none" w:sz="0" w:space="0" w:color="auto"/>
        <w:right w:val="none" w:sz="0" w:space="0" w:color="auto"/>
      </w:divBdr>
    </w:div>
    <w:div w:id="1222599671">
      <w:bodyDiv w:val="1"/>
      <w:marLeft w:val="0"/>
      <w:marRight w:val="0"/>
      <w:marTop w:val="0"/>
      <w:marBottom w:val="0"/>
      <w:divBdr>
        <w:top w:val="none" w:sz="0" w:space="0" w:color="auto"/>
        <w:left w:val="none" w:sz="0" w:space="0" w:color="auto"/>
        <w:bottom w:val="none" w:sz="0" w:space="0" w:color="auto"/>
        <w:right w:val="none" w:sz="0" w:space="0" w:color="auto"/>
      </w:divBdr>
    </w:div>
    <w:div w:id="1223058062">
      <w:bodyDiv w:val="1"/>
      <w:marLeft w:val="0"/>
      <w:marRight w:val="0"/>
      <w:marTop w:val="0"/>
      <w:marBottom w:val="0"/>
      <w:divBdr>
        <w:top w:val="none" w:sz="0" w:space="0" w:color="auto"/>
        <w:left w:val="none" w:sz="0" w:space="0" w:color="auto"/>
        <w:bottom w:val="none" w:sz="0" w:space="0" w:color="auto"/>
        <w:right w:val="none" w:sz="0" w:space="0" w:color="auto"/>
      </w:divBdr>
    </w:div>
    <w:div w:id="1223757889">
      <w:bodyDiv w:val="1"/>
      <w:marLeft w:val="0"/>
      <w:marRight w:val="0"/>
      <w:marTop w:val="0"/>
      <w:marBottom w:val="0"/>
      <w:divBdr>
        <w:top w:val="none" w:sz="0" w:space="0" w:color="auto"/>
        <w:left w:val="none" w:sz="0" w:space="0" w:color="auto"/>
        <w:bottom w:val="none" w:sz="0" w:space="0" w:color="auto"/>
        <w:right w:val="none" w:sz="0" w:space="0" w:color="auto"/>
      </w:divBdr>
    </w:div>
    <w:div w:id="1223909594">
      <w:bodyDiv w:val="1"/>
      <w:marLeft w:val="0"/>
      <w:marRight w:val="0"/>
      <w:marTop w:val="0"/>
      <w:marBottom w:val="0"/>
      <w:divBdr>
        <w:top w:val="none" w:sz="0" w:space="0" w:color="auto"/>
        <w:left w:val="none" w:sz="0" w:space="0" w:color="auto"/>
        <w:bottom w:val="none" w:sz="0" w:space="0" w:color="auto"/>
        <w:right w:val="none" w:sz="0" w:space="0" w:color="auto"/>
      </w:divBdr>
    </w:div>
    <w:div w:id="122475128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5869558">
      <w:bodyDiv w:val="1"/>
      <w:marLeft w:val="0"/>
      <w:marRight w:val="0"/>
      <w:marTop w:val="0"/>
      <w:marBottom w:val="0"/>
      <w:divBdr>
        <w:top w:val="none" w:sz="0" w:space="0" w:color="auto"/>
        <w:left w:val="none" w:sz="0" w:space="0" w:color="auto"/>
        <w:bottom w:val="none" w:sz="0" w:space="0" w:color="auto"/>
        <w:right w:val="none" w:sz="0" w:space="0" w:color="auto"/>
      </w:divBdr>
    </w:div>
    <w:div w:id="1225871306">
      <w:bodyDiv w:val="1"/>
      <w:marLeft w:val="0"/>
      <w:marRight w:val="0"/>
      <w:marTop w:val="0"/>
      <w:marBottom w:val="0"/>
      <w:divBdr>
        <w:top w:val="none" w:sz="0" w:space="0" w:color="auto"/>
        <w:left w:val="none" w:sz="0" w:space="0" w:color="auto"/>
        <w:bottom w:val="none" w:sz="0" w:space="0" w:color="auto"/>
        <w:right w:val="none" w:sz="0" w:space="0" w:color="auto"/>
      </w:divBdr>
    </w:div>
    <w:div w:id="1225945473">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6725107">
      <w:bodyDiv w:val="1"/>
      <w:marLeft w:val="0"/>
      <w:marRight w:val="0"/>
      <w:marTop w:val="0"/>
      <w:marBottom w:val="0"/>
      <w:divBdr>
        <w:top w:val="none" w:sz="0" w:space="0" w:color="auto"/>
        <w:left w:val="none" w:sz="0" w:space="0" w:color="auto"/>
        <w:bottom w:val="none" w:sz="0" w:space="0" w:color="auto"/>
        <w:right w:val="none" w:sz="0" w:space="0" w:color="auto"/>
      </w:divBdr>
    </w:div>
    <w:div w:id="1226838889">
      <w:bodyDiv w:val="1"/>
      <w:marLeft w:val="0"/>
      <w:marRight w:val="0"/>
      <w:marTop w:val="0"/>
      <w:marBottom w:val="0"/>
      <w:divBdr>
        <w:top w:val="none" w:sz="0" w:space="0" w:color="auto"/>
        <w:left w:val="none" w:sz="0" w:space="0" w:color="auto"/>
        <w:bottom w:val="none" w:sz="0" w:space="0" w:color="auto"/>
        <w:right w:val="none" w:sz="0" w:space="0" w:color="auto"/>
      </w:divBdr>
    </w:div>
    <w:div w:id="1226910257">
      <w:bodyDiv w:val="1"/>
      <w:marLeft w:val="0"/>
      <w:marRight w:val="0"/>
      <w:marTop w:val="0"/>
      <w:marBottom w:val="0"/>
      <w:divBdr>
        <w:top w:val="none" w:sz="0" w:space="0" w:color="auto"/>
        <w:left w:val="none" w:sz="0" w:space="0" w:color="auto"/>
        <w:bottom w:val="none" w:sz="0" w:space="0" w:color="auto"/>
        <w:right w:val="none" w:sz="0" w:space="0" w:color="auto"/>
      </w:divBdr>
    </w:div>
    <w:div w:id="122725442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58395">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2260">
      <w:bodyDiv w:val="1"/>
      <w:marLeft w:val="0"/>
      <w:marRight w:val="0"/>
      <w:marTop w:val="0"/>
      <w:marBottom w:val="0"/>
      <w:divBdr>
        <w:top w:val="none" w:sz="0" w:space="0" w:color="auto"/>
        <w:left w:val="none" w:sz="0" w:space="0" w:color="auto"/>
        <w:bottom w:val="none" w:sz="0" w:space="0" w:color="auto"/>
        <w:right w:val="none" w:sz="0" w:space="0" w:color="auto"/>
      </w:divBdr>
    </w:div>
    <w:div w:id="1230463872">
      <w:bodyDiv w:val="1"/>
      <w:marLeft w:val="0"/>
      <w:marRight w:val="0"/>
      <w:marTop w:val="0"/>
      <w:marBottom w:val="0"/>
      <w:divBdr>
        <w:top w:val="none" w:sz="0" w:space="0" w:color="auto"/>
        <w:left w:val="none" w:sz="0" w:space="0" w:color="auto"/>
        <w:bottom w:val="none" w:sz="0" w:space="0" w:color="auto"/>
        <w:right w:val="none" w:sz="0" w:space="0" w:color="auto"/>
      </w:divBdr>
    </w:div>
    <w:div w:id="1230581891">
      <w:bodyDiv w:val="1"/>
      <w:marLeft w:val="0"/>
      <w:marRight w:val="0"/>
      <w:marTop w:val="0"/>
      <w:marBottom w:val="0"/>
      <w:divBdr>
        <w:top w:val="none" w:sz="0" w:space="0" w:color="auto"/>
        <w:left w:val="none" w:sz="0" w:space="0" w:color="auto"/>
        <w:bottom w:val="none" w:sz="0" w:space="0" w:color="auto"/>
        <w:right w:val="none" w:sz="0" w:space="0" w:color="auto"/>
      </w:divBdr>
    </w:div>
    <w:div w:id="1231889236">
      <w:bodyDiv w:val="1"/>
      <w:marLeft w:val="0"/>
      <w:marRight w:val="0"/>
      <w:marTop w:val="0"/>
      <w:marBottom w:val="0"/>
      <w:divBdr>
        <w:top w:val="none" w:sz="0" w:space="0" w:color="auto"/>
        <w:left w:val="none" w:sz="0" w:space="0" w:color="auto"/>
        <w:bottom w:val="none" w:sz="0" w:space="0" w:color="auto"/>
        <w:right w:val="none" w:sz="0" w:space="0" w:color="auto"/>
      </w:divBdr>
    </w:div>
    <w:div w:id="1231959654">
      <w:bodyDiv w:val="1"/>
      <w:marLeft w:val="0"/>
      <w:marRight w:val="0"/>
      <w:marTop w:val="0"/>
      <w:marBottom w:val="0"/>
      <w:divBdr>
        <w:top w:val="none" w:sz="0" w:space="0" w:color="auto"/>
        <w:left w:val="none" w:sz="0" w:space="0" w:color="auto"/>
        <w:bottom w:val="none" w:sz="0" w:space="0" w:color="auto"/>
        <w:right w:val="none" w:sz="0" w:space="0" w:color="auto"/>
      </w:divBdr>
    </w:div>
    <w:div w:id="1235049010">
      <w:bodyDiv w:val="1"/>
      <w:marLeft w:val="0"/>
      <w:marRight w:val="0"/>
      <w:marTop w:val="0"/>
      <w:marBottom w:val="0"/>
      <w:divBdr>
        <w:top w:val="none" w:sz="0" w:space="0" w:color="auto"/>
        <w:left w:val="none" w:sz="0" w:space="0" w:color="auto"/>
        <w:bottom w:val="none" w:sz="0" w:space="0" w:color="auto"/>
        <w:right w:val="none" w:sz="0" w:space="0" w:color="auto"/>
      </w:divBdr>
    </w:div>
    <w:div w:id="1235235776">
      <w:bodyDiv w:val="1"/>
      <w:marLeft w:val="0"/>
      <w:marRight w:val="0"/>
      <w:marTop w:val="0"/>
      <w:marBottom w:val="0"/>
      <w:divBdr>
        <w:top w:val="none" w:sz="0" w:space="0" w:color="auto"/>
        <w:left w:val="none" w:sz="0" w:space="0" w:color="auto"/>
        <w:bottom w:val="none" w:sz="0" w:space="0" w:color="auto"/>
        <w:right w:val="none" w:sz="0" w:space="0" w:color="auto"/>
      </w:divBdr>
    </w:div>
    <w:div w:id="1235317942">
      <w:bodyDiv w:val="1"/>
      <w:marLeft w:val="0"/>
      <w:marRight w:val="0"/>
      <w:marTop w:val="0"/>
      <w:marBottom w:val="0"/>
      <w:divBdr>
        <w:top w:val="none" w:sz="0" w:space="0" w:color="auto"/>
        <w:left w:val="none" w:sz="0" w:space="0" w:color="auto"/>
        <w:bottom w:val="none" w:sz="0" w:space="0" w:color="auto"/>
        <w:right w:val="none" w:sz="0" w:space="0" w:color="auto"/>
      </w:divBdr>
    </w:div>
    <w:div w:id="1236091581">
      <w:bodyDiv w:val="1"/>
      <w:marLeft w:val="0"/>
      <w:marRight w:val="0"/>
      <w:marTop w:val="0"/>
      <w:marBottom w:val="0"/>
      <w:divBdr>
        <w:top w:val="none" w:sz="0" w:space="0" w:color="auto"/>
        <w:left w:val="none" w:sz="0" w:space="0" w:color="auto"/>
        <w:bottom w:val="none" w:sz="0" w:space="0" w:color="auto"/>
        <w:right w:val="none" w:sz="0" w:space="0" w:color="auto"/>
      </w:divBdr>
    </w:div>
    <w:div w:id="1236890912">
      <w:bodyDiv w:val="1"/>
      <w:marLeft w:val="0"/>
      <w:marRight w:val="0"/>
      <w:marTop w:val="0"/>
      <w:marBottom w:val="0"/>
      <w:divBdr>
        <w:top w:val="none" w:sz="0" w:space="0" w:color="auto"/>
        <w:left w:val="none" w:sz="0" w:space="0" w:color="auto"/>
        <w:bottom w:val="none" w:sz="0" w:space="0" w:color="auto"/>
        <w:right w:val="none" w:sz="0" w:space="0" w:color="auto"/>
      </w:divBdr>
    </w:div>
    <w:div w:id="1237785281">
      <w:bodyDiv w:val="1"/>
      <w:marLeft w:val="0"/>
      <w:marRight w:val="0"/>
      <w:marTop w:val="0"/>
      <w:marBottom w:val="0"/>
      <w:divBdr>
        <w:top w:val="none" w:sz="0" w:space="0" w:color="auto"/>
        <w:left w:val="none" w:sz="0" w:space="0" w:color="auto"/>
        <w:bottom w:val="none" w:sz="0" w:space="0" w:color="auto"/>
        <w:right w:val="none" w:sz="0" w:space="0" w:color="auto"/>
      </w:divBdr>
    </w:div>
    <w:div w:id="1237932873">
      <w:bodyDiv w:val="1"/>
      <w:marLeft w:val="0"/>
      <w:marRight w:val="0"/>
      <w:marTop w:val="0"/>
      <w:marBottom w:val="0"/>
      <w:divBdr>
        <w:top w:val="none" w:sz="0" w:space="0" w:color="auto"/>
        <w:left w:val="none" w:sz="0" w:space="0" w:color="auto"/>
        <w:bottom w:val="none" w:sz="0" w:space="0" w:color="auto"/>
        <w:right w:val="none" w:sz="0" w:space="0" w:color="auto"/>
      </w:divBdr>
    </w:div>
    <w:div w:id="1238324625">
      <w:bodyDiv w:val="1"/>
      <w:marLeft w:val="0"/>
      <w:marRight w:val="0"/>
      <w:marTop w:val="0"/>
      <w:marBottom w:val="0"/>
      <w:divBdr>
        <w:top w:val="none" w:sz="0" w:space="0" w:color="auto"/>
        <w:left w:val="none" w:sz="0" w:space="0" w:color="auto"/>
        <w:bottom w:val="none" w:sz="0" w:space="0" w:color="auto"/>
        <w:right w:val="none" w:sz="0" w:space="0" w:color="auto"/>
      </w:divBdr>
    </w:div>
    <w:div w:id="1238789294">
      <w:bodyDiv w:val="1"/>
      <w:marLeft w:val="0"/>
      <w:marRight w:val="0"/>
      <w:marTop w:val="0"/>
      <w:marBottom w:val="0"/>
      <w:divBdr>
        <w:top w:val="none" w:sz="0" w:space="0" w:color="auto"/>
        <w:left w:val="none" w:sz="0" w:space="0" w:color="auto"/>
        <w:bottom w:val="none" w:sz="0" w:space="0" w:color="auto"/>
        <w:right w:val="none" w:sz="0" w:space="0" w:color="auto"/>
      </w:divBdr>
    </w:div>
    <w:div w:id="1240099626">
      <w:bodyDiv w:val="1"/>
      <w:marLeft w:val="0"/>
      <w:marRight w:val="0"/>
      <w:marTop w:val="0"/>
      <w:marBottom w:val="0"/>
      <w:divBdr>
        <w:top w:val="none" w:sz="0" w:space="0" w:color="auto"/>
        <w:left w:val="none" w:sz="0" w:space="0" w:color="auto"/>
        <w:bottom w:val="none" w:sz="0" w:space="0" w:color="auto"/>
        <w:right w:val="none" w:sz="0" w:space="0" w:color="auto"/>
      </w:divBdr>
    </w:div>
    <w:div w:id="1240284996">
      <w:bodyDiv w:val="1"/>
      <w:marLeft w:val="0"/>
      <w:marRight w:val="0"/>
      <w:marTop w:val="0"/>
      <w:marBottom w:val="0"/>
      <w:divBdr>
        <w:top w:val="none" w:sz="0" w:space="0" w:color="auto"/>
        <w:left w:val="none" w:sz="0" w:space="0" w:color="auto"/>
        <w:bottom w:val="none" w:sz="0" w:space="0" w:color="auto"/>
        <w:right w:val="none" w:sz="0" w:space="0" w:color="auto"/>
      </w:divBdr>
    </w:div>
    <w:div w:id="12402864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941041">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368131">
      <w:bodyDiv w:val="1"/>
      <w:marLeft w:val="0"/>
      <w:marRight w:val="0"/>
      <w:marTop w:val="0"/>
      <w:marBottom w:val="0"/>
      <w:divBdr>
        <w:top w:val="none" w:sz="0" w:space="0" w:color="auto"/>
        <w:left w:val="none" w:sz="0" w:space="0" w:color="auto"/>
        <w:bottom w:val="none" w:sz="0" w:space="0" w:color="auto"/>
        <w:right w:val="none" w:sz="0" w:space="0" w:color="auto"/>
      </w:divBdr>
    </w:div>
    <w:div w:id="1242452535">
      <w:bodyDiv w:val="1"/>
      <w:marLeft w:val="0"/>
      <w:marRight w:val="0"/>
      <w:marTop w:val="0"/>
      <w:marBottom w:val="0"/>
      <w:divBdr>
        <w:top w:val="none" w:sz="0" w:space="0" w:color="auto"/>
        <w:left w:val="none" w:sz="0" w:space="0" w:color="auto"/>
        <w:bottom w:val="none" w:sz="0" w:space="0" w:color="auto"/>
        <w:right w:val="none" w:sz="0" w:space="0" w:color="auto"/>
      </w:divBdr>
    </w:div>
    <w:div w:id="1242835585">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2912524">
      <w:bodyDiv w:val="1"/>
      <w:marLeft w:val="0"/>
      <w:marRight w:val="0"/>
      <w:marTop w:val="0"/>
      <w:marBottom w:val="0"/>
      <w:divBdr>
        <w:top w:val="none" w:sz="0" w:space="0" w:color="auto"/>
        <w:left w:val="none" w:sz="0" w:space="0" w:color="auto"/>
        <w:bottom w:val="none" w:sz="0" w:space="0" w:color="auto"/>
        <w:right w:val="none" w:sz="0" w:space="0" w:color="auto"/>
      </w:divBdr>
    </w:div>
    <w:div w:id="1242983819">
      <w:bodyDiv w:val="1"/>
      <w:marLeft w:val="0"/>
      <w:marRight w:val="0"/>
      <w:marTop w:val="0"/>
      <w:marBottom w:val="0"/>
      <w:divBdr>
        <w:top w:val="none" w:sz="0" w:space="0" w:color="auto"/>
        <w:left w:val="none" w:sz="0" w:space="0" w:color="auto"/>
        <w:bottom w:val="none" w:sz="0" w:space="0" w:color="auto"/>
        <w:right w:val="none" w:sz="0" w:space="0" w:color="auto"/>
      </w:divBdr>
    </w:div>
    <w:div w:id="124429082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4988995">
      <w:bodyDiv w:val="1"/>
      <w:marLeft w:val="0"/>
      <w:marRight w:val="0"/>
      <w:marTop w:val="0"/>
      <w:marBottom w:val="0"/>
      <w:divBdr>
        <w:top w:val="none" w:sz="0" w:space="0" w:color="auto"/>
        <w:left w:val="none" w:sz="0" w:space="0" w:color="auto"/>
        <w:bottom w:val="none" w:sz="0" w:space="0" w:color="auto"/>
        <w:right w:val="none" w:sz="0" w:space="0" w:color="auto"/>
      </w:divBdr>
    </w:div>
    <w:div w:id="1245916638">
      <w:bodyDiv w:val="1"/>
      <w:marLeft w:val="0"/>
      <w:marRight w:val="0"/>
      <w:marTop w:val="0"/>
      <w:marBottom w:val="0"/>
      <w:divBdr>
        <w:top w:val="none" w:sz="0" w:space="0" w:color="auto"/>
        <w:left w:val="none" w:sz="0" w:space="0" w:color="auto"/>
        <w:bottom w:val="none" w:sz="0" w:space="0" w:color="auto"/>
        <w:right w:val="none" w:sz="0" w:space="0" w:color="auto"/>
      </w:divBdr>
    </w:div>
    <w:div w:id="1246452455">
      <w:bodyDiv w:val="1"/>
      <w:marLeft w:val="0"/>
      <w:marRight w:val="0"/>
      <w:marTop w:val="0"/>
      <w:marBottom w:val="0"/>
      <w:divBdr>
        <w:top w:val="none" w:sz="0" w:space="0" w:color="auto"/>
        <w:left w:val="none" w:sz="0" w:space="0" w:color="auto"/>
        <w:bottom w:val="none" w:sz="0" w:space="0" w:color="auto"/>
        <w:right w:val="none" w:sz="0" w:space="0" w:color="auto"/>
      </w:divBdr>
    </w:div>
    <w:div w:id="1246498509">
      <w:bodyDiv w:val="1"/>
      <w:marLeft w:val="0"/>
      <w:marRight w:val="0"/>
      <w:marTop w:val="0"/>
      <w:marBottom w:val="0"/>
      <w:divBdr>
        <w:top w:val="none" w:sz="0" w:space="0" w:color="auto"/>
        <w:left w:val="none" w:sz="0" w:space="0" w:color="auto"/>
        <w:bottom w:val="none" w:sz="0" w:space="0" w:color="auto"/>
        <w:right w:val="none" w:sz="0" w:space="0" w:color="auto"/>
      </w:divBdr>
    </w:div>
    <w:div w:id="1249656375">
      <w:bodyDiv w:val="1"/>
      <w:marLeft w:val="0"/>
      <w:marRight w:val="0"/>
      <w:marTop w:val="0"/>
      <w:marBottom w:val="0"/>
      <w:divBdr>
        <w:top w:val="none" w:sz="0" w:space="0" w:color="auto"/>
        <w:left w:val="none" w:sz="0" w:space="0" w:color="auto"/>
        <w:bottom w:val="none" w:sz="0" w:space="0" w:color="auto"/>
        <w:right w:val="none" w:sz="0" w:space="0" w:color="auto"/>
      </w:divBdr>
    </w:div>
    <w:div w:id="1249657944">
      <w:bodyDiv w:val="1"/>
      <w:marLeft w:val="0"/>
      <w:marRight w:val="0"/>
      <w:marTop w:val="0"/>
      <w:marBottom w:val="0"/>
      <w:divBdr>
        <w:top w:val="none" w:sz="0" w:space="0" w:color="auto"/>
        <w:left w:val="none" w:sz="0" w:space="0" w:color="auto"/>
        <w:bottom w:val="none" w:sz="0" w:space="0" w:color="auto"/>
        <w:right w:val="none" w:sz="0" w:space="0" w:color="auto"/>
      </w:divBdr>
    </w:div>
    <w:div w:id="124973591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196735">
      <w:bodyDiv w:val="1"/>
      <w:marLeft w:val="0"/>
      <w:marRight w:val="0"/>
      <w:marTop w:val="0"/>
      <w:marBottom w:val="0"/>
      <w:divBdr>
        <w:top w:val="none" w:sz="0" w:space="0" w:color="auto"/>
        <w:left w:val="none" w:sz="0" w:space="0" w:color="auto"/>
        <w:bottom w:val="none" w:sz="0" w:space="0" w:color="auto"/>
        <w:right w:val="none" w:sz="0" w:space="0" w:color="auto"/>
      </w:divBdr>
    </w:div>
    <w:div w:id="1250888287">
      <w:bodyDiv w:val="1"/>
      <w:marLeft w:val="0"/>
      <w:marRight w:val="0"/>
      <w:marTop w:val="0"/>
      <w:marBottom w:val="0"/>
      <w:divBdr>
        <w:top w:val="none" w:sz="0" w:space="0" w:color="auto"/>
        <w:left w:val="none" w:sz="0" w:space="0" w:color="auto"/>
        <w:bottom w:val="none" w:sz="0" w:space="0" w:color="auto"/>
        <w:right w:val="none" w:sz="0" w:space="0" w:color="auto"/>
      </w:divBdr>
    </w:div>
    <w:div w:id="1251085459">
      <w:bodyDiv w:val="1"/>
      <w:marLeft w:val="0"/>
      <w:marRight w:val="0"/>
      <w:marTop w:val="0"/>
      <w:marBottom w:val="0"/>
      <w:divBdr>
        <w:top w:val="none" w:sz="0" w:space="0" w:color="auto"/>
        <w:left w:val="none" w:sz="0" w:space="0" w:color="auto"/>
        <w:bottom w:val="none" w:sz="0" w:space="0" w:color="auto"/>
        <w:right w:val="none" w:sz="0" w:space="0" w:color="auto"/>
      </w:divBdr>
    </w:div>
    <w:div w:id="1252741733">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660464">
      <w:bodyDiv w:val="1"/>
      <w:marLeft w:val="0"/>
      <w:marRight w:val="0"/>
      <w:marTop w:val="0"/>
      <w:marBottom w:val="0"/>
      <w:divBdr>
        <w:top w:val="none" w:sz="0" w:space="0" w:color="auto"/>
        <w:left w:val="none" w:sz="0" w:space="0" w:color="auto"/>
        <w:bottom w:val="none" w:sz="0" w:space="0" w:color="auto"/>
        <w:right w:val="none" w:sz="0" w:space="0" w:color="auto"/>
      </w:divBdr>
    </w:div>
    <w:div w:id="1253664045">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701009">
      <w:bodyDiv w:val="1"/>
      <w:marLeft w:val="0"/>
      <w:marRight w:val="0"/>
      <w:marTop w:val="0"/>
      <w:marBottom w:val="0"/>
      <w:divBdr>
        <w:top w:val="none" w:sz="0" w:space="0" w:color="auto"/>
        <w:left w:val="none" w:sz="0" w:space="0" w:color="auto"/>
        <w:bottom w:val="none" w:sz="0" w:space="0" w:color="auto"/>
        <w:right w:val="none" w:sz="0" w:space="0" w:color="auto"/>
      </w:divBdr>
    </w:div>
    <w:div w:id="1254704957">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55169725">
      <w:bodyDiv w:val="1"/>
      <w:marLeft w:val="0"/>
      <w:marRight w:val="0"/>
      <w:marTop w:val="0"/>
      <w:marBottom w:val="0"/>
      <w:divBdr>
        <w:top w:val="none" w:sz="0" w:space="0" w:color="auto"/>
        <w:left w:val="none" w:sz="0" w:space="0" w:color="auto"/>
        <w:bottom w:val="none" w:sz="0" w:space="0" w:color="auto"/>
        <w:right w:val="none" w:sz="0" w:space="0" w:color="auto"/>
      </w:divBdr>
    </w:div>
    <w:div w:id="1255897823">
      <w:bodyDiv w:val="1"/>
      <w:marLeft w:val="0"/>
      <w:marRight w:val="0"/>
      <w:marTop w:val="0"/>
      <w:marBottom w:val="0"/>
      <w:divBdr>
        <w:top w:val="none" w:sz="0" w:space="0" w:color="auto"/>
        <w:left w:val="none" w:sz="0" w:space="0" w:color="auto"/>
        <w:bottom w:val="none" w:sz="0" w:space="0" w:color="auto"/>
        <w:right w:val="none" w:sz="0" w:space="0" w:color="auto"/>
      </w:divBdr>
    </w:div>
    <w:div w:id="1256549748">
      <w:bodyDiv w:val="1"/>
      <w:marLeft w:val="0"/>
      <w:marRight w:val="0"/>
      <w:marTop w:val="0"/>
      <w:marBottom w:val="0"/>
      <w:divBdr>
        <w:top w:val="none" w:sz="0" w:space="0" w:color="auto"/>
        <w:left w:val="none" w:sz="0" w:space="0" w:color="auto"/>
        <w:bottom w:val="none" w:sz="0" w:space="0" w:color="auto"/>
        <w:right w:val="none" w:sz="0" w:space="0" w:color="auto"/>
      </w:divBdr>
    </w:div>
    <w:div w:id="1256667412">
      <w:bodyDiv w:val="1"/>
      <w:marLeft w:val="0"/>
      <w:marRight w:val="0"/>
      <w:marTop w:val="0"/>
      <w:marBottom w:val="0"/>
      <w:divBdr>
        <w:top w:val="none" w:sz="0" w:space="0" w:color="auto"/>
        <w:left w:val="none" w:sz="0" w:space="0" w:color="auto"/>
        <w:bottom w:val="none" w:sz="0" w:space="0" w:color="auto"/>
        <w:right w:val="none" w:sz="0" w:space="0" w:color="auto"/>
      </w:divBdr>
    </w:div>
    <w:div w:id="1256745759">
      <w:bodyDiv w:val="1"/>
      <w:marLeft w:val="0"/>
      <w:marRight w:val="0"/>
      <w:marTop w:val="0"/>
      <w:marBottom w:val="0"/>
      <w:divBdr>
        <w:top w:val="none" w:sz="0" w:space="0" w:color="auto"/>
        <w:left w:val="none" w:sz="0" w:space="0" w:color="auto"/>
        <w:bottom w:val="none" w:sz="0" w:space="0" w:color="auto"/>
        <w:right w:val="none" w:sz="0" w:space="0" w:color="auto"/>
      </w:divBdr>
    </w:div>
    <w:div w:id="1257520897">
      <w:bodyDiv w:val="1"/>
      <w:marLeft w:val="0"/>
      <w:marRight w:val="0"/>
      <w:marTop w:val="0"/>
      <w:marBottom w:val="0"/>
      <w:divBdr>
        <w:top w:val="none" w:sz="0" w:space="0" w:color="auto"/>
        <w:left w:val="none" w:sz="0" w:space="0" w:color="auto"/>
        <w:bottom w:val="none" w:sz="0" w:space="0" w:color="auto"/>
        <w:right w:val="none" w:sz="0" w:space="0" w:color="auto"/>
      </w:divBdr>
    </w:div>
    <w:div w:id="1259097218">
      <w:bodyDiv w:val="1"/>
      <w:marLeft w:val="0"/>
      <w:marRight w:val="0"/>
      <w:marTop w:val="0"/>
      <w:marBottom w:val="0"/>
      <w:divBdr>
        <w:top w:val="none" w:sz="0" w:space="0" w:color="auto"/>
        <w:left w:val="none" w:sz="0" w:space="0" w:color="auto"/>
        <w:bottom w:val="none" w:sz="0" w:space="0" w:color="auto"/>
        <w:right w:val="none" w:sz="0" w:space="0" w:color="auto"/>
      </w:divBdr>
    </w:div>
    <w:div w:id="1259487476">
      <w:bodyDiv w:val="1"/>
      <w:marLeft w:val="0"/>
      <w:marRight w:val="0"/>
      <w:marTop w:val="0"/>
      <w:marBottom w:val="0"/>
      <w:divBdr>
        <w:top w:val="none" w:sz="0" w:space="0" w:color="auto"/>
        <w:left w:val="none" w:sz="0" w:space="0" w:color="auto"/>
        <w:bottom w:val="none" w:sz="0" w:space="0" w:color="auto"/>
        <w:right w:val="none" w:sz="0" w:space="0" w:color="auto"/>
      </w:divBdr>
    </w:div>
    <w:div w:id="1259632973">
      <w:bodyDiv w:val="1"/>
      <w:marLeft w:val="0"/>
      <w:marRight w:val="0"/>
      <w:marTop w:val="0"/>
      <w:marBottom w:val="0"/>
      <w:divBdr>
        <w:top w:val="none" w:sz="0" w:space="0" w:color="auto"/>
        <w:left w:val="none" w:sz="0" w:space="0" w:color="auto"/>
        <w:bottom w:val="none" w:sz="0" w:space="0" w:color="auto"/>
        <w:right w:val="none" w:sz="0" w:space="0" w:color="auto"/>
      </w:divBdr>
    </w:div>
    <w:div w:id="1260216170">
      <w:bodyDiv w:val="1"/>
      <w:marLeft w:val="0"/>
      <w:marRight w:val="0"/>
      <w:marTop w:val="0"/>
      <w:marBottom w:val="0"/>
      <w:divBdr>
        <w:top w:val="none" w:sz="0" w:space="0" w:color="auto"/>
        <w:left w:val="none" w:sz="0" w:space="0" w:color="auto"/>
        <w:bottom w:val="none" w:sz="0" w:space="0" w:color="auto"/>
        <w:right w:val="none" w:sz="0" w:space="0" w:color="auto"/>
      </w:divBdr>
    </w:div>
    <w:div w:id="1260676146">
      <w:bodyDiv w:val="1"/>
      <w:marLeft w:val="0"/>
      <w:marRight w:val="0"/>
      <w:marTop w:val="0"/>
      <w:marBottom w:val="0"/>
      <w:divBdr>
        <w:top w:val="none" w:sz="0" w:space="0" w:color="auto"/>
        <w:left w:val="none" w:sz="0" w:space="0" w:color="auto"/>
        <w:bottom w:val="none" w:sz="0" w:space="0" w:color="auto"/>
        <w:right w:val="none" w:sz="0" w:space="0" w:color="auto"/>
      </w:divBdr>
    </w:div>
    <w:div w:id="1262760715">
      <w:bodyDiv w:val="1"/>
      <w:marLeft w:val="0"/>
      <w:marRight w:val="0"/>
      <w:marTop w:val="0"/>
      <w:marBottom w:val="0"/>
      <w:divBdr>
        <w:top w:val="none" w:sz="0" w:space="0" w:color="auto"/>
        <w:left w:val="none" w:sz="0" w:space="0" w:color="auto"/>
        <w:bottom w:val="none" w:sz="0" w:space="0" w:color="auto"/>
        <w:right w:val="none" w:sz="0" w:space="0" w:color="auto"/>
      </w:divBdr>
    </w:div>
    <w:div w:id="1263301106">
      <w:bodyDiv w:val="1"/>
      <w:marLeft w:val="0"/>
      <w:marRight w:val="0"/>
      <w:marTop w:val="0"/>
      <w:marBottom w:val="0"/>
      <w:divBdr>
        <w:top w:val="none" w:sz="0" w:space="0" w:color="auto"/>
        <w:left w:val="none" w:sz="0" w:space="0" w:color="auto"/>
        <w:bottom w:val="none" w:sz="0" w:space="0" w:color="auto"/>
        <w:right w:val="none" w:sz="0" w:space="0" w:color="auto"/>
      </w:divBdr>
    </w:div>
    <w:div w:id="1263419454">
      <w:bodyDiv w:val="1"/>
      <w:marLeft w:val="0"/>
      <w:marRight w:val="0"/>
      <w:marTop w:val="0"/>
      <w:marBottom w:val="0"/>
      <w:divBdr>
        <w:top w:val="none" w:sz="0" w:space="0" w:color="auto"/>
        <w:left w:val="none" w:sz="0" w:space="0" w:color="auto"/>
        <w:bottom w:val="none" w:sz="0" w:space="0" w:color="auto"/>
        <w:right w:val="none" w:sz="0" w:space="0" w:color="auto"/>
      </w:divBdr>
    </w:div>
    <w:div w:id="1263799861">
      <w:bodyDiv w:val="1"/>
      <w:marLeft w:val="0"/>
      <w:marRight w:val="0"/>
      <w:marTop w:val="0"/>
      <w:marBottom w:val="0"/>
      <w:divBdr>
        <w:top w:val="none" w:sz="0" w:space="0" w:color="auto"/>
        <w:left w:val="none" w:sz="0" w:space="0" w:color="auto"/>
        <w:bottom w:val="none" w:sz="0" w:space="0" w:color="auto"/>
        <w:right w:val="none" w:sz="0" w:space="0" w:color="auto"/>
      </w:divBdr>
    </w:div>
    <w:div w:id="1264339045">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4726537">
      <w:bodyDiv w:val="1"/>
      <w:marLeft w:val="0"/>
      <w:marRight w:val="0"/>
      <w:marTop w:val="0"/>
      <w:marBottom w:val="0"/>
      <w:divBdr>
        <w:top w:val="none" w:sz="0" w:space="0" w:color="auto"/>
        <w:left w:val="none" w:sz="0" w:space="0" w:color="auto"/>
        <w:bottom w:val="none" w:sz="0" w:space="0" w:color="auto"/>
        <w:right w:val="none" w:sz="0" w:space="0" w:color="auto"/>
      </w:divBdr>
    </w:div>
    <w:div w:id="1265114259">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155938">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7883019">
      <w:bodyDiv w:val="1"/>
      <w:marLeft w:val="0"/>
      <w:marRight w:val="0"/>
      <w:marTop w:val="0"/>
      <w:marBottom w:val="0"/>
      <w:divBdr>
        <w:top w:val="none" w:sz="0" w:space="0" w:color="auto"/>
        <w:left w:val="none" w:sz="0" w:space="0" w:color="auto"/>
        <w:bottom w:val="none" w:sz="0" w:space="0" w:color="auto"/>
        <w:right w:val="none" w:sz="0" w:space="0" w:color="auto"/>
      </w:divBdr>
    </w:div>
    <w:div w:id="1268199002">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9197718">
      <w:bodyDiv w:val="1"/>
      <w:marLeft w:val="0"/>
      <w:marRight w:val="0"/>
      <w:marTop w:val="0"/>
      <w:marBottom w:val="0"/>
      <w:divBdr>
        <w:top w:val="none" w:sz="0" w:space="0" w:color="auto"/>
        <w:left w:val="none" w:sz="0" w:space="0" w:color="auto"/>
        <w:bottom w:val="none" w:sz="0" w:space="0" w:color="auto"/>
        <w:right w:val="none" w:sz="0" w:space="0" w:color="auto"/>
      </w:divBdr>
    </w:div>
    <w:div w:id="1269385804">
      <w:bodyDiv w:val="1"/>
      <w:marLeft w:val="0"/>
      <w:marRight w:val="0"/>
      <w:marTop w:val="0"/>
      <w:marBottom w:val="0"/>
      <w:divBdr>
        <w:top w:val="none" w:sz="0" w:space="0" w:color="auto"/>
        <w:left w:val="none" w:sz="0" w:space="0" w:color="auto"/>
        <w:bottom w:val="none" w:sz="0" w:space="0" w:color="auto"/>
        <w:right w:val="none" w:sz="0" w:space="0" w:color="auto"/>
      </w:divBdr>
    </w:div>
    <w:div w:id="1270818979">
      <w:bodyDiv w:val="1"/>
      <w:marLeft w:val="0"/>
      <w:marRight w:val="0"/>
      <w:marTop w:val="0"/>
      <w:marBottom w:val="0"/>
      <w:divBdr>
        <w:top w:val="none" w:sz="0" w:space="0" w:color="auto"/>
        <w:left w:val="none" w:sz="0" w:space="0" w:color="auto"/>
        <w:bottom w:val="none" w:sz="0" w:space="0" w:color="auto"/>
        <w:right w:val="none" w:sz="0" w:space="0" w:color="auto"/>
      </w:divBdr>
    </w:div>
    <w:div w:id="1270891780">
      <w:bodyDiv w:val="1"/>
      <w:marLeft w:val="0"/>
      <w:marRight w:val="0"/>
      <w:marTop w:val="0"/>
      <w:marBottom w:val="0"/>
      <w:divBdr>
        <w:top w:val="none" w:sz="0" w:space="0" w:color="auto"/>
        <w:left w:val="none" w:sz="0" w:space="0" w:color="auto"/>
        <w:bottom w:val="none" w:sz="0" w:space="0" w:color="auto"/>
        <w:right w:val="none" w:sz="0" w:space="0" w:color="auto"/>
      </w:divBdr>
    </w:div>
    <w:div w:id="1271359151">
      <w:bodyDiv w:val="1"/>
      <w:marLeft w:val="0"/>
      <w:marRight w:val="0"/>
      <w:marTop w:val="0"/>
      <w:marBottom w:val="0"/>
      <w:divBdr>
        <w:top w:val="none" w:sz="0" w:space="0" w:color="auto"/>
        <w:left w:val="none" w:sz="0" w:space="0" w:color="auto"/>
        <w:bottom w:val="none" w:sz="0" w:space="0" w:color="auto"/>
        <w:right w:val="none" w:sz="0" w:space="0" w:color="auto"/>
      </w:divBdr>
    </w:div>
    <w:div w:id="1271745439">
      <w:bodyDiv w:val="1"/>
      <w:marLeft w:val="0"/>
      <w:marRight w:val="0"/>
      <w:marTop w:val="0"/>
      <w:marBottom w:val="0"/>
      <w:divBdr>
        <w:top w:val="none" w:sz="0" w:space="0" w:color="auto"/>
        <w:left w:val="none" w:sz="0" w:space="0" w:color="auto"/>
        <w:bottom w:val="none" w:sz="0" w:space="0" w:color="auto"/>
        <w:right w:val="none" w:sz="0" w:space="0" w:color="auto"/>
      </w:divBdr>
    </w:div>
    <w:div w:id="1272470173">
      <w:bodyDiv w:val="1"/>
      <w:marLeft w:val="0"/>
      <w:marRight w:val="0"/>
      <w:marTop w:val="0"/>
      <w:marBottom w:val="0"/>
      <w:divBdr>
        <w:top w:val="none" w:sz="0" w:space="0" w:color="auto"/>
        <w:left w:val="none" w:sz="0" w:space="0" w:color="auto"/>
        <w:bottom w:val="none" w:sz="0" w:space="0" w:color="auto"/>
        <w:right w:val="none" w:sz="0" w:space="0" w:color="auto"/>
      </w:divBdr>
    </w:div>
    <w:div w:id="1272585424">
      <w:bodyDiv w:val="1"/>
      <w:marLeft w:val="0"/>
      <w:marRight w:val="0"/>
      <w:marTop w:val="0"/>
      <w:marBottom w:val="0"/>
      <w:divBdr>
        <w:top w:val="none" w:sz="0" w:space="0" w:color="auto"/>
        <w:left w:val="none" w:sz="0" w:space="0" w:color="auto"/>
        <w:bottom w:val="none" w:sz="0" w:space="0" w:color="auto"/>
        <w:right w:val="none" w:sz="0" w:space="0" w:color="auto"/>
      </w:divBdr>
    </w:div>
    <w:div w:id="1272666198">
      <w:bodyDiv w:val="1"/>
      <w:marLeft w:val="0"/>
      <w:marRight w:val="0"/>
      <w:marTop w:val="0"/>
      <w:marBottom w:val="0"/>
      <w:divBdr>
        <w:top w:val="none" w:sz="0" w:space="0" w:color="auto"/>
        <w:left w:val="none" w:sz="0" w:space="0" w:color="auto"/>
        <w:bottom w:val="none" w:sz="0" w:space="0" w:color="auto"/>
        <w:right w:val="none" w:sz="0" w:space="0" w:color="auto"/>
      </w:divBdr>
    </w:div>
    <w:div w:id="1273438227">
      <w:bodyDiv w:val="1"/>
      <w:marLeft w:val="0"/>
      <w:marRight w:val="0"/>
      <w:marTop w:val="0"/>
      <w:marBottom w:val="0"/>
      <w:divBdr>
        <w:top w:val="none" w:sz="0" w:space="0" w:color="auto"/>
        <w:left w:val="none" w:sz="0" w:space="0" w:color="auto"/>
        <w:bottom w:val="none" w:sz="0" w:space="0" w:color="auto"/>
        <w:right w:val="none" w:sz="0" w:space="0" w:color="auto"/>
      </w:divBdr>
    </w:div>
    <w:div w:id="127489648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5867088">
      <w:bodyDiv w:val="1"/>
      <w:marLeft w:val="0"/>
      <w:marRight w:val="0"/>
      <w:marTop w:val="0"/>
      <w:marBottom w:val="0"/>
      <w:divBdr>
        <w:top w:val="none" w:sz="0" w:space="0" w:color="auto"/>
        <w:left w:val="none" w:sz="0" w:space="0" w:color="auto"/>
        <w:bottom w:val="none" w:sz="0" w:space="0" w:color="auto"/>
        <w:right w:val="none" w:sz="0" w:space="0" w:color="auto"/>
      </w:divBdr>
    </w:div>
    <w:div w:id="1276064065">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6447262">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8871907">
      <w:bodyDiv w:val="1"/>
      <w:marLeft w:val="0"/>
      <w:marRight w:val="0"/>
      <w:marTop w:val="0"/>
      <w:marBottom w:val="0"/>
      <w:divBdr>
        <w:top w:val="none" w:sz="0" w:space="0" w:color="auto"/>
        <w:left w:val="none" w:sz="0" w:space="0" w:color="auto"/>
        <w:bottom w:val="none" w:sz="0" w:space="0" w:color="auto"/>
        <w:right w:val="none" w:sz="0" w:space="0" w:color="auto"/>
      </w:divBdr>
    </w:div>
    <w:div w:id="127926501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79681392">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378375">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82030325">
      <w:bodyDiv w:val="1"/>
      <w:marLeft w:val="0"/>
      <w:marRight w:val="0"/>
      <w:marTop w:val="0"/>
      <w:marBottom w:val="0"/>
      <w:divBdr>
        <w:top w:val="none" w:sz="0" w:space="0" w:color="auto"/>
        <w:left w:val="none" w:sz="0" w:space="0" w:color="auto"/>
        <w:bottom w:val="none" w:sz="0" w:space="0" w:color="auto"/>
        <w:right w:val="none" w:sz="0" w:space="0" w:color="auto"/>
      </w:divBdr>
    </w:div>
    <w:div w:id="1282105165">
      <w:bodyDiv w:val="1"/>
      <w:marLeft w:val="0"/>
      <w:marRight w:val="0"/>
      <w:marTop w:val="0"/>
      <w:marBottom w:val="0"/>
      <w:divBdr>
        <w:top w:val="none" w:sz="0" w:space="0" w:color="auto"/>
        <w:left w:val="none" w:sz="0" w:space="0" w:color="auto"/>
        <w:bottom w:val="none" w:sz="0" w:space="0" w:color="auto"/>
        <w:right w:val="none" w:sz="0" w:space="0" w:color="auto"/>
      </w:divBdr>
    </w:div>
    <w:div w:id="1283264702">
      <w:bodyDiv w:val="1"/>
      <w:marLeft w:val="0"/>
      <w:marRight w:val="0"/>
      <w:marTop w:val="0"/>
      <w:marBottom w:val="0"/>
      <w:divBdr>
        <w:top w:val="none" w:sz="0" w:space="0" w:color="auto"/>
        <w:left w:val="none" w:sz="0" w:space="0" w:color="auto"/>
        <w:bottom w:val="none" w:sz="0" w:space="0" w:color="auto"/>
        <w:right w:val="none" w:sz="0" w:space="0" w:color="auto"/>
      </w:divBdr>
    </w:div>
    <w:div w:id="1284077890">
      <w:bodyDiv w:val="1"/>
      <w:marLeft w:val="0"/>
      <w:marRight w:val="0"/>
      <w:marTop w:val="0"/>
      <w:marBottom w:val="0"/>
      <w:divBdr>
        <w:top w:val="none" w:sz="0" w:space="0" w:color="auto"/>
        <w:left w:val="none" w:sz="0" w:space="0" w:color="auto"/>
        <w:bottom w:val="none" w:sz="0" w:space="0" w:color="auto"/>
        <w:right w:val="none" w:sz="0" w:space="0" w:color="auto"/>
      </w:divBdr>
    </w:div>
    <w:div w:id="1284775070">
      <w:bodyDiv w:val="1"/>
      <w:marLeft w:val="0"/>
      <w:marRight w:val="0"/>
      <w:marTop w:val="0"/>
      <w:marBottom w:val="0"/>
      <w:divBdr>
        <w:top w:val="none" w:sz="0" w:space="0" w:color="auto"/>
        <w:left w:val="none" w:sz="0" w:space="0" w:color="auto"/>
        <w:bottom w:val="none" w:sz="0" w:space="0" w:color="auto"/>
        <w:right w:val="none" w:sz="0" w:space="0" w:color="auto"/>
      </w:divBdr>
    </w:div>
    <w:div w:id="1286037570">
      <w:bodyDiv w:val="1"/>
      <w:marLeft w:val="0"/>
      <w:marRight w:val="0"/>
      <w:marTop w:val="0"/>
      <w:marBottom w:val="0"/>
      <w:divBdr>
        <w:top w:val="none" w:sz="0" w:space="0" w:color="auto"/>
        <w:left w:val="none" w:sz="0" w:space="0" w:color="auto"/>
        <w:bottom w:val="none" w:sz="0" w:space="0" w:color="auto"/>
        <w:right w:val="none" w:sz="0" w:space="0" w:color="auto"/>
      </w:divBdr>
    </w:div>
    <w:div w:id="1286496864">
      <w:bodyDiv w:val="1"/>
      <w:marLeft w:val="0"/>
      <w:marRight w:val="0"/>
      <w:marTop w:val="0"/>
      <w:marBottom w:val="0"/>
      <w:divBdr>
        <w:top w:val="none" w:sz="0" w:space="0" w:color="auto"/>
        <w:left w:val="none" w:sz="0" w:space="0" w:color="auto"/>
        <w:bottom w:val="none" w:sz="0" w:space="0" w:color="auto"/>
        <w:right w:val="none" w:sz="0" w:space="0" w:color="auto"/>
      </w:divBdr>
    </w:div>
    <w:div w:id="1287662847">
      <w:bodyDiv w:val="1"/>
      <w:marLeft w:val="0"/>
      <w:marRight w:val="0"/>
      <w:marTop w:val="0"/>
      <w:marBottom w:val="0"/>
      <w:divBdr>
        <w:top w:val="none" w:sz="0" w:space="0" w:color="auto"/>
        <w:left w:val="none" w:sz="0" w:space="0" w:color="auto"/>
        <w:bottom w:val="none" w:sz="0" w:space="0" w:color="auto"/>
        <w:right w:val="none" w:sz="0" w:space="0" w:color="auto"/>
      </w:divBdr>
    </w:div>
    <w:div w:id="1287783818">
      <w:bodyDiv w:val="1"/>
      <w:marLeft w:val="0"/>
      <w:marRight w:val="0"/>
      <w:marTop w:val="0"/>
      <w:marBottom w:val="0"/>
      <w:divBdr>
        <w:top w:val="none" w:sz="0" w:space="0" w:color="auto"/>
        <w:left w:val="none" w:sz="0" w:space="0" w:color="auto"/>
        <w:bottom w:val="none" w:sz="0" w:space="0" w:color="auto"/>
        <w:right w:val="none" w:sz="0" w:space="0" w:color="auto"/>
      </w:divBdr>
    </w:div>
    <w:div w:id="1288120730">
      <w:bodyDiv w:val="1"/>
      <w:marLeft w:val="0"/>
      <w:marRight w:val="0"/>
      <w:marTop w:val="0"/>
      <w:marBottom w:val="0"/>
      <w:divBdr>
        <w:top w:val="none" w:sz="0" w:space="0" w:color="auto"/>
        <w:left w:val="none" w:sz="0" w:space="0" w:color="auto"/>
        <w:bottom w:val="none" w:sz="0" w:space="0" w:color="auto"/>
        <w:right w:val="none" w:sz="0" w:space="0" w:color="auto"/>
      </w:divBdr>
    </w:div>
    <w:div w:id="1288782224">
      <w:bodyDiv w:val="1"/>
      <w:marLeft w:val="0"/>
      <w:marRight w:val="0"/>
      <w:marTop w:val="0"/>
      <w:marBottom w:val="0"/>
      <w:divBdr>
        <w:top w:val="none" w:sz="0" w:space="0" w:color="auto"/>
        <w:left w:val="none" w:sz="0" w:space="0" w:color="auto"/>
        <w:bottom w:val="none" w:sz="0" w:space="0" w:color="auto"/>
        <w:right w:val="none" w:sz="0" w:space="0" w:color="auto"/>
      </w:divBdr>
    </w:div>
    <w:div w:id="1289239712">
      <w:bodyDiv w:val="1"/>
      <w:marLeft w:val="0"/>
      <w:marRight w:val="0"/>
      <w:marTop w:val="0"/>
      <w:marBottom w:val="0"/>
      <w:divBdr>
        <w:top w:val="none" w:sz="0" w:space="0" w:color="auto"/>
        <w:left w:val="none" w:sz="0" w:space="0" w:color="auto"/>
        <w:bottom w:val="none" w:sz="0" w:space="0" w:color="auto"/>
        <w:right w:val="none" w:sz="0" w:space="0" w:color="auto"/>
      </w:divBdr>
    </w:div>
    <w:div w:id="1290435233">
      <w:bodyDiv w:val="1"/>
      <w:marLeft w:val="0"/>
      <w:marRight w:val="0"/>
      <w:marTop w:val="0"/>
      <w:marBottom w:val="0"/>
      <w:divBdr>
        <w:top w:val="none" w:sz="0" w:space="0" w:color="auto"/>
        <w:left w:val="none" w:sz="0" w:space="0" w:color="auto"/>
        <w:bottom w:val="none" w:sz="0" w:space="0" w:color="auto"/>
        <w:right w:val="none" w:sz="0" w:space="0" w:color="auto"/>
      </w:divBdr>
    </w:div>
    <w:div w:id="1291017707">
      <w:bodyDiv w:val="1"/>
      <w:marLeft w:val="0"/>
      <w:marRight w:val="0"/>
      <w:marTop w:val="0"/>
      <w:marBottom w:val="0"/>
      <w:divBdr>
        <w:top w:val="none" w:sz="0" w:space="0" w:color="auto"/>
        <w:left w:val="none" w:sz="0" w:space="0" w:color="auto"/>
        <w:bottom w:val="none" w:sz="0" w:space="0" w:color="auto"/>
        <w:right w:val="none" w:sz="0" w:space="0" w:color="auto"/>
      </w:divBdr>
    </w:div>
    <w:div w:id="1291128676">
      <w:bodyDiv w:val="1"/>
      <w:marLeft w:val="0"/>
      <w:marRight w:val="0"/>
      <w:marTop w:val="0"/>
      <w:marBottom w:val="0"/>
      <w:divBdr>
        <w:top w:val="none" w:sz="0" w:space="0" w:color="auto"/>
        <w:left w:val="none" w:sz="0" w:space="0" w:color="auto"/>
        <w:bottom w:val="none" w:sz="0" w:space="0" w:color="auto"/>
        <w:right w:val="none" w:sz="0" w:space="0" w:color="auto"/>
      </w:divBdr>
    </w:div>
    <w:div w:id="1291134509">
      <w:bodyDiv w:val="1"/>
      <w:marLeft w:val="0"/>
      <w:marRight w:val="0"/>
      <w:marTop w:val="0"/>
      <w:marBottom w:val="0"/>
      <w:divBdr>
        <w:top w:val="none" w:sz="0" w:space="0" w:color="auto"/>
        <w:left w:val="none" w:sz="0" w:space="0" w:color="auto"/>
        <w:bottom w:val="none" w:sz="0" w:space="0" w:color="auto"/>
        <w:right w:val="none" w:sz="0" w:space="0" w:color="auto"/>
      </w:divBdr>
    </w:div>
    <w:div w:id="1291473992">
      <w:bodyDiv w:val="1"/>
      <w:marLeft w:val="0"/>
      <w:marRight w:val="0"/>
      <w:marTop w:val="0"/>
      <w:marBottom w:val="0"/>
      <w:divBdr>
        <w:top w:val="none" w:sz="0" w:space="0" w:color="auto"/>
        <w:left w:val="none" w:sz="0" w:space="0" w:color="auto"/>
        <w:bottom w:val="none" w:sz="0" w:space="0" w:color="auto"/>
        <w:right w:val="none" w:sz="0" w:space="0" w:color="auto"/>
      </w:divBdr>
    </w:div>
    <w:div w:id="1291479474">
      <w:bodyDiv w:val="1"/>
      <w:marLeft w:val="0"/>
      <w:marRight w:val="0"/>
      <w:marTop w:val="0"/>
      <w:marBottom w:val="0"/>
      <w:divBdr>
        <w:top w:val="none" w:sz="0" w:space="0" w:color="auto"/>
        <w:left w:val="none" w:sz="0" w:space="0" w:color="auto"/>
        <w:bottom w:val="none" w:sz="0" w:space="0" w:color="auto"/>
        <w:right w:val="none" w:sz="0" w:space="0" w:color="auto"/>
      </w:divBdr>
    </w:div>
    <w:div w:id="1292053875">
      <w:bodyDiv w:val="1"/>
      <w:marLeft w:val="0"/>
      <w:marRight w:val="0"/>
      <w:marTop w:val="0"/>
      <w:marBottom w:val="0"/>
      <w:divBdr>
        <w:top w:val="none" w:sz="0" w:space="0" w:color="auto"/>
        <w:left w:val="none" w:sz="0" w:space="0" w:color="auto"/>
        <w:bottom w:val="none" w:sz="0" w:space="0" w:color="auto"/>
        <w:right w:val="none" w:sz="0" w:space="0" w:color="auto"/>
      </w:divBdr>
    </w:div>
    <w:div w:id="1292591032">
      <w:bodyDiv w:val="1"/>
      <w:marLeft w:val="0"/>
      <w:marRight w:val="0"/>
      <w:marTop w:val="0"/>
      <w:marBottom w:val="0"/>
      <w:divBdr>
        <w:top w:val="none" w:sz="0" w:space="0" w:color="auto"/>
        <w:left w:val="none" w:sz="0" w:space="0" w:color="auto"/>
        <w:bottom w:val="none" w:sz="0" w:space="0" w:color="auto"/>
        <w:right w:val="none" w:sz="0" w:space="0" w:color="auto"/>
      </w:divBdr>
    </w:div>
    <w:div w:id="1292633719">
      <w:bodyDiv w:val="1"/>
      <w:marLeft w:val="0"/>
      <w:marRight w:val="0"/>
      <w:marTop w:val="0"/>
      <w:marBottom w:val="0"/>
      <w:divBdr>
        <w:top w:val="none" w:sz="0" w:space="0" w:color="auto"/>
        <w:left w:val="none" w:sz="0" w:space="0" w:color="auto"/>
        <w:bottom w:val="none" w:sz="0" w:space="0" w:color="auto"/>
        <w:right w:val="none" w:sz="0" w:space="0" w:color="auto"/>
      </w:divBdr>
    </w:div>
    <w:div w:id="1293484746">
      <w:bodyDiv w:val="1"/>
      <w:marLeft w:val="0"/>
      <w:marRight w:val="0"/>
      <w:marTop w:val="0"/>
      <w:marBottom w:val="0"/>
      <w:divBdr>
        <w:top w:val="none" w:sz="0" w:space="0" w:color="auto"/>
        <w:left w:val="none" w:sz="0" w:space="0" w:color="auto"/>
        <w:bottom w:val="none" w:sz="0" w:space="0" w:color="auto"/>
        <w:right w:val="none" w:sz="0" w:space="0" w:color="auto"/>
      </w:divBdr>
    </w:div>
    <w:div w:id="1293561565">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3754544">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2446">
      <w:bodyDiv w:val="1"/>
      <w:marLeft w:val="0"/>
      <w:marRight w:val="0"/>
      <w:marTop w:val="0"/>
      <w:marBottom w:val="0"/>
      <w:divBdr>
        <w:top w:val="none" w:sz="0" w:space="0" w:color="auto"/>
        <w:left w:val="none" w:sz="0" w:space="0" w:color="auto"/>
        <w:bottom w:val="none" w:sz="0" w:space="0" w:color="auto"/>
        <w:right w:val="none" w:sz="0" w:space="0" w:color="auto"/>
      </w:divBdr>
    </w:div>
    <w:div w:id="1295677446">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258542">
      <w:bodyDiv w:val="1"/>
      <w:marLeft w:val="0"/>
      <w:marRight w:val="0"/>
      <w:marTop w:val="0"/>
      <w:marBottom w:val="0"/>
      <w:divBdr>
        <w:top w:val="none" w:sz="0" w:space="0" w:color="auto"/>
        <w:left w:val="none" w:sz="0" w:space="0" w:color="auto"/>
        <w:bottom w:val="none" w:sz="0" w:space="0" w:color="auto"/>
        <w:right w:val="none" w:sz="0" w:space="0" w:color="auto"/>
      </w:divBdr>
    </w:div>
    <w:div w:id="1296524440">
      <w:bodyDiv w:val="1"/>
      <w:marLeft w:val="0"/>
      <w:marRight w:val="0"/>
      <w:marTop w:val="0"/>
      <w:marBottom w:val="0"/>
      <w:divBdr>
        <w:top w:val="none" w:sz="0" w:space="0" w:color="auto"/>
        <w:left w:val="none" w:sz="0" w:space="0" w:color="auto"/>
        <w:bottom w:val="none" w:sz="0" w:space="0" w:color="auto"/>
        <w:right w:val="none" w:sz="0" w:space="0" w:color="auto"/>
      </w:divBdr>
    </w:div>
    <w:div w:id="1296525025">
      <w:bodyDiv w:val="1"/>
      <w:marLeft w:val="0"/>
      <w:marRight w:val="0"/>
      <w:marTop w:val="0"/>
      <w:marBottom w:val="0"/>
      <w:divBdr>
        <w:top w:val="none" w:sz="0" w:space="0" w:color="auto"/>
        <w:left w:val="none" w:sz="0" w:space="0" w:color="auto"/>
        <w:bottom w:val="none" w:sz="0" w:space="0" w:color="auto"/>
        <w:right w:val="none" w:sz="0" w:space="0" w:color="auto"/>
      </w:divBdr>
    </w:div>
    <w:div w:id="1296908787">
      <w:bodyDiv w:val="1"/>
      <w:marLeft w:val="0"/>
      <w:marRight w:val="0"/>
      <w:marTop w:val="0"/>
      <w:marBottom w:val="0"/>
      <w:divBdr>
        <w:top w:val="none" w:sz="0" w:space="0" w:color="auto"/>
        <w:left w:val="none" w:sz="0" w:space="0" w:color="auto"/>
        <w:bottom w:val="none" w:sz="0" w:space="0" w:color="auto"/>
        <w:right w:val="none" w:sz="0" w:space="0" w:color="auto"/>
      </w:divBdr>
    </w:div>
    <w:div w:id="1297099187">
      <w:bodyDiv w:val="1"/>
      <w:marLeft w:val="0"/>
      <w:marRight w:val="0"/>
      <w:marTop w:val="0"/>
      <w:marBottom w:val="0"/>
      <w:divBdr>
        <w:top w:val="none" w:sz="0" w:space="0" w:color="auto"/>
        <w:left w:val="none" w:sz="0" w:space="0" w:color="auto"/>
        <w:bottom w:val="none" w:sz="0" w:space="0" w:color="auto"/>
        <w:right w:val="none" w:sz="0" w:space="0" w:color="auto"/>
      </w:divBdr>
    </w:div>
    <w:div w:id="1298220529">
      <w:bodyDiv w:val="1"/>
      <w:marLeft w:val="0"/>
      <w:marRight w:val="0"/>
      <w:marTop w:val="0"/>
      <w:marBottom w:val="0"/>
      <w:divBdr>
        <w:top w:val="none" w:sz="0" w:space="0" w:color="auto"/>
        <w:left w:val="none" w:sz="0" w:space="0" w:color="auto"/>
        <w:bottom w:val="none" w:sz="0" w:space="0" w:color="auto"/>
        <w:right w:val="none" w:sz="0" w:space="0" w:color="auto"/>
      </w:divBdr>
    </w:div>
    <w:div w:id="1299073720">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25359">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764653">
      <w:bodyDiv w:val="1"/>
      <w:marLeft w:val="0"/>
      <w:marRight w:val="0"/>
      <w:marTop w:val="0"/>
      <w:marBottom w:val="0"/>
      <w:divBdr>
        <w:top w:val="none" w:sz="0" w:space="0" w:color="auto"/>
        <w:left w:val="none" w:sz="0" w:space="0" w:color="auto"/>
        <w:bottom w:val="none" w:sz="0" w:space="0" w:color="auto"/>
        <w:right w:val="none" w:sz="0" w:space="0" w:color="auto"/>
      </w:divBdr>
    </w:div>
    <w:div w:id="1302468441">
      <w:bodyDiv w:val="1"/>
      <w:marLeft w:val="0"/>
      <w:marRight w:val="0"/>
      <w:marTop w:val="0"/>
      <w:marBottom w:val="0"/>
      <w:divBdr>
        <w:top w:val="none" w:sz="0" w:space="0" w:color="auto"/>
        <w:left w:val="none" w:sz="0" w:space="0" w:color="auto"/>
        <w:bottom w:val="none" w:sz="0" w:space="0" w:color="auto"/>
        <w:right w:val="none" w:sz="0" w:space="0" w:color="auto"/>
      </w:divBdr>
    </w:div>
    <w:div w:id="1302687702">
      <w:bodyDiv w:val="1"/>
      <w:marLeft w:val="0"/>
      <w:marRight w:val="0"/>
      <w:marTop w:val="0"/>
      <w:marBottom w:val="0"/>
      <w:divBdr>
        <w:top w:val="none" w:sz="0" w:space="0" w:color="auto"/>
        <w:left w:val="none" w:sz="0" w:space="0" w:color="auto"/>
        <w:bottom w:val="none" w:sz="0" w:space="0" w:color="auto"/>
        <w:right w:val="none" w:sz="0" w:space="0" w:color="auto"/>
      </w:divBdr>
    </w:div>
    <w:div w:id="1302996326">
      <w:bodyDiv w:val="1"/>
      <w:marLeft w:val="0"/>
      <w:marRight w:val="0"/>
      <w:marTop w:val="0"/>
      <w:marBottom w:val="0"/>
      <w:divBdr>
        <w:top w:val="none" w:sz="0" w:space="0" w:color="auto"/>
        <w:left w:val="none" w:sz="0" w:space="0" w:color="auto"/>
        <w:bottom w:val="none" w:sz="0" w:space="0" w:color="auto"/>
        <w:right w:val="none" w:sz="0" w:space="0" w:color="auto"/>
      </w:divBdr>
    </w:div>
    <w:div w:id="1303460887">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43105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856337">
      <w:bodyDiv w:val="1"/>
      <w:marLeft w:val="0"/>
      <w:marRight w:val="0"/>
      <w:marTop w:val="0"/>
      <w:marBottom w:val="0"/>
      <w:divBdr>
        <w:top w:val="none" w:sz="0" w:space="0" w:color="auto"/>
        <w:left w:val="none" w:sz="0" w:space="0" w:color="auto"/>
        <w:bottom w:val="none" w:sz="0" w:space="0" w:color="auto"/>
        <w:right w:val="none" w:sz="0" w:space="0" w:color="auto"/>
      </w:divBdr>
    </w:div>
    <w:div w:id="1307122161">
      <w:bodyDiv w:val="1"/>
      <w:marLeft w:val="0"/>
      <w:marRight w:val="0"/>
      <w:marTop w:val="0"/>
      <w:marBottom w:val="0"/>
      <w:divBdr>
        <w:top w:val="none" w:sz="0" w:space="0" w:color="auto"/>
        <w:left w:val="none" w:sz="0" w:space="0" w:color="auto"/>
        <w:bottom w:val="none" w:sz="0" w:space="0" w:color="auto"/>
        <w:right w:val="none" w:sz="0" w:space="0" w:color="auto"/>
      </w:divBdr>
    </w:div>
    <w:div w:id="1307320708">
      <w:bodyDiv w:val="1"/>
      <w:marLeft w:val="0"/>
      <w:marRight w:val="0"/>
      <w:marTop w:val="0"/>
      <w:marBottom w:val="0"/>
      <w:divBdr>
        <w:top w:val="none" w:sz="0" w:space="0" w:color="auto"/>
        <w:left w:val="none" w:sz="0" w:space="0" w:color="auto"/>
        <w:bottom w:val="none" w:sz="0" w:space="0" w:color="auto"/>
        <w:right w:val="none" w:sz="0" w:space="0" w:color="auto"/>
      </w:divBdr>
    </w:div>
    <w:div w:id="1307859889">
      <w:bodyDiv w:val="1"/>
      <w:marLeft w:val="0"/>
      <w:marRight w:val="0"/>
      <w:marTop w:val="0"/>
      <w:marBottom w:val="0"/>
      <w:divBdr>
        <w:top w:val="none" w:sz="0" w:space="0" w:color="auto"/>
        <w:left w:val="none" w:sz="0" w:space="0" w:color="auto"/>
        <w:bottom w:val="none" w:sz="0" w:space="0" w:color="auto"/>
        <w:right w:val="none" w:sz="0" w:space="0" w:color="auto"/>
      </w:divBdr>
    </w:div>
    <w:div w:id="1308129071">
      <w:bodyDiv w:val="1"/>
      <w:marLeft w:val="0"/>
      <w:marRight w:val="0"/>
      <w:marTop w:val="0"/>
      <w:marBottom w:val="0"/>
      <w:divBdr>
        <w:top w:val="none" w:sz="0" w:space="0" w:color="auto"/>
        <w:left w:val="none" w:sz="0" w:space="0" w:color="auto"/>
        <w:bottom w:val="none" w:sz="0" w:space="0" w:color="auto"/>
        <w:right w:val="none" w:sz="0" w:space="0" w:color="auto"/>
      </w:divBdr>
    </w:div>
    <w:div w:id="1308851529">
      <w:bodyDiv w:val="1"/>
      <w:marLeft w:val="0"/>
      <w:marRight w:val="0"/>
      <w:marTop w:val="0"/>
      <w:marBottom w:val="0"/>
      <w:divBdr>
        <w:top w:val="none" w:sz="0" w:space="0" w:color="auto"/>
        <w:left w:val="none" w:sz="0" w:space="0" w:color="auto"/>
        <w:bottom w:val="none" w:sz="0" w:space="0" w:color="auto"/>
        <w:right w:val="none" w:sz="0" w:space="0" w:color="auto"/>
      </w:divBdr>
    </w:div>
    <w:div w:id="1309087785">
      <w:bodyDiv w:val="1"/>
      <w:marLeft w:val="0"/>
      <w:marRight w:val="0"/>
      <w:marTop w:val="0"/>
      <w:marBottom w:val="0"/>
      <w:divBdr>
        <w:top w:val="none" w:sz="0" w:space="0" w:color="auto"/>
        <w:left w:val="none" w:sz="0" w:space="0" w:color="auto"/>
        <w:bottom w:val="none" w:sz="0" w:space="0" w:color="auto"/>
        <w:right w:val="none" w:sz="0" w:space="0" w:color="auto"/>
      </w:divBdr>
    </w:div>
    <w:div w:id="1309673210">
      <w:bodyDiv w:val="1"/>
      <w:marLeft w:val="0"/>
      <w:marRight w:val="0"/>
      <w:marTop w:val="0"/>
      <w:marBottom w:val="0"/>
      <w:divBdr>
        <w:top w:val="none" w:sz="0" w:space="0" w:color="auto"/>
        <w:left w:val="none" w:sz="0" w:space="0" w:color="auto"/>
        <w:bottom w:val="none" w:sz="0" w:space="0" w:color="auto"/>
        <w:right w:val="none" w:sz="0" w:space="0" w:color="auto"/>
      </w:divBdr>
    </w:div>
    <w:div w:id="1309942906">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326650">
      <w:bodyDiv w:val="1"/>
      <w:marLeft w:val="0"/>
      <w:marRight w:val="0"/>
      <w:marTop w:val="0"/>
      <w:marBottom w:val="0"/>
      <w:divBdr>
        <w:top w:val="none" w:sz="0" w:space="0" w:color="auto"/>
        <w:left w:val="none" w:sz="0" w:space="0" w:color="auto"/>
        <w:bottom w:val="none" w:sz="0" w:space="0" w:color="auto"/>
        <w:right w:val="none" w:sz="0" w:space="0" w:color="auto"/>
      </w:divBdr>
    </w:div>
    <w:div w:id="1311403911">
      <w:bodyDiv w:val="1"/>
      <w:marLeft w:val="0"/>
      <w:marRight w:val="0"/>
      <w:marTop w:val="0"/>
      <w:marBottom w:val="0"/>
      <w:divBdr>
        <w:top w:val="none" w:sz="0" w:space="0" w:color="auto"/>
        <w:left w:val="none" w:sz="0" w:space="0" w:color="auto"/>
        <w:bottom w:val="none" w:sz="0" w:space="0" w:color="auto"/>
        <w:right w:val="none" w:sz="0" w:space="0" w:color="auto"/>
      </w:divBdr>
    </w:div>
    <w:div w:id="1311667320">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136463">
      <w:bodyDiv w:val="1"/>
      <w:marLeft w:val="0"/>
      <w:marRight w:val="0"/>
      <w:marTop w:val="0"/>
      <w:marBottom w:val="0"/>
      <w:divBdr>
        <w:top w:val="none" w:sz="0" w:space="0" w:color="auto"/>
        <w:left w:val="none" w:sz="0" w:space="0" w:color="auto"/>
        <w:bottom w:val="none" w:sz="0" w:space="0" w:color="auto"/>
        <w:right w:val="none" w:sz="0" w:space="0" w:color="auto"/>
      </w:divBdr>
    </w:div>
    <w:div w:id="1314214839">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644672">
      <w:bodyDiv w:val="1"/>
      <w:marLeft w:val="0"/>
      <w:marRight w:val="0"/>
      <w:marTop w:val="0"/>
      <w:marBottom w:val="0"/>
      <w:divBdr>
        <w:top w:val="none" w:sz="0" w:space="0" w:color="auto"/>
        <w:left w:val="none" w:sz="0" w:space="0" w:color="auto"/>
        <w:bottom w:val="none" w:sz="0" w:space="0" w:color="auto"/>
        <w:right w:val="none" w:sz="0" w:space="0" w:color="auto"/>
      </w:divBdr>
    </w:div>
    <w:div w:id="1316496670">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8264491">
      <w:bodyDiv w:val="1"/>
      <w:marLeft w:val="0"/>
      <w:marRight w:val="0"/>
      <w:marTop w:val="0"/>
      <w:marBottom w:val="0"/>
      <w:divBdr>
        <w:top w:val="none" w:sz="0" w:space="0" w:color="auto"/>
        <w:left w:val="none" w:sz="0" w:space="0" w:color="auto"/>
        <w:bottom w:val="none" w:sz="0" w:space="0" w:color="auto"/>
        <w:right w:val="none" w:sz="0" w:space="0" w:color="auto"/>
      </w:divBdr>
    </w:div>
    <w:div w:id="1318268916">
      <w:bodyDiv w:val="1"/>
      <w:marLeft w:val="0"/>
      <w:marRight w:val="0"/>
      <w:marTop w:val="0"/>
      <w:marBottom w:val="0"/>
      <w:divBdr>
        <w:top w:val="none" w:sz="0" w:space="0" w:color="auto"/>
        <w:left w:val="none" w:sz="0" w:space="0" w:color="auto"/>
        <w:bottom w:val="none" w:sz="0" w:space="0" w:color="auto"/>
        <w:right w:val="none" w:sz="0" w:space="0" w:color="auto"/>
      </w:divBdr>
    </w:div>
    <w:div w:id="1318418833">
      <w:bodyDiv w:val="1"/>
      <w:marLeft w:val="0"/>
      <w:marRight w:val="0"/>
      <w:marTop w:val="0"/>
      <w:marBottom w:val="0"/>
      <w:divBdr>
        <w:top w:val="none" w:sz="0" w:space="0" w:color="auto"/>
        <w:left w:val="none" w:sz="0" w:space="0" w:color="auto"/>
        <w:bottom w:val="none" w:sz="0" w:space="0" w:color="auto"/>
        <w:right w:val="none" w:sz="0" w:space="0" w:color="auto"/>
      </w:divBdr>
    </w:div>
    <w:div w:id="1319730189">
      <w:bodyDiv w:val="1"/>
      <w:marLeft w:val="0"/>
      <w:marRight w:val="0"/>
      <w:marTop w:val="0"/>
      <w:marBottom w:val="0"/>
      <w:divBdr>
        <w:top w:val="none" w:sz="0" w:space="0" w:color="auto"/>
        <w:left w:val="none" w:sz="0" w:space="0" w:color="auto"/>
        <w:bottom w:val="none" w:sz="0" w:space="0" w:color="auto"/>
        <w:right w:val="none" w:sz="0" w:space="0" w:color="auto"/>
      </w:divBdr>
    </w:div>
    <w:div w:id="1319922454">
      <w:bodyDiv w:val="1"/>
      <w:marLeft w:val="0"/>
      <w:marRight w:val="0"/>
      <w:marTop w:val="0"/>
      <w:marBottom w:val="0"/>
      <w:divBdr>
        <w:top w:val="none" w:sz="0" w:space="0" w:color="auto"/>
        <w:left w:val="none" w:sz="0" w:space="0" w:color="auto"/>
        <w:bottom w:val="none" w:sz="0" w:space="0" w:color="auto"/>
        <w:right w:val="none" w:sz="0" w:space="0" w:color="auto"/>
      </w:divBdr>
    </w:div>
    <w:div w:id="1320767478">
      <w:bodyDiv w:val="1"/>
      <w:marLeft w:val="0"/>
      <w:marRight w:val="0"/>
      <w:marTop w:val="0"/>
      <w:marBottom w:val="0"/>
      <w:divBdr>
        <w:top w:val="none" w:sz="0" w:space="0" w:color="auto"/>
        <w:left w:val="none" w:sz="0" w:space="0" w:color="auto"/>
        <w:bottom w:val="none" w:sz="0" w:space="0" w:color="auto"/>
        <w:right w:val="none" w:sz="0" w:space="0" w:color="auto"/>
      </w:divBdr>
    </w:div>
    <w:div w:id="1321886683">
      <w:bodyDiv w:val="1"/>
      <w:marLeft w:val="0"/>
      <w:marRight w:val="0"/>
      <w:marTop w:val="0"/>
      <w:marBottom w:val="0"/>
      <w:divBdr>
        <w:top w:val="none" w:sz="0" w:space="0" w:color="auto"/>
        <w:left w:val="none" w:sz="0" w:space="0" w:color="auto"/>
        <w:bottom w:val="none" w:sz="0" w:space="0" w:color="auto"/>
        <w:right w:val="none" w:sz="0" w:space="0" w:color="auto"/>
      </w:divBdr>
    </w:div>
    <w:div w:id="1322154981">
      <w:bodyDiv w:val="1"/>
      <w:marLeft w:val="0"/>
      <w:marRight w:val="0"/>
      <w:marTop w:val="0"/>
      <w:marBottom w:val="0"/>
      <w:divBdr>
        <w:top w:val="none" w:sz="0" w:space="0" w:color="auto"/>
        <w:left w:val="none" w:sz="0" w:space="0" w:color="auto"/>
        <w:bottom w:val="none" w:sz="0" w:space="0" w:color="auto"/>
        <w:right w:val="none" w:sz="0" w:space="0" w:color="auto"/>
      </w:divBdr>
    </w:div>
    <w:div w:id="1322851647">
      <w:bodyDiv w:val="1"/>
      <w:marLeft w:val="0"/>
      <w:marRight w:val="0"/>
      <w:marTop w:val="0"/>
      <w:marBottom w:val="0"/>
      <w:divBdr>
        <w:top w:val="none" w:sz="0" w:space="0" w:color="auto"/>
        <w:left w:val="none" w:sz="0" w:space="0" w:color="auto"/>
        <w:bottom w:val="none" w:sz="0" w:space="0" w:color="auto"/>
        <w:right w:val="none" w:sz="0" w:space="0" w:color="auto"/>
      </w:divBdr>
    </w:div>
    <w:div w:id="132323750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4622768">
      <w:bodyDiv w:val="1"/>
      <w:marLeft w:val="0"/>
      <w:marRight w:val="0"/>
      <w:marTop w:val="0"/>
      <w:marBottom w:val="0"/>
      <w:divBdr>
        <w:top w:val="none" w:sz="0" w:space="0" w:color="auto"/>
        <w:left w:val="none" w:sz="0" w:space="0" w:color="auto"/>
        <w:bottom w:val="none" w:sz="0" w:space="0" w:color="auto"/>
        <w:right w:val="none" w:sz="0" w:space="0" w:color="auto"/>
      </w:divBdr>
    </w:div>
    <w:div w:id="1324970198">
      <w:bodyDiv w:val="1"/>
      <w:marLeft w:val="0"/>
      <w:marRight w:val="0"/>
      <w:marTop w:val="0"/>
      <w:marBottom w:val="0"/>
      <w:divBdr>
        <w:top w:val="none" w:sz="0" w:space="0" w:color="auto"/>
        <w:left w:val="none" w:sz="0" w:space="0" w:color="auto"/>
        <w:bottom w:val="none" w:sz="0" w:space="0" w:color="auto"/>
        <w:right w:val="none" w:sz="0" w:space="0" w:color="auto"/>
      </w:divBdr>
    </w:div>
    <w:div w:id="1325159991">
      <w:bodyDiv w:val="1"/>
      <w:marLeft w:val="0"/>
      <w:marRight w:val="0"/>
      <w:marTop w:val="0"/>
      <w:marBottom w:val="0"/>
      <w:divBdr>
        <w:top w:val="none" w:sz="0" w:space="0" w:color="auto"/>
        <w:left w:val="none" w:sz="0" w:space="0" w:color="auto"/>
        <w:bottom w:val="none" w:sz="0" w:space="0" w:color="auto"/>
        <w:right w:val="none" w:sz="0" w:space="0" w:color="auto"/>
      </w:divBdr>
    </w:div>
    <w:div w:id="1326939611">
      <w:bodyDiv w:val="1"/>
      <w:marLeft w:val="0"/>
      <w:marRight w:val="0"/>
      <w:marTop w:val="0"/>
      <w:marBottom w:val="0"/>
      <w:divBdr>
        <w:top w:val="none" w:sz="0" w:space="0" w:color="auto"/>
        <w:left w:val="none" w:sz="0" w:space="0" w:color="auto"/>
        <w:bottom w:val="none" w:sz="0" w:space="0" w:color="auto"/>
        <w:right w:val="none" w:sz="0" w:space="0" w:color="auto"/>
      </w:divBdr>
    </w:div>
    <w:div w:id="1327318609">
      <w:bodyDiv w:val="1"/>
      <w:marLeft w:val="0"/>
      <w:marRight w:val="0"/>
      <w:marTop w:val="0"/>
      <w:marBottom w:val="0"/>
      <w:divBdr>
        <w:top w:val="none" w:sz="0" w:space="0" w:color="auto"/>
        <w:left w:val="none" w:sz="0" w:space="0" w:color="auto"/>
        <w:bottom w:val="none" w:sz="0" w:space="0" w:color="auto"/>
        <w:right w:val="none" w:sz="0" w:space="0" w:color="auto"/>
      </w:divBdr>
    </w:div>
    <w:div w:id="1328022868">
      <w:bodyDiv w:val="1"/>
      <w:marLeft w:val="0"/>
      <w:marRight w:val="0"/>
      <w:marTop w:val="0"/>
      <w:marBottom w:val="0"/>
      <w:divBdr>
        <w:top w:val="none" w:sz="0" w:space="0" w:color="auto"/>
        <w:left w:val="none" w:sz="0" w:space="0" w:color="auto"/>
        <w:bottom w:val="none" w:sz="0" w:space="0" w:color="auto"/>
        <w:right w:val="none" w:sz="0" w:space="0" w:color="auto"/>
      </w:divBdr>
    </w:div>
    <w:div w:id="1329140107">
      <w:bodyDiv w:val="1"/>
      <w:marLeft w:val="0"/>
      <w:marRight w:val="0"/>
      <w:marTop w:val="0"/>
      <w:marBottom w:val="0"/>
      <w:divBdr>
        <w:top w:val="none" w:sz="0" w:space="0" w:color="auto"/>
        <w:left w:val="none" w:sz="0" w:space="0" w:color="auto"/>
        <w:bottom w:val="none" w:sz="0" w:space="0" w:color="auto"/>
        <w:right w:val="none" w:sz="0" w:space="0" w:color="auto"/>
      </w:divBdr>
    </w:div>
    <w:div w:id="1329361179">
      <w:bodyDiv w:val="1"/>
      <w:marLeft w:val="0"/>
      <w:marRight w:val="0"/>
      <w:marTop w:val="0"/>
      <w:marBottom w:val="0"/>
      <w:divBdr>
        <w:top w:val="none" w:sz="0" w:space="0" w:color="auto"/>
        <w:left w:val="none" w:sz="0" w:space="0" w:color="auto"/>
        <w:bottom w:val="none" w:sz="0" w:space="0" w:color="auto"/>
        <w:right w:val="none" w:sz="0" w:space="0" w:color="auto"/>
      </w:divBdr>
    </w:div>
    <w:div w:id="1329863882">
      <w:bodyDiv w:val="1"/>
      <w:marLeft w:val="0"/>
      <w:marRight w:val="0"/>
      <w:marTop w:val="0"/>
      <w:marBottom w:val="0"/>
      <w:divBdr>
        <w:top w:val="none" w:sz="0" w:space="0" w:color="auto"/>
        <w:left w:val="none" w:sz="0" w:space="0" w:color="auto"/>
        <w:bottom w:val="none" w:sz="0" w:space="0" w:color="auto"/>
        <w:right w:val="none" w:sz="0" w:space="0" w:color="auto"/>
      </w:divBdr>
    </w:div>
    <w:div w:id="1331107261">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2027950">
      <w:bodyDiv w:val="1"/>
      <w:marLeft w:val="0"/>
      <w:marRight w:val="0"/>
      <w:marTop w:val="0"/>
      <w:marBottom w:val="0"/>
      <w:divBdr>
        <w:top w:val="none" w:sz="0" w:space="0" w:color="auto"/>
        <w:left w:val="none" w:sz="0" w:space="0" w:color="auto"/>
        <w:bottom w:val="none" w:sz="0" w:space="0" w:color="auto"/>
        <w:right w:val="none" w:sz="0" w:space="0" w:color="auto"/>
      </w:divBdr>
    </w:div>
    <w:div w:id="1332679300">
      <w:bodyDiv w:val="1"/>
      <w:marLeft w:val="0"/>
      <w:marRight w:val="0"/>
      <w:marTop w:val="0"/>
      <w:marBottom w:val="0"/>
      <w:divBdr>
        <w:top w:val="none" w:sz="0" w:space="0" w:color="auto"/>
        <w:left w:val="none" w:sz="0" w:space="0" w:color="auto"/>
        <w:bottom w:val="none" w:sz="0" w:space="0" w:color="auto"/>
        <w:right w:val="none" w:sz="0" w:space="0" w:color="auto"/>
      </w:divBdr>
    </w:div>
    <w:div w:id="1333291315">
      <w:bodyDiv w:val="1"/>
      <w:marLeft w:val="0"/>
      <w:marRight w:val="0"/>
      <w:marTop w:val="0"/>
      <w:marBottom w:val="0"/>
      <w:divBdr>
        <w:top w:val="none" w:sz="0" w:space="0" w:color="auto"/>
        <w:left w:val="none" w:sz="0" w:space="0" w:color="auto"/>
        <w:bottom w:val="none" w:sz="0" w:space="0" w:color="auto"/>
        <w:right w:val="none" w:sz="0" w:space="0" w:color="auto"/>
      </w:divBdr>
    </w:div>
    <w:div w:id="1333869385">
      <w:bodyDiv w:val="1"/>
      <w:marLeft w:val="0"/>
      <w:marRight w:val="0"/>
      <w:marTop w:val="0"/>
      <w:marBottom w:val="0"/>
      <w:divBdr>
        <w:top w:val="none" w:sz="0" w:space="0" w:color="auto"/>
        <w:left w:val="none" w:sz="0" w:space="0" w:color="auto"/>
        <w:bottom w:val="none" w:sz="0" w:space="0" w:color="auto"/>
        <w:right w:val="none" w:sz="0" w:space="0" w:color="auto"/>
      </w:divBdr>
    </w:div>
    <w:div w:id="1335645761">
      <w:bodyDiv w:val="1"/>
      <w:marLeft w:val="0"/>
      <w:marRight w:val="0"/>
      <w:marTop w:val="0"/>
      <w:marBottom w:val="0"/>
      <w:divBdr>
        <w:top w:val="none" w:sz="0" w:space="0" w:color="auto"/>
        <w:left w:val="none" w:sz="0" w:space="0" w:color="auto"/>
        <w:bottom w:val="none" w:sz="0" w:space="0" w:color="auto"/>
        <w:right w:val="none" w:sz="0" w:space="0" w:color="auto"/>
      </w:divBdr>
    </w:div>
    <w:div w:id="1337466648">
      <w:bodyDiv w:val="1"/>
      <w:marLeft w:val="0"/>
      <w:marRight w:val="0"/>
      <w:marTop w:val="0"/>
      <w:marBottom w:val="0"/>
      <w:divBdr>
        <w:top w:val="none" w:sz="0" w:space="0" w:color="auto"/>
        <w:left w:val="none" w:sz="0" w:space="0" w:color="auto"/>
        <w:bottom w:val="none" w:sz="0" w:space="0" w:color="auto"/>
        <w:right w:val="none" w:sz="0" w:space="0" w:color="auto"/>
      </w:divBdr>
    </w:div>
    <w:div w:id="1338194012">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228969">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542642">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53363">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241533">
      <w:bodyDiv w:val="1"/>
      <w:marLeft w:val="0"/>
      <w:marRight w:val="0"/>
      <w:marTop w:val="0"/>
      <w:marBottom w:val="0"/>
      <w:divBdr>
        <w:top w:val="none" w:sz="0" w:space="0" w:color="auto"/>
        <w:left w:val="none" w:sz="0" w:space="0" w:color="auto"/>
        <w:bottom w:val="none" w:sz="0" w:space="0" w:color="auto"/>
        <w:right w:val="none" w:sz="0" w:space="0" w:color="auto"/>
      </w:divBdr>
    </w:div>
    <w:div w:id="1344631872">
      <w:bodyDiv w:val="1"/>
      <w:marLeft w:val="0"/>
      <w:marRight w:val="0"/>
      <w:marTop w:val="0"/>
      <w:marBottom w:val="0"/>
      <w:divBdr>
        <w:top w:val="none" w:sz="0" w:space="0" w:color="auto"/>
        <w:left w:val="none" w:sz="0" w:space="0" w:color="auto"/>
        <w:bottom w:val="none" w:sz="0" w:space="0" w:color="auto"/>
        <w:right w:val="none" w:sz="0" w:space="0" w:color="auto"/>
      </w:divBdr>
    </w:div>
    <w:div w:id="1344816483">
      <w:bodyDiv w:val="1"/>
      <w:marLeft w:val="0"/>
      <w:marRight w:val="0"/>
      <w:marTop w:val="0"/>
      <w:marBottom w:val="0"/>
      <w:divBdr>
        <w:top w:val="none" w:sz="0" w:space="0" w:color="auto"/>
        <w:left w:val="none" w:sz="0" w:space="0" w:color="auto"/>
        <w:bottom w:val="none" w:sz="0" w:space="0" w:color="auto"/>
        <w:right w:val="none" w:sz="0" w:space="0" w:color="auto"/>
      </w:divBdr>
    </w:div>
    <w:div w:id="1345521331">
      <w:bodyDiv w:val="1"/>
      <w:marLeft w:val="0"/>
      <w:marRight w:val="0"/>
      <w:marTop w:val="0"/>
      <w:marBottom w:val="0"/>
      <w:divBdr>
        <w:top w:val="none" w:sz="0" w:space="0" w:color="auto"/>
        <w:left w:val="none" w:sz="0" w:space="0" w:color="auto"/>
        <w:bottom w:val="none" w:sz="0" w:space="0" w:color="auto"/>
        <w:right w:val="none" w:sz="0" w:space="0" w:color="auto"/>
      </w:divBdr>
    </w:div>
    <w:div w:id="134554864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6204132">
      <w:bodyDiv w:val="1"/>
      <w:marLeft w:val="0"/>
      <w:marRight w:val="0"/>
      <w:marTop w:val="0"/>
      <w:marBottom w:val="0"/>
      <w:divBdr>
        <w:top w:val="none" w:sz="0" w:space="0" w:color="auto"/>
        <w:left w:val="none" w:sz="0" w:space="0" w:color="auto"/>
        <w:bottom w:val="none" w:sz="0" w:space="0" w:color="auto"/>
        <w:right w:val="none" w:sz="0" w:space="0" w:color="auto"/>
      </w:divBdr>
    </w:div>
    <w:div w:id="1346831023">
      <w:bodyDiv w:val="1"/>
      <w:marLeft w:val="0"/>
      <w:marRight w:val="0"/>
      <w:marTop w:val="0"/>
      <w:marBottom w:val="0"/>
      <w:divBdr>
        <w:top w:val="none" w:sz="0" w:space="0" w:color="auto"/>
        <w:left w:val="none" w:sz="0" w:space="0" w:color="auto"/>
        <w:bottom w:val="none" w:sz="0" w:space="0" w:color="auto"/>
        <w:right w:val="none" w:sz="0" w:space="0" w:color="auto"/>
      </w:divBdr>
    </w:div>
    <w:div w:id="1347059334">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098340">
      <w:bodyDiv w:val="1"/>
      <w:marLeft w:val="0"/>
      <w:marRight w:val="0"/>
      <w:marTop w:val="0"/>
      <w:marBottom w:val="0"/>
      <w:divBdr>
        <w:top w:val="none" w:sz="0" w:space="0" w:color="auto"/>
        <w:left w:val="none" w:sz="0" w:space="0" w:color="auto"/>
        <w:bottom w:val="none" w:sz="0" w:space="0" w:color="auto"/>
        <w:right w:val="none" w:sz="0" w:space="0" w:color="auto"/>
      </w:divBdr>
    </w:div>
    <w:div w:id="1348604376">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49480469">
      <w:bodyDiv w:val="1"/>
      <w:marLeft w:val="0"/>
      <w:marRight w:val="0"/>
      <w:marTop w:val="0"/>
      <w:marBottom w:val="0"/>
      <w:divBdr>
        <w:top w:val="none" w:sz="0" w:space="0" w:color="auto"/>
        <w:left w:val="none" w:sz="0" w:space="0" w:color="auto"/>
        <w:bottom w:val="none" w:sz="0" w:space="0" w:color="auto"/>
        <w:right w:val="none" w:sz="0" w:space="0" w:color="auto"/>
      </w:divBdr>
    </w:div>
    <w:div w:id="1349526353">
      <w:bodyDiv w:val="1"/>
      <w:marLeft w:val="0"/>
      <w:marRight w:val="0"/>
      <w:marTop w:val="0"/>
      <w:marBottom w:val="0"/>
      <w:divBdr>
        <w:top w:val="none" w:sz="0" w:space="0" w:color="auto"/>
        <w:left w:val="none" w:sz="0" w:space="0" w:color="auto"/>
        <w:bottom w:val="none" w:sz="0" w:space="0" w:color="auto"/>
        <w:right w:val="none" w:sz="0" w:space="0" w:color="auto"/>
      </w:divBdr>
    </w:div>
    <w:div w:id="1350446531">
      <w:bodyDiv w:val="1"/>
      <w:marLeft w:val="0"/>
      <w:marRight w:val="0"/>
      <w:marTop w:val="0"/>
      <w:marBottom w:val="0"/>
      <w:divBdr>
        <w:top w:val="none" w:sz="0" w:space="0" w:color="auto"/>
        <w:left w:val="none" w:sz="0" w:space="0" w:color="auto"/>
        <w:bottom w:val="none" w:sz="0" w:space="0" w:color="auto"/>
        <w:right w:val="none" w:sz="0" w:space="0" w:color="auto"/>
      </w:divBdr>
    </w:div>
    <w:div w:id="1350915612">
      <w:bodyDiv w:val="1"/>
      <w:marLeft w:val="0"/>
      <w:marRight w:val="0"/>
      <w:marTop w:val="0"/>
      <w:marBottom w:val="0"/>
      <w:divBdr>
        <w:top w:val="none" w:sz="0" w:space="0" w:color="auto"/>
        <w:left w:val="none" w:sz="0" w:space="0" w:color="auto"/>
        <w:bottom w:val="none" w:sz="0" w:space="0" w:color="auto"/>
        <w:right w:val="none" w:sz="0" w:space="0" w:color="auto"/>
      </w:divBdr>
    </w:div>
    <w:div w:id="1351032764">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1834453">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3845145">
      <w:bodyDiv w:val="1"/>
      <w:marLeft w:val="0"/>
      <w:marRight w:val="0"/>
      <w:marTop w:val="0"/>
      <w:marBottom w:val="0"/>
      <w:divBdr>
        <w:top w:val="none" w:sz="0" w:space="0" w:color="auto"/>
        <w:left w:val="none" w:sz="0" w:space="0" w:color="auto"/>
        <w:bottom w:val="none" w:sz="0" w:space="0" w:color="auto"/>
        <w:right w:val="none" w:sz="0" w:space="0" w:color="auto"/>
      </w:divBdr>
    </w:div>
    <w:div w:id="1353995000">
      <w:bodyDiv w:val="1"/>
      <w:marLeft w:val="0"/>
      <w:marRight w:val="0"/>
      <w:marTop w:val="0"/>
      <w:marBottom w:val="0"/>
      <w:divBdr>
        <w:top w:val="none" w:sz="0" w:space="0" w:color="auto"/>
        <w:left w:val="none" w:sz="0" w:space="0" w:color="auto"/>
        <w:bottom w:val="none" w:sz="0" w:space="0" w:color="auto"/>
        <w:right w:val="none" w:sz="0" w:space="0" w:color="auto"/>
      </w:divBdr>
    </w:div>
    <w:div w:id="1354306429">
      <w:bodyDiv w:val="1"/>
      <w:marLeft w:val="0"/>
      <w:marRight w:val="0"/>
      <w:marTop w:val="0"/>
      <w:marBottom w:val="0"/>
      <w:divBdr>
        <w:top w:val="none" w:sz="0" w:space="0" w:color="auto"/>
        <w:left w:val="none" w:sz="0" w:space="0" w:color="auto"/>
        <w:bottom w:val="none" w:sz="0" w:space="0" w:color="auto"/>
        <w:right w:val="none" w:sz="0" w:space="0" w:color="auto"/>
      </w:divBdr>
    </w:div>
    <w:div w:id="1354771907">
      <w:bodyDiv w:val="1"/>
      <w:marLeft w:val="0"/>
      <w:marRight w:val="0"/>
      <w:marTop w:val="0"/>
      <w:marBottom w:val="0"/>
      <w:divBdr>
        <w:top w:val="none" w:sz="0" w:space="0" w:color="auto"/>
        <w:left w:val="none" w:sz="0" w:space="0" w:color="auto"/>
        <w:bottom w:val="none" w:sz="0" w:space="0" w:color="auto"/>
        <w:right w:val="none" w:sz="0" w:space="0" w:color="auto"/>
      </w:divBdr>
    </w:div>
    <w:div w:id="1355422548">
      <w:bodyDiv w:val="1"/>
      <w:marLeft w:val="0"/>
      <w:marRight w:val="0"/>
      <w:marTop w:val="0"/>
      <w:marBottom w:val="0"/>
      <w:divBdr>
        <w:top w:val="none" w:sz="0" w:space="0" w:color="auto"/>
        <w:left w:val="none" w:sz="0" w:space="0" w:color="auto"/>
        <w:bottom w:val="none" w:sz="0" w:space="0" w:color="auto"/>
        <w:right w:val="none" w:sz="0" w:space="0" w:color="auto"/>
      </w:divBdr>
    </w:div>
    <w:div w:id="1355688520">
      <w:bodyDiv w:val="1"/>
      <w:marLeft w:val="0"/>
      <w:marRight w:val="0"/>
      <w:marTop w:val="0"/>
      <w:marBottom w:val="0"/>
      <w:divBdr>
        <w:top w:val="none" w:sz="0" w:space="0" w:color="auto"/>
        <w:left w:val="none" w:sz="0" w:space="0" w:color="auto"/>
        <w:bottom w:val="none" w:sz="0" w:space="0" w:color="auto"/>
        <w:right w:val="none" w:sz="0" w:space="0" w:color="auto"/>
      </w:divBdr>
    </w:div>
    <w:div w:id="135588736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038902">
      <w:bodyDiv w:val="1"/>
      <w:marLeft w:val="0"/>
      <w:marRight w:val="0"/>
      <w:marTop w:val="0"/>
      <w:marBottom w:val="0"/>
      <w:divBdr>
        <w:top w:val="none" w:sz="0" w:space="0" w:color="auto"/>
        <w:left w:val="none" w:sz="0" w:space="0" w:color="auto"/>
        <w:bottom w:val="none" w:sz="0" w:space="0" w:color="auto"/>
        <w:right w:val="none" w:sz="0" w:space="0" w:color="auto"/>
      </w:divBdr>
    </w:div>
    <w:div w:id="1358460535">
      <w:bodyDiv w:val="1"/>
      <w:marLeft w:val="0"/>
      <w:marRight w:val="0"/>
      <w:marTop w:val="0"/>
      <w:marBottom w:val="0"/>
      <w:divBdr>
        <w:top w:val="none" w:sz="0" w:space="0" w:color="auto"/>
        <w:left w:val="none" w:sz="0" w:space="0" w:color="auto"/>
        <w:bottom w:val="none" w:sz="0" w:space="0" w:color="auto"/>
        <w:right w:val="none" w:sz="0" w:space="0" w:color="auto"/>
      </w:divBdr>
    </w:div>
    <w:div w:id="1358770590">
      <w:bodyDiv w:val="1"/>
      <w:marLeft w:val="0"/>
      <w:marRight w:val="0"/>
      <w:marTop w:val="0"/>
      <w:marBottom w:val="0"/>
      <w:divBdr>
        <w:top w:val="none" w:sz="0" w:space="0" w:color="auto"/>
        <w:left w:val="none" w:sz="0" w:space="0" w:color="auto"/>
        <w:bottom w:val="none" w:sz="0" w:space="0" w:color="auto"/>
        <w:right w:val="none" w:sz="0" w:space="0" w:color="auto"/>
      </w:divBdr>
    </w:div>
    <w:div w:id="1358771451">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59625252">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0165103">
      <w:bodyDiv w:val="1"/>
      <w:marLeft w:val="0"/>
      <w:marRight w:val="0"/>
      <w:marTop w:val="0"/>
      <w:marBottom w:val="0"/>
      <w:divBdr>
        <w:top w:val="none" w:sz="0" w:space="0" w:color="auto"/>
        <w:left w:val="none" w:sz="0" w:space="0" w:color="auto"/>
        <w:bottom w:val="none" w:sz="0" w:space="0" w:color="auto"/>
        <w:right w:val="none" w:sz="0" w:space="0" w:color="auto"/>
      </w:divBdr>
    </w:div>
    <w:div w:id="1360810940">
      <w:bodyDiv w:val="1"/>
      <w:marLeft w:val="0"/>
      <w:marRight w:val="0"/>
      <w:marTop w:val="0"/>
      <w:marBottom w:val="0"/>
      <w:divBdr>
        <w:top w:val="none" w:sz="0" w:space="0" w:color="auto"/>
        <w:left w:val="none" w:sz="0" w:space="0" w:color="auto"/>
        <w:bottom w:val="none" w:sz="0" w:space="0" w:color="auto"/>
        <w:right w:val="none" w:sz="0" w:space="0" w:color="auto"/>
      </w:divBdr>
    </w:div>
    <w:div w:id="1361513425">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1974645">
      <w:bodyDiv w:val="1"/>
      <w:marLeft w:val="0"/>
      <w:marRight w:val="0"/>
      <w:marTop w:val="0"/>
      <w:marBottom w:val="0"/>
      <w:divBdr>
        <w:top w:val="none" w:sz="0" w:space="0" w:color="auto"/>
        <w:left w:val="none" w:sz="0" w:space="0" w:color="auto"/>
        <w:bottom w:val="none" w:sz="0" w:space="0" w:color="auto"/>
        <w:right w:val="none" w:sz="0" w:space="0" w:color="auto"/>
      </w:divBdr>
    </w:div>
    <w:div w:id="1362634306">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0878">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6753997">
      <w:bodyDiv w:val="1"/>
      <w:marLeft w:val="0"/>
      <w:marRight w:val="0"/>
      <w:marTop w:val="0"/>
      <w:marBottom w:val="0"/>
      <w:divBdr>
        <w:top w:val="none" w:sz="0" w:space="0" w:color="auto"/>
        <w:left w:val="none" w:sz="0" w:space="0" w:color="auto"/>
        <w:bottom w:val="none" w:sz="0" w:space="0" w:color="auto"/>
        <w:right w:val="none" w:sz="0" w:space="0" w:color="auto"/>
      </w:divBdr>
    </w:div>
    <w:div w:id="1367173378">
      <w:bodyDiv w:val="1"/>
      <w:marLeft w:val="0"/>
      <w:marRight w:val="0"/>
      <w:marTop w:val="0"/>
      <w:marBottom w:val="0"/>
      <w:divBdr>
        <w:top w:val="none" w:sz="0" w:space="0" w:color="auto"/>
        <w:left w:val="none" w:sz="0" w:space="0" w:color="auto"/>
        <w:bottom w:val="none" w:sz="0" w:space="0" w:color="auto"/>
        <w:right w:val="none" w:sz="0" w:space="0" w:color="auto"/>
      </w:divBdr>
    </w:div>
    <w:div w:id="1367831257">
      <w:bodyDiv w:val="1"/>
      <w:marLeft w:val="0"/>
      <w:marRight w:val="0"/>
      <w:marTop w:val="0"/>
      <w:marBottom w:val="0"/>
      <w:divBdr>
        <w:top w:val="none" w:sz="0" w:space="0" w:color="auto"/>
        <w:left w:val="none" w:sz="0" w:space="0" w:color="auto"/>
        <w:bottom w:val="none" w:sz="0" w:space="0" w:color="auto"/>
        <w:right w:val="none" w:sz="0" w:space="0" w:color="auto"/>
      </w:divBdr>
    </w:div>
    <w:div w:id="1368028308">
      <w:bodyDiv w:val="1"/>
      <w:marLeft w:val="0"/>
      <w:marRight w:val="0"/>
      <w:marTop w:val="0"/>
      <w:marBottom w:val="0"/>
      <w:divBdr>
        <w:top w:val="none" w:sz="0" w:space="0" w:color="auto"/>
        <w:left w:val="none" w:sz="0" w:space="0" w:color="auto"/>
        <w:bottom w:val="none" w:sz="0" w:space="0" w:color="auto"/>
        <w:right w:val="none" w:sz="0" w:space="0" w:color="auto"/>
      </w:divBdr>
    </w:div>
    <w:div w:id="1368219877">
      <w:bodyDiv w:val="1"/>
      <w:marLeft w:val="0"/>
      <w:marRight w:val="0"/>
      <w:marTop w:val="0"/>
      <w:marBottom w:val="0"/>
      <w:divBdr>
        <w:top w:val="none" w:sz="0" w:space="0" w:color="auto"/>
        <w:left w:val="none" w:sz="0" w:space="0" w:color="auto"/>
        <w:bottom w:val="none" w:sz="0" w:space="0" w:color="auto"/>
        <w:right w:val="none" w:sz="0" w:space="0" w:color="auto"/>
      </w:divBdr>
    </w:div>
    <w:div w:id="1368263182">
      <w:bodyDiv w:val="1"/>
      <w:marLeft w:val="0"/>
      <w:marRight w:val="0"/>
      <w:marTop w:val="0"/>
      <w:marBottom w:val="0"/>
      <w:divBdr>
        <w:top w:val="none" w:sz="0" w:space="0" w:color="auto"/>
        <w:left w:val="none" w:sz="0" w:space="0" w:color="auto"/>
        <w:bottom w:val="none" w:sz="0" w:space="0" w:color="auto"/>
        <w:right w:val="none" w:sz="0" w:space="0" w:color="auto"/>
      </w:divBdr>
    </w:div>
    <w:div w:id="1368677290">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102306">
      <w:bodyDiv w:val="1"/>
      <w:marLeft w:val="0"/>
      <w:marRight w:val="0"/>
      <w:marTop w:val="0"/>
      <w:marBottom w:val="0"/>
      <w:divBdr>
        <w:top w:val="none" w:sz="0" w:space="0" w:color="auto"/>
        <w:left w:val="none" w:sz="0" w:space="0" w:color="auto"/>
        <w:bottom w:val="none" w:sz="0" w:space="0" w:color="auto"/>
        <w:right w:val="none" w:sz="0" w:space="0" w:color="auto"/>
      </w:divBdr>
    </w:div>
    <w:div w:id="1371613049">
      <w:bodyDiv w:val="1"/>
      <w:marLeft w:val="0"/>
      <w:marRight w:val="0"/>
      <w:marTop w:val="0"/>
      <w:marBottom w:val="0"/>
      <w:divBdr>
        <w:top w:val="none" w:sz="0" w:space="0" w:color="auto"/>
        <w:left w:val="none" w:sz="0" w:space="0" w:color="auto"/>
        <w:bottom w:val="none" w:sz="0" w:space="0" w:color="auto"/>
        <w:right w:val="none" w:sz="0" w:space="0" w:color="auto"/>
      </w:divBdr>
    </w:div>
    <w:div w:id="1372194218">
      <w:bodyDiv w:val="1"/>
      <w:marLeft w:val="0"/>
      <w:marRight w:val="0"/>
      <w:marTop w:val="0"/>
      <w:marBottom w:val="0"/>
      <w:divBdr>
        <w:top w:val="none" w:sz="0" w:space="0" w:color="auto"/>
        <w:left w:val="none" w:sz="0" w:space="0" w:color="auto"/>
        <w:bottom w:val="none" w:sz="0" w:space="0" w:color="auto"/>
        <w:right w:val="none" w:sz="0" w:space="0" w:color="auto"/>
      </w:divBdr>
    </w:div>
    <w:div w:id="1373458456">
      <w:bodyDiv w:val="1"/>
      <w:marLeft w:val="0"/>
      <w:marRight w:val="0"/>
      <w:marTop w:val="0"/>
      <w:marBottom w:val="0"/>
      <w:divBdr>
        <w:top w:val="none" w:sz="0" w:space="0" w:color="auto"/>
        <w:left w:val="none" w:sz="0" w:space="0" w:color="auto"/>
        <w:bottom w:val="none" w:sz="0" w:space="0" w:color="auto"/>
        <w:right w:val="none" w:sz="0" w:space="0" w:color="auto"/>
      </w:divBdr>
    </w:div>
    <w:div w:id="1373459373">
      <w:bodyDiv w:val="1"/>
      <w:marLeft w:val="0"/>
      <w:marRight w:val="0"/>
      <w:marTop w:val="0"/>
      <w:marBottom w:val="0"/>
      <w:divBdr>
        <w:top w:val="none" w:sz="0" w:space="0" w:color="auto"/>
        <w:left w:val="none" w:sz="0" w:space="0" w:color="auto"/>
        <w:bottom w:val="none" w:sz="0" w:space="0" w:color="auto"/>
        <w:right w:val="none" w:sz="0" w:space="0" w:color="auto"/>
      </w:divBdr>
    </w:div>
    <w:div w:id="1373921977">
      <w:bodyDiv w:val="1"/>
      <w:marLeft w:val="0"/>
      <w:marRight w:val="0"/>
      <w:marTop w:val="0"/>
      <w:marBottom w:val="0"/>
      <w:divBdr>
        <w:top w:val="none" w:sz="0" w:space="0" w:color="auto"/>
        <w:left w:val="none" w:sz="0" w:space="0" w:color="auto"/>
        <w:bottom w:val="none" w:sz="0" w:space="0" w:color="auto"/>
        <w:right w:val="none" w:sz="0" w:space="0" w:color="auto"/>
      </w:divBdr>
    </w:div>
    <w:div w:id="1374233333">
      <w:bodyDiv w:val="1"/>
      <w:marLeft w:val="0"/>
      <w:marRight w:val="0"/>
      <w:marTop w:val="0"/>
      <w:marBottom w:val="0"/>
      <w:divBdr>
        <w:top w:val="none" w:sz="0" w:space="0" w:color="auto"/>
        <w:left w:val="none" w:sz="0" w:space="0" w:color="auto"/>
        <w:bottom w:val="none" w:sz="0" w:space="0" w:color="auto"/>
        <w:right w:val="none" w:sz="0" w:space="0" w:color="auto"/>
      </w:divBdr>
    </w:div>
    <w:div w:id="1374571843">
      <w:bodyDiv w:val="1"/>
      <w:marLeft w:val="0"/>
      <w:marRight w:val="0"/>
      <w:marTop w:val="0"/>
      <w:marBottom w:val="0"/>
      <w:divBdr>
        <w:top w:val="none" w:sz="0" w:space="0" w:color="auto"/>
        <w:left w:val="none" w:sz="0" w:space="0" w:color="auto"/>
        <w:bottom w:val="none" w:sz="0" w:space="0" w:color="auto"/>
        <w:right w:val="none" w:sz="0" w:space="0" w:color="auto"/>
      </w:divBdr>
    </w:div>
    <w:div w:id="1376656481">
      <w:bodyDiv w:val="1"/>
      <w:marLeft w:val="0"/>
      <w:marRight w:val="0"/>
      <w:marTop w:val="0"/>
      <w:marBottom w:val="0"/>
      <w:divBdr>
        <w:top w:val="none" w:sz="0" w:space="0" w:color="auto"/>
        <w:left w:val="none" w:sz="0" w:space="0" w:color="auto"/>
        <w:bottom w:val="none" w:sz="0" w:space="0" w:color="auto"/>
        <w:right w:val="none" w:sz="0" w:space="0" w:color="auto"/>
      </w:divBdr>
    </w:div>
    <w:div w:id="1376931928">
      <w:bodyDiv w:val="1"/>
      <w:marLeft w:val="0"/>
      <w:marRight w:val="0"/>
      <w:marTop w:val="0"/>
      <w:marBottom w:val="0"/>
      <w:divBdr>
        <w:top w:val="none" w:sz="0" w:space="0" w:color="auto"/>
        <w:left w:val="none" w:sz="0" w:space="0" w:color="auto"/>
        <w:bottom w:val="none" w:sz="0" w:space="0" w:color="auto"/>
        <w:right w:val="none" w:sz="0" w:space="0" w:color="auto"/>
      </w:divBdr>
    </w:div>
    <w:div w:id="1377194382">
      <w:bodyDiv w:val="1"/>
      <w:marLeft w:val="0"/>
      <w:marRight w:val="0"/>
      <w:marTop w:val="0"/>
      <w:marBottom w:val="0"/>
      <w:divBdr>
        <w:top w:val="none" w:sz="0" w:space="0" w:color="auto"/>
        <w:left w:val="none" w:sz="0" w:space="0" w:color="auto"/>
        <w:bottom w:val="none" w:sz="0" w:space="0" w:color="auto"/>
        <w:right w:val="none" w:sz="0" w:space="0" w:color="auto"/>
      </w:divBdr>
    </w:div>
    <w:div w:id="1377699793">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8241866">
      <w:bodyDiv w:val="1"/>
      <w:marLeft w:val="0"/>
      <w:marRight w:val="0"/>
      <w:marTop w:val="0"/>
      <w:marBottom w:val="0"/>
      <w:divBdr>
        <w:top w:val="none" w:sz="0" w:space="0" w:color="auto"/>
        <w:left w:val="none" w:sz="0" w:space="0" w:color="auto"/>
        <w:bottom w:val="none" w:sz="0" w:space="0" w:color="auto"/>
        <w:right w:val="none" w:sz="0" w:space="0" w:color="auto"/>
      </w:divBdr>
    </w:div>
    <w:div w:id="1379356638">
      <w:bodyDiv w:val="1"/>
      <w:marLeft w:val="0"/>
      <w:marRight w:val="0"/>
      <w:marTop w:val="0"/>
      <w:marBottom w:val="0"/>
      <w:divBdr>
        <w:top w:val="none" w:sz="0" w:space="0" w:color="auto"/>
        <w:left w:val="none" w:sz="0" w:space="0" w:color="auto"/>
        <w:bottom w:val="none" w:sz="0" w:space="0" w:color="auto"/>
        <w:right w:val="none" w:sz="0" w:space="0" w:color="auto"/>
      </w:divBdr>
    </w:div>
    <w:div w:id="1380089288">
      <w:bodyDiv w:val="1"/>
      <w:marLeft w:val="0"/>
      <w:marRight w:val="0"/>
      <w:marTop w:val="0"/>
      <w:marBottom w:val="0"/>
      <w:divBdr>
        <w:top w:val="none" w:sz="0" w:space="0" w:color="auto"/>
        <w:left w:val="none" w:sz="0" w:space="0" w:color="auto"/>
        <w:bottom w:val="none" w:sz="0" w:space="0" w:color="auto"/>
        <w:right w:val="none" w:sz="0" w:space="0" w:color="auto"/>
      </w:divBdr>
    </w:div>
    <w:div w:id="1380667968">
      <w:bodyDiv w:val="1"/>
      <w:marLeft w:val="0"/>
      <w:marRight w:val="0"/>
      <w:marTop w:val="0"/>
      <w:marBottom w:val="0"/>
      <w:divBdr>
        <w:top w:val="none" w:sz="0" w:space="0" w:color="auto"/>
        <w:left w:val="none" w:sz="0" w:space="0" w:color="auto"/>
        <w:bottom w:val="none" w:sz="0" w:space="0" w:color="auto"/>
        <w:right w:val="none" w:sz="0" w:space="0" w:color="auto"/>
      </w:divBdr>
    </w:div>
    <w:div w:id="1380741525">
      <w:bodyDiv w:val="1"/>
      <w:marLeft w:val="0"/>
      <w:marRight w:val="0"/>
      <w:marTop w:val="0"/>
      <w:marBottom w:val="0"/>
      <w:divBdr>
        <w:top w:val="none" w:sz="0" w:space="0" w:color="auto"/>
        <w:left w:val="none" w:sz="0" w:space="0" w:color="auto"/>
        <w:bottom w:val="none" w:sz="0" w:space="0" w:color="auto"/>
        <w:right w:val="none" w:sz="0" w:space="0" w:color="auto"/>
      </w:divBdr>
    </w:div>
    <w:div w:id="1381050524">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2290360">
      <w:bodyDiv w:val="1"/>
      <w:marLeft w:val="0"/>
      <w:marRight w:val="0"/>
      <w:marTop w:val="0"/>
      <w:marBottom w:val="0"/>
      <w:divBdr>
        <w:top w:val="none" w:sz="0" w:space="0" w:color="auto"/>
        <w:left w:val="none" w:sz="0" w:space="0" w:color="auto"/>
        <w:bottom w:val="none" w:sz="0" w:space="0" w:color="auto"/>
        <w:right w:val="none" w:sz="0" w:space="0" w:color="auto"/>
      </w:divBdr>
    </w:div>
    <w:div w:id="1382317777">
      <w:bodyDiv w:val="1"/>
      <w:marLeft w:val="0"/>
      <w:marRight w:val="0"/>
      <w:marTop w:val="0"/>
      <w:marBottom w:val="0"/>
      <w:divBdr>
        <w:top w:val="none" w:sz="0" w:space="0" w:color="auto"/>
        <w:left w:val="none" w:sz="0" w:space="0" w:color="auto"/>
        <w:bottom w:val="none" w:sz="0" w:space="0" w:color="auto"/>
        <w:right w:val="none" w:sz="0" w:space="0" w:color="auto"/>
      </w:divBdr>
    </w:div>
    <w:div w:id="1382367561">
      <w:bodyDiv w:val="1"/>
      <w:marLeft w:val="0"/>
      <w:marRight w:val="0"/>
      <w:marTop w:val="0"/>
      <w:marBottom w:val="0"/>
      <w:divBdr>
        <w:top w:val="none" w:sz="0" w:space="0" w:color="auto"/>
        <w:left w:val="none" w:sz="0" w:space="0" w:color="auto"/>
        <w:bottom w:val="none" w:sz="0" w:space="0" w:color="auto"/>
        <w:right w:val="none" w:sz="0" w:space="0" w:color="auto"/>
      </w:divBdr>
    </w:div>
    <w:div w:id="138270891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476612">
      <w:bodyDiv w:val="1"/>
      <w:marLeft w:val="0"/>
      <w:marRight w:val="0"/>
      <w:marTop w:val="0"/>
      <w:marBottom w:val="0"/>
      <w:divBdr>
        <w:top w:val="none" w:sz="0" w:space="0" w:color="auto"/>
        <w:left w:val="none" w:sz="0" w:space="0" w:color="auto"/>
        <w:bottom w:val="none" w:sz="0" w:space="0" w:color="auto"/>
        <w:right w:val="none" w:sz="0" w:space="0" w:color="auto"/>
      </w:divBdr>
    </w:div>
    <w:div w:id="1383482764">
      <w:bodyDiv w:val="1"/>
      <w:marLeft w:val="0"/>
      <w:marRight w:val="0"/>
      <w:marTop w:val="0"/>
      <w:marBottom w:val="0"/>
      <w:divBdr>
        <w:top w:val="none" w:sz="0" w:space="0" w:color="auto"/>
        <w:left w:val="none" w:sz="0" w:space="0" w:color="auto"/>
        <w:bottom w:val="none" w:sz="0" w:space="0" w:color="auto"/>
        <w:right w:val="none" w:sz="0" w:space="0" w:color="auto"/>
      </w:divBdr>
    </w:div>
    <w:div w:id="1383939917">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4060092">
      <w:bodyDiv w:val="1"/>
      <w:marLeft w:val="0"/>
      <w:marRight w:val="0"/>
      <w:marTop w:val="0"/>
      <w:marBottom w:val="0"/>
      <w:divBdr>
        <w:top w:val="none" w:sz="0" w:space="0" w:color="auto"/>
        <w:left w:val="none" w:sz="0" w:space="0" w:color="auto"/>
        <w:bottom w:val="none" w:sz="0" w:space="0" w:color="auto"/>
        <w:right w:val="none" w:sz="0" w:space="0" w:color="auto"/>
      </w:divBdr>
    </w:div>
    <w:div w:id="1384720174">
      <w:bodyDiv w:val="1"/>
      <w:marLeft w:val="0"/>
      <w:marRight w:val="0"/>
      <w:marTop w:val="0"/>
      <w:marBottom w:val="0"/>
      <w:divBdr>
        <w:top w:val="none" w:sz="0" w:space="0" w:color="auto"/>
        <w:left w:val="none" w:sz="0" w:space="0" w:color="auto"/>
        <w:bottom w:val="none" w:sz="0" w:space="0" w:color="auto"/>
        <w:right w:val="none" w:sz="0" w:space="0" w:color="auto"/>
      </w:divBdr>
    </w:div>
    <w:div w:id="1384789146">
      <w:bodyDiv w:val="1"/>
      <w:marLeft w:val="0"/>
      <w:marRight w:val="0"/>
      <w:marTop w:val="0"/>
      <w:marBottom w:val="0"/>
      <w:divBdr>
        <w:top w:val="none" w:sz="0" w:space="0" w:color="auto"/>
        <w:left w:val="none" w:sz="0" w:space="0" w:color="auto"/>
        <w:bottom w:val="none" w:sz="0" w:space="0" w:color="auto"/>
        <w:right w:val="none" w:sz="0" w:space="0" w:color="auto"/>
      </w:divBdr>
    </w:div>
    <w:div w:id="1384939120">
      <w:bodyDiv w:val="1"/>
      <w:marLeft w:val="0"/>
      <w:marRight w:val="0"/>
      <w:marTop w:val="0"/>
      <w:marBottom w:val="0"/>
      <w:divBdr>
        <w:top w:val="none" w:sz="0" w:space="0" w:color="auto"/>
        <w:left w:val="none" w:sz="0" w:space="0" w:color="auto"/>
        <w:bottom w:val="none" w:sz="0" w:space="0" w:color="auto"/>
        <w:right w:val="none" w:sz="0" w:space="0" w:color="auto"/>
      </w:divBdr>
    </w:div>
    <w:div w:id="1385254398">
      <w:bodyDiv w:val="1"/>
      <w:marLeft w:val="0"/>
      <w:marRight w:val="0"/>
      <w:marTop w:val="0"/>
      <w:marBottom w:val="0"/>
      <w:divBdr>
        <w:top w:val="none" w:sz="0" w:space="0" w:color="auto"/>
        <w:left w:val="none" w:sz="0" w:space="0" w:color="auto"/>
        <w:bottom w:val="none" w:sz="0" w:space="0" w:color="auto"/>
        <w:right w:val="none" w:sz="0" w:space="0" w:color="auto"/>
      </w:divBdr>
    </w:div>
    <w:div w:id="1385449464">
      <w:bodyDiv w:val="1"/>
      <w:marLeft w:val="0"/>
      <w:marRight w:val="0"/>
      <w:marTop w:val="0"/>
      <w:marBottom w:val="0"/>
      <w:divBdr>
        <w:top w:val="none" w:sz="0" w:space="0" w:color="auto"/>
        <w:left w:val="none" w:sz="0" w:space="0" w:color="auto"/>
        <w:bottom w:val="none" w:sz="0" w:space="0" w:color="auto"/>
        <w:right w:val="none" w:sz="0" w:space="0" w:color="auto"/>
      </w:divBdr>
    </w:div>
    <w:div w:id="1385834243">
      <w:bodyDiv w:val="1"/>
      <w:marLeft w:val="0"/>
      <w:marRight w:val="0"/>
      <w:marTop w:val="0"/>
      <w:marBottom w:val="0"/>
      <w:divBdr>
        <w:top w:val="none" w:sz="0" w:space="0" w:color="auto"/>
        <w:left w:val="none" w:sz="0" w:space="0" w:color="auto"/>
        <w:bottom w:val="none" w:sz="0" w:space="0" w:color="auto"/>
        <w:right w:val="none" w:sz="0" w:space="0" w:color="auto"/>
      </w:divBdr>
    </w:div>
    <w:div w:id="1385835609">
      <w:bodyDiv w:val="1"/>
      <w:marLeft w:val="0"/>
      <w:marRight w:val="0"/>
      <w:marTop w:val="0"/>
      <w:marBottom w:val="0"/>
      <w:divBdr>
        <w:top w:val="none" w:sz="0" w:space="0" w:color="auto"/>
        <w:left w:val="none" w:sz="0" w:space="0" w:color="auto"/>
        <w:bottom w:val="none" w:sz="0" w:space="0" w:color="auto"/>
        <w:right w:val="none" w:sz="0" w:space="0" w:color="auto"/>
      </w:divBdr>
    </w:div>
    <w:div w:id="1386562664">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7483941">
      <w:bodyDiv w:val="1"/>
      <w:marLeft w:val="0"/>
      <w:marRight w:val="0"/>
      <w:marTop w:val="0"/>
      <w:marBottom w:val="0"/>
      <w:divBdr>
        <w:top w:val="none" w:sz="0" w:space="0" w:color="auto"/>
        <w:left w:val="none" w:sz="0" w:space="0" w:color="auto"/>
        <w:bottom w:val="none" w:sz="0" w:space="0" w:color="auto"/>
        <w:right w:val="none" w:sz="0" w:space="0" w:color="auto"/>
      </w:divBdr>
    </w:div>
    <w:div w:id="1387945919">
      <w:bodyDiv w:val="1"/>
      <w:marLeft w:val="0"/>
      <w:marRight w:val="0"/>
      <w:marTop w:val="0"/>
      <w:marBottom w:val="0"/>
      <w:divBdr>
        <w:top w:val="none" w:sz="0" w:space="0" w:color="auto"/>
        <w:left w:val="none" w:sz="0" w:space="0" w:color="auto"/>
        <w:bottom w:val="none" w:sz="0" w:space="0" w:color="auto"/>
        <w:right w:val="none" w:sz="0" w:space="0" w:color="auto"/>
      </w:divBdr>
    </w:div>
    <w:div w:id="1388069808">
      <w:bodyDiv w:val="1"/>
      <w:marLeft w:val="0"/>
      <w:marRight w:val="0"/>
      <w:marTop w:val="0"/>
      <w:marBottom w:val="0"/>
      <w:divBdr>
        <w:top w:val="none" w:sz="0" w:space="0" w:color="auto"/>
        <w:left w:val="none" w:sz="0" w:space="0" w:color="auto"/>
        <w:bottom w:val="none" w:sz="0" w:space="0" w:color="auto"/>
        <w:right w:val="none" w:sz="0" w:space="0" w:color="auto"/>
      </w:divBdr>
    </w:div>
    <w:div w:id="1388189802">
      <w:bodyDiv w:val="1"/>
      <w:marLeft w:val="0"/>
      <w:marRight w:val="0"/>
      <w:marTop w:val="0"/>
      <w:marBottom w:val="0"/>
      <w:divBdr>
        <w:top w:val="none" w:sz="0" w:space="0" w:color="auto"/>
        <w:left w:val="none" w:sz="0" w:space="0" w:color="auto"/>
        <w:bottom w:val="none" w:sz="0" w:space="0" w:color="auto"/>
        <w:right w:val="none" w:sz="0" w:space="0" w:color="auto"/>
      </w:divBdr>
    </w:div>
    <w:div w:id="1388215232">
      <w:bodyDiv w:val="1"/>
      <w:marLeft w:val="0"/>
      <w:marRight w:val="0"/>
      <w:marTop w:val="0"/>
      <w:marBottom w:val="0"/>
      <w:divBdr>
        <w:top w:val="none" w:sz="0" w:space="0" w:color="auto"/>
        <w:left w:val="none" w:sz="0" w:space="0" w:color="auto"/>
        <w:bottom w:val="none" w:sz="0" w:space="0" w:color="auto"/>
        <w:right w:val="none" w:sz="0" w:space="0" w:color="auto"/>
      </w:divBdr>
    </w:div>
    <w:div w:id="1389256697">
      <w:bodyDiv w:val="1"/>
      <w:marLeft w:val="0"/>
      <w:marRight w:val="0"/>
      <w:marTop w:val="0"/>
      <w:marBottom w:val="0"/>
      <w:divBdr>
        <w:top w:val="none" w:sz="0" w:space="0" w:color="auto"/>
        <w:left w:val="none" w:sz="0" w:space="0" w:color="auto"/>
        <w:bottom w:val="none" w:sz="0" w:space="0" w:color="auto"/>
        <w:right w:val="none" w:sz="0" w:space="0" w:color="auto"/>
      </w:divBdr>
    </w:div>
    <w:div w:id="1389303450">
      <w:bodyDiv w:val="1"/>
      <w:marLeft w:val="0"/>
      <w:marRight w:val="0"/>
      <w:marTop w:val="0"/>
      <w:marBottom w:val="0"/>
      <w:divBdr>
        <w:top w:val="none" w:sz="0" w:space="0" w:color="auto"/>
        <w:left w:val="none" w:sz="0" w:space="0" w:color="auto"/>
        <w:bottom w:val="none" w:sz="0" w:space="0" w:color="auto"/>
        <w:right w:val="none" w:sz="0" w:space="0" w:color="auto"/>
      </w:divBdr>
    </w:div>
    <w:div w:id="1389500863">
      <w:bodyDiv w:val="1"/>
      <w:marLeft w:val="0"/>
      <w:marRight w:val="0"/>
      <w:marTop w:val="0"/>
      <w:marBottom w:val="0"/>
      <w:divBdr>
        <w:top w:val="none" w:sz="0" w:space="0" w:color="auto"/>
        <w:left w:val="none" w:sz="0" w:space="0" w:color="auto"/>
        <w:bottom w:val="none" w:sz="0" w:space="0" w:color="auto"/>
        <w:right w:val="none" w:sz="0" w:space="0" w:color="auto"/>
      </w:divBdr>
    </w:div>
    <w:div w:id="1390297899">
      <w:bodyDiv w:val="1"/>
      <w:marLeft w:val="0"/>
      <w:marRight w:val="0"/>
      <w:marTop w:val="0"/>
      <w:marBottom w:val="0"/>
      <w:divBdr>
        <w:top w:val="none" w:sz="0" w:space="0" w:color="auto"/>
        <w:left w:val="none" w:sz="0" w:space="0" w:color="auto"/>
        <w:bottom w:val="none" w:sz="0" w:space="0" w:color="auto"/>
        <w:right w:val="none" w:sz="0" w:space="0" w:color="auto"/>
      </w:divBdr>
    </w:div>
    <w:div w:id="1390567801">
      <w:bodyDiv w:val="1"/>
      <w:marLeft w:val="0"/>
      <w:marRight w:val="0"/>
      <w:marTop w:val="0"/>
      <w:marBottom w:val="0"/>
      <w:divBdr>
        <w:top w:val="none" w:sz="0" w:space="0" w:color="auto"/>
        <w:left w:val="none" w:sz="0" w:space="0" w:color="auto"/>
        <w:bottom w:val="none" w:sz="0" w:space="0" w:color="auto"/>
        <w:right w:val="none" w:sz="0" w:space="0" w:color="auto"/>
      </w:divBdr>
    </w:div>
    <w:div w:id="1391228202">
      <w:bodyDiv w:val="1"/>
      <w:marLeft w:val="0"/>
      <w:marRight w:val="0"/>
      <w:marTop w:val="0"/>
      <w:marBottom w:val="0"/>
      <w:divBdr>
        <w:top w:val="none" w:sz="0" w:space="0" w:color="auto"/>
        <w:left w:val="none" w:sz="0" w:space="0" w:color="auto"/>
        <w:bottom w:val="none" w:sz="0" w:space="0" w:color="auto"/>
        <w:right w:val="none" w:sz="0" w:space="0" w:color="auto"/>
      </w:divBdr>
    </w:div>
    <w:div w:id="1391538661">
      <w:bodyDiv w:val="1"/>
      <w:marLeft w:val="0"/>
      <w:marRight w:val="0"/>
      <w:marTop w:val="0"/>
      <w:marBottom w:val="0"/>
      <w:divBdr>
        <w:top w:val="none" w:sz="0" w:space="0" w:color="auto"/>
        <w:left w:val="none" w:sz="0" w:space="0" w:color="auto"/>
        <w:bottom w:val="none" w:sz="0" w:space="0" w:color="auto"/>
        <w:right w:val="none" w:sz="0" w:space="0" w:color="auto"/>
      </w:divBdr>
    </w:div>
    <w:div w:id="1392968414">
      <w:bodyDiv w:val="1"/>
      <w:marLeft w:val="0"/>
      <w:marRight w:val="0"/>
      <w:marTop w:val="0"/>
      <w:marBottom w:val="0"/>
      <w:divBdr>
        <w:top w:val="none" w:sz="0" w:space="0" w:color="auto"/>
        <w:left w:val="none" w:sz="0" w:space="0" w:color="auto"/>
        <w:bottom w:val="none" w:sz="0" w:space="0" w:color="auto"/>
        <w:right w:val="none" w:sz="0" w:space="0" w:color="auto"/>
      </w:divBdr>
    </w:div>
    <w:div w:id="1393120482">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962237">
      <w:bodyDiv w:val="1"/>
      <w:marLeft w:val="0"/>
      <w:marRight w:val="0"/>
      <w:marTop w:val="0"/>
      <w:marBottom w:val="0"/>
      <w:divBdr>
        <w:top w:val="none" w:sz="0" w:space="0" w:color="auto"/>
        <w:left w:val="none" w:sz="0" w:space="0" w:color="auto"/>
        <w:bottom w:val="none" w:sz="0" w:space="0" w:color="auto"/>
        <w:right w:val="none" w:sz="0" w:space="0" w:color="auto"/>
      </w:divBdr>
    </w:div>
    <w:div w:id="1394278897">
      <w:bodyDiv w:val="1"/>
      <w:marLeft w:val="0"/>
      <w:marRight w:val="0"/>
      <w:marTop w:val="0"/>
      <w:marBottom w:val="0"/>
      <w:divBdr>
        <w:top w:val="none" w:sz="0" w:space="0" w:color="auto"/>
        <w:left w:val="none" w:sz="0" w:space="0" w:color="auto"/>
        <w:bottom w:val="none" w:sz="0" w:space="0" w:color="auto"/>
        <w:right w:val="none" w:sz="0" w:space="0" w:color="auto"/>
      </w:divBdr>
    </w:div>
    <w:div w:id="1395855083">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398438597">
      <w:bodyDiv w:val="1"/>
      <w:marLeft w:val="0"/>
      <w:marRight w:val="0"/>
      <w:marTop w:val="0"/>
      <w:marBottom w:val="0"/>
      <w:divBdr>
        <w:top w:val="none" w:sz="0" w:space="0" w:color="auto"/>
        <w:left w:val="none" w:sz="0" w:space="0" w:color="auto"/>
        <w:bottom w:val="none" w:sz="0" w:space="0" w:color="auto"/>
        <w:right w:val="none" w:sz="0" w:space="0" w:color="auto"/>
      </w:divBdr>
    </w:div>
    <w:div w:id="1399132665">
      <w:bodyDiv w:val="1"/>
      <w:marLeft w:val="0"/>
      <w:marRight w:val="0"/>
      <w:marTop w:val="0"/>
      <w:marBottom w:val="0"/>
      <w:divBdr>
        <w:top w:val="none" w:sz="0" w:space="0" w:color="auto"/>
        <w:left w:val="none" w:sz="0" w:space="0" w:color="auto"/>
        <w:bottom w:val="none" w:sz="0" w:space="0" w:color="auto"/>
        <w:right w:val="none" w:sz="0" w:space="0" w:color="auto"/>
      </w:divBdr>
    </w:div>
    <w:div w:id="139928558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0784133">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2874683">
      <w:bodyDiv w:val="1"/>
      <w:marLeft w:val="0"/>
      <w:marRight w:val="0"/>
      <w:marTop w:val="0"/>
      <w:marBottom w:val="0"/>
      <w:divBdr>
        <w:top w:val="none" w:sz="0" w:space="0" w:color="auto"/>
        <w:left w:val="none" w:sz="0" w:space="0" w:color="auto"/>
        <w:bottom w:val="none" w:sz="0" w:space="0" w:color="auto"/>
        <w:right w:val="none" w:sz="0" w:space="0" w:color="auto"/>
      </w:divBdr>
    </w:div>
    <w:div w:id="1404060920">
      <w:bodyDiv w:val="1"/>
      <w:marLeft w:val="0"/>
      <w:marRight w:val="0"/>
      <w:marTop w:val="0"/>
      <w:marBottom w:val="0"/>
      <w:divBdr>
        <w:top w:val="none" w:sz="0" w:space="0" w:color="auto"/>
        <w:left w:val="none" w:sz="0" w:space="0" w:color="auto"/>
        <w:bottom w:val="none" w:sz="0" w:space="0" w:color="auto"/>
        <w:right w:val="none" w:sz="0" w:space="0" w:color="auto"/>
      </w:divBdr>
    </w:div>
    <w:div w:id="1404062588">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445200">
      <w:bodyDiv w:val="1"/>
      <w:marLeft w:val="0"/>
      <w:marRight w:val="0"/>
      <w:marTop w:val="0"/>
      <w:marBottom w:val="0"/>
      <w:divBdr>
        <w:top w:val="none" w:sz="0" w:space="0" w:color="auto"/>
        <w:left w:val="none" w:sz="0" w:space="0" w:color="auto"/>
        <w:bottom w:val="none" w:sz="0" w:space="0" w:color="auto"/>
        <w:right w:val="none" w:sz="0" w:space="0" w:color="auto"/>
      </w:divBdr>
    </w:div>
    <w:div w:id="1404642590">
      <w:bodyDiv w:val="1"/>
      <w:marLeft w:val="0"/>
      <w:marRight w:val="0"/>
      <w:marTop w:val="0"/>
      <w:marBottom w:val="0"/>
      <w:divBdr>
        <w:top w:val="none" w:sz="0" w:space="0" w:color="auto"/>
        <w:left w:val="none" w:sz="0" w:space="0" w:color="auto"/>
        <w:bottom w:val="none" w:sz="0" w:space="0" w:color="auto"/>
        <w:right w:val="none" w:sz="0" w:space="0" w:color="auto"/>
      </w:divBdr>
    </w:div>
    <w:div w:id="1406489985">
      <w:bodyDiv w:val="1"/>
      <w:marLeft w:val="0"/>
      <w:marRight w:val="0"/>
      <w:marTop w:val="0"/>
      <w:marBottom w:val="0"/>
      <w:divBdr>
        <w:top w:val="none" w:sz="0" w:space="0" w:color="auto"/>
        <w:left w:val="none" w:sz="0" w:space="0" w:color="auto"/>
        <w:bottom w:val="none" w:sz="0" w:space="0" w:color="auto"/>
        <w:right w:val="none" w:sz="0" w:space="0" w:color="auto"/>
      </w:divBdr>
    </w:div>
    <w:div w:id="1406607817">
      <w:bodyDiv w:val="1"/>
      <w:marLeft w:val="0"/>
      <w:marRight w:val="0"/>
      <w:marTop w:val="0"/>
      <w:marBottom w:val="0"/>
      <w:divBdr>
        <w:top w:val="none" w:sz="0" w:space="0" w:color="auto"/>
        <w:left w:val="none" w:sz="0" w:space="0" w:color="auto"/>
        <w:bottom w:val="none" w:sz="0" w:space="0" w:color="auto"/>
        <w:right w:val="none" w:sz="0" w:space="0" w:color="auto"/>
      </w:divBdr>
    </w:div>
    <w:div w:id="1407610346">
      <w:bodyDiv w:val="1"/>
      <w:marLeft w:val="0"/>
      <w:marRight w:val="0"/>
      <w:marTop w:val="0"/>
      <w:marBottom w:val="0"/>
      <w:divBdr>
        <w:top w:val="none" w:sz="0" w:space="0" w:color="auto"/>
        <w:left w:val="none" w:sz="0" w:space="0" w:color="auto"/>
        <w:bottom w:val="none" w:sz="0" w:space="0" w:color="auto"/>
        <w:right w:val="none" w:sz="0" w:space="0" w:color="auto"/>
      </w:divBdr>
    </w:div>
    <w:div w:id="1407612802">
      <w:bodyDiv w:val="1"/>
      <w:marLeft w:val="0"/>
      <w:marRight w:val="0"/>
      <w:marTop w:val="0"/>
      <w:marBottom w:val="0"/>
      <w:divBdr>
        <w:top w:val="none" w:sz="0" w:space="0" w:color="auto"/>
        <w:left w:val="none" w:sz="0" w:space="0" w:color="auto"/>
        <w:bottom w:val="none" w:sz="0" w:space="0" w:color="auto"/>
        <w:right w:val="none" w:sz="0" w:space="0" w:color="auto"/>
      </w:divBdr>
    </w:div>
    <w:div w:id="1407799264">
      <w:bodyDiv w:val="1"/>
      <w:marLeft w:val="0"/>
      <w:marRight w:val="0"/>
      <w:marTop w:val="0"/>
      <w:marBottom w:val="0"/>
      <w:divBdr>
        <w:top w:val="none" w:sz="0" w:space="0" w:color="auto"/>
        <w:left w:val="none" w:sz="0" w:space="0" w:color="auto"/>
        <w:bottom w:val="none" w:sz="0" w:space="0" w:color="auto"/>
        <w:right w:val="none" w:sz="0" w:space="0" w:color="auto"/>
      </w:divBdr>
    </w:div>
    <w:div w:id="1407999133">
      <w:bodyDiv w:val="1"/>
      <w:marLeft w:val="0"/>
      <w:marRight w:val="0"/>
      <w:marTop w:val="0"/>
      <w:marBottom w:val="0"/>
      <w:divBdr>
        <w:top w:val="none" w:sz="0" w:space="0" w:color="auto"/>
        <w:left w:val="none" w:sz="0" w:space="0" w:color="auto"/>
        <w:bottom w:val="none" w:sz="0" w:space="0" w:color="auto"/>
        <w:right w:val="none" w:sz="0" w:space="0" w:color="auto"/>
      </w:divBdr>
    </w:div>
    <w:div w:id="1409618952">
      <w:bodyDiv w:val="1"/>
      <w:marLeft w:val="0"/>
      <w:marRight w:val="0"/>
      <w:marTop w:val="0"/>
      <w:marBottom w:val="0"/>
      <w:divBdr>
        <w:top w:val="none" w:sz="0" w:space="0" w:color="auto"/>
        <w:left w:val="none" w:sz="0" w:space="0" w:color="auto"/>
        <w:bottom w:val="none" w:sz="0" w:space="0" w:color="auto"/>
        <w:right w:val="none" w:sz="0" w:space="0" w:color="auto"/>
      </w:divBdr>
    </w:div>
    <w:div w:id="1410810009">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1924851">
      <w:bodyDiv w:val="1"/>
      <w:marLeft w:val="0"/>
      <w:marRight w:val="0"/>
      <w:marTop w:val="0"/>
      <w:marBottom w:val="0"/>
      <w:divBdr>
        <w:top w:val="none" w:sz="0" w:space="0" w:color="auto"/>
        <w:left w:val="none" w:sz="0" w:space="0" w:color="auto"/>
        <w:bottom w:val="none" w:sz="0" w:space="0" w:color="auto"/>
        <w:right w:val="none" w:sz="0" w:space="0" w:color="auto"/>
      </w:divBdr>
    </w:div>
    <w:div w:id="1412700709">
      <w:bodyDiv w:val="1"/>
      <w:marLeft w:val="0"/>
      <w:marRight w:val="0"/>
      <w:marTop w:val="0"/>
      <w:marBottom w:val="0"/>
      <w:divBdr>
        <w:top w:val="none" w:sz="0" w:space="0" w:color="auto"/>
        <w:left w:val="none" w:sz="0" w:space="0" w:color="auto"/>
        <w:bottom w:val="none" w:sz="0" w:space="0" w:color="auto"/>
        <w:right w:val="none" w:sz="0" w:space="0" w:color="auto"/>
      </w:divBdr>
    </w:div>
    <w:div w:id="1412846707">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4743824">
      <w:bodyDiv w:val="1"/>
      <w:marLeft w:val="0"/>
      <w:marRight w:val="0"/>
      <w:marTop w:val="0"/>
      <w:marBottom w:val="0"/>
      <w:divBdr>
        <w:top w:val="none" w:sz="0" w:space="0" w:color="auto"/>
        <w:left w:val="none" w:sz="0" w:space="0" w:color="auto"/>
        <w:bottom w:val="none" w:sz="0" w:space="0" w:color="auto"/>
        <w:right w:val="none" w:sz="0" w:space="0" w:color="auto"/>
      </w:divBdr>
    </w:div>
    <w:div w:id="141685437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7240417">
      <w:bodyDiv w:val="1"/>
      <w:marLeft w:val="0"/>
      <w:marRight w:val="0"/>
      <w:marTop w:val="0"/>
      <w:marBottom w:val="0"/>
      <w:divBdr>
        <w:top w:val="none" w:sz="0" w:space="0" w:color="auto"/>
        <w:left w:val="none" w:sz="0" w:space="0" w:color="auto"/>
        <w:bottom w:val="none" w:sz="0" w:space="0" w:color="auto"/>
        <w:right w:val="none" w:sz="0" w:space="0" w:color="auto"/>
      </w:divBdr>
    </w:div>
    <w:div w:id="1417747946">
      <w:bodyDiv w:val="1"/>
      <w:marLeft w:val="0"/>
      <w:marRight w:val="0"/>
      <w:marTop w:val="0"/>
      <w:marBottom w:val="0"/>
      <w:divBdr>
        <w:top w:val="none" w:sz="0" w:space="0" w:color="auto"/>
        <w:left w:val="none" w:sz="0" w:space="0" w:color="auto"/>
        <w:bottom w:val="none" w:sz="0" w:space="0" w:color="auto"/>
        <w:right w:val="none" w:sz="0" w:space="0" w:color="auto"/>
      </w:divBdr>
    </w:div>
    <w:div w:id="1418597645">
      <w:bodyDiv w:val="1"/>
      <w:marLeft w:val="0"/>
      <w:marRight w:val="0"/>
      <w:marTop w:val="0"/>
      <w:marBottom w:val="0"/>
      <w:divBdr>
        <w:top w:val="none" w:sz="0" w:space="0" w:color="auto"/>
        <w:left w:val="none" w:sz="0" w:space="0" w:color="auto"/>
        <w:bottom w:val="none" w:sz="0" w:space="0" w:color="auto"/>
        <w:right w:val="none" w:sz="0" w:space="0" w:color="auto"/>
      </w:divBdr>
    </w:div>
    <w:div w:id="1419449110">
      <w:bodyDiv w:val="1"/>
      <w:marLeft w:val="0"/>
      <w:marRight w:val="0"/>
      <w:marTop w:val="0"/>
      <w:marBottom w:val="0"/>
      <w:divBdr>
        <w:top w:val="none" w:sz="0" w:space="0" w:color="auto"/>
        <w:left w:val="none" w:sz="0" w:space="0" w:color="auto"/>
        <w:bottom w:val="none" w:sz="0" w:space="0" w:color="auto"/>
        <w:right w:val="none" w:sz="0" w:space="0" w:color="auto"/>
      </w:divBdr>
    </w:div>
    <w:div w:id="1419592184">
      <w:bodyDiv w:val="1"/>
      <w:marLeft w:val="0"/>
      <w:marRight w:val="0"/>
      <w:marTop w:val="0"/>
      <w:marBottom w:val="0"/>
      <w:divBdr>
        <w:top w:val="none" w:sz="0" w:space="0" w:color="auto"/>
        <w:left w:val="none" w:sz="0" w:space="0" w:color="auto"/>
        <w:bottom w:val="none" w:sz="0" w:space="0" w:color="auto"/>
        <w:right w:val="none" w:sz="0" w:space="0" w:color="auto"/>
      </w:divBdr>
    </w:div>
    <w:div w:id="1420104172">
      <w:bodyDiv w:val="1"/>
      <w:marLeft w:val="0"/>
      <w:marRight w:val="0"/>
      <w:marTop w:val="0"/>
      <w:marBottom w:val="0"/>
      <w:divBdr>
        <w:top w:val="none" w:sz="0" w:space="0" w:color="auto"/>
        <w:left w:val="none" w:sz="0" w:space="0" w:color="auto"/>
        <w:bottom w:val="none" w:sz="0" w:space="0" w:color="auto"/>
        <w:right w:val="none" w:sz="0" w:space="0" w:color="auto"/>
      </w:divBdr>
    </w:div>
    <w:div w:id="1420176108">
      <w:bodyDiv w:val="1"/>
      <w:marLeft w:val="0"/>
      <w:marRight w:val="0"/>
      <w:marTop w:val="0"/>
      <w:marBottom w:val="0"/>
      <w:divBdr>
        <w:top w:val="none" w:sz="0" w:space="0" w:color="auto"/>
        <w:left w:val="none" w:sz="0" w:space="0" w:color="auto"/>
        <w:bottom w:val="none" w:sz="0" w:space="0" w:color="auto"/>
        <w:right w:val="none" w:sz="0" w:space="0" w:color="auto"/>
      </w:divBdr>
    </w:div>
    <w:div w:id="1420785617">
      <w:bodyDiv w:val="1"/>
      <w:marLeft w:val="0"/>
      <w:marRight w:val="0"/>
      <w:marTop w:val="0"/>
      <w:marBottom w:val="0"/>
      <w:divBdr>
        <w:top w:val="none" w:sz="0" w:space="0" w:color="auto"/>
        <w:left w:val="none" w:sz="0" w:space="0" w:color="auto"/>
        <w:bottom w:val="none" w:sz="0" w:space="0" w:color="auto"/>
        <w:right w:val="none" w:sz="0" w:space="0" w:color="auto"/>
      </w:divBdr>
    </w:div>
    <w:div w:id="1422406224">
      <w:bodyDiv w:val="1"/>
      <w:marLeft w:val="0"/>
      <w:marRight w:val="0"/>
      <w:marTop w:val="0"/>
      <w:marBottom w:val="0"/>
      <w:divBdr>
        <w:top w:val="none" w:sz="0" w:space="0" w:color="auto"/>
        <w:left w:val="none" w:sz="0" w:space="0" w:color="auto"/>
        <w:bottom w:val="none" w:sz="0" w:space="0" w:color="auto"/>
        <w:right w:val="none" w:sz="0" w:space="0" w:color="auto"/>
      </w:divBdr>
    </w:div>
    <w:div w:id="1423338285">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220701">
      <w:bodyDiv w:val="1"/>
      <w:marLeft w:val="0"/>
      <w:marRight w:val="0"/>
      <w:marTop w:val="0"/>
      <w:marBottom w:val="0"/>
      <w:divBdr>
        <w:top w:val="none" w:sz="0" w:space="0" w:color="auto"/>
        <w:left w:val="none" w:sz="0" w:space="0" w:color="auto"/>
        <w:bottom w:val="none" w:sz="0" w:space="0" w:color="auto"/>
        <w:right w:val="none" w:sz="0" w:space="0" w:color="auto"/>
      </w:divBdr>
    </w:div>
    <w:div w:id="1425296864">
      <w:bodyDiv w:val="1"/>
      <w:marLeft w:val="0"/>
      <w:marRight w:val="0"/>
      <w:marTop w:val="0"/>
      <w:marBottom w:val="0"/>
      <w:divBdr>
        <w:top w:val="none" w:sz="0" w:space="0" w:color="auto"/>
        <w:left w:val="none" w:sz="0" w:space="0" w:color="auto"/>
        <w:bottom w:val="none" w:sz="0" w:space="0" w:color="auto"/>
        <w:right w:val="none" w:sz="0" w:space="0" w:color="auto"/>
      </w:divBdr>
    </w:div>
    <w:div w:id="1425805329">
      <w:bodyDiv w:val="1"/>
      <w:marLeft w:val="0"/>
      <w:marRight w:val="0"/>
      <w:marTop w:val="0"/>
      <w:marBottom w:val="0"/>
      <w:divBdr>
        <w:top w:val="none" w:sz="0" w:space="0" w:color="auto"/>
        <w:left w:val="none" w:sz="0" w:space="0" w:color="auto"/>
        <w:bottom w:val="none" w:sz="0" w:space="0" w:color="auto"/>
        <w:right w:val="none" w:sz="0" w:space="0" w:color="auto"/>
      </w:divBdr>
    </w:div>
    <w:div w:id="1426263857">
      <w:bodyDiv w:val="1"/>
      <w:marLeft w:val="0"/>
      <w:marRight w:val="0"/>
      <w:marTop w:val="0"/>
      <w:marBottom w:val="0"/>
      <w:divBdr>
        <w:top w:val="none" w:sz="0" w:space="0" w:color="auto"/>
        <w:left w:val="none" w:sz="0" w:space="0" w:color="auto"/>
        <w:bottom w:val="none" w:sz="0" w:space="0" w:color="auto"/>
        <w:right w:val="none" w:sz="0" w:space="0" w:color="auto"/>
      </w:divBdr>
    </w:div>
    <w:div w:id="1427338993">
      <w:bodyDiv w:val="1"/>
      <w:marLeft w:val="0"/>
      <w:marRight w:val="0"/>
      <w:marTop w:val="0"/>
      <w:marBottom w:val="0"/>
      <w:divBdr>
        <w:top w:val="none" w:sz="0" w:space="0" w:color="auto"/>
        <w:left w:val="none" w:sz="0" w:space="0" w:color="auto"/>
        <w:bottom w:val="none" w:sz="0" w:space="0" w:color="auto"/>
        <w:right w:val="none" w:sz="0" w:space="0" w:color="auto"/>
      </w:divBdr>
    </w:div>
    <w:div w:id="1428186345">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28960162">
      <w:bodyDiv w:val="1"/>
      <w:marLeft w:val="0"/>
      <w:marRight w:val="0"/>
      <w:marTop w:val="0"/>
      <w:marBottom w:val="0"/>
      <w:divBdr>
        <w:top w:val="none" w:sz="0" w:space="0" w:color="auto"/>
        <w:left w:val="none" w:sz="0" w:space="0" w:color="auto"/>
        <w:bottom w:val="none" w:sz="0" w:space="0" w:color="auto"/>
        <w:right w:val="none" w:sz="0" w:space="0" w:color="auto"/>
      </w:divBdr>
    </w:div>
    <w:div w:id="1429733601">
      <w:bodyDiv w:val="1"/>
      <w:marLeft w:val="0"/>
      <w:marRight w:val="0"/>
      <w:marTop w:val="0"/>
      <w:marBottom w:val="0"/>
      <w:divBdr>
        <w:top w:val="none" w:sz="0" w:space="0" w:color="auto"/>
        <w:left w:val="none" w:sz="0" w:space="0" w:color="auto"/>
        <w:bottom w:val="none" w:sz="0" w:space="0" w:color="auto"/>
        <w:right w:val="none" w:sz="0" w:space="0" w:color="auto"/>
      </w:divBdr>
    </w:div>
    <w:div w:id="1430000873">
      <w:bodyDiv w:val="1"/>
      <w:marLeft w:val="0"/>
      <w:marRight w:val="0"/>
      <w:marTop w:val="0"/>
      <w:marBottom w:val="0"/>
      <w:divBdr>
        <w:top w:val="none" w:sz="0" w:space="0" w:color="auto"/>
        <w:left w:val="none" w:sz="0" w:space="0" w:color="auto"/>
        <w:bottom w:val="none" w:sz="0" w:space="0" w:color="auto"/>
        <w:right w:val="none" w:sz="0" w:space="0" w:color="auto"/>
      </w:divBdr>
    </w:div>
    <w:div w:id="1431853756">
      <w:bodyDiv w:val="1"/>
      <w:marLeft w:val="0"/>
      <w:marRight w:val="0"/>
      <w:marTop w:val="0"/>
      <w:marBottom w:val="0"/>
      <w:divBdr>
        <w:top w:val="none" w:sz="0" w:space="0" w:color="auto"/>
        <w:left w:val="none" w:sz="0" w:space="0" w:color="auto"/>
        <w:bottom w:val="none" w:sz="0" w:space="0" w:color="auto"/>
        <w:right w:val="none" w:sz="0" w:space="0" w:color="auto"/>
      </w:divBdr>
    </w:div>
    <w:div w:id="1432315063">
      <w:bodyDiv w:val="1"/>
      <w:marLeft w:val="0"/>
      <w:marRight w:val="0"/>
      <w:marTop w:val="0"/>
      <w:marBottom w:val="0"/>
      <w:divBdr>
        <w:top w:val="none" w:sz="0" w:space="0" w:color="auto"/>
        <w:left w:val="none" w:sz="0" w:space="0" w:color="auto"/>
        <w:bottom w:val="none" w:sz="0" w:space="0" w:color="auto"/>
        <w:right w:val="none" w:sz="0" w:space="0" w:color="auto"/>
      </w:divBdr>
    </w:div>
    <w:div w:id="1432510025">
      <w:bodyDiv w:val="1"/>
      <w:marLeft w:val="0"/>
      <w:marRight w:val="0"/>
      <w:marTop w:val="0"/>
      <w:marBottom w:val="0"/>
      <w:divBdr>
        <w:top w:val="none" w:sz="0" w:space="0" w:color="auto"/>
        <w:left w:val="none" w:sz="0" w:space="0" w:color="auto"/>
        <w:bottom w:val="none" w:sz="0" w:space="0" w:color="auto"/>
        <w:right w:val="none" w:sz="0" w:space="0" w:color="auto"/>
      </w:divBdr>
    </w:div>
    <w:div w:id="1432774038">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090279">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394111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4593079">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8990624">
      <w:bodyDiv w:val="1"/>
      <w:marLeft w:val="0"/>
      <w:marRight w:val="0"/>
      <w:marTop w:val="0"/>
      <w:marBottom w:val="0"/>
      <w:divBdr>
        <w:top w:val="none" w:sz="0" w:space="0" w:color="auto"/>
        <w:left w:val="none" w:sz="0" w:space="0" w:color="auto"/>
        <w:bottom w:val="none" w:sz="0" w:space="0" w:color="auto"/>
        <w:right w:val="none" w:sz="0" w:space="0" w:color="auto"/>
      </w:divBdr>
    </w:div>
    <w:div w:id="1439327003">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39907653">
      <w:bodyDiv w:val="1"/>
      <w:marLeft w:val="0"/>
      <w:marRight w:val="0"/>
      <w:marTop w:val="0"/>
      <w:marBottom w:val="0"/>
      <w:divBdr>
        <w:top w:val="none" w:sz="0" w:space="0" w:color="auto"/>
        <w:left w:val="none" w:sz="0" w:space="0" w:color="auto"/>
        <w:bottom w:val="none" w:sz="0" w:space="0" w:color="auto"/>
        <w:right w:val="none" w:sz="0" w:space="0" w:color="auto"/>
      </w:divBdr>
    </w:div>
    <w:div w:id="1440487578">
      <w:bodyDiv w:val="1"/>
      <w:marLeft w:val="0"/>
      <w:marRight w:val="0"/>
      <w:marTop w:val="0"/>
      <w:marBottom w:val="0"/>
      <w:divBdr>
        <w:top w:val="none" w:sz="0" w:space="0" w:color="auto"/>
        <w:left w:val="none" w:sz="0" w:space="0" w:color="auto"/>
        <w:bottom w:val="none" w:sz="0" w:space="0" w:color="auto"/>
        <w:right w:val="none" w:sz="0" w:space="0" w:color="auto"/>
      </w:divBdr>
    </w:div>
    <w:div w:id="1440756195">
      <w:bodyDiv w:val="1"/>
      <w:marLeft w:val="0"/>
      <w:marRight w:val="0"/>
      <w:marTop w:val="0"/>
      <w:marBottom w:val="0"/>
      <w:divBdr>
        <w:top w:val="none" w:sz="0" w:space="0" w:color="auto"/>
        <w:left w:val="none" w:sz="0" w:space="0" w:color="auto"/>
        <w:bottom w:val="none" w:sz="0" w:space="0" w:color="auto"/>
        <w:right w:val="none" w:sz="0" w:space="0" w:color="auto"/>
      </w:divBdr>
    </w:div>
    <w:div w:id="1441101214">
      <w:bodyDiv w:val="1"/>
      <w:marLeft w:val="0"/>
      <w:marRight w:val="0"/>
      <w:marTop w:val="0"/>
      <w:marBottom w:val="0"/>
      <w:divBdr>
        <w:top w:val="none" w:sz="0" w:space="0" w:color="auto"/>
        <w:left w:val="none" w:sz="0" w:space="0" w:color="auto"/>
        <w:bottom w:val="none" w:sz="0" w:space="0" w:color="auto"/>
        <w:right w:val="none" w:sz="0" w:space="0" w:color="auto"/>
      </w:divBdr>
    </w:div>
    <w:div w:id="1441142679">
      <w:bodyDiv w:val="1"/>
      <w:marLeft w:val="0"/>
      <w:marRight w:val="0"/>
      <w:marTop w:val="0"/>
      <w:marBottom w:val="0"/>
      <w:divBdr>
        <w:top w:val="none" w:sz="0" w:space="0" w:color="auto"/>
        <w:left w:val="none" w:sz="0" w:space="0" w:color="auto"/>
        <w:bottom w:val="none" w:sz="0" w:space="0" w:color="auto"/>
        <w:right w:val="none" w:sz="0" w:space="0" w:color="auto"/>
      </w:divBdr>
    </w:div>
    <w:div w:id="1441997004">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457163">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3573549">
      <w:bodyDiv w:val="1"/>
      <w:marLeft w:val="0"/>
      <w:marRight w:val="0"/>
      <w:marTop w:val="0"/>
      <w:marBottom w:val="0"/>
      <w:divBdr>
        <w:top w:val="none" w:sz="0" w:space="0" w:color="auto"/>
        <w:left w:val="none" w:sz="0" w:space="0" w:color="auto"/>
        <w:bottom w:val="none" w:sz="0" w:space="0" w:color="auto"/>
        <w:right w:val="none" w:sz="0" w:space="0" w:color="auto"/>
      </w:divBdr>
    </w:div>
    <w:div w:id="1444765764">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5617532">
      <w:bodyDiv w:val="1"/>
      <w:marLeft w:val="0"/>
      <w:marRight w:val="0"/>
      <w:marTop w:val="0"/>
      <w:marBottom w:val="0"/>
      <w:divBdr>
        <w:top w:val="none" w:sz="0" w:space="0" w:color="auto"/>
        <w:left w:val="none" w:sz="0" w:space="0" w:color="auto"/>
        <w:bottom w:val="none" w:sz="0" w:space="0" w:color="auto"/>
        <w:right w:val="none" w:sz="0" w:space="0" w:color="auto"/>
      </w:divBdr>
    </w:div>
    <w:div w:id="1445729677">
      <w:bodyDiv w:val="1"/>
      <w:marLeft w:val="0"/>
      <w:marRight w:val="0"/>
      <w:marTop w:val="0"/>
      <w:marBottom w:val="0"/>
      <w:divBdr>
        <w:top w:val="none" w:sz="0" w:space="0" w:color="auto"/>
        <w:left w:val="none" w:sz="0" w:space="0" w:color="auto"/>
        <w:bottom w:val="none" w:sz="0" w:space="0" w:color="auto"/>
        <w:right w:val="none" w:sz="0" w:space="0" w:color="auto"/>
      </w:divBdr>
    </w:div>
    <w:div w:id="1445884385">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7582960">
      <w:bodyDiv w:val="1"/>
      <w:marLeft w:val="0"/>
      <w:marRight w:val="0"/>
      <w:marTop w:val="0"/>
      <w:marBottom w:val="0"/>
      <w:divBdr>
        <w:top w:val="none" w:sz="0" w:space="0" w:color="auto"/>
        <w:left w:val="none" w:sz="0" w:space="0" w:color="auto"/>
        <w:bottom w:val="none" w:sz="0" w:space="0" w:color="auto"/>
        <w:right w:val="none" w:sz="0" w:space="0" w:color="auto"/>
      </w:divBdr>
    </w:div>
    <w:div w:id="1447895103">
      <w:bodyDiv w:val="1"/>
      <w:marLeft w:val="0"/>
      <w:marRight w:val="0"/>
      <w:marTop w:val="0"/>
      <w:marBottom w:val="0"/>
      <w:divBdr>
        <w:top w:val="none" w:sz="0" w:space="0" w:color="auto"/>
        <w:left w:val="none" w:sz="0" w:space="0" w:color="auto"/>
        <w:bottom w:val="none" w:sz="0" w:space="0" w:color="auto"/>
        <w:right w:val="none" w:sz="0" w:space="0" w:color="auto"/>
      </w:divBdr>
    </w:div>
    <w:div w:id="1448502109">
      <w:bodyDiv w:val="1"/>
      <w:marLeft w:val="0"/>
      <w:marRight w:val="0"/>
      <w:marTop w:val="0"/>
      <w:marBottom w:val="0"/>
      <w:divBdr>
        <w:top w:val="none" w:sz="0" w:space="0" w:color="auto"/>
        <w:left w:val="none" w:sz="0" w:space="0" w:color="auto"/>
        <w:bottom w:val="none" w:sz="0" w:space="0" w:color="auto"/>
        <w:right w:val="none" w:sz="0" w:space="0" w:color="auto"/>
      </w:divBdr>
    </w:div>
    <w:div w:id="1448546140">
      <w:bodyDiv w:val="1"/>
      <w:marLeft w:val="0"/>
      <w:marRight w:val="0"/>
      <w:marTop w:val="0"/>
      <w:marBottom w:val="0"/>
      <w:divBdr>
        <w:top w:val="none" w:sz="0" w:space="0" w:color="auto"/>
        <w:left w:val="none" w:sz="0" w:space="0" w:color="auto"/>
        <w:bottom w:val="none" w:sz="0" w:space="0" w:color="auto"/>
        <w:right w:val="none" w:sz="0" w:space="0" w:color="auto"/>
      </w:divBdr>
    </w:div>
    <w:div w:id="1449087769">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424810">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003120">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0852881">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1895537">
      <w:bodyDiv w:val="1"/>
      <w:marLeft w:val="0"/>
      <w:marRight w:val="0"/>
      <w:marTop w:val="0"/>
      <w:marBottom w:val="0"/>
      <w:divBdr>
        <w:top w:val="none" w:sz="0" w:space="0" w:color="auto"/>
        <w:left w:val="none" w:sz="0" w:space="0" w:color="auto"/>
        <w:bottom w:val="none" w:sz="0" w:space="0" w:color="auto"/>
        <w:right w:val="none" w:sz="0" w:space="0" w:color="auto"/>
      </w:divBdr>
    </w:div>
    <w:div w:id="1452019754">
      <w:bodyDiv w:val="1"/>
      <w:marLeft w:val="0"/>
      <w:marRight w:val="0"/>
      <w:marTop w:val="0"/>
      <w:marBottom w:val="0"/>
      <w:divBdr>
        <w:top w:val="none" w:sz="0" w:space="0" w:color="auto"/>
        <w:left w:val="none" w:sz="0" w:space="0" w:color="auto"/>
        <w:bottom w:val="none" w:sz="0" w:space="0" w:color="auto"/>
        <w:right w:val="none" w:sz="0" w:space="0" w:color="auto"/>
      </w:divBdr>
    </w:div>
    <w:div w:id="1452745443">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3792220">
      <w:bodyDiv w:val="1"/>
      <w:marLeft w:val="0"/>
      <w:marRight w:val="0"/>
      <w:marTop w:val="0"/>
      <w:marBottom w:val="0"/>
      <w:divBdr>
        <w:top w:val="none" w:sz="0" w:space="0" w:color="auto"/>
        <w:left w:val="none" w:sz="0" w:space="0" w:color="auto"/>
        <w:bottom w:val="none" w:sz="0" w:space="0" w:color="auto"/>
        <w:right w:val="none" w:sz="0" w:space="0" w:color="auto"/>
      </w:divBdr>
    </w:div>
    <w:div w:id="1454061200">
      <w:bodyDiv w:val="1"/>
      <w:marLeft w:val="0"/>
      <w:marRight w:val="0"/>
      <w:marTop w:val="0"/>
      <w:marBottom w:val="0"/>
      <w:divBdr>
        <w:top w:val="none" w:sz="0" w:space="0" w:color="auto"/>
        <w:left w:val="none" w:sz="0" w:space="0" w:color="auto"/>
        <w:bottom w:val="none" w:sz="0" w:space="0" w:color="auto"/>
        <w:right w:val="none" w:sz="0" w:space="0" w:color="auto"/>
      </w:divBdr>
    </w:div>
    <w:div w:id="1454250140">
      <w:bodyDiv w:val="1"/>
      <w:marLeft w:val="0"/>
      <w:marRight w:val="0"/>
      <w:marTop w:val="0"/>
      <w:marBottom w:val="0"/>
      <w:divBdr>
        <w:top w:val="none" w:sz="0" w:space="0" w:color="auto"/>
        <w:left w:val="none" w:sz="0" w:space="0" w:color="auto"/>
        <w:bottom w:val="none" w:sz="0" w:space="0" w:color="auto"/>
        <w:right w:val="none" w:sz="0" w:space="0" w:color="auto"/>
      </w:divBdr>
    </w:div>
    <w:div w:id="1454520736">
      <w:bodyDiv w:val="1"/>
      <w:marLeft w:val="0"/>
      <w:marRight w:val="0"/>
      <w:marTop w:val="0"/>
      <w:marBottom w:val="0"/>
      <w:divBdr>
        <w:top w:val="none" w:sz="0" w:space="0" w:color="auto"/>
        <w:left w:val="none" w:sz="0" w:space="0" w:color="auto"/>
        <w:bottom w:val="none" w:sz="0" w:space="0" w:color="auto"/>
        <w:right w:val="none" w:sz="0" w:space="0" w:color="auto"/>
      </w:divBdr>
    </w:div>
    <w:div w:id="1454791957">
      <w:bodyDiv w:val="1"/>
      <w:marLeft w:val="0"/>
      <w:marRight w:val="0"/>
      <w:marTop w:val="0"/>
      <w:marBottom w:val="0"/>
      <w:divBdr>
        <w:top w:val="none" w:sz="0" w:space="0" w:color="auto"/>
        <w:left w:val="none" w:sz="0" w:space="0" w:color="auto"/>
        <w:bottom w:val="none" w:sz="0" w:space="0" w:color="auto"/>
        <w:right w:val="none" w:sz="0" w:space="0" w:color="auto"/>
      </w:divBdr>
    </w:div>
    <w:div w:id="1455252072">
      <w:bodyDiv w:val="1"/>
      <w:marLeft w:val="0"/>
      <w:marRight w:val="0"/>
      <w:marTop w:val="0"/>
      <w:marBottom w:val="0"/>
      <w:divBdr>
        <w:top w:val="none" w:sz="0" w:space="0" w:color="auto"/>
        <w:left w:val="none" w:sz="0" w:space="0" w:color="auto"/>
        <w:bottom w:val="none" w:sz="0" w:space="0" w:color="auto"/>
        <w:right w:val="none" w:sz="0" w:space="0" w:color="auto"/>
      </w:divBdr>
    </w:div>
    <w:div w:id="1455757848">
      <w:bodyDiv w:val="1"/>
      <w:marLeft w:val="0"/>
      <w:marRight w:val="0"/>
      <w:marTop w:val="0"/>
      <w:marBottom w:val="0"/>
      <w:divBdr>
        <w:top w:val="none" w:sz="0" w:space="0" w:color="auto"/>
        <w:left w:val="none" w:sz="0" w:space="0" w:color="auto"/>
        <w:bottom w:val="none" w:sz="0" w:space="0" w:color="auto"/>
        <w:right w:val="none" w:sz="0" w:space="0" w:color="auto"/>
      </w:divBdr>
    </w:div>
    <w:div w:id="1456675473">
      <w:bodyDiv w:val="1"/>
      <w:marLeft w:val="0"/>
      <w:marRight w:val="0"/>
      <w:marTop w:val="0"/>
      <w:marBottom w:val="0"/>
      <w:divBdr>
        <w:top w:val="none" w:sz="0" w:space="0" w:color="auto"/>
        <w:left w:val="none" w:sz="0" w:space="0" w:color="auto"/>
        <w:bottom w:val="none" w:sz="0" w:space="0" w:color="auto"/>
        <w:right w:val="none" w:sz="0" w:space="0" w:color="auto"/>
      </w:divBdr>
    </w:div>
    <w:div w:id="1457017683">
      <w:bodyDiv w:val="1"/>
      <w:marLeft w:val="0"/>
      <w:marRight w:val="0"/>
      <w:marTop w:val="0"/>
      <w:marBottom w:val="0"/>
      <w:divBdr>
        <w:top w:val="none" w:sz="0" w:space="0" w:color="auto"/>
        <w:left w:val="none" w:sz="0" w:space="0" w:color="auto"/>
        <w:bottom w:val="none" w:sz="0" w:space="0" w:color="auto"/>
        <w:right w:val="none" w:sz="0" w:space="0" w:color="auto"/>
      </w:divBdr>
    </w:div>
    <w:div w:id="1457286159">
      <w:bodyDiv w:val="1"/>
      <w:marLeft w:val="0"/>
      <w:marRight w:val="0"/>
      <w:marTop w:val="0"/>
      <w:marBottom w:val="0"/>
      <w:divBdr>
        <w:top w:val="none" w:sz="0" w:space="0" w:color="auto"/>
        <w:left w:val="none" w:sz="0" w:space="0" w:color="auto"/>
        <w:bottom w:val="none" w:sz="0" w:space="0" w:color="auto"/>
        <w:right w:val="none" w:sz="0" w:space="0" w:color="auto"/>
      </w:divBdr>
    </w:div>
    <w:div w:id="1459373652">
      <w:bodyDiv w:val="1"/>
      <w:marLeft w:val="0"/>
      <w:marRight w:val="0"/>
      <w:marTop w:val="0"/>
      <w:marBottom w:val="0"/>
      <w:divBdr>
        <w:top w:val="none" w:sz="0" w:space="0" w:color="auto"/>
        <w:left w:val="none" w:sz="0" w:space="0" w:color="auto"/>
        <w:bottom w:val="none" w:sz="0" w:space="0" w:color="auto"/>
        <w:right w:val="none" w:sz="0" w:space="0" w:color="auto"/>
      </w:divBdr>
    </w:div>
    <w:div w:id="1460685450">
      <w:bodyDiv w:val="1"/>
      <w:marLeft w:val="0"/>
      <w:marRight w:val="0"/>
      <w:marTop w:val="0"/>
      <w:marBottom w:val="0"/>
      <w:divBdr>
        <w:top w:val="none" w:sz="0" w:space="0" w:color="auto"/>
        <w:left w:val="none" w:sz="0" w:space="0" w:color="auto"/>
        <w:bottom w:val="none" w:sz="0" w:space="0" w:color="auto"/>
        <w:right w:val="none" w:sz="0" w:space="0" w:color="auto"/>
      </w:divBdr>
    </w:div>
    <w:div w:id="1461070779">
      <w:bodyDiv w:val="1"/>
      <w:marLeft w:val="0"/>
      <w:marRight w:val="0"/>
      <w:marTop w:val="0"/>
      <w:marBottom w:val="0"/>
      <w:divBdr>
        <w:top w:val="none" w:sz="0" w:space="0" w:color="auto"/>
        <w:left w:val="none" w:sz="0" w:space="0" w:color="auto"/>
        <w:bottom w:val="none" w:sz="0" w:space="0" w:color="auto"/>
        <w:right w:val="none" w:sz="0" w:space="0" w:color="auto"/>
      </w:divBdr>
    </w:div>
    <w:div w:id="1461149917">
      <w:bodyDiv w:val="1"/>
      <w:marLeft w:val="0"/>
      <w:marRight w:val="0"/>
      <w:marTop w:val="0"/>
      <w:marBottom w:val="0"/>
      <w:divBdr>
        <w:top w:val="none" w:sz="0" w:space="0" w:color="auto"/>
        <w:left w:val="none" w:sz="0" w:space="0" w:color="auto"/>
        <w:bottom w:val="none" w:sz="0" w:space="0" w:color="auto"/>
        <w:right w:val="none" w:sz="0" w:space="0" w:color="auto"/>
      </w:divBdr>
    </w:div>
    <w:div w:id="1461412331">
      <w:bodyDiv w:val="1"/>
      <w:marLeft w:val="0"/>
      <w:marRight w:val="0"/>
      <w:marTop w:val="0"/>
      <w:marBottom w:val="0"/>
      <w:divBdr>
        <w:top w:val="none" w:sz="0" w:space="0" w:color="auto"/>
        <w:left w:val="none" w:sz="0" w:space="0" w:color="auto"/>
        <w:bottom w:val="none" w:sz="0" w:space="0" w:color="auto"/>
        <w:right w:val="none" w:sz="0" w:space="0" w:color="auto"/>
      </w:divBdr>
    </w:div>
    <w:div w:id="1461847787">
      <w:bodyDiv w:val="1"/>
      <w:marLeft w:val="0"/>
      <w:marRight w:val="0"/>
      <w:marTop w:val="0"/>
      <w:marBottom w:val="0"/>
      <w:divBdr>
        <w:top w:val="none" w:sz="0" w:space="0" w:color="auto"/>
        <w:left w:val="none" w:sz="0" w:space="0" w:color="auto"/>
        <w:bottom w:val="none" w:sz="0" w:space="0" w:color="auto"/>
        <w:right w:val="none" w:sz="0" w:space="0" w:color="auto"/>
      </w:divBdr>
    </w:div>
    <w:div w:id="1464040114">
      <w:bodyDiv w:val="1"/>
      <w:marLeft w:val="0"/>
      <w:marRight w:val="0"/>
      <w:marTop w:val="0"/>
      <w:marBottom w:val="0"/>
      <w:divBdr>
        <w:top w:val="none" w:sz="0" w:space="0" w:color="auto"/>
        <w:left w:val="none" w:sz="0" w:space="0" w:color="auto"/>
        <w:bottom w:val="none" w:sz="0" w:space="0" w:color="auto"/>
        <w:right w:val="none" w:sz="0" w:space="0" w:color="auto"/>
      </w:divBdr>
    </w:div>
    <w:div w:id="1464620315">
      <w:bodyDiv w:val="1"/>
      <w:marLeft w:val="0"/>
      <w:marRight w:val="0"/>
      <w:marTop w:val="0"/>
      <w:marBottom w:val="0"/>
      <w:divBdr>
        <w:top w:val="none" w:sz="0" w:space="0" w:color="auto"/>
        <w:left w:val="none" w:sz="0" w:space="0" w:color="auto"/>
        <w:bottom w:val="none" w:sz="0" w:space="0" w:color="auto"/>
        <w:right w:val="none" w:sz="0" w:space="0" w:color="auto"/>
      </w:divBdr>
    </w:div>
    <w:div w:id="1465542034">
      <w:bodyDiv w:val="1"/>
      <w:marLeft w:val="0"/>
      <w:marRight w:val="0"/>
      <w:marTop w:val="0"/>
      <w:marBottom w:val="0"/>
      <w:divBdr>
        <w:top w:val="none" w:sz="0" w:space="0" w:color="auto"/>
        <w:left w:val="none" w:sz="0" w:space="0" w:color="auto"/>
        <w:bottom w:val="none" w:sz="0" w:space="0" w:color="auto"/>
        <w:right w:val="none" w:sz="0" w:space="0" w:color="auto"/>
      </w:divBdr>
    </w:div>
    <w:div w:id="1467043392">
      <w:bodyDiv w:val="1"/>
      <w:marLeft w:val="0"/>
      <w:marRight w:val="0"/>
      <w:marTop w:val="0"/>
      <w:marBottom w:val="0"/>
      <w:divBdr>
        <w:top w:val="none" w:sz="0" w:space="0" w:color="auto"/>
        <w:left w:val="none" w:sz="0" w:space="0" w:color="auto"/>
        <w:bottom w:val="none" w:sz="0" w:space="0" w:color="auto"/>
        <w:right w:val="none" w:sz="0" w:space="0" w:color="auto"/>
      </w:divBdr>
    </w:div>
    <w:div w:id="146743141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897451">
      <w:bodyDiv w:val="1"/>
      <w:marLeft w:val="0"/>
      <w:marRight w:val="0"/>
      <w:marTop w:val="0"/>
      <w:marBottom w:val="0"/>
      <w:divBdr>
        <w:top w:val="none" w:sz="0" w:space="0" w:color="auto"/>
        <w:left w:val="none" w:sz="0" w:space="0" w:color="auto"/>
        <w:bottom w:val="none" w:sz="0" w:space="0" w:color="auto"/>
        <w:right w:val="none" w:sz="0" w:space="0" w:color="auto"/>
      </w:divBdr>
    </w:div>
    <w:div w:id="1468280206">
      <w:bodyDiv w:val="1"/>
      <w:marLeft w:val="0"/>
      <w:marRight w:val="0"/>
      <w:marTop w:val="0"/>
      <w:marBottom w:val="0"/>
      <w:divBdr>
        <w:top w:val="none" w:sz="0" w:space="0" w:color="auto"/>
        <w:left w:val="none" w:sz="0" w:space="0" w:color="auto"/>
        <w:bottom w:val="none" w:sz="0" w:space="0" w:color="auto"/>
        <w:right w:val="none" w:sz="0" w:space="0" w:color="auto"/>
      </w:divBdr>
    </w:div>
    <w:div w:id="1469932134">
      <w:bodyDiv w:val="1"/>
      <w:marLeft w:val="0"/>
      <w:marRight w:val="0"/>
      <w:marTop w:val="0"/>
      <w:marBottom w:val="0"/>
      <w:divBdr>
        <w:top w:val="none" w:sz="0" w:space="0" w:color="auto"/>
        <w:left w:val="none" w:sz="0" w:space="0" w:color="auto"/>
        <w:bottom w:val="none" w:sz="0" w:space="0" w:color="auto"/>
        <w:right w:val="none" w:sz="0" w:space="0" w:color="auto"/>
      </w:divBdr>
    </w:div>
    <w:div w:id="1471483269">
      <w:bodyDiv w:val="1"/>
      <w:marLeft w:val="0"/>
      <w:marRight w:val="0"/>
      <w:marTop w:val="0"/>
      <w:marBottom w:val="0"/>
      <w:divBdr>
        <w:top w:val="none" w:sz="0" w:space="0" w:color="auto"/>
        <w:left w:val="none" w:sz="0" w:space="0" w:color="auto"/>
        <w:bottom w:val="none" w:sz="0" w:space="0" w:color="auto"/>
        <w:right w:val="none" w:sz="0" w:space="0" w:color="auto"/>
      </w:divBdr>
    </w:div>
    <w:div w:id="1471704798">
      <w:bodyDiv w:val="1"/>
      <w:marLeft w:val="0"/>
      <w:marRight w:val="0"/>
      <w:marTop w:val="0"/>
      <w:marBottom w:val="0"/>
      <w:divBdr>
        <w:top w:val="none" w:sz="0" w:space="0" w:color="auto"/>
        <w:left w:val="none" w:sz="0" w:space="0" w:color="auto"/>
        <w:bottom w:val="none" w:sz="0" w:space="0" w:color="auto"/>
        <w:right w:val="none" w:sz="0" w:space="0" w:color="auto"/>
      </w:divBdr>
    </w:div>
    <w:div w:id="1471897601">
      <w:bodyDiv w:val="1"/>
      <w:marLeft w:val="0"/>
      <w:marRight w:val="0"/>
      <w:marTop w:val="0"/>
      <w:marBottom w:val="0"/>
      <w:divBdr>
        <w:top w:val="none" w:sz="0" w:space="0" w:color="auto"/>
        <w:left w:val="none" w:sz="0" w:space="0" w:color="auto"/>
        <w:bottom w:val="none" w:sz="0" w:space="0" w:color="auto"/>
        <w:right w:val="none" w:sz="0" w:space="0" w:color="auto"/>
      </w:divBdr>
    </w:div>
    <w:div w:id="1471945802">
      <w:bodyDiv w:val="1"/>
      <w:marLeft w:val="0"/>
      <w:marRight w:val="0"/>
      <w:marTop w:val="0"/>
      <w:marBottom w:val="0"/>
      <w:divBdr>
        <w:top w:val="none" w:sz="0" w:space="0" w:color="auto"/>
        <w:left w:val="none" w:sz="0" w:space="0" w:color="auto"/>
        <w:bottom w:val="none" w:sz="0" w:space="0" w:color="auto"/>
        <w:right w:val="none" w:sz="0" w:space="0" w:color="auto"/>
      </w:divBdr>
    </w:div>
    <w:div w:id="1472554314">
      <w:bodyDiv w:val="1"/>
      <w:marLeft w:val="0"/>
      <w:marRight w:val="0"/>
      <w:marTop w:val="0"/>
      <w:marBottom w:val="0"/>
      <w:divBdr>
        <w:top w:val="none" w:sz="0" w:space="0" w:color="auto"/>
        <w:left w:val="none" w:sz="0" w:space="0" w:color="auto"/>
        <w:bottom w:val="none" w:sz="0" w:space="0" w:color="auto"/>
        <w:right w:val="none" w:sz="0" w:space="0" w:color="auto"/>
      </w:divBdr>
    </w:div>
    <w:div w:id="1474297908">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09678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142417">
      <w:bodyDiv w:val="1"/>
      <w:marLeft w:val="0"/>
      <w:marRight w:val="0"/>
      <w:marTop w:val="0"/>
      <w:marBottom w:val="0"/>
      <w:divBdr>
        <w:top w:val="none" w:sz="0" w:space="0" w:color="auto"/>
        <w:left w:val="none" w:sz="0" w:space="0" w:color="auto"/>
        <w:bottom w:val="none" w:sz="0" w:space="0" w:color="auto"/>
        <w:right w:val="none" w:sz="0" w:space="0" w:color="auto"/>
      </w:divBdr>
    </w:div>
    <w:div w:id="1476679814">
      <w:bodyDiv w:val="1"/>
      <w:marLeft w:val="0"/>
      <w:marRight w:val="0"/>
      <w:marTop w:val="0"/>
      <w:marBottom w:val="0"/>
      <w:divBdr>
        <w:top w:val="none" w:sz="0" w:space="0" w:color="auto"/>
        <w:left w:val="none" w:sz="0" w:space="0" w:color="auto"/>
        <w:bottom w:val="none" w:sz="0" w:space="0" w:color="auto"/>
        <w:right w:val="none" w:sz="0" w:space="0" w:color="auto"/>
      </w:divBdr>
    </w:div>
    <w:div w:id="1477187324">
      <w:bodyDiv w:val="1"/>
      <w:marLeft w:val="0"/>
      <w:marRight w:val="0"/>
      <w:marTop w:val="0"/>
      <w:marBottom w:val="0"/>
      <w:divBdr>
        <w:top w:val="none" w:sz="0" w:space="0" w:color="auto"/>
        <w:left w:val="none" w:sz="0" w:space="0" w:color="auto"/>
        <w:bottom w:val="none" w:sz="0" w:space="0" w:color="auto"/>
        <w:right w:val="none" w:sz="0" w:space="0" w:color="auto"/>
      </w:divBdr>
    </w:div>
    <w:div w:id="1477336175">
      <w:bodyDiv w:val="1"/>
      <w:marLeft w:val="0"/>
      <w:marRight w:val="0"/>
      <w:marTop w:val="0"/>
      <w:marBottom w:val="0"/>
      <w:divBdr>
        <w:top w:val="none" w:sz="0" w:space="0" w:color="auto"/>
        <w:left w:val="none" w:sz="0" w:space="0" w:color="auto"/>
        <w:bottom w:val="none" w:sz="0" w:space="0" w:color="auto"/>
        <w:right w:val="none" w:sz="0" w:space="0" w:color="auto"/>
      </w:divBdr>
    </w:div>
    <w:div w:id="1477649512">
      <w:bodyDiv w:val="1"/>
      <w:marLeft w:val="0"/>
      <w:marRight w:val="0"/>
      <w:marTop w:val="0"/>
      <w:marBottom w:val="0"/>
      <w:divBdr>
        <w:top w:val="none" w:sz="0" w:space="0" w:color="auto"/>
        <w:left w:val="none" w:sz="0" w:space="0" w:color="auto"/>
        <w:bottom w:val="none" w:sz="0" w:space="0" w:color="auto"/>
        <w:right w:val="none" w:sz="0" w:space="0" w:color="auto"/>
      </w:divBdr>
    </w:div>
    <w:div w:id="1479108737">
      <w:bodyDiv w:val="1"/>
      <w:marLeft w:val="0"/>
      <w:marRight w:val="0"/>
      <w:marTop w:val="0"/>
      <w:marBottom w:val="0"/>
      <w:divBdr>
        <w:top w:val="none" w:sz="0" w:space="0" w:color="auto"/>
        <w:left w:val="none" w:sz="0" w:space="0" w:color="auto"/>
        <w:bottom w:val="none" w:sz="0" w:space="0" w:color="auto"/>
        <w:right w:val="none" w:sz="0" w:space="0" w:color="auto"/>
      </w:divBdr>
    </w:div>
    <w:div w:id="1479372943">
      <w:bodyDiv w:val="1"/>
      <w:marLeft w:val="0"/>
      <w:marRight w:val="0"/>
      <w:marTop w:val="0"/>
      <w:marBottom w:val="0"/>
      <w:divBdr>
        <w:top w:val="none" w:sz="0" w:space="0" w:color="auto"/>
        <w:left w:val="none" w:sz="0" w:space="0" w:color="auto"/>
        <w:bottom w:val="none" w:sz="0" w:space="0" w:color="auto"/>
        <w:right w:val="none" w:sz="0" w:space="0" w:color="auto"/>
      </w:divBdr>
    </w:div>
    <w:div w:id="1480342896">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682308">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1144568">
      <w:bodyDiv w:val="1"/>
      <w:marLeft w:val="0"/>
      <w:marRight w:val="0"/>
      <w:marTop w:val="0"/>
      <w:marBottom w:val="0"/>
      <w:divBdr>
        <w:top w:val="none" w:sz="0" w:space="0" w:color="auto"/>
        <w:left w:val="none" w:sz="0" w:space="0" w:color="auto"/>
        <w:bottom w:val="none" w:sz="0" w:space="0" w:color="auto"/>
        <w:right w:val="none" w:sz="0" w:space="0" w:color="auto"/>
      </w:divBdr>
    </w:div>
    <w:div w:id="1482036087">
      <w:bodyDiv w:val="1"/>
      <w:marLeft w:val="0"/>
      <w:marRight w:val="0"/>
      <w:marTop w:val="0"/>
      <w:marBottom w:val="0"/>
      <w:divBdr>
        <w:top w:val="none" w:sz="0" w:space="0" w:color="auto"/>
        <w:left w:val="none" w:sz="0" w:space="0" w:color="auto"/>
        <w:bottom w:val="none" w:sz="0" w:space="0" w:color="auto"/>
        <w:right w:val="none" w:sz="0" w:space="0" w:color="auto"/>
      </w:divBdr>
    </w:div>
    <w:div w:id="1482381524">
      <w:bodyDiv w:val="1"/>
      <w:marLeft w:val="0"/>
      <w:marRight w:val="0"/>
      <w:marTop w:val="0"/>
      <w:marBottom w:val="0"/>
      <w:divBdr>
        <w:top w:val="none" w:sz="0" w:space="0" w:color="auto"/>
        <w:left w:val="none" w:sz="0" w:space="0" w:color="auto"/>
        <w:bottom w:val="none" w:sz="0" w:space="0" w:color="auto"/>
        <w:right w:val="none" w:sz="0" w:space="0" w:color="auto"/>
      </w:divBdr>
    </w:div>
    <w:div w:id="1485664134">
      <w:bodyDiv w:val="1"/>
      <w:marLeft w:val="0"/>
      <w:marRight w:val="0"/>
      <w:marTop w:val="0"/>
      <w:marBottom w:val="0"/>
      <w:divBdr>
        <w:top w:val="none" w:sz="0" w:space="0" w:color="auto"/>
        <w:left w:val="none" w:sz="0" w:space="0" w:color="auto"/>
        <w:bottom w:val="none" w:sz="0" w:space="0" w:color="auto"/>
        <w:right w:val="none" w:sz="0" w:space="0" w:color="auto"/>
      </w:divBdr>
    </w:div>
    <w:div w:id="1486630335">
      <w:bodyDiv w:val="1"/>
      <w:marLeft w:val="0"/>
      <w:marRight w:val="0"/>
      <w:marTop w:val="0"/>
      <w:marBottom w:val="0"/>
      <w:divBdr>
        <w:top w:val="none" w:sz="0" w:space="0" w:color="auto"/>
        <w:left w:val="none" w:sz="0" w:space="0" w:color="auto"/>
        <w:bottom w:val="none" w:sz="0" w:space="0" w:color="auto"/>
        <w:right w:val="none" w:sz="0" w:space="0" w:color="auto"/>
      </w:divBdr>
    </w:div>
    <w:div w:id="1486818648">
      <w:bodyDiv w:val="1"/>
      <w:marLeft w:val="0"/>
      <w:marRight w:val="0"/>
      <w:marTop w:val="0"/>
      <w:marBottom w:val="0"/>
      <w:divBdr>
        <w:top w:val="none" w:sz="0" w:space="0" w:color="auto"/>
        <w:left w:val="none" w:sz="0" w:space="0" w:color="auto"/>
        <w:bottom w:val="none" w:sz="0" w:space="0" w:color="auto"/>
        <w:right w:val="none" w:sz="0" w:space="0" w:color="auto"/>
      </w:divBdr>
    </w:div>
    <w:div w:id="1486820599">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013638">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133151">
      <w:bodyDiv w:val="1"/>
      <w:marLeft w:val="0"/>
      <w:marRight w:val="0"/>
      <w:marTop w:val="0"/>
      <w:marBottom w:val="0"/>
      <w:divBdr>
        <w:top w:val="none" w:sz="0" w:space="0" w:color="auto"/>
        <w:left w:val="none" w:sz="0" w:space="0" w:color="auto"/>
        <w:bottom w:val="none" w:sz="0" w:space="0" w:color="auto"/>
        <w:right w:val="none" w:sz="0" w:space="0" w:color="auto"/>
      </w:divBdr>
    </w:div>
    <w:div w:id="1488520967">
      <w:bodyDiv w:val="1"/>
      <w:marLeft w:val="0"/>
      <w:marRight w:val="0"/>
      <w:marTop w:val="0"/>
      <w:marBottom w:val="0"/>
      <w:divBdr>
        <w:top w:val="none" w:sz="0" w:space="0" w:color="auto"/>
        <w:left w:val="none" w:sz="0" w:space="0" w:color="auto"/>
        <w:bottom w:val="none" w:sz="0" w:space="0" w:color="auto"/>
        <w:right w:val="none" w:sz="0" w:space="0" w:color="auto"/>
      </w:divBdr>
    </w:div>
    <w:div w:id="1488547313">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0705359">
      <w:bodyDiv w:val="1"/>
      <w:marLeft w:val="0"/>
      <w:marRight w:val="0"/>
      <w:marTop w:val="0"/>
      <w:marBottom w:val="0"/>
      <w:divBdr>
        <w:top w:val="none" w:sz="0" w:space="0" w:color="auto"/>
        <w:left w:val="none" w:sz="0" w:space="0" w:color="auto"/>
        <w:bottom w:val="none" w:sz="0" w:space="0" w:color="auto"/>
        <w:right w:val="none" w:sz="0" w:space="0" w:color="auto"/>
      </w:divBdr>
    </w:div>
    <w:div w:id="1491602313">
      <w:bodyDiv w:val="1"/>
      <w:marLeft w:val="0"/>
      <w:marRight w:val="0"/>
      <w:marTop w:val="0"/>
      <w:marBottom w:val="0"/>
      <w:divBdr>
        <w:top w:val="none" w:sz="0" w:space="0" w:color="auto"/>
        <w:left w:val="none" w:sz="0" w:space="0" w:color="auto"/>
        <w:bottom w:val="none" w:sz="0" w:space="0" w:color="auto"/>
        <w:right w:val="none" w:sz="0" w:space="0" w:color="auto"/>
      </w:divBdr>
    </w:div>
    <w:div w:id="1491798860">
      <w:bodyDiv w:val="1"/>
      <w:marLeft w:val="0"/>
      <w:marRight w:val="0"/>
      <w:marTop w:val="0"/>
      <w:marBottom w:val="0"/>
      <w:divBdr>
        <w:top w:val="none" w:sz="0" w:space="0" w:color="auto"/>
        <w:left w:val="none" w:sz="0" w:space="0" w:color="auto"/>
        <w:bottom w:val="none" w:sz="0" w:space="0" w:color="auto"/>
        <w:right w:val="none" w:sz="0" w:space="0" w:color="auto"/>
      </w:divBdr>
    </w:div>
    <w:div w:id="1492483058">
      <w:bodyDiv w:val="1"/>
      <w:marLeft w:val="0"/>
      <w:marRight w:val="0"/>
      <w:marTop w:val="0"/>
      <w:marBottom w:val="0"/>
      <w:divBdr>
        <w:top w:val="none" w:sz="0" w:space="0" w:color="auto"/>
        <w:left w:val="none" w:sz="0" w:space="0" w:color="auto"/>
        <w:bottom w:val="none" w:sz="0" w:space="0" w:color="auto"/>
        <w:right w:val="none" w:sz="0" w:space="0" w:color="auto"/>
      </w:divBdr>
    </w:div>
    <w:div w:id="1492940801">
      <w:bodyDiv w:val="1"/>
      <w:marLeft w:val="0"/>
      <w:marRight w:val="0"/>
      <w:marTop w:val="0"/>
      <w:marBottom w:val="0"/>
      <w:divBdr>
        <w:top w:val="none" w:sz="0" w:space="0" w:color="auto"/>
        <w:left w:val="none" w:sz="0" w:space="0" w:color="auto"/>
        <w:bottom w:val="none" w:sz="0" w:space="0" w:color="auto"/>
        <w:right w:val="none" w:sz="0" w:space="0" w:color="auto"/>
      </w:divBdr>
    </w:div>
    <w:div w:id="1493182330">
      <w:bodyDiv w:val="1"/>
      <w:marLeft w:val="0"/>
      <w:marRight w:val="0"/>
      <w:marTop w:val="0"/>
      <w:marBottom w:val="0"/>
      <w:divBdr>
        <w:top w:val="none" w:sz="0" w:space="0" w:color="auto"/>
        <w:left w:val="none" w:sz="0" w:space="0" w:color="auto"/>
        <w:bottom w:val="none" w:sz="0" w:space="0" w:color="auto"/>
        <w:right w:val="none" w:sz="0" w:space="0" w:color="auto"/>
      </w:divBdr>
    </w:div>
    <w:div w:id="1493329537">
      <w:bodyDiv w:val="1"/>
      <w:marLeft w:val="0"/>
      <w:marRight w:val="0"/>
      <w:marTop w:val="0"/>
      <w:marBottom w:val="0"/>
      <w:divBdr>
        <w:top w:val="none" w:sz="0" w:space="0" w:color="auto"/>
        <w:left w:val="none" w:sz="0" w:space="0" w:color="auto"/>
        <w:bottom w:val="none" w:sz="0" w:space="0" w:color="auto"/>
        <w:right w:val="none" w:sz="0" w:space="0" w:color="auto"/>
      </w:divBdr>
    </w:div>
    <w:div w:id="1493524168">
      <w:bodyDiv w:val="1"/>
      <w:marLeft w:val="0"/>
      <w:marRight w:val="0"/>
      <w:marTop w:val="0"/>
      <w:marBottom w:val="0"/>
      <w:divBdr>
        <w:top w:val="none" w:sz="0" w:space="0" w:color="auto"/>
        <w:left w:val="none" w:sz="0" w:space="0" w:color="auto"/>
        <w:bottom w:val="none" w:sz="0" w:space="0" w:color="auto"/>
        <w:right w:val="none" w:sz="0" w:space="0" w:color="auto"/>
      </w:divBdr>
    </w:div>
    <w:div w:id="1493597823">
      <w:bodyDiv w:val="1"/>
      <w:marLeft w:val="0"/>
      <w:marRight w:val="0"/>
      <w:marTop w:val="0"/>
      <w:marBottom w:val="0"/>
      <w:divBdr>
        <w:top w:val="none" w:sz="0" w:space="0" w:color="auto"/>
        <w:left w:val="none" w:sz="0" w:space="0" w:color="auto"/>
        <w:bottom w:val="none" w:sz="0" w:space="0" w:color="auto"/>
        <w:right w:val="none" w:sz="0" w:space="0" w:color="auto"/>
      </w:divBdr>
    </w:div>
    <w:div w:id="1493834620">
      <w:bodyDiv w:val="1"/>
      <w:marLeft w:val="0"/>
      <w:marRight w:val="0"/>
      <w:marTop w:val="0"/>
      <w:marBottom w:val="0"/>
      <w:divBdr>
        <w:top w:val="none" w:sz="0" w:space="0" w:color="auto"/>
        <w:left w:val="none" w:sz="0" w:space="0" w:color="auto"/>
        <w:bottom w:val="none" w:sz="0" w:space="0" w:color="auto"/>
        <w:right w:val="none" w:sz="0" w:space="0" w:color="auto"/>
      </w:divBdr>
    </w:div>
    <w:div w:id="1493985402">
      <w:bodyDiv w:val="1"/>
      <w:marLeft w:val="0"/>
      <w:marRight w:val="0"/>
      <w:marTop w:val="0"/>
      <w:marBottom w:val="0"/>
      <w:divBdr>
        <w:top w:val="none" w:sz="0" w:space="0" w:color="auto"/>
        <w:left w:val="none" w:sz="0" w:space="0" w:color="auto"/>
        <w:bottom w:val="none" w:sz="0" w:space="0" w:color="auto"/>
        <w:right w:val="none" w:sz="0" w:space="0" w:color="auto"/>
      </w:divBdr>
    </w:div>
    <w:div w:id="1494175719">
      <w:bodyDiv w:val="1"/>
      <w:marLeft w:val="0"/>
      <w:marRight w:val="0"/>
      <w:marTop w:val="0"/>
      <w:marBottom w:val="0"/>
      <w:divBdr>
        <w:top w:val="none" w:sz="0" w:space="0" w:color="auto"/>
        <w:left w:val="none" w:sz="0" w:space="0" w:color="auto"/>
        <w:bottom w:val="none" w:sz="0" w:space="0" w:color="auto"/>
        <w:right w:val="none" w:sz="0" w:space="0" w:color="auto"/>
      </w:divBdr>
    </w:div>
    <w:div w:id="1494181939">
      <w:bodyDiv w:val="1"/>
      <w:marLeft w:val="0"/>
      <w:marRight w:val="0"/>
      <w:marTop w:val="0"/>
      <w:marBottom w:val="0"/>
      <w:divBdr>
        <w:top w:val="none" w:sz="0" w:space="0" w:color="auto"/>
        <w:left w:val="none" w:sz="0" w:space="0" w:color="auto"/>
        <w:bottom w:val="none" w:sz="0" w:space="0" w:color="auto"/>
        <w:right w:val="none" w:sz="0" w:space="0" w:color="auto"/>
      </w:divBdr>
    </w:div>
    <w:div w:id="1494449637">
      <w:bodyDiv w:val="1"/>
      <w:marLeft w:val="0"/>
      <w:marRight w:val="0"/>
      <w:marTop w:val="0"/>
      <w:marBottom w:val="0"/>
      <w:divBdr>
        <w:top w:val="none" w:sz="0" w:space="0" w:color="auto"/>
        <w:left w:val="none" w:sz="0" w:space="0" w:color="auto"/>
        <w:bottom w:val="none" w:sz="0" w:space="0" w:color="auto"/>
        <w:right w:val="none" w:sz="0" w:space="0" w:color="auto"/>
      </w:divBdr>
    </w:div>
    <w:div w:id="1494643685">
      <w:bodyDiv w:val="1"/>
      <w:marLeft w:val="0"/>
      <w:marRight w:val="0"/>
      <w:marTop w:val="0"/>
      <w:marBottom w:val="0"/>
      <w:divBdr>
        <w:top w:val="none" w:sz="0" w:space="0" w:color="auto"/>
        <w:left w:val="none" w:sz="0" w:space="0" w:color="auto"/>
        <w:bottom w:val="none" w:sz="0" w:space="0" w:color="auto"/>
        <w:right w:val="none" w:sz="0" w:space="0" w:color="auto"/>
      </w:divBdr>
    </w:div>
    <w:div w:id="1494754192">
      <w:bodyDiv w:val="1"/>
      <w:marLeft w:val="0"/>
      <w:marRight w:val="0"/>
      <w:marTop w:val="0"/>
      <w:marBottom w:val="0"/>
      <w:divBdr>
        <w:top w:val="none" w:sz="0" w:space="0" w:color="auto"/>
        <w:left w:val="none" w:sz="0" w:space="0" w:color="auto"/>
        <w:bottom w:val="none" w:sz="0" w:space="0" w:color="auto"/>
        <w:right w:val="none" w:sz="0" w:space="0" w:color="auto"/>
      </w:divBdr>
    </w:div>
    <w:div w:id="1494834236">
      <w:bodyDiv w:val="1"/>
      <w:marLeft w:val="0"/>
      <w:marRight w:val="0"/>
      <w:marTop w:val="0"/>
      <w:marBottom w:val="0"/>
      <w:divBdr>
        <w:top w:val="none" w:sz="0" w:space="0" w:color="auto"/>
        <w:left w:val="none" w:sz="0" w:space="0" w:color="auto"/>
        <w:bottom w:val="none" w:sz="0" w:space="0" w:color="auto"/>
        <w:right w:val="none" w:sz="0" w:space="0" w:color="auto"/>
      </w:divBdr>
    </w:div>
    <w:div w:id="1494878893">
      <w:bodyDiv w:val="1"/>
      <w:marLeft w:val="0"/>
      <w:marRight w:val="0"/>
      <w:marTop w:val="0"/>
      <w:marBottom w:val="0"/>
      <w:divBdr>
        <w:top w:val="none" w:sz="0" w:space="0" w:color="auto"/>
        <w:left w:val="none" w:sz="0" w:space="0" w:color="auto"/>
        <w:bottom w:val="none" w:sz="0" w:space="0" w:color="auto"/>
        <w:right w:val="none" w:sz="0" w:space="0" w:color="auto"/>
      </w:divBdr>
    </w:div>
    <w:div w:id="1495606661">
      <w:bodyDiv w:val="1"/>
      <w:marLeft w:val="0"/>
      <w:marRight w:val="0"/>
      <w:marTop w:val="0"/>
      <w:marBottom w:val="0"/>
      <w:divBdr>
        <w:top w:val="none" w:sz="0" w:space="0" w:color="auto"/>
        <w:left w:val="none" w:sz="0" w:space="0" w:color="auto"/>
        <w:bottom w:val="none" w:sz="0" w:space="0" w:color="auto"/>
        <w:right w:val="none" w:sz="0" w:space="0" w:color="auto"/>
      </w:divBdr>
    </w:div>
    <w:div w:id="1496267811">
      <w:bodyDiv w:val="1"/>
      <w:marLeft w:val="0"/>
      <w:marRight w:val="0"/>
      <w:marTop w:val="0"/>
      <w:marBottom w:val="0"/>
      <w:divBdr>
        <w:top w:val="none" w:sz="0" w:space="0" w:color="auto"/>
        <w:left w:val="none" w:sz="0" w:space="0" w:color="auto"/>
        <w:bottom w:val="none" w:sz="0" w:space="0" w:color="auto"/>
        <w:right w:val="none" w:sz="0" w:space="0" w:color="auto"/>
      </w:divBdr>
    </w:div>
    <w:div w:id="1496842711">
      <w:bodyDiv w:val="1"/>
      <w:marLeft w:val="0"/>
      <w:marRight w:val="0"/>
      <w:marTop w:val="0"/>
      <w:marBottom w:val="0"/>
      <w:divBdr>
        <w:top w:val="none" w:sz="0" w:space="0" w:color="auto"/>
        <w:left w:val="none" w:sz="0" w:space="0" w:color="auto"/>
        <w:bottom w:val="none" w:sz="0" w:space="0" w:color="auto"/>
        <w:right w:val="none" w:sz="0" w:space="0" w:color="auto"/>
      </w:divBdr>
    </w:div>
    <w:div w:id="1497497897">
      <w:bodyDiv w:val="1"/>
      <w:marLeft w:val="0"/>
      <w:marRight w:val="0"/>
      <w:marTop w:val="0"/>
      <w:marBottom w:val="0"/>
      <w:divBdr>
        <w:top w:val="none" w:sz="0" w:space="0" w:color="auto"/>
        <w:left w:val="none" w:sz="0" w:space="0" w:color="auto"/>
        <w:bottom w:val="none" w:sz="0" w:space="0" w:color="auto"/>
        <w:right w:val="none" w:sz="0" w:space="0" w:color="auto"/>
      </w:divBdr>
    </w:div>
    <w:div w:id="1497652891">
      <w:bodyDiv w:val="1"/>
      <w:marLeft w:val="0"/>
      <w:marRight w:val="0"/>
      <w:marTop w:val="0"/>
      <w:marBottom w:val="0"/>
      <w:divBdr>
        <w:top w:val="none" w:sz="0" w:space="0" w:color="auto"/>
        <w:left w:val="none" w:sz="0" w:space="0" w:color="auto"/>
        <w:bottom w:val="none" w:sz="0" w:space="0" w:color="auto"/>
        <w:right w:val="none" w:sz="0" w:space="0" w:color="auto"/>
      </w:divBdr>
    </w:div>
    <w:div w:id="1498494710">
      <w:bodyDiv w:val="1"/>
      <w:marLeft w:val="0"/>
      <w:marRight w:val="0"/>
      <w:marTop w:val="0"/>
      <w:marBottom w:val="0"/>
      <w:divBdr>
        <w:top w:val="none" w:sz="0" w:space="0" w:color="auto"/>
        <w:left w:val="none" w:sz="0" w:space="0" w:color="auto"/>
        <w:bottom w:val="none" w:sz="0" w:space="0" w:color="auto"/>
        <w:right w:val="none" w:sz="0" w:space="0" w:color="auto"/>
      </w:divBdr>
    </w:div>
    <w:div w:id="1498885066">
      <w:bodyDiv w:val="1"/>
      <w:marLeft w:val="0"/>
      <w:marRight w:val="0"/>
      <w:marTop w:val="0"/>
      <w:marBottom w:val="0"/>
      <w:divBdr>
        <w:top w:val="none" w:sz="0" w:space="0" w:color="auto"/>
        <w:left w:val="none" w:sz="0" w:space="0" w:color="auto"/>
        <w:bottom w:val="none" w:sz="0" w:space="0" w:color="auto"/>
        <w:right w:val="none" w:sz="0" w:space="0" w:color="auto"/>
      </w:divBdr>
    </w:div>
    <w:div w:id="1500386410">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0728165">
      <w:bodyDiv w:val="1"/>
      <w:marLeft w:val="0"/>
      <w:marRight w:val="0"/>
      <w:marTop w:val="0"/>
      <w:marBottom w:val="0"/>
      <w:divBdr>
        <w:top w:val="none" w:sz="0" w:space="0" w:color="auto"/>
        <w:left w:val="none" w:sz="0" w:space="0" w:color="auto"/>
        <w:bottom w:val="none" w:sz="0" w:space="0" w:color="auto"/>
        <w:right w:val="none" w:sz="0" w:space="0" w:color="auto"/>
      </w:divBdr>
    </w:div>
    <w:div w:id="1501044840">
      <w:bodyDiv w:val="1"/>
      <w:marLeft w:val="0"/>
      <w:marRight w:val="0"/>
      <w:marTop w:val="0"/>
      <w:marBottom w:val="0"/>
      <w:divBdr>
        <w:top w:val="none" w:sz="0" w:space="0" w:color="auto"/>
        <w:left w:val="none" w:sz="0" w:space="0" w:color="auto"/>
        <w:bottom w:val="none" w:sz="0" w:space="0" w:color="auto"/>
        <w:right w:val="none" w:sz="0" w:space="0" w:color="auto"/>
      </w:divBdr>
    </w:div>
    <w:div w:id="1501235879">
      <w:bodyDiv w:val="1"/>
      <w:marLeft w:val="0"/>
      <w:marRight w:val="0"/>
      <w:marTop w:val="0"/>
      <w:marBottom w:val="0"/>
      <w:divBdr>
        <w:top w:val="none" w:sz="0" w:space="0" w:color="auto"/>
        <w:left w:val="none" w:sz="0" w:space="0" w:color="auto"/>
        <w:bottom w:val="none" w:sz="0" w:space="0" w:color="auto"/>
        <w:right w:val="none" w:sz="0" w:space="0" w:color="auto"/>
      </w:divBdr>
    </w:div>
    <w:div w:id="1501583058">
      <w:bodyDiv w:val="1"/>
      <w:marLeft w:val="0"/>
      <w:marRight w:val="0"/>
      <w:marTop w:val="0"/>
      <w:marBottom w:val="0"/>
      <w:divBdr>
        <w:top w:val="none" w:sz="0" w:space="0" w:color="auto"/>
        <w:left w:val="none" w:sz="0" w:space="0" w:color="auto"/>
        <w:bottom w:val="none" w:sz="0" w:space="0" w:color="auto"/>
        <w:right w:val="none" w:sz="0" w:space="0" w:color="auto"/>
      </w:divBdr>
    </w:div>
    <w:div w:id="1501697619">
      <w:bodyDiv w:val="1"/>
      <w:marLeft w:val="0"/>
      <w:marRight w:val="0"/>
      <w:marTop w:val="0"/>
      <w:marBottom w:val="0"/>
      <w:divBdr>
        <w:top w:val="none" w:sz="0" w:space="0" w:color="auto"/>
        <w:left w:val="none" w:sz="0" w:space="0" w:color="auto"/>
        <w:bottom w:val="none" w:sz="0" w:space="0" w:color="auto"/>
        <w:right w:val="none" w:sz="0" w:space="0" w:color="auto"/>
      </w:divBdr>
    </w:div>
    <w:div w:id="1502088185">
      <w:bodyDiv w:val="1"/>
      <w:marLeft w:val="0"/>
      <w:marRight w:val="0"/>
      <w:marTop w:val="0"/>
      <w:marBottom w:val="0"/>
      <w:divBdr>
        <w:top w:val="none" w:sz="0" w:space="0" w:color="auto"/>
        <w:left w:val="none" w:sz="0" w:space="0" w:color="auto"/>
        <w:bottom w:val="none" w:sz="0" w:space="0" w:color="auto"/>
        <w:right w:val="none" w:sz="0" w:space="0" w:color="auto"/>
      </w:divBdr>
    </w:div>
    <w:div w:id="150223583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156799">
      <w:bodyDiv w:val="1"/>
      <w:marLeft w:val="0"/>
      <w:marRight w:val="0"/>
      <w:marTop w:val="0"/>
      <w:marBottom w:val="0"/>
      <w:divBdr>
        <w:top w:val="none" w:sz="0" w:space="0" w:color="auto"/>
        <w:left w:val="none" w:sz="0" w:space="0" w:color="auto"/>
        <w:bottom w:val="none" w:sz="0" w:space="0" w:color="auto"/>
        <w:right w:val="none" w:sz="0" w:space="0" w:color="auto"/>
      </w:divBdr>
    </w:div>
    <w:div w:id="1503200449">
      <w:bodyDiv w:val="1"/>
      <w:marLeft w:val="0"/>
      <w:marRight w:val="0"/>
      <w:marTop w:val="0"/>
      <w:marBottom w:val="0"/>
      <w:divBdr>
        <w:top w:val="none" w:sz="0" w:space="0" w:color="auto"/>
        <w:left w:val="none" w:sz="0" w:space="0" w:color="auto"/>
        <w:bottom w:val="none" w:sz="0" w:space="0" w:color="auto"/>
        <w:right w:val="none" w:sz="0" w:space="0" w:color="auto"/>
      </w:divBdr>
    </w:div>
    <w:div w:id="1503281287">
      <w:bodyDiv w:val="1"/>
      <w:marLeft w:val="0"/>
      <w:marRight w:val="0"/>
      <w:marTop w:val="0"/>
      <w:marBottom w:val="0"/>
      <w:divBdr>
        <w:top w:val="none" w:sz="0" w:space="0" w:color="auto"/>
        <w:left w:val="none" w:sz="0" w:space="0" w:color="auto"/>
        <w:bottom w:val="none" w:sz="0" w:space="0" w:color="auto"/>
        <w:right w:val="none" w:sz="0" w:space="0" w:color="auto"/>
      </w:divBdr>
    </w:div>
    <w:div w:id="1503736399">
      <w:bodyDiv w:val="1"/>
      <w:marLeft w:val="0"/>
      <w:marRight w:val="0"/>
      <w:marTop w:val="0"/>
      <w:marBottom w:val="0"/>
      <w:divBdr>
        <w:top w:val="none" w:sz="0" w:space="0" w:color="auto"/>
        <w:left w:val="none" w:sz="0" w:space="0" w:color="auto"/>
        <w:bottom w:val="none" w:sz="0" w:space="0" w:color="auto"/>
        <w:right w:val="none" w:sz="0" w:space="0" w:color="auto"/>
      </w:divBdr>
    </w:div>
    <w:div w:id="1503742498">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4664806">
      <w:bodyDiv w:val="1"/>
      <w:marLeft w:val="0"/>
      <w:marRight w:val="0"/>
      <w:marTop w:val="0"/>
      <w:marBottom w:val="0"/>
      <w:divBdr>
        <w:top w:val="none" w:sz="0" w:space="0" w:color="auto"/>
        <w:left w:val="none" w:sz="0" w:space="0" w:color="auto"/>
        <w:bottom w:val="none" w:sz="0" w:space="0" w:color="auto"/>
        <w:right w:val="none" w:sz="0" w:space="0" w:color="auto"/>
      </w:divBdr>
    </w:div>
    <w:div w:id="1504785409">
      <w:bodyDiv w:val="1"/>
      <w:marLeft w:val="0"/>
      <w:marRight w:val="0"/>
      <w:marTop w:val="0"/>
      <w:marBottom w:val="0"/>
      <w:divBdr>
        <w:top w:val="none" w:sz="0" w:space="0" w:color="auto"/>
        <w:left w:val="none" w:sz="0" w:space="0" w:color="auto"/>
        <w:bottom w:val="none" w:sz="0" w:space="0" w:color="auto"/>
        <w:right w:val="none" w:sz="0" w:space="0" w:color="auto"/>
      </w:divBdr>
    </w:div>
    <w:div w:id="1505125620">
      <w:bodyDiv w:val="1"/>
      <w:marLeft w:val="0"/>
      <w:marRight w:val="0"/>
      <w:marTop w:val="0"/>
      <w:marBottom w:val="0"/>
      <w:divBdr>
        <w:top w:val="none" w:sz="0" w:space="0" w:color="auto"/>
        <w:left w:val="none" w:sz="0" w:space="0" w:color="auto"/>
        <w:bottom w:val="none" w:sz="0" w:space="0" w:color="auto"/>
        <w:right w:val="none" w:sz="0" w:space="0" w:color="auto"/>
      </w:divBdr>
    </w:div>
    <w:div w:id="1505197124">
      <w:bodyDiv w:val="1"/>
      <w:marLeft w:val="0"/>
      <w:marRight w:val="0"/>
      <w:marTop w:val="0"/>
      <w:marBottom w:val="0"/>
      <w:divBdr>
        <w:top w:val="none" w:sz="0" w:space="0" w:color="auto"/>
        <w:left w:val="none" w:sz="0" w:space="0" w:color="auto"/>
        <w:bottom w:val="none" w:sz="0" w:space="0" w:color="auto"/>
        <w:right w:val="none" w:sz="0" w:space="0" w:color="auto"/>
      </w:divBdr>
    </w:div>
    <w:div w:id="1505314321">
      <w:bodyDiv w:val="1"/>
      <w:marLeft w:val="0"/>
      <w:marRight w:val="0"/>
      <w:marTop w:val="0"/>
      <w:marBottom w:val="0"/>
      <w:divBdr>
        <w:top w:val="none" w:sz="0" w:space="0" w:color="auto"/>
        <w:left w:val="none" w:sz="0" w:space="0" w:color="auto"/>
        <w:bottom w:val="none" w:sz="0" w:space="0" w:color="auto"/>
        <w:right w:val="none" w:sz="0" w:space="0" w:color="auto"/>
      </w:divBdr>
    </w:div>
    <w:div w:id="1506166396">
      <w:bodyDiv w:val="1"/>
      <w:marLeft w:val="0"/>
      <w:marRight w:val="0"/>
      <w:marTop w:val="0"/>
      <w:marBottom w:val="0"/>
      <w:divBdr>
        <w:top w:val="none" w:sz="0" w:space="0" w:color="auto"/>
        <w:left w:val="none" w:sz="0" w:space="0" w:color="auto"/>
        <w:bottom w:val="none" w:sz="0" w:space="0" w:color="auto"/>
        <w:right w:val="none" w:sz="0" w:space="0" w:color="auto"/>
      </w:divBdr>
    </w:div>
    <w:div w:id="1506167942">
      <w:bodyDiv w:val="1"/>
      <w:marLeft w:val="0"/>
      <w:marRight w:val="0"/>
      <w:marTop w:val="0"/>
      <w:marBottom w:val="0"/>
      <w:divBdr>
        <w:top w:val="none" w:sz="0" w:space="0" w:color="auto"/>
        <w:left w:val="none" w:sz="0" w:space="0" w:color="auto"/>
        <w:bottom w:val="none" w:sz="0" w:space="0" w:color="auto"/>
        <w:right w:val="none" w:sz="0" w:space="0" w:color="auto"/>
      </w:divBdr>
    </w:div>
    <w:div w:id="1506360138">
      <w:bodyDiv w:val="1"/>
      <w:marLeft w:val="0"/>
      <w:marRight w:val="0"/>
      <w:marTop w:val="0"/>
      <w:marBottom w:val="0"/>
      <w:divBdr>
        <w:top w:val="none" w:sz="0" w:space="0" w:color="auto"/>
        <w:left w:val="none" w:sz="0" w:space="0" w:color="auto"/>
        <w:bottom w:val="none" w:sz="0" w:space="0" w:color="auto"/>
        <w:right w:val="none" w:sz="0" w:space="0" w:color="auto"/>
      </w:divBdr>
    </w:div>
    <w:div w:id="1506631457">
      <w:bodyDiv w:val="1"/>
      <w:marLeft w:val="0"/>
      <w:marRight w:val="0"/>
      <w:marTop w:val="0"/>
      <w:marBottom w:val="0"/>
      <w:divBdr>
        <w:top w:val="none" w:sz="0" w:space="0" w:color="auto"/>
        <w:left w:val="none" w:sz="0" w:space="0" w:color="auto"/>
        <w:bottom w:val="none" w:sz="0" w:space="0" w:color="auto"/>
        <w:right w:val="none" w:sz="0" w:space="0" w:color="auto"/>
      </w:divBdr>
    </w:div>
    <w:div w:id="1506820513">
      <w:bodyDiv w:val="1"/>
      <w:marLeft w:val="0"/>
      <w:marRight w:val="0"/>
      <w:marTop w:val="0"/>
      <w:marBottom w:val="0"/>
      <w:divBdr>
        <w:top w:val="none" w:sz="0" w:space="0" w:color="auto"/>
        <w:left w:val="none" w:sz="0" w:space="0" w:color="auto"/>
        <w:bottom w:val="none" w:sz="0" w:space="0" w:color="auto"/>
        <w:right w:val="none" w:sz="0" w:space="0" w:color="auto"/>
      </w:divBdr>
    </w:div>
    <w:div w:id="1507135163">
      <w:bodyDiv w:val="1"/>
      <w:marLeft w:val="0"/>
      <w:marRight w:val="0"/>
      <w:marTop w:val="0"/>
      <w:marBottom w:val="0"/>
      <w:divBdr>
        <w:top w:val="none" w:sz="0" w:space="0" w:color="auto"/>
        <w:left w:val="none" w:sz="0" w:space="0" w:color="auto"/>
        <w:bottom w:val="none" w:sz="0" w:space="0" w:color="auto"/>
        <w:right w:val="none" w:sz="0" w:space="0" w:color="auto"/>
      </w:divBdr>
    </w:div>
    <w:div w:id="1507399070">
      <w:bodyDiv w:val="1"/>
      <w:marLeft w:val="0"/>
      <w:marRight w:val="0"/>
      <w:marTop w:val="0"/>
      <w:marBottom w:val="0"/>
      <w:divBdr>
        <w:top w:val="none" w:sz="0" w:space="0" w:color="auto"/>
        <w:left w:val="none" w:sz="0" w:space="0" w:color="auto"/>
        <w:bottom w:val="none" w:sz="0" w:space="0" w:color="auto"/>
        <w:right w:val="none" w:sz="0" w:space="0" w:color="auto"/>
      </w:divBdr>
    </w:div>
    <w:div w:id="1507480893">
      <w:bodyDiv w:val="1"/>
      <w:marLeft w:val="0"/>
      <w:marRight w:val="0"/>
      <w:marTop w:val="0"/>
      <w:marBottom w:val="0"/>
      <w:divBdr>
        <w:top w:val="none" w:sz="0" w:space="0" w:color="auto"/>
        <w:left w:val="none" w:sz="0" w:space="0" w:color="auto"/>
        <w:bottom w:val="none" w:sz="0" w:space="0" w:color="auto"/>
        <w:right w:val="none" w:sz="0" w:space="0" w:color="auto"/>
      </w:divBdr>
    </w:div>
    <w:div w:id="1507594530">
      <w:bodyDiv w:val="1"/>
      <w:marLeft w:val="0"/>
      <w:marRight w:val="0"/>
      <w:marTop w:val="0"/>
      <w:marBottom w:val="0"/>
      <w:divBdr>
        <w:top w:val="none" w:sz="0" w:space="0" w:color="auto"/>
        <w:left w:val="none" w:sz="0" w:space="0" w:color="auto"/>
        <w:bottom w:val="none" w:sz="0" w:space="0" w:color="auto"/>
        <w:right w:val="none" w:sz="0" w:space="0" w:color="auto"/>
      </w:divBdr>
    </w:div>
    <w:div w:id="1508474125">
      <w:bodyDiv w:val="1"/>
      <w:marLeft w:val="0"/>
      <w:marRight w:val="0"/>
      <w:marTop w:val="0"/>
      <w:marBottom w:val="0"/>
      <w:divBdr>
        <w:top w:val="none" w:sz="0" w:space="0" w:color="auto"/>
        <w:left w:val="none" w:sz="0" w:space="0" w:color="auto"/>
        <w:bottom w:val="none" w:sz="0" w:space="0" w:color="auto"/>
        <w:right w:val="none" w:sz="0" w:space="0" w:color="auto"/>
      </w:divBdr>
    </w:div>
    <w:div w:id="1508522723">
      <w:bodyDiv w:val="1"/>
      <w:marLeft w:val="0"/>
      <w:marRight w:val="0"/>
      <w:marTop w:val="0"/>
      <w:marBottom w:val="0"/>
      <w:divBdr>
        <w:top w:val="none" w:sz="0" w:space="0" w:color="auto"/>
        <w:left w:val="none" w:sz="0" w:space="0" w:color="auto"/>
        <w:bottom w:val="none" w:sz="0" w:space="0" w:color="auto"/>
        <w:right w:val="none" w:sz="0" w:space="0" w:color="auto"/>
      </w:divBdr>
    </w:div>
    <w:div w:id="1508909774">
      <w:bodyDiv w:val="1"/>
      <w:marLeft w:val="0"/>
      <w:marRight w:val="0"/>
      <w:marTop w:val="0"/>
      <w:marBottom w:val="0"/>
      <w:divBdr>
        <w:top w:val="none" w:sz="0" w:space="0" w:color="auto"/>
        <w:left w:val="none" w:sz="0" w:space="0" w:color="auto"/>
        <w:bottom w:val="none" w:sz="0" w:space="0" w:color="auto"/>
        <w:right w:val="none" w:sz="0" w:space="0" w:color="auto"/>
      </w:divBdr>
    </w:div>
    <w:div w:id="1509640791">
      <w:bodyDiv w:val="1"/>
      <w:marLeft w:val="0"/>
      <w:marRight w:val="0"/>
      <w:marTop w:val="0"/>
      <w:marBottom w:val="0"/>
      <w:divBdr>
        <w:top w:val="none" w:sz="0" w:space="0" w:color="auto"/>
        <w:left w:val="none" w:sz="0" w:space="0" w:color="auto"/>
        <w:bottom w:val="none" w:sz="0" w:space="0" w:color="auto"/>
        <w:right w:val="none" w:sz="0" w:space="0" w:color="auto"/>
      </w:divBdr>
    </w:div>
    <w:div w:id="1509907808">
      <w:bodyDiv w:val="1"/>
      <w:marLeft w:val="0"/>
      <w:marRight w:val="0"/>
      <w:marTop w:val="0"/>
      <w:marBottom w:val="0"/>
      <w:divBdr>
        <w:top w:val="none" w:sz="0" w:space="0" w:color="auto"/>
        <w:left w:val="none" w:sz="0" w:space="0" w:color="auto"/>
        <w:bottom w:val="none" w:sz="0" w:space="0" w:color="auto"/>
        <w:right w:val="none" w:sz="0" w:space="0" w:color="auto"/>
      </w:divBdr>
    </w:div>
    <w:div w:id="1510562886">
      <w:bodyDiv w:val="1"/>
      <w:marLeft w:val="0"/>
      <w:marRight w:val="0"/>
      <w:marTop w:val="0"/>
      <w:marBottom w:val="0"/>
      <w:divBdr>
        <w:top w:val="none" w:sz="0" w:space="0" w:color="auto"/>
        <w:left w:val="none" w:sz="0" w:space="0" w:color="auto"/>
        <w:bottom w:val="none" w:sz="0" w:space="0" w:color="auto"/>
        <w:right w:val="none" w:sz="0" w:space="0" w:color="auto"/>
      </w:divBdr>
    </w:div>
    <w:div w:id="1511412177">
      <w:bodyDiv w:val="1"/>
      <w:marLeft w:val="0"/>
      <w:marRight w:val="0"/>
      <w:marTop w:val="0"/>
      <w:marBottom w:val="0"/>
      <w:divBdr>
        <w:top w:val="none" w:sz="0" w:space="0" w:color="auto"/>
        <w:left w:val="none" w:sz="0" w:space="0" w:color="auto"/>
        <w:bottom w:val="none" w:sz="0" w:space="0" w:color="auto"/>
        <w:right w:val="none" w:sz="0" w:space="0" w:color="auto"/>
      </w:divBdr>
    </w:div>
    <w:div w:id="1514875269">
      <w:bodyDiv w:val="1"/>
      <w:marLeft w:val="0"/>
      <w:marRight w:val="0"/>
      <w:marTop w:val="0"/>
      <w:marBottom w:val="0"/>
      <w:divBdr>
        <w:top w:val="none" w:sz="0" w:space="0" w:color="auto"/>
        <w:left w:val="none" w:sz="0" w:space="0" w:color="auto"/>
        <w:bottom w:val="none" w:sz="0" w:space="0" w:color="auto"/>
        <w:right w:val="none" w:sz="0" w:space="0" w:color="auto"/>
      </w:divBdr>
    </w:div>
    <w:div w:id="1515150483">
      <w:bodyDiv w:val="1"/>
      <w:marLeft w:val="0"/>
      <w:marRight w:val="0"/>
      <w:marTop w:val="0"/>
      <w:marBottom w:val="0"/>
      <w:divBdr>
        <w:top w:val="none" w:sz="0" w:space="0" w:color="auto"/>
        <w:left w:val="none" w:sz="0" w:space="0" w:color="auto"/>
        <w:bottom w:val="none" w:sz="0" w:space="0" w:color="auto"/>
        <w:right w:val="none" w:sz="0" w:space="0" w:color="auto"/>
      </w:divBdr>
    </w:div>
    <w:div w:id="1516265179">
      <w:bodyDiv w:val="1"/>
      <w:marLeft w:val="0"/>
      <w:marRight w:val="0"/>
      <w:marTop w:val="0"/>
      <w:marBottom w:val="0"/>
      <w:divBdr>
        <w:top w:val="none" w:sz="0" w:space="0" w:color="auto"/>
        <w:left w:val="none" w:sz="0" w:space="0" w:color="auto"/>
        <w:bottom w:val="none" w:sz="0" w:space="0" w:color="auto"/>
        <w:right w:val="none" w:sz="0" w:space="0" w:color="auto"/>
      </w:divBdr>
    </w:div>
    <w:div w:id="1516573641">
      <w:bodyDiv w:val="1"/>
      <w:marLeft w:val="0"/>
      <w:marRight w:val="0"/>
      <w:marTop w:val="0"/>
      <w:marBottom w:val="0"/>
      <w:divBdr>
        <w:top w:val="none" w:sz="0" w:space="0" w:color="auto"/>
        <w:left w:val="none" w:sz="0" w:space="0" w:color="auto"/>
        <w:bottom w:val="none" w:sz="0" w:space="0" w:color="auto"/>
        <w:right w:val="none" w:sz="0" w:space="0" w:color="auto"/>
      </w:divBdr>
    </w:div>
    <w:div w:id="1517114420">
      <w:bodyDiv w:val="1"/>
      <w:marLeft w:val="0"/>
      <w:marRight w:val="0"/>
      <w:marTop w:val="0"/>
      <w:marBottom w:val="0"/>
      <w:divBdr>
        <w:top w:val="none" w:sz="0" w:space="0" w:color="auto"/>
        <w:left w:val="none" w:sz="0" w:space="0" w:color="auto"/>
        <w:bottom w:val="none" w:sz="0" w:space="0" w:color="auto"/>
        <w:right w:val="none" w:sz="0" w:space="0" w:color="auto"/>
      </w:divBdr>
    </w:div>
    <w:div w:id="1517185513">
      <w:bodyDiv w:val="1"/>
      <w:marLeft w:val="0"/>
      <w:marRight w:val="0"/>
      <w:marTop w:val="0"/>
      <w:marBottom w:val="0"/>
      <w:divBdr>
        <w:top w:val="none" w:sz="0" w:space="0" w:color="auto"/>
        <w:left w:val="none" w:sz="0" w:space="0" w:color="auto"/>
        <w:bottom w:val="none" w:sz="0" w:space="0" w:color="auto"/>
        <w:right w:val="none" w:sz="0" w:space="0" w:color="auto"/>
      </w:divBdr>
    </w:div>
    <w:div w:id="1518305130">
      <w:bodyDiv w:val="1"/>
      <w:marLeft w:val="0"/>
      <w:marRight w:val="0"/>
      <w:marTop w:val="0"/>
      <w:marBottom w:val="0"/>
      <w:divBdr>
        <w:top w:val="none" w:sz="0" w:space="0" w:color="auto"/>
        <w:left w:val="none" w:sz="0" w:space="0" w:color="auto"/>
        <w:bottom w:val="none" w:sz="0" w:space="0" w:color="auto"/>
        <w:right w:val="none" w:sz="0" w:space="0" w:color="auto"/>
      </w:divBdr>
    </w:div>
    <w:div w:id="1518810768">
      <w:bodyDiv w:val="1"/>
      <w:marLeft w:val="0"/>
      <w:marRight w:val="0"/>
      <w:marTop w:val="0"/>
      <w:marBottom w:val="0"/>
      <w:divBdr>
        <w:top w:val="none" w:sz="0" w:space="0" w:color="auto"/>
        <w:left w:val="none" w:sz="0" w:space="0" w:color="auto"/>
        <w:bottom w:val="none" w:sz="0" w:space="0" w:color="auto"/>
        <w:right w:val="none" w:sz="0" w:space="0" w:color="auto"/>
      </w:divBdr>
    </w:div>
    <w:div w:id="1519349215">
      <w:bodyDiv w:val="1"/>
      <w:marLeft w:val="0"/>
      <w:marRight w:val="0"/>
      <w:marTop w:val="0"/>
      <w:marBottom w:val="0"/>
      <w:divBdr>
        <w:top w:val="none" w:sz="0" w:space="0" w:color="auto"/>
        <w:left w:val="none" w:sz="0" w:space="0" w:color="auto"/>
        <w:bottom w:val="none" w:sz="0" w:space="0" w:color="auto"/>
        <w:right w:val="none" w:sz="0" w:space="0" w:color="auto"/>
      </w:divBdr>
    </w:div>
    <w:div w:id="1520316977">
      <w:bodyDiv w:val="1"/>
      <w:marLeft w:val="0"/>
      <w:marRight w:val="0"/>
      <w:marTop w:val="0"/>
      <w:marBottom w:val="0"/>
      <w:divBdr>
        <w:top w:val="none" w:sz="0" w:space="0" w:color="auto"/>
        <w:left w:val="none" w:sz="0" w:space="0" w:color="auto"/>
        <w:bottom w:val="none" w:sz="0" w:space="0" w:color="auto"/>
        <w:right w:val="none" w:sz="0" w:space="0" w:color="auto"/>
      </w:divBdr>
    </w:div>
    <w:div w:id="1521354006">
      <w:bodyDiv w:val="1"/>
      <w:marLeft w:val="0"/>
      <w:marRight w:val="0"/>
      <w:marTop w:val="0"/>
      <w:marBottom w:val="0"/>
      <w:divBdr>
        <w:top w:val="none" w:sz="0" w:space="0" w:color="auto"/>
        <w:left w:val="none" w:sz="0" w:space="0" w:color="auto"/>
        <w:bottom w:val="none" w:sz="0" w:space="0" w:color="auto"/>
        <w:right w:val="none" w:sz="0" w:space="0" w:color="auto"/>
      </w:divBdr>
    </w:div>
    <w:div w:id="1523321912">
      <w:bodyDiv w:val="1"/>
      <w:marLeft w:val="0"/>
      <w:marRight w:val="0"/>
      <w:marTop w:val="0"/>
      <w:marBottom w:val="0"/>
      <w:divBdr>
        <w:top w:val="none" w:sz="0" w:space="0" w:color="auto"/>
        <w:left w:val="none" w:sz="0" w:space="0" w:color="auto"/>
        <w:bottom w:val="none" w:sz="0" w:space="0" w:color="auto"/>
        <w:right w:val="none" w:sz="0" w:space="0" w:color="auto"/>
      </w:divBdr>
    </w:div>
    <w:div w:id="1523665141">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4514944">
      <w:bodyDiv w:val="1"/>
      <w:marLeft w:val="0"/>
      <w:marRight w:val="0"/>
      <w:marTop w:val="0"/>
      <w:marBottom w:val="0"/>
      <w:divBdr>
        <w:top w:val="none" w:sz="0" w:space="0" w:color="auto"/>
        <w:left w:val="none" w:sz="0" w:space="0" w:color="auto"/>
        <w:bottom w:val="none" w:sz="0" w:space="0" w:color="auto"/>
        <w:right w:val="none" w:sz="0" w:space="0" w:color="auto"/>
      </w:divBdr>
    </w:div>
    <w:div w:id="1525289144">
      <w:bodyDiv w:val="1"/>
      <w:marLeft w:val="0"/>
      <w:marRight w:val="0"/>
      <w:marTop w:val="0"/>
      <w:marBottom w:val="0"/>
      <w:divBdr>
        <w:top w:val="none" w:sz="0" w:space="0" w:color="auto"/>
        <w:left w:val="none" w:sz="0" w:space="0" w:color="auto"/>
        <w:bottom w:val="none" w:sz="0" w:space="0" w:color="auto"/>
        <w:right w:val="none" w:sz="0" w:space="0" w:color="auto"/>
      </w:divBdr>
    </w:div>
    <w:div w:id="1525359022">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5947970">
      <w:bodyDiv w:val="1"/>
      <w:marLeft w:val="0"/>
      <w:marRight w:val="0"/>
      <w:marTop w:val="0"/>
      <w:marBottom w:val="0"/>
      <w:divBdr>
        <w:top w:val="none" w:sz="0" w:space="0" w:color="auto"/>
        <w:left w:val="none" w:sz="0" w:space="0" w:color="auto"/>
        <w:bottom w:val="none" w:sz="0" w:space="0" w:color="auto"/>
        <w:right w:val="none" w:sz="0" w:space="0" w:color="auto"/>
      </w:divBdr>
    </w:div>
    <w:div w:id="1526480519">
      <w:bodyDiv w:val="1"/>
      <w:marLeft w:val="0"/>
      <w:marRight w:val="0"/>
      <w:marTop w:val="0"/>
      <w:marBottom w:val="0"/>
      <w:divBdr>
        <w:top w:val="none" w:sz="0" w:space="0" w:color="auto"/>
        <w:left w:val="none" w:sz="0" w:space="0" w:color="auto"/>
        <w:bottom w:val="none" w:sz="0" w:space="0" w:color="auto"/>
        <w:right w:val="none" w:sz="0" w:space="0" w:color="auto"/>
      </w:divBdr>
    </w:div>
    <w:div w:id="1527406116">
      <w:bodyDiv w:val="1"/>
      <w:marLeft w:val="0"/>
      <w:marRight w:val="0"/>
      <w:marTop w:val="0"/>
      <w:marBottom w:val="0"/>
      <w:divBdr>
        <w:top w:val="none" w:sz="0" w:space="0" w:color="auto"/>
        <w:left w:val="none" w:sz="0" w:space="0" w:color="auto"/>
        <w:bottom w:val="none" w:sz="0" w:space="0" w:color="auto"/>
        <w:right w:val="none" w:sz="0" w:space="0" w:color="auto"/>
      </w:divBdr>
    </w:div>
    <w:div w:id="1527521768">
      <w:bodyDiv w:val="1"/>
      <w:marLeft w:val="0"/>
      <w:marRight w:val="0"/>
      <w:marTop w:val="0"/>
      <w:marBottom w:val="0"/>
      <w:divBdr>
        <w:top w:val="none" w:sz="0" w:space="0" w:color="auto"/>
        <w:left w:val="none" w:sz="0" w:space="0" w:color="auto"/>
        <w:bottom w:val="none" w:sz="0" w:space="0" w:color="auto"/>
        <w:right w:val="none" w:sz="0" w:space="0" w:color="auto"/>
      </w:divBdr>
    </w:div>
    <w:div w:id="1527862572">
      <w:bodyDiv w:val="1"/>
      <w:marLeft w:val="0"/>
      <w:marRight w:val="0"/>
      <w:marTop w:val="0"/>
      <w:marBottom w:val="0"/>
      <w:divBdr>
        <w:top w:val="none" w:sz="0" w:space="0" w:color="auto"/>
        <w:left w:val="none" w:sz="0" w:space="0" w:color="auto"/>
        <w:bottom w:val="none" w:sz="0" w:space="0" w:color="auto"/>
        <w:right w:val="none" w:sz="0" w:space="0" w:color="auto"/>
      </w:divBdr>
    </w:div>
    <w:div w:id="1528134095">
      <w:bodyDiv w:val="1"/>
      <w:marLeft w:val="0"/>
      <w:marRight w:val="0"/>
      <w:marTop w:val="0"/>
      <w:marBottom w:val="0"/>
      <w:divBdr>
        <w:top w:val="none" w:sz="0" w:space="0" w:color="auto"/>
        <w:left w:val="none" w:sz="0" w:space="0" w:color="auto"/>
        <w:bottom w:val="none" w:sz="0" w:space="0" w:color="auto"/>
        <w:right w:val="none" w:sz="0" w:space="0" w:color="auto"/>
      </w:divBdr>
    </w:div>
    <w:div w:id="1528716537">
      <w:bodyDiv w:val="1"/>
      <w:marLeft w:val="0"/>
      <w:marRight w:val="0"/>
      <w:marTop w:val="0"/>
      <w:marBottom w:val="0"/>
      <w:divBdr>
        <w:top w:val="none" w:sz="0" w:space="0" w:color="auto"/>
        <w:left w:val="none" w:sz="0" w:space="0" w:color="auto"/>
        <w:bottom w:val="none" w:sz="0" w:space="0" w:color="auto"/>
        <w:right w:val="none" w:sz="0" w:space="0" w:color="auto"/>
      </w:divBdr>
    </w:div>
    <w:div w:id="152964154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025699">
      <w:bodyDiv w:val="1"/>
      <w:marLeft w:val="0"/>
      <w:marRight w:val="0"/>
      <w:marTop w:val="0"/>
      <w:marBottom w:val="0"/>
      <w:divBdr>
        <w:top w:val="none" w:sz="0" w:space="0" w:color="auto"/>
        <w:left w:val="none" w:sz="0" w:space="0" w:color="auto"/>
        <w:bottom w:val="none" w:sz="0" w:space="0" w:color="auto"/>
        <w:right w:val="none" w:sz="0" w:space="0" w:color="auto"/>
      </w:divBdr>
    </w:div>
    <w:div w:id="15306855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2144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184509">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2376548">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190682">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5728309">
      <w:bodyDiv w:val="1"/>
      <w:marLeft w:val="0"/>
      <w:marRight w:val="0"/>
      <w:marTop w:val="0"/>
      <w:marBottom w:val="0"/>
      <w:divBdr>
        <w:top w:val="none" w:sz="0" w:space="0" w:color="auto"/>
        <w:left w:val="none" w:sz="0" w:space="0" w:color="auto"/>
        <w:bottom w:val="none" w:sz="0" w:space="0" w:color="auto"/>
        <w:right w:val="none" w:sz="0" w:space="0" w:color="auto"/>
      </w:divBdr>
    </w:div>
    <w:div w:id="1536964274">
      <w:bodyDiv w:val="1"/>
      <w:marLeft w:val="0"/>
      <w:marRight w:val="0"/>
      <w:marTop w:val="0"/>
      <w:marBottom w:val="0"/>
      <w:divBdr>
        <w:top w:val="none" w:sz="0" w:space="0" w:color="auto"/>
        <w:left w:val="none" w:sz="0" w:space="0" w:color="auto"/>
        <w:bottom w:val="none" w:sz="0" w:space="0" w:color="auto"/>
        <w:right w:val="none" w:sz="0" w:space="0" w:color="auto"/>
      </w:divBdr>
    </w:div>
    <w:div w:id="153703698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38548428">
      <w:bodyDiv w:val="1"/>
      <w:marLeft w:val="0"/>
      <w:marRight w:val="0"/>
      <w:marTop w:val="0"/>
      <w:marBottom w:val="0"/>
      <w:divBdr>
        <w:top w:val="none" w:sz="0" w:space="0" w:color="auto"/>
        <w:left w:val="none" w:sz="0" w:space="0" w:color="auto"/>
        <w:bottom w:val="none" w:sz="0" w:space="0" w:color="auto"/>
        <w:right w:val="none" w:sz="0" w:space="0" w:color="auto"/>
      </w:divBdr>
    </w:div>
    <w:div w:id="1539125082">
      <w:bodyDiv w:val="1"/>
      <w:marLeft w:val="0"/>
      <w:marRight w:val="0"/>
      <w:marTop w:val="0"/>
      <w:marBottom w:val="0"/>
      <w:divBdr>
        <w:top w:val="none" w:sz="0" w:space="0" w:color="auto"/>
        <w:left w:val="none" w:sz="0" w:space="0" w:color="auto"/>
        <w:bottom w:val="none" w:sz="0" w:space="0" w:color="auto"/>
        <w:right w:val="none" w:sz="0" w:space="0" w:color="auto"/>
      </w:divBdr>
    </w:div>
    <w:div w:id="1539390120">
      <w:bodyDiv w:val="1"/>
      <w:marLeft w:val="0"/>
      <w:marRight w:val="0"/>
      <w:marTop w:val="0"/>
      <w:marBottom w:val="0"/>
      <w:divBdr>
        <w:top w:val="none" w:sz="0" w:space="0" w:color="auto"/>
        <w:left w:val="none" w:sz="0" w:space="0" w:color="auto"/>
        <w:bottom w:val="none" w:sz="0" w:space="0" w:color="auto"/>
        <w:right w:val="none" w:sz="0" w:space="0" w:color="auto"/>
      </w:divBdr>
    </w:div>
    <w:div w:id="1539734559">
      <w:bodyDiv w:val="1"/>
      <w:marLeft w:val="0"/>
      <w:marRight w:val="0"/>
      <w:marTop w:val="0"/>
      <w:marBottom w:val="0"/>
      <w:divBdr>
        <w:top w:val="none" w:sz="0" w:space="0" w:color="auto"/>
        <w:left w:val="none" w:sz="0" w:space="0" w:color="auto"/>
        <w:bottom w:val="none" w:sz="0" w:space="0" w:color="auto"/>
        <w:right w:val="none" w:sz="0" w:space="0" w:color="auto"/>
      </w:divBdr>
    </w:div>
    <w:div w:id="1540162894">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1699094">
      <w:bodyDiv w:val="1"/>
      <w:marLeft w:val="0"/>
      <w:marRight w:val="0"/>
      <w:marTop w:val="0"/>
      <w:marBottom w:val="0"/>
      <w:divBdr>
        <w:top w:val="none" w:sz="0" w:space="0" w:color="auto"/>
        <w:left w:val="none" w:sz="0" w:space="0" w:color="auto"/>
        <w:bottom w:val="none" w:sz="0" w:space="0" w:color="auto"/>
        <w:right w:val="none" w:sz="0" w:space="0" w:color="auto"/>
      </w:divBdr>
    </w:div>
    <w:div w:id="1542009878">
      <w:bodyDiv w:val="1"/>
      <w:marLeft w:val="0"/>
      <w:marRight w:val="0"/>
      <w:marTop w:val="0"/>
      <w:marBottom w:val="0"/>
      <w:divBdr>
        <w:top w:val="none" w:sz="0" w:space="0" w:color="auto"/>
        <w:left w:val="none" w:sz="0" w:space="0" w:color="auto"/>
        <w:bottom w:val="none" w:sz="0" w:space="0" w:color="auto"/>
        <w:right w:val="none" w:sz="0" w:space="0" w:color="auto"/>
      </w:divBdr>
    </w:div>
    <w:div w:id="1542471318">
      <w:bodyDiv w:val="1"/>
      <w:marLeft w:val="0"/>
      <w:marRight w:val="0"/>
      <w:marTop w:val="0"/>
      <w:marBottom w:val="0"/>
      <w:divBdr>
        <w:top w:val="none" w:sz="0" w:space="0" w:color="auto"/>
        <w:left w:val="none" w:sz="0" w:space="0" w:color="auto"/>
        <w:bottom w:val="none" w:sz="0" w:space="0" w:color="auto"/>
        <w:right w:val="none" w:sz="0" w:space="0" w:color="auto"/>
      </w:divBdr>
    </w:div>
    <w:div w:id="1542859035">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3784038">
      <w:bodyDiv w:val="1"/>
      <w:marLeft w:val="0"/>
      <w:marRight w:val="0"/>
      <w:marTop w:val="0"/>
      <w:marBottom w:val="0"/>
      <w:divBdr>
        <w:top w:val="none" w:sz="0" w:space="0" w:color="auto"/>
        <w:left w:val="none" w:sz="0" w:space="0" w:color="auto"/>
        <w:bottom w:val="none" w:sz="0" w:space="0" w:color="auto"/>
        <w:right w:val="none" w:sz="0" w:space="0" w:color="auto"/>
      </w:divBdr>
    </w:div>
    <w:div w:id="1544950252">
      <w:bodyDiv w:val="1"/>
      <w:marLeft w:val="0"/>
      <w:marRight w:val="0"/>
      <w:marTop w:val="0"/>
      <w:marBottom w:val="0"/>
      <w:divBdr>
        <w:top w:val="none" w:sz="0" w:space="0" w:color="auto"/>
        <w:left w:val="none" w:sz="0" w:space="0" w:color="auto"/>
        <w:bottom w:val="none" w:sz="0" w:space="0" w:color="auto"/>
        <w:right w:val="none" w:sz="0" w:space="0" w:color="auto"/>
      </w:divBdr>
    </w:div>
    <w:div w:id="1545409284">
      <w:bodyDiv w:val="1"/>
      <w:marLeft w:val="0"/>
      <w:marRight w:val="0"/>
      <w:marTop w:val="0"/>
      <w:marBottom w:val="0"/>
      <w:divBdr>
        <w:top w:val="none" w:sz="0" w:space="0" w:color="auto"/>
        <w:left w:val="none" w:sz="0" w:space="0" w:color="auto"/>
        <w:bottom w:val="none" w:sz="0" w:space="0" w:color="auto"/>
        <w:right w:val="none" w:sz="0" w:space="0" w:color="auto"/>
      </w:divBdr>
    </w:div>
    <w:div w:id="1546407073">
      <w:bodyDiv w:val="1"/>
      <w:marLeft w:val="0"/>
      <w:marRight w:val="0"/>
      <w:marTop w:val="0"/>
      <w:marBottom w:val="0"/>
      <w:divBdr>
        <w:top w:val="none" w:sz="0" w:space="0" w:color="auto"/>
        <w:left w:val="none" w:sz="0" w:space="0" w:color="auto"/>
        <w:bottom w:val="none" w:sz="0" w:space="0" w:color="auto"/>
        <w:right w:val="none" w:sz="0" w:space="0" w:color="auto"/>
      </w:divBdr>
    </w:div>
    <w:div w:id="154810214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224465">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0219680">
      <w:bodyDiv w:val="1"/>
      <w:marLeft w:val="0"/>
      <w:marRight w:val="0"/>
      <w:marTop w:val="0"/>
      <w:marBottom w:val="0"/>
      <w:divBdr>
        <w:top w:val="none" w:sz="0" w:space="0" w:color="auto"/>
        <w:left w:val="none" w:sz="0" w:space="0" w:color="auto"/>
        <w:bottom w:val="none" w:sz="0" w:space="0" w:color="auto"/>
        <w:right w:val="none" w:sz="0" w:space="0" w:color="auto"/>
      </w:divBdr>
    </w:div>
    <w:div w:id="1550995520">
      <w:bodyDiv w:val="1"/>
      <w:marLeft w:val="0"/>
      <w:marRight w:val="0"/>
      <w:marTop w:val="0"/>
      <w:marBottom w:val="0"/>
      <w:divBdr>
        <w:top w:val="none" w:sz="0" w:space="0" w:color="auto"/>
        <w:left w:val="none" w:sz="0" w:space="0" w:color="auto"/>
        <w:bottom w:val="none" w:sz="0" w:space="0" w:color="auto"/>
        <w:right w:val="none" w:sz="0" w:space="0" w:color="auto"/>
      </w:divBdr>
    </w:div>
    <w:div w:id="1551070928">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2158399">
      <w:bodyDiv w:val="1"/>
      <w:marLeft w:val="0"/>
      <w:marRight w:val="0"/>
      <w:marTop w:val="0"/>
      <w:marBottom w:val="0"/>
      <w:divBdr>
        <w:top w:val="none" w:sz="0" w:space="0" w:color="auto"/>
        <w:left w:val="none" w:sz="0" w:space="0" w:color="auto"/>
        <w:bottom w:val="none" w:sz="0" w:space="0" w:color="auto"/>
        <w:right w:val="none" w:sz="0" w:space="0" w:color="auto"/>
      </w:divBdr>
    </w:div>
    <w:div w:id="1552616364">
      <w:bodyDiv w:val="1"/>
      <w:marLeft w:val="0"/>
      <w:marRight w:val="0"/>
      <w:marTop w:val="0"/>
      <w:marBottom w:val="0"/>
      <w:divBdr>
        <w:top w:val="none" w:sz="0" w:space="0" w:color="auto"/>
        <w:left w:val="none" w:sz="0" w:space="0" w:color="auto"/>
        <w:bottom w:val="none" w:sz="0" w:space="0" w:color="auto"/>
        <w:right w:val="none" w:sz="0" w:space="0" w:color="auto"/>
      </w:divBdr>
    </w:div>
    <w:div w:id="1553232845">
      <w:bodyDiv w:val="1"/>
      <w:marLeft w:val="0"/>
      <w:marRight w:val="0"/>
      <w:marTop w:val="0"/>
      <w:marBottom w:val="0"/>
      <w:divBdr>
        <w:top w:val="none" w:sz="0" w:space="0" w:color="auto"/>
        <w:left w:val="none" w:sz="0" w:space="0" w:color="auto"/>
        <w:bottom w:val="none" w:sz="0" w:space="0" w:color="auto"/>
        <w:right w:val="none" w:sz="0" w:space="0" w:color="auto"/>
      </w:divBdr>
    </w:div>
    <w:div w:id="155342694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92703">
      <w:bodyDiv w:val="1"/>
      <w:marLeft w:val="0"/>
      <w:marRight w:val="0"/>
      <w:marTop w:val="0"/>
      <w:marBottom w:val="0"/>
      <w:divBdr>
        <w:top w:val="none" w:sz="0" w:space="0" w:color="auto"/>
        <w:left w:val="none" w:sz="0" w:space="0" w:color="auto"/>
        <w:bottom w:val="none" w:sz="0" w:space="0" w:color="auto"/>
        <w:right w:val="none" w:sz="0" w:space="0" w:color="auto"/>
      </w:divBdr>
    </w:div>
    <w:div w:id="1554538338">
      <w:bodyDiv w:val="1"/>
      <w:marLeft w:val="0"/>
      <w:marRight w:val="0"/>
      <w:marTop w:val="0"/>
      <w:marBottom w:val="0"/>
      <w:divBdr>
        <w:top w:val="none" w:sz="0" w:space="0" w:color="auto"/>
        <w:left w:val="none" w:sz="0" w:space="0" w:color="auto"/>
        <w:bottom w:val="none" w:sz="0" w:space="0" w:color="auto"/>
        <w:right w:val="none" w:sz="0" w:space="0" w:color="auto"/>
      </w:divBdr>
    </w:div>
    <w:div w:id="1555584243">
      <w:bodyDiv w:val="1"/>
      <w:marLeft w:val="0"/>
      <w:marRight w:val="0"/>
      <w:marTop w:val="0"/>
      <w:marBottom w:val="0"/>
      <w:divBdr>
        <w:top w:val="none" w:sz="0" w:space="0" w:color="auto"/>
        <w:left w:val="none" w:sz="0" w:space="0" w:color="auto"/>
        <w:bottom w:val="none" w:sz="0" w:space="0" w:color="auto"/>
        <w:right w:val="none" w:sz="0" w:space="0" w:color="auto"/>
      </w:divBdr>
    </w:div>
    <w:div w:id="1555853730">
      <w:bodyDiv w:val="1"/>
      <w:marLeft w:val="0"/>
      <w:marRight w:val="0"/>
      <w:marTop w:val="0"/>
      <w:marBottom w:val="0"/>
      <w:divBdr>
        <w:top w:val="none" w:sz="0" w:space="0" w:color="auto"/>
        <w:left w:val="none" w:sz="0" w:space="0" w:color="auto"/>
        <w:bottom w:val="none" w:sz="0" w:space="0" w:color="auto"/>
        <w:right w:val="none" w:sz="0" w:space="0" w:color="auto"/>
      </w:divBdr>
    </w:div>
    <w:div w:id="1557005150">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856434">
      <w:bodyDiv w:val="1"/>
      <w:marLeft w:val="0"/>
      <w:marRight w:val="0"/>
      <w:marTop w:val="0"/>
      <w:marBottom w:val="0"/>
      <w:divBdr>
        <w:top w:val="none" w:sz="0" w:space="0" w:color="auto"/>
        <w:left w:val="none" w:sz="0" w:space="0" w:color="auto"/>
        <w:bottom w:val="none" w:sz="0" w:space="0" w:color="auto"/>
        <w:right w:val="none" w:sz="0" w:space="0" w:color="auto"/>
      </w:divBdr>
    </w:div>
    <w:div w:id="1557934058">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973828">
      <w:bodyDiv w:val="1"/>
      <w:marLeft w:val="0"/>
      <w:marRight w:val="0"/>
      <w:marTop w:val="0"/>
      <w:marBottom w:val="0"/>
      <w:divBdr>
        <w:top w:val="none" w:sz="0" w:space="0" w:color="auto"/>
        <w:left w:val="none" w:sz="0" w:space="0" w:color="auto"/>
        <w:bottom w:val="none" w:sz="0" w:space="0" w:color="auto"/>
        <w:right w:val="none" w:sz="0" w:space="0" w:color="auto"/>
      </w:divBdr>
    </w:div>
    <w:div w:id="1560239137">
      <w:bodyDiv w:val="1"/>
      <w:marLeft w:val="0"/>
      <w:marRight w:val="0"/>
      <w:marTop w:val="0"/>
      <w:marBottom w:val="0"/>
      <w:divBdr>
        <w:top w:val="none" w:sz="0" w:space="0" w:color="auto"/>
        <w:left w:val="none" w:sz="0" w:space="0" w:color="auto"/>
        <w:bottom w:val="none" w:sz="0" w:space="0" w:color="auto"/>
        <w:right w:val="none" w:sz="0" w:space="0" w:color="auto"/>
      </w:divBdr>
    </w:div>
    <w:div w:id="1560438884">
      <w:bodyDiv w:val="1"/>
      <w:marLeft w:val="0"/>
      <w:marRight w:val="0"/>
      <w:marTop w:val="0"/>
      <w:marBottom w:val="0"/>
      <w:divBdr>
        <w:top w:val="none" w:sz="0" w:space="0" w:color="auto"/>
        <w:left w:val="none" w:sz="0" w:space="0" w:color="auto"/>
        <w:bottom w:val="none" w:sz="0" w:space="0" w:color="auto"/>
        <w:right w:val="none" w:sz="0" w:space="0" w:color="auto"/>
      </w:divBdr>
    </w:div>
    <w:div w:id="1560477856">
      <w:bodyDiv w:val="1"/>
      <w:marLeft w:val="0"/>
      <w:marRight w:val="0"/>
      <w:marTop w:val="0"/>
      <w:marBottom w:val="0"/>
      <w:divBdr>
        <w:top w:val="none" w:sz="0" w:space="0" w:color="auto"/>
        <w:left w:val="none" w:sz="0" w:space="0" w:color="auto"/>
        <w:bottom w:val="none" w:sz="0" w:space="0" w:color="auto"/>
        <w:right w:val="none" w:sz="0" w:space="0" w:color="auto"/>
      </w:divBdr>
    </w:div>
    <w:div w:id="1561945363">
      <w:bodyDiv w:val="1"/>
      <w:marLeft w:val="0"/>
      <w:marRight w:val="0"/>
      <w:marTop w:val="0"/>
      <w:marBottom w:val="0"/>
      <w:divBdr>
        <w:top w:val="none" w:sz="0" w:space="0" w:color="auto"/>
        <w:left w:val="none" w:sz="0" w:space="0" w:color="auto"/>
        <w:bottom w:val="none" w:sz="0" w:space="0" w:color="auto"/>
        <w:right w:val="none" w:sz="0" w:space="0" w:color="auto"/>
      </w:divBdr>
    </w:div>
    <w:div w:id="1562591589">
      <w:bodyDiv w:val="1"/>
      <w:marLeft w:val="0"/>
      <w:marRight w:val="0"/>
      <w:marTop w:val="0"/>
      <w:marBottom w:val="0"/>
      <w:divBdr>
        <w:top w:val="none" w:sz="0" w:space="0" w:color="auto"/>
        <w:left w:val="none" w:sz="0" w:space="0" w:color="auto"/>
        <w:bottom w:val="none" w:sz="0" w:space="0" w:color="auto"/>
        <w:right w:val="none" w:sz="0" w:space="0" w:color="auto"/>
      </w:divBdr>
    </w:div>
    <w:div w:id="1562793370">
      <w:bodyDiv w:val="1"/>
      <w:marLeft w:val="0"/>
      <w:marRight w:val="0"/>
      <w:marTop w:val="0"/>
      <w:marBottom w:val="0"/>
      <w:divBdr>
        <w:top w:val="none" w:sz="0" w:space="0" w:color="auto"/>
        <w:left w:val="none" w:sz="0" w:space="0" w:color="auto"/>
        <w:bottom w:val="none" w:sz="0" w:space="0" w:color="auto"/>
        <w:right w:val="none" w:sz="0" w:space="0" w:color="auto"/>
      </w:divBdr>
    </w:div>
    <w:div w:id="1564367052">
      <w:bodyDiv w:val="1"/>
      <w:marLeft w:val="0"/>
      <w:marRight w:val="0"/>
      <w:marTop w:val="0"/>
      <w:marBottom w:val="0"/>
      <w:divBdr>
        <w:top w:val="none" w:sz="0" w:space="0" w:color="auto"/>
        <w:left w:val="none" w:sz="0" w:space="0" w:color="auto"/>
        <w:bottom w:val="none" w:sz="0" w:space="0" w:color="auto"/>
        <w:right w:val="none" w:sz="0" w:space="0" w:color="auto"/>
      </w:divBdr>
    </w:div>
    <w:div w:id="1564684274">
      <w:bodyDiv w:val="1"/>
      <w:marLeft w:val="0"/>
      <w:marRight w:val="0"/>
      <w:marTop w:val="0"/>
      <w:marBottom w:val="0"/>
      <w:divBdr>
        <w:top w:val="none" w:sz="0" w:space="0" w:color="auto"/>
        <w:left w:val="none" w:sz="0" w:space="0" w:color="auto"/>
        <w:bottom w:val="none" w:sz="0" w:space="0" w:color="auto"/>
        <w:right w:val="none" w:sz="0" w:space="0" w:color="auto"/>
      </w:divBdr>
    </w:div>
    <w:div w:id="1568146240">
      <w:bodyDiv w:val="1"/>
      <w:marLeft w:val="0"/>
      <w:marRight w:val="0"/>
      <w:marTop w:val="0"/>
      <w:marBottom w:val="0"/>
      <w:divBdr>
        <w:top w:val="none" w:sz="0" w:space="0" w:color="auto"/>
        <w:left w:val="none" w:sz="0" w:space="0" w:color="auto"/>
        <w:bottom w:val="none" w:sz="0" w:space="0" w:color="auto"/>
        <w:right w:val="none" w:sz="0" w:space="0" w:color="auto"/>
      </w:divBdr>
    </w:div>
    <w:div w:id="1568610309">
      <w:bodyDiv w:val="1"/>
      <w:marLeft w:val="0"/>
      <w:marRight w:val="0"/>
      <w:marTop w:val="0"/>
      <w:marBottom w:val="0"/>
      <w:divBdr>
        <w:top w:val="none" w:sz="0" w:space="0" w:color="auto"/>
        <w:left w:val="none" w:sz="0" w:space="0" w:color="auto"/>
        <w:bottom w:val="none" w:sz="0" w:space="0" w:color="auto"/>
        <w:right w:val="none" w:sz="0" w:space="0" w:color="auto"/>
      </w:divBdr>
    </w:div>
    <w:div w:id="1568688252">
      <w:bodyDiv w:val="1"/>
      <w:marLeft w:val="0"/>
      <w:marRight w:val="0"/>
      <w:marTop w:val="0"/>
      <w:marBottom w:val="0"/>
      <w:divBdr>
        <w:top w:val="none" w:sz="0" w:space="0" w:color="auto"/>
        <w:left w:val="none" w:sz="0" w:space="0" w:color="auto"/>
        <w:bottom w:val="none" w:sz="0" w:space="0" w:color="auto"/>
        <w:right w:val="none" w:sz="0" w:space="0" w:color="auto"/>
      </w:divBdr>
    </w:div>
    <w:div w:id="1569608203">
      <w:bodyDiv w:val="1"/>
      <w:marLeft w:val="0"/>
      <w:marRight w:val="0"/>
      <w:marTop w:val="0"/>
      <w:marBottom w:val="0"/>
      <w:divBdr>
        <w:top w:val="none" w:sz="0" w:space="0" w:color="auto"/>
        <w:left w:val="none" w:sz="0" w:space="0" w:color="auto"/>
        <w:bottom w:val="none" w:sz="0" w:space="0" w:color="auto"/>
        <w:right w:val="none" w:sz="0" w:space="0" w:color="auto"/>
      </w:divBdr>
    </w:div>
    <w:div w:id="1569806264">
      <w:bodyDiv w:val="1"/>
      <w:marLeft w:val="0"/>
      <w:marRight w:val="0"/>
      <w:marTop w:val="0"/>
      <w:marBottom w:val="0"/>
      <w:divBdr>
        <w:top w:val="none" w:sz="0" w:space="0" w:color="auto"/>
        <w:left w:val="none" w:sz="0" w:space="0" w:color="auto"/>
        <w:bottom w:val="none" w:sz="0" w:space="0" w:color="auto"/>
        <w:right w:val="none" w:sz="0" w:space="0" w:color="auto"/>
      </w:divBdr>
    </w:div>
    <w:div w:id="1570339757">
      <w:bodyDiv w:val="1"/>
      <w:marLeft w:val="0"/>
      <w:marRight w:val="0"/>
      <w:marTop w:val="0"/>
      <w:marBottom w:val="0"/>
      <w:divBdr>
        <w:top w:val="none" w:sz="0" w:space="0" w:color="auto"/>
        <w:left w:val="none" w:sz="0" w:space="0" w:color="auto"/>
        <w:bottom w:val="none" w:sz="0" w:space="0" w:color="auto"/>
        <w:right w:val="none" w:sz="0" w:space="0" w:color="auto"/>
      </w:divBdr>
    </w:div>
    <w:div w:id="1570531930">
      <w:bodyDiv w:val="1"/>
      <w:marLeft w:val="0"/>
      <w:marRight w:val="0"/>
      <w:marTop w:val="0"/>
      <w:marBottom w:val="0"/>
      <w:divBdr>
        <w:top w:val="none" w:sz="0" w:space="0" w:color="auto"/>
        <w:left w:val="none" w:sz="0" w:space="0" w:color="auto"/>
        <w:bottom w:val="none" w:sz="0" w:space="0" w:color="auto"/>
        <w:right w:val="none" w:sz="0" w:space="0" w:color="auto"/>
      </w:divBdr>
    </w:div>
    <w:div w:id="1570767574">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0964582">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3655223">
      <w:bodyDiv w:val="1"/>
      <w:marLeft w:val="0"/>
      <w:marRight w:val="0"/>
      <w:marTop w:val="0"/>
      <w:marBottom w:val="0"/>
      <w:divBdr>
        <w:top w:val="none" w:sz="0" w:space="0" w:color="auto"/>
        <w:left w:val="none" w:sz="0" w:space="0" w:color="auto"/>
        <w:bottom w:val="none" w:sz="0" w:space="0" w:color="auto"/>
        <w:right w:val="none" w:sz="0" w:space="0" w:color="auto"/>
      </w:divBdr>
    </w:div>
    <w:div w:id="1573659534">
      <w:bodyDiv w:val="1"/>
      <w:marLeft w:val="0"/>
      <w:marRight w:val="0"/>
      <w:marTop w:val="0"/>
      <w:marBottom w:val="0"/>
      <w:divBdr>
        <w:top w:val="none" w:sz="0" w:space="0" w:color="auto"/>
        <w:left w:val="none" w:sz="0" w:space="0" w:color="auto"/>
        <w:bottom w:val="none" w:sz="0" w:space="0" w:color="auto"/>
        <w:right w:val="none" w:sz="0" w:space="0" w:color="auto"/>
      </w:divBdr>
    </w:div>
    <w:div w:id="1574268133">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5966268">
      <w:bodyDiv w:val="1"/>
      <w:marLeft w:val="0"/>
      <w:marRight w:val="0"/>
      <w:marTop w:val="0"/>
      <w:marBottom w:val="0"/>
      <w:divBdr>
        <w:top w:val="none" w:sz="0" w:space="0" w:color="auto"/>
        <w:left w:val="none" w:sz="0" w:space="0" w:color="auto"/>
        <w:bottom w:val="none" w:sz="0" w:space="0" w:color="auto"/>
        <w:right w:val="none" w:sz="0" w:space="0" w:color="auto"/>
      </w:divBdr>
    </w:div>
    <w:div w:id="1576208486">
      <w:bodyDiv w:val="1"/>
      <w:marLeft w:val="0"/>
      <w:marRight w:val="0"/>
      <w:marTop w:val="0"/>
      <w:marBottom w:val="0"/>
      <w:divBdr>
        <w:top w:val="none" w:sz="0" w:space="0" w:color="auto"/>
        <w:left w:val="none" w:sz="0" w:space="0" w:color="auto"/>
        <w:bottom w:val="none" w:sz="0" w:space="0" w:color="auto"/>
        <w:right w:val="none" w:sz="0" w:space="0" w:color="auto"/>
      </w:divBdr>
    </w:div>
    <w:div w:id="1576360589">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7125263">
      <w:bodyDiv w:val="1"/>
      <w:marLeft w:val="0"/>
      <w:marRight w:val="0"/>
      <w:marTop w:val="0"/>
      <w:marBottom w:val="0"/>
      <w:divBdr>
        <w:top w:val="none" w:sz="0" w:space="0" w:color="auto"/>
        <w:left w:val="none" w:sz="0" w:space="0" w:color="auto"/>
        <w:bottom w:val="none" w:sz="0" w:space="0" w:color="auto"/>
        <w:right w:val="none" w:sz="0" w:space="0" w:color="auto"/>
      </w:divBdr>
    </w:div>
    <w:div w:id="1577518188">
      <w:bodyDiv w:val="1"/>
      <w:marLeft w:val="0"/>
      <w:marRight w:val="0"/>
      <w:marTop w:val="0"/>
      <w:marBottom w:val="0"/>
      <w:divBdr>
        <w:top w:val="none" w:sz="0" w:space="0" w:color="auto"/>
        <w:left w:val="none" w:sz="0" w:space="0" w:color="auto"/>
        <w:bottom w:val="none" w:sz="0" w:space="0" w:color="auto"/>
        <w:right w:val="none" w:sz="0" w:space="0" w:color="auto"/>
      </w:divBdr>
    </w:div>
    <w:div w:id="1579166072">
      <w:bodyDiv w:val="1"/>
      <w:marLeft w:val="0"/>
      <w:marRight w:val="0"/>
      <w:marTop w:val="0"/>
      <w:marBottom w:val="0"/>
      <w:divBdr>
        <w:top w:val="none" w:sz="0" w:space="0" w:color="auto"/>
        <w:left w:val="none" w:sz="0" w:space="0" w:color="auto"/>
        <w:bottom w:val="none" w:sz="0" w:space="0" w:color="auto"/>
        <w:right w:val="none" w:sz="0" w:space="0" w:color="auto"/>
      </w:divBdr>
    </w:div>
    <w:div w:id="1579174600">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7975334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0674716">
      <w:bodyDiv w:val="1"/>
      <w:marLeft w:val="0"/>
      <w:marRight w:val="0"/>
      <w:marTop w:val="0"/>
      <w:marBottom w:val="0"/>
      <w:divBdr>
        <w:top w:val="none" w:sz="0" w:space="0" w:color="auto"/>
        <w:left w:val="none" w:sz="0" w:space="0" w:color="auto"/>
        <w:bottom w:val="none" w:sz="0" w:space="0" w:color="auto"/>
        <w:right w:val="none" w:sz="0" w:space="0" w:color="auto"/>
      </w:divBdr>
    </w:div>
    <w:div w:id="1581327162">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1910919">
      <w:bodyDiv w:val="1"/>
      <w:marLeft w:val="0"/>
      <w:marRight w:val="0"/>
      <w:marTop w:val="0"/>
      <w:marBottom w:val="0"/>
      <w:divBdr>
        <w:top w:val="none" w:sz="0" w:space="0" w:color="auto"/>
        <w:left w:val="none" w:sz="0" w:space="0" w:color="auto"/>
        <w:bottom w:val="none" w:sz="0" w:space="0" w:color="auto"/>
        <w:right w:val="none" w:sz="0" w:space="0" w:color="auto"/>
      </w:divBdr>
    </w:div>
    <w:div w:id="1582371717">
      <w:bodyDiv w:val="1"/>
      <w:marLeft w:val="0"/>
      <w:marRight w:val="0"/>
      <w:marTop w:val="0"/>
      <w:marBottom w:val="0"/>
      <w:divBdr>
        <w:top w:val="none" w:sz="0" w:space="0" w:color="auto"/>
        <w:left w:val="none" w:sz="0" w:space="0" w:color="auto"/>
        <w:bottom w:val="none" w:sz="0" w:space="0" w:color="auto"/>
        <w:right w:val="none" w:sz="0" w:space="0" w:color="auto"/>
      </w:divBdr>
    </w:div>
    <w:div w:id="1582829751">
      <w:bodyDiv w:val="1"/>
      <w:marLeft w:val="0"/>
      <w:marRight w:val="0"/>
      <w:marTop w:val="0"/>
      <w:marBottom w:val="0"/>
      <w:divBdr>
        <w:top w:val="none" w:sz="0" w:space="0" w:color="auto"/>
        <w:left w:val="none" w:sz="0" w:space="0" w:color="auto"/>
        <w:bottom w:val="none" w:sz="0" w:space="0" w:color="auto"/>
        <w:right w:val="none" w:sz="0" w:space="0" w:color="auto"/>
      </w:divBdr>
    </w:div>
    <w:div w:id="1582831670">
      <w:bodyDiv w:val="1"/>
      <w:marLeft w:val="0"/>
      <w:marRight w:val="0"/>
      <w:marTop w:val="0"/>
      <w:marBottom w:val="0"/>
      <w:divBdr>
        <w:top w:val="none" w:sz="0" w:space="0" w:color="auto"/>
        <w:left w:val="none" w:sz="0" w:space="0" w:color="auto"/>
        <w:bottom w:val="none" w:sz="0" w:space="0" w:color="auto"/>
        <w:right w:val="none" w:sz="0" w:space="0" w:color="auto"/>
      </w:divBdr>
    </w:div>
    <w:div w:id="1583174562">
      <w:bodyDiv w:val="1"/>
      <w:marLeft w:val="0"/>
      <w:marRight w:val="0"/>
      <w:marTop w:val="0"/>
      <w:marBottom w:val="0"/>
      <w:divBdr>
        <w:top w:val="none" w:sz="0" w:space="0" w:color="auto"/>
        <w:left w:val="none" w:sz="0" w:space="0" w:color="auto"/>
        <w:bottom w:val="none" w:sz="0" w:space="0" w:color="auto"/>
        <w:right w:val="none" w:sz="0" w:space="0" w:color="auto"/>
      </w:divBdr>
    </w:div>
    <w:div w:id="1584417372">
      <w:bodyDiv w:val="1"/>
      <w:marLeft w:val="0"/>
      <w:marRight w:val="0"/>
      <w:marTop w:val="0"/>
      <w:marBottom w:val="0"/>
      <w:divBdr>
        <w:top w:val="none" w:sz="0" w:space="0" w:color="auto"/>
        <w:left w:val="none" w:sz="0" w:space="0" w:color="auto"/>
        <w:bottom w:val="none" w:sz="0" w:space="0" w:color="auto"/>
        <w:right w:val="none" w:sz="0" w:space="0" w:color="auto"/>
      </w:divBdr>
    </w:div>
    <w:div w:id="1584531371">
      <w:bodyDiv w:val="1"/>
      <w:marLeft w:val="0"/>
      <w:marRight w:val="0"/>
      <w:marTop w:val="0"/>
      <w:marBottom w:val="0"/>
      <w:divBdr>
        <w:top w:val="none" w:sz="0" w:space="0" w:color="auto"/>
        <w:left w:val="none" w:sz="0" w:space="0" w:color="auto"/>
        <w:bottom w:val="none" w:sz="0" w:space="0" w:color="auto"/>
        <w:right w:val="none" w:sz="0" w:space="0" w:color="auto"/>
      </w:divBdr>
    </w:div>
    <w:div w:id="158468496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85645570">
      <w:bodyDiv w:val="1"/>
      <w:marLeft w:val="0"/>
      <w:marRight w:val="0"/>
      <w:marTop w:val="0"/>
      <w:marBottom w:val="0"/>
      <w:divBdr>
        <w:top w:val="none" w:sz="0" w:space="0" w:color="auto"/>
        <w:left w:val="none" w:sz="0" w:space="0" w:color="auto"/>
        <w:bottom w:val="none" w:sz="0" w:space="0" w:color="auto"/>
        <w:right w:val="none" w:sz="0" w:space="0" w:color="auto"/>
      </w:divBdr>
    </w:div>
    <w:div w:id="1586190090">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7108798">
      <w:bodyDiv w:val="1"/>
      <w:marLeft w:val="0"/>
      <w:marRight w:val="0"/>
      <w:marTop w:val="0"/>
      <w:marBottom w:val="0"/>
      <w:divBdr>
        <w:top w:val="none" w:sz="0" w:space="0" w:color="auto"/>
        <w:left w:val="none" w:sz="0" w:space="0" w:color="auto"/>
        <w:bottom w:val="none" w:sz="0" w:space="0" w:color="auto"/>
        <w:right w:val="none" w:sz="0" w:space="0" w:color="auto"/>
      </w:divBdr>
    </w:div>
    <w:div w:id="1587573619">
      <w:bodyDiv w:val="1"/>
      <w:marLeft w:val="0"/>
      <w:marRight w:val="0"/>
      <w:marTop w:val="0"/>
      <w:marBottom w:val="0"/>
      <w:divBdr>
        <w:top w:val="none" w:sz="0" w:space="0" w:color="auto"/>
        <w:left w:val="none" w:sz="0" w:space="0" w:color="auto"/>
        <w:bottom w:val="none" w:sz="0" w:space="0" w:color="auto"/>
        <w:right w:val="none" w:sz="0" w:space="0" w:color="auto"/>
      </w:divBdr>
    </w:div>
    <w:div w:id="1588884456">
      <w:bodyDiv w:val="1"/>
      <w:marLeft w:val="0"/>
      <w:marRight w:val="0"/>
      <w:marTop w:val="0"/>
      <w:marBottom w:val="0"/>
      <w:divBdr>
        <w:top w:val="none" w:sz="0" w:space="0" w:color="auto"/>
        <w:left w:val="none" w:sz="0" w:space="0" w:color="auto"/>
        <w:bottom w:val="none" w:sz="0" w:space="0" w:color="auto"/>
        <w:right w:val="none" w:sz="0" w:space="0" w:color="auto"/>
      </w:divBdr>
    </w:div>
    <w:div w:id="1589117644">
      <w:bodyDiv w:val="1"/>
      <w:marLeft w:val="0"/>
      <w:marRight w:val="0"/>
      <w:marTop w:val="0"/>
      <w:marBottom w:val="0"/>
      <w:divBdr>
        <w:top w:val="none" w:sz="0" w:space="0" w:color="auto"/>
        <w:left w:val="none" w:sz="0" w:space="0" w:color="auto"/>
        <w:bottom w:val="none" w:sz="0" w:space="0" w:color="auto"/>
        <w:right w:val="none" w:sz="0" w:space="0" w:color="auto"/>
      </w:divBdr>
    </w:div>
    <w:div w:id="1589343931">
      <w:bodyDiv w:val="1"/>
      <w:marLeft w:val="0"/>
      <w:marRight w:val="0"/>
      <w:marTop w:val="0"/>
      <w:marBottom w:val="0"/>
      <w:divBdr>
        <w:top w:val="none" w:sz="0" w:space="0" w:color="auto"/>
        <w:left w:val="none" w:sz="0" w:space="0" w:color="auto"/>
        <w:bottom w:val="none" w:sz="0" w:space="0" w:color="auto"/>
        <w:right w:val="none" w:sz="0" w:space="0" w:color="auto"/>
      </w:divBdr>
    </w:div>
    <w:div w:id="1589579196">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1886793">
      <w:bodyDiv w:val="1"/>
      <w:marLeft w:val="0"/>
      <w:marRight w:val="0"/>
      <w:marTop w:val="0"/>
      <w:marBottom w:val="0"/>
      <w:divBdr>
        <w:top w:val="none" w:sz="0" w:space="0" w:color="auto"/>
        <w:left w:val="none" w:sz="0" w:space="0" w:color="auto"/>
        <w:bottom w:val="none" w:sz="0" w:space="0" w:color="auto"/>
        <w:right w:val="none" w:sz="0" w:space="0" w:color="auto"/>
      </w:divBdr>
    </w:div>
    <w:div w:id="1592006181">
      <w:bodyDiv w:val="1"/>
      <w:marLeft w:val="0"/>
      <w:marRight w:val="0"/>
      <w:marTop w:val="0"/>
      <w:marBottom w:val="0"/>
      <w:divBdr>
        <w:top w:val="none" w:sz="0" w:space="0" w:color="auto"/>
        <w:left w:val="none" w:sz="0" w:space="0" w:color="auto"/>
        <w:bottom w:val="none" w:sz="0" w:space="0" w:color="auto"/>
        <w:right w:val="none" w:sz="0" w:space="0" w:color="auto"/>
      </w:divBdr>
    </w:div>
    <w:div w:id="1592006871">
      <w:bodyDiv w:val="1"/>
      <w:marLeft w:val="0"/>
      <w:marRight w:val="0"/>
      <w:marTop w:val="0"/>
      <w:marBottom w:val="0"/>
      <w:divBdr>
        <w:top w:val="none" w:sz="0" w:space="0" w:color="auto"/>
        <w:left w:val="none" w:sz="0" w:space="0" w:color="auto"/>
        <w:bottom w:val="none" w:sz="0" w:space="0" w:color="auto"/>
        <w:right w:val="none" w:sz="0" w:space="0" w:color="auto"/>
      </w:divBdr>
    </w:div>
    <w:div w:id="1592083784">
      <w:bodyDiv w:val="1"/>
      <w:marLeft w:val="0"/>
      <w:marRight w:val="0"/>
      <w:marTop w:val="0"/>
      <w:marBottom w:val="0"/>
      <w:divBdr>
        <w:top w:val="none" w:sz="0" w:space="0" w:color="auto"/>
        <w:left w:val="none" w:sz="0" w:space="0" w:color="auto"/>
        <w:bottom w:val="none" w:sz="0" w:space="0" w:color="auto"/>
        <w:right w:val="none" w:sz="0" w:space="0" w:color="auto"/>
      </w:divBdr>
    </w:div>
    <w:div w:id="1592395860">
      <w:bodyDiv w:val="1"/>
      <w:marLeft w:val="0"/>
      <w:marRight w:val="0"/>
      <w:marTop w:val="0"/>
      <w:marBottom w:val="0"/>
      <w:divBdr>
        <w:top w:val="none" w:sz="0" w:space="0" w:color="auto"/>
        <w:left w:val="none" w:sz="0" w:space="0" w:color="auto"/>
        <w:bottom w:val="none" w:sz="0" w:space="0" w:color="auto"/>
        <w:right w:val="none" w:sz="0" w:space="0" w:color="auto"/>
      </w:divBdr>
    </w:div>
    <w:div w:id="1593276362">
      <w:bodyDiv w:val="1"/>
      <w:marLeft w:val="0"/>
      <w:marRight w:val="0"/>
      <w:marTop w:val="0"/>
      <w:marBottom w:val="0"/>
      <w:divBdr>
        <w:top w:val="none" w:sz="0" w:space="0" w:color="auto"/>
        <w:left w:val="none" w:sz="0" w:space="0" w:color="auto"/>
        <w:bottom w:val="none" w:sz="0" w:space="0" w:color="auto"/>
        <w:right w:val="none" w:sz="0" w:space="0" w:color="auto"/>
      </w:divBdr>
    </w:div>
    <w:div w:id="1594632476">
      <w:bodyDiv w:val="1"/>
      <w:marLeft w:val="0"/>
      <w:marRight w:val="0"/>
      <w:marTop w:val="0"/>
      <w:marBottom w:val="0"/>
      <w:divBdr>
        <w:top w:val="none" w:sz="0" w:space="0" w:color="auto"/>
        <w:left w:val="none" w:sz="0" w:space="0" w:color="auto"/>
        <w:bottom w:val="none" w:sz="0" w:space="0" w:color="auto"/>
        <w:right w:val="none" w:sz="0" w:space="0" w:color="auto"/>
      </w:divBdr>
    </w:div>
    <w:div w:id="1595479658">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6595246">
      <w:bodyDiv w:val="1"/>
      <w:marLeft w:val="0"/>
      <w:marRight w:val="0"/>
      <w:marTop w:val="0"/>
      <w:marBottom w:val="0"/>
      <w:divBdr>
        <w:top w:val="none" w:sz="0" w:space="0" w:color="auto"/>
        <w:left w:val="none" w:sz="0" w:space="0" w:color="auto"/>
        <w:bottom w:val="none" w:sz="0" w:space="0" w:color="auto"/>
        <w:right w:val="none" w:sz="0" w:space="0" w:color="auto"/>
      </w:divBdr>
    </w:div>
    <w:div w:id="1596788288">
      <w:bodyDiv w:val="1"/>
      <w:marLeft w:val="0"/>
      <w:marRight w:val="0"/>
      <w:marTop w:val="0"/>
      <w:marBottom w:val="0"/>
      <w:divBdr>
        <w:top w:val="none" w:sz="0" w:space="0" w:color="auto"/>
        <w:left w:val="none" w:sz="0" w:space="0" w:color="auto"/>
        <w:bottom w:val="none" w:sz="0" w:space="0" w:color="auto"/>
        <w:right w:val="none" w:sz="0" w:space="0" w:color="auto"/>
      </w:divBdr>
    </w:div>
    <w:div w:id="1596792267">
      <w:bodyDiv w:val="1"/>
      <w:marLeft w:val="0"/>
      <w:marRight w:val="0"/>
      <w:marTop w:val="0"/>
      <w:marBottom w:val="0"/>
      <w:divBdr>
        <w:top w:val="none" w:sz="0" w:space="0" w:color="auto"/>
        <w:left w:val="none" w:sz="0" w:space="0" w:color="auto"/>
        <w:bottom w:val="none" w:sz="0" w:space="0" w:color="auto"/>
        <w:right w:val="none" w:sz="0" w:space="0" w:color="auto"/>
      </w:divBdr>
    </w:div>
    <w:div w:id="1597253785">
      <w:bodyDiv w:val="1"/>
      <w:marLeft w:val="0"/>
      <w:marRight w:val="0"/>
      <w:marTop w:val="0"/>
      <w:marBottom w:val="0"/>
      <w:divBdr>
        <w:top w:val="none" w:sz="0" w:space="0" w:color="auto"/>
        <w:left w:val="none" w:sz="0" w:space="0" w:color="auto"/>
        <w:bottom w:val="none" w:sz="0" w:space="0" w:color="auto"/>
        <w:right w:val="none" w:sz="0" w:space="0" w:color="auto"/>
      </w:divBdr>
    </w:div>
    <w:div w:id="1597400406">
      <w:bodyDiv w:val="1"/>
      <w:marLeft w:val="0"/>
      <w:marRight w:val="0"/>
      <w:marTop w:val="0"/>
      <w:marBottom w:val="0"/>
      <w:divBdr>
        <w:top w:val="none" w:sz="0" w:space="0" w:color="auto"/>
        <w:left w:val="none" w:sz="0" w:space="0" w:color="auto"/>
        <w:bottom w:val="none" w:sz="0" w:space="0" w:color="auto"/>
        <w:right w:val="none" w:sz="0" w:space="0" w:color="auto"/>
      </w:divBdr>
    </w:div>
    <w:div w:id="1597708062">
      <w:bodyDiv w:val="1"/>
      <w:marLeft w:val="0"/>
      <w:marRight w:val="0"/>
      <w:marTop w:val="0"/>
      <w:marBottom w:val="0"/>
      <w:divBdr>
        <w:top w:val="none" w:sz="0" w:space="0" w:color="auto"/>
        <w:left w:val="none" w:sz="0" w:space="0" w:color="auto"/>
        <w:bottom w:val="none" w:sz="0" w:space="0" w:color="auto"/>
        <w:right w:val="none" w:sz="0" w:space="0" w:color="auto"/>
      </w:divBdr>
    </w:div>
    <w:div w:id="1598633091">
      <w:bodyDiv w:val="1"/>
      <w:marLeft w:val="0"/>
      <w:marRight w:val="0"/>
      <w:marTop w:val="0"/>
      <w:marBottom w:val="0"/>
      <w:divBdr>
        <w:top w:val="none" w:sz="0" w:space="0" w:color="auto"/>
        <w:left w:val="none" w:sz="0" w:space="0" w:color="auto"/>
        <w:bottom w:val="none" w:sz="0" w:space="0" w:color="auto"/>
        <w:right w:val="none" w:sz="0" w:space="0" w:color="auto"/>
      </w:divBdr>
    </w:div>
    <w:div w:id="1600213579">
      <w:bodyDiv w:val="1"/>
      <w:marLeft w:val="0"/>
      <w:marRight w:val="0"/>
      <w:marTop w:val="0"/>
      <w:marBottom w:val="0"/>
      <w:divBdr>
        <w:top w:val="none" w:sz="0" w:space="0" w:color="auto"/>
        <w:left w:val="none" w:sz="0" w:space="0" w:color="auto"/>
        <w:bottom w:val="none" w:sz="0" w:space="0" w:color="auto"/>
        <w:right w:val="none" w:sz="0" w:space="0" w:color="auto"/>
      </w:divBdr>
    </w:div>
    <w:div w:id="1600680938">
      <w:bodyDiv w:val="1"/>
      <w:marLeft w:val="0"/>
      <w:marRight w:val="0"/>
      <w:marTop w:val="0"/>
      <w:marBottom w:val="0"/>
      <w:divBdr>
        <w:top w:val="none" w:sz="0" w:space="0" w:color="auto"/>
        <w:left w:val="none" w:sz="0" w:space="0" w:color="auto"/>
        <w:bottom w:val="none" w:sz="0" w:space="0" w:color="auto"/>
        <w:right w:val="none" w:sz="0" w:space="0" w:color="auto"/>
      </w:divBdr>
    </w:div>
    <w:div w:id="1600718782">
      <w:bodyDiv w:val="1"/>
      <w:marLeft w:val="0"/>
      <w:marRight w:val="0"/>
      <w:marTop w:val="0"/>
      <w:marBottom w:val="0"/>
      <w:divBdr>
        <w:top w:val="none" w:sz="0" w:space="0" w:color="auto"/>
        <w:left w:val="none" w:sz="0" w:space="0" w:color="auto"/>
        <w:bottom w:val="none" w:sz="0" w:space="0" w:color="auto"/>
        <w:right w:val="none" w:sz="0" w:space="0" w:color="auto"/>
      </w:divBdr>
    </w:div>
    <w:div w:id="1601373430">
      <w:bodyDiv w:val="1"/>
      <w:marLeft w:val="0"/>
      <w:marRight w:val="0"/>
      <w:marTop w:val="0"/>
      <w:marBottom w:val="0"/>
      <w:divBdr>
        <w:top w:val="none" w:sz="0" w:space="0" w:color="auto"/>
        <w:left w:val="none" w:sz="0" w:space="0" w:color="auto"/>
        <w:bottom w:val="none" w:sz="0" w:space="0" w:color="auto"/>
        <w:right w:val="none" w:sz="0" w:space="0" w:color="auto"/>
      </w:divBdr>
    </w:div>
    <w:div w:id="1601714640">
      <w:bodyDiv w:val="1"/>
      <w:marLeft w:val="0"/>
      <w:marRight w:val="0"/>
      <w:marTop w:val="0"/>
      <w:marBottom w:val="0"/>
      <w:divBdr>
        <w:top w:val="none" w:sz="0" w:space="0" w:color="auto"/>
        <w:left w:val="none" w:sz="0" w:space="0" w:color="auto"/>
        <w:bottom w:val="none" w:sz="0" w:space="0" w:color="auto"/>
        <w:right w:val="none" w:sz="0" w:space="0" w:color="auto"/>
      </w:divBdr>
    </w:div>
    <w:div w:id="1601916846">
      <w:bodyDiv w:val="1"/>
      <w:marLeft w:val="0"/>
      <w:marRight w:val="0"/>
      <w:marTop w:val="0"/>
      <w:marBottom w:val="0"/>
      <w:divBdr>
        <w:top w:val="none" w:sz="0" w:space="0" w:color="auto"/>
        <w:left w:val="none" w:sz="0" w:space="0" w:color="auto"/>
        <w:bottom w:val="none" w:sz="0" w:space="0" w:color="auto"/>
        <w:right w:val="none" w:sz="0" w:space="0" w:color="auto"/>
      </w:divBdr>
    </w:div>
    <w:div w:id="1602641377">
      <w:bodyDiv w:val="1"/>
      <w:marLeft w:val="0"/>
      <w:marRight w:val="0"/>
      <w:marTop w:val="0"/>
      <w:marBottom w:val="0"/>
      <w:divBdr>
        <w:top w:val="none" w:sz="0" w:space="0" w:color="auto"/>
        <w:left w:val="none" w:sz="0" w:space="0" w:color="auto"/>
        <w:bottom w:val="none" w:sz="0" w:space="0" w:color="auto"/>
        <w:right w:val="none" w:sz="0" w:space="0" w:color="auto"/>
      </w:divBdr>
    </w:div>
    <w:div w:id="1602685358">
      <w:bodyDiv w:val="1"/>
      <w:marLeft w:val="0"/>
      <w:marRight w:val="0"/>
      <w:marTop w:val="0"/>
      <w:marBottom w:val="0"/>
      <w:divBdr>
        <w:top w:val="none" w:sz="0" w:space="0" w:color="auto"/>
        <w:left w:val="none" w:sz="0" w:space="0" w:color="auto"/>
        <w:bottom w:val="none" w:sz="0" w:space="0" w:color="auto"/>
        <w:right w:val="none" w:sz="0" w:space="0" w:color="auto"/>
      </w:divBdr>
    </w:div>
    <w:div w:id="1603417364">
      <w:bodyDiv w:val="1"/>
      <w:marLeft w:val="0"/>
      <w:marRight w:val="0"/>
      <w:marTop w:val="0"/>
      <w:marBottom w:val="0"/>
      <w:divBdr>
        <w:top w:val="none" w:sz="0" w:space="0" w:color="auto"/>
        <w:left w:val="none" w:sz="0" w:space="0" w:color="auto"/>
        <w:bottom w:val="none" w:sz="0" w:space="0" w:color="auto"/>
        <w:right w:val="none" w:sz="0" w:space="0" w:color="auto"/>
      </w:divBdr>
    </w:div>
    <w:div w:id="1605921671">
      <w:bodyDiv w:val="1"/>
      <w:marLeft w:val="0"/>
      <w:marRight w:val="0"/>
      <w:marTop w:val="0"/>
      <w:marBottom w:val="0"/>
      <w:divBdr>
        <w:top w:val="none" w:sz="0" w:space="0" w:color="auto"/>
        <w:left w:val="none" w:sz="0" w:space="0" w:color="auto"/>
        <w:bottom w:val="none" w:sz="0" w:space="0" w:color="auto"/>
        <w:right w:val="none" w:sz="0" w:space="0" w:color="auto"/>
      </w:divBdr>
    </w:div>
    <w:div w:id="1606839349">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05969">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551060">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2474448">
      <w:bodyDiv w:val="1"/>
      <w:marLeft w:val="0"/>
      <w:marRight w:val="0"/>
      <w:marTop w:val="0"/>
      <w:marBottom w:val="0"/>
      <w:divBdr>
        <w:top w:val="none" w:sz="0" w:space="0" w:color="auto"/>
        <w:left w:val="none" w:sz="0" w:space="0" w:color="auto"/>
        <w:bottom w:val="none" w:sz="0" w:space="0" w:color="auto"/>
        <w:right w:val="none" w:sz="0" w:space="0" w:color="auto"/>
      </w:divBdr>
    </w:div>
    <w:div w:id="1612591714">
      <w:bodyDiv w:val="1"/>
      <w:marLeft w:val="0"/>
      <w:marRight w:val="0"/>
      <w:marTop w:val="0"/>
      <w:marBottom w:val="0"/>
      <w:divBdr>
        <w:top w:val="none" w:sz="0" w:space="0" w:color="auto"/>
        <w:left w:val="none" w:sz="0" w:space="0" w:color="auto"/>
        <w:bottom w:val="none" w:sz="0" w:space="0" w:color="auto"/>
        <w:right w:val="none" w:sz="0" w:space="0" w:color="auto"/>
      </w:divBdr>
    </w:div>
    <w:div w:id="1614291264">
      <w:bodyDiv w:val="1"/>
      <w:marLeft w:val="0"/>
      <w:marRight w:val="0"/>
      <w:marTop w:val="0"/>
      <w:marBottom w:val="0"/>
      <w:divBdr>
        <w:top w:val="none" w:sz="0" w:space="0" w:color="auto"/>
        <w:left w:val="none" w:sz="0" w:space="0" w:color="auto"/>
        <w:bottom w:val="none" w:sz="0" w:space="0" w:color="auto"/>
        <w:right w:val="none" w:sz="0" w:space="0" w:color="auto"/>
      </w:divBdr>
    </w:div>
    <w:div w:id="1614480002">
      <w:bodyDiv w:val="1"/>
      <w:marLeft w:val="0"/>
      <w:marRight w:val="0"/>
      <w:marTop w:val="0"/>
      <w:marBottom w:val="0"/>
      <w:divBdr>
        <w:top w:val="none" w:sz="0" w:space="0" w:color="auto"/>
        <w:left w:val="none" w:sz="0" w:space="0" w:color="auto"/>
        <w:bottom w:val="none" w:sz="0" w:space="0" w:color="auto"/>
        <w:right w:val="none" w:sz="0" w:space="0" w:color="auto"/>
      </w:divBdr>
    </w:div>
    <w:div w:id="1614483133">
      <w:bodyDiv w:val="1"/>
      <w:marLeft w:val="0"/>
      <w:marRight w:val="0"/>
      <w:marTop w:val="0"/>
      <w:marBottom w:val="0"/>
      <w:divBdr>
        <w:top w:val="none" w:sz="0" w:space="0" w:color="auto"/>
        <w:left w:val="none" w:sz="0" w:space="0" w:color="auto"/>
        <w:bottom w:val="none" w:sz="0" w:space="0" w:color="auto"/>
        <w:right w:val="none" w:sz="0" w:space="0" w:color="auto"/>
      </w:divBdr>
    </w:div>
    <w:div w:id="1614902091">
      <w:bodyDiv w:val="1"/>
      <w:marLeft w:val="0"/>
      <w:marRight w:val="0"/>
      <w:marTop w:val="0"/>
      <w:marBottom w:val="0"/>
      <w:divBdr>
        <w:top w:val="none" w:sz="0" w:space="0" w:color="auto"/>
        <w:left w:val="none" w:sz="0" w:space="0" w:color="auto"/>
        <w:bottom w:val="none" w:sz="0" w:space="0" w:color="auto"/>
        <w:right w:val="none" w:sz="0" w:space="0" w:color="auto"/>
      </w:divBdr>
    </w:div>
    <w:div w:id="1614946026">
      <w:bodyDiv w:val="1"/>
      <w:marLeft w:val="0"/>
      <w:marRight w:val="0"/>
      <w:marTop w:val="0"/>
      <w:marBottom w:val="0"/>
      <w:divBdr>
        <w:top w:val="none" w:sz="0" w:space="0" w:color="auto"/>
        <w:left w:val="none" w:sz="0" w:space="0" w:color="auto"/>
        <w:bottom w:val="none" w:sz="0" w:space="0" w:color="auto"/>
        <w:right w:val="none" w:sz="0" w:space="0" w:color="auto"/>
      </w:divBdr>
    </w:div>
    <w:div w:id="1615333088">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131558">
      <w:bodyDiv w:val="1"/>
      <w:marLeft w:val="0"/>
      <w:marRight w:val="0"/>
      <w:marTop w:val="0"/>
      <w:marBottom w:val="0"/>
      <w:divBdr>
        <w:top w:val="none" w:sz="0" w:space="0" w:color="auto"/>
        <w:left w:val="none" w:sz="0" w:space="0" w:color="auto"/>
        <w:bottom w:val="none" w:sz="0" w:space="0" w:color="auto"/>
        <w:right w:val="none" w:sz="0" w:space="0" w:color="auto"/>
      </w:divBdr>
    </w:div>
    <w:div w:id="1616671614">
      <w:bodyDiv w:val="1"/>
      <w:marLeft w:val="0"/>
      <w:marRight w:val="0"/>
      <w:marTop w:val="0"/>
      <w:marBottom w:val="0"/>
      <w:divBdr>
        <w:top w:val="none" w:sz="0" w:space="0" w:color="auto"/>
        <w:left w:val="none" w:sz="0" w:space="0" w:color="auto"/>
        <w:bottom w:val="none" w:sz="0" w:space="0" w:color="auto"/>
        <w:right w:val="none" w:sz="0" w:space="0" w:color="auto"/>
      </w:divBdr>
    </w:div>
    <w:div w:id="161724762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7711331">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18440670">
      <w:bodyDiv w:val="1"/>
      <w:marLeft w:val="0"/>
      <w:marRight w:val="0"/>
      <w:marTop w:val="0"/>
      <w:marBottom w:val="0"/>
      <w:divBdr>
        <w:top w:val="none" w:sz="0" w:space="0" w:color="auto"/>
        <w:left w:val="none" w:sz="0" w:space="0" w:color="auto"/>
        <w:bottom w:val="none" w:sz="0" w:space="0" w:color="auto"/>
        <w:right w:val="none" w:sz="0" w:space="0" w:color="auto"/>
      </w:divBdr>
    </w:div>
    <w:div w:id="1619291237">
      <w:bodyDiv w:val="1"/>
      <w:marLeft w:val="0"/>
      <w:marRight w:val="0"/>
      <w:marTop w:val="0"/>
      <w:marBottom w:val="0"/>
      <w:divBdr>
        <w:top w:val="none" w:sz="0" w:space="0" w:color="auto"/>
        <w:left w:val="none" w:sz="0" w:space="0" w:color="auto"/>
        <w:bottom w:val="none" w:sz="0" w:space="0" w:color="auto"/>
        <w:right w:val="none" w:sz="0" w:space="0" w:color="auto"/>
      </w:divBdr>
    </w:div>
    <w:div w:id="1619557462">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0456711">
      <w:bodyDiv w:val="1"/>
      <w:marLeft w:val="0"/>
      <w:marRight w:val="0"/>
      <w:marTop w:val="0"/>
      <w:marBottom w:val="0"/>
      <w:divBdr>
        <w:top w:val="none" w:sz="0" w:space="0" w:color="auto"/>
        <w:left w:val="none" w:sz="0" w:space="0" w:color="auto"/>
        <w:bottom w:val="none" w:sz="0" w:space="0" w:color="auto"/>
        <w:right w:val="none" w:sz="0" w:space="0" w:color="auto"/>
      </w:divBdr>
    </w:div>
    <w:div w:id="1620721813">
      <w:bodyDiv w:val="1"/>
      <w:marLeft w:val="0"/>
      <w:marRight w:val="0"/>
      <w:marTop w:val="0"/>
      <w:marBottom w:val="0"/>
      <w:divBdr>
        <w:top w:val="none" w:sz="0" w:space="0" w:color="auto"/>
        <w:left w:val="none" w:sz="0" w:space="0" w:color="auto"/>
        <w:bottom w:val="none" w:sz="0" w:space="0" w:color="auto"/>
        <w:right w:val="none" w:sz="0" w:space="0" w:color="auto"/>
      </w:divBdr>
    </w:div>
    <w:div w:id="1620916234">
      <w:bodyDiv w:val="1"/>
      <w:marLeft w:val="0"/>
      <w:marRight w:val="0"/>
      <w:marTop w:val="0"/>
      <w:marBottom w:val="0"/>
      <w:divBdr>
        <w:top w:val="none" w:sz="0" w:space="0" w:color="auto"/>
        <w:left w:val="none" w:sz="0" w:space="0" w:color="auto"/>
        <w:bottom w:val="none" w:sz="0" w:space="0" w:color="auto"/>
        <w:right w:val="none" w:sz="0" w:space="0" w:color="auto"/>
      </w:divBdr>
    </w:div>
    <w:div w:id="1622490833">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23076366">
      <w:bodyDiv w:val="1"/>
      <w:marLeft w:val="0"/>
      <w:marRight w:val="0"/>
      <w:marTop w:val="0"/>
      <w:marBottom w:val="0"/>
      <w:divBdr>
        <w:top w:val="none" w:sz="0" w:space="0" w:color="auto"/>
        <w:left w:val="none" w:sz="0" w:space="0" w:color="auto"/>
        <w:bottom w:val="none" w:sz="0" w:space="0" w:color="auto"/>
        <w:right w:val="none" w:sz="0" w:space="0" w:color="auto"/>
      </w:divBdr>
    </w:div>
    <w:div w:id="1623415860">
      <w:bodyDiv w:val="1"/>
      <w:marLeft w:val="0"/>
      <w:marRight w:val="0"/>
      <w:marTop w:val="0"/>
      <w:marBottom w:val="0"/>
      <w:divBdr>
        <w:top w:val="none" w:sz="0" w:space="0" w:color="auto"/>
        <w:left w:val="none" w:sz="0" w:space="0" w:color="auto"/>
        <w:bottom w:val="none" w:sz="0" w:space="0" w:color="auto"/>
        <w:right w:val="none" w:sz="0" w:space="0" w:color="auto"/>
      </w:divBdr>
    </w:div>
    <w:div w:id="1624379757">
      <w:bodyDiv w:val="1"/>
      <w:marLeft w:val="0"/>
      <w:marRight w:val="0"/>
      <w:marTop w:val="0"/>
      <w:marBottom w:val="0"/>
      <w:divBdr>
        <w:top w:val="none" w:sz="0" w:space="0" w:color="auto"/>
        <w:left w:val="none" w:sz="0" w:space="0" w:color="auto"/>
        <w:bottom w:val="none" w:sz="0" w:space="0" w:color="auto"/>
        <w:right w:val="none" w:sz="0" w:space="0" w:color="auto"/>
      </w:divBdr>
    </w:div>
    <w:div w:id="1624920755">
      <w:bodyDiv w:val="1"/>
      <w:marLeft w:val="0"/>
      <w:marRight w:val="0"/>
      <w:marTop w:val="0"/>
      <w:marBottom w:val="0"/>
      <w:divBdr>
        <w:top w:val="none" w:sz="0" w:space="0" w:color="auto"/>
        <w:left w:val="none" w:sz="0" w:space="0" w:color="auto"/>
        <w:bottom w:val="none" w:sz="0" w:space="0" w:color="auto"/>
        <w:right w:val="none" w:sz="0" w:space="0" w:color="auto"/>
      </w:divBdr>
    </w:div>
    <w:div w:id="1625034917">
      <w:bodyDiv w:val="1"/>
      <w:marLeft w:val="0"/>
      <w:marRight w:val="0"/>
      <w:marTop w:val="0"/>
      <w:marBottom w:val="0"/>
      <w:divBdr>
        <w:top w:val="none" w:sz="0" w:space="0" w:color="auto"/>
        <w:left w:val="none" w:sz="0" w:space="0" w:color="auto"/>
        <w:bottom w:val="none" w:sz="0" w:space="0" w:color="auto"/>
        <w:right w:val="none" w:sz="0" w:space="0" w:color="auto"/>
      </w:divBdr>
    </w:div>
    <w:div w:id="1625623811">
      <w:bodyDiv w:val="1"/>
      <w:marLeft w:val="0"/>
      <w:marRight w:val="0"/>
      <w:marTop w:val="0"/>
      <w:marBottom w:val="0"/>
      <w:divBdr>
        <w:top w:val="none" w:sz="0" w:space="0" w:color="auto"/>
        <w:left w:val="none" w:sz="0" w:space="0" w:color="auto"/>
        <w:bottom w:val="none" w:sz="0" w:space="0" w:color="auto"/>
        <w:right w:val="none" w:sz="0" w:space="0" w:color="auto"/>
      </w:divBdr>
    </w:div>
    <w:div w:id="1626348700">
      <w:bodyDiv w:val="1"/>
      <w:marLeft w:val="0"/>
      <w:marRight w:val="0"/>
      <w:marTop w:val="0"/>
      <w:marBottom w:val="0"/>
      <w:divBdr>
        <w:top w:val="none" w:sz="0" w:space="0" w:color="auto"/>
        <w:left w:val="none" w:sz="0" w:space="0" w:color="auto"/>
        <w:bottom w:val="none" w:sz="0" w:space="0" w:color="auto"/>
        <w:right w:val="none" w:sz="0" w:space="0" w:color="auto"/>
      </w:divBdr>
    </w:div>
    <w:div w:id="1627857033">
      <w:bodyDiv w:val="1"/>
      <w:marLeft w:val="0"/>
      <w:marRight w:val="0"/>
      <w:marTop w:val="0"/>
      <w:marBottom w:val="0"/>
      <w:divBdr>
        <w:top w:val="none" w:sz="0" w:space="0" w:color="auto"/>
        <w:left w:val="none" w:sz="0" w:space="0" w:color="auto"/>
        <w:bottom w:val="none" w:sz="0" w:space="0" w:color="auto"/>
        <w:right w:val="none" w:sz="0" w:space="0" w:color="auto"/>
      </w:divBdr>
    </w:div>
    <w:div w:id="1628396248">
      <w:bodyDiv w:val="1"/>
      <w:marLeft w:val="0"/>
      <w:marRight w:val="0"/>
      <w:marTop w:val="0"/>
      <w:marBottom w:val="0"/>
      <w:divBdr>
        <w:top w:val="none" w:sz="0" w:space="0" w:color="auto"/>
        <w:left w:val="none" w:sz="0" w:space="0" w:color="auto"/>
        <w:bottom w:val="none" w:sz="0" w:space="0" w:color="auto"/>
        <w:right w:val="none" w:sz="0" w:space="0" w:color="auto"/>
      </w:divBdr>
    </w:div>
    <w:div w:id="1628506150">
      <w:bodyDiv w:val="1"/>
      <w:marLeft w:val="0"/>
      <w:marRight w:val="0"/>
      <w:marTop w:val="0"/>
      <w:marBottom w:val="0"/>
      <w:divBdr>
        <w:top w:val="none" w:sz="0" w:space="0" w:color="auto"/>
        <w:left w:val="none" w:sz="0" w:space="0" w:color="auto"/>
        <w:bottom w:val="none" w:sz="0" w:space="0" w:color="auto"/>
        <w:right w:val="none" w:sz="0" w:space="0" w:color="auto"/>
      </w:divBdr>
    </w:div>
    <w:div w:id="1628509239">
      <w:bodyDiv w:val="1"/>
      <w:marLeft w:val="0"/>
      <w:marRight w:val="0"/>
      <w:marTop w:val="0"/>
      <w:marBottom w:val="0"/>
      <w:divBdr>
        <w:top w:val="none" w:sz="0" w:space="0" w:color="auto"/>
        <w:left w:val="none" w:sz="0" w:space="0" w:color="auto"/>
        <w:bottom w:val="none" w:sz="0" w:space="0" w:color="auto"/>
        <w:right w:val="none" w:sz="0" w:space="0" w:color="auto"/>
      </w:divBdr>
    </w:div>
    <w:div w:id="1629428817">
      <w:bodyDiv w:val="1"/>
      <w:marLeft w:val="0"/>
      <w:marRight w:val="0"/>
      <w:marTop w:val="0"/>
      <w:marBottom w:val="0"/>
      <w:divBdr>
        <w:top w:val="none" w:sz="0" w:space="0" w:color="auto"/>
        <w:left w:val="none" w:sz="0" w:space="0" w:color="auto"/>
        <w:bottom w:val="none" w:sz="0" w:space="0" w:color="auto"/>
        <w:right w:val="none" w:sz="0" w:space="0" w:color="auto"/>
      </w:divBdr>
    </w:div>
    <w:div w:id="1630285274">
      <w:bodyDiv w:val="1"/>
      <w:marLeft w:val="0"/>
      <w:marRight w:val="0"/>
      <w:marTop w:val="0"/>
      <w:marBottom w:val="0"/>
      <w:divBdr>
        <w:top w:val="none" w:sz="0" w:space="0" w:color="auto"/>
        <w:left w:val="none" w:sz="0" w:space="0" w:color="auto"/>
        <w:bottom w:val="none" w:sz="0" w:space="0" w:color="auto"/>
        <w:right w:val="none" w:sz="0" w:space="0" w:color="auto"/>
      </w:divBdr>
    </w:div>
    <w:div w:id="1630625126">
      <w:bodyDiv w:val="1"/>
      <w:marLeft w:val="0"/>
      <w:marRight w:val="0"/>
      <w:marTop w:val="0"/>
      <w:marBottom w:val="0"/>
      <w:divBdr>
        <w:top w:val="none" w:sz="0" w:space="0" w:color="auto"/>
        <w:left w:val="none" w:sz="0" w:space="0" w:color="auto"/>
        <w:bottom w:val="none" w:sz="0" w:space="0" w:color="auto"/>
        <w:right w:val="none" w:sz="0" w:space="0" w:color="auto"/>
      </w:divBdr>
    </w:div>
    <w:div w:id="1631549535">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1590813">
      <w:bodyDiv w:val="1"/>
      <w:marLeft w:val="0"/>
      <w:marRight w:val="0"/>
      <w:marTop w:val="0"/>
      <w:marBottom w:val="0"/>
      <w:divBdr>
        <w:top w:val="none" w:sz="0" w:space="0" w:color="auto"/>
        <w:left w:val="none" w:sz="0" w:space="0" w:color="auto"/>
        <w:bottom w:val="none" w:sz="0" w:space="0" w:color="auto"/>
        <w:right w:val="none" w:sz="0" w:space="0" w:color="auto"/>
      </w:divBdr>
    </w:div>
    <w:div w:id="1632591320">
      <w:bodyDiv w:val="1"/>
      <w:marLeft w:val="0"/>
      <w:marRight w:val="0"/>
      <w:marTop w:val="0"/>
      <w:marBottom w:val="0"/>
      <w:divBdr>
        <w:top w:val="none" w:sz="0" w:space="0" w:color="auto"/>
        <w:left w:val="none" w:sz="0" w:space="0" w:color="auto"/>
        <w:bottom w:val="none" w:sz="0" w:space="0" w:color="auto"/>
        <w:right w:val="none" w:sz="0" w:space="0" w:color="auto"/>
      </w:divBdr>
    </w:div>
    <w:div w:id="1633632009">
      <w:bodyDiv w:val="1"/>
      <w:marLeft w:val="0"/>
      <w:marRight w:val="0"/>
      <w:marTop w:val="0"/>
      <w:marBottom w:val="0"/>
      <w:divBdr>
        <w:top w:val="none" w:sz="0" w:space="0" w:color="auto"/>
        <w:left w:val="none" w:sz="0" w:space="0" w:color="auto"/>
        <w:bottom w:val="none" w:sz="0" w:space="0" w:color="auto"/>
        <w:right w:val="none" w:sz="0" w:space="0" w:color="auto"/>
      </w:divBdr>
    </w:div>
    <w:div w:id="1634168426">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6528158">
      <w:bodyDiv w:val="1"/>
      <w:marLeft w:val="0"/>
      <w:marRight w:val="0"/>
      <w:marTop w:val="0"/>
      <w:marBottom w:val="0"/>
      <w:divBdr>
        <w:top w:val="none" w:sz="0" w:space="0" w:color="auto"/>
        <w:left w:val="none" w:sz="0" w:space="0" w:color="auto"/>
        <w:bottom w:val="none" w:sz="0" w:space="0" w:color="auto"/>
        <w:right w:val="none" w:sz="0" w:space="0" w:color="auto"/>
      </w:divBdr>
    </w:div>
    <w:div w:id="1637025383">
      <w:bodyDiv w:val="1"/>
      <w:marLeft w:val="0"/>
      <w:marRight w:val="0"/>
      <w:marTop w:val="0"/>
      <w:marBottom w:val="0"/>
      <w:divBdr>
        <w:top w:val="none" w:sz="0" w:space="0" w:color="auto"/>
        <w:left w:val="none" w:sz="0" w:space="0" w:color="auto"/>
        <w:bottom w:val="none" w:sz="0" w:space="0" w:color="auto"/>
        <w:right w:val="none" w:sz="0" w:space="0" w:color="auto"/>
      </w:divBdr>
    </w:div>
    <w:div w:id="1637295163">
      <w:bodyDiv w:val="1"/>
      <w:marLeft w:val="0"/>
      <w:marRight w:val="0"/>
      <w:marTop w:val="0"/>
      <w:marBottom w:val="0"/>
      <w:divBdr>
        <w:top w:val="none" w:sz="0" w:space="0" w:color="auto"/>
        <w:left w:val="none" w:sz="0" w:space="0" w:color="auto"/>
        <w:bottom w:val="none" w:sz="0" w:space="0" w:color="auto"/>
        <w:right w:val="none" w:sz="0" w:space="0" w:color="auto"/>
      </w:divBdr>
    </w:div>
    <w:div w:id="1637444158">
      <w:bodyDiv w:val="1"/>
      <w:marLeft w:val="0"/>
      <w:marRight w:val="0"/>
      <w:marTop w:val="0"/>
      <w:marBottom w:val="0"/>
      <w:divBdr>
        <w:top w:val="none" w:sz="0" w:space="0" w:color="auto"/>
        <w:left w:val="none" w:sz="0" w:space="0" w:color="auto"/>
        <w:bottom w:val="none" w:sz="0" w:space="0" w:color="auto"/>
        <w:right w:val="none" w:sz="0" w:space="0" w:color="auto"/>
      </w:divBdr>
    </w:div>
    <w:div w:id="1637683200">
      <w:bodyDiv w:val="1"/>
      <w:marLeft w:val="0"/>
      <w:marRight w:val="0"/>
      <w:marTop w:val="0"/>
      <w:marBottom w:val="0"/>
      <w:divBdr>
        <w:top w:val="none" w:sz="0" w:space="0" w:color="auto"/>
        <w:left w:val="none" w:sz="0" w:space="0" w:color="auto"/>
        <w:bottom w:val="none" w:sz="0" w:space="0" w:color="auto"/>
        <w:right w:val="none" w:sz="0" w:space="0" w:color="auto"/>
      </w:divBdr>
    </w:div>
    <w:div w:id="1638680641">
      <w:bodyDiv w:val="1"/>
      <w:marLeft w:val="0"/>
      <w:marRight w:val="0"/>
      <w:marTop w:val="0"/>
      <w:marBottom w:val="0"/>
      <w:divBdr>
        <w:top w:val="none" w:sz="0" w:space="0" w:color="auto"/>
        <w:left w:val="none" w:sz="0" w:space="0" w:color="auto"/>
        <w:bottom w:val="none" w:sz="0" w:space="0" w:color="auto"/>
        <w:right w:val="none" w:sz="0" w:space="0" w:color="auto"/>
      </w:divBdr>
    </w:div>
    <w:div w:id="1639218207">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0307210">
      <w:bodyDiv w:val="1"/>
      <w:marLeft w:val="0"/>
      <w:marRight w:val="0"/>
      <w:marTop w:val="0"/>
      <w:marBottom w:val="0"/>
      <w:divBdr>
        <w:top w:val="none" w:sz="0" w:space="0" w:color="auto"/>
        <w:left w:val="none" w:sz="0" w:space="0" w:color="auto"/>
        <w:bottom w:val="none" w:sz="0" w:space="0" w:color="auto"/>
        <w:right w:val="none" w:sz="0" w:space="0" w:color="auto"/>
      </w:divBdr>
    </w:div>
    <w:div w:id="1642688540">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34354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556">
      <w:bodyDiv w:val="1"/>
      <w:marLeft w:val="0"/>
      <w:marRight w:val="0"/>
      <w:marTop w:val="0"/>
      <w:marBottom w:val="0"/>
      <w:divBdr>
        <w:top w:val="none" w:sz="0" w:space="0" w:color="auto"/>
        <w:left w:val="none" w:sz="0" w:space="0" w:color="auto"/>
        <w:bottom w:val="none" w:sz="0" w:space="0" w:color="auto"/>
        <w:right w:val="none" w:sz="0" w:space="0" w:color="auto"/>
      </w:divBdr>
    </w:div>
    <w:div w:id="1643925188">
      <w:bodyDiv w:val="1"/>
      <w:marLeft w:val="0"/>
      <w:marRight w:val="0"/>
      <w:marTop w:val="0"/>
      <w:marBottom w:val="0"/>
      <w:divBdr>
        <w:top w:val="none" w:sz="0" w:space="0" w:color="auto"/>
        <w:left w:val="none" w:sz="0" w:space="0" w:color="auto"/>
        <w:bottom w:val="none" w:sz="0" w:space="0" w:color="auto"/>
        <w:right w:val="none" w:sz="0" w:space="0" w:color="auto"/>
      </w:divBdr>
    </w:div>
    <w:div w:id="1644312463">
      <w:bodyDiv w:val="1"/>
      <w:marLeft w:val="0"/>
      <w:marRight w:val="0"/>
      <w:marTop w:val="0"/>
      <w:marBottom w:val="0"/>
      <w:divBdr>
        <w:top w:val="none" w:sz="0" w:space="0" w:color="auto"/>
        <w:left w:val="none" w:sz="0" w:space="0" w:color="auto"/>
        <w:bottom w:val="none" w:sz="0" w:space="0" w:color="auto"/>
        <w:right w:val="none" w:sz="0" w:space="0" w:color="auto"/>
      </w:divBdr>
    </w:div>
    <w:div w:id="1644650404">
      <w:bodyDiv w:val="1"/>
      <w:marLeft w:val="0"/>
      <w:marRight w:val="0"/>
      <w:marTop w:val="0"/>
      <w:marBottom w:val="0"/>
      <w:divBdr>
        <w:top w:val="none" w:sz="0" w:space="0" w:color="auto"/>
        <w:left w:val="none" w:sz="0" w:space="0" w:color="auto"/>
        <w:bottom w:val="none" w:sz="0" w:space="0" w:color="auto"/>
        <w:right w:val="none" w:sz="0" w:space="0" w:color="auto"/>
      </w:divBdr>
    </w:div>
    <w:div w:id="1644653411">
      <w:bodyDiv w:val="1"/>
      <w:marLeft w:val="0"/>
      <w:marRight w:val="0"/>
      <w:marTop w:val="0"/>
      <w:marBottom w:val="0"/>
      <w:divBdr>
        <w:top w:val="none" w:sz="0" w:space="0" w:color="auto"/>
        <w:left w:val="none" w:sz="0" w:space="0" w:color="auto"/>
        <w:bottom w:val="none" w:sz="0" w:space="0" w:color="auto"/>
        <w:right w:val="none" w:sz="0" w:space="0" w:color="auto"/>
      </w:divBdr>
    </w:div>
    <w:div w:id="1644847448">
      <w:bodyDiv w:val="1"/>
      <w:marLeft w:val="0"/>
      <w:marRight w:val="0"/>
      <w:marTop w:val="0"/>
      <w:marBottom w:val="0"/>
      <w:divBdr>
        <w:top w:val="none" w:sz="0" w:space="0" w:color="auto"/>
        <w:left w:val="none" w:sz="0" w:space="0" w:color="auto"/>
        <w:bottom w:val="none" w:sz="0" w:space="0" w:color="auto"/>
        <w:right w:val="none" w:sz="0" w:space="0" w:color="auto"/>
      </w:divBdr>
    </w:div>
    <w:div w:id="1645308385">
      <w:bodyDiv w:val="1"/>
      <w:marLeft w:val="0"/>
      <w:marRight w:val="0"/>
      <w:marTop w:val="0"/>
      <w:marBottom w:val="0"/>
      <w:divBdr>
        <w:top w:val="none" w:sz="0" w:space="0" w:color="auto"/>
        <w:left w:val="none" w:sz="0" w:space="0" w:color="auto"/>
        <w:bottom w:val="none" w:sz="0" w:space="0" w:color="auto"/>
        <w:right w:val="none" w:sz="0" w:space="0" w:color="auto"/>
      </w:divBdr>
    </w:div>
    <w:div w:id="1645626404">
      <w:bodyDiv w:val="1"/>
      <w:marLeft w:val="0"/>
      <w:marRight w:val="0"/>
      <w:marTop w:val="0"/>
      <w:marBottom w:val="0"/>
      <w:divBdr>
        <w:top w:val="none" w:sz="0" w:space="0" w:color="auto"/>
        <w:left w:val="none" w:sz="0" w:space="0" w:color="auto"/>
        <w:bottom w:val="none" w:sz="0" w:space="0" w:color="auto"/>
        <w:right w:val="none" w:sz="0" w:space="0" w:color="auto"/>
      </w:divBdr>
    </w:div>
    <w:div w:id="164635619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24439">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0280781">
      <w:bodyDiv w:val="1"/>
      <w:marLeft w:val="0"/>
      <w:marRight w:val="0"/>
      <w:marTop w:val="0"/>
      <w:marBottom w:val="0"/>
      <w:divBdr>
        <w:top w:val="none" w:sz="0" w:space="0" w:color="auto"/>
        <w:left w:val="none" w:sz="0" w:space="0" w:color="auto"/>
        <w:bottom w:val="none" w:sz="0" w:space="0" w:color="auto"/>
        <w:right w:val="none" w:sz="0" w:space="0" w:color="auto"/>
      </w:divBdr>
    </w:div>
    <w:div w:id="1650285170">
      <w:bodyDiv w:val="1"/>
      <w:marLeft w:val="0"/>
      <w:marRight w:val="0"/>
      <w:marTop w:val="0"/>
      <w:marBottom w:val="0"/>
      <w:divBdr>
        <w:top w:val="none" w:sz="0" w:space="0" w:color="auto"/>
        <w:left w:val="none" w:sz="0" w:space="0" w:color="auto"/>
        <w:bottom w:val="none" w:sz="0" w:space="0" w:color="auto"/>
        <w:right w:val="none" w:sz="0" w:space="0" w:color="auto"/>
      </w:divBdr>
    </w:div>
    <w:div w:id="1651329489">
      <w:bodyDiv w:val="1"/>
      <w:marLeft w:val="0"/>
      <w:marRight w:val="0"/>
      <w:marTop w:val="0"/>
      <w:marBottom w:val="0"/>
      <w:divBdr>
        <w:top w:val="none" w:sz="0" w:space="0" w:color="auto"/>
        <w:left w:val="none" w:sz="0" w:space="0" w:color="auto"/>
        <w:bottom w:val="none" w:sz="0" w:space="0" w:color="auto"/>
        <w:right w:val="none" w:sz="0" w:space="0" w:color="auto"/>
      </w:divBdr>
    </w:div>
    <w:div w:id="1651330419">
      <w:bodyDiv w:val="1"/>
      <w:marLeft w:val="0"/>
      <w:marRight w:val="0"/>
      <w:marTop w:val="0"/>
      <w:marBottom w:val="0"/>
      <w:divBdr>
        <w:top w:val="none" w:sz="0" w:space="0" w:color="auto"/>
        <w:left w:val="none" w:sz="0" w:space="0" w:color="auto"/>
        <w:bottom w:val="none" w:sz="0" w:space="0" w:color="auto"/>
        <w:right w:val="none" w:sz="0" w:space="0" w:color="auto"/>
      </w:divBdr>
    </w:div>
    <w:div w:id="1651783217">
      <w:bodyDiv w:val="1"/>
      <w:marLeft w:val="0"/>
      <w:marRight w:val="0"/>
      <w:marTop w:val="0"/>
      <w:marBottom w:val="0"/>
      <w:divBdr>
        <w:top w:val="none" w:sz="0" w:space="0" w:color="auto"/>
        <w:left w:val="none" w:sz="0" w:space="0" w:color="auto"/>
        <w:bottom w:val="none" w:sz="0" w:space="0" w:color="auto"/>
        <w:right w:val="none" w:sz="0" w:space="0" w:color="auto"/>
      </w:divBdr>
    </w:div>
    <w:div w:id="1651789046">
      <w:bodyDiv w:val="1"/>
      <w:marLeft w:val="0"/>
      <w:marRight w:val="0"/>
      <w:marTop w:val="0"/>
      <w:marBottom w:val="0"/>
      <w:divBdr>
        <w:top w:val="none" w:sz="0" w:space="0" w:color="auto"/>
        <w:left w:val="none" w:sz="0" w:space="0" w:color="auto"/>
        <w:bottom w:val="none" w:sz="0" w:space="0" w:color="auto"/>
        <w:right w:val="none" w:sz="0" w:space="0" w:color="auto"/>
      </w:divBdr>
    </w:div>
    <w:div w:id="1652245938">
      <w:bodyDiv w:val="1"/>
      <w:marLeft w:val="0"/>
      <w:marRight w:val="0"/>
      <w:marTop w:val="0"/>
      <w:marBottom w:val="0"/>
      <w:divBdr>
        <w:top w:val="none" w:sz="0" w:space="0" w:color="auto"/>
        <w:left w:val="none" w:sz="0" w:space="0" w:color="auto"/>
        <w:bottom w:val="none" w:sz="0" w:space="0" w:color="auto"/>
        <w:right w:val="none" w:sz="0" w:space="0" w:color="auto"/>
      </w:divBdr>
    </w:div>
    <w:div w:id="1652521645">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060632">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5719044">
      <w:bodyDiv w:val="1"/>
      <w:marLeft w:val="0"/>
      <w:marRight w:val="0"/>
      <w:marTop w:val="0"/>
      <w:marBottom w:val="0"/>
      <w:divBdr>
        <w:top w:val="none" w:sz="0" w:space="0" w:color="auto"/>
        <w:left w:val="none" w:sz="0" w:space="0" w:color="auto"/>
        <w:bottom w:val="none" w:sz="0" w:space="0" w:color="auto"/>
        <w:right w:val="none" w:sz="0" w:space="0" w:color="auto"/>
      </w:divBdr>
    </w:div>
    <w:div w:id="1656177168">
      <w:bodyDiv w:val="1"/>
      <w:marLeft w:val="0"/>
      <w:marRight w:val="0"/>
      <w:marTop w:val="0"/>
      <w:marBottom w:val="0"/>
      <w:divBdr>
        <w:top w:val="none" w:sz="0" w:space="0" w:color="auto"/>
        <w:left w:val="none" w:sz="0" w:space="0" w:color="auto"/>
        <w:bottom w:val="none" w:sz="0" w:space="0" w:color="auto"/>
        <w:right w:val="none" w:sz="0" w:space="0" w:color="auto"/>
      </w:divBdr>
    </w:div>
    <w:div w:id="1656954135">
      <w:bodyDiv w:val="1"/>
      <w:marLeft w:val="0"/>
      <w:marRight w:val="0"/>
      <w:marTop w:val="0"/>
      <w:marBottom w:val="0"/>
      <w:divBdr>
        <w:top w:val="none" w:sz="0" w:space="0" w:color="auto"/>
        <w:left w:val="none" w:sz="0" w:space="0" w:color="auto"/>
        <w:bottom w:val="none" w:sz="0" w:space="0" w:color="auto"/>
        <w:right w:val="none" w:sz="0" w:space="0" w:color="auto"/>
      </w:divBdr>
    </w:div>
    <w:div w:id="1659073931">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037039">
      <w:bodyDiv w:val="1"/>
      <w:marLeft w:val="0"/>
      <w:marRight w:val="0"/>
      <w:marTop w:val="0"/>
      <w:marBottom w:val="0"/>
      <w:divBdr>
        <w:top w:val="none" w:sz="0" w:space="0" w:color="auto"/>
        <w:left w:val="none" w:sz="0" w:space="0" w:color="auto"/>
        <w:bottom w:val="none" w:sz="0" w:space="0" w:color="auto"/>
        <w:right w:val="none" w:sz="0" w:space="0" w:color="auto"/>
      </w:divBdr>
    </w:div>
    <w:div w:id="1660110342">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0842108">
      <w:bodyDiv w:val="1"/>
      <w:marLeft w:val="0"/>
      <w:marRight w:val="0"/>
      <w:marTop w:val="0"/>
      <w:marBottom w:val="0"/>
      <w:divBdr>
        <w:top w:val="none" w:sz="0" w:space="0" w:color="auto"/>
        <w:left w:val="none" w:sz="0" w:space="0" w:color="auto"/>
        <w:bottom w:val="none" w:sz="0" w:space="0" w:color="auto"/>
        <w:right w:val="none" w:sz="0" w:space="0" w:color="auto"/>
      </w:divBdr>
    </w:div>
    <w:div w:id="1660882226">
      <w:bodyDiv w:val="1"/>
      <w:marLeft w:val="0"/>
      <w:marRight w:val="0"/>
      <w:marTop w:val="0"/>
      <w:marBottom w:val="0"/>
      <w:divBdr>
        <w:top w:val="none" w:sz="0" w:space="0" w:color="auto"/>
        <w:left w:val="none" w:sz="0" w:space="0" w:color="auto"/>
        <w:bottom w:val="none" w:sz="0" w:space="0" w:color="auto"/>
        <w:right w:val="none" w:sz="0" w:space="0" w:color="auto"/>
      </w:divBdr>
    </w:div>
    <w:div w:id="1661808805">
      <w:bodyDiv w:val="1"/>
      <w:marLeft w:val="0"/>
      <w:marRight w:val="0"/>
      <w:marTop w:val="0"/>
      <w:marBottom w:val="0"/>
      <w:divBdr>
        <w:top w:val="none" w:sz="0" w:space="0" w:color="auto"/>
        <w:left w:val="none" w:sz="0" w:space="0" w:color="auto"/>
        <w:bottom w:val="none" w:sz="0" w:space="0" w:color="auto"/>
        <w:right w:val="none" w:sz="0" w:space="0" w:color="auto"/>
      </w:divBdr>
    </w:div>
    <w:div w:id="1663197737">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3701925">
      <w:bodyDiv w:val="1"/>
      <w:marLeft w:val="0"/>
      <w:marRight w:val="0"/>
      <w:marTop w:val="0"/>
      <w:marBottom w:val="0"/>
      <w:divBdr>
        <w:top w:val="none" w:sz="0" w:space="0" w:color="auto"/>
        <w:left w:val="none" w:sz="0" w:space="0" w:color="auto"/>
        <w:bottom w:val="none" w:sz="0" w:space="0" w:color="auto"/>
        <w:right w:val="none" w:sz="0" w:space="0" w:color="auto"/>
      </w:divBdr>
    </w:div>
    <w:div w:id="1663705160">
      <w:bodyDiv w:val="1"/>
      <w:marLeft w:val="0"/>
      <w:marRight w:val="0"/>
      <w:marTop w:val="0"/>
      <w:marBottom w:val="0"/>
      <w:divBdr>
        <w:top w:val="none" w:sz="0" w:space="0" w:color="auto"/>
        <w:left w:val="none" w:sz="0" w:space="0" w:color="auto"/>
        <w:bottom w:val="none" w:sz="0" w:space="0" w:color="auto"/>
        <w:right w:val="none" w:sz="0" w:space="0" w:color="auto"/>
      </w:divBdr>
    </w:div>
    <w:div w:id="1664552511">
      <w:bodyDiv w:val="1"/>
      <w:marLeft w:val="0"/>
      <w:marRight w:val="0"/>
      <w:marTop w:val="0"/>
      <w:marBottom w:val="0"/>
      <w:divBdr>
        <w:top w:val="none" w:sz="0" w:space="0" w:color="auto"/>
        <w:left w:val="none" w:sz="0" w:space="0" w:color="auto"/>
        <w:bottom w:val="none" w:sz="0" w:space="0" w:color="auto"/>
        <w:right w:val="none" w:sz="0" w:space="0" w:color="auto"/>
      </w:divBdr>
    </w:div>
    <w:div w:id="1664821227">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4967565">
      <w:bodyDiv w:val="1"/>
      <w:marLeft w:val="0"/>
      <w:marRight w:val="0"/>
      <w:marTop w:val="0"/>
      <w:marBottom w:val="0"/>
      <w:divBdr>
        <w:top w:val="none" w:sz="0" w:space="0" w:color="auto"/>
        <w:left w:val="none" w:sz="0" w:space="0" w:color="auto"/>
        <w:bottom w:val="none" w:sz="0" w:space="0" w:color="auto"/>
        <w:right w:val="none" w:sz="0" w:space="0" w:color="auto"/>
      </w:divBdr>
    </w:div>
    <w:div w:id="1665626619">
      <w:bodyDiv w:val="1"/>
      <w:marLeft w:val="0"/>
      <w:marRight w:val="0"/>
      <w:marTop w:val="0"/>
      <w:marBottom w:val="0"/>
      <w:divBdr>
        <w:top w:val="none" w:sz="0" w:space="0" w:color="auto"/>
        <w:left w:val="none" w:sz="0" w:space="0" w:color="auto"/>
        <w:bottom w:val="none" w:sz="0" w:space="0" w:color="auto"/>
        <w:right w:val="none" w:sz="0" w:space="0" w:color="auto"/>
      </w:divBdr>
    </w:div>
    <w:div w:id="1665862472">
      <w:bodyDiv w:val="1"/>
      <w:marLeft w:val="0"/>
      <w:marRight w:val="0"/>
      <w:marTop w:val="0"/>
      <w:marBottom w:val="0"/>
      <w:divBdr>
        <w:top w:val="none" w:sz="0" w:space="0" w:color="auto"/>
        <w:left w:val="none" w:sz="0" w:space="0" w:color="auto"/>
        <w:bottom w:val="none" w:sz="0" w:space="0" w:color="auto"/>
        <w:right w:val="none" w:sz="0" w:space="0" w:color="auto"/>
      </w:divBdr>
    </w:div>
    <w:div w:id="1665862657">
      <w:bodyDiv w:val="1"/>
      <w:marLeft w:val="0"/>
      <w:marRight w:val="0"/>
      <w:marTop w:val="0"/>
      <w:marBottom w:val="0"/>
      <w:divBdr>
        <w:top w:val="none" w:sz="0" w:space="0" w:color="auto"/>
        <w:left w:val="none" w:sz="0" w:space="0" w:color="auto"/>
        <w:bottom w:val="none" w:sz="0" w:space="0" w:color="auto"/>
        <w:right w:val="none" w:sz="0" w:space="0" w:color="auto"/>
      </w:divBdr>
    </w:div>
    <w:div w:id="1665937402">
      <w:bodyDiv w:val="1"/>
      <w:marLeft w:val="0"/>
      <w:marRight w:val="0"/>
      <w:marTop w:val="0"/>
      <w:marBottom w:val="0"/>
      <w:divBdr>
        <w:top w:val="none" w:sz="0" w:space="0" w:color="auto"/>
        <w:left w:val="none" w:sz="0" w:space="0" w:color="auto"/>
        <w:bottom w:val="none" w:sz="0" w:space="0" w:color="auto"/>
        <w:right w:val="none" w:sz="0" w:space="0" w:color="auto"/>
      </w:divBdr>
    </w:div>
    <w:div w:id="1666129235">
      <w:bodyDiv w:val="1"/>
      <w:marLeft w:val="0"/>
      <w:marRight w:val="0"/>
      <w:marTop w:val="0"/>
      <w:marBottom w:val="0"/>
      <w:divBdr>
        <w:top w:val="none" w:sz="0" w:space="0" w:color="auto"/>
        <w:left w:val="none" w:sz="0" w:space="0" w:color="auto"/>
        <w:bottom w:val="none" w:sz="0" w:space="0" w:color="auto"/>
        <w:right w:val="none" w:sz="0" w:space="0" w:color="auto"/>
      </w:divBdr>
    </w:div>
    <w:div w:id="1666205933">
      <w:bodyDiv w:val="1"/>
      <w:marLeft w:val="0"/>
      <w:marRight w:val="0"/>
      <w:marTop w:val="0"/>
      <w:marBottom w:val="0"/>
      <w:divBdr>
        <w:top w:val="none" w:sz="0" w:space="0" w:color="auto"/>
        <w:left w:val="none" w:sz="0" w:space="0" w:color="auto"/>
        <w:bottom w:val="none" w:sz="0" w:space="0" w:color="auto"/>
        <w:right w:val="none" w:sz="0" w:space="0" w:color="auto"/>
      </w:divBdr>
    </w:div>
    <w:div w:id="1666206898">
      <w:bodyDiv w:val="1"/>
      <w:marLeft w:val="0"/>
      <w:marRight w:val="0"/>
      <w:marTop w:val="0"/>
      <w:marBottom w:val="0"/>
      <w:divBdr>
        <w:top w:val="none" w:sz="0" w:space="0" w:color="auto"/>
        <w:left w:val="none" w:sz="0" w:space="0" w:color="auto"/>
        <w:bottom w:val="none" w:sz="0" w:space="0" w:color="auto"/>
        <w:right w:val="none" w:sz="0" w:space="0" w:color="auto"/>
      </w:divBdr>
    </w:div>
    <w:div w:id="1666468568">
      <w:bodyDiv w:val="1"/>
      <w:marLeft w:val="0"/>
      <w:marRight w:val="0"/>
      <w:marTop w:val="0"/>
      <w:marBottom w:val="0"/>
      <w:divBdr>
        <w:top w:val="none" w:sz="0" w:space="0" w:color="auto"/>
        <w:left w:val="none" w:sz="0" w:space="0" w:color="auto"/>
        <w:bottom w:val="none" w:sz="0" w:space="0" w:color="auto"/>
        <w:right w:val="none" w:sz="0" w:space="0" w:color="auto"/>
      </w:divBdr>
    </w:div>
    <w:div w:id="1666519732">
      <w:bodyDiv w:val="1"/>
      <w:marLeft w:val="0"/>
      <w:marRight w:val="0"/>
      <w:marTop w:val="0"/>
      <w:marBottom w:val="0"/>
      <w:divBdr>
        <w:top w:val="none" w:sz="0" w:space="0" w:color="auto"/>
        <w:left w:val="none" w:sz="0" w:space="0" w:color="auto"/>
        <w:bottom w:val="none" w:sz="0" w:space="0" w:color="auto"/>
        <w:right w:val="none" w:sz="0" w:space="0" w:color="auto"/>
      </w:divBdr>
    </w:div>
    <w:div w:id="1666547614">
      <w:bodyDiv w:val="1"/>
      <w:marLeft w:val="0"/>
      <w:marRight w:val="0"/>
      <w:marTop w:val="0"/>
      <w:marBottom w:val="0"/>
      <w:divBdr>
        <w:top w:val="none" w:sz="0" w:space="0" w:color="auto"/>
        <w:left w:val="none" w:sz="0" w:space="0" w:color="auto"/>
        <w:bottom w:val="none" w:sz="0" w:space="0" w:color="auto"/>
        <w:right w:val="none" w:sz="0" w:space="0" w:color="auto"/>
      </w:divBdr>
    </w:div>
    <w:div w:id="1666666346">
      <w:bodyDiv w:val="1"/>
      <w:marLeft w:val="0"/>
      <w:marRight w:val="0"/>
      <w:marTop w:val="0"/>
      <w:marBottom w:val="0"/>
      <w:divBdr>
        <w:top w:val="none" w:sz="0" w:space="0" w:color="auto"/>
        <w:left w:val="none" w:sz="0" w:space="0" w:color="auto"/>
        <w:bottom w:val="none" w:sz="0" w:space="0" w:color="auto"/>
        <w:right w:val="none" w:sz="0" w:space="0" w:color="auto"/>
      </w:divBdr>
    </w:div>
    <w:div w:id="1667172386">
      <w:bodyDiv w:val="1"/>
      <w:marLeft w:val="0"/>
      <w:marRight w:val="0"/>
      <w:marTop w:val="0"/>
      <w:marBottom w:val="0"/>
      <w:divBdr>
        <w:top w:val="none" w:sz="0" w:space="0" w:color="auto"/>
        <w:left w:val="none" w:sz="0" w:space="0" w:color="auto"/>
        <w:bottom w:val="none" w:sz="0" w:space="0" w:color="auto"/>
        <w:right w:val="none" w:sz="0" w:space="0" w:color="auto"/>
      </w:divBdr>
    </w:div>
    <w:div w:id="1667704797">
      <w:bodyDiv w:val="1"/>
      <w:marLeft w:val="0"/>
      <w:marRight w:val="0"/>
      <w:marTop w:val="0"/>
      <w:marBottom w:val="0"/>
      <w:divBdr>
        <w:top w:val="none" w:sz="0" w:space="0" w:color="auto"/>
        <w:left w:val="none" w:sz="0" w:space="0" w:color="auto"/>
        <w:bottom w:val="none" w:sz="0" w:space="0" w:color="auto"/>
        <w:right w:val="none" w:sz="0" w:space="0" w:color="auto"/>
      </w:divBdr>
    </w:div>
    <w:div w:id="1668629768">
      <w:bodyDiv w:val="1"/>
      <w:marLeft w:val="0"/>
      <w:marRight w:val="0"/>
      <w:marTop w:val="0"/>
      <w:marBottom w:val="0"/>
      <w:divBdr>
        <w:top w:val="none" w:sz="0" w:space="0" w:color="auto"/>
        <w:left w:val="none" w:sz="0" w:space="0" w:color="auto"/>
        <w:bottom w:val="none" w:sz="0" w:space="0" w:color="auto"/>
        <w:right w:val="none" w:sz="0" w:space="0" w:color="auto"/>
      </w:divBdr>
    </w:div>
    <w:div w:id="1669138941">
      <w:bodyDiv w:val="1"/>
      <w:marLeft w:val="0"/>
      <w:marRight w:val="0"/>
      <w:marTop w:val="0"/>
      <w:marBottom w:val="0"/>
      <w:divBdr>
        <w:top w:val="none" w:sz="0" w:space="0" w:color="auto"/>
        <w:left w:val="none" w:sz="0" w:space="0" w:color="auto"/>
        <w:bottom w:val="none" w:sz="0" w:space="0" w:color="auto"/>
        <w:right w:val="none" w:sz="0" w:space="0" w:color="auto"/>
      </w:divBdr>
    </w:div>
    <w:div w:id="1670063822">
      <w:bodyDiv w:val="1"/>
      <w:marLeft w:val="0"/>
      <w:marRight w:val="0"/>
      <w:marTop w:val="0"/>
      <w:marBottom w:val="0"/>
      <w:divBdr>
        <w:top w:val="none" w:sz="0" w:space="0" w:color="auto"/>
        <w:left w:val="none" w:sz="0" w:space="0" w:color="auto"/>
        <w:bottom w:val="none" w:sz="0" w:space="0" w:color="auto"/>
        <w:right w:val="none" w:sz="0" w:space="0" w:color="auto"/>
      </w:divBdr>
    </w:div>
    <w:div w:id="1670134619">
      <w:bodyDiv w:val="1"/>
      <w:marLeft w:val="0"/>
      <w:marRight w:val="0"/>
      <w:marTop w:val="0"/>
      <w:marBottom w:val="0"/>
      <w:divBdr>
        <w:top w:val="none" w:sz="0" w:space="0" w:color="auto"/>
        <w:left w:val="none" w:sz="0" w:space="0" w:color="auto"/>
        <w:bottom w:val="none" w:sz="0" w:space="0" w:color="auto"/>
        <w:right w:val="none" w:sz="0" w:space="0" w:color="auto"/>
      </w:divBdr>
    </w:div>
    <w:div w:id="1671176130">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1566984">
      <w:bodyDiv w:val="1"/>
      <w:marLeft w:val="0"/>
      <w:marRight w:val="0"/>
      <w:marTop w:val="0"/>
      <w:marBottom w:val="0"/>
      <w:divBdr>
        <w:top w:val="none" w:sz="0" w:space="0" w:color="auto"/>
        <w:left w:val="none" w:sz="0" w:space="0" w:color="auto"/>
        <w:bottom w:val="none" w:sz="0" w:space="0" w:color="auto"/>
        <w:right w:val="none" w:sz="0" w:space="0" w:color="auto"/>
      </w:divBdr>
    </w:div>
    <w:div w:id="1671568552">
      <w:bodyDiv w:val="1"/>
      <w:marLeft w:val="0"/>
      <w:marRight w:val="0"/>
      <w:marTop w:val="0"/>
      <w:marBottom w:val="0"/>
      <w:divBdr>
        <w:top w:val="none" w:sz="0" w:space="0" w:color="auto"/>
        <w:left w:val="none" w:sz="0" w:space="0" w:color="auto"/>
        <w:bottom w:val="none" w:sz="0" w:space="0" w:color="auto"/>
        <w:right w:val="none" w:sz="0" w:space="0" w:color="auto"/>
      </w:divBdr>
    </w:div>
    <w:div w:id="1673146702">
      <w:bodyDiv w:val="1"/>
      <w:marLeft w:val="0"/>
      <w:marRight w:val="0"/>
      <w:marTop w:val="0"/>
      <w:marBottom w:val="0"/>
      <w:divBdr>
        <w:top w:val="none" w:sz="0" w:space="0" w:color="auto"/>
        <w:left w:val="none" w:sz="0" w:space="0" w:color="auto"/>
        <w:bottom w:val="none" w:sz="0" w:space="0" w:color="auto"/>
        <w:right w:val="none" w:sz="0" w:space="0" w:color="auto"/>
      </w:divBdr>
    </w:div>
    <w:div w:id="1674454861">
      <w:bodyDiv w:val="1"/>
      <w:marLeft w:val="0"/>
      <w:marRight w:val="0"/>
      <w:marTop w:val="0"/>
      <w:marBottom w:val="0"/>
      <w:divBdr>
        <w:top w:val="none" w:sz="0" w:space="0" w:color="auto"/>
        <w:left w:val="none" w:sz="0" w:space="0" w:color="auto"/>
        <w:bottom w:val="none" w:sz="0" w:space="0" w:color="auto"/>
        <w:right w:val="none" w:sz="0" w:space="0" w:color="auto"/>
      </w:divBdr>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5956448">
      <w:bodyDiv w:val="1"/>
      <w:marLeft w:val="0"/>
      <w:marRight w:val="0"/>
      <w:marTop w:val="0"/>
      <w:marBottom w:val="0"/>
      <w:divBdr>
        <w:top w:val="none" w:sz="0" w:space="0" w:color="auto"/>
        <w:left w:val="none" w:sz="0" w:space="0" w:color="auto"/>
        <w:bottom w:val="none" w:sz="0" w:space="0" w:color="auto"/>
        <w:right w:val="none" w:sz="0" w:space="0" w:color="auto"/>
      </w:divBdr>
    </w:div>
    <w:div w:id="1675957812">
      <w:bodyDiv w:val="1"/>
      <w:marLeft w:val="0"/>
      <w:marRight w:val="0"/>
      <w:marTop w:val="0"/>
      <w:marBottom w:val="0"/>
      <w:divBdr>
        <w:top w:val="none" w:sz="0" w:space="0" w:color="auto"/>
        <w:left w:val="none" w:sz="0" w:space="0" w:color="auto"/>
        <w:bottom w:val="none" w:sz="0" w:space="0" w:color="auto"/>
        <w:right w:val="none" w:sz="0" w:space="0" w:color="auto"/>
      </w:divBdr>
    </w:div>
    <w:div w:id="1677607367">
      <w:bodyDiv w:val="1"/>
      <w:marLeft w:val="0"/>
      <w:marRight w:val="0"/>
      <w:marTop w:val="0"/>
      <w:marBottom w:val="0"/>
      <w:divBdr>
        <w:top w:val="none" w:sz="0" w:space="0" w:color="auto"/>
        <w:left w:val="none" w:sz="0" w:space="0" w:color="auto"/>
        <w:bottom w:val="none" w:sz="0" w:space="0" w:color="auto"/>
        <w:right w:val="none" w:sz="0" w:space="0" w:color="auto"/>
      </w:divBdr>
    </w:div>
    <w:div w:id="1678459615">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79038808">
      <w:bodyDiv w:val="1"/>
      <w:marLeft w:val="0"/>
      <w:marRight w:val="0"/>
      <w:marTop w:val="0"/>
      <w:marBottom w:val="0"/>
      <w:divBdr>
        <w:top w:val="none" w:sz="0" w:space="0" w:color="auto"/>
        <w:left w:val="none" w:sz="0" w:space="0" w:color="auto"/>
        <w:bottom w:val="none" w:sz="0" w:space="0" w:color="auto"/>
        <w:right w:val="none" w:sz="0" w:space="0" w:color="auto"/>
      </w:divBdr>
    </w:div>
    <w:div w:id="1679649853">
      <w:bodyDiv w:val="1"/>
      <w:marLeft w:val="0"/>
      <w:marRight w:val="0"/>
      <w:marTop w:val="0"/>
      <w:marBottom w:val="0"/>
      <w:divBdr>
        <w:top w:val="none" w:sz="0" w:space="0" w:color="auto"/>
        <w:left w:val="none" w:sz="0" w:space="0" w:color="auto"/>
        <w:bottom w:val="none" w:sz="0" w:space="0" w:color="auto"/>
        <w:right w:val="none" w:sz="0" w:space="0" w:color="auto"/>
      </w:divBdr>
    </w:div>
    <w:div w:id="1680236443">
      <w:bodyDiv w:val="1"/>
      <w:marLeft w:val="0"/>
      <w:marRight w:val="0"/>
      <w:marTop w:val="0"/>
      <w:marBottom w:val="0"/>
      <w:divBdr>
        <w:top w:val="none" w:sz="0" w:space="0" w:color="auto"/>
        <w:left w:val="none" w:sz="0" w:space="0" w:color="auto"/>
        <w:bottom w:val="none" w:sz="0" w:space="0" w:color="auto"/>
        <w:right w:val="none" w:sz="0" w:space="0" w:color="auto"/>
      </w:divBdr>
    </w:div>
    <w:div w:id="1680355472">
      <w:bodyDiv w:val="1"/>
      <w:marLeft w:val="0"/>
      <w:marRight w:val="0"/>
      <w:marTop w:val="0"/>
      <w:marBottom w:val="0"/>
      <w:divBdr>
        <w:top w:val="none" w:sz="0" w:space="0" w:color="auto"/>
        <w:left w:val="none" w:sz="0" w:space="0" w:color="auto"/>
        <w:bottom w:val="none" w:sz="0" w:space="0" w:color="auto"/>
        <w:right w:val="none" w:sz="0" w:space="0" w:color="auto"/>
      </w:divBdr>
    </w:div>
    <w:div w:id="1680886108">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1393734">
      <w:bodyDiv w:val="1"/>
      <w:marLeft w:val="0"/>
      <w:marRight w:val="0"/>
      <w:marTop w:val="0"/>
      <w:marBottom w:val="0"/>
      <w:divBdr>
        <w:top w:val="none" w:sz="0" w:space="0" w:color="auto"/>
        <w:left w:val="none" w:sz="0" w:space="0" w:color="auto"/>
        <w:bottom w:val="none" w:sz="0" w:space="0" w:color="auto"/>
        <w:right w:val="none" w:sz="0" w:space="0" w:color="auto"/>
      </w:divBdr>
    </w:div>
    <w:div w:id="1681421797">
      <w:bodyDiv w:val="1"/>
      <w:marLeft w:val="0"/>
      <w:marRight w:val="0"/>
      <w:marTop w:val="0"/>
      <w:marBottom w:val="0"/>
      <w:divBdr>
        <w:top w:val="none" w:sz="0" w:space="0" w:color="auto"/>
        <w:left w:val="none" w:sz="0" w:space="0" w:color="auto"/>
        <w:bottom w:val="none" w:sz="0" w:space="0" w:color="auto"/>
        <w:right w:val="none" w:sz="0" w:space="0" w:color="auto"/>
      </w:divBdr>
    </w:div>
    <w:div w:id="1681543441">
      <w:bodyDiv w:val="1"/>
      <w:marLeft w:val="0"/>
      <w:marRight w:val="0"/>
      <w:marTop w:val="0"/>
      <w:marBottom w:val="0"/>
      <w:divBdr>
        <w:top w:val="none" w:sz="0" w:space="0" w:color="auto"/>
        <w:left w:val="none" w:sz="0" w:space="0" w:color="auto"/>
        <w:bottom w:val="none" w:sz="0" w:space="0" w:color="auto"/>
        <w:right w:val="none" w:sz="0" w:space="0" w:color="auto"/>
      </w:divBdr>
    </w:div>
    <w:div w:id="1681662021">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122461">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5591116">
      <w:bodyDiv w:val="1"/>
      <w:marLeft w:val="0"/>
      <w:marRight w:val="0"/>
      <w:marTop w:val="0"/>
      <w:marBottom w:val="0"/>
      <w:divBdr>
        <w:top w:val="none" w:sz="0" w:space="0" w:color="auto"/>
        <w:left w:val="none" w:sz="0" w:space="0" w:color="auto"/>
        <w:bottom w:val="none" w:sz="0" w:space="0" w:color="auto"/>
        <w:right w:val="none" w:sz="0" w:space="0" w:color="auto"/>
      </w:divBdr>
    </w:div>
    <w:div w:id="1686051257">
      <w:bodyDiv w:val="1"/>
      <w:marLeft w:val="0"/>
      <w:marRight w:val="0"/>
      <w:marTop w:val="0"/>
      <w:marBottom w:val="0"/>
      <w:divBdr>
        <w:top w:val="none" w:sz="0" w:space="0" w:color="auto"/>
        <w:left w:val="none" w:sz="0" w:space="0" w:color="auto"/>
        <w:bottom w:val="none" w:sz="0" w:space="0" w:color="auto"/>
        <w:right w:val="none" w:sz="0" w:space="0" w:color="auto"/>
      </w:divBdr>
    </w:div>
    <w:div w:id="1686127514">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7321921">
      <w:bodyDiv w:val="1"/>
      <w:marLeft w:val="0"/>
      <w:marRight w:val="0"/>
      <w:marTop w:val="0"/>
      <w:marBottom w:val="0"/>
      <w:divBdr>
        <w:top w:val="none" w:sz="0" w:space="0" w:color="auto"/>
        <w:left w:val="none" w:sz="0" w:space="0" w:color="auto"/>
        <w:bottom w:val="none" w:sz="0" w:space="0" w:color="auto"/>
        <w:right w:val="none" w:sz="0" w:space="0" w:color="auto"/>
      </w:divBdr>
    </w:div>
    <w:div w:id="1688674814">
      <w:bodyDiv w:val="1"/>
      <w:marLeft w:val="0"/>
      <w:marRight w:val="0"/>
      <w:marTop w:val="0"/>
      <w:marBottom w:val="0"/>
      <w:divBdr>
        <w:top w:val="none" w:sz="0" w:space="0" w:color="auto"/>
        <w:left w:val="none" w:sz="0" w:space="0" w:color="auto"/>
        <w:bottom w:val="none" w:sz="0" w:space="0" w:color="auto"/>
        <w:right w:val="none" w:sz="0" w:space="0" w:color="auto"/>
      </w:divBdr>
    </w:div>
    <w:div w:id="1689015993">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89598277">
      <w:bodyDiv w:val="1"/>
      <w:marLeft w:val="0"/>
      <w:marRight w:val="0"/>
      <w:marTop w:val="0"/>
      <w:marBottom w:val="0"/>
      <w:divBdr>
        <w:top w:val="none" w:sz="0" w:space="0" w:color="auto"/>
        <w:left w:val="none" w:sz="0" w:space="0" w:color="auto"/>
        <w:bottom w:val="none" w:sz="0" w:space="0" w:color="auto"/>
        <w:right w:val="none" w:sz="0" w:space="0" w:color="auto"/>
      </w:divBdr>
    </w:div>
    <w:div w:id="1690988688">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174701">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1566306">
      <w:bodyDiv w:val="1"/>
      <w:marLeft w:val="0"/>
      <w:marRight w:val="0"/>
      <w:marTop w:val="0"/>
      <w:marBottom w:val="0"/>
      <w:divBdr>
        <w:top w:val="none" w:sz="0" w:space="0" w:color="auto"/>
        <w:left w:val="none" w:sz="0" w:space="0" w:color="auto"/>
        <w:bottom w:val="none" w:sz="0" w:space="0" w:color="auto"/>
        <w:right w:val="none" w:sz="0" w:space="0" w:color="auto"/>
      </w:divBdr>
    </w:div>
    <w:div w:id="1691644547">
      <w:bodyDiv w:val="1"/>
      <w:marLeft w:val="0"/>
      <w:marRight w:val="0"/>
      <w:marTop w:val="0"/>
      <w:marBottom w:val="0"/>
      <w:divBdr>
        <w:top w:val="none" w:sz="0" w:space="0" w:color="auto"/>
        <w:left w:val="none" w:sz="0" w:space="0" w:color="auto"/>
        <w:bottom w:val="none" w:sz="0" w:space="0" w:color="auto"/>
        <w:right w:val="none" w:sz="0" w:space="0" w:color="auto"/>
      </w:divBdr>
    </w:div>
    <w:div w:id="1692881083">
      <w:bodyDiv w:val="1"/>
      <w:marLeft w:val="0"/>
      <w:marRight w:val="0"/>
      <w:marTop w:val="0"/>
      <w:marBottom w:val="0"/>
      <w:divBdr>
        <w:top w:val="none" w:sz="0" w:space="0" w:color="auto"/>
        <w:left w:val="none" w:sz="0" w:space="0" w:color="auto"/>
        <w:bottom w:val="none" w:sz="0" w:space="0" w:color="auto"/>
        <w:right w:val="none" w:sz="0" w:space="0" w:color="auto"/>
      </w:divBdr>
    </w:div>
    <w:div w:id="1694185266">
      <w:bodyDiv w:val="1"/>
      <w:marLeft w:val="0"/>
      <w:marRight w:val="0"/>
      <w:marTop w:val="0"/>
      <w:marBottom w:val="0"/>
      <w:divBdr>
        <w:top w:val="none" w:sz="0" w:space="0" w:color="auto"/>
        <w:left w:val="none" w:sz="0" w:space="0" w:color="auto"/>
        <w:bottom w:val="none" w:sz="0" w:space="0" w:color="auto"/>
        <w:right w:val="none" w:sz="0" w:space="0" w:color="auto"/>
      </w:divBdr>
    </w:div>
    <w:div w:id="1694186435">
      <w:bodyDiv w:val="1"/>
      <w:marLeft w:val="0"/>
      <w:marRight w:val="0"/>
      <w:marTop w:val="0"/>
      <w:marBottom w:val="0"/>
      <w:divBdr>
        <w:top w:val="none" w:sz="0" w:space="0" w:color="auto"/>
        <w:left w:val="none" w:sz="0" w:space="0" w:color="auto"/>
        <w:bottom w:val="none" w:sz="0" w:space="0" w:color="auto"/>
        <w:right w:val="none" w:sz="0" w:space="0" w:color="auto"/>
      </w:divBdr>
    </w:div>
    <w:div w:id="1694527220">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17905">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6419693">
      <w:bodyDiv w:val="1"/>
      <w:marLeft w:val="0"/>
      <w:marRight w:val="0"/>
      <w:marTop w:val="0"/>
      <w:marBottom w:val="0"/>
      <w:divBdr>
        <w:top w:val="none" w:sz="0" w:space="0" w:color="auto"/>
        <w:left w:val="none" w:sz="0" w:space="0" w:color="auto"/>
        <w:bottom w:val="none" w:sz="0" w:space="0" w:color="auto"/>
        <w:right w:val="none" w:sz="0" w:space="0" w:color="auto"/>
      </w:divBdr>
    </w:div>
    <w:div w:id="1696466568">
      <w:bodyDiv w:val="1"/>
      <w:marLeft w:val="0"/>
      <w:marRight w:val="0"/>
      <w:marTop w:val="0"/>
      <w:marBottom w:val="0"/>
      <w:divBdr>
        <w:top w:val="none" w:sz="0" w:space="0" w:color="auto"/>
        <w:left w:val="none" w:sz="0" w:space="0" w:color="auto"/>
        <w:bottom w:val="none" w:sz="0" w:space="0" w:color="auto"/>
        <w:right w:val="none" w:sz="0" w:space="0" w:color="auto"/>
      </w:divBdr>
    </w:div>
    <w:div w:id="1696733556">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7539499">
      <w:bodyDiv w:val="1"/>
      <w:marLeft w:val="0"/>
      <w:marRight w:val="0"/>
      <w:marTop w:val="0"/>
      <w:marBottom w:val="0"/>
      <w:divBdr>
        <w:top w:val="none" w:sz="0" w:space="0" w:color="auto"/>
        <w:left w:val="none" w:sz="0" w:space="0" w:color="auto"/>
        <w:bottom w:val="none" w:sz="0" w:space="0" w:color="auto"/>
        <w:right w:val="none" w:sz="0" w:space="0" w:color="auto"/>
      </w:divBdr>
    </w:div>
    <w:div w:id="169757905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8386738">
      <w:bodyDiv w:val="1"/>
      <w:marLeft w:val="0"/>
      <w:marRight w:val="0"/>
      <w:marTop w:val="0"/>
      <w:marBottom w:val="0"/>
      <w:divBdr>
        <w:top w:val="none" w:sz="0" w:space="0" w:color="auto"/>
        <w:left w:val="none" w:sz="0" w:space="0" w:color="auto"/>
        <w:bottom w:val="none" w:sz="0" w:space="0" w:color="auto"/>
        <w:right w:val="none" w:sz="0" w:space="0" w:color="auto"/>
      </w:divBdr>
    </w:div>
    <w:div w:id="1699623456">
      <w:bodyDiv w:val="1"/>
      <w:marLeft w:val="0"/>
      <w:marRight w:val="0"/>
      <w:marTop w:val="0"/>
      <w:marBottom w:val="0"/>
      <w:divBdr>
        <w:top w:val="none" w:sz="0" w:space="0" w:color="auto"/>
        <w:left w:val="none" w:sz="0" w:space="0" w:color="auto"/>
        <w:bottom w:val="none" w:sz="0" w:space="0" w:color="auto"/>
        <w:right w:val="none" w:sz="0" w:space="0" w:color="auto"/>
      </w:divBdr>
    </w:div>
    <w:div w:id="1699817143">
      <w:bodyDiv w:val="1"/>
      <w:marLeft w:val="0"/>
      <w:marRight w:val="0"/>
      <w:marTop w:val="0"/>
      <w:marBottom w:val="0"/>
      <w:divBdr>
        <w:top w:val="none" w:sz="0" w:space="0" w:color="auto"/>
        <w:left w:val="none" w:sz="0" w:space="0" w:color="auto"/>
        <w:bottom w:val="none" w:sz="0" w:space="0" w:color="auto"/>
        <w:right w:val="none" w:sz="0" w:space="0" w:color="auto"/>
      </w:divBdr>
    </w:div>
    <w:div w:id="1699891670">
      <w:bodyDiv w:val="1"/>
      <w:marLeft w:val="0"/>
      <w:marRight w:val="0"/>
      <w:marTop w:val="0"/>
      <w:marBottom w:val="0"/>
      <w:divBdr>
        <w:top w:val="none" w:sz="0" w:space="0" w:color="auto"/>
        <w:left w:val="none" w:sz="0" w:space="0" w:color="auto"/>
        <w:bottom w:val="none" w:sz="0" w:space="0" w:color="auto"/>
        <w:right w:val="none" w:sz="0" w:space="0" w:color="auto"/>
      </w:divBdr>
    </w:div>
    <w:div w:id="1701318351">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971537">
      <w:bodyDiv w:val="1"/>
      <w:marLeft w:val="0"/>
      <w:marRight w:val="0"/>
      <w:marTop w:val="0"/>
      <w:marBottom w:val="0"/>
      <w:divBdr>
        <w:top w:val="none" w:sz="0" w:space="0" w:color="auto"/>
        <w:left w:val="none" w:sz="0" w:space="0" w:color="auto"/>
        <w:bottom w:val="none" w:sz="0" w:space="0" w:color="auto"/>
        <w:right w:val="none" w:sz="0" w:space="0" w:color="auto"/>
      </w:divBdr>
    </w:div>
    <w:div w:id="1703360304">
      <w:bodyDiv w:val="1"/>
      <w:marLeft w:val="0"/>
      <w:marRight w:val="0"/>
      <w:marTop w:val="0"/>
      <w:marBottom w:val="0"/>
      <w:divBdr>
        <w:top w:val="none" w:sz="0" w:space="0" w:color="auto"/>
        <w:left w:val="none" w:sz="0" w:space="0" w:color="auto"/>
        <w:bottom w:val="none" w:sz="0" w:space="0" w:color="auto"/>
        <w:right w:val="none" w:sz="0" w:space="0" w:color="auto"/>
      </w:divBdr>
    </w:div>
    <w:div w:id="1704480390">
      <w:bodyDiv w:val="1"/>
      <w:marLeft w:val="0"/>
      <w:marRight w:val="0"/>
      <w:marTop w:val="0"/>
      <w:marBottom w:val="0"/>
      <w:divBdr>
        <w:top w:val="none" w:sz="0" w:space="0" w:color="auto"/>
        <w:left w:val="none" w:sz="0" w:space="0" w:color="auto"/>
        <w:bottom w:val="none" w:sz="0" w:space="0" w:color="auto"/>
        <w:right w:val="none" w:sz="0" w:space="0" w:color="auto"/>
      </w:divBdr>
    </w:div>
    <w:div w:id="1704598767">
      <w:bodyDiv w:val="1"/>
      <w:marLeft w:val="0"/>
      <w:marRight w:val="0"/>
      <w:marTop w:val="0"/>
      <w:marBottom w:val="0"/>
      <w:divBdr>
        <w:top w:val="none" w:sz="0" w:space="0" w:color="auto"/>
        <w:left w:val="none" w:sz="0" w:space="0" w:color="auto"/>
        <w:bottom w:val="none" w:sz="0" w:space="0" w:color="auto"/>
        <w:right w:val="none" w:sz="0" w:space="0" w:color="auto"/>
      </w:divBdr>
    </w:div>
    <w:div w:id="1705641360">
      <w:bodyDiv w:val="1"/>
      <w:marLeft w:val="0"/>
      <w:marRight w:val="0"/>
      <w:marTop w:val="0"/>
      <w:marBottom w:val="0"/>
      <w:divBdr>
        <w:top w:val="none" w:sz="0" w:space="0" w:color="auto"/>
        <w:left w:val="none" w:sz="0" w:space="0" w:color="auto"/>
        <w:bottom w:val="none" w:sz="0" w:space="0" w:color="auto"/>
        <w:right w:val="none" w:sz="0" w:space="0" w:color="auto"/>
      </w:divBdr>
    </w:div>
    <w:div w:id="17059861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6249659">
      <w:bodyDiv w:val="1"/>
      <w:marLeft w:val="0"/>
      <w:marRight w:val="0"/>
      <w:marTop w:val="0"/>
      <w:marBottom w:val="0"/>
      <w:divBdr>
        <w:top w:val="none" w:sz="0" w:space="0" w:color="auto"/>
        <w:left w:val="none" w:sz="0" w:space="0" w:color="auto"/>
        <w:bottom w:val="none" w:sz="0" w:space="0" w:color="auto"/>
        <w:right w:val="none" w:sz="0" w:space="0" w:color="auto"/>
      </w:divBdr>
    </w:div>
    <w:div w:id="1707020258">
      <w:bodyDiv w:val="1"/>
      <w:marLeft w:val="0"/>
      <w:marRight w:val="0"/>
      <w:marTop w:val="0"/>
      <w:marBottom w:val="0"/>
      <w:divBdr>
        <w:top w:val="none" w:sz="0" w:space="0" w:color="auto"/>
        <w:left w:val="none" w:sz="0" w:space="0" w:color="auto"/>
        <w:bottom w:val="none" w:sz="0" w:space="0" w:color="auto"/>
        <w:right w:val="none" w:sz="0" w:space="0" w:color="auto"/>
      </w:divBdr>
    </w:div>
    <w:div w:id="1707296075">
      <w:bodyDiv w:val="1"/>
      <w:marLeft w:val="0"/>
      <w:marRight w:val="0"/>
      <w:marTop w:val="0"/>
      <w:marBottom w:val="0"/>
      <w:divBdr>
        <w:top w:val="none" w:sz="0" w:space="0" w:color="auto"/>
        <w:left w:val="none" w:sz="0" w:space="0" w:color="auto"/>
        <w:bottom w:val="none" w:sz="0" w:space="0" w:color="auto"/>
        <w:right w:val="none" w:sz="0" w:space="0" w:color="auto"/>
      </w:divBdr>
    </w:div>
    <w:div w:id="1707366194">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8409853">
      <w:bodyDiv w:val="1"/>
      <w:marLeft w:val="0"/>
      <w:marRight w:val="0"/>
      <w:marTop w:val="0"/>
      <w:marBottom w:val="0"/>
      <w:divBdr>
        <w:top w:val="none" w:sz="0" w:space="0" w:color="auto"/>
        <w:left w:val="none" w:sz="0" w:space="0" w:color="auto"/>
        <w:bottom w:val="none" w:sz="0" w:space="0" w:color="auto"/>
        <w:right w:val="none" w:sz="0" w:space="0" w:color="auto"/>
      </w:divBdr>
    </w:div>
    <w:div w:id="1708523846">
      <w:bodyDiv w:val="1"/>
      <w:marLeft w:val="0"/>
      <w:marRight w:val="0"/>
      <w:marTop w:val="0"/>
      <w:marBottom w:val="0"/>
      <w:divBdr>
        <w:top w:val="none" w:sz="0" w:space="0" w:color="auto"/>
        <w:left w:val="none" w:sz="0" w:space="0" w:color="auto"/>
        <w:bottom w:val="none" w:sz="0" w:space="0" w:color="auto"/>
        <w:right w:val="none" w:sz="0" w:space="0" w:color="auto"/>
      </w:divBdr>
    </w:div>
    <w:div w:id="171025963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0839215">
      <w:bodyDiv w:val="1"/>
      <w:marLeft w:val="0"/>
      <w:marRight w:val="0"/>
      <w:marTop w:val="0"/>
      <w:marBottom w:val="0"/>
      <w:divBdr>
        <w:top w:val="none" w:sz="0" w:space="0" w:color="auto"/>
        <w:left w:val="none" w:sz="0" w:space="0" w:color="auto"/>
        <w:bottom w:val="none" w:sz="0" w:space="0" w:color="auto"/>
        <w:right w:val="none" w:sz="0" w:space="0" w:color="auto"/>
      </w:divBdr>
    </w:div>
    <w:div w:id="1710908165">
      <w:bodyDiv w:val="1"/>
      <w:marLeft w:val="0"/>
      <w:marRight w:val="0"/>
      <w:marTop w:val="0"/>
      <w:marBottom w:val="0"/>
      <w:divBdr>
        <w:top w:val="none" w:sz="0" w:space="0" w:color="auto"/>
        <w:left w:val="none" w:sz="0" w:space="0" w:color="auto"/>
        <w:bottom w:val="none" w:sz="0" w:space="0" w:color="auto"/>
        <w:right w:val="none" w:sz="0" w:space="0" w:color="auto"/>
      </w:divBdr>
    </w:div>
    <w:div w:id="1712878096">
      <w:bodyDiv w:val="1"/>
      <w:marLeft w:val="0"/>
      <w:marRight w:val="0"/>
      <w:marTop w:val="0"/>
      <w:marBottom w:val="0"/>
      <w:divBdr>
        <w:top w:val="none" w:sz="0" w:space="0" w:color="auto"/>
        <w:left w:val="none" w:sz="0" w:space="0" w:color="auto"/>
        <w:bottom w:val="none" w:sz="0" w:space="0" w:color="auto"/>
        <w:right w:val="none" w:sz="0" w:space="0" w:color="auto"/>
      </w:divBdr>
    </w:div>
    <w:div w:id="171331242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653702">
      <w:bodyDiv w:val="1"/>
      <w:marLeft w:val="0"/>
      <w:marRight w:val="0"/>
      <w:marTop w:val="0"/>
      <w:marBottom w:val="0"/>
      <w:divBdr>
        <w:top w:val="none" w:sz="0" w:space="0" w:color="auto"/>
        <w:left w:val="none" w:sz="0" w:space="0" w:color="auto"/>
        <w:bottom w:val="none" w:sz="0" w:space="0" w:color="auto"/>
        <w:right w:val="none" w:sz="0" w:space="0" w:color="auto"/>
      </w:divBdr>
    </w:div>
    <w:div w:id="1713798938">
      <w:bodyDiv w:val="1"/>
      <w:marLeft w:val="0"/>
      <w:marRight w:val="0"/>
      <w:marTop w:val="0"/>
      <w:marBottom w:val="0"/>
      <w:divBdr>
        <w:top w:val="none" w:sz="0" w:space="0" w:color="auto"/>
        <w:left w:val="none" w:sz="0" w:space="0" w:color="auto"/>
        <w:bottom w:val="none" w:sz="0" w:space="0" w:color="auto"/>
        <w:right w:val="none" w:sz="0" w:space="0" w:color="auto"/>
      </w:divBdr>
    </w:div>
    <w:div w:id="1714647144">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5258">
      <w:bodyDiv w:val="1"/>
      <w:marLeft w:val="0"/>
      <w:marRight w:val="0"/>
      <w:marTop w:val="0"/>
      <w:marBottom w:val="0"/>
      <w:divBdr>
        <w:top w:val="none" w:sz="0" w:space="0" w:color="auto"/>
        <w:left w:val="none" w:sz="0" w:space="0" w:color="auto"/>
        <w:bottom w:val="none" w:sz="0" w:space="0" w:color="auto"/>
        <w:right w:val="none" w:sz="0" w:space="0" w:color="auto"/>
      </w:divBdr>
    </w:div>
    <w:div w:id="1715692545">
      <w:bodyDiv w:val="1"/>
      <w:marLeft w:val="0"/>
      <w:marRight w:val="0"/>
      <w:marTop w:val="0"/>
      <w:marBottom w:val="0"/>
      <w:divBdr>
        <w:top w:val="none" w:sz="0" w:space="0" w:color="auto"/>
        <w:left w:val="none" w:sz="0" w:space="0" w:color="auto"/>
        <w:bottom w:val="none" w:sz="0" w:space="0" w:color="auto"/>
        <w:right w:val="none" w:sz="0" w:space="0" w:color="auto"/>
      </w:divBdr>
    </w:div>
    <w:div w:id="1717047799">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314537">
      <w:bodyDiv w:val="1"/>
      <w:marLeft w:val="0"/>
      <w:marRight w:val="0"/>
      <w:marTop w:val="0"/>
      <w:marBottom w:val="0"/>
      <w:divBdr>
        <w:top w:val="none" w:sz="0" w:space="0" w:color="auto"/>
        <w:left w:val="none" w:sz="0" w:space="0" w:color="auto"/>
        <w:bottom w:val="none" w:sz="0" w:space="0" w:color="auto"/>
        <w:right w:val="none" w:sz="0" w:space="0" w:color="auto"/>
      </w:divBdr>
    </w:div>
    <w:div w:id="1717466561">
      <w:bodyDiv w:val="1"/>
      <w:marLeft w:val="0"/>
      <w:marRight w:val="0"/>
      <w:marTop w:val="0"/>
      <w:marBottom w:val="0"/>
      <w:divBdr>
        <w:top w:val="none" w:sz="0" w:space="0" w:color="auto"/>
        <w:left w:val="none" w:sz="0" w:space="0" w:color="auto"/>
        <w:bottom w:val="none" w:sz="0" w:space="0" w:color="auto"/>
        <w:right w:val="none" w:sz="0" w:space="0" w:color="auto"/>
      </w:divBdr>
    </w:div>
    <w:div w:id="1717659511">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05007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819470">
      <w:bodyDiv w:val="1"/>
      <w:marLeft w:val="0"/>
      <w:marRight w:val="0"/>
      <w:marTop w:val="0"/>
      <w:marBottom w:val="0"/>
      <w:divBdr>
        <w:top w:val="none" w:sz="0" w:space="0" w:color="auto"/>
        <w:left w:val="none" w:sz="0" w:space="0" w:color="auto"/>
        <w:bottom w:val="none" w:sz="0" w:space="0" w:color="auto"/>
        <w:right w:val="none" w:sz="0" w:space="0" w:color="auto"/>
      </w:divBdr>
    </w:div>
    <w:div w:id="1718820642">
      <w:bodyDiv w:val="1"/>
      <w:marLeft w:val="0"/>
      <w:marRight w:val="0"/>
      <w:marTop w:val="0"/>
      <w:marBottom w:val="0"/>
      <w:divBdr>
        <w:top w:val="none" w:sz="0" w:space="0" w:color="auto"/>
        <w:left w:val="none" w:sz="0" w:space="0" w:color="auto"/>
        <w:bottom w:val="none" w:sz="0" w:space="0" w:color="auto"/>
        <w:right w:val="none" w:sz="0" w:space="0" w:color="auto"/>
      </w:divBdr>
    </w:div>
    <w:div w:id="1719402647">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19740430">
      <w:bodyDiv w:val="1"/>
      <w:marLeft w:val="0"/>
      <w:marRight w:val="0"/>
      <w:marTop w:val="0"/>
      <w:marBottom w:val="0"/>
      <w:divBdr>
        <w:top w:val="none" w:sz="0" w:space="0" w:color="auto"/>
        <w:left w:val="none" w:sz="0" w:space="0" w:color="auto"/>
        <w:bottom w:val="none" w:sz="0" w:space="0" w:color="auto"/>
        <w:right w:val="none" w:sz="0" w:space="0" w:color="auto"/>
      </w:divBdr>
    </w:div>
    <w:div w:id="1721781918">
      <w:bodyDiv w:val="1"/>
      <w:marLeft w:val="0"/>
      <w:marRight w:val="0"/>
      <w:marTop w:val="0"/>
      <w:marBottom w:val="0"/>
      <w:divBdr>
        <w:top w:val="none" w:sz="0" w:space="0" w:color="auto"/>
        <w:left w:val="none" w:sz="0" w:space="0" w:color="auto"/>
        <w:bottom w:val="none" w:sz="0" w:space="0" w:color="auto"/>
        <w:right w:val="none" w:sz="0" w:space="0" w:color="auto"/>
      </w:divBdr>
    </w:div>
    <w:div w:id="1721788468">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2746859">
      <w:bodyDiv w:val="1"/>
      <w:marLeft w:val="0"/>
      <w:marRight w:val="0"/>
      <w:marTop w:val="0"/>
      <w:marBottom w:val="0"/>
      <w:divBdr>
        <w:top w:val="none" w:sz="0" w:space="0" w:color="auto"/>
        <w:left w:val="none" w:sz="0" w:space="0" w:color="auto"/>
        <w:bottom w:val="none" w:sz="0" w:space="0" w:color="auto"/>
        <w:right w:val="none" w:sz="0" w:space="0" w:color="auto"/>
      </w:divBdr>
    </w:div>
    <w:div w:id="1723169285">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5441634">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78675">
      <w:bodyDiv w:val="1"/>
      <w:marLeft w:val="0"/>
      <w:marRight w:val="0"/>
      <w:marTop w:val="0"/>
      <w:marBottom w:val="0"/>
      <w:divBdr>
        <w:top w:val="none" w:sz="0" w:space="0" w:color="auto"/>
        <w:left w:val="none" w:sz="0" w:space="0" w:color="auto"/>
        <w:bottom w:val="none" w:sz="0" w:space="0" w:color="auto"/>
        <w:right w:val="none" w:sz="0" w:space="0" w:color="auto"/>
      </w:divBdr>
    </w:div>
    <w:div w:id="1728649098">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9108718">
      <w:bodyDiv w:val="1"/>
      <w:marLeft w:val="0"/>
      <w:marRight w:val="0"/>
      <w:marTop w:val="0"/>
      <w:marBottom w:val="0"/>
      <w:divBdr>
        <w:top w:val="none" w:sz="0" w:space="0" w:color="auto"/>
        <w:left w:val="none" w:sz="0" w:space="0" w:color="auto"/>
        <w:bottom w:val="none" w:sz="0" w:space="0" w:color="auto"/>
        <w:right w:val="none" w:sz="0" w:space="0" w:color="auto"/>
      </w:divBdr>
    </w:div>
    <w:div w:id="1729378890">
      <w:bodyDiv w:val="1"/>
      <w:marLeft w:val="0"/>
      <w:marRight w:val="0"/>
      <w:marTop w:val="0"/>
      <w:marBottom w:val="0"/>
      <w:divBdr>
        <w:top w:val="none" w:sz="0" w:space="0" w:color="auto"/>
        <w:left w:val="none" w:sz="0" w:space="0" w:color="auto"/>
        <w:bottom w:val="none" w:sz="0" w:space="0" w:color="auto"/>
        <w:right w:val="none" w:sz="0" w:space="0" w:color="auto"/>
      </w:divBdr>
    </w:div>
    <w:div w:id="1729500661">
      <w:bodyDiv w:val="1"/>
      <w:marLeft w:val="0"/>
      <w:marRight w:val="0"/>
      <w:marTop w:val="0"/>
      <w:marBottom w:val="0"/>
      <w:divBdr>
        <w:top w:val="none" w:sz="0" w:space="0" w:color="auto"/>
        <w:left w:val="none" w:sz="0" w:space="0" w:color="auto"/>
        <w:bottom w:val="none" w:sz="0" w:space="0" w:color="auto"/>
        <w:right w:val="none" w:sz="0" w:space="0" w:color="auto"/>
      </w:divBdr>
    </w:div>
    <w:div w:id="1729723401">
      <w:bodyDiv w:val="1"/>
      <w:marLeft w:val="0"/>
      <w:marRight w:val="0"/>
      <w:marTop w:val="0"/>
      <w:marBottom w:val="0"/>
      <w:divBdr>
        <w:top w:val="none" w:sz="0" w:space="0" w:color="auto"/>
        <w:left w:val="none" w:sz="0" w:space="0" w:color="auto"/>
        <w:bottom w:val="none" w:sz="0" w:space="0" w:color="auto"/>
        <w:right w:val="none" w:sz="0" w:space="0" w:color="auto"/>
      </w:divBdr>
    </w:div>
    <w:div w:id="1729841238">
      <w:bodyDiv w:val="1"/>
      <w:marLeft w:val="0"/>
      <w:marRight w:val="0"/>
      <w:marTop w:val="0"/>
      <w:marBottom w:val="0"/>
      <w:divBdr>
        <w:top w:val="none" w:sz="0" w:space="0" w:color="auto"/>
        <w:left w:val="none" w:sz="0" w:space="0" w:color="auto"/>
        <w:bottom w:val="none" w:sz="0" w:space="0" w:color="auto"/>
        <w:right w:val="none" w:sz="0" w:space="0" w:color="auto"/>
      </w:divBdr>
    </w:div>
    <w:div w:id="1729843058">
      <w:bodyDiv w:val="1"/>
      <w:marLeft w:val="0"/>
      <w:marRight w:val="0"/>
      <w:marTop w:val="0"/>
      <w:marBottom w:val="0"/>
      <w:divBdr>
        <w:top w:val="none" w:sz="0" w:space="0" w:color="auto"/>
        <w:left w:val="none" w:sz="0" w:space="0" w:color="auto"/>
        <w:bottom w:val="none" w:sz="0" w:space="0" w:color="auto"/>
        <w:right w:val="none" w:sz="0" w:space="0" w:color="auto"/>
      </w:divBdr>
    </w:div>
    <w:div w:id="1730498634">
      <w:bodyDiv w:val="1"/>
      <w:marLeft w:val="0"/>
      <w:marRight w:val="0"/>
      <w:marTop w:val="0"/>
      <w:marBottom w:val="0"/>
      <w:divBdr>
        <w:top w:val="none" w:sz="0" w:space="0" w:color="auto"/>
        <w:left w:val="none" w:sz="0" w:space="0" w:color="auto"/>
        <w:bottom w:val="none" w:sz="0" w:space="0" w:color="auto"/>
        <w:right w:val="none" w:sz="0" w:space="0" w:color="auto"/>
      </w:divBdr>
    </w:div>
    <w:div w:id="1730878127">
      <w:bodyDiv w:val="1"/>
      <w:marLeft w:val="0"/>
      <w:marRight w:val="0"/>
      <w:marTop w:val="0"/>
      <w:marBottom w:val="0"/>
      <w:divBdr>
        <w:top w:val="none" w:sz="0" w:space="0" w:color="auto"/>
        <w:left w:val="none" w:sz="0" w:space="0" w:color="auto"/>
        <w:bottom w:val="none" w:sz="0" w:space="0" w:color="auto"/>
        <w:right w:val="none" w:sz="0" w:space="0" w:color="auto"/>
      </w:divBdr>
    </w:div>
    <w:div w:id="1731151699">
      <w:bodyDiv w:val="1"/>
      <w:marLeft w:val="0"/>
      <w:marRight w:val="0"/>
      <w:marTop w:val="0"/>
      <w:marBottom w:val="0"/>
      <w:divBdr>
        <w:top w:val="none" w:sz="0" w:space="0" w:color="auto"/>
        <w:left w:val="none" w:sz="0" w:space="0" w:color="auto"/>
        <w:bottom w:val="none" w:sz="0" w:space="0" w:color="auto"/>
        <w:right w:val="none" w:sz="0" w:space="0" w:color="auto"/>
      </w:divBdr>
    </w:div>
    <w:div w:id="1731998101">
      <w:bodyDiv w:val="1"/>
      <w:marLeft w:val="0"/>
      <w:marRight w:val="0"/>
      <w:marTop w:val="0"/>
      <w:marBottom w:val="0"/>
      <w:divBdr>
        <w:top w:val="none" w:sz="0" w:space="0" w:color="auto"/>
        <w:left w:val="none" w:sz="0" w:space="0" w:color="auto"/>
        <w:bottom w:val="none" w:sz="0" w:space="0" w:color="auto"/>
        <w:right w:val="none" w:sz="0" w:space="0" w:color="auto"/>
      </w:divBdr>
    </w:div>
    <w:div w:id="1732147786">
      <w:bodyDiv w:val="1"/>
      <w:marLeft w:val="0"/>
      <w:marRight w:val="0"/>
      <w:marTop w:val="0"/>
      <w:marBottom w:val="0"/>
      <w:divBdr>
        <w:top w:val="none" w:sz="0" w:space="0" w:color="auto"/>
        <w:left w:val="none" w:sz="0" w:space="0" w:color="auto"/>
        <w:bottom w:val="none" w:sz="0" w:space="0" w:color="auto"/>
        <w:right w:val="none" w:sz="0" w:space="0" w:color="auto"/>
      </w:divBdr>
    </w:div>
    <w:div w:id="1732271565">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4159592">
      <w:bodyDiv w:val="1"/>
      <w:marLeft w:val="0"/>
      <w:marRight w:val="0"/>
      <w:marTop w:val="0"/>
      <w:marBottom w:val="0"/>
      <w:divBdr>
        <w:top w:val="none" w:sz="0" w:space="0" w:color="auto"/>
        <w:left w:val="none" w:sz="0" w:space="0" w:color="auto"/>
        <w:bottom w:val="none" w:sz="0" w:space="0" w:color="auto"/>
        <w:right w:val="none" w:sz="0" w:space="0" w:color="auto"/>
      </w:divBdr>
    </w:div>
    <w:div w:id="1734229549">
      <w:bodyDiv w:val="1"/>
      <w:marLeft w:val="0"/>
      <w:marRight w:val="0"/>
      <w:marTop w:val="0"/>
      <w:marBottom w:val="0"/>
      <w:divBdr>
        <w:top w:val="none" w:sz="0" w:space="0" w:color="auto"/>
        <w:left w:val="none" w:sz="0" w:space="0" w:color="auto"/>
        <w:bottom w:val="none" w:sz="0" w:space="0" w:color="auto"/>
        <w:right w:val="none" w:sz="0" w:space="0" w:color="auto"/>
      </w:divBdr>
    </w:div>
    <w:div w:id="173496035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7898184">
      <w:bodyDiv w:val="1"/>
      <w:marLeft w:val="0"/>
      <w:marRight w:val="0"/>
      <w:marTop w:val="0"/>
      <w:marBottom w:val="0"/>
      <w:divBdr>
        <w:top w:val="none" w:sz="0" w:space="0" w:color="auto"/>
        <w:left w:val="none" w:sz="0" w:space="0" w:color="auto"/>
        <w:bottom w:val="none" w:sz="0" w:space="0" w:color="auto"/>
        <w:right w:val="none" w:sz="0" w:space="0" w:color="auto"/>
      </w:divBdr>
    </w:div>
    <w:div w:id="1738283566">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476077">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1295093">
      <w:bodyDiv w:val="1"/>
      <w:marLeft w:val="0"/>
      <w:marRight w:val="0"/>
      <w:marTop w:val="0"/>
      <w:marBottom w:val="0"/>
      <w:divBdr>
        <w:top w:val="none" w:sz="0" w:space="0" w:color="auto"/>
        <w:left w:val="none" w:sz="0" w:space="0" w:color="auto"/>
        <w:bottom w:val="none" w:sz="0" w:space="0" w:color="auto"/>
        <w:right w:val="none" w:sz="0" w:space="0" w:color="auto"/>
      </w:divBdr>
    </w:div>
    <w:div w:id="1742481238">
      <w:bodyDiv w:val="1"/>
      <w:marLeft w:val="0"/>
      <w:marRight w:val="0"/>
      <w:marTop w:val="0"/>
      <w:marBottom w:val="0"/>
      <w:divBdr>
        <w:top w:val="none" w:sz="0" w:space="0" w:color="auto"/>
        <w:left w:val="none" w:sz="0" w:space="0" w:color="auto"/>
        <w:bottom w:val="none" w:sz="0" w:space="0" w:color="auto"/>
        <w:right w:val="none" w:sz="0" w:space="0" w:color="auto"/>
      </w:divBdr>
    </w:div>
    <w:div w:id="1742557645">
      <w:bodyDiv w:val="1"/>
      <w:marLeft w:val="0"/>
      <w:marRight w:val="0"/>
      <w:marTop w:val="0"/>
      <w:marBottom w:val="0"/>
      <w:divBdr>
        <w:top w:val="none" w:sz="0" w:space="0" w:color="auto"/>
        <w:left w:val="none" w:sz="0" w:space="0" w:color="auto"/>
        <w:bottom w:val="none" w:sz="0" w:space="0" w:color="auto"/>
        <w:right w:val="none" w:sz="0" w:space="0" w:color="auto"/>
      </w:divBdr>
    </w:div>
    <w:div w:id="1742681600">
      <w:bodyDiv w:val="1"/>
      <w:marLeft w:val="0"/>
      <w:marRight w:val="0"/>
      <w:marTop w:val="0"/>
      <w:marBottom w:val="0"/>
      <w:divBdr>
        <w:top w:val="none" w:sz="0" w:space="0" w:color="auto"/>
        <w:left w:val="none" w:sz="0" w:space="0" w:color="auto"/>
        <w:bottom w:val="none" w:sz="0" w:space="0" w:color="auto"/>
        <w:right w:val="none" w:sz="0" w:space="0" w:color="auto"/>
      </w:divBdr>
    </w:div>
    <w:div w:id="1743067213">
      <w:bodyDiv w:val="1"/>
      <w:marLeft w:val="0"/>
      <w:marRight w:val="0"/>
      <w:marTop w:val="0"/>
      <w:marBottom w:val="0"/>
      <w:divBdr>
        <w:top w:val="none" w:sz="0" w:space="0" w:color="auto"/>
        <w:left w:val="none" w:sz="0" w:space="0" w:color="auto"/>
        <w:bottom w:val="none" w:sz="0" w:space="0" w:color="auto"/>
        <w:right w:val="none" w:sz="0" w:space="0" w:color="auto"/>
      </w:divBdr>
    </w:div>
    <w:div w:id="1743989064">
      <w:bodyDiv w:val="1"/>
      <w:marLeft w:val="0"/>
      <w:marRight w:val="0"/>
      <w:marTop w:val="0"/>
      <w:marBottom w:val="0"/>
      <w:divBdr>
        <w:top w:val="none" w:sz="0" w:space="0" w:color="auto"/>
        <w:left w:val="none" w:sz="0" w:space="0" w:color="auto"/>
        <w:bottom w:val="none" w:sz="0" w:space="0" w:color="auto"/>
        <w:right w:val="none" w:sz="0" w:space="0" w:color="auto"/>
      </w:divBdr>
    </w:div>
    <w:div w:id="1744326891">
      <w:bodyDiv w:val="1"/>
      <w:marLeft w:val="0"/>
      <w:marRight w:val="0"/>
      <w:marTop w:val="0"/>
      <w:marBottom w:val="0"/>
      <w:divBdr>
        <w:top w:val="none" w:sz="0" w:space="0" w:color="auto"/>
        <w:left w:val="none" w:sz="0" w:space="0" w:color="auto"/>
        <w:bottom w:val="none" w:sz="0" w:space="0" w:color="auto"/>
        <w:right w:val="none" w:sz="0" w:space="0" w:color="auto"/>
      </w:divBdr>
    </w:div>
    <w:div w:id="1746300804">
      <w:bodyDiv w:val="1"/>
      <w:marLeft w:val="0"/>
      <w:marRight w:val="0"/>
      <w:marTop w:val="0"/>
      <w:marBottom w:val="0"/>
      <w:divBdr>
        <w:top w:val="none" w:sz="0" w:space="0" w:color="auto"/>
        <w:left w:val="none" w:sz="0" w:space="0" w:color="auto"/>
        <w:bottom w:val="none" w:sz="0" w:space="0" w:color="auto"/>
        <w:right w:val="none" w:sz="0" w:space="0" w:color="auto"/>
      </w:divBdr>
    </w:div>
    <w:div w:id="1746562851">
      <w:bodyDiv w:val="1"/>
      <w:marLeft w:val="0"/>
      <w:marRight w:val="0"/>
      <w:marTop w:val="0"/>
      <w:marBottom w:val="0"/>
      <w:divBdr>
        <w:top w:val="none" w:sz="0" w:space="0" w:color="auto"/>
        <w:left w:val="none" w:sz="0" w:space="0" w:color="auto"/>
        <w:bottom w:val="none" w:sz="0" w:space="0" w:color="auto"/>
        <w:right w:val="none" w:sz="0" w:space="0" w:color="auto"/>
      </w:divBdr>
    </w:div>
    <w:div w:id="1746680809">
      <w:bodyDiv w:val="1"/>
      <w:marLeft w:val="0"/>
      <w:marRight w:val="0"/>
      <w:marTop w:val="0"/>
      <w:marBottom w:val="0"/>
      <w:divBdr>
        <w:top w:val="none" w:sz="0" w:space="0" w:color="auto"/>
        <w:left w:val="none" w:sz="0" w:space="0" w:color="auto"/>
        <w:bottom w:val="none" w:sz="0" w:space="0" w:color="auto"/>
        <w:right w:val="none" w:sz="0" w:space="0" w:color="auto"/>
      </w:divBdr>
    </w:div>
    <w:div w:id="1747453340">
      <w:bodyDiv w:val="1"/>
      <w:marLeft w:val="0"/>
      <w:marRight w:val="0"/>
      <w:marTop w:val="0"/>
      <w:marBottom w:val="0"/>
      <w:divBdr>
        <w:top w:val="none" w:sz="0" w:space="0" w:color="auto"/>
        <w:left w:val="none" w:sz="0" w:space="0" w:color="auto"/>
        <w:bottom w:val="none" w:sz="0" w:space="0" w:color="auto"/>
        <w:right w:val="none" w:sz="0" w:space="0" w:color="auto"/>
      </w:divBdr>
    </w:div>
    <w:div w:id="1748068465">
      <w:bodyDiv w:val="1"/>
      <w:marLeft w:val="0"/>
      <w:marRight w:val="0"/>
      <w:marTop w:val="0"/>
      <w:marBottom w:val="0"/>
      <w:divBdr>
        <w:top w:val="none" w:sz="0" w:space="0" w:color="auto"/>
        <w:left w:val="none" w:sz="0" w:space="0" w:color="auto"/>
        <w:bottom w:val="none" w:sz="0" w:space="0" w:color="auto"/>
        <w:right w:val="none" w:sz="0" w:space="0" w:color="auto"/>
      </w:divBdr>
    </w:div>
    <w:div w:id="1748379103">
      <w:bodyDiv w:val="1"/>
      <w:marLeft w:val="0"/>
      <w:marRight w:val="0"/>
      <w:marTop w:val="0"/>
      <w:marBottom w:val="0"/>
      <w:divBdr>
        <w:top w:val="none" w:sz="0" w:space="0" w:color="auto"/>
        <w:left w:val="none" w:sz="0" w:space="0" w:color="auto"/>
        <w:bottom w:val="none" w:sz="0" w:space="0" w:color="auto"/>
        <w:right w:val="none" w:sz="0" w:space="0" w:color="auto"/>
      </w:divBdr>
    </w:div>
    <w:div w:id="1749231738">
      <w:bodyDiv w:val="1"/>
      <w:marLeft w:val="0"/>
      <w:marRight w:val="0"/>
      <w:marTop w:val="0"/>
      <w:marBottom w:val="0"/>
      <w:divBdr>
        <w:top w:val="none" w:sz="0" w:space="0" w:color="auto"/>
        <w:left w:val="none" w:sz="0" w:space="0" w:color="auto"/>
        <w:bottom w:val="none" w:sz="0" w:space="0" w:color="auto"/>
        <w:right w:val="none" w:sz="0" w:space="0" w:color="auto"/>
      </w:divBdr>
    </w:div>
    <w:div w:id="1750040356">
      <w:bodyDiv w:val="1"/>
      <w:marLeft w:val="0"/>
      <w:marRight w:val="0"/>
      <w:marTop w:val="0"/>
      <w:marBottom w:val="0"/>
      <w:divBdr>
        <w:top w:val="none" w:sz="0" w:space="0" w:color="auto"/>
        <w:left w:val="none" w:sz="0" w:space="0" w:color="auto"/>
        <w:bottom w:val="none" w:sz="0" w:space="0" w:color="auto"/>
        <w:right w:val="none" w:sz="0" w:space="0" w:color="auto"/>
      </w:divBdr>
    </w:div>
    <w:div w:id="1750271153">
      <w:bodyDiv w:val="1"/>
      <w:marLeft w:val="0"/>
      <w:marRight w:val="0"/>
      <w:marTop w:val="0"/>
      <w:marBottom w:val="0"/>
      <w:divBdr>
        <w:top w:val="none" w:sz="0" w:space="0" w:color="auto"/>
        <w:left w:val="none" w:sz="0" w:space="0" w:color="auto"/>
        <w:bottom w:val="none" w:sz="0" w:space="0" w:color="auto"/>
        <w:right w:val="none" w:sz="0" w:space="0" w:color="auto"/>
      </w:divBdr>
    </w:div>
    <w:div w:id="1750618588">
      <w:bodyDiv w:val="1"/>
      <w:marLeft w:val="0"/>
      <w:marRight w:val="0"/>
      <w:marTop w:val="0"/>
      <w:marBottom w:val="0"/>
      <w:divBdr>
        <w:top w:val="none" w:sz="0" w:space="0" w:color="auto"/>
        <w:left w:val="none" w:sz="0" w:space="0" w:color="auto"/>
        <w:bottom w:val="none" w:sz="0" w:space="0" w:color="auto"/>
        <w:right w:val="none" w:sz="0" w:space="0" w:color="auto"/>
      </w:divBdr>
    </w:div>
    <w:div w:id="1753308382">
      <w:bodyDiv w:val="1"/>
      <w:marLeft w:val="0"/>
      <w:marRight w:val="0"/>
      <w:marTop w:val="0"/>
      <w:marBottom w:val="0"/>
      <w:divBdr>
        <w:top w:val="none" w:sz="0" w:space="0" w:color="auto"/>
        <w:left w:val="none" w:sz="0" w:space="0" w:color="auto"/>
        <w:bottom w:val="none" w:sz="0" w:space="0" w:color="auto"/>
        <w:right w:val="none" w:sz="0" w:space="0" w:color="auto"/>
      </w:divBdr>
    </w:div>
    <w:div w:id="1753426098">
      <w:bodyDiv w:val="1"/>
      <w:marLeft w:val="0"/>
      <w:marRight w:val="0"/>
      <w:marTop w:val="0"/>
      <w:marBottom w:val="0"/>
      <w:divBdr>
        <w:top w:val="none" w:sz="0" w:space="0" w:color="auto"/>
        <w:left w:val="none" w:sz="0" w:space="0" w:color="auto"/>
        <w:bottom w:val="none" w:sz="0" w:space="0" w:color="auto"/>
        <w:right w:val="none" w:sz="0" w:space="0" w:color="auto"/>
      </w:divBdr>
    </w:div>
    <w:div w:id="1753813669">
      <w:bodyDiv w:val="1"/>
      <w:marLeft w:val="0"/>
      <w:marRight w:val="0"/>
      <w:marTop w:val="0"/>
      <w:marBottom w:val="0"/>
      <w:divBdr>
        <w:top w:val="none" w:sz="0" w:space="0" w:color="auto"/>
        <w:left w:val="none" w:sz="0" w:space="0" w:color="auto"/>
        <w:bottom w:val="none" w:sz="0" w:space="0" w:color="auto"/>
        <w:right w:val="none" w:sz="0" w:space="0" w:color="auto"/>
      </w:divBdr>
    </w:div>
    <w:div w:id="1753962769">
      <w:bodyDiv w:val="1"/>
      <w:marLeft w:val="0"/>
      <w:marRight w:val="0"/>
      <w:marTop w:val="0"/>
      <w:marBottom w:val="0"/>
      <w:divBdr>
        <w:top w:val="none" w:sz="0" w:space="0" w:color="auto"/>
        <w:left w:val="none" w:sz="0" w:space="0" w:color="auto"/>
        <w:bottom w:val="none" w:sz="0" w:space="0" w:color="auto"/>
        <w:right w:val="none" w:sz="0" w:space="0" w:color="auto"/>
      </w:divBdr>
    </w:div>
    <w:div w:id="1754164006">
      <w:bodyDiv w:val="1"/>
      <w:marLeft w:val="0"/>
      <w:marRight w:val="0"/>
      <w:marTop w:val="0"/>
      <w:marBottom w:val="0"/>
      <w:divBdr>
        <w:top w:val="none" w:sz="0" w:space="0" w:color="auto"/>
        <w:left w:val="none" w:sz="0" w:space="0" w:color="auto"/>
        <w:bottom w:val="none" w:sz="0" w:space="0" w:color="auto"/>
        <w:right w:val="none" w:sz="0" w:space="0" w:color="auto"/>
      </w:divBdr>
    </w:div>
    <w:div w:id="1754668859">
      <w:bodyDiv w:val="1"/>
      <w:marLeft w:val="0"/>
      <w:marRight w:val="0"/>
      <w:marTop w:val="0"/>
      <w:marBottom w:val="0"/>
      <w:divBdr>
        <w:top w:val="none" w:sz="0" w:space="0" w:color="auto"/>
        <w:left w:val="none" w:sz="0" w:space="0" w:color="auto"/>
        <w:bottom w:val="none" w:sz="0" w:space="0" w:color="auto"/>
        <w:right w:val="none" w:sz="0" w:space="0" w:color="auto"/>
      </w:divBdr>
    </w:div>
    <w:div w:id="1757360271">
      <w:bodyDiv w:val="1"/>
      <w:marLeft w:val="0"/>
      <w:marRight w:val="0"/>
      <w:marTop w:val="0"/>
      <w:marBottom w:val="0"/>
      <w:divBdr>
        <w:top w:val="none" w:sz="0" w:space="0" w:color="auto"/>
        <w:left w:val="none" w:sz="0" w:space="0" w:color="auto"/>
        <w:bottom w:val="none" w:sz="0" w:space="0" w:color="auto"/>
        <w:right w:val="none" w:sz="0" w:space="0" w:color="auto"/>
      </w:divBdr>
    </w:div>
    <w:div w:id="1759137714">
      <w:bodyDiv w:val="1"/>
      <w:marLeft w:val="0"/>
      <w:marRight w:val="0"/>
      <w:marTop w:val="0"/>
      <w:marBottom w:val="0"/>
      <w:divBdr>
        <w:top w:val="none" w:sz="0" w:space="0" w:color="auto"/>
        <w:left w:val="none" w:sz="0" w:space="0" w:color="auto"/>
        <w:bottom w:val="none" w:sz="0" w:space="0" w:color="auto"/>
        <w:right w:val="none" w:sz="0" w:space="0" w:color="auto"/>
      </w:divBdr>
    </w:div>
    <w:div w:id="1760712017">
      <w:bodyDiv w:val="1"/>
      <w:marLeft w:val="0"/>
      <w:marRight w:val="0"/>
      <w:marTop w:val="0"/>
      <w:marBottom w:val="0"/>
      <w:divBdr>
        <w:top w:val="none" w:sz="0" w:space="0" w:color="auto"/>
        <w:left w:val="none" w:sz="0" w:space="0" w:color="auto"/>
        <w:bottom w:val="none" w:sz="0" w:space="0" w:color="auto"/>
        <w:right w:val="none" w:sz="0" w:space="0" w:color="auto"/>
      </w:divBdr>
    </w:div>
    <w:div w:id="176175082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3452715">
      <w:bodyDiv w:val="1"/>
      <w:marLeft w:val="0"/>
      <w:marRight w:val="0"/>
      <w:marTop w:val="0"/>
      <w:marBottom w:val="0"/>
      <w:divBdr>
        <w:top w:val="none" w:sz="0" w:space="0" w:color="auto"/>
        <w:left w:val="none" w:sz="0" w:space="0" w:color="auto"/>
        <w:bottom w:val="none" w:sz="0" w:space="0" w:color="auto"/>
        <w:right w:val="none" w:sz="0" w:space="0" w:color="auto"/>
      </w:divBdr>
    </w:div>
    <w:div w:id="1763867734">
      <w:bodyDiv w:val="1"/>
      <w:marLeft w:val="0"/>
      <w:marRight w:val="0"/>
      <w:marTop w:val="0"/>
      <w:marBottom w:val="0"/>
      <w:divBdr>
        <w:top w:val="none" w:sz="0" w:space="0" w:color="auto"/>
        <w:left w:val="none" w:sz="0" w:space="0" w:color="auto"/>
        <w:bottom w:val="none" w:sz="0" w:space="0" w:color="auto"/>
        <w:right w:val="none" w:sz="0" w:space="0" w:color="auto"/>
      </w:divBdr>
    </w:div>
    <w:div w:id="1763916645">
      <w:bodyDiv w:val="1"/>
      <w:marLeft w:val="0"/>
      <w:marRight w:val="0"/>
      <w:marTop w:val="0"/>
      <w:marBottom w:val="0"/>
      <w:divBdr>
        <w:top w:val="none" w:sz="0" w:space="0" w:color="auto"/>
        <w:left w:val="none" w:sz="0" w:space="0" w:color="auto"/>
        <w:bottom w:val="none" w:sz="0" w:space="0" w:color="auto"/>
        <w:right w:val="none" w:sz="0" w:space="0" w:color="auto"/>
      </w:divBdr>
    </w:div>
    <w:div w:id="1763986115">
      <w:bodyDiv w:val="1"/>
      <w:marLeft w:val="0"/>
      <w:marRight w:val="0"/>
      <w:marTop w:val="0"/>
      <w:marBottom w:val="0"/>
      <w:divBdr>
        <w:top w:val="none" w:sz="0" w:space="0" w:color="auto"/>
        <w:left w:val="none" w:sz="0" w:space="0" w:color="auto"/>
        <w:bottom w:val="none" w:sz="0" w:space="0" w:color="auto"/>
        <w:right w:val="none" w:sz="0" w:space="0" w:color="auto"/>
      </w:divBdr>
    </w:div>
    <w:div w:id="1764689559">
      <w:bodyDiv w:val="1"/>
      <w:marLeft w:val="0"/>
      <w:marRight w:val="0"/>
      <w:marTop w:val="0"/>
      <w:marBottom w:val="0"/>
      <w:divBdr>
        <w:top w:val="none" w:sz="0" w:space="0" w:color="auto"/>
        <w:left w:val="none" w:sz="0" w:space="0" w:color="auto"/>
        <w:bottom w:val="none" w:sz="0" w:space="0" w:color="auto"/>
        <w:right w:val="none" w:sz="0" w:space="0" w:color="auto"/>
      </w:divBdr>
    </w:div>
    <w:div w:id="1765415330">
      <w:bodyDiv w:val="1"/>
      <w:marLeft w:val="0"/>
      <w:marRight w:val="0"/>
      <w:marTop w:val="0"/>
      <w:marBottom w:val="0"/>
      <w:divBdr>
        <w:top w:val="none" w:sz="0" w:space="0" w:color="auto"/>
        <w:left w:val="none" w:sz="0" w:space="0" w:color="auto"/>
        <w:bottom w:val="none" w:sz="0" w:space="0" w:color="auto"/>
        <w:right w:val="none" w:sz="0" w:space="0" w:color="auto"/>
      </w:divBdr>
    </w:div>
    <w:div w:id="1765952330">
      <w:bodyDiv w:val="1"/>
      <w:marLeft w:val="0"/>
      <w:marRight w:val="0"/>
      <w:marTop w:val="0"/>
      <w:marBottom w:val="0"/>
      <w:divBdr>
        <w:top w:val="none" w:sz="0" w:space="0" w:color="auto"/>
        <w:left w:val="none" w:sz="0" w:space="0" w:color="auto"/>
        <w:bottom w:val="none" w:sz="0" w:space="0" w:color="auto"/>
        <w:right w:val="none" w:sz="0" w:space="0" w:color="auto"/>
      </w:divBdr>
    </w:div>
    <w:div w:id="1766612067">
      <w:bodyDiv w:val="1"/>
      <w:marLeft w:val="0"/>
      <w:marRight w:val="0"/>
      <w:marTop w:val="0"/>
      <w:marBottom w:val="0"/>
      <w:divBdr>
        <w:top w:val="none" w:sz="0" w:space="0" w:color="auto"/>
        <w:left w:val="none" w:sz="0" w:space="0" w:color="auto"/>
        <w:bottom w:val="none" w:sz="0" w:space="0" w:color="auto"/>
        <w:right w:val="none" w:sz="0" w:space="0" w:color="auto"/>
      </w:divBdr>
    </w:div>
    <w:div w:id="1766920261">
      <w:bodyDiv w:val="1"/>
      <w:marLeft w:val="0"/>
      <w:marRight w:val="0"/>
      <w:marTop w:val="0"/>
      <w:marBottom w:val="0"/>
      <w:divBdr>
        <w:top w:val="none" w:sz="0" w:space="0" w:color="auto"/>
        <w:left w:val="none" w:sz="0" w:space="0" w:color="auto"/>
        <w:bottom w:val="none" w:sz="0" w:space="0" w:color="auto"/>
        <w:right w:val="none" w:sz="0" w:space="0" w:color="auto"/>
      </w:divBdr>
    </w:div>
    <w:div w:id="1767118522">
      <w:bodyDiv w:val="1"/>
      <w:marLeft w:val="0"/>
      <w:marRight w:val="0"/>
      <w:marTop w:val="0"/>
      <w:marBottom w:val="0"/>
      <w:divBdr>
        <w:top w:val="none" w:sz="0" w:space="0" w:color="auto"/>
        <w:left w:val="none" w:sz="0" w:space="0" w:color="auto"/>
        <w:bottom w:val="none" w:sz="0" w:space="0" w:color="auto"/>
        <w:right w:val="none" w:sz="0" w:space="0" w:color="auto"/>
      </w:divBdr>
    </w:div>
    <w:div w:id="1767384093">
      <w:bodyDiv w:val="1"/>
      <w:marLeft w:val="0"/>
      <w:marRight w:val="0"/>
      <w:marTop w:val="0"/>
      <w:marBottom w:val="0"/>
      <w:divBdr>
        <w:top w:val="none" w:sz="0" w:space="0" w:color="auto"/>
        <w:left w:val="none" w:sz="0" w:space="0" w:color="auto"/>
        <w:bottom w:val="none" w:sz="0" w:space="0" w:color="auto"/>
        <w:right w:val="none" w:sz="0" w:space="0" w:color="auto"/>
      </w:divBdr>
    </w:div>
    <w:div w:id="1767966456">
      <w:bodyDiv w:val="1"/>
      <w:marLeft w:val="0"/>
      <w:marRight w:val="0"/>
      <w:marTop w:val="0"/>
      <w:marBottom w:val="0"/>
      <w:divBdr>
        <w:top w:val="none" w:sz="0" w:space="0" w:color="auto"/>
        <w:left w:val="none" w:sz="0" w:space="0" w:color="auto"/>
        <w:bottom w:val="none" w:sz="0" w:space="0" w:color="auto"/>
        <w:right w:val="none" w:sz="0" w:space="0" w:color="auto"/>
      </w:divBdr>
    </w:div>
    <w:div w:id="1768035373">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69813080">
      <w:bodyDiv w:val="1"/>
      <w:marLeft w:val="0"/>
      <w:marRight w:val="0"/>
      <w:marTop w:val="0"/>
      <w:marBottom w:val="0"/>
      <w:divBdr>
        <w:top w:val="none" w:sz="0" w:space="0" w:color="auto"/>
        <w:left w:val="none" w:sz="0" w:space="0" w:color="auto"/>
        <w:bottom w:val="none" w:sz="0" w:space="0" w:color="auto"/>
        <w:right w:val="none" w:sz="0" w:space="0" w:color="auto"/>
      </w:divBdr>
    </w:div>
    <w:div w:id="1770927570">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1392271">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2700980">
      <w:bodyDiv w:val="1"/>
      <w:marLeft w:val="0"/>
      <w:marRight w:val="0"/>
      <w:marTop w:val="0"/>
      <w:marBottom w:val="0"/>
      <w:divBdr>
        <w:top w:val="none" w:sz="0" w:space="0" w:color="auto"/>
        <w:left w:val="none" w:sz="0" w:space="0" w:color="auto"/>
        <w:bottom w:val="none" w:sz="0" w:space="0" w:color="auto"/>
        <w:right w:val="none" w:sz="0" w:space="0" w:color="auto"/>
      </w:divBdr>
    </w:div>
    <w:div w:id="1773427809">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5659">
      <w:bodyDiv w:val="1"/>
      <w:marLeft w:val="0"/>
      <w:marRight w:val="0"/>
      <w:marTop w:val="0"/>
      <w:marBottom w:val="0"/>
      <w:divBdr>
        <w:top w:val="none" w:sz="0" w:space="0" w:color="auto"/>
        <w:left w:val="none" w:sz="0" w:space="0" w:color="auto"/>
        <w:bottom w:val="none" w:sz="0" w:space="0" w:color="auto"/>
        <w:right w:val="none" w:sz="0" w:space="0" w:color="auto"/>
      </w:divBdr>
    </w:div>
    <w:div w:id="1774550859">
      <w:bodyDiv w:val="1"/>
      <w:marLeft w:val="0"/>
      <w:marRight w:val="0"/>
      <w:marTop w:val="0"/>
      <w:marBottom w:val="0"/>
      <w:divBdr>
        <w:top w:val="none" w:sz="0" w:space="0" w:color="auto"/>
        <w:left w:val="none" w:sz="0" w:space="0" w:color="auto"/>
        <w:bottom w:val="none" w:sz="0" w:space="0" w:color="auto"/>
        <w:right w:val="none" w:sz="0" w:space="0" w:color="auto"/>
      </w:divBdr>
    </w:div>
    <w:div w:id="1775591465">
      <w:bodyDiv w:val="1"/>
      <w:marLeft w:val="0"/>
      <w:marRight w:val="0"/>
      <w:marTop w:val="0"/>
      <w:marBottom w:val="0"/>
      <w:divBdr>
        <w:top w:val="none" w:sz="0" w:space="0" w:color="auto"/>
        <w:left w:val="none" w:sz="0" w:space="0" w:color="auto"/>
        <w:bottom w:val="none" w:sz="0" w:space="0" w:color="auto"/>
        <w:right w:val="none" w:sz="0" w:space="0" w:color="auto"/>
      </w:divBdr>
    </w:div>
    <w:div w:id="1776363780">
      <w:bodyDiv w:val="1"/>
      <w:marLeft w:val="0"/>
      <w:marRight w:val="0"/>
      <w:marTop w:val="0"/>
      <w:marBottom w:val="0"/>
      <w:divBdr>
        <w:top w:val="none" w:sz="0" w:space="0" w:color="auto"/>
        <w:left w:val="none" w:sz="0" w:space="0" w:color="auto"/>
        <w:bottom w:val="none" w:sz="0" w:space="0" w:color="auto"/>
        <w:right w:val="none" w:sz="0" w:space="0" w:color="auto"/>
      </w:divBdr>
    </w:div>
    <w:div w:id="1776434754">
      <w:bodyDiv w:val="1"/>
      <w:marLeft w:val="0"/>
      <w:marRight w:val="0"/>
      <w:marTop w:val="0"/>
      <w:marBottom w:val="0"/>
      <w:divBdr>
        <w:top w:val="none" w:sz="0" w:space="0" w:color="auto"/>
        <w:left w:val="none" w:sz="0" w:space="0" w:color="auto"/>
        <w:bottom w:val="none" w:sz="0" w:space="0" w:color="auto"/>
        <w:right w:val="none" w:sz="0" w:space="0" w:color="auto"/>
      </w:divBdr>
    </w:div>
    <w:div w:id="177675409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8481776">
      <w:bodyDiv w:val="1"/>
      <w:marLeft w:val="0"/>
      <w:marRight w:val="0"/>
      <w:marTop w:val="0"/>
      <w:marBottom w:val="0"/>
      <w:divBdr>
        <w:top w:val="none" w:sz="0" w:space="0" w:color="auto"/>
        <w:left w:val="none" w:sz="0" w:space="0" w:color="auto"/>
        <w:bottom w:val="none" w:sz="0" w:space="0" w:color="auto"/>
        <w:right w:val="none" w:sz="0" w:space="0" w:color="auto"/>
      </w:divBdr>
    </w:div>
    <w:div w:id="1778981245">
      <w:bodyDiv w:val="1"/>
      <w:marLeft w:val="0"/>
      <w:marRight w:val="0"/>
      <w:marTop w:val="0"/>
      <w:marBottom w:val="0"/>
      <w:divBdr>
        <w:top w:val="none" w:sz="0" w:space="0" w:color="auto"/>
        <w:left w:val="none" w:sz="0" w:space="0" w:color="auto"/>
        <w:bottom w:val="none" w:sz="0" w:space="0" w:color="auto"/>
        <w:right w:val="none" w:sz="0" w:space="0" w:color="auto"/>
      </w:divBdr>
    </w:div>
    <w:div w:id="1779374329">
      <w:bodyDiv w:val="1"/>
      <w:marLeft w:val="0"/>
      <w:marRight w:val="0"/>
      <w:marTop w:val="0"/>
      <w:marBottom w:val="0"/>
      <w:divBdr>
        <w:top w:val="none" w:sz="0" w:space="0" w:color="auto"/>
        <w:left w:val="none" w:sz="0" w:space="0" w:color="auto"/>
        <w:bottom w:val="none" w:sz="0" w:space="0" w:color="auto"/>
        <w:right w:val="none" w:sz="0" w:space="0" w:color="auto"/>
      </w:divBdr>
    </w:div>
    <w:div w:id="1780097616">
      <w:bodyDiv w:val="1"/>
      <w:marLeft w:val="0"/>
      <w:marRight w:val="0"/>
      <w:marTop w:val="0"/>
      <w:marBottom w:val="0"/>
      <w:divBdr>
        <w:top w:val="none" w:sz="0" w:space="0" w:color="auto"/>
        <w:left w:val="none" w:sz="0" w:space="0" w:color="auto"/>
        <w:bottom w:val="none" w:sz="0" w:space="0" w:color="auto"/>
        <w:right w:val="none" w:sz="0" w:space="0" w:color="auto"/>
      </w:divBdr>
    </w:div>
    <w:div w:id="1781104222">
      <w:bodyDiv w:val="1"/>
      <w:marLeft w:val="0"/>
      <w:marRight w:val="0"/>
      <w:marTop w:val="0"/>
      <w:marBottom w:val="0"/>
      <w:divBdr>
        <w:top w:val="none" w:sz="0" w:space="0" w:color="auto"/>
        <w:left w:val="none" w:sz="0" w:space="0" w:color="auto"/>
        <w:bottom w:val="none" w:sz="0" w:space="0" w:color="auto"/>
        <w:right w:val="none" w:sz="0" w:space="0" w:color="auto"/>
      </w:divBdr>
    </w:div>
    <w:div w:id="1781299587">
      <w:bodyDiv w:val="1"/>
      <w:marLeft w:val="0"/>
      <w:marRight w:val="0"/>
      <w:marTop w:val="0"/>
      <w:marBottom w:val="0"/>
      <w:divBdr>
        <w:top w:val="none" w:sz="0" w:space="0" w:color="auto"/>
        <w:left w:val="none" w:sz="0" w:space="0" w:color="auto"/>
        <w:bottom w:val="none" w:sz="0" w:space="0" w:color="auto"/>
        <w:right w:val="none" w:sz="0" w:space="0" w:color="auto"/>
      </w:divBdr>
    </w:div>
    <w:div w:id="1781415643">
      <w:bodyDiv w:val="1"/>
      <w:marLeft w:val="0"/>
      <w:marRight w:val="0"/>
      <w:marTop w:val="0"/>
      <w:marBottom w:val="0"/>
      <w:divBdr>
        <w:top w:val="none" w:sz="0" w:space="0" w:color="auto"/>
        <w:left w:val="none" w:sz="0" w:space="0" w:color="auto"/>
        <w:bottom w:val="none" w:sz="0" w:space="0" w:color="auto"/>
        <w:right w:val="none" w:sz="0" w:space="0" w:color="auto"/>
      </w:divBdr>
    </w:div>
    <w:div w:id="178187756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3457061">
      <w:bodyDiv w:val="1"/>
      <w:marLeft w:val="0"/>
      <w:marRight w:val="0"/>
      <w:marTop w:val="0"/>
      <w:marBottom w:val="0"/>
      <w:divBdr>
        <w:top w:val="none" w:sz="0" w:space="0" w:color="auto"/>
        <w:left w:val="none" w:sz="0" w:space="0" w:color="auto"/>
        <w:bottom w:val="none" w:sz="0" w:space="0" w:color="auto"/>
        <w:right w:val="none" w:sz="0" w:space="0" w:color="auto"/>
      </w:divBdr>
    </w:div>
    <w:div w:id="1783526853">
      <w:bodyDiv w:val="1"/>
      <w:marLeft w:val="0"/>
      <w:marRight w:val="0"/>
      <w:marTop w:val="0"/>
      <w:marBottom w:val="0"/>
      <w:divBdr>
        <w:top w:val="none" w:sz="0" w:space="0" w:color="auto"/>
        <w:left w:val="none" w:sz="0" w:space="0" w:color="auto"/>
        <w:bottom w:val="none" w:sz="0" w:space="0" w:color="auto"/>
        <w:right w:val="none" w:sz="0" w:space="0" w:color="auto"/>
      </w:divBdr>
    </w:div>
    <w:div w:id="1787767864">
      <w:bodyDiv w:val="1"/>
      <w:marLeft w:val="0"/>
      <w:marRight w:val="0"/>
      <w:marTop w:val="0"/>
      <w:marBottom w:val="0"/>
      <w:divBdr>
        <w:top w:val="none" w:sz="0" w:space="0" w:color="auto"/>
        <w:left w:val="none" w:sz="0" w:space="0" w:color="auto"/>
        <w:bottom w:val="none" w:sz="0" w:space="0" w:color="auto"/>
        <w:right w:val="none" w:sz="0" w:space="0" w:color="auto"/>
      </w:divBdr>
    </w:div>
    <w:div w:id="1787768259">
      <w:bodyDiv w:val="1"/>
      <w:marLeft w:val="0"/>
      <w:marRight w:val="0"/>
      <w:marTop w:val="0"/>
      <w:marBottom w:val="0"/>
      <w:divBdr>
        <w:top w:val="none" w:sz="0" w:space="0" w:color="auto"/>
        <w:left w:val="none" w:sz="0" w:space="0" w:color="auto"/>
        <w:bottom w:val="none" w:sz="0" w:space="0" w:color="auto"/>
        <w:right w:val="none" w:sz="0" w:space="0" w:color="auto"/>
      </w:divBdr>
    </w:div>
    <w:div w:id="1787848447">
      <w:bodyDiv w:val="1"/>
      <w:marLeft w:val="0"/>
      <w:marRight w:val="0"/>
      <w:marTop w:val="0"/>
      <w:marBottom w:val="0"/>
      <w:divBdr>
        <w:top w:val="none" w:sz="0" w:space="0" w:color="auto"/>
        <w:left w:val="none" w:sz="0" w:space="0" w:color="auto"/>
        <w:bottom w:val="none" w:sz="0" w:space="0" w:color="auto"/>
        <w:right w:val="none" w:sz="0" w:space="0" w:color="auto"/>
      </w:divBdr>
    </w:div>
    <w:div w:id="1790120927">
      <w:bodyDiv w:val="1"/>
      <w:marLeft w:val="0"/>
      <w:marRight w:val="0"/>
      <w:marTop w:val="0"/>
      <w:marBottom w:val="0"/>
      <w:divBdr>
        <w:top w:val="none" w:sz="0" w:space="0" w:color="auto"/>
        <w:left w:val="none" w:sz="0" w:space="0" w:color="auto"/>
        <w:bottom w:val="none" w:sz="0" w:space="0" w:color="auto"/>
        <w:right w:val="none" w:sz="0" w:space="0" w:color="auto"/>
      </w:divBdr>
    </w:div>
    <w:div w:id="1790779301">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1900875">
      <w:bodyDiv w:val="1"/>
      <w:marLeft w:val="0"/>
      <w:marRight w:val="0"/>
      <w:marTop w:val="0"/>
      <w:marBottom w:val="0"/>
      <w:divBdr>
        <w:top w:val="none" w:sz="0" w:space="0" w:color="auto"/>
        <w:left w:val="none" w:sz="0" w:space="0" w:color="auto"/>
        <w:bottom w:val="none" w:sz="0" w:space="0" w:color="auto"/>
        <w:right w:val="none" w:sz="0" w:space="0" w:color="auto"/>
      </w:divBdr>
    </w:div>
    <w:div w:id="1791972664">
      <w:bodyDiv w:val="1"/>
      <w:marLeft w:val="0"/>
      <w:marRight w:val="0"/>
      <w:marTop w:val="0"/>
      <w:marBottom w:val="0"/>
      <w:divBdr>
        <w:top w:val="none" w:sz="0" w:space="0" w:color="auto"/>
        <w:left w:val="none" w:sz="0" w:space="0" w:color="auto"/>
        <w:bottom w:val="none" w:sz="0" w:space="0" w:color="auto"/>
        <w:right w:val="none" w:sz="0" w:space="0" w:color="auto"/>
      </w:divBdr>
    </w:div>
    <w:div w:id="1792288319">
      <w:bodyDiv w:val="1"/>
      <w:marLeft w:val="0"/>
      <w:marRight w:val="0"/>
      <w:marTop w:val="0"/>
      <w:marBottom w:val="0"/>
      <w:divBdr>
        <w:top w:val="none" w:sz="0" w:space="0" w:color="auto"/>
        <w:left w:val="none" w:sz="0" w:space="0" w:color="auto"/>
        <w:bottom w:val="none" w:sz="0" w:space="0" w:color="auto"/>
        <w:right w:val="none" w:sz="0" w:space="0" w:color="auto"/>
      </w:divBdr>
    </w:div>
    <w:div w:id="1792703985">
      <w:bodyDiv w:val="1"/>
      <w:marLeft w:val="0"/>
      <w:marRight w:val="0"/>
      <w:marTop w:val="0"/>
      <w:marBottom w:val="0"/>
      <w:divBdr>
        <w:top w:val="none" w:sz="0" w:space="0" w:color="auto"/>
        <w:left w:val="none" w:sz="0" w:space="0" w:color="auto"/>
        <w:bottom w:val="none" w:sz="0" w:space="0" w:color="auto"/>
        <w:right w:val="none" w:sz="0" w:space="0" w:color="auto"/>
      </w:divBdr>
    </w:div>
    <w:div w:id="1792935701">
      <w:bodyDiv w:val="1"/>
      <w:marLeft w:val="0"/>
      <w:marRight w:val="0"/>
      <w:marTop w:val="0"/>
      <w:marBottom w:val="0"/>
      <w:divBdr>
        <w:top w:val="none" w:sz="0" w:space="0" w:color="auto"/>
        <w:left w:val="none" w:sz="0" w:space="0" w:color="auto"/>
        <w:bottom w:val="none" w:sz="0" w:space="0" w:color="auto"/>
        <w:right w:val="none" w:sz="0" w:space="0" w:color="auto"/>
      </w:divBdr>
    </w:div>
    <w:div w:id="1793551462">
      <w:bodyDiv w:val="1"/>
      <w:marLeft w:val="0"/>
      <w:marRight w:val="0"/>
      <w:marTop w:val="0"/>
      <w:marBottom w:val="0"/>
      <w:divBdr>
        <w:top w:val="none" w:sz="0" w:space="0" w:color="auto"/>
        <w:left w:val="none" w:sz="0" w:space="0" w:color="auto"/>
        <w:bottom w:val="none" w:sz="0" w:space="0" w:color="auto"/>
        <w:right w:val="none" w:sz="0" w:space="0" w:color="auto"/>
      </w:divBdr>
    </w:div>
    <w:div w:id="1796564377">
      <w:bodyDiv w:val="1"/>
      <w:marLeft w:val="0"/>
      <w:marRight w:val="0"/>
      <w:marTop w:val="0"/>
      <w:marBottom w:val="0"/>
      <w:divBdr>
        <w:top w:val="none" w:sz="0" w:space="0" w:color="auto"/>
        <w:left w:val="none" w:sz="0" w:space="0" w:color="auto"/>
        <w:bottom w:val="none" w:sz="0" w:space="0" w:color="auto"/>
        <w:right w:val="none" w:sz="0" w:space="0" w:color="auto"/>
      </w:divBdr>
    </w:div>
    <w:div w:id="1796564507">
      <w:bodyDiv w:val="1"/>
      <w:marLeft w:val="0"/>
      <w:marRight w:val="0"/>
      <w:marTop w:val="0"/>
      <w:marBottom w:val="0"/>
      <w:divBdr>
        <w:top w:val="none" w:sz="0" w:space="0" w:color="auto"/>
        <w:left w:val="none" w:sz="0" w:space="0" w:color="auto"/>
        <w:bottom w:val="none" w:sz="0" w:space="0" w:color="auto"/>
        <w:right w:val="none" w:sz="0" w:space="0" w:color="auto"/>
      </w:divBdr>
    </w:div>
    <w:div w:id="1796872308">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7288479">
      <w:bodyDiv w:val="1"/>
      <w:marLeft w:val="0"/>
      <w:marRight w:val="0"/>
      <w:marTop w:val="0"/>
      <w:marBottom w:val="0"/>
      <w:divBdr>
        <w:top w:val="none" w:sz="0" w:space="0" w:color="auto"/>
        <w:left w:val="none" w:sz="0" w:space="0" w:color="auto"/>
        <w:bottom w:val="none" w:sz="0" w:space="0" w:color="auto"/>
        <w:right w:val="none" w:sz="0" w:space="0" w:color="auto"/>
      </w:divBdr>
    </w:div>
    <w:div w:id="1798639536">
      <w:bodyDiv w:val="1"/>
      <w:marLeft w:val="0"/>
      <w:marRight w:val="0"/>
      <w:marTop w:val="0"/>
      <w:marBottom w:val="0"/>
      <w:divBdr>
        <w:top w:val="none" w:sz="0" w:space="0" w:color="auto"/>
        <w:left w:val="none" w:sz="0" w:space="0" w:color="auto"/>
        <w:bottom w:val="none" w:sz="0" w:space="0" w:color="auto"/>
        <w:right w:val="none" w:sz="0" w:space="0" w:color="auto"/>
      </w:divBdr>
    </w:div>
    <w:div w:id="1799030342">
      <w:bodyDiv w:val="1"/>
      <w:marLeft w:val="0"/>
      <w:marRight w:val="0"/>
      <w:marTop w:val="0"/>
      <w:marBottom w:val="0"/>
      <w:divBdr>
        <w:top w:val="none" w:sz="0" w:space="0" w:color="auto"/>
        <w:left w:val="none" w:sz="0" w:space="0" w:color="auto"/>
        <w:bottom w:val="none" w:sz="0" w:space="0" w:color="auto"/>
        <w:right w:val="none" w:sz="0" w:space="0" w:color="auto"/>
      </w:divBdr>
    </w:div>
    <w:div w:id="1799178641">
      <w:bodyDiv w:val="1"/>
      <w:marLeft w:val="0"/>
      <w:marRight w:val="0"/>
      <w:marTop w:val="0"/>
      <w:marBottom w:val="0"/>
      <w:divBdr>
        <w:top w:val="none" w:sz="0" w:space="0" w:color="auto"/>
        <w:left w:val="none" w:sz="0" w:space="0" w:color="auto"/>
        <w:bottom w:val="none" w:sz="0" w:space="0" w:color="auto"/>
        <w:right w:val="none" w:sz="0" w:space="0" w:color="auto"/>
      </w:divBdr>
    </w:div>
    <w:div w:id="1799301757">
      <w:bodyDiv w:val="1"/>
      <w:marLeft w:val="0"/>
      <w:marRight w:val="0"/>
      <w:marTop w:val="0"/>
      <w:marBottom w:val="0"/>
      <w:divBdr>
        <w:top w:val="none" w:sz="0" w:space="0" w:color="auto"/>
        <w:left w:val="none" w:sz="0" w:space="0" w:color="auto"/>
        <w:bottom w:val="none" w:sz="0" w:space="0" w:color="auto"/>
        <w:right w:val="none" w:sz="0" w:space="0" w:color="auto"/>
      </w:divBdr>
    </w:div>
    <w:div w:id="1800148331">
      <w:bodyDiv w:val="1"/>
      <w:marLeft w:val="0"/>
      <w:marRight w:val="0"/>
      <w:marTop w:val="0"/>
      <w:marBottom w:val="0"/>
      <w:divBdr>
        <w:top w:val="none" w:sz="0" w:space="0" w:color="auto"/>
        <w:left w:val="none" w:sz="0" w:space="0" w:color="auto"/>
        <w:bottom w:val="none" w:sz="0" w:space="0" w:color="auto"/>
        <w:right w:val="none" w:sz="0" w:space="0" w:color="auto"/>
      </w:divBdr>
    </w:div>
    <w:div w:id="1800412564">
      <w:bodyDiv w:val="1"/>
      <w:marLeft w:val="0"/>
      <w:marRight w:val="0"/>
      <w:marTop w:val="0"/>
      <w:marBottom w:val="0"/>
      <w:divBdr>
        <w:top w:val="none" w:sz="0" w:space="0" w:color="auto"/>
        <w:left w:val="none" w:sz="0" w:space="0" w:color="auto"/>
        <w:bottom w:val="none" w:sz="0" w:space="0" w:color="auto"/>
        <w:right w:val="none" w:sz="0" w:space="0" w:color="auto"/>
      </w:divBdr>
    </w:div>
    <w:div w:id="1800490699">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2920724">
      <w:bodyDiv w:val="1"/>
      <w:marLeft w:val="0"/>
      <w:marRight w:val="0"/>
      <w:marTop w:val="0"/>
      <w:marBottom w:val="0"/>
      <w:divBdr>
        <w:top w:val="none" w:sz="0" w:space="0" w:color="auto"/>
        <w:left w:val="none" w:sz="0" w:space="0" w:color="auto"/>
        <w:bottom w:val="none" w:sz="0" w:space="0" w:color="auto"/>
        <w:right w:val="none" w:sz="0" w:space="0" w:color="auto"/>
      </w:divBdr>
    </w:div>
    <w:div w:id="1805270521">
      <w:bodyDiv w:val="1"/>
      <w:marLeft w:val="0"/>
      <w:marRight w:val="0"/>
      <w:marTop w:val="0"/>
      <w:marBottom w:val="0"/>
      <w:divBdr>
        <w:top w:val="none" w:sz="0" w:space="0" w:color="auto"/>
        <w:left w:val="none" w:sz="0" w:space="0" w:color="auto"/>
        <w:bottom w:val="none" w:sz="0" w:space="0" w:color="auto"/>
        <w:right w:val="none" w:sz="0" w:space="0" w:color="auto"/>
      </w:divBdr>
    </w:div>
    <w:div w:id="1806896659">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08859796">
      <w:bodyDiv w:val="1"/>
      <w:marLeft w:val="0"/>
      <w:marRight w:val="0"/>
      <w:marTop w:val="0"/>
      <w:marBottom w:val="0"/>
      <w:divBdr>
        <w:top w:val="none" w:sz="0" w:space="0" w:color="auto"/>
        <w:left w:val="none" w:sz="0" w:space="0" w:color="auto"/>
        <w:bottom w:val="none" w:sz="0" w:space="0" w:color="auto"/>
        <w:right w:val="none" w:sz="0" w:space="0" w:color="auto"/>
      </w:divBdr>
    </w:div>
    <w:div w:id="1809589219">
      <w:bodyDiv w:val="1"/>
      <w:marLeft w:val="0"/>
      <w:marRight w:val="0"/>
      <w:marTop w:val="0"/>
      <w:marBottom w:val="0"/>
      <w:divBdr>
        <w:top w:val="none" w:sz="0" w:space="0" w:color="auto"/>
        <w:left w:val="none" w:sz="0" w:space="0" w:color="auto"/>
        <w:bottom w:val="none" w:sz="0" w:space="0" w:color="auto"/>
        <w:right w:val="none" w:sz="0" w:space="0" w:color="auto"/>
      </w:divBdr>
    </w:div>
    <w:div w:id="1809742331">
      <w:bodyDiv w:val="1"/>
      <w:marLeft w:val="0"/>
      <w:marRight w:val="0"/>
      <w:marTop w:val="0"/>
      <w:marBottom w:val="0"/>
      <w:divBdr>
        <w:top w:val="none" w:sz="0" w:space="0" w:color="auto"/>
        <w:left w:val="none" w:sz="0" w:space="0" w:color="auto"/>
        <w:bottom w:val="none" w:sz="0" w:space="0" w:color="auto"/>
        <w:right w:val="none" w:sz="0" w:space="0" w:color="auto"/>
      </w:divBdr>
    </w:div>
    <w:div w:id="1810048705">
      <w:bodyDiv w:val="1"/>
      <w:marLeft w:val="0"/>
      <w:marRight w:val="0"/>
      <w:marTop w:val="0"/>
      <w:marBottom w:val="0"/>
      <w:divBdr>
        <w:top w:val="none" w:sz="0" w:space="0" w:color="auto"/>
        <w:left w:val="none" w:sz="0" w:space="0" w:color="auto"/>
        <w:bottom w:val="none" w:sz="0" w:space="0" w:color="auto"/>
        <w:right w:val="none" w:sz="0" w:space="0" w:color="auto"/>
      </w:divBdr>
    </w:div>
    <w:div w:id="1810390912">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1095663">
      <w:bodyDiv w:val="1"/>
      <w:marLeft w:val="0"/>
      <w:marRight w:val="0"/>
      <w:marTop w:val="0"/>
      <w:marBottom w:val="0"/>
      <w:divBdr>
        <w:top w:val="none" w:sz="0" w:space="0" w:color="auto"/>
        <w:left w:val="none" w:sz="0" w:space="0" w:color="auto"/>
        <w:bottom w:val="none" w:sz="0" w:space="0" w:color="auto"/>
        <w:right w:val="none" w:sz="0" w:space="0" w:color="auto"/>
      </w:divBdr>
    </w:div>
    <w:div w:id="1811242619">
      <w:bodyDiv w:val="1"/>
      <w:marLeft w:val="0"/>
      <w:marRight w:val="0"/>
      <w:marTop w:val="0"/>
      <w:marBottom w:val="0"/>
      <w:divBdr>
        <w:top w:val="none" w:sz="0" w:space="0" w:color="auto"/>
        <w:left w:val="none" w:sz="0" w:space="0" w:color="auto"/>
        <w:bottom w:val="none" w:sz="0" w:space="0" w:color="auto"/>
        <w:right w:val="none" w:sz="0" w:space="0" w:color="auto"/>
      </w:divBdr>
    </w:div>
    <w:div w:id="1811704595">
      <w:bodyDiv w:val="1"/>
      <w:marLeft w:val="0"/>
      <w:marRight w:val="0"/>
      <w:marTop w:val="0"/>
      <w:marBottom w:val="0"/>
      <w:divBdr>
        <w:top w:val="none" w:sz="0" w:space="0" w:color="auto"/>
        <w:left w:val="none" w:sz="0" w:space="0" w:color="auto"/>
        <w:bottom w:val="none" w:sz="0" w:space="0" w:color="auto"/>
        <w:right w:val="none" w:sz="0" w:space="0" w:color="auto"/>
      </w:divBdr>
    </w:div>
    <w:div w:id="1812211357">
      <w:bodyDiv w:val="1"/>
      <w:marLeft w:val="0"/>
      <w:marRight w:val="0"/>
      <w:marTop w:val="0"/>
      <w:marBottom w:val="0"/>
      <w:divBdr>
        <w:top w:val="none" w:sz="0" w:space="0" w:color="auto"/>
        <w:left w:val="none" w:sz="0" w:space="0" w:color="auto"/>
        <w:bottom w:val="none" w:sz="0" w:space="0" w:color="auto"/>
        <w:right w:val="none" w:sz="0" w:space="0" w:color="auto"/>
      </w:divBdr>
    </w:div>
    <w:div w:id="1812747803">
      <w:bodyDiv w:val="1"/>
      <w:marLeft w:val="0"/>
      <w:marRight w:val="0"/>
      <w:marTop w:val="0"/>
      <w:marBottom w:val="0"/>
      <w:divBdr>
        <w:top w:val="none" w:sz="0" w:space="0" w:color="auto"/>
        <w:left w:val="none" w:sz="0" w:space="0" w:color="auto"/>
        <w:bottom w:val="none" w:sz="0" w:space="0" w:color="auto"/>
        <w:right w:val="none" w:sz="0" w:space="0" w:color="auto"/>
      </w:divBdr>
    </w:div>
    <w:div w:id="1813054855">
      <w:bodyDiv w:val="1"/>
      <w:marLeft w:val="0"/>
      <w:marRight w:val="0"/>
      <w:marTop w:val="0"/>
      <w:marBottom w:val="0"/>
      <w:divBdr>
        <w:top w:val="none" w:sz="0" w:space="0" w:color="auto"/>
        <w:left w:val="none" w:sz="0" w:space="0" w:color="auto"/>
        <w:bottom w:val="none" w:sz="0" w:space="0" w:color="auto"/>
        <w:right w:val="none" w:sz="0" w:space="0" w:color="auto"/>
      </w:divBdr>
    </w:div>
    <w:div w:id="1813327997">
      <w:bodyDiv w:val="1"/>
      <w:marLeft w:val="0"/>
      <w:marRight w:val="0"/>
      <w:marTop w:val="0"/>
      <w:marBottom w:val="0"/>
      <w:divBdr>
        <w:top w:val="none" w:sz="0" w:space="0" w:color="auto"/>
        <w:left w:val="none" w:sz="0" w:space="0" w:color="auto"/>
        <w:bottom w:val="none" w:sz="0" w:space="0" w:color="auto"/>
        <w:right w:val="none" w:sz="0" w:space="0" w:color="auto"/>
      </w:divBdr>
    </w:div>
    <w:div w:id="1813398752">
      <w:bodyDiv w:val="1"/>
      <w:marLeft w:val="0"/>
      <w:marRight w:val="0"/>
      <w:marTop w:val="0"/>
      <w:marBottom w:val="0"/>
      <w:divBdr>
        <w:top w:val="none" w:sz="0" w:space="0" w:color="auto"/>
        <w:left w:val="none" w:sz="0" w:space="0" w:color="auto"/>
        <w:bottom w:val="none" w:sz="0" w:space="0" w:color="auto"/>
        <w:right w:val="none" w:sz="0" w:space="0" w:color="auto"/>
      </w:divBdr>
    </w:div>
    <w:div w:id="1813405254">
      <w:bodyDiv w:val="1"/>
      <w:marLeft w:val="0"/>
      <w:marRight w:val="0"/>
      <w:marTop w:val="0"/>
      <w:marBottom w:val="0"/>
      <w:divBdr>
        <w:top w:val="none" w:sz="0" w:space="0" w:color="auto"/>
        <w:left w:val="none" w:sz="0" w:space="0" w:color="auto"/>
        <w:bottom w:val="none" w:sz="0" w:space="0" w:color="auto"/>
        <w:right w:val="none" w:sz="0" w:space="0" w:color="auto"/>
      </w:divBdr>
    </w:div>
    <w:div w:id="1813522659">
      <w:bodyDiv w:val="1"/>
      <w:marLeft w:val="0"/>
      <w:marRight w:val="0"/>
      <w:marTop w:val="0"/>
      <w:marBottom w:val="0"/>
      <w:divBdr>
        <w:top w:val="none" w:sz="0" w:space="0" w:color="auto"/>
        <w:left w:val="none" w:sz="0" w:space="0" w:color="auto"/>
        <w:bottom w:val="none" w:sz="0" w:space="0" w:color="auto"/>
        <w:right w:val="none" w:sz="0" w:space="0" w:color="auto"/>
      </w:divBdr>
    </w:div>
    <w:div w:id="1814179595">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221655">
      <w:bodyDiv w:val="1"/>
      <w:marLeft w:val="0"/>
      <w:marRight w:val="0"/>
      <w:marTop w:val="0"/>
      <w:marBottom w:val="0"/>
      <w:divBdr>
        <w:top w:val="none" w:sz="0" w:space="0" w:color="auto"/>
        <w:left w:val="none" w:sz="0" w:space="0" w:color="auto"/>
        <w:bottom w:val="none" w:sz="0" w:space="0" w:color="auto"/>
        <w:right w:val="none" w:sz="0" w:space="0" w:color="auto"/>
      </w:divBdr>
    </w:div>
    <w:div w:id="1816215503">
      <w:bodyDiv w:val="1"/>
      <w:marLeft w:val="0"/>
      <w:marRight w:val="0"/>
      <w:marTop w:val="0"/>
      <w:marBottom w:val="0"/>
      <w:divBdr>
        <w:top w:val="none" w:sz="0" w:space="0" w:color="auto"/>
        <w:left w:val="none" w:sz="0" w:space="0" w:color="auto"/>
        <w:bottom w:val="none" w:sz="0" w:space="0" w:color="auto"/>
        <w:right w:val="none" w:sz="0" w:space="0" w:color="auto"/>
      </w:divBdr>
    </w:div>
    <w:div w:id="1817525249">
      <w:bodyDiv w:val="1"/>
      <w:marLeft w:val="0"/>
      <w:marRight w:val="0"/>
      <w:marTop w:val="0"/>
      <w:marBottom w:val="0"/>
      <w:divBdr>
        <w:top w:val="none" w:sz="0" w:space="0" w:color="auto"/>
        <w:left w:val="none" w:sz="0" w:space="0" w:color="auto"/>
        <w:bottom w:val="none" w:sz="0" w:space="0" w:color="auto"/>
        <w:right w:val="none" w:sz="0" w:space="0" w:color="auto"/>
      </w:divBdr>
    </w:div>
    <w:div w:id="1818185631">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19031110">
      <w:bodyDiv w:val="1"/>
      <w:marLeft w:val="0"/>
      <w:marRight w:val="0"/>
      <w:marTop w:val="0"/>
      <w:marBottom w:val="0"/>
      <w:divBdr>
        <w:top w:val="none" w:sz="0" w:space="0" w:color="auto"/>
        <w:left w:val="none" w:sz="0" w:space="0" w:color="auto"/>
        <w:bottom w:val="none" w:sz="0" w:space="0" w:color="auto"/>
        <w:right w:val="none" w:sz="0" w:space="0" w:color="auto"/>
      </w:divBdr>
    </w:div>
    <w:div w:id="1819225244">
      <w:bodyDiv w:val="1"/>
      <w:marLeft w:val="0"/>
      <w:marRight w:val="0"/>
      <w:marTop w:val="0"/>
      <w:marBottom w:val="0"/>
      <w:divBdr>
        <w:top w:val="none" w:sz="0" w:space="0" w:color="auto"/>
        <w:left w:val="none" w:sz="0" w:space="0" w:color="auto"/>
        <w:bottom w:val="none" w:sz="0" w:space="0" w:color="auto"/>
        <w:right w:val="none" w:sz="0" w:space="0" w:color="auto"/>
      </w:divBdr>
    </w:div>
    <w:div w:id="1819347489">
      <w:bodyDiv w:val="1"/>
      <w:marLeft w:val="0"/>
      <w:marRight w:val="0"/>
      <w:marTop w:val="0"/>
      <w:marBottom w:val="0"/>
      <w:divBdr>
        <w:top w:val="none" w:sz="0" w:space="0" w:color="auto"/>
        <w:left w:val="none" w:sz="0" w:space="0" w:color="auto"/>
        <w:bottom w:val="none" w:sz="0" w:space="0" w:color="auto"/>
        <w:right w:val="none" w:sz="0" w:space="0" w:color="auto"/>
      </w:divBdr>
    </w:div>
    <w:div w:id="1819489622">
      <w:bodyDiv w:val="1"/>
      <w:marLeft w:val="0"/>
      <w:marRight w:val="0"/>
      <w:marTop w:val="0"/>
      <w:marBottom w:val="0"/>
      <w:divBdr>
        <w:top w:val="none" w:sz="0" w:space="0" w:color="auto"/>
        <w:left w:val="none" w:sz="0" w:space="0" w:color="auto"/>
        <w:bottom w:val="none" w:sz="0" w:space="0" w:color="auto"/>
        <w:right w:val="none" w:sz="0" w:space="0" w:color="auto"/>
      </w:divBdr>
    </w:div>
    <w:div w:id="1819570760">
      <w:bodyDiv w:val="1"/>
      <w:marLeft w:val="0"/>
      <w:marRight w:val="0"/>
      <w:marTop w:val="0"/>
      <w:marBottom w:val="0"/>
      <w:divBdr>
        <w:top w:val="none" w:sz="0" w:space="0" w:color="auto"/>
        <w:left w:val="none" w:sz="0" w:space="0" w:color="auto"/>
        <w:bottom w:val="none" w:sz="0" w:space="0" w:color="auto"/>
        <w:right w:val="none" w:sz="0" w:space="0" w:color="auto"/>
      </w:divBdr>
    </w:div>
    <w:div w:id="1819615545">
      <w:bodyDiv w:val="1"/>
      <w:marLeft w:val="0"/>
      <w:marRight w:val="0"/>
      <w:marTop w:val="0"/>
      <w:marBottom w:val="0"/>
      <w:divBdr>
        <w:top w:val="none" w:sz="0" w:space="0" w:color="auto"/>
        <w:left w:val="none" w:sz="0" w:space="0" w:color="auto"/>
        <w:bottom w:val="none" w:sz="0" w:space="0" w:color="auto"/>
        <w:right w:val="none" w:sz="0" w:space="0" w:color="auto"/>
      </w:divBdr>
    </w:div>
    <w:div w:id="1819804053">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1145371">
      <w:bodyDiv w:val="1"/>
      <w:marLeft w:val="0"/>
      <w:marRight w:val="0"/>
      <w:marTop w:val="0"/>
      <w:marBottom w:val="0"/>
      <w:divBdr>
        <w:top w:val="none" w:sz="0" w:space="0" w:color="auto"/>
        <w:left w:val="none" w:sz="0" w:space="0" w:color="auto"/>
        <w:bottom w:val="none" w:sz="0" w:space="0" w:color="auto"/>
        <w:right w:val="none" w:sz="0" w:space="0" w:color="auto"/>
      </w:divBdr>
    </w:div>
    <w:div w:id="1821580124">
      <w:bodyDiv w:val="1"/>
      <w:marLeft w:val="0"/>
      <w:marRight w:val="0"/>
      <w:marTop w:val="0"/>
      <w:marBottom w:val="0"/>
      <w:divBdr>
        <w:top w:val="none" w:sz="0" w:space="0" w:color="auto"/>
        <w:left w:val="none" w:sz="0" w:space="0" w:color="auto"/>
        <w:bottom w:val="none" w:sz="0" w:space="0" w:color="auto"/>
        <w:right w:val="none" w:sz="0" w:space="0" w:color="auto"/>
      </w:divBdr>
    </w:div>
    <w:div w:id="1822498419">
      <w:bodyDiv w:val="1"/>
      <w:marLeft w:val="0"/>
      <w:marRight w:val="0"/>
      <w:marTop w:val="0"/>
      <w:marBottom w:val="0"/>
      <w:divBdr>
        <w:top w:val="none" w:sz="0" w:space="0" w:color="auto"/>
        <w:left w:val="none" w:sz="0" w:space="0" w:color="auto"/>
        <w:bottom w:val="none" w:sz="0" w:space="0" w:color="auto"/>
        <w:right w:val="none" w:sz="0" w:space="0" w:color="auto"/>
      </w:divBdr>
    </w:div>
    <w:div w:id="182284172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3623332">
      <w:bodyDiv w:val="1"/>
      <w:marLeft w:val="0"/>
      <w:marRight w:val="0"/>
      <w:marTop w:val="0"/>
      <w:marBottom w:val="0"/>
      <w:divBdr>
        <w:top w:val="none" w:sz="0" w:space="0" w:color="auto"/>
        <w:left w:val="none" w:sz="0" w:space="0" w:color="auto"/>
        <w:bottom w:val="none" w:sz="0" w:space="0" w:color="auto"/>
        <w:right w:val="none" w:sz="0" w:space="0" w:color="auto"/>
      </w:divBdr>
    </w:div>
    <w:div w:id="1823887400">
      <w:bodyDiv w:val="1"/>
      <w:marLeft w:val="0"/>
      <w:marRight w:val="0"/>
      <w:marTop w:val="0"/>
      <w:marBottom w:val="0"/>
      <w:divBdr>
        <w:top w:val="none" w:sz="0" w:space="0" w:color="auto"/>
        <w:left w:val="none" w:sz="0" w:space="0" w:color="auto"/>
        <w:bottom w:val="none" w:sz="0" w:space="0" w:color="auto"/>
        <w:right w:val="none" w:sz="0" w:space="0" w:color="auto"/>
      </w:divBdr>
    </w:div>
    <w:div w:id="1824154980">
      <w:bodyDiv w:val="1"/>
      <w:marLeft w:val="0"/>
      <w:marRight w:val="0"/>
      <w:marTop w:val="0"/>
      <w:marBottom w:val="0"/>
      <w:divBdr>
        <w:top w:val="none" w:sz="0" w:space="0" w:color="auto"/>
        <w:left w:val="none" w:sz="0" w:space="0" w:color="auto"/>
        <w:bottom w:val="none" w:sz="0" w:space="0" w:color="auto"/>
        <w:right w:val="none" w:sz="0" w:space="0" w:color="auto"/>
      </w:divBdr>
    </w:div>
    <w:div w:id="1825701911">
      <w:bodyDiv w:val="1"/>
      <w:marLeft w:val="0"/>
      <w:marRight w:val="0"/>
      <w:marTop w:val="0"/>
      <w:marBottom w:val="0"/>
      <w:divBdr>
        <w:top w:val="none" w:sz="0" w:space="0" w:color="auto"/>
        <w:left w:val="none" w:sz="0" w:space="0" w:color="auto"/>
        <w:bottom w:val="none" w:sz="0" w:space="0" w:color="auto"/>
        <w:right w:val="none" w:sz="0" w:space="0" w:color="auto"/>
      </w:divBdr>
    </w:div>
    <w:div w:id="1825924094">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583376">
      <w:bodyDiv w:val="1"/>
      <w:marLeft w:val="0"/>
      <w:marRight w:val="0"/>
      <w:marTop w:val="0"/>
      <w:marBottom w:val="0"/>
      <w:divBdr>
        <w:top w:val="none" w:sz="0" w:space="0" w:color="auto"/>
        <w:left w:val="none" w:sz="0" w:space="0" w:color="auto"/>
        <w:bottom w:val="none" w:sz="0" w:space="0" w:color="auto"/>
        <w:right w:val="none" w:sz="0" w:space="0" w:color="auto"/>
      </w:divBdr>
    </w:div>
    <w:div w:id="1827281427">
      <w:bodyDiv w:val="1"/>
      <w:marLeft w:val="0"/>
      <w:marRight w:val="0"/>
      <w:marTop w:val="0"/>
      <w:marBottom w:val="0"/>
      <w:divBdr>
        <w:top w:val="none" w:sz="0" w:space="0" w:color="auto"/>
        <w:left w:val="none" w:sz="0" w:space="0" w:color="auto"/>
        <w:bottom w:val="none" w:sz="0" w:space="0" w:color="auto"/>
        <w:right w:val="none" w:sz="0" w:space="0" w:color="auto"/>
      </w:divBdr>
    </w:div>
    <w:div w:id="1827669324">
      <w:bodyDiv w:val="1"/>
      <w:marLeft w:val="0"/>
      <w:marRight w:val="0"/>
      <w:marTop w:val="0"/>
      <w:marBottom w:val="0"/>
      <w:divBdr>
        <w:top w:val="none" w:sz="0" w:space="0" w:color="auto"/>
        <w:left w:val="none" w:sz="0" w:space="0" w:color="auto"/>
        <w:bottom w:val="none" w:sz="0" w:space="0" w:color="auto"/>
        <w:right w:val="none" w:sz="0" w:space="0" w:color="auto"/>
      </w:divBdr>
    </w:div>
    <w:div w:id="1827935726">
      <w:bodyDiv w:val="1"/>
      <w:marLeft w:val="0"/>
      <w:marRight w:val="0"/>
      <w:marTop w:val="0"/>
      <w:marBottom w:val="0"/>
      <w:divBdr>
        <w:top w:val="none" w:sz="0" w:space="0" w:color="auto"/>
        <w:left w:val="none" w:sz="0" w:space="0" w:color="auto"/>
        <w:bottom w:val="none" w:sz="0" w:space="0" w:color="auto"/>
        <w:right w:val="none" w:sz="0" w:space="0" w:color="auto"/>
      </w:divBdr>
    </w:div>
    <w:div w:id="1828133066">
      <w:bodyDiv w:val="1"/>
      <w:marLeft w:val="0"/>
      <w:marRight w:val="0"/>
      <w:marTop w:val="0"/>
      <w:marBottom w:val="0"/>
      <w:divBdr>
        <w:top w:val="none" w:sz="0" w:space="0" w:color="auto"/>
        <w:left w:val="none" w:sz="0" w:space="0" w:color="auto"/>
        <w:bottom w:val="none" w:sz="0" w:space="0" w:color="auto"/>
        <w:right w:val="none" w:sz="0" w:space="0" w:color="auto"/>
      </w:divBdr>
    </w:div>
    <w:div w:id="1828592459">
      <w:bodyDiv w:val="1"/>
      <w:marLeft w:val="0"/>
      <w:marRight w:val="0"/>
      <w:marTop w:val="0"/>
      <w:marBottom w:val="0"/>
      <w:divBdr>
        <w:top w:val="none" w:sz="0" w:space="0" w:color="auto"/>
        <w:left w:val="none" w:sz="0" w:space="0" w:color="auto"/>
        <w:bottom w:val="none" w:sz="0" w:space="0" w:color="auto"/>
        <w:right w:val="none" w:sz="0" w:space="0" w:color="auto"/>
      </w:divBdr>
    </w:div>
    <w:div w:id="1828663456">
      <w:bodyDiv w:val="1"/>
      <w:marLeft w:val="0"/>
      <w:marRight w:val="0"/>
      <w:marTop w:val="0"/>
      <w:marBottom w:val="0"/>
      <w:divBdr>
        <w:top w:val="none" w:sz="0" w:space="0" w:color="auto"/>
        <w:left w:val="none" w:sz="0" w:space="0" w:color="auto"/>
        <w:bottom w:val="none" w:sz="0" w:space="0" w:color="auto"/>
        <w:right w:val="none" w:sz="0" w:space="0" w:color="auto"/>
      </w:divBdr>
    </w:div>
    <w:div w:id="1829318847">
      <w:bodyDiv w:val="1"/>
      <w:marLeft w:val="0"/>
      <w:marRight w:val="0"/>
      <w:marTop w:val="0"/>
      <w:marBottom w:val="0"/>
      <w:divBdr>
        <w:top w:val="none" w:sz="0" w:space="0" w:color="auto"/>
        <w:left w:val="none" w:sz="0" w:space="0" w:color="auto"/>
        <w:bottom w:val="none" w:sz="0" w:space="0" w:color="auto"/>
        <w:right w:val="none" w:sz="0" w:space="0" w:color="auto"/>
      </w:divBdr>
    </w:div>
    <w:div w:id="1829322390">
      <w:bodyDiv w:val="1"/>
      <w:marLeft w:val="0"/>
      <w:marRight w:val="0"/>
      <w:marTop w:val="0"/>
      <w:marBottom w:val="0"/>
      <w:divBdr>
        <w:top w:val="none" w:sz="0" w:space="0" w:color="auto"/>
        <w:left w:val="none" w:sz="0" w:space="0" w:color="auto"/>
        <w:bottom w:val="none" w:sz="0" w:space="0" w:color="auto"/>
        <w:right w:val="none" w:sz="0" w:space="0" w:color="auto"/>
      </w:divBdr>
    </w:div>
    <w:div w:id="1829587071">
      <w:bodyDiv w:val="1"/>
      <w:marLeft w:val="0"/>
      <w:marRight w:val="0"/>
      <w:marTop w:val="0"/>
      <w:marBottom w:val="0"/>
      <w:divBdr>
        <w:top w:val="none" w:sz="0" w:space="0" w:color="auto"/>
        <w:left w:val="none" w:sz="0" w:space="0" w:color="auto"/>
        <w:bottom w:val="none" w:sz="0" w:space="0" w:color="auto"/>
        <w:right w:val="none" w:sz="0" w:space="0" w:color="auto"/>
      </w:divBdr>
    </w:div>
    <w:div w:id="1829831393">
      <w:bodyDiv w:val="1"/>
      <w:marLeft w:val="0"/>
      <w:marRight w:val="0"/>
      <w:marTop w:val="0"/>
      <w:marBottom w:val="0"/>
      <w:divBdr>
        <w:top w:val="none" w:sz="0" w:space="0" w:color="auto"/>
        <w:left w:val="none" w:sz="0" w:space="0" w:color="auto"/>
        <w:bottom w:val="none" w:sz="0" w:space="0" w:color="auto"/>
        <w:right w:val="none" w:sz="0" w:space="0" w:color="auto"/>
      </w:divBdr>
    </w:div>
    <w:div w:id="1829981859">
      <w:bodyDiv w:val="1"/>
      <w:marLeft w:val="0"/>
      <w:marRight w:val="0"/>
      <w:marTop w:val="0"/>
      <w:marBottom w:val="0"/>
      <w:divBdr>
        <w:top w:val="none" w:sz="0" w:space="0" w:color="auto"/>
        <w:left w:val="none" w:sz="0" w:space="0" w:color="auto"/>
        <w:bottom w:val="none" w:sz="0" w:space="0" w:color="auto"/>
        <w:right w:val="none" w:sz="0" w:space="0" w:color="auto"/>
      </w:divBdr>
    </w:div>
    <w:div w:id="1830514686">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2402134">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3719315">
      <w:bodyDiv w:val="1"/>
      <w:marLeft w:val="0"/>
      <w:marRight w:val="0"/>
      <w:marTop w:val="0"/>
      <w:marBottom w:val="0"/>
      <w:divBdr>
        <w:top w:val="none" w:sz="0" w:space="0" w:color="auto"/>
        <w:left w:val="none" w:sz="0" w:space="0" w:color="auto"/>
        <w:bottom w:val="none" w:sz="0" w:space="0" w:color="auto"/>
        <w:right w:val="none" w:sz="0" w:space="0" w:color="auto"/>
      </w:divBdr>
    </w:div>
    <w:div w:id="1833907526">
      <w:bodyDiv w:val="1"/>
      <w:marLeft w:val="0"/>
      <w:marRight w:val="0"/>
      <w:marTop w:val="0"/>
      <w:marBottom w:val="0"/>
      <w:divBdr>
        <w:top w:val="none" w:sz="0" w:space="0" w:color="auto"/>
        <w:left w:val="none" w:sz="0" w:space="0" w:color="auto"/>
        <w:bottom w:val="none" w:sz="0" w:space="0" w:color="auto"/>
        <w:right w:val="none" w:sz="0" w:space="0" w:color="auto"/>
      </w:divBdr>
    </w:div>
    <w:div w:id="1834027046">
      <w:bodyDiv w:val="1"/>
      <w:marLeft w:val="0"/>
      <w:marRight w:val="0"/>
      <w:marTop w:val="0"/>
      <w:marBottom w:val="0"/>
      <w:divBdr>
        <w:top w:val="none" w:sz="0" w:space="0" w:color="auto"/>
        <w:left w:val="none" w:sz="0" w:space="0" w:color="auto"/>
        <w:bottom w:val="none" w:sz="0" w:space="0" w:color="auto"/>
        <w:right w:val="none" w:sz="0" w:space="0" w:color="auto"/>
      </w:divBdr>
    </w:div>
    <w:div w:id="1834030757">
      <w:bodyDiv w:val="1"/>
      <w:marLeft w:val="0"/>
      <w:marRight w:val="0"/>
      <w:marTop w:val="0"/>
      <w:marBottom w:val="0"/>
      <w:divBdr>
        <w:top w:val="none" w:sz="0" w:space="0" w:color="auto"/>
        <w:left w:val="none" w:sz="0" w:space="0" w:color="auto"/>
        <w:bottom w:val="none" w:sz="0" w:space="0" w:color="auto"/>
        <w:right w:val="none" w:sz="0" w:space="0" w:color="auto"/>
      </w:divBdr>
    </w:div>
    <w:div w:id="1834447800">
      <w:bodyDiv w:val="1"/>
      <w:marLeft w:val="0"/>
      <w:marRight w:val="0"/>
      <w:marTop w:val="0"/>
      <w:marBottom w:val="0"/>
      <w:divBdr>
        <w:top w:val="none" w:sz="0" w:space="0" w:color="auto"/>
        <w:left w:val="none" w:sz="0" w:space="0" w:color="auto"/>
        <w:bottom w:val="none" w:sz="0" w:space="0" w:color="auto"/>
        <w:right w:val="none" w:sz="0" w:space="0" w:color="auto"/>
      </w:divBdr>
    </w:div>
    <w:div w:id="183468057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5955458">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8887339">
      <w:bodyDiv w:val="1"/>
      <w:marLeft w:val="0"/>
      <w:marRight w:val="0"/>
      <w:marTop w:val="0"/>
      <w:marBottom w:val="0"/>
      <w:divBdr>
        <w:top w:val="none" w:sz="0" w:space="0" w:color="auto"/>
        <w:left w:val="none" w:sz="0" w:space="0" w:color="auto"/>
        <w:bottom w:val="none" w:sz="0" w:space="0" w:color="auto"/>
        <w:right w:val="none" w:sz="0" w:space="0" w:color="auto"/>
      </w:divBdr>
    </w:div>
    <w:div w:id="1839465981">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0385787">
      <w:bodyDiv w:val="1"/>
      <w:marLeft w:val="0"/>
      <w:marRight w:val="0"/>
      <w:marTop w:val="0"/>
      <w:marBottom w:val="0"/>
      <w:divBdr>
        <w:top w:val="none" w:sz="0" w:space="0" w:color="auto"/>
        <w:left w:val="none" w:sz="0" w:space="0" w:color="auto"/>
        <w:bottom w:val="none" w:sz="0" w:space="0" w:color="auto"/>
        <w:right w:val="none" w:sz="0" w:space="0" w:color="auto"/>
      </w:divBdr>
    </w:div>
    <w:div w:id="1840660403">
      <w:bodyDiv w:val="1"/>
      <w:marLeft w:val="0"/>
      <w:marRight w:val="0"/>
      <w:marTop w:val="0"/>
      <w:marBottom w:val="0"/>
      <w:divBdr>
        <w:top w:val="none" w:sz="0" w:space="0" w:color="auto"/>
        <w:left w:val="none" w:sz="0" w:space="0" w:color="auto"/>
        <w:bottom w:val="none" w:sz="0" w:space="0" w:color="auto"/>
        <w:right w:val="none" w:sz="0" w:space="0" w:color="auto"/>
      </w:divBdr>
    </w:div>
    <w:div w:id="1841309513">
      <w:bodyDiv w:val="1"/>
      <w:marLeft w:val="0"/>
      <w:marRight w:val="0"/>
      <w:marTop w:val="0"/>
      <w:marBottom w:val="0"/>
      <w:divBdr>
        <w:top w:val="none" w:sz="0" w:space="0" w:color="auto"/>
        <w:left w:val="none" w:sz="0" w:space="0" w:color="auto"/>
        <w:bottom w:val="none" w:sz="0" w:space="0" w:color="auto"/>
        <w:right w:val="none" w:sz="0" w:space="0" w:color="auto"/>
      </w:divBdr>
    </w:div>
    <w:div w:id="1841575384">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2549366">
      <w:bodyDiv w:val="1"/>
      <w:marLeft w:val="0"/>
      <w:marRight w:val="0"/>
      <w:marTop w:val="0"/>
      <w:marBottom w:val="0"/>
      <w:divBdr>
        <w:top w:val="none" w:sz="0" w:space="0" w:color="auto"/>
        <w:left w:val="none" w:sz="0" w:space="0" w:color="auto"/>
        <w:bottom w:val="none" w:sz="0" w:space="0" w:color="auto"/>
        <w:right w:val="none" w:sz="0" w:space="0" w:color="auto"/>
      </w:divBdr>
    </w:div>
    <w:div w:id="1842696837">
      <w:bodyDiv w:val="1"/>
      <w:marLeft w:val="0"/>
      <w:marRight w:val="0"/>
      <w:marTop w:val="0"/>
      <w:marBottom w:val="0"/>
      <w:divBdr>
        <w:top w:val="none" w:sz="0" w:space="0" w:color="auto"/>
        <w:left w:val="none" w:sz="0" w:space="0" w:color="auto"/>
        <w:bottom w:val="none" w:sz="0" w:space="0" w:color="auto"/>
        <w:right w:val="none" w:sz="0" w:space="0" w:color="auto"/>
      </w:divBdr>
    </w:div>
    <w:div w:id="1843743267">
      <w:bodyDiv w:val="1"/>
      <w:marLeft w:val="0"/>
      <w:marRight w:val="0"/>
      <w:marTop w:val="0"/>
      <w:marBottom w:val="0"/>
      <w:divBdr>
        <w:top w:val="none" w:sz="0" w:space="0" w:color="auto"/>
        <w:left w:val="none" w:sz="0" w:space="0" w:color="auto"/>
        <w:bottom w:val="none" w:sz="0" w:space="0" w:color="auto"/>
        <w:right w:val="none" w:sz="0" w:space="0" w:color="auto"/>
      </w:divBdr>
    </w:div>
    <w:div w:id="1843928103">
      <w:bodyDiv w:val="1"/>
      <w:marLeft w:val="0"/>
      <w:marRight w:val="0"/>
      <w:marTop w:val="0"/>
      <w:marBottom w:val="0"/>
      <w:divBdr>
        <w:top w:val="none" w:sz="0" w:space="0" w:color="auto"/>
        <w:left w:val="none" w:sz="0" w:space="0" w:color="auto"/>
        <w:bottom w:val="none" w:sz="0" w:space="0" w:color="auto"/>
        <w:right w:val="none" w:sz="0" w:space="0" w:color="auto"/>
      </w:divBdr>
    </w:div>
    <w:div w:id="1846087808">
      <w:bodyDiv w:val="1"/>
      <w:marLeft w:val="0"/>
      <w:marRight w:val="0"/>
      <w:marTop w:val="0"/>
      <w:marBottom w:val="0"/>
      <w:divBdr>
        <w:top w:val="none" w:sz="0" w:space="0" w:color="auto"/>
        <w:left w:val="none" w:sz="0" w:space="0" w:color="auto"/>
        <w:bottom w:val="none" w:sz="0" w:space="0" w:color="auto"/>
        <w:right w:val="none" w:sz="0" w:space="0" w:color="auto"/>
      </w:divBdr>
    </w:div>
    <w:div w:id="1846312835">
      <w:bodyDiv w:val="1"/>
      <w:marLeft w:val="0"/>
      <w:marRight w:val="0"/>
      <w:marTop w:val="0"/>
      <w:marBottom w:val="0"/>
      <w:divBdr>
        <w:top w:val="none" w:sz="0" w:space="0" w:color="auto"/>
        <w:left w:val="none" w:sz="0" w:space="0" w:color="auto"/>
        <w:bottom w:val="none" w:sz="0" w:space="0" w:color="auto"/>
        <w:right w:val="none" w:sz="0" w:space="0" w:color="auto"/>
      </w:divBdr>
    </w:div>
    <w:div w:id="1846556462">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6902063">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7282156">
      <w:bodyDiv w:val="1"/>
      <w:marLeft w:val="0"/>
      <w:marRight w:val="0"/>
      <w:marTop w:val="0"/>
      <w:marBottom w:val="0"/>
      <w:divBdr>
        <w:top w:val="none" w:sz="0" w:space="0" w:color="auto"/>
        <w:left w:val="none" w:sz="0" w:space="0" w:color="auto"/>
        <w:bottom w:val="none" w:sz="0" w:space="0" w:color="auto"/>
        <w:right w:val="none" w:sz="0" w:space="0" w:color="auto"/>
      </w:divBdr>
    </w:div>
    <w:div w:id="1847480722">
      <w:bodyDiv w:val="1"/>
      <w:marLeft w:val="0"/>
      <w:marRight w:val="0"/>
      <w:marTop w:val="0"/>
      <w:marBottom w:val="0"/>
      <w:divBdr>
        <w:top w:val="none" w:sz="0" w:space="0" w:color="auto"/>
        <w:left w:val="none" w:sz="0" w:space="0" w:color="auto"/>
        <w:bottom w:val="none" w:sz="0" w:space="0" w:color="auto"/>
        <w:right w:val="none" w:sz="0" w:space="0" w:color="auto"/>
      </w:divBdr>
    </w:div>
    <w:div w:id="1849128911">
      <w:bodyDiv w:val="1"/>
      <w:marLeft w:val="0"/>
      <w:marRight w:val="0"/>
      <w:marTop w:val="0"/>
      <w:marBottom w:val="0"/>
      <w:divBdr>
        <w:top w:val="none" w:sz="0" w:space="0" w:color="auto"/>
        <w:left w:val="none" w:sz="0" w:space="0" w:color="auto"/>
        <w:bottom w:val="none" w:sz="0" w:space="0" w:color="auto"/>
        <w:right w:val="none" w:sz="0" w:space="0" w:color="auto"/>
      </w:divBdr>
    </w:div>
    <w:div w:id="1849707835">
      <w:bodyDiv w:val="1"/>
      <w:marLeft w:val="0"/>
      <w:marRight w:val="0"/>
      <w:marTop w:val="0"/>
      <w:marBottom w:val="0"/>
      <w:divBdr>
        <w:top w:val="none" w:sz="0" w:space="0" w:color="auto"/>
        <w:left w:val="none" w:sz="0" w:space="0" w:color="auto"/>
        <w:bottom w:val="none" w:sz="0" w:space="0" w:color="auto"/>
        <w:right w:val="none" w:sz="0" w:space="0" w:color="auto"/>
      </w:divBdr>
    </w:div>
    <w:div w:id="1849754220">
      <w:bodyDiv w:val="1"/>
      <w:marLeft w:val="0"/>
      <w:marRight w:val="0"/>
      <w:marTop w:val="0"/>
      <w:marBottom w:val="0"/>
      <w:divBdr>
        <w:top w:val="none" w:sz="0" w:space="0" w:color="auto"/>
        <w:left w:val="none" w:sz="0" w:space="0" w:color="auto"/>
        <w:bottom w:val="none" w:sz="0" w:space="0" w:color="auto"/>
        <w:right w:val="none" w:sz="0" w:space="0" w:color="auto"/>
      </w:divBdr>
    </w:div>
    <w:div w:id="1849755343">
      <w:bodyDiv w:val="1"/>
      <w:marLeft w:val="0"/>
      <w:marRight w:val="0"/>
      <w:marTop w:val="0"/>
      <w:marBottom w:val="0"/>
      <w:divBdr>
        <w:top w:val="none" w:sz="0" w:space="0" w:color="auto"/>
        <w:left w:val="none" w:sz="0" w:space="0" w:color="auto"/>
        <w:bottom w:val="none" w:sz="0" w:space="0" w:color="auto"/>
        <w:right w:val="none" w:sz="0" w:space="0" w:color="auto"/>
      </w:divBdr>
    </w:div>
    <w:div w:id="1849759119">
      <w:bodyDiv w:val="1"/>
      <w:marLeft w:val="0"/>
      <w:marRight w:val="0"/>
      <w:marTop w:val="0"/>
      <w:marBottom w:val="0"/>
      <w:divBdr>
        <w:top w:val="none" w:sz="0" w:space="0" w:color="auto"/>
        <w:left w:val="none" w:sz="0" w:space="0" w:color="auto"/>
        <w:bottom w:val="none" w:sz="0" w:space="0" w:color="auto"/>
        <w:right w:val="none" w:sz="0" w:space="0" w:color="auto"/>
      </w:divBdr>
    </w:div>
    <w:div w:id="1849834470">
      <w:bodyDiv w:val="1"/>
      <w:marLeft w:val="0"/>
      <w:marRight w:val="0"/>
      <w:marTop w:val="0"/>
      <w:marBottom w:val="0"/>
      <w:divBdr>
        <w:top w:val="none" w:sz="0" w:space="0" w:color="auto"/>
        <w:left w:val="none" w:sz="0" w:space="0" w:color="auto"/>
        <w:bottom w:val="none" w:sz="0" w:space="0" w:color="auto"/>
        <w:right w:val="none" w:sz="0" w:space="0" w:color="auto"/>
      </w:divBdr>
    </w:div>
    <w:div w:id="1850634053">
      <w:bodyDiv w:val="1"/>
      <w:marLeft w:val="0"/>
      <w:marRight w:val="0"/>
      <w:marTop w:val="0"/>
      <w:marBottom w:val="0"/>
      <w:divBdr>
        <w:top w:val="none" w:sz="0" w:space="0" w:color="auto"/>
        <w:left w:val="none" w:sz="0" w:space="0" w:color="auto"/>
        <w:bottom w:val="none" w:sz="0" w:space="0" w:color="auto"/>
        <w:right w:val="none" w:sz="0" w:space="0" w:color="auto"/>
      </w:divBdr>
    </w:div>
    <w:div w:id="1851020368">
      <w:bodyDiv w:val="1"/>
      <w:marLeft w:val="0"/>
      <w:marRight w:val="0"/>
      <w:marTop w:val="0"/>
      <w:marBottom w:val="0"/>
      <w:divBdr>
        <w:top w:val="none" w:sz="0" w:space="0" w:color="auto"/>
        <w:left w:val="none" w:sz="0" w:space="0" w:color="auto"/>
        <w:bottom w:val="none" w:sz="0" w:space="0" w:color="auto"/>
        <w:right w:val="none" w:sz="0" w:space="0" w:color="auto"/>
      </w:divBdr>
    </w:div>
    <w:div w:id="1851872556">
      <w:bodyDiv w:val="1"/>
      <w:marLeft w:val="0"/>
      <w:marRight w:val="0"/>
      <w:marTop w:val="0"/>
      <w:marBottom w:val="0"/>
      <w:divBdr>
        <w:top w:val="none" w:sz="0" w:space="0" w:color="auto"/>
        <w:left w:val="none" w:sz="0" w:space="0" w:color="auto"/>
        <w:bottom w:val="none" w:sz="0" w:space="0" w:color="auto"/>
        <w:right w:val="none" w:sz="0" w:space="0" w:color="auto"/>
      </w:divBdr>
    </w:div>
    <w:div w:id="1852068343">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4025900">
      <w:bodyDiv w:val="1"/>
      <w:marLeft w:val="0"/>
      <w:marRight w:val="0"/>
      <w:marTop w:val="0"/>
      <w:marBottom w:val="0"/>
      <w:divBdr>
        <w:top w:val="none" w:sz="0" w:space="0" w:color="auto"/>
        <w:left w:val="none" w:sz="0" w:space="0" w:color="auto"/>
        <w:bottom w:val="none" w:sz="0" w:space="0" w:color="auto"/>
        <w:right w:val="none" w:sz="0" w:space="0" w:color="auto"/>
      </w:divBdr>
    </w:div>
    <w:div w:id="1854034218">
      <w:bodyDiv w:val="1"/>
      <w:marLeft w:val="0"/>
      <w:marRight w:val="0"/>
      <w:marTop w:val="0"/>
      <w:marBottom w:val="0"/>
      <w:divBdr>
        <w:top w:val="none" w:sz="0" w:space="0" w:color="auto"/>
        <w:left w:val="none" w:sz="0" w:space="0" w:color="auto"/>
        <w:bottom w:val="none" w:sz="0" w:space="0" w:color="auto"/>
        <w:right w:val="none" w:sz="0" w:space="0" w:color="auto"/>
      </w:divBdr>
    </w:div>
    <w:div w:id="1854219337">
      <w:bodyDiv w:val="1"/>
      <w:marLeft w:val="0"/>
      <w:marRight w:val="0"/>
      <w:marTop w:val="0"/>
      <w:marBottom w:val="0"/>
      <w:divBdr>
        <w:top w:val="none" w:sz="0" w:space="0" w:color="auto"/>
        <w:left w:val="none" w:sz="0" w:space="0" w:color="auto"/>
        <w:bottom w:val="none" w:sz="0" w:space="0" w:color="auto"/>
        <w:right w:val="none" w:sz="0" w:space="0" w:color="auto"/>
      </w:divBdr>
    </w:div>
    <w:div w:id="1854223586">
      <w:bodyDiv w:val="1"/>
      <w:marLeft w:val="0"/>
      <w:marRight w:val="0"/>
      <w:marTop w:val="0"/>
      <w:marBottom w:val="0"/>
      <w:divBdr>
        <w:top w:val="none" w:sz="0" w:space="0" w:color="auto"/>
        <w:left w:val="none" w:sz="0" w:space="0" w:color="auto"/>
        <w:bottom w:val="none" w:sz="0" w:space="0" w:color="auto"/>
        <w:right w:val="none" w:sz="0" w:space="0" w:color="auto"/>
      </w:divBdr>
    </w:div>
    <w:div w:id="1854372951">
      <w:bodyDiv w:val="1"/>
      <w:marLeft w:val="0"/>
      <w:marRight w:val="0"/>
      <w:marTop w:val="0"/>
      <w:marBottom w:val="0"/>
      <w:divBdr>
        <w:top w:val="none" w:sz="0" w:space="0" w:color="auto"/>
        <w:left w:val="none" w:sz="0" w:space="0" w:color="auto"/>
        <w:bottom w:val="none" w:sz="0" w:space="0" w:color="auto"/>
        <w:right w:val="none" w:sz="0" w:space="0" w:color="auto"/>
      </w:divBdr>
    </w:div>
    <w:div w:id="1856268599">
      <w:bodyDiv w:val="1"/>
      <w:marLeft w:val="0"/>
      <w:marRight w:val="0"/>
      <w:marTop w:val="0"/>
      <w:marBottom w:val="0"/>
      <w:divBdr>
        <w:top w:val="none" w:sz="0" w:space="0" w:color="auto"/>
        <w:left w:val="none" w:sz="0" w:space="0" w:color="auto"/>
        <w:bottom w:val="none" w:sz="0" w:space="0" w:color="auto"/>
        <w:right w:val="none" w:sz="0" w:space="0" w:color="auto"/>
      </w:divBdr>
    </w:div>
    <w:div w:id="1856798114">
      <w:bodyDiv w:val="1"/>
      <w:marLeft w:val="0"/>
      <w:marRight w:val="0"/>
      <w:marTop w:val="0"/>
      <w:marBottom w:val="0"/>
      <w:divBdr>
        <w:top w:val="none" w:sz="0" w:space="0" w:color="auto"/>
        <w:left w:val="none" w:sz="0" w:space="0" w:color="auto"/>
        <w:bottom w:val="none" w:sz="0" w:space="0" w:color="auto"/>
        <w:right w:val="none" w:sz="0" w:space="0" w:color="auto"/>
      </w:divBdr>
    </w:div>
    <w:div w:id="1857038244">
      <w:bodyDiv w:val="1"/>
      <w:marLeft w:val="0"/>
      <w:marRight w:val="0"/>
      <w:marTop w:val="0"/>
      <w:marBottom w:val="0"/>
      <w:divBdr>
        <w:top w:val="none" w:sz="0" w:space="0" w:color="auto"/>
        <w:left w:val="none" w:sz="0" w:space="0" w:color="auto"/>
        <w:bottom w:val="none" w:sz="0" w:space="0" w:color="auto"/>
        <w:right w:val="none" w:sz="0" w:space="0" w:color="auto"/>
      </w:divBdr>
    </w:div>
    <w:div w:id="1857768856">
      <w:bodyDiv w:val="1"/>
      <w:marLeft w:val="0"/>
      <w:marRight w:val="0"/>
      <w:marTop w:val="0"/>
      <w:marBottom w:val="0"/>
      <w:divBdr>
        <w:top w:val="none" w:sz="0" w:space="0" w:color="auto"/>
        <w:left w:val="none" w:sz="0" w:space="0" w:color="auto"/>
        <w:bottom w:val="none" w:sz="0" w:space="0" w:color="auto"/>
        <w:right w:val="none" w:sz="0" w:space="0" w:color="auto"/>
      </w:divBdr>
    </w:div>
    <w:div w:id="1857959170">
      <w:bodyDiv w:val="1"/>
      <w:marLeft w:val="0"/>
      <w:marRight w:val="0"/>
      <w:marTop w:val="0"/>
      <w:marBottom w:val="0"/>
      <w:divBdr>
        <w:top w:val="none" w:sz="0" w:space="0" w:color="auto"/>
        <w:left w:val="none" w:sz="0" w:space="0" w:color="auto"/>
        <w:bottom w:val="none" w:sz="0" w:space="0" w:color="auto"/>
        <w:right w:val="none" w:sz="0" w:space="0" w:color="auto"/>
      </w:divBdr>
    </w:div>
    <w:div w:id="1860118405">
      <w:bodyDiv w:val="1"/>
      <w:marLeft w:val="0"/>
      <w:marRight w:val="0"/>
      <w:marTop w:val="0"/>
      <w:marBottom w:val="0"/>
      <w:divBdr>
        <w:top w:val="none" w:sz="0" w:space="0" w:color="auto"/>
        <w:left w:val="none" w:sz="0" w:space="0" w:color="auto"/>
        <w:bottom w:val="none" w:sz="0" w:space="0" w:color="auto"/>
        <w:right w:val="none" w:sz="0" w:space="0" w:color="auto"/>
      </w:divBdr>
    </w:div>
    <w:div w:id="1860586913">
      <w:bodyDiv w:val="1"/>
      <w:marLeft w:val="0"/>
      <w:marRight w:val="0"/>
      <w:marTop w:val="0"/>
      <w:marBottom w:val="0"/>
      <w:divBdr>
        <w:top w:val="none" w:sz="0" w:space="0" w:color="auto"/>
        <w:left w:val="none" w:sz="0" w:space="0" w:color="auto"/>
        <w:bottom w:val="none" w:sz="0" w:space="0" w:color="auto"/>
        <w:right w:val="none" w:sz="0" w:space="0" w:color="auto"/>
      </w:divBdr>
    </w:div>
    <w:div w:id="1860699233">
      <w:bodyDiv w:val="1"/>
      <w:marLeft w:val="0"/>
      <w:marRight w:val="0"/>
      <w:marTop w:val="0"/>
      <w:marBottom w:val="0"/>
      <w:divBdr>
        <w:top w:val="none" w:sz="0" w:space="0" w:color="auto"/>
        <w:left w:val="none" w:sz="0" w:space="0" w:color="auto"/>
        <w:bottom w:val="none" w:sz="0" w:space="0" w:color="auto"/>
        <w:right w:val="none" w:sz="0" w:space="0" w:color="auto"/>
      </w:divBdr>
    </w:div>
    <w:div w:id="1860776008">
      <w:bodyDiv w:val="1"/>
      <w:marLeft w:val="0"/>
      <w:marRight w:val="0"/>
      <w:marTop w:val="0"/>
      <w:marBottom w:val="0"/>
      <w:divBdr>
        <w:top w:val="none" w:sz="0" w:space="0" w:color="auto"/>
        <w:left w:val="none" w:sz="0" w:space="0" w:color="auto"/>
        <w:bottom w:val="none" w:sz="0" w:space="0" w:color="auto"/>
        <w:right w:val="none" w:sz="0" w:space="0" w:color="auto"/>
      </w:divBdr>
    </w:div>
    <w:div w:id="1860850986">
      <w:bodyDiv w:val="1"/>
      <w:marLeft w:val="0"/>
      <w:marRight w:val="0"/>
      <w:marTop w:val="0"/>
      <w:marBottom w:val="0"/>
      <w:divBdr>
        <w:top w:val="none" w:sz="0" w:space="0" w:color="auto"/>
        <w:left w:val="none" w:sz="0" w:space="0" w:color="auto"/>
        <w:bottom w:val="none" w:sz="0" w:space="0" w:color="auto"/>
        <w:right w:val="none" w:sz="0" w:space="0" w:color="auto"/>
      </w:divBdr>
    </w:div>
    <w:div w:id="1861503775">
      <w:bodyDiv w:val="1"/>
      <w:marLeft w:val="0"/>
      <w:marRight w:val="0"/>
      <w:marTop w:val="0"/>
      <w:marBottom w:val="0"/>
      <w:divBdr>
        <w:top w:val="none" w:sz="0" w:space="0" w:color="auto"/>
        <w:left w:val="none" w:sz="0" w:space="0" w:color="auto"/>
        <w:bottom w:val="none" w:sz="0" w:space="0" w:color="auto"/>
        <w:right w:val="none" w:sz="0" w:space="0" w:color="auto"/>
      </w:divBdr>
    </w:div>
    <w:div w:id="1862085422">
      <w:bodyDiv w:val="1"/>
      <w:marLeft w:val="0"/>
      <w:marRight w:val="0"/>
      <w:marTop w:val="0"/>
      <w:marBottom w:val="0"/>
      <w:divBdr>
        <w:top w:val="none" w:sz="0" w:space="0" w:color="auto"/>
        <w:left w:val="none" w:sz="0" w:space="0" w:color="auto"/>
        <w:bottom w:val="none" w:sz="0" w:space="0" w:color="auto"/>
        <w:right w:val="none" w:sz="0" w:space="0" w:color="auto"/>
      </w:divBdr>
    </w:div>
    <w:div w:id="1862547748">
      <w:bodyDiv w:val="1"/>
      <w:marLeft w:val="0"/>
      <w:marRight w:val="0"/>
      <w:marTop w:val="0"/>
      <w:marBottom w:val="0"/>
      <w:divBdr>
        <w:top w:val="none" w:sz="0" w:space="0" w:color="auto"/>
        <w:left w:val="none" w:sz="0" w:space="0" w:color="auto"/>
        <w:bottom w:val="none" w:sz="0" w:space="0" w:color="auto"/>
        <w:right w:val="none" w:sz="0" w:space="0" w:color="auto"/>
      </w:divBdr>
    </w:div>
    <w:div w:id="1862551508">
      <w:bodyDiv w:val="1"/>
      <w:marLeft w:val="0"/>
      <w:marRight w:val="0"/>
      <w:marTop w:val="0"/>
      <w:marBottom w:val="0"/>
      <w:divBdr>
        <w:top w:val="none" w:sz="0" w:space="0" w:color="auto"/>
        <w:left w:val="none" w:sz="0" w:space="0" w:color="auto"/>
        <w:bottom w:val="none" w:sz="0" w:space="0" w:color="auto"/>
        <w:right w:val="none" w:sz="0" w:space="0" w:color="auto"/>
      </w:divBdr>
    </w:div>
    <w:div w:id="1862743529">
      <w:bodyDiv w:val="1"/>
      <w:marLeft w:val="0"/>
      <w:marRight w:val="0"/>
      <w:marTop w:val="0"/>
      <w:marBottom w:val="0"/>
      <w:divBdr>
        <w:top w:val="none" w:sz="0" w:space="0" w:color="auto"/>
        <w:left w:val="none" w:sz="0" w:space="0" w:color="auto"/>
        <w:bottom w:val="none" w:sz="0" w:space="0" w:color="auto"/>
        <w:right w:val="none" w:sz="0" w:space="0" w:color="auto"/>
      </w:divBdr>
    </w:div>
    <w:div w:id="1862863054">
      <w:bodyDiv w:val="1"/>
      <w:marLeft w:val="0"/>
      <w:marRight w:val="0"/>
      <w:marTop w:val="0"/>
      <w:marBottom w:val="0"/>
      <w:divBdr>
        <w:top w:val="none" w:sz="0" w:space="0" w:color="auto"/>
        <w:left w:val="none" w:sz="0" w:space="0" w:color="auto"/>
        <w:bottom w:val="none" w:sz="0" w:space="0" w:color="auto"/>
        <w:right w:val="none" w:sz="0" w:space="0" w:color="auto"/>
      </w:divBdr>
    </w:div>
    <w:div w:id="1863351414">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3935224">
      <w:bodyDiv w:val="1"/>
      <w:marLeft w:val="0"/>
      <w:marRight w:val="0"/>
      <w:marTop w:val="0"/>
      <w:marBottom w:val="0"/>
      <w:divBdr>
        <w:top w:val="none" w:sz="0" w:space="0" w:color="auto"/>
        <w:left w:val="none" w:sz="0" w:space="0" w:color="auto"/>
        <w:bottom w:val="none" w:sz="0" w:space="0" w:color="auto"/>
        <w:right w:val="none" w:sz="0" w:space="0" w:color="auto"/>
      </w:divBdr>
    </w:div>
    <w:div w:id="1864704940">
      <w:bodyDiv w:val="1"/>
      <w:marLeft w:val="0"/>
      <w:marRight w:val="0"/>
      <w:marTop w:val="0"/>
      <w:marBottom w:val="0"/>
      <w:divBdr>
        <w:top w:val="none" w:sz="0" w:space="0" w:color="auto"/>
        <w:left w:val="none" w:sz="0" w:space="0" w:color="auto"/>
        <w:bottom w:val="none" w:sz="0" w:space="0" w:color="auto"/>
        <w:right w:val="none" w:sz="0" w:space="0" w:color="auto"/>
      </w:divBdr>
    </w:div>
    <w:div w:id="1867401450">
      <w:bodyDiv w:val="1"/>
      <w:marLeft w:val="0"/>
      <w:marRight w:val="0"/>
      <w:marTop w:val="0"/>
      <w:marBottom w:val="0"/>
      <w:divBdr>
        <w:top w:val="none" w:sz="0" w:space="0" w:color="auto"/>
        <w:left w:val="none" w:sz="0" w:space="0" w:color="auto"/>
        <w:bottom w:val="none" w:sz="0" w:space="0" w:color="auto"/>
        <w:right w:val="none" w:sz="0" w:space="0" w:color="auto"/>
      </w:divBdr>
    </w:div>
    <w:div w:id="1868106549">
      <w:bodyDiv w:val="1"/>
      <w:marLeft w:val="0"/>
      <w:marRight w:val="0"/>
      <w:marTop w:val="0"/>
      <w:marBottom w:val="0"/>
      <w:divBdr>
        <w:top w:val="none" w:sz="0" w:space="0" w:color="auto"/>
        <w:left w:val="none" w:sz="0" w:space="0" w:color="auto"/>
        <w:bottom w:val="none" w:sz="0" w:space="0" w:color="auto"/>
        <w:right w:val="none" w:sz="0" w:space="0" w:color="auto"/>
      </w:divBdr>
    </w:div>
    <w:div w:id="1868449876">
      <w:bodyDiv w:val="1"/>
      <w:marLeft w:val="0"/>
      <w:marRight w:val="0"/>
      <w:marTop w:val="0"/>
      <w:marBottom w:val="0"/>
      <w:divBdr>
        <w:top w:val="none" w:sz="0" w:space="0" w:color="auto"/>
        <w:left w:val="none" w:sz="0" w:space="0" w:color="auto"/>
        <w:bottom w:val="none" w:sz="0" w:space="0" w:color="auto"/>
        <w:right w:val="none" w:sz="0" w:space="0" w:color="auto"/>
      </w:divBdr>
    </w:div>
    <w:div w:id="1868521948">
      <w:bodyDiv w:val="1"/>
      <w:marLeft w:val="0"/>
      <w:marRight w:val="0"/>
      <w:marTop w:val="0"/>
      <w:marBottom w:val="0"/>
      <w:divBdr>
        <w:top w:val="none" w:sz="0" w:space="0" w:color="auto"/>
        <w:left w:val="none" w:sz="0" w:space="0" w:color="auto"/>
        <w:bottom w:val="none" w:sz="0" w:space="0" w:color="auto"/>
        <w:right w:val="none" w:sz="0" w:space="0" w:color="auto"/>
      </w:divBdr>
    </w:div>
    <w:div w:id="1868523990">
      <w:bodyDiv w:val="1"/>
      <w:marLeft w:val="0"/>
      <w:marRight w:val="0"/>
      <w:marTop w:val="0"/>
      <w:marBottom w:val="0"/>
      <w:divBdr>
        <w:top w:val="none" w:sz="0" w:space="0" w:color="auto"/>
        <w:left w:val="none" w:sz="0" w:space="0" w:color="auto"/>
        <w:bottom w:val="none" w:sz="0" w:space="0" w:color="auto"/>
        <w:right w:val="none" w:sz="0" w:space="0" w:color="auto"/>
      </w:divBdr>
    </w:div>
    <w:div w:id="1868830915">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2067887">
      <w:bodyDiv w:val="1"/>
      <w:marLeft w:val="0"/>
      <w:marRight w:val="0"/>
      <w:marTop w:val="0"/>
      <w:marBottom w:val="0"/>
      <w:divBdr>
        <w:top w:val="none" w:sz="0" w:space="0" w:color="auto"/>
        <w:left w:val="none" w:sz="0" w:space="0" w:color="auto"/>
        <w:bottom w:val="none" w:sz="0" w:space="0" w:color="auto"/>
        <w:right w:val="none" w:sz="0" w:space="0" w:color="auto"/>
      </w:divBdr>
    </w:div>
    <w:div w:id="1872305037">
      <w:bodyDiv w:val="1"/>
      <w:marLeft w:val="0"/>
      <w:marRight w:val="0"/>
      <w:marTop w:val="0"/>
      <w:marBottom w:val="0"/>
      <w:divBdr>
        <w:top w:val="none" w:sz="0" w:space="0" w:color="auto"/>
        <w:left w:val="none" w:sz="0" w:space="0" w:color="auto"/>
        <w:bottom w:val="none" w:sz="0" w:space="0" w:color="auto"/>
        <w:right w:val="none" w:sz="0" w:space="0" w:color="auto"/>
      </w:divBdr>
    </w:div>
    <w:div w:id="1873035397">
      <w:bodyDiv w:val="1"/>
      <w:marLeft w:val="0"/>
      <w:marRight w:val="0"/>
      <w:marTop w:val="0"/>
      <w:marBottom w:val="0"/>
      <w:divBdr>
        <w:top w:val="none" w:sz="0" w:space="0" w:color="auto"/>
        <w:left w:val="none" w:sz="0" w:space="0" w:color="auto"/>
        <w:bottom w:val="none" w:sz="0" w:space="0" w:color="auto"/>
        <w:right w:val="none" w:sz="0" w:space="0" w:color="auto"/>
      </w:divBdr>
    </w:div>
    <w:div w:id="187473071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4876936">
      <w:bodyDiv w:val="1"/>
      <w:marLeft w:val="0"/>
      <w:marRight w:val="0"/>
      <w:marTop w:val="0"/>
      <w:marBottom w:val="0"/>
      <w:divBdr>
        <w:top w:val="none" w:sz="0" w:space="0" w:color="auto"/>
        <w:left w:val="none" w:sz="0" w:space="0" w:color="auto"/>
        <w:bottom w:val="none" w:sz="0" w:space="0" w:color="auto"/>
        <w:right w:val="none" w:sz="0" w:space="0" w:color="auto"/>
      </w:divBdr>
    </w:div>
    <w:div w:id="1875533022">
      <w:bodyDiv w:val="1"/>
      <w:marLeft w:val="0"/>
      <w:marRight w:val="0"/>
      <w:marTop w:val="0"/>
      <w:marBottom w:val="0"/>
      <w:divBdr>
        <w:top w:val="none" w:sz="0" w:space="0" w:color="auto"/>
        <w:left w:val="none" w:sz="0" w:space="0" w:color="auto"/>
        <w:bottom w:val="none" w:sz="0" w:space="0" w:color="auto"/>
        <w:right w:val="none" w:sz="0" w:space="0" w:color="auto"/>
      </w:divBdr>
    </w:div>
    <w:div w:id="1875580843">
      <w:bodyDiv w:val="1"/>
      <w:marLeft w:val="0"/>
      <w:marRight w:val="0"/>
      <w:marTop w:val="0"/>
      <w:marBottom w:val="0"/>
      <w:divBdr>
        <w:top w:val="none" w:sz="0" w:space="0" w:color="auto"/>
        <w:left w:val="none" w:sz="0" w:space="0" w:color="auto"/>
        <w:bottom w:val="none" w:sz="0" w:space="0" w:color="auto"/>
        <w:right w:val="none" w:sz="0" w:space="0" w:color="auto"/>
      </w:divBdr>
    </w:div>
    <w:div w:id="1875581796">
      <w:bodyDiv w:val="1"/>
      <w:marLeft w:val="0"/>
      <w:marRight w:val="0"/>
      <w:marTop w:val="0"/>
      <w:marBottom w:val="0"/>
      <w:divBdr>
        <w:top w:val="none" w:sz="0" w:space="0" w:color="auto"/>
        <w:left w:val="none" w:sz="0" w:space="0" w:color="auto"/>
        <w:bottom w:val="none" w:sz="0" w:space="0" w:color="auto"/>
        <w:right w:val="none" w:sz="0" w:space="0" w:color="auto"/>
      </w:divBdr>
    </w:div>
    <w:div w:id="1876117725">
      <w:bodyDiv w:val="1"/>
      <w:marLeft w:val="0"/>
      <w:marRight w:val="0"/>
      <w:marTop w:val="0"/>
      <w:marBottom w:val="0"/>
      <w:divBdr>
        <w:top w:val="none" w:sz="0" w:space="0" w:color="auto"/>
        <w:left w:val="none" w:sz="0" w:space="0" w:color="auto"/>
        <w:bottom w:val="none" w:sz="0" w:space="0" w:color="auto"/>
        <w:right w:val="none" w:sz="0" w:space="0" w:color="auto"/>
      </w:divBdr>
    </w:div>
    <w:div w:id="1877499000">
      <w:bodyDiv w:val="1"/>
      <w:marLeft w:val="0"/>
      <w:marRight w:val="0"/>
      <w:marTop w:val="0"/>
      <w:marBottom w:val="0"/>
      <w:divBdr>
        <w:top w:val="none" w:sz="0" w:space="0" w:color="auto"/>
        <w:left w:val="none" w:sz="0" w:space="0" w:color="auto"/>
        <w:bottom w:val="none" w:sz="0" w:space="0" w:color="auto"/>
        <w:right w:val="none" w:sz="0" w:space="0" w:color="auto"/>
      </w:divBdr>
    </w:div>
    <w:div w:id="1878349776">
      <w:bodyDiv w:val="1"/>
      <w:marLeft w:val="0"/>
      <w:marRight w:val="0"/>
      <w:marTop w:val="0"/>
      <w:marBottom w:val="0"/>
      <w:divBdr>
        <w:top w:val="none" w:sz="0" w:space="0" w:color="auto"/>
        <w:left w:val="none" w:sz="0" w:space="0" w:color="auto"/>
        <w:bottom w:val="none" w:sz="0" w:space="0" w:color="auto"/>
        <w:right w:val="none" w:sz="0" w:space="0" w:color="auto"/>
      </w:divBdr>
    </w:div>
    <w:div w:id="1879124645">
      <w:bodyDiv w:val="1"/>
      <w:marLeft w:val="0"/>
      <w:marRight w:val="0"/>
      <w:marTop w:val="0"/>
      <w:marBottom w:val="0"/>
      <w:divBdr>
        <w:top w:val="none" w:sz="0" w:space="0" w:color="auto"/>
        <w:left w:val="none" w:sz="0" w:space="0" w:color="auto"/>
        <w:bottom w:val="none" w:sz="0" w:space="0" w:color="auto"/>
        <w:right w:val="none" w:sz="0" w:space="0" w:color="auto"/>
      </w:divBdr>
    </w:div>
    <w:div w:id="1881085725">
      <w:bodyDiv w:val="1"/>
      <w:marLeft w:val="0"/>
      <w:marRight w:val="0"/>
      <w:marTop w:val="0"/>
      <w:marBottom w:val="0"/>
      <w:divBdr>
        <w:top w:val="none" w:sz="0" w:space="0" w:color="auto"/>
        <w:left w:val="none" w:sz="0" w:space="0" w:color="auto"/>
        <w:bottom w:val="none" w:sz="0" w:space="0" w:color="auto"/>
        <w:right w:val="none" w:sz="0" w:space="0" w:color="auto"/>
      </w:divBdr>
    </w:div>
    <w:div w:id="1881240049">
      <w:bodyDiv w:val="1"/>
      <w:marLeft w:val="0"/>
      <w:marRight w:val="0"/>
      <w:marTop w:val="0"/>
      <w:marBottom w:val="0"/>
      <w:divBdr>
        <w:top w:val="none" w:sz="0" w:space="0" w:color="auto"/>
        <w:left w:val="none" w:sz="0" w:space="0" w:color="auto"/>
        <w:bottom w:val="none" w:sz="0" w:space="0" w:color="auto"/>
        <w:right w:val="none" w:sz="0" w:space="0" w:color="auto"/>
      </w:divBdr>
    </w:div>
    <w:div w:id="1881554018">
      <w:bodyDiv w:val="1"/>
      <w:marLeft w:val="0"/>
      <w:marRight w:val="0"/>
      <w:marTop w:val="0"/>
      <w:marBottom w:val="0"/>
      <w:divBdr>
        <w:top w:val="none" w:sz="0" w:space="0" w:color="auto"/>
        <w:left w:val="none" w:sz="0" w:space="0" w:color="auto"/>
        <w:bottom w:val="none" w:sz="0" w:space="0" w:color="auto"/>
        <w:right w:val="none" w:sz="0" w:space="0" w:color="auto"/>
      </w:divBdr>
    </w:div>
    <w:div w:id="1882554137">
      <w:bodyDiv w:val="1"/>
      <w:marLeft w:val="0"/>
      <w:marRight w:val="0"/>
      <w:marTop w:val="0"/>
      <w:marBottom w:val="0"/>
      <w:divBdr>
        <w:top w:val="none" w:sz="0" w:space="0" w:color="auto"/>
        <w:left w:val="none" w:sz="0" w:space="0" w:color="auto"/>
        <w:bottom w:val="none" w:sz="0" w:space="0" w:color="auto"/>
        <w:right w:val="none" w:sz="0" w:space="0" w:color="auto"/>
      </w:divBdr>
    </w:div>
    <w:div w:id="188300852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294977">
      <w:bodyDiv w:val="1"/>
      <w:marLeft w:val="0"/>
      <w:marRight w:val="0"/>
      <w:marTop w:val="0"/>
      <w:marBottom w:val="0"/>
      <w:divBdr>
        <w:top w:val="none" w:sz="0" w:space="0" w:color="auto"/>
        <w:left w:val="none" w:sz="0" w:space="0" w:color="auto"/>
        <w:bottom w:val="none" w:sz="0" w:space="0" w:color="auto"/>
        <w:right w:val="none" w:sz="0" w:space="0" w:color="auto"/>
      </w:divBdr>
    </w:div>
    <w:div w:id="1884780433">
      <w:bodyDiv w:val="1"/>
      <w:marLeft w:val="0"/>
      <w:marRight w:val="0"/>
      <w:marTop w:val="0"/>
      <w:marBottom w:val="0"/>
      <w:divBdr>
        <w:top w:val="none" w:sz="0" w:space="0" w:color="auto"/>
        <w:left w:val="none" w:sz="0" w:space="0" w:color="auto"/>
        <w:bottom w:val="none" w:sz="0" w:space="0" w:color="auto"/>
        <w:right w:val="none" w:sz="0" w:space="0" w:color="auto"/>
      </w:divBdr>
    </w:div>
    <w:div w:id="1884824589">
      <w:bodyDiv w:val="1"/>
      <w:marLeft w:val="0"/>
      <w:marRight w:val="0"/>
      <w:marTop w:val="0"/>
      <w:marBottom w:val="0"/>
      <w:divBdr>
        <w:top w:val="none" w:sz="0" w:space="0" w:color="auto"/>
        <w:left w:val="none" w:sz="0" w:space="0" w:color="auto"/>
        <w:bottom w:val="none" w:sz="0" w:space="0" w:color="auto"/>
        <w:right w:val="none" w:sz="0" w:space="0" w:color="auto"/>
      </w:divBdr>
    </w:div>
    <w:div w:id="1885866083">
      <w:bodyDiv w:val="1"/>
      <w:marLeft w:val="0"/>
      <w:marRight w:val="0"/>
      <w:marTop w:val="0"/>
      <w:marBottom w:val="0"/>
      <w:divBdr>
        <w:top w:val="none" w:sz="0" w:space="0" w:color="auto"/>
        <w:left w:val="none" w:sz="0" w:space="0" w:color="auto"/>
        <w:bottom w:val="none" w:sz="0" w:space="0" w:color="auto"/>
        <w:right w:val="none" w:sz="0" w:space="0" w:color="auto"/>
      </w:divBdr>
    </w:div>
    <w:div w:id="1886870483">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8493680">
      <w:bodyDiv w:val="1"/>
      <w:marLeft w:val="0"/>
      <w:marRight w:val="0"/>
      <w:marTop w:val="0"/>
      <w:marBottom w:val="0"/>
      <w:divBdr>
        <w:top w:val="none" w:sz="0" w:space="0" w:color="auto"/>
        <w:left w:val="none" w:sz="0" w:space="0" w:color="auto"/>
        <w:bottom w:val="none" w:sz="0" w:space="0" w:color="auto"/>
        <w:right w:val="none" w:sz="0" w:space="0" w:color="auto"/>
      </w:divBdr>
    </w:div>
    <w:div w:id="1888644325">
      <w:bodyDiv w:val="1"/>
      <w:marLeft w:val="0"/>
      <w:marRight w:val="0"/>
      <w:marTop w:val="0"/>
      <w:marBottom w:val="0"/>
      <w:divBdr>
        <w:top w:val="none" w:sz="0" w:space="0" w:color="auto"/>
        <w:left w:val="none" w:sz="0" w:space="0" w:color="auto"/>
        <w:bottom w:val="none" w:sz="0" w:space="0" w:color="auto"/>
        <w:right w:val="none" w:sz="0" w:space="0" w:color="auto"/>
      </w:divBdr>
    </w:div>
    <w:div w:id="1889343040">
      <w:bodyDiv w:val="1"/>
      <w:marLeft w:val="0"/>
      <w:marRight w:val="0"/>
      <w:marTop w:val="0"/>
      <w:marBottom w:val="0"/>
      <w:divBdr>
        <w:top w:val="none" w:sz="0" w:space="0" w:color="auto"/>
        <w:left w:val="none" w:sz="0" w:space="0" w:color="auto"/>
        <w:bottom w:val="none" w:sz="0" w:space="0" w:color="auto"/>
        <w:right w:val="none" w:sz="0" w:space="0" w:color="auto"/>
      </w:divBdr>
    </w:div>
    <w:div w:id="188956361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341860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4610390">
      <w:bodyDiv w:val="1"/>
      <w:marLeft w:val="0"/>
      <w:marRight w:val="0"/>
      <w:marTop w:val="0"/>
      <w:marBottom w:val="0"/>
      <w:divBdr>
        <w:top w:val="none" w:sz="0" w:space="0" w:color="auto"/>
        <w:left w:val="none" w:sz="0" w:space="0" w:color="auto"/>
        <w:bottom w:val="none" w:sz="0" w:space="0" w:color="auto"/>
        <w:right w:val="none" w:sz="0" w:space="0" w:color="auto"/>
      </w:divBdr>
    </w:div>
    <w:div w:id="1895238405">
      <w:bodyDiv w:val="1"/>
      <w:marLeft w:val="0"/>
      <w:marRight w:val="0"/>
      <w:marTop w:val="0"/>
      <w:marBottom w:val="0"/>
      <w:divBdr>
        <w:top w:val="none" w:sz="0" w:space="0" w:color="auto"/>
        <w:left w:val="none" w:sz="0" w:space="0" w:color="auto"/>
        <w:bottom w:val="none" w:sz="0" w:space="0" w:color="auto"/>
        <w:right w:val="none" w:sz="0" w:space="0" w:color="auto"/>
      </w:divBdr>
    </w:div>
    <w:div w:id="1895312785">
      <w:bodyDiv w:val="1"/>
      <w:marLeft w:val="0"/>
      <w:marRight w:val="0"/>
      <w:marTop w:val="0"/>
      <w:marBottom w:val="0"/>
      <w:divBdr>
        <w:top w:val="none" w:sz="0" w:space="0" w:color="auto"/>
        <w:left w:val="none" w:sz="0" w:space="0" w:color="auto"/>
        <w:bottom w:val="none" w:sz="0" w:space="0" w:color="auto"/>
        <w:right w:val="none" w:sz="0" w:space="0" w:color="auto"/>
      </w:divBdr>
    </w:div>
    <w:div w:id="1896353370">
      <w:bodyDiv w:val="1"/>
      <w:marLeft w:val="0"/>
      <w:marRight w:val="0"/>
      <w:marTop w:val="0"/>
      <w:marBottom w:val="0"/>
      <w:divBdr>
        <w:top w:val="none" w:sz="0" w:space="0" w:color="auto"/>
        <w:left w:val="none" w:sz="0" w:space="0" w:color="auto"/>
        <w:bottom w:val="none" w:sz="0" w:space="0" w:color="auto"/>
        <w:right w:val="none" w:sz="0" w:space="0" w:color="auto"/>
      </w:divBdr>
    </w:div>
    <w:div w:id="1896356110">
      <w:bodyDiv w:val="1"/>
      <w:marLeft w:val="0"/>
      <w:marRight w:val="0"/>
      <w:marTop w:val="0"/>
      <w:marBottom w:val="0"/>
      <w:divBdr>
        <w:top w:val="none" w:sz="0" w:space="0" w:color="auto"/>
        <w:left w:val="none" w:sz="0" w:space="0" w:color="auto"/>
        <w:bottom w:val="none" w:sz="0" w:space="0" w:color="auto"/>
        <w:right w:val="none" w:sz="0" w:space="0" w:color="auto"/>
      </w:divBdr>
    </w:div>
    <w:div w:id="1896430583">
      <w:bodyDiv w:val="1"/>
      <w:marLeft w:val="0"/>
      <w:marRight w:val="0"/>
      <w:marTop w:val="0"/>
      <w:marBottom w:val="0"/>
      <w:divBdr>
        <w:top w:val="none" w:sz="0" w:space="0" w:color="auto"/>
        <w:left w:val="none" w:sz="0" w:space="0" w:color="auto"/>
        <w:bottom w:val="none" w:sz="0" w:space="0" w:color="auto"/>
        <w:right w:val="none" w:sz="0" w:space="0" w:color="auto"/>
      </w:divBdr>
    </w:div>
    <w:div w:id="1896969933">
      <w:bodyDiv w:val="1"/>
      <w:marLeft w:val="0"/>
      <w:marRight w:val="0"/>
      <w:marTop w:val="0"/>
      <w:marBottom w:val="0"/>
      <w:divBdr>
        <w:top w:val="none" w:sz="0" w:space="0" w:color="auto"/>
        <w:left w:val="none" w:sz="0" w:space="0" w:color="auto"/>
        <w:bottom w:val="none" w:sz="0" w:space="0" w:color="auto"/>
        <w:right w:val="none" w:sz="0" w:space="0" w:color="auto"/>
      </w:divBdr>
    </w:div>
    <w:div w:id="1897012278">
      <w:bodyDiv w:val="1"/>
      <w:marLeft w:val="0"/>
      <w:marRight w:val="0"/>
      <w:marTop w:val="0"/>
      <w:marBottom w:val="0"/>
      <w:divBdr>
        <w:top w:val="none" w:sz="0" w:space="0" w:color="auto"/>
        <w:left w:val="none" w:sz="0" w:space="0" w:color="auto"/>
        <w:bottom w:val="none" w:sz="0" w:space="0" w:color="auto"/>
        <w:right w:val="none" w:sz="0" w:space="0" w:color="auto"/>
      </w:divBdr>
    </w:div>
    <w:div w:id="1897088187">
      <w:bodyDiv w:val="1"/>
      <w:marLeft w:val="0"/>
      <w:marRight w:val="0"/>
      <w:marTop w:val="0"/>
      <w:marBottom w:val="0"/>
      <w:divBdr>
        <w:top w:val="none" w:sz="0" w:space="0" w:color="auto"/>
        <w:left w:val="none" w:sz="0" w:space="0" w:color="auto"/>
        <w:bottom w:val="none" w:sz="0" w:space="0" w:color="auto"/>
        <w:right w:val="none" w:sz="0" w:space="0" w:color="auto"/>
      </w:divBdr>
    </w:div>
    <w:div w:id="1898854461">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89963292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241468">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094997">
      <w:bodyDiv w:val="1"/>
      <w:marLeft w:val="0"/>
      <w:marRight w:val="0"/>
      <w:marTop w:val="0"/>
      <w:marBottom w:val="0"/>
      <w:divBdr>
        <w:top w:val="none" w:sz="0" w:space="0" w:color="auto"/>
        <w:left w:val="none" w:sz="0" w:space="0" w:color="auto"/>
        <w:bottom w:val="none" w:sz="0" w:space="0" w:color="auto"/>
        <w:right w:val="none" w:sz="0" w:space="0" w:color="auto"/>
      </w:divBdr>
    </w:div>
    <w:div w:id="1901360672">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1749249">
      <w:bodyDiv w:val="1"/>
      <w:marLeft w:val="0"/>
      <w:marRight w:val="0"/>
      <w:marTop w:val="0"/>
      <w:marBottom w:val="0"/>
      <w:divBdr>
        <w:top w:val="none" w:sz="0" w:space="0" w:color="auto"/>
        <w:left w:val="none" w:sz="0" w:space="0" w:color="auto"/>
        <w:bottom w:val="none" w:sz="0" w:space="0" w:color="auto"/>
        <w:right w:val="none" w:sz="0" w:space="0" w:color="auto"/>
      </w:divBdr>
    </w:div>
    <w:div w:id="1903369125">
      <w:bodyDiv w:val="1"/>
      <w:marLeft w:val="0"/>
      <w:marRight w:val="0"/>
      <w:marTop w:val="0"/>
      <w:marBottom w:val="0"/>
      <w:divBdr>
        <w:top w:val="none" w:sz="0" w:space="0" w:color="auto"/>
        <w:left w:val="none" w:sz="0" w:space="0" w:color="auto"/>
        <w:bottom w:val="none" w:sz="0" w:space="0" w:color="auto"/>
        <w:right w:val="none" w:sz="0" w:space="0" w:color="auto"/>
      </w:divBdr>
    </w:div>
    <w:div w:id="1903560071">
      <w:bodyDiv w:val="1"/>
      <w:marLeft w:val="0"/>
      <w:marRight w:val="0"/>
      <w:marTop w:val="0"/>
      <w:marBottom w:val="0"/>
      <w:divBdr>
        <w:top w:val="none" w:sz="0" w:space="0" w:color="auto"/>
        <w:left w:val="none" w:sz="0" w:space="0" w:color="auto"/>
        <w:bottom w:val="none" w:sz="0" w:space="0" w:color="auto"/>
        <w:right w:val="none" w:sz="0" w:space="0" w:color="auto"/>
      </w:divBdr>
    </w:div>
    <w:div w:id="1904097644">
      <w:bodyDiv w:val="1"/>
      <w:marLeft w:val="0"/>
      <w:marRight w:val="0"/>
      <w:marTop w:val="0"/>
      <w:marBottom w:val="0"/>
      <w:divBdr>
        <w:top w:val="none" w:sz="0" w:space="0" w:color="auto"/>
        <w:left w:val="none" w:sz="0" w:space="0" w:color="auto"/>
        <w:bottom w:val="none" w:sz="0" w:space="0" w:color="auto"/>
        <w:right w:val="none" w:sz="0" w:space="0" w:color="auto"/>
      </w:divBdr>
    </w:div>
    <w:div w:id="1904753338">
      <w:bodyDiv w:val="1"/>
      <w:marLeft w:val="0"/>
      <w:marRight w:val="0"/>
      <w:marTop w:val="0"/>
      <w:marBottom w:val="0"/>
      <w:divBdr>
        <w:top w:val="none" w:sz="0" w:space="0" w:color="auto"/>
        <w:left w:val="none" w:sz="0" w:space="0" w:color="auto"/>
        <w:bottom w:val="none" w:sz="0" w:space="0" w:color="auto"/>
        <w:right w:val="none" w:sz="0" w:space="0" w:color="auto"/>
      </w:divBdr>
    </w:div>
    <w:div w:id="1906452613">
      <w:bodyDiv w:val="1"/>
      <w:marLeft w:val="0"/>
      <w:marRight w:val="0"/>
      <w:marTop w:val="0"/>
      <w:marBottom w:val="0"/>
      <w:divBdr>
        <w:top w:val="none" w:sz="0" w:space="0" w:color="auto"/>
        <w:left w:val="none" w:sz="0" w:space="0" w:color="auto"/>
        <w:bottom w:val="none" w:sz="0" w:space="0" w:color="auto"/>
        <w:right w:val="none" w:sz="0" w:space="0" w:color="auto"/>
      </w:divBdr>
    </w:div>
    <w:div w:id="1906640472">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07257389">
      <w:bodyDiv w:val="1"/>
      <w:marLeft w:val="0"/>
      <w:marRight w:val="0"/>
      <w:marTop w:val="0"/>
      <w:marBottom w:val="0"/>
      <w:divBdr>
        <w:top w:val="none" w:sz="0" w:space="0" w:color="auto"/>
        <w:left w:val="none" w:sz="0" w:space="0" w:color="auto"/>
        <w:bottom w:val="none" w:sz="0" w:space="0" w:color="auto"/>
        <w:right w:val="none" w:sz="0" w:space="0" w:color="auto"/>
      </w:divBdr>
    </w:div>
    <w:div w:id="1907837229">
      <w:bodyDiv w:val="1"/>
      <w:marLeft w:val="0"/>
      <w:marRight w:val="0"/>
      <w:marTop w:val="0"/>
      <w:marBottom w:val="0"/>
      <w:divBdr>
        <w:top w:val="none" w:sz="0" w:space="0" w:color="auto"/>
        <w:left w:val="none" w:sz="0" w:space="0" w:color="auto"/>
        <w:bottom w:val="none" w:sz="0" w:space="0" w:color="auto"/>
        <w:right w:val="none" w:sz="0" w:space="0" w:color="auto"/>
      </w:divBdr>
    </w:div>
    <w:div w:id="1908956460">
      <w:bodyDiv w:val="1"/>
      <w:marLeft w:val="0"/>
      <w:marRight w:val="0"/>
      <w:marTop w:val="0"/>
      <w:marBottom w:val="0"/>
      <w:divBdr>
        <w:top w:val="none" w:sz="0" w:space="0" w:color="auto"/>
        <w:left w:val="none" w:sz="0" w:space="0" w:color="auto"/>
        <w:bottom w:val="none" w:sz="0" w:space="0" w:color="auto"/>
        <w:right w:val="none" w:sz="0" w:space="0" w:color="auto"/>
      </w:divBdr>
    </w:div>
    <w:div w:id="1909421267">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10965069">
      <w:bodyDiv w:val="1"/>
      <w:marLeft w:val="0"/>
      <w:marRight w:val="0"/>
      <w:marTop w:val="0"/>
      <w:marBottom w:val="0"/>
      <w:divBdr>
        <w:top w:val="none" w:sz="0" w:space="0" w:color="auto"/>
        <w:left w:val="none" w:sz="0" w:space="0" w:color="auto"/>
        <w:bottom w:val="none" w:sz="0" w:space="0" w:color="auto"/>
        <w:right w:val="none" w:sz="0" w:space="0" w:color="auto"/>
      </w:divBdr>
    </w:div>
    <w:div w:id="1912306430">
      <w:bodyDiv w:val="1"/>
      <w:marLeft w:val="0"/>
      <w:marRight w:val="0"/>
      <w:marTop w:val="0"/>
      <w:marBottom w:val="0"/>
      <w:divBdr>
        <w:top w:val="none" w:sz="0" w:space="0" w:color="auto"/>
        <w:left w:val="none" w:sz="0" w:space="0" w:color="auto"/>
        <w:bottom w:val="none" w:sz="0" w:space="0" w:color="auto"/>
        <w:right w:val="none" w:sz="0" w:space="0" w:color="auto"/>
      </w:divBdr>
    </w:div>
    <w:div w:id="1912620682">
      <w:bodyDiv w:val="1"/>
      <w:marLeft w:val="0"/>
      <w:marRight w:val="0"/>
      <w:marTop w:val="0"/>
      <w:marBottom w:val="0"/>
      <w:divBdr>
        <w:top w:val="none" w:sz="0" w:space="0" w:color="auto"/>
        <w:left w:val="none" w:sz="0" w:space="0" w:color="auto"/>
        <w:bottom w:val="none" w:sz="0" w:space="0" w:color="auto"/>
        <w:right w:val="none" w:sz="0" w:space="0" w:color="auto"/>
      </w:divBdr>
    </w:div>
    <w:div w:id="1914317993">
      <w:bodyDiv w:val="1"/>
      <w:marLeft w:val="0"/>
      <w:marRight w:val="0"/>
      <w:marTop w:val="0"/>
      <w:marBottom w:val="0"/>
      <w:divBdr>
        <w:top w:val="none" w:sz="0" w:space="0" w:color="auto"/>
        <w:left w:val="none" w:sz="0" w:space="0" w:color="auto"/>
        <w:bottom w:val="none" w:sz="0" w:space="0" w:color="auto"/>
        <w:right w:val="none" w:sz="0" w:space="0" w:color="auto"/>
      </w:divBdr>
    </w:div>
    <w:div w:id="1914462275">
      <w:bodyDiv w:val="1"/>
      <w:marLeft w:val="0"/>
      <w:marRight w:val="0"/>
      <w:marTop w:val="0"/>
      <w:marBottom w:val="0"/>
      <w:divBdr>
        <w:top w:val="none" w:sz="0" w:space="0" w:color="auto"/>
        <w:left w:val="none" w:sz="0" w:space="0" w:color="auto"/>
        <w:bottom w:val="none" w:sz="0" w:space="0" w:color="auto"/>
        <w:right w:val="none" w:sz="0" w:space="0" w:color="auto"/>
      </w:divBdr>
    </w:div>
    <w:div w:id="1915357798">
      <w:bodyDiv w:val="1"/>
      <w:marLeft w:val="0"/>
      <w:marRight w:val="0"/>
      <w:marTop w:val="0"/>
      <w:marBottom w:val="0"/>
      <w:divBdr>
        <w:top w:val="none" w:sz="0" w:space="0" w:color="auto"/>
        <w:left w:val="none" w:sz="0" w:space="0" w:color="auto"/>
        <w:bottom w:val="none" w:sz="0" w:space="0" w:color="auto"/>
        <w:right w:val="none" w:sz="0" w:space="0" w:color="auto"/>
      </w:divBdr>
    </w:div>
    <w:div w:id="1916548079">
      <w:bodyDiv w:val="1"/>
      <w:marLeft w:val="0"/>
      <w:marRight w:val="0"/>
      <w:marTop w:val="0"/>
      <w:marBottom w:val="0"/>
      <w:divBdr>
        <w:top w:val="none" w:sz="0" w:space="0" w:color="auto"/>
        <w:left w:val="none" w:sz="0" w:space="0" w:color="auto"/>
        <w:bottom w:val="none" w:sz="0" w:space="0" w:color="auto"/>
        <w:right w:val="none" w:sz="0" w:space="0" w:color="auto"/>
      </w:divBdr>
    </w:div>
    <w:div w:id="1916619905">
      <w:bodyDiv w:val="1"/>
      <w:marLeft w:val="0"/>
      <w:marRight w:val="0"/>
      <w:marTop w:val="0"/>
      <w:marBottom w:val="0"/>
      <w:divBdr>
        <w:top w:val="none" w:sz="0" w:space="0" w:color="auto"/>
        <w:left w:val="none" w:sz="0" w:space="0" w:color="auto"/>
        <w:bottom w:val="none" w:sz="0" w:space="0" w:color="auto"/>
        <w:right w:val="none" w:sz="0" w:space="0" w:color="auto"/>
      </w:divBdr>
    </w:div>
    <w:div w:id="1917130433">
      <w:bodyDiv w:val="1"/>
      <w:marLeft w:val="0"/>
      <w:marRight w:val="0"/>
      <w:marTop w:val="0"/>
      <w:marBottom w:val="0"/>
      <w:divBdr>
        <w:top w:val="none" w:sz="0" w:space="0" w:color="auto"/>
        <w:left w:val="none" w:sz="0" w:space="0" w:color="auto"/>
        <w:bottom w:val="none" w:sz="0" w:space="0" w:color="auto"/>
        <w:right w:val="none" w:sz="0" w:space="0" w:color="auto"/>
      </w:divBdr>
    </w:div>
    <w:div w:id="1918008290">
      <w:bodyDiv w:val="1"/>
      <w:marLeft w:val="0"/>
      <w:marRight w:val="0"/>
      <w:marTop w:val="0"/>
      <w:marBottom w:val="0"/>
      <w:divBdr>
        <w:top w:val="none" w:sz="0" w:space="0" w:color="auto"/>
        <w:left w:val="none" w:sz="0" w:space="0" w:color="auto"/>
        <w:bottom w:val="none" w:sz="0" w:space="0" w:color="auto"/>
        <w:right w:val="none" w:sz="0" w:space="0" w:color="auto"/>
      </w:divBdr>
    </w:div>
    <w:div w:id="191858588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1283032">
      <w:bodyDiv w:val="1"/>
      <w:marLeft w:val="0"/>
      <w:marRight w:val="0"/>
      <w:marTop w:val="0"/>
      <w:marBottom w:val="0"/>
      <w:divBdr>
        <w:top w:val="none" w:sz="0" w:space="0" w:color="auto"/>
        <w:left w:val="none" w:sz="0" w:space="0" w:color="auto"/>
        <w:bottom w:val="none" w:sz="0" w:space="0" w:color="auto"/>
        <w:right w:val="none" w:sz="0" w:space="0" w:color="auto"/>
      </w:divBdr>
    </w:div>
    <w:div w:id="1921478760">
      <w:bodyDiv w:val="1"/>
      <w:marLeft w:val="0"/>
      <w:marRight w:val="0"/>
      <w:marTop w:val="0"/>
      <w:marBottom w:val="0"/>
      <w:divBdr>
        <w:top w:val="none" w:sz="0" w:space="0" w:color="auto"/>
        <w:left w:val="none" w:sz="0" w:space="0" w:color="auto"/>
        <w:bottom w:val="none" w:sz="0" w:space="0" w:color="auto"/>
        <w:right w:val="none" w:sz="0" w:space="0" w:color="auto"/>
      </w:divBdr>
    </w:div>
    <w:div w:id="192159737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2564988">
      <w:bodyDiv w:val="1"/>
      <w:marLeft w:val="0"/>
      <w:marRight w:val="0"/>
      <w:marTop w:val="0"/>
      <w:marBottom w:val="0"/>
      <w:divBdr>
        <w:top w:val="none" w:sz="0" w:space="0" w:color="auto"/>
        <w:left w:val="none" w:sz="0" w:space="0" w:color="auto"/>
        <w:bottom w:val="none" w:sz="0" w:space="0" w:color="auto"/>
        <w:right w:val="none" w:sz="0" w:space="0" w:color="auto"/>
      </w:divBdr>
    </w:div>
    <w:div w:id="1922594656">
      <w:bodyDiv w:val="1"/>
      <w:marLeft w:val="0"/>
      <w:marRight w:val="0"/>
      <w:marTop w:val="0"/>
      <w:marBottom w:val="0"/>
      <w:divBdr>
        <w:top w:val="none" w:sz="0" w:space="0" w:color="auto"/>
        <w:left w:val="none" w:sz="0" w:space="0" w:color="auto"/>
        <w:bottom w:val="none" w:sz="0" w:space="0" w:color="auto"/>
        <w:right w:val="none" w:sz="0" w:space="0" w:color="auto"/>
      </w:divBdr>
    </w:div>
    <w:div w:id="1923101793">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3757676">
      <w:bodyDiv w:val="1"/>
      <w:marLeft w:val="0"/>
      <w:marRight w:val="0"/>
      <w:marTop w:val="0"/>
      <w:marBottom w:val="0"/>
      <w:divBdr>
        <w:top w:val="none" w:sz="0" w:space="0" w:color="auto"/>
        <w:left w:val="none" w:sz="0" w:space="0" w:color="auto"/>
        <w:bottom w:val="none" w:sz="0" w:space="0" w:color="auto"/>
        <w:right w:val="none" w:sz="0" w:space="0" w:color="auto"/>
      </w:divBdr>
    </w:div>
    <w:div w:id="1924219775">
      <w:bodyDiv w:val="1"/>
      <w:marLeft w:val="0"/>
      <w:marRight w:val="0"/>
      <w:marTop w:val="0"/>
      <w:marBottom w:val="0"/>
      <w:divBdr>
        <w:top w:val="none" w:sz="0" w:space="0" w:color="auto"/>
        <w:left w:val="none" w:sz="0" w:space="0" w:color="auto"/>
        <w:bottom w:val="none" w:sz="0" w:space="0" w:color="auto"/>
        <w:right w:val="none" w:sz="0" w:space="0" w:color="auto"/>
      </w:divBdr>
    </w:div>
    <w:div w:id="1925263559">
      <w:bodyDiv w:val="1"/>
      <w:marLeft w:val="0"/>
      <w:marRight w:val="0"/>
      <w:marTop w:val="0"/>
      <w:marBottom w:val="0"/>
      <w:divBdr>
        <w:top w:val="none" w:sz="0" w:space="0" w:color="auto"/>
        <w:left w:val="none" w:sz="0" w:space="0" w:color="auto"/>
        <w:bottom w:val="none" w:sz="0" w:space="0" w:color="auto"/>
        <w:right w:val="none" w:sz="0" w:space="0" w:color="auto"/>
      </w:divBdr>
    </w:div>
    <w:div w:id="1925335770">
      <w:bodyDiv w:val="1"/>
      <w:marLeft w:val="0"/>
      <w:marRight w:val="0"/>
      <w:marTop w:val="0"/>
      <w:marBottom w:val="0"/>
      <w:divBdr>
        <w:top w:val="none" w:sz="0" w:space="0" w:color="auto"/>
        <w:left w:val="none" w:sz="0" w:space="0" w:color="auto"/>
        <w:bottom w:val="none" w:sz="0" w:space="0" w:color="auto"/>
        <w:right w:val="none" w:sz="0" w:space="0" w:color="auto"/>
      </w:divBdr>
    </w:div>
    <w:div w:id="1925988096">
      <w:bodyDiv w:val="1"/>
      <w:marLeft w:val="0"/>
      <w:marRight w:val="0"/>
      <w:marTop w:val="0"/>
      <w:marBottom w:val="0"/>
      <w:divBdr>
        <w:top w:val="none" w:sz="0" w:space="0" w:color="auto"/>
        <w:left w:val="none" w:sz="0" w:space="0" w:color="auto"/>
        <w:bottom w:val="none" w:sz="0" w:space="0" w:color="auto"/>
        <w:right w:val="none" w:sz="0" w:space="0" w:color="auto"/>
      </w:divBdr>
    </w:div>
    <w:div w:id="1926571347">
      <w:bodyDiv w:val="1"/>
      <w:marLeft w:val="0"/>
      <w:marRight w:val="0"/>
      <w:marTop w:val="0"/>
      <w:marBottom w:val="0"/>
      <w:divBdr>
        <w:top w:val="none" w:sz="0" w:space="0" w:color="auto"/>
        <w:left w:val="none" w:sz="0" w:space="0" w:color="auto"/>
        <w:bottom w:val="none" w:sz="0" w:space="0" w:color="auto"/>
        <w:right w:val="none" w:sz="0" w:space="0" w:color="auto"/>
      </w:divBdr>
    </w:div>
    <w:div w:id="1926912737">
      <w:bodyDiv w:val="1"/>
      <w:marLeft w:val="0"/>
      <w:marRight w:val="0"/>
      <w:marTop w:val="0"/>
      <w:marBottom w:val="0"/>
      <w:divBdr>
        <w:top w:val="none" w:sz="0" w:space="0" w:color="auto"/>
        <w:left w:val="none" w:sz="0" w:space="0" w:color="auto"/>
        <w:bottom w:val="none" w:sz="0" w:space="0" w:color="auto"/>
        <w:right w:val="none" w:sz="0" w:space="0" w:color="auto"/>
      </w:divBdr>
    </w:div>
    <w:div w:id="1927029050">
      <w:bodyDiv w:val="1"/>
      <w:marLeft w:val="0"/>
      <w:marRight w:val="0"/>
      <w:marTop w:val="0"/>
      <w:marBottom w:val="0"/>
      <w:divBdr>
        <w:top w:val="none" w:sz="0" w:space="0" w:color="auto"/>
        <w:left w:val="none" w:sz="0" w:space="0" w:color="auto"/>
        <w:bottom w:val="none" w:sz="0" w:space="0" w:color="auto"/>
        <w:right w:val="none" w:sz="0" w:space="0" w:color="auto"/>
      </w:divBdr>
    </w:div>
    <w:div w:id="1927155788">
      <w:bodyDiv w:val="1"/>
      <w:marLeft w:val="0"/>
      <w:marRight w:val="0"/>
      <w:marTop w:val="0"/>
      <w:marBottom w:val="0"/>
      <w:divBdr>
        <w:top w:val="none" w:sz="0" w:space="0" w:color="auto"/>
        <w:left w:val="none" w:sz="0" w:space="0" w:color="auto"/>
        <w:bottom w:val="none" w:sz="0" w:space="0" w:color="auto"/>
        <w:right w:val="none" w:sz="0" w:space="0" w:color="auto"/>
      </w:divBdr>
    </w:div>
    <w:div w:id="1927768959">
      <w:bodyDiv w:val="1"/>
      <w:marLeft w:val="0"/>
      <w:marRight w:val="0"/>
      <w:marTop w:val="0"/>
      <w:marBottom w:val="0"/>
      <w:divBdr>
        <w:top w:val="none" w:sz="0" w:space="0" w:color="auto"/>
        <w:left w:val="none" w:sz="0" w:space="0" w:color="auto"/>
        <w:bottom w:val="none" w:sz="0" w:space="0" w:color="auto"/>
        <w:right w:val="none" w:sz="0" w:space="0" w:color="auto"/>
      </w:divBdr>
    </w:div>
    <w:div w:id="1928227647">
      <w:bodyDiv w:val="1"/>
      <w:marLeft w:val="0"/>
      <w:marRight w:val="0"/>
      <w:marTop w:val="0"/>
      <w:marBottom w:val="0"/>
      <w:divBdr>
        <w:top w:val="none" w:sz="0" w:space="0" w:color="auto"/>
        <w:left w:val="none" w:sz="0" w:space="0" w:color="auto"/>
        <w:bottom w:val="none" w:sz="0" w:space="0" w:color="auto"/>
        <w:right w:val="none" w:sz="0" w:space="0" w:color="auto"/>
      </w:divBdr>
    </w:div>
    <w:div w:id="1928341147">
      <w:bodyDiv w:val="1"/>
      <w:marLeft w:val="0"/>
      <w:marRight w:val="0"/>
      <w:marTop w:val="0"/>
      <w:marBottom w:val="0"/>
      <w:divBdr>
        <w:top w:val="none" w:sz="0" w:space="0" w:color="auto"/>
        <w:left w:val="none" w:sz="0" w:space="0" w:color="auto"/>
        <w:bottom w:val="none" w:sz="0" w:space="0" w:color="auto"/>
        <w:right w:val="none" w:sz="0" w:space="0" w:color="auto"/>
      </w:divBdr>
    </w:div>
    <w:div w:id="1928532800">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8998863">
      <w:bodyDiv w:val="1"/>
      <w:marLeft w:val="0"/>
      <w:marRight w:val="0"/>
      <w:marTop w:val="0"/>
      <w:marBottom w:val="0"/>
      <w:divBdr>
        <w:top w:val="none" w:sz="0" w:space="0" w:color="auto"/>
        <w:left w:val="none" w:sz="0" w:space="0" w:color="auto"/>
        <w:bottom w:val="none" w:sz="0" w:space="0" w:color="auto"/>
        <w:right w:val="none" w:sz="0" w:space="0" w:color="auto"/>
      </w:divBdr>
    </w:div>
    <w:div w:id="1929608175">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0231924">
      <w:bodyDiv w:val="1"/>
      <w:marLeft w:val="0"/>
      <w:marRight w:val="0"/>
      <w:marTop w:val="0"/>
      <w:marBottom w:val="0"/>
      <w:divBdr>
        <w:top w:val="none" w:sz="0" w:space="0" w:color="auto"/>
        <w:left w:val="none" w:sz="0" w:space="0" w:color="auto"/>
        <w:bottom w:val="none" w:sz="0" w:space="0" w:color="auto"/>
        <w:right w:val="none" w:sz="0" w:space="0" w:color="auto"/>
      </w:divBdr>
    </w:div>
    <w:div w:id="1931307397">
      <w:bodyDiv w:val="1"/>
      <w:marLeft w:val="0"/>
      <w:marRight w:val="0"/>
      <w:marTop w:val="0"/>
      <w:marBottom w:val="0"/>
      <w:divBdr>
        <w:top w:val="none" w:sz="0" w:space="0" w:color="auto"/>
        <w:left w:val="none" w:sz="0" w:space="0" w:color="auto"/>
        <w:bottom w:val="none" w:sz="0" w:space="0" w:color="auto"/>
        <w:right w:val="none" w:sz="0" w:space="0" w:color="auto"/>
      </w:divBdr>
    </w:div>
    <w:div w:id="1932734424">
      <w:bodyDiv w:val="1"/>
      <w:marLeft w:val="0"/>
      <w:marRight w:val="0"/>
      <w:marTop w:val="0"/>
      <w:marBottom w:val="0"/>
      <w:divBdr>
        <w:top w:val="none" w:sz="0" w:space="0" w:color="auto"/>
        <w:left w:val="none" w:sz="0" w:space="0" w:color="auto"/>
        <w:bottom w:val="none" w:sz="0" w:space="0" w:color="auto"/>
        <w:right w:val="none" w:sz="0" w:space="0" w:color="auto"/>
      </w:divBdr>
    </w:div>
    <w:div w:id="1933199461">
      <w:bodyDiv w:val="1"/>
      <w:marLeft w:val="0"/>
      <w:marRight w:val="0"/>
      <w:marTop w:val="0"/>
      <w:marBottom w:val="0"/>
      <w:divBdr>
        <w:top w:val="none" w:sz="0" w:space="0" w:color="auto"/>
        <w:left w:val="none" w:sz="0" w:space="0" w:color="auto"/>
        <w:bottom w:val="none" w:sz="0" w:space="0" w:color="auto"/>
        <w:right w:val="none" w:sz="0" w:space="0" w:color="auto"/>
      </w:divBdr>
    </w:div>
    <w:div w:id="1933322082">
      <w:bodyDiv w:val="1"/>
      <w:marLeft w:val="0"/>
      <w:marRight w:val="0"/>
      <w:marTop w:val="0"/>
      <w:marBottom w:val="0"/>
      <w:divBdr>
        <w:top w:val="none" w:sz="0" w:space="0" w:color="auto"/>
        <w:left w:val="none" w:sz="0" w:space="0" w:color="auto"/>
        <w:bottom w:val="none" w:sz="0" w:space="0" w:color="auto"/>
        <w:right w:val="none" w:sz="0" w:space="0" w:color="auto"/>
      </w:divBdr>
    </w:div>
    <w:div w:id="1933732900">
      <w:bodyDiv w:val="1"/>
      <w:marLeft w:val="0"/>
      <w:marRight w:val="0"/>
      <w:marTop w:val="0"/>
      <w:marBottom w:val="0"/>
      <w:divBdr>
        <w:top w:val="none" w:sz="0" w:space="0" w:color="auto"/>
        <w:left w:val="none" w:sz="0" w:space="0" w:color="auto"/>
        <w:bottom w:val="none" w:sz="0" w:space="0" w:color="auto"/>
        <w:right w:val="none" w:sz="0" w:space="0" w:color="auto"/>
      </w:divBdr>
    </w:div>
    <w:div w:id="1934127193">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608464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9024888">
      <w:bodyDiv w:val="1"/>
      <w:marLeft w:val="0"/>
      <w:marRight w:val="0"/>
      <w:marTop w:val="0"/>
      <w:marBottom w:val="0"/>
      <w:divBdr>
        <w:top w:val="none" w:sz="0" w:space="0" w:color="auto"/>
        <w:left w:val="none" w:sz="0" w:space="0" w:color="auto"/>
        <w:bottom w:val="none" w:sz="0" w:space="0" w:color="auto"/>
        <w:right w:val="none" w:sz="0" w:space="0" w:color="auto"/>
      </w:divBdr>
    </w:div>
    <w:div w:id="1939439495">
      <w:bodyDiv w:val="1"/>
      <w:marLeft w:val="0"/>
      <w:marRight w:val="0"/>
      <w:marTop w:val="0"/>
      <w:marBottom w:val="0"/>
      <w:divBdr>
        <w:top w:val="none" w:sz="0" w:space="0" w:color="auto"/>
        <w:left w:val="none" w:sz="0" w:space="0" w:color="auto"/>
        <w:bottom w:val="none" w:sz="0" w:space="0" w:color="auto"/>
        <w:right w:val="none" w:sz="0" w:space="0" w:color="auto"/>
      </w:divBdr>
    </w:div>
    <w:div w:id="1939755882">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0794179">
      <w:bodyDiv w:val="1"/>
      <w:marLeft w:val="0"/>
      <w:marRight w:val="0"/>
      <w:marTop w:val="0"/>
      <w:marBottom w:val="0"/>
      <w:divBdr>
        <w:top w:val="none" w:sz="0" w:space="0" w:color="auto"/>
        <w:left w:val="none" w:sz="0" w:space="0" w:color="auto"/>
        <w:bottom w:val="none" w:sz="0" w:space="0" w:color="auto"/>
        <w:right w:val="none" w:sz="0" w:space="0" w:color="auto"/>
      </w:divBdr>
    </w:div>
    <w:div w:id="1941332990">
      <w:bodyDiv w:val="1"/>
      <w:marLeft w:val="0"/>
      <w:marRight w:val="0"/>
      <w:marTop w:val="0"/>
      <w:marBottom w:val="0"/>
      <w:divBdr>
        <w:top w:val="none" w:sz="0" w:space="0" w:color="auto"/>
        <w:left w:val="none" w:sz="0" w:space="0" w:color="auto"/>
        <w:bottom w:val="none" w:sz="0" w:space="0" w:color="auto"/>
        <w:right w:val="none" w:sz="0" w:space="0" w:color="auto"/>
      </w:divBdr>
    </w:div>
    <w:div w:id="1942028496">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2255169">
      <w:bodyDiv w:val="1"/>
      <w:marLeft w:val="0"/>
      <w:marRight w:val="0"/>
      <w:marTop w:val="0"/>
      <w:marBottom w:val="0"/>
      <w:divBdr>
        <w:top w:val="none" w:sz="0" w:space="0" w:color="auto"/>
        <w:left w:val="none" w:sz="0" w:space="0" w:color="auto"/>
        <w:bottom w:val="none" w:sz="0" w:space="0" w:color="auto"/>
        <w:right w:val="none" w:sz="0" w:space="0" w:color="auto"/>
      </w:divBdr>
    </w:div>
    <w:div w:id="1942298692">
      <w:bodyDiv w:val="1"/>
      <w:marLeft w:val="0"/>
      <w:marRight w:val="0"/>
      <w:marTop w:val="0"/>
      <w:marBottom w:val="0"/>
      <w:divBdr>
        <w:top w:val="none" w:sz="0" w:space="0" w:color="auto"/>
        <w:left w:val="none" w:sz="0" w:space="0" w:color="auto"/>
        <w:bottom w:val="none" w:sz="0" w:space="0" w:color="auto"/>
        <w:right w:val="none" w:sz="0" w:space="0" w:color="auto"/>
      </w:divBdr>
    </w:div>
    <w:div w:id="1943564032">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77864">
      <w:bodyDiv w:val="1"/>
      <w:marLeft w:val="0"/>
      <w:marRight w:val="0"/>
      <w:marTop w:val="0"/>
      <w:marBottom w:val="0"/>
      <w:divBdr>
        <w:top w:val="none" w:sz="0" w:space="0" w:color="auto"/>
        <w:left w:val="none" w:sz="0" w:space="0" w:color="auto"/>
        <w:bottom w:val="none" w:sz="0" w:space="0" w:color="auto"/>
        <w:right w:val="none" w:sz="0" w:space="0" w:color="auto"/>
      </w:divBdr>
    </w:div>
    <w:div w:id="1944916573">
      <w:bodyDiv w:val="1"/>
      <w:marLeft w:val="0"/>
      <w:marRight w:val="0"/>
      <w:marTop w:val="0"/>
      <w:marBottom w:val="0"/>
      <w:divBdr>
        <w:top w:val="none" w:sz="0" w:space="0" w:color="auto"/>
        <w:left w:val="none" w:sz="0" w:space="0" w:color="auto"/>
        <w:bottom w:val="none" w:sz="0" w:space="0" w:color="auto"/>
        <w:right w:val="none" w:sz="0" w:space="0" w:color="auto"/>
      </w:divBdr>
    </w:div>
    <w:div w:id="1944923560">
      <w:bodyDiv w:val="1"/>
      <w:marLeft w:val="0"/>
      <w:marRight w:val="0"/>
      <w:marTop w:val="0"/>
      <w:marBottom w:val="0"/>
      <w:divBdr>
        <w:top w:val="none" w:sz="0" w:space="0" w:color="auto"/>
        <w:left w:val="none" w:sz="0" w:space="0" w:color="auto"/>
        <w:bottom w:val="none" w:sz="0" w:space="0" w:color="auto"/>
        <w:right w:val="none" w:sz="0" w:space="0" w:color="auto"/>
      </w:divBdr>
    </w:div>
    <w:div w:id="1945186266">
      <w:bodyDiv w:val="1"/>
      <w:marLeft w:val="0"/>
      <w:marRight w:val="0"/>
      <w:marTop w:val="0"/>
      <w:marBottom w:val="0"/>
      <w:divBdr>
        <w:top w:val="none" w:sz="0" w:space="0" w:color="auto"/>
        <w:left w:val="none" w:sz="0" w:space="0" w:color="auto"/>
        <w:bottom w:val="none" w:sz="0" w:space="0" w:color="auto"/>
        <w:right w:val="none" w:sz="0" w:space="0" w:color="auto"/>
      </w:divBdr>
    </w:div>
    <w:div w:id="1946036534">
      <w:bodyDiv w:val="1"/>
      <w:marLeft w:val="0"/>
      <w:marRight w:val="0"/>
      <w:marTop w:val="0"/>
      <w:marBottom w:val="0"/>
      <w:divBdr>
        <w:top w:val="none" w:sz="0" w:space="0" w:color="auto"/>
        <w:left w:val="none" w:sz="0" w:space="0" w:color="auto"/>
        <w:bottom w:val="none" w:sz="0" w:space="0" w:color="auto"/>
        <w:right w:val="none" w:sz="0" w:space="0" w:color="auto"/>
      </w:divBdr>
    </w:div>
    <w:div w:id="1946038635">
      <w:bodyDiv w:val="1"/>
      <w:marLeft w:val="0"/>
      <w:marRight w:val="0"/>
      <w:marTop w:val="0"/>
      <w:marBottom w:val="0"/>
      <w:divBdr>
        <w:top w:val="none" w:sz="0" w:space="0" w:color="auto"/>
        <w:left w:val="none" w:sz="0" w:space="0" w:color="auto"/>
        <w:bottom w:val="none" w:sz="0" w:space="0" w:color="auto"/>
        <w:right w:val="none" w:sz="0" w:space="0" w:color="auto"/>
      </w:divBdr>
    </w:div>
    <w:div w:id="1946378560">
      <w:bodyDiv w:val="1"/>
      <w:marLeft w:val="0"/>
      <w:marRight w:val="0"/>
      <w:marTop w:val="0"/>
      <w:marBottom w:val="0"/>
      <w:divBdr>
        <w:top w:val="none" w:sz="0" w:space="0" w:color="auto"/>
        <w:left w:val="none" w:sz="0" w:space="0" w:color="auto"/>
        <w:bottom w:val="none" w:sz="0" w:space="0" w:color="auto"/>
        <w:right w:val="none" w:sz="0" w:space="0" w:color="auto"/>
      </w:divBdr>
    </w:div>
    <w:div w:id="1948148610">
      <w:bodyDiv w:val="1"/>
      <w:marLeft w:val="0"/>
      <w:marRight w:val="0"/>
      <w:marTop w:val="0"/>
      <w:marBottom w:val="0"/>
      <w:divBdr>
        <w:top w:val="none" w:sz="0" w:space="0" w:color="auto"/>
        <w:left w:val="none" w:sz="0" w:space="0" w:color="auto"/>
        <w:bottom w:val="none" w:sz="0" w:space="0" w:color="auto"/>
        <w:right w:val="none" w:sz="0" w:space="0" w:color="auto"/>
      </w:divBdr>
    </w:div>
    <w:div w:id="1948466114">
      <w:bodyDiv w:val="1"/>
      <w:marLeft w:val="0"/>
      <w:marRight w:val="0"/>
      <w:marTop w:val="0"/>
      <w:marBottom w:val="0"/>
      <w:divBdr>
        <w:top w:val="none" w:sz="0" w:space="0" w:color="auto"/>
        <w:left w:val="none" w:sz="0" w:space="0" w:color="auto"/>
        <w:bottom w:val="none" w:sz="0" w:space="0" w:color="auto"/>
        <w:right w:val="none" w:sz="0" w:space="0" w:color="auto"/>
      </w:divBdr>
    </w:div>
    <w:div w:id="194861074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0819166">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1815921">
      <w:bodyDiv w:val="1"/>
      <w:marLeft w:val="0"/>
      <w:marRight w:val="0"/>
      <w:marTop w:val="0"/>
      <w:marBottom w:val="0"/>
      <w:divBdr>
        <w:top w:val="none" w:sz="0" w:space="0" w:color="auto"/>
        <w:left w:val="none" w:sz="0" w:space="0" w:color="auto"/>
        <w:bottom w:val="none" w:sz="0" w:space="0" w:color="auto"/>
        <w:right w:val="none" w:sz="0" w:space="0" w:color="auto"/>
      </w:divBdr>
    </w:div>
    <w:div w:id="1952711699">
      <w:bodyDiv w:val="1"/>
      <w:marLeft w:val="0"/>
      <w:marRight w:val="0"/>
      <w:marTop w:val="0"/>
      <w:marBottom w:val="0"/>
      <w:divBdr>
        <w:top w:val="none" w:sz="0" w:space="0" w:color="auto"/>
        <w:left w:val="none" w:sz="0" w:space="0" w:color="auto"/>
        <w:bottom w:val="none" w:sz="0" w:space="0" w:color="auto"/>
        <w:right w:val="none" w:sz="0" w:space="0" w:color="auto"/>
      </w:divBdr>
    </w:div>
    <w:div w:id="1954484052">
      <w:bodyDiv w:val="1"/>
      <w:marLeft w:val="0"/>
      <w:marRight w:val="0"/>
      <w:marTop w:val="0"/>
      <w:marBottom w:val="0"/>
      <w:divBdr>
        <w:top w:val="none" w:sz="0" w:space="0" w:color="auto"/>
        <w:left w:val="none" w:sz="0" w:space="0" w:color="auto"/>
        <w:bottom w:val="none" w:sz="0" w:space="0" w:color="auto"/>
        <w:right w:val="none" w:sz="0" w:space="0" w:color="auto"/>
      </w:divBdr>
    </w:div>
    <w:div w:id="1955137944">
      <w:bodyDiv w:val="1"/>
      <w:marLeft w:val="0"/>
      <w:marRight w:val="0"/>
      <w:marTop w:val="0"/>
      <w:marBottom w:val="0"/>
      <w:divBdr>
        <w:top w:val="none" w:sz="0" w:space="0" w:color="auto"/>
        <w:left w:val="none" w:sz="0" w:space="0" w:color="auto"/>
        <w:bottom w:val="none" w:sz="0" w:space="0" w:color="auto"/>
        <w:right w:val="none" w:sz="0" w:space="0" w:color="auto"/>
      </w:divBdr>
    </w:div>
    <w:div w:id="1955402828">
      <w:bodyDiv w:val="1"/>
      <w:marLeft w:val="0"/>
      <w:marRight w:val="0"/>
      <w:marTop w:val="0"/>
      <w:marBottom w:val="0"/>
      <w:divBdr>
        <w:top w:val="none" w:sz="0" w:space="0" w:color="auto"/>
        <w:left w:val="none" w:sz="0" w:space="0" w:color="auto"/>
        <w:bottom w:val="none" w:sz="0" w:space="0" w:color="auto"/>
        <w:right w:val="none" w:sz="0" w:space="0" w:color="auto"/>
      </w:divBdr>
    </w:div>
    <w:div w:id="1955478324">
      <w:bodyDiv w:val="1"/>
      <w:marLeft w:val="0"/>
      <w:marRight w:val="0"/>
      <w:marTop w:val="0"/>
      <w:marBottom w:val="0"/>
      <w:divBdr>
        <w:top w:val="none" w:sz="0" w:space="0" w:color="auto"/>
        <w:left w:val="none" w:sz="0" w:space="0" w:color="auto"/>
        <w:bottom w:val="none" w:sz="0" w:space="0" w:color="auto"/>
        <w:right w:val="none" w:sz="0" w:space="0" w:color="auto"/>
      </w:divBdr>
    </w:div>
    <w:div w:id="1956674108">
      <w:bodyDiv w:val="1"/>
      <w:marLeft w:val="0"/>
      <w:marRight w:val="0"/>
      <w:marTop w:val="0"/>
      <w:marBottom w:val="0"/>
      <w:divBdr>
        <w:top w:val="none" w:sz="0" w:space="0" w:color="auto"/>
        <w:left w:val="none" w:sz="0" w:space="0" w:color="auto"/>
        <w:bottom w:val="none" w:sz="0" w:space="0" w:color="auto"/>
        <w:right w:val="none" w:sz="0" w:space="0" w:color="auto"/>
      </w:divBdr>
    </w:div>
    <w:div w:id="1956789841">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8220956">
      <w:bodyDiv w:val="1"/>
      <w:marLeft w:val="0"/>
      <w:marRight w:val="0"/>
      <w:marTop w:val="0"/>
      <w:marBottom w:val="0"/>
      <w:divBdr>
        <w:top w:val="none" w:sz="0" w:space="0" w:color="auto"/>
        <w:left w:val="none" w:sz="0" w:space="0" w:color="auto"/>
        <w:bottom w:val="none" w:sz="0" w:space="0" w:color="auto"/>
        <w:right w:val="none" w:sz="0" w:space="0" w:color="auto"/>
      </w:divBdr>
    </w:div>
    <w:div w:id="1958365712">
      <w:bodyDiv w:val="1"/>
      <w:marLeft w:val="0"/>
      <w:marRight w:val="0"/>
      <w:marTop w:val="0"/>
      <w:marBottom w:val="0"/>
      <w:divBdr>
        <w:top w:val="none" w:sz="0" w:space="0" w:color="auto"/>
        <w:left w:val="none" w:sz="0" w:space="0" w:color="auto"/>
        <w:bottom w:val="none" w:sz="0" w:space="0" w:color="auto"/>
        <w:right w:val="none" w:sz="0" w:space="0" w:color="auto"/>
      </w:divBdr>
    </w:div>
    <w:div w:id="1958560045">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52851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0408194">
      <w:bodyDiv w:val="1"/>
      <w:marLeft w:val="0"/>
      <w:marRight w:val="0"/>
      <w:marTop w:val="0"/>
      <w:marBottom w:val="0"/>
      <w:divBdr>
        <w:top w:val="none" w:sz="0" w:space="0" w:color="auto"/>
        <w:left w:val="none" w:sz="0" w:space="0" w:color="auto"/>
        <w:bottom w:val="none" w:sz="0" w:space="0" w:color="auto"/>
        <w:right w:val="none" w:sz="0" w:space="0" w:color="auto"/>
      </w:divBdr>
    </w:div>
    <w:div w:id="1960716600">
      <w:bodyDiv w:val="1"/>
      <w:marLeft w:val="0"/>
      <w:marRight w:val="0"/>
      <w:marTop w:val="0"/>
      <w:marBottom w:val="0"/>
      <w:divBdr>
        <w:top w:val="none" w:sz="0" w:space="0" w:color="auto"/>
        <w:left w:val="none" w:sz="0" w:space="0" w:color="auto"/>
        <w:bottom w:val="none" w:sz="0" w:space="0" w:color="auto"/>
        <w:right w:val="none" w:sz="0" w:space="0" w:color="auto"/>
      </w:divBdr>
    </w:div>
    <w:div w:id="1961298257">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028639">
      <w:bodyDiv w:val="1"/>
      <w:marLeft w:val="0"/>
      <w:marRight w:val="0"/>
      <w:marTop w:val="0"/>
      <w:marBottom w:val="0"/>
      <w:divBdr>
        <w:top w:val="none" w:sz="0" w:space="0" w:color="auto"/>
        <w:left w:val="none" w:sz="0" w:space="0" w:color="auto"/>
        <w:bottom w:val="none" w:sz="0" w:space="0" w:color="auto"/>
        <w:right w:val="none" w:sz="0" w:space="0" w:color="auto"/>
      </w:divBdr>
    </w:div>
    <w:div w:id="1963920259">
      <w:bodyDiv w:val="1"/>
      <w:marLeft w:val="0"/>
      <w:marRight w:val="0"/>
      <w:marTop w:val="0"/>
      <w:marBottom w:val="0"/>
      <w:divBdr>
        <w:top w:val="none" w:sz="0" w:space="0" w:color="auto"/>
        <w:left w:val="none" w:sz="0" w:space="0" w:color="auto"/>
        <w:bottom w:val="none" w:sz="0" w:space="0" w:color="auto"/>
        <w:right w:val="none" w:sz="0" w:space="0" w:color="auto"/>
      </w:divBdr>
    </w:div>
    <w:div w:id="1964847131">
      <w:bodyDiv w:val="1"/>
      <w:marLeft w:val="0"/>
      <w:marRight w:val="0"/>
      <w:marTop w:val="0"/>
      <w:marBottom w:val="0"/>
      <w:divBdr>
        <w:top w:val="none" w:sz="0" w:space="0" w:color="auto"/>
        <w:left w:val="none" w:sz="0" w:space="0" w:color="auto"/>
        <w:bottom w:val="none" w:sz="0" w:space="0" w:color="auto"/>
        <w:right w:val="none" w:sz="0" w:space="0" w:color="auto"/>
      </w:divBdr>
    </w:div>
    <w:div w:id="1966424419">
      <w:bodyDiv w:val="1"/>
      <w:marLeft w:val="0"/>
      <w:marRight w:val="0"/>
      <w:marTop w:val="0"/>
      <w:marBottom w:val="0"/>
      <w:divBdr>
        <w:top w:val="none" w:sz="0" w:space="0" w:color="auto"/>
        <w:left w:val="none" w:sz="0" w:space="0" w:color="auto"/>
        <w:bottom w:val="none" w:sz="0" w:space="0" w:color="auto"/>
        <w:right w:val="none" w:sz="0" w:space="0" w:color="auto"/>
      </w:divBdr>
    </w:div>
    <w:div w:id="1966495932">
      <w:bodyDiv w:val="1"/>
      <w:marLeft w:val="0"/>
      <w:marRight w:val="0"/>
      <w:marTop w:val="0"/>
      <w:marBottom w:val="0"/>
      <w:divBdr>
        <w:top w:val="none" w:sz="0" w:space="0" w:color="auto"/>
        <w:left w:val="none" w:sz="0" w:space="0" w:color="auto"/>
        <w:bottom w:val="none" w:sz="0" w:space="0" w:color="auto"/>
        <w:right w:val="none" w:sz="0" w:space="0" w:color="auto"/>
      </w:divBdr>
    </w:div>
    <w:div w:id="1966619749">
      <w:bodyDiv w:val="1"/>
      <w:marLeft w:val="0"/>
      <w:marRight w:val="0"/>
      <w:marTop w:val="0"/>
      <w:marBottom w:val="0"/>
      <w:divBdr>
        <w:top w:val="none" w:sz="0" w:space="0" w:color="auto"/>
        <w:left w:val="none" w:sz="0" w:space="0" w:color="auto"/>
        <w:bottom w:val="none" w:sz="0" w:space="0" w:color="auto"/>
        <w:right w:val="none" w:sz="0" w:space="0" w:color="auto"/>
      </w:divBdr>
    </w:div>
    <w:div w:id="1967391376">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395361">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973359">
      <w:bodyDiv w:val="1"/>
      <w:marLeft w:val="0"/>
      <w:marRight w:val="0"/>
      <w:marTop w:val="0"/>
      <w:marBottom w:val="0"/>
      <w:divBdr>
        <w:top w:val="none" w:sz="0" w:space="0" w:color="auto"/>
        <w:left w:val="none" w:sz="0" w:space="0" w:color="auto"/>
        <w:bottom w:val="none" w:sz="0" w:space="0" w:color="auto"/>
        <w:right w:val="none" w:sz="0" w:space="0" w:color="auto"/>
      </w:divBdr>
    </w:div>
    <w:div w:id="1970042439">
      <w:bodyDiv w:val="1"/>
      <w:marLeft w:val="0"/>
      <w:marRight w:val="0"/>
      <w:marTop w:val="0"/>
      <w:marBottom w:val="0"/>
      <w:divBdr>
        <w:top w:val="none" w:sz="0" w:space="0" w:color="auto"/>
        <w:left w:val="none" w:sz="0" w:space="0" w:color="auto"/>
        <w:bottom w:val="none" w:sz="0" w:space="0" w:color="auto"/>
        <w:right w:val="none" w:sz="0" w:space="0" w:color="auto"/>
      </w:divBdr>
    </w:div>
    <w:div w:id="1970163120">
      <w:bodyDiv w:val="1"/>
      <w:marLeft w:val="0"/>
      <w:marRight w:val="0"/>
      <w:marTop w:val="0"/>
      <w:marBottom w:val="0"/>
      <w:divBdr>
        <w:top w:val="none" w:sz="0" w:space="0" w:color="auto"/>
        <w:left w:val="none" w:sz="0" w:space="0" w:color="auto"/>
        <w:bottom w:val="none" w:sz="0" w:space="0" w:color="auto"/>
        <w:right w:val="none" w:sz="0" w:space="0" w:color="auto"/>
      </w:divBdr>
    </w:div>
    <w:div w:id="1970285775">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321664">
      <w:bodyDiv w:val="1"/>
      <w:marLeft w:val="0"/>
      <w:marRight w:val="0"/>
      <w:marTop w:val="0"/>
      <w:marBottom w:val="0"/>
      <w:divBdr>
        <w:top w:val="none" w:sz="0" w:space="0" w:color="auto"/>
        <w:left w:val="none" w:sz="0" w:space="0" w:color="auto"/>
        <w:bottom w:val="none" w:sz="0" w:space="0" w:color="auto"/>
        <w:right w:val="none" w:sz="0" w:space="0" w:color="auto"/>
      </w:divBdr>
    </w:div>
    <w:div w:id="1973512390">
      <w:bodyDiv w:val="1"/>
      <w:marLeft w:val="0"/>
      <w:marRight w:val="0"/>
      <w:marTop w:val="0"/>
      <w:marBottom w:val="0"/>
      <w:divBdr>
        <w:top w:val="none" w:sz="0" w:space="0" w:color="auto"/>
        <w:left w:val="none" w:sz="0" w:space="0" w:color="auto"/>
        <w:bottom w:val="none" w:sz="0" w:space="0" w:color="auto"/>
        <w:right w:val="none" w:sz="0" w:space="0" w:color="auto"/>
      </w:divBdr>
    </w:div>
    <w:div w:id="1974093079">
      <w:bodyDiv w:val="1"/>
      <w:marLeft w:val="0"/>
      <w:marRight w:val="0"/>
      <w:marTop w:val="0"/>
      <w:marBottom w:val="0"/>
      <w:divBdr>
        <w:top w:val="none" w:sz="0" w:space="0" w:color="auto"/>
        <w:left w:val="none" w:sz="0" w:space="0" w:color="auto"/>
        <w:bottom w:val="none" w:sz="0" w:space="0" w:color="auto"/>
        <w:right w:val="none" w:sz="0" w:space="0" w:color="auto"/>
      </w:divBdr>
    </w:div>
    <w:div w:id="1974366386">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5719119">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6829427">
      <w:bodyDiv w:val="1"/>
      <w:marLeft w:val="0"/>
      <w:marRight w:val="0"/>
      <w:marTop w:val="0"/>
      <w:marBottom w:val="0"/>
      <w:divBdr>
        <w:top w:val="none" w:sz="0" w:space="0" w:color="auto"/>
        <w:left w:val="none" w:sz="0" w:space="0" w:color="auto"/>
        <w:bottom w:val="none" w:sz="0" w:space="0" w:color="auto"/>
        <w:right w:val="none" w:sz="0" w:space="0" w:color="auto"/>
      </w:divBdr>
    </w:div>
    <w:div w:id="1977837424">
      <w:bodyDiv w:val="1"/>
      <w:marLeft w:val="0"/>
      <w:marRight w:val="0"/>
      <w:marTop w:val="0"/>
      <w:marBottom w:val="0"/>
      <w:divBdr>
        <w:top w:val="none" w:sz="0" w:space="0" w:color="auto"/>
        <w:left w:val="none" w:sz="0" w:space="0" w:color="auto"/>
        <w:bottom w:val="none" w:sz="0" w:space="0" w:color="auto"/>
        <w:right w:val="none" w:sz="0" w:space="0" w:color="auto"/>
      </w:divBdr>
    </w:div>
    <w:div w:id="1978680547">
      <w:bodyDiv w:val="1"/>
      <w:marLeft w:val="0"/>
      <w:marRight w:val="0"/>
      <w:marTop w:val="0"/>
      <w:marBottom w:val="0"/>
      <w:divBdr>
        <w:top w:val="none" w:sz="0" w:space="0" w:color="auto"/>
        <w:left w:val="none" w:sz="0" w:space="0" w:color="auto"/>
        <w:bottom w:val="none" w:sz="0" w:space="0" w:color="auto"/>
        <w:right w:val="none" w:sz="0" w:space="0" w:color="auto"/>
      </w:divBdr>
    </w:div>
    <w:div w:id="1978946203">
      <w:bodyDiv w:val="1"/>
      <w:marLeft w:val="0"/>
      <w:marRight w:val="0"/>
      <w:marTop w:val="0"/>
      <w:marBottom w:val="0"/>
      <w:divBdr>
        <w:top w:val="none" w:sz="0" w:space="0" w:color="auto"/>
        <w:left w:val="none" w:sz="0" w:space="0" w:color="auto"/>
        <w:bottom w:val="none" w:sz="0" w:space="0" w:color="auto"/>
        <w:right w:val="none" w:sz="0" w:space="0" w:color="auto"/>
      </w:divBdr>
    </w:div>
    <w:div w:id="1979413236">
      <w:bodyDiv w:val="1"/>
      <w:marLeft w:val="0"/>
      <w:marRight w:val="0"/>
      <w:marTop w:val="0"/>
      <w:marBottom w:val="0"/>
      <w:divBdr>
        <w:top w:val="none" w:sz="0" w:space="0" w:color="auto"/>
        <w:left w:val="none" w:sz="0" w:space="0" w:color="auto"/>
        <w:bottom w:val="none" w:sz="0" w:space="0" w:color="auto"/>
        <w:right w:val="none" w:sz="0" w:space="0" w:color="auto"/>
      </w:divBdr>
    </w:div>
    <w:div w:id="1979992676">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0911542">
      <w:bodyDiv w:val="1"/>
      <w:marLeft w:val="0"/>
      <w:marRight w:val="0"/>
      <w:marTop w:val="0"/>
      <w:marBottom w:val="0"/>
      <w:divBdr>
        <w:top w:val="none" w:sz="0" w:space="0" w:color="auto"/>
        <w:left w:val="none" w:sz="0" w:space="0" w:color="auto"/>
        <w:bottom w:val="none" w:sz="0" w:space="0" w:color="auto"/>
        <w:right w:val="none" w:sz="0" w:space="0" w:color="auto"/>
      </w:divBdr>
    </w:div>
    <w:div w:id="1981811127">
      <w:bodyDiv w:val="1"/>
      <w:marLeft w:val="0"/>
      <w:marRight w:val="0"/>
      <w:marTop w:val="0"/>
      <w:marBottom w:val="0"/>
      <w:divBdr>
        <w:top w:val="none" w:sz="0" w:space="0" w:color="auto"/>
        <w:left w:val="none" w:sz="0" w:space="0" w:color="auto"/>
        <w:bottom w:val="none" w:sz="0" w:space="0" w:color="auto"/>
        <w:right w:val="none" w:sz="0" w:space="0" w:color="auto"/>
      </w:divBdr>
    </w:div>
    <w:div w:id="1981957172">
      <w:bodyDiv w:val="1"/>
      <w:marLeft w:val="0"/>
      <w:marRight w:val="0"/>
      <w:marTop w:val="0"/>
      <w:marBottom w:val="0"/>
      <w:divBdr>
        <w:top w:val="none" w:sz="0" w:space="0" w:color="auto"/>
        <w:left w:val="none" w:sz="0" w:space="0" w:color="auto"/>
        <w:bottom w:val="none" w:sz="0" w:space="0" w:color="auto"/>
        <w:right w:val="none" w:sz="0" w:space="0" w:color="auto"/>
      </w:divBdr>
    </w:div>
    <w:div w:id="1982268102">
      <w:bodyDiv w:val="1"/>
      <w:marLeft w:val="0"/>
      <w:marRight w:val="0"/>
      <w:marTop w:val="0"/>
      <w:marBottom w:val="0"/>
      <w:divBdr>
        <w:top w:val="none" w:sz="0" w:space="0" w:color="auto"/>
        <w:left w:val="none" w:sz="0" w:space="0" w:color="auto"/>
        <w:bottom w:val="none" w:sz="0" w:space="0" w:color="auto"/>
        <w:right w:val="none" w:sz="0" w:space="0" w:color="auto"/>
      </w:divBdr>
    </w:div>
    <w:div w:id="1982729408">
      <w:bodyDiv w:val="1"/>
      <w:marLeft w:val="0"/>
      <w:marRight w:val="0"/>
      <w:marTop w:val="0"/>
      <w:marBottom w:val="0"/>
      <w:divBdr>
        <w:top w:val="none" w:sz="0" w:space="0" w:color="auto"/>
        <w:left w:val="none" w:sz="0" w:space="0" w:color="auto"/>
        <w:bottom w:val="none" w:sz="0" w:space="0" w:color="auto"/>
        <w:right w:val="none" w:sz="0" w:space="0" w:color="auto"/>
      </w:divBdr>
    </w:div>
    <w:div w:id="1983581694">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30652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661959">
      <w:bodyDiv w:val="1"/>
      <w:marLeft w:val="0"/>
      <w:marRight w:val="0"/>
      <w:marTop w:val="0"/>
      <w:marBottom w:val="0"/>
      <w:divBdr>
        <w:top w:val="none" w:sz="0" w:space="0" w:color="auto"/>
        <w:left w:val="none" w:sz="0" w:space="0" w:color="auto"/>
        <w:bottom w:val="none" w:sz="0" w:space="0" w:color="auto"/>
        <w:right w:val="none" w:sz="0" w:space="0" w:color="auto"/>
      </w:divBdr>
    </w:div>
    <w:div w:id="1987978230">
      <w:bodyDiv w:val="1"/>
      <w:marLeft w:val="0"/>
      <w:marRight w:val="0"/>
      <w:marTop w:val="0"/>
      <w:marBottom w:val="0"/>
      <w:divBdr>
        <w:top w:val="none" w:sz="0" w:space="0" w:color="auto"/>
        <w:left w:val="none" w:sz="0" w:space="0" w:color="auto"/>
        <w:bottom w:val="none" w:sz="0" w:space="0" w:color="auto"/>
        <w:right w:val="none" w:sz="0" w:space="0" w:color="auto"/>
      </w:divBdr>
    </w:div>
    <w:div w:id="1988121817">
      <w:bodyDiv w:val="1"/>
      <w:marLeft w:val="0"/>
      <w:marRight w:val="0"/>
      <w:marTop w:val="0"/>
      <w:marBottom w:val="0"/>
      <w:divBdr>
        <w:top w:val="none" w:sz="0" w:space="0" w:color="auto"/>
        <w:left w:val="none" w:sz="0" w:space="0" w:color="auto"/>
        <w:bottom w:val="none" w:sz="0" w:space="0" w:color="auto"/>
        <w:right w:val="none" w:sz="0" w:space="0" w:color="auto"/>
      </w:divBdr>
    </w:div>
    <w:div w:id="1988165734">
      <w:bodyDiv w:val="1"/>
      <w:marLeft w:val="0"/>
      <w:marRight w:val="0"/>
      <w:marTop w:val="0"/>
      <w:marBottom w:val="0"/>
      <w:divBdr>
        <w:top w:val="none" w:sz="0" w:space="0" w:color="auto"/>
        <w:left w:val="none" w:sz="0" w:space="0" w:color="auto"/>
        <w:bottom w:val="none" w:sz="0" w:space="0" w:color="auto"/>
        <w:right w:val="none" w:sz="0" w:space="0" w:color="auto"/>
      </w:divBdr>
    </w:div>
    <w:div w:id="1988318064">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00011">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1664508">
      <w:bodyDiv w:val="1"/>
      <w:marLeft w:val="0"/>
      <w:marRight w:val="0"/>
      <w:marTop w:val="0"/>
      <w:marBottom w:val="0"/>
      <w:divBdr>
        <w:top w:val="none" w:sz="0" w:space="0" w:color="auto"/>
        <w:left w:val="none" w:sz="0" w:space="0" w:color="auto"/>
        <w:bottom w:val="none" w:sz="0" w:space="0" w:color="auto"/>
        <w:right w:val="none" w:sz="0" w:space="0" w:color="auto"/>
      </w:divBdr>
    </w:div>
    <w:div w:id="1992517349">
      <w:bodyDiv w:val="1"/>
      <w:marLeft w:val="0"/>
      <w:marRight w:val="0"/>
      <w:marTop w:val="0"/>
      <w:marBottom w:val="0"/>
      <w:divBdr>
        <w:top w:val="none" w:sz="0" w:space="0" w:color="auto"/>
        <w:left w:val="none" w:sz="0" w:space="0" w:color="auto"/>
        <w:bottom w:val="none" w:sz="0" w:space="0" w:color="auto"/>
        <w:right w:val="none" w:sz="0" w:space="0" w:color="auto"/>
      </w:divBdr>
    </w:div>
    <w:div w:id="1993441267">
      <w:bodyDiv w:val="1"/>
      <w:marLeft w:val="0"/>
      <w:marRight w:val="0"/>
      <w:marTop w:val="0"/>
      <w:marBottom w:val="0"/>
      <w:divBdr>
        <w:top w:val="none" w:sz="0" w:space="0" w:color="auto"/>
        <w:left w:val="none" w:sz="0" w:space="0" w:color="auto"/>
        <w:bottom w:val="none" w:sz="0" w:space="0" w:color="auto"/>
        <w:right w:val="none" w:sz="0" w:space="0" w:color="auto"/>
      </w:divBdr>
    </w:div>
    <w:div w:id="1994215769">
      <w:bodyDiv w:val="1"/>
      <w:marLeft w:val="0"/>
      <w:marRight w:val="0"/>
      <w:marTop w:val="0"/>
      <w:marBottom w:val="0"/>
      <w:divBdr>
        <w:top w:val="none" w:sz="0" w:space="0" w:color="auto"/>
        <w:left w:val="none" w:sz="0" w:space="0" w:color="auto"/>
        <w:bottom w:val="none" w:sz="0" w:space="0" w:color="auto"/>
        <w:right w:val="none" w:sz="0" w:space="0" w:color="auto"/>
      </w:divBdr>
    </w:div>
    <w:div w:id="1996061559">
      <w:bodyDiv w:val="1"/>
      <w:marLeft w:val="0"/>
      <w:marRight w:val="0"/>
      <w:marTop w:val="0"/>
      <w:marBottom w:val="0"/>
      <w:divBdr>
        <w:top w:val="none" w:sz="0" w:space="0" w:color="auto"/>
        <w:left w:val="none" w:sz="0" w:space="0" w:color="auto"/>
        <w:bottom w:val="none" w:sz="0" w:space="0" w:color="auto"/>
        <w:right w:val="none" w:sz="0" w:space="0" w:color="auto"/>
      </w:divBdr>
    </w:div>
    <w:div w:id="1996176047">
      <w:bodyDiv w:val="1"/>
      <w:marLeft w:val="0"/>
      <w:marRight w:val="0"/>
      <w:marTop w:val="0"/>
      <w:marBottom w:val="0"/>
      <w:divBdr>
        <w:top w:val="none" w:sz="0" w:space="0" w:color="auto"/>
        <w:left w:val="none" w:sz="0" w:space="0" w:color="auto"/>
        <w:bottom w:val="none" w:sz="0" w:space="0" w:color="auto"/>
        <w:right w:val="none" w:sz="0" w:space="0" w:color="auto"/>
      </w:divBdr>
    </w:div>
    <w:div w:id="1996176123">
      <w:bodyDiv w:val="1"/>
      <w:marLeft w:val="0"/>
      <w:marRight w:val="0"/>
      <w:marTop w:val="0"/>
      <w:marBottom w:val="0"/>
      <w:divBdr>
        <w:top w:val="none" w:sz="0" w:space="0" w:color="auto"/>
        <w:left w:val="none" w:sz="0" w:space="0" w:color="auto"/>
        <w:bottom w:val="none" w:sz="0" w:space="0" w:color="auto"/>
        <w:right w:val="none" w:sz="0" w:space="0" w:color="auto"/>
      </w:divBdr>
    </w:div>
    <w:div w:id="1996489641">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234639">
      <w:bodyDiv w:val="1"/>
      <w:marLeft w:val="0"/>
      <w:marRight w:val="0"/>
      <w:marTop w:val="0"/>
      <w:marBottom w:val="0"/>
      <w:divBdr>
        <w:top w:val="none" w:sz="0" w:space="0" w:color="auto"/>
        <w:left w:val="none" w:sz="0" w:space="0" w:color="auto"/>
        <w:bottom w:val="none" w:sz="0" w:space="0" w:color="auto"/>
        <w:right w:val="none" w:sz="0" w:space="0" w:color="auto"/>
      </w:divBdr>
    </w:div>
    <w:div w:id="20004223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1096">
      <w:bodyDiv w:val="1"/>
      <w:marLeft w:val="0"/>
      <w:marRight w:val="0"/>
      <w:marTop w:val="0"/>
      <w:marBottom w:val="0"/>
      <w:divBdr>
        <w:top w:val="none" w:sz="0" w:space="0" w:color="auto"/>
        <w:left w:val="none" w:sz="0" w:space="0" w:color="auto"/>
        <w:bottom w:val="none" w:sz="0" w:space="0" w:color="auto"/>
        <w:right w:val="none" w:sz="0" w:space="0" w:color="auto"/>
      </w:divBdr>
    </w:div>
    <w:div w:id="2001618643">
      <w:bodyDiv w:val="1"/>
      <w:marLeft w:val="0"/>
      <w:marRight w:val="0"/>
      <w:marTop w:val="0"/>
      <w:marBottom w:val="0"/>
      <w:divBdr>
        <w:top w:val="none" w:sz="0" w:space="0" w:color="auto"/>
        <w:left w:val="none" w:sz="0" w:space="0" w:color="auto"/>
        <w:bottom w:val="none" w:sz="0" w:space="0" w:color="auto"/>
        <w:right w:val="none" w:sz="0" w:space="0" w:color="auto"/>
      </w:divBdr>
    </w:div>
    <w:div w:id="2002001649">
      <w:bodyDiv w:val="1"/>
      <w:marLeft w:val="0"/>
      <w:marRight w:val="0"/>
      <w:marTop w:val="0"/>
      <w:marBottom w:val="0"/>
      <w:divBdr>
        <w:top w:val="none" w:sz="0" w:space="0" w:color="auto"/>
        <w:left w:val="none" w:sz="0" w:space="0" w:color="auto"/>
        <w:bottom w:val="none" w:sz="0" w:space="0" w:color="auto"/>
        <w:right w:val="none" w:sz="0" w:space="0" w:color="auto"/>
      </w:divBdr>
    </w:div>
    <w:div w:id="2002732772">
      <w:bodyDiv w:val="1"/>
      <w:marLeft w:val="0"/>
      <w:marRight w:val="0"/>
      <w:marTop w:val="0"/>
      <w:marBottom w:val="0"/>
      <w:divBdr>
        <w:top w:val="none" w:sz="0" w:space="0" w:color="auto"/>
        <w:left w:val="none" w:sz="0" w:space="0" w:color="auto"/>
        <w:bottom w:val="none" w:sz="0" w:space="0" w:color="auto"/>
        <w:right w:val="none" w:sz="0" w:space="0" w:color="auto"/>
      </w:divBdr>
    </w:div>
    <w:div w:id="2003393284">
      <w:bodyDiv w:val="1"/>
      <w:marLeft w:val="0"/>
      <w:marRight w:val="0"/>
      <w:marTop w:val="0"/>
      <w:marBottom w:val="0"/>
      <w:divBdr>
        <w:top w:val="none" w:sz="0" w:space="0" w:color="auto"/>
        <w:left w:val="none" w:sz="0" w:space="0" w:color="auto"/>
        <w:bottom w:val="none" w:sz="0" w:space="0" w:color="auto"/>
        <w:right w:val="none" w:sz="0" w:space="0" w:color="auto"/>
      </w:divBdr>
    </w:div>
    <w:div w:id="2004238685">
      <w:bodyDiv w:val="1"/>
      <w:marLeft w:val="0"/>
      <w:marRight w:val="0"/>
      <w:marTop w:val="0"/>
      <w:marBottom w:val="0"/>
      <w:divBdr>
        <w:top w:val="none" w:sz="0" w:space="0" w:color="auto"/>
        <w:left w:val="none" w:sz="0" w:space="0" w:color="auto"/>
        <w:bottom w:val="none" w:sz="0" w:space="0" w:color="auto"/>
        <w:right w:val="none" w:sz="0" w:space="0" w:color="auto"/>
      </w:divBdr>
    </w:div>
    <w:div w:id="2004353845">
      <w:bodyDiv w:val="1"/>
      <w:marLeft w:val="0"/>
      <w:marRight w:val="0"/>
      <w:marTop w:val="0"/>
      <w:marBottom w:val="0"/>
      <w:divBdr>
        <w:top w:val="none" w:sz="0" w:space="0" w:color="auto"/>
        <w:left w:val="none" w:sz="0" w:space="0" w:color="auto"/>
        <w:bottom w:val="none" w:sz="0" w:space="0" w:color="auto"/>
        <w:right w:val="none" w:sz="0" w:space="0" w:color="auto"/>
      </w:divBdr>
    </w:div>
    <w:div w:id="2004508768">
      <w:bodyDiv w:val="1"/>
      <w:marLeft w:val="0"/>
      <w:marRight w:val="0"/>
      <w:marTop w:val="0"/>
      <w:marBottom w:val="0"/>
      <w:divBdr>
        <w:top w:val="none" w:sz="0" w:space="0" w:color="auto"/>
        <w:left w:val="none" w:sz="0" w:space="0" w:color="auto"/>
        <w:bottom w:val="none" w:sz="0" w:space="0" w:color="auto"/>
        <w:right w:val="none" w:sz="0" w:space="0" w:color="auto"/>
      </w:divBdr>
    </w:div>
    <w:div w:id="2005622627">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55091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285686">
      <w:bodyDiv w:val="1"/>
      <w:marLeft w:val="0"/>
      <w:marRight w:val="0"/>
      <w:marTop w:val="0"/>
      <w:marBottom w:val="0"/>
      <w:divBdr>
        <w:top w:val="none" w:sz="0" w:space="0" w:color="auto"/>
        <w:left w:val="none" w:sz="0" w:space="0" w:color="auto"/>
        <w:bottom w:val="none" w:sz="0" w:space="0" w:color="auto"/>
        <w:right w:val="none" w:sz="0" w:space="0" w:color="auto"/>
      </w:divBdr>
    </w:div>
    <w:div w:id="2009402860">
      <w:bodyDiv w:val="1"/>
      <w:marLeft w:val="0"/>
      <w:marRight w:val="0"/>
      <w:marTop w:val="0"/>
      <w:marBottom w:val="0"/>
      <w:divBdr>
        <w:top w:val="none" w:sz="0" w:space="0" w:color="auto"/>
        <w:left w:val="none" w:sz="0" w:space="0" w:color="auto"/>
        <w:bottom w:val="none" w:sz="0" w:space="0" w:color="auto"/>
        <w:right w:val="none" w:sz="0" w:space="0" w:color="auto"/>
      </w:divBdr>
    </w:div>
    <w:div w:id="2009670020">
      <w:bodyDiv w:val="1"/>
      <w:marLeft w:val="0"/>
      <w:marRight w:val="0"/>
      <w:marTop w:val="0"/>
      <w:marBottom w:val="0"/>
      <w:divBdr>
        <w:top w:val="none" w:sz="0" w:space="0" w:color="auto"/>
        <w:left w:val="none" w:sz="0" w:space="0" w:color="auto"/>
        <w:bottom w:val="none" w:sz="0" w:space="0" w:color="auto"/>
        <w:right w:val="none" w:sz="0" w:space="0" w:color="auto"/>
      </w:divBdr>
    </w:div>
    <w:div w:id="2009672703">
      <w:bodyDiv w:val="1"/>
      <w:marLeft w:val="0"/>
      <w:marRight w:val="0"/>
      <w:marTop w:val="0"/>
      <w:marBottom w:val="0"/>
      <w:divBdr>
        <w:top w:val="none" w:sz="0" w:space="0" w:color="auto"/>
        <w:left w:val="none" w:sz="0" w:space="0" w:color="auto"/>
        <w:bottom w:val="none" w:sz="0" w:space="0" w:color="auto"/>
        <w:right w:val="none" w:sz="0" w:space="0" w:color="auto"/>
      </w:divBdr>
    </w:div>
    <w:div w:id="2009825061">
      <w:bodyDiv w:val="1"/>
      <w:marLeft w:val="0"/>
      <w:marRight w:val="0"/>
      <w:marTop w:val="0"/>
      <w:marBottom w:val="0"/>
      <w:divBdr>
        <w:top w:val="none" w:sz="0" w:space="0" w:color="auto"/>
        <w:left w:val="none" w:sz="0" w:space="0" w:color="auto"/>
        <w:bottom w:val="none" w:sz="0" w:space="0" w:color="auto"/>
        <w:right w:val="none" w:sz="0" w:space="0" w:color="auto"/>
      </w:divBdr>
    </w:div>
    <w:div w:id="2010788417">
      <w:bodyDiv w:val="1"/>
      <w:marLeft w:val="0"/>
      <w:marRight w:val="0"/>
      <w:marTop w:val="0"/>
      <w:marBottom w:val="0"/>
      <w:divBdr>
        <w:top w:val="none" w:sz="0" w:space="0" w:color="auto"/>
        <w:left w:val="none" w:sz="0" w:space="0" w:color="auto"/>
        <w:bottom w:val="none" w:sz="0" w:space="0" w:color="auto"/>
        <w:right w:val="none" w:sz="0" w:space="0" w:color="auto"/>
      </w:divBdr>
    </w:div>
    <w:div w:id="2010866258">
      <w:bodyDiv w:val="1"/>
      <w:marLeft w:val="0"/>
      <w:marRight w:val="0"/>
      <w:marTop w:val="0"/>
      <w:marBottom w:val="0"/>
      <w:divBdr>
        <w:top w:val="none" w:sz="0" w:space="0" w:color="auto"/>
        <w:left w:val="none" w:sz="0" w:space="0" w:color="auto"/>
        <w:bottom w:val="none" w:sz="0" w:space="0" w:color="auto"/>
        <w:right w:val="none" w:sz="0" w:space="0" w:color="auto"/>
      </w:divBdr>
    </w:div>
    <w:div w:id="2011055424">
      <w:bodyDiv w:val="1"/>
      <w:marLeft w:val="0"/>
      <w:marRight w:val="0"/>
      <w:marTop w:val="0"/>
      <w:marBottom w:val="0"/>
      <w:divBdr>
        <w:top w:val="none" w:sz="0" w:space="0" w:color="auto"/>
        <w:left w:val="none" w:sz="0" w:space="0" w:color="auto"/>
        <w:bottom w:val="none" w:sz="0" w:space="0" w:color="auto"/>
        <w:right w:val="none" w:sz="0" w:space="0" w:color="auto"/>
      </w:divBdr>
    </w:div>
    <w:div w:id="2011174851">
      <w:bodyDiv w:val="1"/>
      <w:marLeft w:val="0"/>
      <w:marRight w:val="0"/>
      <w:marTop w:val="0"/>
      <w:marBottom w:val="0"/>
      <w:divBdr>
        <w:top w:val="none" w:sz="0" w:space="0" w:color="auto"/>
        <w:left w:val="none" w:sz="0" w:space="0" w:color="auto"/>
        <w:bottom w:val="none" w:sz="0" w:space="0" w:color="auto"/>
        <w:right w:val="none" w:sz="0" w:space="0" w:color="auto"/>
      </w:divBdr>
    </w:div>
    <w:div w:id="2011715372">
      <w:bodyDiv w:val="1"/>
      <w:marLeft w:val="0"/>
      <w:marRight w:val="0"/>
      <w:marTop w:val="0"/>
      <w:marBottom w:val="0"/>
      <w:divBdr>
        <w:top w:val="none" w:sz="0" w:space="0" w:color="auto"/>
        <w:left w:val="none" w:sz="0" w:space="0" w:color="auto"/>
        <w:bottom w:val="none" w:sz="0" w:space="0" w:color="auto"/>
        <w:right w:val="none" w:sz="0" w:space="0" w:color="auto"/>
      </w:divBdr>
    </w:div>
    <w:div w:id="2011987066">
      <w:bodyDiv w:val="1"/>
      <w:marLeft w:val="0"/>
      <w:marRight w:val="0"/>
      <w:marTop w:val="0"/>
      <w:marBottom w:val="0"/>
      <w:divBdr>
        <w:top w:val="none" w:sz="0" w:space="0" w:color="auto"/>
        <w:left w:val="none" w:sz="0" w:space="0" w:color="auto"/>
        <w:bottom w:val="none" w:sz="0" w:space="0" w:color="auto"/>
        <w:right w:val="none" w:sz="0" w:space="0" w:color="auto"/>
      </w:divBdr>
    </w:div>
    <w:div w:id="2012291447">
      <w:bodyDiv w:val="1"/>
      <w:marLeft w:val="0"/>
      <w:marRight w:val="0"/>
      <w:marTop w:val="0"/>
      <w:marBottom w:val="0"/>
      <w:divBdr>
        <w:top w:val="none" w:sz="0" w:space="0" w:color="auto"/>
        <w:left w:val="none" w:sz="0" w:space="0" w:color="auto"/>
        <w:bottom w:val="none" w:sz="0" w:space="0" w:color="auto"/>
        <w:right w:val="none" w:sz="0" w:space="0" w:color="auto"/>
      </w:divBdr>
    </w:div>
    <w:div w:id="2013070391">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38764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259700">
      <w:bodyDiv w:val="1"/>
      <w:marLeft w:val="0"/>
      <w:marRight w:val="0"/>
      <w:marTop w:val="0"/>
      <w:marBottom w:val="0"/>
      <w:divBdr>
        <w:top w:val="none" w:sz="0" w:space="0" w:color="auto"/>
        <w:left w:val="none" w:sz="0" w:space="0" w:color="auto"/>
        <w:bottom w:val="none" w:sz="0" w:space="0" w:color="auto"/>
        <w:right w:val="none" w:sz="0" w:space="0" w:color="auto"/>
      </w:divBdr>
    </w:div>
    <w:div w:id="2014912965">
      <w:bodyDiv w:val="1"/>
      <w:marLeft w:val="0"/>
      <w:marRight w:val="0"/>
      <w:marTop w:val="0"/>
      <w:marBottom w:val="0"/>
      <w:divBdr>
        <w:top w:val="none" w:sz="0" w:space="0" w:color="auto"/>
        <w:left w:val="none" w:sz="0" w:space="0" w:color="auto"/>
        <w:bottom w:val="none" w:sz="0" w:space="0" w:color="auto"/>
        <w:right w:val="none" w:sz="0" w:space="0" w:color="auto"/>
      </w:divBdr>
    </w:div>
    <w:div w:id="2014916575">
      <w:bodyDiv w:val="1"/>
      <w:marLeft w:val="0"/>
      <w:marRight w:val="0"/>
      <w:marTop w:val="0"/>
      <w:marBottom w:val="0"/>
      <w:divBdr>
        <w:top w:val="none" w:sz="0" w:space="0" w:color="auto"/>
        <w:left w:val="none" w:sz="0" w:space="0" w:color="auto"/>
        <w:bottom w:val="none" w:sz="0" w:space="0" w:color="auto"/>
        <w:right w:val="none" w:sz="0" w:space="0" w:color="auto"/>
      </w:divBdr>
    </w:div>
    <w:div w:id="2015065321">
      <w:bodyDiv w:val="1"/>
      <w:marLeft w:val="0"/>
      <w:marRight w:val="0"/>
      <w:marTop w:val="0"/>
      <w:marBottom w:val="0"/>
      <w:divBdr>
        <w:top w:val="none" w:sz="0" w:space="0" w:color="auto"/>
        <w:left w:val="none" w:sz="0" w:space="0" w:color="auto"/>
        <w:bottom w:val="none" w:sz="0" w:space="0" w:color="auto"/>
        <w:right w:val="none" w:sz="0" w:space="0" w:color="auto"/>
      </w:divBdr>
    </w:div>
    <w:div w:id="2017533072">
      <w:bodyDiv w:val="1"/>
      <w:marLeft w:val="0"/>
      <w:marRight w:val="0"/>
      <w:marTop w:val="0"/>
      <w:marBottom w:val="0"/>
      <w:divBdr>
        <w:top w:val="none" w:sz="0" w:space="0" w:color="auto"/>
        <w:left w:val="none" w:sz="0" w:space="0" w:color="auto"/>
        <w:bottom w:val="none" w:sz="0" w:space="0" w:color="auto"/>
        <w:right w:val="none" w:sz="0" w:space="0" w:color="auto"/>
      </w:divBdr>
    </w:div>
    <w:div w:id="2017927333">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337825">
      <w:bodyDiv w:val="1"/>
      <w:marLeft w:val="0"/>
      <w:marRight w:val="0"/>
      <w:marTop w:val="0"/>
      <w:marBottom w:val="0"/>
      <w:divBdr>
        <w:top w:val="none" w:sz="0" w:space="0" w:color="auto"/>
        <w:left w:val="none" w:sz="0" w:space="0" w:color="auto"/>
        <w:bottom w:val="none" w:sz="0" w:space="0" w:color="auto"/>
        <w:right w:val="none" w:sz="0" w:space="0" w:color="auto"/>
      </w:divBdr>
    </w:div>
    <w:div w:id="2018724681">
      <w:bodyDiv w:val="1"/>
      <w:marLeft w:val="0"/>
      <w:marRight w:val="0"/>
      <w:marTop w:val="0"/>
      <w:marBottom w:val="0"/>
      <w:divBdr>
        <w:top w:val="none" w:sz="0" w:space="0" w:color="auto"/>
        <w:left w:val="none" w:sz="0" w:space="0" w:color="auto"/>
        <w:bottom w:val="none" w:sz="0" w:space="0" w:color="auto"/>
        <w:right w:val="none" w:sz="0" w:space="0" w:color="auto"/>
      </w:divBdr>
    </w:div>
    <w:div w:id="2019262158">
      <w:bodyDiv w:val="1"/>
      <w:marLeft w:val="0"/>
      <w:marRight w:val="0"/>
      <w:marTop w:val="0"/>
      <w:marBottom w:val="0"/>
      <w:divBdr>
        <w:top w:val="none" w:sz="0" w:space="0" w:color="auto"/>
        <w:left w:val="none" w:sz="0" w:space="0" w:color="auto"/>
        <w:bottom w:val="none" w:sz="0" w:space="0" w:color="auto"/>
        <w:right w:val="none" w:sz="0" w:space="0" w:color="auto"/>
      </w:divBdr>
    </w:div>
    <w:div w:id="2019311886">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0497607">
      <w:bodyDiv w:val="1"/>
      <w:marLeft w:val="0"/>
      <w:marRight w:val="0"/>
      <w:marTop w:val="0"/>
      <w:marBottom w:val="0"/>
      <w:divBdr>
        <w:top w:val="none" w:sz="0" w:space="0" w:color="auto"/>
        <w:left w:val="none" w:sz="0" w:space="0" w:color="auto"/>
        <w:bottom w:val="none" w:sz="0" w:space="0" w:color="auto"/>
        <w:right w:val="none" w:sz="0" w:space="0" w:color="auto"/>
      </w:divBdr>
    </w:div>
    <w:div w:id="2022851516">
      <w:bodyDiv w:val="1"/>
      <w:marLeft w:val="0"/>
      <w:marRight w:val="0"/>
      <w:marTop w:val="0"/>
      <w:marBottom w:val="0"/>
      <w:divBdr>
        <w:top w:val="none" w:sz="0" w:space="0" w:color="auto"/>
        <w:left w:val="none" w:sz="0" w:space="0" w:color="auto"/>
        <w:bottom w:val="none" w:sz="0" w:space="0" w:color="auto"/>
        <w:right w:val="none" w:sz="0" w:space="0" w:color="auto"/>
      </w:divBdr>
    </w:div>
    <w:div w:id="2022969051">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244427">
      <w:bodyDiv w:val="1"/>
      <w:marLeft w:val="0"/>
      <w:marRight w:val="0"/>
      <w:marTop w:val="0"/>
      <w:marBottom w:val="0"/>
      <w:divBdr>
        <w:top w:val="none" w:sz="0" w:space="0" w:color="auto"/>
        <w:left w:val="none" w:sz="0" w:space="0" w:color="auto"/>
        <w:bottom w:val="none" w:sz="0" w:space="0" w:color="auto"/>
        <w:right w:val="none" w:sz="0" w:space="0" w:color="auto"/>
      </w:divBdr>
    </w:div>
    <w:div w:id="2023313548">
      <w:bodyDiv w:val="1"/>
      <w:marLeft w:val="0"/>
      <w:marRight w:val="0"/>
      <w:marTop w:val="0"/>
      <w:marBottom w:val="0"/>
      <w:divBdr>
        <w:top w:val="none" w:sz="0" w:space="0" w:color="auto"/>
        <w:left w:val="none" w:sz="0" w:space="0" w:color="auto"/>
        <w:bottom w:val="none" w:sz="0" w:space="0" w:color="auto"/>
        <w:right w:val="none" w:sz="0" w:space="0" w:color="auto"/>
      </w:divBdr>
    </w:div>
    <w:div w:id="2023438261">
      <w:bodyDiv w:val="1"/>
      <w:marLeft w:val="0"/>
      <w:marRight w:val="0"/>
      <w:marTop w:val="0"/>
      <w:marBottom w:val="0"/>
      <w:divBdr>
        <w:top w:val="none" w:sz="0" w:space="0" w:color="auto"/>
        <w:left w:val="none" w:sz="0" w:space="0" w:color="auto"/>
        <w:bottom w:val="none" w:sz="0" w:space="0" w:color="auto"/>
        <w:right w:val="none" w:sz="0" w:space="0" w:color="auto"/>
      </w:divBdr>
    </w:div>
    <w:div w:id="2023627907">
      <w:bodyDiv w:val="1"/>
      <w:marLeft w:val="0"/>
      <w:marRight w:val="0"/>
      <w:marTop w:val="0"/>
      <w:marBottom w:val="0"/>
      <w:divBdr>
        <w:top w:val="none" w:sz="0" w:space="0" w:color="auto"/>
        <w:left w:val="none" w:sz="0" w:space="0" w:color="auto"/>
        <w:bottom w:val="none" w:sz="0" w:space="0" w:color="auto"/>
        <w:right w:val="none" w:sz="0" w:space="0" w:color="auto"/>
      </w:divBdr>
    </w:div>
    <w:div w:id="2023894371">
      <w:bodyDiv w:val="1"/>
      <w:marLeft w:val="0"/>
      <w:marRight w:val="0"/>
      <w:marTop w:val="0"/>
      <w:marBottom w:val="0"/>
      <w:divBdr>
        <w:top w:val="none" w:sz="0" w:space="0" w:color="auto"/>
        <w:left w:val="none" w:sz="0" w:space="0" w:color="auto"/>
        <w:bottom w:val="none" w:sz="0" w:space="0" w:color="auto"/>
        <w:right w:val="none" w:sz="0" w:space="0" w:color="auto"/>
      </w:divBdr>
    </w:div>
    <w:div w:id="2024355500">
      <w:bodyDiv w:val="1"/>
      <w:marLeft w:val="0"/>
      <w:marRight w:val="0"/>
      <w:marTop w:val="0"/>
      <w:marBottom w:val="0"/>
      <w:divBdr>
        <w:top w:val="none" w:sz="0" w:space="0" w:color="auto"/>
        <w:left w:val="none" w:sz="0" w:space="0" w:color="auto"/>
        <w:bottom w:val="none" w:sz="0" w:space="0" w:color="auto"/>
        <w:right w:val="none" w:sz="0" w:space="0" w:color="auto"/>
      </w:divBdr>
    </w:div>
    <w:div w:id="2024895787">
      <w:bodyDiv w:val="1"/>
      <w:marLeft w:val="0"/>
      <w:marRight w:val="0"/>
      <w:marTop w:val="0"/>
      <w:marBottom w:val="0"/>
      <w:divBdr>
        <w:top w:val="none" w:sz="0" w:space="0" w:color="auto"/>
        <w:left w:val="none" w:sz="0" w:space="0" w:color="auto"/>
        <w:bottom w:val="none" w:sz="0" w:space="0" w:color="auto"/>
        <w:right w:val="none" w:sz="0" w:space="0" w:color="auto"/>
      </w:divBdr>
    </w:div>
    <w:div w:id="2025008947">
      <w:bodyDiv w:val="1"/>
      <w:marLeft w:val="0"/>
      <w:marRight w:val="0"/>
      <w:marTop w:val="0"/>
      <w:marBottom w:val="0"/>
      <w:divBdr>
        <w:top w:val="none" w:sz="0" w:space="0" w:color="auto"/>
        <w:left w:val="none" w:sz="0" w:space="0" w:color="auto"/>
        <w:bottom w:val="none" w:sz="0" w:space="0" w:color="auto"/>
        <w:right w:val="none" w:sz="0" w:space="0" w:color="auto"/>
      </w:divBdr>
    </w:div>
    <w:div w:id="2025400845">
      <w:bodyDiv w:val="1"/>
      <w:marLeft w:val="0"/>
      <w:marRight w:val="0"/>
      <w:marTop w:val="0"/>
      <w:marBottom w:val="0"/>
      <w:divBdr>
        <w:top w:val="none" w:sz="0" w:space="0" w:color="auto"/>
        <w:left w:val="none" w:sz="0" w:space="0" w:color="auto"/>
        <w:bottom w:val="none" w:sz="0" w:space="0" w:color="auto"/>
        <w:right w:val="none" w:sz="0" w:space="0" w:color="auto"/>
      </w:divBdr>
    </w:div>
    <w:div w:id="2025865595">
      <w:bodyDiv w:val="1"/>
      <w:marLeft w:val="0"/>
      <w:marRight w:val="0"/>
      <w:marTop w:val="0"/>
      <w:marBottom w:val="0"/>
      <w:divBdr>
        <w:top w:val="none" w:sz="0" w:space="0" w:color="auto"/>
        <w:left w:val="none" w:sz="0" w:space="0" w:color="auto"/>
        <w:bottom w:val="none" w:sz="0" w:space="0" w:color="auto"/>
        <w:right w:val="none" w:sz="0" w:space="0" w:color="auto"/>
      </w:divBdr>
    </w:div>
    <w:div w:id="2026128354">
      <w:bodyDiv w:val="1"/>
      <w:marLeft w:val="0"/>
      <w:marRight w:val="0"/>
      <w:marTop w:val="0"/>
      <w:marBottom w:val="0"/>
      <w:divBdr>
        <w:top w:val="none" w:sz="0" w:space="0" w:color="auto"/>
        <w:left w:val="none" w:sz="0" w:space="0" w:color="auto"/>
        <w:bottom w:val="none" w:sz="0" w:space="0" w:color="auto"/>
        <w:right w:val="none" w:sz="0" w:space="0" w:color="auto"/>
      </w:divBdr>
    </w:div>
    <w:div w:id="2026979085">
      <w:bodyDiv w:val="1"/>
      <w:marLeft w:val="0"/>
      <w:marRight w:val="0"/>
      <w:marTop w:val="0"/>
      <w:marBottom w:val="0"/>
      <w:divBdr>
        <w:top w:val="none" w:sz="0" w:space="0" w:color="auto"/>
        <w:left w:val="none" w:sz="0" w:space="0" w:color="auto"/>
        <w:bottom w:val="none" w:sz="0" w:space="0" w:color="auto"/>
        <w:right w:val="none" w:sz="0" w:space="0" w:color="auto"/>
      </w:divBdr>
    </w:div>
    <w:div w:id="202710040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28100094">
      <w:bodyDiv w:val="1"/>
      <w:marLeft w:val="0"/>
      <w:marRight w:val="0"/>
      <w:marTop w:val="0"/>
      <w:marBottom w:val="0"/>
      <w:divBdr>
        <w:top w:val="none" w:sz="0" w:space="0" w:color="auto"/>
        <w:left w:val="none" w:sz="0" w:space="0" w:color="auto"/>
        <w:bottom w:val="none" w:sz="0" w:space="0" w:color="auto"/>
        <w:right w:val="none" w:sz="0" w:space="0" w:color="auto"/>
      </w:divBdr>
    </w:div>
    <w:div w:id="2028558114">
      <w:bodyDiv w:val="1"/>
      <w:marLeft w:val="0"/>
      <w:marRight w:val="0"/>
      <w:marTop w:val="0"/>
      <w:marBottom w:val="0"/>
      <w:divBdr>
        <w:top w:val="none" w:sz="0" w:space="0" w:color="auto"/>
        <w:left w:val="none" w:sz="0" w:space="0" w:color="auto"/>
        <w:bottom w:val="none" w:sz="0" w:space="0" w:color="auto"/>
        <w:right w:val="none" w:sz="0" w:space="0" w:color="auto"/>
      </w:divBdr>
    </w:div>
    <w:div w:id="2028755294">
      <w:bodyDiv w:val="1"/>
      <w:marLeft w:val="0"/>
      <w:marRight w:val="0"/>
      <w:marTop w:val="0"/>
      <w:marBottom w:val="0"/>
      <w:divBdr>
        <w:top w:val="none" w:sz="0" w:space="0" w:color="auto"/>
        <w:left w:val="none" w:sz="0" w:space="0" w:color="auto"/>
        <w:bottom w:val="none" w:sz="0" w:space="0" w:color="auto"/>
        <w:right w:val="none" w:sz="0" w:space="0" w:color="auto"/>
      </w:divBdr>
    </w:div>
    <w:div w:id="2028945595">
      <w:bodyDiv w:val="1"/>
      <w:marLeft w:val="0"/>
      <w:marRight w:val="0"/>
      <w:marTop w:val="0"/>
      <w:marBottom w:val="0"/>
      <w:divBdr>
        <w:top w:val="none" w:sz="0" w:space="0" w:color="auto"/>
        <w:left w:val="none" w:sz="0" w:space="0" w:color="auto"/>
        <w:bottom w:val="none" w:sz="0" w:space="0" w:color="auto"/>
        <w:right w:val="none" w:sz="0" w:space="0" w:color="auto"/>
      </w:divBdr>
    </w:div>
    <w:div w:id="2029061690">
      <w:bodyDiv w:val="1"/>
      <w:marLeft w:val="0"/>
      <w:marRight w:val="0"/>
      <w:marTop w:val="0"/>
      <w:marBottom w:val="0"/>
      <w:divBdr>
        <w:top w:val="none" w:sz="0" w:space="0" w:color="auto"/>
        <w:left w:val="none" w:sz="0" w:space="0" w:color="auto"/>
        <w:bottom w:val="none" w:sz="0" w:space="0" w:color="auto"/>
        <w:right w:val="none" w:sz="0" w:space="0" w:color="auto"/>
      </w:divBdr>
    </w:div>
    <w:div w:id="2029483309">
      <w:bodyDiv w:val="1"/>
      <w:marLeft w:val="0"/>
      <w:marRight w:val="0"/>
      <w:marTop w:val="0"/>
      <w:marBottom w:val="0"/>
      <w:divBdr>
        <w:top w:val="none" w:sz="0" w:space="0" w:color="auto"/>
        <w:left w:val="none" w:sz="0" w:space="0" w:color="auto"/>
        <w:bottom w:val="none" w:sz="0" w:space="0" w:color="auto"/>
        <w:right w:val="none" w:sz="0" w:space="0" w:color="auto"/>
      </w:divBdr>
    </w:div>
    <w:div w:id="2029795056">
      <w:bodyDiv w:val="1"/>
      <w:marLeft w:val="0"/>
      <w:marRight w:val="0"/>
      <w:marTop w:val="0"/>
      <w:marBottom w:val="0"/>
      <w:divBdr>
        <w:top w:val="none" w:sz="0" w:space="0" w:color="auto"/>
        <w:left w:val="none" w:sz="0" w:space="0" w:color="auto"/>
        <w:bottom w:val="none" w:sz="0" w:space="0" w:color="auto"/>
        <w:right w:val="none" w:sz="0" w:space="0" w:color="auto"/>
      </w:divBdr>
    </w:div>
    <w:div w:id="2029871036">
      <w:bodyDiv w:val="1"/>
      <w:marLeft w:val="0"/>
      <w:marRight w:val="0"/>
      <w:marTop w:val="0"/>
      <w:marBottom w:val="0"/>
      <w:divBdr>
        <w:top w:val="none" w:sz="0" w:space="0" w:color="auto"/>
        <w:left w:val="none" w:sz="0" w:space="0" w:color="auto"/>
        <w:bottom w:val="none" w:sz="0" w:space="0" w:color="auto"/>
        <w:right w:val="none" w:sz="0" w:space="0" w:color="auto"/>
      </w:divBdr>
    </w:div>
    <w:div w:id="2030597415">
      <w:bodyDiv w:val="1"/>
      <w:marLeft w:val="0"/>
      <w:marRight w:val="0"/>
      <w:marTop w:val="0"/>
      <w:marBottom w:val="0"/>
      <w:divBdr>
        <w:top w:val="none" w:sz="0" w:space="0" w:color="auto"/>
        <w:left w:val="none" w:sz="0" w:space="0" w:color="auto"/>
        <w:bottom w:val="none" w:sz="0" w:space="0" w:color="auto"/>
        <w:right w:val="none" w:sz="0" w:space="0" w:color="auto"/>
      </w:divBdr>
    </w:div>
    <w:div w:id="2031101752">
      <w:bodyDiv w:val="1"/>
      <w:marLeft w:val="0"/>
      <w:marRight w:val="0"/>
      <w:marTop w:val="0"/>
      <w:marBottom w:val="0"/>
      <w:divBdr>
        <w:top w:val="none" w:sz="0" w:space="0" w:color="auto"/>
        <w:left w:val="none" w:sz="0" w:space="0" w:color="auto"/>
        <w:bottom w:val="none" w:sz="0" w:space="0" w:color="auto"/>
        <w:right w:val="none" w:sz="0" w:space="0" w:color="auto"/>
      </w:divBdr>
    </w:div>
    <w:div w:id="2031104328">
      <w:bodyDiv w:val="1"/>
      <w:marLeft w:val="0"/>
      <w:marRight w:val="0"/>
      <w:marTop w:val="0"/>
      <w:marBottom w:val="0"/>
      <w:divBdr>
        <w:top w:val="none" w:sz="0" w:space="0" w:color="auto"/>
        <w:left w:val="none" w:sz="0" w:space="0" w:color="auto"/>
        <w:bottom w:val="none" w:sz="0" w:space="0" w:color="auto"/>
        <w:right w:val="none" w:sz="0" w:space="0" w:color="auto"/>
      </w:divBdr>
    </w:div>
    <w:div w:id="2031686322">
      <w:bodyDiv w:val="1"/>
      <w:marLeft w:val="0"/>
      <w:marRight w:val="0"/>
      <w:marTop w:val="0"/>
      <w:marBottom w:val="0"/>
      <w:divBdr>
        <w:top w:val="none" w:sz="0" w:space="0" w:color="auto"/>
        <w:left w:val="none" w:sz="0" w:space="0" w:color="auto"/>
        <w:bottom w:val="none" w:sz="0" w:space="0" w:color="auto"/>
        <w:right w:val="none" w:sz="0" w:space="0" w:color="auto"/>
      </w:divBdr>
    </w:div>
    <w:div w:id="2032024837">
      <w:bodyDiv w:val="1"/>
      <w:marLeft w:val="0"/>
      <w:marRight w:val="0"/>
      <w:marTop w:val="0"/>
      <w:marBottom w:val="0"/>
      <w:divBdr>
        <w:top w:val="none" w:sz="0" w:space="0" w:color="auto"/>
        <w:left w:val="none" w:sz="0" w:space="0" w:color="auto"/>
        <w:bottom w:val="none" w:sz="0" w:space="0" w:color="auto"/>
        <w:right w:val="none" w:sz="0" w:space="0" w:color="auto"/>
      </w:divBdr>
    </w:div>
    <w:div w:id="2032992654">
      <w:bodyDiv w:val="1"/>
      <w:marLeft w:val="0"/>
      <w:marRight w:val="0"/>
      <w:marTop w:val="0"/>
      <w:marBottom w:val="0"/>
      <w:divBdr>
        <w:top w:val="none" w:sz="0" w:space="0" w:color="auto"/>
        <w:left w:val="none" w:sz="0" w:space="0" w:color="auto"/>
        <w:bottom w:val="none" w:sz="0" w:space="0" w:color="auto"/>
        <w:right w:val="none" w:sz="0" w:space="0" w:color="auto"/>
      </w:divBdr>
    </w:div>
    <w:div w:id="2032993852">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451571">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4963768">
      <w:bodyDiv w:val="1"/>
      <w:marLeft w:val="0"/>
      <w:marRight w:val="0"/>
      <w:marTop w:val="0"/>
      <w:marBottom w:val="0"/>
      <w:divBdr>
        <w:top w:val="none" w:sz="0" w:space="0" w:color="auto"/>
        <w:left w:val="none" w:sz="0" w:space="0" w:color="auto"/>
        <w:bottom w:val="none" w:sz="0" w:space="0" w:color="auto"/>
        <w:right w:val="none" w:sz="0" w:space="0" w:color="auto"/>
      </w:divBdr>
    </w:div>
    <w:div w:id="2035642842">
      <w:bodyDiv w:val="1"/>
      <w:marLeft w:val="0"/>
      <w:marRight w:val="0"/>
      <w:marTop w:val="0"/>
      <w:marBottom w:val="0"/>
      <w:divBdr>
        <w:top w:val="none" w:sz="0" w:space="0" w:color="auto"/>
        <w:left w:val="none" w:sz="0" w:space="0" w:color="auto"/>
        <w:bottom w:val="none" w:sz="0" w:space="0" w:color="auto"/>
        <w:right w:val="none" w:sz="0" w:space="0" w:color="auto"/>
      </w:divBdr>
    </w:div>
    <w:div w:id="2035956081">
      <w:bodyDiv w:val="1"/>
      <w:marLeft w:val="0"/>
      <w:marRight w:val="0"/>
      <w:marTop w:val="0"/>
      <w:marBottom w:val="0"/>
      <w:divBdr>
        <w:top w:val="none" w:sz="0" w:space="0" w:color="auto"/>
        <w:left w:val="none" w:sz="0" w:space="0" w:color="auto"/>
        <w:bottom w:val="none" w:sz="0" w:space="0" w:color="auto"/>
        <w:right w:val="none" w:sz="0" w:space="0" w:color="auto"/>
      </w:divBdr>
    </w:div>
    <w:div w:id="2036223982">
      <w:bodyDiv w:val="1"/>
      <w:marLeft w:val="0"/>
      <w:marRight w:val="0"/>
      <w:marTop w:val="0"/>
      <w:marBottom w:val="0"/>
      <w:divBdr>
        <w:top w:val="none" w:sz="0" w:space="0" w:color="auto"/>
        <w:left w:val="none" w:sz="0" w:space="0" w:color="auto"/>
        <w:bottom w:val="none" w:sz="0" w:space="0" w:color="auto"/>
        <w:right w:val="none" w:sz="0" w:space="0" w:color="auto"/>
      </w:divBdr>
    </w:div>
    <w:div w:id="2036272338">
      <w:bodyDiv w:val="1"/>
      <w:marLeft w:val="0"/>
      <w:marRight w:val="0"/>
      <w:marTop w:val="0"/>
      <w:marBottom w:val="0"/>
      <w:divBdr>
        <w:top w:val="none" w:sz="0" w:space="0" w:color="auto"/>
        <w:left w:val="none" w:sz="0" w:space="0" w:color="auto"/>
        <w:bottom w:val="none" w:sz="0" w:space="0" w:color="auto"/>
        <w:right w:val="none" w:sz="0" w:space="0" w:color="auto"/>
      </w:divBdr>
    </w:div>
    <w:div w:id="203746100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38700068">
      <w:bodyDiv w:val="1"/>
      <w:marLeft w:val="0"/>
      <w:marRight w:val="0"/>
      <w:marTop w:val="0"/>
      <w:marBottom w:val="0"/>
      <w:divBdr>
        <w:top w:val="none" w:sz="0" w:space="0" w:color="auto"/>
        <w:left w:val="none" w:sz="0" w:space="0" w:color="auto"/>
        <w:bottom w:val="none" w:sz="0" w:space="0" w:color="auto"/>
        <w:right w:val="none" w:sz="0" w:space="0" w:color="auto"/>
      </w:divBdr>
    </w:div>
    <w:div w:id="2039236165">
      <w:bodyDiv w:val="1"/>
      <w:marLeft w:val="0"/>
      <w:marRight w:val="0"/>
      <w:marTop w:val="0"/>
      <w:marBottom w:val="0"/>
      <w:divBdr>
        <w:top w:val="none" w:sz="0" w:space="0" w:color="auto"/>
        <w:left w:val="none" w:sz="0" w:space="0" w:color="auto"/>
        <w:bottom w:val="none" w:sz="0" w:space="0" w:color="auto"/>
        <w:right w:val="none" w:sz="0" w:space="0" w:color="auto"/>
      </w:divBdr>
    </w:div>
    <w:div w:id="2039699153">
      <w:bodyDiv w:val="1"/>
      <w:marLeft w:val="0"/>
      <w:marRight w:val="0"/>
      <w:marTop w:val="0"/>
      <w:marBottom w:val="0"/>
      <w:divBdr>
        <w:top w:val="none" w:sz="0" w:space="0" w:color="auto"/>
        <w:left w:val="none" w:sz="0" w:space="0" w:color="auto"/>
        <w:bottom w:val="none" w:sz="0" w:space="0" w:color="auto"/>
        <w:right w:val="none" w:sz="0" w:space="0" w:color="auto"/>
      </w:divBdr>
    </w:div>
    <w:div w:id="2039893626">
      <w:bodyDiv w:val="1"/>
      <w:marLeft w:val="0"/>
      <w:marRight w:val="0"/>
      <w:marTop w:val="0"/>
      <w:marBottom w:val="0"/>
      <w:divBdr>
        <w:top w:val="none" w:sz="0" w:space="0" w:color="auto"/>
        <w:left w:val="none" w:sz="0" w:space="0" w:color="auto"/>
        <w:bottom w:val="none" w:sz="0" w:space="0" w:color="auto"/>
        <w:right w:val="none" w:sz="0" w:space="0" w:color="auto"/>
      </w:divBdr>
    </w:div>
    <w:div w:id="2041007661">
      <w:bodyDiv w:val="1"/>
      <w:marLeft w:val="0"/>
      <w:marRight w:val="0"/>
      <w:marTop w:val="0"/>
      <w:marBottom w:val="0"/>
      <w:divBdr>
        <w:top w:val="none" w:sz="0" w:space="0" w:color="auto"/>
        <w:left w:val="none" w:sz="0" w:space="0" w:color="auto"/>
        <w:bottom w:val="none" w:sz="0" w:space="0" w:color="auto"/>
        <w:right w:val="none" w:sz="0" w:space="0" w:color="auto"/>
      </w:divBdr>
    </w:div>
    <w:div w:id="2042827425">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4011380">
      <w:bodyDiv w:val="1"/>
      <w:marLeft w:val="0"/>
      <w:marRight w:val="0"/>
      <w:marTop w:val="0"/>
      <w:marBottom w:val="0"/>
      <w:divBdr>
        <w:top w:val="none" w:sz="0" w:space="0" w:color="auto"/>
        <w:left w:val="none" w:sz="0" w:space="0" w:color="auto"/>
        <w:bottom w:val="none" w:sz="0" w:space="0" w:color="auto"/>
        <w:right w:val="none" w:sz="0" w:space="0" w:color="auto"/>
      </w:divBdr>
    </w:div>
    <w:div w:id="2045404138">
      <w:bodyDiv w:val="1"/>
      <w:marLeft w:val="0"/>
      <w:marRight w:val="0"/>
      <w:marTop w:val="0"/>
      <w:marBottom w:val="0"/>
      <w:divBdr>
        <w:top w:val="none" w:sz="0" w:space="0" w:color="auto"/>
        <w:left w:val="none" w:sz="0" w:space="0" w:color="auto"/>
        <w:bottom w:val="none" w:sz="0" w:space="0" w:color="auto"/>
        <w:right w:val="none" w:sz="0" w:space="0" w:color="auto"/>
      </w:divBdr>
    </w:div>
    <w:div w:id="2045669077">
      <w:bodyDiv w:val="1"/>
      <w:marLeft w:val="0"/>
      <w:marRight w:val="0"/>
      <w:marTop w:val="0"/>
      <w:marBottom w:val="0"/>
      <w:divBdr>
        <w:top w:val="none" w:sz="0" w:space="0" w:color="auto"/>
        <w:left w:val="none" w:sz="0" w:space="0" w:color="auto"/>
        <w:bottom w:val="none" w:sz="0" w:space="0" w:color="auto"/>
        <w:right w:val="none" w:sz="0" w:space="0" w:color="auto"/>
      </w:divBdr>
    </w:div>
    <w:div w:id="2046756325">
      <w:bodyDiv w:val="1"/>
      <w:marLeft w:val="0"/>
      <w:marRight w:val="0"/>
      <w:marTop w:val="0"/>
      <w:marBottom w:val="0"/>
      <w:divBdr>
        <w:top w:val="none" w:sz="0" w:space="0" w:color="auto"/>
        <w:left w:val="none" w:sz="0" w:space="0" w:color="auto"/>
        <w:bottom w:val="none" w:sz="0" w:space="0" w:color="auto"/>
        <w:right w:val="none" w:sz="0" w:space="0" w:color="auto"/>
      </w:divBdr>
    </w:div>
    <w:div w:id="2047483980">
      <w:bodyDiv w:val="1"/>
      <w:marLeft w:val="0"/>
      <w:marRight w:val="0"/>
      <w:marTop w:val="0"/>
      <w:marBottom w:val="0"/>
      <w:divBdr>
        <w:top w:val="none" w:sz="0" w:space="0" w:color="auto"/>
        <w:left w:val="none" w:sz="0" w:space="0" w:color="auto"/>
        <w:bottom w:val="none" w:sz="0" w:space="0" w:color="auto"/>
        <w:right w:val="none" w:sz="0" w:space="0" w:color="auto"/>
      </w:divBdr>
    </w:div>
    <w:div w:id="2048990116">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49261483">
      <w:bodyDiv w:val="1"/>
      <w:marLeft w:val="0"/>
      <w:marRight w:val="0"/>
      <w:marTop w:val="0"/>
      <w:marBottom w:val="0"/>
      <w:divBdr>
        <w:top w:val="none" w:sz="0" w:space="0" w:color="auto"/>
        <w:left w:val="none" w:sz="0" w:space="0" w:color="auto"/>
        <w:bottom w:val="none" w:sz="0" w:space="0" w:color="auto"/>
        <w:right w:val="none" w:sz="0" w:space="0" w:color="auto"/>
      </w:divBdr>
    </w:div>
    <w:div w:id="2049453210">
      <w:bodyDiv w:val="1"/>
      <w:marLeft w:val="0"/>
      <w:marRight w:val="0"/>
      <w:marTop w:val="0"/>
      <w:marBottom w:val="0"/>
      <w:divBdr>
        <w:top w:val="none" w:sz="0" w:space="0" w:color="auto"/>
        <w:left w:val="none" w:sz="0" w:space="0" w:color="auto"/>
        <w:bottom w:val="none" w:sz="0" w:space="0" w:color="auto"/>
        <w:right w:val="none" w:sz="0" w:space="0" w:color="auto"/>
      </w:divBdr>
    </w:div>
    <w:div w:id="2049917424">
      <w:bodyDiv w:val="1"/>
      <w:marLeft w:val="0"/>
      <w:marRight w:val="0"/>
      <w:marTop w:val="0"/>
      <w:marBottom w:val="0"/>
      <w:divBdr>
        <w:top w:val="none" w:sz="0" w:space="0" w:color="auto"/>
        <w:left w:val="none" w:sz="0" w:space="0" w:color="auto"/>
        <w:bottom w:val="none" w:sz="0" w:space="0" w:color="auto"/>
        <w:right w:val="none" w:sz="0" w:space="0" w:color="auto"/>
      </w:divBdr>
    </w:div>
    <w:div w:id="2054189548">
      <w:bodyDiv w:val="1"/>
      <w:marLeft w:val="0"/>
      <w:marRight w:val="0"/>
      <w:marTop w:val="0"/>
      <w:marBottom w:val="0"/>
      <w:divBdr>
        <w:top w:val="none" w:sz="0" w:space="0" w:color="auto"/>
        <w:left w:val="none" w:sz="0" w:space="0" w:color="auto"/>
        <w:bottom w:val="none" w:sz="0" w:space="0" w:color="auto"/>
        <w:right w:val="none" w:sz="0" w:space="0" w:color="auto"/>
      </w:divBdr>
    </w:div>
    <w:div w:id="2054768230">
      <w:bodyDiv w:val="1"/>
      <w:marLeft w:val="0"/>
      <w:marRight w:val="0"/>
      <w:marTop w:val="0"/>
      <w:marBottom w:val="0"/>
      <w:divBdr>
        <w:top w:val="none" w:sz="0" w:space="0" w:color="auto"/>
        <w:left w:val="none" w:sz="0" w:space="0" w:color="auto"/>
        <w:bottom w:val="none" w:sz="0" w:space="0" w:color="auto"/>
        <w:right w:val="none" w:sz="0" w:space="0" w:color="auto"/>
      </w:divBdr>
    </w:div>
    <w:div w:id="2055038057">
      <w:bodyDiv w:val="1"/>
      <w:marLeft w:val="0"/>
      <w:marRight w:val="0"/>
      <w:marTop w:val="0"/>
      <w:marBottom w:val="0"/>
      <w:divBdr>
        <w:top w:val="none" w:sz="0" w:space="0" w:color="auto"/>
        <w:left w:val="none" w:sz="0" w:space="0" w:color="auto"/>
        <w:bottom w:val="none" w:sz="0" w:space="0" w:color="auto"/>
        <w:right w:val="none" w:sz="0" w:space="0" w:color="auto"/>
      </w:divBdr>
    </w:div>
    <w:div w:id="2055734655">
      <w:bodyDiv w:val="1"/>
      <w:marLeft w:val="0"/>
      <w:marRight w:val="0"/>
      <w:marTop w:val="0"/>
      <w:marBottom w:val="0"/>
      <w:divBdr>
        <w:top w:val="none" w:sz="0" w:space="0" w:color="auto"/>
        <w:left w:val="none" w:sz="0" w:space="0" w:color="auto"/>
        <w:bottom w:val="none" w:sz="0" w:space="0" w:color="auto"/>
        <w:right w:val="none" w:sz="0" w:space="0" w:color="auto"/>
      </w:divBdr>
    </w:div>
    <w:div w:id="2056616373">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57772807">
      <w:bodyDiv w:val="1"/>
      <w:marLeft w:val="0"/>
      <w:marRight w:val="0"/>
      <w:marTop w:val="0"/>
      <w:marBottom w:val="0"/>
      <w:divBdr>
        <w:top w:val="none" w:sz="0" w:space="0" w:color="auto"/>
        <w:left w:val="none" w:sz="0" w:space="0" w:color="auto"/>
        <w:bottom w:val="none" w:sz="0" w:space="0" w:color="auto"/>
        <w:right w:val="none" w:sz="0" w:space="0" w:color="auto"/>
      </w:divBdr>
    </w:div>
    <w:div w:id="2058623191">
      <w:bodyDiv w:val="1"/>
      <w:marLeft w:val="0"/>
      <w:marRight w:val="0"/>
      <w:marTop w:val="0"/>
      <w:marBottom w:val="0"/>
      <w:divBdr>
        <w:top w:val="none" w:sz="0" w:space="0" w:color="auto"/>
        <w:left w:val="none" w:sz="0" w:space="0" w:color="auto"/>
        <w:bottom w:val="none" w:sz="0" w:space="0" w:color="auto"/>
        <w:right w:val="none" w:sz="0" w:space="0" w:color="auto"/>
      </w:divBdr>
    </w:div>
    <w:div w:id="2059237447">
      <w:bodyDiv w:val="1"/>
      <w:marLeft w:val="0"/>
      <w:marRight w:val="0"/>
      <w:marTop w:val="0"/>
      <w:marBottom w:val="0"/>
      <w:divBdr>
        <w:top w:val="none" w:sz="0" w:space="0" w:color="auto"/>
        <w:left w:val="none" w:sz="0" w:space="0" w:color="auto"/>
        <w:bottom w:val="none" w:sz="0" w:space="0" w:color="auto"/>
        <w:right w:val="none" w:sz="0" w:space="0" w:color="auto"/>
      </w:divBdr>
    </w:div>
    <w:div w:id="2060782989">
      <w:bodyDiv w:val="1"/>
      <w:marLeft w:val="0"/>
      <w:marRight w:val="0"/>
      <w:marTop w:val="0"/>
      <w:marBottom w:val="0"/>
      <w:divBdr>
        <w:top w:val="none" w:sz="0" w:space="0" w:color="auto"/>
        <w:left w:val="none" w:sz="0" w:space="0" w:color="auto"/>
        <w:bottom w:val="none" w:sz="0" w:space="0" w:color="auto"/>
        <w:right w:val="none" w:sz="0" w:space="0" w:color="auto"/>
      </w:divBdr>
    </w:div>
    <w:div w:id="2061126355">
      <w:bodyDiv w:val="1"/>
      <w:marLeft w:val="0"/>
      <w:marRight w:val="0"/>
      <w:marTop w:val="0"/>
      <w:marBottom w:val="0"/>
      <w:divBdr>
        <w:top w:val="none" w:sz="0" w:space="0" w:color="auto"/>
        <w:left w:val="none" w:sz="0" w:space="0" w:color="auto"/>
        <w:bottom w:val="none" w:sz="0" w:space="0" w:color="auto"/>
        <w:right w:val="none" w:sz="0" w:space="0" w:color="auto"/>
      </w:divBdr>
    </w:div>
    <w:div w:id="2061247530">
      <w:bodyDiv w:val="1"/>
      <w:marLeft w:val="0"/>
      <w:marRight w:val="0"/>
      <w:marTop w:val="0"/>
      <w:marBottom w:val="0"/>
      <w:divBdr>
        <w:top w:val="none" w:sz="0" w:space="0" w:color="auto"/>
        <w:left w:val="none" w:sz="0" w:space="0" w:color="auto"/>
        <w:bottom w:val="none" w:sz="0" w:space="0" w:color="auto"/>
        <w:right w:val="none" w:sz="0" w:space="0" w:color="auto"/>
      </w:divBdr>
    </w:div>
    <w:div w:id="2061397905">
      <w:bodyDiv w:val="1"/>
      <w:marLeft w:val="0"/>
      <w:marRight w:val="0"/>
      <w:marTop w:val="0"/>
      <w:marBottom w:val="0"/>
      <w:divBdr>
        <w:top w:val="none" w:sz="0" w:space="0" w:color="auto"/>
        <w:left w:val="none" w:sz="0" w:space="0" w:color="auto"/>
        <w:bottom w:val="none" w:sz="0" w:space="0" w:color="auto"/>
        <w:right w:val="none" w:sz="0" w:space="0" w:color="auto"/>
      </w:divBdr>
    </w:div>
    <w:div w:id="2062484577">
      <w:bodyDiv w:val="1"/>
      <w:marLeft w:val="0"/>
      <w:marRight w:val="0"/>
      <w:marTop w:val="0"/>
      <w:marBottom w:val="0"/>
      <w:divBdr>
        <w:top w:val="none" w:sz="0" w:space="0" w:color="auto"/>
        <w:left w:val="none" w:sz="0" w:space="0" w:color="auto"/>
        <w:bottom w:val="none" w:sz="0" w:space="0" w:color="auto"/>
        <w:right w:val="none" w:sz="0" w:space="0" w:color="auto"/>
      </w:divBdr>
    </w:div>
    <w:div w:id="2062709309">
      <w:bodyDiv w:val="1"/>
      <w:marLeft w:val="0"/>
      <w:marRight w:val="0"/>
      <w:marTop w:val="0"/>
      <w:marBottom w:val="0"/>
      <w:divBdr>
        <w:top w:val="none" w:sz="0" w:space="0" w:color="auto"/>
        <w:left w:val="none" w:sz="0" w:space="0" w:color="auto"/>
        <w:bottom w:val="none" w:sz="0" w:space="0" w:color="auto"/>
        <w:right w:val="none" w:sz="0" w:space="0" w:color="auto"/>
      </w:divBdr>
    </w:div>
    <w:div w:id="2063169737">
      <w:bodyDiv w:val="1"/>
      <w:marLeft w:val="0"/>
      <w:marRight w:val="0"/>
      <w:marTop w:val="0"/>
      <w:marBottom w:val="0"/>
      <w:divBdr>
        <w:top w:val="none" w:sz="0" w:space="0" w:color="auto"/>
        <w:left w:val="none" w:sz="0" w:space="0" w:color="auto"/>
        <w:bottom w:val="none" w:sz="0" w:space="0" w:color="auto"/>
        <w:right w:val="none" w:sz="0" w:space="0" w:color="auto"/>
      </w:divBdr>
    </w:div>
    <w:div w:id="206379563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4333380">
      <w:bodyDiv w:val="1"/>
      <w:marLeft w:val="0"/>
      <w:marRight w:val="0"/>
      <w:marTop w:val="0"/>
      <w:marBottom w:val="0"/>
      <w:divBdr>
        <w:top w:val="none" w:sz="0" w:space="0" w:color="auto"/>
        <w:left w:val="none" w:sz="0" w:space="0" w:color="auto"/>
        <w:bottom w:val="none" w:sz="0" w:space="0" w:color="auto"/>
        <w:right w:val="none" w:sz="0" w:space="0" w:color="auto"/>
      </w:divBdr>
    </w:div>
    <w:div w:id="2064912511">
      <w:bodyDiv w:val="1"/>
      <w:marLeft w:val="0"/>
      <w:marRight w:val="0"/>
      <w:marTop w:val="0"/>
      <w:marBottom w:val="0"/>
      <w:divBdr>
        <w:top w:val="none" w:sz="0" w:space="0" w:color="auto"/>
        <w:left w:val="none" w:sz="0" w:space="0" w:color="auto"/>
        <w:bottom w:val="none" w:sz="0" w:space="0" w:color="auto"/>
        <w:right w:val="none" w:sz="0" w:space="0" w:color="auto"/>
      </w:divBdr>
    </w:div>
    <w:div w:id="2064980784">
      <w:bodyDiv w:val="1"/>
      <w:marLeft w:val="0"/>
      <w:marRight w:val="0"/>
      <w:marTop w:val="0"/>
      <w:marBottom w:val="0"/>
      <w:divBdr>
        <w:top w:val="none" w:sz="0" w:space="0" w:color="auto"/>
        <w:left w:val="none" w:sz="0" w:space="0" w:color="auto"/>
        <w:bottom w:val="none" w:sz="0" w:space="0" w:color="auto"/>
        <w:right w:val="none" w:sz="0" w:space="0" w:color="auto"/>
      </w:divBdr>
    </w:div>
    <w:div w:id="2065056701">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3438">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0079">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67027256">
      <w:bodyDiv w:val="1"/>
      <w:marLeft w:val="0"/>
      <w:marRight w:val="0"/>
      <w:marTop w:val="0"/>
      <w:marBottom w:val="0"/>
      <w:divBdr>
        <w:top w:val="none" w:sz="0" w:space="0" w:color="auto"/>
        <w:left w:val="none" w:sz="0" w:space="0" w:color="auto"/>
        <w:bottom w:val="none" w:sz="0" w:space="0" w:color="auto"/>
        <w:right w:val="none" w:sz="0" w:space="0" w:color="auto"/>
      </w:divBdr>
    </w:div>
    <w:div w:id="2067294863">
      <w:bodyDiv w:val="1"/>
      <w:marLeft w:val="0"/>
      <w:marRight w:val="0"/>
      <w:marTop w:val="0"/>
      <w:marBottom w:val="0"/>
      <w:divBdr>
        <w:top w:val="none" w:sz="0" w:space="0" w:color="auto"/>
        <w:left w:val="none" w:sz="0" w:space="0" w:color="auto"/>
        <w:bottom w:val="none" w:sz="0" w:space="0" w:color="auto"/>
        <w:right w:val="none" w:sz="0" w:space="0" w:color="auto"/>
      </w:divBdr>
    </w:div>
    <w:div w:id="2068019666">
      <w:bodyDiv w:val="1"/>
      <w:marLeft w:val="0"/>
      <w:marRight w:val="0"/>
      <w:marTop w:val="0"/>
      <w:marBottom w:val="0"/>
      <w:divBdr>
        <w:top w:val="none" w:sz="0" w:space="0" w:color="auto"/>
        <w:left w:val="none" w:sz="0" w:space="0" w:color="auto"/>
        <w:bottom w:val="none" w:sz="0" w:space="0" w:color="auto"/>
        <w:right w:val="none" w:sz="0" w:space="0" w:color="auto"/>
      </w:divBdr>
    </w:div>
    <w:div w:id="2068407872">
      <w:bodyDiv w:val="1"/>
      <w:marLeft w:val="0"/>
      <w:marRight w:val="0"/>
      <w:marTop w:val="0"/>
      <w:marBottom w:val="0"/>
      <w:divBdr>
        <w:top w:val="none" w:sz="0" w:space="0" w:color="auto"/>
        <w:left w:val="none" w:sz="0" w:space="0" w:color="auto"/>
        <w:bottom w:val="none" w:sz="0" w:space="0" w:color="auto"/>
        <w:right w:val="none" w:sz="0" w:space="0" w:color="auto"/>
      </w:divBdr>
    </w:div>
    <w:div w:id="2068916606">
      <w:bodyDiv w:val="1"/>
      <w:marLeft w:val="0"/>
      <w:marRight w:val="0"/>
      <w:marTop w:val="0"/>
      <w:marBottom w:val="0"/>
      <w:divBdr>
        <w:top w:val="none" w:sz="0" w:space="0" w:color="auto"/>
        <w:left w:val="none" w:sz="0" w:space="0" w:color="auto"/>
        <w:bottom w:val="none" w:sz="0" w:space="0" w:color="auto"/>
        <w:right w:val="none" w:sz="0" w:space="0" w:color="auto"/>
      </w:divBdr>
    </w:div>
    <w:div w:id="2069374772">
      <w:bodyDiv w:val="1"/>
      <w:marLeft w:val="0"/>
      <w:marRight w:val="0"/>
      <w:marTop w:val="0"/>
      <w:marBottom w:val="0"/>
      <w:divBdr>
        <w:top w:val="none" w:sz="0" w:space="0" w:color="auto"/>
        <w:left w:val="none" w:sz="0" w:space="0" w:color="auto"/>
        <w:bottom w:val="none" w:sz="0" w:space="0" w:color="auto"/>
        <w:right w:val="none" w:sz="0" w:space="0" w:color="auto"/>
      </w:divBdr>
    </w:div>
    <w:div w:id="2069843219">
      <w:bodyDiv w:val="1"/>
      <w:marLeft w:val="0"/>
      <w:marRight w:val="0"/>
      <w:marTop w:val="0"/>
      <w:marBottom w:val="0"/>
      <w:divBdr>
        <w:top w:val="none" w:sz="0" w:space="0" w:color="auto"/>
        <w:left w:val="none" w:sz="0" w:space="0" w:color="auto"/>
        <w:bottom w:val="none" w:sz="0" w:space="0" w:color="auto"/>
        <w:right w:val="none" w:sz="0" w:space="0" w:color="auto"/>
      </w:divBdr>
    </w:div>
    <w:div w:id="2070108557">
      <w:bodyDiv w:val="1"/>
      <w:marLeft w:val="0"/>
      <w:marRight w:val="0"/>
      <w:marTop w:val="0"/>
      <w:marBottom w:val="0"/>
      <w:divBdr>
        <w:top w:val="none" w:sz="0" w:space="0" w:color="auto"/>
        <w:left w:val="none" w:sz="0" w:space="0" w:color="auto"/>
        <w:bottom w:val="none" w:sz="0" w:space="0" w:color="auto"/>
        <w:right w:val="none" w:sz="0" w:space="0" w:color="auto"/>
      </w:divBdr>
    </w:div>
    <w:div w:id="2071154347">
      <w:bodyDiv w:val="1"/>
      <w:marLeft w:val="0"/>
      <w:marRight w:val="0"/>
      <w:marTop w:val="0"/>
      <w:marBottom w:val="0"/>
      <w:divBdr>
        <w:top w:val="none" w:sz="0" w:space="0" w:color="auto"/>
        <w:left w:val="none" w:sz="0" w:space="0" w:color="auto"/>
        <w:bottom w:val="none" w:sz="0" w:space="0" w:color="auto"/>
        <w:right w:val="none" w:sz="0" w:space="0" w:color="auto"/>
      </w:divBdr>
    </w:div>
    <w:div w:id="2071687170">
      <w:bodyDiv w:val="1"/>
      <w:marLeft w:val="0"/>
      <w:marRight w:val="0"/>
      <w:marTop w:val="0"/>
      <w:marBottom w:val="0"/>
      <w:divBdr>
        <w:top w:val="none" w:sz="0" w:space="0" w:color="auto"/>
        <w:left w:val="none" w:sz="0" w:space="0" w:color="auto"/>
        <w:bottom w:val="none" w:sz="0" w:space="0" w:color="auto"/>
        <w:right w:val="none" w:sz="0" w:space="0" w:color="auto"/>
      </w:divBdr>
    </w:div>
    <w:div w:id="2071923491">
      <w:bodyDiv w:val="1"/>
      <w:marLeft w:val="0"/>
      <w:marRight w:val="0"/>
      <w:marTop w:val="0"/>
      <w:marBottom w:val="0"/>
      <w:divBdr>
        <w:top w:val="none" w:sz="0" w:space="0" w:color="auto"/>
        <w:left w:val="none" w:sz="0" w:space="0" w:color="auto"/>
        <w:bottom w:val="none" w:sz="0" w:space="0" w:color="auto"/>
        <w:right w:val="none" w:sz="0" w:space="0" w:color="auto"/>
      </w:divBdr>
    </w:div>
    <w:div w:id="2072267224">
      <w:bodyDiv w:val="1"/>
      <w:marLeft w:val="0"/>
      <w:marRight w:val="0"/>
      <w:marTop w:val="0"/>
      <w:marBottom w:val="0"/>
      <w:divBdr>
        <w:top w:val="none" w:sz="0" w:space="0" w:color="auto"/>
        <w:left w:val="none" w:sz="0" w:space="0" w:color="auto"/>
        <w:bottom w:val="none" w:sz="0" w:space="0" w:color="auto"/>
        <w:right w:val="none" w:sz="0" w:space="0" w:color="auto"/>
      </w:divBdr>
    </w:div>
    <w:div w:id="2072534847">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306123">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4084667">
      <w:bodyDiv w:val="1"/>
      <w:marLeft w:val="0"/>
      <w:marRight w:val="0"/>
      <w:marTop w:val="0"/>
      <w:marBottom w:val="0"/>
      <w:divBdr>
        <w:top w:val="none" w:sz="0" w:space="0" w:color="auto"/>
        <w:left w:val="none" w:sz="0" w:space="0" w:color="auto"/>
        <w:bottom w:val="none" w:sz="0" w:space="0" w:color="auto"/>
        <w:right w:val="none" w:sz="0" w:space="0" w:color="auto"/>
      </w:divBdr>
    </w:div>
    <w:div w:id="2074229108">
      <w:bodyDiv w:val="1"/>
      <w:marLeft w:val="0"/>
      <w:marRight w:val="0"/>
      <w:marTop w:val="0"/>
      <w:marBottom w:val="0"/>
      <w:divBdr>
        <w:top w:val="none" w:sz="0" w:space="0" w:color="auto"/>
        <w:left w:val="none" w:sz="0" w:space="0" w:color="auto"/>
        <w:bottom w:val="none" w:sz="0" w:space="0" w:color="auto"/>
        <w:right w:val="none" w:sz="0" w:space="0" w:color="auto"/>
      </w:divBdr>
    </w:div>
    <w:div w:id="2074574498">
      <w:bodyDiv w:val="1"/>
      <w:marLeft w:val="0"/>
      <w:marRight w:val="0"/>
      <w:marTop w:val="0"/>
      <w:marBottom w:val="0"/>
      <w:divBdr>
        <w:top w:val="none" w:sz="0" w:space="0" w:color="auto"/>
        <w:left w:val="none" w:sz="0" w:space="0" w:color="auto"/>
        <w:bottom w:val="none" w:sz="0" w:space="0" w:color="auto"/>
        <w:right w:val="none" w:sz="0" w:space="0" w:color="auto"/>
      </w:divBdr>
    </w:div>
    <w:div w:id="2075858198">
      <w:bodyDiv w:val="1"/>
      <w:marLeft w:val="0"/>
      <w:marRight w:val="0"/>
      <w:marTop w:val="0"/>
      <w:marBottom w:val="0"/>
      <w:divBdr>
        <w:top w:val="none" w:sz="0" w:space="0" w:color="auto"/>
        <w:left w:val="none" w:sz="0" w:space="0" w:color="auto"/>
        <w:bottom w:val="none" w:sz="0" w:space="0" w:color="auto"/>
        <w:right w:val="none" w:sz="0" w:space="0" w:color="auto"/>
      </w:divBdr>
    </w:div>
    <w:div w:id="2077776874">
      <w:bodyDiv w:val="1"/>
      <w:marLeft w:val="0"/>
      <w:marRight w:val="0"/>
      <w:marTop w:val="0"/>
      <w:marBottom w:val="0"/>
      <w:divBdr>
        <w:top w:val="none" w:sz="0" w:space="0" w:color="auto"/>
        <w:left w:val="none" w:sz="0" w:space="0" w:color="auto"/>
        <w:bottom w:val="none" w:sz="0" w:space="0" w:color="auto"/>
        <w:right w:val="none" w:sz="0" w:space="0" w:color="auto"/>
      </w:divBdr>
    </w:div>
    <w:div w:id="2078085455">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0206922">
      <w:bodyDiv w:val="1"/>
      <w:marLeft w:val="0"/>
      <w:marRight w:val="0"/>
      <w:marTop w:val="0"/>
      <w:marBottom w:val="0"/>
      <w:divBdr>
        <w:top w:val="none" w:sz="0" w:space="0" w:color="auto"/>
        <w:left w:val="none" w:sz="0" w:space="0" w:color="auto"/>
        <w:bottom w:val="none" w:sz="0" w:space="0" w:color="auto"/>
        <w:right w:val="none" w:sz="0" w:space="0" w:color="auto"/>
      </w:divBdr>
    </w:div>
    <w:div w:id="2080521380">
      <w:bodyDiv w:val="1"/>
      <w:marLeft w:val="0"/>
      <w:marRight w:val="0"/>
      <w:marTop w:val="0"/>
      <w:marBottom w:val="0"/>
      <w:divBdr>
        <w:top w:val="none" w:sz="0" w:space="0" w:color="auto"/>
        <w:left w:val="none" w:sz="0" w:space="0" w:color="auto"/>
        <w:bottom w:val="none" w:sz="0" w:space="0" w:color="auto"/>
        <w:right w:val="none" w:sz="0" w:space="0" w:color="auto"/>
      </w:divBdr>
    </w:div>
    <w:div w:id="2080864125">
      <w:bodyDiv w:val="1"/>
      <w:marLeft w:val="0"/>
      <w:marRight w:val="0"/>
      <w:marTop w:val="0"/>
      <w:marBottom w:val="0"/>
      <w:divBdr>
        <w:top w:val="none" w:sz="0" w:space="0" w:color="auto"/>
        <w:left w:val="none" w:sz="0" w:space="0" w:color="auto"/>
        <w:bottom w:val="none" w:sz="0" w:space="0" w:color="auto"/>
        <w:right w:val="none" w:sz="0" w:space="0" w:color="auto"/>
      </w:divBdr>
    </w:div>
    <w:div w:id="2081560598">
      <w:bodyDiv w:val="1"/>
      <w:marLeft w:val="0"/>
      <w:marRight w:val="0"/>
      <w:marTop w:val="0"/>
      <w:marBottom w:val="0"/>
      <w:divBdr>
        <w:top w:val="none" w:sz="0" w:space="0" w:color="auto"/>
        <w:left w:val="none" w:sz="0" w:space="0" w:color="auto"/>
        <w:bottom w:val="none" w:sz="0" w:space="0" w:color="auto"/>
        <w:right w:val="none" w:sz="0" w:space="0" w:color="auto"/>
      </w:divBdr>
    </w:div>
    <w:div w:id="2081783700">
      <w:bodyDiv w:val="1"/>
      <w:marLeft w:val="0"/>
      <w:marRight w:val="0"/>
      <w:marTop w:val="0"/>
      <w:marBottom w:val="0"/>
      <w:divBdr>
        <w:top w:val="none" w:sz="0" w:space="0" w:color="auto"/>
        <w:left w:val="none" w:sz="0" w:space="0" w:color="auto"/>
        <w:bottom w:val="none" w:sz="0" w:space="0" w:color="auto"/>
        <w:right w:val="none" w:sz="0" w:space="0" w:color="auto"/>
      </w:divBdr>
    </w:div>
    <w:div w:id="2081899021">
      <w:bodyDiv w:val="1"/>
      <w:marLeft w:val="0"/>
      <w:marRight w:val="0"/>
      <w:marTop w:val="0"/>
      <w:marBottom w:val="0"/>
      <w:divBdr>
        <w:top w:val="none" w:sz="0" w:space="0" w:color="auto"/>
        <w:left w:val="none" w:sz="0" w:space="0" w:color="auto"/>
        <w:bottom w:val="none" w:sz="0" w:space="0" w:color="auto"/>
        <w:right w:val="none" w:sz="0" w:space="0" w:color="auto"/>
      </w:divBdr>
    </w:div>
    <w:div w:id="2082217917">
      <w:bodyDiv w:val="1"/>
      <w:marLeft w:val="0"/>
      <w:marRight w:val="0"/>
      <w:marTop w:val="0"/>
      <w:marBottom w:val="0"/>
      <w:divBdr>
        <w:top w:val="none" w:sz="0" w:space="0" w:color="auto"/>
        <w:left w:val="none" w:sz="0" w:space="0" w:color="auto"/>
        <w:bottom w:val="none" w:sz="0" w:space="0" w:color="auto"/>
        <w:right w:val="none" w:sz="0" w:space="0" w:color="auto"/>
      </w:divBdr>
    </w:div>
    <w:div w:id="2082751265">
      <w:bodyDiv w:val="1"/>
      <w:marLeft w:val="0"/>
      <w:marRight w:val="0"/>
      <w:marTop w:val="0"/>
      <w:marBottom w:val="0"/>
      <w:divBdr>
        <w:top w:val="none" w:sz="0" w:space="0" w:color="auto"/>
        <w:left w:val="none" w:sz="0" w:space="0" w:color="auto"/>
        <w:bottom w:val="none" w:sz="0" w:space="0" w:color="auto"/>
        <w:right w:val="none" w:sz="0" w:space="0" w:color="auto"/>
      </w:divBdr>
    </w:div>
    <w:div w:id="208313556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5029025">
      <w:bodyDiv w:val="1"/>
      <w:marLeft w:val="0"/>
      <w:marRight w:val="0"/>
      <w:marTop w:val="0"/>
      <w:marBottom w:val="0"/>
      <w:divBdr>
        <w:top w:val="none" w:sz="0" w:space="0" w:color="auto"/>
        <w:left w:val="none" w:sz="0" w:space="0" w:color="auto"/>
        <w:bottom w:val="none" w:sz="0" w:space="0" w:color="auto"/>
        <w:right w:val="none" w:sz="0" w:space="0" w:color="auto"/>
      </w:divBdr>
    </w:div>
    <w:div w:id="2085569516">
      <w:bodyDiv w:val="1"/>
      <w:marLeft w:val="0"/>
      <w:marRight w:val="0"/>
      <w:marTop w:val="0"/>
      <w:marBottom w:val="0"/>
      <w:divBdr>
        <w:top w:val="none" w:sz="0" w:space="0" w:color="auto"/>
        <w:left w:val="none" w:sz="0" w:space="0" w:color="auto"/>
        <w:bottom w:val="none" w:sz="0" w:space="0" w:color="auto"/>
        <w:right w:val="none" w:sz="0" w:space="0" w:color="auto"/>
      </w:divBdr>
    </w:div>
    <w:div w:id="2086223001">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415365">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769450">
      <w:bodyDiv w:val="1"/>
      <w:marLeft w:val="0"/>
      <w:marRight w:val="0"/>
      <w:marTop w:val="0"/>
      <w:marBottom w:val="0"/>
      <w:divBdr>
        <w:top w:val="none" w:sz="0" w:space="0" w:color="auto"/>
        <w:left w:val="none" w:sz="0" w:space="0" w:color="auto"/>
        <w:bottom w:val="none" w:sz="0" w:space="0" w:color="auto"/>
        <w:right w:val="none" w:sz="0" w:space="0" w:color="auto"/>
      </w:divBdr>
    </w:div>
    <w:div w:id="2088770699">
      <w:bodyDiv w:val="1"/>
      <w:marLeft w:val="0"/>
      <w:marRight w:val="0"/>
      <w:marTop w:val="0"/>
      <w:marBottom w:val="0"/>
      <w:divBdr>
        <w:top w:val="none" w:sz="0" w:space="0" w:color="auto"/>
        <w:left w:val="none" w:sz="0" w:space="0" w:color="auto"/>
        <w:bottom w:val="none" w:sz="0" w:space="0" w:color="auto"/>
        <w:right w:val="none" w:sz="0" w:space="0" w:color="auto"/>
      </w:divBdr>
    </w:div>
    <w:div w:id="2089106940">
      <w:bodyDiv w:val="1"/>
      <w:marLeft w:val="0"/>
      <w:marRight w:val="0"/>
      <w:marTop w:val="0"/>
      <w:marBottom w:val="0"/>
      <w:divBdr>
        <w:top w:val="none" w:sz="0" w:space="0" w:color="auto"/>
        <w:left w:val="none" w:sz="0" w:space="0" w:color="auto"/>
        <w:bottom w:val="none" w:sz="0" w:space="0" w:color="auto"/>
        <w:right w:val="none" w:sz="0" w:space="0" w:color="auto"/>
      </w:divBdr>
    </w:div>
    <w:div w:id="208949503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89883332">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499164">
      <w:bodyDiv w:val="1"/>
      <w:marLeft w:val="0"/>
      <w:marRight w:val="0"/>
      <w:marTop w:val="0"/>
      <w:marBottom w:val="0"/>
      <w:divBdr>
        <w:top w:val="none" w:sz="0" w:space="0" w:color="auto"/>
        <w:left w:val="none" w:sz="0" w:space="0" w:color="auto"/>
        <w:bottom w:val="none" w:sz="0" w:space="0" w:color="auto"/>
        <w:right w:val="none" w:sz="0" w:space="0" w:color="auto"/>
      </w:divBdr>
    </w:div>
    <w:div w:id="2090807647">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2003077">
      <w:bodyDiv w:val="1"/>
      <w:marLeft w:val="0"/>
      <w:marRight w:val="0"/>
      <w:marTop w:val="0"/>
      <w:marBottom w:val="0"/>
      <w:divBdr>
        <w:top w:val="none" w:sz="0" w:space="0" w:color="auto"/>
        <w:left w:val="none" w:sz="0" w:space="0" w:color="auto"/>
        <w:bottom w:val="none" w:sz="0" w:space="0" w:color="auto"/>
        <w:right w:val="none" w:sz="0" w:space="0" w:color="auto"/>
      </w:divBdr>
    </w:div>
    <w:div w:id="2092773814">
      <w:bodyDiv w:val="1"/>
      <w:marLeft w:val="0"/>
      <w:marRight w:val="0"/>
      <w:marTop w:val="0"/>
      <w:marBottom w:val="0"/>
      <w:divBdr>
        <w:top w:val="none" w:sz="0" w:space="0" w:color="auto"/>
        <w:left w:val="none" w:sz="0" w:space="0" w:color="auto"/>
        <w:bottom w:val="none" w:sz="0" w:space="0" w:color="auto"/>
        <w:right w:val="none" w:sz="0" w:space="0" w:color="auto"/>
      </w:divBdr>
    </w:div>
    <w:div w:id="2092896243">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5855269">
      <w:bodyDiv w:val="1"/>
      <w:marLeft w:val="0"/>
      <w:marRight w:val="0"/>
      <w:marTop w:val="0"/>
      <w:marBottom w:val="0"/>
      <w:divBdr>
        <w:top w:val="none" w:sz="0" w:space="0" w:color="auto"/>
        <w:left w:val="none" w:sz="0" w:space="0" w:color="auto"/>
        <w:bottom w:val="none" w:sz="0" w:space="0" w:color="auto"/>
        <w:right w:val="none" w:sz="0" w:space="0" w:color="auto"/>
      </w:divBdr>
    </w:div>
    <w:div w:id="2096124833">
      <w:bodyDiv w:val="1"/>
      <w:marLeft w:val="0"/>
      <w:marRight w:val="0"/>
      <w:marTop w:val="0"/>
      <w:marBottom w:val="0"/>
      <w:divBdr>
        <w:top w:val="none" w:sz="0" w:space="0" w:color="auto"/>
        <w:left w:val="none" w:sz="0" w:space="0" w:color="auto"/>
        <w:bottom w:val="none" w:sz="0" w:space="0" w:color="auto"/>
        <w:right w:val="none" w:sz="0" w:space="0" w:color="auto"/>
      </w:divBdr>
    </w:div>
    <w:div w:id="2096512891">
      <w:bodyDiv w:val="1"/>
      <w:marLeft w:val="0"/>
      <w:marRight w:val="0"/>
      <w:marTop w:val="0"/>
      <w:marBottom w:val="0"/>
      <w:divBdr>
        <w:top w:val="none" w:sz="0" w:space="0" w:color="auto"/>
        <w:left w:val="none" w:sz="0" w:space="0" w:color="auto"/>
        <w:bottom w:val="none" w:sz="0" w:space="0" w:color="auto"/>
        <w:right w:val="none" w:sz="0" w:space="0" w:color="auto"/>
      </w:divBdr>
    </w:div>
    <w:div w:id="2097550664">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8860410">
      <w:bodyDiv w:val="1"/>
      <w:marLeft w:val="0"/>
      <w:marRight w:val="0"/>
      <w:marTop w:val="0"/>
      <w:marBottom w:val="0"/>
      <w:divBdr>
        <w:top w:val="none" w:sz="0" w:space="0" w:color="auto"/>
        <w:left w:val="none" w:sz="0" w:space="0" w:color="auto"/>
        <w:bottom w:val="none" w:sz="0" w:space="0" w:color="auto"/>
        <w:right w:val="none" w:sz="0" w:space="0" w:color="auto"/>
      </w:divBdr>
    </w:div>
    <w:div w:id="2098939994">
      <w:bodyDiv w:val="1"/>
      <w:marLeft w:val="0"/>
      <w:marRight w:val="0"/>
      <w:marTop w:val="0"/>
      <w:marBottom w:val="0"/>
      <w:divBdr>
        <w:top w:val="none" w:sz="0" w:space="0" w:color="auto"/>
        <w:left w:val="none" w:sz="0" w:space="0" w:color="auto"/>
        <w:bottom w:val="none" w:sz="0" w:space="0" w:color="auto"/>
        <w:right w:val="none" w:sz="0" w:space="0" w:color="auto"/>
      </w:divBdr>
    </w:div>
    <w:div w:id="2099864259">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0907513">
      <w:bodyDiv w:val="1"/>
      <w:marLeft w:val="0"/>
      <w:marRight w:val="0"/>
      <w:marTop w:val="0"/>
      <w:marBottom w:val="0"/>
      <w:divBdr>
        <w:top w:val="none" w:sz="0" w:space="0" w:color="auto"/>
        <w:left w:val="none" w:sz="0" w:space="0" w:color="auto"/>
        <w:bottom w:val="none" w:sz="0" w:space="0" w:color="auto"/>
        <w:right w:val="none" w:sz="0" w:space="0" w:color="auto"/>
      </w:divBdr>
    </w:div>
    <w:div w:id="2101371098">
      <w:bodyDiv w:val="1"/>
      <w:marLeft w:val="0"/>
      <w:marRight w:val="0"/>
      <w:marTop w:val="0"/>
      <w:marBottom w:val="0"/>
      <w:divBdr>
        <w:top w:val="none" w:sz="0" w:space="0" w:color="auto"/>
        <w:left w:val="none" w:sz="0" w:space="0" w:color="auto"/>
        <w:bottom w:val="none" w:sz="0" w:space="0" w:color="auto"/>
        <w:right w:val="none" w:sz="0" w:space="0" w:color="auto"/>
      </w:divBdr>
    </w:div>
    <w:div w:id="2102480558">
      <w:bodyDiv w:val="1"/>
      <w:marLeft w:val="0"/>
      <w:marRight w:val="0"/>
      <w:marTop w:val="0"/>
      <w:marBottom w:val="0"/>
      <w:divBdr>
        <w:top w:val="none" w:sz="0" w:space="0" w:color="auto"/>
        <w:left w:val="none" w:sz="0" w:space="0" w:color="auto"/>
        <w:bottom w:val="none" w:sz="0" w:space="0" w:color="auto"/>
        <w:right w:val="none" w:sz="0" w:space="0" w:color="auto"/>
      </w:divBdr>
    </w:div>
    <w:div w:id="2103450023">
      <w:bodyDiv w:val="1"/>
      <w:marLeft w:val="0"/>
      <w:marRight w:val="0"/>
      <w:marTop w:val="0"/>
      <w:marBottom w:val="0"/>
      <w:divBdr>
        <w:top w:val="none" w:sz="0" w:space="0" w:color="auto"/>
        <w:left w:val="none" w:sz="0" w:space="0" w:color="auto"/>
        <w:bottom w:val="none" w:sz="0" w:space="0" w:color="auto"/>
        <w:right w:val="none" w:sz="0" w:space="0" w:color="auto"/>
      </w:divBdr>
    </w:div>
    <w:div w:id="2104523339">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09570190">
      <w:bodyDiv w:val="1"/>
      <w:marLeft w:val="0"/>
      <w:marRight w:val="0"/>
      <w:marTop w:val="0"/>
      <w:marBottom w:val="0"/>
      <w:divBdr>
        <w:top w:val="none" w:sz="0" w:space="0" w:color="auto"/>
        <w:left w:val="none" w:sz="0" w:space="0" w:color="auto"/>
        <w:bottom w:val="none" w:sz="0" w:space="0" w:color="auto"/>
        <w:right w:val="none" w:sz="0" w:space="0" w:color="auto"/>
      </w:divBdr>
    </w:div>
    <w:div w:id="2109736196">
      <w:bodyDiv w:val="1"/>
      <w:marLeft w:val="0"/>
      <w:marRight w:val="0"/>
      <w:marTop w:val="0"/>
      <w:marBottom w:val="0"/>
      <w:divBdr>
        <w:top w:val="none" w:sz="0" w:space="0" w:color="auto"/>
        <w:left w:val="none" w:sz="0" w:space="0" w:color="auto"/>
        <w:bottom w:val="none" w:sz="0" w:space="0" w:color="auto"/>
        <w:right w:val="none" w:sz="0" w:space="0" w:color="auto"/>
      </w:divBdr>
    </w:div>
    <w:div w:id="2110391664">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1662416">
      <w:bodyDiv w:val="1"/>
      <w:marLeft w:val="0"/>
      <w:marRight w:val="0"/>
      <w:marTop w:val="0"/>
      <w:marBottom w:val="0"/>
      <w:divBdr>
        <w:top w:val="none" w:sz="0" w:space="0" w:color="auto"/>
        <w:left w:val="none" w:sz="0" w:space="0" w:color="auto"/>
        <w:bottom w:val="none" w:sz="0" w:space="0" w:color="auto"/>
        <w:right w:val="none" w:sz="0" w:space="0" w:color="auto"/>
      </w:divBdr>
    </w:div>
    <w:div w:id="2111781621">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3235643">
      <w:bodyDiv w:val="1"/>
      <w:marLeft w:val="0"/>
      <w:marRight w:val="0"/>
      <w:marTop w:val="0"/>
      <w:marBottom w:val="0"/>
      <w:divBdr>
        <w:top w:val="none" w:sz="0" w:space="0" w:color="auto"/>
        <w:left w:val="none" w:sz="0" w:space="0" w:color="auto"/>
        <w:bottom w:val="none" w:sz="0" w:space="0" w:color="auto"/>
        <w:right w:val="none" w:sz="0" w:space="0" w:color="auto"/>
      </w:divBdr>
    </w:div>
    <w:div w:id="2113240725">
      <w:bodyDiv w:val="1"/>
      <w:marLeft w:val="0"/>
      <w:marRight w:val="0"/>
      <w:marTop w:val="0"/>
      <w:marBottom w:val="0"/>
      <w:divBdr>
        <w:top w:val="none" w:sz="0" w:space="0" w:color="auto"/>
        <w:left w:val="none" w:sz="0" w:space="0" w:color="auto"/>
        <w:bottom w:val="none" w:sz="0" w:space="0" w:color="auto"/>
        <w:right w:val="none" w:sz="0" w:space="0" w:color="auto"/>
      </w:divBdr>
    </w:div>
    <w:div w:id="2113813592">
      <w:bodyDiv w:val="1"/>
      <w:marLeft w:val="0"/>
      <w:marRight w:val="0"/>
      <w:marTop w:val="0"/>
      <w:marBottom w:val="0"/>
      <w:divBdr>
        <w:top w:val="none" w:sz="0" w:space="0" w:color="auto"/>
        <w:left w:val="none" w:sz="0" w:space="0" w:color="auto"/>
        <w:bottom w:val="none" w:sz="0" w:space="0" w:color="auto"/>
        <w:right w:val="none" w:sz="0" w:space="0" w:color="auto"/>
      </w:divBdr>
    </w:div>
    <w:div w:id="2114082189">
      <w:bodyDiv w:val="1"/>
      <w:marLeft w:val="0"/>
      <w:marRight w:val="0"/>
      <w:marTop w:val="0"/>
      <w:marBottom w:val="0"/>
      <w:divBdr>
        <w:top w:val="none" w:sz="0" w:space="0" w:color="auto"/>
        <w:left w:val="none" w:sz="0" w:space="0" w:color="auto"/>
        <w:bottom w:val="none" w:sz="0" w:space="0" w:color="auto"/>
        <w:right w:val="none" w:sz="0" w:space="0" w:color="auto"/>
      </w:divBdr>
    </w:div>
    <w:div w:id="2114789080">
      <w:bodyDiv w:val="1"/>
      <w:marLeft w:val="0"/>
      <w:marRight w:val="0"/>
      <w:marTop w:val="0"/>
      <w:marBottom w:val="0"/>
      <w:divBdr>
        <w:top w:val="none" w:sz="0" w:space="0" w:color="auto"/>
        <w:left w:val="none" w:sz="0" w:space="0" w:color="auto"/>
        <w:bottom w:val="none" w:sz="0" w:space="0" w:color="auto"/>
        <w:right w:val="none" w:sz="0" w:space="0" w:color="auto"/>
      </w:divBdr>
    </w:div>
    <w:div w:id="2115323192">
      <w:bodyDiv w:val="1"/>
      <w:marLeft w:val="0"/>
      <w:marRight w:val="0"/>
      <w:marTop w:val="0"/>
      <w:marBottom w:val="0"/>
      <w:divBdr>
        <w:top w:val="none" w:sz="0" w:space="0" w:color="auto"/>
        <w:left w:val="none" w:sz="0" w:space="0" w:color="auto"/>
        <w:bottom w:val="none" w:sz="0" w:space="0" w:color="auto"/>
        <w:right w:val="none" w:sz="0" w:space="0" w:color="auto"/>
      </w:divBdr>
    </w:div>
    <w:div w:id="2115437796">
      <w:bodyDiv w:val="1"/>
      <w:marLeft w:val="0"/>
      <w:marRight w:val="0"/>
      <w:marTop w:val="0"/>
      <w:marBottom w:val="0"/>
      <w:divBdr>
        <w:top w:val="none" w:sz="0" w:space="0" w:color="auto"/>
        <w:left w:val="none" w:sz="0" w:space="0" w:color="auto"/>
        <w:bottom w:val="none" w:sz="0" w:space="0" w:color="auto"/>
        <w:right w:val="none" w:sz="0" w:space="0" w:color="auto"/>
      </w:divBdr>
    </w:div>
    <w:div w:id="2115589373">
      <w:bodyDiv w:val="1"/>
      <w:marLeft w:val="0"/>
      <w:marRight w:val="0"/>
      <w:marTop w:val="0"/>
      <w:marBottom w:val="0"/>
      <w:divBdr>
        <w:top w:val="none" w:sz="0" w:space="0" w:color="auto"/>
        <w:left w:val="none" w:sz="0" w:space="0" w:color="auto"/>
        <w:bottom w:val="none" w:sz="0" w:space="0" w:color="auto"/>
        <w:right w:val="none" w:sz="0" w:space="0" w:color="auto"/>
      </w:divBdr>
    </w:div>
    <w:div w:id="2116167710">
      <w:bodyDiv w:val="1"/>
      <w:marLeft w:val="0"/>
      <w:marRight w:val="0"/>
      <w:marTop w:val="0"/>
      <w:marBottom w:val="0"/>
      <w:divBdr>
        <w:top w:val="none" w:sz="0" w:space="0" w:color="auto"/>
        <w:left w:val="none" w:sz="0" w:space="0" w:color="auto"/>
        <w:bottom w:val="none" w:sz="0" w:space="0" w:color="auto"/>
        <w:right w:val="none" w:sz="0" w:space="0" w:color="auto"/>
      </w:divBdr>
    </w:div>
    <w:div w:id="2117017955">
      <w:bodyDiv w:val="1"/>
      <w:marLeft w:val="0"/>
      <w:marRight w:val="0"/>
      <w:marTop w:val="0"/>
      <w:marBottom w:val="0"/>
      <w:divBdr>
        <w:top w:val="none" w:sz="0" w:space="0" w:color="auto"/>
        <w:left w:val="none" w:sz="0" w:space="0" w:color="auto"/>
        <w:bottom w:val="none" w:sz="0" w:space="0" w:color="auto"/>
        <w:right w:val="none" w:sz="0" w:space="0" w:color="auto"/>
      </w:divBdr>
    </w:div>
    <w:div w:id="2118064988">
      <w:bodyDiv w:val="1"/>
      <w:marLeft w:val="0"/>
      <w:marRight w:val="0"/>
      <w:marTop w:val="0"/>
      <w:marBottom w:val="0"/>
      <w:divBdr>
        <w:top w:val="none" w:sz="0" w:space="0" w:color="auto"/>
        <w:left w:val="none" w:sz="0" w:space="0" w:color="auto"/>
        <w:bottom w:val="none" w:sz="0" w:space="0" w:color="auto"/>
        <w:right w:val="none" w:sz="0" w:space="0" w:color="auto"/>
      </w:divBdr>
    </w:div>
    <w:div w:id="2120299675">
      <w:bodyDiv w:val="1"/>
      <w:marLeft w:val="0"/>
      <w:marRight w:val="0"/>
      <w:marTop w:val="0"/>
      <w:marBottom w:val="0"/>
      <w:divBdr>
        <w:top w:val="none" w:sz="0" w:space="0" w:color="auto"/>
        <w:left w:val="none" w:sz="0" w:space="0" w:color="auto"/>
        <w:bottom w:val="none" w:sz="0" w:space="0" w:color="auto"/>
        <w:right w:val="none" w:sz="0" w:space="0" w:color="auto"/>
      </w:divBdr>
    </w:div>
    <w:div w:id="2120443533">
      <w:bodyDiv w:val="1"/>
      <w:marLeft w:val="0"/>
      <w:marRight w:val="0"/>
      <w:marTop w:val="0"/>
      <w:marBottom w:val="0"/>
      <w:divBdr>
        <w:top w:val="none" w:sz="0" w:space="0" w:color="auto"/>
        <w:left w:val="none" w:sz="0" w:space="0" w:color="auto"/>
        <w:bottom w:val="none" w:sz="0" w:space="0" w:color="auto"/>
        <w:right w:val="none" w:sz="0" w:space="0" w:color="auto"/>
      </w:divBdr>
    </w:div>
    <w:div w:id="2120485165">
      <w:bodyDiv w:val="1"/>
      <w:marLeft w:val="0"/>
      <w:marRight w:val="0"/>
      <w:marTop w:val="0"/>
      <w:marBottom w:val="0"/>
      <w:divBdr>
        <w:top w:val="none" w:sz="0" w:space="0" w:color="auto"/>
        <w:left w:val="none" w:sz="0" w:space="0" w:color="auto"/>
        <w:bottom w:val="none" w:sz="0" w:space="0" w:color="auto"/>
        <w:right w:val="none" w:sz="0" w:space="0" w:color="auto"/>
      </w:divBdr>
    </w:div>
    <w:div w:id="2121947134">
      <w:bodyDiv w:val="1"/>
      <w:marLeft w:val="0"/>
      <w:marRight w:val="0"/>
      <w:marTop w:val="0"/>
      <w:marBottom w:val="0"/>
      <w:divBdr>
        <w:top w:val="none" w:sz="0" w:space="0" w:color="auto"/>
        <w:left w:val="none" w:sz="0" w:space="0" w:color="auto"/>
        <w:bottom w:val="none" w:sz="0" w:space="0" w:color="auto"/>
        <w:right w:val="none" w:sz="0" w:space="0" w:color="auto"/>
      </w:divBdr>
    </w:div>
    <w:div w:id="2122450735">
      <w:bodyDiv w:val="1"/>
      <w:marLeft w:val="0"/>
      <w:marRight w:val="0"/>
      <w:marTop w:val="0"/>
      <w:marBottom w:val="0"/>
      <w:divBdr>
        <w:top w:val="none" w:sz="0" w:space="0" w:color="auto"/>
        <w:left w:val="none" w:sz="0" w:space="0" w:color="auto"/>
        <w:bottom w:val="none" w:sz="0" w:space="0" w:color="auto"/>
        <w:right w:val="none" w:sz="0" w:space="0" w:color="auto"/>
      </w:divBdr>
    </w:div>
    <w:div w:id="2122526363">
      <w:bodyDiv w:val="1"/>
      <w:marLeft w:val="0"/>
      <w:marRight w:val="0"/>
      <w:marTop w:val="0"/>
      <w:marBottom w:val="0"/>
      <w:divBdr>
        <w:top w:val="none" w:sz="0" w:space="0" w:color="auto"/>
        <w:left w:val="none" w:sz="0" w:space="0" w:color="auto"/>
        <w:bottom w:val="none" w:sz="0" w:space="0" w:color="auto"/>
        <w:right w:val="none" w:sz="0" w:space="0" w:color="auto"/>
      </w:divBdr>
    </w:div>
    <w:div w:id="212291530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340206">
      <w:bodyDiv w:val="1"/>
      <w:marLeft w:val="0"/>
      <w:marRight w:val="0"/>
      <w:marTop w:val="0"/>
      <w:marBottom w:val="0"/>
      <w:divBdr>
        <w:top w:val="none" w:sz="0" w:space="0" w:color="auto"/>
        <w:left w:val="none" w:sz="0" w:space="0" w:color="auto"/>
        <w:bottom w:val="none" w:sz="0" w:space="0" w:color="auto"/>
        <w:right w:val="none" w:sz="0" w:space="0" w:color="auto"/>
      </w:divBdr>
    </w:div>
    <w:div w:id="2125533163">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6657284">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7699821">
      <w:bodyDiv w:val="1"/>
      <w:marLeft w:val="0"/>
      <w:marRight w:val="0"/>
      <w:marTop w:val="0"/>
      <w:marBottom w:val="0"/>
      <w:divBdr>
        <w:top w:val="none" w:sz="0" w:space="0" w:color="auto"/>
        <w:left w:val="none" w:sz="0" w:space="0" w:color="auto"/>
        <w:bottom w:val="none" w:sz="0" w:space="0" w:color="auto"/>
        <w:right w:val="none" w:sz="0" w:space="0" w:color="auto"/>
      </w:divBdr>
    </w:div>
    <w:div w:id="2127846369">
      <w:bodyDiv w:val="1"/>
      <w:marLeft w:val="0"/>
      <w:marRight w:val="0"/>
      <w:marTop w:val="0"/>
      <w:marBottom w:val="0"/>
      <w:divBdr>
        <w:top w:val="none" w:sz="0" w:space="0" w:color="auto"/>
        <w:left w:val="none" w:sz="0" w:space="0" w:color="auto"/>
        <w:bottom w:val="none" w:sz="0" w:space="0" w:color="auto"/>
        <w:right w:val="none" w:sz="0" w:space="0" w:color="auto"/>
      </w:divBdr>
    </w:div>
    <w:div w:id="2128037098">
      <w:bodyDiv w:val="1"/>
      <w:marLeft w:val="0"/>
      <w:marRight w:val="0"/>
      <w:marTop w:val="0"/>
      <w:marBottom w:val="0"/>
      <w:divBdr>
        <w:top w:val="none" w:sz="0" w:space="0" w:color="auto"/>
        <w:left w:val="none" w:sz="0" w:space="0" w:color="auto"/>
        <w:bottom w:val="none" w:sz="0" w:space="0" w:color="auto"/>
        <w:right w:val="none" w:sz="0" w:space="0" w:color="auto"/>
      </w:divBdr>
    </w:div>
    <w:div w:id="2128500552">
      <w:bodyDiv w:val="1"/>
      <w:marLeft w:val="0"/>
      <w:marRight w:val="0"/>
      <w:marTop w:val="0"/>
      <w:marBottom w:val="0"/>
      <w:divBdr>
        <w:top w:val="none" w:sz="0" w:space="0" w:color="auto"/>
        <w:left w:val="none" w:sz="0" w:space="0" w:color="auto"/>
        <w:bottom w:val="none" w:sz="0" w:space="0" w:color="auto"/>
        <w:right w:val="none" w:sz="0" w:space="0" w:color="auto"/>
      </w:divBdr>
    </w:div>
    <w:div w:id="2129007921">
      <w:bodyDiv w:val="1"/>
      <w:marLeft w:val="0"/>
      <w:marRight w:val="0"/>
      <w:marTop w:val="0"/>
      <w:marBottom w:val="0"/>
      <w:divBdr>
        <w:top w:val="none" w:sz="0" w:space="0" w:color="auto"/>
        <w:left w:val="none" w:sz="0" w:space="0" w:color="auto"/>
        <w:bottom w:val="none" w:sz="0" w:space="0" w:color="auto"/>
        <w:right w:val="none" w:sz="0" w:space="0" w:color="auto"/>
      </w:divBdr>
    </w:div>
    <w:div w:id="212946507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078212">
      <w:bodyDiv w:val="1"/>
      <w:marLeft w:val="0"/>
      <w:marRight w:val="0"/>
      <w:marTop w:val="0"/>
      <w:marBottom w:val="0"/>
      <w:divBdr>
        <w:top w:val="none" w:sz="0" w:space="0" w:color="auto"/>
        <w:left w:val="none" w:sz="0" w:space="0" w:color="auto"/>
        <w:bottom w:val="none" w:sz="0" w:space="0" w:color="auto"/>
        <w:right w:val="none" w:sz="0" w:space="0" w:color="auto"/>
      </w:divBdr>
    </w:div>
    <w:div w:id="2130315140">
      <w:bodyDiv w:val="1"/>
      <w:marLeft w:val="0"/>
      <w:marRight w:val="0"/>
      <w:marTop w:val="0"/>
      <w:marBottom w:val="0"/>
      <w:divBdr>
        <w:top w:val="none" w:sz="0" w:space="0" w:color="auto"/>
        <w:left w:val="none" w:sz="0" w:space="0" w:color="auto"/>
        <w:bottom w:val="none" w:sz="0" w:space="0" w:color="auto"/>
        <w:right w:val="none" w:sz="0" w:space="0" w:color="auto"/>
      </w:divBdr>
    </w:div>
    <w:div w:id="2131313196">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3203757">
      <w:bodyDiv w:val="1"/>
      <w:marLeft w:val="0"/>
      <w:marRight w:val="0"/>
      <w:marTop w:val="0"/>
      <w:marBottom w:val="0"/>
      <w:divBdr>
        <w:top w:val="none" w:sz="0" w:space="0" w:color="auto"/>
        <w:left w:val="none" w:sz="0" w:space="0" w:color="auto"/>
        <w:bottom w:val="none" w:sz="0" w:space="0" w:color="auto"/>
        <w:right w:val="none" w:sz="0" w:space="0" w:color="auto"/>
      </w:divBdr>
    </w:div>
    <w:div w:id="2133472300">
      <w:bodyDiv w:val="1"/>
      <w:marLeft w:val="0"/>
      <w:marRight w:val="0"/>
      <w:marTop w:val="0"/>
      <w:marBottom w:val="0"/>
      <w:divBdr>
        <w:top w:val="none" w:sz="0" w:space="0" w:color="auto"/>
        <w:left w:val="none" w:sz="0" w:space="0" w:color="auto"/>
        <w:bottom w:val="none" w:sz="0" w:space="0" w:color="auto"/>
        <w:right w:val="none" w:sz="0" w:space="0" w:color="auto"/>
      </w:divBdr>
    </w:div>
    <w:div w:id="2133590870">
      <w:bodyDiv w:val="1"/>
      <w:marLeft w:val="0"/>
      <w:marRight w:val="0"/>
      <w:marTop w:val="0"/>
      <w:marBottom w:val="0"/>
      <w:divBdr>
        <w:top w:val="none" w:sz="0" w:space="0" w:color="auto"/>
        <w:left w:val="none" w:sz="0" w:space="0" w:color="auto"/>
        <w:bottom w:val="none" w:sz="0" w:space="0" w:color="auto"/>
        <w:right w:val="none" w:sz="0" w:space="0" w:color="auto"/>
      </w:divBdr>
    </w:div>
    <w:div w:id="2133984639">
      <w:bodyDiv w:val="1"/>
      <w:marLeft w:val="0"/>
      <w:marRight w:val="0"/>
      <w:marTop w:val="0"/>
      <w:marBottom w:val="0"/>
      <w:divBdr>
        <w:top w:val="none" w:sz="0" w:space="0" w:color="auto"/>
        <w:left w:val="none" w:sz="0" w:space="0" w:color="auto"/>
        <w:bottom w:val="none" w:sz="0" w:space="0" w:color="auto"/>
        <w:right w:val="none" w:sz="0" w:space="0" w:color="auto"/>
      </w:divBdr>
    </w:div>
    <w:div w:id="2134248878">
      <w:bodyDiv w:val="1"/>
      <w:marLeft w:val="0"/>
      <w:marRight w:val="0"/>
      <w:marTop w:val="0"/>
      <w:marBottom w:val="0"/>
      <w:divBdr>
        <w:top w:val="none" w:sz="0" w:space="0" w:color="auto"/>
        <w:left w:val="none" w:sz="0" w:space="0" w:color="auto"/>
        <w:bottom w:val="none" w:sz="0" w:space="0" w:color="auto"/>
        <w:right w:val="none" w:sz="0" w:space="0" w:color="auto"/>
      </w:divBdr>
    </w:div>
    <w:div w:id="2134785025">
      <w:bodyDiv w:val="1"/>
      <w:marLeft w:val="0"/>
      <w:marRight w:val="0"/>
      <w:marTop w:val="0"/>
      <w:marBottom w:val="0"/>
      <w:divBdr>
        <w:top w:val="none" w:sz="0" w:space="0" w:color="auto"/>
        <w:left w:val="none" w:sz="0" w:space="0" w:color="auto"/>
        <w:bottom w:val="none" w:sz="0" w:space="0" w:color="auto"/>
        <w:right w:val="none" w:sz="0" w:space="0" w:color="auto"/>
      </w:divBdr>
    </w:div>
    <w:div w:id="2135781015">
      <w:bodyDiv w:val="1"/>
      <w:marLeft w:val="0"/>
      <w:marRight w:val="0"/>
      <w:marTop w:val="0"/>
      <w:marBottom w:val="0"/>
      <w:divBdr>
        <w:top w:val="none" w:sz="0" w:space="0" w:color="auto"/>
        <w:left w:val="none" w:sz="0" w:space="0" w:color="auto"/>
        <w:bottom w:val="none" w:sz="0" w:space="0" w:color="auto"/>
        <w:right w:val="none" w:sz="0" w:space="0" w:color="auto"/>
      </w:divBdr>
    </w:div>
    <w:div w:id="2136243166">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37600611">
      <w:bodyDiv w:val="1"/>
      <w:marLeft w:val="0"/>
      <w:marRight w:val="0"/>
      <w:marTop w:val="0"/>
      <w:marBottom w:val="0"/>
      <w:divBdr>
        <w:top w:val="none" w:sz="0" w:space="0" w:color="auto"/>
        <w:left w:val="none" w:sz="0" w:space="0" w:color="auto"/>
        <w:bottom w:val="none" w:sz="0" w:space="0" w:color="auto"/>
        <w:right w:val="none" w:sz="0" w:space="0" w:color="auto"/>
      </w:divBdr>
    </w:div>
    <w:div w:id="2137793315">
      <w:bodyDiv w:val="1"/>
      <w:marLeft w:val="0"/>
      <w:marRight w:val="0"/>
      <w:marTop w:val="0"/>
      <w:marBottom w:val="0"/>
      <w:divBdr>
        <w:top w:val="none" w:sz="0" w:space="0" w:color="auto"/>
        <w:left w:val="none" w:sz="0" w:space="0" w:color="auto"/>
        <w:bottom w:val="none" w:sz="0" w:space="0" w:color="auto"/>
        <w:right w:val="none" w:sz="0" w:space="0" w:color="auto"/>
      </w:divBdr>
    </w:div>
    <w:div w:id="2138792221">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 w:id="2139101019">
      <w:bodyDiv w:val="1"/>
      <w:marLeft w:val="0"/>
      <w:marRight w:val="0"/>
      <w:marTop w:val="0"/>
      <w:marBottom w:val="0"/>
      <w:divBdr>
        <w:top w:val="none" w:sz="0" w:space="0" w:color="auto"/>
        <w:left w:val="none" w:sz="0" w:space="0" w:color="auto"/>
        <w:bottom w:val="none" w:sz="0" w:space="0" w:color="auto"/>
        <w:right w:val="none" w:sz="0" w:space="0" w:color="auto"/>
      </w:divBdr>
    </w:div>
    <w:div w:id="2139520983">
      <w:bodyDiv w:val="1"/>
      <w:marLeft w:val="0"/>
      <w:marRight w:val="0"/>
      <w:marTop w:val="0"/>
      <w:marBottom w:val="0"/>
      <w:divBdr>
        <w:top w:val="none" w:sz="0" w:space="0" w:color="auto"/>
        <w:left w:val="none" w:sz="0" w:space="0" w:color="auto"/>
        <w:bottom w:val="none" w:sz="0" w:space="0" w:color="auto"/>
        <w:right w:val="none" w:sz="0" w:space="0" w:color="auto"/>
      </w:divBdr>
    </w:div>
    <w:div w:id="2139914164">
      <w:bodyDiv w:val="1"/>
      <w:marLeft w:val="0"/>
      <w:marRight w:val="0"/>
      <w:marTop w:val="0"/>
      <w:marBottom w:val="0"/>
      <w:divBdr>
        <w:top w:val="none" w:sz="0" w:space="0" w:color="auto"/>
        <w:left w:val="none" w:sz="0" w:space="0" w:color="auto"/>
        <w:bottom w:val="none" w:sz="0" w:space="0" w:color="auto"/>
        <w:right w:val="none" w:sz="0" w:space="0" w:color="auto"/>
      </w:divBdr>
    </w:div>
    <w:div w:id="2140997912">
      <w:bodyDiv w:val="1"/>
      <w:marLeft w:val="0"/>
      <w:marRight w:val="0"/>
      <w:marTop w:val="0"/>
      <w:marBottom w:val="0"/>
      <w:divBdr>
        <w:top w:val="none" w:sz="0" w:space="0" w:color="auto"/>
        <w:left w:val="none" w:sz="0" w:space="0" w:color="auto"/>
        <w:bottom w:val="none" w:sz="0" w:space="0" w:color="auto"/>
        <w:right w:val="none" w:sz="0" w:space="0" w:color="auto"/>
      </w:divBdr>
    </w:div>
    <w:div w:id="2141652705">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2110619">
      <w:bodyDiv w:val="1"/>
      <w:marLeft w:val="0"/>
      <w:marRight w:val="0"/>
      <w:marTop w:val="0"/>
      <w:marBottom w:val="0"/>
      <w:divBdr>
        <w:top w:val="none" w:sz="0" w:space="0" w:color="auto"/>
        <w:left w:val="none" w:sz="0" w:space="0" w:color="auto"/>
        <w:bottom w:val="none" w:sz="0" w:space="0" w:color="auto"/>
        <w:right w:val="none" w:sz="0" w:space="0" w:color="auto"/>
      </w:divBdr>
    </w:div>
    <w:div w:id="2142453647">
      <w:bodyDiv w:val="1"/>
      <w:marLeft w:val="0"/>
      <w:marRight w:val="0"/>
      <w:marTop w:val="0"/>
      <w:marBottom w:val="0"/>
      <w:divBdr>
        <w:top w:val="none" w:sz="0" w:space="0" w:color="auto"/>
        <w:left w:val="none" w:sz="0" w:space="0" w:color="auto"/>
        <w:bottom w:val="none" w:sz="0" w:space="0" w:color="auto"/>
        <w:right w:val="none" w:sz="0" w:space="0" w:color="auto"/>
      </w:divBdr>
    </w:div>
    <w:div w:id="2142503140">
      <w:bodyDiv w:val="1"/>
      <w:marLeft w:val="0"/>
      <w:marRight w:val="0"/>
      <w:marTop w:val="0"/>
      <w:marBottom w:val="0"/>
      <w:divBdr>
        <w:top w:val="none" w:sz="0" w:space="0" w:color="auto"/>
        <w:left w:val="none" w:sz="0" w:space="0" w:color="auto"/>
        <w:bottom w:val="none" w:sz="0" w:space="0" w:color="auto"/>
        <w:right w:val="none" w:sz="0" w:space="0" w:color="auto"/>
      </w:divBdr>
    </w:div>
    <w:div w:id="2142651512">
      <w:bodyDiv w:val="1"/>
      <w:marLeft w:val="0"/>
      <w:marRight w:val="0"/>
      <w:marTop w:val="0"/>
      <w:marBottom w:val="0"/>
      <w:divBdr>
        <w:top w:val="none" w:sz="0" w:space="0" w:color="auto"/>
        <w:left w:val="none" w:sz="0" w:space="0" w:color="auto"/>
        <w:bottom w:val="none" w:sz="0" w:space="0" w:color="auto"/>
        <w:right w:val="none" w:sz="0" w:space="0" w:color="auto"/>
      </w:divBdr>
    </w:div>
    <w:div w:id="2142724465">
      <w:bodyDiv w:val="1"/>
      <w:marLeft w:val="0"/>
      <w:marRight w:val="0"/>
      <w:marTop w:val="0"/>
      <w:marBottom w:val="0"/>
      <w:divBdr>
        <w:top w:val="none" w:sz="0" w:space="0" w:color="auto"/>
        <w:left w:val="none" w:sz="0" w:space="0" w:color="auto"/>
        <w:bottom w:val="none" w:sz="0" w:space="0" w:color="auto"/>
        <w:right w:val="none" w:sz="0" w:space="0" w:color="auto"/>
      </w:divBdr>
    </w:div>
    <w:div w:id="2142914108">
      <w:bodyDiv w:val="1"/>
      <w:marLeft w:val="0"/>
      <w:marRight w:val="0"/>
      <w:marTop w:val="0"/>
      <w:marBottom w:val="0"/>
      <w:divBdr>
        <w:top w:val="none" w:sz="0" w:space="0" w:color="auto"/>
        <w:left w:val="none" w:sz="0" w:space="0" w:color="auto"/>
        <w:bottom w:val="none" w:sz="0" w:space="0" w:color="auto"/>
        <w:right w:val="none" w:sz="0" w:space="0" w:color="auto"/>
      </w:divBdr>
    </w:div>
    <w:div w:id="214318278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006070">
      <w:bodyDiv w:val="1"/>
      <w:marLeft w:val="0"/>
      <w:marRight w:val="0"/>
      <w:marTop w:val="0"/>
      <w:marBottom w:val="0"/>
      <w:divBdr>
        <w:top w:val="none" w:sz="0" w:space="0" w:color="auto"/>
        <w:left w:val="none" w:sz="0" w:space="0" w:color="auto"/>
        <w:bottom w:val="none" w:sz="0" w:space="0" w:color="auto"/>
        <w:right w:val="none" w:sz="0" w:space="0" w:color="auto"/>
      </w:divBdr>
    </w:div>
    <w:div w:id="2145197613">
      <w:bodyDiv w:val="1"/>
      <w:marLeft w:val="0"/>
      <w:marRight w:val="0"/>
      <w:marTop w:val="0"/>
      <w:marBottom w:val="0"/>
      <w:divBdr>
        <w:top w:val="none" w:sz="0" w:space="0" w:color="auto"/>
        <w:left w:val="none" w:sz="0" w:space="0" w:color="auto"/>
        <w:bottom w:val="none" w:sz="0" w:space="0" w:color="auto"/>
        <w:right w:val="none" w:sz="0" w:space="0" w:color="auto"/>
      </w:divBdr>
    </w:div>
    <w:div w:id="2145342471">
      <w:bodyDiv w:val="1"/>
      <w:marLeft w:val="0"/>
      <w:marRight w:val="0"/>
      <w:marTop w:val="0"/>
      <w:marBottom w:val="0"/>
      <w:divBdr>
        <w:top w:val="none" w:sz="0" w:space="0" w:color="auto"/>
        <w:left w:val="none" w:sz="0" w:space="0" w:color="auto"/>
        <w:bottom w:val="none" w:sz="0" w:space="0" w:color="auto"/>
        <w:right w:val="none" w:sz="0" w:space="0" w:color="auto"/>
      </w:divBdr>
    </w:div>
    <w:div w:id="2145350834">
      <w:bodyDiv w:val="1"/>
      <w:marLeft w:val="0"/>
      <w:marRight w:val="0"/>
      <w:marTop w:val="0"/>
      <w:marBottom w:val="0"/>
      <w:divBdr>
        <w:top w:val="none" w:sz="0" w:space="0" w:color="auto"/>
        <w:left w:val="none" w:sz="0" w:space="0" w:color="auto"/>
        <w:bottom w:val="none" w:sz="0" w:space="0" w:color="auto"/>
        <w:right w:val="none" w:sz="0" w:space="0" w:color="auto"/>
      </w:divBdr>
    </w:div>
    <w:div w:id="2145463690">
      <w:bodyDiv w:val="1"/>
      <w:marLeft w:val="0"/>
      <w:marRight w:val="0"/>
      <w:marTop w:val="0"/>
      <w:marBottom w:val="0"/>
      <w:divBdr>
        <w:top w:val="none" w:sz="0" w:space="0" w:color="auto"/>
        <w:left w:val="none" w:sz="0" w:space="0" w:color="auto"/>
        <w:bottom w:val="none" w:sz="0" w:space="0" w:color="auto"/>
        <w:right w:val="none" w:sz="0" w:space="0" w:color="auto"/>
      </w:divBdr>
    </w:div>
    <w:div w:id="2145728953">
      <w:bodyDiv w:val="1"/>
      <w:marLeft w:val="0"/>
      <w:marRight w:val="0"/>
      <w:marTop w:val="0"/>
      <w:marBottom w:val="0"/>
      <w:divBdr>
        <w:top w:val="none" w:sz="0" w:space="0" w:color="auto"/>
        <w:left w:val="none" w:sz="0" w:space="0" w:color="auto"/>
        <w:bottom w:val="none" w:sz="0" w:space="0" w:color="auto"/>
        <w:right w:val="none" w:sz="0" w:space="0" w:color="auto"/>
      </w:divBdr>
    </w:div>
    <w:div w:id="2146003448">
      <w:bodyDiv w:val="1"/>
      <w:marLeft w:val="0"/>
      <w:marRight w:val="0"/>
      <w:marTop w:val="0"/>
      <w:marBottom w:val="0"/>
      <w:divBdr>
        <w:top w:val="none" w:sz="0" w:space="0" w:color="auto"/>
        <w:left w:val="none" w:sz="0" w:space="0" w:color="auto"/>
        <w:bottom w:val="none" w:sz="0" w:space="0" w:color="auto"/>
        <w:right w:val="none" w:sz="0" w:space="0" w:color="auto"/>
      </w:divBdr>
    </w:div>
    <w:div w:id="2146195136">
      <w:bodyDiv w:val="1"/>
      <w:marLeft w:val="0"/>
      <w:marRight w:val="0"/>
      <w:marTop w:val="0"/>
      <w:marBottom w:val="0"/>
      <w:divBdr>
        <w:top w:val="none" w:sz="0" w:space="0" w:color="auto"/>
        <w:left w:val="none" w:sz="0" w:space="0" w:color="auto"/>
        <w:bottom w:val="none" w:sz="0" w:space="0" w:color="auto"/>
        <w:right w:val="none" w:sz="0" w:space="0" w:color="auto"/>
      </w:divBdr>
    </w:div>
    <w:div w:id="2146506308">
      <w:bodyDiv w:val="1"/>
      <w:marLeft w:val="0"/>
      <w:marRight w:val="0"/>
      <w:marTop w:val="0"/>
      <w:marBottom w:val="0"/>
      <w:divBdr>
        <w:top w:val="none" w:sz="0" w:space="0" w:color="auto"/>
        <w:left w:val="none" w:sz="0" w:space="0" w:color="auto"/>
        <w:bottom w:val="none" w:sz="0" w:space="0" w:color="auto"/>
        <w:right w:val="none" w:sz="0" w:space="0" w:color="auto"/>
      </w:divBdr>
    </w:div>
    <w:div w:id="2146965320">
      <w:bodyDiv w:val="1"/>
      <w:marLeft w:val="0"/>
      <w:marRight w:val="0"/>
      <w:marTop w:val="0"/>
      <w:marBottom w:val="0"/>
      <w:divBdr>
        <w:top w:val="none" w:sz="0" w:space="0" w:color="auto"/>
        <w:left w:val="none" w:sz="0" w:space="0" w:color="auto"/>
        <w:bottom w:val="none" w:sz="0" w:space="0" w:color="auto"/>
        <w:right w:val="none" w:sz="0" w:space="0" w:color="auto"/>
      </w:divBdr>
    </w:div>
    <w:div w:id="2147312164">
      <w:bodyDiv w:val="1"/>
      <w:marLeft w:val="0"/>
      <w:marRight w:val="0"/>
      <w:marTop w:val="0"/>
      <w:marBottom w:val="0"/>
      <w:divBdr>
        <w:top w:val="none" w:sz="0" w:space="0" w:color="auto"/>
        <w:left w:val="none" w:sz="0" w:space="0" w:color="auto"/>
        <w:bottom w:val="none" w:sz="0" w:space="0" w:color="auto"/>
        <w:right w:val="none" w:sz="0" w:space="0" w:color="auto"/>
      </w:divBdr>
    </w:div>
    <w:div w:id="214731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footer" Target="footer27.xml"/><Relationship Id="rId68" Type="http://schemas.openxmlformats.org/officeDocument/2006/relationships/footer" Target="footer30.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1.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header" Target="header31.xml"/><Relationship Id="rId5" Type="http://schemas.openxmlformats.org/officeDocument/2006/relationships/webSettings" Target="webSettings.xml"/><Relationship Id="rId61" Type="http://schemas.openxmlformats.org/officeDocument/2006/relationships/header" Target="header28.xml"/><Relationship Id="rId19" Type="http://schemas.openxmlformats.org/officeDocument/2006/relationships/footer" Target="footer6.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header" Target="header26.xml"/><Relationship Id="rId64" Type="http://schemas.openxmlformats.org/officeDocument/2006/relationships/footer" Target="footer28.xml"/><Relationship Id="rId69" Type="http://schemas.openxmlformats.org/officeDocument/2006/relationships/header" Target="header32.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footer" Target="footer29.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header" Target="header3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header" Target="header22.xml"/><Relationship Id="rId57" Type="http://schemas.openxmlformats.org/officeDocument/2006/relationships/footer" Target="footer24.xml"/><Relationship Id="rId10" Type="http://schemas.openxmlformats.org/officeDocument/2006/relationships/header" Target="header2.xml"/><Relationship Id="rId31" Type="http://schemas.openxmlformats.org/officeDocument/2006/relationships/footer" Target="footer12.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30.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5.xml"/><Relationship Id="rId39" Type="http://schemas.openxmlformats.org/officeDocument/2006/relationships/header" Target="header17.xml"/><Relationship Id="rId34" Type="http://schemas.openxmlformats.org/officeDocument/2006/relationships/footer" Target="footer13.xml"/><Relationship Id="rId50" Type="http://schemas.openxmlformats.org/officeDocument/2006/relationships/header" Target="header23.xml"/><Relationship Id="rId55" Type="http://schemas.openxmlformats.org/officeDocument/2006/relationships/header" Target="header25.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C6405-7993-44D0-B714-B38AA8B7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21810</TotalTime>
  <Pages>112</Pages>
  <Words>40596</Words>
  <Characters>231402</Characters>
  <Application>Microsoft Office Word</Application>
  <DocSecurity>0</DocSecurity>
  <Lines>1928</Lines>
  <Paragraphs>542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271456</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Celal Karayaka</dc:creator>
  <dc:description/>
  <cp:lastModifiedBy>Mehtap Erdogmus (TR)</cp:lastModifiedBy>
  <cp:revision>1051</cp:revision>
  <cp:lastPrinted>2025-02-14T11:27:00Z</cp:lastPrinted>
  <dcterms:created xsi:type="dcterms:W3CDTF">2024-06-20T12:49:00Z</dcterms:created>
  <dcterms:modified xsi:type="dcterms:W3CDTF">2025-02-18T15:16:00Z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47aeb43c-1589-41ba-89e3-428408ef271b</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b0c09810-65f4-4310-9cf4-19edb1aba362_Enabled">
    <vt:lpwstr>true</vt:lpwstr>
  </property>
  <property fmtid="{D5CDD505-2E9C-101B-9397-08002B2CF9AE}" pid="9" name="MSIP_Label_b0c09810-65f4-4310-9cf4-19edb1aba362_SetDate">
    <vt:lpwstr>2024-05-22T00:27:09Z</vt:lpwstr>
  </property>
  <property fmtid="{D5CDD505-2E9C-101B-9397-08002B2CF9AE}" pid="10" name="MSIP_Label_b0c09810-65f4-4310-9cf4-19edb1aba362_Method">
    <vt:lpwstr>Privileged</vt:lpwstr>
  </property>
  <property fmtid="{D5CDD505-2E9C-101B-9397-08002B2CF9AE}" pid="11" name="MSIP_Label_b0c09810-65f4-4310-9cf4-19edb1aba362_Name">
    <vt:lpwstr>Internal - Open Access</vt:lpwstr>
  </property>
  <property fmtid="{D5CDD505-2E9C-101B-9397-08002B2CF9AE}" pid="12" name="MSIP_Label_b0c09810-65f4-4310-9cf4-19edb1aba362_SiteId">
    <vt:lpwstr>513294a0-3e20-41b2-a970-6d30bf1546fa</vt:lpwstr>
  </property>
  <property fmtid="{D5CDD505-2E9C-101B-9397-08002B2CF9AE}" pid="13" name="MSIP_Label_b0c09810-65f4-4310-9cf4-19edb1aba362_ActionId">
    <vt:lpwstr>3349bf48-4d21-4b39-838d-298f2e9c543a</vt:lpwstr>
  </property>
  <property fmtid="{D5CDD505-2E9C-101B-9397-08002B2CF9AE}" pid="14" name="MSIP_Label_b0c09810-65f4-4310-9cf4-19edb1aba362_ContentBits">
    <vt:lpwstr>0</vt:lpwstr>
  </property>
</Properties>
</file>